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2F6B6" w14:textId="06A8E137" w:rsidR="00377E0C" w:rsidRPr="00E72418" w:rsidRDefault="00377E0C" w:rsidP="00093E40"/>
    <w:sdt>
      <w:sdtPr>
        <w:id w:val="756865301"/>
        <w:docPartObj>
          <w:docPartGallery w:val="Cover Pages"/>
          <w:docPartUnique/>
        </w:docPartObj>
      </w:sdtPr>
      <w:sdtContent>
        <w:p w14:paraId="5E24165F" w14:textId="3A781539" w:rsidR="0022196B" w:rsidRPr="00E72418" w:rsidRDefault="0022196B" w:rsidP="00CC4BA8"/>
        <w:tbl>
          <w:tblPr>
            <w:tblpPr w:leftFromText="187" w:rightFromText="187" w:horzAnchor="margin" w:tblpXSpec="center" w:tblpYSpec="bottom"/>
            <w:tblW w:w="3857" w:type="pct"/>
            <w:tblLook w:val="04A0" w:firstRow="1" w:lastRow="0" w:firstColumn="1" w:lastColumn="0" w:noHBand="0" w:noVBand="1"/>
          </w:tblPr>
          <w:tblGrid>
            <w:gridCol w:w="6998"/>
          </w:tblGrid>
          <w:tr w:rsidR="0022196B" w:rsidRPr="00E72418" w14:paraId="74A59163" w14:textId="77777777" w:rsidTr="0022196B">
            <w:tc>
              <w:tcPr>
                <w:tcW w:w="6998" w:type="dxa"/>
                <w:tcMar>
                  <w:top w:w="216" w:type="dxa"/>
                  <w:left w:w="115" w:type="dxa"/>
                  <w:bottom w:w="216" w:type="dxa"/>
                  <w:right w:w="115" w:type="dxa"/>
                </w:tcMar>
              </w:tcPr>
              <w:p w14:paraId="297B2776" w14:textId="77777777" w:rsidR="0022196B" w:rsidRPr="00E72418" w:rsidRDefault="0022196B" w:rsidP="00CC4BA8">
                <w:pPr>
                  <w:pStyle w:val="Sansinterligne"/>
                </w:pPr>
              </w:p>
            </w:tc>
          </w:tr>
        </w:tbl>
        <w:p w14:paraId="0EC773A9" w14:textId="77777777" w:rsidR="0022196B" w:rsidRPr="00E72418" w:rsidRDefault="0022196B" w:rsidP="00CC4BA8"/>
        <w:p w14:paraId="14ACD511" w14:textId="77777777" w:rsidR="0022196B" w:rsidRPr="00E72418" w:rsidRDefault="0022196B" w:rsidP="00CC4BA8"/>
        <w:p w14:paraId="4576A945" w14:textId="77777777" w:rsidR="0022196B" w:rsidRPr="00E72418" w:rsidRDefault="0022196B" w:rsidP="00CC4BA8"/>
        <w:p w14:paraId="74488977" w14:textId="77777777" w:rsidR="0022196B" w:rsidRPr="00E72418" w:rsidRDefault="0022196B" w:rsidP="00CC4BA8"/>
        <w:p w14:paraId="1DCE8C6C" w14:textId="77777777" w:rsidR="0022196B" w:rsidRPr="00E72418" w:rsidRDefault="0022196B" w:rsidP="00CC4BA8"/>
        <w:p w14:paraId="17EDDE2F" w14:textId="77777777" w:rsidR="0022196B" w:rsidRPr="00E72418" w:rsidRDefault="0022196B" w:rsidP="00CC4BA8"/>
        <w:p w14:paraId="1B71677A" w14:textId="77777777" w:rsidR="0022196B" w:rsidRPr="00E72418" w:rsidRDefault="0022196B" w:rsidP="00CC4BA8"/>
        <w:p w14:paraId="689B61D9" w14:textId="77777777" w:rsidR="0022196B" w:rsidRPr="00E72418" w:rsidRDefault="0022196B" w:rsidP="00CC4BA8"/>
        <w:p w14:paraId="2C05BA51" w14:textId="77777777" w:rsidR="0022196B" w:rsidRPr="00E72418" w:rsidRDefault="0022196B" w:rsidP="00CC4BA8"/>
        <w:p w14:paraId="3797C90B" w14:textId="6A574BA2" w:rsidR="0022196B" w:rsidRPr="00E72418" w:rsidRDefault="0022196B" w:rsidP="00CC4BA8"/>
        <w:p w14:paraId="31FD6EAD" w14:textId="77777777" w:rsidR="00843D4F" w:rsidRPr="00E72418" w:rsidRDefault="00843D4F" w:rsidP="00CC4BA8"/>
        <w:p w14:paraId="55086FC8" w14:textId="688705F3" w:rsidR="0022196B" w:rsidRDefault="0022196B" w:rsidP="00CC4BA8"/>
        <w:p w14:paraId="1EFC3C02" w14:textId="77777777" w:rsidR="00527B10" w:rsidRPr="00E72418" w:rsidRDefault="00527B10" w:rsidP="00CC4BA8"/>
        <w:p w14:paraId="3A468CB7" w14:textId="4B98D460" w:rsidR="00B10B32" w:rsidRPr="00E72418" w:rsidRDefault="00690328" w:rsidP="00B10B32">
          <w:pPr>
            <w:jc w:val="center"/>
            <w:rPr>
              <w:b/>
              <w:sz w:val="30"/>
              <w:szCs w:val="30"/>
            </w:rPr>
          </w:pPr>
          <w:r w:rsidRPr="00E72418">
            <w:rPr>
              <w:b/>
              <w:sz w:val="30"/>
              <w:szCs w:val="30"/>
            </w:rPr>
            <w:t>Les</w:t>
          </w:r>
          <w:r w:rsidR="00B10B32" w:rsidRPr="00E72418">
            <w:rPr>
              <w:b/>
              <w:sz w:val="30"/>
              <w:szCs w:val="30"/>
            </w:rPr>
            <w:t xml:space="preserve"> actions judiciaires </w:t>
          </w:r>
          <w:r w:rsidRPr="00E72418">
            <w:rPr>
              <w:b/>
              <w:sz w:val="30"/>
              <w:szCs w:val="30"/>
            </w:rPr>
            <w:t>des</w:t>
          </w:r>
          <w:r w:rsidR="00B10B32" w:rsidRPr="00E72418">
            <w:rPr>
              <w:b/>
              <w:sz w:val="30"/>
              <w:szCs w:val="30"/>
            </w:rPr>
            <w:t xml:space="preserve"> spéculateurs sur les dettes souveraines</w:t>
          </w:r>
          <w:bookmarkStart w:id="0" w:name="_GoBack"/>
          <w:bookmarkEnd w:id="0"/>
        </w:p>
        <w:p w14:paraId="3F912684" w14:textId="77777777" w:rsidR="00B10B32" w:rsidRPr="00E72418" w:rsidRDefault="00B10B32" w:rsidP="00B10B32">
          <w:pPr>
            <w:jc w:val="center"/>
            <w:rPr>
              <w:sz w:val="4"/>
              <w:szCs w:val="4"/>
            </w:rPr>
          </w:pPr>
        </w:p>
        <w:p w14:paraId="3E7F6E38" w14:textId="19692CBE" w:rsidR="00B10B32" w:rsidRPr="00E72418" w:rsidRDefault="00CA790D" w:rsidP="00B10B32">
          <w:pPr>
            <w:jc w:val="center"/>
            <w:rPr>
              <w:i/>
              <w:szCs w:val="24"/>
            </w:rPr>
          </w:pPr>
          <w:r w:rsidRPr="00E72418">
            <w:rPr>
              <w:i/>
              <w:szCs w:val="24"/>
            </w:rPr>
            <w:t xml:space="preserve">Réglementer </w:t>
          </w:r>
          <w:r w:rsidR="00EC1557" w:rsidRPr="00E72418">
            <w:rPr>
              <w:i/>
              <w:szCs w:val="24"/>
            </w:rPr>
            <w:t>les activités des fonds dits « vautours »</w:t>
          </w:r>
          <w:r w:rsidRPr="00E72418">
            <w:rPr>
              <w:i/>
              <w:szCs w:val="24"/>
            </w:rPr>
            <w:t xml:space="preserve"> dans un souci de soutenabilité</w:t>
          </w:r>
        </w:p>
        <w:p w14:paraId="6194CF93" w14:textId="77777777" w:rsidR="002E7096" w:rsidRPr="00F96D6C" w:rsidRDefault="002E7096" w:rsidP="00CC4BA8">
          <w:pPr>
            <w:jc w:val="center"/>
            <w:rPr>
              <w:sz w:val="28"/>
              <w:szCs w:val="28"/>
            </w:rPr>
          </w:pPr>
        </w:p>
        <w:p w14:paraId="22979C7B" w14:textId="77777777" w:rsidR="00F96D6C" w:rsidRPr="00F96D6C" w:rsidRDefault="00F96D6C" w:rsidP="00F96D6C">
          <w:pPr>
            <w:jc w:val="center"/>
            <w:rPr>
              <w:sz w:val="28"/>
              <w:szCs w:val="28"/>
            </w:rPr>
          </w:pPr>
        </w:p>
        <w:p w14:paraId="2D5AD3C8" w14:textId="77777777" w:rsidR="00F96D6C" w:rsidRPr="00E72418" w:rsidRDefault="00F96D6C" w:rsidP="00F96D6C">
          <w:pPr>
            <w:jc w:val="center"/>
            <w:rPr>
              <w:smallCaps/>
              <w:szCs w:val="24"/>
            </w:rPr>
          </w:pPr>
          <w:r w:rsidRPr="00E72418">
            <w:rPr>
              <w:szCs w:val="24"/>
            </w:rPr>
            <w:t xml:space="preserve">par Justin </w:t>
          </w:r>
          <w:r w:rsidRPr="00E72418">
            <w:rPr>
              <w:smallCaps/>
              <w:szCs w:val="24"/>
            </w:rPr>
            <w:t>Vanderschuren</w:t>
          </w:r>
        </w:p>
        <w:p w14:paraId="24EC35F6" w14:textId="77777777" w:rsidR="0022196B" w:rsidRPr="00E72418" w:rsidRDefault="0022196B" w:rsidP="00CC4BA8">
          <w:pPr>
            <w:jc w:val="center"/>
            <w:rPr>
              <w:sz w:val="28"/>
              <w:szCs w:val="28"/>
            </w:rPr>
          </w:pPr>
        </w:p>
        <w:p w14:paraId="553B5221" w14:textId="77777777" w:rsidR="00F96D6C" w:rsidRDefault="005519F3">
          <w:pPr>
            <w:jc w:val="left"/>
            <w:rPr>
              <w:rFonts w:ascii="Times New Roman" w:hAnsi="Times New Roman" w:cs="Times New Roman"/>
              <w:b/>
            </w:rPr>
          </w:pPr>
          <w:r w:rsidRPr="00E72418">
            <w:rPr>
              <w:rFonts w:ascii="Times New Roman" w:hAnsi="Times New Roman" w:cs="Times New Roman"/>
              <w:b/>
            </w:rPr>
            <w:br w:type="page"/>
          </w:r>
          <w:r w:rsidR="00F96D6C">
            <w:rPr>
              <w:rFonts w:ascii="Times New Roman" w:hAnsi="Times New Roman" w:cs="Times New Roman"/>
              <w:b/>
            </w:rPr>
            <w:lastRenderedPageBreak/>
            <w:br w:type="page"/>
          </w:r>
        </w:p>
        <w:p w14:paraId="47B63B30" w14:textId="1ADAC16E" w:rsidR="005E2676" w:rsidRPr="00E72418" w:rsidRDefault="0030147D" w:rsidP="005E2676">
          <w:pPr>
            <w:jc w:val="left"/>
            <w:rPr>
              <w:rFonts w:ascii="Times New Roman" w:hAnsi="Times New Roman" w:cs="Times New Roman"/>
              <w:b/>
            </w:rPr>
          </w:pPr>
        </w:p>
      </w:sdtContent>
    </w:sdt>
    <w:p w14:paraId="1C141986" w14:textId="77777777" w:rsidR="00F96D6C" w:rsidRPr="00F96D6C" w:rsidRDefault="00F96D6C">
      <w:pPr>
        <w:jc w:val="left"/>
        <w:rPr>
          <w:b/>
          <w:szCs w:val="24"/>
        </w:rPr>
      </w:pPr>
    </w:p>
    <w:p w14:paraId="5C24A1FF" w14:textId="77777777" w:rsidR="00F96D6C" w:rsidRPr="00F96D6C" w:rsidRDefault="00F96D6C">
      <w:pPr>
        <w:jc w:val="left"/>
        <w:rPr>
          <w:b/>
          <w:szCs w:val="24"/>
        </w:rPr>
      </w:pPr>
    </w:p>
    <w:p w14:paraId="155A7F99" w14:textId="77777777" w:rsidR="00F96D6C" w:rsidRPr="00F96D6C" w:rsidRDefault="00F96D6C">
      <w:pPr>
        <w:jc w:val="left"/>
        <w:rPr>
          <w:b/>
          <w:szCs w:val="24"/>
        </w:rPr>
      </w:pPr>
    </w:p>
    <w:p w14:paraId="14FF4D67" w14:textId="77777777" w:rsidR="00F96D6C" w:rsidRPr="00F96D6C" w:rsidRDefault="00F96D6C">
      <w:pPr>
        <w:jc w:val="left"/>
        <w:rPr>
          <w:b/>
          <w:szCs w:val="24"/>
        </w:rPr>
      </w:pPr>
    </w:p>
    <w:p w14:paraId="0BF6BAEB" w14:textId="77777777" w:rsidR="00F96D6C" w:rsidRPr="00F96D6C" w:rsidRDefault="00F96D6C">
      <w:pPr>
        <w:jc w:val="left"/>
        <w:rPr>
          <w:b/>
          <w:szCs w:val="24"/>
        </w:rPr>
      </w:pPr>
    </w:p>
    <w:p w14:paraId="6D46C0E0" w14:textId="77777777" w:rsidR="00F96D6C" w:rsidRPr="00F96D6C" w:rsidRDefault="00F96D6C">
      <w:pPr>
        <w:jc w:val="left"/>
        <w:rPr>
          <w:b/>
          <w:szCs w:val="24"/>
        </w:rPr>
      </w:pPr>
    </w:p>
    <w:p w14:paraId="2D36A8A2" w14:textId="77777777" w:rsidR="00F96D6C" w:rsidRPr="00F96D6C" w:rsidRDefault="00F96D6C">
      <w:pPr>
        <w:jc w:val="left"/>
        <w:rPr>
          <w:b/>
          <w:szCs w:val="24"/>
        </w:rPr>
      </w:pPr>
    </w:p>
    <w:p w14:paraId="2C084377" w14:textId="77777777" w:rsidR="00F96D6C" w:rsidRPr="00F96D6C" w:rsidRDefault="00F96D6C">
      <w:pPr>
        <w:jc w:val="left"/>
        <w:rPr>
          <w:b/>
          <w:szCs w:val="24"/>
        </w:rPr>
      </w:pPr>
    </w:p>
    <w:p w14:paraId="2B7ED996" w14:textId="77777777" w:rsidR="00F96D6C" w:rsidRPr="00F96D6C" w:rsidRDefault="00F96D6C">
      <w:pPr>
        <w:jc w:val="left"/>
        <w:rPr>
          <w:b/>
          <w:szCs w:val="24"/>
        </w:rPr>
      </w:pPr>
    </w:p>
    <w:p w14:paraId="64188E64" w14:textId="142F228D" w:rsidR="00F96D6C" w:rsidRDefault="00F96D6C">
      <w:pPr>
        <w:jc w:val="left"/>
        <w:rPr>
          <w:b/>
          <w:szCs w:val="24"/>
        </w:rPr>
      </w:pPr>
    </w:p>
    <w:p w14:paraId="6F4D4985" w14:textId="365262FC" w:rsidR="00F96D6C" w:rsidRDefault="00F96D6C">
      <w:pPr>
        <w:jc w:val="left"/>
        <w:rPr>
          <w:b/>
          <w:szCs w:val="24"/>
        </w:rPr>
      </w:pPr>
    </w:p>
    <w:p w14:paraId="11AC25B5" w14:textId="77777777" w:rsidR="00F96D6C" w:rsidRPr="00F96D6C" w:rsidRDefault="00F96D6C">
      <w:pPr>
        <w:jc w:val="left"/>
        <w:rPr>
          <w:b/>
          <w:szCs w:val="24"/>
        </w:rPr>
      </w:pPr>
    </w:p>
    <w:p w14:paraId="450AE600" w14:textId="77777777" w:rsidR="00F96D6C" w:rsidRPr="00F96D6C" w:rsidRDefault="00F96D6C">
      <w:pPr>
        <w:jc w:val="left"/>
        <w:rPr>
          <w:b/>
          <w:szCs w:val="24"/>
        </w:rPr>
      </w:pPr>
    </w:p>
    <w:p w14:paraId="57496495" w14:textId="77777777" w:rsidR="00F96D6C" w:rsidRPr="00F96D6C" w:rsidRDefault="00F96D6C" w:rsidP="00F96D6C">
      <w:pPr>
        <w:jc w:val="center"/>
        <w:rPr>
          <w:b/>
          <w:szCs w:val="24"/>
        </w:rPr>
      </w:pPr>
    </w:p>
    <w:p w14:paraId="31DBDB2F" w14:textId="4045F80A" w:rsidR="00F96D6C" w:rsidRPr="00E72418" w:rsidRDefault="00F96D6C" w:rsidP="00F96D6C">
      <w:pPr>
        <w:jc w:val="center"/>
        <w:rPr>
          <w:b/>
          <w:sz w:val="30"/>
          <w:szCs w:val="30"/>
        </w:rPr>
      </w:pPr>
      <w:r w:rsidRPr="00E72418">
        <w:rPr>
          <w:b/>
          <w:sz w:val="30"/>
          <w:szCs w:val="30"/>
        </w:rPr>
        <w:t>Les actions judiciaires des spéculateurs sur les dettes souveraines</w:t>
      </w:r>
    </w:p>
    <w:p w14:paraId="5A747257" w14:textId="77777777" w:rsidR="00F96D6C" w:rsidRPr="00E72418" w:rsidRDefault="00F96D6C" w:rsidP="00F96D6C">
      <w:pPr>
        <w:jc w:val="center"/>
        <w:rPr>
          <w:sz w:val="4"/>
          <w:szCs w:val="4"/>
        </w:rPr>
      </w:pPr>
    </w:p>
    <w:p w14:paraId="40534C65" w14:textId="77777777" w:rsidR="00F96D6C" w:rsidRPr="00E72418" w:rsidRDefault="00F96D6C" w:rsidP="00F96D6C">
      <w:pPr>
        <w:jc w:val="center"/>
        <w:rPr>
          <w:i/>
          <w:szCs w:val="24"/>
        </w:rPr>
      </w:pPr>
      <w:r w:rsidRPr="00E72418">
        <w:rPr>
          <w:i/>
          <w:szCs w:val="24"/>
        </w:rPr>
        <w:t>Réglementer les activités des fonds dits « vautours » dans un souci de soutenabilité</w:t>
      </w:r>
    </w:p>
    <w:p w14:paraId="56A6A1E5" w14:textId="77777777" w:rsidR="00F96D6C" w:rsidRPr="00E72418" w:rsidRDefault="00F96D6C" w:rsidP="00F96D6C">
      <w:pPr>
        <w:rPr>
          <w:sz w:val="28"/>
          <w:szCs w:val="28"/>
        </w:rPr>
      </w:pPr>
    </w:p>
    <w:p w14:paraId="519DBAE9" w14:textId="77777777" w:rsidR="00F96D6C" w:rsidRPr="00E72418" w:rsidRDefault="00F96D6C" w:rsidP="00F96D6C">
      <w:pPr>
        <w:jc w:val="center"/>
        <w:rPr>
          <w:sz w:val="28"/>
          <w:szCs w:val="28"/>
        </w:rPr>
      </w:pPr>
    </w:p>
    <w:p w14:paraId="2B186BFD" w14:textId="77777777" w:rsidR="00F96D6C" w:rsidRPr="00E72418" w:rsidRDefault="00F96D6C" w:rsidP="00F96D6C">
      <w:pPr>
        <w:jc w:val="center"/>
        <w:rPr>
          <w:smallCaps/>
          <w:szCs w:val="24"/>
        </w:rPr>
      </w:pPr>
      <w:r w:rsidRPr="00E72418">
        <w:rPr>
          <w:szCs w:val="24"/>
        </w:rPr>
        <w:t xml:space="preserve">par Justin </w:t>
      </w:r>
      <w:r w:rsidRPr="00E72418">
        <w:rPr>
          <w:smallCaps/>
          <w:szCs w:val="24"/>
        </w:rPr>
        <w:t>Vanderschuren</w:t>
      </w:r>
    </w:p>
    <w:p w14:paraId="62F39F9A" w14:textId="77777777" w:rsidR="00F96D6C" w:rsidRPr="00E72418" w:rsidRDefault="00F96D6C" w:rsidP="00F96D6C">
      <w:pPr>
        <w:jc w:val="center"/>
        <w:rPr>
          <w:smallCaps/>
          <w:szCs w:val="24"/>
        </w:rPr>
      </w:pPr>
    </w:p>
    <w:p w14:paraId="1FE19A0E" w14:textId="77777777" w:rsidR="0080588E" w:rsidRDefault="0080588E" w:rsidP="0080588E">
      <w:pPr>
        <w:rPr>
          <w:smallCaps/>
          <w:szCs w:val="24"/>
        </w:rPr>
      </w:pPr>
    </w:p>
    <w:p w14:paraId="34A1176D" w14:textId="77777777" w:rsidR="0080588E" w:rsidRDefault="0080588E" w:rsidP="0080588E">
      <w:pPr>
        <w:rPr>
          <w:sz w:val="20"/>
          <w:szCs w:val="20"/>
        </w:rPr>
      </w:pPr>
    </w:p>
    <w:p w14:paraId="2F42493D" w14:textId="77777777" w:rsidR="0080588E" w:rsidRDefault="0080588E" w:rsidP="0080588E">
      <w:pPr>
        <w:rPr>
          <w:sz w:val="20"/>
          <w:szCs w:val="20"/>
        </w:rPr>
      </w:pPr>
    </w:p>
    <w:p w14:paraId="3372B96E" w14:textId="77777777" w:rsidR="0080588E" w:rsidRDefault="0080588E" w:rsidP="0080588E">
      <w:pPr>
        <w:rPr>
          <w:sz w:val="20"/>
          <w:szCs w:val="20"/>
        </w:rPr>
      </w:pPr>
    </w:p>
    <w:p w14:paraId="6B25AE28" w14:textId="77777777" w:rsidR="0080588E" w:rsidRDefault="0080588E" w:rsidP="0080588E">
      <w:pPr>
        <w:rPr>
          <w:sz w:val="20"/>
          <w:szCs w:val="20"/>
        </w:rPr>
      </w:pPr>
    </w:p>
    <w:p w14:paraId="0270B46E" w14:textId="77777777" w:rsidR="0080588E" w:rsidRDefault="0080588E" w:rsidP="0080588E">
      <w:pPr>
        <w:rPr>
          <w:sz w:val="20"/>
          <w:szCs w:val="20"/>
        </w:rPr>
      </w:pPr>
    </w:p>
    <w:p w14:paraId="35DF182E" w14:textId="77777777" w:rsidR="0080588E" w:rsidRDefault="0080588E" w:rsidP="0080588E">
      <w:pPr>
        <w:rPr>
          <w:sz w:val="20"/>
          <w:szCs w:val="20"/>
        </w:rPr>
      </w:pPr>
    </w:p>
    <w:p w14:paraId="482A537B" w14:textId="77777777" w:rsidR="0080588E" w:rsidRDefault="0080588E" w:rsidP="0080588E">
      <w:pPr>
        <w:rPr>
          <w:sz w:val="20"/>
          <w:szCs w:val="20"/>
        </w:rPr>
      </w:pPr>
    </w:p>
    <w:p w14:paraId="79861C7B" w14:textId="77777777" w:rsidR="0080588E" w:rsidRDefault="0080588E" w:rsidP="0080588E">
      <w:pPr>
        <w:rPr>
          <w:sz w:val="20"/>
          <w:szCs w:val="20"/>
        </w:rPr>
      </w:pPr>
    </w:p>
    <w:p w14:paraId="701F7135" w14:textId="77777777" w:rsidR="0080588E" w:rsidRDefault="0080588E" w:rsidP="0080588E">
      <w:pPr>
        <w:rPr>
          <w:sz w:val="20"/>
          <w:szCs w:val="20"/>
        </w:rPr>
      </w:pPr>
    </w:p>
    <w:p w14:paraId="1A40CFFA" w14:textId="77777777" w:rsidR="0080588E" w:rsidRDefault="0080588E" w:rsidP="0080588E">
      <w:pPr>
        <w:rPr>
          <w:sz w:val="20"/>
          <w:szCs w:val="20"/>
        </w:rPr>
      </w:pPr>
    </w:p>
    <w:p w14:paraId="574592A2" w14:textId="77777777" w:rsidR="0080588E" w:rsidRDefault="0080588E" w:rsidP="0080588E">
      <w:pPr>
        <w:rPr>
          <w:sz w:val="20"/>
          <w:szCs w:val="20"/>
        </w:rPr>
      </w:pPr>
    </w:p>
    <w:p w14:paraId="4B9F7088" w14:textId="77777777" w:rsidR="0080588E" w:rsidRDefault="0080588E" w:rsidP="0080588E">
      <w:pPr>
        <w:rPr>
          <w:sz w:val="20"/>
          <w:szCs w:val="20"/>
        </w:rPr>
      </w:pPr>
    </w:p>
    <w:p w14:paraId="0BA137DD" w14:textId="77777777" w:rsidR="0080588E" w:rsidRDefault="0080588E" w:rsidP="0080588E">
      <w:pPr>
        <w:rPr>
          <w:sz w:val="20"/>
          <w:szCs w:val="20"/>
        </w:rPr>
      </w:pPr>
    </w:p>
    <w:p w14:paraId="779F8B09" w14:textId="77777777" w:rsidR="0080588E" w:rsidRDefault="0080588E" w:rsidP="0080588E">
      <w:pPr>
        <w:rPr>
          <w:sz w:val="20"/>
          <w:szCs w:val="20"/>
        </w:rPr>
      </w:pPr>
    </w:p>
    <w:p w14:paraId="79FB9C75" w14:textId="77777777" w:rsidR="0080588E" w:rsidRDefault="0080588E" w:rsidP="0080588E">
      <w:pPr>
        <w:rPr>
          <w:sz w:val="20"/>
          <w:szCs w:val="20"/>
        </w:rPr>
      </w:pPr>
    </w:p>
    <w:p w14:paraId="3561F5C3" w14:textId="1889DCE6" w:rsidR="00B34CC8" w:rsidRPr="0080588E" w:rsidRDefault="0080588E" w:rsidP="0080588E">
      <w:pPr>
        <w:rPr>
          <w:sz w:val="20"/>
          <w:szCs w:val="20"/>
        </w:rPr>
      </w:pPr>
      <w:r w:rsidRPr="0080588E">
        <w:rPr>
          <w:sz w:val="20"/>
          <w:szCs w:val="20"/>
        </w:rPr>
        <w:t>Le présent ouvrage consiste en notre t</w:t>
      </w:r>
      <w:r w:rsidR="00F96D6C" w:rsidRPr="0080588E">
        <w:rPr>
          <w:sz w:val="20"/>
          <w:szCs w:val="20"/>
        </w:rPr>
        <w:t>hèse présentée</w:t>
      </w:r>
      <w:r w:rsidRPr="0080588E">
        <w:rPr>
          <w:sz w:val="20"/>
          <w:szCs w:val="20"/>
        </w:rPr>
        <w:t xml:space="preserve"> à l’UCLouvain en décembre 2021</w:t>
      </w:r>
      <w:r w:rsidR="00F96D6C" w:rsidRPr="0080588E">
        <w:rPr>
          <w:sz w:val="20"/>
          <w:szCs w:val="20"/>
        </w:rPr>
        <w:t xml:space="preserve"> en vue de l’obtention du titre de</w:t>
      </w:r>
      <w:r w:rsidRPr="0080588E">
        <w:rPr>
          <w:sz w:val="20"/>
          <w:szCs w:val="20"/>
        </w:rPr>
        <w:t xml:space="preserve"> docteur en sciences juridiques</w:t>
      </w:r>
      <w:r>
        <w:rPr>
          <w:sz w:val="20"/>
          <w:szCs w:val="20"/>
        </w:rPr>
        <w:t>. Ce travail a été</w:t>
      </w:r>
      <w:r w:rsidRPr="0080588E">
        <w:rPr>
          <w:sz w:val="20"/>
          <w:szCs w:val="20"/>
        </w:rPr>
        <w:t xml:space="preserve"> </w:t>
      </w:r>
      <w:r>
        <w:rPr>
          <w:sz w:val="20"/>
          <w:szCs w:val="20"/>
        </w:rPr>
        <w:t>promu</w:t>
      </w:r>
      <w:r w:rsidR="00F96D6C" w:rsidRPr="0080588E">
        <w:rPr>
          <w:sz w:val="20"/>
          <w:szCs w:val="20"/>
        </w:rPr>
        <w:t xml:space="preserve"> par </w:t>
      </w:r>
      <w:r w:rsidRPr="0080588E">
        <w:rPr>
          <w:sz w:val="20"/>
          <w:szCs w:val="20"/>
        </w:rPr>
        <w:t xml:space="preserve">le Monsieur Professeur </w:t>
      </w:r>
      <w:r w:rsidR="00F96D6C" w:rsidRPr="0080588E">
        <w:rPr>
          <w:sz w:val="20"/>
          <w:szCs w:val="20"/>
        </w:rPr>
        <w:t xml:space="preserve">Jean-François </w:t>
      </w:r>
      <w:r w:rsidR="00F96D6C" w:rsidRPr="0080588E">
        <w:rPr>
          <w:smallCaps/>
          <w:sz w:val="20"/>
          <w:szCs w:val="20"/>
        </w:rPr>
        <w:t>van Drooghenbroeck</w:t>
      </w:r>
      <w:r w:rsidRPr="0080588E">
        <w:rPr>
          <w:sz w:val="20"/>
          <w:szCs w:val="20"/>
        </w:rPr>
        <w:t xml:space="preserve"> </w:t>
      </w:r>
      <w:r>
        <w:rPr>
          <w:sz w:val="20"/>
          <w:szCs w:val="20"/>
        </w:rPr>
        <w:t>et encadré</w:t>
      </w:r>
      <w:r w:rsidR="00F96D6C" w:rsidRPr="0080588E">
        <w:rPr>
          <w:sz w:val="20"/>
          <w:szCs w:val="20"/>
        </w:rPr>
        <w:t xml:space="preserve"> par</w:t>
      </w:r>
      <w:r w:rsidRPr="0080588E">
        <w:rPr>
          <w:sz w:val="20"/>
          <w:szCs w:val="20"/>
        </w:rPr>
        <w:t xml:space="preserve"> Madame la Professeure</w:t>
      </w:r>
      <w:r w:rsidR="00F96D6C" w:rsidRPr="0080588E">
        <w:rPr>
          <w:sz w:val="20"/>
          <w:szCs w:val="20"/>
        </w:rPr>
        <w:t xml:space="preserve"> Alexia </w:t>
      </w:r>
      <w:r w:rsidR="00F96D6C" w:rsidRPr="0080588E">
        <w:rPr>
          <w:smallCaps/>
          <w:sz w:val="20"/>
          <w:szCs w:val="20"/>
        </w:rPr>
        <w:t>Autenne</w:t>
      </w:r>
      <w:r w:rsidR="00F96D6C" w:rsidRPr="0080588E">
        <w:rPr>
          <w:sz w:val="20"/>
          <w:szCs w:val="20"/>
        </w:rPr>
        <w:t xml:space="preserve"> et </w:t>
      </w:r>
      <w:r w:rsidRPr="0080588E">
        <w:rPr>
          <w:sz w:val="20"/>
          <w:szCs w:val="20"/>
        </w:rPr>
        <w:t>Monsieur le Professeur</w:t>
      </w:r>
      <w:r w:rsidR="00F96D6C" w:rsidRPr="0080588E">
        <w:rPr>
          <w:sz w:val="20"/>
          <w:szCs w:val="20"/>
        </w:rPr>
        <w:t xml:space="preserve"> Pierre </w:t>
      </w:r>
      <w:r w:rsidR="00F96D6C" w:rsidRPr="0080588E">
        <w:rPr>
          <w:smallCaps/>
          <w:sz w:val="20"/>
          <w:szCs w:val="20"/>
        </w:rPr>
        <w:t>d’Argent</w:t>
      </w:r>
      <w:r w:rsidRPr="0080588E">
        <w:rPr>
          <w:sz w:val="20"/>
          <w:szCs w:val="20"/>
        </w:rPr>
        <w:t xml:space="preserve">. Madame la Professeure Caroline </w:t>
      </w:r>
      <w:r w:rsidRPr="0080588E">
        <w:rPr>
          <w:smallCaps/>
          <w:sz w:val="20"/>
          <w:szCs w:val="20"/>
        </w:rPr>
        <w:t>Lequesne-Roth</w:t>
      </w:r>
      <w:r w:rsidRPr="0080588E">
        <w:rPr>
          <w:sz w:val="20"/>
          <w:szCs w:val="20"/>
        </w:rPr>
        <w:t xml:space="preserve"> et Monsieur le Professeur Patrick </w:t>
      </w:r>
      <w:r w:rsidRPr="0080588E">
        <w:rPr>
          <w:smallCaps/>
          <w:sz w:val="20"/>
          <w:szCs w:val="20"/>
        </w:rPr>
        <w:t>Wautelet</w:t>
      </w:r>
      <w:r w:rsidRPr="0080588E">
        <w:rPr>
          <w:sz w:val="20"/>
          <w:szCs w:val="20"/>
        </w:rPr>
        <w:t xml:space="preserve"> participèrent au jury de thèse présidé par Monsieur le Doyen Bernard </w:t>
      </w:r>
      <w:r w:rsidRPr="0080588E">
        <w:rPr>
          <w:smallCaps/>
          <w:sz w:val="20"/>
          <w:szCs w:val="20"/>
        </w:rPr>
        <w:t>Dubuisson</w:t>
      </w:r>
      <w:r w:rsidRPr="0080588E">
        <w:rPr>
          <w:sz w:val="20"/>
          <w:szCs w:val="20"/>
        </w:rPr>
        <w:t>.</w:t>
      </w:r>
      <w:r w:rsidR="00B34CC8" w:rsidRPr="0080588E">
        <w:rPr>
          <w:b/>
          <w:sz w:val="20"/>
          <w:szCs w:val="20"/>
        </w:rPr>
        <w:br w:type="page"/>
      </w:r>
    </w:p>
    <w:p w14:paraId="32AEA241" w14:textId="77777777" w:rsidR="00527B10" w:rsidRDefault="00527B10">
      <w:pPr>
        <w:jc w:val="left"/>
        <w:rPr>
          <w:b/>
          <w:sz w:val="30"/>
          <w:szCs w:val="30"/>
        </w:rPr>
      </w:pPr>
      <w:r>
        <w:rPr>
          <w:b/>
          <w:sz w:val="30"/>
          <w:szCs w:val="30"/>
        </w:rPr>
        <w:lastRenderedPageBreak/>
        <w:br w:type="page"/>
      </w:r>
    </w:p>
    <w:p w14:paraId="31F38F83" w14:textId="7C2F03B8" w:rsidR="002F684D" w:rsidRPr="00E72418" w:rsidRDefault="005E2676" w:rsidP="002F684D">
      <w:pPr>
        <w:jc w:val="center"/>
        <w:rPr>
          <w:b/>
          <w:sz w:val="30"/>
          <w:szCs w:val="30"/>
        </w:rPr>
      </w:pPr>
      <w:r w:rsidRPr="00E72418">
        <w:rPr>
          <w:b/>
          <w:sz w:val="30"/>
          <w:szCs w:val="30"/>
        </w:rPr>
        <w:lastRenderedPageBreak/>
        <w:t>Remerciements</w:t>
      </w:r>
    </w:p>
    <w:p w14:paraId="52860052" w14:textId="77777777" w:rsidR="002F684D" w:rsidRPr="00E72418" w:rsidRDefault="002F684D" w:rsidP="002F684D"/>
    <w:p w14:paraId="619CA646" w14:textId="12061A00" w:rsidR="002F684D" w:rsidRPr="00E72418" w:rsidRDefault="002F684D" w:rsidP="002F684D">
      <w:pPr>
        <w:rPr>
          <w:lang w:val="fr-BE"/>
        </w:rPr>
      </w:pPr>
      <w:r w:rsidRPr="00E72418">
        <w:rPr>
          <w:lang w:val="fr-BE"/>
        </w:rPr>
        <w:t>D’aucuns affirment que, souvent, l’on achève son parcours doctoral avec plus de questions qu’on en avait à son début. Peut-être est-ce vrai. S’il est pourtant une certitude qui est mienne à l’issue de ce parcours, c’est celle de l’école de vie qu’il fut pour moi. Quoique, comme dans toute entreprise humaine dont le résultat est poursuivi avec volonté et détermination, il est de nombreuses choses heureuses et moins heureuses que l’on y expérimente, le bilan que j’en tire est résolument positif si bien que son aboutissement m’a déjà fait oublier toutes les</w:t>
      </w:r>
      <w:r w:rsidR="00FE2E6F" w:rsidRPr="00E72418">
        <w:rPr>
          <w:lang w:val="fr-BE"/>
        </w:rPr>
        <w:t xml:space="preserve"> fois où cette entreprise ne fut guère</w:t>
      </w:r>
      <w:r w:rsidRPr="00E72418">
        <w:rPr>
          <w:lang w:val="fr-BE"/>
        </w:rPr>
        <w:t xml:space="preserve"> aisée. Outre le manuscrit que j’ai à vous présenter aujourd’hui, les plus grandes richesses de mon aventure doctorale sont à trouver dans les réflexions, les voyages et les rencontres qu’elle généra. C’est à celles et ceux qui ont émaillé </w:t>
      </w:r>
      <w:r w:rsidR="00FE2E6F" w:rsidRPr="00E72418">
        <w:rPr>
          <w:lang w:val="fr-BE"/>
        </w:rPr>
        <w:t>cette</w:t>
      </w:r>
      <w:r w:rsidRPr="00E72418">
        <w:rPr>
          <w:lang w:val="fr-BE"/>
        </w:rPr>
        <w:t xml:space="preserve"> expérience </w:t>
      </w:r>
      <w:r w:rsidR="00FE2E6F" w:rsidRPr="00E72418">
        <w:rPr>
          <w:lang w:val="fr-BE"/>
        </w:rPr>
        <w:t xml:space="preserve">qui s’achève </w:t>
      </w:r>
      <w:r w:rsidRPr="00E72418">
        <w:rPr>
          <w:lang w:val="fr-BE"/>
        </w:rPr>
        <w:t>que je voudrais adresser ces remerciements.</w:t>
      </w:r>
    </w:p>
    <w:p w14:paraId="51A3B42E" w14:textId="77777777" w:rsidR="002F684D" w:rsidRPr="009B2CCE" w:rsidRDefault="002F684D" w:rsidP="002F684D">
      <w:pPr>
        <w:rPr>
          <w:sz w:val="4"/>
          <w:szCs w:val="4"/>
          <w:lang w:val="fr-BE"/>
        </w:rPr>
      </w:pPr>
    </w:p>
    <w:p w14:paraId="10442001" w14:textId="035EE646" w:rsidR="002F684D" w:rsidRPr="00E72418" w:rsidRDefault="00FE2E6F" w:rsidP="002F684D">
      <w:pPr>
        <w:rPr>
          <w:lang w:val="fr-BE"/>
        </w:rPr>
      </w:pPr>
      <w:r w:rsidRPr="00E72418">
        <w:rPr>
          <w:lang w:val="fr-BE"/>
        </w:rPr>
        <w:t>Au rang de</w:t>
      </w:r>
      <w:r w:rsidR="00F73E9F" w:rsidRPr="00E72418">
        <w:rPr>
          <w:lang w:val="fr-BE"/>
        </w:rPr>
        <w:t>s rencontres</w:t>
      </w:r>
      <w:r w:rsidR="002F684D" w:rsidRPr="00E72418">
        <w:rPr>
          <w:lang w:val="fr-BE"/>
        </w:rPr>
        <w:t xml:space="preserve"> qui ont compté, il y a, d’abord et surtout, celle de Monsieur le Professeur Jean-François van Drooghenbroeck dont la science, l’enthousiasme et, surtout sans doute, la bienveillance firent de lui un repère tout au long de mon parcours. Lui qui accepta d’être le promoteur de ma recherche doctorale m’offrit le soutien intellectuel et humain auquel l’aboutissement de ce projet doit le plus. Pour ce qu’il a fait et fera </w:t>
      </w:r>
      <w:r w:rsidR="00B34CC8" w:rsidRPr="00E72418">
        <w:rPr>
          <w:lang w:val="fr-BE"/>
        </w:rPr>
        <w:t>vraisemblablement</w:t>
      </w:r>
      <w:r w:rsidR="002F684D" w:rsidRPr="00E72418">
        <w:rPr>
          <w:lang w:val="fr-BE"/>
        </w:rPr>
        <w:t xml:space="preserve"> encore, je lui sais</w:t>
      </w:r>
      <w:r w:rsidRPr="00E72418">
        <w:rPr>
          <w:lang w:val="fr-BE"/>
        </w:rPr>
        <w:t>, il le sait,</w:t>
      </w:r>
      <w:r w:rsidR="002F684D" w:rsidRPr="00E72418">
        <w:rPr>
          <w:lang w:val="fr-BE"/>
        </w:rPr>
        <w:t xml:space="preserve"> </w:t>
      </w:r>
      <w:r w:rsidR="00F73E9F" w:rsidRPr="00E72418">
        <w:rPr>
          <w:lang w:val="fr-BE"/>
        </w:rPr>
        <w:t xml:space="preserve">infiniment </w:t>
      </w:r>
      <w:r w:rsidR="002F684D" w:rsidRPr="00E72418">
        <w:rPr>
          <w:lang w:val="fr-BE"/>
        </w:rPr>
        <w:t>gré.</w:t>
      </w:r>
    </w:p>
    <w:p w14:paraId="208C914B" w14:textId="77777777" w:rsidR="002F684D" w:rsidRPr="009B2CCE" w:rsidRDefault="002F684D" w:rsidP="002F684D">
      <w:pPr>
        <w:rPr>
          <w:sz w:val="4"/>
          <w:szCs w:val="4"/>
          <w:lang w:val="fr-BE"/>
        </w:rPr>
      </w:pPr>
    </w:p>
    <w:p w14:paraId="4BAEB64C" w14:textId="721D274C" w:rsidR="002F684D" w:rsidRPr="00E72418" w:rsidRDefault="002F684D" w:rsidP="002F684D">
      <w:pPr>
        <w:rPr>
          <w:lang w:val="fr-BE"/>
        </w:rPr>
      </w:pPr>
      <w:r w:rsidRPr="00E72418">
        <w:rPr>
          <w:lang w:val="fr-BE"/>
        </w:rPr>
        <w:t>Ma gratitude va également à Madame la Professeure Alexia Autenne et Monsieur le Professeur Pierre d’Argent qui permirent</w:t>
      </w:r>
      <w:r w:rsidR="00FE2E6F" w:rsidRPr="00E72418">
        <w:rPr>
          <w:lang w:val="fr-BE"/>
        </w:rPr>
        <w:t>,</w:t>
      </w:r>
      <w:r w:rsidRPr="00E72418">
        <w:rPr>
          <w:lang w:val="fr-BE"/>
        </w:rPr>
        <w:t xml:space="preserve"> par les échanges tissés avec eux</w:t>
      </w:r>
      <w:r w:rsidR="00FE2E6F" w:rsidRPr="00E72418">
        <w:rPr>
          <w:lang w:val="fr-BE"/>
        </w:rPr>
        <w:t>,</w:t>
      </w:r>
      <w:r w:rsidRPr="00E72418">
        <w:rPr>
          <w:lang w:val="fr-BE"/>
        </w:rPr>
        <w:t xml:space="preserve"> de donner à mes recherches une perspective dont seul j’aurais été incapable.</w:t>
      </w:r>
      <w:r w:rsidR="00C152BF" w:rsidRPr="00E72418">
        <w:rPr>
          <w:lang w:val="fr-BE"/>
        </w:rPr>
        <w:t xml:space="preserve"> De la même manière, je remercie Monsieur le Juge Dominique Mougenot d’avoir eu la gentillesse de me donner son avis éclairé sur l’ébauche que je lui soumis</w:t>
      </w:r>
      <w:r w:rsidR="009B2CCE">
        <w:rPr>
          <w:lang w:val="fr-BE"/>
        </w:rPr>
        <w:t xml:space="preserve"> ainsi que Madame la Professeure Geneviève Schamps pour ses sages conseils</w:t>
      </w:r>
      <w:r w:rsidR="00C152BF" w:rsidRPr="00E72418">
        <w:rPr>
          <w:lang w:val="fr-BE"/>
        </w:rPr>
        <w:t>.</w:t>
      </w:r>
      <w:r w:rsidRPr="00E72418">
        <w:rPr>
          <w:lang w:val="fr-BE"/>
        </w:rPr>
        <w:t xml:space="preserve"> Aussi, </w:t>
      </w:r>
      <w:r w:rsidR="00B34CC8" w:rsidRPr="00E72418">
        <w:rPr>
          <w:lang w:val="fr-BE"/>
        </w:rPr>
        <w:t>indubitablement</w:t>
      </w:r>
      <w:r w:rsidRPr="00E72418">
        <w:rPr>
          <w:lang w:val="fr-BE"/>
        </w:rPr>
        <w:t xml:space="preserve">, les commentaires que voudront bien me faire </w:t>
      </w:r>
      <w:r w:rsidR="00ED5F73">
        <w:rPr>
          <w:lang w:val="fr-BE"/>
        </w:rPr>
        <w:t xml:space="preserve">Madame </w:t>
      </w:r>
      <w:r w:rsidR="0080588E">
        <w:rPr>
          <w:lang w:val="fr-BE"/>
        </w:rPr>
        <w:t xml:space="preserve">la Professeure </w:t>
      </w:r>
      <w:r w:rsidR="00ED5F73">
        <w:rPr>
          <w:lang w:val="fr-BE"/>
        </w:rPr>
        <w:t xml:space="preserve">Caroline Lequesne-Roth et </w:t>
      </w:r>
      <w:r w:rsidRPr="00E72418">
        <w:rPr>
          <w:lang w:val="fr-BE"/>
        </w:rPr>
        <w:t>Messieurs les Professeurs Patrick Wautelet et Bernard D</w:t>
      </w:r>
      <w:r w:rsidR="00ED5F73">
        <w:rPr>
          <w:lang w:val="fr-BE"/>
        </w:rPr>
        <w:t>ubuisson</w:t>
      </w:r>
      <w:r w:rsidR="007534B7">
        <w:rPr>
          <w:rFonts w:ascii="Times New Roman" w:hAnsi="Times New Roman" w:cs="Times New Roman"/>
        </w:rPr>
        <w:t xml:space="preserve"> </w:t>
      </w:r>
      <w:r w:rsidRPr="00E72418">
        <w:rPr>
          <w:lang w:val="fr-BE"/>
        </w:rPr>
        <w:t>sur le présent travail me permettront d’élargir davantage mes perspectives, ce dont je les remercie d’ores et déjà.</w:t>
      </w:r>
    </w:p>
    <w:p w14:paraId="08946977" w14:textId="77777777" w:rsidR="002F684D" w:rsidRPr="009B2CCE" w:rsidRDefault="002F684D" w:rsidP="002F684D">
      <w:pPr>
        <w:rPr>
          <w:sz w:val="4"/>
          <w:szCs w:val="4"/>
          <w:lang w:val="fr-BE"/>
        </w:rPr>
      </w:pPr>
    </w:p>
    <w:p w14:paraId="409EA444" w14:textId="2D749015" w:rsidR="002F684D" w:rsidRPr="00E72418" w:rsidRDefault="007F5AD3" w:rsidP="002F684D">
      <w:pPr>
        <w:rPr>
          <w:lang w:val="fr-BE"/>
        </w:rPr>
      </w:pPr>
      <w:r w:rsidRPr="00E72418">
        <w:rPr>
          <w:lang w:val="fr-BE"/>
        </w:rPr>
        <w:t xml:space="preserve">Nombre d’autres </w:t>
      </w:r>
      <w:r w:rsidR="002F684D" w:rsidRPr="00E72418">
        <w:rPr>
          <w:lang w:val="fr-BE"/>
        </w:rPr>
        <w:t xml:space="preserve">belles rencontres que je fis durant mon parcours doctoral intervinrent durant les différents voyages </w:t>
      </w:r>
      <w:r w:rsidR="00124DD0">
        <w:rPr>
          <w:lang w:val="fr-BE"/>
        </w:rPr>
        <w:t>qu’il permit. D’Ann Arbor à Aix-en-</w:t>
      </w:r>
      <w:r w:rsidR="002F684D" w:rsidRPr="00E72418">
        <w:rPr>
          <w:lang w:val="fr-BE"/>
        </w:rPr>
        <w:t>Provence, en passant par Montréal et Vienne, sans oublier un court séjour luxembourgeois virtuel, Mesdames les Professeures Rosalie J</w:t>
      </w:r>
      <w:r w:rsidR="009415D2" w:rsidRPr="00E72418">
        <w:rPr>
          <w:lang w:val="fr-BE"/>
        </w:rPr>
        <w:t>ukier et Hélè</w:t>
      </w:r>
      <w:r w:rsidR="002F684D" w:rsidRPr="00E72418">
        <w:rPr>
          <w:lang w:val="fr-BE"/>
        </w:rPr>
        <w:t xml:space="preserve">ne Ruiz Fabri et Messieurs les Professeurs John Pottow, Michael Waibel et Tiphaine Demaria furent pour moi de précieuses références avec qui éprouver l’une ou l’autre idées. Ils sont, pour beaucoup, dans les qualités que les lecteurs trouveraient </w:t>
      </w:r>
      <w:r w:rsidR="00FE2E6F" w:rsidRPr="00E72418">
        <w:rPr>
          <w:lang w:val="fr-BE"/>
        </w:rPr>
        <w:t>au</w:t>
      </w:r>
      <w:r w:rsidR="002F684D" w:rsidRPr="00E72418">
        <w:rPr>
          <w:lang w:val="fr-BE"/>
        </w:rPr>
        <w:t xml:space="preserve"> </w:t>
      </w:r>
      <w:r w:rsidR="00FE2E6F" w:rsidRPr="00E72418">
        <w:rPr>
          <w:lang w:val="fr-BE"/>
        </w:rPr>
        <w:t>manuscrit soumis</w:t>
      </w:r>
      <w:r w:rsidR="002F684D" w:rsidRPr="00E72418">
        <w:rPr>
          <w:lang w:val="fr-BE"/>
        </w:rPr>
        <w:t>.</w:t>
      </w:r>
    </w:p>
    <w:p w14:paraId="21109AB9" w14:textId="77777777" w:rsidR="002F684D" w:rsidRPr="009B2CCE" w:rsidRDefault="002F684D" w:rsidP="002F684D">
      <w:pPr>
        <w:rPr>
          <w:sz w:val="4"/>
          <w:szCs w:val="4"/>
          <w:lang w:val="fr-BE"/>
        </w:rPr>
      </w:pPr>
    </w:p>
    <w:p w14:paraId="150C72C4" w14:textId="75DF5E2B" w:rsidR="002F684D" w:rsidRPr="00E72418" w:rsidRDefault="002F684D" w:rsidP="002F684D">
      <w:pPr>
        <w:rPr>
          <w:lang w:val="fr-BE"/>
        </w:rPr>
      </w:pPr>
      <w:r w:rsidRPr="00E72418">
        <w:rPr>
          <w:lang w:val="fr-BE"/>
        </w:rPr>
        <w:t xml:space="preserve">Si certains pensent que l’herbe est plus verte ailleurs, il n’en est rien dans mon cas. En effet, les relations que j’ai pu tisser avec mes collègues de l’Université catholique de Louvain, </w:t>
      </w:r>
      <w:r w:rsidR="004D77C4" w:rsidRPr="00E72418">
        <w:rPr>
          <w:lang w:val="fr-BE"/>
        </w:rPr>
        <w:t>fû</w:t>
      </w:r>
      <w:r w:rsidRPr="00E72418">
        <w:rPr>
          <w:lang w:val="fr-BE"/>
        </w:rPr>
        <w:t xml:space="preserve">t-ce « au quatrième » de la Faculté de droit et de criminologie ou ailleurs, donnèrent à mon expérience doctorale le lustre qui la rendit si </w:t>
      </w:r>
      <w:r w:rsidR="00F73E9F" w:rsidRPr="00E72418">
        <w:rPr>
          <w:lang w:val="fr-BE"/>
        </w:rPr>
        <w:t>belle</w:t>
      </w:r>
      <w:r w:rsidRPr="00E72418">
        <w:rPr>
          <w:lang w:val="fr-BE"/>
        </w:rPr>
        <w:t xml:space="preserve">. </w:t>
      </w:r>
    </w:p>
    <w:p w14:paraId="199B8E97" w14:textId="77777777" w:rsidR="002F684D" w:rsidRPr="009B2CCE" w:rsidRDefault="002F684D" w:rsidP="002F684D">
      <w:pPr>
        <w:rPr>
          <w:sz w:val="4"/>
          <w:szCs w:val="4"/>
          <w:lang w:val="fr-BE"/>
        </w:rPr>
      </w:pPr>
    </w:p>
    <w:p w14:paraId="7FB9F1F8" w14:textId="0F3DB4C1" w:rsidR="002F684D" w:rsidRPr="00E72418" w:rsidRDefault="002F684D" w:rsidP="002F684D">
      <w:pPr>
        <w:rPr>
          <w:lang w:val="fr-BE"/>
        </w:rPr>
      </w:pPr>
      <w:r w:rsidRPr="00E72418">
        <w:rPr>
          <w:lang w:val="fr-BE"/>
        </w:rPr>
        <w:t>Aussi, c’est certain, je dois énormément à mes amies et amis qui, ici ou ailleurs, en le sachant ou non, me permirent de men</w:t>
      </w:r>
      <w:r w:rsidR="00F73E9F" w:rsidRPr="00E72418">
        <w:rPr>
          <w:lang w:val="fr-BE"/>
        </w:rPr>
        <w:t xml:space="preserve">er à bien ce projet. Pour leur présence et leurs </w:t>
      </w:r>
      <w:r w:rsidRPr="00E72418">
        <w:rPr>
          <w:lang w:val="fr-BE"/>
        </w:rPr>
        <w:t>encouragements, fussent-ils directs ou indirects, je les remercie. Dans la même veine, je voudrais encor</w:t>
      </w:r>
      <w:r w:rsidR="00F73E9F" w:rsidRPr="00E72418">
        <w:rPr>
          <w:lang w:val="fr-BE"/>
        </w:rPr>
        <w:t>e saisir l’occasion d’exprimer ma reconnaissance à</w:t>
      </w:r>
      <w:r w:rsidRPr="00E72418">
        <w:rPr>
          <w:lang w:val="fr-BE"/>
        </w:rPr>
        <w:t xml:space="preserve"> ma famille pour les expériences qu’elle me donne à vivre et qui, toutes, me poussent au dépassement. </w:t>
      </w:r>
    </w:p>
    <w:p w14:paraId="1B84C35D" w14:textId="77777777" w:rsidR="002F684D" w:rsidRPr="009B2CCE" w:rsidRDefault="002F684D" w:rsidP="002F684D">
      <w:pPr>
        <w:rPr>
          <w:sz w:val="4"/>
          <w:szCs w:val="4"/>
          <w:lang w:val="fr-BE"/>
        </w:rPr>
      </w:pPr>
    </w:p>
    <w:p w14:paraId="4F477B76" w14:textId="26B2B4A3" w:rsidR="002F684D" w:rsidRPr="00E72418" w:rsidRDefault="002F684D" w:rsidP="002F684D">
      <w:pPr>
        <w:rPr>
          <w:lang w:val="fr-BE"/>
        </w:rPr>
      </w:pPr>
      <w:r w:rsidRPr="00E72418">
        <w:rPr>
          <w:lang w:val="fr-BE"/>
        </w:rPr>
        <w:t>Finalement, et surtout, merci à vous, Sarah et Valentine</w:t>
      </w:r>
      <w:r w:rsidR="00B34CC8" w:rsidRPr="00E72418">
        <w:rPr>
          <w:lang w:val="fr-BE"/>
        </w:rPr>
        <w:t>,</w:t>
      </w:r>
      <w:r w:rsidRPr="00E72418">
        <w:rPr>
          <w:lang w:val="fr-BE"/>
        </w:rPr>
        <w:t xml:space="preserve"> de faire de ma vie une vie infiniment plus </w:t>
      </w:r>
      <w:r w:rsidR="00F73E9F" w:rsidRPr="00E72418">
        <w:rPr>
          <w:lang w:val="fr-BE"/>
        </w:rPr>
        <w:t>délicieuse</w:t>
      </w:r>
      <w:r w:rsidRPr="00E72418">
        <w:rPr>
          <w:lang w:val="fr-BE"/>
        </w:rPr>
        <w:t xml:space="preserve"> qu’elle ne le serait sans v</w:t>
      </w:r>
      <w:r w:rsidR="00B34CC8" w:rsidRPr="00E72418">
        <w:rPr>
          <w:lang w:val="fr-BE"/>
        </w:rPr>
        <w:t xml:space="preserve">otre présence </w:t>
      </w:r>
      <w:r w:rsidRPr="00E72418">
        <w:rPr>
          <w:lang w:val="fr-BE"/>
        </w:rPr>
        <w:t>à mes côtés.</w:t>
      </w:r>
    </w:p>
    <w:p w14:paraId="60F8B29B" w14:textId="7B0C08F8" w:rsidR="00B34CC8" w:rsidRDefault="00B34CC8">
      <w:pPr>
        <w:jc w:val="left"/>
        <w:rPr>
          <w:b/>
          <w:sz w:val="30"/>
          <w:szCs w:val="30"/>
        </w:rPr>
      </w:pPr>
      <w:r w:rsidRPr="00E72418">
        <w:rPr>
          <w:b/>
          <w:sz w:val="30"/>
          <w:szCs w:val="30"/>
        </w:rPr>
        <w:lastRenderedPageBreak/>
        <w:br w:type="page"/>
      </w:r>
    </w:p>
    <w:p w14:paraId="17C0FD9E" w14:textId="22A80DB3" w:rsidR="00527B10" w:rsidRDefault="00527B10" w:rsidP="00527B10">
      <w:pPr>
        <w:jc w:val="center"/>
        <w:rPr>
          <w:b/>
          <w:sz w:val="30"/>
          <w:szCs w:val="30"/>
        </w:rPr>
      </w:pPr>
      <w:r>
        <w:rPr>
          <w:b/>
          <w:sz w:val="30"/>
          <w:szCs w:val="30"/>
        </w:rPr>
        <w:lastRenderedPageBreak/>
        <w:t>Préface</w:t>
      </w:r>
    </w:p>
    <w:p w14:paraId="24225396" w14:textId="77777777" w:rsidR="00527B10" w:rsidRPr="00527B10" w:rsidRDefault="00527B10" w:rsidP="00527B10">
      <w:pPr>
        <w:jc w:val="center"/>
        <w:rPr>
          <w:szCs w:val="24"/>
        </w:rPr>
      </w:pPr>
    </w:p>
    <w:p w14:paraId="40FBAB6F" w14:textId="0AC70DFD" w:rsidR="00527B10" w:rsidRDefault="00527B10" w:rsidP="00527B10">
      <w:pPr>
        <w:jc w:val="center"/>
        <w:rPr>
          <w:smallCaps/>
          <w:szCs w:val="24"/>
        </w:rPr>
      </w:pPr>
      <w:r w:rsidRPr="00527B10">
        <w:rPr>
          <w:szCs w:val="24"/>
        </w:rPr>
        <w:t xml:space="preserve">par Prof. dr. Jean-François </w:t>
      </w:r>
      <w:r w:rsidRPr="00527B10">
        <w:rPr>
          <w:smallCaps/>
          <w:szCs w:val="24"/>
        </w:rPr>
        <w:t>van Drooghenbroeck</w:t>
      </w:r>
    </w:p>
    <w:p w14:paraId="11704B00" w14:textId="1BF9F94C" w:rsidR="00527B10" w:rsidRDefault="00527B10" w:rsidP="00527B10">
      <w:pPr>
        <w:jc w:val="center"/>
        <w:rPr>
          <w:smallCaps/>
          <w:szCs w:val="24"/>
        </w:rPr>
      </w:pPr>
    </w:p>
    <w:p w14:paraId="5FDD9839" w14:textId="1EE194BF" w:rsidR="00527B10" w:rsidRPr="00527B10" w:rsidRDefault="00527B10" w:rsidP="00527B10">
      <w:pPr>
        <w:rPr>
          <w:i/>
        </w:rPr>
      </w:pPr>
      <w:r w:rsidRPr="00527B10">
        <w:rPr>
          <w:i/>
          <w:highlight w:val="yellow"/>
        </w:rPr>
        <w:t>À faire parvenir à l’éditeur lors des épreuves.</w:t>
      </w:r>
    </w:p>
    <w:p w14:paraId="040EA9F3" w14:textId="5F0867D3" w:rsidR="00527B10" w:rsidRDefault="00527B10">
      <w:pPr>
        <w:jc w:val="left"/>
        <w:rPr>
          <w:b/>
          <w:sz w:val="30"/>
          <w:szCs w:val="30"/>
        </w:rPr>
      </w:pPr>
      <w:r>
        <w:rPr>
          <w:b/>
          <w:sz w:val="30"/>
          <w:szCs w:val="30"/>
        </w:rPr>
        <w:br w:type="page"/>
      </w:r>
    </w:p>
    <w:p w14:paraId="6083F4E0" w14:textId="5F0867D3" w:rsidR="00527B10" w:rsidRDefault="00527B10">
      <w:pPr>
        <w:jc w:val="left"/>
        <w:rPr>
          <w:b/>
          <w:sz w:val="30"/>
          <w:szCs w:val="30"/>
        </w:rPr>
      </w:pPr>
      <w:r>
        <w:rPr>
          <w:b/>
          <w:sz w:val="30"/>
          <w:szCs w:val="30"/>
        </w:rPr>
        <w:lastRenderedPageBreak/>
        <w:br w:type="page"/>
      </w:r>
    </w:p>
    <w:p w14:paraId="09B3DE0A" w14:textId="58926A8E" w:rsidR="005E2676" w:rsidRPr="00E72418" w:rsidRDefault="00067C09" w:rsidP="00067C09">
      <w:pPr>
        <w:jc w:val="center"/>
        <w:rPr>
          <w:b/>
          <w:sz w:val="30"/>
          <w:szCs w:val="30"/>
        </w:rPr>
      </w:pPr>
      <w:r w:rsidRPr="00E72418">
        <w:rPr>
          <w:b/>
          <w:sz w:val="30"/>
          <w:szCs w:val="30"/>
        </w:rPr>
        <w:lastRenderedPageBreak/>
        <w:t>Liste des principales abréviations</w:t>
      </w:r>
    </w:p>
    <w:p w14:paraId="7821BB60" w14:textId="0DABD9BB" w:rsidR="000C3A9D" w:rsidRPr="00E72418" w:rsidRDefault="000C3A9D" w:rsidP="00067C09">
      <w:pPr>
        <w:jc w:val="center"/>
        <w:rPr>
          <w:szCs w:val="24"/>
        </w:rPr>
      </w:pPr>
    </w:p>
    <w:tbl>
      <w:tblPr>
        <w:tblStyle w:val="Grilledutableau"/>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6662"/>
      </w:tblGrid>
      <w:tr w:rsidR="000C3A9D" w:rsidRPr="00E72418" w14:paraId="056AAAA8" w14:textId="77777777" w:rsidTr="002D118B">
        <w:tc>
          <w:tcPr>
            <w:tcW w:w="3686" w:type="dxa"/>
          </w:tcPr>
          <w:p w14:paraId="5CDF6D8F"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Am. Econ. Rev.</w:t>
            </w:r>
          </w:p>
          <w:p w14:paraId="3D1D8DE7" w14:textId="6BD170C0"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1D9A3B8"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American Economic Review (the)</w:t>
            </w:r>
          </w:p>
        </w:tc>
      </w:tr>
      <w:tr w:rsidR="000C3A9D" w:rsidRPr="00E72418" w14:paraId="111948E1" w14:textId="77777777" w:rsidTr="002D118B">
        <w:tc>
          <w:tcPr>
            <w:tcW w:w="3686" w:type="dxa"/>
          </w:tcPr>
          <w:p w14:paraId="5EBB2815"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A.J.I.L.</w:t>
            </w:r>
          </w:p>
          <w:p w14:paraId="68219637" w14:textId="09B0CD28"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B8CBC1B"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American Journal of International Law (the)</w:t>
            </w:r>
          </w:p>
        </w:tc>
      </w:tr>
      <w:tr w:rsidR="000C3A9D" w:rsidRPr="00E72418" w14:paraId="7AF66C96" w14:textId="77777777" w:rsidTr="002D118B">
        <w:tc>
          <w:tcPr>
            <w:tcW w:w="3686" w:type="dxa"/>
          </w:tcPr>
          <w:p w14:paraId="488C1337"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A.F.D.I.</w:t>
            </w:r>
          </w:p>
          <w:p w14:paraId="120D96F7" w14:textId="50758C16"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2E653030" w14:textId="77777777" w:rsidR="000C3A9D" w:rsidRPr="00E72418" w:rsidRDefault="000C3A9D" w:rsidP="000C3A9D">
            <w:pPr>
              <w:autoSpaceDE w:val="0"/>
              <w:autoSpaceDN w:val="0"/>
              <w:adjustRightInd w:val="0"/>
              <w:rPr>
                <w:rFonts w:ascii="Times New Roman" w:hAnsi="Times New Roman" w:cs="Times New Roman"/>
                <w:i/>
                <w:sz w:val="20"/>
                <w:szCs w:val="20"/>
                <w:lang w:val="fr-BE"/>
              </w:rPr>
            </w:pPr>
            <w:r w:rsidRPr="00E72418">
              <w:rPr>
                <w:rStyle w:val="Accentuation"/>
                <w:rFonts w:ascii="Times New Roman" w:hAnsi="Times New Roman" w:cs="Times New Roman"/>
                <w:i w:val="0"/>
                <w:sz w:val="20"/>
                <w:szCs w:val="20"/>
                <w:shd w:val="clear" w:color="auto" w:fill="FFFFFF"/>
              </w:rPr>
              <w:t>Annuaire français de droit international</w:t>
            </w:r>
          </w:p>
        </w:tc>
      </w:tr>
      <w:tr w:rsidR="000C3A9D" w:rsidRPr="00E72418" w14:paraId="366A73FD" w14:textId="77777777" w:rsidTr="002D118B">
        <w:tc>
          <w:tcPr>
            <w:tcW w:w="3686" w:type="dxa"/>
          </w:tcPr>
          <w:p w14:paraId="210C3241"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B.F.L.R.</w:t>
            </w:r>
          </w:p>
          <w:p w14:paraId="5AB0BDD0" w14:textId="051C12DC"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96EB033" w14:textId="77777777" w:rsidR="000C3A9D" w:rsidRPr="00E72418" w:rsidRDefault="000C3A9D" w:rsidP="000C3A9D">
            <w:pPr>
              <w:autoSpaceDE w:val="0"/>
              <w:autoSpaceDN w:val="0"/>
              <w:adjustRightInd w:val="0"/>
              <w:rPr>
                <w:rStyle w:val="Accentuation"/>
                <w:rFonts w:ascii="Times New Roman" w:hAnsi="Times New Roman" w:cs="Times New Roman"/>
                <w:sz w:val="20"/>
                <w:szCs w:val="20"/>
                <w:shd w:val="clear" w:color="auto" w:fill="FFFFFF"/>
              </w:rPr>
            </w:pPr>
            <w:r w:rsidRPr="00E72418">
              <w:rPr>
                <w:rFonts w:ascii="Times New Roman" w:hAnsi="Times New Roman" w:cs="Times New Roman"/>
                <w:bCs/>
                <w:sz w:val="20"/>
                <w:szCs w:val="20"/>
                <w:lang w:val="en-US"/>
              </w:rPr>
              <w:t>Banking and Finance Law Review</w:t>
            </w:r>
          </w:p>
        </w:tc>
      </w:tr>
      <w:tr w:rsidR="000C3A9D" w:rsidRPr="00E72418" w14:paraId="635052A4" w14:textId="77777777" w:rsidTr="002D118B">
        <w:tc>
          <w:tcPr>
            <w:tcW w:w="3686" w:type="dxa"/>
          </w:tcPr>
          <w:p w14:paraId="03A02C5E" w14:textId="77777777" w:rsidR="000C3A9D" w:rsidRPr="00E72418" w:rsidRDefault="000C3A9D" w:rsidP="002D118B">
            <w:pPr>
              <w:jc w:val="left"/>
              <w:rPr>
                <w:rFonts w:ascii="Times New Roman" w:hAnsi="Times New Roman" w:cs="Times New Roman"/>
                <w:sz w:val="20"/>
                <w:szCs w:val="20"/>
                <w:shd w:val="clear" w:color="auto" w:fill="FFFFFF"/>
              </w:rPr>
            </w:pPr>
            <w:r w:rsidRPr="00E72418">
              <w:rPr>
                <w:rFonts w:ascii="Times New Roman" w:hAnsi="Times New Roman" w:cs="Times New Roman"/>
                <w:sz w:val="20"/>
                <w:szCs w:val="20"/>
                <w:shd w:val="clear" w:color="auto" w:fill="FFFFFF"/>
              </w:rPr>
              <w:t>Bank. Financ. Serv. Policy Rep.</w:t>
            </w:r>
          </w:p>
          <w:p w14:paraId="2CF0741F" w14:textId="5EE7F49E" w:rsidR="002D118B" w:rsidRPr="00E72418" w:rsidRDefault="002D118B" w:rsidP="002D118B">
            <w:pPr>
              <w:jc w:val="left"/>
              <w:rPr>
                <w:rFonts w:ascii="Times New Roman" w:hAnsi="Times New Roman" w:cs="Times New Roman"/>
                <w:sz w:val="4"/>
                <w:szCs w:val="4"/>
                <w:lang w:val="fr-BE"/>
              </w:rPr>
            </w:pPr>
          </w:p>
        </w:tc>
        <w:tc>
          <w:tcPr>
            <w:tcW w:w="6662" w:type="dxa"/>
          </w:tcPr>
          <w:p w14:paraId="1FA3A07B" w14:textId="77777777" w:rsidR="000C3A9D" w:rsidRPr="00E72418" w:rsidRDefault="000C3A9D" w:rsidP="000C3A9D">
            <w:pPr>
              <w:autoSpaceDE w:val="0"/>
              <w:autoSpaceDN w:val="0"/>
              <w:adjustRightInd w:val="0"/>
              <w:rPr>
                <w:rStyle w:val="Accentuation"/>
                <w:rFonts w:ascii="Times New Roman" w:hAnsi="Times New Roman" w:cs="Times New Roman"/>
                <w:sz w:val="20"/>
                <w:szCs w:val="20"/>
                <w:shd w:val="clear" w:color="auto" w:fill="FFFFFF"/>
              </w:rPr>
            </w:pPr>
            <w:r w:rsidRPr="00E72418">
              <w:rPr>
                <w:rFonts w:ascii="Times New Roman" w:hAnsi="Times New Roman" w:cs="Times New Roman"/>
                <w:sz w:val="20"/>
                <w:szCs w:val="20"/>
                <w:lang w:val="en-US"/>
              </w:rPr>
              <w:t>Banking &amp; Financial Services Policy Report</w:t>
            </w:r>
          </w:p>
        </w:tc>
      </w:tr>
      <w:tr w:rsidR="000C3A9D" w:rsidRPr="00E72418" w14:paraId="43CE7B02" w14:textId="77777777" w:rsidTr="002D118B">
        <w:tc>
          <w:tcPr>
            <w:tcW w:w="3686" w:type="dxa"/>
          </w:tcPr>
          <w:p w14:paraId="03640015" w14:textId="77777777" w:rsidR="000C3A9D" w:rsidRPr="00E72418" w:rsidRDefault="000C3A9D" w:rsidP="002D118B">
            <w:pPr>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Berkeley Bus. Law J.</w:t>
            </w:r>
          </w:p>
          <w:p w14:paraId="1B7F541E" w14:textId="2AEDE481" w:rsidR="002D118B" w:rsidRPr="00E72418" w:rsidRDefault="002D118B" w:rsidP="002D118B">
            <w:pPr>
              <w:jc w:val="left"/>
              <w:rPr>
                <w:rFonts w:ascii="Times New Roman" w:hAnsi="Times New Roman" w:cs="Times New Roman"/>
                <w:sz w:val="4"/>
                <w:szCs w:val="4"/>
                <w:lang w:val="fr-BE"/>
              </w:rPr>
            </w:pPr>
          </w:p>
        </w:tc>
        <w:tc>
          <w:tcPr>
            <w:tcW w:w="6662" w:type="dxa"/>
          </w:tcPr>
          <w:p w14:paraId="7ECAC402" w14:textId="77777777" w:rsidR="000C3A9D" w:rsidRPr="00E72418" w:rsidRDefault="000C3A9D" w:rsidP="000C3A9D">
            <w:pPr>
              <w:autoSpaceDE w:val="0"/>
              <w:autoSpaceDN w:val="0"/>
              <w:adjustRightInd w:val="0"/>
              <w:rPr>
                <w:rStyle w:val="Accentuation"/>
                <w:rFonts w:ascii="Times New Roman" w:hAnsi="Times New Roman" w:cs="Times New Roman"/>
                <w:sz w:val="20"/>
                <w:szCs w:val="20"/>
                <w:shd w:val="clear" w:color="auto" w:fill="FFFFFF"/>
              </w:rPr>
            </w:pPr>
            <w:r w:rsidRPr="00E72418">
              <w:rPr>
                <w:rFonts w:ascii="Times New Roman" w:hAnsi="Times New Roman" w:cs="Times New Roman"/>
                <w:sz w:val="20"/>
                <w:szCs w:val="20"/>
                <w:lang w:val="en-US"/>
              </w:rPr>
              <w:t>Berkeley Business Law Journal</w:t>
            </w:r>
          </w:p>
        </w:tc>
      </w:tr>
      <w:tr w:rsidR="000C3A9D" w:rsidRPr="00E72418" w14:paraId="658CF03A" w14:textId="77777777" w:rsidTr="002D118B">
        <w:tc>
          <w:tcPr>
            <w:tcW w:w="3686" w:type="dxa"/>
          </w:tcPr>
          <w:p w14:paraId="651B1A87" w14:textId="77777777" w:rsidR="000C3A9D" w:rsidRPr="00E72418" w:rsidRDefault="000C3A9D" w:rsidP="002D118B">
            <w:pPr>
              <w:autoSpaceDE w:val="0"/>
              <w:autoSpaceDN w:val="0"/>
              <w:adjustRightInd w:val="0"/>
              <w:jc w:val="left"/>
              <w:rPr>
                <w:rFonts w:ascii="Times New Roman" w:hAnsi="Times New Roman" w:cs="Times New Roman"/>
                <w:sz w:val="20"/>
                <w:szCs w:val="20"/>
              </w:rPr>
            </w:pPr>
            <w:r w:rsidRPr="00E72418">
              <w:rPr>
                <w:rFonts w:ascii="Times New Roman" w:hAnsi="Times New Roman" w:cs="Times New Roman"/>
                <w:sz w:val="20"/>
                <w:szCs w:val="20"/>
              </w:rPr>
              <w:t>Boston Coll. Law Rev.</w:t>
            </w:r>
          </w:p>
          <w:p w14:paraId="6351E659" w14:textId="7064C65F"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57FED061" w14:textId="77777777" w:rsidR="000C3A9D" w:rsidRPr="00E72418" w:rsidRDefault="000C3A9D" w:rsidP="000C3A9D">
            <w:pPr>
              <w:autoSpaceDE w:val="0"/>
              <w:autoSpaceDN w:val="0"/>
              <w:adjustRightInd w:val="0"/>
              <w:rPr>
                <w:rStyle w:val="Accentuation"/>
                <w:rFonts w:ascii="Times New Roman" w:hAnsi="Times New Roman" w:cs="Times New Roman"/>
                <w:sz w:val="20"/>
                <w:szCs w:val="20"/>
                <w:shd w:val="clear" w:color="auto" w:fill="FFFFFF"/>
              </w:rPr>
            </w:pPr>
            <w:r w:rsidRPr="00E72418">
              <w:rPr>
                <w:rFonts w:ascii="Times New Roman" w:hAnsi="Times New Roman" w:cs="Times New Roman"/>
                <w:sz w:val="20"/>
                <w:szCs w:val="20"/>
                <w:lang w:val="en-US"/>
              </w:rPr>
              <w:t>Boston College Law Review</w:t>
            </w:r>
          </w:p>
        </w:tc>
      </w:tr>
      <w:tr w:rsidR="000C3A9D" w:rsidRPr="00E72418" w14:paraId="3BFDB35C" w14:textId="77777777" w:rsidTr="002D118B">
        <w:tc>
          <w:tcPr>
            <w:tcW w:w="3686" w:type="dxa"/>
          </w:tcPr>
          <w:p w14:paraId="26EDFF70"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Boston Univ. Int. Law J.</w:t>
            </w:r>
          </w:p>
          <w:p w14:paraId="6AE8DCD9" w14:textId="0C86B582"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026D73BC"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Boston University International Law Journal</w:t>
            </w:r>
          </w:p>
        </w:tc>
      </w:tr>
      <w:tr w:rsidR="000C3A9D" w:rsidRPr="00E72418" w14:paraId="172547D5" w14:textId="77777777" w:rsidTr="002D118B">
        <w:tc>
          <w:tcPr>
            <w:tcW w:w="3686" w:type="dxa"/>
          </w:tcPr>
          <w:p w14:paraId="4E8B810F"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Brook. Law Rev.</w:t>
            </w:r>
          </w:p>
          <w:p w14:paraId="0ED6B5E1" w14:textId="65ECF54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5E0C40F8"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Brooklyn Law Review</w:t>
            </w:r>
          </w:p>
        </w:tc>
      </w:tr>
      <w:tr w:rsidR="000C3A9D" w:rsidRPr="00E72418" w14:paraId="447791D0" w14:textId="77777777" w:rsidTr="002D118B">
        <w:tc>
          <w:tcPr>
            <w:tcW w:w="3686" w:type="dxa"/>
          </w:tcPr>
          <w:p w14:paraId="34C89AAB"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Bus. Politics</w:t>
            </w:r>
          </w:p>
          <w:p w14:paraId="0C4172C6" w14:textId="7358E7FC"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5DCD8D7" w14:textId="77777777" w:rsidR="000C3A9D" w:rsidRPr="00E72418" w:rsidRDefault="000C3A9D" w:rsidP="000C3A9D">
            <w:pPr>
              <w:autoSpaceDE w:val="0"/>
              <w:autoSpaceDN w:val="0"/>
              <w:adjustRightInd w:val="0"/>
              <w:rPr>
                <w:rStyle w:val="Accentuation"/>
                <w:rFonts w:ascii="Times New Roman" w:hAnsi="Times New Roman" w:cs="Times New Roman"/>
                <w:sz w:val="20"/>
                <w:szCs w:val="20"/>
                <w:shd w:val="clear" w:color="auto" w:fill="FFFFFF"/>
              </w:rPr>
            </w:pPr>
            <w:r w:rsidRPr="00E72418">
              <w:rPr>
                <w:rFonts w:ascii="Times New Roman" w:hAnsi="Times New Roman" w:cs="Times New Roman"/>
                <w:sz w:val="20"/>
                <w:szCs w:val="20"/>
              </w:rPr>
              <w:t>Business and Politics</w:t>
            </w:r>
          </w:p>
        </w:tc>
      </w:tr>
      <w:tr w:rsidR="000C3A9D" w:rsidRPr="00E72418" w14:paraId="750AE29D" w14:textId="77777777" w:rsidTr="002D118B">
        <w:tc>
          <w:tcPr>
            <w:tcW w:w="3686" w:type="dxa"/>
          </w:tcPr>
          <w:p w14:paraId="66950F56" w14:textId="5424941F" w:rsidR="000C3A9D" w:rsidRPr="00E72418" w:rsidRDefault="00CC026A"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Bus. Law</w:t>
            </w:r>
            <w:r w:rsidR="000C3A9D" w:rsidRPr="00E72418">
              <w:rPr>
                <w:rFonts w:ascii="Times New Roman" w:hAnsi="Times New Roman" w:cs="Times New Roman"/>
                <w:sz w:val="20"/>
                <w:szCs w:val="20"/>
                <w:lang w:val="fr-BE"/>
              </w:rPr>
              <w:t xml:space="preserve"> Brief</w:t>
            </w:r>
          </w:p>
          <w:p w14:paraId="3A21AD02" w14:textId="040C4A8F"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8F6F467"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Business Law Brief</w:t>
            </w:r>
          </w:p>
        </w:tc>
      </w:tr>
      <w:tr w:rsidR="000C3A9D" w:rsidRPr="00E72418" w14:paraId="79D0F118" w14:textId="77777777" w:rsidTr="002D118B">
        <w:tc>
          <w:tcPr>
            <w:tcW w:w="3686" w:type="dxa"/>
          </w:tcPr>
          <w:p w14:paraId="20B660ED"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Bus. Law Int.</w:t>
            </w:r>
          </w:p>
          <w:p w14:paraId="3DA4A103" w14:textId="36B6DFD9"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FC1D338" w14:textId="77777777" w:rsidR="000C3A9D" w:rsidRPr="00E72418" w:rsidRDefault="000C3A9D" w:rsidP="000C3A9D">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Business Law International</w:t>
            </w:r>
          </w:p>
        </w:tc>
      </w:tr>
      <w:tr w:rsidR="000C3A9D" w:rsidRPr="00E72418" w14:paraId="6D00F168" w14:textId="77777777" w:rsidTr="002D118B">
        <w:tc>
          <w:tcPr>
            <w:tcW w:w="3686" w:type="dxa"/>
          </w:tcPr>
          <w:p w14:paraId="6D80177D"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Bus. Lawyer</w:t>
            </w:r>
          </w:p>
          <w:p w14:paraId="5FBE1955" w14:textId="3EE4E05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1ADEB636"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Business Lawyer (the)</w:t>
            </w:r>
          </w:p>
        </w:tc>
      </w:tr>
      <w:tr w:rsidR="000C3A9D" w:rsidRPr="00E72418" w14:paraId="5A2E2F72" w14:textId="77777777" w:rsidTr="002D118B">
        <w:tc>
          <w:tcPr>
            <w:tcW w:w="3686" w:type="dxa"/>
          </w:tcPr>
          <w:p w14:paraId="00187A36" w14:textId="2CD7B300" w:rsidR="000C3A9D" w:rsidRPr="00E72418" w:rsidRDefault="007F5AD3"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B.J.I.B.&amp;</w:t>
            </w:r>
            <w:r w:rsidR="000C3A9D" w:rsidRPr="00E72418">
              <w:rPr>
                <w:rFonts w:ascii="Times New Roman" w:hAnsi="Times New Roman" w:cs="Times New Roman"/>
                <w:sz w:val="20"/>
                <w:szCs w:val="20"/>
                <w:lang w:val="fr-BE"/>
              </w:rPr>
              <w:t>F.L.</w:t>
            </w:r>
          </w:p>
          <w:p w14:paraId="583A2109" w14:textId="47D63768"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91232A8"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Butterworths Journal of International Banking and Financial Law</w:t>
            </w:r>
          </w:p>
        </w:tc>
      </w:tr>
      <w:tr w:rsidR="000C3A9D" w:rsidRPr="00E72418" w14:paraId="2C65741B" w14:textId="77777777" w:rsidTr="002D118B">
        <w:tc>
          <w:tcPr>
            <w:tcW w:w="3686" w:type="dxa"/>
          </w:tcPr>
          <w:p w14:paraId="4D669050"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C.D.E.</w:t>
            </w:r>
          </w:p>
          <w:p w14:paraId="38DF0F24" w14:textId="6524BCA9"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054B30A"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Cahiers de Droit de l’Entreprise</w:t>
            </w:r>
          </w:p>
        </w:tc>
      </w:tr>
      <w:tr w:rsidR="000C3A9D" w:rsidRPr="00E72418" w14:paraId="775BBB16" w14:textId="77777777" w:rsidTr="002D118B">
        <w:tc>
          <w:tcPr>
            <w:tcW w:w="3686" w:type="dxa"/>
          </w:tcPr>
          <w:p w14:paraId="148372C4"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Calif. Law Rev.</w:t>
            </w:r>
          </w:p>
          <w:p w14:paraId="4B23F1BF" w14:textId="05F7F520"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CFE003B"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GB"/>
              </w:rPr>
              <w:t>California Law Review</w:t>
            </w:r>
          </w:p>
        </w:tc>
      </w:tr>
      <w:tr w:rsidR="000C3A9D" w:rsidRPr="00E72418" w14:paraId="62384C66" w14:textId="77777777" w:rsidTr="002D118B">
        <w:tc>
          <w:tcPr>
            <w:tcW w:w="3686" w:type="dxa"/>
          </w:tcPr>
          <w:p w14:paraId="2C134B37"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C.M.L.J.</w:t>
            </w:r>
          </w:p>
          <w:p w14:paraId="15252B2A" w14:textId="16D60890"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DF59A96"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Capital Markets Law Journal</w:t>
            </w:r>
          </w:p>
        </w:tc>
      </w:tr>
      <w:tr w:rsidR="000C3A9D" w:rsidRPr="00E72418" w14:paraId="376D63AF" w14:textId="77777777" w:rsidTr="002D118B">
        <w:tc>
          <w:tcPr>
            <w:tcW w:w="3686" w:type="dxa"/>
          </w:tcPr>
          <w:p w14:paraId="1AE795EA"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Cardozo J. Conflict Resol.</w:t>
            </w:r>
          </w:p>
          <w:p w14:paraId="24D7D214" w14:textId="3BD2A3E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06A307C2"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Cardozo Journal of Conflict Resolution</w:t>
            </w:r>
          </w:p>
        </w:tc>
      </w:tr>
      <w:tr w:rsidR="000C3A9D" w:rsidRPr="00E72418" w14:paraId="3430C322" w14:textId="77777777" w:rsidTr="002D118B">
        <w:tc>
          <w:tcPr>
            <w:tcW w:w="3686" w:type="dxa"/>
          </w:tcPr>
          <w:p w14:paraId="71FE9676"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Case West Reserve J. Int. Law</w:t>
            </w:r>
          </w:p>
          <w:p w14:paraId="7A9611FA" w14:textId="78911C7B"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A3CA91E"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Case Western Reserve Journal of International Law</w:t>
            </w:r>
          </w:p>
        </w:tc>
      </w:tr>
      <w:tr w:rsidR="000C3A9D" w:rsidRPr="00E72418" w14:paraId="2BC62AD3" w14:textId="77777777" w:rsidTr="002D118B">
        <w:tc>
          <w:tcPr>
            <w:tcW w:w="3686" w:type="dxa"/>
          </w:tcPr>
          <w:p w14:paraId="2AADCBDD"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C.K.S.</w:t>
            </w:r>
          </w:p>
          <w:p w14:paraId="03D2D392" w14:textId="2748B0A7"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A0B3A3E"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Challenges of the Knowledge Society</w:t>
            </w:r>
          </w:p>
        </w:tc>
      </w:tr>
      <w:tr w:rsidR="000C3A9D" w:rsidRPr="00E72418" w14:paraId="3A43B444" w14:textId="77777777" w:rsidTr="002D118B">
        <w:tc>
          <w:tcPr>
            <w:tcW w:w="3686" w:type="dxa"/>
          </w:tcPr>
          <w:p w14:paraId="75B14563"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Chic. J. Int. Law</w:t>
            </w:r>
          </w:p>
          <w:p w14:paraId="6C65B35F" w14:textId="440101D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149F31BC"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Chicago Journal of International Law</w:t>
            </w:r>
          </w:p>
        </w:tc>
      </w:tr>
      <w:tr w:rsidR="000C3A9D" w:rsidRPr="00E72418" w14:paraId="517B9FBE" w14:textId="77777777" w:rsidTr="002D118B">
        <w:tc>
          <w:tcPr>
            <w:tcW w:w="3686" w:type="dxa"/>
          </w:tcPr>
          <w:p w14:paraId="4252B154"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Chic.-Kent Law Rev.</w:t>
            </w:r>
          </w:p>
          <w:p w14:paraId="52676CAB" w14:textId="6A61BB13"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4C0BF66"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Chicago-Kent Law Review</w:t>
            </w:r>
          </w:p>
        </w:tc>
      </w:tr>
      <w:tr w:rsidR="000C3A9D" w:rsidRPr="00E72418" w14:paraId="77C8D706" w14:textId="77777777" w:rsidTr="002D118B">
        <w:tc>
          <w:tcPr>
            <w:tcW w:w="3686" w:type="dxa"/>
          </w:tcPr>
          <w:p w14:paraId="396BB30B"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Chinese JIL</w:t>
            </w:r>
          </w:p>
          <w:p w14:paraId="0EAC2740" w14:textId="2F49B32E"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7D6A72F3"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Chinese Journal of International Law</w:t>
            </w:r>
          </w:p>
        </w:tc>
      </w:tr>
      <w:tr w:rsidR="000C3A9D" w:rsidRPr="00E72418" w14:paraId="56E66ABB" w14:textId="77777777" w:rsidTr="002D118B">
        <w:tc>
          <w:tcPr>
            <w:tcW w:w="3686" w:type="dxa"/>
          </w:tcPr>
          <w:p w14:paraId="14EF0B33" w14:textId="50809C60" w:rsidR="000C3A9D" w:rsidRPr="00E72418" w:rsidRDefault="00CC026A"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Colum. Bus. Law</w:t>
            </w:r>
            <w:r w:rsidR="000C3A9D" w:rsidRPr="00E72418">
              <w:rPr>
                <w:rFonts w:ascii="Times New Roman" w:hAnsi="Times New Roman" w:cs="Times New Roman"/>
                <w:sz w:val="20"/>
                <w:szCs w:val="20"/>
                <w:lang w:val="fr-BE"/>
              </w:rPr>
              <w:t xml:space="preserve"> Rev.</w:t>
            </w:r>
          </w:p>
          <w:p w14:paraId="6EEE0008" w14:textId="36E89D80"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B8420AD"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Columbia Business Law Review</w:t>
            </w:r>
          </w:p>
        </w:tc>
      </w:tr>
      <w:tr w:rsidR="000C3A9D" w:rsidRPr="00E72418" w14:paraId="481F6B8E" w14:textId="77777777" w:rsidTr="002D118B">
        <w:tc>
          <w:tcPr>
            <w:tcW w:w="3686" w:type="dxa"/>
          </w:tcPr>
          <w:p w14:paraId="27581AFC" w14:textId="721E6DB4"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 xml:space="preserve">Contemp. Leg. Econ. </w:t>
            </w:r>
            <w:r w:rsidR="002D118B" w:rsidRPr="00E72418">
              <w:rPr>
                <w:rFonts w:ascii="Times New Roman" w:hAnsi="Times New Roman" w:cs="Times New Roman"/>
                <w:sz w:val="20"/>
                <w:szCs w:val="20"/>
                <w:lang w:val="fr-BE"/>
              </w:rPr>
              <w:t>I</w:t>
            </w:r>
            <w:r w:rsidRPr="00E72418">
              <w:rPr>
                <w:rFonts w:ascii="Times New Roman" w:hAnsi="Times New Roman" w:cs="Times New Roman"/>
                <w:sz w:val="20"/>
                <w:szCs w:val="20"/>
                <w:lang w:val="fr-BE"/>
              </w:rPr>
              <w:t>ssues</w:t>
            </w:r>
          </w:p>
          <w:p w14:paraId="59AC6276" w14:textId="154586FB"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54A22A2"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Contemporary Legal and Economic Issues</w:t>
            </w:r>
          </w:p>
        </w:tc>
      </w:tr>
      <w:tr w:rsidR="000C3A9D" w:rsidRPr="00E72418" w14:paraId="2850A02D" w14:textId="77777777" w:rsidTr="002D118B">
        <w:tc>
          <w:tcPr>
            <w:tcW w:w="3686" w:type="dxa"/>
          </w:tcPr>
          <w:p w14:paraId="5B523473"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Disp. Resol. Int.</w:t>
            </w:r>
          </w:p>
          <w:p w14:paraId="786E0418" w14:textId="08E1D918"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2FA000EF"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Dispute Resolution International</w:t>
            </w:r>
          </w:p>
        </w:tc>
      </w:tr>
      <w:tr w:rsidR="000C3A9D" w:rsidRPr="00E72418" w14:paraId="79778488" w14:textId="77777777" w:rsidTr="002D118B">
        <w:tc>
          <w:tcPr>
            <w:tcW w:w="3686" w:type="dxa"/>
          </w:tcPr>
          <w:p w14:paraId="491A498D"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Dr. banc. fin.</w:t>
            </w:r>
          </w:p>
          <w:p w14:paraId="381D9F89" w14:textId="0CE505C0"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37E25A8"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Droit bancaire et financier</w:t>
            </w:r>
          </w:p>
        </w:tc>
      </w:tr>
      <w:tr w:rsidR="000C3A9D" w:rsidRPr="00E72418" w14:paraId="79599D2A" w14:textId="77777777" w:rsidTr="002D118B">
        <w:tc>
          <w:tcPr>
            <w:tcW w:w="3686" w:type="dxa"/>
          </w:tcPr>
          <w:p w14:paraId="7D181A0B"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D.F.E.</w:t>
            </w:r>
          </w:p>
          <w:p w14:paraId="792441D3" w14:textId="466DCB2B"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7EFE358F" w14:textId="14C1DCCE" w:rsidR="000C3A9D" w:rsidRPr="00E72418" w:rsidRDefault="00F177C1" w:rsidP="000C3A9D">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rPr>
              <w:t>Droit du Financement de l’É</w:t>
            </w:r>
            <w:r w:rsidR="000C3A9D" w:rsidRPr="00E72418">
              <w:rPr>
                <w:rFonts w:ascii="Times New Roman" w:hAnsi="Times New Roman" w:cs="Times New Roman"/>
                <w:sz w:val="20"/>
                <w:szCs w:val="20"/>
              </w:rPr>
              <w:t>conomie</w:t>
            </w:r>
          </w:p>
        </w:tc>
      </w:tr>
      <w:tr w:rsidR="000C3A9D" w:rsidRPr="00E72418" w14:paraId="4DA73889" w14:textId="77777777" w:rsidTr="002D118B">
        <w:tc>
          <w:tcPr>
            <w:tcW w:w="3686" w:type="dxa"/>
          </w:tcPr>
          <w:p w14:paraId="2D21EA55"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Duke Law J.</w:t>
            </w:r>
          </w:p>
          <w:p w14:paraId="7DEF5BF3" w14:textId="0E8C082A"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62A777AE" w14:textId="77777777" w:rsidR="000C3A9D" w:rsidRPr="00E72418" w:rsidRDefault="000C3A9D" w:rsidP="000C3A9D">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lang w:val="en-GB"/>
              </w:rPr>
              <w:t>Duke Law Journal</w:t>
            </w:r>
          </w:p>
        </w:tc>
      </w:tr>
      <w:tr w:rsidR="000C3A9D" w:rsidRPr="00E72418" w14:paraId="66071876" w14:textId="77777777" w:rsidTr="002D118B">
        <w:tc>
          <w:tcPr>
            <w:tcW w:w="3686" w:type="dxa"/>
          </w:tcPr>
          <w:p w14:paraId="1F450B28"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Econ. J.</w:t>
            </w:r>
          </w:p>
          <w:p w14:paraId="2330AFF2" w14:textId="3B9D5EA7"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1DDA9807" w14:textId="77777777" w:rsidR="000C3A9D" w:rsidRPr="00E72418" w:rsidRDefault="000C3A9D" w:rsidP="000C3A9D">
            <w:pPr>
              <w:autoSpaceDE w:val="0"/>
              <w:autoSpaceDN w:val="0"/>
              <w:adjustRightInd w:val="0"/>
              <w:rPr>
                <w:rFonts w:ascii="Times New Roman" w:hAnsi="Times New Roman" w:cs="Times New Roman"/>
                <w:sz w:val="20"/>
                <w:szCs w:val="20"/>
                <w:lang w:val="en-GB"/>
              </w:rPr>
            </w:pPr>
            <w:r w:rsidRPr="00E72418">
              <w:rPr>
                <w:rStyle w:val="Titre5Car"/>
                <w:rFonts w:ascii="Times New Roman" w:hAnsi="Times New Roman" w:cs="Times New Roman"/>
                <w:color w:val="auto"/>
                <w:sz w:val="20"/>
                <w:szCs w:val="20"/>
                <w:lang w:val="en-US"/>
              </w:rPr>
              <w:t>Economic Journal (the)</w:t>
            </w:r>
          </w:p>
        </w:tc>
      </w:tr>
      <w:tr w:rsidR="000C3A9D" w:rsidRPr="00E72418" w14:paraId="0246A380" w14:textId="77777777" w:rsidTr="002D118B">
        <w:tc>
          <w:tcPr>
            <w:tcW w:w="3686" w:type="dxa"/>
          </w:tcPr>
          <w:p w14:paraId="7B97D85B"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Econ. Policy</w:t>
            </w:r>
          </w:p>
          <w:p w14:paraId="3942517E" w14:textId="3FAA1942"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03D1475" w14:textId="77777777" w:rsidR="000C3A9D" w:rsidRPr="00E72418" w:rsidRDefault="000C3A9D" w:rsidP="000C3A9D">
            <w:pPr>
              <w:autoSpaceDE w:val="0"/>
              <w:autoSpaceDN w:val="0"/>
              <w:adjustRightInd w:val="0"/>
              <w:rPr>
                <w:rStyle w:val="Titre5Car"/>
                <w:rFonts w:ascii="Times New Roman" w:hAnsi="Times New Roman" w:cs="Times New Roman"/>
                <w:color w:val="auto"/>
                <w:sz w:val="20"/>
                <w:szCs w:val="20"/>
                <w:lang w:val="en-US"/>
              </w:rPr>
            </w:pPr>
            <w:r w:rsidRPr="00E72418">
              <w:rPr>
                <w:rFonts w:ascii="Times New Roman" w:hAnsi="Times New Roman" w:cs="Times New Roman"/>
                <w:sz w:val="20"/>
                <w:szCs w:val="20"/>
                <w:lang w:val="en-US"/>
              </w:rPr>
              <w:t>Economic Policy</w:t>
            </w:r>
          </w:p>
        </w:tc>
      </w:tr>
      <w:tr w:rsidR="000C3A9D" w:rsidRPr="00E72418" w14:paraId="50B76A9E" w14:textId="77777777" w:rsidTr="002D118B">
        <w:tc>
          <w:tcPr>
            <w:tcW w:w="3686" w:type="dxa"/>
          </w:tcPr>
          <w:p w14:paraId="1907E193"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Econ. Soc.</w:t>
            </w:r>
          </w:p>
          <w:p w14:paraId="6AFB148D" w14:textId="54FD6B3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D506820" w14:textId="77777777" w:rsidR="000C3A9D" w:rsidRPr="00E72418" w:rsidRDefault="000C3A9D" w:rsidP="000C3A9D">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lang w:val="en-US"/>
              </w:rPr>
              <w:t>Economy and Society</w:t>
            </w:r>
          </w:p>
        </w:tc>
      </w:tr>
      <w:tr w:rsidR="000C3A9D" w:rsidRPr="00E72418" w14:paraId="07086F39" w14:textId="77777777" w:rsidTr="002D118B">
        <w:tc>
          <w:tcPr>
            <w:tcW w:w="3686" w:type="dxa"/>
          </w:tcPr>
          <w:p w14:paraId="2AF565C6"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Emory Int. Law Rev.</w:t>
            </w:r>
          </w:p>
          <w:p w14:paraId="278204D2" w14:textId="31412356"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1FFA276"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Emory International Law Review</w:t>
            </w:r>
          </w:p>
        </w:tc>
      </w:tr>
      <w:tr w:rsidR="000C3A9D" w:rsidRPr="00E72418" w14:paraId="046BE300" w14:textId="77777777" w:rsidTr="002D118B">
        <w:tc>
          <w:tcPr>
            <w:tcW w:w="3686" w:type="dxa"/>
          </w:tcPr>
          <w:p w14:paraId="71706D3B"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Emory Law J.</w:t>
            </w:r>
          </w:p>
          <w:p w14:paraId="699F95D3" w14:textId="25EFF63F"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2A43C1BB"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Emory Law Journal</w:t>
            </w:r>
          </w:p>
        </w:tc>
      </w:tr>
      <w:tr w:rsidR="000C3A9D" w:rsidRPr="00E72418" w14:paraId="7A6A15B6" w14:textId="77777777" w:rsidTr="002D118B">
        <w:tc>
          <w:tcPr>
            <w:tcW w:w="3686" w:type="dxa"/>
          </w:tcPr>
          <w:p w14:paraId="1D30F721"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Eur. Rev. Priv. Law</w:t>
            </w:r>
          </w:p>
          <w:p w14:paraId="39F03617" w14:textId="055807D4"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4F57E7F2"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European Review of Private Law</w:t>
            </w:r>
          </w:p>
        </w:tc>
      </w:tr>
      <w:tr w:rsidR="000C3A9D" w:rsidRPr="00E72418" w14:paraId="0EBE4253" w14:textId="77777777" w:rsidTr="002D118B">
        <w:tc>
          <w:tcPr>
            <w:tcW w:w="3686" w:type="dxa"/>
          </w:tcPr>
          <w:p w14:paraId="415D558E"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Ethics Int. Aff.</w:t>
            </w:r>
          </w:p>
          <w:p w14:paraId="52CFEF69" w14:textId="203F8EF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0E207892"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Ethics and International Affairs</w:t>
            </w:r>
          </w:p>
        </w:tc>
      </w:tr>
      <w:tr w:rsidR="000C3A9D" w:rsidRPr="00E72418" w14:paraId="5336652F" w14:textId="77777777" w:rsidTr="002D118B">
        <w:tc>
          <w:tcPr>
            <w:tcW w:w="3686" w:type="dxa"/>
          </w:tcPr>
          <w:p w14:paraId="74F66942"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Finance Dev.</w:t>
            </w:r>
          </w:p>
          <w:p w14:paraId="34030FFE" w14:textId="63B013D9"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748952B2" w14:textId="77777777" w:rsidR="000C3A9D" w:rsidRPr="00E72418" w:rsidRDefault="000C3A9D" w:rsidP="000C3A9D">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Finance &amp; Development</w:t>
            </w:r>
          </w:p>
        </w:tc>
      </w:tr>
      <w:tr w:rsidR="000C3A9D" w:rsidRPr="00E72418" w14:paraId="480177F9" w14:textId="77777777" w:rsidTr="002D118B">
        <w:tc>
          <w:tcPr>
            <w:tcW w:w="3686" w:type="dxa"/>
          </w:tcPr>
          <w:p w14:paraId="33D17A75"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Fla. J. Int. Law</w:t>
            </w:r>
          </w:p>
          <w:p w14:paraId="68D492EA" w14:textId="69DF3A6E"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3E1508DA"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Florida Journal of International Law</w:t>
            </w:r>
          </w:p>
        </w:tc>
      </w:tr>
      <w:tr w:rsidR="000C3A9D" w:rsidRPr="00E72418" w14:paraId="07542275" w14:textId="77777777" w:rsidTr="002D118B">
        <w:tc>
          <w:tcPr>
            <w:tcW w:w="3686" w:type="dxa"/>
          </w:tcPr>
          <w:p w14:paraId="1AB37E4D" w14:textId="77777777" w:rsidR="000C3A9D" w:rsidRPr="00E72418" w:rsidRDefault="000C3A9D" w:rsidP="002D118B">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Fordham Int. Law J.</w:t>
            </w:r>
          </w:p>
          <w:p w14:paraId="7B64710E" w14:textId="003209ED" w:rsidR="002D118B" w:rsidRPr="00E72418" w:rsidRDefault="002D118B" w:rsidP="002D118B">
            <w:pPr>
              <w:autoSpaceDE w:val="0"/>
              <w:autoSpaceDN w:val="0"/>
              <w:adjustRightInd w:val="0"/>
              <w:jc w:val="left"/>
              <w:rPr>
                <w:rFonts w:ascii="Times New Roman" w:hAnsi="Times New Roman" w:cs="Times New Roman"/>
                <w:sz w:val="4"/>
                <w:szCs w:val="4"/>
                <w:lang w:val="fr-BE"/>
              </w:rPr>
            </w:pPr>
          </w:p>
        </w:tc>
        <w:tc>
          <w:tcPr>
            <w:tcW w:w="6662" w:type="dxa"/>
          </w:tcPr>
          <w:p w14:paraId="575231FA" w14:textId="77777777" w:rsidR="000C3A9D" w:rsidRPr="00E72418" w:rsidRDefault="000C3A9D" w:rsidP="000C3A9D">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Fordham International Law Journal</w:t>
            </w:r>
          </w:p>
        </w:tc>
      </w:tr>
      <w:tr w:rsidR="00B929D2" w:rsidRPr="00E72418" w14:paraId="157749D6" w14:textId="77777777" w:rsidTr="002D118B">
        <w:tc>
          <w:tcPr>
            <w:tcW w:w="3686" w:type="dxa"/>
          </w:tcPr>
          <w:p w14:paraId="0FE223A7"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Geo. Wash. Int. Law Rev.</w:t>
            </w:r>
          </w:p>
          <w:p w14:paraId="724637B8" w14:textId="7777777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AD48176" w14:textId="717E8885"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George Washington International Law Review (the)</w:t>
            </w:r>
          </w:p>
        </w:tc>
      </w:tr>
      <w:tr w:rsidR="00B929D2" w:rsidRPr="00E72418" w14:paraId="635CE4E0" w14:textId="77777777" w:rsidTr="002D118B">
        <w:tc>
          <w:tcPr>
            <w:tcW w:w="3686" w:type="dxa"/>
          </w:tcPr>
          <w:p w14:paraId="41BAA5CA" w14:textId="2C51D401"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Geo. J. Int. Law</w:t>
            </w:r>
          </w:p>
        </w:tc>
        <w:tc>
          <w:tcPr>
            <w:tcW w:w="6662" w:type="dxa"/>
          </w:tcPr>
          <w:p w14:paraId="30771492"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Georgetown Journal of International Law</w:t>
            </w:r>
          </w:p>
        </w:tc>
      </w:tr>
      <w:tr w:rsidR="00B929D2" w:rsidRPr="00E72418" w14:paraId="2FA4A066" w14:textId="77777777" w:rsidTr="002D118B">
        <w:tc>
          <w:tcPr>
            <w:tcW w:w="3686" w:type="dxa"/>
          </w:tcPr>
          <w:p w14:paraId="7D20B8B9" w14:textId="7777777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6B5B7BAE" w14:textId="77777777" w:rsidR="00B929D2" w:rsidRPr="00E72418" w:rsidRDefault="00B929D2" w:rsidP="00B929D2">
            <w:pPr>
              <w:autoSpaceDE w:val="0"/>
              <w:autoSpaceDN w:val="0"/>
              <w:adjustRightInd w:val="0"/>
              <w:rPr>
                <w:rFonts w:ascii="Times New Roman" w:hAnsi="Times New Roman" w:cs="Times New Roman"/>
                <w:sz w:val="4"/>
                <w:szCs w:val="4"/>
              </w:rPr>
            </w:pPr>
          </w:p>
        </w:tc>
      </w:tr>
      <w:tr w:rsidR="00B929D2" w:rsidRPr="00E72418" w14:paraId="20B82E65" w14:textId="77777777" w:rsidTr="002D118B">
        <w:tc>
          <w:tcPr>
            <w:tcW w:w="3686" w:type="dxa"/>
          </w:tcPr>
          <w:p w14:paraId="1A64A786" w14:textId="5547C8A6"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Geo. J. Leg. Ethics</w:t>
            </w:r>
          </w:p>
          <w:p w14:paraId="3E00A5CA" w14:textId="341B67A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9E4FC84" w14:textId="2CEC4F2A" w:rsidR="00B929D2" w:rsidRPr="00E72418" w:rsidRDefault="00B929D2" w:rsidP="00B929D2">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lang w:val="en-US"/>
              </w:rPr>
              <w:t>Georgetown Journal of Legal Ethic (the)</w:t>
            </w:r>
          </w:p>
        </w:tc>
      </w:tr>
      <w:tr w:rsidR="00B929D2" w:rsidRPr="00E72418" w14:paraId="575BE707" w14:textId="77777777" w:rsidTr="002D118B">
        <w:tc>
          <w:tcPr>
            <w:tcW w:w="3686" w:type="dxa"/>
          </w:tcPr>
          <w:p w14:paraId="6F229B0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German Law J.</w:t>
            </w:r>
          </w:p>
          <w:p w14:paraId="126EBE18" w14:textId="2AC1FD63"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D7F4A8D"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German Law Journal</w:t>
            </w:r>
          </w:p>
        </w:tc>
      </w:tr>
      <w:tr w:rsidR="00B929D2" w:rsidRPr="00E72418" w14:paraId="7A82B807" w14:textId="77777777" w:rsidTr="002D118B">
        <w:tc>
          <w:tcPr>
            <w:tcW w:w="3686" w:type="dxa"/>
          </w:tcPr>
          <w:p w14:paraId="1E373B7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G.F.P.</w:t>
            </w:r>
          </w:p>
          <w:p w14:paraId="7BBACF48" w14:textId="1EC8F3A1"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8AEF1E5"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Gestion et Finances Publiques</w:t>
            </w:r>
          </w:p>
        </w:tc>
      </w:tr>
      <w:tr w:rsidR="00B929D2" w:rsidRPr="00E72418" w14:paraId="691ED37F" w14:textId="77777777" w:rsidTr="002D118B">
        <w:tc>
          <w:tcPr>
            <w:tcW w:w="3686" w:type="dxa"/>
          </w:tcPr>
          <w:p w14:paraId="3BAE33E1" w14:textId="77777777" w:rsidR="00B929D2" w:rsidRPr="00E72418" w:rsidRDefault="00B929D2" w:rsidP="00D02B37">
            <w:pPr>
              <w:rPr>
                <w:sz w:val="20"/>
                <w:szCs w:val="20"/>
                <w:shd w:val="clear" w:color="auto" w:fill="FFFFFF"/>
              </w:rPr>
            </w:pPr>
            <w:r w:rsidRPr="00E72418">
              <w:rPr>
                <w:sz w:val="20"/>
                <w:szCs w:val="20"/>
                <w:shd w:val="clear" w:color="auto" w:fill="FFFFFF"/>
              </w:rPr>
              <w:t>Harv. Bus. Law Rev.</w:t>
            </w:r>
          </w:p>
          <w:p w14:paraId="03DADC95" w14:textId="0A8C192B"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E4CF34D"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Harvard Business Law Review</w:t>
            </w:r>
          </w:p>
        </w:tc>
      </w:tr>
      <w:tr w:rsidR="00B929D2" w:rsidRPr="00E72418" w14:paraId="3E14038C" w14:textId="77777777" w:rsidTr="002D118B">
        <w:tc>
          <w:tcPr>
            <w:tcW w:w="3686" w:type="dxa"/>
          </w:tcPr>
          <w:p w14:paraId="3B9F7D5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Harv. Int. Law J.</w:t>
            </w:r>
          </w:p>
          <w:p w14:paraId="5EA49929" w14:textId="07C8C0F7"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6B94948E"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Harvard International Law Journal</w:t>
            </w:r>
          </w:p>
        </w:tc>
      </w:tr>
      <w:tr w:rsidR="00B929D2" w:rsidRPr="00E72418" w14:paraId="68C13A21" w14:textId="77777777" w:rsidTr="002D118B">
        <w:tc>
          <w:tcPr>
            <w:tcW w:w="3686" w:type="dxa"/>
          </w:tcPr>
          <w:p w14:paraId="1552DB77" w14:textId="094388E8"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Harv. Law Rev.</w:t>
            </w:r>
          </w:p>
          <w:p w14:paraId="20D8E45C" w14:textId="2618827E"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BBD506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Harvard Law Review</w:t>
            </w:r>
          </w:p>
        </w:tc>
      </w:tr>
      <w:tr w:rsidR="00B929D2" w:rsidRPr="00E72418" w14:paraId="02CA00E4" w14:textId="77777777" w:rsidTr="002D118B">
        <w:tc>
          <w:tcPr>
            <w:tcW w:w="3686" w:type="dxa"/>
          </w:tcPr>
          <w:p w14:paraId="4952E0A2" w14:textId="0590BD8B" w:rsidR="00B929D2" w:rsidRPr="00E72418" w:rsidRDefault="00B929D2" w:rsidP="00B929D2">
            <w:pPr>
              <w:autoSpaceDE w:val="0"/>
              <w:autoSpaceDN w:val="0"/>
              <w:adjustRightInd w:val="0"/>
              <w:jc w:val="left"/>
              <w:rPr>
                <w:rFonts w:ascii="Times New Roman" w:hAnsi="Times New Roman" w:cs="Times New Roman"/>
                <w:sz w:val="20"/>
                <w:szCs w:val="20"/>
                <w:shd w:val="clear" w:color="auto" w:fill="FFFFFF"/>
              </w:rPr>
            </w:pPr>
            <w:r w:rsidRPr="00E72418">
              <w:rPr>
                <w:rFonts w:ascii="Times New Roman" w:hAnsi="Times New Roman" w:cs="Times New Roman"/>
                <w:sz w:val="20"/>
                <w:szCs w:val="20"/>
                <w:shd w:val="clear" w:color="auto" w:fill="FFFFFF"/>
              </w:rPr>
              <w:t>Hofstra Law Rev.</w:t>
            </w:r>
          </w:p>
          <w:p w14:paraId="57DFFA39" w14:textId="42AEDCA1"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468F4EAC"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iCs/>
                <w:sz w:val="20"/>
                <w:szCs w:val="20"/>
                <w:lang w:val="en-US"/>
              </w:rPr>
              <w:lastRenderedPageBreak/>
              <w:t>Hofstra Law Review</w:t>
            </w:r>
          </w:p>
        </w:tc>
      </w:tr>
      <w:tr w:rsidR="00B929D2" w:rsidRPr="00E72418" w14:paraId="680126D0" w14:textId="77777777" w:rsidTr="002D118B">
        <w:tc>
          <w:tcPr>
            <w:tcW w:w="3686" w:type="dxa"/>
          </w:tcPr>
          <w:p w14:paraId="58B94F2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Hum. Rts. Law Rev.</w:t>
            </w:r>
          </w:p>
          <w:p w14:paraId="1A90ED98" w14:textId="0EB88B01" w:rsidR="008B543F" w:rsidRPr="00E72418" w:rsidRDefault="008B543F"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44F78DA1"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lang w:val="en-US"/>
              </w:rPr>
              <w:t>Human Rights Law Review</w:t>
            </w:r>
          </w:p>
        </w:tc>
      </w:tr>
      <w:tr w:rsidR="009F119C" w:rsidRPr="00E72418" w14:paraId="65C08A60" w14:textId="77777777" w:rsidTr="002D118B">
        <w:tc>
          <w:tcPr>
            <w:tcW w:w="3686" w:type="dxa"/>
          </w:tcPr>
          <w:p w14:paraId="5DDBF3A4" w14:textId="1C89C9F7" w:rsidR="009F119C" w:rsidRDefault="009F119C" w:rsidP="00B929D2">
            <w:pPr>
              <w:autoSpaceDE w:val="0"/>
              <w:autoSpaceDN w:val="0"/>
              <w:adjustRightInd w:val="0"/>
              <w:jc w:val="left"/>
              <w:rPr>
                <w:rFonts w:ascii="Times New Roman" w:hAnsi="Times New Roman" w:cs="Times New Roman"/>
                <w:sz w:val="20"/>
                <w:szCs w:val="20"/>
                <w:lang w:val="fr-BE"/>
              </w:rPr>
            </w:pPr>
            <w:r>
              <w:rPr>
                <w:rFonts w:ascii="Times New Roman" w:hAnsi="Times New Roman" w:cs="Times New Roman"/>
                <w:sz w:val="20"/>
                <w:szCs w:val="20"/>
                <w:lang w:val="fr-BE"/>
              </w:rPr>
              <w:t>ICSID Rev.</w:t>
            </w:r>
          </w:p>
          <w:p w14:paraId="20B438F2" w14:textId="77777777" w:rsidR="009F119C" w:rsidRPr="009F119C" w:rsidRDefault="009F119C" w:rsidP="00B929D2">
            <w:pPr>
              <w:autoSpaceDE w:val="0"/>
              <w:autoSpaceDN w:val="0"/>
              <w:adjustRightInd w:val="0"/>
              <w:jc w:val="left"/>
              <w:rPr>
                <w:rFonts w:ascii="Times New Roman" w:hAnsi="Times New Roman" w:cs="Times New Roman"/>
                <w:sz w:val="4"/>
                <w:szCs w:val="4"/>
                <w:lang w:val="fr-BE"/>
              </w:rPr>
            </w:pPr>
          </w:p>
          <w:p w14:paraId="5C5D2EEC" w14:textId="62E5B095"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Ind. Int. &amp; Comp. Law Rev.</w:t>
            </w:r>
          </w:p>
          <w:p w14:paraId="0F3AE4CA" w14:textId="6084A93B"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59AC7017" w14:textId="587C1891" w:rsidR="009F119C" w:rsidRDefault="009F119C" w:rsidP="009F119C">
            <w:pPr>
              <w:autoSpaceDE w:val="0"/>
              <w:autoSpaceDN w:val="0"/>
              <w:adjustRightInd w:val="0"/>
              <w:rPr>
                <w:rFonts w:ascii="Times New Roman" w:hAnsi="Times New Roman" w:cs="Times New Roman"/>
                <w:sz w:val="20"/>
                <w:szCs w:val="20"/>
                <w:lang w:val="en-US"/>
              </w:rPr>
            </w:pPr>
            <w:r>
              <w:rPr>
                <w:rFonts w:ascii="Times New Roman" w:hAnsi="Times New Roman" w:cs="Times New Roman"/>
                <w:sz w:val="20"/>
                <w:szCs w:val="20"/>
                <w:lang w:val="en-US"/>
              </w:rPr>
              <w:t>ICSID Review</w:t>
            </w:r>
          </w:p>
          <w:p w14:paraId="2BC74EEA" w14:textId="77777777" w:rsidR="009F119C" w:rsidRPr="009F119C" w:rsidRDefault="009F119C" w:rsidP="009F119C">
            <w:pPr>
              <w:autoSpaceDE w:val="0"/>
              <w:autoSpaceDN w:val="0"/>
              <w:adjustRightInd w:val="0"/>
              <w:rPr>
                <w:rFonts w:ascii="Times New Roman" w:hAnsi="Times New Roman" w:cs="Times New Roman"/>
                <w:sz w:val="4"/>
                <w:szCs w:val="4"/>
                <w:lang w:val="en-US"/>
              </w:rPr>
            </w:pPr>
          </w:p>
          <w:p w14:paraId="6167CA16" w14:textId="657BCE76" w:rsidR="00B929D2" w:rsidRPr="00E72418" w:rsidRDefault="00B929D2" w:rsidP="009F119C">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Indiana International and Comparative Law Review</w:t>
            </w:r>
          </w:p>
        </w:tc>
      </w:tr>
      <w:tr w:rsidR="00B929D2" w:rsidRPr="00E72418" w14:paraId="1DBFF1A8" w14:textId="77777777" w:rsidTr="002D118B">
        <w:tc>
          <w:tcPr>
            <w:tcW w:w="3686" w:type="dxa"/>
          </w:tcPr>
          <w:p w14:paraId="64E2ACCB"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Insolvency &amp; Restructuring Int.</w:t>
            </w:r>
          </w:p>
          <w:p w14:paraId="268983A8" w14:textId="4D3E2A1E"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48C8466"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Insolvency and Restructuring International</w:t>
            </w:r>
          </w:p>
        </w:tc>
      </w:tr>
      <w:tr w:rsidR="00B929D2" w:rsidRPr="00E72418" w14:paraId="3067E14D" w14:textId="77777777" w:rsidTr="002D118B">
        <w:tc>
          <w:tcPr>
            <w:tcW w:w="3686" w:type="dxa"/>
          </w:tcPr>
          <w:p w14:paraId="19DD8466"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I.C.L.Q.</w:t>
            </w:r>
          </w:p>
          <w:p w14:paraId="67A68123" w14:textId="745C7410"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9B50403" w14:textId="79F271AB"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iCs/>
                <w:sz w:val="20"/>
                <w:szCs w:val="20"/>
                <w:lang w:val="en-GB"/>
              </w:rPr>
              <w:t>International and Comparative Law Quarterly</w:t>
            </w:r>
            <w:r w:rsidR="008B543F" w:rsidRPr="00E72418">
              <w:rPr>
                <w:rFonts w:ascii="Times New Roman" w:hAnsi="Times New Roman" w:cs="Times New Roman"/>
                <w:iCs/>
                <w:sz w:val="20"/>
                <w:szCs w:val="20"/>
                <w:lang w:val="en-GB"/>
              </w:rPr>
              <w:t xml:space="preserve"> (the)</w:t>
            </w:r>
          </w:p>
        </w:tc>
      </w:tr>
      <w:tr w:rsidR="00B929D2" w:rsidRPr="00E72418" w14:paraId="0225B1BD" w14:textId="77777777" w:rsidTr="002D118B">
        <w:tc>
          <w:tcPr>
            <w:tcW w:w="3686" w:type="dxa"/>
          </w:tcPr>
          <w:p w14:paraId="33D333C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Int. Fin. Law Rev.</w:t>
            </w:r>
          </w:p>
          <w:p w14:paraId="1C3B0457" w14:textId="2EB36916"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1F224E61"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bCs/>
                <w:sz w:val="20"/>
                <w:szCs w:val="20"/>
                <w:lang w:val="en-US"/>
              </w:rPr>
              <w:t>International Financial Law Review</w:t>
            </w:r>
          </w:p>
        </w:tc>
      </w:tr>
      <w:tr w:rsidR="00B929D2" w:rsidRPr="00E72418" w14:paraId="11C6DC20" w14:textId="77777777" w:rsidTr="002D118B">
        <w:tc>
          <w:tcPr>
            <w:tcW w:w="3686" w:type="dxa"/>
          </w:tcPr>
          <w:p w14:paraId="5DE9E03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Int. J. Law Context</w:t>
            </w:r>
          </w:p>
          <w:p w14:paraId="7B20529C" w14:textId="765960F7"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220E184C" w14:textId="77777777" w:rsidR="00B929D2" w:rsidRPr="00E72418" w:rsidRDefault="00B929D2" w:rsidP="00B929D2">
            <w:pPr>
              <w:autoSpaceDE w:val="0"/>
              <w:autoSpaceDN w:val="0"/>
              <w:adjustRightInd w:val="0"/>
              <w:rPr>
                <w:rFonts w:ascii="Times New Roman" w:hAnsi="Times New Roman" w:cs="Times New Roman"/>
                <w:bCs/>
                <w:sz w:val="20"/>
                <w:szCs w:val="20"/>
                <w:lang w:val="en-US"/>
              </w:rPr>
            </w:pPr>
            <w:r w:rsidRPr="00E72418">
              <w:rPr>
                <w:rFonts w:ascii="Times New Roman" w:hAnsi="Times New Roman" w:cs="Times New Roman"/>
                <w:sz w:val="20"/>
                <w:szCs w:val="20"/>
                <w:lang w:val="en-US"/>
              </w:rPr>
              <w:t>International Journal of Law in Context</w:t>
            </w:r>
          </w:p>
        </w:tc>
      </w:tr>
      <w:tr w:rsidR="00B929D2" w:rsidRPr="00E72418" w14:paraId="75D8FA4F" w14:textId="77777777" w:rsidTr="002D118B">
        <w:tc>
          <w:tcPr>
            <w:tcW w:w="3686" w:type="dxa"/>
          </w:tcPr>
          <w:p w14:paraId="442F211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Italian Y.B. Int. Law</w:t>
            </w:r>
          </w:p>
          <w:p w14:paraId="14F77A2A" w14:textId="2A601C6C"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75165C1F"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Italian Yearbook of International Law</w:t>
            </w:r>
          </w:p>
        </w:tc>
      </w:tr>
      <w:tr w:rsidR="00B929D2" w:rsidRPr="00E72418" w14:paraId="13976FED" w14:textId="77777777" w:rsidTr="002D118B">
        <w:tc>
          <w:tcPr>
            <w:tcW w:w="3686" w:type="dxa"/>
          </w:tcPr>
          <w:p w14:paraId="793C182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J.T.</w:t>
            </w:r>
          </w:p>
          <w:p w14:paraId="20079C04" w14:textId="396BD7A1"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EF90DE8"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des tribunaux</w:t>
            </w:r>
          </w:p>
        </w:tc>
      </w:tr>
      <w:tr w:rsidR="00B929D2" w:rsidRPr="00E72418" w14:paraId="7A6ADA51" w14:textId="77777777" w:rsidTr="002D118B">
        <w:tc>
          <w:tcPr>
            <w:tcW w:w="3686" w:type="dxa"/>
          </w:tcPr>
          <w:p w14:paraId="6375F84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J.D.I.</w:t>
            </w:r>
          </w:p>
          <w:p w14:paraId="33AD8721" w14:textId="6FF6A071"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325C106"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Journal du droit international</w:t>
            </w:r>
          </w:p>
        </w:tc>
      </w:tr>
      <w:tr w:rsidR="00B929D2" w:rsidRPr="00E72418" w14:paraId="2758ED37" w14:textId="77777777" w:rsidTr="002D118B">
        <w:tc>
          <w:tcPr>
            <w:tcW w:w="3686" w:type="dxa"/>
          </w:tcPr>
          <w:p w14:paraId="23BCE02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Bank. Regul.</w:t>
            </w:r>
          </w:p>
          <w:p w14:paraId="70465F24" w14:textId="03064CCC"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6BCE2E2"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Banking Regulation</w:t>
            </w:r>
          </w:p>
        </w:tc>
      </w:tr>
      <w:tr w:rsidR="00B929D2" w:rsidRPr="00E72418" w14:paraId="0512A71E" w14:textId="77777777" w:rsidTr="002D118B">
        <w:tc>
          <w:tcPr>
            <w:tcW w:w="3686" w:type="dxa"/>
          </w:tcPr>
          <w:p w14:paraId="65CED7C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Cult. Econ.</w:t>
            </w:r>
          </w:p>
          <w:p w14:paraId="19912D27" w14:textId="61CBE2F6"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17DE04C"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Cultural Economy</w:t>
            </w:r>
          </w:p>
        </w:tc>
      </w:tr>
      <w:tr w:rsidR="00B929D2" w:rsidRPr="00E72418" w14:paraId="4DC99101" w14:textId="77777777" w:rsidTr="002D118B">
        <w:tc>
          <w:tcPr>
            <w:tcW w:w="3686" w:type="dxa"/>
          </w:tcPr>
          <w:p w14:paraId="396329F6"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Econ. Lit.</w:t>
            </w:r>
          </w:p>
          <w:p w14:paraId="37A1E5C4" w14:textId="71F0AE7F"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8F86F1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Journal of Economic Literature</w:t>
            </w:r>
          </w:p>
        </w:tc>
      </w:tr>
      <w:tr w:rsidR="00B929D2" w:rsidRPr="00E72418" w14:paraId="40C5AC67" w14:textId="77777777" w:rsidTr="002D118B">
        <w:tc>
          <w:tcPr>
            <w:tcW w:w="3686" w:type="dxa"/>
          </w:tcPr>
          <w:p w14:paraId="45E4ECE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J.G.D.</w:t>
            </w:r>
          </w:p>
          <w:p w14:paraId="48CCA52F" w14:textId="2B99C9F1"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6DE9E366" w14:textId="77777777" w:rsidR="00B929D2" w:rsidRPr="00E72418" w:rsidRDefault="00B929D2" w:rsidP="00B929D2">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lang w:val="en-US"/>
              </w:rPr>
              <w:t>Journal of Globalization and Development</w:t>
            </w:r>
          </w:p>
        </w:tc>
      </w:tr>
      <w:tr w:rsidR="00B929D2" w:rsidRPr="00E72418" w14:paraId="19315B17" w14:textId="77777777" w:rsidTr="002D118B">
        <w:tc>
          <w:tcPr>
            <w:tcW w:w="3686" w:type="dxa"/>
          </w:tcPr>
          <w:p w14:paraId="2FCC72C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Hum. Rts</w:t>
            </w:r>
          </w:p>
          <w:p w14:paraId="7A73B811" w14:textId="31A55C23"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4695D69"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Human Rights</w:t>
            </w:r>
          </w:p>
        </w:tc>
      </w:tr>
      <w:tr w:rsidR="00B929D2" w:rsidRPr="00E72418" w14:paraId="548CABFA" w14:textId="77777777" w:rsidTr="002D118B">
        <w:tc>
          <w:tcPr>
            <w:tcW w:w="3686" w:type="dxa"/>
          </w:tcPr>
          <w:p w14:paraId="524F12B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J.I.B.L.</w:t>
            </w:r>
          </w:p>
          <w:p w14:paraId="158041F2" w14:textId="0497E594"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46EAA6A" w14:textId="77777777" w:rsidR="00B929D2" w:rsidRPr="00E72418" w:rsidRDefault="00B929D2" w:rsidP="00B929D2">
            <w:pPr>
              <w:autoSpaceDE w:val="0"/>
              <w:autoSpaceDN w:val="0"/>
              <w:adjustRightInd w:val="0"/>
              <w:rPr>
                <w:rFonts w:ascii="Times New Roman" w:hAnsi="Times New Roman" w:cs="Times New Roman"/>
                <w:sz w:val="20"/>
                <w:szCs w:val="20"/>
                <w:lang w:val="en-GB"/>
              </w:rPr>
            </w:pPr>
            <w:r w:rsidRPr="00E72418">
              <w:rPr>
                <w:rFonts w:ascii="Times New Roman" w:hAnsi="Times New Roman" w:cs="Times New Roman"/>
                <w:sz w:val="20"/>
                <w:szCs w:val="20"/>
                <w:lang w:val="en-US"/>
              </w:rPr>
              <w:t>Journal of International Banking Law</w:t>
            </w:r>
          </w:p>
        </w:tc>
      </w:tr>
      <w:tr w:rsidR="00B929D2" w:rsidRPr="00E72418" w14:paraId="678706D2" w14:textId="77777777" w:rsidTr="002D118B">
        <w:tc>
          <w:tcPr>
            <w:tcW w:w="3686" w:type="dxa"/>
          </w:tcPr>
          <w:p w14:paraId="41DBEE63"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J.I.E.L.</w:t>
            </w:r>
          </w:p>
          <w:p w14:paraId="33AE7F3F" w14:textId="1E3A690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8545D2B"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International Economic Law</w:t>
            </w:r>
          </w:p>
        </w:tc>
      </w:tr>
      <w:tr w:rsidR="00B929D2" w:rsidRPr="00E72418" w14:paraId="70CDCD00" w14:textId="77777777" w:rsidTr="002D118B">
        <w:tc>
          <w:tcPr>
            <w:tcW w:w="3686" w:type="dxa"/>
          </w:tcPr>
          <w:p w14:paraId="5A5C7B3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Law Econ.</w:t>
            </w:r>
          </w:p>
          <w:p w14:paraId="421D9C14" w14:textId="38561B2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4F9736D"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eastAsia="Times New Roman" w:hAnsi="Times New Roman" w:cs="Times New Roman"/>
                <w:iCs/>
                <w:sz w:val="20"/>
                <w:szCs w:val="20"/>
                <w:lang w:val="en-US" w:eastAsia="fr-BE"/>
              </w:rPr>
              <w:t>Journal of Law and Economics</w:t>
            </w:r>
          </w:p>
        </w:tc>
      </w:tr>
      <w:tr w:rsidR="00B929D2" w:rsidRPr="00E72418" w14:paraId="31342B88" w14:textId="77777777" w:rsidTr="002D118B">
        <w:tc>
          <w:tcPr>
            <w:tcW w:w="3686" w:type="dxa"/>
          </w:tcPr>
          <w:p w14:paraId="2E6DADA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Law Soc.</w:t>
            </w:r>
          </w:p>
          <w:p w14:paraId="223E5FE1" w14:textId="7F2AF7B4"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DF0FD59"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Law and Society</w:t>
            </w:r>
          </w:p>
        </w:tc>
      </w:tr>
      <w:tr w:rsidR="00B929D2" w:rsidRPr="00E72418" w14:paraId="7728DB22" w14:textId="77777777" w:rsidTr="002D118B">
        <w:tc>
          <w:tcPr>
            <w:tcW w:w="3686" w:type="dxa"/>
          </w:tcPr>
          <w:p w14:paraId="3DE1EA0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Leg. Anal.</w:t>
            </w:r>
          </w:p>
          <w:p w14:paraId="3976BEF9" w14:textId="67DDAA7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B8923A3"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Legal Analysis</w:t>
            </w:r>
          </w:p>
        </w:tc>
      </w:tr>
      <w:tr w:rsidR="00B929D2" w:rsidRPr="00E72418" w14:paraId="3D152376" w14:textId="77777777" w:rsidTr="002D118B">
        <w:tc>
          <w:tcPr>
            <w:tcW w:w="3686" w:type="dxa"/>
          </w:tcPr>
          <w:p w14:paraId="7AA33E74"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Leg. Stud.</w:t>
            </w:r>
          </w:p>
          <w:p w14:paraId="756BAD05" w14:textId="0DB883C1"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ED99AD1"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Legal Studies (the)</w:t>
            </w:r>
          </w:p>
        </w:tc>
      </w:tr>
      <w:tr w:rsidR="00B929D2" w:rsidRPr="00E72418" w14:paraId="3A0BBFEA" w14:textId="77777777" w:rsidTr="002D118B">
        <w:tc>
          <w:tcPr>
            <w:tcW w:w="3686" w:type="dxa"/>
          </w:tcPr>
          <w:p w14:paraId="6A134A86"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Soc. Polit. Econ. Stud.</w:t>
            </w:r>
          </w:p>
          <w:p w14:paraId="6EFE300B" w14:textId="07E151FF"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8860F75"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Journal of Social, Political, and Economic Studies (the)</w:t>
            </w:r>
          </w:p>
        </w:tc>
      </w:tr>
      <w:tr w:rsidR="00B929D2" w:rsidRPr="00E72418" w14:paraId="7F5B8C66" w14:textId="77777777" w:rsidTr="002D118B">
        <w:tc>
          <w:tcPr>
            <w:tcW w:w="3686" w:type="dxa"/>
          </w:tcPr>
          <w:p w14:paraId="1B91654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J. Eur. Econ. Assoc.</w:t>
            </w:r>
          </w:p>
          <w:p w14:paraId="6FCE47A0" w14:textId="0B0A0C9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79EBA3D" w14:textId="2BE30FED"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 xml:space="preserve">Journal of </w:t>
            </w:r>
            <w:r w:rsidR="006B37E3" w:rsidRPr="00E72418">
              <w:rPr>
                <w:rFonts w:ascii="Times New Roman" w:hAnsi="Times New Roman" w:cs="Times New Roman"/>
                <w:sz w:val="20"/>
                <w:szCs w:val="20"/>
              </w:rPr>
              <w:t xml:space="preserve">the </w:t>
            </w:r>
            <w:r w:rsidRPr="00E72418">
              <w:rPr>
                <w:rFonts w:ascii="Times New Roman" w:hAnsi="Times New Roman" w:cs="Times New Roman"/>
                <w:sz w:val="20"/>
                <w:szCs w:val="20"/>
              </w:rPr>
              <w:t>European Economic Association</w:t>
            </w:r>
          </w:p>
        </w:tc>
      </w:tr>
      <w:tr w:rsidR="00B929D2" w:rsidRPr="00E72418" w14:paraId="4D73CF83" w14:textId="77777777" w:rsidTr="002D118B">
        <w:tc>
          <w:tcPr>
            <w:tcW w:w="3686" w:type="dxa"/>
          </w:tcPr>
          <w:p w14:paraId="60AED778" w14:textId="77777777" w:rsidR="00B929D2" w:rsidRPr="00E72418" w:rsidRDefault="00B929D2" w:rsidP="00B929D2">
            <w:pPr>
              <w:autoSpaceDE w:val="0"/>
              <w:autoSpaceDN w:val="0"/>
              <w:adjustRightInd w:val="0"/>
              <w:jc w:val="left"/>
              <w:rPr>
                <w:rFonts w:ascii="Times New Roman" w:hAnsi="Times New Roman" w:cs="Times New Roman"/>
                <w:sz w:val="20"/>
                <w:szCs w:val="20"/>
                <w:shd w:val="clear" w:color="auto" w:fill="FFFFFF"/>
              </w:rPr>
            </w:pPr>
            <w:r w:rsidRPr="00E72418">
              <w:rPr>
                <w:rFonts w:ascii="Times New Roman" w:hAnsi="Times New Roman" w:cs="Times New Roman"/>
                <w:sz w:val="20"/>
                <w:szCs w:val="20"/>
                <w:shd w:val="clear" w:color="auto" w:fill="FFFFFF"/>
              </w:rPr>
              <w:t>J.L.M.B.</w:t>
            </w:r>
          </w:p>
          <w:p w14:paraId="0F6C30A4" w14:textId="78F16B50"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4492C3F1"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Jurisprudence Liège, Mons et Bruxelles</w:t>
            </w:r>
          </w:p>
        </w:tc>
      </w:tr>
      <w:tr w:rsidR="00B929D2" w:rsidRPr="00E72418" w14:paraId="50931698" w14:textId="77777777" w:rsidTr="002D118B">
        <w:tc>
          <w:tcPr>
            <w:tcW w:w="3686" w:type="dxa"/>
          </w:tcPr>
          <w:p w14:paraId="20D24017" w14:textId="77777777" w:rsidR="00B929D2" w:rsidRPr="00E72418" w:rsidRDefault="00B929D2" w:rsidP="00B929D2">
            <w:pPr>
              <w:autoSpaceDE w:val="0"/>
              <w:autoSpaceDN w:val="0"/>
              <w:adjustRightInd w:val="0"/>
              <w:jc w:val="left"/>
              <w:rPr>
                <w:rFonts w:ascii="Times New Roman" w:hAnsi="Times New Roman" w:cs="Times New Roman"/>
                <w:sz w:val="20"/>
                <w:szCs w:val="20"/>
                <w:shd w:val="clear" w:color="auto" w:fill="FFFFFF"/>
              </w:rPr>
            </w:pPr>
            <w:r w:rsidRPr="00E72418">
              <w:rPr>
                <w:rFonts w:ascii="Times New Roman" w:hAnsi="Times New Roman" w:cs="Times New Roman"/>
                <w:sz w:val="20"/>
                <w:szCs w:val="20"/>
                <w:shd w:val="clear" w:color="auto" w:fill="FFFFFF"/>
              </w:rPr>
              <w:t>L.J.A.</w:t>
            </w:r>
          </w:p>
          <w:p w14:paraId="6EECC20F" w14:textId="63391B1E" w:rsidR="00B929D2" w:rsidRPr="00E72418" w:rsidRDefault="00B929D2" w:rsidP="00B929D2">
            <w:pPr>
              <w:autoSpaceDE w:val="0"/>
              <w:autoSpaceDN w:val="0"/>
              <w:adjustRightInd w:val="0"/>
              <w:jc w:val="left"/>
              <w:rPr>
                <w:rFonts w:ascii="Times New Roman" w:hAnsi="Times New Roman" w:cs="Times New Roman"/>
                <w:sz w:val="4"/>
                <w:szCs w:val="4"/>
                <w:shd w:val="clear" w:color="auto" w:fill="FFFFFF"/>
              </w:rPr>
            </w:pPr>
          </w:p>
        </w:tc>
        <w:tc>
          <w:tcPr>
            <w:tcW w:w="6662" w:type="dxa"/>
          </w:tcPr>
          <w:p w14:paraId="0BDDA1C1"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La Lettre des Juristes d’Affaires</w:t>
            </w:r>
          </w:p>
        </w:tc>
      </w:tr>
      <w:tr w:rsidR="00B929D2" w:rsidRPr="00E72418" w14:paraId="73FEB253" w14:textId="77777777" w:rsidTr="002D118B">
        <w:tc>
          <w:tcPr>
            <w:tcW w:w="3686" w:type="dxa"/>
          </w:tcPr>
          <w:p w14:paraId="4A5E50AF" w14:textId="77777777" w:rsidR="00B929D2" w:rsidRPr="00E72418" w:rsidRDefault="00B929D2" w:rsidP="00B929D2">
            <w:pPr>
              <w:autoSpaceDE w:val="0"/>
              <w:autoSpaceDN w:val="0"/>
              <w:adjustRightInd w:val="0"/>
              <w:jc w:val="left"/>
              <w:rPr>
                <w:rFonts w:ascii="Times New Roman" w:hAnsi="Times New Roman" w:cs="Times New Roman"/>
                <w:sz w:val="20"/>
                <w:szCs w:val="20"/>
                <w:shd w:val="clear" w:color="auto" w:fill="FFFFFF"/>
              </w:rPr>
            </w:pPr>
            <w:r w:rsidRPr="00E72418">
              <w:rPr>
                <w:rFonts w:ascii="Times New Roman" w:hAnsi="Times New Roman" w:cs="Times New Roman"/>
                <w:sz w:val="20"/>
                <w:szCs w:val="20"/>
                <w:shd w:val="clear" w:color="auto" w:fill="FFFFFF"/>
              </w:rPr>
              <w:t>JCP G.</w:t>
            </w:r>
          </w:p>
          <w:p w14:paraId="45BA7F43" w14:textId="77777777" w:rsidR="002F5E5D" w:rsidRPr="00E72418" w:rsidRDefault="002F5E5D" w:rsidP="00B929D2">
            <w:pPr>
              <w:autoSpaceDE w:val="0"/>
              <w:autoSpaceDN w:val="0"/>
              <w:adjustRightInd w:val="0"/>
              <w:jc w:val="left"/>
              <w:rPr>
                <w:sz w:val="4"/>
                <w:szCs w:val="4"/>
                <w:lang w:val="en-US"/>
              </w:rPr>
            </w:pPr>
          </w:p>
          <w:p w14:paraId="35D6A8E0" w14:textId="7F92F1CF" w:rsidR="00B929D2" w:rsidRPr="00E72418" w:rsidRDefault="002F5E5D" w:rsidP="00B929D2">
            <w:pPr>
              <w:autoSpaceDE w:val="0"/>
              <w:autoSpaceDN w:val="0"/>
              <w:adjustRightInd w:val="0"/>
              <w:jc w:val="left"/>
              <w:rPr>
                <w:rFonts w:ascii="Times New Roman" w:hAnsi="Times New Roman" w:cs="Times New Roman"/>
                <w:sz w:val="20"/>
                <w:szCs w:val="20"/>
                <w:shd w:val="clear" w:color="auto" w:fill="FFFFFF"/>
              </w:rPr>
            </w:pPr>
            <w:r w:rsidRPr="00E72418">
              <w:rPr>
                <w:sz w:val="20"/>
                <w:szCs w:val="20"/>
                <w:lang w:val="en-US"/>
              </w:rPr>
              <w:t>Law &amp; Bus. Rev. Am.</w:t>
            </w:r>
          </w:p>
        </w:tc>
        <w:tc>
          <w:tcPr>
            <w:tcW w:w="6662" w:type="dxa"/>
          </w:tcPr>
          <w:p w14:paraId="488AB22D" w14:textId="33AC8611"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La semaine juridique – Édition générale</w:t>
            </w:r>
          </w:p>
          <w:p w14:paraId="7CA00CF8" w14:textId="77777777" w:rsidR="002F5E5D" w:rsidRPr="00E72418" w:rsidRDefault="002F5E5D" w:rsidP="00B929D2">
            <w:pPr>
              <w:autoSpaceDE w:val="0"/>
              <w:autoSpaceDN w:val="0"/>
              <w:adjustRightInd w:val="0"/>
              <w:rPr>
                <w:rFonts w:ascii="Times New Roman" w:hAnsi="Times New Roman" w:cs="Times New Roman"/>
                <w:sz w:val="4"/>
                <w:szCs w:val="4"/>
              </w:rPr>
            </w:pPr>
          </w:p>
          <w:p w14:paraId="3A87B83C" w14:textId="2E0B89A1" w:rsidR="002F5E5D" w:rsidRPr="00E72418" w:rsidRDefault="002F5E5D" w:rsidP="00B929D2">
            <w:pPr>
              <w:autoSpaceDE w:val="0"/>
              <w:autoSpaceDN w:val="0"/>
              <w:adjustRightInd w:val="0"/>
              <w:rPr>
                <w:sz w:val="20"/>
                <w:szCs w:val="20"/>
                <w:lang w:val="en-US"/>
              </w:rPr>
            </w:pPr>
            <w:r w:rsidRPr="00E72418">
              <w:rPr>
                <w:sz w:val="20"/>
                <w:szCs w:val="20"/>
                <w:lang w:val="en-US"/>
              </w:rPr>
              <w:t>Law and Business Review of the Americas</w:t>
            </w:r>
          </w:p>
          <w:p w14:paraId="0719632F" w14:textId="1419BD81" w:rsidR="002F5E5D" w:rsidRPr="00E72418" w:rsidRDefault="002F5E5D" w:rsidP="00B929D2">
            <w:pPr>
              <w:autoSpaceDE w:val="0"/>
              <w:autoSpaceDN w:val="0"/>
              <w:adjustRightInd w:val="0"/>
              <w:rPr>
                <w:rFonts w:ascii="Times New Roman" w:hAnsi="Times New Roman" w:cs="Times New Roman"/>
                <w:sz w:val="4"/>
                <w:szCs w:val="4"/>
              </w:rPr>
            </w:pPr>
          </w:p>
        </w:tc>
      </w:tr>
      <w:tr w:rsidR="00B929D2" w:rsidRPr="00E72418" w14:paraId="49655681" w14:textId="77777777" w:rsidTr="002D118B">
        <w:tc>
          <w:tcPr>
            <w:tcW w:w="3686" w:type="dxa"/>
          </w:tcPr>
          <w:p w14:paraId="1A1AB0DF" w14:textId="5A2AFE64" w:rsidR="00B929D2" w:rsidRPr="00E72418" w:rsidRDefault="00B929D2" w:rsidP="00B929D2">
            <w:pPr>
              <w:autoSpaceDE w:val="0"/>
              <w:autoSpaceDN w:val="0"/>
              <w:adjustRightInd w:val="0"/>
              <w:jc w:val="left"/>
              <w:rPr>
                <w:rFonts w:ascii="Times New Roman" w:hAnsi="Times New Roman" w:cs="Times New Roman"/>
                <w:sz w:val="20"/>
                <w:szCs w:val="20"/>
              </w:rPr>
            </w:pPr>
            <w:r w:rsidRPr="00E72418">
              <w:rPr>
                <w:rFonts w:ascii="Times New Roman" w:hAnsi="Times New Roman" w:cs="Times New Roman"/>
                <w:sz w:val="20"/>
                <w:szCs w:val="20"/>
              </w:rPr>
              <w:t>Law&amp;ContempProbs</w:t>
            </w:r>
          </w:p>
          <w:p w14:paraId="0D0C1975" w14:textId="1CEF0EE2"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439685C"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Law and Contemporary Problems</w:t>
            </w:r>
          </w:p>
        </w:tc>
      </w:tr>
      <w:tr w:rsidR="00B929D2" w:rsidRPr="00E72418" w14:paraId="7B9AE3BD" w14:textId="77777777" w:rsidTr="002D118B">
        <w:tc>
          <w:tcPr>
            <w:tcW w:w="3686" w:type="dxa"/>
          </w:tcPr>
          <w:p w14:paraId="564065BC" w14:textId="77777777" w:rsidR="00B929D2" w:rsidRPr="00E72418" w:rsidRDefault="00B929D2" w:rsidP="00B929D2">
            <w:pPr>
              <w:autoSpaceDE w:val="0"/>
              <w:autoSpaceDN w:val="0"/>
              <w:adjustRightInd w:val="0"/>
              <w:jc w:val="left"/>
              <w:rPr>
                <w:rFonts w:ascii="Times New Roman" w:hAnsi="Times New Roman" w:cs="Times New Roman"/>
                <w:sz w:val="20"/>
                <w:szCs w:val="20"/>
              </w:rPr>
            </w:pPr>
            <w:r w:rsidRPr="00E72418">
              <w:rPr>
                <w:rFonts w:ascii="Times New Roman" w:hAnsi="Times New Roman" w:cs="Times New Roman"/>
                <w:sz w:val="20"/>
                <w:szCs w:val="20"/>
              </w:rPr>
              <w:t>Law Econ. Yrly. Rev.</w:t>
            </w:r>
          </w:p>
          <w:p w14:paraId="4FB47ED6" w14:textId="20401A5F"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5A72A7C4"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Law and Economics Yearly Review</w:t>
            </w:r>
          </w:p>
        </w:tc>
      </w:tr>
      <w:tr w:rsidR="00B929D2" w:rsidRPr="00E72418" w14:paraId="2E41C6C0" w14:textId="77777777" w:rsidTr="002D118B">
        <w:tc>
          <w:tcPr>
            <w:tcW w:w="3686" w:type="dxa"/>
          </w:tcPr>
          <w:p w14:paraId="78B08EC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Law &amp; Fin. Mkt. Rev.</w:t>
            </w:r>
          </w:p>
          <w:p w14:paraId="001FCC31" w14:textId="41E7E7B3"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5EE91119"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Law and Financial Markets Review</w:t>
            </w:r>
          </w:p>
        </w:tc>
      </w:tr>
      <w:tr w:rsidR="00B929D2" w:rsidRPr="00E72418" w14:paraId="2AB15673" w14:textId="77777777" w:rsidTr="002D118B">
        <w:tc>
          <w:tcPr>
            <w:tcW w:w="3686" w:type="dxa"/>
          </w:tcPr>
          <w:p w14:paraId="056B8CB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Law Soc. Inq.</w:t>
            </w:r>
          </w:p>
          <w:p w14:paraId="2C726D5F" w14:textId="66E54A98"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CDAA323"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Law and Social Inquiry</w:t>
            </w:r>
          </w:p>
        </w:tc>
      </w:tr>
      <w:tr w:rsidR="00B929D2" w:rsidRPr="00E72418" w14:paraId="1B418C1B" w14:textId="77777777" w:rsidTr="002D118B">
        <w:tc>
          <w:tcPr>
            <w:tcW w:w="3686" w:type="dxa"/>
          </w:tcPr>
          <w:p w14:paraId="7B6B38D8"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L.J.I.L.</w:t>
            </w:r>
          </w:p>
          <w:p w14:paraId="704E405B" w14:textId="19D0D43F"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507E75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Leiden Journal of International Law</w:t>
            </w:r>
          </w:p>
        </w:tc>
      </w:tr>
      <w:tr w:rsidR="00B929D2" w:rsidRPr="00E72418" w14:paraId="234E8B87" w14:textId="77777777" w:rsidTr="002D118B">
        <w:tc>
          <w:tcPr>
            <w:tcW w:w="3686" w:type="dxa"/>
          </w:tcPr>
          <w:p w14:paraId="1789858A" w14:textId="77777777" w:rsidR="00B929D2" w:rsidRPr="00E72418" w:rsidRDefault="00B929D2" w:rsidP="00B929D2">
            <w:pPr>
              <w:autoSpaceDE w:val="0"/>
              <w:autoSpaceDN w:val="0"/>
              <w:adjustRightInd w:val="0"/>
              <w:jc w:val="left"/>
              <w:rPr>
                <w:rFonts w:ascii="Times New Roman" w:hAnsi="Times New Roman" w:cs="Times New Roman"/>
                <w:sz w:val="20"/>
                <w:szCs w:val="20"/>
                <w:lang w:val="en-US"/>
              </w:rPr>
            </w:pPr>
            <w:r w:rsidRPr="00E72418">
              <w:rPr>
                <w:rFonts w:ascii="Times New Roman" w:hAnsi="Times New Roman" w:cs="Times New Roman"/>
                <w:sz w:val="20"/>
                <w:szCs w:val="20"/>
                <w:lang w:val="en-US"/>
              </w:rPr>
              <w:t>Maastricht J. Eur. Comp. Law</w:t>
            </w:r>
          </w:p>
          <w:p w14:paraId="3CA8A972" w14:textId="17C2642B"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2D7958C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Maastricht Journal of European and Comparative Law</w:t>
            </w:r>
          </w:p>
        </w:tc>
      </w:tr>
      <w:tr w:rsidR="00B929D2" w:rsidRPr="00E72418" w14:paraId="5F9AB8E7" w14:textId="77777777" w:rsidTr="002D118B">
        <w:tc>
          <w:tcPr>
            <w:tcW w:w="3686" w:type="dxa"/>
          </w:tcPr>
          <w:p w14:paraId="6E377A6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M.J.I.E.L.</w:t>
            </w:r>
          </w:p>
          <w:p w14:paraId="174B825A" w14:textId="6FF39211"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46D47509"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iCs/>
                <w:sz w:val="20"/>
                <w:szCs w:val="20"/>
                <w:lang w:val="en-US"/>
              </w:rPr>
              <w:t>Manchester Journal of International Economic Law</w:t>
            </w:r>
          </w:p>
        </w:tc>
      </w:tr>
      <w:tr w:rsidR="00B929D2" w:rsidRPr="00E72418" w14:paraId="2710AD20" w14:textId="77777777" w:rsidTr="002D118B">
        <w:tc>
          <w:tcPr>
            <w:tcW w:w="3686" w:type="dxa"/>
          </w:tcPr>
          <w:p w14:paraId="499DD84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Md. J. Int. Law</w:t>
            </w:r>
          </w:p>
          <w:p w14:paraId="4DB45F91" w14:textId="6A90A1D8"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BC31BDD"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lang w:val="en-US"/>
              </w:rPr>
              <w:t>Maryland Journal of International Law</w:t>
            </w:r>
          </w:p>
        </w:tc>
      </w:tr>
      <w:tr w:rsidR="00B929D2" w:rsidRPr="00E72418" w14:paraId="5C0168DD" w14:textId="77777777" w:rsidTr="002D118B">
        <w:tc>
          <w:tcPr>
            <w:tcW w:w="3686" w:type="dxa"/>
          </w:tcPr>
          <w:p w14:paraId="6A076B8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Mich. Law Rev.</w:t>
            </w:r>
          </w:p>
          <w:p w14:paraId="45CE752C" w14:textId="3D7C70FD"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C71FCF1"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rPr>
              <w:t>Michigan Law Review</w:t>
            </w:r>
          </w:p>
        </w:tc>
      </w:tr>
      <w:tr w:rsidR="00B929D2" w:rsidRPr="00E72418" w14:paraId="3CC004C6" w14:textId="77777777" w:rsidTr="002D118B">
        <w:tc>
          <w:tcPr>
            <w:tcW w:w="3686" w:type="dxa"/>
          </w:tcPr>
          <w:p w14:paraId="41402CE4" w14:textId="77777777" w:rsidR="00B929D2" w:rsidRPr="00E72418" w:rsidRDefault="00B929D2" w:rsidP="00B929D2">
            <w:pPr>
              <w:autoSpaceDE w:val="0"/>
              <w:autoSpaceDN w:val="0"/>
              <w:adjustRightInd w:val="0"/>
              <w:jc w:val="left"/>
              <w:rPr>
                <w:rFonts w:ascii="Times New Roman" w:hAnsi="Times New Roman" w:cs="Times New Roman"/>
                <w:sz w:val="20"/>
                <w:szCs w:val="20"/>
              </w:rPr>
            </w:pPr>
            <w:r w:rsidRPr="00E72418">
              <w:rPr>
                <w:rFonts w:ascii="Times New Roman" w:hAnsi="Times New Roman" w:cs="Times New Roman"/>
                <w:sz w:val="20"/>
                <w:szCs w:val="20"/>
              </w:rPr>
              <w:t>N.I.L.R.</w:t>
            </w:r>
          </w:p>
          <w:p w14:paraId="3D20D2C8" w14:textId="4180594A"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2F431D19"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iCs/>
                <w:sz w:val="20"/>
                <w:szCs w:val="20"/>
                <w:lang w:val="en-US"/>
              </w:rPr>
              <w:t>Netherlands International Law Review</w:t>
            </w:r>
          </w:p>
        </w:tc>
      </w:tr>
      <w:tr w:rsidR="00B929D2" w:rsidRPr="00E72418" w14:paraId="5F3A1C35" w14:textId="77777777" w:rsidTr="002D118B">
        <w:tc>
          <w:tcPr>
            <w:tcW w:w="3686" w:type="dxa"/>
          </w:tcPr>
          <w:p w14:paraId="11F727BD" w14:textId="77777777" w:rsidR="00B929D2" w:rsidRPr="00E72418" w:rsidRDefault="00B929D2" w:rsidP="00B929D2">
            <w:pPr>
              <w:autoSpaceDE w:val="0"/>
              <w:autoSpaceDN w:val="0"/>
              <w:adjustRightInd w:val="0"/>
              <w:jc w:val="left"/>
              <w:rPr>
                <w:rFonts w:ascii="Times New Roman" w:hAnsi="Times New Roman" w:cs="Times New Roman"/>
                <w:sz w:val="20"/>
                <w:szCs w:val="20"/>
              </w:rPr>
            </w:pPr>
            <w:r w:rsidRPr="00E72418">
              <w:rPr>
                <w:rFonts w:ascii="Times New Roman" w:hAnsi="Times New Roman" w:cs="Times New Roman"/>
                <w:sz w:val="20"/>
                <w:szCs w:val="20"/>
              </w:rPr>
              <w:t>N.Y. Int. Law Rev.</w:t>
            </w:r>
          </w:p>
          <w:p w14:paraId="47EEB1D5" w14:textId="6EB7885C"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2B2901E3"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lang w:val="en-US"/>
              </w:rPr>
              <w:t>New York International Law Review</w:t>
            </w:r>
          </w:p>
        </w:tc>
      </w:tr>
      <w:tr w:rsidR="00B929D2" w:rsidRPr="00E72418" w14:paraId="61394FF9" w14:textId="77777777" w:rsidTr="002D118B">
        <w:tc>
          <w:tcPr>
            <w:tcW w:w="3686" w:type="dxa"/>
          </w:tcPr>
          <w:p w14:paraId="1C398B34"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N.C.J. Int. Law &amp; Com. Reg.</w:t>
            </w:r>
          </w:p>
          <w:p w14:paraId="535906AD" w14:textId="00FA4519" w:rsidR="00B929D2" w:rsidRPr="00E72418" w:rsidRDefault="00B929D2" w:rsidP="00B929D2">
            <w:pPr>
              <w:autoSpaceDE w:val="0"/>
              <w:autoSpaceDN w:val="0"/>
              <w:adjustRightInd w:val="0"/>
              <w:jc w:val="left"/>
              <w:rPr>
                <w:rFonts w:ascii="Times New Roman" w:hAnsi="Times New Roman" w:cs="Times New Roman"/>
                <w:sz w:val="4"/>
                <w:szCs w:val="4"/>
              </w:rPr>
            </w:pPr>
          </w:p>
        </w:tc>
        <w:tc>
          <w:tcPr>
            <w:tcW w:w="6662" w:type="dxa"/>
          </w:tcPr>
          <w:p w14:paraId="19620A7E"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North Carolina Journal of International Law and Commercial Regulation</w:t>
            </w:r>
          </w:p>
        </w:tc>
      </w:tr>
      <w:tr w:rsidR="00B929D2" w:rsidRPr="00E72418" w14:paraId="3994B2D7" w14:textId="77777777" w:rsidTr="002D118B">
        <w:tc>
          <w:tcPr>
            <w:tcW w:w="3686" w:type="dxa"/>
          </w:tcPr>
          <w:p w14:paraId="058BE769"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Nw. J. Int. Law &amp; Bus.</w:t>
            </w:r>
          </w:p>
          <w:p w14:paraId="6EBDF93E" w14:textId="74AF563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90FAE0C"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Northwestern Journal of International Law and Business</w:t>
            </w:r>
          </w:p>
        </w:tc>
      </w:tr>
      <w:tr w:rsidR="00B929D2" w:rsidRPr="00E72418" w14:paraId="079970AC" w14:textId="77777777" w:rsidTr="002D118B">
        <w:tc>
          <w:tcPr>
            <w:tcW w:w="3686" w:type="dxa"/>
          </w:tcPr>
          <w:p w14:paraId="0D313FD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 xml:space="preserve">Pas. </w:t>
            </w:r>
          </w:p>
          <w:p w14:paraId="189DA997" w14:textId="024431A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37FC445"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Pasicrisie</w:t>
            </w:r>
          </w:p>
        </w:tc>
      </w:tr>
      <w:tr w:rsidR="00B929D2" w:rsidRPr="00E72418" w14:paraId="6406A3F7" w14:textId="77777777" w:rsidTr="002D118B">
        <w:tc>
          <w:tcPr>
            <w:tcW w:w="3686" w:type="dxa"/>
          </w:tcPr>
          <w:p w14:paraId="7694C2E9"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R.W.</w:t>
            </w:r>
          </w:p>
          <w:p w14:paraId="248435A7" w14:textId="2CA2A4B0"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F0AFFDC"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Rechtskundig Weekblad</w:t>
            </w:r>
          </w:p>
        </w:tc>
      </w:tr>
      <w:tr w:rsidR="00B929D2" w:rsidRPr="00E72418" w14:paraId="4252A50B" w14:textId="77777777" w:rsidTr="002D118B">
        <w:tc>
          <w:tcPr>
            <w:tcW w:w="3686" w:type="dxa"/>
          </w:tcPr>
          <w:p w14:paraId="47BCA84E"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D.</w:t>
            </w:r>
          </w:p>
          <w:p w14:paraId="6DCD1D1C" w14:textId="5DD822D2"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0E2A7F7"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Recueil Dalloz</w:t>
            </w:r>
          </w:p>
        </w:tc>
      </w:tr>
      <w:tr w:rsidR="00B929D2" w:rsidRPr="00E72418" w14:paraId="585F6D8B" w14:textId="77777777" w:rsidTr="002D118B">
        <w:tc>
          <w:tcPr>
            <w:tcW w:w="3686" w:type="dxa"/>
          </w:tcPr>
          <w:p w14:paraId="2DEBD56F"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Rép. internat. Dalloz</w:t>
            </w:r>
          </w:p>
          <w:p w14:paraId="779269A4" w14:textId="203BB718"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6EB9FD4"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Répertoire de droit international</w:t>
            </w:r>
          </w:p>
        </w:tc>
      </w:tr>
      <w:tr w:rsidR="00B929D2" w:rsidRPr="00E72418" w14:paraId="027F1C83" w14:textId="77777777" w:rsidTr="002D118B">
        <w:tc>
          <w:tcPr>
            <w:tcW w:w="3686" w:type="dxa"/>
          </w:tcPr>
          <w:p w14:paraId="186BDE3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Rev. Banking &amp; Fin. Law</w:t>
            </w:r>
          </w:p>
          <w:p w14:paraId="5FFA4C0E" w14:textId="497E96CC"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04497C5"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Review of Banking and Financial Law</w:t>
            </w:r>
          </w:p>
        </w:tc>
      </w:tr>
      <w:tr w:rsidR="00B929D2" w:rsidRPr="00E72418" w14:paraId="2811B5BB" w14:textId="77777777" w:rsidTr="002D118B">
        <w:tc>
          <w:tcPr>
            <w:tcW w:w="3686" w:type="dxa"/>
          </w:tcPr>
          <w:p w14:paraId="1BAB5153"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Rev. Econ. Stud.</w:t>
            </w:r>
          </w:p>
          <w:p w14:paraId="61758D0D" w14:textId="11C3B2B4"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5B12628"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US"/>
              </w:rPr>
              <w:t>Review of Economic Studies</w:t>
            </w:r>
          </w:p>
        </w:tc>
      </w:tr>
      <w:tr w:rsidR="00B929D2" w:rsidRPr="00E72418" w14:paraId="20E8ED06" w14:textId="77777777" w:rsidTr="002D118B">
        <w:tc>
          <w:tcPr>
            <w:tcW w:w="3686" w:type="dxa"/>
          </w:tcPr>
          <w:p w14:paraId="451D3B63"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R.B.D.I.</w:t>
            </w:r>
          </w:p>
          <w:p w14:paraId="4A75A1AC" w14:textId="578FDCF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DC81C0D"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Revue belge de droit international</w:t>
            </w:r>
          </w:p>
        </w:tc>
      </w:tr>
      <w:tr w:rsidR="00B929D2" w:rsidRPr="00E72418" w14:paraId="1FB25730" w14:textId="77777777" w:rsidTr="002D118B">
        <w:tc>
          <w:tcPr>
            <w:tcW w:w="3686" w:type="dxa"/>
          </w:tcPr>
          <w:p w14:paraId="437429B9"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Rev. crit. DIP</w:t>
            </w:r>
          </w:p>
          <w:p w14:paraId="22D9D1E7" w14:textId="3364F768"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95652C7"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Style w:val="apple-converted-space"/>
                <w:rFonts w:ascii="Times New Roman" w:hAnsi="Times New Roman" w:cs="Times New Roman"/>
                <w:sz w:val="20"/>
                <w:szCs w:val="20"/>
                <w:shd w:val="clear" w:color="auto" w:fill="FFFFFF"/>
              </w:rPr>
              <w:t>Revue critique de droit international privé</w:t>
            </w:r>
          </w:p>
        </w:tc>
      </w:tr>
      <w:tr w:rsidR="00B929D2" w:rsidRPr="00E72418" w14:paraId="04DCB687" w14:textId="77777777" w:rsidTr="002D118B">
        <w:tc>
          <w:tcPr>
            <w:tcW w:w="3686" w:type="dxa"/>
          </w:tcPr>
          <w:p w14:paraId="2FE7A81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R.C.J.B.</w:t>
            </w:r>
          </w:p>
          <w:p w14:paraId="17C79D70" w14:textId="04B5075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FEF92B9"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Revue critique de jurisprudence belge</w:t>
            </w:r>
          </w:p>
        </w:tc>
      </w:tr>
      <w:tr w:rsidR="00B929D2" w:rsidRPr="00E72418" w14:paraId="2B6C31C7" w14:textId="77777777" w:rsidTr="002D118B">
        <w:tc>
          <w:tcPr>
            <w:tcW w:w="3686" w:type="dxa"/>
          </w:tcPr>
          <w:p w14:paraId="169EAE5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R.D.C. – T.B.H.</w:t>
            </w:r>
          </w:p>
          <w:p w14:paraId="2252FB10" w14:textId="12D1D32A"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64765A1F"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Revue de droit commercial belge</w:t>
            </w:r>
          </w:p>
        </w:tc>
      </w:tr>
      <w:tr w:rsidR="00B929D2" w:rsidRPr="00E72418" w14:paraId="661E55A7" w14:textId="77777777" w:rsidTr="002D118B">
        <w:tc>
          <w:tcPr>
            <w:tcW w:w="3686" w:type="dxa"/>
          </w:tcPr>
          <w:p w14:paraId="654E270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lastRenderedPageBreak/>
              <w:t>R.D.I.A.</w:t>
            </w:r>
          </w:p>
          <w:p w14:paraId="77572CFC" w14:textId="5A0DFA74"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6665B003"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rPr>
              <w:t>Revue de droit international d’Assas</w:t>
            </w:r>
          </w:p>
        </w:tc>
      </w:tr>
      <w:tr w:rsidR="00B929D2" w:rsidRPr="00E72418" w14:paraId="14E7BF2A" w14:textId="77777777" w:rsidTr="002D118B">
        <w:tc>
          <w:tcPr>
            <w:tcW w:w="3686" w:type="dxa"/>
          </w:tcPr>
          <w:p w14:paraId="6A50B348" w14:textId="3B1FC27E"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Rev. Dr. Ulg</w:t>
            </w:r>
          </w:p>
          <w:p w14:paraId="34C8DD75" w14:textId="23A7756E"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8E499AA"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Revue de la Faculté de droit de l’Université de Liège</w:t>
            </w:r>
          </w:p>
        </w:tc>
      </w:tr>
      <w:tr w:rsidR="00B929D2" w:rsidRPr="00E72418" w14:paraId="2EAE0E76" w14:textId="77777777" w:rsidTr="002D118B">
        <w:tc>
          <w:tcPr>
            <w:tcW w:w="3686" w:type="dxa"/>
          </w:tcPr>
          <w:p w14:paraId="265897B6"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R.G.D.I.P.</w:t>
            </w:r>
          </w:p>
          <w:p w14:paraId="199D6EC6" w14:textId="00AA7509"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7AF6477"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Revue Générale de Droit International Public</w:t>
            </w:r>
          </w:p>
        </w:tc>
      </w:tr>
      <w:tr w:rsidR="00B929D2" w:rsidRPr="00E72418" w14:paraId="071EF9C7" w14:textId="77777777" w:rsidTr="002D118B">
        <w:tc>
          <w:tcPr>
            <w:tcW w:w="3686" w:type="dxa"/>
          </w:tcPr>
          <w:p w14:paraId="06D8F1A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R.I.D.E.</w:t>
            </w:r>
          </w:p>
          <w:p w14:paraId="666D878D" w14:textId="550DA0A6"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2F61F64"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lang w:val="en-US"/>
              </w:rPr>
              <w:t>Revue internationale de droit économique</w:t>
            </w:r>
          </w:p>
        </w:tc>
      </w:tr>
      <w:tr w:rsidR="00B929D2" w:rsidRPr="00E72418" w14:paraId="21FC0C7C" w14:textId="77777777" w:rsidTr="002D118B">
        <w:tc>
          <w:tcPr>
            <w:tcW w:w="3686" w:type="dxa"/>
          </w:tcPr>
          <w:p w14:paraId="10D8A618"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R.I.S.F.</w:t>
            </w:r>
          </w:p>
          <w:p w14:paraId="4A60EE7B" w14:textId="6B46A94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3A9BE74"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rPr>
              <w:t>Revue internationale des services financiers</w:t>
            </w:r>
          </w:p>
        </w:tc>
      </w:tr>
      <w:tr w:rsidR="00B929D2" w:rsidRPr="00E72418" w14:paraId="06AFECBB" w14:textId="77777777" w:rsidTr="002D118B">
        <w:tc>
          <w:tcPr>
            <w:tcW w:w="3686" w:type="dxa"/>
          </w:tcPr>
          <w:p w14:paraId="19D72C7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R.I.S.</w:t>
            </w:r>
          </w:p>
          <w:p w14:paraId="5D77A831" w14:textId="7F13134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527C5404"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rPr>
              <w:t>Revue internationale et stratégique</w:t>
            </w:r>
          </w:p>
        </w:tc>
      </w:tr>
      <w:tr w:rsidR="00B929D2" w:rsidRPr="00E72418" w14:paraId="76987B79" w14:textId="77777777" w:rsidTr="002D118B">
        <w:tc>
          <w:tcPr>
            <w:tcW w:w="3686" w:type="dxa"/>
          </w:tcPr>
          <w:p w14:paraId="76806F9C" w14:textId="77777777" w:rsidR="00B929D2" w:rsidRPr="00E72418" w:rsidRDefault="00B929D2" w:rsidP="00B929D2">
            <w:pPr>
              <w:autoSpaceDE w:val="0"/>
              <w:autoSpaceDN w:val="0"/>
              <w:adjustRightInd w:val="0"/>
              <w:jc w:val="left"/>
              <w:rPr>
                <w:rFonts w:ascii="Times New Roman" w:hAnsi="Times New Roman" w:cs="Times New Roman"/>
                <w:sz w:val="20"/>
                <w:szCs w:val="20"/>
                <w:lang w:val="en-US"/>
              </w:rPr>
            </w:pPr>
            <w:r w:rsidRPr="00E72418">
              <w:rPr>
                <w:rFonts w:ascii="Times New Roman" w:hAnsi="Times New Roman" w:cs="Times New Roman"/>
                <w:sz w:val="20"/>
                <w:szCs w:val="20"/>
                <w:lang w:val="en-US"/>
              </w:rPr>
              <w:t>RTDCiv.</w:t>
            </w:r>
          </w:p>
          <w:p w14:paraId="26197C28" w14:textId="41ABCA66" w:rsidR="00B929D2" w:rsidRPr="00E72418" w:rsidRDefault="00B929D2" w:rsidP="00B929D2">
            <w:pPr>
              <w:autoSpaceDE w:val="0"/>
              <w:autoSpaceDN w:val="0"/>
              <w:adjustRightInd w:val="0"/>
              <w:jc w:val="left"/>
              <w:rPr>
                <w:rFonts w:ascii="Times New Roman" w:hAnsi="Times New Roman" w:cs="Times New Roman"/>
                <w:sz w:val="4"/>
                <w:szCs w:val="4"/>
                <w:lang w:val="en-US"/>
              </w:rPr>
            </w:pPr>
          </w:p>
        </w:tc>
        <w:tc>
          <w:tcPr>
            <w:tcW w:w="6662" w:type="dxa"/>
          </w:tcPr>
          <w:p w14:paraId="3ABCC32D"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Style w:val="Titre6Car"/>
                <w:rFonts w:ascii="Times New Roman" w:hAnsi="Times New Roman" w:cs="Times New Roman"/>
                <w:color w:val="auto"/>
                <w:sz w:val="20"/>
                <w:szCs w:val="20"/>
              </w:rPr>
              <w:t>Revue trimestrielle de droit civil</w:t>
            </w:r>
          </w:p>
        </w:tc>
      </w:tr>
      <w:tr w:rsidR="00B929D2" w:rsidRPr="00E72418" w14:paraId="3F7E0888" w14:textId="77777777" w:rsidTr="002D118B">
        <w:tc>
          <w:tcPr>
            <w:tcW w:w="3686" w:type="dxa"/>
          </w:tcPr>
          <w:p w14:paraId="03B87AF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Santa Clara J. Int. Law</w:t>
            </w:r>
          </w:p>
          <w:p w14:paraId="52C5C0E6" w14:textId="3FF060A5" w:rsidR="00B929D2" w:rsidRPr="00E72418" w:rsidRDefault="00B929D2" w:rsidP="00B929D2">
            <w:pPr>
              <w:autoSpaceDE w:val="0"/>
              <w:autoSpaceDN w:val="0"/>
              <w:adjustRightInd w:val="0"/>
              <w:jc w:val="left"/>
              <w:rPr>
                <w:rStyle w:val="Titre6Car"/>
                <w:rFonts w:ascii="Times New Roman" w:hAnsi="Times New Roman" w:cs="Times New Roman"/>
                <w:color w:val="auto"/>
                <w:sz w:val="4"/>
                <w:szCs w:val="4"/>
              </w:rPr>
            </w:pPr>
          </w:p>
        </w:tc>
        <w:tc>
          <w:tcPr>
            <w:tcW w:w="6662" w:type="dxa"/>
          </w:tcPr>
          <w:p w14:paraId="07861FC9" w14:textId="77777777" w:rsidR="00B929D2" w:rsidRPr="00E72418" w:rsidRDefault="00B929D2" w:rsidP="00B929D2">
            <w:pPr>
              <w:autoSpaceDE w:val="0"/>
              <w:autoSpaceDN w:val="0"/>
              <w:adjustRightInd w:val="0"/>
              <w:rPr>
                <w:rStyle w:val="Titre6Car"/>
                <w:rFonts w:ascii="Times New Roman" w:hAnsi="Times New Roman" w:cs="Times New Roman"/>
                <w:color w:val="auto"/>
                <w:sz w:val="20"/>
                <w:szCs w:val="20"/>
              </w:rPr>
            </w:pPr>
            <w:r w:rsidRPr="00E72418">
              <w:rPr>
                <w:rFonts w:ascii="Times New Roman" w:hAnsi="Times New Roman" w:cs="Times New Roman"/>
                <w:sz w:val="20"/>
                <w:szCs w:val="20"/>
                <w:lang w:val="en-US"/>
              </w:rPr>
              <w:t>Santa Clara Journal of International Law</w:t>
            </w:r>
          </w:p>
        </w:tc>
      </w:tr>
      <w:tr w:rsidR="00B929D2" w:rsidRPr="00E72418" w14:paraId="0589AC02" w14:textId="77777777" w:rsidTr="002D118B">
        <w:tc>
          <w:tcPr>
            <w:tcW w:w="3686" w:type="dxa"/>
          </w:tcPr>
          <w:p w14:paraId="40B6F3DF"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Stan. J. Int. Law</w:t>
            </w:r>
          </w:p>
          <w:p w14:paraId="611A312E" w14:textId="3FD3F050"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4DDA181"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Stanford Journal of International Law</w:t>
            </w:r>
          </w:p>
        </w:tc>
      </w:tr>
      <w:tr w:rsidR="00B929D2" w:rsidRPr="00E72418" w14:paraId="028F76EE" w14:textId="77777777" w:rsidTr="002D118B">
        <w:tc>
          <w:tcPr>
            <w:tcW w:w="3686" w:type="dxa"/>
          </w:tcPr>
          <w:p w14:paraId="4B1A748F"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Stan. J. Law Bus. &amp; Fin.</w:t>
            </w:r>
          </w:p>
          <w:p w14:paraId="0D98698C" w14:textId="4CC560AC"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B15E8C4" w14:textId="6C0733B6"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iCs/>
                <w:sz w:val="20"/>
                <w:szCs w:val="20"/>
                <w:lang w:val="en-US"/>
              </w:rPr>
              <w:t>Stanf</w:t>
            </w:r>
            <w:r w:rsidR="00D4650A" w:rsidRPr="00E72418">
              <w:rPr>
                <w:rFonts w:ascii="Times New Roman" w:hAnsi="Times New Roman" w:cs="Times New Roman"/>
                <w:iCs/>
                <w:sz w:val="20"/>
                <w:szCs w:val="20"/>
                <w:lang w:val="en-US"/>
              </w:rPr>
              <w:t>ord Journal of Law, Business &amp;</w:t>
            </w:r>
            <w:r w:rsidRPr="00E72418">
              <w:rPr>
                <w:rFonts w:ascii="Times New Roman" w:hAnsi="Times New Roman" w:cs="Times New Roman"/>
                <w:iCs/>
                <w:sz w:val="20"/>
                <w:szCs w:val="20"/>
                <w:lang w:val="en-US"/>
              </w:rPr>
              <w:t xml:space="preserve"> Financ</w:t>
            </w:r>
            <w:r w:rsidR="00D4650A" w:rsidRPr="00E72418">
              <w:rPr>
                <w:rFonts w:ascii="Times New Roman" w:hAnsi="Times New Roman" w:cs="Times New Roman"/>
                <w:iCs/>
                <w:sz w:val="20"/>
                <w:szCs w:val="20"/>
                <w:lang w:val="en-US"/>
              </w:rPr>
              <w:t>e</w:t>
            </w:r>
          </w:p>
        </w:tc>
      </w:tr>
      <w:tr w:rsidR="00B929D2" w:rsidRPr="00E72418" w14:paraId="27E8FB2A" w14:textId="77777777" w:rsidTr="002D118B">
        <w:tc>
          <w:tcPr>
            <w:tcW w:w="3686" w:type="dxa"/>
          </w:tcPr>
          <w:p w14:paraId="545B994A"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SUR – Int. J. on Hum. Rts.</w:t>
            </w:r>
          </w:p>
          <w:p w14:paraId="21D92647" w14:textId="2CA5167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29E2472" w14:textId="77777777" w:rsidR="00B929D2" w:rsidRPr="00E72418" w:rsidRDefault="00B929D2" w:rsidP="00B929D2">
            <w:pPr>
              <w:autoSpaceDE w:val="0"/>
              <w:autoSpaceDN w:val="0"/>
              <w:adjustRightInd w:val="0"/>
              <w:rPr>
                <w:rFonts w:ascii="Times New Roman" w:hAnsi="Times New Roman" w:cs="Times New Roman"/>
                <w:iCs/>
                <w:sz w:val="20"/>
                <w:szCs w:val="20"/>
                <w:lang w:val="en-US"/>
              </w:rPr>
            </w:pPr>
            <w:r w:rsidRPr="00E72418">
              <w:rPr>
                <w:rFonts w:ascii="Times New Roman" w:hAnsi="Times New Roman" w:cs="Times New Roman"/>
                <w:sz w:val="20"/>
                <w:szCs w:val="20"/>
                <w:lang w:val="en-US"/>
              </w:rPr>
              <w:t>SUR – International Journal on Human Right</w:t>
            </w:r>
          </w:p>
        </w:tc>
      </w:tr>
      <w:tr w:rsidR="00B929D2" w:rsidRPr="00E72418" w14:paraId="4AA441EA" w14:textId="77777777" w:rsidTr="002D118B">
        <w:tc>
          <w:tcPr>
            <w:tcW w:w="3686" w:type="dxa"/>
          </w:tcPr>
          <w:p w14:paraId="1F2E8F2D"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Sydney Law Rev.</w:t>
            </w:r>
          </w:p>
          <w:p w14:paraId="5FF96BB7" w14:textId="2EAC3308" w:rsidR="00B929D2" w:rsidRPr="00E72418" w:rsidRDefault="00B929D2" w:rsidP="00B929D2">
            <w:pPr>
              <w:autoSpaceDE w:val="0"/>
              <w:autoSpaceDN w:val="0"/>
              <w:adjustRightInd w:val="0"/>
              <w:jc w:val="left"/>
              <w:rPr>
                <w:rFonts w:ascii="Times New Roman" w:hAnsi="Times New Roman" w:cs="Times New Roman"/>
                <w:sz w:val="4"/>
                <w:szCs w:val="4"/>
                <w:lang w:val="en-US"/>
              </w:rPr>
            </w:pPr>
          </w:p>
        </w:tc>
        <w:tc>
          <w:tcPr>
            <w:tcW w:w="6662" w:type="dxa"/>
          </w:tcPr>
          <w:p w14:paraId="7EA63DF8"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Sydney Law Review</w:t>
            </w:r>
          </w:p>
        </w:tc>
      </w:tr>
      <w:tr w:rsidR="00B929D2" w:rsidRPr="00E72418" w14:paraId="5537F6EF" w14:textId="77777777" w:rsidTr="002D118B">
        <w:tc>
          <w:tcPr>
            <w:tcW w:w="3686" w:type="dxa"/>
          </w:tcPr>
          <w:p w14:paraId="184DF8D2"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Tex. Int. Law J.</w:t>
            </w:r>
          </w:p>
          <w:p w14:paraId="1A817A5D" w14:textId="520B5879"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43FF8C8" w14:textId="77777777" w:rsidR="00B929D2" w:rsidRPr="00E72418" w:rsidRDefault="00B929D2" w:rsidP="00B929D2">
            <w:pPr>
              <w:autoSpaceDE w:val="0"/>
              <w:autoSpaceDN w:val="0"/>
              <w:adjustRightInd w:val="0"/>
              <w:rPr>
                <w:rFonts w:ascii="Times New Roman" w:hAnsi="Times New Roman" w:cs="Times New Roman"/>
                <w:sz w:val="20"/>
                <w:szCs w:val="20"/>
              </w:rPr>
            </w:pPr>
            <w:r w:rsidRPr="00E72418">
              <w:rPr>
                <w:rFonts w:ascii="Times New Roman" w:hAnsi="Times New Roman" w:cs="Times New Roman"/>
                <w:sz w:val="20"/>
                <w:szCs w:val="20"/>
                <w:lang w:val="en-GB"/>
              </w:rPr>
              <w:t>Texas International Law Journal</w:t>
            </w:r>
          </w:p>
        </w:tc>
      </w:tr>
      <w:tr w:rsidR="00B929D2" w:rsidRPr="00E72418" w14:paraId="7BE773A1" w14:textId="77777777" w:rsidTr="002D118B">
        <w:tc>
          <w:tcPr>
            <w:tcW w:w="3686" w:type="dxa"/>
          </w:tcPr>
          <w:p w14:paraId="63C2E8D1"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T.W.Q.</w:t>
            </w:r>
          </w:p>
          <w:p w14:paraId="5F09066A" w14:textId="2F657EEC"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7847F74E"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Third World Quarterly</w:t>
            </w:r>
          </w:p>
        </w:tc>
      </w:tr>
      <w:tr w:rsidR="00B929D2" w:rsidRPr="00E72418" w14:paraId="7AEF4507" w14:textId="77777777" w:rsidTr="002D118B">
        <w:tc>
          <w:tcPr>
            <w:tcW w:w="3686" w:type="dxa"/>
          </w:tcPr>
          <w:p w14:paraId="0ED3C81E"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Transnat. Legal Theory</w:t>
            </w:r>
          </w:p>
          <w:p w14:paraId="794BD0E9" w14:textId="7682B12B"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6C9A6A5C"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Transnational Legal Theory</w:t>
            </w:r>
          </w:p>
        </w:tc>
      </w:tr>
      <w:tr w:rsidR="00B929D2" w:rsidRPr="00E72418" w14:paraId="50DC6DA4" w14:textId="77777777" w:rsidTr="002D118B">
        <w:tc>
          <w:tcPr>
            <w:tcW w:w="3686" w:type="dxa"/>
          </w:tcPr>
          <w:p w14:paraId="4F7D82AB"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Tul. J. Int. &amp; Comp. Law</w:t>
            </w:r>
          </w:p>
          <w:p w14:paraId="48381641" w14:textId="0707C0D6"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ABA8711"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Tulane Journal of International and Comparative Law</w:t>
            </w:r>
          </w:p>
        </w:tc>
      </w:tr>
      <w:tr w:rsidR="00B929D2" w:rsidRPr="00E72418" w14:paraId="64A8778D" w14:textId="77777777" w:rsidTr="002D118B">
        <w:tc>
          <w:tcPr>
            <w:tcW w:w="3686" w:type="dxa"/>
          </w:tcPr>
          <w:p w14:paraId="62F0227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UCLA J. Int. Law &amp; Foreign Aff.</w:t>
            </w:r>
          </w:p>
          <w:p w14:paraId="33671DF2" w14:textId="49412332"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5F49FF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UCLA Journal of International Law and Foreign Affairs</w:t>
            </w:r>
          </w:p>
        </w:tc>
      </w:tr>
      <w:tr w:rsidR="00B929D2" w:rsidRPr="00E72418" w14:paraId="719B8AAF" w14:textId="77777777" w:rsidTr="002D118B">
        <w:tc>
          <w:tcPr>
            <w:tcW w:w="3686" w:type="dxa"/>
          </w:tcPr>
          <w:p w14:paraId="057F2134"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UCLA Law Rev.</w:t>
            </w:r>
          </w:p>
          <w:p w14:paraId="2DFF535C" w14:textId="4F4E2F73"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72DC2EB"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UCLA Law Review</w:t>
            </w:r>
          </w:p>
        </w:tc>
      </w:tr>
      <w:tr w:rsidR="00B929D2" w:rsidRPr="00E72418" w14:paraId="4167D22E" w14:textId="77777777" w:rsidTr="002D118B">
        <w:tc>
          <w:tcPr>
            <w:tcW w:w="3686" w:type="dxa"/>
          </w:tcPr>
          <w:p w14:paraId="6B73FC18"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U. Ill. Law Rev.</w:t>
            </w:r>
          </w:p>
          <w:p w14:paraId="77244931" w14:textId="1B356BC4"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4618D31D"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GB"/>
              </w:rPr>
              <w:t>University of Illinois Law Review</w:t>
            </w:r>
          </w:p>
        </w:tc>
      </w:tr>
      <w:tr w:rsidR="00B929D2" w:rsidRPr="00E72418" w14:paraId="2C896703" w14:textId="77777777" w:rsidTr="002D118B">
        <w:tc>
          <w:tcPr>
            <w:tcW w:w="3686" w:type="dxa"/>
          </w:tcPr>
          <w:p w14:paraId="0FB0BA75"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U. Miami Int. &amp; Comp. Law Rev.</w:t>
            </w:r>
          </w:p>
          <w:p w14:paraId="46F715F6" w14:textId="695F7FA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01263C0" w14:textId="77777777" w:rsidR="00B929D2" w:rsidRPr="00E72418" w:rsidRDefault="00B929D2" w:rsidP="00B929D2">
            <w:pPr>
              <w:autoSpaceDE w:val="0"/>
              <w:autoSpaceDN w:val="0"/>
              <w:adjustRightInd w:val="0"/>
              <w:rPr>
                <w:rFonts w:ascii="Times New Roman" w:hAnsi="Times New Roman" w:cs="Times New Roman"/>
                <w:sz w:val="20"/>
                <w:szCs w:val="20"/>
                <w:lang w:val="fr-BE"/>
              </w:rPr>
            </w:pPr>
            <w:r w:rsidRPr="00E72418">
              <w:rPr>
                <w:rFonts w:ascii="Times New Roman" w:hAnsi="Times New Roman" w:cs="Times New Roman"/>
                <w:sz w:val="20"/>
                <w:szCs w:val="20"/>
                <w:lang w:val="en-US"/>
              </w:rPr>
              <w:t>University of Miami International and Comparative Law Review</w:t>
            </w:r>
          </w:p>
        </w:tc>
      </w:tr>
      <w:tr w:rsidR="00B929D2" w:rsidRPr="00E72418" w14:paraId="36AD33CB" w14:textId="77777777" w:rsidTr="002D118B">
        <w:tc>
          <w:tcPr>
            <w:tcW w:w="3686" w:type="dxa"/>
          </w:tcPr>
          <w:p w14:paraId="6401E0F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Vand. J. Transnat. Law</w:t>
            </w:r>
          </w:p>
          <w:p w14:paraId="2E41A2A7" w14:textId="013B88F5"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27099BDD"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Vanderbilt Journal of Transnational Law</w:t>
            </w:r>
          </w:p>
        </w:tc>
      </w:tr>
      <w:tr w:rsidR="00B929D2" w:rsidRPr="00E72418" w14:paraId="1397CAEA" w14:textId="77777777" w:rsidTr="002D118B">
        <w:tc>
          <w:tcPr>
            <w:tcW w:w="3686" w:type="dxa"/>
          </w:tcPr>
          <w:p w14:paraId="5EFAE169"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Vand. Law Rev.</w:t>
            </w:r>
          </w:p>
          <w:p w14:paraId="2DA8C9AA" w14:textId="1E33C51E"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F4D4D35"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Vanderbilt Law Review</w:t>
            </w:r>
          </w:p>
        </w:tc>
      </w:tr>
      <w:tr w:rsidR="00B929D2" w:rsidRPr="00E72418" w14:paraId="353F5286" w14:textId="77777777" w:rsidTr="002D118B">
        <w:tc>
          <w:tcPr>
            <w:tcW w:w="3686" w:type="dxa"/>
          </w:tcPr>
          <w:p w14:paraId="3E5AB5AB"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Va. J. Int. Law</w:t>
            </w:r>
          </w:p>
          <w:p w14:paraId="4150329F" w14:textId="79BF638B"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3CB2DFC5"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Virginia Journal of International Law</w:t>
            </w:r>
          </w:p>
        </w:tc>
      </w:tr>
      <w:tr w:rsidR="00B929D2" w:rsidRPr="00E72418" w14:paraId="25D0FCA6" w14:textId="77777777" w:rsidTr="002D118B">
        <w:tc>
          <w:tcPr>
            <w:tcW w:w="3686" w:type="dxa"/>
          </w:tcPr>
          <w:p w14:paraId="1E78E7FB"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Wash. U. Global Stud. Law Rev.</w:t>
            </w:r>
          </w:p>
          <w:p w14:paraId="594D9CDE" w14:textId="555E51E7"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1187E7B6"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Washington University Global Studies Law Review</w:t>
            </w:r>
          </w:p>
        </w:tc>
      </w:tr>
      <w:tr w:rsidR="007A53CA" w:rsidRPr="00E72418" w14:paraId="2A569E73" w14:textId="77777777" w:rsidTr="002D118B">
        <w:tc>
          <w:tcPr>
            <w:tcW w:w="3686" w:type="dxa"/>
          </w:tcPr>
          <w:p w14:paraId="1C3ED0DB" w14:textId="77777777" w:rsidR="007A53CA" w:rsidRPr="00E72418" w:rsidRDefault="007A53CA" w:rsidP="00B929D2">
            <w:pPr>
              <w:autoSpaceDE w:val="0"/>
              <w:autoSpaceDN w:val="0"/>
              <w:adjustRightInd w:val="0"/>
              <w:jc w:val="left"/>
              <w:rPr>
                <w:sz w:val="20"/>
                <w:szCs w:val="20"/>
                <w:lang w:val="en-US"/>
              </w:rPr>
            </w:pPr>
            <w:r w:rsidRPr="00E72418">
              <w:rPr>
                <w:sz w:val="20"/>
                <w:szCs w:val="20"/>
                <w:lang w:val="en-US"/>
              </w:rPr>
              <w:t>Wash. U. Law Rev.</w:t>
            </w:r>
          </w:p>
          <w:p w14:paraId="23D4FBFE" w14:textId="052CA190" w:rsidR="007A53CA" w:rsidRPr="00E72418" w:rsidRDefault="007A53CA" w:rsidP="00B929D2">
            <w:pPr>
              <w:autoSpaceDE w:val="0"/>
              <w:autoSpaceDN w:val="0"/>
              <w:adjustRightInd w:val="0"/>
              <w:jc w:val="left"/>
              <w:rPr>
                <w:rFonts w:ascii="Times New Roman" w:hAnsi="Times New Roman" w:cs="Times New Roman"/>
                <w:sz w:val="4"/>
                <w:szCs w:val="4"/>
                <w:lang w:val="fr-BE"/>
              </w:rPr>
            </w:pPr>
          </w:p>
        </w:tc>
        <w:tc>
          <w:tcPr>
            <w:tcW w:w="6662" w:type="dxa"/>
          </w:tcPr>
          <w:p w14:paraId="3CD3F479" w14:textId="3059D0A0" w:rsidR="007A53CA" w:rsidRPr="00E72418" w:rsidRDefault="007A53CA" w:rsidP="00B929D2">
            <w:pPr>
              <w:autoSpaceDE w:val="0"/>
              <w:autoSpaceDN w:val="0"/>
              <w:adjustRightInd w:val="0"/>
              <w:rPr>
                <w:rFonts w:ascii="Times New Roman" w:hAnsi="Times New Roman" w:cs="Times New Roman"/>
                <w:sz w:val="20"/>
                <w:szCs w:val="20"/>
                <w:lang w:val="en-US"/>
              </w:rPr>
            </w:pPr>
            <w:r w:rsidRPr="00E72418">
              <w:rPr>
                <w:sz w:val="20"/>
                <w:szCs w:val="20"/>
                <w:lang w:val="en-US"/>
              </w:rPr>
              <w:t>Washington University Law Review</w:t>
            </w:r>
          </w:p>
        </w:tc>
      </w:tr>
      <w:tr w:rsidR="00B929D2" w:rsidRPr="00E72418" w14:paraId="71D103A7" w14:textId="77777777" w:rsidTr="002D118B">
        <w:tc>
          <w:tcPr>
            <w:tcW w:w="3686" w:type="dxa"/>
          </w:tcPr>
          <w:p w14:paraId="15CB44D0"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Yale J. Int. Law</w:t>
            </w:r>
          </w:p>
          <w:p w14:paraId="5D792360" w14:textId="2E80946F" w:rsidR="00B929D2" w:rsidRPr="00E72418" w:rsidRDefault="00B929D2" w:rsidP="00B929D2">
            <w:pPr>
              <w:autoSpaceDE w:val="0"/>
              <w:autoSpaceDN w:val="0"/>
              <w:adjustRightInd w:val="0"/>
              <w:jc w:val="left"/>
              <w:rPr>
                <w:rFonts w:ascii="Times New Roman" w:hAnsi="Times New Roman" w:cs="Times New Roman"/>
                <w:sz w:val="4"/>
                <w:szCs w:val="4"/>
                <w:lang w:val="fr-BE"/>
              </w:rPr>
            </w:pPr>
          </w:p>
        </w:tc>
        <w:tc>
          <w:tcPr>
            <w:tcW w:w="6662" w:type="dxa"/>
          </w:tcPr>
          <w:p w14:paraId="0B4F0720"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Yale Journal of International Law (the)</w:t>
            </w:r>
          </w:p>
        </w:tc>
      </w:tr>
      <w:tr w:rsidR="00B929D2" w:rsidRPr="00E72418" w14:paraId="4EF1CCBF" w14:textId="77777777" w:rsidTr="002D118B">
        <w:tc>
          <w:tcPr>
            <w:tcW w:w="3686" w:type="dxa"/>
          </w:tcPr>
          <w:p w14:paraId="7A86243C" w14:textId="77777777" w:rsidR="00B929D2" w:rsidRPr="00E72418" w:rsidRDefault="00B929D2" w:rsidP="00B929D2">
            <w:pPr>
              <w:autoSpaceDE w:val="0"/>
              <w:autoSpaceDN w:val="0"/>
              <w:adjustRightInd w:val="0"/>
              <w:jc w:val="left"/>
              <w:rPr>
                <w:rFonts w:ascii="Times New Roman" w:hAnsi="Times New Roman" w:cs="Times New Roman"/>
                <w:sz w:val="20"/>
                <w:szCs w:val="20"/>
                <w:lang w:val="fr-BE"/>
              </w:rPr>
            </w:pPr>
            <w:r w:rsidRPr="00E72418">
              <w:rPr>
                <w:rFonts w:ascii="Times New Roman" w:hAnsi="Times New Roman" w:cs="Times New Roman"/>
                <w:sz w:val="20"/>
                <w:szCs w:val="20"/>
                <w:lang w:val="fr-BE"/>
              </w:rPr>
              <w:t>Yale J. on Reg.</w:t>
            </w:r>
          </w:p>
        </w:tc>
        <w:tc>
          <w:tcPr>
            <w:tcW w:w="6662" w:type="dxa"/>
          </w:tcPr>
          <w:p w14:paraId="07291AB2" w14:textId="77777777" w:rsidR="00B929D2" w:rsidRPr="00E72418" w:rsidRDefault="00B929D2" w:rsidP="00B929D2">
            <w:pPr>
              <w:autoSpaceDE w:val="0"/>
              <w:autoSpaceDN w:val="0"/>
              <w:adjustRightInd w:val="0"/>
              <w:rPr>
                <w:rFonts w:ascii="Times New Roman" w:hAnsi="Times New Roman" w:cs="Times New Roman"/>
                <w:sz w:val="20"/>
                <w:szCs w:val="20"/>
                <w:lang w:val="en-US"/>
              </w:rPr>
            </w:pPr>
            <w:r w:rsidRPr="00E72418">
              <w:rPr>
                <w:rFonts w:ascii="Times New Roman" w:hAnsi="Times New Roman" w:cs="Times New Roman"/>
                <w:sz w:val="20"/>
                <w:szCs w:val="20"/>
                <w:lang w:val="en-US"/>
              </w:rPr>
              <w:t>Yale Journal on Regulation</w:t>
            </w:r>
          </w:p>
        </w:tc>
      </w:tr>
    </w:tbl>
    <w:p w14:paraId="14CC8605" w14:textId="77777777" w:rsidR="000C3A9D" w:rsidRPr="00E72418" w:rsidRDefault="000C3A9D" w:rsidP="00067C09">
      <w:pPr>
        <w:jc w:val="center"/>
        <w:rPr>
          <w:b/>
          <w:sz w:val="30"/>
          <w:szCs w:val="30"/>
        </w:rPr>
      </w:pPr>
    </w:p>
    <w:p w14:paraId="462A5A5A" w14:textId="77777777" w:rsidR="00414408" w:rsidRPr="00E72418" w:rsidRDefault="00414408" w:rsidP="00CC4BA8">
      <w:pPr>
        <w:jc w:val="center"/>
      </w:pPr>
    </w:p>
    <w:p w14:paraId="30D2F1D0" w14:textId="77777777" w:rsidR="005E2676" w:rsidRPr="00E72418" w:rsidRDefault="005E2676">
      <w:pPr>
        <w:jc w:val="left"/>
        <w:rPr>
          <w:rFonts w:ascii="Times New Roman" w:eastAsiaTheme="majorEastAsia" w:hAnsi="Times New Roman" w:cstheme="majorBidi"/>
          <w:b/>
          <w:sz w:val="40"/>
          <w:szCs w:val="26"/>
        </w:rPr>
      </w:pPr>
      <w:bookmarkStart w:id="1" w:name="_Toc75106047"/>
      <w:bookmarkStart w:id="2" w:name="_Toc75106597"/>
      <w:bookmarkStart w:id="3" w:name="_Toc84540854"/>
      <w:r w:rsidRPr="00E72418">
        <w:br w:type="page"/>
      </w:r>
    </w:p>
    <w:p w14:paraId="27AFCD4F" w14:textId="77777777" w:rsidR="00B34CC8" w:rsidRPr="00E72418" w:rsidRDefault="00B34CC8">
      <w:pPr>
        <w:jc w:val="left"/>
        <w:rPr>
          <w:rFonts w:ascii="Times New Roman" w:eastAsiaTheme="majorEastAsia" w:hAnsi="Times New Roman" w:cstheme="majorBidi"/>
          <w:b/>
          <w:sz w:val="30"/>
          <w:szCs w:val="30"/>
        </w:rPr>
      </w:pPr>
      <w:r w:rsidRPr="00E72418">
        <w:rPr>
          <w:sz w:val="30"/>
          <w:szCs w:val="30"/>
        </w:rPr>
        <w:lastRenderedPageBreak/>
        <w:br w:type="page"/>
      </w:r>
    </w:p>
    <w:p w14:paraId="61D90C0E" w14:textId="4BAC2FBA" w:rsidR="005519F3" w:rsidRPr="00C50185" w:rsidRDefault="005519F3" w:rsidP="00C50185">
      <w:pPr>
        <w:jc w:val="center"/>
        <w:rPr>
          <w:b/>
          <w:sz w:val="30"/>
          <w:szCs w:val="30"/>
        </w:rPr>
      </w:pPr>
      <w:r w:rsidRPr="00C50185">
        <w:rPr>
          <w:b/>
          <w:sz w:val="30"/>
          <w:szCs w:val="30"/>
        </w:rPr>
        <w:lastRenderedPageBreak/>
        <w:t>Plan</w:t>
      </w:r>
      <w:bookmarkEnd w:id="1"/>
      <w:bookmarkEnd w:id="2"/>
      <w:bookmarkEnd w:id="3"/>
    </w:p>
    <w:p w14:paraId="5EB05B5D" w14:textId="77777777" w:rsidR="005519F3" w:rsidRPr="00E72418" w:rsidRDefault="005519F3" w:rsidP="00CC4BA8"/>
    <w:p w14:paraId="2EADD64E" w14:textId="77777777" w:rsidR="005519F3" w:rsidRPr="00E72418" w:rsidRDefault="005519F3" w:rsidP="00CC4BA8"/>
    <w:p w14:paraId="5E0327CE" w14:textId="77777777" w:rsidR="005519F3" w:rsidRPr="00E72418" w:rsidRDefault="005519F3" w:rsidP="00CC4BA8"/>
    <w:p w14:paraId="3A1AEFE4" w14:textId="77777777" w:rsidR="005519F3" w:rsidRPr="00E72418" w:rsidRDefault="005519F3" w:rsidP="00CC4BA8">
      <w:pPr>
        <w:jc w:val="left"/>
      </w:pPr>
      <w:r w:rsidRPr="00E72418">
        <w:t>Introduction générale</w:t>
      </w:r>
    </w:p>
    <w:p w14:paraId="3671C071" w14:textId="77777777" w:rsidR="005519F3" w:rsidRPr="00E72418" w:rsidRDefault="005519F3" w:rsidP="00CC4BA8">
      <w:pPr>
        <w:jc w:val="left"/>
      </w:pPr>
    </w:p>
    <w:p w14:paraId="44F074E2" w14:textId="77777777" w:rsidR="00414408" w:rsidRPr="00E72418" w:rsidRDefault="00414408" w:rsidP="00CC4BA8">
      <w:pPr>
        <w:jc w:val="left"/>
      </w:pPr>
    </w:p>
    <w:p w14:paraId="57C0E707" w14:textId="77777777" w:rsidR="005519F3" w:rsidRPr="00E72418" w:rsidRDefault="005519F3" w:rsidP="00CC4BA8">
      <w:pPr>
        <w:jc w:val="left"/>
      </w:pPr>
      <w:r w:rsidRPr="00E72418">
        <w:t>Prolégomènes</w:t>
      </w:r>
    </w:p>
    <w:p w14:paraId="1E6BEB16" w14:textId="77777777" w:rsidR="005519F3" w:rsidRPr="00E72418" w:rsidRDefault="005519F3" w:rsidP="00CC4BA8">
      <w:pPr>
        <w:jc w:val="left"/>
      </w:pPr>
    </w:p>
    <w:p w14:paraId="2D2661EB" w14:textId="77777777" w:rsidR="00414408" w:rsidRPr="00E72418" w:rsidRDefault="00414408" w:rsidP="00CC4BA8">
      <w:pPr>
        <w:jc w:val="left"/>
      </w:pPr>
    </w:p>
    <w:p w14:paraId="34872D51" w14:textId="77777777" w:rsidR="005519F3" w:rsidRPr="00E72418" w:rsidRDefault="005519F3" w:rsidP="00CC4BA8">
      <w:pPr>
        <w:jc w:val="left"/>
      </w:pPr>
      <w:r w:rsidRPr="00E72418">
        <w:t>Parti</w:t>
      </w:r>
      <w:r w:rsidR="003007AD" w:rsidRPr="00E72418">
        <w:t>e</w:t>
      </w:r>
      <w:r w:rsidRPr="00E72418">
        <w:t xml:space="preserve"> I : Le constat d’un problème</w:t>
      </w:r>
    </w:p>
    <w:p w14:paraId="40E25810" w14:textId="77777777" w:rsidR="005519F3" w:rsidRPr="00E72418" w:rsidRDefault="005519F3" w:rsidP="00CC4BA8">
      <w:pPr>
        <w:jc w:val="left"/>
      </w:pPr>
    </w:p>
    <w:p w14:paraId="46593D45" w14:textId="77777777" w:rsidR="005519F3" w:rsidRPr="00E72418" w:rsidRDefault="005519F3" w:rsidP="00CC4BA8">
      <w:pPr>
        <w:ind w:firstLine="708"/>
        <w:jc w:val="left"/>
      </w:pPr>
      <w:r w:rsidRPr="00E72418">
        <w:t>I.1. La description du phénomène</w:t>
      </w:r>
    </w:p>
    <w:p w14:paraId="689069A3" w14:textId="18D5E235" w:rsidR="005519F3" w:rsidRPr="00E72418" w:rsidRDefault="002933E6" w:rsidP="00CC4BA8">
      <w:pPr>
        <w:ind w:left="708" w:firstLine="708"/>
        <w:jc w:val="left"/>
      </w:pPr>
      <w:r w:rsidRPr="00E72418">
        <w:t xml:space="preserve">Quelques </w:t>
      </w:r>
      <w:r w:rsidR="005519F3" w:rsidRPr="00E72418">
        <w:t>contentieux emblématiques</w:t>
      </w:r>
    </w:p>
    <w:p w14:paraId="07318FCC" w14:textId="27A84137" w:rsidR="005519F3" w:rsidRPr="00E72418" w:rsidRDefault="005519F3" w:rsidP="00CC4BA8">
      <w:pPr>
        <w:ind w:left="708" w:firstLine="708"/>
        <w:jc w:val="left"/>
      </w:pPr>
      <w:r w:rsidRPr="00E72418">
        <w:t>La notion</w:t>
      </w:r>
      <w:r w:rsidR="000D3101" w:rsidRPr="00E72418">
        <w:t xml:space="preserve"> de « fonds </w:t>
      </w:r>
      <w:r w:rsidR="00261524" w:rsidRPr="00E72418">
        <w:rPr>
          <w:rFonts w:cs="Times New Roman"/>
        </w:rPr>
        <w:t xml:space="preserve">spéculant sur les dettes souveraines en difficulté </w:t>
      </w:r>
      <w:r w:rsidR="000D3101" w:rsidRPr="00E72418">
        <w:t>»</w:t>
      </w:r>
    </w:p>
    <w:p w14:paraId="13664913" w14:textId="77777777" w:rsidR="005519F3" w:rsidRPr="00E72418" w:rsidRDefault="005519F3" w:rsidP="00CC4BA8">
      <w:pPr>
        <w:jc w:val="left"/>
      </w:pPr>
    </w:p>
    <w:p w14:paraId="560E07B6" w14:textId="7A934A4C" w:rsidR="005519F3" w:rsidRPr="00E72418" w:rsidRDefault="005519F3" w:rsidP="00CC4BA8">
      <w:pPr>
        <w:ind w:firstLine="708"/>
        <w:jc w:val="left"/>
      </w:pPr>
      <w:r w:rsidRPr="00E72418">
        <w:t xml:space="preserve">I.2. Les </w:t>
      </w:r>
      <w:r w:rsidR="00250EFB" w:rsidRPr="00E72418">
        <w:t xml:space="preserve">principes </w:t>
      </w:r>
      <w:r w:rsidRPr="00E72418">
        <w:t xml:space="preserve">juridiques </w:t>
      </w:r>
      <w:r w:rsidR="00250EFB" w:rsidRPr="00E72418">
        <w:t>mobilisés</w:t>
      </w:r>
    </w:p>
    <w:p w14:paraId="734AB897" w14:textId="77777777" w:rsidR="005519F3" w:rsidRPr="00E72418" w:rsidRDefault="005519F3" w:rsidP="00CC4BA8">
      <w:pPr>
        <w:ind w:left="708" w:firstLine="708"/>
        <w:jc w:val="left"/>
      </w:pPr>
      <w:r w:rsidRPr="00E72418">
        <w:t xml:space="preserve">L’attaque </w:t>
      </w:r>
    </w:p>
    <w:p w14:paraId="14987324" w14:textId="77777777" w:rsidR="005519F3" w:rsidRPr="00E72418" w:rsidRDefault="005519F3" w:rsidP="00CC4BA8">
      <w:pPr>
        <w:ind w:left="708" w:firstLine="708"/>
        <w:jc w:val="left"/>
      </w:pPr>
      <w:r w:rsidRPr="00E72418">
        <w:t>La défense</w:t>
      </w:r>
    </w:p>
    <w:p w14:paraId="3785F057" w14:textId="77777777" w:rsidR="005519F3" w:rsidRPr="00E72418" w:rsidRDefault="005519F3" w:rsidP="00CC4BA8">
      <w:pPr>
        <w:jc w:val="left"/>
      </w:pPr>
    </w:p>
    <w:p w14:paraId="2861FF4A" w14:textId="77777777" w:rsidR="005519F3" w:rsidRPr="00E72418" w:rsidRDefault="005519F3" w:rsidP="00CC4BA8">
      <w:pPr>
        <w:jc w:val="left"/>
      </w:pPr>
    </w:p>
    <w:p w14:paraId="528B90E0" w14:textId="5FD05EA8" w:rsidR="005519F3" w:rsidRPr="00E72418" w:rsidRDefault="005519F3" w:rsidP="00CC4BA8">
      <w:pPr>
        <w:jc w:val="left"/>
      </w:pPr>
      <w:r w:rsidRPr="00E72418">
        <w:t>Part</w:t>
      </w:r>
      <w:r w:rsidR="003007AD" w:rsidRPr="00E72418">
        <w:t>ie</w:t>
      </w:r>
      <w:r w:rsidRPr="00E72418">
        <w:t xml:space="preserve"> II : La recherche d’une solution </w:t>
      </w:r>
      <w:r w:rsidR="00FA0E75" w:rsidRPr="00E72418">
        <w:t>mesurée</w:t>
      </w:r>
      <w:r w:rsidR="00740198" w:rsidRPr="00E72418">
        <w:t xml:space="preserve"> et sur </w:t>
      </w:r>
      <w:r w:rsidR="000E614F" w:rsidRPr="00E72418">
        <w:t>mesure</w:t>
      </w:r>
    </w:p>
    <w:p w14:paraId="4F41B6CB" w14:textId="77777777" w:rsidR="005519F3" w:rsidRPr="00E72418" w:rsidRDefault="005519F3" w:rsidP="00CC4BA8">
      <w:pPr>
        <w:jc w:val="left"/>
      </w:pPr>
    </w:p>
    <w:p w14:paraId="270E6649" w14:textId="77777777" w:rsidR="005519F3" w:rsidRPr="00E72418" w:rsidRDefault="005519F3" w:rsidP="00CC4BA8">
      <w:pPr>
        <w:ind w:firstLine="708"/>
        <w:jc w:val="left"/>
      </w:pPr>
      <w:r w:rsidRPr="00E72418">
        <w:t xml:space="preserve">II.1. Les solutions existantes </w:t>
      </w:r>
    </w:p>
    <w:p w14:paraId="6E76BE81" w14:textId="77777777" w:rsidR="005519F3" w:rsidRPr="00E72418" w:rsidRDefault="005519F3" w:rsidP="00CC4BA8">
      <w:pPr>
        <w:ind w:left="708" w:firstLine="708"/>
        <w:jc w:val="left"/>
      </w:pPr>
      <w:r w:rsidRPr="00E72418">
        <w:t xml:space="preserve">Les solutions indirectes </w:t>
      </w:r>
    </w:p>
    <w:p w14:paraId="5C775FB6" w14:textId="77777777" w:rsidR="005519F3" w:rsidRPr="00E72418" w:rsidRDefault="005519F3" w:rsidP="00CC4BA8">
      <w:pPr>
        <w:ind w:left="708" w:firstLine="708"/>
        <w:jc w:val="left"/>
      </w:pPr>
      <w:r w:rsidRPr="00E72418">
        <w:t xml:space="preserve">Les solutions directes </w:t>
      </w:r>
    </w:p>
    <w:p w14:paraId="6A9FA4E7" w14:textId="77777777" w:rsidR="005519F3" w:rsidRPr="00E72418" w:rsidRDefault="005519F3" w:rsidP="00CC4BA8">
      <w:pPr>
        <w:jc w:val="left"/>
      </w:pPr>
    </w:p>
    <w:p w14:paraId="09861F51" w14:textId="77777777" w:rsidR="005519F3" w:rsidRPr="00E72418" w:rsidRDefault="005519F3" w:rsidP="00CC4BA8">
      <w:pPr>
        <w:ind w:firstLine="708"/>
        <w:jc w:val="left"/>
      </w:pPr>
      <w:r w:rsidRPr="00E72418">
        <w:t>II.2. Une proposition</w:t>
      </w:r>
    </w:p>
    <w:p w14:paraId="796C2164" w14:textId="77777777" w:rsidR="005519F3" w:rsidRPr="00E72418" w:rsidRDefault="005519F3" w:rsidP="00CC4BA8">
      <w:pPr>
        <w:ind w:left="708" w:firstLine="708"/>
        <w:jc w:val="left"/>
      </w:pPr>
      <w:r w:rsidRPr="00E72418">
        <w:t>La philosophie</w:t>
      </w:r>
    </w:p>
    <w:p w14:paraId="4449F7A8" w14:textId="55932DC0" w:rsidR="005519F3" w:rsidRPr="00E72418" w:rsidRDefault="005519F3" w:rsidP="00CC4BA8">
      <w:pPr>
        <w:ind w:left="708" w:firstLine="708"/>
        <w:jc w:val="left"/>
      </w:pPr>
      <w:r w:rsidRPr="00E72418">
        <w:t xml:space="preserve">Les traits saillants à retenir et les écueils </w:t>
      </w:r>
      <w:r w:rsidR="004D56A8" w:rsidRPr="00E72418">
        <w:t>dont se garder</w:t>
      </w:r>
    </w:p>
    <w:p w14:paraId="64AECB76" w14:textId="77777777" w:rsidR="005519F3" w:rsidRPr="00E72418" w:rsidRDefault="005519F3" w:rsidP="00CC4BA8">
      <w:pPr>
        <w:jc w:val="left"/>
      </w:pPr>
    </w:p>
    <w:p w14:paraId="20C04922" w14:textId="77777777" w:rsidR="00414408" w:rsidRPr="00E72418" w:rsidRDefault="00414408" w:rsidP="00CC4BA8">
      <w:pPr>
        <w:jc w:val="left"/>
      </w:pPr>
    </w:p>
    <w:p w14:paraId="0BC259F9" w14:textId="77777777" w:rsidR="005519F3" w:rsidRPr="00E72418" w:rsidRDefault="005519F3" w:rsidP="00CC4BA8">
      <w:pPr>
        <w:jc w:val="left"/>
      </w:pPr>
      <w:r w:rsidRPr="00E72418">
        <w:t>Conclusions générales</w:t>
      </w:r>
    </w:p>
    <w:p w14:paraId="3A0256E9" w14:textId="77777777" w:rsidR="005519F3" w:rsidRPr="00E72418" w:rsidRDefault="005519F3" w:rsidP="00CC4BA8">
      <w:pPr>
        <w:jc w:val="left"/>
      </w:pPr>
    </w:p>
    <w:p w14:paraId="06CCFDFE" w14:textId="441DE808" w:rsidR="00CC3E1A" w:rsidRDefault="00CC3E1A">
      <w:pPr>
        <w:jc w:val="left"/>
      </w:pPr>
      <w:r>
        <w:br w:type="page"/>
      </w:r>
    </w:p>
    <w:p w14:paraId="0B86F942" w14:textId="7FBCE8BB" w:rsidR="00A20DFA" w:rsidRPr="00B1006E" w:rsidRDefault="005515B4" w:rsidP="005515B4">
      <w:pPr>
        <w:jc w:val="left"/>
        <w:rPr>
          <w:rFonts w:ascii="Times New Roman" w:eastAsiaTheme="majorEastAsia" w:hAnsi="Times New Roman" w:cstheme="majorBidi"/>
          <w:b/>
          <w:sz w:val="40"/>
          <w:szCs w:val="26"/>
          <w:u w:val="single"/>
        </w:rPr>
        <w:sectPr w:rsidR="00A20DFA" w:rsidRPr="00B1006E" w:rsidSect="005D5895">
          <w:footerReference w:type="even" r:id="rId8"/>
          <w:footerReference w:type="default" r:id="rId9"/>
          <w:pgSz w:w="11906" w:h="16838"/>
          <w:pgMar w:top="1417" w:right="1417" w:bottom="1417" w:left="1417" w:header="709" w:footer="283" w:gutter="0"/>
          <w:pgNumType w:start="0"/>
          <w:cols w:space="708"/>
          <w:docGrid w:linePitch="360"/>
        </w:sectPr>
      </w:pPr>
      <w:bookmarkStart w:id="4" w:name="_Toc75106049"/>
      <w:bookmarkStart w:id="5" w:name="_Toc84540856"/>
      <w:r>
        <w:lastRenderedPageBreak/>
        <w:br w:type="page"/>
      </w:r>
    </w:p>
    <w:p w14:paraId="45DAD460" w14:textId="4CDC188E" w:rsidR="005E2035" w:rsidRPr="00E72418" w:rsidRDefault="009B64B5" w:rsidP="00267007">
      <w:pPr>
        <w:pStyle w:val="AA"/>
      </w:pPr>
      <w:r w:rsidRPr="00E72418">
        <w:lastRenderedPageBreak/>
        <w:t>I</w:t>
      </w:r>
      <w:r w:rsidR="00C92835" w:rsidRPr="00E72418">
        <w:t>ntroduction générale</w:t>
      </w:r>
      <w:bookmarkEnd w:id="4"/>
      <w:bookmarkEnd w:id="5"/>
    </w:p>
    <w:p w14:paraId="2B51C0FF" w14:textId="77777777" w:rsidR="00596AE7" w:rsidRPr="00E72418" w:rsidRDefault="00596AE7" w:rsidP="00423B60"/>
    <w:p w14:paraId="4BCD86BE" w14:textId="5805C0BF" w:rsidR="004624D1"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 xml:space="preserve">1. </w:t>
      </w:r>
      <w:r w:rsidR="00C93273" w:rsidRPr="00E72418">
        <w:rPr>
          <w:rFonts w:ascii="Times New Roman" w:hAnsi="Times New Roman" w:cs="Times New Roman"/>
          <w:b/>
        </w:rPr>
        <w:t xml:space="preserve">Un sujet </w:t>
      </w:r>
      <w:r w:rsidR="004624D1" w:rsidRPr="00E72418">
        <w:rPr>
          <w:rFonts w:ascii="Times New Roman" w:hAnsi="Times New Roman" w:cs="Times New Roman"/>
          <w:b/>
        </w:rPr>
        <w:t xml:space="preserve">sensible </w:t>
      </w:r>
      <w:r w:rsidR="00C93273" w:rsidRPr="00E72418">
        <w:rPr>
          <w:rFonts w:ascii="Times New Roman" w:hAnsi="Times New Roman" w:cs="Times New Roman"/>
          <w:b/>
        </w:rPr>
        <w:t xml:space="preserve">d’actualité – </w:t>
      </w:r>
      <w:r w:rsidR="00F03FB3" w:rsidRPr="00E72418">
        <w:rPr>
          <w:rFonts w:ascii="Times New Roman" w:hAnsi="Times New Roman" w:cs="Times New Roman"/>
        </w:rPr>
        <w:t xml:space="preserve">La présente recherche doctorale porte sur les fonds d’investissement </w:t>
      </w:r>
      <w:r w:rsidR="00934391" w:rsidRPr="00E72418">
        <w:rPr>
          <w:rFonts w:ascii="Times New Roman" w:hAnsi="Times New Roman" w:cs="Times New Roman"/>
        </w:rPr>
        <w:t>friands de</w:t>
      </w:r>
      <w:r w:rsidR="00F03FB3" w:rsidRPr="00E72418">
        <w:rPr>
          <w:rFonts w:ascii="Times New Roman" w:hAnsi="Times New Roman" w:cs="Times New Roman"/>
        </w:rPr>
        <w:t xml:space="preserve"> dettes souveraines en difficulté souvent nommés « fonds vautours »</w:t>
      </w:r>
      <w:r w:rsidR="00C57F00" w:rsidRPr="00E72418">
        <w:rPr>
          <w:rStyle w:val="Appelnotedebasdep"/>
          <w:rFonts w:ascii="Times New Roman" w:hAnsi="Times New Roman" w:cs="Times New Roman"/>
          <w:szCs w:val="24"/>
        </w:rPr>
        <w:footnoteReference w:id="1"/>
      </w:r>
      <w:r w:rsidR="00F03FB3" w:rsidRPr="00E72418">
        <w:rPr>
          <w:rFonts w:ascii="Times New Roman" w:hAnsi="Times New Roman" w:cs="Times New Roman"/>
        </w:rPr>
        <w:t xml:space="preserve">. </w:t>
      </w:r>
      <w:r w:rsidR="001F2192" w:rsidRPr="00E72418">
        <w:rPr>
          <w:rFonts w:ascii="Times New Roman" w:hAnsi="Times New Roman" w:cs="Times New Roman"/>
        </w:rPr>
        <w:t>Ces fonds spéculatifs se sont fait</w:t>
      </w:r>
      <w:r w:rsidR="006D64E7" w:rsidRPr="00E72418">
        <w:rPr>
          <w:rFonts w:ascii="Times New Roman" w:hAnsi="Times New Roman" w:cs="Times New Roman"/>
        </w:rPr>
        <w:t xml:space="preserve"> </w:t>
      </w:r>
      <w:r w:rsidR="00F03FB3" w:rsidRPr="00E72418">
        <w:rPr>
          <w:rFonts w:ascii="Times New Roman" w:hAnsi="Times New Roman" w:cs="Times New Roman"/>
        </w:rPr>
        <w:t xml:space="preserve">remarquer du grand public </w:t>
      </w:r>
      <w:r w:rsidR="001F2192" w:rsidRPr="00E72418">
        <w:rPr>
          <w:rFonts w:ascii="Times New Roman" w:hAnsi="Times New Roman" w:cs="Times New Roman"/>
        </w:rPr>
        <w:t>lors du</w:t>
      </w:r>
      <w:r w:rsidR="00F03FB3" w:rsidRPr="00E72418">
        <w:rPr>
          <w:rFonts w:ascii="Times New Roman" w:hAnsi="Times New Roman" w:cs="Times New Roman"/>
        </w:rPr>
        <w:t xml:space="preserve"> contentieux relati</w:t>
      </w:r>
      <w:r w:rsidR="00790BDE" w:rsidRPr="00E72418">
        <w:rPr>
          <w:rFonts w:ascii="Times New Roman" w:hAnsi="Times New Roman" w:cs="Times New Roman"/>
        </w:rPr>
        <w:t xml:space="preserve">f à la dette argentine lequel </w:t>
      </w:r>
      <w:r w:rsidR="00F03FB3" w:rsidRPr="00E72418">
        <w:rPr>
          <w:rFonts w:ascii="Times New Roman" w:hAnsi="Times New Roman" w:cs="Times New Roman"/>
        </w:rPr>
        <w:t>condui</w:t>
      </w:r>
      <w:r w:rsidR="00790BDE" w:rsidRPr="00E72418">
        <w:rPr>
          <w:rFonts w:ascii="Times New Roman" w:hAnsi="Times New Roman" w:cs="Times New Roman"/>
        </w:rPr>
        <w:t>si</w:t>
      </w:r>
      <w:r w:rsidR="00CB0B41" w:rsidRPr="00E72418">
        <w:rPr>
          <w:rFonts w:ascii="Times New Roman" w:hAnsi="Times New Roman" w:cs="Times New Roman"/>
        </w:rPr>
        <w:t>t à de nombreux</w:t>
      </w:r>
      <w:r w:rsidR="00F03FB3" w:rsidRPr="00E72418">
        <w:rPr>
          <w:rFonts w:ascii="Times New Roman" w:hAnsi="Times New Roman" w:cs="Times New Roman"/>
        </w:rPr>
        <w:t xml:space="preserve"> procès médiatisés. </w:t>
      </w:r>
    </w:p>
    <w:p w14:paraId="26B713D2" w14:textId="3B5EDC93" w:rsidR="00BF2402" w:rsidRPr="00E72418" w:rsidRDefault="00BF2402" w:rsidP="00CC4BA8">
      <w:pPr>
        <w:spacing w:line="276" w:lineRule="auto"/>
        <w:rPr>
          <w:rFonts w:ascii="Times New Roman" w:hAnsi="Times New Roman" w:cs="Times New Roman"/>
        </w:rPr>
      </w:pPr>
      <w:r w:rsidRPr="00E72418">
        <w:rPr>
          <w:rFonts w:ascii="Times New Roman" w:hAnsi="Times New Roman" w:cs="Times New Roman"/>
        </w:rPr>
        <w:t>En importante difficulté financière au début du siècle, la République argentine tenta de</w:t>
      </w:r>
      <w:r w:rsidR="001F2192" w:rsidRPr="00E72418">
        <w:rPr>
          <w:rFonts w:ascii="Times New Roman" w:hAnsi="Times New Roman" w:cs="Times New Roman"/>
        </w:rPr>
        <w:t xml:space="preserve"> sortir de ses problèmes </w:t>
      </w:r>
      <w:r w:rsidRPr="00E72418">
        <w:rPr>
          <w:rFonts w:ascii="Times New Roman" w:hAnsi="Times New Roman" w:cs="Times New Roman"/>
        </w:rPr>
        <w:t>en restructurant sa dette en 2005 et en 2010. Si le pays parvint à échanger plus de neuf dixièmes de</w:t>
      </w:r>
      <w:r w:rsidR="00CB0B41" w:rsidRPr="00E72418">
        <w:rPr>
          <w:rFonts w:ascii="Times New Roman" w:hAnsi="Times New Roman" w:cs="Times New Roman"/>
        </w:rPr>
        <w:t xml:space="preserve">s titres de sa dette contre d’autres </w:t>
      </w:r>
      <w:r w:rsidRPr="00E72418">
        <w:rPr>
          <w:rFonts w:ascii="Times New Roman" w:hAnsi="Times New Roman" w:cs="Times New Roman"/>
        </w:rPr>
        <w:t xml:space="preserve">représentant une importante décote, certains créanciers refusèrent les échanges. Parmi ceux-ci, la société </w:t>
      </w:r>
      <w:r w:rsidRPr="00E72418">
        <w:rPr>
          <w:rFonts w:ascii="Times New Roman" w:hAnsi="Times New Roman" w:cs="Times New Roman"/>
          <w:i/>
        </w:rPr>
        <w:t>NML Capital Ltd.</w:t>
      </w:r>
      <w:r w:rsidRPr="00E72418">
        <w:rPr>
          <w:rFonts w:ascii="Times New Roman" w:hAnsi="Times New Roman" w:cs="Times New Roman"/>
        </w:rPr>
        <w:t xml:space="preserve">, un créancier secondaire ayant acquis ses titres alors que la République connaissait déjà des difficultés financières, poursuivit le pays afin qu’il soit condamné à lui payer le montant nominal des </w:t>
      </w:r>
      <w:r w:rsidR="0056416B" w:rsidRPr="00E72418">
        <w:rPr>
          <w:rFonts w:ascii="Times New Roman" w:hAnsi="Times New Roman" w:cs="Times New Roman"/>
        </w:rPr>
        <w:t>créances</w:t>
      </w:r>
      <w:r w:rsidRPr="00E72418">
        <w:rPr>
          <w:rFonts w:ascii="Times New Roman" w:hAnsi="Times New Roman" w:cs="Times New Roman"/>
        </w:rPr>
        <w:t xml:space="preserve"> détenu</w:t>
      </w:r>
      <w:r w:rsidR="0056416B" w:rsidRPr="00E72418">
        <w:rPr>
          <w:rFonts w:ascii="Times New Roman" w:hAnsi="Times New Roman" w:cs="Times New Roman"/>
        </w:rPr>
        <w:t>e</w:t>
      </w:r>
      <w:r w:rsidRPr="00E72418">
        <w:rPr>
          <w:rFonts w:ascii="Times New Roman" w:hAnsi="Times New Roman" w:cs="Times New Roman"/>
        </w:rPr>
        <w:t>s. Après des années d</w:t>
      </w:r>
      <w:r w:rsidR="0056416B" w:rsidRPr="00E72418">
        <w:rPr>
          <w:rFonts w:ascii="Times New Roman" w:hAnsi="Times New Roman" w:cs="Times New Roman"/>
        </w:rPr>
        <w:t>e combats judiciaires, le pays sud-américain</w:t>
      </w:r>
      <w:r w:rsidRPr="00E72418">
        <w:rPr>
          <w:rFonts w:ascii="Times New Roman" w:hAnsi="Times New Roman" w:cs="Times New Roman"/>
        </w:rPr>
        <w:t xml:space="preserve"> parvint en 2016 à un accord avec ses créanciers</w:t>
      </w:r>
      <w:r w:rsidR="00CB0B41" w:rsidRPr="00E72418">
        <w:rPr>
          <w:rFonts w:ascii="Times New Roman" w:hAnsi="Times New Roman" w:cs="Times New Roman"/>
        </w:rPr>
        <w:t xml:space="preserve"> récalcitrants</w:t>
      </w:r>
      <w:r w:rsidR="0056416B" w:rsidRPr="00E72418">
        <w:rPr>
          <w:rFonts w:ascii="Times New Roman" w:hAnsi="Times New Roman" w:cs="Times New Roman"/>
        </w:rPr>
        <w:t xml:space="preserve"> qu’il</w:t>
      </w:r>
      <w:r w:rsidRPr="00E72418">
        <w:rPr>
          <w:rFonts w:ascii="Times New Roman" w:hAnsi="Times New Roman" w:cs="Times New Roman"/>
        </w:rPr>
        <w:t xml:space="preserve"> désintéressa, procurant de la sorte un très important rendement aux fonds spéculatifs ayant investi dans la dette argentine ébranlée. Le contentieux argentin se caractérise par </w:t>
      </w:r>
      <w:r w:rsidR="00F8302E" w:rsidRPr="00E72418">
        <w:rPr>
          <w:rFonts w:ascii="Times New Roman" w:hAnsi="Times New Roman" w:cs="Times New Roman"/>
        </w:rPr>
        <w:t xml:space="preserve">son </w:t>
      </w:r>
      <w:r w:rsidRPr="00E72418">
        <w:rPr>
          <w:rFonts w:ascii="Times New Roman" w:hAnsi="Times New Roman" w:cs="Times New Roman"/>
        </w:rPr>
        <w:t xml:space="preserve">importance et </w:t>
      </w:r>
      <w:r w:rsidR="00F8302E" w:rsidRPr="00E72418">
        <w:rPr>
          <w:rFonts w:ascii="Times New Roman" w:hAnsi="Times New Roman" w:cs="Times New Roman"/>
        </w:rPr>
        <w:t>sa</w:t>
      </w:r>
      <w:r w:rsidRPr="00E72418">
        <w:rPr>
          <w:rFonts w:ascii="Times New Roman" w:hAnsi="Times New Roman" w:cs="Times New Roman"/>
        </w:rPr>
        <w:t xml:space="preserve"> durée, ses rocambolesques rebondissements, la couverture médiatique qu’il reçut, et surtout, sans doute, l’influence qu’il eut sur des concepts connus de longue date</w:t>
      </w:r>
      <w:r w:rsidR="00B304EF" w:rsidRPr="00E72418">
        <w:rPr>
          <w:rFonts w:ascii="Times New Roman" w:hAnsi="Times New Roman" w:cs="Times New Roman"/>
        </w:rPr>
        <w:t xml:space="preserve"> en matière de dettes souveraines</w:t>
      </w:r>
      <w:r w:rsidRPr="00E72418">
        <w:rPr>
          <w:rStyle w:val="Appelnotedebasdep"/>
          <w:rFonts w:ascii="Times New Roman" w:hAnsi="Times New Roman" w:cs="Times New Roman"/>
          <w:szCs w:val="24"/>
        </w:rPr>
        <w:footnoteReference w:id="2"/>
      </w:r>
      <w:r w:rsidRPr="00E72418">
        <w:rPr>
          <w:rFonts w:ascii="Times New Roman" w:hAnsi="Times New Roman" w:cs="Times New Roman"/>
        </w:rPr>
        <w:t>.</w:t>
      </w:r>
    </w:p>
    <w:p w14:paraId="58802F3D" w14:textId="7484D276" w:rsidR="00790BDE" w:rsidRPr="00E72418" w:rsidRDefault="00790BDE"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Comme le remarquent </w:t>
      </w:r>
      <w:r w:rsidR="004565F9" w:rsidRPr="00E72418">
        <w:rPr>
          <w:rFonts w:ascii="Times New Roman" w:hAnsi="Times New Roman" w:cs="Times New Roman"/>
          <w:szCs w:val="24"/>
        </w:rPr>
        <w:t xml:space="preserve">Pablo </w:t>
      </w:r>
      <w:r w:rsidRPr="00E72418">
        <w:rPr>
          <w:rFonts w:ascii="Times New Roman" w:hAnsi="Times New Roman" w:cs="Times New Roman"/>
          <w:szCs w:val="24"/>
        </w:rPr>
        <w:t xml:space="preserve">Lopez et </w:t>
      </w:r>
      <w:r w:rsidR="004565F9" w:rsidRPr="00E72418">
        <w:rPr>
          <w:rFonts w:ascii="Times New Roman" w:hAnsi="Times New Roman" w:cs="Times New Roman"/>
          <w:szCs w:val="24"/>
        </w:rPr>
        <w:t xml:space="preserve">Cecilia </w:t>
      </w:r>
      <w:r w:rsidRPr="00E72418">
        <w:rPr>
          <w:rFonts w:ascii="Times New Roman" w:hAnsi="Times New Roman" w:cs="Times New Roman"/>
          <w:szCs w:val="24"/>
        </w:rPr>
        <w:t>Nahon, « </w:t>
      </w:r>
      <w:r w:rsidRPr="00E72418">
        <w:rPr>
          <w:rFonts w:ascii="Times New Roman" w:hAnsi="Times New Roman" w:cs="Times New Roman"/>
        </w:rPr>
        <w:t>[t]</w:t>
      </w:r>
      <w:r w:rsidRPr="00E72418">
        <w:rPr>
          <w:rFonts w:ascii="Times New Roman" w:hAnsi="Times New Roman" w:cs="Times New Roman"/>
          <w:szCs w:val="24"/>
        </w:rPr>
        <w:t>he case of Argentina has been a game changer in the sovereign debt world, exposing the enormous obstacles that sovereign countries face within the current international system to attaining and maintaining sustainable debt levels compatible with sustainable growth »</w:t>
      </w:r>
      <w:r w:rsidRPr="00E72418">
        <w:rPr>
          <w:rStyle w:val="Appelnotedebasdep"/>
          <w:rFonts w:ascii="Times New Roman" w:hAnsi="Times New Roman" w:cs="Times New Roman"/>
          <w:szCs w:val="24"/>
        </w:rPr>
        <w:footnoteReference w:id="3"/>
      </w:r>
      <w:r w:rsidRPr="00E72418">
        <w:rPr>
          <w:rFonts w:ascii="Times New Roman" w:hAnsi="Times New Roman" w:cs="Times New Roman"/>
          <w:szCs w:val="24"/>
        </w:rPr>
        <w:t xml:space="preserve">. </w:t>
      </w:r>
      <w:r w:rsidR="00BA657D" w:rsidRPr="00E72418">
        <w:rPr>
          <w:rFonts w:ascii="Times New Roman" w:hAnsi="Times New Roman" w:cs="Times New Roman"/>
          <w:szCs w:val="24"/>
        </w:rPr>
        <w:t xml:space="preserve">Julieta </w:t>
      </w:r>
      <w:r w:rsidRPr="00E72418">
        <w:rPr>
          <w:rFonts w:ascii="Times New Roman" w:hAnsi="Times New Roman" w:cs="Times New Roman"/>
          <w:szCs w:val="24"/>
        </w:rPr>
        <w:t>Rossi relève que le contentieux argentin a servi à attirer l’attention sur la nécessité de changement dans l’ordre économique global, l’auteur</w:t>
      </w:r>
      <w:r w:rsidR="00D4650A" w:rsidRPr="00E72418">
        <w:rPr>
          <w:rFonts w:ascii="Times New Roman" w:hAnsi="Times New Roman" w:cs="Times New Roman"/>
          <w:szCs w:val="24"/>
        </w:rPr>
        <w:t>e</w:t>
      </w:r>
      <w:r w:rsidRPr="00E72418">
        <w:rPr>
          <w:rFonts w:ascii="Times New Roman" w:hAnsi="Times New Roman" w:cs="Times New Roman"/>
          <w:szCs w:val="24"/>
        </w:rPr>
        <w:t xml:space="preserve"> soulignant que « </w:t>
      </w:r>
      <w:r w:rsidRPr="00E72418">
        <w:rPr>
          <w:rFonts w:ascii="Times New Roman" w:hAnsi="Times New Roman" w:cs="Times New Roman"/>
        </w:rPr>
        <w:t>[t]</w:t>
      </w:r>
      <w:r w:rsidRPr="00E72418">
        <w:rPr>
          <w:rFonts w:ascii="Times New Roman" w:hAnsi="Times New Roman" w:cs="Times New Roman"/>
          <w:szCs w:val="24"/>
        </w:rPr>
        <w:t xml:space="preserve">he roles of the vulture funds and the U.S. justice system in Argentina have </w:t>
      </w:r>
      <w:r w:rsidRPr="00E72418">
        <w:rPr>
          <w:rFonts w:ascii="Times New Roman" w:hAnsi="Times New Roman" w:cs="Times New Roman"/>
        </w:rPr>
        <w:t>[…]</w:t>
      </w:r>
      <w:r w:rsidRPr="00E72418">
        <w:rPr>
          <w:rFonts w:ascii="Times New Roman" w:hAnsi="Times New Roman" w:cs="Times New Roman"/>
          <w:szCs w:val="24"/>
        </w:rPr>
        <w:t xml:space="preserve"> contributed to heightened awareness of the serious injustices that international financial capitalism has created and continues to make worse »</w:t>
      </w:r>
      <w:r w:rsidRPr="00E72418">
        <w:rPr>
          <w:rStyle w:val="Appelnotedebasdep"/>
          <w:rFonts w:ascii="Times New Roman" w:hAnsi="Times New Roman" w:cs="Times New Roman"/>
          <w:szCs w:val="24"/>
        </w:rPr>
        <w:footnoteReference w:id="4"/>
      </w:r>
      <w:r w:rsidRPr="00E72418">
        <w:rPr>
          <w:rFonts w:ascii="Times New Roman" w:hAnsi="Times New Roman" w:cs="Times New Roman"/>
          <w:szCs w:val="24"/>
        </w:rPr>
        <w:t>.</w:t>
      </w:r>
    </w:p>
    <w:p w14:paraId="48A109BB" w14:textId="33FF6302" w:rsidR="00C93273" w:rsidRPr="00E72418" w:rsidRDefault="00934391" w:rsidP="00CC4BA8">
      <w:pPr>
        <w:spacing w:line="276" w:lineRule="auto"/>
        <w:rPr>
          <w:rFonts w:ascii="Times New Roman" w:hAnsi="Times New Roman" w:cs="Times New Roman"/>
        </w:rPr>
      </w:pPr>
      <w:r w:rsidRPr="00E72418">
        <w:rPr>
          <w:rFonts w:ascii="Times New Roman" w:hAnsi="Times New Roman" w:cs="Times New Roman"/>
        </w:rPr>
        <w:t>N</w:t>
      </w:r>
      <w:r w:rsidR="00F03FB3" w:rsidRPr="00E72418">
        <w:rPr>
          <w:rFonts w:ascii="Times New Roman" w:hAnsi="Times New Roman" w:cs="Times New Roman"/>
        </w:rPr>
        <w:t>otre recherche pose la question de la pert</w:t>
      </w:r>
      <w:r w:rsidR="00CB0B41" w:rsidRPr="00E72418">
        <w:rPr>
          <w:rFonts w:ascii="Times New Roman" w:hAnsi="Times New Roman" w:cs="Times New Roman"/>
        </w:rPr>
        <w:t>inence</w:t>
      </w:r>
      <w:r w:rsidR="008B1936" w:rsidRPr="00E72418">
        <w:rPr>
          <w:rFonts w:ascii="Times New Roman" w:hAnsi="Times New Roman" w:cs="Times New Roman"/>
        </w:rPr>
        <w:t>, d’une part,</w:t>
      </w:r>
      <w:r w:rsidR="00AD27CA" w:rsidRPr="00E72418">
        <w:rPr>
          <w:rFonts w:ascii="Times New Roman" w:hAnsi="Times New Roman" w:cs="Times New Roman"/>
        </w:rPr>
        <w:t xml:space="preserve"> de la mesure</w:t>
      </w:r>
      <w:r w:rsidR="008B1936" w:rsidRPr="00E72418">
        <w:rPr>
          <w:rFonts w:ascii="Times New Roman" w:hAnsi="Times New Roman" w:cs="Times New Roman"/>
        </w:rPr>
        <w:t>, d’autre part,</w:t>
      </w:r>
      <w:r w:rsidR="00AD27CA" w:rsidRPr="00E72418">
        <w:rPr>
          <w:rFonts w:ascii="Times New Roman" w:hAnsi="Times New Roman" w:cs="Times New Roman"/>
        </w:rPr>
        <w:t xml:space="preserve"> </w:t>
      </w:r>
      <w:r w:rsidR="00CB0B41" w:rsidRPr="00E72418">
        <w:rPr>
          <w:rFonts w:ascii="Times New Roman" w:hAnsi="Times New Roman" w:cs="Times New Roman"/>
        </w:rPr>
        <w:t xml:space="preserve">de la </w:t>
      </w:r>
      <w:r w:rsidR="001243C1" w:rsidRPr="00E72418">
        <w:rPr>
          <w:rFonts w:ascii="Times New Roman" w:hAnsi="Times New Roman" w:cs="Times New Roman"/>
        </w:rPr>
        <w:t xml:space="preserve">réglementation </w:t>
      </w:r>
      <w:r w:rsidR="00CB0B41" w:rsidRPr="00E72418">
        <w:rPr>
          <w:rFonts w:ascii="Times New Roman" w:hAnsi="Times New Roman" w:cs="Times New Roman"/>
        </w:rPr>
        <w:t>des</w:t>
      </w:r>
      <w:r w:rsidR="00F03FB3" w:rsidRPr="00E72418">
        <w:rPr>
          <w:rFonts w:ascii="Times New Roman" w:hAnsi="Times New Roman" w:cs="Times New Roman"/>
        </w:rPr>
        <w:t xml:space="preserve"> pratiques</w:t>
      </w:r>
      <w:r w:rsidR="004F2AD2" w:rsidRPr="00E72418">
        <w:rPr>
          <w:rFonts w:ascii="Times New Roman" w:hAnsi="Times New Roman" w:cs="Times New Roman"/>
        </w:rPr>
        <w:t xml:space="preserve"> des fonds spéculant</w:t>
      </w:r>
      <w:r w:rsidR="00CB0B41" w:rsidRPr="00E72418">
        <w:rPr>
          <w:rFonts w:ascii="Times New Roman" w:hAnsi="Times New Roman" w:cs="Times New Roman"/>
        </w:rPr>
        <w:t xml:space="preserve"> sur les dettes souveraines</w:t>
      </w:r>
      <w:r w:rsidR="00F03FB3" w:rsidRPr="00E72418">
        <w:rPr>
          <w:rFonts w:ascii="Times New Roman" w:hAnsi="Times New Roman" w:cs="Times New Roman"/>
        </w:rPr>
        <w:t xml:space="preserve"> </w:t>
      </w:r>
      <w:r w:rsidRPr="00E72418">
        <w:rPr>
          <w:rFonts w:ascii="Times New Roman" w:hAnsi="Times New Roman" w:cs="Times New Roman"/>
        </w:rPr>
        <w:t xml:space="preserve">souvent conspués en raison des conséquences négatives de leurs activités sur les populations des </w:t>
      </w:r>
      <w:r w:rsidRPr="00E72418">
        <w:rPr>
          <w:rFonts w:ascii="Times New Roman" w:hAnsi="Times New Roman" w:cs="Times New Roman"/>
          <w:lang w:eastAsia="fr-BE"/>
        </w:rPr>
        <w:t>É</w:t>
      </w:r>
      <w:r w:rsidRPr="00E72418">
        <w:rPr>
          <w:rFonts w:ascii="Times New Roman" w:hAnsi="Times New Roman" w:cs="Times New Roman"/>
        </w:rPr>
        <w:t>tats</w:t>
      </w:r>
      <w:r w:rsidR="001F2192" w:rsidRPr="00E72418">
        <w:rPr>
          <w:rFonts w:ascii="Times New Roman" w:hAnsi="Times New Roman" w:cs="Times New Roman"/>
        </w:rPr>
        <w:t>, très généralement</w:t>
      </w:r>
      <w:r w:rsidRPr="00E72418">
        <w:rPr>
          <w:rFonts w:ascii="Times New Roman" w:hAnsi="Times New Roman" w:cs="Times New Roman"/>
        </w:rPr>
        <w:t xml:space="preserve"> pauvres</w:t>
      </w:r>
      <w:r w:rsidR="001F2192" w:rsidRPr="00E72418">
        <w:rPr>
          <w:rFonts w:ascii="Times New Roman" w:hAnsi="Times New Roman" w:cs="Times New Roman"/>
        </w:rPr>
        <w:t>,</w:t>
      </w:r>
      <w:r w:rsidRPr="00E72418">
        <w:rPr>
          <w:rFonts w:ascii="Times New Roman" w:hAnsi="Times New Roman" w:cs="Times New Roman"/>
        </w:rPr>
        <w:t xml:space="preserve"> auxquels ils s’attaquent. Notre ambition est de</w:t>
      </w:r>
      <w:r w:rsidR="00F03FB3" w:rsidRPr="00E72418">
        <w:rPr>
          <w:rFonts w:ascii="Times New Roman" w:hAnsi="Times New Roman" w:cs="Times New Roman"/>
        </w:rPr>
        <w:t xml:space="preserve"> donner des pistes </w:t>
      </w:r>
      <w:r w:rsidR="00F03FB3" w:rsidRPr="00E72418">
        <w:rPr>
          <w:rFonts w:ascii="Times New Roman" w:hAnsi="Times New Roman" w:cs="Times New Roman"/>
        </w:rPr>
        <w:lastRenderedPageBreak/>
        <w:t>d’approche adéquate</w:t>
      </w:r>
      <w:r w:rsidR="00216C1B" w:rsidRPr="00E72418">
        <w:rPr>
          <w:rFonts w:ascii="Times New Roman" w:hAnsi="Times New Roman" w:cs="Times New Roman"/>
        </w:rPr>
        <w:t>s</w:t>
      </w:r>
      <w:r w:rsidR="00F03FB3" w:rsidRPr="00E72418">
        <w:rPr>
          <w:rFonts w:ascii="Times New Roman" w:hAnsi="Times New Roman" w:cs="Times New Roman"/>
        </w:rPr>
        <w:t xml:space="preserve"> de ce phénomène </w:t>
      </w:r>
      <w:r w:rsidR="001F2192" w:rsidRPr="00E72418">
        <w:rPr>
          <w:rFonts w:ascii="Times New Roman" w:hAnsi="Times New Roman" w:cs="Times New Roman"/>
        </w:rPr>
        <w:t>dont les</w:t>
      </w:r>
      <w:r w:rsidR="00F03FB3" w:rsidRPr="00E72418">
        <w:rPr>
          <w:rFonts w:ascii="Times New Roman" w:hAnsi="Times New Roman" w:cs="Times New Roman"/>
        </w:rPr>
        <w:t xml:space="preserve"> enjeux </w:t>
      </w:r>
      <w:r w:rsidR="001F2192" w:rsidRPr="00E72418">
        <w:rPr>
          <w:rFonts w:ascii="Times New Roman" w:hAnsi="Times New Roman" w:cs="Times New Roman"/>
        </w:rPr>
        <w:t xml:space="preserve">sont </w:t>
      </w:r>
      <w:r w:rsidR="00F03FB3" w:rsidRPr="00E72418">
        <w:rPr>
          <w:rFonts w:ascii="Times New Roman" w:hAnsi="Times New Roman" w:cs="Times New Roman"/>
        </w:rPr>
        <w:t>souvent simplifiés</w:t>
      </w:r>
      <w:r w:rsidR="001F2192" w:rsidRPr="00E72418">
        <w:rPr>
          <w:rFonts w:ascii="Times New Roman" w:hAnsi="Times New Roman" w:cs="Times New Roman"/>
        </w:rPr>
        <w:t xml:space="preserve"> </w:t>
      </w:r>
      <w:r w:rsidR="00A63ADA" w:rsidRPr="00E72418">
        <w:rPr>
          <w:rFonts w:ascii="Times New Roman" w:hAnsi="Times New Roman" w:cs="Times New Roman"/>
        </w:rPr>
        <w:t>par les médias grand</w:t>
      </w:r>
      <w:r w:rsidR="00F0197F" w:rsidRPr="00E72418">
        <w:rPr>
          <w:rFonts w:ascii="Times New Roman" w:hAnsi="Times New Roman" w:cs="Times New Roman"/>
        </w:rPr>
        <w:t xml:space="preserve"> </w:t>
      </w:r>
      <w:r w:rsidR="00A63ADA" w:rsidRPr="00E72418">
        <w:rPr>
          <w:rFonts w:ascii="Times New Roman" w:hAnsi="Times New Roman" w:cs="Times New Roman"/>
        </w:rPr>
        <w:t xml:space="preserve">public </w:t>
      </w:r>
      <w:r w:rsidR="001F2192" w:rsidRPr="00E72418">
        <w:rPr>
          <w:rFonts w:ascii="Times New Roman" w:hAnsi="Times New Roman" w:cs="Times New Roman"/>
        </w:rPr>
        <w:t xml:space="preserve">tant ils </w:t>
      </w:r>
      <w:r w:rsidR="008B1936" w:rsidRPr="00E72418">
        <w:rPr>
          <w:rFonts w:ascii="Times New Roman" w:hAnsi="Times New Roman" w:cs="Times New Roman"/>
        </w:rPr>
        <w:t>s’</w:t>
      </w:r>
      <w:r w:rsidR="00A63ADA" w:rsidRPr="00E72418">
        <w:rPr>
          <w:rFonts w:ascii="Times New Roman" w:hAnsi="Times New Roman" w:cs="Times New Roman"/>
        </w:rPr>
        <w:t xml:space="preserve">y </w:t>
      </w:r>
      <w:r w:rsidR="008B1936" w:rsidRPr="00E72418">
        <w:rPr>
          <w:rFonts w:ascii="Times New Roman" w:hAnsi="Times New Roman" w:cs="Times New Roman"/>
        </w:rPr>
        <w:t>trouvent</w:t>
      </w:r>
      <w:r w:rsidR="001F2192" w:rsidRPr="00E72418">
        <w:rPr>
          <w:rFonts w:ascii="Times New Roman" w:hAnsi="Times New Roman" w:cs="Times New Roman"/>
        </w:rPr>
        <w:t xml:space="preserve"> caricaturés</w:t>
      </w:r>
      <w:r w:rsidR="00F03FB3" w:rsidRPr="00E72418">
        <w:rPr>
          <w:rFonts w:ascii="Times New Roman" w:hAnsi="Times New Roman" w:cs="Times New Roman"/>
        </w:rPr>
        <w:t>.</w:t>
      </w:r>
    </w:p>
    <w:p w14:paraId="678614B9" w14:textId="77777777" w:rsidR="00194C97" w:rsidRPr="00E72418" w:rsidRDefault="00194C97" w:rsidP="00CC4BA8">
      <w:pPr>
        <w:spacing w:line="276" w:lineRule="auto"/>
        <w:rPr>
          <w:rFonts w:ascii="Times New Roman" w:hAnsi="Times New Roman" w:cs="Times New Roman"/>
        </w:rPr>
      </w:pPr>
    </w:p>
    <w:p w14:paraId="2C29C67B" w14:textId="49BB16B9" w:rsidR="00AF473B"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 xml:space="preserve">2. </w:t>
      </w:r>
      <w:r w:rsidR="00386ED8" w:rsidRPr="00E72418">
        <w:rPr>
          <w:rFonts w:ascii="Times New Roman" w:hAnsi="Times New Roman" w:cs="Times New Roman"/>
          <w:b/>
        </w:rPr>
        <w:t xml:space="preserve">Une thématique </w:t>
      </w:r>
      <w:r w:rsidR="005E2035" w:rsidRPr="00E72418">
        <w:rPr>
          <w:rFonts w:ascii="Times New Roman" w:hAnsi="Times New Roman" w:cs="Times New Roman"/>
          <w:b/>
        </w:rPr>
        <w:t xml:space="preserve">d’intérêt international </w:t>
      </w:r>
      <w:r w:rsidR="00AF473B" w:rsidRPr="00E72418">
        <w:rPr>
          <w:rFonts w:ascii="Times New Roman" w:hAnsi="Times New Roman" w:cs="Times New Roman"/>
          <w:b/>
        </w:rPr>
        <w:t>–</w:t>
      </w:r>
      <w:r w:rsidR="005E2035" w:rsidRPr="00E72418">
        <w:rPr>
          <w:rFonts w:ascii="Times New Roman" w:hAnsi="Times New Roman" w:cs="Times New Roman"/>
          <w:b/>
        </w:rPr>
        <w:t xml:space="preserve"> </w:t>
      </w:r>
      <w:r w:rsidR="00AF473B" w:rsidRPr="00E72418">
        <w:rPr>
          <w:rFonts w:ascii="Times New Roman" w:hAnsi="Times New Roman" w:cs="Times New Roman"/>
        </w:rPr>
        <w:t>L’endettement étatique</w:t>
      </w:r>
      <w:r w:rsidR="0051582E" w:rsidRPr="00E72418">
        <w:rPr>
          <w:rFonts w:ascii="Times New Roman" w:hAnsi="Times New Roman" w:cs="Times New Roman"/>
        </w:rPr>
        <w:t>, voire le surendettement,</w:t>
      </w:r>
      <w:r w:rsidR="00AF473B" w:rsidRPr="00E72418">
        <w:rPr>
          <w:rFonts w:ascii="Times New Roman" w:hAnsi="Times New Roman" w:cs="Times New Roman"/>
        </w:rPr>
        <w:t xml:space="preserve"> est </w:t>
      </w:r>
      <w:r w:rsidR="00A63ADA" w:rsidRPr="00E72418">
        <w:rPr>
          <w:rFonts w:ascii="Times New Roman" w:hAnsi="Times New Roman" w:cs="Times New Roman"/>
        </w:rPr>
        <w:t>quantitativement important</w:t>
      </w:r>
      <w:r w:rsidR="00AF473B" w:rsidRPr="00E72418">
        <w:rPr>
          <w:rFonts w:ascii="Times New Roman" w:hAnsi="Times New Roman" w:cs="Times New Roman"/>
        </w:rPr>
        <w:t xml:space="preserve"> pour l’écon</w:t>
      </w:r>
      <w:r w:rsidR="0051582E" w:rsidRPr="00E72418">
        <w:rPr>
          <w:rFonts w:ascii="Times New Roman" w:hAnsi="Times New Roman" w:cs="Times New Roman"/>
        </w:rPr>
        <w:t>omie mondiale. A</w:t>
      </w:r>
      <w:r w:rsidR="00AF473B" w:rsidRPr="00E72418">
        <w:rPr>
          <w:rFonts w:ascii="Times New Roman" w:hAnsi="Times New Roman" w:cs="Times New Roman"/>
        </w:rPr>
        <w:t xml:space="preserve">u moment de poser </w:t>
      </w:r>
      <w:r w:rsidR="0051582E" w:rsidRPr="00E72418">
        <w:rPr>
          <w:rFonts w:ascii="Times New Roman" w:hAnsi="Times New Roman" w:cs="Times New Roman"/>
        </w:rPr>
        <w:t>notre</w:t>
      </w:r>
      <w:r w:rsidR="00AF473B" w:rsidRPr="00E72418">
        <w:rPr>
          <w:rFonts w:ascii="Times New Roman" w:hAnsi="Times New Roman" w:cs="Times New Roman"/>
        </w:rPr>
        <w:t xml:space="preserve"> plume, le montant total des dettes publiques </w:t>
      </w:r>
      <w:r w:rsidR="003459BA" w:rsidRPr="00E72418">
        <w:rPr>
          <w:rFonts w:ascii="Times New Roman" w:hAnsi="Times New Roman" w:cs="Times New Roman"/>
        </w:rPr>
        <w:t xml:space="preserve">est </w:t>
      </w:r>
      <w:r w:rsidR="00AF473B" w:rsidRPr="00E72418">
        <w:rPr>
          <w:rFonts w:ascii="Times New Roman" w:hAnsi="Times New Roman" w:cs="Times New Roman"/>
        </w:rPr>
        <w:t xml:space="preserve">de </w:t>
      </w:r>
      <w:r w:rsidR="00362C91" w:rsidRPr="00E72418">
        <w:rPr>
          <w:rFonts w:ascii="Times New Roman" w:hAnsi="Times New Roman" w:cs="Times New Roman"/>
        </w:rPr>
        <w:t xml:space="preserve">près </w:t>
      </w:r>
      <w:r w:rsidR="00AF473B" w:rsidRPr="00E72418">
        <w:rPr>
          <w:rFonts w:ascii="Times New Roman" w:hAnsi="Times New Roman" w:cs="Times New Roman"/>
        </w:rPr>
        <w:t xml:space="preserve">de </w:t>
      </w:r>
      <w:r w:rsidR="00023279" w:rsidRPr="00E72418">
        <w:rPr>
          <w:rFonts w:ascii="Times New Roman" w:hAnsi="Times New Roman" w:cs="Times New Roman"/>
        </w:rPr>
        <w:t xml:space="preserve">soixante mille </w:t>
      </w:r>
      <w:r w:rsidR="00AF473B" w:rsidRPr="00E72418">
        <w:rPr>
          <w:rFonts w:ascii="Times New Roman" w:hAnsi="Times New Roman" w:cs="Times New Roman"/>
        </w:rPr>
        <w:t>milliards de dollars étatsuniens</w:t>
      </w:r>
      <w:r w:rsidR="00AF473B" w:rsidRPr="00E72418">
        <w:rPr>
          <w:rStyle w:val="Appelnotedebasdep"/>
          <w:rFonts w:ascii="Times New Roman" w:hAnsi="Times New Roman" w:cs="Times New Roman"/>
          <w:szCs w:val="24"/>
        </w:rPr>
        <w:footnoteReference w:id="5"/>
      </w:r>
      <w:r w:rsidR="00AF473B" w:rsidRPr="00E72418">
        <w:rPr>
          <w:rFonts w:ascii="Times New Roman" w:hAnsi="Times New Roman" w:cs="Times New Roman"/>
        </w:rPr>
        <w:t>.</w:t>
      </w:r>
    </w:p>
    <w:p w14:paraId="59B02CEE" w14:textId="3118B27D" w:rsidR="0051582E" w:rsidRPr="00E72418" w:rsidRDefault="007C5A82" w:rsidP="00CC4BA8">
      <w:pPr>
        <w:spacing w:line="276" w:lineRule="auto"/>
        <w:rPr>
          <w:rFonts w:ascii="Times New Roman" w:hAnsi="Times New Roman" w:cs="Times New Roman"/>
        </w:rPr>
      </w:pPr>
      <w:r w:rsidRPr="00E72418">
        <w:rPr>
          <w:rFonts w:ascii="Times New Roman" w:hAnsi="Times New Roman" w:cs="Times New Roman"/>
          <w:szCs w:val="24"/>
        </w:rPr>
        <w:t xml:space="preserve">Il est </w:t>
      </w:r>
      <w:r w:rsidR="005E2035" w:rsidRPr="00E72418">
        <w:rPr>
          <w:rFonts w:ascii="Times New Roman" w:hAnsi="Times New Roman" w:cs="Times New Roman"/>
          <w:szCs w:val="24"/>
        </w:rPr>
        <w:t>à craindre</w:t>
      </w:r>
      <w:r w:rsidRPr="00E72418">
        <w:rPr>
          <w:rFonts w:ascii="Times New Roman" w:hAnsi="Times New Roman" w:cs="Times New Roman"/>
          <w:szCs w:val="24"/>
        </w:rPr>
        <w:t xml:space="preserve"> que ces dettes posent des difficultés dans le futur.</w:t>
      </w:r>
      <w:r w:rsidR="005E2035" w:rsidRPr="00E72418">
        <w:rPr>
          <w:rFonts w:ascii="Times New Roman" w:hAnsi="Times New Roman" w:cs="Times New Roman"/>
          <w:szCs w:val="24"/>
        </w:rPr>
        <w:t xml:space="preserve"> </w:t>
      </w:r>
      <w:r w:rsidRPr="00E72418">
        <w:rPr>
          <w:rFonts w:ascii="Times New Roman" w:hAnsi="Times New Roman" w:cs="Times New Roman"/>
          <w:szCs w:val="24"/>
        </w:rPr>
        <w:t>Le</w:t>
      </w:r>
      <w:r w:rsidR="005E2035" w:rsidRPr="00E72418">
        <w:rPr>
          <w:rFonts w:ascii="Times New Roman" w:hAnsi="Times New Roman" w:cs="Times New Roman"/>
          <w:szCs w:val="24"/>
        </w:rPr>
        <w:t xml:space="preserve"> caractère </w:t>
      </w:r>
      <w:r w:rsidR="00F65ED0" w:rsidRPr="00E72418">
        <w:rPr>
          <w:rFonts w:ascii="Times New Roman" w:hAnsi="Times New Roman" w:cs="Times New Roman"/>
          <w:szCs w:val="24"/>
        </w:rPr>
        <w:t xml:space="preserve">endémique de l’endettement des </w:t>
      </w:r>
      <w:r w:rsidR="00F65ED0" w:rsidRPr="00E72418">
        <w:rPr>
          <w:rFonts w:ascii="Times New Roman" w:hAnsi="Times New Roman" w:cs="Times New Roman"/>
          <w:lang w:eastAsia="fr-BE"/>
        </w:rPr>
        <w:t>É</w:t>
      </w:r>
      <w:r w:rsidR="005E2035" w:rsidRPr="00E72418">
        <w:rPr>
          <w:rFonts w:ascii="Times New Roman" w:hAnsi="Times New Roman" w:cs="Times New Roman"/>
          <w:szCs w:val="24"/>
        </w:rPr>
        <w:t>tats</w:t>
      </w:r>
      <w:r w:rsidRPr="00E72418">
        <w:rPr>
          <w:rFonts w:ascii="Times New Roman" w:hAnsi="Times New Roman" w:cs="Times New Roman"/>
          <w:szCs w:val="24"/>
        </w:rPr>
        <w:t xml:space="preserve"> laisse penser que surviendront</w:t>
      </w:r>
      <w:r w:rsidR="005E2035" w:rsidRPr="00E72418">
        <w:rPr>
          <w:rFonts w:ascii="Times New Roman" w:hAnsi="Times New Roman" w:cs="Times New Roman"/>
          <w:szCs w:val="24"/>
        </w:rPr>
        <w:t xml:space="preserve"> de nouveaux épisodes</w:t>
      </w:r>
      <w:r w:rsidR="0051582E" w:rsidRPr="00E72418">
        <w:rPr>
          <w:rFonts w:ascii="Times New Roman" w:hAnsi="Times New Roman" w:cs="Times New Roman"/>
          <w:szCs w:val="24"/>
        </w:rPr>
        <w:t xml:space="preserve"> de crise</w:t>
      </w:r>
      <w:r w:rsidR="005E2035" w:rsidRPr="00E72418">
        <w:rPr>
          <w:rFonts w:ascii="Times New Roman" w:hAnsi="Times New Roman" w:cs="Times New Roman"/>
          <w:szCs w:val="24"/>
        </w:rPr>
        <w:t>.</w:t>
      </w:r>
      <w:r w:rsidR="009E186C" w:rsidRPr="00E72418">
        <w:rPr>
          <w:rFonts w:ascii="Times New Roman" w:hAnsi="Times New Roman" w:cs="Times New Roman"/>
          <w:szCs w:val="24"/>
        </w:rPr>
        <w:t xml:space="preserve"> </w:t>
      </w:r>
      <w:r w:rsidR="0051582E" w:rsidRPr="00E72418">
        <w:rPr>
          <w:rFonts w:ascii="Times New Roman" w:hAnsi="Times New Roman" w:cs="Times New Roman"/>
        </w:rPr>
        <w:t xml:space="preserve">Ainsi, par exemple, </w:t>
      </w:r>
      <w:r w:rsidR="00124DD0">
        <w:rPr>
          <w:rFonts w:ascii="Times New Roman" w:hAnsi="Times New Roman" w:cs="Times New Roman"/>
        </w:rPr>
        <w:t>ayant</w:t>
      </w:r>
      <w:r w:rsidRPr="00E72418">
        <w:rPr>
          <w:rFonts w:ascii="Times New Roman" w:hAnsi="Times New Roman" w:cs="Times New Roman"/>
        </w:rPr>
        <w:t xml:space="preserve"> égard aux dettes</w:t>
      </w:r>
      <w:r w:rsidR="0051582E" w:rsidRPr="00E72418">
        <w:rPr>
          <w:rFonts w:ascii="Times New Roman" w:hAnsi="Times New Roman" w:cs="Times New Roman"/>
        </w:rPr>
        <w:t xml:space="preserve"> africaine</w:t>
      </w:r>
      <w:r w:rsidRPr="00E72418">
        <w:rPr>
          <w:rFonts w:ascii="Times New Roman" w:hAnsi="Times New Roman" w:cs="Times New Roman"/>
        </w:rPr>
        <w:t>s</w:t>
      </w:r>
      <w:r w:rsidR="0051582E" w:rsidRPr="00E72418">
        <w:rPr>
          <w:rFonts w:ascii="Times New Roman" w:hAnsi="Times New Roman" w:cs="Times New Roman"/>
        </w:rPr>
        <w:t xml:space="preserve"> actuel</w:t>
      </w:r>
      <w:r w:rsidRPr="00E72418">
        <w:rPr>
          <w:rFonts w:ascii="Times New Roman" w:hAnsi="Times New Roman" w:cs="Times New Roman"/>
        </w:rPr>
        <w:t xml:space="preserve">les, </w:t>
      </w:r>
      <w:r w:rsidR="00124DD0">
        <w:rPr>
          <w:rFonts w:ascii="Times New Roman" w:hAnsi="Times New Roman" w:cs="Times New Roman"/>
        </w:rPr>
        <w:t>l’</w:t>
      </w:r>
      <w:r w:rsidRPr="00E72418">
        <w:rPr>
          <w:rFonts w:ascii="Times New Roman" w:hAnsi="Times New Roman" w:cs="Times New Roman"/>
        </w:rPr>
        <w:t xml:space="preserve">on constate que </w:t>
      </w:r>
      <w:r w:rsidR="0051582E" w:rsidRPr="00E72418">
        <w:rPr>
          <w:rFonts w:ascii="Times New Roman" w:hAnsi="Times New Roman" w:cs="Times New Roman"/>
        </w:rPr>
        <w:t>les allègements de dette</w:t>
      </w:r>
      <w:r w:rsidRPr="00E72418">
        <w:rPr>
          <w:rFonts w:ascii="Times New Roman" w:hAnsi="Times New Roman" w:cs="Times New Roman"/>
        </w:rPr>
        <w:t>s</w:t>
      </w:r>
      <w:r w:rsidR="0051582E" w:rsidRPr="00E72418">
        <w:rPr>
          <w:rFonts w:ascii="Times New Roman" w:hAnsi="Times New Roman" w:cs="Times New Roman"/>
        </w:rPr>
        <w:t xml:space="preserve"> concédés ainsi que l’augmentation du prix des matières premières ont conduit des pays africains à </w:t>
      </w:r>
      <w:r w:rsidRPr="00E72418">
        <w:rPr>
          <w:rFonts w:ascii="Times New Roman" w:hAnsi="Times New Roman" w:cs="Times New Roman"/>
        </w:rPr>
        <w:t xml:space="preserve">abondamment </w:t>
      </w:r>
      <w:r w:rsidR="0051582E" w:rsidRPr="00E72418">
        <w:rPr>
          <w:rFonts w:ascii="Times New Roman" w:hAnsi="Times New Roman" w:cs="Times New Roman"/>
        </w:rPr>
        <w:t>emprunter</w:t>
      </w:r>
      <w:r w:rsidRPr="00E72418">
        <w:rPr>
          <w:rFonts w:ascii="Times New Roman" w:hAnsi="Times New Roman" w:cs="Times New Roman"/>
        </w:rPr>
        <w:t xml:space="preserve"> sur les marchés internationaux</w:t>
      </w:r>
      <w:r w:rsidR="003B41EA" w:rsidRPr="00E72418">
        <w:rPr>
          <w:rStyle w:val="Appelnotedebasdep"/>
          <w:rFonts w:ascii="Times New Roman" w:hAnsi="Times New Roman" w:cs="Times New Roman"/>
        </w:rPr>
        <w:footnoteReference w:id="6"/>
      </w:r>
      <w:r w:rsidRPr="00E72418">
        <w:rPr>
          <w:rFonts w:ascii="Times New Roman" w:hAnsi="Times New Roman" w:cs="Times New Roman"/>
        </w:rPr>
        <w:t>. L</w:t>
      </w:r>
      <w:r w:rsidR="0051582E" w:rsidRPr="00E72418">
        <w:rPr>
          <w:rFonts w:ascii="Times New Roman" w:hAnsi="Times New Roman" w:cs="Times New Roman"/>
        </w:rPr>
        <w:t>e problème est que la dégradation de la conjoncture internationale due notamment à la crise économique ou encore à la baisse du prix des matières prem</w:t>
      </w:r>
      <w:r w:rsidR="00216C1B" w:rsidRPr="00E72418">
        <w:rPr>
          <w:rFonts w:ascii="Times New Roman" w:hAnsi="Times New Roman" w:cs="Times New Roman"/>
        </w:rPr>
        <w:t xml:space="preserve">ières a eu pour effet d’augmenter </w:t>
      </w:r>
      <w:r w:rsidR="0051582E" w:rsidRPr="00E72418">
        <w:rPr>
          <w:rFonts w:ascii="Times New Roman" w:hAnsi="Times New Roman" w:cs="Times New Roman"/>
        </w:rPr>
        <w:t>la charge relat</w:t>
      </w:r>
      <w:r w:rsidR="00CC422B" w:rsidRPr="00E72418">
        <w:rPr>
          <w:rFonts w:ascii="Times New Roman" w:hAnsi="Times New Roman" w:cs="Times New Roman"/>
        </w:rPr>
        <w:t xml:space="preserve">ive des remboursements </w:t>
      </w:r>
      <w:r w:rsidR="00023279" w:rsidRPr="00E72418">
        <w:rPr>
          <w:rFonts w:ascii="Times New Roman" w:hAnsi="Times New Roman" w:cs="Times New Roman"/>
        </w:rPr>
        <w:t>à effectuer</w:t>
      </w:r>
      <w:r w:rsidRPr="00E72418">
        <w:rPr>
          <w:rFonts w:ascii="Times New Roman" w:hAnsi="Times New Roman" w:cs="Times New Roman"/>
        </w:rPr>
        <w:t xml:space="preserve"> par c</w:t>
      </w:r>
      <w:r w:rsidR="0051582E" w:rsidRPr="00E72418">
        <w:rPr>
          <w:rFonts w:ascii="Times New Roman" w:hAnsi="Times New Roman" w:cs="Times New Roman"/>
        </w:rPr>
        <w:t xml:space="preserve">es </w:t>
      </w:r>
      <w:r w:rsidR="00F65ED0" w:rsidRPr="00E72418">
        <w:rPr>
          <w:rFonts w:ascii="Times New Roman" w:hAnsi="Times New Roman" w:cs="Times New Roman"/>
          <w:lang w:eastAsia="fr-BE"/>
        </w:rPr>
        <w:t>É</w:t>
      </w:r>
      <w:r w:rsidRPr="00E72418">
        <w:rPr>
          <w:rFonts w:ascii="Times New Roman" w:hAnsi="Times New Roman" w:cs="Times New Roman"/>
        </w:rPr>
        <w:t xml:space="preserve">tats </w:t>
      </w:r>
      <w:r w:rsidR="0051582E" w:rsidRPr="00E72418">
        <w:rPr>
          <w:rFonts w:ascii="Times New Roman" w:hAnsi="Times New Roman" w:cs="Times New Roman"/>
        </w:rPr>
        <w:t>emprunteurs</w:t>
      </w:r>
      <w:r w:rsidR="00023279" w:rsidRPr="00E72418">
        <w:rPr>
          <w:rFonts w:ascii="Times New Roman" w:hAnsi="Times New Roman" w:cs="Times New Roman"/>
        </w:rPr>
        <w:t>,</w:t>
      </w:r>
      <w:r w:rsidR="00CB0B41" w:rsidRPr="00E72418">
        <w:rPr>
          <w:rFonts w:ascii="Times New Roman" w:hAnsi="Times New Roman" w:cs="Times New Roman"/>
        </w:rPr>
        <w:t xml:space="preserve"> remettant de la sorte e</w:t>
      </w:r>
      <w:r w:rsidRPr="00E72418">
        <w:rPr>
          <w:rFonts w:ascii="Times New Roman" w:hAnsi="Times New Roman" w:cs="Times New Roman"/>
        </w:rPr>
        <w:t>n cause la viabilité de ces dettes</w:t>
      </w:r>
      <w:r w:rsidR="0051582E" w:rsidRPr="00E72418">
        <w:rPr>
          <w:rStyle w:val="Appelnotedebasdep"/>
          <w:rFonts w:ascii="Times New Roman" w:hAnsi="Times New Roman" w:cs="Times New Roman"/>
        </w:rPr>
        <w:footnoteReference w:id="7"/>
      </w:r>
      <w:r w:rsidR="0051582E" w:rsidRPr="00E72418">
        <w:rPr>
          <w:rFonts w:ascii="Times New Roman" w:hAnsi="Times New Roman" w:cs="Times New Roman"/>
        </w:rPr>
        <w:t>.</w:t>
      </w:r>
      <w:r w:rsidR="003459BA" w:rsidRPr="00E72418">
        <w:rPr>
          <w:rFonts w:ascii="Times New Roman" w:hAnsi="Times New Roman" w:cs="Times New Roman"/>
        </w:rPr>
        <w:t xml:space="preserve"> </w:t>
      </w:r>
      <w:r w:rsidR="0037051C" w:rsidRPr="00E72418">
        <w:rPr>
          <w:rFonts w:ascii="Times New Roman" w:hAnsi="Times New Roman" w:cs="Times New Roman"/>
        </w:rPr>
        <w:t>La pandémie</w:t>
      </w:r>
      <w:r w:rsidR="003459BA" w:rsidRPr="00E72418">
        <w:rPr>
          <w:rFonts w:ascii="Times New Roman" w:hAnsi="Times New Roman" w:cs="Times New Roman"/>
        </w:rPr>
        <w:t xml:space="preserve"> mond</w:t>
      </w:r>
      <w:r w:rsidR="0044558C" w:rsidRPr="00E72418">
        <w:rPr>
          <w:rFonts w:ascii="Times New Roman" w:hAnsi="Times New Roman" w:cs="Times New Roman"/>
        </w:rPr>
        <w:t>iale de</w:t>
      </w:r>
      <w:r w:rsidR="003459BA" w:rsidRPr="00E72418">
        <w:rPr>
          <w:rFonts w:ascii="Times New Roman" w:hAnsi="Times New Roman" w:cs="Times New Roman"/>
        </w:rPr>
        <w:t xml:space="preserve"> coronavirus a également </w:t>
      </w:r>
      <w:r w:rsidR="00023279" w:rsidRPr="00E72418">
        <w:rPr>
          <w:rFonts w:ascii="Times New Roman" w:hAnsi="Times New Roman" w:cs="Times New Roman"/>
        </w:rPr>
        <w:t>poussé</w:t>
      </w:r>
      <w:r w:rsidR="003459BA" w:rsidRPr="00E72418">
        <w:rPr>
          <w:rFonts w:ascii="Times New Roman" w:hAnsi="Times New Roman" w:cs="Times New Roman"/>
        </w:rPr>
        <w:t xml:space="preserve"> nombre d</w:t>
      </w:r>
      <w:r w:rsidR="0067312A" w:rsidRPr="00E72418">
        <w:rPr>
          <w:rFonts w:ascii="Times New Roman" w:hAnsi="Times New Roman" w:cs="Times New Roman"/>
        </w:rPr>
        <w:t>’</w:t>
      </w:r>
      <w:r w:rsidR="0067312A" w:rsidRPr="00E72418">
        <w:rPr>
          <w:rFonts w:cs="Times New Roman"/>
          <w:szCs w:val="24"/>
        </w:rPr>
        <w:t>É</w:t>
      </w:r>
      <w:r w:rsidR="003459BA" w:rsidRPr="00E72418">
        <w:rPr>
          <w:rFonts w:ascii="Times New Roman" w:hAnsi="Times New Roman" w:cs="Times New Roman"/>
        </w:rPr>
        <w:t>tats à empr</w:t>
      </w:r>
      <w:r w:rsidR="00124DD0">
        <w:rPr>
          <w:rFonts w:ascii="Times New Roman" w:hAnsi="Times New Roman" w:cs="Times New Roman"/>
        </w:rPr>
        <w:t>unter afin de pouvoir financer d</w:t>
      </w:r>
      <w:r w:rsidR="003459BA" w:rsidRPr="00E72418">
        <w:rPr>
          <w:rFonts w:ascii="Times New Roman" w:hAnsi="Times New Roman" w:cs="Times New Roman"/>
        </w:rPr>
        <w:t xml:space="preserve">es mesures </w:t>
      </w:r>
      <w:r w:rsidR="000745E2" w:rsidRPr="00E72418">
        <w:rPr>
          <w:rFonts w:ascii="Times New Roman" w:hAnsi="Times New Roman" w:cs="Times New Roman"/>
        </w:rPr>
        <w:t>visant</w:t>
      </w:r>
      <w:r w:rsidR="003459BA" w:rsidRPr="00E72418">
        <w:rPr>
          <w:rFonts w:ascii="Times New Roman" w:hAnsi="Times New Roman" w:cs="Times New Roman"/>
        </w:rPr>
        <w:t xml:space="preserve"> à endiguer la maladie</w:t>
      </w:r>
      <w:r w:rsidR="000745E2" w:rsidRPr="00E72418">
        <w:rPr>
          <w:rFonts w:ascii="Times New Roman" w:hAnsi="Times New Roman" w:cs="Times New Roman"/>
        </w:rPr>
        <w:t xml:space="preserve"> et ses conséquences t</w:t>
      </w:r>
      <w:r w:rsidR="0037051C" w:rsidRPr="00E72418">
        <w:rPr>
          <w:rFonts w:ascii="Times New Roman" w:hAnsi="Times New Roman" w:cs="Times New Roman"/>
        </w:rPr>
        <w:t>out autant qu’elle en a réduit certaines sources de revenus</w:t>
      </w:r>
      <w:r w:rsidR="0037051C" w:rsidRPr="00E72418">
        <w:rPr>
          <w:rStyle w:val="Appelnotedebasdep"/>
          <w:rFonts w:ascii="Times New Roman" w:hAnsi="Times New Roman" w:cs="Times New Roman"/>
        </w:rPr>
        <w:footnoteReference w:id="8"/>
      </w:r>
      <w:r w:rsidR="003459BA" w:rsidRPr="00E72418">
        <w:rPr>
          <w:rFonts w:ascii="Times New Roman" w:hAnsi="Times New Roman" w:cs="Times New Roman"/>
        </w:rPr>
        <w:t>.</w:t>
      </w:r>
    </w:p>
    <w:p w14:paraId="56B894E7" w14:textId="3F01DFBD" w:rsidR="00D80674" w:rsidRPr="00E72418" w:rsidRDefault="007C5A82"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L’importance </w:t>
      </w:r>
      <w:r w:rsidR="00F65ED0" w:rsidRPr="00E72418">
        <w:rPr>
          <w:rFonts w:ascii="Times New Roman" w:hAnsi="Times New Roman" w:cs="Times New Roman"/>
          <w:szCs w:val="24"/>
        </w:rPr>
        <w:t>des dettes d’</w:t>
      </w:r>
      <w:r w:rsidR="00F65ED0" w:rsidRPr="00E72418">
        <w:rPr>
          <w:rFonts w:ascii="Times New Roman" w:hAnsi="Times New Roman" w:cs="Times New Roman"/>
          <w:lang w:eastAsia="fr-BE"/>
        </w:rPr>
        <w:t>É</w:t>
      </w:r>
      <w:r w:rsidRPr="00E72418">
        <w:rPr>
          <w:rFonts w:ascii="Times New Roman" w:hAnsi="Times New Roman" w:cs="Times New Roman"/>
          <w:szCs w:val="24"/>
        </w:rPr>
        <w:t>tats conduit à leur reconnaître le caractère de « matière d’intérêt international » au vu de leurs possibles implications pour la communauté internationale dans son ensemble</w:t>
      </w:r>
      <w:r w:rsidRPr="00E72418">
        <w:rPr>
          <w:rStyle w:val="Appelnotedebasdep"/>
          <w:rFonts w:ascii="Times New Roman" w:hAnsi="Times New Roman" w:cs="Times New Roman"/>
          <w:szCs w:val="24"/>
        </w:rPr>
        <w:footnoteReference w:id="9"/>
      </w:r>
      <w:r w:rsidRPr="00E72418">
        <w:rPr>
          <w:rFonts w:ascii="Times New Roman" w:hAnsi="Times New Roman" w:cs="Times New Roman"/>
          <w:szCs w:val="24"/>
        </w:rPr>
        <w:t>. L</w:t>
      </w:r>
      <w:r w:rsidR="00F65ED0" w:rsidRPr="00E72418">
        <w:rPr>
          <w:rFonts w:ascii="Times New Roman" w:hAnsi="Times New Roman" w:cs="Times New Roman"/>
          <w:szCs w:val="24"/>
        </w:rPr>
        <w:t xml:space="preserve">es problèmes liés </w:t>
      </w:r>
      <w:r w:rsidR="00155E6D" w:rsidRPr="00E72418">
        <w:rPr>
          <w:rFonts w:ascii="Times New Roman" w:hAnsi="Times New Roman" w:cs="Times New Roman"/>
          <w:szCs w:val="24"/>
        </w:rPr>
        <w:t>à ces dettes</w:t>
      </w:r>
      <w:r w:rsidRPr="00E72418">
        <w:rPr>
          <w:rFonts w:ascii="Times New Roman" w:hAnsi="Times New Roman" w:cs="Times New Roman"/>
          <w:szCs w:val="24"/>
        </w:rPr>
        <w:t xml:space="preserve"> mettent en danger la stabilité économique mondiale </w:t>
      </w:r>
      <w:r w:rsidR="00E52089" w:rsidRPr="00E72418">
        <w:rPr>
          <w:rFonts w:ascii="Times New Roman" w:hAnsi="Times New Roman" w:cs="Times New Roman"/>
          <w:szCs w:val="24"/>
        </w:rPr>
        <w:t>en raison de l’interconnexion</w:t>
      </w:r>
      <w:r w:rsidRPr="00E72418">
        <w:rPr>
          <w:rFonts w:ascii="Times New Roman" w:hAnsi="Times New Roman" w:cs="Times New Roman"/>
          <w:szCs w:val="24"/>
        </w:rPr>
        <w:t xml:space="preserve"> la caractérisant et donc du risque de contagion</w:t>
      </w:r>
      <w:r w:rsidR="009E186C" w:rsidRPr="00E72418">
        <w:rPr>
          <w:rStyle w:val="Appelnotedebasdep"/>
          <w:rFonts w:ascii="Times New Roman" w:hAnsi="Times New Roman" w:cs="Times New Roman"/>
          <w:szCs w:val="24"/>
        </w:rPr>
        <w:footnoteReference w:id="10"/>
      </w:r>
      <w:r w:rsidR="009E186C" w:rsidRPr="00E72418">
        <w:rPr>
          <w:rFonts w:ascii="Times New Roman" w:hAnsi="Times New Roman" w:cs="Times New Roman"/>
          <w:szCs w:val="24"/>
        </w:rPr>
        <w:t>.</w:t>
      </w:r>
      <w:r w:rsidR="006103B1" w:rsidRPr="00E72418">
        <w:rPr>
          <w:rFonts w:ascii="Times New Roman" w:hAnsi="Times New Roman" w:cs="Times New Roman"/>
          <w:szCs w:val="24"/>
        </w:rPr>
        <w:t xml:space="preserve"> </w:t>
      </w:r>
      <w:r w:rsidR="00045449" w:rsidRPr="00E72418">
        <w:rPr>
          <w:rFonts w:ascii="Times New Roman" w:hAnsi="Times New Roman" w:cs="Times New Roman"/>
          <w:szCs w:val="24"/>
        </w:rPr>
        <w:t>Par ailleurs, d</w:t>
      </w:r>
      <w:r w:rsidR="00D80674" w:rsidRPr="00E72418">
        <w:rPr>
          <w:rFonts w:ascii="Times New Roman" w:hAnsi="Times New Roman" w:cs="Times New Roman"/>
          <w:szCs w:val="24"/>
        </w:rPr>
        <w:t xml:space="preserve">ans sa résolution </w:t>
      </w:r>
      <w:r w:rsidR="00D80674" w:rsidRPr="00E72418">
        <w:rPr>
          <w:rFonts w:ascii="Times New Roman" w:hAnsi="Times New Roman" w:cs="Times New Roman"/>
          <w:bCs/>
        </w:rPr>
        <w:t xml:space="preserve">du 17 avril 2018 sur l’amélioration de la viabilité de la dette des pays en développement, </w:t>
      </w:r>
      <w:r w:rsidR="00D80674" w:rsidRPr="00E72418">
        <w:rPr>
          <w:rFonts w:ascii="Times New Roman" w:hAnsi="Times New Roman" w:cs="Times New Roman"/>
          <w:szCs w:val="24"/>
        </w:rPr>
        <w:t xml:space="preserve">le Parlement européen </w:t>
      </w:r>
      <w:r w:rsidR="00045449" w:rsidRPr="00E72418">
        <w:rPr>
          <w:rFonts w:ascii="Times New Roman" w:hAnsi="Times New Roman" w:cs="Times New Roman"/>
          <w:szCs w:val="24"/>
        </w:rPr>
        <w:t xml:space="preserve">a </w:t>
      </w:r>
      <w:r w:rsidR="00045449" w:rsidRPr="00E72418">
        <w:rPr>
          <w:rFonts w:ascii="Times New Roman" w:hAnsi="Times New Roman" w:cs="Times New Roman"/>
        </w:rPr>
        <w:t>considéré</w:t>
      </w:r>
      <w:r w:rsidR="006103B1" w:rsidRPr="00E72418">
        <w:rPr>
          <w:rFonts w:ascii="Times New Roman" w:hAnsi="Times New Roman" w:cs="Times New Roman"/>
        </w:rPr>
        <w:t xml:space="preserve"> que le fait d’apporter une réponse aux</w:t>
      </w:r>
      <w:r w:rsidR="00D80674" w:rsidRPr="00E72418">
        <w:rPr>
          <w:rFonts w:ascii="Times New Roman" w:hAnsi="Times New Roman" w:cs="Times New Roman"/>
        </w:rPr>
        <w:t xml:space="preserve"> problèmes </w:t>
      </w:r>
      <w:r w:rsidR="00045449" w:rsidRPr="00E72418">
        <w:rPr>
          <w:rFonts w:ascii="Times New Roman" w:hAnsi="Times New Roman" w:cs="Times New Roman"/>
        </w:rPr>
        <w:t>liés à</w:t>
      </w:r>
      <w:r w:rsidR="00D80674" w:rsidRPr="00E72418">
        <w:rPr>
          <w:rFonts w:ascii="Times New Roman" w:hAnsi="Times New Roman" w:cs="Times New Roman"/>
        </w:rPr>
        <w:t xml:space="preserve"> la dette souve</w:t>
      </w:r>
      <w:r w:rsidR="006103B1" w:rsidRPr="00E72418">
        <w:rPr>
          <w:rFonts w:ascii="Times New Roman" w:hAnsi="Times New Roman" w:cs="Times New Roman"/>
        </w:rPr>
        <w:t xml:space="preserve">raine des pays en développement, </w:t>
      </w:r>
      <w:r w:rsidR="00D80674" w:rsidRPr="00E72418">
        <w:rPr>
          <w:rFonts w:ascii="Times New Roman" w:hAnsi="Times New Roman" w:cs="Times New Roman"/>
        </w:rPr>
        <w:t>élément important de la coopération internationale</w:t>
      </w:r>
      <w:r w:rsidR="006103B1" w:rsidRPr="00E72418">
        <w:rPr>
          <w:rFonts w:ascii="Times New Roman" w:hAnsi="Times New Roman" w:cs="Times New Roman"/>
        </w:rPr>
        <w:t>, est de nature à pouvoir</w:t>
      </w:r>
      <w:r w:rsidR="00D80674" w:rsidRPr="00E72418">
        <w:rPr>
          <w:rFonts w:ascii="Times New Roman" w:hAnsi="Times New Roman" w:cs="Times New Roman"/>
        </w:rPr>
        <w:t xml:space="preserve"> contribuer à </w:t>
      </w:r>
      <w:r w:rsidR="006103B1" w:rsidRPr="00E72418">
        <w:rPr>
          <w:rFonts w:ascii="Times New Roman" w:hAnsi="Times New Roman" w:cs="Times New Roman"/>
        </w:rPr>
        <w:t>la réalisation d</w:t>
      </w:r>
      <w:r w:rsidR="00D80674" w:rsidRPr="00E72418">
        <w:rPr>
          <w:rFonts w:ascii="Times New Roman" w:hAnsi="Times New Roman" w:cs="Times New Roman"/>
        </w:rPr>
        <w:t>es objectifs</w:t>
      </w:r>
      <w:r w:rsidR="00F8302E" w:rsidRPr="00E72418">
        <w:rPr>
          <w:rFonts w:ascii="Times New Roman" w:hAnsi="Times New Roman" w:cs="Times New Roman"/>
        </w:rPr>
        <w:t xml:space="preserve"> de développement durable dans c</w:t>
      </w:r>
      <w:r w:rsidR="00D80674" w:rsidRPr="00E72418">
        <w:rPr>
          <w:rFonts w:ascii="Times New Roman" w:hAnsi="Times New Roman" w:cs="Times New Roman"/>
        </w:rPr>
        <w:t>es pays</w:t>
      </w:r>
      <w:r w:rsidR="00D80674" w:rsidRPr="00E72418">
        <w:rPr>
          <w:rStyle w:val="Appelnotedebasdep"/>
          <w:rFonts w:ascii="Times New Roman" w:hAnsi="Times New Roman" w:cs="Times New Roman"/>
        </w:rPr>
        <w:footnoteReference w:id="11"/>
      </w:r>
      <w:r w:rsidR="00D80674" w:rsidRPr="00E72418">
        <w:rPr>
          <w:rFonts w:ascii="Times New Roman" w:hAnsi="Times New Roman" w:cs="Times New Roman"/>
        </w:rPr>
        <w:t>.</w:t>
      </w:r>
    </w:p>
    <w:p w14:paraId="02355815" w14:textId="77777777" w:rsidR="005E2035" w:rsidRPr="00E72418" w:rsidRDefault="005E2035" w:rsidP="00423B60"/>
    <w:p w14:paraId="5380E243" w14:textId="049BF792" w:rsidR="006D1847" w:rsidRPr="00E72418" w:rsidRDefault="007E31CD" w:rsidP="00CC4BA8">
      <w:pPr>
        <w:spacing w:line="276" w:lineRule="auto"/>
        <w:rPr>
          <w:rFonts w:ascii="Times New Roman" w:hAnsi="Times New Roman" w:cs="Times New Roman"/>
          <w:szCs w:val="24"/>
        </w:rPr>
      </w:pPr>
      <w:r w:rsidRPr="00E72418">
        <w:rPr>
          <w:rFonts w:ascii="Times New Roman" w:hAnsi="Times New Roman" w:cs="Times New Roman"/>
          <w:b/>
          <w:szCs w:val="24"/>
        </w:rPr>
        <w:lastRenderedPageBreak/>
        <w:t xml:space="preserve">3. </w:t>
      </w:r>
      <w:r w:rsidR="005E2035" w:rsidRPr="00E72418">
        <w:rPr>
          <w:rFonts w:ascii="Times New Roman" w:hAnsi="Times New Roman" w:cs="Times New Roman"/>
          <w:b/>
          <w:szCs w:val="24"/>
        </w:rPr>
        <w:t xml:space="preserve">L’accroissement du nombre de contentieux </w:t>
      </w:r>
      <w:r w:rsidR="00045449" w:rsidRPr="00E72418">
        <w:rPr>
          <w:rFonts w:ascii="Times New Roman" w:hAnsi="Times New Roman" w:cs="Times New Roman"/>
          <w:b/>
          <w:szCs w:val="24"/>
        </w:rPr>
        <w:t xml:space="preserve">relatifs aux </w:t>
      </w:r>
      <w:r w:rsidR="006D1847" w:rsidRPr="00E72418">
        <w:rPr>
          <w:rFonts w:ascii="Times New Roman" w:hAnsi="Times New Roman" w:cs="Times New Roman"/>
          <w:b/>
          <w:szCs w:val="24"/>
        </w:rPr>
        <w:t xml:space="preserve">dettes souveraines </w:t>
      </w:r>
      <w:r w:rsidR="003B41EA" w:rsidRPr="00E72418">
        <w:rPr>
          <w:rFonts w:ascii="Times New Roman" w:hAnsi="Times New Roman" w:cs="Times New Roman"/>
          <w:b/>
          <w:szCs w:val="24"/>
        </w:rPr>
        <w:t xml:space="preserve">et l’implication croissante des fonds d’investissement </w:t>
      </w:r>
      <w:r w:rsidR="006D1847" w:rsidRPr="00E72418">
        <w:rPr>
          <w:rFonts w:ascii="Times New Roman" w:hAnsi="Times New Roman" w:cs="Times New Roman"/>
          <w:b/>
          <w:szCs w:val="24"/>
        </w:rPr>
        <w:t xml:space="preserve">– </w:t>
      </w:r>
      <w:r w:rsidR="006D1847" w:rsidRPr="00E72418">
        <w:rPr>
          <w:rFonts w:ascii="Times New Roman" w:hAnsi="Times New Roman" w:cs="Times New Roman"/>
          <w:szCs w:val="24"/>
        </w:rPr>
        <w:t>Les difficultés liées aux dette</w:t>
      </w:r>
      <w:r w:rsidR="006103B1" w:rsidRPr="00E72418">
        <w:rPr>
          <w:rFonts w:ascii="Times New Roman" w:hAnsi="Times New Roman" w:cs="Times New Roman"/>
          <w:szCs w:val="24"/>
        </w:rPr>
        <w:t>s</w:t>
      </w:r>
      <w:r w:rsidR="006D1847" w:rsidRPr="00E72418">
        <w:rPr>
          <w:rFonts w:ascii="Times New Roman" w:hAnsi="Times New Roman" w:cs="Times New Roman"/>
          <w:szCs w:val="24"/>
        </w:rPr>
        <w:t xml:space="preserve"> souveraines</w:t>
      </w:r>
      <w:r w:rsidR="00CE3A82" w:rsidRPr="00E72418">
        <w:rPr>
          <w:rFonts w:ascii="Times New Roman" w:hAnsi="Times New Roman" w:cs="Times New Roman"/>
          <w:szCs w:val="24"/>
        </w:rPr>
        <w:t>, souvent dans leur forme obligataire,</w:t>
      </w:r>
      <w:r w:rsidR="006D1847" w:rsidRPr="00E72418">
        <w:rPr>
          <w:rFonts w:ascii="Times New Roman" w:hAnsi="Times New Roman" w:cs="Times New Roman"/>
          <w:szCs w:val="24"/>
        </w:rPr>
        <w:t xml:space="preserve"> donnent généralement lieu à des conten</w:t>
      </w:r>
      <w:r w:rsidR="006103B1" w:rsidRPr="00E72418">
        <w:rPr>
          <w:rFonts w:ascii="Times New Roman" w:hAnsi="Times New Roman" w:cs="Times New Roman"/>
          <w:szCs w:val="24"/>
        </w:rPr>
        <w:t xml:space="preserve">tieux </w:t>
      </w:r>
      <w:r w:rsidR="00216C1B" w:rsidRPr="00E72418">
        <w:rPr>
          <w:rFonts w:ascii="Times New Roman" w:hAnsi="Times New Roman" w:cs="Times New Roman"/>
          <w:szCs w:val="24"/>
        </w:rPr>
        <w:t>introduits</w:t>
      </w:r>
      <w:r w:rsidR="006103B1" w:rsidRPr="00E72418">
        <w:rPr>
          <w:rFonts w:ascii="Times New Roman" w:hAnsi="Times New Roman" w:cs="Times New Roman"/>
          <w:szCs w:val="24"/>
        </w:rPr>
        <w:t xml:space="preserve"> par les créanciers les détenant.</w:t>
      </w:r>
      <w:r w:rsidR="005E2035" w:rsidRPr="00E72418">
        <w:rPr>
          <w:rFonts w:ascii="Times New Roman" w:hAnsi="Times New Roman" w:cs="Times New Roman"/>
          <w:b/>
          <w:szCs w:val="24"/>
        </w:rPr>
        <w:t xml:space="preserve"> </w:t>
      </w:r>
      <w:r w:rsidR="00045449" w:rsidRPr="00E72418">
        <w:rPr>
          <w:rFonts w:ascii="Times New Roman" w:hAnsi="Times New Roman" w:cs="Times New Roman"/>
          <w:szCs w:val="24"/>
        </w:rPr>
        <w:t>U</w:t>
      </w:r>
      <w:r w:rsidR="005E2035" w:rsidRPr="00E72418">
        <w:rPr>
          <w:rFonts w:ascii="Times New Roman" w:hAnsi="Times New Roman" w:cs="Times New Roman"/>
          <w:szCs w:val="24"/>
        </w:rPr>
        <w:t>ne étude de</w:t>
      </w:r>
      <w:r w:rsidR="00045449" w:rsidRPr="00E72418">
        <w:rPr>
          <w:rFonts w:ascii="Times New Roman" w:hAnsi="Times New Roman" w:cs="Times New Roman"/>
          <w:szCs w:val="24"/>
        </w:rPr>
        <w:t xml:space="preserve"> référence publiée en 2018 </w:t>
      </w:r>
      <w:r w:rsidR="00E76173" w:rsidRPr="00E72418">
        <w:rPr>
          <w:rFonts w:ascii="Times New Roman" w:hAnsi="Times New Roman" w:cs="Times New Roman"/>
          <w:szCs w:val="24"/>
        </w:rPr>
        <w:t xml:space="preserve">constate </w:t>
      </w:r>
      <w:r w:rsidR="005E2035" w:rsidRPr="00E72418">
        <w:rPr>
          <w:rFonts w:ascii="Times New Roman" w:hAnsi="Times New Roman" w:cs="Times New Roman"/>
          <w:szCs w:val="24"/>
        </w:rPr>
        <w:t>l’accroissement de</w:t>
      </w:r>
      <w:r w:rsidR="006D1847" w:rsidRPr="00E72418">
        <w:rPr>
          <w:rFonts w:ascii="Times New Roman" w:hAnsi="Times New Roman" w:cs="Times New Roman"/>
          <w:szCs w:val="24"/>
        </w:rPr>
        <w:t xml:space="preserve"> ces litiges</w:t>
      </w:r>
      <w:r w:rsidR="006103B1" w:rsidRPr="00E72418">
        <w:rPr>
          <w:rStyle w:val="Appelnotedebasdep"/>
          <w:rFonts w:ascii="Times New Roman" w:hAnsi="Times New Roman" w:cs="Times New Roman"/>
          <w:szCs w:val="24"/>
        </w:rPr>
        <w:footnoteReference w:id="12"/>
      </w:r>
      <w:r w:rsidR="006D1847" w:rsidRPr="00E72418">
        <w:rPr>
          <w:rFonts w:ascii="Times New Roman" w:hAnsi="Times New Roman" w:cs="Times New Roman"/>
          <w:szCs w:val="24"/>
        </w:rPr>
        <w:t xml:space="preserve">. </w:t>
      </w:r>
      <w:r w:rsidR="005E2035" w:rsidRPr="00E72418">
        <w:rPr>
          <w:rFonts w:ascii="Times New Roman" w:hAnsi="Times New Roman" w:cs="Times New Roman"/>
          <w:szCs w:val="24"/>
        </w:rPr>
        <w:t>Ainsi, ces dernières a</w:t>
      </w:r>
      <w:r w:rsidR="00235356" w:rsidRPr="00E72418">
        <w:rPr>
          <w:rFonts w:ascii="Times New Roman" w:hAnsi="Times New Roman" w:cs="Times New Roman"/>
          <w:szCs w:val="24"/>
        </w:rPr>
        <w:t>nnées, cinquante pour cent</w:t>
      </w:r>
      <w:r w:rsidR="006D1847" w:rsidRPr="00E72418">
        <w:rPr>
          <w:rFonts w:ascii="Times New Roman" w:hAnsi="Times New Roman" w:cs="Times New Roman"/>
          <w:szCs w:val="24"/>
        </w:rPr>
        <w:t xml:space="preserve"> de</w:t>
      </w:r>
      <w:r w:rsidR="005E2035" w:rsidRPr="00E72418">
        <w:rPr>
          <w:rFonts w:ascii="Times New Roman" w:hAnsi="Times New Roman" w:cs="Times New Roman"/>
          <w:szCs w:val="24"/>
        </w:rPr>
        <w:t xml:space="preserve">s crises </w:t>
      </w:r>
      <w:r w:rsidR="006D1847" w:rsidRPr="00E72418">
        <w:rPr>
          <w:rFonts w:ascii="Times New Roman" w:hAnsi="Times New Roman" w:cs="Times New Roman"/>
          <w:szCs w:val="24"/>
        </w:rPr>
        <w:t xml:space="preserve">des dettes souveraines </w:t>
      </w:r>
      <w:r w:rsidR="005E2035" w:rsidRPr="00E72418">
        <w:rPr>
          <w:rFonts w:ascii="Times New Roman" w:hAnsi="Times New Roman" w:cs="Times New Roman"/>
          <w:szCs w:val="24"/>
        </w:rPr>
        <w:t>ont donné l</w:t>
      </w:r>
      <w:r w:rsidR="00045449" w:rsidRPr="00E72418">
        <w:rPr>
          <w:rFonts w:ascii="Times New Roman" w:hAnsi="Times New Roman" w:cs="Times New Roman"/>
          <w:szCs w:val="24"/>
        </w:rPr>
        <w:t xml:space="preserve">ieu à des contentieux, là où </w:t>
      </w:r>
      <w:r w:rsidR="00235356" w:rsidRPr="00E72418">
        <w:rPr>
          <w:rFonts w:ascii="Times New Roman" w:hAnsi="Times New Roman" w:cs="Times New Roman"/>
          <w:szCs w:val="24"/>
        </w:rPr>
        <w:t>moins de dix pour cent</w:t>
      </w:r>
      <w:r w:rsidR="006103B1" w:rsidRPr="00E72418">
        <w:rPr>
          <w:rFonts w:ascii="Times New Roman" w:hAnsi="Times New Roman" w:cs="Times New Roman"/>
          <w:szCs w:val="24"/>
        </w:rPr>
        <w:t xml:space="preserve"> étaient relevés</w:t>
      </w:r>
      <w:r w:rsidR="005E2035" w:rsidRPr="00E72418">
        <w:rPr>
          <w:rFonts w:ascii="Times New Roman" w:hAnsi="Times New Roman" w:cs="Times New Roman"/>
          <w:szCs w:val="24"/>
        </w:rPr>
        <w:t xml:space="preserve"> dans les années 80 et au début des années 90. On le constate à l’examen des</w:t>
      </w:r>
      <w:r w:rsidR="006103B1" w:rsidRPr="00E72418">
        <w:rPr>
          <w:rFonts w:ascii="Times New Roman" w:hAnsi="Times New Roman" w:cs="Times New Roman"/>
          <w:szCs w:val="24"/>
        </w:rPr>
        <w:t xml:space="preserve"> chiffres et</w:t>
      </w:r>
      <w:r w:rsidR="005E2035" w:rsidRPr="00E72418">
        <w:rPr>
          <w:rFonts w:ascii="Times New Roman" w:hAnsi="Times New Roman" w:cs="Times New Roman"/>
          <w:szCs w:val="24"/>
        </w:rPr>
        <w:t xml:space="preserve"> statistiques, les procès</w:t>
      </w:r>
      <w:r w:rsidR="006103B1" w:rsidRPr="00E72418">
        <w:rPr>
          <w:rFonts w:ascii="Times New Roman" w:hAnsi="Times New Roman" w:cs="Times New Roman"/>
          <w:szCs w:val="24"/>
        </w:rPr>
        <w:t xml:space="preserve"> faits aux </w:t>
      </w:r>
      <w:r w:rsidR="006103B1" w:rsidRPr="00E72418">
        <w:rPr>
          <w:rFonts w:ascii="Times New Roman" w:hAnsi="Times New Roman" w:cs="Times New Roman"/>
          <w:lang w:eastAsia="fr-BE"/>
        </w:rPr>
        <w:t>É</w:t>
      </w:r>
      <w:r w:rsidR="006103B1" w:rsidRPr="00E72418">
        <w:rPr>
          <w:rFonts w:ascii="Times New Roman" w:hAnsi="Times New Roman" w:cs="Times New Roman"/>
          <w:szCs w:val="24"/>
        </w:rPr>
        <w:t>tats</w:t>
      </w:r>
      <w:r w:rsidR="005E2035" w:rsidRPr="00E72418">
        <w:rPr>
          <w:rFonts w:ascii="Times New Roman" w:hAnsi="Times New Roman" w:cs="Times New Roman"/>
          <w:szCs w:val="24"/>
        </w:rPr>
        <w:t xml:space="preserve"> et </w:t>
      </w:r>
      <w:r w:rsidR="006103B1" w:rsidRPr="00E72418">
        <w:rPr>
          <w:rFonts w:ascii="Times New Roman" w:hAnsi="Times New Roman" w:cs="Times New Roman"/>
          <w:szCs w:val="24"/>
        </w:rPr>
        <w:t xml:space="preserve">les </w:t>
      </w:r>
      <w:r w:rsidR="005E2035" w:rsidRPr="00E72418">
        <w:rPr>
          <w:rFonts w:ascii="Times New Roman" w:hAnsi="Times New Roman" w:cs="Times New Roman"/>
          <w:szCs w:val="24"/>
        </w:rPr>
        <w:t>saisies</w:t>
      </w:r>
      <w:r w:rsidR="006103B1" w:rsidRPr="00E72418">
        <w:rPr>
          <w:rFonts w:ascii="Times New Roman" w:hAnsi="Times New Roman" w:cs="Times New Roman"/>
          <w:szCs w:val="24"/>
        </w:rPr>
        <w:t xml:space="preserve"> de leurs avoirs</w:t>
      </w:r>
      <w:r w:rsidR="005E2035" w:rsidRPr="00E72418">
        <w:rPr>
          <w:rFonts w:ascii="Times New Roman" w:hAnsi="Times New Roman" w:cs="Times New Roman"/>
          <w:szCs w:val="24"/>
        </w:rPr>
        <w:t xml:space="preserve"> sont devenus des moyens de plus en plus courants de règlement des différends</w:t>
      </w:r>
      <w:r w:rsidR="005E2035" w:rsidRPr="00E72418">
        <w:rPr>
          <w:rStyle w:val="Appelnotedebasdep"/>
          <w:rFonts w:ascii="Times New Roman" w:hAnsi="Times New Roman" w:cs="Times New Roman"/>
          <w:szCs w:val="24"/>
        </w:rPr>
        <w:footnoteReference w:id="13"/>
      </w:r>
      <w:r w:rsidR="005E2035" w:rsidRPr="00E72418">
        <w:rPr>
          <w:rFonts w:ascii="Times New Roman" w:hAnsi="Times New Roman" w:cs="Times New Roman"/>
          <w:szCs w:val="24"/>
        </w:rPr>
        <w:t xml:space="preserve">. </w:t>
      </w:r>
    </w:p>
    <w:p w14:paraId="12750CDF" w14:textId="709DE895" w:rsidR="007B63A2" w:rsidRPr="00E72418" w:rsidRDefault="005E2035" w:rsidP="00CC4BA8">
      <w:pPr>
        <w:spacing w:line="276" w:lineRule="auto"/>
        <w:rPr>
          <w:rFonts w:ascii="Times New Roman" w:hAnsi="Times New Roman" w:cs="Times New Roman"/>
          <w:szCs w:val="24"/>
        </w:rPr>
      </w:pPr>
      <w:r w:rsidRPr="00E72418">
        <w:rPr>
          <w:rFonts w:ascii="Times New Roman" w:hAnsi="Times New Roman" w:cs="Times New Roman"/>
          <w:szCs w:val="24"/>
        </w:rPr>
        <w:t>Sans d</w:t>
      </w:r>
      <w:r w:rsidR="003949AC" w:rsidRPr="00E72418">
        <w:rPr>
          <w:rFonts w:ascii="Times New Roman" w:hAnsi="Times New Roman" w:cs="Times New Roman"/>
          <w:szCs w:val="24"/>
        </w:rPr>
        <w:t>oute l’augmentation</w:t>
      </w:r>
      <w:r w:rsidR="003675E8" w:rsidRPr="00E72418">
        <w:rPr>
          <w:rFonts w:ascii="Times New Roman" w:hAnsi="Times New Roman" w:cs="Times New Roman"/>
          <w:szCs w:val="24"/>
        </w:rPr>
        <w:t xml:space="preserve"> du nombre</w:t>
      </w:r>
      <w:r w:rsidRPr="00E72418">
        <w:rPr>
          <w:rFonts w:ascii="Times New Roman" w:hAnsi="Times New Roman" w:cs="Times New Roman"/>
          <w:szCs w:val="24"/>
        </w:rPr>
        <w:t xml:space="preserve"> de contentieux liés aux crises des de</w:t>
      </w:r>
      <w:r w:rsidR="003949AC" w:rsidRPr="00E72418">
        <w:rPr>
          <w:rFonts w:ascii="Times New Roman" w:hAnsi="Times New Roman" w:cs="Times New Roman"/>
          <w:szCs w:val="24"/>
        </w:rPr>
        <w:t>ttes souveraines s’explique-t-elle</w:t>
      </w:r>
      <w:r w:rsidR="006D1847" w:rsidRPr="00E72418">
        <w:rPr>
          <w:rFonts w:ascii="Times New Roman" w:hAnsi="Times New Roman" w:cs="Times New Roman"/>
          <w:szCs w:val="24"/>
        </w:rPr>
        <w:t>, d’une part,</w:t>
      </w:r>
      <w:r w:rsidRPr="00E72418">
        <w:rPr>
          <w:rFonts w:ascii="Times New Roman" w:hAnsi="Times New Roman" w:cs="Times New Roman"/>
          <w:szCs w:val="24"/>
        </w:rPr>
        <w:t xml:space="preserve"> par les </w:t>
      </w:r>
      <w:r w:rsidR="006D1847" w:rsidRPr="00E72418">
        <w:rPr>
          <w:rFonts w:ascii="Times New Roman" w:hAnsi="Times New Roman" w:cs="Times New Roman"/>
          <w:szCs w:val="24"/>
        </w:rPr>
        <w:t xml:space="preserve">importants </w:t>
      </w:r>
      <w:r w:rsidRPr="00E72418">
        <w:rPr>
          <w:rFonts w:ascii="Times New Roman" w:hAnsi="Times New Roman" w:cs="Times New Roman"/>
          <w:szCs w:val="24"/>
        </w:rPr>
        <w:t xml:space="preserve">succès </w:t>
      </w:r>
      <w:r w:rsidR="006D1847" w:rsidRPr="00E72418">
        <w:rPr>
          <w:rFonts w:ascii="Times New Roman" w:hAnsi="Times New Roman" w:cs="Times New Roman"/>
          <w:szCs w:val="24"/>
        </w:rPr>
        <w:t xml:space="preserve">récoltés par les créanciers comme dans le cas argentin, mais aussi, d’autre part, par </w:t>
      </w:r>
      <w:r w:rsidRPr="00E72418">
        <w:rPr>
          <w:rFonts w:ascii="Times New Roman" w:hAnsi="Times New Roman" w:cs="Times New Roman"/>
          <w:szCs w:val="24"/>
        </w:rPr>
        <w:t>les leçons</w:t>
      </w:r>
      <w:r w:rsidR="006D1847" w:rsidRPr="00E72418">
        <w:rPr>
          <w:rFonts w:ascii="Times New Roman" w:hAnsi="Times New Roman" w:cs="Times New Roman"/>
          <w:szCs w:val="24"/>
        </w:rPr>
        <w:t xml:space="preserve"> qu’ont pu tirer les créanciers des échecs de leurs</w:t>
      </w:r>
      <w:r w:rsidRPr="00E72418">
        <w:rPr>
          <w:rFonts w:ascii="Times New Roman" w:hAnsi="Times New Roman" w:cs="Times New Roman"/>
          <w:szCs w:val="24"/>
        </w:rPr>
        <w:t xml:space="preserve"> stratégies adoptées en vue de faire condamner leur débiteur et exécuter les condamnations</w:t>
      </w:r>
      <w:r w:rsidRPr="00E72418">
        <w:rPr>
          <w:rStyle w:val="Appelnotedebasdep"/>
          <w:rFonts w:ascii="Times New Roman" w:hAnsi="Times New Roman" w:cs="Times New Roman"/>
          <w:szCs w:val="24"/>
        </w:rPr>
        <w:footnoteReference w:id="14"/>
      </w:r>
      <w:r w:rsidRPr="00E72418">
        <w:rPr>
          <w:rFonts w:ascii="Times New Roman" w:hAnsi="Times New Roman" w:cs="Times New Roman"/>
          <w:szCs w:val="24"/>
        </w:rPr>
        <w:t>.</w:t>
      </w:r>
      <w:r w:rsidR="007B63A2" w:rsidRPr="00E72418">
        <w:rPr>
          <w:rFonts w:ascii="Times New Roman" w:hAnsi="Times New Roman" w:cs="Times New Roman"/>
          <w:szCs w:val="24"/>
        </w:rPr>
        <w:t xml:space="preserve"> </w:t>
      </w:r>
      <w:r w:rsidR="006D1847" w:rsidRPr="00E72418">
        <w:rPr>
          <w:rFonts w:ascii="Times New Roman" w:hAnsi="Times New Roman" w:cs="Times New Roman"/>
          <w:szCs w:val="24"/>
        </w:rPr>
        <w:t>L’on peut ainsi craindre que les futures crises des dettes souveraines donnent lieu à de nombreux contentieux</w:t>
      </w:r>
      <w:r w:rsidR="007B63A2" w:rsidRPr="00E72418">
        <w:rPr>
          <w:rStyle w:val="Appelnotedebasdep"/>
          <w:rFonts w:ascii="Times New Roman" w:hAnsi="Times New Roman" w:cs="Times New Roman"/>
        </w:rPr>
        <w:footnoteReference w:id="15"/>
      </w:r>
      <w:r w:rsidR="007B63A2" w:rsidRPr="00E72418">
        <w:rPr>
          <w:rFonts w:ascii="Times New Roman" w:hAnsi="Times New Roman" w:cs="Times New Roman"/>
        </w:rPr>
        <w:t>.</w:t>
      </w:r>
      <w:r w:rsidR="007B63A2" w:rsidRPr="00E72418">
        <w:rPr>
          <w:rFonts w:ascii="Times New Roman" w:hAnsi="Times New Roman" w:cs="Times New Roman"/>
          <w:sz w:val="22"/>
        </w:rPr>
        <w:t xml:space="preserve"> </w:t>
      </w:r>
    </w:p>
    <w:p w14:paraId="43CBEA5B" w14:textId="1C474460" w:rsidR="000745E2" w:rsidRPr="00E72418" w:rsidRDefault="00B17190"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Dans </w:t>
      </w:r>
      <w:r w:rsidR="003B41EA" w:rsidRPr="00E72418">
        <w:rPr>
          <w:rFonts w:ascii="Times New Roman" w:hAnsi="Times New Roman" w:cs="Times New Roman"/>
          <w:szCs w:val="24"/>
        </w:rPr>
        <w:t>l’</w:t>
      </w:r>
      <w:r w:rsidRPr="00E72418">
        <w:rPr>
          <w:rFonts w:ascii="Times New Roman" w:hAnsi="Times New Roman" w:cs="Times New Roman"/>
          <w:szCs w:val="24"/>
        </w:rPr>
        <w:t>étude précitée</w:t>
      </w:r>
      <w:r w:rsidR="00113D00" w:rsidRPr="00E72418">
        <w:rPr>
          <w:rFonts w:ascii="Times New Roman" w:hAnsi="Times New Roman" w:cs="Times New Roman"/>
          <w:szCs w:val="24"/>
        </w:rPr>
        <w:t xml:space="preserve"> de 201</w:t>
      </w:r>
      <w:r w:rsidR="003B41EA" w:rsidRPr="00E72418">
        <w:rPr>
          <w:rFonts w:ascii="Times New Roman" w:hAnsi="Times New Roman" w:cs="Times New Roman"/>
          <w:szCs w:val="24"/>
        </w:rPr>
        <w:t>8</w:t>
      </w:r>
      <w:r w:rsidRPr="00E72418">
        <w:rPr>
          <w:rFonts w:ascii="Times New Roman" w:hAnsi="Times New Roman" w:cs="Times New Roman"/>
          <w:szCs w:val="24"/>
        </w:rPr>
        <w:t xml:space="preserve">, </w:t>
      </w:r>
      <w:r w:rsidR="003F09AF" w:rsidRPr="00E72418">
        <w:rPr>
          <w:rFonts w:ascii="Times New Roman" w:hAnsi="Times New Roman" w:cs="Times New Roman"/>
          <w:szCs w:val="24"/>
        </w:rPr>
        <w:t xml:space="preserve">Julian </w:t>
      </w:r>
      <w:r w:rsidR="00F00694" w:rsidRPr="00E72418">
        <w:rPr>
          <w:rFonts w:ascii="Times New Roman" w:hAnsi="Times New Roman" w:cs="Times New Roman"/>
          <w:lang w:val="en-US"/>
        </w:rPr>
        <w:t xml:space="preserve">Schumacher </w:t>
      </w:r>
      <w:r w:rsidR="00F00694" w:rsidRPr="00E72418">
        <w:rPr>
          <w:rFonts w:ascii="Times New Roman" w:hAnsi="Times New Roman"/>
          <w:i/>
        </w:rPr>
        <w:t xml:space="preserve">et al. </w:t>
      </w:r>
      <w:r w:rsidRPr="00E72418">
        <w:rPr>
          <w:rFonts w:ascii="Times New Roman" w:hAnsi="Times New Roman" w:cs="Times New Roman"/>
          <w:szCs w:val="24"/>
        </w:rPr>
        <w:t>remarquent que</w:t>
      </w:r>
      <w:r w:rsidR="00F676FA" w:rsidRPr="00E72418">
        <w:rPr>
          <w:rFonts w:ascii="Times New Roman" w:hAnsi="Times New Roman" w:cs="Times New Roman"/>
          <w:szCs w:val="24"/>
        </w:rPr>
        <w:t xml:space="preserve"> les </w:t>
      </w:r>
      <w:r w:rsidR="003B41EA" w:rsidRPr="00E72418">
        <w:rPr>
          <w:rFonts w:ascii="Times New Roman" w:hAnsi="Times New Roman" w:cs="Times New Roman"/>
          <w:szCs w:val="24"/>
        </w:rPr>
        <w:t xml:space="preserve">fonds investissant dans les dettes en difficulté </w:t>
      </w:r>
      <w:r w:rsidR="006103B1" w:rsidRPr="00E72418">
        <w:rPr>
          <w:rFonts w:ascii="Times New Roman" w:hAnsi="Times New Roman" w:cs="Times New Roman"/>
          <w:szCs w:val="24"/>
        </w:rPr>
        <w:t>sont</w:t>
      </w:r>
      <w:r w:rsidR="003B41EA" w:rsidRPr="00E72418">
        <w:rPr>
          <w:rFonts w:ascii="Times New Roman" w:hAnsi="Times New Roman" w:cs="Times New Roman"/>
          <w:szCs w:val="24"/>
        </w:rPr>
        <w:t xml:space="preserve"> devenus les plus enclins à s’engager dans la voie </w:t>
      </w:r>
      <w:r w:rsidR="006103B1" w:rsidRPr="00E72418">
        <w:rPr>
          <w:rFonts w:ascii="Times New Roman" w:hAnsi="Times New Roman" w:cs="Times New Roman"/>
          <w:szCs w:val="24"/>
        </w:rPr>
        <w:t>contentieuse. Alors que</w:t>
      </w:r>
      <w:r w:rsidR="003B41EA" w:rsidRPr="00E72418">
        <w:rPr>
          <w:rFonts w:ascii="Times New Roman" w:hAnsi="Times New Roman" w:cs="Times New Roman"/>
          <w:szCs w:val="24"/>
        </w:rPr>
        <w:t xml:space="preserve"> deux tiers des nouvelles affaires </w:t>
      </w:r>
      <w:r w:rsidR="006103B1" w:rsidRPr="00E72418">
        <w:rPr>
          <w:rFonts w:ascii="Times New Roman" w:hAnsi="Times New Roman" w:cs="Times New Roman"/>
          <w:szCs w:val="24"/>
        </w:rPr>
        <w:t>sont lancées</w:t>
      </w:r>
      <w:r w:rsidR="003B41EA" w:rsidRPr="00E72418">
        <w:rPr>
          <w:rFonts w:ascii="Times New Roman" w:hAnsi="Times New Roman" w:cs="Times New Roman"/>
          <w:szCs w:val="24"/>
        </w:rPr>
        <w:t xml:space="preserve"> à leur initiative,</w:t>
      </w:r>
      <w:r w:rsidR="006103B1" w:rsidRPr="00E72418">
        <w:rPr>
          <w:rFonts w:ascii="Times New Roman" w:hAnsi="Times New Roman" w:cs="Times New Roman"/>
          <w:szCs w:val="24"/>
        </w:rPr>
        <w:t xml:space="preserve"> l’on constate que ces fonds adopt</w:t>
      </w:r>
      <w:r w:rsidR="00C93273" w:rsidRPr="00E72418">
        <w:rPr>
          <w:rFonts w:ascii="Times New Roman" w:hAnsi="Times New Roman" w:cs="Times New Roman"/>
          <w:szCs w:val="24"/>
        </w:rPr>
        <w:t>ent</w:t>
      </w:r>
      <w:r w:rsidR="003B41EA" w:rsidRPr="00E72418">
        <w:rPr>
          <w:rFonts w:ascii="Times New Roman" w:hAnsi="Times New Roman" w:cs="Times New Roman"/>
          <w:szCs w:val="24"/>
        </w:rPr>
        <w:t xml:space="preserve"> </w:t>
      </w:r>
      <w:r w:rsidR="00CC422B" w:rsidRPr="00E72418">
        <w:rPr>
          <w:rFonts w:ascii="Times New Roman" w:hAnsi="Times New Roman" w:cs="Times New Roman"/>
          <w:szCs w:val="24"/>
        </w:rPr>
        <w:t>des stratégies beaucoup plus ag</w:t>
      </w:r>
      <w:r w:rsidR="003B41EA" w:rsidRPr="00E72418">
        <w:rPr>
          <w:rFonts w:ascii="Times New Roman" w:hAnsi="Times New Roman" w:cs="Times New Roman"/>
          <w:szCs w:val="24"/>
        </w:rPr>
        <w:t>ressives que les autres créanciers</w:t>
      </w:r>
      <w:r w:rsidR="006103B1" w:rsidRPr="00E72418">
        <w:rPr>
          <w:rFonts w:ascii="Times New Roman" w:hAnsi="Times New Roman" w:cs="Times New Roman"/>
          <w:szCs w:val="24"/>
        </w:rPr>
        <w:t xml:space="preserve"> d’</w:t>
      </w:r>
      <w:r w:rsidR="008E336A" w:rsidRPr="00E72418">
        <w:rPr>
          <w:rFonts w:ascii="Times New Roman" w:hAnsi="Times New Roman" w:cs="Times New Roman"/>
          <w:lang w:eastAsia="fr-BE"/>
        </w:rPr>
        <w:t>É</w:t>
      </w:r>
      <w:r w:rsidR="008E336A" w:rsidRPr="00E72418">
        <w:rPr>
          <w:rFonts w:ascii="Times New Roman" w:hAnsi="Times New Roman" w:cs="Times New Roman"/>
          <w:szCs w:val="24"/>
        </w:rPr>
        <w:t>tats</w:t>
      </w:r>
      <w:r w:rsidR="008E336A" w:rsidRPr="00E72418">
        <w:rPr>
          <w:rStyle w:val="Appelnotedebasdep"/>
          <w:rFonts w:ascii="Times New Roman" w:hAnsi="Times New Roman" w:cs="Times New Roman"/>
          <w:szCs w:val="24"/>
        </w:rPr>
        <w:t xml:space="preserve"> </w:t>
      </w:r>
      <w:r w:rsidR="008E336A" w:rsidRPr="00E72418">
        <w:rPr>
          <w:rFonts w:ascii="Times New Roman" w:hAnsi="Times New Roman" w:cs="Times New Roman"/>
          <w:szCs w:val="24"/>
        </w:rPr>
        <w:t>souverains</w:t>
      </w:r>
      <w:r w:rsidRPr="00E72418">
        <w:rPr>
          <w:rStyle w:val="Appelnotedebasdep"/>
          <w:rFonts w:ascii="Times New Roman" w:hAnsi="Times New Roman" w:cs="Times New Roman"/>
          <w:szCs w:val="24"/>
        </w:rPr>
        <w:footnoteReference w:id="16"/>
      </w:r>
      <w:r w:rsidRPr="00E72418">
        <w:rPr>
          <w:rFonts w:ascii="Times New Roman" w:hAnsi="Times New Roman" w:cs="Times New Roman"/>
          <w:szCs w:val="24"/>
        </w:rPr>
        <w:t>.</w:t>
      </w:r>
    </w:p>
    <w:p w14:paraId="2F059FDC" w14:textId="7B0522AE" w:rsidR="00AC2D99" w:rsidRPr="00E72418" w:rsidRDefault="00746177" w:rsidP="00CC4BA8">
      <w:pPr>
        <w:spacing w:line="276" w:lineRule="auto"/>
        <w:rPr>
          <w:rFonts w:ascii="Times New Roman" w:hAnsi="Times New Roman" w:cs="Times New Roman"/>
          <w:szCs w:val="24"/>
        </w:rPr>
      </w:pPr>
      <w:r w:rsidRPr="00E72418">
        <w:rPr>
          <w:rFonts w:ascii="Times New Roman" w:hAnsi="Times New Roman" w:cs="Times New Roman"/>
          <w:szCs w:val="24"/>
        </w:rPr>
        <w:t>Il y a fort à parier que</w:t>
      </w:r>
      <w:r w:rsidR="003949AC" w:rsidRPr="00E72418">
        <w:rPr>
          <w:rFonts w:ascii="Times New Roman" w:hAnsi="Times New Roman" w:cs="Times New Roman"/>
          <w:szCs w:val="24"/>
        </w:rPr>
        <w:t>,</w:t>
      </w:r>
      <w:r w:rsidRPr="00E72418">
        <w:rPr>
          <w:rFonts w:ascii="Times New Roman" w:hAnsi="Times New Roman" w:cs="Times New Roman"/>
          <w:szCs w:val="24"/>
        </w:rPr>
        <w:t xml:space="preserve"> dans les années qui viennent</w:t>
      </w:r>
      <w:r w:rsidR="003949AC" w:rsidRPr="00E72418">
        <w:rPr>
          <w:rFonts w:ascii="Times New Roman" w:hAnsi="Times New Roman" w:cs="Times New Roman"/>
          <w:szCs w:val="24"/>
        </w:rPr>
        <w:t>,</w:t>
      </w:r>
      <w:r w:rsidRPr="00E72418">
        <w:rPr>
          <w:rFonts w:ascii="Times New Roman" w:hAnsi="Times New Roman" w:cs="Times New Roman"/>
          <w:szCs w:val="24"/>
        </w:rPr>
        <w:t xml:space="preserve"> la spéculation ira croissant </w:t>
      </w:r>
      <w:r w:rsidR="00193F87" w:rsidRPr="00E72418">
        <w:rPr>
          <w:rFonts w:ascii="Times New Roman" w:hAnsi="Times New Roman" w:cs="Times New Roman"/>
          <w:szCs w:val="24"/>
        </w:rPr>
        <w:t>au vu de</w:t>
      </w:r>
      <w:r w:rsidRPr="00E72418">
        <w:rPr>
          <w:rFonts w:ascii="Times New Roman" w:hAnsi="Times New Roman" w:cs="Times New Roman"/>
          <w:szCs w:val="24"/>
        </w:rPr>
        <w:t xml:space="preserve"> la récession économique mondiale </w:t>
      </w:r>
      <w:r w:rsidR="00193F87" w:rsidRPr="00E72418">
        <w:rPr>
          <w:rFonts w:ascii="Times New Roman" w:hAnsi="Times New Roman" w:cs="Times New Roman"/>
          <w:szCs w:val="24"/>
        </w:rPr>
        <w:t>suivant</w:t>
      </w:r>
      <w:r w:rsidRPr="00E72418">
        <w:rPr>
          <w:rFonts w:ascii="Times New Roman" w:hAnsi="Times New Roman" w:cs="Times New Roman"/>
          <w:szCs w:val="24"/>
        </w:rPr>
        <w:t xml:space="preserve"> la pandémie d</w:t>
      </w:r>
      <w:r w:rsidR="00193F87" w:rsidRPr="00E72418">
        <w:rPr>
          <w:rFonts w:ascii="Times New Roman" w:hAnsi="Times New Roman" w:cs="Times New Roman"/>
          <w:szCs w:val="24"/>
        </w:rPr>
        <w:t xml:space="preserve">e coronavirus. L’implication attendue des </w:t>
      </w:r>
      <w:r w:rsidR="00193F87" w:rsidRPr="00E72418">
        <w:rPr>
          <w:rFonts w:ascii="Times New Roman" w:hAnsi="Times New Roman" w:cs="Times New Roman"/>
          <w:lang w:eastAsia="fr-BE"/>
        </w:rPr>
        <w:t>É</w:t>
      </w:r>
      <w:r w:rsidR="00193F87" w:rsidRPr="00E72418">
        <w:rPr>
          <w:rFonts w:ascii="Times New Roman" w:hAnsi="Times New Roman" w:cs="Times New Roman"/>
          <w:szCs w:val="24"/>
        </w:rPr>
        <w:t>tats afin d’am</w:t>
      </w:r>
      <w:r w:rsidR="0037051C" w:rsidRPr="00E72418">
        <w:rPr>
          <w:rFonts w:ascii="Times New Roman" w:hAnsi="Times New Roman" w:cs="Times New Roman"/>
          <w:szCs w:val="24"/>
        </w:rPr>
        <w:t xml:space="preserve">ortir les effets de la crise </w:t>
      </w:r>
      <w:r w:rsidR="00193F87" w:rsidRPr="00E72418">
        <w:rPr>
          <w:rFonts w:ascii="Times New Roman" w:hAnsi="Times New Roman" w:cs="Times New Roman"/>
          <w:szCs w:val="24"/>
        </w:rPr>
        <w:t xml:space="preserve">les </w:t>
      </w:r>
      <w:r w:rsidR="0037051C" w:rsidRPr="00E72418">
        <w:rPr>
          <w:rFonts w:ascii="Times New Roman" w:hAnsi="Times New Roman" w:cs="Times New Roman"/>
          <w:szCs w:val="24"/>
        </w:rPr>
        <w:t>a conduits</w:t>
      </w:r>
      <w:r w:rsidR="000745E2" w:rsidRPr="00E72418">
        <w:rPr>
          <w:rFonts w:ascii="Times New Roman" w:hAnsi="Times New Roman" w:cs="Times New Roman"/>
          <w:szCs w:val="24"/>
        </w:rPr>
        <w:t>,</w:t>
      </w:r>
      <w:r w:rsidR="0037051C" w:rsidRPr="00E72418">
        <w:rPr>
          <w:rFonts w:ascii="Times New Roman" w:hAnsi="Times New Roman" w:cs="Times New Roman"/>
          <w:szCs w:val="24"/>
        </w:rPr>
        <w:t xml:space="preserve"> et va encore </w:t>
      </w:r>
      <w:r w:rsidR="000745E2" w:rsidRPr="00E72418">
        <w:rPr>
          <w:rFonts w:ascii="Times New Roman" w:hAnsi="Times New Roman" w:cs="Times New Roman"/>
          <w:szCs w:val="24"/>
        </w:rPr>
        <w:t xml:space="preserve">sans doute </w:t>
      </w:r>
      <w:r w:rsidR="0037051C" w:rsidRPr="00E72418">
        <w:rPr>
          <w:rFonts w:ascii="Times New Roman" w:hAnsi="Times New Roman" w:cs="Times New Roman"/>
          <w:szCs w:val="24"/>
        </w:rPr>
        <w:t>les pousser</w:t>
      </w:r>
      <w:r w:rsidR="000745E2" w:rsidRPr="00E72418">
        <w:rPr>
          <w:rFonts w:ascii="Times New Roman" w:hAnsi="Times New Roman" w:cs="Times New Roman"/>
          <w:szCs w:val="24"/>
        </w:rPr>
        <w:t>,</w:t>
      </w:r>
      <w:r w:rsidR="00193F87" w:rsidRPr="00E72418">
        <w:rPr>
          <w:rFonts w:ascii="Times New Roman" w:hAnsi="Times New Roman" w:cs="Times New Roman"/>
          <w:szCs w:val="24"/>
        </w:rPr>
        <w:t xml:space="preserve"> à une augmentation de leur endettement qu’indubitablement certains d’entre eux auront peine à honorer à terme</w:t>
      </w:r>
      <w:r w:rsidR="008227D8" w:rsidRPr="00E72418">
        <w:rPr>
          <w:rFonts w:ascii="Times New Roman" w:hAnsi="Times New Roman" w:cs="Times New Roman"/>
          <w:szCs w:val="24"/>
        </w:rPr>
        <w:t xml:space="preserve"> tant il sera devenu insoutenable</w:t>
      </w:r>
      <w:r w:rsidR="00193F87" w:rsidRPr="00E72418">
        <w:rPr>
          <w:rFonts w:ascii="Times New Roman" w:hAnsi="Times New Roman" w:cs="Times New Roman"/>
          <w:szCs w:val="24"/>
        </w:rPr>
        <w:t>.</w:t>
      </w:r>
    </w:p>
    <w:p w14:paraId="46F8EAA4" w14:textId="77777777" w:rsidR="00362C91" w:rsidRPr="00E72418" w:rsidRDefault="00362C91" w:rsidP="00423B60"/>
    <w:p w14:paraId="05D286AE" w14:textId="3C11D10D" w:rsidR="00AC2D99" w:rsidRPr="00E72418" w:rsidRDefault="007E31CD" w:rsidP="00CC4BA8">
      <w:pPr>
        <w:spacing w:line="276" w:lineRule="auto"/>
        <w:rPr>
          <w:rFonts w:ascii="Times New Roman" w:hAnsi="Times New Roman" w:cs="Times New Roman"/>
        </w:rPr>
      </w:pPr>
      <w:r w:rsidRPr="00E72418">
        <w:rPr>
          <w:rFonts w:ascii="Times New Roman" w:hAnsi="Times New Roman" w:cs="Times New Roman"/>
          <w:b/>
          <w:szCs w:val="24"/>
        </w:rPr>
        <w:t xml:space="preserve">4. </w:t>
      </w:r>
      <w:r w:rsidR="00AC2D99" w:rsidRPr="00E72418">
        <w:rPr>
          <w:rFonts w:ascii="Times New Roman" w:hAnsi="Times New Roman" w:cs="Times New Roman"/>
          <w:b/>
          <w:szCs w:val="24"/>
        </w:rPr>
        <w:t>L’importance d’une appréhension</w:t>
      </w:r>
      <w:r w:rsidR="006C2A79" w:rsidRPr="00E72418">
        <w:rPr>
          <w:rFonts w:ascii="Times New Roman" w:hAnsi="Times New Roman" w:cs="Times New Roman"/>
          <w:b/>
          <w:szCs w:val="24"/>
        </w:rPr>
        <w:t xml:space="preserve"> nuancée</w:t>
      </w:r>
      <w:r w:rsidR="00AC2D99" w:rsidRPr="00E72418">
        <w:rPr>
          <w:rFonts w:ascii="Times New Roman" w:hAnsi="Times New Roman" w:cs="Times New Roman"/>
          <w:b/>
          <w:szCs w:val="24"/>
        </w:rPr>
        <w:t xml:space="preserve"> du phénomène – </w:t>
      </w:r>
      <w:r w:rsidR="00AC2D99" w:rsidRPr="00E72418">
        <w:rPr>
          <w:rFonts w:ascii="Times New Roman" w:hAnsi="Times New Roman" w:cs="Times New Roman"/>
        </w:rPr>
        <w:t>Surtout connu du grand public par l’abondante couverture médiatique du conflit argentin</w:t>
      </w:r>
      <w:r w:rsidR="00AC2D99" w:rsidRPr="00E72418">
        <w:rPr>
          <w:rStyle w:val="Appelnotedebasdep"/>
          <w:rFonts w:ascii="Times New Roman" w:hAnsi="Times New Roman" w:cs="Times New Roman"/>
        </w:rPr>
        <w:footnoteReference w:id="17"/>
      </w:r>
      <w:r w:rsidR="00AC2D99" w:rsidRPr="00E72418">
        <w:rPr>
          <w:rFonts w:ascii="Times New Roman" w:hAnsi="Times New Roman" w:cs="Times New Roman"/>
        </w:rPr>
        <w:t xml:space="preserve">, la demande de la société </w:t>
      </w:r>
      <w:r w:rsidR="00AC2D99" w:rsidRPr="00E72418">
        <w:rPr>
          <w:rFonts w:ascii="Times New Roman" w:hAnsi="Times New Roman" w:cs="Times New Roman"/>
        </w:rPr>
        <w:lastRenderedPageBreak/>
        <w:t xml:space="preserve">civile pour que le phénomène des fonds dits </w:t>
      </w:r>
      <w:r w:rsidR="008E336A" w:rsidRPr="00E72418">
        <w:rPr>
          <w:rFonts w:ascii="Times New Roman" w:hAnsi="Times New Roman" w:cs="Times New Roman"/>
        </w:rPr>
        <w:t>« </w:t>
      </w:r>
      <w:r w:rsidR="00AC2D99" w:rsidRPr="00E72418">
        <w:rPr>
          <w:rFonts w:ascii="Times New Roman" w:hAnsi="Times New Roman" w:cs="Times New Roman"/>
        </w:rPr>
        <w:t>vautours</w:t>
      </w:r>
      <w:r w:rsidR="008E336A" w:rsidRPr="00E72418">
        <w:rPr>
          <w:rFonts w:ascii="Times New Roman" w:hAnsi="Times New Roman" w:cs="Times New Roman"/>
        </w:rPr>
        <w:t> »</w:t>
      </w:r>
      <w:r w:rsidR="00AC2D99" w:rsidRPr="00E72418">
        <w:rPr>
          <w:rFonts w:ascii="Times New Roman" w:hAnsi="Times New Roman" w:cs="Times New Roman"/>
        </w:rPr>
        <w:t xml:space="preserve"> soit </w:t>
      </w:r>
      <w:r w:rsidR="00A63ADA" w:rsidRPr="00E72418">
        <w:rPr>
          <w:rFonts w:ascii="Times New Roman" w:hAnsi="Times New Roman" w:cs="Times New Roman"/>
        </w:rPr>
        <w:t xml:space="preserve">endigué </w:t>
      </w:r>
      <w:r w:rsidR="00AC2D99" w:rsidRPr="00E72418">
        <w:rPr>
          <w:rFonts w:ascii="Times New Roman" w:hAnsi="Times New Roman" w:cs="Times New Roman"/>
        </w:rPr>
        <w:t xml:space="preserve">est forte. </w:t>
      </w:r>
      <w:r w:rsidR="0093524B" w:rsidRPr="00E72418">
        <w:t>L’ancien expert indépendant des Nations Unies sur la dette et les droits de l’homme, Juan Pablo Bohoslavsky, soulignait que « vulture fund litigation has come at a significant cost for some States, diverting public funds into questionable forms of debt service, which should better be used for fighting poverty, improving public health care or education, and boost the debtors’ economies »</w:t>
      </w:r>
      <w:r w:rsidR="0093524B" w:rsidRPr="00E72418">
        <w:rPr>
          <w:vertAlign w:val="superscript"/>
        </w:rPr>
        <w:footnoteReference w:id="18"/>
      </w:r>
      <w:r w:rsidR="0093524B" w:rsidRPr="00E72418">
        <w:t xml:space="preserve">. </w:t>
      </w:r>
      <w:r w:rsidR="00AC2D99" w:rsidRPr="00E72418">
        <w:rPr>
          <w:rFonts w:ascii="Times New Roman" w:hAnsi="Times New Roman" w:cs="Times New Roman"/>
        </w:rPr>
        <w:t>De nombreuses organisations de défense des droits de l’homme soulignent que les conflits menés par ces fonds particuliers sont illustratifs d’un problème global aux impacts considérables sur les droits humains et demandent par conséquent que le système financier soit réformé afin d’en restreindre les activités prédatrices</w:t>
      </w:r>
      <w:r w:rsidR="00AC2D99" w:rsidRPr="00E72418">
        <w:rPr>
          <w:rStyle w:val="Appelnotedebasdep"/>
          <w:rFonts w:ascii="Times New Roman" w:hAnsi="Times New Roman" w:cs="Times New Roman"/>
        </w:rPr>
        <w:footnoteReference w:id="19"/>
      </w:r>
      <w:r w:rsidR="00AC2D99" w:rsidRPr="00E72418">
        <w:rPr>
          <w:rFonts w:ascii="Times New Roman" w:hAnsi="Times New Roman" w:cs="Times New Roman"/>
        </w:rPr>
        <w:t>.</w:t>
      </w:r>
    </w:p>
    <w:p w14:paraId="24152D2E" w14:textId="0FBB6926" w:rsidR="006C2A79" w:rsidRPr="00E72418" w:rsidRDefault="00AC2D99"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Si cette forte demande </w:t>
      </w:r>
      <w:r w:rsidR="00155E6D" w:rsidRPr="00E72418">
        <w:rPr>
          <w:rFonts w:ascii="Times New Roman" w:hAnsi="Times New Roman" w:cs="Times New Roman"/>
          <w:szCs w:val="24"/>
        </w:rPr>
        <w:t xml:space="preserve">de </w:t>
      </w:r>
      <w:r w:rsidR="001243C1" w:rsidRPr="00E72418">
        <w:rPr>
          <w:rFonts w:ascii="Times New Roman" w:hAnsi="Times New Roman" w:cs="Times New Roman"/>
          <w:szCs w:val="24"/>
        </w:rPr>
        <w:t>réglementation</w:t>
      </w:r>
      <w:r w:rsidR="00155E6D" w:rsidRPr="00E72418">
        <w:rPr>
          <w:rFonts w:ascii="Times New Roman" w:hAnsi="Times New Roman" w:cs="Times New Roman"/>
          <w:szCs w:val="24"/>
        </w:rPr>
        <w:t xml:space="preserve"> </w:t>
      </w:r>
      <w:r w:rsidRPr="00E72418">
        <w:rPr>
          <w:rFonts w:ascii="Times New Roman" w:hAnsi="Times New Roman" w:cs="Times New Roman"/>
          <w:szCs w:val="24"/>
        </w:rPr>
        <w:t xml:space="preserve">doit </w:t>
      </w:r>
      <w:r w:rsidR="008E336A" w:rsidRPr="00E72418">
        <w:rPr>
          <w:rFonts w:ascii="Times New Roman" w:hAnsi="Times New Roman" w:cs="Times New Roman"/>
          <w:szCs w:val="24"/>
        </w:rPr>
        <w:t>tirer la sonnette d’</w:t>
      </w:r>
      <w:r w:rsidRPr="00E72418">
        <w:rPr>
          <w:rFonts w:ascii="Times New Roman" w:hAnsi="Times New Roman" w:cs="Times New Roman"/>
          <w:szCs w:val="24"/>
        </w:rPr>
        <w:t>alarme, elle ne doit pas éclipser l’i</w:t>
      </w:r>
      <w:r w:rsidR="00155E6D" w:rsidRPr="00E72418">
        <w:rPr>
          <w:rFonts w:ascii="Times New Roman" w:hAnsi="Times New Roman" w:cs="Times New Roman"/>
          <w:szCs w:val="24"/>
        </w:rPr>
        <w:t>mportance de s’interroger sur s</w:t>
      </w:r>
      <w:r w:rsidR="00A63ADA" w:rsidRPr="00E72418">
        <w:rPr>
          <w:rFonts w:ascii="Times New Roman" w:hAnsi="Times New Roman" w:cs="Times New Roman"/>
          <w:szCs w:val="24"/>
        </w:rPr>
        <w:t xml:space="preserve">on </w:t>
      </w:r>
      <w:r w:rsidRPr="00E72418">
        <w:rPr>
          <w:rFonts w:ascii="Times New Roman" w:hAnsi="Times New Roman" w:cs="Times New Roman"/>
          <w:szCs w:val="24"/>
        </w:rPr>
        <w:t xml:space="preserve">adéquation et sur sa mesure. L’analyse des importants contentieux menés par ces fonds particuliers nous conduira à retenir que le problème qu’ils peuvent poser ne saurait être appréhendé de façon </w:t>
      </w:r>
      <w:r w:rsidR="003459BA" w:rsidRPr="00E72418">
        <w:rPr>
          <w:rFonts w:ascii="Times New Roman" w:hAnsi="Times New Roman" w:cs="Times New Roman"/>
          <w:szCs w:val="24"/>
        </w:rPr>
        <w:t xml:space="preserve">manichéenne </w:t>
      </w:r>
      <w:r w:rsidRPr="00E72418">
        <w:rPr>
          <w:rFonts w:ascii="Times New Roman" w:hAnsi="Times New Roman" w:cs="Times New Roman"/>
          <w:szCs w:val="24"/>
        </w:rPr>
        <w:t xml:space="preserve">et appelle à la nuance. </w:t>
      </w:r>
      <w:r w:rsidR="006C2A79" w:rsidRPr="00E72418">
        <w:rPr>
          <w:rFonts w:ascii="Times New Roman" w:hAnsi="Times New Roman" w:cs="Times New Roman"/>
          <w:szCs w:val="24"/>
        </w:rPr>
        <w:t xml:space="preserve">Pourtant le sobriquet </w:t>
      </w:r>
      <w:r w:rsidR="003949AC" w:rsidRPr="00E72418">
        <w:rPr>
          <w:rFonts w:ascii="Times New Roman" w:hAnsi="Times New Roman" w:cs="Times New Roman"/>
          <w:szCs w:val="24"/>
        </w:rPr>
        <w:t xml:space="preserve">« fonds vautours » </w:t>
      </w:r>
      <w:r w:rsidR="006C2A79" w:rsidRPr="00E72418">
        <w:rPr>
          <w:rFonts w:ascii="Times New Roman" w:hAnsi="Times New Roman" w:cs="Times New Roman"/>
          <w:szCs w:val="24"/>
        </w:rPr>
        <w:t xml:space="preserve">utilisé pour décrire ces fonds spéculatifs est </w:t>
      </w:r>
      <w:r w:rsidR="00483BE2" w:rsidRPr="00E72418">
        <w:rPr>
          <w:rFonts w:ascii="Times New Roman" w:hAnsi="Times New Roman" w:cs="Times New Roman"/>
          <w:szCs w:val="24"/>
        </w:rPr>
        <w:t>connoté</w:t>
      </w:r>
      <w:r w:rsidR="006C2A79" w:rsidRPr="00E72418">
        <w:rPr>
          <w:rFonts w:ascii="Times New Roman" w:hAnsi="Times New Roman" w:cs="Times New Roman"/>
          <w:szCs w:val="24"/>
        </w:rPr>
        <w:t xml:space="preserve"> péjorativement de sorte qu’il nous importera de nous interroger sur l’opportunité d’en maintenir l’usage.</w:t>
      </w:r>
    </w:p>
    <w:p w14:paraId="30C68D89" w14:textId="39F07C76" w:rsidR="00AC2D99" w:rsidRPr="00E72418" w:rsidRDefault="00AC2D99"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szCs w:val="24"/>
        </w:rPr>
        <w:t xml:space="preserve">Après avoir démonté </w:t>
      </w:r>
      <w:r w:rsidR="001243C1" w:rsidRPr="00E72418">
        <w:rPr>
          <w:rFonts w:ascii="Times New Roman" w:hAnsi="Times New Roman" w:cs="Times New Roman"/>
          <w:szCs w:val="24"/>
        </w:rPr>
        <w:t>que le système n’est pas en mesur</w:t>
      </w:r>
      <w:r w:rsidR="00802A9E" w:rsidRPr="00E72418">
        <w:rPr>
          <w:rFonts w:ascii="Times New Roman" w:hAnsi="Times New Roman" w:cs="Times New Roman"/>
          <w:szCs w:val="24"/>
        </w:rPr>
        <w:t>e</w:t>
      </w:r>
      <w:r w:rsidR="001243C1" w:rsidRPr="00E72418">
        <w:rPr>
          <w:rFonts w:ascii="Times New Roman" w:hAnsi="Times New Roman" w:cs="Times New Roman"/>
          <w:szCs w:val="24"/>
        </w:rPr>
        <w:t xml:space="preserve"> de s’autoréguler</w:t>
      </w:r>
      <w:r w:rsidRPr="00E72418">
        <w:rPr>
          <w:rFonts w:ascii="Times New Roman" w:hAnsi="Times New Roman" w:cs="Times New Roman"/>
          <w:szCs w:val="24"/>
        </w:rPr>
        <w:t xml:space="preserve">, nous plaiderons l’importance d’une </w:t>
      </w:r>
      <w:r w:rsidR="001243C1" w:rsidRPr="00E72418">
        <w:rPr>
          <w:rFonts w:ascii="Times New Roman" w:hAnsi="Times New Roman" w:cs="Times New Roman"/>
          <w:szCs w:val="24"/>
        </w:rPr>
        <w:t xml:space="preserve">réglementation </w:t>
      </w:r>
      <w:r w:rsidRPr="00E72418">
        <w:rPr>
          <w:rFonts w:ascii="Times New Roman" w:hAnsi="Times New Roman" w:cs="Times New Roman"/>
          <w:szCs w:val="24"/>
        </w:rPr>
        <w:t>du phénomène, singulièrement par le biais de législations nationales ou régionales cohérentes</w:t>
      </w:r>
      <w:r w:rsidR="003949AC" w:rsidRPr="00E72418">
        <w:rPr>
          <w:rFonts w:ascii="Times New Roman" w:hAnsi="Times New Roman" w:cs="Times New Roman"/>
          <w:szCs w:val="24"/>
        </w:rPr>
        <w:t>,</w:t>
      </w:r>
      <w:r w:rsidRPr="00E72418">
        <w:rPr>
          <w:rFonts w:ascii="Times New Roman" w:hAnsi="Times New Roman" w:cs="Times New Roman"/>
          <w:szCs w:val="24"/>
        </w:rPr>
        <w:t xml:space="preserve"> voire d’une </w:t>
      </w:r>
      <w:r w:rsidR="001243C1" w:rsidRPr="00E72418">
        <w:rPr>
          <w:rFonts w:ascii="Times New Roman" w:hAnsi="Times New Roman" w:cs="Times New Roman"/>
          <w:szCs w:val="24"/>
        </w:rPr>
        <w:t>appréhension</w:t>
      </w:r>
      <w:r w:rsidRPr="00E72418">
        <w:rPr>
          <w:rFonts w:ascii="Times New Roman" w:hAnsi="Times New Roman" w:cs="Times New Roman"/>
          <w:szCs w:val="24"/>
        </w:rPr>
        <w:t xml:space="preserve"> plus globale. Ce</w:t>
      </w:r>
      <w:r w:rsidR="00D02118" w:rsidRPr="00E72418">
        <w:rPr>
          <w:rFonts w:ascii="Times New Roman" w:hAnsi="Times New Roman" w:cs="Times New Roman"/>
          <w:szCs w:val="24"/>
        </w:rPr>
        <w:t xml:space="preserve">tte </w:t>
      </w:r>
      <w:r w:rsidR="001243C1" w:rsidRPr="00E72418">
        <w:rPr>
          <w:rFonts w:ascii="Times New Roman" w:hAnsi="Times New Roman" w:cs="Times New Roman"/>
          <w:szCs w:val="24"/>
        </w:rPr>
        <w:t xml:space="preserve">réglementation </w:t>
      </w:r>
      <w:r w:rsidRPr="00E72418">
        <w:rPr>
          <w:rFonts w:ascii="Times New Roman" w:hAnsi="Times New Roman" w:cs="Times New Roman"/>
          <w:szCs w:val="24"/>
        </w:rPr>
        <w:t>qui</w:t>
      </w:r>
      <w:r w:rsidR="00D02118" w:rsidRPr="00E72418">
        <w:rPr>
          <w:rFonts w:ascii="Times New Roman" w:hAnsi="Times New Roman" w:cs="Times New Roman"/>
          <w:szCs w:val="24"/>
        </w:rPr>
        <w:t>,</w:t>
      </w:r>
      <w:r w:rsidRPr="00E72418">
        <w:rPr>
          <w:rFonts w:ascii="Times New Roman" w:hAnsi="Times New Roman" w:cs="Times New Roman"/>
          <w:szCs w:val="24"/>
        </w:rPr>
        <w:t xml:space="preserve"> idéalement</w:t>
      </w:r>
      <w:r w:rsidR="00D02118" w:rsidRPr="00E72418">
        <w:rPr>
          <w:rFonts w:ascii="Times New Roman" w:hAnsi="Times New Roman" w:cs="Times New Roman"/>
          <w:szCs w:val="24"/>
        </w:rPr>
        <w:t>,</w:t>
      </w:r>
      <w:r w:rsidRPr="00E72418">
        <w:rPr>
          <w:rFonts w:ascii="Times New Roman" w:hAnsi="Times New Roman" w:cs="Times New Roman"/>
          <w:szCs w:val="24"/>
        </w:rPr>
        <w:t xml:space="preserve"> </w:t>
      </w:r>
      <w:r w:rsidR="00A63ADA" w:rsidRPr="00E72418">
        <w:rPr>
          <w:rFonts w:ascii="Times New Roman" w:hAnsi="Times New Roman" w:cs="Times New Roman"/>
          <w:szCs w:val="24"/>
        </w:rPr>
        <w:t>devrait</w:t>
      </w:r>
      <w:r w:rsidRPr="00E72418">
        <w:rPr>
          <w:rFonts w:ascii="Times New Roman" w:hAnsi="Times New Roman" w:cs="Times New Roman"/>
          <w:szCs w:val="24"/>
        </w:rPr>
        <w:t xml:space="preserve"> s’inscrire dans une logique de résolution plus large des difficultés en matière de dettes souveraines, est complexe au </w:t>
      </w:r>
      <w:r w:rsidR="007445B6" w:rsidRPr="00E72418">
        <w:rPr>
          <w:rFonts w:ascii="Times New Roman" w:hAnsi="Times New Roman" w:cs="Times New Roman"/>
          <w:szCs w:val="24"/>
        </w:rPr>
        <w:t xml:space="preserve">vu de leur polymorphie. L’on peut ainsi regretter le </w:t>
      </w:r>
      <w:r w:rsidRPr="00E72418">
        <w:rPr>
          <w:rFonts w:ascii="Times New Roman" w:hAnsi="Times New Roman" w:cs="Times New Roman"/>
          <w:szCs w:val="24"/>
        </w:rPr>
        <w:t>manque de clarté caractérisant l’</w:t>
      </w:r>
      <w:r w:rsidR="008B1936" w:rsidRPr="00E72418">
        <w:rPr>
          <w:rFonts w:ascii="Times New Roman" w:hAnsi="Times New Roman" w:cs="Times New Roman"/>
          <w:szCs w:val="24"/>
        </w:rPr>
        <w:t>abord</w:t>
      </w:r>
      <w:r w:rsidRPr="00E72418">
        <w:rPr>
          <w:rFonts w:ascii="Times New Roman" w:hAnsi="Times New Roman" w:cs="Times New Roman"/>
          <w:szCs w:val="24"/>
        </w:rPr>
        <w:t xml:space="preserve"> de ces difficultés. Ainsi, </w:t>
      </w:r>
      <w:r w:rsidR="00EA7FD2" w:rsidRPr="00E72418">
        <w:rPr>
          <w:rFonts w:ascii="Times New Roman" w:hAnsi="Times New Roman" w:cs="Times New Roman"/>
          <w:szCs w:val="24"/>
        </w:rPr>
        <w:t xml:space="preserve">Pablo </w:t>
      </w:r>
      <w:r w:rsidRPr="00E72418">
        <w:rPr>
          <w:rFonts w:ascii="Times New Roman" w:hAnsi="Times New Roman" w:cs="Times New Roman"/>
          <w:szCs w:val="24"/>
        </w:rPr>
        <w:t xml:space="preserve">Lopez et </w:t>
      </w:r>
      <w:r w:rsidR="00EA7FD2" w:rsidRPr="00E72418">
        <w:rPr>
          <w:rFonts w:ascii="Times New Roman" w:hAnsi="Times New Roman" w:cs="Times New Roman"/>
          <w:szCs w:val="24"/>
        </w:rPr>
        <w:t xml:space="preserve">Cecilia </w:t>
      </w:r>
      <w:r w:rsidRPr="00E72418">
        <w:rPr>
          <w:rFonts w:ascii="Times New Roman" w:hAnsi="Times New Roman" w:cs="Times New Roman"/>
          <w:szCs w:val="24"/>
        </w:rPr>
        <w:t xml:space="preserve">Nahon relèvent les trop nombreux « loopholes in the international sovereign debt system </w:t>
      </w:r>
      <w:r w:rsidRPr="00E72418">
        <w:rPr>
          <w:rFonts w:ascii="Times New Roman" w:hAnsi="Times New Roman" w:cs="Times New Roman"/>
          <w:szCs w:val="24"/>
          <w:shd w:val="clear" w:color="auto" w:fill="FFFFFF"/>
        </w:rPr>
        <w:t>»</w:t>
      </w:r>
      <w:r w:rsidRPr="00E72418">
        <w:rPr>
          <w:rStyle w:val="Appelnotedebasdep"/>
          <w:rFonts w:ascii="Times New Roman" w:hAnsi="Times New Roman" w:cs="Times New Roman"/>
          <w:szCs w:val="24"/>
          <w:shd w:val="clear" w:color="auto" w:fill="FFFFFF"/>
        </w:rPr>
        <w:footnoteReference w:id="20"/>
      </w:r>
      <w:r w:rsidRPr="00E72418">
        <w:rPr>
          <w:rFonts w:ascii="Times New Roman" w:hAnsi="Times New Roman" w:cs="Times New Roman"/>
          <w:szCs w:val="24"/>
          <w:shd w:val="clear" w:color="auto" w:fill="FFFFFF"/>
        </w:rPr>
        <w:t>. Et ces fail</w:t>
      </w:r>
      <w:r w:rsidR="00D02118" w:rsidRPr="00E72418">
        <w:rPr>
          <w:rFonts w:ascii="Times New Roman" w:hAnsi="Times New Roman" w:cs="Times New Roman"/>
          <w:szCs w:val="24"/>
          <w:shd w:val="clear" w:color="auto" w:fill="FFFFFF"/>
        </w:rPr>
        <w:t>les sont d’autant plus important</w:t>
      </w:r>
      <w:r w:rsidRPr="00E72418">
        <w:rPr>
          <w:rFonts w:ascii="Times New Roman" w:hAnsi="Times New Roman" w:cs="Times New Roman"/>
          <w:szCs w:val="24"/>
          <w:shd w:val="clear" w:color="auto" w:fill="FFFFFF"/>
        </w:rPr>
        <w:t xml:space="preserve">es que les fonds </w:t>
      </w:r>
      <w:r w:rsidR="00A63ADA" w:rsidRPr="00E72418">
        <w:rPr>
          <w:rFonts w:ascii="Times New Roman" w:hAnsi="Times New Roman" w:cs="Times New Roman"/>
          <w:szCs w:val="24"/>
          <w:shd w:val="clear" w:color="auto" w:fill="FFFFFF"/>
        </w:rPr>
        <w:t>spéculatifs,</w:t>
      </w:r>
      <w:r w:rsidRPr="00E72418">
        <w:rPr>
          <w:rFonts w:ascii="Times New Roman" w:hAnsi="Times New Roman" w:cs="Times New Roman"/>
          <w:szCs w:val="24"/>
          <w:shd w:val="clear" w:color="auto" w:fill="FFFFFF"/>
        </w:rPr>
        <w:t xml:space="preserve"> sujets de notre étude</w:t>
      </w:r>
      <w:r w:rsidR="00A63ADA" w:rsidRPr="00E72418">
        <w:rPr>
          <w:rFonts w:ascii="Times New Roman" w:hAnsi="Times New Roman" w:cs="Times New Roman"/>
          <w:szCs w:val="24"/>
          <w:shd w:val="clear" w:color="auto" w:fill="FFFFFF"/>
        </w:rPr>
        <w:t>,</w:t>
      </w:r>
      <w:r w:rsidRPr="00E72418">
        <w:rPr>
          <w:rFonts w:ascii="Times New Roman" w:hAnsi="Times New Roman" w:cs="Times New Roman"/>
          <w:szCs w:val="24"/>
          <w:shd w:val="clear" w:color="auto" w:fill="FFFFFF"/>
        </w:rPr>
        <w:t xml:space="preserve"> en tirent profit pour </w:t>
      </w:r>
      <w:r w:rsidR="00A63ADA" w:rsidRPr="00E72418">
        <w:rPr>
          <w:rFonts w:ascii="Times New Roman" w:hAnsi="Times New Roman" w:cs="Times New Roman"/>
          <w:szCs w:val="24"/>
          <w:shd w:val="clear" w:color="auto" w:fill="FFFFFF"/>
        </w:rPr>
        <w:t>obtenir de larges profits sur leurs investissements</w:t>
      </w:r>
      <w:r w:rsidRPr="00E72418">
        <w:rPr>
          <w:rFonts w:ascii="Times New Roman" w:hAnsi="Times New Roman" w:cs="Times New Roman"/>
          <w:szCs w:val="24"/>
          <w:shd w:val="clear" w:color="auto" w:fill="FFFFFF"/>
        </w:rPr>
        <w:t>.</w:t>
      </w:r>
    </w:p>
    <w:p w14:paraId="4C30955D" w14:textId="77777777" w:rsidR="004A7C10" w:rsidRPr="00E72418" w:rsidRDefault="004A7C10" w:rsidP="00423B60">
      <w:pPr>
        <w:rPr>
          <w:rStyle w:val="Titredulivre"/>
          <w:rFonts w:ascii="Times New Roman" w:hAnsi="Times New Roman" w:cs="Times New Roman"/>
          <w:b w:val="0"/>
          <w:bCs w:val="0"/>
          <w:i w:val="0"/>
          <w:iCs w:val="0"/>
          <w:spacing w:val="0"/>
        </w:rPr>
      </w:pPr>
    </w:p>
    <w:p w14:paraId="7EDEED65" w14:textId="1BA622D3" w:rsidR="004A7C10" w:rsidRPr="00E72418" w:rsidRDefault="007E31CD" w:rsidP="00CC4BA8">
      <w:pPr>
        <w:spacing w:line="276" w:lineRule="auto"/>
        <w:rPr>
          <w:rFonts w:ascii="Times New Roman" w:hAnsi="Times New Roman" w:cs="Times New Roman"/>
          <w:szCs w:val="24"/>
          <w:shd w:val="clear" w:color="auto" w:fill="FFFFFF"/>
        </w:rPr>
      </w:pPr>
      <w:r w:rsidRPr="00E72418">
        <w:rPr>
          <w:rStyle w:val="Titredulivre"/>
          <w:rFonts w:ascii="Times New Roman" w:hAnsi="Times New Roman" w:cs="Times New Roman"/>
          <w:bCs w:val="0"/>
          <w:i w:val="0"/>
          <w:iCs w:val="0"/>
          <w:spacing w:val="0"/>
        </w:rPr>
        <w:t xml:space="preserve">5. </w:t>
      </w:r>
      <w:r w:rsidR="004A7C10" w:rsidRPr="00E72418">
        <w:rPr>
          <w:rStyle w:val="Titredulivre"/>
          <w:rFonts w:ascii="Times New Roman" w:hAnsi="Times New Roman" w:cs="Times New Roman"/>
          <w:bCs w:val="0"/>
          <w:i w:val="0"/>
          <w:iCs w:val="0"/>
          <w:spacing w:val="0"/>
        </w:rPr>
        <w:t xml:space="preserve">Une question aux multiples </w:t>
      </w:r>
      <w:r w:rsidR="0089177C" w:rsidRPr="00E72418">
        <w:rPr>
          <w:rStyle w:val="Titredulivre"/>
          <w:rFonts w:ascii="Times New Roman" w:hAnsi="Times New Roman" w:cs="Times New Roman"/>
          <w:bCs w:val="0"/>
          <w:i w:val="0"/>
          <w:iCs w:val="0"/>
          <w:spacing w:val="0"/>
        </w:rPr>
        <w:t>facettes</w:t>
      </w:r>
      <w:r w:rsidR="004A7C10" w:rsidRPr="00E72418">
        <w:rPr>
          <w:rStyle w:val="Titredulivre"/>
          <w:rFonts w:ascii="Times New Roman" w:hAnsi="Times New Roman" w:cs="Times New Roman"/>
          <w:bCs w:val="0"/>
          <w:i w:val="0"/>
          <w:iCs w:val="0"/>
          <w:spacing w:val="0"/>
        </w:rPr>
        <w:t xml:space="preserve"> –</w:t>
      </w:r>
      <w:r w:rsidR="00D02118" w:rsidRPr="00E72418">
        <w:rPr>
          <w:rStyle w:val="Titredulivre"/>
          <w:rFonts w:ascii="Times New Roman" w:hAnsi="Times New Roman" w:cs="Times New Roman"/>
          <w:b w:val="0"/>
          <w:bCs w:val="0"/>
          <w:i w:val="0"/>
          <w:iCs w:val="0"/>
          <w:spacing w:val="0"/>
        </w:rPr>
        <w:t xml:space="preserve"> </w:t>
      </w:r>
      <w:r w:rsidR="00425E35" w:rsidRPr="00E72418">
        <w:rPr>
          <w:rStyle w:val="Titredulivre"/>
          <w:rFonts w:ascii="Times New Roman" w:hAnsi="Times New Roman" w:cs="Times New Roman"/>
          <w:b w:val="0"/>
          <w:bCs w:val="0"/>
          <w:i w:val="0"/>
          <w:iCs w:val="0"/>
          <w:spacing w:val="0"/>
        </w:rPr>
        <w:t>Comme le note Michèle Grégoire, « </w:t>
      </w:r>
      <w:r w:rsidR="000078DC" w:rsidRPr="00E72418">
        <w:rPr>
          <w:rFonts w:ascii="Times New Roman" w:hAnsi="Times New Roman" w:cs="Times New Roman"/>
        </w:rPr>
        <w:t xml:space="preserve">[l]a dette souveraine est un rond-point, où viennent s’enrouler les sciences politiques, les sciences économiques et les sciences juridiques </w:t>
      </w:r>
      <w:r w:rsidR="00425E35" w:rsidRPr="00E72418">
        <w:rPr>
          <w:rStyle w:val="Titredulivre"/>
          <w:rFonts w:ascii="Times New Roman" w:hAnsi="Times New Roman" w:cs="Times New Roman"/>
          <w:b w:val="0"/>
          <w:bCs w:val="0"/>
          <w:i w:val="0"/>
          <w:iCs w:val="0"/>
          <w:spacing w:val="0"/>
        </w:rPr>
        <w:t>»</w:t>
      </w:r>
      <w:r w:rsidR="000078DC" w:rsidRPr="00E72418">
        <w:rPr>
          <w:rStyle w:val="Appelnotedebasdep"/>
          <w:rFonts w:ascii="Times New Roman" w:hAnsi="Times New Roman" w:cs="Times New Roman"/>
        </w:rPr>
        <w:footnoteReference w:id="21"/>
      </w:r>
      <w:r w:rsidR="00425E35" w:rsidRPr="00E72418">
        <w:rPr>
          <w:rStyle w:val="Titredulivre"/>
          <w:rFonts w:ascii="Times New Roman" w:hAnsi="Times New Roman" w:cs="Times New Roman"/>
          <w:b w:val="0"/>
          <w:bCs w:val="0"/>
          <w:i w:val="0"/>
          <w:iCs w:val="0"/>
          <w:spacing w:val="0"/>
        </w:rPr>
        <w:t xml:space="preserve">. Le même constat peut être fait à l’endroit de notre thématique de recherche. Ainsi, </w:t>
      </w:r>
      <w:r w:rsidR="006F5D81" w:rsidRPr="00E72418">
        <w:rPr>
          <w:rStyle w:val="Titredulivre"/>
          <w:rFonts w:ascii="Times New Roman" w:hAnsi="Times New Roman" w:cs="Times New Roman"/>
          <w:b w:val="0"/>
          <w:bCs w:val="0"/>
          <w:i w:val="0"/>
          <w:iCs w:val="0"/>
          <w:spacing w:val="0"/>
        </w:rPr>
        <w:t xml:space="preserve">Ryan </w:t>
      </w:r>
      <w:r w:rsidR="00D02118" w:rsidRPr="00E72418">
        <w:rPr>
          <w:rStyle w:val="Titredulivre"/>
          <w:rFonts w:ascii="Times New Roman" w:hAnsi="Times New Roman" w:cs="Times New Roman"/>
          <w:b w:val="0"/>
          <w:bCs w:val="0"/>
          <w:i w:val="0"/>
          <w:iCs w:val="0"/>
          <w:spacing w:val="0"/>
        </w:rPr>
        <w:t>Avery</w:t>
      </w:r>
      <w:r w:rsidR="00425E35" w:rsidRPr="00E72418">
        <w:rPr>
          <w:rStyle w:val="Titredulivre"/>
          <w:rFonts w:ascii="Times New Roman" w:hAnsi="Times New Roman" w:cs="Times New Roman"/>
          <w:b w:val="0"/>
          <w:bCs w:val="0"/>
          <w:i w:val="0"/>
          <w:iCs w:val="0"/>
          <w:spacing w:val="0"/>
        </w:rPr>
        <w:t xml:space="preserve"> précise justement que</w:t>
      </w:r>
      <w:r w:rsidR="0089177C" w:rsidRPr="00E72418">
        <w:rPr>
          <w:rStyle w:val="Titredulivre"/>
          <w:rFonts w:ascii="Times New Roman" w:hAnsi="Times New Roman" w:cs="Times New Roman"/>
          <w:b w:val="0"/>
          <w:bCs w:val="0"/>
          <w:i w:val="0"/>
          <w:iCs w:val="0"/>
          <w:spacing w:val="0"/>
        </w:rPr>
        <w:t xml:space="preserve"> « </w:t>
      </w:r>
      <w:r w:rsidR="0089177C" w:rsidRPr="00E72418">
        <w:rPr>
          <w:rFonts w:ascii="Times New Roman" w:hAnsi="Times New Roman" w:cs="Times New Roman"/>
        </w:rPr>
        <w:t>[v]</w:t>
      </w:r>
      <w:r w:rsidR="004A7C10" w:rsidRPr="00E72418">
        <w:rPr>
          <w:rStyle w:val="Titredulivre"/>
          <w:rFonts w:ascii="Times New Roman" w:hAnsi="Times New Roman" w:cs="Times New Roman"/>
          <w:b w:val="0"/>
          <w:bCs w:val="0"/>
          <w:i w:val="0"/>
          <w:iCs w:val="0"/>
          <w:spacing w:val="0"/>
        </w:rPr>
        <w:t xml:space="preserve">ulture funds litigation raises a mix of challenging issues affecting the rights of creditors and sovereign alike, and the </w:t>
      </w:r>
      <w:r w:rsidR="004A7C10" w:rsidRPr="00E72418">
        <w:rPr>
          <w:rStyle w:val="Titredulivre"/>
          <w:rFonts w:ascii="Times New Roman" w:hAnsi="Times New Roman" w:cs="Times New Roman"/>
          <w:b w:val="0"/>
          <w:bCs w:val="0"/>
          <w:i w:val="0"/>
          <w:iCs w:val="0"/>
          <w:spacing w:val="0"/>
        </w:rPr>
        <w:lastRenderedPageBreak/>
        <w:t>issues generally include legal, political, humanitarian, public policy, foreign policy, and economic dimensions »</w:t>
      </w:r>
      <w:r w:rsidR="004A7C10" w:rsidRPr="00E72418">
        <w:rPr>
          <w:rStyle w:val="Appelnotedebasdep"/>
          <w:rFonts w:ascii="Times New Roman" w:hAnsi="Times New Roman" w:cs="Times New Roman"/>
        </w:rPr>
        <w:footnoteReference w:id="22"/>
      </w:r>
      <w:r w:rsidR="004A7C10" w:rsidRPr="00E72418">
        <w:rPr>
          <w:rStyle w:val="Titredulivre"/>
          <w:rFonts w:ascii="Times New Roman" w:hAnsi="Times New Roman" w:cs="Times New Roman"/>
          <w:b w:val="0"/>
          <w:bCs w:val="0"/>
          <w:i w:val="0"/>
          <w:iCs w:val="0"/>
          <w:spacing w:val="0"/>
        </w:rPr>
        <w:t>.</w:t>
      </w:r>
    </w:p>
    <w:p w14:paraId="6450E1B9" w14:textId="51C01577" w:rsidR="00221E2C" w:rsidRPr="00E72418" w:rsidRDefault="0089177C" w:rsidP="00CC4BA8">
      <w:pPr>
        <w:spacing w:line="276" w:lineRule="auto"/>
        <w:rPr>
          <w:rFonts w:ascii="Times New Roman" w:hAnsi="Times New Roman" w:cs="Times New Roman"/>
          <w:szCs w:val="24"/>
        </w:rPr>
      </w:pPr>
      <w:r w:rsidRPr="00E72418">
        <w:rPr>
          <w:rFonts w:ascii="Times New Roman" w:hAnsi="Times New Roman" w:cs="Times New Roman"/>
          <w:szCs w:val="24"/>
          <w:shd w:val="clear" w:color="auto" w:fill="FFFFFF"/>
        </w:rPr>
        <w:t>Le sujet est d’abord politique. Ainsi, il voit</w:t>
      </w:r>
      <w:r w:rsidRPr="00E72418">
        <w:rPr>
          <w:rFonts w:ascii="Times New Roman" w:hAnsi="Times New Roman" w:cs="Times New Roman"/>
          <w:b/>
          <w:szCs w:val="24"/>
          <w:shd w:val="clear" w:color="auto" w:fill="FFFFFF"/>
        </w:rPr>
        <w:t xml:space="preserve"> </w:t>
      </w:r>
      <w:r w:rsidR="005E2035" w:rsidRPr="00E72418">
        <w:rPr>
          <w:rFonts w:ascii="Times New Roman" w:hAnsi="Times New Roman" w:cs="Times New Roman"/>
        </w:rPr>
        <w:t xml:space="preserve">souvent s’opposer deux visions, d’une part, celle d’un </w:t>
      </w:r>
      <w:r w:rsidR="00EF125A" w:rsidRPr="00E72418">
        <w:rPr>
          <w:rFonts w:ascii="Times New Roman" w:hAnsi="Times New Roman" w:cs="Times New Roman"/>
          <w:lang w:eastAsia="fr-BE"/>
        </w:rPr>
        <w:t>É</w:t>
      </w:r>
      <w:r w:rsidR="005E2035" w:rsidRPr="00E72418">
        <w:rPr>
          <w:rFonts w:ascii="Times New Roman" w:hAnsi="Times New Roman" w:cs="Times New Roman"/>
        </w:rPr>
        <w:t xml:space="preserve">tat souverain en difficulté devant faire face </w:t>
      </w:r>
      <w:r w:rsidRPr="00E72418">
        <w:rPr>
          <w:rFonts w:ascii="Times New Roman" w:hAnsi="Times New Roman" w:cs="Times New Roman"/>
        </w:rPr>
        <w:t>à des</w:t>
      </w:r>
      <w:r w:rsidR="005E2035" w:rsidRPr="00E72418">
        <w:rPr>
          <w:rFonts w:ascii="Times New Roman" w:hAnsi="Times New Roman" w:cs="Times New Roman"/>
        </w:rPr>
        <w:t xml:space="preserve"> fonds </w:t>
      </w:r>
      <w:r w:rsidRPr="00E72418">
        <w:rPr>
          <w:rFonts w:ascii="Times New Roman" w:hAnsi="Times New Roman" w:cs="Times New Roman"/>
        </w:rPr>
        <w:t>spéculatifs</w:t>
      </w:r>
      <w:r w:rsidR="005E2035" w:rsidRPr="00E72418">
        <w:rPr>
          <w:rFonts w:ascii="Times New Roman" w:hAnsi="Times New Roman" w:cs="Times New Roman"/>
        </w:rPr>
        <w:t xml:space="preserve">, d’autre part, la vision libérale </w:t>
      </w:r>
      <w:r w:rsidR="00EF125A" w:rsidRPr="00E72418">
        <w:rPr>
          <w:rFonts w:ascii="Times New Roman" w:hAnsi="Times New Roman" w:cs="Times New Roman"/>
        </w:rPr>
        <w:t>qui assimile l’</w:t>
      </w:r>
      <w:r w:rsidR="00EF125A" w:rsidRPr="00E72418">
        <w:rPr>
          <w:rFonts w:ascii="Times New Roman" w:hAnsi="Times New Roman" w:cs="Times New Roman"/>
          <w:lang w:eastAsia="fr-BE"/>
        </w:rPr>
        <w:t>É</w:t>
      </w:r>
      <w:r w:rsidRPr="00E72418">
        <w:rPr>
          <w:rFonts w:ascii="Times New Roman" w:hAnsi="Times New Roman" w:cs="Times New Roman"/>
        </w:rPr>
        <w:t>tat débiteur à une entreprise</w:t>
      </w:r>
      <w:r w:rsidR="005E2035" w:rsidRPr="00E72418">
        <w:rPr>
          <w:rFonts w:ascii="Times New Roman" w:hAnsi="Times New Roman" w:cs="Times New Roman"/>
        </w:rPr>
        <w:t xml:space="preserve"> privée</w:t>
      </w:r>
      <w:r w:rsidRPr="00E72418">
        <w:rPr>
          <w:rFonts w:ascii="Times New Roman" w:hAnsi="Times New Roman" w:cs="Times New Roman"/>
        </w:rPr>
        <w:t xml:space="preserve"> devant honorer ses dettes</w:t>
      </w:r>
      <w:r w:rsidR="005E2035" w:rsidRPr="00E72418">
        <w:rPr>
          <w:rStyle w:val="Appelnotedebasdep"/>
          <w:rFonts w:ascii="Times New Roman" w:hAnsi="Times New Roman" w:cs="Times New Roman"/>
        </w:rPr>
        <w:footnoteReference w:id="23"/>
      </w:r>
      <w:r w:rsidR="005E2035" w:rsidRPr="00E72418">
        <w:rPr>
          <w:rFonts w:ascii="Times New Roman" w:hAnsi="Times New Roman" w:cs="Times New Roman"/>
        </w:rPr>
        <w:t xml:space="preserve">. </w:t>
      </w:r>
      <w:r w:rsidR="0049424F" w:rsidRPr="00E72418">
        <w:rPr>
          <w:rFonts w:ascii="Times New Roman" w:hAnsi="Times New Roman" w:cs="Times New Roman"/>
        </w:rPr>
        <w:t>Cette dichotomie se traduit généralement par la tension que l’on peut retrouver entre</w:t>
      </w:r>
      <w:r w:rsidR="00D02118" w:rsidRPr="00E72418">
        <w:rPr>
          <w:rFonts w:ascii="Times New Roman" w:hAnsi="Times New Roman" w:cs="Times New Roman"/>
        </w:rPr>
        <w:t xml:space="preserve"> l’argument moral du bien-être économique des </w:t>
      </w:r>
      <w:r w:rsidR="00D02118" w:rsidRPr="00E72418">
        <w:rPr>
          <w:rFonts w:ascii="Times New Roman" w:hAnsi="Times New Roman" w:cs="Times New Roman"/>
          <w:lang w:eastAsia="fr-BE"/>
        </w:rPr>
        <w:t>É</w:t>
      </w:r>
      <w:r w:rsidR="00D02118" w:rsidRPr="00E72418">
        <w:rPr>
          <w:rFonts w:ascii="Times New Roman" w:hAnsi="Times New Roman" w:cs="Times New Roman"/>
        </w:rPr>
        <w:t>tats et de leur</w:t>
      </w:r>
      <w:r w:rsidR="00216C1B" w:rsidRPr="00E72418">
        <w:rPr>
          <w:rFonts w:ascii="Times New Roman" w:hAnsi="Times New Roman" w:cs="Times New Roman"/>
        </w:rPr>
        <w:t>s</w:t>
      </w:r>
      <w:r w:rsidR="00D02118" w:rsidRPr="00E72418">
        <w:rPr>
          <w:rFonts w:ascii="Times New Roman" w:hAnsi="Times New Roman" w:cs="Times New Roman"/>
        </w:rPr>
        <w:t xml:space="preserve"> population</w:t>
      </w:r>
      <w:r w:rsidR="00216C1B" w:rsidRPr="00E72418">
        <w:rPr>
          <w:rFonts w:ascii="Times New Roman" w:hAnsi="Times New Roman" w:cs="Times New Roman"/>
        </w:rPr>
        <w:t>s</w:t>
      </w:r>
      <w:r w:rsidR="00D02118" w:rsidRPr="00E72418">
        <w:rPr>
          <w:rFonts w:ascii="Times New Roman" w:hAnsi="Times New Roman" w:cs="Times New Roman"/>
        </w:rPr>
        <w:t xml:space="preserve"> et </w:t>
      </w:r>
      <w:r w:rsidR="0049424F" w:rsidRPr="00E72418">
        <w:rPr>
          <w:rFonts w:ascii="Times New Roman" w:hAnsi="Times New Roman" w:cs="Times New Roman"/>
        </w:rPr>
        <w:t>l’argument juridique de</w:t>
      </w:r>
      <w:r w:rsidR="0049424F" w:rsidRPr="00E72418">
        <w:t xml:space="preserve"> </w:t>
      </w:r>
      <w:r w:rsidR="0049424F" w:rsidRPr="00E72418">
        <w:rPr>
          <w:rFonts w:ascii="Times New Roman" w:hAnsi="Times New Roman" w:cs="Times New Roman"/>
        </w:rPr>
        <w:t>l’application indéfectible de</w:t>
      </w:r>
      <w:r w:rsidR="00D02118" w:rsidRPr="00E72418">
        <w:rPr>
          <w:rFonts w:ascii="Times New Roman" w:hAnsi="Times New Roman" w:cs="Times New Roman"/>
        </w:rPr>
        <w:t xml:space="preserve"> la règle de droit</w:t>
      </w:r>
      <w:r w:rsidR="005E2035" w:rsidRPr="00E72418">
        <w:rPr>
          <w:rStyle w:val="Appelnotedebasdep"/>
          <w:rFonts w:ascii="Times New Roman" w:hAnsi="Times New Roman" w:cs="Times New Roman"/>
          <w:szCs w:val="24"/>
        </w:rPr>
        <w:footnoteReference w:id="24"/>
      </w:r>
      <w:r w:rsidR="00AF1A73" w:rsidRPr="00E72418">
        <w:rPr>
          <w:rFonts w:ascii="Times New Roman" w:hAnsi="Times New Roman" w:cs="Times New Roman"/>
          <w:szCs w:val="24"/>
        </w:rPr>
        <w:t xml:space="preserve">. </w:t>
      </w:r>
      <w:r w:rsidR="00221E2C" w:rsidRPr="00E72418">
        <w:rPr>
          <w:rFonts w:ascii="Times New Roman" w:hAnsi="Times New Roman" w:cs="Times New Roman"/>
          <w:szCs w:val="24"/>
        </w:rPr>
        <w:t xml:space="preserve">Dans sa thèse, </w:t>
      </w:r>
      <w:r w:rsidR="00FE7BE9" w:rsidRPr="00E72418">
        <w:rPr>
          <w:rFonts w:ascii="Times New Roman" w:hAnsi="Times New Roman" w:cs="Times New Roman"/>
          <w:szCs w:val="24"/>
        </w:rPr>
        <w:t xml:space="preserve">Hayk </w:t>
      </w:r>
      <w:r w:rsidR="00221E2C" w:rsidRPr="00E72418">
        <w:rPr>
          <w:rFonts w:ascii="Times New Roman" w:hAnsi="Times New Roman" w:cs="Times New Roman"/>
          <w:szCs w:val="24"/>
        </w:rPr>
        <w:t>Kupelyants propose d’aborder la question sous l’angle de l’équité suivant les conceptions de « distributive fairness » et de « procedural fairness »</w:t>
      </w:r>
      <w:r w:rsidR="00221E2C" w:rsidRPr="00E72418">
        <w:rPr>
          <w:rStyle w:val="Appelnotedebasdep"/>
          <w:rFonts w:ascii="Times New Roman" w:hAnsi="Times New Roman" w:cs="Times New Roman"/>
          <w:szCs w:val="24"/>
        </w:rPr>
        <w:footnoteReference w:id="25"/>
      </w:r>
      <w:r w:rsidR="00221E2C" w:rsidRPr="00E72418">
        <w:rPr>
          <w:rFonts w:ascii="Times New Roman" w:hAnsi="Times New Roman" w:cs="Times New Roman"/>
          <w:szCs w:val="24"/>
        </w:rPr>
        <w:t>. Ainsi, pour l’auteur, « </w:t>
      </w:r>
      <w:r w:rsidR="00221E2C" w:rsidRPr="00E72418">
        <w:rPr>
          <w:rFonts w:ascii="Times New Roman" w:hAnsi="Times New Roman" w:cs="Times New Roman"/>
        </w:rPr>
        <w:t xml:space="preserve">[f]rom a distributive viewpoint, it might seem unfair to some that creditors enrich at the expense of seriously indebted countries </w:t>
      </w:r>
      <w:r w:rsidR="00221E2C" w:rsidRPr="00E72418">
        <w:rPr>
          <w:rFonts w:ascii="Times New Roman" w:hAnsi="Times New Roman" w:cs="Times New Roman"/>
          <w:szCs w:val="24"/>
        </w:rPr>
        <w:t>» tandis que « from the viewpoint of procedural fairness, the compensation of creditors who acquired their debt in a legal and procedurally valid manner is beyond doubt »</w:t>
      </w:r>
      <w:r w:rsidR="00221E2C" w:rsidRPr="00E72418">
        <w:rPr>
          <w:rStyle w:val="Appelnotedebasdep"/>
          <w:rFonts w:ascii="Times New Roman" w:hAnsi="Times New Roman" w:cs="Times New Roman"/>
          <w:szCs w:val="24"/>
        </w:rPr>
        <w:footnoteReference w:id="26"/>
      </w:r>
      <w:r w:rsidR="00221E2C" w:rsidRPr="00E72418">
        <w:rPr>
          <w:rFonts w:ascii="Times New Roman" w:hAnsi="Times New Roman" w:cs="Times New Roman"/>
          <w:szCs w:val="24"/>
        </w:rPr>
        <w:t>.</w:t>
      </w:r>
    </w:p>
    <w:p w14:paraId="49462903" w14:textId="7B8D759A" w:rsidR="00C31F2A" w:rsidRPr="00E72418" w:rsidRDefault="00AF1A73" w:rsidP="00CC4BA8">
      <w:pPr>
        <w:spacing w:line="276" w:lineRule="auto"/>
        <w:rPr>
          <w:rFonts w:ascii="Times New Roman" w:hAnsi="Times New Roman" w:cs="Times New Roman"/>
          <w:szCs w:val="24"/>
        </w:rPr>
      </w:pPr>
      <w:r w:rsidRPr="00E72418">
        <w:rPr>
          <w:rFonts w:ascii="Times New Roman" w:hAnsi="Times New Roman" w:cs="Times New Roman"/>
          <w:szCs w:val="24"/>
        </w:rPr>
        <w:t>L</w:t>
      </w:r>
      <w:r w:rsidR="005E2035" w:rsidRPr="00E72418">
        <w:rPr>
          <w:rFonts w:ascii="Times New Roman" w:hAnsi="Times New Roman" w:cs="Times New Roman"/>
          <w:szCs w:val="24"/>
        </w:rPr>
        <w:t>e phénomène des fonds</w:t>
      </w:r>
      <w:r w:rsidR="00C31F2A" w:rsidRPr="00E72418">
        <w:rPr>
          <w:rFonts w:ascii="Times New Roman" w:hAnsi="Times New Roman" w:cs="Times New Roman"/>
          <w:szCs w:val="24"/>
        </w:rPr>
        <w:t xml:space="preserve"> dits</w:t>
      </w:r>
      <w:r w:rsidR="005E2035" w:rsidRPr="00E72418">
        <w:rPr>
          <w:rFonts w:ascii="Times New Roman" w:hAnsi="Times New Roman" w:cs="Times New Roman"/>
          <w:szCs w:val="24"/>
        </w:rPr>
        <w:t xml:space="preserve"> </w:t>
      </w:r>
      <w:r w:rsidR="00D02118" w:rsidRPr="00E72418">
        <w:rPr>
          <w:rFonts w:ascii="Times New Roman" w:hAnsi="Times New Roman" w:cs="Times New Roman"/>
          <w:szCs w:val="24"/>
        </w:rPr>
        <w:t>« </w:t>
      </w:r>
      <w:r w:rsidR="005E2035" w:rsidRPr="00E72418">
        <w:rPr>
          <w:rFonts w:ascii="Times New Roman" w:hAnsi="Times New Roman" w:cs="Times New Roman"/>
          <w:szCs w:val="24"/>
        </w:rPr>
        <w:t>vautours</w:t>
      </w:r>
      <w:r w:rsidR="00D02118" w:rsidRPr="00E72418">
        <w:rPr>
          <w:rFonts w:ascii="Times New Roman" w:hAnsi="Times New Roman" w:cs="Times New Roman"/>
          <w:szCs w:val="24"/>
        </w:rPr>
        <w:t> »</w:t>
      </w:r>
      <w:r w:rsidRPr="00E72418">
        <w:rPr>
          <w:rFonts w:ascii="Times New Roman" w:hAnsi="Times New Roman" w:cs="Times New Roman"/>
          <w:szCs w:val="24"/>
        </w:rPr>
        <w:t xml:space="preserve"> a, </w:t>
      </w:r>
      <w:r w:rsidR="001C73BA" w:rsidRPr="00E72418">
        <w:rPr>
          <w:rFonts w:ascii="Times New Roman" w:hAnsi="Times New Roman" w:cs="Times New Roman"/>
          <w:szCs w:val="24"/>
        </w:rPr>
        <w:t>nous le voyons</w:t>
      </w:r>
      <w:r w:rsidRPr="00E72418">
        <w:rPr>
          <w:rFonts w:ascii="Times New Roman" w:hAnsi="Times New Roman" w:cs="Times New Roman"/>
          <w:szCs w:val="24"/>
        </w:rPr>
        <w:t xml:space="preserve">, </w:t>
      </w:r>
      <w:r w:rsidR="005E2035" w:rsidRPr="00E72418">
        <w:rPr>
          <w:rFonts w:ascii="Times New Roman" w:hAnsi="Times New Roman" w:cs="Times New Roman"/>
          <w:szCs w:val="24"/>
        </w:rPr>
        <w:t xml:space="preserve">ceci de </w:t>
      </w:r>
      <w:r w:rsidR="00982739" w:rsidRPr="00E72418">
        <w:rPr>
          <w:rFonts w:ascii="Times New Roman" w:hAnsi="Times New Roman" w:cs="Times New Roman"/>
          <w:szCs w:val="24"/>
        </w:rPr>
        <w:t>complexe</w:t>
      </w:r>
      <w:r w:rsidR="005E2035" w:rsidRPr="00E72418">
        <w:rPr>
          <w:rFonts w:ascii="Times New Roman" w:hAnsi="Times New Roman" w:cs="Times New Roman"/>
          <w:szCs w:val="24"/>
        </w:rPr>
        <w:t xml:space="preserve"> que son appréhension semble à première vue devoir faire s’accorder le droit et la morale. </w:t>
      </w:r>
      <w:r w:rsidR="003675E8" w:rsidRPr="00E72418">
        <w:rPr>
          <w:rFonts w:ascii="Times New Roman" w:hAnsi="Times New Roman" w:cs="Times New Roman"/>
          <w:szCs w:val="24"/>
        </w:rPr>
        <w:t>Nombre d</w:t>
      </w:r>
      <w:r w:rsidR="0049424F" w:rsidRPr="00E72418">
        <w:rPr>
          <w:rFonts w:ascii="Times New Roman" w:hAnsi="Times New Roman" w:cs="Times New Roman"/>
          <w:szCs w:val="24"/>
        </w:rPr>
        <w:t xml:space="preserve">e contentieux diligentés par ces fonds furent épinglés </w:t>
      </w:r>
      <w:r w:rsidR="00982739" w:rsidRPr="00E72418">
        <w:rPr>
          <w:rFonts w:ascii="Times New Roman" w:hAnsi="Times New Roman" w:cs="Times New Roman"/>
          <w:szCs w:val="24"/>
        </w:rPr>
        <w:t>en raison de</w:t>
      </w:r>
      <w:r w:rsidR="0049424F" w:rsidRPr="00E72418">
        <w:rPr>
          <w:rFonts w:ascii="Times New Roman" w:hAnsi="Times New Roman" w:cs="Times New Roman"/>
          <w:szCs w:val="24"/>
        </w:rPr>
        <w:t xml:space="preserve"> l’enrichissement que ceux-ci recherchaient</w:t>
      </w:r>
      <w:r w:rsidR="0033545A" w:rsidRPr="00E72418">
        <w:rPr>
          <w:rFonts w:ascii="Times New Roman" w:hAnsi="Times New Roman" w:cs="Times New Roman"/>
          <w:szCs w:val="24"/>
        </w:rPr>
        <w:t xml:space="preserve"> </w:t>
      </w:r>
      <w:r w:rsidR="0049424F" w:rsidRPr="00E72418">
        <w:rPr>
          <w:rFonts w:ascii="Times New Roman" w:hAnsi="Times New Roman" w:cs="Times New Roman"/>
          <w:szCs w:val="24"/>
        </w:rPr>
        <w:t xml:space="preserve">au détriment souvent </w:t>
      </w:r>
      <w:r w:rsidR="00F65ED0" w:rsidRPr="00E72418">
        <w:rPr>
          <w:rFonts w:ascii="Times New Roman" w:hAnsi="Times New Roman" w:cs="Times New Roman"/>
          <w:szCs w:val="24"/>
        </w:rPr>
        <w:t xml:space="preserve">des populations appauvries des </w:t>
      </w:r>
      <w:r w:rsidR="00F65ED0" w:rsidRPr="00E72418">
        <w:rPr>
          <w:rFonts w:ascii="Times New Roman" w:hAnsi="Times New Roman" w:cs="Times New Roman"/>
          <w:lang w:eastAsia="fr-BE"/>
        </w:rPr>
        <w:t>É</w:t>
      </w:r>
      <w:r w:rsidR="0049424F" w:rsidRPr="00E72418">
        <w:rPr>
          <w:rFonts w:ascii="Times New Roman" w:hAnsi="Times New Roman" w:cs="Times New Roman"/>
          <w:szCs w:val="24"/>
        </w:rPr>
        <w:t>tats débiteurs.</w:t>
      </w:r>
      <w:r w:rsidR="0049424F" w:rsidRPr="00E72418">
        <w:rPr>
          <w:rFonts w:ascii="Times New Roman" w:hAnsi="Times New Roman" w:cs="Times New Roman"/>
        </w:rPr>
        <w:t xml:space="preserve"> </w:t>
      </w:r>
      <w:r w:rsidRPr="00E72418">
        <w:rPr>
          <w:rFonts w:ascii="Times New Roman" w:hAnsi="Times New Roman" w:cs="Times New Roman"/>
        </w:rPr>
        <w:t>C’est ainsi que l</w:t>
      </w:r>
      <w:r w:rsidR="009429F2" w:rsidRPr="00E72418">
        <w:rPr>
          <w:rFonts w:ascii="Times New Roman" w:hAnsi="Times New Roman" w:cs="Times New Roman"/>
        </w:rPr>
        <w:t xml:space="preserve">a </w:t>
      </w:r>
      <w:r w:rsidR="009429F2" w:rsidRPr="00F1587D">
        <w:rPr>
          <w:rFonts w:ascii="Times New Roman" w:hAnsi="Times New Roman" w:cs="Times New Roman"/>
        </w:rPr>
        <w:t>High Co</w:t>
      </w:r>
      <w:r w:rsidR="00124DD0">
        <w:rPr>
          <w:rFonts w:ascii="Times New Roman" w:hAnsi="Times New Roman" w:cs="Times New Roman"/>
        </w:rPr>
        <w:t>urt of</w:t>
      </w:r>
      <w:r w:rsidR="00C31F2A" w:rsidRPr="00F1587D">
        <w:rPr>
          <w:rFonts w:ascii="Times New Roman" w:hAnsi="Times New Roman" w:cs="Times New Roman"/>
        </w:rPr>
        <w:t xml:space="preserve"> Justice</w:t>
      </w:r>
      <w:r w:rsidR="00C31F2A" w:rsidRPr="00E72418">
        <w:rPr>
          <w:rFonts w:ascii="Times New Roman" w:hAnsi="Times New Roman" w:cs="Times New Roman"/>
        </w:rPr>
        <w:t xml:space="preserve"> britannique nota</w:t>
      </w:r>
      <w:r w:rsidR="009429F2" w:rsidRPr="00E72418">
        <w:rPr>
          <w:rFonts w:ascii="Times New Roman" w:hAnsi="Times New Roman" w:cs="Times New Roman"/>
        </w:rPr>
        <w:t xml:space="preserve"> au sujet de la procédure intentée par le fo</w:t>
      </w:r>
      <w:r w:rsidR="00A74321" w:rsidRPr="00E72418">
        <w:rPr>
          <w:rFonts w:ascii="Times New Roman" w:hAnsi="Times New Roman" w:cs="Times New Roman"/>
        </w:rPr>
        <w:t xml:space="preserve">nds </w:t>
      </w:r>
      <w:r w:rsidR="00A74321" w:rsidRPr="00E72418">
        <w:rPr>
          <w:rFonts w:ascii="Times New Roman" w:hAnsi="Times New Roman" w:cs="Times New Roman"/>
          <w:i/>
        </w:rPr>
        <w:t>Donegal International Lt</w:t>
      </w:r>
      <w:r w:rsidR="009429F2" w:rsidRPr="00E72418">
        <w:rPr>
          <w:rFonts w:ascii="Times New Roman" w:hAnsi="Times New Roman" w:cs="Times New Roman"/>
          <w:i/>
        </w:rPr>
        <w:t>d</w:t>
      </w:r>
      <w:r w:rsidR="00A74321" w:rsidRPr="00E72418">
        <w:rPr>
          <w:rFonts w:ascii="Times New Roman" w:hAnsi="Times New Roman" w:cs="Times New Roman"/>
          <w:i/>
        </w:rPr>
        <w:t>.</w:t>
      </w:r>
      <w:r w:rsidR="009429F2" w:rsidRPr="00E72418">
        <w:rPr>
          <w:rFonts w:ascii="Times New Roman" w:hAnsi="Times New Roman" w:cs="Times New Roman"/>
        </w:rPr>
        <w:t xml:space="preserve"> à l’encontre de la République de Zambie qu</w:t>
      </w:r>
      <w:r w:rsidR="00C31F2A" w:rsidRPr="00E72418">
        <w:rPr>
          <w:rFonts w:ascii="Times New Roman" w:hAnsi="Times New Roman" w:cs="Times New Roman"/>
        </w:rPr>
        <w:t>’elle</w:t>
      </w:r>
      <w:r w:rsidR="009429F2" w:rsidRPr="00E72418">
        <w:rPr>
          <w:rFonts w:ascii="Times New Roman" w:hAnsi="Times New Roman" w:cs="Times New Roman"/>
        </w:rPr>
        <w:t xml:space="preserve"> « arouse strong feelings »</w:t>
      </w:r>
      <w:r w:rsidR="009429F2" w:rsidRPr="00E72418">
        <w:rPr>
          <w:rStyle w:val="Appelnotedebasdep"/>
          <w:rFonts w:ascii="Times New Roman" w:hAnsi="Times New Roman" w:cs="Times New Roman"/>
        </w:rPr>
        <w:footnoteReference w:id="27"/>
      </w:r>
      <w:r w:rsidR="009429F2" w:rsidRPr="00E72418">
        <w:rPr>
          <w:rFonts w:ascii="Times New Roman" w:hAnsi="Times New Roman" w:cs="Times New Roman"/>
        </w:rPr>
        <w:t>.</w:t>
      </w:r>
      <w:r w:rsidR="007445B6" w:rsidRPr="00E72418">
        <w:rPr>
          <w:rFonts w:ascii="Times New Roman" w:hAnsi="Times New Roman" w:cs="Times New Roman"/>
        </w:rPr>
        <w:t xml:space="preserve"> Pourtant, il faut déjà nuancer</w:t>
      </w:r>
      <w:r w:rsidR="001C73BA" w:rsidRPr="00E72418">
        <w:rPr>
          <w:rFonts w:ascii="Times New Roman" w:hAnsi="Times New Roman" w:cs="Times New Roman"/>
        </w:rPr>
        <w:t xml:space="preserve"> la critique</w:t>
      </w:r>
      <w:r w:rsidR="007445B6" w:rsidRPr="00E72418">
        <w:rPr>
          <w:rFonts w:ascii="Times New Roman" w:hAnsi="Times New Roman" w:cs="Times New Roman"/>
        </w:rPr>
        <w:t xml:space="preserve"> au constat de ce qu’il est des cas dans lesquels il pourrait être reproché à l’</w:t>
      </w:r>
      <w:r w:rsidR="005258D9" w:rsidRPr="00E72418">
        <w:rPr>
          <w:rFonts w:cs="Times New Roman"/>
          <w:szCs w:val="24"/>
        </w:rPr>
        <w:t>É</w:t>
      </w:r>
      <w:r w:rsidR="007445B6" w:rsidRPr="00E72418">
        <w:rPr>
          <w:rFonts w:ascii="Times New Roman" w:hAnsi="Times New Roman" w:cs="Times New Roman"/>
        </w:rPr>
        <w:t>tat débiteur une gestion déficiente de sa dette.</w:t>
      </w:r>
      <w:r w:rsidR="00982739" w:rsidRPr="00E72418">
        <w:rPr>
          <w:rFonts w:ascii="Times New Roman" w:hAnsi="Times New Roman" w:cs="Times New Roman"/>
          <w:szCs w:val="24"/>
        </w:rPr>
        <w:t xml:space="preserve"> </w:t>
      </w:r>
      <w:r w:rsidR="007445B6" w:rsidRPr="00E72418">
        <w:rPr>
          <w:rFonts w:ascii="Times New Roman" w:hAnsi="Times New Roman" w:cs="Times New Roman"/>
        </w:rPr>
        <w:t>Outre ses enjeux juridiques et moraux</w:t>
      </w:r>
      <w:r w:rsidR="00C31F2A" w:rsidRPr="00E72418">
        <w:rPr>
          <w:rFonts w:ascii="Times New Roman" w:hAnsi="Times New Roman" w:cs="Times New Roman"/>
        </w:rPr>
        <w:t>, les questions économiques naturellement provoquées par le phénomène étudié sont vastes en ce qu’elles ont trait à la figure de l’emprunteur souverain</w:t>
      </w:r>
      <w:r w:rsidR="00733EB9" w:rsidRPr="00E72418">
        <w:rPr>
          <w:rStyle w:val="Appelnotedebasdep"/>
          <w:rFonts w:ascii="Times New Roman" w:hAnsi="Times New Roman" w:cs="Times New Roman"/>
        </w:rPr>
        <w:footnoteReference w:id="28"/>
      </w:r>
      <w:r w:rsidR="00C31F2A" w:rsidRPr="00E72418">
        <w:rPr>
          <w:rFonts w:ascii="Times New Roman" w:hAnsi="Times New Roman" w:cs="Times New Roman"/>
        </w:rPr>
        <w:t>, à sa place en tant qu’acteur de marché et aux conséquences que sa défailla</w:t>
      </w:r>
      <w:r w:rsidR="000522B2" w:rsidRPr="00E72418">
        <w:rPr>
          <w:rFonts w:ascii="Times New Roman" w:hAnsi="Times New Roman" w:cs="Times New Roman"/>
        </w:rPr>
        <w:t>nce peut globalement entraîner.</w:t>
      </w:r>
      <w:r w:rsidR="00953562" w:rsidRPr="00E72418">
        <w:rPr>
          <w:rFonts w:ascii="Times New Roman" w:hAnsi="Times New Roman" w:cs="Times New Roman"/>
        </w:rPr>
        <w:t xml:space="preserve"> Ainsi, Dominique Bureau et Horatia Muir Watt retiennent parmi les séries de </w:t>
      </w:r>
      <w:r w:rsidR="00953562" w:rsidRPr="00E72418">
        <w:rPr>
          <w:rFonts w:ascii="Times New Roman" w:hAnsi="Times New Roman" w:cs="Times New Roman"/>
        </w:rPr>
        <w:lastRenderedPageBreak/>
        <w:t>questions très difficiles de gouvernance globale que l’action des fonds pose celle de la régulation par le droit de l’économie souterraine</w:t>
      </w:r>
      <w:r w:rsidR="00953562" w:rsidRPr="00E72418">
        <w:rPr>
          <w:rStyle w:val="Appelnotedebasdep"/>
          <w:rFonts w:ascii="Times New Roman" w:hAnsi="Times New Roman" w:cs="Times New Roman"/>
        </w:rPr>
        <w:footnoteReference w:id="29"/>
      </w:r>
      <w:r w:rsidR="00953562" w:rsidRPr="00E72418">
        <w:rPr>
          <w:rFonts w:ascii="Times New Roman" w:hAnsi="Times New Roman" w:cs="Times New Roman"/>
        </w:rPr>
        <w:t>.</w:t>
      </w:r>
    </w:p>
    <w:p w14:paraId="23A03288" w14:textId="0065D28C" w:rsidR="00F10A94" w:rsidRPr="00E72418" w:rsidRDefault="00C31F2A" w:rsidP="00CC4BA8">
      <w:pPr>
        <w:spacing w:line="276" w:lineRule="auto"/>
        <w:rPr>
          <w:rStyle w:val="Titredulivre"/>
          <w:rFonts w:ascii="Times New Roman" w:hAnsi="Times New Roman" w:cs="Times New Roman"/>
          <w:b w:val="0"/>
          <w:bCs w:val="0"/>
          <w:i w:val="0"/>
          <w:iCs w:val="0"/>
          <w:spacing w:val="0"/>
        </w:rPr>
      </w:pPr>
      <w:r w:rsidRPr="00E72418">
        <w:rPr>
          <w:rFonts w:ascii="Times New Roman" w:hAnsi="Times New Roman" w:cs="Times New Roman"/>
          <w:szCs w:val="24"/>
          <w:shd w:val="clear" w:color="auto" w:fill="FFFFFF"/>
        </w:rPr>
        <w:t>Si l</w:t>
      </w:r>
      <w:r w:rsidR="0089177C" w:rsidRPr="00E72418">
        <w:rPr>
          <w:rFonts w:ascii="Times New Roman" w:hAnsi="Times New Roman" w:cs="Times New Roman"/>
          <w:szCs w:val="24"/>
          <w:shd w:val="clear" w:color="auto" w:fill="FFFFFF"/>
        </w:rPr>
        <w:t xml:space="preserve">es contentieux relatifs aux dettes souveraines, et singulièrement ceux diligentés par les fonds </w:t>
      </w:r>
      <w:r w:rsidR="001C73BA" w:rsidRPr="00E72418">
        <w:rPr>
          <w:rFonts w:ascii="Times New Roman" w:hAnsi="Times New Roman" w:cs="Times New Roman"/>
          <w:szCs w:val="24"/>
          <w:shd w:val="clear" w:color="auto" w:fill="FFFFFF"/>
        </w:rPr>
        <w:t>spéculatifs</w:t>
      </w:r>
      <w:r w:rsidR="0089177C" w:rsidRPr="00E72418">
        <w:rPr>
          <w:rFonts w:ascii="Times New Roman" w:hAnsi="Times New Roman" w:cs="Times New Roman"/>
          <w:szCs w:val="24"/>
          <w:shd w:val="clear" w:color="auto" w:fill="FFFFFF"/>
        </w:rPr>
        <w:t xml:space="preserve">, </w:t>
      </w:r>
      <w:r w:rsidRPr="00E72418">
        <w:rPr>
          <w:rFonts w:ascii="Times New Roman" w:hAnsi="Times New Roman" w:cs="Times New Roman"/>
          <w:szCs w:val="24"/>
          <w:shd w:val="clear" w:color="auto" w:fill="FFFFFF"/>
        </w:rPr>
        <w:t>posent une variété de questions</w:t>
      </w:r>
      <w:r w:rsidR="003675E8" w:rsidRPr="00E72418">
        <w:rPr>
          <w:rFonts w:ascii="Times New Roman" w:hAnsi="Times New Roman" w:cs="Times New Roman"/>
          <w:szCs w:val="24"/>
          <w:shd w:val="clear" w:color="auto" w:fill="FFFFFF"/>
        </w:rPr>
        <w:t>,</w:t>
      </w:r>
      <w:r w:rsidRPr="00E72418">
        <w:rPr>
          <w:rFonts w:ascii="Times New Roman" w:hAnsi="Times New Roman" w:cs="Times New Roman"/>
          <w:szCs w:val="24"/>
          <w:shd w:val="clear" w:color="auto" w:fill="FFFFFF"/>
        </w:rPr>
        <w:t xml:space="preserve"> i</w:t>
      </w:r>
      <w:r w:rsidR="003675E8" w:rsidRPr="00E72418">
        <w:rPr>
          <w:rFonts w:ascii="Times New Roman" w:hAnsi="Times New Roman" w:cs="Times New Roman"/>
          <w:szCs w:val="24"/>
          <w:shd w:val="clear" w:color="auto" w:fill="FFFFFF"/>
        </w:rPr>
        <w:t>ls ont ceci de très particulier</w:t>
      </w:r>
      <w:r w:rsidRPr="00E72418">
        <w:rPr>
          <w:rFonts w:ascii="Times New Roman" w:hAnsi="Times New Roman" w:cs="Times New Roman"/>
          <w:szCs w:val="24"/>
          <w:shd w:val="clear" w:color="auto" w:fill="FFFFFF"/>
        </w:rPr>
        <w:t xml:space="preserve"> que leur </w:t>
      </w:r>
      <w:r w:rsidR="001C73BA" w:rsidRPr="00E72418">
        <w:rPr>
          <w:rFonts w:ascii="Times New Roman" w:hAnsi="Times New Roman" w:cs="Times New Roman"/>
          <w:szCs w:val="24"/>
          <w:shd w:val="clear" w:color="auto" w:fill="FFFFFF"/>
        </w:rPr>
        <w:t xml:space="preserve">seule </w:t>
      </w:r>
      <w:r w:rsidRPr="00E72418">
        <w:rPr>
          <w:rFonts w:ascii="Times New Roman" w:hAnsi="Times New Roman" w:cs="Times New Roman"/>
          <w:szCs w:val="24"/>
          <w:shd w:val="clear" w:color="auto" w:fill="FFFFFF"/>
        </w:rPr>
        <w:t xml:space="preserve">appréhension juridique est </w:t>
      </w:r>
      <w:r w:rsidR="001C73BA" w:rsidRPr="00E72418">
        <w:rPr>
          <w:rFonts w:ascii="Times New Roman" w:hAnsi="Times New Roman" w:cs="Times New Roman"/>
          <w:szCs w:val="24"/>
          <w:shd w:val="clear" w:color="auto" w:fill="FFFFFF"/>
        </w:rPr>
        <w:t xml:space="preserve">également </w:t>
      </w:r>
      <w:r w:rsidRPr="00E72418">
        <w:rPr>
          <w:rFonts w:ascii="Times New Roman" w:hAnsi="Times New Roman" w:cs="Times New Roman"/>
          <w:szCs w:val="24"/>
          <w:shd w:val="clear" w:color="auto" w:fill="FFFFFF"/>
        </w:rPr>
        <w:t>d’une importante complexité</w:t>
      </w:r>
      <w:r w:rsidR="0089177C" w:rsidRPr="00E72418">
        <w:rPr>
          <w:rFonts w:ascii="Times New Roman" w:hAnsi="Times New Roman" w:cs="Times New Roman"/>
          <w:szCs w:val="24"/>
          <w:shd w:val="clear" w:color="auto" w:fill="FFFFFF"/>
        </w:rPr>
        <w:t>. Le sujet se trouve à l’intersection de plusieurs disciplines que sont notamment le droit international privé et le droit international public</w:t>
      </w:r>
      <w:r w:rsidR="00C83918" w:rsidRPr="00E72418">
        <w:rPr>
          <w:rFonts w:ascii="Times New Roman" w:hAnsi="Times New Roman" w:cs="Times New Roman"/>
          <w:szCs w:val="24"/>
          <w:shd w:val="clear" w:color="auto" w:fill="FFFFFF"/>
        </w:rPr>
        <w:t>, d’une part, le droit des contrats et le droit judiciaire, d’autre part</w:t>
      </w:r>
      <w:r w:rsidR="0089177C" w:rsidRPr="00E72418">
        <w:rPr>
          <w:rFonts w:ascii="Times New Roman" w:hAnsi="Times New Roman" w:cs="Times New Roman"/>
          <w:szCs w:val="24"/>
          <w:shd w:val="clear" w:color="auto" w:fill="FFFFFF"/>
        </w:rPr>
        <w:t>. Ainsi, si la poursuite par un créancier d’une obligation contractuelle revêt à première vue un caractère exclusivement privé, il n’en est plus de m</w:t>
      </w:r>
      <w:r w:rsidR="00EF125A" w:rsidRPr="00E72418">
        <w:rPr>
          <w:rFonts w:ascii="Times New Roman" w:hAnsi="Times New Roman" w:cs="Times New Roman"/>
          <w:szCs w:val="24"/>
          <w:shd w:val="clear" w:color="auto" w:fill="FFFFFF"/>
        </w:rPr>
        <w:t xml:space="preserve">ême lorsque le débiteur est un </w:t>
      </w:r>
      <w:r w:rsidR="00EF125A" w:rsidRPr="00E72418">
        <w:rPr>
          <w:rFonts w:ascii="Times New Roman" w:hAnsi="Times New Roman" w:cs="Times New Roman"/>
          <w:lang w:eastAsia="fr-BE"/>
        </w:rPr>
        <w:t>É</w:t>
      </w:r>
      <w:r w:rsidR="0089177C" w:rsidRPr="00E72418">
        <w:rPr>
          <w:rFonts w:ascii="Times New Roman" w:hAnsi="Times New Roman" w:cs="Times New Roman"/>
          <w:szCs w:val="24"/>
          <w:shd w:val="clear" w:color="auto" w:fill="FFFFFF"/>
        </w:rPr>
        <w:t xml:space="preserve">tat souverain. Comme l’explique </w:t>
      </w:r>
      <w:r w:rsidR="00BC1F96" w:rsidRPr="00E72418">
        <w:rPr>
          <w:rFonts w:ascii="Times New Roman" w:hAnsi="Times New Roman" w:cs="Times New Roman"/>
          <w:szCs w:val="24"/>
          <w:shd w:val="clear" w:color="auto" w:fill="FFFFFF"/>
        </w:rPr>
        <w:t xml:space="preserve">Michael </w:t>
      </w:r>
      <w:r w:rsidR="0089177C" w:rsidRPr="00E72418">
        <w:rPr>
          <w:rFonts w:ascii="Times New Roman" w:hAnsi="Times New Roman" w:cs="Times New Roman"/>
          <w:szCs w:val="24"/>
          <w:shd w:val="clear" w:color="auto" w:fill="FFFFFF"/>
        </w:rPr>
        <w:t xml:space="preserve">Waibel, </w:t>
      </w:r>
      <w:r w:rsidR="0089177C" w:rsidRPr="00E72418">
        <w:rPr>
          <w:rFonts w:ascii="Times New Roman" w:hAnsi="Times New Roman" w:cs="Times New Roman"/>
        </w:rPr>
        <w:t>« [d]isputes arising out of sovereign default are of a hybrid character and implicate important questions of public international law » de sorte que « [m]ost sovereign defaults cannot be settled satisfactorily purely on the basis of contract law »</w:t>
      </w:r>
      <w:r w:rsidR="0089177C" w:rsidRPr="00E72418">
        <w:rPr>
          <w:rStyle w:val="Appelnotedebasdep"/>
          <w:rFonts w:ascii="Times New Roman" w:hAnsi="Times New Roman" w:cs="Times New Roman"/>
        </w:rPr>
        <w:footnoteReference w:id="30"/>
      </w:r>
      <w:r w:rsidR="0089177C" w:rsidRPr="00E72418">
        <w:rPr>
          <w:rFonts w:ascii="Times New Roman" w:hAnsi="Times New Roman" w:cs="Times New Roman"/>
        </w:rPr>
        <w:t>.</w:t>
      </w:r>
      <w:r w:rsidR="00890CFA" w:rsidRPr="00E72418">
        <w:rPr>
          <w:rFonts w:ascii="Times New Roman" w:hAnsi="Times New Roman" w:cs="Times New Roman"/>
        </w:rPr>
        <w:t xml:space="preserve"> </w:t>
      </w:r>
      <w:r w:rsidR="00890CFA" w:rsidRPr="00E72418">
        <w:rPr>
          <w:rFonts w:ascii="Times New Roman" w:hAnsi="Times New Roman" w:cs="Times New Roman"/>
          <w:szCs w:val="24"/>
          <w:shd w:val="clear" w:color="auto" w:fill="FFFFFF"/>
        </w:rPr>
        <w:t>L’action des fonds, si elle conduit généralement à réfléchir à l’immunité liée à la qualité particulière du débiteur souverain, pose également la question de l’abus</w:t>
      </w:r>
      <w:r w:rsidR="00AF1A73" w:rsidRPr="00E72418">
        <w:rPr>
          <w:rFonts w:ascii="Times New Roman" w:hAnsi="Times New Roman" w:cs="Times New Roman"/>
          <w:szCs w:val="24"/>
          <w:shd w:val="clear" w:color="auto" w:fill="FFFFFF"/>
        </w:rPr>
        <w:t xml:space="preserve"> par le créancier de son</w:t>
      </w:r>
      <w:r w:rsidR="00890CFA" w:rsidRPr="00E72418">
        <w:rPr>
          <w:rFonts w:ascii="Times New Roman" w:hAnsi="Times New Roman" w:cs="Times New Roman"/>
          <w:szCs w:val="24"/>
          <w:shd w:val="clear" w:color="auto" w:fill="FFFFFF"/>
        </w:rPr>
        <w:t xml:space="preserve"> droit d’action, </w:t>
      </w:r>
      <w:r w:rsidR="00AF1A73" w:rsidRPr="00E72418">
        <w:rPr>
          <w:rFonts w:ascii="Times New Roman" w:hAnsi="Times New Roman" w:cs="Times New Roman"/>
          <w:szCs w:val="24"/>
          <w:shd w:val="clear" w:color="auto" w:fill="FFFFFF"/>
        </w:rPr>
        <w:t xml:space="preserve">celle </w:t>
      </w:r>
      <w:r w:rsidR="00890CFA" w:rsidRPr="00E72418">
        <w:rPr>
          <w:rFonts w:ascii="Times New Roman" w:hAnsi="Times New Roman" w:cs="Times New Roman"/>
          <w:szCs w:val="24"/>
          <w:shd w:val="clear" w:color="auto" w:fill="FFFFFF"/>
        </w:rPr>
        <w:t xml:space="preserve">de la proportionnalité entre le prix payé et le </w:t>
      </w:r>
      <w:r w:rsidR="00AF1A73" w:rsidRPr="00E72418">
        <w:rPr>
          <w:rFonts w:ascii="Times New Roman" w:hAnsi="Times New Roman" w:cs="Times New Roman"/>
          <w:szCs w:val="24"/>
          <w:shd w:val="clear" w:color="auto" w:fill="FFFFFF"/>
        </w:rPr>
        <w:t>règlement</w:t>
      </w:r>
      <w:r w:rsidR="00890CFA" w:rsidRPr="00E72418">
        <w:rPr>
          <w:rFonts w:ascii="Times New Roman" w:hAnsi="Times New Roman" w:cs="Times New Roman"/>
          <w:szCs w:val="24"/>
          <w:shd w:val="clear" w:color="auto" w:fill="FFFFFF"/>
        </w:rPr>
        <w:t xml:space="preserve"> poursuivi, </w:t>
      </w:r>
      <w:r w:rsidR="00AF1A73" w:rsidRPr="00E72418">
        <w:rPr>
          <w:rFonts w:ascii="Times New Roman" w:hAnsi="Times New Roman" w:cs="Times New Roman"/>
          <w:szCs w:val="24"/>
          <w:shd w:val="clear" w:color="auto" w:fill="FFFFFF"/>
        </w:rPr>
        <w:t xml:space="preserve">celle </w:t>
      </w:r>
      <w:r w:rsidR="00890CFA" w:rsidRPr="00E72418">
        <w:rPr>
          <w:rFonts w:ascii="Times New Roman" w:hAnsi="Times New Roman" w:cs="Times New Roman"/>
          <w:szCs w:val="24"/>
          <w:shd w:val="clear" w:color="auto" w:fill="FFFFFF"/>
        </w:rPr>
        <w:t>de l’ordre public par opposition à l’intérêt particulier du créancier ou encore la question de l’atteinte aux droits d</w:t>
      </w:r>
      <w:r w:rsidR="00EF125A" w:rsidRPr="00E72418">
        <w:rPr>
          <w:rFonts w:ascii="Times New Roman" w:hAnsi="Times New Roman" w:cs="Times New Roman"/>
          <w:szCs w:val="24"/>
          <w:shd w:val="clear" w:color="auto" w:fill="FFFFFF"/>
        </w:rPr>
        <w:t>e l’homme des populations de l’</w:t>
      </w:r>
      <w:r w:rsidR="00EF125A" w:rsidRPr="00E72418">
        <w:rPr>
          <w:rFonts w:ascii="Times New Roman" w:hAnsi="Times New Roman" w:cs="Times New Roman"/>
          <w:lang w:eastAsia="fr-BE"/>
        </w:rPr>
        <w:t>É</w:t>
      </w:r>
      <w:r w:rsidR="00890CFA" w:rsidRPr="00E72418">
        <w:rPr>
          <w:rFonts w:ascii="Times New Roman" w:hAnsi="Times New Roman" w:cs="Times New Roman"/>
          <w:szCs w:val="24"/>
          <w:shd w:val="clear" w:color="auto" w:fill="FFFFFF"/>
        </w:rPr>
        <w:t>tat débiteur</w:t>
      </w:r>
      <w:r w:rsidR="00890CFA" w:rsidRPr="00E72418">
        <w:rPr>
          <w:rStyle w:val="Appelnotedebasdep"/>
          <w:rFonts w:ascii="Times New Roman" w:hAnsi="Times New Roman" w:cs="Times New Roman"/>
          <w:szCs w:val="24"/>
          <w:shd w:val="clear" w:color="auto" w:fill="FFFFFF"/>
        </w:rPr>
        <w:footnoteReference w:id="31"/>
      </w:r>
      <w:r w:rsidR="00890CFA" w:rsidRPr="00E72418">
        <w:rPr>
          <w:rFonts w:ascii="Times New Roman" w:hAnsi="Times New Roman" w:cs="Times New Roman"/>
          <w:szCs w:val="24"/>
          <w:shd w:val="clear" w:color="auto" w:fill="FFFFFF"/>
        </w:rPr>
        <w:t>.</w:t>
      </w:r>
      <w:r w:rsidR="00F10A94" w:rsidRPr="00E72418">
        <w:rPr>
          <w:rFonts w:ascii="Times New Roman" w:hAnsi="Times New Roman" w:cs="Times New Roman"/>
          <w:szCs w:val="24"/>
          <w:shd w:val="clear" w:color="auto" w:fill="FFFFFF"/>
        </w:rPr>
        <w:t xml:space="preserve"> Et </w:t>
      </w:r>
      <w:r w:rsidR="00F10A94" w:rsidRPr="00E72418">
        <w:rPr>
          <w:rFonts w:ascii="Times New Roman" w:hAnsi="Times New Roman" w:cs="Times New Roman"/>
        </w:rPr>
        <w:t>la sophistication des contrats entourant les dettes souveraines, sans doute encore plus aujourd’hui que par le passé, ne facilite pas les choses</w:t>
      </w:r>
      <w:r w:rsidR="00F10A94" w:rsidRPr="00E72418">
        <w:rPr>
          <w:rStyle w:val="Appelnotedebasdep"/>
          <w:rFonts w:ascii="Times New Roman" w:hAnsi="Times New Roman" w:cs="Times New Roman"/>
        </w:rPr>
        <w:footnoteReference w:id="32"/>
      </w:r>
      <w:r w:rsidR="00F10A94" w:rsidRPr="00E72418">
        <w:rPr>
          <w:rStyle w:val="Titredulivre"/>
          <w:rFonts w:ascii="Times New Roman" w:hAnsi="Times New Roman" w:cs="Times New Roman"/>
          <w:b w:val="0"/>
          <w:bCs w:val="0"/>
          <w:i w:val="0"/>
          <w:iCs w:val="0"/>
          <w:spacing w:val="0"/>
        </w:rPr>
        <w:t>.</w:t>
      </w:r>
      <w:r w:rsidR="00C83918" w:rsidRPr="00E72418">
        <w:rPr>
          <w:rStyle w:val="Titredulivre"/>
          <w:rFonts w:ascii="Times New Roman" w:hAnsi="Times New Roman" w:cs="Times New Roman"/>
          <w:b w:val="0"/>
          <w:bCs w:val="0"/>
          <w:i w:val="0"/>
          <w:iCs w:val="0"/>
          <w:spacing w:val="0"/>
        </w:rPr>
        <w:t xml:space="preserve"> Finalement, les actions menées devant des juges nationaux posent toute une série de questions procédurales.</w:t>
      </w:r>
    </w:p>
    <w:p w14:paraId="53CE7B7D" w14:textId="77777777" w:rsidR="007F038F" w:rsidRPr="00E72418" w:rsidRDefault="007F038F" w:rsidP="00CC4BA8">
      <w:pPr>
        <w:spacing w:line="276" w:lineRule="auto"/>
        <w:rPr>
          <w:rFonts w:ascii="Times New Roman" w:hAnsi="Times New Roman" w:cs="Times New Roman"/>
          <w:szCs w:val="24"/>
          <w:shd w:val="clear" w:color="auto" w:fill="FFFFFF"/>
        </w:rPr>
      </w:pPr>
    </w:p>
    <w:p w14:paraId="3B5CEAFE" w14:textId="34A2FD0E" w:rsidR="00615C90" w:rsidRPr="00E72418" w:rsidRDefault="007F038F"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b/>
          <w:szCs w:val="24"/>
          <w:shd w:val="clear" w:color="auto" w:fill="FFFFFF"/>
        </w:rPr>
        <w:t>6</w:t>
      </w:r>
      <w:r w:rsidR="00F13B0A" w:rsidRPr="00E72418">
        <w:rPr>
          <w:rFonts w:ascii="Times New Roman" w:hAnsi="Times New Roman" w:cs="Times New Roman"/>
          <w:b/>
          <w:szCs w:val="24"/>
          <w:shd w:val="clear" w:color="auto" w:fill="FFFFFF"/>
        </w:rPr>
        <w:t>. La méthodologie</w:t>
      </w:r>
      <w:r w:rsidR="00C52D99" w:rsidRPr="00E72418">
        <w:rPr>
          <w:rFonts w:ascii="Times New Roman" w:hAnsi="Times New Roman" w:cs="Times New Roman"/>
          <w:b/>
          <w:szCs w:val="24"/>
          <w:shd w:val="clear" w:color="auto" w:fill="FFFFFF"/>
        </w:rPr>
        <w:t xml:space="preserve"> </w:t>
      </w:r>
      <w:r w:rsidR="005F2DA2" w:rsidRPr="00E72418">
        <w:rPr>
          <w:rFonts w:ascii="Times New Roman" w:hAnsi="Times New Roman" w:cs="Times New Roman"/>
          <w:b/>
          <w:szCs w:val="24"/>
          <w:shd w:val="clear" w:color="auto" w:fill="FFFFFF"/>
        </w:rPr>
        <w:t>choisie</w:t>
      </w:r>
      <w:r w:rsidR="00C52D99" w:rsidRPr="00E72418">
        <w:rPr>
          <w:rFonts w:ascii="Times New Roman" w:hAnsi="Times New Roman" w:cs="Times New Roman"/>
          <w:b/>
          <w:szCs w:val="24"/>
          <w:shd w:val="clear" w:color="auto" w:fill="FFFFFF"/>
        </w:rPr>
        <w:t xml:space="preserve"> </w:t>
      </w:r>
      <w:r w:rsidR="00C52D99" w:rsidRPr="00E72418">
        <w:rPr>
          <w:rFonts w:ascii="Times New Roman" w:hAnsi="Times New Roman" w:cs="Times New Roman"/>
          <w:b/>
          <w:szCs w:val="24"/>
        </w:rPr>
        <w:t xml:space="preserve">– </w:t>
      </w:r>
      <w:r w:rsidR="00C52D99" w:rsidRPr="00E72418">
        <w:rPr>
          <w:rFonts w:ascii="Times New Roman" w:hAnsi="Times New Roman" w:cs="Times New Roman"/>
          <w:szCs w:val="24"/>
        </w:rPr>
        <w:t>S’il est une chose certaine à l’abord du phénomène</w:t>
      </w:r>
      <w:r w:rsidR="00DB3D43" w:rsidRPr="00E72418">
        <w:rPr>
          <w:rFonts w:ascii="Times New Roman" w:hAnsi="Times New Roman" w:cs="Times New Roman"/>
          <w:szCs w:val="24"/>
        </w:rPr>
        <w:t xml:space="preserve"> spéculatif</w:t>
      </w:r>
      <w:r w:rsidR="001C73BA" w:rsidRPr="00E72418">
        <w:rPr>
          <w:rFonts w:ascii="Times New Roman" w:hAnsi="Times New Roman" w:cs="Times New Roman"/>
          <w:szCs w:val="24"/>
        </w:rPr>
        <w:t>,</w:t>
      </w:r>
      <w:r w:rsidR="00DB3D43" w:rsidRPr="00E72418">
        <w:rPr>
          <w:rFonts w:ascii="Times New Roman" w:hAnsi="Times New Roman" w:cs="Times New Roman"/>
          <w:szCs w:val="24"/>
        </w:rPr>
        <w:t xml:space="preserve"> objet de notre étude</w:t>
      </w:r>
      <w:r w:rsidR="00C52D99" w:rsidRPr="00E72418">
        <w:rPr>
          <w:rFonts w:ascii="Times New Roman" w:hAnsi="Times New Roman" w:cs="Times New Roman"/>
          <w:szCs w:val="24"/>
        </w:rPr>
        <w:t xml:space="preserve">, c’est celle de la variété des interrogations qu’il pose. </w:t>
      </w:r>
      <w:r w:rsidR="005F2DA2" w:rsidRPr="00E72418">
        <w:rPr>
          <w:rFonts w:ascii="Times New Roman" w:hAnsi="Times New Roman" w:cs="Times New Roman"/>
          <w:szCs w:val="24"/>
        </w:rPr>
        <w:t xml:space="preserve">Parmi celles-ci, la présente étude se concentre sur les activités judiciaires menées par les fonds spéculant sur les dettes souveraines et pose la question de la pertinence </w:t>
      </w:r>
      <w:r w:rsidR="002268ED" w:rsidRPr="00E72418">
        <w:rPr>
          <w:rFonts w:ascii="Times New Roman" w:hAnsi="Times New Roman" w:cs="Times New Roman"/>
          <w:szCs w:val="24"/>
        </w:rPr>
        <w:t xml:space="preserve">et de la mesure </w:t>
      </w:r>
      <w:r w:rsidR="005F2DA2" w:rsidRPr="00E72418">
        <w:rPr>
          <w:rFonts w:ascii="Times New Roman" w:hAnsi="Times New Roman" w:cs="Times New Roman"/>
          <w:szCs w:val="24"/>
        </w:rPr>
        <w:t xml:space="preserve">de leur réglementation. </w:t>
      </w:r>
      <w:r w:rsidR="00615C90" w:rsidRPr="00E72418">
        <w:rPr>
          <w:rFonts w:ascii="Times New Roman" w:hAnsi="Times New Roman" w:cs="Times New Roman"/>
          <w:szCs w:val="24"/>
          <w:shd w:val="clear" w:color="auto" w:fill="FFFFFF"/>
        </w:rPr>
        <w:t xml:space="preserve">Alors que </w:t>
      </w:r>
      <w:r w:rsidR="00FF49A6" w:rsidRPr="00E72418">
        <w:rPr>
          <w:rFonts w:ascii="Times New Roman" w:hAnsi="Times New Roman" w:cs="Times New Roman"/>
          <w:szCs w:val="24"/>
          <w:shd w:val="clear" w:color="auto" w:fill="FFFFFF"/>
        </w:rPr>
        <w:t>notre question de recherche</w:t>
      </w:r>
      <w:r w:rsidR="00615C90" w:rsidRPr="00E72418">
        <w:rPr>
          <w:rFonts w:ascii="Times New Roman" w:hAnsi="Times New Roman" w:cs="Times New Roman"/>
          <w:szCs w:val="24"/>
          <w:shd w:val="clear" w:color="auto" w:fill="FFFFFF"/>
        </w:rPr>
        <w:t xml:space="preserve"> s’inscrit dans un vaste champ rendant utile la mobilisation de nombreuses disciplines, il apparaît que la science juridique permet d’offrir des moyens de réponse intéressants </w:t>
      </w:r>
      <w:r w:rsidR="00FF49A6" w:rsidRPr="00E72418">
        <w:rPr>
          <w:rFonts w:ascii="Times New Roman" w:hAnsi="Times New Roman" w:cs="Times New Roman"/>
          <w:szCs w:val="24"/>
          <w:shd w:val="clear" w:color="auto" w:fill="FFFFFF"/>
        </w:rPr>
        <w:t xml:space="preserve">au phénomène </w:t>
      </w:r>
      <w:r w:rsidR="00DB3D43" w:rsidRPr="00E72418">
        <w:rPr>
          <w:rFonts w:ascii="Times New Roman" w:hAnsi="Times New Roman" w:cs="Times New Roman"/>
          <w:szCs w:val="24"/>
          <w:shd w:val="clear" w:color="auto" w:fill="FFFFFF"/>
        </w:rPr>
        <w:t xml:space="preserve">étudié. </w:t>
      </w:r>
      <w:r w:rsidR="00615C90" w:rsidRPr="00E72418">
        <w:rPr>
          <w:rFonts w:ascii="Times New Roman" w:hAnsi="Times New Roman" w:cs="Times New Roman"/>
          <w:szCs w:val="24"/>
          <w:shd w:val="clear" w:color="auto" w:fill="FFFFFF"/>
        </w:rPr>
        <w:t xml:space="preserve"> </w:t>
      </w:r>
    </w:p>
    <w:p w14:paraId="6E5D28A6" w14:textId="4522526B" w:rsidR="002268ED" w:rsidRPr="00E72418" w:rsidRDefault="00C52D99" w:rsidP="00CC4BA8">
      <w:pPr>
        <w:spacing w:line="276" w:lineRule="auto"/>
        <w:rPr>
          <w:rFonts w:ascii="Times New Roman" w:hAnsi="Times New Roman" w:cs="Times New Roman"/>
          <w:szCs w:val="24"/>
        </w:rPr>
      </w:pPr>
      <w:r w:rsidRPr="00E72418">
        <w:rPr>
          <w:rFonts w:ascii="Times New Roman" w:hAnsi="Times New Roman" w:cs="Times New Roman"/>
          <w:szCs w:val="24"/>
        </w:rPr>
        <w:t>Sans pour autant re</w:t>
      </w:r>
      <w:r w:rsidR="005F2DA2" w:rsidRPr="00E72418">
        <w:rPr>
          <w:rFonts w:ascii="Times New Roman" w:hAnsi="Times New Roman" w:cs="Times New Roman"/>
          <w:szCs w:val="24"/>
        </w:rPr>
        <w:t>tenir une quelconque préséance des</w:t>
      </w:r>
      <w:r w:rsidRPr="00E72418">
        <w:rPr>
          <w:rFonts w:ascii="Times New Roman" w:hAnsi="Times New Roman" w:cs="Times New Roman"/>
          <w:szCs w:val="24"/>
        </w:rPr>
        <w:t xml:space="preserve"> questions juridiques, la voie empruntée </w:t>
      </w:r>
      <w:r w:rsidR="00DB3D43" w:rsidRPr="00E72418">
        <w:rPr>
          <w:rFonts w:ascii="Times New Roman" w:hAnsi="Times New Roman" w:cs="Times New Roman"/>
          <w:szCs w:val="24"/>
        </w:rPr>
        <w:t xml:space="preserve">lors de notre recherche </w:t>
      </w:r>
      <w:r w:rsidRPr="00E72418">
        <w:rPr>
          <w:rFonts w:ascii="Times New Roman" w:hAnsi="Times New Roman" w:cs="Times New Roman"/>
          <w:szCs w:val="24"/>
        </w:rPr>
        <w:t xml:space="preserve">est celle d’une analyse centrée sur ces questions. Dès lors que, nous le verrons, les contentieux judiciaires caractéristiques du phénomène étudié voient s’opposer des intérêts </w:t>
      </w:r>
      <w:r w:rsidRPr="00E72418">
        <w:rPr>
          <w:rFonts w:ascii="Times New Roman" w:hAnsi="Times New Roman" w:cs="Times New Roman"/>
          <w:i/>
          <w:szCs w:val="24"/>
        </w:rPr>
        <w:t>a priori</w:t>
      </w:r>
      <w:r w:rsidRPr="00E72418">
        <w:rPr>
          <w:rFonts w:ascii="Times New Roman" w:hAnsi="Times New Roman" w:cs="Times New Roman"/>
          <w:szCs w:val="24"/>
        </w:rPr>
        <w:t xml:space="preserve"> divergents, il est une finalité intrinsèque du droit notée par François Ost que de définir « un équilibre social général à vocation opératoire »</w:t>
      </w:r>
      <w:r w:rsidR="00373207" w:rsidRPr="00E72418">
        <w:rPr>
          <w:rStyle w:val="Appelnotedebasdep"/>
          <w:rFonts w:ascii="Times New Roman" w:hAnsi="Times New Roman" w:cs="Times New Roman"/>
          <w:szCs w:val="24"/>
        </w:rPr>
        <w:footnoteReference w:id="33"/>
      </w:r>
      <w:r w:rsidRPr="00E72418">
        <w:rPr>
          <w:rFonts w:ascii="Times New Roman" w:hAnsi="Times New Roman" w:cs="Times New Roman"/>
          <w:szCs w:val="24"/>
        </w:rPr>
        <w:t>.</w:t>
      </w:r>
      <w:r w:rsidR="00373207" w:rsidRPr="00E72418">
        <w:rPr>
          <w:rFonts w:ascii="Times New Roman" w:hAnsi="Times New Roman" w:cs="Times New Roman"/>
          <w:szCs w:val="24"/>
        </w:rPr>
        <w:t xml:space="preserve"> Ainsi, le champ de notre analyse sera celui du droit en ce qu’il </w:t>
      </w:r>
      <w:r w:rsidR="000824FB" w:rsidRPr="00E72418">
        <w:rPr>
          <w:rFonts w:ascii="Times New Roman" w:hAnsi="Times New Roman" w:cs="Times New Roman"/>
          <w:szCs w:val="24"/>
        </w:rPr>
        <w:t xml:space="preserve">a </w:t>
      </w:r>
      <w:r w:rsidR="00373207" w:rsidRPr="00E72418">
        <w:rPr>
          <w:rFonts w:ascii="Times New Roman" w:hAnsi="Times New Roman" w:cs="Times New Roman"/>
          <w:szCs w:val="24"/>
        </w:rPr>
        <w:t xml:space="preserve">vocation à assurer </w:t>
      </w:r>
      <w:r w:rsidR="000824FB" w:rsidRPr="00E72418">
        <w:rPr>
          <w:rFonts w:ascii="Times New Roman" w:hAnsi="Times New Roman" w:cs="Times New Roman"/>
          <w:szCs w:val="24"/>
        </w:rPr>
        <w:t xml:space="preserve">la balance </w:t>
      </w:r>
      <w:r w:rsidR="00373207" w:rsidRPr="00E72418">
        <w:rPr>
          <w:rFonts w:ascii="Times New Roman" w:hAnsi="Times New Roman" w:cs="Times New Roman"/>
          <w:szCs w:val="24"/>
        </w:rPr>
        <w:t>des</w:t>
      </w:r>
      <w:r w:rsidR="00DB3D43" w:rsidRPr="00E72418">
        <w:rPr>
          <w:rFonts w:ascii="Times New Roman" w:hAnsi="Times New Roman" w:cs="Times New Roman"/>
          <w:szCs w:val="24"/>
        </w:rPr>
        <w:t xml:space="preserve"> divers</w:t>
      </w:r>
      <w:r w:rsidR="00373207" w:rsidRPr="00E72418">
        <w:rPr>
          <w:rFonts w:ascii="Times New Roman" w:hAnsi="Times New Roman" w:cs="Times New Roman"/>
          <w:szCs w:val="24"/>
        </w:rPr>
        <w:t xml:space="preserve"> intérêts en présence.</w:t>
      </w:r>
      <w:r w:rsidR="00F13B0A" w:rsidRPr="00E72418">
        <w:rPr>
          <w:rFonts w:ascii="Times New Roman" w:hAnsi="Times New Roman" w:cs="Times New Roman"/>
          <w:szCs w:val="24"/>
        </w:rPr>
        <w:t xml:space="preserve"> </w:t>
      </w:r>
    </w:p>
    <w:p w14:paraId="085089D8" w14:textId="29420243" w:rsidR="00C52D99" w:rsidRPr="00E72418" w:rsidRDefault="00F13B0A" w:rsidP="00CC4BA8">
      <w:pPr>
        <w:spacing w:line="276" w:lineRule="auto"/>
        <w:rPr>
          <w:rFonts w:ascii="Times New Roman" w:hAnsi="Times New Roman" w:cs="Times New Roman"/>
          <w:szCs w:val="24"/>
        </w:rPr>
      </w:pPr>
      <w:r w:rsidRPr="00E72418">
        <w:rPr>
          <w:rFonts w:ascii="Times New Roman" w:hAnsi="Times New Roman" w:cs="Times New Roman"/>
          <w:szCs w:val="24"/>
        </w:rPr>
        <w:lastRenderedPageBreak/>
        <w:t>Notre point de vue est interne au droit même s’il se nourrit d’éléments qui lui sont externes que nous pourrons tirer d’autres disciplines.</w:t>
      </w:r>
      <w:r w:rsidR="002268ED" w:rsidRPr="00E72418">
        <w:rPr>
          <w:rFonts w:ascii="Times New Roman" w:hAnsi="Times New Roman" w:cs="Times New Roman"/>
          <w:szCs w:val="24"/>
        </w:rPr>
        <w:t xml:space="preserve"> En effet</w:t>
      </w:r>
      <w:r w:rsidR="000824FB" w:rsidRPr="00E72418">
        <w:rPr>
          <w:rFonts w:ascii="Times New Roman" w:hAnsi="Times New Roman" w:cs="Times New Roman"/>
          <w:szCs w:val="24"/>
        </w:rPr>
        <w:t xml:space="preserve">, l’angle d’analyse </w:t>
      </w:r>
      <w:r w:rsidRPr="00E72418">
        <w:rPr>
          <w:rFonts w:ascii="Times New Roman" w:hAnsi="Times New Roman" w:cs="Times New Roman"/>
          <w:szCs w:val="24"/>
        </w:rPr>
        <w:t xml:space="preserve">juridique </w:t>
      </w:r>
      <w:r w:rsidR="000824FB" w:rsidRPr="00E72418">
        <w:rPr>
          <w:rFonts w:ascii="Times New Roman" w:hAnsi="Times New Roman" w:cs="Times New Roman"/>
          <w:szCs w:val="24"/>
        </w:rPr>
        <w:t>choisi ne saurait faire oublier qu’il en est d’autres</w:t>
      </w:r>
      <w:r w:rsidR="00FF49A6" w:rsidRPr="00E72418">
        <w:rPr>
          <w:rFonts w:ascii="Times New Roman" w:hAnsi="Times New Roman" w:cs="Times New Roman"/>
          <w:szCs w:val="24"/>
        </w:rPr>
        <w:t>, singulièrement politique, économique et historique,</w:t>
      </w:r>
      <w:r w:rsidR="000824FB" w:rsidRPr="00E72418">
        <w:rPr>
          <w:rFonts w:ascii="Times New Roman" w:hAnsi="Times New Roman" w:cs="Times New Roman"/>
          <w:szCs w:val="24"/>
        </w:rPr>
        <w:t xml:space="preserve"> à même de nourrir une réflexion plus large sur la spéculation sur les dettes souveraines. </w:t>
      </w:r>
      <w:r w:rsidR="00FF49A6" w:rsidRPr="00E72418">
        <w:rPr>
          <w:rFonts w:ascii="Times New Roman" w:hAnsi="Times New Roman" w:cs="Times New Roman"/>
          <w:szCs w:val="24"/>
        </w:rPr>
        <w:t>L’on se servira de ces autres angles afin</w:t>
      </w:r>
      <w:r w:rsidRPr="00E72418">
        <w:rPr>
          <w:rFonts w:ascii="Times New Roman" w:hAnsi="Times New Roman" w:cs="Times New Roman"/>
          <w:szCs w:val="24"/>
        </w:rPr>
        <w:t>, d’une part,</w:t>
      </w:r>
      <w:r w:rsidR="00FF49A6" w:rsidRPr="00E72418">
        <w:rPr>
          <w:rFonts w:ascii="Times New Roman" w:hAnsi="Times New Roman" w:cs="Times New Roman"/>
          <w:szCs w:val="24"/>
        </w:rPr>
        <w:t xml:space="preserve"> de situer notre propos</w:t>
      </w:r>
      <w:r w:rsidRPr="00E72418">
        <w:rPr>
          <w:rFonts w:ascii="Times New Roman" w:hAnsi="Times New Roman" w:cs="Times New Roman"/>
          <w:szCs w:val="24"/>
        </w:rPr>
        <w:t>, d’autre part, d’expliquer les soubassements des solutions juridiques proposées</w:t>
      </w:r>
      <w:r w:rsidR="00FF49A6" w:rsidRPr="00E72418">
        <w:rPr>
          <w:rFonts w:ascii="Times New Roman" w:hAnsi="Times New Roman" w:cs="Times New Roman"/>
          <w:szCs w:val="24"/>
        </w:rPr>
        <w:t>. Par exemple, il faudra nous interroger sur les arguments politiques ayant incité certains législateurs à vouloir, selon les termes de l’un d’entre eux, « lutter contre les activités des fonds vautours »</w:t>
      </w:r>
      <w:r w:rsidR="00FF49A6" w:rsidRPr="00E72418">
        <w:rPr>
          <w:rStyle w:val="Appelnotedebasdep"/>
          <w:rFonts w:ascii="Times New Roman" w:hAnsi="Times New Roman" w:cs="Times New Roman"/>
          <w:szCs w:val="24"/>
        </w:rPr>
        <w:footnoteReference w:id="34"/>
      </w:r>
      <w:r w:rsidR="00FF49A6" w:rsidRPr="00E72418">
        <w:rPr>
          <w:rFonts w:ascii="Times New Roman" w:hAnsi="Times New Roman" w:cs="Times New Roman"/>
          <w:szCs w:val="24"/>
        </w:rPr>
        <w:t>. Aussi, l’on aura à s’interroger sur les raison</w:t>
      </w:r>
      <w:r w:rsidR="00B72B62" w:rsidRPr="00E72418">
        <w:rPr>
          <w:rFonts w:ascii="Times New Roman" w:hAnsi="Times New Roman" w:cs="Times New Roman"/>
          <w:szCs w:val="24"/>
        </w:rPr>
        <w:t xml:space="preserve">s économiques </w:t>
      </w:r>
      <w:r w:rsidR="00DB3D43" w:rsidRPr="00E72418">
        <w:rPr>
          <w:rFonts w:ascii="Times New Roman" w:hAnsi="Times New Roman" w:cs="Times New Roman"/>
          <w:szCs w:val="24"/>
        </w:rPr>
        <w:t>poussa</w:t>
      </w:r>
      <w:r w:rsidR="00B72B62" w:rsidRPr="00E72418">
        <w:rPr>
          <w:rFonts w:ascii="Times New Roman" w:hAnsi="Times New Roman" w:cs="Times New Roman"/>
          <w:szCs w:val="24"/>
        </w:rPr>
        <w:t xml:space="preserve">nt </w:t>
      </w:r>
      <w:r w:rsidR="00DB3D43" w:rsidRPr="00E72418">
        <w:rPr>
          <w:rFonts w:ascii="Times New Roman" w:hAnsi="Times New Roman" w:cs="Times New Roman"/>
          <w:szCs w:val="24"/>
        </w:rPr>
        <w:t xml:space="preserve">généralement </w:t>
      </w:r>
      <w:r w:rsidR="00B72B62" w:rsidRPr="00E72418">
        <w:rPr>
          <w:rFonts w:ascii="Times New Roman" w:hAnsi="Times New Roman" w:cs="Times New Roman"/>
          <w:szCs w:val="24"/>
        </w:rPr>
        <w:t xml:space="preserve">les </w:t>
      </w:r>
      <w:r w:rsidR="00B72B62" w:rsidRPr="00E72418">
        <w:rPr>
          <w:rFonts w:ascii="Times New Roman" w:hAnsi="Times New Roman" w:cs="Times New Roman"/>
          <w:lang w:eastAsia="fr-BE"/>
        </w:rPr>
        <w:t>É</w:t>
      </w:r>
      <w:r w:rsidR="00FF49A6" w:rsidRPr="00E72418">
        <w:rPr>
          <w:rFonts w:ascii="Times New Roman" w:hAnsi="Times New Roman" w:cs="Times New Roman"/>
          <w:szCs w:val="24"/>
        </w:rPr>
        <w:t xml:space="preserve">tats souverains à honorer les dettes dues à des acteurs privés. </w:t>
      </w:r>
      <w:r w:rsidR="001B3B74" w:rsidRPr="00E72418">
        <w:rPr>
          <w:rFonts w:ascii="Times New Roman" w:hAnsi="Times New Roman" w:cs="Times New Roman"/>
          <w:szCs w:val="24"/>
        </w:rPr>
        <w:t>Il importera également d’analyser le</w:t>
      </w:r>
      <w:r w:rsidR="001651CA" w:rsidRPr="00E72418">
        <w:rPr>
          <w:rFonts w:ascii="Times New Roman" w:hAnsi="Times New Roman" w:cs="Times New Roman"/>
          <w:szCs w:val="24"/>
        </w:rPr>
        <w:t>s évé</w:t>
      </w:r>
      <w:r w:rsidR="00FF49A6" w:rsidRPr="00E72418">
        <w:rPr>
          <w:rFonts w:ascii="Times New Roman" w:hAnsi="Times New Roman" w:cs="Times New Roman"/>
          <w:szCs w:val="24"/>
        </w:rPr>
        <w:t xml:space="preserve">nements historiques </w:t>
      </w:r>
      <w:r w:rsidR="009125E0" w:rsidRPr="00E72418">
        <w:rPr>
          <w:rFonts w:ascii="Times New Roman" w:hAnsi="Times New Roman" w:cs="Times New Roman"/>
          <w:szCs w:val="24"/>
        </w:rPr>
        <w:t>pouvant conduire</w:t>
      </w:r>
      <w:r w:rsidR="00FF49A6" w:rsidRPr="00E72418">
        <w:rPr>
          <w:rFonts w:ascii="Times New Roman" w:hAnsi="Times New Roman" w:cs="Times New Roman"/>
          <w:szCs w:val="24"/>
        </w:rPr>
        <w:t xml:space="preserve"> </w:t>
      </w:r>
      <w:r w:rsidR="00DB3D43" w:rsidRPr="00E72418">
        <w:rPr>
          <w:rFonts w:ascii="Times New Roman" w:hAnsi="Times New Roman" w:cs="Times New Roman"/>
          <w:szCs w:val="24"/>
        </w:rPr>
        <w:t>à des</w:t>
      </w:r>
      <w:r w:rsidR="00FF49A6" w:rsidRPr="00E72418">
        <w:rPr>
          <w:rFonts w:ascii="Times New Roman" w:hAnsi="Times New Roman" w:cs="Times New Roman"/>
          <w:szCs w:val="24"/>
        </w:rPr>
        <w:t xml:space="preserve"> difficultés</w:t>
      </w:r>
      <w:r w:rsidR="001B3B74" w:rsidRPr="00E72418">
        <w:rPr>
          <w:rFonts w:ascii="Times New Roman" w:hAnsi="Times New Roman" w:cs="Times New Roman"/>
          <w:szCs w:val="24"/>
        </w:rPr>
        <w:t xml:space="preserve"> financières </w:t>
      </w:r>
      <w:r w:rsidR="00DB3D43" w:rsidRPr="00E72418">
        <w:rPr>
          <w:rFonts w:ascii="Times New Roman" w:hAnsi="Times New Roman" w:cs="Times New Roman"/>
          <w:szCs w:val="24"/>
        </w:rPr>
        <w:t xml:space="preserve">telles qu’elles </w:t>
      </w:r>
      <w:r w:rsidR="001B3B74" w:rsidRPr="00E72418">
        <w:rPr>
          <w:rFonts w:ascii="Times New Roman" w:hAnsi="Times New Roman" w:cs="Times New Roman"/>
          <w:szCs w:val="24"/>
        </w:rPr>
        <w:t>emp</w:t>
      </w:r>
      <w:r w:rsidR="00DB3D43" w:rsidRPr="00E72418">
        <w:rPr>
          <w:rFonts w:ascii="Times New Roman" w:hAnsi="Times New Roman" w:cs="Times New Roman"/>
          <w:szCs w:val="24"/>
        </w:rPr>
        <w:t>êchent</w:t>
      </w:r>
      <w:r w:rsidR="00B72B62" w:rsidRPr="00E72418">
        <w:rPr>
          <w:rFonts w:ascii="Times New Roman" w:hAnsi="Times New Roman" w:cs="Times New Roman"/>
          <w:szCs w:val="24"/>
        </w:rPr>
        <w:t xml:space="preserve"> </w:t>
      </w:r>
      <w:r w:rsidR="00DB3D43" w:rsidRPr="00E72418">
        <w:rPr>
          <w:rFonts w:ascii="Times New Roman" w:hAnsi="Times New Roman" w:cs="Times New Roman"/>
          <w:szCs w:val="24"/>
        </w:rPr>
        <w:t>un</w:t>
      </w:r>
      <w:r w:rsidR="001B3B74" w:rsidRPr="00E72418">
        <w:rPr>
          <w:rFonts w:ascii="Times New Roman" w:hAnsi="Times New Roman" w:cs="Times New Roman"/>
          <w:szCs w:val="24"/>
        </w:rPr>
        <w:t xml:space="preserve"> débiteur</w:t>
      </w:r>
      <w:r w:rsidR="00DB3D43" w:rsidRPr="00E72418">
        <w:rPr>
          <w:rFonts w:ascii="Times New Roman" w:hAnsi="Times New Roman" w:cs="Times New Roman"/>
          <w:szCs w:val="24"/>
        </w:rPr>
        <w:t xml:space="preserve"> souverain</w:t>
      </w:r>
      <w:r w:rsidR="001B3B74" w:rsidRPr="00E72418">
        <w:rPr>
          <w:rFonts w:ascii="Times New Roman" w:hAnsi="Times New Roman" w:cs="Times New Roman"/>
          <w:szCs w:val="24"/>
        </w:rPr>
        <w:t xml:space="preserve"> d’honorer sa dette.</w:t>
      </w:r>
      <w:r w:rsidR="002268ED" w:rsidRPr="00E72418">
        <w:rPr>
          <w:rFonts w:ascii="Times New Roman" w:hAnsi="Times New Roman" w:cs="Times New Roman"/>
          <w:szCs w:val="24"/>
        </w:rPr>
        <w:t xml:space="preserve"> La mobilisation des autres sciences que les juridiques vise ainsi à expliquer le contexte de nos interrogations et à nourrir la réflexion </w:t>
      </w:r>
      <w:r w:rsidR="00DB3D43" w:rsidRPr="00E72418">
        <w:rPr>
          <w:rFonts w:ascii="Times New Roman" w:hAnsi="Times New Roman" w:cs="Times New Roman"/>
          <w:szCs w:val="24"/>
        </w:rPr>
        <w:t xml:space="preserve">sur celles-ci </w:t>
      </w:r>
      <w:r w:rsidR="002268ED" w:rsidRPr="00E72418">
        <w:rPr>
          <w:rFonts w:ascii="Times New Roman" w:hAnsi="Times New Roman" w:cs="Times New Roman"/>
          <w:szCs w:val="24"/>
        </w:rPr>
        <w:t>afin de finalement justifier notre proposition</w:t>
      </w:r>
      <w:r w:rsidR="004A19D4" w:rsidRPr="00E72418">
        <w:rPr>
          <w:rFonts w:ascii="Times New Roman" w:hAnsi="Times New Roman" w:cs="Times New Roman"/>
          <w:szCs w:val="24"/>
        </w:rPr>
        <w:t xml:space="preserve"> de </w:t>
      </w:r>
      <w:r w:rsidR="00124DD0">
        <w:rPr>
          <w:rFonts w:ascii="Times New Roman" w:hAnsi="Times New Roman" w:cs="Times New Roman"/>
          <w:szCs w:val="24"/>
        </w:rPr>
        <w:t>réglementation</w:t>
      </w:r>
      <w:r w:rsidR="002268ED" w:rsidRPr="00E72418">
        <w:rPr>
          <w:rFonts w:ascii="Times New Roman" w:hAnsi="Times New Roman" w:cs="Times New Roman"/>
          <w:szCs w:val="24"/>
        </w:rPr>
        <w:t>.</w:t>
      </w:r>
    </w:p>
    <w:p w14:paraId="6C3DC5DD" w14:textId="77777777" w:rsidR="005E2035" w:rsidRPr="00E72418" w:rsidRDefault="005E2035" w:rsidP="00423B60">
      <w:pPr>
        <w:rPr>
          <w:shd w:val="clear" w:color="auto" w:fill="FFFFFF"/>
        </w:rPr>
      </w:pPr>
    </w:p>
    <w:p w14:paraId="18DCA6E0" w14:textId="08B9B4CC" w:rsidR="005E2035" w:rsidRPr="00E72418" w:rsidRDefault="007F038F"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b/>
          <w:szCs w:val="24"/>
        </w:rPr>
        <w:t>7</w:t>
      </w:r>
      <w:r w:rsidR="007E31CD" w:rsidRPr="00E72418">
        <w:rPr>
          <w:rFonts w:ascii="Times New Roman" w:hAnsi="Times New Roman" w:cs="Times New Roman"/>
          <w:b/>
          <w:szCs w:val="24"/>
        </w:rPr>
        <w:t xml:space="preserve">. </w:t>
      </w:r>
      <w:r w:rsidR="00587206" w:rsidRPr="00E72418">
        <w:rPr>
          <w:rFonts w:ascii="Times New Roman" w:hAnsi="Times New Roman" w:cs="Times New Roman"/>
          <w:b/>
          <w:szCs w:val="24"/>
        </w:rPr>
        <w:t xml:space="preserve">L’utilité </w:t>
      </w:r>
      <w:r w:rsidR="005E2035" w:rsidRPr="00E72418">
        <w:rPr>
          <w:rFonts w:ascii="Times New Roman" w:hAnsi="Times New Roman" w:cs="Times New Roman"/>
          <w:b/>
          <w:szCs w:val="24"/>
        </w:rPr>
        <w:t xml:space="preserve">de </w:t>
      </w:r>
      <w:r w:rsidR="00587206" w:rsidRPr="00E72418">
        <w:rPr>
          <w:rFonts w:ascii="Times New Roman" w:hAnsi="Times New Roman" w:cs="Times New Roman"/>
          <w:b/>
          <w:szCs w:val="24"/>
        </w:rPr>
        <w:t>notre</w:t>
      </w:r>
      <w:r w:rsidR="005E2035" w:rsidRPr="00E72418">
        <w:rPr>
          <w:rFonts w:ascii="Times New Roman" w:hAnsi="Times New Roman" w:cs="Times New Roman"/>
          <w:b/>
          <w:szCs w:val="24"/>
        </w:rPr>
        <w:t xml:space="preserve"> recherche – </w:t>
      </w:r>
      <w:r w:rsidR="005E2035" w:rsidRPr="00E72418">
        <w:rPr>
          <w:rFonts w:ascii="Times New Roman" w:hAnsi="Times New Roman" w:cs="Times New Roman"/>
          <w:szCs w:val="24"/>
        </w:rPr>
        <w:t xml:space="preserve">Si les questions </w:t>
      </w:r>
      <w:r w:rsidR="00587206" w:rsidRPr="00E72418">
        <w:rPr>
          <w:rFonts w:ascii="Times New Roman" w:hAnsi="Times New Roman" w:cs="Times New Roman"/>
          <w:szCs w:val="24"/>
        </w:rPr>
        <w:t xml:space="preserve">générales </w:t>
      </w:r>
      <w:r w:rsidR="00F65ED0" w:rsidRPr="00E72418">
        <w:rPr>
          <w:rFonts w:ascii="Times New Roman" w:hAnsi="Times New Roman" w:cs="Times New Roman"/>
          <w:szCs w:val="24"/>
        </w:rPr>
        <w:t>relatives aux dettes d’</w:t>
      </w:r>
      <w:r w:rsidR="00F65ED0" w:rsidRPr="00E72418">
        <w:rPr>
          <w:rFonts w:ascii="Times New Roman" w:hAnsi="Times New Roman" w:cs="Times New Roman"/>
          <w:lang w:eastAsia="fr-BE"/>
        </w:rPr>
        <w:t>É</w:t>
      </w:r>
      <w:r w:rsidR="005E2035" w:rsidRPr="00E72418">
        <w:rPr>
          <w:rFonts w:ascii="Times New Roman" w:hAnsi="Times New Roman" w:cs="Times New Roman"/>
          <w:szCs w:val="24"/>
        </w:rPr>
        <w:t>tats et aux i</w:t>
      </w:r>
      <w:r w:rsidR="00431B14" w:rsidRPr="00E72418">
        <w:rPr>
          <w:rFonts w:ascii="Times New Roman" w:hAnsi="Times New Roman" w:cs="Times New Roman"/>
          <w:szCs w:val="24"/>
        </w:rPr>
        <w:t>mportant</w:t>
      </w:r>
      <w:r w:rsidR="005E2035" w:rsidRPr="00E72418">
        <w:rPr>
          <w:rFonts w:ascii="Times New Roman" w:hAnsi="Times New Roman" w:cs="Times New Roman"/>
          <w:szCs w:val="24"/>
        </w:rPr>
        <w:t>s défauts sur celles-ci</w:t>
      </w:r>
      <w:r w:rsidR="00587206" w:rsidRPr="00E72418">
        <w:rPr>
          <w:rFonts w:ascii="Times New Roman" w:hAnsi="Times New Roman" w:cs="Times New Roman"/>
          <w:szCs w:val="24"/>
        </w:rPr>
        <w:t xml:space="preserve"> ont de tous temps intéressé</w:t>
      </w:r>
      <w:r w:rsidR="005E2035" w:rsidRPr="00E72418">
        <w:rPr>
          <w:rFonts w:ascii="Times New Roman" w:hAnsi="Times New Roman" w:cs="Times New Roman"/>
          <w:szCs w:val="24"/>
        </w:rPr>
        <w:t xml:space="preserve"> le monde académique, </w:t>
      </w:r>
      <w:r w:rsidR="001C73BA" w:rsidRPr="00E72418">
        <w:rPr>
          <w:rFonts w:ascii="Times New Roman" w:hAnsi="Times New Roman" w:cs="Times New Roman"/>
          <w:szCs w:val="24"/>
        </w:rPr>
        <w:t>nous</w:t>
      </w:r>
      <w:r w:rsidR="005E2035" w:rsidRPr="00E72418">
        <w:rPr>
          <w:rFonts w:ascii="Times New Roman" w:hAnsi="Times New Roman" w:cs="Times New Roman"/>
          <w:szCs w:val="24"/>
        </w:rPr>
        <w:t xml:space="preserve"> co</w:t>
      </w:r>
      <w:r w:rsidR="001C73BA" w:rsidRPr="00E72418">
        <w:rPr>
          <w:rFonts w:ascii="Times New Roman" w:hAnsi="Times New Roman" w:cs="Times New Roman"/>
          <w:szCs w:val="24"/>
        </w:rPr>
        <w:t>nstatons</w:t>
      </w:r>
      <w:r w:rsidR="00587206" w:rsidRPr="00E72418">
        <w:rPr>
          <w:rFonts w:ascii="Times New Roman" w:hAnsi="Times New Roman" w:cs="Times New Roman"/>
          <w:szCs w:val="24"/>
        </w:rPr>
        <w:t xml:space="preserve"> ces dernières années un</w:t>
      </w:r>
      <w:r w:rsidR="00C83918" w:rsidRPr="00E72418">
        <w:rPr>
          <w:rFonts w:ascii="Times New Roman" w:hAnsi="Times New Roman" w:cs="Times New Roman"/>
          <w:szCs w:val="24"/>
        </w:rPr>
        <w:t>e</w:t>
      </w:r>
      <w:r w:rsidR="00587206" w:rsidRPr="00E72418">
        <w:rPr>
          <w:rFonts w:ascii="Times New Roman" w:hAnsi="Times New Roman" w:cs="Times New Roman"/>
          <w:szCs w:val="24"/>
        </w:rPr>
        <w:t xml:space="preserve"> </w:t>
      </w:r>
      <w:r w:rsidR="00C83918" w:rsidRPr="00E72418">
        <w:rPr>
          <w:rFonts w:ascii="Times New Roman" w:hAnsi="Times New Roman" w:cs="Times New Roman"/>
          <w:szCs w:val="24"/>
        </w:rPr>
        <w:t xml:space="preserve">attention </w:t>
      </w:r>
      <w:r w:rsidR="00587206" w:rsidRPr="00E72418">
        <w:rPr>
          <w:rFonts w:ascii="Times New Roman" w:hAnsi="Times New Roman" w:cs="Times New Roman"/>
          <w:szCs w:val="24"/>
        </w:rPr>
        <w:t>croissant</w:t>
      </w:r>
      <w:r w:rsidR="00C83918" w:rsidRPr="00E72418">
        <w:rPr>
          <w:rFonts w:ascii="Times New Roman" w:hAnsi="Times New Roman" w:cs="Times New Roman"/>
          <w:szCs w:val="24"/>
        </w:rPr>
        <w:t>e</w:t>
      </w:r>
      <w:r w:rsidR="005E2035" w:rsidRPr="00E72418">
        <w:rPr>
          <w:rFonts w:ascii="Times New Roman" w:hAnsi="Times New Roman" w:cs="Times New Roman"/>
          <w:szCs w:val="24"/>
        </w:rPr>
        <w:t xml:space="preserve"> </w:t>
      </w:r>
      <w:r w:rsidR="00C83918" w:rsidRPr="00E72418">
        <w:rPr>
          <w:rFonts w:ascii="Times New Roman" w:hAnsi="Times New Roman" w:cs="Times New Roman"/>
          <w:szCs w:val="24"/>
        </w:rPr>
        <w:t xml:space="preserve">envers </w:t>
      </w:r>
      <w:r w:rsidR="005E2035" w:rsidRPr="00E72418">
        <w:rPr>
          <w:rFonts w:ascii="Times New Roman" w:hAnsi="Times New Roman" w:cs="Times New Roman"/>
          <w:szCs w:val="24"/>
        </w:rPr>
        <w:t xml:space="preserve">celles-ci. </w:t>
      </w:r>
      <w:r w:rsidR="005E2035" w:rsidRPr="00E72418">
        <w:rPr>
          <w:rFonts w:ascii="Times New Roman" w:hAnsi="Times New Roman" w:cs="Times New Roman"/>
          <w:szCs w:val="24"/>
          <w:shd w:val="clear" w:color="auto" w:fill="FFFFFF"/>
        </w:rPr>
        <w:t xml:space="preserve">L’explication est sans doute à trouver dans le fait que, si le contentieux </w:t>
      </w:r>
      <w:r w:rsidR="00FE55A6" w:rsidRPr="00E72418">
        <w:rPr>
          <w:rFonts w:ascii="Times New Roman" w:hAnsi="Times New Roman" w:cs="Times New Roman"/>
          <w:szCs w:val="24"/>
          <w:shd w:val="clear" w:color="auto" w:fill="FFFFFF"/>
        </w:rPr>
        <w:t xml:space="preserve">séculaire </w:t>
      </w:r>
      <w:r w:rsidR="005E2035" w:rsidRPr="00E72418">
        <w:rPr>
          <w:rFonts w:ascii="Times New Roman" w:hAnsi="Times New Roman" w:cs="Times New Roman"/>
          <w:szCs w:val="24"/>
          <w:shd w:val="clear" w:color="auto" w:fill="FFFFFF"/>
        </w:rPr>
        <w:t xml:space="preserve">des dettes souveraines fut longtemps </w:t>
      </w:r>
      <w:r w:rsidR="00AF1A73" w:rsidRPr="00E72418">
        <w:rPr>
          <w:rFonts w:ascii="Times New Roman" w:hAnsi="Times New Roman" w:cs="Times New Roman"/>
          <w:szCs w:val="24"/>
          <w:shd w:val="clear" w:color="auto" w:fill="FFFFFF"/>
        </w:rPr>
        <w:t>caractérisé</w:t>
      </w:r>
      <w:r w:rsidR="005E2035" w:rsidRPr="00E72418">
        <w:rPr>
          <w:rFonts w:ascii="Times New Roman" w:hAnsi="Times New Roman" w:cs="Times New Roman"/>
          <w:szCs w:val="24"/>
          <w:shd w:val="clear" w:color="auto" w:fill="FFFFFF"/>
        </w:rPr>
        <w:t xml:space="preserve"> par le joug de la souveraineté </w:t>
      </w:r>
      <w:r w:rsidR="00F65ED0" w:rsidRPr="00E72418">
        <w:rPr>
          <w:rFonts w:ascii="Times New Roman" w:hAnsi="Times New Roman" w:cs="Times New Roman"/>
          <w:szCs w:val="24"/>
          <w:shd w:val="clear" w:color="auto" w:fill="FFFFFF"/>
        </w:rPr>
        <w:t xml:space="preserve">financière des </w:t>
      </w:r>
      <w:r w:rsidR="00F65ED0" w:rsidRPr="00E72418">
        <w:rPr>
          <w:rFonts w:ascii="Times New Roman" w:hAnsi="Times New Roman" w:cs="Times New Roman"/>
          <w:lang w:eastAsia="fr-BE"/>
        </w:rPr>
        <w:t>É</w:t>
      </w:r>
      <w:r w:rsidR="00587206" w:rsidRPr="00E72418">
        <w:rPr>
          <w:rFonts w:ascii="Times New Roman" w:hAnsi="Times New Roman" w:cs="Times New Roman"/>
          <w:szCs w:val="24"/>
          <w:shd w:val="clear" w:color="auto" w:fill="FFFFFF"/>
        </w:rPr>
        <w:t>tats débiteurs</w:t>
      </w:r>
      <w:r w:rsidR="005E2035" w:rsidRPr="00E72418">
        <w:rPr>
          <w:rFonts w:ascii="Times New Roman" w:hAnsi="Times New Roman" w:cs="Times New Roman"/>
          <w:szCs w:val="24"/>
          <w:shd w:val="clear" w:color="auto" w:fill="FFFFFF"/>
        </w:rPr>
        <w:t xml:space="preserve">, les rapports de force </w:t>
      </w:r>
      <w:r w:rsidR="00587206" w:rsidRPr="00E72418">
        <w:rPr>
          <w:rFonts w:ascii="Times New Roman" w:hAnsi="Times New Roman" w:cs="Times New Roman"/>
          <w:szCs w:val="24"/>
          <w:shd w:val="clear" w:color="auto" w:fill="FFFFFF"/>
        </w:rPr>
        <w:t>ont été</w:t>
      </w:r>
      <w:r w:rsidR="005E2035" w:rsidRPr="00E72418">
        <w:rPr>
          <w:rFonts w:ascii="Times New Roman" w:hAnsi="Times New Roman" w:cs="Times New Roman"/>
          <w:szCs w:val="24"/>
          <w:shd w:val="clear" w:color="auto" w:fill="FFFFFF"/>
        </w:rPr>
        <w:t xml:space="preserve"> renversés</w:t>
      </w:r>
      <w:r w:rsidR="00AF1A73" w:rsidRPr="00E72418">
        <w:rPr>
          <w:rFonts w:ascii="Times New Roman" w:hAnsi="Times New Roman" w:cs="Times New Roman"/>
          <w:szCs w:val="24"/>
          <w:shd w:val="clear" w:color="auto" w:fill="FFFFFF"/>
        </w:rPr>
        <w:t xml:space="preserve"> au cours des trois dernières décennies</w:t>
      </w:r>
      <w:r w:rsidR="00F65ED0" w:rsidRPr="00E72418">
        <w:rPr>
          <w:rFonts w:ascii="Times New Roman" w:hAnsi="Times New Roman" w:cs="Times New Roman"/>
          <w:szCs w:val="24"/>
          <w:shd w:val="clear" w:color="auto" w:fill="FFFFFF"/>
        </w:rPr>
        <w:t>, l’</w:t>
      </w:r>
      <w:r w:rsidR="00F65ED0" w:rsidRPr="00E72418">
        <w:rPr>
          <w:rFonts w:ascii="Times New Roman" w:hAnsi="Times New Roman" w:cs="Times New Roman"/>
          <w:lang w:eastAsia="fr-BE"/>
        </w:rPr>
        <w:t>É</w:t>
      </w:r>
      <w:r w:rsidR="00587206" w:rsidRPr="00E72418">
        <w:rPr>
          <w:rFonts w:ascii="Times New Roman" w:hAnsi="Times New Roman" w:cs="Times New Roman"/>
          <w:szCs w:val="24"/>
          <w:shd w:val="clear" w:color="auto" w:fill="FFFFFF"/>
        </w:rPr>
        <w:t xml:space="preserve">tat s’apparentant </w:t>
      </w:r>
      <w:r w:rsidR="00AF1A73" w:rsidRPr="00E72418">
        <w:rPr>
          <w:rFonts w:ascii="Times New Roman" w:hAnsi="Times New Roman" w:cs="Times New Roman"/>
          <w:szCs w:val="24"/>
          <w:shd w:val="clear" w:color="auto" w:fill="FFFFFF"/>
        </w:rPr>
        <w:t>davantage</w:t>
      </w:r>
      <w:r w:rsidR="001C73BA" w:rsidRPr="00E72418">
        <w:rPr>
          <w:rFonts w:ascii="Times New Roman" w:hAnsi="Times New Roman" w:cs="Times New Roman"/>
          <w:szCs w:val="24"/>
          <w:shd w:val="clear" w:color="auto" w:fill="FFFFFF"/>
        </w:rPr>
        <w:t>,</w:t>
      </w:r>
      <w:r w:rsidR="00587206" w:rsidRPr="00E72418">
        <w:rPr>
          <w:rFonts w:ascii="Times New Roman" w:hAnsi="Times New Roman" w:cs="Times New Roman"/>
          <w:szCs w:val="24"/>
          <w:shd w:val="clear" w:color="auto" w:fill="FFFFFF"/>
        </w:rPr>
        <w:t xml:space="preserve"> à mesure du temps</w:t>
      </w:r>
      <w:r w:rsidR="001C73BA" w:rsidRPr="00E72418">
        <w:rPr>
          <w:rFonts w:ascii="Times New Roman" w:hAnsi="Times New Roman" w:cs="Times New Roman"/>
          <w:szCs w:val="24"/>
          <w:shd w:val="clear" w:color="auto" w:fill="FFFFFF"/>
        </w:rPr>
        <w:t>,</w:t>
      </w:r>
      <w:r w:rsidR="00587206" w:rsidRPr="00E72418">
        <w:rPr>
          <w:rFonts w:ascii="Times New Roman" w:hAnsi="Times New Roman" w:cs="Times New Roman"/>
          <w:szCs w:val="24"/>
          <w:shd w:val="clear" w:color="auto" w:fill="FFFFFF"/>
        </w:rPr>
        <w:t xml:space="preserve"> à un sujet de droit commun en matière de dette</w:t>
      </w:r>
      <w:r w:rsidR="00AF1A73" w:rsidRPr="00E72418">
        <w:rPr>
          <w:rFonts w:ascii="Times New Roman" w:hAnsi="Times New Roman" w:cs="Times New Roman"/>
          <w:szCs w:val="24"/>
          <w:shd w:val="clear" w:color="auto" w:fill="FFFFFF"/>
        </w:rPr>
        <w:t>s</w:t>
      </w:r>
      <w:r w:rsidR="005E2035" w:rsidRPr="00E72418">
        <w:rPr>
          <w:rStyle w:val="Appelnotedebasdep"/>
          <w:rFonts w:ascii="Times New Roman" w:hAnsi="Times New Roman" w:cs="Times New Roman"/>
          <w:szCs w:val="24"/>
          <w:shd w:val="clear" w:color="auto" w:fill="FFFFFF"/>
        </w:rPr>
        <w:footnoteReference w:id="35"/>
      </w:r>
      <w:r w:rsidR="005E2035" w:rsidRPr="00E72418">
        <w:rPr>
          <w:rFonts w:ascii="Times New Roman" w:hAnsi="Times New Roman" w:cs="Times New Roman"/>
          <w:szCs w:val="24"/>
          <w:shd w:val="clear" w:color="auto" w:fill="FFFFFF"/>
        </w:rPr>
        <w:t>.</w:t>
      </w:r>
      <w:r w:rsidR="00587206" w:rsidRPr="00E72418">
        <w:rPr>
          <w:rFonts w:ascii="Times New Roman" w:hAnsi="Times New Roman" w:cs="Times New Roman"/>
          <w:szCs w:val="24"/>
          <w:shd w:val="clear" w:color="auto" w:fill="FFFFFF"/>
        </w:rPr>
        <w:t xml:space="preserve"> Cette redéfinition des positions des acteurs de la dette souveraine appelle inévitablement de nouvelles interrogations juridiques dans la quête d’un nouvel équilibre à trouver.</w:t>
      </w:r>
    </w:p>
    <w:p w14:paraId="63FA8EF4" w14:textId="7DF6F2A1" w:rsidR="009F7E73" w:rsidRPr="00E72418" w:rsidRDefault="00B22D10"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szCs w:val="24"/>
          <w:shd w:val="clear" w:color="auto" w:fill="FFFFFF"/>
        </w:rPr>
        <w:t>P</w:t>
      </w:r>
      <w:r w:rsidR="00587206" w:rsidRPr="00E72418">
        <w:rPr>
          <w:rFonts w:ascii="Times New Roman" w:hAnsi="Times New Roman" w:cs="Times New Roman"/>
          <w:szCs w:val="24"/>
          <w:shd w:val="clear" w:color="auto" w:fill="FFFFFF"/>
        </w:rPr>
        <w:t xml:space="preserve">armi les contentieux </w:t>
      </w:r>
      <w:r w:rsidR="00FE55A6" w:rsidRPr="00E72418">
        <w:rPr>
          <w:rFonts w:ascii="Times New Roman" w:hAnsi="Times New Roman" w:cs="Times New Roman"/>
          <w:szCs w:val="24"/>
          <w:shd w:val="clear" w:color="auto" w:fill="FFFFFF"/>
        </w:rPr>
        <w:t xml:space="preserve">menés contre des </w:t>
      </w:r>
      <w:r w:rsidR="00F65ED0" w:rsidRPr="00E72418">
        <w:rPr>
          <w:rFonts w:ascii="Times New Roman" w:hAnsi="Times New Roman" w:cs="Times New Roman"/>
          <w:lang w:eastAsia="fr-BE"/>
        </w:rPr>
        <w:t>É</w:t>
      </w:r>
      <w:r w:rsidR="00587206" w:rsidRPr="00E72418">
        <w:rPr>
          <w:rFonts w:ascii="Times New Roman" w:hAnsi="Times New Roman" w:cs="Times New Roman"/>
          <w:szCs w:val="24"/>
          <w:shd w:val="clear" w:color="auto" w:fill="FFFFFF"/>
        </w:rPr>
        <w:t>t</w:t>
      </w:r>
      <w:r w:rsidRPr="00E72418">
        <w:rPr>
          <w:rFonts w:ascii="Times New Roman" w:hAnsi="Times New Roman" w:cs="Times New Roman"/>
          <w:szCs w:val="24"/>
          <w:shd w:val="clear" w:color="auto" w:fill="FFFFFF"/>
        </w:rPr>
        <w:t>ats relativement à leur dette, ceux impliquant des fonds dits « vautours »</w:t>
      </w:r>
      <w:r w:rsidR="00587206" w:rsidRPr="00E72418">
        <w:rPr>
          <w:rFonts w:ascii="Times New Roman" w:hAnsi="Times New Roman" w:cs="Times New Roman"/>
          <w:szCs w:val="24"/>
          <w:shd w:val="clear" w:color="auto" w:fill="FFFFFF"/>
        </w:rPr>
        <w:t xml:space="preserve"> sont particulièrement intéressants </w:t>
      </w:r>
      <w:r w:rsidRPr="00E72418">
        <w:rPr>
          <w:rFonts w:ascii="Times New Roman" w:hAnsi="Times New Roman" w:cs="Times New Roman"/>
          <w:szCs w:val="24"/>
          <w:shd w:val="clear" w:color="auto" w:fill="FFFFFF"/>
        </w:rPr>
        <w:t>en raison des</w:t>
      </w:r>
      <w:r w:rsidR="00587206" w:rsidRPr="00E72418">
        <w:rPr>
          <w:rFonts w:ascii="Times New Roman" w:hAnsi="Times New Roman" w:cs="Times New Roman"/>
          <w:szCs w:val="24"/>
          <w:shd w:val="clear" w:color="auto" w:fill="FFFFFF"/>
        </w:rPr>
        <w:t xml:space="preserve"> questions </w:t>
      </w:r>
      <w:r w:rsidRPr="00E72418">
        <w:rPr>
          <w:rFonts w:ascii="Times New Roman" w:hAnsi="Times New Roman" w:cs="Times New Roman"/>
          <w:szCs w:val="24"/>
          <w:shd w:val="clear" w:color="auto" w:fill="FFFFFF"/>
        </w:rPr>
        <w:t xml:space="preserve">très particulières </w:t>
      </w:r>
      <w:r w:rsidR="00587206" w:rsidRPr="00E72418">
        <w:rPr>
          <w:rFonts w:ascii="Times New Roman" w:hAnsi="Times New Roman" w:cs="Times New Roman"/>
          <w:szCs w:val="24"/>
          <w:shd w:val="clear" w:color="auto" w:fill="FFFFFF"/>
        </w:rPr>
        <w:t xml:space="preserve">qu’ils posent. </w:t>
      </w:r>
      <w:r w:rsidRPr="00E72418">
        <w:rPr>
          <w:rFonts w:ascii="Times New Roman" w:hAnsi="Times New Roman" w:cs="Times New Roman"/>
          <w:szCs w:val="24"/>
          <w:shd w:val="clear" w:color="auto" w:fill="FFFFFF"/>
        </w:rPr>
        <w:t>Pourtant, t</w:t>
      </w:r>
      <w:r w:rsidR="009F7E73" w:rsidRPr="00E72418">
        <w:rPr>
          <w:rFonts w:ascii="Times New Roman" w:hAnsi="Times New Roman" w:cs="Times New Roman"/>
          <w:szCs w:val="24"/>
          <w:shd w:val="clear" w:color="auto" w:fill="FFFFFF"/>
        </w:rPr>
        <w:t>out important qu’il est, le</w:t>
      </w:r>
      <w:r w:rsidR="009F7E73" w:rsidRPr="00E72418">
        <w:rPr>
          <w:rFonts w:ascii="Times New Roman" w:hAnsi="Times New Roman" w:cs="Times New Roman"/>
        </w:rPr>
        <w:t xml:space="preserve"> phénomène </w:t>
      </w:r>
      <w:r w:rsidR="001C73BA" w:rsidRPr="00E72418">
        <w:rPr>
          <w:rFonts w:ascii="Times New Roman" w:hAnsi="Times New Roman" w:cs="Times New Roman"/>
        </w:rPr>
        <w:t>spéculatif</w:t>
      </w:r>
      <w:r w:rsidR="009F7E73" w:rsidRPr="00E72418">
        <w:rPr>
          <w:rFonts w:ascii="Times New Roman" w:hAnsi="Times New Roman" w:cs="Times New Roman"/>
        </w:rPr>
        <w:t xml:space="preserve"> est souvent abordé de manière périphérique lors des réflexions sur la manière </w:t>
      </w:r>
      <w:r w:rsidR="00527261" w:rsidRPr="00E72418">
        <w:rPr>
          <w:rFonts w:ascii="Times New Roman" w:hAnsi="Times New Roman" w:cs="Times New Roman"/>
        </w:rPr>
        <w:t>appropriée</w:t>
      </w:r>
      <w:r w:rsidR="009F7E73" w:rsidRPr="00E72418">
        <w:rPr>
          <w:rFonts w:ascii="Times New Roman" w:hAnsi="Times New Roman" w:cs="Times New Roman"/>
        </w:rPr>
        <w:t xml:space="preserve"> de répondre </w:t>
      </w:r>
      <w:r w:rsidRPr="00E72418">
        <w:rPr>
          <w:rFonts w:ascii="Times New Roman" w:hAnsi="Times New Roman" w:cs="Times New Roman"/>
        </w:rPr>
        <w:t xml:space="preserve">généralement </w:t>
      </w:r>
      <w:r w:rsidR="009F7E73" w:rsidRPr="00E72418">
        <w:rPr>
          <w:rFonts w:ascii="Times New Roman" w:hAnsi="Times New Roman" w:cs="Times New Roman"/>
        </w:rPr>
        <w:t>au</w:t>
      </w:r>
      <w:r w:rsidR="00C641A5" w:rsidRPr="00E72418">
        <w:rPr>
          <w:rFonts w:ascii="Times New Roman" w:hAnsi="Times New Roman" w:cs="Times New Roman"/>
        </w:rPr>
        <w:t xml:space="preserve">x difficultés </w:t>
      </w:r>
      <w:r w:rsidRPr="00E72418">
        <w:rPr>
          <w:rFonts w:ascii="Times New Roman" w:hAnsi="Times New Roman" w:cs="Times New Roman"/>
        </w:rPr>
        <w:t>liées aux</w:t>
      </w:r>
      <w:r w:rsidR="00C641A5" w:rsidRPr="00E72418">
        <w:rPr>
          <w:rFonts w:ascii="Times New Roman" w:hAnsi="Times New Roman" w:cs="Times New Roman"/>
        </w:rPr>
        <w:t xml:space="preserve"> dettes d’</w:t>
      </w:r>
      <w:r w:rsidR="00C641A5" w:rsidRPr="00E72418">
        <w:rPr>
          <w:rFonts w:ascii="Times New Roman" w:hAnsi="Times New Roman" w:cs="Times New Roman"/>
          <w:lang w:eastAsia="fr-BE"/>
        </w:rPr>
        <w:t>É</w:t>
      </w:r>
      <w:r w:rsidR="009F7E73" w:rsidRPr="00E72418">
        <w:rPr>
          <w:rFonts w:ascii="Times New Roman" w:hAnsi="Times New Roman" w:cs="Times New Roman"/>
        </w:rPr>
        <w:t>tat</w:t>
      </w:r>
      <w:r w:rsidRPr="00E72418">
        <w:rPr>
          <w:rFonts w:ascii="Times New Roman" w:hAnsi="Times New Roman" w:cs="Times New Roman"/>
        </w:rPr>
        <w:t>s</w:t>
      </w:r>
      <w:r w:rsidR="00C83918" w:rsidRPr="00E72418">
        <w:rPr>
          <w:rFonts w:ascii="Times New Roman" w:hAnsi="Times New Roman" w:cs="Times New Roman"/>
        </w:rPr>
        <w:t>.</w:t>
      </w:r>
      <w:r w:rsidRPr="00E72418">
        <w:rPr>
          <w:rFonts w:ascii="Times New Roman" w:hAnsi="Times New Roman" w:cs="Times New Roman"/>
        </w:rPr>
        <w:t xml:space="preserve"> </w:t>
      </w:r>
      <w:r w:rsidR="00C83918" w:rsidRPr="00E72418">
        <w:rPr>
          <w:rFonts w:ascii="Times New Roman" w:hAnsi="Times New Roman" w:cs="Times New Roman"/>
        </w:rPr>
        <w:t xml:space="preserve">Tant le </w:t>
      </w:r>
      <w:r w:rsidR="00C83918" w:rsidRPr="00E72418">
        <w:rPr>
          <w:rFonts w:ascii="Times New Roman" w:hAnsi="Times New Roman" w:cs="Times New Roman"/>
          <w:szCs w:val="24"/>
        </w:rPr>
        <w:t>nombre d’affaires les impliquant que l’importance de leurs enjeux financiers nous convainquent de l’utilité d’y apporter une réponse particulière et sur</w:t>
      </w:r>
      <w:r w:rsidR="00740198" w:rsidRPr="00E72418">
        <w:rPr>
          <w:rFonts w:ascii="Times New Roman" w:hAnsi="Times New Roman" w:cs="Times New Roman"/>
          <w:szCs w:val="24"/>
        </w:rPr>
        <w:t xml:space="preserve"> </w:t>
      </w:r>
      <w:r w:rsidR="00C83918" w:rsidRPr="00E72418">
        <w:rPr>
          <w:rFonts w:ascii="Times New Roman" w:hAnsi="Times New Roman" w:cs="Times New Roman"/>
          <w:szCs w:val="24"/>
        </w:rPr>
        <w:t>mesure.</w:t>
      </w:r>
    </w:p>
    <w:p w14:paraId="1E4B0D98" w14:textId="101F66F3" w:rsidR="005E2035" w:rsidRPr="00E72418" w:rsidRDefault="005E2035"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szCs w:val="24"/>
          <w:shd w:val="clear" w:color="auto" w:fill="FFFFFF"/>
        </w:rPr>
        <w:t xml:space="preserve">Dans son rapport de 2019 sur les </w:t>
      </w:r>
      <w:r w:rsidRPr="00E72418">
        <w:rPr>
          <w:rFonts w:ascii="Times New Roman" w:hAnsi="Times New Roman" w:cs="Times New Roman"/>
          <w:szCs w:val="24"/>
        </w:rPr>
        <w:t xml:space="preserve">activités des fonds vautours et leurs incidences sur les droits de l’homme, le Comité consultatif du Conseil des droits de l’homme des Nations Unies appelle de ses vœux </w:t>
      </w:r>
      <w:r w:rsidR="00FE55A6" w:rsidRPr="00E72418">
        <w:rPr>
          <w:rFonts w:ascii="Times New Roman" w:hAnsi="Times New Roman" w:cs="Times New Roman"/>
          <w:szCs w:val="24"/>
        </w:rPr>
        <w:t>des travaux</w:t>
      </w:r>
      <w:r w:rsidRPr="00E72418">
        <w:rPr>
          <w:rFonts w:ascii="Times New Roman" w:hAnsi="Times New Roman" w:cs="Times New Roman"/>
          <w:szCs w:val="24"/>
        </w:rPr>
        <w:t xml:space="preserve"> </w:t>
      </w:r>
      <w:r w:rsidR="00FE55A6" w:rsidRPr="00E72418">
        <w:rPr>
          <w:rFonts w:ascii="Times New Roman" w:hAnsi="Times New Roman" w:cs="Times New Roman"/>
          <w:szCs w:val="24"/>
        </w:rPr>
        <w:t xml:space="preserve">semblables à ceux </w:t>
      </w:r>
      <w:r w:rsidRPr="00E72418">
        <w:rPr>
          <w:rFonts w:ascii="Times New Roman" w:hAnsi="Times New Roman" w:cs="Times New Roman"/>
          <w:szCs w:val="24"/>
        </w:rPr>
        <w:t>menés dans la présente recherche doctor</w:t>
      </w:r>
      <w:r w:rsidR="002E0126" w:rsidRPr="00E72418">
        <w:rPr>
          <w:rFonts w:ascii="Times New Roman" w:hAnsi="Times New Roman" w:cs="Times New Roman"/>
          <w:szCs w:val="24"/>
        </w:rPr>
        <w:t xml:space="preserve">ale. Ainsi, il </w:t>
      </w:r>
      <w:r w:rsidR="00E76173" w:rsidRPr="00E72418">
        <w:rPr>
          <w:rFonts w:ascii="Times New Roman" w:hAnsi="Times New Roman" w:cs="Times New Roman"/>
          <w:szCs w:val="24"/>
        </w:rPr>
        <w:t xml:space="preserve">est d’avis </w:t>
      </w:r>
      <w:r w:rsidR="002E0126" w:rsidRPr="00E72418">
        <w:rPr>
          <w:rFonts w:ascii="Times New Roman" w:hAnsi="Times New Roman" w:cs="Times New Roman"/>
          <w:szCs w:val="24"/>
        </w:rPr>
        <w:t>qu’</w:t>
      </w:r>
      <w:r w:rsidR="009950CC" w:rsidRPr="00E72418">
        <w:rPr>
          <w:rFonts w:ascii="Times New Roman" w:hAnsi="Times New Roman" w:cs="Times New Roman"/>
          <w:szCs w:val="24"/>
        </w:rPr>
        <w:t xml:space="preserve"> </w:t>
      </w:r>
      <w:r w:rsidR="00893696" w:rsidRPr="00E72418">
        <w:rPr>
          <w:rFonts w:ascii="Times New Roman" w:hAnsi="Times New Roman" w:cs="Times New Roman"/>
          <w:szCs w:val="24"/>
        </w:rPr>
        <w:t>« </w:t>
      </w:r>
      <w:r w:rsidR="00893696" w:rsidRPr="00E72418">
        <w:rPr>
          <w:rFonts w:ascii="Times New Roman" w:hAnsi="Times New Roman" w:cs="Times New Roman"/>
        </w:rPr>
        <w:t>[u]</w:t>
      </w:r>
      <w:r w:rsidRPr="00E72418">
        <w:rPr>
          <w:rFonts w:ascii="Times New Roman" w:hAnsi="Times New Roman" w:cs="Times New Roman"/>
          <w:bCs/>
          <w:szCs w:val="24"/>
        </w:rPr>
        <w:t xml:space="preserve">ne étude qui passe en revue les législations et les jurisprudences nationales pertinentes ainsi que les bonnes pratiques </w:t>
      </w:r>
      <w:r w:rsidR="00F65ED0" w:rsidRPr="00E72418">
        <w:rPr>
          <w:rFonts w:ascii="Times New Roman" w:hAnsi="Times New Roman" w:cs="Times New Roman"/>
          <w:bCs/>
          <w:szCs w:val="24"/>
        </w:rPr>
        <w:t xml:space="preserve">serait utile aux </w:t>
      </w:r>
      <w:r w:rsidR="00F65ED0" w:rsidRPr="00E72418">
        <w:rPr>
          <w:rFonts w:ascii="Times New Roman" w:hAnsi="Times New Roman" w:cs="Times New Roman"/>
          <w:lang w:eastAsia="fr-BE"/>
        </w:rPr>
        <w:t>É</w:t>
      </w:r>
      <w:r w:rsidRPr="00E72418">
        <w:rPr>
          <w:rFonts w:ascii="Times New Roman" w:hAnsi="Times New Roman" w:cs="Times New Roman"/>
          <w:bCs/>
          <w:szCs w:val="24"/>
        </w:rPr>
        <w:t>tats dans leurs travaux d’élaboration d’un cadre juridique adéquat »</w:t>
      </w:r>
      <w:r w:rsidRPr="00E72418">
        <w:rPr>
          <w:rStyle w:val="Appelnotedebasdep"/>
          <w:rFonts w:ascii="Times New Roman" w:hAnsi="Times New Roman" w:cs="Times New Roman"/>
          <w:bCs/>
          <w:szCs w:val="24"/>
        </w:rPr>
        <w:footnoteReference w:id="36"/>
      </w:r>
      <w:r w:rsidRPr="00E72418">
        <w:rPr>
          <w:rFonts w:ascii="Times New Roman" w:hAnsi="Times New Roman" w:cs="Times New Roman"/>
          <w:bCs/>
          <w:szCs w:val="24"/>
        </w:rPr>
        <w:t xml:space="preserve">. </w:t>
      </w:r>
      <w:r w:rsidR="009F7E73" w:rsidRPr="00E72418">
        <w:rPr>
          <w:rFonts w:ascii="Times New Roman" w:hAnsi="Times New Roman" w:cs="Times New Roman"/>
          <w:bCs/>
          <w:szCs w:val="24"/>
        </w:rPr>
        <w:t>S’il nous apparaît que</w:t>
      </w:r>
      <w:r w:rsidRPr="00E72418">
        <w:rPr>
          <w:rFonts w:ascii="Times New Roman" w:hAnsi="Times New Roman" w:cs="Times New Roman"/>
          <w:bCs/>
          <w:szCs w:val="24"/>
        </w:rPr>
        <w:t xml:space="preserve"> ce cadre juridique </w:t>
      </w:r>
      <w:r w:rsidR="009F7E73" w:rsidRPr="00E72418">
        <w:rPr>
          <w:rFonts w:ascii="Times New Roman" w:hAnsi="Times New Roman" w:cs="Times New Roman"/>
          <w:bCs/>
          <w:szCs w:val="24"/>
        </w:rPr>
        <w:t xml:space="preserve">devrait idéalement </w:t>
      </w:r>
      <w:r w:rsidR="009F7E73" w:rsidRPr="00E72418">
        <w:rPr>
          <w:rFonts w:ascii="Times New Roman" w:hAnsi="Times New Roman" w:cs="Times New Roman"/>
          <w:bCs/>
          <w:szCs w:val="24"/>
        </w:rPr>
        <w:lastRenderedPageBreak/>
        <w:t>s’inscrire</w:t>
      </w:r>
      <w:r w:rsidRPr="00E72418">
        <w:rPr>
          <w:rFonts w:ascii="Times New Roman" w:hAnsi="Times New Roman" w:cs="Times New Roman"/>
          <w:bCs/>
          <w:szCs w:val="24"/>
        </w:rPr>
        <w:t xml:space="preserve"> dans une approche globale des crises des dettes étatiques dépassant la seule problématique des fonds </w:t>
      </w:r>
      <w:r w:rsidR="00B22D10" w:rsidRPr="00E72418">
        <w:rPr>
          <w:rFonts w:ascii="Times New Roman" w:hAnsi="Times New Roman" w:cs="Times New Roman"/>
          <w:bCs/>
          <w:szCs w:val="24"/>
        </w:rPr>
        <w:t>qui nous occupent</w:t>
      </w:r>
      <w:r w:rsidR="009F7E73" w:rsidRPr="00E72418">
        <w:rPr>
          <w:rFonts w:ascii="Times New Roman" w:hAnsi="Times New Roman" w:cs="Times New Roman"/>
          <w:bCs/>
          <w:szCs w:val="24"/>
        </w:rPr>
        <w:t>, il n’en reste pas moins qu’une approche spécifique à ces derniers conserve toute son utilité.</w:t>
      </w:r>
    </w:p>
    <w:p w14:paraId="09A777A8" w14:textId="446B4366" w:rsidR="00E1604B" w:rsidRPr="00E72418" w:rsidRDefault="00E1604B" w:rsidP="00423B60"/>
    <w:p w14:paraId="78A61F07" w14:textId="2246C5BE" w:rsidR="00E1604B" w:rsidRPr="00E72418" w:rsidRDefault="00F13B0A" w:rsidP="00CC4BA8">
      <w:pPr>
        <w:spacing w:line="276" w:lineRule="auto"/>
      </w:pPr>
      <w:r w:rsidRPr="00E72418">
        <w:rPr>
          <w:rFonts w:ascii="Times New Roman" w:hAnsi="Times New Roman" w:cs="Times New Roman"/>
          <w:b/>
        </w:rPr>
        <w:t>8</w:t>
      </w:r>
      <w:r w:rsidR="007E31CD" w:rsidRPr="00E72418">
        <w:rPr>
          <w:rFonts w:ascii="Times New Roman" w:hAnsi="Times New Roman" w:cs="Times New Roman"/>
          <w:b/>
        </w:rPr>
        <w:t xml:space="preserve">. </w:t>
      </w:r>
      <w:r w:rsidR="00E1604B" w:rsidRPr="00E72418">
        <w:rPr>
          <w:rFonts w:ascii="Times New Roman" w:hAnsi="Times New Roman" w:cs="Times New Roman"/>
          <w:b/>
        </w:rPr>
        <w:t>La limitation des sources exploitées –</w:t>
      </w:r>
      <w:r w:rsidR="00E1604B" w:rsidRPr="00E72418">
        <w:rPr>
          <w:rFonts w:ascii="Times New Roman" w:hAnsi="Times New Roman" w:cs="Times New Roman"/>
        </w:rPr>
        <w:t xml:space="preserve"> </w:t>
      </w:r>
      <w:r w:rsidR="00124DD0">
        <w:rPr>
          <w:rFonts w:ascii="Times New Roman" w:hAnsi="Times New Roman" w:cs="Times New Roman"/>
        </w:rPr>
        <w:t>Alors que</w:t>
      </w:r>
      <w:r w:rsidR="00E1604B" w:rsidRPr="00E72418">
        <w:rPr>
          <w:rFonts w:ascii="Times New Roman" w:hAnsi="Times New Roman" w:cs="Times New Roman"/>
        </w:rPr>
        <w:t xml:space="preserve"> le</w:t>
      </w:r>
      <w:r w:rsidR="004F2AD2" w:rsidRPr="00E72418">
        <w:rPr>
          <w:rFonts w:ascii="Times New Roman" w:hAnsi="Times New Roman" w:cs="Times New Roman"/>
        </w:rPr>
        <w:t xml:space="preserve"> phénomène des fonds spéculant</w:t>
      </w:r>
      <w:r w:rsidR="00E1604B" w:rsidRPr="00E72418">
        <w:rPr>
          <w:rFonts w:ascii="Times New Roman" w:hAnsi="Times New Roman" w:cs="Times New Roman"/>
        </w:rPr>
        <w:t xml:space="preserve"> sur les dettes souveraines n’est pas limité par les frontières, il nous paraît toutefois justifié de focaliser le champ de notre recherche sur </w:t>
      </w:r>
      <w:r w:rsidR="0066118F" w:rsidRPr="00E72418">
        <w:rPr>
          <w:rFonts w:ascii="Times New Roman" w:hAnsi="Times New Roman" w:cs="Times New Roman"/>
        </w:rPr>
        <w:t xml:space="preserve">les réponses y apportées </w:t>
      </w:r>
      <w:r w:rsidR="00E1604B" w:rsidRPr="00E72418">
        <w:rPr>
          <w:rFonts w:ascii="Times New Roman" w:hAnsi="Times New Roman" w:cs="Times New Roman"/>
        </w:rPr>
        <w:t xml:space="preserve">par certains </w:t>
      </w:r>
      <w:r w:rsidR="00F65ED0" w:rsidRPr="00E72418">
        <w:rPr>
          <w:rFonts w:ascii="Times New Roman" w:hAnsi="Times New Roman" w:cs="Times New Roman"/>
          <w:lang w:eastAsia="fr-BE"/>
        </w:rPr>
        <w:t>É</w:t>
      </w:r>
      <w:r w:rsidR="00E1604B" w:rsidRPr="00E72418">
        <w:rPr>
          <w:rFonts w:ascii="Times New Roman" w:hAnsi="Times New Roman" w:cs="Times New Roman"/>
        </w:rPr>
        <w:t>tats. Ainsi, outre les sources législatives et jurisprudentielles internationales et régionales, les législatio</w:t>
      </w:r>
      <w:r w:rsidR="00F65ED0" w:rsidRPr="00E72418">
        <w:rPr>
          <w:rFonts w:ascii="Times New Roman" w:hAnsi="Times New Roman" w:cs="Times New Roman"/>
        </w:rPr>
        <w:t xml:space="preserve">ns et </w:t>
      </w:r>
      <w:r w:rsidR="00F65ED0" w:rsidRPr="00E72418">
        <w:t xml:space="preserve">jurisprudences de quatre </w:t>
      </w:r>
      <w:r w:rsidR="00F65ED0" w:rsidRPr="00E72418">
        <w:rPr>
          <w:lang w:eastAsia="fr-BE"/>
        </w:rPr>
        <w:t>É</w:t>
      </w:r>
      <w:r w:rsidR="00E1604B" w:rsidRPr="00E72418">
        <w:t xml:space="preserve">tats </w:t>
      </w:r>
      <w:r w:rsidR="004214A9" w:rsidRPr="00E72418">
        <w:t>servent</w:t>
      </w:r>
      <w:r w:rsidR="001C73BA" w:rsidRPr="00E72418">
        <w:t>, pour l’essentiel,</w:t>
      </w:r>
      <w:r w:rsidR="004214A9" w:rsidRPr="00E72418">
        <w:t xml:space="preserve"> de base à notre réflexion ; les belges, françaises, britanniques et étatsuniennes</w:t>
      </w:r>
      <w:r w:rsidR="00D4026F" w:rsidRPr="00E72418">
        <w:rPr>
          <w:rStyle w:val="Appelnotedebasdep"/>
        </w:rPr>
        <w:footnoteReference w:id="37"/>
      </w:r>
      <w:r w:rsidR="00071811" w:rsidRPr="00E72418">
        <w:t>.</w:t>
      </w:r>
    </w:p>
    <w:p w14:paraId="180135D3" w14:textId="6C33F1BE" w:rsidR="00E1604B" w:rsidRPr="00E72418" w:rsidRDefault="004214A9" w:rsidP="00CC4BA8">
      <w:pPr>
        <w:spacing w:line="276" w:lineRule="auto"/>
      </w:pPr>
      <w:r w:rsidRPr="00E72418">
        <w:t xml:space="preserve">Cette précision </w:t>
      </w:r>
      <w:r w:rsidR="00E1604B" w:rsidRPr="00E72418">
        <w:t>du cham</w:t>
      </w:r>
      <w:r w:rsidRPr="00E72418">
        <w:t>p de notre recherche se justifie</w:t>
      </w:r>
      <w:r w:rsidR="00E1604B" w:rsidRPr="00E72418">
        <w:t xml:space="preserve"> </w:t>
      </w:r>
      <w:r w:rsidR="008E20C2" w:rsidRPr="00E72418">
        <w:t>à</w:t>
      </w:r>
      <w:r w:rsidRPr="00E72418">
        <w:t xml:space="preserve"> deux égards</w:t>
      </w:r>
      <w:r w:rsidR="00E1604B" w:rsidRPr="00E72418">
        <w:t>.</w:t>
      </w:r>
      <w:r w:rsidRPr="00E72418">
        <w:t xml:space="preserve"> </w:t>
      </w:r>
      <w:r w:rsidR="00E1604B" w:rsidRPr="00E72418">
        <w:t xml:space="preserve">Premièrement, l’exploitation des sources internationales et régionales se justifie par la situation spatiale du phénomène étudié. Ainsi, les fonds étudiés ont ceci de particulier que leur action n’est contrainte par aucune frontière. Le phénomène a par conséquent retenu l’attention d’autorités internationales et régionales </w:t>
      </w:r>
      <w:r w:rsidR="00527261" w:rsidRPr="00E72418">
        <w:t>d’</w:t>
      </w:r>
      <w:r w:rsidR="00E1604B" w:rsidRPr="00E72418">
        <w:t xml:space="preserve">autant </w:t>
      </w:r>
      <w:r w:rsidR="00527261" w:rsidRPr="00E72418">
        <w:t xml:space="preserve">plus </w:t>
      </w:r>
      <w:r w:rsidR="00E1604B" w:rsidRPr="00E72418">
        <w:t xml:space="preserve">que des juridictions supranationales, comme par exemple la Cour européenne des droits de l’homme, ont été saisies de </w:t>
      </w:r>
      <w:r w:rsidRPr="00E72418">
        <w:t xml:space="preserve">demandes émanant de ces fonds. </w:t>
      </w:r>
      <w:r w:rsidR="00E1604B" w:rsidRPr="00E72418">
        <w:t>Deuxièm</w:t>
      </w:r>
      <w:r w:rsidR="00CC422B" w:rsidRPr="00E72418">
        <w:t>em</w:t>
      </w:r>
      <w:r w:rsidRPr="00E72418">
        <w:t xml:space="preserve">ent, la focalisation de notre recherche </w:t>
      </w:r>
      <w:r w:rsidR="00E1604B" w:rsidRPr="00E72418">
        <w:t>sur les apports législatifs e</w:t>
      </w:r>
      <w:r w:rsidR="00F65ED0" w:rsidRPr="00E72418">
        <w:t xml:space="preserve">t jurisprudentiels de certains </w:t>
      </w:r>
      <w:r w:rsidR="00F65ED0" w:rsidRPr="00E72418">
        <w:rPr>
          <w:lang w:eastAsia="fr-BE"/>
        </w:rPr>
        <w:t>É</w:t>
      </w:r>
      <w:r w:rsidR="00E1604B" w:rsidRPr="00E72418">
        <w:t xml:space="preserve">tats </w:t>
      </w:r>
      <w:r w:rsidRPr="00E72418">
        <w:t>a deux explications</w:t>
      </w:r>
      <w:r w:rsidR="00E1604B" w:rsidRPr="00E72418">
        <w:t xml:space="preserve">. D’une part, </w:t>
      </w:r>
      <w:r w:rsidRPr="00E72418">
        <w:t>à notre connaissance</w:t>
      </w:r>
      <w:r w:rsidR="007F2750" w:rsidRPr="00E72418">
        <w:rPr>
          <w:rStyle w:val="Appelnotedebasdep"/>
        </w:rPr>
        <w:footnoteReference w:id="38"/>
      </w:r>
      <w:r w:rsidRPr="00E72418">
        <w:t>, seuls la Belgique, la France et le Royaume-Uni</w:t>
      </w:r>
      <w:r w:rsidR="00E1604B" w:rsidRPr="00E72418">
        <w:t xml:space="preserve"> ont adopté des législations visant spécifiquement à circonscrire l’action des fonds dits </w:t>
      </w:r>
      <w:r w:rsidRPr="00E72418">
        <w:t>« </w:t>
      </w:r>
      <w:r w:rsidR="00E1604B" w:rsidRPr="00E72418">
        <w:t>vautours</w:t>
      </w:r>
      <w:r w:rsidRPr="00E72418">
        <w:t> » alors qu’u</w:t>
      </w:r>
      <w:r w:rsidR="00E1604B" w:rsidRPr="00E72418">
        <w:t>ne tentative d’appréhension législative du phénomène a été faite</w:t>
      </w:r>
      <w:r w:rsidR="00F65ED0" w:rsidRPr="00E72418">
        <w:t xml:space="preserve"> aux </w:t>
      </w:r>
      <w:r w:rsidR="00F65ED0" w:rsidRPr="00E72418">
        <w:rPr>
          <w:lang w:eastAsia="fr-BE"/>
        </w:rPr>
        <w:t>É</w:t>
      </w:r>
      <w:r w:rsidR="00E1604B" w:rsidRPr="00E72418">
        <w:t xml:space="preserve">tats-Unis avec plusieurs propositions déposées. D’autre part, </w:t>
      </w:r>
      <w:r w:rsidRPr="00E72418">
        <w:t>l’on constate</w:t>
      </w:r>
      <w:r w:rsidR="00496B0A" w:rsidRPr="00E72418">
        <w:t>, généralement dans un souci de protection des créanciers,</w:t>
      </w:r>
      <w:r w:rsidR="00E1604B" w:rsidRPr="00E72418">
        <w:t xml:space="preserve"> </w:t>
      </w:r>
      <w:r w:rsidR="00496B0A" w:rsidRPr="00E72418">
        <w:t xml:space="preserve">que </w:t>
      </w:r>
      <w:r w:rsidR="00E1604B" w:rsidRPr="00E72418">
        <w:t>les clauses de juridiction identifiant les juridictions étatsuniennes ou britanniques comme compétentes en cas de conflit</w:t>
      </w:r>
      <w:r w:rsidRPr="00E72418">
        <w:t>s</w:t>
      </w:r>
      <w:r w:rsidR="00496B0A" w:rsidRPr="00E72418">
        <w:t xml:space="preserve"> sont légion dans les contrats de dettes souveraines</w:t>
      </w:r>
      <w:r w:rsidR="00E1604B" w:rsidRPr="00E72418">
        <w:t xml:space="preserve">. Par ailleurs, dans nombre de cas, ces mêmes contrats comportent des clauses désignant les droits new-yorkais ou </w:t>
      </w:r>
      <w:r w:rsidR="008E20C2" w:rsidRPr="00E72418">
        <w:t>britannique</w:t>
      </w:r>
      <w:r w:rsidRPr="00E72418">
        <w:t xml:space="preserve"> comme</w:t>
      </w:r>
      <w:r w:rsidR="00E1604B" w:rsidRPr="00E72418">
        <w:t xml:space="preserve"> y applicables.</w:t>
      </w:r>
    </w:p>
    <w:p w14:paraId="1FCE0A0D" w14:textId="654EA6FF" w:rsidR="00F13B0A" w:rsidRPr="00E72418" w:rsidRDefault="00F13B0A" w:rsidP="00CC4BA8">
      <w:pPr>
        <w:spacing w:line="276" w:lineRule="auto"/>
      </w:pPr>
    </w:p>
    <w:p w14:paraId="634EF65D" w14:textId="7D6121C3" w:rsidR="00F13B0A" w:rsidRPr="00E72418" w:rsidRDefault="00F13B0A" w:rsidP="00F13B0A">
      <w:pPr>
        <w:spacing w:line="276" w:lineRule="auto"/>
        <w:rPr>
          <w:rFonts w:ascii="Times New Roman" w:hAnsi="Times New Roman" w:cs="Times New Roman"/>
          <w:szCs w:val="24"/>
        </w:rPr>
      </w:pPr>
      <w:r w:rsidRPr="00E72418">
        <w:rPr>
          <w:rFonts w:ascii="Times New Roman" w:hAnsi="Times New Roman" w:cs="Times New Roman"/>
          <w:b/>
          <w:szCs w:val="24"/>
        </w:rPr>
        <w:t xml:space="preserve">9. Le plan de la recherche – </w:t>
      </w:r>
      <w:r w:rsidRPr="00E72418">
        <w:rPr>
          <w:rFonts w:ascii="Times New Roman" w:hAnsi="Times New Roman" w:cs="Times New Roman"/>
          <w:szCs w:val="24"/>
        </w:rPr>
        <w:t xml:space="preserve">Notre </w:t>
      </w:r>
      <w:r w:rsidR="00124DD0">
        <w:rPr>
          <w:rFonts w:ascii="Times New Roman" w:hAnsi="Times New Roman" w:cs="Times New Roman"/>
          <w:szCs w:val="24"/>
        </w:rPr>
        <w:t>étude</w:t>
      </w:r>
      <w:r w:rsidRPr="00E72418">
        <w:rPr>
          <w:rFonts w:ascii="Times New Roman" w:hAnsi="Times New Roman" w:cs="Times New Roman"/>
          <w:szCs w:val="24"/>
        </w:rPr>
        <w:t xml:space="preserve"> se divise en deux parties. La première est consacrée à la description du phénomène des fonds dits « vautours » tandis que la seconde traite des tentatives indirectes et directes d’appréhension de celui-ci.</w:t>
      </w:r>
    </w:p>
    <w:p w14:paraId="674E4119" w14:textId="649ED6BB" w:rsidR="00F13B0A" w:rsidRPr="00E72418" w:rsidRDefault="00F13B0A" w:rsidP="00F13B0A">
      <w:pPr>
        <w:spacing w:line="276" w:lineRule="auto"/>
        <w:rPr>
          <w:rFonts w:ascii="Times New Roman" w:hAnsi="Times New Roman" w:cs="Times New Roman"/>
          <w:szCs w:val="24"/>
        </w:rPr>
      </w:pPr>
      <w:r w:rsidRPr="00E72418">
        <w:rPr>
          <w:rFonts w:ascii="Times New Roman" w:hAnsi="Times New Roman" w:cs="Times New Roman"/>
          <w:szCs w:val="24"/>
        </w:rPr>
        <w:t>Après avoir précisé les notions dont la caractérisation est nécessaire à la bonne compréhension du phénomène étudié (</w:t>
      </w:r>
      <w:r w:rsidRPr="00E72418">
        <w:rPr>
          <w:rFonts w:ascii="Times New Roman" w:hAnsi="Times New Roman" w:cs="Times New Roman"/>
          <w:b/>
          <w:szCs w:val="24"/>
        </w:rPr>
        <w:t>prolégomènes</w:t>
      </w:r>
      <w:r w:rsidRPr="00E72418">
        <w:rPr>
          <w:rFonts w:ascii="Times New Roman" w:hAnsi="Times New Roman" w:cs="Times New Roman"/>
          <w:szCs w:val="24"/>
        </w:rPr>
        <w:t>), la première partie de notre recherche analyse le contexte d’émergence des activités des fonds spéculant sur les dettes souveraines et les préc</w:t>
      </w:r>
      <w:r w:rsidR="004A19D4" w:rsidRPr="00E72418">
        <w:rPr>
          <w:rFonts w:ascii="Times New Roman" w:hAnsi="Times New Roman" w:cs="Times New Roman"/>
          <w:szCs w:val="24"/>
        </w:rPr>
        <w:t xml:space="preserve">ise juridiquement. L’analyse de quelques </w:t>
      </w:r>
      <w:r w:rsidRPr="00E72418">
        <w:rPr>
          <w:rFonts w:ascii="Times New Roman" w:hAnsi="Times New Roman" w:cs="Times New Roman"/>
          <w:szCs w:val="24"/>
        </w:rPr>
        <w:t>contentieux emblématiques menés par ces fonds permet de dégager les caractéristiques de leur modèle économique ainsi que d’en étudier les critiques souvent formulées (</w:t>
      </w:r>
      <w:r w:rsidRPr="00E72418">
        <w:rPr>
          <w:rFonts w:ascii="Times New Roman" w:hAnsi="Times New Roman" w:cs="Times New Roman"/>
          <w:b/>
          <w:szCs w:val="24"/>
        </w:rPr>
        <w:t>partie I – sous-partie 1</w:t>
      </w:r>
      <w:r w:rsidRPr="00E72418">
        <w:rPr>
          <w:rFonts w:ascii="Times New Roman" w:hAnsi="Times New Roman" w:cs="Times New Roman"/>
          <w:szCs w:val="24"/>
        </w:rPr>
        <w:t xml:space="preserve">). Le constat du problème passe ensuite par un </w:t>
      </w:r>
      <w:r w:rsidRPr="00E72418">
        <w:rPr>
          <w:rFonts w:ascii="Times New Roman" w:hAnsi="Times New Roman" w:cs="Times New Roman"/>
          <w:szCs w:val="24"/>
        </w:rPr>
        <w:lastRenderedPageBreak/>
        <w:t xml:space="preserve">examen des principes juridiques mobilisés tant par les fonds créanciers à l’appui de leur attaque que par les </w:t>
      </w:r>
      <w:r w:rsidRPr="00E72418">
        <w:rPr>
          <w:rFonts w:ascii="Times New Roman" w:hAnsi="Times New Roman" w:cs="Times New Roman"/>
          <w:lang w:eastAsia="fr-BE"/>
        </w:rPr>
        <w:t>É</w:t>
      </w:r>
      <w:r w:rsidRPr="00E72418">
        <w:rPr>
          <w:rFonts w:ascii="Times New Roman" w:hAnsi="Times New Roman" w:cs="Times New Roman"/>
          <w:szCs w:val="24"/>
        </w:rPr>
        <w:t>tats débiteurs à celui de leur défense (</w:t>
      </w:r>
      <w:r w:rsidRPr="00E72418">
        <w:rPr>
          <w:rFonts w:ascii="Times New Roman" w:hAnsi="Times New Roman" w:cs="Times New Roman"/>
          <w:b/>
          <w:szCs w:val="24"/>
        </w:rPr>
        <w:t>partie I – sous-partie 2</w:t>
      </w:r>
      <w:r w:rsidRPr="00E72418">
        <w:rPr>
          <w:rFonts w:ascii="Times New Roman" w:hAnsi="Times New Roman" w:cs="Times New Roman"/>
          <w:szCs w:val="24"/>
        </w:rPr>
        <w:t>).</w:t>
      </w:r>
    </w:p>
    <w:p w14:paraId="5D875E37" w14:textId="6F54548E" w:rsidR="002268ED" w:rsidRPr="00E72418" w:rsidRDefault="00F13B0A"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La seconde partie de notre </w:t>
      </w:r>
      <w:r w:rsidR="00124DD0">
        <w:rPr>
          <w:rFonts w:ascii="Times New Roman" w:hAnsi="Times New Roman" w:cs="Times New Roman"/>
          <w:szCs w:val="24"/>
        </w:rPr>
        <w:t>étude</w:t>
      </w:r>
      <w:r w:rsidRPr="00E72418">
        <w:rPr>
          <w:rFonts w:ascii="Times New Roman" w:hAnsi="Times New Roman" w:cs="Times New Roman"/>
          <w:szCs w:val="24"/>
        </w:rPr>
        <w:t xml:space="preserve"> se veut prospective. </w:t>
      </w:r>
      <w:r w:rsidR="004A19D4" w:rsidRPr="00E72418">
        <w:rPr>
          <w:rFonts w:ascii="Times New Roman" w:hAnsi="Times New Roman" w:cs="Times New Roman"/>
          <w:szCs w:val="24"/>
        </w:rPr>
        <w:t>Afin</w:t>
      </w:r>
      <w:r w:rsidRPr="00E72418">
        <w:rPr>
          <w:rFonts w:ascii="Times New Roman" w:hAnsi="Times New Roman" w:cs="Times New Roman"/>
          <w:szCs w:val="24"/>
        </w:rPr>
        <w:t xml:space="preserve"> de pouvoir offrir une proposition nouvelle qui soit réfléchie, il importe de faire l’état des lieux des solutions existantes</w:t>
      </w:r>
      <w:r w:rsidR="00124DD0">
        <w:rPr>
          <w:rFonts w:ascii="Times New Roman" w:hAnsi="Times New Roman" w:cs="Times New Roman"/>
          <w:szCs w:val="24"/>
        </w:rPr>
        <w:t xml:space="preserve"> permettant de réglementer la spéculation sur les dettes souveraines</w:t>
      </w:r>
      <w:r w:rsidRPr="00E72418">
        <w:rPr>
          <w:rFonts w:ascii="Times New Roman" w:hAnsi="Times New Roman" w:cs="Times New Roman"/>
          <w:szCs w:val="24"/>
        </w:rPr>
        <w:t xml:space="preserve"> (</w:t>
      </w:r>
      <w:r w:rsidRPr="00E72418">
        <w:rPr>
          <w:rFonts w:ascii="Times New Roman" w:hAnsi="Times New Roman" w:cs="Times New Roman"/>
          <w:b/>
          <w:szCs w:val="24"/>
        </w:rPr>
        <w:t>partie II – sous-partie 1</w:t>
      </w:r>
      <w:r w:rsidRPr="00E72418">
        <w:rPr>
          <w:rFonts w:ascii="Times New Roman" w:hAnsi="Times New Roman" w:cs="Times New Roman"/>
          <w:szCs w:val="24"/>
        </w:rPr>
        <w:t>). Nous analyserons ainsi deux solutions indirectes, car non spécifiques, aux problèmes posés par les fonds spéculant sur les dettes souveraines. Ensuite, nous nous concentrerons sur l’examen des solutions directes avancées dans quatre pays qui cherchaient</w:t>
      </w:r>
      <w:r w:rsidR="004A19D4" w:rsidRPr="00E72418">
        <w:rPr>
          <w:rFonts w:ascii="Times New Roman" w:hAnsi="Times New Roman" w:cs="Times New Roman"/>
          <w:szCs w:val="24"/>
        </w:rPr>
        <w:t>,</w:t>
      </w:r>
      <w:r w:rsidRPr="00E72418">
        <w:rPr>
          <w:rFonts w:ascii="Times New Roman" w:hAnsi="Times New Roman" w:cs="Times New Roman"/>
          <w:szCs w:val="24"/>
        </w:rPr>
        <w:t xml:space="preserve"> </w:t>
      </w:r>
      <w:r w:rsidR="004A19D4" w:rsidRPr="00E72418">
        <w:rPr>
          <w:rFonts w:ascii="Times New Roman" w:hAnsi="Times New Roman" w:cs="Times New Roman"/>
          <w:szCs w:val="24"/>
        </w:rPr>
        <w:t>ce faisant,</w:t>
      </w:r>
      <w:r w:rsidRPr="00E72418">
        <w:rPr>
          <w:rFonts w:ascii="Times New Roman" w:hAnsi="Times New Roman" w:cs="Times New Roman"/>
          <w:szCs w:val="24"/>
        </w:rPr>
        <w:t xml:space="preserve"> à se saisir spécifiquement du phénomène. L’analyse et le commentaire des propositions étatsuniennes et des réalisations britannique, </w:t>
      </w:r>
      <w:r w:rsidR="005F2DA2" w:rsidRPr="00E72418">
        <w:rPr>
          <w:rFonts w:ascii="Times New Roman" w:hAnsi="Times New Roman" w:cs="Times New Roman"/>
          <w:szCs w:val="24"/>
        </w:rPr>
        <w:t>belge et française nous permett</w:t>
      </w:r>
      <w:r w:rsidRPr="00E72418">
        <w:rPr>
          <w:rFonts w:ascii="Times New Roman" w:hAnsi="Times New Roman" w:cs="Times New Roman"/>
          <w:szCs w:val="24"/>
        </w:rPr>
        <w:t>ront d’en identifier les forces et les faiblesses, laquelle identification nous servira finalement à préciser les caractéristiques essentielles d’une solution directe au phénomène qui soit pertinente</w:t>
      </w:r>
      <w:r w:rsidR="005F2DA2" w:rsidRPr="00E72418">
        <w:rPr>
          <w:rFonts w:ascii="Times New Roman" w:hAnsi="Times New Roman" w:cs="Times New Roman"/>
          <w:szCs w:val="24"/>
        </w:rPr>
        <w:t xml:space="preserve"> et équilibrée</w:t>
      </w:r>
      <w:r w:rsidRPr="00E72418">
        <w:rPr>
          <w:rFonts w:ascii="Times New Roman" w:hAnsi="Times New Roman" w:cs="Times New Roman"/>
          <w:szCs w:val="24"/>
        </w:rPr>
        <w:t xml:space="preserve"> (</w:t>
      </w:r>
      <w:r w:rsidRPr="00E72418">
        <w:rPr>
          <w:rFonts w:ascii="Times New Roman" w:hAnsi="Times New Roman" w:cs="Times New Roman"/>
          <w:b/>
          <w:szCs w:val="24"/>
        </w:rPr>
        <w:t>partie II – sous-partie 2</w:t>
      </w:r>
      <w:r w:rsidRPr="00E72418">
        <w:rPr>
          <w:rFonts w:ascii="Times New Roman" w:hAnsi="Times New Roman" w:cs="Times New Roman"/>
          <w:szCs w:val="24"/>
        </w:rPr>
        <w:t>). L’on verra que</w:t>
      </w:r>
      <w:r w:rsidR="005F2DA2" w:rsidRPr="00E72418">
        <w:rPr>
          <w:rFonts w:ascii="Times New Roman" w:hAnsi="Times New Roman" w:cs="Times New Roman"/>
          <w:szCs w:val="24"/>
        </w:rPr>
        <w:t>,</w:t>
      </w:r>
      <w:r w:rsidRPr="00E72418">
        <w:rPr>
          <w:rFonts w:ascii="Times New Roman" w:hAnsi="Times New Roman" w:cs="Times New Roman"/>
          <w:szCs w:val="24"/>
        </w:rPr>
        <w:t xml:space="preserve"> même si les fonds étudiés </w:t>
      </w:r>
      <w:r w:rsidR="005B45A4" w:rsidRPr="00E72418">
        <w:rPr>
          <w:rFonts w:ascii="Times New Roman" w:hAnsi="Times New Roman" w:cs="Times New Roman"/>
          <w:szCs w:val="24"/>
        </w:rPr>
        <w:t>peuvent être</w:t>
      </w:r>
      <w:r w:rsidRPr="00E72418">
        <w:rPr>
          <w:rFonts w:ascii="Times New Roman" w:hAnsi="Times New Roman" w:cs="Times New Roman"/>
          <w:szCs w:val="24"/>
        </w:rPr>
        <w:t xml:space="preserve"> décriés, leur présence et leurs activités sur le marché des dettes souveraines sont à certains égards utiles et nécessaires au bon fonctionnement de ce dernier.</w:t>
      </w:r>
    </w:p>
    <w:p w14:paraId="6B7A6171" w14:textId="77777777" w:rsidR="002268ED" w:rsidRPr="00E72418" w:rsidRDefault="002268ED" w:rsidP="00CC4BA8">
      <w:pPr>
        <w:spacing w:line="276" w:lineRule="auto"/>
        <w:rPr>
          <w:rFonts w:ascii="Times New Roman" w:hAnsi="Times New Roman" w:cs="Times New Roman"/>
          <w:szCs w:val="24"/>
        </w:rPr>
      </w:pPr>
    </w:p>
    <w:p w14:paraId="6404C148" w14:textId="77777777" w:rsidR="0037228F" w:rsidRPr="00E72418" w:rsidRDefault="0037228F" w:rsidP="00CC4BA8">
      <w:pPr>
        <w:pStyle w:val="AA"/>
        <w:spacing w:line="276" w:lineRule="auto"/>
      </w:pPr>
      <w:bookmarkStart w:id="6" w:name="_Toc75106050"/>
      <w:bookmarkStart w:id="7" w:name="_Toc84540857"/>
      <w:r w:rsidRPr="00E72418">
        <w:br w:type="page"/>
      </w:r>
    </w:p>
    <w:p w14:paraId="16452238" w14:textId="77777777" w:rsidR="00967A58" w:rsidRPr="00E72418" w:rsidRDefault="00967A58">
      <w:pPr>
        <w:jc w:val="left"/>
        <w:rPr>
          <w:rFonts w:ascii="Times New Roman" w:eastAsiaTheme="majorEastAsia" w:hAnsi="Times New Roman" w:cstheme="majorBidi"/>
          <w:b/>
          <w:sz w:val="40"/>
          <w:szCs w:val="26"/>
          <w:u w:val="single"/>
        </w:rPr>
      </w:pPr>
      <w:r w:rsidRPr="00E72418">
        <w:lastRenderedPageBreak/>
        <w:br w:type="page"/>
      </w:r>
    </w:p>
    <w:p w14:paraId="48AABE2A" w14:textId="07099927" w:rsidR="009620D3" w:rsidRPr="00E72418" w:rsidRDefault="009620D3" w:rsidP="00CC4BA8">
      <w:pPr>
        <w:pStyle w:val="AA"/>
        <w:spacing w:line="276" w:lineRule="auto"/>
      </w:pPr>
      <w:r w:rsidRPr="00E72418">
        <w:lastRenderedPageBreak/>
        <w:t>Prolégomènes</w:t>
      </w:r>
      <w:bookmarkEnd w:id="6"/>
      <w:bookmarkEnd w:id="7"/>
    </w:p>
    <w:p w14:paraId="7C100610" w14:textId="77777777" w:rsidR="007C57EF" w:rsidRPr="00E72418" w:rsidRDefault="007C57EF" w:rsidP="00423B60"/>
    <w:p w14:paraId="140DDC1F" w14:textId="5B32E28D" w:rsidR="005F0C17" w:rsidRPr="00E72418" w:rsidRDefault="007F038F" w:rsidP="00CC4BA8">
      <w:pPr>
        <w:spacing w:line="276" w:lineRule="auto"/>
      </w:pPr>
      <w:r w:rsidRPr="00E72418">
        <w:rPr>
          <w:b/>
        </w:rPr>
        <w:t>10</w:t>
      </w:r>
      <w:r w:rsidR="007E31CD" w:rsidRPr="00E72418">
        <w:rPr>
          <w:b/>
        </w:rPr>
        <w:t xml:space="preserve">. </w:t>
      </w:r>
      <w:r w:rsidR="007C57EF" w:rsidRPr="00E72418">
        <w:rPr>
          <w:b/>
        </w:rPr>
        <w:t>Quatre notions-clés –</w:t>
      </w:r>
      <w:r w:rsidR="003C32DE" w:rsidRPr="00E72418">
        <w:rPr>
          <w:b/>
        </w:rPr>
        <w:t xml:space="preserve"> </w:t>
      </w:r>
      <w:r w:rsidR="003C32DE" w:rsidRPr="00E72418">
        <w:t>A</w:t>
      </w:r>
      <w:r w:rsidR="007C57EF" w:rsidRPr="00E72418">
        <w:t>fin de comprendre les enjeux des différents contentieux caractéristiques de la problématique étudiée</w:t>
      </w:r>
      <w:r w:rsidR="003C32DE" w:rsidRPr="00E72418">
        <w:t>, quatre notions doivent être explicitées et comprises</w:t>
      </w:r>
      <w:r w:rsidR="007C57EF" w:rsidRPr="00E72418">
        <w:t xml:space="preserve">. Dès lors que la présente recherche </w:t>
      </w:r>
      <w:r w:rsidR="003C32DE" w:rsidRPr="00E72418">
        <w:t>traite de l</w:t>
      </w:r>
      <w:r w:rsidR="007C57EF" w:rsidRPr="00E72418">
        <w:t xml:space="preserve">a spéculation de certains acteurs sur </w:t>
      </w:r>
      <w:r w:rsidR="004A19D4" w:rsidRPr="00E72418">
        <w:t>des</w:t>
      </w:r>
      <w:r w:rsidR="007C57EF" w:rsidRPr="00E72418">
        <w:t xml:space="preserve"> dettes d’</w:t>
      </w:r>
      <w:r w:rsidR="007C57EF" w:rsidRPr="00E72418">
        <w:rPr>
          <w:lang w:eastAsia="fr-BE"/>
        </w:rPr>
        <w:t>É</w:t>
      </w:r>
      <w:r w:rsidR="007C57EF" w:rsidRPr="00E72418">
        <w:t>tat</w:t>
      </w:r>
      <w:r w:rsidR="003C32DE" w:rsidRPr="00E72418">
        <w:t>s</w:t>
      </w:r>
      <w:r w:rsidR="007C57EF" w:rsidRPr="00E72418">
        <w:t xml:space="preserve"> en difficulté, il importe avant toute chose de préciser les notions de dette </w:t>
      </w:r>
      <w:r w:rsidR="003C32DE" w:rsidRPr="00E72418">
        <w:t>étatique</w:t>
      </w:r>
      <w:r w:rsidR="00EE0984" w:rsidRPr="00E72418">
        <w:t xml:space="preserve"> (</w:t>
      </w:r>
      <w:r w:rsidR="00EE0984" w:rsidRPr="00E72418">
        <w:rPr>
          <w:b/>
        </w:rPr>
        <w:t>première notion</w:t>
      </w:r>
      <w:r w:rsidR="00EE0984" w:rsidRPr="00E72418">
        <w:t>)</w:t>
      </w:r>
      <w:r w:rsidR="003C32DE" w:rsidRPr="00E72418">
        <w:t>,</w:t>
      </w:r>
      <w:r w:rsidR="007C57EF" w:rsidRPr="00E72418">
        <w:t xml:space="preserve"> de défaut</w:t>
      </w:r>
      <w:r w:rsidR="00EE0984" w:rsidRPr="00E72418">
        <w:t xml:space="preserve"> (</w:t>
      </w:r>
      <w:r w:rsidR="00EE0984" w:rsidRPr="00E72418">
        <w:rPr>
          <w:b/>
        </w:rPr>
        <w:t>deuxième notion</w:t>
      </w:r>
      <w:r w:rsidR="00EE0984" w:rsidRPr="00E72418">
        <w:t>)</w:t>
      </w:r>
      <w:r w:rsidR="007C57EF" w:rsidRPr="00E72418">
        <w:t>, de restructuration</w:t>
      </w:r>
      <w:r w:rsidR="00EE0984" w:rsidRPr="00E72418">
        <w:t xml:space="preserve"> (</w:t>
      </w:r>
      <w:r w:rsidR="00EE0984" w:rsidRPr="00E72418">
        <w:rPr>
          <w:b/>
        </w:rPr>
        <w:t>troisième notion</w:t>
      </w:r>
      <w:r w:rsidR="00EE0984" w:rsidRPr="00E72418">
        <w:t>)</w:t>
      </w:r>
      <w:r w:rsidR="007C57EF" w:rsidRPr="00E72418">
        <w:t xml:space="preserve"> et</w:t>
      </w:r>
      <w:r w:rsidR="003C32DE" w:rsidRPr="00E72418">
        <w:t xml:space="preserve"> de créanciers récalcitrants</w:t>
      </w:r>
      <w:r w:rsidR="00EE0984" w:rsidRPr="00E72418">
        <w:t xml:space="preserve"> (</w:t>
      </w:r>
      <w:r w:rsidR="00EE0984" w:rsidRPr="00E72418">
        <w:rPr>
          <w:b/>
        </w:rPr>
        <w:t>quatrième notion</w:t>
      </w:r>
      <w:r w:rsidR="00EE0984" w:rsidRPr="00E72418">
        <w:t>)</w:t>
      </w:r>
      <w:r w:rsidR="003C32DE" w:rsidRPr="00E72418">
        <w:t xml:space="preserve">. </w:t>
      </w:r>
      <w:r w:rsidR="005F0C17" w:rsidRPr="00E72418">
        <w:t xml:space="preserve">Nous ne définirons pas </w:t>
      </w:r>
      <w:r w:rsidR="004A19D4" w:rsidRPr="00E72418">
        <w:t>à ce stade</w:t>
      </w:r>
      <w:r w:rsidR="005F0C17" w:rsidRPr="00E72418">
        <w:t xml:space="preserve"> la notion cardinale de « fonds vautours » dès lors que, nous le verrons, </w:t>
      </w:r>
      <w:r w:rsidR="004A19D4" w:rsidRPr="00E72418">
        <w:t>sa définition</w:t>
      </w:r>
      <w:r w:rsidR="005F0C17" w:rsidRPr="00E72418">
        <w:t xml:space="preserve"> nécessite que le phénomène soit </w:t>
      </w:r>
      <w:r w:rsidR="004A19D4" w:rsidRPr="00E72418">
        <w:t xml:space="preserve">préalablement </w:t>
      </w:r>
      <w:r w:rsidR="005F0C17" w:rsidRPr="00E72418">
        <w:t>décrit</w:t>
      </w:r>
      <w:r w:rsidR="005F0C17" w:rsidRPr="00E72418">
        <w:rPr>
          <w:rStyle w:val="Appelnotedebasdep"/>
        </w:rPr>
        <w:footnoteReference w:id="39"/>
      </w:r>
      <w:r w:rsidR="005F0C17" w:rsidRPr="00E72418">
        <w:t>.</w:t>
      </w:r>
    </w:p>
    <w:p w14:paraId="631E9047" w14:textId="7F191C8C" w:rsidR="00AF32D5" w:rsidRPr="00E72418" w:rsidRDefault="005F0C17" w:rsidP="00CC4BA8">
      <w:pPr>
        <w:spacing w:line="276" w:lineRule="auto"/>
      </w:pPr>
      <w:r w:rsidRPr="00E72418">
        <w:t>La bonne compréhension des quatre notions abordées dans ces prolégomènes est utile à l’entame de notre recherche. En effet, l</w:t>
      </w:r>
      <w:r w:rsidR="003C32DE" w:rsidRPr="00E72418">
        <w:t>a</w:t>
      </w:r>
      <w:r w:rsidR="007C57EF" w:rsidRPr="00E72418">
        <w:t xml:space="preserve"> situation caractéristique </w:t>
      </w:r>
      <w:r w:rsidR="003C32DE" w:rsidRPr="00E72418">
        <w:t>qui nous occupe est</w:t>
      </w:r>
      <w:r w:rsidRPr="00E72418">
        <w:t xml:space="preserve"> </w:t>
      </w:r>
      <w:r w:rsidR="007C57EF" w:rsidRPr="00E72418">
        <w:t xml:space="preserve">celle d’un spéculateur ayant fait acquisition sur le marché secondaire d’une dette d’un </w:t>
      </w:r>
      <w:r w:rsidR="007C57EF" w:rsidRPr="00E72418">
        <w:rPr>
          <w:lang w:eastAsia="fr-BE"/>
        </w:rPr>
        <w:t>É</w:t>
      </w:r>
      <w:r w:rsidR="007C57EF" w:rsidRPr="00E72418">
        <w:t xml:space="preserve">tat en situation de défaut sur </w:t>
      </w:r>
      <w:r w:rsidR="004A19D4" w:rsidRPr="00E72418">
        <w:t xml:space="preserve">celle-ci </w:t>
      </w:r>
      <w:r w:rsidR="007C57EF" w:rsidRPr="00E72418">
        <w:t>dont une restructuration est envisagée, restructuration à laquelle le spéculateur sera récalcitrant à participer.</w:t>
      </w:r>
      <w:r w:rsidR="00651E6B" w:rsidRPr="00E72418">
        <w:t xml:space="preserve"> </w:t>
      </w:r>
    </w:p>
    <w:p w14:paraId="0D6CB882" w14:textId="4C8F7CC2" w:rsidR="007C57EF" w:rsidRPr="00E72418" w:rsidRDefault="00B76BEC" w:rsidP="00CC4BA8">
      <w:pPr>
        <w:spacing w:line="276" w:lineRule="auto"/>
      </w:pPr>
      <w:r w:rsidRPr="00E72418">
        <w:t xml:space="preserve">Un </w:t>
      </w:r>
      <w:r w:rsidR="005F0C17" w:rsidRPr="00E72418">
        <w:t xml:space="preserve">exemple simplifié de notre situation d’étude </w:t>
      </w:r>
      <w:r w:rsidR="00B72B62" w:rsidRPr="00E72418">
        <w:t xml:space="preserve">pourrait être le suivant. </w:t>
      </w:r>
      <w:r w:rsidR="009C2409" w:rsidRPr="00E72418">
        <w:t>La Ruritanie</w:t>
      </w:r>
      <w:r w:rsidR="005F0C17" w:rsidRPr="00E72418">
        <w:t xml:space="preserve">, afin de financer une </w:t>
      </w:r>
      <w:r w:rsidR="00AF32D5" w:rsidRPr="00E72418">
        <w:t xml:space="preserve">de ses </w:t>
      </w:r>
      <w:r w:rsidR="005F0C17" w:rsidRPr="00E72418">
        <w:t>politique</w:t>
      </w:r>
      <w:r w:rsidR="00AF32D5" w:rsidRPr="00E72418">
        <w:t>s</w:t>
      </w:r>
      <w:r w:rsidR="005F0C17" w:rsidRPr="00E72418">
        <w:t>, émet des obligations sur les marchés financiers. Un investisseur</w:t>
      </w:r>
      <w:r w:rsidR="009C2409" w:rsidRPr="00E72418">
        <w:t xml:space="preserve"> A</w:t>
      </w:r>
      <w:r w:rsidR="005F0C17" w:rsidRPr="00E72418">
        <w:t>. décide de faire l’acquisition d’une de ces obligations do</w:t>
      </w:r>
      <w:r w:rsidR="009C2409" w:rsidRPr="00E72418">
        <w:t>nt la valeur nominale est de cent</w:t>
      </w:r>
      <w:r w:rsidR="004A19D4" w:rsidRPr="00E72418">
        <w:t>. À</w:t>
      </w:r>
      <w:r w:rsidR="005F0C17" w:rsidRPr="00E72418">
        <w:t xml:space="preserve"> une échéance fixée, il est prévu </w:t>
      </w:r>
      <w:r w:rsidR="00B72B62" w:rsidRPr="00E72418">
        <w:t xml:space="preserve">que </w:t>
      </w:r>
      <w:r w:rsidR="009C2409" w:rsidRPr="00E72418">
        <w:t>la Ruritanie</w:t>
      </w:r>
      <w:r w:rsidR="005F0C17" w:rsidRPr="00E72418">
        <w:t xml:space="preserve"> verse</w:t>
      </w:r>
      <w:r w:rsidR="007D780E" w:rsidRPr="00E72418">
        <w:t>ra</w:t>
      </w:r>
      <w:r w:rsidR="005F0C17" w:rsidRPr="00E72418">
        <w:t xml:space="preserve"> à ce</w:t>
      </w:r>
      <w:r w:rsidR="009C2409" w:rsidRPr="00E72418">
        <w:t>t investisseur un montant de cent dix</w:t>
      </w:r>
      <w:r w:rsidR="00AF32D5" w:rsidRPr="00E72418">
        <w:t>,</w:t>
      </w:r>
      <w:r w:rsidR="005F0C17" w:rsidRPr="00E72418">
        <w:t xml:space="preserve"> lequel correspond au montant de </w:t>
      </w:r>
      <w:r w:rsidR="00B852C0" w:rsidRPr="00E72418">
        <w:t>l’</w:t>
      </w:r>
      <w:r w:rsidR="005F0C17" w:rsidRPr="00E72418">
        <w:t>investissement initial auquel s’additionne un intérêt. Malheureusement</w:t>
      </w:r>
      <w:r w:rsidR="00B72B62" w:rsidRPr="00E72418">
        <w:t>, la situation financière de l’</w:t>
      </w:r>
      <w:r w:rsidR="00B72B62" w:rsidRPr="00E72418">
        <w:rPr>
          <w:rFonts w:ascii="Times New Roman" w:hAnsi="Times New Roman" w:cs="Times New Roman"/>
          <w:lang w:eastAsia="fr-BE"/>
        </w:rPr>
        <w:t>É</w:t>
      </w:r>
      <w:r w:rsidR="005F0C17" w:rsidRPr="00E72418">
        <w:t xml:space="preserve">tat débiteur se dégrade si bien que </w:t>
      </w:r>
      <w:r w:rsidR="009C2409" w:rsidRPr="00E72418">
        <w:t>l’investisseur A</w:t>
      </w:r>
      <w:r w:rsidR="00AF32D5" w:rsidRPr="00E72418">
        <w:t xml:space="preserve">. craint que la créance qu’il détient ne soit pas honorée. </w:t>
      </w:r>
      <w:r w:rsidR="00B852C0" w:rsidRPr="00E72418">
        <w:t>Face à ce</w:t>
      </w:r>
      <w:r w:rsidR="009C2409" w:rsidRPr="00E72418">
        <w:t xml:space="preserve"> risque, ce premier investisseur</w:t>
      </w:r>
      <w:r w:rsidR="00AF32D5" w:rsidRPr="00E72418">
        <w:t xml:space="preserve"> décide de revendre son titre </w:t>
      </w:r>
      <w:r w:rsidR="009C2409" w:rsidRPr="00E72418">
        <w:t>à un investisseur B. pour un montant de trente</w:t>
      </w:r>
      <w:r w:rsidR="00B852C0" w:rsidRPr="00E72418">
        <w:t>, et ce, bien que sa valeur nominale soit de cent.</w:t>
      </w:r>
      <w:r w:rsidR="00AF32D5" w:rsidRPr="00E72418">
        <w:t xml:space="preserve"> </w:t>
      </w:r>
      <w:r w:rsidR="00B852C0" w:rsidRPr="00E72418">
        <w:t>L’acquéreur de la créance sur le marché secondaire entend naturellement en tirer profit. L</w:t>
      </w:r>
      <w:r w:rsidR="009C2409" w:rsidRPr="00E72418">
        <w:t>a Ruritanie</w:t>
      </w:r>
      <w:r w:rsidR="00AF32D5" w:rsidRPr="00E72418">
        <w:t xml:space="preserve"> fait finalement défaut sur sa dette</w:t>
      </w:r>
      <w:r w:rsidR="00B852C0" w:rsidRPr="00E72418">
        <w:t xml:space="preserve"> composée notamment de la créance détenue par l’investisseur</w:t>
      </w:r>
      <w:r w:rsidR="007D780E" w:rsidRPr="00E72418">
        <w:t xml:space="preserve"> B.</w:t>
      </w:r>
      <w:r w:rsidR="00AF32D5" w:rsidRPr="00E72418">
        <w:t xml:space="preserve"> et annonce qu</w:t>
      </w:r>
      <w:r w:rsidR="009C2409" w:rsidRPr="00E72418">
        <w:t>’elle</w:t>
      </w:r>
      <w:r w:rsidR="00AF32D5" w:rsidRPr="00E72418">
        <w:t xml:space="preserve"> ne sera</w:t>
      </w:r>
      <w:r w:rsidR="00B72B62" w:rsidRPr="00E72418">
        <w:t xml:space="preserve"> pas en mesure de l’honorer. </w:t>
      </w:r>
      <w:r w:rsidR="00B852C0" w:rsidRPr="00E72418">
        <w:t>L’</w:t>
      </w:r>
      <w:r w:rsidR="00B852C0" w:rsidRPr="00E72418">
        <w:rPr>
          <w:rFonts w:ascii="Times New Roman" w:hAnsi="Times New Roman" w:cs="Times New Roman"/>
          <w:lang w:eastAsia="fr-BE"/>
        </w:rPr>
        <w:t>É</w:t>
      </w:r>
      <w:r w:rsidR="00B852C0" w:rsidRPr="00E72418">
        <w:t xml:space="preserve">tat débiteur </w:t>
      </w:r>
      <w:r w:rsidR="00AF32D5" w:rsidRPr="00E72418">
        <w:t xml:space="preserve">va </w:t>
      </w:r>
      <w:r w:rsidR="00B852C0" w:rsidRPr="00E72418">
        <w:t xml:space="preserve">solliciter </w:t>
      </w:r>
      <w:r w:rsidR="00AF32D5" w:rsidRPr="00E72418">
        <w:t xml:space="preserve">de ses créanciers, </w:t>
      </w:r>
      <w:r w:rsidR="009C2409" w:rsidRPr="00E72418">
        <w:t>dont fait parti</w:t>
      </w:r>
      <w:r w:rsidR="00B852C0" w:rsidRPr="00E72418">
        <w:t>e</w:t>
      </w:r>
      <w:r w:rsidR="009C2409" w:rsidRPr="00E72418">
        <w:t xml:space="preserve"> </w:t>
      </w:r>
      <w:r w:rsidR="00AF32D5" w:rsidRPr="00E72418">
        <w:t>l</w:t>
      </w:r>
      <w:r w:rsidR="009C2409" w:rsidRPr="00E72418">
        <w:t>’investisseur B</w:t>
      </w:r>
      <w:r w:rsidR="00AF32D5" w:rsidRPr="00E72418">
        <w:t xml:space="preserve">., qu’ils </w:t>
      </w:r>
      <w:r w:rsidR="00B852C0" w:rsidRPr="00E72418">
        <w:t xml:space="preserve">en </w:t>
      </w:r>
      <w:r w:rsidR="00AF32D5" w:rsidRPr="00E72418">
        <w:t>acceptent la restructuration</w:t>
      </w:r>
      <w:r w:rsidR="00B852C0" w:rsidRPr="00E72418">
        <w:t>. Cette dernière consiste</w:t>
      </w:r>
      <w:r w:rsidR="00AF32D5" w:rsidRPr="00E72418">
        <w:t xml:space="preserve"> en une rédu</w:t>
      </w:r>
      <w:r w:rsidR="00B72B62" w:rsidRPr="00E72418">
        <w:t xml:space="preserve">ction du montant nominal dû. </w:t>
      </w:r>
      <w:r w:rsidR="009C2409" w:rsidRPr="00E72418">
        <w:t>La Ruritanie</w:t>
      </w:r>
      <w:r w:rsidR="00B852C0" w:rsidRPr="00E72418">
        <w:t xml:space="preserve"> sollicite</w:t>
      </w:r>
      <w:r w:rsidR="00AF32D5" w:rsidRPr="00E72418">
        <w:t xml:space="preserve"> ainsi que les titres </w:t>
      </w:r>
      <w:r w:rsidR="00B852C0" w:rsidRPr="00E72418">
        <w:t>dont la valeur nominale est fixée à</w:t>
      </w:r>
      <w:r w:rsidR="00AF32D5" w:rsidRPr="00E72418">
        <w:t xml:space="preserve"> </w:t>
      </w:r>
      <w:r w:rsidR="009C2409" w:rsidRPr="00E72418">
        <w:t>cent</w:t>
      </w:r>
      <w:r w:rsidR="00AF32D5" w:rsidRPr="00E72418">
        <w:t xml:space="preserve"> soient échangés contre des titre</w:t>
      </w:r>
      <w:r w:rsidR="009C2409" w:rsidRPr="00E72418">
        <w:t>s n’en valant plus que cinquante. L’investisseur B</w:t>
      </w:r>
      <w:r w:rsidR="007D780E" w:rsidRPr="00E72418">
        <w:t>. va refuser la modification</w:t>
      </w:r>
      <w:r w:rsidR="00AF32D5" w:rsidRPr="00E72418">
        <w:t xml:space="preserve"> des termes de la créance </w:t>
      </w:r>
      <w:r w:rsidR="007D780E" w:rsidRPr="00E72418">
        <w:t xml:space="preserve">qu’il détient. Confronté au refus de la Ruritanie d’en honorer les termes originaux, </w:t>
      </w:r>
      <w:r w:rsidR="009125E0" w:rsidRPr="00E72418">
        <w:t>cet investisseur</w:t>
      </w:r>
      <w:r w:rsidR="007D780E" w:rsidRPr="00E72418">
        <w:t xml:space="preserve"> </w:t>
      </w:r>
      <w:r w:rsidR="004B190D" w:rsidRPr="00E72418">
        <w:t xml:space="preserve">ayant initialement déboursé un montant de trente pour racheter la dette </w:t>
      </w:r>
      <w:r w:rsidR="007D780E" w:rsidRPr="00E72418">
        <w:t>va alors</w:t>
      </w:r>
      <w:r w:rsidR="00AF32D5" w:rsidRPr="00E72418">
        <w:t xml:space="preserve"> introduire une procéd</w:t>
      </w:r>
      <w:r w:rsidR="009C2409" w:rsidRPr="00E72418">
        <w:t xml:space="preserve">ure judiciaire afin de </w:t>
      </w:r>
      <w:r w:rsidR="007D780E" w:rsidRPr="00E72418">
        <w:t xml:space="preserve">la faire </w:t>
      </w:r>
      <w:r w:rsidR="009125E0" w:rsidRPr="00E72418">
        <w:t>condamner</w:t>
      </w:r>
      <w:r w:rsidR="00AF32D5" w:rsidRPr="00E72418">
        <w:t xml:space="preserve"> à lui régler </w:t>
      </w:r>
      <w:r w:rsidRPr="00E72418">
        <w:t>la valeur nominale</w:t>
      </w:r>
      <w:r w:rsidR="007D780E" w:rsidRPr="00E72418">
        <w:t xml:space="preserve"> et l’intérêt</w:t>
      </w:r>
      <w:r w:rsidR="00AF32D5" w:rsidRPr="00E72418">
        <w:t xml:space="preserve"> de l’obligation</w:t>
      </w:r>
      <w:r w:rsidR="007D780E" w:rsidRPr="00E72418">
        <w:t xml:space="preserve"> qu’il détient</w:t>
      </w:r>
      <w:r w:rsidR="009125E0" w:rsidRPr="00E72418">
        <w:t xml:space="preserve">, </w:t>
      </w:r>
      <w:r w:rsidR="004B190D" w:rsidRPr="00E72418">
        <w:t>soit un montant de cent dix.</w:t>
      </w:r>
    </w:p>
    <w:p w14:paraId="5381F1D2" w14:textId="51E3FA52" w:rsidR="00EF6F47" w:rsidRPr="00E72418" w:rsidRDefault="00EF6F47" w:rsidP="00423B60"/>
    <w:p w14:paraId="2D439BA0" w14:textId="77777777" w:rsidR="00194C97" w:rsidRPr="00E72418" w:rsidRDefault="00194C97">
      <w:pPr>
        <w:jc w:val="left"/>
        <w:rPr>
          <w:rFonts w:ascii="Times New Roman" w:eastAsiaTheme="majorEastAsia" w:hAnsi="Times New Roman" w:cstheme="majorBidi"/>
          <w:i/>
          <w:sz w:val="40"/>
          <w:szCs w:val="26"/>
        </w:rPr>
      </w:pPr>
      <w:bookmarkStart w:id="8" w:name="_Toc59280867"/>
      <w:bookmarkStart w:id="9" w:name="_Toc75106051"/>
      <w:bookmarkStart w:id="10" w:name="_Toc84540858"/>
      <w:r w:rsidRPr="00E72418">
        <w:br w:type="page"/>
      </w:r>
    </w:p>
    <w:p w14:paraId="3B26DE14" w14:textId="0212FB69" w:rsidR="007C57EF" w:rsidRPr="00E72418" w:rsidRDefault="00DC60C1" w:rsidP="00CC4BA8">
      <w:pPr>
        <w:pStyle w:val="BB"/>
        <w:spacing w:line="276" w:lineRule="auto"/>
      </w:pPr>
      <w:r w:rsidRPr="00E72418">
        <w:lastRenderedPageBreak/>
        <w:t>Première</w:t>
      </w:r>
      <w:r w:rsidR="000764CE" w:rsidRPr="00E72418">
        <w:t xml:space="preserve"> notion</w:t>
      </w:r>
      <w:r w:rsidR="003C32DE" w:rsidRPr="00E72418">
        <w:t xml:space="preserve"> : </w:t>
      </w:r>
      <w:r w:rsidR="007C57EF" w:rsidRPr="00E72418">
        <w:t>La dette étatique</w:t>
      </w:r>
      <w:bookmarkEnd w:id="8"/>
      <w:bookmarkEnd w:id="9"/>
      <w:bookmarkEnd w:id="10"/>
    </w:p>
    <w:p w14:paraId="1DF3CCBE" w14:textId="77777777" w:rsidR="00EB1B96" w:rsidRPr="00E72418" w:rsidRDefault="00EB1B96" w:rsidP="00423B60"/>
    <w:p w14:paraId="5D228878" w14:textId="5E4AE1EF" w:rsidR="007C57EF" w:rsidRPr="00E72418" w:rsidRDefault="007F038F" w:rsidP="00CC4BA8">
      <w:pPr>
        <w:spacing w:line="276" w:lineRule="auto"/>
      </w:pPr>
      <w:r w:rsidRPr="00E72418">
        <w:rPr>
          <w:b/>
        </w:rPr>
        <w:t xml:space="preserve">11. </w:t>
      </w:r>
      <w:r w:rsidR="009476CE" w:rsidRPr="00E72418">
        <w:rPr>
          <w:b/>
        </w:rPr>
        <w:t>Une forme de financement complexe, parfois compliquée –</w:t>
      </w:r>
      <w:r w:rsidR="00EB1B96" w:rsidRPr="00E72418">
        <w:rPr>
          <w:b/>
        </w:rPr>
        <w:t xml:space="preserve"> </w:t>
      </w:r>
      <w:r w:rsidR="00EB1B96" w:rsidRPr="00E72418">
        <w:t>Les fonds</w:t>
      </w:r>
      <w:r w:rsidR="00DD25D7" w:rsidRPr="00E72418">
        <w:t xml:space="preserve"> spéculatifs</w:t>
      </w:r>
      <w:r w:rsidR="00EB1B96" w:rsidRPr="00E72418">
        <w:t xml:space="preserve">, objets de notre étude, ont la particularité de chercher à tirer de larges profits en </w:t>
      </w:r>
      <w:r w:rsidR="00DD25D7" w:rsidRPr="00E72418">
        <w:t>misant</w:t>
      </w:r>
      <w:r w:rsidR="00EB1B96" w:rsidRPr="00E72418">
        <w:t xml:space="preserve"> sur les dettes souveraines. La particularité de cette spéculation réside notamment d</w:t>
      </w:r>
      <w:r w:rsidR="00DD25D7" w:rsidRPr="00E72418">
        <w:t>ans</w:t>
      </w:r>
      <w:r w:rsidR="002513AE" w:rsidRPr="00E72418">
        <w:t xml:space="preserve"> le fait qu’elle porte sur des dettes contractées afin de financer des activités étatiques (</w:t>
      </w:r>
      <w:r w:rsidR="002513AE" w:rsidRPr="00E72418">
        <w:rPr>
          <w:b/>
        </w:rPr>
        <w:t>chapitre 1</w:t>
      </w:r>
      <w:r w:rsidR="002513AE" w:rsidRPr="00E72418">
        <w:t>). Le financement étatique que nous connaissons aujourd’hui n’a pas toujours été tel</w:t>
      </w:r>
      <w:r w:rsidR="00DD25D7" w:rsidRPr="00E72418">
        <w:t xml:space="preserve"> qu’il est </w:t>
      </w:r>
      <w:r w:rsidR="00433532" w:rsidRPr="00E72418">
        <w:t>puisqu’il</w:t>
      </w:r>
      <w:r w:rsidR="00DD25D7" w:rsidRPr="00E72418">
        <w:t xml:space="preserve"> a </w:t>
      </w:r>
      <w:r w:rsidR="002513AE" w:rsidRPr="00E72418">
        <w:t>larg</w:t>
      </w:r>
      <w:r w:rsidR="00DD25D7" w:rsidRPr="00E72418">
        <w:t>ement évolué</w:t>
      </w:r>
      <w:r w:rsidR="002513AE" w:rsidRPr="00E72418">
        <w:t xml:space="preserve"> à travers le temps (</w:t>
      </w:r>
      <w:r w:rsidR="002513AE" w:rsidRPr="00E72418">
        <w:rPr>
          <w:b/>
        </w:rPr>
        <w:t>chapitre 2</w:t>
      </w:r>
      <w:r w:rsidR="002513AE" w:rsidRPr="00E72418">
        <w:t xml:space="preserve">). Si l’on examine les dettes encourues </w:t>
      </w:r>
      <w:r w:rsidR="006A04CF" w:rsidRPr="00E72418">
        <w:t xml:space="preserve">par les </w:t>
      </w:r>
      <w:r w:rsidR="006A04CF" w:rsidRPr="00E72418">
        <w:rPr>
          <w:rFonts w:ascii="Times New Roman" w:hAnsi="Times New Roman" w:cs="Times New Roman"/>
          <w:lang w:eastAsia="fr-BE"/>
        </w:rPr>
        <w:t>É</w:t>
      </w:r>
      <w:r w:rsidR="002513AE" w:rsidRPr="00E72418">
        <w:t>tats, l’on contaste que leur régime juridique et leurs créanciers présentent des formes variées (</w:t>
      </w:r>
      <w:r w:rsidR="002513AE" w:rsidRPr="00E72418">
        <w:rPr>
          <w:b/>
        </w:rPr>
        <w:t>chapitre 3</w:t>
      </w:r>
      <w:r w:rsidR="002513AE" w:rsidRPr="00E72418">
        <w:t>). L’endettement étatique sur les marchés financiers étant très important (</w:t>
      </w:r>
      <w:r w:rsidR="002513AE" w:rsidRPr="00E72418">
        <w:rPr>
          <w:b/>
        </w:rPr>
        <w:t>chapitre 4</w:t>
      </w:r>
      <w:r w:rsidR="002513AE" w:rsidRPr="00E72418">
        <w:t>), les dettes souveraines sont devenu</w:t>
      </w:r>
      <w:r w:rsidR="00DD25D7" w:rsidRPr="00E72418">
        <w:t>e</w:t>
      </w:r>
      <w:r w:rsidR="002513AE" w:rsidRPr="00E72418">
        <w:t xml:space="preserve">s des produits d’investissement dont les détenteurs </w:t>
      </w:r>
      <w:r w:rsidR="008567F3" w:rsidRPr="00E72418">
        <w:t xml:space="preserve">doivent parfois constater qu’ils ne seraient pas aussi </w:t>
      </w:r>
      <w:r w:rsidR="00433532" w:rsidRPr="00E72418">
        <w:t>sûrs</w:t>
      </w:r>
      <w:r w:rsidR="008567F3" w:rsidRPr="00E72418">
        <w:t xml:space="preserve"> qu’escompté. Les investisseurs </w:t>
      </w:r>
      <w:r w:rsidR="00433532" w:rsidRPr="00E72418">
        <w:t>pourraient</w:t>
      </w:r>
      <w:r w:rsidR="008567F3" w:rsidRPr="00E72418">
        <w:t xml:space="preserve"> ainsi </w:t>
      </w:r>
      <w:r w:rsidR="00433532" w:rsidRPr="00E72418">
        <w:t>être</w:t>
      </w:r>
      <w:r w:rsidR="008567F3" w:rsidRPr="00E72418">
        <w:t xml:space="preserve"> tentés de revendre</w:t>
      </w:r>
      <w:r w:rsidR="00433532" w:rsidRPr="00E72418">
        <w:t xml:space="preserve"> sur </w:t>
      </w:r>
      <w:r w:rsidR="002B513D" w:rsidRPr="00E72418">
        <w:t>le</w:t>
      </w:r>
      <w:r w:rsidR="00433532" w:rsidRPr="00E72418">
        <w:t xml:space="preserve"> marché secondaire</w:t>
      </w:r>
      <w:r w:rsidR="008567F3" w:rsidRPr="00E72418">
        <w:t xml:space="preserve"> </w:t>
      </w:r>
      <w:r w:rsidR="00433532" w:rsidRPr="00E72418">
        <w:t>l</w:t>
      </w:r>
      <w:r w:rsidR="008567F3" w:rsidRPr="00E72418">
        <w:t>es dettes</w:t>
      </w:r>
      <w:r w:rsidR="00433532" w:rsidRPr="00E72418">
        <w:t xml:space="preserve"> qu’ils détiennent</w:t>
      </w:r>
      <w:r w:rsidR="008567F3" w:rsidRPr="00E72418">
        <w:t xml:space="preserve"> (</w:t>
      </w:r>
      <w:r w:rsidR="008567F3" w:rsidRPr="00E72418">
        <w:rPr>
          <w:b/>
        </w:rPr>
        <w:t>chapitre 5</w:t>
      </w:r>
      <w:r w:rsidR="008567F3" w:rsidRPr="00E72418">
        <w:t>). Souvent</w:t>
      </w:r>
      <w:r w:rsidR="00433532" w:rsidRPr="00E72418">
        <w:t>,</w:t>
      </w:r>
      <w:r w:rsidR="008567F3" w:rsidRPr="00E72418">
        <w:t xml:space="preserve"> l</w:t>
      </w:r>
      <w:r w:rsidR="00433532" w:rsidRPr="00E72418">
        <w:t>’explication des difficultés</w:t>
      </w:r>
      <w:r w:rsidR="002B513D" w:rsidRPr="00E72418">
        <w:t xml:space="preserve"> réside dans le fait que les</w:t>
      </w:r>
      <w:r w:rsidR="008567F3" w:rsidRPr="00E72418">
        <w:t xml:space="preserve"> débiteurs font face à un fardeau de dettes à ce point important qu’il </w:t>
      </w:r>
      <w:r w:rsidR="0089722C">
        <w:t>en devient in</w:t>
      </w:r>
      <w:r w:rsidR="008567F3" w:rsidRPr="00E72418">
        <w:t>soutenable et les empêche d’honorer leurs obligations (</w:t>
      </w:r>
      <w:r w:rsidR="008567F3" w:rsidRPr="00E72418">
        <w:rPr>
          <w:b/>
        </w:rPr>
        <w:t>chapitre 6</w:t>
      </w:r>
      <w:r w:rsidR="008567F3" w:rsidRPr="00E72418">
        <w:t>).</w:t>
      </w:r>
    </w:p>
    <w:p w14:paraId="3C77FC30" w14:textId="77777777" w:rsidR="00EB1B96" w:rsidRPr="00E72418" w:rsidRDefault="00EB1B96" w:rsidP="00423B60"/>
    <w:p w14:paraId="10DA5051" w14:textId="00539AB5" w:rsidR="007C57EF" w:rsidRPr="00E72418" w:rsidRDefault="000764CE" w:rsidP="00CC4BA8">
      <w:pPr>
        <w:pStyle w:val="CC"/>
        <w:spacing w:line="276" w:lineRule="auto"/>
      </w:pPr>
      <w:bookmarkStart w:id="11" w:name="_Toc59280868"/>
      <w:bookmarkStart w:id="12" w:name="_Toc75106052"/>
      <w:bookmarkStart w:id="13" w:name="_Toc84540859"/>
      <w:r w:rsidRPr="00E72418">
        <w:t>Chapitre</w:t>
      </w:r>
      <w:r w:rsidR="003C32DE" w:rsidRPr="00E72418">
        <w:t xml:space="preserve"> 1 : </w:t>
      </w:r>
      <w:r w:rsidR="007C57EF" w:rsidRPr="00E72418">
        <w:t>Un outil de financement</w:t>
      </w:r>
      <w:bookmarkEnd w:id="11"/>
      <w:bookmarkEnd w:id="12"/>
      <w:bookmarkEnd w:id="13"/>
    </w:p>
    <w:p w14:paraId="2247FC68" w14:textId="77777777" w:rsidR="007C57EF" w:rsidRPr="00E72418" w:rsidRDefault="007C57EF" w:rsidP="00423B60"/>
    <w:p w14:paraId="3EAAF879" w14:textId="273E965A" w:rsidR="006E4B57"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rPr>
        <w:t>12</w:t>
      </w:r>
      <w:r w:rsidR="007E31CD" w:rsidRPr="00E72418">
        <w:rPr>
          <w:rFonts w:ascii="Times New Roman" w:hAnsi="Times New Roman" w:cs="Times New Roman"/>
          <w:b/>
        </w:rPr>
        <w:t xml:space="preserve">. </w:t>
      </w:r>
      <w:r w:rsidR="007C57EF" w:rsidRPr="00E72418">
        <w:rPr>
          <w:rFonts w:ascii="Times New Roman" w:hAnsi="Times New Roman" w:cs="Times New Roman"/>
          <w:b/>
        </w:rPr>
        <w:t>Une source de financement étatique alternative et complémentaire à l’impôt –</w:t>
      </w:r>
      <w:r w:rsidR="007C57EF" w:rsidRPr="00E72418">
        <w:rPr>
          <w:rFonts w:ascii="Times New Roman" w:hAnsi="Times New Roman" w:cs="Times New Roman"/>
        </w:rPr>
        <w:t xml:space="preserve"> Afin de remplir leurs missions,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ont besoin de ressources. Si l’on pense intuitivement à l’apanage souverain de la levée d’impôts </w:t>
      </w:r>
      <w:r w:rsidR="006E4B57" w:rsidRPr="00E72418">
        <w:rPr>
          <w:rFonts w:ascii="Times New Roman" w:hAnsi="Times New Roman" w:cs="Times New Roman"/>
        </w:rPr>
        <w:t>afin de</w:t>
      </w:r>
      <w:r w:rsidR="007C57EF" w:rsidRPr="00E72418">
        <w:rPr>
          <w:rFonts w:ascii="Times New Roman" w:hAnsi="Times New Roman" w:cs="Times New Roman"/>
        </w:rPr>
        <w:t xml:space="preserve"> </w:t>
      </w:r>
      <w:r w:rsidR="006E4B57" w:rsidRPr="00E72418">
        <w:rPr>
          <w:rFonts w:ascii="Times New Roman" w:hAnsi="Times New Roman" w:cs="Times New Roman"/>
        </w:rPr>
        <w:t>se les procurer</w:t>
      </w:r>
      <w:r w:rsidR="00F45CAA" w:rsidRPr="00E72418">
        <w:rPr>
          <w:rFonts w:ascii="Times New Roman" w:hAnsi="Times New Roman" w:cs="Times New Roman"/>
        </w:rPr>
        <w:t>, celle-ci</w:t>
      </w:r>
      <w:r w:rsidR="006E4B57" w:rsidRPr="00E72418">
        <w:rPr>
          <w:rFonts w:ascii="Times New Roman" w:hAnsi="Times New Roman" w:cs="Times New Roman"/>
        </w:rPr>
        <w:t xml:space="preserve"> s’avère souvent</w:t>
      </w:r>
      <w:r w:rsidR="007C57EF" w:rsidRPr="00E72418">
        <w:rPr>
          <w:rFonts w:ascii="Times New Roman" w:hAnsi="Times New Roman" w:cs="Times New Roman"/>
        </w:rPr>
        <w:t xml:space="preserve"> insuffisante.</w:t>
      </w:r>
      <w:r w:rsidR="006E4B57" w:rsidRPr="00E72418">
        <w:rPr>
          <w:rFonts w:ascii="Times New Roman" w:hAnsi="Times New Roman" w:cs="Times New Roman"/>
        </w:rPr>
        <w:t xml:space="preserve"> L’emprunt</w:t>
      </w:r>
      <w:r w:rsidR="00C757C1" w:rsidRPr="00E72418">
        <w:rPr>
          <w:rFonts w:ascii="Times New Roman" w:hAnsi="Times New Roman" w:cs="Times New Roman"/>
        </w:rPr>
        <w:t xml:space="preserve"> étatique</w:t>
      </w:r>
      <w:r w:rsidR="006E4B57" w:rsidRPr="00E72418">
        <w:rPr>
          <w:rFonts w:ascii="Times New Roman" w:hAnsi="Times New Roman" w:cs="Times New Roman"/>
        </w:rPr>
        <w:t xml:space="preserve">, pris dans le sens </w:t>
      </w:r>
      <w:r w:rsidR="00C757C1" w:rsidRPr="00E72418">
        <w:rPr>
          <w:rFonts w:ascii="Times New Roman" w:hAnsi="Times New Roman" w:cs="Times New Roman"/>
        </w:rPr>
        <w:t xml:space="preserve">large </w:t>
      </w:r>
      <w:r w:rsidR="006E4B57" w:rsidRPr="00E72418">
        <w:rPr>
          <w:rFonts w:ascii="Times New Roman" w:hAnsi="Times New Roman" w:cs="Times New Roman"/>
        </w:rPr>
        <w:t xml:space="preserve">d’une mobilisation des avoirs </w:t>
      </w:r>
      <w:r w:rsidR="007C57EF" w:rsidRPr="00E72418">
        <w:rPr>
          <w:rFonts w:ascii="Times New Roman" w:hAnsi="Times New Roman" w:cs="Times New Roman"/>
        </w:rPr>
        <w:t xml:space="preserve">d’un tiers sous réserve d’un remboursement futur, représente alors pour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un autre moyen de financement. Le recours à l’emprunt est essentiel afin de compenser le potentiel écart existant entre les revenus dont les </w:t>
      </w:r>
      <w:r w:rsidR="007C57EF" w:rsidRPr="00E72418">
        <w:rPr>
          <w:rFonts w:ascii="Times New Roman" w:hAnsi="Times New Roman" w:cs="Times New Roman"/>
          <w:lang w:eastAsia="fr-BE"/>
        </w:rPr>
        <w:t>É</w:t>
      </w:r>
      <w:r w:rsidR="007C57EF" w:rsidRPr="00E72418">
        <w:rPr>
          <w:rFonts w:ascii="Times New Roman" w:hAnsi="Times New Roman" w:cs="Times New Roman"/>
        </w:rPr>
        <w:t>tats peuvent profiter et les dépenses que l’accomplissement de leurs missions engendre</w:t>
      </w:r>
      <w:r w:rsidR="007C57EF" w:rsidRPr="00E72418">
        <w:rPr>
          <w:rStyle w:val="Appelnotedebasdep"/>
          <w:rFonts w:ascii="Times New Roman" w:hAnsi="Times New Roman" w:cs="Times New Roman"/>
        </w:rPr>
        <w:footnoteReference w:id="40"/>
      </w:r>
      <w:r w:rsidR="007C57EF" w:rsidRPr="00E72418">
        <w:rPr>
          <w:rFonts w:ascii="Times New Roman" w:hAnsi="Times New Roman" w:cs="Times New Roman"/>
        </w:rPr>
        <w:t xml:space="preserve">. </w:t>
      </w:r>
      <w:r w:rsidR="006E4B57" w:rsidRPr="00E72418">
        <w:rPr>
          <w:rFonts w:ascii="Times New Roman" w:hAnsi="Times New Roman" w:cs="Times New Roman"/>
        </w:rPr>
        <w:t>L</w:t>
      </w:r>
      <w:r w:rsidR="007C57EF" w:rsidRPr="00E72418">
        <w:rPr>
          <w:rFonts w:ascii="Times New Roman" w:hAnsi="Times New Roman" w:cs="Times New Roman"/>
          <w:szCs w:val="24"/>
        </w:rPr>
        <w:t xml:space="preserve">’emprunt </w:t>
      </w:r>
      <w:r w:rsidR="006E4B57" w:rsidRPr="00E72418">
        <w:rPr>
          <w:rFonts w:ascii="Times New Roman" w:hAnsi="Times New Roman" w:cs="Times New Roman"/>
          <w:szCs w:val="24"/>
        </w:rPr>
        <w:t>offre</w:t>
      </w:r>
      <w:r w:rsidR="007C57EF" w:rsidRPr="00E72418">
        <w:rPr>
          <w:rFonts w:ascii="Times New Roman" w:hAnsi="Times New Roman" w:cs="Times New Roman"/>
          <w:szCs w:val="24"/>
        </w:rPr>
        <w:t xml:space="preserve"> également </w:t>
      </w:r>
      <w:r w:rsidR="006E4B57" w:rsidRPr="00E72418">
        <w:rPr>
          <w:rFonts w:ascii="Times New Roman" w:hAnsi="Times New Roman" w:cs="Times New Roman"/>
          <w:szCs w:val="24"/>
        </w:rPr>
        <w:t>aux</w:t>
      </w:r>
      <w:r w:rsidR="007C57EF" w:rsidRPr="00E72418">
        <w:rPr>
          <w:rFonts w:ascii="Times New Roman" w:hAnsi="Times New Roman" w:cs="Times New Roman"/>
          <w:szCs w:val="24"/>
        </w:rPr>
        <w:t xml:space="preserve"> </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 xml:space="preserve">tats un moyen de lisser dans le temps l’effort financier demandé aux contribuables. Ainsi, comme le note </w:t>
      </w:r>
      <w:r w:rsidR="005C18A8" w:rsidRPr="00E72418">
        <w:rPr>
          <w:rFonts w:ascii="Times New Roman" w:hAnsi="Times New Roman" w:cs="Times New Roman"/>
          <w:szCs w:val="24"/>
        </w:rPr>
        <w:t xml:space="preserve">Nicola </w:t>
      </w:r>
      <w:r w:rsidR="007C57EF" w:rsidRPr="00E72418">
        <w:rPr>
          <w:rFonts w:ascii="Times New Roman" w:hAnsi="Times New Roman" w:cs="Times New Roman"/>
          <w:szCs w:val="24"/>
        </w:rPr>
        <w:t>Jagers, « </w:t>
      </w:r>
      <w:r w:rsidR="007C57EF" w:rsidRPr="00E72418">
        <w:rPr>
          <w:rFonts w:ascii="Times New Roman" w:hAnsi="Times New Roman" w:cs="Times New Roman"/>
        </w:rPr>
        <w:t>[b]</w:t>
      </w:r>
      <w:r w:rsidR="007C57EF" w:rsidRPr="00E72418">
        <w:rPr>
          <w:rFonts w:ascii="Times New Roman" w:hAnsi="Times New Roman" w:cs="Times New Roman"/>
          <w:szCs w:val="24"/>
        </w:rPr>
        <w:t>orrowing in times of revenue shortfall and repayment in times of surplus provide for the possibility of smoothing out spending without directly placing the burden on taxpayers »</w:t>
      </w:r>
      <w:r w:rsidR="007C57EF" w:rsidRPr="00E72418">
        <w:rPr>
          <w:rStyle w:val="Appelnotedebasdep"/>
          <w:rFonts w:ascii="Times New Roman" w:hAnsi="Times New Roman" w:cs="Times New Roman"/>
          <w:szCs w:val="24"/>
        </w:rPr>
        <w:footnoteReference w:id="41"/>
      </w:r>
      <w:r w:rsidR="007C57EF" w:rsidRPr="00E72418">
        <w:rPr>
          <w:rFonts w:ascii="Times New Roman" w:hAnsi="Times New Roman" w:cs="Times New Roman"/>
          <w:szCs w:val="24"/>
        </w:rPr>
        <w:t xml:space="preserve">. </w:t>
      </w:r>
    </w:p>
    <w:p w14:paraId="400B19DE" w14:textId="77777777" w:rsidR="007C57EF" w:rsidRPr="00E72418" w:rsidRDefault="007C57EF" w:rsidP="00CC4BA8">
      <w:pPr>
        <w:spacing w:line="276" w:lineRule="auto"/>
        <w:rPr>
          <w:szCs w:val="24"/>
        </w:rPr>
      </w:pPr>
      <w:r w:rsidRPr="00E72418">
        <w:rPr>
          <w:rFonts w:ascii="Times New Roman" w:hAnsi="Times New Roman" w:cs="Times New Roman"/>
          <w:szCs w:val="24"/>
        </w:rPr>
        <w:t xml:space="preserve">Dans la plupart des cas, la façon la plus efficiente de financer des dépenses étatiques consiste </w:t>
      </w:r>
      <w:r w:rsidR="00C757C1" w:rsidRPr="00E72418">
        <w:rPr>
          <w:rFonts w:ascii="Times New Roman" w:hAnsi="Times New Roman" w:cs="Times New Roman"/>
          <w:szCs w:val="24"/>
        </w:rPr>
        <w:t xml:space="preserve">en </w:t>
      </w:r>
      <w:r w:rsidRPr="00E72418">
        <w:rPr>
          <w:rFonts w:ascii="Times New Roman" w:hAnsi="Times New Roman" w:cs="Times New Roman"/>
          <w:szCs w:val="24"/>
        </w:rPr>
        <w:t>un mélange de taxes et d’argent emprunté l</w:t>
      </w:r>
      <w:r w:rsidR="006E4B57" w:rsidRPr="00E72418">
        <w:rPr>
          <w:rFonts w:ascii="Times New Roman" w:hAnsi="Times New Roman" w:cs="Times New Roman"/>
          <w:szCs w:val="24"/>
        </w:rPr>
        <w:t>equel mélange permet de réduire</w:t>
      </w:r>
      <w:r w:rsidRPr="00E72418">
        <w:rPr>
          <w:rFonts w:ascii="Times New Roman" w:hAnsi="Times New Roman" w:cs="Times New Roman"/>
          <w:szCs w:val="24"/>
        </w:rPr>
        <w:t xml:space="preserve"> ou</w:t>
      </w:r>
      <w:r w:rsidR="006E4B57" w:rsidRPr="00E72418">
        <w:rPr>
          <w:rFonts w:ascii="Times New Roman" w:hAnsi="Times New Roman" w:cs="Times New Roman"/>
          <w:szCs w:val="24"/>
        </w:rPr>
        <w:t>,</w:t>
      </w:r>
      <w:r w:rsidRPr="00E72418">
        <w:rPr>
          <w:rFonts w:ascii="Times New Roman" w:hAnsi="Times New Roman" w:cs="Times New Roman"/>
          <w:szCs w:val="24"/>
        </w:rPr>
        <w:t xml:space="preserve"> à tout le moins</w:t>
      </w:r>
      <w:r w:rsidR="006E4B57" w:rsidRPr="00E72418">
        <w:rPr>
          <w:rFonts w:ascii="Times New Roman" w:hAnsi="Times New Roman" w:cs="Times New Roman"/>
          <w:szCs w:val="24"/>
        </w:rPr>
        <w:t>, d’étaler dans le temps</w:t>
      </w:r>
      <w:r w:rsidRPr="00E72418">
        <w:rPr>
          <w:rFonts w:ascii="Times New Roman" w:hAnsi="Times New Roman" w:cs="Times New Roman"/>
          <w:szCs w:val="24"/>
        </w:rPr>
        <w:t xml:space="preserve"> la charge pesant sur les contribuable</w:t>
      </w:r>
      <w:r w:rsidR="006E4B57" w:rsidRPr="00E72418">
        <w:rPr>
          <w:rFonts w:ascii="Times New Roman" w:hAnsi="Times New Roman" w:cs="Times New Roman"/>
          <w:szCs w:val="24"/>
        </w:rPr>
        <w:t>s</w:t>
      </w:r>
      <w:r w:rsidRPr="00E72418">
        <w:rPr>
          <w:rStyle w:val="Appelnotedebasdep"/>
          <w:rFonts w:ascii="Times New Roman" w:hAnsi="Times New Roman" w:cs="Times New Roman"/>
          <w:szCs w:val="24"/>
        </w:rPr>
        <w:footnoteReference w:id="42"/>
      </w:r>
      <w:r w:rsidRPr="00E72418">
        <w:rPr>
          <w:rFonts w:ascii="Times New Roman" w:hAnsi="Times New Roman" w:cs="Times New Roman"/>
          <w:szCs w:val="24"/>
        </w:rPr>
        <w:t xml:space="preserve">. </w:t>
      </w:r>
      <w:r w:rsidRPr="00E72418">
        <w:rPr>
          <w:rFonts w:ascii="Times New Roman" w:hAnsi="Times New Roman" w:cs="Times New Roman"/>
        </w:rPr>
        <w:t>Le financement étatique</w:t>
      </w:r>
      <w:r w:rsidRPr="00E72418">
        <w:t xml:space="preserve"> </w:t>
      </w:r>
      <w:r w:rsidRPr="00E72418">
        <w:rPr>
          <w:szCs w:val="24"/>
        </w:rPr>
        <w:lastRenderedPageBreak/>
        <w:t>via les marchés financiers présente l’avantage d’un accès rapide et à moindre coût à des volumes de liquidités considérables</w:t>
      </w:r>
      <w:r w:rsidRPr="00E72418">
        <w:rPr>
          <w:rStyle w:val="Appelnotedebasdep"/>
          <w:szCs w:val="24"/>
        </w:rPr>
        <w:footnoteReference w:id="43"/>
      </w:r>
      <w:r w:rsidRPr="00E72418">
        <w:rPr>
          <w:szCs w:val="24"/>
        </w:rPr>
        <w:t>.</w:t>
      </w:r>
    </w:p>
    <w:p w14:paraId="04EC204F" w14:textId="77777777" w:rsidR="007C57EF" w:rsidRPr="00E72418" w:rsidRDefault="007C57EF" w:rsidP="00423B60"/>
    <w:p w14:paraId="71A03530" w14:textId="42FE1C45" w:rsidR="00C757C1" w:rsidRPr="00E72418" w:rsidRDefault="007F038F" w:rsidP="00CC4BA8">
      <w:pPr>
        <w:spacing w:line="276" w:lineRule="auto"/>
        <w:rPr>
          <w:szCs w:val="24"/>
        </w:rPr>
      </w:pPr>
      <w:r w:rsidRPr="00E72418">
        <w:rPr>
          <w:b/>
          <w:szCs w:val="24"/>
        </w:rPr>
        <w:t>13</w:t>
      </w:r>
      <w:r w:rsidR="007E31CD" w:rsidRPr="00E72418">
        <w:rPr>
          <w:b/>
          <w:szCs w:val="24"/>
        </w:rPr>
        <w:t xml:space="preserve">. </w:t>
      </w:r>
      <w:r w:rsidR="007C57EF" w:rsidRPr="00E72418">
        <w:rPr>
          <w:b/>
          <w:szCs w:val="24"/>
        </w:rPr>
        <w:t>L’importance du financement étatique –</w:t>
      </w:r>
      <w:r w:rsidR="007C57EF" w:rsidRPr="00E72418">
        <w:rPr>
          <w:szCs w:val="24"/>
        </w:rPr>
        <w:t xml:space="preserve"> Les droits d’une population ne sauraient être pleinement assurés sans des ressources suffisantes pour l’</w:t>
      </w:r>
      <w:r w:rsidR="007C57EF" w:rsidRPr="00E72418">
        <w:rPr>
          <w:szCs w:val="24"/>
          <w:lang w:eastAsia="fr-BE"/>
        </w:rPr>
        <w:t>É</w:t>
      </w:r>
      <w:r w:rsidR="007C57EF" w:rsidRPr="00E72418">
        <w:rPr>
          <w:szCs w:val="24"/>
        </w:rPr>
        <w:t>tat</w:t>
      </w:r>
      <w:r w:rsidR="007C57EF" w:rsidRPr="00E72418">
        <w:rPr>
          <w:rStyle w:val="Appelnotedebasdep"/>
          <w:rFonts w:cs="Times New Roman"/>
          <w:szCs w:val="24"/>
        </w:rPr>
        <w:footnoteReference w:id="44"/>
      </w:r>
      <w:r w:rsidR="007C57EF" w:rsidRPr="00E72418">
        <w:rPr>
          <w:szCs w:val="24"/>
        </w:rPr>
        <w:t xml:space="preserve">. Le financement que ce dernier tire </w:t>
      </w:r>
      <w:r w:rsidR="00C757C1" w:rsidRPr="00E72418">
        <w:rPr>
          <w:szCs w:val="24"/>
        </w:rPr>
        <w:t>de</w:t>
      </w:r>
      <w:r w:rsidR="007C57EF" w:rsidRPr="00E72418">
        <w:rPr>
          <w:szCs w:val="24"/>
        </w:rPr>
        <w:t xml:space="preserve"> l’emprunt lui permet d’assurer son fonctionnement mais également d’engager des investissements publics utiles à son développement</w:t>
      </w:r>
      <w:r w:rsidR="007C57EF" w:rsidRPr="00E72418">
        <w:rPr>
          <w:rStyle w:val="Appelnotedebasdep"/>
          <w:rFonts w:cs="Times New Roman"/>
          <w:szCs w:val="24"/>
        </w:rPr>
        <w:footnoteReference w:id="45"/>
      </w:r>
      <w:r w:rsidR="007C57EF" w:rsidRPr="00E72418">
        <w:rPr>
          <w:szCs w:val="24"/>
        </w:rPr>
        <w:t>. L’accès au crédit est</w:t>
      </w:r>
      <w:r w:rsidR="00C757C1" w:rsidRPr="00E72418">
        <w:rPr>
          <w:szCs w:val="24"/>
        </w:rPr>
        <w:t xml:space="preserve">, on le comprend donc, essentiel pour les </w:t>
      </w:r>
      <w:r w:rsidR="00C757C1" w:rsidRPr="00E72418">
        <w:rPr>
          <w:szCs w:val="24"/>
          <w:lang w:eastAsia="fr-BE"/>
        </w:rPr>
        <w:t>É</w:t>
      </w:r>
      <w:r w:rsidR="00C757C1" w:rsidRPr="00E72418">
        <w:rPr>
          <w:szCs w:val="24"/>
        </w:rPr>
        <w:t xml:space="preserve">tats. </w:t>
      </w:r>
      <w:r w:rsidR="00674C1A" w:rsidRPr="00E72418">
        <w:t>À</w:t>
      </w:r>
      <w:r w:rsidR="007C57EF" w:rsidRPr="00E72418">
        <w:rPr>
          <w:szCs w:val="24"/>
        </w:rPr>
        <w:t xml:space="preserve"> l’inverse, l’incapacité d’avoir accès à du crédit peut quant à</w:t>
      </w:r>
      <w:r w:rsidR="00C757C1" w:rsidRPr="00E72418">
        <w:rPr>
          <w:szCs w:val="24"/>
        </w:rPr>
        <w:t xml:space="preserve"> elle freiner, voire empêcher, l</w:t>
      </w:r>
      <w:r w:rsidR="007C57EF" w:rsidRPr="00E72418">
        <w:rPr>
          <w:szCs w:val="24"/>
        </w:rPr>
        <w:t xml:space="preserve">a croissance. </w:t>
      </w:r>
    </w:p>
    <w:p w14:paraId="2A255F03" w14:textId="77777777" w:rsidR="00C757C1" w:rsidRPr="00E72418" w:rsidRDefault="007C57EF" w:rsidP="00CC4BA8">
      <w:pPr>
        <w:spacing w:line="276" w:lineRule="auto"/>
        <w:rPr>
          <w:szCs w:val="24"/>
        </w:rPr>
      </w:pPr>
      <w:r w:rsidRPr="00E72418">
        <w:rPr>
          <w:szCs w:val="24"/>
        </w:rPr>
        <w:t xml:space="preserve">Si l’on prend l’exemple d’une dette contractée par un </w:t>
      </w:r>
      <w:r w:rsidRPr="00E72418">
        <w:rPr>
          <w:szCs w:val="24"/>
          <w:lang w:eastAsia="fr-BE"/>
        </w:rPr>
        <w:t>É</w:t>
      </w:r>
      <w:r w:rsidRPr="00E72418">
        <w:rPr>
          <w:szCs w:val="24"/>
        </w:rPr>
        <w:t>tat afin de financer des programmes d’éducation</w:t>
      </w:r>
      <w:r w:rsidR="00C757C1" w:rsidRPr="00E72418">
        <w:rPr>
          <w:szCs w:val="24"/>
        </w:rPr>
        <w:t>, celle-ci</w:t>
      </w:r>
      <w:r w:rsidRPr="00E72418">
        <w:rPr>
          <w:szCs w:val="24"/>
        </w:rPr>
        <w:t xml:space="preserve"> </w:t>
      </w:r>
      <w:r w:rsidR="00C757C1" w:rsidRPr="00E72418">
        <w:rPr>
          <w:szCs w:val="24"/>
        </w:rPr>
        <w:t>vise à terme</w:t>
      </w:r>
      <w:r w:rsidRPr="00E72418">
        <w:rPr>
          <w:szCs w:val="24"/>
        </w:rPr>
        <w:t xml:space="preserve"> à améliorer </w:t>
      </w:r>
      <w:r w:rsidR="00C757C1" w:rsidRPr="00E72418">
        <w:rPr>
          <w:szCs w:val="24"/>
        </w:rPr>
        <w:t>s</w:t>
      </w:r>
      <w:r w:rsidRPr="00E72418">
        <w:rPr>
          <w:szCs w:val="24"/>
        </w:rPr>
        <w:t>a situation en ce que sa population, ainsi mieux éduquée, constituera à l’avenir une force de production permettant pa</w:t>
      </w:r>
      <w:r w:rsidR="00C757C1" w:rsidRPr="00E72418">
        <w:rPr>
          <w:szCs w:val="24"/>
        </w:rPr>
        <w:t>r son travail l’amélioration de ses</w:t>
      </w:r>
      <w:r w:rsidRPr="00E72418">
        <w:rPr>
          <w:szCs w:val="24"/>
        </w:rPr>
        <w:t xml:space="preserve"> conditions économiques</w:t>
      </w:r>
      <w:r w:rsidRPr="00E72418">
        <w:rPr>
          <w:rStyle w:val="Appelnotedebasdep"/>
          <w:rFonts w:cs="Times New Roman"/>
          <w:szCs w:val="24"/>
        </w:rPr>
        <w:footnoteReference w:id="46"/>
      </w:r>
      <w:r w:rsidRPr="00E72418">
        <w:rPr>
          <w:szCs w:val="24"/>
        </w:rPr>
        <w:t>. Pour autant qu’elle soit viable, la dette d’</w:t>
      </w:r>
      <w:r w:rsidRPr="00E72418">
        <w:rPr>
          <w:szCs w:val="24"/>
          <w:lang w:eastAsia="fr-BE"/>
        </w:rPr>
        <w:t>É</w:t>
      </w:r>
      <w:r w:rsidRPr="00E72418">
        <w:rPr>
          <w:szCs w:val="24"/>
        </w:rPr>
        <w:t>tat apparaît donc comme nécessaire</w:t>
      </w:r>
      <w:r w:rsidR="00C757C1" w:rsidRPr="00E72418">
        <w:rPr>
          <w:szCs w:val="24"/>
        </w:rPr>
        <w:t>, sans doute plus encore pour les</w:t>
      </w:r>
      <w:r w:rsidRPr="00E72418">
        <w:rPr>
          <w:szCs w:val="24"/>
        </w:rPr>
        <w:t xml:space="preserve"> </w:t>
      </w:r>
      <w:r w:rsidR="00C757C1" w:rsidRPr="00E72418">
        <w:rPr>
          <w:szCs w:val="24"/>
          <w:lang w:eastAsia="fr-BE"/>
        </w:rPr>
        <w:t>É</w:t>
      </w:r>
      <w:r w:rsidR="00C757C1" w:rsidRPr="00E72418">
        <w:rPr>
          <w:szCs w:val="24"/>
        </w:rPr>
        <w:t>tats en</w:t>
      </w:r>
      <w:r w:rsidRPr="00E72418">
        <w:rPr>
          <w:szCs w:val="24"/>
        </w:rPr>
        <w:t xml:space="preserve"> développement</w:t>
      </w:r>
      <w:r w:rsidRPr="00E72418">
        <w:rPr>
          <w:rStyle w:val="Appelnotedebasdep"/>
          <w:rFonts w:cs="Times New Roman"/>
          <w:szCs w:val="24"/>
        </w:rPr>
        <w:footnoteReference w:id="47"/>
      </w:r>
      <w:r w:rsidRPr="00E72418">
        <w:rPr>
          <w:szCs w:val="24"/>
        </w:rPr>
        <w:t xml:space="preserve">. </w:t>
      </w:r>
    </w:p>
    <w:p w14:paraId="76BAB135" w14:textId="35A89239" w:rsidR="007C57EF" w:rsidRPr="00E72418" w:rsidRDefault="007C57EF" w:rsidP="00CC4BA8">
      <w:pPr>
        <w:spacing w:line="276" w:lineRule="auto"/>
        <w:rPr>
          <w:szCs w:val="24"/>
        </w:rPr>
      </w:pPr>
      <w:r w:rsidRPr="00E72418">
        <w:rPr>
          <w:szCs w:val="24"/>
        </w:rPr>
        <w:t xml:space="preserve">Les risques encourus par les </w:t>
      </w:r>
      <w:r w:rsidRPr="00E72418">
        <w:rPr>
          <w:szCs w:val="24"/>
          <w:lang w:eastAsia="fr-BE"/>
        </w:rPr>
        <w:t>É</w:t>
      </w:r>
      <w:r w:rsidRPr="00E72418">
        <w:rPr>
          <w:szCs w:val="24"/>
        </w:rPr>
        <w:t>tats emprunteurs</w:t>
      </w:r>
      <w:r w:rsidR="00C757C1" w:rsidRPr="00E72418">
        <w:rPr>
          <w:szCs w:val="24"/>
        </w:rPr>
        <w:t xml:space="preserve"> </w:t>
      </w:r>
      <w:r w:rsidR="00566CE1" w:rsidRPr="00E72418">
        <w:rPr>
          <w:szCs w:val="24"/>
        </w:rPr>
        <w:t>doivent</w:t>
      </w:r>
      <w:r w:rsidRPr="00E72418">
        <w:rPr>
          <w:szCs w:val="24"/>
        </w:rPr>
        <w:t xml:space="preserve"> conduire à la prudence et à mobiliser l’emprunt souverain comme un mode de</w:t>
      </w:r>
      <w:r w:rsidR="001E1279" w:rsidRPr="00E72418">
        <w:rPr>
          <w:szCs w:val="24"/>
        </w:rPr>
        <w:t xml:space="preserve"> financement complémentaire à ceux n’étant pas c</w:t>
      </w:r>
      <w:r w:rsidRPr="00E72418">
        <w:rPr>
          <w:szCs w:val="24"/>
        </w:rPr>
        <w:t>réateurs de dette comme l’impôt ou</w:t>
      </w:r>
      <w:r w:rsidR="00C757C1" w:rsidRPr="00E72418">
        <w:rPr>
          <w:szCs w:val="24"/>
        </w:rPr>
        <w:t>, pour les pays en développement,</w:t>
      </w:r>
      <w:r w:rsidRPr="00E72418">
        <w:rPr>
          <w:szCs w:val="24"/>
        </w:rPr>
        <w:t xml:space="preserve"> l’aide publique </w:t>
      </w:r>
      <w:r w:rsidR="00C757C1" w:rsidRPr="00E72418">
        <w:rPr>
          <w:szCs w:val="24"/>
        </w:rPr>
        <w:t>dédié</w:t>
      </w:r>
      <w:r w:rsidR="00566CE1" w:rsidRPr="00E72418">
        <w:rPr>
          <w:szCs w:val="24"/>
        </w:rPr>
        <w:t>e</w:t>
      </w:r>
      <w:r w:rsidR="00C757C1" w:rsidRPr="00E72418">
        <w:rPr>
          <w:szCs w:val="24"/>
        </w:rPr>
        <w:t xml:space="preserve"> au</w:t>
      </w:r>
      <w:r w:rsidRPr="00E72418">
        <w:rPr>
          <w:szCs w:val="24"/>
        </w:rPr>
        <w:t xml:space="preserve"> développement</w:t>
      </w:r>
      <w:r w:rsidRPr="00E72418">
        <w:rPr>
          <w:rStyle w:val="Appelnotedebasdep"/>
          <w:szCs w:val="24"/>
        </w:rPr>
        <w:footnoteReference w:id="48"/>
      </w:r>
      <w:r w:rsidR="00654F52" w:rsidRPr="00E72418">
        <w:rPr>
          <w:szCs w:val="24"/>
          <w:vertAlign w:val="superscript"/>
        </w:rPr>
        <w:t>,</w:t>
      </w:r>
      <w:r w:rsidR="00DD48A7" w:rsidRPr="00E72418">
        <w:rPr>
          <w:rStyle w:val="Appelnotedebasdep"/>
          <w:szCs w:val="24"/>
        </w:rPr>
        <w:footnoteReference w:id="49"/>
      </w:r>
      <w:r w:rsidRPr="00E72418">
        <w:rPr>
          <w:szCs w:val="24"/>
        </w:rPr>
        <w:t xml:space="preserve">. </w:t>
      </w:r>
      <w:r w:rsidRPr="00E72418">
        <w:rPr>
          <w:rFonts w:cs="Times New Roman"/>
          <w:szCs w:val="24"/>
        </w:rPr>
        <w:t xml:space="preserve">Et la prudence est d’autant plus de mise qu’il a été démontré que les économies n’ayant pas accès aux marchés financiers souffrent généralement d’une instabilité </w:t>
      </w:r>
      <w:r w:rsidRPr="00E72418">
        <w:rPr>
          <w:rFonts w:cs="Times New Roman"/>
          <w:szCs w:val="24"/>
        </w:rPr>
        <w:lastRenderedPageBreak/>
        <w:t>politique accrue</w:t>
      </w:r>
      <w:r w:rsidRPr="00E72418">
        <w:rPr>
          <w:rStyle w:val="Appelnotedebasdep"/>
          <w:rFonts w:cs="Times New Roman"/>
          <w:szCs w:val="24"/>
        </w:rPr>
        <w:footnoteReference w:id="50"/>
      </w:r>
      <w:r w:rsidRPr="00E72418">
        <w:rPr>
          <w:rFonts w:cs="Times New Roman"/>
          <w:szCs w:val="24"/>
        </w:rPr>
        <w:t xml:space="preserve">. L’on comprend donc intuitivement que la situation de la dette souveraine d’un </w:t>
      </w:r>
      <w:r w:rsidRPr="00E72418">
        <w:rPr>
          <w:szCs w:val="24"/>
          <w:lang w:eastAsia="fr-BE"/>
        </w:rPr>
        <w:t>É</w:t>
      </w:r>
      <w:r w:rsidR="001E1279" w:rsidRPr="00E72418">
        <w:rPr>
          <w:rFonts w:cs="Times New Roman"/>
          <w:szCs w:val="24"/>
        </w:rPr>
        <w:t xml:space="preserve">tat </w:t>
      </w:r>
      <w:r w:rsidRPr="00E72418">
        <w:rPr>
          <w:rFonts w:cs="Times New Roman"/>
          <w:szCs w:val="24"/>
        </w:rPr>
        <w:t>et</w:t>
      </w:r>
      <w:r w:rsidR="001E1279" w:rsidRPr="00E72418">
        <w:rPr>
          <w:rFonts w:cs="Times New Roman"/>
          <w:szCs w:val="24"/>
        </w:rPr>
        <w:t>, plus encore,</w:t>
      </w:r>
      <w:r w:rsidRPr="00E72418">
        <w:rPr>
          <w:rFonts w:cs="Times New Roman"/>
          <w:szCs w:val="24"/>
        </w:rPr>
        <w:t xml:space="preserve"> les difficultés que ce dernier peut rencontrer</w:t>
      </w:r>
      <w:r w:rsidR="001E1279" w:rsidRPr="00E72418">
        <w:rPr>
          <w:rFonts w:cs="Times New Roman"/>
          <w:szCs w:val="24"/>
        </w:rPr>
        <w:t xml:space="preserve"> à son endroit </w:t>
      </w:r>
      <w:r w:rsidR="00CC422B" w:rsidRPr="00E72418">
        <w:rPr>
          <w:rFonts w:cs="Times New Roman"/>
          <w:szCs w:val="24"/>
        </w:rPr>
        <w:t>sont de nature à</w:t>
      </w:r>
      <w:r w:rsidRPr="00E72418">
        <w:rPr>
          <w:rFonts w:cs="Times New Roman"/>
          <w:szCs w:val="24"/>
        </w:rPr>
        <w:t xml:space="preserve"> avoir des conséquences importantes sur sa stabilité</w:t>
      </w:r>
      <w:r w:rsidR="001E1279" w:rsidRPr="00E72418">
        <w:rPr>
          <w:rFonts w:cs="Times New Roman"/>
          <w:szCs w:val="24"/>
        </w:rPr>
        <w:t xml:space="preserve"> et son fonctionnement</w:t>
      </w:r>
      <w:r w:rsidRPr="00E72418">
        <w:rPr>
          <w:rStyle w:val="Appelnotedebasdep"/>
          <w:rFonts w:cs="Times New Roman"/>
          <w:szCs w:val="24"/>
        </w:rPr>
        <w:footnoteReference w:id="51"/>
      </w:r>
      <w:r w:rsidRPr="00E72418">
        <w:rPr>
          <w:rFonts w:cs="Times New Roman"/>
          <w:szCs w:val="24"/>
        </w:rPr>
        <w:t>.</w:t>
      </w:r>
    </w:p>
    <w:p w14:paraId="732D2427" w14:textId="77777777" w:rsidR="007C57EF" w:rsidRPr="00E72418" w:rsidRDefault="007C57EF" w:rsidP="00423B60"/>
    <w:p w14:paraId="25D0ED92" w14:textId="1079BEE1" w:rsidR="007C57EF" w:rsidRPr="00E72418" w:rsidRDefault="007F038F" w:rsidP="00CC4BA8">
      <w:pPr>
        <w:spacing w:line="276" w:lineRule="auto"/>
      </w:pPr>
      <w:r w:rsidRPr="00E72418">
        <w:rPr>
          <w:b/>
          <w:szCs w:val="24"/>
        </w:rPr>
        <w:t>14</w:t>
      </w:r>
      <w:r w:rsidR="007E31CD" w:rsidRPr="00E72418">
        <w:rPr>
          <w:b/>
          <w:szCs w:val="24"/>
        </w:rPr>
        <w:t xml:space="preserve">. </w:t>
      </w:r>
      <w:r w:rsidR="007C57EF" w:rsidRPr="00E72418">
        <w:rPr>
          <w:b/>
          <w:szCs w:val="24"/>
        </w:rPr>
        <w:t>Le surendettement généralisé et non régulé –</w:t>
      </w:r>
      <w:r w:rsidR="007C57EF" w:rsidRPr="00E72418">
        <w:rPr>
          <w:szCs w:val="24"/>
        </w:rPr>
        <w:t xml:space="preserve"> L’ensemble des </w:t>
      </w:r>
      <w:r w:rsidR="007C57EF" w:rsidRPr="00E72418">
        <w:rPr>
          <w:szCs w:val="24"/>
          <w:lang w:eastAsia="fr-BE"/>
        </w:rPr>
        <w:t>É</w:t>
      </w:r>
      <w:r w:rsidR="007C57EF" w:rsidRPr="00E72418">
        <w:rPr>
          <w:szCs w:val="24"/>
        </w:rPr>
        <w:t xml:space="preserve">tats, et non </w:t>
      </w:r>
      <w:r w:rsidR="007A75BC" w:rsidRPr="00E72418">
        <w:rPr>
          <w:szCs w:val="24"/>
        </w:rPr>
        <w:t>uniquement</w:t>
      </w:r>
      <w:r w:rsidR="006943B0" w:rsidRPr="00E72418">
        <w:rPr>
          <w:szCs w:val="24"/>
        </w:rPr>
        <w:t xml:space="preserve"> les </w:t>
      </w:r>
      <w:r w:rsidR="007C57EF" w:rsidRPr="00E72418">
        <w:rPr>
          <w:szCs w:val="24"/>
          <w:lang w:eastAsia="fr-BE"/>
        </w:rPr>
        <w:t>É</w:t>
      </w:r>
      <w:r w:rsidR="007C57EF" w:rsidRPr="00E72418">
        <w:rPr>
          <w:szCs w:val="24"/>
        </w:rPr>
        <w:t>tats pauvres, recour</w:t>
      </w:r>
      <w:r w:rsidR="006943B0" w:rsidRPr="00E72418">
        <w:rPr>
          <w:szCs w:val="24"/>
        </w:rPr>
        <w:t>en</w:t>
      </w:r>
      <w:r w:rsidR="007C57EF" w:rsidRPr="00E72418">
        <w:rPr>
          <w:szCs w:val="24"/>
        </w:rPr>
        <w:t xml:space="preserve">t à l’emprunt afin de se financer. Si le financement par la dette est un phénomène généralisé, il </w:t>
      </w:r>
      <w:r w:rsidR="001E1279" w:rsidRPr="00E72418">
        <w:rPr>
          <w:szCs w:val="24"/>
        </w:rPr>
        <w:t>en est un</w:t>
      </w:r>
      <w:r w:rsidR="007C57EF" w:rsidRPr="00E72418">
        <w:rPr>
          <w:szCs w:val="24"/>
        </w:rPr>
        <w:t xml:space="preserve"> autre qu’est </w:t>
      </w:r>
      <w:r w:rsidR="001E1279" w:rsidRPr="00E72418">
        <w:rPr>
          <w:szCs w:val="24"/>
        </w:rPr>
        <w:t>celui</w:t>
      </w:r>
      <w:r w:rsidR="007C57EF" w:rsidRPr="00E72418">
        <w:rPr>
          <w:szCs w:val="24"/>
        </w:rPr>
        <w:t xml:space="preserve"> de l’absence de mesure de l’endettement. Aucune règle</w:t>
      </w:r>
      <w:r w:rsidR="007C57EF" w:rsidRPr="00E72418">
        <w:t xml:space="preserve"> de droit international à portée globale n’encadrant ou ne limitant l’endettement des </w:t>
      </w:r>
      <w:r w:rsidR="007C57EF" w:rsidRPr="00E72418">
        <w:rPr>
          <w:lang w:eastAsia="fr-BE"/>
        </w:rPr>
        <w:t>É</w:t>
      </w:r>
      <w:r w:rsidR="007C57EF" w:rsidRPr="00E72418">
        <w:t>tats</w:t>
      </w:r>
      <w:r w:rsidR="007C57EF" w:rsidRPr="00E72418">
        <w:rPr>
          <w:rStyle w:val="Appelnotedebasdep"/>
        </w:rPr>
        <w:footnoteReference w:id="52"/>
      </w:r>
      <w:r w:rsidR="007C57EF" w:rsidRPr="00E72418">
        <w:t xml:space="preserve">, l’on constate que le surendettement étatique est une caractéristique </w:t>
      </w:r>
      <w:r w:rsidR="001E1279" w:rsidRPr="00E72418">
        <w:t>récurrente</w:t>
      </w:r>
      <w:r w:rsidR="007C57EF" w:rsidRPr="00E72418">
        <w:t xml:space="preserve"> des finances </w:t>
      </w:r>
      <w:r w:rsidR="001E1279" w:rsidRPr="00E72418">
        <w:t xml:space="preserve">publiques </w:t>
      </w:r>
      <w:r w:rsidR="007C57EF" w:rsidRPr="00E72418">
        <w:t xml:space="preserve">des </w:t>
      </w:r>
      <w:r w:rsidR="007C57EF" w:rsidRPr="00E72418">
        <w:rPr>
          <w:lang w:eastAsia="fr-BE"/>
        </w:rPr>
        <w:t>É</w:t>
      </w:r>
      <w:r w:rsidR="007C57EF" w:rsidRPr="00E72418">
        <w:t>tats</w:t>
      </w:r>
      <w:r w:rsidR="006943B0" w:rsidRPr="00E72418">
        <w:t>,</w:t>
      </w:r>
      <w:r w:rsidR="007C57EF" w:rsidRPr="00E72418">
        <w:t xml:space="preserve"> qu’ils soient développés ou en développement</w:t>
      </w:r>
      <w:r w:rsidR="007C57EF" w:rsidRPr="00E72418">
        <w:rPr>
          <w:rStyle w:val="Appelnotedebasdep"/>
          <w:rFonts w:cs="Times New Roman"/>
        </w:rPr>
        <w:footnoteReference w:id="53"/>
      </w:r>
      <w:r w:rsidR="007C57EF" w:rsidRPr="00E72418">
        <w:t>.</w:t>
      </w:r>
    </w:p>
    <w:p w14:paraId="5B36C830" w14:textId="77777777" w:rsidR="007C57EF" w:rsidRPr="00E72418" w:rsidRDefault="007C57EF" w:rsidP="00423B60"/>
    <w:p w14:paraId="5FAAC495" w14:textId="7A552422" w:rsidR="007C57EF" w:rsidRPr="00E72418" w:rsidRDefault="000764CE" w:rsidP="00CC4BA8">
      <w:pPr>
        <w:pStyle w:val="CC"/>
        <w:spacing w:line="276" w:lineRule="auto"/>
      </w:pPr>
      <w:bookmarkStart w:id="14" w:name="_Toc59280869"/>
      <w:bookmarkStart w:id="15" w:name="_Toc75106053"/>
      <w:bookmarkStart w:id="16" w:name="_Toc84540860"/>
      <w:r w:rsidRPr="00E72418">
        <w:t xml:space="preserve">Chapitre </w:t>
      </w:r>
      <w:r w:rsidR="003C32DE" w:rsidRPr="00E72418">
        <w:t xml:space="preserve">2 : </w:t>
      </w:r>
      <w:r w:rsidR="00D016C1" w:rsidRPr="00E72418">
        <w:t>Une b</w:t>
      </w:r>
      <w:r w:rsidR="0066118F" w:rsidRPr="00E72418">
        <w:t xml:space="preserve">rève histoire </w:t>
      </w:r>
      <w:r w:rsidR="007C57EF" w:rsidRPr="00E72418">
        <w:t>récent</w:t>
      </w:r>
      <w:r w:rsidR="0066118F" w:rsidRPr="00E72418">
        <w:t>e</w:t>
      </w:r>
      <w:r w:rsidR="007C57EF" w:rsidRPr="00E72418">
        <w:t xml:space="preserve"> du financement étatique</w:t>
      </w:r>
      <w:bookmarkEnd w:id="14"/>
      <w:bookmarkEnd w:id="15"/>
      <w:bookmarkEnd w:id="16"/>
    </w:p>
    <w:p w14:paraId="35447E97" w14:textId="77777777" w:rsidR="007C57EF" w:rsidRPr="00E72418" w:rsidRDefault="007C57EF" w:rsidP="00423B60"/>
    <w:p w14:paraId="21F392D4" w14:textId="1F615252"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15</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Une </w:t>
      </w:r>
      <w:r w:rsidR="000C00AF" w:rsidRPr="00E72418">
        <w:rPr>
          <w:rFonts w:ascii="Times New Roman" w:hAnsi="Times New Roman" w:cs="Times New Roman"/>
          <w:b/>
        </w:rPr>
        <w:t xml:space="preserve">très </w:t>
      </w:r>
      <w:r w:rsidR="007C57EF" w:rsidRPr="00E72418">
        <w:rPr>
          <w:rFonts w:ascii="Times New Roman" w:hAnsi="Times New Roman" w:cs="Times New Roman"/>
          <w:b/>
        </w:rPr>
        <w:t>rapide remontée dans le temps –</w:t>
      </w:r>
      <w:r w:rsidR="007C57EF" w:rsidRPr="00E72418">
        <w:rPr>
          <w:rFonts w:ascii="Times New Roman" w:hAnsi="Times New Roman" w:cs="Times New Roman"/>
        </w:rPr>
        <w:t xml:space="preserve"> Si jusqu’au </w:t>
      </w:r>
      <w:r w:rsidR="004A786F" w:rsidRPr="00E72418">
        <w:rPr>
          <w:rFonts w:ascii="Times New Roman" w:hAnsi="Times New Roman" w:cs="Times New Roman"/>
        </w:rPr>
        <w:t>dix-neuvième</w:t>
      </w:r>
      <w:r w:rsidR="007C57EF" w:rsidRPr="00E72418">
        <w:rPr>
          <w:rFonts w:ascii="Times New Roman" w:hAnsi="Times New Roman" w:cs="Times New Roman"/>
        </w:rPr>
        <w:t xml:space="preserve"> siècle, l’argent était largement emprunté par les </w:t>
      </w:r>
      <w:r w:rsidR="007C57EF" w:rsidRPr="00E72418">
        <w:rPr>
          <w:rFonts w:ascii="Times New Roman" w:hAnsi="Times New Roman" w:cs="Times New Roman"/>
          <w:lang w:eastAsia="fr-BE"/>
        </w:rPr>
        <w:t>É</w:t>
      </w:r>
      <w:r w:rsidR="007C57EF" w:rsidRPr="00E72418">
        <w:rPr>
          <w:rFonts w:ascii="Times New Roman" w:hAnsi="Times New Roman" w:cs="Times New Roman"/>
        </w:rPr>
        <w:t>ta</w:t>
      </w:r>
      <w:r w:rsidR="001E1279" w:rsidRPr="00E72418">
        <w:rPr>
          <w:rFonts w:ascii="Times New Roman" w:hAnsi="Times New Roman" w:cs="Times New Roman"/>
        </w:rPr>
        <w:t>ts aux banques commerciales, leurs</w:t>
      </w:r>
      <w:r w:rsidR="007C57EF" w:rsidRPr="00E72418">
        <w:rPr>
          <w:rFonts w:ascii="Times New Roman" w:hAnsi="Times New Roman" w:cs="Times New Roman"/>
        </w:rPr>
        <w:t xml:space="preserve"> engagements financiers étant principalement des prêts souscrits auprès de celles-ci,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se tournèrent </w:t>
      </w:r>
      <w:r w:rsidR="006943B0" w:rsidRPr="00E72418">
        <w:rPr>
          <w:rFonts w:ascii="Times New Roman" w:hAnsi="Times New Roman" w:cs="Times New Roman"/>
        </w:rPr>
        <w:t>ensuite</w:t>
      </w:r>
      <w:r w:rsidR="007C57EF" w:rsidRPr="00E72418">
        <w:rPr>
          <w:rFonts w:ascii="Times New Roman" w:hAnsi="Times New Roman" w:cs="Times New Roman"/>
        </w:rPr>
        <w:t xml:space="preserve"> vers des porteurs d’obligations</w:t>
      </w:r>
      <w:r w:rsidR="00EF0577" w:rsidRPr="00E72418">
        <w:rPr>
          <w:rFonts w:ascii="Times New Roman" w:hAnsi="Times New Roman" w:cs="Times New Roman"/>
        </w:rPr>
        <w:t xml:space="preserve">, passant par le </w:t>
      </w:r>
      <w:r w:rsidR="00EF0577" w:rsidRPr="00E72418">
        <w:rPr>
          <w:lang w:val="fr-BE" w:eastAsia="fr-BE"/>
        </w:rPr>
        <w:t xml:space="preserve">développement de véritables marchés financiers internationaux dont le </w:t>
      </w:r>
      <w:r w:rsidR="00EF0577" w:rsidRPr="00E72418">
        <w:rPr>
          <w:i/>
          <w:lang w:val="fr-BE" w:eastAsia="fr-BE"/>
        </w:rPr>
        <w:t>London Stock Exchange</w:t>
      </w:r>
      <w:r w:rsidR="00EF0577" w:rsidRPr="00E72418">
        <w:rPr>
          <w:lang w:val="fr-BE" w:eastAsia="fr-BE"/>
        </w:rPr>
        <w:t>,</w:t>
      </w:r>
      <w:r w:rsidR="00AF5D20" w:rsidRPr="00E72418">
        <w:rPr>
          <w:rFonts w:ascii="Times New Roman" w:hAnsi="Times New Roman" w:cs="Times New Roman"/>
        </w:rPr>
        <w:t xml:space="preserve"> de sorte que coexistèrent ainsi les financements bancaire et boursier</w:t>
      </w:r>
      <w:r w:rsidR="007C57EF" w:rsidRPr="00E72418">
        <w:rPr>
          <w:rStyle w:val="Appelnotedebasdep"/>
          <w:rFonts w:ascii="Times New Roman" w:hAnsi="Times New Roman" w:cs="Times New Roman"/>
        </w:rPr>
        <w:footnoteReference w:id="54"/>
      </w:r>
      <w:r w:rsidR="001A7E21" w:rsidRPr="00E72418">
        <w:rPr>
          <w:rFonts w:ascii="Times New Roman" w:hAnsi="Times New Roman" w:cs="Times New Roman"/>
        </w:rPr>
        <w:t>. A</w:t>
      </w:r>
      <w:r w:rsidR="007C57EF" w:rsidRPr="00E72418">
        <w:rPr>
          <w:rFonts w:ascii="Times New Roman" w:hAnsi="Times New Roman" w:cs="Times New Roman"/>
        </w:rPr>
        <w:t xml:space="preserve">près la seconde guerre mondiale, le financement des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se fit essentiellement de manière bilatérale </w:t>
      </w:r>
      <w:r w:rsidR="004A4F70" w:rsidRPr="00E72418">
        <w:rPr>
          <w:rFonts w:ascii="Times New Roman" w:hAnsi="Times New Roman" w:cs="Times New Roman"/>
        </w:rPr>
        <w:t>et</w:t>
      </w:r>
      <w:r w:rsidR="007C57EF" w:rsidRPr="00E72418">
        <w:rPr>
          <w:rFonts w:ascii="Times New Roman" w:hAnsi="Times New Roman" w:cs="Times New Roman"/>
        </w:rPr>
        <w:t xml:space="preserve"> multilatérale</w:t>
      </w:r>
      <w:r w:rsidR="00066951" w:rsidRPr="00E72418">
        <w:rPr>
          <w:rFonts w:ascii="Times New Roman" w:hAnsi="Times New Roman" w:cs="Times New Roman"/>
        </w:rPr>
        <w:t>,</w:t>
      </w:r>
      <w:r w:rsidR="005258D9" w:rsidRPr="00E72418">
        <w:rPr>
          <w:rFonts w:ascii="Times New Roman" w:hAnsi="Times New Roman" w:cs="Times New Roman"/>
        </w:rPr>
        <w:t xml:space="preserve"> autrement dit auprès d’autres </w:t>
      </w:r>
      <w:r w:rsidR="005258D9" w:rsidRPr="00E72418">
        <w:rPr>
          <w:rFonts w:cs="Times New Roman"/>
          <w:szCs w:val="24"/>
        </w:rPr>
        <w:t>É</w:t>
      </w:r>
      <w:r w:rsidR="00066951" w:rsidRPr="00E72418">
        <w:rPr>
          <w:rFonts w:ascii="Times New Roman" w:hAnsi="Times New Roman" w:cs="Times New Roman"/>
        </w:rPr>
        <w:t>tats et d’institutions internationales</w:t>
      </w:r>
      <w:r w:rsidR="007C57EF" w:rsidRPr="00E72418">
        <w:rPr>
          <w:rFonts w:ascii="Times New Roman" w:hAnsi="Times New Roman" w:cs="Times New Roman"/>
        </w:rPr>
        <w:t xml:space="preserve">. Il s’avéra que ces formes de financement entrainèrent toute une série de problèmes. Ainsi, les prêts bilatéraux concédés par des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allaient généralement de pair avec l’achat de produits et de services proposés par les industries du pays préteur, tandis que les prêts multilatéraux octroyés par les institutions internationales étaient quant à eux </w:t>
      </w:r>
      <w:r w:rsidR="007C57EF" w:rsidRPr="00E72418">
        <w:rPr>
          <w:rFonts w:ascii="Times New Roman" w:hAnsi="Times New Roman" w:cs="Times New Roman"/>
        </w:rPr>
        <w:lastRenderedPageBreak/>
        <w:t xml:space="preserve">souvent subordonnés à des conditions impliquant d’importantes intrusions dans les affaires internes des </w:t>
      </w:r>
      <w:r w:rsidR="007C57EF" w:rsidRPr="00E72418">
        <w:rPr>
          <w:rFonts w:ascii="Times New Roman" w:hAnsi="Times New Roman" w:cs="Times New Roman"/>
          <w:lang w:eastAsia="fr-BE"/>
        </w:rPr>
        <w:t>É</w:t>
      </w:r>
      <w:r w:rsidR="007C57EF" w:rsidRPr="00E72418">
        <w:rPr>
          <w:rFonts w:ascii="Times New Roman" w:hAnsi="Times New Roman" w:cs="Times New Roman"/>
        </w:rPr>
        <w:t>tats emprunteurs</w:t>
      </w:r>
      <w:r w:rsidR="007C57EF" w:rsidRPr="00E72418">
        <w:rPr>
          <w:rStyle w:val="Appelnotedebasdep"/>
          <w:rFonts w:ascii="Times New Roman" w:hAnsi="Times New Roman" w:cs="Times New Roman"/>
        </w:rPr>
        <w:footnoteReference w:id="55"/>
      </w:r>
      <w:r w:rsidR="007C57EF" w:rsidRPr="00E72418">
        <w:rPr>
          <w:rFonts w:ascii="Times New Roman" w:hAnsi="Times New Roman" w:cs="Times New Roman"/>
        </w:rPr>
        <w:t xml:space="preserve">. </w:t>
      </w:r>
    </w:p>
    <w:p w14:paraId="185492E7" w14:textId="77777777" w:rsidR="007C57EF" w:rsidRPr="00E72418" w:rsidRDefault="007C57EF" w:rsidP="00423B60"/>
    <w:p w14:paraId="7F94711F" w14:textId="6322CBB7"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16</w:t>
      </w:r>
      <w:r w:rsidR="007E31CD" w:rsidRPr="00E72418">
        <w:rPr>
          <w:rFonts w:ascii="Times New Roman" w:hAnsi="Times New Roman" w:cs="Times New Roman"/>
          <w:b/>
        </w:rPr>
        <w:t xml:space="preserve">. </w:t>
      </w:r>
      <w:r w:rsidR="007C57EF" w:rsidRPr="00E72418">
        <w:rPr>
          <w:rFonts w:ascii="Times New Roman" w:hAnsi="Times New Roman" w:cs="Times New Roman"/>
          <w:b/>
        </w:rPr>
        <w:t>Les « syndicated loan</w:t>
      </w:r>
      <w:r w:rsidR="00144645" w:rsidRPr="00E72418">
        <w:rPr>
          <w:rFonts w:ascii="Times New Roman" w:hAnsi="Times New Roman" w:cs="Times New Roman"/>
          <w:b/>
        </w:rPr>
        <w:t xml:space="preserve"> contracts » et la crise sud-</w:t>
      </w:r>
      <w:r w:rsidR="007C57EF" w:rsidRPr="00E72418">
        <w:rPr>
          <w:rFonts w:ascii="Times New Roman" w:hAnsi="Times New Roman" w:cs="Times New Roman"/>
          <w:b/>
        </w:rPr>
        <w:t>américaine –</w:t>
      </w:r>
      <w:r w:rsidR="007C57EF" w:rsidRPr="00E72418">
        <w:rPr>
          <w:rFonts w:ascii="Times New Roman" w:hAnsi="Times New Roman" w:cs="Times New Roman"/>
        </w:rPr>
        <w:t xml:space="preserve"> Les écueils du financement bilatéral et multilatéral conduisirent les </w:t>
      </w:r>
      <w:r w:rsidR="007C57EF" w:rsidRPr="00E72418">
        <w:rPr>
          <w:rFonts w:ascii="Times New Roman" w:hAnsi="Times New Roman" w:cs="Times New Roman"/>
          <w:lang w:eastAsia="fr-BE"/>
        </w:rPr>
        <w:t>É</w:t>
      </w:r>
      <w:r w:rsidR="007C57EF" w:rsidRPr="00E72418">
        <w:rPr>
          <w:rFonts w:ascii="Times New Roman" w:hAnsi="Times New Roman" w:cs="Times New Roman"/>
        </w:rPr>
        <w:t>tats emprunteurs à se tourner vers les banques commerciales afin de se financer</w:t>
      </w:r>
      <w:r w:rsidR="007C57EF" w:rsidRPr="00E72418">
        <w:rPr>
          <w:rStyle w:val="Appelnotedebasdep"/>
          <w:rFonts w:ascii="Times New Roman" w:hAnsi="Times New Roman" w:cs="Times New Roman"/>
        </w:rPr>
        <w:footnoteReference w:id="56"/>
      </w:r>
      <w:r w:rsidR="007C57EF" w:rsidRPr="00E72418">
        <w:rPr>
          <w:rFonts w:ascii="Times New Roman" w:hAnsi="Times New Roman" w:cs="Times New Roman"/>
        </w:rPr>
        <w:t>. Les contrats d’emprunt</w:t>
      </w:r>
      <w:r w:rsidR="004A4F70" w:rsidRPr="00E72418">
        <w:rPr>
          <w:rFonts w:ascii="Times New Roman" w:hAnsi="Times New Roman" w:cs="Times New Roman"/>
        </w:rPr>
        <w:t>s</w:t>
      </w:r>
      <w:r w:rsidR="007C57EF" w:rsidRPr="00E72418">
        <w:rPr>
          <w:rFonts w:ascii="Times New Roman" w:hAnsi="Times New Roman" w:cs="Times New Roman"/>
        </w:rPr>
        <w:t xml:space="preserve"> syndiqué</w:t>
      </w:r>
      <w:r w:rsidR="004A4F70" w:rsidRPr="00E72418">
        <w:rPr>
          <w:rFonts w:ascii="Times New Roman" w:hAnsi="Times New Roman" w:cs="Times New Roman"/>
        </w:rPr>
        <w:t>s, les</w:t>
      </w:r>
      <w:r w:rsidR="007C57EF" w:rsidRPr="00E72418">
        <w:rPr>
          <w:rFonts w:ascii="Times New Roman" w:hAnsi="Times New Roman" w:cs="Times New Roman"/>
        </w:rPr>
        <w:t xml:space="preserve"> « syndicated loan contracts », devinrent</w:t>
      </w:r>
      <w:r w:rsidR="004A4F70" w:rsidRPr="00E72418">
        <w:rPr>
          <w:rFonts w:ascii="Times New Roman" w:hAnsi="Times New Roman" w:cs="Times New Roman"/>
        </w:rPr>
        <w:t xml:space="preserve"> alors</w:t>
      </w:r>
      <w:r w:rsidR="007C57EF" w:rsidRPr="00E72418">
        <w:rPr>
          <w:rFonts w:ascii="Times New Roman" w:hAnsi="Times New Roman" w:cs="Times New Roman"/>
        </w:rPr>
        <w:t xml:space="preserve"> la norme, le financement se faisant par l’emprunt à des banques commerciales sous un accord de prêt unique</w:t>
      </w:r>
      <w:r w:rsidR="007C57EF" w:rsidRPr="00E72418">
        <w:rPr>
          <w:rStyle w:val="Appelnotedebasdep"/>
          <w:rFonts w:ascii="Times New Roman" w:hAnsi="Times New Roman" w:cs="Times New Roman"/>
        </w:rPr>
        <w:footnoteReference w:id="57"/>
      </w:r>
      <w:r w:rsidR="007C57EF" w:rsidRPr="00E72418">
        <w:rPr>
          <w:rFonts w:ascii="Times New Roman" w:hAnsi="Times New Roman" w:cs="Times New Roman"/>
        </w:rPr>
        <w:t xml:space="preserve">. </w:t>
      </w:r>
    </w:p>
    <w:p w14:paraId="7CC49DDB" w14:textId="6B6F1B58"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Dans les années 60 et 70, de nombreux pays empruntèrent massivement auprès des banques commerciales. Particulièrement, entre 1974 et 1981, de nombreux prêts furent consentis aux économies d’Amérique du sud par le biais de groupes de banques internationales</w:t>
      </w:r>
      <w:r w:rsidR="00674C1A" w:rsidRPr="00E72418">
        <w:rPr>
          <w:rFonts w:ascii="Times New Roman" w:hAnsi="Times New Roman" w:cs="Times New Roman"/>
        </w:rPr>
        <w:t xml:space="preserve">. </w:t>
      </w:r>
      <w:r w:rsidR="00674C1A" w:rsidRPr="00E72418">
        <w:t>À</w:t>
      </w:r>
      <w:r w:rsidRPr="00E72418">
        <w:rPr>
          <w:rFonts w:ascii="Times New Roman" w:hAnsi="Times New Roman" w:cs="Times New Roman"/>
        </w:rPr>
        <w:t xml:space="preserve"> cette époque était rencontré un excès de liquidités dans les marchés financiers lequel provenait des</w:t>
      </w:r>
      <w:r w:rsidRPr="00E72418">
        <w:t xml:space="preserve"> </w:t>
      </w:r>
      <w:r w:rsidR="00CC422B" w:rsidRPr="00E72418">
        <w:rPr>
          <w:rFonts w:ascii="Times New Roman" w:hAnsi="Times New Roman" w:cs="Times New Roman"/>
        </w:rPr>
        <w:t>pétro</w:t>
      </w:r>
      <w:r w:rsidRPr="00E72418">
        <w:rPr>
          <w:rFonts w:ascii="Times New Roman" w:hAnsi="Times New Roman" w:cs="Times New Roman"/>
        </w:rPr>
        <w:t>dollars du Moyen-Orient dérivant des hausses des prix du pétrole</w:t>
      </w:r>
      <w:r w:rsidRPr="00E72418">
        <w:rPr>
          <w:rStyle w:val="Appelnotedebasdep"/>
          <w:rFonts w:ascii="Times New Roman" w:hAnsi="Times New Roman" w:cs="Times New Roman"/>
        </w:rPr>
        <w:footnoteReference w:id="58"/>
      </w:r>
      <w:r w:rsidRPr="00E72418">
        <w:rPr>
          <w:rFonts w:ascii="Times New Roman" w:hAnsi="Times New Roman" w:cs="Times New Roman"/>
        </w:rPr>
        <w:t xml:space="preserve">. Comme le note </w:t>
      </w:r>
      <w:r w:rsidR="005C18A8" w:rsidRPr="00E72418">
        <w:rPr>
          <w:rFonts w:ascii="Times New Roman" w:hAnsi="Times New Roman" w:cs="Times New Roman"/>
        </w:rPr>
        <w:t xml:space="preserve">Ryan </w:t>
      </w:r>
      <w:r w:rsidRPr="00E72418">
        <w:rPr>
          <w:rFonts w:ascii="Times New Roman" w:hAnsi="Times New Roman" w:cs="Times New Roman"/>
        </w:rPr>
        <w:t>Avery, « [f]unding was fueled by the creditor’s confident perception that Latin America was a credit-worthy risk, and less-developed countries increasingly sought larger amounts of capital to sustain the region’s “ideology of growth” »</w:t>
      </w:r>
      <w:r w:rsidRPr="00E72418">
        <w:rPr>
          <w:rStyle w:val="Appelnotedebasdep"/>
          <w:rFonts w:ascii="Times New Roman" w:hAnsi="Times New Roman" w:cs="Times New Roman"/>
        </w:rPr>
        <w:footnoteReference w:id="59"/>
      </w:r>
      <w:r w:rsidRPr="00E72418">
        <w:rPr>
          <w:rFonts w:ascii="Times New Roman" w:hAnsi="Times New Roman" w:cs="Times New Roman"/>
        </w:rPr>
        <w:t>.</w:t>
      </w:r>
      <w:r w:rsidR="007C1D4C" w:rsidRPr="00E72418">
        <w:rPr>
          <w:rFonts w:ascii="Times New Roman" w:hAnsi="Times New Roman" w:cs="Times New Roman"/>
        </w:rPr>
        <w:t xml:space="preserve"> Le recours à ce type de fina</w:t>
      </w:r>
      <w:r w:rsidR="0067312A" w:rsidRPr="00E72418">
        <w:rPr>
          <w:rFonts w:ascii="Times New Roman" w:hAnsi="Times New Roman" w:cs="Times New Roman"/>
        </w:rPr>
        <w:t xml:space="preserve">ncement était apprécié par les </w:t>
      </w:r>
      <w:r w:rsidR="0067312A" w:rsidRPr="00E72418">
        <w:rPr>
          <w:rFonts w:cs="Times New Roman"/>
          <w:szCs w:val="24"/>
        </w:rPr>
        <w:t>É</w:t>
      </w:r>
      <w:r w:rsidR="007C1D4C" w:rsidRPr="00E72418">
        <w:rPr>
          <w:rFonts w:ascii="Times New Roman" w:hAnsi="Times New Roman" w:cs="Times New Roman"/>
        </w:rPr>
        <w:t>tats souverains dans la mesure où il leur permettait de s’affranchir de la conditionnalité imposée par les prêteurs institutionnels et de mobiliser aisément d’importants moyens nécessaires à des projets d’envergure</w:t>
      </w:r>
      <w:r w:rsidR="007C1D4C" w:rsidRPr="00E72418">
        <w:rPr>
          <w:rStyle w:val="Appelnotedebasdep"/>
          <w:rFonts w:ascii="Times New Roman" w:hAnsi="Times New Roman" w:cs="Times New Roman"/>
        </w:rPr>
        <w:footnoteReference w:id="60"/>
      </w:r>
      <w:r w:rsidR="007C1D4C" w:rsidRPr="00E72418">
        <w:rPr>
          <w:rFonts w:ascii="Times New Roman" w:hAnsi="Times New Roman" w:cs="Times New Roman"/>
        </w:rPr>
        <w:t>.</w:t>
      </w:r>
    </w:p>
    <w:p w14:paraId="1DE8D478" w14:textId="312033D1"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Au début des années 80, dans un contexte où les </w:t>
      </w:r>
      <w:r w:rsidRPr="00E72418">
        <w:rPr>
          <w:rFonts w:ascii="Times New Roman" w:hAnsi="Times New Roman" w:cs="Times New Roman"/>
          <w:lang w:eastAsia="fr-BE"/>
        </w:rPr>
        <w:t>É</w:t>
      </w:r>
      <w:r w:rsidRPr="00E72418">
        <w:rPr>
          <w:rFonts w:ascii="Times New Roman" w:hAnsi="Times New Roman" w:cs="Times New Roman"/>
        </w:rPr>
        <w:t xml:space="preserve">tats avaient emprunté plus que de raison, explosa la crise de la dette </w:t>
      </w:r>
      <w:r w:rsidR="00144645" w:rsidRPr="00E72418">
        <w:rPr>
          <w:rFonts w:ascii="Times New Roman" w:hAnsi="Times New Roman" w:cs="Times New Roman"/>
        </w:rPr>
        <w:t>sud-</w:t>
      </w:r>
      <w:r w:rsidR="004A4F70" w:rsidRPr="00E72418">
        <w:rPr>
          <w:rFonts w:ascii="Times New Roman" w:hAnsi="Times New Roman" w:cs="Times New Roman"/>
        </w:rPr>
        <w:t xml:space="preserve">américaine </w:t>
      </w:r>
      <w:r w:rsidRPr="00E72418">
        <w:rPr>
          <w:rFonts w:ascii="Times New Roman" w:hAnsi="Times New Roman" w:cs="Times New Roman"/>
        </w:rPr>
        <w:t>après une augmentation brutale des taux d’intérêt</w:t>
      </w:r>
      <w:r w:rsidR="004A4F70" w:rsidRPr="00E72418">
        <w:rPr>
          <w:rFonts w:ascii="Times New Roman" w:hAnsi="Times New Roman" w:cs="Times New Roman"/>
        </w:rPr>
        <w:t>s</w:t>
      </w:r>
      <w:r w:rsidRPr="00E72418">
        <w:rPr>
          <w:rFonts w:ascii="Times New Roman" w:hAnsi="Times New Roman" w:cs="Times New Roman"/>
        </w:rPr>
        <w:t xml:space="preserve"> étatsuniens. La plupart des pays d’Amérique </w:t>
      </w:r>
      <w:r w:rsidR="00144645" w:rsidRPr="00E72418">
        <w:rPr>
          <w:rFonts w:ascii="Times New Roman" w:hAnsi="Times New Roman" w:cs="Times New Roman"/>
        </w:rPr>
        <w:t>latine</w:t>
      </w:r>
      <w:r w:rsidRPr="00E72418">
        <w:rPr>
          <w:rFonts w:ascii="Times New Roman" w:hAnsi="Times New Roman" w:cs="Times New Roman"/>
        </w:rPr>
        <w:t xml:space="preserve"> surendettés fu</w:t>
      </w:r>
      <w:r w:rsidR="006943B0" w:rsidRPr="00E72418">
        <w:rPr>
          <w:rFonts w:ascii="Times New Roman" w:hAnsi="Times New Roman" w:cs="Times New Roman"/>
        </w:rPr>
        <w:t>ren</w:t>
      </w:r>
      <w:r w:rsidRPr="00E72418">
        <w:rPr>
          <w:rFonts w:ascii="Times New Roman" w:hAnsi="Times New Roman" w:cs="Times New Roman"/>
        </w:rPr>
        <w:t>t incapable</w:t>
      </w:r>
      <w:r w:rsidR="006943B0" w:rsidRPr="00E72418">
        <w:rPr>
          <w:rFonts w:ascii="Times New Roman" w:hAnsi="Times New Roman" w:cs="Times New Roman"/>
        </w:rPr>
        <w:t>s</w:t>
      </w:r>
      <w:r w:rsidRPr="00E72418">
        <w:rPr>
          <w:rFonts w:ascii="Times New Roman" w:hAnsi="Times New Roman" w:cs="Times New Roman"/>
        </w:rPr>
        <w:t xml:space="preserve"> de satisfaire les échéances des dettes</w:t>
      </w:r>
      <w:r w:rsidR="0033545A" w:rsidRPr="00E72418">
        <w:rPr>
          <w:rFonts w:ascii="Times New Roman" w:hAnsi="Times New Roman" w:cs="Times New Roman"/>
        </w:rPr>
        <w:t>,</w:t>
      </w:r>
      <w:r w:rsidRPr="00E72418">
        <w:rPr>
          <w:rFonts w:ascii="Times New Roman" w:hAnsi="Times New Roman" w:cs="Times New Roman"/>
        </w:rPr>
        <w:t xml:space="preserve"> et ce, même en mettant en place des programmes d’ajustement douloureux</w:t>
      </w:r>
      <w:r w:rsidRPr="00E72418">
        <w:rPr>
          <w:rStyle w:val="Appelnotedebasdep"/>
          <w:rFonts w:ascii="Times New Roman" w:hAnsi="Times New Roman" w:cs="Times New Roman"/>
        </w:rPr>
        <w:footnoteReference w:id="61"/>
      </w:r>
      <w:r w:rsidR="00B17E69" w:rsidRPr="00E72418">
        <w:rPr>
          <w:rFonts w:ascii="Times New Roman" w:hAnsi="Times New Roman" w:cs="Times New Roman"/>
        </w:rPr>
        <w:t xml:space="preserve">. </w:t>
      </w:r>
      <w:r w:rsidR="00674C1A" w:rsidRPr="00E72418">
        <w:t>À</w:t>
      </w:r>
      <w:r w:rsidRPr="00E72418">
        <w:rPr>
          <w:rFonts w:ascii="Times New Roman" w:hAnsi="Times New Roman" w:cs="Times New Roman"/>
        </w:rPr>
        <w:t xml:space="preserve"> l’augmentation des taux, s’ajouta une récession qui conduisit à une chaîne de défauts souverains, en commençant par le Mexique en 1982 suiv</w:t>
      </w:r>
      <w:r w:rsidR="00CC422B" w:rsidRPr="00E72418">
        <w:rPr>
          <w:rFonts w:ascii="Times New Roman" w:hAnsi="Times New Roman" w:cs="Times New Roman"/>
        </w:rPr>
        <w:t>i par notamment le Brésil, le Vene</w:t>
      </w:r>
      <w:r w:rsidRPr="00E72418">
        <w:rPr>
          <w:rFonts w:ascii="Times New Roman" w:hAnsi="Times New Roman" w:cs="Times New Roman"/>
        </w:rPr>
        <w:t>zuela ou encore la Bolivie. L’ampleur de la crise des années 80 déclenchée par le défaut mexicain la fit reconnaître par certains comme étant la pire crise de l’économie mondiale depuis la crise des années 30</w:t>
      </w:r>
      <w:r w:rsidRPr="00E72418">
        <w:rPr>
          <w:rStyle w:val="Appelnotedebasdep"/>
          <w:rFonts w:ascii="Times New Roman" w:hAnsi="Times New Roman" w:cs="Times New Roman"/>
        </w:rPr>
        <w:footnoteReference w:id="62"/>
      </w:r>
      <w:r w:rsidRPr="00E72418">
        <w:rPr>
          <w:rFonts w:ascii="Times New Roman" w:hAnsi="Times New Roman" w:cs="Times New Roman"/>
        </w:rPr>
        <w:t>.</w:t>
      </w:r>
    </w:p>
    <w:p w14:paraId="082BC774" w14:textId="2D9F17F0"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lastRenderedPageBreak/>
        <w:t>Face à cette crise, les banques commerciales furent réticentes à admettre les pertes dans leurs bilans, ce qui aurait conduit certaines d’entre elles à la faillite et aurait exposé la fragilité du système financier international</w:t>
      </w:r>
      <w:r w:rsidRPr="00E72418">
        <w:rPr>
          <w:rStyle w:val="Appelnotedebasdep"/>
          <w:rFonts w:ascii="Times New Roman" w:hAnsi="Times New Roman" w:cs="Times New Roman"/>
        </w:rPr>
        <w:footnoteReference w:id="63"/>
      </w:r>
      <w:r w:rsidRPr="00E72418">
        <w:rPr>
          <w:rFonts w:ascii="Times New Roman" w:hAnsi="Times New Roman" w:cs="Times New Roman"/>
        </w:rPr>
        <w:t>. Le « Program for Sustained Economic Growth », plus connu sous le nom de plan « Baker »</w:t>
      </w:r>
      <w:r w:rsidR="004A4F70" w:rsidRPr="00E72418">
        <w:rPr>
          <w:rFonts w:ascii="Times New Roman" w:hAnsi="Times New Roman" w:cs="Times New Roman"/>
        </w:rPr>
        <w:t>,</w:t>
      </w:r>
      <w:r w:rsidRPr="00E72418">
        <w:rPr>
          <w:rFonts w:ascii="Times New Roman" w:hAnsi="Times New Roman" w:cs="Times New Roman"/>
        </w:rPr>
        <w:t xml:space="preserve"> fut, au </w:t>
      </w:r>
      <w:r w:rsidR="007B1269" w:rsidRPr="00E72418">
        <w:rPr>
          <w:rFonts w:ascii="Times New Roman" w:hAnsi="Times New Roman" w:cs="Times New Roman"/>
        </w:rPr>
        <w:t>milieu</w:t>
      </w:r>
      <w:r w:rsidRPr="00E72418">
        <w:rPr>
          <w:rFonts w:ascii="Times New Roman" w:hAnsi="Times New Roman" w:cs="Times New Roman"/>
        </w:rPr>
        <w:t xml:space="preserve"> des années 80, la première tentative entreprise afin de redynamiser les </w:t>
      </w:r>
      <w:r w:rsidRPr="00E72418">
        <w:rPr>
          <w:rFonts w:ascii="Times New Roman" w:hAnsi="Times New Roman" w:cs="Times New Roman"/>
          <w:lang w:eastAsia="fr-BE"/>
        </w:rPr>
        <w:t>É</w:t>
      </w:r>
      <w:r w:rsidR="004A4F70" w:rsidRPr="00E72418">
        <w:rPr>
          <w:rFonts w:ascii="Times New Roman" w:hAnsi="Times New Roman" w:cs="Times New Roman"/>
        </w:rPr>
        <w:t>tats débiteurs</w:t>
      </w:r>
      <w:r w:rsidRPr="00E72418">
        <w:rPr>
          <w:rFonts w:ascii="Times New Roman" w:hAnsi="Times New Roman" w:cs="Times New Roman"/>
        </w:rPr>
        <w:t xml:space="preserve"> en leur fournissant de nouveaux prêts tout en faisant pression pour qu’ils remboursent leurs dettes</w:t>
      </w:r>
      <w:r w:rsidRPr="00E72418">
        <w:rPr>
          <w:rStyle w:val="Appelnotedebasdep"/>
          <w:rFonts w:ascii="Times New Roman" w:hAnsi="Times New Roman" w:cs="Times New Roman"/>
        </w:rPr>
        <w:footnoteReference w:id="64"/>
      </w:r>
      <w:r w:rsidRPr="00E72418">
        <w:rPr>
          <w:rFonts w:ascii="Times New Roman" w:hAnsi="Times New Roman" w:cs="Times New Roman"/>
        </w:rPr>
        <w:t xml:space="preserve">. </w:t>
      </w:r>
      <w:r w:rsidRPr="00E72418">
        <w:rPr>
          <w:rFonts w:ascii="Times New Roman" w:hAnsi="Times New Roman" w:cs="Times New Roman"/>
          <w:szCs w:val="24"/>
        </w:rPr>
        <w:t>L’octroi de nouveaux prêts, notamment par le biais de banques multilatérales d</w:t>
      </w:r>
      <w:r w:rsidR="00CC422B" w:rsidRPr="00E72418">
        <w:rPr>
          <w:rFonts w:ascii="Times New Roman" w:hAnsi="Times New Roman" w:cs="Times New Roman"/>
          <w:szCs w:val="24"/>
        </w:rPr>
        <w:t>e développement, allait de pair</w:t>
      </w:r>
      <w:r w:rsidRPr="00E72418">
        <w:rPr>
          <w:rFonts w:ascii="Times New Roman" w:hAnsi="Times New Roman" w:cs="Times New Roman"/>
          <w:szCs w:val="24"/>
        </w:rPr>
        <w:t xml:space="preserve"> avec des réformes, telles des privatisations d’entreprises publiques, devant </w:t>
      </w:r>
      <w:r w:rsidR="00E41806" w:rsidRPr="00E72418">
        <w:rPr>
          <w:rFonts w:ascii="Times New Roman" w:hAnsi="Times New Roman" w:cs="Times New Roman"/>
          <w:szCs w:val="24"/>
        </w:rPr>
        <w:t>conduire à</w:t>
      </w:r>
      <w:r w:rsidRPr="00E72418">
        <w:rPr>
          <w:rFonts w:ascii="Times New Roman" w:hAnsi="Times New Roman" w:cs="Times New Roman"/>
          <w:szCs w:val="24"/>
        </w:rPr>
        <w:t xml:space="preserve"> la croissance </w:t>
      </w:r>
      <w:r w:rsidR="00E41806" w:rsidRPr="00E72418">
        <w:rPr>
          <w:rFonts w:ascii="Times New Roman" w:hAnsi="Times New Roman" w:cs="Times New Roman"/>
          <w:szCs w:val="24"/>
        </w:rPr>
        <w:t>permettant ensuite</w:t>
      </w:r>
      <w:r w:rsidRPr="00E72418">
        <w:rPr>
          <w:rFonts w:ascii="Times New Roman" w:hAnsi="Times New Roman" w:cs="Times New Roman"/>
          <w:szCs w:val="24"/>
        </w:rPr>
        <w:t xml:space="preserve"> aux </w:t>
      </w:r>
      <w:r w:rsidRPr="00E72418">
        <w:rPr>
          <w:rFonts w:ascii="Times New Roman" w:hAnsi="Times New Roman" w:cs="Times New Roman"/>
          <w:lang w:eastAsia="fr-BE"/>
        </w:rPr>
        <w:t>É</w:t>
      </w:r>
      <w:r w:rsidRPr="00E72418">
        <w:rPr>
          <w:rFonts w:ascii="Times New Roman" w:hAnsi="Times New Roman" w:cs="Times New Roman"/>
          <w:szCs w:val="24"/>
        </w:rPr>
        <w:t>tats débiteurs</w:t>
      </w:r>
      <w:r w:rsidR="00E41806" w:rsidRPr="00E72418">
        <w:rPr>
          <w:rFonts w:ascii="Times New Roman" w:hAnsi="Times New Roman" w:cs="Times New Roman"/>
          <w:szCs w:val="24"/>
        </w:rPr>
        <w:t xml:space="preserve"> d’</w:t>
      </w:r>
      <w:r w:rsidRPr="00E72418">
        <w:rPr>
          <w:rFonts w:ascii="Times New Roman" w:hAnsi="Times New Roman" w:cs="Times New Roman"/>
          <w:szCs w:val="24"/>
        </w:rPr>
        <w:t>honorer leurs dettes</w:t>
      </w:r>
      <w:r w:rsidRPr="00E72418">
        <w:rPr>
          <w:rStyle w:val="Appelnotedebasdep"/>
          <w:rFonts w:ascii="Times New Roman" w:hAnsi="Times New Roman" w:cs="Times New Roman"/>
          <w:szCs w:val="24"/>
        </w:rPr>
        <w:footnoteReference w:id="65"/>
      </w:r>
      <w:r w:rsidRPr="00E72418">
        <w:rPr>
          <w:rFonts w:ascii="Times New Roman" w:hAnsi="Times New Roman" w:cs="Times New Roman"/>
          <w:szCs w:val="24"/>
        </w:rPr>
        <w:t>. Le plan visait à obtenir à travers une forme de rééchelonnement de la dette une meilleure garantie de remboursement</w:t>
      </w:r>
      <w:r w:rsidR="0033545A" w:rsidRPr="00E72418">
        <w:rPr>
          <w:rFonts w:ascii="Times New Roman" w:hAnsi="Times New Roman" w:cs="Times New Roman"/>
          <w:szCs w:val="24"/>
        </w:rPr>
        <w:t>,</w:t>
      </w:r>
      <w:r w:rsidRPr="00E72418">
        <w:rPr>
          <w:rFonts w:ascii="Times New Roman" w:hAnsi="Times New Roman" w:cs="Times New Roman"/>
          <w:szCs w:val="24"/>
        </w:rPr>
        <w:t xml:space="preserve"> et ce, à des échéances plus reculées</w:t>
      </w:r>
      <w:r w:rsidRPr="00E72418">
        <w:rPr>
          <w:rStyle w:val="Appelnotedebasdep"/>
          <w:rFonts w:ascii="Times New Roman" w:hAnsi="Times New Roman" w:cs="Times New Roman"/>
          <w:szCs w:val="24"/>
        </w:rPr>
        <w:footnoteReference w:id="66"/>
      </w:r>
      <w:r w:rsidRPr="00E72418">
        <w:rPr>
          <w:rFonts w:ascii="Times New Roman" w:hAnsi="Times New Roman" w:cs="Times New Roman"/>
          <w:szCs w:val="24"/>
        </w:rPr>
        <w:t>.</w:t>
      </w:r>
    </w:p>
    <w:p w14:paraId="128F680A" w14:textId="77777777" w:rsidR="007C57EF" w:rsidRPr="00E72418" w:rsidRDefault="007C57EF" w:rsidP="00423B60"/>
    <w:p w14:paraId="2296F245" w14:textId="55C4BFB3"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17</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Le plan « Brady » – </w:t>
      </w:r>
      <w:r w:rsidR="00E41806" w:rsidRPr="00E72418">
        <w:rPr>
          <w:rFonts w:ascii="Times New Roman" w:hAnsi="Times New Roman" w:cs="Times New Roman"/>
          <w:szCs w:val="24"/>
        </w:rPr>
        <w:t>Il fallut attendre quelque</w:t>
      </w:r>
      <w:r w:rsidR="007C57EF" w:rsidRPr="00E72418">
        <w:rPr>
          <w:rFonts w:ascii="Times New Roman" w:hAnsi="Times New Roman" w:cs="Times New Roman"/>
          <w:szCs w:val="24"/>
        </w:rPr>
        <w:t xml:space="preserve"> </w:t>
      </w:r>
      <w:r w:rsidR="00E41806" w:rsidRPr="00E72418">
        <w:rPr>
          <w:rFonts w:ascii="Times New Roman" w:hAnsi="Times New Roman" w:cs="Times New Roman"/>
          <w:szCs w:val="24"/>
        </w:rPr>
        <w:t>temps</w:t>
      </w:r>
      <w:r w:rsidR="007C57EF" w:rsidRPr="00E72418">
        <w:rPr>
          <w:rFonts w:ascii="Times New Roman" w:hAnsi="Times New Roman" w:cs="Times New Roman"/>
          <w:szCs w:val="24"/>
        </w:rPr>
        <w:t xml:space="preserve"> avant que soit appréhendée la crise de la dette sud-américaine par le biais d’une décote des créances dues. C’est à </w:t>
      </w:r>
      <w:r w:rsidR="00E41806" w:rsidRPr="00E72418">
        <w:rPr>
          <w:rFonts w:ascii="Times New Roman" w:hAnsi="Times New Roman" w:cs="Times New Roman"/>
          <w:szCs w:val="24"/>
        </w:rPr>
        <w:t>la fin des années 80</w:t>
      </w:r>
      <w:r w:rsidR="007C57EF" w:rsidRPr="00E72418">
        <w:rPr>
          <w:rFonts w:ascii="Times New Roman" w:hAnsi="Times New Roman" w:cs="Times New Roman"/>
          <w:szCs w:val="24"/>
        </w:rPr>
        <w:t xml:space="preserve"> que le plan </w:t>
      </w:r>
      <w:r w:rsidR="00A46BA5" w:rsidRPr="00E72418">
        <w:rPr>
          <w:rFonts w:ascii="Times New Roman" w:hAnsi="Times New Roman" w:cs="Times New Roman"/>
          <w:szCs w:val="24"/>
        </w:rPr>
        <w:t xml:space="preserve">dit </w:t>
      </w:r>
      <w:r w:rsidR="00E41806" w:rsidRPr="00E72418">
        <w:rPr>
          <w:rFonts w:ascii="Times New Roman" w:hAnsi="Times New Roman" w:cs="Times New Roman"/>
          <w:szCs w:val="24"/>
        </w:rPr>
        <w:t>« </w:t>
      </w:r>
      <w:r w:rsidR="007C57EF" w:rsidRPr="00E72418">
        <w:rPr>
          <w:rFonts w:ascii="Times New Roman" w:hAnsi="Times New Roman" w:cs="Times New Roman"/>
          <w:szCs w:val="24"/>
        </w:rPr>
        <w:t>Brady</w:t>
      </w:r>
      <w:r w:rsidR="00E41806" w:rsidRPr="00E72418">
        <w:rPr>
          <w:rFonts w:ascii="Times New Roman" w:hAnsi="Times New Roman" w:cs="Times New Roman"/>
          <w:szCs w:val="24"/>
        </w:rPr>
        <w:t> »</w:t>
      </w:r>
      <w:r w:rsidR="007C57EF" w:rsidRPr="00E72418">
        <w:rPr>
          <w:rFonts w:ascii="Times New Roman" w:hAnsi="Times New Roman" w:cs="Times New Roman"/>
          <w:szCs w:val="24"/>
        </w:rPr>
        <w:t>, du nom du Secrétaire d’</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 xml:space="preserve">tat au Trésor de l’administration </w:t>
      </w:r>
      <w:r w:rsidR="007C57EF" w:rsidRPr="00E72418">
        <w:rPr>
          <w:rFonts w:ascii="Times New Roman" w:hAnsi="Times New Roman" w:cs="Times New Roman"/>
          <w:bCs/>
          <w:szCs w:val="24"/>
          <w:shd w:val="clear" w:color="auto" w:fill="FFFFFF"/>
        </w:rPr>
        <w:t>George Herbert Walker Bush</w:t>
      </w:r>
      <w:r w:rsidR="007C57EF" w:rsidRPr="00E72418">
        <w:rPr>
          <w:rFonts w:ascii="Times New Roman" w:hAnsi="Times New Roman" w:cs="Times New Roman"/>
          <w:szCs w:val="24"/>
        </w:rPr>
        <w:t xml:space="preserve">, fut introduit. Comme le note </w:t>
      </w:r>
      <w:r w:rsidR="005C18A8" w:rsidRPr="00E72418">
        <w:rPr>
          <w:rFonts w:ascii="Times New Roman" w:hAnsi="Times New Roman" w:cs="Times New Roman"/>
          <w:szCs w:val="24"/>
        </w:rPr>
        <w:t xml:space="preserve">André </w:t>
      </w:r>
      <w:r w:rsidR="007C57EF" w:rsidRPr="00E72418">
        <w:rPr>
          <w:rFonts w:ascii="Times New Roman" w:hAnsi="Times New Roman" w:cs="Times New Roman"/>
          <w:szCs w:val="24"/>
        </w:rPr>
        <w:t>Nyemb</w:t>
      </w:r>
      <w:r w:rsidR="008C045F" w:rsidRPr="00E72418">
        <w:rPr>
          <w:rFonts w:ascii="Times New Roman" w:hAnsi="Times New Roman" w:cs="Times New Roman"/>
          <w:szCs w:val="24"/>
        </w:rPr>
        <w:t>w</w:t>
      </w:r>
      <w:r w:rsidR="007C57EF" w:rsidRPr="00E72418">
        <w:rPr>
          <w:rFonts w:ascii="Times New Roman" w:hAnsi="Times New Roman" w:cs="Times New Roman"/>
          <w:szCs w:val="24"/>
        </w:rPr>
        <w:t xml:space="preserve">e, « le plan Brady </w:t>
      </w:r>
      <w:r w:rsidR="007C57EF" w:rsidRPr="00E72418">
        <w:rPr>
          <w:rFonts w:ascii="Times New Roman" w:hAnsi="Times New Roman" w:cs="Times New Roman"/>
        </w:rPr>
        <w:t>[…]</w:t>
      </w:r>
      <w:r w:rsidR="007C57EF" w:rsidRPr="00E72418">
        <w:rPr>
          <w:rFonts w:ascii="Times New Roman" w:hAnsi="Times New Roman" w:cs="Times New Roman"/>
          <w:szCs w:val="24"/>
        </w:rPr>
        <w:t xml:space="preserve"> intégra formellement l’annulation partielle de la dette commerciale comme composante majeure dans la stratégie de résolution de la crise de la dette »</w:t>
      </w:r>
      <w:r w:rsidR="007C57EF" w:rsidRPr="00E72418">
        <w:rPr>
          <w:rStyle w:val="Appelnotedebasdep"/>
          <w:rFonts w:ascii="Times New Roman" w:hAnsi="Times New Roman" w:cs="Times New Roman"/>
          <w:szCs w:val="24"/>
        </w:rPr>
        <w:footnoteReference w:id="67"/>
      </w:r>
      <w:r w:rsidR="007C57EF" w:rsidRPr="00E72418">
        <w:rPr>
          <w:rFonts w:ascii="Times New Roman" w:hAnsi="Times New Roman" w:cs="Times New Roman"/>
          <w:szCs w:val="24"/>
        </w:rPr>
        <w:t>. Le plan fut mis sur pied en raison de l’importante exposition des banques américaines a</w:t>
      </w:r>
      <w:r w:rsidR="00E41806" w:rsidRPr="00E72418">
        <w:rPr>
          <w:rFonts w:ascii="Times New Roman" w:hAnsi="Times New Roman" w:cs="Times New Roman"/>
          <w:szCs w:val="24"/>
        </w:rPr>
        <w:t xml:space="preserve">u risque souverain provenant des </w:t>
      </w:r>
      <w:r w:rsidR="007C57EF" w:rsidRPr="00E72418">
        <w:rPr>
          <w:rFonts w:ascii="Times New Roman" w:hAnsi="Times New Roman" w:cs="Times New Roman"/>
          <w:szCs w:val="24"/>
        </w:rPr>
        <w:t>pays</w:t>
      </w:r>
      <w:r w:rsidR="00E41806" w:rsidRPr="00E72418">
        <w:rPr>
          <w:rFonts w:ascii="Times New Roman" w:hAnsi="Times New Roman" w:cs="Times New Roman"/>
          <w:szCs w:val="24"/>
        </w:rPr>
        <w:t xml:space="preserve"> sud-américains</w:t>
      </w:r>
      <w:r w:rsidR="007C57EF" w:rsidRPr="00E72418">
        <w:rPr>
          <w:rFonts w:ascii="Times New Roman" w:hAnsi="Times New Roman" w:cs="Times New Roman"/>
          <w:szCs w:val="24"/>
        </w:rPr>
        <w:t xml:space="preserve"> et, par conséquent, du risque de déstabilisation du système bancaire américain dans son ensemble</w:t>
      </w:r>
      <w:r w:rsidR="007C57EF" w:rsidRPr="00E72418">
        <w:rPr>
          <w:rStyle w:val="Appelnotedebasdep"/>
          <w:rFonts w:ascii="Times New Roman" w:hAnsi="Times New Roman" w:cs="Times New Roman"/>
          <w:szCs w:val="24"/>
        </w:rPr>
        <w:footnoteReference w:id="68"/>
      </w:r>
      <w:r w:rsidR="007C57EF" w:rsidRPr="00E72418">
        <w:rPr>
          <w:rFonts w:ascii="Times New Roman" w:hAnsi="Times New Roman" w:cs="Times New Roman"/>
          <w:szCs w:val="24"/>
        </w:rPr>
        <w:t xml:space="preserve">. </w:t>
      </w:r>
      <w:r w:rsidR="007C57EF" w:rsidRPr="00E72418">
        <w:rPr>
          <w:rFonts w:ascii="Times New Roman" w:hAnsi="Times New Roman" w:cs="Times New Roman"/>
        </w:rPr>
        <w:t>Le Mexique fut le premier à signer le « Brady deal » en 1989 pour ensuite être</w:t>
      </w:r>
      <w:r w:rsidR="007C57EF" w:rsidRPr="00E72418">
        <w:t xml:space="preserve"> </w:t>
      </w:r>
      <w:r w:rsidR="007C57EF" w:rsidRPr="00E72418">
        <w:rPr>
          <w:rFonts w:ascii="Times New Roman" w:hAnsi="Times New Roman" w:cs="Times New Roman"/>
        </w:rPr>
        <w:t>suivi pa</w:t>
      </w:r>
      <w:r w:rsidR="00E41806" w:rsidRPr="00E72418">
        <w:rPr>
          <w:rFonts w:ascii="Times New Roman" w:hAnsi="Times New Roman" w:cs="Times New Roman"/>
        </w:rPr>
        <w:t>r d’autres</w:t>
      </w:r>
      <w:r w:rsidR="00CC422B" w:rsidRPr="00E72418">
        <w:rPr>
          <w:rFonts w:ascii="Times New Roman" w:hAnsi="Times New Roman" w:cs="Times New Roman"/>
        </w:rPr>
        <w:t>, comme le Costa Rica, le Vene</w:t>
      </w:r>
      <w:r w:rsidR="007C57EF" w:rsidRPr="00E72418">
        <w:rPr>
          <w:rFonts w:ascii="Times New Roman" w:hAnsi="Times New Roman" w:cs="Times New Roman"/>
        </w:rPr>
        <w:t xml:space="preserve">zuela, l’Uruguay, </w:t>
      </w:r>
      <w:r w:rsidR="00E41806" w:rsidRPr="00E72418">
        <w:rPr>
          <w:rFonts w:ascii="Times New Roman" w:hAnsi="Times New Roman" w:cs="Times New Roman"/>
        </w:rPr>
        <w:t>l’Argentine ou encore le Brésil</w:t>
      </w:r>
      <w:r w:rsidR="007C57EF" w:rsidRPr="00E72418">
        <w:rPr>
          <w:rFonts w:ascii="Times New Roman" w:hAnsi="Times New Roman" w:cs="Times New Roman"/>
        </w:rPr>
        <w:t xml:space="preserve"> </w:t>
      </w:r>
      <w:r w:rsidR="0085400A" w:rsidRPr="00E72418">
        <w:rPr>
          <w:rFonts w:ascii="Times New Roman" w:hAnsi="Times New Roman" w:cs="Times New Roman"/>
        </w:rPr>
        <w:t xml:space="preserve">réalisant </w:t>
      </w:r>
      <w:r w:rsidR="007C57EF" w:rsidRPr="00E72418">
        <w:rPr>
          <w:rFonts w:ascii="Times New Roman" w:hAnsi="Times New Roman" w:cs="Times New Roman"/>
        </w:rPr>
        <w:t>leur propre « </w:t>
      </w:r>
      <w:r w:rsidR="0037228F" w:rsidRPr="00E72418">
        <w:rPr>
          <w:rFonts w:ascii="Times New Roman" w:hAnsi="Times New Roman" w:cs="Times New Roman"/>
        </w:rPr>
        <w:t>Brady-type deal</w:t>
      </w:r>
      <w:r w:rsidR="007C57EF" w:rsidRPr="00E72418">
        <w:rPr>
          <w:rFonts w:ascii="Times New Roman" w:hAnsi="Times New Roman" w:cs="Times New Roman"/>
        </w:rPr>
        <w:t> »</w:t>
      </w:r>
      <w:r w:rsidR="007C57EF" w:rsidRPr="00E72418">
        <w:rPr>
          <w:rStyle w:val="Appelnotedebasdep"/>
          <w:rFonts w:ascii="Times New Roman" w:hAnsi="Times New Roman" w:cs="Times New Roman"/>
        </w:rPr>
        <w:footnoteReference w:id="69"/>
      </w:r>
      <w:r w:rsidR="007C57EF" w:rsidRPr="00E72418">
        <w:rPr>
          <w:rFonts w:ascii="Times New Roman" w:hAnsi="Times New Roman" w:cs="Times New Roman"/>
        </w:rPr>
        <w:t xml:space="preserve">. </w:t>
      </w:r>
    </w:p>
    <w:p w14:paraId="13D9021B" w14:textId="64FDAE84" w:rsidR="007C57EF" w:rsidRPr="00E72418" w:rsidRDefault="00566CE1" w:rsidP="00CC4BA8">
      <w:pPr>
        <w:spacing w:line="276" w:lineRule="auto"/>
        <w:rPr>
          <w:rFonts w:ascii="Times New Roman" w:hAnsi="Times New Roman" w:cs="Times New Roman"/>
        </w:rPr>
      </w:pPr>
      <w:r w:rsidRPr="00E72418">
        <w:rPr>
          <w:rFonts w:ascii="Times New Roman" w:hAnsi="Times New Roman" w:cs="Times New Roman"/>
        </w:rPr>
        <w:t>Généralem</w:t>
      </w:r>
      <w:r w:rsidR="00E41806" w:rsidRPr="00E72418">
        <w:rPr>
          <w:rFonts w:ascii="Times New Roman" w:hAnsi="Times New Roman" w:cs="Times New Roman"/>
        </w:rPr>
        <w:t>ent, l</w:t>
      </w:r>
      <w:r w:rsidR="007C57EF" w:rsidRPr="00E72418">
        <w:rPr>
          <w:rFonts w:ascii="Times New Roman" w:hAnsi="Times New Roman" w:cs="Times New Roman"/>
        </w:rPr>
        <w:t xml:space="preserve">e plan </w:t>
      </w:r>
      <w:r w:rsidR="007C57EF" w:rsidRPr="00E72418">
        <w:rPr>
          <w:rFonts w:ascii="Times New Roman" w:hAnsi="Times New Roman" w:cs="Times New Roman"/>
          <w:i/>
        </w:rPr>
        <w:t>Brady</w:t>
      </w:r>
      <w:r w:rsidR="007C57EF" w:rsidRPr="00E72418">
        <w:rPr>
          <w:rFonts w:ascii="Times New Roman" w:hAnsi="Times New Roman" w:cs="Times New Roman"/>
        </w:rPr>
        <w:t xml:space="preserve"> conduisit à </w:t>
      </w:r>
      <w:r w:rsidR="00066951" w:rsidRPr="00E72418">
        <w:rPr>
          <w:rFonts w:ascii="Times New Roman" w:hAnsi="Times New Roman" w:cs="Times New Roman"/>
        </w:rPr>
        <w:t>ce que les</w:t>
      </w:r>
      <w:r w:rsidR="007C57EF" w:rsidRPr="00E72418">
        <w:rPr>
          <w:rFonts w:ascii="Times New Roman" w:hAnsi="Times New Roman" w:cs="Times New Roman"/>
        </w:rPr>
        <w:t xml:space="preserve"> dettes état</w:t>
      </w:r>
      <w:r w:rsidR="00E41806" w:rsidRPr="00E72418">
        <w:rPr>
          <w:rFonts w:ascii="Times New Roman" w:hAnsi="Times New Roman" w:cs="Times New Roman"/>
        </w:rPr>
        <w:t xml:space="preserve">iques détenues par les banques </w:t>
      </w:r>
      <w:r w:rsidR="00066951" w:rsidRPr="00E72418">
        <w:rPr>
          <w:rFonts w:ascii="Times New Roman" w:hAnsi="Times New Roman" w:cs="Times New Roman"/>
        </w:rPr>
        <w:t>soient</w:t>
      </w:r>
      <w:r w:rsidR="007C57EF" w:rsidRPr="00E72418">
        <w:rPr>
          <w:rFonts w:ascii="Times New Roman" w:hAnsi="Times New Roman" w:cs="Times New Roman"/>
        </w:rPr>
        <w:t xml:space="preserve"> converties en titres obligataires échangeables</w:t>
      </w:r>
      <w:r w:rsidR="007C57EF" w:rsidRPr="00E72418">
        <w:rPr>
          <w:rStyle w:val="Appelnotedebasdep"/>
          <w:rFonts w:ascii="Times New Roman" w:hAnsi="Times New Roman" w:cs="Times New Roman"/>
        </w:rPr>
        <w:footnoteReference w:id="70"/>
      </w:r>
      <w:r w:rsidR="007C57EF" w:rsidRPr="00E72418">
        <w:rPr>
          <w:rFonts w:ascii="Times New Roman" w:hAnsi="Times New Roman" w:cs="Times New Roman"/>
        </w:rPr>
        <w:t xml:space="preserve">. Précisément, un échange des dettes bancaires en souffrance </w:t>
      </w:r>
      <w:r w:rsidR="00E41806" w:rsidRPr="00E72418">
        <w:rPr>
          <w:rFonts w:ascii="Times New Roman" w:hAnsi="Times New Roman" w:cs="Times New Roman"/>
        </w:rPr>
        <w:t xml:space="preserve">fut proposé </w:t>
      </w:r>
      <w:r w:rsidR="007C57EF" w:rsidRPr="00E72418">
        <w:rPr>
          <w:rFonts w:ascii="Times New Roman" w:hAnsi="Times New Roman" w:cs="Times New Roman"/>
        </w:rPr>
        <w:t xml:space="preserve">contre de nouvelles obligations souveraines garanties par les </w:t>
      </w:r>
      <w:r w:rsidR="007C57EF" w:rsidRPr="00E72418">
        <w:rPr>
          <w:rFonts w:ascii="Times New Roman" w:hAnsi="Times New Roman" w:cs="Times New Roman"/>
          <w:lang w:eastAsia="fr-BE"/>
        </w:rPr>
        <w:t>É</w:t>
      </w:r>
      <w:r w:rsidR="007C57EF" w:rsidRPr="00E72418">
        <w:rPr>
          <w:rFonts w:ascii="Times New Roman" w:hAnsi="Times New Roman" w:cs="Times New Roman"/>
        </w:rPr>
        <w:t>tats-Unis mais également par les ressources du Fonds monétaire international et de la Banque mondiale</w:t>
      </w:r>
      <w:r w:rsidR="007C57EF" w:rsidRPr="00E72418">
        <w:rPr>
          <w:rStyle w:val="Appelnotedebasdep"/>
          <w:rFonts w:ascii="Times New Roman" w:hAnsi="Times New Roman" w:cs="Times New Roman"/>
        </w:rPr>
        <w:footnoteReference w:id="71"/>
      </w:r>
      <w:r w:rsidR="007C57EF" w:rsidRPr="00E72418">
        <w:rPr>
          <w:rFonts w:ascii="Times New Roman" w:hAnsi="Times New Roman" w:cs="Times New Roman"/>
        </w:rPr>
        <w:t>. Les banques se voyaient ainsi offrir la possibilité de se désengager du risque souverain en vendant les titres qu’elles détenaient</w:t>
      </w:r>
      <w:r w:rsidR="007C57EF" w:rsidRPr="00E72418">
        <w:rPr>
          <w:rStyle w:val="Appelnotedebasdep"/>
          <w:rFonts w:ascii="Times New Roman" w:hAnsi="Times New Roman" w:cs="Times New Roman"/>
        </w:rPr>
        <w:footnoteReference w:id="72"/>
      </w:r>
      <w:r w:rsidR="007C57EF" w:rsidRPr="00E72418">
        <w:rPr>
          <w:rFonts w:ascii="Times New Roman" w:hAnsi="Times New Roman" w:cs="Times New Roman"/>
        </w:rPr>
        <w:t xml:space="preserve">. </w:t>
      </w:r>
      <w:r w:rsidR="00CC422B" w:rsidRPr="00E72418">
        <w:rPr>
          <w:rFonts w:ascii="Times New Roman" w:hAnsi="Times New Roman" w:cs="Times New Roman"/>
          <w:szCs w:val="24"/>
        </w:rPr>
        <w:t>L’échange offert allait de pair</w:t>
      </w:r>
      <w:r w:rsidR="007C57EF" w:rsidRPr="00E72418">
        <w:rPr>
          <w:rFonts w:ascii="Times New Roman" w:hAnsi="Times New Roman" w:cs="Times New Roman"/>
          <w:szCs w:val="24"/>
        </w:rPr>
        <w:t xml:space="preserve"> avec </w:t>
      </w:r>
      <w:r w:rsidR="007C57EF" w:rsidRPr="00E72418">
        <w:rPr>
          <w:rFonts w:ascii="Times New Roman" w:hAnsi="Times New Roman" w:cs="Times New Roman"/>
          <w:szCs w:val="24"/>
        </w:rPr>
        <w:lastRenderedPageBreak/>
        <w:t>une décote de la valeur faciale de la dette et une extension des maturités</w:t>
      </w:r>
      <w:r w:rsidR="00EA0D09" w:rsidRPr="00E72418">
        <w:rPr>
          <w:rFonts w:ascii="Times New Roman" w:hAnsi="Times New Roman" w:cs="Times New Roman"/>
          <w:szCs w:val="24"/>
        </w:rPr>
        <w:t xml:space="preserve"> de remboursement</w:t>
      </w:r>
      <w:r w:rsidR="007C57EF" w:rsidRPr="00E72418">
        <w:rPr>
          <w:rStyle w:val="Appelnotedebasdep"/>
          <w:rFonts w:ascii="Times New Roman" w:hAnsi="Times New Roman" w:cs="Times New Roman"/>
          <w:szCs w:val="24"/>
        </w:rPr>
        <w:footnoteReference w:id="73"/>
      </w:r>
      <w:r w:rsidR="007C57EF" w:rsidRPr="00E72418">
        <w:rPr>
          <w:rFonts w:ascii="Times New Roman" w:hAnsi="Times New Roman" w:cs="Times New Roman"/>
          <w:szCs w:val="24"/>
        </w:rPr>
        <w:t xml:space="preserve">. </w:t>
      </w:r>
      <w:r w:rsidR="007C57EF" w:rsidRPr="00E72418">
        <w:rPr>
          <w:rFonts w:ascii="Times New Roman" w:hAnsi="Times New Roman" w:cs="Times New Roman"/>
        </w:rPr>
        <w:t>Les</w:t>
      </w:r>
      <w:r w:rsidR="00E41806" w:rsidRPr="00E72418">
        <w:rPr>
          <w:rFonts w:ascii="Times New Roman" w:hAnsi="Times New Roman" w:cs="Times New Roman"/>
        </w:rPr>
        <w:t xml:space="preserve"> obligations souveraines furent, </w:t>
      </w:r>
      <w:r w:rsidR="007C57EF" w:rsidRPr="00E72418">
        <w:rPr>
          <w:rFonts w:ascii="Times New Roman" w:hAnsi="Times New Roman" w:cs="Times New Roman"/>
        </w:rPr>
        <w:t>pour l’essentiel</w:t>
      </w:r>
      <w:r w:rsidR="00E41806" w:rsidRPr="00E72418">
        <w:rPr>
          <w:rFonts w:ascii="Times New Roman" w:hAnsi="Times New Roman" w:cs="Times New Roman"/>
        </w:rPr>
        <w:t>,</w:t>
      </w:r>
      <w:r w:rsidR="007C57EF" w:rsidRPr="00E72418">
        <w:rPr>
          <w:rFonts w:ascii="Times New Roman" w:hAnsi="Times New Roman" w:cs="Times New Roman"/>
        </w:rPr>
        <w:t xml:space="preserve"> soumises à la loi de New York</w:t>
      </w:r>
      <w:r w:rsidR="007C57EF" w:rsidRPr="00E72418">
        <w:rPr>
          <w:rStyle w:val="Appelnotedebasdep"/>
          <w:rFonts w:ascii="Times New Roman" w:hAnsi="Times New Roman" w:cs="Times New Roman"/>
        </w:rPr>
        <w:footnoteReference w:id="74"/>
      </w:r>
      <w:r w:rsidR="007C57EF" w:rsidRPr="00E72418">
        <w:rPr>
          <w:rFonts w:ascii="Times New Roman" w:hAnsi="Times New Roman" w:cs="Times New Roman"/>
        </w:rPr>
        <w:t>.</w:t>
      </w:r>
    </w:p>
    <w:p w14:paraId="073292C4" w14:textId="77777777" w:rsidR="007C57EF" w:rsidRPr="00E72418" w:rsidRDefault="007C57EF" w:rsidP="00CC4BA8">
      <w:pPr>
        <w:spacing w:line="276" w:lineRule="auto"/>
        <w:rPr>
          <w:rFonts w:ascii="Times New Roman" w:hAnsi="Times New Roman" w:cs="Times New Roman"/>
          <w:sz w:val="21"/>
          <w:szCs w:val="21"/>
        </w:rPr>
      </w:pPr>
      <w:r w:rsidRPr="00E72418">
        <w:rPr>
          <w:rFonts w:ascii="Times New Roman" w:hAnsi="Times New Roman" w:cs="Times New Roman"/>
        </w:rPr>
        <w:t>Le plan jugé par beaucoup comme étant une réussite en ce qu’il permit la réduction de dettes souveraines en engageant le secteur privé et en améliorant la solidité bancaire ne fut toutefois pas exempt de critique</w:t>
      </w:r>
      <w:r w:rsidR="00E41806" w:rsidRPr="00E72418">
        <w:rPr>
          <w:rFonts w:ascii="Times New Roman" w:hAnsi="Times New Roman" w:cs="Times New Roman"/>
        </w:rPr>
        <w:t>s</w:t>
      </w:r>
      <w:r w:rsidRPr="00E72418">
        <w:rPr>
          <w:rStyle w:val="Appelnotedebasdep"/>
          <w:rFonts w:ascii="Times New Roman" w:hAnsi="Times New Roman" w:cs="Times New Roman"/>
        </w:rPr>
        <w:footnoteReference w:id="75"/>
      </w:r>
      <w:r w:rsidR="00E07ABA" w:rsidRPr="00E72418">
        <w:rPr>
          <w:rFonts w:ascii="Times New Roman" w:hAnsi="Times New Roman" w:cs="Times New Roman"/>
        </w:rPr>
        <w:t xml:space="preserve">. Ainsi, par exemple, </w:t>
      </w:r>
      <w:r w:rsidRPr="00E72418">
        <w:rPr>
          <w:rFonts w:ascii="Times New Roman" w:hAnsi="Times New Roman" w:cs="Times New Roman"/>
        </w:rPr>
        <w:t>un ancien ministre des finances colombien, aurait indiqué, non sans une pointe de cynisme, que la gestion de la crise des années 80, était « an excellent way to deal with the US banking crisis, and an awful way to deal with the Latin American debt crisis »</w:t>
      </w:r>
      <w:r w:rsidRPr="00E72418">
        <w:rPr>
          <w:rStyle w:val="Appelnotedebasdep"/>
          <w:rFonts w:ascii="Times New Roman" w:hAnsi="Times New Roman" w:cs="Times New Roman"/>
        </w:rPr>
        <w:footnoteReference w:id="76"/>
      </w:r>
      <w:r w:rsidRPr="00E72418">
        <w:rPr>
          <w:rFonts w:ascii="Times New Roman" w:hAnsi="Times New Roman" w:cs="Times New Roman"/>
        </w:rPr>
        <w:t>.</w:t>
      </w:r>
    </w:p>
    <w:p w14:paraId="3A350B39" w14:textId="77777777" w:rsidR="007C57EF" w:rsidRPr="00E72418" w:rsidRDefault="007C57EF" w:rsidP="00423B60"/>
    <w:p w14:paraId="1FFC4F05" w14:textId="0C310346"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18</w:t>
      </w:r>
      <w:r w:rsidR="007E31CD" w:rsidRPr="00E72418">
        <w:rPr>
          <w:rFonts w:ascii="Times New Roman" w:hAnsi="Times New Roman" w:cs="Times New Roman"/>
          <w:b/>
        </w:rPr>
        <w:t xml:space="preserve">. </w:t>
      </w:r>
      <w:r w:rsidR="007C57EF" w:rsidRPr="00E72418">
        <w:rPr>
          <w:rFonts w:ascii="Times New Roman" w:hAnsi="Times New Roman" w:cs="Times New Roman"/>
          <w:b/>
        </w:rPr>
        <w:t>L’endettement obligataire actuel –</w:t>
      </w:r>
      <w:r w:rsidR="007C57EF" w:rsidRPr="00E72418">
        <w:rPr>
          <w:rFonts w:ascii="Times New Roman" w:hAnsi="Times New Roman" w:cs="Times New Roman"/>
        </w:rPr>
        <w:t xml:space="preserve"> Avec le pl</w:t>
      </w:r>
      <w:r w:rsidR="00CC422B" w:rsidRPr="00E72418">
        <w:rPr>
          <w:rFonts w:ascii="Times New Roman" w:hAnsi="Times New Roman" w:cs="Times New Roman"/>
        </w:rPr>
        <w:t xml:space="preserve">an </w:t>
      </w:r>
      <w:r w:rsidR="00CC422B" w:rsidRPr="00E72418">
        <w:rPr>
          <w:rFonts w:ascii="Times New Roman" w:hAnsi="Times New Roman" w:cs="Times New Roman"/>
          <w:i/>
        </w:rPr>
        <w:t>Brady</w:t>
      </w:r>
      <w:r w:rsidR="00CC422B" w:rsidRPr="00E72418">
        <w:rPr>
          <w:rFonts w:ascii="Times New Roman" w:hAnsi="Times New Roman" w:cs="Times New Roman"/>
        </w:rPr>
        <w:t xml:space="preserve">, les prêts bancaires </w:t>
      </w:r>
      <w:r w:rsidR="00EA0D09" w:rsidRPr="00E72418">
        <w:rPr>
          <w:rFonts w:ascii="Times New Roman" w:hAnsi="Times New Roman" w:cs="Times New Roman"/>
        </w:rPr>
        <w:t xml:space="preserve">souscrits </w:t>
      </w:r>
      <w:r w:rsidR="007C57EF" w:rsidRPr="00E72418">
        <w:rPr>
          <w:rFonts w:ascii="Times New Roman" w:hAnsi="Times New Roman" w:cs="Times New Roman"/>
        </w:rPr>
        <w:t xml:space="preserve">par les </w:t>
      </w:r>
      <w:r w:rsidR="007C57EF" w:rsidRPr="00E72418">
        <w:rPr>
          <w:rFonts w:ascii="Times New Roman" w:hAnsi="Times New Roman" w:cs="Times New Roman"/>
          <w:lang w:eastAsia="fr-BE"/>
        </w:rPr>
        <w:t>É</w:t>
      </w:r>
      <w:r w:rsidR="00E07ABA" w:rsidRPr="00E72418">
        <w:rPr>
          <w:rFonts w:ascii="Times New Roman" w:hAnsi="Times New Roman" w:cs="Times New Roman"/>
        </w:rPr>
        <w:t>tats</w:t>
      </w:r>
      <w:r w:rsidR="007C57EF" w:rsidRPr="00E72418">
        <w:rPr>
          <w:rFonts w:ascii="Times New Roman" w:hAnsi="Times New Roman" w:cs="Times New Roman"/>
        </w:rPr>
        <w:t xml:space="preserve"> </w:t>
      </w:r>
      <w:r w:rsidR="00AB64E3" w:rsidRPr="00E72418">
        <w:rPr>
          <w:rFonts w:ascii="Times New Roman" w:hAnsi="Times New Roman" w:cs="Times New Roman"/>
        </w:rPr>
        <w:t xml:space="preserve">transformés </w:t>
      </w:r>
      <w:r w:rsidR="007C57EF" w:rsidRPr="00E72418">
        <w:rPr>
          <w:rFonts w:ascii="Times New Roman" w:hAnsi="Times New Roman" w:cs="Times New Roman"/>
        </w:rPr>
        <w:t xml:space="preserve">en obligations </w:t>
      </w:r>
      <w:r w:rsidR="00AB64E3" w:rsidRPr="00E72418">
        <w:rPr>
          <w:rFonts w:ascii="Times New Roman" w:hAnsi="Times New Roman" w:cs="Times New Roman"/>
        </w:rPr>
        <w:t>échangeables</w:t>
      </w:r>
      <w:r w:rsidR="00566CE1" w:rsidRPr="00E72418">
        <w:rPr>
          <w:rFonts w:ascii="Times New Roman" w:hAnsi="Times New Roman" w:cs="Times New Roman"/>
        </w:rPr>
        <w:t xml:space="preserve"> furent proposé</w:t>
      </w:r>
      <w:r w:rsidR="007C57EF" w:rsidRPr="00E72418">
        <w:rPr>
          <w:rFonts w:ascii="Times New Roman" w:hAnsi="Times New Roman" w:cs="Times New Roman"/>
        </w:rPr>
        <w:t>s au public</w:t>
      </w:r>
      <w:r w:rsidR="007C57EF" w:rsidRPr="00E72418">
        <w:rPr>
          <w:rStyle w:val="Appelnotedebasdep"/>
          <w:rFonts w:ascii="Times New Roman" w:hAnsi="Times New Roman" w:cs="Times New Roman"/>
        </w:rPr>
        <w:footnoteReference w:id="77"/>
      </w:r>
      <w:r w:rsidR="007C57EF" w:rsidRPr="00E72418">
        <w:rPr>
          <w:rFonts w:ascii="Times New Roman" w:hAnsi="Times New Roman" w:cs="Times New Roman"/>
        </w:rPr>
        <w:t>. La titrisation des obligations liées à l’emprunt souverain conduisit à une augmentation et une atomisation considérables des créanciers détenant des dettes souveraines</w:t>
      </w:r>
      <w:r w:rsidR="007C57EF" w:rsidRPr="00E72418">
        <w:rPr>
          <w:rStyle w:val="Appelnotedebasdep"/>
          <w:rFonts w:ascii="Times New Roman" w:hAnsi="Times New Roman" w:cs="Times New Roman"/>
        </w:rPr>
        <w:footnoteReference w:id="78"/>
      </w:r>
      <w:r w:rsidR="007C57EF" w:rsidRPr="00E72418">
        <w:rPr>
          <w:rFonts w:ascii="Times New Roman" w:hAnsi="Times New Roman" w:cs="Times New Roman"/>
        </w:rPr>
        <w:t xml:space="preserve">. En effet, comme le relève </w:t>
      </w:r>
      <w:r w:rsidR="00D801A6" w:rsidRPr="00E72418">
        <w:rPr>
          <w:rFonts w:ascii="Times New Roman" w:hAnsi="Times New Roman" w:cs="Times New Roman"/>
        </w:rPr>
        <w:t xml:space="preserve">Elizabeth </w:t>
      </w:r>
      <w:r w:rsidR="007C57EF" w:rsidRPr="00E72418">
        <w:rPr>
          <w:rFonts w:ascii="Times New Roman" w:hAnsi="Times New Roman" w:cs="Times New Roman"/>
        </w:rPr>
        <w:t>Broomfield, « [t]hese securitized bonds were much more liquid than the commercial bank loans, providing different types of bond instruments that were potential investment options for new groups and types of investors »</w:t>
      </w:r>
      <w:r w:rsidR="007C57EF" w:rsidRPr="00E72418">
        <w:rPr>
          <w:rStyle w:val="Appelnotedebasdep"/>
          <w:rFonts w:ascii="Times New Roman" w:hAnsi="Times New Roman" w:cs="Times New Roman"/>
        </w:rPr>
        <w:footnoteReference w:id="79"/>
      </w:r>
      <w:r w:rsidR="007C57EF" w:rsidRPr="00E72418">
        <w:rPr>
          <w:rFonts w:ascii="Times New Roman" w:hAnsi="Times New Roman" w:cs="Times New Roman"/>
        </w:rPr>
        <w:t>. Si</w:t>
      </w:r>
      <w:r w:rsidR="00E07ABA" w:rsidRPr="00E72418">
        <w:rPr>
          <w:rFonts w:ascii="Times New Roman" w:hAnsi="Times New Roman" w:cs="Times New Roman"/>
        </w:rPr>
        <w:t>,</w:t>
      </w:r>
      <w:r w:rsidR="007C57EF" w:rsidRPr="00E72418">
        <w:rPr>
          <w:rFonts w:ascii="Times New Roman" w:hAnsi="Times New Roman" w:cs="Times New Roman"/>
        </w:rPr>
        <w:t xml:space="preserve"> à l’origine, les termes « </w:t>
      </w:r>
      <w:r w:rsidR="007C57EF" w:rsidRPr="0089722C">
        <w:rPr>
          <w:rFonts w:ascii="Times New Roman" w:hAnsi="Times New Roman" w:cs="Times New Roman"/>
        </w:rPr>
        <w:t>Brady bonds</w:t>
      </w:r>
      <w:r w:rsidR="007C57EF" w:rsidRPr="00E72418">
        <w:rPr>
          <w:rFonts w:ascii="Times New Roman" w:hAnsi="Times New Roman" w:cs="Times New Roman"/>
        </w:rPr>
        <w:t xml:space="preserve"> » désignaient les instruments remplaçant les prêts bancaires commerciaux, ils </w:t>
      </w:r>
      <w:r w:rsidR="00E07ABA" w:rsidRPr="00E72418">
        <w:rPr>
          <w:rFonts w:ascii="Times New Roman" w:hAnsi="Times New Roman" w:cs="Times New Roman"/>
        </w:rPr>
        <w:t>devinrent</w:t>
      </w:r>
      <w:r w:rsidR="007C57EF" w:rsidRPr="00E72418">
        <w:rPr>
          <w:rFonts w:ascii="Times New Roman" w:hAnsi="Times New Roman" w:cs="Times New Roman"/>
        </w:rPr>
        <w:t xml:space="preserve"> par la suite les termes génériques pour qualifier les obligations émises durant un processus de restructuration</w:t>
      </w:r>
      <w:r w:rsidR="007C57EF" w:rsidRPr="00E72418">
        <w:rPr>
          <w:rStyle w:val="Appelnotedebasdep"/>
          <w:rFonts w:ascii="Times New Roman" w:hAnsi="Times New Roman" w:cs="Times New Roman"/>
        </w:rPr>
        <w:footnoteReference w:id="80"/>
      </w:r>
      <w:r w:rsidR="007C57EF" w:rsidRPr="00E72418">
        <w:rPr>
          <w:rFonts w:ascii="Times New Roman" w:hAnsi="Times New Roman" w:cs="Times New Roman"/>
        </w:rPr>
        <w:t>.</w:t>
      </w:r>
    </w:p>
    <w:p w14:paraId="4293BBC1" w14:textId="43C2E750" w:rsidR="007C57EF" w:rsidRPr="00E72418" w:rsidRDefault="004665B1" w:rsidP="00CC4BA8">
      <w:pPr>
        <w:spacing w:line="276" w:lineRule="auto"/>
        <w:rPr>
          <w:rFonts w:ascii="Times New Roman" w:hAnsi="Times New Roman" w:cs="Times New Roman"/>
          <w:szCs w:val="24"/>
        </w:rPr>
      </w:pPr>
      <w:r w:rsidRPr="00E72418">
        <w:rPr>
          <w:rFonts w:ascii="Times New Roman" w:hAnsi="Times New Roman" w:cs="Times New Roman"/>
        </w:rPr>
        <w:t xml:space="preserve">Les </w:t>
      </w:r>
      <w:r w:rsidRPr="00E72418">
        <w:rPr>
          <w:rFonts w:ascii="Times New Roman" w:hAnsi="Times New Roman" w:cs="Times New Roman"/>
          <w:i/>
        </w:rPr>
        <w:t>Brady bonds</w:t>
      </w:r>
      <w:r w:rsidR="007C57EF" w:rsidRPr="00E72418">
        <w:rPr>
          <w:rFonts w:ascii="Times New Roman" w:hAnsi="Times New Roman" w:cs="Times New Roman"/>
          <w:b/>
        </w:rPr>
        <w:t xml:space="preserve"> </w:t>
      </w:r>
      <w:r w:rsidR="007C57EF" w:rsidRPr="00E72418">
        <w:rPr>
          <w:rFonts w:ascii="Times New Roman" w:hAnsi="Times New Roman" w:cs="Times New Roman"/>
        </w:rPr>
        <w:t>ouvrirent en quelque sorte la voie au financement étatique par le recours à des émissions obligataires</w:t>
      </w:r>
      <w:r w:rsidR="007C57EF" w:rsidRPr="00E72418">
        <w:rPr>
          <w:rStyle w:val="Appelnotedebasdep"/>
          <w:rFonts w:ascii="Times New Roman" w:hAnsi="Times New Roman" w:cs="Times New Roman"/>
        </w:rPr>
        <w:footnoteReference w:id="81"/>
      </w:r>
      <w:r w:rsidR="00EC7337" w:rsidRPr="00E72418">
        <w:rPr>
          <w:rFonts w:ascii="Times New Roman" w:hAnsi="Times New Roman" w:cs="Times New Roman"/>
        </w:rPr>
        <w:t xml:space="preserve">. </w:t>
      </w:r>
      <w:r w:rsidR="00674C1A" w:rsidRPr="00E72418">
        <w:t>À</w:t>
      </w:r>
      <w:r w:rsidR="007C57EF" w:rsidRPr="00E72418">
        <w:rPr>
          <w:rFonts w:ascii="Times New Roman" w:hAnsi="Times New Roman" w:cs="Times New Roman"/>
        </w:rPr>
        <w:t xml:space="preserve"> partir des années 90, les titres obligataires se sont généralisés et les crédits bancaires n’ont plus occupé qu’une place marginale dans l’endettement étatique</w:t>
      </w:r>
      <w:r w:rsidR="007C57EF" w:rsidRPr="00E72418">
        <w:rPr>
          <w:rStyle w:val="Appelnotedebasdep"/>
          <w:rFonts w:ascii="Times New Roman" w:hAnsi="Times New Roman" w:cs="Times New Roman"/>
        </w:rPr>
        <w:footnoteReference w:id="82"/>
      </w:r>
      <w:r w:rsidRPr="00E72418">
        <w:rPr>
          <w:rFonts w:ascii="Times New Roman" w:hAnsi="Times New Roman" w:cs="Times New Roman"/>
        </w:rPr>
        <w:t xml:space="preserve">. Depuis l’émission des </w:t>
      </w:r>
      <w:r w:rsidRPr="00E72418">
        <w:rPr>
          <w:rFonts w:ascii="Times New Roman" w:hAnsi="Times New Roman" w:cs="Times New Roman"/>
          <w:i/>
        </w:rPr>
        <w:t>Brady bonds</w:t>
      </w:r>
      <w:r w:rsidR="007C57EF" w:rsidRPr="00E72418">
        <w:rPr>
          <w:rFonts w:ascii="Times New Roman" w:hAnsi="Times New Roman" w:cs="Times New Roman"/>
        </w:rPr>
        <w:t xml:space="preserve"> et jusqu’à a</w:t>
      </w:r>
      <w:r w:rsidR="007C57EF" w:rsidRPr="00E72418">
        <w:rPr>
          <w:rFonts w:ascii="Times New Roman" w:hAnsi="Times New Roman" w:cs="Times New Roman"/>
          <w:szCs w:val="24"/>
        </w:rPr>
        <w:t>ujourd’hui, on peut ainsi relever que le financement étatique se fait</w:t>
      </w:r>
      <w:r w:rsidR="00855749" w:rsidRPr="00E72418">
        <w:rPr>
          <w:rFonts w:ascii="Times New Roman" w:hAnsi="Times New Roman" w:cs="Times New Roman"/>
          <w:szCs w:val="24"/>
        </w:rPr>
        <w:t>,</w:t>
      </w:r>
      <w:r w:rsidR="007C57EF" w:rsidRPr="00E72418">
        <w:rPr>
          <w:rFonts w:ascii="Times New Roman" w:hAnsi="Times New Roman" w:cs="Times New Roman"/>
          <w:szCs w:val="24"/>
        </w:rPr>
        <w:t xml:space="preserve"> pour beaucoup</w:t>
      </w:r>
      <w:r w:rsidR="00855749" w:rsidRPr="00E72418">
        <w:rPr>
          <w:rFonts w:ascii="Times New Roman" w:hAnsi="Times New Roman" w:cs="Times New Roman"/>
          <w:szCs w:val="24"/>
        </w:rPr>
        <w:t>,</w:t>
      </w:r>
      <w:r w:rsidR="007C57EF" w:rsidRPr="00E72418">
        <w:rPr>
          <w:rFonts w:ascii="Times New Roman" w:hAnsi="Times New Roman" w:cs="Times New Roman"/>
          <w:szCs w:val="24"/>
        </w:rPr>
        <w:t xml:space="preserve"> via l’émission d’obligations étatiques détenues par des créanciers variés</w:t>
      </w:r>
      <w:r w:rsidR="007C57EF" w:rsidRPr="00E72418">
        <w:rPr>
          <w:rStyle w:val="Appelnotedebasdep"/>
          <w:rFonts w:ascii="Times New Roman" w:hAnsi="Times New Roman" w:cs="Times New Roman"/>
          <w:szCs w:val="24"/>
        </w:rPr>
        <w:footnoteReference w:id="83"/>
      </w:r>
      <w:r w:rsidR="007C57EF" w:rsidRPr="00E72418">
        <w:rPr>
          <w:rFonts w:ascii="Times New Roman" w:hAnsi="Times New Roman" w:cs="Times New Roman"/>
          <w:szCs w:val="24"/>
        </w:rPr>
        <w:t xml:space="preserve">. </w:t>
      </w:r>
      <w:r w:rsidR="00BD0948" w:rsidRPr="00E72418">
        <w:rPr>
          <w:rFonts w:ascii="Times New Roman" w:hAnsi="Times New Roman" w:cs="Times New Roman"/>
          <w:szCs w:val="24"/>
        </w:rPr>
        <w:t>Plus encore, comme l</w:t>
      </w:r>
      <w:r w:rsidR="004565F9" w:rsidRPr="00E72418">
        <w:rPr>
          <w:rFonts w:ascii="Times New Roman" w:hAnsi="Times New Roman" w:cs="Times New Roman"/>
          <w:szCs w:val="24"/>
        </w:rPr>
        <w:t>e remarque Charlotte</w:t>
      </w:r>
      <w:r w:rsidR="00BD0948" w:rsidRPr="00E72418">
        <w:rPr>
          <w:rFonts w:ascii="Times New Roman" w:hAnsi="Times New Roman" w:cs="Times New Roman"/>
          <w:szCs w:val="24"/>
        </w:rPr>
        <w:t xml:space="preserve"> Rault, « </w:t>
      </w:r>
      <w:r w:rsidR="00066951" w:rsidRPr="00E72418">
        <w:rPr>
          <w:rFonts w:ascii="Times New Roman" w:hAnsi="Times New Roman" w:cs="Times New Roman"/>
          <w:szCs w:val="20"/>
          <w:lang w:val="en-US"/>
        </w:rPr>
        <w:t>[d]</w:t>
      </w:r>
      <w:r w:rsidR="005935DE" w:rsidRPr="00E72418">
        <w:rPr>
          <w:rFonts w:ascii="Times New Roman" w:hAnsi="Times New Roman" w:cs="Times New Roman"/>
          <w:szCs w:val="24"/>
        </w:rPr>
        <w:t xml:space="preserve">ebt instruments </w:t>
      </w:r>
      <w:r w:rsidR="005935DE" w:rsidRPr="00E72418">
        <w:rPr>
          <w:rFonts w:ascii="Times New Roman" w:hAnsi="Times New Roman" w:cs="Times New Roman"/>
          <w:szCs w:val="24"/>
        </w:rPr>
        <w:lastRenderedPageBreak/>
        <w:t xml:space="preserve">have also changed through the use of new products : securities for classic bonds, swaps and options, warrants and credit derivatives have exploded both for direct financing, for refinancing and hedging </w:t>
      </w:r>
      <w:r w:rsidR="00BD0948" w:rsidRPr="00E72418">
        <w:rPr>
          <w:rFonts w:ascii="Times New Roman" w:hAnsi="Times New Roman" w:cs="Times New Roman"/>
          <w:szCs w:val="24"/>
        </w:rPr>
        <w:t>»</w:t>
      </w:r>
      <w:r w:rsidR="005935DE" w:rsidRPr="00E72418">
        <w:rPr>
          <w:rStyle w:val="Appelnotedebasdep"/>
          <w:rFonts w:ascii="Times New Roman" w:hAnsi="Times New Roman" w:cs="Times New Roman"/>
          <w:szCs w:val="24"/>
        </w:rPr>
        <w:footnoteReference w:id="84"/>
      </w:r>
      <w:r w:rsidR="00BD0948" w:rsidRPr="00E72418">
        <w:rPr>
          <w:rFonts w:ascii="Times New Roman" w:hAnsi="Times New Roman" w:cs="Times New Roman"/>
          <w:szCs w:val="24"/>
        </w:rPr>
        <w:t>. Ainsi, notamment</w:t>
      </w:r>
      <w:r w:rsidR="007C57EF" w:rsidRPr="00E72418">
        <w:rPr>
          <w:rFonts w:ascii="Times New Roman" w:hAnsi="Times New Roman" w:cs="Times New Roman"/>
          <w:szCs w:val="24"/>
        </w:rPr>
        <w:t xml:space="preserve">, les </w:t>
      </w:r>
      <w:r w:rsidR="00E07ABA" w:rsidRPr="00E72418">
        <w:rPr>
          <w:rFonts w:ascii="Times New Roman" w:hAnsi="Times New Roman" w:cs="Times New Roman"/>
          <w:szCs w:val="24"/>
        </w:rPr>
        <w:t>« </w:t>
      </w:r>
      <w:r w:rsidR="007C57EF" w:rsidRPr="00E72418">
        <w:rPr>
          <w:rFonts w:ascii="Times New Roman" w:hAnsi="Times New Roman" w:cs="Times New Roman"/>
          <w:szCs w:val="24"/>
        </w:rPr>
        <w:t>credit default swaps</w:t>
      </w:r>
      <w:r w:rsidR="00E07ABA" w:rsidRPr="00E72418">
        <w:rPr>
          <w:rFonts w:ascii="Times New Roman" w:hAnsi="Times New Roman" w:cs="Times New Roman"/>
          <w:szCs w:val="24"/>
        </w:rPr>
        <w:t> »</w:t>
      </w:r>
      <w:r w:rsidR="007C57EF" w:rsidRPr="00E72418">
        <w:rPr>
          <w:rFonts w:ascii="Times New Roman" w:hAnsi="Times New Roman" w:cs="Times New Roman"/>
          <w:szCs w:val="24"/>
        </w:rPr>
        <w:t xml:space="preserve"> se sont développés afin de garantir les titres souverains</w:t>
      </w:r>
      <w:r w:rsidR="004A265D" w:rsidRPr="00E72418">
        <w:rPr>
          <w:rStyle w:val="Appelnotedebasdep"/>
          <w:rFonts w:ascii="Times New Roman" w:hAnsi="Times New Roman" w:cs="Times New Roman"/>
          <w:szCs w:val="24"/>
        </w:rPr>
        <w:footnoteReference w:id="85"/>
      </w:r>
      <w:r w:rsidR="007C57EF" w:rsidRPr="00E72418">
        <w:rPr>
          <w:rFonts w:ascii="Times New Roman" w:hAnsi="Times New Roman" w:cs="Times New Roman"/>
          <w:szCs w:val="24"/>
        </w:rPr>
        <w:t xml:space="preserve">. Comme le relève </w:t>
      </w:r>
      <w:r w:rsidR="00201853" w:rsidRPr="00E72418">
        <w:rPr>
          <w:rFonts w:ascii="Times New Roman" w:hAnsi="Times New Roman" w:cs="Times New Roman"/>
          <w:szCs w:val="24"/>
        </w:rPr>
        <w:t xml:space="preserve">Mathias </w:t>
      </w:r>
      <w:r w:rsidR="007C57EF" w:rsidRPr="00E72418">
        <w:rPr>
          <w:rFonts w:ascii="Times New Roman" w:hAnsi="Times New Roman" w:cs="Times New Roman"/>
          <w:szCs w:val="24"/>
        </w:rPr>
        <w:t>Audit, « là où prévalaient très majoritairement de simples crédits bancaires sont apparus des titres négociables et un marché tant pour</w:t>
      </w:r>
      <w:r w:rsidR="00BD0948" w:rsidRPr="00E72418">
        <w:rPr>
          <w:rFonts w:ascii="Times New Roman" w:hAnsi="Times New Roman" w:cs="Times New Roman"/>
          <w:szCs w:val="24"/>
        </w:rPr>
        <w:t xml:space="preserve"> les échanger eux-mêmes que les</w:t>
      </w:r>
      <w:r w:rsidR="00BD0948" w:rsidRPr="00E72418">
        <w:rPr>
          <w:szCs w:val="20"/>
          <w:lang w:val="en-US"/>
        </w:rPr>
        <w:t xml:space="preserve"> “</w:t>
      </w:r>
      <w:r w:rsidR="007C57EF" w:rsidRPr="00E72418">
        <w:rPr>
          <w:rFonts w:ascii="Times New Roman" w:hAnsi="Times New Roman" w:cs="Times New Roman"/>
          <w:szCs w:val="24"/>
        </w:rPr>
        <w:t>credit default swaps</w:t>
      </w:r>
      <w:r w:rsidR="00BD0948" w:rsidRPr="00E72418">
        <w:rPr>
          <w:szCs w:val="20"/>
          <w:lang w:val="en-US"/>
        </w:rPr>
        <w:t>”</w:t>
      </w:r>
      <w:r w:rsidR="007C57EF" w:rsidRPr="00E72418">
        <w:rPr>
          <w:rFonts w:ascii="Times New Roman" w:hAnsi="Times New Roman" w:cs="Times New Roman"/>
          <w:szCs w:val="24"/>
        </w:rPr>
        <w:t xml:space="preserve"> qui les garantissent ». Et l’auteur d’ajouter que « </w:t>
      </w:r>
      <w:r w:rsidR="007C57EF" w:rsidRPr="00E72418">
        <w:rPr>
          <w:rFonts w:ascii="Times New Roman" w:hAnsi="Times New Roman" w:cs="Times New Roman"/>
        </w:rPr>
        <w:t>[c</w:t>
      </w:r>
      <w:r w:rsidR="002F747E">
        <w:rPr>
          <w:rFonts w:ascii="Times New Roman" w:hAnsi="Times New Roman" w:cs="Times New Roman"/>
        </w:rPr>
        <w:t>’</w:t>
      </w:r>
      <w:r w:rsidR="007C57EF" w:rsidRPr="00E72418">
        <w:rPr>
          <w:rFonts w:ascii="Times New Roman" w:hAnsi="Times New Roman" w:cs="Times New Roman"/>
        </w:rPr>
        <w:t>]</w:t>
      </w:r>
      <w:r w:rsidR="007C57EF" w:rsidRPr="00E72418">
        <w:rPr>
          <w:rFonts w:ascii="Times New Roman" w:hAnsi="Times New Roman" w:cs="Times New Roman"/>
          <w:szCs w:val="24"/>
        </w:rPr>
        <w:t>est à l’évidence une logique spéculative qui progressivement a été installée en matière de dettes souveraines »</w:t>
      </w:r>
      <w:r w:rsidR="007C57EF" w:rsidRPr="00E72418">
        <w:rPr>
          <w:rStyle w:val="Appelnotedebasdep"/>
          <w:rFonts w:ascii="Times New Roman" w:hAnsi="Times New Roman" w:cs="Times New Roman"/>
          <w:szCs w:val="24"/>
        </w:rPr>
        <w:footnoteReference w:id="86"/>
      </w:r>
      <w:r w:rsidR="007C57EF" w:rsidRPr="00E72418">
        <w:rPr>
          <w:rFonts w:ascii="Times New Roman" w:hAnsi="Times New Roman" w:cs="Times New Roman"/>
          <w:szCs w:val="24"/>
        </w:rPr>
        <w:t>.</w:t>
      </w:r>
    </w:p>
    <w:p w14:paraId="789AFED4" w14:textId="77777777" w:rsidR="00596AE7" w:rsidRPr="00E72418" w:rsidRDefault="00596AE7" w:rsidP="00423B60"/>
    <w:p w14:paraId="3896B5C7" w14:textId="726A8391" w:rsidR="007C57EF" w:rsidRPr="00E72418" w:rsidRDefault="000764CE" w:rsidP="00CC4BA8">
      <w:pPr>
        <w:pStyle w:val="CC"/>
        <w:spacing w:line="276" w:lineRule="auto"/>
      </w:pPr>
      <w:bookmarkStart w:id="17" w:name="_Toc59280870"/>
      <w:bookmarkStart w:id="18" w:name="_Toc75106054"/>
      <w:bookmarkStart w:id="19" w:name="_Toc84540861"/>
      <w:r w:rsidRPr="00E72418">
        <w:t xml:space="preserve">Chapitre </w:t>
      </w:r>
      <w:r w:rsidR="003C32DE" w:rsidRPr="00E72418">
        <w:t xml:space="preserve">3 : </w:t>
      </w:r>
      <w:r w:rsidR="007C57EF" w:rsidRPr="00E72418">
        <w:t>Une dette polymorphe</w:t>
      </w:r>
      <w:bookmarkEnd w:id="17"/>
      <w:bookmarkEnd w:id="18"/>
      <w:bookmarkEnd w:id="19"/>
    </w:p>
    <w:p w14:paraId="08C864E5" w14:textId="77777777" w:rsidR="007C57EF" w:rsidRPr="00E72418" w:rsidRDefault="007C57EF" w:rsidP="00423B60"/>
    <w:p w14:paraId="06F1260D" w14:textId="13B44169" w:rsidR="004B14B2" w:rsidRPr="00E72418" w:rsidRDefault="007F038F" w:rsidP="00CC4BA8">
      <w:pPr>
        <w:spacing w:line="276" w:lineRule="auto"/>
      </w:pPr>
      <w:r w:rsidRPr="00E72418">
        <w:rPr>
          <w:b/>
        </w:rPr>
        <w:t>19</w:t>
      </w:r>
      <w:r w:rsidR="007E31CD" w:rsidRPr="00E72418">
        <w:rPr>
          <w:b/>
        </w:rPr>
        <w:t xml:space="preserve">. </w:t>
      </w:r>
      <w:r w:rsidR="007C57EF" w:rsidRPr="00E72418">
        <w:rPr>
          <w:b/>
        </w:rPr>
        <w:t>La dette d’</w:t>
      </w:r>
      <w:r w:rsidR="007C57EF" w:rsidRPr="00E72418">
        <w:rPr>
          <w:b/>
          <w:lang w:eastAsia="fr-BE"/>
        </w:rPr>
        <w:t>É</w:t>
      </w:r>
      <w:r w:rsidR="007C57EF" w:rsidRPr="00E72418">
        <w:rPr>
          <w:b/>
        </w:rPr>
        <w:t>tat est polymorphe –</w:t>
      </w:r>
      <w:r w:rsidR="007C57EF" w:rsidRPr="00E72418">
        <w:t xml:space="preserve"> Si</w:t>
      </w:r>
      <w:r w:rsidR="0030147D">
        <w:t>,</w:t>
      </w:r>
      <w:r w:rsidR="007C57EF" w:rsidRPr="00E72418">
        <w:t xml:space="preserve"> comme certains, nous pouvons pour notre propos retenir simplement qu’en principe, les dettes souveraines désignent toutes les dettes dont un </w:t>
      </w:r>
      <w:r w:rsidR="007C57EF" w:rsidRPr="00E72418">
        <w:rPr>
          <w:lang w:eastAsia="fr-BE"/>
        </w:rPr>
        <w:t>É</w:t>
      </w:r>
      <w:r w:rsidR="007C57EF" w:rsidRPr="00E72418">
        <w:t>tat est tenu envers des créanciers privés ou publics</w:t>
      </w:r>
      <w:r w:rsidR="007C57EF" w:rsidRPr="00E72418">
        <w:rPr>
          <w:rStyle w:val="Appelnotedebasdep"/>
        </w:rPr>
        <w:footnoteReference w:id="87"/>
      </w:r>
      <w:r w:rsidR="007C57EF" w:rsidRPr="00E72418">
        <w:t xml:space="preserve">, il nous apparaît toutefois utile dans ces prolégomènes de décrire les différentes formes que peuvent prendre les dettes </w:t>
      </w:r>
      <w:r w:rsidR="0089722C">
        <w:t>étatiques</w:t>
      </w:r>
      <w:r w:rsidR="004B14B2" w:rsidRPr="00E72418">
        <w:t>. L’on distinguera ainsi</w:t>
      </w:r>
      <w:r w:rsidR="002B513D" w:rsidRPr="00E72418">
        <w:t>,</w:t>
      </w:r>
      <w:r w:rsidR="004B14B2" w:rsidRPr="00E72418">
        <w:t xml:space="preserve"> dans un premier temps (</w:t>
      </w:r>
      <w:r w:rsidR="004B14B2" w:rsidRPr="00E72418">
        <w:rPr>
          <w:b/>
        </w:rPr>
        <w:t>section 1</w:t>
      </w:r>
      <w:r w:rsidR="004B14B2" w:rsidRPr="00E72418">
        <w:t>)</w:t>
      </w:r>
      <w:r w:rsidR="002B513D" w:rsidRPr="00E72418">
        <w:t>,</w:t>
      </w:r>
      <w:r w:rsidR="004B14B2" w:rsidRPr="00E72418">
        <w:t xml:space="preserve"> la dette interne et la dette externe. Au sein de cette dernière, dans un second temps (</w:t>
      </w:r>
      <w:r w:rsidR="004B14B2" w:rsidRPr="00E72418">
        <w:rPr>
          <w:b/>
        </w:rPr>
        <w:t>section 2</w:t>
      </w:r>
      <w:r w:rsidR="004B14B2" w:rsidRPr="00E72418">
        <w:t>), l’on présentera la dette externe qualifiée de publique et celle qualifiée de privée.</w:t>
      </w:r>
    </w:p>
    <w:p w14:paraId="0AD35141" w14:textId="3A00DF22" w:rsidR="007C57EF" w:rsidRPr="00E72418" w:rsidRDefault="004B14B2" w:rsidP="00CC4BA8">
      <w:pPr>
        <w:spacing w:line="276" w:lineRule="auto"/>
      </w:pPr>
      <w:r w:rsidRPr="00E72418">
        <w:t>La</w:t>
      </w:r>
      <w:r w:rsidR="007C57EF" w:rsidRPr="00E72418">
        <w:t xml:space="preserve"> description </w:t>
      </w:r>
      <w:r w:rsidRPr="00E72418">
        <w:t xml:space="preserve">opérée </w:t>
      </w:r>
      <w:r w:rsidR="007C57EF" w:rsidRPr="00E72418">
        <w:t>permettra de comprendre les tenants et aboutissants des différents contentieux dili</w:t>
      </w:r>
      <w:r w:rsidR="004F2AD2" w:rsidRPr="00E72418">
        <w:t>gentés par les fonds spéculant</w:t>
      </w:r>
      <w:r w:rsidR="007C57EF" w:rsidRPr="00E72418">
        <w:t xml:space="preserve"> sur les dettes souveraines. Notons d’ores et déjà que </w:t>
      </w:r>
      <w:r w:rsidR="004F2AD2" w:rsidRPr="00E72418">
        <w:t>les contentieux diligentés par c</w:t>
      </w:r>
      <w:r w:rsidR="007C57EF" w:rsidRPr="00E72418">
        <w:t xml:space="preserve">es fonds se </w:t>
      </w:r>
      <w:r w:rsidR="0030147D">
        <w:t>fondent</w:t>
      </w:r>
      <w:r w:rsidR="007C57EF" w:rsidRPr="00E72418">
        <w:t xml:space="preserve"> généralement sur les actes juridiques privés matérialisant la dette externe privée</w:t>
      </w:r>
      <w:r w:rsidR="00864AD9" w:rsidRPr="00E72418">
        <w:t xml:space="preserve"> </w:t>
      </w:r>
      <w:r w:rsidR="004665B1" w:rsidRPr="00E72418">
        <w:t>généralement</w:t>
      </w:r>
      <w:r w:rsidR="00B158AB" w:rsidRPr="00E72418">
        <w:t xml:space="preserve"> déclinée</w:t>
      </w:r>
      <w:r w:rsidR="00864AD9" w:rsidRPr="00E72418">
        <w:t xml:space="preserve"> en obligations</w:t>
      </w:r>
      <w:r w:rsidR="000E3653" w:rsidRPr="00E72418">
        <w:t>.</w:t>
      </w:r>
    </w:p>
    <w:p w14:paraId="7C018ADD" w14:textId="77777777" w:rsidR="007C57EF" w:rsidRPr="00E72418" w:rsidRDefault="007C57EF" w:rsidP="00423B60"/>
    <w:p w14:paraId="47D0BF93" w14:textId="12366CDE" w:rsidR="007C57EF" w:rsidRPr="00E72418" w:rsidRDefault="000764CE" w:rsidP="00FE1596">
      <w:pPr>
        <w:pStyle w:val="DD"/>
        <w:spacing w:line="276" w:lineRule="auto"/>
      </w:pPr>
      <w:bookmarkStart w:id="20" w:name="_Toc59280871"/>
      <w:bookmarkStart w:id="21" w:name="_Toc84540862"/>
      <w:r w:rsidRPr="00E72418">
        <w:t>S</w:t>
      </w:r>
      <w:r w:rsidR="00C75FBE" w:rsidRPr="00E72418">
        <w:t>ection 1</w:t>
      </w:r>
      <w:r w:rsidR="003C32DE" w:rsidRPr="00E72418">
        <w:t xml:space="preserve"> : </w:t>
      </w:r>
      <w:r w:rsidR="007C57EF" w:rsidRPr="00E72418">
        <w:t xml:space="preserve">La dette interne </w:t>
      </w:r>
      <w:r w:rsidR="00B06B5A" w:rsidRPr="00E72418">
        <w:t>et</w:t>
      </w:r>
      <w:r w:rsidR="007C57EF" w:rsidRPr="00E72418">
        <w:t xml:space="preserve"> la dette externe</w:t>
      </w:r>
      <w:bookmarkEnd w:id="20"/>
      <w:bookmarkEnd w:id="21"/>
    </w:p>
    <w:p w14:paraId="37FF37B8" w14:textId="77777777" w:rsidR="00423B60" w:rsidRPr="00E72418" w:rsidRDefault="00423B60" w:rsidP="00423B60"/>
    <w:p w14:paraId="2E5251A8" w14:textId="0427EC30"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20</w:t>
      </w:r>
      <w:r w:rsidR="007E31CD" w:rsidRPr="00E72418">
        <w:rPr>
          <w:rFonts w:ascii="Times New Roman" w:hAnsi="Times New Roman" w:cs="Times New Roman"/>
          <w:b/>
        </w:rPr>
        <w:t xml:space="preserve">. </w:t>
      </w:r>
      <w:r w:rsidR="007C57EF" w:rsidRPr="00E72418">
        <w:rPr>
          <w:rFonts w:ascii="Times New Roman" w:hAnsi="Times New Roman" w:cs="Times New Roman"/>
          <w:b/>
        </w:rPr>
        <w:t>Une distinction cardinale –</w:t>
      </w:r>
      <w:r w:rsidR="007C57EF" w:rsidRPr="00E72418">
        <w:rPr>
          <w:rFonts w:ascii="Times New Roman" w:hAnsi="Times New Roman" w:cs="Times New Roman"/>
        </w:rPr>
        <w:t xml:space="preserve"> Lorsque l’on étudie les dettes souveraines, la distinction entre dette interne et dette externe est la première à pratiquer. Cette distinction touchant au régime juridique de la dette la rendant flexible ou non pour son </w:t>
      </w:r>
      <w:r w:rsidR="00CE660E" w:rsidRPr="00E72418">
        <w:rPr>
          <w:rFonts w:ascii="Times New Roman" w:hAnsi="Times New Roman" w:cs="Times New Roman"/>
        </w:rPr>
        <w:t>émetteur</w:t>
      </w:r>
      <w:r w:rsidR="007C57EF" w:rsidRPr="00E72418">
        <w:rPr>
          <w:rFonts w:ascii="Times New Roman" w:hAnsi="Times New Roman" w:cs="Times New Roman"/>
        </w:rPr>
        <w:t xml:space="preserve"> a, par voie de conséquence, une incidence sur son coût</w:t>
      </w:r>
      <w:r w:rsidR="004665B1" w:rsidRPr="00E72418">
        <w:rPr>
          <w:rStyle w:val="Appelnotedebasdep"/>
          <w:rFonts w:ascii="Times New Roman" w:hAnsi="Times New Roman" w:cs="Times New Roman"/>
        </w:rPr>
        <w:footnoteReference w:id="88"/>
      </w:r>
      <w:r w:rsidR="007C57EF" w:rsidRPr="00E72418">
        <w:rPr>
          <w:rFonts w:ascii="Times New Roman" w:hAnsi="Times New Roman" w:cs="Times New Roman"/>
        </w:rPr>
        <w:t>.</w:t>
      </w:r>
    </w:p>
    <w:p w14:paraId="2713590C" w14:textId="77777777" w:rsidR="007C57EF" w:rsidRPr="00E72418" w:rsidRDefault="007C57EF" w:rsidP="00423B60"/>
    <w:p w14:paraId="2C4BF1FC" w14:textId="0676C36F"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lastRenderedPageBreak/>
        <w:t>21</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flexibilité de la dette pour son émetteur – </w:t>
      </w:r>
      <w:r w:rsidR="007C57EF" w:rsidRPr="00E72418">
        <w:rPr>
          <w:rFonts w:ascii="Times New Roman" w:hAnsi="Times New Roman" w:cs="Times New Roman"/>
        </w:rPr>
        <w:t xml:space="preserve">La dette est dite interne lorsqu’elle est émise par un </w:t>
      </w:r>
      <w:r w:rsidR="007C57EF" w:rsidRPr="00E72418">
        <w:rPr>
          <w:rFonts w:ascii="Times New Roman" w:hAnsi="Times New Roman" w:cs="Times New Roman"/>
          <w:lang w:eastAsia="fr-BE"/>
        </w:rPr>
        <w:t>É</w:t>
      </w:r>
      <w:r w:rsidR="00CC422B" w:rsidRPr="00E72418">
        <w:rPr>
          <w:rFonts w:ascii="Times New Roman" w:hAnsi="Times New Roman" w:cs="Times New Roman"/>
        </w:rPr>
        <w:t>tat dans</w:t>
      </w:r>
      <w:r w:rsidR="007C57EF" w:rsidRPr="00E72418">
        <w:rPr>
          <w:rFonts w:ascii="Times New Roman" w:hAnsi="Times New Roman" w:cs="Times New Roman"/>
        </w:rPr>
        <w:t xml:space="preserve"> sa monnaie nationale et qu’y est appliqué </w:t>
      </w:r>
      <w:r w:rsidR="00CE660E" w:rsidRPr="00E72418">
        <w:rPr>
          <w:rFonts w:ascii="Times New Roman" w:hAnsi="Times New Roman" w:cs="Times New Roman"/>
        </w:rPr>
        <w:t>son</w:t>
      </w:r>
      <w:r w:rsidR="007C57EF" w:rsidRPr="00E72418">
        <w:rPr>
          <w:rFonts w:ascii="Times New Roman" w:hAnsi="Times New Roman" w:cs="Times New Roman"/>
        </w:rPr>
        <w:t xml:space="preserve"> droit. La dette étatique est</w:t>
      </w:r>
      <w:r w:rsidR="00CE660E" w:rsidRPr="00E72418">
        <w:rPr>
          <w:rFonts w:ascii="Times New Roman" w:hAnsi="Times New Roman" w:cs="Times New Roman"/>
        </w:rPr>
        <w:t>,</w:t>
      </w:r>
      <w:r w:rsidR="007C57EF" w:rsidRPr="00E72418">
        <w:rPr>
          <w:rFonts w:ascii="Times New Roman" w:hAnsi="Times New Roman" w:cs="Times New Roman"/>
        </w:rPr>
        <w:t xml:space="preserve"> par contre</w:t>
      </w:r>
      <w:r w:rsidR="00CE660E" w:rsidRPr="00E72418">
        <w:rPr>
          <w:rFonts w:ascii="Times New Roman" w:hAnsi="Times New Roman" w:cs="Times New Roman"/>
        </w:rPr>
        <w:t>,</w:t>
      </w:r>
      <w:r w:rsidR="007C57EF" w:rsidRPr="00E72418">
        <w:rPr>
          <w:rFonts w:ascii="Times New Roman" w:hAnsi="Times New Roman" w:cs="Times New Roman"/>
        </w:rPr>
        <w:t xml:space="preserve"> dite externe lorsqu’elle est souscrite dans une monnaie étrangère sur le fondement d’un autre droit</w:t>
      </w:r>
      <w:r w:rsidR="007C57EF" w:rsidRPr="00E72418">
        <w:rPr>
          <w:rStyle w:val="Appelnotedebasdep"/>
          <w:rFonts w:ascii="Times New Roman" w:hAnsi="Times New Roman" w:cs="Times New Roman"/>
        </w:rPr>
        <w:footnoteReference w:id="89"/>
      </w:r>
      <w:r w:rsidR="007C57EF" w:rsidRPr="00E72418">
        <w:rPr>
          <w:rFonts w:ascii="Times New Roman" w:hAnsi="Times New Roman" w:cs="Times New Roman"/>
        </w:rPr>
        <w:t>. Si</w:t>
      </w:r>
      <w:r w:rsidR="00CE660E" w:rsidRPr="00E72418">
        <w:rPr>
          <w:rFonts w:ascii="Times New Roman" w:hAnsi="Times New Roman" w:cs="Times New Roman"/>
        </w:rPr>
        <w:t>,</w:t>
      </w:r>
      <w:r w:rsidR="007C57EF" w:rsidRPr="00E72418">
        <w:rPr>
          <w:rFonts w:ascii="Times New Roman" w:hAnsi="Times New Roman" w:cs="Times New Roman"/>
        </w:rPr>
        <w:t xml:space="preserve"> historiquement, l’on retenait une soumission exclusive de la dette au droit de l’emprunteur et à ses juridictions, il apparaît qu’aujourd’hui l’autonomie des parties quant au choix de la loi applicable est acquise</w:t>
      </w:r>
      <w:r w:rsidR="007C57EF" w:rsidRPr="00E72418">
        <w:rPr>
          <w:rStyle w:val="Appelnotedebasdep"/>
          <w:rFonts w:ascii="Times New Roman" w:hAnsi="Times New Roman" w:cs="Times New Roman"/>
        </w:rPr>
        <w:footnoteReference w:id="90"/>
      </w:r>
      <w:r w:rsidR="007C57EF" w:rsidRPr="00E72418">
        <w:rPr>
          <w:rFonts w:ascii="Times New Roman" w:hAnsi="Times New Roman" w:cs="Times New Roman"/>
        </w:rPr>
        <w:t>. Dans</w:t>
      </w:r>
      <w:r w:rsidR="007C57EF" w:rsidRPr="00E72418">
        <w:rPr>
          <w:rFonts w:ascii="Times New Roman" w:hAnsi="Times New Roman" w:cs="Times New Roman"/>
          <w:szCs w:val="24"/>
        </w:rPr>
        <w:t xml:space="preserve"> une vaste majorité des cas, les contrats de dettes d’</w:t>
      </w:r>
      <w:r w:rsidR="007C57EF" w:rsidRPr="00E72418">
        <w:rPr>
          <w:rFonts w:ascii="Times New Roman" w:hAnsi="Times New Roman" w:cs="Times New Roman"/>
          <w:lang w:eastAsia="fr-BE"/>
        </w:rPr>
        <w:t>É</w:t>
      </w:r>
      <w:r w:rsidR="00CE660E" w:rsidRPr="00E72418">
        <w:rPr>
          <w:rFonts w:ascii="Times New Roman" w:hAnsi="Times New Roman" w:cs="Times New Roman"/>
          <w:szCs w:val="24"/>
        </w:rPr>
        <w:t>tat sont gouvernés</w:t>
      </w:r>
      <w:r w:rsidR="007C57EF" w:rsidRPr="00E72418">
        <w:rPr>
          <w:rFonts w:ascii="Times New Roman" w:hAnsi="Times New Roman" w:cs="Times New Roman"/>
          <w:szCs w:val="24"/>
        </w:rPr>
        <w:t xml:space="preserve"> soit par la loi de l’</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 débiteur, soit par la loi bri</w:t>
      </w:r>
      <w:r w:rsidR="00CE660E" w:rsidRPr="00E72418">
        <w:rPr>
          <w:rFonts w:ascii="Times New Roman" w:hAnsi="Times New Roman" w:cs="Times New Roman"/>
          <w:szCs w:val="24"/>
        </w:rPr>
        <w:t>tannique ou la loi new-yorkaise</w:t>
      </w:r>
      <w:r w:rsidR="007C57EF" w:rsidRPr="00E72418">
        <w:rPr>
          <w:rStyle w:val="Appelnotedebasdep"/>
          <w:rFonts w:ascii="Times New Roman" w:hAnsi="Times New Roman" w:cs="Times New Roman"/>
          <w:szCs w:val="24"/>
        </w:rPr>
        <w:footnoteReference w:id="91"/>
      </w:r>
      <w:r w:rsidR="007C57EF" w:rsidRPr="00E72418">
        <w:rPr>
          <w:rFonts w:ascii="Times New Roman" w:hAnsi="Times New Roman" w:cs="Times New Roman"/>
          <w:szCs w:val="24"/>
        </w:rPr>
        <w:t>.</w:t>
      </w:r>
    </w:p>
    <w:p w14:paraId="788F151A" w14:textId="3F8CAECC"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Si l’</w:t>
      </w:r>
      <w:r w:rsidRPr="00E72418">
        <w:rPr>
          <w:rFonts w:ascii="Times New Roman" w:hAnsi="Times New Roman" w:cs="Times New Roman"/>
          <w:lang w:eastAsia="fr-BE"/>
        </w:rPr>
        <w:t>É</w:t>
      </w:r>
      <w:r w:rsidRPr="00E72418">
        <w:rPr>
          <w:rFonts w:ascii="Times New Roman" w:hAnsi="Times New Roman" w:cs="Times New Roman"/>
        </w:rPr>
        <w:t>tat débiteur garde un contrôle complet de la dette interne dans la mesure où, maître de son droit national, il est en mesure d’altérer les obligations financières souscrites, il n’en est pas de même avec la dette externe qui</w:t>
      </w:r>
      <w:r w:rsidR="00CE660E" w:rsidRPr="00E72418">
        <w:rPr>
          <w:rFonts w:ascii="Times New Roman" w:hAnsi="Times New Roman" w:cs="Times New Roman"/>
        </w:rPr>
        <w:t xml:space="preserve"> elle</w:t>
      </w:r>
      <w:r w:rsidRPr="00E72418">
        <w:rPr>
          <w:rFonts w:ascii="Times New Roman" w:hAnsi="Times New Roman" w:cs="Times New Roman"/>
        </w:rPr>
        <w:t xml:space="preserve"> lui échappe</w:t>
      </w:r>
      <w:r w:rsidRPr="00E72418">
        <w:rPr>
          <w:rStyle w:val="Appelnotedebasdep"/>
          <w:rFonts w:ascii="Times New Roman" w:hAnsi="Times New Roman" w:cs="Times New Roman"/>
        </w:rPr>
        <w:footnoteReference w:id="92"/>
      </w:r>
      <w:r w:rsidR="00CE660E" w:rsidRPr="00E72418">
        <w:rPr>
          <w:rFonts w:ascii="Times New Roman" w:hAnsi="Times New Roman" w:cs="Times New Roman"/>
        </w:rPr>
        <w:t xml:space="preserve">. </w:t>
      </w:r>
      <w:r w:rsidRPr="00E72418">
        <w:rPr>
          <w:rFonts w:ascii="Times New Roman" w:hAnsi="Times New Roman" w:cs="Times New Roman"/>
        </w:rPr>
        <w:t>En cas de difficultés financières rencontrées par l’</w:t>
      </w:r>
      <w:r w:rsidRPr="00E72418">
        <w:rPr>
          <w:rFonts w:ascii="Times New Roman" w:hAnsi="Times New Roman" w:cs="Times New Roman"/>
          <w:lang w:eastAsia="fr-BE"/>
        </w:rPr>
        <w:t>É</w:t>
      </w:r>
      <w:r w:rsidRPr="00E72418">
        <w:rPr>
          <w:rFonts w:ascii="Times New Roman" w:hAnsi="Times New Roman" w:cs="Times New Roman"/>
        </w:rPr>
        <w:t>tat débiteur, le fa</w:t>
      </w:r>
      <w:r w:rsidR="00CE660E" w:rsidRPr="00E72418">
        <w:rPr>
          <w:rFonts w:ascii="Times New Roman" w:hAnsi="Times New Roman" w:cs="Times New Roman"/>
        </w:rPr>
        <w:t>it que la dette soit soumise à s</w:t>
      </w:r>
      <w:r w:rsidRPr="00E72418">
        <w:rPr>
          <w:rFonts w:ascii="Times New Roman" w:hAnsi="Times New Roman" w:cs="Times New Roman"/>
        </w:rPr>
        <w:t>a législation nationale peut s’avérer d’une utilité capitale, la restructuration s’en trouvant largement facilitée dès lors que l’</w:t>
      </w:r>
      <w:r w:rsidRPr="00E72418">
        <w:rPr>
          <w:rFonts w:ascii="Times New Roman" w:hAnsi="Times New Roman" w:cs="Times New Roman"/>
          <w:lang w:eastAsia="fr-BE"/>
        </w:rPr>
        <w:t>É</w:t>
      </w:r>
      <w:r w:rsidRPr="00E72418">
        <w:rPr>
          <w:rFonts w:ascii="Times New Roman" w:hAnsi="Times New Roman" w:cs="Times New Roman"/>
        </w:rPr>
        <w:t>tat sera en mesure de modifier unilatéralement son régime juridique</w:t>
      </w:r>
      <w:r w:rsidR="00F1074A" w:rsidRPr="00E72418">
        <w:rPr>
          <w:rStyle w:val="Appelnotedebasdep"/>
          <w:rFonts w:ascii="Times New Roman" w:hAnsi="Times New Roman" w:cs="Times New Roman"/>
        </w:rPr>
        <w:footnoteReference w:id="93"/>
      </w:r>
      <w:r w:rsidRPr="00E72418">
        <w:rPr>
          <w:rFonts w:ascii="Times New Roman" w:hAnsi="Times New Roman" w:cs="Times New Roman"/>
        </w:rPr>
        <w:t xml:space="preserve">. </w:t>
      </w:r>
      <w:r w:rsidRPr="00E72418">
        <w:rPr>
          <w:rFonts w:ascii="Times New Roman" w:hAnsi="Times New Roman" w:cs="Times New Roman"/>
          <w:szCs w:val="24"/>
        </w:rPr>
        <w:t>Le pouvoir souverain peut se manifester à travers l’adoption de textes visant à modifier à proprement parler</w:t>
      </w:r>
      <w:r w:rsidR="000A551B" w:rsidRPr="00E72418">
        <w:rPr>
          <w:rFonts w:ascii="Times New Roman" w:hAnsi="Times New Roman" w:cs="Times New Roman"/>
          <w:szCs w:val="24"/>
        </w:rPr>
        <w:t xml:space="preserve"> le contrat de la dette de sorte que </w:t>
      </w:r>
      <w:r w:rsidRPr="00E72418">
        <w:rPr>
          <w:rFonts w:ascii="Times New Roman" w:hAnsi="Times New Roman" w:cs="Times New Roman"/>
          <w:szCs w:val="24"/>
        </w:rPr>
        <w:t>le créancier sollicitant l’exécution du contrat soumis au droit de l’</w:t>
      </w:r>
      <w:r w:rsidRPr="00E72418">
        <w:rPr>
          <w:rFonts w:ascii="Times New Roman" w:hAnsi="Times New Roman" w:cs="Times New Roman"/>
          <w:lang w:eastAsia="fr-BE"/>
        </w:rPr>
        <w:t>É</w:t>
      </w:r>
      <w:r w:rsidRPr="00E72418">
        <w:rPr>
          <w:rFonts w:ascii="Times New Roman" w:hAnsi="Times New Roman" w:cs="Times New Roman"/>
          <w:szCs w:val="24"/>
        </w:rPr>
        <w:t>tat débiteur verra s’y appliquer la disposition juridique adoptée</w:t>
      </w:r>
      <w:r w:rsidRPr="00E72418">
        <w:rPr>
          <w:rStyle w:val="Appelnotedebasdep"/>
          <w:rFonts w:ascii="Times New Roman" w:hAnsi="Times New Roman" w:cs="Times New Roman"/>
          <w:szCs w:val="24"/>
        </w:rPr>
        <w:footnoteReference w:id="94"/>
      </w:r>
      <w:r w:rsidRPr="00E72418">
        <w:rPr>
          <w:rFonts w:ascii="Times New Roman" w:hAnsi="Times New Roman" w:cs="Times New Roman"/>
          <w:szCs w:val="24"/>
        </w:rPr>
        <w:t>.</w:t>
      </w:r>
      <w:r w:rsidR="007A7F0A" w:rsidRPr="00E72418">
        <w:rPr>
          <w:rFonts w:ascii="Times New Roman" w:hAnsi="Times New Roman" w:cs="Times New Roman"/>
          <w:szCs w:val="24"/>
        </w:rPr>
        <w:t xml:space="preserve"> Au vu de sa flexibilité pour son débiteur, </w:t>
      </w:r>
      <w:r w:rsidR="002B513D" w:rsidRPr="00E72418">
        <w:rPr>
          <w:rFonts w:ascii="Times New Roman" w:hAnsi="Times New Roman" w:cs="Times New Roman"/>
          <w:szCs w:val="24"/>
        </w:rPr>
        <w:lastRenderedPageBreak/>
        <w:t>l’</w:t>
      </w:r>
      <w:r w:rsidR="007A7F0A" w:rsidRPr="00E72418">
        <w:rPr>
          <w:rFonts w:ascii="Times New Roman" w:hAnsi="Times New Roman" w:cs="Times New Roman"/>
          <w:szCs w:val="24"/>
        </w:rPr>
        <w:t>on comprend donc que l</w:t>
      </w:r>
      <w:r w:rsidR="007A7F0A" w:rsidRPr="00E72418">
        <w:rPr>
          <w:rFonts w:ascii="Times New Roman" w:hAnsi="Times New Roman" w:cs="Times New Roman"/>
        </w:rPr>
        <w:t xml:space="preserve">a confiance inspirée par les </w:t>
      </w:r>
      <w:r w:rsidR="007A7F0A" w:rsidRPr="00E72418">
        <w:rPr>
          <w:rFonts w:ascii="Times New Roman" w:hAnsi="Times New Roman" w:cs="Times New Roman"/>
          <w:lang w:eastAsia="fr-BE"/>
        </w:rPr>
        <w:t>É</w:t>
      </w:r>
      <w:r w:rsidR="007A7F0A" w:rsidRPr="00E72418">
        <w:rPr>
          <w:rFonts w:ascii="Times New Roman" w:hAnsi="Times New Roman" w:cs="Times New Roman"/>
        </w:rPr>
        <w:t>tats a une incidence sur la possibilité leur étant offerte d’émettre de la dette interne.</w:t>
      </w:r>
    </w:p>
    <w:p w14:paraId="24298E5E" w14:textId="77777777" w:rsidR="007C57EF" w:rsidRPr="00E72418" w:rsidRDefault="007C57EF" w:rsidP="00423B60"/>
    <w:p w14:paraId="694772CE" w14:textId="26BB5DF7" w:rsidR="007C57EF"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rPr>
        <w:t>22</w:t>
      </w:r>
      <w:r w:rsidR="007E31CD" w:rsidRPr="00E72418">
        <w:rPr>
          <w:rFonts w:ascii="Times New Roman" w:hAnsi="Times New Roman" w:cs="Times New Roman"/>
          <w:b/>
        </w:rPr>
        <w:t xml:space="preserve">. </w:t>
      </w:r>
      <w:r w:rsidR="007C57EF" w:rsidRPr="00E72418">
        <w:rPr>
          <w:rFonts w:ascii="Times New Roman" w:hAnsi="Times New Roman" w:cs="Times New Roman"/>
          <w:b/>
        </w:rPr>
        <w:t>Le coût de la dette –</w:t>
      </w:r>
      <w:r w:rsidR="007C57EF" w:rsidRPr="00E72418">
        <w:rPr>
          <w:rFonts w:ascii="Times New Roman" w:hAnsi="Times New Roman" w:cs="Times New Roman"/>
        </w:rPr>
        <w:t xml:space="preserve"> Si le choix par un </w:t>
      </w:r>
      <w:r w:rsidR="007C57EF" w:rsidRPr="00E72418">
        <w:rPr>
          <w:rFonts w:ascii="Times New Roman" w:hAnsi="Times New Roman" w:cs="Times New Roman"/>
          <w:lang w:eastAsia="fr-BE"/>
        </w:rPr>
        <w:t>É</w:t>
      </w:r>
      <w:r w:rsidR="007C57EF" w:rsidRPr="00E72418">
        <w:rPr>
          <w:rFonts w:ascii="Times New Roman" w:hAnsi="Times New Roman" w:cs="Times New Roman"/>
        </w:rPr>
        <w:t>tat de sa loi et de sa monnaie nationales a pour conséquence de faciliter la modification qu’il peut souhaiter des termes de la dette, ce choix est généralement coûteux. Les créanciers y verront un risque accru, la dette interne étant la plus</w:t>
      </w:r>
      <w:r w:rsidR="007C57EF" w:rsidRPr="00E72418">
        <w:t xml:space="preserve"> </w:t>
      </w:r>
      <w:r w:rsidR="007C57EF" w:rsidRPr="00E72418">
        <w:rPr>
          <w:rFonts w:ascii="Times New Roman" w:hAnsi="Times New Roman" w:cs="Times New Roman"/>
        </w:rPr>
        <w:t>exposée au risque souverain face auquel ils se trouveront souvent démunis</w:t>
      </w:r>
      <w:r w:rsidR="007C57EF" w:rsidRPr="00E72418">
        <w:rPr>
          <w:rStyle w:val="Appelnotedebasdep"/>
          <w:rFonts w:ascii="Times New Roman" w:hAnsi="Times New Roman" w:cs="Times New Roman"/>
        </w:rPr>
        <w:footnoteReference w:id="95"/>
      </w:r>
      <w:r w:rsidR="007C57EF" w:rsidRPr="00E72418">
        <w:rPr>
          <w:rFonts w:ascii="Times New Roman" w:hAnsi="Times New Roman" w:cs="Times New Roman"/>
        </w:rPr>
        <w:t>. Par exemple, l’</w:t>
      </w:r>
      <w:r w:rsidR="007C57EF" w:rsidRPr="00E72418">
        <w:rPr>
          <w:rFonts w:ascii="Times New Roman" w:hAnsi="Times New Roman" w:cs="Times New Roman"/>
          <w:lang w:eastAsia="fr-BE"/>
        </w:rPr>
        <w:t>É</w:t>
      </w:r>
      <w:r w:rsidR="007C57EF" w:rsidRPr="00E72418">
        <w:rPr>
          <w:rFonts w:ascii="Times New Roman" w:hAnsi="Times New Roman" w:cs="Times New Roman"/>
        </w:rPr>
        <w:t>tat débiteur pourrait profiter de la monnaie renseignée dans le contrat d’emprunt pour imposer une décote déguisée à ses créanciers ce, en dévaluant simplement sa monnaie sans avoir à renégocier les modalités contractuelles de l’emprunt</w:t>
      </w:r>
      <w:r w:rsidR="007C57EF" w:rsidRPr="00E72418">
        <w:rPr>
          <w:rStyle w:val="Appelnotedebasdep"/>
          <w:rFonts w:ascii="Times New Roman" w:hAnsi="Times New Roman" w:cs="Times New Roman"/>
        </w:rPr>
        <w:footnoteReference w:id="96"/>
      </w:r>
      <w:r w:rsidR="007C57EF" w:rsidRPr="00E72418">
        <w:rPr>
          <w:rFonts w:ascii="Times New Roman" w:hAnsi="Times New Roman" w:cs="Times New Roman"/>
        </w:rPr>
        <w:t>.</w:t>
      </w:r>
      <w:r w:rsidR="007C57EF" w:rsidRPr="00E72418">
        <w:rPr>
          <w:rFonts w:ascii="Times New Roman" w:hAnsi="Times New Roman" w:cs="Times New Roman"/>
          <w:szCs w:val="24"/>
        </w:rPr>
        <w:t xml:space="preserve"> Plus généralement, comme le relève </w:t>
      </w:r>
      <w:r w:rsidR="00201853" w:rsidRPr="00E72418">
        <w:rPr>
          <w:rFonts w:ascii="Times New Roman" w:hAnsi="Times New Roman" w:cs="Times New Roman"/>
          <w:szCs w:val="24"/>
        </w:rPr>
        <w:t xml:space="preserve">Mathias </w:t>
      </w:r>
      <w:r w:rsidR="007C57EF" w:rsidRPr="00E72418">
        <w:rPr>
          <w:rFonts w:ascii="Times New Roman" w:hAnsi="Times New Roman" w:cs="Times New Roman"/>
          <w:szCs w:val="24"/>
        </w:rPr>
        <w:t xml:space="preserve">Audit, les possibilités offertes à un </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 de procéder à une dévaluation, de modifier ses taux directeurs ou encore, par exemple, de réinjecter des liquidités sont de nature à avoir une incidence sur toutes les dettes souscrites dans la devise de l’</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w:t>
      </w:r>
      <w:r w:rsidR="007C57EF" w:rsidRPr="00E72418">
        <w:rPr>
          <w:rStyle w:val="Appelnotedebasdep"/>
          <w:rFonts w:ascii="Times New Roman" w:hAnsi="Times New Roman" w:cs="Times New Roman"/>
          <w:szCs w:val="24"/>
        </w:rPr>
        <w:footnoteReference w:id="97"/>
      </w:r>
      <w:r w:rsidR="007C57EF" w:rsidRPr="00E72418">
        <w:rPr>
          <w:rFonts w:ascii="Times New Roman" w:hAnsi="Times New Roman" w:cs="Times New Roman"/>
          <w:szCs w:val="24"/>
        </w:rPr>
        <w:t>.</w:t>
      </w:r>
    </w:p>
    <w:p w14:paraId="750C2DB0" w14:textId="77777777" w:rsidR="004C3C54"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rPr>
        <w:t xml:space="preserve">Par opposition à la dette interne, la dette externe échappe </w:t>
      </w:r>
      <w:r w:rsidR="001775C3" w:rsidRPr="00E72418">
        <w:rPr>
          <w:rFonts w:ascii="Times New Roman" w:hAnsi="Times New Roman" w:cs="Times New Roman"/>
        </w:rPr>
        <w:t xml:space="preserve">quant à elle </w:t>
      </w:r>
      <w:r w:rsidRPr="00E72418">
        <w:rPr>
          <w:rFonts w:ascii="Times New Roman" w:hAnsi="Times New Roman" w:cs="Times New Roman"/>
        </w:rPr>
        <w:t>au</w:t>
      </w:r>
      <w:r w:rsidR="001775C3" w:rsidRPr="00E72418">
        <w:rPr>
          <w:rFonts w:ascii="Times New Roman" w:hAnsi="Times New Roman" w:cs="Times New Roman"/>
        </w:rPr>
        <w:t>x</w:t>
      </w:r>
      <w:r w:rsidRPr="00E72418">
        <w:rPr>
          <w:rFonts w:ascii="Times New Roman" w:hAnsi="Times New Roman" w:cs="Times New Roman"/>
        </w:rPr>
        <w:t xml:space="preserve"> contrôle</w:t>
      </w:r>
      <w:r w:rsidR="001775C3" w:rsidRPr="00E72418">
        <w:rPr>
          <w:rFonts w:ascii="Times New Roman" w:hAnsi="Times New Roman" w:cs="Times New Roman"/>
        </w:rPr>
        <w:t>s</w:t>
      </w:r>
      <w:r w:rsidRPr="00E72418">
        <w:rPr>
          <w:rFonts w:ascii="Times New Roman" w:hAnsi="Times New Roman" w:cs="Times New Roman"/>
        </w:rPr>
        <w:t xml:space="preserve"> </w:t>
      </w:r>
      <w:r w:rsidR="00566CE1" w:rsidRPr="00E72418">
        <w:rPr>
          <w:rFonts w:ascii="Times New Roman" w:hAnsi="Times New Roman" w:cs="Times New Roman"/>
        </w:rPr>
        <w:t xml:space="preserve">tant </w:t>
      </w:r>
      <w:r w:rsidRPr="00E72418">
        <w:rPr>
          <w:rFonts w:ascii="Times New Roman" w:hAnsi="Times New Roman" w:cs="Times New Roman"/>
        </w:rPr>
        <w:t xml:space="preserve">monétaire </w:t>
      </w:r>
      <w:r w:rsidR="00566CE1" w:rsidRPr="00E72418">
        <w:rPr>
          <w:rFonts w:ascii="Times New Roman" w:hAnsi="Times New Roman" w:cs="Times New Roman"/>
        </w:rPr>
        <w:t>que</w:t>
      </w:r>
      <w:r w:rsidRPr="00E72418">
        <w:rPr>
          <w:rFonts w:ascii="Times New Roman" w:hAnsi="Times New Roman" w:cs="Times New Roman"/>
        </w:rPr>
        <w:t xml:space="preserve"> législatif de son débiteur. Elle est logiquement moins risquée pour les investi</w:t>
      </w:r>
      <w:r w:rsidR="00CC422B" w:rsidRPr="00E72418">
        <w:rPr>
          <w:rFonts w:ascii="Times New Roman" w:hAnsi="Times New Roman" w:cs="Times New Roman"/>
        </w:rPr>
        <w:t>sseurs et</w:t>
      </w:r>
      <w:r w:rsidR="001775C3" w:rsidRPr="00E72418">
        <w:rPr>
          <w:rFonts w:ascii="Times New Roman" w:hAnsi="Times New Roman" w:cs="Times New Roman"/>
        </w:rPr>
        <w:t xml:space="preserve">, par conséquent, </w:t>
      </w:r>
      <w:r w:rsidR="00CC422B" w:rsidRPr="00E72418">
        <w:rPr>
          <w:rFonts w:ascii="Times New Roman" w:hAnsi="Times New Roman" w:cs="Times New Roman"/>
        </w:rPr>
        <w:t xml:space="preserve">moins </w:t>
      </w:r>
      <w:r w:rsidRPr="00E72418">
        <w:rPr>
          <w:rFonts w:ascii="Times New Roman" w:hAnsi="Times New Roman" w:cs="Times New Roman"/>
        </w:rPr>
        <w:t>onéreuse</w:t>
      </w:r>
      <w:r w:rsidRPr="00E72418">
        <w:rPr>
          <w:rStyle w:val="Appelnotedebasdep"/>
          <w:rFonts w:ascii="Times New Roman" w:hAnsi="Times New Roman" w:cs="Times New Roman"/>
        </w:rPr>
        <w:footnoteReference w:id="98"/>
      </w:r>
      <w:r w:rsidRPr="00E72418">
        <w:rPr>
          <w:rFonts w:ascii="Times New Roman" w:hAnsi="Times New Roman" w:cs="Times New Roman"/>
        </w:rPr>
        <w:t xml:space="preserve">. </w:t>
      </w:r>
      <w:r w:rsidR="001775C3" w:rsidRPr="00E72418">
        <w:rPr>
          <w:rFonts w:ascii="Times New Roman" w:hAnsi="Times New Roman" w:cs="Times New Roman"/>
        </w:rPr>
        <w:t>Aussi, l</w:t>
      </w:r>
      <w:r w:rsidR="001775C3" w:rsidRPr="00E72418">
        <w:rPr>
          <w:rFonts w:ascii="Times New Roman" w:hAnsi="Times New Roman" w:cs="Times New Roman"/>
          <w:szCs w:val="24"/>
        </w:rPr>
        <w:t xml:space="preserve">a dette externe a </w:t>
      </w:r>
      <w:r w:rsidRPr="00E72418">
        <w:rPr>
          <w:rFonts w:ascii="Times New Roman" w:hAnsi="Times New Roman" w:cs="Times New Roman"/>
          <w:szCs w:val="24"/>
        </w:rPr>
        <w:t xml:space="preserve">naturellement un rendement </w:t>
      </w:r>
      <w:r w:rsidR="001775C3" w:rsidRPr="00E72418">
        <w:rPr>
          <w:rFonts w:ascii="Times New Roman" w:hAnsi="Times New Roman" w:cs="Times New Roman"/>
          <w:szCs w:val="24"/>
        </w:rPr>
        <w:t>moins élevé que celle soumise</w:t>
      </w:r>
      <w:r w:rsidRPr="00E72418">
        <w:rPr>
          <w:rFonts w:ascii="Times New Roman" w:hAnsi="Times New Roman" w:cs="Times New Roman"/>
          <w:szCs w:val="24"/>
        </w:rPr>
        <w:t xml:space="preserve"> au droit </w:t>
      </w:r>
      <w:r w:rsidR="001775C3" w:rsidRPr="00E72418">
        <w:rPr>
          <w:rFonts w:ascii="Times New Roman" w:hAnsi="Times New Roman" w:cs="Times New Roman"/>
          <w:szCs w:val="24"/>
        </w:rPr>
        <w:t xml:space="preserve">national. L’émission d’une </w:t>
      </w:r>
      <w:r w:rsidRPr="00E72418">
        <w:rPr>
          <w:rFonts w:ascii="Times New Roman" w:hAnsi="Times New Roman" w:cs="Times New Roman"/>
          <w:szCs w:val="24"/>
        </w:rPr>
        <w:t>d</w:t>
      </w:r>
      <w:r w:rsidR="004C3C54" w:rsidRPr="00E72418">
        <w:rPr>
          <w:rFonts w:ascii="Times New Roman" w:hAnsi="Times New Roman" w:cs="Times New Roman"/>
          <w:szCs w:val="24"/>
        </w:rPr>
        <w:t>ette</w:t>
      </w:r>
      <w:r w:rsidR="001775C3" w:rsidRPr="00E72418">
        <w:rPr>
          <w:rFonts w:ascii="Times New Roman" w:hAnsi="Times New Roman" w:cs="Times New Roman"/>
          <w:szCs w:val="24"/>
        </w:rPr>
        <w:t xml:space="preserve"> sous </w:t>
      </w:r>
      <w:r w:rsidR="004C3C54" w:rsidRPr="00E72418">
        <w:rPr>
          <w:rFonts w:ascii="Times New Roman" w:hAnsi="Times New Roman" w:cs="Times New Roman"/>
          <w:szCs w:val="24"/>
        </w:rPr>
        <w:t>l’égide d’</w:t>
      </w:r>
      <w:r w:rsidR="001775C3" w:rsidRPr="00E72418">
        <w:rPr>
          <w:rFonts w:ascii="Times New Roman" w:hAnsi="Times New Roman" w:cs="Times New Roman"/>
          <w:szCs w:val="24"/>
        </w:rPr>
        <w:t>un droit étranger la rend plus compliquée</w:t>
      </w:r>
      <w:r w:rsidR="004C3C54" w:rsidRPr="00E72418">
        <w:rPr>
          <w:rFonts w:ascii="Times New Roman" w:hAnsi="Times New Roman" w:cs="Times New Roman"/>
          <w:szCs w:val="24"/>
        </w:rPr>
        <w:t xml:space="preserve"> à restructurer</w:t>
      </w:r>
      <w:r w:rsidR="001775C3" w:rsidRPr="00E72418">
        <w:rPr>
          <w:rFonts w:ascii="Times New Roman" w:hAnsi="Times New Roman" w:cs="Times New Roman"/>
          <w:szCs w:val="24"/>
        </w:rPr>
        <w:t xml:space="preserve"> </w:t>
      </w:r>
      <w:r w:rsidR="004C3C54" w:rsidRPr="00E72418">
        <w:rPr>
          <w:rFonts w:ascii="Times New Roman" w:hAnsi="Times New Roman" w:cs="Times New Roman"/>
          <w:szCs w:val="24"/>
        </w:rPr>
        <w:t>donnant ainsi</w:t>
      </w:r>
      <w:r w:rsidR="001775C3" w:rsidRPr="00E72418">
        <w:rPr>
          <w:rFonts w:ascii="Times New Roman" w:hAnsi="Times New Roman" w:cs="Times New Roman"/>
          <w:szCs w:val="24"/>
        </w:rPr>
        <w:t xml:space="preserve"> </w:t>
      </w:r>
      <w:r w:rsidR="004C3C54" w:rsidRPr="00E72418">
        <w:rPr>
          <w:rFonts w:ascii="Times New Roman" w:hAnsi="Times New Roman" w:cs="Times New Roman"/>
          <w:szCs w:val="24"/>
        </w:rPr>
        <w:t>un signal aux créanciers que son</w:t>
      </w:r>
      <w:r w:rsidRPr="00E72418">
        <w:rPr>
          <w:rFonts w:ascii="Times New Roman" w:hAnsi="Times New Roman" w:cs="Times New Roman"/>
          <w:szCs w:val="24"/>
        </w:rPr>
        <w:t xml:space="preserve"> dé</w:t>
      </w:r>
      <w:r w:rsidR="001775C3" w:rsidRPr="00E72418">
        <w:rPr>
          <w:rFonts w:ascii="Times New Roman" w:hAnsi="Times New Roman" w:cs="Times New Roman"/>
          <w:szCs w:val="24"/>
        </w:rPr>
        <w:t xml:space="preserve">biteur </w:t>
      </w:r>
      <w:r w:rsidR="004C3C54" w:rsidRPr="00E72418">
        <w:rPr>
          <w:rFonts w:ascii="Times New Roman" w:hAnsi="Times New Roman" w:cs="Times New Roman"/>
          <w:szCs w:val="24"/>
        </w:rPr>
        <w:t xml:space="preserve">souverain </w:t>
      </w:r>
      <w:r w:rsidR="001775C3" w:rsidRPr="00E72418">
        <w:rPr>
          <w:rFonts w:ascii="Times New Roman" w:hAnsi="Times New Roman" w:cs="Times New Roman"/>
          <w:szCs w:val="24"/>
        </w:rPr>
        <w:t>est enclin à l’</w:t>
      </w:r>
      <w:r w:rsidRPr="00E72418">
        <w:rPr>
          <w:rFonts w:ascii="Times New Roman" w:hAnsi="Times New Roman" w:cs="Times New Roman"/>
          <w:szCs w:val="24"/>
        </w:rPr>
        <w:t xml:space="preserve">honorer dans </w:t>
      </w:r>
      <w:r w:rsidR="001775C3" w:rsidRPr="00E72418">
        <w:rPr>
          <w:rFonts w:ascii="Times New Roman" w:hAnsi="Times New Roman" w:cs="Times New Roman"/>
          <w:szCs w:val="24"/>
        </w:rPr>
        <w:t>ses</w:t>
      </w:r>
      <w:r w:rsidRPr="00E72418">
        <w:rPr>
          <w:rFonts w:ascii="Times New Roman" w:hAnsi="Times New Roman" w:cs="Times New Roman"/>
          <w:szCs w:val="24"/>
        </w:rPr>
        <w:t xml:space="preserve"> termes originaux</w:t>
      </w:r>
      <w:r w:rsidRPr="00E72418">
        <w:rPr>
          <w:rStyle w:val="Appelnotedebasdep"/>
          <w:rFonts w:ascii="Times New Roman" w:hAnsi="Times New Roman" w:cs="Times New Roman"/>
          <w:szCs w:val="24"/>
        </w:rPr>
        <w:footnoteReference w:id="99"/>
      </w:r>
      <w:r w:rsidRPr="00E72418">
        <w:rPr>
          <w:rFonts w:ascii="Times New Roman" w:hAnsi="Times New Roman" w:cs="Times New Roman"/>
          <w:szCs w:val="24"/>
        </w:rPr>
        <w:t xml:space="preserve">. </w:t>
      </w:r>
    </w:p>
    <w:p w14:paraId="6F41A582" w14:textId="27299C1C" w:rsidR="007C57EF" w:rsidRPr="00E72418" w:rsidRDefault="004C3C54" w:rsidP="00CC4BA8">
      <w:pPr>
        <w:spacing w:line="276" w:lineRule="auto"/>
        <w:rPr>
          <w:rFonts w:ascii="Times New Roman" w:hAnsi="Times New Roman" w:cs="Times New Roman"/>
          <w:b/>
          <w:szCs w:val="24"/>
        </w:rPr>
      </w:pPr>
      <w:r w:rsidRPr="00E72418">
        <w:rPr>
          <w:rFonts w:ascii="Times New Roman" w:hAnsi="Times New Roman" w:cs="Times New Roman"/>
          <w:szCs w:val="24"/>
        </w:rPr>
        <w:t xml:space="preserve">Afin d’éviter </w:t>
      </w:r>
      <w:r w:rsidR="007C57EF" w:rsidRPr="00E72418">
        <w:rPr>
          <w:rFonts w:ascii="Times New Roman" w:hAnsi="Times New Roman" w:cs="Times New Roman"/>
          <w:szCs w:val="24"/>
        </w:rPr>
        <w:t>le risque découlant du pouvoir souverain d’intervention sur la dette, le</w:t>
      </w:r>
      <w:r w:rsidRPr="00E72418">
        <w:rPr>
          <w:rFonts w:ascii="Times New Roman" w:hAnsi="Times New Roman" w:cs="Times New Roman"/>
          <w:szCs w:val="24"/>
        </w:rPr>
        <w:t>s</w:t>
      </w:r>
      <w:r w:rsidR="007C57EF" w:rsidRPr="00E72418">
        <w:rPr>
          <w:rFonts w:ascii="Times New Roman" w:hAnsi="Times New Roman" w:cs="Times New Roman"/>
          <w:szCs w:val="24"/>
        </w:rPr>
        <w:t xml:space="preserve"> créancier</w:t>
      </w:r>
      <w:r w:rsidRPr="00E72418">
        <w:rPr>
          <w:rFonts w:ascii="Times New Roman" w:hAnsi="Times New Roman" w:cs="Times New Roman"/>
          <w:szCs w:val="24"/>
        </w:rPr>
        <w:t>s</w:t>
      </w:r>
      <w:r w:rsidR="007C57EF" w:rsidRPr="00E72418">
        <w:rPr>
          <w:rFonts w:ascii="Times New Roman" w:hAnsi="Times New Roman" w:cs="Times New Roman"/>
          <w:szCs w:val="24"/>
        </w:rPr>
        <w:t xml:space="preserve"> </w:t>
      </w:r>
      <w:r w:rsidRPr="00E72418">
        <w:rPr>
          <w:rFonts w:ascii="Times New Roman" w:hAnsi="Times New Roman" w:cs="Times New Roman"/>
          <w:szCs w:val="24"/>
        </w:rPr>
        <w:t>préfèreront</w:t>
      </w:r>
      <w:r w:rsidR="007C57EF" w:rsidRPr="00E72418">
        <w:rPr>
          <w:rFonts w:ascii="Times New Roman" w:hAnsi="Times New Roman" w:cs="Times New Roman"/>
          <w:szCs w:val="24"/>
        </w:rPr>
        <w:t xml:space="preserve"> les titres libellés en monnaie étrangère et soumis à un droit étranger. Comme le note </w:t>
      </w:r>
      <w:r w:rsidR="005C18A8" w:rsidRPr="00E72418">
        <w:rPr>
          <w:rFonts w:ascii="Times New Roman" w:hAnsi="Times New Roman" w:cs="Times New Roman"/>
          <w:szCs w:val="24"/>
        </w:rPr>
        <w:t xml:space="preserve">Michael </w:t>
      </w:r>
      <w:r w:rsidR="007C57EF" w:rsidRPr="00E72418">
        <w:rPr>
          <w:rFonts w:ascii="Times New Roman" w:hAnsi="Times New Roman" w:cs="Times New Roman"/>
          <w:szCs w:val="24"/>
        </w:rPr>
        <w:t>Pearce, « </w:t>
      </w:r>
      <w:r w:rsidR="007C57EF" w:rsidRPr="00E72418">
        <w:rPr>
          <w:rFonts w:ascii="Times New Roman" w:hAnsi="Times New Roman" w:cs="Times New Roman"/>
        </w:rPr>
        <w:t>[t]</w:t>
      </w:r>
      <w:r w:rsidR="007C57EF" w:rsidRPr="00E72418">
        <w:rPr>
          <w:rFonts w:ascii="Times New Roman" w:hAnsi="Times New Roman" w:cs="Times New Roman"/>
          <w:szCs w:val="24"/>
        </w:rPr>
        <w:t>he primary consider</w:t>
      </w:r>
      <w:r w:rsidR="00855749" w:rsidRPr="00E72418">
        <w:rPr>
          <w:rFonts w:ascii="Times New Roman" w:hAnsi="Times New Roman" w:cs="Times New Roman"/>
          <w:szCs w:val="24"/>
        </w:rPr>
        <w:t>ation of a lender to a foreign G</w:t>
      </w:r>
      <w:r w:rsidR="007C57EF" w:rsidRPr="00E72418">
        <w:rPr>
          <w:rFonts w:ascii="Times New Roman" w:hAnsi="Times New Roman" w:cs="Times New Roman"/>
          <w:szCs w:val="24"/>
        </w:rPr>
        <w:t>over</w:t>
      </w:r>
      <w:r w:rsidR="00855749" w:rsidRPr="00E72418">
        <w:rPr>
          <w:rFonts w:ascii="Times New Roman" w:hAnsi="Times New Roman" w:cs="Times New Roman"/>
          <w:szCs w:val="24"/>
        </w:rPr>
        <w:t>nment is to attempt to neutralis</w:t>
      </w:r>
      <w:r w:rsidR="007C57EF" w:rsidRPr="00E72418">
        <w:rPr>
          <w:rFonts w:ascii="Times New Roman" w:hAnsi="Times New Roman" w:cs="Times New Roman"/>
          <w:szCs w:val="24"/>
        </w:rPr>
        <w:t>e the Government’s law-making power »</w:t>
      </w:r>
      <w:r w:rsidRPr="00E72418">
        <w:rPr>
          <w:rFonts w:ascii="Times New Roman" w:hAnsi="Times New Roman" w:cs="Times New Roman"/>
          <w:szCs w:val="24"/>
        </w:rPr>
        <w:t xml:space="preserve"> </w:t>
      </w:r>
      <w:r w:rsidR="007C57EF" w:rsidRPr="00E72418">
        <w:rPr>
          <w:rFonts w:ascii="Times New Roman" w:hAnsi="Times New Roman" w:cs="Times New Roman"/>
          <w:szCs w:val="24"/>
        </w:rPr>
        <w:t xml:space="preserve">; « </w:t>
      </w:r>
      <w:r w:rsidR="007C57EF" w:rsidRPr="00E72418">
        <w:rPr>
          <w:rFonts w:ascii="Times New Roman" w:hAnsi="Times New Roman" w:cs="Times New Roman"/>
        </w:rPr>
        <w:t>[t]</w:t>
      </w:r>
      <w:r w:rsidR="007C57EF" w:rsidRPr="00E72418">
        <w:rPr>
          <w:rFonts w:ascii="Times New Roman" w:hAnsi="Times New Roman" w:cs="Times New Roman"/>
          <w:szCs w:val="24"/>
        </w:rPr>
        <w:t>his is best achieved by isolating th</w:t>
      </w:r>
      <w:r w:rsidR="00855749" w:rsidRPr="00E72418">
        <w:rPr>
          <w:rFonts w:ascii="Times New Roman" w:hAnsi="Times New Roman" w:cs="Times New Roman"/>
          <w:szCs w:val="24"/>
        </w:rPr>
        <w:t>e contract to the maximum extent from the G</w:t>
      </w:r>
      <w:r w:rsidR="007C57EF" w:rsidRPr="00E72418">
        <w:rPr>
          <w:rFonts w:ascii="Times New Roman" w:hAnsi="Times New Roman" w:cs="Times New Roman"/>
          <w:szCs w:val="24"/>
        </w:rPr>
        <w:t xml:space="preserve">overnment’s law by specifying a foreign proper law, </w:t>
      </w:r>
      <w:r w:rsidR="007C57EF" w:rsidRPr="00E72418">
        <w:rPr>
          <w:rFonts w:ascii="Times New Roman" w:hAnsi="Times New Roman" w:cs="Times New Roman"/>
          <w:szCs w:val="24"/>
        </w:rPr>
        <w:lastRenderedPageBreak/>
        <w:t>submitting to a foreign forum and providing for performance (that is payment) in a foreign country »</w:t>
      </w:r>
      <w:r w:rsidR="007C57EF" w:rsidRPr="00E72418">
        <w:rPr>
          <w:rStyle w:val="Appelnotedebasdep"/>
          <w:rFonts w:ascii="Times New Roman" w:hAnsi="Times New Roman" w:cs="Times New Roman"/>
          <w:szCs w:val="24"/>
        </w:rPr>
        <w:footnoteReference w:id="100"/>
      </w:r>
      <w:r w:rsidR="007C57EF" w:rsidRPr="00E72418">
        <w:rPr>
          <w:rFonts w:ascii="Times New Roman" w:hAnsi="Times New Roman" w:cs="Times New Roman"/>
          <w:szCs w:val="24"/>
        </w:rPr>
        <w:t>.</w:t>
      </w:r>
    </w:p>
    <w:p w14:paraId="44774DB5" w14:textId="77777777" w:rsidR="007C57EF" w:rsidRPr="00E72418" w:rsidRDefault="007C57EF" w:rsidP="00423B60"/>
    <w:p w14:paraId="31F52DF1" w14:textId="1F72615B" w:rsidR="007C57EF" w:rsidRPr="00E72418" w:rsidRDefault="000764CE" w:rsidP="00FE1596">
      <w:pPr>
        <w:pStyle w:val="DD"/>
        <w:spacing w:line="276" w:lineRule="auto"/>
      </w:pPr>
      <w:bookmarkStart w:id="22" w:name="_Toc59280872"/>
      <w:bookmarkStart w:id="23" w:name="_Toc84540863"/>
      <w:r w:rsidRPr="00E72418">
        <w:t>S</w:t>
      </w:r>
      <w:r w:rsidR="00C75FBE" w:rsidRPr="00E72418">
        <w:t>ection 2</w:t>
      </w:r>
      <w:r w:rsidR="003C32DE" w:rsidRPr="00E72418">
        <w:t xml:space="preserve"> : </w:t>
      </w:r>
      <w:r w:rsidR="007C57EF" w:rsidRPr="00E72418">
        <w:t xml:space="preserve">La dette externe publique </w:t>
      </w:r>
      <w:r w:rsidR="00B06B5A" w:rsidRPr="00E72418">
        <w:t>et</w:t>
      </w:r>
      <w:r w:rsidR="007C57EF" w:rsidRPr="00E72418">
        <w:t xml:space="preserve"> la dette externe privée</w:t>
      </w:r>
      <w:bookmarkEnd w:id="22"/>
      <w:bookmarkEnd w:id="23"/>
    </w:p>
    <w:p w14:paraId="55230BDE" w14:textId="77777777" w:rsidR="00423B60" w:rsidRPr="00E72418" w:rsidRDefault="00423B60" w:rsidP="00423B60"/>
    <w:p w14:paraId="0CE7796C" w14:textId="7259BC7C"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23</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dette externe publique bilatérale et multilatérale – </w:t>
      </w:r>
      <w:r w:rsidR="007C57EF" w:rsidRPr="00E72418">
        <w:rPr>
          <w:rFonts w:ascii="Times New Roman" w:hAnsi="Times New Roman" w:cs="Times New Roman"/>
        </w:rPr>
        <w:t xml:space="preserve">Lorsque la dette externe est contractée auprès d’autres </w:t>
      </w:r>
      <w:r w:rsidR="007C57EF" w:rsidRPr="00E72418">
        <w:rPr>
          <w:rFonts w:ascii="Times New Roman" w:hAnsi="Times New Roman" w:cs="Times New Roman"/>
          <w:lang w:eastAsia="fr-BE"/>
        </w:rPr>
        <w:t>É</w:t>
      </w:r>
      <w:r w:rsidR="007C57EF" w:rsidRPr="00E72418">
        <w:rPr>
          <w:rFonts w:ascii="Times New Roman" w:hAnsi="Times New Roman" w:cs="Times New Roman"/>
        </w:rPr>
        <w:t>tats ou d’institutions financières internationales, elle est</w:t>
      </w:r>
      <w:r w:rsidR="002343CF" w:rsidRPr="00E72418">
        <w:rPr>
          <w:rFonts w:ascii="Times New Roman" w:hAnsi="Times New Roman" w:cs="Times New Roman"/>
        </w:rPr>
        <w:t xml:space="preserve"> généralement qualifiée de</w:t>
      </w:r>
      <w:r w:rsidR="007C57EF" w:rsidRPr="00E72418">
        <w:rPr>
          <w:rFonts w:ascii="Times New Roman" w:hAnsi="Times New Roman" w:cs="Times New Roman"/>
        </w:rPr>
        <w:t xml:space="preserve"> </w:t>
      </w:r>
      <w:r w:rsidR="004E56C2" w:rsidRPr="00E72418">
        <w:rPr>
          <w:rFonts w:ascii="Times New Roman" w:hAnsi="Times New Roman" w:cs="Times New Roman"/>
        </w:rPr>
        <w:t>« </w:t>
      </w:r>
      <w:r w:rsidR="007C57EF" w:rsidRPr="00E72418">
        <w:rPr>
          <w:rFonts w:ascii="Times New Roman" w:hAnsi="Times New Roman" w:cs="Times New Roman"/>
        </w:rPr>
        <w:t>publique</w:t>
      </w:r>
      <w:r w:rsidR="004E56C2" w:rsidRPr="00E72418">
        <w:rPr>
          <w:rFonts w:ascii="Times New Roman" w:hAnsi="Times New Roman" w:cs="Times New Roman"/>
        </w:rPr>
        <w:t> »</w:t>
      </w:r>
      <w:r w:rsidR="002343CF" w:rsidRPr="00E72418">
        <w:rPr>
          <w:rFonts w:ascii="Times New Roman" w:hAnsi="Times New Roman" w:cs="Times New Roman"/>
        </w:rPr>
        <w:t xml:space="preserve"> et son traitement relève</w:t>
      </w:r>
      <w:r w:rsidR="00845496">
        <w:rPr>
          <w:rFonts w:ascii="Times New Roman" w:hAnsi="Times New Roman" w:cs="Times New Roman"/>
        </w:rPr>
        <w:t>,</w:t>
      </w:r>
      <w:r w:rsidR="002343CF" w:rsidRPr="00E72418">
        <w:rPr>
          <w:rFonts w:ascii="Times New Roman" w:hAnsi="Times New Roman" w:cs="Times New Roman"/>
        </w:rPr>
        <w:t xml:space="preserve"> </w:t>
      </w:r>
      <w:r w:rsidR="006A0B9C" w:rsidRPr="00E72418">
        <w:rPr>
          <w:rFonts w:ascii="Times New Roman" w:hAnsi="Times New Roman" w:cs="Times New Roman"/>
        </w:rPr>
        <w:t>pour l’essentiel</w:t>
      </w:r>
      <w:r w:rsidR="00845496">
        <w:rPr>
          <w:rFonts w:ascii="Times New Roman" w:hAnsi="Times New Roman" w:cs="Times New Roman"/>
        </w:rPr>
        <w:t>,</w:t>
      </w:r>
      <w:r w:rsidR="006A0B9C" w:rsidRPr="00E72418">
        <w:rPr>
          <w:rFonts w:ascii="Times New Roman" w:hAnsi="Times New Roman" w:cs="Times New Roman"/>
        </w:rPr>
        <w:t xml:space="preserve"> </w:t>
      </w:r>
      <w:r w:rsidR="002343CF" w:rsidRPr="00E72418">
        <w:rPr>
          <w:rFonts w:ascii="Times New Roman" w:hAnsi="Times New Roman" w:cs="Times New Roman"/>
        </w:rPr>
        <w:t>du droit international général</w:t>
      </w:r>
      <w:r w:rsidR="007C57EF" w:rsidRPr="00E72418">
        <w:rPr>
          <w:rStyle w:val="Appelnotedebasdep"/>
          <w:rFonts w:ascii="Times New Roman" w:hAnsi="Times New Roman" w:cs="Times New Roman"/>
        </w:rPr>
        <w:footnoteReference w:id="101"/>
      </w:r>
      <w:r w:rsidR="007C57EF" w:rsidRPr="00E72418">
        <w:rPr>
          <w:rFonts w:ascii="Times New Roman" w:hAnsi="Times New Roman" w:cs="Times New Roman"/>
        </w:rPr>
        <w:t xml:space="preserve">. </w:t>
      </w:r>
      <w:r w:rsidR="007C57EF" w:rsidRPr="00E72418">
        <w:rPr>
          <w:rFonts w:ascii="Times New Roman" w:hAnsi="Times New Roman" w:cs="Times New Roman"/>
          <w:szCs w:val="24"/>
        </w:rPr>
        <w:t>La qualification de « bilatérale » ou de « multilatérale » de la d</w:t>
      </w:r>
      <w:r w:rsidR="00E748A0" w:rsidRPr="00E72418">
        <w:rPr>
          <w:rFonts w:ascii="Times New Roman" w:hAnsi="Times New Roman" w:cs="Times New Roman"/>
          <w:szCs w:val="24"/>
        </w:rPr>
        <w:t>ette externe publique dépend de la personne du</w:t>
      </w:r>
      <w:r w:rsidR="004E56C2" w:rsidRPr="00E72418">
        <w:rPr>
          <w:rFonts w:ascii="Times New Roman" w:hAnsi="Times New Roman" w:cs="Times New Roman"/>
          <w:szCs w:val="24"/>
        </w:rPr>
        <w:t xml:space="preserve"> créancier</w:t>
      </w:r>
      <w:r w:rsidR="007C57EF" w:rsidRPr="00E72418">
        <w:rPr>
          <w:rFonts w:ascii="Times New Roman" w:hAnsi="Times New Roman" w:cs="Times New Roman"/>
          <w:szCs w:val="24"/>
        </w:rPr>
        <w:t xml:space="preserve">. La dette externe publique est dite </w:t>
      </w:r>
      <w:r w:rsidR="004E56C2" w:rsidRPr="00E72418">
        <w:rPr>
          <w:rFonts w:ascii="Times New Roman" w:hAnsi="Times New Roman" w:cs="Times New Roman"/>
          <w:szCs w:val="24"/>
        </w:rPr>
        <w:t>« </w:t>
      </w:r>
      <w:r w:rsidR="007C57EF" w:rsidRPr="00E72418">
        <w:rPr>
          <w:rFonts w:ascii="Times New Roman" w:hAnsi="Times New Roman" w:cs="Times New Roman"/>
          <w:szCs w:val="24"/>
        </w:rPr>
        <w:t>multilatérale</w:t>
      </w:r>
      <w:r w:rsidR="004E56C2" w:rsidRPr="00E72418">
        <w:rPr>
          <w:rFonts w:ascii="Times New Roman" w:hAnsi="Times New Roman" w:cs="Times New Roman"/>
          <w:szCs w:val="24"/>
        </w:rPr>
        <w:t> »</w:t>
      </w:r>
      <w:r w:rsidR="00566CE1" w:rsidRPr="00E72418">
        <w:rPr>
          <w:rFonts w:ascii="Times New Roman" w:hAnsi="Times New Roman" w:cs="Times New Roman"/>
          <w:szCs w:val="24"/>
        </w:rPr>
        <w:t xml:space="preserve"> lorsque les prê</w:t>
      </w:r>
      <w:r w:rsidR="007C57EF" w:rsidRPr="00E72418">
        <w:rPr>
          <w:rFonts w:ascii="Times New Roman" w:hAnsi="Times New Roman" w:cs="Times New Roman"/>
          <w:szCs w:val="24"/>
        </w:rPr>
        <w:t>teurs sont des institutions financières internationales</w:t>
      </w:r>
      <w:r w:rsidR="00877D2C" w:rsidRPr="00E72418">
        <w:rPr>
          <w:rStyle w:val="Appelnotedebasdep"/>
          <w:rFonts w:ascii="Times New Roman" w:hAnsi="Times New Roman" w:cs="Times New Roman"/>
          <w:szCs w:val="24"/>
        </w:rPr>
        <w:footnoteReference w:id="102"/>
      </w:r>
      <w:r w:rsidR="007C57EF" w:rsidRPr="00E72418">
        <w:rPr>
          <w:rFonts w:ascii="Times New Roman" w:hAnsi="Times New Roman" w:cs="Times New Roman"/>
          <w:szCs w:val="24"/>
        </w:rPr>
        <w:t>. Au rang de ces institutions accordant des crédits</w:t>
      </w:r>
      <w:r w:rsidR="004E56C2" w:rsidRPr="00E72418">
        <w:rPr>
          <w:rFonts w:ascii="Times New Roman" w:hAnsi="Times New Roman" w:cs="Times New Roman"/>
          <w:szCs w:val="24"/>
        </w:rPr>
        <w:t xml:space="preserve"> aux </w:t>
      </w:r>
      <w:r w:rsidR="004E56C2" w:rsidRPr="00E72418">
        <w:rPr>
          <w:rFonts w:ascii="Times New Roman" w:hAnsi="Times New Roman" w:cs="Times New Roman"/>
          <w:lang w:eastAsia="fr-BE"/>
        </w:rPr>
        <w:t>É</w:t>
      </w:r>
      <w:r w:rsidR="004E56C2" w:rsidRPr="00E72418">
        <w:rPr>
          <w:rFonts w:ascii="Times New Roman" w:hAnsi="Times New Roman" w:cs="Times New Roman"/>
        </w:rPr>
        <w:t>tats</w:t>
      </w:r>
      <w:r w:rsidR="007C57EF" w:rsidRPr="00E72418">
        <w:rPr>
          <w:rFonts w:ascii="Times New Roman" w:hAnsi="Times New Roman" w:cs="Times New Roman"/>
          <w:szCs w:val="24"/>
        </w:rPr>
        <w:t xml:space="preserve">, l’on retrouve </w:t>
      </w:r>
      <w:r w:rsidR="00877D2C" w:rsidRPr="00E72418">
        <w:rPr>
          <w:rFonts w:ascii="Times New Roman" w:hAnsi="Times New Roman" w:cs="Times New Roman"/>
          <w:szCs w:val="24"/>
        </w:rPr>
        <w:t xml:space="preserve">notamment </w:t>
      </w:r>
      <w:r w:rsidR="007C57EF" w:rsidRPr="00E72418">
        <w:rPr>
          <w:rFonts w:ascii="Times New Roman" w:hAnsi="Times New Roman" w:cs="Times New Roman"/>
          <w:szCs w:val="24"/>
        </w:rPr>
        <w:t>la Banque mondiale</w:t>
      </w:r>
      <w:r w:rsidR="00877D2C" w:rsidRPr="00E72418">
        <w:rPr>
          <w:rFonts w:ascii="Times New Roman" w:hAnsi="Times New Roman" w:cs="Times New Roman"/>
          <w:szCs w:val="24"/>
        </w:rPr>
        <w:t xml:space="preserve"> et</w:t>
      </w:r>
      <w:r w:rsidR="007C57EF" w:rsidRPr="00E72418">
        <w:rPr>
          <w:rFonts w:ascii="Times New Roman" w:hAnsi="Times New Roman" w:cs="Times New Roman"/>
          <w:szCs w:val="24"/>
        </w:rPr>
        <w:t xml:space="preserve"> le Fonds monétaire international</w:t>
      </w:r>
      <w:r w:rsidR="00877D2C" w:rsidRPr="00E72418">
        <w:rPr>
          <w:rFonts w:ascii="Times New Roman" w:hAnsi="Times New Roman" w:cs="Times New Roman"/>
          <w:szCs w:val="24"/>
        </w:rPr>
        <w:t xml:space="preserve">. </w:t>
      </w:r>
      <w:r w:rsidR="007C57EF" w:rsidRPr="00E72418">
        <w:rPr>
          <w:rFonts w:ascii="Times New Roman" w:hAnsi="Times New Roman" w:cs="Times New Roman"/>
          <w:szCs w:val="24"/>
        </w:rPr>
        <w:t xml:space="preserve">La dette externe publique est dite « bilatérale » lorsque </w:t>
      </w:r>
      <w:r w:rsidR="004E56C2" w:rsidRPr="00E72418">
        <w:rPr>
          <w:rFonts w:ascii="Times New Roman" w:hAnsi="Times New Roman" w:cs="Times New Roman"/>
          <w:szCs w:val="24"/>
        </w:rPr>
        <w:t>son</w:t>
      </w:r>
      <w:r w:rsidR="007C57EF" w:rsidRPr="00E72418">
        <w:rPr>
          <w:rFonts w:ascii="Times New Roman" w:hAnsi="Times New Roman" w:cs="Times New Roman"/>
          <w:szCs w:val="24"/>
        </w:rPr>
        <w:t xml:space="preserve"> créancier est un </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 ou une de ses émanations</w:t>
      </w:r>
      <w:r w:rsidR="007C57EF" w:rsidRPr="00E72418">
        <w:rPr>
          <w:rStyle w:val="Appelnotedebasdep"/>
          <w:rFonts w:ascii="Times New Roman" w:hAnsi="Times New Roman" w:cs="Times New Roman"/>
          <w:szCs w:val="24"/>
        </w:rPr>
        <w:footnoteReference w:id="103"/>
      </w:r>
      <w:r w:rsidR="007C57EF" w:rsidRPr="00E72418">
        <w:rPr>
          <w:rFonts w:ascii="Times New Roman" w:hAnsi="Times New Roman" w:cs="Times New Roman"/>
          <w:szCs w:val="24"/>
        </w:rPr>
        <w:t>.</w:t>
      </w:r>
    </w:p>
    <w:p w14:paraId="2729CE92" w14:textId="77777777" w:rsidR="007C57EF" w:rsidRPr="00E72418" w:rsidRDefault="007C57EF" w:rsidP="00423B60"/>
    <w:p w14:paraId="09E68292" w14:textId="53F1A6C7"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24</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dette externe privée – </w:t>
      </w:r>
      <w:r w:rsidR="007C57EF" w:rsidRPr="00E72418">
        <w:rPr>
          <w:rFonts w:ascii="Times New Roman" w:hAnsi="Times New Roman" w:cs="Times New Roman"/>
        </w:rPr>
        <w:t xml:space="preserve">Lorsque la dette externe est contractée auprès de personnes privées sur les marchés financiers internationaux ou auprès de banques commerciales alors, elle est dite </w:t>
      </w:r>
      <w:r w:rsidR="004E56C2" w:rsidRPr="00E72418">
        <w:rPr>
          <w:rFonts w:ascii="Times New Roman" w:hAnsi="Times New Roman" w:cs="Times New Roman"/>
        </w:rPr>
        <w:t>« </w:t>
      </w:r>
      <w:r w:rsidR="007C57EF" w:rsidRPr="00E72418">
        <w:rPr>
          <w:rFonts w:ascii="Times New Roman" w:hAnsi="Times New Roman" w:cs="Times New Roman"/>
        </w:rPr>
        <w:t>privée</w:t>
      </w:r>
      <w:r w:rsidR="004E56C2" w:rsidRPr="00E72418">
        <w:rPr>
          <w:rFonts w:ascii="Times New Roman" w:hAnsi="Times New Roman" w:cs="Times New Roman"/>
        </w:rPr>
        <w:t> »</w:t>
      </w:r>
      <w:r w:rsidR="007C57EF" w:rsidRPr="00E72418">
        <w:rPr>
          <w:rStyle w:val="Appelnotedebasdep"/>
          <w:rFonts w:ascii="Times New Roman" w:hAnsi="Times New Roman" w:cs="Times New Roman"/>
          <w:szCs w:val="24"/>
        </w:rPr>
        <w:footnoteReference w:id="104"/>
      </w:r>
      <w:r w:rsidR="007C57EF" w:rsidRPr="00E72418">
        <w:rPr>
          <w:rFonts w:ascii="Times New Roman" w:hAnsi="Times New Roman" w:cs="Times New Roman"/>
        </w:rPr>
        <w:t>. La dette externe privée se matérialise par des actes juridiques privés pouvant prendre la forme de contrats d’emprunt ou de titres obligataires</w:t>
      </w:r>
      <w:r w:rsidR="007C57EF" w:rsidRPr="00E72418">
        <w:rPr>
          <w:rStyle w:val="Appelnotedebasdep"/>
          <w:rFonts w:ascii="Times New Roman" w:hAnsi="Times New Roman" w:cs="Times New Roman"/>
          <w:szCs w:val="24"/>
        </w:rPr>
        <w:t xml:space="preserve"> </w:t>
      </w:r>
      <w:r w:rsidR="007C57EF" w:rsidRPr="00E72418">
        <w:rPr>
          <w:rFonts w:ascii="Times New Roman" w:hAnsi="Times New Roman" w:cs="Times New Roman"/>
        </w:rPr>
        <w:t>lesquels sont émis directement ou issus d’une titrisation d’un emprunt</w:t>
      </w:r>
      <w:r w:rsidR="007C57EF" w:rsidRPr="00E72418">
        <w:rPr>
          <w:rStyle w:val="Appelnotedebasdep"/>
          <w:rFonts w:ascii="Times New Roman" w:hAnsi="Times New Roman" w:cs="Times New Roman"/>
          <w:szCs w:val="24"/>
        </w:rPr>
        <w:footnoteReference w:id="105"/>
      </w:r>
      <w:r w:rsidR="007C57EF" w:rsidRPr="00E72418">
        <w:rPr>
          <w:rFonts w:ascii="Times New Roman" w:hAnsi="Times New Roman" w:cs="Times New Roman"/>
        </w:rPr>
        <w:t>. Dans la plupart des cas, les créanciers reçoivent des paiements périodiques d’intérêts de l’</w:t>
      </w:r>
      <w:r w:rsidR="007C57EF" w:rsidRPr="00E72418">
        <w:rPr>
          <w:rFonts w:ascii="Times New Roman" w:hAnsi="Times New Roman" w:cs="Times New Roman"/>
          <w:lang w:eastAsia="fr-BE"/>
        </w:rPr>
        <w:t>É</w:t>
      </w:r>
      <w:r w:rsidR="007C57EF" w:rsidRPr="00E72418">
        <w:rPr>
          <w:rFonts w:ascii="Times New Roman" w:hAnsi="Times New Roman" w:cs="Times New Roman"/>
        </w:rPr>
        <w:t>tat débiteur durant un temps et</w:t>
      </w:r>
      <w:r w:rsidR="004E56C2" w:rsidRPr="00E72418">
        <w:rPr>
          <w:rFonts w:ascii="Times New Roman" w:hAnsi="Times New Roman" w:cs="Times New Roman"/>
        </w:rPr>
        <w:t>,</w:t>
      </w:r>
      <w:r w:rsidR="007C57EF" w:rsidRPr="00E72418">
        <w:rPr>
          <w:rFonts w:ascii="Times New Roman" w:hAnsi="Times New Roman" w:cs="Times New Roman"/>
        </w:rPr>
        <w:t xml:space="preserve"> à l’échéance fixée, la valeur faciale est réglée par ce dernier</w:t>
      </w:r>
      <w:r w:rsidR="007C57EF" w:rsidRPr="00E72418">
        <w:rPr>
          <w:rStyle w:val="Appelnotedebasdep"/>
          <w:rFonts w:ascii="Times New Roman" w:hAnsi="Times New Roman" w:cs="Times New Roman"/>
          <w:szCs w:val="24"/>
        </w:rPr>
        <w:footnoteReference w:id="106"/>
      </w:r>
      <w:r w:rsidR="007C57EF" w:rsidRPr="00E72418">
        <w:rPr>
          <w:rFonts w:ascii="Times New Roman" w:hAnsi="Times New Roman" w:cs="Times New Roman"/>
        </w:rPr>
        <w:t>.</w:t>
      </w:r>
    </w:p>
    <w:p w14:paraId="6B2BD21C" w14:textId="55227D1A"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Les actes de droit privé caractéristiques de la dette externe </w:t>
      </w:r>
      <w:r w:rsidR="004E56C2" w:rsidRPr="00E72418">
        <w:rPr>
          <w:rFonts w:ascii="Times New Roman" w:hAnsi="Times New Roman" w:cs="Times New Roman"/>
        </w:rPr>
        <w:t>privée</w:t>
      </w:r>
      <w:r w:rsidR="000A4ED1" w:rsidRPr="00E72418">
        <w:rPr>
          <w:rFonts w:ascii="Times New Roman" w:hAnsi="Times New Roman" w:cs="Times New Roman"/>
        </w:rPr>
        <w:t>, et singulièrement les contrats d’émission</w:t>
      </w:r>
      <w:r w:rsidR="00877D2C" w:rsidRPr="00E72418">
        <w:rPr>
          <w:rFonts w:ascii="Times New Roman" w:hAnsi="Times New Roman" w:cs="Times New Roman"/>
        </w:rPr>
        <w:t>,</w:t>
      </w:r>
      <w:r w:rsidR="000A4ED1" w:rsidRPr="00E72418">
        <w:rPr>
          <w:rFonts w:ascii="Times New Roman" w:hAnsi="Times New Roman" w:cs="Times New Roman"/>
        </w:rPr>
        <w:t xml:space="preserve"> socles des obligations souveraines,</w:t>
      </w:r>
      <w:r w:rsidRPr="00E72418">
        <w:rPr>
          <w:rFonts w:ascii="Times New Roman" w:hAnsi="Times New Roman" w:cs="Times New Roman"/>
        </w:rPr>
        <w:t xml:space="preserve"> sont soumis au droit choisi par les parties contractantes. Ce choix se concrétise par des clauses de loi applicable repris dans les contrats reprenant les modalités de la dette. </w:t>
      </w:r>
      <w:r w:rsidR="004E56C2" w:rsidRPr="00E72418">
        <w:rPr>
          <w:rFonts w:ascii="Times New Roman" w:hAnsi="Times New Roman" w:cs="Times New Roman"/>
          <w:szCs w:val="24"/>
        </w:rPr>
        <w:t>L</w:t>
      </w:r>
      <w:r w:rsidRPr="00E72418">
        <w:rPr>
          <w:rFonts w:ascii="Times New Roman" w:hAnsi="Times New Roman" w:cs="Times New Roman"/>
          <w:szCs w:val="24"/>
        </w:rPr>
        <w:t>es lois new-yorkaise et britannique sont</w:t>
      </w:r>
      <w:r w:rsidR="004E56C2" w:rsidRPr="00E72418">
        <w:rPr>
          <w:rFonts w:ascii="Times New Roman" w:hAnsi="Times New Roman" w:cs="Times New Roman"/>
          <w:szCs w:val="24"/>
        </w:rPr>
        <w:t>,</w:t>
      </w:r>
      <w:r w:rsidRPr="00E72418">
        <w:rPr>
          <w:rFonts w:ascii="Times New Roman" w:hAnsi="Times New Roman" w:cs="Times New Roman"/>
          <w:szCs w:val="24"/>
        </w:rPr>
        <w:t xml:space="preserve"> dans la majorité des cas</w:t>
      </w:r>
      <w:r w:rsidR="004E56C2" w:rsidRPr="00E72418">
        <w:rPr>
          <w:rFonts w:ascii="Times New Roman" w:hAnsi="Times New Roman" w:cs="Times New Roman"/>
          <w:szCs w:val="24"/>
        </w:rPr>
        <w:t>,</w:t>
      </w:r>
      <w:r w:rsidRPr="00E72418">
        <w:rPr>
          <w:rFonts w:ascii="Times New Roman" w:hAnsi="Times New Roman" w:cs="Times New Roman"/>
          <w:szCs w:val="24"/>
        </w:rPr>
        <w:t xml:space="preserve"> celles choisies par les débiteurs souverains et leurs créanciers</w:t>
      </w:r>
      <w:r w:rsidRPr="00E72418">
        <w:rPr>
          <w:rStyle w:val="Appelnotedebasdep"/>
          <w:rFonts w:ascii="Times New Roman" w:hAnsi="Times New Roman" w:cs="Times New Roman"/>
          <w:szCs w:val="24"/>
        </w:rPr>
        <w:footnoteReference w:id="107"/>
      </w:r>
      <w:r w:rsidRPr="00E72418">
        <w:rPr>
          <w:rFonts w:ascii="Times New Roman" w:hAnsi="Times New Roman" w:cs="Times New Roman"/>
          <w:szCs w:val="24"/>
        </w:rPr>
        <w:t>.</w:t>
      </w:r>
      <w:r w:rsidRPr="00E72418">
        <w:rPr>
          <w:rFonts w:ascii="Times New Roman" w:hAnsi="Times New Roman" w:cs="Times New Roman"/>
        </w:rPr>
        <w:t xml:space="preserve"> Les clauses de loi applicable sont importantes en raison des implications qu’aura le droit choisi notamment sur </w:t>
      </w:r>
      <w:r w:rsidRPr="00E72418">
        <w:rPr>
          <w:rFonts w:ascii="Times New Roman" w:hAnsi="Times New Roman" w:cs="Times New Roman"/>
        </w:rPr>
        <w:lastRenderedPageBreak/>
        <w:t>l’exécution du contrat et sur les conflits pouvant survenir</w:t>
      </w:r>
      <w:r w:rsidRPr="00E72418">
        <w:rPr>
          <w:rStyle w:val="Appelnotedebasdep"/>
          <w:rFonts w:ascii="Times New Roman" w:hAnsi="Times New Roman" w:cs="Times New Roman"/>
          <w:szCs w:val="24"/>
        </w:rPr>
        <w:footnoteReference w:id="108"/>
      </w:r>
      <w:r w:rsidRPr="00E72418">
        <w:rPr>
          <w:rFonts w:ascii="Times New Roman" w:hAnsi="Times New Roman" w:cs="Times New Roman"/>
        </w:rPr>
        <w:t>. Si le choix d’un droit étranger est souvent économique pour l’</w:t>
      </w:r>
      <w:r w:rsidRPr="00E72418">
        <w:rPr>
          <w:rFonts w:ascii="Times New Roman" w:hAnsi="Times New Roman" w:cs="Times New Roman"/>
          <w:lang w:eastAsia="fr-BE"/>
        </w:rPr>
        <w:t>É</w:t>
      </w:r>
      <w:r w:rsidRPr="00E72418">
        <w:rPr>
          <w:rFonts w:ascii="Times New Roman" w:hAnsi="Times New Roman" w:cs="Times New Roman"/>
        </w:rPr>
        <w:t>tat emprunteur afin d’éviter que le coût du crédit ne soit trop élevé, il est risqué</w:t>
      </w:r>
      <w:r w:rsidR="00DB180C" w:rsidRPr="00E72418">
        <w:rPr>
          <w:rStyle w:val="Appelnotedebasdep"/>
          <w:rFonts w:ascii="Times New Roman" w:hAnsi="Times New Roman" w:cs="Times New Roman"/>
        </w:rPr>
        <w:footnoteReference w:id="109"/>
      </w:r>
      <w:r w:rsidR="00DB180C" w:rsidRPr="00E72418">
        <w:rPr>
          <w:rFonts w:ascii="Times New Roman" w:hAnsi="Times New Roman" w:cs="Times New Roman"/>
        </w:rPr>
        <w:t>.</w:t>
      </w:r>
    </w:p>
    <w:p w14:paraId="0B28696C" w14:textId="5E0A5421" w:rsidR="00DB180C" w:rsidRPr="00E72418" w:rsidRDefault="007C57EF" w:rsidP="00CC4BA8">
      <w:pPr>
        <w:spacing w:line="276" w:lineRule="auto"/>
      </w:pPr>
      <w:r w:rsidRPr="00E72418">
        <w:rPr>
          <w:rFonts w:ascii="Times New Roman" w:hAnsi="Times New Roman" w:cs="Times New Roman"/>
        </w:rPr>
        <w:t>Les actes juridiques privés matérialisant la dette externe privée reprennent généralement</w:t>
      </w:r>
      <w:r w:rsidR="00DB180C" w:rsidRPr="00E72418">
        <w:rPr>
          <w:rFonts w:ascii="Times New Roman" w:hAnsi="Times New Roman" w:cs="Times New Roman"/>
        </w:rPr>
        <w:t>,</w:t>
      </w:r>
      <w:r w:rsidRPr="00E72418">
        <w:rPr>
          <w:rFonts w:ascii="Times New Roman" w:hAnsi="Times New Roman" w:cs="Times New Roman"/>
        </w:rPr>
        <w:t xml:space="preserve"> à côté des clauses de loi applicable, des clauses d’élection de for désignant les juridictions compétentes pour connaître des différends en découlant. Ces clauses </w:t>
      </w:r>
      <w:r w:rsidR="00715A9A" w:rsidRPr="00E72418">
        <w:rPr>
          <w:rFonts w:ascii="Times New Roman" w:hAnsi="Times New Roman" w:cs="Times New Roman"/>
        </w:rPr>
        <w:t>renseignent</w:t>
      </w:r>
      <w:r w:rsidRPr="00E72418">
        <w:rPr>
          <w:rFonts w:ascii="Times New Roman" w:hAnsi="Times New Roman" w:cs="Times New Roman"/>
        </w:rPr>
        <w:t xml:space="preserve"> souvent</w:t>
      </w:r>
      <w:r w:rsidRPr="00E72418">
        <w:t xml:space="preserve"> comme compétentes les juridictions dont la loi a été choisie comme applicable aux instruments de dettes</w:t>
      </w:r>
      <w:r w:rsidRPr="00E72418">
        <w:rPr>
          <w:rStyle w:val="Appelnotedebasdep"/>
        </w:rPr>
        <w:footnoteReference w:id="110"/>
      </w:r>
      <w:r w:rsidRPr="00E72418">
        <w:t>.</w:t>
      </w:r>
    </w:p>
    <w:p w14:paraId="2861016B" w14:textId="0E24F2B3" w:rsidR="00DB180C" w:rsidRPr="00E72418" w:rsidRDefault="00DB180C" w:rsidP="00CC4BA8">
      <w:pPr>
        <w:spacing w:line="276" w:lineRule="auto"/>
      </w:pPr>
      <w:r w:rsidRPr="00E72418">
        <w:t xml:space="preserve">Outre les clauses de loi applicable et d’élection de for, l’on peut retrouver d’autres formes de clauses comme </w:t>
      </w:r>
      <w:r w:rsidR="00A62CA3" w:rsidRPr="00E72418">
        <w:t xml:space="preserve">par exemple </w:t>
      </w:r>
      <w:r w:rsidRPr="00E72418">
        <w:t xml:space="preserve">celles levant les immunités étatiques. </w:t>
      </w:r>
      <w:r w:rsidR="00674C1A" w:rsidRPr="00E72418">
        <w:t>À</w:t>
      </w:r>
      <w:r w:rsidRPr="00E72418">
        <w:t xml:space="preserve"> l’endroit des </w:t>
      </w:r>
      <w:r w:rsidRPr="00E72418">
        <w:rPr>
          <w:lang w:eastAsia="fr-BE"/>
        </w:rPr>
        <w:t>É</w:t>
      </w:r>
      <w:r w:rsidRPr="00E72418">
        <w:t>tats en voie de développement, la Conférence des Nations Unies sur le commerce et le développement parle de ces clauses comme étant des « “sweeteners” to make the securities more appealing to investors »</w:t>
      </w:r>
      <w:r w:rsidRPr="00E72418">
        <w:rPr>
          <w:rStyle w:val="Appelnotedebasdep"/>
        </w:rPr>
        <w:footnoteReference w:id="111"/>
      </w:r>
      <w:r w:rsidRPr="00E72418">
        <w:t>.</w:t>
      </w:r>
    </w:p>
    <w:p w14:paraId="2C802DA7" w14:textId="77777777" w:rsidR="007C57EF" w:rsidRPr="00E72418" w:rsidRDefault="007C57EF" w:rsidP="00423B60"/>
    <w:p w14:paraId="4C6439F5" w14:textId="4F0730EB" w:rsidR="007C57EF" w:rsidRPr="00E72418" w:rsidRDefault="000764CE" w:rsidP="00CC4BA8">
      <w:pPr>
        <w:pStyle w:val="CC"/>
        <w:spacing w:line="276" w:lineRule="auto"/>
      </w:pPr>
      <w:bookmarkStart w:id="24" w:name="_Toc59280873"/>
      <w:bookmarkStart w:id="25" w:name="_Toc75106055"/>
      <w:bookmarkStart w:id="26" w:name="_Toc84540864"/>
      <w:r w:rsidRPr="00E72418">
        <w:t xml:space="preserve">Chapitre </w:t>
      </w:r>
      <w:r w:rsidR="003C32DE" w:rsidRPr="00E72418">
        <w:t xml:space="preserve">4 : </w:t>
      </w:r>
      <w:r w:rsidR="007C57EF" w:rsidRPr="00E72418">
        <w:t>L’importance de l’endettement étatique sur les marchés financiers</w:t>
      </w:r>
      <w:bookmarkEnd w:id="24"/>
      <w:bookmarkEnd w:id="25"/>
      <w:bookmarkEnd w:id="26"/>
    </w:p>
    <w:p w14:paraId="3C10411F" w14:textId="77777777" w:rsidR="007C57EF" w:rsidRPr="00E72418" w:rsidRDefault="007C57EF" w:rsidP="00423B60"/>
    <w:p w14:paraId="6207D928" w14:textId="3203C733" w:rsidR="005E4AC1"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25</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Un pan important des marchés financiers impliquant de nombreux acteurs – </w:t>
      </w:r>
      <w:r w:rsidR="007C57EF" w:rsidRPr="00E72418">
        <w:rPr>
          <w:rFonts w:ascii="Times New Roman" w:hAnsi="Times New Roman" w:cs="Times New Roman"/>
        </w:rPr>
        <w:t xml:space="preserve">De par la place qu’elles prennent dans le financement public et, plus généralement, de par </w:t>
      </w:r>
      <w:r w:rsidR="00715A9A" w:rsidRPr="00E72418">
        <w:rPr>
          <w:rFonts w:ascii="Times New Roman" w:hAnsi="Times New Roman" w:cs="Times New Roman"/>
        </w:rPr>
        <w:t>la</w:t>
      </w:r>
      <w:r w:rsidR="007C57EF" w:rsidRPr="00E72418">
        <w:rPr>
          <w:rFonts w:ascii="Times New Roman" w:hAnsi="Times New Roman" w:cs="Times New Roman"/>
        </w:rPr>
        <w:t xml:space="preserve"> part qu’elles représentent </w:t>
      </w:r>
      <w:r w:rsidR="00715A9A" w:rsidRPr="00E72418">
        <w:rPr>
          <w:rFonts w:ascii="Times New Roman" w:hAnsi="Times New Roman" w:cs="Times New Roman"/>
        </w:rPr>
        <w:t>d</w:t>
      </w:r>
      <w:r w:rsidR="007C57EF" w:rsidRPr="00E72418">
        <w:rPr>
          <w:rFonts w:ascii="Times New Roman" w:hAnsi="Times New Roman" w:cs="Times New Roman"/>
        </w:rPr>
        <w:t xml:space="preserve">es </w:t>
      </w:r>
      <w:r w:rsidR="00715A9A" w:rsidRPr="00E72418">
        <w:rPr>
          <w:rFonts w:ascii="Times New Roman" w:hAnsi="Times New Roman" w:cs="Times New Roman"/>
        </w:rPr>
        <w:t>produits</w:t>
      </w:r>
      <w:r w:rsidR="007C57EF" w:rsidRPr="00E72418">
        <w:rPr>
          <w:rFonts w:ascii="Times New Roman" w:hAnsi="Times New Roman" w:cs="Times New Roman"/>
        </w:rPr>
        <w:t xml:space="preserve"> financiers</w:t>
      </w:r>
      <w:r w:rsidR="00715A9A" w:rsidRPr="00E72418">
        <w:rPr>
          <w:rFonts w:ascii="Times New Roman" w:hAnsi="Times New Roman" w:cs="Times New Roman"/>
        </w:rPr>
        <w:t xml:space="preserve"> disponibles sur les marchés des capitaux</w:t>
      </w:r>
      <w:r w:rsidR="007C57EF" w:rsidRPr="00E72418">
        <w:rPr>
          <w:rFonts w:ascii="Times New Roman" w:hAnsi="Times New Roman" w:cs="Times New Roman"/>
        </w:rPr>
        <w:t>, les obligations d’</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 </w:t>
      </w:r>
      <w:r w:rsidR="00715A9A" w:rsidRPr="00E72418">
        <w:rPr>
          <w:rFonts w:ascii="Times New Roman" w:hAnsi="Times New Roman" w:cs="Times New Roman"/>
        </w:rPr>
        <w:t xml:space="preserve">y </w:t>
      </w:r>
      <w:r w:rsidR="007C57EF" w:rsidRPr="00E72418">
        <w:rPr>
          <w:rFonts w:ascii="Times New Roman" w:hAnsi="Times New Roman" w:cs="Times New Roman"/>
        </w:rPr>
        <w:t>occupent une place importante</w:t>
      </w:r>
      <w:r w:rsidR="007C57EF" w:rsidRPr="00E72418">
        <w:rPr>
          <w:rStyle w:val="Appelnotedebasdep"/>
          <w:rFonts w:ascii="Times New Roman" w:hAnsi="Times New Roman" w:cs="Times New Roman"/>
        </w:rPr>
        <w:footnoteReference w:id="112"/>
      </w:r>
      <w:r w:rsidR="007C57EF" w:rsidRPr="00E72418">
        <w:rPr>
          <w:rFonts w:ascii="Times New Roman" w:hAnsi="Times New Roman" w:cs="Times New Roman"/>
        </w:rPr>
        <w:t>.</w:t>
      </w:r>
      <w:r w:rsidR="00715A9A" w:rsidRPr="00E72418">
        <w:rPr>
          <w:rFonts w:ascii="Times New Roman" w:hAnsi="Times New Roman" w:cs="Times New Roman"/>
        </w:rPr>
        <w:t xml:space="preserve"> </w:t>
      </w:r>
      <w:r w:rsidR="007429E8" w:rsidRPr="00E72418">
        <w:rPr>
          <w:rFonts w:ascii="Times New Roman" w:hAnsi="Times New Roman" w:cs="Times New Roman"/>
        </w:rPr>
        <w:t xml:space="preserve">Un intérêt majeur pour les </w:t>
      </w:r>
      <w:r w:rsidR="007429E8" w:rsidRPr="00E72418">
        <w:rPr>
          <w:rFonts w:cs="Times New Roman"/>
          <w:szCs w:val="20"/>
        </w:rPr>
        <w:t>É</w:t>
      </w:r>
      <w:r w:rsidR="005E4AC1" w:rsidRPr="00E72418">
        <w:rPr>
          <w:rFonts w:ascii="Times New Roman" w:hAnsi="Times New Roman" w:cs="Times New Roman"/>
        </w:rPr>
        <w:t>tats d’y recourir est lié à leur flexibilité en ce qu’elles leur permet</w:t>
      </w:r>
      <w:r w:rsidR="002B513D" w:rsidRPr="00E72418">
        <w:rPr>
          <w:rFonts w:ascii="Times New Roman" w:hAnsi="Times New Roman" w:cs="Times New Roman"/>
        </w:rPr>
        <w:t>tent</w:t>
      </w:r>
      <w:r w:rsidR="005E4AC1" w:rsidRPr="00E72418">
        <w:rPr>
          <w:rFonts w:ascii="Times New Roman" w:hAnsi="Times New Roman" w:cs="Times New Roman"/>
        </w:rPr>
        <w:t xml:space="preserve"> d’en fixer les modalités en adéquation avec leurs besoins de financement</w:t>
      </w:r>
      <w:r w:rsidR="005E4AC1" w:rsidRPr="00E72418">
        <w:rPr>
          <w:rStyle w:val="Appelnotedebasdep"/>
          <w:rFonts w:ascii="Times New Roman" w:hAnsi="Times New Roman" w:cs="Times New Roman"/>
        </w:rPr>
        <w:footnoteReference w:id="113"/>
      </w:r>
      <w:r w:rsidR="005E4AC1" w:rsidRPr="00E72418">
        <w:rPr>
          <w:rFonts w:ascii="Times New Roman" w:hAnsi="Times New Roman" w:cs="Times New Roman"/>
        </w:rPr>
        <w:t>.</w:t>
      </w:r>
    </w:p>
    <w:p w14:paraId="569F2949" w14:textId="0367F485" w:rsidR="007C57EF" w:rsidRPr="00E72418" w:rsidRDefault="005E4AC1" w:rsidP="00CC4BA8">
      <w:pPr>
        <w:spacing w:line="276" w:lineRule="auto"/>
        <w:rPr>
          <w:rFonts w:ascii="Times New Roman" w:hAnsi="Times New Roman" w:cs="Times New Roman"/>
        </w:rPr>
      </w:pPr>
      <w:r w:rsidRPr="00E72418">
        <w:rPr>
          <w:rFonts w:ascii="Times New Roman" w:hAnsi="Times New Roman" w:cs="Times New Roman"/>
        </w:rPr>
        <w:t>L’</w:t>
      </w:r>
      <w:r w:rsidR="00715A9A" w:rsidRPr="00E72418">
        <w:rPr>
          <w:rFonts w:ascii="Times New Roman" w:hAnsi="Times New Roman" w:cs="Times New Roman"/>
        </w:rPr>
        <w:t>importance</w:t>
      </w:r>
      <w:r w:rsidRPr="00E72418">
        <w:rPr>
          <w:rFonts w:ascii="Times New Roman" w:hAnsi="Times New Roman" w:cs="Times New Roman"/>
        </w:rPr>
        <w:t xml:space="preserve"> de la place occupée par les obligations </w:t>
      </w:r>
      <w:r w:rsidRPr="00E72418">
        <w:t>d’</w:t>
      </w:r>
      <w:r w:rsidRPr="00E72418">
        <w:rPr>
          <w:rFonts w:ascii="Times New Roman" w:hAnsi="Times New Roman" w:cs="Times New Roman"/>
          <w:lang w:eastAsia="fr-BE"/>
        </w:rPr>
        <w:t>É</w:t>
      </w:r>
      <w:r w:rsidRPr="00E72418">
        <w:t>tat</w:t>
      </w:r>
      <w:r w:rsidR="00715A9A" w:rsidRPr="00E72418">
        <w:rPr>
          <w:rFonts w:ascii="Times New Roman" w:hAnsi="Times New Roman" w:cs="Times New Roman"/>
        </w:rPr>
        <w:t xml:space="preserve"> conduit à ce que l</w:t>
      </w:r>
      <w:r w:rsidR="007C57EF" w:rsidRPr="00E72418">
        <w:rPr>
          <w:rFonts w:ascii="Times New Roman" w:hAnsi="Times New Roman" w:cs="Times New Roman"/>
        </w:rPr>
        <w:t>e financement par l’empr</w:t>
      </w:r>
      <w:r w:rsidR="00CC422B" w:rsidRPr="00E72418">
        <w:rPr>
          <w:rFonts w:ascii="Times New Roman" w:hAnsi="Times New Roman" w:cs="Times New Roman"/>
        </w:rPr>
        <w:t>unt sur les marchés financiers</w:t>
      </w:r>
      <w:r w:rsidR="00715A9A" w:rsidRPr="00E72418">
        <w:rPr>
          <w:rFonts w:ascii="Times New Roman" w:hAnsi="Times New Roman" w:cs="Times New Roman"/>
        </w:rPr>
        <w:t xml:space="preserve"> implique de très nombreux acteurs porteurs de titres.</w:t>
      </w:r>
      <w:r w:rsidR="00CC422B" w:rsidRPr="00E72418">
        <w:rPr>
          <w:rFonts w:ascii="Times New Roman" w:hAnsi="Times New Roman" w:cs="Times New Roman"/>
        </w:rPr>
        <w:t xml:space="preserve"> </w:t>
      </w:r>
      <w:r w:rsidR="007C57EF" w:rsidRPr="00E72418">
        <w:rPr>
          <w:rFonts w:ascii="Times New Roman" w:hAnsi="Times New Roman" w:cs="Times New Roman"/>
        </w:rPr>
        <w:t xml:space="preserve">Outre </w:t>
      </w:r>
      <w:r w:rsidR="007C57EF" w:rsidRPr="00E72418">
        <w:rPr>
          <w:rFonts w:ascii="Times New Roman" w:hAnsi="Times New Roman" w:cs="Times New Roman"/>
        </w:rPr>
        <w:lastRenderedPageBreak/>
        <w:t>le</w:t>
      </w:r>
      <w:r w:rsidR="00715A9A" w:rsidRPr="00E72418">
        <w:rPr>
          <w:rFonts w:ascii="Times New Roman" w:hAnsi="Times New Roman" w:cs="Times New Roman"/>
        </w:rPr>
        <w:t>ur</w:t>
      </w:r>
      <w:r w:rsidR="007C57EF" w:rsidRPr="00E72418">
        <w:rPr>
          <w:rFonts w:ascii="Times New Roman" w:hAnsi="Times New Roman" w:cs="Times New Roman"/>
        </w:rPr>
        <w:t xml:space="preserve"> nombre, ces porteurs souvent dispersés à travers le monde ne poursuivent pas </w:t>
      </w:r>
      <w:r w:rsidR="00715A9A" w:rsidRPr="00E72418">
        <w:rPr>
          <w:rFonts w:ascii="Times New Roman" w:hAnsi="Times New Roman" w:cs="Times New Roman"/>
        </w:rPr>
        <w:t>toujours</w:t>
      </w:r>
      <w:r w:rsidR="007C57EF" w:rsidRPr="00E72418">
        <w:rPr>
          <w:rFonts w:ascii="Times New Roman" w:hAnsi="Times New Roman" w:cs="Times New Roman"/>
        </w:rPr>
        <w:t xml:space="preserve"> les mêmes intérêts et n’obéissent pas forcément aux mêmes pressions</w:t>
      </w:r>
      <w:r w:rsidR="007C57EF" w:rsidRPr="00E72418">
        <w:rPr>
          <w:rStyle w:val="Appelnotedebasdep"/>
          <w:rFonts w:ascii="Times New Roman" w:hAnsi="Times New Roman" w:cs="Times New Roman"/>
          <w:szCs w:val="24"/>
        </w:rPr>
        <w:footnoteReference w:id="114"/>
      </w:r>
      <w:r w:rsidR="007C57EF" w:rsidRPr="00E72418">
        <w:rPr>
          <w:rFonts w:ascii="Times New Roman" w:hAnsi="Times New Roman" w:cs="Times New Roman"/>
        </w:rPr>
        <w:t>.</w:t>
      </w:r>
      <w:r w:rsidR="005977E7" w:rsidRPr="00E72418">
        <w:rPr>
          <w:rFonts w:ascii="Times New Roman" w:hAnsi="Times New Roman" w:cs="Times New Roman"/>
        </w:rPr>
        <w:t xml:space="preserve"> L’accès facile, rapide et peu onéreux à des capitaux permis par </w:t>
      </w:r>
      <w:r w:rsidR="0055471D" w:rsidRPr="00E72418">
        <w:rPr>
          <w:rFonts w:ascii="Times New Roman" w:hAnsi="Times New Roman" w:cs="Times New Roman"/>
        </w:rPr>
        <w:t>le développement de l’emprunt souverain sur les marchés financiers entamé</w:t>
      </w:r>
      <w:r w:rsidR="005977E7" w:rsidRPr="00E72418">
        <w:rPr>
          <w:rFonts w:ascii="Times New Roman" w:hAnsi="Times New Roman" w:cs="Times New Roman"/>
        </w:rPr>
        <w:t xml:space="preserve"> dans les années 80 et dont la généralisation est intervenue dès les années 90 a contribué au surendettement structurel des</w:t>
      </w:r>
      <w:r w:rsidR="0067312A" w:rsidRPr="00E72418">
        <w:rPr>
          <w:rFonts w:ascii="Times New Roman" w:hAnsi="Times New Roman" w:cs="Times New Roman"/>
        </w:rPr>
        <w:t xml:space="preserve"> </w:t>
      </w:r>
      <w:r w:rsidR="0067312A" w:rsidRPr="00E72418">
        <w:rPr>
          <w:rFonts w:cs="Times New Roman"/>
          <w:szCs w:val="24"/>
        </w:rPr>
        <w:t>É</w:t>
      </w:r>
      <w:r w:rsidR="005977E7" w:rsidRPr="00E72418">
        <w:rPr>
          <w:rFonts w:ascii="Times New Roman" w:hAnsi="Times New Roman" w:cs="Times New Roman"/>
        </w:rPr>
        <w:t xml:space="preserve">tats sans </w:t>
      </w:r>
      <w:r w:rsidR="0055471D" w:rsidRPr="00E72418">
        <w:rPr>
          <w:rFonts w:ascii="Times New Roman" w:hAnsi="Times New Roman" w:cs="Times New Roman"/>
        </w:rPr>
        <w:t xml:space="preserve">pour autant </w:t>
      </w:r>
      <w:r w:rsidR="005977E7" w:rsidRPr="00E72418">
        <w:rPr>
          <w:rFonts w:ascii="Times New Roman" w:hAnsi="Times New Roman" w:cs="Times New Roman"/>
        </w:rPr>
        <w:t xml:space="preserve">que leurs activités et leurs ressources n’augmentent </w:t>
      </w:r>
      <w:r w:rsidR="00B158AB" w:rsidRPr="00E72418">
        <w:rPr>
          <w:rFonts w:ascii="Times New Roman" w:hAnsi="Times New Roman" w:cs="Times New Roman"/>
        </w:rPr>
        <w:t>concomit</w:t>
      </w:r>
      <w:r w:rsidR="0055471D" w:rsidRPr="00E72418">
        <w:rPr>
          <w:rFonts w:ascii="Times New Roman" w:hAnsi="Times New Roman" w:cs="Times New Roman"/>
        </w:rPr>
        <w:t>a</w:t>
      </w:r>
      <w:r w:rsidR="00B158AB" w:rsidRPr="00E72418">
        <w:rPr>
          <w:rFonts w:ascii="Times New Roman" w:hAnsi="Times New Roman" w:cs="Times New Roman"/>
        </w:rPr>
        <w:t>m</w:t>
      </w:r>
      <w:r w:rsidR="0055471D" w:rsidRPr="00E72418">
        <w:rPr>
          <w:rFonts w:ascii="Times New Roman" w:hAnsi="Times New Roman" w:cs="Times New Roman"/>
        </w:rPr>
        <w:t>ment</w:t>
      </w:r>
      <w:r w:rsidR="005977E7" w:rsidRPr="00E72418">
        <w:rPr>
          <w:rStyle w:val="Appelnotedebasdep"/>
          <w:rFonts w:ascii="Times New Roman" w:hAnsi="Times New Roman" w:cs="Times New Roman"/>
        </w:rPr>
        <w:footnoteReference w:id="115"/>
      </w:r>
      <w:r w:rsidR="005977E7" w:rsidRPr="00E72418">
        <w:rPr>
          <w:rFonts w:ascii="Times New Roman" w:hAnsi="Times New Roman" w:cs="Times New Roman"/>
        </w:rPr>
        <w:t>.</w:t>
      </w:r>
    </w:p>
    <w:p w14:paraId="32FFCC5B" w14:textId="77777777" w:rsidR="007C57EF" w:rsidRPr="00E72418" w:rsidRDefault="007C57EF" w:rsidP="00423B60"/>
    <w:p w14:paraId="1A4F9C0C" w14:textId="16001997"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26</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perte de souveraineté – </w:t>
      </w:r>
      <w:r w:rsidR="007C57EF" w:rsidRPr="00E72418">
        <w:rPr>
          <w:rFonts w:ascii="Times New Roman" w:hAnsi="Times New Roman" w:cs="Times New Roman"/>
        </w:rPr>
        <w:t xml:space="preserve">S’il est une chose qui est difficilement contestable c’est qu’en prenant part aux marchés financiers et en y émettant de la dette externe privée, les </w:t>
      </w:r>
      <w:r w:rsidR="007C57EF" w:rsidRPr="00E72418">
        <w:rPr>
          <w:rFonts w:ascii="Times New Roman" w:hAnsi="Times New Roman" w:cs="Times New Roman"/>
          <w:lang w:eastAsia="fr-BE"/>
        </w:rPr>
        <w:t>É</w:t>
      </w:r>
      <w:r w:rsidR="007C57EF" w:rsidRPr="00E72418">
        <w:rPr>
          <w:rFonts w:ascii="Times New Roman" w:hAnsi="Times New Roman" w:cs="Times New Roman"/>
        </w:rPr>
        <w:t>tats perdent d</w:t>
      </w:r>
      <w:r w:rsidR="00CC422B" w:rsidRPr="00E72418">
        <w:rPr>
          <w:rFonts w:ascii="Times New Roman" w:hAnsi="Times New Roman" w:cs="Times New Roman"/>
        </w:rPr>
        <w:t>e leur souveraineté en y interve</w:t>
      </w:r>
      <w:r w:rsidR="007C57EF" w:rsidRPr="00E72418">
        <w:rPr>
          <w:rFonts w:ascii="Times New Roman" w:hAnsi="Times New Roman" w:cs="Times New Roman"/>
        </w:rPr>
        <w:t>nant tels des acteurs privés</w:t>
      </w:r>
      <w:r w:rsidR="00A62CA3" w:rsidRPr="00E72418">
        <w:rPr>
          <w:rStyle w:val="Appelnotedebasdep"/>
          <w:rFonts w:ascii="Times New Roman" w:hAnsi="Times New Roman" w:cs="Times New Roman"/>
        </w:rPr>
        <w:footnoteReference w:id="116"/>
      </w:r>
      <w:r w:rsidR="007C57EF" w:rsidRPr="00E72418">
        <w:rPr>
          <w:rFonts w:ascii="Times New Roman" w:hAnsi="Times New Roman" w:cs="Times New Roman"/>
        </w:rPr>
        <w:t xml:space="preserve">. Comme le relève </w:t>
      </w:r>
      <w:r w:rsidR="00201853" w:rsidRPr="00E72418">
        <w:rPr>
          <w:rFonts w:ascii="Times New Roman" w:hAnsi="Times New Roman" w:cs="Times New Roman"/>
        </w:rPr>
        <w:t xml:space="preserve">Mathias </w:t>
      </w:r>
      <w:r w:rsidR="007C57EF" w:rsidRPr="00E72418">
        <w:rPr>
          <w:rFonts w:ascii="Times New Roman" w:hAnsi="Times New Roman" w:cs="Times New Roman"/>
        </w:rPr>
        <w:t>Audit, « [d]ès lors qu’ils descendent dans l’arène en participant à des opérations internationales de commerce, d’investissement ou de finance, la tendance est de considérer qu’ils doivent se départir d’une partie au moins de leurs attributs souverains »</w:t>
      </w:r>
      <w:r w:rsidR="007C57EF" w:rsidRPr="00E72418">
        <w:rPr>
          <w:rStyle w:val="Appelnotedebasdep"/>
          <w:rFonts w:ascii="Times New Roman" w:hAnsi="Times New Roman" w:cs="Times New Roman"/>
        </w:rPr>
        <w:footnoteReference w:id="117"/>
      </w:r>
      <w:r w:rsidR="007C57EF" w:rsidRPr="00E72418">
        <w:rPr>
          <w:rFonts w:ascii="Times New Roman" w:hAnsi="Times New Roman" w:cs="Times New Roman"/>
        </w:rPr>
        <w:t xml:space="preserve">. Les </w:t>
      </w:r>
      <w:r w:rsidR="007C57EF" w:rsidRPr="00E72418">
        <w:rPr>
          <w:rFonts w:ascii="Times New Roman" w:hAnsi="Times New Roman" w:cs="Times New Roman"/>
          <w:lang w:eastAsia="fr-BE"/>
        </w:rPr>
        <w:t>É</w:t>
      </w:r>
      <w:r w:rsidR="007C57EF" w:rsidRPr="00E72418">
        <w:rPr>
          <w:rFonts w:ascii="Times New Roman" w:hAnsi="Times New Roman" w:cs="Times New Roman"/>
        </w:rPr>
        <w:t>tats se retrouvent</w:t>
      </w:r>
      <w:r w:rsidR="00EE2951" w:rsidRPr="00E72418">
        <w:rPr>
          <w:rFonts w:ascii="Times New Roman" w:hAnsi="Times New Roman" w:cs="Times New Roman"/>
        </w:rPr>
        <w:t xml:space="preserve"> ainsi</w:t>
      </w:r>
      <w:r w:rsidR="007C57EF" w:rsidRPr="00E72418">
        <w:rPr>
          <w:rFonts w:ascii="Times New Roman" w:hAnsi="Times New Roman" w:cs="Times New Roman"/>
        </w:rPr>
        <w:t xml:space="preserve"> soumis aux e</w:t>
      </w:r>
      <w:r w:rsidR="00EE2951" w:rsidRPr="00E72418">
        <w:rPr>
          <w:rFonts w:ascii="Times New Roman" w:hAnsi="Times New Roman" w:cs="Times New Roman"/>
        </w:rPr>
        <w:t>xigences des marchés.</w:t>
      </w:r>
    </w:p>
    <w:p w14:paraId="7B223BCB" w14:textId="77777777" w:rsidR="007C57EF" w:rsidRPr="00E72418" w:rsidRDefault="007C57EF" w:rsidP="00423B60"/>
    <w:p w14:paraId="6B5CC6DE" w14:textId="46BBC895"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27</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difficile exécution – </w:t>
      </w:r>
      <w:r w:rsidR="007C57EF" w:rsidRPr="00E72418">
        <w:rPr>
          <w:rFonts w:ascii="Times New Roman" w:hAnsi="Times New Roman" w:cs="Times New Roman"/>
        </w:rPr>
        <w:t>Si le financement étatique sur les marchés financiers suit une logique privée, l’engagement d’</w:t>
      </w:r>
      <w:r w:rsidR="007C57EF" w:rsidRPr="00E72418">
        <w:rPr>
          <w:rFonts w:ascii="Times New Roman" w:hAnsi="Times New Roman" w:cs="Times New Roman"/>
          <w:lang w:eastAsia="fr-BE"/>
        </w:rPr>
        <w:t>É</w:t>
      </w:r>
      <w:r w:rsidR="00CC422B" w:rsidRPr="00E72418">
        <w:rPr>
          <w:rFonts w:ascii="Times New Roman" w:hAnsi="Times New Roman" w:cs="Times New Roman"/>
        </w:rPr>
        <w:t>tats y introduit malgré</w:t>
      </w:r>
      <w:r w:rsidR="007C57EF" w:rsidRPr="00E72418">
        <w:rPr>
          <w:rFonts w:ascii="Times New Roman" w:hAnsi="Times New Roman" w:cs="Times New Roman"/>
        </w:rPr>
        <w:t xml:space="preserve"> tout une dimension géopolitique</w:t>
      </w:r>
      <w:r w:rsidR="007C57EF" w:rsidRPr="00E72418">
        <w:rPr>
          <w:rStyle w:val="Appelnotedebasdep"/>
          <w:rFonts w:ascii="Times New Roman" w:hAnsi="Times New Roman" w:cs="Times New Roman"/>
          <w:szCs w:val="24"/>
        </w:rPr>
        <w:footnoteReference w:id="118"/>
      </w:r>
      <w:r w:rsidR="007C57EF" w:rsidRPr="00E72418">
        <w:rPr>
          <w:rFonts w:ascii="Times New Roman" w:hAnsi="Times New Roman" w:cs="Times New Roman"/>
          <w:szCs w:val="24"/>
        </w:rPr>
        <w:t xml:space="preserve">. Plus encore, la faculté de remboursement d’un </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 xml:space="preserve">tat est tributaire de ses conditions politiques. </w:t>
      </w:r>
      <w:r w:rsidR="00EE2951" w:rsidRPr="00E72418">
        <w:rPr>
          <w:rFonts w:ascii="Times New Roman" w:hAnsi="Times New Roman" w:cs="Times New Roman"/>
          <w:szCs w:val="24"/>
        </w:rPr>
        <w:t>La</w:t>
      </w:r>
      <w:r w:rsidR="00EE2951" w:rsidRPr="00E72418">
        <w:rPr>
          <w:szCs w:val="24"/>
        </w:rPr>
        <w:t xml:space="preserve"> </w:t>
      </w:r>
      <w:r w:rsidR="00EE2951" w:rsidRPr="00E72418">
        <w:rPr>
          <w:rFonts w:ascii="Times New Roman" w:hAnsi="Times New Roman" w:cs="Times New Roman"/>
          <w:szCs w:val="24"/>
        </w:rPr>
        <w:t>dette</w:t>
      </w:r>
      <w:r w:rsidR="007C57EF" w:rsidRPr="00E72418">
        <w:rPr>
          <w:rFonts w:ascii="Times New Roman" w:hAnsi="Times New Roman" w:cs="Times New Roman"/>
          <w:szCs w:val="24"/>
        </w:rPr>
        <w:t xml:space="preserve"> étatique a </w:t>
      </w:r>
      <w:r w:rsidR="00EE2951" w:rsidRPr="00E72418">
        <w:rPr>
          <w:rFonts w:ascii="Times New Roman" w:hAnsi="Times New Roman" w:cs="Times New Roman"/>
          <w:szCs w:val="24"/>
        </w:rPr>
        <w:t>finalement cette particularité qu’elle</w:t>
      </w:r>
      <w:r w:rsidR="007C57EF" w:rsidRPr="00E72418">
        <w:rPr>
          <w:rFonts w:ascii="Times New Roman" w:hAnsi="Times New Roman" w:cs="Times New Roman"/>
          <w:szCs w:val="24"/>
        </w:rPr>
        <w:t xml:space="preserve"> entraîne avec </w:t>
      </w:r>
      <w:r w:rsidR="00EE2951" w:rsidRPr="00E72418">
        <w:rPr>
          <w:rFonts w:ascii="Times New Roman" w:hAnsi="Times New Roman" w:cs="Times New Roman"/>
          <w:szCs w:val="24"/>
        </w:rPr>
        <w:t>elle</w:t>
      </w:r>
      <w:r w:rsidR="007C57EF" w:rsidRPr="00E72418">
        <w:rPr>
          <w:rFonts w:ascii="Times New Roman" w:hAnsi="Times New Roman" w:cs="Times New Roman"/>
          <w:szCs w:val="24"/>
        </w:rPr>
        <w:t xml:space="preserve"> le risque d’une mauvaise gestion de l’</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w:t>
      </w:r>
    </w:p>
    <w:p w14:paraId="614610AF" w14:textId="7B12127A"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rPr>
        <w:t xml:space="preserve">Si la dette </w:t>
      </w:r>
      <w:r w:rsidR="00EE2951" w:rsidRPr="00E72418">
        <w:rPr>
          <w:rFonts w:ascii="Times New Roman" w:hAnsi="Times New Roman" w:cs="Times New Roman"/>
        </w:rPr>
        <w:t xml:space="preserve">étatique </w:t>
      </w:r>
      <w:r w:rsidRPr="00E72418">
        <w:rPr>
          <w:rFonts w:ascii="Times New Roman" w:hAnsi="Times New Roman" w:cs="Times New Roman"/>
        </w:rPr>
        <w:t>est risquée pour les créanciers en ce qu’elle est soumise à divers aléas, c’est essentiellement sa difficile exécution qui peut leur être décourageante</w:t>
      </w:r>
      <w:r w:rsidR="00CE5283" w:rsidRPr="00E72418">
        <w:rPr>
          <w:rStyle w:val="Appelnotedebasdep"/>
          <w:rFonts w:ascii="Times New Roman" w:hAnsi="Times New Roman" w:cs="Times New Roman"/>
        </w:rPr>
        <w:footnoteReference w:id="119"/>
      </w:r>
      <w:r w:rsidRPr="00E72418">
        <w:rPr>
          <w:rFonts w:ascii="Times New Roman" w:hAnsi="Times New Roman" w:cs="Times New Roman"/>
        </w:rPr>
        <w:t xml:space="preserve">. </w:t>
      </w:r>
      <w:r w:rsidRPr="00E72418">
        <w:rPr>
          <w:rFonts w:ascii="Times New Roman" w:hAnsi="Times New Roman" w:cs="Times New Roman"/>
          <w:szCs w:val="24"/>
        </w:rPr>
        <w:t xml:space="preserve">De manière </w:t>
      </w:r>
      <w:r w:rsidR="0030147D">
        <w:rPr>
          <w:rFonts w:ascii="Times New Roman" w:hAnsi="Times New Roman" w:cs="Times New Roman"/>
          <w:szCs w:val="24"/>
        </w:rPr>
        <w:t xml:space="preserve">quelque peu </w:t>
      </w:r>
      <w:r w:rsidRPr="00E72418">
        <w:rPr>
          <w:rFonts w:ascii="Times New Roman" w:hAnsi="Times New Roman" w:cs="Times New Roman"/>
          <w:szCs w:val="24"/>
        </w:rPr>
        <w:t>provocan</w:t>
      </w:r>
      <w:r w:rsidR="00EE2951" w:rsidRPr="00E72418">
        <w:rPr>
          <w:rFonts w:ascii="Times New Roman" w:hAnsi="Times New Roman" w:cs="Times New Roman"/>
          <w:szCs w:val="24"/>
        </w:rPr>
        <w:t xml:space="preserve">te, </w:t>
      </w:r>
      <w:r w:rsidR="000F516A" w:rsidRPr="00E72418">
        <w:rPr>
          <w:rFonts w:ascii="Times New Roman" w:hAnsi="Times New Roman" w:cs="Times New Roman"/>
          <w:szCs w:val="24"/>
        </w:rPr>
        <w:t xml:space="preserve">Anna </w:t>
      </w:r>
      <w:r w:rsidR="00EE2951" w:rsidRPr="00E72418">
        <w:rPr>
          <w:rFonts w:ascii="Times New Roman" w:hAnsi="Times New Roman" w:cs="Times New Roman"/>
          <w:szCs w:val="24"/>
        </w:rPr>
        <w:t>Gelpern indiqua un jour que la dette souveraine était inexécutable</w:t>
      </w:r>
      <w:r w:rsidRPr="00E72418">
        <w:rPr>
          <w:rStyle w:val="Appelnotedebasdep"/>
          <w:rFonts w:ascii="Times New Roman" w:hAnsi="Times New Roman" w:cs="Times New Roman"/>
          <w:szCs w:val="24"/>
        </w:rPr>
        <w:footnoteReference w:id="120"/>
      </w:r>
      <w:r w:rsidRPr="00E72418">
        <w:rPr>
          <w:rFonts w:ascii="Times New Roman" w:hAnsi="Times New Roman" w:cs="Times New Roman"/>
          <w:szCs w:val="24"/>
        </w:rPr>
        <w:t xml:space="preserve">. </w:t>
      </w:r>
      <w:r w:rsidRPr="00E72418">
        <w:rPr>
          <w:rFonts w:ascii="Times New Roman" w:hAnsi="Times New Roman" w:cs="Times New Roman"/>
        </w:rPr>
        <w:t xml:space="preserve">En réalité, l’idée derrière un tel propos est que les cours et tribunaux manquent généralement de moyens de </w:t>
      </w:r>
      <w:r w:rsidR="00EE2951" w:rsidRPr="00E72418">
        <w:rPr>
          <w:rFonts w:ascii="Times New Roman" w:hAnsi="Times New Roman" w:cs="Times New Roman"/>
        </w:rPr>
        <w:t>contrainte à l’encontre d’</w:t>
      </w:r>
      <w:r w:rsidRPr="00E72418">
        <w:rPr>
          <w:rFonts w:ascii="Times New Roman" w:hAnsi="Times New Roman" w:cs="Times New Roman"/>
          <w:lang w:eastAsia="fr-BE"/>
        </w:rPr>
        <w:t>É</w:t>
      </w:r>
      <w:r w:rsidRPr="00E72418">
        <w:rPr>
          <w:rFonts w:ascii="Times New Roman" w:hAnsi="Times New Roman" w:cs="Times New Roman"/>
        </w:rPr>
        <w:t>tats souverains qui n’honoreraient pas leurs obligations à l’égard de leurs créanciers</w:t>
      </w:r>
      <w:r w:rsidRPr="00E72418">
        <w:rPr>
          <w:rStyle w:val="Appelnotedebasdep"/>
          <w:rFonts w:ascii="Times New Roman" w:hAnsi="Times New Roman" w:cs="Times New Roman"/>
          <w:szCs w:val="24"/>
        </w:rPr>
        <w:footnoteReference w:id="121"/>
      </w:r>
      <w:r w:rsidRPr="00E72418">
        <w:rPr>
          <w:rFonts w:ascii="Times New Roman" w:hAnsi="Times New Roman" w:cs="Times New Roman"/>
        </w:rPr>
        <w:t>.</w:t>
      </w:r>
    </w:p>
    <w:p w14:paraId="57FAE1EA" w14:textId="14E6AC1B"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Cette inexécution, si elle prévalut un temps, doit aujourd’hui être relativisée et nuancée à l’analyse des législations nationales et de la jurisprudence relative aux difficultés rencontrées </w:t>
      </w:r>
      <w:r w:rsidRPr="00E72418">
        <w:rPr>
          <w:rFonts w:ascii="Times New Roman" w:hAnsi="Times New Roman" w:cs="Times New Roman"/>
          <w:szCs w:val="24"/>
        </w:rPr>
        <w:lastRenderedPageBreak/>
        <w:t>par des créanciers d’</w:t>
      </w:r>
      <w:r w:rsidRPr="00E72418">
        <w:rPr>
          <w:rFonts w:ascii="Times New Roman" w:hAnsi="Times New Roman" w:cs="Times New Roman"/>
          <w:lang w:eastAsia="fr-BE"/>
        </w:rPr>
        <w:t>Ét</w:t>
      </w:r>
      <w:r w:rsidR="00EE2951" w:rsidRPr="00E72418">
        <w:rPr>
          <w:rFonts w:ascii="Times New Roman" w:hAnsi="Times New Roman" w:cs="Times New Roman"/>
          <w:szCs w:val="24"/>
        </w:rPr>
        <w:t xml:space="preserve">ats </w:t>
      </w:r>
      <w:r w:rsidR="0004079A" w:rsidRPr="00E72418">
        <w:rPr>
          <w:rFonts w:ascii="Times New Roman" w:hAnsi="Times New Roman" w:cs="Times New Roman"/>
          <w:szCs w:val="24"/>
        </w:rPr>
        <w:t>faisant retenir par certains qu’</w:t>
      </w:r>
      <w:r w:rsidRPr="00E72418">
        <w:rPr>
          <w:rFonts w:ascii="Times New Roman" w:hAnsi="Times New Roman" w:cs="Times New Roman"/>
          <w:szCs w:val="24"/>
        </w:rPr>
        <w:t xml:space="preserve"> « </w:t>
      </w:r>
      <w:r w:rsidRPr="00E72418">
        <w:rPr>
          <w:rFonts w:ascii="Times New Roman" w:hAnsi="Times New Roman" w:cs="Times New Roman"/>
        </w:rPr>
        <w:t>[u]</w:t>
      </w:r>
      <w:r w:rsidRPr="00E72418">
        <w:rPr>
          <w:rFonts w:ascii="Times New Roman" w:hAnsi="Times New Roman" w:cs="Times New Roman"/>
          <w:szCs w:val="24"/>
        </w:rPr>
        <w:t>nenforceability has shown some signs of erosion »</w:t>
      </w:r>
      <w:r w:rsidRPr="00E72418">
        <w:rPr>
          <w:rStyle w:val="Appelnotedebasdep"/>
          <w:rFonts w:ascii="Times New Roman" w:hAnsi="Times New Roman" w:cs="Times New Roman"/>
          <w:szCs w:val="24"/>
        </w:rPr>
        <w:footnoteReference w:id="122"/>
      </w:r>
      <w:r w:rsidRPr="00E72418">
        <w:rPr>
          <w:rFonts w:ascii="Times New Roman" w:hAnsi="Times New Roman" w:cs="Times New Roman"/>
          <w:szCs w:val="24"/>
        </w:rPr>
        <w:t xml:space="preserve">. L’on peut </w:t>
      </w:r>
      <w:r w:rsidR="00EE2951" w:rsidRPr="00E72418">
        <w:rPr>
          <w:rFonts w:ascii="Times New Roman" w:hAnsi="Times New Roman" w:cs="Times New Roman"/>
          <w:szCs w:val="24"/>
        </w:rPr>
        <w:t xml:space="preserve">notamment </w:t>
      </w:r>
      <w:r w:rsidRPr="00E72418">
        <w:rPr>
          <w:rFonts w:ascii="Times New Roman" w:hAnsi="Times New Roman" w:cs="Times New Roman"/>
          <w:szCs w:val="24"/>
        </w:rPr>
        <w:t xml:space="preserve">voir dans l’immunité d’exécution relative retenue dans la Convention des Nations Unies </w:t>
      </w:r>
      <w:r w:rsidRPr="00E72418">
        <w:rPr>
          <w:rFonts w:ascii="Times New Roman" w:hAnsi="Times New Roman" w:cs="Times New Roman"/>
        </w:rPr>
        <w:t>sur les immunités juridictionnelles des États et de leurs biens une déclinaison de cette érosion</w:t>
      </w:r>
      <w:r w:rsidRPr="00E72418">
        <w:rPr>
          <w:rStyle w:val="Appelnotedebasdep"/>
          <w:rFonts w:ascii="Times New Roman" w:hAnsi="Times New Roman" w:cs="Times New Roman"/>
        </w:rPr>
        <w:footnoteReference w:id="123"/>
      </w:r>
      <w:r w:rsidR="002A6997" w:rsidRPr="00E72418">
        <w:rPr>
          <w:rFonts w:ascii="Times New Roman" w:hAnsi="Times New Roman" w:cs="Times New Roman"/>
        </w:rPr>
        <w:t xml:space="preserve">. Cette érosion est aussi à </w:t>
      </w:r>
      <w:r w:rsidR="00E76173" w:rsidRPr="00E72418">
        <w:rPr>
          <w:rFonts w:ascii="Times New Roman" w:hAnsi="Times New Roman" w:cs="Times New Roman"/>
        </w:rPr>
        <w:t xml:space="preserve">souligner </w:t>
      </w:r>
      <w:r w:rsidR="002A6997" w:rsidRPr="00E72418">
        <w:rPr>
          <w:rFonts w:ascii="Times New Roman" w:hAnsi="Times New Roman" w:cs="Times New Roman"/>
        </w:rPr>
        <w:t xml:space="preserve">si l’on </w:t>
      </w:r>
      <w:r w:rsidRPr="00E72418">
        <w:rPr>
          <w:rFonts w:ascii="Times New Roman" w:hAnsi="Times New Roman" w:cs="Times New Roman"/>
        </w:rPr>
        <w:t xml:space="preserve">analyse la jurisprudence </w:t>
      </w:r>
      <w:r w:rsidR="002A6997" w:rsidRPr="00E72418">
        <w:rPr>
          <w:rFonts w:ascii="Times New Roman" w:hAnsi="Times New Roman" w:cs="Times New Roman"/>
        </w:rPr>
        <w:t xml:space="preserve">où </w:t>
      </w:r>
      <w:r w:rsidR="00342E3B" w:rsidRPr="00E72418">
        <w:rPr>
          <w:rFonts w:ascii="Times New Roman" w:hAnsi="Times New Roman" w:cs="Times New Roman"/>
        </w:rPr>
        <w:t xml:space="preserve">force est de constater </w:t>
      </w:r>
      <w:r w:rsidR="002A6997" w:rsidRPr="00E72418">
        <w:rPr>
          <w:rFonts w:ascii="Times New Roman" w:hAnsi="Times New Roman" w:cs="Times New Roman"/>
        </w:rPr>
        <w:t>l</w:t>
      </w:r>
      <w:r w:rsidR="00342E3B" w:rsidRPr="00E72418">
        <w:rPr>
          <w:rFonts w:ascii="Times New Roman" w:hAnsi="Times New Roman" w:cs="Times New Roman"/>
        </w:rPr>
        <w:t>’accueil variable réservé aux</w:t>
      </w:r>
      <w:r w:rsidR="002A6997" w:rsidRPr="00E72418">
        <w:rPr>
          <w:rFonts w:ascii="Times New Roman" w:hAnsi="Times New Roman" w:cs="Times New Roman"/>
        </w:rPr>
        <w:t xml:space="preserve"> défenses </w:t>
      </w:r>
      <w:r w:rsidR="00342E3B" w:rsidRPr="00E72418">
        <w:rPr>
          <w:rFonts w:ascii="Times New Roman" w:hAnsi="Times New Roman" w:cs="Times New Roman"/>
        </w:rPr>
        <w:t>d’É</w:t>
      </w:r>
      <w:r w:rsidR="002A6997" w:rsidRPr="00E72418">
        <w:rPr>
          <w:rFonts w:ascii="Times New Roman" w:hAnsi="Times New Roman" w:cs="Times New Roman"/>
        </w:rPr>
        <w:t>tats attaqués par leurs créanciers</w:t>
      </w:r>
      <w:r w:rsidR="002A6997" w:rsidRPr="00E72418">
        <w:rPr>
          <w:rStyle w:val="Appelnotedebasdep"/>
          <w:rFonts w:ascii="Times New Roman" w:hAnsi="Times New Roman" w:cs="Times New Roman"/>
        </w:rPr>
        <w:footnoteReference w:id="124"/>
      </w:r>
      <w:r w:rsidRPr="00E72418">
        <w:rPr>
          <w:rFonts w:ascii="Times New Roman" w:hAnsi="Times New Roman" w:cs="Times New Roman"/>
        </w:rPr>
        <w:t xml:space="preserve">. </w:t>
      </w:r>
    </w:p>
    <w:p w14:paraId="4EB9ADC4" w14:textId="77777777"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Si l’évolution du droit conduit à relativiser l’</w:t>
      </w:r>
      <w:r w:rsidR="00342E3B" w:rsidRPr="00E72418">
        <w:rPr>
          <w:rFonts w:ascii="Times New Roman" w:hAnsi="Times New Roman" w:cs="Times New Roman"/>
        </w:rPr>
        <w:t xml:space="preserve">idée d’une </w:t>
      </w:r>
      <w:r w:rsidRPr="00E72418">
        <w:rPr>
          <w:rFonts w:ascii="Times New Roman" w:hAnsi="Times New Roman" w:cs="Times New Roman"/>
        </w:rPr>
        <w:t>impossibl</w:t>
      </w:r>
      <w:r w:rsidR="00342E3B" w:rsidRPr="00E72418">
        <w:rPr>
          <w:rFonts w:ascii="Times New Roman" w:hAnsi="Times New Roman" w:cs="Times New Roman"/>
        </w:rPr>
        <w:t>e exécution en matière de dette souveraine</w:t>
      </w:r>
      <w:r w:rsidRPr="00E72418">
        <w:rPr>
          <w:rFonts w:ascii="Times New Roman" w:hAnsi="Times New Roman" w:cs="Times New Roman"/>
        </w:rPr>
        <w:t xml:space="preserve">, il </w:t>
      </w:r>
      <w:r w:rsidR="00342E3B" w:rsidRPr="00E72418">
        <w:rPr>
          <w:rFonts w:ascii="Times New Roman" w:hAnsi="Times New Roman" w:cs="Times New Roman"/>
        </w:rPr>
        <w:t>reste</w:t>
      </w:r>
      <w:r w:rsidRPr="00E72418">
        <w:rPr>
          <w:rFonts w:ascii="Times New Roman" w:hAnsi="Times New Roman" w:cs="Times New Roman"/>
        </w:rPr>
        <w:t xml:space="preserve"> que le débiteur </w:t>
      </w:r>
      <w:r w:rsidR="00342E3B" w:rsidRPr="00E72418">
        <w:rPr>
          <w:rFonts w:ascii="Times New Roman" w:hAnsi="Times New Roman" w:cs="Times New Roman"/>
        </w:rPr>
        <w:t xml:space="preserve">souverain </w:t>
      </w:r>
      <w:r w:rsidRPr="00E72418">
        <w:rPr>
          <w:rFonts w:ascii="Times New Roman" w:hAnsi="Times New Roman" w:cs="Times New Roman"/>
        </w:rPr>
        <w:t>pourrait profiter de sa posture</w:t>
      </w:r>
      <w:r w:rsidR="00342E3B" w:rsidRPr="00E72418">
        <w:rPr>
          <w:rFonts w:ascii="Times New Roman" w:hAnsi="Times New Roman" w:cs="Times New Roman"/>
        </w:rPr>
        <w:t xml:space="preserve"> singulière</w:t>
      </w:r>
      <w:r w:rsidRPr="00E72418">
        <w:rPr>
          <w:rFonts w:ascii="Times New Roman" w:hAnsi="Times New Roman" w:cs="Times New Roman"/>
        </w:rPr>
        <w:t xml:space="preserve"> afin de protéger ses biens de l’action de ses créanciers. </w:t>
      </w:r>
      <w:r w:rsidR="00342E3B" w:rsidRPr="00E72418">
        <w:rPr>
          <w:rFonts w:ascii="Times New Roman" w:hAnsi="Times New Roman" w:cs="Times New Roman"/>
          <w:szCs w:val="24"/>
        </w:rPr>
        <w:t>Par exemple, l</w:t>
      </w:r>
      <w:r w:rsidRPr="00E72418">
        <w:rPr>
          <w:rFonts w:ascii="Times New Roman" w:hAnsi="Times New Roman" w:cs="Times New Roman"/>
          <w:szCs w:val="24"/>
        </w:rPr>
        <w:t>’</w:t>
      </w:r>
      <w:r w:rsidRPr="00E72418">
        <w:rPr>
          <w:rFonts w:ascii="Times New Roman" w:hAnsi="Times New Roman" w:cs="Times New Roman"/>
          <w:lang w:eastAsia="fr-BE"/>
        </w:rPr>
        <w:t>É</w:t>
      </w:r>
      <w:r w:rsidRPr="00E72418">
        <w:rPr>
          <w:rFonts w:ascii="Times New Roman" w:hAnsi="Times New Roman" w:cs="Times New Roman"/>
          <w:szCs w:val="24"/>
        </w:rPr>
        <w:t xml:space="preserve">tat anticipant des poursuites </w:t>
      </w:r>
      <w:r w:rsidR="00342E3B" w:rsidRPr="00E72418">
        <w:rPr>
          <w:rFonts w:ascii="Times New Roman" w:hAnsi="Times New Roman" w:cs="Times New Roman"/>
          <w:szCs w:val="24"/>
        </w:rPr>
        <w:t>visant ses avoirs pourrai</w:t>
      </w:r>
      <w:r w:rsidRPr="00E72418">
        <w:rPr>
          <w:rFonts w:ascii="Times New Roman" w:hAnsi="Times New Roman" w:cs="Times New Roman"/>
          <w:szCs w:val="24"/>
        </w:rPr>
        <w:t xml:space="preserve">t s’en protéger en les déplaçant dans un endroit où </w:t>
      </w:r>
      <w:r w:rsidR="008619CC" w:rsidRPr="00E72418">
        <w:rPr>
          <w:rFonts w:ascii="Times New Roman" w:hAnsi="Times New Roman" w:cs="Times New Roman"/>
          <w:szCs w:val="24"/>
        </w:rPr>
        <w:t>ils</w:t>
      </w:r>
      <w:r w:rsidRPr="00E72418">
        <w:rPr>
          <w:rFonts w:ascii="Times New Roman" w:hAnsi="Times New Roman" w:cs="Times New Roman"/>
          <w:szCs w:val="24"/>
        </w:rPr>
        <w:t xml:space="preserve"> seraient juridiquement hors d’atteinte</w:t>
      </w:r>
      <w:r w:rsidRPr="00E72418">
        <w:rPr>
          <w:rStyle w:val="Appelnotedebasdep"/>
          <w:rFonts w:ascii="Times New Roman" w:hAnsi="Times New Roman" w:cs="Times New Roman"/>
        </w:rPr>
        <w:footnoteReference w:id="125"/>
      </w:r>
      <w:r w:rsidRPr="00E72418">
        <w:rPr>
          <w:rFonts w:ascii="Times New Roman" w:hAnsi="Times New Roman" w:cs="Times New Roman"/>
        </w:rPr>
        <w:t xml:space="preserve">. Face à cela, les juridictions sont mal armées afin de forcer un </w:t>
      </w:r>
      <w:r w:rsidRPr="00E72418">
        <w:rPr>
          <w:rFonts w:ascii="Times New Roman" w:hAnsi="Times New Roman" w:cs="Times New Roman"/>
          <w:lang w:eastAsia="fr-BE"/>
        </w:rPr>
        <w:t>É</w:t>
      </w:r>
      <w:r w:rsidRPr="00E72418">
        <w:rPr>
          <w:rFonts w:ascii="Times New Roman" w:hAnsi="Times New Roman" w:cs="Times New Roman"/>
        </w:rPr>
        <w:t>tat à honorer ses dettes lorsque ce dernier a décidé de mettre ses avoirs hors de portée de ses créanciers</w:t>
      </w:r>
      <w:r w:rsidRPr="00E72418">
        <w:rPr>
          <w:rStyle w:val="Appelnotedebasdep"/>
          <w:rFonts w:ascii="Times New Roman" w:hAnsi="Times New Roman" w:cs="Times New Roman"/>
        </w:rPr>
        <w:footnoteReference w:id="126"/>
      </w:r>
      <w:r w:rsidRPr="00E72418">
        <w:rPr>
          <w:rFonts w:ascii="Times New Roman" w:hAnsi="Times New Roman" w:cs="Times New Roman"/>
        </w:rPr>
        <w:t>.</w:t>
      </w:r>
    </w:p>
    <w:p w14:paraId="444C174A" w14:textId="77777777" w:rsidR="007C57EF" w:rsidRPr="00E72418" w:rsidRDefault="007C57EF" w:rsidP="00423B60"/>
    <w:p w14:paraId="3626389E" w14:textId="3E2D2F0E"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28</w:t>
      </w:r>
      <w:r w:rsidR="007E31CD" w:rsidRPr="00E72418">
        <w:rPr>
          <w:rFonts w:ascii="Times New Roman" w:hAnsi="Times New Roman" w:cs="Times New Roman"/>
          <w:b/>
        </w:rPr>
        <w:t xml:space="preserve">. </w:t>
      </w:r>
      <w:r w:rsidR="008619CC" w:rsidRPr="00E72418">
        <w:rPr>
          <w:rFonts w:ascii="Times New Roman" w:hAnsi="Times New Roman" w:cs="Times New Roman"/>
          <w:b/>
        </w:rPr>
        <w:t xml:space="preserve">Un remboursement fréquent </w:t>
      </w:r>
      <w:r w:rsidR="007C57EF" w:rsidRPr="00E72418">
        <w:rPr>
          <w:rFonts w:ascii="Times New Roman" w:hAnsi="Times New Roman" w:cs="Times New Roman"/>
          <w:b/>
        </w:rPr>
        <w:t xml:space="preserve">– </w:t>
      </w:r>
      <w:r w:rsidR="008619CC" w:rsidRPr="00E72418">
        <w:rPr>
          <w:rFonts w:ascii="Times New Roman" w:hAnsi="Times New Roman" w:cs="Times New Roman"/>
        </w:rPr>
        <w:t xml:space="preserve">Si la qualité particulière </w:t>
      </w:r>
      <w:r w:rsidR="007C57EF" w:rsidRPr="00E72418">
        <w:rPr>
          <w:rFonts w:ascii="Times New Roman" w:hAnsi="Times New Roman" w:cs="Times New Roman"/>
        </w:rPr>
        <w:t>du débiteur</w:t>
      </w:r>
      <w:r w:rsidR="008619CC" w:rsidRPr="00E72418">
        <w:rPr>
          <w:rFonts w:ascii="Times New Roman" w:hAnsi="Times New Roman" w:cs="Times New Roman"/>
        </w:rPr>
        <w:t xml:space="preserve"> souverain</w:t>
      </w:r>
      <w:r w:rsidR="007C57EF" w:rsidRPr="00E72418">
        <w:rPr>
          <w:rFonts w:ascii="Times New Roman" w:hAnsi="Times New Roman" w:cs="Times New Roman"/>
        </w:rPr>
        <w:t xml:space="preserve"> présente certains inconvénients, elle </w:t>
      </w:r>
      <w:r w:rsidR="008619CC" w:rsidRPr="00E72418">
        <w:rPr>
          <w:rFonts w:ascii="Times New Roman" w:hAnsi="Times New Roman" w:cs="Times New Roman"/>
        </w:rPr>
        <w:t>a</w:t>
      </w:r>
      <w:r w:rsidR="007C57EF" w:rsidRPr="00E72418">
        <w:rPr>
          <w:rFonts w:ascii="Times New Roman" w:hAnsi="Times New Roman" w:cs="Times New Roman"/>
        </w:rPr>
        <w:t xml:space="preserve"> égalem</w:t>
      </w:r>
      <w:r w:rsidR="008619CC" w:rsidRPr="00E72418">
        <w:rPr>
          <w:rFonts w:ascii="Times New Roman" w:hAnsi="Times New Roman" w:cs="Times New Roman"/>
        </w:rPr>
        <w:t xml:space="preserve">ent ses </w:t>
      </w:r>
      <w:r w:rsidR="007C57EF" w:rsidRPr="00E72418">
        <w:rPr>
          <w:rFonts w:ascii="Times New Roman" w:hAnsi="Times New Roman" w:cs="Times New Roman"/>
        </w:rPr>
        <w:t xml:space="preserve">avantages. </w:t>
      </w:r>
      <w:r w:rsidR="008619CC" w:rsidRPr="00E72418">
        <w:rPr>
          <w:rFonts w:ascii="Times New Roman" w:hAnsi="Times New Roman" w:cs="Times New Roman"/>
        </w:rPr>
        <w:t>Outre</w:t>
      </w:r>
      <w:r w:rsidR="007C57EF" w:rsidRPr="00E72418">
        <w:rPr>
          <w:rFonts w:ascii="Times New Roman" w:hAnsi="Times New Roman" w:cs="Times New Roman"/>
        </w:rPr>
        <w:t xml:space="preserve"> la co</w:t>
      </w:r>
      <w:r w:rsidR="008619CC" w:rsidRPr="00E72418">
        <w:rPr>
          <w:rFonts w:ascii="Times New Roman" w:hAnsi="Times New Roman" w:cs="Times New Roman"/>
        </w:rPr>
        <w:t xml:space="preserve">nstance de l’existence étatique, </w:t>
      </w:r>
      <w:r w:rsidR="007C57EF" w:rsidRPr="00E72418">
        <w:rPr>
          <w:rFonts w:ascii="Times New Roman" w:hAnsi="Times New Roman" w:cs="Times New Roman"/>
        </w:rPr>
        <w:t xml:space="preserve">le principal intérêt d’accorder des crédits aux </w:t>
      </w:r>
      <w:r w:rsidR="007C57EF" w:rsidRPr="00E72418">
        <w:rPr>
          <w:rFonts w:ascii="Times New Roman" w:hAnsi="Times New Roman" w:cs="Times New Roman"/>
          <w:lang w:eastAsia="fr-BE"/>
        </w:rPr>
        <w:t>É</w:t>
      </w:r>
      <w:r w:rsidR="007C57EF" w:rsidRPr="00E72418">
        <w:rPr>
          <w:rFonts w:ascii="Times New Roman" w:hAnsi="Times New Roman" w:cs="Times New Roman"/>
        </w:rPr>
        <w:t>tats souverains réside dans leur besoin permanent de liquidités lequel les rend attentifs à leur réputation d’emp</w:t>
      </w:r>
      <w:r w:rsidR="008619CC" w:rsidRPr="00E72418">
        <w:rPr>
          <w:rFonts w:ascii="Times New Roman" w:hAnsi="Times New Roman" w:cs="Times New Roman"/>
        </w:rPr>
        <w:t>runteur</w:t>
      </w:r>
      <w:r w:rsidR="007C57EF" w:rsidRPr="00E72418">
        <w:rPr>
          <w:rFonts w:ascii="Times New Roman" w:hAnsi="Times New Roman" w:cs="Times New Roman"/>
        </w:rPr>
        <w:t xml:space="preserve"> et les font</w:t>
      </w:r>
      <w:r w:rsidR="007C57EF" w:rsidRPr="00E72418">
        <w:t xml:space="preserve"> </w:t>
      </w:r>
      <w:r w:rsidR="007C57EF" w:rsidRPr="00E72418">
        <w:rPr>
          <w:rFonts w:ascii="Times New Roman" w:hAnsi="Times New Roman" w:cs="Times New Roman"/>
        </w:rPr>
        <w:t>craindre les contentieux</w:t>
      </w:r>
      <w:r w:rsidR="007C57EF" w:rsidRPr="00E72418">
        <w:rPr>
          <w:rStyle w:val="Appelnotedebasdep"/>
          <w:rFonts w:ascii="Times New Roman" w:hAnsi="Times New Roman" w:cs="Times New Roman"/>
        </w:rPr>
        <w:footnoteReference w:id="127"/>
      </w:r>
      <w:r w:rsidR="007C57EF" w:rsidRPr="00E72418">
        <w:rPr>
          <w:rFonts w:ascii="Times New Roman" w:hAnsi="Times New Roman" w:cs="Times New Roman"/>
        </w:rPr>
        <w:t>. Il es</w:t>
      </w:r>
      <w:r w:rsidR="0050371F" w:rsidRPr="00E72418">
        <w:rPr>
          <w:rFonts w:ascii="Times New Roman" w:hAnsi="Times New Roman" w:cs="Times New Roman"/>
        </w:rPr>
        <w:t>t d’autres considérations telles que</w:t>
      </w:r>
      <w:r w:rsidR="007C57EF" w:rsidRPr="00E72418">
        <w:rPr>
          <w:rFonts w:ascii="Times New Roman" w:hAnsi="Times New Roman" w:cs="Times New Roman"/>
        </w:rPr>
        <w:t xml:space="preserve"> les coûts domestiques d’un défaut ou encore la pression exercée par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créanciers qui sont </w:t>
      </w:r>
      <w:r w:rsidR="008619CC" w:rsidRPr="00E72418">
        <w:rPr>
          <w:rFonts w:ascii="Times New Roman" w:hAnsi="Times New Roman" w:cs="Times New Roman"/>
        </w:rPr>
        <w:t xml:space="preserve">également </w:t>
      </w:r>
      <w:r w:rsidR="007C57EF" w:rsidRPr="00E72418">
        <w:rPr>
          <w:rFonts w:ascii="Times New Roman" w:hAnsi="Times New Roman" w:cs="Times New Roman"/>
        </w:rPr>
        <w:t xml:space="preserve">de nature à influencer le comportement des </w:t>
      </w:r>
      <w:r w:rsidR="007C57EF" w:rsidRPr="00E72418">
        <w:rPr>
          <w:rFonts w:ascii="Times New Roman" w:hAnsi="Times New Roman" w:cs="Times New Roman"/>
          <w:lang w:eastAsia="fr-BE"/>
        </w:rPr>
        <w:t>É</w:t>
      </w:r>
      <w:r w:rsidR="007C57EF" w:rsidRPr="00E72418">
        <w:rPr>
          <w:rFonts w:ascii="Times New Roman" w:hAnsi="Times New Roman" w:cs="Times New Roman"/>
        </w:rPr>
        <w:t>tats débiteurs</w:t>
      </w:r>
      <w:r w:rsidR="007C57EF" w:rsidRPr="00E72418">
        <w:rPr>
          <w:rStyle w:val="Appelnotedebasdep"/>
          <w:rFonts w:ascii="Times New Roman" w:hAnsi="Times New Roman" w:cs="Times New Roman"/>
        </w:rPr>
        <w:footnoteReference w:id="128"/>
      </w:r>
      <w:r w:rsidR="00A46BA5" w:rsidRPr="00E72418">
        <w:rPr>
          <w:rFonts w:ascii="Times New Roman" w:hAnsi="Times New Roman" w:cs="Times New Roman"/>
        </w:rPr>
        <w:t>.</w:t>
      </w:r>
    </w:p>
    <w:p w14:paraId="7356CADB" w14:textId="57F08E9F" w:rsidR="007C57EF" w:rsidRPr="00E72418" w:rsidRDefault="00DC1E43" w:rsidP="00CC4BA8">
      <w:pPr>
        <w:spacing w:line="276" w:lineRule="auto"/>
        <w:rPr>
          <w:rFonts w:ascii="Times New Roman" w:hAnsi="Times New Roman" w:cs="Times New Roman"/>
          <w:szCs w:val="24"/>
        </w:rPr>
      </w:pPr>
      <w:r w:rsidRPr="00E72418">
        <w:rPr>
          <w:rFonts w:ascii="Times New Roman" w:hAnsi="Times New Roman" w:cs="Times New Roman"/>
        </w:rPr>
        <w:t>Quoique controversé, l</w:t>
      </w:r>
      <w:r w:rsidR="007C57EF" w:rsidRPr="00E72418">
        <w:rPr>
          <w:rFonts w:ascii="Times New Roman" w:hAnsi="Times New Roman" w:cs="Times New Roman"/>
        </w:rPr>
        <w:t xml:space="preserve">’argument de la réputation est cardinal dans l’explication de la propension des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à honorer leur dette. De leur importante étude, </w:t>
      </w:r>
      <w:r w:rsidR="000F516A" w:rsidRPr="00E72418">
        <w:rPr>
          <w:rFonts w:ascii="Times New Roman" w:hAnsi="Times New Roman" w:cs="Times New Roman"/>
        </w:rPr>
        <w:t xml:space="preserve">Jonathan </w:t>
      </w:r>
      <w:r w:rsidR="007C57EF" w:rsidRPr="00E72418">
        <w:rPr>
          <w:rFonts w:ascii="Times New Roman" w:hAnsi="Times New Roman" w:cs="Times New Roman"/>
        </w:rPr>
        <w:t xml:space="preserve">Eaton et </w:t>
      </w:r>
      <w:r w:rsidR="000F516A" w:rsidRPr="00E72418">
        <w:rPr>
          <w:rFonts w:ascii="Times New Roman" w:hAnsi="Times New Roman" w:cs="Times New Roman"/>
        </w:rPr>
        <w:t xml:space="preserve">Mark </w:t>
      </w:r>
      <w:r w:rsidR="007C57EF" w:rsidRPr="00E72418">
        <w:rPr>
          <w:rFonts w:ascii="Times New Roman" w:hAnsi="Times New Roman" w:cs="Times New Roman"/>
        </w:rPr>
        <w:t xml:space="preserve">Gersovitz concluaient que « borrowers who repudiate their debt face future exclusion from </w:t>
      </w:r>
      <w:r w:rsidR="007C57EF" w:rsidRPr="00E72418">
        <w:rPr>
          <w:rFonts w:ascii="Times New Roman" w:hAnsi="Times New Roman" w:cs="Times New Roman"/>
        </w:rPr>
        <w:lastRenderedPageBreak/>
        <w:t>capital markets »</w:t>
      </w:r>
      <w:r w:rsidR="007C57EF" w:rsidRPr="00E72418">
        <w:rPr>
          <w:rStyle w:val="Appelnotedebasdep"/>
          <w:rFonts w:ascii="Times New Roman" w:hAnsi="Times New Roman" w:cs="Times New Roman"/>
        </w:rPr>
        <w:footnoteReference w:id="129"/>
      </w:r>
      <w:r w:rsidR="007C57EF" w:rsidRPr="00E72418">
        <w:rPr>
          <w:rFonts w:ascii="Times New Roman" w:hAnsi="Times New Roman" w:cs="Times New Roman"/>
        </w:rPr>
        <w:t xml:space="preserve">. </w:t>
      </w:r>
      <w:r w:rsidR="00977CD7" w:rsidRPr="00E72418">
        <w:rPr>
          <w:rFonts w:ascii="Times New Roman" w:hAnsi="Times New Roman" w:cs="Times New Roman"/>
        </w:rPr>
        <w:t xml:space="preserve">Suivant cette idée de capital </w:t>
      </w:r>
      <w:r w:rsidR="00E52089" w:rsidRPr="00E72418">
        <w:rPr>
          <w:rFonts w:ascii="Times New Roman" w:hAnsi="Times New Roman" w:cs="Times New Roman"/>
        </w:rPr>
        <w:t>de réputation</w:t>
      </w:r>
      <w:r w:rsidR="00977CD7" w:rsidRPr="00E72418">
        <w:rPr>
          <w:rFonts w:ascii="Times New Roman" w:hAnsi="Times New Roman" w:cs="Times New Roman"/>
        </w:rPr>
        <w:t>, d</w:t>
      </w:r>
      <w:r w:rsidR="007C57EF" w:rsidRPr="00E72418">
        <w:rPr>
          <w:rFonts w:ascii="Times New Roman" w:hAnsi="Times New Roman" w:cs="Times New Roman"/>
        </w:rPr>
        <w:t>ès lors qu’ils auron</w:t>
      </w:r>
      <w:r w:rsidR="002B513D" w:rsidRPr="00E72418">
        <w:rPr>
          <w:rFonts w:ascii="Times New Roman" w:hAnsi="Times New Roman" w:cs="Times New Roman"/>
        </w:rPr>
        <w:t>t dans le futur besoin d’</w:t>
      </w:r>
      <w:r w:rsidR="007C57EF" w:rsidRPr="00E72418">
        <w:rPr>
          <w:rFonts w:ascii="Times New Roman" w:hAnsi="Times New Roman" w:cs="Times New Roman"/>
        </w:rPr>
        <w:t xml:space="preserve">emprunter </w:t>
      </w:r>
      <w:r w:rsidR="002B513D" w:rsidRPr="00E72418">
        <w:rPr>
          <w:rFonts w:ascii="Times New Roman" w:hAnsi="Times New Roman" w:cs="Times New Roman"/>
        </w:rPr>
        <w:t xml:space="preserve">à nouveau </w:t>
      </w:r>
      <w:r w:rsidR="007C57EF" w:rsidRPr="00E72418">
        <w:rPr>
          <w:rFonts w:ascii="Times New Roman" w:hAnsi="Times New Roman" w:cs="Times New Roman"/>
        </w:rPr>
        <w:t xml:space="preserve">de l’argent pour se financer, les </w:t>
      </w:r>
      <w:r w:rsidR="007C57EF" w:rsidRPr="00E72418">
        <w:rPr>
          <w:rFonts w:ascii="Times New Roman" w:hAnsi="Times New Roman" w:cs="Times New Roman"/>
          <w:lang w:eastAsia="fr-BE"/>
        </w:rPr>
        <w:t>É</w:t>
      </w:r>
      <w:r w:rsidR="007C57EF" w:rsidRPr="00E72418">
        <w:rPr>
          <w:rFonts w:ascii="Times New Roman" w:hAnsi="Times New Roman" w:cs="Times New Roman"/>
        </w:rPr>
        <w:t>tats sont enclins à rembourser leurs dettes afin de préserver leur réputation</w:t>
      </w:r>
      <w:r w:rsidR="007C57EF" w:rsidRPr="00E72418">
        <w:rPr>
          <w:rStyle w:val="Appelnotedebasdep"/>
          <w:rFonts w:ascii="Times New Roman" w:hAnsi="Times New Roman" w:cs="Times New Roman"/>
        </w:rPr>
        <w:footnoteReference w:id="130"/>
      </w:r>
      <w:r w:rsidR="006A6687" w:rsidRPr="00E72418">
        <w:rPr>
          <w:rFonts w:ascii="Times New Roman" w:hAnsi="Times New Roman" w:cs="Times New Roman"/>
          <w:vertAlign w:val="superscript"/>
        </w:rPr>
        <w:t>,</w:t>
      </w:r>
      <w:r w:rsidR="007C57EF" w:rsidRPr="00E72418">
        <w:rPr>
          <w:rStyle w:val="Appelnotedebasdep"/>
          <w:rFonts w:ascii="Times New Roman" w:hAnsi="Times New Roman" w:cs="Times New Roman"/>
          <w:szCs w:val="24"/>
        </w:rPr>
        <w:footnoteReference w:id="131"/>
      </w:r>
      <w:r w:rsidR="00C75FBE" w:rsidRPr="00E72418">
        <w:rPr>
          <w:rFonts w:ascii="Times New Roman" w:hAnsi="Times New Roman" w:cs="Times New Roman"/>
          <w:szCs w:val="24"/>
        </w:rPr>
        <w:t xml:space="preserve">. </w:t>
      </w:r>
      <w:r w:rsidR="007C57EF" w:rsidRPr="00E72418">
        <w:rPr>
          <w:rFonts w:ascii="Times New Roman" w:hAnsi="Times New Roman" w:cs="Times New Roman"/>
        </w:rPr>
        <w:t xml:space="preserve">Si l’argument de la réputation se comprend aisément quand on sait l’importance pour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de l’accès aux marchés financiers, celui-ci est parfois nuancé. Ainsi, il est à constater que les créanciers continuent </w:t>
      </w:r>
      <w:r w:rsidR="00C75FBE" w:rsidRPr="00E72418">
        <w:rPr>
          <w:rFonts w:ascii="Times New Roman" w:hAnsi="Times New Roman" w:cs="Times New Roman"/>
        </w:rPr>
        <w:t xml:space="preserve">souvent </w:t>
      </w:r>
      <w:r w:rsidR="007C57EF" w:rsidRPr="00E72418">
        <w:rPr>
          <w:rFonts w:ascii="Times New Roman" w:hAnsi="Times New Roman" w:cs="Times New Roman"/>
        </w:rPr>
        <w:t xml:space="preserve">à fournir d’importants capitaux aux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malgré </w:t>
      </w:r>
      <w:r w:rsidR="00C75FBE" w:rsidRPr="00E72418">
        <w:rPr>
          <w:rFonts w:ascii="Times New Roman" w:hAnsi="Times New Roman" w:cs="Times New Roman"/>
        </w:rPr>
        <w:t>les</w:t>
      </w:r>
      <w:r w:rsidR="006F5D81" w:rsidRPr="00E72418">
        <w:rPr>
          <w:rFonts w:ascii="Times New Roman" w:hAnsi="Times New Roman" w:cs="Times New Roman"/>
        </w:rPr>
        <w:t xml:space="preserve"> défauts. De ce constat, Faisal Ahmed </w:t>
      </w:r>
      <w:r w:rsidR="006F5D81" w:rsidRPr="00E72418">
        <w:rPr>
          <w:rFonts w:ascii="Times New Roman" w:hAnsi="Times New Roman" w:cs="Times New Roman"/>
          <w:i/>
        </w:rPr>
        <w:t>et al.</w:t>
      </w:r>
      <w:r w:rsidR="007C57EF" w:rsidRPr="00E72418">
        <w:rPr>
          <w:rFonts w:ascii="Times New Roman" w:hAnsi="Times New Roman" w:cs="Times New Roman"/>
        </w:rPr>
        <w:t xml:space="preserve"> concluent que l’affirmation selon laquelle « markets have short memories » est pratiquement un truisme en matière d’investis</w:t>
      </w:r>
      <w:r w:rsidR="0004079A" w:rsidRPr="00E72418">
        <w:rPr>
          <w:rFonts w:ascii="Times New Roman" w:hAnsi="Times New Roman" w:cs="Times New Roman"/>
        </w:rPr>
        <w:t>sement, les auteurs relevant qu’</w:t>
      </w:r>
      <w:r w:rsidR="007C57EF" w:rsidRPr="00E72418">
        <w:rPr>
          <w:rFonts w:ascii="Times New Roman" w:hAnsi="Times New Roman" w:cs="Times New Roman"/>
        </w:rPr>
        <w:t xml:space="preserve"> « [i]nvestors do not deny credit to governments with a history of default, and the interest-rate penalties that do arise are not very large »</w:t>
      </w:r>
      <w:r w:rsidR="007C57EF" w:rsidRPr="00E72418">
        <w:rPr>
          <w:rStyle w:val="Appelnotedebasdep"/>
          <w:rFonts w:ascii="Times New Roman" w:hAnsi="Times New Roman" w:cs="Times New Roman"/>
          <w:szCs w:val="24"/>
        </w:rPr>
        <w:footnoteReference w:id="132"/>
      </w:r>
      <w:r w:rsidR="006A6687" w:rsidRPr="00E72418">
        <w:rPr>
          <w:rFonts w:ascii="Times New Roman" w:hAnsi="Times New Roman" w:cs="Times New Roman"/>
          <w:vertAlign w:val="superscript"/>
        </w:rPr>
        <w:t>,</w:t>
      </w:r>
      <w:r w:rsidR="00C75FBE" w:rsidRPr="00E72418">
        <w:rPr>
          <w:rStyle w:val="Appelnotedebasdep"/>
          <w:rFonts w:ascii="Times New Roman" w:hAnsi="Times New Roman" w:cs="Times New Roman"/>
        </w:rPr>
        <w:footnoteReference w:id="133"/>
      </w:r>
      <w:r w:rsidR="007C57EF" w:rsidRPr="00E72418">
        <w:rPr>
          <w:rFonts w:ascii="Times New Roman" w:hAnsi="Times New Roman" w:cs="Times New Roman"/>
        </w:rPr>
        <w:t>.</w:t>
      </w:r>
      <w:r w:rsidR="00C75FBE" w:rsidRPr="00E72418">
        <w:rPr>
          <w:rFonts w:ascii="Times New Roman" w:hAnsi="Times New Roman" w:cs="Times New Roman"/>
          <w:szCs w:val="24"/>
        </w:rPr>
        <w:t xml:space="preserve"> </w:t>
      </w:r>
      <w:r w:rsidR="007C57EF" w:rsidRPr="00E72418">
        <w:rPr>
          <w:rFonts w:ascii="Times New Roman" w:hAnsi="Times New Roman" w:cs="Times New Roman"/>
        </w:rPr>
        <w:t>Bien que l’argument de la réputation agissant comme un mécanisme majeur de contrôle des débiteurs souverains apparaî</w:t>
      </w:r>
      <w:r w:rsidR="00C75FBE" w:rsidRPr="00E72418">
        <w:rPr>
          <w:rFonts w:ascii="Times New Roman" w:hAnsi="Times New Roman" w:cs="Times New Roman"/>
        </w:rPr>
        <w:t>t comme pouvant être relativisé</w:t>
      </w:r>
      <w:r w:rsidR="007C57EF" w:rsidRPr="00E72418">
        <w:rPr>
          <w:rFonts w:ascii="Times New Roman" w:hAnsi="Times New Roman" w:cs="Times New Roman"/>
        </w:rPr>
        <w:t>, on ne saurait toutefois retenir que l’</w:t>
      </w:r>
      <w:r w:rsidR="007C57EF" w:rsidRPr="00E72418">
        <w:rPr>
          <w:rFonts w:ascii="Times New Roman" w:hAnsi="Times New Roman" w:cs="Times New Roman"/>
          <w:lang w:eastAsia="fr-BE"/>
        </w:rPr>
        <w:t>É</w:t>
      </w:r>
      <w:r w:rsidR="007C57EF" w:rsidRPr="00E72418">
        <w:rPr>
          <w:rFonts w:ascii="Times New Roman" w:hAnsi="Times New Roman" w:cs="Times New Roman"/>
        </w:rPr>
        <w:t>tat est indifférent à sa réputation, ni qu’elle n’aurait aucune influence sur son comportement.</w:t>
      </w:r>
    </w:p>
    <w:p w14:paraId="63B11C02" w14:textId="77777777" w:rsidR="007C57EF" w:rsidRPr="00E72418" w:rsidRDefault="007C57EF" w:rsidP="00423B60"/>
    <w:p w14:paraId="1C8C5AA9" w14:textId="44369B9F" w:rsidR="007C57EF" w:rsidRPr="00E72418" w:rsidRDefault="000764CE" w:rsidP="00CC4BA8">
      <w:pPr>
        <w:pStyle w:val="CC"/>
        <w:spacing w:line="276" w:lineRule="auto"/>
      </w:pPr>
      <w:bookmarkStart w:id="27" w:name="_Toc59280874"/>
      <w:bookmarkStart w:id="28" w:name="_Toc75106056"/>
      <w:bookmarkStart w:id="29" w:name="_Toc84540865"/>
      <w:r w:rsidRPr="00E72418">
        <w:t xml:space="preserve">Chapitre </w:t>
      </w:r>
      <w:r w:rsidR="003C32DE" w:rsidRPr="00E72418">
        <w:t xml:space="preserve">5 : </w:t>
      </w:r>
      <w:r w:rsidR="007C57EF" w:rsidRPr="00E72418">
        <w:t>Le marché secondaire</w:t>
      </w:r>
      <w:bookmarkEnd w:id="27"/>
      <w:bookmarkEnd w:id="28"/>
      <w:bookmarkEnd w:id="29"/>
    </w:p>
    <w:p w14:paraId="4F7EC861" w14:textId="77777777" w:rsidR="007C57EF" w:rsidRPr="00E72418" w:rsidRDefault="007C57EF" w:rsidP="00423B60"/>
    <w:p w14:paraId="5AD009A1" w14:textId="37FA95B5" w:rsidR="000E3653" w:rsidRPr="00E72418" w:rsidRDefault="007F038F" w:rsidP="00CC4BA8">
      <w:pPr>
        <w:spacing w:line="276" w:lineRule="auto"/>
      </w:pPr>
      <w:r w:rsidRPr="00E72418">
        <w:rPr>
          <w:rFonts w:ascii="Times New Roman" w:hAnsi="Times New Roman" w:cs="Times New Roman"/>
          <w:b/>
        </w:rPr>
        <w:t>29</w:t>
      </w:r>
      <w:r w:rsidR="007E31CD" w:rsidRPr="00E72418">
        <w:rPr>
          <w:rFonts w:ascii="Times New Roman" w:hAnsi="Times New Roman" w:cs="Times New Roman"/>
          <w:b/>
        </w:rPr>
        <w:t xml:space="preserve">. </w:t>
      </w:r>
      <w:r w:rsidR="000E3653" w:rsidRPr="00E72418">
        <w:rPr>
          <w:rFonts w:ascii="Times New Roman" w:hAnsi="Times New Roman" w:cs="Times New Roman"/>
          <w:b/>
        </w:rPr>
        <w:t xml:space="preserve">L’émission originaire – </w:t>
      </w:r>
      <w:r w:rsidR="000E3653" w:rsidRPr="00E72418">
        <w:t>L’emprunt obligataire au cœur de notre thématique de recherche passe par l’émission d’obligations laquelle se fonde sur un contrat d’émission</w:t>
      </w:r>
      <w:r w:rsidR="00C55E19" w:rsidRPr="00E72418">
        <w:t xml:space="preserve">. Le titre émis </w:t>
      </w:r>
      <w:r w:rsidR="000E3653" w:rsidRPr="00E72418">
        <w:t xml:space="preserve"> </w:t>
      </w:r>
      <w:r w:rsidR="00C55E19" w:rsidRPr="00E72418">
        <w:lastRenderedPageBreak/>
        <w:t>précise le prix d’émission, l’intérêt, la périodicité et les modalités de remboursement</w:t>
      </w:r>
      <w:r w:rsidR="000E3653" w:rsidRPr="00E72418">
        <w:rPr>
          <w:rStyle w:val="Appelnotedebasdep"/>
        </w:rPr>
        <w:footnoteReference w:id="134"/>
      </w:r>
      <w:r w:rsidR="000E3653" w:rsidRPr="00E72418">
        <w:t xml:space="preserve">. L’émission peut intervenir </w:t>
      </w:r>
      <w:r w:rsidR="00E94ED6" w:rsidRPr="00E72418">
        <w:t>par adjudication ou par syndication</w:t>
      </w:r>
      <w:r w:rsidR="000E3653" w:rsidRPr="00E72418">
        <w:t xml:space="preserve">. </w:t>
      </w:r>
      <w:r w:rsidR="00E94ED6" w:rsidRPr="00E72418">
        <w:t>Dans le p</w:t>
      </w:r>
      <w:r w:rsidR="00E52089" w:rsidRPr="00E72418">
        <w:t>re</w:t>
      </w:r>
      <w:r w:rsidR="00E94ED6" w:rsidRPr="00E72418">
        <w:t xml:space="preserve">mier cas, souvent utilisé </w:t>
      </w:r>
      <w:r w:rsidR="0067312A" w:rsidRPr="00E72418">
        <w:t xml:space="preserve">par les </w:t>
      </w:r>
      <w:r w:rsidR="0067312A" w:rsidRPr="00E72418">
        <w:rPr>
          <w:rFonts w:cs="Times New Roman"/>
          <w:szCs w:val="24"/>
        </w:rPr>
        <w:t>É</w:t>
      </w:r>
      <w:r w:rsidR="00E94ED6" w:rsidRPr="00E72418">
        <w:t>tats pour émettre dans leur propre monnaie, les obligations sont directement acquises par les investisseurs tandis que d</w:t>
      </w:r>
      <w:r w:rsidR="000E3653" w:rsidRPr="00E72418">
        <w:t xml:space="preserve">ans le </w:t>
      </w:r>
      <w:r w:rsidR="00E94ED6" w:rsidRPr="00E72418">
        <w:t>second</w:t>
      </w:r>
      <w:r w:rsidR="000E3653" w:rsidRPr="00E72418">
        <w:t xml:space="preserve"> cas, souvent utilisé pour émettre dans une monnaie étrangère, </w:t>
      </w:r>
      <w:r w:rsidR="00E94ED6" w:rsidRPr="00E72418">
        <w:t>des banques regroupées en syndicat font l’acquisition des obligations auprès de l’</w:t>
      </w:r>
      <w:r w:rsidR="00FC4E03" w:rsidRPr="00E72418">
        <w:rPr>
          <w:rFonts w:ascii="Times New Roman" w:hAnsi="Times New Roman" w:cs="Times New Roman"/>
          <w:lang w:eastAsia="fr-BE"/>
        </w:rPr>
        <w:t>É</w:t>
      </w:r>
      <w:r w:rsidR="00E94ED6" w:rsidRPr="00E72418">
        <w:t>tat qu’elles mettent ensuite à disposition sur le marché</w:t>
      </w:r>
      <w:r w:rsidR="00E94ED6" w:rsidRPr="00E72418">
        <w:rPr>
          <w:rStyle w:val="Appelnotedebasdep"/>
        </w:rPr>
        <w:footnoteReference w:id="135"/>
      </w:r>
      <w:r w:rsidR="00E94ED6" w:rsidRPr="00E72418">
        <w:t>.</w:t>
      </w:r>
    </w:p>
    <w:p w14:paraId="5BBB1EBD" w14:textId="149C9769" w:rsidR="007E3758" w:rsidRPr="00E72418" w:rsidRDefault="007E3758" w:rsidP="00CC4BA8">
      <w:pPr>
        <w:spacing w:line="276" w:lineRule="auto"/>
        <w:rPr>
          <w:rFonts w:ascii="Times New Roman" w:hAnsi="Times New Roman" w:cs="Times New Roman"/>
          <w:b/>
        </w:rPr>
      </w:pPr>
      <w:r w:rsidRPr="00E72418">
        <w:t>La plupart des émissions intervenant sur les marc</w:t>
      </w:r>
      <w:r w:rsidR="00FE53F2" w:rsidRPr="00E72418">
        <w:t>hés internationaux mobilise</w:t>
      </w:r>
      <w:r w:rsidR="006943B0" w:rsidRPr="00E72418">
        <w:t>nt</w:t>
      </w:r>
      <w:r w:rsidR="00FE53F2" w:rsidRPr="00E72418">
        <w:t xml:space="preserve"> un </w:t>
      </w:r>
      <w:r w:rsidR="00FE53F2" w:rsidRPr="00E72418">
        <w:rPr>
          <w:i/>
        </w:rPr>
        <w:t>fiscal agent</w:t>
      </w:r>
      <w:r w:rsidR="00FE53F2" w:rsidRPr="00E72418">
        <w:t xml:space="preserve"> ou un </w:t>
      </w:r>
      <w:r w:rsidR="00FE53F2" w:rsidRPr="00E72418">
        <w:rPr>
          <w:i/>
        </w:rPr>
        <w:t>trustee</w:t>
      </w:r>
      <w:r w:rsidR="00FE53F2" w:rsidRPr="00E72418">
        <w:t>, le premier étant un agent du débiteur souverain, le second représentant les obligataires</w:t>
      </w:r>
      <w:r w:rsidR="00FE53F2" w:rsidRPr="00E72418">
        <w:rPr>
          <w:rStyle w:val="Appelnotedebasdep"/>
        </w:rPr>
        <w:footnoteReference w:id="136"/>
      </w:r>
      <w:r w:rsidR="00FE53F2" w:rsidRPr="00E72418">
        <w:t xml:space="preserve">. </w:t>
      </w:r>
      <w:r w:rsidR="002D7E78" w:rsidRPr="00E72418">
        <w:t>À</w:t>
      </w:r>
      <w:r w:rsidR="00FE53F2" w:rsidRPr="00E72418">
        <w:t xml:space="preserve"> la différence de l’agent fiscal </w:t>
      </w:r>
      <w:r w:rsidR="0066452C" w:rsidRPr="00E72418">
        <w:t>qui n’intervient qu’administrativement pour aider l’emprunteur souverain dans la gestion de son émission, l’administrateur fiduciaire est amené à exercer les droits des obligataires qu’il représente</w:t>
      </w:r>
      <w:r w:rsidR="0066452C" w:rsidRPr="00E72418">
        <w:rPr>
          <w:rStyle w:val="Appelnotedebasdep"/>
        </w:rPr>
        <w:footnoteReference w:id="137"/>
      </w:r>
      <w:r w:rsidR="0066452C" w:rsidRPr="00E72418">
        <w:t>.</w:t>
      </w:r>
    </w:p>
    <w:p w14:paraId="0DD080A1" w14:textId="77777777" w:rsidR="000E3653" w:rsidRPr="00E72418" w:rsidRDefault="000E3653" w:rsidP="00423B60"/>
    <w:p w14:paraId="4DDA19EA" w14:textId="2325F8DD"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30</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Des titres cessibles – </w:t>
      </w:r>
      <w:r w:rsidR="007C57EF" w:rsidRPr="00E72418">
        <w:rPr>
          <w:rFonts w:ascii="Times New Roman" w:hAnsi="Times New Roman" w:cs="Times New Roman"/>
        </w:rPr>
        <w:t xml:space="preserve">Si l’émission de dettes souveraines, généralement sous la forme d’obligations, est un pan essentiel des marchés financiers, le caractère cessible de celles-ci </w:t>
      </w:r>
      <w:r w:rsidR="00C75FBE" w:rsidRPr="00E72418">
        <w:rPr>
          <w:rFonts w:ascii="Times New Roman" w:hAnsi="Times New Roman" w:cs="Times New Roman"/>
        </w:rPr>
        <w:t xml:space="preserve">en </w:t>
      </w:r>
      <w:r w:rsidR="007C57EF" w:rsidRPr="00E72418">
        <w:rPr>
          <w:rFonts w:ascii="Times New Roman" w:hAnsi="Times New Roman" w:cs="Times New Roman"/>
        </w:rPr>
        <w:t>rend le marché secondaire tout aussi important faisant dire à certains qu’</w:t>
      </w:r>
      <w:r w:rsidR="009950CC" w:rsidRPr="00E72418">
        <w:rPr>
          <w:rFonts w:ascii="Times New Roman" w:hAnsi="Times New Roman" w:cs="Times New Roman"/>
        </w:rPr>
        <w:t xml:space="preserve"> </w:t>
      </w:r>
      <w:r w:rsidR="007C57EF" w:rsidRPr="00E72418">
        <w:rPr>
          <w:rFonts w:ascii="Times New Roman" w:hAnsi="Times New Roman" w:cs="Times New Roman"/>
        </w:rPr>
        <w:t>« [a] secondary market for debt is a fundamental feature of sovereign borrowing and lending »</w:t>
      </w:r>
      <w:r w:rsidR="007C57EF" w:rsidRPr="00E72418">
        <w:rPr>
          <w:rStyle w:val="Appelnotedebasdep"/>
          <w:rFonts w:ascii="Times New Roman" w:hAnsi="Times New Roman" w:cs="Times New Roman"/>
        </w:rPr>
        <w:footnoteReference w:id="138"/>
      </w:r>
      <w:r w:rsidR="007C57EF" w:rsidRPr="00E72418">
        <w:rPr>
          <w:rFonts w:ascii="Times New Roman" w:hAnsi="Times New Roman" w:cs="Times New Roman"/>
        </w:rPr>
        <w:t>.</w:t>
      </w:r>
    </w:p>
    <w:p w14:paraId="4320F655" w14:textId="53B7FE7C" w:rsidR="008D678B"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La naissance du marché secondaire de la dette souveraine fit précisément suite à la crise sud-américaine du siècle passé lors de laquelle certains créanciers tentèrent de réduire leur perte en vendant à prix réduit les dettes qu’ils détenaient plutôt qu’en attendant la résolution des difficultés</w:t>
      </w:r>
      <w:r w:rsidRPr="00E72418">
        <w:rPr>
          <w:rStyle w:val="Appelnotedebasdep"/>
          <w:rFonts w:ascii="Times New Roman" w:hAnsi="Times New Roman" w:cs="Times New Roman"/>
        </w:rPr>
        <w:footnoteReference w:id="139"/>
      </w:r>
      <w:r w:rsidRPr="00E72418">
        <w:rPr>
          <w:rFonts w:ascii="Times New Roman" w:hAnsi="Times New Roman" w:cs="Times New Roman"/>
        </w:rPr>
        <w:t xml:space="preserve">. Le plan </w:t>
      </w:r>
      <w:r w:rsidRPr="00E72418">
        <w:rPr>
          <w:rFonts w:ascii="Times New Roman" w:hAnsi="Times New Roman" w:cs="Times New Roman"/>
          <w:i/>
        </w:rPr>
        <w:t>Brady</w:t>
      </w:r>
      <w:r w:rsidRPr="00E72418">
        <w:rPr>
          <w:rFonts w:ascii="Times New Roman" w:hAnsi="Times New Roman" w:cs="Times New Roman"/>
        </w:rPr>
        <w:t xml:space="preserve"> qui permit la conversion des emprunts souverains en obligat</w:t>
      </w:r>
      <w:r w:rsidR="00CC422B" w:rsidRPr="00E72418">
        <w:rPr>
          <w:rFonts w:ascii="Times New Roman" w:hAnsi="Times New Roman" w:cs="Times New Roman"/>
        </w:rPr>
        <w:t>ions librement échangeables accélé</w:t>
      </w:r>
      <w:r w:rsidRPr="00E72418">
        <w:rPr>
          <w:rFonts w:ascii="Times New Roman" w:hAnsi="Times New Roman" w:cs="Times New Roman"/>
        </w:rPr>
        <w:t>ra naturellement la croissance de ce marché</w:t>
      </w:r>
      <w:r w:rsidRPr="00E72418">
        <w:rPr>
          <w:rStyle w:val="Appelnotedebasdep"/>
          <w:rFonts w:ascii="Times New Roman" w:hAnsi="Times New Roman" w:cs="Times New Roman"/>
        </w:rPr>
        <w:footnoteReference w:id="140"/>
      </w:r>
      <w:r w:rsidRPr="00E72418">
        <w:rPr>
          <w:rFonts w:ascii="Times New Roman" w:hAnsi="Times New Roman" w:cs="Times New Roman"/>
        </w:rPr>
        <w:t xml:space="preserve">. </w:t>
      </w:r>
      <w:r w:rsidR="008D678B" w:rsidRPr="00E72418">
        <w:rPr>
          <w:rFonts w:ascii="Times New Roman" w:hAnsi="Times New Roman" w:cs="Times New Roman"/>
        </w:rPr>
        <w:t>Ce</w:t>
      </w:r>
      <w:r w:rsidRPr="00E72418">
        <w:rPr>
          <w:rFonts w:ascii="Times New Roman" w:hAnsi="Times New Roman" w:cs="Times New Roman"/>
        </w:rPr>
        <w:t xml:space="preserve"> changement de l</w:t>
      </w:r>
      <w:r w:rsidR="008D678B" w:rsidRPr="00E72418">
        <w:rPr>
          <w:rFonts w:ascii="Times New Roman" w:hAnsi="Times New Roman" w:cs="Times New Roman"/>
        </w:rPr>
        <w:t>a forme du financement étatique</w:t>
      </w:r>
      <w:r w:rsidRPr="00E72418">
        <w:rPr>
          <w:rFonts w:ascii="Times New Roman" w:hAnsi="Times New Roman" w:cs="Times New Roman"/>
        </w:rPr>
        <w:t xml:space="preserve"> </w:t>
      </w:r>
      <w:r w:rsidR="008D678B" w:rsidRPr="00E72418">
        <w:rPr>
          <w:rFonts w:ascii="Times New Roman" w:hAnsi="Times New Roman" w:cs="Times New Roman"/>
        </w:rPr>
        <w:t>fit évoluer</w:t>
      </w:r>
      <w:r w:rsidRPr="00E72418">
        <w:rPr>
          <w:rFonts w:ascii="Times New Roman" w:hAnsi="Times New Roman" w:cs="Times New Roman"/>
        </w:rPr>
        <w:t xml:space="preserve"> la dette souveraine en un produit pouvant être encaissé comme tout autre instrument financier</w:t>
      </w:r>
      <w:r w:rsidRPr="00E72418">
        <w:rPr>
          <w:rStyle w:val="Appelnotedebasdep"/>
          <w:rFonts w:ascii="Times New Roman" w:hAnsi="Times New Roman" w:cs="Times New Roman"/>
        </w:rPr>
        <w:footnoteReference w:id="141"/>
      </w:r>
      <w:r w:rsidRPr="00E72418">
        <w:rPr>
          <w:rFonts w:ascii="Times New Roman" w:hAnsi="Times New Roman" w:cs="Times New Roman"/>
        </w:rPr>
        <w:t xml:space="preserve">. </w:t>
      </w:r>
      <w:r w:rsidR="008D678B" w:rsidRPr="00E72418">
        <w:rPr>
          <w:rFonts w:ascii="Times New Roman" w:hAnsi="Times New Roman" w:cs="Times New Roman"/>
        </w:rPr>
        <w:t>D’autre part,</w:t>
      </w:r>
      <w:r w:rsidRPr="00E72418">
        <w:rPr>
          <w:rFonts w:ascii="Times New Roman" w:hAnsi="Times New Roman" w:cs="Times New Roman"/>
        </w:rPr>
        <w:t xml:space="preserve"> la dématérialisation de nombreux titres les rendant commercialisables via des plateformes électroniques </w:t>
      </w:r>
      <w:r w:rsidR="008D678B" w:rsidRPr="00E72418">
        <w:rPr>
          <w:rFonts w:ascii="Times New Roman" w:hAnsi="Times New Roman" w:cs="Times New Roman"/>
        </w:rPr>
        <w:t>participa également</w:t>
      </w:r>
      <w:r w:rsidRPr="00E72418">
        <w:rPr>
          <w:rFonts w:ascii="Times New Roman" w:hAnsi="Times New Roman" w:cs="Times New Roman"/>
        </w:rPr>
        <w:t xml:space="preserve"> au développement du marché secondaire</w:t>
      </w:r>
      <w:r w:rsidRPr="00E72418">
        <w:rPr>
          <w:rStyle w:val="Appelnotedebasdep"/>
          <w:rFonts w:ascii="Times New Roman" w:hAnsi="Times New Roman" w:cs="Times New Roman"/>
        </w:rPr>
        <w:footnoteReference w:id="142"/>
      </w:r>
      <w:r w:rsidRPr="00E72418">
        <w:rPr>
          <w:rFonts w:ascii="Times New Roman" w:hAnsi="Times New Roman" w:cs="Times New Roman"/>
        </w:rPr>
        <w:t xml:space="preserve">. </w:t>
      </w:r>
    </w:p>
    <w:p w14:paraId="6296E9ED" w14:textId="77777777" w:rsidR="007C57EF" w:rsidRPr="00E72418" w:rsidRDefault="007C57EF" w:rsidP="00423B60"/>
    <w:p w14:paraId="52991B23" w14:textId="12D7EC67"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31</w:t>
      </w:r>
      <w:r w:rsidR="007E31CD" w:rsidRPr="00E72418">
        <w:rPr>
          <w:rFonts w:ascii="Times New Roman" w:hAnsi="Times New Roman" w:cs="Times New Roman"/>
          <w:b/>
        </w:rPr>
        <w:t xml:space="preserve">. </w:t>
      </w:r>
      <w:r w:rsidR="007C57EF" w:rsidRPr="00E72418">
        <w:rPr>
          <w:rFonts w:ascii="Times New Roman" w:hAnsi="Times New Roman" w:cs="Times New Roman"/>
          <w:b/>
        </w:rPr>
        <w:t>L’utilité –</w:t>
      </w:r>
      <w:r w:rsidR="007C57EF" w:rsidRPr="00E72418">
        <w:rPr>
          <w:rFonts w:ascii="Times New Roman" w:hAnsi="Times New Roman" w:cs="Times New Roman"/>
        </w:rPr>
        <w:t xml:space="preserve"> Le marché secondaire de la dette étatique permet à des créanciers souhaitant se délester de leurs créances détenues à l’encontre d’</w:t>
      </w:r>
      <w:r w:rsidR="007C57EF" w:rsidRPr="00E72418">
        <w:rPr>
          <w:rFonts w:ascii="Times New Roman" w:hAnsi="Times New Roman" w:cs="Times New Roman"/>
          <w:lang w:eastAsia="fr-BE"/>
        </w:rPr>
        <w:t>É</w:t>
      </w:r>
      <w:r w:rsidR="007C57EF" w:rsidRPr="00E72418">
        <w:rPr>
          <w:rFonts w:ascii="Times New Roman" w:hAnsi="Times New Roman" w:cs="Times New Roman"/>
        </w:rPr>
        <w:t>tats de le faire en les cédant à d’autres</w:t>
      </w:r>
      <w:r w:rsidR="00977CD7" w:rsidRPr="00E72418">
        <w:rPr>
          <w:rFonts w:ascii="Times New Roman" w:hAnsi="Times New Roman" w:cs="Times New Roman"/>
        </w:rPr>
        <w:t>, assurant ainsi leur liquidité</w:t>
      </w:r>
      <w:r w:rsidR="009B3FBC" w:rsidRPr="00E72418">
        <w:rPr>
          <w:rStyle w:val="Appelnotedebasdep"/>
          <w:rFonts w:ascii="Times New Roman" w:hAnsi="Times New Roman" w:cs="Times New Roman"/>
        </w:rPr>
        <w:footnoteReference w:id="143"/>
      </w:r>
      <w:r w:rsidR="007C57EF" w:rsidRPr="00E72418">
        <w:rPr>
          <w:rFonts w:ascii="Times New Roman" w:hAnsi="Times New Roman" w:cs="Times New Roman"/>
        </w:rPr>
        <w:t>.</w:t>
      </w:r>
      <w:r w:rsidR="00977CD7" w:rsidRPr="00E72418">
        <w:rPr>
          <w:rFonts w:ascii="Times New Roman" w:hAnsi="Times New Roman" w:cs="Times New Roman"/>
        </w:rPr>
        <w:t xml:space="preserve"> </w:t>
      </w:r>
      <w:r w:rsidR="007C57EF" w:rsidRPr="00E72418">
        <w:rPr>
          <w:rFonts w:ascii="Times New Roman" w:hAnsi="Times New Roman" w:cs="Times New Roman"/>
        </w:rPr>
        <w:t xml:space="preserve">Même s’il ne leur est pas réservé, l’on constate que le marché </w:t>
      </w:r>
      <w:r w:rsidR="007C57EF" w:rsidRPr="00E72418">
        <w:rPr>
          <w:rFonts w:ascii="Times New Roman" w:hAnsi="Times New Roman" w:cs="Times New Roman"/>
        </w:rPr>
        <w:lastRenderedPageBreak/>
        <w:t xml:space="preserve">secondaire de la dette sert </w:t>
      </w:r>
      <w:r w:rsidR="0030147D">
        <w:rPr>
          <w:rFonts w:ascii="Times New Roman" w:hAnsi="Times New Roman" w:cs="Times New Roman"/>
        </w:rPr>
        <w:t>souvent</w:t>
      </w:r>
      <w:r w:rsidR="007C57EF" w:rsidRPr="00E72418">
        <w:rPr>
          <w:rFonts w:ascii="Times New Roman" w:hAnsi="Times New Roman" w:cs="Times New Roman"/>
        </w:rPr>
        <w:t xml:space="preserve"> de lieu de vente de titres matérialisant </w:t>
      </w:r>
      <w:r w:rsidR="00961046" w:rsidRPr="00E72418">
        <w:rPr>
          <w:rFonts w:ascii="Times New Roman" w:hAnsi="Times New Roman" w:cs="Times New Roman"/>
        </w:rPr>
        <w:t>des</w:t>
      </w:r>
      <w:r w:rsidR="007C57EF" w:rsidRPr="00E72418">
        <w:rPr>
          <w:rFonts w:ascii="Times New Roman" w:hAnsi="Times New Roman" w:cs="Times New Roman"/>
        </w:rPr>
        <w:t xml:space="preserve"> dette</w:t>
      </w:r>
      <w:r w:rsidR="00961046" w:rsidRPr="00E72418">
        <w:rPr>
          <w:rFonts w:ascii="Times New Roman" w:hAnsi="Times New Roman" w:cs="Times New Roman"/>
        </w:rPr>
        <w:t>s</w:t>
      </w:r>
      <w:r w:rsidR="007C57EF" w:rsidRPr="00E72418">
        <w:rPr>
          <w:rFonts w:ascii="Times New Roman" w:hAnsi="Times New Roman" w:cs="Times New Roman"/>
        </w:rPr>
        <w:t xml:space="preserve"> en souffrance. </w:t>
      </w:r>
    </w:p>
    <w:p w14:paraId="56B2F916" w14:textId="77777777" w:rsidR="00FD0B82"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Les</w:t>
      </w:r>
      <w:r w:rsidRPr="00E72418">
        <w:rPr>
          <w:rFonts w:ascii="Times New Roman" w:hAnsi="Times New Roman" w:cs="Times New Roman"/>
          <w:b/>
        </w:rPr>
        <w:t xml:space="preserve"> </w:t>
      </w:r>
      <w:r w:rsidRPr="00E72418">
        <w:rPr>
          <w:rFonts w:ascii="Times New Roman" w:hAnsi="Times New Roman" w:cs="Times New Roman"/>
        </w:rPr>
        <w:t>investisseurs étant plus enclins à investir et à fournir des crédits quand un marché existe pour les dettes dont ils font ainsi l’acquisition, l’existence d’un marché secondaire pour les dettes d’</w:t>
      </w:r>
      <w:r w:rsidRPr="00E72418">
        <w:rPr>
          <w:rFonts w:ascii="Times New Roman" w:hAnsi="Times New Roman" w:cs="Times New Roman"/>
          <w:lang w:eastAsia="fr-BE"/>
        </w:rPr>
        <w:t>É</w:t>
      </w:r>
      <w:r w:rsidRPr="00E72418">
        <w:rPr>
          <w:rFonts w:ascii="Times New Roman" w:hAnsi="Times New Roman" w:cs="Times New Roman"/>
        </w:rPr>
        <w:t>tats leur est fort utile</w:t>
      </w:r>
      <w:r w:rsidRPr="00E72418">
        <w:rPr>
          <w:rStyle w:val="Appelnotedebasdep"/>
          <w:rFonts w:ascii="Times New Roman" w:hAnsi="Times New Roman" w:cs="Times New Roman"/>
        </w:rPr>
        <w:footnoteReference w:id="144"/>
      </w:r>
      <w:r w:rsidRPr="00E72418">
        <w:rPr>
          <w:rFonts w:ascii="Times New Roman" w:hAnsi="Times New Roman" w:cs="Times New Roman"/>
        </w:rPr>
        <w:t>.</w:t>
      </w:r>
      <w:r w:rsidRPr="00E72418">
        <w:rPr>
          <w:rFonts w:ascii="Times New Roman" w:hAnsi="Times New Roman" w:cs="Times New Roman"/>
          <w:b/>
        </w:rPr>
        <w:t xml:space="preserve"> </w:t>
      </w:r>
      <w:r w:rsidRPr="00E72418">
        <w:rPr>
          <w:rFonts w:ascii="Times New Roman" w:hAnsi="Times New Roman" w:cs="Times New Roman"/>
        </w:rPr>
        <w:t>Les acheteurs du marché secondaire de la dette permettent aux investisseurs de maintenir un niveau d’exposition au risque conforme à leurs obligations prudentielles ou à leur politique d’investissement</w:t>
      </w:r>
      <w:r w:rsidRPr="00E72418">
        <w:rPr>
          <w:rStyle w:val="Appelnotedebasdep"/>
          <w:rFonts w:ascii="Times New Roman" w:hAnsi="Times New Roman" w:cs="Times New Roman"/>
        </w:rPr>
        <w:footnoteReference w:id="145"/>
      </w:r>
      <w:r w:rsidRPr="00E72418">
        <w:rPr>
          <w:rFonts w:ascii="Times New Roman" w:hAnsi="Times New Roman" w:cs="Times New Roman"/>
        </w:rPr>
        <w:t xml:space="preserve">. </w:t>
      </w:r>
      <w:r w:rsidR="00961046" w:rsidRPr="00E72418">
        <w:rPr>
          <w:rFonts w:ascii="Times New Roman" w:hAnsi="Times New Roman" w:cs="Times New Roman"/>
        </w:rPr>
        <w:t>Vu l’importance de l’existence d’un tel marché pour les créanciers les rassurant au moment d’investir, c’est assez naturellement que les institutions financières en ont appuyé l’existence</w:t>
      </w:r>
      <w:r w:rsidR="00961046" w:rsidRPr="00E72418">
        <w:rPr>
          <w:rStyle w:val="Appelnotedebasdep"/>
          <w:rFonts w:ascii="Times New Roman" w:hAnsi="Times New Roman" w:cs="Times New Roman"/>
        </w:rPr>
        <w:footnoteReference w:id="146"/>
      </w:r>
      <w:r w:rsidR="00961046" w:rsidRPr="00E72418">
        <w:rPr>
          <w:rFonts w:ascii="Times New Roman" w:hAnsi="Times New Roman" w:cs="Times New Roman"/>
        </w:rPr>
        <w:t>.</w:t>
      </w:r>
      <w:r w:rsidR="00FD0B82" w:rsidRPr="00E72418">
        <w:rPr>
          <w:rFonts w:ascii="Times New Roman" w:hAnsi="Times New Roman" w:cs="Times New Roman"/>
        </w:rPr>
        <w:t xml:space="preserve"> </w:t>
      </w:r>
    </w:p>
    <w:p w14:paraId="2B0AA5FF" w14:textId="765A9B6D" w:rsidR="007C57EF" w:rsidRPr="00E72418" w:rsidRDefault="00FD0B82" w:rsidP="00CC4BA8">
      <w:pPr>
        <w:spacing w:line="276" w:lineRule="auto"/>
        <w:rPr>
          <w:rFonts w:ascii="Times New Roman" w:hAnsi="Times New Roman" w:cs="Times New Roman"/>
        </w:rPr>
      </w:pPr>
      <w:r w:rsidRPr="00E72418">
        <w:rPr>
          <w:rFonts w:ascii="Times New Roman" w:hAnsi="Times New Roman" w:cs="Times New Roman"/>
        </w:rPr>
        <w:t>La tendance des créanciers à vendre les dettes qu’ils détiennent sur le marché secondaire est généralement liée à l’idée qu’ils se font de la capacité de leur débiteur à les honorer. L’importance des difficultés rencontrées par l’</w:t>
      </w:r>
      <w:r w:rsidRPr="00E72418">
        <w:rPr>
          <w:rFonts w:ascii="Times New Roman" w:hAnsi="Times New Roman" w:cs="Times New Roman"/>
          <w:lang w:eastAsia="fr-BE"/>
        </w:rPr>
        <w:t>É</w:t>
      </w:r>
      <w:r w:rsidRPr="00E72418">
        <w:rPr>
          <w:rFonts w:ascii="Times New Roman" w:hAnsi="Times New Roman" w:cs="Times New Roman"/>
        </w:rPr>
        <w:t>tat débiteur aura également une influence sur la réduction de la valeur à laquelle seront vendus les titres sur le marché secondaire. Au plus sa situation sera difficile, au plus sera importante la différence entre la valeur faciale des titres et leur valeur sur le marché secondaire</w:t>
      </w:r>
      <w:r w:rsidR="008F13C8" w:rsidRPr="00E72418">
        <w:rPr>
          <w:rFonts w:ascii="Times New Roman" w:hAnsi="Times New Roman" w:cs="Times New Roman"/>
        </w:rPr>
        <w:t xml:space="preserve"> puisque, comme le note </w:t>
      </w:r>
      <w:r w:rsidR="005C18A8" w:rsidRPr="00E72418">
        <w:rPr>
          <w:rFonts w:ascii="Times New Roman" w:hAnsi="Times New Roman" w:cs="Times New Roman"/>
        </w:rPr>
        <w:t xml:space="preserve">Michael </w:t>
      </w:r>
      <w:r w:rsidR="008F13C8" w:rsidRPr="00E72418">
        <w:rPr>
          <w:rFonts w:ascii="Times New Roman" w:hAnsi="Times New Roman" w:cs="Times New Roman"/>
        </w:rPr>
        <w:t>Riegner, « </w:t>
      </w:r>
      <w:r w:rsidR="006549AB" w:rsidRPr="00E72418">
        <w:rPr>
          <w:szCs w:val="20"/>
          <w:lang w:val="en-US"/>
        </w:rPr>
        <w:t xml:space="preserve">[i]n economics, prices are considered to contain information about market expectations </w:t>
      </w:r>
      <w:r w:rsidR="008F13C8" w:rsidRPr="00E72418">
        <w:rPr>
          <w:rFonts w:ascii="Times New Roman" w:hAnsi="Times New Roman" w:cs="Times New Roman"/>
        </w:rPr>
        <w:t>»</w:t>
      </w:r>
      <w:r w:rsidR="008F13C8" w:rsidRPr="00E72418">
        <w:rPr>
          <w:rStyle w:val="Appelnotedebasdep"/>
          <w:rFonts w:ascii="Times New Roman" w:hAnsi="Times New Roman" w:cs="Times New Roman"/>
        </w:rPr>
        <w:footnoteReference w:id="147"/>
      </w:r>
      <w:r w:rsidRPr="00E72418">
        <w:rPr>
          <w:rFonts w:ascii="Times New Roman" w:hAnsi="Times New Roman" w:cs="Times New Roman"/>
        </w:rPr>
        <w:t>.</w:t>
      </w:r>
    </w:p>
    <w:p w14:paraId="528EFBC8" w14:textId="48E16398" w:rsidR="007C57EF" w:rsidRPr="00E72418" w:rsidRDefault="00B5648D" w:rsidP="00CC4BA8">
      <w:pPr>
        <w:spacing w:line="276" w:lineRule="auto"/>
        <w:rPr>
          <w:rFonts w:ascii="Times New Roman" w:hAnsi="Times New Roman" w:cs="Times New Roman"/>
        </w:rPr>
      </w:pPr>
      <w:r w:rsidRPr="00E72418">
        <w:t>À</w:t>
      </w:r>
      <w:r w:rsidR="007C57EF" w:rsidRPr="00E72418">
        <w:rPr>
          <w:rFonts w:ascii="Times New Roman" w:hAnsi="Times New Roman" w:cs="Times New Roman"/>
        </w:rPr>
        <w:t xml:space="preserve"> côté du souci de réduire au maximum les pertes liées à la situation de l’</w:t>
      </w:r>
      <w:r w:rsidR="007C57EF" w:rsidRPr="00E72418">
        <w:rPr>
          <w:rFonts w:ascii="Times New Roman" w:hAnsi="Times New Roman" w:cs="Times New Roman"/>
          <w:lang w:eastAsia="fr-BE"/>
        </w:rPr>
        <w:t>É</w:t>
      </w:r>
      <w:r w:rsidR="007C57EF" w:rsidRPr="00E72418">
        <w:rPr>
          <w:rFonts w:ascii="Times New Roman" w:hAnsi="Times New Roman" w:cs="Times New Roman"/>
        </w:rPr>
        <w:t>tat débiteur, c’est parfois l’argument du manque de moyens ou d’expertise pour s’engager dans des combats juridiques souvent longs et à l’issue incertaine qui conduit certains créanciers primaires à préférer vendre leurs créances sur le marché secondaire</w:t>
      </w:r>
      <w:r w:rsidR="007C57EF" w:rsidRPr="00E72418">
        <w:rPr>
          <w:rStyle w:val="Appelnotedebasdep"/>
          <w:rFonts w:ascii="Times New Roman" w:hAnsi="Times New Roman" w:cs="Times New Roman"/>
        </w:rPr>
        <w:footnoteReference w:id="148"/>
      </w:r>
      <w:r w:rsidR="007C57EF" w:rsidRPr="00E72418">
        <w:rPr>
          <w:rFonts w:ascii="Times New Roman" w:hAnsi="Times New Roman" w:cs="Times New Roman"/>
        </w:rPr>
        <w:t xml:space="preserve">. </w:t>
      </w:r>
      <w:r w:rsidR="00FD0B82" w:rsidRPr="00E72418">
        <w:rPr>
          <w:rFonts w:ascii="Times New Roman" w:hAnsi="Times New Roman" w:cs="Times New Roman"/>
        </w:rPr>
        <w:t>Par ailleurs, si les créanciers primaires</w:t>
      </w:r>
      <w:r w:rsidR="007C57EF" w:rsidRPr="00E72418">
        <w:rPr>
          <w:rFonts w:ascii="Times New Roman" w:hAnsi="Times New Roman" w:cs="Times New Roman"/>
        </w:rPr>
        <w:t xml:space="preserve"> sont en droit de réclamer </w:t>
      </w:r>
      <w:r w:rsidR="00FD0B82" w:rsidRPr="00E72418">
        <w:rPr>
          <w:rFonts w:ascii="Times New Roman" w:hAnsi="Times New Roman" w:cs="Times New Roman"/>
        </w:rPr>
        <w:t xml:space="preserve">que </w:t>
      </w:r>
      <w:r w:rsidR="007C57EF" w:rsidRPr="00E72418">
        <w:rPr>
          <w:rFonts w:ascii="Times New Roman" w:hAnsi="Times New Roman" w:cs="Times New Roman"/>
        </w:rPr>
        <w:t>leurs créances</w:t>
      </w:r>
      <w:r w:rsidR="00FD0B82" w:rsidRPr="00E72418">
        <w:rPr>
          <w:rFonts w:ascii="Times New Roman" w:hAnsi="Times New Roman" w:cs="Times New Roman"/>
        </w:rPr>
        <w:t xml:space="preserve"> soient honorées</w:t>
      </w:r>
      <w:r w:rsidR="007C57EF" w:rsidRPr="00E72418">
        <w:rPr>
          <w:rFonts w:ascii="Times New Roman" w:hAnsi="Times New Roman" w:cs="Times New Roman"/>
        </w:rPr>
        <w:t>, la mauvaise publicité que peut leur occasionner le fait de poursuivre l’</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 débiteur en difficulté financière peut les décourager </w:t>
      </w:r>
      <w:r w:rsidR="00FD0B82" w:rsidRPr="00E72418">
        <w:rPr>
          <w:rFonts w:ascii="Times New Roman" w:hAnsi="Times New Roman" w:cs="Times New Roman"/>
        </w:rPr>
        <w:t>à</w:t>
      </w:r>
      <w:r w:rsidR="007C57EF" w:rsidRPr="00E72418">
        <w:rPr>
          <w:rFonts w:ascii="Times New Roman" w:hAnsi="Times New Roman" w:cs="Times New Roman"/>
        </w:rPr>
        <w:t xml:space="preserve"> s’engager dans des poursuites et les conduire à préférer se libérer de ces créances en difficulté en les revendant sur le marché secondaire</w:t>
      </w:r>
      <w:r w:rsidR="007C57EF" w:rsidRPr="00E72418">
        <w:rPr>
          <w:rStyle w:val="Appelnotedebasdep"/>
          <w:rFonts w:ascii="Times New Roman" w:hAnsi="Times New Roman" w:cs="Times New Roman"/>
        </w:rPr>
        <w:footnoteReference w:id="149"/>
      </w:r>
      <w:r w:rsidR="007C57EF" w:rsidRPr="00E72418">
        <w:rPr>
          <w:rFonts w:ascii="Times New Roman" w:hAnsi="Times New Roman" w:cs="Times New Roman"/>
        </w:rPr>
        <w:t>. Cette tendance est s</w:t>
      </w:r>
      <w:r w:rsidR="00FD0B82" w:rsidRPr="00E72418">
        <w:rPr>
          <w:rFonts w:ascii="Times New Roman" w:hAnsi="Times New Roman" w:cs="Times New Roman"/>
        </w:rPr>
        <w:t xml:space="preserve">ans doute accrue </w:t>
      </w:r>
      <w:r w:rsidR="00F16DA9" w:rsidRPr="00E72418">
        <w:rPr>
          <w:rFonts w:ascii="Times New Roman" w:hAnsi="Times New Roman" w:cs="Times New Roman"/>
        </w:rPr>
        <w:lastRenderedPageBreak/>
        <w:t xml:space="preserve">en raison des </w:t>
      </w:r>
      <w:r w:rsidR="007C57EF" w:rsidRPr="00E72418">
        <w:rPr>
          <w:rFonts w:ascii="Times New Roman" w:hAnsi="Times New Roman" w:cs="Times New Roman"/>
        </w:rPr>
        <w:t>initiatives, telle</w:t>
      </w:r>
      <w:r w:rsidR="00622C2B" w:rsidRPr="00E72418">
        <w:rPr>
          <w:rFonts w:ascii="Times New Roman" w:hAnsi="Times New Roman" w:cs="Times New Roman"/>
        </w:rPr>
        <w:t>s que</w:t>
      </w:r>
      <w:r w:rsidR="007C57EF" w:rsidRPr="00E72418">
        <w:rPr>
          <w:rFonts w:ascii="Times New Roman" w:hAnsi="Times New Roman" w:cs="Times New Roman"/>
        </w:rPr>
        <w:t xml:space="preserve"> l’Initiative Pays Pauvres Très Endettés de la Banque mondiale et du Fonds monéta</w:t>
      </w:r>
      <w:r w:rsidR="00025DAE" w:rsidRPr="00E72418">
        <w:rPr>
          <w:rFonts w:ascii="Times New Roman" w:hAnsi="Times New Roman" w:cs="Times New Roman"/>
        </w:rPr>
        <w:t xml:space="preserve">ire international, qui visent </w:t>
      </w:r>
      <w:r w:rsidR="007C57EF" w:rsidRPr="00E72418">
        <w:rPr>
          <w:rFonts w:ascii="Times New Roman" w:hAnsi="Times New Roman" w:cs="Times New Roman"/>
        </w:rPr>
        <w:t>l’allègement de dettes d’</w:t>
      </w:r>
      <w:r w:rsidR="007C57EF" w:rsidRPr="00E72418">
        <w:rPr>
          <w:rFonts w:ascii="Times New Roman" w:hAnsi="Times New Roman" w:cs="Times New Roman"/>
          <w:lang w:eastAsia="fr-BE"/>
        </w:rPr>
        <w:t>É</w:t>
      </w:r>
      <w:r w:rsidR="007C57EF" w:rsidRPr="00E72418">
        <w:rPr>
          <w:rFonts w:ascii="Times New Roman" w:hAnsi="Times New Roman" w:cs="Times New Roman"/>
        </w:rPr>
        <w:t>tats en difficulté financière importante. Ne pas y participer et adopter une attitude agressive à l’égard du déb</w:t>
      </w:r>
      <w:r w:rsidR="0050371F" w:rsidRPr="00E72418">
        <w:rPr>
          <w:rFonts w:ascii="Times New Roman" w:hAnsi="Times New Roman" w:cs="Times New Roman"/>
        </w:rPr>
        <w:t>iteur en difficulté reviendrai</w:t>
      </w:r>
      <w:r w:rsidR="007C57EF" w:rsidRPr="00E72418">
        <w:rPr>
          <w:rFonts w:ascii="Times New Roman" w:hAnsi="Times New Roman" w:cs="Times New Roman"/>
        </w:rPr>
        <w:t>t à aller à contre-courant d’une opinion publique contraire.</w:t>
      </w:r>
    </w:p>
    <w:p w14:paraId="525E00D2" w14:textId="77777777" w:rsidR="00FD0B82" w:rsidRPr="00E72418" w:rsidRDefault="00FD0B82" w:rsidP="00423B60"/>
    <w:p w14:paraId="7B5257F8" w14:textId="4E1782D1" w:rsidR="007C57EF"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32</w:t>
      </w:r>
      <w:r w:rsidR="007E31CD" w:rsidRPr="00E72418">
        <w:rPr>
          <w:rFonts w:ascii="Times New Roman" w:hAnsi="Times New Roman" w:cs="Times New Roman"/>
          <w:b/>
          <w:szCs w:val="24"/>
        </w:rPr>
        <w:t xml:space="preserve">. </w:t>
      </w:r>
      <w:r w:rsidR="008C194B" w:rsidRPr="00E72418">
        <w:rPr>
          <w:rFonts w:ascii="Times New Roman" w:hAnsi="Times New Roman" w:cs="Times New Roman"/>
          <w:b/>
          <w:szCs w:val="24"/>
        </w:rPr>
        <w:t xml:space="preserve">Le manque </w:t>
      </w:r>
      <w:r w:rsidR="00FD0B82" w:rsidRPr="00E72418">
        <w:rPr>
          <w:rFonts w:ascii="Times New Roman" w:hAnsi="Times New Roman" w:cs="Times New Roman"/>
          <w:b/>
          <w:szCs w:val="24"/>
        </w:rPr>
        <w:t xml:space="preserve">de </w:t>
      </w:r>
      <w:r w:rsidR="001243C1" w:rsidRPr="00E72418">
        <w:rPr>
          <w:rFonts w:ascii="Times New Roman" w:hAnsi="Times New Roman" w:cs="Times New Roman"/>
          <w:b/>
          <w:szCs w:val="24"/>
        </w:rPr>
        <w:t xml:space="preserve">réglementation </w:t>
      </w:r>
      <w:r w:rsidR="00FD0B82" w:rsidRPr="00E72418">
        <w:rPr>
          <w:rFonts w:ascii="Times New Roman" w:hAnsi="Times New Roman" w:cs="Times New Roman"/>
          <w:b/>
        </w:rPr>
        <w:t xml:space="preserve">– </w:t>
      </w:r>
      <w:r w:rsidR="007C57EF" w:rsidRPr="00E72418">
        <w:rPr>
          <w:rFonts w:ascii="Times New Roman" w:hAnsi="Times New Roman" w:cs="Times New Roman"/>
          <w:szCs w:val="24"/>
        </w:rPr>
        <w:t>Relevant que</w:t>
      </w:r>
      <w:r w:rsidR="007C57EF" w:rsidRPr="00E72418">
        <w:rPr>
          <w:rFonts w:ascii="Times New Roman" w:hAnsi="Times New Roman" w:cs="Times New Roman"/>
          <w:b/>
          <w:szCs w:val="24"/>
        </w:rPr>
        <w:t xml:space="preserve"> </w:t>
      </w:r>
      <w:r w:rsidR="007C57EF" w:rsidRPr="00E72418">
        <w:rPr>
          <w:rFonts w:ascii="Times New Roman" w:hAnsi="Times New Roman" w:cs="Times New Roman"/>
          <w:szCs w:val="24"/>
        </w:rPr>
        <w:t>certains créanciers d’</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tats en difficulté essaient de négocier des cessions de créances irrécouvrables ou douteuses de la manière la plus discrète possible sur le marché libre de gré à gré, l’Assemblée parlementaire du Conseil de l’Europe déplore l’absence de contrôle du marché secondaire</w:t>
      </w:r>
      <w:r w:rsidR="007C57EF" w:rsidRPr="00E72418">
        <w:rPr>
          <w:rStyle w:val="Appelnotedebasdep"/>
          <w:rFonts w:ascii="Times New Roman" w:hAnsi="Times New Roman" w:cs="Times New Roman"/>
          <w:szCs w:val="24"/>
        </w:rPr>
        <w:footnoteReference w:id="150"/>
      </w:r>
      <w:r w:rsidR="007C57EF" w:rsidRPr="00E72418">
        <w:rPr>
          <w:rFonts w:ascii="Times New Roman" w:hAnsi="Times New Roman" w:cs="Times New Roman"/>
          <w:szCs w:val="24"/>
        </w:rPr>
        <w:t xml:space="preserve">. C’est précisément de </w:t>
      </w:r>
      <w:r w:rsidR="001C5E3C" w:rsidRPr="00E72418">
        <w:rPr>
          <w:rFonts w:ascii="Times New Roman" w:hAnsi="Times New Roman" w:cs="Times New Roman"/>
          <w:szCs w:val="24"/>
        </w:rPr>
        <w:t xml:space="preserve">la </w:t>
      </w:r>
      <w:r w:rsidR="008C194B" w:rsidRPr="00E72418">
        <w:rPr>
          <w:rFonts w:ascii="Times New Roman" w:hAnsi="Times New Roman" w:cs="Times New Roman"/>
          <w:szCs w:val="24"/>
        </w:rPr>
        <w:t xml:space="preserve">carence </w:t>
      </w:r>
      <w:r w:rsidR="007C57EF" w:rsidRPr="00E72418">
        <w:rPr>
          <w:rFonts w:ascii="Times New Roman" w:hAnsi="Times New Roman" w:cs="Times New Roman"/>
          <w:szCs w:val="24"/>
        </w:rPr>
        <w:t xml:space="preserve">de </w:t>
      </w:r>
      <w:r w:rsidR="001C5E3C" w:rsidRPr="00E72418">
        <w:rPr>
          <w:rFonts w:ascii="Times New Roman" w:hAnsi="Times New Roman" w:cs="Times New Roman"/>
          <w:szCs w:val="24"/>
        </w:rPr>
        <w:t>restriction aux opérations de rachat de dettes</w:t>
      </w:r>
      <w:r w:rsidR="007C57EF" w:rsidRPr="00E72418">
        <w:rPr>
          <w:rFonts w:ascii="Times New Roman" w:hAnsi="Times New Roman" w:cs="Times New Roman"/>
          <w:szCs w:val="24"/>
        </w:rPr>
        <w:t xml:space="preserve"> que tirent parti des fonds spéculatifs </w:t>
      </w:r>
      <w:r w:rsidR="002B513D" w:rsidRPr="00E72418">
        <w:rPr>
          <w:rFonts w:ascii="Times New Roman" w:hAnsi="Times New Roman" w:cs="Times New Roman"/>
          <w:szCs w:val="24"/>
        </w:rPr>
        <w:t>voyant</w:t>
      </w:r>
      <w:r w:rsidR="007C57EF" w:rsidRPr="00E72418">
        <w:rPr>
          <w:rFonts w:ascii="Times New Roman" w:hAnsi="Times New Roman" w:cs="Times New Roman"/>
          <w:szCs w:val="24"/>
        </w:rPr>
        <w:t xml:space="preserve"> dans les dettes étatiques en souffrance la possibil</w:t>
      </w:r>
      <w:r w:rsidR="00CC422B" w:rsidRPr="00E72418">
        <w:rPr>
          <w:rFonts w:ascii="Times New Roman" w:hAnsi="Times New Roman" w:cs="Times New Roman"/>
          <w:szCs w:val="24"/>
        </w:rPr>
        <w:t>i</w:t>
      </w:r>
      <w:r w:rsidR="007C57EF" w:rsidRPr="00E72418">
        <w:rPr>
          <w:rFonts w:ascii="Times New Roman" w:hAnsi="Times New Roman" w:cs="Times New Roman"/>
          <w:szCs w:val="24"/>
        </w:rPr>
        <w:t>té de plantureux bénéfices.</w:t>
      </w:r>
      <w:r w:rsidR="00E47E8D" w:rsidRPr="00E72418">
        <w:rPr>
          <w:rFonts w:ascii="Times New Roman" w:hAnsi="Times New Roman" w:cs="Times New Roman"/>
          <w:szCs w:val="24"/>
        </w:rPr>
        <w:t xml:space="preserve"> Ce constat conduit certains à souhaiter une </w:t>
      </w:r>
      <w:r w:rsidR="001243C1" w:rsidRPr="00E72418">
        <w:rPr>
          <w:rFonts w:ascii="Times New Roman" w:hAnsi="Times New Roman" w:cs="Times New Roman"/>
          <w:szCs w:val="24"/>
        </w:rPr>
        <w:t xml:space="preserve">réglementation </w:t>
      </w:r>
      <w:r w:rsidR="00E47E8D" w:rsidRPr="00E72418">
        <w:rPr>
          <w:rFonts w:ascii="Times New Roman" w:hAnsi="Times New Roman" w:cs="Times New Roman"/>
          <w:szCs w:val="24"/>
        </w:rPr>
        <w:t>du marché secondaire des dettes souveraines</w:t>
      </w:r>
      <w:r w:rsidR="00957B27" w:rsidRPr="00E72418">
        <w:rPr>
          <w:rFonts w:ascii="Times New Roman" w:hAnsi="Times New Roman" w:cs="Times New Roman"/>
          <w:szCs w:val="24"/>
        </w:rPr>
        <w:t xml:space="preserve"> « </w:t>
      </w:r>
      <w:r w:rsidR="00957B27" w:rsidRPr="00E72418">
        <w:rPr>
          <w:lang w:val="en-US"/>
        </w:rPr>
        <w:t>limiting the access of buyers having been identified as vulture fund</w:t>
      </w:r>
      <w:r w:rsidR="00957B27" w:rsidRPr="00E72418">
        <w:rPr>
          <w:rFonts w:ascii="Times New Roman" w:hAnsi="Times New Roman" w:cs="Times New Roman"/>
          <w:szCs w:val="24"/>
        </w:rPr>
        <w:t> »</w:t>
      </w:r>
      <w:r w:rsidR="00E47E8D" w:rsidRPr="00E72418">
        <w:rPr>
          <w:rStyle w:val="Appelnotedebasdep"/>
          <w:rFonts w:ascii="Times New Roman" w:hAnsi="Times New Roman" w:cs="Times New Roman"/>
          <w:szCs w:val="24"/>
        </w:rPr>
        <w:footnoteReference w:id="151"/>
      </w:r>
      <w:r w:rsidR="00957B27" w:rsidRPr="00E72418">
        <w:rPr>
          <w:rFonts w:ascii="Times New Roman" w:hAnsi="Times New Roman" w:cs="Times New Roman"/>
          <w:szCs w:val="24"/>
        </w:rPr>
        <w:t>.</w:t>
      </w:r>
    </w:p>
    <w:p w14:paraId="2105C393" w14:textId="77777777" w:rsidR="007C57EF" w:rsidRPr="00E72418" w:rsidRDefault="007C57EF" w:rsidP="00423B60"/>
    <w:p w14:paraId="752CA941" w14:textId="63C1D070" w:rsidR="007C57EF" w:rsidRPr="00E72418" w:rsidRDefault="000764CE" w:rsidP="00CC4BA8">
      <w:pPr>
        <w:pStyle w:val="CC"/>
        <w:spacing w:line="276" w:lineRule="auto"/>
      </w:pPr>
      <w:bookmarkStart w:id="30" w:name="_Toc59280875"/>
      <w:bookmarkStart w:id="31" w:name="_Toc75106057"/>
      <w:bookmarkStart w:id="32" w:name="_Toc84540866"/>
      <w:r w:rsidRPr="00E72418">
        <w:t xml:space="preserve">Chapitre </w:t>
      </w:r>
      <w:r w:rsidR="003C32DE" w:rsidRPr="00E72418">
        <w:t xml:space="preserve">6 : </w:t>
      </w:r>
      <w:r w:rsidR="007C57EF" w:rsidRPr="00E72418">
        <w:t>La soutenabilité de la dette</w:t>
      </w:r>
      <w:bookmarkEnd w:id="30"/>
      <w:bookmarkEnd w:id="31"/>
      <w:bookmarkEnd w:id="32"/>
    </w:p>
    <w:p w14:paraId="645B693D" w14:textId="65BD1B3D" w:rsidR="004B14B2" w:rsidRPr="00E72418" w:rsidRDefault="004B14B2" w:rsidP="00423B60"/>
    <w:p w14:paraId="7A4D852B" w14:textId="54D02F6B" w:rsidR="0037228F" w:rsidRPr="00E72418" w:rsidRDefault="007F038F" w:rsidP="0037228F">
      <w:pPr>
        <w:spacing w:line="276" w:lineRule="auto"/>
      </w:pPr>
      <w:r w:rsidRPr="00E72418">
        <w:rPr>
          <w:b/>
        </w:rPr>
        <w:t>33</w:t>
      </w:r>
      <w:r w:rsidR="00B75CD8" w:rsidRPr="00E72418">
        <w:rPr>
          <w:b/>
        </w:rPr>
        <w:t xml:space="preserve">. Un essai (difficile) à transformer – </w:t>
      </w:r>
      <w:r w:rsidR="00B75CD8" w:rsidRPr="00E72418">
        <w:t>Dès lors que les dettes souv</w:t>
      </w:r>
      <w:r w:rsidR="006A04CF" w:rsidRPr="00E72418">
        <w:t xml:space="preserve">eraines sont encourues par les </w:t>
      </w:r>
      <w:r w:rsidR="006A04CF" w:rsidRPr="00E72418">
        <w:rPr>
          <w:rFonts w:ascii="Times New Roman" w:hAnsi="Times New Roman" w:cs="Times New Roman"/>
          <w:lang w:eastAsia="fr-BE"/>
        </w:rPr>
        <w:t>É</w:t>
      </w:r>
      <w:r w:rsidR="00B75CD8" w:rsidRPr="00E72418">
        <w:t>tats afin de financer leur fonctionnement et leurs activités, il est regrettable que, dans certains cas, le poids de celles-ci entame les facultés de leurs débiteurs. Logiquement, l’on aspire à ce que les dettes soient raisonnables afin de ne pas mettre à mal</w:t>
      </w:r>
      <w:r w:rsidR="00777674">
        <w:t xml:space="preserve"> les missions que les </w:t>
      </w:r>
      <w:r w:rsidR="00777674" w:rsidRPr="00E72418">
        <w:rPr>
          <w:lang w:eastAsia="fr-BE"/>
        </w:rPr>
        <w:t>É</w:t>
      </w:r>
      <w:r w:rsidR="00777674">
        <w:t xml:space="preserve">tats remplissent </w:t>
      </w:r>
      <w:r w:rsidR="00B75CD8" w:rsidRPr="00E72418">
        <w:t>(</w:t>
      </w:r>
      <w:r w:rsidR="00B75CD8" w:rsidRPr="00E72418">
        <w:rPr>
          <w:b/>
        </w:rPr>
        <w:t>section 1</w:t>
      </w:r>
      <w:r w:rsidR="00B75CD8" w:rsidRPr="00E72418">
        <w:t xml:space="preserve">). Différents projets ont </w:t>
      </w:r>
      <w:r w:rsidR="002B513D" w:rsidRPr="00E72418">
        <w:t xml:space="preserve">ainsi </w:t>
      </w:r>
      <w:r w:rsidR="00B75CD8" w:rsidRPr="00E72418">
        <w:t>été entrepris afin de faire en sorte que les dettes souveraines soient soutenables (</w:t>
      </w:r>
      <w:r w:rsidR="00B75CD8" w:rsidRPr="00E72418">
        <w:rPr>
          <w:b/>
        </w:rPr>
        <w:t>section 2</w:t>
      </w:r>
      <w:r w:rsidR="00B75CD8" w:rsidRPr="00E72418">
        <w:t>).</w:t>
      </w:r>
      <w:bookmarkStart w:id="33" w:name="_Toc59280876"/>
      <w:bookmarkStart w:id="34" w:name="_Toc84540867"/>
    </w:p>
    <w:p w14:paraId="60F01115" w14:textId="77777777" w:rsidR="0037228F" w:rsidRPr="00E72418" w:rsidRDefault="0037228F" w:rsidP="0037228F">
      <w:pPr>
        <w:spacing w:line="276" w:lineRule="auto"/>
      </w:pPr>
    </w:p>
    <w:p w14:paraId="5F364192" w14:textId="478FFF9A" w:rsidR="007C57EF" w:rsidRPr="00E72418" w:rsidRDefault="000764CE" w:rsidP="00CC4BA8">
      <w:pPr>
        <w:pStyle w:val="DD"/>
        <w:spacing w:line="276" w:lineRule="auto"/>
      </w:pPr>
      <w:r w:rsidRPr="00E72418">
        <w:t>S</w:t>
      </w:r>
      <w:r w:rsidR="003C32DE" w:rsidRPr="00E72418">
        <w:t xml:space="preserve">ection 1 : </w:t>
      </w:r>
      <w:r w:rsidR="007C57EF" w:rsidRPr="00E72418">
        <w:t>L’aspiration</w:t>
      </w:r>
      <w:bookmarkEnd w:id="33"/>
      <w:bookmarkEnd w:id="34"/>
    </w:p>
    <w:p w14:paraId="1B91822E" w14:textId="77777777" w:rsidR="00DB090B" w:rsidRPr="00E72418" w:rsidRDefault="00DB090B" w:rsidP="00423B60"/>
    <w:p w14:paraId="6D9C3D4B" w14:textId="60E3DEE8" w:rsidR="007C57EF" w:rsidRPr="00E72418" w:rsidRDefault="007F038F" w:rsidP="00CC4BA8">
      <w:pPr>
        <w:spacing w:line="276" w:lineRule="auto"/>
      </w:pPr>
      <w:r w:rsidRPr="00E72418">
        <w:rPr>
          <w:b/>
        </w:rPr>
        <w:t>34</w:t>
      </w:r>
      <w:r w:rsidR="007E31CD" w:rsidRPr="00E72418">
        <w:rPr>
          <w:b/>
        </w:rPr>
        <w:t xml:space="preserve">. </w:t>
      </w:r>
      <w:r w:rsidR="007C57EF" w:rsidRPr="00E72418">
        <w:rPr>
          <w:b/>
        </w:rPr>
        <w:t xml:space="preserve">Un fardeau pour certains </w:t>
      </w:r>
      <w:r w:rsidR="007C57EF" w:rsidRPr="00E72418">
        <w:rPr>
          <w:b/>
          <w:lang w:eastAsia="fr-BE"/>
        </w:rPr>
        <w:t>É</w:t>
      </w:r>
      <w:r w:rsidR="007C57EF" w:rsidRPr="00E72418">
        <w:rPr>
          <w:b/>
        </w:rPr>
        <w:t>tats –</w:t>
      </w:r>
      <w:r w:rsidR="007C57EF" w:rsidRPr="00E72418">
        <w:t xml:space="preserve"> De nombreux </w:t>
      </w:r>
      <w:r w:rsidR="007C57EF" w:rsidRPr="00E72418">
        <w:rPr>
          <w:lang w:eastAsia="fr-BE"/>
        </w:rPr>
        <w:t>É</w:t>
      </w:r>
      <w:r w:rsidR="007C57EF" w:rsidRPr="00E72418">
        <w:t>tats, souvent pauvres, croulent sous le poids de leur dette</w:t>
      </w:r>
      <w:r w:rsidR="007C57EF" w:rsidRPr="00E72418">
        <w:rPr>
          <w:rStyle w:val="Appelnotedebasdep"/>
          <w:rFonts w:cs="Times New Roman"/>
          <w:szCs w:val="24"/>
        </w:rPr>
        <w:footnoteReference w:id="152"/>
      </w:r>
      <w:r w:rsidR="007C57EF" w:rsidRPr="00E72418">
        <w:t xml:space="preserve">. Le classement du Fonds monétaire international et de la Banque mondiale des pays faisant face à une charge d’endettement insoutenable ou présentant un risque moyen ou élevé a vu le nombre de pays en développement y repris augmenter ; la plupart des pays à </w:t>
      </w:r>
      <w:r w:rsidR="007C57EF" w:rsidRPr="00E72418">
        <w:lastRenderedPageBreak/>
        <w:t>faible revenu appartiennent désormais à l’une de ces catégories</w:t>
      </w:r>
      <w:r w:rsidR="007C57EF" w:rsidRPr="00E72418">
        <w:rPr>
          <w:rStyle w:val="Appelnotedebasdep"/>
          <w:szCs w:val="24"/>
        </w:rPr>
        <w:footnoteReference w:id="153"/>
      </w:r>
      <w:r w:rsidR="007C57EF" w:rsidRPr="00E72418">
        <w:t xml:space="preserve">. </w:t>
      </w:r>
      <w:r w:rsidR="009442B2" w:rsidRPr="00E72418">
        <w:t>La charge</w:t>
      </w:r>
      <w:r w:rsidR="007C57EF" w:rsidRPr="00E72418">
        <w:t xml:space="preserve"> des dettes souveraines s’avère être une menace majeure pour nombre d’</w:t>
      </w:r>
      <w:r w:rsidR="007C57EF" w:rsidRPr="00E72418">
        <w:rPr>
          <w:lang w:eastAsia="fr-BE"/>
        </w:rPr>
        <w:t>É</w:t>
      </w:r>
      <w:r w:rsidR="007C57EF" w:rsidRPr="00E72418">
        <w:t>tats développés ou non</w:t>
      </w:r>
      <w:r w:rsidR="007C57EF" w:rsidRPr="00E72418">
        <w:rPr>
          <w:rStyle w:val="Appelnotedebasdep"/>
          <w:rFonts w:cs="Times New Roman"/>
          <w:szCs w:val="24"/>
        </w:rPr>
        <w:footnoteReference w:id="154"/>
      </w:r>
      <w:r w:rsidR="007C57EF" w:rsidRPr="00E72418">
        <w:t>.</w:t>
      </w:r>
    </w:p>
    <w:p w14:paraId="1C2AEE54" w14:textId="3A889305" w:rsidR="002631B4" w:rsidRPr="00E72418" w:rsidRDefault="007C57EF" w:rsidP="00CC4BA8">
      <w:pPr>
        <w:spacing w:line="276" w:lineRule="auto"/>
      </w:pPr>
      <w:r w:rsidRPr="00E72418">
        <w:t xml:space="preserve">S’il apparaît logique et souhaitable que les </w:t>
      </w:r>
      <w:r w:rsidRPr="00E72418">
        <w:rPr>
          <w:lang w:eastAsia="fr-BE"/>
        </w:rPr>
        <w:t>É</w:t>
      </w:r>
      <w:r w:rsidRPr="00E72418">
        <w:t>tats soient en mesure d’honorer leur de</w:t>
      </w:r>
      <w:r w:rsidR="009442B2" w:rsidRPr="00E72418">
        <w:t>tte en tirant des revenus rendu</w:t>
      </w:r>
      <w:r w:rsidRPr="00E72418">
        <w:t>s possibles par celle-ci, la réalité est tout autre</w:t>
      </w:r>
      <w:r w:rsidR="009442B2" w:rsidRPr="00E72418">
        <w:t xml:space="preserve"> avec </w:t>
      </w:r>
      <w:r w:rsidRPr="00E72418">
        <w:t xml:space="preserve">des cas où de la dette est émise </w:t>
      </w:r>
      <w:r w:rsidR="009442B2" w:rsidRPr="00E72418">
        <w:t>afin de pouvoir</w:t>
      </w:r>
      <w:r w:rsidRPr="00E72418">
        <w:t xml:space="preserve"> payer les échéances de dettes passées</w:t>
      </w:r>
      <w:r w:rsidR="009442B2" w:rsidRPr="00E72418">
        <w:rPr>
          <w:rStyle w:val="Appelnotedebasdep"/>
          <w:szCs w:val="24"/>
        </w:rPr>
        <w:footnoteReference w:id="155"/>
      </w:r>
      <w:r w:rsidR="00D35ECF" w:rsidRPr="00E72418">
        <w:rPr>
          <w:vertAlign w:val="superscript"/>
        </w:rPr>
        <w:t>,</w:t>
      </w:r>
      <w:r w:rsidRPr="00E72418">
        <w:rPr>
          <w:rStyle w:val="Appelnotedebasdep"/>
          <w:rFonts w:cs="Times New Roman"/>
        </w:rPr>
        <w:footnoteReference w:id="156"/>
      </w:r>
      <w:r w:rsidRPr="00E72418">
        <w:t xml:space="preserve">. </w:t>
      </w:r>
      <w:r w:rsidR="009442B2" w:rsidRPr="00E72418">
        <w:t>Pourtant, c</w:t>
      </w:r>
      <w:r w:rsidRPr="00E72418">
        <w:t xml:space="preserve">omme le relèvent </w:t>
      </w:r>
      <w:r w:rsidR="00EA7FD2" w:rsidRPr="00E72418">
        <w:t xml:space="preserve">Pablo </w:t>
      </w:r>
      <w:r w:rsidRPr="00E72418">
        <w:t xml:space="preserve">Lopez et </w:t>
      </w:r>
      <w:r w:rsidR="00EA7FD2" w:rsidRPr="00E72418">
        <w:t xml:space="preserve">Cecilia </w:t>
      </w:r>
      <w:r w:rsidRPr="00E72418">
        <w:t>Nahon, « issuing debt to pay for debt maturities and finance capital flight gets countries into downward debt traps; conversely, longer-term debt flows channelled to expand the real economy or conduct public works could be a positive intertemporal assignment of resources, if they are limited in volume and bring about repayment capacity »</w:t>
      </w:r>
      <w:r w:rsidRPr="00E72418">
        <w:rPr>
          <w:rStyle w:val="Appelnotedebasdep"/>
          <w:rFonts w:cs="Times New Roman"/>
          <w:szCs w:val="24"/>
        </w:rPr>
        <w:footnoteReference w:id="157"/>
      </w:r>
      <w:r w:rsidRPr="00E72418">
        <w:t xml:space="preserve">. </w:t>
      </w:r>
      <w:r w:rsidR="009442B2" w:rsidRPr="00E72418">
        <w:t>On le comprend, la pertinence d’une dette peut ainsi s’apprécier au regard de l’utilisation qui en est faite.</w:t>
      </w:r>
      <w:r w:rsidR="005258D9" w:rsidRPr="00E72418">
        <w:t xml:space="preserve"> Il importe pour les </w:t>
      </w:r>
      <w:r w:rsidR="005258D9" w:rsidRPr="00E72418">
        <w:rPr>
          <w:rFonts w:cs="Times New Roman"/>
          <w:szCs w:val="24"/>
        </w:rPr>
        <w:t>É</w:t>
      </w:r>
      <w:r w:rsidR="0039518B" w:rsidRPr="00E72418">
        <w:t xml:space="preserve">tats débiteurs de ne pas se laisser emporter dans </w:t>
      </w:r>
      <w:r w:rsidR="00843265" w:rsidRPr="00E72418">
        <w:t>une forme de</w:t>
      </w:r>
      <w:r w:rsidR="0039518B" w:rsidRPr="00E72418">
        <w:t> piège de la dette où les nouveaux emprunts ne font qu</w:t>
      </w:r>
      <w:r w:rsidR="002537A1" w:rsidRPr="00E72418">
        <w:t>’alourdir son</w:t>
      </w:r>
      <w:r w:rsidR="0039518B" w:rsidRPr="00E72418">
        <w:t xml:space="preserve"> fardeau sans servir à l’alléger</w:t>
      </w:r>
      <w:r w:rsidR="00843265" w:rsidRPr="00E72418">
        <w:rPr>
          <w:rStyle w:val="Appelnotedebasdep"/>
        </w:rPr>
        <w:footnoteReference w:id="158"/>
      </w:r>
      <w:r w:rsidR="0039518B" w:rsidRPr="00E72418">
        <w:t>.</w:t>
      </w:r>
    </w:p>
    <w:p w14:paraId="1CC32807" w14:textId="77777777" w:rsidR="0039518B" w:rsidRPr="00E72418" w:rsidRDefault="0039518B" w:rsidP="00423B60"/>
    <w:p w14:paraId="3D03D9AF" w14:textId="2E3C0CEB" w:rsidR="00AA36D1" w:rsidRPr="00E72418" w:rsidRDefault="007F038F" w:rsidP="00CC4BA8">
      <w:pPr>
        <w:spacing w:line="276" w:lineRule="auto"/>
      </w:pPr>
      <w:r w:rsidRPr="00E72418">
        <w:rPr>
          <w:b/>
        </w:rPr>
        <w:t>35</w:t>
      </w:r>
      <w:r w:rsidR="007E31CD" w:rsidRPr="00E72418">
        <w:rPr>
          <w:b/>
        </w:rPr>
        <w:t xml:space="preserve">. </w:t>
      </w:r>
      <w:r w:rsidR="007C57EF" w:rsidRPr="00E72418">
        <w:rPr>
          <w:b/>
        </w:rPr>
        <w:t>L’enjeu –</w:t>
      </w:r>
      <w:r w:rsidR="007C57EF" w:rsidRPr="00E72418">
        <w:t xml:space="preserve"> Si </w:t>
      </w:r>
      <w:r w:rsidR="009442B2" w:rsidRPr="00E72418">
        <w:t>le</w:t>
      </w:r>
      <w:r w:rsidR="007C57EF" w:rsidRPr="00E72418">
        <w:t xml:space="preserve"> recours à </w:t>
      </w:r>
      <w:r w:rsidR="009442B2" w:rsidRPr="00E72418">
        <w:t>la dette</w:t>
      </w:r>
      <w:r w:rsidR="007C57EF" w:rsidRPr="00E72418">
        <w:t xml:space="preserve"> </w:t>
      </w:r>
      <w:r w:rsidR="009442B2" w:rsidRPr="00E72418">
        <w:t xml:space="preserve">est important pour les </w:t>
      </w:r>
      <w:r w:rsidR="007C57EF" w:rsidRPr="00E72418">
        <w:rPr>
          <w:lang w:eastAsia="fr-BE"/>
        </w:rPr>
        <w:t>É</w:t>
      </w:r>
      <w:r w:rsidR="009442B2" w:rsidRPr="00E72418">
        <w:t xml:space="preserve">tats en ce qu’il leur permet de </w:t>
      </w:r>
      <w:r w:rsidR="007C57EF" w:rsidRPr="00E72418">
        <w:t>disposer de capitaux, il est essentiel que la dette contractée soit soutenable</w:t>
      </w:r>
      <w:r w:rsidR="007A7F0A" w:rsidRPr="00E72418">
        <w:rPr>
          <w:rStyle w:val="Appelnotedebasdep"/>
        </w:rPr>
        <w:footnoteReference w:id="159"/>
      </w:r>
      <w:r w:rsidR="007C57EF" w:rsidRPr="00E72418">
        <w:t xml:space="preserve">. </w:t>
      </w:r>
      <w:r w:rsidR="00C57022" w:rsidRPr="00E72418">
        <w:t>Cette</w:t>
      </w:r>
      <w:r w:rsidR="007C57EF" w:rsidRPr="00E72418">
        <w:t xml:space="preserve"> soutenabilité s’apprécie au regard de la capacité de l’</w:t>
      </w:r>
      <w:r w:rsidR="007C57EF" w:rsidRPr="00E72418">
        <w:rPr>
          <w:lang w:eastAsia="fr-BE"/>
        </w:rPr>
        <w:t>É</w:t>
      </w:r>
      <w:r w:rsidR="007C57EF" w:rsidRPr="00E72418">
        <w:t xml:space="preserve">tat à rembourser </w:t>
      </w:r>
      <w:r w:rsidR="00C57022" w:rsidRPr="00E72418">
        <w:t xml:space="preserve">la dette </w:t>
      </w:r>
      <w:r w:rsidR="007C57EF" w:rsidRPr="00E72418">
        <w:t>sans que son remboursement se fasse au détriment de l’offre de services essentiels à sa population</w:t>
      </w:r>
      <w:r w:rsidR="007C57EF" w:rsidRPr="00E72418">
        <w:rPr>
          <w:rStyle w:val="Appelnotedebasdep"/>
          <w:rFonts w:cs="Times New Roman"/>
          <w:szCs w:val="24"/>
        </w:rPr>
        <w:footnoteReference w:id="160"/>
      </w:r>
      <w:r w:rsidR="002631B4" w:rsidRPr="00E72418">
        <w:rPr>
          <w:vertAlign w:val="superscript"/>
        </w:rPr>
        <w:t>,</w:t>
      </w:r>
      <w:r w:rsidR="00AA36D1" w:rsidRPr="00E72418">
        <w:rPr>
          <w:rStyle w:val="Appelnotedebasdep"/>
        </w:rPr>
        <w:footnoteReference w:id="161"/>
      </w:r>
      <w:r w:rsidR="00C57022" w:rsidRPr="00E72418">
        <w:t xml:space="preserve">. </w:t>
      </w:r>
      <w:r w:rsidR="006E60C4" w:rsidRPr="00E72418">
        <w:t xml:space="preserve">Il </w:t>
      </w:r>
      <w:r w:rsidR="006E60C4" w:rsidRPr="00E72418">
        <w:lastRenderedPageBreak/>
        <w:t xml:space="preserve">est une réalité que, dans de nombreux </w:t>
      </w:r>
      <w:r w:rsidR="006E60C4" w:rsidRPr="00E72418">
        <w:rPr>
          <w:lang w:eastAsia="fr-BE"/>
        </w:rPr>
        <w:t>É</w:t>
      </w:r>
      <w:r w:rsidR="006E60C4" w:rsidRPr="00E72418">
        <w:t>tats, le remboursement de la dette se fait souvent au détriment de la réalisation des droits fondamentaux des populations</w:t>
      </w:r>
      <w:r w:rsidR="006E60C4" w:rsidRPr="00E72418">
        <w:rPr>
          <w:rStyle w:val="Appelnotedebasdep"/>
        </w:rPr>
        <w:footnoteReference w:id="162"/>
      </w:r>
      <w:r w:rsidR="006E60C4" w:rsidRPr="00E72418">
        <w:t>.</w:t>
      </w:r>
    </w:p>
    <w:p w14:paraId="57C2EC4F" w14:textId="66689E98" w:rsidR="007C57EF" w:rsidRPr="00E72418" w:rsidRDefault="00C57022" w:rsidP="00CC4BA8">
      <w:pPr>
        <w:spacing w:line="276" w:lineRule="auto"/>
        <w:rPr>
          <w:szCs w:val="24"/>
        </w:rPr>
      </w:pPr>
      <w:r w:rsidRPr="00E72418">
        <w:t xml:space="preserve">Comme l’a relevé </w:t>
      </w:r>
      <w:r w:rsidR="00922858" w:rsidRPr="00E72418">
        <w:t xml:space="preserve">Juan Pablo </w:t>
      </w:r>
      <w:r w:rsidR="007C57EF" w:rsidRPr="00E72418">
        <w:t xml:space="preserve">Bohoslavsky, en sa qualité d’expert indépendant </w:t>
      </w:r>
      <w:r w:rsidRPr="00E72418">
        <w:t xml:space="preserve">des Nations Unies </w:t>
      </w:r>
      <w:r w:rsidR="007C57EF" w:rsidRPr="00E72418">
        <w:t xml:space="preserve">chargé d’examiner les effets de la dette extérieure et des obligations financières internationales connexes des États sur le plein exercice de tous les droits de l’homme, une dette est tolérable si son service n’est pas synonyme de sacrifices incompatibles avec le bien-être de la société, s’il n’entraîne pas de violations des droits économiques et sociaux et, finalement, s’il </w:t>
      </w:r>
      <w:r w:rsidR="00AA6E12" w:rsidRPr="00E72418">
        <w:t xml:space="preserve">ne </w:t>
      </w:r>
      <w:r w:rsidR="007C57EF" w:rsidRPr="00E72418">
        <w:t>fait pas obstacle à la réalisation des objectifs internationaux en matière de développement</w:t>
      </w:r>
      <w:r w:rsidR="007C57EF" w:rsidRPr="00E72418">
        <w:rPr>
          <w:rStyle w:val="Appelnotedebasdep"/>
          <w:rFonts w:cs="Times New Roman"/>
          <w:smallCaps/>
          <w:szCs w:val="24"/>
        </w:rPr>
        <w:footnoteReference w:id="163"/>
      </w:r>
      <w:r w:rsidR="00922023" w:rsidRPr="00E72418">
        <w:t xml:space="preserve">. </w:t>
      </w:r>
      <w:r w:rsidR="00922858" w:rsidRPr="00E72418">
        <w:rPr>
          <w:rFonts w:cs="Times New Roman"/>
        </w:rPr>
        <w:t xml:space="preserve">Cephas </w:t>
      </w:r>
      <w:r w:rsidR="007C57EF" w:rsidRPr="00E72418">
        <w:t>Lumina</w:t>
      </w:r>
      <w:r w:rsidR="00922023" w:rsidRPr="00E72418">
        <w:t>, un autre expert, relevait</w:t>
      </w:r>
      <w:r w:rsidR="007C57EF" w:rsidRPr="00E72418">
        <w:t xml:space="preserve"> comme principe directeur relatif à la dette exté</w:t>
      </w:r>
      <w:r w:rsidR="00922023" w:rsidRPr="00E72418">
        <w:t xml:space="preserve">rieure et aux droits de </w:t>
      </w:r>
      <w:r w:rsidR="00922023" w:rsidRPr="00E72418">
        <w:rPr>
          <w:szCs w:val="24"/>
        </w:rPr>
        <w:t>l’homme que</w:t>
      </w:r>
      <w:r w:rsidR="007C57EF" w:rsidRPr="00E72418">
        <w:rPr>
          <w:szCs w:val="24"/>
        </w:rPr>
        <w:t xml:space="preserve"> « [c]haque État a l’obligation de veiller à la satisfaction de chaque droit économique, social et culturel ou, à tout le moins, des niveaux essentiels minimum de chacun de ces droits »</w:t>
      </w:r>
      <w:r w:rsidR="007C57EF" w:rsidRPr="00E72418">
        <w:rPr>
          <w:rStyle w:val="Appelnotedebasdep"/>
          <w:rFonts w:cs="Times New Roman"/>
          <w:szCs w:val="24"/>
        </w:rPr>
        <w:footnoteReference w:id="164"/>
      </w:r>
      <w:r w:rsidR="007C57EF" w:rsidRPr="00E72418">
        <w:rPr>
          <w:szCs w:val="24"/>
        </w:rPr>
        <w:t xml:space="preserve">. Outre la mise à mal des droits économiques, sociaux et culturels, le règlement de la dette externe des </w:t>
      </w:r>
      <w:r w:rsidR="007C57EF" w:rsidRPr="00E72418">
        <w:rPr>
          <w:szCs w:val="24"/>
          <w:lang w:eastAsia="fr-BE"/>
        </w:rPr>
        <w:t>É</w:t>
      </w:r>
      <w:r w:rsidR="007C57EF" w:rsidRPr="00E72418">
        <w:rPr>
          <w:szCs w:val="24"/>
        </w:rPr>
        <w:t>tats peut également avoir une incidence négative sur les droits civils et politiques des populations</w:t>
      </w:r>
      <w:r w:rsidR="007C57EF" w:rsidRPr="00E72418">
        <w:rPr>
          <w:rStyle w:val="Appelnotedebasdep"/>
          <w:rFonts w:cs="Times New Roman"/>
          <w:szCs w:val="24"/>
        </w:rPr>
        <w:footnoteReference w:id="165"/>
      </w:r>
      <w:r w:rsidR="007C57EF" w:rsidRPr="00E72418">
        <w:rPr>
          <w:szCs w:val="24"/>
        </w:rPr>
        <w:t>.</w:t>
      </w:r>
    </w:p>
    <w:p w14:paraId="6BF07574" w14:textId="454BA82B" w:rsidR="007C57EF" w:rsidRPr="00E72418" w:rsidRDefault="0030147D" w:rsidP="00CC4BA8">
      <w:pPr>
        <w:spacing w:line="276" w:lineRule="auto"/>
        <w:rPr>
          <w:szCs w:val="24"/>
        </w:rPr>
      </w:pPr>
      <w:r>
        <w:rPr>
          <w:szCs w:val="24"/>
        </w:rPr>
        <w:t>Il a encore pu être relevé</w:t>
      </w:r>
      <w:r w:rsidR="007C57EF" w:rsidRPr="00E72418">
        <w:rPr>
          <w:szCs w:val="24"/>
        </w:rPr>
        <w:t xml:space="preserve"> que pour nombre des pays les plus pauvres, les obligations liées au service de la dette sont souvent satisfaites aux dépens des investissements sociaux, y compris dans les services qui contribuent à la réalisation des droits de l’homme</w:t>
      </w:r>
      <w:r w:rsidR="007C57EF" w:rsidRPr="00E72418">
        <w:rPr>
          <w:rStyle w:val="Appelnotedebasdep"/>
          <w:szCs w:val="24"/>
        </w:rPr>
        <w:footnoteReference w:id="166"/>
      </w:r>
      <w:r w:rsidR="007C57EF" w:rsidRPr="00E72418">
        <w:rPr>
          <w:szCs w:val="24"/>
        </w:rPr>
        <w:t xml:space="preserve">. Le même rapport </w:t>
      </w:r>
      <w:r w:rsidR="007C57EF" w:rsidRPr="00E72418">
        <w:rPr>
          <w:szCs w:val="24"/>
        </w:rPr>
        <w:lastRenderedPageBreak/>
        <w:t>indique que de nombreuses données attestent que l’allocation au service de la dette de ressources nationales rares réduit considérablement la capacité des pays débiteurs, en particulier des pays pauvres, d’instaurer des conditions propices à la réalisation des droits de l’homme</w:t>
      </w:r>
      <w:r w:rsidR="007C57EF" w:rsidRPr="00E72418">
        <w:rPr>
          <w:rStyle w:val="Appelnotedebasdep"/>
          <w:szCs w:val="24"/>
        </w:rPr>
        <w:footnoteReference w:id="167"/>
      </w:r>
      <w:r w:rsidR="00342D7D" w:rsidRPr="00E72418">
        <w:rPr>
          <w:szCs w:val="24"/>
          <w:vertAlign w:val="superscript"/>
        </w:rPr>
        <w:t>,</w:t>
      </w:r>
      <w:r w:rsidR="00AA36D1" w:rsidRPr="00E72418">
        <w:rPr>
          <w:rStyle w:val="Appelnotedebasdep"/>
          <w:szCs w:val="24"/>
        </w:rPr>
        <w:footnoteReference w:id="168"/>
      </w:r>
      <w:r w:rsidR="007C57EF" w:rsidRPr="00E72418">
        <w:rPr>
          <w:szCs w:val="24"/>
        </w:rPr>
        <w:t>.</w:t>
      </w:r>
    </w:p>
    <w:p w14:paraId="02D6CC6B" w14:textId="648DAA77" w:rsidR="007C57EF" w:rsidRPr="00E72418" w:rsidRDefault="00CC422B" w:rsidP="00CC4BA8">
      <w:pPr>
        <w:spacing w:line="276" w:lineRule="auto"/>
        <w:rPr>
          <w:szCs w:val="24"/>
        </w:rPr>
      </w:pPr>
      <w:r w:rsidRPr="00E72418">
        <w:rPr>
          <w:szCs w:val="24"/>
        </w:rPr>
        <w:t>Au-</w:t>
      </w:r>
      <w:r w:rsidR="007C57EF" w:rsidRPr="00E72418">
        <w:rPr>
          <w:szCs w:val="24"/>
        </w:rPr>
        <w:t>delà des conséquences négative</w:t>
      </w:r>
      <w:r w:rsidR="00E52089" w:rsidRPr="00E72418">
        <w:rPr>
          <w:szCs w:val="24"/>
        </w:rPr>
        <w:t xml:space="preserve">s subies par les populations, le fait pour les </w:t>
      </w:r>
      <w:r w:rsidR="007C57EF" w:rsidRPr="00E72418">
        <w:rPr>
          <w:szCs w:val="24"/>
        </w:rPr>
        <w:t>dettes souveraines</w:t>
      </w:r>
      <w:r w:rsidR="00E52089" w:rsidRPr="00E72418">
        <w:rPr>
          <w:szCs w:val="24"/>
        </w:rPr>
        <w:t xml:space="preserve"> d’être insoutenables</w:t>
      </w:r>
      <w:r w:rsidR="007C57EF" w:rsidRPr="00E72418">
        <w:rPr>
          <w:szCs w:val="24"/>
        </w:rPr>
        <w:t xml:space="preserve"> est de nature à avoir des effets négatifs plus globaux. Dès lors que la soutenabilité de la dette est une condition nécessaire au redressement économique d’un </w:t>
      </w:r>
      <w:r w:rsidR="007C57EF" w:rsidRPr="00E72418">
        <w:rPr>
          <w:szCs w:val="24"/>
          <w:lang w:eastAsia="fr-BE"/>
        </w:rPr>
        <w:t>É</w:t>
      </w:r>
      <w:r w:rsidR="007C57EF" w:rsidRPr="00E72418">
        <w:rPr>
          <w:szCs w:val="24"/>
        </w:rPr>
        <w:t>tat, nous pouvons retenir que la poursuite de remboursements ne s’inscrivant pas dans une logique de soutenabilité est de nature à empirer les choses tant pour le débiteur que pour les créanciers qui souffriront de la détério</w:t>
      </w:r>
      <w:r w:rsidRPr="00E72418">
        <w:rPr>
          <w:szCs w:val="24"/>
        </w:rPr>
        <w:t>ra</w:t>
      </w:r>
      <w:r w:rsidR="007C57EF" w:rsidRPr="00E72418">
        <w:rPr>
          <w:szCs w:val="24"/>
        </w:rPr>
        <w:t>tion des perspectives économiques du débiteur laquelle diminuera la probabilité de paiements futurs</w:t>
      </w:r>
      <w:r w:rsidR="007C57EF" w:rsidRPr="00E72418">
        <w:rPr>
          <w:rStyle w:val="Appelnotedebasdep"/>
          <w:szCs w:val="24"/>
        </w:rPr>
        <w:footnoteReference w:id="169"/>
      </w:r>
      <w:r w:rsidR="007C57EF" w:rsidRPr="00E72418">
        <w:rPr>
          <w:szCs w:val="24"/>
        </w:rPr>
        <w:t>.</w:t>
      </w:r>
    </w:p>
    <w:p w14:paraId="056CE04B" w14:textId="77777777" w:rsidR="007C57EF" w:rsidRPr="00E72418" w:rsidRDefault="007C57EF" w:rsidP="00423B60"/>
    <w:p w14:paraId="79030EF1" w14:textId="50F11D8F" w:rsidR="006D1163" w:rsidRPr="00E72418" w:rsidRDefault="007F038F" w:rsidP="00CC4BA8">
      <w:pPr>
        <w:spacing w:line="276" w:lineRule="auto"/>
        <w:rPr>
          <w:szCs w:val="24"/>
        </w:rPr>
      </w:pPr>
      <w:r w:rsidRPr="00E72418">
        <w:rPr>
          <w:b/>
          <w:szCs w:val="24"/>
        </w:rPr>
        <w:t>36</w:t>
      </w:r>
      <w:r w:rsidR="007E31CD" w:rsidRPr="00E72418">
        <w:rPr>
          <w:b/>
          <w:szCs w:val="24"/>
        </w:rPr>
        <w:t xml:space="preserve">. </w:t>
      </w:r>
      <w:r w:rsidR="00547D55" w:rsidRPr="00E72418">
        <w:rPr>
          <w:b/>
          <w:szCs w:val="24"/>
        </w:rPr>
        <w:t>La portée du principe</w:t>
      </w:r>
      <w:r w:rsidR="007C57EF" w:rsidRPr="00E72418">
        <w:rPr>
          <w:b/>
          <w:szCs w:val="24"/>
        </w:rPr>
        <w:t xml:space="preserve"> –</w:t>
      </w:r>
      <w:r w:rsidR="007C57EF" w:rsidRPr="00E72418">
        <w:rPr>
          <w:szCs w:val="24"/>
        </w:rPr>
        <w:t xml:space="preserve"> En vertu du principe de soutenabilité de la dette, les </w:t>
      </w:r>
      <w:r w:rsidR="007C57EF" w:rsidRPr="00E72418">
        <w:rPr>
          <w:szCs w:val="24"/>
          <w:lang w:eastAsia="fr-BE"/>
        </w:rPr>
        <w:t>É</w:t>
      </w:r>
      <w:r w:rsidR="007C57EF" w:rsidRPr="00E72418">
        <w:rPr>
          <w:szCs w:val="24"/>
        </w:rPr>
        <w:t>tats ne sauraient être tenus de consacrer l’ensemble de leurs ressources à son remboursement</w:t>
      </w:r>
      <w:r w:rsidR="007C57EF" w:rsidRPr="00E72418">
        <w:rPr>
          <w:rStyle w:val="Appelnotedebasdep"/>
          <w:rFonts w:cs="Times New Roman"/>
          <w:szCs w:val="24"/>
        </w:rPr>
        <w:footnoteReference w:id="170"/>
      </w:r>
      <w:r w:rsidR="007C57EF" w:rsidRPr="00E72418">
        <w:rPr>
          <w:szCs w:val="24"/>
        </w:rPr>
        <w:t xml:space="preserve">. </w:t>
      </w:r>
      <w:r w:rsidR="006D1163" w:rsidRPr="00E72418">
        <w:rPr>
          <w:szCs w:val="24"/>
        </w:rPr>
        <w:t xml:space="preserve">L’on retrouve </w:t>
      </w:r>
      <w:r w:rsidR="001E1889" w:rsidRPr="00E72418">
        <w:rPr>
          <w:szCs w:val="24"/>
        </w:rPr>
        <w:t xml:space="preserve">la consécration de cette règle à l’article 1(2), </w:t>
      </w:r>
      <w:r w:rsidR="001E1889" w:rsidRPr="00E72418">
        <w:rPr>
          <w:i/>
          <w:szCs w:val="24"/>
        </w:rPr>
        <w:t>in fine</w:t>
      </w:r>
      <w:r w:rsidR="001E1889" w:rsidRPr="00E72418">
        <w:rPr>
          <w:szCs w:val="24"/>
        </w:rPr>
        <w:t xml:space="preserve">, du </w:t>
      </w:r>
      <w:r w:rsidR="001E1889" w:rsidRPr="00E72418">
        <w:rPr>
          <w:rFonts w:cs="Times New Roman"/>
          <w:szCs w:val="24"/>
        </w:rPr>
        <w:t>Pacte international relatif aux droits civils et politiques</w:t>
      </w:r>
      <w:r w:rsidR="00214664" w:rsidRPr="00E72418">
        <w:rPr>
          <w:rFonts w:cs="Times New Roman"/>
          <w:szCs w:val="24"/>
        </w:rPr>
        <w:t xml:space="preserve">, d’une part, du Pacte international relatif aux droits économiques, sociaux et culturels, d’autre part, </w:t>
      </w:r>
      <w:r w:rsidR="001E1889" w:rsidRPr="00E72418">
        <w:rPr>
          <w:rFonts w:cs="Times New Roman"/>
          <w:szCs w:val="24"/>
        </w:rPr>
        <w:t>qui dispose qu’</w:t>
      </w:r>
      <w:r w:rsidR="00214664" w:rsidRPr="00E72418">
        <w:rPr>
          <w:rFonts w:cs="Times New Roman"/>
          <w:szCs w:val="24"/>
        </w:rPr>
        <w:t xml:space="preserve"> </w:t>
      </w:r>
      <w:r w:rsidR="001E1889" w:rsidRPr="00E72418">
        <w:rPr>
          <w:rFonts w:cs="Times New Roman"/>
          <w:szCs w:val="24"/>
        </w:rPr>
        <w:t>« </w:t>
      </w:r>
      <w:r w:rsidR="001E1889" w:rsidRPr="00E72418">
        <w:rPr>
          <w:rFonts w:ascii="Times New Roman" w:hAnsi="Times New Roman" w:cs="Times New Roman"/>
          <w:szCs w:val="24"/>
        </w:rPr>
        <w:t>[e]</w:t>
      </w:r>
      <w:r w:rsidR="001E1889" w:rsidRPr="00E72418">
        <w:rPr>
          <w:lang w:eastAsia="fr-BE"/>
        </w:rPr>
        <w:t xml:space="preserve">n aucun cas, un peuple ne pourra être privé de ses propres moyens de subsistance </w:t>
      </w:r>
      <w:r w:rsidR="001E1889" w:rsidRPr="00E72418">
        <w:rPr>
          <w:rFonts w:cs="Times New Roman"/>
          <w:szCs w:val="24"/>
        </w:rPr>
        <w:t xml:space="preserve">». </w:t>
      </w:r>
    </w:p>
    <w:p w14:paraId="7E37104A" w14:textId="2FD09161" w:rsidR="004912FA" w:rsidRPr="00E72418" w:rsidRDefault="00547D55" w:rsidP="00F0197F">
      <w:pPr>
        <w:spacing w:line="276" w:lineRule="auto"/>
        <w:rPr>
          <w:rFonts w:ascii="Times New Roman" w:hAnsi="Times New Roman" w:cs="Times New Roman"/>
          <w:szCs w:val="24"/>
        </w:rPr>
      </w:pPr>
      <w:r w:rsidRPr="00E72418">
        <w:rPr>
          <w:szCs w:val="24"/>
        </w:rPr>
        <w:t>L</w:t>
      </w:r>
      <w:r w:rsidR="007C57EF" w:rsidRPr="00E72418">
        <w:rPr>
          <w:szCs w:val="24"/>
        </w:rPr>
        <w:t>e souci de la viabilité des dettes souveraines est une préoccupation de longue date des Nations Unies</w:t>
      </w:r>
      <w:r w:rsidR="004D387C" w:rsidRPr="00E72418">
        <w:rPr>
          <w:rStyle w:val="Appelnotedebasdep"/>
          <w:szCs w:val="24"/>
        </w:rPr>
        <w:footnoteReference w:id="171"/>
      </w:r>
      <w:r w:rsidR="007C57EF" w:rsidRPr="00E72418">
        <w:rPr>
          <w:szCs w:val="24"/>
        </w:rPr>
        <w:t>. Dans la déclaration du Mi</w:t>
      </w:r>
      <w:r w:rsidRPr="00E72418">
        <w:rPr>
          <w:szCs w:val="24"/>
        </w:rPr>
        <w:t xml:space="preserve">llénaire du 8 septembre 2000, son </w:t>
      </w:r>
      <w:r w:rsidR="007C57EF" w:rsidRPr="00E72418">
        <w:rPr>
          <w:szCs w:val="24"/>
        </w:rPr>
        <w:t>Asse</w:t>
      </w:r>
      <w:r w:rsidRPr="00E72418">
        <w:rPr>
          <w:szCs w:val="24"/>
        </w:rPr>
        <w:t>mblée générale</w:t>
      </w:r>
      <w:r w:rsidR="007C57EF" w:rsidRPr="00E72418">
        <w:rPr>
          <w:szCs w:val="24"/>
        </w:rPr>
        <w:t xml:space="preserve"> a affirmé sa résolution à appréhender de façon globale et effective le problème de la dette des pays à faible</w:t>
      </w:r>
      <w:r w:rsidR="007C57EF" w:rsidRPr="00E72418">
        <w:t xml:space="preserve"> </w:t>
      </w:r>
      <w:r w:rsidR="007C57EF" w:rsidRPr="00E72418">
        <w:rPr>
          <w:rFonts w:ascii="Times New Roman" w:hAnsi="Times New Roman" w:cs="Times New Roman"/>
          <w:szCs w:val="24"/>
        </w:rPr>
        <w:t>r</w:t>
      </w:r>
      <w:r w:rsidRPr="00E72418">
        <w:rPr>
          <w:rFonts w:ascii="Times New Roman" w:hAnsi="Times New Roman" w:cs="Times New Roman"/>
          <w:szCs w:val="24"/>
        </w:rPr>
        <w:t>evenu et à revenu intermédiaire</w:t>
      </w:r>
      <w:r w:rsidR="007C57EF" w:rsidRPr="00E72418">
        <w:rPr>
          <w:rFonts w:ascii="Times New Roman" w:hAnsi="Times New Roman" w:cs="Times New Roman"/>
          <w:szCs w:val="24"/>
        </w:rPr>
        <w:t xml:space="preserve"> grâce à diverses mesures d’ordre national et </w:t>
      </w:r>
      <w:r w:rsidR="007C57EF" w:rsidRPr="00E72418">
        <w:rPr>
          <w:rFonts w:ascii="Times New Roman" w:hAnsi="Times New Roman" w:cs="Times New Roman"/>
          <w:szCs w:val="24"/>
        </w:rPr>
        <w:lastRenderedPageBreak/>
        <w:t>international propres à rendre leur endettement viable à long terme</w:t>
      </w:r>
      <w:r w:rsidR="007C57EF" w:rsidRPr="00E72418">
        <w:rPr>
          <w:rStyle w:val="Appelnotedebasdep"/>
          <w:rFonts w:ascii="Times New Roman" w:hAnsi="Times New Roman" w:cs="Times New Roman"/>
          <w:szCs w:val="24"/>
        </w:rPr>
        <w:footnoteReference w:id="172"/>
      </w:r>
      <w:r w:rsidR="007C57EF" w:rsidRPr="00E72418">
        <w:rPr>
          <w:rFonts w:ascii="Times New Roman" w:hAnsi="Times New Roman" w:cs="Times New Roman"/>
          <w:szCs w:val="24"/>
        </w:rPr>
        <w:t xml:space="preserve">. </w:t>
      </w:r>
      <w:r w:rsidR="005B2D51" w:rsidRPr="00E72418">
        <w:rPr>
          <w:rFonts w:ascii="Times New Roman" w:hAnsi="Times New Roman" w:cs="Times New Roman"/>
          <w:szCs w:val="24"/>
        </w:rPr>
        <w:t>Dans une résolution de 2010 portant sur la soutenabilité de la dette extérieure et le développement, l’Assemblée onusienne</w:t>
      </w:r>
      <w:r w:rsidR="00FF6378" w:rsidRPr="00E72418">
        <w:rPr>
          <w:rFonts w:ascii="Times New Roman" w:hAnsi="Times New Roman" w:cs="Times New Roman"/>
          <w:szCs w:val="24"/>
        </w:rPr>
        <w:t xml:space="preserve"> a souligné que la soutenabilité est essentielle au développement</w:t>
      </w:r>
      <w:r w:rsidR="005B2D51" w:rsidRPr="00E72418">
        <w:rPr>
          <w:rStyle w:val="Appelnotedebasdep"/>
          <w:rFonts w:ascii="Times New Roman" w:hAnsi="Times New Roman" w:cs="Times New Roman"/>
          <w:szCs w:val="24"/>
        </w:rPr>
        <w:footnoteReference w:id="173"/>
      </w:r>
      <w:r w:rsidR="005B2D51" w:rsidRPr="00E72418">
        <w:rPr>
          <w:rFonts w:ascii="Times New Roman" w:hAnsi="Times New Roman" w:cs="Times New Roman"/>
          <w:szCs w:val="24"/>
        </w:rPr>
        <w:t xml:space="preserve">. </w:t>
      </w:r>
      <w:r w:rsidR="007C57EF" w:rsidRPr="00E72418">
        <w:rPr>
          <w:rFonts w:ascii="Times New Roman" w:hAnsi="Times New Roman" w:cs="Times New Roman"/>
          <w:szCs w:val="24"/>
        </w:rPr>
        <w:t xml:space="preserve">Le principe de la viabilité est repris parmi les principes fondamentaux des opérations de restructuration de la dette souveraine visés dans </w:t>
      </w:r>
      <w:r w:rsidR="004912FA" w:rsidRPr="00E72418">
        <w:rPr>
          <w:rFonts w:ascii="Times New Roman" w:hAnsi="Times New Roman" w:cs="Times New Roman"/>
          <w:szCs w:val="24"/>
        </w:rPr>
        <w:t xml:space="preserve">l’importante </w:t>
      </w:r>
      <w:r w:rsidR="007C57EF" w:rsidRPr="00E72418">
        <w:rPr>
          <w:rFonts w:ascii="Times New Roman" w:hAnsi="Times New Roman" w:cs="Times New Roman"/>
          <w:szCs w:val="24"/>
        </w:rPr>
        <w:t>résolution adoptée par l’Assemblée générale des Nation</w:t>
      </w:r>
      <w:r w:rsidRPr="00E72418">
        <w:rPr>
          <w:rFonts w:ascii="Times New Roman" w:hAnsi="Times New Roman" w:cs="Times New Roman"/>
          <w:szCs w:val="24"/>
        </w:rPr>
        <w:t>s</w:t>
      </w:r>
      <w:r w:rsidR="007C57EF" w:rsidRPr="00E72418">
        <w:rPr>
          <w:rFonts w:ascii="Times New Roman" w:hAnsi="Times New Roman" w:cs="Times New Roman"/>
          <w:szCs w:val="24"/>
        </w:rPr>
        <w:t xml:space="preserve"> Unies en 2015</w:t>
      </w:r>
      <w:r w:rsidR="004912FA" w:rsidRPr="00E72418">
        <w:rPr>
          <w:rFonts w:ascii="Times New Roman" w:hAnsi="Times New Roman" w:cs="Times New Roman"/>
          <w:szCs w:val="24"/>
        </w:rPr>
        <w:t xml:space="preserve"> qui précise que « </w:t>
      </w:r>
      <w:r w:rsidR="004912FA" w:rsidRPr="00E72418">
        <w:rPr>
          <w:rFonts w:ascii="Times New Roman" w:hAnsi="Times New Roman" w:cs="Times New Roman"/>
          <w:szCs w:val="20"/>
        </w:rPr>
        <w:t>[l]</w:t>
      </w:r>
      <w:r w:rsidR="004912FA" w:rsidRPr="00E72418">
        <w:rPr>
          <w:lang w:val="fr-BE"/>
        </w:rPr>
        <w:t xml:space="preserve">a viabilité implique que les négociations de restructuration de la dette souveraine soient achevées sans délai et de manière efficace et qu’elles débouchent sur une stabilisation de la dette de l’État débiteur, en préservant d’emblée les droits des créanciers tout en favorisant la croissance économique durable et sans exclusive et le développement durable, en minimisant les coûts socioéconomiques et en garantissant la stabilité du système financier international, dans le respect des droits de l’homme </w:t>
      </w:r>
      <w:r w:rsidR="004912FA" w:rsidRPr="00E72418">
        <w:rPr>
          <w:rFonts w:ascii="Times New Roman" w:hAnsi="Times New Roman" w:cs="Times New Roman"/>
          <w:szCs w:val="24"/>
        </w:rPr>
        <w:t>»</w:t>
      </w:r>
      <w:r w:rsidR="007C57EF" w:rsidRPr="00E72418">
        <w:rPr>
          <w:rStyle w:val="Appelnotedebasdep"/>
          <w:rFonts w:ascii="Times New Roman" w:hAnsi="Times New Roman" w:cs="Times New Roman"/>
          <w:szCs w:val="24"/>
        </w:rPr>
        <w:footnoteReference w:id="174"/>
      </w:r>
      <w:r w:rsidR="007C57EF" w:rsidRPr="00E72418">
        <w:rPr>
          <w:rFonts w:ascii="Times New Roman" w:hAnsi="Times New Roman" w:cs="Times New Roman"/>
          <w:szCs w:val="24"/>
        </w:rPr>
        <w:t>.</w:t>
      </w:r>
    </w:p>
    <w:p w14:paraId="44930F28" w14:textId="46E7A7C2"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De l’avis de la Conférence des Nations Unies sur le commerce et le développement, le principe de la soutenabilité de la dette impliquant qu’une dette est viable si elle peut être honorée sans mettre à mal le développement social et économique de l’</w:t>
      </w:r>
      <w:r w:rsidRPr="00E72418">
        <w:rPr>
          <w:rFonts w:ascii="Times New Roman" w:hAnsi="Times New Roman" w:cs="Times New Roman"/>
          <w:szCs w:val="24"/>
          <w:lang w:eastAsia="fr-BE"/>
        </w:rPr>
        <w:t>É</w:t>
      </w:r>
      <w:r w:rsidRPr="00E72418">
        <w:rPr>
          <w:rFonts w:ascii="Times New Roman" w:hAnsi="Times New Roman" w:cs="Times New Roman"/>
          <w:szCs w:val="24"/>
        </w:rPr>
        <w:t>tat débiteur est un principe général de droit, à tout le moins émergent</w:t>
      </w:r>
      <w:r w:rsidRPr="00E72418">
        <w:rPr>
          <w:rStyle w:val="Appelnotedebasdep"/>
          <w:rFonts w:ascii="Times New Roman" w:hAnsi="Times New Roman" w:cs="Times New Roman"/>
          <w:szCs w:val="24"/>
        </w:rPr>
        <w:footnoteReference w:id="175"/>
      </w:r>
      <w:r w:rsidRPr="00E72418">
        <w:rPr>
          <w:rFonts w:ascii="Times New Roman" w:hAnsi="Times New Roman" w:cs="Times New Roman"/>
          <w:szCs w:val="24"/>
        </w:rPr>
        <w:t xml:space="preserve">. </w:t>
      </w:r>
      <w:r w:rsidR="00A17224" w:rsidRPr="00E72418">
        <w:rPr>
          <w:rFonts w:ascii="Times New Roman" w:hAnsi="Times New Roman" w:cs="Times New Roman"/>
          <w:szCs w:val="24"/>
        </w:rPr>
        <w:t>I</w:t>
      </w:r>
      <w:r w:rsidRPr="00E72418">
        <w:rPr>
          <w:rFonts w:ascii="Times New Roman" w:hAnsi="Times New Roman" w:cs="Times New Roman"/>
          <w:szCs w:val="24"/>
        </w:rPr>
        <w:t>l</w:t>
      </w:r>
      <w:r w:rsidR="00547D55" w:rsidRPr="00E72418">
        <w:rPr>
          <w:rFonts w:ascii="Times New Roman" w:hAnsi="Times New Roman" w:cs="Times New Roman"/>
          <w:szCs w:val="24"/>
        </w:rPr>
        <w:t xml:space="preserve"> est à noter que ce principe</w:t>
      </w:r>
      <w:r w:rsidRPr="00E72418">
        <w:rPr>
          <w:rFonts w:ascii="Times New Roman" w:hAnsi="Times New Roman" w:cs="Times New Roman"/>
          <w:szCs w:val="24"/>
        </w:rPr>
        <w:t xml:space="preserve"> reçoit des déclinaisons tangibles dans le droit positif, comme dans la loi belge du 12 juillet 2015 relative à la lutte contre les activités des fonds vautours qui le reprend comme un critère d’application au mécanisme qu’elle met en place</w:t>
      </w:r>
      <w:r w:rsidRPr="00E72418">
        <w:rPr>
          <w:rStyle w:val="Appelnotedebasdep"/>
          <w:rFonts w:ascii="Times New Roman" w:hAnsi="Times New Roman" w:cs="Times New Roman"/>
          <w:szCs w:val="24"/>
        </w:rPr>
        <w:footnoteReference w:id="176"/>
      </w:r>
      <w:r w:rsidR="001C1FFE" w:rsidRPr="00E72418">
        <w:rPr>
          <w:rFonts w:ascii="Times New Roman" w:hAnsi="Times New Roman" w:cs="Times New Roman"/>
          <w:szCs w:val="24"/>
        </w:rPr>
        <w:t>.</w:t>
      </w:r>
    </w:p>
    <w:p w14:paraId="58B94F1E" w14:textId="77777777" w:rsidR="007C57EF" w:rsidRPr="00E72418" w:rsidRDefault="007C57EF" w:rsidP="00423B60"/>
    <w:p w14:paraId="68ADA45E" w14:textId="456BBADB" w:rsidR="00DA1873"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37</w:t>
      </w:r>
      <w:r w:rsidR="007E31CD" w:rsidRPr="00E72418">
        <w:rPr>
          <w:rFonts w:ascii="Times New Roman" w:hAnsi="Times New Roman" w:cs="Times New Roman"/>
          <w:b/>
          <w:szCs w:val="24"/>
        </w:rPr>
        <w:t xml:space="preserve">. </w:t>
      </w:r>
      <w:r w:rsidR="007C57EF" w:rsidRPr="00E72418">
        <w:rPr>
          <w:rFonts w:ascii="Times New Roman" w:hAnsi="Times New Roman" w:cs="Times New Roman"/>
          <w:b/>
          <w:szCs w:val="24"/>
        </w:rPr>
        <w:t>La critique des analyses de viabilité pratiquée</w:t>
      </w:r>
      <w:r w:rsidR="00547D55" w:rsidRPr="00E72418">
        <w:rPr>
          <w:rFonts w:ascii="Times New Roman" w:hAnsi="Times New Roman" w:cs="Times New Roman"/>
          <w:b/>
          <w:szCs w:val="24"/>
        </w:rPr>
        <w:t>s</w:t>
      </w:r>
      <w:r w:rsidR="007C57EF" w:rsidRPr="00E72418">
        <w:rPr>
          <w:rFonts w:ascii="Times New Roman" w:hAnsi="Times New Roman" w:cs="Times New Roman"/>
          <w:b/>
          <w:szCs w:val="24"/>
        </w:rPr>
        <w:t xml:space="preserve"> – </w:t>
      </w:r>
      <w:r w:rsidR="007C57EF" w:rsidRPr="00E72418">
        <w:rPr>
          <w:rFonts w:ascii="Times New Roman" w:hAnsi="Times New Roman" w:cs="Times New Roman"/>
          <w:szCs w:val="24"/>
        </w:rPr>
        <w:t xml:space="preserve">Si l’on peut comme </w:t>
      </w:r>
      <w:r w:rsidR="00373B28" w:rsidRPr="00E72418">
        <w:rPr>
          <w:rFonts w:ascii="Times New Roman" w:hAnsi="Times New Roman" w:cs="Times New Roman"/>
          <w:szCs w:val="24"/>
        </w:rPr>
        <w:t xml:space="preserve">Steven </w:t>
      </w:r>
      <w:r w:rsidR="007C57EF" w:rsidRPr="00E72418">
        <w:rPr>
          <w:rFonts w:ascii="Times New Roman" w:hAnsi="Times New Roman" w:cs="Times New Roman"/>
          <w:szCs w:val="24"/>
        </w:rPr>
        <w:t>Schwarcz retenir que « [t]here does not yet, however, appear to be a universally accepted view of what constitutes debt sustainability for nations »</w:t>
      </w:r>
      <w:r w:rsidR="007C57EF" w:rsidRPr="00E72418">
        <w:rPr>
          <w:rStyle w:val="Appelnotedebasdep"/>
          <w:rFonts w:ascii="Times New Roman" w:hAnsi="Times New Roman" w:cs="Times New Roman"/>
          <w:szCs w:val="24"/>
        </w:rPr>
        <w:footnoteReference w:id="177"/>
      </w:r>
      <w:r w:rsidR="007C57EF" w:rsidRPr="00E72418">
        <w:rPr>
          <w:rFonts w:ascii="Times New Roman" w:hAnsi="Times New Roman" w:cs="Times New Roman"/>
          <w:szCs w:val="24"/>
        </w:rPr>
        <w:t xml:space="preserve">, la pierre d’achoppement </w:t>
      </w:r>
      <w:r w:rsidR="001C1FFE" w:rsidRPr="00E72418">
        <w:rPr>
          <w:rFonts w:ascii="Times New Roman" w:hAnsi="Times New Roman" w:cs="Times New Roman"/>
          <w:szCs w:val="24"/>
        </w:rPr>
        <w:t>se situe généralement</w:t>
      </w:r>
      <w:r w:rsidR="007C57EF" w:rsidRPr="00E72418">
        <w:rPr>
          <w:rFonts w:ascii="Times New Roman" w:hAnsi="Times New Roman" w:cs="Times New Roman"/>
          <w:szCs w:val="24"/>
        </w:rPr>
        <w:t xml:space="preserve"> à l’endroit des critères mobilisés dans les analyses de viabilité pratiquées</w:t>
      </w:r>
      <w:r w:rsidR="007C57EF" w:rsidRPr="00E72418">
        <w:rPr>
          <w:rStyle w:val="Appelnotedebasdep"/>
          <w:rFonts w:ascii="Times New Roman" w:hAnsi="Times New Roman" w:cs="Times New Roman"/>
          <w:szCs w:val="24"/>
        </w:rPr>
        <w:footnoteReference w:id="178"/>
      </w:r>
      <w:r w:rsidR="007C57EF" w:rsidRPr="00E72418">
        <w:rPr>
          <w:rFonts w:ascii="Times New Roman" w:hAnsi="Times New Roman" w:cs="Times New Roman"/>
          <w:szCs w:val="24"/>
        </w:rPr>
        <w:t xml:space="preserve">. La critique majeure </w:t>
      </w:r>
      <w:r w:rsidR="007C57EF" w:rsidRPr="00E72418">
        <w:rPr>
          <w:rFonts w:ascii="Times New Roman" w:hAnsi="Times New Roman" w:cs="Times New Roman"/>
          <w:szCs w:val="24"/>
        </w:rPr>
        <w:lastRenderedPageBreak/>
        <w:t>de</w:t>
      </w:r>
      <w:r w:rsidR="00CC0E87" w:rsidRPr="00E72418">
        <w:rPr>
          <w:rFonts w:ascii="Times New Roman" w:hAnsi="Times New Roman" w:cs="Times New Roman"/>
          <w:szCs w:val="24"/>
        </w:rPr>
        <w:t xml:space="preserve"> ces</w:t>
      </w:r>
      <w:r w:rsidR="007C57EF" w:rsidRPr="00E72418">
        <w:rPr>
          <w:rFonts w:ascii="Times New Roman" w:hAnsi="Times New Roman" w:cs="Times New Roman"/>
          <w:szCs w:val="24"/>
        </w:rPr>
        <w:t xml:space="preserve"> </w:t>
      </w:r>
      <w:r w:rsidR="00CC0E87" w:rsidRPr="00E72418">
        <w:rPr>
          <w:rFonts w:ascii="Times New Roman" w:hAnsi="Times New Roman" w:cs="Times New Roman"/>
          <w:szCs w:val="24"/>
        </w:rPr>
        <w:t>analyses</w:t>
      </w:r>
      <w:r w:rsidR="00F735C0" w:rsidRPr="00E72418">
        <w:rPr>
          <w:rFonts w:ascii="Times New Roman" w:hAnsi="Times New Roman" w:cs="Times New Roman"/>
          <w:szCs w:val="24"/>
        </w:rPr>
        <w:t xml:space="preserve">, comme par exemple la </w:t>
      </w:r>
      <w:r w:rsidR="00F735C0" w:rsidRPr="00E72418">
        <w:rPr>
          <w:rFonts w:ascii="Times New Roman" w:hAnsi="Times New Roman" w:cs="Times New Roman"/>
          <w:i/>
          <w:szCs w:val="24"/>
        </w:rPr>
        <w:t>Debt Sustainability Analysis</w:t>
      </w:r>
      <w:r w:rsidR="00F735C0" w:rsidRPr="00E72418">
        <w:rPr>
          <w:rFonts w:ascii="Times New Roman" w:hAnsi="Times New Roman" w:cs="Times New Roman"/>
          <w:szCs w:val="24"/>
        </w:rPr>
        <w:t xml:space="preserve"> pratiquée par le Fonds monétaire international</w:t>
      </w:r>
      <w:r w:rsidR="00F735C0" w:rsidRPr="00E72418">
        <w:rPr>
          <w:rStyle w:val="Appelnotedebasdep"/>
          <w:rFonts w:ascii="Times New Roman" w:hAnsi="Times New Roman" w:cs="Times New Roman"/>
          <w:szCs w:val="24"/>
        </w:rPr>
        <w:footnoteReference w:id="179"/>
      </w:r>
      <w:r w:rsidR="00F735C0" w:rsidRPr="00E72418">
        <w:rPr>
          <w:rFonts w:ascii="Times New Roman" w:hAnsi="Times New Roman" w:cs="Times New Roman"/>
          <w:szCs w:val="24"/>
        </w:rPr>
        <w:t>,</w:t>
      </w:r>
      <w:r w:rsidR="00CC0E87" w:rsidRPr="00E72418">
        <w:rPr>
          <w:rFonts w:ascii="Times New Roman" w:hAnsi="Times New Roman" w:cs="Times New Roman"/>
          <w:szCs w:val="24"/>
        </w:rPr>
        <w:t xml:space="preserve"> porte sur le fait</w:t>
      </w:r>
      <w:r w:rsidR="007C57EF" w:rsidRPr="00E72418">
        <w:rPr>
          <w:rFonts w:ascii="Times New Roman" w:hAnsi="Times New Roman" w:cs="Times New Roman"/>
          <w:szCs w:val="24"/>
        </w:rPr>
        <w:t xml:space="preserve"> qu’elles ne prennent pas suffisamment en compte les problèmes sociaux que peuvent entraîner les remboursements</w:t>
      </w:r>
      <w:r w:rsidR="0030147D">
        <w:rPr>
          <w:rFonts w:ascii="Times New Roman" w:hAnsi="Times New Roman" w:cs="Times New Roman"/>
          <w:szCs w:val="24"/>
        </w:rPr>
        <w:t xml:space="preserve"> de dettes</w:t>
      </w:r>
      <w:r w:rsidR="007C57EF" w:rsidRPr="00E72418">
        <w:rPr>
          <w:rStyle w:val="Appelnotedebasdep"/>
          <w:rFonts w:ascii="Times New Roman" w:hAnsi="Times New Roman" w:cs="Times New Roman"/>
          <w:szCs w:val="24"/>
        </w:rPr>
        <w:footnoteReference w:id="180"/>
      </w:r>
      <w:r w:rsidR="007C57EF" w:rsidRPr="00E72418">
        <w:rPr>
          <w:rFonts w:ascii="Times New Roman" w:hAnsi="Times New Roman" w:cs="Times New Roman"/>
          <w:szCs w:val="24"/>
        </w:rPr>
        <w:t>.</w:t>
      </w:r>
      <w:r w:rsidR="005035B2" w:rsidRPr="00E72418">
        <w:rPr>
          <w:rFonts w:ascii="Times New Roman" w:hAnsi="Times New Roman" w:cs="Times New Roman"/>
          <w:szCs w:val="24"/>
        </w:rPr>
        <w:t xml:space="preserve"> Sans doute cette réalité s’explique-t-elle par le fait que</w:t>
      </w:r>
      <w:r w:rsidR="002537A1" w:rsidRPr="00E72418">
        <w:rPr>
          <w:rFonts w:ascii="Times New Roman" w:hAnsi="Times New Roman" w:cs="Times New Roman"/>
          <w:szCs w:val="24"/>
        </w:rPr>
        <w:t>,</w:t>
      </w:r>
      <w:r w:rsidR="005035B2" w:rsidRPr="00E72418">
        <w:rPr>
          <w:rFonts w:ascii="Times New Roman" w:hAnsi="Times New Roman" w:cs="Times New Roman"/>
          <w:szCs w:val="24"/>
        </w:rPr>
        <w:t xml:space="preserve"> souvent, les difficultés entourant les dettes souveraines sont réduites à la seule relation </w:t>
      </w:r>
      <w:r w:rsidR="00501A77" w:rsidRPr="00E72418">
        <w:rPr>
          <w:rFonts w:ascii="Times New Roman" w:hAnsi="Times New Roman" w:cs="Times New Roman"/>
          <w:szCs w:val="24"/>
        </w:rPr>
        <w:t xml:space="preserve">financière entre le </w:t>
      </w:r>
      <w:r w:rsidR="005035B2" w:rsidRPr="00E72418">
        <w:rPr>
          <w:rFonts w:ascii="Times New Roman" w:hAnsi="Times New Roman" w:cs="Times New Roman"/>
          <w:szCs w:val="24"/>
        </w:rPr>
        <w:t>débiteur</w:t>
      </w:r>
      <w:r w:rsidR="00501A77" w:rsidRPr="00E72418">
        <w:rPr>
          <w:rFonts w:ascii="Times New Roman" w:hAnsi="Times New Roman" w:cs="Times New Roman"/>
          <w:szCs w:val="24"/>
        </w:rPr>
        <w:t xml:space="preserve"> souverain et ses </w:t>
      </w:r>
      <w:r w:rsidR="005035B2" w:rsidRPr="00E72418">
        <w:rPr>
          <w:rFonts w:ascii="Times New Roman" w:hAnsi="Times New Roman" w:cs="Times New Roman"/>
          <w:szCs w:val="24"/>
        </w:rPr>
        <w:t>créancier</w:t>
      </w:r>
      <w:r w:rsidR="00501A77" w:rsidRPr="00E72418">
        <w:rPr>
          <w:rFonts w:ascii="Times New Roman" w:hAnsi="Times New Roman" w:cs="Times New Roman"/>
          <w:szCs w:val="24"/>
        </w:rPr>
        <w:t>s</w:t>
      </w:r>
      <w:r w:rsidR="005035B2" w:rsidRPr="00E72418">
        <w:rPr>
          <w:rFonts w:ascii="Times New Roman" w:hAnsi="Times New Roman" w:cs="Times New Roman"/>
          <w:szCs w:val="24"/>
        </w:rPr>
        <w:t xml:space="preserve"> sans qu’égard il y ait à la particularité du premier à qui il revient d’assurer diverses missions au profit de sa population</w:t>
      </w:r>
      <w:r w:rsidR="00501A77" w:rsidRPr="00E72418">
        <w:rPr>
          <w:rStyle w:val="Appelnotedebasdep"/>
          <w:rFonts w:ascii="Times New Roman" w:hAnsi="Times New Roman" w:cs="Times New Roman"/>
          <w:szCs w:val="24"/>
        </w:rPr>
        <w:footnoteReference w:id="181"/>
      </w:r>
      <w:r w:rsidR="00DA1873" w:rsidRPr="00E72418">
        <w:rPr>
          <w:rFonts w:ascii="Times New Roman" w:hAnsi="Times New Roman" w:cs="Times New Roman"/>
          <w:szCs w:val="24"/>
        </w:rPr>
        <w:t>.</w:t>
      </w:r>
    </w:p>
    <w:p w14:paraId="6C978BFF" w14:textId="7D99087C" w:rsidR="007C57EF" w:rsidRPr="00E72418" w:rsidRDefault="007C57EF" w:rsidP="00CC4BA8">
      <w:pPr>
        <w:spacing w:line="276" w:lineRule="auto"/>
        <w:rPr>
          <w:szCs w:val="24"/>
        </w:rPr>
      </w:pPr>
      <w:r w:rsidRPr="00E72418">
        <w:rPr>
          <w:rFonts w:ascii="Times New Roman" w:hAnsi="Times New Roman" w:cs="Times New Roman"/>
          <w:szCs w:val="24"/>
        </w:rPr>
        <w:t xml:space="preserve">Les projections financières ne sauraient être seules prises en compte sans qu’aucun égard </w:t>
      </w:r>
      <w:r w:rsidR="00CC0E87" w:rsidRPr="00E72418">
        <w:rPr>
          <w:rFonts w:ascii="Times New Roman" w:hAnsi="Times New Roman" w:cs="Times New Roman"/>
          <w:szCs w:val="24"/>
        </w:rPr>
        <w:t>ne soit accordé aux impacts d</w:t>
      </w:r>
      <w:r w:rsidRPr="00E72418">
        <w:rPr>
          <w:rFonts w:ascii="Times New Roman" w:hAnsi="Times New Roman" w:cs="Times New Roman"/>
          <w:szCs w:val="24"/>
        </w:rPr>
        <w:t xml:space="preserve">es dettes </w:t>
      </w:r>
      <w:r w:rsidR="00CC0E87" w:rsidRPr="00E72418">
        <w:rPr>
          <w:rFonts w:ascii="Times New Roman" w:hAnsi="Times New Roman" w:cs="Times New Roman"/>
          <w:szCs w:val="24"/>
        </w:rPr>
        <w:t xml:space="preserve">et de leur remboursement </w:t>
      </w:r>
      <w:r w:rsidRPr="00E72418">
        <w:rPr>
          <w:rFonts w:ascii="Times New Roman" w:hAnsi="Times New Roman" w:cs="Times New Roman"/>
          <w:szCs w:val="24"/>
        </w:rPr>
        <w:t xml:space="preserve">sur les populations concernées. </w:t>
      </w:r>
      <w:r w:rsidR="00CC0E87" w:rsidRPr="00E72418">
        <w:rPr>
          <w:rFonts w:ascii="Times New Roman" w:hAnsi="Times New Roman" w:cs="Times New Roman"/>
          <w:szCs w:val="24"/>
        </w:rPr>
        <w:t xml:space="preserve">Ainsi, </w:t>
      </w:r>
      <w:r w:rsidR="00922858" w:rsidRPr="00E72418">
        <w:rPr>
          <w:rFonts w:cs="Times New Roman"/>
        </w:rPr>
        <w:t xml:space="preserve">Cephas </w:t>
      </w:r>
      <w:r w:rsidR="00CC0E87" w:rsidRPr="00E72418">
        <w:rPr>
          <w:rFonts w:ascii="Times New Roman" w:hAnsi="Times New Roman" w:cs="Times New Roman"/>
          <w:szCs w:val="24"/>
        </w:rPr>
        <w:t>Lumina</w:t>
      </w:r>
      <w:r w:rsidRPr="00E72418">
        <w:rPr>
          <w:rFonts w:ascii="Times New Roman" w:hAnsi="Times New Roman" w:cs="Times New Roman"/>
          <w:szCs w:val="24"/>
        </w:rPr>
        <w:t xml:space="preserve"> relevait dans l’un de ses rapports</w:t>
      </w:r>
      <w:r w:rsidR="00CC0E87" w:rsidRPr="00E72418">
        <w:rPr>
          <w:rFonts w:ascii="Times New Roman" w:hAnsi="Times New Roman" w:cs="Times New Roman"/>
          <w:szCs w:val="24"/>
        </w:rPr>
        <w:t xml:space="preserve"> rédigé</w:t>
      </w:r>
      <w:r w:rsidR="00F16DA9" w:rsidRPr="00E72418">
        <w:rPr>
          <w:rFonts w:ascii="Times New Roman" w:hAnsi="Times New Roman" w:cs="Times New Roman"/>
          <w:szCs w:val="24"/>
        </w:rPr>
        <w:t>s</w:t>
      </w:r>
      <w:r w:rsidR="00CC0E87" w:rsidRPr="00E72418">
        <w:rPr>
          <w:rFonts w:ascii="Times New Roman" w:hAnsi="Times New Roman" w:cs="Times New Roman"/>
          <w:szCs w:val="24"/>
        </w:rPr>
        <w:t xml:space="preserve"> en tant expert indépendant pour le Conseil des droits de l’homme des Nations Unies</w:t>
      </w:r>
      <w:r w:rsidRPr="00E72418">
        <w:rPr>
          <w:rFonts w:ascii="Times New Roman" w:hAnsi="Times New Roman" w:cs="Times New Roman"/>
          <w:szCs w:val="24"/>
        </w:rPr>
        <w:t xml:space="preserve"> que </w:t>
      </w:r>
      <w:r w:rsidRPr="00E72418">
        <w:rPr>
          <w:rFonts w:ascii="Times New Roman" w:hAnsi="Times New Roman" w:cs="Times New Roman"/>
          <w:szCs w:val="24"/>
          <w:lang w:eastAsia="fr-BE"/>
        </w:rPr>
        <w:t xml:space="preserve">« </w:t>
      </w:r>
      <w:r w:rsidRPr="00E72418">
        <w:rPr>
          <w:rFonts w:ascii="Times New Roman" w:hAnsi="Times New Roman" w:cs="Times New Roman"/>
          <w:szCs w:val="24"/>
        </w:rPr>
        <w:t>[l]es évaluations de la viabilité de la</w:t>
      </w:r>
      <w:r w:rsidRPr="00E72418">
        <w:rPr>
          <w:szCs w:val="24"/>
        </w:rPr>
        <w:t xml:space="preserve"> dette ne doivent pas se limiter à des considérations économiques (les perspectives de croissance économique de l’État débiteur et sa capacité d’assurer le service de sa dette) mais doivent aussi tenir compte de l’impact du fardeau de la dette sur la capacité du pays de réaliser les objectifs du Millénaire pour le développement et de créer les conditions permettant la réalisation de tous les droits de l’homme »</w:t>
      </w:r>
      <w:r w:rsidRPr="00E72418">
        <w:rPr>
          <w:rStyle w:val="Appelnotedebasdep"/>
          <w:rFonts w:cs="Times New Roman"/>
          <w:szCs w:val="24"/>
        </w:rPr>
        <w:footnoteReference w:id="182"/>
      </w:r>
      <w:r w:rsidRPr="00E72418">
        <w:t xml:space="preserve">. </w:t>
      </w:r>
      <w:r w:rsidRPr="00E72418">
        <w:rPr>
          <w:szCs w:val="24"/>
        </w:rPr>
        <w:t xml:space="preserve">Dans un rapport de 2018, </w:t>
      </w:r>
      <w:r w:rsidR="00922858" w:rsidRPr="00E72418">
        <w:t xml:space="preserve">Juan Pablo </w:t>
      </w:r>
      <w:r w:rsidRPr="00E72418">
        <w:t xml:space="preserve">Bohoslavsky, également expert indépendant pour le Conseil des droits de l’homme, </w:t>
      </w:r>
      <w:r w:rsidR="00CC0E87" w:rsidRPr="00E72418">
        <w:rPr>
          <w:szCs w:val="24"/>
        </w:rPr>
        <w:t>remarquait</w:t>
      </w:r>
      <w:r w:rsidRPr="00E72418">
        <w:rPr>
          <w:szCs w:val="24"/>
        </w:rPr>
        <w:t xml:space="preserve"> que l</w:t>
      </w:r>
      <w:r w:rsidRPr="00E72418">
        <w:t xml:space="preserve">a dette ne saurait être qualifiée de viable si l’on fait abstraction de la dimension sociale de la viabilité et de la dimension </w:t>
      </w:r>
      <w:r w:rsidR="007A2CF6" w:rsidRPr="00E72418">
        <w:t>touchant</w:t>
      </w:r>
      <w:r w:rsidRPr="00E72418">
        <w:t xml:space="preserve"> aux droits</w:t>
      </w:r>
      <w:r w:rsidR="007A2CF6" w:rsidRPr="00E72418">
        <w:t xml:space="preserve"> de</w:t>
      </w:r>
      <w:r w:rsidRPr="00E72418">
        <w:t xml:space="preserve"> l’homme</w:t>
      </w:r>
      <w:r w:rsidRPr="00E72418">
        <w:rPr>
          <w:rStyle w:val="Appelnotedebasdep"/>
        </w:rPr>
        <w:footnoteReference w:id="183"/>
      </w:r>
      <w:r w:rsidRPr="00E72418">
        <w:t xml:space="preserve">. Pour la Conférence des Nations Unies sur le commerce et le développement, une dette n’est pleinement viable que lorsque son service </w:t>
      </w:r>
      <w:r w:rsidRPr="00E72418">
        <w:lastRenderedPageBreak/>
        <w:t>n’entame pas le développement social et économique de la société</w:t>
      </w:r>
      <w:r w:rsidRPr="00E72418">
        <w:rPr>
          <w:rStyle w:val="Appelnotedebasdep"/>
        </w:rPr>
        <w:footnoteReference w:id="184"/>
      </w:r>
      <w:r w:rsidRPr="00E72418">
        <w:t>. Dans le même ordre d’idées, le Comité consultatif du Conseil des droits de l’homme des Nations Unies fait valoir que « la dette n’est viable que lorsque son service ne porte pas atteinte aux droits de l’homme et à la dignité humaine et n’empêche pas la réalisation des objectifs internationaux de développement »</w:t>
      </w:r>
      <w:r w:rsidRPr="00E72418">
        <w:rPr>
          <w:rStyle w:val="Appelnotedebasdep"/>
        </w:rPr>
        <w:footnoteReference w:id="185"/>
      </w:r>
      <w:r w:rsidRPr="00E72418">
        <w:t xml:space="preserve">. </w:t>
      </w:r>
      <w:r w:rsidRPr="00E72418">
        <w:rPr>
          <w:szCs w:val="24"/>
        </w:rPr>
        <w:t xml:space="preserve">Généralement, la prise en compte lors de l’évaluation de la soutenabilité des dettes souveraines, des enjeux économiques et sociaux pour les populations concernées est </w:t>
      </w:r>
      <w:r w:rsidR="007A2CF6" w:rsidRPr="00E72418">
        <w:rPr>
          <w:szCs w:val="24"/>
        </w:rPr>
        <w:t xml:space="preserve">également </w:t>
      </w:r>
      <w:r w:rsidRPr="00E72418">
        <w:rPr>
          <w:szCs w:val="24"/>
        </w:rPr>
        <w:t>souhaitée dans la littérature scientifique</w:t>
      </w:r>
      <w:r w:rsidRPr="00E72418">
        <w:rPr>
          <w:rStyle w:val="Appelnotedebasdep"/>
          <w:szCs w:val="24"/>
        </w:rPr>
        <w:footnoteReference w:id="186"/>
      </w:r>
      <w:r w:rsidRPr="00E72418">
        <w:rPr>
          <w:szCs w:val="24"/>
        </w:rPr>
        <w:t>.</w:t>
      </w:r>
    </w:p>
    <w:p w14:paraId="72E76BDD" w14:textId="77777777" w:rsidR="00194C97" w:rsidRPr="00E72418" w:rsidRDefault="00194C97" w:rsidP="00CC4BA8">
      <w:pPr>
        <w:spacing w:line="276" w:lineRule="auto"/>
      </w:pPr>
    </w:p>
    <w:p w14:paraId="6BB820DB" w14:textId="7F5ABF66" w:rsidR="007C57EF" w:rsidRPr="00E72418" w:rsidRDefault="007F038F" w:rsidP="00CC4BA8">
      <w:pPr>
        <w:spacing w:line="276" w:lineRule="auto"/>
      </w:pPr>
      <w:r w:rsidRPr="00E72418">
        <w:rPr>
          <w:b/>
        </w:rPr>
        <w:t>38</w:t>
      </w:r>
      <w:r w:rsidR="007E31CD" w:rsidRPr="00E72418">
        <w:rPr>
          <w:b/>
        </w:rPr>
        <w:t xml:space="preserve">. </w:t>
      </w:r>
      <w:r w:rsidR="007C57EF" w:rsidRPr="00E72418">
        <w:rPr>
          <w:b/>
        </w:rPr>
        <w:t xml:space="preserve">Une obligation de diligence des créanciers – </w:t>
      </w:r>
      <w:r w:rsidR="007C57EF" w:rsidRPr="00E72418">
        <w:t xml:space="preserve">Les principes directeurs relatifs à la dette extérieure et aux droits de l’homme </w:t>
      </w:r>
      <w:r w:rsidR="007A2CF6" w:rsidRPr="00E72418">
        <w:t xml:space="preserve">pensés au sein des Nations Unies </w:t>
      </w:r>
      <w:r w:rsidR="007C57EF" w:rsidRPr="00E72418">
        <w:t>visent à assurer que l’engagement de crédits au bénéfice d’</w:t>
      </w:r>
      <w:r w:rsidR="007C57EF" w:rsidRPr="00E72418">
        <w:rPr>
          <w:lang w:eastAsia="fr-BE"/>
        </w:rPr>
        <w:t>É</w:t>
      </w:r>
      <w:r w:rsidR="007C57EF" w:rsidRPr="00E72418">
        <w:t>tats soit fait de manière réfléchie et responsable dans un souci de respect des droits de l’homme. Ils précisent ainsi notamment que « [l]es prêteurs non étatiques sont tenus de veiller à ce que les contrats relatifs à la dette auxquels ils sont parties ou les politiques y relatives respectent pleinement les droits de l’homme », que « [s</w:t>
      </w:r>
      <w:r w:rsidR="002F747E">
        <w:t>’]</w:t>
      </w:r>
      <w:r w:rsidR="007C57EF" w:rsidRPr="00E72418">
        <w:t>agissant des créanciers, ils sont notamment tenus d’une obligation de vigilance quant à la solvabilité et la capacité de rembourser de l’emprunteur et ils doivent s’abstenir d’accorder un prêt lorsqu’ils savent que les fonds seront utilisés à des fins non publiques ou pour un projet non viable » et que « [t]ous les prêteurs devraient s’acquitter de leur obligation de vigilance pour s’assurer que l’emprunt envisagé ne portera pas l’encours de la dette extérieure de l’État emprunteur à un niveau insoutenable rendant difficile le remboursement de la dette et entravant la création des conditions propres à la réalisation des droits de l’homme […] »</w:t>
      </w:r>
      <w:r w:rsidR="007C57EF" w:rsidRPr="00E72418">
        <w:rPr>
          <w:rStyle w:val="Appelnotedebasdep"/>
          <w:rFonts w:cs="Times New Roman"/>
          <w:szCs w:val="24"/>
        </w:rPr>
        <w:footnoteReference w:id="187"/>
      </w:r>
      <w:r w:rsidR="00007412" w:rsidRPr="00E72418">
        <w:t>.</w:t>
      </w:r>
      <w:r w:rsidR="00DD6DCC" w:rsidRPr="00E72418">
        <w:t xml:space="preserve"> Si ces principes sont méconnus, l</w:t>
      </w:r>
      <w:r w:rsidR="00DD6DCC" w:rsidRPr="00E72418">
        <w:rPr>
          <w:rFonts w:ascii="Times New Roman" w:hAnsi="Times New Roman" w:cs="Times New Roman"/>
          <w:bCs/>
        </w:rPr>
        <w:t xml:space="preserve">a dette pourrait être jugée illégitime puisque, comme le note Jean-François Boudet, </w:t>
      </w:r>
      <w:r w:rsidR="00DD6DCC" w:rsidRPr="00E72418">
        <w:rPr>
          <w:rFonts w:ascii="Times New Roman" w:hAnsi="Times New Roman" w:cs="Times New Roman"/>
          <w:bCs/>
        </w:rPr>
        <w:lastRenderedPageBreak/>
        <w:t xml:space="preserve">« la responsabilité n’incomberait plus au seul </w:t>
      </w:r>
      <w:r w:rsidR="007429E8" w:rsidRPr="00E72418">
        <w:rPr>
          <w:rFonts w:cs="Times New Roman"/>
          <w:szCs w:val="20"/>
        </w:rPr>
        <w:t>É</w:t>
      </w:r>
      <w:r w:rsidR="00DD6DCC" w:rsidRPr="00E72418">
        <w:rPr>
          <w:rFonts w:ascii="Times New Roman" w:hAnsi="Times New Roman" w:cs="Times New Roman"/>
          <w:bCs/>
        </w:rPr>
        <w:t>tat débiteur, déjà couvert de dettes, mais aux créanciers, lesquels ont fait un placement malvenu, intéressé et inapproprié »</w:t>
      </w:r>
      <w:r w:rsidR="00DD6DCC" w:rsidRPr="00E72418">
        <w:rPr>
          <w:rStyle w:val="Appelnotedebasdep"/>
          <w:rFonts w:ascii="Times New Roman" w:hAnsi="Times New Roman" w:cs="Times New Roman"/>
          <w:bCs/>
        </w:rPr>
        <w:footnoteReference w:id="188"/>
      </w:r>
      <w:r w:rsidR="00DD6DCC" w:rsidRPr="00E72418">
        <w:rPr>
          <w:rFonts w:ascii="Times New Roman" w:hAnsi="Times New Roman" w:cs="Times New Roman"/>
          <w:bCs/>
        </w:rPr>
        <w:t>.</w:t>
      </w:r>
    </w:p>
    <w:p w14:paraId="11D15105" w14:textId="765AECEA"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Parallèlement à cela, les principes directeurs relatifs aux entreprises et aux droits de l’homme pensés au sein du Conseil des droits de l’homme des Nations Unies reprenne</w:t>
      </w:r>
      <w:r w:rsidR="00007412" w:rsidRPr="00E72418">
        <w:rPr>
          <w:rFonts w:ascii="Times New Roman" w:hAnsi="Times New Roman" w:cs="Times New Roman"/>
        </w:rPr>
        <w:t>nt</w:t>
      </w:r>
      <w:r w:rsidRPr="00E72418">
        <w:rPr>
          <w:rFonts w:ascii="Times New Roman" w:hAnsi="Times New Roman" w:cs="Times New Roman"/>
        </w:rPr>
        <w:t xml:space="preserve"> plus généralement le principe selon lequel « [l]es entreprises devraient […] éviter de porter atteinte aux droits de l’homme d’autrui et remédier aux incidences négatives sur les droits de l’homme dans lesquelles elles ont une part »</w:t>
      </w:r>
      <w:r w:rsidRPr="00E72418">
        <w:rPr>
          <w:rStyle w:val="Appelnotedebasdep"/>
          <w:rFonts w:ascii="Times New Roman" w:hAnsi="Times New Roman" w:cs="Times New Roman"/>
          <w:szCs w:val="24"/>
        </w:rPr>
        <w:footnoteReference w:id="189"/>
      </w:r>
      <w:r w:rsidRPr="00E72418">
        <w:rPr>
          <w:rFonts w:ascii="Times New Roman" w:hAnsi="Times New Roman" w:cs="Times New Roman"/>
        </w:rPr>
        <w:t>. Dans cette veine, le Comité consultatif du Conseil des droits de l’homme des Nations Unies fait valoir qu’incombe aux sociétés créancières d’</w:t>
      </w:r>
      <w:r w:rsidRPr="00E72418">
        <w:rPr>
          <w:rFonts w:ascii="Times New Roman" w:hAnsi="Times New Roman" w:cs="Times New Roman"/>
          <w:lang w:eastAsia="fr-BE"/>
        </w:rPr>
        <w:t>É</w:t>
      </w:r>
      <w:r w:rsidRPr="00E72418">
        <w:rPr>
          <w:rFonts w:ascii="Times New Roman" w:hAnsi="Times New Roman" w:cs="Times New Roman"/>
        </w:rPr>
        <w:t>tats l</w:t>
      </w:r>
      <w:r w:rsidRPr="00E72418">
        <w:rPr>
          <w:rFonts w:ascii="Times New Roman" w:hAnsi="Times New Roman" w:cs="Times New Roman"/>
          <w:bCs/>
        </w:rPr>
        <w:t>’obligation d’exercer la diligence voulue pour préserver les droits économiques, sociaux et culturels de toute incidence négative et de toute violation</w:t>
      </w:r>
      <w:r w:rsidRPr="00E72418">
        <w:rPr>
          <w:rStyle w:val="Appelnotedebasdep"/>
          <w:rFonts w:ascii="Times New Roman" w:hAnsi="Times New Roman" w:cs="Times New Roman"/>
          <w:bCs/>
          <w:szCs w:val="24"/>
        </w:rPr>
        <w:footnoteReference w:id="190"/>
      </w:r>
      <w:r w:rsidRPr="00E72418">
        <w:rPr>
          <w:rFonts w:ascii="Times New Roman" w:hAnsi="Times New Roman" w:cs="Times New Roman"/>
          <w:bCs/>
        </w:rPr>
        <w:t>. Ainsi, le Comité fait valoir que les effets de leurs activités sur l’exercice de ces droits devraient par conséquent être systématiquement évalués</w:t>
      </w:r>
      <w:r w:rsidRPr="00E72418">
        <w:rPr>
          <w:rStyle w:val="Appelnotedebasdep"/>
          <w:rFonts w:ascii="Times New Roman" w:hAnsi="Times New Roman" w:cs="Times New Roman"/>
          <w:bCs/>
          <w:szCs w:val="24"/>
        </w:rPr>
        <w:footnoteReference w:id="191"/>
      </w:r>
      <w:r w:rsidRPr="00E72418">
        <w:rPr>
          <w:rFonts w:ascii="Times New Roman" w:hAnsi="Times New Roman" w:cs="Times New Roman"/>
          <w:bCs/>
        </w:rPr>
        <w:t>.</w:t>
      </w:r>
      <w:r w:rsidR="00DD6DCC" w:rsidRPr="00E72418">
        <w:rPr>
          <w:rFonts w:ascii="Times New Roman" w:hAnsi="Times New Roman" w:cs="Times New Roman"/>
          <w:bCs/>
        </w:rPr>
        <w:t xml:space="preserve"> </w:t>
      </w:r>
    </w:p>
    <w:p w14:paraId="261DF02E" w14:textId="77777777"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L’on peut déduire de ce qui précède que la responsabilité de prévenir et de résoudre les situations de dette</w:t>
      </w:r>
      <w:r w:rsidR="0050371F" w:rsidRPr="00E72418">
        <w:rPr>
          <w:rFonts w:ascii="Times New Roman" w:hAnsi="Times New Roman" w:cs="Times New Roman"/>
        </w:rPr>
        <w:t>s</w:t>
      </w:r>
      <w:r w:rsidRPr="00E72418">
        <w:rPr>
          <w:rFonts w:ascii="Times New Roman" w:hAnsi="Times New Roman" w:cs="Times New Roman"/>
        </w:rPr>
        <w:t xml:space="preserve"> insoutenable</w:t>
      </w:r>
      <w:r w:rsidR="0050371F" w:rsidRPr="00E72418">
        <w:rPr>
          <w:rFonts w:ascii="Times New Roman" w:hAnsi="Times New Roman" w:cs="Times New Roman"/>
        </w:rPr>
        <w:t>s</w:t>
      </w:r>
      <w:r w:rsidRPr="00E72418">
        <w:rPr>
          <w:rFonts w:ascii="Times New Roman" w:hAnsi="Times New Roman" w:cs="Times New Roman"/>
        </w:rPr>
        <w:t xml:space="preserve"> est partagée entre le débiteur et les créanciers qu’ils soient primaires ou secondaires</w:t>
      </w:r>
      <w:r w:rsidR="00A74BF3" w:rsidRPr="00E72418">
        <w:rPr>
          <w:rStyle w:val="Appelnotedebasdep"/>
          <w:rFonts w:ascii="Times New Roman" w:hAnsi="Times New Roman" w:cs="Times New Roman"/>
        </w:rPr>
        <w:footnoteReference w:id="192"/>
      </w:r>
      <w:r w:rsidRPr="00E72418">
        <w:rPr>
          <w:rFonts w:ascii="Times New Roman" w:hAnsi="Times New Roman" w:cs="Times New Roman"/>
        </w:rPr>
        <w:t>. Cette responsabilité des créanciers est épinglée par le Parlement européen pour qui, il y a une coresponsabilité des débiteurs et des créanciers dans la prévention et la résolution des crises de la dette à travers l’octroi de prêts et la souscription d’emprunts responsables</w:t>
      </w:r>
      <w:r w:rsidRPr="00E72418">
        <w:rPr>
          <w:rStyle w:val="Appelnotedebasdep"/>
          <w:rFonts w:ascii="Times New Roman" w:hAnsi="Times New Roman" w:cs="Times New Roman"/>
        </w:rPr>
        <w:footnoteReference w:id="193"/>
      </w:r>
      <w:r w:rsidRPr="00E72418">
        <w:rPr>
          <w:rFonts w:ascii="Times New Roman" w:hAnsi="Times New Roman" w:cs="Times New Roman"/>
        </w:rPr>
        <w:t xml:space="preserve">. </w:t>
      </w:r>
    </w:p>
    <w:p w14:paraId="6593D380" w14:textId="1087B462"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lastRenderedPageBreak/>
        <w:t>Les standards que doivent respecter les créanciers se retrouvent dans les différents instruments visant à régler l’emprunt souverain comme</w:t>
      </w:r>
      <w:r w:rsidR="00F8000E" w:rsidRPr="00E72418">
        <w:rPr>
          <w:rFonts w:ascii="Times New Roman" w:hAnsi="Times New Roman" w:cs="Times New Roman"/>
          <w:szCs w:val="24"/>
        </w:rPr>
        <w:t xml:space="preserve"> par exemple</w:t>
      </w:r>
      <w:r w:rsidRPr="00E72418">
        <w:rPr>
          <w:rFonts w:ascii="Times New Roman" w:hAnsi="Times New Roman" w:cs="Times New Roman"/>
          <w:szCs w:val="24"/>
        </w:rPr>
        <w:t xml:space="preserve"> les principes </w:t>
      </w:r>
      <w:r w:rsidR="00F8000E" w:rsidRPr="00E72418">
        <w:rPr>
          <w:rFonts w:ascii="Times New Roman" w:hAnsi="Times New Roman" w:cs="Times New Roman"/>
          <w:szCs w:val="24"/>
        </w:rPr>
        <w:t xml:space="preserve">posés </w:t>
      </w:r>
      <w:r w:rsidR="00F8000E" w:rsidRPr="00E72418">
        <w:rPr>
          <w:rFonts w:ascii="Times New Roman" w:hAnsi="Times New Roman" w:cs="Times New Roman"/>
        </w:rPr>
        <w:t>par la Conférence des Nations Unies sur le commerce et le développement</w:t>
      </w:r>
      <w:r w:rsidR="00F8000E" w:rsidRPr="00E72418">
        <w:rPr>
          <w:rStyle w:val="Appelnotedebasdep"/>
          <w:rFonts w:ascii="Times New Roman" w:hAnsi="Times New Roman" w:cs="Times New Roman"/>
        </w:rPr>
        <w:footnoteReference w:id="194"/>
      </w:r>
      <w:r w:rsidR="00F8000E" w:rsidRPr="00E72418">
        <w:rPr>
          <w:rFonts w:ascii="Times New Roman" w:hAnsi="Times New Roman" w:cs="Times New Roman"/>
          <w:szCs w:val="24"/>
        </w:rPr>
        <w:t xml:space="preserve">. Si les </w:t>
      </w:r>
      <w:r w:rsidRPr="00E72418">
        <w:rPr>
          <w:rFonts w:ascii="Times New Roman" w:hAnsi="Times New Roman" w:cs="Times New Roman"/>
          <w:szCs w:val="24"/>
        </w:rPr>
        <w:t xml:space="preserve">standards posés par la </w:t>
      </w:r>
      <w:r w:rsidRPr="00E72418">
        <w:rPr>
          <w:rFonts w:ascii="Times New Roman" w:hAnsi="Times New Roman" w:cs="Times New Roman"/>
          <w:i/>
          <w:szCs w:val="24"/>
        </w:rPr>
        <w:t>soft law</w:t>
      </w:r>
      <w:r w:rsidRPr="00E72418">
        <w:rPr>
          <w:rFonts w:ascii="Times New Roman" w:hAnsi="Times New Roman" w:cs="Times New Roman"/>
          <w:szCs w:val="24"/>
        </w:rPr>
        <w:t xml:space="preserve"> ne sont pas contraignants, leur impact normatif </w:t>
      </w:r>
      <w:r w:rsidR="00A17224" w:rsidRPr="00E72418">
        <w:rPr>
          <w:rFonts w:ascii="Times New Roman" w:hAnsi="Times New Roman" w:cs="Times New Roman"/>
          <w:szCs w:val="24"/>
        </w:rPr>
        <w:t>n’est pas pour autant inexistant</w:t>
      </w:r>
      <w:r w:rsidR="00A17224" w:rsidRPr="00E72418">
        <w:rPr>
          <w:rStyle w:val="Appelnotedebasdep"/>
          <w:rFonts w:ascii="Times New Roman" w:hAnsi="Times New Roman" w:cs="Times New Roman"/>
          <w:szCs w:val="24"/>
        </w:rPr>
        <w:footnoteReference w:id="195"/>
      </w:r>
      <w:r w:rsidRPr="00E72418">
        <w:rPr>
          <w:rFonts w:ascii="Times New Roman" w:hAnsi="Times New Roman" w:cs="Times New Roman"/>
          <w:szCs w:val="24"/>
        </w:rPr>
        <w:t xml:space="preserve">. </w:t>
      </w:r>
      <w:r w:rsidR="00F8000E" w:rsidRPr="00E72418">
        <w:rPr>
          <w:rFonts w:ascii="Times New Roman" w:hAnsi="Times New Roman" w:cs="Times New Roman"/>
          <w:szCs w:val="24"/>
        </w:rPr>
        <w:t>Ainsi, c</w:t>
      </w:r>
      <w:r w:rsidRPr="00E72418">
        <w:rPr>
          <w:rFonts w:ascii="Times New Roman" w:hAnsi="Times New Roman" w:cs="Times New Roman"/>
          <w:szCs w:val="24"/>
        </w:rPr>
        <w:t xml:space="preserve">omme le note </w:t>
      </w:r>
      <w:r w:rsidR="005C18A8" w:rsidRPr="00E72418">
        <w:rPr>
          <w:rFonts w:ascii="Times New Roman" w:hAnsi="Times New Roman" w:cs="Times New Roman"/>
          <w:szCs w:val="24"/>
        </w:rPr>
        <w:t xml:space="preserve">Nicola </w:t>
      </w:r>
      <w:r w:rsidRPr="00E72418">
        <w:rPr>
          <w:rFonts w:ascii="Times New Roman" w:hAnsi="Times New Roman" w:cs="Times New Roman"/>
          <w:szCs w:val="24"/>
        </w:rPr>
        <w:t>Jagers, « [s]uch standards may fill in the open norms that are applied in domestic proceedings such as “the duty of care” or “societal expectations” »</w:t>
      </w:r>
      <w:r w:rsidRPr="00E72418">
        <w:rPr>
          <w:rStyle w:val="Appelnotedebasdep"/>
          <w:rFonts w:ascii="Times New Roman" w:hAnsi="Times New Roman" w:cs="Times New Roman"/>
          <w:szCs w:val="24"/>
        </w:rPr>
        <w:footnoteReference w:id="196"/>
      </w:r>
      <w:r w:rsidR="007F1619" w:rsidRPr="00E72418">
        <w:rPr>
          <w:rFonts w:ascii="Times New Roman" w:hAnsi="Times New Roman" w:cs="Times New Roman"/>
          <w:szCs w:val="24"/>
        </w:rPr>
        <w:t>.</w:t>
      </w:r>
    </w:p>
    <w:p w14:paraId="7325B794" w14:textId="77777777" w:rsidR="007C57EF" w:rsidRPr="00E72418" w:rsidRDefault="007C57EF" w:rsidP="00423B60"/>
    <w:p w14:paraId="0900A00E" w14:textId="1AEE83DE" w:rsidR="007C57EF" w:rsidRPr="00E72418" w:rsidRDefault="000764CE" w:rsidP="00CC4BA8">
      <w:pPr>
        <w:pStyle w:val="DD"/>
        <w:spacing w:line="276" w:lineRule="auto"/>
      </w:pPr>
      <w:bookmarkStart w:id="35" w:name="_Toc59280877"/>
      <w:bookmarkStart w:id="36" w:name="_Toc84540868"/>
      <w:r w:rsidRPr="00E72418">
        <w:t>Section</w:t>
      </w:r>
      <w:r w:rsidR="003C32DE" w:rsidRPr="00E72418">
        <w:t xml:space="preserve"> 2 : </w:t>
      </w:r>
      <w:r w:rsidR="007C57EF" w:rsidRPr="00E72418">
        <w:t>Les concrétisations</w:t>
      </w:r>
      <w:bookmarkEnd w:id="35"/>
      <w:bookmarkEnd w:id="36"/>
    </w:p>
    <w:p w14:paraId="6AF66DD6" w14:textId="77777777" w:rsidR="00DB090B" w:rsidRPr="00E72418" w:rsidRDefault="00DB090B" w:rsidP="00423B60"/>
    <w:p w14:paraId="078C8E43" w14:textId="0817FC56" w:rsidR="00DB090B"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39</w:t>
      </w:r>
      <w:r w:rsidR="007E31CD" w:rsidRPr="00E72418">
        <w:rPr>
          <w:rFonts w:ascii="Times New Roman" w:hAnsi="Times New Roman" w:cs="Times New Roman"/>
          <w:b/>
          <w:szCs w:val="24"/>
        </w:rPr>
        <w:t xml:space="preserve">. </w:t>
      </w:r>
      <w:r w:rsidR="007C57EF" w:rsidRPr="00E72418">
        <w:rPr>
          <w:rFonts w:ascii="Times New Roman" w:hAnsi="Times New Roman" w:cs="Times New Roman"/>
          <w:b/>
          <w:szCs w:val="24"/>
        </w:rPr>
        <w:t xml:space="preserve">La solution de l’allègement et de l’annulation – </w:t>
      </w:r>
      <w:r w:rsidR="007C57EF" w:rsidRPr="00E72418">
        <w:rPr>
          <w:rFonts w:ascii="Times New Roman" w:hAnsi="Times New Roman" w:cs="Times New Roman"/>
          <w:szCs w:val="24"/>
        </w:rPr>
        <w:t xml:space="preserve">Au vu de l’importance de la soutenabilité des dettes souveraines et de la spirale négative de l’endettement, l’allègement voire l’annulation de </w:t>
      </w:r>
      <w:r w:rsidR="009747BE" w:rsidRPr="00E72418">
        <w:rPr>
          <w:rFonts w:ascii="Times New Roman" w:hAnsi="Times New Roman" w:cs="Times New Roman"/>
          <w:szCs w:val="24"/>
        </w:rPr>
        <w:t>celles-ci</w:t>
      </w:r>
      <w:r w:rsidR="007C57EF" w:rsidRPr="00E72418">
        <w:rPr>
          <w:rFonts w:ascii="Times New Roman" w:hAnsi="Times New Roman" w:cs="Times New Roman"/>
          <w:szCs w:val="24"/>
        </w:rPr>
        <w:t xml:space="preserve"> </w:t>
      </w:r>
      <w:r w:rsidR="009747BE" w:rsidRPr="00E72418">
        <w:rPr>
          <w:rFonts w:ascii="Times New Roman" w:hAnsi="Times New Roman" w:cs="Times New Roman"/>
          <w:szCs w:val="24"/>
        </w:rPr>
        <w:t>paraissent être</w:t>
      </w:r>
      <w:r w:rsidR="007C57EF" w:rsidRPr="00E72418">
        <w:rPr>
          <w:rFonts w:ascii="Times New Roman" w:hAnsi="Times New Roman" w:cs="Times New Roman"/>
          <w:szCs w:val="24"/>
        </w:rPr>
        <w:t xml:space="preserve"> </w:t>
      </w:r>
      <w:r w:rsidR="009747BE" w:rsidRPr="00E72418">
        <w:rPr>
          <w:rFonts w:ascii="Times New Roman" w:hAnsi="Times New Roman" w:cs="Times New Roman"/>
          <w:szCs w:val="24"/>
        </w:rPr>
        <w:t>des</w:t>
      </w:r>
      <w:r w:rsidR="007C57EF" w:rsidRPr="00E72418">
        <w:rPr>
          <w:rFonts w:ascii="Times New Roman" w:hAnsi="Times New Roman" w:cs="Times New Roman"/>
          <w:szCs w:val="24"/>
        </w:rPr>
        <w:t xml:space="preserve"> solution</w:t>
      </w:r>
      <w:r w:rsidR="009747BE" w:rsidRPr="00E72418">
        <w:rPr>
          <w:rFonts w:ascii="Times New Roman" w:hAnsi="Times New Roman" w:cs="Times New Roman"/>
          <w:szCs w:val="24"/>
        </w:rPr>
        <w:t>s</w:t>
      </w:r>
      <w:r w:rsidR="007C57EF" w:rsidRPr="00E72418">
        <w:rPr>
          <w:rFonts w:ascii="Times New Roman" w:hAnsi="Times New Roman" w:cs="Times New Roman"/>
          <w:szCs w:val="24"/>
        </w:rPr>
        <w:t xml:space="preserve"> de nature à permettre un mieux-être de</w:t>
      </w:r>
      <w:r w:rsidR="009747BE" w:rsidRPr="00E72418">
        <w:rPr>
          <w:rFonts w:ascii="Times New Roman" w:hAnsi="Times New Roman" w:cs="Times New Roman"/>
          <w:szCs w:val="24"/>
        </w:rPr>
        <w:t xml:space="preserve">s </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tat</w:t>
      </w:r>
      <w:r w:rsidR="009747BE" w:rsidRPr="00E72418">
        <w:rPr>
          <w:rFonts w:ascii="Times New Roman" w:hAnsi="Times New Roman" w:cs="Times New Roman"/>
          <w:szCs w:val="24"/>
        </w:rPr>
        <w:t>s</w:t>
      </w:r>
      <w:r w:rsidR="007C57EF" w:rsidRPr="00E72418">
        <w:rPr>
          <w:rFonts w:ascii="Times New Roman" w:hAnsi="Times New Roman" w:cs="Times New Roman"/>
          <w:szCs w:val="24"/>
        </w:rPr>
        <w:t xml:space="preserve"> débiteur</w:t>
      </w:r>
      <w:r w:rsidR="009747BE" w:rsidRPr="00E72418">
        <w:rPr>
          <w:rFonts w:ascii="Times New Roman" w:hAnsi="Times New Roman" w:cs="Times New Roman"/>
          <w:szCs w:val="24"/>
        </w:rPr>
        <w:t>s et de leur population</w:t>
      </w:r>
      <w:r w:rsidR="007C57EF" w:rsidRPr="00E72418">
        <w:rPr>
          <w:rFonts w:ascii="Times New Roman" w:hAnsi="Times New Roman" w:cs="Times New Roman"/>
          <w:szCs w:val="24"/>
        </w:rPr>
        <w:t xml:space="preserve">. </w:t>
      </w:r>
      <w:r w:rsidR="00DB090B" w:rsidRPr="00E72418">
        <w:rPr>
          <w:rFonts w:ascii="Times New Roman" w:hAnsi="Times New Roman" w:cs="Times New Roman"/>
          <w:szCs w:val="24"/>
        </w:rPr>
        <w:t xml:space="preserve">L’idée s’est notamment matérialisée dans un important projet lancé à la fin des années nonante par </w:t>
      </w:r>
      <w:r w:rsidR="00DB090B" w:rsidRPr="00E72418">
        <w:t xml:space="preserve">la </w:t>
      </w:r>
      <w:r w:rsidR="00DB090B" w:rsidRPr="00E72418">
        <w:rPr>
          <w:rFonts w:cs="Times New Roman"/>
        </w:rPr>
        <w:t>Banque mondiale et le Fonds monétaire international (</w:t>
      </w:r>
      <w:r w:rsidR="00DB090B" w:rsidRPr="00E72418">
        <w:rPr>
          <w:rFonts w:cs="Times New Roman"/>
          <w:b/>
        </w:rPr>
        <w:t>sous-section 1</w:t>
      </w:r>
      <w:r w:rsidR="00DB090B" w:rsidRPr="00E72418">
        <w:rPr>
          <w:rFonts w:cs="Times New Roman"/>
        </w:rPr>
        <w:t>).</w:t>
      </w:r>
    </w:p>
    <w:p w14:paraId="63210076" w14:textId="255FEF0E"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Si </w:t>
      </w:r>
      <w:r w:rsidR="00DB090B" w:rsidRPr="00E72418">
        <w:rPr>
          <w:rFonts w:ascii="Times New Roman" w:hAnsi="Times New Roman" w:cs="Times New Roman"/>
          <w:szCs w:val="24"/>
        </w:rPr>
        <w:t>l</w:t>
      </w:r>
      <w:r w:rsidR="009747BE" w:rsidRPr="00E72418">
        <w:rPr>
          <w:rFonts w:ascii="Times New Roman" w:hAnsi="Times New Roman" w:cs="Times New Roman"/>
          <w:szCs w:val="24"/>
        </w:rPr>
        <w:t>es</w:t>
      </w:r>
      <w:r w:rsidRPr="00E72418">
        <w:rPr>
          <w:rFonts w:ascii="Times New Roman" w:hAnsi="Times New Roman" w:cs="Times New Roman"/>
          <w:szCs w:val="24"/>
        </w:rPr>
        <w:t xml:space="preserve"> solution</w:t>
      </w:r>
      <w:r w:rsidR="009747BE" w:rsidRPr="00E72418">
        <w:rPr>
          <w:rFonts w:ascii="Times New Roman" w:hAnsi="Times New Roman" w:cs="Times New Roman"/>
          <w:szCs w:val="24"/>
        </w:rPr>
        <w:t>s</w:t>
      </w:r>
      <w:r w:rsidR="00DB090B" w:rsidRPr="00E72418">
        <w:rPr>
          <w:rFonts w:ascii="Times New Roman" w:hAnsi="Times New Roman" w:cs="Times New Roman"/>
          <w:szCs w:val="24"/>
        </w:rPr>
        <w:t xml:space="preserve"> de désendettement</w:t>
      </w:r>
      <w:r w:rsidR="009747BE" w:rsidRPr="00E72418">
        <w:rPr>
          <w:rFonts w:ascii="Times New Roman" w:hAnsi="Times New Roman" w:cs="Times New Roman"/>
          <w:szCs w:val="24"/>
        </w:rPr>
        <w:t xml:space="preserve"> ont le mérite d’off</w:t>
      </w:r>
      <w:r w:rsidR="0050371F" w:rsidRPr="00E72418">
        <w:rPr>
          <w:rFonts w:ascii="Times New Roman" w:hAnsi="Times New Roman" w:cs="Times New Roman"/>
          <w:szCs w:val="24"/>
        </w:rPr>
        <w:t>r</w:t>
      </w:r>
      <w:r w:rsidR="009747BE" w:rsidRPr="00E72418">
        <w:rPr>
          <w:rFonts w:ascii="Times New Roman" w:hAnsi="Times New Roman" w:cs="Times New Roman"/>
          <w:szCs w:val="24"/>
        </w:rPr>
        <w:t>ir</w:t>
      </w:r>
      <w:r w:rsidRPr="00E72418">
        <w:rPr>
          <w:rFonts w:ascii="Times New Roman" w:hAnsi="Times New Roman" w:cs="Times New Roman"/>
          <w:szCs w:val="24"/>
        </w:rPr>
        <w:t xml:space="preserve"> aux </w:t>
      </w:r>
      <w:r w:rsidRPr="00E72418">
        <w:rPr>
          <w:rFonts w:ascii="Times New Roman" w:hAnsi="Times New Roman" w:cs="Times New Roman"/>
          <w:szCs w:val="24"/>
          <w:lang w:eastAsia="fr-BE"/>
        </w:rPr>
        <w:t>É</w:t>
      </w:r>
      <w:r w:rsidR="00CC422B" w:rsidRPr="00E72418">
        <w:rPr>
          <w:rFonts w:ascii="Times New Roman" w:hAnsi="Times New Roman" w:cs="Times New Roman"/>
          <w:szCs w:val="24"/>
        </w:rPr>
        <w:t>tats de nouvelles per</w:t>
      </w:r>
      <w:r w:rsidRPr="00E72418">
        <w:rPr>
          <w:rFonts w:ascii="Times New Roman" w:hAnsi="Times New Roman" w:cs="Times New Roman"/>
          <w:szCs w:val="24"/>
        </w:rPr>
        <w:t>spectives, elle</w:t>
      </w:r>
      <w:r w:rsidR="009747BE" w:rsidRPr="00E72418">
        <w:rPr>
          <w:rFonts w:ascii="Times New Roman" w:hAnsi="Times New Roman" w:cs="Times New Roman"/>
          <w:szCs w:val="24"/>
        </w:rPr>
        <w:t>s</w:t>
      </w:r>
      <w:r w:rsidRPr="00E72418">
        <w:rPr>
          <w:rFonts w:ascii="Times New Roman" w:hAnsi="Times New Roman" w:cs="Times New Roman"/>
          <w:szCs w:val="24"/>
        </w:rPr>
        <w:t xml:space="preserve"> demeure</w:t>
      </w:r>
      <w:r w:rsidR="009747BE" w:rsidRPr="00E72418">
        <w:rPr>
          <w:rFonts w:ascii="Times New Roman" w:hAnsi="Times New Roman" w:cs="Times New Roman"/>
          <w:szCs w:val="24"/>
        </w:rPr>
        <w:t>nt</w:t>
      </w:r>
      <w:r w:rsidRPr="00E72418">
        <w:rPr>
          <w:rFonts w:ascii="Times New Roman" w:hAnsi="Times New Roman" w:cs="Times New Roman"/>
          <w:szCs w:val="24"/>
        </w:rPr>
        <w:t xml:space="preserve"> </w:t>
      </w:r>
      <w:r w:rsidR="009747BE" w:rsidRPr="00E72418">
        <w:rPr>
          <w:rFonts w:ascii="Times New Roman" w:hAnsi="Times New Roman" w:cs="Times New Roman"/>
          <w:szCs w:val="24"/>
        </w:rPr>
        <w:t>néanmoins des</w:t>
      </w:r>
      <w:r w:rsidRPr="00E72418">
        <w:rPr>
          <w:rFonts w:ascii="Times New Roman" w:hAnsi="Times New Roman" w:cs="Times New Roman"/>
          <w:szCs w:val="24"/>
        </w:rPr>
        <w:t xml:space="preserve"> intervention</w:t>
      </w:r>
      <w:r w:rsidR="009747BE" w:rsidRPr="00E72418">
        <w:rPr>
          <w:rFonts w:ascii="Times New Roman" w:hAnsi="Times New Roman" w:cs="Times New Roman"/>
          <w:szCs w:val="24"/>
        </w:rPr>
        <w:t>s</w:t>
      </w:r>
      <w:r w:rsidRPr="00E72418">
        <w:rPr>
          <w:rFonts w:ascii="Times New Roman" w:hAnsi="Times New Roman" w:cs="Times New Roman"/>
          <w:szCs w:val="24"/>
        </w:rPr>
        <w:t xml:space="preserve"> </w:t>
      </w:r>
      <w:r w:rsidR="00981667">
        <w:rPr>
          <w:rFonts w:ascii="Times New Roman" w:hAnsi="Times New Roman" w:cs="Times New Roman"/>
          <w:szCs w:val="24"/>
        </w:rPr>
        <w:t>en quelque sorte isolées</w:t>
      </w:r>
      <w:r w:rsidRPr="00E72418">
        <w:rPr>
          <w:rFonts w:ascii="Times New Roman" w:hAnsi="Times New Roman" w:cs="Times New Roman"/>
          <w:szCs w:val="24"/>
        </w:rPr>
        <w:t xml:space="preserve"> </w:t>
      </w:r>
      <w:r w:rsidR="009747BE" w:rsidRPr="00E72418">
        <w:rPr>
          <w:rFonts w:ascii="Times New Roman" w:hAnsi="Times New Roman" w:cs="Times New Roman"/>
          <w:szCs w:val="24"/>
        </w:rPr>
        <w:t>ne traitant</w:t>
      </w:r>
      <w:r w:rsidRPr="00E72418">
        <w:rPr>
          <w:rFonts w:ascii="Times New Roman" w:hAnsi="Times New Roman" w:cs="Times New Roman"/>
          <w:szCs w:val="24"/>
        </w:rPr>
        <w:t xml:space="preserve"> pas les causes p</w:t>
      </w:r>
      <w:r w:rsidR="009747BE" w:rsidRPr="00E72418">
        <w:rPr>
          <w:rFonts w:ascii="Times New Roman" w:hAnsi="Times New Roman" w:cs="Times New Roman"/>
          <w:szCs w:val="24"/>
        </w:rPr>
        <w:t>rofondes de l’accumulation de</w:t>
      </w:r>
      <w:r w:rsidRPr="00E72418">
        <w:rPr>
          <w:rFonts w:ascii="Times New Roman" w:hAnsi="Times New Roman" w:cs="Times New Roman"/>
          <w:szCs w:val="24"/>
        </w:rPr>
        <w:t xml:space="preserve"> dette</w:t>
      </w:r>
      <w:r w:rsidR="009747BE" w:rsidRPr="00E72418">
        <w:rPr>
          <w:rFonts w:ascii="Times New Roman" w:hAnsi="Times New Roman" w:cs="Times New Roman"/>
          <w:szCs w:val="24"/>
        </w:rPr>
        <w:t>s</w:t>
      </w:r>
      <w:r w:rsidRPr="00E72418">
        <w:rPr>
          <w:rFonts w:ascii="Times New Roman" w:hAnsi="Times New Roman" w:cs="Times New Roman"/>
          <w:szCs w:val="24"/>
        </w:rPr>
        <w:t xml:space="preserve"> excessive</w:t>
      </w:r>
      <w:r w:rsidR="009747BE" w:rsidRPr="00E72418">
        <w:rPr>
          <w:rFonts w:ascii="Times New Roman" w:hAnsi="Times New Roman" w:cs="Times New Roman"/>
          <w:szCs w:val="24"/>
        </w:rPr>
        <w:t>s</w:t>
      </w:r>
      <w:r w:rsidRPr="00E72418">
        <w:rPr>
          <w:rStyle w:val="Appelnotedebasdep"/>
          <w:rFonts w:ascii="Times New Roman" w:hAnsi="Times New Roman" w:cs="Times New Roman"/>
          <w:szCs w:val="24"/>
        </w:rPr>
        <w:footnoteReference w:id="197"/>
      </w:r>
      <w:r w:rsidRPr="00E72418">
        <w:rPr>
          <w:rFonts w:ascii="Times New Roman" w:hAnsi="Times New Roman" w:cs="Times New Roman"/>
          <w:szCs w:val="24"/>
        </w:rPr>
        <w:t>. Toute</w:t>
      </w:r>
      <w:r w:rsidR="009747BE" w:rsidRPr="00E72418">
        <w:rPr>
          <w:rFonts w:ascii="Times New Roman" w:hAnsi="Times New Roman" w:cs="Times New Roman"/>
          <w:szCs w:val="24"/>
        </w:rPr>
        <w:t>s</w:t>
      </w:r>
      <w:r w:rsidRPr="00E72418">
        <w:rPr>
          <w:rFonts w:ascii="Times New Roman" w:hAnsi="Times New Roman" w:cs="Times New Roman"/>
          <w:szCs w:val="24"/>
        </w:rPr>
        <w:t xml:space="preserve"> ponctuelle</w:t>
      </w:r>
      <w:r w:rsidR="009747BE" w:rsidRPr="00E72418">
        <w:rPr>
          <w:rFonts w:ascii="Times New Roman" w:hAnsi="Times New Roman" w:cs="Times New Roman"/>
          <w:szCs w:val="24"/>
        </w:rPr>
        <w:t>s</w:t>
      </w:r>
      <w:r w:rsidRPr="00E72418">
        <w:rPr>
          <w:rFonts w:ascii="Times New Roman" w:hAnsi="Times New Roman" w:cs="Times New Roman"/>
          <w:szCs w:val="24"/>
        </w:rPr>
        <w:t xml:space="preserve"> </w:t>
      </w:r>
      <w:r w:rsidR="009747BE" w:rsidRPr="00E72418">
        <w:rPr>
          <w:rFonts w:ascii="Times New Roman" w:hAnsi="Times New Roman" w:cs="Times New Roman"/>
          <w:szCs w:val="24"/>
        </w:rPr>
        <w:t>que sont</w:t>
      </w:r>
      <w:r w:rsidRPr="00E72418">
        <w:rPr>
          <w:rFonts w:ascii="Times New Roman" w:hAnsi="Times New Roman" w:cs="Times New Roman"/>
          <w:szCs w:val="24"/>
        </w:rPr>
        <w:t xml:space="preserve"> </w:t>
      </w:r>
      <w:r w:rsidR="009747BE" w:rsidRPr="00E72418">
        <w:rPr>
          <w:rFonts w:ascii="Times New Roman" w:hAnsi="Times New Roman" w:cs="Times New Roman"/>
          <w:szCs w:val="24"/>
        </w:rPr>
        <w:t>ces</w:t>
      </w:r>
      <w:r w:rsidRPr="00E72418">
        <w:rPr>
          <w:rFonts w:ascii="Times New Roman" w:hAnsi="Times New Roman" w:cs="Times New Roman"/>
          <w:szCs w:val="24"/>
        </w:rPr>
        <w:t xml:space="preserve"> solution</w:t>
      </w:r>
      <w:r w:rsidR="009747BE" w:rsidRPr="00E72418">
        <w:rPr>
          <w:rFonts w:ascii="Times New Roman" w:hAnsi="Times New Roman" w:cs="Times New Roman"/>
          <w:szCs w:val="24"/>
        </w:rPr>
        <w:t>s</w:t>
      </w:r>
      <w:r w:rsidRPr="00E72418">
        <w:rPr>
          <w:rFonts w:ascii="Times New Roman" w:hAnsi="Times New Roman" w:cs="Times New Roman"/>
          <w:szCs w:val="24"/>
        </w:rPr>
        <w:t>, elle</w:t>
      </w:r>
      <w:r w:rsidR="009747BE" w:rsidRPr="00E72418">
        <w:rPr>
          <w:rFonts w:ascii="Times New Roman" w:hAnsi="Times New Roman" w:cs="Times New Roman"/>
          <w:szCs w:val="24"/>
        </w:rPr>
        <w:t>s</w:t>
      </w:r>
      <w:r w:rsidRPr="00E72418">
        <w:rPr>
          <w:rFonts w:ascii="Times New Roman" w:hAnsi="Times New Roman" w:cs="Times New Roman"/>
          <w:szCs w:val="24"/>
        </w:rPr>
        <w:t xml:space="preserve"> étai</w:t>
      </w:r>
      <w:r w:rsidR="009747BE" w:rsidRPr="00E72418">
        <w:rPr>
          <w:rFonts w:ascii="Times New Roman" w:hAnsi="Times New Roman" w:cs="Times New Roman"/>
          <w:szCs w:val="24"/>
        </w:rPr>
        <w:t>en</w:t>
      </w:r>
      <w:r w:rsidRPr="00E72418">
        <w:rPr>
          <w:rFonts w:ascii="Times New Roman" w:hAnsi="Times New Roman" w:cs="Times New Roman"/>
          <w:szCs w:val="24"/>
        </w:rPr>
        <w:t>t appelée</w:t>
      </w:r>
      <w:r w:rsidR="009747BE" w:rsidRPr="00E72418">
        <w:rPr>
          <w:rFonts w:ascii="Times New Roman" w:hAnsi="Times New Roman" w:cs="Times New Roman"/>
          <w:szCs w:val="24"/>
        </w:rPr>
        <w:t>s</w:t>
      </w:r>
      <w:r w:rsidRPr="00E72418">
        <w:rPr>
          <w:rFonts w:ascii="Times New Roman" w:hAnsi="Times New Roman" w:cs="Times New Roman"/>
          <w:szCs w:val="24"/>
        </w:rPr>
        <w:t xml:space="preserve"> de ses vœux par l’Assemblée générale des Nations Unies dans sa déclaration du Millénaire du 8 septembre 2000. L’Assemblée </w:t>
      </w:r>
      <w:r w:rsidR="00981667">
        <w:rPr>
          <w:rFonts w:ascii="Times New Roman" w:hAnsi="Times New Roman" w:cs="Times New Roman"/>
          <w:szCs w:val="24"/>
        </w:rPr>
        <w:t>onusienne</w:t>
      </w:r>
      <w:r w:rsidRPr="00E72418">
        <w:rPr>
          <w:rFonts w:ascii="Times New Roman" w:hAnsi="Times New Roman" w:cs="Times New Roman"/>
          <w:szCs w:val="24"/>
        </w:rPr>
        <w:t xml:space="preserve"> y demandait aux </w:t>
      </w:r>
      <w:r w:rsidRPr="00E72418">
        <w:rPr>
          <w:rFonts w:ascii="Times New Roman" w:hAnsi="Times New Roman" w:cs="Times New Roman"/>
          <w:szCs w:val="24"/>
          <w:lang w:eastAsia="fr-BE"/>
        </w:rPr>
        <w:t>pays industrialisés d’</w:t>
      </w:r>
      <w:r w:rsidRPr="00E72418">
        <w:rPr>
          <w:rFonts w:ascii="Times New Roman" w:hAnsi="Times New Roman" w:cs="Times New Roman"/>
          <w:szCs w:val="24"/>
        </w:rPr>
        <w:t xml:space="preserve">appliquer sans plus de retard le programme renforcé </w:t>
      </w:r>
      <w:r w:rsidR="00290740" w:rsidRPr="00E72418">
        <w:rPr>
          <w:rFonts w:ascii="Times New Roman" w:hAnsi="Times New Roman" w:cs="Times New Roman"/>
          <w:szCs w:val="24"/>
        </w:rPr>
        <w:t>d’allè</w:t>
      </w:r>
      <w:r w:rsidRPr="00E72418">
        <w:rPr>
          <w:rFonts w:ascii="Times New Roman" w:hAnsi="Times New Roman" w:cs="Times New Roman"/>
          <w:szCs w:val="24"/>
        </w:rPr>
        <w:t>gement de la dette des pays pauvres très endettés et de convenir d’annuler toutes les dettes publiques bilatérales contractées par ces pays s’ils</w:t>
      </w:r>
      <w:r w:rsidR="009747BE" w:rsidRPr="00E72418">
        <w:rPr>
          <w:rFonts w:ascii="Times New Roman" w:hAnsi="Times New Roman" w:cs="Times New Roman"/>
          <w:szCs w:val="24"/>
        </w:rPr>
        <w:t xml:space="preserve"> démontraie</w:t>
      </w:r>
      <w:r w:rsidRPr="00E72418">
        <w:rPr>
          <w:rFonts w:ascii="Times New Roman" w:hAnsi="Times New Roman" w:cs="Times New Roman"/>
          <w:szCs w:val="24"/>
        </w:rPr>
        <w:t>nt en contrepartie leur volonté de lutter contre la pauvreté</w:t>
      </w:r>
      <w:r w:rsidRPr="00E72418">
        <w:rPr>
          <w:rStyle w:val="Appelnotedebasdep"/>
          <w:rFonts w:ascii="Times New Roman" w:hAnsi="Times New Roman" w:cs="Times New Roman"/>
          <w:szCs w:val="24"/>
        </w:rPr>
        <w:footnoteReference w:id="198"/>
      </w:r>
      <w:r w:rsidRPr="00E72418">
        <w:rPr>
          <w:rFonts w:ascii="Times New Roman" w:hAnsi="Times New Roman" w:cs="Times New Roman"/>
          <w:szCs w:val="24"/>
        </w:rPr>
        <w:t>.</w:t>
      </w:r>
    </w:p>
    <w:p w14:paraId="34A23C84" w14:textId="2B0D47CA" w:rsidR="007C57EF" w:rsidRPr="00E72418" w:rsidRDefault="007F038F" w:rsidP="00CC4BA8">
      <w:pPr>
        <w:spacing w:line="276" w:lineRule="auto"/>
        <w:rPr>
          <w:rFonts w:ascii="Times New Roman" w:hAnsi="Times New Roman" w:cs="Times New Roman"/>
          <w:b/>
          <w:szCs w:val="24"/>
        </w:rPr>
      </w:pPr>
      <w:r w:rsidRPr="00E72418">
        <w:rPr>
          <w:rFonts w:ascii="Times New Roman" w:hAnsi="Times New Roman" w:cs="Times New Roman"/>
          <w:b/>
          <w:szCs w:val="24"/>
        </w:rPr>
        <w:lastRenderedPageBreak/>
        <w:t>40</w:t>
      </w:r>
      <w:r w:rsidR="007E31CD" w:rsidRPr="00E72418">
        <w:rPr>
          <w:rFonts w:ascii="Times New Roman" w:hAnsi="Times New Roman" w:cs="Times New Roman"/>
          <w:b/>
          <w:szCs w:val="24"/>
        </w:rPr>
        <w:t xml:space="preserve">. </w:t>
      </w:r>
      <w:r w:rsidR="007C57EF" w:rsidRPr="00E72418">
        <w:rPr>
          <w:rFonts w:ascii="Times New Roman" w:hAnsi="Times New Roman" w:cs="Times New Roman"/>
          <w:b/>
          <w:szCs w:val="24"/>
        </w:rPr>
        <w:t xml:space="preserve">Des conséquences tangibles – </w:t>
      </w:r>
      <w:r w:rsidR="007C57EF" w:rsidRPr="00E72418">
        <w:rPr>
          <w:rFonts w:ascii="Times New Roman" w:hAnsi="Times New Roman" w:cs="Times New Roman"/>
          <w:szCs w:val="24"/>
        </w:rPr>
        <w:t xml:space="preserve">Les opérations de désendettement sont d’une importance cruciale pour les </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tats débiteurs afin d’enrayer la spirale des paiements d’intérêt</w:t>
      </w:r>
      <w:r w:rsidR="009747BE" w:rsidRPr="00E72418">
        <w:rPr>
          <w:rFonts w:ascii="Times New Roman" w:hAnsi="Times New Roman" w:cs="Times New Roman"/>
          <w:szCs w:val="24"/>
        </w:rPr>
        <w:t>s</w:t>
      </w:r>
      <w:r w:rsidR="007C57EF" w:rsidRPr="00E72418">
        <w:rPr>
          <w:rStyle w:val="Appelnotedebasdep"/>
          <w:rFonts w:ascii="Times New Roman" w:hAnsi="Times New Roman" w:cs="Times New Roman"/>
          <w:szCs w:val="24"/>
        </w:rPr>
        <w:footnoteReference w:id="199"/>
      </w:r>
      <w:r w:rsidR="007C57EF" w:rsidRPr="00E72418">
        <w:rPr>
          <w:rFonts w:ascii="Times New Roman" w:hAnsi="Times New Roman" w:cs="Times New Roman"/>
          <w:szCs w:val="24"/>
        </w:rPr>
        <w:t xml:space="preserve">. Comme </w:t>
      </w:r>
      <w:r w:rsidR="00DC60C1" w:rsidRPr="00E72418">
        <w:rPr>
          <w:rFonts w:ascii="Times New Roman" w:hAnsi="Times New Roman" w:cs="Times New Roman"/>
          <w:szCs w:val="24"/>
        </w:rPr>
        <w:t>le notait le Trésor</w:t>
      </w:r>
      <w:r w:rsidR="007C57EF" w:rsidRPr="00E72418">
        <w:rPr>
          <w:rFonts w:ascii="Times New Roman" w:hAnsi="Times New Roman" w:cs="Times New Roman"/>
          <w:szCs w:val="24"/>
        </w:rPr>
        <w:t xml:space="preserve"> britannique dans sa consultation antérieure à l’adoption du </w:t>
      </w:r>
      <w:r w:rsidR="007C57EF" w:rsidRPr="00E72418">
        <w:rPr>
          <w:rFonts w:ascii="Times New Roman" w:hAnsi="Times New Roman" w:cs="Times New Roman"/>
          <w:i/>
          <w:szCs w:val="24"/>
        </w:rPr>
        <w:t>Debt Relief (Developing Countries) Act</w:t>
      </w:r>
      <w:r w:rsidR="007C57EF" w:rsidRPr="00E72418">
        <w:rPr>
          <w:rFonts w:ascii="Times New Roman" w:hAnsi="Times New Roman" w:cs="Times New Roman"/>
          <w:szCs w:val="24"/>
        </w:rPr>
        <w:t xml:space="preserve"> de 2010, « [a] country that is forced to spend more servicing historical debt than it is able to spend on education and health services combined faces a self reinforcing cycle of poverty »</w:t>
      </w:r>
      <w:r w:rsidR="007C57EF" w:rsidRPr="00E72418">
        <w:rPr>
          <w:rStyle w:val="Appelnotedebasdep"/>
          <w:rFonts w:ascii="Times New Roman" w:hAnsi="Times New Roman" w:cs="Times New Roman"/>
          <w:szCs w:val="24"/>
        </w:rPr>
        <w:footnoteReference w:id="200"/>
      </w:r>
      <w:r w:rsidR="007C57EF" w:rsidRPr="00E72418">
        <w:rPr>
          <w:rFonts w:ascii="Times New Roman" w:hAnsi="Times New Roman" w:cs="Times New Roman"/>
          <w:szCs w:val="24"/>
        </w:rPr>
        <w:t>.</w:t>
      </w:r>
    </w:p>
    <w:p w14:paraId="4EF8567D" w14:textId="77777777" w:rsidR="007C57EF" w:rsidRPr="00E72418" w:rsidRDefault="00DC60C1" w:rsidP="00CC4BA8">
      <w:pPr>
        <w:spacing w:line="276" w:lineRule="auto"/>
        <w:rPr>
          <w:szCs w:val="24"/>
        </w:rPr>
      </w:pPr>
      <w:r w:rsidRPr="00E72418">
        <w:rPr>
          <w:rFonts w:ascii="Times New Roman" w:hAnsi="Times New Roman" w:cs="Times New Roman"/>
          <w:szCs w:val="24"/>
        </w:rPr>
        <w:t>Par ailleurs, d</w:t>
      </w:r>
      <w:r w:rsidR="007C57EF" w:rsidRPr="00E72418">
        <w:rPr>
          <w:rFonts w:ascii="Times New Roman" w:hAnsi="Times New Roman" w:cs="Times New Roman"/>
          <w:szCs w:val="24"/>
        </w:rPr>
        <w:t>ès lors que la soutenabilité d’une dette et le respect des droits de l’homme sont intimement liés</w:t>
      </w:r>
      <w:r w:rsidR="006E60C4" w:rsidRPr="00E72418">
        <w:rPr>
          <w:rStyle w:val="Appelnotedebasdep"/>
          <w:rFonts w:ascii="Times New Roman" w:hAnsi="Times New Roman" w:cs="Times New Roman"/>
          <w:szCs w:val="24"/>
        </w:rPr>
        <w:footnoteReference w:id="201"/>
      </w:r>
      <w:r w:rsidR="007C57EF" w:rsidRPr="00E72418">
        <w:rPr>
          <w:rFonts w:ascii="Times New Roman" w:hAnsi="Times New Roman" w:cs="Times New Roman"/>
          <w:szCs w:val="24"/>
        </w:rPr>
        <w:t xml:space="preserve">, le désendettement pouvant passer </w:t>
      </w:r>
      <w:r w:rsidRPr="00E72418">
        <w:rPr>
          <w:rFonts w:ascii="Times New Roman" w:hAnsi="Times New Roman" w:cs="Times New Roman"/>
          <w:szCs w:val="24"/>
        </w:rPr>
        <w:t xml:space="preserve">par l’annulation de la dette ou, </w:t>
      </w:r>
      <w:r w:rsidR="007C57EF" w:rsidRPr="00E72418">
        <w:rPr>
          <w:rFonts w:ascii="Times New Roman" w:hAnsi="Times New Roman" w:cs="Times New Roman"/>
          <w:szCs w:val="24"/>
        </w:rPr>
        <w:t>à tout le moins</w:t>
      </w:r>
      <w:r w:rsidRPr="00E72418">
        <w:rPr>
          <w:rFonts w:ascii="Times New Roman" w:hAnsi="Times New Roman" w:cs="Times New Roman"/>
          <w:szCs w:val="24"/>
        </w:rPr>
        <w:t>,</w:t>
      </w:r>
      <w:r w:rsidR="007C57EF" w:rsidRPr="00E72418">
        <w:rPr>
          <w:rFonts w:ascii="Times New Roman" w:hAnsi="Times New Roman" w:cs="Times New Roman"/>
          <w:szCs w:val="24"/>
        </w:rPr>
        <w:t xml:space="preserve"> par son allègement </w:t>
      </w:r>
      <w:r w:rsidR="006E60C4" w:rsidRPr="00E72418">
        <w:rPr>
          <w:rFonts w:ascii="Times New Roman" w:hAnsi="Times New Roman" w:cs="Times New Roman"/>
          <w:szCs w:val="24"/>
        </w:rPr>
        <w:t>est de nature à avoir</w:t>
      </w:r>
      <w:r w:rsidR="007C57EF" w:rsidRPr="00E72418">
        <w:rPr>
          <w:rFonts w:ascii="Times New Roman" w:hAnsi="Times New Roman" w:cs="Times New Roman"/>
          <w:szCs w:val="24"/>
        </w:rPr>
        <w:t xml:space="preserve"> des conséquences positives pour ceux-ci en permettant la sauvegarde du bien-être de</w:t>
      </w:r>
      <w:r w:rsidRPr="00E72418">
        <w:rPr>
          <w:rFonts w:ascii="Times New Roman" w:hAnsi="Times New Roman" w:cs="Times New Roman"/>
          <w:szCs w:val="24"/>
        </w:rPr>
        <w:t>s</w:t>
      </w:r>
      <w:r w:rsidR="007C57EF" w:rsidRPr="00E72418">
        <w:rPr>
          <w:rFonts w:ascii="Times New Roman" w:hAnsi="Times New Roman" w:cs="Times New Roman"/>
          <w:szCs w:val="24"/>
        </w:rPr>
        <w:t xml:space="preserve"> populations et le respect de leurs droits fondamentaux</w:t>
      </w:r>
      <w:r w:rsidR="007C57EF" w:rsidRPr="00E72418">
        <w:rPr>
          <w:rStyle w:val="Appelnotedebasdep"/>
          <w:rFonts w:ascii="Times New Roman" w:hAnsi="Times New Roman" w:cs="Times New Roman"/>
          <w:szCs w:val="24"/>
        </w:rPr>
        <w:footnoteReference w:id="202"/>
      </w:r>
      <w:r w:rsidR="007C57EF" w:rsidRPr="00E72418">
        <w:rPr>
          <w:rFonts w:ascii="Times New Roman" w:hAnsi="Times New Roman" w:cs="Times New Roman"/>
          <w:szCs w:val="24"/>
        </w:rPr>
        <w:t xml:space="preserve">. Ainsi, il </w:t>
      </w:r>
      <w:r w:rsidR="006E60C4" w:rsidRPr="00E72418">
        <w:rPr>
          <w:rFonts w:ascii="Times New Roman" w:hAnsi="Times New Roman" w:cs="Times New Roman"/>
          <w:szCs w:val="24"/>
        </w:rPr>
        <w:t>a été constaté</w:t>
      </w:r>
      <w:r w:rsidR="007C57EF" w:rsidRPr="00E72418">
        <w:rPr>
          <w:rFonts w:ascii="Times New Roman" w:hAnsi="Times New Roman" w:cs="Times New Roman"/>
          <w:szCs w:val="24"/>
        </w:rPr>
        <w:t xml:space="preserve"> que les pays dont la dette extérieure a</w:t>
      </w:r>
      <w:r w:rsidR="006E60C4" w:rsidRPr="00E72418">
        <w:rPr>
          <w:rFonts w:ascii="Times New Roman" w:hAnsi="Times New Roman" w:cs="Times New Roman"/>
          <w:szCs w:val="24"/>
        </w:rPr>
        <w:t>vait</w:t>
      </w:r>
      <w:r w:rsidR="007C57EF" w:rsidRPr="00E72418">
        <w:rPr>
          <w:rFonts w:ascii="Times New Roman" w:hAnsi="Times New Roman" w:cs="Times New Roman"/>
          <w:szCs w:val="24"/>
        </w:rPr>
        <w:t xml:space="preserve"> été effacée</w:t>
      </w:r>
      <w:r w:rsidR="007C57EF" w:rsidRPr="00E72418">
        <w:t xml:space="preserve"> </w:t>
      </w:r>
      <w:r w:rsidR="007C57EF" w:rsidRPr="00E72418">
        <w:rPr>
          <w:szCs w:val="24"/>
        </w:rPr>
        <w:t>ont pu investir davantage dans leurs services publics et ainsi améliorer la situation de leur population</w:t>
      </w:r>
      <w:r w:rsidR="007C57EF" w:rsidRPr="00E72418">
        <w:rPr>
          <w:rStyle w:val="Appelnotedebasdep"/>
          <w:szCs w:val="24"/>
        </w:rPr>
        <w:footnoteReference w:id="203"/>
      </w:r>
      <w:r w:rsidR="007C57EF" w:rsidRPr="00E72418">
        <w:rPr>
          <w:szCs w:val="24"/>
        </w:rPr>
        <w:t xml:space="preserve">. </w:t>
      </w:r>
    </w:p>
    <w:p w14:paraId="17C10008" w14:textId="2F07DAC7" w:rsidR="004B14B2" w:rsidRPr="00E72418" w:rsidRDefault="007C57EF" w:rsidP="004B14B2">
      <w:pPr>
        <w:spacing w:line="276" w:lineRule="auto"/>
        <w:rPr>
          <w:szCs w:val="24"/>
        </w:rPr>
      </w:pPr>
      <w:r w:rsidRPr="00E72418">
        <w:rPr>
          <w:szCs w:val="24"/>
        </w:rPr>
        <w:t xml:space="preserve">Les retombées positives de mesures d’allègement ou d’annulation de dettes ne bénéficient pas aux seules populations des </w:t>
      </w:r>
      <w:r w:rsidRPr="00E72418">
        <w:rPr>
          <w:szCs w:val="24"/>
          <w:lang w:eastAsia="fr-BE"/>
        </w:rPr>
        <w:t>É</w:t>
      </w:r>
      <w:r w:rsidRPr="00E72418">
        <w:rPr>
          <w:szCs w:val="24"/>
        </w:rPr>
        <w:t xml:space="preserve">tats débiteurs bénéficiaires. Ces mesures </w:t>
      </w:r>
      <w:r w:rsidR="0058047E" w:rsidRPr="00E72418">
        <w:rPr>
          <w:szCs w:val="24"/>
        </w:rPr>
        <w:t>peuvent</w:t>
      </w:r>
      <w:r w:rsidRPr="00E72418">
        <w:rPr>
          <w:szCs w:val="24"/>
        </w:rPr>
        <w:t xml:space="preserve"> également </w:t>
      </w:r>
      <w:r w:rsidR="0058047E" w:rsidRPr="00E72418">
        <w:rPr>
          <w:szCs w:val="24"/>
        </w:rPr>
        <w:t xml:space="preserve">être </w:t>
      </w:r>
      <w:r w:rsidRPr="00E72418">
        <w:rPr>
          <w:szCs w:val="24"/>
        </w:rPr>
        <w:t>profitables aux créancier</w:t>
      </w:r>
      <w:r w:rsidR="0058047E" w:rsidRPr="00E72418">
        <w:rPr>
          <w:szCs w:val="24"/>
        </w:rPr>
        <w:t>s</w:t>
      </w:r>
      <w:r w:rsidRPr="00E72418">
        <w:rPr>
          <w:szCs w:val="24"/>
        </w:rPr>
        <w:t xml:space="preserve"> en ce qu’elles </w:t>
      </w:r>
      <w:r w:rsidR="006E60C4" w:rsidRPr="00E72418">
        <w:rPr>
          <w:szCs w:val="24"/>
        </w:rPr>
        <w:t>seraient</w:t>
      </w:r>
      <w:r w:rsidRPr="00E72418">
        <w:rPr>
          <w:szCs w:val="24"/>
        </w:rPr>
        <w:t xml:space="preserve"> susceptibles d’affecter positivement l’investissement et la croissance</w:t>
      </w:r>
      <w:r w:rsidRPr="00E72418">
        <w:rPr>
          <w:rStyle w:val="Appelnotedebasdep"/>
          <w:szCs w:val="24"/>
        </w:rPr>
        <w:footnoteReference w:id="204"/>
      </w:r>
      <w:r w:rsidRPr="00E72418">
        <w:rPr>
          <w:szCs w:val="24"/>
        </w:rPr>
        <w:t>.</w:t>
      </w:r>
      <w:bookmarkStart w:id="38" w:name="_Toc59280878"/>
      <w:r w:rsidR="00DB090B" w:rsidRPr="00E72418">
        <w:rPr>
          <w:szCs w:val="24"/>
        </w:rPr>
        <w:t xml:space="preserve"> Un groupe de créanciers s’est ainsi constitué avec pour ambition d’apporter des solutions aux endettements souverains problématiques (</w:t>
      </w:r>
      <w:r w:rsidR="00DB090B" w:rsidRPr="00E72418">
        <w:rPr>
          <w:b/>
          <w:szCs w:val="24"/>
        </w:rPr>
        <w:t>sous-section 2</w:t>
      </w:r>
      <w:r w:rsidR="00DB090B" w:rsidRPr="00E72418">
        <w:rPr>
          <w:szCs w:val="24"/>
        </w:rPr>
        <w:t>).</w:t>
      </w:r>
    </w:p>
    <w:p w14:paraId="30AA07F3" w14:textId="7869BB49" w:rsidR="007A0127" w:rsidRPr="00E72418" w:rsidRDefault="007A0127" w:rsidP="00423B60"/>
    <w:p w14:paraId="1A34F3A9" w14:textId="77777777" w:rsidR="00486978" w:rsidRDefault="00486978">
      <w:pPr>
        <w:jc w:val="left"/>
        <w:rPr>
          <w:rFonts w:eastAsiaTheme="majorEastAsia" w:cstheme="majorBidi"/>
          <w:b/>
          <w:sz w:val="26"/>
          <w:u w:val="single"/>
        </w:rPr>
      </w:pPr>
      <w:bookmarkStart w:id="39" w:name="_Toc84540869"/>
      <w:r>
        <w:br w:type="page"/>
      </w:r>
    </w:p>
    <w:p w14:paraId="77698980" w14:textId="71BA7C06" w:rsidR="007C57EF" w:rsidRPr="00E72418" w:rsidRDefault="000764CE" w:rsidP="00CC4BA8">
      <w:pPr>
        <w:pStyle w:val="EE"/>
        <w:spacing w:line="276" w:lineRule="auto"/>
        <w:jc w:val="both"/>
      </w:pPr>
      <w:r w:rsidRPr="00E72418">
        <w:lastRenderedPageBreak/>
        <w:t xml:space="preserve">Sous-section 1 : </w:t>
      </w:r>
      <w:r w:rsidR="00B05967" w:rsidRPr="00E72418">
        <w:t>Une concrétisation majeure,</w:t>
      </w:r>
      <w:r w:rsidR="007C57EF" w:rsidRPr="00E72418">
        <w:t xml:space="preserve"> l’Initiative Pays Pauvres Très Endettés</w:t>
      </w:r>
      <w:bookmarkEnd w:id="38"/>
      <w:bookmarkEnd w:id="39"/>
    </w:p>
    <w:p w14:paraId="5740D3E7" w14:textId="77777777" w:rsidR="007763A7" w:rsidRPr="00E72418" w:rsidRDefault="007763A7" w:rsidP="00423B60"/>
    <w:p w14:paraId="7CD726FE" w14:textId="72ACD6D4" w:rsidR="00AB6EB2" w:rsidRPr="00E72418" w:rsidRDefault="007F038F" w:rsidP="00CC4BA8">
      <w:pPr>
        <w:spacing w:line="276" w:lineRule="auto"/>
        <w:rPr>
          <w:rFonts w:cs="Times New Roman"/>
          <w:shd w:val="clear" w:color="auto" w:fill="FFFFFF"/>
        </w:rPr>
      </w:pPr>
      <w:r w:rsidRPr="00E72418">
        <w:rPr>
          <w:b/>
        </w:rPr>
        <w:t>41</w:t>
      </w:r>
      <w:r w:rsidR="007E31CD" w:rsidRPr="00E72418">
        <w:rPr>
          <w:b/>
        </w:rPr>
        <w:t xml:space="preserve">. </w:t>
      </w:r>
      <w:r w:rsidR="007C57EF" w:rsidRPr="00E72418">
        <w:rPr>
          <w:b/>
        </w:rPr>
        <w:t>Le constat et l’objectif assigné –</w:t>
      </w:r>
      <w:r w:rsidR="007C57EF" w:rsidRPr="00E72418">
        <w:t xml:space="preserve"> Au constat de ce que certains </w:t>
      </w:r>
      <w:r w:rsidR="007C57EF" w:rsidRPr="00E72418">
        <w:rPr>
          <w:lang w:eastAsia="fr-BE"/>
        </w:rPr>
        <w:t>É</w:t>
      </w:r>
      <w:r w:rsidR="007C57EF" w:rsidRPr="00E72418">
        <w:t xml:space="preserve">tats ont à faire face à une charge de la dette tellement </w:t>
      </w:r>
      <w:r w:rsidR="00202994" w:rsidRPr="00E72418">
        <w:t>importante</w:t>
      </w:r>
      <w:r w:rsidR="007C57EF" w:rsidRPr="00E72418">
        <w:t xml:space="preserve"> qu’elle en devient un véritable fardeau aux lourdes co</w:t>
      </w:r>
      <w:r w:rsidR="0059115E" w:rsidRPr="00E72418">
        <w:t>nséquences pour leur population et hypothèque</w:t>
      </w:r>
      <w:r w:rsidR="007C57EF" w:rsidRPr="00E72418">
        <w:t xml:space="preserve"> tout perspective de développement, la </w:t>
      </w:r>
      <w:r w:rsidR="007C57EF" w:rsidRPr="00E72418">
        <w:rPr>
          <w:rFonts w:cs="Times New Roman"/>
        </w:rPr>
        <w:t>Banque mondiale et le Fonds monétaire international</w:t>
      </w:r>
      <w:r w:rsidR="007C57EF" w:rsidRPr="00E72418">
        <w:t xml:space="preserve"> ont lancé</w:t>
      </w:r>
      <w:r w:rsidR="00B33C65" w:rsidRPr="00E72418">
        <w:t xml:space="preserve">, en 1996, </w:t>
      </w:r>
      <w:r w:rsidR="007C57EF" w:rsidRPr="00E72418">
        <w:t>l</w:t>
      </w:r>
      <w:r w:rsidR="007C57EF" w:rsidRPr="00E72418">
        <w:rPr>
          <w:rFonts w:cs="Times New Roman"/>
        </w:rPr>
        <w:t>’Initiative dite « Pays Pauvres Très Endettés »</w:t>
      </w:r>
      <w:r w:rsidR="007C57EF" w:rsidRPr="00E72418">
        <w:rPr>
          <w:rStyle w:val="Appelnotedebasdep"/>
          <w:rFonts w:cs="Times New Roman"/>
          <w:szCs w:val="24"/>
        </w:rPr>
        <w:footnoteReference w:id="205"/>
      </w:r>
      <w:r w:rsidR="0013794A" w:rsidRPr="00E72418">
        <w:rPr>
          <w:rFonts w:cs="Times New Roman"/>
          <w:vertAlign w:val="superscript"/>
        </w:rPr>
        <w:t>,</w:t>
      </w:r>
      <w:r w:rsidR="007C57EF" w:rsidRPr="00E72418">
        <w:rPr>
          <w:rStyle w:val="Appelnotedebasdep"/>
          <w:rFonts w:cs="Times New Roman"/>
          <w:szCs w:val="24"/>
        </w:rPr>
        <w:footnoteReference w:id="206"/>
      </w:r>
      <w:r w:rsidR="007C57EF" w:rsidRPr="00E72418">
        <w:rPr>
          <w:rFonts w:cs="Times New Roman"/>
        </w:rPr>
        <w:t xml:space="preserve">. </w:t>
      </w:r>
      <w:r w:rsidR="00B33C65" w:rsidRPr="00E72418">
        <w:rPr>
          <w:rFonts w:cs="Times New Roman"/>
          <w:shd w:val="clear" w:color="auto" w:fill="FFFFFF"/>
        </w:rPr>
        <w:t>L</w:t>
      </w:r>
      <w:r w:rsidR="00646407" w:rsidRPr="00E72418">
        <w:t xml:space="preserve">’objectif de cette </w:t>
      </w:r>
      <w:r w:rsidR="00B33C65" w:rsidRPr="00E72418">
        <w:t>Initiative est d’éviter que les pays les plus pauvres soient submergés par des dettes ingérables et insoutenables</w:t>
      </w:r>
      <w:r w:rsidR="00B33C65" w:rsidRPr="00E72418">
        <w:rPr>
          <w:rStyle w:val="Appelnotedebasdep"/>
        </w:rPr>
        <w:footnoteReference w:id="207"/>
      </w:r>
      <w:r w:rsidR="00B33C65" w:rsidRPr="00E72418">
        <w:t xml:space="preserve">. </w:t>
      </w:r>
      <w:r w:rsidR="008071B7" w:rsidRPr="00E72418">
        <w:t>C</w:t>
      </w:r>
      <w:r w:rsidR="00B33C65" w:rsidRPr="00E72418">
        <w:rPr>
          <w:rFonts w:cs="Times New Roman"/>
          <w:shd w:val="clear" w:color="auto" w:fill="FFFFFF"/>
        </w:rPr>
        <w:t xml:space="preserve">ertains </w:t>
      </w:r>
      <w:r w:rsidR="00B33C65" w:rsidRPr="00E72418">
        <w:rPr>
          <w:lang w:eastAsia="fr-BE"/>
        </w:rPr>
        <w:t>É</w:t>
      </w:r>
      <w:r w:rsidR="00B33C65" w:rsidRPr="00E72418">
        <w:rPr>
          <w:rFonts w:cs="Times New Roman"/>
          <w:shd w:val="clear" w:color="auto" w:fill="FFFFFF"/>
        </w:rPr>
        <w:t xml:space="preserve">tats n’ayant pas la capacité d’honorer leur dette, </w:t>
      </w:r>
      <w:r w:rsidR="008071B7" w:rsidRPr="00E72418">
        <w:rPr>
          <w:rFonts w:cs="Times New Roman"/>
          <w:shd w:val="clear" w:color="auto" w:fill="FFFFFF"/>
        </w:rPr>
        <w:t xml:space="preserve">la </w:t>
      </w:r>
      <w:r w:rsidR="008071B7" w:rsidRPr="00E72418">
        <w:rPr>
          <w:rFonts w:cs="Times New Roman"/>
        </w:rPr>
        <w:t>Banque mondiale et le Fonds monétaire international</w:t>
      </w:r>
      <w:r w:rsidR="008071B7" w:rsidRPr="00E72418">
        <w:t xml:space="preserve"> posent le constat qu’</w:t>
      </w:r>
      <w:r w:rsidR="00B33C65" w:rsidRPr="00E72418">
        <w:rPr>
          <w:rFonts w:cs="Times New Roman"/>
          <w:shd w:val="clear" w:color="auto" w:fill="FFFFFF"/>
        </w:rPr>
        <w:t>il est nécessaire de la réduire afin de la ramener à un niveau soutenable</w:t>
      </w:r>
      <w:r w:rsidR="00B33C65" w:rsidRPr="00E72418">
        <w:rPr>
          <w:rStyle w:val="Appelnotedebasdep"/>
          <w:rFonts w:cs="Times New Roman"/>
          <w:szCs w:val="24"/>
          <w:shd w:val="clear" w:color="auto" w:fill="FFFFFF"/>
        </w:rPr>
        <w:footnoteReference w:id="208"/>
      </w:r>
      <w:r w:rsidR="00B33C65" w:rsidRPr="00E72418">
        <w:rPr>
          <w:rFonts w:cs="Times New Roman"/>
          <w:shd w:val="clear" w:color="auto" w:fill="FFFFFF"/>
        </w:rPr>
        <w:t>.</w:t>
      </w:r>
      <w:r w:rsidR="00AB6EB2" w:rsidRPr="00E72418">
        <w:rPr>
          <w:rFonts w:cs="Times New Roman"/>
          <w:shd w:val="clear" w:color="auto" w:fill="FFFFFF"/>
        </w:rPr>
        <w:t xml:space="preserve"> </w:t>
      </w:r>
      <w:r w:rsidR="00AB6EB2" w:rsidRPr="00E72418">
        <w:t xml:space="preserve">Si l’objectif humanitaire est affiché, l’Initiative répond à d’autres impératifs, géo-stratégiques notamment. Ainsi, comme le note clairement </w:t>
      </w:r>
      <w:r w:rsidR="005C18A8" w:rsidRPr="00E72418">
        <w:t xml:space="preserve">Celine </w:t>
      </w:r>
      <w:r w:rsidR="00AB6EB2" w:rsidRPr="00E72418">
        <w:t>Tan, « [a]lthough the HIPCs were marginally integrated into the global financial system so that default on debt would not constitute a major risk to the international financial system […], the ramifications of a mass default by these countries, accompanied by rising domestic tensions resulting from the social and economic dislocations of indebtedness and structural adjustment, would be geo-politically significant as it would signal a major loss of faith in the economic trajectories of neoliberalism that was structuring the global economy »</w:t>
      </w:r>
      <w:r w:rsidR="00AB6EB2" w:rsidRPr="00E72418">
        <w:rPr>
          <w:rStyle w:val="Appelnotedebasdep"/>
        </w:rPr>
        <w:footnoteReference w:id="209"/>
      </w:r>
      <w:r w:rsidR="00AB6EB2" w:rsidRPr="00E72418">
        <w:t>.</w:t>
      </w:r>
    </w:p>
    <w:p w14:paraId="038C410A" w14:textId="73D3065A" w:rsidR="007C57EF" w:rsidRPr="00E72418" w:rsidRDefault="008071B7" w:rsidP="00CC4BA8">
      <w:pPr>
        <w:spacing w:line="276" w:lineRule="auto"/>
        <w:rPr>
          <w:rFonts w:ascii="Times New Roman" w:hAnsi="Times New Roman" w:cs="Times New Roman"/>
          <w:szCs w:val="24"/>
          <w:shd w:val="clear" w:color="auto" w:fill="FFFFFF"/>
        </w:rPr>
      </w:pPr>
      <w:r w:rsidRPr="00E72418">
        <w:t xml:space="preserve">L’Initiative </w:t>
      </w:r>
      <w:r w:rsidR="007C57EF" w:rsidRPr="00E72418">
        <w:t xml:space="preserve">consistant en une réduction de la dette des pays qui remplissent des critères stricts, </w:t>
      </w:r>
      <w:r w:rsidRPr="00E72418">
        <w:t>elle</w:t>
      </w:r>
      <w:r w:rsidR="007C57EF" w:rsidRPr="00E72418">
        <w:t xml:space="preserve"> vise à leur donner un nouveau départ en </w:t>
      </w:r>
      <w:r w:rsidRPr="00E72418">
        <w:t xml:space="preserve">leur </w:t>
      </w:r>
      <w:r w:rsidR="007C57EF" w:rsidRPr="00E72418">
        <w:t>accordant des allègements de dette</w:t>
      </w:r>
      <w:r w:rsidR="0050371F" w:rsidRPr="00E72418">
        <w:t>s</w:t>
      </w:r>
      <w:r w:rsidR="007C57EF" w:rsidRPr="00E72418">
        <w:rPr>
          <w:rStyle w:val="Appelnotedebasdep"/>
        </w:rPr>
        <w:footnoteReference w:id="210"/>
      </w:r>
      <w:r w:rsidR="007C57EF" w:rsidRPr="00E72418">
        <w:t xml:space="preserve">. </w:t>
      </w:r>
      <w:r w:rsidR="007C57EF" w:rsidRPr="00E72418">
        <w:rPr>
          <w:rFonts w:cs="Times New Roman"/>
          <w:szCs w:val="24"/>
        </w:rPr>
        <w:t>L’</w:t>
      </w:r>
      <w:r w:rsidR="007C57EF" w:rsidRPr="00E72418">
        <w:rPr>
          <w:rFonts w:cs="Times New Roman"/>
          <w:szCs w:val="24"/>
          <w:shd w:val="clear" w:color="auto" w:fill="FFFFFF"/>
        </w:rPr>
        <w:t xml:space="preserve">assistance exceptionnelle accordée aux pays déclarés éligibles à l’Initiative vise à les aider à </w:t>
      </w:r>
      <w:r w:rsidR="007C57EF" w:rsidRPr="00E72418">
        <w:rPr>
          <w:rFonts w:ascii="Times New Roman" w:hAnsi="Times New Roman" w:cs="Times New Roman"/>
          <w:szCs w:val="24"/>
          <w:shd w:val="clear" w:color="auto" w:fill="FFFFFF"/>
        </w:rPr>
        <w:t>réduire le poids de leur dette extérieure à un niveau soutenable</w:t>
      </w:r>
      <w:r w:rsidRPr="00E72418">
        <w:rPr>
          <w:rFonts w:ascii="Times New Roman" w:hAnsi="Times New Roman" w:cs="Times New Roman"/>
          <w:szCs w:val="24"/>
          <w:shd w:val="clear" w:color="auto" w:fill="FFFFFF"/>
        </w:rPr>
        <w:t xml:space="preserve"> et </w:t>
      </w:r>
      <w:r w:rsidR="007C57EF" w:rsidRPr="00E72418">
        <w:rPr>
          <w:rFonts w:ascii="Times New Roman" w:hAnsi="Times New Roman" w:cs="Times New Roman"/>
          <w:szCs w:val="24"/>
          <w:shd w:val="clear" w:color="auto" w:fill="FFFFFF"/>
        </w:rPr>
        <w:t xml:space="preserve">contribue à inciter les investissements </w:t>
      </w:r>
      <w:r w:rsidR="0030147D">
        <w:rPr>
          <w:rFonts w:ascii="Times New Roman" w:hAnsi="Times New Roman" w:cs="Times New Roman"/>
          <w:szCs w:val="24"/>
          <w:shd w:val="clear" w:color="auto" w:fill="FFFFFF"/>
        </w:rPr>
        <w:t>ainsi qu’</w:t>
      </w:r>
      <w:r w:rsidR="007C57EF" w:rsidRPr="00E72418">
        <w:rPr>
          <w:rFonts w:ascii="Times New Roman" w:hAnsi="Times New Roman" w:cs="Times New Roman"/>
          <w:szCs w:val="24"/>
          <w:shd w:val="clear" w:color="auto" w:fill="FFFFFF"/>
        </w:rPr>
        <w:t>à élargir le soutien aux réformes économiques</w:t>
      </w:r>
      <w:r w:rsidR="007C57EF" w:rsidRPr="00E72418">
        <w:rPr>
          <w:rStyle w:val="Appelnotedebasdep"/>
          <w:rFonts w:ascii="Times New Roman" w:hAnsi="Times New Roman" w:cs="Times New Roman"/>
          <w:szCs w:val="24"/>
          <w:shd w:val="clear" w:color="auto" w:fill="FFFFFF"/>
        </w:rPr>
        <w:footnoteReference w:id="211"/>
      </w:r>
      <w:r w:rsidR="007C57EF" w:rsidRPr="00E72418">
        <w:rPr>
          <w:rFonts w:ascii="Times New Roman" w:hAnsi="Times New Roman" w:cs="Times New Roman"/>
          <w:szCs w:val="24"/>
          <w:shd w:val="clear" w:color="auto" w:fill="FFFFFF"/>
        </w:rPr>
        <w:t>.</w:t>
      </w:r>
    </w:p>
    <w:p w14:paraId="36A7C0F9" w14:textId="77777777" w:rsidR="007C57EF" w:rsidRPr="00E72418" w:rsidRDefault="007C57EF"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szCs w:val="24"/>
          <w:shd w:val="clear" w:color="auto" w:fill="FFFFFF"/>
        </w:rPr>
        <w:t xml:space="preserve">L’Initiative </w:t>
      </w:r>
      <w:r w:rsidR="008071B7" w:rsidRPr="00E72418">
        <w:rPr>
          <w:rFonts w:ascii="Times New Roman" w:hAnsi="Times New Roman" w:cs="Times New Roman"/>
        </w:rPr>
        <w:t>Pays Pauvres Très Endettés</w:t>
      </w:r>
      <w:r w:rsidR="008071B7" w:rsidRPr="00E72418">
        <w:rPr>
          <w:rFonts w:ascii="Times New Roman" w:hAnsi="Times New Roman" w:cs="Times New Roman"/>
          <w:szCs w:val="24"/>
          <w:shd w:val="clear" w:color="auto" w:fill="FFFFFF"/>
        </w:rPr>
        <w:t xml:space="preserve"> </w:t>
      </w:r>
      <w:r w:rsidRPr="00E72418">
        <w:rPr>
          <w:rFonts w:ascii="Times New Roman" w:hAnsi="Times New Roman" w:cs="Times New Roman"/>
          <w:szCs w:val="24"/>
          <w:shd w:val="clear" w:color="auto" w:fill="FFFFFF"/>
        </w:rPr>
        <w:t xml:space="preserve">ne se conçoit pas de manière isolée ; elle </w:t>
      </w:r>
      <w:r w:rsidRPr="00E72418">
        <w:rPr>
          <w:rFonts w:ascii="Times New Roman" w:hAnsi="Times New Roman" w:cs="Times New Roman"/>
          <w:shd w:val="clear" w:color="auto" w:fill="FFFFFF"/>
        </w:rPr>
        <w:t xml:space="preserve">s’inscrit dans un effort beaucoup plus vaste dont l’objet est de satisfaire les besoins de développement des </w:t>
      </w:r>
      <w:r w:rsidRPr="00E72418">
        <w:rPr>
          <w:rFonts w:ascii="Times New Roman" w:hAnsi="Times New Roman" w:cs="Times New Roman"/>
          <w:shd w:val="clear" w:color="auto" w:fill="FFFFFF"/>
        </w:rPr>
        <w:lastRenderedPageBreak/>
        <w:t>pays à faible revenu et d’assurer que la dette reste durablement soutenable</w:t>
      </w:r>
      <w:r w:rsidRPr="00E72418">
        <w:rPr>
          <w:rStyle w:val="Appelnotedebasdep"/>
          <w:rFonts w:ascii="Times New Roman" w:hAnsi="Times New Roman" w:cs="Times New Roman"/>
          <w:shd w:val="clear" w:color="auto" w:fill="FFFFFF"/>
        </w:rPr>
        <w:footnoteReference w:id="212"/>
      </w:r>
      <w:r w:rsidRPr="00E72418">
        <w:rPr>
          <w:rFonts w:ascii="Times New Roman" w:hAnsi="Times New Roman" w:cs="Times New Roman"/>
          <w:shd w:val="clear" w:color="auto" w:fill="FFFFFF"/>
        </w:rPr>
        <w:t>. L’accent est mis sur l’importance pour les Pays Pauvres Très Endettés de s’employer sans relâche à renforcer leurs politiques et leurs institutions mais également sur l’importance de recevoir de l’aide de la communauté internationale</w:t>
      </w:r>
      <w:r w:rsidRPr="00E72418">
        <w:rPr>
          <w:rStyle w:val="Appelnotedebasdep"/>
          <w:rFonts w:ascii="Times New Roman" w:hAnsi="Times New Roman" w:cs="Times New Roman"/>
          <w:shd w:val="clear" w:color="auto" w:fill="FFFFFF"/>
        </w:rPr>
        <w:footnoteReference w:id="213"/>
      </w:r>
      <w:r w:rsidRPr="00E72418">
        <w:rPr>
          <w:rFonts w:ascii="Times New Roman" w:hAnsi="Times New Roman" w:cs="Times New Roman"/>
          <w:shd w:val="clear" w:color="auto" w:fill="FFFFFF"/>
        </w:rPr>
        <w:t xml:space="preserve">. </w:t>
      </w:r>
      <w:r w:rsidRPr="00E72418">
        <w:rPr>
          <w:rFonts w:ascii="Times New Roman" w:hAnsi="Times New Roman" w:cs="Times New Roman"/>
        </w:rPr>
        <w:t xml:space="preserve">Comme </w:t>
      </w:r>
      <w:r w:rsidR="008071B7" w:rsidRPr="00E72418">
        <w:rPr>
          <w:rFonts w:ascii="Times New Roman" w:hAnsi="Times New Roman" w:cs="Times New Roman"/>
        </w:rPr>
        <w:t>le relève</w:t>
      </w:r>
      <w:r w:rsidRPr="00E72418">
        <w:rPr>
          <w:rFonts w:ascii="Times New Roman" w:hAnsi="Times New Roman" w:cs="Times New Roman"/>
        </w:rPr>
        <w:t xml:space="preserve"> la Banque mondiale, « [b]eyond debt relief, long-term debt sustainability requires efforts by borrowers, lenders, and donors to promote prudent borrowing, suitably concessional finance, sustained economic growth, diversified exports, and greater access to markets in developed countries »</w:t>
      </w:r>
      <w:r w:rsidRPr="00E72418">
        <w:rPr>
          <w:rStyle w:val="Appelnotedebasdep"/>
          <w:rFonts w:ascii="Times New Roman" w:hAnsi="Times New Roman" w:cs="Times New Roman"/>
          <w:szCs w:val="24"/>
        </w:rPr>
        <w:footnoteReference w:id="214"/>
      </w:r>
      <w:r w:rsidRPr="00E72418">
        <w:rPr>
          <w:rFonts w:ascii="Times New Roman" w:hAnsi="Times New Roman" w:cs="Times New Roman"/>
          <w:szCs w:val="24"/>
        </w:rPr>
        <w:t>.</w:t>
      </w:r>
    </w:p>
    <w:p w14:paraId="5CA2EDF7" w14:textId="56753EA9"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L’intention de la Banque mondiale et du Fonds monétaire </w:t>
      </w:r>
      <w:r w:rsidR="008071B7" w:rsidRPr="00E72418">
        <w:rPr>
          <w:rFonts w:ascii="Times New Roman" w:hAnsi="Times New Roman" w:cs="Times New Roman"/>
        </w:rPr>
        <w:t>international n’étant</w:t>
      </w:r>
      <w:r w:rsidRPr="00E72418">
        <w:rPr>
          <w:rFonts w:ascii="Times New Roman" w:hAnsi="Times New Roman" w:cs="Times New Roman"/>
        </w:rPr>
        <w:t xml:space="preserve"> pas de faire de leur initiative un mécanisme permanent</w:t>
      </w:r>
      <w:r w:rsidR="008071B7" w:rsidRPr="00E72418">
        <w:rPr>
          <w:rFonts w:ascii="Times New Roman" w:hAnsi="Times New Roman" w:cs="Times New Roman"/>
        </w:rPr>
        <w:t>,</w:t>
      </w:r>
      <w:r w:rsidRPr="00E72418">
        <w:rPr>
          <w:rFonts w:ascii="Times New Roman" w:hAnsi="Times New Roman" w:cs="Times New Roman"/>
        </w:rPr>
        <w:t xml:space="preserve"> la liste des pays potentiellement éligibles fut close en 2006. Cette limitation temporelle s’explique par le souci d’éviter que des pays comptent sur un désendettement qui leur serait toujours potentiellement offert. Une telle possibilité serait de nature à augmenter l’aléa moral dans le chef des débiteurs convaincus de toujours pouvoir bénéficier de l’effacement de leur ardoise. </w:t>
      </w:r>
      <w:r w:rsidR="008071B7" w:rsidRPr="00E72418">
        <w:rPr>
          <w:rFonts w:ascii="Times New Roman" w:hAnsi="Times New Roman" w:cs="Times New Roman"/>
        </w:rPr>
        <w:t xml:space="preserve">Aussi, ces mêmes débiteurs risqueraient d’être </w:t>
      </w:r>
      <w:r w:rsidRPr="00E72418">
        <w:rPr>
          <w:rFonts w:ascii="Times New Roman" w:hAnsi="Times New Roman" w:cs="Times New Roman"/>
        </w:rPr>
        <w:t xml:space="preserve">moins enclins à s’astreindre à des réformes </w:t>
      </w:r>
      <w:r w:rsidR="008071B7" w:rsidRPr="00E72418">
        <w:rPr>
          <w:rFonts w:ascii="Times New Roman" w:hAnsi="Times New Roman" w:cs="Times New Roman"/>
        </w:rPr>
        <w:t>nécessaires à l’amélioration de leur situation</w:t>
      </w:r>
      <w:r w:rsidRPr="00E72418">
        <w:rPr>
          <w:rStyle w:val="Appelnotedebasdep"/>
          <w:rFonts w:ascii="Times New Roman" w:hAnsi="Times New Roman" w:cs="Times New Roman"/>
        </w:rPr>
        <w:footnoteReference w:id="215"/>
      </w:r>
      <w:r w:rsidRPr="00E72418">
        <w:rPr>
          <w:rFonts w:ascii="Times New Roman" w:hAnsi="Times New Roman" w:cs="Times New Roman"/>
        </w:rPr>
        <w:t>.</w:t>
      </w:r>
    </w:p>
    <w:p w14:paraId="6AF1B029" w14:textId="77777777" w:rsidR="00194C97" w:rsidRPr="00E72418" w:rsidRDefault="00194C97" w:rsidP="00CC4BA8">
      <w:pPr>
        <w:spacing w:line="276" w:lineRule="auto"/>
        <w:rPr>
          <w:rFonts w:ascii="Times New Roman" w:hAnsi="Times New Roman" w:cs="Times New Roman"/>
        </w:rPr>
      </w:pPr>
    </w:p>
    <w:p w14:paraId="3EE6E330" w14:textId="038C53D8"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42</w:t>
      </w:r>
      <w:r w:rsidR="007E31CD" w:rsidRPr="00E72418">
        <w:rPr>
          <w:rFonts w:ascii="Times New Roman" w:hAnsi="Times New Roman" w:cs="Times New Roman"/>
          <w:b/>
        </w:rPr>
        <w:t xml:space="preserve">. </w:t>
      </w:r>
      <w:r w:rsidR="007C57EF" w:rsidRPr="00E72418">
        <w:rPr>
          <w:rFonts w:ascii="Times New Roman" w:hAnsi="Times New Roman" w:cs="Times New Roman"/>
          <w:b/>
        </w:rPr>
        <w:t>Les étapes –</w:t>
      </w:r>
      <w:r w:rsidR="007C57EF" w:rsidRPr="00E72418">
        <w:rPr>
          <w:rFonts w:ascii="Times New Roman" w:hAnsi="Times New Roman" w:cs="Times New Roman"/>
        </w:rPr>
        <w:t xml:space="preserve"> Le processus mis en place par l’Initiative Pays Pauvres Très Endettés de la Banque mondiale et du Fonds monétaire international comporte deux étapes conditionnant l’octroi de l’allègement de la dette. </w:t>
      </w:r>
      <w:r w:rsidR="007C57EF" w:rsidRPr="00E72418">
        <w:rPr>
          <w:rFonts w:ascii="Times New Roman" w:hAnsi="Times New Roman" w:cs="Times New Roman"/>
          <w:szCs w:val="24"/>
          <w:shd w:val="clear" w:color="auto" w:fill="FFFFFF"/>
        </w:rPr>
        <w:t>Lorsque le pays atteint le « point de décision » qu</w:t>
      </w:r>
      <w:r w:rsidR="00E93407" w:rsidRPr="00E72418">
        <w:rPr>
          <w:rFonts w:ascii="Times New Roman" w:hAnsi="Times New Roman" w:cs="Times New Roman"/>
          <w:szCs w:val="24"/>
          <w:shd w:val="clear" w:color="auto" w:fill="FFFFFF"/>
        </w:rPr>
        <w:t>i est la première étape</w:t>
      </w:r>
      <w:r w:rsidR="007C57EF" w:rsidRPr="00E72418">
        <w:rPr>
          <w:rFonts w:ascii="Times New Roman" w:hAnsi="Times New Roman" w:cs="Times New Roman"/>
          <w:szCs w:val="24"/>
          <w:shd w:val="clear" w:color="auto" w:fill="FFFFFF"/>
        </w:rPr>
        <w:t>, il peut commencer à recevoir un allègement intérimaire</w:t>
      </w:r>
      <w:r w:rsidR="007C57EF" w:rsidRPr="00E72418">
        <w:rPr>
          <w:rStyle w:val="Appelnotedebasdep"/>
          <w:rFonts w:ascii="Times New Roman" w:hAnsi="Times New Roman" w:cs="Times New Roman"/>
          <w:szCs w:val="24"/>
          <w:shd w:val="clear" w:color="auto" w:fill="FFFFFF"/>
        </w:rPr>
        <w:footnoteReference w:id="216"/>
      </w:r>
      <w:r w:rsidR="007C57EF" w:rsidRPr="00E72418">
        <w:rPr>
          <w:rFonts w:ascii="Times New Roman" w:hAnsi="Times New Roman" w:cs="Times New Roman"/>
          <w:szCs w:val="24"/>
          <w:shd w:val="clear" w:color="auto" w:fill="FFFFFF"/>
        </w:rPr>
        <w:t xml:space="preserve">. </w:t>
      </w:r>
      <w:r w:rsidR="0012068A" w:rsidRPr="00E72418">
        <w:rPr>
          <w:rFonts w:ascii="Times New Roman" w:hAnsi="Times New Roman" w:cs="Times New Roman"/>
          <w:szCs w:val="24"/>
          <w:shd w:val="clear" w:color="auto" w:fill="FFFFFF"/>
        </w:rPr>
        <w:t>L</w:t>
      </w:r>
      <w:r w:rsidR="0012068A" w:rsidRPr="00E72418">
        <w:rPr>
          <w:rFonts w:ascii="Times New Roman" w:hAnsi="Times New Roman" w:cs="Times New Roman"/>
        </w:rPr>
        <w:t>a rencontre du « point d’achèvement », la seconde étape,</w:t>
      </w:r>
      <w:r w:rsidR="007C57EF" w:rsidRPr="00E72418">
        <w:rPr>
          <w:rFonts w:ascii="Times New Roman" w:hAnsi="Times New Roman" w:cs="Times New Roman"/>
        </w:rPr>
        <w:t xml:space="preserve"> permet à l’</w:t>
      </w:r>
      <w:r w:rsidR="007C57EF" w:rsidRPr="00E72418">
        <w:rPr>
          <w:rFonts w:ascii="Times New Roman" w:hAnsi="Times New Roman" w:cs="Times New Roman"/>
          <w:lang w:eastAsia="fr-BE"/>
        </w:rPr>
        <w:t>É</w:t>
      </w:r>
      <w:r w:rsidR="007C57EF" w:rsidRPr="00E72418">
        <w:rPr>
          <w:rFonts w:ascii="Times New Roman" w:hAnsi="Times New Roman" w:cs="Times New Roman"/>
        </w:rPr>
        <w:t>tat débiteur de recevoir la réduction intégrale et irrévocable de sa dette au titre de l’Initiative</w:t>
      </w:r>
      <w:r w:rsidR="007C57EF" w:rsidRPr="00E72418">
        <w:rPr>
          <w:rStyle w:val="Appelnotedebasdep"/>
          <w:rFonts w:ascii="Times New Roman" w:hAnsi="Times New Roman" w:cs="Times New Roman"/>
        </w:rPr>
        <w:footnoteReference w:id="217"/>
      </w:r>
      <w:r w:rsidR="007C57EF" w:rsidRPr="00E72418">
        <w:rPr>
          <w:rFonts w:ascii="Times New Roman" w:hAnsi="Times New Roman" w:cs="Times New Roman"/>
        </w:rPr>
        <w:t>.</w:t>
      </w:r>
    </w:p>
    <w:p w14:paraId="3AA6892C" w14:textId="77777777"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Quatre conditio</w:t>
      </w:r>
      <w:r w:rsidR="0012068A" w:rsidRPr="00E72418">
        <w:rPr>
          <w:rFonts w:ascii="Times New Roman" w:hAnsi="Times New Roman" w:cs="Times New Roman"/>
          <w:szCs w:val="24"/>
        </w:rPr>
        <w:t>ns doivent être remplies afin qu’un</w:t>
      </w:r>
      <w:r w:rsidR="0012068A" w:rsidRPr="00E72418">
        <w:rPr>
          <w:rFonts w:ascii="Times New Roman" w:hAnsi="Times New Roman" w:cs="Times New Roman"/>
          <w:lang w:eastAsia="fr-BE"/>
        </w:rPr>
        <w:t xml:space="preserve"> É</w:t>
      </w:r>
      <w:r w:rsidR="0012068A" w:rsidRPr="00E72418">
        <w:rPr>
          <w:rFonts w:ascii="Times New Roman" w:hAnsi="Times New Roman" w:cs="Times New Roman"/>
          <w:szCs w:val="24"/>
        </w:rPr>
        <w:t>tat</w:t>
      </w:r>
      <w:r w:rsidRPr="00E72418">
        <w:rPr>
          <w:rFonts w:ascii="Times New Roman" w:hAnsi="Times New Roman" w:cs="Times New Roman"/>
          <w:szCs w:val="24"/>
        </w:rPr>
        <w:t xml:space="preserve"> puisse bénéficier d’une assistance au titre de l’Initiative Pays Pauvres Très Endettés. Une fois les quatre conditions remplies</w:t>
      </w:r>
      <w:r w:rsidR="0012068A" w:rsidRPr="00E72418">
        <w:rPr>
          <w:rFonts w:ascii="Times New Roman" w:hAnsi="Times New Roman" w:cs="Times New Roman"/>
          <w:szCs w:val="24"/>
        </w:rPr>
        <w:t xml:space="preserve"> </w:t>
      </w:r>
      <w:r w:rsidRPr="00E72418">
        <w:rPr>
          <w:rFonts w:ascii="Times New Roman" w:hAnsi="Times New Roman" w:cs="Times New Roman"/>
          <w:szCs w:val="24"/>
        </w:rPr>
        <w:t xml:space="preserve">ou une fois que le pays a suffisamment progressé dans leur observation, </w:t>
      </w:r>
      <w:r w:rsidR="0012068A" w:rsidRPr="00E72418">
        <w:rPr>
          <w:rFonts w:ascii="Times New Roman" w:hAnsi="Times New Roman" w:cs="Times New Roman"/>
          <w:szCs w:val="24"/>
          <w:shd w:val="clear" w:color="auto" w:fill="FFFFFF"/>
        </w:rPr>
        <w:t>les conseils d’administration de la Banque mondiale et du</w:t>
      </w:r>
      <w:r w:rsidRPr="00E72418">
        <w:rPr>
          <w:rFonts w:ascii="Times New Roman" w:hAnsi="Times New Roman" w:cs="Times New Roman"/>
          <w:szCs w:val="24"/>
          <w:shd w:val="clear" w:color="auto" w:fill="FFFFFF"/>
        </w:rPr>
        <w:t xml:space="preserve"> Fonds monétaire international décident officiellement de son admissibilité à l’allègement de la dette</w:t>
      </w:r>
      <w:r w:rsidRPr="00E72418">
        <w:rPr>
          <w:rStyle w:val="Appelnotedebasdep"/>
          <w:rFonts w:ascii="Times New Roman" w:hAnsi="Times New Roman" w:cs="Times New Roman"/>
          <w:szCs w:val="24"/>
          <w:shd w:val="clear" w:color="auto" w:fill="FFFFFF"/>
        </w:rPr>
        <w:footnoteReference w:id="218"/>
      </w:r>
      <w:r w:rsidRPr="00E72418">
        <w:rPr>
          <w:rFonts w:ascii="Times New Roman" w:hAnsi="Times New Roman" w:cs="Times New Roman"/>
          <w:szCs w:val="24"/>
          <w:shd w:val="clear" w:color="auto" w:fill="FFFFFF"/>
        </w:rPr>
        <w:t xml:space="preserve">. La première condition est </w:t>
      </w:r>
      <w:r w:rsidR="0012068A" w:rsidRPr="00E72418">
        <w:rPr>
          <w:rFonts w:ascii="Times New Roman" w:hAnsi="Times New Roman" w:cs="Times New Roman"/>
          <w:szCs w:val="24"/>
          <w:shd w:val="clear" w:color="auto" w:fill="FFFFFF"/>
        </w:rPr>
        <w:t>celle de l’admissibilité de l’</w:t>
      </w:r>
      <w:r w:rsidR="0012068A" w:rsidRPr="00E72418">
        <w:rPr>
          <w:rFonts w:ascii="Times New Roman" w:hAnsi="Times New Roman" w:cs="Times New Roman"/>
          <w:lang w:eastAsia="fr-BE"/>
        </w:rPr>
        <w:t>É</w:t>
      </w:r>
      <w:r w:rsidR="0012068A" w:rsidRPr="00E72418">
        <w:rPr>
          <w:rFonts w:ascii="Times New Roman" w:hAnsi="Times New Roman" w:cs="Times New Roman"/>
          <w:szCs w:val="24"/>
        </w:rPr>
        <w:t>tat</w:t>
      </w:r>
      <w:r w:rsidRPr="00E72418">
        <w:rPr>
          <w:rFonts w:ascii="Times New Roman" w:hAnsi="Times New Roman" w:cs="Times New Roman"/>
          <w:szCs w:val="24"/>
        </w:rPr>
        <w:t xml:space="preserve"> à emprunter auprès de l’Agence internationale de développement de la Banque mondiale.</w:t>
      </w:r>
      <w:r w:rsidRPr="00E72418">
        <w:rPr>
          <w:rFonts w:ascii="Times New Roman" w:hAnsi="Times New Roman" w:cs="Times New Roman"/>
          <w:szCs w:val="24"/>
          <w:shd w:val="clear" w:color="auto" w:fill="FFFFFF"/>
        </w:rPr>
        <w:t xml:space="preserve"> </w:t>
      </w:r>
      <w:r w:rsidR="0012068A" w:rsidRPr="00E72418">
        <w:rPr>
          <w:rFonts w:ascii="Times New Roman" w:hAnsi="Times New Roman" w:cs="Times New Roman"/>
          <w:szCs w:val="24"/>
        </w:rPr>
        <w:t>Deuxièmement, il faut que le débiteur fasse</w:t>
      </w:r>
      <w:r w:rsidRPr="00E72418">
        <w:rPr>
          <w:rFonts w:ascii="Times New Roman" w:hAnsi="Times New Roman" w:cs="Times New Roman"/>
          <w:szCs w:val="24"/>
        </w:rPr>
        <w:t xml:space="preserve"> face à une charge d’endettement insoutenable pour laquelle les mécanismes d’allègement de la dette traditionnels ne suffisent pas. </w:t>
      </w:r>
      <w:r w:rsidR="0012068A" w:rsidRPr="00E72418">
        <w:rPr>
          <w:rFonts w:ascii="Times New Roman" w:hAnsi="Times New Roman" w:cs="Times New Roman"/>
          <w:szCs w:val="24"/>
        </w:rPr>
        <w:t>L’</w:t>
      </w:r>
      <w:r w:rsidR="0012068A" w:rsidRPr="00E72418">
        <w:rPr>
          <w:rFonts w:ascii="Times New Roman" w:hAnsi="Times New Roman" w:cs="Times New Roman"/>
          <w:lang w:eastAsia="fr-BE"/>
        </w:rPr>
        <w:t>É</w:t>
      </w:r>
      <w:r w:rsidR="0012068A" w:rsidRPr="00E72418">
        <w:rPr>
          <w:rFonts w:ascii="Times New Roman" w:hAnsi="Times New Roman" w:cs="Times New Roman"/>
          <w:szCs w:val="24"/>
        </w:rPr>
        <w:t xml:space="preserve">tat doit ensuite </w:t>
      </w:r>
      <w:r w:rsidRPr="00E72418">
        <w:rPr>
          <w:rFonts w:ascii="Times New Roman" w:hAnsi="Times New Roman" w:cs="Times New Roman"/>
          <w:szCs w:val="24"/>
        </w:rPr>
        <w:t>prouve</w:t>
      </w:r>
      <w:r w:rsidR="0012068A" w:rsidRPr="00E72418">
        <w:rPr>
          <w:rFonts w:ascii="Times New Roman" w:hAnsi="Times New Roman" w:cs="Times New Roman"/>
          <w:szCs w:val="24"/>
        </w:rPr>
        <w:t>r</w:t>
      </w:r>
      <w:r w:rsidRPr="00E72418">
        <w:rPr>
          <w:rFonts w:ascii="Times New Roman" w:hAnsi="Times New Roman" w:cs="Times New Roman"/>
          <w:szCs w:val="24"/>
        </w:rPr>
        <w:t xml:space="preserve"> qu’il a procédé à des réformes et mené une politique économique avisée dans</w:t>
      </w:r>
      <w:r w:rsidRPr="00E72418">
        <w:rPr>
          <w:rFonts w:cs="Times New Roman"/>
          <w:szCs w:val="24"/>
        </w:rPr>
        <w:t xml:space="preserve"> </w:t>
      </w:r>
      <w:r w:rsidRPr="00E72418">
        <w:rPr>
          <w:rFonts w:ascii="Times New Roman" w:hAnsi="Times New Roman" w:cs="Times New Roman"/>
          <w:szCs w:val="24"/>
        </w:rPr>
        <w:t xml:space="preserve">le cadre de programmes appuyés par </w:t>
      </w:r>
      <w:r w:rsidR="0012068A" w:rsidRPr="00E72418">
        <w:rPr>
          <w:rFonts w:ascii="Times New Roman" w:hAnsi="Times New Roman" w:cs="Times New Roman"/>
          <w:szCs w:val="24"/>
        </w:rPr>
        <w:t xml:space="preserve">la Banque mondiale et </w:t>
      </w:r>
      <w:r w:rsidRPr="00E72418">
        <w:rPr>
          <w:rFonts w:ascii="Times New Roman" w:hAnsi="Times New Roman" w:cs="Times New Roman"/>
          <w:szCs w:val="24"/>
        </w:rPr>
        <w:t>le </w:t>
      </w:r>
      <w:hyperlink r:id="rId10" w:history="1">
        <w:r w:rsidRPr="00E72418">
          <w:rPr>
            <w:rStyle w:val="Lienhypertexte"/>
            <w:rFonts w:ascii="Times New Roman" w:hAnsi="Times New Roman" w:cs="Times New Roman"/>
            <w:color w:val="auto"/>
            <w:szCs w:val="24"/>
            <w:u w:val="none"/>
          </w:rPr>
          <w:t>Fond</w:t>
        </w:r>
      </w:hyperlink>
      <w:r w:rsidRPr="00E72418">
        <w:rPr>
          <w:rFonts w:ascii="Times New Roman" w:hAnsi="Times New Roman" w:cs="Times New Roman"/>
          <w:szCs w:val="24"/>
        </w:rPr>
        <w:t>s monétaire international.</w:t>
      </w:r>
      <w:r w:rsidR="0012068A" w:rsidRPr="00E72418">
        <w:rPr>
          <w:rFonts w:ascii="Times New Roman" w:hAnsi="Times New Roman" w:cs="Times New Roman"/>
          <w:szCs w:val="24"/>
        </w:rPr>
        <w:t xml:space="preserve"> </w:t>
      </w:r>
      <w:r w:rsidR="0012068A" w:rsidRPr="00E72418">
        <w:rPr>
          <w:rFonts w:ascii="Times New Roman" w:hAnsi="Times New Roman" w:cs="Times New Roman"/>
          <w:szCs w:val="24"/>
        </w:rPr>
        <w:lastRenderedPageBreak/>
        <w:t>Finalement, l</w:t>
      </w:r>
      <w:r w:rsidRPr="00E72418">
        <w:rPr>
          <w:rFonts w:ascii="Times New Roman" w:hAnsi="Times New Roman" w:cs="Times New Roman"/>
          <w:szCs w:val="24"/>
        </w:rPr>
        <w:t>a quatrième e</w:t>
      </w:r>
      <w:r w:rsidR="0012068A" w:rsidRPr="00E72418">
        <w:rPr>
          <w:rFonts w:ascii="Times New Roman" w:hAnsi="Times New Roman" w:cs="Times New Roman"/>
          <w:szCs w:val="24"/>
        </w:rPr>
        <w:t>t dernière condition est celle de l’</w:t>
      </w:r>
      <w:r w:rsidR="0012068A" w:rsidRPr="00E72418">
        <w:rPr>
          <w:rFonts w:ascii="Times New Roman" w:hAnsi="Times New Roman" w:cs="Times New Roman"/>
        </w:rPr>
        <w:t>élaboration par l’</w:t>
      </w:r>
      <w:r w:rsidR="0012068A" w:rsidRPr="00E72418">
        <w:rPr>
          <w:rFonts w:ascii="Times New Roman" w:hAnsi="Times New Roman" w:cs="Times New Roman"/>
          <w:lang w:eastAsia="fr-BE"/>
        </w:rPr>
        <w:t>É</w:t>
      </w:r>
      <w:r w:rsidR="0012068A" w:rsidRPr="00E72418">
        <w:rPr>
          <w:rFonts w:ascii="Times New Roman" w:hAnsi="Times New Roman" w:cs="Times New Roman"/>
          <w:szCs w:val="24"/>
        </w:rPr>
        <w:t>tat</w:t>
      </w:r>
      <w:r w:rsidRPr="00E72418">
        <w:rPr>
          <w:rFonts w:ascii="Times New Roman" w:hAnsi="Times New Roman" w:cs="Times New Roman"/>
        </w:rPr>
        <w:t xml:space="preserve"> </w:t>
      </w:r>
      <w:r w:rsidR="0012068A" w:rsidRPr="00E72418">
        <w:rPr>
          <w:rFonts w:ascii="Times New Roman" w:hAnsi="Times New Roman" w:cs="Times New Roman"/>
        </w:rPr>
        <w:t>d’</w:t>
      </w:r>
      <w:r w:rsidRPr="00E72418">
        <w:rPr>
          <w:rFonts w:ascii="Times New Roman" w:hAnsi="Times New Roman" w:cs="Times New Roman"/>
        </w:rPr>
        <w:t>un </w:t>
      </w:r>
      <w:hyperlink r:id="rId11" w:history="1">
        <w:r w:rsidRPr="00E72418">
          <w:rPr>
            <w:rFonts w:ascii="Times New Roman" w:hAnsi="Times New Roman" w:cs="Times New Roman"/>
          </w:rPr>
          <w:t>document de stratégie pour la réduction de la pauvreté</w:t>
        </w:r>
      </w:hyperlink>
      <w:r w:rsidRPr="00E72418">
        <w:rPr>
          <w:rStyle w:val="Appelnotedebasdep"/>
          <w:rFonts w:ascii="Times New Roman" w:hAnsi="Times New Roman" w:cs="Times New Roman"/>
        </w:rPr>
        <w:footnoteReference w:id="219"/>
      </w:r>
      <w:r w:rsidRPr="00E72418">
        <w:rPr>
          <w:rFonts w:ascii="Times New Roman" w:hAnsi="Times New Roman" w:cs="Times New Roman"/>
          <w:szCs w:val="24"/>
        </w:rPr>
        <w:t>.</w:t>
      </w:r>
    </w:p>
    <w:p w14:paraId="21E92392" w14:textId="2E841252"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Une fois le point de décision atteint, le « Common Reduction Factor » va être calculé</w:t>
      </w:r>
      <w:r w:rsidR="0012068A" w:rsidRPr="00E72418">
        <w:rPr>
          <w:rFonts w:ascii="Times New Roman" w:hAnsi="Times New Roman" w:cs="Times New Roman"/>
          <w:szCs w:val="24"/>
        </w:rPr>
        <w:t>. Ce facteur</w:t>
      </w:r>
      <w:r w:rsidR="007106E8" w:rsidRPr="00E72418">
        <w:rPr>
          <w:rFonts w:ascii="Times New Roman" w:hAnsi="Times New Roman" w:cs="Times New Roman"/>
          <w:szCs w:val="24"/>
        </w:rPr>
        <w:t xml:space="preserve"> commun de réduction</w:t>
      </w:r>
      <w:r w:rsidRPr="00E72418">
        <w:rPr>
          <w:rFonts w:ascii="Times New Roman" w:hAnsi="Times New Roman" w:cs="Times New Roman"/>
          <w:szCs w:val="24"/>
        </w:rPr>
        <w:t xml:space="preserve"> représe</w:t>
      </w:r>
      <w:r w:rsidR="0012068A" w:rsidRPr="00E72418">
        <w:rPr>
          <w:rFonts w:ascii="Times New Roman" w:hAnsi="Times New Roman" w:cs="Times New Roman"/>
          <w:szCs w:val="24"/>
        </w:rPr>
        <w:t>nte la proportion des dettes de l’</w:t>
      </w:r>
      <w:r w:rsidR="0012068A" w:rsidRPr="00E72418">
        <w:rPr>
          <w:rFonts w:ascii="Times New Roman" w:hAnsi="Times New Roman" w:cs="Times New Roman"/>
          <w:lang w:eastAsia="fr-BE"/>
        </w:rPr>
        <w:t>É</w:t>
      </w:r>
      <w:r w:rsidR="0012068A" w:rsidRPr="00E72418">
        <w:rPr>
          <w:rFonts w:ascii="Times New Roman" w:hAnsi="Times New Roman" w:cs="Times New Roman"/>
          <w:szCs w:val="24"/>
        </w:rPr>
        <w:t xml:space="preserve">tat </w:t>
      </w:r>
      <w:r w:rsidRPr="00E72418">
        <w:rPr>
          <w:rFonts w:ascii="Times New Roman" w:hAnsi="Times New Roman" w:cs="Times New Roman"/>
          <w:szCs w:val="24"/>
        </w:rPr>
        <w:t xml:space="preserve">devant être annulée par les créanciers afin de rendre </w:t>
      </w:r>
      <w:r w:rsidR="0050371F" w:rsidRPr="00E72418">
        <w:rPr>
          <w:rFonts w:ascii="Times New Roman" w:hAnsi="Times New Roman" w:cs="Times New Roman"/>
          <w:szCs w:val="24"/>
        </w:rPr>
        <w:t xml:space="preserve">lesdites dettes </w:t>
      </w:r>
      <w:r w:rsidRPr="00E72418">
        <w:rPr>
          <w:rFonts w:ascii="Times New Roman" w:hAnsi="Times New Roman" w:cs="Times New Roman"/>
          <w:szCs w:val="24"/>
        </w:rPr>
        <w:t>soutenables</w:t>
      </w:r>
      <w:r w:rsidR="0012068A" w:rsidRPr="00E72418">
        <w:rPr>
          <w:rStyle w:val="Appelnotedebasdep"/>
          <w:rFonts w:ascii="Times New Roman" w:hAnsi="Times New Roman" w:cs="Times New Roman"/>
          <w:szCs w:val="24"/>
        </w:rPr>
        <w:footnoteReference w:id="220"/>
      </w:r>
      <w:r w:rsidRPr="00E72418">
        <w:rPr>
          <w:rFonts w:ascii="Times New Roman" w:hAnsi="Times New Roman" w:cs="Times New Roman"/>
          <w:szCs w:val="24"/>
        </w:rPr>
        <w:t>.</w:t>
      </w:r>
      <w:r w:rsidR="0012068A" w:rsidRPr="00E72418">
        <w:rPr>
          <w:rFonts w:ascii="Times New Roman" w:hAnsi="Times New Roman" w:cs="Times New Roman"/>
          <w:szCs w:val="24"/>
        </w:rPr>
        <w:t xml:space="preserve"> </w:t>
      </w:r>
      <w:r w:rsidRPr="00E72418">
        <w:rPr>
          <w:rFonts w:ascii="Times New Roman" w:hAnsi="Times New Roman" w:cs="Times New Roman"/>
          <w:szCs w:val="24"/>
        </w:rPr>
        <w:t>Au moment où le point de décision est atteint, les dettes de l’</w:t>
      </w:r>
      <w:r w:rsidRPr="00E72418">
        <w:rPr>
          <w:rFonts w:ascii="Times New Roman" w:hAnsi="Times New Roman" w:cs="Times New Roman"/>
          <w:lang w:eastAsia="fr-BE"/>
        </w:rPr>
        <w:t>É</w:t>
      </w:r>
      <w:r w:rsidRPr="00E72418">
        <w:rPr>
          <w:rFonts w:ascii="Times New Roman" w:hAnsi="Times New Roman" w:cs="Times New Roman"/>
          <w:szCs w:val="24"/>
        </w:rPr>
        <w:t xml:space="preserve">tat bénéficiaire se trouvent réduites </w:t>
      </w:r>
      <w:r w:rsidR="00F16DA9" w:rsidRPr="00E72418">
        <w:rPr>
          <w:rFonts w:ascii="Times New Roman" w:hAnsi="Times New Roman" w:cs="Times New Roman"/>
          <w:szCs w:val="24"/>
        </w:rPr>
        <w:t>afin de</w:t>
      </w:r>
      <w:r w:rsidRPr="00E72418">
        <w:rPr>
          <w:rFonts w:ascii="Times New Roman" w:hAnsi="Times New Roman" w:cs="Times New Roman"/>
          <w:szCs w:val="24"/>
        </w:rPr>
        <w:t xml:space="preserve"> les rendre soutenables mais les réductions concédées </w:t>
      </w:r>
      <w:r w:rsidR="00765A3A" w:rsidRPr="00E72418">
        <w:rPr>
          <w:rFonts w:ascii="Times New Roman" w:hAnsi="Times New Roman" w:cs="Times New Roman"/>
          <w:szCs w:val="24"/>
        </w:rPr>
        <w:t>peuvent</w:t>
      </w:r>
      <w:r w:rsidRPr="00E72418">
        <w:rPr>
          <w:rFonts w:ascii="Times New Roman" w:hAnsi="Times New Roman" w:cs="Times New Roman"/>
          <w:szCs w:val="24"/>
        </w:rPr>
        <w:t xml:space="preserve"> toujours </w:t>
      </w:r>
      <w:r w:rsidR="00765A3A" w:rsidRPr="00E72418">
        <w:rPr>
          <w:rFonts w:ascii="Times New Roman" w:hAnsi="Times New Roman" w:cs="Times New Roman"/>
          <w:szCs w:val="24"/>
        </w:rPr>
        <w:t>être suspendues</w:t>
      </w:r>
      <w:r w:rsidRPr="00E72418">
        <w:rPr>
          <w:rFonts w:ascii="Times New Roman" w:hAnsi="Times New Roman" w:cs="Times New Roman"/>
          <w:szCs w:val="24"/>
        </w:rPr>
        <w:t>. La réduction intégrale et irrévocable de la dette intervient au moment où le point d’achèvement est atteint.</w:t>
      </w:r>
    </w:p>
    <w:p w14:paraId="08064F91" w14:textId="12CDBA33"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Trois conditions doivent être remplie</w:t>
      </w:r>
      <w:r w:rsidR="00F16DA9" w:rsidRPr="00E72418">
        <w:rPr>
          <w:rFonts w:ascii="Times New Roman" w:hAnsi="Times New Roman" w:cs="Times New Roman"/>
          <w:szCs w:val="24"/>
        </w:rPr>
        <w:t>s</w:t>
      </w:r>
      <w:r w:rsidRPr="00E72418">
        <w:rPr>
          <w:rFonts w:ascii="Times New Roman" w:hAnsi="Times New Roman" w:cs="Times New Roman"/>
          <w:szCs w:val="24"/>
        </w:rPr>
        <w:t xml:space="preserve"> par l’</w:t>
      </w:r>
      <w:r w:rsidRPr="00E72418">
        <w:rPr>
          <w:rFonts w:ascii="Times New Roman" w:hAnsi="Times New Roman" w:cs="Times New Roman"/>
          <w:lang w:eastAsia="fr-BE"/>
        </w:rPr>
        <w:t>É</w:t>
      </w:r>
      <w:r w:rsidRPr="00E72418">
        <w:rPr>
          <w:rFonts w:ascii="Times New Roman" w:hAnsi="Times New Roman" w:cs="Times New Roman"/>
          <w:szCs w:val="24"/>
        </w:rPr>
        <w:t xml:space="preserve">tat débiteur afin d’atteindre le point d’achèvement. La première condition est celle de </w:t>
      </w:r>
      <w:r w:rsidRPr="00E72418">
        <w:rPr>
          <w:rFonts w:ascii="Times New Roman" w:eastAsia="Times New Roman" w:hAnsi="Times New Roman" w:cs="Times New Roman"/>
          <w:szCs w:val="24"/>
          <w:lang w:eastAsia="fr-BE"/>
        </w:rPr>
        <w:t>continuer à donner la preuve de bonnes performances dans le cadre de programmes soutenus par des prêts de la Banque mondiale</w:t>
      </w:r>
      <w:r w:rsidR="00F633CF" w:rsidRPr="00E72418">
        <w:rPr>
          <w:rFonts w:ascii="Times New Roman" w:eastAsia="Times New Roman" w:hAnsi="Times New Roman" w:cs="Times New Roman"/>
          <w:szCs w:val="24"/>
          <w:lang w:eastAsia="fr-BE"/>
        </w:rPr>
        <w:t xml:space="preserve"> et du Fonds monétaire international</w:t>
      </w:r>
      <w:r w:rsidRPr="00E72418">
        <w:rPr>
          <w:rFonts w:ascii="Times New Roman" w:eastAsia="Times New Roman" w:hAnsi="Times New Roman" w:cs="Times New Roman"/>
          <w:szCs w:val="24"/>
          <w:lang w:eastAsia="fr-BE"/>
        </w:rPr>
        <w:t xml:space="preserve">. </w:t>
      </w:r>
      <w:r w:rsidR="00F633CF" w:rsidRPr="00E72418">
        <w:rPr>
          <w:rFonts w:ascii="Times New Roman" w:eastAsia="Times New Roman" w:hAnsi="Times New Roman" w:cs="Times New Roman"/>
          <w:szCs w:val="24"/>
          <w:lang w:eastAsia="fr-BE"/>
        </w:rPr>
        <w:t>L</w:t>
      </w:r>
      <w:r w:rsidRPr="00E72418">
        <w:rPr>
          <w:rFonts w:ascii="Times New Roman" w:eastAsia="Times New Roman" w:hAnsi="Times New Roman" w:cs="Times New Roman"/>
          <w:szCs w:val="24"/>
          <w:lang w:eastAsia="fr-BE"/>
        </w:rPr>
        <w:t>’</w:t>
      </w:r>
      <w:r w:rsidRPr="00E72418">
        <w:rPr>
          <w:rFonts w:ascii="Times New Roman" w:hAnsi="Times New Roman" w:cs="Times New Roman"/>
          <w:lang w:eastAsia="fr-BE"/>
        </w:rPr>
        <w:t>É</w:t>
      </w:r>
      <w:r w:rsidRPr="00E72418">
        <w:rPr>
          <w:rFonts w:ascii="Times New Roman" w:eastAsia="Times New Roman" w:hAnsi="Times New Roman" w:cs="Times New Roman"/>
          <w:szCs w:val="24"/>
          <w:lang w:eastAsia="fr-BE"/>
        </w:rPr>
        <w:t>tat doit</w:t>
      </w:r>
      <w:r w:rsidR="00F633CF" w:rsidRPr="00E72418">
        <w:rPr>
          <w:rFonts w:ascii="Times New Roman" w:eastAsia="Times New Roman" w:hAnsi="Times New Roman" w:cs="Times New Roman"/>
          <w:szCs w:val="24"/>
          <w:lang w:eastAsia="fr-BE"/>
        </w:rPr>
        <w:t xml:space="preserve"> par ailleurs</w:t>
      </w:r>
      <w:r w:rsidRPr="00E72418">
        <w:rPr>
          <w:rFonts w:ascii="Times New Roman" w:eastAsia="Times New Roman" w:hAnsi="Times New Roman" w:cs="Times New Roman"/>
          <w:szCs w:val="24"/>
          <w:lang w:eastAsia="fr-BE"/>
        </w:rPr>
        <w:t xml:space="preserve"> exécuter de manière satisfaisante les réformes convenues au point de décision. Finalement, la troisième condition est </w:t>
      </w:r>
      <w:r w:rsidR="00F633CF" w:rsidRPr="00E72418">
        <w:rPr>
          <w:rFonts w:ascii="Times New Roman" w:eastAsia="Times New Roman" w:hAnsi="Times New Roman" w:cs="Times New Roman"/>
          <w:szCs w:val="24"/>
          <w:lang w:eastAsia="fr-BE"/>
        </w:rPr>
        <w:t>celle de l’adoption et de la mise en œuvre du</w:t>
      </w:r>
      <w:r w:rsidRPr="00E72418">
        <w:rPr>
          <w:rFonts w:ascii="Times New Roman" w:eastAsia="Times New Roman" w:hAnsi="Times New Roman" w:cs="Times New Roman"/>
          <w:szCs w:val="24"/>
          <w:lang w:eastAsia="fr-BE"/>
        </w:rPr>
        <w:t xml:space="preserve"> </w:t>
      </w:r>
      <w:r w:rsidRPr="00E72418">
        <w:rPr>
          <w:rFonts w:ascii="Times New Roman" w:hAnsi="Times New Roman" w:cs="Times New Roman"/>
          <w:szCs w:val="24"/>
        </w:rPr>
        <w:t>document de stratégie pour la réduction de la pauvreté</w:t>
      </w:r>
      <w:r w:rsidRPr="00E72418">
        <w:rPr>
          <w:rStyle w:val="Appelnotedebasdep"/>
          <w:rFonts w:ascii="Times New Roman" w:hAnsi="Times New Roman" w:cs="Times New Roman"/>
          <w:szCs w:val="24"/>
        </w:rPr>
        <w:footnoteReference w:id="221"/>
      </w:r>
      <w:r w:rsidRPr="00E72418">
        <w:rPr>
          <w:rFonts w:ascii="Times New Roman" w:hAnsi="Times New Roman" w:cs="Times New Roman"/>
          <w:szCs w:val="24"/>
        </w:rPr>
        <w:t xml:space="preserve">. </w:t>
      </w:r>
    </w:p>
    <w:p w14:paraId="752711A3" w14:textId="6D4DA649" w:rsidR="007C57EF" w:rsidRPr="00E72418" w:rsidRDefault="007C57EF"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szCs w:val="24"/>
        </w:rPr>
        <w:t>Une fois le point d’achèvement atteint, l’allègement est octroyé de ma</w:t>
      </w:r>
      <w:r w:rsidR="00F633CF" w:rsidRPr="00E72418">
        <w:rPr>
          <w:rFonts w:ascii="Times New Roman" w:hAnsi="Times New Roman" w:cs="Times New Roman"/>
          <w:szCs w:val="24"/>
        </w:rPr>
        <w:t>nière définitive et irrévocable. C</w:t>
      </w:r>
      <w:r w:rsidRPr="00E72418">
        <w:rPr>
          <w:rFonts w:ascii="Times New Roman" w:hAnsi="Times New Roman" w:cs="Times New Roman"/>
          <w:szCs w:val="24"/>
        </w:rPr>
        <w:t xml:space="preserve">ertains </w:t>
      </w:r>
      <w:r w:rsidRPr="00E72418">
        <w:rPr>
          <w:rFonts w:ascii="Times New Roman" w:hAnsi="Times New Roman" w:cs="Times New Roman"/>
          <w:lang w:eastAsia="fr-BE"/>
        </w:rPr>
        <w:t>É</w:t>
      </w:r>
      <w:r w:rsidR="00F633CF" w:rsidRPr="00E72418">
        <w:rPr>
          <w:rFonts w:ascii="Times New Roman" w:hAnsi="Times New Roman" w:cs="Times New Roman"/>
          <w:szCs w:val="24"/>
        </w:rPr>
        <w:t>tats créanciers décide</w:t>
      </w:r>
      <w:r w:rsidRPr="00E72418">
        <w:rPr>
          <w:rFonts w:ascii="Times New Roman" w:hAnsi="Times New Roman" w:cs="Times New Roman"/>
          <w:szCs w:val="24"/>
        </w:rPr>
        <w:t>nt parfois d’aller plus loin que les modalités de l’Initiative en octroyant des effacements complets des dettes plutôt que leur réduction</w:t>
      </w:r>
      <w:r w:rsidRPr="00E72418">
        <w:rPr>
          <w:rStyle w:val="Appelnotedebasdep"/>
          <w:rFonts w:ascii="Times New Roman" w:hAnsi="Times New Roman" w:cs="Times New Roman"/>
          <w:szCs w:val="24"/>
        </w:rPr>
        <w:footnoteReference w:id="222"/>
      </w:r>
      <w:r w:rsidRPr="00E72418">
        <w:rPr>
          <w:rFonts w:ascii="Times New Roman" w:hAnsi="Times New Roman" w:cs="Times New Roman"/>
          <w:szCs w:val="24"/>
        </w:rPr>
        <w:t xml:space="preserve">. </w:t>
      </w:r>
      <w:r w:rsidRPr="00E72418">
        <w:rPr>
          <w:rFonts w:ascii="Times New Roman" w:hAnsi="Times New Roman" w:cs="Times New Roman"/>
          <w:szCs w:val="24"/>
          <w:shd w:val="clear" w:color="auto" w:fill="FFFFFF"/>
        </w:rPr>
        <w:t>Il est également des cas où</w:t>
      </w:r>
      <w:r w:rsidR="00F633CF" w:rsidRPr="00E72418">
        <w:rPr>
          <w:rFonts w:ascii="Times New Roman" w:hAnsi="Times New Roman" w:cs="Times New Roman"/>
          <w:szCs w:val="24"/>
          <w:shd w:val="clear" w:color="auto" w:fill="FFFFFF"/>
        </w:rPr>
        <w:t>, au moment où le point d’achèvement est atteint, le</w:t>
      </w:r>
      <w:r w:rsidRPr="00E72418">
        <w:rPr>
          <w:rFonts w:ascii="Times New Roman" w:hAnsi="Times New Roman" w:cs="Times New Roman"/>
          <w:szCs w:val="24"/>
          <w:shd w:val="clear" w:color="auto" w:fill="FFFFFF"/>
        </w:rPr>
        <w:t xml:space="preserve"> besoin d’</w:t>
      </w:r>
      <w:r w:rsidR="00F633CF" w:rsidRPr="00E72418">
        <w:rPr>
          <w:rFonts w:ascii="Times New Roman" w:hAnsi="Times New Roman" w:cs="Times New Roman"/>
          <w:szCs w:val="24"/>
          <w:shd w:val="clear" w:color="auto" w:fill="FFFFFF"/>
        </w:rPr>
        <w:t xml:space="preserve">une </w:t>
      </w:r>
      <w:r w:rsidRPr="00E72418">
        <w:rPr>
          <w:rFonts w:ascii="Times New Roman" w:hAnsi="Times New Roman" w:cs="Times New Roman"/>
          <w:szCs w:val="24"/>
          <w:shd w:val="clear" w:color="auto" w:fill="FFFFFF"/>
        </w:rPr>
        <w:t xml:space="preserve">assistance additionnelle </w:t>
      </w:r>
      <w:r w:rsidR="00F633CF" w:rsidRPr="00E72418">
        <w:rPr>
          <w:rFonts w:ascii="Times New Roman" w:hAnsi="Times New Roman" w:cs="Times New Roman"/>
          <w:szCs w:val="24"/>
          <w:shd w:val="clear" w:color="auto" w:fill="FFFFFF"/>
        </w:rPr>
        <w:t>apparaît</w:t>
      </w:r>
      <w:r w:rsidR="009E72E5">
        <w:rPr>
          <w:rFonts w:ascii="Times New Roman" w:hAnsi="Times New Roman" w:cs="Times New Roman"/>
          <w:szCs w:val="24"/>
          <w:shd w:val="clear" w:color="auto" w:fill="FFFFFF"/>
        </w:rPr>
        <w:t>,</w:t>
      </w:r>
      <w:r w:rsidR="00F633CF" w:rsidRPr="00E72418">
        <w:rPr>
          <w:rFonts w:ascii="Times New Roman" w:hAnsi="Times New Roman" w:cs="Times New Roman"/>
          <w:szCs w:val="24"/>
          <w:shd w:val="clear" w:color="auto" w:fill="FFFFFF"/>
        </w:rPr>
        <w:t xml:space="preserve"> conduisant à ce </w:t>
      </w:r>
      <w:r w:rsidR="00981667">
        <w:rPr>
          <w:rFonts w:ascii="Times New Roman" w:hAnsi="Times New Roman" w:cs="Times New Roman"/>
          <w:szCs w:val="24"/>
          <w:shd w:val="clear" w:color="auto" w:fill="FFFFFF"/>
        </w:rPr>
        <w:t xml:space="preserve">qu’un </w:t>
      </w:r>
      <w:r w:rsidRPr="00E72418">
        <w:rPr>
          <w:rFonts w:ascii="Times New Roman" w:hAnsi="Times New Roman" w:cs="Times New Roman"/>
          <w:i/>
          <w:szCs w:val="24"/>
          <w:shd w:val="clear" w:color="auto" w:fill="FFFFFF"/>
        </w:rPr>
        <w:t>Common Reduction Factor</w:t>
      </w:r>
      <w:r w:rsidRPr="00E72418">
        <w:rPr>
          <w:rFonts w:ascii="Times New Roman" w:hAnsi="Times New Roman" w:cs="Times New Roman"/>
          <w:szCs w:val="24"/>
          <w:shd w:val="clear" w:color="auto" w:fill="FFFFFF"/>
        </w:rPr>
        <w:t xml:space="preserve"> plus important </w:t>
      </w:r>
      <w:r w:rsidR="00F633CF" w:rsidRPr="00E72418">
        <w:rPr>
          <w:rFonts w:ascii="Times New Roman" w:hAnsi="Times New Roman" w:cs="Times New Roman"/>
          <w:szCs w:val="24"/>
          <w:shd w:val="clear" w:color="auto" w:fill="FFFFFF"/>
        </w:rPr>
        <w:t>soit</w:t>
      </w:r>
      <w:r w:rsidRPr="00E72418">
        <w:rPr>
          <w:rFonts w:ascii="Times New Roman" w:hAnsi="Times New Roman" w:cs="Times New Roman"/>
          <w:szCs w:val="24"/>
          <w:shd w:val="clear" w:color="auto" w:fill="FFFFFF"/>
        </w:rPr>
        <w:t xml:space="preserve"> alors calculé</w:t>
      </w:r>
      <w:r w:rsidRPr="00E72418">
        <w:rPr>
          <w:rStyle w:val="Appelnotedebasdep"/>
          <w:rFonts w:ascii="Times New Roman" w:hAnsi="Times New Roman" w:cs="Times New Roman"/>
          <w:szCs w:val="24"/>
          <w:shd w:val="clear" w:color="auto" w:fill="FFFFFF"/>
        </w:rPr>
        <w:footnoteReference w:id="223"/>
      </w:r>
      <w:r w:rsidRPr="00E72418">
        <w:rPr>
          <w:rFonts w:ascii="Times New Roman" w:hAnsi="Times New Roman" w:cs="Times New Roman"/>
          <w:szCs w:val="24"/>
          <w:shd w:val="clear" w:color="auto" w:fill="FFFFFF"/>
        </w:rPr>
        <w:t>.</w:t>
      </w:r>
    </w:p>
    <w:p w14:paraId="76DCA19B" w14:textId="77777777" w:rsidR="007C57EF" w:rsidRPr="00E72418" w:rsidRDefault="007C57EF" w:rsidP="00423B60">
      <w:pPr>
        <w:rPr>
          <w:shd w:val="clear" w:color="auto" w:fill="FFFFFF"/>
        </w:rPr>
      </w:pPr>
    </w:p>
    <w:p w14:paraId="0930C035" w14:textId="5B69CC9E"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43</w:t>
      </w:r>
      <w:r w:rsidR="007E31CD" w:rsidRPr="00E72418">
        <w:rPr>
          <w:rFonts w:ascii="Times New Roman" w:hAnsi="Times New Roman" w:cs="Times New Roman"/>
          <w:b/>
        </w:rPr>
        <w:t xml:space="preserve">. </w:t>
      </w:r>
      <w:r w:rsidR="007C57EF" w:rsidRPr="00E72418">
        <w:rPr>
          <w:rFonts w:ascii="Times New Roman" w:hAnsi="Times New Roman" w:cs="Times New Roman"/>
          <w:b/>
        </w:rPr>
        <w:t>La participation volontaire des créanciers –</w:t>
      </w:r>
      <w:r w:rsidR="00F633CF" w:rsidRPr="00E72418">
        <w:rPr>
          <w:rFonts w:ascii="Times New Roman" w:hAnsi="Times New Roman" w:cs="Times New Roman"/>
        </w:rPr>
        <w:t xml:space="preserve"> La participation des créanciers à l’Initiative Pays Pauvres Très Endettés se fait sur base volontaire. </w:t>
      </w:r>
      <w:r w:rsidR="00F16DA9" w:rsidRPr="00E72418">
        <w:rPr>
          <w:rFonts w:ascii="Times New Roman" w:hAnsi="Times New Roman" w:cs="Times New Roman"/>
        </w:rPr>
        <w:t>Tandis</w:t>
      </w:r>
      <w:r w:rsidR="007C57EF" w:rsidRPr="00E72418">
        <w:rPr>
          <w:rFonts w:ascii="Times New Roman" w:hAnsi="Times New Roman" w:cs="Times New Roman"/>
        </w:rPr>
        <w:t xml:space="preserve"> que les plus gros créanciers que sont la Banque mondiale, le Fonds monétaire international, la Banque africaine de développement, la Banque interaméricaine de développement et tous les créanciers du Club de Paris ont accordé leur part de l’allègement de dettes prévu dans le cadre de l’Initiative, et même au-delà, d’autres créanciers des Pays Pauvres Très Endettés </w:t>
      </w:r>
      <w:r w:rsidR="00F633CF" w:rsidRPr="00E72418">
        <w:rPr>
          <w:rFonts w:ascii="Times New Roman" w:hAnsi="Times New Roman" w:cs="Times New Roman"/>
        </w:rPr>
        <w:t>n’ont pas suivi</w:t>
      </w:r>
      <w:r w:rsidR="007C57EF" w:rsidRPr="00E72418">
        <w:rPr>
          <w:rStyle w:val="Appelnotedebasdep"/>
          <w:rFonts w:ascii="Times New Roman" w:hAnsi="Times New Roman" w:cs="Times New Roman"/>
        </w:rPr>
        <w:footnoteReference w:id="224"/>
      </w:r>
      <w:r w:rsidR="007C57EF" w:rsidRPr="00E72418">
        <w:rPr>
          <w:rFonts w:ascii="Times New Roman" w:hAnsi="Times New Roman" w:cs="Times New Roman"/>
        </w:rPr>
        <w:t>.</w:t>
      </w:r>
    </w:p>
    <w:p w14:paraId="2E4A5F56" w14:textId="77777777" w:rsidR="007C57EF" w:rsidRPr="00E72418" w:rsidRDefault="007C57EF" w:rsidP="00CC4BA8">
      <w:pPr>
        <w:spacing w:line="276" w:lineRule="auto"/>
      </w:pPr>
      <w:r w:rsidRPr="00E72418">
        <w:lastRenderedPageBreak/>
        <w:t>Même si l’allègement de la dette accordé par les créanciers dits « commerciaux » a sensiblement augmenté ces dernières années</w:t>
      </w:r>
      <w:r w:rsidR="00235EE6" w:rsidRPr="00E72418">
        <w:rPr>
          <w:rStyle w:val="Appelnotedebasdep"/>
          <w:rFonts w:cs="Times New Roman"/>
        </w:rPr>
        <w:footnoteReference w:id="225"/>
      </w:r>
      <w:r w:rsidRPr="00E72418">
        <w:t xml:space="preserve">, il échet toutefois de constater que certains </w:t>
      </w:r>
      <w:r w:rsidR="00235EE6" w:rsidRPr="00E72418">
        <w:t xml:space="preserve"> créanciers </w:t>
      </w:r>
      <w:r w:rsidRPr="00E72418">
        <w:t>ont refusé de participer aux efforts. Si</w:t>
      </w:r>
      <w:r w:rsidR="00235EE6" w:rsidRPr="00E72418">
        <w:t>,</w:t>
      </w:r>
      <w:r w:rsidRPr="00E72418">
        <w:t xml:space="preserve"> </w:t>
      </w:r>
      <w:r w:rsidR="00235EE6" w:rsidRPr="00E72418">
        <w:t>parmi ces</w:t>
      </w:r>
      <w:r w:rsidRPr="00E72418">
        <w:t xml:space="preserve"> </w:t>
      </w:r>
      <w:r w:rsidR="00235EE6" w:rsidRPr="00E72418">
        <w:t xml:space="preserve">derniers, certains </w:t>
      </w:r>
      <w:r w:rsidRPr="00E72418">
        <w:t xml:space="preserve">s’engagent dans la poursuite de </w:t>
      </w:r>
      <w:r w:rsidR="00235EE6" w:rsidRPr="00E72418">
        <w:t>leurs créances</w:t>
      </w:r>
      <w:r w:rsidRPr="00E72418">
        <w:t xml:space="preserve">, d’autres préfèrent </w:t>
      </w:r>
      <w:r w:rsidR="00235EE6" w:rsidRPr="00E72418">
        <w:t xml:space="preserve">les </w:t>
      </w:r>
      <w:r w:rsidRPr="00E72418">
        <w:t xml:space="preserve">céder. </w:t>
      </w:r>
      <w:r w:rsidR="00235EE6" w:rsidRPr="00E72418">
        <w:t>L</w:t>
      </w:r>
      <w:r w:rsidRPr="00E72418">
        <w:t xml:space="preserve">a participation des créanciers à l’Initiative </w:t>
      </w:r>
      <w:r w:rsidR="00235EE6" w:rsidRPr="00E72418">
        <w:t>étant</w:t>
      </w:r>
      <w:r w:rsidRPr="00E72418">
        <w:t xml:space="preserve"> volontaire</w:t>
      </w:r>
      <w:r w:rsidR="00235EE6" w:rsidRPr="00E72418">
        <w:t>,</w:t>
      </w:r>
      <w:r w:rsidRPr="00E72418">
        <w:t xml:space="preserve"> leurs droits ne s’en trouvent aucunement modifiés </w:t>
      </w:r>
      <w:r w:rsidR="00235EE6" w:rsidRPr="00E72418">
        <w:t>de sorte que tant leur</w:t>
      </w:r>
      <w:r w:rsidRPr="00E72418">
        <w:t xml:space="preserve"> poursuite que leur cession </w:t>
      </w:r>
      <w:r w:rsidR="00235EE6" w:rsidRPr="00E72418">
        <w:t xml:space="preserve">demeurent </w:t>
      </w:r>
      <w:r w:rsidRPr="00E72418">
        <w:t>possibles</w:t>
      </w:r>
      <w:r w:rsidRPr="00E72418">
        <w:rPr>
          <w:rStyle w:val="Appelnotedebasdep"/>
          <w:rFonts w:cs="Times New Roman"/>
        </w:rPr>
        <w:footnoteReference w:id="226"/>
      </w:r>
      <w:r w:rsidRPr="00E72418">
        <w:t xml:space="preserve">. </w:t>
      </w:r>
    </w:p>
    <w:p w14:paraId="763834EA" w14:textId="77777777" w:rsidR="007C57EF" w:rsidRPr="00E72418" w:rsidRDefault="007C57EF" w:rsidP="00CC4BA8">
      <w:pPr>
        <w:spacing w:line="276" w:lineRule="auto"/>
        <w:rPr>
          <w:rFonts w:ascii="Times New Roman" w:hAnsi="Times New Roman" w:cs="Times New Roman"/>
          <w:szCs w:val="24"/>
        </w:rPr>
      </w:pPr>
      <w:r w:rsidRPr="00E72418">
        <w:t>Outre le fait que l’absence de participation de certains créanciers à l’Initiative fait peser un risque d’échec sur celle-ci, elle a une incidence négative tant sur l’</w:t>
      </w:r>
      <w:r w:rsidRPr="00E72418">
        <w:rPr>
          <w:lang w:eastAsia="fr-BE"/>
        </w:rPr>
        <w:t>É</w:t>
      </w:r>
      <w:r w:rsidRPr="00E72418">
        <w:t>tat débiteur concerné que sur ses créanciers coopératifs. Le comportement de passager clandestin adopté par certains créanciers non coopératifs est source de préoccupation étant donné qu’il détourne le bénéfice de l’allègement de la de</w:t>
      </w:r>
      <w:r w:rsidR="00235EE6" w:rsidRPr="00E72418">
        <w:t>tte de son objectif premier qu’</w:t>
      </w:r>
      <w:r w:rsidRPr="00E72418">
        <w:t xml:space="preserve">est celui de la lutte contre la pauvreté dans certains des </w:t>
      </w:r>
      <w:r w:rsidR="00235EE6" w:rsidRPr="00E72418">
        <w:rPr>
          <w:lang w:eastAsia="fr-BE"/>
        </w:rPr>
        <w:t>É</w:t>
      </w:r>
      <w:r w:rsidR="00235EE6" w:rsidRPr="00E72418">
        <w:t>tats les plus pauvres a</w:t>
      </w:r>
      <w:r w:rsidRPr="00E72418">
        <w:t>u monde</w:t>
      </w:r>
      <w:r w:rsidRPr="00E72418">
        <w:rPr>
          <w:rStyle w:val="Appelnotedebasdep"/>
          <w:rFonts w:cs="Times New Roman"/>
        </w:rPr>
        <w:footnoteReference w:id="227"/>
      </w:r>
      <w:r w:rsidR="00235EE6" w:rsidRPr="00E72418">
        <w:t>.</w:t>
      </w:r>
    </w:p>
    <w:p w14:paraId="6552EA91" w14:textId="77777777" w:rsidR="007C57EF" w:rsidRPr="00E72418" w:rsidRDefault="007C57EF" w:rsidP="00423B60"/>
    <w:p w14:paraId="38FDBCBB" w14:textId="660D8041" w:rsidR="007C57EF" w:rsidRPr="00E72418" w:rsidRDefault="007F038F" w:rsidP="00CC4BA8">
      <w:pPr>
        <w:spacing w:line="276" w:lineRule="auto"/>
      </w:pPr>
      <w:r w:rsidRPr="00E72418">
        <w:rPr>
          <w:b/>
        </w:rPr>
        <w:t>44</w:t>
      </w:r>
      <w:r w:rsidR="007E31CD" w:rsidRPr="00E72418">
        <w:rPr>
          <w:b/>
        </w:rPr>
        <w:t xml:space="preserve">. </w:t>
      </w:r>
      <w:r w:rsidR="007C57EF" w:rsidRPr="00E72418">
        <w:rPr>
          <w:b/>
        </w:rPr>
        <w:t xml:space="preserve">Les pays concernés et quelques chiffres – </w:t>
      </w:r>
      <w:r w:rsidR="007C57EF" w:rsidRPr="00E72418">
        <w:t xml:space="preserve">Les Pays Pauvres Très Endettés </w:t>
      </w:r>
      <w:r w:rsidR="00FB78DA" w:rsidRPr="00E72418">
        <w:t xml:space="preserve">concernés par l’Initiative </w:t>
      </w:r>
      <w:r w:rsidR="007C57EF" w:rsidRPr="00E72418">
        <w:t>sont généralement caractérisés par des populations aux c</w:t>
      </w:r>
      <w:r w:rsidR="006637ED" w:rsidRPr="00E72418">
        <w:t>onditions de vie difficile</w:t>
      </w:r>
      <w:r w:rsidR="006940EB" w:rsidRPr="00E72418">
        <w:t>s</w:t>
      </w:r>
      <w:r w:rsidR="006637ED" w:rsidRPr="00E72418">
        <w:t xml:space="preserve">, </w:t>
      </w:r>
      <w:r w:rsidR="007C57EF" w:rsidRPr="00E72418">
        <w:t>des situations de confli</w:t>
      </w:r>
      <w:r w:rsidR="006637ED" w:rsidRPr="00E72418">
        <w:t xml:space="preserve">ts et de violence ou encore </w:t>
      </w:r>
      <w:r w:rsidR="007C57EF" w:rsidRPr="00E72418">
        <w:t>des gouvernements instables</w:t>
      </w:r>
      <w:r w:rsidR="007C57EF" w:rsidRPr="00E72418">
        <w:rPr>
          <w:rStyle w:val="Appelnotedebasdep"/>
          <w:rFonts w:cs="Times New Roman"/>
          <w:szCs w:val="24"/>
        </w:rPr>
        <w:footnoteReference w:id="228"/>
      </w:r>
      <w:r w:rsidR="007C57EF" w:rsidRPr="00E72418">
        <w:t>. Concrètement, le relevé des pays concernés par l’</w:t>
      </w:r>
      <w:r w:rsidR="00DB631A" w:rsidRPr="00E72418">
        <w:t xml:space="preserve">Initiative établi </w:t>
      </w:r>
      <w:r w:rsidR="00FB78DA" w:rsidRPr="00E72418">
        <w:t>en février 2020</w:t>
      </w:r>
      <w:r w:rsidR="007C57EF" w:rsidRPr="00E72418">
        <w:t xml:space="preserve"> fait apparaître que l’essentiel d’entre eux sont africains </w:t>
      </w:r>
      <w:r w:rsidR="006637ED" w:rsidRPr="00E72418">
        <w:t>et</w:t>
      </w:r>
      <w:r w:rsidR="007C57EF" w:rsidRPr="00E72418">
        <w:t xml:space="preserve"> sud-américains</w:t>
      </w:r>
      <w:r w:rsidR="007C57EF" w:rsidRPr="00E72418">
        <w:rPr>
          <w:rStyle w:val="Appelnotedebasdep"/>
          <w:rFonts w:cs="Times New Roman"/>
          <w:shd w:val="clear" w:color="auto" w:fill="FFFFFF"/>
        </w:rPr>
        <w:footnoteReference w:id="229"/>
      </w:r>
      <w:r w:rsidR="007C57EF" w:rsidRPr="00E72418">
        <w:rPr>
          <w:shd w:val="clear" w:color="auto" w:fill="FFFFFF"/>
        </w:rPr>
        <w:t>.</w:t>
      </w:r>
    </w:p>
    <w:p w14:paraId="793E15AA" w14:textId="77777777" w:rsidR="008E0471" w:rsidRPr="00E72418" w:rsidRDefault="006637ED" w:rsidP="00CC4BA8">
      <w:pPr>
        <w:spacing w:line="276" w:lineRule="auto"/>
        <w:rPr>
          <w:rFonts w:cs="Times New Roman"/>
          <w:shd w:val="clear" w:color="auto" w:fill="FFFFFF"/>
        </w:rPr>
      </w:pPr>
      <w:r w:rsidRPr="00E72418">
        <w:rPr>
          <w:rFonts w:cs="Times New Roman"/>
        </w:rPr>
        <w:lastRenderedPageBreak/>
        <w:t>L</w:t>
      </w:r>
      <w:r w:rsidR="007C57EF" w:rsidRPr="00E72418">
        <w:rPr>
          <w:rFonts w:cs="Times New Roman"/>
        </w:rPr>
        <w:t xml:space="preserve">’on peut noter qu’à la fin de l’année 2017, </w:t>
      </w:r>
      <w:r w:rsidR="007C57EF" w:rsidRPr="00E72418">
        <w:rPr>
          <w:rFonts w:cs="Times New Roman"/>
          <w:shd w:val="clear" w:color="auto" w:fill="FFFFFF"/>
        </w:rPr>
        <w:t>le coût total de l’aide aux pays déclarés admissibles ou potentiellement admissibles à l’allègement de la dette au titre de l’Init</w:t>
      </w:r>
      <w:r w:rsidR="00DC162F" w:rsidRPr="00E72418">
        <w:rPr>
          <w:rFonts w:cs="Times New Roman"/>
          <w:shd w:val="clear" w:color="auto" w:fill="FFFFFF"/>
        </w:rPr>
        <w:t>iative était estimé à environ septante sept</w:t>
      </w:r>
      <w:r w:rsidR="007C57EF" w:rsidRPr="00E72418">
        <w:rPr>
          <w:rFonts w:cs="Times New Roman"/>
          <w:shd w:val="clear" w:color="auto" w:fill="FFFFFF"/>
        </w:rPr>
        <w:t xml:space="preserve"> milliards de dollars étatsuniens en valeur actualisée nette. Ces allègements concédés fi</w:t>
      </w:r>
      <w:r w:rsidR="00765A3A" w:rsidRPr="00E72418">
        <w:rPr>
          <w:rFonts w:cs="Times New Roman"/>
          <w:shd w:val="clear" w:color="auto" w:fill="FFFFFF"/>
        </w:rPr>
        <w:t>ren</w:t>
      </w:r>
      <w:r w:rsidR="007C57EF" w:rsidRPr="00E72418">
        <w:rPr>
          <w:rFonts w:cs="Times New Roman"/>
          <w:shd w:val="clear" w:color="auto" w:fill="FFFFFF"/>
        </w:rPr>
        <w:t>t qu’entre 2001 et 2015, les paiements au titre du service de la de</w:t>
      </w:r>
      <w:r w:rsidR="00DC162F" w:rsidRPr="00E72418">
        <w:rPr>
          <w:rFonts w:cs="Times New Roman"/>
          <w:shd w:val="clear" w:color="auto" w:fill="FFFFFF"/>
        </w:rPr>
        <w:t>tte ont diminué d’environ un</w:t>
      </w:r>
      <w:r w:rsidR="007C57EF" w:rsidRPr="00E72418">
        <w:rPr>
          <w:rFonts w:cs="Times New Roman"/>
          <w:shd w:val="clear" w:color="auto" w:fill="FFFFFF"/>
        </w:rPr>
        <w:t xml:space="preserve"> point</w:t>
      </w:r>
      <w:r w:rsidR="00DC162F" w:rsidRPr="00E72418">
        <w:rPr>
          <w:rFonts w:cs="Times New Roman"/>
          <w:shd w:val="clear" w:color="auto" w:fill="FFFFFF"/>
        </w:rPr>
        <w:t xml:space="preserve"> et demi</w:t>
      </w:r>
      <w:r w:rsidR="007C57EF" w:rsidRPr="00E72418">
        <w:rPr>
          <w:rFonts w:cs="Times New Roman"/>
          <w:shd w:val="clear" w:color="auto" w:fill="FFFFFF"/>
        </w:rPr>
        <w:t xml:space="preserve"> de pourcentage du pr</w:t>
      </w:r>
      <w:r w:rsidR="00DC162F" w:rsidRPr="00E72418">
        <w:rPr>
          <w:rFonts w:cs="Times New Roman"/>
          <w:shd w:val="clear" w:color="auto" w:fill="FFFFFF"/>
        </w:rPr>
        <w:t>oduit intérieur brut pour les trente six</w:t>
      </w:r>
      <w:r w:rsidR="007C57EF" w:rsidRPr="00E72418">
        <w:rPr>
          <w:rFonts w:cs="Times New Roman"/>
          <w:shd w:val="clear" w:color="auto" w:fill="FFFFFF"/>
        </w:rPr>
        <w:t xml:space="preserve"> pays bénéficiaires. </w:t>
      </w:r>
      <w:r w:rsidR="007C57EF" w:rsidRPr="00E72418">
        <w:rPr>
          <w:rFonts w:cs="Times New Roman"/>
        </w:rPr>
        <w:t xml:space="preserve">S’il apparaît qu’avant </w:t>
      </w:r>
      <w:r w:rsidR="007C57EF" w:rsidRPr="00E72418">
        <w:rPr>
          <w:rFonts w:cs="Times New Roman"/>
          <w:shd w:val="clear" w:color="auto" w:fill="FFFFFF"/>
        </w:rPr>
        <w:t>l’Initiative, les pays éligibles dépensaient en moyenne légèrement plus pour le service de la dette que pour la santé et l’éducation combinées, aujourd’hui, les dépenses consacrées à la santé, à l’éducation et à d’autres services sociaux représentent en moyenne cinq fois le montant des paiements au titre du service de la dette</w:t>
      </w:r>
      <w:r w:rsidR="007C57EF" w:rsidRPr="00E72418">
        <w:rPr>
          <w:rStyle w:val="Appelnotedebasdep"/>
          <w:rFonts w:cs="Times New Roman"/>
          <w:shd w:val="clear" w:color="auto" w:fill="FFFFFF"/>
        </w:rPr>
        <w:footnoteReference w:id="230"/>
      </w:r>
      <w:r w:rsidR="007C57EF" w:rsidRPr="00E72418">
        <w:rPr>
          <w:rFonts w:cs="Times New Roman"/>
          <w:shd w:val="clear" w:color="auto" w:fill="FFFFFF"/>
        </w:rPr>
        <w:t>.</w:t>
      </w:r>
    </w:p>
    <w:p w14:paraId="5DD222C0" w14:textId="77777777" w:rsidR="007C57EF" w:rsidRPr="00E72418" w:rsidRDefault="007C57EF" w:rsidP="00423B60"/>
    <w:p w14:paraId="618C13AA" w14:textId="53B2C600" w:rsidR="007C57EF" w:rsidRPr="00E72418" w:rsidRDefault="007F038F" w:rsidP="00CC4BA8">
      <w:pPr>
        <w:spacing w:line="276" w:lineRule="auto"/>
        <w:rPr>
          <w:szCs w:val="24"/>
        </w:rPr>
      </w:pPr>
      <w:r w:rsidRPr="00E72418">
        <w:rPr>
          <w:b/>
          <w:szCs w:val="24"/>
        </w:rPr>
        <w:t>45</w:t>
      </w:r>
      <w:r w:rsidR="007E31CD" w:rsidRPr="00E72418">
        <w:rPr>
          <w:b/>
          <w:szCs w:val="24"/>
        </w:rPr>
        <w:t xml:space="preserve">. </w:t>
      </w:r>
      <w:r w:rsidR="007C57EF" w:rsidRPr="00E72418">
        <w:rPr>
          <w:b/>
          <w:szCs w:val="24"/>
        </w:rPr>
        <w:t xml:space="preserve">Quelques critiques </w:t>
      </w:r>
      <w:r w:rsidR="007C57EF" w:rsidRPr="00E72418">
        <w:rPr>
          <w:b/>
        </w:rPr>
        <w:t>–</w:t>
      </w:r>
      <w:r w:rsidR="007C57EF" w:rsidRPr="00E72418">
        <w:rPr>
          <w:b/>
          <w:szCs w:val="24"/>
        </w:rPr>
        <w:t xml:space="preserve"> </w:t>
      </w:r>
      <w:r w:rsidR="007C57EF" w:rsidRPr="00E72418">
        <w:rPr>
          <w:szCs w:val="24"/>
        </w:rPr>
        <w:t xml:space="preserve">Si nombre de commentateurs saluent les conséquences positives de l’Initiative </w:t>
      </w:r>
      <w:r w:rsidR="00F05C89" w:rsidRPr="00E72418">
        <w:t xml:space="preserve">Pays Pauvres Très Endettés </w:t>
      </w:r>
      <w:r w:rsidR="00F05C89" w:rsidRPr="00E72418">
        <w:rPr>
          <w:szCs w:val="24"/>
        </w:rPr>
        <w:t xml:space="preserve">en ce que les </w:t>
      </w:r>
      <w:r w:rsidR="00F05C89" w:rsidRPr="00E72418">
        <w:rPr>
          <w:lang w:eastAsia="fr-BE"/>
        </w:rPr>
        <w:t>É</w:t>
      </w:r>
      <w:r w:rsidR="00F05C89" w:rsidRPr="00E72418">
        <w:t>tats</w:t>
      </w:r>
      <w:r w:rsidR="00F05C89" w:rsidRPr="00E72418">
        <w:rPr>
          <w:szCs w:val="24"/>
        </w:rPr>
        <w:t xml:space="preserve"> </w:t>
      </w:r>
      <w:r w:rsidR="007C57EF" w:rsidRPr="00E72418">
        <w:rPr>
          <w:szCs w:val="24"/>
        </w:rPr>
        <w:t>en ayant bénéficié ont vu leur situation s’améliorer au travers notamment une meilleure croissance économique et de faibles inflations et déficits fiscaux</w:t>
      </w:r>
      <w:r w:rsidR="007C57EF" w:rsidRPr="00E72418">
        <w:rPr>
          <w:rStyle w:val="Appelnotedebasdep"/>
          <w:szCs w:val="24"/>
        </w:rPr>
        <w:footnoteReference w:id="231"/>
      </w:r>
      <w:r w:rsidR="007C57EF" w:rsidRPr="00E72418">
        <w:rPr>
          <w:szCs w:val="24"/>
        </w:rPr>
        <w:t>, elle n’est toutefois pas exempte de critiques.</w:t>
      </w:r>
    </w:p>
    <w:p w14:paraId="5660F162" w14:textId="00736A86" w:rsidR="007C57EF" w:rsidRPr="00E72418" w:rsidRDefault="007C57EF" w:rsidP="00CC4BA8">
      <w:pPr>
        <w:spacing w:line="276" w:lineRule="auto"/>
      </w:pPr>
      <w:r w:rsidRPr="00E72418">
        <w:t>Au rang des critiques les plus souvent formulées</w:t>
      </w:r>
      <w:r w:rsidR="00F05C89" w:rsidRPr="00E72418">
        <w:t>, l’on retrouve celle de l’</w:t>
      </w:r>
      <w:r w:rsidRPr="00E72418">
        <w:t>inefficacité</w:t>
      </w:r>
      <w:r w:rsidR="00F05C89" w:rsidRPr="00E72418">
        <w:t xml:space="preserve"> de l’Initiative</w:t>
      </w:r>
      <w:r w:rsidRPr="00E72418">
        <w:t xml:space="preserve"> </w:t>
      </w:r>
      <w:r w:rsidR="00F05C89" w:rsidRPr="00E72418">
        <w:t>afin d’améliorer l</w:t>
      </w:r>
      <w:r w:rsidRPr="00E72418">
        <w:t xml:space="preserve">es conditions </w:t>
      </w:r>
      <w:r w:rsidR="00F05C89" w:rsidRPr="00E72418">
        <w:t xml:space="preserve">de vie </w:t>
      </w:r>
      <w:r w:rsidRPr="00E72418">
        <w:t xml:space="preserve">des populations des </w:t>
      </w:r>
      <w:r w:rsidRPr="00E72418">
        <w:rPr>
          <w:lang w:eastAsia="fr-BE"/>
        </w:rPr>
        <w:t>É</w:t>
      </w:r>
      <w:r w:rsidRPr="00E72418">
        <w:t xml:space="preserve">tats débiteurs. En effet, dès lors que </w:t>
      </w:r>
      <w:r w:rsidR="00F05C89" w:rsidRPr="00E72418">
        <w:t>ces derniers</w:t>
      </w:r>
      <w:r w:rsidRPr="00E72418">
        <w:t xml:space="preserve"> </w:t>
      </w:r>
      <w:r w:rsidR="00D14575" w:rsidRPr="00E72418">
        <w:t>peuvent être</w:t>
      </w:r>
      <w:r w:rsidRPr="00E72418">
        <w:t xml:space="preserve"> libres </w:t>
      </w:r>
      <w:r w:rsidR="00F05C89" w:rsidRPr="00E72418">
        <w:t>de déterminer</w:t>
      </w:r>
      <w:r w:rsidRPr="00E72418">
        <w:t xml:space="preserve"> </w:t>
      </w:r>
      <w:r w:rsidR="00D14575" w:rsidRPr="00E72418">
        <w:t>précisément l</w:t>
      </w:r>
      <w:r w:rsidRPr="00E72418">
        <w:t xml:space="preserve">es postes auxquels ils entendent consacrer les fonds libérés par </w:t>
      </w:r>
      <w:r w:rsidR="00D14575" w:rsidRPr="00E72418">
        <w:t>les réductions de dettes</w:t>
      </w:r>
      <w:r w:rsidR="00F05C89" w:rsidRPr="00E72418">
        <w:t>, rien ne permet d’</w:t>
      </w:r>
      <w:r w:rsidRPr="00E72418">
        <w:t xml:space="preserve">assurer que </w:t>
      </w:r>
      <w:r w:rsidR="00D14575" w:rsidRPr="00E72418">
        <w:t>l’ensemble d</w:t>
      </w:r>
      <w:r w:rsidRPr="00E72418">
        <w:t>es fonds</w:t>
      </w:r>
      <w:r w:rsidR="00D14575" w:rsidRPr="00E72418">
        <w:t xml:space="preserve"> </w:t>
      </w:r>
      <w:r w:rsidR="00C445AF" w:rsidRPr="00E72418">
        <w:t>visés</w:t>
      </w:r>
      <w:r w:rsidR="00D14575" w:rsidRPr="00E72418">
        <w:t xml:space="preserve"> par l’Initiative</w:t>
      </w:r>
      <w:r w:rsidRPr="00E72418">
        <w:t xml:space="preserve"> seront nécessairement et directement mobilisés pour des projets </w:t>
      </w:r>
      <w:r w:rsidR="00F05C89" w:rsidRPr="00E72418">
        <w:t>participant à</w:t>
      </w:r>
      <w:r w:rsidRPr="00E72418">
        <w:t xml:space="preserve"> l’amélioration des conditions de vie des populations</w:t>
      </w:r>
      <w:r w:rsidRPr="00E72418">
        <w:rPr>
          <w:rStyle w:val="Appelnotedebasdep"/>
        </w:rPr>
        <w:footnoteReference w:id="232"/>
      </w:r>
      <w:r w:rsidRPr="00E72418">
        <w:t xml:space="preserve">. </w:t>
      </w:r>
      <w:r w:rsidR="00F05C89" w:rsidRPr="00E72418">
        <w:t>La critique du</w:t>
      </w:r>
      <w:r w:rsidRPr="00E72418">
        <w:t xml:space="preserve"> manque d’assise juridique</w:t>
      </w:r>
      <w:r w:rsidR="00F05C89" w:rsidRPr="00E72418">
        <w:t xml:space="preserve"> de l’Initiative Pays Pauvres Très Endettés est également rencontrée</w:t>
      </w:r>
      <w:r w:rsidRPr="00E72418">
        <w:t>.</w:t>
      </w:r>
      <w:r w:rsidR="00765A3A" w:rsidRPr="00E72418">
        <w:t xml:space="preserve"> Dès lors que l’Initiative procè</w:t>
      </w:r>
      <w:r w:rsidRPr="00E72418">
        <w:t xml:space="preserve">de de l’accord </w:t>
      </w:r>
      <w:r w:rsidR="00F05C89" w:rsidRPr="00E72418">
        <w:t xml:space="preserve">des acteurs de la dette étatique </w:t>
      </w:r>
      <w:r w:rsidRPr="00E72418">
        <w:t>et ne s’appuie sur aucune base juridique, l’insécurité juridique la caractérisant est soulignée par certains</w:t>
      </w:r>
      <w:r w:rsidRPr="00E72418">
        <w:rPr>
          <w:rStyle w:val="Appelnotedebasdep"/>
          <w:rFonts w:cs="Times New Roman"/>
        </w:rPr>
        <w:footnoteReference w:id="233"/>
      </w:r>
      <w:r w:rsidRPr="00E72418">
        <w:t xml:space="preserve"> tandis que d’autres y voit l’avantage de la flexibilité</w:t>
      </w:r>
      <w:r w:rsidRPr="00E72418">
        <w:rPr>
          <w:rStyle w:val="Appelnotedebasdep"/>
          <w:rFonts w:cs="Times New Roman"/>
        </w:rPr>
        <w:footnoteReference w:id="234"/>
      </w:r>
      <w:r w:rsidRPr="00E72418">
        <w:t>.</w:t>
      </w:r>
    </w:p>
    <w:p w14:paraId="60191A1C" w14:textId="4598929C" w:rsidR="007C57EF" w:rsidRPr="00E72418" w:rsidRDefault="007C57EF" w:rsidP="00CC4BA8">
      <w:pPr>
        <w:spacing w:line="276" w:lineRule="auto"/>
      </w:pPr>
      <w:r w:rsidRPr="00E72418">
        <w:rPr>
          <w:szCs w:val="24"/>
        </w:rPr>
        <w:t>Si la critique de la potentielle inefficacité et du manque d’assise juridique est souvent relevée, il en est une troisième qui concerne partic</w:t>
      </w:r>
      <w:r w:rsidR="00DE0752" w:rsidRPr="00E72418">
        <w:rPr>
          <w:szCs w:val="24"/>
        </w:rPr>
        <w:t>ulièrement notre recherche. L</w:t>
      </w:r>
      <w:r w:rsidRPr="00E72418">
        <w:rPr>
          <w:szCs w:val="24"/>
        </w:rPr>
        <w:t>’Initiative perme</w:t>
      </w:r>
      <w:r w:rsidR="00DE0752" w:rsidRPr="00E72418">
        <w:rPr>
          <w:szCs w:val="24"/>
        </w:rPr>
        <w:t>ttan</w:t>
      </w:r>
      <w:r w:rsidRPr="00E72418">
        <w:rPr>
          <w:szCs w:val="24"/>
        </w:rPr>
        <w:t xml:space="preserve">t </w:t>
      </w:r>
      <w:r w:rsidRPr="00E72418">
        <w:rPr>
          <w:szCs w:val="24"/>
        </w:rPr>
        <w:lastRenderedPageBreak/>
        <w:t xml:space="preserve">aux pays bénéficiaires de retrouver une certaine marge d’action financière, cette dernière peut s’avérer profitable pour les fonds spéculatifs </w:t>
      </w:r>
      <w:r w:rsidRPr="00E72418">
        <w:t>ayant fait l’</w:t>
      </w:r>
      <w:r w:rsidR="00DE0752" w:rsidRPr="00E72418">
        <w:t xml:space="preserve">acquisition de dettes, </w:t>
      </w:r>
      <w:r w:rsidRPr="00E72418">
        <w:t>les poursuivant</w:t>
      </w:r>
      <w:r w:rsidR="00DE0752" w:rsidRPr="00E72418">
        <w:t xml:space="preserve"> et entendant tirer profit de la réduction de la pression de la dette</w:t>
      </w:r>
      <w:r w:rsidRPr="00E72418">
        <w:rPr>
          <w:rStyle w:val="Appelnotedebasdep"/>
          <w:rFonts w:cs="Times New Roman"/>
        </w:rPr>
        <w:footnoteReference w:id="235"/>
      </w:r>
      <w:r w:rsidR="00DE0752" w:rsidRPr="00E72418">
        <w:t xml:space="preserve">. </w:t>
      </w:r>
      <w:r w:rsidR="00A15B5C" w:rsidRPr="00E72418">
        <w:t xml:space="preserve">En effet, les efforts consentis par une partie des créanciers coopérants sont de nature à libérer des montants que pourront poursuivre les créanciers récalcitrants. </w:t>
      </w:r>
      <w:r w:rsidR="00DE0752" w:rsidRPr="00E72418">
        <w:t>C</w:t>
      </w:r>
      <w:r w:rsidRPr="00E72418">
        <w:t xml:space="preserve">omme le note </w:t>
      </w:r>
      <w:r w:rsidR="005C18A8" w:rsidRPr="00E72418">
        <w:t xml:space="preserve">Thomas </w:t>
      </w:r>
      <w:r w:rsidRPr="00E72418">
        <w:t>Laryea, « the effectiveness of the HIPC Initiative in bringing the debt burden of low-income countries to sustainable levels can be compromised by holdout creditors that take advantage of the fiscal space created by HIPC assistance »</w:t>
      </w:r>
      <w:r w:rsidRPr="00E72418">
        <w:rPr>
          <w:rStyle w:val="Appelnotedebasdep"/>
        </w:rPr>
        <w:footnoteReference w:id="236"/>
      </w:r>
      <w:r w:rsidRPr="00E72418">
        <w:t>.</w:t>
      </w:r>
    </w:p>
    <w:p w14:paraId="3E0B9863" w14:textId="77777777" w:rsidR="007C57EF" w:rsidRPr="00E72418" w:rsidRDefault="007C57EF" w:rsidP="00423B60"/>
    <w:p w14:paraId="5DE1DD3D" w14:textId="43B28026" w:rsidR="007C57EF" w:rsidRPr="00E72418" w:rsidRDefault="007F038F" w:rsidP="00CC4BA8">
      <w:pPr>
        <w:spacing w:line="276" w:lineRule="auto"/>
        <w:rPr>
          <w:rFonts w:ascii="Times New Roman" w:hAnsi="Times New Roman" w:cs="Times New Roman"/>
          <w:szCs w:val="24"/>
          <w:shd w:val="clear" w:color="auto" w:fill="FFFFFF"/>
        </w:rPr>
      </w:pPr>
      <w:r w:rsidRPr="00E72418">
        <w:rPr>
          <w:rFonts w:ascii="Times New Roman" w:hAnsi="Times New Roman" w:cs="Times New Roman"/>
          <w:b/>
          <w:szCs w:val="24"/>
          <w:shd w:val="clear" w:color="auto" w:fill="FFFFFF"/>
        </w:rPr>
        <w:t>46</w:t>
      </w:r>
      <w:r w:rsidR="007E31CD" w:rsidRPr="00E72418">
        <w:rPr>
          <w:rFonts w:ascii="Times New Roman" w:hAnsi="Times New Roman" w:cs="Times New Roman"/>
          <w:b/>
          <w:szCs w:val="24"/>
          <w:shd w:val="clear" w:color="auto" w:fill="FFFFFF"/>
        </w:rPr>
        <w:t xml:space="preserve">. </w:t>
      </w:r>
      <w:r w:rsidR="007C57EF" w:rsidRPr="00E72418">
        <w:rPr>
          <w:rFonts w:ascii="Times New Roman" w:hAnsi="Times New Roman" w:cs="Times New Roman"/>
          <w:b/>
          <w:szCs w:val="24"/>
          <w:shd w:val="clear" w:color="auto" w:fill="FFFFFF"/>
        </w:rPr>
        <w:t xml:space="preserve">L’Initiative d’allègement de la dette multilatérale </w:t>
      </w:r>
      <w:r w:rsidR="007C57EF" w:rsidRPr="00E72418">
        <w:rPr>
          <w:rFonts w:ascii="Times New Roman" w:hAnsi="Times New Roman" w:cs="Times New Roman"/>
          <w:b/>
          <w:szCs w:val="24"/>
        </w:rPr>
        <w:t>–</w:t>
      </w:r>
      <w:r w:rsidR="00F16DA9" w:rsidRPr="00E72418">
        <w:rPr>
          <w:rFonts w:ascii="Times New Roman" w:hAnsi="Times New Roman" w:cs="Times New Roman"/>
          <w:szCs w:val="24"/>
          <w:shd w:val="clear" w:color="auto" w:fill="FFFFFF"/>
        </w:rPr>
        <w:t xml:space="preserve"> En 2005, l’I</w:t>
      </w:r>
      <w:r w:rsidR="007C57EF" w:rsidRPr="00E72418">
        <w:rPr>
          <w:rFonts w:ascii="Times New Roman" w:hAnsi="Times New Roman" w:cs="Times New Roman"/>
          <w:szCs w:val="24"/>
          <w:shd w:val="clear" w:color="auto" w:fill="FFFFFF"/>
        </w:rPr>
        <w:t>nitiative Pays Pauvres Très Endettés a été complétée par </w:t>
      </w:r>
      <w:hyperlink r:id="rId12" w:history="1">
        <w:r w:rsidR="007C57EF" w:rsidRPr="00E72418">
          <w:rPr>
            <w:rFonts w:ascii="Times New Roman" w:hAnsi="Times New Roman" w:cs="Times New Roman"/>
            <w:szCs w:val="24"/>
          </w:rPr>
          <w:t>l’Initiative dite « d’allègement de la dette multilatérale »</w:t>
        </w:r>
      </w:hyperlink>
      <w:r w:rsidR="007C57EF" w:rsidRPr="00E72418">
        <w:rPr>
          <w:rStyle w:val="Appelnotedebasdep"/>
          <w:rFonts w:ascii="Times New Roman" w:hAnsi="Times New Roman" w:cs="Times New Roman"/>
          <w:szCs w:val="24"/>
        </w:rPr>
        <w:footnoteReference w:id="237"/>
      </w:r>
      <w:r w:rsidR="007C57EF" w:rsidRPr="00E72418">
        <w:rPr>
          <w:rFonts w:ascii="Times New Roman" w:hAnsi="Times New Roman" w:cs="Times New Roman"/>
          <w:szCs w:val="24"/>
        </w:rPr>
        <w:t>. Cette nouvel</w:t>
      </w:r>
      <w:r w:rsidR="00B05967" w:rsidRPr="00E72418">
        <w:rPr>
          <w:rFonts w:ascii="Times New Roman" w:hAnsi="Times New Roman" w:cs="Times New Roman"/>
          <w:szCs w:val="24"/>
        </w:rPr>
        <w:t>le Initiative visant</w:t>
      </w:r>
      <w:r w:rsidR="00765A3A" w:rsidRPr="00E72418">
        <w:rPr>
          <w:rFonts w:ascii="Times New Roman" w:hAnsi="Times New Roman" w:cs="Times New Roman"/>
          <w:szCs w:val="24"/>
        </w:rPr>
        <w:t xml:space="preserve"> à accélé</w:t>
      </w:r>
      <w:r w:rsidR="007C57EF" w:rsidRPr="00E72418">
        <w:rPr>
          <w:rFonts w:ascii="Times New Roman" w:hAnsi="Times New Roman" w:cs="Times New Roman"/>
          <w:szCs w:val="24"/>
        </w:rPr>
        <w:t>rer les progrès vers la réalisation des </w:t>
      </w:r>
      <w:hyperlink r:id="rId13" w:history="1">
        <w:r w:rsidR="007C57EF" w:rsidRPr="00E72418">
          <w:rPr>
            <w:rFonts w:ascii="Times New Roman" w:hAnsi="Times New Roman" w:cs="Times New Roman"/>
            <w:szCs w:val="24"/>
          </w:rPr>
          <w:t>objectifs du millénaire pour le développement</w:t>
        </w:r>
      </w:hyperlink>
      <w:r w:rsidR="00B05967" w:rsidRPr="00E72418">
        <w:rPr>
          <w:rFonts w:ascii="Times New Roman" w:hAnsi="Times New Roman" w:cs="Times New Roman"/>
          <w:szCs w:val="24"/>
        </w:rPr>
        <w:t xml:space="preserve"> des Nations Unies</w:t>
      </w:r>
      <w:r w:rsidR="007C57EF" w:rsidRPr="00E72418">
        <w:rPr>
          <w:rFonts w:ascii="Times New Roman" w:hAnsi="Times New Roman" w:cs="Times New Roman"/>
          <w:szCs w:val="24"/>
        </w:rPr>
        <w:t xml:space="preserve"> prévoit l’allègement de la totalité des dettes admissibles par le Fonds monétaire</w:t>
      </w:r>
      <w:r w:rsidR="007C57EF" w:rsidRPr="00E72418">
        <w:rPr>
          <w:rFonts w:ascii="Times New Roman" w:hAnsi="Times New Roman" w:cs="Times New Roman"/>
          <w:szCs w:val="24"/>
          <w:shd w:val="clear" w:color="auto" w:fill="FFFFFF"/>
        </w:rPr>
        <w:t xml:space="preserve"> international, l’Association internationale de développement de la Banque mondiale et le Fonds africain de développement pour les </w:t>
      </w:r>
      <w:r w:rsidR="00B05967" w:rsidRPr="00E72418">
        <w:rPr>
          <w:rFonts w:ascii="Times New Roman" w:hAnsi="Times New Roman" w:cs="Times New Roman"/>
          <w:lang w:eastAsia="fr-BE"/>
        </w:rPr>
        <w:t>É</w:t>
      </w:r>
      <w:r w:rsidR="00B05967" w:rsidRPr="00E72418">
        <w:rPr>
          <w:rFonts w:ascii="Times New Roman" w:hAnsi="Times New Roman" w:cs="Times New Roman"/>
          <w:szCs w:val="24"/>
          <w:shd w:val="clear" w:color="auto" w:fill="FFFFFF"/>
        </w:rPr>
        <w:t xml:space="preserve">tats </w:t>
      </w:r>
      <w:r w:rsidR="007C57EF" w:rsidRPr="00E72418">
        <w:rPr>
          <w:rFonts w:ascii="Times New Roman" w:hAnsi="Times New Roman" w:cs="Times New Roman"/>
          <w:szCs w:val="24"/>
          <w:shd w:val="clear" w:color="auto" w:fill="FFFFFF"/>
        </w:rPr>
        <w:t>parvenus au bout du processus de l’Initiative Pays Pauvres Très Endettés</w:t>
      </w:r>
      <w:r w:rsidR="007C57EF" w:rsidRPr="00E72418">
        <w:rPr>
          <w:rStyle w:val="Appelnotedebasdep"/>
          <w:rFonts w:ascii="Times New Roman" w:hAnsi="Times New Roman" w:cs="Times New Roman"/>
          <w:szCs w:val="24"/>
          <w:shd w:val="clear" w:color="auto" w:fill="FFFFFF"/>
        </w:rPr>
        <w:footnoteReference w:id="238"/>
      </w:r>
      <w:r w:rsidR="007C57EF" w:rsidRPr="00E72418">
        <w:rPr>
          <w:rFonts w:ascii="Times New Roman" w:hAnsi="Times New Roman" w:cs="Times New Roman"/>
          <w:szCs w:val="24"/>
          <w:shd w:val="clear" w:color="auto" w:fill="FFFFFF"/>
        </w:rPr>
        <w:t>. Par ailleurs, un allègement de dette supplémentaire à celui prévu par cette</w:t>
      </w:r>
      <w:r w:rsidR="00B05967" w:rsidRPr="00E72418">
        <w:rPr>
          <w:rFonts w:ascii="Times New Roman" w:hAnsi="Times New Roman" w:cs="Times New Roman"/>
          <w:szCs w:val="24"/>
          <w:shd w:val="clear" w:color="auto" w:fill="FFFFFF"/>
        </w:rPr>
        <w:t xml:space="preserve"> dernière est également accordé</w:t>
      </w:r>
      <w:r w:rsidR="007C57EF" w:rsidRPr="00E72418">
        <w:rPr>
          <w:rFonts w:ascii="Times New Roman" w:hAnsi="Times New Roman" w:cs="Times New Roman"/>
          <w:szCs w:val="24"/>
          <w:shd w:val="clear" w:color="auto" w:fill="FFFFFF"/>
        </w:rPr>
        <w:t xml:space="preserve"> à certains </w:t>
      </w:r>
      <w:r w:rsidR="007C57EF" w:rsidRPr="00E72418">
        <w:rPr>
          <w:rFonts w:ascii="Times New Roman" w:hAnsi="Times New Roman" w:cs="Times New Roman"/>
          <w:lang w:eastAsia="fr-BE"/>
        </w:rPr>
        <w:t>É</w:t>
      </w:r>
      <w:r w:rsidR="007C57EF" w:rsidRPr="00E72418">
        <w:rPr>
          <w:rFonts w:ascii="Times New Roman" w:hAnsi="Times New Roman" w:cs="Times New Roman"/>
          <w:szCs w:val="24"/>
          <w:shd w:val="clear" w:color="auto" w:fill="FFFFFF"/>
        </w:rPr>
        <w:t>tats débiteurs.</w:t>
      </w:r>
    </w:p>
    <w:p w14:paraId="3CF14DBE" w14:textId="3C2EC863" w:rsidR="007C57EF" w:rsidRPr="00E72418" w:rsidRDefault="009E72E5" w:rsidP="00CC4BA8">
      <w:pPr>
        <w:spacing w:line="276" w:lineRule="auto"/>
        <w:rPr>
          <w:rFonts w:ascii="Times New Roman" w:hAnsi="Times New Roman" w:cs="Times New Roman"/>
          <w:szCs w:val="24"/>
        </w:rPr>
      </w:pPr>
      <w:r w:rsidRPr="00E72418">
        <w:rPr>
          <w:rFonts w:cs="Times New Roman"/>
          <w:lang w:eastAsia="fr-BE"/>
        </w:rPr>
        <w:t>À</w:t>
      </w:r>
      <w:r w:rsidR="007C57EF" w:rsidRPr="00E72418">
        <w:rPr>
          <w:rFonts w:ascii="Times New Roman" w:hAnsi="Times New Roman" w:cs="Times New Roman"/>
          <w:szCs w:val="24"/>
          <w:shd w:val="clear" w:color="auto" w:fill="FFFFFF"/>
        </w:rPr>
        <w:t xml:space="preserve"> la différence de l’Initiative Pays Pauvres Très Endettés, l’Initiative d’allègement de la dette multilatérale n’envisage pas parallèlement </w:t>
      </w:r>
      <w:r w:rsidR="00B05967" w:rsidRPr="00E72418">
        <w:rPr>
          <w:rFonts w:ascii="Times New Roman" w:hAnsi="Times New Roman" w:cs="Times New Roman"/>
          <w:szCs w:val="24"/>
          <w:shd w:val="clear" w:color="auto" w:fill="FFFFFF"/>
        </w:rPr>
        <w:t xml:space="preserve">à </w:t>
      </w:r>
      <w:r w:rsidR="007C57EF" w:rsidRPr="00E72418">
        <w:rPr>
          <w:rFonts w:ascii="Times New Roman" w:hAnsi="Times New Roman" w:cs="Times New Roman"/>
          <w:szCs w:val="24"/>
          <w:shd w:val="clear" w:color="auto" w:fill="FFFFFF"/>
        </w:rPr>
        <w:t xml:space="preserve">l’annulation </w:t>
      </w:r>
      <w:r w:rsidR="00B05967" w:rsidRPr="00E72418">
        <w:rPr>
          <w:rFonts w:ascii="Times New Roman" w:hAnsi="Times New Roman" w:cs="Times New Roman"/>
          <w:szCs w:val="24"/>
          <w:shd w:val="clear" w:color="auto" w:fill="FFFFFF"/>
        </w:rPr>
        <w:t>pratiquée par les</w:t>
      </w:r>
      <w:r w:rsidR="007C57EF" w:rsidRPr="00E72418">
        <w:rPr>
          <w:rFonts w:ascii="Times New Roman" w:hAnsi="Times New Roman" w:cs="Times New Roman"/>
          <w:szCs w:val="24"/>
          <w:shd w:val="clear" w:color="auto" w:fill="FFFFFF"/>
        </w:rPr>
        <w:t xml:space="preserve"> </w:t>
      </w:r>
      <w:r w:rsidR="00B05967" w:rsidRPr="00E72418">
        <w:rPr>
          <w:rFonts w:ascii="Times New Roman" w:hAnsi="Times New Roman" w:cs="Times New Roman"/>
          <w:szCs w:val="24"/>
          <w:shd w:val="clear" w:color="auto" w:fill="FFFFFF"/>
        </w:rPr>
        <w:t xml:space="preserve">trois institutions concernées celle des </w:t>
      </w:r>
      <w:r w:rsidR="007C57EF" w:rsidRPr="00E72418">
        <w:rPr>
          <w:rFonts w:ascii="Times New Roman" w:hAnsi="Times New Roman" w:cs="Times New Roman"/>
          <w:szCs w:val="24"/>
          <w:shd w:val="clear" w:color="auto" w:fill="FFFFFF"/>
        </w:rPr>
        <w:t xml:space="preserve">créances </w:t>
      </w:r>
      <w:r w:rsidR="00B05967" w:rsidRPr="00E72418">
        <w:rPr>
          <w:rFonts w:ascii="Times New Roman" w:hAnsi="Times New Roman" w:cs="Times New Roman"/>
          <w:szCs w:val="24"/>
          <w:shd w:val="clear" w:color="auto" w:fill="FFFFFF"/>
        </w:rPr>
        <w:t>détenues par des</w:t>
      </w:r>
      <w:r w:rsidR="007C57EF" w:rsidRPr="00E72418">
        <w:rPr>
          <w:rFonts w:ascii="Times New Roman" w:hAnsi="Times New Roman" w:cs="Times New Roman"/>
          <w:szCs w:val="24"/>
          <w:shd w:val="clear" w:color="auto" w:fill="FFFFFF"/>
        </w:rPr>
        <w:t xml:space="preserve"> créanciers bilatéraux </w:t>
      </w:r>
      <w:r w:rsidR="00B05967" w:rsidRPr="00E72418">
        <w:rPr>
          <w:rFonts w:ascii="Times New Roman" w:hAnsi="Times New Roman" w:cs="Times New Roman"/>
          <w:szCs w:val="24"/>
          <w:shd w:val="clear" w:color="auto" w:fill="FFFFFF"/>
        </w:rPr>
        <w:t>ou</w:t>
      </w:r>
      <w:r w:rsidR="007C57EF" w:rsidRPr="00E72418">
        <w:rPr>
          <w:rFonts w:ascii="Times New Roman" w:hAnsi="Times New Roman" w:cs="Times New Roman"/>
          <w:szCs w:val="24"/>
          <w:shd w:val="clear" w:color="auto" w:fill="FFFFFF"/>
        </w:rPr>
        <w:t xml:space="preserve"> d’autres institutions multilatérales</w:t>
      </w:r>
      <w:r w:rsidR="007C57EF" w:rsidRPr="00E72418">
        <w:rPr>
          <w:rStyle w:val="Appelnotedebasdep"/>
          <w:rFonts w:ascii="Times New Roman" w:hAnsi="Times New Roman" w:cs="Times New Roman"/>
          <w:szCs w:val="24"/>
          <w:shd w:val="clear" w:color="auto" w:fill="FFFFFF"/>
        </w:rPr>
        <w:footnoteReference w:id="239"/>
      </w:r>
      <w:r w:rsidR="007C57EF" w:rsidRPr="00E72418">
        <w:rPr>
          <w:rFonts w:ascii="Times New Roman" w:hAnsi="Times New Roman" w:cs="Times New Roman"/>
          <w:szCs w:val="24"/>
          <w:shd w:val="clear" w:color="auto" w:fill="FFFFFF"/>
        </w:rPr>
        <w:t xml:space="preserve">. </w:t>
      </w:r>
      <w:r w:rsidR="00B05967" w:rsidRPr="00E72418">
        <w:rPr>
          <w:rFonts w:ascii="Times New Roman" w:hAnsi="Times New Roman" w:cs="Times New Roman"/>
          <w:szCs w:val="24"/>
          <w:shd w:val="clear" w:color="auto" w:fill="FFFFFF"/>
        </w:rPr>
        <w:t>Malgré cela</w:t>
      </w:r>
      <w:r w:rsidR="007C57EF" w:rsidRPr="00E72418">
        <w:rPr>
          <w:rFonts w:ascii="Times New Roman" w:hAnsi="Times New Roman" w:cs="Times New Roman"/>
          <w:szCs w:val="24"/>
          <w:shd w:val="clear" w:color="auto" w:fill="FFFFFF"/>
        </w:rPr>
        <w:t>, c</w:t>
      </w:r>
      <w:r w:rsidR="00765A3A" w:rsidRPr="00E72418">
        <w:rPr>
          <w:rFonts w:ascii="Times New Roman" w:hAnsi="Times New Roman" w:cs="Times New Roman"/>
          <w:szCs w:val="24"/>
        </w:rPr>
        <w:t>oncomit</w:t>
      </w:r>
      <w:r w:rsidR="007C57EF" w:rsidRPr="00E72418">
        <w:rPr>
          <w:rFonts w:ascii="Times New Roman" w:hAnsi="Times New Roman" w:cs="Times New Roman"/>
          <w:szCs w:val="24"/>
        </w:rPr>
        <w:t xml:space="preserve">amment à </w:t>
      </w:r>
      <w:r w:rsidR="00B05967" w:rsidRPr="00E72418">
        <w:rPr>
          <w:rFonts w:ascii="Times New Roman" w:hAnsi="Times New Roman" w:cs="Times New Roman"/>
          <w:szCs w:val="24"/>
        </w:rPr>
        <w:t>l’</w:t>
      </w:r>
      <w:r w:rsidR="007C57EF" w:rsidRPr="00E72418">
        <w:rPr>
          <w:rFonts w:ascii="Times New Roman" w:hAnsi="Times New Roman" w:cs="Times New Roman"/>
          <w:szCs w:val="24"/>
        </w:rPr>
        <w:t xml:space="preserve">annulation </w:t>
      </w:r>
      <w:r w:rsidR="00B05967" w:rsidRPr="00E72418">
        <w:rPr>
          <w:rFonts w:ascii="Times New Roman" w:hAnsi="Times New Roman" w:cs="Times New Roman"/>
          <w:szCs w:val="24"/>
        </w:rPr>
        <w:t xml:space="preserve">de dettes prévue par </w:t>
      </w:r>
      <w:r w:rsidR="00B05967" w:rsidRPr="00E72418">
        <w:rPr>
          <w:rFonts w:ascii="Times New Roman" w:hAnsi="Times New Roman" w:cs="Times New Roman"/>
          <w:szCs w:val="24"/>
          <w:shd w:val="clear" w:color="auto" w:fill="FFFFFF"/>
        </w:rPr>
        <w:t>l’Initiative d’allègement de la dette multilatérale de 2005</w:t>
      </w:r>
      <w:r w:rsidR="007C57EF" w:rsidRPr="00E72418">
        <w:rPr>
          <w:rFonts w:ascii="Times New Roman" w:hAnsi="Times New Roman" w:cs="Times New Roman"/>
          <w:szCs w:val="24"/>
        </w:rPr>
        <w:t>, des pays créanciers ont décidé d’octroyer l’annulation totale des dettes qu’ils détenaient.</w:t>
      </w:r>
    </w:p>
    <w:p w14:paraId="4F2A4DA5" w14:textId="4D5A48D7" w:rsidR="009554DA" w:rsidRPr="00E72418" w:rsidRDefault="009554DA" w:rsidP="00423B60"/>
    <w:p w14:paraId="41F4A612" w14:textId="2E8F1EEA" w:rsidR="009554DA" w:rsidRPr="00E72418" w:rsidRDefault="009554DA" w:rsidP="009554DA">
      <w:pPr>
        <w:spacing w:line="276" w:lineRule="auto"/>
        <w:rPr>
          <w:lang w:eastAsia="fr-BE"/>
        </w:rPr>
      </w:pPr>
      <w:r w:rsidRPr="00E72418">
        <w:rPr>
          <w:b/>
          <w:lang w:eastAsia="fr-BE"/>
        </w:rPr>
        <w:t xml:space="preserve">47. D’autres pistes </w:t>
      </w:r>
      <w:r w:rsidRPr="00E72418">
        <w:rPr>
          <w:rFonts w:ascii="Times New Roman" w:hAnsi="Times New Roman" w:cs="Times New Roman"/>
          <w:b/>
          <w:szCs w:val="24"/>
        </w:rPr>
        <w:t xml:space="preserve">– </w:t>
      </w:r>
      <w:r w:rsidRPr="00E72418">
        <w:rPr>
          <w:lang w:eastAsia="fr-BE"/>
        </w:rPr>
        <w:t xml:space="preserve">Le Fonds monétaire international et la Banque mondiale ont mis sur pied le « cadre de viabilité de la dette » pour les pays à faibles revenus en 2005, lequel cadre est révisé périodiquement. La mise en place de ce cadre suit le constat que ces pays ont souvent été aux prises avec une dette extérieure élevée. Ainsi, le Fonds monétaire international et la Banque mondiale ont élaboré un mécanisme visant à guider les pays et les bailleurs de fonds dans la mobilisation des financements nécessaires au développement des pays à faible revenu, et ce, </w:t>
      </w:r>
      <w:r w:rsidRPr="00E72418">
        <w:rPr>
          <w:lang w:eastAsia="fr-BE"/>
        </w:rPr>
        <w:lastRenderedPageBreak/>
        <w:t>tout en réduisant les risques d’une accumulation excessive de dettes</w:t>
      </w:r>
      <w:r w:rsidRPr="00E72418">
        <w:rPr>
          <w:rStyle w:val="Appelnotedebasdep"/>
          <w:lang w:eastAsia="fr-BE"/>
        </w:rPr>
        <w:footnoteReference w:id="240"/>
      </w:r>
      <w:r w:rsidRPr="00E72418">
        <w:rPr>
          <w:lang w:eastAsia="fr-BE"/>
        </w:rPr>
        <w:t>. Ce cadre, qui exige que des analyses de viabilité de la dette soient régulièrement effectuées, vise à guider les décisions d’emprunt des pays à faible revenu de manière à aligner leurs besoins de financement sur leurs capacités de remboursement actuelle et future</w:t>
      </w:r>
      <w:r w:rsidRPr="00E72418">
        <w:rPr>
          <w:rStyle w:val="Appelnotedebasdep"/>
          <w:lang w:eastAsia="fr-BE"/>
        </w:rPr>
        <w:footnoteReference w:id="241"/>
      </w:r>
      <w:r w:rsidRPr="00E72418">
        <w:rPr>
          <w:lang w:eastAsia="fr-BE"/>
        </w:rPr>
        <w:t>.</w:t>
      </w:r>
    </w:p>
    <w:p w14:paraId="7FD750C9" w14:textId="5B2A280E" w:rsidR="009554DA" w:rsidRPr="00E72418" w:rsidRDefault="009554DA" w:rsidP="009554DA">
      <w:pPr>
        <w:spacing w:line="276" w:lineRule="auto"/>
        <w:rPr>
          <w:rFonts w:ascii="Times New Roman" w:hAnsi="Times New Roman" w:cs="Times New Roman"/>
          <w:szCs w:val="24"/>
        </w:rPr>
      </w:pPr>
      <w:r w:rsidRPr="00E72418">
        <w:rPr>
          <w:rStyle w:val="Lienhypertexte"/>
          <w:rFonts w:ascii="Times New Roman" w:hAnsi="Times New Roman" w:cs="Times New Roman"/>
          <w:color w:val="auto"/>
          <w:u w:val="none"/>
        </w:rPr>
        <w:t xml:space="preserve">La </w:t>
      </w:r>
      <w:r w:rsidRPr="00E72418">
        <w:rPr>
          <w:rStyle w:val="Lienhypertexte"/>
          <w:rFonts w:ascii="Times New Roman" w:hAnsi="Times New Roman" w:cs="Times New Roman"/>
          <w:i/>
          <w:color w:val="auto"/>
          <w:u w:val="none"/>
        </w:rPr>
        <w:t>Debt Reduction Facility</w:t>
      </w:r>
      <w:r w:rsidRPr="00E72418">
        <w:rPr>
          <w:rStyle w:val="Lienhypertexte"/>
          <w:rFonts w:ascii="Times New Roman" w:hAnsi="Times New Roman" w:cs="Times New Roman"/>
          <w:color w:val="auto"/>
          <w:u w:val="none"/>
        </w:rPr>
        <w:t xml:space="preserve">, mise sur pied en 1989 par la Banque mondiale, vise à octroyer des fonds à des </w:t>
      </w:r>
      <w:r w:rsidRPr="00E72418">
        <w:rPr>
          <w:rFonts w:ascii="Times New Roman" w:hAnsi="Times New Roman" w:cs="Times New Roman"/>
          <w:lang w:eastAsia="fr-BE"/>
        </w:rPr>
        <w:t>É</w:t>
      </w:r>
      <w:r w:rsidRPr="00E72418">
        <w:rPr>
          <w:rStyle w:val="Lienhypertexte"/>
          <w:rFonts w:ascii="Times New Roman" w:hAnsi="Times New Roman" w:cs="Times New Roman"/>
          <w:color w:val="auto"/>
          <w:u w:val="none"/>
        </w:rPr>
        <w:t>tats afin qu’ils puissent racheter leurs dettes dues à des créanciers commerciaux.</w:t>
      </w:r>
      <w:r w:rsidR="00881623" w:rsidRPr="00E72418">
        <w:rPr>
          <w:rStyle w:val="Lienhypertexte"/>
          <w:rFonts w:ascii="Times New Roman" w:hAnsi="Times New Roman" w:cs="Times New Roman"/>
          <w:color w:val="auto"/>
          <w:u w:val="none"/>
        </w:rPr>
        <w:t xml:space="preserve"> </w:t>
      </w:r>
      <w:r w:rsidRPr="00E72418">
        <w:rPr>
          <w:rStyle w:val="Lienhypertexte"/>
          <w:rFonts w:ascii="Times New Roman" w:hAnsi="Times New Roman" w:cs="Times New Roman"/>
          <w:color w:val="auto"/>
          <w:u w:val="none"/>
        </w:rPr>
        <w:t>En 2008, cette facilité</w:t>
      </w:r>
      <w:r w:rsidRPr="00E72418">
        <w:rPr>
          <w:rStyle w:val="Lienhypertexte"/>
          <w:rFonts w:ascii="Times New Roman" w:hAnsi="Times New Roman" w:cs="Times New Roman"/>
          <w:i/>
          <w:color w:val="auto"/>
          <w:u w:val="none"/>
        </w:rPr>
        <w:t xml:space="preserve"> </w:t>
      </w:r>
      <w:r w:rsidRPr="00E72418">
        <w:rPr>
          <w:rStyle w:val="Lienhypertexte"/>
          <w:rFonts w:ascii="Times New Roman" w:hAnsi="Times New Roman" w:cs="Times New Roman"/>
          <w:color w:val="auto"/>
          <w:u w:val="none"/>
        </w:rPr>
        <w:t xml:space="preserve">fut rendue accessible aux Pays Pauvres Très Endettés au sens de l’Initiative de la Banque mondiale et du Fonds monétaire international. La </w:t>
      </w:r>
      <w:r w:rsidRPr="00E72418">
        <w:rPr>
          <w:rStyle w:val="Lienhypertexte"/>
          <w:rFonts w:ascii="Times New Roman" w:hAnsi="Times New Roman" w:cs="Times New Roman"/>
          <w:i/>
          <w:color w:val="auto"/>
          <w:u w:val="none"/>
        </w:rPr>
        <w:t>Debt Reduction Facility</w:t>
      </w:r>
      <w:r w:rsidRPr="00E72418">
        <w:rPr>
          <w:rStyle w:val="Lienhypertexte"/>
          <w:rFonts w:ascii="Times New Roman" w:hAnsi="Times New Roman" w:cs="Times New Roman"/>
          <w:color w:val="auto"/>
          <w:u w:val="none"/>
        </w:rPr>
        <w:t xml:space="preserve"> leur permit de racheter leurs dettes selon les modalités définies par l’Initiative Pays Pauvres Très Endettés</w:t>
      </w:r>
      <w:r w:rsidRPr="00E72418">
        <w:rPr>
          <w:rStyle w:val="Appelnotedebasdep"/>
          <w:rFonts w:ascii="Times New Roman" w:hAnsi="Times New Roman" w:cs="Times New Roman"/>
        </w:rPr>
        <w:footnoteReference w:id="242"/>
      </w:r>
      <w:r w:rsidRPr="00E72418">
        <w:rPr>
          <w:rStyle w:val="Lienhypertexte"/>
          <w:rFonts w:ascii="Times New Roman" w:hAnsi="Times New Roman" w:cs="Times New Roman"/>
          <w:color w:val="auto"/>
          <w:u w:val="none"/>
        </w:rPr>
        <w:t>. Couplés aux réductions de dettes concédés dans le cadre de l’Initiative, ces rachats ont permis d’augmenter le taux de participation des créanciers aux efforts d’allègement à nonante pour cent et plus</w:t>
      </w:r>
      <w:r w:rsidRPr="00E72418">
        <w:rPr>
          <w:rStyle w:val="Appelnotedebasdep"/>
          <w:rFonts w:ascii="Times New Roman" w:hAnsi="Times New Roman" w:cs="Times New Roman"/>
        </w:rPr>
        <w:footnoteReference w:id="243"/>
      </w:r>
      <w:r w:rsidRPr="00E72418">
        <w:rPr>
          <w:rStyle w:val="Lienhypertexte"/>
          <w:rFonts w:ascii="Times New Roman" w:hAnsi="Times New Roman" w:cs="Times New Roman"/>
          <w:color w:val="auto"/>
          <w:u w:val="none"/>
        </w:rPr>
        <w:t xml:space="preserve">. </w:t>
      </w:r>
      <w:r w:rsidRPr="00E72418">
        <w:rPr>
          <w:rStyle w:val="Lienhypertexte"/>
          <w:rFonts w:ascii="Times New Roman" w:hAnsi="Times New Roman" w:cs="Times New Roman"/>
          <w:color w:val="auto"/>
          <w:szCs w:val="24"/>
          <w:u w:val="none"/>
        </w:rPr>
        <w:t>Si les termes offerts aux créanciers sont sans doute peu intéressants, il apparaît toutefois que « </w:t>
      </w:r>
      <w:r w:rsidRPr="00E72418">
        <w:rPr>
          <w:rFonts w:ascii="Times New Roman" w:hAnsi="Times New Roman" w:cs="Times New Roman"/>
        </w:rPr>
        <w:t>[t]</w:t>
      </w:r>
      <w:r w:rsidRPr="00E72418">
        <w:rPr>
          <w:rFonts w:ascii="Times New Roman" w:hAnsi="Times New Roman" w:cs="Times New Roman"/>
          <w:szCs w:val="24"/>
        </w:rPr>
        <w:t xml:space="preserve">he immediate redemption of a speculative and often illiquid investment, </w:t>
      </w:r>
      <w:r w:rsidRPr="00E72418">
        <w:rPr>
          <w:rFonts w:ascii="Times New Roman" w:hAnsi="Times New Roman" w:cs="Times New Roman"/>
        </w:rPr>
        <w:t xml:space="preserve">[the] </w:t>
      </w:r>
      <w:r w:rsidRPr="00E72418">
        <w:rPr>
          <w:rFonts w:ascii="Times New Roman" w:hAnsi="Times New Roman" w:cs="Times New Roman"/>
          <w:szCs w:val="24"/>
        </w:rPr>
        <w:t>equality of treatment with other participating creditors and the opportunity to participate in the HIPC Initiative have proved attractive to many creditors »</w:t>
      </w:r>
      <w:r w:rsidRPr="00E72418">
        <w:rPr>
          <w:rStyle w:val="Appelnotedebasdep"/>
          <w:rFonts w:ascii="Times New Roman" w:hAnsi="Times New Roman" w:cs="Times New Roman"/>
          <w:szCs w:val="24"/>
        </w:rPr>
        <w:footnoteReference w:id="244"/>
      </w:r>
      <w:r w:rsidRPr="00E72418">
        <w:rPr>
          <w:rFonts w:ascii="Times New Roman" w:hAnsi="Times New Roman" w:cs="Times New Roman"/>
          <w:szCs w:val="24"/>
        </w:rPr>
        <w:t>.</w:t>
      </w:r>
    </w:p>
    <w:p w14:paraId="2A38CA3E" w14:textId="3081D89C" w:rsidR="00FC3AC2" w:rsidRPr="00E72418" w:rsidRDefault="00FC3AC2" w:rsidP="00FC3AC2">
      <w:pPr>
        <w:spacing w:line="276" w:lineRule="auto"/>
      </w:pPr>
      <w:r w:rsidRPr="00E72418">
        <w:t xml:space="preserve">Remarquons encore la récente </w:t>
      </w:r>
      <w:r w:rsidRPr="00E72418">
        <w:rPr>
          <w:i/>
        </w:rPr>
        <w:t>Debt Service Suspension Initiative</w:t>
      </w:r>
      <w:r w:rsidRPr="00E72418">
        <w:t xml:space="preserve"> du G20 et du Club de Paris</w:t>
      </w:r>
      <w:r w:rsidR="00C5393D" w:rsidRPr="00E72418">
        <w:t>,</w:t>
      </w:r>
      <w:r w:rsidRPr="00E72418">
        <w:t xml:space="preserve"> suite à la pandémie mondiale de coronavirus</w:t>
      </w:r>
      <w:r w:rsidRPr="00E72418">
        <w:rPr>
          <w:rStyle w:val="Appelnotedebasdep"/>
          <w:rFonts w:ascii="Times New Roman" w:hAnsi="Times New Roman" w:cs="Times New Roman"/>
          <w:szCs w:val="24"/>
        </w:rPr>
        <w:footnoteReference w:id="245"/>
      </w:r>
      <w:r w:rsidRPr="00E72418">
        <w:t xml:space="preserve">. Cette Initiative, </w:t>
      </w:r>
      <w:r w:rsidR="00C5393D" w:rsidRPr="00E72418">
        <w:t>encouragée par la Banque mondiale et le Fonds monétaire international</w:t>
      </w:r>
      <w:r w:rsidRPr="00E72418">
        <w:t xml:space="preserve"> en pleine crise pandémique, vise à la suspension</w:t>
      </w:r>
      <w:r w:rsidR="00C5393D" w:rsidRPr="00E72418">
        <w:t xml:space="preserve"> temporaire</w:t>
      </w:r>
      <w:r w:rsidRPr="00E72418">
        <w:t xml:space="preserve"> du service de la dette de septante-trois pays</w:t>
      </w:r>
      <w:r w:rsidR="00C5393D" w:rsidRPr="00E72418">
        <w:t xml:space="preserve"> due à des créanciers bilatéraux</w:t>
      </w:r>
      <w:r w:rsidR="00C5393D" w:rsidRPr="00E72418">
        <w:rPr>
          <w:rStyle w:val="Appelnotedebasdep"/>
        </w:rPr>
        <w:footnoteReference w:id="246"/>
      </w:r>
      <w:r w:rsidR="00C5393D" w:rsidRPr="00E72418">
        <w:t>. Les pays éligibles doivent la solliciter</w:t>
      </w:r>
      <w:r w:rsidRPr="00E72418">
        <w:t xml:space="preserve"> et s’</w:t>
      </w:r>
      <w:r w:rsidR="00C5393D" w:rsidRPr="00E72418">
        <w:t>engager</w:t>
      </w:r>
      <w:r w:rsidRPr="00E72418">
        <w:t xml:space="preserve"> à utiliser les marges budgétaires permises par cette suspension afin de répondre à la crise</w:t>
      </w:r>
      <w:r w:rsidRPr="00E72418">
        <w:rPr>
          <w:rStyle w:val="Appelnotedebasdep"/>
          <w:rFonts w:ascii="Times New Roman" w:hAnsi="Times New Roman" w:cs="Times New Roman"/>
          <w:szCs w:val="24"/>
        </w:rPr>
        <w:footnoteReference w:id="247"/>
      </w:r>
      <w:r w:rsidRPr="00E72418">
        <w:t xml:space="preserve">. Notons que la </w:t>
      </w:r>
      <w:r w:rsidRPr="00E72418">
        <w:rPr>
          <w:i/>
        </w:rPr>
        <w:t>Debt Service Suspension Initiative</w:t>
      </w:r>
      <w:r w:rsidRPr="00E72418">
        <w:t xml:space="preserve"> n’a pas en tant que telle l’ambition de répondre à des situations de dettes insoutenables mais qu’elle vise plutôt à </w:t>
      </w:r>
      <w:r w:rsidR="00606F0E" w:rsidRPr="00E72418">
        <w:t>satisfaire des</w:t>
      </w:r>
      <w:r w:rsidRPr="00E72418">
        <w:t xml:space="preserve"> besoins urgents de liquidités utiles à des pays pauvres afin de faire face aux conséquences de la pandémie</w:t>
      </w:r>
      <w:r w:rsidRPr="00E72418">
        <w:rPr>
          <w:rStyle w:val="Appelnotedebasdep"/>
        </w:rPr>
        <w:footnoteReference w:id="248"/>
      </w:r>
      <w:r w:rsidRPr="00E72418">
        <w:t xml:space="preserve">. Cependant, </w:t>
      </w:r>
      <w:r w:rsidR="0023481E" w:rsidRPr="00E72418">
        <w:t>dans la foulée</w:t>
      </w:r>
      <w:r w:rsidRPr="00E72418">
        <w:t xml:space="preserve"> de cette Initiative, les </w:t>
      </w:r>
      <w:r w:rsidRPr="00E72418">
        <w:lastRenderedPageBreak/>
        <w:t xml:space="preserve">membres du G20 et du Club de Paris </w:t>
      </w:r>
      <w:r w:rsidR="0023481E" w:rsidRPr="00E72418">
        <w:t>allèrent en quelque sorte plus loin dans la poursuite de la soutenabilité de la dette en adoptant</w:t>
      </w:r>
      <w:r w:rsidRPr="00E72418">
        <w:t xml:space="preserve"> un </w:t>
      </w:r>
      <w:r w:rsidR="0023481E" w:rsidRPr="00E72418">
        <w:t>« Common Framework for Debt Treatments beyond the DSSI » visant à « facilitate timely and orderly debt treatment for DSSI-eligible countries, with broad creditors’ participation including the private sector »</w:t>
      </w:r>
      <w:r w:rsidR="0023481E" w:rsidRPr="00E72418">
        <w:rPr>
          <w:rStyle w:val="Appelnotedebasdep"/>
        </w:rPr>
        <w:footnoteReference w:id="249"/>
      </w:r>
      <w:r w:rsidR="00C5393D" w:rsidRPr="00E72418">
        <w:t>.</w:t>
      </w:r>
    </w:p>
    <w:p w14:paraId="10405109" w14:textId="3986A94B" w:rsidR="007C57EF" w:rsidRPr="00E72418" w:rsidRDefault="007C57EF" w:rsidP="00423B60"/>
    <w:p w14:paraId="0E718609" w14:textId="69649CB5" w:rsidR="007C57EF" w:rsidRPr="00E72418" w:rsidRDefault="000764CE" w:rsidP="00CC4BA8">
      <w:pPr>
        <w:pStyle w:val="EE"/>
        <w:spacing w:line="276" w:lineRule="auto"/>
        <w:jc w:val="both"/>
        <w:rPr>
          <w:rStyle w:val="Lienhypertexte"/>
          <w:color w:val="auto"/>
        </w:rPr>
      </w:pPr>
      <w:bookmarkStart w:id="40" w:name="_Toc59280879"/>
      <w:bookmarkStart w:id="41" w:name="_Toc84540870"/>
      <w:r w:rsidRPr="00E72418">
        <w:rPr>
          <w:rStyle w:val="Lienhypertexte"/>
          <w:color w:val="auto"/>
        </w:rPr>
        <w:t xml:space="preserve">Sous-section 2 : </w:t>
      </w:r>
      <w:r w:rsidR="00B05967" w:rsidRPr="00E72418">
        <w:rPr>
          <w:rStyle w:val="Lienhypertexte"/>
          <w:color w:val="auto"/>
        </w:rPr>
        <w:t>Un groupe important,</w:t>
      </w:r>
      <w:r w:rsidR="007C57EF" w:rsidRPr="00E72418">
        <w:rPr>
          <w:rStyle w:val="Lienhypertexte"/>
          <w:color w:val="auto"/>
        </w:rPr>
        <w:t xml:space="preserve"> le Club de Paris</w:t>
      </w:r>
      <w:bookmarkEnd w:id="40"/>
      <w:bookmarkEnd w:id="41"/>
    </w:p>
    <w:p w14:paraId="094B3788" w14:textId="77777777" w:rsidR="009554DA" w:rsidRPr="00E72418" w:rsidRDefault="009554DA" w:rsidP="00423B60">
      <w:pPr>
        <w:rPr>
          <w:rStyle w:val="Lienhypertexte"/>
          <w:color w:val="auto"/>
        </w:rPr>
      </w:pPr>
    </w:p>
    <w:p w14:paraId="296BFCE9" w14:textId="745AA200" w:rsidR="007C57EF" w:rsidRPr="00E72418" w:rsidRDefault="007F038F" w:rsidP="00CC4BA8">
      <w:pPr>
        <w:spacing w:line="276" w:lineRule="auto"/>
        <w:rPr>
          <w:rFonts w:cs="Times New Roman"/>
          <w:szCs w:val="24"/>
          <w:shd w:val="clear" w:color="auto" w:fill="FFFFFF"/>
        </w:rPr>
      </w:pPr>
      <w:r w:rsidRPr="00E72418">
        <w:rPr>
          <w:b/>
        </w:rPr>
        <w:t>48</w:t>
      </w:r>
      <w:r w:rsidR="007E31CD" w:rsidRPr="00E72418">
        <w:rPr>
          <w:b/>
        </w:rPr>
        <w:t xml:space="preserve">. </w:t>
      </w:r>
      <w:r w:rsidR="007C57EF" w:rsidRPr="00E72418">
        <w:rPr>
          <w:b/>
        </w:rPr>
        <w:t xml:space="preserve">Le rôle et la composition – </w:t>
      </w:r>
      <w:r w:rsidR="007C57EF" w:rsidRPr="00E72418">
        <w:t>Créé en 1956, l</w:t>
      </w:r>
      <w:r w:rsidR="007C57EF" w:rsidRPr="00E72418">
        <w:rPr>
          <w:rFonts w:cs="Times New Roman"/>
          <w:szCs w:val="24"/>
          <w:shd w:val="clear" w:color="auto" w:fill="FFFFFF"/>
        </w:rPr>
        <w:t>e Club de Paris est un groupe informel de créanciers publics</w:t>
      </w:r>
      <w:r w:rsidR="00B05967" w:rsidRPr="00E72418">
        <w:rPr>
          <w:rFonts w:cs="Times New Roman"/>
          <w:szCs w:val="24"/>
          <w:shd w:val="clear" w:color="auto" w:fill="FFFFFF"/>
        </w:rPr>
        <w:t xml:space="preserve"> dont le rôle</w:t>
      </w:r>
      <w:r w:rsidR="007C57EF" w:rsidRPr="00E72418">
        <w:rPr>
          <w:rFonts w:cs="Times New Roman"/>
          <w:szCs w:val="24"/>
          <w:shd w:val="clear" w:color="auto" w:fill="FFFFFF"/>
        </w:rPr>
        <w:t xml:space="preserve"> est de trouver des solutions coordonnées et durables aux difficultés de paiement de </w:t>
      </w:r>
      <w:r w:rsidR="00B05967" w:rsidRPr="00E72418">
        <w:rPr>
          <w:rFonts w:cs="Times New Roman"/>
          <w:szCs w:val="24"/>
          <w:shd w:val="clear" w:color="auto" w:fill="FFFFFF"/>
        </w:rPr>
        <w:t>leurs débiteurs souverains</w:t>
      </w:r>
      <w:r w:rsidR="007C57EF" w:rsidRPr="00E72418">
        <w:rPr>
          <w:rStyle w:val="Appelnotedebasdep"/>
          <w:rFonts w:cs="Times New Roman"/>
          <w:szCs w:val="24"/>
          <w:shd w:val="clear" w:color="auto" w:fill="FFFFFF"/>
        </w:rPr>
        <w:footnoteReference w:id="250"/>
      </w:r>
      <w:r w:rsidR="007C57EF" w:rsidRPr="00E72418">
        <w:rPr>
          <w:rFonts w:cs="Times New Roman"/>
          <w:szCs w:val="24"/>
          <w:shd w:val="clear" w:color="auto" w:fill="FFFFFF"/>
        </w:rPr>
        <w:t xml:space="preserve">. Pour ce faire, les créanciers composant le Club peuvent </w:t>
      </w:r>
      <w:r w:rsidR="007C57EF" w:rsidRPr="00E72418">
        <w:rPr>
          <w:rFonts w:cs="Times New Roman"/>
          <w:shd w:val="clear" w:color="auto" w:fill="FFFFFF"/>
        </w:rPr>
        <w:t xml:space="preserve">accorder à leurs débiteurs un allègement de dette </w:t>
      </w:r>
      <w:r w:rsidR="00B05967" w:rsidRPr="00E72418">
        <w:rPr>
          <w:rFonts w:cs="Times New Roman"/>
          <w:shd w:val="clear" w:color="auto" w:fill="FFFFFF"/>
        </w:rPr>
        <w:t>afin de</w:t>
      </w:r>
      <w:r w:rsidR="007C57EF" w:rsidRPr="00E72418">
        <w:rPr>
          <w:rFonts w:cs="Times New Roman"/>
          <w:shd w:val="clear" w:color="auto" w:fill="FFFFFF"/>
        </w:rPr>
        <w:t xml:space="preserve"> les aider à rétablir leur situation </w:t>
      </w:r>
      <w:r w:rsidR="007C57EF" w:rsidRPr="00E72418">
        <w:t>financière</w:t>
      </w:r>
      <w:r w:rsidR="007C57EF" w:rsidRPr="00E72418">
        <w:rPr>
          <w:rStyle w:val="Appelnotedebasdep"/>
        </w:rPr>
        <w:footnoteReference w:id="251"/>
      </w:r>
      <w:r w:rsidR="007C57EF" w:rsidRPr="00E72418">
        <w:t xml:space="preserve">. </w:t>
      </w:r>
      <w:r w:rsidR="007C57EF" w:rsidRPr="00E72418">
        <w:rPr>
          <w:rFonts w:cs="Times New Roman"/>
          <w:szCs w:val="24"/>
          <w:shd w:val="clear" w:color="auto" w:fill="FFFFFF"/>
        </w:rPr>
        <w:t>Le Club de Paris ne traite que des dettes publiques bilatérales, à savoir</w:t>
      </w:r>
      <w:r w:rsidR="00EA3447" w:rsidRPr="00E72418">
        <w:rPr>
          <w:rFonts w:cs="Times New Roman"/>
          <w:szCs w:val="24"/>
          <w:shd w:val="clear" w:color="auto" w:fill="FFFFFF"/>
        </w:rPr>
        <w:t xml:space="preserve"> donc</w:t>
      </w:r>
      <w:r w:rsidR="007C57EF" w:rsidRPr="00E72418">
        <w:rPr>
          <w:rFonts w:cs="Times New Roman"/>
          <w:szCs w:val="24"/>
          <w:shd w:val="clear" w:color="auto" w:fill="FFFFFF"/>
        </w:rPr>
        <w:t xml:space="preserve"> celles dont sont </w:t>
      </w:r>
      <w:r w:rsidR="00B05967" w:rsidRPr="00E72418">
        <w:rPr>
          <w:rFonts w:cs="Times New Roman"/>
          <w:szCs w:val="24"/>
          <w:shd w:val="clear" w:color="auto" w:fill="FFFFFF"/>
        </w:rPr>
        <w:t xml:space="preserve">débiteurs </w:t>
      </w:r>
      <w:r w:rsidR="007C57EF" w:rsidRPr="00E72418">
        <w:rPr>
          <w:rFonts w:cs="Times New Roman"/>
          <w:szCs w:val="24"/>
          <w:shd w:val="clear" w:color="auto" w:fill="FFFFFF"/>
        </w:rPr>
        <w:t xml:space="preserve">des </w:t>
      </w:r>
      <w:r w:rsidR="007C57EF" w:rsidRPr="00E72418">
        <w:rPr>
          <w:lang w:eastAsia="fr-BE"/>
        </w:rPr>
        <w:t>É</w:t>
      </w:r>
      <w:r w:rsidR="007C57EF" w:rsidRPr="00E72418">
        <w:rPr>
          <w:rFonts w:cs="Times New Roman"/>
          <w:szCs w:val="24"/>
          <w:shd w:val="clear" w:color="auto" w:fill="FFFFFF"/>
        </w:rPr>
        <w:t>tats ou certaines de leurs institutions publiques comme par exemple leur banque centrale</w:t>
      </w:r>
      <w:r w:rsidR="007C57EF" w:rsidRPr="00E72418">
        <w:rPr>
          <w:rStyle w:val="Appelnotedebasdep"/>
          <w:rFonts w:cs="Times New Roman"/>
          <w:szCs w:val="24"/>
          <w:shd w:val="clear" w:color="auto" w:fill="FFFFFF"/>
        </w:rPr>
        <w:footnoteReference w:id="252"/>
      </w:r>
      <w:r w:rsidR="007C57EF" w:rsidRPr="00E72418">
        <w:rPr>
          <w:rFonts w:cs="Times New Roman"/>
          <w:szCs w:val="24"/>
          <w:shd w:val="clear" w:color="auto" w:fill="FFFFFF"/>
        </w:rPr>
        <w:t>.</w:t>
      </w:r>
      <w:r w:rsidR="00EA3447" w:rsidRPr="00E72418">
        <w:rPr>
          <w:rFonts w:cs="Times New Roman"/>
          <w:szCs w:val="24"/>
          <w:shd w:val="clear" w:color="auto" w:fill="FFFFFF"/>
        </w:rPr>
        <w:t xml:space="preserve"> </w:t>
      </w:r>
      <w:r w:rsidR="00EA3447" w:rsidRPr="00E72418">
        <w:rPr>
          <w:rStyle w:val="SansinterligneCar"/>
          <w:sz w:val="24"/>
          <w:szCs w:val="24"/>
        </w:rPr>
        <w:t>Le processus mené par le Club de Paris n’englobe ni les dettes publiques multilatérales ni les dettes privées.</w:t>
      </w:r>
    </w:p>
    <w:p w14:paraId="2ED23596" w14:textId="26387632" w:rsidR="007C57EF" w:rsidRPr="00E72418" w:rsidRDefault="007C57EF" w:rsidP="00CC4BA8">
      <w:pPr>
        <w:spacing w:line="276" w:lineRule="auto"/>
        <w:rPr>
          <w:shd w:val="clear" w:color="auto" w:fill="FFFFFF"/>
        </w:rPr>
      </w:pPr>
      <w:r w:rsidRPr="00E72418">
        <w:rPr>
          <w:shd w:val="clear" w:color="auto" w:fill="FFFFFF"/>
        </w:rPr>
        <w:t>Le Club de Paris est composé de</w:t>
      </w:r>
      <w:r w:rsidR="0087482F" w:rsidRPr="00E72418">
        <w:rPr>
          <w:shd w:val="clear" w:color="auto" w:fill="FFFFFF"/>
        </w:rPr>
        <w:t xml:space="preserve"> vingt-deux membres permanents compta</w:t>
      </w:r>
      <w:r w:rsidRPr="00E72418">
        <w:rPr>
          <w:shd w:val="clear" w:color="auto" w:fill="FFFFFF"/>
        </w:rPr>
        <w:t xml:space="preserve">nt d’importants acteurs financiers comme notamment l’Allemagne, les </w:t>
      </w:r>
      <w:r w:rsidRPr="00E72418">
        <w:rPr>
          <w:lang w:eastAsia="fr-BE"/>
        </w:rPr>
        <w:t>É</w:t>
      </w:r>
      <w:r w:rsidRPr="00E72418">
        <w:rPr>
          <w:shd w:val="clear" w:color="auto" w:fill="FFFFFF"/>
        </w:rPr>
        <w:t xml:space="preserve">tats-Unis, la Fédération de Russie, la France ou encore le Royaume-Uni. Fort de cette composition, le Club jouit d’une considérable influence qu’il met en général au service de la persuasion des autres créanciers </w:t>
      </w:r>
      <w:r w:rsidR="00F16DA9" w:rsidRPr="00E72418">
        <w:rPr>
          <w:shd w:val="clear" w:color="auto" w:fill="FFFFFF"/>
        </w:rPr>
        <w:t xml:space="preserve">publics et privés </w:t>
      </w:r>
      <w:r w:rsidRPr="00E72418">
        <w:rPr>
          <w:shd w:val="clear" w:color="auto" w:fill="FFFFFF"/>
        </w:rPr>
        <w:t xml:space="preserve">d’accorder </w:t>
      </w:r>
      <w:r w:rsidR="0087482F" w:rsidRPr="00E72418">
        <w:rPr>
          <w:shd w:val="clear" w:color="auto" w:fill="FFFFFF"/>
        </w:rPr>
        <w:t xml:space="preserve">des </w:t>
      </w:r>
      <w:r w:rsidRPr="00E72418">
        <w:rPr>
          <w:shd w:val="clear" w:color="auto" w:fill="FFFFFF"/>
        </w:rPr>
        <w:t xml:space="preserve">allègements et restructurations aux </w:t>
      </w:r>
      <w:r w:rsidR="0087482F" w:rsidRPr="00E72418">
        <w:rPr>
          <w:lang w:eastAsia="fr-BE"/>
        </w:rPr>
        <w:t>É</w:t>
      </w:r>
      <w:r w:rsidR="0087482F" w:rsidRPr="00E72418">
        <w:rPr>
          <w:shd w:val="clear" w:color="auto" w:fill="FFFFFF"/>
        </w:rPr>
        <w:t xml:space="preserve">tats </w:t>
      </w:r>
      <w:r w:rsidRPr="00E72418">
        <w:rPr>
          <w:shd w:val="clear" w:color="auto" w:fill="FFFFFF"/>
        </w:rPr>
        <w:t>en difficulté</w:t>
      </w:r>
      <w:r w:rsidR="0087482F" w:rsidRPr="00E72418">
        <w:rPr>
          <w:shd w:val="clear" w:color="auto" w:fill="FFFFFF"/>
        </w:rPr>
        <w:t xml:space="preserve"> financière</w:t>
      </w:r>
      <w:r w:rsidRPr="00E72418">
        <w:rPr>
          <w:rStyle w:val="Appelnotedebasdep"/>
          <w:rFonts w:cs="Times New Roman"/>
          <w:szCs w:val="24"/>
          <w:shd w:val="clear" w:color="auto" w:fill="FFFFFF"/>
        </w:rPr>
        <w:footnoteReference w:id="253"/>
      </w:r>
      <w:r w:rsidR="00674C1A" w:rsidRPr="00E72418">
        <w:rPr>
          <w:shd w:val="clear" w:color="auto" w:fill="FFFFFF"/>
        </w:rPr>
        <w:t xml:space="preserve">. </w:t>
      </w:r>
      <w:r w:rsidR="00674C1A" w:rsidRPr="00E72418">
        <w:t>À</w:t>
      </w:r>
      <w:r w:rsidRPr="00E72418">
        <w:rPr>
          <w:shd w:val="clear" w:color="auto" w:fill="FFFFFF"/>
        </w:rPr>
        <w:t xml:space="preserve"> côté de l’implication des membres permanents, d’autres </w:t>
      </w:r>
      <w:r w:rsidRPr="00E72418">
        <w:rPr>
          <w:lang w:eastAsia="fr-BE"/>
        </w:rPr>
        <w:t>É</w:t>
      </w:r>
      <w:r w:rsidRPr="00E72418">
        <w:rPr>
          <w:shd w:val="clear" w:color="auto" w:fill="FFFFFF"/>
        </w:rPr>
        <w:t xml:space="preserve">tats créanciers peuvent participer sur base ponctuelle aux négociations tout comme peuvent y assister en tant qu’observateurs des </w:t>
      </w:r>
      <w:r w:rsidRPr="00E72418">
        <w:rPr>
          <w:lang w:eastAsia="fr-BE"/>
        </w:rPr>
        <w:t>É</w:t>
      </w:r>
      <w:r w:rsidRPr="00E72418">
        <w:rPr>
          <w:shd w:val="clear" w:color="auto" w:fill="FFFFFF"/>
        </w:rPr>
        <w:t>tats et des institutions internationales, comme par exemple le Fonds monétaire</w:t>
      </w:r>
      <w:r w:rsidR="000652ED" w:rsidRPr="00E72418">
        <w:rPr>
          <w:shd w:val="clear" w:color="auto" w:fill="FFFFFF"/>
        </w:rPr>
        <w:t xml:space="preserve"> international</w:t>
      </w:r>
      <w:r w:rsidRPr="00E72418">
        <w:rPr>
          <w:shd w:val="clear" w:color="auto" w:fill="FFFFFF"/>
        </w:rPr>
        <w:t xml:space="preserve"> ou encore la Banque mondiale</w:t>
      </w:r>
      <w:r w:rsidRPr="00E72418">
        <w:rPr>
          <w:rStyle w:val="Appelnotedebasdep"/>
          <w:rFonts w:cs="Times New Roman"/>
          <w:szCs w:val="24"/>
          <w:shd w:val="clear" w:color="auto" w:fill="FFFFFF"/>
        </w:rPr>
        <w:footnoteReference w:id="254"/>
      </w:r>
      <w:r w:rsidRPr="00E72418">
        <w:rPr>
          <w:szCs w:val="24"/>
          <w:shd w:val="clear" w:color="auto" w:fill="FFFFFF"/>
        </w:rPr>
        <w:t>.</w:t>
      </w:r>
      <w:r w:rsidR="0087482F" w:rsidRPr="00E72418">
        <w:rPr>
          <w:szCs w:val="24"/>
          <w:shd w:val="clear" w:color="auto" w:fill="FFFFFF"/>
        </w:rPr>
        <w:t xml:space="preserve"> </w:t>
      </w:r>
      <w:r w:rsidR="0087482F" w:rsidRPr="00E72418">
        <w:rPr>
          <w:rStyle w:val="SansinterligneCar"/>
          <w:sz w:val="24"/>
          <w:szCs w:val="24"/>
        </w:rPr>
        <w:t xml:space="preserve">Les créanciers privés des </w:t>
      </w:r>
      <w:r w:rsidR="0087482F" w:rsidRPr="00E72418">
        <w:rPr>
          <w:szCs w:val="24"/>
        </w:rPr>
        <w:t>É</w:t>
      </w:r>
      <w:r w:rsidR="0087482F" w:rsidRPr="00E72418">
        <w:rPr>
          <w:rStyle w:val="SansinterligneCar"/>
          <w:sz w:val="24"/>
          <w:szCs w:val="24"/>
        </w:rPr>
        <w:t>tats débiteurs sont quant à eux absents des réunions</w:t>
      </w:r>
      <w:r w:rsidR="0087482F" w:rsidRPr="00E72418">
        <w:rPr>
          <w:rStyle w:val="Appelnotedebasdep"/>
          <w:szCs w:val="24"/>
        </w:rPr>
        <w:footnoteReference w:id="255"/>
      </w:r>
      <w:r w:rsidR="0087482F" w:rsidRPr="00E72418">
        <w:rPr>
          <w:rStyle w:val="SansinterligneCar"/>
          <w:sz w:val="24"/>
          <w:szCs w:val="24"/>
        </w:rPr>
        <w:t>.</w:t>
      </w:r>
    </w:p>
    <w:p w14:paraId="3226CB7C" w14:textId="70535233" w:rsidR="007C57EF" w:rsidRPr="00E72418" w:rsidRDefault="007F038F" w:rsidP="00CC4BA8">
      <w:pPr>
        <w:spacing w:line="276" w:lineRule="auto"/>
      </w:pPr>
      <w:r w:rsidRPr="00E72418">
        <w:rPr>
          <w:b/>
        </w:rPr>
        <w:lastRenderedPageBreak/>
        <w:t>49</w:t>
      </w:r>
      <w:r w:rsidR="007E31CD" w:rsidRPr="00E72418">
        <w:rPr>
          <w:b/>
        </w:rPr>
        <w:t xml:space="preserve">. </w:t>
      </w:r>
      <w:r w:rsidR="007C57EF" w:rsidRPr="00E72418">
        <w:rPr>
          <w:b/>
        </w:rPr>
        <w:t xml:space="preserve">Le fonctionnement – </w:t>
      </w:r>
      <w:r w:rsidR="007C57EF" w:rsidRPr="00E72418">
        <w:rPr>
          <w:shd w:val="clear" w:color="auto" w:fill="FFFFFF"/>
        </w:rPr>
        <w:t>La saisine du Club de Paris dépend</w:t>
      </w:r>
      <w:r w:rsidR="00A834EA" w:rsidRPr="00E72418">
        <w:rPr>
          <w:shd w:val="clear" w:color="auto" w:fill="FFFFFF"/>
        </w:rPr>
        <w:t>, dans une logique de respect de leur souveraineté,</w:t>
      </w:r>
      <w:r w:rsidR="007C57EF" w:rsidRPr="00E72418">
        <w:rPr>
          <w:shd w:val="clear" w:color="auto" w:fill="FFFFFF"/>
        </w:rPr>
        <w:t xml:space="preserve"> de la seule initiative des </w:t>
      </w:r>
      <w:r w:rsidR="007C57EF" w:rsidRPr="00E72418">
        <w:rPr>
          <w:lang w:eastAsia="fr-BE"/>
        </w:rPr>
        <w:t>É</w:t>
      </w:r>
      <w:r w:rsidR="00A834EA" w:rsidRPr="00E72418">
        <w:rPr>
          <w:shd w:val="clear" w:color="auto" w:fill="FFFFFF"/>
        </w:rPr>
        <w:t>tats débiteurs</w:t>
      </w:r>
      <w:r w:rsidR="007C57EF" w:rsidRPr="00E72418">
        <w:rPr>
          <w:rStyle w:val="Appelnotedebasdep"/>
          <w:rFonts w:cs="Times New Roman"/>
          <w:szCs w:val="24"/>
          <w:shd w:val="clear" w:color="auto" w:fill="FFFFFF"/>
        </w:rPr>
        <w:footnoteReference w:id="256"/>
      </w:r>
      <w:r w:rsidR="007C57EF" w:rsidRPr="00E72418">
        <w:rPr>
          <w:shd w:val="clear" w:color="auto" w:fill="FFFFFF"/>
        </w:rPr>
        <w:t>. Quoique</w:t>
      </w:r>
      <w:r w:rsidR="007C57EF" w:rsidRPr="00E72418">
        <w:t xml:space="preserve"> l</w:t>
      </w:r>
      <w:r w:rsidR="007C57EF" w:rsidRPr="00E72418">
        <w:rPr>
          <w:shd w:val="clear" w:color="auto" w:fill="FFFFFF"/>
        </w:rPr>
        <w:t>e Club n’est régi par aucune règle conventionnelle particulière</w:t>
      </w:r>
      <w:r w:rsidR="00A834EA" w:rsidRPr="00E72418">
        <w:rPr>
          <w:shd w:val="clear" w:color="auto" w:fill="FFFFFF"/>
        </w:rPr>
        <w:t>,</w:t>
      </w:r>
      <w:r w:rsidR="007C57EF" w:rsidRPr="00E72418">
        <w:rPr>
          <w:shd w:val="clear" w:color="auto" w:fill="FFFFFF"/>
        </w:rPr>
        <w:t xml:space="preserve"> six principes guident toutefois son action. Il s’agit précisément de la solidarité, du consensus, du partage d’information, de la décision au cas par cas, de la conditionnalité et de la comparabilité de traitement</w:t>
      </w:r>
      <w:r w:rsidR="007C57EF" w:rsidRPr="00E72418">
        <w:rPr>
          <w:rStyle w:val="Appelnotedebasdep"/>
          <w:rFonts w:cs="Times New Roman"/>
          <w:szCs w:val="24"/>
          <w:shd w:val="clear" w:color="auto" w:fill="FFFFFF"/>
        </w:rPr>
        <w:footnoteReference w:id="257"/>
      </w:r>
      <w:r w:rsidR="007C57EF" w:rsidRPr="00E72418">
        <w:rPr>
          <w:shd w:val="clear" w:color="auto" w:fill="FFFFFF"/>
        </w:rPr>
        <w:t xml:space="preserve">. </w:t>
      </w:r>
      <w:r w:rsidR="007C57EF" w:rsidRPr="00E72418">
        <w:t xml:space="preserve">Les conclusions du processus poursuivi par le Club de Paris vont être reprises dans des accords bilatéraux secrets de consolidation de dettes entre chaque </w:t>
      </w:r>
      <w:r w:rsidR="007C57EF" w:rsidRPr="00E72418">
        <w:rPr>
          <w:lang w:eastAsia="fr-BE"/>
        </w:rPr>
        <w:t>É</w:t>
      </w:r>
      <w:r w:rsidR="007C57EF" w:rsidRPr="00E72418">
        <w:t>tat créancier et l’</w:t>
      </w:r>
      <w:r w:rsidR="007C57EF" w:rsidRPr="00E72418">
        <w:rPr>
          <w:lang w:eastAsia="fr-BE"/>
        </w:rPr>
        <w:t>É</w:t>
      </w:r>
      <w:r w:rsidR="007C57EF" w:rsidRPr="00E72418">
        <w:t>tat débiteur</w:t>
      </w:r>
      <w:r w:rsidR="007C57EF" w:rsidRPr="00E72418">
        <w:rPr>
          <w:rStyle w:val="Appelnotedebasdep"/>
        </w:rPr>
        <w:footnoteReference w:id="258"/>
      </w:r>
      <w:r w:rsidR="007C57EF" w:rsidRPr="00E72418">
        <w:t xml:space="preserve">. </w:t>
      </w:r>
    </w:p>
    <w:p w14:paraId="1559353B" w14:textId="77777777" w:rsidR="007C57EF" w:rsidRPr="00E72418" w:rsidRDefault="007C57EF" w:rsidP="00423B60">
      <w:pPr>
        <w:rPr>
          <w:shd w:val="clear" w:color="auto" w:fill="FFFFFF"/>
        </w:rPr>
      </w:pPr>
    </w:p>
    <w:p w14:paraId="1A5BE277" w14:textId="6A268C8F" w:rsidR="007C57EF" w:rsidRPr="00E72418" w:rsidRDefault="007F038F" w:rsidP="00CC4BA8">
      <w:pPr>
        <w:spacing w:line="276" w:lineRule="auto"/>
      </w:pPr>
      <w:r w:rsidRPr="00E72418">
        <w:rPr>
          <w:b/>
          <w:shd w:val="clear" w:color="auto" w:fill="FFFFFF"/>
        </w:rPr>
        <w:t>50</w:t>
      </w:r>
      <w:r w:rsidR="007E31CD" w:rsidRPr="00E72418">
        <w:rPr>
          <w:b/>
          <w:shd w:val="clear" w:color="auto" w:fill="FFFFFF"/>
        </w:rPr>
        <w:t xml:space="preserve">. </w:t>
      </w:r>
      <w:r w:rsidR="007C57EF" w:rsidRPr="00E72418">
        <w:rPr>
          <w:b/>
          <w:shd w:val="clear" w:color="auto" w:fill="FFFFFF"/>
        </w:rPr>
        <w:t xml:space="preserve">Le principe de la comparabilité de traitement </w:t>
      </w:r>
      <w:r w:rsidR="007C57EF" w:rsidRPr="00E72418">
        <w:rPr>
          <w:b/>
        </w:rPr>
        <w:t xml:space="preserve">– </w:t>
      </w:r>
      <w:r w:rsidR="007C57EF" w:rsidRPr="00E72418">
        <w:rPr>
          <w:shd w:val="clear" w:color="auto" w:fill="FFFFFF"/>
        </w:rPr>
        <w:t>Le principe de la comparabilité de traitement gui</w:t>
      </w:r>
      <w:r w:rsidR="00163B23" w:rsidRPr="00E72418">
        <w:rPr>
          <w:shd w:val="clear" w:color="auto" w:fill="FFFFFF"/>
        </w:rPr>
        <w:t>dant</w:t>
      </w:r>
      <w:r w:rsidR="007C57EF" w:rsidRPr="00E72418">
        <w:rPr>
          <w:shd w:val="clear" w:color="auto" w:fill="FFFFFF"/>
        </w:rPr>
        <w:t xml:space="preserve"> l’action du Club de Paris est d’une importance majeure pour l’objet de notr</w:t>
      </w:r>
      <w:r w:rsidR="00A834EA" w:rsidRPr="00E72418">
        <w:rPr>
          <w:shd w:val="clear" w:color="auto" w:fill="FFFFFF"/>
        </w:rPr>
        <w:t>e recherche. Il implique que l’</w:t>
      </w:r>
      <w:r w:rsidR="00A834EA" w:rsidRPr="00E72418">
        <w:rPr>
          <w:lang w:eastAsia="fr-BE"/>
        </w:rPr>
        <w:t>É</w:t>
      </w:r>
      <w:r w:rsidR="00A834EA" w:rsidRPr="00E72418">
        <w:t>tat</w:t>
      </w:r>
      <w:r w:rsidR="00A834EA" w:rsidRPr="00E72418">
        <w:rPr>
          <w:shd w:val="clear" w:color="auto" w:fill="FFFFFF"/>
        </w:rPr>
        <w:t xml:space="preserve"> </w:t>
      </w:r>
      <w:r w:rsidR="007C57EF" w:rsidRPr="00E72418">
        <w:rPr>
          <w:shd w:val="clear" w:color="auto" w:fill="FFFFFF"/>
        </w:rPr>
        <w:t>débiteur qui signe un accord avec les créanciers du Club s’engage à ne pas accepter de ses autres créanciers un traitement de sa dette selon des termes moins favorables que ceux agréés dans le cadre du Club de Paris</w:t>
      </w:r>
      <w:r w:rsidR="007C57EF" w:rsidRPr="00E72418">
        <w:rPr>
          <w:rStyle w:val="Appelnotedebasdep"/>
          <w:rFonts w:cs="Times New Roman"/>
          <w:szCs w:val="24"/>
          <w:shd w:val="clear" w:color="auto" w:fill="FFFFFF"/>
        </w:rPr>
        <w:footnoteReference w:id="259"/>
      </w:r>
      <w:r w:rsidR="007C57EF" w:rsidRPr="00E72418">
        <w:rPr>
          <w:shd w:val="clear" w:color="auto" w:fill="FFFFFF"/>
        </w:rPr>
        <w:t>. L’objectif de cette clause est doub</w:t>
      </w:r>
      <w:r w:rsidR="00163B23" w:rsidRPr="00E72418">
        <w:rPr>
          <w:shd w:val="clear" w:color="auto" w:fill="FFFFFF"/>
        </w:rPr>
        <w:t>le ;</w:t>
      </w:r>
      <w:r w:rsidR="00A834EA" w:rsidRPr="00E72418">
        <w:rPr>
          <w:shd w:val="clear" w:color="auto" w:fill="FFFFFF"/>
        </w:rPr>
        <w:t xml:space="preserve"> elle vise à permettre que l’</w:t>
      </w:r>
      <w:r w:rsidR="00A834EA" w:rsidRPr="00E72418">
        <w:rPr>
          <w:lang w:eastAsia="fr-BE"/>
        </w:rPr>
        <w:t>É</w:t>
      </w:r>
      <w:r w:rsidR="00A834EA" w:rsidRPr="00E72418">
        <w:t>tat</w:t>
      </w:r>
      <w:r w:rsidR="007C57EF" w:rsidRPr="00E72418">
        <w:rPr>
          <w:shd w:val="clear" w:color="auto" w:fill="FFFFFF"/>
        </w:rPr>
        <w:t xml:space="preserve"> bénéficiaire obtienne l’allègement économiquement néce</w:t>
      </w:r>
      <w:r w:rsidR="00163B23" w:rsidRPr="00E72418">
        <w:rPr>
          <w:shd w:val="clear" w:color="auto" w:fill="FFFFFF"/>
        </w:rPr>
        <w:t>ssaire tout autant qu’</w:t>
      </w:r>
      <w:r w:rsidR="007C57EF" w:rsidRPr="00E72418">
        <w:rPr>
          <w:shd w:val="clear" w:color="auto" w:fill="FFFFFF"/>
        </w:rPr>
        <w:t>à éviter que des créanciers adoptent un comportement parasite en cherchant à profiter d’efforts concédés par d’autres</w:t>
      </w:r>
      <w:r w:rsidR="007C57EF" w:rsidRPr="00E72418">
        <w:rPr>
          <w:rStyle w:val="Appelnotedebasdep"/>
          <w:rFonts w:cs="Times New Roman"/>
          <w:szCs w:val="24"/>
          <w:shd w:val="clear" w:color="auto" w:fill="FFFFFF"/>
        </w:rPr>
        <w:footnoteReference w:id="260"/>
      </w:r>
      <w:r w:rsidR="007C57EF" w:rsidRPr="00E72418">
        <w:rPr>
          <w:shd w:val="clear" w:color="auto" w:fill="FFFFFF"/>
        </w:rPr>
        <w:t xml:space="preserve">. </w:t>
      </w:r>
      <w:r w:rsidR="00140B0C" w:rsidRPr="00E72418">
        <w:rPr>
          <w:shd w:val="clear" w:color="auto" w:fill="FFFFFF"/>
        </w:rPr>
        <w:t xml:space="preserve">Schwan </w:t>
      </w:r>
      <w:r w:rsidR="006F5D81" w:rsidRPr="00E72418">
        <w:t xml:space="preserve">Gafari et Arthur </w:t>
      </w:r>
      <w:r w:rsidR="00140B0C" w:rsidRPr="00E72418">
        <w:t>Bauer n</w:t>
      </w:r>
      <w:r w:rsidR="00B167DA" w:rsidRPr="00E72418">
        <w:rPr>
          <w:shd w:val="clear" w:color="auto" w:fill="FFFFFF"/>
        </w:rPr>
        <w:t>otent qu’e</w:t>
      </w:r>
      <w:r w:rsidR="00B167DA" w:rsidRPr="00E72418">
        <w:t>n pratique, le principe de la comparabilité de traitement renforce considérablement la position de négociation de l’</w:t>
      </w:r>
      <w:r w:rsidR="00140B0C" w:rsidRPr="00E72418">
        <w:rPr>
          <w:rFonts w:ascii="Times New Roman" w:hAnsi="Times New Roman" w:cs="Times New Roman"/>
          <w:lang w:eastAsia="fr-BE"/>
        </w:rPr>
        <w:t>É</w:t>
      </w:r>
      <w:r w:rsidR="00B167DA" w:rsidRPr="00E72418">
        <w:t>tat débiteur avec ses autres créanciers et s’avère ainsi être un outil efficace pour assurer une participation des créa</w:t>
      </w:r>
      <w:r w:rsidR="002537A1" w:rsidRPr="00E72418">
        <w:t>nciers privés aux efforts d’allè</w:t>
      </w:r>
      <w:r w:rsidR="00B167DA" w:rsidRPr="00E72418">
        <w:t>gement de dette</w:t>
      </w:r>
      <w:r w:rsidR="00B167DA" w:rsidRPr="00E72418">
        <w:rPr>
          <w:rStyle w:val="Appelnotedebasdep"/>
        </w:rPr>
        <w:footnoteReference w:id="261"/>
      </w:r>
      <w:r w:rsidR="00B167DA" w:rsidRPr="00E72418">
        <w:t>.</w:t>
      </w:r>
    </w:p>
    <w:p w14:paraId="63EB2A28" w14:textId="77777777" w:rsidR="00194C97" w:rsidRPr="00E72418" w:rsidRDefault="00194C97" w:rsidP="00CC4BA8">
      <w:pPr>
        <w:spacing w:line="276" w:lineRule="auto"/>
        <w:rPr>
          <w:shd w:val="clear" w:color="auto" w:fill="FFFFFF"/>
        </w:rPr>
      </w:pPr>
    </w:p>
    <w:p w14:paraId="7782A405" w14:textId="77777777" w:rsidR="00EF6F47" w:rsidRPr="00E72418" w:rsidRDefault="00EF6F47" w:rsidP="00423B60">
      <w:bookmarkStart w:id="42" w:name="_Toc9959281"/>
      <w:bookmarkStart w:id="43" w:name="_Toc15985908"/>
      <w:bookmarkStart w:id="44" w:name="_Toc18328190"/>
    </w:p>
    <w:p w14:paraId="69DB4747" w14:textId="7DF4EAE2" w:rsidR="007C57EF" w:rsidRPr="00E72418" w:rsidRDefault="00DC60C1" w:rsidP="00CC4BA8">
      <w:pPr>
        <w:pStyle w:val="BB"/>
        <w:spacing w:line="276" w:lineRule="auto"/>
      </w:pPr>
      <w:bookmarkStart w:id="45" w:name="_Toc59280882"/>
      <w:bookmarkStart w:id="46" w:name="_Toc75106059"/>
      <w:bookmarkStart w:id="47" w:name="_Toc84540871"/>
      <w:r w:rsidRPr="00E72418">
        <w:t>Deuxième</w:t>
      </w:r>
      <w:r w:rsidR="000764CE" w:rsidRPr="00E72418">
        <w:t xml:space="preserve"> notion</w:t>
      </w:r>
      <w:r w:rsidR="003C32DE" w:rsidRPr="00E72418">
        <w:t xml:space="preserve"> : </w:t>
      </w:r>
      <w:r w:rsidR="007C57EF" w:rsidRPr="00E72418">
        <w:t>Le défaut</w:t>
      </w:r>
      <w:bookmarkEnd w:id="42"/>
      <w:bookmarkEnd w:id="43"/>
      <w:bookmarkEnd w:id="44"/>
      <w:bookmarkEnd w:id="45"/>
      <w:bookmarkEnd w:id="46"/>
      <w:bookmarkEnd w:id="47"/>
    </w:p>
    <w:p w14:paraId="46F19DB3" w14:textId="77777777" w:rsidR="00B75CD8" w:rsidRPr="00E72418" w:rsidRDefault="00B75CD8" w:rsidP="00423B60"/>
    <w:p w14:paraId="6E0CC441" w14:textId="4768D0A4" w:rsidR="007C57EF" w:rsidRPr="00E72418" w:rsidRDefault="007F038F" w:rsidP="00CC4BA8">
      <w:pPr>
        <w:spacing w:line="276" w:lineRule="auto"/>
      </w:pPr>
      <w:r w:rsidRPr="00E72418">
        <w:rPr>
          <w:b/>
        </w:rPr>
        <w:t xml:space="preserve">51. </w:t>
      </w:r>
      <w:r w:rsidR="00D04BD5" w:rsidRPr="00E72418">
        <w:rPr>
          <w:b/>
        </w:rPr>
        <w:t xml:space="preserve">Personne n’est épargné, et pourtant </w:t>
      </w:r>
      <w:r w:rsidR="00D04BD5" w:rsidRPr="00E72418">
        <w:rPr>
          <w:rFonts w:ascii="Times New Roman" w:hAnsi="Times New Roman" w:cs="Times New Roman"/>
          <w:b/>
          <w:szCs w:val="24"/>
        </w:rPr>
        <w:t xml:space="preserve">– </w:t>
      </w:r>
      <w:r w:rsidR="00A12ED3" w:rsidRPr="00E72418">
        <w:t>S’il est une certitude en matière de dettes souveraines qu’est celle de la singularité de leur débiteur, il en est une autre</w:t>
      </w:r>
      <w:r w:rsidR="001D104A" w:rsidRPr="00E72418">
        <w:t>,</w:t>
      </w:r>
      <w:r w:rsidR="00A12ED3" w:rsidRPr="00E72418">
        <w:t xml:space="preserve"> </w:t>
      </w:r>
      <w:r w:rsidR="001D104A" w:rsidRPr="00E72418">
        <w:t>valant</w:t>
      </w:r>
      <w:r w:rsidR="00A12ED3" w:rsidRPr="00E72418">
        <w:t xml:space="preserve"> cette fois </w:t>
      </w:r>
      <w:r w:rsidR="001D104A" w:rsidRPr="00E72418">
        <w:t>plus largement</w:t>
      </w:r>
      <w:r w:rsidR="00A12ED3" w:rsidRPr="00E72418">
        <w:t xml:space="preserve"> en matière d’endettement</w:t>
      </w:r>
      <w:r w:rsidR="001D104A" w:rsidRPr="00E72418">
        <w:t>,</w:t>
      </w:r>
      <w:r w:rsidR="00A12ED3" w:rsidRPr="00E72418">
        <w:t xml:space="preserve"> qui est celle des difficultés </w:t>
      </w:r>
      <w:r w:rsidR="001D104A" w:rsidRPr="00E72418">
        <w:t xml:space="preserve">financières </w:t>
      </w:r>
      <w:r w:rsidR="00A12ED3" w:rsidRPr="00E72418">
        <w:t xml:space="preserve">que peuvent </w:t>
      </w:r>
      <w:r w:rsidR="008D7F73">
        <w:t>éprouver</w:t>
      </w:r>
      <w:r w:rsidR="00A12ED3" w:rsidRPr="00E72418">
        <w:t xml:space="preserve"> les débiteurs. Le</w:t>
      </w:r>
      <w:r w:rsidR="006A04CF" w:rsidRPr="00E72418">
        <w:t xml:space="preserve">s problèmes rencontrés par les </w:t>
      </w:r>
      <w:r w:rsidR="006A04CF" w:rsidRPr="00E72418">
        <w:rPr>
          <w:rFonts w:ascii="Times New Roman" w:hAnsi="Times New Roman" w:cs="Times New Roman"/>
          <w:lang w:eastAsia="fr-BE"/>
        </w:rPr>
        <w:t>É</w:t>
      </w:r>
      <w:r w:rsidR="00A12ED3" w:rsidRPr="00E72418">
        <w:t>tats ont conduit nombre d’entre eux à travers le temps à ne pas honorer les termes de leurs engagements (</w:t>
      </w:r>
      <w:r w:rsidR="00A12ED3" w:rsidRPr="00E72418">
        <w:rPr>
          <w:b/>
        </w:rPr>
        <w:t>chapitre 1</w:t>
      </w:r>
      <w:r w:rsidR="00A12ED3" w:rsidRPr="00E72418">
        <w:t xml:space="preserve">). Le fait que </w:t>
      </w:r>
      <w:r w:rsidR="00A12ED3" w:rsidRPr="00E72418">
        <w:lastRenderedPageBreak/>
        <w:t>les</w:t>
      </w:r>
      <w:r w:rsidR="006A04CF" w:rsidRPr="00E72418">
        <w:t xml:space="preserve"> défaillances soient le fait </w:t>
      </w:r>
      <w:r w:rsidR="001651CA" w:rsidRPr="00E72418">
        <w:t>de débiteurs</w:t>
      </w:r>
      <w:r w:rsidR="00A12ED3" w:rsidRPr="00E72418">
        <w:t xml:space="preserve"> dont la souveraineté </w:t>
      </w:r>
      <w:r w:rsidR="001D104A" w:rsidRPr="00E72418">
        <w:t>les rend si</w:t>
      </w:r>
      <w:r w:rsidR="00A12ED3" w:rsidRPr="00E72418">
        <w:t xml:space="preserve"> </w:t>
      </w:r>
      <w:r w:rsidR="008D7F73">
        <w:t>singuliers</w:t>
      </w:r>
      <w:r w:rsidR="00A12ED3" w:rsidRPr="00E72418">
        <w:t xml:space="preserve"> (</w:t>
      </w:r>
      <w:r w:rsidR="00A12ED3" w:rsidRPr="00E72418">
        <w:rPr>
          <w:b/>
        </w:rPr>
        <w:t>chapitre 2</w:t>
      </w:r>
      <w:r w:rsidR="00A12ED3" w:rsidRPr="00E72418">
        <w:t xml:space="preserve">) emporte toute une série de conséquences </w:t>
      </w:r>
      <w:r w:rsidR="001D104A" w:rsidRPr="00E72418">
        <w:t xml:space="preserve">tout aussi </w:t>
      </w:r>
      <w:r w:rsidR="00A12ED3" w:rsidRPr="00E72418">
        <w:t>particulières (</w:t>
      </w:r>
      <w:r w:rsidR="00A12ED3" w:rsidRPr="00E72418">
        <w:rPr>
          <w:b/>
        </w:rPr>
        <w:t>chapitre 3</w:t>
      </w:r>
      <w:r w:rsidR="00A12ED3" w:rsidRPr="00E72418">
        <w:t xml:space="preserve">). </w:t>
      </w:r>
    </w:p>
    <w:p w14:paraId="6FD7D11D" w14:textId="77777777" w:rsidR="00A12ED3" w:rsidRPr="00E72418" w:rsidRDefault="00A12ED3" w:rsidP="00423B60"/>
    <w:p w14:paraId="7AD1EF1D" w14:textId="04E7F4F4" w:rsidR="007C57EF" w:rsidRPr="00E72418" w:rsidRDefault="000764CE" w:rsidP="00CC4BA8">
      <w:pPr>
        <w:pStyle w:val="CC"/>
        <w:spacing w:line="276" w:lineRule="auto"/>
      </w:pPr>
      <w:bookmarkStart w:id="48" w:name="_Toc59280883"/>
      <w:bookmarkStart w:id="49" w:name="_Toc75106060"/>
      <w:bookmarkStart w:id="50" w:name="_Toc84540872"/>
      <w:r w:rsidRPr="00E72418">
        <w:t xml:space="preserve">Chapitre 1 : </w:t>
      </w:r>
      <w:r w:rsidR="007C57EF" w:rsidRPr="00E72418">
        <w:t>Le contexte</w:t>
      </w:r>
      <w:bookmarkEnd w:id="48"/>
      <w:bookmarkEnd w:id="49"/>
      <w:bookmarkEnd w:id="50"/>
      <w:r w:rsidR="007C57EF" w:rsidRPr="00E72418">
        <w:t xml:space="preserve"> </w:t>
      </w:r>
    </w:p>
    <w:p w14:paraId="62CF3554" w14:textId="77777777" w:rsidR="007C57EF" w:rsidRPr="00E72418" w:rsidRDefault="007C57EF" w:rsidP="00423B60"/>
    <w:p w14:paraId="02E2063F" w14:textId="4E38990A" w:rsidR="004B5352" w:rsidRPr="00E72418" w:rsidRDefault="007F038F" w:rsidP="004B5352">
      <w:pPr>
        <w:spacing w:line="276" w:lineRule="auto"/>
        <w:rPr>
          <w:rFonts w:ascii="Times New Roman" w:hAnsi="Times New Roman" w:cs="Times New Roman"/>
          <w:szCs w:val="24"/>
        </w:rPr>
      </w:pPr>
      <w:r w:rsidRPr="00E72418">
        <w:rPr>
          <w:rFonts w:ascii="Times New Roman" w:hAnsi="Times New Roman" w:cs="Times New Roman"/>
          <w:b/>
          <w:szCs w:val="24"/>
        </w:rPr>
        <w:t>52</w:t>
      </w:r>
      <w:r w:rsidR="004B5352" w:rsidRPr="00E72418">
        <w:rPr>
          <w:rFonts w:ascii="Times New Roman" w:hAnsi="Times New Roman" w:cs="Times New Roman"/>
          <w:b/>
          <w:szCs w:val="24"/>
        </w:rPr>
        <w:t xml:space="preserve">. Une modélisation contractuelle – </w:t>
      </w:r>
      <w:r w:rsidR="004B5352" w:rsidRPr="00E72418">
        <w:rPr>
          <w:rFonts w:ascii="Times New Roman" w:hAnsi="Times New Roman" w:cs="Times New Roman"/>
          <w:szCs w:val="24"/>
        </w:rPr>
        <w:t xml:space="preserve">L’on peut retenir généralement, comme </w:t>
      </w:r>
      <w:r w:rsidR="00423C96" w:rsidRPr="00E72418">
        <w:rPr>
          <w:rFonts w:ascii="Times New Roman" w:hAnsi="Times New Roman" w:cs="Times New Roman"/>
          <w:szCs w:val="24"/>
        </w:rPr>
        <w:t xml:space="preserve">Charlotte </w:t>
      </w:r>
      <w:r w:rsidR="004B5352" w:rsidRPr="00E72418">
        <w:rPr>
          <w:rFonts w:ascii="Times New Roman" w:hAnsi="Times New Roman" w:cs="Times New Roman"/>
          <w:szCs w:val="24"/>
        </w:rPr>
        <w:t xml:space="preserve">Rault, que « </w:t>
      </w:r>
      <w:r w:rsidR="004B5352" w:rsidRPr="00E72418">
        <w:rPr>
          <w:rFonts w:ascii="Times New Roman" w:hAnsi="Times New Roman" w:cs="Times New Roman"/>
        </w:rPr>
        <w:t>[d]efault relates to a sovereign decision to suspend payments or to repudiate its financial commitments in order to reduce the debt value »</w:t>
      </w:r>
      <w:r w:rsidR="004B5352" w:rsidRPr="00E72418">
        <w:rPr>
          <w:rStyle w:val="Appelnotedebasdep"/>
          <w:rFonts w:ascii="Times New Roman" w:hAnsi="Times New Roman" w:cs="Times New Roman"/>
        </w:rPr>
        <w:footnoteReference w:id="262"/>
      </w:r>
      <w:r w:rsidR="004B5352" w:rsidRPr="00E72418">
        <w:rPr>
          <w:rFonts w:ascii="Times New Roman" w:hAnsi="Times New Roman" w:cs="Times New Roman"/>
          <w:szCs w:val="24"/>
        </w:rPr>
        <w:t xml:space="preserve">. Quoique la notion de défaut souverain renvoie généralement à la situation d’absence de règlement par un </w:t>
      </w:r>
      <w:r w:rsidR="004B5352" w:rsidRPr="00E72418">
        <w:rPr>
          <w:rFonts w:ascii="Times New Roman" w:hAnsi="Times New Roman" w:cs="Times New Roman"/>
          <w:szCs w:val="24"/>
          <w:lang w:eastAsia="fr-BE"/>
        </w:rPr>
        <w:t>É</w:t>
      </w:r>
      <w:r w:rsidR="004B5352" w:rsidRPr="00E72418">
        <w:rPr>
          <w:rFonts w:ascii="Times New Roman" w:hAnsi="Times New Roman" w:cs="Times New Roman"/>
          <w:szCs w:val="24"/>
        </w:rPr>
        <w:t>tat de ses obligations financières arrivées à maturité</w:t>
      </w:r>
      <w:r w:rsidR="004B5352" w:rsidRPr="00E72418">
        <w:rPr>
          <w:rStyle w:val="Appelnotedebasdep"/>
          <w:rFonts w:ascii="Times New Roman" w:hAnsi="Times New Roman" w:cs="Times New Roman"/>
          <w:szCs w:val="24"/>
        </w:rPr>
        <w:footnoteReference w:id="263"/>
      </w:r>
      <w:r w:rsidR="004B5352" w:rsidRPr="00E72418">
        <w:rPr>
          <w:rFonts w:ascii="Times New Roman" w:hAnsi="Times New Roman" w:cs="Times New Roman"/>
          <w:szCs w:val="24"/>
        </w:rPr>
        <w:t>, il est à noter que</w:t>
      </w:r>
      <w:r w:rsidR="001651CA" w:rsidRPr="00E72418">
        <w:rPr>
          <w:rFonts w:ascii="Times New Roman" w:hAnsi="Times New Roman" w:cs="Times New Roman"/>
          <w:szCs w:val="24"/>
        </w:rPr>
        <w:t>,</w:t>
      </w:r>
      <w:r w:rsidR="004B5352" w:rsidRPr="00E72418">
        <w:rPr>
          <w:rFonts w:ascii="Times New Roman" w:hAnsi="Times New Roman" w:cs="Times New Roman"/>
          <w:szCs w:val="24"/>
        </w:rPr>
        <w:t xml:space="preserve"> so</w:t>
      </w:r>
      <w:r w:rsidR="001651CA" w:rsidRPr="00E72418">
        <w:rPr>
          <w:rFonts w:ascii="Times New Roman" w:hAnsi="Times New Roman" w:cs="Times New Roman"/>
          <w:szCs w:val="24"/>
        </w:rPr>
        <w:t>uvent, les événements de défaut</w:t>
      </w:r>
      <w:r w:rsidR="004B5352" w:rsidRPr="00E72418">
        <w:rPr>
          <w:rFonts w:ascii="Times New Roman" w:hAnsi="Times New Roman" w:cs="Times New Roman"/>
          <w:szCs w:val="24"/>
        </w:rPr>
        <w:t xml:space="preserve"> sont précisément définis dans les contrats d’émission lorsque des titres obligataires sont concernés</w:t>
      </w:r>
      <w:r w:rsidR="004B5352" w:rsidRPr="00E72418">
        <w:rPr>
          <w:rStyle w:val="Appelnotedebasdep"/>
          <w:rFonts w:ascii="Times New Roman" w:hAnsi="Times New Roman" w:cs="Times New Roman"/>
          <w:szCs w:val="24"/>
        </w:rPr>
        <w:footnoteReference w:id="264"/>
      </w:r>
      <w:r w:rsidR="004B5352" w:rsidRPr="00E72418">
        <w:rPr>
          <w:rFonts w:ascii="Times New Roman" w:hAnsi="Times New Roman" w:cs="Times New Roman"/>
          <w:szCs w:val="24"/>
        </w:rPr>
        <w:t>. Ainsi, à côté de la situation d’un défaut de paiement à temps, il pourrait également être question de défaut en raison d’autres contraventions aux modalités contractuelles</w:t>
      </w:r>
      <w:r w:rsidR="004B5352" w:rsidRPr="00E72418">
        <w:rPr>
          <w:rStyle w:val="Appelnotedebasdep"/>
          <w:rFonts w:ascii="Times New Roman" w:hAnsi="Times New Roman" w:cs="Times New Roman"/>
          <w:szCs w:val="24"/>
        </w:rPr>
        <w:footnoteReference w:id="265"/>
      </w:r>
      <w:r w:rsidR="004B5352" w:rsidRPr="00E72418">
        <w:rPr>
          <w:rFonts w:ascii="Times New Roman" w:hAnsi="Times New Roman" w:cs="Times New Roman"/>
          <w:szCs w:val="24"/>
        </w:rPr>
        <w:t>.</w:t>
      </w:r>
    </w:p>
    <w:p w14:paraId="5BD33E58" w14:textId="77777777" w:rsidR="004B5352" w:rsidRPr="00E72418" w:rsidRDefault="004B5352" w:rsidP="00423B60"/>
    <w:p w14:paraId="423DB2DA" w14:textId="130529EE" w:rsidR="007C57EF"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5</w:t>
      </w:r>
      <w:r w:rsidR="007F038F" w:rsidRPr="00E72418">
        <w:rPr>
          <w:rFonts w:ascii="Times New Roman" w:hAnsi="Times New Roman" w:cs="Times New Roman"/>
          <w:b/>
        </w:rPr>
        <w:t>3</w:t>
      </w:r>
      <w:r w:rsidRPr="00E72418">
        <w:rPr>
          <w:rFonts w:ascii="Times New Roman" w:hAnsi="Times New Roman" w:cs="Times New Roman"/>
          <w:b/>
        </w:rPr>
        <w:t xml:space="preserve">. </w:t>
      </w:r>
      <w:r w:rsidR="007C57EF" w:rsidRPr="00E72418">
        <w:rPr>
          <w:rFonts w:ascii="Times New Roman" w:hAnsi="Times New Roman" w:cs="Times New Roman"/>
          <w:b/>
        </w:rPr>
        <w:t xml:space="preserve">Un bref historique – </w:t>
      </w:r>
      <w:r w:rsidR="00A13BFE" w:rsidRPr="00E72418">
        <w:rPr>
          <w:rFonts w:ascii="Times New Roman" w:hAnsi="Times New Roman" w:cs="Times New Roman"/>
        </w:rPr>
        <w:t xml:space="preserve">Comme le notait </w:t>
      </w:r>
      <w:r w:rsidR="00B86471" w:rsidRPr="00E72418">
        <w:rPr>
          <w:rFonts w:ascii="Times New Roman" w:hAnsi="Times New Roman" w:cs="Times New Roman"/>
        </w:rPr>
        <w:t xml:space="preserve">Gaston </w:t>
      </w:r>
      <w:r w:rsidR="00A13BFE" w:rsidRPr="00E72418">
        <w:rPr>
          <w:rFonts w:ascii="Times New Roman" w:hAnsi="Times New Roman" w:cs="Times New Roman"/>
        </w:rPr>
        <w:t xml:space="preserve">Jèze en 1935 </w:t>
      </w:r>
      <w:r w:rsidR="00A13BFE" w:rsidRPr="00E72418">
        <w:t>lors d’un cours donné à l’Académie de droit international de La Haye portant sur les défaillances d’</w:t>
      </w:r>
      <w:r w:rsidR="00B3200D" w:rsidRPr="00E72418">
        <w:rPr>
          <w:rFonts w:ascii="Times New Roman" w:hAnsi="Times New Roman" w:cs="Times New Roman"/>
          <w:lang w:eastAsia="fr-BE"/>
        </w:rPr>
        <w:t>É</w:t>
      </w:r>
      <w:r w:rsidR="00A13BFE" w:rsidRPr="00E72418">
        <w:t>tat</w:t>
      </w:r>
      <w:r w:rsidR="00A13BFE" w:rsidRPr="00E72418">
        <w:rPr>
          <w:rFonts w:ascii="Times New Roman" w:hAnsi="Times New Roman" w:cs="Times New Roman"/>
        </w:rPr>
        <w:t xml:space="preserve">, « [d]onner la liste des défaillants est superflu ; elle comprendrait presque tous les </w:t>
      </w:r>
      <w:r w:rsidR="00B3200D" w:rsidRPr="00E72418">
        <w:rPr>
          <w:rFonts w:ascii="Times New Roman" w:hAnsi="Times New Roman" w:cs="Times New Roman"/>
          <w:lang w:eastAsia="fr-BE"/>
        </w:rPr>
        <w:t>É</w:t>
      </w:r>
      <w:r w:rsidR="00A13BFE" w:rsidRPr="00E72418">
        <w:rPr>
          <w:rFonts w:ascii="Times New Roman" w:hAnsi="Times New Roman" w:cs="Times New Roman"/>
        </w:rPr>
        <w:t>tats du monde »</w:t>
      </w:r>
      <w:r w:rsidR="00A13BFE" w:rsidRPr="00E72418">
        <w:rPr>
          <w:rStyle w:val="Appelnotedebasdep"/>
          <w:rFonts w:ascii="Times New Roman" w:hAnsi="Times New Roman" w:cs="Times New Roman"/>
        </w:rPr>
        <w:footnoteReference w:id="266"/>
      </w:r>
      <w:r w:rsidR="00A13BFE" w:rsidRPr="00E72418">
        <w:rPr>
          <w:rFonts w:ascii="Times New Roman" w:hAnsi="Times New Roman" w:cs="Times New Roman"/>
        </w:rPr>
        <w:t>.</w:t>
      </w:r>
      <w:r w:rsidR="00A13BFE" w:rsidRPr="00E72418">
        <w:rPr>
          <w:rFonts w:ascii="Times New Roman" w:hAnsi="Times New Roman" w:cs="Times New Roman"/>
          <w:b/>
        </w:rPr>
        <w:t xml:space="preserve"> </w:t>
      </w:r>
      <w:r w:rsidR="007C57EF" w:rsidRPr="00E72418">
        <w:rPr>
          <w:rFonts w:ascii="Times New Roman" w:hAnsi="Times New Roman" w:cs="Times New Roman"/>
        </w:rPr>
        <w:t>L</w:t>
      </w:r>
      <w:r w:rsidR="00933185" w:rsidRPr="00E72418">
        <w:rPr>
          <w:rFonts w:ascii="Times New Roman" w:hAnsi="Times New Roman" w:cs="Times New Roman"/>
        </w:rPr>
        <w:t>’une des</w:t>
      </w:r>
      <w:r w:rsidR="007C57EF" w:rsidRPr="00E72418">
        <w:rPr>
          <w:rFonts w:ascii="Times New Roman" w:hAnsi="Times New Roman" w:cs="Times New Roman"/>
        </w:rPr>
        <w:t xml:space="preserve"> première</w:t>
      </w:r>
      <w:r w:rsidR="00933185" w:rsidRPr="00E72418">
        <w:rPr>
          <w:rFonts w:ascii="Times New Roman" w:hAnsi="Times New Roman" w:cs="Times New Roman"/>
        </w:rPr>
        <w:t>s</w:t>
      </w:r>
      <w:r w:rsidR="007C57EF" w:rsidRPr="00E72418">
        <w:rPr>
          <w:rFonts w:ascii="Times New Roman" w:hAnsi="Times New Roman" w:cs="Times New Roman"/>
        </w:rPr>
        <w:t xml:space="preserve"> défaillance</w:t>
      </w:r>
      <w:r w:rsidR="00933185" w:rsidRPr="00E72418">
        <w:rPr>
          <w:rFonts w:ascii="Times New Roman" w:hAnsi="Times New Roman" w:cs="Times New Roman"/>
        </w:rPr>
        <w:t>s</w:t>
      </w:r>
      <w:r w:rsidR="007C57EF" w:rsidRPr="00E72418">
        <w:rPr>
          <w:rFonts w:ascii="Times New Roman" w:hAnsi="Times New Roman" w:cs="Times New Roman"/>
        </w:rPr>
        <w:t xml:space="preserve"> étati</w:t>
      </w:r>
      <w:r w:rsidR="00572C2E" w:rsidRPr="00E72418">
        <w:rPr>
          <w:rFonts w:ascii="Times New Roman" w:hAnsi="Times New Roman" w:cs="Times New Roman"/>
        </w:rPr>
        <w:t>que</w:t>
      </w:r>
      <w:r w:rsidR="00933185" w:rsidRPr="00E72418">
        <w:rPr>
          <w:rFonts w:ascii="Times New Roman" w:hAnsi="Times New Roman" w:cs="Times New Roman"/>
        </w:rPr>
        <w:t>s</w:t>
      </w:r>
      <w:r w:rsidR="00572C2E" w:rsidRPr="00E72418">
        <w:rPr>
          <w:rFonts w:ascii="Times New Roman" w:hAnsi="Times New Roman" w:cs="Times New Roman"/>
        </w:rPr>
        <w:t xml:space="preserve"> connue</w:t>
      </w:r>
      <w:r w:rsidR="00933185" w:rsidRPr="00E72418">
        <w:rPr>
          <w:rFonts w:ascii="Times New Roman" w:hAnsi="Times New Roman" w:cs="Times New Roman"/>
        </w:rPr>
        <w:t xml:space="preserve">s remonte </w:t>
      </w:r>
      <w:r w:rsidR="007C57EF" w:rsidRPr="00E72418">
        <w:rPr>
          <w:rFonts w:ascii="Times New Roman" w:hAnsi="Times New Roman" w:cs="Times New Roman"/>
        </w:rPr>
        <w:t xml:space="preserve">au </w:t>
      </w:r>
      <w:r w:rsidR="00572C2E" w:rsidRPr="00E72418">
        <w:rPr>
          <w:rFonts w:ascii="Times New Roman" w:hAnsi="Times New Roman" w:cs="Times New Roman"/>
        </w:rPr>
        <w:t>quatrième</w:t>
      </w:r>
      <w:r w:rsidR="007C57EF" w:rsidRPr="00E72418">
        <w:rPr>
          <w:rFonts w:ascii="Times New Roman" w:hAnsi="Times New Roman" w:cs="Times New Roman"/>
        </w:rPr>
        <w:t xml:space="preserve"> siècle </w:t>
      </w:r>
      <w:r w:rsidR="00BD0948" w:rsidRPr="00E72418">
        <w:rPr>
          <w:rFonts w:ascii="Times New Roman" w:hAnsi="Times New Roman" w:cs="Times New Roman"/>
        </w:rPr>
        <w:t xml:space="preserve">avant </w:t>
      </w:r>
      <w:r w:rsidR="00EF0577" w:rsidRPr="00E72418">
        <w:rPr>
          <w:rFonts w:ascii="Times New Roman" w:hAnsi="Times New Roman" w:cs="Times New Roman"/>
        </w:rPr>
        <w:t>l’</w:t>
      </w:r>
      <w:r w:rsidR="00BD0948" w:rsidRPr="00E72418">
        <w:rPr>
          <w:rFonts w:ascii="Times New Roman" w:hAnsi="Times New Roman" w:cs="Times New Roman"/>
        </w:rPr>
        <w:t>ère</w:t>
      </w:r>
      <w:r w:rsidR="00EF0577" w:rsidRPr="00E72418">
        <w:rPr>
          <w:rFonts w:ascii="Times New Roman" w:hAnsi="Times New Roman" w:cs="Times New Roman"/>
        </w:rPr>
        <w:t xml:space="preserve"> commune</w:t>
      </w:r>
      <w:r w:rsidR="007C57EF" w:rsidRPr="00E72418">
        <w:rPr>
          <w:rFonts w:ascii="Times New Roman" w:hAnsi="Times New Roman" w:cs="Times New Roman"/>
        </w:rPr>
        <w:t xml:space="preserve"> </w:t>
      </w:r>
      <w:r w:rsidR="00933185" w:rsidRPr="00E72418">
        <w:rPr>
          <w:rFonts w:ascii="Times New Roman" w:hAnsi="Times New Roman" w:cs="Times New Roman"/>
        </w:rPr>
        <w:t>lorsque certains</w:t>
      </w:r>
      <w:r w:rsidR="00B3200D" w:rsidRPr="00E72418">
        <w:rPr>
          <w:rFonts w:ascii="Times New Roman" w:hAnsi="Times New Roman" w:cs="Times New Roman"/>
        </w:rPr>
        <w:t xml:space="preserve"> </w:t>
      </w:r>
      <w:r w:rsidR="00B3200D" w:rsidRPr="00E72418">
        <w:rPr>
          <w:rFonts w:ascii="Times New Roman" w:hAnsi="Times New Roman" w:cs="Times New Roman"/>
          <w:lang w:eastAsia="fr-BE"/>
        </w:rPr>
        <w:t>É</w:t>
      </w:r>
      <w:r w:rsidR="00933185" w:rsidRPr="00E72418">
        <w:rPr>
          <w:rFonts w:ascii="Times New Roman" w:hAnsi="Times New Roman" w:cs="Times New Roman"/>
        </w:rPr>
        <w:t xml:space="preserve">tats membres de </w:t>
      </w:r>
      <w:r w:rsidR="007C57EF" w:rsidRPr="00E72418">
        <w:rPr>
          <w:rFonts w:ascii="Times New Roman" w:hAnsi="Times New Roman" w:cs="Times New Roman"/>
        </w:rPr>
        <w:t>l’</w:t>
      </w:r>
      <w:r w:rsidR="00EF0577" w:rsidRPr="00E72418">
        <w:rPr>
          <w:rFonts w:ascii="Times New Roman" w:hAnsi="Times New Roman" w:cs="Times New Roman"/>
        </w:rPr>
        <w:t>Organisation</w:t>
      </w:r>
      <w:r w:rsidR="007C57EF" w:rsidRPr="00E72418">
        <w:rPr>
          <w:rFonts w:ascii="Times New Roman" w:hAnsi="Times New Roman" w:cs="Times New Roman"/>
        </w:rPr>
        <w:t xml:space="preserve"> attique se trouvèrent dans l’impossibilité de </w:t>
      </w:r>
      <w:r w:rsidR="00933185" w:rsidRPr="00E72418">
        <w:rPr>
          <w:rFonts w:ascii="Times New Roman" w:hAnsi="Times New Roman" w:cs="Times New Roman"/>
        </w:rPr>
        <w:t xml:space="preserve">complètement </w:t>
      </w:r>
      <w:r w:rsidR="00EF0577" w:rsidRPr="00E72418">
        <w:rPr>
          <w:rFonts w:ascii="Times New Roman" w:hAnsi="Times New Roman" w:cs="Times New Roman"/>
        </w:rPr>
        <w:t xml:space="preserve">honorer </w:t>
      </w:r>
      <w:r w:rsidR="007C57EF" w:rsidRPr="00E72418">
        <w:rPr>
          <w:rFonts w:ascii="Times New Roman" w:hAnsi="Times New Roman" w:cs="Times New Roman"/>
        </w:rPr>
        <w:t xml:space="preserve">leurs dettes dues au temple </w:t>
      </w:r>
      <w:r w:rsidR="00EF0577" w:rsidRPr="00E72418">
        <w:rPr>
          <w:rFonts w:ascii="Times New Roman" w:hAnsi="Times New Roman" w:cs="Times New Roman"/>
        </w:rPr>
        <w:t xml:space="preserve">grec </w:t>
      </w:r>
      <w:r w:rsidR="007C57EF" w:rsidRPr="00E72418">
        <w:rPr>
          <w:rFonts w:ascii="Times New Roman" w:hAnsi="Times New Roman" w:cs="Times New Roman"/>
        </w:rPr>
        <w:t>Délos</w:t>
      </w:r>
      <w:r w:rsidR="007C57EF" w:rsidRPr="00E72418">
        <w:rPr>
          <w:rStyle w:val="Appelnotedebasdep"/>
          <w:rFonts w:ascii="Times New Roman" w:hAnsi="Times New Roman" w:cs="Times New Roman"/>
          <w:szCs w:val="24"/>
        </w:rPr>
        <w:footnoteReference w:id="267"/>
      </w:r>
      <w:r w:rsidR="007C57EF" w:rsidRPr="00E72418">
        <w:rPr>
          <w:rFonts w:ascii="Times New Roman" w:hAnsi="Times New Roman" w:cs="Times New Roman"/>
        </w:rPr>
        <w:t>. Le phénomène se poursui</w:t>
      </w:r>
      <w:r w:rsidR="00572C2E" w:rsidRPr="00E72418">
        <w:rPr>
          <w:rFonts w:ascii="Times New Roman" w:hAnsi="Times New Roman" w:cs="Times New Roman"/>
        </w:rPr>
        <w:t xml:space="preserve">vit à travers le temps. Au quatorzième </w:t>
      </w:r>
      <w:r w:rsidR="007C57EF" w:rsidRPr="00E72418">
        <w:rPr>
          <w:rFonts w:ascii="Times New Roman" w:hAnsi="Times New Roman" w:cs="Times New Roman"/>
        </w:rPr>
        <w:t>siècle, les banqu</w:t>
      </w:r>
      <w:r w:rsidR="0057692D" w:rsidRPr="00E72418">
        <w:rPr>
          <w:rFonts w:ascii="Times New Roman" w:hAnsi="Times New Roman" w:cs="Times New Roman"/>
        </w:rPr>
        <w:t>e</w:t>
      </w:r>
      <w:r w:rsidR="00386ED8" w:rsidRPr="00E72418">
        <w:rPr>
          <w:rFonts w:ascii="Times New Roman" w:hAnsi="Times New Roman" w:cs="Times New Roman"/>
        </w:rPr>
        <w:t xml:space="preserve">s </w:t>
      </w:r>
      <w:r w:rsidR="0057692D" w:rsidRPr="00E72418">
        <w:rPr>
          <w:rFonts w:ascii="Times New Roman" w:hAnsi="Times New Roman" w:cs="Times New Roman"/>
        </w:rPr>
        <w:t>italiennes</w:t>
      </w:r>
      <w:r w:rsidR="007C57EF" w:rsidRPr="00E72418">
        <w:rPr>
          <w:rFonts w:ascii="Times New Roman" w:hAnsi="Times New Roman" w:cs="Times New Roman"/>
        </w:rPr>
        <w:t xml:space="preserve"> </w:t>
      </w:r>
      <w:r w:rsidR="00386ED8" w:rsidRPr="00E72418">
        <w:rPr>
          <w:rFonts w:ascii="Times New Roman" w:hAnsi="Times New Roman" w:cs="Times New Roman"/>
        </w:rPr>
        <w:t xml:space="preserve">Bardi et </w:t>
      </w:r>
      <w:r w:rsidR="007C57EF" w:rsidRPr="00E72418">
        <w:rPr>
          <w:rFonts w:ascii="Times New Roman" w:hAnsi="Times New Roman" w:cs="Times New Roman"/>
        </w:rPr>
        <w:t xml:space="preserve">Peruzzi </w:t>
      </w:r>
      <w:r w:rsidR="0057692D" w:rsidRPr="00E72418">
        <w:rPr>
          <w:rFonts w:ascii="Times New Roman" w:hAnsi="Times New Roman" w:cs="Times New Roman"/>
        </w:rPr>
        <w:t>fu</w:t>
      </w:r>
      <w:r w:rsidR="00374E83" w:rsidRPr="00E72418">
        <w:rPr>
          <w:rFonts w:ascii="Times New Roman" w:hAnsi="Times New Roman" w:cs="Times New Roman"/>
        </w:rPr>
        <w:t xml:space="preserve">rent </w:t>
      </w:r>
      <w:r w:rsidR="0057692D" w:rsidRPr="00E72418">
        <w:rPr>
          <w:rFonts w:ascii="Times New Roman" w:hAnsi="Times New Roman" w:cs="Times New Roman"/>
        </w:rPr>
        <w:t>ruinées</w:t>
      </w:r>
      <w:r w:rsidR="007C57EF" w:rsidRPr="00E72418">
        <w:rPr>
          <w:rFonts w:ascii="Times New Roman" w:hAnsi="Times New Roman" w:cs="Times New Roman"/>
        </w:rPr>
        <w:t xml:space="preserve"> </w:t>
      </w:r>
      <w:r w:rsidR="00374E83" w:rsidRPr="00E72418">
        <w:rPr>
          <w:rFonts w:ascii="Times New Roman" w:hAnsi="Times New Roman" w:cs="Times New Roman"/>
        </w:rPr>
        <w:t xml:space="preserve">à la suite </w:t>
      </w:r>
      <w:r w:rsidR="00386ED8" w:rsidRPr="00E72418">
        <w:rPr>
          <w:rFonts w:ascii="Times New Roman" w:hAnsi="Times New Roman" w:cs="Times New Roman"/>
        </w:rPr>
        <w:t>du défaut du</w:t>
      </w:r>
      <w:r w:rsidR="007C57EF" w:rsidRPr="00E72418">
        <w:rPr>
          <w:rFonts w:ascii="Times New Roman" w:hAnsi="Times New Roman" w:cs="Times New Roman"/>
        </w:rPr>
        <w:t xml:space="preserve"> roi Edouard III</w:t>
      </w:r>
      <w:r w:rsidR="00374E83" w:rsidRPr="00E72418">
        <w:rPr>
          <w:rFonts w:ascii="Times New Roman" w:hAnsi="Times New Roman" w:cs="Times New Roman"/>
        </w:rPr>
        <w:t xml:space="preserve"> d’Angleterre</w:t>
      </w:r>
      <w:r w:rsidR="0057692D" w:rsidRPr="00E72418">
        <w:rPr>
          <w:rFonts w:ascii="Times New Roman" w:hAnsi="Times New Roman" w:cs="Times New Roman"/>
        </w:rPr>
        <w:t xml:space="preserve"> sur les dettes encourues afin de financer la guerre de Cents Ans</w:t>
      </w:r>
      <w:r w:rsidR="007C57EF" w:rsidRPr="00E72418">
        <w:rPr>
          <w:rStyle w:val="Appelnotedebasdep"/>
          <w:rFonts w:ascii="Times New Roman" w:hAnsi="Times New Roman" w:cs="Times New Roman"/>
          <w:szCs w:val="24"/>
        </w:rPr>
        <w:footnoteReference w:id="268"/>
      </w:r>
      <w:r w:rsidR="00572C2E" w:rsidRPr="00E72418">
        <w:rPr>
          <w:rFonts w:ascii="Times New Roman" w:hAnsi="Times New Roman" w:cs="Times New Roman"/>
        </w:rPr>
        <w:t>. Au quinzième et seizième</w:t>
      </w:r>
      <w:r w:rsidR="007C57EF" w:rsidRPr="00E72418">
        <w:rPr>
          <w:rFonts w:ascii="Times New Roman" w:hAnsi="Times New Roman" w:cs="Times New Roman"/>
        </w:rPr>
        <w:t xml:space="preserve"> siècles, des banques furent plongées dans des situations financières fort difficiles en raison des défauts de remboursement des rois d’Angleterre, d’Espagne, de France ou encore du Portugal</w:t>
      </w:r>
      <w:r w:rsidR="007C57EF" w:rsidRPr="00E72418">
        <w:rPr>
          <w:rStyle w:val="Appelnotedebasdep"/>
          <w:rFonts w:ascii="Times New Roman" w:hAnsi="Times New Roman" w:cs="Times New Roman"/>
          <w:szCs w:val="24"/>
        </w:rPr>
        <w:footnoteReference w:id="269"/>
      </w:r>
      <w:r w:rsidR="00572C2E" w:rsidRPr="00E72418">
        <w:rPr>
          <w:rFonts w:ascii="Times New Roman" w:hAnsi="Times New Roman" w:cs="Times New Roman"/>
        </w:rPr>
        <w:t>. Le dix-neuvième</w:t>
      </w:r>
      <w:r w:rsidR="007C57EF" w:rsidRPr="00E72418">
        <w:rPr>
          <w:rFonts w:ascii="Times New Roman" w:hAnsi="Times New Roman" w:cs="Times New Roman"/>
        </w:rPr>
        <w:t xml:space="preserve"> siècle connut son lot de </w:t>
      </w:r>
      <w:r w:rsidR="007B0898" w:rsidRPr="00E72418">
        <w:rPr>
          <w:rFonts w:ascii="Times New Roman" w:hAnsi="Times New Roman" w:cs="Times New Roman"/>
        </w:rPr>
        <w:t xml:space="preserve">défauts </w:t>
      </w:r>
      <w:r w:rsidR="007C57EF" w:rsidRPr="00E72418">
        <w:rPr>
          <w:rFonts w:ascii="Times New Roman" w:hAnsi="Times New Roman" w:cs="Times New Roman"/>
        </w:rPr>
        <w:t>étatiques comme</w:t>
      </w:r>
      <w:r w:rsidR="00572C2E" w:rsidRPr="00E72418">
        <w:rPr>
          <w:rFonts w:ascii="Times New Roman" w:hAnsi="Times New Roman" w:cs="Times New Roman"/>
        </w:rPr>
        <w:t>,</w:t>
      </w:r>
      <w:r w:rsidR="007C57EF" w:rsidRPr="00E72418">
        <w:rPr>
          <w:rFonts w:ascii="Times New Roman" w:hAnsi="Times New Roman" w:cs="Times New Roman"/>
        </w:rPr>
        <w:t xml:space="preserve"> par exemple,</w:t>
      </w:r>
      <w:r w:rsidR="00572C2E" w:rsidRPr="00E72418">
        <w:rPr>
          <w:rFonts w:ascii="Times New Roman" w:hAnsi="Times New Roman" w:cs="Times New Roman"/>
        </w:rPr>
        <w:t xml:space="preserve"> en Amérique,</w:t>
      </w:r>
      <w:r w:rsidR="007C57EF" w:rsidRPr="00E72418">
        <w:rPr>
          <w:rFonts w:ascii="Times New Roman" w:hAnsi="Times New Roman" w:cs="Times New Roman"/>
        </w:rPr>
        <w:t xml:space="preserve"> </w:t>
      </w:r>
      <w:r w:rsidR="007B0898" w:rsidRPr="00E72418">
        <w:rPr>
          <w:rFonts w:ascii="Times New Roman" w:hAnsi="Times New Roman" w:cs="Times New Roman"/>
        </w:rPr>
        <w:t>ceux de la</w:t>
      </w:r>
      <w:r w:rsidR="007C57EF" w:rsidRPr="00E72418">
        <w:rPr>
          <w:rFonts w:ascii="Times New Roman" w:hAnsi="Times New Roman" w:cs="Times New Roman"/>
        </w:rPr>
        <w:t xml:space="preserve"> Colombie</w:t>
      </w:r>
      <w:r w:rsidR="00572C2E" w:rsidRPr="00E72418">
        <w:rPr>
          <w:rFonts w:ascii="Times New Roman" w:hAnsi="Times New Roman" w:cs="Times New Roman"/>
        </w:rPr>
        <w:t>,</w:t>
      </w:r>
      <w:r w:rsidR="007B0898" w:rsidRPr="00E72418">
        <w:rPr>
          <w:rFonts w:ascii="Times New Roman" w:hAnsi="Times New Roman" w:cs="Times New Roman"/>
        </w:rPr>
        <w:t xml:space="preserve"> du Mexique et du Venezuela,</w:t>
      </w:r>
      <w:r w:rsidR="007C57EF" w:rsidRPr="00E72418">
        <w:rPr>
          <w:rFonts w:ascii="Times New Roman" w:hAnsi="Times New Roman" w:cs="Times New Roman"/>
        </w:rPr>
        <w:t xml:space="preserve"> en Europe,</w:t>
      </w:r>
      <w:r w:rsidR="007B0898" w:rsidRPr="00E72418">
        <w:rPr>
          <w:rFonts w:ascii="Times New Roman" w:hAnsi="Times New Roman" w:cs="Times New Roman"/>
        </w:rPr>
        <w:t xml:space="preserve"> ceux de la France et des Pays-Bas ponctuellement, de </w:t>
      </w:r>
      <w:r w:rsidR="007C57EF" w:rsidRPr="00E72418">
        <w:rPr>
          <w:rFonts w:ascii="Times New Roman" w:hAnsi="Times New Roman" w:cs="Times New Roman"/>
        </w:rPr>
        <w:t xml:space="preserve">l’Espagne, </w:t>
      </w:r>
      <w:r w:rsidR="007B0898" w:rsidRPr="00E72418">
        <w:rPr>
          <w:rFonts w:ascii="Times New Roman" w:hAnsi="Times New Roman" w:cs="Times New Roman"/>
        </w:rPr>
        <w:t xml:space="preserve">de </w:t>
      </w:r>
      <w:r w:rsidR="007C57EF" w:rsidRPr="00E72418">
        <w:rPr>
          <w:rFonts w:ascii="Times New Roman" w:hAnsi="Times New Roman" w:cs="Times New Roman"/>
        </w:rPr>
        <w:t>la Grèc</w:t>
      </w:r>
      <w:r w:rsidR="00572C2E" w:rsidRPr="00E72418">
        <w:rPr>
          <w:rFonts w:ascii="Times New Roman" w:hAnsi="Times New Roman" w:cs="Times New Roman"/>
        </w:rPr>
        <w:t xml:space="preserve">e et </w:t>
      </w:r>
      <w:r w:rsidR="007B0898" w:rsidRPr="00E72418">
        <w:rPr>
          <w:rFonts w:ascii="Times New Roman" w:hAnsi="Times New Roman" w:cs="Times New Roman"/>
        </w:rPr>
        <w:t>du Portugal de manière répétée</w:t>
      </w:r>
      <w:r w:rsidR="00572C2E" w:rsidRPr="00E72418">
        <w:rPr>
          <w:rFonts w:ascii="Times New Roman" w:hAnsi="Times New Roman" w:cs="Times New Roman"/>
        </w:rPr>
        <w:t xml:space="preserve"> ou, finalement encore,</w:t>
      </w:r>
      <w:r w:rsidR="007C57EF" w:rsidRPr="00E72418">
        <w:rPr>
          <w:rFonts w:ascii="Times New Roman" w:hAnsi="Times New Roman" w:cs="Times New Roman"/>
        </w:rPr>
        <w:t xml:space="preserve"> </w:t>
      </w:r>
      <w:r w:rsidR="007B0898" w:rsidRPr="00E72418">
        <w:rPr>
          <w:rFonts w:ascii="Times New Roman" w:hAnsi="Times New Roman" w:cs="Times New Roman"/>
        </w:rPr>
        <w:t xml:space="preserve">ceux de </w:t>
      </w:r>
      <w:r w:rsidR="007C57EF" w:rsidRPr="00E72418">
        <w:rPr>
          <w:rFonts w:ascii="Times New Roman" w:hAnsi="Times New Roman" w:cs="Times New Roman"/>
        </w:rPr>
        <w:lastRenderedPageBreak/>
        <w:t>l’Egypte</w:t>
      </w:r>
      <w:r w:rsidR="007B0898" w:rsidRPr="00E72418">
        <w:rPr>
          <w:rFonts w:ascii="Times New Roman" w:hAnsi="Times New Roman" w:cs="Times New Roman"/>
        </w:rPr>
        <w:t xml:space="preserve"> et de la Tunisie</w:t>
      </w:r>
      <w:r w:rsidR="007C57EF" w:rsidRPr="00E72418">
        <w:rPr>
          <w:rStyle w:val="Appelnotedebasdep"/>
          <w:rFonts w:ascii="Times New Roman" w:hAnsi="Times New Roman" w:cs="Times New Roman"/>
        </w:rPr>
        <w:footnoteReference w:id="270"/>
      </w:r>
      <w:r w:rsidR="007C57EF" w:rsidRPr="00E72418">
        <w:rPr>
          <w:rFonts w:ascii="Times New Roman" w:hAnsi="Times New Roman" w:cs="Times New Roman"/>
        </w:rPr>
        <w:t>. D’importantes défaillances éta</w:t>
      </w:r>
      <w:r w:rsidR="00572C2E" w:rsidRPr="00E72418">
        <w:rPr>
          <w:rFonts w:ascii="Times New Roman" w:hAnsi="Times New Roman" w:cs="Times New Roman"/>
        </w:rPr>
        <w:t>tiques marquèrent le début du vingtième</w:t>
      </w:r>
      <w:r w:rsidR="007C57EF" w:rsidRPr="00E72418">
        <w:rPr>
          <w:rFonts w:ascii="Times New Roman" w:hAnsi="Times New Roman" w:cs="Times New Roman"/>
        </w:rPr>
        <w:t xml:space="preserve"> siècle</w:t>
      </w:r>
      <w:r w:rsidR="009E72E5">
        <w:rPr>
          <w:rFonts w:ascii="Times New Roman" w:hAnsi="Times New Roman" w:cs="Times New Roman"/>
        </w:rPr>
        <w:t>. L’on peut ainsi relever l’Union des Républiques Socialistes Soviétiques</w:t>
      </w:r>
      <w:r w:rsidR="007C57EF" w:rsidRPr="00E72418">
        <w:rPr>
          <w:rFonts w:ascii="Times New Roman" w:hAnsi="Times New Roman" w:cs="Times New Roman"/>
        </w:rPr>
        <w:t xml:space="preserve"> dont le pouvoir répudia dès 1917 les dettes de l’ancien empire tsariste, l’Allemagne qui fut dans l’impossibilité de régler la dette de guerre imposée par le traité de Versailles ou encore les différents </w:t>
      </w:r>
      <w:r w:rsidR="007C57EF" w:rsidRPr="00E72418">
        <w:rPr>
          <w:rFonts w:ascii="Times New Roman" w:hAnsi="Times New Roman" w:cs="Times New Roman"/>
          <w:lang w:eastAsia="fr-BE"/>
        </w:rPr>
        <w:t>É</w:t>
      </w:r>
      <w:r w:rsidR="007C57EF" w:rsidRPr="00E72418">
        <w:rPr>
          <w:rFonts w:ascii="Times New Roman" w:hAnsi="Times New Roman" w:cs="Times New Roman"/>
        </w:rPr>
        <w:t>tats européens incapables d’honorer les emprunts contractés pour financer la première guerre mondiale</w:t>
      </w:r>
      <w:r w:rsidR="007C57EF" w:rsidRPr="00E72418">
        <w:rPr>
          <w:rStyle w:val="Appelnotedebasdep"/>
          <w:rFonts w:ascii="Times New Roman" w:hAnsi="Times New Roman" w:cs="Times New Roman"/>
          <w:szCs w:val="24"/>
        </w:rPr>
        <w:footnoteReference w:id="271"/>
      </w:r>
      <w:r w:rsidR="007C57EF" w:rsidRPr="00E72418">
        <w:rPr>
          <w:rFonts w:ascii="Times New Roman" w:hAnsi="Times New Roman" w:cs="Times New Roman"/>
        </w:rPr>
        <w:t xml:space="preserve">. </w:t>
      </w:r>
      <w:r w:rsidR="007B0898" w:rsidRPr="00E72418">
        <w:rPr>
          <w:rFonts w:ascii="Times New Roman" w:hAnsi="Times New Roman" w:cs="Times New Roman"/>
        </w:rPr>
        <w:t xml:space="preserve">D’autres défauts de paiement suivirent comme </w:t>
      </w:r>
      <w:r w:rsidR="009E0738" w:rsidRPr="00E72418">
        <w:rPr>
          <w:rFonts w:ascii="Times New Roman" w:hAnsi="Times New Roman" w:cs="Times New Roman"/>
        </w:rPr>
        <w:t xml:space="preserve">notamment </w:t>
      </w:r>
      <w:r w:rsidR="007B0898" w:rsidRPr="00E72418">
        <w:rPr>
          <w:rFonts w:ascii="Times New Roman" w:hAnsi="Times New Roman" w:cs="Times New Roman"/>
        </w:rPr>
        <w:t xml:space="preserve">ceux du </w:t>
      </w:r>
      <w:r w:rsidR="007C57EF" w:rsidRPr="00E72418">
        <w:rPr>
          <w:rFonts w:ascii="Times New Roman" w:hAnsi="Times New Roman" w:cs="Times New Roman"/>
        </w:rPr>
        <w:t>B</w:t>
      </w:r>
      <w:r w:rsidR="00917B8F" w:rsidRPr="00E72418">
        <w:rPr>
          <w:rFonts w:ascii="Times New Roman" w:hAnsi="Times New Roman" w:cs="Times New Roman"/>
        </w:rPr>
        <w:t xml:space="preserve">résil, </w:t>
      </w:r>
      <w:r w:rsidR="009E0738" w:rsidRPr="00E72418">
        <w:rPr>
          <w:rFonts w:ascii="Times New Roman" w:hAnsi="Times New Roman" w:cs="Times New Roman"/>
        </w:rPr>
        <w:t xml:space="preserve">du </w:t>
      </w:r>
      <w:r w:rsidR="00917B8F" w:rsidRPr="00E72418">
        <w:rPr>
          <w:rFonts w:ascii="Times New Roman" w:hAnsi="Times New Roman" w:cs="Times New Roman"/>
        </w:rPr>
        <w:t xml:space="preserve">Chili, </w:t>
      </w:r>
      <w:r w:rsidR="009E0738" w:rsidRPr="00E72418">
        <w:rPr>
          <w:rFonts w:ascii="Times New Roman" w:hAnsi="Times New Roman" w:cs="Times New Roman"/>
        </w:rPr>
        <w:t xml:space="preserve">du </w:t>
      </w:r>
      <w:r w:rsidR="007C57EF" w:rsidRPr="00E72418">
        <w:rPr>
          <w:rFonts w:ascii="Times New Roman" w:hAnsi="Times New Roman" w:cs="Times New Roman"/>
        </w:rPr>
        <w:t>Costa Rica</w:t>
      </w:r>
      <w:r w:rsidR="009E0738" w:rsidRPr="00E72418">
        <w:rPr>
          <w:rFonts w:ascii="Times New Roman" w:hAnsi="Times New Roman" w:cs="Times New Roman"/>
        </w:rPr>
        <w:t xml:space="preserve"> et de</w:t>
      </w:r>
      <w:r w:rsidR="007C57EF" w:rsidRPr="00E72418">
        <w:rPr>
          <w:rFonts w:ascii="Times New Roman" w:hAnsi="Times New Roman" w:cs="Times New Roman"/>
        </w:rPr>
        <w:t xml:space="preserve"> l’Uruguay</w:t>
      </w:r>
      <w:r w:rsidR="007B0898" w:rsidRPr="00E72418">
        <w:rPr>
          <w:rFonts w:ascii="Times New Roman" w:hAnsi="Times New Roman" w:cs="Times New Roman"/>
        </w:rPr>
        <w:t>, en Amérique,</w:t>
      </w:r>
      <w:r w:rsidR="007C57EF" w:rsidRPr="00E72418">
        <w:rPr>
          <w:rFonts w:ascii="Times New Roman" w:hAnsi="Times New Roman" w:cs="Times New Roman"/>
        </w:rPr>
        <w:t xml:space="preserve"> </w:t>
      </w:r>
      <w:r w:rsidR="00917B8F" w:rsidRPr="00E72418">
        <w:rPr>
          <w:rFonts w:ascii="Times New Roman" w:hAnsi="Times New Roman" w:cs="Times New Roman"/>
        </w:rPr>
        <w:t>ou</w:t>
      </w:r>
      <w:r w:rsidR="007C57EF" w:rsidRPr="00E72418">
        <w:rPr>
          <w:rFonts w:ascii="Times New Roman" w:hAnsi="Times New Roman" w:cs="Times New Roman"/>
        </w:rPr>
        <w:t xml:space="preserve"> encore, en Europe, </w:t>
      </w:r>
      <w:r w:rsidR="007B0898" w:rsidRPr="00E72418">
        <w:rPr>
          <w:rFonts w:ascii="Times New Roman" w:hAnsi="Times New Roman" w:cs="Times New Roman"/>
        </w:rPr>
        <w:t xml:space="preserve">ceux de </w:t>
      </w:r>
      <w:r w:rsidR="007C57EF" w:rsidRPr="00E72418">
        <w:rPr>
          <w:rFonts w:ascii="Times New Roman" w:hAnsi="Times New Roman" w:cs="Times New Roman"/>
        </w:rPr>
        <w:t xml:space="preserve">la Grèce, </w:t>
      </w:r>
      <w:r w:rsidR="007B0898" w:rsidRPr="00E72418">
        <w:rPr>
          <w:rFonts w:ascii="Times New Roman" w:hAnsi="Times New Roman" w:cs="Times New Roman"/>
        </w:rPr>
        <w:t xml:space="preserve">de </w:t>
      </w:r>
      <w:r w:rsidR="007C57EF" w:rsidRPr="00E72418">
        <w:rPr>
          <w:rFonts w:ascii="Times New Roman" w:hAnsi="Times New Roman" w:cs="Times New Roman"/>
        </w:rPr>
        <w:t>la Hongrie</w:t>
      </w:r>
      <w:r w:rsidR="007B0898" w:rsidRPr="00E72418">
        <w:rPr>
          <w:rFonts w:ascii="Times New Roman" w:hAnsi="Times New Roman" w:cs="Times New Roman"/>
        </w:rPr>
        <w:t xml:space="preserve"> et de </w:t>
      </w:r>
      <w:r w:rsidR="007C57EF" w:rsidRPr="00E72418">
        <w:rPr>
          <w:rFonts w:ascii="Times New Roman" w:hAnsi="Times New Roman" w:cs="Times New Roman"/>
        </w:rPr>
        <w:t>la Pologne</w:t>
      </w:r>
      <w:r w:rsidR="007C57EF" w:rsidRPr="00E72418">
        <w:rPr>
          <w:rStyle w:val="Appelnotedebasdep"/>
          <w:rFonts w:ascii="Times New Roman" w:hAnsi="Times New Roman" w:cs="Times New Roman"/>
          <w:szCs w:val="24"/>
        </w:rPr>
        <w:footnoteReference w:id="272"/>
      </w:r>
      <w:r w:rsidR="007C57EF" w:rsidRPr="00E72418">
        <w:rPr>
          <w:rFonts w:ascii="Times New Roman" w:hAnsi="Times New Roman" w:cs="Times New Roman"/>
        </w:rPr>
        <w:t>.</w:t>
      </w:r>
    </w:p>
    <w:p w14:paraId="54033F25" w14:textId="68A6595D"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Les années 80 marquèrent un tournant dans l’appréhension du phénomène</w:t>
      </w:r>
      <w:r w:rsidR="00917B8F" w:rsidRPr="00E72418">
        <w:rPr>
          <w:rFonts w:ascii="Times New Roman" w:hAnsi="Times New Roman" w:cs="Times New Roman"/>
        </w:rPr>
        <w:t xml:space="preserve"> du défaut souverain</w:t>
      </w:r>
      <w:r w:rsidRPr="00E72418">
        <w:rPr>
          <w:rFonts w:ascii="Times New Roman" w:hAnsi="Times New Roman" w:cs="Times New Roman"/>
        </w:rPr>
        <w:t>. En août 1982, le Mexique déclara officiellement son incapacité à faire face à sa dette due principalement à des banques commerciales</w:t>
      </w:r>
      <w:r w:rsidRPr="00E72418">
        <w:rPr>
          <w:rStyle w:val="Appelnotedebasdep"/>
          <w:rFonts w:ascii="Times New Roman" w:hAnsi="Times New Roman" w:cs="Times New Roman"/>
          <w:szCs w:val="24"/>
        </w:rPr>
        <w:footnoteReference w:id="273"/>
      </w:r>
      <w:r w:rsidRPr="00E72418">
        <w:rPr>
          <w:rFonts w:ascii="Times New Roman" w:hAnsi="Times New Roman" w:cs="Times New Roman"/>
        </w:rPr>
        <w:t xml:space="preserve">. La défaillance mexicaine fut prise comme moment charnière à partir duquel l’endettement extérieur des </w:t>
      </w:r>
      <w:r w:rsidRPr="00E72418">
        <w:rPr>
          <w:rFonts w:ascii="Times New Roman" w:hAnsi="Times New Roman" w:cs="Times New Roman"/>
          <w:lang w:eastAsia="fr-BE"/>
        </w:rPr>
        <w:t>É</w:t>
      </w:r>
      <w:r w:rsidRPr="00E72418">
        <w:rPr>
          <w:rFonts w:ascii="Times New Roman" w:hAnsi="Times New Roman" w:cs="Times New Roman"/>
        </w:rPr>
        <w:t>tats devint un sujet de préoccupation majeur pour la communauté internationale</w:t>
      </w:r>
      <w:r w:rsidRPr="00E72418">
        <w:rPr>
          <w:rStyle w:val="Appelnotedebasdep"/>
          <w:rFonts w:ascii="Times New Roman" w:hAnsi="Times New Roman" w:cs="Times New Roman"/>
          <w:szCs w:val="24"/>
        </w:rPr>
        <w:footnoteReference w:id="274"/>
      </w:r>
      <w:r w:rsidRPr="00E72418">
        <w:rPr>
          <w:rFonts w:ascii="Times New Roman" w:hAnsi="Times New Roman" w:cs="Times New Roman"/>
        </w:rPr>
        <w:t>. Plus génér</w:t>
      </w:r>
      <w:r w:rsidR="00917B8F" w:rsidRPr="00E72418">
        <w:rPr>
          <w:rFonts w:ascii="Times New Roman" w:hAnsi="Times New Roman" w:cs="Times New Roman"/>
        </w:rPr>
        <w:t>alement, la seconde moitié du vingtième</w:t>
      </w:r>
      <w:r w:rsidRPr="00E72418">
        <w:rPr>
          <w:rFonts w:ascii="Times New Roman" w:hAnsi="Times New Roman" w:cs="Times New Roman"/>
        </w:rPr>
        <w:t xml:space="preserve"> siècle vit de nombreux pays rencontrer des difficultés relatives à leur dette. Ce fut ainsi le cas de nombreux </w:t>
      </w:r>
      <w:r w:rsidR="00917B8F" w:rsidRPr="00E72418">
        <w:rPr>
          <w:rFonts w:ascii="Times New Roman" w:hAnsi="Times New Roman" w:cs="Times New Roman"/>
          <w:lang w:eastAsia="fr-BE"/>
        </w:rPr>
        <w:t>É</w:t>
      </w:r>
      <w:r w:rsidR="00917B8F" w:rsidRPr="00E72418">
        <w:rPr>
          <w:rFonts w:ascii="Times New Roman" w:hAnsi="Times New Roman" w:cs="Times New Roman"/>
        </w:rPr>
        <w:t xml:space="preserve">tats </w:t>
      </w:r>
      <w:r w:rsidRPr="00E72418">
        <w:rPr>
          <w:rFonts w:ascii="Times New Roman" w:hAnsi="Times New Roman" w:cs="Times New Roman"/>
        </w:rPr>
        <w:t xml:space="preserve">d’Amérique du sud comme le Brésil en 1998-1999 et </w:t>
      </w:r>
      <w:r w:rsidR="00917B8F" w:rsidRPr="00E72418">
        <w:rPr>
          <w:rFonts w:ascii="Times New Roman" w:hAnsi="Times New Roman" w:cs="Times New Roman"/>
        </w:rPr>
        <w:t>l’</w:t>
      </w:r>
      <w:r w:rsidR="00917B8F" w:rsidRPr="00E72418">
        <w:rPr>
          <w:rFonts w:ascii="Times New Roman" w:hAnsi="Times New Roman" w:cs="Times New Roman"/>
          <w:lang w:eastAsia="fr-BE"/>
        </w:rPr>
        <w:t>É</w:t>
      </w:r>
      <w:r w:rsidRPr="00E72418">
        <w:rPr>
          <w:rFonts w:ascii="Times New Roman" w:hAnsi="Times New Roman" w:cs="Times New Roman"/>
        </w:rPr>
        <w:t>quateur en 1999</w:t>
      </w:r>
      <w:r w:rsidR="004B1AD5" w:rsidRPr="00E72418">
        <w:rPr>
          <w:rFonts w:ascii="Times New Roman" w:hAnsi="Times New Roman" w:cs="Times New Roman"/>
        </w:rPr>
        <w:t>. L’Amérique latine ne fut pas la seule touchée comme en témoignent les difficultés russes ou enco</w:t>
      </w:r>
      <w:r w:rsidR="00025355" w:rsidRPr="00E72418">
        <w:rPr>
          <w:rFonts w:ascii="Times New Roman" w:hAnsi="Times New Roman" w:cs="Times New Roman"/>
        </w:rPr>
        <w:t>re pakistanaises à la fin du siè</w:t>
      </w:r>
      <w:r w:rsidR="004B1AD5" w:rsidRPr="00E72418">
        <w:rPr>
          <w:rFonts w:ascii="Times New Roman" w:hAnsi="Times New Roman" w:cs="Times New Roman"/>
        </w:rPr>
        <w:t>cle passé</w:t>
      </w:r>
      <w:r w:rsidRPr="00E72418">
        <w:rPr>
          <w:rStyle w:val="Appelnotedebasdep"/>
          <w:rFonts w:ascii="Times New Roman" w:hAnsi="Times New Roman" w:cs="Times New Roman"/>
          <w:szCs w:val="24"/>
        </w:rPr>
        <w:footnoteReference w:id="275"/>
      </w:r>
      <w:r w:rsidRPr="00E72418">
        <w:rPr>
          <w:rFonts w:ascii="Times New Roman" w:hAnsi="Times New Roman" w:cs="Times New Roman"/>
        </w:rPr>
        <w:t>.</w:t>
      </w:r>
    </w:p>
    <w:p w14:paraId="1B9A4224" w14:textId="4D657537"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Le début du </w:t>
      </w:r>
      <w:r w:rsidR="00917B8F" w:rsidRPr="00E72418">
        <w:rPr>
          <w:rFonts w:ascii="Times New Roman" w:hAnsi="Times New Roman" w:cs="Times New Roman"/>
        </w:rPr>
        <w:t xml:space="preserve">vingt-et-unième </w:t>
      </w:r>
      <w:r w:rsidRPr="00E72418">
        <w:rPr>
          <w:rFonts w:ascii="Times New Roman" w:hAnsi="Times New Roman" w:cs="Times New Roman"/>
        </w:rPr>
        <w:t xml:space="preserve">siècle ne fut pas épargné. L’exemple </w:t>
      </w:r>
      <w:r w:rsidR="00982869" w:rsidRPr="00E72418">
        <w:rPr>
          <w:rFonts w:ascii="Times New Roman" w:hAnsi="Times New Roman" w:cs="Times New Roman"/>
        </w:rPr>
        <w:t>saillant</w:t>
      </w:r>
      <w:r w:rsidRPr="00E72418">
        <w:rPr>
          <w:rFonts w:ascii="Times New Roman" w:hAnsi="Times New Roman" w:cs="Times New Roman"/>
        </w:rPr>
        <w:t xml:space="preserve"> est indubitablement celui de l’Argentine mai</w:t>
      </w:r>
      <w:r w:rsidR="00B85F7F" w:rsidRPr="00E72418">
        <w:rPr>
          <w:rFonts w:ascii="Times New Roman" w:hAnsi="Times New Roman" w:cs="Times New Roman"/>
        </w:rPr>
        <w:t>s d’autres pays comme la Turquie</w:t>
      </w:r>
      <w:r w:rsidRPr="00E72418">
        <w:rPr>
          <w:rFonts w:ascii="Times New Roman" w:hAnsi="Times New Roman" w:cs="Times New Roman"/>
        </w:rPr>
        <w:t>, le Brésil, la</w:t>
      </w:r>
      <w:r w:rsidR="00917B8F" w:rsidRPr="00E72418">
        <w:rPr>
          <w:rFonts w:ascii="Times New Roman" w:hAnsi="Times New Roman" w:cs="Times New Roman"/>
        </w:rPr>
        <w:t xml:space="preserve"> Russie, l’</w:t>
      </w:r>
      <w:r w:rsidR="00917B8F" w:rsidRPr="00E72418">
        <w:rPr>
          <w:rFonts w:ascii="Times New Roman" w:hAnsi="Times New Roman" w:cs="Times New Roman"/>
          <w:lang w:eastAsia="fr-BE"/>
        </w:rPr>
        <w:t>É</w:t>
      </w:r>
      <w:r w:rsidRPr="00E72418">
        <w:rPr>
          <w:rFonts w:ascii="Times New Roman" w:hAnsi="Times New Roman" w:cs="Times New Roman"/>
        </w:rPr>
        <w:t>quateur</w:t>
      </w:r>
      <w:r w:rsidR="00B85F7F" w:rsidRPr="00E72418">
        <w:rPr>
          <w:rFonts w:ascii="Times New Roman" w:hAnsi="Times New Roman" w:cs="Times New Roman"/>
        </w:rPr>
        <w:t>, la Jamaïque</w:t>
      </w:r>
      <w:r w:rsidRPr="00E72418">
        <w:rPr>
          <w:rFonts w:ascii="Times New Roman" w:hAnsi="Times New Roman" w:cs="Times New Roman"/>
        </w:rPr>
        <w:t xml:space="preserve"> ou encore l’Uruguay fire</w:t>
      </w:r>
      <w:r w:rsidR="00982869" w:rsidRPr="00E72418">
        <w:rPr>
          <w:rFonts w:ascii="Times New Roman" w:hAnsi="Times New Roman" w:cs="Times New Roman"/>
        </w:rPr>
        <w:t>nt également défaut. Ce</w:t>
      </w:r>
      <w:r w:rsidRPr="00E72418">
        <w:rPr>
          <w:rFonts w:ascii="Times New Roman" w:hAnsi="Times New Roman" w:cs="Times New Roman"/>
        </w:rPr>
        <w:t xml:space="preserve"> fut</w:t>
      </w:r>
      <w:r w:rsidR="00982869" w:rsidRPr="00E72418">
        <w:rPr>
          <w:rFonts w:ascii="Times New Roman" w:hAnsi="Times New Roman" w:cs="Times New Roman"/>
        </w:rPr>
        <w:t xml:space="preserve"> ensuite</w:t>
      </w:r>
      <w:r w:rsidRPr="00E72418">
        <w:rPr>
          <w:rFonts w:ascii="Times New Roman" w:hAnsi="Times New Roman" w:cs="Times New Roman"/>
        </w:rPr>
        <w:t xml:space="preserve"> le tour de la Grèce, de Chypre, de l’Irlande et du Portugal</w:t>
      </w:r>
      <w:r w:rsidRPr="00E72418">
        <w:rPr>
          <w:rStyle w:val="Appelnotedebasdep"/>
          <w:rFonts w:ascii="Times New Roman" w:hAnsi="Times New Roman" w:cs="Times New Roman"/>
          <w:szCs w:val="24"/>
        </w:rPr>
        <w:footnoteReference w:id="276"/>
      </w:r>
      <w:r w:rsidRPr="00E72418">
        <w:rPr>
          <w:rFonts w:ascii="Times New Roman" w:hAnsi="Times New Roman" w:cs="Times New Roman"/>
        </w:rPr>
        <w:t>.</w:t>
      </w:r>
      <w:r w:rsidR="00060C18" w:rsidRPr="00E72418">
        <w:rPr>
          <w:rFonts w:ascii="Times New Roman" w:hAnsi="Times New Roman" w:cs="Times New Roman"/>
        </w:rPr>
        <w:t xml:space="preserve"> </w:t>
      </w:r>
      <w:r w:rsidR="0014720F" w:rsidRPr="00E72418">
        <w:rPr>
          <w:rFonts w:ascii="Times New Roman" w:hAnsi="Times New Roman" w:cs="Times New Roman"/>
        </w:rPr>
        <w:t xml:space="preserve">La revue </w:t>
      </w:r>
      <w:r w:rsidR="0014720F" w:rsidRPr="00E72418">
        <w:rPr>
          <w:rFonts w:ascii="Times New Roman" w:hAnsi="Times New Roman" w:cs="Times New Roman"/>
          <w:i/>
        </w:rPr>
        <w:t>The Economist</w:t>
      </w:r>
      <w:r w:rsidR="0014720F" w:rsidRPr="00E72418">
        <w:rPr>
          <w:rFonts w:ascii="Times New Roman" w:hAnsi="Times New Roman" w:cs="Times New Roman"/>
        </w:rPr>
        <w:t xml:space="preserve"> notait en novembre dernier que sur la seule année 2020, </w:t>
      </w:r>
      <w:r w:rsidR="00B3200D" w:rsidRPr="00E72418">
        <w:rPr>
          <w:rFonts w:ascii="Times New Roman" w:hAnsi="Times New Roman" w:cs="Times New Roman"/>
        </w:rPr>
        <w:t xml:space="preserve">six </w:t>
      </w:r>
      <w:r w:rsidR="00B3200D" w:rsidRPr="00E72418">
        <w:rPr>
          <w:rFonts w:ascii="Times New Roman" w:hAnsi="Times New Roman" w:cs="Times New Roman"/>
          <w:lang w:eastAsia="fr-BE"/>
        </w:rPr>
        <w:t>É</w:t>
      </w:r>
      <w:r w:rsidR="0014720F" w:rsidRPr="00E72418">
        <w:rPr>
          <w:rFonts w:ascii="Times New Roman" w:hAnsi="Times New Roman" w:cs="Times New Roman"/>
        </w:rPr>
        <w:t>tats avaient fait défaut parmi lesquels l’Argentine et la Zambie</w:t>
      </w:r>
      <w:r w:rsidR="00646A4C" w:rsidRPr="00E72418">
        <w:rPr>
          <w:rStyle w:val="Appelnotedebasdep"/>
          <w:rFonts w:ascii="Times New Roman" w:hAnsi="Times New Roman" w:cs="Times New Roman"/>
        </w:rPr>
        <w:footnoteReference w:id="277"/>
      </w:r>
      <w:r w:rsidR="0014720F" w:rsidRPr="00E72418">
        <w:rPr>
          <w:rFonts w:ascii="Times New Roman" w:hAnsi="Times New Roman" w:cs="Times New Roman"/>
        </w:rPr>
        <w:t>.</w:t>
      </w:r>
    </w:p>
    <w:p w14:paraId="07E80E70" w14:textId="3204E089" w:rsidR="007C57EF" w:rsidRPr="00E72418" w:rsidRDefault="007C57EF" w:rsidP="00CC4BA8">
      <w:pPr>
        <w:spacing w:line="276" w:lineRule="auto"/>
        <w:rPr>
          <w:rFonts w:ascii="Times New Roman" w:hAnsi="Times New Roman" w:cs="Times New Roman"/>
          <w:b/>
        </w:rPr>
      </w:pPr>
      <w:r w:rsidRPr="00E72418">
        <w:rPr>
          <w:rFonts w:ascii="Times New Roman" w:hAnsi="Times New Roman" w:cs="Times New Roman"/>
          <w:szCs w:val="24"/>
        </w:rPr>
        <w:t xml:space="preserve">Et </w:t>
      </w:r>
      <w:r w:rsidR="00F740A5" w:rsidRPr="00E72418">
        <w:rPr>
          <w:rFonts w:ascii="Times New Roman" w:hAnsi="Times New Roman" w:cs="Times New Roman"/>
          <w:szCs w:val="24"/>
        </w:rPr>
        <w:t xml:space="preserve">l’avenir n’est pas plus encourageant </w:t>
      </w:r>
      <w:r w:rsidRPr="00E72418">
        <w:rPr>
          <w:rFonts w:ascii="Times New Roman" w:hAnsi="Times New Roman" w:cs="Times New Roman"/>
          <w:szCs w:val="24"/>
        </w:rPr>
        <w:t xml:space="preserve">à lire </w:t>
      </w:r>
      <w:r w:rsidR="00EA7FD2" w:rsidRPr="00E72418">
        <w:rPr>
          <w:rFonts w:ascii="Times New Roman" w:hAnsi="Times New Roman" w:cs="Times New Roman"/>
          <w:szCs w:val="24"/>
        </w:rPr>
        <w:t xml:space="preserve">Lizzie </w:t>
      </w:r>
      <w:r w:rsidR="00EA7FD2" w:rsidRPr="00E72418">
        <w:rPr>
          <w:rFonts w:ascii="Times New Roman" w:hAnsi="Times New Roman" w:cs="Times New Roman"/>
        </w:rPr>
        <w:t xml:space="preserve">Meager </w:t>
      </w:r>
      <w:r w:rsidR="00EA7FD2" w:rsidRPr="00E72418">
        <w:rPr>
          <w:rFonts w:ascii="Times New Roman" w:hAnsi="Times New Roman" w:cs="Times New Roman"/>
          <w:i/>
        </w:rPr>
        <w:t>et al.</w:t>
      </w:r>
      <w:r w:rsidR="00EA7FD2" w:rsidRPr="00E72418">
        <w:rPr>
          <w:rFonts w:ascii="Times New Roman" w:hAnsi="Times New Roman" w:cs="Times New Roman"/>
        </w:rPr>
        <w:t xml:space="preserve"> </w:t>
      </w:r>
      <w:r w:rsidR="00F740A5" w:rsidRPr="00E72418">
        <w:rPr>
          <w:rFonts w:ascii="Times New Roman" w:hAnsi="Times New Roman" w:cs="Times New Roman"/>
        </w:rPr>
        <w:t>pour qui</w:t>
      </w:r>
      <w:r w:rsidRPr="00E72418">
        <w:rPr>
          <w:rFonts w:ascii="Times New Roman" w:hAnsi="Times New Roman" w:cs="Times New Roman"/>
        </w:rPr>
        <w:t xml:space="preserve"> </w:t>
      </w:r>
      <w:r w:rsidRPr="00E72418">
        <w:rPr>
          <w:rFonts w:ascii="Times New Roman" w:hAnsi="Times New Roman" w:cs="Times New Roman"/>
          <w:szCs w:val="24"/>
        </w:rPr>
        <w:t>« </w:t>
      </w:r>
      <w:r w:rsidRPr="00E72418">
        <w:rPr>
          <w:rFonts w:ascii="Times New Roman" w:hAnsi="Times New Roman" w:cs="Times New Roman"/>
        </w:rPr>
        <w:t>[i]t seems the global economy is bracing itself for a</w:t>
      </w:r>
      <w:r w:rsidR="00F740A5" w:rsidRPr="00E72418">
        <w:rPr>
          <w:rFonts w:ascii="Times New Roman" w:hAnsi="Times New Roman" w:cs="Times New Roman"/>
        </w:rPr>
        <w:t xml:space="preserve"> new wave of sovereign defaults » en ce que « [n]</w:t>
      </w:r>
      <w:r w:rsidRPr="00E72418">
        <w:rPr>
          <w:rFonts w:ascii="Times New Roman" w:hAnsi="Times New Roman" w:cs="Times New Roman"/>
        </w:rPr>
        <w:t>early ten years after the last financial crisis, a growing number of economies are still living beyond their means, including many of the so-called more developed nations »</w:t>
      </w:r>
      <w:r w:rsidRPr="00E72418">
        <w:rPr>
          <w:rStyle w:val="Appelnotedebasdep"/>
          <w:rFonts w:ascii="Times New Roman" w:hAnsi="Times New Roman" w:cs="Times New Roman"/>
        </w:rPr>
        <w:footnoteReference w:id="278"/>
      </w:r>
      <w:r w:rsidRPr="00E72418">
        <w:rPr>
          <w:rFonts w:ascii="Times New Roman" w:hAnsi="Times New Roman" w:cs="Times New Roman"/>
        </w:rPr>
        <w:t>.</w:t>
      </w:r>
    </w:p>
    <w:p w14:paraId="6C7E8A5E" w14:textId="77777777" w:rsidR="007C57EF" w:rsidRPr="00E72418" w:rsidRDefault="007C57EF" w:rsidP="00423B60"/>
    <w:p w14:paraId="4D8F3461" w14:textId="4D6C3562" w:rsidR="007C57EF" w:rsidRPr="00E72418" w:rsidRDefault="007E31CD" w:rsidP="00CC4BA8">
      <w:pPr>
        <w:spacing w:line="276" w:lineRule="auto"/>
        <w:rPr>
          <w:rFonts w:ascii="Times New Roman" w:hAnsi="Times New Roman" w:cs="Times New Roman"/>
          <w:szCs w:val="24"/>
        </w:rPr>
      </w:pPr>
      <w:r w:rsidRPr="00E72418">
        <w:rPr>
          <w:rFonts w:ascii="Times New Roman" w:hAnsi="Times New Roman" w:cs="Times New Roman"/>
          <w:b/>
          <w:szCs w:val="24"/>
        </w:rPr>
        <w:lastRenderedPageBreak/>
        <w:t>5</w:t>
      </w:r>
      <w:r w:rsidR="007F038F" w:rsidRPr="00E72418">
        <w:rPr>
          <w:rFonts w:ascii="Times New Roman" w:hAnsi="Times New Roman" w:cs="Times New Roman"/>
          <w:b/>
          <w:szCs w:val="24"/>
        </w:rPr>
        <w:t>4</w:t>
      </w:r>
      <w:r w:rsidRPr="00E72418">
        <w:rPr>
          <w:rFonts w:ascii="Times New Roman" w:hAnsi="Times New Roman" w:cs="Times New Roman"/>
          <w:b/>
          <w:szCs w:val="24"/>
        </w:rPr>
        <w:t xml:space="preserve">. </w:t>
      </w:r>
      <w:r w:rsidR="003E7923" w:rsidRPr="00E72418">
        <w:rPr>
          <w:rFonts w:ascii="Times New Roman" w:hAnsi="Times New Roman" w:cs="Times New Roman"/>
          <w:b/>
          <w:szCs w:val="24"/>
        </w:rPr>
        <w:t>Les crises des</w:t>
      </w:r>
      <w:r w:rsidR="007C57EF" w:rsidRPr="00E72418">
        <w:rPr>
          <w:rFonts w:ascii="Times New Roman" w:hAnsi="Times New Roman" w:cs="Times New Roman"/>
          <w:b/>
          <w:szCs w:val="24"/>
        </w:rPr>
        <w:t xml:space="preserve"> dette</w:t>
      </w:r>
      <w:r w:rsidR="003E7923" w:rsidRPr="00E72418">
        <w:rPr>
          <w:rFonts w:ascii="Times New Roman" w:hAnsi="Times New Roman" w:cs="Times New Roman"/>
          <w:b/>
          <w:szCs w:val="24"/>
        </w:rPr>
        <w:t>s</w:t>
      </w:r>
      <w:r w:rsidR="007C57EF" w:rsidRPr="00E72418">
        <w:rPr>
          <w:rFonts w:ascii="Times New Roman" w:hAnsi="Times New Roman" w:cs="Times New Roman"/>
          <w:b/>
          <w:szCs w:val="24"/>
        </w:rPr>
        <w:t xml:space="preserve"> souveraine</w:t>
      </w:r>
      <w:r w:rsidR="003E7923" w:rsidRPr="00E72418">
        <w:rPr>
          <w:rFonts w:ascii="Times New Roman" w:hAnsi="Times New Roman" w:cs="Times New Roman"/>
          <w:b/>
          <w:szCs w:val="24"/>
        </w:rPr>
        <w:t>s</w:t>
      </w:r>
      <w:r w:rsidR="007C57EF" w:rsidRPr="00E72418">
        <w:rPr>
          <w:rFonts w:ascii="Times New Roman" w:hAnsi="Times New Roman" w:cs="Times New Roman"/>
          <w:b/>
          <w:szCs w:val="24"/>
        </w:rPr>
        <w:t xml:space="preserve"> – </w:t>
      </w:r>
      <w:r w:rsidR="00B86471" w:rsidRPr="00E72418">
        <w:rPr>
          <w:rFonts w:ascii="Times New Roman" w:hAnsi="Times New Roman" w:cs="Times New Roman"/>
          <w:szCs w:val="24"/>
        </w:rPr>
        <w:t>Comme le note Barry</w:t>
      </w:r>
      <w:r w:rsidR="007C57EF" w:rsidRPr="00E72418">
        <w:rPr>
          <w:rFonts w:ascii="Times New Roman" w:hAnsi="Times New Roman" w:cs="Times New Roman"/>
          <w:szCs w:val="24"/>
        </w:rPr>
        <w:t xml:space="preserve"> Eichengreen, « </w:t>
      </w:r>
      <w:r w:rsidR="001D4034" w:rsidRPr="00E72418">
        <w:rPr>
          <w:rFonts w:ascii="Times New Roman" w:hAnsi="Times New Roman" w:cs="Times New Roman"/>
          <w:szCs w:val="24"/>
        </w:rPr>
        <w:t xml:space="preserve">crises </w:t>
      </w:r>
      <w:r w:rsidR="007C57EF" w:rsidRPr="00E72418">
        <w:rPr>
          <w:rFonts w:ascii="Times New Roman" w:hAnsi="Times New Roman" w:cs="Times New Roman"/>
          <w:szCs w:val="24"/>
        </w:rPr>
        <w:t>have always been with us and always will be »</w:t>
      </w:r>
      <w:r w:rsidR="007C57EF" w:rsidRPr="00E72418">
        <w:rPr>
          <w:rStyle w:val="Appelnotedebasdep"/>
          <w:rFonts w:ascii="Times New Roman" w:hAnsi="Times New Roman" w:cs="Times New Roman"/>
          <w:szCs w:val="24"/>
        </w:rPr>
        <w:footnoteReference w:id="279"/>
      </w:r>
      <w:r w:rsidR="007C57EF" w:rsidRPr="00E72418">
        <w:rPr>
          <w:rFonts w:ascii="Times New Roman" w:hAnsi="Times New Roman" w:cs="Times New Roman"/>
          <w:szCs w:val="24"/>
        </w:rPr>
        <w:t xml:space="preserve">. Les épisodes de </w:t>
      </w:r>
      <w:r w:rsidR="00F740A5" w:rsidRPr="00E72418">
        <w:rPr>
          <w:rFonts w:ascii="Times New Roman" w:hAnsi="Times New Roman" w:cs="Times New Roman"/>
          <w:szCs w:val="24"/>
        </w:rPr>
        <w:t>crises</w:t>
      </w:r>
      <w:r w:rsidR="007C57EF" w:rsidRPr="00E72418">
        <w:rPr>
          <w:rFonts w:ascii="Times New Roman" w:hAnsi="Times New Roman" w:cs="Times New Roman"/>
          <w:szCs w:val="24"/>
        </w:rPr>
        <w:t xml:space="preserve"> surviennent par vague et sont généralement liés aux cycles économiques d’expansion et de récession</w:t>
      </w:r>
      <w:r w:rsidR="007C57EF" w:rsidRPr="00E72418">
        <w:rPr>
          <w:rStyle w:val="Appelnotedebasdep"/>
          <w:rFonts w:ascii="Times New Roman" w:hAnsi="Times New Roman" w:cs="Times New Roman"/>
          <w:szCs w:val="24"/>
        </w:rPr>
        <w:footnoteReference w:id="280"/>
      </w:r>
      <w:r w:rsidR="007C57EF" w:rsidRPr="00E72418">
        <w:rPr>
          <w:rFonts w:ascii="Times New Roman" w:hAnsi="Times New Roman" w:cs="Times New Roman"/>
          <w:szCs w:val="24"/>
        </w:rPr>
        <w:t>. Si, à première vue, les défauts souverains et</w:t>
      </w:r>
      <w:r w:rsidR="00F740A5" w:rsidRPr="00E72418">
        <w:rPr>
          <w:rFonts w:ascii="Times New Roman" w:hAnsi="Times New Roman" w:cs="Times New Roman"/>
          <w:szCs w:val="24"/>
        </w:rPr>
        <w:t>,</w:t>
      </w:r>
      <w:r w:rsidR="007C57EF" w:rsidRPr="00E72418">
        <w:rPr>
          <w:rFonts w:ascii="Times New Roman" w:hAnsi="Times New Roman" w:cs="Times New Roman"/>
          <w:szCs w:val="24"/>
        </w:rPr>
        <w:t xml:space="preserve"> plus généralement</w:t>
      </w:r>
      <w:r w:rsidR="00F740A5" w:rsidRPr="00E72418">
        <w:rPr>
          <w:rFonts w:ascii="Times New Roman" w:hAnsi="Times New Roman" w:cs="Times New Roman"/>
          <w:szCs w:val="24"/>
        </w:rPr>
        <w:t>,</w:t>
      </w:r>
      <w:r w:rsidR="007C57EF" w:rsidRPr="00E72418">
        <w:rPr>
          <w:rFonts w:ascii="Times New Roman" w:hAnsi="Times New Roman" w:cs="Times New Roman"/>
          <w:szCs w:val="24"/>
        </w:rPr>
        <w:t xml:space="preserve"> les crises de</w:t>
      </w:r>
      <w:r w:rsidR="00F740A5" w:rsidRPr="00E72418">
        <w:rPr>
          <w:rFonts w:ascii="Times New Roman" w:hAnsi="Times New Roman" w:cs="Times New Roman"/>
          <w:szCs w:val="24"/>
        </w:rPr>
        <w:t>s</w:t>
      </w:r>
      <w:r w:rsidR="007C57EF" w:rsidRPr="00E72418">
        <w:rPr>
          <w:rFonts w:ascii="Times New Roman" w:hAnsi="Times New Roman" w:cs="Times New Roman"/>
          <w:szCs w:val="24"/>
        </w:rPr>
        <w:t xml:space="preserve"> dette</w:t>
      </w:r>
      <w:r w:rsidR="00F740A5" w:rsidRPr="00E72418">
        <w:rPr>
          <w:rFonts w:ascii="Times New Roman" w:hAnsi="Times New Roman" w:cs="Times New Roman"/>
          <w:szCs w:val="24"/>
        </w:rPr>
        <w:t>s</w:t>
      </w:r>
      <w:r w:rsidR="007C57EF" w:rsidRPr="00E72418">
        <w:rPr>
          <w:rFonts w:ascii="Times New Roman" w:hAnsi="Times New Roman" w:cs="Times New Roman"/>
          <w:szCs w:val="24"/>
        </w:rPr>
        <w:t xml:space="preserve"> souveraines semblent davantage tourmenter les pa</w:t>
      </w:r>
      <w:r w:rsidR="00F740A5" w:rsidRPr="00E72418">
        <w:rPr>
          <w:rFonts w:ascii="Times New Roman" w:hAnsi="Times New Roman" w:cs="Times New Roman"/>
          <w:szCs w:val="24"/>
        </w:rPr>
        <w:t>ys pauvres et les pays à revenu</w:t>
      </w:r>
      <w:r w:rsidR="007C57EF" w:rsidRPr="00E72418">
        <w:rPr>
          <w:rFonts w:ascii="Times New Roman" w:hAnsi="Times New Roman" w:cs="Times New Roman"/>
          <w:szCs w:val="24"/>
        </w:rPr>
        <w:t xml:space="preserve"> moye</w:t>
      </w:r>
      <w:r w:rsidR="00F740A5" w:rsidRPr="00E72418">
        <w:rPr>
          <w:rFonts w:ascii="Times New Roman" w:hAnsi="Times New Roman" w:cs="Times New Roman"/>
          <w:szCs w:val="24"/>
        </w:rPr>
        <w:t>n</w:t>
      </w:r>
      <w:r w:rsidR="007C57EF" w:rsidRPr="00E72418">
        <w:rPr>
          <w:rFonts w:ascii="Times New Roman" w:hAnsi="Times New Roman" w:cs="Times New Roman"/>
          <w:szCs w:val="24"/>
        </w:rPr>
        <w:t>, l’on ne saurait considérer qu’ils leur sont limités</w:t>
      </w:r>
      <w:r w:rsidR="007C57EF" w:rsidRPr="00E72418">
        <w:rPr>
          <w:rStyle w:val="Appelnotedebasdep"/>
          <w:rFonts w:ascii="Times New Roman" w:hAnsi="Times New Roman" w:cs="Times New Roman"/>
          <w:szCs w:val="24"/>
        </w:rPr>
        <w:footnoteReference w:id="281"/>
      </w:r>
      <w:r w:rsidR="007C57EF" w:rsidRPr="00E72418">
        <w:rPr>
          <w:rFonts w:ascii="Times New Roman" w:hAnsi="Times New Roman" w:cs="Times New Roman"/>
          <w:szCs w:val="24"/>
        </w:rPr>
        <w:t xml:space="preserve">. L’exemple de la crise de la zone euro et de la situation de la Grèce illustrent </w:t>
      </w:r>
      <w:r w:rsidR="00F740A5" w:rsidRPr="00E72418">
        <w:rPr>
          <w:rFonts w:ascii="Times New Roman" w:hAnsi="Times New Roman" w:cs="Times New Roman"/>
          <w:szCs w:val="24"/>
        </w:rPr>
        <w:t>le fait qu’aujourd’hui</w:t>
      </w:r>
      <w:r w:rsidR="007C57EF" w:rsidRPr="00E72418">
        <w:rPr>
          <w:rFonts w:ascii="Times New Roman" w:hAnsi="Times New Roman" w:cs="Times New Roman"/>
          <w:szCs w:val="24"/>
        </w:rPr>
        <w:t>, les crises de</w:t>
      </w:r>
      <w:r w:rsidR="00F740A5" w:rsidRPr="00E72418">
        <w:rPr>
          <w:rFonts w:ascii="Times New Roman" w:hAnsi="Times New Roman" w:cs="Times New Roman"/>
          <w:szCs w:val="24"/>
        </w:rPr>
        <w:t>s</w:t>
      </w:r>
      <w:r w:rsidR="007C57EF" w:rsidRPr="00E72418">
        <w:rPr>
          <w:rFonts w:ascii="Times New Roman" w:hAnsi="Times New Roman" w:cs="Times New Roman"/>
          <w:szCs w:val="24"/>
        </w:rPr>
        <w:t xml:space="preserve"> dette</w:t>
      </w:r>
      <w:r w:rsidR="00F740A5" w:rsidRPr="00E72418">
        <w:rPr>
          <w:rFonts w:ascii="Times New Roman" w:hAnsi="Times New Roman" w:cs="Times New Roman"/>
          <w:szCs w:val="24"/>
        </w:rPr>
        <w:t>s</w:t>
      </w:r>
      <w:r w:rsidR="007C57EF" w:rsidRPr="00E72418">
        <w:rPr>
          <w:rFonts w:ascii="Times New Roman" w:hAnsi="Times New Roman" w:cs="Times New Roman"/>
          <w:szCs w:val="24"/>
        </w:rPr>
        <w:t xml:space="preserve"> souveraine</w:t>
      </w:r>
      <w:r w:rsidR="00F740A5" w:rsidRPr="00E72418">
        <w:rPr>
          <w:rFonts w:ascii="Times New Roman" w:hAnsi="Times New Roman" w:cs="Times New Roman"/>
          <w:szCs w:val="24"/>
        </w:rPr>
        <w:t>s</w:t>
      </w:r>
      <w:r w:rsidR="007C57EF" w:rsidRPr="00E72418">
        <w:rPr>
          <w:rFonts w:ascii="Times New Roman" w:hAnsi="Times New Roman" w:cs="Times New Roman"/>
          <w:szCs w:val="24"/>
        </w:rPr>
        <w:t xml:space="preserve"> sont devenues un problème largement répandu touchant tant les économies développées que celles en voie de l’être</w:t>
      </w:r>
      <w:r w:rsidR="007C57EF" w:rsidRPr="00E72418">
        <w:rPr>
          <w:rStyle w:val="Appelnotedebasdep"/>
          <w:rFonts w:ascii="Times New Roman" w:hAnsi="Times New Roman" w:cs="Times New Roman"/>
          <w:szCs w:val="24"/>
        </w:rPr>
        <w:footnoteReference w:id="282"/>
      </w:r>
      <w:r w:rsidR="00F740A5" w:rsidRPr="00E72418">
        <w:rPr>
          <w:rFonts w:ascii="Times New Roman" w:hAnsi="Times New Roman" w:cs="Times New Roman"/>
          <w:szCs w:val="24"/>
        </w:rPr>
        <w:t>. L’explication de ce que c</w:t>
      </w:r>
      <w:r w:rsidR="007C57EF" w:rsidRPr="00E72418">
        <w:rPr>
          <w:rFonts w:ascii="Times New Roman" w:hAnsi="Times New Roman" w:cs="Times New Roman"/>
          <w:szCs w:val="24"/>
        </w:rPr>
        <w:t xml:space="preserve">es crises ne sont plus essentiellement le problème des pays en voie de développement et qu’elles </w:t>
      </w:r>
      <w:r w:rsidR="00F740A5" w:rsidRPr="00E72418">
        <w:rPr>
          <w:rFonts w:ascii="Times New Roman" w:hAnsi="Times New Roman" w:cs="Times New Roman"/>
          <w:szCs w:val="24"/>
        </w:rPr>
        <w:t>représentent</w:t>
      </w:r>
      <w:r w:rsidR="007C57EF" w:rsidRPr="00E72418">
        <w:rPr>
          <w:rFonts w:ascii="Times New Roman" w:hAnsi="Times New Roman" w:cs="Times New Roman"/>
          <w:szCs w:val="24"/>
        </w:rPr>
        <w:t xml:space="preserve"> une menace globale </w:t>
      </w:r>
      <w:r w:rsidR="00F740A5" w:rsidRPr="00E72418">
        <w:rPr>
          <w:rFonts w:ascii="Times New Roman" w:hAnsi="Times New Roman" w:cs="Times New Roman"/>
          <w:szCs w:val="24"/>
        </w:rPr>
        <w:t xml:space="preserve">réside </w:t>
      </w:r>
      <w:r w:rsidR="007C57EF" w:rsidRPr="00E72418">
        <w:rPr>
          <w:rFonts w:ascii="Times New Roman" w:hAnsi="Times New Roman" w:cs="Times New Roman"/>
          <w:szCs w:val="24"/>
        </w:rPr>
        <w:t>san</w:t>
      </w:r>
      <w:r w:rsidR="00E52089" w:rsidRPr="00E72418">
        <w:rPr>
          <w:rFonts w:ascii="Times New Roman" w:hAnsi="Times New Roman" w:cs="Times New Roman"/>
          <w:szCs w:val="24"/>
        </w:rPr>
        <w:t>s doute dans l’interconnexion</w:t>
      </w:r>
      <w:r w:rsidR="007C57EF" w:rsidRPr="00E72418">
        <w:rPr>
          <w:rFonts w:ascii="Times New Roman" w:hAnsi="Times New Roman" w:cs="Times New Roman"/>
          <w:szCs w:val="24"/>
        </w:rPr>
        <w:t xml:space="preserve"> des économies et les risques de contagion qui l’accompagnent</w:t>
      </w:r>
      <w:r w:rsidR="007C57EF" w:rsidRPr="00E72418">
        <w:rPr>
          <w:rStyle w:val="Appelnotedebasdep"/>
          <w:rFonts w:ascii="Times New Roman" w:hAnsi="Times New Roman" w:cs="Times New Roman"/>
          <w:szCs w:val="24"/>
        </w:rPr>
        <w:footnoteReference w:id="283"/>
      </w:r>
      <w:r w:rsidR="007C57EF" w:rsidRPr="00E72418">
        <w:rPr>
          <w:rFonts w:ascii="Times New Roman" w:hAnsi="Times New Roman" w:cs="Times New Roman"/>
          <w:szCs w:val="24"/>
        </w:rPr>
        <w:t>.</w:t>
      </w:r>
    </w:p>
    <w:p w14:paraId="09D94D60" w14:textId="1A4BA340" w:rsidR="007C57EF" w:rsidRPr="00E72418" w:rsidRDefault="005072EA" w:rsidP="00CC4BA8">
      <w:pPr>
        <w:spacing w:line="276" w:lineRule="auto"/>
        <w:rPr>
          <w:rFonts w:ascii="Times New Roman" w:hAnsi="Times New Roman" w:cs="Times New Roman"/>
          <w:szCs w:val="24"/>
        </w:rPr>
      </w:pPr>
      <w:r w:rsidRPr="00E72418">
        <w:rPr>
          <w:rFonts w:ascii="Times New Roman" w:hAnsi="Times New Roman" w:cs="Times New Roman"/>
          <w:szCs w:val="24"/>
        </w:rPr>
        <w:t>On le constate, l</w:t>
      </w:r>
      <w:r w:rsidR="007C57EF" w:rsidRPr="00E72418">
        <w:rPr>
          <w:rFonts w:ascii="Times New Roman" w:hAnsi="Times New Roman" w:cs="Times New Roman"/>
          <w:szCs w:val="24"/>
        </w:rPr>
        <w:t>es dé</w:t>
      </w:r>
      <w:r w:rsidR="00F740A5" w:rsidRPr="00E72418">
        <w:rPr>
          <w:rFonts w:ascii="Times New Roman" w:hAnsi="Times New Roman" w:cs="Times New Roman"/>
          <w:szCs w:val="24"/>
        </w:rPr>
        <w:t>fauts souverains ne sont pas d’hypothétiques</w:t>
      </w:r>
      <w:r w:rsidR="007C57EF" w:rsidRPr="00E72418">
        <w:rPr>
          <w:rFonts w:ascii="Times New Roman" w:hAnsi="Times New Roman" w:cs="Times New Roman"/>
          <w:szCs w:val="24"/>
        </w:rPr>
        <w:t xml:space="preserve"> scénarios catastrophes mais bien des problèmes réels</w:t>
      </w:r>
      <w:r w:rsidR="007C57EF" w:rsidRPr="00E72418">
        <w:rPr>
          <w:rStyle w:val="Appelnotedebasdep"/>
          <w:rFonts w:ascii="Times New Roman" w:hAnsi="Times New Roman" w:cs="Times New Roman"/>
          <w:szCs w:val="24"/>
        </w:rPr>
        <w:footnoteReference w:id="284"/>
      </w:r>
      <w:r w:rsidR="007C57EF" w:rsidRPr="00E72418">
        <w:rPr>
          <w:rFonts w:ascii="Times New Roman" w:hAnsi="Times New Roman" w:cs="Times New Roman"/>
          <w:szCs w:val="24"/>
        </w:rPr>
        <w:t xml:space="preserve">. Ces défauts </w:t>
      </w:r>
      <w:r w:rsidR="00F740A5" w:rsidRPr="00E72418">
        <w:rPr>
          <w:rFonts w:ascii="Times New Roman" w:hAnsi="Times New Roman" w:cs="Times New Roman"/>
          <w:szCs w:val="24"/>
        </w:rPr>
        <w:t>apparaissa</w:t>
      </w:r>
      <w:r w:rsidR="007C57EF" w:rsidRPr="00E72418">
        <w:rPr>
          <w:rFonts w:ascii="Times New Roman" w:hAnsi="Times New Roman" w:cs="Times New Roman"/>
          <w:szCs w:val="24"/>
        </w:rPr>
        <w:t>nt comme d’inévitables occurrences adviennent généralement à la suite d’une série de politiques économiques mal pensées prenant place dans un contexte d’instabilité économique</w:t>
      </w:r>
      <w:r w:rsidR="007C57EF" w:rsidRPr="00E72418">
        <w:rPr>
          <w:rStyle w:val="Appelnotedebasdep"/>
          <w:rFonts w:ascii="Times New Roman" w:hAnsi="Times New Roman" w:cs="Times New Roman"/>
          <w:szCs w:val="24"/>
        </w:rPr>
        <w:footnoteReference w:id="285"/>
      </w:r>
      <w:r w:rsidR="007C57EF" w:rsidRPr="00E72418">
        <w:rPr>
          <w:rFonts w:ascii="Times New Roman" w:hAnsi="Times New Roman" w:cs="Times New Roman"/>
          <w:szCs w:val="24"/>
        </w:rPr>
        <w:t xml:space="preserve">. Il est ainsi des cas où les </w:t>
      </w:r>
      <w:r w:rsidRPr="00E72418">
        <w:rPr>
          <w:rFonts w:ascii="Times New Roman" w:hAnsi="Times New Roman" w:cs="Times New Roman"/>
          <w:szCs w:val="24"/>
        </w:rPr>
        <w:t>défauts, et plus généralement, les crises des dettes souveraines</w:t>
      </w:r>
      <w:r w:rsidR="007C57EF" w:rsidRPr="00E72418">
        <w:rPr>
          <w:rFonts w:ascii="Times New Roman" w:hAnsi="Times New Roman" w:cs="Times New Roman"/>
          <w:szCs w:val="24"/>
        </w:rPr>
        <w:t xml:space="preserve"> sont le prolongement </w:t>
      </w:r>
      <w:r w:rsidRPr="00E72418">
        <w:rPr>
          <w:rFonts w:ascii="Times New Roman" w:hAnsi="Times New Roman" w:cs="Times New Roman"/>
          <w:szCs w:val="24"/>
        </w:rPr>
        <w:t>direct d’une</w:t>
      </w:r>
      <w:r w:rsidR="007C57EF" w:rsidRPr="00E72418">
        <w:rPr>
          <w:rFonts w:ascii="Times New Roman" w:hAnsi="Times New Roman" w:cs="Times New Roman"/>
          <w:szCs w:val="24"/>
        </w:rPr>
        <w:t xml:space="preserve"> crise</w:t>
      </w:r>
      <w:r w:rsidRPr="00E72418">
        <w:rPr>
          <w:rFonts w:ascii="Times New Roman" w:hAnsi="Times New Roman" w:cs="Times New Roman"/>
          <w:szCs w:val="24"/>
        </w:rPr>
        <w:t xml:space="preserve"> financière et économique, </w:t>
      </w:r>
      <w:r w:rsidR="007C57EF" w:rsidRPr="00E72418">
        <w:rPr>
          <w:rFonts w:ascii="Times New Roman" w:hAnsi="Times New Roman" w:cs="Times New Roman"/>
          <w:szCs w:val="24"/>
        </w:rPr>
        <w:t>l’</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 xml:space="preserve">tat </w:t>
      </w:r>
      <w:r w:rsidRPr="00E72418">
        <w:rPr>
          <w:rFonts w:ascii="Times New Roman" w:hAnsi="Times New Roman" w:cs="Times New Roman"/>
          <w:szCs w:val="24"/>
        </w:rPr>
        <w:t>s’étant mis</w:t>
      </w:r>
      <w:r w:rsidR="007C57EF" w:rsidRPr="00E72418">
        <w:rPr>
          <w:rFonts w:ascii="Times New Roman" w:hAnsi="Times New Roman" w:cs="Times New Roman"/>
          <w:szCs w:val="24"/>
        </w:rPr>
        <w:t xml:space="preserve"> en difficulté</w:t>
      </w:r>
      <w:r w:rsidRPr="00E72418">
        <w:rPr>
          <w:rFonts w:ascii="Times New Roman" w:hAnsi="Times New Roman" w:cs="Times New Roman"/>
          <w:szCs w:val="24"/>
        </w:rPr>
        <w:t xml:space="preserve"> financière après avoir consenti</w:t>
      </w:r>
      <w:r w:rsidR="007C57EF" w:rsidRPr="00E72418">
        <w:rPr>
          <w:rFonts w:ascii="Times New Roman" w:hAnsi="Times New Roman" w:cs="Times New Roman"/>
          <w:szCs w:val="24"/>
        </w:rPr>
        <w:t xml:space="preserve"> divers efforts </w:t>
      </w:r>
      <w:r w:rsidRPr="00E72418">
        <w:rPr>
          <w:rFonts w:ascii="Times New Roman" w:hAnsi="Times New Roman" w:cs="Times New Roman"/>
          <w:szCs w:val="24"/>
        </w:rPr>
        <w:t>visant, par exemple, la</w:t>
      </w:r>
      <w:r w:rsidR="009E72E5">
        <w:rPr>
          <w:rFonts w:ascii="Times New Roman" w:hAnsi="Times New Roman" w:cs="Times New Roman"/>
          <w:szCs w:val="24"/>
        </w:rPr>
        <w:t xml:space="preserve"> recapitalisation d’</w:t>
      </w:r>
      <w:r w:rsidR="007C57EF" w:rsidRPr="00E72418">
        <w:rPr>
          <w:rFonts w:ascii="Times New Roman" w:hAnsi="Times New Roman" w:cs="Times New Roman"/>
          <w:szCs w:val="24"/>
        </w:rPr>
        <w:t xml:space="preserve">institutions fragilisées et </w:t>
      </w:r>
      <w:r w:rsidRPr="00E72418">
        <w:rPr>
          <w:rFonts w:ascii="Times New Roman" w:hAnsi="Times New Roman" w:cs="Times New Roman"/>
          <w:szCs w:val="24"/>
        </w:rPr>
        <w:t>le</w:t>
      </w:r>
      <w:r w:rsidR="007C57EF" w:rsidRPr="00E72418">
        <w:rPr>
          <w:rFonts w:ascii="Times New Roman" w:hAnsi="Times New Roman" w:cs="Times New Roman"/>
          <w:szCs w:val="24"/>
        </w:rPr>
        <w:t xml:space="preserve"> soutien à la croissance économique</w:t>
      </w:r>
      <w:r w:rsidR="007C57EF" w:rsidRPr="00E72418">
        <w:rPr>
          <w:rStyle w:val="Appelnotedebasdep"/>
          <w:rFonts w:ascii="Times New Roman" w:hAnsi="Times New Roman" w:cs="Times New Roman"/>
          <w:szCs w:val="24"/>
        </w:rPr>
        <w:footnoteReference w:id="286"/>
      </w:r>
      <w:r w:rsidR="007C57EF" w:rsidRPr="00E72418">
        <w:rPr>
          <w:rFonts w:ascii="Times New Roman" w:hAnsi="Times New Roman" w:cs="Times New Roman"/>
          <w:szCs w:val="24"/>
        </w:rPr>
        <w:t xml:space="preserve">. Comme le relèvent </w:t>
      </w:r>
      <w:r w:rsidR="002672B1" w:rsidRPr="00E72418">
        <w:rPr>
          <w:rFonts w:ascii="Times New Roman" w:hAnsi="Times New Roman" w:cs="Times New Roman"/>
          <w:szCs w:val="24"/>
        </w:rPr>
        <w:t xml:space="preserve">John </w:t>
      </w:r>
      <w:r w:rsidR="007C57EF" w:rsidRPr="00E72418">
        <w:rPr>
          <w:rFonts w:ascii="Times New Roman" w:hAnsi="Times New Roman" w:cs="Times New Roman"/>
          <w:szCs w:val="24"/>
        </w:rPr>
        <w:t xml:space="preserve">Pottow et </w:t>
      </w:r>
      <w:r w:rsidR="002672B1" w:rsidRPr="00E72418">
        <w:rPr>
          <w:rFonts w:ascii="Times New Roman" w:hAnsi="Times New Roman" w:cs="Times New Roman"/>
          <w:szCs w:val="24"/>
        </w:rPr>
        <w:t xml:space="preserve">Emily </w:t>
      </w:r>
      <w:r w:rsidR="007C57EF" w:rsidRPr="00E72418">
        <w:rPr>
          <w:rFonts w:ascii="Times New Roman" w:hAnsi="Times New Roman" w:cs="Times New Roman"/>
          <w:szCs w:val="24"/>
        </w:rPr>
        <w:t>Iversen, « [t]he looming possibility of sovereign debt non-payment lurks behind many post-recession political crises »</w:t>
      </w:r>
      <w:r w:rsidR="007C57EF" w:rsidRPr="00E72418">
        <w:rPr>
          <w:rStyle w:val="Appelnotedebasdep"/>
          <w:rFonts w:ascii="Times New Roman" w:hAnsi="Times New Roman" w:cs="Times New Roman"/>
          <w:szCs w:val="24"/>
        </w:rPr>
        <w:footnoteReference w:id="287"/>
      </w:r>
      <w:r w:rsidR="007C57EF" w:rsidRPr="00E72418">
        <w:rPr>
          <w:rFonts w:ascii="Times New Roman" w:hAnsi="Times New Roman" w:cs="Times New Roman"/>
          <w:szCs w:val="24"/>
        </w:rPr>
        <w:t>.</w:t>
      </w:r>
    </w:p>
    <w:p w14:paraId="61799019" w14:textId="77777777" w:rsidR="007C57EF" w:rsidRPr="00E72418" w:rsidRDefault="007C57EF" w:rsidP="00423B60"/>
    <w:p w14:paraId="0FF3DB5B" w14:textId="77777777" w:rsidR="000F20AD" w:rsidRPr="00E72418" w:rsidRDefault="000F20AD">
      <w:pPr>
        <w:jc w:val="left"/>
        <w:rPr>
          <w:rFonts w:eastAsiaTheme="majorEastAsia" w:cstheme="majorBidi"/>
          <w:b/>
          <w:sz w:val="32"/>
          <w:szCs w:val="24"/>
          <w:u w:val="single"/>
        </w:rPr>
      </w:pPr>
      <w:bookmarkStart w:id="51" w:name="_Toc59280884"/>
      <w:bookmarkStart w:id="52" w:name="_Toc75106061"/>
      <w:bookmarkStart w:id="53" w:name="_Toc84540873"/>
      <w:r w:rsidRPr="00E72418">
        <w:br w:type="page"/>
      </w:r>
    </w:p>
    <w:p w14:paraId="0F99ECE5" w14:textId="7FDB024A" w:rsidR="007C57EF" w:rsidRPr="00E72418" w:rsidRDefault="000764CE" w:rsidP="00CC4BA8">
      <w:pPr>
        <w:pStyle w:val="CC"/>
        <w:spacing w:line="276" w:lineRule="auto"/>
      </w:pPr>
      <w:r w:rsidRPr="00E72418">
        <w:lastRenderedPageBreak/>
        <w:t xml:space="preserve">Chapitre 2 : </w:t>
      </w:r>
      <w:r w:rsidR="007C57EF" w:rsidRPr="00E72418">
        <w:t>Une prérogative souveraine</w:t>
      </w:r>
      <w:bookmarkEnd w:id="51"/>
      <w:bookmarkEnd w:id="52"/>
      <w:bookmarkEnd w:id="53"/>
      <w:r w:rsidR="007C57EF" w:rsidRPr="00E72418">
        <w:t xml:space="preserve"> </w:t>
      </w:r>
    </w:p>
    <w:p w14:paraId="1F21D08E" w14:textId="77777777" w:rsidR="007C57EF" w:rsidRPr="00E72418" w:rsidRDefault="007C57EF" w:rsidP="00423B60"/>
    <w:p w14:paraId="6F4A9660" w14:textId="29A0C82D" w:rsidR="007C57EF" w:rsidRPr="00E72418" w:rsidRDefault="007F038F" w:rsidP="00CC4BA8">
      <w:pPr>
        <w:spacing w:line="276" w:lineRule="auto"/>
        <w:rPr>
          <w:szCs w:val="24"/>
        </w:rPr>
      </w:pPr>
      <w:r w:rsidRPr="00E72418">
        <w:rPr>
          <w:b/>
          <w:szCs w:val="24"/>
        </w:rPr>
        <w:t>55</w:t>
      </w:r>
      <w:r w:rsidR="007E31CD" w:rsidRPr="00E72418">
        <w:rPr>
          <w:b/>
          <w:szCs w:val="24"/>
        </w:rPr>
        <w:t xml:space="preserve">. </w:t>
      </w:r>
      <w:r w:rsidR="007C57EF" w:rsidRPr="00E72418">
        <w:rPr>
          <w:b/>
          <w:szCs w:val="24"/>
        </w:rPr>
        <w:t xml:space="preserve">Une possibilité mesurée – </w:t>
      </w:r>
      <w:r w:rsidR="007C57EF" w:rsidRPr="00E72418">
        <w:rPr>
          <w:szCs w:val="24"/>
        </w:rPr>
        <w:t>Si l’on peut s</w:t>
      </w:r>
      <w:r w:rsidR="00765A3A" w:rsidRPr="00E72418">
        <w:rPr>
          <w:szCs w:val="24"/>
        </w:rPr>
        <w:t>e poser la question de la licéi</w:t>
      </w:r>
      <w:r w:rsidR="007C57EF" w:rsidRPr="00E72418">
        <w:rPr>
          <w:szCs w:val="24"/>
        </w:rPr>
        <w:t xml:space="preserve">té et de la légitimité pour un </w:t>
      </w:r>
      <w:r w:rsidR="007C57EF" w:rsidRPr="00E72418">
        <w:rPr>
          <w:szCs w:val="24"/>
          <w:lang w:eastAsia="fr-BE"/>
        </w:rPr>
        <w:t>É</w:t>
      </w:r>
      <w:r w:rsidR="007C57EF" w:rsidRPr="00E72418">
        <w:rPr>
          <w:szCs w:val="24"/>
        </w:rPr>
        <w:t>tat de suspendre ou d’annuler le service de sa dette</w:t>
      </w:r>
      <w:r w:rsidR="007C57EF" w:rsidRPr="00E72418">
        <w:rPr>
          <w:rStyle w:val="Appelnotedebasdep"/>
          <w:szCs w:val="24"/>
        </w:rPr>
        <w:footnoteReference w:id="288"/>
      </w:r>
      <w:r w:rsidR="007C57EF" w:rsidRPr="00E72418">
        <w:rPr>
          <w:szCs w:val="24"/>
        </w:rPr>
        <w:t xml:space="preserve">, le fait de se mettre dans une situation de cessation de paiement de ses créanciers tout en conservant la maîtrise de ses ressources est une prérogative découlant de la souveraineté qu’est </w:t>
      </w:r>
      <w:r w:rsidR="009A3DCC" w:rsidRPr="00E72418">
        <w:rPr>
          <w:szCs w:val="24"/>
        </w:rPr>
        <w:t xml:space="preserve">théoriquement </w:t>
      </w:r>
      <w:r w:rsidR="007C57EF" w:rsidRPr="00E72418">
        <w:rPr>
          <w:szCs w:val="24"/>
        </w:rPr>
        <w:t>la sienne</w:t>
      </w:r>
      <w:r w:rsidR="007C57EF" w:rsidRPr="00E72418">
        <w:rPr>
          <w:rStyle w:val="Appelnotedebasdep"/>
          <w:szCs w:val="24"/>
        </w:rPr>
        <w:footnoteReference w:id="289"/>
      </w:r>
      <w:r w:rsidR="007C57EF" w:rsidRPr="00E72418">
        <w:rPr>
          <w:szCs w:val="24"/>
        </w:rPr>
        <w:t xml:space="preserve">. </w:t>
      </w:r>
      <w:r w:rsidR="00813B03" w:rsidRPr="00E72418">
        <w:rPr>
          <w:szCs w:val="24"/>
        </w:rPr>
        <w:t>L’attribut souverain confère à l’</w:t>
      </w:r>
      <w:r w:rsidR="00813B03" w:rsidRPr="00E72418">
        <w:rPr>
          <w:szCs w:val="24"/>
          <w:lang w:eastAsia="fr-BE"/>
        </w:rPr>
        <w:t>É</w:t>
      </w:r>
      <w:r w:rsidR="00813B03" w:rsidRPr="00E72418">
        <w:rPr>
          <w:szCs w:val="24"/>
        </w:rPr>
        <w:t>tat débiteur un pouvoir d’autant plus important que, comme le note Pierre d’Argent, « absent any international obligations binding on the State concerned, the latter is free to do as it pleases and does not need to ground its action in any rule of international law by which it is authorized to act as it does ; the State finds in its own sovereignty the sufficient legal ground for its action »</w:t>
      </w:r>
      <w:r w:rsidR="00813B03" w:rsidRPr="00E72418">
        <w:rPr>
          <w:rStyle w:val="Appelnotedebasdep"/>
          <w:szCs w:val="24"/>
        </w:rPr>
        <w:footnoteReference w:id="290"/>
      </w:r>
      <w:r w:rsidR="00813B03" w:rsidRPr="00E72418">
        <w:rPr>
          <w:szCs w:val="24"/>
        </w:rPr>
        <w:t xml:space="preserve">. </w:t>
      </w:r>
      <w:r w:rsidR="007C57EF" w:rsidRPr="00E72418">
        <w:rPr>
          <w:szCs w:val="24"/>
        </w:rPr>
        <w:t>Bien que cette souveraine</w:t>
      </w:r>
      <w:r w:rsidR="006F4E12" w:rsidRPr="00E72418">
        <w:rPr>
          <w:szCs w:val="24"/>
        </w:rPr>
        <w:t>té</w:t>
      </w:r>
      <w:r w:rsidR="007C57EF" w:rsidRPr="00E72418">
        <w:rPr>
          <w:szCs w:val="24"/>
        </w:rPr>
        <w:t xml:space="preserve"> lui offre un large pouvoir</w:t>
      </w:r>
      <w:r w:rsidR="0035092D" w:rsidRPr="00E72418">
        <w:rPr>
          <w:szCs w:val="24"/>
        </w:rPr>
        <w:t xml:space="preserve"> qu’il exercera par le biais légal</w:t>
      </w:r>
      <w:r w:rsidR="0035092D" w:rsidRPr="00E72418">
        <w:rPr>
          <w:rStyle w:val="Appelnotedebasdep"/>
          <w:szCs w:val="24"/>
        </w:rPr>
        <w:footnoteReference w:id="291"/>
      </w:r>
      <w:r w:rsidR="007C57EF" w:rsidRPr="00E72418">
        <w:rPr>
          <w:szCs w:val="24"/>
        </w:rPr>
        <w:t>, l’</w:t>
      </w:r>
      <w:r w:rsidR="007C57EF" w:rsidRPr="00E72418">
        <w:rPr>
          <w:szCs w:val="24"/>
          <w:lang w:eastAsia="fr-BE"/>
        </w:rPr>
        <w:t>É</w:t>
      </w:r>
      <w:r w:rsidR="007C57EF" w:rsidRPr="00E72418">
        <w:rPr>
          <w:szCs w:val="24"/>
        </w:rPr>
        <w:t xml:space="preserve">tat est malgré tout </w:t>
      </w:r>
      <w:r w:rsidR="006F4E12" w:rsidRPr="00E72418">
        <w:rPr>
          <w:szCs w:val="24"/>
        </w:rPr>
        <w:t>enclin</w:t>
      </w:r>
      <w:r w:rsidR="007C57EF" w:rsidRPr="00E72418">
        <w:rPr>
          <w:szCs w:val="24"/>
        </w:rPr>
        <w:t xml:space="preserve"> à éviter le défaut en vue de préserver sa réputation</w:t>
      </w:r>
      <w:r w:rsidR="006F4E12" w:rsidRPr="00E72418">
        <w:rPr>
          <w:szCs w:val="24"/>
        </w:rPr>
        <w:t xml:space="preserve"> laquelle</w:t>
      </w:r>
      <w:r w:rsidR="007C57EF" w:rsidRPr="00E72418">
        <w:rPr>
          <w:szCs w:val="24"/>
        </w:rPr>
        <w:t xml:space="preserve"> </w:t>
      </w:r>
      <w:r w:rsidR="006F4E12" w:rsidRPr="00E72418">
        <w:rPr>
          <w:szCs w:val="24"/>
        </w:rPr>
        <w:t xml:space="preserve">est de nature à </w:t>
      </w:r>
      <w:r w:rsidR="007C57EF" w:rsidRPr="00E72418">
        <w:rPr>
          <w:szCs w:val="24"/>
        </w:rPr>
        <w:t>conditionner</w:t>
      </w:r>
      <w:r w:rsidR="006F4E12" w:rsidRPr="00E72418">
        <w:rPr>
          <w:szCs w:val="24"/>
        </w:rPr>
        <w:t xml:space="preserve"> </w:t>
      </w:r>
      <w:r w:rsidR="007C57EF" w:rsidRPr="00E72418">
        <w:rPr>
          <w:szCs w:val="24"/>
        </w:rPr>
        <w:t xml:space="preserve">ses possibilités futures </w:t>
      </w:r>
      <w:r w:rsidR="006F4E12" w:rsidRPr="00E72418">
        <w:rPr>
          <w:szCs w:val="24"/>
        </w:rPr>
        <w:t xml:space="preserve">de lever des capitaux </w:t>
      </w:r>
      <w:r w:rsidR="007C57EF" w:rsidRPr="00E72418">
        <w:rPr>
          <w:szCs w:val="24"/>
        </w:rPr>
        <w:t>sur les marchés financiers. Dès lors que</w:t>
      </w:r>
      <w:r w:rsidR="006F4E12" w:rsidRPr="00E72418">
        <w:rPr>
          <w:szCs w:val="24"/>
        </w:rPr>
        <w:t>,</w:t>
      </w:r>
      <w:r w:rsidR="007C57EF" w:rsidRPr="00E72418">
        <w:rPr>
          <w:szCs w:val="24"/>
        </w:rPr>
        <w:t xml:space="preserve"> comme le notent </w:t>
      </w:r>
      <w:r w:rsidR="005C18A8" w:rsidRPr="00E72418">
        <w:rPr>
          <w:szCs w:val="24"/>
        </w:rPr>
        <w:t xml:space="preserve">Julian </w:t>
      </w:r>
      <w:r w:rsidR="007C57EF" w:rsidRPr="00E72418">
        <w:rPr>
          <w:szCs w:val="24"/>
        </w:rPr>
        <w:t>Schumacher</w:t>
      </w:r>
      <w:r w:rsidR="00F00694" w:rsidRPr="00E72418">
        <w:rPr>
          <w:rFonts w:ascii="Times New Roman" w:hAnsi="Times New Roman"/>
          <w:i/>
        </w:rPr>
        <w:t xml:space="preserve"> et al.</w:t>
      </w:r>
      <w:r w:rsidR="007C57EF" w:rsidRPr="00E72418">
        <w:rPr>
          <w:szCs w:val="24"/>
        </w:rPr>
        <w:t xml:space="preserve">, la situation de défaut </w:t>
      </w:r>
      <w:r w:rsidR="006F4E12" w:rsidRPr="00E72418">
        <w:rPr>
          <w:szCs w:val="24"/>
        </w:rPr>
        <w:t>peut</w:t>
      </w:r>
      <w:r w:rsidR="007C57EF" w:rsidRPr="00E72418">
        <w:rPr>
          <w:szCs w:val="24"/>
        </w:rPr>
        <w:t xml:space="preserve"> avoir d’importants effets négatifs sur l’accès aux marchés des capitaux étrangers</w:t>
      </w:r>
      <w:r w:rsidR="006F4E12" w:rsidRPr="00E72418">
        <w:rPr>
          <w:szCs w:val="24"/>
        </w:rPr>
        <w:t xml:space="preserve"> lequel</w:t>
      </w:r>
      <w:r w:rsidR="007C57EF" w:rsidRPr="00E72418">
        <w:rPr>
          <w:szCs w:val="24"/>
        </w:rPr>
        <w:t xml:space="preserve"> accès </w:t>
      </w:r>
      <w:r w:rsidR="006F4E12" w:rsidRPr="00E72418">
        <w:rPr>
          <w:szCs w:val="24"/>
        </w:rPr>
        <w:t>est</w:t>
      </w:r>
      <w:r w:rsidR="007C57EF" w:rsidRPr="00E72418">
        <w:rPr>
          <w:szCs w:val="24"/>
        </w:rPr>
        <w:t xml:space="preserve"> important pour se financer, l’on peut </w:t>
      </w:r>
      <w:r w:rsidR="006F4E12" w:rsidRPr="00E72418">
        <w:rPr>
          <w:szCs w:val="24"/>
        </w:rPr>
        <w:t xml:space="preserve">déduire que les </w:t>
      </w:r>
      <w:r w:rsidR="006F4E12" w:rsidRPr="00E72418">
        <w:rPr>
          <w:szCs w:val="24"/>
          <w:lang w:eastAsia="fr-BE"/>
        </w:rPr>
        <w:t>É</w:t>
      </w:r>
      <w:r w:rsidR="006F4E12" w:rsidRPr="00E72418">
        <w:rPr>
          <w:szCs w:val="24"/>
        </w:rPr>
        <w:t>tats</w:t>
      </w:r>
      <w:r w:rsidR="007C57EF" w:rsidRPr="00E72418">
        <w:rPr>
          <w:szCs w:val="24"/>
        </w:rPr>
        <w:t xml:space="preserve"> cherche</w:t>
      </w:r>
      <w:r w:rsidR="006F4E12" w:rsidRPr="00E72418">
        <w:rPr>
          <w:szCs w:val="24"/>
        </w:rPr>
        <w:t>ro</w:t>
      </w:r>
      <w:r w:rsidR="007C57EF" w:rsidRPr="00E72418">
        <w:rPr>
          <w:szCs w:val="24"/>
        </w:rPr>
        <w:t xml:space="preserve">nt </w:t>
      </w:r>
      <w:r w:rsidR="006F4E12" w:rsidRPr="00E72418">
        <w:rPr>
          <w:szCs w:val="24"/>
        </w:rPr>
        <w:t xml:space="preserve">à </w:t>
      </w:r>
      <w:r w:rsidR="007C57EF" w:rsidRPr="00E72418">
        <w:rPr>
          <w:szCs w:val="24"/>
        </w:rPr>
        <w:t xml:space="preserve">ne pas se retrouver dans </w:t>
      </w:r>
      <w:r w:rsidR="006F4E12" w:rsidRPr="00E72418">
        <w:rPr>
          <w:szCs w:val="24"/>
        </w:rPr>
        <w:t>une telle</w:t>
      </w:r>
      <w:r w:rsidR="007C57EF" w:rsidRPr="00E72418">
        <w:rPr>
          <w:szCs w:val="24"/>
        </w:rPr>
        <w:t xml:space="preserve"> situation</w:t>
      </w:r>
      <w:r w:rsidR="007C57EF" w:rsidRPr="00E72418">
        <w:rPr>
          <w:rStyle w:val="Appelnotedebasdep"/>
          <w:szCs w:val="24"/>
        </w:rPr>
        <w:footnoteReference w:id="292"/>
      </w:r>
      <w:r w:rsidR="007C57EF" w:rsidRPr="00E72418">
        <w:rPr>
          <w:szCs w:val="24"/>
        </w:rPr>
        <w:t>.</w:t>
      </w:r>
    </w:p>
    <w:p w14:paraId="1B77C2F5" w14:textId="77777777" w:rsidR="007C57EF" w:rsidRPr="00E72418" w:rsidRDefault="007C57EF" w:rsidP="00423B60"/>
    <w:p w14:paraId="5C7F0200" w14:textId="6501B589" w:rsidR="00802B54" w:rsidRPr="00E72418" w:rsidRDefault="007F038F" w:rsidP="00CC4BA8">
      <w:pPr>
        <w:spacing w:line="276" w:lineRule="auto"/>
        <w:rPr>
          <w:rFonts w:cs="Times New Roman"/>
          <w:szCs w:val="24"/>
        </w:rPr>
      </w:pPr>
      <w:r w:rsidRPr="00E72418">
        <w:rPr>
          <w:rFonts w:cs="Times New Roman"/>
          <w:b/>
          <w:szCs w:val="24"/>
        </w:rPr>
        <w:t>56</w:t>
      </w:r>
      <w:r w:rsidR="007E31CD" w:rsidRPr="00E72418">
        <w:rPr>
          <w:rFonts w:cs="Times New Roman"/>
          <w:b/>
          <w:szCs w:val="24"/>
        </w:rPr>
        <w:t xml:space="preserve">. </w:t>
      </w:r>
      <w:r w:rsidR="007C57EF" w:rsidRPr="00E72418">
        <w:rPr>
          <w:rFonts w:cs="Times New Roman"/>
          <w:b/>
          <w:szCs w:val="24"/>
        </w:rPr>
        <w:t>Une impossibilité ou une absence de volonté –</w:t>
      </w:r>
      <w:r w:rsidR="007C57EF" w:rsidRPr="00E72418">
        <w:rPr>
          <w:rFonts w:cs="Times New Roman"/>
          <w:szCs w:val="24"/>
        </w:rPr>
        <w:t xml:space="preserve"> </w:t>
      </w:r>
      <w:r w:rsidR="006F4E12" w:rsidRPr="00E72418">
        <w:rPr>
          <w:rFonts w:cs="Times New Roman"/>
          <w:szCs w:val="24"/>
        </w:rPr>
        <w:t>Diverses explications peuvent être trouvées à l</w:t>
      </w:r>
      <w:r w:rsidR="007C57EF" w:rsidRPr="00E72418">
        <w:rPr>
          <w:rFonts w:cs="Times New Roman"/>
          <w:szCs w:val="24"/>
        </w:rPr>
        <w:t xml:space="preserve">’absence de </w:t>
      </w:r>
      <w:r w:rsidR="00802B54" w:rsidRPr="00E72418">
        <w:rPr>
          <w:rFonts w:cs="Times New Roman"/>
          <w:szCs w:val="24"/>
        </w:rPr>
        <w:t>paiement</w:t>
      </w:r>
      <w:r w:rsidR="007C57EF" w:rsidRPr="00E72418">
        <w:rPr>
          <w:rFonts w:cs="Times New Roman"/>
          <w:szCs w:val="24"/>
        </w:rPr>
        <w:t xml:space="preserve"> par un </w:t>
      </w:r>
      <w:r w:rsidR="007C57EF" w:rsidRPr="00E72418">
        <w:rPr>
          <w:szCs w:val="24"/>
          <w:lang w:eastAsia="fr-BE"/>
        </w:rPr>
        <w:t>É</w:t>
      </w:r>
      <w:r w:rsidR="007C57EF" w:rsidRPr="00E72418">
        <w:rPr>
          <w:rFonts w:cs="Times New Roman"/>
          <w:szCs w:val="24"/>
        </w:rPr>
        <w:t xml:space="preserve">tat de sa dette. </w:t>
      </w:r>
      <w:r w:rsidR="00802B54" w:rsidRPr="00E72418">
        <w:rPr>
          <w:rFonts w:cs="Times New Roman"/>
          <w:szCs w:val="24"/>
        </w:rPr>
        <w:t>Alors que, dans certains cas, les débiteurs souverains ne sont</w:t>
      </w:r>
      <w:r w:rsidR="007C57EF" w:rsidRPr="00E72418">
        <w:rPr>
          <w:rFonts w:cs="Times New Roman"/>
          <w:szCs w:val="24"/>
        </w:rPr>
        <w:t xml:space="preserve"> financièrement pas en mesure de </w:t>
      </w:r>
      <w:r w:rsidR="006F4E12" w:rsidRPr="00E72418">
        <w:rPr>
          <w:rFonts w:cs="Times New Roman"/>
          <w:szCs w:val="24"/>
        </w:rPr>
        <w:t>procéder au</w:t>
      </w:r>
      <w:r w:rsidR="00802B54" w:rsidRPr="00E72418">
        <w:rPr>
          <w:rFonts w:cs="Times New Roman"/>
          <w:szCs w:val="24"/>
        </w:rPr>
        <w:t>x</w:t>
      </w:r>
      <w:r w:rsidR="006F4E12" w:rsidRPr="00E72418">
        <w:rPr>
          <w:rFonts w:cs="Times New Roman"/>
          <w:szCs w:val="24"/>
        </w:rPr>
        <w:t xml:space="preserve"> règlement</w:t>
      </w:r>
      <w:r w:rsidR="00802B54" w:rsidRPr="00E72418">
        <w:rPr>
          <w:rFonts w:cs="Times New Roman"/>
          <w:szCs w:val="24"/>
        </w:rPr>
        <w:t>s</w:t>
      </w:r>
      <w:r w:rsidR="00025355" w:rsidRPr="00E72418">
        <w:rPr>
          <w:rFonts w:cs="Times New Roman"/>
          <w:szCs w:val="24"/>
        </w:rPr>
        <w:t xml:space="preserve"> du</w:t>
      </w:r>
      <w:r w:rsidR="00802B54" w:rsidRPr="00E72418">
        <w:rPr>
          <w:rFonts w:cs="Times New Roman"/>
          <w:szCs w:val="24"/>
        </w:rPr>
        <w:t>s</w:t>
      </w:r>
      <w:r w:rsidR="00E03825" w:rsidRPr="00E72418">
        <w:rPr>
          <w:rStyle w:val="Appelnotedebasdep"/>
          <w:rFonts w:cs="Times New Roman"/>
          <w:szCs w:val="24"/>
        </w:rPr>
        <w:footnoteReference w:id="293"/>
      </w:r>
      <w:r w:rsidR="007C57EF" w:rsidRPr="00E72418">
        <w:rPr>
          <w:rFonts w:cs="Times New Roman"/>
          <w:szCs w:val="24"/>
        </w:rPr>
        <w:t xml:space="preserve">, </w:t>
      </w:r>
      <w:r w:rsidR="00802B54" w:rsidRPr="00E72418">
        <w:rPr>
          <w:rFonts w:cs="Times New Roman"/>
          <w:szCs w:val="24"/>
        </w:rPr>
        <w:t xml:space="preserve">dans d’autres, </w:t>
      </w:r>
      <w:r w:rsidR="007C57EF" w:rsidRPr="00E72418">
        <w:rPr>
          <w:rFonts w:cs="Times New Roman"/>
          <w:szCs w:val="24"/>
        </w:rPr>
        <w:t>l</w:t>
      </w:r>
      <w:r w:rsidR="006F4E12" w:rsidRPr="00E72418">
        <w:rPr>
          <w:rFonts w:cs="Times New Roman"/>
          <w:szCs w:val="24"/>
        </w:rPr>
        <w:t>’absence de paiement découle de</w:t>
      </w:r>
      <w:r w:rsidR="007C57EF" w:rsidRPr="00E72418">
        <w:rPr>
          <w:rFonts w:cs="Times New Roman"/>
          <w:szCs w:val="24"/>
        </w:rPr>
        <w:t xml:space="preserve"> pressions politique</w:t>
      </w:r>
      <w:r w:rsidR="00802B54" w:rsidRPr="00E72418">
        <w:rPr>
          <w:rFonts w:cs="Times New Roman"/>
          <w:szCs w:val="24"/>
        </w:rPr>
        <w:t>s</w:t>
      </w:r>
      <w:r w:rsidR="007C57EF" w:rsidRPr="00E72418">
        <w:rPr>
          <w:rFonts w:cs="Times New Roman"/>
          <w:szCs w:val="24"/>
        </w:rPr>
        <w:t>, sociale</w:t>
      </w:r>
      <w:r w:rsidR="00802B54" w:rsidRPr="00E72418">
        <w:rPr>
          <w:rFonts w:cs="Times New Roman"/>
          <w:szCs w:val="24"/>
        </w:rPr>
        <w:t xml:space="preserve">s ou </w:t>
      </w:r>
      <w:r w:rsidR="007C57EF" w:rsidRPr="00E72418">
        <w:rPr>
          <w:rFonts w:cs="Times New Roman"/>
          <w:szCs w:val="24"/>
        </w:rPr>
        <w:t>économiques auxquelles il</w:t>
      </w:r>
      <w:r w:rsidR="00802B54" w:rsidRPr="00E72418">
        <w:rPr>
          <w:rFonts w:cs="Times New Roman"/>
          <w:szCs w:val="24"/>
        </w:rPr>
        <w:t>s</w:t>
      </w:r>
      <w:r w:rsidR="007C57EF" w:rsidRPr="00E72418">
        <w:rPr>
          <w:rFonts w:cs="Times New Roman"/>
          <w:szCs w:val="24"/>
        </w:rPr>
        <w:t xml:space="preserve"> </w:t>
      </w:r>
      <w:r w:rsidR="00802B54" w:rsidRPr="00E72418">
        <w:rPr>
          <w:rFonts w:cs="Times New Roman"/>
          <w:szCs w:val="24"/>
        </w:rPr>
        <w:t>peuvent se trouver</w:t>
      </w:r>
      <w:r w:rsidR="007C57EF" w:rsidRPr="00E72418">
        <w:rPr>
          <w:rFonts w:cs="Times New Roman"/>
          <w:szCs w:val="24"/>
        </w:rPr>
        <w:t xml:space="preserve"> soumis</w:t>
      </w:r>
      <w:r w:rsidR="00802B54" w:rsidRPr="00E72418">
        <w:rPr>
          <w:rFonts w:cs="Times New Roman"/>
          <w:szCs w:val="24"/>
        </w:rPr>
        <w:t>. Il convient ainsi</w:t>
      </w:r>
      <w:r w:rsidR="007C57EF" w:rsidRPr="00E72418">
        <w:rPr>
          <w:rFonts w:cs="Times New Roman"/>
          <w:szCs w:val="24"/>
        </w:rPr>
        <w:t xml:space="preserve"> de distinguer la « capacité de </w:t>
      </w:r>
      <w:r w:rsidR="007C57EF" w:rsidRPr="00E72418">
        <w:rPr>
          <w:rFonts w:cs="Times New Roman"/>
          <w:szCs w:val="24"/>
        </w:rPr>
        <w:lastRenderedPageBreak/>
        <w:t xml:space="preserve">paiement » </w:t>
      </w:r>
      <w:r w:rsidR="00802B54" w:rsidRPr="00E72418">
        <w:rPr>
          <w:rFonts w:cs="Times New Roman"/>
          <w:szCs w:val="24"/>
        </w:rPr>
        <w:t xml:space="preserve">d’un </w:t>
      </w:r>
      <w:r w:rsidR="00802B54" w:rsidRPr="00E72418">
        <w:rPr>
          <w:szCs w:val="24"/>
          <w:lang w:eastAsia="fr-BE"/>
        </w:rPr>
        <w:t>É</w:t>
      </w:r>
      <w:r w:rsidR="00802B54" w:rsidRPr="00E72418">
        <w:rPr>
          <w:rFonts w:cs="Times New Roman"/>
          <w:szCs w:val="24"/>
        </w:rPr>
        <w:t>tat de s</w:t>
      </w:r>
      <w:r w:rsidR="007C57EF" w:rsidRPr="00E72418">
        <w:rPr>
          <w:rFonts w:cs="Times New Roman"/>
          <w:szCs w:val="24"/>
        </w:rPr>
        <w:t>a « volonté de paiement »</w:t>
      </w:r>
      <w:r w:rsidR="007C57EF" w:rsidRPr="00E72418">
        <w:rPr>
          <w:rStyle w:val="Appelnotedebasdep"/>
          <w:rFonts w:cs="Times New Roman"/>
          <w:szCs w:val="24"/>
        </w:rPr>
        <w:footnoteReference w:id="294"/>
      </w:r>
      <w:r w:rsidR="007C57EF" w:rsidRPr="00E72418">
        <w:rPr>
          <w:rFonts w:cs="Times New Roman"/>
          <w:szCs w:val="24"/>
        </w:rPr>
        <w:t xml:space="preserve">. </w:t>
      </w:r>
      <w:r w:rsidR="00193F87" w:rsidRPr="00E72418">
        <w:rPr>
          <w:rFonts w:cs="Times New Roman"/>
          <w:szCs w:val="24"/>
        </w:rPr>
        <w:t xml:space="preserve">L’on ne saurait ainsi se limiter à retenir que les défauts suivent naturellement les </w:t>
      </w:r>
      <w:r w:rsidR="007F3325" w:rsidRPr="00E72418">
        <w:rPr>
          <w:rFonts w:cs="Times New Roman"/>
          <w:szCs w:val="24"/>
        </w:rPr>
        <w:t>seuls moments où l’économie de l’</w:t>
      </w:r>
      <w:r w:rsidR="007F3325" w:rsidRPr="00E72418">
        <w:rPr>
          <w:szCs w:val="24"/>
          <w:lang w:eastAsia="fr-BE"/>
        </w:rPr>
        <w:t>É</w:t>
      </w:r>
      <w:r w:rsidR="007F3325" w:rsidRPr="00E72418">
        <w:rPr>
          <w:rFonts w:cs="Times New Roman"/>
          <w:szCs w:val="24"/>
        </w:rPr>
        <w:t xml:space="preserve">tat débiteur va mal. Comme le notent </w:t>
      </w:r>
      <w:r w:rsidR="005C18A8" w:rsidRPr="00E72418">
        <w:rPr>
          <w:rFonts w:cs="Times New Roman"/>
          <w:szCs w:val="24"/>
        </w:rPr>
        <w:t xml:space="preserve">Michael </w:t>
      </w:r>
      <w:r w:rsidR="007F3325" w:rsidRPr="00E72418">
        <w:rPr>
          <w:rFonts w:cs="Times New Roman"/>
          <w:szCs w:val="24"/>
        </w:rPr>
        <w:t xml:space="preserve">Tomz et </w:t>
      </w:r>
      <w:r w:rsidR="005C18A8" w:rsidRPr="00E72418">
        <w:rPr>
          <w:rFonts w:cs="Times New Roman"/>
          <w:szCs w:val="24"/>
        </w:rPr>
        <w:t xml:space="preserve">Mark </w:t>
      </w:r>
      <w:r w:rsidR="007F3325" w:rsidRPr="00E72418">
        <w:rPr>
          <w:rFonts w:cs="Times New Roman"/>
          <w:szCs w:val="24"/>
        </w:rPr>
        <w:t xml:space="preserve">Wright, s’il est vrai que « countries </w:t>
      </w:r>
      <w:r w:rsidR="007F3325" w:rsidRPr="00E72418">
        <w:t xml:space="preserve">default on loans from private foreign creditors more often in </w:t>
      </w:r>
      <w:r w:rsidR="007F3325" w:rsidRPr="00E72418">
        <w:rPr>
          <w:szCs w:val="20"/>
          <w:lang w:val="en-US"/>
        </w:rPr>
        <w:t>“</w:t>
      </w:r>
      <w:r w:rsidR="007F3325" w:rsidRPr="00E72418">
        <w:t>bad times</w:t>
      </w:r>
      <w:r w:rsidR="007F3325" w:rsidRPr="00E72418">
        <w:rPr>
          <w:szCs w:val="20"/>
          <w:lang w:val="en-US"/>
        </w:rPr>
        <w:t>”</w:t>
      </w:r>
      <w:r w:rsidR="007F3325" w:rsidRPr="00E72418">
        <w:t xml:space="preserve"> than in </w:t>
      </w:r>
      <w:r w:rsidR="007F3325" w:rsidRPr="00E72418">
        <w:rPr>
          <w:szCs w:val="20"/>
          <w:lang w:val="en-US"/>
        </w:rPr>
        <w:t>“</w:t>
      </w:r>
      <w:r w:rsidR="007F3325" w:rsidRPr="00E72418">
        <w:t>good times</w:t>
      </w:r>
      <w:r w:rsidR="007F3325" w:rsidRPr="00E72418">
        <w:rPr>
          <w:szCs w:val="20"/>
          <w:lang w:val="en-US"/>
        </w:rPr>
        <w:t>”</w:t>
      </w:r>
      <w:r w:rsidR="007F3325" w:rsidRPr="00E72418">
        <w:t xml:space="preserve"> </w:t>
      </w:r>
      <w:r w:rsidR="007F3325" w:rsidRPr="00E72418">
        <w:rPr>
          <w:rFonts w:cs="Times New Roman"/>
          <w:szCs w:val="24"/>
        </w:rPr>
        <w:t xml:space="preserve">», néanmoins, </w:t>
      </w:r>
      <w:r w:rsidR="007F3325" w:rsidRPr="00E72418">
        <w:t>« </w:t>
      </w:r>
      <w:r w:rsidR="007F3325" w:rsidRPr="00E72418">
        <w:rPr>
          <w:szCs w:val="20"/>
          <w:lang w:val="en-US"/>
        </w:rPr>
        <w:t>[t]</w:t>
      </w:r>
      <w:r w:rsidR="007F3325" w:rsidRPr="00E72418">
        <w:t xml:space="preserve">he relationship is surprisingly weak, </w:t>
      </w:r>
      <w:r w:rsidR="007F3325" w:rsidRPr="00E72418">
        <w:rPr>
          <w:szCs w:val="20"/>
          <w:lang w:val="en-US"/>
        </w:rPr>
        <w:t>[…]</w:t>
      </w:r>
      <w:r w:rsidR="007F3325" w:rsidRPr="00E72418">
        <w:t>: domestic output often declines without triggering a default, and countries occasionally suspend payments or reschedule their obligations when domestic output is high »</w:t>
      </w:r>
      <w:r w:rsidR="007F3325" w:rsidRPr="00E72418">
        <w:rPr>
          <w:rStyle w:val="Appelnotedebasdep"/>
        </w:rPr>
        <w:footnoteReference w:id="295"/>
      </w:r>
      <w:r w:rsidR="007F3325" w:rsidRPr="00E72418">
        <w:t>.</w:t>
      </w:r>
    </w:p>
    <w:p w14:paraId="0F7CA168" w14:textId="77777777" w:rsidR="00596049" w:rsidRPr="00E72418" w:rsidRDefault="007C57EF" w:rsidP="00CC4BA8">
      <w:pPr>
        <w:spacing w:line="276" w:lineRule="auto"/>
        <w:rPr>
          <w:rFonts w:cs="Times New Roman"/>
          <w:szCs w:val="24"/>
        </w:rPr>
      </w:pPr>
      <w:r w:rsidRPr="00E72418">
        <w:rPr>
          <w:rFonts w:cs="Times New Roman"/>
          <w:szCs w:val="24"/>
        </w:rPr>
        <w:t>S’il est des cas dans lesquels l’</w:t>
      </w:r>
      <w:r w:rsidRPr="00E72418">
        <w:rPr>
          <w:szCs w:val="24"/>
          <w:lang w:eastAsia="fr-BE"/>
        </w:rPr>
        <w:t>É</w:t>
      </w:r>
      <w:r w:rsidR="00802B54" w:rsidRPr="00E72418">
        <w:rPr>
          <w:rFonts w:cs="Times New Roman"/>
          <w:szCs w:val="24"/>
        </w:rPr>
        <w:t>tat débiteur est incapable d’honorer ses paiements</w:t>
      </w:r>
      <w:r w:rsidRPr="00E72418">
        <w:rPr>
          <w:rFonts w:cs="Times New Roman"/>
          <w:szCs w:val="24"/>
        </w:rPr>
        <w:t xml:space="preserve"> en raison</w:t>
      </w:r>
      <w:r w:rsidR="00802B54" w:rsidRPr="00E72418">
        <w:rPr>
          <w:rFonts w:cs="Times New Roman"/>
          <w:szCs w:val="24"/>
        </w:rPr>
        <w:t xml:space="preserve"> de sa capacité financière entamée,</w:t>
      </w:r>
      <w:r w:rsidRPr="00E72418">
        <w:rPr>
          <w:rFonts w:cs="Times New Roman"/>
          <w:szCs w:val="24"/>
        </w:rPr>
        <w:t xml:space="preserve"> par exemple</w:t>
      </w:r>
      <w:r w:rsidR="00802B54" w:rsidRPr="00E72418">
        <w:rPr>
          <w:rFonts w:cs="Times New Roman"/>
          <w:szCs w:val="24"/>
        </w:rPr>
        <w:t>, par une catastrophe naturelle, une chute de la valeur de ses exportations ou encore mise à mal par une instabilité politique</w:t>
      </w:r>
      <w:r w:rsidRPr="00E72418">
        <w:rPr>
          <w:rStyle w:val="Appelnotedebasdep"/>
          <w:szCs w:val="24"/>
        </w:rPr>
        <w:footnoteReference w:id="296"/>
      </w:r>
      <w:r w:rsidRPr="00E72418">
        <w:rPr>
          <w:szCs w:val="24"/>
        </w:rPr>
        <w:t xml:space="preserve">, il en est d’autres </w:t>
      </w:r>
      <w:r w:rsidR="00596049" w:rsidRPr="00E72418">
        <w:rPr>
          <w:szCs w:val="24"/>
        </w:rPr>
        <w:t>où</w:t>
      </w:r>
      <w:r w:rsidRPr="00E72418">
        <w:rPr>
          <w:szCs w:val="24"/>
        </w:rPr>
        <w:t xml:space="preserve"> le défaut participe d’un acte politique que l’</w:t>
      </w:r>
      <w:r w:rsidRPr="00E72418">
        <w:rPr>
          <w:szCs w:val="24"/>
          <w:lang w:eastAsia="fr-BE"/>
        </w:rPr>
        <w:t>É</w:t>
      </w:r>
      <w:r w:rsidRPr="00E72418">
        <w:rPr>
          <w:szCs w:val="24"/>
        </w:rPr>
        <w:t xml:space="preserve">tat entend poser afin </w:t>
      </w:r>
      <w:r w:rsidR="00802B54" w:rsidRPr="00E72418">
        <w:rPr>
          <w:szCs w:val="24"/>
        </w:rPr>
        <w:t>de marquer une position</w:t>
      </w:r>
      <w:r w:rsidRPr="00E72418">
        <w:rPr>
          <w:szCs w:val="24"/>
        </w:rPr>
        <w:t xml:space="preserve"> de défiance ou d’émancipation vis-à-vis de </w:t>
      </w:r>
      <w:r w:rsidR="00596049" w:rsidRPr="00E72418">
        <w:rPr>
          <w:szCs w:val="24"/>
        </w:rPr>
        <w:t>ses créanciers</w:t>
      </w:r>
      <w:r w:rsidRPr="00E72418">
        <w:rPr>
          <w:rStyle w:val="Appelnotedebasdep"/>
          <w:szCs w:val="24"/>
        </w:rPr>
        <w:footnoteReference w:id="297"/>
      </w:r>
      <w:r w:rsidRPr="00E72418">
        <w:rPr>
          <w:szCs w:val="24"/>
        </w:rPr>
        <w:t>.</w:t>
      </w:r>
      <w:r w:rsidRPr="00E72418">
        <w:rPr>
          <w:rFonts w:cs="Times New Roman"/>
          <w:szCs w:val="24"/>
        </w:rPr>
        <w:t xml:space="preserve"> </w:t>
      </w:r>
    </w:p>
    <w:p w14:paraId="3B48B95F" w14:textId="77777777"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szCs w:val="24"/>
        </w:rPr>
        <w:t>Même si</w:t>
      </w:r>
      <w:r w:rsidR="00596049" w:rsidRPr="00E72418">
        <w:rPr>
          <w:rFonts w:ascii="Times New Roman" w:hAnsi="Times New Roman" w:cs="Times New Roman"/>
          <w:szCs w:val="24"/>
        </w:rPr>
        <w:t>,</w:t>
      </w:r>
      <w:r w:rsidRPr="00E72418">
        <w:rPr>
          <w:rFonts w:ascii="Times New Roman" w:hAnsi="Times New Roman" w:cs="Times New Roman"/>
          <w:szCs w:val="24"/>
        </w:rPr>
        <w:t xml:space="preserve"> généralement</w:t>
      </w:r>
      <w:r w:rsidR="00596049" w:rsidRPr="00E72418">
        <w:rPr>
          <w:rFonts w:ascii="Times New Roman" w:hAnsi="Times New Roman" w:cs="Times New Roman"/>
          <w:szCs w:val="24"/>
        </w:rPr>
        <w:t>,</w:t>
      </w:r>
      <w:r w:rsidRPr="00E72418">
        <w:rPr>
          <w:rFonts w:ascii="Times New Roman" w:hAnsi="Times New Roman" w:cs="Times New Roman"/>
          <w:szCs w:val="24"/>
        </w:rPr>
        <w:t xml:space="preserve"> les </w:t>
      </w:r>
      <w:r w:rsidRPr="00E72418">
        <w:rPr>
          <w:rFonts w:ascii="Times New Roman" w:hAnsi="Times New Roman" w:cs="Times New Roman"/>
          <w:lang w:eastAsia="fr-BE"/>
        </w:rPr>
        <w:t>É</w:t>
      </w:r>
      <w:r w:rsidRPr="00E72418">
        <w:rPr>
          <w:rFonts w:ascii="Times New Roman" w:hAnsi="Times New Roman" w:cs="Times New Roman"/>
          <w:szCs w:val="24"/>
        </w:rPr>
        <w:t>tats ont tendance à rembourser leurs dettes en raison de leur besoin continu de liquidités et de l’importance de leur réputation, il est des cas où ils pourraient décider en opportunité que le défaut est pour eux la meilleure option</w:t>
      </w:r>
      <w:r w:rsidRPr="00E72418">
        <w:rPr>
          <w:rStyle w:val="Appelnotedebasdep"/>
          <w:rFonts w:ascii="Times New Roman" w:hAnsi="Times New Roman" w:cs="Times New Roman"/>
          <w:szCs w:val="24"/>
        </w:rPr>
        <w:footnoteReference w:id="298"/>
      </w:r>
      <w:r w:rsidRPr="00E72418">
        <w:rPr>
          <w:rFonts w:ascii="Times New Roman" w:hAnsi="Times New Roman" w:cs="Times New Roman"/>
          <w:szCs w:val="24"/>
        </w:rPr>
        <w:t>.</w:t>
      </w:r>
    </w:p>
    <w:p w14:paraId="6FFC39E4" w14:textId="77777777" w:rsidR="007C57EF" w:rsidRPr="00E72418" w:rsidRDefault="007C57EF" w:rsidP="00423B60"/>
    <w:p w14:paraId="3A45CB80" w14:textId="62E3E6ED" w:rsidR="007C57EF" w:rsidRPr="00E72418" w:rsidRDefault="000764CE" w:rsidP="00CC4BA8">
      <w:pPr>
        <w:pStyle w:val="CC"/>
        <w:spacing w:line="276" w:lineRule="auto"/>
      </w:pPr>
      <w:bookmarkStart w:id="54" w:name="_Toc59280885"/>
      <w:bookmarkStart w:id="55" w:name="_Toc75106062"/>
      <w:bookmarkStart w:id="56" w:name="_Toc84540874"/>
      <w:r w:rsidRPr="00E72418">
        <w:t xml:space="preserve">Chapitre 3 : </w:t>
      </w:r>
      <w:r w:rsidR="007C57EF" w:rsidRPr="00E72418">
        <w:t>Les conséquences</w:t>
      </w:r>
      <w:bookmarkEnd w:id="54"/>
      <w:bookmarkEnd w:id="55"/>
      <w:bookmarkEnd w:id="56"/>
    </w:p>
    <w:p w14:paraId="229CC817" w14:textId="77777777" w:rsidR="007C57EF" w:rsidRPr="00E72418" w:rsidRDefault="007C57EF" w:rsidP="00423B60"/>
    <w:p w14:paraId="73B4E4FB" w14:textId="22CC8214" w:rsidR="007C57EF" w:rsidRPr="00E72418" w:rsidRDefault="007F038F" w:rsidP="00CC4BA8">
      <w:pPr>
        <w:spacing w:line="276" w:lineRule="auto"/>
        <w:rPr>
          <w:szCs w:val="24"/>
        </w:rPr>
      </w:pPr>
      <w:r w:rsidRPr="00E72418">
        <w:rPr>
          <w:b/>
          <w:szCs w:val="24"/>
        </w:rPr>
        <w:t>57</w:t>
      </w:r>
      <w:r w:rsidR="007E31CD" w:rsidRPr="00E72418">
        <w:rPr>
          <w:b/>
          <w:szCs w:val="24"/>
        </w:rPr>
        <w:t xml:space="preserve">. </w:t>
      </w:r>
      <w:r w:rsidR="007C57EF" w:rsidRPr="00E72418">
        <w:rPr>
          <w:b/>
          <w:szCs w:val="24"/>
        </w:rPr>
        <w:t>L’effet domino –</w:t>
      </w:r>
      <w:r w:rsidR="007C57EF" w:rsidRPr="00E72418">
        <w:rPr>
          <w:szCs w:val="24"/>
        </w:rPr>
        <w:t xml:space="preserve"> Les conséquences des défaillances étatiques ne sont généralement pas limitées aux seuls pays rencontrant des difficultés. En effet, ces défaillances sont de nature à entraîner des crises financières systémiques en impactant négativement la situation des prêteurs et en perturbant les relations monétaires</w:t>
      </w:r>
      <w:r w:rsidR="007C57EF" w:rsidRPr="00E72418">
        <w:rPr>
          <w:rStyle w:val="Appelnotedebasdep"/>
          <w:szCs w:val="24"/>
        </w:rPr>
        <w:footnoteReference w:id="299"/>
      </w:r>
      <w:r w:rsidR="007C57EF" w:rsidRPr="00E72418">
        <w:rPr>
          <w:szCs w:val="24"/>
        </w:rPr>
        <w:t xml:space="preserve">. </w:t>
      </w:r>
      <w:r w:rsidR="00F235C8" w:rsidRPr="00E72418">
        <w:rPr>
          <w:szCs w:val="24"/>
        </w:rPr>
        <w:t xml:space="preserve">Comme le note </w:t>
      </w:r>
      <w:r w:rsidR="005C18A8" w:rsidRPr="00E72418">
        <w:rPr>
          <w:szCs w:val="24"/>
        </w:rPr>
        <w:t xml:space="preserve">Daniel </w:t>
      </w:r>
      <w:r w:rsidR="00F235C8" w:rsidRPr="00E72418">
        <w:rPr>
          <w:szCs w:val="24"/>
        </w:rPr>
        <w:t xml:space="preserve">Brutti, « sovereign default risk can rattle financial markets to their core, potentially posing systemic risks to the global </w:t>
      </w:r>
      <w:r w:rsidR="00F235C8" w:rsidRPr="00E72418">
        <w:rPr>
          <w:szCs w:val="24"/>
        </w:rPr>
        <w:lastRenderedPageBreak/>
        <w:t>financial system »</w:t>
      </w:r>
      <w:r w:rsidR="00F235C8" w:rsidRPr="00E72418">
        <w:rPr>
          <w:rStyle w:val="Appelnotedebasdep"/>
          <w:szCs w:val="24"/>
        </w:rPr>
        <w:footnoteReference w:id="300"/>
      </w:r>
      <w:r w:rsidR="00F235C8" w:rsidRPr="00E72418">
        <w:rPr>
          <w:szCs w:val="24"/>
        </w:rPr>
        <w:t xml:space="preserve">. </w:t>
      </w:r>
      <w:r w:rsidR="007C57EF" w:rsidRPr="00E72418">
        <w:rPr>
          <w:szCs w:val="24"/>
        </w:rPr>
        <w:t xml:space="preserve">Aussi, les investisseurs auront naturellement une tendance au repli vis-à-vis des autres </w:t>
      </w:r>
      <w:r w:rsidR="007C57EF" w:rsidRPr="00E72418">
        <w:rPr>
          <w:szCs w:val="24"/>
          <w:lang w:eastAsia="fr-BE"/>
        </w:rPr>
        <w:t>É</w:t>
      </w:r>
      <w:r w:rsidR="007C57EF" w:rsidRPr="00E72418">
        <w:rPr>
          <w:szCs w:val="24"/>
        </w:rPr>
        <w:t>tats présentant des caractéristiques macroéconomiques semblables à celui faisant défaut</w:t>
      </w:r>
      <w:r w:rsidR="007C57EF" w:rsidRPr="00E72418">
        <w:rPr>
          <w:rStyle w:val="Appelnotedebasdep"/>
          <w:szCs w:val="24"/>
        </w:rPr>
        <w:footnoteReference w:id="301"/>
      </w:r>
      <w:r w:rsidR="007C57EF" w:rsidRPr="00E72418">
        <w:rPr>
          <w:szCs w:val="24"/>
        </w:rPr>
        <w:t>.</w:t>
      </w:r>
    </w:p>
    <w:p w14:paraId="7DC16E16" w14:textId="77777777" w:rsidR="007C57EF" w:rsidRPr="00E72418" w:rsidRDefault="007C57EF" w:rsidP="00423B60"/>
    <w:p w14:paraId="7732575C" w14:textId="4E610ABA" w:rsidR="007C57EF" w:rsidRPr="00E72418" w:rsidRDefault="007F038F" w:rsidP="00CC4BA8">
      <w:pPr>
        <w:spacing w:line="276" w:lineRule="auto"/>
        <w:rPr>
          <w:szCs w:val="24"/>
        </w:rPr>
      </w:pPr>
      <w:r w:rsidRPr="00E72418">
        <w:rPr>
          <w:b/>
          <w:szCs w:val="24"/>
        </w:rPr>
        <w:t>58</w:t>
      </w:r>
      <w:r w:rsidR="007E31CD" w:rsidRPr="00E72418">
        <w:rPr>
          <w:b/>
          <w:szCs w:val="24"/>
        </w:rPr>
        <w:t xml:space="preserve">. </w:t>
      </w:r>
      <w:r w:rsidR="007C57EF" w:rsidRPr="00E72418">
        <w:rPr>
          <w:b/>
          <w:szCs w:val="24"/>
        </w:rPr>
        <w:t xml:space="preserve">Les coûts domestiques – </w:t>
      </w:r>
      <w:r w:rsidR="007C57EF" w:rsidRPr="00E72418">
        <w:rPr>
          <w:szCs w:val="24"/>
        </w:rPr>
        <w:t xml:space="preserve">Si l’argument de la réputation, de l’accès aux marchés et des sanctions peut être avancé comme expliquant la tendance des </w:t>
      </w:r>
      <w:r w:rsidR="007C57EF" w:rsidRPr="00E72418">
        <w:rPr>
          <w:szCs w:val="24"/>
          <w:lang w:eastAsia="fr-BE"/>
        </w:rPr>
        <w:t>É</w:t>
      </w:r>
      <w:r w:rsidR="007C57EF" w:rsidRPr="00E72418">
        <w:rPr>
          <w:szCs w:val="24"/>
        </w:rPr>
        <w:t xml:space="preserve">tats à </w:t>
      </w:r>
      <w:r w:rsidR="00DF7457" w:rsidRPr="00E72418">
        <w:rPr>
          <w:szCs w:val="24"/>
        </w:rPr>
        <w:t>honorer</w:t>
      </w:r>
      <w:r w:rsidR="007C57EF" w:rsidRPr="00E72418">
        <w:rPr>
          <w:szCs w:val="24"/>
        </w:rPr>
        <w:t xml:space="preserve"> leurs dettes, une autre explication réside dans les coûts domestiques d’un défaut</w:t>
      </w:r>
      <w:r w:rsidR="007C57EF" w:rsidRPr="00E72418">
        <w:rPr>
          <w:rStyle w:val="Appelnotedebasdep"/>
          <w:rFonts w:cs="Times New Roman"/>
          <w:szCs w:val="24"/>
        </w:rPr>
        <w:footnoteReference w:id="302"/>
      </w:r>
      <w:r w:rsidR="007C57EF" w:rsidRPr="00E72418">
        <w:rPr>
          <w:szCs w:val="24"/>
        </w:rPr>
        <w:t xml:space="preserve">. Premièrement, le défaut </w:t>
      </w:r>
      <w:r w:rsidR="00E57B17" w:rsidRPr="00E72418">
        <w:rPr>
          <w:szCs w:val="24"/>
        </w:rPr>
        <w:t xml:space="preserve">pourra avoir </w:t>
      </w:r>
      <w:r w:rsidR="007C57EF" w:rsidRPr="00E72418">
        <w:rPr>
          <w:szCs w:val="24"/>
        </w:rPr>
        <w:t>un impact sur l’économie du pays</w:t>
      </w:r>
      <w:r w:rsidR="007C57EF" w:rsidRPr="00E72418">
        <w:rPr>
          <w:rStyle w:val="Appelnotedebasdep"/>
          <w:rFonts w:cs="Times New Roman"/>
          <w:szCs w:val="24"/>
        </w:rPr>
        <w:footnoteReference w:id="303"/>
      </w:r>
      <w:r w:rsidR="007C57EF" w:rsidRPr="00E72418">
        <w:rPr>
          <w:szCs w:val="24"/>
        </w:rPr>
        <w:t xml:space="preserve">. Deuxièmement, le coût domestique important </w:t>
      </w:r>
      <w:r w:rsidR="00DF7457" w:rsidRPr="00E72418">
        <w:rPr>
          <w:szCs w:val="24"/>
        </w:rPr>
        <w:t xml:space="preserve">du </w:t>
      </w:r>
      <w:r w:rsidR="007C57EF" w:rsidRPr="00E72418">
        <w:rPr>
          <w:szCs w:val="24"/>
        </w:rPr>
        <w:t xml:space="preserve">défaut découle des importantes démarches </w:t>
      </w:r>
      <w:r w:rsidR="00DF7457" w:rsidRPr="00E72418">
        <w:rPr>
          <w:szCs w:val="24"/>
        </w:rPr>
        <w:t>qu’il</w:t>
      </w:r>
      <w:r w:rsidR="007C57EF" w:rsidRPr="00E72418">
        <w:rPr>
          <w:szCs w:val="24"/>
        </w:rPr>
        <w:t xml:space="preserve"> implique</w:t>
      </w:r>
      <w:r w:rsidR="00DD5054" w:rsidRPr="00E72418">
        <w:rPr>
          <w:szCs w:val="24"/>
        </w:rPr>
        <w:t xml:space="preserve"> et des conseils financiers et juridiques qu’il nécessite</w:t>
      </w:r>
      <w:r w:rsidR="007C57EF" w:rsidRPr="00E72418">
        <w:rPr>
          <w:rStyle w:val="Appelnotedebasdep"/>
          <w:szCs w:val="24"/>
        </w:rPr>
        <w:footnoteReference w:id="304"/>
      </w:r>
      <w:r w:rsidR="007C57EF" w:rsidRPr="00E72418">
        <w:rPr>
          <w:szCs w:val="24"/>
        </w:rPr>
        <w:t>. Troisièmement, au-delà des conséquences proprement économiques</w:t>
      </w:r>
      <w:r w:rsidR="00DF7457" w:rsidRPr="00E72418">
        <w:rPr>
          <w:szCs w:val="24"/>
        </w:rPr>
        <w:t xml:space="preserve"> d’un défaut</w:t>
      </w:r>
      <w:r w:rsidR="007C57EF" w:rsidRPr="00E72418">
        <w:rPr>
          <w:szCs w:val="24"/>
        </w:rPr>
        <w:t xml:space="preserve">, </w:t>
      </w:r>
      <w:r w:rsidR="00DF7457" w:rsidRPr="00E72418">
        <w:rPr>
          <w:szCs w:val="24"/>
        </w:rPr>
        <w:t>il y a de fortes chances que celui-ci</w:t>
      </w:r>
      <w:r w:rsidR="007C57EF" w:rsidRPr="00E72418">
        <w:rPr>
          <w:szCs w:val="24"/>
        </w:rPr>
        <w:t xml:space="preserve"> </w:t>
      </w:r>
      <w:r w:rsidR="00DF7457" w:rsidRPr="00E72418">
        <w:rPr>
          <w:szCs w:val="24"/>
        </w:rPr>
        <w:t>aura</w:t>
      </w:r>
      <w:r w:rsidR="007C57EF" w:rsidRPr="00E72418">
        <w:rPr>
          <w:szCs w:val="24"/>
        </w:rPr>
        <w:t xml:space="preserve"> une incidence sur la stabilité politique de l’</w:t>
      </w:r>
      <w:r w:rsidR="007C57EF" w:rsidRPr="00E72418">
        <w:rPr>
          <w:szCs w:val="24"/>
          <w:lang w:eastAsia="fr-BE"/>
        </w:rPr>
        <w:t>É</w:t>
      </w:r>
      <w:r w:rsidR="007C57EF" w:rsidRPr="00E72418">
        <w:rPr>
          <w:szCs w:val="24"/>
        </w:rPr>
        <w:t>tat débiteur</w:t>
      </w:r>
      <w:r w:rsidR="007C57EF" w:rsidRPr="00E72418">
        <w:rPr>
          <w:rStyle w:val="Appelnotedebasdep"/>
          <w:rFonts w:cs="Times New Roman"/>
          <w:szCs w:val="24"/>
        </w:rPr>
        <w:footnoteReference w:id="305"/>
      </w:r>
      <w:r w:rsidR="007C57EF" w:rsidRPr="00E72418">
        <w:rPr>
          <w:szCs w:val="24"/>
        </w:rPr>
        <w:t>. Finalement, les contentieux découlant régulièrement d’un défaut sont de nature à avoir une incidence sur l’accès aux capitaux de l’</w:t>
      </w:r>
      <w:r w:rsidR="007C57EF" w:rsidRPr="00E72418">
        <w:rPr>
          <w:szCs w:val="24"/>
          <w:lang w:eastAsia="fr-BE"/>
        </w:rPr>
        <w:t>É</w:t>
      </w:r>
      <w:r w:rsidR="007C57EF" w:rsidRPr="00E72418">
        <w:rPr>
          <w:szCs w:val="24"/>
        </w:rPr>
        <w:t>tat débiteur</w:t>
      </w:r>
      <w:r w:rsidR="00DF7457" w:rsidRPr="00E72418">
        <w:rPr>
          <w:rStyle w:val="Appelnotedebasdep"/>
          <w:szCs w:val="24"/>
        </w:rPr>
        <w:footnoteReference w:id="306"/>
      </w:r>
      <w:r w:rsidR="00DF7457" w:rsidRPr="00E72418">
        <w:rPr>
          <w:szCs w:val="24"/>
        </w:rPr>
        <w:t>.</w:t>
      </w:r>
    </w:p>
    <w:p w14:paraId="5E9388B4" w14:textId="77777777" w:rsidR="001172A2" w:rsidRPr="00E72418" w:rsidRDefault="001172A2" w:rsidP="00423B60"/>
    <w:p w14:paraId="6A18518E" w14:textId="7EC3CAC3" w:rsidR="00EF6F47" w:rsidRPr="00E72418" w:rsidRDefault="007F038F" w:rsidP="00CC4BA8">
      <w:pPr>
        <w:spacing w:line="276" w:lineRule="auto"/>
        <w:rPr>
          <w:highlight w:val="yellow"/>
        </w:rPr>
      </w:pPr>
      <w:r w:rsidRPr="00E72418">
        <w:rPr>
          <w:b/>
          <w:szCs w:val="24"/>
        </w:rPr>
        <w:t>59</w:t>
      </w:r>
      <w:r w:rsidR="007E31CD" w:rsidRPr="00E72418">
        <w:rPr>
          <w:b/>
          <w:szCs w:val="24"/>
        </w:rPr>
        <w:t xml:space="preserve">. </w:t>
      </w:r>
      <w:r w:rsidR="007C57EF" w:rsidRPr="00E72418">
        <w:rPr>
          <w:b/>
          <w:szCs w:val="24"/>
        </w:rPr>
        <w:t xml:space="preserve">La crise de confiance – </w:t>
      </w:r>
      <w:r w:rsidR="00DF7457" w:rsidRPr="00E72418">
        <w:rPr>
          <w:szCs w:val="24"/>
        </w:rPr>
        <w:t xml:space="preserve">La </w:t>
      </w:r>
      <w:r w:rsidR="007C57EF" w:rsidRPr="00E72418">
        <w:rPr>
          <w:szCs w:val="24"/>
        </w:rPr>
        <w:t>crise de c</w:t>
      </w:r>
      <w:r w:rsidR="00765A3A" w:rsidRPr="00E72418">
        <w:rPr>
          <w:szCs w:val="24"/>
        </w:rPr>
        <w:t>onfiance allant souvent de pair</w:t>
      </w:r>
      <w:r w:rsidR="00DF7457" w:rsidRPr="00E72418">
        <w:rPr>
          <w:szCs w:val="24"/>
        </w:rPr>
        <w:t xml:space="preserve"> avec une situation de </w:t>
      </w:r>
      <w:r w:rsidR="00404DB7" w:rsidRPr="00E72418">
        <w:rPr>
          <w:szCs w:val="24"/>
        </w:rPr>
        <w:t xml:space="preserve">possible </w:t>
      </w:r>
      <w:r w:rsidR="00DF7457" w:rsidRPr="00E72418">
        <w:rPr>
          <w:szCs w:val="24"/>
        </w:rPr>
        <w:t>défaut</w:t>
      </w:r>
      <w:r w:rsidR="00B85F7F" w:rsidRPr="00E72418">
        <w:rPr>
          <w:szCs w:val="24"/>
        </w:rPr>
        <w:t>, elle</w:t>
      </w:r>
      <w:r w:rsidR="007C57EF" w:rsidRPr="00E72418">
        <w:rPr>
          <w:szCs w:val="24"/>
        </w:rPr>
        <w:t xml:space="preserve"> est de nature à avoir des conséquences aussi redoutables que le défaut </w:t>
      </w:r>
      <w:r w:rsidR="00DF7457" w:rsidRPr="00E72418">
        <w:rPr>
          <w:szCs w:val="24"/>
        </w:rPr>
        <w:t>lui-même</w:t>
      </w:r>
      <w:r w:rsidR="007C57EF" w:rsidRPr="00E72418">
        <w:rPr>
          <w:rStyle w:val="Appelnotedebasdep"/>
          <w:szCs w:val="24"/>
        </w:rPr>
        <w:footnoteReference w:id="307"/>
      </w:r>
      <w:r w:rsidR="00404DB7" w:rsidRPr="00E72418">
        <w:rPr>
          <w:szCs w:val="24"/>
        </w:rPr>
        <w:t>. La crise de confiance née</w:t>
      </w:r>
      <w:r w:rsidR="007C57EF" w:rsidRPr="00E72418">
        <w:rPr>
          <w:szCs w:val="24"/>
        </w:rPr>
        <w:t xml:space="preserve"> de la conviction de certains investisseurs que le pays débiteur ne sera pas en mesure d’honorer sa dette a ceci d’effrayant qu’elle peut </w:t>
      </w:r>
      <w:r w:rsidR="00404DB7" w:rsidRPr="00E72418">
        <w:rPr>
          <w:szCs w:val="24"/>
        </w:rPr>
        <w:t>s’avérer</w:t>
      </w:r>
      <w:r w:rsidR="007C57EF" w:rsidRPr="00E72418">
        <w:rPr>
          <w:szCs w:val="24"/>
        </w:rPr>
        <w:t xml:space="preserve"> autoréalisatrice</w:t>
      </w:r>
      <w:r w:rsidR="007C57EF" w:rsidRPr="00E72418">
        <w:rPr>
          <w:rStyle w:val="Appelnotedebasdep"/>
          <w:szCs w:val="24"/>
        </w:rPr>
        <w:footnoteReference w:id="308"/>
      </w:r>
      <w:r w:rsidR="007C57EF" w:rsidRPr="00E72418">
        <w:rPr>
          <w:szCs w:val="24"/>
        </w:rPr>
        <w:t xml:space="preserve">. </w:t>
      </w:r>
      <w:r w:rsidR="00404DB7" w:rsidRPr="00E72418">
        <w:rPr>
          <w:szCs w:val="24"/>
        </w:rPr>
        <w:t>Ainsi, m</w:t>
      </w:r>
      <w:r w:rsidR="007C57EF" w:rsidRPr="00E72418">
        <w:rPr>
          <w:szCs w:val="24"/>
        </w:rPr>
        <w:t xml:space="preserve">ême si le défaut de paiement n’est </w:t>
      </w:r>
      <w:r w:rsidR="007C57EF" w:rsidRPr="00E72418">
        <w:rPr>
          <w:i/>
          <w:szCs w:val="24"/>
        </w:rPr>
        <w:t>in fine</w:t>
      </w:r>
      <w:r w:rsidR="007C57EF" w:rsidRPr="00E72418">
        <w:rPr>
          <w:szCs w:val="24"/>
        </w:rPr>
        <w:t xml:space="preserve"> pas rencontré, l’</w:t>
      </w:r>
      <w:r w:rsidR="007C57EF" w:rsidRPr="00E72418">
        <w:rPr>
          <w:szCs w:val="24"/>
          <w:lang w:eastAsia="fr-BE"/>
        </w:rPr>
        <w:t>É</w:t>
      </w:r>
      <w:r w:rsidR="007C57EF" w:rsidRPr="00E72418">
        <w:rPr>
          <w:szCs w:val="24"/>
        </w:rPr>
        <w:t xml:space="preserve">tat débiteur </w:t>
      </w:r>
      <w:r w:rsidR="00404DB7" w:rsidRPr="00E72418">
        <w:rPr>
          <w:szCs w:val="24"/>
        </w:rPr>
        <w:t>verra</w:t>
      </w:r>
      <w:r w:rsidR="007C57EF" w:rsidRPr="00E72418">
        <w:rPr>
          <w:szCs w:val="24"/>
        </w:rPr>
        <w:t xml:space="preserve"> sa situation financière se compliquer avec</w:t>
      </w:r>
      <w:r w:rsidR="00404DB7" w:rsidRPr="00E72418">
        <w:rPr>
          <w:szCs w:val="24"/>
        </w:rPr>
        <w:t>, par exemple,</w:t>
      </w:r>
      <w:r w:rsidR="007C57EF" w:rsidRPr="00E72418">
        <w:rPr>
          <w:szCs w:val="24"/>
        </w:rPr>
        <w:t xml:space="preserve"> une augmentation des </w:t>
      </w:r>
      <w:r w:rsidR="007C57EF" w:rsidRPr="00E72418">
        <w:rPr>
          <w:szCs w:val="24"/>
        </w:rPr>
        <w:lastRenderedPageBreak/>
        <w:t>taux d’intérêts</w:t>
      </w:r>
      <w:r w:rsidR="007C57EF" w:rsidRPr="00E72418">
        <w:rPr>
          <w:rStyle w:val="Appelnotedebasdep"/>
          <w:szCs w:val="24"/>
        </w:rPr>
        <w:footnoteReference w:id="309"/>
      </w:r>
      <w:r w:rsidR="007C57EF" w:rsidRPr="00E72418">
        <w:rPr>
          <w:szCs w:val="24"/>
        </w:rPr>
        <w:t>. Par ailleurs, l’</w:t>
      </w:r>
      <w:r w:rsidR="007C57EF" w:rsidRPr="00E72418">
        <w:rPr>
          <w:szCs w:val="24"/>
          <w:lang w:eastAsia="fr-BE"/>
        </w:rPr>
        <w:t>É</w:t>
      </w:r>
      <w:r w:rsidR="007C57EF" w:rsidRPr="00E72418">
        <w:rPr>
          <w:szCs w:val="24"/>
        </w:rPr>
        <w:t>tat déclarant ne pas être en mesure de rembourser sa dette lance un signal aux fonds spéculatifs qu’une opportunité de gains se crée</w:t>
      </w:r>
      <w:r w:rsidR="00404DB7" w:rsidRPr="00E72418">
        <w:rPr>
          <w:szCs w:val="24"/>
        </w:rPr>
        <w:t>. Ce signal</w:t>
      </w:r>
      <w:r w:rsidR="007C57EF" w:rsidRPr="00E72418">
        <w:rPr>
          <w:szCs w:val="24"/>
        </w:rPr>
        <w:t xml:space="preserve"> fera </w:t>
      </w:r>
      <w:r w:rsidR="00404DB7" w:rsidRPr="00E72418">
        <w:rPr>
          <w:szCs w:val="24"/>
        </w:rPr>
        <w:t xml:space="preserve">ainsi </w:t>
      </w:r>
      <w:r w:rsidR="007C57EF" w:rsidRPr="00E72418">
        <w:rPr>
          <w:szCs w:val="24"/>
        </w:rPr>
        <w:t xml:space="preserve">peser un risque de contentieux de nature à </w:t>
      </w:r>
      <w:r w:rsidR="00404DB7" w:rsidRPr="00E72418">
        <w:rPr>
          <w:szCs w:val="24"/>
        </w:rPr>
        <w:t xml:space="preserve">lui </w:t>
      </w:r>
      <w:r w:rsidR="007C57EF" w:rsidRPr="00E72418">
        <w:rPr>
          <w:szCs w:val="24"/>
        </w:rPr>
        <w:t>nuire</w:t>
      </w:r>
      <w:r w:rsidR="007C57EF" w:rsidRPr="00E72418">
        <w:rPr>
          <w:rStyle w:val="Appelnotedebasdep"/>
          <w:szCs w:val="24"/>
        </w:rPr>
        <w:footnoteReference w:id="310"/>
      </w:r>
      <w:r w:rsidR="007C57EF" w:rsidRPr="00E72418">
        <w:rPr>
          <w:szCs w:val="24"/>
        </w:rPr>
        <w:t>.</w:t>
      </w:r>
    </w:p>
    <w:p w14:paraId="042B4E91" w14:textId="307F37F8" w:rsidR="00194C97" w:rsidRPr="00E72418" w:rsidRDefault="00194C97" w:rsidP="000F20AD">
      <w:bookmarkStart w:id="57" w:name="_Toc59280886"/>
      <w:bookmarkStart w:id="58" w:name="_Toc75106063"/>
      <w:bookmarkStart w:id="59" w:name="_Toc84540875"/>
    </w:p>
    <w:p w14:paraId="1B9302C2" w14:textId="77777777" w:rsidR="000F20AD" w:rsidRPr="00E72418" w:rsidRDefault="000F20AD" w:rsidP="000F20AD"/>
    <w:p w14:paraId="41FD9133" w14:textId="411600D9" w:rsidR="007C57EF" w:rsidRPr="00E72418" w:rsidRDefault="00DC60C1" w:rsidP="00CC4BA8">
      <w:pPr>
        <w:pStyle w:val="BB"/>
        <w:spacing w:line="276" w:lineRule="auto"/>
      </w:pPr>
      <w:r w:rsidRPr="00E72418">
        <w:t>Troisième</w:t>
      </w:r>
      <w:r w:rsidR="000764CE" w:rsidRPr="00E72418">
        <w:t xml:space="preserve"> notion</w:t>
      </w:r>
      <w:r w:rsidR="003C32DE" w:rsidRPr="00E72418">
        <w:t xml:space="preserve"> : </w:t>
      </w:r>
      <w:r w:rsidR="007C57EF" w:rsidRPr="00E72418">
        <w:t>La restructuration</w:t>
      </w:r>
      <w:bookmarkEnd w:id="57"/>
      <w:bookmarkEnd w:id="58"/>
      <w:bookmarkEnd w:id="59"/>
    </w:p>
    <w:p w14:paraId="6FA64842" w14:textId="77777777" w:rsidR="006F474B" w:rsidRPr="00E72418" w:rsidRDefault="006F474B" w:rsidP="00423B60"/>
    <w:p w14:paraId="3CD92A52" w14:textId="631D1499" w:rsidR="006E58A8" w:rsidRPr="00E72418" w:rsidRDefault="007F038F" w:rsidP="006E58A8">
      <w:pPr>
        <w:spacing w:line="276" w:lineRule="auto"/>
      </w:pPr>
      <w:r w:rsidRPr="00E72418">
        <w:rPr>
          <w:b/>
        </w:rPr>
        <w:t xml:space="preserve">60. </w:t>
      </w:r>
      <w:r w:rsidR="006E58A8" w:rsidRPr="00E72418">
        <w:rPr>
          <w:b/>
        </w:rPr>
        <w:t>Une épreuve difficile mais essentielle, pourtant dépourvu</w:t>
      </w:r>
      <w:r w:rsidR="00D50166" w:rsidRPr="00E72418">
        <w:rPr>
          <w:b/>
        </w:rPr>
        <w:t>e</w:t>
      </w:r>
      <w:r w:rsidR="006E58A8" w:rsidRPr="00E72418">
        <w:rPr>
          <w:b/>
        </w:rPr>
        <w:t xml:space="preserve"> de cadre </w:t>
      </w:r>
      <w:r w:rsidR="006E58A8" w:rsidRPr="00E72418">
        <w:rPr>
          <w:b/>
          <w:szCs w:val="24"/>
        </w:rPr>
        <w:t>–</w:t>
      </w:r>
      <w:r w:rsidR="006E58A8" w:rsidRPr="00E72418">
        <w:rPr>
          <w:b/>
        </w:rPr>
        <w:t xml:space="preserve"> </w:t>
      </w:r>
      <w:r w:rsidR="006E58A8" w:rsidRPr="00E72418">
        <w:t>Face aux difficultés rencontré</w:t>
      </w:r>
      <w:r w:rsidR="006A04CF" w:rsidRPr="00E72418">
        <w:t xml:space="preserve">es à honorer leurs dettes, les </w:t>
      </w:r>
      <w:r w:rsidR="006A04CF" w:rsidRPr="00E72418">
        <w:rPr>
          <w:rFonts w:ascii="Times New Roman" w:hAnsi="Times New Roman" w:cs="Times New Roman"/>
          <w:lang w:eastAsia="fr-BE"/>
        </w:rPr>
        <w:t>É</w:t>
      </w:r>
      <w:r w:rsidR="006E58A8" w:rsidRPr="00E72418">
        <w:t xml:space="preserve">tats souverains peuvent </w:t>
      </w:r>
      <w:r w:rsidR="00851DCB" w:rsidRPr="00E72418">
        <w:t xml:space="preserve">en </w:t>
      </w:r>
      <w:r w:rsidR="006E58A8" w:rsidRPr="00E72418">
        <w:t xml:space="preserve">chercher </w:t>
      </w:r>
      <w:r w:rsidR="00851DCB" w:rsidRPr="00E72418">
        <w:t>une</w:t>
      </w:r>
      <w:r w:rsidR="006E58A8" w:rsidRPr="00E72418">
        <w:t xml:space="preserve"> nécessaire restructuration, laquelle peut prendre, et a pris à travers le temps, différentes formes (</w:t>
      </w:r>
      <w:r w:rsidR="006E58A8" w:rsidRPr="00E72418">
        <w:rPr>
          <w:b/>
        </w:rPr>
        <w:t>chapitre 1</w:t>
      </w:r>
      <w:r w:rsidR="00851DCB" w:rsidRPr="00E72418">
        <w:t>). La complexité des processus de restructuration découle</w:t>
      </w:r>
      <w:r w:rsidR="00845496">
        <w:t>,</w:t>
      </w:r>
      <w:r w:rsidR="006E58A8" w:rsidRPr="00E72418">
        <w:t xml:space="preserve"> pour l’essentiel</w:t>
      </w:r>
      <w:r w:rsidR="00845496">
        <w:t>,</w:t>
      </w:r>
      <w:r w:rsidR="006E58A8" w:rsidRPr="00E72418">
        <w:t xml:space="preserve"> de l’absence de mécanisme institutionnalisé visant leur bonne réussite, et ce, alors que le nombre de parties impliquées est souvent important (</w:t>
      </w:r>
      <w:r w:rsidR="006E58A8" w:rsidRPr="00E72418">
        <w:rPr>
          <w:b/>
        </w:rPr>
        <w:t>chapitre 2</w:t>
      </w:r>
      <w:r w:rsidR="006E58A8" w:rsidRPr="00E72418">
        <w:t xml:space="preserve">). Cette lacune constatée, et </w:t>
      </w:r>
      <w:r w:rsidR="00851DCB" w:rsidRPr="00E72418">
        <w:t>n’apparaissant</w:t>
      </w:r>
      <w:r w:rsidR="006E58A8" w:rsidRPr="00E72418">
        <w:t xml:space="preserve"> pas pouvoir être palliée</w:t>
      </w:r>
      <w:r w:rsidR="006E58A8" w:rsidRPr="00E72418">
        <w:rPr>
          <w:rStyle w:val="Appelnotedebasdep"/>
          <w:rFonts w:ascii="Times New Roman" w:hAnsi="Times New Roman" w:cs="Times New Roman"/>
        </w:rPr>
        <w:footnoteReference w:id="311"/>
      </w:r>
      <w:r w:rsidR="006E58A8" w:rsidRPr="00E72418">
        <w:t xml:space="preserve">, l’on peut </w:t>
      </w:r>
      <w:r w:rsidR="00851DCB" w:rsidRPr="00E72418">
        <w:t>néanmoins</w:t>
      </w:r>
      <w:r w:rsidR="006E58A8" w:rsidRPr="00E72418">
        <w:t xml:space="preserve"> épingler quelques principes, règles et bonnes p</w:t>
      </w:r>
      <w:r w:rsidR="00851DCB" w:rsidRPr="00E72418">
        <w:t xml:space="preserve">ratiques qui </w:t>
      </w:r>
      <w:r w:rsidR="008D7F73">
        <w:t>paraissent de nature à participer</w:t>
      </w:r>
      <w:r w:rsidR="00851DCB" w:rsidRPr="00E72418">
        <w:t xml:space="preserve"> au</w:t>
      </w:r>
      <w:r w:rsidR="006E58A8" w:rsidRPr="00E72418">
        <w:t xml:space="preserve"> succès des restructurations (</w:t>
      </w:r>
      <w:r w:rsidR="006E58A8" w:rsidRPr="00E72418">
        <w:rPr>
          <w:b/>
        </w:rPr>
        <w:t>chapitre 3</w:t>
      </w:r>
      <w:r w:rsidR="006E58A8" w:rsidRPr="00E72418">
        <w:t>).</w:t>
      </w:r>
    </w:p>
    <w:p w14:paraId="41CBB581" w14:textId="541CA33D" w:rsidR="00357400" w:rsidRPr="00E72418" w:rsidRDefault="00357400" w:rsidP="00025355">
      <w:bookmarkStart w:id="60" w:name="_Toc59280887"/>
      <w:bookmarkStart w:id="61" w:name="_Toc75106064"/>
      <w:bookmarkStart w:id="62" w:name="_Toc84540876"/>
    </w:p>
    <w:p w14:paraId="2C902769" w14:textId="6D1E6313" w:rsidR="007C57EF" w:rsidRPr="00E72418" w:rsidRDefault="000764CE" w:rsidP="00CC4BA8">
      <w:pPr>
        <w:pStyle w:val="CC"/>
        <w:spacing w:line="276" w:lineRule="auto"/>
      </w:pPr>
      <w:r w:rsidRPr="00E72418">
        <w:t xml:space="preserve">Chapitre 1 : </w:t>
      </w:r>
      <w:r w:rsidR="007C57EF" w:rsidRPr="00E72418">
        <w:t>La notion</w:t>
      </w:r>
      <w:bookmarkEnd w:id="60"/>
      <w:bookmarkEnd w:id="61"/>
      <w:bookmarkEnd w:id="62"/>
      <w:r w:rsidR="007C57EF" w:rsidRPr="00E72418">
        <w:t xml:space="preserve"> </w:t>
      </w:r>
    </w:p>
    <w:p w14:paraId="3144C33C" w14:textId="77777777" w:rsidR="007C57EF" w:rsidRPr="00E72418" w:rsidRDefault="007C57EF" w:rsidP="00423B60"/>
    <w:p w14:paraId="36029157" w14:textId="14DBDFC2" w:rsidR="007C57EF" w:rsidRPr="00E72418" w:rsidRDefault="007E31CD" w:rsidP="00CC4BA8">
      <w:pPr>
        <w:spacing w:line="276" w:lineRule="auto"/>
        <w:rPr>
          <w:rFonts w:ascii="Times New Roman" w:hAnsi="Times New Roman" w:cs="Times New Roman"/>
          <w:szCs w:val="24"/>
        </w:rPr>
      </w:pPr>
      <w:r w:rsidRPr="00E72418">
        <w:rPr>
          <w:rFonts w:ascii="Times New Roman" w:hAnsi="Times New Roman" w:cs="Times New Roman"/>
          <w:b/>
          <w:szCs w:val="24"/>
        </w:rPr>
        <w:t xml:space="preserve">61. </w:t>
      </w:r>
      <w:r w:rsidR="007C57EF" w:rsidRPr="00E72418">
        <w:rPr>
          <w:rFonts w:ascii="Times New Roman" w:hAnsi="Times New Roman" w:cs="Times New Roman"/>
          <w:b/>
          <w:szCs w:val="24"/>
        </w:rPr>
        <w:t>Une solution –</w:t>
      </w:r>
      <w:r w:rsidR="00AC4D76" w:rsidRPr="00E72418">
        <w:rPr>
          <w:rFonts w:ascii="Times New Roman" w:hAnsi="Times New Roman" w:cs="Times New Roman"/>
          <w:szCs w:val="24"/>
        </w:rPr>
        <w:t xml:space="preserve"> Si </w:t>
      </w:r>
      <w:r w:rsidR="007C57EF" w:rsidRPr="00E72418">
        <w:rPr>
          <w:rFonts w:ascii="Times New Roman" w:hAnsi="Times New Roman" w:cs="Times New Roman"/>
          <w:szCs w:val="24"/>
        </w:rPr>
        <w:t xml:space="preserve">les défauts </w:t>
      </w:r>
      <w:r w:rsidR="00AC4D76" w:rsidRPr="00E72418">
        <w:rPr>
          <w:rFonts w:ascii="Times New Roman" w:hAnsi="Times New Roman" w:cs="Times New Roman"/>
          <w:szCs w:val="24"/>
        </w:rPr>
        <w:t xml:space="preserve">souverains </w:t>
      </w:r>
      <w:r w:rsidR="007C57EF" w:rsidRPr="00E72418">
        <w:rPr>
          <w:rFonts w:ascii="Times New Roman" w:hAnsi="Times New Roman" w:cs="Times New Roman"/>
          <w:szCs w:val="24"/>
        </w:rPr>
        <w:t xml:space="preserve">sont des phénomènes récurrents, les dettes concernées ne restent pas pour autant en souffrance indéfiniment. Généralement, les </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 xml:space="preserve">tats débiteurs finissent par les honorer moyennant de nouvelles modalités. Ainsi, quand un </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 xml:space="preserve">tat n’est plus capable de rembourser sa dette, il sera enclin à </w:t>
      </w:r>
      <w:r w:rsidR="00AC4D76" w:rsidRPr="00E72418">
        <w:rPr>
          <w:rFonts w:ascii="Times New Roman" w:hAnsi="Times New Roman" w:cs="Times New Roman"/>
          <w:szCs w:val="24"/>
        </w:rPr>
        <w:t>en solliciter l</w:t>
      </w:r>
      <w:r w:rsidR="007C57EF" w:rsidRPr="00E72418">
        <w:rPr>
          <w:rFonts w:ascii="Times New Roman" w:hAnsi="Times New Roman" w:cs="Times New Roman"/>
          <w:szCs w:val="24"/>
        </w:rPr>
        <w:t>a restructuration faisant dire à certains que « [d]ebt restructuring has long been the weapon of choice to remedy a country’s lack of solvency »</w:t>
      </w:r>
      <w:r w:rsidR="007C57EF" w:rsidRPr="00E72418">
        <w:rPr>
          <w:rStyle w:val="Appelnotedebasdep"/>
          <w:rFonts w:ascii="Times New Roman" w:hAnsi="Times New Roman" w:cs="Times New Roman"/>
          <w:szCs w:val="24"/>
        </w:rPr>
        <w:footnoteReference w:id="312"/>
      </w:r>
      <w:r w:rsidR="00AC4D76" w:rsidRPr="00E72418">
        <w:rPr>
          <w:rFonts w:ascii="Times New Roman" w:hAnsi="Times New Roman" w:cs="Times New Roman"/>
          <w:szCs w:val="24"/>
        </w:rPr>
        <w:t>. P</w:t>
      </w:r>
      <w:r w:rsidR="007C57EF" w:rsidRPr="00E72418">
        <w:rPr>
          <w:rFonts w:ascii="Times New Roman" w:hAnsi="Times New Roman" w:cs="Times New Roman"/>
          <w:szCs w:val="24"/>
        </w:rPr>
        <w:t>ar la restructuration, l’</w:t>
      </w:r>
      <w:r w:rsidR="007C57EF" w:rsidRPr="00E72418">
        <w:rPr>
          <w:rFonts w:ascii="Times New Roman" w:hAnsi="Times New Roman" w:cs="Times New Roman"/>
          <w:szCs w:val="24"/>
          <w:lang w:eastAsia="fr-BE"/>
        </w:rPr>
        <w:t>É</w:t>
      </w:r>
      <w:r w:rsidR="007C57EF" w:rsidRPr="00E72418">
        <w:rPr>
          <w:rFonts w:ascii="Times New Roman" w:hAnsi="Times New Roman" w:cs="Times New Roman"/>
          <w:szCs w:val="24"/>
        </w:rPr>
        <w:t xml:space="preserve">tat débiteur cherche à s’affranchir du poids de sa dette </w:t>
      </w:r>
      <w:r w:rsidR="00B85F7F" w:rsidRPr="00E72418">
        <w:rPr>
          <w:rFonts w:ascii="Times New Roman" w:hAnsi="Times New Roman" w:cs="Times New Roman"/>
          <w:szCs w:val="24"/>
        </w:rPr>
        <w:t>afin de</w:t>
      </w:r>
      <w:r w:rsidR="007C57EF" w:rsidRPr="00E72418">
        <w:rPr>
          <w:rFonts w:ascii="Times New Roman" w:hAnsi="Times New Roman" w:cs="Times New Roman"/>
          <w:szCs w:val="24"/>
        </w:rPr>
        <w:t xml:space="preserve"> pouvoir engager des politiques </w:t>
      </w:r>
      <w:r w:rsidR="00AC4D76" w:rsidRPr="00E72418">
        <w:rPr>
          <w:rFonts w:ascii="Times New Roman" w:hAnsi="Times New Roman" w:cs="Times New Roman"/>
          <w:szCs w:val="24"/>
        </w:rPr>
        <w:t>visant à</w:t>
      </w:r>
      <w:r w:rsidR="007C57EF" w:rsidRPr="00E72418">
        <w:rPr>
          <w:rFonts w:ascii="Times New Roman" w:hAnsi="Times New Roman" w:cs="Times New Roman"/>
          <w:szCs w:val="24"/>
        </w:rPr>
        <w:t xml:space="preserve"> relancer son économie et ainsi surmonter la crise rencontrée</w:t>
      </w:r>
      <w:r w:rsidR="007C57EF" w:rsidRPr="00E72418">
        <w:rPr>
          <w:rStyle w:val="Appelnotedebasdep"/>
          <w:rFonts w:ascii="Times New Roman" w:hAnsi="Times New Roman" w:cs="Times New Roman"/>
          <w:szCs w:val="24"/>
        </w:rPr>
        <w:footnoteReference w:id="313"/>
      </w:r>
      <w:r w:rsidR="007C57EF" w:rsidRPr="00E72418">
        <w:rPr>
          <w:rFonts w:ascii="Times New Roman" w:hAnsi="Times New Roman" w:cs="Times New Roman"/>
          <w:szCs w:val="24"/>
        </w:rPr>
        <w:t>.</w:t>
      </w:r>
      <w:r w:rsidR="00381B3F" w:rsidRPr="00E72418">
        <w:rPr>
          <w:rFonts w:ascii="Times New Roman" w:hAnsi="Times New Roman" w:cs="Times New Roman"/>
          <w:szCs w:val="24"/>
        </w:rPr>
        <w:t xml:space="preserve"> L’opportunité des restructurations des dettes souveraines suit le souci d’assurer la soutenabilité de celles-ci de sorte que, comme le note </w:t>
      </w:r>
      <w:r w:rsidR="005C18A8" w:rsidRPr="00E72418">
        <w:rPr>
          <w:rFonts w:ascii="Times New Roman" w:hAnsi="Times New Roman" w:cs="Times New Roman"/>
          <w:szCs w:val="24"/>
        </w:rPr>
        <w:t xml:space="preserve">Michael </w:t>
      </w:r>
      <w:r w:rsidR="00381B3F" w:rsidRPr="00E72418">
        <w:rPr>
          <w:rFonts w:ascii="Times New Roman" w:hAnsi="Times New Roman" w:cs="Times New Roman"/>
          <w:szCs w:val="24"/>
        </w:rPr>
        <w:t>Riegner, « actors must work towards an amount of debt relief tailored to restore debt sustainability »</w:t>
      </w:r>
      <w:r w:rsidR="00381B3F" w:rsidRPr="00E72418">
        <w:rPr>
          <w:rStyle w:val="Appelnotedebasdep"/>
          <w:rFonts w:ascii="Times New Roman" w:hAnsi="Times New Roman" w:cs="Times New Roman"/>
          <w:szCs w:val="24"/>
        </w:rPr>
        <w:footnoteReference w:id="314"/>
      </w:r>
      <w:r w:rsidR="00381B3F" w:rsidRPr="00E72418">
        <w:rPr>
          <w:rFonts w:ascii="Times New Roman" w:hAnsi="Times New Roman" w:cs="Times New Roman"/>
          <w:szCs w:val="24"/>
        </w:rPr>
        <w:t>.</w:t>
      </w:r>
    </w:p>
    <w:p w14:paraId="1B8E8775" w14:textId="23C97EEC"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szCs w:val="24"/>
        </w:rPr>
        <w:t xml:space="preserve">Le but poursuivi par </w:t>
      </w:r>
      <w:r w:rsidR="00AC4D76" w:rsidRPr="00E72418">
        <w:rPr>
          <w:rFonts w:ascii="Times New Roman" w:hAnsi="Times New Roman" w:cs="Times New Roman"/>
          <w:szCs w:val="24"/>
        </w:rPr>
        <w:t>les</w:t>
      </w:r>
      <w:r w:rsidRPr="00E72418">
        <w:rPr>
          <w:rFonts w:ascii="Times New Roman" w:hAnsi="Times New Roman" w:cs="Times New Roman"/>
          <w:szCs w:val="24"/>
        </w:rPr>
        <w:t xml:space="preserve"> restructuration</w:t>
      </w:r>
      <w:r w:rsidR="00AC4D76" w:rsidRPr="00E72418">
        <w:rPr>
          <w:rFonts w:ascii="Times New Roman" w:hAnsi="Times New Roman" w:cs="Times New Roman"/>
          <w:szCs w:val="24"/>
        </w:rPr>
        <w:t>s</w:t>
      </w:r>
      <w:r w:rsidRPr="00E72418">
        <w:rPr>
          <w:rFonts w:ascii="Times New Roman" w:hAnsi="Times New Roman" w:cs="Times New Roman"/>
          <w:szCs w:val="24"/>
        </w:rPr>
        <w:t xml:space="preserve"> est, l’expliquent </w:t>
      </w:r>
      <w:r w:rsidR="00BC1F96" w:rsidRPr="00E72418">
        <w:rPr>
          <w:rFonts w:ascii="Times New Roman" w:hAnsi="Times New Roman" w:cs="Times New Roman"/>
          <w:szCs w:val="24"/>
        </w:rPr>
        <w:t xml:space="preserve">Dominique </w:t>
      </w:r>
      <w:r w:rsidRPr="00E72418">
        <w:rPr>
          <w:rFonts w:ascii="Times New Roman" w:hAnsi="Times New Roman" w:cs="Times New Roman"/>
          <w:szCs w:val="24"/>
        </w:rPr>
        <w:t xml:space="preserve">Carreau et </w:t>
      </w:r>
      <w:r w:rsidR="00BC1F96" w:rsidRPr="00E72418">
        <w:rPr>
          <w:rFonts w:ascii="Times New Roman" w:hAnsi="Times New Roman" w:cs="Times New Roman"/>
          <w:szCs w:val="24"/>
        </w:rPr>
        <w:t xml:space="preserve">Caroline </w:t>
      </w:r>
      <w:r w:rsidRPr="00E72418">
        <w:rPr>
          <w:rFonts w:ascii="Times New Roman" w:hAnsi="Times New Roman" w:cs="Times New Roman"/>
          <w:szCs w:val="24"/>
        </w:rPr>
        <w:t>Kleiner, celui de «</w:t>
      </w:r>
      <w:r w:rsidRPr="00E72418">
        <w:rPr>
          <w:rFonts w:ascii="Times New Roman" w:hAnsi="Times New Roman" w:cs="Times New Roman"/>
          <w:szCs w:val="24"/>
          <w:lang w:eastAsia="fr-BE"/>
        </w:rPr>
        <w:t xml:space="preserve"> parvenir à une sorte de concordat aux termes duquel les créanciers acceptent de faire des sacrifices financiers pour peu que l’État défaillant accepte d’honorer les termes et </w:t>
      </w:r>
      <w:r w:rsidRPr="00E72418">
        <w:rPr>
          <w:rFonts w:ascii="Times New Roman" w:hAnsi="Times New Roman" w:cs="Times New Roman"/>
          <w:szCs w:val="24"/>
          <w:lang w:eastAsia="fr-BE"/>
        </w:rPr>
        <w:lastRenderedPageBreak/>
        <w:t>conditions de sa nouvelle dette telle que réduite »</w:t>
      </w:r>
      <w:r w:rsidRPr="00E72418">
        <w:rPr>
          <w:rStyle w:val="Appelnotedebasdep"/>
          <w:rFonts w:ascii="Times New Roman" w:hAnsi="Times New Roman" w:cs="Times New Roman"/>
          <w:szCs w:val="24"/>
          <w:lang w:eastAsia="fr-BE"/>
        </w:rPr>
        <w:footnoteReference w:id="315"/>
      </w:r>
      <w:r w:rsidRPr="00E72418">
        <w:rPr>
          <w:rFonts w:ascii="Times New Roman" w:hAnsi="Times New Roman" w:cs="Times New Roman"/>
          <w:szCs w:val="24"/>
          <w:lang w:eastAsia="fr-BE"/>
        </w:rPr>
        <w:t>. Dès lors qu’il est plus intéressant pour les créan</w:t>
      </w:r>
      <w:r w:rsidR="0098290A" w:rsidRPr="00E72418">
        <w:rPr>
          <w:rFonts w:ascii="Times New Roman" w:hAnsi="Times New Roman" w:cs="Times New Roman"/>
          <w:szCs w:val="24"/>
          <w:lang w:eastAsia="fr-BE"/>
        </w:rPr>
        <w:t>ciers de recevoir un paiement fû</w:t>
      </w:r>
      <w:r w:rsidRPr="00E72418">
        <w:rPr>
          <w:rFonts w:ascii="Times New Roman" w:hAnsi="Times New Roman" w:cs="Times New Roman"/>
          <w:szCs w:val="24"/>
          <w:lang w:eastAsia="fr-BE"/>
        </w:rPr>
        <w:t xml:space="preserve">t-il réduit plutôt que de laisser le débiteur en état d’insolvabilité, la restructuration vise à permettre </w:t>
      </w:r>
      <w:r w:rsidR="00AC4D76" w:rsidRPr="00E72418">
        <w:rPr>
          <w:rFonts w:ascii="Times New Roman" w:hAnsi="Times New Roman" w:cs="Times New Roman"/>
          <w:szCs w:val="24"/>
          <w:lang w:eastAsia="fr-BE"/>
        </w:rPr>
        <w:t>à ce dernier</w:t>
      </w:r>
      <w:r w:rsidRPr="00E72418">
        <w:rPr>
          <w:rFonts w:ascii="Times New Roman" w:hAnsi="Times New Roman" w:cs="Times New Roman"/>
          <w:szCs w:val="24"/>
          <w:lang w:eastAsia="fr-BE"/>
        </w:rPr>
        <w:t xml:space="preserve"> de recouvrer des facultés de paiement</w:t>
      </w:r>
      <w:r w:rsidRPr="00E72418">
        <w:rPr>
          <w:rStyle w:val="Appelnotedebasdep"/>
          <w:rFonts w:ascii="Times New Roman" w:hAnsi="Times New Roman" w:cs="Times New Roman"/>
          <w:szCs w:val="24"/>
        </w:rPr>
        <w:footnoteReference w:id="316"/>
      </w:r>
      <w:r w:rsidRPr="00E72418">
        <w:rPr>
          <w:rFonts w:ascii="Times New Roman" w:hAnsi="Times New Roman" w:cs="Times New Roman"/>
          <w:szCs w:val="24"/>
        </w:rPr>
        <w:t xml:space="preserve">. Pour les </w:t>
      </w:r>
      <w:r w:rsidRPr="00E72418">
        <w:rPr>
          <w:rFonts w:ascii="Times New Roman" w:hAnsi="Times New Roman" w:cs="Times New Roman"/>
          <w:szCs w:val="24"/>
          <w:lang w:eastAsia="fr-BE"/>
        </w:rPr>
        <w:t>É</w:t>
      </w:r>
      <w:r w:rsidRPr="00E72418">
        <w:rPr>
          <w:rFonts w:ascii="Times New Roman" w:hAnsi="Times New Roman" w:cs="Times New Roman"/>
          <w:szCs w:val="24"/>
        </w:rPr>
        <w:t>tats débiteurs, le pr</w:t>
      </w:r>
      <w:r w:rsidR="00AC4D76" w:rsidRPr="00E72418">
        <w:rPr>
          <w:rFonts w:ascii="Times New Roman" w:hAnsi="Times New Roman" w:cs="Times New Roman"/>
          <w:szCs w:val="24"/>
        </w:rPr>
        <w:t>ocessus de restructuration de leur</w:t>
      </w:r>
      <w:r w:rsidRPr="00E72418">
        <w:rPr>
          <w:rFonts w:ascii="Times New Roman" w:hAnsi="Times New Roman" w:cs="Times New Roman"/>
          <w:szCs w:val="24"/>
        </w:rPr>
        <w:t xml:space="preserve"> dette </w:t>
      </w:r>
      <w:r w:rsidR="00AC4D76" w:rsidRPr="00E72418">
        <w:rPr>
          <w:rFonts w:ascii="Times New Roman" w:hAnsi="Times New Roman" w:cs="Times New Roman"/>
          <w:szCs w:val="24"/>
        </w:rPr>
        <w:t xml:space="preserve">a </w:t>
      </w:r>
      <w:r w:rsidRPr="00E72418">
        <w:rPr>
          <w:rFonts w:ascii="Times New Roman" w:hAnsi="Times New Roman" w:cs="Times New Roman"/>
          <w:szCs w:val="24"/>
        </w:rPr>
        <w:t>pour objectif la conclusion d’un accord qui leur permette de restaurer leur stabilité financière</w:t>
      </w:r>
      <w:r w:rsidR="00AC4D76" w:rsidRPr="00E72418">
        <w:rPr>
          <w:rStyle w:val="Appelnotedebasdep"/>
          <w:rFonts w:ascii="Times New Roman" w:hAnsi="Times New Roman" w:cs="Times New Roman"/>
          <w:szCs w:val="24"/>
        </w:rPr>
        <w:footnoteReference w:id="317"/>
      </w:r>
      <w:r w:rsidRPr="00E72418">
        <w:rPr>
          <w:rFonts w:ascii="Times New Roman" w:hAnsi="Times New Roman" w:cs="Times New Roman"/>
          <w:szCs w:val="24"/>
        </w:rPr>
        <w:t>.</w:t>
      </w:r>
      <w:r w:rsidR="00AC4D76" w:rsidRPr="00E72418">
        <w:rPr>
          <w:rFonts w:ascii="Times New Roman" w:hAnsi="Times New Roman" w:cs="Times New Roman"/>
          <w:szCs w:val="24"/>
        </w:rPr>
        <w:t xml:space="preserve"> </w:t>
      </w:r>
      <w:r w:rsidRPr="00E72418">
        <w:rPr>
          <w:rFonts w:ascii="Times New Roman" w:hAnsi="Times New Roman" w:cs="Times New Roman"/>
          <w:szCs w:val="24"/>
        </w:rPr>
        <w:t>Plus largement, les arrangements de restructuration que l’</w:t>
      </w:r>
      <w:r w:rsidRPr="00E72418">
        <w:rPr>
          <w:rFonts w:ascii="Times New Roman" w:hAnsi="Times New Roman" w:cs="Times New Roman"/>
          <w:szCs w:val="24"/>
          <w:lang w:eastAsia="fr-BE"/>
        </w:rPr>
        <w:t>É</w:t>
      </w:r>
      <w:r w:rsidRPr="00E72418">
        <w:rPr>
          <w:rFonts w:ascii="Times New Roman" w:hAnsi="Times New Roman" w:cs="Times New Roman"/>
          <w:szCs w:val="24"/>
        </w:rPr>
        <w:t>tat débiteur peut trouver</w:t>
      </w:r>
      <w:r w:rsidRPr="00E72418">
        <w:t xml:space="preserve"> </w:t>
      </w:r>
      <w:r w:rsidRPr="00E72418">
        <w:rPr>
          <w:rFonts w:ascii="Times New Roman" w:hAnsi="Times New Roman" w:cs="Times New Roman"/>
        </w:rPr>
        <w:t>avec ses créanciers privés et publics sont essentiels pour le bo</w:t>
      </w:r>
      <w:r w:rsidR="0017729F" w:rsidRPr="00E72418">
        <w:rPr>
          <w:rFonts w:ascii="Times New Roman" w:hAnsi="Times New Roman" w:cs="Times New Roman"/>
        </w:rPr>
        <w:t>n fonctionnement du marché des</w:t>
      </w:r>
      <w:r w:rsidRPr="00E72418">
        <w:rPr>
          <w:rFonts w:ascii="Times New Roman" w:hAnsi="Times New Roman" w:cs="Times New Roman"/>
        </w:rPr>
        <w:t xml:space="preserve"> dette</w:t>
      </w:r>
      <w:r w:rsidR="0017729F" w:rsidRPr="00E72418">
        <w:rPr>
          <w:rFonts w:ascii="Times New Roman" w:hAnsi="Times New Roman" w:cs="Times New Roman"/>
        </w:rPr>
        <w:t>s</w:t>
      </w:r>
      <w:r w:rsidRPr="00E72418">
        <w:rPr>
          <w:rFonts w:ascii="Times New Roman" w:hAnsi="Times New Roman" w:cs="Times New Roman"/>
        </w:rPr>
        <w:t xml:space="preserve"> souveraine</w:t>
      </w:r>
      <w:r w:rsidR="0017729F" w:rsidRPr="00E72418">
        <w:rPr>
          <w:rFonts w:ascii="Times New Roman" w:hAnsi="Times New Roman" w:cs="Times New Roman"/>
        </w:rPr>
        <w:t>s</w:t>
      </w:r>
      <w:r w:rsidRPr="00E72418">
        <w:rPr>
          <w:rFonts w:ascii="Times New Roman" w:hAnsi="Times New Roman" w:cs="Times New Roman"/>
        </w:rPr>
        <w:t>, tout autant qu’ils le sont pour le développement économique global</w:t>
      </w:r>
      <w:r w:rsidRPr="00E72418">
        <w:rPr>
          <w:rStyle w:val="Appelnotedebasdep"/>
          <w:rFonts w:ascii="Times New Roman" w:hAnsi="Times New Roman" w:cs="Times New Roman"/>
        </w:rPr>
        <w:footnoteReference w:id="318"/>
      </w:r>
      <w:r w:rsidRPr="00E72418">
        <w:rPr>
          <w:rFonts w:ascii="Times New Roman" w:hAnsi="Times New Roman" w:cs="Times New Roman"/>
        </w:rPr>
        <w:t>.</w:t>
      </w:r>
    </w:p>
    <w:p w14:paraId="0416E779" w14:textId="77777777" w:rsidR="00194C97" w:rsidRPr="00E72418" w:rsidRDefault="00194C97" w:rsidP="00CC4BA8">
      <w:pPr>
        <w:spacing w:line="276" w:lineRule="auto"/>
        <w:rPr>
          <w:rFonts w:ascii="Times New Roman" w:hAnsi="Times New Roman" w:cs="Times New Roman"/>
          <w:szCs w:val="24"/>
        </w:rPr>
      </w:pPr>
    </w:p>
    <w:p w14:paraId="07747D81" w14:textId="53224162" w:rsidR="00230773" w:rsidRPr="00E72418" w:rsidRDefault="007E31CD" w:rsidP="00CC4BA8">
      <w:pPr>
        <w:spacing w:line="276" w:lineRule="auto"/>
      </w:pPr>
      <w:r w:rsidRPr="00E72418">
        <w:rPr>
          <w:rFonts w:ascii="Times New Roman" w:hAnsi="Times New Roman" w:cs="Times New Roman"/>
          <w:b/>
          <w:lang w:eastAsia="fr-BE"/>
        </w:rPr>
        <w:t xml:space="preserve">62. </w:t>
      </w:r>
      <w:r w:rsidR="005735F9" w:rsidRPr="00E72418">
        <w:rPr>
          <w:rFonts w:ascii="Times New Roman" w:hAnsi="Times New Roman" w:cs="Times New Roman"/>
          <w:b/>
          <w:lang w:eastAsia="fr-BE"/>
        </w:rPr>
        <w:t xml:space="preserve">Les mesures </w:t>
      </w:r>
      <w:r w:rsidR="005735F9" w:rsidRPr="00E72418">
        <w:rPr>
          <w:rFonts w:ascii="Times New Roman" w:hAnsi="Times New Roman" w:cs="Times New Roman"/>
          <w:b/>
        </w:rPr>
        <w:t>–</w:t>
      </w:r>
      <w:r w:rsidR="00230773" w:rsidRPr="00E72418">
        <w:t xml:space="preserve"> L’</w:t>
      </w:r>
      <w:r w:rsidR="00230773" w:rsidRPr="00E72418">
        <w:rPr>
          <w:lang w:eastAsia="fr-BE"/>
        </w:rPr>
        <w:t>É</w:t>
      </w:r>
      <w:r w:rsidR="00230773" w:rsidRPr="00E72418">
        <w:t>tat débiteur rencontrant des difficultés à honorer sa dette alors qu’il l’entend peut soit s’engager dans un processus de négociation avec ses créanciers ayant pour objectif de trouver un accord de restructuration qui satisfasse l’ensemble des parties prenantes, soit proposer unilatéralement une offre de restructuration à ses créanciers</w:t>
      </w:r>
      <w:r w:rsidR="00230773" w:rsidRPr="00E72418">
        <w:rPr>
          <w:rStyle w:val="Appelnotedebasdep"/>
        </w:rPr>
        <w:footnoteReference w:id="319"/>
      </w:r>
      <w:r w:rsidR="00DE27EA" w:rsidRPr="00E72418">
        <w:t>.</w:t>
      </w:r>
    </w:p>
    <w:p w14:paraId="1AFF857F" w14:textId="015085D8" w:rsidR="005735F9" w:rsidRPr="00E72418" w:rsidRDefault="007C57EF" w:rsidP="00CC4BA8">
      <w:pPr>
        <w:spacing w:line="276" w:lineRule="auto"/>
        <w:rPr>
          <w:rFonts w:ascii="Times New Roman" w:hAnsi="Times New Roman" w:cs="Times New Roman"/>
        </w:rPr>
      </w:pPr>
      <w:r w:rsidRPr="00E72418">
        <w:rPr>
          <w:rFonts w:ascii="Times New Roman" w:hAnsi="Times New Roman" w:cs="Times New Roman"/>
          <w:lang w:eastAsia="fr-BE"/>
        </w:rPr>
        <w:t>L</w:t>
      </w:r>
      <w:r w:rsidR="005735F9" w:rsidRPr="00E72418">
        <w:rPr>
          <w:rFonts w:ascii="Times New Roman" w:hAnsi="Times New Roman" w:cs="Times New Roman"/>
          <w:lang w:eastAsia="fr-BE"/>
        </w:rPr>
        <w:t xml:space="preserve">a restructuration d’une </w:t>
      </w:r>
      <w:r w:rsidRPr="00E72418">
        <w:rPr>
          <w:rFonts w:ascii="Times New Roman" w:hAnsi="Times New Roman" w:cs="Times New Roman"/>
          <w:lang w:eastAsia="fr-BE"/>
        </w:rPr>
        <w:t xml:space="preserve">dette </w:t>
      </w:r>
      <w:r w:rsidR="005735F9" w:rsidRPr="00E72418">
        <w:rPr>
          <w:rFonts w:ascii="Times New Roman" w:hAnsi="Times New Roman" w:cs="Times New Roman"/>
          <w:lang w:eastAsia="fr-BE"/>
        </w:rPr>
        <w:t xml:space="preserve">souveraine </w:t>
      </w:r>
      <w:r w:rsidRPr="00E72418">
        <w:rPr>
          <w:rFonts w:ascii="Times New Roman" w:hAnsi="Times New Roman" w:cs="Times New Roman"/>
          <w:lang w:eastAsia="fr-BE"/>
        </w:rPr>
        <w:t>consiste en la modification de ses modalités</w:t>
      </w:r>
      <w:r w:rsidR="0090174B" w:rsidRPr="00E72418">
        <w:rPr>
          <w:rFonts w:ascii="Times New Roman" w:hAnsi="Times New Roman" w:cs="Times New Roman"/>
          <w:lang w:eastAsia="fr-BE"/>
        </w:rPr>
        <w:t>,</w:t>
      </w:r>
      <w:r w:rsidRPr="00E72418">
        <w:rPr>
          <w:rFonts w:ascii="Times New Roman" w:hAnsi="Times New Roman" w:cs="Times New Roman"/>
          <w:lang w:eastAsia="fr-BE"/>
        </w:rPr>
        <w:t xml:space="preserve"> laquelle peut intervenir alors qu’un défaut a eu lieu </w:t>
      </w:r>
      <w:r w:rsidR="005735F9" w:rsidRPr="00E72418">
        <w:rPr>
          <w:rFonts w:ascii="Times New Roman" w:hAnsi="Times New Roman" w:cs="Times New Roman"/>
          <w:lang w:eastAsia="fr-BE"/>
        </w:rPr>
        <w:t>ou</w:t>
      </w:r>
      <w:r w:rsidRPr="00E72418">
        <w:rPr>
          <w:rFonts w:ascii="Times New Roman" w:hAnsi="Times New Roman" w:cs="Times New Roman"/>
          <w:lang w:eastAsia="fr-BE"/>
        </w:rPr>
        <w:t xml:space="preserve"> en prévision d’un défaut </w:t>
      </w:r>
      <w:r w:rsidR="005735F9" w:rsidRPr="00E72418">
        <w:rPr>
          <w:rFonts w:ascii="Times New Roman" w:hAnsi="Times New Roman" w:cs="Times New Roman"/>
          <w:lang w:eastAsia="fr-BE"/>
        </w:rPr>
        <w:t>non</w:t>
      </w:r>
      <w:r w:rsidRPr="00E72418">
        <w:rPr>
          <w:rFonts w:ascii="Times New Roman" w:hAnsi="Times New Roman" w:cs="Times New Roman"/>
          <w:lang w:eastAsia="fr-BE"/>
        </w:rPr>
        <w:t xml:space="preserve"> encore rencontré</w:t>
      </w:r>
      <w:r w:rsidRPr="00E72418">
        <w:rPr>
          <w:rStyle w:val="Appelnotedebasdep"/>
          <w:rFonts w:ascii="Times New Roman" w:hAnsi="Times New Roman" w:cs="Times New Roman"/>
          <w:lang w:eastAsia="fr-BE"/>
        </w:rPr>
        <w:footnoteReference w:id="320"/>
      </w:r>
      <w:r w:rsidRPr="00E72418">
        <w:rPr>
          <w:rFonts w:ascii="Times New Roman" w:hAnsi="Times New Roman" w:cs="Times New Roman"/>
          <w:lang w:eastAsia="fr-BE"/>
        </w:rPr>
        <w:t xml:space="preserve">. </w:t>
      </w:r>
      <w:r w:rsidRPr="00E72418">
        <w:rPr>
          <w:rFonts w:ascii="Times New Roman" w:hAnsi="Times New Roman" w:cs="Times New Roman"/>
        </w:rPr>
        <w:t xml:space="preserve">Les modifications concernent </w:t>
      </w:r>
      <w:r w:rsidR="005735F9" w:rsidRPr="00E72418">
        <w:rPr>
          <w:rFonts w:ascii="Times New Roman" w:hAnsi="Times New Roman" w:cs="Times New Roman"/>
        </w:rPr>
        <w:t xml:space="preserve">généralement </w:t>
      </w:r>
      <w:r w:rsidRPr="00E72418">
        <w:rPr>
          <w:rFonts w:ascii="Times New Roman" w:hAnsi="Times New Roman" w:cs="Times New Roman"/>
        </w:rPr>
        <w:t xml:space="preserve">la maturité </w:t>
      </w:r>
      <w:r w:rsidR="005735F9" w:rsidRPr="00E72418">
        <w:rPr>
          <w:rFonts w:ascii="Times New Roman" w:hAnsi="Times New Roman" w:cs="Times New Roman"/>
        </w:rPr>
        <w:t xml:space="preserve">de la dette </w:t>
      </w:r>
      <w:r w:rsidRPr="00E72418">
        <w:rPr>
          <w:rFonts w:ascii="Times New Roman" w:hAnsi="Times New Roman" w:cs="Times New Roman"/>
        </w:rPr>
        <w:t xml:space="preserve">en l’allongeant, </w:t>
      </w:r>
      <w:r w:rsidR="005735F9" w:rsidRPr="00E72418">
        <w:rPr>
          <w:rFonts w:ascii="Times New Roman" w:hAnsi="Times New Roman" w:cs="Times New Roman"/>
        </w:rPr>
        <w:t>son</w:t>
      </w:r>
      <w:r w:rsidRPr="00E72418">
        <w:rPr>
          <w:rFonts w:ascii="Times New Roman" w:hAnsi="Times New Roman" w:cs="Times New Roman"/>
        </w:rPr>
        <w:t xml:space="preserve"> taux d’intérêt en l’abaissant ou encore </w:t>
      </w:r>
      <w:r w:rsidR="005735F9" w:rsidRPr="00E72418">
        <w:rPr>
          <w:rFonts w:ascii="Times New Roman" w:hAnsi="Times New Roman" w:cs="Times New Roman"/>
        </w:rPr>
        <w:t>son</w:t>
      </w:r>
      <w:r w:rsidRPr="00E72418">
        <w:rPr>
          <w:rFonts w:ascii="Times New Roman" w:hAnsi="Times New Roman" w:cs="Times New Roman"/>
        </w:rPr>
        <w:t xml:space="preserve"> montant en le réduisant</w:t>
      </w:r>
      <w:r w:rsidRPr="00E72418">
        <w:rPr>
          <w:rStyle w:val="Appelnotedebasdep"/>
          <w:rFonts w:ascii="Times New Roman" w:hAnsi="Times New Roman" w:cs="Times New Roman"/>
        </w:rPr>
        <w:footnoteReference w:id="321"/>
      </w:r>
      <w:r w:rsidR="005735F9" w:rsidRPr="00E72418">
        <w:rPr>
          <w:rFonts w:ascii="Times New Roman" w:hAnsi="Times New Roman" w:cs="Times New Roman"/>
        </w:rPr>
        <w:t>. L</w:t>
      </w:r>
      <w:r w:rsidRPr="00E72418">
        <w:rPr>
          <w:rFonts w:ascii="Times New Roman" w:hAnsi="Times New Roman" w:cs="Times New Roman"/>
        </w:rPr>
        <w:t xml:space="preserve">a restructuration </w:t>
      </w:r>
      <w:r w:rsidR="005735F9" w:rsidRPr="00E72418">
        <w:rPr>
          <w:rFonts w:ascii="Times New Roman" w:hAnsi="Times New Roman" w:cs="Times New Roman"/>
        </w:rPr>
        <w:t xml:space="preserve">consiste ainsi en </w:t>
      </w:r>
      <w:r w:rsidRPr="00E72418">
        <w:rPr>
          <w:rFonts w:ascii="Times New Roman" w:hAnsi="Times New Roman" w:cs="Times New Roman"/>
        </w:rPr>
        <w:t xml:space="preserve">une modification des termes et/ou </w:t>
      </w:r>
      <w:r w:rsidR="005735F9" w:rsidRPr="00E72418">
        <w:rPr>
          <w:rFonts w:ascii="Times New Roman" w:hAnsi="Times New Roman" w:cs="Times New Roman"/>
        </w:rPr>
        <w:t xml:space="preserve">des </w:t>
      </w:r>
      <w:r w:rsidRPr="00E72418">
        <w:rPr>
          <w:rFonts w:ascii="Times New Roman" w:hAnsi="Times New Roman" w:cs="Times New Roman"/>
        </w:rPr>
        <w:t>obligations originaux des titres de dette</w:t>
      </w:r>
      <w:r w:rsidRPr="00E72418">
        <w:rPr>
          <w:rStyle w:val="Appelnotedebasdep"/>
          <w:rFonts w:ascii="Times New Roman" w:hAnsi="Times New Roman" w:cs="Times New Roman"/>
        </w:rPr>
        <w:footnoteReference w:id="322"/>
      </w:r>
      <w:r w:rsidRPr="00E72418">
        <w:rPr>
          <w:rFonts w:ascii="Times New Roman" w:hAnsi="Times New Roman" w:cs="Times New Roman"/>
        </w:rPr>
        <w:t xml:space="preserve">. </w:t>
      </w:r>
      <w:r w:rsidR="00674C1A" w:rsidRPr="00E72418">
        <w:t>À</w:t>
      </w:r>
      <w:r w:rsidR="00230773" w:rsidRPr="00E72418">
        <w:t xml:space="preserve"> côté du « bond exchange », le mécanisme de restructuration le plus commun consistant en un </w:t>
      </w:r>
      <w:r w:rsidR="00230773" w:rsidRPr="00E72418">
        <w:lastRenderedPageBreak/>
        <w:t>échange des titres originaires par de nouveaux titres, la restructuration peut aussi simplement consister en la modification des titres originaires</w:t>
      </w:r>
      <w:r w:rsidR="00230773" w:rsidRPr="00E72418">
        <w:rPr>
          <w:rStyle w:val="Appelnotedebasdep"/>
        </w:rPr>
        <w:footnoteReference w:id="323"/>
      </w:r>
      <w:r w:rsidR="00230773" w:rsidRPr="00E72418">
        <w:t>. Si les techniques de restructurations sont diverses et variées, la caractéristique cardinale de la restructuration est que le débiteur souverain voit ses engagements être réduits par rapport à ce qui était initialement prévu</w:t>
      </w:r>
      <w:r w:rsidR="00230773" w:rsidRPr="00E72418">
        <w:rPr>
          <w:rStyle w:val="Appelnotedebasdep"/>
        </w:rPr>
        <w:footnoteReference w:id="324"/>
      </w:r>
      <w:r w:rsidR="00230773" w:rsidRPr="00E72418">
        <w:t>.</w:t>
      </w:r>
    </w:p>
    <w:p w14:paraId="57B1257D" w14:textId="12A1ACC2"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Il importe que les modifications </w:t>
      </w:r>
      <w:r w:rsidR="005735F9" w:rsidRPr="00E72418">
        <w:rPr>
          <w:rFonts w:ascii="Times New Roman" w:hAnsi="Times New Roman" w:cs="Times New Roman"/>
        </w:rPr>
        <w:t>envisagées par les débiteurs et leurs créanciers</w:t>
      </w:r>
      <w:r w:rsidRPr="00E72418">
        <w:rPr>
          <w:rFonts w:ascii="Times New Roman" w:hAnsi="Times New Roman" w:cs="Times New Roman"/>
        </w:rPr>
        <w:t xml:space="preserve"> </w:t>
      </w:r>
      <w:r w:rsidR="005735F9" w:rsidRPr="00E72418">
        <w:rPr>
          <w:rFonts w:ascii="Times New Roman" w:hAnsi="Times New Roman" w:cs="Times New Roman"/>
        </w:rPr>
        <w:t>soient basées sur des</w:t>
      </w:r>
      <w:r w:rsidRPr="00E72418">
        <w:rPr>
          <w:rFonts w:ascii="Times New Roman" w:hAnsi="Times New Roman" w:cs="Times New Roman"/>
        </w:rPr>
        <w:t xml:space="preserve"> calculs </w:t>
      </w:r>
      <w:r w:rsidR="0060404E" w:rsidRPr="00E72418">
        <w:rPr>
          <w:rFonts w:ascii="Times New Roman" w:hAnsi="Times New Roman" w:cs="Times New Roman"/>
        </w:rPr>
        <w:t>raisonnables et de</w:t>
      </w:r>
      <w:r w:rsidR="005735F9" w:rsidRPr="00E72418">
        <w:rPr>
          <w:rFonts w:ascii="Times New Roman" w:hAnsi="Times New Roman" w:cs="Times New Roman"/>
        </w:rPr>
        <w:t xml:space="preserve"> prudentes</w:t>
      </w:r>
      <w:r w:rsidRPr="00E72418">
        <w:rPr>
          <w:rFonts w:ascii="Times New Roman" w:hAnsi="Times New Roman" w:cs="Times New Roman"/>
        </w:rPr>
        <w:t xml:space="preserve"> prévision</w:t>
      </w:r>
      <w:r w:rsidR="005735F9" w:rsidRPr="00E72418">
        <w:rPr>
          <w:rFonts w:ascii="Times New Roman" w:hAnsi="Times New Roman" w:cs="Times New Roman"/>
        </w:rPr>
        <w:t>s</w:t>
      </w:r>
      <w:r w:rsidRPr="00E72418">
        <w:rPr>
          <w:rFonts w:ascii="Times New Roman" w:hAnsi="Times New Roman" w:cs="Times New Roman"/>
        </w:rPr>
        <w:t xml:space="preserve">. Comme l’expliquent </w:t>
      </w:r>
      <w:r w:rsidR="00BC1F96" w:rsidRPr="00E72418">
        <w:rPr>
          <w:rFonts w:ascii="Times New Roman" w:hAnsi="Times New Roman" w:cs="Times New Roman"/>
        </w:rPr>
        <w:t xml:space="preserve">Lee </w:t>
      </w:r>
      <w:r w:rsidRPr="00E72418">
        <w:rPr>
          <w:rFonts w:ascii="Times New Roman" w:hAnsi="Times New Roman" w:cs="Times New Roman"/>
        </w:rPr>
        <w:t xml:space="preserve">Buchheit et </w:t>
      </w:r>
      <w:r w:rsidR="00BC1F96" w:rsidRPr="00E72418">
        <w:rPr>
          <w:rFonts w:ascii="Times New Roman" w:hAnsi="Times New Roman" w:cs="Times New Roman"/>
        </w:rPr>
        <w:t xml:space="preserve">Elena </w:t>
      </w:r>
      <w:r w:rsidRPr="00E72418">
        <w:rPr>
          <w:rFonts w:ascii="Times New Roman" w:hAnsi="Times New Roman" w:cs="Times New Roman"/>
        </w:rPr>
        <w:t>Daly, « [o]ffering generous financial terms in the restructuring that are the product of a yeasty optimism about the country’s</w:t>
      </w:r>
      <w:r w:rsidR="0060404E" w:rsidRPr="00E72418">
        <w:rPr>
          <w:rFonts w:ascii="Times New Roman" w:hAnsi="Times New Roman" w:cs="Times New Roman"/>
        </w:rPr>
        <w:t xml:space="preserve"> economic prospects will no doubt</w:t>
      </w:r>
      <w:r w:rsidRPr="00E72418">
        <w:rPr>
          <w:rFonts w:ascii="Times New Roman" w:hAnsi="Times New Roman" w:cs="Times New Roman"/>
        </w:rPr>
        <w:t xml:space="preserve"> plough the road for this restructuring, but that road will quickly lead to the </w:t>
      </w:r>
      <w:r w:rsidRPr="00E72418">
        <w:rPr>
          <w:rFonts w:ascii="Times New Roman" w:hAnsi="Times New Roman" w:cs="Times New Roman"/>
          <w:i/>
        </w:rPr>
        <w:t>next</w:t>
      </w:r>
      <w:r w:rsidRPr="00E72418">
        <w:rPr>
          <w:rFonts w:ascii="Times New Roman" w:hAnsi="Times New Roman" w:cs="Times New Roman"/>
        </w:rPr>
        <w:t xml:space="preserve"> restructuring »</w:t>
      </w:r>
      <w:r w:rsidRPr="00E72418">
        <w:rPr>
          <w:rStyle w:val="Appelnotedebasdep"/>
          <w:rFonts w:ascii="Times New Roman" w:hAnsi="Times New Roman" w:cs="Times New Roman"/>
        </w:rPr>
        <w:footnoteReference w:id="325"/>
      </w:r>
      <w:r w:rsidRPr="00E72418">
        <w:rPr>
          <w:rFonts w:ascii="Times New Roman" w:hAnsi="Times New Roman" w:cs="Times New Roman"/>
        </w:rPr>
        <w:t>.</w:t>
      </w:r>
    </w:p>
    <w:p w14:paraId="41F809C5" w14:textId="09D5681E"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rPr>
        <w:t>Les restructurations</w:t>
      </w:r>
      <w:r w:rsidR="00765A3A" w:rsidRPr="00E72418">
        <w:rPr>
          <w:rFonts w:ascii="Times New Roman" w:hAnsi="Times New Roman" w:cs="Times New Roman"/>
        </w:rPr>
        <w:t xml:space="preserve"> vont en règle générale de pair</w:t>
      </w:r>
      <w:r w:rsidR="00A23BF8" w:rsidRPr="00E72418">
        <w:rPr>
          <w:rFonts w:ascii="Times New Roman" w:hAnsi="Times New Roman" w:cs="Times New Roman"/>
        </w:rPr>
        <w:t xml:space="preserve"> avec la poursuite d’</w:t>
      </w:r>
      <w:r w:rsidRPr="00E72418">
        <w:rPr>
          <w:rFonts w:ascii="Times New Roman" w:hAnsi="Times New Roman" w:cs="Times New Roman"/>
        </w:rPr>
        <w:t>objectifs macroéconomiques concertés avec le Fonds monétaire international</w:t>
      </w:r>
      <w:r w:rsidRPr="00E72418">
        <w:rPr>
          <w:rStyle w:val="Appelnotedebasdep"/>
          <w:rFonts w:ascii="Times New Roman" w:hAnsi="Times New Roman" w:cs="Times New Roman"/>
        </w:rPr>
        <w:footnoteReference w:id="326"/>
      </w:r>
      <w:r w:rsidRPr="00E72418">
        <w:rPr>
          <w:rFonts w:ascii="Times New Roman" w:hAnsi="Times New Roman" w:cs="Times New Roman"/>
        </w:rPr>
        <w:t xml:space="preserve">. </w:t>
      </w:r>
      <w:r w:rsidR="00A23BF8" w:rsidRPr="00E72418">
        <w:rPr>
          <w:rFonts w:ascii="Times New Roman" w:hAnsi="Times New Roman" w:cs="Times New Roman"/>
        </w:rPr>
        <w:t>O</w:t>
      </w:r>
      <w:r w:rsidRPr="00E72418">
        <w:rPr>
          <w:rFonts w:ascii="Times New Roman" w:hAnsi="Times New Roman" w:cs="Times New Roman"/>
        </w:rPr>
        <w:t>utre l’allègement de la dette permis par la restructuration</w:t>
      </w:r>
      <w:r w:rsidR="00A23BF8" w:rsidRPr="00E72418">
        <w:rPr>
          <w:rFonts w:ascii="Times New Roman" w:hAnsi="Times New Roman" w:cs="Times New Roman"/>
        </w:rPr>
        <w:t>, l’amélioration de la situation de l’</w:t>
      </w:r>
      <w:r w:rsidR="00A23BF8" w:rsidRPr="00E72418">
        <w:rPr>
          <w:rFonts w:ascii="Times New Roman" w:hAnsi="Times New Roman" w:cs="Times New Roman"/>
          <w:lang w:eastAsia="fr-BE"/>
        </w:rPr>
        <w:t>É</w:t>
      </w:r>
      <w:r w:rsidR="00A23BF8" w:rsidRPr="00E72418">
        <w:rPr>
          <w:rFonts w:ascii="Times New Roman" w:hAnsi="Times New Roman" w:cs="Times New Roman"/>
        </w:rPr>
        <w:t xml:space="preserve">tat débiteur </w:t>
      </w:r>
      <w:r w:rsidR="0060404E" w:rsidRPr="00E72418">
        <w:rPr>
          <w:rFonts w:ascii="Times New Roman" w:hAnsi="Times New Roman" w:cs="Times New Roman"/>
        </w:rPr>
        <w:t>nécessite concomit</w:t>
      </w:r>
      <w:r w:rsidR="00A23BF8" w:rsidRPr="00E72418">
        <w:rPr>
          <w:rFonts w:ascii="Times New Roman" w:hAnsi="Times New Roman" w:cs="Times New Roman"/>
        </w:rPr>
        <w:t>am</w:t>
      </w:r>
      <w:r w:rsidR="0060404E" w:rsidRPr="00E72418">
        <w:rPr>
          <w:rFonts w:ascii="Times New Roman" w:hAnsi="Times New Roman" w:cs="Times New Roman"/>
        </w:rPr>
        <w:t>m</w:t>
      </w:r>
      <w:r w:rsidR="00A23BF8" w:rsidRPr="00E72418">
        <w:rPr>
          <w:rFonts w:ascii="Times New Roman" w:hAnsi="Times New Roman" w:cs="Times New Roman"/>
        </w:rPr>
        <w:t>ent</w:t>
      </w:r>
      <w:r w:rsidRPr="00E72418">
        <w:rPr>
          <w:rFonts w:ascii="Times New Roman" w:hAnsi="Times New Roman" w:cs="Times New Roman"/>
        </w:rPr>
        <w:t xml:space="preserve"> d</w:t>
      </w:r>
      <w:r w:rsidRPr="00E72418">
        <w:rPr>
          <w:rFonts w:ascii="Times New Roman" w:hAnsi="Times New Roman" w:cs="Times New Roman"/>
          <w:szCs w:val="24"/>
        </w:rPr>
        <w:t>es modif</w:t>
      </w:r>
      <w:r w:rsidR="00765A3A" w:rsidRPr="00E72418">
        <w:rPr>
          <w:rFonts w:ascii="Times New Roman" w:hAnsi="Times New Roman" w:cs="Times New Roman"/>
          <w:szCs w:val="24"/>
        </w:rPr>
        <w:t>ications structurelles</w:t>
      </w:r>
      <w:r w:rsidRPr="00E72418">
        <w:rPr>
          <w:rFonts w:ascii="Times New Roman" w:hAnsi="Times New Roman" w:cs="Times New Roman"/>
          <w:szCs w:val="24"/>
        </w:rPr>
        <w:t xml:space="preserve">. Comme </w:t>
      </w:r>
      <w:r w:rsidR="009E72E5">
        <w:rPr>
          <w:rFonts w:ascii="Times New Roman" w:hAnsi="Times New Roman" w:cs="Times New Roman"/>
          <w:szCs w:val="24"/>
        </w:rPr>
        <w:t>le note</w:t>
      </w:r>
      <w:r w:rsidRPr="00E72418">
        <w:rPr>
          <w:rFonts w:ascii="Times New Roman" w:hAnsi="Times New Roman" w:cs="Times New Roman"/>
          <w:szCs w:val="24"/>
        </w:rPr>
        <w:t xml:space="preserve"> </w:t>
      </w:r>
      <w:r w:rsidR="00BC1F96" w:rsidRPr="00E72418">
        <w:rPr>
          <w:rFonts w:ascii="Times New Roman" w:hAnsi="Times New Roman" w:cs="Times New Roman"/>
          <w:szCs w:val="24"/>
        </w:rPr>
        <w:t xml:space="preserve">Martin </w:t>
      </w:r>
      <w:r w:rsidRPr="00E72418">
        <w:rPr>
          <w:rFonts w:ascii="Times New Roman" w:hAnsi="Times New Roman" w:cs="Times New Roman"/>
          <w:szCs w:val="24"/>
        </w:rPr>
        <w:t>Guzman, « debt relief alone is generally not a suf</w:t>
      </w:r>
      <w:r w:rsidR="00A23BF8" w:rsidRPr="00E72418">
        <w:rPr>
          <w:rFonts w:ascii="Times New Roman" w:hAnsi="Times New Roman" w:cs="Times New Roman"/>
          <w:szCs w:val="24"/>
        </w:rPr>
        <w:t>ficient condition for recovery », « [t]</w:t>
      </w:r>
      <w:r w:rsidRPr="00E72418">
        <w:rPr>
          <w:rFonts w:ascii="Times New Roman" w:hAnsi="Times New Roman" w:cs="Times New Roman"/>
          <w:szCs w:val="24"/>
        </w:rPr>
        <w:t>he path to recovery usually requires a change from a structure of production that failed to a more dynamic one that can address the economic deficiencies of the former »</w:t>
      </w:r>
      <w:r w:rsidRPr="00E72418">
        <w:rPr>
          <w:rStyle w:val="Appelnotedebasdep"/>
          <w:rFonts w:ascii="Times New Roman" w:hAnsi="Times New Roman" w:cs="Times New Roman"/>
          <w:szCs w:val="24"/>
        </w:rPr>
        <w:footnoteReference w:id="327"/>
      </w:r>
      <w:r w:rsidRPr="00E72418">
        <w:rPr>
          <w:rFonts w:ascii="Times New Roman" w:hAnsi="Times New Roman" w:cs="Times New Roman"/>
          <w:szCs w:val="24"/>
        </w:rPr>
        <w:t>. Ainsi, ajoute l’auteur, « a “good” debt restructuring is not a sufficient c</w:t>
      </w:r>
      <w:r w:rsidR="00A23BF8" w:rsidRPr="00E72418">
        <w:rPr>
          <w:rFonts w:ascii="Times New Roman" w:hAnsi="Times New Roman" w:cs="Times New Roman"/>
          <w:szCs w:val="24"/>
        </w:rPr>
        <w:t>ondition for permanent recovery », « [c]</w:t>
      </w:r>
      <w:r w:rsidRPr="00E72418">
        <w:rPr>
          <w:rFonts w:ascii="Times New Roman" w:hAnsi="Times New Roman" w:cs="Times New Roman"/>
          <w:szCs w:val="24"/>
        </w:rPr>
        <w:t>ountries in distress often need other policies that give rise to more dynamic structures of production, replacing the old ones that did not work »</w:t>
      </w:r>
      <w:r w:rsidRPr="00E72418">
        <w:rPr>
          <w:rStyle w:val="Appelnotedebasdep"/>
          <w:rFonts w:ascii="Times New Roman" w:hAnsi="Times New Roman" w:cs="Times New Roman"/>
          <w:szCs w:val="24"/>
        </w:rPr>
        <w:footnoteReference w:id="328"/>
      </w:r>
      <w:r w:rsidRPr="00E72418">
        <w:rPr>
          <w:rFonts w:ascii="Times New Roman" w:hAnsi="Times New Roman" w:cs="Times New Roman"/>
          <w:szCs w:val="24"/>
        </w:rPr>
        <w:t>.</w:t>
      </w:r>
    </w:p>
    <w:p w14:paraId="684C8E6D" w14:textId="77777777" w:rsidR="00194C97" w:rsidRPr="00E72418" w:rsidRDefault="00194C97" w:rsidP="00CC4BA8">
      <w:pPr>
        <w:spacing w:line="276" w:lineRule="auto"/>
        <w:rPr>
          <w:rFonts w:ascii="Times New Roman" w:hAnsi="Times New Roman" w:cs="Times New Roman"/>
          <w:szCs w:val="24"/>
        </w:rPr>
      </w:pPr>
    </w:p>
    <w:p w14:paraId="66DC25FC" w14:textId="0D91D187" w:rsidR="00A23BF8"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 xml:space="preserve">63. </w:t>
      </w:r>
      <w:r w:rsidR="007C57EF" w:rsidRPr="00E72418">
        <w:rPr>
          <w:rFonts w:ascii="Times New Roman" w:hAnsi="Times New Roman" w:cs="Times New Roman"/>
          <w:b/>
        </w:rPr>
        <w:t xml:space="preserve">Une réalité – </w:t>
      </w:r>
      <w:r w:rsidR="007C57EF" w:rsidRPr="00E72418">
        <w:rPr>
          <w:rFonts w:ascii="Times New Roman" w:hAnsi="Times New Roman" w:cs="Times New Roman"/>
        </w:rPr>
        <w:t xml:space="preserve">Dans leur étude sur les restructurations des dettes souveraines </w:t>
      </w:r>
      <w:r w:rsidR="00A23BF8" w:rsidRPr="00E72418">
        <w:rPr>
          <w:rFonts w:ascii="Times New Roman" w:hAnsi="Times New Roman" w:cs="Times New Roman"/>
        </w:rPr>
        <w:t xml:space="preserve">intervenues </w:t>
      </w:r>
      <w:r w:rsidR="007C57EF" w:rsidRPr="00E72418">
        <w:rPr>
          <w:rFonts w:ascii="Times New Roman" w:hAnsi="Times New Roman" w:cs="Times New Roman"/>
        </w:rPr>
        <w:t>entre 1950 et 20</w:t>
      </w:r>
      <w:r w:rsidR="00604229" w:rsidRPr="00E72418">
        <w:rPr>
          <w:rFonts w:ascii="Times New Roman" w:hAnsi="Times New Roman" w:cs="Times New Roman"/>
        </w:rPr>
        <w:t>1</w:t>
      </w:r>
      <w:r w:rsidR="00BC1F96" w:rsidRPr="00E72418">
        <w:rPr>
          <w:rFonts w:ascii="Times New Roman" w:hAnsi="Times New Roman" w:cs="Times New Roman"/>
        </w:rPr>
        <w:t xml:space="preserve">0, </w:t>
      </w:r>
      <w:r w:rsidR="00BC1F96" w:rsidRPr="00E72418">
        <w:rPr>
          <w:rFonts w:ascii="Times New Roman" w:hAnsi="Times New Roman" w:cs="Times New Roman"/>
          <w:szCs w:val="24"/>
        </w:rPr>
        <w:t xml:space="preserve">Udaibir </w:t>
      </w:r>
      <w:r w:rsidR="00BC1F96" w:rsidRPr="00E72418">
        <w:rPr>
          <w:rFonts w:ascii="Times New Roman" w:hAnsi="Times New Roman" w:cs="Times New Roman"/>
        </w:rPr>
        <w:t xml:space="preserve">Das </w:t>
      </w:r>
      <w:r w:rsidR="00BC1F96" w:rsidRPr="00E72418">
        <w:rPr>
          <w:rFonts w:ascii="Times New Roman" w:hAnsi="Times New Roman" w:cs="Times New Roman"/>
          <w:i/>
        </w:rPr>
        <w:t>et al.</w:t>
      </w:r>
      <w:r w:rsidR="00BC1F96" w:rsidRPr="00E72418">
        <w:rPr>
          <w:rFonts w:ascii="Times New Roman" w:hAnsi="Times New Roman" w:cs="Times New Roman"/>
        </w:rPr>
        <w:t xml:space="preserve"> </w:t>
      </w:r>
      <w:r w:rsidR="007C57EF" w:rsidRPr="00E72418">
        <w:rPr>
          <w:rFonts w:ascii="Times New Roman" w:hAnsi="Times New Roman" w:cs="Times New Roman"/>
        </w:rPr>
        <w:t xml:space="preserve">relèvent plus de </w:t>
      </w:r>
      <w:r w:rsidR="00A23BF8" w:rsidRPr="00E72418">
        <w:rPr>
          <w:rFonts w:ascii="Times New Roman" w:hAnsi="Times New Roman" w:cs="Times New Roman"/>
        </w:rPr>
        <w:t>six cents</w:t>
      </w:r>
      <w:r w:rsidR="007C57EF" w:rsidRPr="00E72418">
        <w:rPr>
          <w:rFonts w:ascii="Times New Roman" w:hAnsi="Times New Roman" w:cs="Times New Roman"/>
        </w:rPr>
        <w:t xml:space="preserve"> cas de restructuration dans </w:t>
      </w:r>
      <w:r w:rsidR="00A23BF8" w:rsidRPr="00E72418">
        <w:rPr>
          <w:rFonts w:ascii="Times New Roman" w:hAnsi="Times New Roman" w:cs="Times New Roman"/>
        </w:rPr>
        <w:t>nonante-cinq</w:t>
      </w:r>
      <w:r w:rsidR="007C57EF" w:rsidRPr="00E72418">
        <w:rPr>
          <w:rFonts w:ascii="Times New Roman" w:hAnsi="Times New Roman" w:cs="Times New Roman"/>
        </w:rPr>
        <w:t xml:space="preserve"> pays, les auteurs indiquant que « [s]overeign debt restructurings have been a pervasive phenomenon »</w:t>
      </w:r>
      <w:r w:rsidR="007C57EF" w:rsidRPr="00E72418">
        <w:rPr>
          <w:rStyle w:val="Appelnotedebasdep"/>
          <w:rFonts w:ascii="Times New Roman" w:hAnsi="Times New Roman" w:cs="Times New Roman"/>
        </w:rPr>
        <w:footnoteReference w:id="329"/>
      </w:r>
      <w:r w:rsidR="007C57EF" w:rsidRPr="00E72418">
        <w:rPr>
          <w:rFonts w:ascii="Times New Roman" w:hAnsi="Times New Roman" w:cs="Times New Roman"/>
        </w:rPr>
        <w:t xml:space="preserve">. Même si </w:t>
      </w:r>
      <w:r w:rsidR="00A23BF8" w:rsidRPr="00E72418">
        <w:rPr>
          <w:rFonts w:ascii="Times New Roman" w:hAnsi="Times New Roman" w:cs="Times New Roman"/>
        </w:rPr>
        <w:t>les situations dans lesquelles l</w:t>
      </w:r>
      <w:r w:rsidR="007C57EF" w:rsidRPr="00E72418">
        <w:rPr>
          <w:rFonts w:ascii="Times New Roman" w:hAnsi="Times New Roman" w:cs="Times New Roman"/>
        </w:rPr>
        <w:t xml:space="preserve">es restructurations </w:t>
      </w:r>
      <w:r w:rsidR="00A23BF8" w:rsidRPr="00E72418">
        <w:rPr>
          <w:rFonts w:ascii="Times New Roman" w:hAnsi="Times New Roman" w:cs="Times New Roman"/>
        </w:rPr>
        <w:t>des dettes souveraines prennent</w:t>
      </w:r>
      <w:r w:rsidR="007C57EF" w:rsidRPr="00E72418">
        <w:rPr>
          <w:rFonts w:ascii="Times New Roman" w:hAnsi="Times New Roman" w:cs="Times New Roman"/>
        </w:rPr>
        <w:t xml:space="preserve"> place sont </w:t>
      </w:r>
      <w:r w:rsidR="00A23BF8" w:rsidRPr="00E72418">
        <w:rPr>
          <w:rFonts w:ascii="Times New Roman" w:hAnsi="Times New Roman" w:cs="Times New Roman"/>
        </w:rPr>
        <w:t xml:space="preserve">souvent </w:t>
      </w:r>
      <w:r w:rsidR="007C57EF" w:rsidRPr="00E72418">
        <w:rPr>
          <w:rFonts w:ascii="Times New Roman" w:hAnsi="Times New Roman" w:cs="Times New Roman"/>
        </w:rPr>
        <w:t xml:space="preserve">difficiles, </w:t>
      </w:r>
      <w:r w:rsidR="00A23BF8" w:rsidRPr="00E72418">
        <w:rPr>
          <w:rFonts w:ascii="Times New Roman" w:hAnsi="Times New Roman" w:cs="Times New Roman"/>
        </w:rPr>
        <w:t xml:space="preserve">l’on constate que généralement débiteurs et créanciers </w:t>
      </w:r>
      <w:r w:rsidR="007C57EF" w:rsidRPr="00E72418">
        <w:rPr>
          <w:rFonts w:ascii="Times New Roman" w:hAnsi="Times New Roman" w:cs="Times New Roman"/>
        </w:rPr>
        <w:t>parviennent</w:t>
      </w:r>
      <w:r w:rsidR="00A23BF8" w:rsidRPr="00E72418">
        <w:rPr>
          <w:rFonts w:ascii="Times New Roman" w:hAnsi="Times New Roman" w:cs="Times New Roman"/>
        </w:rPr>
        <w:t xml:space="preserve"> à s’entendre</w:t>
      </w:r>
      <w:r w:rsidR="007C57EF" w:rsidRPr="00E72418">
        <w:rPr>
          <w:rStyle w:val="Appelnotedebasdep"/>
          <w:rFonts w:ascii="Times New Roman" w:hAnsi="Times New Roman" w:cs="Times New Roman"/>
        </w:rPr>
        <w:footnoteReference w:id="330"/>
      </w:r>
      <w:r w:rsidR="007C57EF" w:rsidRPr="00E72418">
        <w:rPr>
          <w:rFonts w:ascii="Times New Roman" w:hAnsi="Times New Roman" w:cs="Times New Roman"/>
        </w:rPr>
        <w:t xml:space="preserve">. </w:t>
      </w:r>
    </w:p>
    <w:p w14:paraId="26AA1462" w14:textId="5338C8F6" w:rsidR="007C57EF" w:rsidRPr="00E72418" w:rsidRDefault="00A23BF8" w:rsidP="00CC4BA8">
      <w:pPr>
        <w:spacing w:line="276" w:lineRule="auto"/>
        <w:rPr>
          <w:rFonts w:ascii="Times New Roman" w:hAnsi="Times New Roman" w:cs="Times New Roman"/>
        </w:rPr>
      </w:pPr>
      <w:r w:rsidRPr="00E72418">
        <w:rPr>
          <w:rFonts w:ascii="Times New Roman" w:hAnsi="Times New Roman" w:cs="Times New Roman"/>
        </w:rPr>
        <w:t>Cette disposition s’explique par l’intérêt qu’ont t</w:t>
      </w:r>
      <w:r w:rsidR="007C57EF" w:rsidRPr="00E72418">
        <w:rPr>
          <w:rFonts w:ascii="Times New Roman" w:hAnsi="Times New Roman" w:cs="Times New Roman"/>
        </w:rPr>
        <w:t xml:space="preserve">ant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débiteurs que leurs créanciers à </w:t>
      </w:r>
      <w:r w:rsidRPr="00E72418">
        <w:rPr>
          <w:rFonts w:ascii="Times New Roman" w:hAnsi="Times New Roman" w:cs="Times New Roman"/>
        </w:rPr>
        <w:t>négocier</w:t>
      </w:r>
      <w:r w:rsidR="00A64C6C" w:rsidRPr="00E72418">
        <w:rPr>
          <w:rFonts w:ascii="Times New Roman" w:hAnsi="Times New Roman" w:cs="Times New Roman"/>
        </w:rPr>
        <w:t xml:space="preserve"> et à aboutir à une solution. En effet, alors que le</w:t>
      </w:r>
      <w:r w:rsidR="007C57EF" w:rsidRPr="00E72418">
        <w:rPr>
          <w:rFonts w:ascii="Times New Roman" w:hAnsi="Times New Roman" w:cs="Times New Roman"/>
        </w:rPr>
        <w:t>s premiers</w:t>
      </w:r>
      <w:r w:rsidR="007C57EF" w:rsidRPr="00E72418">
        <w:t xml:space="preserve"> </w:t>
      </w:r>
      <w:r w:rsidR="007C57EF" w:rsidRPr="00E72418">
        <w:rPr>
          <w:rFonts w:ascii="Times New Roman" w:hAnsi="Times New Roman" w:cs="Times New Roman"/>
        </w:rPr>
        <w:t>souffrent de ne pouvoir bénéficier de m</w:t>
      </w:r>
      <w:r w:rsidR="00A64C6C" w:rsidRPr="00E72418">
        <w:rPr>
          <w:rFonts w:ascii="Times New Roman" w:hAnsi="Times New Roman" w:cs="Times New Roman"/>
        </w:rPr>
        <w:t xml:space="preserve">esures protectrices de faillite, </w:t>
      </w:r>
      <w:r w:rsidR="007C57EF" w:rsidRPr="00E72418">
        <w:rPr>
          <w:rFonts w:ascii="Times New Roman" w:hAnsi="Times New Roman" w:cs="Times New Roman"/>
        </w:rPr>
        <w:t xml:space="preserve">les seconds </w:t>
      </w:r>
      <w:r w:rsidR="00A64C6C" w:rsidRPr="00E72418">
        <w:rPr>
          <w:rFonts w:ascii="Times New Roman" w:hAnsi="Times New Roman" w:cs="Times New Roman"/>
        </w:rPr>
        <w:t>sont conscients de la difficulté qu’ils auraie</w:t>
      </w:r>
      <w:r w:rsidR="00E862EA" w:rsidRPr="00E72418">
        <w:rPr>
          <w:rFonts w:ascii="Times New Roman" w:hAnsi="Times New Roman" w:cs="Times New Roman"/>
        </w:rPr>
        <w:t xml:space="preserve">nt à faire exécuter contre des </w:t>
      </w:r>
      <w:r w:rsidR="00E862EA" w:rsidRPr="00E72418">
        <w:rPr>
          <w:lang w:eastAsia="fr-BE"/>
        </w:rPr>
        <w:t>É</w:t>
      </w:r>
      <w:r w:rsidR="00A64C6C" w:rsidRPr="00E72418">
        <w:rPr>
          <w:rFonts w:ascii="Times New Roman" w:hAnsi="Times New Roman" w:cs="Times New Roman"/>
        </w:rPr>
        <w:t>tats souverains des décisions de condamnation</w:t>
      </w:r>
      <w:r w:rsidR="007C57EF" w:rsidRPr="00E72418">
        <w:rPr>
          <w:rStyle w:val="Appelnotedebasdep"/>
          <w:rFonts w:ascii="Times New Roman" w:hAnsi="Times New Roman" w:cs="Times New Roman"/>
        </w:rPr>
        <w:footnoteReference w:id="331"/>
      </w:r>
      <w:r w:rsidR="007C57EF" w:rsidRPr="00E72418">
        <w:rPr>
          <w:rFonts w:ascii="Times New Roman" w:hAnsi="Times New Roman" w:cs="Times New Roman"/>
        </w:rPr>
        <w:t xml:space="preserve">. Comme l’explique </w:t>
      </w:r>
      <w:r w:rsidR="00BC1F96" w:rsidRPr="00E72418">
        <w:rPr>
          <w:rFonts w:ascii="Times New Roman" w:hAnsi="Times New Roman" w:cs="Times New Roman"/>
        </w:rPr>
        <w:t xml:space="preserve">Sonya </w:t>
      </w:r>
      <w:r w:rsidR="007C57EF" w:rsidRPr="00E72418">
        <w:rPr>
          <w:rFonts w:ascii="Times New Roman" w:hAnsi="Times New Roman" w:cs="Times New Roman"/>
        </w:rPr>
        <w:t xml:space="preserve">Scott, « [d]ebt renegotiation is fully entrenched within the logic of global capital as it allows for conditionalities […] to be placed on debtor nations, keeps the country’s </w:t>
      </w:r>
      <w:r w:rsidR="007C57EF" w:rsidRPr="00E72418">
        <w:rPr>
          <w:rFonts w:ascii="Times New Roman" w:hAnsi="Times New Roman" w:cs="Times New Roman"/>
        </w:rPr>
        <w:lastRenderedPageBreak/>
        <w:t>market open, and keeps the nation viable (yet subordinate) in global markets all while salvaging a portion of the bond payments »</w:t>
      </w:r>
      <w:r w:rsidR="007C57EF" w:rsidRPr="00E72418">
        <w:rPr>
          <w:rStyle w:val="Appelnotedebasdep"/>
          <w:rFonts w:ascii="Times New Roman" w:hAnsi="Times New Roman" w:cs="Times New Roman"/>
        </w:rPr>
        <w:footnoteReference w:id="332"/>
      </w:r>
      <w:r w:rsidR="007C57EF" w:rsidRPr="00E72418">
        <w:rPr>
          <w:rFonts w:ascii="Times New Roman" w:hAnsi="Times New Roman" w:cs="Times New Roman"/>
        </w:rPr>
        <w:t>.</w:t>
      </w:r>
    </w:p>
    <w:p w14:paraId="65DCB34A" w14:textId="77777777" w:rsidR="007C57EF" w:rsidRPr="00E72418" w:rsidRDefault="007C57EF" w:rsidP="00423B60">
      <w:pPr>
        <w:rPr>
          <w:highlight w:val="magenta"/>
        </w:rPr>
      </w:pPr>
    </w:p>
    <w:p w14:paraId="5ED706DB" w14:textId="1A0AA199" w:rsidR="007C57EF" w:rsidRPr="00E72418" w:rsidRDefault="007E31CD" w:rsidP="00CC4BA8">
      <w:pPr>
        <w:spacing w:line="276" w:lineRule="auto"/>
        <w:rPr>
          <w:rFonts w:ascii="Times New Roman" w:hAnsi="Times New Roman" w:cs="Times New Roman"/>
          <w:szCs w:val="24"/>
        </w:rPr>
      </w:pPr>
      <w:r w:rsidRPr="00E72418">
        <w:rPr>
          <w:rFonts w:ascii="Times New Roman" w:hAnsi="Times New Roman" w:cs="Times New Roman"/>
          <w:b/>
        </w:rPr>
        <w:t xml:space="preserve">64. </w:t>
      </w:r>
      <w:r w:rsidR="007C57EF" w:rsidRPr="00E72418">
        <w:rPr>
          <w:rFonts w:ascii="Times New Roman" w:hAnsi="Times New Roman" w:cs="Times New Roman"/>
          <w:b/>
        </w:rPr>
        <w:t xml:space="preserve">Une évolution – </w:t>
      </w:r>
      <w:r w:rsidR="007C57EF" w:rsidRPr="00E72418">
        <w:rPr>
          <w:rFonts w:ascii="Times New Roman" w:hAnsi="Times New Roman" w:cs="Times New Roman"/>
        </w:rPr>
        <w:t>La pratique de restructuration des dettes souveraines sert à trouver un équilibre entre les intérêts des débiteurs et ceux de leurs créanciers</w:t>
      </w:r>
      <w:r w:rsidR="007C57EF" w:rsidRPr="00E72418">
        <w:rPr>
          <w:rStyle w:val="Appelnotedebasdep"/>
          <w:rFonts w:ascii="Times New Roman" w:hAnsi="Times New Roman" w:cs="Times New Roman"/>
          <w:szCs w:val="24"/>
        </w:rPr>
        <w:footnoteReference w:id="333"/>
      </w:r>
      <w:r w:rsidR="007C57EF" w:rsidRPr="00E72418">
        <w:rPr>
          <w:rFonts w:ascii="Times New Roman" w:hAnsi="Times New Roman" w:cs="Times New Roman"/>
        </w:rPr>
        <w:t xml:space="preserve">. Comme le note </w:t>
      </w:r>
      <w:r w:rsidR="005C18A8" w:rsidRPr="00E72418">
        <w:rPr>
          <w:rFonts w:ascii="Times New Roman" w:hAnsi="Times New Roman" w:cs="Times New Roman"/>
        </w:rPr>
        <w:t xml:space="preserve">Elisa </w:t>
      </w:r>
      <w:r w:rsidR="007C57EF" w:rsidRPr="00E72418">
        <w:rPr>
          <w:rFonts w:ascii="Times New Roman" w:hAnsi="Times New Roman" w:cs="Times New Roman"/>
        </w:rPr>
        <w:t>Beneze, « [i]n the past, this process has been a fairly reliable cycle that balances the interests of the creditors in maximizing repayment with the interests of the sovereign state in being able to continue to provide essential services to its citizens and return to the international capital market as soon as possible »</w:t>
      </w:r>
      <w:r w:rsidR="007C57EF" w:rsidRPr="00E72418">
        <w:rPr>
          <w:rStyle w:val="Appelnotedebasdep"/>
          <w:rFonts w:ascii="Times New Roman" w:hAnsi="Times New Roman" w:cs="Times New Roman"/>
        </w:rPr>
        <w:footnoteReference w:id="334"/>
      </w:r>
      <w:r w:rsidR="007C57EF" w:rsidRPr="00E72418">
        <w:rPr>
          <w:rFonts w:ascii="Times New Roman" w:hAnsi="Times New Roman" w:cs="Times New Roman"/>
        </w:rPr>
        <w:t>.</w:t>
      </w:r>
    </w:p>
    <w:p w14:paraId="7A2EEBC0" w14:textId="265C0CBF"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Si l’</w:t>
      </w:r>
      <w:r w:rsidR="00313AEF" w:rsidRPr="00E72418">
        <w:rPr>
          <w:rFonts w:ascii="Times New Roman" w:hAnsi="Times New Roman" w:cs="Times New Roman"/>
        </w:rPr>
        <w:t>on remonte à l’époque où l’octroi de crédits</w:t>
      </w:r>
      <w:r w:rsidRPr="00E72418">
        <w:rPr>
          <w:rFonts w:ascii="Times New Roman" w:hAnsi="Times New Roman" w:cs="Times New Roman"/>
        </w:rPr>
        <w:t xml:space="preserve"> aux </w:t>
      </w:r>
      <w:r w:rsidRPr="00E72418">
        <w:rPr>
          <w:rFonts w:ascii="Times New Roman" w:hAnsi="Times New Roman" w:cs="Times New Roman"/>
          <w:lang w:eastAsia="fr-BE"/>
        </w:rPr>
        <w:t>É</w:t>
      </w:r>
      <w:r w:rsidRPr="00E72418">
        <w:rPr>
          <w:rFonts w:ascii="Times New Roman" w:hAnsi="Times New Roman" w:cs="Times New Roman"/>
        </w:rPr>
        <w:t>tats se f</w:t>
      </w:r>
      <w:r w:rsidR="00283F0F" w:rsidRPr="00E72418">
        <w:rPr>
          <w:rFonts w:ascii="Times New Roman" w:hAnsi="Times New Roman" w:cs="Times New Roman"/>
        </w:rPr>
        <w:t xml:space="preserve">aisait principalement via les </w:t>
      </w:r>
      <w:r w:rsidRPr="00E72418">
        <w:rPr>
          <w:rFonts w:ascii="Times New Roman" w:hAnsi="Times New Roman" w:cs="Times New Roman"/>
          <w:i/>
        </w:rPr>
        <w:t>syndicated loan contracts</w:t>
      </w:r>
      <w:r w:rsidRPr="00E72418">
        <w:rPr>
          <w:rFonts w:ascii="Times New Roman" w:hAnsi="Times New Roman" w:cs="Times New Roman"/>
        </w:rPr>
        <w:t xml:space="preserve"> des banques commerciales, la restructuration avait tendance à se faire de manière relativement équilibrée et ordonnée</w:t>
      </w:r>
      <w:r w:rsidRPr="00E72418">
        <w:rPr>
          <w:rStyle w:val="Appelnotedebasdep"/>
          <w:rFonts w:ascii="Times New Roman" w:hAnsi="Times New Roman" w:cs="Times New Roman"/>
        </w:rPr>
        <w:footnoteReference w:id="335"/>
      </w:r>
      <w:r w:rsidR="00C75554" w:rsidRPr="00E72418">
        <w:rPr>
          <w:rFonts w:ascii="Times New Roman" w:hAnsi="Times New Roman" w:cs="Times New Roman"/>
        </w:rPr>
        <w:t>. En cas de difficultés</w:t>
      </w:r>
      <w:r w:rsidR="00283F0F" w:rsidRPr="00E72418">
        <w:rPr>
          <w:rFonts w:ascii="Times New Roman" w:hAnsi="Times New Roman" w:cs="Times New Roman"/>
        </w:rPr>
        <w:t xml:space="preserve">, des </w:t>
      </w:r>
      <w:r w:rsidR="00C75554" w:rsidRPr="00E72418">
        <w:rPr>
          <w:rFonts w:ascii="Times New Roman" w:hAnsi="Times New Roman" w:cs="Times New Roman"/>
          <w:i/>
        </w:rPr>
        <w:t>bank advisory committees</w:t>
      </w:r>
      <w:r w:rsidR="00C75554" w:rsidRPr="00E72418">
        <w:rPr>
          <w:rFonts w:ascii="Times New Roman" w:hAnsi="Times New Roman" w:cs="Times New Roman"/>
        </w:rPr>
        <w:t xml:space="preserve"> étaient créés regroupant des représentants des banques commerciales dont la mission était, d’une part, de discuter avec le débiteur souverain, d’autre part, de convaincre l’ensemble des créanciers des bénéfices d’un accord</w:t>
      </w:r>
      <w:r w:rsidR="00C75554" w:rsidRPr="00E72418">
        <w:rPr>
          <w:rStyle w:val="Appelnotedebasdep"/>
          <w:rFonts w:ascii="Times New Roman" w:hAnsi="Times New Roman" w:cs="Times New Roman"/>
        </w:rPr>
        <w:footnoteReference w:id="336"/>
      </w:r>
      <w:r w:rsidR="00C75554" w:rsidRPr="00E72418">
        <w:rPr>
          <w:rFonts w:ascii="Times New Roman" w:hAnsi="Times New Roman" w:cs="Times New Roman"/>
        </w:rPr>
        <w:t>. L</w:t>
      </w:r>
      <w:r w:rsidRPr="00E72418">
        <w:rPr>
          <w:rFonts w:ascii="Times New Roman" w:hAnsi="Times New Roman" w:cs="Times New Roman"/>
        </w:rPr>
        <w:t xml:space="preserve">es institutions détentrices de dettes souveraines avaient généralement intérêt à parvenir </w:t>
      </w:r>
      <w:r w:rsidR="00313AEF" w:rsidRPr="00E72418">
        <w:rPr>
          <w:rFonts w:ascii="Times New Roman" w:hAnsi="Times New Roman" w:cs="Times New Roman"/>
        </w:rPr>
        <w:t xml:space="preserve">à un accord équilibré avec leurs </w:t>
      </w:r>
      <w:r w:rsidRPr="00E72418">
        <w:rPr>
          <w:rFonts w:ascii="Times New Roman" w:hAnsi="Times New Roman" w:cs="Times New Roman"/>
        </w:rPr>
        <w:t>débiteur</w:t>
      </w:r>
      <w:r w:rsidR="00313AEF" w:rsidRPr="00E72418">
        <w:rPr>
          <w:rFonts w:ascii="Times New Roman" w:hAnsi="Times New Roman" w:cs="Times New Roman"/>
        </w:rPr>
        <w:t>s</w:t>
      </w:r>
      <w:r w:rsidRPr="00E72418">
        <w:rPr>
          <w:rStyle w:val="Appelnotedebasdep"/>
          <w:rFonts w:ascii="Times New Roman" w:hAnsi="Times New Roman" w:cs="Times New Roman"/>
        </w:rPr>
        <w:footnoteReference w:id="337"/>
      </w:r>
      <w:r w:rsidRPr="00E72418">
        <w:rPr>
          <w:rFonts w:ascii="Times New Roman" w:hAnsi="Times New Roman" w:cs="Times New Roman"/>
        </w:rPr>
        <w:t>.</w:t>
      </w:r>
      <w:r w:rsidRPr="00E72418">
        <w:rPr>
          <w:rFonts w:ascii="Times New Roman" w:hAnsi="Times New Roman" w:cs="Times New Roman"/>
          <w:b/>
        </w:rPr>
        <w:t xml:space="preserve"> </w:t>
      </w:r>
      <w:r w:rsidRPr="00E72418">
        <w:rPr>
          <w:rFonts w:ascii="Times New Roman" w:hAnsi="Times New Roman" w:cs="Times New Roman"/>
        </w:rPr>
        <w:t xml:space="preserve">Les banques avaient intérêt à ce que les restructurations se déroulent de manière ordonnée dans la mesure où la prospérité économique des </w:t>
      </w:r>
      <w:r w:rsidR="00313AEF" w:rsidRPr="00E72418">
        <w:rPr>
          <w:rFonts w:ascii="Times New Roman" w:hAnsi="Times New Roman" w:cs="Times New Roman"/>
          <w:lang w:eastAsia="fr-BE"/>
        </w:rPr>
        <w:t>É</w:t>
      </w:r>
      <w:r w:rsidR="00313AEF" w:rsidRPr="00E72418">
        <w:rPr>
          <w:rFonts w:ascii="Times New Roman" w:hAnsi="Times New Roman" w:cs="Times New Roman"/>
        </w:rPr>
        <w:t xml:space="preserve">tats </w:t>
      </w:r>
      <w:r w:rsidRPr="00E72418">
        <w:rPr>
          <w:rFonts w:ascii="Times New Roman" w:hAnsi="Times New Roman" w:cs="Times New Roman"/>
        </w:rPr>
        <w:t xml:space="preserve">débiteurs </w:t>
      </w:r>
      <w:r w:rsidR="00313AEF" w:rsidRPr="00E72418">
        <w:rPr>
          <w:rFonts w:ascii="Times New Roman" w:hAnsi="Times New Roman" w:cs="Times New Roman"/>
        </w:rPr>
        <w:t xml:space="preserve">importait </w:t>
      </w:r>
      <w:r w:rsidRPr="00E72418">
        <w:rPr>
          <w:rFonts w:ascii="Times New Roman" w:hAnsi="Times New Roman" w:cs="Times New Roman"/>
        </w:rPr>
        <w:t>en raison des prêts à long terme consentis</w:t>
      </w:r>
      <w:r w:rsidRPr="00E72418">
        <w:rPr>
          <w:rStyle w:val="Appelnotedebasdep"/>
          <w:rFonts w:ascii="Times New Roman" w:hAnsi="Times New Roman" w:cs="Times New Roman"/>
        </w:rPr>
        <w:footnoteReference w:id="338"/>
      </w:r>
      <w:r w:rsidRPr="00E72418">
        <w:rPr>
          <w:rFonts w:ascii="Times New Roman" w:hAnsi="Times New Roman" w:cs="Times New Roman"/>
        </w:rPr>
        <w:t xml:space="preserve">. Pour nombre de banques commerciales, cet intérêt </w:t>
      </w:r>
      <w:r w:rsidR="00C75554" w:rsidRPr="00E72418">
        <w:rPr>
          <w:rFonts w:ascii="Times New Roman" w:hAnsi="Times New Roman" w:cs="Times New Roman"/>
        </w:rPr>
        <w:t xml:space="preserve">s’expliquait </w:t>
      </w:r>
      <w:r w:rsidRPr="00E72418">
        <w:rPr>
          <w:rFonts w:ascii="Times New Roman" w:hAnsi="Times New Roman" w:cs="Times New Roman"/>
        </w:rPr>
        <w:t xml:space="preserve">également </w:t>
      </w:r>
      <w:r w:rsidR="00C75554" w:rsidRPr="00E72418">
        <w:rPr>
          <w:rFonts w:ascii="Times New Roman" w:hAnsi="Times New Roman" w:cs="Times New Roman"/>
        </w:rPr>
        <w:t>par l</w:t>
      </w:r>
      <w:r w:rsidRPr="00E72418">
        <w:rPr>
          <w:rFonts w:ascii="Times New Roman" w:hAnsi="Times New Roman" w:cs="Times New Roman"/>
        </w:rPr>
        <w:t xml:space="preserve">eur souhait d’éviter </w:t>
      </w:r>
      <w:r w:rsidR="00C75554" w:rsidRPr="00E72418">
        <w:rPr>
          <w:rFonts w:ascii="Times New Roman" w:hAnsi="Times New Roman" w:cs="Times New Roman"/>
        </w:rPr>
        <w:t>de voir figurer</w:t>
      </w:r>
      <w:r w:rsidRPr="00E72418">
        <w:rPr>
          <w:rFonts w:ascii="Times New Roman" w:hAnsi="Times New Roman" w:cs="Times New Roman"/>
        </w:rPr>
        <w:t xml:space="preserve"> dans leurs bilans des crédits défaillants</w:t>
      </w:r>
      <w:r w:rsidRPr="00E72418">
        <w:rPr>
          <w:rStyle w:val="Appelnotedebasdep"/>
          <w:rFonts w:ascii="Times New Roman" w:hAnsi="Times New Roman" w:cs="Times New Roman"/>
        </w:rPr>
        <w:footnoteReference w:id="339"/>
      </w:r>
      <w:r w:rsidR="00C75554" w:rsidRPr="00E72418">
        <w:rPr>
          <w:rFonts w:ascii="Times New Roman" w:hAnsi="Times New Roman" w:cs="Times New Roman"/>
        </w:rPr>
        <w:t>.</w:t>
      </w:r>
    </w:p>
    <w:p w14:paraId="7517300A" w14:textId="7E5AC0E0" w:rsidR="007C57EF" w:rsidRPr="00E72418" w:rsidRDefault="00765A3A" w:rsidP="00CC4BA8">
      <w:pPr>
        <w:spacing w:line="276" w:lineRule="auto"/>
      </w:pPr>
      <w:r w:rsidRPr="00E72418">
        <w:t>L’expa</w:t>
      </w:r>
      <w:r w:rsidR="007C57EF" w:rsidRPr="00E72418">
        <w:t xml:space="preserve">nsion du marché secondaire qui fit suite à </w:t>
      </w:r>
      <w:r w:rsidR="0085400A" w:rsidRPr="00E72418">
        <w:t xml:space="preserve">la mise en œuvre </w:t>
      </w:r>
      <w:r w:rsidR="00DE27EA" w:rsidRPr="00E72418">
        <w:t xml:space="preserve">du plan </w:t>
      </w:r>
      <w:r w:rsidR="00DE27EA" w:rsidRPr="00E72418">
        <w:rPr>
          <w:i/>
        </w:rPr>
        <w:t>Brady</w:t>
      </w:r>
      <w:r w:rsidR="00C75554" w:rsidRPr="00E72418">
        <w:t xml:space="preserve"> </w:t>
      </w:r>
      <w:r w:rsidR="007C57EF" w:rsidRPr="00E72418">
        <w:t xml:space="preserve">conduisit à une </w:t>
      </w:r>
      <w:r w:rsidR="00C75554" w:rsidRPr="00E72418">
        <w:t>augmentation du nombre de</w:t>
      </w:r>
      <w:r w:rsidR="007C57EF" w:rsidRPr="00E72418">
        <w:t xml:space="preserve"> créanciers de dettes d’</w:t>
      </w:r>
      <w:r w:rsidR="007C57EF" w:rsidRPr="00E72418">
        <w:rPr>
          <w:lang w:eastAsia="fr-BE"/>
        </w:rPr>
        <w:t>É</w:t>
      </w:r>
      <w:r w:rsidRPr="00E72418">
        <w:t>tat allant de pair</w:t>
      </w:r>
      <w:r w:rsidR="007C57EF" w:rsidRPr="00E72418">
        <w:t xml:space="preserve"> avec une potentielle </w:t>
      </w:r>
      <w:r w:rsidR="00C75554" w:rsidRPr="00E72418">
        <w:t>multiplication</w:t>
      </w:r>
      <w:r w:rsidR="007C57EF" w:rsidRPr="00E72418">
        <w:t xml:space="preserve"> des problèmes </w:t>
      </w:r>
      <w:r w:rsidR="00C75554" w:rsidRPr="00E72418">
        <w:t>lors des</w:t>
      </w:r>
      <w:r w:rsidR="007C57EF" w:rsidRPr="00E72418">
        <w:t xml:space="preserve"> restructurations </w:t>
      </w:r>
      <w:r w:rsidR="00C75554" w:rsidRPr="00E72418">
        <w:t>envisagées</w:t>
      </w:r>
      <w:r w:rsidR="006E36C2" w:rsidRPr="00E72418">
        <w:t xml:space="preserve"> complexifiant </w:t>
      </w:r>
      <w:r w:rsidR="006E36C2" w:rsidRPr="00E72418">
        <w:lastRenderedPageBreak/>
        <w:t>substantiellement celles-ci</w:t>
      </w:r>
      <w:r w:rsidR="007C57EF" w:rsidRPr="00E72418">
        <w:rPr>
          <w:rStyle w:val="Appelnotedebasdep"/>
        </w:rPr>
        <w:footnoteReference w:id="340"/>
      </w:r>
      <w:r w:rsidR="006E36C2" w:rsidRPr="00E72418">
        <w:t xml:space="preserve">. </w:t>
      </w:r>
      <w:r w:rsidR="007C57EF" w:rsidRPr="00E72418">
        <w:t xml:space="preserve">En effet, à la différence de la situation </w:t>
      </w:r>
      <w:r w:rsidR="00DE27EA" w:rsidRPr="00E72418">
        <w:t xml:space="preserve">existant </w:t>
      </w:r>
      <w:r w:rsidR="00025355" w:rsidRPr="00E72418">
        <w:t xml:space="preserve">avec les </w:t>
      </w:r>
      <w:r w:rsidR="007C57EF" w:rsidRPr="00E72418">
        <w:rPr>
          <w:i/>
        </w:rPr>
        <w:t>syndicated loan contracts</w:t>
      </w:r>
      <w:r w:rsidR="007C57EF" w:rsidRPr="00E72418">
        <w:t xml:space="preserve">, </w:t>
      </w:r>
      <w:r w:rsidR="00810B5E" w:rsidRPr="00E72418">
        <w:t>l’</w:t>
      </w:r>
      <w:r w:rsidR="00810B5E" w:rsidRPr="00E72418">
        <w:rPr>
          <w:rFonts w:ascii="Times New Roman" w:hAnsi="Times New Roman" w:cs="Times New Roman"/>
        </w:rPr>
        <w:t>augmentation et l’atomisation considérables des créanciers détenant des dettes souveraines</w:t>
      </w:r>
      <w:r w:rsidR="00810B5E" w:rsidRPr="00E72418">
        <w:t xml:space="preserve"> complique</w:t>
      </w:r>
      <w:r w:rsidR="00342D7D" w:rsidRPr="00E72418">
        <w:t>nt</w:t>
      </w:r>
      <w:r w:rsidR="00810B5E" w:rsidRPr="00E72418">
        <w:t>, pour ne pas dire rend</w:t>
      </w:r>
      <w:r w:rsidR="00342D7D" w:rsidRPr="00E72418">
        <w:t>ent</w:t>
      </w:r>
      <w:r w:rsidR="00810B5E" w:rsidRPr="00E72418">
        <w:t xml:space="preserve"> impossible, une</w:t>
      </w:r>
      <w:r w:rsidR="007C57EF" w:rsidRPr="00E72418">
        <w:t xml:space="preserve"> représentation unifiée des créanciers de même que la pression pouvant être ex</w:t>
      </w:r>
      <w:r w:rsidR="00810B5E" w:rsidRPr="00E72418">
        <w:t>ercée par les autres créanciers est illusoire</w:t>
      </w:r>
      <w:r w:rsidR="007C57EF" w:rsidRPr="00E72418">
        <w:rPr>
          <w:rStyle w:val="Appelnotedebasdep"/>
        </w:rPr>
        <w:footnoteReference w:id="341"/>
      </w:r>
      <w:r w:rsidR="007C57EF" w:rsidRPr="00E72418">
        <w:t>.</w:t>
      </w:r>
    </w:p>
    <w:p w14:paraId="159AE340" w14:textId="77777777" w:rsidR="007C57EF" w:rsidRPr="00E72418" w:rsidRDefault="007C57EF" w:rsidP="00423B60"/>
    <w:p w14:paraId="720CCC37" w14:textId="66FE9AD7" w:rsidR="00BA7A2E" w:rsidRPr="00E72418" w:rsidRDefault="007E31CD" w:rsidP="00CC4BA8">
      <w:pPr>
        <w:spacing w:line="276" w:lineRule="auto"/>
      </w:pPr>
      <w:r w:rsidRPr="00E72418">
        <w:rPr>
          <w:b/>
        </w:rPr>
        <w:t xml:space="preserve">65. </w:t>
      </w:r>
      <w:r w:rsidR="007C57EF" w:rsidRPr="00E72418">
        <w:rPr>
          <w:b/>
        </w:rPr>
        <w:t xml:space="preserve">L’importance relevée par les Nations Unies – </w:t>
      </w:r>
      <w:r w:rsidR="007C57EF" w:rsidRPr="00E72418">
        <w:t xml:space="preserve">En </w:t>
      </w:r>
      <w:r w:rsidR="00753AB1" w:rsidRPr="00E72418">
        <w:t xml:space="preserve">septembre </w:t>
      </w:r>
      <w:r w:rsidR="007C57EF" w:rsidRPr="00E72418">
        <w:t>2014, l’Assemblée générale des Nations Unies a adopté une résolution sur l’établissement d’un cadre juridique multilatéral applicable aux opérations de restructuration de la dette souveraine</w:t>
      </w:r>
      <w:r w:rsidR="007C57EF" w:rsidRPr="00E72418">
        <w:rPr>
          <w:rStyle w:val="Appelnotedebasdep"/>
        </w:rPr>
        <w:footnoteReference w:id="342"/>
      </w:r>
      <w:r w:rsidR="007C57EF" w:rsidRPr="00E72418">
        <w:t>. Cette résolution</w:t>
      </w:r>
      <w:r w:rsidR="00753AB1" w:rsidRPr="00E72418">
        <w:t>,</w:t>
      </w:r>
      <w:r w:rsidR="007C57EF" w:rsidRPr="00E72418">
        <w:t xml:space="preserve"> dont le but poursuivi est notamment </w:t>
      </w:r>
      <w:r w:rsidR="00753AB1" w:rsidRPr="00E72418">
        <w:t>que</w:t>
      </w:r>
      <w:r w:rsidR="007C57EF" w:rsidRPr="00E72418">
        <w:t xml:space="preserve"> le systèm</w:t>
      </w:r>
      <w:r w:rsidR="00753AB1" w:rsidRPr="00E72418">
        <w:t>e financier international gagne</w:t>
      </w:r>
      <w:r w:rsidR="007C57EF" w:rsidRPr="00E72418">
        <w:t xml:space="preserve"> en efficacité, stabilité et prévisibilité et </w:t>
      </w:r>
      <w:r w:rsidR="00753AB1" w:rsidRPr="00E72418">
        <w:t xml:space="preserve">que se réalisent le développement durable et </w:t>
      </w:r>
      <w:r w:rsidR="007C57EF" w:rsidRPr="00E72418">
        <w:t xml:space="preserve">une croissance économique soutenue, partagée et équitable, </w:t>
      </w:r>
      <w:r w:rsidR="00753AB1" w:rsidRPr="00E72418">
        <w:t xml:space="preserve">reprend la considération </w:t>
      </w:r>
      <w:r w:rsidR="007C57EF" w:rsidRPr="00E72418">
        <w:t>selon laquelle « </w:t>
      </w:r>
      <w:r w:rsidR="007C57EF" w:rsidRPr="00E72418">
        <w:rPr>
          <w:rFonts w:cs="Times New Roman"/>
        </w:rPr>
        <w:t>tout État a le droit souverain de restructurer sa dette souveraine »</w:t>
      </w:r>
      <w:r w:rsidR="007C57EF" w:rsidRPr="00E72418">
        <w:rPr>
          <w:rStyle w:val="Appelnotedebasdep"/>
          <w:rFonts w:cs="Times New Roman"/>
        </w:rPr>
        <w:footnoteReference w:id="343"/>
      </w:r>
      <w:r w:rsidR="007C57EF" w:rsidRPr="00E72418">
        <w:rPr>
          <w:rFonts w:cs="Times New Roman"/>
        </w:rPr>
        <w:t>.</w:t>
      </w:r>
      <w:bookmarkStart w:id="63" w:name="_Toc9959349"/>
      <w:r w:rsidR="00BA7A2E" w:rsidRPr="00E72418">
        <w:t xml:space="preserve"> </w:t>
      </w:r>
      <w:r w:rsidR="007C57EF" w:rsidRPr="00E72418">
        <w:t>En décembre 2014, l’Assemblée générale des Nations Unies décida de créer un comité spécial en vue d’élaborer un cadre juridique multilatéral applicable aux opérations de restructuration de la dette souveraine</w:t>
      </w:r>
      <w:r w:rsidR="007C57EF" w:rsidRPr="00E72418">
        <w:rPr>
          <w:rStyle w:val="Appelnotedebasdep"/>
        </w:rPr>
        <w:footnoteReference w:id="344"/>
      </w:r>
      <w:r w:rsidR="007C57EF" w:rsidRPr="00E72418">
        <w:t xml:space="preserve">. </w:t>
      </w:r>
      <w:bookmarkEnd w:id="63"/>
    </w:p>
    <w:p w14:paraId="70033C22" w14:textId="1334B486" w:rsidR="007C57EF" w:rsidRPr="00E72418" w:rsidRDefault="00753AB1" w:rsidP="00CC4BA8">
      <w:pPr>
        <w:spacing w:line="276" w:lineRule="auto"/>
      </w:pPr>
      <w:r w:rsidRPr="00E72418">
        <w:t>L</w:t>
      </w:r>
      <w:r w:rsidR="007C57EF" w:rsidRPr="00E72418">
        <w:rPr>
          <w:rFonts w:cs="Times New Roman"/>
          <w:szCs w:val="24"/>
        </w:rPr>
        <w:t>e 10 septembre 2015, l’Assemblée générale des Nations Unies adopta une importante résolution sur les principes fondamentaux des opérations de restructuration de la dette souveraine</w:t>
      </w:r>
      <w:r w:rsidR="007C57EF" w:rsidRPr="00E72418">
        <w:rPr>
          <w:rStyle w:val="Appelnotedebasdep"/>
          <w:rFonts w:cs="Times New Roman"/>
          <w:szCs w:val="24"/>
        </w:rPr>
        <w:footnoteReference w:id="345"/>
      </w:r>
      <w:r w:rsidR="007C57EF" w:rsidRPr="00E72418">
        <w:rPr>
          <w:rFonts w:cs="Times New Roman"/>
          <w:szCs w:val="24"/>
        </w:rPr>
        <w:t>. Si une majorité d’</w:t>
      </w:r>
      <w:r w:rsidR="007C57EF" w:rsidRPr="00E72418">
        <w:rPr>
          <w:lang w:eastAsia="fr-BE"/>
        </w:rPr>
        <w:t>É</w:t>
      </w:r>
      <w:r w:rsidR="007C57EF" w:rsidRPr="00E72418">
        <w:rPr>
          <w:rFonts w:cs="Times New Roman"/>
          <w:szCs w:val="24"/>
        </w:rPr>
        <w:t xml:space="preserve">tats votèrent en sa faveur, des acteurs majeurs comme les </w:t>
      </w:r>
      <w:r w:rsidR="007C57EF" w:rsidRPr="00E72418">
        <w:rPr>
          <w:lang w:eastAsia="fr-BE"/>
        </w:rPr>
        <w:lastRenderedPageBreak/>
        <w:t>É</w:t>
      </w:r>
      <w:r w:rsidR="007C57EF" w:rsidRPr="00E72418">
        <w:rPr>
          <w:rFonts w:cs="Times New Roman"/>
          <w:szCs w:val="24"/>
        </w:rPr>
        <w:t xml:space="preserve">tats-Unis et le Royaume-Uni votèrent contre le texte </w:t>
      </w:r>
      <w:r w:rsidR="00BA7A2E" w:rsidRPr="00E72418">
        <w:rPr>
          <w:rFonts w:cs="Times New Roman"/>
          <w:szCs w:val="24"/>
        </w:rPr>
        <w:t>traduisant</w:t>
      </w:r>
      <w:r w:rsidR="007C57EF" w:rsidRPr="00E72418">
        <w:t xml:space="preserve"> l’utilité relative </w:t>
      </w:r>
      <w:r w:rsidR="00BA7A2E" w:rsidRPr="00E72418">
        <w:t>du texte</w:t>
      </w:r>
      <w:r w:rsidR="007C57EF" w:rsidRPr="00E72418">
        <w:rPr>
          <w:rStyle w:val="Appelnotedebasdep"/>
        </w:rPr>
        <w:footnoteReference w:id="346"/>
      </w:r>
      <w:r w:rsidR="007C57EF" w:rsidRPr="00E72418">
        <w:t xml:space="preserve">. Dans cet instrument de </w:t>
      </w:r>
      <w:r w:rsidR="007C57EF" w:rsidRPr="00E72418">
        <w:rPr>
          <w:i/>
        </w:rPr>
        <w:t>soft law</w:t>
      </w:r>
      <w:r w:rsidR="007C57EF" w:rsidRPr="00E72418">
        <w:t xml:space="preserve"> dont les effets sont limit</w:t>
      </w:r>
      <w:r w:rsidR="00BA7A2E" w:rsidRPr="00E72418">
        <w:t xml:space="preserve">és en ce qu’il n’établit pas un cadre </w:t>
      </w:r>
      <w:r w:rsidR="007C57EF" w:rsidRPr="00E72418">
        <w:t>contraignant</w:t>
      </w:r>
      <w:r w:rsidR="007C57EF" w:rsidRPr="00E72418">
        <w:rPr>
          <w:rStyle w:val="Appelnotedebasdep"/>
        </w:rPr>
        <w:footnoteReference w:id="347"/>
      </w:r>
      <w:r w:rsidR="007C57EF" w:rsidRPr="00E72418">
        <w:t>, l’Assemblée générale pose neuf principes : la souveraineté étatique, la bonne foi, la transparence, l’impartialité, le traitement équitable, l’immunité souveraine, la légitimité, la viabilité et la restructuration majoritaire</w:t>
      </w:r>
      <w:r w:rsidR="007C57EF" w:rsidRPr="00E72418">
        <w:rPr>
          <w:rStyle w:val="Appelnotedebasdep"/>
        </w:rPr>
        <w:footnoteReference w:id="348"/>
      </w:r>
      <w:r w:rsidR="007C57EF" w:rsidRPr="00E72418">
        <w:t>.</w:t>
      </w:r>
    </w:p>
    <w:p w14:paraId="4090AC2A" w14:textId="0C6624FF" w:rsidR="004551B8" w:rsidRPr="00E72418" w:rsidRDefault="004551B8" w:rsidP="004551B8">
      <w:pPr>
        <w:spacing w:line="276" w:lineRule="auto"/>
        <w:rPr>
          <w:rFonts w:ascii="Times New Roman" w:hAnsi="Times New Roman" w:cs="Times New Roman"/>
          <w:szCs w:val="24"/>
          <w:lang w:val="fr-BE"/>
        </w:rPr>
      </w:pPr>
      <w:r w:rsidRPr="00E72418">
        <w:rPr>
          <w:rFonts w:ascii="Times New Roman" w:hAnsi="Times New Roman" w:cs="Times New Roman"/>
          <w:szCs w:val="24"/>
        </w:rPr>
        <w:t xml:space="preserve">Outre l’importance des restructurations des dettes souveraines relevée ponctuellement par des </w:t>
      </w:r>
      <w:r w:rsidRPr="00E72418">
        <w:rPr>
          <w:rFonts w:cs="Times New Roman"/>
          <w:szCs w:val="24"/>
        </w:rPr>
        <w:t>É</w:t>
      </w:r>
      <w:r w:rsidRPr="00E72418">
        <w:rPr>
          <w:rFonts w:ascii="Times New Roman" w:hAnsi="Times New Roman" w:cs="Times New Roman"/>
          <w:szCs w:val="24"/>
        </w:rPr>
        <w:t>tats membres des Nations Unies</w:t>
      </w:r>
      <w:r w:rsidRPr="00E72418">
        <w:rPr>
          <w:rStyle w:val="Appelnotedebasdep"/>
          <w:rFonts w:ascii="Times New Roman" w:hAnsi="Times New Roman" w:cs="Times New Roman"/>
          <w:szCs w:val="24"/>
        </w:rPr>
        <w:footnoteReference w:id="349"/>
      </w:r>
      <w:r w:rsidRPr="00E72418">
        <w:rPr>
          <w:rFonts w:ascii="Times New Roman" w:hAnsi="Times New Roman" w:cs="Times New Roman"/>
          <w:szCs w:val="24"/>
        </w:rPr>
        <w:t>, les acteurs privés reconnaissent également dans certains cénacles cette importance comme ce fut par exemple le cas de l’</w:t>
      </w:r>
      <w:r w:rsidRPr="00E72418">
        <w:rPr>
          <w:rFonts w:ascii="Times New Roman" w:hAnsi="Times New Roman" w:cs="Times New Roman"/>
          <w:i/>
          <w:szCs w:val="24"/>
        </w:rPr>
        <w:t>Institute of International Finance</w:t>
      </w:r>
      <w:r w:rsidRPr="00E72418">
        <w:rPr>
          <w:rFonts w:ascii="Times New Roman" w:hAnsi="Times New Roman" w:cs="Times New Roman"/>
          <w:szCs w:val="24"/>
        </w:rPr>
        <w:t xml:space="preserve"> qui présenta dans les années 2000 ses </w:t>
      </w:r>
      <w:r w:rsidRPr="00E72418">
        <w:rPr>
          <w:rFonts w:ascii="Times New Roman" w:hAnsi="Times New Roman" w:cs="Times New Roman"/>
          <w:i/>
          <w:szCs w:val="24"/>
          <w:lang w:val="fr-BE"/>
        </w:rPr>
        <w:t>Principles for Stable Capital Flows and Fair Debt Restructuring in Emerging Markets</w:t>
      </w:r>
      <w:r w:rsidRPr="00E72418">
        <w:rPr>
          <w:rStyle w:val="Appelnotedebasdep"/>
          <w:rFonts w:ascii="Times New Roman" w:hAnsi="Times New Roman" w:cs="Times New Roman"/>
          <w:szCs w:val="24"/>
          <w:lang w:val="fr-BE"/>
        </w:rPr>
        <w:footnoteReference w:id="350"/>
      </w:r>
      <w:r w:rsidRPr="00E72418">
        <w:rPr>
          <w:rFonts w:ascii="Times New Roman" w:hAnsi="Times New Roman" w:cs="Times New Roman"/>
          <w:szCs w:val="24"/>
          <w:lang w:val="fr-BE"/>
        </w:rPr>
        <w:t xml:space="preserve">. Généralement, comme le notent </w:t>
      </w:r>
      <w:r w:rsidR="005C18A8" w:rsidRPr="00E72418">
        <w:rPr>
          <w:rFonts w:ascii="Times New Roman" w:hAnsi="Times New Roman" w:cs="Times New Roman"/>
          <w:szCs w:val="24"/>
          <w:lang w:val="fr-BE"/>
        </w:rPr>
        <w:t xml:space="preserve">Armin </w:t>
      </w:r>
      <w:r w:rsidR="00943468" w:rsidRPr="00E72418">
        <w:rPr>
          <w:rFonts w:cs="Times New Roman"/>
          <w:szCs w:val="24"/>
          <w:lang w:val="en-US"/>
        </w:rPr>
        <w:t>vo</w:t>
      </w:r>
      <w:r w:rsidRPr="00E72418">
        <w:rPr>
          <w:rFonts w:cs="Times New Roman"/>
          <w:szCs w:val="24"/>
          <w:lang w:val="en-US"/>
        </w:rPr>
        <w:t xml:space="preserve">n Bogdandy et </w:t>
      </w:r>
      <w:r w:rsidR="005C18A8" w:rsidRPr="00E72418">
        <w:rPr>
          <w:rFonts w:cs="Times New Roman"/>
          <w:szCs w:val="24"/>
          <w:lang w:val="en-US"/>
        </w:rPr>
        <w:t xml:space="preserve">Matthias </w:t>
      </w:r>
      <w:r w:rsidRPr="00E72418">
        <w:rPr>
          <w:rFonts w:cs="Times New Roman"/>
          <w:szCs w:val="24"/>
          <w:lang w:val="en-US"/>
        </w:rPr>
        <w:t xml:space="preserve">Goldmann, </w:t>
      </w:r>
      <w:r w:rsidRPr="00E72418">
        <w:rPr>
          <w:lang w:val="en-US"/>
        </w:rPr>
        <w:t>« it seems possible to identify a normatively justifiable conviction across legal orders that both private and sovereign debt restructurings must not be jeopardized by holdout litigation or arbitration »</w:t>
      </w:r>
      <w:r w:rsidRPr="00E72418">
        <w:rPr>
          <w:rStyle w:val="Appelnotedebasdep"/>
          <w:lang w:val="en-US"/>
        </w:rPr>
        <w:footnoteReference w:id="351"/>
      </w:r>
      <w:r w:rsidRPr="00E72418">
        <w:rPr>
          <w:lang w:val="en-US"/>
        </w:rPr>
        <w:t>.</w:t>
      </w:r>
    </w:p>
    <w:p w14:paraId="4726E2C1" w14:textId="77777777" w:rsidR="007C57EF" w:rsidRPr="00E72418" w:rsidRDefault="007C57EF" w:rsidP="00423B60"/>
    <w:p w14:paraId="39D5F070" w14:textId="234B36E7" w:rsidR="007C57EF" w:rsidRPr="00E72418" w:rsidRDefault="000764CE" w:rsidP="00CC4BA8">
      <w:pPr>
        <w:pStyle w:val="CC"/>
        <w:spacing w:line="276" w:lineRule="auto"/>
      </w:pPr>
      <w:bookmarkStart w:id="64" w:name="_Toc59280888"/>
      <w:bookmarkStart w:id="65" w:name="_Toc75106065"/>
      <w:bookmarkStart w:id="66" w:name="_Toc84540877"/>
      <w:r w:rsidRPr="00E72418">
        <w:lastRenderedPageBreak/>
        <w:t xml:space="preserve">Chapitre 2 : </w:t>
      </w:r>
      <w:r w:rsidR="007C57EF" w:rsidRPr="00E72418">
        <w:t>Les difficultés</w:t>
      </w:r>
      <w:bookmarkEnd w:id="64"/>
      <w:bookmarkEnd w:id="65"/>
      <w:bookmarkEnd w:id="66"/>
    </w:p>
    <w:p w14:paraId="5F75C8DC" w14:textId="77777777" w:rsidR="007C57EF" w:rsidRPr="00E72418" w:rsidRDefault="007C57EF" w:rsidP="00423B60"/>
    <w:p w14:paraId="4FC62395" w14:textId="6EE9413D" w:rsidR="00A57BD3" w:rsidRPr="00E72418" w:rsidRDefault="007E31CD" w:rsidP="007F038F">
      <w:pPr>
        <w:spacing w:line="276" w:lineRule="auto"/>
        <w:rPr>
          <w:lang w:val="nl-NL"/>
        </w:rPr>
      </w:pPr>
      <w:r w:rsidRPr="00E72418">
        <w:rPr>
          <w:rFonts w:cs="Times New Roman"/>
          <w:b/>
          <w:szCs w:val="24"/>
        </w:rPr>
        <w:t xml:space="preserve">66. </w:t>
      </w:r>
      <w:r w:rsidR="007C57EF" w:rsidRPr="00E72418">
        <w:rPr>
          <w:rFonts w:cs="Times New Roman"/>
          <w:b/>
          <w:szCs w:val="24"/>
        </w:rPr>
        <w:t xml:space="preserve">L’inexistence d’un mécanisme institutionnalisé </w:t>
      </w:r>
      <w:r w:rsidR="007C57EF" w:rsidRPr="00E72418">
        <w:rPr>
          <w:b/>
        </w:rPr>
        <w:t>–</w:t>
      </w:r>
      <w:r w:rsidR="00106710" w:rsidRPr="00E72418">
        <w:rPr>
          <w:b/>
        </w:rPr>
        <w:t xml:space="preserve"> </w:t>
      </w:r>
      <w:r w:rsidR="00106710" w:rsidRPr="00E72418">
        <w:t>A</w:t>
      </w:r>
      <w:r w:rsidR="007C57EF" w:rsidRPr="00E72418">
        <w:t>ucun mécanisme de faillite ou s</w:t>
      </w:r>
      <w:r w:rsidR="00106710" w:rsidRPr="00E72418">
        <w:t xml:space="preserve">’y apparentant n’existe afin d’appréhender les </w:t>
      </w:r>
      <w:r w:rsidR="007C57EF" w:rsidRPr="00E72418">
        <w:t xml:space="preserve">difficultés </w:t>
      </w:r>
      <w:r w:rsidR="00106710" w:rsidRPr="00E72418">
        <w:t xml:space="preserve">rencontrées par des </w:t>
      </w:r>
      <w:r w:rsidR="00106710" w:rsidRPr="00E72418">
        <w:rPr>
          <w:lang w:eastAsia="fr-BE"/>
        </w:rPr>
        <w:t>É</w:t>
      </w:r>
      <w:r w:rsidR="00106710" w:rsidRPr="00E72418">
        <w:t xml:space="preserve">tats débiteurs </w:t>
      </w:r>
      <w:r w:rsidR="007C57EF" w:rsidRPr="00E72418">
        <w:t>à honorer leurs obligations financières</w:t>
      </w:r>
      <w:r w:rsidR="00106710" w:rsidRPr="00E72418">
        <w:t xml:space="preserve"> découlant de leur dette</w:t>
      </w:r>
      <w:r w:rsidR="007C57EF" w:rsidRPr="00E72418">
        <w:rPr>
          <w:rStyle w:val="Appelnotedebasdep"/>
        </w:rPr>
        <w:footnoteReference w:id="352"/>
      </w:r>
      <w:r w:rsidR="00106710" w:rsidRPr="00E72418">
        <w:t>. C</w:t>
      </w:r>
      <w:r w:rsidR="007C57EF" w:rsidRPr="00E72418">
        <w:t>ette absence de droit de la faillite d’</w:t>
      </w:r>
      <w:r w:rsidR="007C57EF" w:rsidRPr="00E72418">
        <w:rPr>
          <w:lang w:eastAsia="fr-BE"/>
        </w:rPr>
        <w:t>É</w:t>
      </w:r>
      <w:r w:rsidR="007C57EF" w:rsidRPr="00E72418">
        <w:t xml:space="preserve">tat et de juridictions </w:t>
      </w:r>
      <w:r w:rsidR="00106710" w:rsidRPr="00E72418">
        <w:t>amené</w:t>
      </w:r>
      <w:r w:rsidR="0060404E" w:rsidRPr="00E72418">
        <w:t>e</w:t>
      </w:r>
      <w:r w:rsidR="00106710" w:rsidRPr="00E72418">
        <w:t xml:space="preserve">s à l’appliquer rend </w:t>
      </w:r>
      <w:r w:rsidR="007C57EF" w:rsidRPr="00E72418">
        <w:t xml:space="preserve">les </w:t>
      </w:r>
      <w:r w:rsidR="007C57EF" w:rsidRPr="00E72418">
        <w:rPr>
          <w:lang w:eastAsia="fr-BE"/>
        </w:rPr>
        <w:t>É</w:t>
      </w:r>
      <w:r w:rsidR="007C57EF" w:rsidRPr="00E72418">
        <w:t>tats débiteurs « uniquely vulnerable »</w:t>
      </w:r>
      <w:r w:rsidR="007C57EF" w:rsidRPr="00E72418">
        <w:rPr>
          <w:rStyle w:val="Appelnotedebasdep"/>
        </w:rPr>
        <w:footnoteReference w:id="353"/>
      </w:r>
      <w:r w:rsidR="007C57EF" w:rsidRPr="00E72418">
        <w:t xml:space="preserve">. Les </w:t>
      </w:r>
      <w:r w:rsidR="007C57EF" w:rsidRPr="00E72418">
        <w:rPr>
          <w:lang w:eastAsia="fr-BE"/>
        </w:rPr>
        <w:t>É</w:t>
      </w:r>
      <w:r w:rsidR="007C57EF" w:rsidRPr="00E72418">
        <w:t>tats en situation financière difficile n’ont</w:t>
      </w:r>
      <w:r w:rsidR="00106710" w:rsidRPr="00E72418">
        <w:t xml:space="preserve">, en effet, </w:t>
      </w:r>
      <w:r w:rsidR="007C57EF" w:rsidRPr="00E72418">
        <w:t xml:space="preserve">d’autre choix que de s’engager dans des négociations avec leurs </w:t>
      </w:r>
      <w:r w:rsidR="00106710" w:rsidRPr="00E72418">
        <w:t>créanciers</w:t>
      </w:r>
      <w:r w:rsidR="007C57EF" w:rsidRPr="00E72418">
        <w:t xml:space="preserve"> dans l’espoir de trouver une solution</w:t>
      </w:r>
      <w:r w:rsidR="007C57EF" w:rsidRPr="00E72418">
        <w:rPr>
          <w:vertAlign w:val="superscript"/>
        </w:rPr>
        <w:footnoteReference w:id="354"/>
      </w:r>
      <w:r w:rsidR="007C57EF" w:rsidRPr="00E72418">
        <w:t>.</w:t>
      </w:r>
      <w:r w:rsidR="00B37BED" w:rsidRPr="00E72418">
        <w:t xml:space="preserve"> </w:t>
      </w:r>
      <w:r w:rsidR="00915173" w:rsidRPr="00E72418">
        <w:t xml:space="preserve">Joseph </w:t>
      </w:r>
      <w:r w:rsidR="00B37BED" w:rsidRPr="00E72418">
        <w:t xml:space="preserve">Stiglitz et </w:t>
      </w:r>
      <w:r w:rsidR="00915173" w:rsidRPr="00E72418">
        <w:t xml:space="preserve">Martin </w:t>
      </w:r>
      <w:r w:rsidR="00B37BED" w:rsidRPr="00E72418">
        <w:t>Guzman notent ainsi que « [t]he absence of a rule of law for debt restructuring […] can lead to chaos »</w:t>
      </w:r>
      <w:r w:rsidR="00B37BED" w:rsidRPr="00E72418">
        <w:rPr>
          <w:rStyle w:val="Appelnotedebasdep"/>
        </w:rPr>
        <w:footnoteReference w:id="355"/>
      </w:r>
      <w:r w:rsidR="00B37BED" w:rsidRPr="00E72418">
        <w:t>.</w:t>
      </w:r>
      <w:r w:rsidR="00066A46" w:rsidRPr="00E72418">
        <w:t xml:space="preserve"> Plus encore, l’éparpillement des négociations menées par l’</w:t>
      </w:r>
      <w:r w:rsidR="00730B63" w:rsidRPr="00E72418">
        <w:rPr>
          <w:rFonts w:ascii="Times New Roman" w:hAnsi="Times New Roman" w:cs="Times New Roman"/>
          <w:lang w:eastAsia="fr-BE"/>
        </w:rPr>
        <w:t>É</w:t>
      </w:r>
      <w:r w:rsidR="00066A46" w:rsidRPr="00E72418">
        <w:t>tat débiteur engagé dans la restructuration de sa dette est de nature à conduire à une perte d’efficience, à augmenter les risques de contentieux et à aboutir à un résultat sous-optimal</w:t>
      </w:r>
      <w:r w:rsidR="00066A46" w:rsidRPr="00E72418">
        <w:rPr>
          <w:rStyle w:val="Appelnotedebasdep"/>
        </w:rPr>
        <w:footnoteReference w:id="356"/>
      </w:r>
      <w:r w:rsidR="00066A46" w:rsidRPr="00E72418">
        <w:t xml:space="preserve">. </w:t>
      </w:r>
      <w:r w:rsidR="00851DCB" w:rsidRPr="00E72418">
        <w:t xml:space="preserve">En résumé, </w:t>
      </w:r>
      <w:r w:rsidR="00DC6288" w:rsidRPr="00E72418">
        <w:t>de l’avis du sénateur new-yorkais Gustavo Rivera, « </w:t>
      </w:r>
      <w:r w:rsidR="0078304D" w:rsidRPr="00E72418">
        <w:rPr>
          <w:szCs w:val="20"/>
          <w:lang w:val="en-US"/>
        </w:rPr>
        <w:t>[t]</w:t>
      </w:r>
      <w:r w:rsidR="00A57BD3" w:rsidRPr="00E72418">
        <w:t xml:space="preserve">he absence of a predictable, orderly, and rapid process for restructuring sovereign debt has created a </w:t>
      </w:r>
      <w:r w:rsidR="00A57BD3" w:rsidRPr="00E72418">
        <w:rPr>
          <w:szCs w:val="20"/>
        </w:rPr>
        <w:t>“</w:t>
      </w:r>
      <w:r w:rsidR="00A57BD3" w:rsidRPr="00E72418">
        <w:t>Wild Wild West</w:t>
      </w:r>
      <w:r w:rsidR="00A57BD3" w:rsidRPr="00E72418">
        <w:rPr>
          <w:szCs w:val="20"/>
        </w:rPr>
        <w:t>”</w:t>
      </w:r>
      <w:r w:rsidR="00A57BD3" w:rsidRPr="00E72418">
        <w:t xml:space="preserve"> system, hurting debtor nations, their citizens and their creditors, while also posing serious systemic threats to the international financial system</w:t>
      </w:r>
      <w:r w:rsidR="00A57BD3" w:rsidRPr="00E72418">
        <w:rPr>
          <w:lang w:val="nl-NL"/>
        </w:rPr>
        <w:t xml:space="preserve"> </w:t>
      </w:r>
      <w:r w:rsidR="00DC6288" w:rsidRPr="00E72418">
        <w:t>»</w:t>
      </w:r>
      <w:r w:rsidR="00DC6288" w:rsidRPr="00E72418">
        <w:rPr>
          <w:rStyle w:val="Appelnotedebasdep"/>
        </w:rPr>
        <w:footnoteReference w:id="357"/>
      </w:r>
      <w:r w:rsidR="00DC6288" w:rsidRPr="00E72418">
        <w:t>.</w:t>
      </w:r>
    </w:p>
    <w:p w14:paraId="6A0227F9" w14:textId="1AB6F4BA" w:rsidR="007C57EF" w:rsidRPr="00E72418" w:rsidRDefault="007C57EF" w:rsidP="00CC4BA8">
      <w:pPr>
        <w:spacing w:line="276" w:lineRule="auto"/>
      </w:pPr>
      <w:r w:rsidRPr="00E72418">
        <w:t>Les accords de restructuration ont ceci de complexe qu’ils ne sauraient être uniquement réduits à des accords financiers</w:t>
      </w:r>
      <w:r w:rsidRPr="00E72418">
        <w:rPr>
          <w:rStyle w:val="Appelnotedebasdep"/>
        </w:rPr>
        <w:footnoteReference w:id="358"/>
      </w:r>
      <w:r w:rsidRPr="00E72418">
        <w:t>. En effet, ils cristallisent un arbitrage devant être pratiqué entre, d’une part, les intérêts individuels des créanciers, d’autre part, l’intérêt général que l’</w:t>
      </w:r>
      <w:r w:rsidRPr="00E72418">
        <w:rPr>
          <w:lang w:eastAsia="fr-BE"/>
        </w:rPr>
        <w:t>É</w:t>
      </w:r>
      <w:r w:rsidRPr="00E72418">
        <w:t xml:space="preserve">tat </w:t>
      </w:r>
      <w:r w:rsidR="00106710" w:rsidRPr="00E72418">
        <w:lastRenderedPageBreak/>
        <w:t xml:space="preserve">souverain </w:t>
      </w:r>
      <w:r w:rsidRPr="00E72418">
        <w:t>a la mission d’assurer</w:t>
      </w:r>
      <w:r w:rsidRPr="00E72418">
        <w:rPr>
          <w:rStyle w:val="Appelnotedebasdep"/>
        </w:rPr>
        <w:footnoteReference w:id="359"/>
      </w:r>
      <w:r w:rsidRPr="00E72418">
        <w:t>. L’absence d’institutions en charge de procéder à cet arbitrage le rend complexe pour ses protagonistes</w:t>
      </w:r>
      <w:r w:rsidR="00AF7A18" w:rsidRPr="00E72418">
        <w:rPr>
          <w:rStyle w:val="Appelnotedebasdep"/>
        </w:rPr>
        <w:footnoteReference w:id="360"/>
      </w:r>
      <w:r w:rsidRPr="00E72418">
        <w:t>.</w:t>
      </w:r>
    </w:p>
    <w:p w14:paraId="6FC46614" w14:textId="77777777" w:rsidR="007C57EF" w:rsidRPr="00E72418" w:rsidRDefault="007C57EF" w:rsidP="00423B60"/>
    <w:p w14:paraId="5C8CF950" w14:textId="1D27A37F" w:rsidR="007C57EF" w:rsidRPr="00E72418" w:rsidRDefault="007E31CD" w:rsidP="00CC4BA8">
      <w:pPr>
        <w:spacing w:line="276" w:lineRule="auto"/>
      </w:pPr>
      <w:r w:rsidRPr="00E72418">
        <w:rPr>
          <w:b/>
        </w:rPr>
        <w:t xml:space="preserve">67. </w:t>
      </w:r>
      <w:r w:rsidR="007C57EF" w:rsidRPr="00E72418">
        <w:rPr>
          <w:b/>
        </w:rPr>
        <w:t>Le nombre important de créanciers et d’intérêts divergents –</w:t>
      </w:r>
      <w:r w:rsidR="007C57EF" w:rsidRPr="00E72418">
        <w:t xml:space="preserve"> La complexité des opérations de restructuration réside pour partie dans le nombre généralement fort important de créanciers concernés rendant l’interaction avec chacun d’entre eux peu aisée. Dès lors que la réussite d’une restructuration dépend de l</w:t>
      </w:r>
      <w:r w:rsidR="00117AD2" w:rsidRPr="00E72418">
        <w:t>a coopération et de l’accord de ceux-ci</w:t>
      </w:r>
      <w:r w:rsidR="007C57EF" w:rsidRPr="00E72418">
        <w:t xml:space="preserve">, leur dispersion </w:t>
      </w:r>
      <w:r w:rsidR="00117AD2" w:rsidRPr="00E72418">
        <w:t>complexifie</w:t>
      </w:r>
      <w:r w:rsidR="007C57EF" w:rsidRPr="00E72418">
        <w:t xml:space="preserve"> la recherche d’un accord</w:t>
      </w:r>
      <w:r w:rsidR="007C57EF" w:rsidRPr="00E72418">
        <w:rPr>
          <w:rStyle w:val="Appelnotedebasdep"/>
        </w:rPr>
        <w:footnoteReference w:id="361"/>
      </w:r>
      <w:r w:rsidR="009F579D" w:rsidRPr="00E72418">
        <w:t>. Aussi, la diversification des créanciers conduit à des coûts de coordination pouvant retarder les processus de restructuration</w:t>
      </w:r>
      <w:r w:rsidR="009F579D" w:rsidRPr="00E72418">
        <w:rPr>
          <w:rStyle w:val="Appelnotedebasdep"/>
        </w:rPr>
        <w:footnoteReference w:id="362"/>
      </w:r>
      <w:r w:rsidR="009F579D" w:rsidRPr="00E72418">
        <w:t xml:space="preserve">. </w:t>
      </w:r>
      <w:r w:rsidR="007C57EF" w:rsidRPr="00E72418">
        <w:t xml:space="preserve">Leur nombre est par ailleurs de nature à </w:t>
      </w:r>
      <w:r w:rsidR="00117AD2" w:rsidRPr="00E72418">
        <w:t xml:space="preserve">les </w:t>
      </w:r>
      <w:r w:rsidR="007C57EF" w:rsidRPr="00E72418">
        <w:t>transformer en spectateurs passifs de l’opération menée. Or, l’on sait que l’absence d’implication des créanciers dans l’élaboration de l’accord en compromet la conclusion</w:t>
      </w:r>
      <w:r w:rsidR="007C57EF" w:rsidRPr="00E72418">
        <w:rPr>
          <w:rStyle w:val="Appelnotedebasdep"/>
        </w:rPr>
        <w:footnoteReference w:id="363"/>
      </w:r>
      <w:r w:rsidR="007C57EF" w:rsidRPr="00E72418">
        <w:t>.</w:t>
      </w:r>
    </w:p>
    <w:p w14:paraId="27454935" w14:textId="77777777" w:rsidR="007C57EF" w:rsidRPr="00E72418" w:rsidRDefault="007C57EF" w:rsidP="00CC4BA8">
      <w:pPr>
        <w:spacing w:line="276" w:lineRule="auto"/>
      </w:pPr>
      <w:r w:rsidRPr="00E72418">
        <w:t>Outre le problème de l’interaction, les opérations de restructuration sont souvent rendues complexes par la variété des objectifs et intérêts des créanciers lesquel</w:t>
      </w:r>
      <w:r w:rsidR="00117AD2" w:rsidRPr="00E72418">
        <w:t>s ne sont pas coordonnés</w:t>
      </w:r>
      <w:r w:rsidRPr="00E72418">
        <w:rPr>
          <w:rStyle w:val="Appelnotedebasdep"/>
        </w:rPr>
        <w:footnoteReference w:id="364"/>
      </w:r>
      <w:r w:rsidRPr="00E72418">
        <w:t xml:space="preserve">. Ainsi, par exemple, là où les banques ayant un courant d’affaires avec les </w:t>
      </w:r>
      <w:r w:rsidRPr="00E72418">
        <w:rPr>
          <w:lang w:eastAsia="fr-BE"/>
        </w:rPr>
        <w:t>É</w:t>
      </w:r>
      <w:r w:rsidRPr="00E72418">
        <w:t xml:space="preserve">tats débiteurs </w:t>
      </w:r>
      <w:r w:rsidR="00117AD2" w:rsidRPr="00E72418">
        <w:t>seraient</w:t>
      </w:r>
      <w:r w:rsidRPr="00E72418">
        <w:t xml:space="preserve"> plus enclines à s’engager dans le processus de restructuration, il</w:t>
      </w:r>
      <w:r w:rsidR="00117AD2" w:rsidRPr="00E72418">
        <w:t xml:space="preserve"> n’en serait pas forcément de même</w:t>
      </w:r>
      <w:r w:rsidRPr="00E72418">
        <w:t xml:space="preserve"> pour de plus petits créanciers </w:t>
      </w:r>
      <w:r w:rsidR="00117AD2" w:rsidRPr="00E72418">
        <w:t>n’ayant</w:t>
      </w:r>
      <w:r w:rsidRPr="00E72418">
        <w:t xml:space="preserve"> pas de relations futures à préserver</w:t>
      </w:r>
      <w:r w:rsidRPr="00E72418">
        <w:rPr>
          <w:rStyle w:val="Appelnotedebasdep"/>
        </w:rPr>
        <w:footnoteReference w:id="365"/>
      </w:r>
      <w:r w:rsidRPr="00E72418">
        <w:t xml:space="preserve">. </w:t>
      </w:r>
    </w:p>
    <w:p w14:paraId="2816333F" w14:textId="076005C3" w:rsidR="007C57EF" w:rsidRPr="00E72418" w:rsidRDefault="00B5648D" w:rsidP="00CC4BA8">
      <w:pPr>
        <w:spacing w:line="276" w:lineRule="auto"/>
      </w:pPr>
      <w:r w:rsidRPr="00E72418">
        <w:t>À</w:t>
      </w:r>
      <w:r w:rsidR="007C57EF" w:rsidRPr="00E72418">
        <w:t xml:space="preserve"> côté du nombre important de créanciers dont il faut parvenir à accorder les intérêts</w:t>
      </w:r>
      <w:r w:rsidR="00117AD2" w:rsidRPr="00E72418">
        <w:t xml:space="preserve"> divergents</w:t>
      </w:r>
      <w:r w:rsidR="007C57EF" w:rsidRPr="00E72418">
        <w:t xml:space="preserve">, la nature variée des instruments juridiques à échanger ou à modifier participe à la complexité des opérations de restructuration. Ainsi, la dette d’un </w:t>
      </w:r>
      <w:r w:rsidR="007C57EF" w:rsidRPr="00E72418">
        <w:rPr>
          <w:lang w:eastAsia="fr-BE"/>
        </w:rPr>
        <w:t>É</w:t>
      </w:r>
      <w:r w:rsidR="007C57EF" w:rsidRPr="00E72418">
        <w:t>tat peut être libellée en différentes devises et être soumises à des régimes juridiques différents</w:t>
      </w:r>
      <w:r w:rsidR="007C57EF" w:rsidRPr="00E72418">
        <w:rPr>
          <w:rStyle w:val="Appelnotedebasdep"/>
        </w:rPr>
        <w:footnoteReference w:id="366"/>
      </w:r>
      <w:r w:rsidR="007C57EF" w:rsidRPr="00E72418">
        <w:t>.</w:t>
      </w:r>
      <w:r w:rsidR="00DA7E0E" w:rsidRPr="00E72418">
        <w:t xml:space="preserve"> Il est également souvent question </w:t>
      </w:r>
      <w:r w:rsidR="00DA7E0E" w:rsidRPr="00E72418">
        <w:lastRenderedPageBreak/>
        <w:t>d’une multitude de titres présentant des maturités très différentes pouvant aller de quelques mois à plusieurs décennies</w:t>
      </w:r>
      <w:r w:rsidR="00DA7E0E" w:rsidRPr="00E72418">
        <w:rPr>
          <w:rStyle w:val="Appelnotedebasdep"/>
        </w:rPr>
        <w:footnoteReference w:id="367"/>
      </w:r>
      <w:r w:rsidR="00DA7E0E" w:rsidRPr="00E72418">
        <w:t>.</w:t>
      </w:r>
    </w:p>
    <w:p w14:paraId="76B8CC2E" w14:textId="77777777" w:rsidR="007C57EF" w:rsidRPr="00E72418" w:rsidRDefault="007C57EF" w:rsidP="00423B60"/>
    <w:p w14:paraId="2A7DE7D0" w14:textId="071A11D7" w:rsidR="007C57EF" w:rsidRPr="00E72418" w:rsidRDefault="000764CE" w:rsidP="00CC4BA8">
      <w:pPr>
        <w:pStyle w:val="CC"/>
        <w:spacing w:line="276" w:lineRule="auto"/>
      </w:pPr>
      <w:bookmarkStart w:id="67" w:name="_Toc59280889"/>
      <w:bookmarkStart w:id="68" w:name="_Toc75106066"/>
      <w:bookmarkStart w:id="69" w:name="_Toc84540878"/>
      <w:r w:rsidRPr="00E72418">
        <w:t xml:space="preserve">Chapitre 3 : </w:t>
      </w:r>
      <w:r w:rsidR="007C57EF" w:rsidRPr="00E72418">
        <w:t>Quelques principes, règles et bonnes pratiques</w:t>
      </w:r>
      <w:bookmarkEnd w:id="67"/>
      <w:bookmarkEnd w:id="68"/>
      <w:bookmarkEnd w:id="69"/>
    </w:p>
    <w:p w14:paraId="3B32EE01" w14:textId="77777777" w:rsidR="007C57EF" w:rsidRPr="00E72418" w:rsidRDefault="007C57EF" w:rsidP="00423B60"/>
    <w:p w14:paraId="2BE1753B" w14:textId="439C8172" w:rsidR="007C57EF" w:rsidRPr="00E72418" w:rsidRDefault="007E31CD" w:rsidP="00CC4BA8">
      <w:pPr>
        <w:spacing w:line="276" w:lineRule="auto"/>
      </w:pPr>
      <w:r w:rsidRPr="00E72418">
        <w:rPr>
          <w:b/>
        </w:rPr>
        <w:t xml:space="preserve">68. </w:t>
      </w:r>
      <w:r w:rsidR="007C57EF" w:rsidRPr="00E72418">
        <w:rPr>
          <w:b/>
        </w:rPr>
        <w:t>L’intérêt d’un corpus de règle –</w:t>
      </w:r>
      <w:r w:rsidR="00835455" w:rsidRPr="00E72418">
        <w:t xml:space="preserve"> Les restructurations de</w:t>
      </w:r>
      <w:r w:rsidR="007C57EF" w:rsidRPr="00E72418">
        <w:t xml:space="preserve"> dettes souveraines ne </w:t>
      </w:r>
      <w:r w:rsidR="00835455" w:rsidRPr="00E72418">
        <w:t xml:space="preserve">s’inscrivant dans </w:t>
      </w:r>
      <w:r w:rsidR="007C57EF" w:rsidRPr="00E72418">
        <w:t xml:space="preserve">aucun cadre </w:t>
      </w:r>
      <w:r w:rsidR="004551B8" w:rsidRPr="00E72418">
        <w:t xml:space="preserve">pleinement contraignant </w:t>
      </w:r>
      <w:r w:rsidR="007C57EF" w:rsidRPr="00E72418">
        <w:t>et étant tributaires du bon vouloir et de l’accord des créanciers</w:t>
      </w:r>
      <w:r w:rsidR="00B03EE3" w:rsidRPr="00E72418">
        <w:rPr>
          <w:rStyle w:val="Appelnotedebasdep"/>
        </w:rPr>
        <w:footnoteReference w:id="368"/>
      </w:r>
      <w:r w:rsidR="007C57EF" w:rsidRPr="00E72418">
        <w:t xml:space="preserve">, l’on peut souhaiter l’adoption de règles visant à permettre </w:t>
      </w:r>
      <w:r w:rsidR="00835455" w:rsidRPr="00E72418">
        <w:t>leur ordonnancement</w:t>
      </w:r>
      <w:r w:rsidR="0082247A" w:rsidRPr="00E72418">
        <w:rPr>
          <w:rStyle w:val="Appelnotedebasdep"/>
        </w:rPr>
        <w:footnoteReference w:id="369"/>
      </w:r>
      <w:r w:rsidR="007C57EF" w:rsidRPr="00E72418">
        <w:t xml:space="preserve">. De telles règles permettraient de réduire, d’une part, les négociations </w:t>
      </w:r>
      <w:r w:rsidR="00835455" w:rsidRPr="00E72418">
        <w:t>im</w:t>
      </w:r>
      <w:r w:rsidR="007C57EF" w:rsidRPr="00E72418">
        <w:t>productives et les contentieux, d’autre part, les laps de temps durant lesquels l’</w:t>
      </w:r>
      <w:r w:rsidR="007C57EF" w:rsidRPr="00E72418">
        <w:rPr>
          <w:lang w:eastAsia="fr-BE"/>
        </w:rPr>
        <w:t>É</w:t>
      </w:r>
      <w:r w:rsidR="00835455" w:rsidRPr="00E72418">
        <w:t xml:space="preserve">tat étouffé par le poids de sa dette </w:t>
      </w:r>
      <w:r w:rsidR="007C57EF" w:rsidRPr="00E72418">
        <w:t>est incapable d</w:t>
      </w:r>
      <w:r w:rsidR="00835455" w:rsidRPr="00E72418">
        <w:t>e l</w:t>
      </w:r>
      <w:r w:rsidR="007C57EF" w:rsidRPr="00E72418">
        <w:t>’honorer de quelque façon</w:t>
      </w:r>
      <w:r w:rsidR="007C57EF" w:rsidRPr="00E72418">
        <w:rPr>
          <w:rStyle w:val="Appelnotedebasdep"/>
        </w:rPr>
        <w:footnoteReference w:id="370"/>
      </w:r>
      <w:r w:rsidR="007C57EF" w:rsidRPr="00E72418">
        <w:t>.</w:t>
      </w:r>
    </w:p>
    <w:p w14:paraId="035B1C3F" w14:textId="21A821F3" w:rsidR="007C57EF" w:rsidRPr="00E72418" w:rsidRDefault="007C57EF" w:rsidP="00CC4BA8">
      <w:pPr>
        <w:spacing w:line="276" w:lineRule="auto"/>
      </w:pPr>
      <w:r w:rsidRPr="00E72418">
        <w:t xml:space="preserve">Pour l’heure, chaque opération de restructuration étant particulière, </w:t>
      </w:r>
      <w:r w:rsidR="00835455" w:rsidRPr="00E72418">
        <w:t>il apparaît hasardeux d’avan</w:t>
      </w:r>
      <w:r w:rsidRPr="00E72418">
        <w:t>cer l’existence de règles coutumières qui contraindraient les parties</w:t>
      </w:r>
      <w:r w:rsidR="0041018E" w:rsidRPr="00E72418">
        <w:rPr>
          <w:rStyle w:val="Appelnotedebasdep"/>
        </w:rPr>
        <w:footnoteReference w:id="371"/>
      </w:r>
      <w:r w:rsidRPr="00E72418">
        <w:t xml:space="preserve">. Ceci est d’autant plus vrai qu’il n’existe </w:t>
      </w:r>
      <w:r w:rsidR="00835455" w:rsidRPr="00E72418">
        <w:t>ni</w:t>
      </w:r>
      <w:r w:rsidRPr="00E72418">
        <w:t xml:space="preserve"> forum unique pour les restructurations de la dette souveraine privée ni jurisprudence qui ferait autorité</w:t>
      </w:r>
      <w:r w:rsidRPr="00E72418">
        <w:rPr>
          <w:rStyle w:val="Appelnotedebasdep"/>
        </w:rPr>
        <w:footnoteReference w:id="372"/>
      </w:r>
      <w:r w:rsidRPr="00E72418">
        <w:t xml:space="preserve">. Si des règles coutumières </w:t>
      </w:r>
      <w:r w:rsidRPr="00E72418">
        <w:rPr>
          <w:i/>
        </w:rPr>
        <w:t>stricto sensu</w:t>
      </w:r>
      <w:r w:rsidR="000B5A26" w:rsidRPr="00E72418">
        <w:t xml:space="preserve"> font défaut, </w:t>
      </w:r>
      <w:r w:rsidRPr="00E72418">
        <w:t>des principes, r</w:t>
      </w:r>
      <w:r w:rsidR="00835455" w:rsidRPr="00E72418">
        <w:t xml:space="preserve">ègles et bonnes pratiques </w:t>
      </w:r>
      <w:r w:rsidR="000B5A26" w:rsidRPr="00E72418">
        <w:t xml:space="preserve">sont toutefois </w:t>
      </w:r>
      <w:r w:rsidR="00835455" w:rsidRPr="00E72418">
        <w:t>admi</w:t>
      </w:r>
      <w:r w:rsidRPr="00E72418">
        <w:t>s</w:t>
      </w:r>
      <w:r w:rsidRPr="00E72418">
        <w:rPr>
          <w:rStyle w:val="Appelnotedebasdep"/>
        </w:rPr>
        <w:footnoteReference w:id="373"/>
      </w:r>
      <w:r w:rsidRPr="00E72418">
        <w:t>.</w:t>
      </w:r>
    </w:p>
    <w:p w14:paraId="59575F1F" w14:textId="77777777" w:rsidR="007C57EF" w:rsidRPr="00E72418" w:rsidRDefault="007C57EF" w:rsidP="00423B60"/>
    <w:p w14:paraId="07E917FC" w14:textId="59AD1EA6" w:rsidR="000B5A26" w:rsidRPr="00E72418" w:rsidRDefault="007E31CD" w:rsidP="00CC4BA8">
      <w:pPr>
        <w:spacing w:line="276" w:lineRule="auto"/>
      </w:pPr>
      <w:r w:rsidRPr="00E72418">
        <w:rPr>
          <w:b/>
        </w:rPr>
        <w:t xml:space="preserve">69. </w:t>
      </w:r>
      <w:r w:rsidR="007C57EF" w:rsidRPr="00E72418">
        <w:rPr>
          <w:b/>
        </w:rPr>
        <w:t xml:space="preserve">La nature volontaire de la restructuration – </w:t>
      </w:r>
      <w:r w:rsidR="000B5A26" w:rsidRPr="00E72418">
        <w:t>L’on</w:t>
      </w:r>
      <w:r w:rsidR="007C57EF" w:rsidRPr="00E72418">
        <w:t xml:space="preserve"> </w:t>
      </w:r>
      <w:r w:rsidR="000B5A26" w:rsidRPr="00E72418">
        <w:t xml:space="preserve">retient </w:t>
      </w:r>
      <w:r w:rsidR="007C57EF" w:rsidRPr="00E72418">
        <w:t xml:space="preserve">généralement que l’initiative de l’opération de restructuration peut </w:t>
      </w:r>
      <w:r w:rsidR="000B5A26" w:rsidRPr="00E72418">
        <w:t>uniquement être prise</w:t>
      </w:r>
      <w:r w:rsidR="007C57EF" w:rsidRPr="00E72418">
        <w:t xml:space="preserve"> </w:t>
      </w:r>
      <w:r w:rsidR="000B5A26" w:rsidRPr="00E72418">
        <w:t xml:space="preserve">par </w:t>
      </w:r>
      <w:r w:rsidR="007C57EF" w:rsidRPr="00E72418">
        <w:t>l’</w:t>
      </w:r>
      <w:r w:rsidR="007C57EF" w:rsidRPr="00E72418">
        <w:rPr>
          <w:lang w:eastAsia="fr-BE"/>
        </w:rPr>
        <w:t>É</w:t>
      </w:r>
      <w:r w:rsidR="007C57EF" w:rsidRPr="00E72418">
        <w:t>tat débiteur dès lors qu</w:t>
      </w:r>
      <w:r w:rsidR="000B5A26" w:rsidRPr="00E72418">
        <w:t>e, sa souveraineté étant en jeu,</w:t>
      </w:r>
      <w:r w:rsidR="009E72E5">
        <w:t xml:space="preserve"> aucun acteur n’est à même de</w:t>
      </w:r>
      <w:r w:rsidR="007C57EF" w:rsidRPr="00E72418">
        <w:t xml:space="preserve"> lui dicter cette conduite</w:t>
      </w:r>
      <w:r w:rsidR="007C57EF" w:rsidRPr="00E72418">
        <w:rPr>
          <w:rStyle w:val="Appelnotedebasdep"/>
        </w:rPr>
        <w:footnoteReference w:id="374"/>
      </w:r>
      <w:r w:rsidR="000B5A26" w:rsidRPr="00E72418">
        <w:t xml:space="preserve">. Par contre, </w:t>
      </w:r>
      <w:r w:rsidR="000B5A26" w:rsidRPr="00E72418">
        <w:lastRenderedPageBreak/>
        <w:t>la restructuration en tant que telle conduisant</w:t>
      </w:r>
      <w:r w:rsidR="007C57EF" w:rsidRPr="00E72418">
        <w:t xml:space="preserve"> au renouvellement du cadre juridique régissant la relation de dette requiert </w:t>
      </w:r>
      <w:r w:rsidR="000B5A26" w:rsidRPr="00E72418">
        <w:t>quant à elle</w:t>
      </w:r>
      <w:r w:rsidR="007C57EF" w:rsidRPr="00E72418">
        <w:t xml:space="preserve"> l’accord tant du débiteur que de ses créanciers</w:t>
      </w:r>
      <w:r w:rsidR="007C57EF" w:rsidRPr="00E72418">
        <w:rPr>
          <w:rStyle w:val="Appelnotedebasdep"/>
        </w:rPr>
        <w:footnoteReference w:id="375"/>
      </w:r>
      <w:r w:rsidR="007C57EF" w:rsidRPr="00E72418">
        <w:t xml:space="preserve">. </w:t>
      </w:r>
    </w:p>
    <w:p w14:paraId="1449CB5B" w14:textId="77777777" w:rsidR="007C57EF" w:rsidRPr="00E72418" w:rsidRDefault="007C57EF" w:rsidP="00CC4BA8">
      <w:pPr>
        <w:spacing w:line="276" w:lineRule="auto"/>
      </w:pPr>
      <w:r w:rsidRPr="00E72418">
        <w:t>Les opérati</w:t>
      </w:r>
      <w:r w:rsidR="000B5A26" w:rsidRPr="00E72418">
        <w:t>ons de restructuration ne reposa</w:t>
      </w:r>
      <w:r w:rsidRPr="00E72418">
        <w:t>nt sur aucune cadre conventionnel particulier</w:t>
      </w:r>
      <w:r w:rsidR="000B5A26" w:rsidRPr="00E72418">
        <w:t>, elles</w:t>
      </w:r>
      <w:r w:rsidRPr="00E72418">
        <w:t xml:space="preserve"> procèdent des seuls contrats et de la pratique contractuelle</w:t>
      </w:r>
      <w:r w:rsidRPr="00E72418">
        <w:rPr>
          <w:rStyle w:val="Appelnotedebasdep"/>
        </w:rPr>
        <w:footnoteReference w:id="376"/>
      </w:r>
      <w:r w:rsidRPr="00E72418">
        <w:t xml:space="preserve">. Les créanciers ne sont par conséquent pas contraints d’accepter les modifications </w:t>
      </w:r>
      <w:r w:rsidR="000B5A26" w:rsidRPr="00E72418">
        <w:t>envisagées</w:t>
      </w:r>
      <w:r w:rsidRPr="00E72418">
        <w:t xml:space="preserve"> des contrats dont ils sont titulaires</w:t>
      </w:r>
      <w:r w:rsidRPr="00E72418">
        <w:rPr>
          <w:rStyle w:val="Appelnotedebasdep"/>
        </w:rPr>
        <w:footnoteReference w:id="377"/>
      </w:r>
      <w:r w:rsidRPr="00E72418">
        <w:t xml:space="preserve">. </w:t>
      </w:r>
      <w:r w:rsidR="000B5A26" w:rsidRPr="00E72418">
        <w:t xml:space="preserve">Ils peuvent décider de ne pas </w:t>
      </w:r>
      <w:r w:rsidRPr="00E72418">
        <w:t xml:space="preserve">participer </w:t>
      </w:r>
      <w:r w:rsidR="000B5A26" w:rsidRPr="00E72418">
        <w:t>à la restructuration en adoptant</w:t>
      </w:r>
      <w:r w:rsidRPr="00E72418">
        <w:t xml:space="preserve"> une posture de refus éventuellement suivie de poursuites judiciaires lancées contre le débiteur</w:t>
      </w:r>
      <w:r w:rsidRPr="00E72418">
        <w:rPr>
          <w:rStyle w:val="Appelnotedebasdep"/>
        </w:rPr>
        <w:footnoteReference w:id="378"/>
      </w:r>
      <w:r w:rsidRPr="00E72418">
        <w:t xml:space="preserve">. </w:t>
      </w:r>
    </w:p>
    <w:p w14:paraId="6E0B2D5C" w14:textId="6CA5CDE1" w:rsidR="007C57EF" w:rsidRPr="00E72418" w:rsidRDefault="00F04CA0" w:rsidP="00CC4BA8">
      <w:pPr>
        <w:spacing w:line="276" w:lineRule="auto"/>
      </w:pPr>
      <w:r w:rsidRPr="00E72418">
        <w:t>U</w:t>
      </w:r>
      <w:r w:rsidR="007C57EF" w:rsidRPr="00E72418">
        <w:t xml:space="preserve">ne restructuration à laquelle ont accepté de participer </w:t>
      </w:r>
      <w:r w:rsidRPr="00E72418">
        <w:t>nonante</w:t>
      </w:r>
      <w:r w:rsidR="007C57EF" w:rsidRPr="00E72418">
        <w:t xml:space="preserve"> pour</w:t>
      </w:r>
      <w:r w:rsidR="00235356" w:rsidRPr="00E72418">
        <w:t xml:space="preserve"> cent</w:t>
      </w:r>
      <w:r w:rsidR="007C57EF" w:rsidRPr="00E72418">
        <w:t xml:space="preserve"> des créanciers ou plus</w:t>
      </w:r>
      <w:r w:rsidRPr="00E72418">
        <w:t xml:space="preserve"> est jugée réussie</w:t>
      </w:r>
      <w:r w:rsidR="007C57EF" w:rsidRPr="00E72418">
        <w:rPr>
          <w:rStyle w:val="Appelnotedebasdep"/>
        </w:rPr>
        <w:footnoteReference w:id="379"/>
      </w:r>
      <w:r w:rsidR="007C57EF" w:rsidRPr="00E72418">
        <w:t xml:space="preserve">. </w:t>
      </w:r>
      <w:r w:rsidRPr="00E72418">
        <w:t>En pratique</w:t>
      </w:r>
      <w:r w:rsidR="007C57EF" w:rsidRPr="00E72418">
        <w:t>, l</w:t>
      </w:r>
      <w:r w:rsidR="007C57EF" w:rsidRPr="00E72418">
        <w:rPr>
          <w:rFonts w:cs="Times New Roman"/>
          <w:szCs w:val="24"/>
        </w:rPr>
        <w:t>a plupart des restructurations de dettes souveraines se déroule</w:t>
      </w:r>
      <w:r w:rsidR="006943B0" w:rsidRPr="00E72418">
        <w:rPr>
          <w:rFonts w:cs="Times New Roman"/>
          <w:szCs w:val="24"/>
        </w:rPr>
        <w:t>nt</w:t>
      </w:r>
      <w:r w:rsidR="007C57EF" w:rsidRPr="00E72418">
        <w:rPr>
          <w:rFonts w:cs="Times New Roman"/>
          <w:szCs w:val="24"/>
        </w:rPr>
        <w:t xml:space="preserve"> sans importante difficulté, l</w:t>
      </w:r>
      <w:r w:rsidR="007C57EF" w:rsidRPr="00E72418">
        <w:t>a grande majorité des créanciers y participant</w:t>
      </w:r>
      <w:r w:rsidR="007C57EF" w:rsidRPr="00E72418">
        <w:rPr>
          <w:rStyle w:val="Appelnotedebasdep"/>
        </w:rPr>
        <w:footnoteReference w:id="380"/>
      </w:r>
      <w:r w:rsidR="00B95B4F" w:rsidRPr="00E72418">
        <w:rPr>
          <w:vertAlign w:val="superscript"/>
        </w:rPr>
        <w:t>,</w:t>
      </w:r>
      <w:r w:rsidR="007C57EF" w:rsidRPr="00E72418">
        <w:rPr>
          <w:rStyle w:val="Appelnotedebasdep"/>
        </w:rPr>
        <w:footnoteReference w:id="381"/>
      </w:r>
      <w:r w:rsidR="007C57EF" w:rsidRPr="00E72418">
        <w:t>. Cette large participation des créanciers s’explique pour partie par les difficultés qu’auront à surmonter les créanciers récalcitrants</w:t>
      </w:r>
      <w:r w:rsidR="007C57EF" w:rsidRPr="00E72418">
        <w:rPr>
          <w:rStyle w:val="Appelnotedebasdep"/>
        </w:rPr>
        <w:footnoteReference w:id="382"/>
      </w:r>
      <w:r w:rsidR="007C57EF" w:rsidRPr="00E72418">
        <w:t>.</w:t>
      </w:r>
    </w:p>
    <w:p w14:paraId="3DD81151" w14:textId="1432F81B" w:rsidR="007C57EF" w:rsidRPr="00E72418" w:rsidRDefault="007C57EF" w:rsidP="00CC4BA8">
      <w:pPr>
        <w:spacing w:line="276" w:lineRule="auto"/>
      </w:pPr>
      <w:r w:rsidRPr="00E72418">
        <w:t xml:space="preserve">Les échanges pratiqués </w:t>
      </w:r>
      <w:r w:rsidR="009B57FE" w:rsidRPr="00E72418">
        <w:t>au travers d</w:t>
      </w:r>
      <w:r w:rsidRPr="00E72418">
        <w:t xml:space="preserve">es restructurations impliquent généralement une perte </w:t>
      </w:r>
      <w:r w:rsidR="009B57FE" w:rsidRPr="00E72418">
        <w:t xml:space="preserve">financière </w:t>
      </w:r>
      <w:r w:rsidRPr="00E72418">
        <w:t xml:space="preserve">pour les créanciers. </w:t>
      </w:r>
      <w:r w:rsidR="009B57FE" w:rsidRPr="00E72418">
        <w:t>Il est constant que l</w:t>
      </w:r>
      <w:r w:rsidRPr="00E72418">
        <w:t xml:space="preserve">es termes des nouveaux titres ou </w:t>
      </w:r>
      <w:r w:rsidR="009B57FE" w:rsidRPr="00E72418">
        <w:t xml:space="preserve">ceux </w:t>
      </w:r>
      <w:r w:rsidRPr="00E72418">
        <w:t>des anciens titres modifiés conduisent à des conditions de remboursement moins avantageuses</w:t>
      </w:r>
      <w:r w:rsidRPr="00E72418">
        <w:rPr>
          <w:rStyle w:val="Appelnotedebasdep"/>
        </w:rPr>
        <w:footnoteReference w:id="383"/>
      </w:r>
      <w:r w:rsidRPr="00E72418">
        <w:t>.</w:t>
      </w:r>
      <w:r w:rsidR="00967C5D" w:rsidRPr="00E72418">
        <w:t xml:space="preserve"> </w:t>
      </w:r>
      <w:r w:rsidR="00967C5D" w:rsidRPr="00E72418">
        <w:rPr>
          <w:szCs w:val="20"/>
        </w:rPr>
        <w:t xml:space="preserve">Ayant travaillé sur l’ensemble des restructurations de dettes souveraines impliquant des banques étrangères et des porteurs d’obligations intervenues entre 1970 et 2010, </w:t>
      </w:r>
      <w:r w:rsidR="005E2676" w:rsidRPr="00E72418">
        <w:rPr>
          <w:szCs w:val="20"/>
        </w:rPr>
        <w:t xml:space="preserve">Juan </w:t>
      </w:r>
      <w:r w:rsidR="00967C5D" w:rsidRPr="00E72418">
        <w:rPr>
          <w:szCs w:val="20"/>
        </w:rPr>
        <w:t xml:space="preserve">Cruces et </w:t>
      </w:r>
      <w:r w:rsidR="005E2676" w:rsidRPr="00E72418">
        <w:rPr>
          <w:szCs w:val="20"/>
        </w:rPr>
        <w:t xml:space="preserve">Christoph </w:t>
      </w:r>
      <w:r w:rsidR="00967C5D" w:rsidRPr="00E72418">
        <w:rPr>
          <w:szCs w:val="20"/>
        </w:rPr>
        <w:t>Trebesch ont calculé que la décote moyenne est de trente-sept pour cent.</w:t>
      </w:r>
      <w:r w:rsidRPr="00E72418">
        <w:t xml:space="preserve"> La détermination par les créanciers de la décote acceptable varie en fonction d’éléments fa</w:t>
      </w:r>
      <w:r w:rsidR="009B57FE" w:rsidRPr="00E72418">
        <w:t xml:space="preserve">ctuels tels que l’importance du </w:t>
      </w:r>
      <w:r w:rsidRPr="00E72418">
        <w:t xml:space="preserve">débiteur, le montant de la dette concernée ou encore les perspectives </w:t>
      </w:r>
      <w:r w:rsidRPr="00E72418">
        <w:lastRenderedPageBreak/>
        <w:t>de redémarrage ou de recouvrement</w:t>
      </w:r>
      <w:r w:rsidRPr="00E72418">
        <w:rPr>
          <w:rStyle w:val="Appelnotedebasdep"/>
        </w:rPr>
        <w:footnoteReference w:id="384"/>
      </w:r>
      <w:r w:rsidR="009B57FE" w:rsidRPr="00E72418">
        <w:t>. Lorsque les créanciers jugent au regard de la capacité financière de l’</w:t>
      </w:r>
      <w:r w:rsidR="009B57FE" w:rsidRPr="00E72418">
        <w:rPr>
          <w:lang w:eastAsia="fr-BE"/>
        </w:rPr>
        <w:t>É</w:t>
      </w:r>
      <w:r w:rsidR="009B57FE" w:rsidRPr="00E72418">
        <w:t>tat débiteur</w:t>
      </w:r>
      <w:r w:rsidRPr="00E72418">
        <w:t xml:space="preserve"> </w:t>
      </w:r>
      <w:r w:rsidR="009B57FE" w:rsidRPr="00E72418">
        <w:t xml:space="preserve">que </w:t>
      </w:r>
      <w:r w:rsidRPr="00E72418">
        <w:t xml:space="preserve">le coût de la restructuration </w:t>
      </w:r>
      <w:r w:rsidR="009B57FE" w:rsidRPr="00E72418">
        <w:t>est</w:t>
      </w:r>
      <w:r w:rsidRPr="00E72418">
        <w:t xml:space="preserve"> </w:t>
      </w:r>
      <w:r w:rsidR="009B57FE" w:rsidRPr="00E72418">
        <w:t>trop élevé, celle-ci échouera</w:t>
      </w:r>
      <w:r w:rsidRPr="00E72418">
        <w:rPr>
          <w:rStyle w:val="Appelnotedebasdep"/>
        </w:rPr>
        <w:footnoteReference w:id="385"/>
      </w:r>
      <w:r w:rsidRPr="00E72418">
        <w:t>.</w:t>
      </w:r>
    </w:p>
    <w:p w14:paraId="251D23AC" w14:textId="77777777" w:rsidR="007C57EF" w:rsidRPr="00E72418" w:rsidRDefault="007C57EF" w:rsidP="00423B60"/>
    <w:p w14:paraId="69EE4FC1" w14:textId="5784F210" w:rsidR="009B57FE"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 xml:space="preserve">70. </w:t>
      </w:r>
      <w:r w:rsidR="007C57EF" w:rsidRPr="00E72418">
        <w:rPr>
          <w:rFonts w:ascii="Times New Roman" w:hAnsi="Times New Roman" w:cs="Times New Roman"/>
          <w:b/>
        </w:rPr>
        <w:t xml:space="preserve">La rapidité – </w:t>
      </w:r>
      <w:r w:rsidR="007C57EF" w:rsidRPr="00E72418">
        <w:rPr>
          <w:rFonts w:ascii="Times New Roman" w:hAnsi="Times New Roman" w:cs="Times New Roman"/>
        </w:rPr>
        <w:t>La Conférence des Nations Unies sur le commerce et le développement a formulé en janvier 2012 différents principes pour l’octroi de prêts et la souscription d’emprunts souverains responsables</w:t>
      </w:r>
      <w:r w:rsidR="007C57EF" w:rsidRPr="00E72418">
        <w:rPr>
          <w:rStyle w:val="Appelnotedebasdep"/>
          <w:rFonts w:ascii="Times New Roman" w:hAnsi="Times New Roman" w:cs="Times New Roman"/>
        </w:rPr>
        <w:footnoteReference w:id="386"/>
      </w:r>
      <w:r w:rsidR="007C57EF" w:rsidRPr="00E72418">
        <w:rPr>
          <w:rFonts w:ascii="Times New Roman" w:hAnsi="Times New Roman" w:cs="Times New Roman"/>
        </w:rPr>
        <w:t xml:space="preserve">. Le quinzième principe posé est que </w:t>
      </w:r>
      <w:r w:rsidR="00F54E31" w:rsidRPr="00E72418">
        <w:rPr>
          <w:rFonts w:ascii="Times New Roman" w:hAnsi="Times New Roman" w:cs="Times New Roman"/>
        </w:rPr>
        <w:t>« s</w:t>
      </w:r>
      <w:r w:rsidR="00F54E31" w:rsidRPr="00E72418">
        <w:rPr>
          <w:rFonts w:ascii="Times New Roman" w:hAnsi="Times New Roman" w:cs="Times New Roman"/>
          <w:bCs/>
        </w:rPr>
        <w:t>i une restructuration des engagements de dette souveraine devenait inévitable, elle devrait être entreprise promptement, efficacement et équitablement »</w:t>
      </w:r>
      <w:r w:rsidR="007C57EF" w:rsidRPr="00E72418">
        <w:rPr>
          <w:rFonts w:ascii="Times New Roman" w:hAnsi="Times New Roman" w:cs="Times New Roman"/>
        </w:rPr>
        <w:t xml:space="preserve">. </w:t>
      </w:r>
    </w:p>
    <w:p w14:paraId="767689E2" w14:textId="23AF9DEE"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 xml:space="preserve">Lorsqu’un </w:t>
      </w:r>
      <w:r w:rsidRPr="00E72418">
        <w:rPr>
          <w:rFonts w:ascii="Times New Roman" w:hAnsi="Times New Roman" w:cs="Times New Roman"/>
          <w:lang w:eastAsia="fr-BE"/>
        </w:rPr>
        <w:t>É</w:t>
      </w:r>
      <w:r w:rsidRPr="00E72418">
        <w:rPr>
          <w:rFonts w:ascii="Times New Roman" w:hAnsi="Times New Roman" w:cs="Times New Roman"/>
        </w:rPr>
        <w:t xml:space="preserve">tat </w:t>
      </w:r>
      <w:r w:rsidR="009B57FE" w:rsidRPr="00E72418">
        <w:rPr>
          <w:rFonts w:ascii="Times New Roman" w:hAnsi="Times New Roman" w:cs="Times New Roman"/>
        </w:rPr>
        <w:t>se trouve dans l’</w:t>
      </w:r>
      <w:r w:rsidRPr="00E72418">
        <w:rPr>
          <w:rFonts w:ascii="Times New Roman" w:hAnsi="Times New Roman" w:cs="Times New Roman"/>
        </w:rPr>
        <w:t>impossibilité de rembourser sa dette</w:t>
      </w:r>
      <w:r w:rsidR="009B57FE" w:rsidRPr="00E72418">
        <w:rPr>
          <w:rFonts w:ascii="Times New Roman" w:hAnsi="Times New Roman" w:cs="Times New Roman"/>
        </w:rPr>
        <w:t xml:space="preserve"> selon ses termes originaux</w:t>
      </w:r>
      <w:r w:rsidRPr="00E72418">
        <w:rPr>
          <w:rFonts w:ascii="Times New Roman" w:hAnsi="Times New Roman" w:cs="Times New Roman"/>
        </w:rPr>
        <w:t>, il est souhaitable qu’il parvienne à une solution rapide et consensuelle avec ses créanciers lui permettant de revenir sur les marchés financiers et de souffrir d’un minimum de difficultés</w:t>
      </w:r>
      <w:r w:rsidRPr="00E72418">
        <w:rPr>
          <w:rStyle w:val="Appelnotedebasdep"/>
          <w:rFonts w:ascii="Times New Roman" w:hAnsi="Times New Roman" w:cs="Times New Roman"/>
        </w:rPr>
        <w:footnoteReference w:id="387"/>
      </w:r>
      <w:r w:rsidRPr="00E72418">
        <w:rPr>
          <w:rFonts w:ascii="Times New Roman" w:hAnsi="Times New Roman" w:cs="Times New Roman"/>
        </w:rPr>
        <w:t>. Dès lors que la restructuration de la dette devient inévitable, la priorité du gouvernement débiteur doit être d’agir aussi vite que possible</w:t>
      </w:r>
      <w:r w:rsidRPr="00E72418">
        <w:rPr>
          <w:rStyle w:val="Appelnotedebasdep"/>
          <w:rFonts w:ascii="Times New Roman" w:hAnsi="Times New Roman" w:cs="Times New Roman"/>
          <w:szCs w:val="24"/>
        </w:rPr>
        <w:footnoteReference w:id="388"/>
      </w:r>
      <w:r w:rsidRPr="00E72418">
        <w:rPr>
          <w:rFonts w:ascii="Times New Roman" w:hAnsi="Times New Roman" w:cs="Times New Roman"/>
          <w:szCs w:val="24"/>
        </w:rPr>
        <w:t xml:space="preserve">. </w:t>
      </w:r>
      <w:r w:rsidR="00346522" w:rsidRPr="00E72418">
        <w:rPr>
          <w:rFonts w:ascii="Times New Roman" w:hAnsi="Times New Roman" w:cs="Times New Roman"/>
        </w:rPr>
        <w:t>Cette</w:t>
      </w:r>
      <w:r w:rsidRPr="00E72418">
        <w:rPr>
          <w:rFonts w:ascii="Times New Roman" w:hAnsi="Times New Roman" w:cs="Times New Roman"/>
        </w:rPr>
        <w:t xml:space="preserve"> rapidité est essentielle en ce qu’il a été démontré qu’au plus le débiteur tarde à négocier avec ses créanciers, au moins il est probable qu’il parvienne à un accord avec l’ensemble de ces derniers</w:t>
      </w:r>
      <w:r w:rsidR="00346522" w:rsidRPr="00E72418">
        <w:rPr>
          <w:rStyle w:val="Appelnotedebasdep"/>
          <w:rFonts w:ascii="Times New Roman" w:hAnsi="Times New Roman" w:cs="Times New Roman"/>
        </w:rPr>
        <w:footnoteReference w:id="389"/>
      </w:r>
      <w:r w:rsidR="00346522" w:rsidRPr="00E72418">
        <w:rPr>
          <w:rFonts w:ascii="Times New Roman" w:hAnsi="Times New Roman" w:cs="Times New Roman"/>
        </w:rPr>
        <w:t>. Ceux-ci</w:t>
      </w:r>
      <w:r w:rsidRPr="00E72418">
        <w:rPr>
          <w:rFonts w:ascii="Times New Roman" w:hAnsi="Times New Roman" w:cs="Times New Roman"/>
        </w:rPr>
        <w:t xml:space="preserve"> seront, par ailleurs, plus enclins à accepter de larges décotes au moment où la situation financière du débiteur est la plus difficile</w:t>
      </w:r>
      <w:r w:rsidRPr="00E72418">
        <w:rPr>
          <w:rStyle w:val="Appelnotedebasdep"/>
          <w:rFonts w:ascii="Times New Roman" w:hAnsi="Times New Roman" w:cs="Times New Roman"/>
        </w:rPr>
        <w:footnoteReference w:id="390"/>
      </w:r>
      <w:r w:rsidR="006C28B7" w:rsidRPr="00E72418">
        <w:rPr>
          <w:rFonts w:ascii="Times New Roman" w:hAnsi="Times New Roman" w:cs="Times New Roman"/>
          <w:vertAlign w:val="superscript"/>
        </w:rPr>
        <w:t>,</w:t>
      </w:r>
      <w:r w:rsidRPr="00E72418">
        <w:rPr>
          <w:rStyle w:val="Appelnotedebasdep"/>
          <w:rFonts w:ascii="Times New Roman" w:hAnsi="Times New Roman" w:cs="Times New Roman"/>
        </w:rPr>
        <w:footnoteReference w:id="391"/>
      </w:r>
      <w:r w:rsidRPr="00E72418">
        <w:rPr>
          <w:rFonts w:ascii="Times New Roman" w:hAnsi="Times New Roman" w:cs="Times New Roman"/>
        </w:rPr>
        <w:t>.</w:t>
      </w:r>
    </w:p>
    <w:p w14:paraId="1DFC2FC1" w14:textId="7684F419"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t>Si l’on comprend intuitivement qu’il importe que les opérations de restructuration dé</w:t>
      </w:r>
      <w:r w:rsidR="00765A3A" w:rsidRPr="00E72418">
        <w:rPr>
          <w:rFonts w:ascii="Times New Roman" w:hAnsi="Times New Roman" w:cs="Times New Roman"/>
        </w:rPr>
        <w:t>but</w:t>
      </w:r>
      <w:r w:rsidRPr="00E72418">
        <w:rPr>
          <w:rFonts w:ascii="Times New Roman" w:hAnsi="Times New Roman" w:cs="Times New Roman"/>
        </w:rPr>
        <w:t xml:space="preserve">ent et se déroulent rapidement quand les choses vont mal, </w:t>
      </w:r>
      <w:r w:rsidRPr="00E72418">
        <w:rPr>
          <w:rFonts w:ascii="Times New Roman" w:hAnsi="Times New Roman" w:cs="Times New Roman"/>
          <w:szCs w:val="24"/>
        </w:rPr>
        <w:t xml:space="preserve">il échet toutefois de relever qu’en pratique les </w:t>
      </w:r>
      <w:r w:rsidRPr="00E72418">
        <w:rPr>
          <w:rFonts w:ascii="Times New Roman" w:hAnsi="Times New Roman" w:cs="Times New Roman"/>
          <w:lang w:eastAsia="fr-BE"/>
        </w:rPr>
        <w:t>É</w:t>
      </w:r>
      <w:r w:rsidRPr="00E72418">
        <w:rPr>
          <w:rFonts w:ascii="Times New Roman" w:hAnsi="Times New Roman" w:cs="Times New Roman"/>
          <w:szCs w:val="24"/>
        </w:rPr>
        <w:t>tats ont tendance à retarder dans le temps la</w:t>
      </w:r>
      <w:r w:rsidR="0033545A" w:rsidRPr="00E72418">
        <w:rPr>
          <w:rFonts w:ascii="Times New Roman" w:hAnsi="Times New Roman" w:cs="Times New Roman"/>
          <w:szCs w:val="24"/>
        </w:rPr>
        <w:t xml:space="preserve"> déclaration d’un défaut </w:t>
      </w:r>
      <w:r w:rsidRPr="00E72418">
        <w:rPr>
          <w:rFonts w:ascii="Times New Roman" w:hAnsi="Times New Roman" w:cs="Times New Roman"/>
          <w:szCs w:val="24"/>
        </w:rPr>
        <w:t>par crainte de l’aléa</w:t>
      </w:r>
      <w:r w:rsidR="00B37F5E" w:rsidRPr="00E72418">
        <w:rPr>
          <w:rFonts w:ascii="Times New Roman" w:hAnsi="Times New Roman" w:cs="Times New Roman"/>
          <w:szCs w:val="24"/>
        </w:rPr>
        <w:t xml:space="preserve"> qu’il comporte. Les </w:t>
      </w:r>
      <w:r w:rsidRPr="00E72418">
        <w:rPr>
          <w:rFonts w:ascii="Times New Roman" w:hAnsi="Times New Roman" w:cs="Times New Roman"/>
          <w:lang w:eastAsia="fr-BE"/>
        </w:rPr>
        <w:t>É</w:t>
      </w:r>
      <w:r w:rsidRPr="00E72418">
        <w:rPr>
          <w:rFonts w:ascii="Times New Roman" w:hAnsi="Times New Roman" w:cs="Times New Roman"/>
          <w:szCs w:val="24"/>
        </w:rPr>
        <w:t>tat</w:t>
      </w:r>
      <w:r w:rsidR="00B37F5E" w:rsidRPr="00E72418">
        <w:rPr>
          <w:rFonts w:ascii="Times New Roman" w:hAnsi="Times New Roman" w:cs="Times New Roman"/>
          <w:szCs w:val="24"/>
        </w:rPr>
        <w:t>s</w:t>
      </w:r>
      <w:r w:rsidRPr="00E72418">
        <w:rPr>
          <w:rFonts w:ascii="Times New Roman" w:hAnsi="Times New Roman" w:cs="Times New Roman"/>
          <w:szCs w:val="24"/>
        </w:rPr>
        <w:t xml:space="preserve"> redoute</w:t>
      </w:r>
      <w:r w:rsidR="00B37F5E" w:rsidRPr="00E72418">
        <w:rPr>
          <w:rFonts w:ascii="Times New Roman" w:hAnsi="Times New Roman" w:cs="Times New Roman"/>
          <w:szCs w:val="24"/>
        </w:rPr>
        <w:t>nt</w:t>
      </w:r>
      <w:r w:rsidR="0090174B" w:rsidRPr="00E72418">
        <w:rPr>
          <w:rFonts w:ascii="Times New Roman" w:hAnsi="Times New Roman" w:cs="Times New Roman"/>
          <w:szCs w:val="24"/>
        </w:rPr>
        <w:t xml:space="preserve"> souvent que s’en</w:t>
      </w:r>
      <w:r w:rsidRPr="00E72418">
        <w:rPr>
          <w:rFonts w:ascii="Times New Roman" w:hAnsi="Times New Roman" w:cs="Times New Roman"/>
          <w:szCs w:val="24"/>
        </w:rPr>
        <w:t>suive</w:t>
      </w:r>
      <w:r w:rsidR="00346522" w:rsidRPr="00E72418">
        <w:rPr>
          <w:rFonts w:ascii="Times New Roman" w:hAnsi="Times New Roman" w:cs="Times New Roman"/>
          <w:szCs w:val="24"/>
        </w:rPr>
        <w:t>nt</w:t>
      </w:r>
      <w:r w:rsidRPr="00E72418">
        <w:rPr>
          <w:rFonts w:ascii="Times New Roman" w:hAnsi="Times New Roman" w:cs="Times New Roman"/>
          <w:szCs w:val="24"/>
        </w:rPr>
        <w:t xml:space="preserve"> une fuite des capitaux, des </w:t>
      </w:r>
      <w:r w:rsidRPr="00E72418">
        <w:rPr>
          <w:rFonts w:ascii="Times New Roman" w:hAnsi="Times New Roman" w:cs="Times New Roman"/>
          <w:szCs w:val="24"/>
        </w:rPr>
        <w:lastRenderedPageBreak/>
        <w:t>difficultés financières et une crise économique</w:t>
      </w:r>
      <w:r w:rsidRPr="00E72418">
        <w:rPr>
          <w:rStyle w:val="Appelnotedebasdep"/>
          <w:rFonts w:ascii="Times New Roman" w:hAnsi="Times New Roman" w:cs="Times New Roman"/>
          <w:szCs w:val="24"/>
        </w:rPr>
        <w:footnoteReference w:id="392"/>
      </w:r>
      <w:r w:rsidRPr="00E72418">
        <w:rPr>
          <w:rFonts w:ascii="Times New Roman" w:hAnsi="Times New Roman" w:cs="Times New Roman"/>
          <w:szCs w:val="24"/>
        </w:rPr>
        <w:t xml:space="preserve">. C’est ainsi que des </w:t>
      </w:r>
      <w:r w:rsidRPr="00E72418">
        <w:rPr>
          <w:rFonts w:ascii="Times New Roman" w:hAnsi="Times New Roman" w:cs="Times New Roman"/>
          <w:lang w:eastAsia="fr-BE"/>
        </w:rPr>
        <w:t>É</w:t>
      </w:r>
      <w:r w:rsidR="00346522" w:rsidRPr="00E72418">
        <w:rPr>
          <w:rFonts w:ascii="Times New Roman" w:hAnsi="Times New Roman" w:cs="Times New Roman"/>
          <w:szCs w:val="24"/>
        </w:rPr>
        <w:t xml:space="preserve">tats </w:t>
      </w:r>
      <w:r w:rsidRPr="00E72418">
        <w:rPr>
          <w:rFonts w:ascii="Times New Roman" w:hAnsi="Times New Roman" w:cs="Times New Roman"/>
          <w:szCs w:val="24"/>
        </w:rPr>
        <w:t>écr</w:t>
      </w:r>
      <w:r w:rsidR="00346522" w:rsidRPr="00E72418">
        <w:rPr>
          <w:rFonts w:ascii="Times New Roman" w:hAnsi="Times New Roman" w:cs="Times New Roman"/>
          <w:szCs w:val="24"/>
        </w:rPr>
        <w:t>asés par le poids de leur dette</w:t>
      </w:r>
      <w:r w:rsidRPr="00E72418">
        <w:rPr>
          <w:rFonts w:ascii="Times New Roman" w:hAnsi="Times New Roman" w:cs="Times New Roman"/>
          <w:szCs w:val="24"/>
        </w:rPr>
        <w:t xml:space="preserve"> continuent malgré tout à</w:t>
      </w:r>
      <w:r w:rsidR="00346522" w:rsidRPr="00E72418">
        <w:rPr>
          <w:rFonts w:ascii="Times New Roman" w:hAnsi="Times New Roman" w:cs="Times New Roman"/>
          <w:szCs w:val="24"/>
        </w:rPr>
        <w:t xml:space="preserve"> en</w:t>
      </w:r>
      <w:r w:rsidRPr="00E72418">
        <w:rPr>
          <w:rFonts w:ascii="Times New Roman" w:hAnsi="Times New Roman" w:cs="Times New Roman"/>
          <w:szCs w:val="24"/>
        </w:rPr>
        <w:t xml:space="preserve"> assurer le service </w:t>
      </w:r>
      <w:r w:rsidR="00346522" w:rsidRPr="00E72418">
        <w:rPr>
          <w:rFonts w:ascii="Times New Roman" w:hAnsi="Times New Roman" w:cs="Times New Roman"/>
          <w:szCs w:val="24"/>
        </w:rPr>
        <w:t xml:space="preserve">même si cela doit être fait </w:t>
      </w:r>
      <w:r w:rsidRPr="00E72418">
        <w:rPr>
          <w:rFonts w:ascii="Times New Roman" w:hAnsi="Times New Roman" w:cs="Times New Roman"/>
          <w:szCs w:val="24"/>
        </w:rPr>
        <w:t>au détriment de services à leur population</w:t>
      </w:r>
      <w:r w:rsidRPr="00E72418">
        <w:rPr>
          <w:rStyle w:val="Appelnotedebasdep"/>
          <w:rFonts w:ascii="Times New Roman" w:hAnsi="Times New Roman" w:cs="Times New Roman"/>
          <w:szCs w:val="24"/>
        </w:rPr>
        <w:footnoteReference w:id="393"/>
      </w:r>
      <w:r w:rsidRPr="00E72418">
        <w:rPr>
          <w:rFonts w:ascii="Times New Roman" w:hAnsi="Times New Roman" w:cs="Times New Roman"/>
          <w:szCs w:val="24"/>
        </w:rPr>
        <w:t xml:space="preserve">. Pourtant, </w:t>
      </w:r>
      <w:r w:rsidR="00B37F5E" w:rsidRPr="00E72418">
        <w:rPr>
          <w:rFonts w:ascii="Times New Roman" w:hAnsi="Times New Roman" w:cs="Times New Roman"/>
          <w:szCs w:val="24"/>
        </w:rPr>
        <w:t>l’absence d’engagement d’</w:t>
      </w:r>
      <w:r w:rsidRPr="00E72418">
        <w:rPr>
          <w:rFonts w:ascii="Times New Roman" w:hAnsi="Times New Roman" w:cs="Times New Roman"/>
          <w:szCs w:val="24"/>
        </w:rPr>
        <w:t xml:space="preserve">opérations nécessaires avant que ne soit atteint le nadir explique généralement </w:t>
      </w:r>
      <w:r w:rsidR="001763E0" w:rsidRPr="00E72418">
        <w:rPr>
          <w:rFonts w:ascii="Times New Roman" w:hAnsi="Times New Roman" w:cs="Times New Roman"/>
          <w:szCs w:val="24"/>
        </w:rPr>
        <w:t>la mauvaise tournure des évé</w:t>
      </w:r>
      <w:r w:rsidR="00B37F5E" w:rsidRPr="00E72418">
        <w:rPr>
          <w:rFonts w:ascii="Times New Roman" w:hAnsi="Times New Roman" w:cs="Times New Roman"/>
          <w:szCs w:val="24"/>
        </w:rPr>
        <w:t>nements</w:t>
      </w:r>
      <w:r w:rsidRPr="00E72418">
        <w:rPr>
          <w:rStyle w:val="Appelnotedebasdep"/>
          <w:rFonts w:ascii="Times New Roman" w:hAnsi="Times New Roman" w:cs="Times New Roman"/>
          <w:szCs w:val="24"/>
        </w:rPr>
        <w:footnoteReference w:id="394"/>
      </w:r>
      <w:r w:rsidRPr="00E72418">
        <w:rPr>
          <w:rFonts w:ascii="Times New Roman" w:hAnsi="Times New Roman" w:cs="Times New Roman"/>
          <w:szCs w:val="24"/>
        </w:rPr>
        <w:t>. C</w:t>
      </w:r>
      <w:r w:rsidRPr="00E72418">
        <w:rPr>
          <w:rFonts w:ascii="Times New Roman" w:hAnsi="Times New Roman" w:cs="Times New Roman"/>
        </w:rPr>
        <w:t xml:space="preserve">omme le notent </w:t>
      </w:r>
      <w:r w:rsidR="005C18A8" w:rsidRPr="00E72418">
        <w:rPr>
          <w:rFonts w:ascii="Times New Roman" w:hAnsi="Times New Roman" w:cs="Times New Roman"/>
        </w:rPr>
        <w:t xml:space="preserve">Lee </w:t>
      </w:r>
      <w:r w:rsidRPr="00E72418">
        <w:rPr>
          <w:rFonts w:ascii="Times New Roman" w:hAnsi="Times New Roman" w:cs="Times New Roman"/>
        </w:rPr>
        <w:t xml:space="preserve">Buchheit et </w:t>
      </w:r>
      <w:r w:rsidR="005C18A8" w:rsidRPr="00E72418">
        <w:rPr>
          <w:rFonts w:ascii="Times New Roman" w:hAnsi="Times New Roman" w:cs="Times New Roman"/>
        </w:rPr>
        <w:t xml:space="preserve">Elena </w:t>
      </w:r>
      <w:r w:rsidRPr="00E72418">
        <w:rPr>
          <w:rFonts w:ascii="Times New Roman" w:hAnsi="Times New Roman" w:cs="Times New Roman"/>
        </w:rPr>
        <w:t>Daly, « [t]hese delays inevitably make things worse for both the sovereign and its creditors » en ce que notamment, « [i]n the frantic scramble to avoid an unavoidable debt management transaction, the sovereign may enter into new borrowings on ruinous terms, run its reserves down to a dangerous level, and stumble into a situation in which the only option left is the worst one – a chaotic payment default »</w:t>
      </w:r>
      <w:r w:rsidRPr="00E72418">
        <w:rPr>
          <w:rStyle w:val="Appelnotedebasdep"/>
          <w:rFonts w:ascii="Times New Roman" w:hAnsi="Times New Roman" w:cs="Times New Roman"/>
        </w:rPr>
        <w:footnoteReference w:id="395"/>
      </w:r>
      <w:r w:rsidR="00A11FBD" w:rsidRPr="00E72418">
        <w:rPr>
          <w:rFonts w:ascii="Times New Roman" w:hAnsi="Times New Roman" w:cs="Times New Roman"/>
        </w:rPr>
        <w:t>.</w:t>
      </w:r>
    </w:p>
    <w:p w14:paraId="6EC0BAFA" w14:textId="0B67FDCD" w:rsidR="00EF6F47" w:rsidRPr="00E72418" w:rsidRDefault="00EF6F47" w:rsidP="00423B60"/>
    <w:p w14:paraId="2F806403" w14:textId="77777777" w:rsidR="00194C97" w:rsidRPr="00E72418" w:rsidRDefault="00194C97" w:rsidP="00423B60"/>
    <w:p w14:paraId="72D20E0A" w14:textId="029BBA52" w:rsidR="007C57EF" w:rsidRPr="00E72418" w:rsidRDefault="00DC60C1" w:rsidP="00CC4BA8">
      <w:pPr>
        <w:pStyle w:val="BB"/>
        <w:spacing w:line="276" w:lineRule="auto"/>
      </w:pPr>
      <w:bookmarkStart w:id="70" w:name="_Toc59280890"/>
      <w:bookmarkStart w:id="71" w:name="_Toc75106067"/>
      <w:bookmarkStart w:id="72" w:name="_Toc84540879"/>
      <w:r w:rsidRPr="00E72418">
        <w:t>Quatrième</w:t>
      </w:r>
      <w:r w:rsidR="000764CE" w:rsidRPr="00E72418">
        <w:t xml:space="preserve"> notion</w:t>
      </w:r>
      <w:r w:rsidR="003C32DE" w:rsidRPr="00E72418">
        <w:t xml:space="preserve"> : </w:t>
      </w:r>
      <w:r w:rsidR="007C57EF" w:rsidRPr="00E72418">
        <w:t>Les créanciers récalcitrants</w:t>
      </w:r>
      <w:bookmarkEnd w:id="70"/>
      <w:bookmarkEnd w:id="71"/>
      <w:bookmarkEnd w:id="72"/>
    </w:p>
    <w:p w14:paraId="7F719455" w14:textId="4FEBF50C" w:rsidR="007C57EF" w:rsidRPr="00E72418" w:rsidRDefault="007C57EF" w:rsidP="00423B60"/>
    <w:p w14:paraId="2A24A673" w14:textId="506A23F0" w:rsidR="000A086F" w:rsidRPr="00E72418" w:rsidRDefault="007F038F" w:rsidP="00CC4BA8">
      <w:pPr>
        <w:spacing w:line="276" w:lineRule="auto"/>
      </w:pPr>
      <w:r w:rsidRPr="00E72418">
        <w:rPr>
          <w:b/>
        </w:rPr>
        <w:t>71.</w:t>
      </w:r>
      <w:r w:rsidR="000A086F" w:rsidRPr="00E72418">
        <w:t xml:space="preserve"> </w:t>
      </w:r>
      <w:r w:rsidR="000A086F" w:rsidRPr="00E72418">
        <w:rPr>
          <w:b/>
        </w:rPr>
        <w:t xml:space="preserve">Une solution potentiellement perturbée </w:t>
      </w:r>
      <w:r w:rsidR="000A086F" w:rsidRPr="00E72418">
        <w:rPr>
          <w:rFonts w:ascii="Times New Roman" w:hAnsi="Times New Roman" w:cs="Times New Roman"/>
          <w:b/>
        </w:rPr>
        <w:t xml:space="preserve">– </w:t>
      </w:r>
      <w:r w:rsidR="000A086F" w:rsidRPr="00E72418">
        <w:rPr>
          <w:rFonts w:ascii="Times New Roman" w:hAnsi="Times New Roman" w:cs="Times New Roman"/>
        </w:rPr>
        <w:t>Tout essent</w:t>
      </w:r>
      <w:r w:rsidR="006A04CF" w:rsidRPr="00E72418">
        <w:rPr>
          <w:rFonts w:ascii="Times New Roman" w:hAnsi="Times New Roman" w:cs="Times New Roman"/>
        </w:rPr>
        <w:t xml:space="preserve">iel qu’il puisse être pour les </w:t>
      </w:r>
      <w:r w:rsidR="006A04CF" w:rsidRPr="00E72418">
        <w:rPr>
          <w:rFonts w:ascii="Times New Roman" w:hAnsi="Times New Roman" w:cs="Times New Roman"/>
          <w:lang w:eastAsia="fr-BE"/>
        </w:rPr>
        <w:t>É</w:t>
      </w:r>
      <w:r w:rsidR="000A086F" w:rsidRPr="00E72418">
        <w:rPr>
          <w:rFonts w:ascii="Times New Roman" w:hAnsi="Times New Roman" w:cs="Times New Roman"/>
        </w:rPr>
        <w:t>tats débiteurs de pouvoir restructurer leurs dettes, les modifications dé</w:t>
      </w:r>
      <w:r w:rsidR="00B14B26" w:rsidRPr="00E72418">
        <w:rPr>
          <w:rFonts w:ascii="Times New Roman" w:hAnsi="Times New Roman" w:cs="Times New Roman"/>
        </w:rPr>
        <w:t>favorables</w:t>
      </w:r>
      <w:r w:rsidR="000A086F" w:rsidRPr="00E72418">
        <w:rPr>
          <w:rFonts w:ascii="Times New Roman" w:hAnsi="Times New Roman" w:cs="Times New Roman"/>
        </w:rPr>
        <w:t xml:space="preserve"> aux créanciers que les res</w:t>
      </w:r>
      <w:r w:rsidR="00B14B26" w:rsidRPr="00E72418">
        <w:rPr>
          <w:rFonts w:ascii="Times New Roman" w:hAnsi="Times New Roman" w:cs="Times New Roman"/>
        </w:rPr>
        <w:t>tructurations impliquent conduisent</w:t>
      </w:r>
      <w:r w:rsidR="000A086F" w:rsidRPr="00E72418">
        <w:rPr>
          <w:rFonts w:ascii="Times New Roman" w:hAnsi="Times New Roman" w:cs="Times New Roman"/>
        </w:rPr>
        <w:t xml:space="preserve"> certains d’entre eux à tout simplement les refuser (</w:t>
      </w:r>
      <w:r w:rsidR="000A086F" w:rsidRPr="00E72418">
        <w:rPr>
          <w:rFonts w:ascii="Times New Roman" w:hAnsi="Times New Roman" w:cs="Times New Roman"/>
          <w:b/>
        </w:rPr>
        <w:t>chapitre 1</w:t>
      </w:r>
      <w:r w:rsidR="000A086F" w:rsidRPr="00E72418">
        <w:rPr>
          <w:rFonts w:ascii="Times New Roman" w:hAnsi="Times New Roman" w:cs="Times New Roman"/>
        </w:rPr>
        <w:t xml:space="preserve">). Ces refus sont généralement suivis de procédures intentées </w:t>
      </w:r>
      <w:r w:rsidR="00E47569" w:rsidRPr="00E72418">
        <w:rPr>
          <w:rFonts w:ascii="Times New Roman" w:hAnsi="Times New Roman" w:cs="Times New Roman"/>
        </w:rPr>
        <w:t xml:space="preserve">par les créanciers récalcitrants </w:t>
      </w:r>
      <w:r w:rsidR="000A086F" w:rsidRPr="00E72418">
        <w:rPr>
          <w:rFonts w:ascii="Times New Roman" w:hAnsi="Times New Roman" w:cs="Times New Roman"/>
        </w:rPr>
        <w:t>afin de faire condamner les débiteurs à honorer les termes originaux des dettes (</w:t>
      </w:r>
      <w:r w:rsidR="000A086F" w:rsidRPr="00E72418">
        <w:rPr>
          <w:rFonts w:ascii="Times New Roman" w:hAnsi="Times New Roman" w:cs="Times New Roman"/>
          <w:b/>
        </w:rPr>
        <w:t>chapitre 2</w:t>
      </w:r>
      <w:r w:rsidR="000A086F" w:rsidRPr="00E72418">
        <w:rPr>
          <w:rFonts w:ascii="Times New Roman" w:hAnsi="Times New Roman" w:cs="Times New Roman"/>
        </w:rPr>
        <w:t>).</w:t>
      </w:r>
    </w:p>
    <w:p w14:paraId="70D95BF9" w14:textId="77777777" w:rsidR="000A086F" w:rsidRPr="00E72418" w:rsidRDefault="000A086F" w:rsidP="00423B60"/>
    <w:p w14:paraId="43548713" w14:textId="53CB49A5" w:rsidR="007C57EF" w:rsidRPr="00E72418" w:rsidRDefault="000764CE" w:rsidP="00CC4BA8">
      <w:pPr>
        <w:pStyle w:val="CC"/>
        <w:spacing w:line="276" w:lineRule="auto"/>
      </w:pPr>
      <w:bookmarkStart w:id="73" w:name="_Toc59280891"/>
      <w:bookmarkStart w:id="74" w:name="_Toc75106068"/>
      <w:bookmarkStart w:id="75" w:name="_Toc84540880"/>
      <w:r w:rsidRPr="00E72418">
        <w:t xml:space="preserve">Chapitre 1 : </w:t>
      </w:r>
      <w:r w:rsidR="007C57EF" w:rsidRPr="00E72418">
        <w:t>Le refus</w:t>
      </w:r>
      <w:bookmarkEnd w:id="73"/>
      <w:bookmarkEnd w:id="74"/>
      <w:bookmarkEnd w:id="75"/>
    </w:p>
    <w:p w14:paraId="1CCECA08" w14:textId="77777777" w:rsidR="007C57EF" w:rsidRPr="00E72418" w:rsidRDefault="007C57EF" w:rsidP="00423B60"/>
    <w:p w14:paraId="59F42B38" w14:textId="3B62D2C4" w:rsidR="00604229" w:rsidRPr="00E72418" w:rsidRDefault="007F038F" w:rsidP="00604229">
      <w:pPr>
        <w:spacing w:line="276" w:lineRule="auto"/>
        <w:rPr>
          <w:smallCaps/>
          <w:szCs w:val="20"/>
          <w:lang w:val="en-US"/>
        </w:rPr>
      </w:pPr>
      <w:r w:rsidRPr="00E72418">
        <w:rPr>
          <w:rFonts w:ascii="Times New Roman" w:hAnsi="Times New Roman" w:cs="Times New Roman"/>
          <w:b/>
        </w:rPr>
        <w:t>72</w:t>
      </w:r>
      <w:r w:rsidR="007E31CD" w:rsidRPr="00E72418">
        <w:rPr>
          <w:rFonts w:ascii="Times New Roman" w:hAnsi="Times New Roman" w:cs="Times New Roman"/>
          <w:b/>
        </w:rPr>
        <w:t xml:space="preserve">. </w:t>
      </w:r>
      <w:r w:rsidR="001853CB" w:rsidRPr="00E72418">
        <w:rPr>
          <w:rFonts w:ascii="Times New Roman" w:hAnsi="Times New Roman" w:cs="Times New Roman"/>
          <w:b/>
        </w:rPr>
        <w:t xml:space="preserve">L’objectif </w:t>
      </w:r>
      <w:r w:rsidR="007C57EF" w:rsidRPr="00E72418">
        <w:rPr>
          <w:rFonts w:ascii="Times New Roman" w:hAnsi="Times New Roman" w:cs="Times New Roman"/>
          <w:b/>
        </w:rPr>
        <w:t>–</w:t>
      </w:r>
      <w:r w:rsidR="007C57EF" w:rsidRPr="00E72418">
        <w:rPr>
          <w:rFonts w:ascii="Times New Roman" w:hAnsi="Times New Roman" w:cs="Times New Roman"/>
        </w:rPr>
        <w:t xml:space="preserve"> </w:t>
      </w:r>
      <w:r w:rsidR="001853CB" w:rsidRPr="00E72418">
        <w:rPr>
          <w:rFonts w:ascii="Times New Roman" w:hAnsi="Times New Roman" w:cs="Times New Roman"/>
        </w:rPr>
        <w:t>Aucun mécanisme institutionnalisé ne régissant l</w:t>
      </w:r>
      <w:r w:rsidR="007C57EF" w:rsidRPr="00E72418">
        <w:rPr>
          <w:rFonts w:ascii="Times New Roman" w:hAnsi="Times New Roman" w:cs="Times New Roman"/>
        </w:rPr>
        <w:t xml:space="preserve">es restructurations des dettes souveraines </w:t>
      </w:r>
      <w:r w:rsidR="001853CB" w:rsidRPr="00E72418">
        <w:rPr>
          <w:rFonts w:ascii="Times New Roman" w:hAnsi="Times New Roman" w:cs="Times New Roman"/>
        </w:rPr>
        <w:t>alors soumises au</w:t>
      </w:r>
      <w:r w:rsidR="007C57EF" w:rsidRPr="00E72418">
        <w:rPr>
          <w:rFonts w:ascii="Times New Roman" w:hAnsi="Times New Roman" w:cs="Times New Roman"/>
        </w:rPr>
        <w:t xml:space="preserve"> droit des contrats, un créancier</w:t>
      </w:r>
      <w:r w:rsidR="001853CB" w:rsidRPr="00E72418">
        <w:rPr>
          <w:rFonts w:ascii="Times New Roman" w:hAnsi="Times New Roman" w:cs="Times New Roman"/>
        </w:rPr>
        <w:t xml:space="preserve"> peut</w:t>
      </w:r>
      <w:r w:rsidR="007C57EF" w:rsidRPr="00E72418">
        <w:rPr>
          <w:rFonts w:ascii="Times New Roman" w:hAnsi="Times New Roman" w:cs="Times New Roman"/>
        </w:rPr>
        <w:t xml:space="preserve"> </w:t>
      </w:r>
      <w:r w:rsidR="001853CB" w:rsidRPr="00E72418">
        <w:rPr>
          <w:rFonts w:ascii="Times New Roman" w:hAnsi="Times New Roman" w:cs="Times New Roman"/>
        </w:rPr>
        <w:t xml:space="preserve">librement </w:t>
      </w:r>
      <w:r w:rsidR="007C57EF" w:rsidRPr="00E72418">
        <w:rPr>
          <w:rFonts w:ascii="Times New Roman" w:hAnsi="Times New Roman" w:cs="Times New Roman"/>
        </w:rPr>
        <w:t xml:space="preserve">choisir </w:t>
      </w:r>
      <w:r w:rsidR="001853CB" w:rsidRPr="00E72418">
        <w:rPr>
          <w:rFonts w:ascii="Times New Roman" w:hAnsi="Times New Roman" w:cs="Times New Roman"/>
        </w:rPr>
        <w:t>de ne pas y participer. I</w:t>
      </w:r>
      <w:r w:rsidR="007C57EF" w:rsidRPr="00E72418">
        <w:rPr>
          <w:rFonts w:ascii="Times New Roman" w:hAnsi="Times New Roman" w:cs="Times New Roman"/>
        </w:rPr>
        <w:t xml:space="preserve">l est des </w:t>
      </w:r>
      <w:r w:rsidR="001853CB" w:rsidRPr="00E72418">
        <w:rPr>
          <w:rFonts w:ascii="Times New Roman" w:hAnsi="Times New Roman" w:cs="Times New Roman"/>
        </w:rPr>
        <w:t>situations</w:t>
      </w:r>
      <w:r w:rsidR="007C57EF" w:rsidRPr="00E72418">
        <w:rPr>
          <w:rFonts w:ascii="Times New Roman" w:hAnsi="Times New Roman" w:cs="Times New Roman"/>
        </w:rPr>
        <w:t xml:space="preserve"> dans lesquel</w:t>
      </w:r>
      <w:r w:rsidR="001853CB" w:rsidRPr="00E72418">
        <w:rPr>
          <w:rFonts w:ascii="Times New Roman" w:hAnsi="Times New Roman" w:cs="Times New Roman"/>
        </w:rPr>
        <w:t>le</w:t>
      </w:r>
      <w:r w:rsidR="007C57EF" w:rsidRPr="00E72418">
        <w:rPr>
          <w:rFonts w:ascii="Times New Roman" w:hAnsi="Times New Roman" w:cs="Times New Roman"/>
        </w:rPr>
        <w:t>s des créanciers d’</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choisissent de ne pas participer aux opérations de restructuration </w:t>
      </w:r>
      <w:r w:rsidR="001853CB" w:rsidRPr="00E72418">
        <w:rPr>
          <w:rFonts w:ascii="Times New Roman" w:hAnsi="Times New Roman" w:cs="Times New Roman"/>
        </w:rPr>
        <w:t>nourrissant</w:t>
      </w:r>
      <w:r w:rsidR="007C57EF" w:rsidRPr="00E72418">
        <w:rPr>
          <w:rFonts w:ascii="Times New Roman" w:hAnsi="Times New Roman" w:cs="Times New Roman"/>
        </w:rPr>
        <w:t xml:space="preserve"> l’espoir d’obtenir de meilleures condition</w:t>
      </w:r>
      <w:r w:rsidR="001853CB" w:rsidRPr="00E72418">
        <w:rPr>
          <w:rFonts w:ascii="Times New Roman" w:hAnsi="Times New Roman" w:cs="Times New Roman"/>
        </w:rPr>
        <w:t>s de règlement que celles négociées ou simplement proposées</w:t>
      </w:r>
      <w:r w:rsidR="007C57EF" w:rsidRPr="00E72418">
        <w:rPr>
          <w:rFonts w:ascii="Times New Roman" w:hAnsi="Times New Roman" w:cs="Times New Roman"/>
        </w:rPr>
        <w:t xml:space="preserve">. Ces créanciers </w:t>
      </w:r>
      <w:r w:rsidR="001853CB" w:rsidRPr="00E72418">
        <w:rPr>
          <w:rFonts w:ascii="Times New Roman" w:hAnsi="Times New Roman" w:cs="Times New Roman"/>
        </w:rPr>
        <w:t>dits « </w:t>
      </w:r>
      <w:r w:rsidR="007C57EF" w:rsidRPr="00E72418">
        <w:rPr>
          <w:rFonts w:ascii="Times New Roman" w:hAnsi="Times New Roman" w:cs="Times New Roman"/>
        </w:rPr>
        <w:t>récalcitrants</w:t>
      </w:r>
      <w:r w:rsidR="001853CB" w:rsidRPr="00E72418">
        <w:rPr>
          <w:rFonts w:ascii="Times New Roman" w:hAnsi="Times New Roman" w:cs="Times New Roman"/>
        </w:rPr>
        <w:t> »</w:t>
      </w:r>
      <w:r w:rsidR="001853CB" w:rsidRPr="00E72418">
        <w:rPr>
          <w:rStyle w:val="Appelnotedebasdep"/>
          <w:rFonts w:ascii="Times New Roman" w:hAnsi="Times New Roman" w:cs="Times New Roman"/>
        </w:rPr>
        <w:footnoteReference w:id="396"/>
      </w:r>
      <w:r w:rsidR="001853CB" w:rsidRPr="00E72418">
        <w:rPr>
          <w:rFonts w:ascii="Times New Roman" w:hAnsi="Times New Roman" w:cs="Times New Roman"/>
        </w:rPr>
        <w:t>,</w:t>
      </w:r>
      <w:r w:rsidR="007C57EF" w:rsidRPr="00E72418">
        <w:rPr>
          <w:rFonts w:ascii="Times New Roman" w:hAnsi="Times New Roman" w:cs="Times New Roman"/>
        </w:rPr>
        <w:t xml:space="preserve"> </w:t>
      </w:r>
      <w:r w:rsidR="001853CB" w:rsidRPr="00E72418">
        <w:rPr>
          <w:rFonts w:ascii="Times New Roman" w:hAnsi="Times New Roman" w:cs="Times New Roman"/>
        </w:rPr>
        <w:t xml:space="preserve">forts du principe </w:t>
      </w:r>
      <w:r w:rsidR="001853CB" w:rsidRPr="00E72418">
        <w:rPr>
          <w:rFonts w:ascii="Times New Roman" w:hAnsi="Times New Roman" w:cs="Times New Roman"/>
          <w:i/>
        </w:rPr>
        <w:t>pacta sunt servanda</w:t>
      </w:r>
      <w:r w:rsidR="001853CB" w:rsidRPr="00E72418">
        <w:rPr>
          <w:rFonts w:ascii="Times New Roman" w:hAnsi="Times New Roman" w:cs="Times New Roman"/>
        </w:rPr>
        <w:t xml:space="preserve"> selon lequel le contrat fait la loi des parties, </w:t>
      </w:r>
      <w:r w:rsidR="007C57EF" w:rsidRPr="00E72418">
        <w:rPr>
          <w:rFonts w:ascii="Times New Roman" w:hAnsi="Times New Roman" w:cs="Times New Roman"/>
        </w:rPr>
        <w:t xml:space="preserve">vont ainsi poursuivre l’exécution du titre qu’ils détiennent conformément à ses </w:t>
      </w:r>
      <w:r w:rsidR="007C57EF" w:rsidRPr="00E72418">
        <w:rPr>
          <w:rFonts w:ascii="Times New Roman" w:hAnsi="Times New Roman" w:cs="Times New Roman"/>
        </w:rPr>
        <w:lastRenderedPageBreak/>
        <w:t>modalités initiales</w:t>
      </w:r>
      <w:r w:rsidR="007C57EF" w:rsidRPr="00E72418">
        <w:rPr>
          <w:rStyle w:val="Appelnotedebasdep"/>
          <w:rFonts w:ascii="Times New Roman" w:hAnsi="Times New Roman" w:cs="Times New Roman"/>
          <w:szCs w:val="24"/>
        </w:rPr>
        <w:footnoteReference w:id="397"/>
      </w:r>
      <w:r w:rsidR="007C57EF" w:rsidRPr="00E72418">
        <w:rPr>
          <w:rFonts w:ascii="Times New Roman" w:hAnsi="Times New Roman" w:cs="Times New Roman"/>
          <w:szCs w:val="24"/>
        </w:rPr>
        <w:t>.</w:t>
      </w:r>
      <w:r w:rsidR="00604229" w:rsidRPr="00E72418">
        <w:rPr>
          <w:rFonts w:ascii="Times New Roman" w:hAnsi="Times New Roman" w:cs="Times New Roman"/>
          <w:szCs w:val="24"/>
        </w:rPr>
        <w:t xml:space="preserve"> Mais le projet n’est pas aisé en ce que, comme le notent </w:t>
      </w:r>
      <w:r w:rsidR="005C18A8" w:rsidRPr="00E72418">
        <w:rPr>
          <w:rFonts w:ascii="Times New Roman" w:hAnsi="Times New Roman" w:cs="Times New Roman"/>
          <w:szCs w:val="24"/>
        </w:rPr>
        <w:t xml:space="preserve">Udaibir </w:t>
      </w:r>
      <w:r w:rsidR="00604229" w:rsidRPr="00E72418">
        <w:rPr>
          <w:szCs w:val="20"/>
          <w:lang w:val="en-US"/>
        </w:rPr>
        <w:t>Das</w:t>
      </w:r>
      <w:r w:rsidR="003D7F91" w:rsidRPr="00E72418">
        <w:rPr>
          <w:szCs w:val="20"/>
          <w:lang w:val="en-US"/>
        </w:rPr>
        <w:t xml:space="preserve"> </w:t>
      </w:r>
      <w:r w:rsidR="003D7F91" w:rsidRPr="00E72418">
        <w:rPr>
          <w:i/>
          <w:szCs w:val="20"/>
          <w:lang w:val="en-US"/>
        </w:rPr>
        <w:t>et al.</w:t>
      </w:r>
      <w:r w:rsidR="00604229" w:rsidRPr="00E72418">
        <w:rPr>
          <w:szCs w:val="20"/>
          <w:lang w:val="en-US"/>
        </w:rPr>
        <w:t>,</w:t>
      </w:r>
      <w:r w:rsidR="00604229" w:rsidRPr="00E72418">
        <w:rPr>
          <w:smallCaps/>
          <w:szCs w:val="20"/>
          <w:lang w:val="en-US"/>
        </w:rPr>
        <w:t xml:space="preserve"> </w:t>
      </w:r>
      <w:r w:rsidR="00604229" w:rsidRPr="00E72418">
        <w:rPr>
          <w:rStyle w:val="Titre7Car"/>
          <w:rFonts w:ascii="Times" w:eastAsiaTheme="minorHAnsi" w:hAnsi="Times" w:cstheme="minorBidi"/>
          <w:i w:val="0"/>
          <w:iCs w:val="0"/>
          <w:color w:val="auto"/>
          <w:szCs w:val="20"/>
          <w:lang w:val="en-US"/>
        </w:rPr>
        <w:t xml:space="preserve">« </w:t>
      </w:r>
      <w:r w:rsidR="00604229" w:rsidRPr="00E72418">
        <w:rPr>
          <w:rFonts w:ascii="Times New Roman" w:hAnsi="Times New Roman" w:cs="Times New Roman"/>
        </w:rPr>
        <w:t>[b]</w:t>
      </w:r>
      <w:r w:rsidR="00FC3AC2" w:rsidRPr="00E72418">
        <w:rPr>
          <w:rFonts w:ascii="Times New Roman" w:hAnsi="Times New Roman" w:cs="Times New Roman"/>
        </w:rPr>
        <w:t xml:space="preserve">y its very nature, cross-border litigation and the related enforcement of claims towards sovereign debtors is cumbersome </w:t>
      </w:r>
      <w:r w:rsidR="00604229" w:rsidRPr="00E72418">
        <w:rPr>
          <w:szCs w:val="20"/>
        </w:rPr>
        <w:t>»</w:t>
      </w:r>
      <w:r w:rsidR="00604229" w:rsidRPr="00E72418">
        <w:rPr>
          <w:rStyle w:val="Appelnotedebasdep"/>
          <w:szCs w:val="20"/>
        </w:rPr>
        <w:footnoteReference w:id="398"/>
      </w:r>
      <w:r w:rsidR="00604229" w:rsidRPr="00E72418">
        <w:rPr>
          <w:szCs w:val="20"/>
        </w:rPr>
        <w:t>.</w:t>
      </w:r>
    </w:p>
    <w:p w14:paraId="021AA320" w14:textId="5E147089" w:rsidR="007C57EF" w:rsidRPr="00E72418" w:rsidRDefault="0017729F" w:rsidP="00CC4BA8">
      <w:pPr>
        <w:spacing w:line="276" w:lineRule="auto"/>
      </w:pPr>
      <w:r w:rsidRPr="00E72418">
        <w:rPr>
          <w:rFonts w:ascii="Times New Roman" w:hAnsi="Times New Roman" w:cs="Times New Roman"/>
          <w:szCs w:val="24"/>
        </w:rPr>
        <w:t>L’ouverture du marché des</w:t>
      </w:r>
      <w:r w:rsidR="007C57EF" w:rsidRPr="00E72418">
        <w:rPr>
          <w:rFonts w:ascii="Times New Roman" w:hAnsi="Times New Roman" w:cs="Times New Roman"/>
          <w:szCs w:val="24"/>
        </w:rPr>
        <w:t xml:space="preserve"> dette</w:t>
      </w:r>
      <w:r w:rsidRPr="00E72418">
        <w:rPr>
          <w:rFonts w:ascii="Times New Roman" w:hAnsi="Times New Roman" w:cs="Times New Roman"/>
          <w:szCs w:val="24"/>
        </w:rPr>
        <w:t>s</w:t>
      </w:r>
      <w:r w:rsidR="007C57EF" w:rsidRPr="00E72418">
        <w:rPr>
          <w:rFonts w:ascii="Times New Roman" w:hAnsi="Times New Roman" w:cs="Times New Roman"/>
          <w:szCs w:val="24"/>
        </w:rPr>
        <w:t xml:space="preserve"> souveraine</w:t>
      </w:r>
      <w:r w:rsidRPr="00E72418">
        <w:rPr>
          <w:rFonts w:ascii="Times New Roman" w:hAnsi="Times New Roman" w:cs="Times New Roman"/>
          <w:szCs w:val="24"/>
        </w:rPr>
        <w:t>s</w:t>
      </w:r>
      <w:r w:rsidR="007C57EF" w:rsidRPr="00E72418">
        <w:rPr>
          <w:rFonts w:ascii="Times New Roman" w:hAnsi="Times New Roman" w:cs="Times New Roman"/>
          <w:szCs w:val="24"/>
        </w:rPr>
        <w:t xml:space="preserve"> et le changement du type de créanciers impliqué</w:t>
      </w:r>
      <w:r w:rsidR="0090174B" w:rsidRPr="00E72418">
        <w:rPr>
          <w:rFonts w:ascii="Times New Roman" w:hAnsi="Times New Roman" w:cs="Times New Roman"/>
          <w:szCs w:val="24"/>
        </w:rPr>
        <w:t>s qui s’en</w:t>
      </w:r>
      <w:r w:rsidR="007C57EF" w:rsidRPr="00E72418">
        <w:rPr>
          <w:rFonts w:ascii="Times New Roman" w:hAnsi="Times New Roman" w:cs="Times New Roman"/>
          <w:szCs w:val="24"/>
        </w:rPr>
        <w:t>suivit ont indubitablement eu une incidence sur le développement du comportement récalcitrant parmi les créanciers d’</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 xml:space="preserve">tats. </w:t>
      </w:r>
      <w:r w:rsidR="007C57EF" w:rsidRPr="00E72418">
        <w:rPr>
          <w:rFonts w:ascii="Times New Roman" w:hAnsi="Times New Roman" w:cs="Times New Roman"/>
        </w:rPr>
        <w:t xml:space="preserve">L’atomisation des détenteurs de titres souverains </w:t>
      </w:r>
      <w:r w:rsidR="0045107E" w:rsidRPr="00E72418">
        <w:rPr>
          <w:rFonts w:ascii="Times New Roman" w:hAnsi="Times New Roman" w:cs="Times New Roman"/>
        </w:rPr>
        <w:t>complique les</w:t>
      </w:r>
      <w:r w:rsidR="007C57EF" w:rsidRPr="00E72418">
        <w:rPr>
          <w:rFonts w:ascii="Times New Roman" w:hAnsi="Times New Roman" w:cs="Times New Roman"/>
        </w:rPr>
        <w:t xml:space="preserve"> restructuration</w:t>
      </w:r>
      <w:r w:rsidR="0045107E" w:rsidRPr="00E72418">
        <w:rPr>
          <w:rFonts w:ascii="Times New Roman" w:hAnsi="Times New Roman" w:cs="Times New Roman"/>
        </w:rPr>
        <w:t>s</w:t>
      </w:r>
      <w:r w:rsidR="007C57EF" w:rsidRPr="00E72418">
        <w:rPr>
          <w:rFonts w:ascii="Times New Roman" w:hAnsi="Times New Roman" w:cs="Times New Roman"/>
        </w:rPr>
        <w:t xml:space="preserve">. En effet, si auparavant, les banques commerciales </w:t>
      </w:r>
      <w:r w:rsidR="0045107E" w:rsidRPr="00E72418">
        <w:rPr>
          <w:rFonts w:ascii="Times New Roman" w:hAnsi="Times New Roman" w:cs="Times New Roman"/>
        </w:rPr>
        <w:t>étaient</w:t>
      </w:r>
      <w:r w:rsidR="007C57EF" w:rsidRPr="00E72418">
        <w:rPr>
          <w:rFonts w:ascii="Times New Roman" w:hAnsi="Times New Roman" w:cs="Times New Roman"/>
        </w:rPr>
        <w:t xml:space="preserve"> </w:t>
      </w:r>
      <w:r w:rsidR="0045107E" w:rsidRPr="00E72418">
        <w:rPr>
          <w:rFonts w:ascii="Times New Roman" w:hAnsi="Times New Roman" w:cs="Times New Roman"/>
        </w:rPr>
        <w:t>plus enclines à l’effort</w:t>
      </w:r>
      <w:r w:rsidR="007C57EF" w:rsidRPr="00E72418">
        <w:rPr>
          <w:rFonts w:ascii="Times New Roman" w:hAnsi="Times New Roman" w:cs="Times New Roman"/>
        </w:rPr>
        <w:t>, la transformation du financement étatique</w:t>
      </w:r>
      <w:r w:rsidR="006A07F4" w:rsidRPr="00E72418">
        <w:rPr>
          <w:rFonts w:ascii="Times New Roman" w:hAnsi="Times New Roman" w:cs="Times New Roman"/>
        </w:rPr>
        <w:t>,</w:t>
      </w:r>
      <w:r w:rsidR="007C57EF" w:rsidRPr="00E72418">
        <w:rPr>
          <w:rFonts w:ascii="Times New Roman" w:hAnsi="Times New Roman" w:cs="Times New Roman"/>
        </w:rPr>
        <w:t xml:space="preserve"> </w:t>
      </w:r>
      <w:r w:rsidR="0045107E" w:rsidRPr="00E72418">
        <w:rPr>
          <w:rFonts w:ascii="Times New Roman" w:hAnsi="Times New Roman" w:cs="Times New Roman"/>
        </w:rPr>
        <w:t>désormais caractérisé</w:t>
      </w:r>
      <w:r w:rsidR="007C57EF" w:rsidRPr="00E72418">
        <w:rPr>
          <w:rFonts w:ascii="Times New Roman" w:hAnsi="Times New Roman" w:cs="Times New Roman"/>
        </w:rPr>
        <w:t xml:space="preserve"> par l’intervention de nombreux créanciers </w:t>
      </w:r>
      <w:r w:rsidR="0045107E" w:rsidRPr="00E72418">
        <w:rPr>
          <w:rFonts w:ascii="Times New Roman" w:hAnsi="Times New Roman" w:cs="Times New Roman"/>
        </w:rPr>
        <w:t>aux</w:t>
      </w:r>
      <w:r w:rsidR="007C57EF" w:rsidRPr="00E72418">
        <w:rPr>
          <w:rFonts w:ascii="Times New Roman" w:hAnsi="Times New Roman" w:cs="Times New Roman"/>
        </w:rPr>
        <w:t xml:space="preserve"> </w:t>
      </w:r>
      <w:r w:rsidR="006A07F4" w:rsidRPr="00E72418">
        <w:rPr>
          <w:rFonts w:ascii="Times New Roman" w:hAnsi="Times New Roman" w:cs="Times New Roman"/>
        </w:rPr>
        <w:t xml:space="preserve">contraintes et </w:t>
      </w:r>
      <w:r w:rsidR="007C57EF" w:rsidRPr="00E72418">
        <w:rPr>
          <w:rFonts w:ascii="Times New Roman" w:hAnsi="Times New Roman" w:cs="Times New Roman"/>
        </w:rPr>
        <w:t xml:space="preserve">intérêts divergents </w:t>
      </w:r>
      <w:r w:rsidR="007C57EF" w:rsidRPr="00E72418">
        <w:rPr>
          <w:rFonts w:ascii="Times New Roman" w:hAnsi="Times New Roman" w:cs="Times New Roman"/>
          <w:szCs w:val="24"/>
        </w:rPr>
        <w:t>ne se sentant soumis à aucune pression des pairs</w:t>
      </w:r>
      <w:r w:rsidR="006A07F4" w:rsidRPr="00E72418">
        <w:rPr>
          <w:rFonts w:ascii="Times New Roman" w:hAnsi="Times New Roman" w:cs="Times New Roman"/>
          <w:szCs w:val="24"/>
        </w:rPr>
        <w:t>,</w:t>
      </w:r>
      <w:r w:rsidR="0045107E" w:rsidRPr="00E72418">
        <w:rPr>
          <w:rFonts w:ascii="Times New Roman" w:hAnsi="Times New Roman" w:cs="Times New Roman"/>
          <w:szCs w:val="24"/>
        </w:rPr>
        <w:t xml:space="preserve"> accentue les difficultés</w:t>
      </w:r>
      <w:r w:rsidR="007C57EF" w:rsidRPr="00E72418">
        <w:rPr>
          <w:rStyle w:val="Appelnotedebasdep"/>
          <w:rFonts w:ascii="Times New Roman" w:hAnsi="Times New Roman" w:cs="Times New Roman"/>
        </w:rPr>
        <w:footnoteReference w:id="399"/>
      </w:r>
      <w:r w:rsidR="00EC031A" w:rsidRPr="00E72418">
        <w:rPr>
          <w:rFonts w:ascii="Times New Roman" w:hAnsi="Times New Roman" w:cs="Times New Roman"/>
          <w:vertAlign w:val="superscript"/>
        </w:rPr>
        <w:t>,</w:t>
      </w:r>
      <w:r w:rsidR="007C57EF" w:rsidRPr="00E72418">
        <w:rPr>
          <w:rStyle w:val="Appelnotedebasdep"/>
          <w:rFonts w:ascii="Times New Roman" w:hAnsi="Times New Roman" w:cs="Times New Roman"/>
        </w:rPr>
        <w:footnoteReference w:id="400"/>
      </w:r>
      <w:r w:rsidR="007C57EF" w:rsidRPr="00E72418">
        <w:rPr>
          <w:rFonts w:ascii="Times New Roman" w:hAnsi="Times New Roman" w:cs="Times New Roman"/>
        </w:rPr>
        <w:t xml:space="preserve">. </w:t>
      </w:r>
      <w:r w:rsidR="007C57EF" w:rsidRPr="00E72418">
        <w:rPr>
          <w:rFonts w:ascii="Times New Roman" w:hAnsi="Times New Roman" w:cs="Times New Roman"/>
          <w:szCs w:val="24"/>
        </w:rPr>
        <w:t>Les investisse</w:t>
      </w:r>
      <w:r w:rsidRPr="00E72418">
        <w:rPr>
          <w:rFonts w:ascii="Times New Roman" w:hAnsi="Times New Roman" w:cs="Times New Roman"/>
          <w:szCs w:val="24"/>
        </w:rPr>
        <w:t xml:space="preserve">urs engagés sur le marché des </w:t>
      </w:r>
      <w:r w:rsidR="007C57EF" w:rsidRPr="00E72418">
        <w:rPr>
          <w:rFonts w:ascii="Times New Roman" w:hAnsi="Times New Roman" w:cs="Times New Roman"/>
          <w:szCs w:val="24"/>
        </w:rPr>
        <w:t>dette</w:t>
      </w:r>
      <w:r w:rsidRPr="00E72418">
        <w:rPr>
          <w:rFonts w:ascii="Times New Roman" w:hAnsi="Times New Roman" w:cs="Times New Roman"/>
          <w:szCs w:val="24"/>
        </w:rPr>
        <w:t>s</w:t>
      </w:r>
      <w:r w:rsidR="007C57EF" w:rsidRPr="00E72418">
        <w:rPr>
          <w:rFonts w:ascii="Times New Roman" w:hAnsi="Times New Roman" w:cs="Times New Roman"/>
          <w:szCs w:val="24"/>
        </w:rPr>
        <w:t xml:space="preserve"> souveraine</w:t>
      </w:r>
      <w:r w:rsidRPr="00E72418">
        <w:rPr>
          <w:rFonts w:ascii="Times New Roman" w:hAnsi="Times New Roman" w:cs="Times New Roman"/>
          <w:szCs w:val="24"/>
        </w:rPr>
        <w:t>s</w:t>
      </w:r>
      <w:r w:rsidR="007C57EF" w:rsidRPr="00E72418">
        <w:rPr>
          <w:rFonts w:ascii="Times New Roman" w:hAnsi="Times New Roman" w:cs="Times New Roman"/>
          <w:szCs w:val="24"/>
        </w:rPr>
        <w:t xml:space="preserve"> ne sont plus forcément des acteurs réguliers auxquels le bon fonctionnement du marché et sa prospérité générale</w:t>
      </w:r>
      <w:r w:rsidR="007C57EF" w:rsidRPr="00E72418">
        <w:rPr>
          <w:rFonts w:cs="Times New Roman"/>
          <w:szCs w:val="24"/>
        </w:rPr>
        <w:t xml:space="preserve"> importent</w:t>
      </w:r>
      <w:r w:rsidR="007C57EF" w:rsidRPr="00E72418">
        <w:rPr>
          <w:rStyle w:val="Appelnotedebasdep"/>
        </w:rPr>
        <w:footnoteReference w:id="401"/>
      </w:r>
      <w:r w:rsidR="007C57EF" w:rsidRPr="00E72418">
        <w:rPr>
          <w:rFonts w:cs="Times New Roman"/>
          <w:szCs w:val="24"/>
        </w:rPr>
        <w:t xml:space="preserve">. </w:t>
      </w:r>
      <w:r w:rsidR="00936A3F" w:rsidRPr="00E72418">
        <w:rPr>
          <w:rFonts w:cs="Times New Roman"/>
          <w:szCs w:val="24"/>
        </w:rPr>
        <w:t>L</w:t>
      </w:r>
      <w:r w:rsidR="007C57EF" w:rsidRPr="00E72418">
        <w:rPr>
          <w:rFonts w:cs="Times New Roman"/>
          <w:szCs w:val="24"/>
        </w:rPr>
        <w:t>’incitant à poursuivre le meilleur intérêt de la collectivité échappe à certains créanciers</w:t>
      </w:r>
      <w:r w:rsidR="007C57EF" w:rsidRPr="00E72418">
        <w:rPr>
          <w:rStyle w:val="Appelnotedebasdep"/>
        </w:rPr>
        <w:footnoteReference w:id="402"/>
      </w:r>
      <w:r w:rsidR="007C57EF" w:rsidRPr="00E72418">
        <w:rPr>
          <w:rFonts w:cs="Times New Roman"/>
          <w:szCs w:val="24"/>
        </w:rPr>
        <w:t>.</w:t>
      </w:r>
      <w:r w:rsidR="00027450" w:rsidRPr="00E72418">
        <w:rPr>
          <w:rFonts w:cs="Times New Roman"/>
          <w:szCs w:val="24"/>
        </w:rPr>
        <w:t xml:space="preserve"> Par ailleurs, les liens avec les </w:t>
      </w:r>
      <w:r w:rsidR="00730B63" w:rsidRPr="00E72418">
        <w:rPr>
          <w:rFonts w:ascii="Times New Roman" w:hAnsi="Times New Roman" w:cs="Times New Roman"/>
          <w:lang w:eastAsia="fr-BE"/>
        </w:rPr>
        <w:t>É</w:t>
      </w:r>
      <w:r w:rsidR="00027450" w:rsidRPr="00E72418">
        <w:rPr>
          <w:rFonts w:cs="Times New Roman"/>
          <w:szCs w:val="24"/>
        </w:rPr>
        <w:t>t</w:t>
      </w:r>
      <w:r w:rsidR="00025355" w:rsidRPr="00E72418">
        <w:rPr>
          <w:rFonts w:cs="Times New Roman"/>
          <w:szCs w:val="24"/>
        </w:rPr>
        <w:t>ats débiteurs sont souvent diste</w:t>
      </w:r>
      <w:r w:rsidR="00027450" w:rsidRPr="00E72418">
        <w:rPr>
          <w:rFonts w:cs="Times New Roman"/>
          <w:szCs w:val="24"/>
        </w:rPr>
        <w:t>ndus quand ils ne sont pas inexistants</w:t>
      </w:r>
      <w:r w:rsidR="00027450" w:rsidRPr="00E72418">
        <w:rPr>
          <w:rStyle w:val="Appelnotedebasdep"/>
          <w:rFonts w:cs="Times New Roman"/>
          <w:szCs w:val="24"/>
        </w:rPr>
        <w:footnoteReference w:id="403"/>
      </w:r>
      <w:r w:rsidR="00027450" w:rsidRPr="00E72418">
        <w:rPr>
          <w:rFonts w:cs="Times New Roman"/>
          <w:szCs w:val="24"/>
        </w:rPr>
        <w:t>.</w:t>
      </w:r>
    </w:p>
    <w:p w14:paraId="52F0C190" w14:textId="77777777" w:rsidR="007C57EF" w:rsidRPr="00E72418" w:rsidRDefault="007C57EF" w:rsidP="00423B60"/>
    <w:p w14:paraId="793EA154" w14:textId="622B8741" w:rsidR="007C57EF" w:rsidRPr="00E72418" w:rsidRDefault="007F038F" w:rsidP="00CC4BA8">
      <w:pPr>
        <w:spacing w:line="276" w:lineRule="auto"/>
        <w:rPr>
          <w:rFonts w:cs="Times New Roman"/>
        </w:rPr>
      </w:pPr>
      <w:r w:rsidRPr="00E72418">
        <w:rPr>
          <w:rFonts w:cs="Times New Roman"/>
          <w:b/>
        </w:rPr>
        <w:t>73</w:t>
      </w:r>
      <w:r w:rsidR="007E31CD" w:rsidRPr="00E72418">
        <w:rPr>
          <w:rFonts w:cs="Times New Roman"/>
          <w:b/>
        </w:rPr>
        <w:t xml:space="preserve">. </w:t>
      </w:r>
      <w:r w:rsidR="007C57EF" w:rsidRPr="00E72418">
        <w:rPr>
          <w:rFonts w:cs="Times New Roman"/>
          <w:b/>
        </w:rPr>
        <w:t xml:space="preserve">La critique </w:t>
      </w:r>
      <w:r w:rsidR="007C57EF" w:rsidRPr="00E72418">
        <w:rPr>
          <w:b/>
        </w:rPr>
        <w:t>–</w:t>
      </w:r>
      <w:r w:rsidR="007C57EF" w:rsidRPr="00E72418">
        <w:t xml:space="preserve"> </w:t>
      </w:r>
      <w:r w:rsidR="0045107E" w:rsidRPr="00E72418">
        <w:rPr>
          <w:rFonts w:cs="Times New Roman"/>
        </w:rPr>
        <w:t>Se mettant en marge des</w:t>
      </w:r>
      <w:r w:rsidR="007C57EF" w:rsidRPr="00E72418">
        <w:rPr>
          <w:rFonts w:cs="Times New Roman"/>
        </w:rPr>
        <w:t xml:space="preserve"> restructuration</w:t>
      </w:r>
      <w:r w:rsidR="0045107E" w:rsidRPr="00E72418">
        <w:rPr>
          <w:rFonts w:cs="Times New Roman"/>
        </w:rPr>
        <w:t>s</w:t>
      </w:r>
      <w:r w:rsidR="007C57EF" w:rsidRPr="00E72418">
        <w:rPr>
          <w:rFonts w:cs="Times New Roman"/>
        </w:rPr>
        <w:t xml:space="preserve"> et des efforts qu’elle</w:t>
      </w:r>
      <w:r w:rsidR="0045107E" w:rsidRPr="00E72418">
        <w:rPr>
          <w:rFonts w:cs="Times New Roman"/>
        </w:rPr>
        <w:t>s</w:t>
      </w:r>
      <w:r w:rsidR="007C57EF" w:rsidRPr="00E72418">
        <w:rPr>
          <w:rFonts w:cs="Times New Roman"/>
        </w:rPr>
        <w:t xml:space="preserve"> implique</w:t>
      </w:r>
      <w:r w:rsidR="0045107E" w:rsidRPr="00E72418">
        <w:rPr>
          <w:rFonts w:cs="Times New Roman"/>
        </w:rPr>
        <w:t>nt</w:t>
      </w:r>
      <w:r w:rsidR="007C57EF" w:rsidRPr="00E72418">
        <w:rPr>
          <w:rFonts w:cs="Times New Roman"/>
        </w:rPr>
        <w:t xml:space="preserve"> pour les créanciers acceptant d’y participer, l’attitude individualiste des créanciers récalcitrants est </w:t>
      </w:r>
      <w:r w:rsidR="0045107E" w:rsidRPr="00E72418">
        <w:rPr>
          <w:rFonts w:cs="Times New Roman"/>
        </w:rPr>
        <w:t>souvent décriée. En effet, ceux-ci</w:t>
      </w:r>
      <w:r w:rsidR="007C57EF" w:rsidRPr="00E72418">
        <w:rPr>
          <w:rFonts w:cs="Times New Roman"/>
        </w:rPr>
        <w:t xml:space="preserve"> n’entendent pas participer à l’effort collectif nécessaire à l’assainissement de la situation de l’</w:t>
      </w:r>
      <w:r w:rsidR="007C57EF" w:rsidRPr="00E72418">
        <w:rPr>
          <w:lang w:eastAsia="fr-BE"/>
        </w:rPr>
        <w:t>É</w:t>
      </w:r>
      <w:r w:rsidR="007C57EF" w:rsidRPr="00E72418">
        <w:rPr>
          <w:rFonts w:cs="Times New Roman"/>
        </w:rPr>
        <w:t>tat débiteur</w:t>
      </w:r>
      <w:r w:rsidR="007C57EF" w:rsidRPr="00E72418">
        <w:rPr>
          <w:rStyle w:val="Appelnotedebasdep"/>
          <w:rFonts w:cs="Times New Roman"/>
        </w:rPr>
        <w:footnoteReference w:id="404"/>
      </w:r>
      <w:r w:rsidR="007C57EF" w:rsidRPr="00E72418">
        <w:rPr>
          <w:rFonts w:cs="Times New Roman"/>
        </w:rPr>
        <w:t xml:space="preserve">. Plus encore, leur attitude est parasitaire </w:t>
      </w:r>
      <w:r w:rsidR="007C57EF" w:rsidRPr="00E72418">
        <w:rPr>
          <w:rFonts w:cs="Times New Roman"/>
        </w:rPr>
        <w:lastRenderedPageBreak/>
        <w:t>des efforts consentis par le</w:t>
      </w:r>
      <w:r w:rsidR="00765A3A" w:rsidRPr="00E72418">
        <w:rPr>
          <w:rFonts w:cs="Times New Roman"/>
        </w:rPr>
        <w:t xml:space="preserve">s autres créanciers </w:t>
      </w:r>
      <w:r w:rsidR="00DC0045" w:rsidRPr="00E72418">
        <w:rPr>
          <w:rFonts w:cs="Times New Roman"/>
        </w:rPr>
        <w:t>coopérants</w:t>
      </w:r>
      <w:r w:rsidR="007C57EF" w:rsidRPr="00E72418">
        <w:rPr>
          <w:rStyle w:val="Appelnotedebasdep"/>
          <w:rFonts w:cs="Times New Roman"/>
        </w:rPr>
        <w:footnoteReference w:id="405"/>
      </w:r>
      <w:r w:rsidR="007C57EF" w:rsidRPr="00E72418">
        <w:rPr>
          <w:rFonts w:cs="Times New Roman"/>
        </w:rPr>
        <w:t xml:space="preserve">. Si l’opportunisme des créanciers récalcitrants est critiqué, le risque </w:t>
      </w:r>
      <w:r w:rsidR="00936A3F" w:rsidRPr="00E72418">
        <w:rPr>
          <w:rFonts w:cs="Times New Roman"/>
        </w:rPr>
        <w:t xml:space="preserve">d’échec </w:t>
      </w:r>
      <w:r w:rsidR="007C57EF" w:rsidRPr="00E72418">
        <w:rPr>
          <w:rFonts w:cs="Times New Roman"/>
        </w:rPr>
        <w:t xml:space="preserve">qu’ils font courir </w:t>
      </w:r>
      <w:r w:rsidR="00936A3F" w:rsidRPr="00E72418">
        <w:rPr>
          <w:rFonts w:cs="Times New Roman"/>
        </w:rPr>
        <w:t>aux</w:t>
      </w:r>
      <w:r w:rsidR="007C57EF" w:rsidRPr="00E72418">
        <w:rPr>
          <w:rFonts w:cs="Times New Roman"/>
        </w:rPr>
        <w:t xml:space="preserve"> restructuration</w:t>
      </w:r>
      <w:r w:rsidR="00936A3F" w:rsidRPr="00E72418">
        <w:rPr>
          <w:rFonts w:cs="Times New Roman"/>
        </w:rPr>
        <w:t>s</w:t>
      </w:r>
      <w:r w:rsidR="007C57EF" w:rsidRPr="00E72418">
        <w:rPr>
          <w:rFonts w:cs="Times New Roman"/>
        </w:rPr>
        <w:t xml:space="preserve"> l’est </w:t>
      </w:r>
      <w:r w:rsidR="00936A3F" w:rsidRPr="00E72418">
        <w:rPr>
          <w:rFonts w:cs="Times New Roman"/>
        </w:rPr>
        <w:t>tout autant</w:t>
      </w:r>
      <w:r w:rsidR="007C57EF" w:rsidRPr="00E72418">
        <w:rPr>
          <w:rStyle w:val="Appelnotedebasdep"/>
          <w:rFonts w:cs="Times New Roman"/>
        </w:rPr>
        <w:footnoteReference w:id="406"/>
      </w:r>
      <w:r w:rsidR="007C57EF" w:rsidRPr="00E72418">
        <w:rPr>
          <w:rFonts w:cs="Times New Roman"/>
        </w:rPr>
        <w:t xml:space="preserve">. </w:t>
      </w:r>
      <w:r w:rsidR="00EE0094" w:rsidRPr="00E72418">
        <w:t xml:space="preserve">Si la propension des autres créanciers à la restructuration peut se trouver entamée, il en va de même des débiteurs souverains qui, comme le note </w:t>
      </w:r>
      <w:r w:rsidR="003D7F91" w:rsidRPr="00E72418">
        <w:t xml:space="preserve">Daniel </w:t>
      </w:r>
      <w:r w:rsidR="00EE0094" w:rsidRPr="00E72418">
        <w:t>Brutti, « facing expensive holdout litigation have reduced incentives to implement economic reforms upon which restructuring deals are conditioned »</w:t>
      </w:r>
      <w:r w:rsidR="00EE0094" w:rsidRPr="00E72418">
        <w:rPr>
          <w:rStyle w:val="Appelnotedebasdep"/>
        </w:rPr>
        <w:footnoteReference w:id="407"/>
      </w:r>
      <w:r w:rsidR="00EE0094" w:rsidRPr="00E72418">
        <w:t>.</w:t>
      </w:r>
    </w:p>
    <w:p w14:paraId="72C0198F" w14:textId="77777777" w:rsidR="007C57EF" w:rsidRPr="00E72418" w:rsidRDefault="007C57EF" w:rsidP="00CC4BA8">
      <w:pPr>
        <w:spacing w:line="276" w:lineRule="auto"/>
        <w:rPr>
          <w:rFonts w:cs="Times New Roman"/>
        </w:rPr>
      </w:pPr>
      <w:r w:rsidRPr="00E72418">
        <w:rPr>
          <w:rFonts w:cs="Times New Roman"/>
        </w:rPr>
        <w:t xml:space="preserve">Face à la menace que font peser les créanciers récalcitrants, il apparaît que l’une des priorités d’un </w:t>
      </w:r>
      <w:r w:rsidRPr="00E72418">
        <w:rPr>
          <w:lang w:eastAsia="fr-BE"/>
        </w:rPr>
        <w:t>É</w:t>
      </w:r>
      <w:r w:rsidRPr="00E72418">
        <w:rPr>
          <w:rFonts w:cs="Times New Roman"/>
        </w:rPr>
        <w:t xml:space="preserve">tat débiteur désireux de restructurer sa dette doit être celle de la réduction </w:t>
      </w:r>
      <w:r w:rsidR="00E41F52" w:rsidRPr="00E72418">
        <w:rPr>
          <w:rFonts w:cs="Times New Roman"/>
        </w:rPr>
        <w:t xml:space="preserve">de </w:t>
      </w:r>
      <w:r w:rsidR="00936A3F" w:rsidRPr="00E72418">
        <w:rPr>
          <w:rFonts w:cs="Times New Roman"/>
        </w:rPr>
        <w:t>leur nombre potentiel</w:t>
      </w:r>
      <w:r w:rsidRPr="00E72418">
        <w:rPr>
          <w:rStyle w:val="Appelnotedebasdep"/>
          <w:rFonts w:cs="Times New Roman"/>
        </w:rPr>
        <w:footnoteReference w:id="408"/>
      </w:r>
      <w:r w:rsidRPr="00E72418">
        <w:rPr>
          <w:rFonts w:cs="Times New Roman"/>
        </w:rPr>
        <w:t xml:space="preserve">. Ainsi, </w:t>
      </w:r>
      <w:r w:rsidRPr="00E72418">
        <w:rPr>
          <w:rFonts w:cs="Times New Roman"/>
          <w:szCs w:val="24"/>
        </w:rPr>
        <w:t xml:space="preserve">il est des cas où le nombre de créanciers récalcitrants est à ce point peu important qu’il </w:t>
      </w:r>
      <w:r w:rsidR="007239B7" w:rsidRPr="00E72418">
        <w:rPr>
          <w:rFonts w:cs="Times New Roman"/>
          <w:szCs w:val="24"/>
        </w:rPr>
        <w:t>s’avère</w:t>
      </w:r>
      <w:r w:rsidRPr="00E72418">
        <w:rPr>
          <w:rFonts w:cs="Times New Roman"/>
          <w:szCs w:val="24"/>
        </w:rPr>
        <w:t xml:space="preserve"> plus avisé </w:t>
      </w:r>
      <w:r w:rsidR="007239B7" w:rsidRPr="00E72418">
        <w:rPr>
          <w:rFonts w:cs="Times New Roman"/>
          <w:szCs w:val="24"/>
        </w:rPr>
        <w:t>pour le débiteur d’accepter de</w:t>
      </w:r>
      <w:r w:rsidRPr="00E72418">
        <w:rPr>
          <w:rFonts w:cs="Times New Roman"/>
          <w:szCs w:val="24"/>
        </w:rPr>
        <w:t xml:space="preserve"> les </w:t>
      </w:r>
      <w:r w:rsidR="007239B7" w:rsidRPr="00E72418">
        <w:rPr>
          <w:rFonts w:cs="Times New Roman"/>
          <w:szCs w:val="24"/>
        </w:rPr>
        <w:t>désintéresser</w:t>
      </w:r>
      <w:r w:rsidRPr="00E72418">
        <w:rPr>
          <w:rFonts w:cs="Times New Roman"/>
          <w:szCs w:val="24"/>
        </w:rPr>
        <w:t xml:space="preserve"> plutôt que de se </w:t>
      </w:r>
      <w:r w:rsidR="007239B7" w:rsidRPr="00E72418">
        <w:rPr>
          <w:rFonts w:cs="Times New Roman"/>
          <w:szCs w:val="24"/>
        </w:rPr>
        <w:t>retrouver</w:t>
      </w:r>
      <w:r w:rsidRPr="00E72418">
        <w:rPr>
          <w:rFonts w:cs="Times New Roman"/>
          <w:szCs w:val="24"/>
        </w:rPr>
        <w:t xml:space="preserve"> attrait en justice</w:t>
      </w:r>
      <w:r w:rsidRPr="00E72418">
        <w:rPr>
          <w:rStyle w:val="Appelnotedebasdep"/>
          <w:rFonts w:cs="Times New Roman"/>
          <w:szCs w:val="24"/>
        </w:rPr>
        <w:footnoteReference w:id="409"/>
      </w:r>
      <w:r w:rsidRPr="00E72418">
        <w:rPr>
          <w:rFonts w:cs="Times New Roman"/>
          <w:szCs w:val="24"/>
        </w:rPr>
        <w:t xml:space="preserve">. Aussi, afin </w:t>
      </w:r>
      <w:r w:rsidR="007239B7" w:rsidRPr="00E72418">
        <w:rPr>
          <w:rFonts w:cs="Times New Roman"/>
          <w:szCs w:val="24"/>
        </w:rPr>
        <w:t>de contrer</w:t>
      </w:r>
      <w:r w:rsidRPr="00E72418">
        <w:rPr>
          <w:rFonts w:cs="Times New Roman"/>
          <w:szCs w:val="24"/>
        </w:rPr>
        <w:t xml:space="preserve"> </w:t>
      </w:r>
      <w:r w:rsidR="007239B7" w:rsidRPr="00E72418">
        <w:rPr>
          <w:rFonts w:cs="Times New Roman"/>
          <w:szCs w:val="24"/>
        </w:rPr>
        <w:t>le refus de participation</w:t>
      </w:r>
      <w:r w:rsidRPr="00E72418">
        <w:rPr>
          <w:rFonts w:cs="Times New Roman"/>
          <w:szCs w:val="24"/>
        </w:rPr>
        <w:t xml:space="preserve"> aux opérations de restructuration, l’insertion de clauses d’action collective s’est développée dans les contrats de dettes souveraines</w:t>
      </w:r>
      <w:r w:rsidR="007239B7" w:rsidRPr="00E72418">
        <w:rPr>
          <w:rFonts w:cs="Times New Roman"/>
          <w:szCs w:val="24"/>
        </w:rPr>
        <w:t>. Ces clauses permette</w:t>
      </w:r>
      <w:r w:rsidRPr="00E72418">
        <w:rPr>
          <w:rFonts w:cs="Times New Roman"/>
          <w:szCs w:val="24"/>
        </w:rPr>
        <w:t>nt que</w:t>
      </w:r>
      <w:r w:rsidR="007239B7" w:rsidRPr="00E72418">
        <w:rPr>
          <w:rFonts w:cs="Times New Roman"/>
          <w:szCs w:val="24"/>
        </w:rPr>
        <w:t xml:space="preserve"> les mesures</w:t>
      </w:r>
      <w:r w:rsidRPr="00E72418">
        <w:rPr>
          <w:rFonts w:cs="Times New Roman"/>
          <w:szCs w:val="24"/>
        </w:rPr>
        <w:t xml:space="preserve"> décidées par une majorité s’imposent à l’ensemble des créanciers</w:t>
      </w:r>
      <w:r w:rsidRPr="00E72418">
        <w:rPr>
          <w:rStyle w:val="Appelnotedebasdep"/>
          <w:rFonts w:cs="Times New Roman"/>
          <w:szCs w:val="24"/>
        </w:rPr>
        <w:footnoteReference w:id="410"/>
      </w:r>
      <w:r w:rsidRPr="00E72418">
        <w:rPr>
          <w:rFonts w:cs="Times New Roman"/>
          <w:szCs w:val="24"/>
        </w:rPr>
        <w:t>.</w:t>
      </w:r>
    </w:p>
    <w:p w14:paraId="4EA18181" w14:textId="77777777" w:rsidR="007C57EF" w:rsidRPr="00E72418" w:rsidRDefault="007C57EF" w:rsidP="00423B60"/>
    <w:p w14:paraId="24F203C3" w14:textId="19431BD7" w:rsidR="007C57EF"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74</w:t>
      </w:r>
      <w:r w:rsidR="007E31CD" w:rsidRPr="00E72418">
        <w:rPr>
          <w:rFonts w:ascii="Times New Roman" w:hAnsi="Times New Roman" w:cs="Times New Roman"/>
          <w:b/>
          <w:szCs w:val="24"/>
        </w:rPr>
        <w:t xml:space="preserve">. </w:t>
      </w:r>
      <w:r w:rsidR="007C57EF" w:rsidRPr="00E72418">
        <w:rPr>
          <w:rFonts w:ascii="Times New Roman" w:hAnsi="Times New Roman" w:cs="Times New Roman"/>
          <w:b/>
          <w:szCs w:val="24"/>
        </w:rPr>
        <w:t>Un problème relatif –</w:t>
      </w:r>
      <w:r w:rsidR="007C57EF" w:rsidRPr="00E72418">
        <w:rPr>
          <w:rFonts w:ascii="Times New Roman" w:hAnsi="Times New Roman" w:cs="Times New Roman"/>
          <w:szCs w:val="24"/>
        </w:rPr>
        <w:t xml:space="preserve"> </w:t>
      </w:r>
      <w:r w:rsidR="007239B7" w:rsidRPr="00E72418">
        <w:rPr>
          <w:rFonts w:ascii="Times New Roman" w:hAnsi="Times New Roman" w:cs="Times New Roman"/>
          <w:szCs w:val="24"/>
        </w:rPr>
        <w:t>Quoiqu’elles sont souvent remarquées, les</w:t>
      </w:r>
      <w:r w:rsidR="007C57EF" w:rsidRPr="00E72418">
        <w:rPr>
          <w:rFonts w:ascii="Times New Roman" w:hAnsi="Times New Roman" w:cs="Times New Roman"/>
          <w:szCs w:val="24"/>
        </w:rPr>
        <w:t xml:space="preserve"> situation</w:t>
      </w:r>
      <w:r w:rsidR="007239B7" w:rsidRPr="00E72418">
        <w:rPr>
          <w:rFonts w:ascii="Times New Roman" w:hAnsi="Times New Roman" w:cs="Times New Roman"/>
          <w:szCs w:val="24"/>
        </w:rPr>
        <w:t>s</w:t>
      </w:r>
      <w:r w:rsidR="007C57EF" w:rsidRPr="00E72418">
        <w:rPr>
          <w:rFonts w:ascii="Times New Roman" w:hAnsi="Times New Roman" w:cs="Times New Roman"/>
          <w:szCs w:val="24"/>
        </w:rPr>
        <w:t xml:space="preserve"> </w:t>
      </w:r>
      <w:r w:rsidR="007239B7" w:rsidRPr="00E72418">
        <w:rPr>
          <w:rFonts w:ascii="Times New Roman" w:hAnsi="Times New Roman" w:cs="Times New Roman"/>
          <w:szCs w:val="24"/>
        </w:rPr>
        <w:t>dans lesquelles</w:t>
      </w:r>
      <w:r w:rsidR="007C57EF" w:rsidRPr="00E72418">
        <w:rPr>
          <w:rFonts w:ascii="Times New Roman" w:hAnsi="Times New Roman" w:cs="Times New Roman"/>
          <w:szCs w:val="24"/>
        </w:rPr>
        <w:t xml:space="preserve"> des créanciers refusent de participer </w:t>
      </w:r>
      <w:r w:rsidR="007239B7" w:rsidRPr="00E72418">
        <w:rPr>
          <w:rFonts w:ascii="Times New Roman" w:hAnsi="Times New Roman" w:cs="Times New Roman"/>
          <w:szCs w:val="24"/>
        </w:rPr>
        <w:t>aux</w:t>
      </w:r>
      <w:r w:rsidR="007C57EF" w:rsidRPr="00E72418">
        <w:rPr>
          <w:rFonts w:ascii="Times New Roman" w:hAnsi="Times New Roman" w:cs="Times New Roman"/>
          <w:szCs w:val="24"/>
        </w:rPr>
        <w:t xml:space="preserve"> négociation</w:t>
      </w:r>
      <w:r w:rsidR="007239B7" w:rsidRPr="00E72418">
        <w:rPr>
          <w:rFonts w:ascii="Times New Roman" w:hAnsi="Times New Roman" w:cs="Times New Roman"/>
          <w:szCs w:val="24"/>
        </w:rPr>
        <w:t>s</w:t>
      </w:r>
      <w:r w:rsidR="007C57EF" w:rsidRPr="00E72418">
        <w:rPr>
          <w:rFonts w:ascii="Times New Roman" w:hAnsi="Times New Roman" w:cs="Times New Roman"/>
          <w:szCs w:val="24"/>
        </w:rPr>
        <w:t xml:space="preserve"> </w:t>
      </w:r>
      <w:r w:rsidR="007239B7" w:rsidRPr="00E72418">
        <w:rPr>
          <w:rFonts w:ascii="Times New Roman" w:hAnsi="Times New Roman" w:cs="Times New Roman"/>
          <w:szCs w:val="24"/>
        </w:rPr>
        <w:t>visant les restructurations doivent être relativisées</w:t>
      </w:r>
      <w:r w:rsidR="007C57EF" w:rsidRPr="00E72418">
        <w:rPr>
          <w:rFonts w:ascii="Times New Roman" w:hAnsi="Times New Roman" w:cs="Times New Roman"/>
          <w:szCs w:val="24"/>
        </w:rPr>
        <w:t xml:space="preserve"> au regard du nombre de créanciers s’engageant dans le processus consensuel</w:t>
      </w:r>
      <w:r w:rsidR="00604229" w:rsidRPr="00E72418">
        <w:rPr>
          <w:rStyle w:val="Appelnotedebasdep"/>
          <w:rFonts w:ascii="Times New Roman" w:hAnsi="Times New Roman" w:cs="Times New Roman"/>
          <w:szCs w:val="24"/>
        </w:rPr>
        <w:footnoteReference w:id="411"/>
      </w:r>
      <w:r w:rsidR="007C57EF" w:rsidRPr="00E72418">
        <w:rPr>
          <w:rFonts w:ascii="Times New Roman" w:hAnsi="Times New Roman" w:cs="Times New Roman"/>
          <w:szCs w:val="24"/>
        </w:rPr>
        <w:t xml:space="preserve">. En </w:t>
      </w:r>
      <w:r w:rsidR="007C57EF" w:rsidRPr="00E72418">
        <w:rPr>
          <w:rFonts w:ascii="Times New Roman" w:hAnsi="Times New Roman" w:cs="Times New Roman"/>
          <w:szCs w:val="24"/>
        </w:rPr>
        <w:lastRenderedPageBreak/>
        <w:t xml:space="preserve">règle, tant les </w:t>
      </w:r>
      <w:r w:rsidR="007C57EF" w:rsidRPr="00E72418">
        <w:rPr>
          <w:rFonts w:ascii="Times New Roman" w:hAnsi="Times New Roman" w:cs="Times New Roman"/>
          <w:lang w:eastAsia="fr-BE"/>
        </w:rPr>
        <w:t>É</w:t>
      </w:r>
      <w:r w:rsidR="007C57EF" w:rsidRPr="00E72418">
        <w:rPr>
          <w:rFonts w:ascii="Times New Roman" w:hAnsi="Times New Roman" w:cs="Times New Roman"/>
          <w:szCs w:val="24"/>
        </w:rPr>
        <w:t xml:space="preserve">tats débiteurs que </w:t>
      </w:r>
      <w:r w:rsidR="007239B7" w:rsidRPr="00E72418">
        <w:rPr>
          <w:rFonts w:ascii="Times New Roman" w:hAnsi="Times New Roman" w:cs="Times New Roman"/>
          <w:szCs w:val="24"/>
        </w:rPr>
        <w:t>leurs</w:t>
      </w:r>
      <w:r w:rsidR="007C57EF" w:rsidRPr="00E72418">
        <w:rPr>
          <w:rFonts w:ascii="Times New Roman" w:hAnsi="Times New Roman" w:cs="Times New Roman"/>
          <w:szCs w:val="24"/>
        </w:rPr>
        <w:t xml:space="preserve"> créanciers ont tendance à négocier conscients, pour les premiers, qu’il</w:t>
      </w:r>
      <w:r w:rsidR="007239B7" w:rsidRPr="00E72418">
        <w:rPr>
          <w:rFonts w:ascii="Times New Roman" w:hAnsi="Times New Roman" w:cs="Times New Roman"/>
          <w:szCs w:val="24"/>
        </w:rPr>
        <w:t>s</w:t>
      </w:r>
      <w:r w:rsidR="007C57EF" w:rsidRPr="00E72418">
        <w:rPr>
          <w:rFonts w:ascii="Times New Roman" w:hAnsi="Times New Roman" w:cs="Times New Roman"/>
          <w:szCs w:val="24"/>
        </w:rPr>
        <w:t xml:space="preserve"> ne dispose</w:t>
      </w:r>
      <w:r w:rsidR="007239B7" w:rsidRPr="00E72418">
        <w:rPr>
          <w:rFonts w:ascii="Times New Roman" w:hAnsi="Times New Roman" w:cs="Times New Roman"/>
          <w:szCs w:val="24"/>
        </w:rPr>
        <w:t>nt pas de</w:t>
      </w:r>
      <w:r w:rsidR="007C57EF" w:rsidRPr="00E72418">
        <w:rPr>
          <w:rFonts w:ascii="Times New Roman" w:hAnsi="Times New Roman" w:cs="Times New Roman"/>
          <w:szCs w:val="24"/>
        </w:rPr>
        <w:t xml:space="preserve"> mécanismes de protection </w:t>
      </w:r>
      <w:r w:rsidR="007239B7" w:rsidRPr="00E72418">
        <w:rPr>
          <w:rFonts w:ascii="Times New Roman" w:hAnsi="Times New Roman" w:cs="Times New Roman"/>
          <w:szCs w:val="24"/>
        </w:rPr>
        <w:t>de l’</w:t>
      </w:r>
      <w:r w:rsidR="007C57EF" w:rsidRPr="00E72418">
        <w:rPr>
          <w:rFonts w:ascii="Times New Roman" w:hAnsi="Times New Roman" w:cs="Times New Roman"/>
          <w:szCs w:val="24"/>
        </w:rPr>
        <w:t xml:space="preserve">insolvabilité, </w:t>
      </w:r>
      <w:r w:rsidR="00EE1B83" w:rsidRPr="00E72418">
        <w:rPr>
          <w:rFonts w:ascii="Times New Roman" w:hAnsi="Times New Roman" w:cs="Times New Roman"/>
          <w:szCs w:val="24"/>
        </w:rPr>
        <w:t xml:space="preserve">et </w:t>
      </w:r>
      <w:r w:rsidR="007C57EF" w:rsidRPr="00E72418">
        <w:rPr>
          <w:rFonts w:ascii="Times New Roman" w:hAnsi="Times New Roman" w:cs="Times New Roman"/>
          <w:szCs w:val="24"/>
        </w:rPr>
        <w:t xml:space="preserve">pour les seconds, que </w:t>
      </w:r>
      <w:r w:rsidR="007239B7" w:rsidRPr="00E72418">
        <w:rPr>
          <w:rFonts w:ascii="Times New Roman" w:hAnsi="Times New Roman" w:cs="Times New Roman"/>
          <w:szCs w:val="24"/>
        </w:rPr>
        <w:t xml:space="preserve">même </w:t>
      </w:r>
      <w:r w:rsidR="007C57EF" w:rsidRPr="00E72418">
        <w:rPr>
          <w:rFonts w:ascii="Times New Roman" w:hAnsi="Times New Roman" w:cs="Times New Roman"/>
          <w:szCs w:val="24"/>
        </w:rPr>
        <w:t xml:space="preserve">s’il </w:t>
      </w:r>
      <w:r w:rsidR="007239B7" w:rsidRPr="00E72418">
        <w:rPr>
          <w:rFonts w:ascii="Times New Roman" w:hAnsi="Times New Roman" w:cs="Times New Roman"/>
          <w:szCs w:val="24"/>
        </w:rPr>
        <w:t>s’avérait être</w:t>
      </w:r>
      <w:r w:rsidR="007C57EF" w:rsidRPr="00E72418">
        <w:rPr>
          <w:rFonts w:ascii="Times New Roman" w:hAnsi="Times New Roman" w:cs="Times New Roman"/>
          <w:szCs w:val="24"/>
        </w:rPr>
        <w:t xml:space="preserve"> chose relativement aisée de faire condamner </w:t>
      </w:r>
      <w:r w:rsidR="007239B7" w:rsidRPr="00E72418">
        <w:rPr>
          <w:rFonts w:ascii="Times New Roman" w:hAnsi="Times New Roman" w:cs="Times New Roman"/>
          <w:szCs w:val="24"/>
        </w:rPr>
        <w:t>leur</w:t>
      </w:r>
      <w:r w:rsidR="007C57EF" w:rsidRPr="00E72418">
        <w:rPr>
          <w:rFonts w:ascii="Times New Roman" w:hAnsi="Times New Roman" w:cs="Times New Roman"/>
          <w:szCs w:val="24"/>
        </w:rPr>
        <w:t xml:space="preserve"> débiteur</w:t>
      </w:r>
      <w:r w:rsidR="00025355" w:rsidRPr="00E72418">
        <w:rPr>
          <w:rFonts w:ascii="Times New Roman" w:hAnsi="Times New Roman" w:cs="Times New Roman"/>
          <w:szCs w:val="24"/>
        </w:rPr>
        <w:t>,</w:t>
      </w:r>
      <w:r w:rsidR="007C57EF" w:rsidRPr="00E72418">
        <w:rPr>
          <w:rFonts w:ascii="Times New Roman" w:hAnsi="Times New Roman" w:cs="Times New Roman"/>
          <w:szCs w:val="24"/>
        </w:rPr>
        <w:t xml:space="preserve"> l’exécution de la condamnation obtenue </w:t>
      </w:r>
      <w:r w:rsidR="00791C9C" w:rsidRPr="00E72418">
        <w:rPr>
          <w:rFonts w:ascii="Times New Roman" w:hAnsi="Times New Roman" w:cs="Times New Roman"/>
          <w:szCs w:val="24"/>
        </w:rPr>
        <w:t>ne serait</w:t>
      </w:r>
      <w:r w:rsidR="007C57EF" w:rsidRPr="00E72418">
        <w:rPr>
          <w:rFonts w:ascii="Times New Roman" w:hAnsi="Times New Roman" w:cs="Times New Roman"/>
          <w:szCs w:val="24"/>
        </w:rPr>
        <w:t xml:space="preserve"> </w:t>
      </w:r>
      <w:r w:rsidR="00025355" w:rsidRPr="00E72418">
        <w:rPr>
          <w:rFonts w:ascii="Times New Roman" w:hAnsi="Times New Roman" w:cs="Times New Roman"/>
          <w:szCs w:val="24"/>
        </w:rPr>
        <w:t xml:space="preserve">quant à </w:t>
      </w:r>
      <w:r w:rsidR="00791C9C" w:rsidRPr="00E72418">
        <w:rPr>
          <w:rFonts w:ascii="Times New Roman" w:hAnsi="Times New Roman" w:cs="Times New Roman"/>
          <w:szCs w:val="24"/>
        </w:rPr>
        <w:t xml:space="preserve">elle </w:t>
      </w:r>
      <w:r w:rsidR="007C57EF" w:rsidRPr="00E72418">
        <w:rPr>
          <w:rFonts w:ascii="Times New Roman" w:hAnsi="Times New Roman" w:cs="Times New Roman"/>
          <w:szCs w:val="24"/>
        </w:rPr>
        <w:t xml:space="preserve">pas </w:t>
      </w:r>
      <w:r w:rsidR="00791C9C" w:rsidRPr="00E72418">
        <w:rPr>
          <w:rFonts w:ascii="Times New Roman" w:hAnsi="Times New Roman" w:cs="Times New Roman"/>
          <w:szCs w:val="24"/>
        </w:rPr>
        <w:t>chose évidente</w:t>
      </w:r>
      <w:r w:rsidR="007C57EF" w:rsidRPr="00E72418">
        <w:rPr>
          <w:rStyle w:val="Appelnotedebasdep"/>
          <w:rFonts w:ascii="Times New Roman" w:hAnsi="Times New Roman" w:cs="Times New Roman"/>
          <w:szCs w:val="24"/>
        </w:rPr>
        <w:footnoteReference w:id="412"/>
      </w:r>
      <w:r w:rsidR="007C57EF" w:rsidRPr="00E72418">
        <w:rPr>
          <w:rFonts w:ascii="Times New Roman" w:hAnsi="Times New Roman" w:cs="Times New Roman"/>
          <w:szCs w:val="24"/>
        </w:rPr>
        <w:t xml:space="preserve">. Ainsi, comme le note </w:t>
      </w:r>
      <w:r w:rsidR="003D7F91" w:rsidRPr="00E72418">
        <w:rPr>
          <w:rFonts w:ascii="Times New Roman" w:hAnsi="Times New Roman" w:cs="Times New Roman"/>
          <w:szCs w:val="24"/>
        </w:rPr>
        <w:t xml:space="preserve">Rodrigo </w:t>
      </w:r>
      <w:r w:rsidR="007C57EF" w:rsidRPr="00E72418">
        <w:rPr>
          <w:rFonts w:ascii="Times New Roman" w:hAnsi="Times New Roman" w:cs="Times New Roman"/>
        </w:rPr>
        <w:t>Olivares-Caminal</w:t>
      </w:r>
      <w:r w:rsidR="007C57EF" w:rsidRPr="00E72418">
        <w:rPr>
          <w:rFonts w:ascii="Times New Roman" w:hAnsi="Times New Roman" w:cs="Times New Roman"/>
          <w:szCs w:val="24"/>
        </w:rPr>
        <w:t>, « </w:t>
      </w:r>
      <w:r w:rsidR="007C57EF" w:rsidRPr="00E72418">
        <w:rPr>
          <w:rFonts w:ascii="Times New Roman" w:hAnsi="Times New Roman" w:cs="Times New Roman"/>
        </w:rPr>
        <w:t>[f]</w:t>
      </w:r>
      <w:r w:rsidR="007C57EF" w:rsidRPr="00E72418">
        <w:rPr>
          <w:rFonts w:ascii="Times New Roman" w:hAnsi="Times New Roman" w:cs="Times New Roman"/>
          <w:szCs w:val="24"/>
        </w:rPr>
        <w:t>or the majority of creditors though, attempting to enforce a ruling to gain assets through litigation may prove to be a futile and hopeless labour »</w:t>
      </w:r>
      <w:r w:rsidR="007C57EF" w:rsidRPr="00E72418">
        <w:rPr>
          <w:rStyle w:val="Appelnotedebasdep"/>
          <w:rFonts w:ascii="Times New Roman" w:hAnsi="Times New Roman" w:cs="Times New Roman"/>
          <w:szCs w:val="24"/>
        </w:rPr>
        <w:footnoteReference w:id="413"/>
      </w:r>
      <w:r w:rsidR="007C57EF" w:rsidRPr="00E72418">
        <w:rPr>
          <w:rFonts w:ascii="Times New Roman" w:hAnsi="Times New Roman" w:cs="Times New Roman"/>
          <w:szCs w:val="24"/>
        </w:rPr>
        <w:t>.</w:t>
      </w:r>
      <w:r w:rsidR="00967C5D" w:rsidRPr="00E72418">
        <w:rPr>
          <w:rFonts w:ascii="Times New Roman" w:hAnsi="Times New Roman" w:cs="Times New Roman"/>
          <w:szCs w:val="24"/>
        </w:rPr>
        <w:t xml:space="preserve"> Le problème est d’autant plus relatif que </w:t>
      </w:r>
      <w:r w:rsidR="002C123A" w:rsidRPr="00E72418">
        <w:rPr>
          <w:rFonts w:ascii="Times New Roman" w:hAnsi="Times New Roman" w:cs="Times New Roman"/>
          <w:szCs w:val="24"/>
        </w:rPr>
        <w:t xml:space="preserve">l’on ne saurait traiter de la même manière les difficultés occasionnées par des prêteurs originaires refusant de participer aux efforts de restructuration et celles engendrées par des créanciers ayant racheté, dans un dessein spéculatif, des titres sur le marché secondaire qui refusent de participer </w:t>
      </w:r>
      <w:r w:rsidR="00AC0C36" w:rsidRPr="00E72418">
        <w:rPr>
          <w:rFonts w:ascii="Times New Roman" w:hAnsi="Times New Roman" w:cs="Times New Roman"/>
          <w:szCs w:val="24"/>
        </w:rPr>
        <w:t>à l’effort collectif</w:t>
      </w:r>
      <w:r w:rsidR="002C123A" w:rsidRPr="00E72418">
        <w:rPr>
          <w:rStyle w:val="Appelnotedebasdep"/>
          <w:rFonts w:ascii="Times New Roman" w:hAnsi="Times New Roman" w:cs="Times New Roman"/>
          <w:szCs w:val="24"/>
        </w:rPr>
        <w:footnoteReference w:id="414"/>
      </w:r>
      <w:r w:rsidR="002C123A" w:rsidRPr="00E72418">
        <w:rPr>
          <w:rFonts w:ascii="Times New Roman" w:hAnsi="Times New Roman" w:cs="Times New Roman"/>
          <w:szCs w:val="24"/>
        </w:rPr>
        <w:t>.</w:t>
      </w:r>
    </w:p>
    <w:p w14:paraId="738717C5" w14:textId="77777777" w:rsidR="007C57EF" w:rsidRPr="00E72418" w:rsidRDefault="007C57EF" w:rsidP="00423B60"/>
    <w:p w14:paraId="20A7C8CB" w14:textId="591B00FD" w:rsidR="007C57EF" w:rsidRPr="00E72418" w:rsidRDefault="000764CE" w:rsidP="00CC4BA8">
      <w:pPr>
        <w:pStyle w:val="CC"/>
        <w:spacing w:line="276" w:lineRule="auto"/>
      </w:pPr>
      <w:bookmarkStart w:id="76" w:name="_Toc15985911"/>
      <w:bookmarkStart w:id="77" w:name="_Toc18328193"/>
      <w:bookmarkStart w:id="78" w:name="_Toc59280892"/>
      <w:bookmarkStart w:id="79" w:name="_Toc75106069"/>
      <w:bookmarkStart w:id="80" w:name="_Toc84540881"/>
      <w:r w:rsidRPr="00E72418">
        <w:t xml:space="preserve">Chapitre 2 : </w:t>
      </w:r>
      <w:r w:rsidR="007C57EF" w:rsidRPr="00E72418">
        <w:t>Les contentieux</w:t>
      </w:r>
      <w:bookmarkEnd w:id="76"/>
      <w:bookmarkEnd w:id="77"/>
      <w:bookmarkEnd w:id="78"/>
      <w:bookmarkEnd w:id="79"/>
      <w:bookmarkEnd w:id="80"/>
    </w:p>
    <w:p w14:paraId="5FCEE0B2" w14:textId="77777777" w:rsidR="007C57EF" w:rsidRPr="00E72418" w:rsidRDefault="007C57EF" w:rsidP="00423B60"/>
    <w:p w14:paraId="1E8EFB69" w14:textId="45B7E3F7"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75</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D’une intervention militaire à une intervention judiciaire – </w:t>
      </w:r>
      <w:r w:rsidR="007C57EF" w:rsidRPr="00E72418">
        <w:rPr>
          <w:rFonts w:ascii="Times New Roman" w:hAnsi="Times New Roman" w:cs="Times New Roman"/>
        </w:rPr>
        <w:t>Si aujourd’hui les créanciers privés d’</w:t>
      </w:r>
      <w:r w:rsidR="007C57EF" w:rsidRPr="00E72418">
        <w:rPr>
          <w:rFonts w:ascii="Times New Roman" w:hAnsi="Times New Roman" w:cs="Times New Roman"/>
          <w:lang w:eastAsia="fr-BE"/>
        </w:rPr>
        <w:t>É</w:t>
      </w:r>
      <w:r w:rsidR="006B359F" w:rsidRPr="00E72418">
        <w:rPr>
          <w:rFonts w:ascii="Times New Roman" w:hAnsi="Times New Roman" w:cs="Times New Roman"/>
        </w:rPr>
        <w:t xml:space="preserve">tats souverains s’adressent </w:t>
      </w:r>
      <w:r w:rsidR="007C57EF" w:rsidRPr="00E72418">
        <w:rPr>
          <w:rFonts w:ascii="Times New Roman" w:hAnsi="Times New Roman" w:cs="Times New Roman"/>
        </w:rPr>
        <w:t xml:space="preserve">généralement </w:t>
      </w:r>
      <w:r w:rsidR="006B359F" w:rsidRPr="00E72418">
        <w:rPr>
          <w:rFonts w:ascii="Times New Roman" w:hAnsi="Times New Roman" w:cs="Times New Roman"/>
        </w:rPr>
        <w:t>aux</w:t>
      </w:r>
      <w:r w:rsidR="007C57EF" w:rsidRPr="00E72418">
        <w:rPr>
          <w:rFonts w:ascii="Times New Roman" w:hAnsi="Times New Roman" w:cs="Times New Roman"/>
        </w:rPr>
        <w:t xml:space="preserve"> juridictions n</w:t>
      </w:r>
      <w:r w:rsidR="006B359F" w:rsidRPr="00E72418">
        <w:rPr>
          <w:rFonts w:ascii="Times New Roman" w:hAnsi="Times New Roman" w:cs="Times New Roman"/>
        </w:rPr>
        <w:t>ationales ou arbitrales afin de poursuivre le règlement</w:t>
      </w:r>
      <w:r w:rsidR="007C57EF" w:rsidRPr="00E72418">
        <w:rPr>
          <w:rFonts w:ascii="Times New Roman" w:hAnsi="Times New Roman" w:cs="Times New Roman"/>
        </w:rPr>
        <w:t xml:space="preserve"> des dettes qu’ils détiennent, il fut un temps où prévalait la diplomatie dite </w:t>
      </w:r>
      <w:r w:rsidR="006B359F" w:rsidRPr="00E72418">
        <w:rPr>
          <w:rFonts w:ascii="Times New Roman" w:hAnsi="Times New Roman" w:cs="Times New Roman"/>
        </w:rPr>
        <w:t>« </w:t>
      </w:r>
      <w:r w:rsidR="007C57EF" w:rsidRPr="00E72418">
        <w:rPr>
          <w:rFonts w:ascii="Times New Roman" w:hAnsi="Times New Roman" w:cs="Times New Roman"/>
        </w:rPr>
        <w:t>de la canonnière</w:t>
      </w:r>
      <w:r w:rsidR="006B359F" w:rsidRPr="00E72418">
        <w:rPr>
          <w:rFonts w:ascii="Times New Roman" w:hAnsi="Times New Roman" w:cs="Times New Roman"/>
        </w:rPr>
        <w:t> »</w:t>
      </w:r>
      <w:r w:rsidR="007C57EF" w:rsidRPr="00E72418">
        <w:rPr>
          <w:rFonts w:ascii="Times New Roman" w:hAnsi="Times New Roman" w:cs="Times New Roman"/>
        </w:rPr>
        <w:t>. Les créanciers se tournaient alors vers leur propre gouvernement pour leur demander d’intervenir en leur faveur</w:t>
      </w:r>
      <w:r w:rsidR="006D1125" w:rsidRPr="00E72418">
        <w:rPr>
          <w:rStyle w:val="Appelnotedebasdep"/>
          <w:rFonts w:ascii="Times New Roman" w:hAnsi="Times New Roman" w:cs="Times New Roman"/>
        </w:rPr>
        <w:footnoteReference w:id="415"/>
      </w:r>
      <w:r w:rsidR="006D1125" w:rsidRPr="00E72418">
        <w:rPr>
          <w:rFonts w:ascii="Times New Roman" w:hAnsi="Times New Roman" w:cs="Times New Roman"/>
          <w:vertAlign w:val="superscript"/>
        </w:rPr>
        <w:t>,</w:t>
      </w:r>
      <w:r w:rsidR="007C57EF" w:rsidRPr="00E72418">
        <w:rPr>
          <w:rStyle w:val="Appelnotedebasdep"/>
          <w:rFonts w:ascii="Times New Roman" w:hAnsi="Times New Roman" w:cs="Times New Roman"/>
        </w:rPr>
        <w:footnoteReference w:id="416"/>
      </w:r>
      <w:r w:rsidR="007C57EF" w:rsidRPr="00E72418">
        <w:rPr>
          <w:rFonts w:ascii="Times New Roman" w:hAnsi="Times New Roman" w:cs="Times New Roman"/>
        </w:rPr>
        <w:t>. Même si nombre de ces demandes n’étaient pas suivies d’effet, certaines aboutirent et conduisirent à des interventions militaires</w:t>
      </w:r>
      <w:r w:rsidR="007C57EF" w:rsidRPr="00E72418">
        <w:rPr>
          <w:rStyle w:val="Appelnotedebasdep"/>
          <w:rFonts w:ascii="Times New Roman" w:hAnsi="Times New Roman" w:cs="Times New Roman"/>
        </w:rPr>
        <w:footnoteReference w:id="417"/>
      </w:r>
      <w:r w:rsidR="007C57EF" w:rsidRPr="00E72418">
        <w:rPr>
          <w:rFonts w:ascii="Times New Roman" w:hAnsi="Times New Roman" w:cs="Times New Roman"/>
        </w:rPr>
        <w:t xml:space="preserve">. </w:t>
      </w:r>
    </w:p>
    <w:p w14:paraId="6E4FB073" w14:textId="0946EF4A" w:rsidR="007C57EF" w:rsidRPr="00E72418" w:rsidRDefault="007C57EF" w:rsidP="00CC4BA8">
      <w:pPr>
        <w:spacing w:line="276" w:lineRule="auto"/>
        <w:rPr>
          <w:rFonts w:ascii="Times New Roman" w:hAnsi="Times New Roman" w:cs="Times New Roman"/>
        </w:rPr>
      </w:pPr>
      <w:r w:rsidRPr="00E72418">
        <w:rPr>
          <w:rFonts w:ascii="Times New Roman" w:hAnsi="Times New Roman" w:cs="Times New Roman"/>
        </w:rPr>
        <w:lastRenderedPageBreak/>
        <w:t xml:space="preserve">Quoi qu’il y fut un temps recouru, l’usage de la force par les </w:t>
      </w:r>
      <w:r w:rsidRPr="00E72418">
        <w:rPr>
          <w:rFonts w:ascii="Times New Roman" w:hAnsi="Times New Roman" w:cs="Times New Roman"/>
          <w:lang w:eastAsia="fr-BE"/>
        </w:rPr>
        <w:t>É</w:t>
      </w:r>
      <w:r w:rsidRPr="00E72418">
        <w:rPr>
          <w:rFonts w:ascii="Times New Roman" w:hAnsi="Times New Roman" w:cs="Times New Roman"/>
        </w:rPr>
        <w:t>tats fut condamné</w:t>
      </w:r>
      <w:r w:rsidRPr="00E72418">
        <w:rPr>
          <w:rStyle w:val="Appelnotedebasdep"/>
          <w:rFonts w:ascii="Times New Roman" w:hAnsi="Times New Roman" w:cs="Times New Roman"/>
        </w:rPr>
        <w:footnoteReference w:id="418"/>
      </w:r>
      <w:r w:rsidRPr="00E72418">
        <w:rPr>
          <w:rFonts w:ascii="Times New Roman" w:hAnsi="Times New Roman" w:cs="Times New Roman"/>
        </w:rPr>
        <w:t xml:space="preserve">. Lors de la seconde moitié du </w:t>
      </w:r>
      <w:r w:rsidR="002E10ED" w:rsidRPr="00E72418">
        <w:rPr>
          <w:rFonts w:ascii="Times New Roman" w:hAnsi="Times New Roman" w:cs="Times New Roman"/>
        </w:rPr>
        <w:t>dix-neuvième siècle, l</w:t>
      </w:r>
      <w:r w:rsidRPr="00E72418">
        <w:rPr>
          <w:rFonts w:ascii="Times New Roman" w:hAnsi="Times New Roman" w:cs="Times New Roman"/>
        </w:rPr>
        <w:t>e juriste argentin</w:t>
      </w:r>
      <w:r w:rsidR="002E10ED" w:rsidRPr="00E72418">
        <w:rPr>
          <w:rFonts w:ascii="Times New Roman" w:hAnsi="Times New Roman" w:cs="Times New Roman"/>
        </w:rPr>
        <w:t xml:space="preserve"> Calvo posa les bases d’une doctrine prenant</w:t>
      </w:r>
      <w:r w:rsidRPr="00E72418">
        <w:rPr>
          <w:rFonts w:ascii="Times New Roman" w:hAnsi="Times New Roman" w:cs="Times New Roman"/>
        </w:rPr>
        <w:t xml:space="preserve"> son nom </w:t>
      </w:r>
      <w:r w:rsidR="002E10ED" w:rsidRPr="00E72418">
        <w:rPr>
          <w:rFonts w:ascii="Times New Roman" w:hAnsi="Times New Roman" w:cs="Times New Roman"/>
        </w:rPr>
        <w:t>qui</w:t>
      </w:r>
      <w:r w:rsidRPr="00E72418">
        <w:rPr>
          <w:rFonts w:ascii="Times New Roman" w:hAnsi="Times New Roman" w:cs="Times New Roman"/>
        </w:rPr>
        <w:t xml:space="preserve"> condamnait les interventions armées </w:t>
      </w:r>
      <w:r w:rsidR="002E10ED" w:rsidRPr="00E72418">
        <w:rPr>
          <w:rFonts w:ascii="Times New Roman" w:hAnsi="Times New Roman" w:cs="Times New Roman"/>
        </w:rPr>
        <w:t>liées aux</w:t>
      </w:r>
      <w:r w:rsidRPr="00E72418">
        <w:rPr>
          <w:rFonts w:ascii="Times New Roman" w:hAnsi="Times New Roman" w:cs="Times New Roman"/>
        </w:rPr>
        <w:t xml:space="preserve"> contentieux </w:t>
      </w:r>
      <w:r w:rsidR="000F6CC9" w:rsidRPr="00E72418">
        <w:rPr>
          <w:rFonts w:ascii="Times New Roman" w:hAnsi="Times New Roman" w:cs="Times New Roman"/>
        </w:rPr>
        <w:t>portant sur des réclam</w:t>
      </w:r>
      <w:r w:rsidR="00025355" w:rsidRPr="00E72418">
        <w:rPr>
          <w:rFonts w:ascii="Times New Roman" w:hAnsi="Times New Roman" w:cs="Times New Roman"/>
        </w:rPr>
        <w:t>ations privées de nature pécuniai</w:t>
      </w:r>
      <w:r w:rsidR="000F6CC9" w:rsidRPr="00E72418">
        <w:rPr>
          <w:rFonts w:ascii="Times New Roman" w:hAnsi="Times New Roman" w:cs="Times New Roman"/>
        </w:rPr>
        <w:t>re</w:t>
      </w:r>
      <w:r w:rsidRPr="00E72418">
        <w:rPr>
          <w:rStyle w:val="Appelnotedebasdep"/>
          <w:rFonts w:ascii="Times New Roman" w:hAnsi="Times New Roman" w:cs="Times New Roman"/>
        </w:rPr>
        <w:footnoteReference w:id="419"/>
      </w:r>
      <w:r w:rsidRPr="00E72418">
        <w:rPr>
          <w:rFonts w:ascii="Times New Roman" w:hAnsi="Times New Roman" w:cs="Times New Roman"/>
        </w:rPr>
        <w:t>. En 1902, le ministre des a</w:t>
      </w:r>
      <w:r w:rsidR="002E10ED" w:rsidRPr="00E72418">
        <w:rPr>
          <w:rFonts w:ascii="Times New Roman" w:hAnsi="Times New Roman" w:cs="Times New Roman"/>
        </w:rPr>
        <w:t xml:space="preserve">ffaires étrangères argentin Drago </w:t>
      </w:r>
      <w:r w:rsidRPr="00E72418">
        <w:rPr>
          <w:rFonts w:ascii="Times New Roman" w:hAnsi="Times New Roman" w:cs="Times New Roman"/>
        </w:rPr>
        <w:t>releva que « [t]he acknowledgment of the debt, the payment of it in its entirety, can and must be made by the nation without diminution of its inherent right as a sovereign entity, but the summary and immediate collection at a given moment, by means of force, would occasion nothing less than the ruin of the weakest nations, and the absorption of their governments, together with all the</w:t>
      </w:r>
      <w:r w:rsidRPr="00E72418">
        <w:t xml:space="preserve"> </w:t>
      </w:r>
      <w:r w:rsidRPr="00E72418">
        <w:rPr>
          <w:rFonts w:ascii="Times New Roman" w:hAnsi="Times New Roman" w:cs="Times New Roman"/>
        </w:rPr>
        <w:t xml:space="preserve">functions inherent in them, by the mighty of the earth ». Et Drago d’encore ajouter </w:t>
      </w:r>
      <w:r w:rsidR="009E72E5">
        <w:rPr>
          <w:rFonts w:ascii="Times New Roman" w:hAnsi="Times New Roman" w:cs="Times New Roman"/>
        </w:rPr>
        <w:t xml:space="preserve">que </w:t>
      </w:r>
      <w:r w:rsidRPr="00E72418">
        <w:rPr>
          <w:rFonts w:ascii="Times New Roman" w:hAnsi="Times New Roman" w:cs="Times New Roman"/>
        </w:rPr>
        <w:t>« [t]he loss of prestige and credit experienced by States which fail to satisfy the rightful claims of their lawful creditors brings with it difficulties of such magnitude as to render it unnecessary for foreign intervention to aggravate with its oppression the temporary misfortunes of insolvency »</w:t>
      </w:r>
      <w:r w:rsidR="00985C96" w:rsidRPr="00E72418">
        <w:rPr>
          <w:rStyle w:val="Appelnotedebasdep"/>
          <w:rFonts w:ascii="Times New Roman" w:hAnsi="Times New Roman" w:cs="Times New Roman"/>
        </w:rPr>
        <w:footnoteReference w:id="420"/>
      </w:r>
      <w:r w:rsidRPr="00E72418">
        <w:rPr>
          <w:rFonts w:ascii="Times New Roman" w:hAnsi="Times New Roman" w:cs="Times New Roman"/>
        </w:rPr>
        <w:t xml:space="preserve">. </w:t>
      </w:r>
      <w:r w:rsidR="00120C88" w:rsidRPr="00E72418">
        <w:rPr>
          <w:rFonts w:ascii="Times New Roman" w:hAnsi="Times New Roman" w:cs="Times New Roman"/>
          <w:szCs w:val="24"/>
        </w:rPr>
        <w:t>En 1907 fut signée à La Haye par une quarantaine d’</w:t>
      </w:r>
      <w:r w:rsidR="00120C88" w:rsidRPr="00E72418">
        <w:rPr>
          <w:rFonts w:ascii="Times New Roman" w:hAnsi="Times New Roman" w:cs="Times New Roman"/>
          <w:szCs w:val="24"/>
          <w:lang w:eastAsia="fr-BE"/>
        </w:rPr>
        <w:t>É</w:t>
      </w:r>
      <w:r w:rsidR="00334DB1">
        <w:rPr>
          <w:rFonts w:ascii="Times New Roman" w:hAnsi="Times New Roman" w:cs="Times New Roman"/>
          <w:szCs w:val="24"/>
        </w:rPr>
        <w:t>tats la c</w:t>
      </w:r>
      <w:r w:rsidR="00120C88" w:rsidRPr="00E72418">
        <w:rPr>
          <w:rFonts w:ascii="Times New Roman" w:hAnsi="Times New Roman" w:cs="Times New Roman"/>
          <w:szCs w:val="24"/>
        </w:rPr>
        <w:t xml:space="preserve">onvention </w:t>
      </w:r>
      <w:r w:rsidR="00120C88" w:rsidRPr="00E72418">
        <w:rPr>
          <w:rFonts w:ascii="Times New Roman" w:hAnsi="Times New Roman" w:cs="Times New Roman"/>
          <w:szCs w:val="24"/>
          <w:lang w:val="fr-BE"/>
        </w:rPr>
        <w:t>concernant la limitation de l’emploi de la force pour le recouvrement de dettes contractuelles qui disposait notamment que « (l)es puissances contractantes sont convenues de ne pas avoir recours à la force armée pour le recouvrement de dettes contractuelles réclamées au gouvernement d’un pays par le gouvernement d’un autre pays comme dues à ses nationaux ».</w:t>
      </w:r>
    </w:p>
    <w:p w14:paraId="02312CA8" w14:textId="237A02E6"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rPr>
        <w:t xml:space="preserve">Jusqu’au tournant de la crise sud-américaine, les contentieux relatifs aux dettes souveraines se firent rares. </w:t>
      </w:r>
      <w:r w:rsidR="00674C1A" w:rsidRPr="00E72418">
        <w:t>À</w:t>
      </w:r>
      <w:r w:rsidR="00674C1A" w:rsidRPr="00E72418">
        <w:rPr>
          <w:rFonts w:ascii="Times New Roman" w:hAnsi="Times New Roman" w:cs="Times New Roman"/>
        </w:rPr>
        <w:t xml:space="preserve"> </w:t>
      </w:r>
      <w:r w:rsidRPr="00E72418">
        <w:rPr>
          <w:rFonts w:ascii="Times New Roman" w:hAnsi="Times New Roman" w:cs="Times New Roman"/>
        </w:rPr>
        <w:t>l’époque de</w:t>
      </w:r>
      <w:r w:rsidRPr="00E72418">
        <w:rPr>
          <w:rFonts w:ascii="Times New Roman" w:hAnsi="Times New Roman" w:cs="Times New Roman"/>
          <w:szCs w:val="24"/>
        </w:rPr>
        <w:t xml:space="preserve">s </w:t>
      </w:r>
      <w:r w:rsidRPr="00E72418">
        <w:rPr>
          <w:rFonts w:ascii="Times New Roman" w:hAnsi="Times New Roman" w:cs="Times New Roman"/>
          <w:i/>
          <w:szCs w:val="24"/>
        </w:rPr>
        <w:t>syndicated loan contracts</w:t>
      </w:r>
      <w:r w:rsidRPr="00E72418">
        <w:rPr>
          <w:rFonts w:ascii="Times New Roman" w:hAnsi="Times New Roman" w:cs="Times New Roman"/>
          <w:szCs w:val="24"/>
        </w:rPr>
        <w:t xml:space="preserve">, les difficultés étaient généralement résolues de manière ordonnée avec l’ensemble des créanciers sans qu’aucun </w:t>
      </w:r>
      <w:r w:rsidR="00DE6353" w:rsidRPr="00E72418">
        <w:rPr>
          <w:rFonts w:ascii="Times New Roman" w:hAnsi="Times New Roman" w:cs="Times New Roman"/>
          <w:szCs w:val="24"/>
        </w:rPr>
        <w:t>d’eux</w:t>
      </w:r>
      <w:r w:rsidRPr="00E72418">
        <w:rPr>
          <w:rFonts w:ascii="Times New Roman" w:hAnsi="Times New Roman" w:cs="Times New Roman"/>
          <w:szCs w:val="24"/>
        </w:rPr>
        <w:t xml:space="preserve"> n’adopte de comportement récalcitrant</w:t>
      </w:r>
      <w:r w:rsidRPr="00E72418">
        <w:rPr>
          <w:rStyle w:val="Appelnotedebasdep"/>
          <w:rFonts w:ascii="Times New Roman" w:hAnsi="Times New Roman" w:cs="Times New Roman"/>
          <w:szCs w:val="24"/>
        </w:rPr>
        <w:footnoteReference w:id="421"/>
      </w:r>
      <w:r w:rsidRPr="00E72418">
        <w:rPr>
          <w:rFonts w:ascii="Times New Roman" w:hAnsi="Times New Roman" w:cs="Times New Roman"/>
          <w:szCs w:val="24"/>
        </w:rPr>
        <w:t>. Parallèlement à cela, l</w:t>
      </w:r>
      <w:r w:rsidRPr="00E72418">
        <w:rPr>
          <w:rFonts w:ascii="Times New Roman" w:hAnsi="Times New Roman" w:cs="Times New Roman"/>
        </w:rPr>
        <w:t xml:space="preserve">a forte doctrine de l’immunité souveraine existant à l’époque et, plus généralement, la réticence des juridictions à interférer dans les conflits relatifs aux dettes souveraines </w:t>
      </w:r>
      <w:r w:rsidR="009D58FE" w:rsidRPr="00E72418">
        <w:rPr>
          <w:rFonts w:ascii="Times New Roman" w:hAnsi="Times New Roman" w:cs="Times New Roman"/>
        </w:rPr>
        <w:t>permettaient d’éviter</w:t>
      </w:r>
      <w:r w:rsidRPr="00E72418">
        <w:rPr>
          <w:rFonts w:ascii="Times New Roman" w:hAnsi="Times New Roman" w:cs="Times New Roman"/>
        </w:rPr>
        <w:t xml:space="preserve"> les contentieux</w:t>
      </w:r>
      <w:r w:rsidRPr="00E72418">
        <w:rPr>
          <w:rStyle w:val="Appelnotedebasdep"/>
          <w:rFonts w:ascii="Times New Roman" w:hAnsi="Times New Roman" w:cs="Times New Roman"/>
        </w:rPr>
        <w:footnoteReference w:id="422"/>
      </w:r>
      <w:r w:rsidRPr="00E72418">
        <w:rPr>
          <w:rFonts w:ascii="Times New Roman" w:hAnsi="Times New Roman" w:cs="Times New Roman"/>
        </w:rPr>
        <w:t>.</w:t>
      </w:r>
    </w:p>
    <w:p w14:paraId="338AECB1" w14:textId="7ACB974E" w:rsidR="007C57EF" w:rsidRPr="00E72418" w:rsidRDefault="007C57EF" w:rsidP="00CC4BA8">
      <w:pPr>
        <w:spacing w:line="276" w:lineRule="auto"/>
        <w:rPr>
          <w:rFonts w:ascii="Times New Roman" w:hAnsi="Times New Roman" w:cs="Times New Roman"/>
          <w:szCs w:val="24"/>
        </w:rPr>
      </w:pPr>
      <w:r w:rsidRPr="00E72418">
        <w:rPr>
          <w:rFonts w:ascii="Times New Roman" w:hAnsi="Times New Roman" w:cs="Times New Roman"/>
        </w:rPr>
        <w:lastRenderedPageBreak/>
        <w:t xml:space="preserve">La première vague de </w:t>
      </w:r>
      <w:r w:rsidR="009D58FE" w:rsidRPr="00E72418">
        <w:rPr>
          <w:rFonts w:ascii="Times New Roman" w:hAnsi="Times New Roman" w:cs="Times New Roman"/>
        </w:rPr>
        <w:t>procédures judiciaires intentées</w:t>
      </w:r>
      <w:r w:rsidRPr="00E72418">
        <w:rPr>
          <w:rFonts w:ascii="Times New Roman" w:hAnsi="Times New Roman" w:cs="Times New Roman"/>
        </w:rPr>
        <w:t xml:space="preserve"> par des créanciers d’</w:t>
      </w:r>
      <w:r w:rsidRPr="00E72418">
        <w:rPr>
          <w:rFonts w:ascii="Times New Roman" w:hAnsi="Times New Roman" w:cs="Times New Roman"/>
          <w:lang w:eastAsia="fr-BE"/>
        </w:rPr>
        <w:t>É</w:t>
      </w:r>
      <w:r w:rsidRPr="00E72418">
        <w:rPr>
          <w:rFonts w:ascii="Times New Roman" w:hAnsi="Times New Roman" w:cs="Times New Roman"/>
        </w:rPr>
        <w:t xml:space="preserve">tats fit suite à la crise des dettes </w:t>
      </w:r>
      <w:r w:rsidR="009D58FE" w:rsidRPr="00E72418">
        <w:rPr>
          <w:rFonts w:ascii="Times New Roman" w:hAnsi="Times New Roman" w:cs="Times New Roman"/>
        </w:rPr>
        <w:t>sud-</w:t>
      </w:r>
      <w:r w:rsidRPr="00E72418">
        <w:rPr>
          <w:rFonts w:ascii="Times New Roman" w:hAnsi="Times New Roman" w:cs="Times New Roman"/>
        </w:rPr>
        <w:t>américaines des années 80</w:t>
      </w:r>
      <w:r w:rsidRPr="00E72418">
        <w:rPr>
          <w:rStyle w:val="Appelnotedebasdep"/>
          <w:rFonts w:ascii="Times New Roman" w:hAnsi="Times New Roman" w:cs="Times New Roman"/>
        </w:rPr>
        <w:footnoteReference w:id="423"/>
      </w:r>
      <w:r w:rsidRPr="00E72418">
        <w:rPr>
          <w:rFonts w:ascii="Times New Roman" w:hAnsi="Times New Roman" w:cs="Times New Roman"/>
        </w:rPr>
        <w:t xml:space="preserve">. </w:t>
      </w:r>
      <w:r w:rsidRPr="00E72418">
        <w:rPr>
          <w:rFonts w:ascii="Times New Roman" w:hAnsi="Times New Roman" w:cs="Times New Roman"/>
          <w:szCs w:val="24"/>
        </w:rPr>
        <w:t>Depuis les premières affaires, le nombre de contentieux relatifs aux dettes d’</w:t>
      </w:r>
      <w:r w:rsidRPr="00E72418">
        <w:rPr>
          <w:rFonts w:ascii="Times New Roman" w:hAnsi="Times New Roman" w:cs="Times New Roman"/>
          <w:lang w:eastAsia="fr-BE"/>
        </w:rPr>
        <w:t>É</w:t>
      </w:r>
      <w:r w:rsidRPr="00E72418">
        <w:rPr>
          <w:rFonts w:ascii="Times New Roman" w:hAnsi="Times New Roman" w:cs="Times New Roman"/>
          <w:szCs w:val="24"/>
        </w:rPr>
        <w:t>tats est allé croissant</w:t>
      </w:r>
      <w:r w:rsidRPr="00E72418">
        <w:rPr>
          <w:rStyle w:val="Appelnotedebasdep"/>
          <w:rFonts w:ascii="Times New Roman" w:hAnsi="Times New Roman" w:cs="Times New Roman"/>
          <w:szCs w:val="24"/>
        </w:rPr>
        <w:footnoteReference w:id="424"/>
      </w:r>
      <w:r w:rsidRPr="00E72418">
        <w:rPr>
          <w:rFonts w:ascii="Times New Roman" w:hAnsi="Times New Roman" w:cs="Times New Roman"/>
          <w:szCs w:val="24"/>
        </w:rPr>
        <w:t xml:space="preserve">. Ayant </w:t>
      </w:r>
      <w:r w:rsidR="00EE1B83" w:rsidRPr="00E72418">
        <w:rPr>
          <w:rFonts w:ascii="Times New Roman" w:hAnsi="Times New Roman" w:cs="Times New Roman"/>
          <w:szCs w:val="24"/>
        </w:rPr>
        <w:t xml:space="preserve">mené </w:t>
      </w:r>
      <w:r w:rsidRPr="00E72418">
        <w:rPr>
          <w:rFonts w:ascii="Times New Roman" w:hAnsi="Times New Roman" w:cs="Times New Roman"/>
          <w:szCs w:val="24"/>
        </w:rPr>
        <w:t xml:space="preserve">une rétrospective des quatre dernières décennies, </w:t>
      </w:r>
      <w:r w:rsidR="003F09AF" w:rsidRPr="00E72418">
        <w:rPr>
          <w:rFonts w:ascii="Times New Roman" w:hAnsi="Times New Roman" w:cs="Times New Roman"/>
          <w:szCs w:val="24"/>
        </w:rPr>
        <w:t xml:space="preserve">Julian </w:t>
      </w:r>
      <w:r w:rsidRPr="00E72418">
        <w:rPr>
          <w:rFonts w:ascii="Times New Roman" w:hAnsi="Times New Roman" w:cs="Times New Roman"/>
          <w:szCs w:val="24"/>
        </w:rPr>
        <w:t>Schumacher</w:t>
      </w:r>
      <w:r w:rsidR="00F00694" w:rsidRPr="00E72418">
        <w:rPr>
          <w:rFonts w:ascii="Times New Roman" w:hAnsi="Times New Roman"/>
          <w:i/>
        </w:rPr>
        <w:t xml:space="preserve"> et al. </w:t>
      </w:r>
      <w:r w:rsidRPr="00E72418">
        <w:rPr>
          <w:rFonts w:ascii="Times New Roman" w:hAnsi="Times New Roman" w:cs="Times New Roman"/>
          <w:szCs w:val="24"/>
        </w:rPr>
        <w:t>notent que « creditor lawsuits have become an increasingly common feature of sovereign debt markets »</w:t>
      </w:r>
      <w:r w:rsidRPr="00E72418">
        <w:rPr>
          <w:rStyle w:val="Appelnotedebasdep"/>
          <w:rFonts w:ascii="Times New Roman" w:hAnsi="Times New Roman" w:cs="Times New Roman"/>
          <w:szCs w:val="24"/>
        </w:rPr>
        <w:footnoteReference w:id="425"/>
      </w:r>
      <w:r w:rsidRPr="00E72418">
        <w:rPr>
          <w:rFonts w:ascii="Times New Roman" w:hAnsi="Times New Roman" w:cs="Times New Roman"/>
          <w:szCs w:val="24"/>
        </w:rPr>
        <w:t>.</w:t>
      </w:r>
    </w:p>
    <w:p w14:paraId="73A71CF7" w14:textId="77777777" w:rsidR="007C57EF" w:rsidRPr="00E72418" w:rsidRDefault="007C57EF" w:rsidP="00423B60"/>
    <w:p w14:paraId="6D0F1854" w14:textId="0C9AFF64" w:rsidR="000A7980"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76</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La justiciabilité des dettes étatiques – </w:t>
      </w:r>
      <w:r w:rsidR="007C57EF" w:rsidRPr="00E72418">
        <w:rPr>
          <w:rFonts w:ascii="Times New Roman" w:hAnsi="Times New Roman" w:cs="Times New Roman"/>
        </w:rPr>
        <w:t>Si l’explosion du nombre de créanciers de dettes souveraines rendit les contentieux plus fréquent</w:t>
      </w:r>
      <w:r w:rsidR="005B4ED6" w:rsidRPr="00E72418">
        <w:rPr>
          <w:rFonts w:ascii="Times New Roman" w:hAnsi="Times New Roman" w:cs="Times New Roman"/>
        </w:rPr>
        <w:t>s</w:t>
      </w:r>
      <w:r w:rsidR="007C57EF" w:rsidRPr="00E72418">
        <w:rPr>
          <w:rFonts w:ascii="Times New Roman" w:hAnsi="Times New Roman" w:cs="Times New Roman"/>
        </w:rPr>
        <w:t xml:space="preserve">, ce n’en est pas la seule explication. </w:t>
      </w:r>
      <w:r w:rsidR="005B4ED6" w:rsidRPr="00E72418">
        <w:rPr>
          <w:rFonts w:ascii="Times New Roman" w:hAnsi="Times New Roman" w:cs="Times New Roman"/>
        </w:rPr>
        <w:t xml:space="preserve">L’importante </w:t>
      </w:r>
      <w:r w:rsidR="007C57EF" w:rsidRPr="00E72418">
        <w:rPr>
          <w:rFonts w:ascii="Times New Roman" w:hAnsi="Times New Roman" w:cs="Times New Roman"/>
        </w:rPr>
        <w:t xml:space="preserve">fréquence découle également de la </w:t>
      </w:r>
      <w:r w:rsidR="005B4ED6" w:rsidRPr="00E72418">
        <w:rPr>
          <w:rFonts w:ascii="Times New Roman" w:hAnsi="Times New Roman" w:cs="Times New Roman"/>
        </w:rPr>
        <w:t>réduction</w:t>
      </w:r>
      <w:r w:rsidR="007C57EF" w:rsidRPr="00E72418">
        <w:rPr>
          <w:rFonts w:ascii="Times New Roman" w:hAnsi="Times New Roman" w:cs="Times New Roman"/>
        </w:rPr>
        <w:t xml:space="preserve"> de la portée de la défense immunitaire mobilisable par les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tats. </w:t>
      </w:r>
      <w:r w:rsidR="00130F16" w:rsidRPr="00E72418">
        <w:rPr>
          <w:rFonts w:ascii="Times New Roman" w:hAnsi="Times New Roman" w:cs="Times New Roman"/>
        </w:rPr>
        <w:t>Si</w:t>
      </w:r>
      <w:r w:rsidR="005B4ED6" w:rsidRPr="00E72418">
        <w:rPr>
          <w:rFonts w:ascii="Times New Roman" w:hAnsi="Times New Roman" w:cs="Times New Roman"/>
        </w:rPr>
        <w:t>,</w:t>
      </w:r>
      <w:r w:rsidR="00130F16" w:rsidRPr="00E72418">
        <w:rPr>
          <w:rFonts w:ascii="Times New Roman" w:hAnsi="Times New Roman" w:cs="Times New Roman"/>
        </w:rPr>
        <w:t xml:space="preserve"> longtemps</w:t>
      </w:r>
      <w:r w:rsidR="005B4ED6" w:rsidRPr="00E72418">
        <w:rPr>
          <w:rFonts w:ascii="Times New Roman" w:hAnsi="Times New Roman" w:cs="Times New Roman"/>
        </w:rPr>
        <w:t>,</w:t>
      </w:r>
      <w:r w:rsidR="00130F16" w:rsidRPr="00E72418">
        <w:rPr>
          <w:rFonts w:ascii="Times New Roman" w:hAnsi="Times New Roman" w:cs="Times New Roman"/>
        </w:rPr>
        <w:t xml:space="preserve"> les portes des prétoires furent fermé</w:t>
      </w:r>
      <w:r w:rsidR="000D29D9" w:rsidRPr="00E72418">
        <w:rPr>
          <w:rFonts w:ascii="Times New Roman" w:hAnsi="Times New Roman" w:cs="Times New Roman"/>
        </w:rPr>
        <w:t>e</w:t>
      </w:r>
      <w:r w:rsidR="00130F16" w:rsidRPr="00E72418">
        <w:rPr>
          <w:rFonts w:ascii="Times New Roman" w:hAnsi="Times New Roman" w:cs="Times New Roman"/>
        </w:rPr>
        <w:t xml:space="preserve">s aux créanciers en raison de l’immunité </w:t>
      </w:r>
      <w:r w:rsidR="003E382B" w:rsidRPr="00E72418">
        <w:rPr>
          <w:rFonts w:ascii="Times New Roman" w:hAnsi="Times New Roman" w:cs="Times New Roman"/>
        </w:rPr>
        <w:t xml:space="preserve">absolue dont bénéficiaient les </w:t>
      </w:r>
      <w:r w:rsidR="003E382B" w:rsidRPr="00E72418">
        <w:rPr>
          <w:rFonts w:ascii="Times New Roman" w:hAnsi="Times New Roman" w:cs="Times New Roman"/>
          <w:lang w:eastAsia="fr-BE"/>
        </w:rPr>
        <w:t>É</w:t>
      </w:r>
      <w:r w:rsidR="00130F16" w:rsidRPr="00E72418">
        <w:rPr>
          <w:rFonts w:ascii="Times New Roman" w:hAnsi="Times New Roman" w:cs="Times New Roman"/>
        </w:rPr>
        <w:t xml:space="preserve">tats, elles se sont ouvertes à mesure qu’il fut retenu que </w:t>
      </w:r>
      <w:r w:rsidR="005B4ED6" w:rsidRPr="00E72418">
        <w:rPr>
          <w:rFonts w:ascii="Times New Roman" w:hAnsi="Times New Roman" w:cs="Times New Roman"/>
        </w:rPr>
        <w:t>l’</w:t>
      </w:r>
      <w:r w:rsidR="005B4ED6" w:rsidRPr="00E72418">
        <w:rPr>
          <w:rFonts w:ascii="Times New Roman" w:hAnsi="Times New Roman" w:cs="Times New Roman"/>
          <w:lang w:eastAsia="fr-BE"/>
        </w:rPr>
        <w:t>É</w:t>
      </w:r>
      <w:r w:rsidR="005B4ED6" w:rsidRPr="00E72418">
        <w:rPr>
          <w:rFonts w:ascii="Times New Roman" w:hAnsi="Times New Roman" w:cs="Times New Roman"/>
        </w:rPr>
        <w:t>tat souverain</w:t>
      </w:r>
      <w:r w:rsidR="00130F16" w:rsidRPr="00E72418">
        <w:rPr>
          <w:rFonts w:ascii="Times New Roman" w:hAnsi="Times New Roman" w:cs="Times New Roman"/>
        </w:rPr>
        <w:t xml:space="preserve"> se finançant sur les marchés </w:t>
      </w:r>
      <w:r w:rsidR="005B4ED6" w:rsidRPr="00E72418">
        <w:rPr>
          <w:rFonts w:ascii="Times New Roman" w:hAnsi="Times New Roman" w:cs="Times New Roman"/>
        </w:rPr>
        <w:t>devait être considéré</w:t>
      </w:r>
      <w:r w:rsidR="00130F16" w:rsidRPr="00E72418">
        <w:rPr>
          <w:rFonts w:ascii="Times New Roman" w:hAnsi="Times New Roman" w:cs="Times New Roman"/>
        </w:rPr>
        <w:t xml:space="preserve"> comme un </w:t>
      </w:r>
      <w:r w:rsidR="00130F16" w:rsidRPr="00E72418">
        <w:rPr>
          <w:rFonts w:ascii="Times New Roman" w:hAnsi="Times New Roman" w:cs="Times New Roman"/>
          <w:bCs/>
          <w:szCs w:val="24"/>
        </w:rPr>
        <w:t xml:space="preserve">« </w:t>
      </w:r>
      <w:r w:rsidR="00130F16" w:rsidRPr="00E72418">
        <w:rPr>
          <w:rFonts w:ascii="Times New Roman" w:hAnsi="Times New Roman" w:cs="Times New Roman"/>
        </w:rPr>
        <w:t>opérateur ordinaire, sanctionnable et saisissable par le juge du contrat d’emprunt »</w:t>
      </w:r>
      <w:r w:rsidR="00130F16" w:rsidRPr="00E72418">
        <w:rPr>
          <w:rStyle w:val="Appelnotedebasdep"/>
          <w:rFonts w:ascii="Times New Roman" w:hAnsi="Times New Roman" w:cs="Times New Roman"/>
        </w:rPr>
        <w:footnoteReference w:id="426"/>
      </w:r>
      <w:r w:rsidR="00130F16" w:rsidRPr="00E72418">
        <w:rPr>
          <w:rFonts w:ascii="Times New Roman" w:hAnsi="Times New Roman" w:cs="Times New Roman"/>
        </w:rPr>
        <w:t>.</w:t>
      </w:r>
      <w:r w:rsidR="000A7980" w:rsidRPr="00E72418">
        <w:rPr>
          <w:rFonts w:ascii="Times New Roman" w:hAnsi="Times New Roman" w:cs="Times New Roman"/>
        </w:rPr>
        <w:t xml:space="preserve"> </w:t>
      </w:r>
    </w:p>
    <w:p w14:paraId="77253E3B" w14:textId="77777777" w:rsidR="000A7980" w:rsidRPr="00E72418" w:rsidRDefault="00AC55E4" w:rsidP="00CC4BA8">
      <w:pPr>
        <w:spacing w:line="276" w:lineRule="auto"/>
        <w:rPr>
          <w:rFonts w:ascii="Times New Roman" w:hAnsi="Times New Roman" w:cs="Times New Roman"/>
        </w:rPr>
      </w:pPr>
      <w:r w:rsidRPr="00E72418">
        <w:rPr>
          <w:rFonts w:ascii="Times New Roman" w:hAnsi="Times New Roman" w:cs="Times New Roman"/>
        </w:rPr>
        <w:t xml:space="preserve">La justiciabilité des dettes étatiques </w:t>
      </w:r>
      <w:r w:rsidR="000A7980" w:rsidRPr="00E72418">
        <w:rPr>
          <w:rFonts w:ascii="Times New Roman" w:hAnsi="Times New Roman" w:cs="Times New Roman"/>
        </w:rPr>
        <w:t xml:space="preserve">découle de ce qu’il </w:t>
      </w:r>
      <w:r w:rsidR="00130F16" w:rsidRPr="00E72418">
        <w:rPr>
          <w:rFonts w:ascii="Times New Roman" w:hAnsi="Times New Roman" w:cs="Times New Roman"/>
        </w:rPr>
        <w:t>est</w:t>
      </w:r>
      <w:r w:rsidR="000A7980" w:rsidRPr="00E72418">
        <w:rPr>
          <w:rFonts w:ascii="Times New Roman" w:hAnsi="Times New Roman" w:cs="Times New Roman"/>
        </w:rPr>
        <w:t xml:space="preserve"> aujourd’hui</w:t>
      </w:r>
      <w:r w:rsidR="00130F16" w:rsidRPr="00E72418">
        <w:rPr>
          <w:rFonts w:ascii="Times New Roman" w:hAnsi="Times New Roman" w:cs="Times New Roman"/>
        </w:rPr>
        <w:t xml:space="preserve"> généralement accepté que </w:t>
      </w:r>
      <w:r w:rsidR="007C57EF" w:rsidRPr="00E72418">
        <w:rPr>
          <w:rFonts w:ascii="Times New Roman" w:hAnsi="Times New Roman" w:cs="Times New Roman"/>
        </w:rPr>
        <w:t>seuls les actes dits « jure imperii</w:t>
      </w:r>
      <w:r w:rsidR="007C57EF" w:rsidRPr="00E72418">
        <w:rPr>
          <w:rFonts w:ascii="Times New Roman" w:hAnsi="Times New Roman" w:cs="Times New Roman"/>
          <w:i/>
        </w:rPr>
        <w:t> </w:t>
      </w:r>
      <w:r w:rsidR="007C57EF" w:rsidRPr="00E72418">
        <w:rPr>
          <w:rFonts w:ascii="Times New Roman" w:hAnsi="Times New Roman" w:cs="Times New Roman"/>
        </w:rPr>
        <w:t xml:space="preserve">» qu’un </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 pose en </w:t>
      </w:r>
      <w:r w:rsidR="00130F16" w:rsidRPr="00E72418">
        <w:rPr>
          <w:rFonts w:ascii="Times New Roman" w:hAnsi="Times New Roman" w:cs="Times New Roman"/>
        </w:rPr>
        <w:t xml:space="preserve">tant que souverain bénéficient d’une immunité à la différence des </w:t>
      </w:r>
      <w:r w:rsidR="007C57EF" w:rsidRPr="00E72418">
        <w:rPr>
          <w:rFonts w:ascii="Times New Roman" w:hAnsi="Times New Roman" w:cs="Times New Roman"/>
        </w:rPr>
        <w:t>actes dits « jure gestionis »</w:t>
      </w:r>
      <w:r w:rsidR="00130F16" w:rsidRPr="00E72418">
        <w:rPr>
          <w:rFonts w:ascii="Times New Roman" w:hAnsi="Times New Roman" w:cs="Times New Roman"/>
        </w:rPr>
        <w:t xml:space="preserve"> qui n’en bénéficient pas</w:t>
      </w:r>
      <w:r w:rsidR="007C57EF" w:rsidRPr="00E72418">
        <w:rPr>
          <w:rFonts w:ascii="Times New Roman" w:hAnsi="Times New Roman" w:cs="Times New Roman"/>
        </w:rPr>
        <w:t>.</w:t>
      </w:r>
      <w:r w:rsidR="000A7980" w:rsidRPr="00E72418">
        <w:rPr>
          <w:rFonts w:ascii="Times New Roman" w:hAnsi="Times New Roman" w:cs="Times New Roman"/>
        </w:rPr>
        <w:t xml:space="preserve"> Outre la réduction générale de l’immunité étatique, la justiciabilité des dettes étatiques </w:t>
      </w:r>
      <w:r w:rsidRPr="00E72418">
        <w:rPr>
          <w:rFonts w:ascii="Times New Roman" w:hAnsi="Times New Roman" w:cs="Times New Roman"/>
        </w:rPr>
        <w:t>s’explique</w:t>
      </w:r>
      <w:r w:rsidR="000A7980" w:rsidRPr="00E72418">
        <w:rPr>
          <w:rFonts w:ascii="Times New Roman" w:hAnsi="Times New Roman" w:cs="Times New Roman"/>
        </w:rPr>
        <w:t xml:space="preserve"> </w:t>
      </w:r>
      <w:r w:rsidRPr="00E72418">
        <w:rPr>
          <w:rFonts w:ascii="Times New Roman" w:hAnsi="Times New Roman" w:cs="Times New Roman"/>
        </w:rPr>
        <w:t>également</w:t>
      </w:r>
      <w:r w:rsidR="000A7980" w:rsidRPr="00E72418">
        <w:rPr>
          <w:rFonts w:ascii="Times New Roman" w:hAnsi="Times New Roman" w:cs="Times New Roman"/>
        </w:rPr>
        <w:t xml:space="preserve"> de la présence de clauses de renonciation à l’immunité dans les contrats de dettes laquelle est devenue monnaie courante</w:t>
      </w:r>
      <w:r w:rsidRPr="00E72418">
        <w:rPr>
          <w:rStyle w:val="Appelnotedebasdep"/>
          <w:rFonts w:ascii="Times New Roman" w:hAnsi="Times New Roman" w:cs="Times New Roman"/>
        </w:rPr>
        <w:footnoteReference w:id="427"/>
      </w:r>
      <w:r w:rsidR="000A7980" w:rsidRPr="00E72418">
        <w:rPr>
          <w:rFonts w:ascii="Times New Roman" w:hAnsi="Times New Roman" w:cs="Times New Roman"/>
        </w:rPr>
        <w:t>.</w:t>
      </w:r>
    </w:p>
    <w:p w14:paraId="6AD1570A" w14:textId="77777777" w:rsidR="007C57EF" w:rsidRPr="00E72418" w:rsidRDefault="007C57EF" w:rsidP="00423B60"/>
    <w:p w14:paraId="7C051357" w14:textId="2D3C15CB" w:rsidR="007C57EF"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lang w:eastAsia="fr-BE"/>
        </w:rPr>
        <w:t>77</w:t>
      </w:r>
      <w:r w:rsidR="007E31CD" w:rsidRPr="00E72418">
        <w:rPr>
          <w:rFonts w:ascii="Times New Roman" w:hAnsi="Times New Roman" w:cs="Times New Roman"/>
          <w:b/>
          <w:lang w:eastAsia="fr-BE"/>
        </w:rPr>
        <w:t xml:space="preserve">. </w:t>
      </w:r>
      <w:r w:rsidR="00AC38A3" w:rsidRPr="00E72418">
        <w:rPr>
          <w:rFonts w:ascii="Times New Roman" w:hAnsi="Times New Roman" w:cs="Times New Roman"/>
          <w:b/>
          <w:lang w:eastAsia="fr-BE"/>
        </w:rPr>
        <w:t xml:space="preserve">Les juridictions saisies </w:t>
      </w:r>
      <w:r w:rsidR="00AC38A3" w:rsidRPr="00E72418">
        <w:rPr>
          <w:rFonts w:ascii="Times New Roman" w:hAnsi="Times New Roman" w:cs="Times New Roman"/>
          <w:b/>
        </w:rPr>
        <w:t>–</w:t>
      </w:r>
      <w:r w:rsidR="007C57EF" w:rsidRPr="00E72418">
        <w:rPr>
          <w:rFonts w:ascii="Times New Roman" w:hAnsi="Times New Roman" w:cs="Times New Roman"/>
          <w:b/>
          <w:lang w:eastAsia="fr-BE"/>
        </w:rPr>
        <w:t xml:space="preserve"> </w:t>
      </w:r>
      <w:r w:rsidR="007C57EF" w:rsidRPr="00E72418">
        <w:rPr>
          <w:rFonts w:ascii="Times New Roman" w:hAnsi="Times New Roman" w:cs="Times New Roman"/>
        </w:rPr>
        <w:t>L’état du droit n’étant pas figé sur la question de la justiciabilité des dettes étatiqu</w:t>
      </w:r>
      <w:r w:rsidR="00320A12" w:rsidRPr="00E72418">
        <w:rPr>
          <w:rFonts w:ascii="Times New Roman" w:hAnsi="Times New Roman" w:cs="Times New Roman"/>
        </w:rPr>
        <w:t xml:space="preserve">es et son </w:t>
      </w:r>
      <w:r w:rsidR="007C57EF" w:rsidRPr="00E72418">
        <w:rPr>
          <w:rFonts w:ascii="Times New Roman" w:hAnsi="Times New Roman" w:cs="Times New Roman"/>
        </w:rPr>
        <w:t>appréciation dépendant des circonstances de fait rencontrées, la piste du recours juridictionnel afin de contraindre l’</w:t>
      </w:r>
      <w:r w:rsidR="007C57EF" w:rsidRPr="00E72418">
        <w:rPr>
          <w:rFonts w:ascii="Times New Roman" w:hAnsi="Times New Roman" w:cs="Times New Roman"/>
          <w:lang w:eastAsia="fr-BE"/>
        </w:rPr>
        <w:t>É</w:t>
      </w:r>
      <w:r w:rsidR="007C57EF" w:rsidRPr="00E72418">
        <w:rPr>
          <w:rFonts w:ascii="Times New Roman" w:hAnsi="Times New Roman" w:cs="Times New Roman"/>
        </w:rPr>
        <w:t xml:space="preserve">tat débiteur </w:t>
      </w:r>
      <w:r w:rsidR="00320A12" w:rsidRPr="00E72418">
        <w:rPr>
          <w:rFonts w:ascii="Times New Roman" w:hAnsi="Times New Roman" w:cs="Times New Roman"/>
        </w:rPr>
        <w:t>à</w:t>
      </w:r>
      <w:r w:rsidR="007C57EF" w:rsidRPr="00E72418">
        <w:rPr>
          <w:rFonts w:ascii="Times New Roman" w:hAnsi="Times New Roman" w:cs="Times New Roman"/>
        </w:rPr>
        <w:t xml:space="preserve"> respecter ses engagements financiers est empruntée par les créanciers récalcitrants. Comme le notent </w:t>
      </w:r>
      <w:r w:rsidR="003D7F91" w:rsidRPr="00E72418">
        <w:rPr>
          <w:rFonts w:ascii="Times New Roman" w:hAnsi="Times New Roman" w:cs="Times New Roman"/>
        </w:rPr>
        <w:t xml:space="preserve">Julian </w:t>
      </w:r>
      <w:r w:rsidR="003D7F91" w:rsidRPr="00E72418">
        <w:rPr>
          <w:rFonts w:ascii="Times New Roman" w:hAnsi="Times New Roman" w:cs="Times New Roman"/>
          <w:szCs w:val="24"/>
        </w:rPr>
        <w:t xml:space="preserve">Schumacher </w:t>
      </w:r>
      <w:r w:rsidR="003D7F91" w:rsidRPr="00E72418">
        <w:rPr>
          <w:rFonts w:ascii="Times New Roman" w:hAnsi="Times New Roman" w:cs="Times New Roman"/>
          <w:i/>
          <w:szCs w:val="24"/>
        </w:rPr>
        <w:t>et al.</w:t>
      </w:r>
      <w:r w:rsidR="007C57EF" w:rsidRPr="00E72418">
        <w:rPr>
          <w:rFonts w:ascii="Times New Roman" w:hAnsi="Times New Roman" w:cs="Times New Roman"/>
          <w:szCs w:val="24"/>
        </w:rPr>
        <w:t>, « </w:t>
      </w:r>
      <w:r w:rsidR="007C57EF" w:rsidRPr="00E72418">
        <w:rPr>
          <w:rFonts w:ascii="Times New Roman" w:hAnsi="Times New Roman" w:cs="Times New Roman"/>
        </w:rPr>
        <w:t>[c]</w:t>
      </w:r>
      <w:r w:rsidR="007C57EF" w:rsidRPr="00E72418">
        <w:rPr>
          <w:rFonts w:ascii="Times New Roman" w:hAnsi="Times New Roman" w:cs="Times New Roman"/>
          <w:szCs w:val="24"/>
        </w:rPr>
        <w:t>ourts under a foreign legal authority increasingly act as a third-party enforcement mechanism in this market »</w:t>
      </w:r>
      <w:r w:rsidR="007C57EF" w:rsidRPr="00E72418">
        <w:rPr>
          <w:rStyle w:val="Appelnotedebasdep"/>
          <w:rFonts w:ascii="Times New Roman" w:hAnsi="Times New Roman" w:cs="Times New Roman"/>
          <w:szCs w:val="24"/>
        </w:rPr>
        <w:footnoteReference w:id="428"/>
      </w:r>
      <w:r w:rsidR="007C57EF" w:rsidRPr="00E72418">
        <w:rPr>
          <w:rFonts w:ascii="Times New Roman" w:hAnsi="Times New Roman" w:cs="Times New Roman"/>
          <w:szCs w:val="24"/>
        </w:rPr>
        <w:t>.</w:t>
      </w:r>
    </w:p>
    <w:p w14:paraId="69C3E26B" w14:textId="717B3FDD" w:rsidR="00260380" w:rsidRPr="00E72418" w:rsidRDefault="00564632" w:rsidP="00CC4BA8">
      <w:pPr>
        <w:spacing w:line="276" w:lineRule="auto"/>
        <w:rPr>
          <w:rFonts w:ascii="Times New Roman" w:hAnsi="Times New Roman" w:cs="Times New Roman"/>
        </w:rPr>
      </w:pPr>
      <w:r w:rsidRPr="00E72418">
        <w:rPr>
          <w:rFonts w:ascii="Times New Roman" w:hAnsi="Times New Roman" w:cs="Times New Roman"/>
        </w:rPr>
        <w:lastRenderedPageBreak/>
        <w:t>Très g</w:t>
      </w:r>
      <w:r w:rsidR="007C57EF" w:rsidRPr="00E72418">
        <w:rPr>
          <w:rFonts w:ascii="Times New Roman" w:hAnsi="Times New Roman" w:cs="Times New Roman"/>
        </w:rPr>
        <w:t>énéralement, tant les contrats d’émission de dette</w:t>
      </w:r>
      <w:r w:rsidR="00F0697B" w:rsidRPr="00E72418">
        <w:rPr>
          <w:rFonts w:ascii="Times New Roman" w:hAnsi="Times New Roman" w:cs="Times New Roman"/>
        </w:rPr>
        <w:t>s</w:t>
      </w:r>
      <w:r w:rsidR="007C57EF" w:rsidRPr="00E72418">
        <w:rPr>
          <w:rFonts w:ascii="Times New Roman" w:hAnsi="Times New Roman" w:cs="Times New Roman"/>
        </w:rPr>
        <w:t xml:space="preserve"> que les offres de rééchelonnement de celle</w:t>
      </w:r>
      <w:r w:rsidR="00F0697B" w:rsidRPr="00E72418">
        <w:rPr>
          <w:rFonts w:ascii="Times New Roman" w:hAnsi="Times New Roman" w:cs="Times New Roman"/>
        </w:rPr>
        <w:t>s</w:t>
      </w:r>
      <w:r w:rsidR="007C57EF" w:rsidRPr="00E72418">
        <w:rPr>
          <w:rFonts w:ascii="Times New Roman" w:hAnsi="Times New Roman" w:cs="Times New Roman"/>
        </w:rPr>
        <w:t>-ci contiennent une clause de juridiction attribuant compétence, d’une part, aux juridictions de l’</w:t>
      </w:r>
      <w:r w:rsidR="007C57EF" w:rsidRPr="00E72418">
        <w:rPr>
          <w:rFonts w:ascii="Times New Roman" w:hAnsi="Times New Roman" w:cs="Times New Roman"/>
          <w:lang w:eastAsia="fr-BE"/>
        </w:rPr>
        <w:t>É</w:t>
      </w:r>
      <w:r w:rsidR="007C57EF" w:rsidRPr="00E72418">
        <w:rPr>
          <w:rFonts w:ascii="Times New Roman" w:hAnsi="Times New Roman" w:cs="Times New Roman"/>
        </w:rPr>
        <w:t>tat dont la loi a été choisie pour s’</w:t>
      </w:r>
      <w:r w:rsidR="00F0697B" w:rsidRPr="00E72418">
        <w:rPr>
          <w:rFonts w:ascii="Times New Roman" w:hAnsi="Times New Roman" w:cs="Times New Roman"/>
        </w:rPr>
        <w:t xml:space="preserve">y </w:t>
      </w:r>
      <w:r w:rsidR="007C57EF" w:rsidRPr="00E72418">
        <w:rPr>
          <w:rFonts w:ascii="Times New Roman" w:hAnsi="Times New Roman" w:cs="Times New Roman"/>
        </w:rPr>
        <w:t>appliquer, d’autre part, aux juridictions de l’</w:t>
      </w:r>
      <w:r w:rsidR="007C57EF" w:rsidRPr="00E72418">
        <w:rPr>
          <w:rFonts w:ascii="Times New Roman" w:hAnsi="Times New Roman" w:cs="Times New Roman"/>
          <w:lang w:eastAsia="fr-BE"/>
        </w:rPr>
        <w:t>É</w:t>
      </w:r>
      <w:r w:rsidR="00765A3A" w:rsidRPr="00E72418">
        <w:rPr>
          <w:rFonts w:ascii="Times New Roman" w:hAnsi="Times New Roman" w:cs="Times New Roman"/>
        </w:rPr>
        <w:t>tat dé</w:t>
      </w:r>
      <w:r w:rsidR="007C57EF" w:rsidRPr="00E72418">
        <w:rPr>
          <w:rFonts w:ascii="Times New Roman" w:hAnsi="Times New Roman" w:cs="Times New Roman"/>
        </w:rPr>
        <w:t>biteur</w:t>
      </w:r>
      <w:r w:rsidR="007C57EF" w:rsidRPr="00E72418">
        <w:rPr>
          <w:rStyle w:val="Appelnotedebasdep"/>
          <w:rFonts w:ascii="Times New Roman" w:hAnsi="Times New Roman" w:cs="Times New Roman"/>
        </w:rPr>
        <w:footnoteReference w:id="429"/>
      </w:r>
      <w:r w:rsidR="00105CCD" w:rsidRPr="00E72418">
        <w:rPr>
          <w:rFonts w:ascii="Times New Roman" w:hAnsi="Times New Roman" w:cs="Times New Roman"/>
          <w:vertAlign w:val="superscript"/>
        </w:rPr>
        <w:t>,</w:t>
      </w:r>
      <w:r w:rsidR="003D5F96" w:rsidRPr="00E72418">
        <w:rPr>
          <w:rStyle w:val="Appelnotedebasdep"/>
          <w:rFonts w:ascii="Times New Roman" w:hAnsi="Times New Roman" w:cs="Times New Roman"/>
        </w:rPr>
        <w:footnoteReference w:id="430"/>
      </w:r>
      <w:r w:rsidR="007C57EF" w:rsidRPr="00E72418">
        <w:rPr>
          <w:rFonts w:ascii="Times New Roman" w:hAnsi="Times New Roman" w:cs="Times New Roman"/>
        </w:rPr>
        <w:t xml:space="preserve">. En faisant le choix d’une juridiction </w:t>
      </w:r>
      <w:r w:rsidR="00692855" w:rsidRPr="00E72418">
        <w:rPr>
          <w:rFonts w:ascii="Times New Roman" w:hAnsi="Times New Roman" w:cs="Times New Roman"/>
        </w:rPr>
        <w:t xml:space="preserve">particulière </w:t>
      </w:r>
      <w:r w:rsidR="007C57EF" w:rsidRPr="00E72418">
        <w:rPr>
          <w:rFonts w:ascii="Times New Roman" w:hAnsi="Times New Roman" w:cs="Times New Roman"/>
        </w:rPr>
        <w:t>pour connaître de leurs potentiels conflits, les parties évitent d’être attraites devant des juridictions avec lesquelles elles ne seraient pas familières</w:t>
      </w:r>
      <w:r w:rsidR="00D029CF" w:rsidRPr="00E72418">
        <w:rPr>
          <w:rStyle w:val="Appelnotedebasdep"/>
          <w:rFonts w:ascii="Times New Roman" w:hAnsi="Times New Roman" w:cs="Times New Roman"/>
        </w:rPr>
        <w:footnoteReference w:id="431"/>
      </w:r>
      <w:r w:rsidR="007C57EF" w:rsidRPr="00E72418">
        <w:rPr>
          <w:rFonts w:ascii="Times New Roman" w:hAnsi="Times New Roman" w:cs="Times New Roman"/>
        </w:rPr>
        <w:t xml:space="preserve">. </w:t>
      </w:r>
    </w:p>
    <w:p w14:paraId="204DF3ED" w14:textId="3366302F" w:rsidR="000D5E38" w:rsidRPr="00E72418" w:rsidRDefault="000D5E38" w:rsidP="00CC4BA8">
      <w:pPr>
        <w:spacing w:line="276" w:lineRule="auto"/>
        <w:rPr>
          <w:rFonts w:ascii="Times New Roman" w:hAnsi="Times New Roman" w:cs="Times New Roman"/>
          <w:szCs w:val="24"/>
        </w:rPr>
      </w:pPr>
      <w:r w:rsidRPr="00E72418">
        <w:rPr>
          <w:rFonts w:ascii="Times New Roman" w:hAnsi="Times New Roman" w:cs="Times New Roman"/>
        </w:rPr>
        <w:t>Gageons qu’u</w:t>
      </w:r>
      <w:r w:rsidRPr="00E72418">
        <w:rPr>
          <w:rFonts w:ascii="Times New Roman" w:hAnsi="Times New Roman" w:cs="Times New Roman"/>
          <w:szCs w:val="24"/>
        </w:rPr>
        <w:t xml:space="preserve">n </w:t>
      </w:r>
      <w:r w:rsidRPr="00E72418">
        <w:rPr>
          <w:rFonts w:ascii="Times New Roman" w:hAnsi="Times New Roman" w:cs="Times New Roman"/>
          <w:lang w:eastAsia="fr-BE"/>
        </w:rPr>
        <w:t>É</w:t>
      </w:r>
      <w:r w:rsidRPr="00E72418">
        <w:rPr>
          <w:rFonts w:ascii="Times New Roman" w:hAnsi="Times New Roman" w:cs="Times New Roman"/>
          <w:szCs w:val="24"/>
        </w:rPr>
        <w:t xml:space="preserve">tat dont les juridictions sont saisies par les créanciers d’un autre </w:t>
      </w:r>
      <w:r w:rsidRPr="00E72418">
        <w:rPr>
          <w:rFonts w:ascii="Times New Roman" w:hAnsi="Times New Roman" w:cs="Times New Roman"/>
          <w:lang w:eastAsia="fr-BE"/>
        </w:rPr>
        <w:t>É</w:t>
      </w:r>
      <w:r w:rsidRPr="00E72418">
        <w:rPr>
          <w:rFonts w:ascii="Times New Roman" w:hAnsi="Times New Roman" w:cs="Times New Roman"/>
          <w:szCs w:val="24"/>
        </w:rPr>
        <w:t>tat</w:t>
      </w:r>
      <w:r w:rsidR="00334DB1">
        <w:rPr>
          <w:rFonts w:ascii="Times New Roman" w:hAnsi="Times New Roman" w:cs="Times New Roman"/>
          <w:szCs w:val="24"/>
        </w:rPr>
        <w:t xml:space="preserve"> s’attirera les bonnes grâces du</w:t>
      </w:r>
      <w:r w:rsidRPr="00E72418">
        <w:rPr>
          <w:rFonts w:ascii="Times New Roman" w:hAnsi="Times New Roman" w:cs="Times New Roman"/>
          <w:szCs w:val="24"/>
        </w:rPr>
        <w:t xml:space="preserve"> débiteur poursuivi s’il est sensible à sa situation. Dans une logique de réciprocité, il est certain qu’un </w:t>
      </w:r>
      <w:r w:rsidRPr="00E72418">
        <w:rPr>
          <w:rFonts w:ascii="Times New Roman" w:hAnsi="Times New Roman" w:cs="Times New Roman"/>
          <w:lang w:eastAsia="fr-BE"/>
        </w:rPr>
        <w:t>É</w:t>
      </w:r>
      <w:r w:rsidRPr="00E72418">
        <w:rPr>
          <w:rFonts w:ascii="Times New Roman" w:hAnsi="Times New Roman" w:cs="Times New Roman"/>
          <w:szCs w:val="24"/>
        </w:rPr>
        <w:t>tat aura toujours à l’esprit qu’il pourrait un jour se retrouver à la place de l’</w:t>
      </w:r>
      <w:r w:rsidRPr="00E72418">
        <w:rPr>
          <w:rFonts w:ascii="Times New Roman" w:hAnsi="Times New Roman" w:cs="Times New Roman"/>
          <w:lang w:eastAsia="fr-BE"/>
        </w:rPr>
        <w:t>É</w:t>
      </w:r>
      <w:r w:rsidRPr="00E72418">
        <w:rPr>
          <w:rFonts w:ascii="Times New Roman" w:hAnsi="Times New Roman" w:cs="Times New Roman"/>
          <w:szCs w:val="24"/>
        </w:rPr>
        <w:t>tat débiteur en difficulté</w:t>
      </w:r>
      <w:r w:rsidRPr="00E72418">
        <w:rPr>
          <w:rStyle w:val="Appelnotedebasdep"/>
          <w:rFonts w:ascii="Times New Roman" w:hAnsi="Times New Roman" w:cs="Times New Roman"/>
          <w:szCs w:val="24"/>
        </w:rPr>
        <w:footnoteReference w:id="432"/>
      </w:r>
      <w:r w:rsidRPr="00E72418">
        <w:rPr>
          <w:rFonts w:ascii="Times New Roman" w:hAnsi="Times New Roman" w:cs="Times New Roman"/>
          <w:szCs w:val="24"/>
        </w:rPr>
        <w:t>. Aussi, l’intérêt de préserver les affaires et les bonnes relations diplomatiques pourrait entrer en ligne de compte</w:t>
      </w:r>
      <w:r w:rsidRPr="00E72418">
        <w:rPr>
          <w:rStyle w:val="Appelnotedebasdep"/>
          <w:rFonts w:ascii="Times New Roman" w:hAnsi="Times New Roman" w:cs="Times New Roman"/>
          <w:szCs w:val="24"/>
        </w:rPr>
        <w:footnoteReference w:id="433"/>
      </w:r>
      <w:r w:rsidRPr="00E72418">
        <w:rPr>
          <w:rFonts w:ascii="Times New Roman" w:hAnsi="Times New Roman" w:cs="Times New Roman"/>
          <w:szCs w:val="24"/>
        </w:rPr>
        <w:t>.</w:t>
      </w:r>
    </w:p>
    <w:p w14:paraId="1AD21FC7" w14:textId="021E71D9" w:rsidR="007C57EF" w:rsidRPr="00E72418" w:rsidRDefault="00617FD4" w:rsidP="00CC4BA8">
      <w:pPr>
        <w:spacing w:line="276" w:lineRule="auto"/>
        <w:rPr>
          <w:rFonts w:ascii="Times New Roman" w:hAnsi="Times New Roman" w:cs="Times New Roman"/>
          <w:szCs w:val="24"/>
        </w:rPr>
      </w:pPr>
      <w:r w:rsidRPr="00E72418">
        <w:rPr>
          <w:rFonts w:ascii="Times New Roman" w:hAnsi="Times New Roman" w:cs="Times New Roman"/>
          <w:lang w:eastAsia="fr-BE"/>
        </w:rPr>
        <w:t>Forts d’un choix, s</w:t>
      </w:r>
      <w:r w:rsidR="007C57EF" w:rsidRPr="00E72418">
        <w:rPr>
          <w:rFonts w:ascii="Times New Roman" w:hAnsi="Times New Roman" w:cs="Times New Roman"/>
          <w:lang w:eastAsia="fr-BE"/>
        </w:rPr>
        <w:t xml:space="preserve">i les créanciers de dettes souveraines privilégient généralement la saisine de juridictions nationales d’États tiers, </w:t>
      </w:r>
      <w:r w:rsidR="007C57EF" w:rsidRPr="00E72418">
        <w:rPr>
          <w:rFonts w:ascii="Times New Roman" w:hAnsi="Times New Roman" w:cs="Times New Roman"/>
          <w:szCs w:val="24"/>
        </w:rPr>
        <w:t xml:space="preserve">l’on constate </w:t>
      </w:r>
      <w:r w:rsidR="00F0697B" w:rsidRPr="00E72418">
        <w:rPr>
          <w:rFonts w:ascii="Times New Roman" w:hAnsi="Times New Roman" w:cs="Times New Roman"/>
          <w:szCs w:val="24"/>
        </w:rPr>
        <w:t>également</w:t>
      </w:r>
      <w:r w:rsidR="00CE5283" w:rsidRPr="00E72418">
        <w:rPr>
          <w:rFonts w:ascii="Times New Roman" w:hAnsi="Times New Roman" w:cs="Times New Roman"/>
          <w:szCs w:val="24"/>
        </w:rPr>
        <w:t xml:space="preserve">, suivant la maxime </w:t>
      </w:r>
      <w:r w:rsidR="00CE5283" w:rsidRPr="00E72418">
        <w:rPr>
          <w:rFonts w:ascii="Times New Roman" w:hAnsi="Times New Roman" w:cs="Times New Roman"/>
          <w:i/>
          <w:szCs w:val="24"/>
        </w:rPr>
        <w:t>actor sequitur</w:t>
      </w:r>
      <w:r w:rsidR="00CE5283" w:rsidRPr="00E72418">
        <w:rPr>
          <w:rFonts w:ascii="Times New Roman" w:hAnsi="Times New Roman" w:cs="Times New Roman"/>
          <w:szCs w:val="24"/>
        </w:rPr>
        <w:t>,</w:t>
      </w:r>
      <w:r w:rsidR="00F0697B" w:rsidRPr="00E72418">
        <w:rPr>
          <w:rFonts w:ascii="Times New Roman" w:hAnsi="Times New Roman" w:cs="Times New Roman"/>
          <w:szCs w:val="24"/>
        </w:rPr>
        <w:t xml:space="preserve"> </w:t>
      </w:r>
      <w:r w:rsidR="007C57EF" w:rsidRPr="00E72418">
        <w:rPr>
          <w:rFonts w:ascii="Times New Roman" w:hAnsi="Times New Roman" w:cs="Times New Roman"/>
          <w:szCs w:val="24"/>
        </w:rPr>
        <w:t>une tend</w:t>
      </w:r>
      <w:r w:rsidR="00F0697B" w:rsidRPr="00E72418">
        <w:rPr>
          <w:rFonts w:ascii="Times New Roman" w:hAnsi="Times New Roman" w:cs="Times New Roman"/>
          <w:szCs w:val="24"/>
        </w:rPr>
        <w:t>ance à saisir les tribunaux de l’</w:t>
      </w:r>
      <w:r w:rsidR="00F0697B" w:rsidRPr="00E72418">
        <w:rPr>
          <w:rFonts w:ascii="Times New Roman" w:hAnsi="Times New Roman" w:cs="Times New Roman"/>
          <w:lang w:eastAsia="fr-BE"/>
        </w:rPr>
        <w:t>État</w:t>
      </w:r>
      <w:r w:rsidR="00F0697B" w:rsidRPr="00E72418">
        <w:rPr>
          <w:rFonts w:ascii="Times New Roman" w:hAnsi="Times New Roman" w:cs="Times New Roman"/>
          <w:szCs w:val="24"/>
        </w:rPr>
        <w:t xml:space="preserve"> débiteur</w:t>
      </w:r>
      <w:r w:rsidR="007C57EF" w:rsidRPr="00E72418">
        <w:rPr>
          <w:rFonts w:ascii="Times New Roman" w:hAnsi="Times New Roman" w:cs="Times New Roman"/>
          <w:szCs w:val="24"/>
        </w:rPr>
        <w:t xml:space="preserve"> dont le système juridique peut s’avérer moins solide et</w:t>
      </w:r>
      <w:r w:rsidR="00F0697B" w:rsidRPr="00E72418">
        <w:rPr>
          <w:rFonts w:ascii="Times New Roman" w:hAnsi="Times New Roman" w:cs="Times New Roman"/>
          <w:szCs w:val="24"/>
        </w:rPr>
        <w:t>,</w:t>
      </w:r>
      <w:r w:rsidR="007C57EF" w:rsidRPr="00E72418">
        <w:rPr>
          <w:rFonts w:ascii="Times New Roman" w:hAnsi="Times New Roman" w:cs="Times New Roman"/>
          <w:szCs w:val="24"/>
        </w:rPr>
        <w:t xml:space="preserve"> par conséquent</w:t>
      </w:r>
      <w:r w:rsidR="00F0697B" w:rsidRPr="00E72418">
        <w:rPr>
          <w:rFonts w:ascii="Times New Roman" w:hAnsi="Times New Roman" w:cs="Times New Roman"/>
          <w:szCs w:val="24"/>
        </w:rPr>
        <w:t>,</w:t>
      </w:r>
      <w:r w:rsidR="007C57EF" w:rsidRPr="00E72418">
        <w:rPr>
          <w:rFonts w:ascii="Times New Roman" w:hAnsi="Times New Roman" w:cs="Times New Roman"/>
          <w:szCs w:val="24"/>
        </w:rPr>
        <w:t xml:space="preserve"> plus facilement dépassé par le niveau de technicité des contentieux introduits</w:t>
      </w:r>
      <w:r w:rsidR="007C57EF" w:rsidRPr="00E72418">
        <w:rPr>
          <w:rStyle w:val="Appelnotedebasdep"/>
          <w:rFonts w:ascii="Times New Roman" w:hAnsi="Times New Roman" w:cs="Times New Roman"/>
          <w:szCs w:val="24"/>
        </w:rPr>
        <w:footnoteReference w:id="434"/>
      </w:r>
      <w:r w:rsidR="007C57EF" w:rsidRPr="00E72418">
        <w:rPr>
          <w:rFonts w:ascii="Times New Roman" w:hAnsi="Times New Roman" w:cs="Times New Roman"/>
          <w:szCs w:val="24"/>
        </w:rPr>
        <w:t xml:space="preserve">. </w:t>
      </w:r>
      <w:r w:rsidR="00631BC8" w:rsidRPr="00E72418">
        <w:rPr>
          <w:rFonts w:ascii="Times New Roman" w:hAnsi="Times New Roman" w:cs="Times New Roman"/>
          <w:szCs w:val="24"/>
        </w:rPr>
        <w:t>Un autre argument est celui de pouvoir plus aisément obtenir l’exécution d’une</w:t>
      </w:r>
      <w:r w:rsidR="00730B63" w:rsidRPr="00E72418">
        <w:rPr>
          <w:rFonts w:ascii="Times New Roman" w:hAnsi="Times New Roman" w:cs="Times New Roman"/>
          <w:szCs w:val="24"/>
        </w:rPr>
        <w:t xml:space="preserve"> condamnation car l’</w:t>
      </w:r>
      <w:r w:rsidR="00730B63" w:rsidRPr="00E72418">
        <w:rPr>
          <w:rFonts w:ascii="Times New Roman" w:hAnsi="Times New Roman" w:cs="Times New Roman"/>
          <w:lang w:eastAsia="fr-BE"/>
        </w:rPr>
        <w:t>É</w:t>
      </w:r>
      <w:r w:rsidR="00631BC8" w:rsidRPr="00E72418">
        <w:rPr>
          <w:rFonts w:ascii="Times New Roman" w:hAnsi="Times New Roman" w:cs="Times New Roman"/>
          <w:szCs w:val="24"/>
        </w:rPr>
        <w:t>tat y dispose logiquement de biens saisissables.</w:t>
      </w:r>
      <w:r w:rsidR="000D5E38" w:rsidRPr="00E72418">
        <w:rPr>
          <w:rFonts w:ascii="Times New Roman" w:hAnsi="Times New Roman" w:cs="Times New Roman"/>
          <w:szCs w:val="24"/>
        </w:rPr>
        <w:t xml:space="preserve"> Toutefois, comme le note </w:t>
      </w:r>
      <w:r w:rsidR="003D7F91" w:rsidRPr="00E72418">
        <w:rPr>
          <w:rFonts w:ascii="Times New Roman" w:hAnsi="Times New Roman" w:cs="Times New Roman"/>
          <w:szCs w:val="24"/>
        </w:rPr>
        <w:t xml:space="preserve">Hayk </w:t>
      </w:r>
      <w:r w:rsidR="000D5E38" w:rsidRPr="00E72418">
        <w:rPr>
          <w:rFonts w:ascii="Times New Roman" w:hAnsi="Times New Roman" w:cs="Times New Roman"/>
          <w:szCs w:val="24"/>
        </w:rPr>
        <w:t>Kupelyants, cette saisine porte également ses écueils dès lors notamment que « local courts of the sovereign debtor, asked to adjudicate on a sovereign debt dispute, might give unreserved recognition to the legislation of their own parliament which seeks to repudiate or modify the sovereign’s bonds »</w:t>
      </w:r>
      <w:r w:rsidR="000D5E38" w:rsidRPr="00E72418">
        <w:rPr>
          <w:rStyle w:val="Appelnotedebasdep"/>
          <w:rFonts w:ascii="Times New Roman" w:hAnsi="Times New Roman" w:cs="Times New Roman"/>
          <w:szCs w:val="24"/>
        </w:rPr>
        <w:footnoteReference w:id="435"/>
      </w:r>
      <w:r w:rsidR="000D5E38" w:rsidRPr="00E72418">
        <w:rPr>
          <w:rFonts w:ascii="Times New Roman" w:hAnsi="Times New Roman" w:cs="Times New Roman"/>
          <w:szCs w:val="24"/>
        </w:rPr>
        <w:t>.</w:t>
      </w:r>
    </w:p>
    <w:p w14:paraId="6382F6B9" w14:textId="00C8F50A" w:rsidR="00F24336" w:rsidRPr="00E72418" w:rsidRDefault="00F24336" w:rsidP="00CC4BA8">
      <w:pPr>
        <w:spacing w:line="276" w:lineRule="auto"/>
        <w:rPr>
          <w:rFonts w:ascii="Times New Roman" w:hAnsi="Times New Roman" w:cs="Times New Roman"/>
          <w:szCs w:val="24"/>
        </w:rPr>
      </w:pPr>
      <w:r w:rsidRPr="00E72418">
        <w:rPr>
          <w:rFonts w:ascii="Times New Roman" w:hAnsi="Times New Roman" w:cs="Times New Roman"/>
          <w:szCs w:val="24"/>
        </w:rPr>
        <w:lastRenderedPageBreak/>
        <w:t xml:space="preserve">La variété des titres matérialisant les dettes souveraines ainsi que </w:t>
      </w:r>
      <w:r w:rsidR="00ED3606" w:rsidRPr="00E72418">
        <w:rPr>
          <w:rFonts w:ascii="Times New Roman" w:hAnsi="Times New Roman" w:cs="Times New Roman"/>
          <w:szCs w:val="24"/>
        </w:rPr>
        <w:t>celle de leur régime juridique conduisent</w:t>
      </w:r>
      <w:r w:rsidRPr="00E72418">
        <w:rPr>
          <w:rFonts w:ascii="Times New Roman" w:hAnsi="Times New Roman" w:cs="Times New Roman"/>
          <w:szCs w:val="24"/>
        </w:rPr>
        <w:t xml:space="preserve"> à une atomisation des juges potentiellement saisis des difficultés</w:t>
      </w:r>
      <w:r w:rsidR="00334DB1">
        <w:rPr>
          <w:rFonts w:ascii="Times New Roman" w:hAnsi="Times New Roman" w:cs="Times New Roman"/>
          <w:szCs w:val="24"/>
        </w:rPr>
        <w:t>,</w:t>
      </w:r>
      <w:r w:rsidRPr="00E72418">
        <w:rPr>
          <w:rFonts w:ascii="Times New Roman" w:hAnsi="Times New Roman" w:cs="Times New Roman"/>
          <w:szCs w:val="24"/>
        </w:rPr>
        <w:t xml:space="preserve"> laquelle est de nature à rendre impossible l’adoption d’une réponse cohérente </w:t>
      </w:r>
      <w:r w:rsidR="00DE2EE7" w:rsidRPr="00E72418">
        <w:rPr>
          <w:rFonts w:ascii="Times New Roman" w:hAnsi="Times New Roman" w:cs="Times New Roman"/>
          <w:szCs w:val="24"/>
        </w:rPr>
        <w:t xml:space="preserve">aux problèmes financiers des </w:t>
      </w:r>
      <w:r w:rsidR="00DE2EE7" w:rsidRPr="00E72418">
        <w:rPr>
          <w:rFonts w:ascii="Times New Roman" w:hAnsi="Times New Roman" w:cs="Times New Roman"/>
          <w:lang w:eastAsia="fr-BE"/>
        </w:rPr>
        <w:t>É</w:t>
      </w:r>
      <w:r w:rsidR="00DE2EE7" w:rsidRPr="00E72418">
        <w:rPr>
          <w:rFonts w:ascii="Times New Roman" w:hAnsi="Times New Roman" w:cs="Times New Roman"/>
          <w:szCs w:val="24"/>
        </w:rPr>
        <w:t xml:space="preserve">tats souverains. </w:t>
      </w:r>
      <w:r w:rsidRPr="00E72418">
        <w:rPr>
          <w:rFonts w:ascii="Times New Roman" w:hAnsi="Times New Roman" w:cs="Times New Roman"/>
          <w:szCs w:val="24"/>
        </w:rPr>
        <w:t>Le risque que l’insolvabilité souveraine soit appréhendée par divers juges retenant potentiellement des solutions différentes, voire contradictoires, lesquelles sont ainsi sources d’insécurité juridique et d’inégalité des créanciers fait souhaiter l’instauration d’une juridiction spécifique</w:t>
      </w:r>
      <w:r w:rsidRPr="00E72418">
        <w:rPr>
          <w:rStyle w:val="Appelnotedebasdep"/>
          <w:rFonts w:ascii="Times New Roman" w:hAnsi="Times New Roman" w:cs="Times New Roman"/>
          <w:szCs w:val="24"/>
        </w:rPr>
        <w:footnoteReference w:id="436"/>
      </w:r>
      <w:r w:rsidRPr="00E72418">
        <w:rPr>
          <w:rFonts w:ascii="Times New Roman" w:hAnsi="Times New Roman" w:cs="Times New Roman"/>
          <w:szCs w:val="24"/>
        </w:rPr>
        <w:t>.</w:t>
      </w:r>
    </w:p>
    <w:p w14:paraId="7F6D8E45" w14:textId="5D31B84D" w:rsidR="00091B5E" w:rsidRPr="00E72418" w:rsidRDefault="00091B5E" w:rsidP="00423B60"/>
    <w:p w14:paraId="19838EF7" w14:textId="735E7EB4" w:rsidR="00FF3CC4" w:rsidRPr="00E72418" w:rsidRDefault="007F038F" w:rsidP="00CC4BA8">
      <w:pPr>
        <w:spacing w:line="276" w:lineRule="auto"/>
      </w:pPr>
      <w:r w:rsidRPr="00E72418">
        <w:rPr>
          <w:rFonts w:ascii="Times New Roman" w:hAnsi="Times New Roman" w:cs="Times New Roman"/>
          <w:b/>
          <w:szCs w:val="24"/>
        </w:rPr>
        <w:t>78</w:t>
      </w:r>
      <w:r w:rsidR="007E31CD" w:rsidRPr="00E72418">
        <w:rPr>
          <w:rFonts w:ascii="Times New Roman" w:hAnsi="Times New Roman" w:cs="Times New Roman"/>
          <w:b/>
          <w:szCs w:val="24"/>
        </w:rPr>
        <w:t xml:space="preserve">. </w:t>
      </w:r>
      <w:r w:rsidR="00091B5E" w:rsidRPr="00E72418">
        <w:rPr>
          <w:rFonts w:ascii="Times New Roman" w:hAnsi="Times New Roman" w:cs="Times New Roman"/>
          <w:b/>
          <w:szCs w:val="24"/>
        </w:rPr>
        <w:t xml:space="preserve">Le droit applicable </w:t>
      </w:r>
      <w:r w:rsidR="00091B5E" w:rsidRPr="00E72418">
        <w:rPr>
          <w:b/>
        </w:rPr>
        <w:t xml:space="preserve">– </w:t>
      </w:r>
      <w:r w:rsidR="00091B5E" w:rsidRPr="00E72418">
        <w:t xml:space="preserve">Les contrats d’émission obligataire contiennent généralement des clauses de droit applicable. </w:t>
      </w:r>
      <w:r w:rsidR="000A4ED1" w:rsidRPr="00E72418">
        <w:t>S’il est généralement rete</w:t>
      </w:r>
      <w:r w:rsidR="00FC4E03" w:rsidRPr="00E72418">
        <w:t>nu qu’il est préférable pour l’</w:t>
      </w:r>
      <w:r w:rsidR="00FC4E03" w:rsidRPr="00E72418">
        <w:rPr>
          <w:rFonts w:ascii="Times New Roman" w:hAnsi="Times New Roman" w:cs="Times New Roman"/>
          <w:lang w:eastAsia="fr-BE"/>
        </w:rPr>
        <w:t>É</w:t>
      </w:r>
      <w:r w:rsidR="000A4ED1" w:rsidRPr="00E72418">
        <w:t xml:space="preserve">tat débiteur de </w:t>
      </w:r>
      <w:r w:rsidR="00713214" w:rsidRPr="00E72418">
        <w:t>voir sa dette soumise à sa propre loi, cette possibilité ne lui est pas toujours économiquement offerte en raison de la confiance relative qu’il inspire aux investisseurs préférant qu’un autre droit soit applicable</w:t>
      </w:r>
      <w:r w:rsidR="00713214" w:rsidRPr="00E72418">
        <w:rPr>
          <w:rStyle w:val="Appelnotedebasdep"/>
        </w:rPr>
        <w:footnoteReference w:id="437"/>
      </w:r>
      <w:r w:rsidR="00713214" w:rsidRPr="00E72418">
        <w:t>.</w:t>
      </w:r>
      <w:r w:rsidR="00CA5D75" w:rsidRPr="00E72418">
        <w:t xml:space="preserve"> L’autonomie des parties conduit à ce que la dette </w:t>
      </w:r>
      <w:r w:rsidR="00FC4E03" w:rsidRPr="00E72418">
        <w:t xml:space="preserve">d’un </w:t>
      </w:r>
      <w:r w:rsidR="00FC4E03" w:rsidRPr="00E72418">
        <w:rPr>
          <w:rFonts w:ascii="Times New Roman" w:hAnsi="Times New Roman" w:cs="Times New Roman"/>
          <w:lang w:eastAsia="fr-BE"/>
        </w:rPr>
        <w:t>É</w:t>
      </w:r>
      <w:r w:rsidR="00CA5D75" w:rsidRPr="00E72418">
        <w:t xml:space="preserve">tat constituée d’un nombre important d’obligations issues de divers contrats d’émission soit ainsi soumise à des droits différents compliquant de la sorte la </w:t>
      </w:r>
      <w:r w:rsidR="001243C1" w:rsidRPr="00E72418">
        <w:t xml:space="preserve">réglementation </w:t>
      </w:r>
      <w:r w:rsidR="00CA5D75" w:rsidRPr="00E72418">
        <w:t>que l’on chercherait à faire des activités spéculatives sur celle-ci</w:t>
      </w:r>
      <w:r w:rsidR="00CA5D75" w:rsidRPr="00E72418">
        <w:rPr>
          <w:rStyle w:val="Appelnotedebasdep"/>
        </w:rPr>
        <w:footnoteReference w:id="438"/>
      </w:r>
      <w:r w:rsidR="00CA5D75" w:rsidRPr="00E72418">
        <w:t xml:space="preserve">. </w:t>
      </w:r>
    </w:p>
    <w:p w14:paraId="57784733" w14:textId="184E0FE8" w:rsidR="00091B5E" w:rsidRPr="00E72418" w:rsidRDefault="00FF3CC4" w:rsidP="00CC4BA8">
      <w:pPr>
        <w:spacing w:line="276" w:lineRule="auto"/>
        <w:rPr>
          <w:rFonts w:ascii="Times New Roman" w:hAnsi="Times New Roman" w:cs="Times New Roman"/>
          <w:szCs w:val="24"/>
        </w:rPr>
      </w:pPr>
      <w:r w:rsidRPr="00E72418">
        <w:t xml:space="preserve">Dans l’hypothèse où aucun choix n’a été posé, la solution logique </w:t>
      </w:r>
      <w:r w:rsidR="00DF7C81" w:rsidRPr="00E72418">
        <w:t>de la méthode</w:t>
      </w:r>
      <w:r w:rsidR="00E76A99" w:rsidRPr="00E72418">
        <w:t xml:space="preserve"> indiciaire </w:t>
      </w:r>
      <w:r w:rsidRPr="00E72418">
        <w:t>impose de s’interroger sur la prestation caractéristique</w:t>
      </w:r>
      <w:r w:rsidRPr="00E72418">
        <w:rPr>
          <w:rFonts w:ascii="Times New Roman" w:hAnsi="Times New Roman" w:cs="Times New Roman"/>
          <w:szCs w:val="24"/>
        </w:rPr>
        <w:t xml:space="preserve"> du contrat concerné</w:t>
      </w:r>
      <w:r w:rsidRPr="00E72418">
        <w:rPr>
          <w:rFonts w:ascii="Times New Roman" w:hAnsi="Times New Roman" w:cs="Times New Roman"/>
          <w:b/>
          <w:szCs w:val="24"/>
        </w:rPr>
        <w:t xml:space="preserve"> </w:t>
      </w:r>
      <w:r w:rsidRPr="00E72418">
        <w:rPr>
          <w:rFonts w:ascii="Times New Roman" w:hAnsi="Times New Roman" w:cs="Times New Roman"/>
          <w:szCs w:val="24"/>
        </w:rPr>
        <w:t>afin de déterminer le droit logiquement y applicable</w:t>
      </w:r>
      <w:r w:rsidRPr="00E72418">
        <w:rPr>
          <w:rStyle w:val="Appelnotedebasdep"/>
          <w:rFonts w:ascii="Times New Roman" w:hAnsi="Times New Roman" w:cs="Times New Roman"/>
          <w:szCs w:val="24"/>
        </w:rPr>
        <w:footnoteReference w:id="439"/>
      </w:r>
      <w:r w:rsidRPr="00E72418">
        <w:rPr>
          <w:rFonts w:ascii="Times New Roman" w:hAnsi="Times New Roman" w:cs="Times New Roman"/>
          <w:szCs w:val="24"/>
        </w:rPr>
        <w:t>. Relativement aux contrats d’émission dont l’exécution est poursuivi</w:t>
      </w:r>
      <w:r w:rsidR="008F3EC7" w:rsidRPr="00E72418">
        <w:rPr>
          <w:rFonts w:ascii="Times New Roman" w:hAnsi="Times New Roman" w:cs="Times New Roman"/>
          <w:szCs w:val="24"/>
        </w:rPr>
        <w:t>e</w:t>
      </w:r>
      <w:r w:rsidRPr="00E72418">
        <w:rPr>
          <w:rFonts w:ascii="Times New Roman" w:hAnsi="Times New Roman" w:cs="Times New Roman"/>
          <w:szCs w:val="24"/>
        </w:rPr>
        <w:t xml:space="preserve"> par les fonds spéculatifs, le remboursement par l</w:t>
      </w:r>
      <w:r w:rsidR="00FC4E03" w:rsidRPr="00E72418">
        <w:rPr>
          <w:rFonts w:ascii="Times New Roman" w:hAnsi="Times New Roman" w:cs="Times New Roman"/>
          <w:szCs w:val="24"/>
        </w:rPr>
        <w:t>’</w:t>
      </w:r>
      <w:r w:rsidR="00FC4E03" w:rsidRPr="00E72418">
        <w:rPr>
          <w:rFonts w:ascii="Times New Roman" w:hAnsi="Times New Roman" w:cs="Times New Roman"/>
          <w:lang w:eastAsia="fr-BE"/>
        </w:rPr>
        <w:t>É</w:t>
      </w:r>
      <w:r w:rsidRPr="00E72418">
        <w:rPr>
          <w:rFonts w:ascii="Times New Roman" w:hAnsi="Times New Roman" w:cs="Times New Roman"/>
          <w:szCs w:val="24"/>
        </w:rPr>
        <w:t>tat débiteur des obligations émises</w:t>
      </w:r>
      <w:r w:rsidR="008F3EC7" w:rsidRPr="00E72418">
        <w:rPr>
          <w:rFonts w:ascii="Times New Roman" w:hAnsi="Times New Roman" w:cs="Times New Roman"/>
          <w:szCs w:val="24"/>
        </w:rPr>
        <w:t>,</w:t>
      </w:r>
      <w:r w:rsidRPr="00E72418">
        <w:rPr>
          <w:rFonts w:ascii="Times New Roman" w:hAnsi="Times New Roman" w:cs="Times New Roman"/>
          <w:szCs w:val="24"/>
        </w:rPr>
        <w:t xml:space="preserve"> </w:t>
      </w:r>
      <w:r w:rsidR="008F3EC7" w:rsidRPr="00E72418">
        <w:rPr>
          <w:rFonts w:ascii="Times New Roman" w:hAnsi="Times New Roman" w:cs="Times New Roman"/>
          <w:szCs w:val="24"/>
        </w:rPr>
        <w:t xml:space="preserve">qui s’effectue sur son territoire, </w:t>
      </w:r>
      <w:r w:rsidRPr="00E72418">
        <w:rPr>
          <w:rFonts w:ascii="Times New Roman" w:hAnsi="Times New Roman" w:cs="Times New Roman"/>
          <w:szCs w:val="24"/>
        </w:rPr>
        <w:t>semble devoir être retenu comme étant la prestation caractéristique</w:t>
      </w:r>
      <w:r w:rsidRPr="00E72418">
        <w:rPr>
          <w:rStyle w:val="Appelnotedebasdep"/>
          <w:rFonts w:ascii="Times New Roman" w:hAnsi="Times New Roman" w:cs="Times New Roman"/>
          <w:szCs w:val="24"/>
        </w:rPr>
        <w:footnoteReference w:id="440"/>
      </w:r>
      <w:r w:rsidRPr="00E72418">
        <w:rPr>
          <w:rFonts w:ascii="Times New Roman" w:hAnsi="Times New Roman" w:cs="Times New Roman"/>
          <w:szCs w:val="24"/>
        </w:rPr>
        <w:t>.</w:t>
      </w:r>
      <w:r w:rsidR="008F3EC7" w:rsidRPr="00E72418">
        <w:rPr>
          <w:rFonts w:ascii="Times New Roman" w:hAnsi="Times New Roman" w:cs="Times New Roman"/>
          <w:szCs w:val="24"/>
        </w:rPr>
        <w:t xml:space="preserve"> Ce faisant, en l’absence de clause de droit applicable, l’on peut raisonnable</w:t>
      </w:r>
      <w:r w:rsidR="00FC4E03" w:rsidRPr="00E72418">
        <w:rPr>
          <w:rFonts w:ascii="Times New Roman" w:hAnsi="Times New Roman" w:cs="Times New Roman"/>
          <w:szCs w:val="24"/>
        </w:rPr>
        <w:t>ment retenir que le droit de l’</w:t>
      </w:r>
      <w:r w:rsidR="00FC4E03" w:rsidRPr="00E72418">
        <w:rPr>
          <w:rFonts w:ascii="Times New Roman" w:hAnsi="Times New Roman" w:cs="Times New Roman"/>
          <w:lang w:eastAsia="fr-BE"/>
        </w:rPr>
        <w:t>É</w:t>
      </w:r>
      <w:r w:rsidR="008F3EC7" w:rsidRPr="00E72418">
        <w:rPr>
          <w:rFonts w:ascii="Times New Roman" w:hAnsi="Times New Roman" w:cs="Times New Roman"/>
          <w:szCs w:val="24"/>
        </w:rPr>
        <w:t>tat débiteur régit les conflits découlant des obligations souveraines</w:t>
      </w:r>
      <w:r w:rsidR="008F3EC7" w:rsidRPr="00E72418">
        <w:rPr>
          <w:rStyle w:val="Appelnotedebasdep"/>
          <w:rFonts w:ascii="Times New Roman" w:hAnsi="Times New Roman" w:cs="Times New Roman"/>
          <w:szCs w:val="24"/>
        </w:rPr>
        <w:footnoteReference w:id="441"/>
      </w:r>
      <w:r w:rsidR="008F3EC7" w:rsidRPr="00E72418">
        <w:rPr>
          <w:rFonts w:ascii="Times New Roman" w:hAnsi="Times New Roman" w:cs="Times New Roman"/>
          <w:szCs w:val="24"/>
        </w:rPr>
        <w:t>.</w:t>
      </w:r>
    </w:p>
    <w:p w14:paraId="05C4E37E" w14:textId="4266B447" w:rsidR="00B90202" w:rsidRPr="00E72418" w:rsidRDefault="00B90202" w:rsidP="00423B60"/>
    <w:p w14:paraId="02FDD2DD" w14:textId="6B952657" w:rsidR="008E618E" w:rsidRPr="00E72418" w:rsidRDefault="00636248" w:rsidP="00B90202">
      <w:pPr>
        <w:spacing w:line="276" w:lineRule="auto"/>
      </w:pPr>
      <w:r w:rsidRPr="00E72418">
        <w:rPr>
          <w:b/>
        </w:rPr>
        <w:t>7</w:t>
      </w:r>
      <w:r w:rsidR="007F038F" w:rsidRPr="00E72418">
        <w:rPr>
          <w:b/>
        </w:rPr>
        <w:t>9</w:t>
      </w:r>
      <w:r w:rsidRPr="00E72418">
        <w:rPr>
          <w:b/>
        </w:rPr>
        <w:t xml:space="preserve">. </w:t>
      </w:r>
      <w:r w:rsidR="00B90202" w:rsidRPr="00E72418">
        <w:rPr>
          <w:b/>
        </w:rPr>
        <w:t>Les prééminences étatsunienne et britannique –</w:t>
      </w:r>
      <w:r w:rsidR="00841010" w:rsidRPr="00E72418">
        <w:rPr>
          <w:b/>
        </w:rPr>
        <w:t xml:space="preserve"> </w:t>
      </w:r>
      <w:r w:rsidR="00841010" w:rsidRPr="00E72418">
        <w:t>Dans de nombreux cas, l</w:t>
      </w:r>
      <w:r w:rsidR="00B90202" w:rsidRPr="00E72418">
        <w:t xml:space="preserve">es clauses attributives de compétence et les clauses de loi applicable désignent des juges et des droits </w:t>
      </w:r>
      <w:r w:rsidR="00B90202" w:rsidRPr="00E72418">
        <w:lastRenderedPageBreak/>
        <w:t>identiques, régulièrement les étatsuniens et britanniques</w:t>
      </w:r>
      <w:r w:rsidR="00672C8D" w:rsidRPr="00E72418">
        <w:rPr>
          <w:rStyle w:val="Appelnotedebasdep"/>
        </w:rPr>
        <w:footnoteReference w:id="442"/>
      </w:r>
      <w:r w:rsidR="00293ED2" w:rsidRPr="00E72418">
        <w:rPr>
          <w:vertAlign w:val="superscript"/>
        </w:rPr>
        <w:t>,</w:t>
      </w:r>
      <w:r w:rsidR="00293ED2" w:rsidRPr="00E72418">
        <w:rPr>
          <w:rStyle w:val="Appelnotedebasdep"/>
        </w:rPr>
        <w:footnoteReference w:id="443"/>
      </w:r>
      <w:r w:rsidR="00B90202" w:rsidRPr="00E72418">
        <w:t xml:space="preserve">. </w:t>
      </w:r>
      <w:r w:rsidR="00B24AE7" w:rsidRPr="00E72418">
        <w:t>Divers facteurs peuvent expliquer ces prééminences étatsunienne et britannique.</w:t>
      </w:r>
    </w:p>
    <w:p w14:paraId="4879FF6C" w14:textId="2CA1F076" w:rsidR="009703B6" w:rsidRPr="00E72418" w:rsidRDefault="008E618E" w:rsidP="00B90202">
      <w:pPr>
        <w:spacing w:line="276" w:lineRule="auto"/>
      </w:pPr>
      <w:r w:rsidRPr="00E72418">
        <w:t xml:space="preserve">D’abord, </w:t>
      </w:r>
      <w:r w:rsidR="00B24AE7" w:rsidRPr="00E72418">
        <w:t>ces clauses</w:t>
      </w:r>
      <w:r w:rsidR="00B90202" w:rsidRPr="00E72418">
        <w:t xml:space="preserve"> s’inscrivent pour partie dans une logique de simplification par l’habitude</w:t>
      </w:r>
      <w:r w:rsidR="00B90202" w:rsidRPr="00E72418">
        <w:rPr>
          <w:rStyle w:val="Appelnotedebasdep"/>
        </w:rPr>
        <w:footnoteReference w:id="444"/>
      </w:r>
      <w:r w:rsidRPr="00E72418">
        <w:t>. Cette habitude conduit à ce qu’une expertise plus poussée des praticiens, qu’ils soient magistrats, avocats, experts, s’y développe laquelle, sans doute, participe à localiser davantage les contentieux à ces endroits et à les soumettre à ces droits</w:t>
      </w:r>
      <w:r w:rsidR="00FC742D" w:rsidRPr="00E72418">
        <w:rPr>
          <w:rStyle w:val="Appelnotedebasdep"/>
        </w:rPr>
        <w:footnoteReference w:id="445"/>
      </w:r>
      <w:r w:rsidRPr="00E72418">
        <w:t>.</w:t>
      </w:r>
    </w:p>
    <w:p w14:paraId="1BA59197" w14:textId="0BE9FA49" w:rsidR="008A7B98" w:rsidRPr="00E72418" w:rsidRDefault="008E618E" w:rsidP="00B90202">
      <w:pPr>
        <w:spacing w:line="276" w:lineRule="auto"/>
      </w:pPr>
      <w:r w:rsidRPr="00E72418">
        <w:t>Ensuite, e</w:t>
      </w:r>
      <w:r w:rsidR="00B90202" w:rsidRPr="00E72418">
        <w:t xml:space="preserve">n matière de dettes souveraines, la </w:t>
      </w:r>
      <w:r w:rsidR="00B90202" w:rsidRPr="00E72418">
        <w:rPr>
          <w:i/>
        </w:rPr>
        <w:t>common law</w:t>
      </w:r>
      <w:r w:rsidR="00B90202" w:rsidRPr="00E72418">
        <w:t xml:space="preserve"> est privilégiée </w:t>
      </w:r>
      <w:r w:rsidR="00841010" w:rsidRPr="00E72418">
        <w:t>en raison de</w:t>
      </w:r>
      <w:r w:rsidR="00025355" w:rsidRPr="00E72418">
        <w:t xml:space="preserve"> son attachement à la </w:t>
      </w:r>
      <w:r w:rsidR="00B90202" w:rsidRPr="00E72418">
        <w:rPr>
          <w:i/>
        </w:rPr>
        <w:t>sanctity of contracts</w:t>
      </w:r>
      <w:r w:rsidR="00B90202" w:rsidRPr="00E72418">
        <w:rPr>
          <w:rStyle w:val="Appelnotedebasdep"/>
        </w:rPr>
        <w:footnoteReference w:id="446"/>
      </w:r>
      <w:r w:rsidR="000E5C8C" w:rsidRPr="00E72418">
        <w:rPr>
          <w:vertAlign w:val="superscript"/>
        </w:rPr>
        <w:t>,</w:t>
      </w:r>
      <w:r w:rsidR="000E5C8C" w:rsidRPr="00E72418">
        <w:rPr>
          <w:rStyle w:val="Appelnotedebasdep"/>
        </w:rPr>
        <w:footnoteReference w:id="447"/>
      </w:r>
      <w:r w:rsidR="00B90202" w:rsidRPr="00E72418">
        <w:t>. Ainsi, l</w:t>
      </w:r>
      <w:r w:rsidR="00B90202" w:rsidRPr="00E72418">
        <w:rPr>
          <w:lang w:val="en-US"/>
        </w:rPr>
        <w:t xml:space="preserve">es juridictions étatsuniennes et britanniques ont tendance à mettre en </w:t>
      </w:r>
      <w:r w:rsidR="00E1070A" w:rsidRPr="00E72418">
        <w:rPr>
          <w:szCs w:val="20"/>
        </w:rPr>
        <w:t>œuvre</w:t>
      </w:r>
      <w:r w:rsidR="00B90202" w:rsidRPr="00E72418">
        <w:rPr>
          <w:lang w:val="en-US"/>
        </w:rPr>
        <w:t xml:space="preserve"> les droits contractuels même si les créanciers les ont acquis à prix réduit dans une logique spéculative</w:t>
      </w:r>
      <w:r w:rsidR="00B90202" w:rsidRPr="00E72418">
        <w:rPr>
          <w:rStyle w:val="Appelnotedebasdep"/>
          <w:lang w:val="en-US"/>
        </w:rPr>
        <w:footnoteReference w:id="448"/>
      </w:r>
      <w:r w:rsidR="00B90202" w:rsidRPr="00E72418">
        <w:rPr>
          <w:lang w:val="en-US"/>
        </w:rPr>
        <w:t>.</w:t>
      </w:r>
      <w:r w:rsidR="00B90202" w:rsidRPr="00E72418">
        <w:t xml:space="preserve"> </w:t>
      </w:r>
    </w:p>
    <w:p w14:paraId="7FA3F04D" w14:textId="72C0ACFD" w:rsidR="008A7B98" w:rsidRPr="00E72418" w:rsidRDefault="00F559CA" w:rsidP="00B90202">
      <w:pPr>
        <w:spacing w:line="276" w:lineRule="auto"/>
        <w:rPr>
          <w:rFonts w:ascii="Times New Roman" w:hAnsi="Times New Roman" w:cs="Times New Roman"/>
        </w:rPr>
      </w:pPr>
      <w:r w:rsidRPr="00E72418">
        <w:t>Par ailleurs, l</w:t>
      </w:r>
      <w:r w:rsidRPr="00E72418">
        <w:rPr>
          <w:rFonts w:ascii="Times New Roman" w:hAnsi="Times New Roman" w:cs="Times New Roman"/>
        </w:rPr>
        <w:t>a place importante occupée par les villes de New York et de Londres parmi les centres financiers mondiaux conduit à ce que les juridictions étatsuniennes et britanniques soient souvent désignées comme compétentes pour connaître des contentieux relatifs aux dettes souveraines</w:t>
      </w:r>
      <w:r w:rsidRPr="00E72418">
        <w:rPr>
          <w:rStyle w:val="Appelnotedebasdep"/>
          <w:rFonts w:ascii="Times New Roman" w:hAnsi="Times New Roman" w:cs="Times New Roman"/>
        </w:rPr>
        <w:footnoteReference w:id="449"/>
      </w:r>
      <w:r w:rsidRPr="00E72418">
        <w:rPr>
          <w:rFonts w:ascii="Times New Roman" w:hAnsi="Times New Roman" w:cs="Times New Roman"/>
        </w:rPr>
        <w:t>.</w:t>
      </w:r>
      <w:r w:rsidR="003860F6" w:rsidRPr="00E72418">
        <w:rPr>
          <w:rFonts w:ascii="Times New Roman" w:hAnsi="Times New Roman" w:cs="Times New Roman"/>
        </w:rPr>
        <w:t xml:space="preserve"> </w:t>
      </w:r>
      <w:r w:rsidR="008A7B98" w:rsidRPr="00E72418">
        <w:rPr>
          <w:rFonts w:ascii="Times New Roman" w:hAnsi="Times New Roman" w:cs="Times New Roman"/>
        </w:rPr>
        <w:t>Plus encore, le développement des droits new-yorkais et britannique conduit à leur prévisibilité laquelle est souvent souhaitée par les investisseurs</w:t>
      </w:r>
      <w:r w:rsidR="008A7B98" w:rsidRPr="00E72418">
        <w:rPr>
          <w:rStyle w:val="Appelnotedebasdep"/>
          <w:rFonts w:ascii="Times New Roman" w:hAnsi="Times New Roman" w:cs="Times New Roman"/>
        </w:rPr>
        <w:footnoteReference w:id="450"/>
      </w:r>
      <w:r w:rsidR="008A7B98" w:rsidRPr="00E72418">
        <w:rPr>
          <w:rFonts w:ascii="Times New Roman" w:hAnsi="Times New Roman" w:cs="Times New Roman"/>
        </w:rPr>
        <w:t xml:space="preserve">. </w:t>
      </w:r>
    </w:p>
    <w:p w14:paraId="39F13046" w14:textId="0F327E86" w:rsidR="00F559CA" w:rsidRPr="00E72418" w:rsidRDefault="001075A1" w:rsidP="00B90202">
      <w:pPr>
        <w:spacing w:line="276" w:lineRule="auto"/>
        <w:rPr>
          <w:lang w:val="en-US"/>
        </w:rPr>
      </w:pPr>
      <w:r w:rsidRPr="00E72418">
        <w:rPr>
          <w:rFonts w:ascii="Times New Roman" w:hAnsi="Times New Roman" w:cs="Times New Roman"/>
        </w:rPr>
        <w:t>Aussi</w:t>
      </w:r>
      <w:r w:rsidR="008A7B98" w:rsidRPr="00E72418">
        <w:rPr>
          <w:rFonts w:ascii="Times New Roman" w:hAnsi="Times New Roman" w:cs="Times New Roman"/>
        </w:rPr>
        <w:t xml:space="preserve">, </w:t>
      </w:r>
      <w:r w:rsidR="008A7B98" w:rsidRPr="00E72418">
        <w:rPr>
          <w:lang w:val="en-US"/>
        </w:rPr>
        <w:t>b</w:t>
      </w:r>
      <w:r w:rsidR="003860F6" w:rsidRPr="00E72418">
        <w:rPr>
          <w:lang w:val="en-US"/>
        </w:rPr>
        <w:t xml:space="preserve">ien que l’argument soit passager, nous pouvons finalement penser que le caractère </w:t>
      </w:r>
      <w:r w:rsidR="003860F6" w:rsidRPr="00E72418">
        <w:rPr>
          <w:i/>
          <w:lang w:val="en-US"/>
        </w:rPr>
        <w:t>intuitu personae</w:t>
      </w:r>
      <w:r w:rsidR="003860F6" w:rsidRPr="00E72418">
        <w:rPr>
          <w:lang w:val="en-US"/>
        </w:rPr>
        <w:t xml:space="preserve"> des contentieux noués devant la </w:t>
      </w:r>
      <w:r w:rsidR="00C6627B">
        <w:rPr>
          <w:lang w:val="en-US"/>
        </w:rPr>
        <w:t xml:space="preserve">United States </w:t>
      </w:r>
      <w:r w:rsidR="003860F6" w:rsidRPr="00C6627B">
        <w:t xml:space="preserve">District Court for the Southern </w:t>
      </w:r>
      <w:r w:rsidR="003860F6" w:rsidRPr="00C6627B">
        <w:lastRenderedPageBreak/>
        <w:t>District of New York</w:t>
      </w:r>
      <w:r w:rsidR="003860F6" w:rsidRPr="00E72418">
        <w:t xml:space="preserve">, incarnée tout un temps par le juge </w:t>
      </w:r>
      <w:r w:rsidR="006361CE" w:rsidRPr="00E72418">
        <w:t xml:space="preserve">Thomas </w:t>
      </w:r>
      <w:r w:rsidR="003860F6" w:rsidRPr="00E72418">
        <w:t>Griesa, a contribué à l’essor des recours qui y furent introduits et, par conséquent, au souhait d’y concentrer les litiges</w:t>
      </w:r>
      <w:r w:rsidR="003860F6" w:rsidRPr="00E72418">
        <w:rPr>
          <w:rStyle w:val="Appelnotedebasdep"/>
        </w:rPr>
        <w:footnoteReference w:id="451"/>
      </w:r>
      <w:r w:rsidR="003860F6" w:rsidRPr="00E72418">
        <w:t>.</w:t>
      </w:r>
      <w:r w:rsidRPr="00E72418">
        <w:t xml:space="preserve"> La mobilisation qui y fut</w:t>
      </w:r>
      <w:r w:rsidR="0036541B" w:rsidRPr="00E72418">
        <w:t xml:space="preserve"> faite du </w:t>
      </w:r>
      <w:r w:rsidR="003F0FC9" w:rsidRPr="00E72418">
        <w:rPr>
          <w:i/>
        </w:rPr>
        <w:t>contempt of court</w:t>
      </w:r>
      <w:r w:rsidR="003F0FC9" w:rsidRPr="00E72418">
        <w:t>, sanctionnant</w:t>
      </w:r>
      <w:r w:rsidRPr="00E72418">
        <w:t xml:space="preserve"> celui qui contrevient à une décision judiciaire</w:t>
      </w:r>
      <w:r w:rsidR="003F0FC9" w:rsidRPr="00E72418">
        <w:t>,</w:t>
      </w:r>
      <w:r w:rsidRPr="00E72418">
        <w:t xml:space="preserve"> renforce encore l’attrait de la juridiction</w:t>
      </w:r>
      <w:r w:rsidRPr="00E72418">
        <w:rPr>
          <w:rStyle w:val="Appelnotedebasdep"/>
        </w:rPr>
        <w:footnoteReference w:id="452"/>
      </w:r>
      <w:r w:rsidRPr="00E72418">
        <w:t>.</w:t>
      </w:r>
    </w:p>
    <w:p w14:paraId="1C73FD84" w14:textId="014B0407" w:rsidR="00B90202" w:rsidRPr="00E72418" w:rsidRDefault="001075A1" w:rsidP="00B90202">
      <w:pPr>
        <w:spacing w:line="276" w:lineRule="auto"/>
      </w:pPr>
      <w:r w:rsidRPr="00E72418">
        <w:rPr>
          <w:rFonts w:cs="Times New Roman"/>
          <w:szCs w:val="24"/>
        </w:rPr>
        <w:t>Finalement, l</w:t>
      </w:r>
      <w:r w:rsidR="00B90202" w:rsidRPr="00E72418">
        <w:rPr>
          <w:rFonts w:cs="Times New Roman"/>
          <w:szCs w:val="24"/>
        </w:rPr>
        <w:t xml:space="preserve">’intérêt pour les créanciers de privilégier le droit new-yorkais réside sans doute dans le taux d’intérêt qui y est pratiqué </w:t>
      </w:r>
      <w:r w:rsidR="00D74AE2" w:rsidRPr="00E72418">
        <w:rPr>
          <w:rFonts w:cs="Times New Roman"/>
          <w:szCs w:val="24"/>
        </w:rPr>
        <w:t>puis</w:t>
      </w:r>
      <w:r w:rsidR="00B90202" w:rsidRPr="00E72418">
        <w:rPr>
          <w:rFonts w:cs="Times New Roman"/>
          <w:szCs w:val="24"/>
        </w:rPr>
        <w:t xml:space="preserve">que, comme le note </w:t>
      </w:r>
      <w:r w:rsidR="003D7F91" w:rsidRPr="00E72418">
        <w:rPr>
          <w:rFonts w:cs="Times New Roman"/>
          <w:szCs w:val="24"/>
        </w:rPr>
        <w:t xml:space="preserve">Martin </w:t>
      </w:r>
      <w:r w:rsidR="00B90202" w:rsidRPr="00E72418">
        <w:rPr>
          <w:rFonts w:cs="Times New Roman"/>
          <w:szCs w:val="24"/>
        </w:rPr>
        <w:t xml:space="preserve">Guzman, </w:t>
      </w:r>
      <w:r w:rsidR="00B90202" w:rsidRPr="00E72418">
        <w:rPr>
          <w:lang w:val="en-US"/>
        </w:rPr>
        <w:t xml:space="preserve">« it can be </w:t>
      </w:r>
      <w:r w:rsidR="00B90202" w:rsidRPr="00E72418">
        <w:t>[</w:t>
      </w:r>
      <w:r w:rsidR="00B90202" w:rsidRPr="00E72418">
        <w:rPr>
          <w:lang w:val="en-US"/>
        </w:rPr>
        <w:t>expensive</w:t>
      </w:r>
      <w:r w:rsidR="00B90202" w:rsidRPr="00E72418">
        <w:t xml:space="preserve">] </w:t>
      </w:r>
      <w:r w:rsidR="00B90202" w:rsidRPr="00E72418">
        <w:rPr>
          <w:lang w:val="en-US"/>
        </w:rPr>
        <w:t xml:space="preserve">for a country to engage in a long legal battle under New York law </w:t>
      </w:r>
      <w:r w:rsidR="00B90202" w:rsidRPr="00E72418">
        <w:rPr>
          <w:szCs w:val="24"/>
          <w:lang w:val="en-US"/>
        </w:rPr>
        <w:t xml:space="preserve">» </w:t>
      </w:r>
      <w:r w:rsidR="00D74AE2" w:rsidRPr="00E72418">
        <w:rPr>
          <w:szCs w:val="24"/>
          <w:lang w:val="en-US"/>
        </w:rPr>
        <w:t>en ce que</w:t>
      </w:r>
      <w:r w:rsidR="00B90202" w:rsidRPr="00E72418">
        <w:rPr>
          <w:szCs w:val="24"/>
          <w:lang w:val="en-US"/>
        </w:rPr>
        <w:t xml:space="preserve"> </w:t>
      </w:r>
      <w:r w:rsidR="00B90202" w:rsidRPr="00E72418">
        <w:rPr>
          <w:lang w:val="en-US"/>
        </w:rPr>
        <w:t xml:space="preserve">« </w:t>
      </w:r>
      <w:r w:rsidR="00B90202" w:rsidRPr="00E72418">
        <w:t>[t]</w:t>
      </w:r>
      <w:r w:rsidR="00B90202" w:rsidRPr="00E72418">
        <w:rPr>
          <w:lang w:val="en-US"/>
        </w:rPr>
        <w:t xml:space="preserve">he New York annual statutory rate of nine percent punishes risky debtors twice: they have to pay a high interest rate that includes risk compensation when they do not default and, on top of that, they have to pay nine percent per year after they default and until a judgment is reached </w:t>
      </w:r>
      <w:r w:rsidR="00B90202" w:rsidRPr="00E72418">
        <w:rPr>
          <w:szCs w:val="24"/>
          <w:lang w:val="en-US"/>
        </w:rPr>
        <w:t>»</w:t>
      </w:r>
      <w:r w:rsidR="00B90202" w:rsidRPr="00E72418">
        <w:rPr>
          <w:rStyle w:val="Appelnotedebasdep"/>
          <w:szCs w:val="24"/>
          <w:lang w:val="en-US"/>
        </w:rPr>
        <w:footnoteReference w:id="453"/>
      </w:r>
      <w:r w:rsidR="00B90202" w:rsidRPr="00E72418">
        <w:rPr>
          <w:lang w:val="en-US"/>
        </w:rPr>
        <w:t xml:space="preserve">. </w:t>
      </w:r>
      <w:r w:rsidR="00E94CAF" w:rsidRPr="00E72418">
        <w:rPr>
          <w:lang w:val="en-US"/>
        </w:rPr>
        <w:t xml:space="preserve">Aussi, sans doute, la réduction en droit new-yorkais de la portée de la règle de la </w:t>
      </w:r>
      <w:r w:rsidR="00E94CAF" w:rsidRPr="00E72418">
        <w:rPr>
          <w:i/>
          <w:lang w:val="en-US"/>
        </w:rPr>
        <w:t>champerty</w:t>
      </w:r>
      <w:r w:rsidR="00E94CAF" w:rsidRPr="00E72418">
        <w:rPr>
          <w:lang w:val="en-US"/>
        </w:rPr>
        <w:t xml:space="preserve"> interdisant à une partie de faire l’acquisition d’une dette dans le seul objectif d’intenter un procès est de nature à rassurer les investisseurs quant à leur possibilité de se libérer de leurs créances</w:t>
      </w:r>
      <w:r w:rsidR="00E94CAF" w:rsidRPr="00E72418">
        <w:rPr>
          <w:rStyle w:val="Appelnotedebasdep"/>
          <w:lang w:val="en-US"/>
        </w:rPr>
        <w:footnoteReference w:id="454"/>
      </w:r>
      <w:r w:rsidR="00B24AE7" w:rsidRPr="00E72418">
        <w:rPr>
          <w:vertAlign w:val="superscript"/>
          <w:lang w:val="en-US"/>
        </w:rPr>
        <w:t>,</w:t>
      </w:r>
      <w:r w:rsidR="00B24AE7" w:rsidRPr="00E72418">
        <w:rPr>
          <w:rStyle w:val="Appelnotedebasdep"/>
          <w:lang w:val="en-US"/>
        </w:rPr>
        <w:footnoteReference w:id="455"/>
      </w:r>
      <w:r w:rsidR="00E94CAF" w:rsidRPr="00E72418">
        <w:rPr>
          <w:lang w:val="en-US"/>
        </w:rPr>
        <w:t>.</w:t>
      </w:r>
    </w:p>
    <w:p w14:paraId="477467C9" w14:textId="7FB6EBC8" w:rsidR="00C00C78" w:rsidRPr="00E72418" w:rsidRDefault="00C00C78" w:rsidP="00423B60"/>
    <w:p w14:paraId="493A229C" w14:textId="37E3E417" w:rsidR="00675175" w:rsidRPr="00E72418" w:rsidRDefault="007F038F" w:rsidP="00675175">
      <w:pPr>
        <w:spacing w:line="276" w:lineRule="auto"/>
      </w:pPr>
      <w:r w:rsidRPr="00E72418">
        <w:rPr>
          <w:b/>
        </w:rPr>
        <w:t>80</w:t>
      </w:r>
      <w:r w:rsidR="007E31CD" w:rsidRPr="00E72418">
        <w:rPr>
          <w:b/>
        </w:rPr>
        <w:t xml:space="preserve">. </w:t>
      </w:r>
      <w:r w:rsidR="00675175" w:rsidRPr="00E72418">
        <w:rPr>
          <w:b/>
        </w:rPr>
        <w:t xml:space="preserve">La piste arbitrale – </w:t>
      </w:r>
      <w:r w:rsidR="00675175" w:rsidRPr="00E72418">
        <w:t xml:space="preserve">Si la voie judiciaire est, en nombre d’affaires concernées, la plus empruntée par les créanciers d’obligations souveraines refusant les mesures de restructuration suivant un défaut, il en est d’autres parmi lesquelles celle de l’arbitrage, singulièrement par le biais d’une demande d’arbitrage au Centre international pour le règlement des différends relatifs aux investissements institué par la Convention pour le règlement des différends relatifs aux investissements entre </w:t>
      </w:r>
      <w:r w:rsidR="00675175" w:rsidRPr="00E72418">
        <w:rPr>
          <w:rFonts w:ascii="Times New Roman" w:hAnsi="Times New Roman" w:cs="Times New Roman"/>
          <w:lang w:eastAsia="fr-BE"/>
        </w:rPr>
        <w:t>É</w:t>
      </w:r>
      <w:r w:rsidR="00675175" w:rsidRPr="00E72418">
        <w:t xml:space="preserve">tats et ressortissants d’autres </w:t>
      </w:r>
      <w:r w:rsidR="00675175" w:rsidRPr="00E72418">
        <w:rPr>
          <w:rFonts w:ascii="Times New Roman" w:hAnsi="Times New Roman" w:cs="Times New Roman"/>
          <w:lang w:eastAsia="fr-BE"/>
        </w:rPr>
        <w:t>É</w:t>
      </w:r>
      <w:r w:rsidR="00675175" w:rsidRPr="00E72418">
        <w:t>tats</w:t>
      </w:r>
      <w:r w:rsidR="00675175" w:rsidRPr="00E72418">
        <w:rPr>
          <w:rStyle w:val="Appelnotedebasdep"/>
          <w:rFonts w:cs="Times New Roman"/>
        </w:rPr>
        <w:footnoteReference w:id="456"/>
      </w:r>
      <w:r w:rsidR="00675175" w:rsidRPr="00E72418">
        <w:t xml:space="preserve">. </w:t>
      </w:r>
      <w:r w:rsidR="00774C61" w:rsidRPr="00E72418">
        <w:t xml:space="preserve">La piste </w:t>
      </w:r>
      <w:r w:rsidR="009B7742" w:rsidRPr="00E72418">
        <w:t xml:space="preserve">arbitrale </w:t>
      </w:r>
      <w:r w:rsidR="00774C61" w:rsidRPr="00E72418">
        <w:t xml:space="preserve">paraît d’autant plus </w:t>
      </w:r>
      <w:r w:rsidR="009B7742" w:rsidRPr="00E72418">
        <w:t>crédible que l’article 54 de ladite convention prévoit notamment que c</w:t>
      </w:r>
      <w:r w:rsidR="00290AC4" w:rsidRPr="00E72418">
        <w:t xml:space="preserve">haque </w:t>
      </w:r>
      <w:r w:rsidR="00290AC4" w:rsidRPr="00E72418">
        <w:rPr>
          <w:rFonts w:ascii="Times New Roman" w:hAnsi="Times New Roman" w:cs="Times New Roman"/>
          <w:lang w:eastAsia="fr-BE"/>
        </w:rPr>
        <w:t>É</w:t>
      </w:r>
      <w:r w:rsidR="009B7742" w:rsidRPr="00E72418">
        <w:t xml:space="preserve">tat contractant reconnaît toute sentence rendue comme obligatoire et assure l’exécution sur son </w:t>
      </w:r>
      <w:r w:rsidR="009B7742" w:rsidRPr="00E72418">
        <w:lastRenderedPageBreak/>
        <w:t>territoire des obligations pécuniaires que la sentence impose comme s’il s’agissait d’</w:t>
      </w:r>
      <w:r w:rsidR="00290AC4" w:rsidRPr="00E72418">
        <w:t>une décision définitive</w:t>
      </w:r>
      <w:r w:rsidR="009B7742" w:rsidRPr="00E72418">
        <w:t xml:space="preserve"> d</w:t>
      </w:r>
      <w:r w:rsidR="00290AC4" w:rsidRPr="00E72418">
        <w:t>’</w:t>
      </w:r>
      <w:r w:rsidR="009B7742" w:rsidRPr="00E72418">
        <w:t>un</w:t>
      </w:r>
      <w:r w:rsidR="00290AC4" w:rsidRPr="00E72418">
        <w:t>e</w:t>
      </w:r>
      <w:r w:rsidR="009B7742" w:rsidRPr="00E72418">
        <w:t xml:space="preserve"> </w:t>
      </w:r>
      <w:r w:rsidR="00290AC4" w:rsidRPr="00E72418">
        <w:t>juridiction</w:t>
      </w:r>
      <w:r w:rsidR="009B7742" w:rsidRPr="00E72418">
        <w:t xml:space="preserve"> fonctionnant sur </w:t>
      </w:r>
      <w:r w:rsidR="00290AC4" w:rsidRPr="00E72418">
        <w:t>son</w:t>
      </w:r>
      <w:r w:rsidR="009B7742" w:rsidRPr="00E72418">
        <w:t xml:space="preserve"> territoire</w:t>
      </w:r>
      <w:r w:rsidR="00290AC4" w:rsidRPr="00E72418">
        <w:t>.</w:t>
      </w:r>
    </w:p>
    <w:p w14:paraId="564E909D" w14:textId="771DB491" w:rsidR="00675175" w:rsidRPr="00E72418" w:rsidRDefault="00675175" w:rsidP="00675175">
      <w:pPr>
        <w:spacing w:line="276" w:lineRule="auto"/>
      </w:pPr>
      <w:r w:rsidRPr="00E72418">
        <w:t>Bien que les clauses compromissoires ne soient pas légion en matière de dettes souveraines</w:t>
      </w:r>
      <w:r w:rsidRPr="00E72418">
        <w:rPr>
          <w:rStyle w:val="Appelnotedebasdep"/>
          <w:rFonts w:cs="Times New Roman"/>
        </w:rPr>
        <w:footnoteReference w:id="457"/>
      </w:r>
      <w:r w:rsidRPr="00E72418">
        <w:t xml:space="preserve">, ce ne signifie pas pour autant que la piste arbitrale est impraticable. De très nombreux traités bilatéraux en matière d’investissement prévoient des mécanismes de règlement des litiges liés à l’investissement lequel y est souvent défini de manière à ce point large que les titres de dette souveraine </w:t>
      </w:r>
      <w:r w:rsidR="001F5E67" w:rsidRPr="00E72418">
        <w:t>pourraient</w:t>
      </w:r>
      <w:r w:rsidRPr="00E72418">
        <w:t xml:space="preserve"> être considérés comme en étant</w:t>
      </w:r>
      <w:r w:rsidRPr="00E72418">
        <w:rPr>
          <w:rStyle w:val="Appelnotedebasdep"/>
          <w:rFonts w:ascii="Times New Roman" w:hAnsi="Times New Roman" w:cs="Times New Roman"/>
        </w:rPr>
        <w:footnoteReference w:id="458"/>
      </w:r>
      <w:r w:rsidRPr="00E72418">
        <w:t>. Des créanciers d’</w:t>
      </w:r>
      <w:r w:rsidRPr="00E72418">
        <w:rPr>
          <w:rFonts w:cs="Times New Roman"/>
          <w:szCs w:val="24"/>
        </w:rPr>
        <w:t>É</w:t>
      </w:r>
      <w:r w:rsidRPr="00E72418">
        <w:t xml:space="preserve">tats souverains voient ainsi dans l’arbitrage d’investissement un moyen de poursuivre leur débiteur, l’enjeu se situant essentiellement à l’endroit de faire reconnaître l’achat du titre de dette poursuivi comme étant un investissement dès lors qu’en ce qui concerne le CIRDI, l’article 25 de la Convention l’instituant prévoit notamment que sa compétence s’étend « aux différends d’ordre juridique entre un </w:t>
      </w:r>
      <w:r w:rsidRPr="00E72418">
        <w:rPr>
          <w:rFonts w:ascii="Times New Roman" w:hAnsi="Times New Roman" w:cs="Times New Roman"/>
          <w:lang w:eastAsia="fr-BE"/>
        </w:rPr>
        <w:t>É</w:t>
      </w:r>
      <w:r w:rsidRPr="00E72418">
        <w:t xml:space="preserve">tat contractant </w:t>
      </w:r>
      <w:r w:rsidRPr="00E72418">
        <w:rPr>
          <w:lang w:val="en-US"/>
        </w:rPr>
        <w:t>[…</w:t>
      </w:r>
      <w:r w:rsidRPr="00E72418">
        <w:rPr>
          <w:szCs w:val="20"/>
          <w:lang w:val="en-US"/>
        </w:rPr>
        <w:t xml:space="preserve">] </w:t>
      </w:r>
      <w:r w:rsidRPr="00E72418">
        <w:t xml:space="preserve">et le ressortissant d’un autre </w:t>
      </w:r>
      <w:r w:rsidRPr="00E72418">
        <w:rPr>
          <w:rFonts w:ascii="Times New Roman" w:hAnsi="Times New Roman" w:cs="Times New Roman"/>
          <w:lang w:eastAsia="fr-BE"/>
        </w:rPr>
        <w:t>É</w:t>
      </w:r>
      <w:r w:rsidRPr="00E72418">
        <w:t>tat contractant qui sont en relation directe avec un investissement </w:t>
      </w:r>
      <w:r w:rsidRPr="00E72418">
        <w:rPr>
          <w:lang w:val="en-US"/>
        </w:rPr>
        <w:t>[…</w:t>
      </w:r>
      <w:r w:rsidRPr="00E72418">
        <w:rPr>
          <w:szCs w:val="20"/>
          <w:lang w:val="en-US"/>
        </w:rPr>
        <w:t xml:space="preserve">] </w:t>
      </w:r>
      <w:r w:rsidRPr="00E72418">
        <w:t>»</w:t>
      </w:r>
      <w:r w:rsidRPr="00E72418">
        <w:rPr>
          <w:rStyle w:val="Appelnotedebasdep"/>
        </w:rPr>
        <w:footnoteReference w:id="459"/>
      </w:r>
      <w:r w:rsidR="009620D3" w:rsidRPr="00E72418">
        <w:rPr>
          <w:vertAlign w:val="superscript"/>
        </w:rPr>
        <w:t>,</w:t>
      </w:r>
      <w:r w:rsidRPr="00E72418">
        <w:rPr>
          <w:rStyle w:val="Appelnotedebasdep"/>
          <w:rFonts w:cs="Times New Roman"/>
        </w:rPr>
        <w:footnoteReference w:id="460"/>
      </w:r>
      <w:r w:rsidRPr="00E72418">
        <w:t>.</w:t>
      </w:r>
    </w:p>
    <w:p w14:paraId="1F0EBDFD" w14:textId="26A1F32A" w:rsidR="00675175" w:rsidRPr="00E72418" w:rsidRDefault="00675175" w:rsidP="00675175">
      <w:pPr>
        <w:spacing w:line="276" w:lineRule="auto"/>
      </w:pPr>
      <w:r w:rsidRPr="00E72418">
        <w:t>Les tentatives</w:t>
      </w:r>
      <w:r w:rsidR="00631157" w:rsidRPr="00E72418">
        <w:t xml:space="preserve"> de recours à l’arbitrage d’investissement</w:t>
      </w:r>
      <w:r w:rsidRPr="00E72418">
        <w:t xml:space="preserve"> les plus remarquées portant sur des obligations souveraines sont récentes et sont l’œuvre de créanciers de la République argentine et de créanciers de la République hellénique</w:t>
      </w:r>
      <w:r w:rsidRPr="00E72418">
        <w:rPr>
          <w:rStyle w:val="Appelnotedebasdep"/>
        </w:rPr>
        <w:footnoteReference w:id="461"/>
      </w:r>
      <w:r w:rsidR="00631157" w:rsidRPr="00E72418">
        <w:t>. Pour ce qui est des première</w:t>
      </w:r>
      <w:r w:rsidRPr="00E72418">
        <w:t>s, dans trois affaires, le CIRDI fut saisi par des créanciers arguant la méconnaissance de la République argentine d’obligations découlant du traité d’invest</w:t>
      </w:r>
      <w:r w:rsidR="00631157" w:rsidRPr="00E72418">
        <w:t>issement du 22 mai 1990 la</w:t>
      </w:r>
      <w:r w:rsidRPr="00E72418">
        <w:t xml:space="preserve"> liant à l’Italie notamment </w:t>
      </w:r>
      <w:r w:rsidRPr="00E72418">
        <w:lastRenderedPageBreak/>
        <w:t>lors du défaut sur sa dette en 2001</w:t>
      </w:r>
      <w:r w:rsidRPr="00E72418">
        <w:rPr>
          <w:rStyle w:val="Appelnotedebasdep"/>
        </w:rPr>
        <w:footnoteReference w:id="462"/>
      </w:r>
      <w:r w:rsidRPr="00E72418">
        <w:t xml:space="preserve">. Dans les décisions sur la compétence et l’admissibilité intervenues dans les contentieux argentins, à savoir l’affaire </w:t>
      </w:r>
      <w:r w:rsidRPr="00E72418">
        <w:rPr>
          <w:i/>
        </w:rPr>
        <w:t>Abaclat et al. c. la République argentine</w:t>
      </w:r>
      <w:r w:rsidRPr="00E72418">
        <w:t xml:space="preserve">, l’affaire </w:t>
      </w:r>
      <w:r w:rsidRPr="00E72418">
        <w:rPr>
          <w:i/>
        </w:rPr>
        <w:t>Ambiente Ufficio S.P.A. et al c. la République argentine</w:t>
      </w:r>
      <w:r w:rsidRPr="00E72418">
        <w:t xml:space="preserve"> et l’affaire </w:t>
      </w:r>
      <w:r w:rsidRPr="00E72418">
        <w:rPr>
          <w:i/>
        </w:rPr>
        <w:t>Giovanni Alemanni et al. c. la République argentine</w:t>
      </w:r>
      <w:r w:rsidRPr="00E72418">
        <w:t>, les juridictions arbitrales ont généralement décidé que l’acquisition des obligations souveraines argentines en jeu représentait un investissement au sens de l’article 25 de la Convention CIRDI</w:t>
      </w:r>
      <w:r w:rsidRPr="00E72418">
        <w:rPr>
          <w:rStyle w:val="Appelnotedebasdep"/>
        </w:rPr>
        <w:footnoteReference w:id="463"/>
      </w:r>
      <w:r w:rsidRPr="00E72418">
        <w:t>. De la même manière que</w:t>
      </w:r>
      <w:r w:rsidR="00631157" w:rsidRPr="00E72418">
        <w:t xml:space="preserve"> le firent certains</w:t>
      </w:r>
      <w:r w:rsidRPr="00E72418">
        <w:t xml:space="preserve"> créanciers de la République argentine, des créanciers de la République hellénique cherchèrent à saisir le CIRDI en vue d’obtenir réparation en raison de la</w:t>
      </w:r>
      <w:r w:rsidR="00631157" w:rsidRPr="00E72418">
        <w:t xml:space="preserve"> prétendue</w:t>
      </w:r>
      <w:r w:rsidRPr="00E72418">
        <w:t xml:space="preserve"> méconnaissance par le débiteur souverain de ses obligations</w:t>
      </w:r>
      <w:r w:rsidRPr="00E72418">
        <w:rPr>
          <w:rStyle w:val="Appelnotedebasdep"/>
        </w:rPr>
        <w:footnoteReference w:id="464"/>
      </w:r>
      <w:r w:rsidRPr="00E72418">
        <w:t>. Ceux-ci échouèrent à convaincre la juridiction arbitrale que les titres qu’ils poursuivaient devaient être retenus comme étant des investissements au sens du traité bilatéral d’investissement concerné</w:t>
      </w:r>
      <w:r w:rsidRPr="00E72418">
        <w:rPr>
          <w:rStyle w:val="Appelnotedebasdep"/>
        </w:rPr>
        <w:footnoteReference w:id="465"/>
      </w:r>
      <w:r w:rsidRPr="00E72418">
        <w:t xml:space="preserve"> et, </w:t>
      </w:r>
      <w:r w:rsidRPr="00E72418">
        <w:rPr>
          <w:i/>
        </w:rPr>
        <w:t>a fortiori</w:t>
      </w:r>
      <w:r w:rsidRPr="00E72418">
        <w:t>, des investissements au sens de l’article 25 de la Convention CIRDI</w:t>
      </w:r>
      <w:r w:rsidRPr="00E72418">
        <w:rPr>
          <w:rStyle w:val="Appelnotedebasdep"/>
        </w:rPr>
        <w:footnoteReference w:id="466"/>
      </w:r>
      <w:r w:rsidRPr="00E72418">
        <w:t>.</w:t>
      </w:r>
    </w:p>
    <w:p w14:paraId="139B5C6B" w14:textId="6151208C" w:rsidR="00675175" w:rsidRPr="00E72418" w:rsidRDefault="00675175" w:rsidP="00675175">
      <w:pPr>
        <w:spacing w:line="276" w:lineRule="auto"/>
      </w:pPr>
      <w:r w:rsidRPr="00E72418">
        <w:t xml:space="preserve">Quelle que soit la solution </w:t>
      </w:r>
      <w:r w:rsidR="00631157" w:rsidRPr="00E72418">
        <w:t>apportée à la question</w:t>
      </w:r>
      <w:r w:rsidRPr="00E72418">
        <w:t xml:space="preserve"> de l’arbitrabilité des titres matérialisant les dettes souveraines</w:t>
      </w:r>
      <w:r w:rsidR="00631157" w:rsidRPr="00E72418">
        <w:t>, laquelle question</w:t>
      </w:r>
      <w:r w:rsidRPr="00E72418">
        <w:t xml:space="preserve"> dépasse l’objet de la présente recherche</w:t>
      </w:r>
      <w:r w:rsidR="00262026" w:rsidRPr="00E72418">
        <w:rPr>
          <w:rStyle w:val="Appelnotedebasdep"/>
        </w:rPr>
        <w:footnoteReference w:id="467"/>
      </w:r>
      <w:r w:rsidRPr="00E72418">
        <w:t>, les affaires précitées n’ont donné lieu à aucune appréciation par le CIRDI d’éventuelles méconnaissances par l’</w:t>
      </w:r>
      <w:r w:rsidRPr="00E72418">
        <w:rPr>
          <w:rFonts w:ascii="Times New Roman" w:hAnsi="Times New Roman" w:cs="Times New Roman"/>
          <w:lang w:eastAsia="fr-BE"/>
        </w:rPr>
        <w:t>É</w:t>
      </w:r>
      <w:r w:rsidRPr="00E72418">
        <w:t xml:space="preserve">tat débiteur du principe de traitement juste et équitable des créanciers ou encore d’une injuste expropriation, les contentieux n’y étant pas menés à leur terme. </w:t>
      </w:r>
      <w:r w:rsidR="0030568D" w:rsidRPr="00E72418">
        <w:t xml:space="preserve">Dominique </w:t>
      </w:r>
      <w:r w:rsidRPr="00E72418">
        <w:t xml:space="preserve">Carreau et </w:t>
      </w:r>
      <w:r w:rsidR="0030568D" w:rsidRPr="00E72418">
        <w:t xml:space="preserve">Caroline </w:t>
      </w:r>
      <w:r w:rsidRPr="00E72418">
        <w:t xml:space="preserve">Kleiner posent ainsi la question qui </w:t>
      </w:r>
      <w:r w:rsidR="0085490D" w:rsidRPr="00E72418">
        <w:t>subsiste sans réponse univoque</w:t>
      </w:r>
      <w:r w:rsidRPr="00E72418">
        <w:t xml:space="preserve"> : « </w:t>
      </w:r>
      <w:r w:rsidRPr="00E72418">
        <w:rPr>
          <w:lang w:val="fr-BE" w:eastAsia="fr-BE"/>
        </w:rPr>
        <w:t xml:space="preserve">une défaillance </w:t>
      </w:r>
      <w:r w:rsidRPr="00E72418">
        <w:rPr>
          <w:lang w:val="fr-BE" w:eastAsia="fr-BE"/>
        </w:rPr>
        <w:lastRenderedPageBreak/>
        <w:t xml:space="preserve">financière de l’État émetteur déclenche-t-elle automatiquement l’application des clauses de traitement et de protection prévues par le </w:t>
      </w:r>
      <w:r w:rsidRPr="00E72418">
        <w:rPr>
          <w:lang w:val="en-US"/>
        </w:rPr>
        <w:t>[traité bilatéral sur les investissements</w:t>
      </w:r>
      <w:r w:rsidRPr="00E72418">
        <w:rPr>
          <w:szCs w:val="20"/>
          <w:lang w:val="en-US"/>
        </w:rPr>
        <w:t>]</w:t>
      </w:r>
      <w:r w:rsidRPr="00E72418">
        <w:rPr>
          <w:lang w:val="fr-BE" w:eastAsia="fr-BE"/>
        </w:rPr>
        <w:t xml:space="preserve"> en cause pour non-respect des termes initiaux du contrat d’émission ? </w:t>
      </w:r>
      <w:r w:rsidRPr="00E72418">
        <w:t>»</w:t>
      </w:r>
      <w:r w:rsidRPr="00E72418">
        <w:rPr>
          <w:rStyle w:val="Appelnotedebasdep"/>
        </w:rPr>
        <w:footnoteReference w:id="468"/>
      </w:r>
      <w:r w:rsidRPr="00E72418">
        <w:t>.</w:t>
      </w:r>
    </w:p>
    <w:p w14:paraId="4A352F9D" w14:textId="77777777" w:rsidR="00675175" w:rsidRPr="00E72418" w:rsidRDefault="00675175" w:rsidP="00675175">
      <w:pPr>
        <w:spacing w:line="276" w:lineRule="auto"/>
        <w:rPr>
          <w:szCs w:val="24"/>
        </w:rPr>
      </w:pPr>
      <w:r w:rsidRPr="00E72418">
        <w:t>Quoi qu’il en soit, d</w:t>
      </w:r>
      <w:r w:rsidRPr="00E72418">
        <w:rPr>
          <w:szCs w:val="24"/>
        </w:rPr>
        <w:t>e l’avis du Comité consultatif du Conseil des droits de l’homme des Nations Unies, le système international d’arbitrage en matière d’investissement est manifestement inadapté au règlement de différends complexes en matière de restructuration de dettes souveraines. Le Comité fait valoir comme argument que les décisions de ces tribunaux d’investissement sont généralement fondées sur des considérations purement économiques, sans tenir compte des répercussions plus larges que ces situations peuvent avoir sur les droits de l’homme</w:t>
      </w:r>
      <w:r w:rsidRPr="00E72418">
        <w:rPr>
          <w:rStyle w:val="Appelnotedebasdep"/>
          <w:szCs w:val="24"/>
        </w:rPr>
        <w:footnoteReference w:id="469"/>
      </w:r>
      <w:r w:rsidRPr="00E72418">
        <w:rPr>
          <w:szCs w:val="24"/>
        </w:rPr>
        <w:t xml:space="preserve">. </w:t>
      </w:r>
    </w:p>
    <w:p w14:paraId="394FED27" w14:textId="5DCC3537" w:rsidR="00144225" w:rsidRPr="00E72418" w:rsidRDefault="00675175" w:rsidP="009620D3">
      <w:pPr>
        <w:spacing w:line="276" w:lineRule="auto"/>
        <w:rPr>
          <w:szCs w:val="24"/>
        </w:rPr>
      </w:pPr>
      <w:r w:rsidRPr="00E72418">
        <w:rPr>
          <w:szCs w:val="24"/>
        </w:rPr>
        <w:t>Pour ce qui concerne spécifiquement l’objet de notre recherche, on peut spécialement douter de la possibilité dont disposeraient les fonds spéculatifs de saisir le CIRDI en sollicitant la protection de l’achat d’obligations souveraines qu’ils auraient fait sur le marché secondaire. En effet, il est généralement retenu, sous l’appe</w:t>
      </w:r>
      <w:r w:rsidR="00025355" w:rsidRPr="00E72418">
        <w:rPr>
          <w:szCs w:val="24"/>
        </w:rPr>
        <w:t>l</w:t>
      </w:r>
      <w:r w:rsidRPr="00E72418">
        <w:rPr>
          <w:szCs w:val="24"/>
        </w:rPr>
        <w:t>lation de</w:t>
      </w:r>
      <w:r w:rsidR="00631157" w:rsidRPr="00E72418">
        <w:rPr>
          <w:szCs w:val="24"/>
        </w:rPr>
        <w:t>s</w:t>
      </w:r>
      <w:r w:rsidRPr="00E72418">
        <w:rPr>
          <w:szCs w:val="24"/>
        </w:rPr>
        <w:t xml:space="preserve"> critères dits </w:t>
      </w:r>
      <w:r w:rsidR="00631157" w:rsidRPr="00E72418">
        <w:rPr>
          <w:szCs w:val="24"/>
        </w:rPr>
        <w:t>« </w:t>
      </w:r>
      <w:r w:rsidRPr="00E72418">
        <w:rPr>
          <w:szCs w:val="24"/>
        </w:rPr>
        <w:t>Salini</w:t>
      </w:r>
      <w:r w:rsidR="00631157" w:rsidRPr="00E72418">
        <w:rPr>
          <w:szCs w:val="24"/>
        </w:rPr>
        <w:t> »</w:t>
      </w:r>
      <w:r w:rsidRPr="00E72418">
        <w:rPr>
          <w:rStyle w:val="Appelnotedebasdep"/>
          <w:szCs w:val="24"/>
        </w:rPr>
        <w:footnoteReference w:id="470"/>
      </w:r>
      <w:r w:rsidRPr="00E72418">
        <w:rPr>
          <w:szCs w:val="24"/>
        </w:rPr>
        <w:t>,</w:t>
      </w:r>
      <w:r w:rsidRPr="00E72418">
        <w:rPr>
          <w:i/>
          <w:szCs w:val="24"/>
        </w:rPr>
        <w:t xml:space="preserve"> </w:t>
      </w:r>
      <w:r w:rsidRPr="00E72418">
        <w:rPr>
          <w:szCs w:val="24"/>
        </w:rPr>
        <w:t>qu’un investissement suppose, d’une part, des apports, une certaine durée d’exécution du marché et une participation au risque de l’opération, d’autre part, une contribution au développement économique de l’</w:t>
      </w:r>
      <w:r w:rsidRPr="00E72418">
        <w:rPr>
          <w:rFonts w:ascii="Times New Roman" w:hAnsi="Times New Roman" w:cs="Times New Roman"/>
          <w:lang w:eastAsia="fr-BE"/>
        </w:rPr>
        <w:t>É</w:t>
      </w:r>
      <w:r w:rsidR="00210B9D" w:rsidRPr="00E72418">
        <w:rPr>
          <w:szCs w:val="24"/>
        </w:rPr>
        <w:t>tat d’acc</w:t>
      </w:r>
      <w:r w:rsidRPr="00E72418">
        <w:rPr>
          <w:szCs w:val="24"/>
        </w:rPr>
        <w:t>u</w:t>
      </w:r>
      <w:r w:rsidR="00210B9D" w:rsidRPr="00E72418">
        <w:rPr>
          <w:szCs w:val="24"/>
        </w:rPr>
        <w:t>e</w:t>
      </w:r>
      <w:r w:rsidRPr="00E72418">
        <w:rPr>
          <w:szCs w:val="24"/>
        </w:rPr>
        <w:t>il de l’investissement</w:t>
      </w:r>
      <w:r w:rsidRPr="00E72418">
        <w:rPr>
          <w:rStyle w:val="Appelnotedebasdep"/>
          <w:szCs w:val="24"/>
        </w:rPr>
        <w:footnoteReference w:id="471"/>
      </w:r>
      <w:r w:rsidRPr="00E72418">
        <w:rPr>
          <w:szCs w:val="24"/>
        </w:rPr>
        <w:t xml:space="preserve">. Ainsi, la spéculation caractéristique du modèle </w:t>
      </w:r>
      <w:r w:rsidR="00377E0C" w:rsidRPr="00E72418">
        <w:rPr>
          <w:szCs w:val="24"/>
        </w:rPr>
        <w:t xml:space="preserve">économique </w:t>
      </w:r>
      <w:r w:rsidRPr="00E72418">
        <w:rPr>
          <w:szCs w:val="24"/>
        </w:rPr>
        <w:t xml:space="preserve">des fonds dont </w:t>
      </w:r>
      <w:r w:rsidR="00210B9D" w:rsidRPr="00E72418">
        <w:rPr>
          <w:szCs w:val="24"/>
        </w:rPr>
        <w:t>nous étudions les</w:t>
      </w:r>
      <w:r w:rsidRPr="00E72418">
        <w:rPr>
          <w:szCs w:val="24"/>
        </w:rPr>
        <w:t xml:space="preserve"> activités permet de retenir que le dernier critère n’est pas rempli de sorte que les achats d’obligations souveraines en souffrance ne sauraient </w:t>
      </w:r>
      <w:r w:rsidR="00210B9D" w:rsidRPr="00E72418">
        <w:rPr>
          <w:szCs w:val="24"/>
        </w:rPr>
        <w:t xml:space="preserve">vraisemblablement </w:t>
      </w:r>
      <w:r w:rsidRPr="00E72418">
        <w:rPr>
          <w:szCs w:val="24"/>
        </w:rPr>
        <w:t>être retenus comme étant des investissements au sens de l’article 25 de la Convention CIRDI</w:t>
      </w:r>
      <w:r w:rsidRPr="00E72418">
        <w:rPr>
          <w:rStyle w:val="Appelnotedebasdep"/>
          <w:szCs w:val="24"/>
        </w:rPr>
        <w:footnoteReference w:id="472"/>
      </w:r>
      <w:r w:rsidRPr="00E72418">
        <w:rPr>
          <w:szCs w:val="24"/>
        </w:rPr>
        <w:t>.</w:t>
      </w:r>
    </w:p>
    <w:p w14:paraId="1EC9EA9B" w14:textId="03E7E6B4" w:rsidR="007C57EF" w:rsidRPr="00E72418" w:rsidRDefault="007C57EF" w:rsidP="00423B60"/>
    <w:p w14:paraId="4339FA0D" w14:textId="3F1D563F" w:rsidR="007C57EF" w:rsidRPr="00E72418" w:rsidRDefault="007F038F" w:rsidP="00CC4BA8">
      <w:pPr>
        <w:spacing w:line="276" w:lineRule="auto"/>
        <w:rPr>
          <w:rFonts w:ascii="Times New Roman" w:hAnsi="Times New Roman" w:cs="Times New Roman"/>
        </w:rPr>
      </w:pPr>
      <w:r w:rsidRPr="00E72418">
        <w:rPr>
          <w:rFonts w:ascii="Times New Roman" w:hAnsi="Times New Roman" w:cs="Times New Roman"/>
          <w:b/>
        </w:rPr>
        <w:t>81</w:t>
      </w:r>
      <w:r w:rsidR="007E31CD" w:rsidRPr="00E72418">
        <w:rPr>
          <w:rFonts w:ascii="Times New Roman" w:hAnsi="Times New Roman" w:cs="Times New Roman"/>
          <w:b/>
        </w:rPr>
        <w:t xml:space="preserve">. </w:t>
      </w:r>
      <w:r w:rsidR="007C57EF" w:rsidRPr="00E72418">
        <w:rPr>
          <w:rFonts w:ascii="Times New Roman" w:hAnsi="Times New Roman" w:cs="Times New Roman"/>
          <w:b/>
        </w:rPr>
        <w:t xml:space="preserve">Des succès relatifs – </w:t>
      </w:r>
      <w:r w:rsidR="007C57EF" w:rsidRPr="00E72418">
        <w:rPr>
          <w:rFonts w:ascii="Times New Roman" w:hAnsi="Times New Roman" w:cs="Times New Roman"/>
        </w:rPr>
        <w:t>Comme le not</w:t>
      </w:r>
      <w:r w:rsidR="00260380" w:rsidRPr="00E72418">
        <w:rPr>
          <w:rFonts w:ascii="Times New Roman" w:hAnsi="Times New Roman" w:cs="Times New Roman"/>
        </w:rPr>
        <w:t>ai</w:t>
      </w:r>
      <w:r w:rsidR="007C57EF" w:rsidRPr="00E72418">
        <w:rPr>
          <w:rFonts w:ascii="Times New Roman" w:hAnsi="Times New Roman" w:cs="Times New Roman"/>
        </w:rPr>
        <w:t xml:space="preserve">ent </w:t>
      </w:r>
      <w:r w:rsidR="00865D15" w:rsidRPr="00E72418">
        <w:rPr>
          <w:rFonts w:ascii="Times New Roman" w:hAnsi="Times New Roman" w:cs="Times New Roman"/>
        </w:rPr>
        <w:t xml:space="preserve">Lee </w:t>
      </w:r>
      <w:r w:rsidR="007C57EF" w:rsidRPr="00E72418">
        <w:rPr>
          <w:rFonts w:ascii="Times New Roman" w:hAnsi="Times New Roman" w:cs="Times New Roman"/>
        </w:rPr>
        <w:t xml:space="preserve">Buchheit et </w:t>
      </w:r>
      <w:r w:rsidR="00865D15" w:rsidRPr="00E72418">
        <w:rPr>
          <w:rFonts w:ascii="Times New Roman" w:hAnsi="Times New Roman" w:cs="Times New Roman"/>
        </w:rPr>
        <w:t xml:space="preserve">Elena </w:t>
      </w:r>
      <w:r w:rsidR="007C57EF" w:rsidRPr="00E72418">
        <w:rPr>
          <w:rFonts w:ascii="Times New Roman" w:hAnsi="Times New Roman" w:cs="Times New Roman"/>
        </w:rPr>
        <w:t>Daly en 2014, « given the aggregate size of the sovereign debts that have been restructured over the last thirty years, the number of</w:t>
      </w:r>
      <w:r w:rsidR="007C57EF" w:rsidRPr="00E72418">
        <w:t xml:space="preserve"> </w:t>
      </w:r>
      <w:r w:rsidR="007C57EF" w:rsidRPr="00E72418">
        <w:rPr>
          <w:rFonts w:ascii="Times New Roman" w:hAnsi="Times New Roman" w:cs="Times New Roman"/>
        </w:rPr>
        <w:t>successful holdout legal actions has been surprisingly small »</w:t>
      </w:r>
      <w:r w:rsidR="007C57EF" w:rsidRPr="00E72418">
        <w:rPr>
          <w:rStyle w:val="Appelnotedebasdep"/>
          <w:rFonts w:ascii="Times New Roman" w:hAnsi="Times New Roman" w:cs="Times New Roman"/>
        </w:rPr>
        <w:footnoteReference w:id="473"/>
      </w:r>
      <w:r w:rsidR="00260380" w:rsidRPr="00E72418">
        <w:rPr>
          <w:rFonts w:ascii="Times New Roman" w:hAnsi="Times New Roman" w:cs="Times New Roman"/>
        </w:rPr>
        <w:t>. Le</w:t>
      </w:r>
      <w:r w:rsidR="007C57EF" w:rsidRPr="00E72418">
        <w:rPr>
          <w:rFonts w:ascii="Times New Roman" w:hAnsi="Times New Roman" w:cs="Times New Roman"/>
        </w:rPr>
        <w:t xml:space="preserve"> succès obtenu par les fonds spéculatifs dans le dossier argentin en 2016 pourrait </w:t>
      </w:r>
      <w:r w:rsidR="00260380" w:rsidRPr="00E72418">
        <w:rPr>
          <w:rFonts w:ascii="Times New Roman" w:hAnsi="Times New Roman" w:cs="Times New Roman"/>
        </w:rPr>
        <w:t xml:space="preserve">toutefois </w:t>
      </w:r>
      <w:r w:rsidR="007C57EF" w:rsidRPr="00E72418">
        <w:rPr>
          <w:rFonts w:ascii="Times New Roman" w:hAnsi="Times New Roman" w:cs="Times New Roman"/>
        </w:rPr>
        <w:t>conduire à revoir le propos, les mêmes auteurs releva</w:t>
      </w:r>
      <w:r w:rsidR="0004079A" w:rsidRPr="00E72418">
        <w:rPr>
          <w:rFonts w:ascii="Times New Roman" w:hAnsi="Times New Roman" w:cs="Times New Roman"/>
        </w:rPr>
        <w:t>nt qu’</w:t>
      </w:r>
      <w:r w:rsidR="007C57EF" w:rsidRPr="00E72418">
        <w:rPr>
          <w:rFonts w:ascii="Times New Roman" w:hAnsi="Times New Roman" w:cs="Times New Roman"/>
        </w:rPr>
        <w:t xml:space="preserve"> « [a] well-publicized litigation success of a creditor that spurned a sovereign’s debt restructuring will also spark copycat behaviour in the next debt workout for the next country »</w:t>
      </w:r>
      <w:r w:rsidR="007C57EF" w:rsidRPr="00E72418">
        <w:rPr>
          <w:rStyle w:val="Appelnotedebasdep"/>
          <w:rFonts w:ascii="Times New Roman" w:hAnsi="Times New Roman" w:cs="Times New Roman"/>
        </w:rPr>
        <w:footnoteReference w:id="474"/>
      </w:r>
      <w:r w:rsidR="007C57EF" w:rsidRPr="00E72418">
        <w:rPr>
          <w:rFonts w:ascii="Times New Roman" w:hAnsi="Times New Roman" w:cs="Times New Roman"/>
        </w:rPr>
        <w:t xml:space="preserve"> .</w:t>
      </w:r>
    </w:p>
    <w:p w14:paraId="686E5C44" w14:textId="128B6A5D" w:rsidR="00D113AE" w:rsidRPr="00E72418" w:rsidRDefault="007C57EF" w:rsidP="00CC4BA8">
      <w:pPr>
        <w:spacing w:line="276" w:lineRule="auto"/>
        <w:rPr>
          <w:rFonts w:ascii="Times New Roman" w:hAnsi="Times New Roman" w:cs="Times New Roman"/>
        </w:rPr>
      </w:pPr>
      <w:r w:rsidRPr="00E72418">
        <w:rPr>
          <w:rFonts w:ascii="Times New Roman" w:hAnsi="Times New Roman" w:cs="Times New Roman"/>
          <w:lang w:eastAsia="fr-BE"/>
        </w:rPr>
        <w:t xml:space="preserve">Les contentieux découlant des dettes </w:t>
      </w:r>
      <w:r w:rsidR="00260380" w:rsidRPr="00E72418">
        <w:rPr>
          <w:rFonts w:ascii="Times New Roman" w:hAnsi="Times New Roman" w:cs="Times New Roman"/>
          <w:lang w:eastAsia="fr-BE"/>
        </w:rPr>
        <w:t>étatiques</w:t>
      </w:r>
      <w:r w:rsidRPr="00E72418">
        <w:rPr>
          <w:rFonts w:ascii="Times New Roman" w:hAnsi="Times New Roman" w:cs="Times New Roman"/>
          <w:lang w:eastAsia="fr-BE"/>
        </w:rPr>
        <w:t xml:space="preserve">, s’ils peuvent se résoudre par décisions de justice, se meuvent ensuite dans l’exécution de ces dernières. </w:t>
      </w:r>
      <w:r w:rsidR="00574021" w:rsidRPr="00E72418">
        <w:rPr>
          <w:rFonts w:ascii="Times New Roman" w:hAnsi="Times New Roman" w:cs="Times New Roman"/>
          <w:lang w:eastAsia="fr-BE"/>
        </w:rPr>
        <w:t>L</w:t>
      </w:r>
      <w:r w:rsidR="00260380" w:rsidRPr="00E72418">
        <w:rPr>
          <w:rFonts w:ascii="Times New Roman" w:hAnsi="Times New Roman" w:cs="Times New Roman"/>
          <w:lang w:eastAsia="fr-BE"/>
        </w:rPr>
        <w:t xml:space="preserve">es créanciers, forts des </w:t>
      </w:r>
      <w:r w:rsidRPr="00E72418">
        <w:rPr>
          <w:rFonts w:ascii="Times New Roman" w:hAnsi="Times New Roman" w:cs="Times New Roman"/>
          <w:lang w:eastAsia="fr-BE"/>
        </w:rPr>
        <w:t>décision</w:t>
      </w:r>
      <w:r w:rsidR="00260380" w:rsidRPr="00E72418">
        <w:rPr>
          <w:rFonts w:ascii="Times New Roman" w:hAnsi="Times New Roman" w:cs="Times New Roman"/>
          <w:lang w:eastAsia="fr-BE"/>
        </w:rPr>
        <w:t>s de condamnation obtenues</w:t>
      </w:r>
      <w:r w:rsidRPr="00E72418">
        <w:rPr>
          <w:rFonts w:ascii="Times New Roman" w:hAnsi="Times New Roman" w:cs="Times New Roman"/>
          <w:lang w:eastAsia="fr-BE"/>
        </w:rPr>
        <w:t xml:space="preserve">, se voient confrontés au moment </w:t>
      </w:r>
      <w:r w:rsidR="00260380" w:rsidRPr="00E72418">
        <w:rPr>
          <w:rFonts w:ascii="Times New Roman" w:hAnsi="Times New Roman" w:cs="Times New Roman"/>
          <w:lang w:eastAsia="fr-BE"/>
        </w:rPr>
        <w:t>de leur exécution</w:t>
      </w:r>
      <w:r w:rsidRPr="00E72418">
        <w:rPr>
          <w:rFonts w:ascii="Times New Roman" w:hAnsi="Times New Roman" w:cs="Times New Roman"/>
          <w:lang w:eastAsia="fr-BE"/>
        </w:rPr>
        <w:t xml:space="preserve"> </w:t>
      </w:r>
      <w:r w:rsidR="00260380" w:rsidRPr="00E72418">
        <w:rPr>
          <w:rFonts w:ascii="Times New Roman" w:hAnsi="Times New Roman" w:cs="Times New Roman"/>
          <w:lang w:eastAsia="fr-BE"/>
        </w:rPr>
        <w:t xml:space="preserve">à </w:t>
      </w:r>
      <w:r w:rsidRPr="00E72418">
        <w:rPr>
          <w:rFonts w:ascii="Times New Roman" w:hAnsi="Times New Roman" w:cs="Times New Roman"/>
          <w:lang w:eastAsia="fr-BE"/>
        </w:rPr>
        <w:t xml:space="preserve">l’insaisissabilité de principe des biens </w:t>
      </w:r>
      <w:r w:rsidR="00260380" w:rsidRPr="00E72418">
        <w:rPr>
          <w:rFonts w:ascii="Times New Roman" w:hAnsi="Times New Roman" w:cs="Times New Roman"/>
          <w:lang w:eastAsia="fr-BE"/>
        </w:rPr>
        <w:t xml:space="preserve">étatiques. Cette insaisissabilité se </w:t>
      </w:r>
      <w:r w:rsidR="00B95ABE" w:rsidRPr="00E72418">
        <w:rPr>
          <w:rFonts w:ascii="Times New Roman" w:hAnsi="Times New Roman" w:cs="Times New Roman"/>
          <w:lang w:eastAsia="fr-BE"/>
        </w:rPr>
        <w:t>décline</w:t>
      </w:r>
      <w:r w:rsidR="00260380" w:rsidRPr="00E72418">
        <w:rPr>
          <w:rFonts w:ascii="Times New Roman" w:hAnsi="Times New Roman" w:cs="Times New Roman"/>
          <w:lang w:eastAsia="fr-BE"/>
        </w:rPr>
        <w:t xml:space="preserve"> sous la forme d’une </w:t>
      </w:r>
      <w:r w:rsidRPr="00E72418">
        <w:rPr>
          <w:rFonts w:ascii="Times New Roman" w:hAnsi="Times New Roman" w:cs="Times New Roman"/>
          <w:lang w:eastAsia="fr-BE"/>
        </w:rPr>
        <w:t xml:space="preserve">immunité </w:t>
      </w:r>
      <w:r w:rsidRPr="00E72418">
        <w:rPr>
          <w:rFonts w:ascii="Times New Roman" w:hAnsi="Times New Roman" w:cs="Times New Roman"/>
          <w:lang w:eastAsia="fr-BE"/>
        </w:rPr>
        <w:lastRenderedPageBreak/>
        <w:t>d’exécution</w:t>
      </w:r>
      <w:r w:rsidR="00260380" w:rsidRPr="00E72418">
        <w:rPr>
          <w:rFonts w:ascii="Times New Roman" w:hAnsi="Times New Roman" w:cs="Times New Roman"/>
          <w:lang w:eastAsia="fr-BE"/>
        </w:rPr>
        <w:t xml:space="preserve"> </w:t>
      </w:r>
      <w:r w:rsidRPr="00E72418">
        <w:rPr>
          <w:rFonts w:ascii="Times New Roman" w:hAnsi="Times New Roman" w:cs="Times New Roman"/>
          <w:lang w:eastAsia="fr-BE"/>
        </w:rPr>
        <w:t xml:space="preserve">dont </w:t>
      </w:r>
      <w:r w:rsidR="00B95ABE" w:rsidRPr="00E72418">
        <w:rPr>
          <w:rFonts w:ascii="Times New Roman" w:hAnsi="Times New Roman" w:cs="Times New Roman"/>
          <w:lang w:eastAsia="fr-BE"/>
        </w:rPr>
        <w:t>jouissent</w:t>
      </w:r>
      <w:r w:rsidRPr="00E72418">
        <w:rPr>
          <w:rFonts w:ascii="Times New Roman" w:hAnsi="Times New Roman" w:cs="Times New Roman"/>
          <w:lang w:eastAsia="fr-BE"/>
        </w:rPr>
        <w:t xml:space="preserve"> </w:t>
      </w:r>
      <w:r w:rsidR="001B6CD5" w:rsidRPr="00E72418">
        <w:rPr>
          <w:rFonts w:ascii="Times New Roman" w:hAnsi="Times New Roman" w:cs="Times New Roman"/>
          <w:lang w:eastAsia="fr-BE"/>
        </w:rPr>
        <w:t>certains</w:t>
      </w:r>
      <w:r w:rsidRPr="00E72418">
        <w:rPr>
          <w:rFonts w:ascii="Times New Roman" w:hAnsi="Times New Roman" w:cs="Times New Roman"/>
          <w:lang w:eastAsia="fr-BE"/>
        </w:rPr>
        <w:t xml:space="preserve"> avoirs de l’État étranger</w:t>
      </w:r>
      <w:r w:rsidRPr="00E72418">
        <w:rPr>
          <w:rStyle w:val="Appelnotedebasdep"/>
          <w:rFonts w:ascii="Times New Roman" w:hAnsi="Times New Roman" w:cs="Times New Roman"/>
          <w:lang w:eastAsia="fr-BE"/>
        </w:rPr>
        <w:footnoteReference w:id="475"/>
      </w:r>
      <w:r w:rsidRPr="00E72418">
        <w:rPr>
          <w:rFonts w:ascii="Times New Roman" w:hAnsi="Times New Roman" w:cs="Times New Roman"/>
          <w:lang w:eastAsia="fr-BE"/>
        </w:rPr>
        <w:t>.</w:t>
      </w:r>
      <w:r w:rsidRPr="00E72418">
        <w:rPr>
          <w:rFonts w:ascii="Times New Roman" w:hAnsi="Times New Roman" w:cs="Times New Roman"/>
        </w:rPr>
        <w:t xml:space="preserve"> C’est</w:t>
      </w:r>
      <w:r w:rsidR="00574021" w:rsidRPr="00E72418">
        <w:rPr>
          <w:rFonts w:ascii="Times New Roman" w:hAnsi="Times New Roman" w:cs="Times New Roman"/>
        </w:rPr>
        <w:t xml:space="preserve"> ainsi</w:t>
      </w:r>
      <w:r w:rsidRPr="00E72418">
        <w:rPr>
          <w:rFonts w:ascii="Times New Roman" w:hAnsi="Times New Roman" w:cs="Times New Roman"/>
        </w:rPr>
        <w:t xml:space="preserve"> </w:t>
      </w:r>
      <w:r w:rsidR="00574021" w:rsidRPr="00E72418">
        <w:rPr>
          <w:rFonts w:ascii="Times New Roman" w:hAnsi="Times New Roman" w:cs="Times New Roman"/>
        </w:rPr>
        <w:t xml:space="preserve">souvent </w:t>
      </w:r>
      <w:r w:rsidRPr="00E72418">
        <w:rPr>
          <w:rFonts w:ascii="Times New Roman" w:hAnsi="Times New Roman" w:cs="Times New Roman"/>
        </w:rPr>
        <w:t xml:space="preserve">au moment de faire exécuter </w:t>
      </w:r>
      <w:r w:rsidR="00574021" w:rsidRPr="00E72418">
        <w:rPr>
          <w:rFonts w:ascii="Times New Roman" w:hAnsi="Times New Roman" w:cs="Times New Roman"/>
        </w:rPr>
        <w:t>les</w:t>
      </w:r>
      <w:r w:rsidRPr="00E72418">
        <w:rPr>
          <w:rFonts w:ascii="Times New Roman" w:hAnsi="Times New Roman" w:cs="Times New Roman"/>
        </w:rPr>
        <w:t xml:space="preserve"> décision</w:t>
      </w:r>
      <w:r w:rsidR="00574021" w:rsidRPr="00E72418">
        <w:rPr>
          <w:rFonts w:ascii="Times New Roman" w:hAnsi="Times New Roman" w:cs="Times New Roman"/>
        </w:rPr>
        <w:t>s</w:t>
      </w:r>
      <w:r w:rsidRPr="00E72418">
        <w:rPr>
          <w:rFonts w:ascii="Times New Roman" w:hAnsi="Times New Roman" w:cs="Times New Roman"/>
        </w:rPr>
        <w:t xml:space="preserve"> que les créanciers vont rencontrer l’essentiel des pierres d’achoppement faisant dire à certains que l’exécution est « the most crucial stage in dealing with a sovereign debtor »</w:t>
      </w:r>
      <w:r w:rsidRPr="00E72418">
        <w:rPr>
          <w:rStyle w:val="Appelnotedebasdep"/>
          <w:rFonts w:ascii="Times New Roman" w:hAnsi="Times New Roman" w:cs="Times New Roman"/>
        </w:rPr>
        <w:footnoteReference w:id="476"/>
      </w:r>
      <w:r w:rsidRPr="00E72418">
        <w:rPr>
          <w:rFonts w:ascii="Times New Roman" w:hAnsi="Times New Roman" w:cs="Times New Roman"/>
        </w:rPr>
        <w:t>.</w:t>
      </w:r>
    </w:p>
    <w:p w14:paraId="6CD69808" w14:textId="77777777" w:rsidR="007D6C51" w:rsidRPr="00E72418" w:rsidRDefault="007D6C51" w:rsidP="00CC4BA8">
      <w:pPr>
        <w:spacing w:line="276" w:lineRule="auto"/>
        <w:jc w:val="left"/>
        <w:rPr>
          <w:rFonts w:ascii="Times New Roman" w:eastAsiaTheme="majorEastAsia" w:hAnsi="Times New Roman" w:cstheme="majorBidi"/>
          <w:b/>
          <w:sz w:val="40"/>
          <w:szCs w:val="26"/>
          <w:u w:val="single"/>
        </w:rPr>
      </w:pPr>
      <w:bookmarkStart w:id="81" w:name="_Toc59280894"/>
      <w:r w:rsidRPr="00E72418">
        <w:br w:type="page"/>
      </w:r>
    </w:p>
    <w:p w14:paraId="7F936A5B" w14:textId="68BE0077" w:rsidR="000F20AD" w:rsidRPr="00E72418" w:rsidRDefault="000F20AD">
      <w:pPr>
        <w:jc w:val="left"/>
      </w:pPr>
      <w:bookmarkStart w:id="82" w:name="_Toc9959279"/>
      <w:bookmarkStart w:id="83" w:name="_Toc15985907"/>
      <w:bookmarkStart w:id="84" w:name="_Toc18328189"/>
      <w:bookmarkEnd w:id="81"/>
    </w:p>
    <w:p w14:paraId="5673BDB9" w14:textId="77777777" w:rsidR="003A2829" w:rsidRPr="00E72418" w:rsidRDefault="003A2829" w:rsidP="00CC4BA8">
      <w:pPr>
        <w:spacing w:line="276" w:lineRule="auto"/>
      </w:pPr>
    </w:p>
    <w:p w14:paraId="55642436" w14:textId="77777777" w:rsidR="003A2829" w:rsidRPr="00E72418" w:rsidRDefault="003A2829" w:rsidP="00CC4BA8">
      <w:pPr>
        <w:spacing w:line="276" w:lineRule="auto"/>
      </w:pPr>
    </w:p>
    <w:p w14:paraId="7DCE0EE5" w14:textId="77777777" w:rsidR="003A2829" w:rsidRPr="00E72418" w:rsidRDefault="003A2829" w:rsidP="00CC4BA8">
      <w:pPr>
        <w:spacing w:line="276" w:lineRule="auto"/>
      </w:pPr>
    </w:p>
    <w:p w14:paraId="651E5AE1" w14:textId="77777777" w:rsidR="003A2829" w:rsidRPr="00E72418" w:rsidRDefault="003A2829" w:rsidP="00CC4BA8">
      <w:pPr>
        <w:spacing w:line="276" w:lineRule="auto"/>
      </w:pPr>
    </w:p>
    <w:p w14:paraId="589154F6" w14:textId="77777777" w:rsidR="003A2829" w:rsidRPr="00E72418" w:rsidRDefault="003A2829" w:rsidP="00CC4BA8">
      <w:pPr>
        <w:spacing w:line="276" w:lineRule="auto"/>
      </w:pPr>
    </w:p>
    <w:p w14:paraId="5A75386F" w14:textId="77777777" w:rsidR="003A2829" w:rsidRPr="00E72418" w:rsidRDefault="003A2829" w:rsidP="00CC4BA8">
      <w:pPr>
        <w:spacing w:line="276" w:lineRule="auto"/>
      </w:pPr>
    </w:p>
    <w:p w14:paraId="5E02D6B6" w14:textId="77777777" w:rsidR="003A2829" w:rsidRPr="00E72418" w:rsidRDefault="003A2829" w:rsidP="00CC4BA8">
      <w:pPr>
        <w:spacing w:line="276" w:lineRule="auto"/>
      </w:pPr>
    </w:p>
    <w:p w14:paraId="2DF3DC89" w14:textId="77777777" w:rsidR="003A2829" w:rsidRPr="00E72418" w:rsidRDefault="003A2829" w:rsidP="00CC4BA8">
      <w:pPr>
        <w:spacing w:line="276" w:lineRule="auto"/>
      </w:pPr>
    </w:p>
    <w:p w14:paraId="7F603421" w14:textId="77777777" w:rsidR="003A2829" w:rsidRPr="00E72418" w:rsidRDefault="003A2829" w:rsidP="00CC4BA8">
      <w:pPr>
        <w:spacing w:line="276" w:lineRule="auto"/>
      </w:pPr>
    </w:p>
    <w:p w14:paraId="3D57E275" w14:textId="77777777" w:rsidR="003A2829" w:rsidRPr="00E72418" w:rsidRDefault="003A2829" w:rsidP="00CC4BA8">
      <w:pPr>
        <w:spacing w:line="276" w:lineRule="auto"/>
      </w:pPr>
    </w:p>
    <w:p w14:paraId="23A39575" w14:textId="77777777" w:rsidR="003A2829" w:rsidRPr="00E72418" w:rsidRDefault="003A2829" w:rsidP="00CC4BA8">
      <w:pPr>
        <w:spacing w:line="276" w:lineRule="auto"/>
      </w:pPr>
    </w:p>
    <w:p w14:paraId="55A97F98" w14:textId="77777777" w:rsidR="003A2829" w:rsidRPr="00E72418" w:rsidRDefault="003A2829" w:rsidP="00CC4BA8">
      <w:pPr>
        <w:spacing w:line="276" w:lineRule="auto"/>
      </w:pPr>
    </w:p>
    <w:p w14:paraId="6290DF1B" w14:textId="77777777" w:rsidR="003A2829" w:rsidRPr="00E72418" w:rsidRDefault="003A2829" w:rsidP="00CC4BA8">
      <w:pPr>
        <w:pStyle w:val="AA"/>
        <w:spacing w:line="276" w:lineRule="auto"/>
        <w:jc w:val="center"/>
      </w:pPr>
      <w:bookmarkStart w:id="85" w:name="_Toc75106070"/>
      <w:bookmarkStart w:id="86" w:name="_Toc84540882"/>
      <w:r w:rsidRPr="00E72418">
        <w:t>Partie I : Le constat d’un problème</w:t>
      </w:r>
      <w:bookmarkEnd w:id="85"/>
      <w:bookmarkEnd w:id="86"/>
    </w:p>
    <w:p w14:paraId="6ACBF66F" w14:textId="77777777" w:rsidR="003A2829" w:rsidRPr="00E72418" w:rsidRDefault="003A2829" w:rsidP="00CC4BA8">
      <w:pPr>
        <w:spacing w:line="276" w:lineRule="auto"/>
      </w:pPr>
    </w:p>
    <w:p w14:paraId="2DB9E22F" w14:textId="77777777" w:rsidR="003A2829" w:rsidRPr="00E72418" w:rsidRDefault="003A2829" w:rsidP="00CC4BA8">
      <w:pPr>
        <w:spacing w:line="276" w:lineRule="auto"/>
      </w:pPr>
    </w:p>
    <w:p w14:paraId="4F26E13E" w14:textId="0BAD922E" w:rsidR="003A2829" w:rsidRPr="00E72418" w:rsidRDefault="003A2829" w:rsidP="00CC4BA8">
      <w:pPr>
        <w:spacing w:line="276" w:lineRule="auto"/>
        <w:ind w:left="3540"/>
        <w:rPr>
          <w:sz w:val="20"/>
          <w:szCs w:val="20"/>
        </w:rPr>
      </w:pPr>
      <w:r w:rsidRPr="00E72418">
        <w:rPr>
          <w:sz w:val="20"/>
          <w:szCs w:val="20"/>
        </w:rPr>
        <w:t>« </w:t>
      </w:r>
      <w:r w:rsidR="00CA38FA" w:rsidRPr="00E72418">
        <w:rPr>
          <w:sz w:val="20"/>
          <w:szCs w:val="20"/>
        </w:rPr>
        <w:t>[I]</w:t>
      </w:r>
      <w:r w:rsidRPr="00E72418">
        <w:rPr>
          <w:sz w:val="20"/>
          <w:szCs w:val="20"/>
        </w:rPr>
        <w:t>l s’occupait particulièrement de l’achat de</w:t>
      </w:r>
      <w:r w:rsidR="00CA38FA" w:rsidRPr="00E72418">
        <w:rPr>
          <w:sz w:val="20"/>
          <w:szCs w:val="20"/>
        </w:rPr>
        <w:t>s</w:t>
      </w:r>
      <w:r w:rsidRPr="00E72418">
        <w:rPr>
          <w:sz w:val="20"/>
          <w:szCs w:val="20"/>
        </w:rPr>
        <w:t xml:space="preserve"> créances</w:t>
      </w:r>
      <w:r w:rsidR="00CA38FA" w:rsidRPr="00E72418">
        <w:rPr>
          <w:sz w:val="20"/>
          <w:szCs w:val="20"/>
        </w:rPr>
        <w:t>. […] Dès qu’il apprenait une faillite, il accourait, rôdait</w:t>
      </w:r>
      <w:r w:rsidRPr="00E72418">
        <w:rPr>
          <w:sz w:val="20"/>
          <w:szCs w:val="20"/>
        </w:rPr>
        <w:t xml:space="preserve"> </w:t>
      </w:r>
      <w:r w:rsidR="00CA38FA" w:rsidRPr="00E72418">
        <w:rPr>
          <w:sz w:val="20"/>
          <w:szCs w:val="20"/>
        </w:rPr>
        <w:t xml:space="preserve">[…] </w:t>
      </w:r>
      <w:r w:rsidRPr="00E72418">
        <w:rPr>
          <w:sz w:val="20"/>
          <w:szCs w:val="20"/>
        </w:rPr>
        <w:t>[et]</w:t>
      </w:r>
      <w:r w:rsidR="00CA38FA" w:rsidRPr="00E72418">
        <w:rPr>
          <w:sz w:val="20"/>
          <w:szCs w:val="20"/>
        </w:rPr>
        <w:t xml:space="preserve"> finissait par acheter tout ce dont on ne pouvait rien tirer de bon immédiatement.</w:t>
      </w:r>
      <w:r w:rsidRPr="00E72418">
        <w:rPr>
          <w:sz w:val="20"/>
          <w:szCs w:val="20"/>
        </w:rPr>
        <w:t xml:space="preserve"> </w:t>
      </w:r>
      <w:r w:rsidR="00AF3833" w:rsidRPr="00E72418">
        <w:rPr>
          <w:sz w:val="20"/>
          <w:szCs w:val="20"/>
        </w:rPr>
        <w:t xml:space="preserve">[Il] </w:t>
      </w:r>
      <w:r w:rsidRPr="00E72418">
        <w:rPr>
          <w:sz w:val="20"/>
          <w:szCs w:val="20"/>
        </w:rPr>
        <w:t xml:space="preserve">attirait les créanciers impatients qui aimaient mieux toucher quelques sous </w:t>
      </w:r>
      <w:r w:rsidR="00AF3833" w:rsidRPr="00E72418">
        <w:rPr>
          <w:sz w:val="20"/>
          <w:szCs w:val="20"/>
        </w:rPr>
        <w:t xml:space="preserve">tout </w:t>
      </w:r>
      <w:r w:rsidRPr="00E72418">
        <w:rPr>
          <w:sz w:val="20"/>
          <w:szCs w:val="20"/>
        </w:rPr>
        <w:t>de suite que de courir le risque de poursuivre leurs débiteurs. […] En principe, il professait que toute créance, même la plus compromise, peut redevenir bonne </w:t>
      </w:r>
      <w:r w:rsidR="00AF3833" w:rsidRPr="00E72418">
        <w:rPr>
          <w:sz w:val="20"/>
          <w:szCs w:val="20"/>
        </w:rPr>
        <w:t xml:space="preserve">[…] </w:t>
      </w:r>
      <w:r w:rsidRPr="00E72418">
        <w:rPr>
          <w:sz w:val="20"/>
          <w:szCs w:val="20"/>
        </w:rPr>
        <w:t>».</w:t>
      </w:r>
    </w:p>
    <w:p w14:paraId="219BDBE5" w14:textId="77777777" w:rsidR="003A2829" w:rsidRPr="00E72418" w:rsidRDefault="003A2829" w:rsidP="00CC4BA8">
      <w:pPr>
        <w:spacing w:line="276" w:lineRule="auto"/>
        <w:ind w:left="3540"/>
        <w:rPr>
          <w:sz w:val="20"/>
          <w:szCs w:val="20"/>
        </w:rPr>
      </w:pPr>
    </w:p>
    <w:p w14:paraId="734FA7E5" w14:textId="63B62FBF" w:rsidR="003A2829" w:rsidRPr="00E72418" w:rsidRDefault="003A2829" w:rsidP="00CC4BA8">
      <w:pPr>
        <w:spacing w:line="276" w:lineRule="auto"/>
        <w:jc w:val="right"/>
        <w:rPr>
          <w:sz w:val="20"/>
          <w:szCs w:val="20"/>
        </w:rPr>
      </w:pPr>
      <w:r w:rsidRPr="00E72418">
        <w:rPr>
          <w:sz w:val="20"/>
          <w:szCs w:val="20"/>
        </w:rPr>
        <w:t xml:space="preserve">Emile Zola, </w:t>
      </w:r>
      <w:r w:rsidRPr="00E72418">
        <w:rPr>
          <w:i/>
          <w:sz w:val="20"/>
          <w:szCs w:val="20"/>
        </w:rPr>
        <w:t>L’argent</w:t>
      </w:r>
    </w:p>
    <w:p w14:paraId="3ACAE629" w14:textId="77777777" w:rsidR="0091693F" w:rsidRPr="00E72418" w:rsidRDefault="005E2035">
      <w:pPr>
        <w:jc w:val="left"/>
        <w:rPr>
          <w:rFonts w:ascii="Times New Roman" w:eastAsiaTheme="majorEastAsia" w:hAnsi="Times New Roman" w:cstheme="majorBidi"/>
          <w:b/>
          <w:sz w:val="40"/>
          <w:szCs w:val="26"/>
          <w:u w:val="single"/>
        </w:rPr>
      </w:pPr>
      <w:r w:rsidRPr="00E72418">
        <w:br w:type="page"/>
      </w:r>
      <w:bookmarkStart w:id="87" w:name="_Toc75106071"/>
      <w:bookmarkStart w:id="88" w:name="_Toc84540883"/>
      <w:bookmarkStart w:id="89" w:name="_Toc59280895"/>
      <w:bookmarkEnd w:id="82"/>
      <w:bookmarkEnd w:id="83"/>
      <w:bookmarkEnd w:id="84"/>
      <w:r w:rsidR="0091693F" w:rsidRPr="00E72418">
        <w:lastRenderedPageBreak/>
        <w:br w:type="page"/>
      </w:r>
    </w:p>
    <w:p w14:paraId="51E8F5E0" w14:textId="4D4DBFFB" w:rsidR="003D31ED" w:rsidRPr="00E72418" w:rsidRDefault="003D31ED" w:rsidP="00CC4BA8">
      <w:pPr>
        <w:pStyle w:val="AA"/>
        <w:spacing w:line="276" w:lineRule="auto"/>
      </w:pPr>
      <w:r w:rsidRPr="00E72418">
        <w:lastRenderedPageBreak/>
        <w:t>Introduction de la partie I</w:t>
      </w:r>
      <w:bookmarkEnd w:id="87"/>
      <w:bookmarkEnd w:id="88"/>
    </w:p>
    <w:p w14:paraId="712D6B9D" w14:textId="77777777" w:rsidR="003D31ED" w:rsidRPr="00E72418" w:rsidRDefault="003D31ED" w:rsidP="00423B60"/>
    <w:p w14:paraId="76864CAF" w14:textId="76A2B3FF" w:rsidR="003D31ED" w:rsidRPr="00E72418" w:rsidRDefault="007F038F" w:rsidP="00CC4BA8">
      <w:pPr>
        <w:spacing w:line="276" w:lineRule="auto"/>
        <w:rPr>
          <w:b/>
        </w:rPr>
      </w:pPr>
      <w:r w:rsidRPr="00E72418">
        <w:rPr>
          <w:b/>
        </w:rPr>
        <w:t>82</w:t>
      </w:r>
      <w:r w:rsidR="007E31CD" w:rsidRPr="00E72418">
        <w:rPr>
          <w:b/>
        </w:rPr>
        <w:t xml:space="preserve">. </w:t>
      </w:r>
      <w:r w:rsidR="003D31ED" w:rsidRPr="00E72418">
        <w:rPr>
          <w:b/>
        </w:rPr>
        <w:t>Un problème complexe</w:t>
      </w:r>
      <w:r w:rsidR="00651E6B" w:rsidRPr="00E72418">
        <w:rPr>
          <w:b/>
        </w:rPr>
        <w:t>, des</w:t>
      </w:r>
      <w:r w:rsidR="003D31ED" w:rsidRPr="00E72418">
        <w:rPr>
          <w:b/>
        </w:rPr>
        <w:t xml:space="preserve"> contentieux protéiformes </w:t>
      </w:r>
      <w:r w:rsidR="00651E6B" w:rsidRPr="00E72418">
        <w:rPr>
          <w:b/>
        </w:rPr>
        <w:t>et</w:t>
      </w:r>
      <w:r w:rsidR="003D31ED" w:rsidRPr="00E72418">
        <w:rPr>
          <w:b/>
        </w:rPr>
        <w:t xml:space="preserve"> quelques caractéristiques récurrentes – </w:t>
      </w:r>
      <w:r w:rsidR="003D31ED" w:rsidRPr="00E72418">
        <w:t xml:space="preserve">Le phénomène des fonds spéculant sur les dettes souveraines, </w:t>
      </w:r>
      <w:r w:rsidR="00387708">
        <w:t xml:space="preserve">souvent </w:t>
      </w:r>
      <w:r w:rsidR="003D31ED" w:rsidRPr="00E72418">
        <w:t xml:space="preserve">qualifiés de « fonds vautours », est régulièrement décrié à l’occasion des contentieux impliquant des </w:t>
      </w:r>
      <w:r w:rsidR="003D31ED" w:rsidRPr="00E72418">
        <w:rPr>
          <w:rFonts w:ascii="Times New Roman" w:hAnsi="Times New Roman" w:cs="Times New Roman"/>
          <w:lang w:eastAsia="fr-BE"/>
        </w:rPr>
        <w:t>É</w:t>
      </w:r>
      <w:r w:rsidR="003D31ED" w:rsidRPr="00E72418">
        <w:t>tats en difficulté financière. Ces fonds rachètent à bas prix des dettes souveraines ébranlées</w:t>
      </w:r>
      <w:r w:rsidR="00C96767" w:rsidRPr="00E72418">
        <w:t xml:space="preserve"> </w:t>
      </w:r>
      <w:r w:rsidR="003D31ED" w:rsidRPr="00E72418">
        <w:t>et, faisant cavaliers seuls en refusant de partic</w:t>
      </w:r>
      <w:r w:rsidR="00025355" w:rsidRPr="00E72418">
        <w:t>iper à toute mesure de restruct</w:t>
      </w:r>
      <w:r w:rsidR="003D31ED" w:rsidRPr="00E72418">
        <w:t xml:space="preserve">uration, tentent d’en obtenir le paiement à leur valeur faciale, souvent par l’entreprise d’actions judiciaires. Dans les présentations et observations qui sont le plus souvent faites de ces contentieux, les débiteurs souverains, pour l’essentiel africains et sud-américains, sont réduits au statut de victimes sur lesquelles s’acharnent d’avides créanciers. Ce biais d’analyse conduit à ce que les critiques formulées en réaction à une spéculation perçue comme inique, tant les conséquences sur les populations pauvres des </w:t>
      </w:r>
      <w:r w:rsidR="003D31ED" w:rsidRPr="00E72418">
        <w:rPr>
          <w:rFonts w:ascii="Times New Roman" w:hAnsi="Times New Roman" w:cs="Times New Roman"/>
          <w:lang w:eastAsia="fr-BE"/>
        </w:rPr>
        <w:t>É</w:t>
      </w:r>
      <w:r w:rsidR="003D31ED" w:rsidRPr="00E72418">
        <w:t xml:space="preserve">tats attaqués apparaissent inacceptables, manquent souvent, pour ne pas dire trop souvent, de nuance. Elles se réduisent généralement </w:t>
      </w:r>
      <w:r w:rsidR="00387708">
        <w:t>à quelques images choc, fourbies parfois même</w:t>
      </w:r>
      <w:r w:rsidR="003D31ED" w:rsidRPr="00E72418">
        <w:t xml:space="preserve"> par les </w:t>
      </w:r>
      <w:r w:rsidR="003D31ED" w:rsidRPr="00E72418">
        <w:rPr>
          <w:rFonts w:ascii="Times New Roman" w:hAnsi="Times New Roman" w:cs="Times New Roman"/>
          <w:lang w:eastAsia="fr-BE"/>
        </w:rPr>
        <w:t>É</w:t>
      </w:r>
      <w:r w:rsidR="003D31ED" w:rsidRPr="00E72418">
        <w:t xml:space="preserve">tats impliqués. Pourtant, le phénomène, qui se doit d’être </w:t>
      </w:r>
      <w:r w:rsidR="00BE6960" w:rsidRPr="00E72418">
        <w:t xml:space="preserve">décrit et </w:t>
      </w:r>
      <w:r w:rsidR="003D31ED" w:rsidRPr="00E72418">
        <w:t>étudié dans</w:t>
      </w:r>
      <w:r w:rsidR="00651E6B" w:rsidRPr="00E72418">
        <w:t xml:space="preserve"> ses</w:t>
      </w:r>
      <w:r w:rsidR="003D31ED" w:rsidRPr="00E72418">
        <w:t xml:space="preserve"> divers</w:t>
      </w:r>
      <w:r w:rsidR="00651E6B" w:rsidRPr="00E72418">
        <w:t>es</w:t>
      </w:r>
      <w:r w:rsidR="003D31ED" w:rsidRPr="00E72418">
        <w:t xml:space="preserve"> déclinaisons, mérite mieux qu’un raisonnement </w:t>
      </w:r>
      <w:r w:rsidR="003459BA" w:rsidRPr="00E72418">
        <w:t xml:space="preserve">manichéen </w:t>
      </w:r>
      <w:r w:rsidR="003D31ED" w:rsidRPr="00E72418">
        <w:t>tant il est complexe</w:t>
      </w:r>
      <w:r w:rsidR="00BE6960" w:rsidRPr="00E72418">
        <w:t xml:space="preserve"> (</w:t>
      </w:r>
      <w:r w:rsidR="00BE6960" w:rsidRPr="00E72418">
        <w:rPr>
          <w:b/>
        </w:rPr>
        <w:t>partie I – sous-partie 1</w:t>
      </w:r>
      <w:r w:rsidR="00BE6960" w:rsidRPr="00E72418">
        <w:t>)</w:t>
      </w:r>
      <w:r w:rsidR="003D31ED" w:rsidRPr="00E72418">
        <w:t>. Outre l’utile analyse du contexte d’émergence de la spéculation sur les dettes souveraines et de ses incitants, les arguments pouvant être mis au crédit des fonds critiqués, fussent-ils marginaux, ne sauraient être passés sous silence.</w:t>
      </w:r>
    </w:p>
    <w:p w14:paraId="33938EDF" w14:textId="243E2278" w:rsidR="003D31ED" w:rsidRPr="00E72418" w:rsidRDefault="003D31ED" w:rsidP="00357400">
      <w:pPr>
        <w:spacing w:line="276" w:lineRule="auto"/>
      </w:pPr>
      <w:r w:rsidRPr="00E72418">
        <w:t xml:space="preserve">Le problème posé par la spéculation sur les dettes souveraines, qui évolue constamment tant l’imagination des créanciers est débordante mais qui se décline néanmoins selon un schéma-type récurrent, appelle une approche juridique fine analysant la façon dont les </w:t>
      </w:r>
      <w:r w:rsidR="00BE6960" w:rsidRPr="00E72418">
        <w:t xml:space="preserve">principes </w:t>
      </w:r>
      <w:r w:rsidRPr="00E72418">
        <w:t>avancés</w:t>
      </w:r>
      <w:r w:rsidR="00BE6960" w:rsidRPr="00E72418">
        <w:t xml:space="preserve"> en arguments</w:t>
      </w:r>
      <w:r w:rsidRPr="00E72418">
        <w:t>, d’une part, par le</w:t>
      </w:r>
      <w:r w:rsidR="00866DE2" w:rsidRPr="00E72418">
        <w:t xml:space="preserve">s fonds, d’autre part, par les </w:t>
      </w:r>
      <w:r w:rsidR="00866DE2" w:rsidRPr="00E72418">
        <w:rPr>
          <w:rFonts w:cs="Times New Roman"/>
          <w:szCs w:val="24"/>
        </w:rPr>
        <w:t>É</w:t>
      </w:r>
      <w:r w:rsidRPr="00E72418">
        <w:t>tats débiteurs, s’entrechoquent</w:t>
      </w:r>
      <w:r w:rsidR="00BE6960" w:rsidRPr="00E72418">
        <w:t xml:space="preserve"> (</w:t>
      </w:r>
      <w:r w:rsidR="00BE6960" w:rsidRPr="00E72418">
        <w:rPr>
          <w:b/>
        </w:rPr>
        <w:t>partie I – sous-partie 2</w:t>
      </w:r>
      <w:r w:rsidR="00BE6960" w:rsidRPr="00E72418">
        <w:t>)</w:t>
      </w:r>
      <w:r w:rsidRPr="00E72418">
        <w:t xml:space="preserve">. Il importe également de décortiquer les réponses que les juridictions y réservent, juridictions dont il est attendu qu’elles parviennent à solder des conflits, </w:t>
      </w:r>
      <w:r w:rsidRPr="00E72418">
        <w:rPr>
          <w:i/>
        </w:rPr>
        <w:t>a priori</w:t>
      </w:r>
      <w:r w:rsidRPr="00E72418">
        <w:t xml:space="preserve"> insolubles, où s’opposent des arguments aussi antinomiques que la sacralité des contrats et l’égalité de traitement des créanciers, d’un côté, l’importance du respect de la souveraineté, la prééminence de l’intérêt général ou encore l’impossible spéculation, de l’autre. En raison de la diversité des intérêts en jeu et de la multiplicité des personnes impactées</w:t>
      </w:r>
      <w:r w:rsidR="00387708">
        <w:t>,</w:t>
      </w:r>
      <w:r w:rsidRPr="00E72418">
        <w:t xml:space="preserve"> et dans l’objectif de proposer une réponse qui soit mesurée au problème posé par les fonds spéculatifs, </w:t>
      </w:r>
      <w:r w:rsidR="00651E6B" w:rsidRPr="00E72418">
        <w:t>l’</w:t>
      </w:r>
      <w:r w:rsidRPr="00E72418">
        <w:t xml:space="preserve">approche du phénomène </w:t>
      </w:r>
      <w:r w:rsidR="00651E6B" w:rsidRPr="00E72418">
        <w:t xml:space="preserve">doit être </w:t>
      </w:r>
      <w:r w:rsidRPr="00E72418">
        <w:t>nuancée.</w:t>
      </w:r>
    </w:p>
    <w:p w14:paraId="78404BDA" w14:textId="77777777" w:rsidR="00357400" w:rsidRPr="00E72418" w:rsidRDefault="00357400" w:rsidP="00357400"/>
    <w:p w14:paraId="112974D4" w14:textId="77777777" w:rsidR="0091693F" w:rsidRPr="00E72418" w:rsidRDefault="0091693F">
      <w:pPr>
        <w:jc w:val="left"/>
        <w:rPr>
          <w:rFonts w:ascii="Times New Roman" w:eastAsiaTheme="majorEastAsia" w:hAnsi="Times New Roman" w:cstheme="majorBidi"/>
          <w:b/>
          <w:sz w:val="40"/>
          <w:szCs w:val="26"/>
          <w:u w:val="single"/>
        </w:rPr>
      </w:pPr>
      <w:bookmarkStart w:id="90" w:name="_Toc75106072"/>
      <w:bookmarkStart w:id="91" w:name="_Toc84540884"/>
      <w:r w:rsidRPr="00E72418">
        <w:br w:type="page"/>
      </w:r>
    </w:p>
    <w:p w14:paraId="3EDCC14D" w14:textId="0337DD17" w:rsidR="00B45C7B" w:rsidRPr="00E72418" w:rsidRDefault="00F10F7D" w:rsidP="00CC4BA8">
      <w:pPr>
        <w:pStyle w:val="AA"/>
        <w:spacing w:line="276" w:lineRule="auto"/>
      </w:pPr>
      <w:r w:rsidRPr="00E72418">
        <w:lastRenderedPageBreak/>
        <w:t xml:space="preserve">Partie I </w:t>
      </w:r>
      <w:r w:rsidR="002F4499" w:rsidRPr="00E72418">
        <w:rPr>
          <w:b w:val="0"/>
        </w:rPr>
        <w:t xml:space="preserve">– </w:t>
      </w:r>
      <w:r w:rsidR="00B852A5" w:rsidRPr="00E72418">
        <w:t>S</w:t>
      </w:r>
      <w:r w:rsidRPr="00E72418">
        <w:t>ous-partie</w:t>
      </w:r>
      <w:r w:rsidR="00B45C7B" w:rsidRPr="00E72418">
        <w:t xml:space="preserve"> 1 : La description du phénomène</w:t>
      </w:r>
      <w:bookmarkEnd w:id="89"/>
      <w:bookmarkEnd w:id="90"/>
      <w:bookmarkEnd w:id="91"/>
    </w:p>
    <w:p w14:paraId="35F07AF8" w14:textId="77777777" w:rsidR="00B45C7B" w:rsidRPr="00E72418" w:rsidRDefault="00B45C7B" w:rsidP="00423B60"/>
    <w:p w14:paraId="65AA4752" w14:textId="456E6E4B" w:rsidR="00B45C7B" w:rsidRPr="00E72418" w:rsidRDefault="002F4499" w:rsidP="00CC4BA8">
      <w:pPr>
        <w:pStyle w:val="BB"/>
        <w:spacing w:line="276" w:lineRule="auto"/>
      </w:pPr>
      <w:bookmarkStart w:id="92" w:name="_Toc59280896"/>
      <w:bookmarkStart w:id="93" w:name="_Toc75106073"/>
      <w:bookmarkStart w:id="94" w:name="_Toc84540885"/>
      <w:r w:rsidRPr="00E72418">
        <w:t xml:space="preserve">Introduction de la </w:t>
      </w:r>
      <w:r w:rsidR="00F10F7D" w:rsidRPr="00E72418">
        <w:t>partie I</w:t>
      </w:r>
      <w:r w:rsidRPr="00E72418">
        <w:t xml:space="preserve"> </w:t>
      </w:r>
      <w:r w:rsidRPr="00E72418">
        <w:rPr>
          <w:b/>
        </w:rPr>
        <w:t>–</w:t>
      </w:r>
      <w:r w:rsidR="00B45C7B" w:rsidRPr="00E72418">
        <w:t xml:space="preserve"> </w:t>
      </w:r>
      <w:r w:rsidR="00F10F7D" w:rsidRPr="00E72418">
        <w:t>sous-partie</w:t>
      </w:r>
      <w:r w:rsidR="00B45C7B" w:rsidRPr="00E72418">
        <w:t xml:space="preserve"> 1</w:t>
      </w:r>
      <w:bookmarkEnd w:id="92"/>
      <w:bookmarkEnd w:id="93"/>
      <w:bookmarkEnd w:id="94"/>
    </w:p>
    <w:p w14:paraId="507EFCB7" w14:textId="77777777" w:rsidR="00B45C7B" w:rsidRPr="00E72418" w:rsidRDefault="00B45C7B" w:rsidP="00423B60"/>
    <w:p w14:paraId="32B1CFD9" w14:textId="575CCFC2" w:rsidR="008F7524" w:rsidRPr="00E72418" w:rsidRDefault="007F038F" w:rsidP="00CC4BA8">
      <w:pPr>
        <w:spacing w:line="276" w:lineRule="auto"/>
      </w:pPr>
      <w:r w:rsidRPr="00E72418">
        <w:rPr>
          <w:b/>
        </w:rPr>
        <w:t>83</w:t>
      </w:r>
      <w:r w:rsidR="007E31CD" w:rsidRPr="00E72418">
        <w:rPr>
          <w:b/>
        </w:rPr>
        <w:t xml:space="preserve">. </w:t>
      </w:r>
      <w:r w:rsidR="008F7524" w:rsidRPr="00E72418">
        <w:rPr>
          <w:b/>
        </w:rPr>
        <w:t xml:space="preserve">Un phénomène mal défini – </w:t>
      </w:r>
      <w:r w:rsidR="008F7524" w:rsidRPr="00E72418">
        <w:t>S’il est une lacune</w:t>
      </w:r>
      <w:r w:rsidR="008F7524" w:rsidRPr="00E72418">
        <w:rPr>
          <w:b/>
        </w:rPr>
        <w:t xml:space="preserve"> </w:t>
      </w:r>
      <w:r w:rsidR="00387708">
        <w:t>récurrente de beaucoup d’</w:t>
      </w:r>
      <w:r w:rsidR="008F7524" w:rsidRPr="00E72418">
        <w:t>études consacrées au</w:t>
      </w:r>
      <w:r w:rsidR="004F2AD2" w:rsidRPr="00E72418">
        <w:t xml:space="preserve"> phénomène des fonds spéculant</w:t>
      </w:r>
      <w:r w:rsidR="008F7524" w:rsidRPr="00E72418">
        <w:t xml:space="preserve"> sur les dettes souveraines, dits « fonds vautours », c’est celle de l’absence de définition précise</w:t>
      </w:r>
      <w:r w:rsidR="00387708">
        <w:t xml:space="preserve"> de celui-ci. Ainsi, souvent, le phénomène</w:t>
      </w:r>
      <w:r w:rsidR="008F7524" w:rsidRPr="00E72418">
        <w:t xml:space="preserve"> y est décrit par référence à un contentieux particulier objet de l’étude, laquelle référence est insuffisante tant les situations dans lesquelles des </w:t>
      </w:r>
      <w:r w:rsidR="008F7524" w:rsidRPr="00E72418">
        <w:rPr>
          <w:szCs w:val="24"/>
        </w:rPr>
        <w:t>É</w:t>
      </w:r>
      <w:r w:rsidR="008F7524" w:rsidRPr="00E72418">
        <w:t xml:space="preserve">tats souverains se trouvent confrontés à ces fonds sont différentes. Ces études, quand elles ne se limitent pas à décrier les fonds spéculatifs, proposent parfois une réponse à y réserver. Ces réponses </w:t>
      </w:r>
      <w:r w:rsidR="008F7524" w:rsidRPr="00E72418">
        <w:rPr>
          <w:i/>
        </w:rPr>
        <w:t>sui generis</w:t>
      </w:r>
      <w:r w:rsidR="008F7524" w:rsidRPr="00E72418">
        <w:t xml:space="preserve"> faisant</w:t>
      </w:r>
      <w:r w:rsidR="007D0D2B">
        <w:t xml:space="preserve"> généralement</w:t>
      </w:r>
      <w:r w:rsidR="008F7524" w:rsidRPr="00E72418">
        <w:t xml:space="preserve"> l’économie d’une analyse transversale du phénomène, elles sont par essence in</w:t>
      </w:r>
      <w:r w:rsidR="00B25817" w:rsidRPr="00E72418">
        <w:t>satisfaisantes. Pourtant, il y a là</w:t>
      </w:r>
      <w:r w:rsidR="008F7524" w:rsidRPr="00E72418">
        <w:t xml:space="preserve"> un préalable </w:t>
      </w:r>
      <w:r w:rsidR="00031735" w:rsidRPr="00E72418">
        <w:t>nécessaire</w:t>
      </w:r>
      <w:r w:rsidR="008F7524" w:rsidRPr="00E72418">
        <w:t xml:space="preserve"> à l’appréhension mesurée des</w:t>
      </w:r>
      <w:r w:rsidR="004F2AD2" w:rsidRPr="00E72418">
        <w:t xml:space="preserve"> activités des fonds spéculant</w:t>
      </w:r>
      <w:r w:rsidR="008F7524" w:rsidRPr="00E72418">
        <w:t xml:space="preserve"> sur les dettes souveraines. L’analyse ne saurait se limiter à un contentieux particulier et nécessite, par conséquent, un élargissement de son champ. </w:t>
      </w:r>
    </w:p>
    <w:p w14:paraId="6A7F89BA" w14:textId="3B54916C" w:rsidR="008F7524" w:rsidRPr="00E72418" w:rsidRDefault="008F7524" w:rsidP="00CC4BA8">
      <w:pPr>
        <w:spacing w:line="276" w:lineRule="auto"/>
      </w:pPr>
      <w:r w:rsidRPr="00E72418">
        <w:t>Ainsi, notre étude débutera par un examen de</w:t>
      </w:r>
      <w:r w:rsidR="00FA6DCC" w:rsidRPr="00E72418">
        <w:t xml:space="preserve"> quelques</w:t>
      </w:r>
      <w:r w:rsidRPr="00E72418">
        <w:t xml:space="preserve"> contentieux emblématiques du phénomène</w:t>
      </w:r>
      <w:r w:rsidR="007D0D2B">
        <w:t xml:space="preserve"> spéculatif</w:t>
      </w:r>
      <w:r w:rsidR="007A0127" w:rsidRPr="00E72418">
        <w:t xml:space="preserve"> (</w:t>
      </w:r>
      <w:r w:rsidR="007A0127" w:rsidRPr="00E72418">
        <w:rPr>
          <w:b/>
        </w:rPr>
        <w:t>titre 1</w:t>
      </w:r>
      <w:r w:rsidR="007A0127" w:rsidRPr="00E72418">
        <w:t>)</w:t>
      </w:r>
      <w:r w:rsidRPr="00E72418">
        <w:t xml:space="preserve">. Cet examen nous permettra de définir nettement les fonds objets de notre </w:t>
      </w:r>
      <w:r w:rsidR="00B25817" w:rsidRPr="00E72418">
        <w:t>recherche</w:t>
      </w:r>
      <w:r w:rsidR="007A0127" w:rsidRPr="00E72418">
        <w:t xml:space="preserve"> (</w:t>
      </w:r>
      <w:r w:rsidR="007A0127" w:rsidRPr="00E72418">
        <w:rPr>
          <w:b/>
        </w:rPr>
        <w:t>titre 2</w:t>
      </w:r>
      <w:r w:rsidR="007A0127" w:rsidRPr="00E72418">
        <w:t>)</w:t>
      </w:r>
      <w:r w:rsidRPr="00E72418">
        <w:t xml:space="preserve">. Les activités spéculatives sur les dettes souveraines n’étant pas apparues soudainement mais ayant </w:t>
      </w:r>
      <w:r w:rsidR="00B25817" w:rsidRPr="00E72418">
        <w:t>point</w:t>
      </w:r>
      <w:r w:rsidRPr="00E72418">
        <w:t xml:space="preserve"> d’un </w:t>
      </w:r>
      <w:r w:rsidR="00110BAF" w:rsidRPr="00E72418">
        <w:t>environnement</w:t>
      </w:r>
      <w:r w:rsidR="00C42935" w:rsidRPr="00E72418">
        <w:t xml:space="preserve"> </w:t>
      </w:r>
      <w:r w:rsidRPr="00E72418">
        <w:t xml:space="preserve">favorable et s’étant renforcées à mesure de leurs fréquents succès, leur contexte d’émergence et leurs incitants doivent être précisés. Par ailleurs, le modèle </w:t>
      </w:r>
      <w:r w:rsidR="00377E0C" w:rsidRPr="00E72418">
        <w:t xml:space="preserve">économique </w:t>
      </w:r>
      <w:r w:rsidRPr="00E72418">
        <w:t>poursuivi, bien qu’il se trouvât façonné au fil du temps, présente depuis l’origine des caractéristiques récurrentes qu’il importe d’analyser. Nombre de ces caractéristiques</w:t>
      </w:r>
      <w:r w:rsidR="007D0D2B">
        <w:t>,</w:t>
      </w:r>
      <w:r w:rsidRPr="00E72418">
        <w:t xml:space="preserve"> dont singulièrement celle de l’attaque portée à des </w:t>
      </w:r>
      <w:r w:rsidRPr="00E72418">
        <w:rPr>
          <w:szCs w:val="24"/>
        </w:rPr>
        <w:t>É</w:t>
      </w:r>
      <w:r w:rsidRPr="00E72418">
        <w:t>tats pauvres</w:t>
      </w:r>
      <w:r w:rsidR="007D0D2B">
        <w:t xml:space="preserve"> </w:t>
      </w:r>
      <w:r w:rsidR="00B25817" w:rsidRPr="00E72418">
        <w:t>et ainsi</w:t>
      </w:r>
      <w:r w:rsidRPr="00E72418">
        <w:t xml:space="preserve"> indirectement à leur population</w:t>
      </w:r>
      <w:r w:rsidR="00B25817" w:rsidRPr="00E72418">
        <w:t>,</w:t>
      </w:r>
      <w:r w:rsidRPr="00E72418">
        <w:t xml:space="preserve"> ont conduit les Nations Unies à se préoccuper de ce phénomène spéculatif. Le souci se trouve renforcé par les nombreux reproches formulés à l’encontre des fonds dits « vautours » et de leurs activités. Parallèlement et par nécessité de complétude, il échet pourtant de</w:t>
      </w:r>
      <w:r w:rsidR="007D0D2B">
        <w:t xml:space="preserve"> ne pas négliger les mérites d</w:t>
      </w:r>
      <w:r w:rsidRPr="00E72418">
        <w:t xml:space="preserve">e ces fonds </w:t>
      </w:r>
      <w:r w:rsidR="007D0D2B">
        <w:t>dont les rôles</w:t>
      </w:r>
      <w:r w:rsidRPr="00E72418">
        <w:t xml:space="preserve"> participent </w:t>
      </w:r>
      <w:r w:rsidR="007D0D2B">
        <w:t xml:space="preserve">d’une certaine façon </w:t>
      </w:r>
      <w:r w:rsidRPr="00E72418">
        <w:t xml:space="preserve">au fonctionnement du marché des dettes souveraines. </w:t>
      </w:r>
    </w:p>
    <w:p w14:paraId="39D392DE" w14:textId="10EA010B" w:rsidR="008F7524" w:rsidRPr="00E72418" w:rsidRDefault="008F7524" w:rsidP="00CC4BA8">
      <w:pPr>
        <w:spacing w:line="276" w:lineRule="auto"/>
      </w:pPr>
      <w:r w:rsidRPr="00E72418">
        <w:t>L’examen des contentieux emblématiques et la précision d</w:t>
      </w:r>
      <w:r w:rsidR="004F2AD2" w:rsidRPr="00E72418">
        <w:t xml:space="preserve">e la notion de </w:t>
      </w:r>
      <w:r w:rsidR="007D0D2B">
        <w:t>« </w:t>
      </w:r>
      <w:r w:rsidR="004F2AD2" w:rsidRPr="00E72418">
        <w:t>fonds spéculant</w:t>
      </w:r>
      <w:r w:rsidRPr="00E72418">
        <w:t xml:space="preserve"> sur les dettes souveraines</w:t>
      </w:r>
      <w:r w:rsidR="007D0D2B">
        <w:t> en difficulté »</w:t>
      </w:r>
      <w:r w:rsidRPr="00E72418">
        <w:t xml:space="preserve"> poursuivis dans ce premier segment de recherche permettront une description du phénomène utile à la réflexion quant à leur appréhension ambitionnée. </w:t>
      </w:r>
    </w:p>
    <w:p w14:paraId="04B61084" w14:textId="15FDC9E7" w:rsidR="00B45C7B" w:rsidRPr="00E72418" w:rsidRDefault="00B45C7B" w:rsidP="00423B60"/>
    <w:p w14:paraId="443760E2" w14:textId="77777777" w:rsidR="0091693F" w:rsidRPr="00E72418" w:rsidRDefault="0091693F" w:rsidP="00423B60"/>
    <w:p w14:paraId="57A43E77" w14:textId="545F1A41" w:rsidR="00B45C7B" w:rsidRPr="00E72418" w:rsidRDefault="003C32DE" w:rsidP="00CC4BA8">
      <w:pPr>
        <w:pStyle w:val="BB"/>
        <w:spacing w:line="276" w:lineRule="auto"/>
      </w:pPr>
      <w:bookmarkStart w:id="95" w:name="_Toc59280897"/>
      <w:bookmarkStart w:id="96" w:name="_Toc75106074"/>
      <w:bookmarkStart w:id="97" w:name="_Toc84540886"/>
      <w:r w:rsidRPr="00E72418">
        <w:t xml:space="preserve">Titre 1 : </w:t>
      </w:r>
      <w:r w:rsidR="002933E6" w:rsidRPr="00E72418">
        <w:t>Quelques</w:t>
      </w:r>
      <w:r w:rsidR="00B45C7B" w:rsidRPr="00E72418">
        <w:t xml:space="preserve"> contentieux emblématiques</w:t>
      </w:r>
      <w:bookmarkEnd w:id="95"/>
      <w:bookmarkEnd w:id="96"/>
      <w:bookmarkEnd w:id="97"/>
    </w:p>
    <w:p w14:paraId="52FD4301" w14:textId="77777777" w:rsidR="00B45C7B" w:rsidRPr="00E72418" w:rsidRDefault="00B45C7B" w:rsidP="00423B60"/>
    <w:p w14:paraId="59006D28" w14:textId="4835207E" w:rsidR="00B45C7B" w:rsidRPr="00E72418" w:rsidRDefault="007F038F" w:rsidP="00CC4BA8">
      <w:pPr>
        <w:spacing w:line="276" w:lineRule="auto"/>
      </w:pPr>
      <w:r w:rsidRPr="00E72418">
        <w:rPr>
          <w:b/>
        </w:rPr>
        <w:t>84</w:t>
      </w:r>
      <w:r w:rsidR="007E31CD" w:rsidRPr="00E72418">
        <w:rPr>
          <w:b/>
        </w:rPr>
        <w:t xml:space="preserve">. </w:t>
      </w:r>
      <w:r w:rsidR="00B45C7B" w:rsidRPr="00E72418">
        <w:rPr>
          <w:b/>
        </w:rPr>
        <w:t xml:space="preserve">L’illusoire exhaustivité </w:t>
      </w:r>
      <w:r w:rsidR="00F11450" w:rsidRPr="00E72418">
        <w:rPr>
          <w:b/>
        </w:rPr>
        <w:t xml:space="preserve">et </w:t>
      </w:r>
      <w:r w:rsidR="00CD4206" w:rsidRPr="00E72418">
        <w:rPr>
          <w:b/>
        </w:rPr>
        <w:t>une</w:t>
      </w:r>
      <w:r w:rsidR="00F11450" w:rsidRPr="00E72418">
        <w:rPr>
          <w:b/>
        </w:rPr>
        <w:t xml:space="preserve"> </w:t>
      </w:r>
      <w:r w:rsidR="00955187" w:rsidRPr="00E72418">
        <w:rPr>
          <w:b/>
        </w:rPr>
        <w:t>limitation logique</w:t>
      </w:r>
      <w:r w:rsidR="00F11450" w:rsidRPr="00E72418">
        <w:rPr>
          <w:b/>
        </w:rPr>
        <w:t xml:space="preserve"> </w:t>
      </w:r>
      <w:r w:rsidR="00B45C7B" w:rsidRPr="00E72418">
        <w:rPr>
          <w:b/>
        </w:rPr>
        <w:t xml:space="preserve">– </w:t>
      </w:r>
      <w:r w:rsidR="00F11450" w:rsidRPr="00E72418">
        <w:t>Un recensement de l’ensemble</w:t>
      </w:r>
      <w:r w:rsidR="00955187" w:rsidRPr="00E72418">
        <w:t xml:space="preserve"> des</w:t>
      </w:r>
      <w:r w:rsidR="00B45C7B" w:rsidRPr="00E72418">
        <w:t xml:space="preserve"> contentieux faits aux </w:t>
      </w:r>
      <w:r w:rsidR="00B45C7B" w:rsidRPr="00E72418">
        <w:rPr>
          <w:szCs w:val="24"/>
        </w:rPr>
        <w:t>É</w:t>
      </w:r>
      <w:r w:rsidR="00B45C7B" w:rsidRPr="00E72418">
        <w:t xml:space="preserve">tats au sujet de leur dette est illusoire. </w:t>
      </w:r>
      <w:r w:rsidR="00F11450" w:rsidRPr="00E72418">
        <w:t xml:space="preserve">Deux explications peuvent être </w:t>
      </w:r>
      <w:r w:rsidR="00F11450" w:rsidRPr="00E72418">
        <w:lastRenderedPageBreak/>
        <w:t xml:space="preserve">apportées à cette difficulté qui confine à l’impossibilité. D’abord, </w:t>
      </w:r>
      <w:r w:rsidR="00B45C7B" w:rsidRPr="00E72418">
        <w:rPr>
          <w:rFonts w:ascii="Times New Roman" w:hAnsi="Times New Roman" w:cs="Times New Roman"/>
          <w:szCs w:val="24"/>
        </w:rPr>
        <w:t xml:space="preserve">la dispersion des contentieux à travers le monde rend </w:t>
      </w:r>
      <w:r w:rsidR="00F11450" w:rsidRPr="00E72418">
        <w:rPr>
          <w:rFonts w:ascii="Times New Roman" w:hAnsi="Times New Roman" w:cs="Times New Roman"/>
          <w:szCs w:val="24"/>
        </w:rPr>
        <w:t>la collecte d’informations malaisée</w:t>
      </w:r>
      <w:r w:rsidR="00B45C7B" w:rsidRPr="00E72418">
        <w:rPr>
          <w:rStyle w:val="Appelnotedebasdep"/>
          <w:rFonts w:ascii="Times New Roman" w:hAnsi="Times New Roman" w:cs="Times New Roman"/>
          <w:szCs w:val="24"/>
        </w:rPr>
        <w:footnoteReference w:id="477"/>
      </w:r>
      <w:r w:rsidR="00B45C7B" w:rsidRPr="00E72418">
        <w:rPr>
          <w:rFonts w:ascii="Times New Roman" w:hAnsi="Times New Roman" w:cs="Times New Roman"/>
          <w:szCs w:val="24"/>
        </w:rPr>
        <w:t xml:space="preserve">. </w:t>
      </w:r>
      <w:r w:rsidR="00F11450" w:rsidRPr="00E72418">
        <w:rPr>
          <w:rFonts w:ascii="Times New Roman" w:hAnsi="Times New Roman" w:cs="Times New Roman"/>
          <w:szCs w:val="24"/>
        </w:rPr>
        <w:t xml:space="preserve">Ensuite, </w:t>
      </w:r>
      <w:r w:rsidR="00B45C7B" w:rsidRPr="00E72418">
        <w:rPr>
          <w:rFonts w:ascii="Times New Roman" w:hAnsi="Times New Roman" w:cs="Times New Roman"/>
          <w:szCs w:val="24"/>
        </w:rPr>
        <w:t xml:space="preserve">les résolutions extrajudiciaires des affaires </w:t>
      </w:r>
      <w:r w:rsidR="00F11450" w:rsidRPr="00E72418">
        <w:rPr>
          <w:rFonts w:ascii="Times New Roman" w:hAnsi="Times New Roman" w:cs="Times New Roman"/>
          <w:szCs w:val="24"/>
        </w:rPr>
        <w:t>impliquant des créanciers d’</w:t>
      </w:r>
      <w:r w:rsidR="00F11450" w:rsidRPr="00E72418">
        <w:rPr>
          <w:szCs w:val="24"/>
        </w:rPr>
        <w:t>É</w:t>
      </w:r>
      <w:r w:rsidR="00F11450" w:rsidRPr="00E72418">
        <w:rPr>
          <w:rFonts w:ascii="Times New Roman" w:hAnsi="Times New Roman" w:cs="Times New Roman"/>
          <w:szCs w:val="24"/>
        </w:rPr>
        <w:t>tats souverains, et singulièrement d</w:t>
      </w:r>
      <w:r w:rsidR="00B45C7B" w:rsidRPr="00E72418">
        <w:rPr>
          <w:rFonts w:ascii="Times New Roman" w:hAnsi="Times New Roman" w:cs="Times New Roman"/>
          <w:szCs w:val="24"/>
        </w:rPr>
        <w:t>es fonds spéculatifs</w:t>
      </w:r>
      <w:r w:rsidR="00955187" w:rsidRPr="00E72418">
        <w:rPr>
          <w:rFonts w:ascii="Times New Roman" w:hAnsi="Times New Roman" w:cs="Times New Roman"/>
          <w:szCs w:val="24"/>
        </w:rPr>
        <w:t>, font passer</w:t>
      </w:r>
      <w:r w:rsidR="00B45C7B" w:rsidRPr="00E72418">
        <w:rPr>
          <w:rFonts w:ascii="Times New Roman" w:hAnsi="Times New Roman" w:cs="Times New Roman"/>
          <w:szCs w:val="24"/>
        </w:rPr>
        <w:t xml:space="preserve"> sous silence toute une série d’informations</w:t>
      </w:r>
      <w:r w:rsidR="00B45C7B" w:rsidRPr="00E72418">
        <w:rPr>
          <w:rStyle w:val="Appelnotedebasdep"/>
          <w:rFonts w:ascii="Times New Roman" w:hAnsi="Times New Roman" w:cs="Times New Roman"/>
          <w:szCs w:val="24"/>
        </w:rPr>
        <w:footnoteReference w:id="478"/>
      </w:r>
      <w:r w:rsidR="00B45C7B" w:rsidRPr="00E72418">
        <w:rPr>
          <w:rFonts w:ascii="Times New Roman" w:hAnsi="Times New Roman" w:cs="Times New Roman"/>
          <w:szCs w:val="24"/>
        </w:rPr>
        <w:t xml:space="preserve">. </w:t>
      </w:r>
    </w:p>
    <w:p w14:paraId="006871AD" w14:textId="48E57A1A" w:rsidR="00B45C7B" w:rsidRPr="00E72418" w:rsidRDefault="00B45C7B" w:rsidP="00CC4BA8">
      <w:pPr>
        <w:spacing w:line="276" w:lineRule="auto"/>
      </w:pPr>
      <w:r w:rsidRPr="00E72418">
        <w:t xml:space="preserve">Face au constat de cette impossibilité de parvenir à une </w:t>
      </w:r>
      <w:r w:rsidR="00110BAF" w:rsidRPr="00E72418">
        <w:t xml:space="preserve">collecte </w:t>
      </w:r>
      <w:r w:rsidRPr="00E72418">
        <w:t xml:space="preserve">exhaustive d’informations, le </w:t>
      </w:r>
      <w:r w:rsidR="00F11450" w:rsidRPr="00E72418">
        <w:t>présent titre</w:t>
      </w:r>
      <w:r w:rsidRPr="00E72418">
        <w:t xml:space="preserve"> est consacré à </w:t>
      </w:r>
      <w:r w:rsidR="00196C6D" w:rsidRPr="00E72418">
        <w:t>la présentation</w:t>
      </w:r>
      <w:r w:rsidRPr="00E72418">
        <w:t xml:space="preserve"> de </w:t>
      </w:r>
      <w:r w:rsidR="002933E6" w:rsidRPr="00E72418">
        <w:t xml:space="preserve">quelques </w:t>
      </w:r>
      <w:r w:rsidRPr="00E72418">
        <w:t xml:space="preserve">contentieux emblématiques ayant opposé </w:t>
      </w:r>
      <w:r w:rsidR="00955187" w:rsidRPr="00E72418">
        <w:t xml:space="preserve">des </w:t>
      </w:r>
      <w:r w:rsidR="00955187" w:rsidRPr="00E72418">
        <w:rPr>
          <w:szCs w:val="24"/>
        </w:rPr>
        <w:t>É</w:t>
      </w:r>
      <w:r w:rsidR="00955187" w:rsidRPr="00E72418">
        <w:t xml:space="preserve">tats débiteurs </w:t>
      </w:r>
      <w:r w:rsidR="00173937" w:rsidRPr="00E72418">
        <w:t xml:space="preserve">aux </w:t>
      </w:r>
      <w:r w:rsidRPr="00E72418">
        <w:t>fonds spéculatifs</w:t>
      </w:r>
      <w:r w:rsidR="00173937" w:rsidRPr="00E72418">
        <w:t xml:space="preserve"> </w:t>
      </w:r>
      <w:r w:rsidR="00F96CE5" w:rsidRPr="00E72418">
        <w:t xml:space="preserve">sur lesquels porte </w:t>
      </w:r>
      <w:r w:rsidR="00173937" w:rsidRPr="00E72418">
        <w:t>notre étude</w:t>
      </w:r>
      <w:r w:rsidR="00955187" w:rsidRPr="00E72418">
        <w:t xml:space="preserve">, à savoir des créanciers secondaires ayant fait l’acquisition de dettes étatiques en souffrance dans le but d’en tirer profit notamment en en poursuivant le </w:t>
      </w:r>
      <w:r w:rsidR="00F96CE5" w:rsidRPr="00E72418">
        <w:t xml:space="preserve">plein </w:t>
      </w:r>
      <w:r w:rsidR="00955187" w:rsidRPr="00E72418">
        <w:t>service en justice</w:t>
      </w:r>
      <w:r w:rsidR="00173937" w:rsidRPr="00E72418">
        <w:rPr>
          <w:rStyle w:val="Appelnotedebasdep"/>
        </w:rPr>
        <w:footnoteReference w:id="479"/>
      </w:r>
      <w:r w:rsidR="00955187" w:rsidRPr="00E72418">
        <w:t xml:space="preserve">. Cette limitation </w:t>
      </w:r>
      <w:r w:rsidRPr="00E72418">
        <w:t xml:space="preserve">se justifie d’autant plus que les passes d’armes </w:t>
      </w:r>
      <w:r w:rsidR="002933E6" w:rsidRPr="00E72418">
        <w:t xml:space="preserve">remarquées </w:t>
      </w:r>
      <w:r w:rsidRPr="00E72418">
        <w:t>nourrissant les débats sur le phénomène étudié ont eu lieu lors de ces contentieux.</w:t>
      </w:r>
    </w:p>
    <w:p w14:paraId="1E9ED9D4" w14:textId="2DCB9933" w:rsidR="00FE0787" w:rsidRPr="00E72418" w:rsidRDefault="00F96CE5" w:rsidP="00CC4BA8">
      <w:pPr>
        <w:spacing w:line="276" w:lineRule="auto"/>
        <w:rPr>
          <w:rStyle w:val="Titre5Car"/>
          <w:rFonts w:ascii="Times" w:eastAsiaTheme="minorHAnsi" w:hAnsi="Times" w:cstheme="minorBidi"/>
          <w:color w:val="auto"/>
        </w:rPr>
      </w:pPr>
      <w:r w:rsidRPr="00E72418">
        <w:t>Bien que</w:t>
      </w:r>
      <w:r w:rsidR="00B45C7B" w:rsidRPr="00E72418">
        <w:t xml:space="preserve"> la spéculation sur les dettes souveraines naqu</w:t>
      </w:r>
      <w:r w:rsidR="0057449E" w:rsidRPr="00E72418">
        <w:t>î</w:t>
      </w:r>
      <w:r w:rsidR="00B45C7B" w:rsidRPr="00E72418">
        <w:t>t dès la crise sud-américaine des années 80</w:t>
      </w:r>
      <w:r w:rsidR="002A5235" w:rsidRPr="00E72418">
        <w:rPr>
          <w:rStyle w:val="Appelnotedebasdep"/>
        </w:rPr>
        <w:footnoteReference w:id="480"/>
      </w:r>
      <w:r w:rsidR="00B45C7B" w:rsidRPr="00E72418">
        <w:t xml:space="preserve">, l’affaire ayant opposé le fonds </w:t>
      </w:r>
      <w:r w:rsidR="00B45C7B" w:rsidRPr="00E72418">
        <w:rPr>
          <w:i/>
        </w:rPr>
        <w:t>NML Capital Ltd.</w:t>
      </w:r>
      <w:r w:rsidR="00B45C7B" w:rsidRPr="00E72418">
        <w:t xml:space="preserve"> à la Républiqu</w:t>
      </w:r>
      <w:r w:rsidR="00765A3A" w:rsidRPr="00E72418">
        <w:t>e argentine dès le début du sièc</w:t>
      </w:r>
      <w:r w:rsidR="00B45C7B" w:rsidRPr="00E72418">
        <w:t>le</w:t>
      </w:r>
      <w:r w:rsidR="00FA6DCC" w:rsidRPr="00E72418">
        <w:t>,</w:t>
      </w:r>
      <w:r w:rsidR="00426228" w:rsidRPr="00E72418">
        <w:t xml:space="preserve"> et s’étant déclinée en une véritable « bataille judiciaire planétaire »</w:t>
      </w:r>
      <w:r w:rsidR="00426228" w:rsidRPr="00E72418">
        <w:rPr>
          <w:rStyle w:val="Appelnotedebasdep"/>
        </w:rPr>
        <w:footnoteReference w:id="481"/>
      </w:r>
      <w:r w:rsidR="00FA6DCC" w:rsidRPr="00E72418">
        <w:t>,</w:t>
      </w:r>
      <w:r w:rsidR="00B45C7B" w:rsidRPr="00E72418">
        <w:t xml:space="preserve"> est indubitablement la plus marquante en raison notamment de ses ramifications multiples. Comme le note </w:t>
      </w:r>
      <w:r w:rsidR="003D7F91" w:rsidRPr="00E72418">
        <w:t xml:space="preserve">Sonya </w:t>
      </w:r>
      <w:r w:rsidR="00B45C7B" w:rsidRPr="00E72418">
        <w:t>Scott, « [t]his case reveals not only the legal and economic nuances of vulture activity, but also the importance of engaging in a cultural anal</w:t>
      </w:r>
      <w:r w:rsidRPr="00E72418">
        <w:t xml:space="preserve">ysis of an economic phenomenon </w:t>
      </w:r>
      <w:r w:rsidRPr="00E72418">
        <w:rPr>
          <w:rStyle w:val="Titre5Car"/>
          <w:rFonts w:ascii="Times" w:eastAsiaTheme="minorHAnsi" w:hAnsi="Times" w:cstheme="minorBidi"/>
          <w:color w:val="auto"/>
        </w:rPr>
        <w:t>»</w:t>
      </w:r>
      <w:r w:rsidRPr="00E72418">
        <w:t>, « [i]</w:t>
      </w:r>
      <w:r w:rsidR="00B45C7B" w:rsidRPr="00E72418">
        <w:t xml:space="preserve">ndeed, the battle lines of </w:t>
      </w:r>
      <w:r w:rsidR="00B45C7B" w:rsidRPr="00E72418">
        <w:rPr>
          <w:rFonts w:ascii="AdvOT7d6df7ab.I" w:hAnsi="AdvOT7d6df7ab.I" w:cs="AdvOT7d6df7ab.I"/>
          <w:i/>
        </w:rPr>
        <w:t>NML Capital v. The Republic of Argentina</w:t>
      </w:r>
      <w:r w:rsidR="00B45C7B" w:rsidRPr="00E72418">
        <w:rPr>
          <w:rFonts w:ascii="AdvOT7d6df7ab.I" w:hAnsi="AdvOT7d6df7ab.I" w:cs="AdvOT7d6df7ab.I"/>
        </w:rPr>
        <w:t xml:space="preserve"> </w:t>
      </w:r>
      <w:r w:rsidR="00B45C7B" w:rsidRPr="00E72418">
        <w:t xml:space="preserve">were often drawn well outside of the courtroom and bond markets, invoking a larger cultural and political struggle against the incursions of a very unique form of financial capital </w:t>
      </w:r>
      <w:r w:rsidR="00B45C7B" w:rsidRPr="00E72418">
        <w:rPr>
          <w:rStyle w:val="Titre5Car"/>
          <w:rFonts w:ascii="Times" w:eastAsiaTheme="minorHAnsi" w:hAnsi="Times" w:cstheme="minorBidi"/>
          <w:color w:val="auto"/>
        </w:rPr>
        <w:t>»</w:t>
      </w:r>
      <w:r w:rsidR="00B45C7B" w:rsidRPr="00E72418">
        <w:rPr>
          <w:rStyle w:val="Appelnotedebasdep"/>
        </w:rPr>
        <w:footnoteReference w:id="482"/>
      </w:r>
      <w:r w:rsidR="00B45C7B" w:rsidRPr="00E72418">
        <w:rPr>
          <w:rStyle w:val="Titre5Car"/>
          <w:rFonts w:ascii="Times" w:eastAsiaTheme="minorHAnsi" w:hAnsi="Times" w:cstheme="minorBidi"/>
          <w:color w:val="auto"/>
        </w:rPr>
        <w:t>.</w:t>
      </w:r>
      <w:r w:rsidR="00FE0787" w:rsidRPr="00E72418">
        <w:rPr>
          <w:rStyle w:val="Titre5Car"/>
          <w:rFonts w:ascii="Times" w:eastAsiaTheme="minorHAnsi" w:hAnsi="Times" w:cstheme="minorBidi"/>
          <w:color w:val="auto"/>
        </w:rPr>
        <w:t xml:space="preserve"> Et </w:t>
      </w:r>
      <w:r w:rsidR="00281C39" w:rsidRPr="00E72418">
        <w:rPr>
          <w:rStyle w:val="Titre5Car"/>
          <w:rFonts w:ascii="Times" w:eastAsiaTheme="minorHAnsi" w:hAnsi="Times" w:cstheme="minorBidi"/>
          <w:color w:val="auto"/>
        </w:rPr>
        <w:t xml:space="preserve">Francisco </w:t>
      </w:r>
      <w:r w:rsidR="00FE0787" w:rsidRPr="00E72418">
        <w:rPr>
          <w:rFonts w:cs="Times New Roman"/>
          <w:szCs w:val="24"/>
          <w:lang w:val="en-US"/>
        </w:rPr>
        <w:t xml:space="preserve">Cantamutto et </w:t>
      </w:r>
      <w:r w:rsidR="00281C39" w:rsidRPr="00E72418">
        <w:rPr>
          <w:rFonts w:cs="Times New Roman"/>
          <w:szCs w:val="24"/>
          <w:lang w:val="en-US"/>
        </w:rPr>
        <w:t xml:space="preserve">Daniel </w:t>
      </w:r>
      <w:r w:rsidR="00FE0787" w:rsidRPr="00E72418">
        <w:rPr>
          <w:rFonts w:cs="Times New Roman"/>
          <w:szCs w:val="24"/>
          <w:lang w:val="en-US"/>
        </w:rPr>
        <w:t>Ozarow</w:t>
      </w:r>
      <w:r w:rsidR="00FE0787" w:rsidRPr="00E72418">
        <w:rPr>
          <w:rStyle w:val="Titre5Car"/>
          <w:rFonts w:ascii="Times" w:eastAsiaTheme="minorHAnsi" w:hAnsi="Times" w:cstheme="minorBidi"/>
          <w:color w:val="auto"/>
        </w:rPr>
        <w:t xml:space="preserve"> d’ajouter que l’affaire argentine « </w:t>
      </w:r>
      <w:r w:rsidR="00FE0787" w:rsidRPr="00E72418">
        <w:rPr>
          <w:lang w:val="fr-BE"/>
        </w:rPr>
        <w:t xml:space="preserve">heightened awareness within civil society </w:t>
      </w:r>
      <w:r w:rsidR="00FE0787" w:rsidRPr="00E72418">
        <w:rPr>
          <w:lang w:val="fr-BE"/>
        </w:rPr>
        <w:lastRenderedPageBreak/>
        <w:t>and among governments globally about the dangers of the unregulated nature of international financial capitalism</w:t>
      </w:r>
      <w:r w:rsidR="00FE0787" w:rsidRPr="00E72418">
        <w:t> »</w:t>
      </w:r>
      <w:r w:rsidR="00FE0787" w:rsidRPr="00E72418">
        <w:rPr>
          <w:rStyle w:val="Appelnotedebasdep"/>
        </w:rPr>
        <w:footnoteReference w:id="483"/>
      </w:r>
      <w:r w:rsidR="00FE0787" w:rsidRPr="00E72418">
        <w:t>.</w:t>
      </w:r>
    </w:p>
    <w:p w14:paraId="6D835B06" w14:textId="6D996F04" w:rsidR="00F96CE5" w:rsidRPr="00E72418" w:rsidRDefault="004E10F9" w:rsidP="00CC4BA8">
      <w:pPr>
        <w:spacing w:line="276" w:lineRule="auto"/>
        <w:rPr>
          <w:rStyle w:val="Titre5Car"/>
          <w:rFonts w:ascii="Times" w:eastAsiaTheme="minorHAnsi" w:hAnsi="Times" w:cstheme="minorBidi"/>
          <w:color w:val="auto"/>
        </w:rPr>
      </w:pPr>
      <w:bookmarkStart w:id="98" w:name="_Toc51951596"/>
      <w:bookmarkStart w:id="99" w:name="_Toc51951753"/>
      <w:bookmarkStart w:id="100" w:name="_Toc53753438"/>
      <w:bookmarkStart w:id="101" w:name="_Toc59280898"/>
      <w:bookmarkStart w:id="102" w:name="_Toc75106632"/>
      <w:bookmarkStart w:id="103" w:name="_Toc84540887"/>
      <w:r w:rsidRPr="00E72418">
        <w:rPr>
          <w:rStyle w:val="Titre5Car"/>
          <w:rFonts w:ascii="Times" w:eastAsiaTheme="minorHAnsi" w:hAnsi="Times" w:cstheme="minorBidi"/>
          <w:color w:val="auto"/>
        </w:rPr>
        <w:t xml:space="preserve">Outre le contentieux argentin, d’autres importantes affaires ont vu s’affronter </w:t>
      </w:r>
      <w:r w:rsidR="00F96CE5" w:rsidRPr="00E72418">
        <w:rPr>
          <w:rStyle w:val="Titre5Car"/>
          <w:rFonts w:ascii="Times" w:eastAsiaTheme="minorHAnsi" w:hAnsi="Times" w:cstheme="minorBidi"/>
          <w:color w:val="auto"/>
        </w:rPr>
        <w:t>divers</w:t>
      </w:r>
      <w:r w:rsidRPr="00E72418">
        <w:rPr>
          <w:rStyle w:val="Titre5Car"/>
          <w:rFonts w:ascii="Times" w:eastAsiaTheme="minorHAnsi" w:hAnsi="Times" w:cstheme="minorBidi"/>
          <w:color w:val="auto"/>
        </w:rPr>
        <w:t xml:space="preserve"> arguments juridiques dont le traitement par les juridictions a façonné les stratégies d’attaque et de défense généralement rencontré</w:t>
      </w:r>
      <w:r w:rsidR="00F96CE5" w:rsidRPr="00E72418">
        <w:rPr>
          <w:rStyle w:val="Titre5Car"/>
          <w:rFonts w:ascii="Times" w:eastAsiaTheme="minorHAnsi" w:hAnsi="Times" w:cstheme="minorBidi"/>
          <w:color w:val="auto"/>
        </w:rPr>
        <w:t>e</w:t>
      </w:r>
      <w:r w:rsidRPr="00E72418">
        <w:rPr>
          <w:rStyle w:val="Titre5Car"/>
          <w:rFonts w:ascii="Times" w:eastAsiaTheme="minorHAnsi" w:hAnsi="Times" w:cstheme="minorBidi"/>
          <w:color w:val="auto"/>
        </w:rPr>
        <w:t>s dans les conflits opposant les fonds spéculatifs aux</w:t>
      </w:r>
      <w:bookmarkEnd w:id="98"/>
      <w:bookmarkEnd w:id="99"/>
      <w:bookmarkEnd w:id="100"/>
      <w:bookmarkEnd w:id="101"/>
      <w:bookmarkEnd w:id="102"/>
      <w:bookmarkEnd w:id="103"/>
      <w:r w:rsidRPr="00E72418">
        <w:rPr>
          <w:rStyle w:val="Titre5Car"/>
          <w:rFonts w:ascii="Times" w:eastAsiaTheme="minorHAnsi" w:hAnsi="Times" w:cstheme="minorBidi"/>
          <w:color w:val="auto"/>
        </w:rPr>
        <w:t xml:space="preserve"> </w:t>
      </w:r>
      <w:r w:rsidRPr="00E72418">
        <w:t>É</w:t>
      </w:r>
      <w:r w:rsidRPr="00E72418">
        <w:rPr>
          <w:rStyle w:val="Titre5Car"/>
          <w:rFonts w:ascii="Times" w:eastAsiaTheme="minorHAnsi" w:hAnsi="Times" w:cstheme="minorBidi"/>
          <w:color w:val="auto"/>
        </w:rPr>
        <w:t>tats débiteurs. Ainsi, après avoir étudié ce que certains appellent « l’affaire du siè</w:t>
      </w:r>
      <w:r w:rsidR="00F96CE5" w:rsidRPr="00E72418">
        <w:rPr>
          <w:rStyle w:val="Titre5Car"/>
          <w:rFonts w:ascii="Times" w:eastAsiaTheme="minorHAnsi" w:hAnsi="Times" w:cstheme="minorBidi"/>
          <w:color w:val="auto"/>
        </w:rPr>
        <w:t>cle »</w:t>
      </w:r>
      <w:r w:rsidR="007A0127" w:rsidRPr="00E72418">
        <w:rPr>
          <w:rStyle w:val="Titre5Car"/>
          <w:rFonts w:ascii="Times" w:eastAsiaTheme="minorHAnsi" w:hAnsi="Times" w:cstheme="minorBidi"/>
          <w:color w:val="auto"/>
        </w:rPr>
        <w:t xml:space="preserve"> (</w:t>
      </w:r>
      <w:r w:rsidR="007A0127" w:rsidRPr="00E72418">
        <w:rPr>
          <w:rStyle w:val="Titre5Car"/>
          <w:rFonts w:ascii="Times" w:eastAsiaTheme="minorHAnsi" w:hAnsi="Times" w:cstheme="minorBidi"/>
          <w:b/>
          <w:color w:val="auto"/>
        </w:rPr>
        <w:t>chapitre 1</w:t>
      </w:r>
      <w:r w:rsidR="007A0127" w:rsidRPr="00E72418">
        <w:rPr>
          <w:rStyle w:val="Titre5Car"/>
          <w:rFonts w:ascii="Times" w:eastAsiaTheme="minorHAnsi" w:hAnsi="Times" w:cstheme="minorBidi"/>
          <w:color w:val="auto"/>
        </w:rPr>
        <w:t>)</w:t>
      </w:r>
      <w:r w:rsidR="00F96CE5" w:rsidRPr="00E72418">
        <w:rPr>
          <w:rStyle w:val="Titre5Car"/>
          <w:rFonts w:ascii="Times" w:eastAsiaTheme="minorHAnsi" w:hAnsi="Times" w:cstheme="minorBidi"/>
          <w:color w:val="auto"/>
        </w:rPr>
        <w:t xml:space="preserve">, nous nous arrêterons sur </w:t>
      </w:r>
      <w:r w:rsidR="002933E6" w:rsidRPr="00E72418">
        <w:rPr>
          <w:rStyle w:val="Titre5Car"/>
          <w:rFonts w:ascii="Times" w:eastAsiaTheme="minorHAnsi" w:hAnsi="Times" w:cstheme="minorBidi"/>
          <w:color w:val="auto"/>
        </w:rPr>
        <w:t>d’</w:t>
      </w:r>
      <w:r w:rsidR="00F96CE5" w:rsidRPr="00E72418">
        <w:rPr>
          <w:rStyle w:val="Titre5Car"/>
          <w:rFonts w:ascii="Times" w:eastAsiaTheme="minorHAnsi" w:hAnsi="Times" w:cstheme="minorBidi"/>
          <w:color w:val="auto"/>
        </w:rPr>
        <w:t xml:space="preserve">autres </w:t>
      </w:r>
      <w:r w:rsidRPr="00E72418">
        <w:rPr>
          <w:rStyle w:val="Titre5Car"/>
          <w:rFonts w:ascii="Times" w:eastAsiaTheme="minorHAnsi" w:hAnsi="Times" w:cstheme="minorBidi"/>
          <w:color w:val="auto"/>
        </w:rPr>
        <w:t>contentieux emblématiques du phénomène étudié</w:t>
      </w:r>
      <w:r w:rsidR="007A0127" w:rsidRPr="00E72418">
        <w:rPr>
          <w:rStyle w:val="Titre5Car"/>
          <w:rFonts w:ascii="Times" w:eastAsiaTheme="minorHAnsi" w:hAnsi="Times" w:cstheme="minorBidi"/>
          <w:color w:val="auto"/>
        </w:rPr>
        <w:t xml:space="preserve"> lesquels ont surtout impliqué des pays africains et des pays sud-américains (</w:t>
      </w:r>
      <w:r w:rsidR="007A0127" w:rsidRPr="00E72418">
        <w:rPr>
          <w:rStyle w:val="Titre5Car"/>
          <w:rFonts w:ascii="Times" w:eastAsiaTheme="minorHAnsi" w:hAnsi="Times" w:cstheme="minorBidi"/>
          <w:b/>
          <w:color w:val="auto"/>
        </w:rPr>
        <w:t>chapitre</w:t>
      </w:r>
      <w:r w:rsidR="00334DB1">
        <w:rPr>
          <w:rStyle w:val="Titre5Car"/>
          <w:rFonts w:ascii="Times" w:eastAsiaTheme="minorHAnsi" w:hAnsi="Times" w:cstheme="minorBidi"/>
          <w:b/>
          <w:color w:val="auto"/>
        </w:rPr>
        <w:t>s</w:t>
      </w:r>
      <w:r w:rsidR="007A0127" w:rsidRPr="00E72418">
        <w:rPr>
          <w:rStyle w:val="Titre5Car"/>
          <w:rFonts w:ascii="Times" w:eastAsiaTheme="minorHAnsi" w:hAnsi="Times" w:cstheme="minorBidi"/>
          <w:b/>
          <w:color w:val="auto"/>
        </w:rPr>
        <w:t xml:space="preserve"> 2 et suivants</w:t>
      </w:r>
      <w:r w:rsidR="007A0127" w:rsidRPr="00E72418">
        <w:rPr>
          <w:rStyle w:val="Titre5Car"/>
          <w:rFonts w:ascii="Times" w:eastAsiaTheme="minorHAnsi" w:hAnsi="Times" w:cstheme="minorBidi"/>
          <w:color w:val="auto"/>
        </w:rPr>
        <w:t>)</w:t>
      </w:r>
      <w:r w:rsidRPr="00E72418">
        <w:rPr>
          <w:rStyle w:val="Titre5Car"/>
          <w:rFonts w:ascii="Times" w:eastAsiaTheme="minorHAnsi" w:hAnsi="Times" w:cstheme="minorBidi"/>
          <w:color w:val="auto"/>
        </w:rPr>
        <w:t xml:space="preserve">. </w:t>
      </w:r>
    </w:p>
    <w:p w14:paraId="6347F9A7" w14:textId="7E6C913B" w:rsidR="008F4DC7" w:rsidRPr="00E72418" w:rsidRDefault="008F4DC7" w:rsidP="00CC4BA8">
      <w:pPr>
        <w:spacing w:line="276" w:lineRule="auto"/>
        <w:rPr>
          <w:rStyle w:val="Titre5Car"/>
          <w:rFonts w:ascii="Times" w:eastAsiaTheme="minorHAnsi" w:hAnsi="Times" w:cstheme="minorBidi"/>
          <w:color w:val="auto"/>
        </w:rPr>
      </w:pPr>
      <w:bookmarkStart w:id="104" w:name="_Toc75106633"/>
      <w:bookmarkStart w:id="105" w:name="_Toc59280899"/>
      <w:bookmarkStart w:id="106" w:name="_Toc84540888"/>
      <w:r w:rsidRPr="00E72418">
        <w:rPr>
          <w:rStyle w:val="Titre5Car"/>
          <w:rFonts w:ascii="Times" w:eastAsiaTheme="minorHAnsi" w:hAnsi="Times" w:cstheme="minorBidi"/>
          <w:color w:val="auto"/>
        </w:rPr>
        <w:t>Dans le présent titre</w:t>
      </w:r>
      <w:r w:rsidR="004E10F9" w:rsidRPr="00E72418">
        <w:rPr>
          <w:rStyle w:val="Titre5Car"/>
          <w:rFonts w:ascii="Times" w:eastAsiaTheme="minorHAnsi" w:hAnsi="Times" w:cstheme="minorBidi"/>
          <w:color w:val="auto"/>
        </w:rPr>
        <w:t>, nous nous concentrerons sur les seul</w:t>
      </w:r>
      <w:r w:rsidRPr="00E72418">
        <w:rPr>
          <w:rStyle w:val="Titre5Car"/>
          <w:rFonts w:ascii="Times" w:eastAsiaTheme="minorHAnsi" w:hAnsi="Times" w:cstheme="minorBidi"/>
          <w:color w:val="auto"/>
        </w:rPr>
        <w:t>es circonstances ayant entouré l</w:t>
      </w:r>
      <w:r w:rsidR="004E10F9" w:rsidRPr="00E72418">
        <w:rPr>
          <w:rStyle w:val="Titre5Car"/>
          <w:rFonts w:ascii="Times" w:eastAsiaTheme="minorHAnsi" w:hAnsi="Times" w:cstheme="minorBidi"/>
          <w:color w:val="auto"/>
        </w:rPr>
        <w:t>es contentieux</w:t>
      </w:r>
      <w:r w:rsidRPr="00E72418">
        <w:rPr>
          <w:rStyle w:val="Titre5Car"/>
          <w:rFonts w:ascii="Times" w:eastAsiaTheme="minorHAnsi" w:hAnsi="Times" w:cstheme="minorBidi"/>
          <w:color w:val="auto"/>
        </w:rPr>
        <w:t xml:space="preserve"> </w:t>
      </w:r>
      <w:r w:rsidR="00E76173" w:rsidRPr="00E72418">
        <w:rPr>
          <w:rStyle w:val="Titre5Car"/>
          <w:rFonts w:ascii="Times" w:eastAsiaTheme="minorHAnsi" w:hAnsi="Times" w:cstheme="minorBidi"/>
          <w:color w:val="auto"/>
        </w:rPr>
        <w:t>étudiés</w:t>
      </w:r>
      <w:bookmarkEnd w:id="104"/>
      <w:r w:rsidR="004E10F9" w:rsidRPr="00E72418">
        <w:rPr>
          <w:rStyle w:val="Titre5Car"/>
          <w:rFonts w:ascii="Times" w:eastAsiaTheme="minorHAnsi" w:hAnsi="Times" w:cstheme="minorBidi"/>
          <w:color w:val="auto"/>
        </w:rPr>
        <w:t>, l’objectif étan</w:t>
      </w:r>
      <w:r w:rsidR="001567CA" w:rsidRPr="00E72418">
        <w:rPr>
          <w:rStyle w:val="Titre5Car"/>
          <w:rFonts w:ascii="Times" w:eastAsiaTheme="minorHAnsi" w:hAnsi="Times" w:cstheme="minorBidi"/>
          <w:color w:val="auto"/>
        </w:rPr>
        <w:t xml:space="preserve">t de </w:t>
      </w:r>
      <w:r w:rsidRPr="00E72418">
        <w:rPr>
          <w:rStyle w:val="Titre5Car"/>
          <w:rFonts w:ascii="Times" w:eastAsiaTheme="minorHAnsi" w:hAnsi="Times" w:cstheme="minorBidi"/>
          <w:color w:val="auto"/>
        </w:rPr>
        <w:t>parvenir à</w:t>
      </w:r>
      <w:r w:rsidR="001567CA" w:rsidRPr="00E72418">
        <w:rPr>
          <w:rStyle w:val="Titre5Car"/>
          <w:rFonts w:ascii="Times" w:eastAsiaTheme="minorHAnsi" w:hAnsi="Times" w:cstheme="minorBidi"/>
          <w:color w:val="auto"/>
        </w:rPr>
        <w:t xml:space="preserve"> préciser</w:t>
      </w:r>
      <w:r w:rsidR="004E10F9" w:rsidRPr="00E72418">
        <w:rPr>
          <w:rStyle w:val="Titre5Car"/>
          <w:rFonts w:ascii="Times" w:eastAsiaTheme="minorHAnsi" w:hAnsi="Times" w:cstheme="minorBidi"/>
          <w:color w:val="auto"/>
        </w:rPr>
        <w:t xml:space="preserve"> la notion de </w:t>
      </w:r>
      <w:r w:rsidRPr="00E72418">
        <w:rPr>
          <w:rStyle w:val="Titre5Car"/>
          <w:rFonts w:ascii="Times" w:eastAsiaTheme="minorHAnsi" w:hAnsi="Times" w:cstheme="minorBidi"/>
          <w:color w:val="auto"/>
        </w:rPr>
        <w:t>« </w:t>
      </w:r>
      <w:r w:rsidR="004E10F9" w:rsidRPr="00E72418">
        <w:rPr>
          <w:rStyle w:val="Titre5Car"/>
          <w:rFonts w:ascii="Times" w:eastAsiaTheme="minorHAnsi" w:hAnsi="Times" w:cstheme="minorBidi"/>
          <w:color w:val="auto"/>
        </w:rPr>
        <w:t xml:space="preserve">fonds </w:t>
      </w:r>
      <w:r w:rsidR="004F2AD2" w:rsidRPr="00E72418">
        <w:rPr>
          <w:rStyle w:val="Titre5Car"/>
          <w:rFonts w:ascii="Times" w:eastAsiaTheme="minorHAnsi" w:hAnsi="Times" w:cstheme="minorBidi"/>
          <w:color w:val="auto"/>
        </w:rPr>
        <w:t>spéculant</w:t>
      </w:r>
      <w:r w:rsidR="004E10F9" w:rsidRPr="00E72418">
        <w:rPr>
          <w:rStyle w:val="Titre5Car"/>
          <w:rFonts w:ascii="Times" w:eastAsiaTheme="minorHAnsi" w:hAnsi="Times" w:cstheme="minorBidi"/>
          <w:color w:val="auto"/>
        </w:rPr>
        <w:t xml:space="preserve"> sur les dettes souveraines</w:t>
      </w:r>
      <w:r w:rsidRPr="00E72418">
        <w:rPr>
          <w:rStyle w:val="Titre5Car"/>
          <w:rFonts w:ascii="Times" w:eastAsiaTheme="minorHAnsi" w:hAnsi="Times" w:cstheme="minorBidi"/>
          <w:color w:val="auto"/>
        </w:rPr>
        <w:t> » à travers l’identification de constantes</w:t>
      </w:r>
      <w:r w:rsidR="004E10F9" w:rsidRPr="00E72418">
        <w:rPr>
          <w:rStyle w:val="Titre5Car"/>
          <w:rFonts w:ascii="Times" w:eastAsiaTheme="minorHAnsi" w:hAnsi="Times" w:cstheme="minorBidi"/>
          <w:color w:val="auto"/>
        </w:rPr>
        <w:t xml:space="preserve">. Les attaques et défenses avancées par les </w:t>
      </w:r>
      <w:r w:rsidRPr="00E72418">
        <w:rPr>
          <w:rStyle w:val="Titre5Car"/>
          <w:rFonts w:ascii="Times" w:eastAsiaTheme="minorHAnsi" w:hAnsi="Times" w:cstheme="minorBidi"/>
          <w:color w:val="auto"/>
        </w:rPr>
        <w:t>parties prenantes à ces</w:t>
      </w:r>
      <w:r w:rsidR="004E10F9" w:rsidRPr="00E72418">
        <w:rPr>
          <w:rStyle w:val="Titre5Car"/>
          <w:rFonts w:ascii="Times" w:eastAsiaTheme="minorHAnsi" w:hAnsi="Times" w:cstheme="minorBidi"/>
          <w:color w:val="auto"/>
        </w:rPr>
        <w:t xml:space="preserve"> cont</w:t>
      </w:r>
      <w:r w:rsidRPr="00E72418">
        <w:rPr>
          <w:rStyle w:val="Titre5Car"/>
          <w:rFonts w:ascii="Times" w:eastAsiaTheme="minorHAnsi" w:hAnsi="Times" w:cstheme="minorBidi"/>
          <w:color w:val="auto"/>
        </w:rPr>
        <w:t xml:space="preserve">entieux seront étudiées dans le second titre </w:t>
      </w:r>
      <w:r w:rsidR="004E10F9" w:rsidRPr="00E72418">
        <w:rPr>
          <w:rStyle w:val="Titre5Car"/>
          <w:rFonts w:ascii="Times" w:eastAsiaTheme="minorHAnsi" w:hAnsi="Times" w:cstheme="minorBidi"/>
          <w:color w:val="auto"/>
        </w:rPr>
        <w:t xml:space="preserve">de </w:t>
      </w:r>
      <w:r w:rsidRPr="00E72418">
        <w:rPr>
          <w:rStyle w:val="Titre5Car"/>
          <w:rFonts w:ascii="Times" w:eastAsiaTheme="minorHAnsi" w:hAnsi="Times" w:cstheme="minorBidi"/>
          <w:color w:val="auto"/>
        </w:rPr>
        <w:t>la première partie de notre</w:t>
      </w:r>
      <w:r w:rsidR="004E10F9" w:rsidRPr="00E72418">
        <w:rPr>
          <w:rStyle w:val="Titre5Car"/>
          <w:rFonts w:ascii="Times" w:eastAsiaTheme="minorHAnsi" w:hAnsi="Times" w:cstheme="minorBidi"/>
          <w:color w:val="auto"/>
        </w:rPr>
        <w:t xml:space="preserve"> recherche</w:t>
      </w:r>
      <w:r w:rsidRPr="00E72418">
        <w:rPr>
          <w:rStyle w:val="Titre5Car"/>
          <w:rFonts w:ascii="Times" w:eastAsiaTheme="minorHAnsi" w:hAnsi="Times" w:cstheme="minorBidi"/>
          <w:color w:val="auto"/>
        </w:rPr>
        <w:t xml:space="preserve"> servant à poser le constat du problème </w:t>
      </w:r>
      <w:r w:rsidR="00334DB1">
        <w:rPr>
          <w:rStyle w:val="Titre5Car"/>
          <w:rFonts w:ascii="Times" w:eastAsiaTheme="minorHAnsi" w:hAnsi="Times" w:cstheme="minorBidi"/>
          <w:color w:val="auto"/>
        </w:rPr>
        <w:t>occasionné</w:t>
      </w:r>
      <w:r w:rsidRPr="00E72418">
        <w:rPr>
          <w:rStyle w:val="Titre5Car"/>
          <w:rFonts w:ascii="Times" w:eastAsiaTheme="minorHAnsi" w:hAnsi="Times" w:cstheme="minorBidi"/>
          <w:color w:val="auto"/>
        </w:rPr>
        <w:t xml:space="preserve"> par ces fonds particuliers</w:t>
      </w:r>
      <w:r w:rsidR="004E10F9" w:rsidRPr="00E72418">
        <w:rPr>
          <w:rStyle w:val="Titre5Car"/>
          <w:rFonts w:ascii="Times" w:eastAsiaTheme="minorHAnsi" w:hAnsi="Times" w:cstheme="minorBidi"/>
          <w:color w:val="auto"/>
        </w:rPr>
        <w:t>.</w:t>
      </w:r>
      <w:bookmarkEnd w:id="105"/>
      <w:bookmarkEnd w:id="106"/>
      <w:r w:rsidR="004E10F9" w:rsidRPr="00E72418">
        <w:rPr>
          <w:rStyle w:val="Titre5Car"/>
          <w:rFonts w:ascii="Times" w:eastAsiaTheme="minorHAnsi" w:hAnsi="Times" w:cstheme="minorBidi"/>
          <w:color w:val="auto"/>
        </w:rPr>
        <w:t xml:space="preserve"> </w:t>
      </w:r>
    </w:p>
    <w:p w14:paraId="75492496" w14:textId="77777777" w:rsidR="00A01F39" w:rsidRPr="00E72418" w:rsidRDefault="00A01F39" w:rsidP="00423B60"/>
    <w:p w14:paraId="120D7213" w14:textId="055CD664" w:rsidR="00B45C7B" w:rsidRPr="00E72418" w:rsidRDefault="000764CE" w:rsidP="00CC4BA8">
      <w:pPr>
        <w:pStyle w:val="CC"/>
        <w:spacing w:line="276" w:lineRule="auto"/>
      </w:pPr>
      <w:bookmarkStart w:id="107" w:name="_Toc59280901"/>
      <w:bookmarkStart w:id="108" w:name="_Toc75106075"/>
      <w:bookmarkStart w:id="109" w:name="_Toc84540889"/>
      <w:r w:rsidRPr="00E72418">
        <w:t xml:space="preserve">Chapitre 1 : </w:t>
      </w:r>
      <w:r w:rsidR="00110BAF" w:rsidRPr="00E72418">
        <w:t>Un exemple saillant</w:t>
      </w:r>
      <w:r w:rsidR="00CD4206" w:rsidRPr="00E72418">
        <w:t>,</w:t>
      </w:r>
      <w:r w:rsidR="00CD4206" w:rsidRPr="00E72418">
        <w:rPr>
          <w:i/>
        </w:rPr>
        <w:t xml:space="preserve"> </w:t>
      </w:r>
      <w:r w:rsidR="00B45C7B" w:rsidRPr="00E72418">
        <w:rPr>
          <w:i/>
        </w:rPr>
        <w:t>NML Capital Ltd.</w:t>
      </w:r>
      <w:r w:rsidR="00B45C7B" w:rsidRPr="00E72418">
        <w:t xml:space="preserve"> c. la République argentine</w:t>
      </w:r>
      <w:bookmarkEnd w:id="107"/>
      <w:bookmarkEnd w:id="108"/>
      <w:bookmarkEnd w:id="109"/>
    </w:p>
    <w:p w14:paraId="28DE05D1" w14:textId="23B1295C" w:rsidR="001567CA" w:rsidRPr="00E72418" w:rsidRDefault="001567CA" w:rsidP="00423B60"/>
    <w:p w14:paraId="1C483300" w14:textId="7EAA374D" w:rsidR="00B13C2B" w:rsidRPr="00E72418" w:rsidRDefault="007F038F" w:rsidP="00CC4BA8">
      <w:pPr>
        <w:spacing w:line="276" w:lineRule="auto"/>
        <w:rPr>
          <w:b/>
        </w:rPr>
      </w:pPr>
      <w:r w:rsidRPr="00E72418">
        <w:rPr>
          <w:b/>
        </w:rPr>
        <w:t xml:space="preserve">85. </w:t>
      </w:r>
      <w:r w:rsidR="000A086F" w:rsidRPr="00E72418">
        <w:rPr>
          <w:b/>
        </w:rPr>
        <w:t xml:space="preserve">Près de vingt années de difficultés – </w:t>
      </w:r>
      <w:r w:rsidR="000A086F" w:rsidRPr="00E72418">
        <w:t>Outre le fait que la singularité du contentieux argentin découle de la multitude de questions juridiques qu’il a posées, elle réside également dans sa longueur. Ayant débuté à la suite du défaut que fit le pays sur sa dette en 2001 (</w:t>
      </w:r>
      <w:r w:rsidR="000A086F" w:rsidRPr="00E72418">
        <w:rPr>
          <w:b/>
        </w:rPr>
        <w:t>section 1</w:t>
      </w:r>
      <w:r w:rsidR="000A086F" w:rsidRPr="00E72418">
        <w:t>), le con</w:t>
      </w:r>
      <w:r w:rsidR="00B13C2B" w:rsidRPr="00E72418">
        <w:t>tentieux a été entrepris par des créanciers non désireux de participer aux restructurations engagées par le pays en 2005 et 2010 (</w:t>
      </w:r>
      <w:r w:rsidR="00B13C2B" w:rsidRPr="00E72418">
        <w:rPr>
          <w:b/>
        </w:rPr>
        <w:t>section 2</w:t>
      </w:r>
      <w:r w:rsidR="00B13C2B" w:rsidRPr="00E72418">
        <w:t>). Afin de parvenir à leur fin, laquelle consistait à ce que la République argentine ho</w:t>
      </w:r>
      <w:r w:rsidR="00FA6DCC" w:rsidRPr="00E72418">
        <w:t>nore les termes de ses dettes, c</w:t>
      </w:r>
      <w:r w:rsidR="00B13C2B" w:rsidRPr="00E72418">
        <w:t xml:space="preserve">es créanciers </w:t>
      </w:r>
      <w:r w:rsidR="00FA6DCC" w:rsidRPr="00E72418">
        <w:t xml:space="preserve">récalcitrants </w:t>
      </w:r>
      <w:r w:rsidR="00B13C2B" w:rsidRPr="00E72418">
        <w:t>ont multiplié les procès (</w:t>
      </w:r>
      <w:r w:rsidR="00B13C2B" w:rsidRPr="00E72418">
        <w:rPr>
          <w:b/>
        </w:rPr>
        <w:t>section 3</w:t>
      </w:r>
      <w:r w:rsidR="00FA6DCC" w:rsidRPr="00E72418">
        <w:t xml:space="preserve">). </w:t>
      </w:r>
      <w:r w:rsidR="00FA6DCC" w:rsidRPr="00E72418">
        <w:rPr>
          <w:szCs w:val="24"/>
        </w:rPr>
        <w:t>É</w:t>
      </w:r>
      <w:r w:rsidR="00B13C2B" w:rsidRPr="00E72418">
        <w:t xml:space="preserve">tant parvenu à convaincre des juges de leur bon droit, </w:t>
      </w:r>
      <w:r w:rsidR="00FA6DCC" w:rsidRPr="00E72418">
        <w:t xml:space="preserve">ils </w:t>
      </w:r>
      <w:r w:rsidR="00B13C2B" w:rsidRPr="00E72418">
        <w:t>forcèrent le pays au défaut en 2014 (</w:t>
      </w:r>
      <w:r w:rsidR="00B13C2B" w:rsidRPr="00E72418">
        <w:rPr>
          <w:b/>
        </w:rPr>
        <w:t>section 4</w:t>
      </w:r>
      <w:r w:rsidR="00B13C2B" w:rsidRPr="00E72418">
        <w:t>). Face au caractère difficilement tenable de la situati</w:t>
      </w:r>
      <w:r w:rsidR="006A04CF" w:rsidRPr="00E72418">
        <w:t>on dans laquelle se trouvait l’</w:t>
      </w:r>
      <w:r w:rsidR="006A04CF" w:rsidRPr="00E72418">
        <w:rPr>
          <w:rFonts w:ascii="Times New Roman" w:hAnsi="Times New Roman" w:cs="Times New Roman"/>
          <w:lang w:eastAsia="fr-BE"/>
        </w:rPr>
        <w:t>É</w:t>
      </w:r>
      <w:r w:rsidR="00B13C2B" w:rsidRPr="00E72418">
        <w:t xml:space="preserve">tat argentin depuis longtemps, ce dernier prit le </w:t>
      </w:r>
      <w:r w:rsidR="00FA6DCC" w:rsidRPr="00E72418">
        <w:t>parti de passer un accord avec c</w:t>
      </w:r>
      <w:r w:rsidR="00B13C2B" w:rsidRPr="00E72418">
        <w:t xml:space="preserve">es créanciers, lequel leur offrait </w:t>
      </w:r>
      <w:r w:rsidR="004B527E">
        <w:t>un plantureux</w:t>
      </w:r>
      <w:r w:rsidR="00B13C2B" w:rsidRPr="00E72418">
        <w:t xml:space="preserve"> paiement (</w:t>
      </w:r>
      <w:r w:rsidR="00B13C2B" w:rsidRPr="00E72418">
        <w:rPr>
          <w:b/>
        </w:rPr>
        <w:t>section 5</w:t>
      </w:r>
      <w:r w:rsidR="00B13C2B" w:rsidRPr="00E72418">
        <w:t>).</w:t>
      </w:r>
    </w:p>
    <w:p w14:paraId="6ADD768B" w14:textId="77777777" w:rsidR="00B13C2B" w:rsidRPr="00E72418" w:rsidRDefault="00B13C2B" w:rsidP="00423B60"/>
    <w:p w14:paraId="6891DE44" w14:textId="0D5287B7" w:rsidR="00B45C7B" w:rsidRPr="00E72418" w:rsidRDefault="000764CE" w:rsidP="00CC4BA8">
      <w:pPr>
        <w:pStyle w:val="DD"/>
        <w:spacing w:line="276" w:lineRule="auto"/>
      </w:pPr>
      <w:bookmarkStart w:id="110" w:name="_Toc59280902"/>
      <w:bookmarkStart w:id="111" w:name="_Toc84540890"/>
      <w:r w:rsidRPr="00E72418">
        <w:t xml:space="preserve">Section 1 : </w:t>
      </w:r>
      <w:r w:rsidR="00B45C7B" w:rsidRPr="00E72418">
        <w:t>Le défaut de 2001</w:t>
      </w:r>
      <w:bookmarkEnd w:id="110"/>
      <w:bookmarkEnd w:id="111"/>
    </w:p>
    <w:p w14:paraId="0F3EAED5" w14:textId="77777777" w:rsidR="00C22982" w:rsidRPr="00E72418" w:rsidRDefault="00C22982" w:rsidP="00423B60"/>
    <w:p w14:paraId="505A5D44" w14:textId="4C8B127A" w:rsidR="00B45C7B" w:rsidRPr="00E72418" w:rsidRDefault="007F038F" w:rsidP="00CC4BA8">
      <w:pPr>
        <w:spacing w:line="276" w:lineRule="auto"/>
      </w:pPr>
      <w:r w:rsidRPr="00E72418">
        <w:rPr>
          <w:b/>
        </w:rPr>
        <w:t>86.</w:t>
      </w:r>
      <w:r w:rsidR="007E31CD" w:rsidRPr="00E72418">
        <w:rPr>
          <w:b/>
        </w:rPr>
        <w:t xml:space="preserve"> </w:t>
      </w:r>
      <w:r w:rsidR="00B45C7B" w:rsidRPr="00E72418">
        <w:rPr>
          <w:b/>
        </w:rPr>
        <w:t>La période antérieure au défaut –</w:t>
      </w:r>
      <w:r w:rsidR="00020134" w:rsidRPr="00E72418">
        <w:rPr>
          <w:b/>
        </w:rPr>
        <w:t xml:space="preserve"> </w:t>
      </w:r>
      <w:r w:rsidR="00020134" w:rsidRPr="00E72418">
        <w:t>À</w:t>
      </w:r>
      <w:r w:rsidR="00B45C7B" w:rsidRPr="00E72418">
        <w:t xml:space="preserve"> la fin des années 80, l’Argentine fit face à une importante crise économique caractérisée par une importante récession et une hyperinflation</w:t>
      </w:r>
      <w:r w:rsidR="00B45C7B" w:rsidRPr="00E72418">
        <w:rPr>
          <w:rStyle w:val="Appelnotedebasdep"/>
        </w:rPr>
        <w:footnoteReference w:id="484"/>
      </w:r>
      <w:r w:rsidR="00B45C7B" w:rsidRPr="00E72418">
        <w:t>.</w:t>
      </w:r>
      <w:r w:rsidR="00B45C7B" w:rsidRPr="00E72418">
        <w:rPr>
          <w:b/>
        </w:rPr>
        <w:t xml:space="preserve"> </w:t>
      </w:r>
    </w:p>
    <w:p w14:paraId="35B8C8E7" w14:textId="4698DA60" w:rsidR="00B45C7B" w:rsidRPr="00E72418" w:rsidRDefault="00B45C7B" w:rsidP="00CC4BA8">
      <w:pPr>
        <w:spacing w:line="276" w:lineRule="auto"/>
      </w:pPr>
      <w:r w:rsidRPr="00E72418">
        <w:t>Durant les années 90, le</w:t>
      </w:r>
      <w:r w:rsidR="002B165B" w:rsidRPr="00E72418">
        <w:t xml:space="preserve"> pays, sous la présidence de </w:t>
      </w:r>
      <w:r w:rsidR="00334DB1">
        <w:t xml:space="preserve">Carlos </w:t>
      </w:r>
      <w:r w:rsidRPr="00E72418">
        <w:t>Menem, retira les barrières commerciales, dérégula son économie, privatisa d’imp</w:t>
      </w:r>
      <w:r w:rsidR="00765A3A" w:rsidRPr="00E72418">
        <w:t>ortantes industries et accueillit</w:t>
      </w:r>
      <w:r w:rsidRPr="00E72418">
        <w:t xml:space="preserve"> les </w:t>
      </w:r>
      <w:r w:rsidRPr="00E72418">
        <w:lastRenderedPageBreak/>
        <w:t>investissements étrangers</w:t>
      </w:r>
      <w:r w:rsidRPr="00E72418">
        <w:rPr>
          <w:rStyle w:val="Appelnotedebasdep"/>
        </w:rPr>
        <w:footnoteReference w:id="485"/>
      </w:r>
      <w:r w:rsidRPr="00E72418">
        <w:t>. Dans le but de maîtriser l’inflation, l’Argentine lia en 1991 la valeur de sa monnaie à celle du dollar étatsunien</w:t>
      </w:r>
      <w:r w:rsidRPr="00E72418">
        <w:rPr>
          <w:rStyle w:val="Appelnotedebasdep"/>
        </w:rPr>
        <w:footnoteReference w:id="486"/>
      </w:r>
      <w:r w:rsidRPr="00E72418">
        <w:t>. Ce système de convertibilité conduisit les investisseurs à voir l’Argentine comme une option d’investissement stable et lucratif</w:t>
      </w:r>
      <w:r w:rsidRPr="00E72418">
        <w:rPr>
          <w:rStyle w:val="Appelnotedebasdep"/>
        </w:rPr>
        <w:footnoteReference w:id="487"/>
      </w:r>
      <w:r w:rsidRPr="00E72418">
        <w:t xml:space="preserve">. </w:t>
      </w:r>
      <w:r w:rsidR="0085400A" w:rsidRPr="00E72418">
        <w:t xml:space="preserve">La mise en œuvre </w:t>
      </w:r>
      <w:r w:rsidRPr="00E72418">
        <w:t xml:space="preserve">du plan </w:t>
      </w:r>
      <w:r w:rsidRPr="00E72418">
        <w:rPr>
          <w:i/>
        </w:rPr>
        <w:t>Brady</w:t>
      </w:r>
      <w:r w:rsidRPr="00E72418">
        <w:t xml:space="preserve"> en Argentine eut pour conséquence de modifier le financement du pays qui se fit </w:t>
      </w:r>
      <w:r w:rsidR="00EA5315" w:rsidRPr="00E72418">
        <w:t>alors</w:t>
      </w:r>
      <w:r w:rsidRPr="00E72418">
        <w:t xml:space="preserve"> essentiellement par le recours aux obligations souveraines</w:t>
      </w:r>
      <w:r w:rsidRPr="00E72418">
        <w:rPr>
          <w:rStyle w:val="Appelnotedebasdep"/>
        </w:rPr>
        <w:footnoteReference w:id="488"/>
      </w:r>
      <w:r w:rsidRPr="00E72418">
        <w:t xml:space="preserve">. </w:t>
      </w:r>
    </w:p>
    <w:p w14:paraId="0D001F89" w14:textId="77777777" w:rsidR="00B45C7B" w:rsidRPr="00E72418" w:rsidRDefault="00E22B8B" w:rsidP="00CC4BA8">
      <w:pPr>
        <w:spacing w:line="276" w:lineRule="auto"/>
      </w:pPr>
      <w:r w:rsidRPr="00E72418">
        <w:t>Le G</w:t>
      </w:r>
      <w:r w:rsidR="00B45C7B" w:rsidRPr="00E72418">
        <w:t>ouvernement argentin suremprunta de l’argent tandis qu’il ne parvint pas à mener une politique fiscale nécessaire</w:t>
      </w:r>
      <w:r w:rsidR="00B45C7B" w:rsidRPr="00E72418">
        <w:rPr>
          <w:rStyle w:val="Appelnotedebasdep"/>
        </w:rPr>
        <w:footnoteReference w:id="489"/>
      </w:r>
      <w:r w:rsidR="00B45C7B" w:rsidRPr="00E72418">
        <w:t xml:space="preserve">. Les emprunts accordés au pays étaient conditionnés par des mesures d’austérité, comme par exemple, la restructuration du système de sécurité sociale ou encore l’augmentation de l’âge minimal de la pension, lesquelles </w:t>
      </w:r>
      <w:r w:rsidR="00EA5315" w:rsidRPr="00E72418">
        <w:t xml:space="preserve">mesures </w:t>
      </w:r>
      <w:r w:rsidR="00B45C7B" w:rsidRPr="00E72418">
        <w:t xml:space="preserve">rendirent </w:t>
      </w:r>
      <w:r w:rsidR="00EA5315" w:rsidRPr="00E72418">
        <w:t>impossible le combat de</w:t>
      </w:r>
      <w:r w:rsidR="00B45C7B" w:rsidRPr="00E72418">
        <w:t xml:space="preserve"> la récession imminente</w:t>
      </w:r>
      <w:r w:rsidR="00B45C7B" w:rsidRPr="00E72418">
        <w:rPr>
          <w:rStyle w:val="Appelnotedebasdep"/>
        </w:rPr>
        <w:footnoteReference w:id="490"/>
      </w:r>
      <w:r w:rsidR="00B45C7B" w:rsidRPr="00E72418">
        <w:t>.</w:t>
      </w:r>
    </w:p>
    <w:p w14:paraId="58C68789" w14:textId="77777777" w:rsidR="00B45C7B" w:rsidRPr="00E72418" w:rsidRDefault="00EA5315" w:rsidP="00CC4BA8">
      <w:pPr>
        <w:spacing w:line="276" w:lineRule="auto"/>
      </w:pPr>
      <w:r w:rsidRPr="00E72418">
        <w:t>Pourtant, d</w:t>
      </w:r>
      <w:r w:rsidR="00B45C7B" w:rsidRPr="00E72418">
        <w:t>ans une allocution donnée en 1998, le président argentin parla d’</w:t>
      </w:r>
      <w:r w:rsidR="00074247" w:rsidRPr="00E72418">
        <w:t xml:space="preserve"> </w:t>
      </w:r>
      <w:r w:rsidR="00B45C7B" w:rsidRPr="00E72418">
        <w:t>« absolute economic miracle »</w:t>
      </w:r>
      <w:r w:rsidR="00B45C7B" w:rsidRPr="00E72418">
        <w:rPr>
          <w:rStyle w:val="Appelnotedebasdep"/>
        </w:rPr>
        <w:footnoteReference w:id="491"/>
      </w:r>
      <w:r w:rsidR="00B45C7B" w:rsidRPr="00E72418">
        <w:t xml:space="preserve">. Si le pouvoir argentin se félicitait, la population n’était quant à elle pas satisfaite. </w:t>
      </w:r>
      <w:r w:rsidRPr="00E72418">
        <w:t>Les</w:t>
      </w:r>
      <w:r w:rsidR="00B45C7B" w:rsidRPr="00E72418">
        <w:t xml:space="preserve"> mesures d’austérité imposées conduisirent à des protestations liées à l’augmentation du taux de chômage, à la réduction des dépenses et à l’augmentation des taxes</w:t>
      </w:r>
      <w:r w:rsidR="00B45C7B" w:rsidRPr="00E72418">
        <w:rPr>
          <w:rStyle w:val="Appelnotedebasdep"/>
        </w:rPr>
        <w:footnoteReference w:id="492"/>
      </w:r>
      <w:r w:rsidR="00B45C7B" w:rsidRPr="00E72418">
        <w:t>. Au même moment, la République argentine eut à faire face à une récession économique</w:t>
      </w:r>
      <w:r w:rsidR="00B45C7B" w:rsidRPr="00E72418">
        <w:rPr>
          <w:rStyle w:val="Appelnotedebasdep"/>
        </w:rPr>
        <w:footnoteReference w:id="493"/>
      </w:r>
      <w:r w:rsidR="00B45C7B" w:rsidRPr="00E72418">
        <w:t xml:space="preserve">. </w:t>
      </w:r>
    </w:p>
    <w:p w14:paraId="534A7885" w14:textId="77777777" w:rsidR="00B45C7B" w:rsidRPr="00E72418" w:rsidRDefault="00B45C7B" w:rsidP="00423B60"/>
    <w:p w14:paraId="6AFE79C7" w14:textId="354A0CA5" w:rsidR="00B45C7B" w:rsidRPr="00E72418" w:rsidRDefault="007E31CD" w:rsidP="00CC4BA8">
      <w:pPr>
        <w:spacing w:line="276" w:lineRule="auto"/>
      </w:pPr>
      <w:r w:rsidRPr="00E72418">
        <w:rPr>
          <w:b/>
        </w:rPr>
        <w:t>8</w:t>
      </w:r>
      <w:r w:rsidR="007F038F" w:rsidRPr="00E72418">
        <w:rPr>
          <w:b/>
        </w:rPr>
        <w:t>7</w:t>
      </w:r>
      <w:r w:rsidRPr="00E72418">
        <w:rPr>
          <w:b/>
        </w:rPr>
        <w:t xml:space="preserve">. </w:t>
      </w:r>
      <w:r w:rsidR="00B45C7B" w:rsidRPr="00E72418">
        <w:rPr>
          <w:b/>
        </w:rPr>
        <w:t>Une année 2001 compliquée –</w:t>
      </w:r>
      <w:r w:rsidR="00B45C7B" w:rsidRPr="00E72418">
        <w:t xml:space="preserve"> La crise argentine </w:t>
      </w:r>
      <w:r w:rsidR="00E22B8B" w:rsidRPr="00E72418">
        <w:t>s’intensifia à la fin 2001, le G</w:t>
      </w:r>
      <w:r w:rsidR="00B45C7B" w:rsidRPr="00E72418">
        <w:t xml:space="preserve">ouvernement rencontrant d’importantes difficultés </w:t>
      </w:r>
      <w:r w:rsidR="00EA5315" w:rsidRPr="00E72418">
        <w:t>à</w:t>
      </w:r>
      <w:r w:rsidR="00B45C7B" w:rsidRPr="00E72418">
        <w:t xml:space="preserve"> rembourser sa dette pour laquelle de nombreux paiements étaient attendus</w:t>
      </w:r>
      <w:r w:rsidR="00B45C7B" w:rsidRPr="00E72418">
        <w:rPr>
          <w:rStyle w:val="Appelnotedebasdep"/>
        </w:rPr>
        <w:footnoteReference w:id="494"/>
      </w:r>
      <w:r w:rsidR="00B45C7B" w:rsidRPr="00E72418">
        <w:t xml:space="preserve">. Ces difficultés firent </w:t>
      </w:r>
      <w:r w:rsidR="002B165B" w:rsidRPr="00E72418">
        <w:t>de la République argentine</w:t>
      </w:r>
      <w:r w:rsidR="00B45C7B" w:rsidRPr="00E72418">
        <w:t xml:space="preserve"> un </w:t>
      </w:r>
      <w:r w:rsidR="00B45C7B" w:rsidRPr="00E72418">
        <w:lastRenderedPageBreak/>
        <w:t>débiteur trop risqué c</w:t>
      </w:r>
      <w:r w:rsidR="002B165B" w:rsidRPr="00E72418">
        <w:t>e qui eut pour conséquence de la</w:t>
      </w:r>
      <w:r w:rsidR="00B45C7B" w:rsidRPr="00E72418">
        <w:t xml:space="preserve"> rendre incapable d’emprunter sur les marchés internationaux</w:t>
      </w:r>
      <w:r w:rsidR="00B45C7B" w:rsidRPr="00E72418">
        <w:rPr>
          <w:rStyle w:val="Appelnotedebasdep"/>
        </w:rPr>
        <w:footnoteReference w:id="495"/>
      </w:r>
      <w:r w:rsidR="00B45C7B" w:rsidRPr="00E72418">
        <w:t xml:space="preserve">. Aussi, participant du cycle complexe dans lequel se trouvait le pays, le fait que le peso était lié au dollar empêchait qu’un taux de change compétitif permette d’attirer de la monnaie étrangère </w:t>
      </w:r>
      <w:r w:rsidR="002B165B" w:rsidRPr="00E72418">
        <w:t>utile au</w:t>
      </w:r>
      <w:r w:rsidR="00B45C7B" w:rsidRPr="00E72418">
        <w:t xml:space="preserve"> service de la dette</w:t>
      </w:r>
      <w:r w:rsidR="00B45C7B" w:rsidRPr="00E72418">
        <w:rPr>
          <w:rStyle w:val="Appelnotedebasdep"/>
        </w:rPr>
        <w:footnoteReference w:id="496"/>
      </w:r>
      <w:r w:rsidR="00674C1A" w:rsidRPr="00E72418">
        <w:t>. À</w:t>
      </w:r>
      <w:r w:rsidR="00B45C7B" w:rsidRPr="00E72418">
        <w:t xml:space="preserve"> cette même période, la fuite des capitaux fut un</w:t>
      </w:r>
      <w:r w:rsidR="002B165B" w:rsidRPr="00E72418">
        <w:t xml:space="preserve"> énième</w:t>
      </w:r>
      <w:r w:rsidR="00B45C7B" w:rsidRPr="00E72418">
        <w:t xml:space="preserve"> problème pour le pays, la banque centrale argentine perdant au dernier quadrimestre 2001 près de onze milliards de sa réserve</w:t>
      </w:r>
      <w:r w:rsidR="00B45C7B" w:rsidRPr="00E72418">
        <w:rPr>
          <w:rStyle w:val="Appelnotedebasdep"/>
        </w:rPr>
        <w:footnoteReference w:id="497"/>
      </w:r>
      <w:r w:rsidR="00B45C7B" w:rsidRPr="00E72418">
        <w:t>.</w:t>
      </w:r>
    </w:p>
    <w:p w14:paraId="3F92C3F9" w14:textId="77777777" w:rsidR="00B45C7B" w:rsidRPr="00E72418" w:rsidRDefault="00B45C7B" w:rsidP="00CC4BA8">
      <w:pPr>
        <w:spacing w:line="276" w:lineRule="auto"/>
      </w:pPr>
      <w:r w:rsidRPr="00E72418">
        <w:t>La situation difficile conduisit nombre d’Argentins à retirer leurs avoirs en banque de peur que le pays fasse défaut et bloque les comptes bancaires</w:t>
      </w:r>
      <w:r w:rsidRPr="00E72418">
        <w:rPr>
          <w:rStyle w:val="Appelnotedebasdep"/>
        </w:rPr>
        <w:footnoteReference w:id="498"/>
      </w:r>
      <w:r w:rsidRPr="00E72418">
        <w:t>. En répons</w:t>
      </w:r>
      <w:r w:rsidR="00E22B8B" w:rsidRPr="00E72418">
        <w:t>e à ces retraits pratiqués, le G</w:t>
      </w:r>
      <w:r w:rsidRPr="00E72418">
        <w:t>ouvernement argentin adopta un décret les limitant et interdisant les transferts d’argent à l’étranger</w:t>
      </w:r>
      <w:r w:rsidRPr="00E72418">
        <w:rPr>
          <w:rStyle w:val="Appelnotedebasdep"/>
        </w:rPr>
        <w:footnoteReference w:id="499"/>
      </w:r>
      <w:r w:rsidRPr="00E72418">
        <w:t>. Le décret conduisit à un large mécontentement de la population qui se traduisit par des émeutes et des pillages coûtant la vie à des dizaines de personnes.</w:t>
      </w:r>
    </w:p>
    <w:p w14:paraId="7C750AE2" w14:textId="4968B5B3" w:rsidR="00B45C7B" w:rsidRPr="00E72418" w:rsidRDefault="00B45C7B" w:rsidP="00CC4BA8">
      <w:pPr>
        <w:spacing w:line="276" w:lineRule="auto"/>
        <w:rPr>
          <w:rFonts w:cs="Times New Roman"/>
          <w:szCs w:val="24"/>
        </w:rPr>
      </w:pPr>
      <w:r w:rsidRPr="00E72418">
        <w:t xml:space="preserve">Les crises économique, politique et sociale extrêmement sévères rencontrées par la République argentine atteignirent leur nadir en décembre 2001 menaçant </w:t>
      </w:r>
      <w:r w:rsidR="002B165B" w:rsidRPr="00E72418">
        <w:t>le pays et</w:t>
      </w:r>
      <w:r w:rsidRPr="00E72418">
        <w:t xml:space="preserve"> son gouvernement</w:t>
      </w:r>
      <w:r w:rsidR="002B165B" w:rsidRPr="00E72418">
        <w:t xml:space="preserve"> d’un effondrement total</w:t>
      </w:r>
      <w:r w:rsidRPr="00E72418">
        <w:rPr>
          <w:rStyle w:val="Appelnotedebasdep"/>
        </w:rPr>
        <w:footnoteReference w:id="500"/>
      </w:r>
      <w:r w:rsidRPr="00E72418">
        <w:t xml:space="preserve">. Le 20 décembre 2001, le président </w:t>
      </w:r>
      <w:r w:rsidR="00334DB1">
        <w:t>Fernando d</w:t>
      </w:r>
      <w:r w:rsidRPr="00E72418">
        <w:t>e la Rua et son cabinet démission</w:t>
      </w:r>
      <w:r w:rsidR="00765A3A" w:rsidRPr="00E72418">
        <w:t>n</w:t>
      </w:r>
      <w:r w:rsidRPr="00E72418">
        <w:t>èrent dans un climat de tensions sociales extrêmes</w:t>
      </w:r>
      <w:r w:rsidR="0076785C" w:rsidRPr="00E72418">
        <w:rPr>
          <w:rStyle w:val="Appelnotedebasdep"/>
        </w:rPr>
        <w:footnoteReference w:id="501"/>
      </w:r>
      <w:r w:rsidRPr="00E72418">
        <w:t xml:space="preserve">. </w:t>
      </w:r>
      <w:r w:rsidRPr="00E72418">
        <w:rPr>
          <w:rFonts w:cs="Times New Roman"/>
          <w:szCs w:val="24"/>
        </w:rPr>
        <w:t>Le 23 décembre 2001, le nouveau président argentin Adolfo Rodriguez Saa annon</w:t>
      </w:r>
      <w:r w:rsidR="001A01FF" w:rsidRPr="00E72418">
        <w:rPr>
          <w:rFonts w:cs="Times New Roman"/>
          <w:szCs w:val="24"/>
        </w:rPr>
        <w:t>ça</w:t>
      </w:r>
      <w:r w:rsidRPr="00E72418">
        <w:rPr>
          <w:rFonts w:cs="Times New Roman"/>
          <w:szCs w:val="24"/>
        </w:rPr>
        <w:t xml:space="preserve"> un moratoire sur les paiements de sa dette</w:t>
      </w:r>
      <w:r w:rsidRPr="00E72418">
        <w:rPr>
          <w:rStyle w:val="Appelnotedebasdep"/>
          <w:rFonts w:cs="Times New Roman"/>
          <w:szCs w:val="24"/>
        </w:rPr>
        <w:footnoteReference w:id="502"/>
      </w:r>
      <w:r w:rsidRPr="00E72418">
        <w:rPr>
          <w:rFonts w:cs="Times New Roman"/>
          <w:szCs w:val="24"/>
        </w:rPr>
        <w:t xml:space="preserve">. La République argentine fit alors défaut sur plus de </w:t>
      </w:r>
      <w:r w:rsidR="0076785C" w:rsidRPr="00E72418">
        <w:rPr>
          <w:rFonts w:cs="Times New Roman"/>
          <w:szCs w:val="24"/>
        </w:rPr>
        <w:t>quatre-vingt</w:t>
      </w:r>
      <w:r w:rsidR="00294224" w:rsidRPr="00E72418">
        <w:rPr>
          <w:rFonts w:cs="Times New Roman"/>
          <w:szCs w:val="24"/>
        </w:rPr>
        <w:t>s</w:t>
      </w:r>
      <w:r w:rsidRPr="00E72418">
        <w:rPr>
          <w:rFonts w:cs="Times New Roman"/>
          <w:szCs w:val="24"/>
        </w:rPr>
        <w:t xml:space="preserve"> milliards de dollars étatsuniens de dette</w:t>
      </w:r>
      <w:r w:rsidR="001A01FF" w:rsidRPr="00E72418">
        <w:rPr>
          <w:rStyle w:val="Appelnotedebasdep"/>
          <w:rFonts w:cs="Times New Roman"/>
          <w:szCs w:val="24"/>
        </w:rPr>
        <w:footnoteReference w:id="503"/>
      </w:r>
      <w:r w:rsidRPr="00E72418">
        <w:rPr>
          <w:rFonts w:cs="Times New Roman"/>
          <w:szCs w:val="24"/>
        </w:rPr>
        <w:t xml:space="preserve">. </w:t>
      </w:r>
      <w:r w:rsidRPr="00E72418">
        <w:t>Le défaut concernait plusieurs centaines de milliers de créanciers à</w:t>
      </w:r>
      <w:r w:rsidR="0076785C" w:rsidRPr="00E72418">
        <w:t xml:space="preserve"> travers le monde et plus de cent cinquante</w:t>
      </w:r>
      <w:r w:rsidRPr="00E72418">
        <w:t xml:space="preserve"> typ</w:t>
      </w:r>
      <w:r w:rsidR="00765A3A" w:rsidRPr="00E72418">
        <w:t>es d’instruments différents libe</w:t>
      </w:r>
      <w:r w:rsidRPr="00E72418">
        <w:t>llés en différentes devises et soumis à pas moins de huit juridictions différentes</w:t>
      </w:r>
      <w:r w:rsidRPr="00E72418">
        <w:rPr>
          <w:rStyle w:val="Appelnotedebasdep"/>
        </w:rPr>
        <w:footnoteReference w:id="504"/>
      </w:r>
      <w:r w:rsidR="0076785C" w:rsidRPr="00E72418">
        <w:t>. Cinquante et un</w:t>
      </w:r>
      <w:r w:rsidRPr="00E72418">
        <w:t xml:space="preserve"> pour</w:t>
      </w:r>
      <w:r w:rsidR="00235356" w:rsidRPr="00E72418">
        <w:t xml:space="preserve"> cent</w:t>
      </w:r>
      <w:r w:rsidRPr="00E72418">
        <w:t xml:space="preserve"> des </w:t>
      </w:r>
      <w:r w:rsidRPr="00E72418">
        <w:lastRenderedPageBreak/>
        <w:t>titres étaient soumis à l</w:t>
      </w:r>
      <w:r w:rsidR="0076785C" w:rsidRPr="00E72418">
        <w:t>a loi new-yorkaise tandis que dix-huit</w:t>
      </w:r>
      <w:r w:rsidRPr="00E72418">
        <w:t xml:space="preserve"> pour</w:t>
      </w:r>
      <w:r w:rsidR="00235356" w:rsidRPr="00E72418">
        <w:t xml:space="preserve"> cent</w:t>
      </w:r>
      <w:r w:rsidRPr="00E72418">
        <w:t xml:space="preserve"> étaient soumis à la loi britannique</w:t>
      </w:r>
      <w:r w:rsidRPr="00E72418">
        <w:rPr>
          <w:rStyle w:val="Appelnotedebasdep"/>
        </w:rPr>
        <w:footnoteReference w:id="505"/>
      </w:r>
      <w:r w:rsidRPr="00E72418">
        <w:t>. La soumission au droi</w:t>
      </w:r>
      <w:r w:rsidR="0076785C" w:rsidRPr="00E72418">
        <w:t>t argentin ne concernait que onze</w:t>
      </w:r>
      <w:r w:rsidRPr="00E72418">
        <w:t xml:space="preserve"> pour</w:t>
      </w:r>
      <w:r w:rsidR="00235356" w:rsidRPr="00E72418">
        <w:t xml:space="preserve"> cent</w:t>
      </w:r>
      <w:r w:rsidRPr="00E72418">
        <w:t xml:space="preserve"> des titres</w:t>
      </w:r>
      <w:r w:rsidRPr="00E72418">
        <w:rPr>
          <w:rStyle w:val="Appelnotedebasdep"/>
        </w:rPr>
        <w:footnoteReference w:id="506"/>
      </w:r>
      <w:r w:rsidRPr="00E72418">
        <w:t>.</w:t>
      </w:r>
    </w:p>
    <w:p w14:paraId="312F81BB" w14:textId="77777777" w:rsidR="00B45C7B" w:rsidRPr="00E72418" w:rsidRDefault="00B45C7B" w:rsidP="00423B60"/>
    <w:p w14:paraId="06909FB4" w14:textId="43E68DA7" w:rsidR="00B45C7B" w:rsidRPr="00E72418" w:rsidRDefault="000764CE" w:rsidP="00CC4BA8">
      <w:pPr>
        <w:pStyle w:val="DD"/>
        <w:spacing w:line="276" w:lineRule="auto"/>
      </w:pPr>
      <w:bookmarkStart w:id="112" w:name="_Toc59280903"/>
      <w:bookmarkStart w:id="113" w:name="_Toc84540891"/>
      <w:r w:rsidRPr="00E72418">
        <w:t xml:space="preserve">Section 2 : </w:t>
      </w:r>
      <w:r w:rsidR="00B45C7B" w:rsidRPr="00E72418">
        <w:t>Les restructurations de 2005 et 2010</w:t>
      </w:r>
      <w:bookmarkEnd w:id="112"/>
      <w:bookmarkEnd w:id="113"/>
    </w:p>
    <w:p w14:paraId="763F0494" w14:textId="77777777" w:rsidR="00423B60" w:rsidRPr="00E72418" w:rsidRDefault="00423B60" w:rsidP="00423B60"/>
    <w:p w14:paraId="6BD874C1" w14:textId="3AB06816" w:rsidR="00B45C7B" w:rsidRPr="00E72418" w:rsidRDefault="007F038F" w:rsidP="00CC4BA8">
      <w:pPr>
        <w:spacing w:line="276" w:lineRule="auto"/>
        <w:rPr>
          <w:b/>
          <w:strike/>
        </w:rPr>
      </w:pPr>
      <w:r w:rsidRPr="00E72418">
        <w:rPr>
          <w:b/>
        </w:rPr>
        <w:t>88</w:t>
      </w:r>
      <w:r w:rsidR="007E31CD" w:rsidRPr="00E72418">
        <w:rPr>
          <w:b/>
        </w:rPr>
        <w:t xml:space="preserve">. </w:t>
      </w:r>
      <w:r w:rsidR="00B45C7B" w:rsidRPr="00E72418">
        <w:rPr>
          <w:b/>
        </w:rPr>
        <w:t>Une embellie –</w:t>
      </w:r>
      <w:r w:rsidR="00B45C7B" w:rsidRPr="00E72418">
        <w:t xml:space="preserve"> En Argentine, le défaut de 2001 fut vu comme une déclaration d’indépendance du pays à l’égard de ses créanciers. La posture </w:t>
      </w:r>
      <w:r w:rsidR="00AD46D2" w:rsidRPr="00E72418">
        <w:t>adoptée</w:t>
      </w:r>
      <w:r w:rsidR="00B45C7B" w:rsidRPr="00E72418">
        <w:t xml:space="preserve"> fut saluée en ce qu’elle représentait une contestation des politiques économiques étatsuniennes dont souffraient </w:t>
      </w:r>
      <w:r w:rsidR="00AD46D2" w:rsidRPr="00E72418">
        <w:t xml:space="preserve">plus généralement </w:t>
      </w:r>
      <w:r w:rsidR="00B45C7B" w:rsidRPr="00E72418">
        <w:t xml:space="preserve">les </w:t>
      </w:r>
      <w:r w:rsidR="00AD46D2" w:rsidRPr="00E72418">
        <w:t>É</w:t>
      </w:r>
      <w:r w:rsidR="00AD46D2" w:rsidRPr="00E72418">
        <w:rPr>
          <w:rStyle w:val="Titre5Car"/>
          <w:rFonts w:ascii="Times" w:eastAsiaTheme="minorHAnsi" w:hAnsi="Times" w:cstheme="minorBidi"/>
          <w:color w:val="auto"/>
        </w:rPr>
        <w:t>tats</w:t>
      </w:r>
      <w:r w:rsidR="00AD46D2" w:rsidRPr="00E72418">
        <w:t xml:space="preserve"> </w:t>
      </w:r>
      <w:r w:rsidR="00B45C7B" w:rsidRPr="00E72418">
        <w:t>d’Amérique du sud</w:t>
      </w:r>
      <w:r w:rsidR="00B45C7B" w:rsidRPr="00E72418">
        <w:rPr>
          <w:rStyle w:val="Appelnotedebasdep"/>
        </w:rPr>
        <w:footnoteReference w:id="507"/>
      </w:r>
      <w:r w:rsidR="00AD46D2" w:rsidRPr="00E72418">
        <w:t xml:space="preserve">. La République argentine </w:t>
      </w:r>
      <w:r w:rsidR="00B45C7B" w:rsidRPr="00E72418">
        <w:t xml:space="preserve">tira </w:t>
      </w:r>
      <w:r w:rsidR="00AD46D2" w:rsidRPr="00E72418">
        <w:t xml:space="preserve">politiquement </w:t>
      </w:r>
      <w:r w:rsidR="00B45C7B" w:rsidRPr="00E72418">
        <w:t>profit de cette situation en se présentant comme « the victorious David of developing countries against the Goliath of creditors »</w:t>
      </w:r>
      <w:r w:rsidR="00B45C7B" w:rsidRPr="00E72418">
        <w:rPr>
          <w:rStyle w:val="Appelnotedebasdep"/>
        </w:rPr>
        <w:footnoteReference w:id="508"/>
      </w:r>
      <w:r w:rsidR="00B45C7B" w:rsidRPr="00E72418">
        <w:t>. Par ailleurs, la population argentine apprécia que l’argent non affecté au paiement de la dette fut consacré à des politiques économiques domestiques qui améliorèrent sa qualité de vie</w:t>
      </w:r>
      <w:r w:rsidR="00B45C7B" w:rsidRPr="00E72418">
        <w:rPr>
          <w:rStyle w:val="Appelnotedebasdep"/>
        </w:rPr>
        <w:footnoteReference w:id="509"/>
      </w:r>
      <w:r w:rsidR="00B45C7B" w:rsidRPr="00E72418">
        <w:t>.</w:t>
      </w:r>
    </w:p>
    <w:p w14:paraId="6A040CDE" w14:textId="5D190738" w:rsidR="00B45C7B" w:rsidRPr="00E72418" w:rsidRDefault="00B45C7B" w:rsidP="00CC4BA8">
      <w:pPr>
        <w:spacing w:line="276" w:lineRule="auto"/>
      </w:pPr>
      <w:r w:rsidRPr="00E72418">
        <w:t>Dans le sillage du défaut, l’économie argentine progressa</w:t>
      </w:r>
      <w:r w:rsidRPr="00E72418">
        <w:rPr>
          <w:rStyle w:val="Appelnotedebasdep"/>
        </w:rPr>
        <w:footnoteReference w:id="510"/>
      </w:r>
      <w:r w:rsidRPr="00E72418">
        <w:t xml:space="preserve">. Le 6 janvier 2002, le Congrès adopta la loi </w:t>
      </w:r>
      <w:r w:rsidR="00FF7A98" w:rsidRPr="00E72418">
        <w:t xml:space="preserve">d’urgence publique </w:t>
      </w:r>
      <w:r w:rsidRPr="00E72418">
        <w:t>n° 25.5</w:t>
      </w:r>
      <w:r w:rsidR="00AD46D2" w:rsidRPr="00E72418">
        <w:t>61 plus connue sous le nom d</w:t>
      </w:r>
      <w:r w:rsidR="00FF7A98" w:rsidRPr="00E72418">
        <w:t xml:space="preserve">e loi de </w:t>
      </w:r>
      <w:r w:rsidR="00AD46D2" w:rsidRPr="00E72418">
        <w:t>« </w:t>
      </w:r>
      <w:r w:rsidR="00FF7A98" w:rsidRPr="00E72418">
        <w:t>pesification</w:t>
      </w:r>
      <w:r w:rsidRPr="00E72418">
        <w:t xml:space="preserve"> » qui, entre autres choses, </w:t>
      </w:r>
      <w:r w:rsidR="00AD46D2" w:rsidRPr="00E72418">
        <w:t xml:space="preserve">mit un terme à la loi liant </w:t>
      </w:r>
      <w:r w:rsidRPr="00E72418">
        <w:t>la valeur de la monnaie argentine à celle du dollar étatsunien</w:t>
      </w:r>
      <w:r w:rsidRPr="00E72418">
        <w:rPr>
          <w:rStyle w:val="Appelnotedebasdep"/>
        </w:rPr>
        <w:footnoteReference w:id="511"/>
      </w:r>
      <w:r w:rsidRPr="00E72418">
        <w:t>. Ceci eut une conséquence positive sur les exportations du pays et sur l’industrie touristique</w:t>
      </w:r>
      <w:r w:rsidRPr="00E72418">
        <w:rPr>
          <w:rStyle w:val="Appelnotedebasdep"/>
        </w:rPr>
        <w:footnoteReference w:id="512"/>
      </w:r>
      <w:r w:rsidRPr="00E72418">
        <w:t>.</w:t>
      </w:r>
    </w:p>
    <w:p w14:paraId="386E8B1F" w14:textId="77777777" w:rsidR="00B45C7B" w:rsidRPr="00E72418" w:rsidRDefault="00B45C7B" w:rsidP="00423B60"/>
    <w:p w14:paraId="03DC0260" w14:textId="2554ECBC" w:rsidR="00B45C7B" w:rsidRPr="00E72418" w:rsidRDefault="007F038F" w:rsidP="00CC4BA8">
      <w:pPr>
        <w:spacing w:line="276" w:lineRule="auto"/>
      </w:pPr>
      <w:r w:rsidRPr="00E72418">
        <w:rPr>
          <w:b/>
        </w:rPr>
        <w:t>89</w:t>
      </w:r>
      <w:r w:rsidR="007E31CD" w:rsidRPr="00E72418">
        <w:rPr>
          <w:b/>
        </w:rPr>
        <w:t xml:space="preserve">. </w:t>
      </w:r>
      <w:r w:rsidR="00B45C7B" w:rsidRPr="00E72418">
        <w:rPr>
          <w:b/>
        </w:rPr>
        <w:t xml:space="preserve">Une attitude dure – </w:t>
      </w:r>
      <w:r w:rsidR="00B45C7B" w:rsidRPr="00E72418">
        <w:rPr>
          <w:rFonts w:cs="Times New Roman"/>
          <w:szCs w:val="24"/>
        </w:rPr>
        <w:t>Le moratoire temporaire déclaré en 2001 sur le paiement de</w:t>
      </w:r>
      <w:r w:rsidR="00765A3A" w:rsidRPr="00E72418">
        <w:rPr>
          <w:rFonts w:cs="Times New Roman"/>
          <w:szCs w:val="24"/>
        </w:rPr>
        <w:t xml:space="preserve"> la dette argentine fut renouve</w:t>
      </w:r>
      <w:r w:rsidR="00B45C7B" w:rsidRPr="00E72418">
        <w:rPr>
          <w:rFonts w:cs="Times New Roman"/>
          <w:szCs w:val="24"/>
        </w:rPr>
        <w:t>lé chaque année</w:t>
      </w:r>
      <w:r w:rsidR="00B45C7B" w:rsidRPr="00E72418">
        <w:rPr>
          <w:rStyle w:val="Appelnotedebasdep"/>
          <w:rFonts w:cs="Times New Roman"/>
          <w:szCs w:val="24"/>
        </w:rPr>
        <w:footnoteReference w:id="513"/>
      </w:r>
      <w:r w:rsidR="00B45C7B" w:rsidRPr="00E72418">
        <w:rPr>
          <w:rFonts w:cs="Times New Roman"/>
          <w:szCs w:val="24"/>
        </w:rPr>
        <w:t xml:space="preserve">. </w:t>
      </w:r>
      <w:r w:rsidR="00B45C7B" w:rsidRPr="00E72418">
        <w:t>Le pays, conscient de l’importance du crédit, ne tourna toutefois pas complètement le dos à ses investisseurs et s’engagea</w:t>
      </w:r>
      <w:r w:rsidR="004A2729" w:rsidRPr="00E72418">
        <w:t xml:space="preserve"> dans des négociations visant </w:t>
      </w:r>
      <w:r w:rsidR="00B45C7B" w:rsidRPr="00E72418">
        <w:t xml:space="preserve">la restructuration de sa dette après que la loi n° 25.625 ait donné mission au pouvoir exécutif argentin de prendre les mesures nécessaires à </w:t>
      </w:r>
      <w:r w:rsidR="00524186" w:rsidRPr="00E72418">
        <w:t>celle-ci</w:t>
      </w:r>
      <w:r w:rsidR="00B45C7B" w:rsidRPr="00E72418">
        <w:t>.</w:t>
      </w:r>
    </w:p>
    <w:p w14:paraId="2A53D5BF" w14:textId="014926DA" w:rsidR="00B45C7B" w:rsidRPr="00E72418" w:rsidRDefault="00B45C7B" w:rsidP="00CC4BA8">
      <w:pPr>
        <w:spacing w:line="276" w:lineRule="auto"/>
      </w:pPr>
      <w:r w:rsidRPr="00E72418">
        <w:lastRenderedPageBreak/>
        <w:t>L’Argentine opéra seule afin de restructurer sa dette</w:t>
      </w:r>
      <w:r w:rsidR="00742B24" w:rsidRPr="00E72418">
        <w:rPr>
          <w:rStyle w:val="Appelnotedebasdep"/>
        </w:rPr>
        <w:footnoteReference w:id="514"/>
      </w:r>
      <w:r w:rsidRPr="00E72418">
        <w:t xml:space="preserve">. Si le Fonds monétaire international est d’habitude un acteur-clé </w:t>
      </w:r>
      <w:r w:rsidR="00524186" w:rsidRPr="00E72418">
        <w:t xml:space="preserve">lors </w:t>
      </w:r>
      <w:r w:rsidRPr="00E72418">
        <w:t xml:space="preserve">des restructurations de dettes souveraines, il n’endossa </w:t>
      </w:r>
      <w:r w:rsidR="00524186" w:rsidRPr="00E72418">
        <w:t xml:space="preserve">ici </w:t>
      </w:r>
      <w:r w:rsidRPr="00E72418">
        <w:t>pas ce rôle</w:t>
      </w:r>
      <w:r w:rsidRPr="00E72418">
        <w:rPr>
          <w:rStyle w:val="Appelnotedebasdep"/>
        </w:rPr>
        <w:footnoteReference w:id="515"/>
      </w:r>
      <w:r w:rsidRPr="00E72418">
        <w:t>. Outre cette particularité, les négociations en vue de la restructuration de la dette argentine furent caractérisées par une attitude dure adopt</w:t>
      </w:r>
      <w:r w:rsidR="00E22B8B" w:rsidRPr="00E72418">
        <w:t>ée par le G</w:t>
      </w:r>
      <w:r w:rsidRPr="00E72418">
        <w:t>ouver</w:t>
      </w:r>
      <w:r w:rsidR="00765A3A" w:rsidRPr="00E72418">
        <w:t>ne</w:t>
      </w:r>
      <w:r w:rsidRPr="00E72418">
        <w:t xml:space="preserve">ment argentin donnant aux opérations un </w:t>
      </w:r>
      <w:r w:rsidRPr="00E72418">
        <w:rPr>
          <w:rFonts w:cs="Times New Roman"/>
          <w:szCs w:val="24"/>
        </w:rPr>
        <w:t>« unusually contentious tone »</w:t>
      </w:r>
      <w:r w:rsidRPr="00E72418">
        <w:rPr>
          <w:rStyle w:val="Appelnotedebasdep"/>
          <w:rFonts w:cs="Times New Roman"/>
          <w:szCs w:val="24"/>
        </w:rPr>
        <w:footnoteReference w:id="516"/>
      </w:r>
      <w:r w:rsidRPr="00E72418">
        <w:t xml:space="preserve">. </w:t>
      </w:r>
      <w:r w:rsidR="00524186" w:rsidRPr="00E72418">
        <w:t>Le</w:t>
      </w:r>
      <w:r w:rsidR="00E22B8B" w:rsidRPr="00E72418">
        <w:t xml:space="preserve"> G</w:t>
      </w:r>
      <w:r w:rsidRPr="00E72418">
        <w:t xml:space="preserve">ouvernement était </w:t>
      </w:r>
      <w:r w:rsidR="00524186" w:rsidRPr="00E72418">
        <w:t xml:space="preserve">d’avis </w:t>
      </w:r>
      <w:r w:rsidRPr="00E72418">
        <w:t xml:space="preserve">que les créanciers devaient subir une décote importante. Plus </w:t>
      </w:r>
      <w:r w:rsidR="00524186" w:rsidRPr="00E72418">
        <w:t>largement</w:t>
      </w:r>
      <w:r w:rsidRPr="00E72418">
        <w:t>, l’attitude de l’Argentine révélait sa volonté politique de mettre un terme à la subordination des intérêts nationaux aux intérêts financiers et d’ainsi aller vers une autonomie accrue dans la définition de ses politiques économiques domestiques</w:t>
      </w:r>
      <w:r w:rsidRPr="00E72418">
        <w:rPr>
          <w:rStyle w:val="Appelnotedebasdep"/>
        </w:rPr>
        <w:footnoteReference w:id="517"/>
      </w:r>
      <w:r w:rsidRPr="00E72418">
        <w:t>.</w:t>
      </w:r>
    </w:p>
    <w:p w14:paraId="6D3BD50E" w14:textId="77777777" w:rsidR="00B45C7B" w:rsidRPr="00E72418" w:rsidRDefault="00B45C7B" w:rsidP="00423B60"/>
    <w:p w14:paraId="2B695DAB" w14:textId="2C42D716" w:rsidR="00B45C7B" w:rsidRPr="00E72418" w:rsidRDefault="007F038F" w:rsidP="00CC4BA8">
      <w:pPr>
        <w:spacing w:line="276" w:lineRule="auto"/>
        <w:rPr>
          <w:rFonts w:ascii="Times New Roman" w:hAnsi="Times New Roman" w:cs="Times New Roman"/>
          <w:szCs w:val="24"/>
        </w:rPr>
      </w:pPr>
      <w:r w:rsidRPr="00E72418">
        <w:rPr>
          <w:b/>
        </w:rPr>
        <w:t>90</w:t>
      </w:r>
      <w:r w:rsidR="007E31CD" w:rsidRPr="00E72418">
        <w:rPr>
          <w:b/>
        </w:rPr>
        <w:t xml:space="preserve">. </w:t>
      </w:r>
      <w:r w:rsidR="00B45C7B" w:rsidRPr="00E72418">
        <w:rPr>
          <w:b/>
        </w:rPr>
        <w:t>L’échange de 2005 –</w:t>
      </w:r>
      <w:r w:rsidR="00B45C7B" w:rsidRPr="00E72418">
        <w:t xml:space="preserve"> Début 2005, après plus de trois années d’âpres négociations</w:t>
      </w:r>
      <w:r w:rsidR="00B45C7B" w:rsidRPr="00E72418">
        <w:rPr>
          <w:rStyle w:val="Appelnotedebasdep"/>
        </w:rPr>
        <w:footnoteReference w:id="518"/>
      </w:r>
      <w:r w:rsidR="00B45C7B" w:rsidRPr="00E72418">
        <w:t>, l’Argentine fit une offre unilatérale à ses créanciers d’échange de</w:t>
      </w:r>
      <w:r w:rsidR="00524186" w:rsidRPr="00E72418">
        <w:t>s titres en défaut laquelle prit</w:t>
      </w:r>
      <w:r w:rsidR="00B45C7B" w:rsidRPr="00E72418">
        <w:t xml:space="preserve"> la forme d’un « take-it-or-leave-it »</w:t>
      </w:r>
      <w:r w:rsidR="00B45C7B" w:rsidRPr="00E72418">
        <w:rPr>
          <w:rStyle w:val="Appelnotedebasdep"/>
        </w:rPr>
        <w:footnoteReference w:id="519"/>
      </w:r>
      <w:r w:rsidR="00B45C7B" w:rsidRPr="00E72418">
        <w:t xml:space="preserve">. </w:t>
      </w:r>
      <w:r w:rsidR="00B45C7B" w:rsidRPr="00E72418">
        <w:rPr>
          <w:rFonts w:cs="Times New Roman"/>
          <w:szCs w:val="24"/>
        </w:rPr>
        <w:t>Les n</w:t>
      </w:r>
      <w:r w:rsidR="00524186" w:rsidRPr="00E72418">
        <w:rPr>
          <w:rFonts w:cs="Times New Roman"/>
          <w:szCs w:val="24"/>
        </w:rPr>
        <w:t>ouveaux titres valaient entre vingt-cinq</w:t>
      </w:r>
      <w:r w:rsidR="00B45C7B" w:rsidRPr="00E72418">
        <w:rPr>
          <w:rFonts w:cs="Times New Roman"/>
          <w:szCs w:val="24"/>
        </w:rPr>
        <w:t xml:space="preserve"> et </w:t>
      </w:r>
      <w:r w:rsidR="00524186" w:rsidRPr="00E72418">
        <w:rPr>
          <w:rFonts w:cs="Times New Roman"/>
          <w:szCs w:val="24"/>
        </w:rPr>
        <w:t>vingt-neuf</w:t>
      </w:r>
      <w:r w:rsidR="00B45C7B" w:rsidRPr="00E72418">
        <w:rPr>
          <w:rFonts w:cs="Times New Roman"/>
          <w:szCs w:val="24"/>
        </w:rPr>
        <w:t xml:space="preserve"> pour</w:t>
      </w:r>
      <w:r w:rsidR="00235356" w:rsidRPr="00E72418">
        <w:rPr>
          <w:rFonts w:cs="Times New Roman"/>
          <w:szCs w:val="24"/>
        </w:rPr>
        <w:t xml:space="preserve"> cent</w:t>
      </w:r>
      <w:r w:rsidR="00B45C7B" w:rsidRPr="00E72418">
        <w:rPr>
          <w:rFonts w:cs="Times New Roman"/>
          <w:szCs w:val="24"/>
        </w:rPr>
        <w:t xml:space="preserve"> des </w:t>
      </w:r>
      <w:r w:rsidR="00524186" w:rsidRPr="00E72418">
        <w:rPr>
          <w:rFonts w:cs="Times New Roman"/>
          <w:szCs w:val="24"/>
        </w:rPr>
        <w:t>titres échangés</w:t>
      </w:r>
      <w:r w:rsidR="00B45C7B" w:rsidRPr="00E72418">
        <w:rPr>
          <w:rFonts w:cs="Times New Roman"/>
          <w:szCs w:val="24"/>
        </w:rPr>
        <w:t xml:space="preserve"> et </w:t>
      </w:r>
      <w:r w:rsidR="00524186" w:rsidRPr="00E72418">
        <w:rPr>
          <w:rFonts w:cs="Times New Roman"/>
          <w:szCs w:val="24"/>
        </w:rPr>
        <w:t>présentaient</w:t>
      </w:r>
      <w:r w:rsidR="00B45C7B" w:rsidRPr="00E72418">
        <w:rPr>
          <w:rFonts w:cs="Times New Roman"/>
          <w:szCs w:val="24"/>
        </w:rPr>
        <w:t xml:space="preserve"> des maturités allongées allant de trente à quarante ans. Le pays entend</w:t>
      </w:r>
      <w:r w:rsidR="00524186" w:rsidRPr="00E72418">
        <w:rPr>
          <w:rFonts w:cs="Times New Roman"/>
          <w:szCs w:val="24"/>
        </w:rPr>
        <w:t>a</w:t>
      </w:r>
      <w:r w:rsidR="00B45C7B" w:rsidRPr="00E72418">
        <w:rPr>
          <w:rFonts w:cs="Times New Roman"/>
          <w:szCs w:val="24"/>
        </w:rPr>
        <w:t>it</w:t>
      </w:r>
      <w:r w:rsidR="00524186" w:rsidRPr="00E72418">
        <w:rPr>
          <w:rFonts w:cs="Times New Roman"/>
          <w:szCs w:val="24"/>
        </w:rPr>
        <w:t>, d’une part,</w:t>
      </w:r>
      <w:r w:rsidR="00B45C7B" w:rsidRPr="00E72418">
        <w:rPr>
          <w:rFonts w:cs="Times New Roman"/>
          <w:szCs w:val="24"/>
        </w:rPr>
        <w:t xml:space="preserve"> que la restructuration soit suffisamment importante afin </w:t>
      </w:r>
      <w:r w:rsidR="00524186" w:rsidRPr="00E72418">
        <w:rPr>
          <w:rFonts w:cs="Times New Roman"/>
          <w:szCs w:val="24"/>
        </w:rPr>
        <w:t xml:space="preserve">de </w:t>
      </w:r>
      <w:r w:rsidR="00B45C7B" w:rsidRPr="00E72418">
        <w:rPr>
          <w:rFonts w:cs="Times New Roman"/>
          <w:szCs w:val="24"/>
        </w:rPr>
        <w:t>coïncide</w:t>
      </w:r>
      <w:r w:rsidR="00524186" w:rsidRPr="00E72418">
        <w:rPr>
          <w:rFonts w:cs="Times New Roman"/>
          <w:szCs w:val="24"/>
        </w:rPr>
        <w:t>r avec s</w:t>
      </w:r>
      <w:r w:rsidR="00B45C7B" w:rsidRPr="00E72418">
        <w:rPr>
          <w:rFonts w:cs="Times New Roman"/>
          <w:szCs w:val="24"/>
        </w:rPr>
        <w:t>a capacité financière</w:t>
      </w:r>
      <w:r w:rsidR="00524186" w:rsidRPr="00E72418">
        <w:rPr>
          <w:rFonts w:cs="Times New Roman"/>
          <w:szCs w:val="24"/>
        </w:rPr>
        <w:t xml:space="preserve"> réelle, d’autre part,</w:t>
      </w:r>
      <w:r w:rsidR="00B45C7B" w:rsidRPr="00E72418">
        <w:rPr>
          <w:rFonts w:cs="Times New Roman"/>
          <w:szCs w:val="24"/>
        </w:rPr>
        <w:t xml:space="preserve"> que les conditions d’une </w:t>
      </w:r>
      <w:r w:rsidR="00B45C7B" w:rsidRPr="00E72418">
        <w:rPr>
          <w:rFonts w:cs="Times New Roman"/>
          <w:szCs w:val="24"/>
        </w:rPr>
        <w:lastRenderedPageBreak/>
        <w:t xml:space="preserve">croissance économique durable soient rencontrées laquelle </w:t>
      </w:r>
      <w:r w:rsidR="00CC13A1" w:rsidRPr="00E72418">
        <w:rPr>
          <w:rFonts w:cs="Times New Roman"/>
          <w:szCs w:val="24"/>
        </w:rPr>
        <w:t>serait</w:t>
      </w:r>
      <w:r w:rsidR="00B45C7B" w:rsidRPr="00E72418">
        <w:rPr>
          <w:rFonts w:cs="Times New Roman"/>
          <w:szCs w:val="24"/>
        </w:rPr>
        <w:t xml:space="preserve"> </w:t>
      </w:r>
      <w:r w:rsidR="00CC13A1" w:rsidRPr="00E72418">
        <w:rPr>
          <w:rFonts w:cs="Times New Roman"/>
          <w:szCs w:val="24"/>
        </w:rPr>
        <w:t xml:space="preserve">à terme </w:t>
      </w:r>
      <w:r w:rsidR="00B45C7B" w:rsidRPr="00E72418">
        <w:rPr>
          <w:rFonts w:cs="Times New Roman"/>
          <w:szCs w:val="24"/>
        </w:rPr>
        <w:t>profitable aux investisseurs</w:t>
      </w:r>
      <w:r w:rsidR="00B45C7B" w:rsidRPr="00E72418">
        <w:rPr>
          <w:rStyle w:val="Appelnotedebasdep"/>
          <w:rFonts w:cs="Times New Roman"/>
          <w:szCs w:val="24"/>
        </w:rPr>
        <w:footnoteReference w:id="520"/>
      </w:r>
      <w:r w:rsidR="00F4381F" w:rsidRPr="00E72418">
        <w:rPr>
          <w:rFonts w:cs="Times New Roman"/>
          <w:szCs w:val="24"/>
          <w:vertAlign w:val="superscript"/>
        </w:rPr>
        <w:t>,</w:t>
      </w:r>
      <w:r w:rsidR="00B45C7B" w:rsidRPr="00E72418">
        <w:rPr>
          <w:rStyle w:val="Appelnotedebasdep"/>
          <w:rFonts w:ascii="Times New Roman" w:hAnsi="Times New Roman" w:cs="Times New Roman"/>
          <w:szCs w:val="24"/>
        </w:rPr>
        <w:footnoteReference w:id="521"/>
      </w:r>
      <w:r w:rsidR="00B45C7B" w:rsidRPr="00E72418">
        <w:rPr>
          <w:rFonts w:ascii="Times New Roman" w:hAnsi="Times New Roman" w:cs="Times New Roman"/>
          <w:szCs w:val="24"/>
        </w:rPr>
        <w:t xml:space="preserve">. </w:t>
      </w:r>
    </w:p>
    <w:p w14:paraId="043B2C09" w14:textId="4B4E2CBB" w:rsidR="00B45C7B" w:rsidRPr="00E72418" w:rsidRDefault="00B45C7B" w:rsidP="00CC4BA8">
      <w:pPr>
        <w:spacing w:line="276" w:lineRule="auto"/>
      </w:pPr>
      <w:r w:rsidRPr="00E72418">
        <w:t>Les émissions obligataires servant à l’échange contenaie</w:t>
      </w:r>
      <w:r w:rsidR="00025355" w:rsidRPr="00E72418">
        <w:t xml:space="preserve">nt des </w:t>
      </w:r>
      <w:r w:rsidR="00B22B11" w:rsidRPr="00E72418">
        <w:rPr>
          <w:i/>
        </w:rPr>
        <w:t>warranty payments</w:t>
      </w:r>
      <w:r w:rsidRPr="00E72418">
        <w:t>. Ceux</w:t>
      </w:r>
      <w:r w:rsidR="006637ED" w:rsidRPr="00E72418">
        <w:t>-ci, liés à la croissance du produit intérieur brut</w:t>
      </w:r>
      <w:r w:rsidRPr="00E72418">
        <w:t xml:space="preserve"> futur du pays</w:t>
      </w:r>
      <w:r w:rsidR="00B22B11" w:rsidRPr="00E72418">
        <w:rPr>
          <w:rStyle w:val="Appelnotedebasdep"/>
        </w:rPr>
        <w:footnoteReference w:id="522"/>
      </w:r>
      <w:r w:rsidRPr="00E72418">
        <w:t>, impliqu</w:t>
      </w:r>
      <w:r w:rsidR="00CC13A1" w:rsidRPr="00E72418">
        <w:t>aient que les créanciers recevraie</w:t>
      </w:r>
      <w:r w:rsidRPr="00E72418">
        <w:t>nt des paiements lorsque la croissance dépasse</w:t>
      </w:r>
      <w:r w:rsidR="00CC13A1" w:rsidRPr="00E72418">
        <w:t>rait</w:t>
      </w:r>
      <w:r w:rsidRPr="00E72418">
        <w:t xml:space="preserve"> certains seuils annuels prédéfinis. Avec leurs nouv</w:t>
      </w:r>
      <w:r w:rsidR="00CC13A1" w:rsidRPr="00E72418">
        <w:t>eaux titres, les créanciers devenaient ainsi</w:t>
      </w:r>
      <w:r w:rsidRPr="00E72418">
        <w:t xml:space="preserve"> partenaires de la prospérité du pays</w:t>
      </w:r>
      <w:r w:rsidRPr="00E72418">
        <w:rPr>
          <w:rStyle w:val="Appelnotedebasdep"/>
        </w:rPr>
        <w:footnoteReference w:id="523"/>
      </w:r>
      <w:r w:rsidRPr="00E72418">
        <w:t>. Eu égard à la situation positive de l’économie argentine due notamment à une importante demande internati</w:t>
      </w:r>
      <w:r w:rsidR="000459FC" w:rsidRPr="00E72418">
        <w:t>onale de biens tels que du soja, l</w:t>
      </w:r>
      <w:r w:rsidR="00765A3A" w:rsidRPr="00E72418">
        <w:t>a déco</w:t>
      </w:r>
      <w:r w:rsidRPr="00E72418">
        <w:t xml:space="preserve">te </w:t>
      </w:r>
      <w:r w:rsidR="000459FC" w:rsidRPr="00E72418">
        <w:t xml:space="preserve">des </w:t>
      </w:r>
      <w:r w:rsidR="00CC13A1" w:rsidRPr="00E72418">
        <w:t xml:space="preserve">titres </w:t>
      </w:r>
      <w:r w:rsidRPr="00E72418">
        <w:t xml:space="preserve">s’avéra moins </w:t>
      </w:r>
      <w:r w:rsidR="000459FC" w:rsidRPr="00E72418">
        <w:t>conséquente</w:t>
      </w:r>
      <w:r w:rsidRPr="00E72418">
        <w:t xml:space="preserve"> que ce</w:t>
      </w:r>
      <w:r w:rsidR="00CC13A1" w:rsidRPr="00E72418">
        <w:t>lle prévue</w:t>
      </w:r>
      <w:r w:rsidRPr="00E72418">
        <w:t xml:space="preserve"> lors de l’échange, avec entre 2006 et</w:t>
      </w:r>
      <w:r w:rsidR="00CC13A1" w:rsidRPr="00E72418">
        <w:t xml:space="preserve"> 2013 des rendements </w:t>
      </w:r>
      <w:r w:rsidR="008558C0" w:rsidRPr="00E72418">
        <w:t>annuels de</w:t>
      </w:r>
      <w:r w:rsidR="00CC13A1" w:rsidRPr="00E72418">
        <w:t xml:space="preserve"> quarante-trois</w:t>
      </w:r>
      <w:r w:rsidR="008E0471" w:rsidRPr="00E72418">
        <w:t xml:space="preserve"> pour</w:t>
      </w:r>
      <w:r w:rsidR="00235356" w:rsidRPr="00E72418">
        <w:t xml:space="preserve"> cent</w:t>
      </w:r>
      <w:r w:rsidRPr="00E72418">
        <w:rPr>
          <w:rStyle w:val="Appelnotedebasdep"/>
        </w:rPr>
        <w:footnoteReference w:id="524"/>
      </w:r>
      <w:r w:rsidRPr="00E72418">
        <w:t>.</w:t>
      </w:r>
    </w:p>
    <w:p w14:paraId="6D15109C" w14:textId="46E27950" w:rsidR="00B45C7B" w:rsidRPr="00E72418" w:rsidRDefault="00B45C7B" w:rsidP="00CC4BA8">
      <w:pPr>
        <w:spacing w:line="276" w:lineRule="auto"/>
        <w:rPr>
          <w:rFonts w:ascii="PalatinoLTStd-Roman" w:hAnsi="PalatinoLTStd-Roman" w:cs="PalatinoLTStd-Roman"/>
          <w:sz w:val="20"/>
          <w:szCs w:val="20"/>
        </w:rPr>
      </w:pPr>
      <w:r w:rsidRPr="00E72418">
        <w:t xml:space="preserve">Dans un souci de favoriser l’adhésion des créanciers à l’échange proposé, la République argentine inséra dans le prospectus contractuel la clause </w:t>
      </w:r>
      <w:r w:rsidR="00C84812" w:rsidRPr="00E72418">
        <w:t xml:space="preserve">dite </w:t>
      </w:r>
      <w:r w:rsidRPr="00E72418">
        <w:t>« </w:t>
      </w:r>
      <w:r w:rsidR="00A8758D" w:rsidRPr="00E72418">
        <w:t>rights upon future o</w:t>
      </w:r>
      <w:r w:rsidRPr="00E72418">
        <w:t xml:space="preserve">ffers » prévoyant en substance que si </w:t>
      </w:r>
      <w:r w:rsidR="00A8758D" w:rsidRPr="00E72418">
        <w:t>elle</w:t>
      </w:r>
      <w:r w:rsidRPr="00E72418">
        <w:t xml:space="preserve"> devait faire dans le futur une meilleure offre</w:t>
      </w:r>
      <w:r w:rsidR="00A8758D" w:rsidRPr="00E72418">
        <w:t xml:space="preserve"> a</w:t>
      </w:r>
      <w:r w:rsidRPr="00E72418">
        <w:t>ux créanciers récalcitrants alors</w:t>
      </w:r>
      <w:r w:rsidR="00A8758D" w:rsidRPr="00E72418">
        <w:t>,</w:t>
      </w:r>
      <w:r w:rsidRPr="00E72418">
        <w:t xml:space="preserve"> les créanciers ayant accepté l’échange bénéfi</w:t>
      </w:r>
      <w:r w:rsidR="00765A3A" w:rsidRPr="00E72418">
        <w:t>ci</w:t>
      </w:r>
      <w:r w:rsidRPr="00E72418">
        <w:t xml:space="preserve">eraient des termes de cette </w:t>
      </w:r>
      <w:r w:rsidR="00A8758D" w:rsidRPr="00E72418">
        <w:t xml:space="preserve">meilleure </w:t>
      </w:r>
      <w:r w:rsidRPr="00E72418">
        <w:t>offre</w:t>
      </w:r>
      <w:r w:rsidRPr="00E72418">
        <w:rPr>
          <w:rStyle w:val="Appelnotedebasdep"/>
        </w:rPr>
        <w:footnoteReference w:id="525"/>
      </w:r>
      <w:r w:rsidRPr="00E72418">
        <w:t>. La clause expirait le 31 décembre 2014</w:t>
      </w:r>
      <w:r w:rsidRPr="00E72418">
        <w:rPr>
          <w:rStyle w:val="Appelnotedebasdep"/>
        </w:rPr>
        <w:footnoteReference w:id="526"/>
      </w:r>
      <w:r w:rsidRPr="00E72418">
        <w:t>.</w:t>
      </w:r>
    </w:p>
    <w:p w14:paraId="5C2B2B7A" w14:textId="382A69A1" w:rsidR="00B45C7B" w:rsidRPr="00E72418" w:rsidRDefault="00A8758D" w:rsidP="00CC4BA8">
      <w:pPr>
        <w:spacing w:line="276" w:lineRule="auto"/>
      </w:pPr>
      <w:r w:rsidRPr="00E72418">
        <w:t xml:space="preserve">Outre les incitants mobilisés </w:t>
      </w:r>
      <w:r w:rsidR="00B45C7B" w:rsidRPr="00E72418">
        <w:t xml:space="preserve">afin de </w:t>
      </w:r>
      <w:r w:rsidRPr="00E72418">
        <w:t>pousser</w:t>
      </w:r>
      <w:r w:rsidR="00B45C7B" w:rsidRPr="00E72418">
        <w:t xml:space="preserve"> les créanciers à accepter l’offre de 2005, la</w:t>
      </w:r>
      <w:r w:rsidRPr="00E72418">
        <w:t xml:space="preserve"> République argentine fit usage de menace en soulignant</w:t>
      </w:r>
      <w:r w:rsidR="00B45C7B" w:rsidRPr="00E72418">
        <w:t xml:space="preserve"> le risque </w:t>
      </w:r>
      <w:r w:rsidR="002A71EC" w:rsidRPr="00E72418">
        <w:t xml:space="preserve">à </w:t>
      </w:r>
      <w:r w:rsidR="00B45C7B" w:rsidRPr="00E72418">
        <w:t>ne pas y participer. Ainsi, dans une partie du prospectus intitulée « </w:t>
      </w:r>
      <w:r w:rsidR="00CC13A1" w:rsidRPr="00E72418">
        <w:t>r</w:t>
      </w:r>
      <w:r w:rsidR="00B45C7B" w:rsidRPr="00E72418">
        <w:t xml:space="preserve">isk factors », il </w:t>
      </w:r>
      <w:r w:rsidRPr="00E72418">
        <w:t>fut</w:t>
      </w:r>
      <w:r w:rsidR="00B45C7B" w:rsidRPr="00E72418">
        <w:t xml:space="preserve"> précisé que l</w:t>
      </w:r>
      <w:r w:rsidRPr="00E72418">
        <w:t xml:space="preserve">es titres non échangés </w:t>
      </w:r>
      <w:r w:rsidRPr="00E72418">
        <w:lastRenderedPageBreak/>
        <w:t>demeureraie</w:t>
      </w:r>
      <w:r w:rsidR="00B45C7B" w:rsidRPr="00E72418">
        <w:t>nt en souffrance, le pays n’ayant pas l’intention de les honorer</w:t>
      </w:r>
      <w:r w:rsidR="00B45C7B" w:rsidRPr="00E72418">
        <w:rPr>
          <w:rStyle w:val="Appelnotedebasdep"/>
        </w:rPr>
        <w:footnoteReference w:id="527"/>
      </w:r>
      <w:r w:rsidR="00B45C7B" w:rsidRPr="00E72418">
        <w:t>. L’Argentine insista sur le fait que l’offre proposée serait la dernière</w:t>
      </w:r>
      <w:r w:rsidR="00331721">
        <w:t>,</w:t>
      </w:r>
      <w:r w:rsidR="00B45C7B" w:rsidRPr="00E72418">
        <w:t xml:space="preserve"> cherchant par là à convaincre les créanciers </w:t>
      </w:r>
      <w:r w:rsidRPr="00E72418">
        <w:t>pensant</w:t>
      </w:r>
      <w:r w:rsidR="00B45C7B" w:rsidRPr="00E72418">
        <w:t xml:space="preserve"> qu’un faible taux de participation conduirait à une nouvelle offre. Dans le même souci de faire pression sur les créanciers, </w:t>
      </w:r>
      <w:r w:rsidRPr="00E72418">
        <w:t>le pays</w:t>
      </w:r>
      <w:r w:rsidR="00B45C7B" w:rsidRPr="00E72418">
        <w:t xml:space="preserve"> adopta la loi n° 26.017 du 10 février 2005, plus connue sous le nom de « </w:t>
      </w:r>
      <w:r w:rsidR="00AD46D2" w:rsidRPr="00E72418">
        <w:t>lock l</w:t>
      </w:r>
      <w:r w:rsidR="00B45C7B" w:rsidRPr="00E72418">
        <w:t>aw », interdisant au pouvoir exécutif de proposer une autre offre d’échange aux créanciers récalcitrants</w:t>
      </w:r>
      <w:r w:rsidR="00B45C7B" w:rsidRPr="00E72418">
        <w:rPr>
          <w:rStyle w:val="Appelnotedebasdep"/>
          <w:rFonts w:cs="Times New Roman"/>
          <w:szCs w:val="24"/>
        </w:rPr>
        <w:footnoteReference w:id="528"/>
      </w:r>
      <w:r w:rsidR="00B45C7B" w:rsidRPr="00E72418">
        <w:rPr>
          <w:rFonts w:cs="Times New Roman"/>
          <w:iCs/>
          <w:szCs w:val="24"/>
        </w:rPr>
        <w:t>.</w:t>
      </w:r>
    </w:p>
    <w:p w14:paraId="7F2FDC6E" w14:textId="05F514D0" w:rsidR="00B45C7B" w:rsidRPr="00E72418" w:rsidRDefault="00A8758D" w:rsidP="00CC4BA8">
      <w:pPr>
        <w:spacing w:line="276" w:lineRule="auto"/>
      </w:pPr>
      <w:r w:rsidRPr="00E72418">
        <w:t>Sur les plus de quatre-vingts</w:t>
      </w:r>
      <w:r w:rsidR="00B45C7B" w:rsidRPr="00E72418">
        <w:t xml:space="preserve"> milliards de dollars en souffrance</w:t>
      </w:r>
      <w:r w:rsidR="00B45C7B" w:rsidRPr="00E72418">
        <w:rPr>
          <w:rStyle w:val="Appelnotedebasdep"/>
        </w:rPr>
        <w:footnoteReference w:id="529"/>
      </w:r>
      <w:r w:rsidR="00507C14" w:rsidRPr="00E72418">
        <w:t>, un peu plus de soixante-deux</w:t>
      </w:r>
      <w:r w:rsidR="00B45C7B" w:rsidRPr="00E72418">
        <w:t xml:space="preserve"> milliards furent échangés ta</w:t>
      </w:r>
      <w:r w:rsidR="00507C14" w:rsidRPr="00E72418">
        <w:t xml:space="preserve">ndis que les créanciers des près de dix-neuf </w:t>
      </w:r>
      <w:r w:rsidR="00B45C7B" w:rsidRPr="00E72418">
        <w:t>milliards restants refusèrent l’offre de l’État débiteur</w:t>
      </w:r>
      <w:r w:rsidR="00B45C7B" w:rsidRPr="00E72418">
        <w:rPr>
          <w:rStyle w:val="Appelnotedebasdep"/>
        </w:rPr>
        <w:footnoteReference w:id="530"/>
      </w:r>
      <w:r w:rsidR="00507C14" w:rsidRPr="00E72418">
        <w:t>. Septante-six</w:t>
      </w:r>
      <w:r w:rsidR="008E0471" w:rsidRPr="00E72418">
        <w:t xml:space="preserve"> pour</w:t>
      </w:r>
      <w:r w:rsidR="00235356" w:rsidRPr="00E72418">
        <w:t xml:space="preserve"> cent</w:t>
      </w:r>
      <w:r w:rsidR="00B45C7B" w:rsidRPr="00E72418">
        <w:t xml:space="preserve"> des créanciers de l’Argentine avaient ainsi accepté l’échange proposé à son échéance en juin 2005. </w:t>
      </w:r>
      <w:r w:rsidR="00B45C7B" w:rsidRPr="00E72418">
        <w:rPr>
          <w:szCs w:val="24"/>
        </w:rPr>
        <w:t xml:space="preserve">Quoique l’échange fut suivi par un nombre </w:t>
      </w:r>
      <w:r w:rsidR="0098290A" w:rsidRPr="00E72418">
        <w:rPr>
          <w:szCs w:val="24"/>
        </w:rPr>
        <w:t xml:space="preserve">important </w:t>
      </w:r>
      <w:r w:rsidR="00B45C7B" w:rsidRPr="00E72418">
        <w:rPr>
          <w:szCs w:val="24"/>
        </w:rPr>
        <w:t xml:space="preserve">de créanciers, il fut </w:t>
      </w:r>
      <w:r w:rsidR="0098290A" w:rsidRPr="00E72418">
        <w:rPr>
          <w:szCs w:val="24"/>
        </w:rPr>
        <w:t>vertement</w:t>
      </w:r>
      <w:r w:rsidR="00B45C7B" w:rsidRPr="00E72418">
        <w:rPr>
          <w:szCs w:val="24"/>
        </w:rPr>
        <w:t xml:space="preserve"> critiqué</w:t>
      </w:r>
      <w:r w:rsidR="0098290A" w:rsidRPr="00E72418">
        <w:rPr>
          <w:szCs w:val="24"/>
        </w:rPr>
        <w:t xml:space="preserve"> par certains. L</w:t>
      </w:r>
      <w:r w:rsidR="00B45C7B" w:rsidRPr="00E72418">
        <w:rPr>
          <w:szCs w:val="24"/>
        </w:rPr>
        <w:t xml:space="preserve">e pays ayant connu un mieux-être économique entre 2003 et 2005, il </w:t>
      </w:r>
      <w:r w:rsidR="0098290A" w:rsidRPr="00E72418">
        <w:rPr>
          <w:szCs w:val="24"/>
        </w:rPr>
        <w:t xml:space="preserve">lui </w:t>
      </w:r>
      <w:r w:rsidR="00B45C7B" w:rsidRPr="00E72418">
        <w:rPr>
          <w:szCs w:val="24"/>
        </w:rPr>
        <w:t>fut reproché que l’offre d’échange proposée et l’importante décote p</w:t>
      </w:r>
      <w:r w:rsidR="0098290A" w:rsidRPr="00E72418">
        <w:rPr>
          <w:szCs w:val="24"/>
        </w:rPr>
        <w:t>révue ne coïncidaient pas avec s</w:t>
      </w:r>
      <w:r w:rsidR="00B45C7B" w:rsidRPr="00E72418">
        <w:rPr>
          <w:szCs w:val="24"/>
        </w:rPr>
        <w:t>es réelle</w:t>
      </w:r>
      <w:r w:rsidR="0098290A" w:rsidRPr="00E72418">
        <w:rPr>
          <w:szCs w:val="24"/>
        </w:rPr>
        <w:t>s</w:t>
      </w:r>
      <w:r w:rsidR="00B45C7B" w:rsidRPr="00E72418">
        <w:rPr>
          <w:szCs w:val="24"/>
        </w:rPr>
        <w:t xml:space="preserve"> </w:t>
      </w:r>
      <w:r w:rsidR="0098290A" w:rsidRPr="00E72418">
        <w:rPr>
          <w:szCs w:val="24"/>
        </w:rPr>
        <w:t>capacités de paiement</w:t>
      </w:r>
      <w:r w:rsidR="00B45C7B" w:rsidRPr="00E72418">
        <w:rPr>
          <w:rStyle w:val="Appelnotedebasdep"/>
          <w:szCs w:val="24"/>
        </w:rPr>
        <w:footnoteReference w:id="531"/>
      </w:r>
      <w:r w:rsidR="00B45C7B" w:rsidRPr="00E72418">
        <w:rPr>
          <w:szCs w:val="24"/>
        </w:rPr>
        <w:t>. Certains, non convaincus par l’argument de l’incapacité du pays à honorer ses dettes, lui reprochaient une absence de volonté de ce faire</w:t>
      </w:r>
      <w:r w:rsidR="00B45C7B" w:rsidRPr="00E72418">
        <w:rPr>
          <w:rStyle w:val="Appelnotedebasdep"/>
          <w:szCs w:val="24"/>
        </w:rPr>
        <w:footnoteReference w:id="532"/>
      </w:r>
      <w:r w:rsidR="00B45C7B" w:rsidRPr="00E72418">
        <w:rPr>
          <w:szCs w:val="24"/>
        </w:rPr>
        <w:t>.</w:t>
      </w:r>
    </w:p>
    <w:p w14:paraId="6A28647D" w14:textId="77777777" w:rsidR="00B45C7B" w:rsidRPr="00E72418" w:rsidRDefault="00B45C7B" w:rsidP="00423B60"/>
    <w:p w14:paraId="2AA40B6B" w14:textId="0D6781AE" w:rsidR="00B45C7B" w:rsidRPr="00E72418" w:rsidRDefault="007F038F" w:rsidP="00CC4BA8">
      <w:pPr>
        <w:spacing w:line="276" w:lineRule="auto"/>
      </w:pPr>
      <w:r w:rsidRPr="00E72418">
        <w:rPr>
          <w:b/>
        </w:rPr>
        <w:t>91</w:t>
      </w:r>
      <w:r w:rsidR="007E31CD" w:rsidRPr="00E72418">
        <w:rPr>
          <w:b/>
        </w:rPr>
        <w:t xml:space="preserve">. </w:t>
      </w:r>
      <w:r w:rsidR="00B45C7B" w:rsidRPr="00E72418">
        <w:rPr>
          <w:b/>
        </w:rPr>
        <w:t xml:space="preserve">L’échange de 2010 – </w:t>
      </w:r>
      <w:r w:rsidR="00B45C7B" w:rsidRPr="00E72418">
        <w:t>La République argentine, soucieuse d’arriver à un taux de participation plus imp</w:t>
      </w:r>
      <w:r w:rsidR="0098290A" w:rsidRPr="00E72418">
        <w:t xml:space="preserve">ortant que celui atteint avec le premier </w:t>
      </w:r>
      <w:r w:rsidR="00B45C7B" w:rsidRPr="00E72418">
        <w:t>échange, fit en avril 2010 une seconde offre d’échange aux modalités similaires</w:t>
      </w:r>
      <w:r w:rsidR="0098290A" w:rsidRPr="00E72418">
        <w:t xml:space="preserve"> à celles de 2005</w:t>
      </w:r>
      <w:r w:rsidR="00B45C7B" w:rsidRPr="00E72418">
        <w:t xml:space="preserve">. </w:t>
      </w:r>
    </w:p>
    <w:p w14:paraId="7256D2F2" w14:textId="0D5C79F0" w:rsidR="00B45C7B" w:rsidRPr="00E72418" w:rsidRDefault="00F10434" w:rsidP="00CC4BA8">
      <w:pPr>
        <w:spacing w:line="276" w:lineRule="auto"/>
      </w:pPr>
      <w:r w:rsidRPr="00E72418">
        <w:t xml:space="preserve">La </w:t>
      </w:r>
      <w:r w:rsidR="00AD46D2" w:rsidRPr="00E72418">
        <w:rPr>
          <w:i/>
        </w:rPr>
        <w:t>lock l</w:t>
      </w:r>
      <w:r w:rsidR="00B45C7B" w:rsidRPr="00E72418">
        <w:rPr>
          <w:i/>
        </w:rPr>
        <w:t>aw</w:t>
      </w:r>
      <w:r w:rsidR="00B45C7B" w:rsidRPr="00E72418">
        <w:t xml:space="preserve"> interdisant tout échange postérieur à celui proposé en 2005, la République argentine adopta fin 2009 la loi n° 26.547 afin de suspendre temporairement cette loi restrictive. Cette nouvelle législation réitéra la règle selon</w:t>
      </w:r>
      <w:r w:rsidR="00E22B8B" w:rsidRPr="00E72418">
        <w:t xml:space="preserve"> laquelle il était interdit au G</w:t>
      </w:r>
      <w:r w:rsidR="00B45C7B" w:rsidRPr="00E72418">
        <w:t>ouvernement argentin d’offrir aux créanciers récalcitrants de meilleur</w:t>
      </w:r>
      <w:r w:rsidR="0004522C" w:rsidRPr="00E72418">
        <w:t>e</w:t>
      </w:r>
      <w:r w:rsidR="00B45C7B" w:rsidRPr="00E72418">
        <w:t>s modalités que celles offertes aux créanciers acceptant les échanges</w:t>
      </w:r>
      <w:r w:rsidR="00B45C7B" w:rsidRPr="00E72418">
        <w:rPr>
          <w:rStyle w:val="Appelnotedebasdep"/>
        </w:rPr>
        <w:footnoteReference w:id="533"/>
      </w:r>
      <w:r w:rsidR="00B45C7B" w:rsidRPr="00E72418">
        <w:t>.</w:t>
      </w:r>
    </w:p>
    <w:p w14:paraId="07E78E45" w14:textId="77777777" w:rsidR="00B45C7B" w:rsidRPr="00E72418" w:rsidRDefault="00B45C7B" w:rsidP="00CC4BA8">
      <w:pPr>
        <w:spacing w:line="276" w:lineRule="auto"/>
      </w:pPr>
      <w:r w:rsidRPr="00E72418">
        <w:t>Comme lors de l’échange de 2005,</w:t>
      </w:r>
      <w:r w:rsidRPr="00E72418">
        <w:rPr>
          <w:b/>
        </w:rPr>
        <w:t xml:space="preserve"> </w:t>
      </w:r>
      <w:r w:rsidRPr="00E72418">
        <w:t xml:space="preserve">une disposition reprise dans </w:t>
      </w:r>
      <w:r w:rsidR="0004522C" w:rsidRPr="00E72418">
        <w:t>le</w:t>
      </w:r>
      <w:r w:rsidRPr="00E72418">
        <w:t xml:space="preserve"> prospe</w:t>
      </w:r>
      <w:r w:rsidR="0004522C" w:rsidRPr="00E72418">
        <w:t xml:space="preserve">ctus lié au nouvel </w:t>
      </w:r>
      <w:r w:rsidRPr="00E72418">
        <w:t xml:space="preserve">échange </w:t>
      </w:r>
      <w:r w:rsidR="0004522C" w:rsidRPr="00E72418">
        <w:t>proposé témoignait</w:t>
      </w:r>
      <w:r w:rsidRPr="00E72418">
        <w:t xml:space="preserve"> de la volonté du pays de forcer l’acceptatio</w:t>
      </w:r>
      <w:r w:rsidR="0098290A" w:rsidRPr="00E72418">
        <w:t xml:space="preserve">n des créanciers ayant refusé le premier </w:t>
      </w:r>
      <w:r w:rsidRPr="00E72418">
        <w:t xml:space="preserve">échange et de sa volonté à ne pas céder </w:t>
      </w:r>
      <w:r w:rsidR="0098290A" w:rsidRPr="00E72418">
        <w:t>aux pressions des créanciers, fû</w:t>
      </w:r>
      <w:r w:rsidRPr="00E72418">
        <w:t xml:space="preserve">t-elle </w:t>
      </w:r>
      <w:r w:rsidRPr="00E72418">
        <w:lastRenderedPageBreak/>
        <w:t>exercée dans les pré</w:t>
      </w:r>
      <w:r w:rsidR="0004079A" w:rsidRPr="00E72418">
        <w:t>toires. Il fut ainsi précisé qu’</w:t>
      </w:r>
      <w:r w:rsidRPr="00E72418">
        <w:t xml:space="preserve"> « </w:t>
      </w:r>
      <w:r w:rsidRPr="00E72418">
        <w:rPr>
          <w:rFonts w:ascii="Times New Roman" w:hAnsi="Times New Roman" w:cs="Times New Roman"/>
        </w:rPr>
        <w:t>[i]</w:t>
      </w:r>
      <w:r w:rsidRPr="00E72418">
        <w:t>n light of its financial and legal constraints, Argentina does not expect to resume payments on any Eligible Securities in default that remain outstanding following the expiration of the Invitation. Argentina has opposed vigorously, and intends to continue to oppose, attempts by holders who did not participate in its prior exchange offers to collect on its defaulted debt through administrative, litigation, arbitral and other legal proceedings against Argentina »</w:t>
      </w:r>
      <w:r w:rsidRPr="00E72418">
        <w:rPr>
          <w:rStyle w:val="Appelnotedebasdep"/>
        </w:rPr>
        <w:footnoteReference w:id="534"/>
      </w:r>
      <w:r w:rsidRPr="00E72418">
        <w:t>.</w:t>
      </w:r>
    </w:p>
    <w:p w14:paraId="5949A663" w14:textId="782F4060" w:rsidR="00B45C7B" w:rsidRPr="00E72418" w:rsidRDefault="00B45C7B" w:rsidP="00CC4BA8">
      <w:pPr>
        <w:spacing w:line="276" w:lineRule="auto"/>
      </w:pPr>
      <w:r w:rsidRPr="00E72418">
        <w:t>Le second échange proposé par la République argentine fut clos en décembre 2010 avec u</w:t>
      </w:r>
      <w:r w:rsidR="0004522C" w:rsidRPr="00E72418">
        <w:t>n taux de participation de près de soixante-huit</w:t>
      </w:r>
      <w:r w:rsidR="006637ED" w:rsidRPr="00E72418">
        <w:t xml:space="preserve"> pour</w:t>
      </w:r>
      <w:r w:rsidR="00235356" w:rsidRPr="00E72418">
        <w:t xml:space="preserve"> cent</w:t>
      </w:r>
      <w:r w:rsidRPr="00E72418">
        <w:t xml:space="preserve"> des créanciers n’ayan</w:t>
      </w:r>
      <w:r w:rsidR="00765A3A" w:rsidRPr="00E72418">
        <w:t>t pas échangé leur</w:t>
      </w:r>
      <w:r w:rsidR="0004522C" w:rsidRPr="00E72418">
        <w:t>s titres</w:t>
      </w:r>
      <w:r w:rsidR="00765A3A" w:rsidRPr="00E72418">
        <w:t xml:space="preserve"> jusque-</w:t>
      </w:r>
      <w:r w:rsidRPr="00E72418">
        <w:t xml:space="preserve">là, </w:t>
      </w:r>
      <w:r w:rsidR="0004522C" w:rsidRPr="00E72418">
        <w:t>plus de douze</w:t>
      </w:r>
      <w:r w:rsidRPr="00E72418">
        <w:t xml:space="preserve"> milliards de dollars de dette étant ainsi échangés</w:t>
      </w:r>
      <w:r w:rsidRPr="00E72418">
        <w:rPr>
          <w:rStyle w:val="Appelnotedebasdep"/>
        </w:rPr>
        <w:footnoteReference w:id="535"/>
      </w:r>
      <w:r w:rsidRPr="00E72418">
        <w:t xml:space="preserve">. Concrètement, si l’échange de 2005 </w:t>
      </w:r>
      <w:r w:rsidR="006637ED" w:rsidRPr="00E72418">
        <w:t>avait permis de re</w:t>
      </w:r>
      <w:r w:rsidR="0004522C" w:rsidRPr="00E72418">
        <w:t>structurer septante-six</w:t>
      </w:r>
      <w:r w:rsidR="006637ED" w:rsidRPr="00E72418">
        <w:t xml:space="preserve"> pour</w:t>
      </w:r>
      <w:r w:rsidR="00235356" w:rsidRPr="00E72418">
        <w:t xml:space="preserve"> cent</w:t>
      </w:r>
      <w:r w:rsidRPr="00E72418">
        <w:t xml:space="preserve"> de la dette</w:t>
      </w:r>
      <w:r w:rsidR="0004522C" w:rsidRPr="00E72418">
        <w:t xml:space="preserve"> argentine</w:t>
      </w:r>
      <w:r w:rsidRPr="00E72418">
        <w:t>, l’échang</w:t>
      </w:r>
      <w:r w:rsidR="0004522C" w:rsidRPr="00E72418">
        <w:t>e de 2010 permit d’atteindre nonante et un</w:t>
      </w:r>
      <w:r w:rsidR="006637ED" w:rsidRPr="00E72418">
        <w:t xml:space="preserve"> pour</w:t>
      </w:r>
      <w:r w:rsidR="00235356" w:rsidRPr="00E72418">
        <w:t xml:space="preserve"> cent</w:t>
      </w:r>
      <w:r w:rsidRPr="00E72418">
        <w:t>.</w:t>
      </w:r>
    </w:p>
    <w:p w14:paraId="7980FC14" w14:textId="77777777" w:rsidR="00B45C7B" w:rsidRPr="00E72418" w:rsidRDefault="00B45C7B" w:rsidP="00423B60"/>
    <w:p w14:paraId="64537C7B" w14:textId="57298375" w:rsidR="00B45C7B" w:rsidRPr="00E72418" w:rsidRDefault="000764CE" w:rsidP="00CC4BA8">
      <w:pPr>
        <w:pStyle w:val="DD"/>
        <w:spacing w:line="276" w:lineRule="auto"/>
      </w:pPr>
      <w:bookmarkStart w:id="114" w:name="_Toc59280904"/>
      <w:bookmarkStart w:id="115" w:name="_Toc84540892"/>
      <w:r w:rsidRPr="00E72418">
        <w:t xml:space="preserve">Section 3 : </w:t>
      </w:r>
      <w:r w:rsidR="00B45C7B" w:rsidRPr="00E72418">
        <w:t>Les procès</w:t>
      </w:r>
      <w:bookmarkEnd w:id="114"/>
      <w:bookmarkEnd w:id="115"/>
    </w:p>
    <w:p w14:paraId="463E7715" w14:textId="77777777" w:rsidR="00423B60" w:rsidRPr="00E72418" w:rsidRDefault="00423B60" w:rsidP="00423B60"/>
    <w:p w14:paraId="08ECCBD6" w14:textId="4A6FFE5F" w:rsidR="00B45C7B" w:rsidRPr="00E72418" w:rsidRDefault="007F038F" w:rsidP="00CC4BA8">
      <w:pPr>
        <w:spacing w:line="276" w:lineRule="auto"/>
      </w:pPr>
      <w:r w:rsidRPr="00E72418">
        <w:rPr>
          <w:b/>
        </w:rPr>
        <w:t>92</w:t>
      </w:r>
      <w:r w:rsidR="007E31CD" w:rsidRPr="00E72418">
        <w:rPr>
          <w:b/>
        </w:rPr>
        <w:t xml:space="preserve">. </w:t>
      </w:r>
      <w:r w:rsidR="00B45C7B" w:rsidRPr="00E72418">
        <w:rPr>
          <w:b/>
        </w:rPr>
        <w:t xml:space="preserve">Des créanciers récalcitrants – </w:t>
      </w:r>
      <w:r w:rsidR="00B45C7B" w:rsidRPr="00E72418">
        <w:t>S’il est général</w:t>
      </w:r>
      <w:r w:rsidR="00765A3A" w:rsidRPr="00E72418">
        <w:t>ement considéré qu’une restruct</w:t>
      </w:r>
      <w:r w:rsidR="00B45C7B" w:rsidRPr="00E72418">
        <w:t xml:space="preserve">uration est réussie lorsqu’un </w:t>
      </w:r>
      <w:r w:rsidR="00B45C7B" w:rsidRPr="00E72418">
        <w:rPr>
          <w:szCs w:val="24"/>
        </w:rPr>
        <w:t>É</w:t>
      </w:r>
      <w:r w:rsidR="00B45C7B" w:rsidRPr="00E72418">
        <w:t>tat débi</w:t>
      </w:r>
      <w:r w:rsidR="0004522C" w:rsidRPr="00E72418">
        <w:t>teur parvient à échanger nonante</w:t>
      </w:r>
      <w:r w:rsidR="006637ED" w:rsidRPr="00E72418">
        <w:t xml:space="preserve"> pour</w:t>
      </w:r>
      <w:r w:rsidR="00235356" w:rsidRPr="00E72418">
        <w:t xml:space="preserve"> cent</w:t>
      </w:r>
      <w:r w:rsidR="00B45C7B" w:rsidRPr="00E72418">
        <w:t xml:space="preserve"> ou plus de sa dette, dans le cas argentin, cette réussite est relative au regard des importants contentieux intentés par des créanciers récalcitrants. Ainsi, des </w:t>
      </w:r>
      <w:r w:rsidR="0004522C" w:rsidRPr="00E72418">
        <w:t xml:space="preserve">créanciers totalisant </w:t>
      </w:r>
      <w:r w:rsidR="00331721">
        <w:t>environ</w:t>
      </w:r>
      <w:r w:rsidR="0004522C" w:rsidRPr="00E72418">
        <w:t xml:space="preserve"> dix</w:t>
      </w:r>
      <w:r w:rsidR="00B45C7B" w:rsidRPr="00E72418">
        <w:t xml:space="preserve"> milliards de dette refusèrent les échanges de 2005 et 2010 préférant, pour nombre d’entre eux, s’engager dans des contentieux avec le pays afin d’obtenir le paiement de la valeur complète des </w:t>
      </w:r>
      <w:r w:rsidR="0004522C" w:rsidRPr="00E72418">
        <w:t>titres détenu</w:t>
      </w:r>
      <w:r w:rsidR="00B45C7B" w:rsidRPr="00E72418">
        <w:t>s</w:t>
      </w:r>
      <w:r w:rsidR="00B45C7B" w:rsidRPr="00E72418">
        <w:rPr>
          <w:rStyle w:val="Appelnotedebasdep"/>
        </w:rPr>
        <w:footnoteReference w:id="536"/>
      </w:r>
      <w:r w:rsidR="00B45C7B" w:rsidRPr="00E72418">
        <w:t xml:space="preserve">. La propension </w:t>
      </w:r>
      <w:r w:rsidR="003C6998" w:rsidRPr="00E72418">
        <w:t xml:space="preserve">au contentieux </w:t>
      </w:r>
      <w:r w:rsidR="00B45C7B" w:rsidRPr="00E72418">
        <w:t>de certains créanciers se trouva accrue, d’une part, par la tardivité des mesures prises par l’</w:t>
      </w:r>
      <w:r w:rsidR="00B45C7B" w:rsidRPr="00E72418">
        <w:rPr>
          <w:szCs w:val="24"/>
        </w:rPr>
        <w:t>É</w:t>
      </w:r>
      <w:r w:rsidR="00B45C7B" w:rsidRPr="00E72418">
        <w:t>tat argentin, d’autre part, par so</w:t>
      </w:r>
      <w:r w:rsidR="0004522C" w:rsidRPr="00E72418">
        <w:t>n attitude agressive lors</w:t>
      </w:r>
      <w:r w:rsidR="00B45C7B" w:rsidRPr="00E72418">
        <w:t xml:space="preserve"> de la gestion de la crise et du défaut</w:t>
      </w:r>
      <w:r w:rsidR="00B45C7B" w:rsidRPr="00E72418">
        <w:rPr>
          <w:rStyle w:val="Appelnotedebasdep"/>
        </w:rPr>
        <w:footnoteReference w:id="537"/>
      </w:r>
      <w:r w:rsidR="00B45C7B" w:rsidRPr="00E72418">
        <w:t>.</w:t>
      </w:r>
    </w:p>
    <w:p w14:paraId="7F54766D" w14:textId="77777777" w:rsidR="00B45C7B" w:rsidRPr="00E72418" w:rsidRDefault="00B45C7B" w:rsidP="00CC4BA8">
      <w:pPr>
        <w:spacing w:line="276" w:lineRule="auto"/>
      </w:pPr>
      <w:r w:rsidRPr="00E72418">
        <w:rPr>
          <w:rFonts w:cs="Times New Roman"/>
          <w:szCs w:val="24"/>
        </w:rPr>
        <w:t xml:space="preserve">L’une des premières décisions qui servit de précédent aux contentieux postérieurs introduits à l’encontre de l’Argentine est celle rendue en avril 2003 dans l’affaire </w:t>
      </w:r>
      <w:r w:rsidRPr="00E72418">
        <w:rPr>
          <w:rFonts w:cs="Times New Roman"/>
          <w:i/>
          <w:szCs w:val="24"/>
          <w:shd w:val="clear" w:color="auto" w:fill="FFFFFF"/>
        </w:rPr>
        <w:t>Lightwater Corp. v. Republic of Argentina</w:t>
      </w:r>
      <w:r w:rsidRPr="00E72418">
        <w:rPr>
          <w:rStyle w:val="Appelnotedebasdep"/>
          <w:rFonts w:cs="Times New Roman"/>
          <w:szCs w:val="24"/>
          <w:shd w:val="clear" w:color="auto" w:fill="FFFFFF"/>
        </w:rPr>
        <w:footnoteReference w:id="538"/>
      </w:r>
      <w:r w:rsidRPr="00E72418">
        <w:rPr>
          <w:rFonts w:cs="Times New Roman"/>
          <w:szCs w:val="24"/>
          <w:shd w:val="clear" w:color="auto" w:fill="FFFFFF"/>
        </w:rPr>
        <w:t xml:space="preserve">. Très simplement, dans sa décision, la </w:t>
      </w:r>
      <w:r w:rsidRPr="00C6627B">
        <w:rPr>
          <w:rFonts w:cs="Times New Roman"/>
          <w:shd w:val="clear" w:color="auto" w:fill="FFFFFF"/>
        </w:rPr>
        <w:t xml:space="preserve">United States District Court for the Southern District of New York </w:t>
      </w:r>
      <w:r w:rsidRPr="00E72418">
        <w:rPr>
          <w:rFonts w:cs="Times New Roman"/>
          <w:szCs w:val="24"/>
          <w:shd w:val="clear" w:color="auto" w:fill="FFFFFF"/>
        </w:rPr>
        <w:t xml:space="preserve">retint que </w:t>
      </w:r>
      <w:r w:rsidRPr="00E72418">
        <w:t>«</w:t>
      </w:r>
      <w:r w:rsidRPr="00E72418">
        <w:rPr>
          <w:rFonts w:cs="Times New Roman"/>
          <w:szCs w:val="24"/>
          <w:shd w:val="clear" w:color="auto" w:fill="FFFFFF"/>
        </w:rPr>
        <w:t xml:space="preserve"> </w:t>
      </w:r>
      <w:r w:rsidRPr="00E72418">
        <w:rPr>
          <w:rFonts w:ascii="Times New Roman" w:hAnsi="Times New Roman" w:cs="Times New Roman"/>
        </w:rPr>
        <w:t>[t]</w:t>
      </w:r>
      <w:r w:rsidRPr="00E72418">
        <w:t>he obligations of the Republic on the bonds involved in these lawsuits is unconditional », « </w:t>
      </w:r>
      <w:r w:rsidRPr="00E72418">
        <w:rPr>
          <w:rFonts w:ascii="Times New Roman" w:hAnsi="Times New Roman" w:cs="Times New Roman"/>
        </w:rPr>
        <w:t>[s]</w:t>
      </w:r>
      <w:r w:rsidRPr="00E72418">
        <w:t xml:space="preserve">overeign immunity has been waived », « </w:t>
      </w:r>
      <w:r w:rsidRPr="00E72418">
        <w:rPr>
          <w:rFonts w:ascii="Times New Roman" w:hAnsi="Times New Roman" w:cs="Times New Roman"/>
        </w:rPr>
        <w:t>[t]</w:t>
      </w:r>
      <w:r w:rsidRPr="00E72418">
        <w:t xml:space="preserve">he Republic defaulted on the bonds when it ceased to pay the interest » et « </w:t>
      </w:r>
      <w:r w:rsidRPr="00E72418">
        <w:rPr>
          <w:rFonts w:ascii="Times New Roman" w:hAnsi="Times New Roman" w:cs="Times New Roman"/>
        </w:rPr>
        <w:t>[t]</w:t>
      </w:r>
      <w:r w:rsidRPr="00E72418">
        <w:t xml:space="preserve">his would seem to mean that the Republic now owes </w:t>
      </w:r>
      <w:r w:rsidRPr="00E72418">
        <w:rPr>
          <w:rFonts w:ascii="Times New Roman" w:hAnsi="Times New Roman" w:cs="Times New Roman"/>
        </w:rPr>
        <w:t xml:space="preserve">[…] </w:t>
      </w:r>
      <w:r w:rsidRPr="00E72418">
        <w:t>principal and accrued interest »</w:t>
      </w:r>
      <w:r w:rsidRPr="00E72418">
        <w:rPr>
          <w:rStyle w:val="Appelnotedebasdep"/>
        </w:rPr>
        <w:footnoteReference w:id="539"/>
      </w:r>
      <w:r w:rsidRPr="00E72418">
        <w:t>.</w:t>
      </w:r>
    </w:p>
    <w:p w14:paraId="2FF9991D" w14:textId="2C7BAD8B" w:rsidR="00B45C7B" w:rsidRPr="00E72418" w:rsidRDefault="007F038F" w:rsidP="00CC4BA8">
      <w:pPr>
        <w:spacing w:line="276" w:lineRule="auto"/>
      </w:pPr>
      <w:r w:rsidRPr="00E72418">
        <w:rPr>
          <w:b/>
        </w:rPr>
        <w:lastRenderedPageBreak/>
        <w:t>93</w:t>
      </w:r>
      <w:r w:rsidR="007E31CD" w:rsidRPr="00E72418">
        <w:rPr>
          <w:b/>
        </w:rPr>
        <w:t xml:space="preserve">. </w:t>
      </w:r>
      <w:r w:rsidR="00B45C7B" w:rsidRPr="00E72418">
        <w:rPr>
          <w:b/>
        </w:rPr>
        <w:t>Le</w:t>
      </w:r>
      <w:r w:rsidR="00B45C7B" w:rsidRPr="00E72418">
        <w:rPr>
          <w:b/>
          <w:i/>
        </w:rPr>
        <w:t xml:space="preserve"> Fiscal Agency Agreement</w:t>
      </w:r>
      <w:r w:rsidR="00B45C7B" w:rsidRPr="00E72418">
        <w:rPr>
          <w:b/>
        </w:rPr>
        <w:t xml:space="preserve"> de 1994 –</w:t>
      </w:r>
      <w:r w:rsidR="00B45C7B" w:rsidRPr="00E72418">
        <w:t xml:space="preserve"> Les créanciers n’ayant pas accepté les restructurations proposées et ne recevant ainsi plus aucun paiement du pays décidèrent d’agir en justice contre la République argentine pour violation contractuelle relative aux obligations en défaut soumises au </w:t>
      </w:r>
      <w:r w:rsidR="00B45C7B" w:rsidRPr="00E72418">
        <w:rPr>
          <w:i/>
        </w:rPr>
        <w:t>Fiscal Agency Agreement</w:t>
      </w:r>
      <w:r w:rsidR="00B45C7B" w:rsidRPr="00E72418">
        <w:t xml:space="preserve"> de 1994</w:t>
      </w:r>
      <w:r w:rsidR="00B45C7B" w:rsidRPr="00E72418">
        <w:rPr>
          <w:rStyle w:val="Appelnotedebasdep"/>
        </w:rPr>
        <w:footnoteReference w:id="540"/>
      </w:r>
      <w:r w:rsidR="00B45C7B" w:rsidRPr="00E72418">
        <w:t>.</w:t>
      </w:r>
    </w:p>
    <w:p w14:paraId="1573AB21" w14:textId="77777777" w:rsidR="00B45C7B" w:rsidRPr="00E72418" w:rsidRDefault="00B45C7B" w:rsidP="00CC4BA8">
      <w:pPr>
        <w:spacing w:line="276" w:lineRule="auto"/>
        <w:rPr>
          <w:rFonts w:cs="Times New Roman"/>
          <w:szCs w:val="24"/>
        </w:rPr>
      </w:pPr>
      <w:r w:rsidRPr="00E72418">
        <w:t xml:space="preserve">Ce </w:t>
      </w:r>
      <w:r w:rsidRPr="00E72418">
        <w:rPr>
          <w:i/>
        </w:rPr>
        <w:t>Fiscal Agency Agreement</w:t>
      </w:r>
      <w:r w:rsidRPr="00E72418">
        <w:t xml:space="preserve"> contient différentes clauses qui jouèrent un rôle important dans les contentieux introduit</w:t>
      </w:r>
      <w:r w:rsidR="00506276" w:rsidRPr="00E72418">
        <w:t>s</w:t>
      </w:r>
      <w:r w:rsidRPr="00E72418">
        <w:t xml:space="preserve"> à l’encontre du pays débiteur. Ainsi, notamment, l</w:t>
      </w:r>
      <w:r w:rsidRPr="00E72418">
        <w:rPr>
          <w:szCs w:val="24"/>
        </w:rPr>
        <w:t xml:space="preserve">’article 22 </w:t>
      </w:r>
      <w:r w:rsidR="00506276" w:rsidRPr="00E72418">
        <w:rPr>
          <w:szCs w:val="24"/>
        </w:rPr>
        <w:t>reprend</w:t>
      </w:r>
      <w:r w:rsidRPr="00E72418">
        <w:rPr>
          <w:szCs w:val="24"/>
        </w:rPr>
        <w:t xml:space="preserve"> une clause de juridiction désignant comme juridictions compétentes « any state or federal court in The City of New York »</w:t>
      </w:r>
      <w:r w:rsidRPr="00E72418">
        <w:rPr>
          <w:rStyle w:val="Appelnotedebasdep"/>
          <w:szCs w:val="24"/>
        </w:rPr>
        <w:footnoteReference w:id="541"/>
      </w:r>
      <w:r w:rsidRPr="00E72418">
        <w:rPr>
          <w:szCs w:val="24"/>
        </w:rPr>
        <w:t xml:space="preserve">. Le même article dispose également que « </w:t>
      </w:r>
      <w:r w:rsidRPr="00E72418">
        <w:rPr>
          <w:rFonts w:ascii="Times New Roman" w:hAnsi="Times New Roman" w:cs="Times New Roman"/>
        </w:rPr>
        <w:t>[t]</w:t>
      </w:r>
      <w:r w:rsidRPr="00E72418">
        <w:rPr>
          <w:szCs w:val="24"/>
        </w:rPr>
        <w:t xml:space="preserve">he Republic hereby irrevocably waives and agrees not to plead any immunity from the jurisdiction of any such court to which it might otherwise be entitled in any action arising out of or based on the Securities or this Agreement by the holder of any Security </w:t>
      </w:r>
      <w:r w:rsidRPr="00E72418">
        <w:t>».</w:t>
      </w:r>
      <w:r w:rsidRPr="00E72418">
        <w:rPr>
          <w:szCs w:val="24"/>
        </w:rPr>
        <w:t xml:space="preserve"> </w:t>
      </w:r>
      <w:r w:rsidRPr="00E72418">
        <w:rPr>
          <w:rFonts w:cs="Times New Roman"/>
          <w:szCs w:val="24"/>
        </w:rPr>
        <w:t xml:space="preserve">En vertu de l’article 23 du </w:t>
      </w:r>
      <w:r w:rsidRPr="00E72418">
        <w:rPr>
          <w:rFonts w:cs="Times New Roman"/>
          <w:i/>
          <w:szCs w:val="24"/>
        </w:rPr>
        <w:t>Fiscal Agency Agreement</w:t>
      </w:r>
      <w:r w:rsidRPr="00E72418">
        <w:rPr>
          <w:rFonts w:cs="Times New Roman"/>
          <w:szCs w:val="24"/>
        </w:rPr>
        <w:t xml:space="preserve">, « </w:t>
      </w:r>
      <w:r w:rsidRPr="00E72418">
        <w:rPr>
          <w:rFonts w:ascii="Times New Roman" w:hAnsi="Times New Roman" w:cs="Times New Roman"/>
        </w:rPr>
        <w:t>[t]</w:t>
      </w:r>
      <w:r w:rsidRPr="00E72418">
        <w:rPr>
          <w:rFonts w:cs="Times New Roman"/>
          <w:szCs w:val="24"/>
        </w:rPr>
        <w:t>his Agreement shall be governed by, and interpreted in accordance with, the laws of the State of New York ».</w:t>
      </w:r>
    </w:p>
    <w:p w14:paraId="1178D04E" w14:textId="409C814C" w:rsidR="00B45C7B" w:rsidRPr="00E72418" w:rsidRDefault="00B5648D" w:rsidP="00CC4BA8">
      <w:pPr>
        <w:spacing w:line="276" w:lineRule="auto"/>
      </w:pPr>
      <w:r w:rsidRPr="00E72418">
        <w:t>À</w:t>
      </w:r>
      <w:r w:rsidR="00B45C7B" w:rsidRPr="00E72418">
        <w:rPr>
          <w:rFonts w:cs="Times New Roman"/>
          <w:szCs w:val="24"/>
        </w:rPr>
        <w:t xml:space="preserve"> côté de ces clauses de juridiction et de loi applicable, c’est essentiellement la clause dite « pari passu » contenue dans le </w:t>
      </w:r>
      <w:r w:rsidR="00B45C7B" w:rsidRPr="00E72418">
        <w:rPr>
          <w:rFonts w:cs="Times New Roman"/>
          <w:i/>
          <w:szCs w:val="24"/>
        </w:rPr>
        <w:t>Fiscal Agency Agreement</w:t>
      </w:r>
      <w:r w:rsidR="00B45C7B" w:rsidRPr="00E72418">
        <w:rPr>
          <w:rFonts w:cs="Times New Roman"/>
          <w:szCs w:val="24"/>
        </w:rPr>
        <w:t xml:space="preserve"> au poin</w:t>
      </w:r>
      <w:r w:rsidR="00A56C69" w:rsidRPr="00E72418">
        <w:rPr>
          <w:rFonts w:cs="Times New Roman"/>
          <w:szCs w:val="24"/>
        </w:rPr>
        <w:t>t c de son article 1 (« securities issuable in s</w:t>
      </w:r>
      <w:r w:rsidR="00B45C7B" w:rsidRPr="00E72418">
        <w:rPr>
          <w:rFonts w:cs="Times New Roman"/>
          <w:szCs w:val="24"/>
        </w:rPr>
        <w:t xml:space="preserve">eries ») qui fut déterminante dans le cadre du conflit ayant opposé la société </w:t>
      </w:r>
      <w:r w:rsidR="00B45C7B" w:rsidRPr="00E72418">
        <w:rPr>
          <w:rFonts w:cs="Times New Roman"/>
          <w:i/>
          <w:szCs w:val="24"/>
        </w:rPr>
        <w:t>NML Capital Ltd.</w:t>
      </w:r>
      <w:r w:rsidR="00B45C7B" w:rsidRPr="00E72418">
        <w:rPr>
          <w:rFonts w:cs="Times New Roman"/>
          <w:szCs w:val="24"/>
        </w:rPr>
        <w:t xml:space="preserve"> à la République argentine. Cette clause </w:t>
      </w:r>
      <w:r w:rsidR="000459FC" w:rsidRPr="00E72418">
        <w:rPr>
          <w:rFonts w:cs="Times New Roman"/>
          <w:szCs w:val="24"/>
        </w:rPr>
        <w:t xml:space="preserve">qui vise à </w:t>
      </w:r>
      <w:r w:rsidR="000459FC" w:rsidRPr="00E72418">
        <w:t>éviter les discriminations parmi les créanciers en assurant la parité de leur traitement</w:t>
      </w:r>
      <w:r w:rsidR="000459FC" w:rsidRPr="00E72418">
        <w:rPr>
          <w:rFonts w:cs="Times New Roman"/>
          <w:szCs w:val="24"/>
        </w:rPr>
        <w:t xml:space="preserve"> </w:t>
      </w:r>
      <w:r w:rsidR="00A56C69" w:rsidRPr="00E72418">
        <w:rPr>
          <w:rFonts w:cs="Times New Roman"/>
          <w:szCs w:val="24"/>
        </w:rPr>
        <w:t>est rédigée</w:t>
      </w:r>
      <w:r w:rsidR="00B45C7B" w:rsidRPr="00E72418">
        <w:rPr>
          <w:rFonts w:cs="Times New Roman"/>
          <w:szCs w:val="24"/>
        </w:rPr>
        <w:t xml:space="preserve"> comme suit :</w:t>
      </w:r>
      <w:r w:rsidR="00B45C7B" w:rsidRPr="00E72418">
        <w:rPr>
          <w:szCs w:val="24"/>
        </w:rPr>
        <w:t xml:space="preserve"> </w:t>
      </w:r>
      <w:r w:rsidR="00B45C7B" w:rsidRPr="00E72418">
        <w:rPr>
          <w:rFonts w:cs="Times New Roman"/>
          <w:szCs w:val="24"/>
        </w:rPr>
        <w:t>« </w:t>
      </w:r>
      <w:r w:rsidR="00B45C7B" w:rsidRPr="00E72418">
        <w:rPr>
          <w:rFonts w:ascii="Times New Roman" w:hAnsi="Times New Roman" w:cs="Times New Roman"/>
        </w:rPr>
        <w:t>[t]</w:t>
      </w:r>
      <w:r w:rsidR="00B45C7B" w:rsidRPr="00E72418">
        <w:rPr>
          <w:rFonts w:cs="Times New Roman"/>
          <w:szCs w:val="24"/>
        </w:rPr>
        <w:t xml:space="preserve">he Securities will constitute </w:t>
      </w:r>
      <w:r w:rsidR="00B45C7B" w:rsidRPr="00E72418">
        <w:rPr>
          <w:rFonts w:ascii="Times New Roman" w:hAnsi="Times New Roman" w:cs="Times New Roman"/>
        </w:rPr>
        <w:t>[…]</w:t>
      </w:r>
      <w:r w:rsidR="00B45C7B" w:rsidRPr="00E72418">
        <w:rPr>
          <w:rFonts w:cs="Times New Roman"/>
          <w:szCs w:val="24"/>
        </w:rPr>
        <w:t xml:space="preserve"> direct, unconditional, unsecured and unsubordinated obligations of the Republic and shall at all times</w:t>
      </w:r>
      <w:r w:rsidR="00B45C7B" w:rsidRPr="00E72418">
        <w:rPr>
          <w:rFonts w:cs="Times New Roman"/>
          <w:b/>
          <w:szCs w:val="24"/>
        </w:rPr>
        <w:t xml:space="preserve"> </w:t>
      </w:r>
      <w:r w:rsidR="00B45C7B" w:rsidRPr="00E72418">
        <w:rPr>
          <w:rFonts w:cs="Times New Roman"/>
          <w:szCs w:val="24"/>
        </w:rPr>
        <w:t xml:space="preserve">rank </w:t>
      </w:r>
      <w:r w:rsidR="00B45C7B" w:rsidRPr="00E72418">
        <w:rPr>
          <w:rFonts w:cs="Times New Roman"/>
          <w:szCs w:val="24"/>
          <w:u w:val="single"/>
        </w:rPr>
        <w:t>pari</w:t>
      </w:r>
      <w:r w:rsidR="00B45C7B" w:rsidRPr="00E72418">
        <w:rPr>
          <w:rFonts w:cs="Times New Roman"/>
          <w:szCs w:val="24"/>
        </w:rPr>
        <w:t xml:space="preserve"> </w:t>
      </w:r>
      <w:r w:rsidR="00B45C7B" w:rsidRPr="00E72418">
        <w:rPr>
          <w:rFonts w:cs="Times New Roman"/>
          <w:szCs w:val="24"/>
          <w:u w:val="single"/>
        </w:rPr>
        <w:t>passu</w:t>
      </w:r>
      <w:r w:rsidR="00B45C7B" w:rsidRPr="00E72418">
        <w:rPr>
          <w:rFonts w:cs="Times New Roman"/>
          <w:szCs w:val="24"/>
        </w:rPr>
        <w:t xml:space="preserve"> and without any preference among themselves. </w:t>
      </w:r>
      <w:r w:rsidR="00B45C7B" w:rsidRPr="00E72418">
        <w:rPr>
          <w:rFonts w:cs="Times New Roman"/>
          <w:iCs/>
          <w:szCs w:val="24"/>
        </w:rPr>
        <w:t xml:space="preserve">The payment obligations of the Republic under the Securities shall at all times rank at least equally with all its other present and future unsecured and unsubordinated External Indebtedness </w:t>
      </w:r>
      <w:r w:rsidR="00B45C7B" w:rsidRPr="00E72418">
        <w:rPr>
          <w:rFonts w:ascii="Times New Roman" w:hAnsi="Times New Roman" w:cs="Times New Roman"/>
        </w:rPr>
        <w:t>[…]</w:t>
      </w:r>
      <w:r w:rsidR="00B45C7B" w:rsidRPr="00E72418">
        <w:rPr>
          <w:rFonts w:cs="Times New Roman"/>
          <w:szCs w:val="24"/>
        </w:rPr>
        <w:t> »</w:t>
      </w:r>
      <w:r w:rsidR="00B45C7B" w:rsidRPr="00E72418">
        <w:rPr>
          <w:rStyle w:val="Appelnotedebasdep"/>
          <w:rFonts w:cs="Times New Roman"/>
          <w:szCs w:val="24"/>
        </w:rPr>
        <w:footnoteReference w:id="542"/>
      </w:r>
      <w:r w:rsidR="00B45C7B" w:rsidRPr="00E72418">
        <w:rPr>
          <w:rFonts w:cs="Times New Roman"/>
          <w:szCs w:val="24"/>
        </w:rPr>
        <w:t>.</w:t>
      </w:r>
    </w:p>
    <w:p w14:paraId="62DC0678" w14:textId="77777777" w:rsidR="00B45C7B" w:rsidRPr="00E72418" w:rsidRDefault="00B45C7B" w:rsidP="00423B60"/>
    <w:p w14:paraId="2DF10409" w14:textId="386D4C77" w:rsidR="00B45C7B" w:rsidRPr="00E72418" w:rsidRDefault="007F038F" w:rsidP="00CC4BA8">
      <w:pPr>
        <w:spacing w:line="276" w:lineRule="auto"/>
      </w:pPr>
      <w:r w:rsidRPr="00E72418">
        <w:rPr>
          <w:b/>
        </w:rPr>
        <w:t>94</w:t>
      </w:r>
      <w:r w:rsidR="007E31CD" w:rsidRPr="00E72418">
        <w:rPr>
          <w:b/>
        </w:rPr>
        <w:t xml:space="preserve">. </w:t>
      </w:r>
      <w:r w:rsidR="00B45C7B" w:rsidRPr="00E72418">
        <w:rPr>
          <w:b/>
        </w:rPr>
        <w:t xml:space="preserve">Le fonds spéculatif </w:t>
      </w:r>
      <w:r w:rsidR="00B45C7B" w:rsidRPr="00E72418">
        <w:rPr>
          <w:b/>
          <w:i/>
        </w:rPr>
        <w:t>NML Capital Ltd.</w:t>
      </w:r>
      <w:r w:rsidR="00B45C7B" w:rsidRPr="00E72418">
        <w:rPr>
          <w:b/>
        </w:rPr>
        <w:t xml:space="preserve"> –</w:t>
      </w:r>
      <w:r w:rsidR="00B45C7B" w:rsidRPr="00E72418">
        <w:t xml:space="preserve"> </w:t>
      </w:r>
      <w:r w:rsidR="00A56C69" w:rsidRPr="00E72418">
        <w:t>Quoique</w:t>
      </w:r>
      <w:r w:rsidR="00B45C7B" w:rsidRPr="00E72418">
        <w:t xml:space="preserve"> l’on retrouve parmi les créanciers </w:t>
      </w:r>
      <w:r w:rsidR="00A56C69" w:rsidRPr="00E72418">
        <w:t xml:space="preserve">de l’Argentine </w:t>
      </w:r>
      <w:r w:rsidR="00B45C7B" w:rsidRPr="00E72418">
        <w:t>r</w:t>
      </w:r>
      <w:r w:rsidR="00845496">
        <w:t xml:space="preserve">écalcitrants des centaines de </w:t>
      </w:r>
      <w:r w:rsidR="00845496" w:rsidRPr="00845496">
        <w:rPr>
          <w:i/>
        </w:rPr>
        <w:t>retail investors</w:t>
      </w:r>
      <w:r w:rsidR="00B45C7B" w:rsidRPr="00E72418">
        <w:t xml:space="preserve"> qui ne purent se résoudre à la décote attendue lors des échanges de 2005 et 2010</w:t>
      </w:r>
      <w:r w:rsidR="00B45C7B" w:rsidRPr="00E72418">
        <w:rPr>
          <w:rStyle w:val="Appelnotedebasdep"/>
        </w:rPr>
        <w:footnoteReference w:id="543"/>
      </w:r>
      <w:r w:rsidR="00B45C7B" w:rsidRPr="00E72418">
        <w:t xml:space="preserve">, ce sont essentiellement les fonds spéculatifs ayant fait l’acquisition de </w:t>
      </w:r>
      <w:r w:rsidR="00A56C69" w:rsidRPr="00E72418">
        <w:t>titres de la dette argentine</w:t>
      </w:r>
      <w:r w:rsidR="00B45C7B" w:rsidRPr="00E72418">
        <w:t xml:space="preserve"> à prix réduit sur le marché secondaire qui fir</w:t>
      </w:r>
      <w:r w:rsidR="00A56C69" w:rsidRPr="00E72418">
        <w:t>ent parler d’eux. Cette acquisition intervint</w:t>
      </w:r>
      <w:r w:rsidR="00B45C7B" w:rsidRPr="00E72418">
        <w:t xml:space="preserve"> à un moment où peu de doute subsistai</w:t>
      </w:r>
      <w:r w:rsidR="00A56C69" w:rsidRPr="00E72418">
        <w:t xml:space="preserve">t quant au </w:t>
      </w:r>
      <w:r w:rsidR="00A56C69" w:rsidRPr="00E72418">
        <w:lastRenderedPageBreak/>
        <w:t>défaut futur du pays mais également</w:t>
      </w:r>
      <w:r w:rsidR="00B45C7B" w:rsidRPr="00E72418">
        <w:t xml:space="preserve"> après que le défaut ait eu lieu et </w:t>
      </w:r>
      <w:r w:rsidR="00A56C69" w:rsidRPr="00E72418">
        <w:t>même après que l</w:t>
      </w:r>
      <w:r w:rsidR="00B45C7B" w:rsidRPr="00E72418">
        <w:t xml:space="preserve">es deux offres d’échanges </w:t>
      </w:r>
      <w:r w:rsidR="00A56C69" w:rsidRPr="00E72418">
        <w:t>furent faites par la République argentine</w:t>
      </w:r>
      <w:r w:rsidR="00B45C7B" w:rsidRPr="00E72418">
        <w:rPr>
          <w:rStyle w:val="Appelnotedebasdep"/>
        </w:rPr>
        <w:footnoteReference w:id="544"/>
      </w:r>
      <w:r w:rsidR="00B45C7B" w:rsidRPr="00E72418">
        <w:t xml:space="preserve">. L’amélioration de la situation argentine après son défaut de 2001 conduisit </w:t>
      </w:r>
      <w:r w:rsidR="00F5634B" w:rsidRPr="00E72418">
        <w:t>d</w:t>
      </w:r>
      <w:r w:rsidR="00B45C7B" w:rsidRPr="00E72418">
        <w:t>es fonds d’investissement à voir dans le rachat de titres argentins sur le marché secondaire une opportunité financière</w:t>
      </w:r>
      <w:r w:rsidR="00B45C7B" w:rsidRPr="00E72418">
        <w:rPr>
          <w:rStyle w:val="Appelnotedebasdep"/>
        </w:rPr>
        <w:footnoteReference w:id="545"/>
      </w:r>
      <w:r w:rsidR="00B45C7B" w:rsidRPr="00E72418">
        <w:t>.</w:t>
      </w:r>
    </w:p>
    <w:p w14:paraId="123489F7" w14:textId="77777777" w:rsidR="00B45C7B" w:rsidRPr="00E72418" w:rsidRDefault="00B45C7B" w:rsidP="00CC4BA8">
      <w:pPr>
        <w:spacing w:line="276" w:lineRule="auto"/>
      </w:pPr>
      <w:bookmarkStart w:id="116" w:name="_Toc9959298"/>
      <w:bookmarkStart w:id="117" w:name="_Toc15985923"/>
      <w:bookmarkStart w:id="118" w:name="_Toc18328205"/>
      <w:r w:rsidRPr="00E72418">
        <w:t xml:space="preserve">Parmi les fonds spéculatifs </w:t>
      </w:r>
      <w:r w:rsidR="00F5634B" w:rsidRPr="00E72418">
        <w:t>qui s’engagèrent dans de</w:t>
      </w:r>
      <w:r w:rsidRPr="00E72418">
        <w:t xml:space="preserve">s contentieux </w:t>
      </w:r>
      <w:r w:rsidR="00F5634B" w:rsidRPr="00E72418">
        <w:t>avec l’</w:t>
      </w:r>
      <w:r w:rsidR="00F5634B" w:rsidRPr="00E72418">
        <w:rPr>
          <w:szCs w:val="24"/>
        </w:rPr>
        <w:t>É</w:t>
      </w:r>
      <w:r w:rsidR="00F5634B" w:rsidRPr="00E72418">
        <w:t xml:space="preserve">tat débiteur figure </w:t>
      </w:r>
      <w:r w:rsidRPr="00E72418">
        <w:t xml:space="preserve">la société </w:t>
      </w:r>
      <w:r w:rsidRPr="00E72418">
        <w:rPr>
          <w:i/>
        </w:rPr>
        <w:t>NML Capital Ltd.</w:t>
      </w:r>
      <w:r w:rsidRPr="00E72418">
        <w:t xml:space="preserve"> qui </w:t>
      </w:r>
      <w:bookmarkEnd w:id="116"/>
      <w:bookmarkEnd w:id="117"/>
      <w:bookmarkEnd w:id="118"/>
      <w:r w:rsidRPr="00E72418">
        <w:t xml:space="preserve">est une filiale du fonds </w:t>
      </w:r>
      <w:r w:rsidRPr="00E72418">
        <w:rPr>
          <w:i/>
        </w:rPr>
        <w:t>Elliott Capital Management</w:t>
      </w:r>
      <w:r w:rsidRPr="00E72418">
        <w:t> </w:t>
      </w:r>
      <w:r w:rsidR="00F5634B" w:rsidRPr="00E72418">
        <w:t xml:space="preserve">lui-même </w:t>
      </w:r>
      <w:r w:rsidRPr="00E72418">
        <w:t>spécialisé dans l’investissement dans les dettes souveraines ébranlées</w:t>
      </w:r>
      <w:r w:rsidRPr="00E72418">
        <w:rPr>
          <w:rStyle w:val="Appelnotedebasdep"/>
          <w:szCs w:val="24"/>
        </w:rPr>
        <w:footnoteReference w:id="546"/>
      </w:r>
      <w:r w:rsidRPr="00E72418">
        <w:t xml:space="preserve">. </w:t>
      </w:r>
      <w:r w:rsidRPr="00E72418">
        <w:rPr>
          <w:i/>
        </w:rPr>
        <w:t>NML Capital Ltd.</w:t>
      </w:r>
      <w:r w:rsidRPr="00E72418">
        <w:t xml:space="preserve"> fit l’acquisition sur le marché secondaire d’obligations argentines à un prix fortement réduit par rapport à leur valeur faciale. Ces rachats de titres intervi</w:t>
      </w:r>
      <w:r w:rsidR="00765A3A" w:rsidRPr="00E72418">
        <w:t>n</w:t>
      </w:r>
      <w:r w:rsidRPr="00E72418">
        <w:t xml:space="preserve">rent à différents moments ; ils débutèrent en 1998 avant le défaut et se poursuivirent même après les offres de restructuration de 2005 et 2010. </w:t>
      </w:r>
      <w:r w:rsidR="00294224" w:rsidRPr="00E72418">
        <w:t>Une partie importante des obligations fut rachetée</w:t>
      </w:r>
      <w:r w:rsidRPr="00E72418">
        <w:t xml:space="preserve"> en 2008</w:t>
      </w:r>
      <w:r w:rsidRPr="00E72418">
        <w:rPr>
          <w:rStyle w:val="Appelnotedebasdep"/>
        </w:rPr>
        <w:footnoteReference w:id="547"/>
      </w:r>
      <w:r w:rsidRPr="00E72418">
        <w:t>.</w:t>
      </w:r>
    </w:p>
    <w:p w14:paraId="4611860F" w14:textId="2C47B82E" w:rsidR="00967A58" w:rsidRPr="00E72418" w:rsidRDefault="00B45C7B" w:rsidP="0091693F">
      <w:pPr>
        <w:spacing w:line="276" w:lineRule="auto"/>
        <w:rPr>
          <w:szCs w:val="24"/>
        </w:rPr>
      </w:pPr>
      <w:r w:rsidRPr="00E72418">
        <w:t>Début 2003,</w:t>
      </w:r>
      <w:r w:rsidRPr="00E72418">
        <w:rPr>
          <w:b/>
        </w:rPr>
        <w:t xml:space="preserve"> </w:t>
      </w:r>
      <w:r w:rsidR="00294224" w:rsidRPr="00E72418">
        <w:t>l</w:t>
      </w:r>
      <w:r w:rsidRPr="00E72418">
        <w:t xml:space="preserve">a société </w:t>
      </w:r>
      <w:r w:rsidRPr="00E72418">
        <w:rPr>
          <w:i/>
        </w:rPr>
        <w:t>NML Capital Ltd</w:t>
      </w:r>
      <w:r w:rsidRPr="00E72418">
        <w:t xml:space="preserve">. introduisit onze poursuites contre le pays devant la </w:t>
      </w:r>
      <w:r w:rsidRPr="00C6627B">
        <w:rPr>
          <w:rFonts w:cs="Times New Roman"/>
          <w:shd w:val="clear" w:color="auto" w:fill="FFFFFF"/>
        </w:rPr>
        <w:t>United States District Court for the Southern District of New York</w:t>
      </w:r>
      <w:r w:rsidR="00C63E71" w:rsidRPr="00E72418">
        <w:rPr>
          <w:rFonts w:cs="Times New Roman"/>
          <w:shd w:val="clear" w:color="auto" w:fill="FFFFFF"/>
        </w:rPr>
        <w:t xml:space="preserve"> lesquelles débouchèrent sur diverses condamnations de la République argentine</w:t>
      </w:r>
      <w:r w:rsidRPr="00E72418">
        <w:rPr>
          <w:rStyle w:val="Appelnotedebasdep"/>
        </w:rPr>
        <w:footnoteReference w:id="548"/>
      </w:r>
      <w:r w:rsidR="00C63E71" w:rsidRPr="00E72418">
        <w:t>.</w:t>
      </w:r>
      <w:r w:rsidR="00C63E71" w:rsidRPr="00E72418">
        <w:rPr>
          <w:rFonts w:cs="Times New Roman"/>
          <w:shd w:val="clear" w:color="auto" w:fill="FFFFFF"/>
        </w:rPr>
        <w:t xml:space="preserve"> </w:t>
      </w:r>
      <w:r w:rsidRPr="00E72418">
        <w:t>L’</w:t>
      </w:r>
      <w:r w:rsidRPr="00E72418">
        <w:rPr>
          <w:szCs w:val="24"/>
        </w:rPr>
        <w:t>É</w:t>
      </w:r>
      <w:r w:rsidRPr="00E72418">
        <w:t xml:space="preserve">tat argentin refusa d’honorer les condamnations rendues au profit de la société </w:t>
      </w:r>
      <w:r w:rsidRPr="00E72418">
        <w:rPr>
          <w:i/>
        </w:rPr>
        <w:t>NML Capital Ltd.</w:t>
      </w:r>
      <w:r w:rsidRPr="00E72418">
        <w:t xml:space="preserve"> la contraignant à multiplier les actions judiciaires dans le monde entier afin de </w:t>
      </w:r>
      <w:r w:rsidR="008530C4" w:rsidRPr="00E72418">
        <w:t>le forcer</w:t>
      </w:r>
      <w:r w:rsidRPr="00E72418">
        <w:t xml:space="preserve"> à régler les montants qui lui étaient dus</w:t>
      </w:r>
      <w:r w:rsidR="004B31DB" w:rsidRPr="00E72418">
        <w:rPr>
          <w:rStyle w:val="Appelnotedebasdep"/>
        </w:rPr>
        <w:footnoteReference w:id="549"/>
      </w:r>
      <w:r w:rsidRPr="00E72418">
        <w:t xml:space="preserve">. </w:t>
      </w:r>
      <w:r w:rsidR="008530C4" w:rsidRPr="00E72418">
        <w:t xml:space="preserve">La société </w:t>
      </w:r>
      <w:r w:rsidRPr="00E72418">
        <w:rPr>
          <w:i/>
          <w:szCs w:val="24"/>
        </w:rPr>
        <w:t>NML Capital Ltd.</w:t>
      </w:r>
      <w:r w:rsidRPr="00E72418">
        <w:rPr>
          <w:szCs w:val="24"/>
        </w:rPr>
        <w:t xml:space="preserve"> chercha à faire pratiquer des saisies</w:t>
      </w:r>
      <w:r w:rsidR="00C402BF" w:rsidRPr="00E72418">
        <w:rPr>
          <w:szCs w:val="24"/>
        </w:rPr>
        <w:t xml:space="preserve"> et à mettre un maxim</w:t>
      </w:r>
      <w:r w:rsidR="008530C4" w:rsidRPr="00E72418">
        <w:rPr>
          <w:szCs w:val="24"/>
        </w:rPr>
        <w:t>um de pression sur son débiteur</w:t>
      </w:r>
      <w:r w:rsidR="00C402BF" w:rsidRPr="00E72418">
        <w:rPr>
          <w:rStyle w:val="Appelnotedebasdep"/>
        </w:rPr>
        <w:footnoteReference w:id="550"/>
      </w:r>
      <w:r w:rsidR="00C402BF" w:rsidRPr="00E72418">
        <w:t xml:space="preserve">. </w:t>
      </w:r>
      <w:r w:rsidR="00C402BF" w:rsidRPr="00E72418">
        <w:rPr>
          <w:szCs w:val="24"/>
        </w:rPr>
        <w:t>Parallèlement à ce</w:t>
      </w:r>
      <w:r w:rsidR="008530C4" w:rsidRPr="00E72418">
        <w:rPr>
          <w:szCs w:val="24"/>
        </w:rPr>
        <w:t>s mesures d’exécution poursuivies</w:t>
      </w:r>
      <w:r w:rsidR="00C402BF" w:rsidRPr="00E72418">
        <w:rPr>
          <w:szCs w:val="24"/>
        </w:rPr>
        <w:t xml:space="preserve">, la société créancière </w:t>
      </w:r>
      <w:r w:rsidR="008530C4" w:rsidRPr="00E72418">
        <w:rPr>
          <w:szCs w:val="24"/>
        </w:rPr>
        <w:t>se basant</w:t>
      </w:r>
      <w:r w:rsidR="00E34B4F" w:rsidRPr="00E72418">
        <w:rPr>
          <w:szCs w:val="24"/>
        </w:rPr>
        <w:t xml:space="preserve"> sur la clause </w:t>
      </w:r>
      <w:r w:rsidR="00C402BF" w:rsidRPr="00E72418">
        <w:rPr>
          <w:i/>
          <w:szCs w:val="24"/>
        </w:rPr>
        <w:t xml:space="preserve">pari passu </w:t>
      </w:r>
      <w:r w:rsidR="00C402BF" w:rsidRPr="00E72418">
        <w:rPr>
          <w:szCs w:val="24"/>
        </w:rPr>
        <w:t>contenu</w:t>
      </w:r>
      <w:r w:rsidR="008530C4" w:rsidRPr="00E72418">
        <w:rPr>
          <w:szCs w:val="24"/>
        </w:rPr>
        <w:t>e</w:t>
      </w:r>
      <w:r w:rsidR="00C402BF" w:rsidRPr="00E72418">
        <w:rPr>
          <w:szCs w:val="24"/>
        </w:rPr>
        <w:t xml:space="preserve"> dans le contrat de dette concerné </w:t>
      </w:r>
      <w:r w:rsidR="008530C4" w:rsidRPr="00E72418">
        <w:rPr>
          <w:szCs w:val="24"/>
        </w:rPr>
        <w:t>sollicita</w:t>
      </w:r>
      <w:r w:rsidR="00C402BF" w:rsidRPr="00E72418">
        <w:rPr>
          <w:szCs w:val="24"/>
        </w:rPr>
        <w:t xml:space="preserve"> des juridictions new-yorkaises </w:t>
      </w:r>
      <w:r w:rsidRPr="00E72418">
        <w:rPr>
          <w:szCs w:val="24"/>
        </w:rPr>
        <w:t xml:space="preserve">une injonction empêchant </w:t>
      </w:r>
      <w:r w:rsidR="00C402BF" w:rsidRPr="00E72418">
        <w:rPr>
          <w:szCs w:val="24"/>
        </w:rPr>
        <w:t xml:space="preserve">la République </w:t>
      </w:r>
      <w:r w:rsidR="00C402BF" w:rsidRPr="00E72418">
        <w:rPr>
          <w:szCs w:val="24"/>
        </w:rPr>
        <w:lastRenderedPageBreak/>
        <w:t>argentine</w:t>
      </w:r>
      <w:r w:rsidRPr="00E72418">
        <w:rPr>
          <w:szCs w:val="24"/>
        </w:rPr>
        <w:t xml:space="preserve"> de régler ses créanciers ayant accepté les restructurations de 2005 et 2010 sans en faire de même à son profit.</w:t>
      </w:r>
      <w:bookmarkStart w:id="119" w:name="_Toc59280905"/>
      <w:bookmarkStart w:id="120" w:name="_Toc84540893"/>
    </w:p>
    <w:p w14:paraId="56718730" w14:textId="77777777" w:rsidR="0091693F" w:rsidRPr="00E72418" w:rsidRDefault="0091693F" w:rsidP="0091693F">
      <w:pPr>
        <w:spacing w:line="276" w:lineRule="auto"/>
        <w:rPr>
          <w:rFonts w:cs="Times New Roman"/>
          <w:shd w:val="clear" w:color="auto" w:fill="FFFFFF"/>
        </w:rPr>
      </w:pPr>
    </w:p>
    <w:p w14:paraId="10778F53" w14:textId="4D11FC86" w:rsidR="00B45C7B" w:rsidRPr="00E72418" w:rsidRDefault="000764CE" w:rsidP="00CC4BA8">
      <w:pPr>
        <w:pStyle w:val="DD"/>
        <w:spacing w:line="276" w:lineRule="auto"/>
      </w:pPr>
      <w:r w:rsidRPr="00E72418">
        <w:t xml:space="preserve">Section 4 : </w:t>
      </w:r>
      <w:r w:rsidR="00B45C7B" w:rsidRPr="00E72418">
        <w:t>Le défaut de 2014</w:t>
      </w:r>
      <w:bookmarkEnd w:id="119"/>
      <w:bookmarkEnd w:id="120"/>
    </w:p>
    <w:p w14:paraId="1270B937" w14:textId="77777777" w:rsidR="00423B60" w:rsidRPr="00E72418" w:rsidRDefault="00423B60" w:rsidP="00423B60"/>
    <w:p w14:paraId="1301C39E" w14:textId="29BFFCD5" w:rsidR="00B45C7B" w:rsidRPr="00E72418" w:rsidRDefault="007F038F" w:rsidP="00CC4BA8">
      <w:pPr>
        <w:spacing w:line="276" w:lineRule="auto"/>
      </w:pPr>
      <w:r w:rsidRPr="00E72418">
        <w:rPr>
          <w:b/>
        </w:rPr>
        <w:t>95</w:t>
      </w:r>
      <w:r w:rsidR="007E31CD" w:rsidRPr="00E72418">
        <w:rPr>
          <w:b/>
        </w:rPr>
        <w:t xml:space="preserve">. </w:t>
      </w:r>
      <w:r w:rsidR="00B45C7B" w:rsidRPr="00E72418">
        <w:rPr>
          <w:b/>
        </w:rPr>
        <w:t xml:space="preserve">Le « Griesafault » technique – </w:t>
      </w:r>
      <w:r w:rsidR="00B45C7B" w:rsidRPr="00E72418">
        <w:t xml:space="preserve">Par une décision très remarquée du 23 février 2012, la </w:t>
      </w:r>
      <w:r w:rsidR="00C6627B" w:rsidRPr="00C6627B">
        <w:t xml:space="preserve">United States </w:t>
      </w:r>
      <w:r w:rsidR="00B45C7B" w:rsidRPr="00C6627B">
        <w:t>District Court for the Southern District of New York</w:t>
      </w:r>
      <w:r w:rsidR="00B45C7B" w:rsidRPr="00E72418">
        <w:t xml:space="preserve">, par l’entremise du juge </w:t>
      </w:r>
      <w:r w:rsidR="006361CE" w:rsidRPr="00E72418">
        <w:t xml:space="preserve">Thomas </w:t>
      </w:r>
      <w:r w:rsidR="00B45C7B" w:rsidRPr="00E72418">
        <w:t>Griesa, rendit une injonction permanente empêchant la République argentine d’effectuer des paiements au profit de ses créanciers ayant accepté les restructurations sans</w:t>
      </w:r>
      <w:r w:rsidR="00D56658" w:rsidRPr="00E72418">
        <w:t xml:space="preserve"> en faire de même au profit de ceux les ayant refusé</w:t>
      </w:r>
      <w:r w:rsidR="00B45C7B" w:rsidRPr="00E72418">
        <w:rPr>
          <w:rStyle w:val="Appelnotedebasdep"/>
          <w:rFonts w:cs="Times New Roman"/>
          <w:szCs w:val="24"/>
        </w:rPr>
        <w:footnoteReference w:id="551"/>
      </w:r>
      <w:r w:rsidR="00B45C7B" w:rsidRPr="00E72418">
        <w:t xml:space="preserve">. </w:t>
      </w:r>
      <w:r w:rsidR="00D56658" w:rsidRPr="00E72418">
        <w:t xml:space="preserve">Malgré la confirmation de cette </w:t>
      </w:r>
      <w:r w:rsidR="00B45C7B" w:rsidRPr="00E72418">
        <w:t xml:space="preserve">décision </w:t>
      </w:r>
      <w:r w:rsidR="00D56658" w:rsidRPr="00E72418">
        <w:t>en appel,</w:t>
      </w:r>
      <w:r w:rsidR="00B45C7B" w:rsidRPr="00E72418">
        <w:t xml:space="preserve"> la République argentine ne souhaitant pas payer les fonds spéculatifs </w:t>
      </w:r>
      <w:r w:rsidR="00D56658" w:rsidRPr="00E72418">
        <w:t xml:space="preserve">craignant </w:t>
      </w:r>
      <w:r w:rsidR="00B45C7B" w:rsidRPr="00E72418">
        <w:t xml:space="preserve">notamment </w:t>
      </w:r>
      <w:r w:rsidR="00D56658" w:rsidRPr="00E72418">
        <w:t>l’effet d’entraî</w:t>
      </w:r>
      <w:r w:rsidR="00B45C7B" w:rsidRPr="00E72418">
        <w:t>nement d’autres créanciers, elle n’eut d’autre choix que de faire défaut. Le 30 juin 2014, le pays manqua le paiement d’intérêts dus sur les créances restructurées</w:t>
      </w:r>
      <w:r w:rsidR="00B45C7B" w:rsidRPr="00E72418">
        <w:rPr>
          <w:rStyle w:val="Appelnotedebasdep"/>
        </w:rPr>
        <w:footnoteReference w:id="552"/>
      </w:r>
      <w:r w:rsidR="00B45C7B" w:rsidRPr="00E72418">
        <w:t>. En application du délai contractuellement prévu, le débiteur était donc en défaut un mois plus tard</w:t>
      </w:r>
      <w:r w:rsidR="00B45C7B" w:rsidRPr="00E72418">
        <w:rPr>
          <w:rStyle w:val="Appelnotedebasdep"/>
        </w:rPr>
        <w:footnoteReference w:id="553"/>
      </w:r>
      <w:r w:rsidR="00B45C7B" w:rsidRPr="00E72418">
        <w:t>.</w:t>
      </w:r>
      <w:r w:rsidR="00D56658" w:rsidRPr="00E72418">
        <w:t xml:space="preserve"> Ce défaut fut ironiquement qualifié </w:t>
      </w:r>
      <w:r w:rsidR="00044AA3" w:rsidRPr="00E72418">
        <w:t xml:space="preserve">de </w:t>
      </w:r>
      <w:r w:rsidR="00D56658" w:rsidRPr="00E72418">
        <w:t>« Griesafault » en référence au nom du juge ayant rendu la décision déclencheuse</w:t>
      </w:r>
      <w:r w:rsidR="00044AA3" w:rsidRPr="00E72418">
        <w:t>.</w:t>
      </w:r>
      <w:r w:rsidR="00EE334E" w:rsidRPr="00E72418">
        <w:t xml:space="preserve"> Comme le notèrent </w:t>
      </w:r>
      <w:r w:rsidR="00FA6DCC" w:rsidRPr="00E72418">
        <w:t xml:space="preserve">Joseph </w:t>
      </w:r>
      <w:r w:rsidR="00EE334E" w:rsidRPr="00E72418">
        <w:t xml:space="preserve">Stiglitz et </w:t>
      </w:r>
      <w:r w:rsidR="00FA6DCC" w:rsidRPr="00E72418">
        <w:t xml:space="preserve">Martin </w:t>
      </w:r>
      <w:r w:rsidR="00EE334E" w:rsidRPr="00E72418">
        <w:t>Guzman, « </w:t>
      </w:r>
      <w:r w:rsidR="00EE334E" w:rsidRPr="00E72418">
        <w:rPr>
          <w:szCs w:val="20"/>
          <w:lang w:val="en-US"/>
        </w:rPr>
        <w:t>[i]</w:t>
      </w:r>
      <w:r w:rsidR="00EE334E" w:rsidRPr="00E72418">
        <w:t>t was the first time in history that a country was willing and able to pay its creditors, but was blocked by a judge from doing so »</w:t>
      </w:r>
      <w:r w:rsidR="00EE334E" w:rsidRPr="00E72418">
        <w:rPr>
          <w:rStyle w:val="Appelnotedebasdep"/>
        </w:rPr>
        <w:footnoteReference w:id="554"/>
      </w:r>
      <w:r w:rsidR="00EE334E" w:rsidRPr="00E72418">
        <w:t>.</w:t>
      </w:r>
    </w:p>
    <w:p w14:paraId="45BA4DAE" w14:textId="35198517" w:rsidR="00B45C7B" w:rsidRPr="00E72418" w:rsidRDefault="00B45C7B" w:rsidP="00CC4BA8">
      <w:pPr>
        <w:spacing w:line="276" w:lineRule="auto"/>
      </w:pPr>
      <w:r w:rsidRPr="00E72418">
        <w:t>Le défaut de 2014 était uniquement technique dans la mesure où l’Argentine disposait des fonds nécessaires au</w:t>
      </w:r>
      <w:r w:rsidR="002970D3" w:rsidRPr="00E72418">
        <w:t>x</w:t>
      </w:r>
      <w:r w:rsidRPr="00E72418">
        <w:t xml:space="preserve"> règlement</w:t>
      </w:r>
      <w:r w:rsidR="002970D3" w:rsidRPr="00E72418">
        <w:t>s</w:t>
      </w:r>
      <w:r w:rsidRPr="00E72418">
        <w:t xml:space="preserve"> attendu</w:t>
      </w:r>
      <w:r w:rsidR="002970D3" w:rsidRPr="00E72418">
        <w:t>s</w:t>
      </w:r>
      <w:r w:rsidRPr="00E72418">
        <w:rPr>
          <w:rStyle w:val="Appelnotedebasdep"/>
        </w:rPr>
        <w:footnoteReference w:id="555"/>
      </w:r>
      <w:r w:rsidRPr="00E72418">
        <w:t xml:space="preserve">. La présidence argentine tira parti de cette situation en faisant valoir que le défaut ne découlait d’aucune mauvaise gestion, le pays étant capable et </w:t>
      </w:r>
      <w:r w:rsidRPr="00E72418">
        <w:lastRenderedPageBreak/>
        <w:t>souhaitant procéder au paiement des dettes restructurées</w:t>
      </w:r>
      <w:r w:rsidR="002970D3" w:rsidRPr="00E72418">
        <w:t>,</w:t>
      </w:r>
      <w:r w:rsidRPr="00E72418">
        <w:t xml:space="preserve"> mais</w:t>
      </w:r>
      <w:r w:rsidR="002970D3" w:rsidRPr="00E72418">
        <w:t xml:space="preserve"> qu’il en était empêché par une</w:t>
      </w:r>
      <w:r w:rsidRPr="00E72418">
        <w:t xml:space="preserve"> minorité de créanciers récalcitrants</w:t>
      </w:r>
      <w:r w:rsidRPr="00E72418">
        <w:rPr>
          <w:rStyle w:val="Appelnotedebasdep"/>
        </w:rPr>
        <w:footnoteReference w:id="556"/>
      </w:r>
      <w:r w:rsidR="00C63E71" w:rsidRPr="00E72418">
        <w:rPr>
          <w:vertAlign w:val="superscript"/>
        </w:rPr>
        <w:t>,</w:t>
      </w:r>
      <w:r w:rsidRPr="00E72418">
        <w:rPr>
          <w:rStyle w:val="Appelnotedebasdep"/>
        </w:rPr>
        <w:footnoteReference w:id="557"/>
      </w:r>
      <w:r w:rsidRPr="00E72418">
        <w:t>.</w:t>
      </w:r>
    </w:p>
    <w:p w14:paraId="2F138C90" w14:textId="77777777" w:rsidR="001075A1" w:rsidRPr="00E72418" w:rsidRDefault="001075A1" w:rsidP="00423B60"/>
    <w:p w14:paraId="7A7529EE" w14:textId="62DD20D5" w:rsidR="00B45C7B" w:rsidRPr="00E72418" w:rsidRDefault="007F038F" w:rsidP="00CC4BA8">
      <w:pPr>
        <w:spacing w:line="276" w:lineRule="auto"/>
      </w:pPr>
      <w:r w:rsidRPr="00E72418">
        <w:rPr>
          <w:b/>
        </w:rPr>
        <w:t>96</w:t>
      </w:r>
      <w:r w:rsidR="007E31CD" w:rsidRPr="00E72418">
        <w:rPr>
          <w:b/>
        </w:rPr>
        <w:t xml:space="preserve">. </w:t>
      </w:r>
      <w:r w:rsidR="00B45C7B" w:rsidRPr="00E72418">
        <w:rPr>
          <w:b/>
        </w:rPr>
        <w:t>La solution argentine –</w:t>
      </w:r>
      <w:r w:rsidR="00407942" w:rsidRPr="00E72418">
        <w:rPr>
          <w:b/>
        </w:rPr>
        <w:t xml:space="preserve"> </w:t>
      </w:r>
      <w:r w:rsidR="00407942" w:rsidRPr="00E72418">
        <w:t>En réponse aux contentieux conduits par ses créanciers récalcitrants, l</w:t>
      </w:r>
      <w:r w:rsidR="00B45C7B" w:rsidRPr="00E72418">
        <w:t>a solution envisagée par la République a</w:t>
      </w:r>
      <w:r w:rsidR="00407942" w:rsidRPr="00E72418">
        <w:t xml:space="preserve">rgentine fut celle de leur </w:t>
      </w:r>
      <w:r w:rsidR="00B45C7B" w:rsidRPr="00E72418">
        <w:t xml:space="preserve">offrir des termes identiques à ceux proposés lors des échanges de 2005 et de 2010 </w:t>
      </w:r>
      <w:r w:rsidR="00407942" w:rsidRPr="00E72418">
        <w:t>augmentés d’intérêts. La prudence</w:t>
      </w:r>
      <w:r w:rsidR="00E22B8B" w:rsidRPr="00E72418">
        <w:t xml:space="preserve"> du G</w:t>
      </w:r>
      <w:r w:rsidR="00B45C7B" w:rsidRPr="00E72418">
        <w:t xml:space="preserve">ouvernement argentin s’expliquait pour partie par la clause </w:t>
      </w:r>
      <w:r w:rsidR="004C5543" w:rsidRPr="00E72418">
        <w:rPr>
          <w:rFonts w:cs="Times New Roman"/>
          <w:i/>
          <w:szCs w:val="24"/>
        </w:rPr>
        <w:t>rights upon future o</w:t>
      </w:r>
      <w:r w:rsidR="00B45C7B" w:rsidRPr="00E72418">
        <w:rPr>
          <w:rFonts w:cs="Times New Roman"/>
          <w:i/>
          <w:szCs w:val="24"/>
        </w:rPr>
        <w:t>ffers</w:t>
      </w:r>
      <w:r w:rsidR="000D3101" w:rsidRPr="00E72418">
        <w:rPr>
          <w:rFonts w:cs="Times New Roman"/>
          <w:szCs w:val="24"/>
        </w:rPr>
        <w:t xml:space="preserve"> permettant aux créanciers détenteurs de titres restructurés de bénéficier d’éventuelles modalités plus avantageuses offertes ultérieurement à d’autres créanciers</w:t>
      </w:r>
      <w:r w:rsidR="00407942" w:rsidRPr="00E72418">
        <w:rPr>
          <w:rFonts w:cs="Times New Roman"/>
          <w:szCs w:val="24"/>
        </w:rPr>
        <w:t>. S</w:t>
      </w:r>
      <w:r w:rsidR="00B45C7B" w:rsidRPr="00E72418">
        <w:t xml:space="preserve">i un paiement </w:t>
      </w:r>
      <w:r w:rsidR="00407942" w:rsidRPr="00E72418">
        <w:t>complet était intervenu au profit d</w:t>
      </w:r>
      <w:r w:rsidR="00B45C7B" w:rsidRPr="00E72418">
        <w:t>es créanciers récalcitrants</w:t>
      </w:r>
      <w:r w:rsidR="00407942" w:rsidRPr="00E72418">
        <w:t xml:space="preserve">, </w:t>
      </w:r>
      <w:r w:rsidR="00407942" w:rsidRPr="00E72418">
        <w:rPr>
          <w:rFonts w:cs="Times New Roman"/>
          <w:szCs w:val="24"/>
        </w:rPr>
        <w:t xml:space="preserve">l’application de cette clause reprise </w:t>
      </w:r>
      <w:r w:rsidR="00407942" w:rsidRPr="00E72418">
        <w:t>dans les prospectus d’échange aurait contraint le pays à payer la totalité de sa dette échangée</w:t>
      </w:r>
      <w:r w:rsidR="00B45C7B" w:rsidRPr="00E72418">
        <w:t xml:space="preserve"> et</w:t>
      </w:r>
      <w:r w:rsidR="001408D2" w:rsidRPr="00E72418">
        <w:t>,</w:t>
      </w:r>
      <w:r w:rsidR="00B45C7B" w:rsidRPr="00E72418">
        <w:t xml:space="preserve"> partant</w:t>
      </w:r>
      <w:r w:rsidR="001408D2" w:rsidRPr="00E72418">
        <w:t>,</w:t>
      </w:r>
      <w:r w:rsidR="00B45C7B" w:rsidRPr="00E72418">
        <w:t xml:space="preserve"> l’aurait exposé à un nouveau défaut</w:t>
      </w:r>
      <w:r w:rsidR="00B45C7B" w:rsidRPr="00E72418">
        <w:rPr>
          <w:rStyle w:val="Appelnotedebasdep"/>
        </w:rPr>
        <w:footnoteReference w:id="558"/>
      </w:r>
      <w:r w:rsidR="00B45C7B" w:rsidRPr="00E72418">
        <w:t xml:space="preserve">. </w:t>
      </w:r>
    </w:p>
    <w:p w14:paraId="7BD67DFA" w14:textId="2C9B9764" w:rsidR="00B45C7B" w:rsidRPr="00E72418" w:rsidRDefault="00B45C7B" w:rsidP="00CC4BA8">
      <w:pPr>
        <w:spacing w:line="276" w:lineRule="auto"/>
        <w:rPr>
          <w:rFonts w:cs="Times New Roman"/>
          <w:szCs w:val="24"/>
        </w:rPr>
      </w:pPr>
      <w:r w:rsidRPr="00E72418">
        <w:t>La solution argentine consista également en l’adoption de la loi n° 26.984</w:t>
      </w:r>
      <w:r w:rsidR="00A13FBB" w:rsidRPr="00E72418">
        <w:t xml:space="preserve">, dite la </w:t>
      </w:r>
      <w:r w:rsidR="00A13FBB" w:rsidRPr="00E72418">
        <w:rPr>
          <w:rFonts w:cs="Times New Roman"/>
          <w:szCs w:val="24"/>
        </w:rPr>
        <w:t>« sovereign payment law »</w:t>
      </w:r>
      <w:r w:rsidR="00A13FBB" w:rsidRPr="00E72418">
        <w:t>,</w:t>
      </w:r>
      <w:r w:rsidRPr="00E72418">
        <w:t xml:space="preserve"> par l</w:t>
      </w:r>
      <w:r w:rsidR="00A13FBB" w:rsidRPr="00E72418">
        <w:t xml:space="preserve">e Congrès argentin </w:t>
      </w:r>
      <w:r w:rsidR="005C61D6" w:rsidRPr="00E72418">
        <w:t>en</w:t>
      </w:r>
      <w:r w:rsidR="00A13FBB" w:rsidRPr="00E72418">
        <w:t xml:space="preserve"> septembre 2014</w:t>
      </w:r>
      <w:r w:rsidRPr="00E72418">
        <w:t xml:space="preserve">. </w:t>
      </w:r>
      <w:r w:rsidR="00DA212F" w:rsidRPr="00E72418">
        <w:t>Cette</w:t>
      </w:r>
      <w:r w:rsidRPr="00E72418">
        <w:t xml:space="preserve"> loi avait ceci de particulier qu’elle en appelait à la sauvegarde de l’ordre public national</w:t>
      </w:r>
      <w:r w:rsidRPr="00E72418">
        <w:rPr>
          <w:rStyle w:val="Appelnotedebasdep"/>
        </w:rPr>
        <w:footnoteReference w:id="559"/>
      </w:r>
      <w:r w:rsidRPr="00E72418">
        <w:t>. La proposition fut faite aux créanciers ayant accepté les restructurations de 2005 et 2010 d’échanger leurs titres contre d’autres titres soumis soit au</w:t>
      </w:r>
      <w:r w:rsidR="00DA212F" w:rsidRPr="00E72418">
        <w:t>x</w:t>
      </w:r>
      <w:r w:rsidRPr="00E72418">
        <w:t xml:space="preserve"> droit et juridictions argentins, soit </w:t>
      </w:r>
      <w:r w:rsidR="00DA212F" w:rsidRPr="00E72418">
        <w:t>aux</w:t>
      </w:r>
      <w:r w:rsidRPr="00E72418">
        <w:t xml:space="preserve"> droit et juridictions français</w:t>
      </w:r>
      <w:r w:rsidR="001408D2" w:rsidRPr="00E72418">
        <w:t>, afin de tenter de contourner la portée de l’injonction new-yorkaise</w:t>
      </w:r>
      <w:r w:rsidRPr="00E72418">
        <w:rPr>
          <w:rStyle w:val="Appelnotedebasdep"/>
        </w:rPr>
        <w:footnoteReference w:id="560"/>
      </w:r>
      <w:r w:rsidRPr="00E72418">
        <w:t xml:space="preserve">. Par la loi n° 26.984, l’Argentine changea également d’agent fiduciaire </w:t>
      </w:r>
      <w:r w:rsidR="00B85F7F" w:rsidRPr="00E72418">
        <w:t xml:space="preserve">afin de </w:t>
      </w:r>
      <w:r w:rsidRPr="00E72418">
        <w:t>disposer d’un intermédiaire moins exposé aux décisions étatsuniennes</w:t>
      </w:r>
      <w:r w:rsidRPr="00E72418">
        <w:rPr>
          <w:rStyle w:val="Appelnotedebasdep"/>
        </w:rPr>
        <w:footnoteReference w:id="561"/>
      </w:r>
      <w:r w:rsidRPr="00E72418">
        <w:t xml:space="preserve">. Ces démarches visant à contourner l’injonction du 23 février 2012 conduisirent </w:t>
      </w:r>
      <w:r w:rsidRPr="00E72418">
        <w:rPr>
          <w:rFonts w:cs="Times New Roman"/>
          <w:szCs w:val="24"/>
        </w:rPr>
        <w:t xml:space="preserve">la </w:t>
      </w:r>
      <w:r w:rsidRPr="00C6627B">
        <w:rPr>
          <w:rFonts w:cs="Times New Roman"/>
          <w:szCs w:val="24"/>
        </w:rPr>
        <w:t xml:space="preserve">United States District Court for the Southern District of New </w:t>
      </w:r>
      <w:r w:rsidRPr="00C6627B">
        <w:rPr>
          <w:rFonts w:cs="Times New Roman"/>
          <w:szCs w:val="24"/>
        </w:rPr>
        <w:lastRenderedPageBreak/>
        <w:t xml:space="preserve">York </w:t>
      </w:r>
      <w:r w:rsidRPr="00E72418">
        <w:rPr>
          <w:rFonts w:cs="Times New Roman"/>
          <w:szCs w:val="24"/>
        </w:rPr>
        <w:t xml:space="preserve">à retenir, par une décision du 29 septembre 2014, que la République argentine était en </w:t>
      </w:r>
      <w:r w:rsidRPr="00E72418">
        <w:rPr>
          <w:rFonts w:cs="Times New Roman"/>
          <w:i/>
          <w:szCs w:val="24"/>
        </w:rPr>
        <w:t>contempt of court</w:t>
      </w:r>
      <w:r w:rsidR="00317E07" w:rsidRPr="00E72418">
        <w:rPr>
          <w:rStyle w:val="Appelnotedebasdep"/>
          <w:rFonts w:cs="Times New Roman"/>
          <w:szCs w:val="24"/>
        </w:rPr>
        <w:footnoteReference w:id="562"/>
      </w:r>
      <w:r w:rsidR="00AF6419" w:rsidRPr="00E72418">
        <w:rPr>
          <w:rFonts w:cs="Times New Roman"/>
          <w:szCs w:val="24"/>
          <w:vertAlign w:val="superscript"/>
        </w:rPr>
        <w:t>,</w:t>
      </w:r>
      <w:r w:rsidR="00AF6419" w:rsidRPr="00E72418">
        <w:rPr>
          <w:rStyle w:val="Appelnotedebasdep"/>
          <w:rFonts w:cs="Times New Roman"/>
          <w:szCs w:val="24"/>
        </w:rPr>
        <w:footnoteReference w:id="563"/>
      </w:r>
      <w:r w:rsidRPr="00E72418">
        <w:rPr>
          <w:rFonts w:cs="Times New Roman"/>
          <w:szCs w:val="24"/>
        </w:rPr>
        <w:t>.</w:t>
      </w:r>
    </w:p>
    <w:p w14:paraId="6EABDD06" w14:textId="77777777" w:rsidR="00407942" w:rsidRPr="00E72418" w:rsidRDefault="00407942" w:rsidP="00CC4BA8">
      <w:pPr>
        <w:spacing w:line="276" w:lineRule="auto"/>
        <w:rPr>
          <w:rFonts w:cs="Times New Roman"/>
          <w:szCs w:val="24"/>
        </w:rPr>
      </w:pPr>
      <w:r w:rsidRPr="00E72418">
        <w:t>Les créanciers prirent le parti de ne pas accepter l’offre</w:t>
      </w:r>
      <w:r w:rsidR="00DA212F" w:rsidRPr="00E72418">
        <w:t xml:space="preserve"> argentine</w:t>
      </w:r>
      <w:r w:rsidRPr="00E72418">
        <w:t>, convaincus que la poursuite de leur refus les conduirait à un meilleur résultat</w:t>
      </w:r>
      <w:r w:rsidRPr="00E72418">
        <w:rPr>
          <w:rStyle w:val="Appelnotedebasdep"/>
        </w:rPr>
        <w:footnoteReference w:id="564"/>
      </w:r>
      <w:r w:rsidRPr="00E72418">
        <w:t>.</w:t>
      </w:r>
    </w:p>
    <w:p w14:paraId="524B1D19" w14:textId="77777777" w:rsidR="00B45C7B" w:rsidRPr="00E72418" w:rsidRDefault="00B45C7B" w:rsidP="00423B60"/>
    <w:p w14:paraId="26A833E8" w14:textId="2F41C15E" w:rsidR="00B45C7B" w:rsidRPr="00E72418" w:rsidRDefault="000764CE" w:rsidP="00CC4BA8">
      <w:pPr>
        <w:pStyle w:val="DD"/>
        <w:spacing w:line="276" w:lineRule="auto"/>
      </w:pPr>
      <w:bookmarkStart w:id="121" w:name="_Toc59280906"/>
      <w:bookmarkStart w:id="122" w:name="_Toc84540894"/>
      <w:r w:rsidRPr="00E72418">
        <w:t xml:space="preserve">Section 5 : </w:t>
      </w:r>
      <w:r w:rsidR="00B45C7B" w:rsidRPr="00E72418">
        <w:t>L’accord de 2016</w:t>
      </w:r>
      <w:bookmarkEnd w:id="121"/>
      <w:bookmarkEnd w:id="122"/>
    </w:p>
    <w:p w14:paraId="1768453D" w14:textId="77777777" w:rsidR="00423B60" w:rsidRPr="00E72418" w:rsidRDefault="00423B60" w:rsidP="00423B60"/>
    <w:p w14:paraId="1DF9B0EF" w14:textId="6A49B730" w:rsidR="00B45C7B" w:rsidRPr="00E72418" w:rsidRDefault="007F038F" w:rsidP="00CC4BA8">
      <w:pPr>
        <w:spacing w:line="276" w:lineRule="auto"/>
      </w:pPr>
      <w:r w:rsidRPr="00E72418">
        <w:rPr>
          <w:b/>
        </w:rPr>
        <w:t>97</w:t>
      </w:r>
      <w:r w:rsidR="007E31CD" w:rsidRPr="00E72418">
        <w:rPr>
          <w:b/>
        </w:rPr>
        <w:t xml:space="preserve">. </w:t>
      </w:r>
      <w:r w:rsidR="00B45C7B" w:rsidRPr="00E72418">
        <w:rPr>
          <w:b/>
        </w:rPr>
        <w:t>Le changement de circonstances –</w:t>
      </w:r>
      <w:r w:rsidR="00B45C7B" w:rsidRPr="00E72418">
        <w:t xml:space="preserve"> L’élection de Mauricio Macri à la présidence argentine fin 2015 permit un changement de cap permettant la reprise de négociations avec les créanciers</w:t>
      </w:r>
      <w:r w:rsidR="00B45C7B" w:rsidRPr="00E72418">
        <w:rPr>
          <w:rStyle w:val="Appelnotedebasdep"/>
          <w:rFonts w:cs="Times New Roman"/>
          <w:szCs w:val="24"/>
        </w:rPr>
        <w:footnoteReference w:id="565"/>
      </w:r>
      <w:r w:rsidR="00B45C7B" w:rsidRPr="00E72418">
        <w:t xml:space="preserve">. </w:t>
      </w:r>
      <w:r w:rsidR="0090174B" w:rsidRPr="00E72418">
        <w:t>Par ailleurs, s’en</w:t>
      </w:r>
      <w:r w:rsidR="00B45C7B" w:rsidRPr="00E72418">
        <w:t>suivit également un retour du pays sur les marchés des capitaux</w:t>
      </w:r>
      <w:r w:rsidR="00B45C7B" w:rsidRPr="00E72418">
        <w:rPr>
          <w:rStyle w:val="Appelnotedebasdep"/>
          <w:rFonts w:cs="Times New Roman"/>
          <w:szCs w:val="24"/>
        </w:rPr>
        <w:footnoteReference w:id="566"/>
      </w:r>
      <w:r w:rsidR="00B45C7B" w:rsidRPr="00E72418">
        <w:t xml:space="preserve">. La poursuite d’une vision orthodoxe et libérale de l’économie et d’un retour à une </w:t>
      </w:r>
      <w:r w:rsidR="00B45C7B" w:rsidRPr="00E72418">
        <w:lastRenderedPageBreak/>
        <w:t xml:space="preserve">logique </w:t>
      </w:r>
      <w:r w:rsidR="00A552BF" w:rsidRPr="00E72418">
        <w:t>d’émission de dette</w:t>
      </w:r>
      <w:r w:rsidR="00B45C7B" w:rsidRPr="00E72418">
        <w:t xml:space="preserve"> externe par la nouvelle présidence conduisit à ce que le conflit opposant le pays aux fonds spéculatifs devienne une quest</w:t>
      </w:r>
      <w:r w:rsidR="00E22B8B" w:rsidRPr="00E72418">
        <w:t>ion centrale et prioritaire du G</w:t>
      </w:r>
      <w:r w:rsidR="00B45C7B" w:rsidRPr="00E72418">
        <w:t>ouvernement</w:t>
      </w:r>
      <w:r w:rsidR="00B45C7B" w:rsidRPr="00E72418">
        <w:rPr>
          <w:rStyle w:val="Appelnotedebasdep"/>
          <w:rFonts w:cs="Times New Roman"/>
          <w:szCs w:val="24"/>
        </w:rPr>
        <w:footnoteReference w:id="567"/>
      </w:r>
      <w:r w:rsidR="00B45C7B" w:rsidRPr="00E72418">
        <w:t xml:space="preserve">. Aussi, l’importance de la clause </w:t>
      </w:r>
      <w:r w:rsidR="00A552BF" w:rsidRPr="00E72418">
        <w:rPr>
          <w:i/>
        </w:rPr>
        <w:t>rights upon future o</w:t>
      </w:r>
      <w:r w:rsidR="00B45C7B" w:rsidRPr="00E72418">
        <w:rPr>
          <w:i/>
        </w:rPr>
        <w:t>ffers</w:t>
      </w:r>
      <w:r w:rsidR="00B45C7B" w:rsidRPr="00E72418">
        <w:t xml:space="preserve">, décrite par certains comme « the most serious potential monetary liabilities previously faced by Argentina », </w:t>
      </w:r>
      <w:r w:rsidR="00A552BF" w:rsidRPr="00E72418">
        <w:t>était</w:t>
      </w:r>
      <w:r w:rsidR="00B45C7B" w:rsidRPr="00E72418">
        <w:t xml:space="preserve"> telle que son expiration fin 2014 « helps lessen the barriers to a settlement with NML »</w:t>
      </w:r>
      <w:r w:rsidR="00B45C7B" w:rsidRPr="00E72418">
        <w:rPr>
          <w:rStyle w:val="Appelnotedebasdep"/>
        </w:rPr>
        <w:footnoteReference w:id="568"/>
      </w:r>
      <w:r w:rsidR="00B45C7B" w:rsidRPr="00E72418">
        <w:t xml:space="preserve">. </w:t>
      </w:r>
    </w:p>
    <w:p w14:paraId="0F0575E0" w14:textId="77777777" w:rsidR="00B45C7B" w:rsidRPr="00E72418" w:rsidRDefault="00B45C7B" w:rsidP="00423B60"/>
    <w:p w14:paraId="20DE3D5D" w14:textId="286A9C52" w:rsidR="00B45C7B" w:rsidRPr="00E72418" w:rsidRDefault="007F038F" w:rsidP="00CC4BA8">
      <w:pPr>
        <w:spacing w:line="276" w:lineRule="auto"/>
      </w:pPr>
      <w:r w:rsidRPr="00E72418">
        <w:rPr>
          <w:b/>
        </w:rPr>
        <w:t>98</w:t>
      </w:r>
      <w:r w:rsidR="007E31CD" w:rsidRPr="00E72418">
        <w:rPr>
          <w:b/>
        </w:rPr>
        <w:t xml:space="preserve">. </w:t>
      </w:r>
      <w:r w:rsidR="00B45C7B" w:rsidRPr="00E72418">
        <w:rPr>
          <w:b/>
        </w:rPr>
        <w:t>Les modalités convenues –</w:t>
      </w:r>
      <w:r w:rsidR="00B45C7B" w:rsidRPr="00E72418">
        <w:t xml:space="preserve"> Le changement de circonstances </w:t>
      </w:r>
      <w:r w:rsidR="0052587C" w:rsidRPr="00E72418">
        <w:t xml:space="preserve">décrit </w:t>
      </w:r>
      <w:r w:rsidR="00E22B8B" w:rsidRPr="00E72418">
        <w:t>permit que le G</w:t>
      </w:r>
      <w:r w:rsidR="00B45C7B" w:rsidRPr="00E72418">
        <w:t>ouvernement argentin parvienne en février 2016 à un accord avec ses créanciers récalcitrants</w:t>
      </w:r>
      <w:r w:rsidR="0047304C" w:rsidRPr="00E72418">
        <w:t xml:space="preserve">, dont notamment la société </w:t>
      </w:r>
      <w:r w:rsidR="0047304C" w:rsidRPr="00E72418">
        <w:rPr>
          <w:i/>
        </w:rPr>
        <w:t>NML Capital Ltd</w:t>
      </w:r>
      <w:r w:rsidR="00B45C7B" w:rsidRPr="00E72418">
        <w:t xml:space="preserve">. L’accord </w:t>
      </w:r>
      <w:r w:rsidR="0052587C" w:rsidRPr="00E72418">
        <w:t>fut</w:t>
      </w:r>
      <w:r w:rsidR="00B45C7B" w:rsidRPr="00E72418">
        <w:t xml:space="preserve"> approuvé par la Chambre argentine le 16 mars 2016 et par le </w:t>
      </w:r>
      <w:r w:rsidR="00B6212E" w:rsidRPr="00E72418">
        <w:t xml:space="preserve">Sénat argentin le 30 mars 2016. </w:t>
      </w:r>
      <w:r w:rsidR="0052587C" w:rsidRPr="00E72418">
        <w:t>L’accord portait</w:t>
      </w:r>
      <w:r w:rsidR="00B45C7B" w:rsidRPr="00E72418">
        <w:t xml:space="preserve"> sur un montant de </w:t>
      </w:r>
      <w:r w:rsidR="0052587C" w:rsidRPr="00E72418">
        <w:t xml:space="preserve">plus de quatre milliards et demi de dollars </w:t>
      </w:r>
      <w:r w:rsidR="00B45C7B" w:rsidRPr="00E72418">
        <w:t>en principal et intérêts</w:t>
      </w:r>
      <w:r w:rsidR="00B45C7B" w:rsidRPr="00E72418">
        <w:rPr>
          <w:rStyle w:val="Appelnotedebasdep"/>
          <w:rFonts w:cs="Times New Roman"/>
          <w:szCs w:val="24"/>
        </w:rPr>
        <w:footnoteReference w:id="569"/>
      </w:r>
      <w:r w:rsidR="00B45C7B" w:rsidRPr="00E72418">
        <w:t xml:space="preserve">. En sus du remboursement des titres à leur valeur faciale, </w:t>
      </w:r>
      <w:r w:rsidR="0047304C" w:rsidRPr="00E72418">
        <w:t>la République argentine</w:t>
      </w:r>
      <w:r w:rsidR="00B45C7B" w:rsidRPr="00E72418">
        <w:t xml:space="preserve"> procéda</w:t>
      </w:r>
      <w:r w:rsidR="0052587C" w:rsidRPr="00E72418">
        <w:t>it</w:t>
      </w:r>
      <w:r w:rsidR="00B45C7B" w:rsidRPr="00E72418">
        <w:t xml:space="preserve"> au paiement d’intérêts exorbitants mais également de pénalités de retard</w:t>
      </w:r>
      <w:r w:rsidR="00B45C7B" w:rsidRPr="00E72418">
        <w:rPr>
          <w:rStyle w:val="Appelnotedebasdep"/>
        </w:rPr>
        <w:footnoteReference w:id="570"/>
      </w:r>
      <w:r w:rsidR="00B45C7B" w:rsidRPr="00E72418">
        <w:t>. Par ailleurs, l’Argentine accepta de régler à ses créanciers des millions de dollars de frais de justice</w:t>
      </w:r>
      <w:r w:rsidR="00B45C7B" w:rsidRPr="00E72418">
        <w:rPr>
          <w:rStyle w:val="Appelnotedebasdep"/>
          <w:rFonts w:cs="Times New Roman"/>
          <w:szCs w:val="24"/>
        </w:rPr>
        <w:footnoteReference w:id="571"/>
      </w:r>
      <w:r w:rsidR="00B45C7B" w:rsidRPr="00E72418">
        <w:t xml:space="preserve">. Avec </w:t>
      </w:r>
      <w:r w:rsidR="0052587C" w:rsidRPr="00E72418">
        <w:t>cet accord, le pays désintéressa</w:t>
      </w:r>
      <w:r w:rsidR="00B45C7B" w:rsidRPr="00E72418">
        <w:t xml:space="preserve"> notamment le fonds spéculatif </w:t>
      </w:r>
      <w:r w:rsidR="00B45C7B" w:rsidRPr="00E72418">
        <w:rPr>
          <w:i/>
        </w:rPr>
        <w:t xml:space="preserve">NML Capital Ltd. </w:t>
      </w:r>
      <w:r w:rsidR="00B45C7B" w:rsidRPr="00E72418">
        <w:t>Pour lever les fonds nécessaires à cet a</w:t>
      </w:r>
      <w:r w:rsidR="0052587C" w:rsidRPr="00E72418">
        <w:t>ccord, l’Argentine procéda</w:t>
      </w:r>
      <w:r w:rsidR="00B45C7B" w:rsidRPr="00E72418">
        <w:t xml:space="preserve"> à la plus grande vente d’obligations jamais réalisée par un pays en développement</w:t>
      </w:r>
      <w:r w:rsidR="0052587C" w:rsidRPr="00E72418">
        <w:t>, portant sur un montant de seize</w:t>
      </w:r>
      <w:r w:rsidR="00B45C7B" w:rsidRPr="00E72418">
        <w:t xml:space="preserve"> milliards </w:t>
      </w:r>
      <w:r w:rsidR="0052587C" w:rsidRPr="00E72418">
        <w:t xml:space="preserve">et demi </w:t>
      </w:r>
      <w:r w:rsidR="00B45C7B" w:rsidRPr="00E72418">
        <w:t>de dollars et assortie d’un taux d’</w:t>
      </w:r>
      <w:r w:rsidR="0052587C" w:rsidRPr="00E72418">
        <w:t>intérêt compris entre six et demi et huit</w:t>
      </w:r>
      <w:r w:rsidR="006637ED" w:rsidRPr="00E72418">
        <w:t xml:space="preserve"> pour</w:t>
      </w:r>
      <w:r w:rsidR="00235356" w:rsidRPr="00E72418">
        <w:t xml:space="preserve"> cent</w:t>
      </w:r>
      <w:r w:rsidR="00B45C7B" w:rsidRPr="00E72418">
        <w:rPr>
          <w:rStyle w:val="Appelnotedebasdep"/>
          <w:rFonts w:cs="Times New Roman"/>
          <w:szCs w:val="24"/>
        </w:rPr>
        <w:footnoteReference w:id="572"/>
      </w:r>
      <w:r w:rsidR="00B45C7B" w:rsidRPr="00E72418">
        <w:t>.</w:t>
      </w:r>
    </w:p>
    <w:p w14:paraId="508D8932" w14:textId="76385C01" w:rsidR="0052587C" w:rsidRPr="00E72418" w:rsidRDefault="007F038F" w:rsidP="00CC4BA8">
      <w:pPr>
        <w:spacing w:line="276" w:lineRule="auto"/>
      </w:pPr>
      <w:r w:rsidRPr="00E72418">
        <w:rPr>
          <w:b/>
        </w:rPr>
        <w:lastRenderedPageBreak/>
        <w:t>99</w:t>
      </w:r>
      <w:r w:rsidR="007E31CD" w:rsidRPr="00E72418">
        <w:rPr>
          <w:b/>
        </w:rPr>
        <w:t xml:space="preserve">. </w:t>
      </w:r>
      <w:r w:rsidR="00B45C7B" w:rsidRPr="00E72418">
        <w:rPr>
          <w:b/>
        </w:rPr>
        <w:t>Les critiques et conséquences –</w:t>
      </w:r>
      <w:r w:rsidR="000C715A" w:rsidRPr="00E72418">
        <w:rPr>
          <w:b/>
        </w:rPr>
        <w:t xml:space="preserve"> </w:t>
      </w:r>
      <w:r w:rsidR="00915173" w:rsidRPr="00E72418">
        <w:t xml:space="preserve">Martin </w:t>
      </w:r>
      <w:r w:rsidR="00B45C7B" w:rsidRPr="00E72418">
        <w:t>Guzman</w:t>
      </w:r>
      <w:r w:rsidR="000C715A" w:rsidRPr="00E72418">
        <w:t xml:space="preserve"> et </w:t>
      </w:r>
      <w:r w:rsidR="00915173" w:rsidRPr="00E72418">
        <w:t xml:space="preserve">Joseph </w:t>
      </w:r>
      <w:r w:rsidR="000C715A" w:rsidRPr="00E72418">
        <w:t>Stiglitz</w:t>
      </w:r>
      <w:r w:rsidR="00B45C7B" w:rsidRPr="00E72418">
        <w:t xml:space="preserve"> analysèrent que cet accord « </w:t>
      </w:r>
      <w:r w:rsidR="00B45C7B" w:rsidRPr="00E72418">
        <w:rPr>
          <w:shd w:val="clear" w:color="auto" w:fill="FFFFFF"/>
        </w:rPr>
        <w:t xml:space="preserve">was excellent news for a small group of well-connected investors, and terrible news for the rest of the world, especially countries that face their own debt crises in the future </w:t>
      </w:r>
      <w:r w:rsidR="00B45C7B" w:rsidRPr="00E72418">
        <w:t xml:space="preserve">», ces auteurs </w:t>
      </w:r>
      <w:r w:rsidR="0052587C" w:rsidRPr="00E72418">
        <w:t>calculant</w:t>
      </w:r>
      <w:r w:rsidR="00B45C7B" w:rsidRPr="00E72418">
        <w:t xml:space="preserve"> un retour de </w:t>
      </w:r>
      <w:r w:rsidR="0052587C" w:rsidRPr="00E72418">
        <w:t>plus de deux</w:t>
      </w:r>
      <w:r w:rsidR="00B45C7B" w:rsidRPr="00E72418">
        <w:t xml:space="preserve"> milliards de dollars pou</w:t>
      </w:r>
      <w:r w:rsidR="0052587C" w:rsidRPr="00E72418">
        <w:t>r un investissem</w:t>
      </w:r>
      <w:r w:rsidR="00B6212E" w:rsidRPr="00E72418">
        <w:t>ent de départ d’environ cent septante</w:t>
      </w:r>
      <w:r w:rsidR="0052587C" w:rsidRPr="00E72418">
        <w:t>-sept</w:t>
      </w:r>
      <w:r w:rsidR="00B45C7B" w:rsidRPr="00E72418">
        <w:t xml:space="preserve"> millions</w:t>
      </w:r>
      <w:r w:rsidR="00B6212E" w:rsidRPr="00E72418">
        <w:t>, soit un rendement de plus de mille pour cent</w:t>
      </w:r>
      <w:r w:rsidR="00B45C7B" w:rsidRPr="00E72418">
        <w:rPr>
          <w:rStyle w:val="Appelnotedebasdep"/>
          <w:rFonts w:cs="Times New Roman"/>
          <w:szCs w:val="24"/>
        </w:rPr>
        <w:footnoteReference w:id="573"/>
      </w:r>
      <w:r w:rsidR="00B45C7B" w:rsidRPr="00E72418">
        <w:t xml:space="preserve">. </w:t>
      </w:r>
    </w:p>
    <w:p w14:paraId="60D520E6" w14:textId="20166CF0" w:rsidR="00B45C7B" w:rsidRPr="00E72418" w:rsidRDefault="00B45C7B" w:rsidP="00CC4BA8">
      <w:pPr>
        <w:spacing w:line="276" w:lineRule="auto"/>
      </w:pPr>
      <w:r w:rsidRPr="00E72418">
        <w:t xml:space="preserve">L’accord crée un précédent </w:t>
      </w:r>
      <w:r w:rsidR="0052587C" w:rsidRPr="00E72418">
        <w:t>convainquant</w:t>
      </w:r>
      <w:r w:rsidRPr="00E72418">
        <w:t xml:space="preserve"> </w:t>
      </w:r>
      <w:r w:rsidR="0052587C" w:rsidRPr="00E72418">
        <w:t>les fonds spéculatifs de l’opportunité de</w:t>
      </w:r>
      <w:r w:rsidRPr="00E72418">
        <w:t xml:space="preserve"> </w:t>
      </w:r>
      <w:r w:rsidR="0052587C" w:rsidRPr="00E72418">
        <w:t xml:space="preserve">s’acharner sur </w:t>
      </w:r>
      <w:r w:rsidRPr="00E72418">
        <w:t xml:space="preserve">les États en difficulté, la possibilité de gain </w:t>
      </w:r>
      <w:r w:rsidR="0052587C" w:rsidRPr="00E72418">
        <w:t>s’avérant</w:t>
      </w:r>
      <w:r w:rsidRPr="00E72418">
        <w:t xml:space="preserve"> </w:t>
      </w:r>
      <w:r w:rsidR="0052587C" w:rsidRPr="00E72418">
        <w:t xml:space="preserve">être </w:t>
      </w:r>
      <w:r w:rsidRPr="00E72418">
        <w:t xml:space="preserve">bien </w:t>
      </w:r>
      <w:r w:rsidR="0052587C" w:rsidRPr="00E72418">
        <w:t>réelle</w:t>
      </w:r>
      <w:r w:rsidRPr="00E72418">
        <w:t xml:space="preserve"> en matière de dettes souveraines</w:t>
      </w:r>
      <w:r w:rsidRPr="00E72418">
        <w:rPr>
          <w:rStyle w:val="Appelnotedebasdep"/>
          <w:rFonts w:cs="Times New Roman"/>
          <w:szCs w:val="24"/>
        </w:rPr>
        <w:footnoteReference w:id="574"/>
      </w:r>
      <w:r w:rsidRPr="00E72418">
        <w:t xml:space="preserve">. Plus encore, l’accord passé contrevient à l’idée d’un traitement identique de tous les créanciers. Comme le relèvent </w:t>
      </w:r>
      <w:r w:rsidR="00EA7FD2" w:rsidRPr="00E72418">
        <w:t xml:space="preserve">Pablo </w:t>
      </w:r>
      <w:r w:rsidRPr="00E72418">
        <w:t xml:space="preserve">Lopez et </w:t>
      </w:r>
      <w:r w:rsidR="00EA7FD2" w:rsidRPr="00E72418">
        <w:t xml:space="preserve">Cecilia </w:t>
      </w:r>
      <w:r w:rsidRPr="00E72418">
        <w:t>Nahon, « the Macri Administration’s deal enshrined inter-creditor inequity, not only in favour of holdouts vis-à-vis exchange bondholders but also among holdouts themselves »</w:t>
      </w:r>
      <w:r w:rsidRPr="00E72418">
        <w:rPr>
          <w:rStyle w:val="Appelnotedebasdep"/>
          <w:rFonts w:cs="Times New Roman"/>
          <w:szCs w:val="24"/>
        </w:rPr>
        <w:footnoteReference w:id="575"/>
      </w:r>
      <w:r w:rsidRPr="00E72418">
        <w:t>. De cette disparité de traitement entre les créanciers, le Comité consultatif du Conseil des droits de l’homme des Nations Unies retient que « </w:t>
      </w:r>
      <w:r w:rsidRPr="00E72418">
        <w:rPr>
          <w:rFonts w:ascii="Times New Roman" w:hAnsi="Times New Roman"/>
        </w:rPr>
        <w:t>[l]</w:t>
      </w:r>
      <w:r w:rsidRPr="00E72418">
        <w:t>e fait que les fonds vautours aient obtenu beaucoup plus que ce qui avait été versé aux créanciers coopératifs lors de la restructuration antérieure de la dette est inquiétant »</w:t>
      </w:r>
      <w:r w:rsidRPr="00E72418">
        <w:rPr>
          <w:rStyle w:val="Appelnotedebasdep"/>
          <w:szCs w:val="24"/>
        </w:rPr>
        <w:footnoteReference w:id="576"/>
      </w:r>
      <w:r w:rsidRPr="00E72418">
        <w:t xml:space="preserve">. </w:t>
      </w:r>
    </w:p>
    <w:p w14:paraId="6B5BFA4F" w14:textId="144139CA" w:rsidR="00B45C7B" w:rsidRPr="00E72418" w:rsidRDefault="00B45C7B" w:rsidP="00CC4BA8">
      <w:pPr>
        <w:spacing w:line="276" w:lineRule="auto"/>
      </w:pPr>
      <w:r w:rsidRPr="00E72418">
        <w:rPr>
          <w:rFonts w:cs="Times New Roman"/>
          <w:szCs w:val="24"/>
        </w:rPr>
        <w:t xml:space="preserve">Une augmentation de la dette suivit le paiement argentin de 2016. </w:t>
      </w:r>
      <w:r w:rsidRPr="00E72418">
        <w:t xml:space="preserve">Le retour sur les marchés </w:t>
      </w:r>
      <w:r w:rsidR="00793110" w:rsidRPr="00E72418">
        <w:t xml:space="preserve">financiers de la République argentine </w:t>
      </w:r>
      <w:r w:rsidR="00B777C3" w:rsidRPr="00E72418">
        <w:t>alla de pair</w:t>
      </w:r>
      <w:r w:rsidR="00FF5E08" w:rsidRPr="00E72418">
        <w:t xml:space="preserve"> avec des décisions de son g</w:t>
      </w:r>
      <w:r w:rsidRPr="00E72418">
        <w:t>ouvernement dans le sens de l’austérité afin de rassurer les investisseurs</w:t>
      </w:r>
      <w:r w:rsidRPr="00E72418">
        <w:rPr>
          <w:rStyle w:val="Appelnotedebasdep"/>
        </w:rPr>
        <w:footnoteReference w:id="577"/>
      </w:r>
      <w:r w:rsidRPr="00E72418">
        <w:t xml:space="preserve">. </w:t>
      </w:r>
      <w:r w:rsidR="00FF5E08" w:rsidRPr="00E72418">
        <w:rPr>
          <w:rFonts w:cs="Times New Roman"/>
          <w:szCs w:val="24"/>
        </w:rPr>
        <w:t>Le G</w:t>
      </w:r>
      <w:r w:rsidRPr="00E72418">
        <w:rPr>
          <w:rFonts w:cs="Times New Roman"/>
          <w:szCs w:val="24"/>
        </w:rPr>
        <w:t>ouvernem</w:t>
      </w:r>
      <w:r w:rsidR="00CD1572" w:rsidRPr="00E72418">
        <w:rPr>
          <w:rFonts w:cs="Times New Roman"/>
          <w:szCs w:val="24"/>
        </w:rPr>
        <w:t xml:space="preserve">ent </w:t>
      </w:r>
      <w:r w:rsidR="00FF5E08" w:rsidRPr="00E72418">
        <w:rPr>
          <w:rFonts w:cs="Times New Roman"/>
          <w:szCs w:val="24"/>
        </w:rPr>
        <w:t xml:space="preserve">argentin </w:t>
      </w:r>
      <w:r w:rsidR="00CD1572" w:rsidRPr="00E72418">
        <w:rPr>
          <w:rFonts w:cs="Times New Roman"/>
          <w:szCs w:val="24"/>
        </w:rPr>
        <w:t>annonça le retrait de toute restriction</w:t>
      </w:r>
      <w:r w:rsidRPr="00E72418">
        <w:rPr>
          <w:rFonts w:cs="Times New Roman"/>
          <w:szCs w:val="24"/>
        </w:rPr>
        <w:t xml:space="preserve"> aux flots de capitaux étrangers, la monnaie nationale</w:t>
      </w:r>
      <w:r w:rsidR="00793110" w:rsidRPr="00E72418">
        <w:rPr>
          <w:rFonts w:cs="Times New Roman"/>
          <w:szCs w:val="24"/>
        </w:rPr>
        <w:t xml:space="preserve"> fut dévaluée de près de quarante</w:t>
      </w:r>
      <w:r w:rsidRPr="00E72418">
        <w:rPr>
          <w:rFonts w:cs="Times New Roman"/>
          <w:szCs w:val="24"/>
        </w:rPr>
        <w:t xml:space="preserve"> pour</w:t>
      </w:r>
      <w:r w:rsidR="00235356" w:rsidRPr="00E72418">
        <w:rPr>
          <w:rFonts w:cs="Times New Roman"/>
          <w:szCs w:val="24"/>
        </w:rPr>
        <w:t xml:space="preserve"> cent</w:t>
      </w:r>
      <w:r w:rsidRPr="00E72418">
        <w:rPr>
          <w:rFonts w:cs="Times New Roman"/>
          <w:szCs w:val="24"/>
        </w:rPr>
        <w:t xml:space="preserve"> et la Banque centrale augmenta les taux d’intérêts de plus d’un tiers, tout ceci exposant l’économie argentine à des flots spéculatifs court-termistes très volatils</w:t>
      </w:r>
      <w:r w:rsidRPr="00E72418">
        <w:rPr>
          <w:rStyle w:val="Appelnotedebasdep"/>
          <w:rFonts w:cs="Times New Roman"/>
          <w:szCs w:val="24"/>
        </w:rPr>
        <w:footnoteReference w:id="578"/>
      </w:r>
      <w:r w:rsidRPr="00E72418">
        <w:rPr>
          <w:rFonts w:cs="Times New Roman"/>
          <w:szCs w:val="24"/>
        </w:rPr>
        <w:t xml:space="preserve">. Parallèlement à ces mesures, les taxes à l’exportation furent réduites ou éliminées. </w:t>
      </w:r>
      <w:r w:rsidRPr="00E72418">
        <w:t>Le pays connut une importante inflation ayant un impact considérable sur le niveau de vie de</w:t>
      </w:r>
      <w:r w:rsidR="00793110" w:rsidRPr="00E72418">
        <w:t>s</w:t>
      </w:r>
      <w:r w:rsidRPr="00E72418">
        <w:t xml:space="preserve"> classe</w:t>
      </w:r>
      <w:r w:rsidR="00793110" w:rsidRPr="00E72418">
        <w:t>s</w:t>
      </w:r>
      <w:r w:rsidRPr="00E72418">
        <w:t xml:space="preserve"> pauvre et moyenne</w:t>
      </w:r>
      <w:r w:rsidRPr="00E72418">
        <w:rPr>
          <w:rStyle w:val="Appelnotedebasdep"/>
        </w:rPr>
        <w:footnoteReference w:id="579"/>
      </w:r>
      <w:r w:rsidRPr="00E72418">
        <w:t>.</w:t>
      </w:r>
    </w:p>
    <w:p w14:paraId="429E91F9" w14:textId="77777777" w:rsidR="00CD4206" w:rsidRPr="00E72418" w:rsidRDefault="00CD4206" w:rsidP="00423B60"/>
    <w:p w14:paraId="5852DF3D" w14:textId="1EE4F236" w:rsidR="00B45C7B" w:rsidRPr="00E72418" w:rsidRDefault="00CD4206" w:rsidP="00CC4BA8">
      <w:pPr>
        <w:pStyle w:val="CC"/>
        <w:spacing w:line="276" w:lineRule="auto"/>
      </w:pPr>
      <w:bookmarkStart w:id="123" w:name="_Toc59280907"/>
      <w:bookmarkStart w:id="124" w:name="_Toc75106076"/>
      <w:bookmarkStart w:id="125" w:name="_Toc84540895"/>
      <w:r w:rsidRPr="00E72418">
        <w:lastRenderedPageBreak/>
        <w:t>Chapitre 2</w:t>
      </w:r>
      <w:r w:rsidR="000764CE" w:rsidRPr="00E72418">
        <w:t> :</w:t>
      </w:r>
      <w:r w:rsidR="000764CE" w:rsidRPr="00E72418">
        <w:rPr>
          <w:i/>
        </w:rPr>
        <w:t xml:space="preserve"> </w:t>
      </w:r>
      <w:r w:rsidR="00B45C7B" w:rsidRPr="00E72418">
        <w:rPr>
          <w:i/>
        </w:rPr>
        <w:t>Elliott Associates</w:t>
      </w:r>
      <w:r w:rsidR="00B45C7B" w:rsidRPr="00E72418">
        <w:t xml:space="preserve"> c. la République du Pérou</w:t>
      </w:r>
      <w:bookmarkEnd w:id="123"/>
      <w:bookmarkEnd w:id="124"/>
      <w:bookmarkEnd w:id="125"/>
    </w:p>
    <w:p w14:paraId="7E4B0292" w14:textId="77777777" w:rsidR="00B45C7B" w:rsidRPr="00E72418" w:rsidRDefault="00B45C7B" w:rsidP="00423B60">
      <w:pPr>
        <w:rPr>
          <w:highlight w:val="magenta"/>
        </w:rPr>
      </w:pPr>
    </w:p>
    <w:p w14:paraId="1EAE8BF5" w14:textId="6D1C5609" w:rsidR="00B45C7B"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100</w:t>
      </w:r>
      <w:r w:rsidR="007E31CD" w:rsidRPr="00E72418">
        <w:rPr>
          <w:rFonts w:ascii="Times New Roman" w:hAnsi="Times New Roman" w:cs="Times New Roman"/>
          <w:b/>
          <w:szCs w:val="24"/>
        </w:rPr>
        <w:t xml:space="preserve">. </w:t>
      </w:r>
      <w:r w:rsidR="00B45C7B" w:rsidRPr="00E72418">
        <w:rPr>
          <w:rFonts w:ascii="Times New Roman" w:hAnsi="Times New Roman" w:cs="Times New Roman"/>
          <w:b/>
          <w:szCs w:val="24"/>
        </w:rPr>
        <w:t>Le contexte –</w:t>
      </w:r>
      <w:r w:rsidR="00B45C7B" w:rsidRPr="00E72418">
        <w:rPr>
          <w:rFonts w:ascii="Times New Roman" w:hAnsi="Times New Roman" w:cs="Times New Roman"/>
          <w:szCs w:val="24"/>
        </w:rPr>
        <w:t xml:space="preserve"> Dans les anné</w:t>
      </w:r>
      <w:r w:rsidR="002A5235" w:rsidRPr="00E72418">
        <w:rPr>
          <w:rFonts w:ascii="Times New Roman" w:hAnsi="Times New Roman" w:cs="Times New Roman"/>
          <w:szCs w:val="24"/>
        </w:rPr>
        <w:t xml:space="preserve">es 90, la République du Pérou </w:t>
      </w:r>
      <w:r w:rsidR="00B45C7B" w:rsidRPr="00E72418">
        <w:rPr>
          <w:rFonts w:ascii="Times New Roman" w:hAnsi="Times New Roman" w:cs="Times New Roman"/>
          <w:szCs w:val="24"/>
        </w:rPr>
        <w:t>engagea une restructuration de sa dette dans le contexte d’un programme approuvé par le Fonds monétaire international</w:t>
      </w:r>
      <w:r w:rsidR="00B45C7B" w:rsidRPr="00E72418">
        <w:rPr>
          <w:rStyle w:val="Appelnotedebasdep"/>
          <w:rFonts w:ascii="Times New Roman" w:hAnsi="Times New Roman" w:cs="Times New Roman"/>
          <w:szCs w:val="24"/>
        </w:rPr>
        <w:footnoteReference w:id="580"/>
      </w:r>
      <w:r w:rsidR="00B45C7B" w:rsidRPr="00E72418">
        <w:rPr>
          <w:rFonts w:ascii="Times New Roman" w:hAnsi="Times New Roman" w:cs="Times New Roman"/>
          <w:szCs w:val="24"/>
        </w:rPr>
        <w:t>. Le plan de restructuration couvrait « virtually all of the external commercial debt owed by Peru and Peruvian public and private-sector debtors »</w:t>
      </w:r>
      <w:r w:rsidR="00B45C7B" w:rsidRPr="00E72418">
        <w:rPr>
          <w:rStyle w:val="Appelnotedebasdep"/>
          <w:rFonts w:ascii="Times New Roman" w:hAnsi="Times New Roman" w:cs="Times New Roman"/>
          <w:szCs w:val="24"/>
        </w:rPr>
        <w:footnoteReference w:id="581"/>
      </w:r>
      <w:r w:rsidR="00B45C7B" w:rsidRPr="00E72418">
        <w:rPr>
          <w:rFonts w:ascii="Times New Roman" w:hAnsi="Times New Roman" w:cs="Times New Roman"/>
          <w:szCs w:val="24"/>
        </w:rPr>
        <w:t>.</w:t>
      </w:r>
    </w:p>
    <w:p w14:paraId="293C05A8" w14:textId="77777777" w:rsidR="00B45C7B" w:rsidRPr="00E72418" w:rsidRDefault="00B45C7B" w:rsidP="00CC4BA8">
      <w:pPr>
        <w:spacing w:line="276" w:lineRule="auto"/>
      </w:pPr>
      <w:r w:rsidRPr="00E72418">
        <w:t xml:space="preserve">En 1996, le fonds d’investissement </w:t>
      </w:r>
      <w:r w:rsidRPr="00E72418">
        <w:rPr>
          <w:i/>
        </w:rPr>
        <w:t>Elliott Associates</w:t>
      </w:r>
      <w:r w:rsidRPr="00E72418">
        <w:t xml:space="preserve"> racheta plusieurs millions de dollars étatsuniens de prêts commerciaux accordés à la </w:t>
      </w:r>
      <w:r w:rsidRPr="00E72418">
        <w:rPr>
          <w:i/>
        </w:rPr>
        <w:t>Banco de la Nacion</w:t>
      </w:r>
      <w:r w:rsidRPr="00E72418">
        <w:t xml:space="preserve"> et à la </w:t>
      </w:r>
      <w:r w:rsidRPr="00E72418">
        <w:rPr>
          <w:i/>
        </w:rPr>
        <w:t xml:space="preserve">Banco Popular del Peru </w:t>
      </w:r>
      <w:r w:rsidRPr="00E72418">
        <w:t xml:space="preserve">garantis par la République du Pérou en vertu d’un accord de 1983. Alors que nombre de créanciers acceptèrent d’échanger </w:t>
      </w:r>
      <w:r w:rsidR="002A5235" w:rsidRPr="00E72418">
        <w:t>les titres</w:t>
      </w:r>
      <w:r w:rsidRPr="00E72418">
        <w:t xml:space="preserve"> qu’ils détenaient contre de </w:t>
      </w:r>
      <w:r w:rsidR="002A5235" w:rsidRPr="00E72418">
        <w:t xml:space="preserve">nouvelles obligations, quelques-uns comme </w:t>
      </w:r>
      <w:r w:rsidR="002A5235" w:rsidRPr="00E72418">
        <w:rPr>
          <w:i/>
        </w:rPr>
        <w:t>Elliott Associates</w:t>
      </w:r>
      <w:r w:rsidR="002A5235" w:rsidRPr="00E72418">
        <w:t xml:space="preserve"> ou encore </w:t>
      </w:r>
      <w:r w:rsidR="002A5235" w:rsidRPr="00E72418">
        <w:rPr>
          <w:i/>
        </w:rPr>
        <w:t>Pravin Bank</w:t>
      </w:r>
      <w:r w:rsidR="002A5235" w:rsidRPr="00E72418">
        <w:t xml:space="preserve"> </w:t>
      </w:r>
      <w:r w:rsidRPr="00E72418">
        <w:t>refusèrent.</w:t>
      </w:r>
    </w:p>
    <w:p w14:paraId="7EB1B4BA" w14:textId="77777777" w:rsidR="00B45C7B" w:rsidRPr="00E72418" w:rsidRDefault="00B45C7B" w:rsidP="00423B60"/>
    <w:p w14:paraId="026F3457" w14:textId="7FCC18D6" w:rsidR="00B45C7B" w:rsidRPr="00E72418" w:rsidRDefault="007F038F" w:rsidP="00CC4BA8">
      <w:pPr>
        <w:spacing w:line="276" w:lineRule="auto"/>
      </w:pPr>
      <w:r w:rsidRPr="00E72418">
        <w:rPr>
          <w:b/>
        </w:rPr>
        <w:t>101</w:t>
      </w:r>
      <w:r w:rsidR="007E31CD" w:rsidRPr="00E72418">
        <w:rPr>
          <w:b/>
        </w:rPr>
        <w:t xml:space="preserve">. </w:t>
      </w:r>
      <w:r w:rsidR="00B45C7B" w:rsidRPr="00E72418">
        <w:rPr>
          <w:b/>
        </w:rPr>
        <w:t xml:space="preserve">La procédure – </w:t>
      </w:r>
      <w:r w:rsidR="00B45C7B" w:rsidRPr="00E72418">
        <w:t xml:space="preserve">Face au refus de la République du Pérou d’honorer les dettes détenues par la société </w:t>
      </w:r>
      <w:r w:rsidR="00B45C7B" w:rsidRPr="00E72418">
        <w:rPr>
          <w:i/>
        </w:rPr>
        <w:t>Elliot</w:t>
      </w:r>
      <w:r w:rsidR="00D56658" w:rsidRPr="00E72418">
        <w:rPr>
          <w:i/>
        </w:rPr>
        <w:t>t</w:t>
      </w:r>
      <w:r w:rsidR="00B45C7B" w:rsidRPr="00E72418">
        <w:rPr>
          <w:i/>
        </w:rPr>
        <w:t xml:space="preserve"> Associates</w:t>
      </w:r>
      <w:r w:rsidR="00387252" w:rsidRPr="00E72418">
        <w:t xml:space="preserve">, </w:t>
      </w:r>
      <w:r w:rsidR="00B45C7B" w:rsidRPr="00E72418">
        <w:t>cette dernière s’</w:t>
      </w:r>
      <w:r w:rsidR="00387252" w:rsidRPr="00E72418">
        <w:t>engagea dans la voie judiciaire en intentant</w:t>
      </w:r>
      <w:r w:rsidR="00B45C7B" w:rsidRPr="00E72418">
        <w:rPr>
          <w:b/>
        </w:rPr>
        <w:t xml:space="preserve"> </w:t>
      </w:r>
      <w:r w:rsidR="0078463A" w:rsidRPr="00E72418">
        <w:t>en</w:t>
      </w:r>
      <w:r w:rsidR="00B45C7B" w:rsidRPr="00E72418">
        <w:t xml:space="preserve"> </w:t>
      </w:r>
      <w:r w:rsidR="00387252" w:rsidRPr="00E72418">
        <w:t>octobre 1996 un procès contre</w:t>
      </w:r>
      <w:r w:rsidR="00331721">
        <w:t xml:space="preserve"> la République du Pérou et </w:t>
      </w:r>
      <w:r w:rsidR="00B45C7B" w:rsidRPr="00E72418">
        <w:t xml:space="preserve">la </w:t>
      </w:r>
      <w:r w:rsidR="00B45C7B" w:rsidRPr="00E72418">
        <w:rPr>
          <w:i/>
        </w:rPr>
        <w:t>Banco de la Nacion</w:t>
      </w:r>
      <w:r w:rsidR="00B45C7B" w:rsidRPr="00E72418">
        <w:rPr>
          <w:rStyle w:val="Appelnotedebasdep"/>
          <w:rFonts w:ascii="Times New Roman" w:hAnsi="Times New Roman" w:cs="Times New Roman"/>
          <w:szCs w:val="24"/>
        </w:rPr>
        <w:footnoteReference w:id="582"/>
      </w:r>
      <w:r w:rsidR="00387252" w:rsidRPr="00E72418">
        <w:t>.</w:t>
      </w:r>
      <w:r w:rsidR="00B45C7B" w:rsidRPr="00E72418">
        <w:t xml:space="preserve"> </w:t>
      </w:r>
      <w:r w:rsidR="00387252" w:rsidRPr="00E72418">
        <w:t xml:space="preserve">La </w:t>
      </w:r>
      <w:r w:rsidR="00B45C7B" w:rsidRPr="00E72418">
        <w:t xml:space="preserve">procédure fut introduite une dizaine de jours avant la conclusion de l’accord </w:t>
      </w:r>
      <w:r w:rsidR="00387252" w:rsidRPr="00E72418">
        <w:t>« </w:t>
      </w:r>
      <w:r w:rsidR="00B45C7B" w:rsidRPr="00331721">
        <w:t>Brady</w:t>
      </w:r>
      <w:r w:rsidR="00387252" w:rsidRPr="00E72418">
        <w:t> »</w:t>
      </w:r>
      <w:r w:rsidR="00B45C7B" w:rsidRPr="00E72418">
        <w:t xml:space="preserve"> péruvien accepté par près de </w:t>
      </w:r>
      <w:r w:rsidR="00387252" w:rsidRPr="00E72418">
        <w:t>deux cents</w:t>
      </w:r>
      <w:r w:rsidR="00B45C7B" w:rsidRPr="00E72418">
        <w:t xml:space="preserve"> créanciers du pays</w:t>
      </w:r>
      <w:r w:rsidR="00B45C7B" w:rsidRPr="00E72418">
        <w:rPr>
          <w:rStyle w:val="Appelnotedebasdep"/>
          <w:rFonts w:ascii="Times New Roman" w:hAnsi="Times New Roman" w:cs="Times New Roman"/>
          <w:szCs w:val="24"/>
        </w:rPr>
        <w:footnoteReference w:id="583"/>
      </w:r>
      <w:r w:rsidR="00B45C7B" w:rsidRPr="00E72418">
        <w:t>.</w:t>
      </w:r>
    </w:p>
    <w:p w14:paraId="7F37AF50" w14:textId="29FC6713" w:rsidR="00B45C7B" w:rsidRPr="00E72418" w:rsidRDefault="00B45C7B" w:rsidP="00CC4BA8">
      <w:pPr>
        <w:spacing w:line="276" w:lineRule="auto"/>
      </w:pPr>
      <w:r w:rsidRPr="00E72418">
        <w:t xml:space="preserve">En première instance, </w:t>
      </w:r>
      <w:r w:rsidRPr="00E72418">
        <w:rPr>
          <w:rFonts w:ascii="Times New Roman" w:hAnsi="Times New Roman" w:cs="Times New Roman"/>
          <w:i/>
          <w:szCs w:val="24"/>
        </w:rPr>
        <w:t>Elliott Associates</w:t>
      </w:r>
      <w:r w:rsidRPr="00E72418">
        <w:rPr>
          <w:rFonts w:ascii="Times New Roman" w:hAnsi="Times New Roman" w:cs="Times New Roman"/>
          <w:szCs w:val="24"/>
        </w:rPr>
        <w:t xml:space="preserve"> </w:t>
      </w:r>
      <w:r w:rsidRPr="00E72418">
        <w:t xml:space="preserve">n’obtint pas gain de cause. Par une décision du 6 août 1998, la </w:t>
      </w:r>
      <w:r w:rsidRPr="00C6627B">
        <w:t>United States District Court for the Southern District of New York</w:t>
      </w:r>
      <w:r w:rsidRPr="00E72418">
        <w:rPr>
          <w:i/>
        </w:rPr>
        <w:t xml:space="preserve"> </w:t>
      </w:r>
      <w:r w:rsidRPr="00E72418">
        <w:t>retint que le créancie</w:t>
      </w:r>
      <w:r w:rsidR="00387252" w:rsidRPr="00E72418">
        <w:t xml:space="preserve">r avait méconnu la règle de la </w:t>
      </w:r>
      <w:r w:rsidR="00387252" w:rsidRPr="00E72418">
        <w:rPr>
          <w:i/>
        </w:rPr>
        <w:t>c</w:t>
      </w:r>
      <w:r w:rsidRPr="00E72418">
        <w:rPr>
          <w:i/>
        </w:rPr>
        <w:t>hamperty</w:t>
      </w:r>
      <w:r w:rsidRPr="00E72418">
        <w:t xml:space="preserve"> en faisant l’acquisition de la dette péruvienne avec l’intention et l’objectif</w:t>
      </w:r>
      <w:r w:rsidRPr="00E72418">
        <w:rPr>
          <w:i/>
        </w:rPr>
        <w:t xml:space="preserve"> </w:t>
      </w:r>
      <w:r w:rsidRPr="00E72418">
        <w:t>d’intenter une procédure en justice</w:t>
      </w:r>
      <w:r w:rsidRPr="00E72418">
        <w:rPr>
          <w:rStyle w:val="Appelnotedebasdep"/>
        </w:rPr>
        <w:footnoteReference w:id="584"/>
      </w:r>
      <w:r w:rsidRPr="00E72418">
        <w:t xml:space="preserve">. La juridiction </w:t>
      </w:r>
      <w:r w:rsidR="00D33E65" w:rsidRPr="00E72418">
        <w:t xml:space="preserve">new-yorkaise </w:t>
      </w:r>
      <w:r w:rsidRPr="00E72418">
        <w:t xml:space="preserve">pointa à l’appui </w:t>
      </w:r>
      <w:r w:rsidR="0044071B" w:rsidRPr="00E72418">
        <w:t>de son raisonnement les</w:t>
      </w:r>
      <w:r w:rsidRPr="00E72418">
        <w:t xml:space="preserve"> poursuite</w:t>
      </w:r>
      <w:r w:rsidR="0044071B" w:rsidRPr="00E72418">
        <w:t>s</w:t>
      </w:r>
      <w:r w:rsidRPr="00E72418">
        <w:t xml:space="preserve"> </w:t>
      </w:r>
      <w:r w:rsidR="00550645" w:rsidRPr="00E72418">
        <w:t xml:space="preserve">passées </w:t>
      </w:r>
      <w:r w:rsidRPr="00E72418">
        <w:t>d’</w:t>
      </w:r>
      <w:r w:rsidR="0044071B" w:rsidRPr="00E72418">
        <w:t xml:space="preserve">autres </w:t>
      </w:r>
      <w:r w:rsidRPr="00E72418">
        <w:rPr>
          <w:szCs w:val="24"/>
        </w:rPr>
        <w:t>É</w:t>
      </w:r>
      <w:r w:rsidRPr="00E72418">
        <w:t>tats débiteurs</w:t>
      </w:r>
      <w:r w:rsidR="0044071B" w:rsidRPr="00E72418">
        <w:t xml:space="preserve"> </w:t>
      </w:r>
      <w:r w:rsidR="00550645" w:rsidRPr="00E72418">
        <w:t>par</w:t>
      </w:r>
      <w:r w:rsidRPr="00E72418">
        <w:t xml:space="preserve"> la société créancière mais également le </w:t>
      </w:r>
      <w:r w:rsidR="0044071B" w:rsidRPr="00E72418">
        <w:t>moment</w:t>
      </w:r>
      <w:r w:rsidRPr="00E72418">
        <w:t xml:space="preserve"> de l’acquisition des titres ainsi que l’absence de réelles tentatives d’obtenir </w:t>
      </w:r>
      <w:r w:rsidR="0044071B" w:rsidRPr="00E72418">
        <w:t>leur paiement autrement que via l’introduction de procédures judiciaires</w:t>
      </w:r>
      <w:r w:rsidRPr="00E72418">
        <w:rPr>
          <w:rStyle w:val="Appelnotedebasdep"/>
        </w:rPr>
        <w:footnoteReference w:id="585"/>
      </w:r>
      <w:r w:rsidRPr="00E72418">
        <w:t>.</w:t>
      </w:r>
    </w:p>
    <w:p w14:paraId="164D9BBC" w14:textId="48BEFD17" w:rsidR="00B45C7B" w:rsidRPr="00E72418" w:rsidRDefault="00B45C7B" w:rsidP="00CC4BA8">
      <w:pPr>
        <w:spacing w:line="276" w:lineRule="auto"/>
      </w:pPr>
      <w:r w:rsidRPr="00E72418">
        <w:t xml:space="preserve">En octobre 1999, la </w:t>
      </w:r>
      <w:r w:rsidRPr="00C6627B">
        <w:t>United States Court of Appeals for the Second Circuit</w:t>
      </w:r>
      <w:r w:rsidRPr="00E72418">
        <w:t xml:space="preserve"> </w:t>
      </w:r>
      <w:r w:rsidR="0044071B" w:rsidRPr="00E72418">
        <w:t>réforma</w:t>
      </w:r>
      <w:r w:rsidRPr="00E72418">
        <w:t xml:space="preserve"> la décision de première instance et donna gain de cause </w:t>
      </w:r>
      <w:r w:rsidR="00D33E65" w:rsidRPr="00E72418">
        <w:t>au créancier</w:t>
      </w:r>
      <w:r w:rsidRPr="00E72418">
        <w:rPr>
          <w:rStyle w:val="Appelnotedebasdep"/>
        </w:rPr>
        <w:footnoteReference w:id="586"/>
      </w:r>
      <w:r w:rsidRPr="00E72418">
        <w:t xml:space="preserve">. </w:t>
      </w:r>
      <w:r w:rsidR="0044071B" w:rsidRPr="00E72418">
        <w:t>L</w:t>
      </w:r>
      <w:r w:rsidRPr="00E72418">
        <w:t xml:space="preserve">’argument de la </w:t>
      </w:r>
      <w:r w:rsidRPr="00E72418">
        <w:rPr>
          <w:i/>
        </w:rPr>
        <w:t>champerty</w:t>
      </w:r>
      <w:r w:rsidRPr="00E72418">
        <w:t xml:space="preserve"> avancé par le débiteur</w:t>
      </w:r>
      <w:r w:rsidR="0044071B" w:rsidRPr="00E72418">
        <w:t xml:space="preserve"> ne prospéra </w:t>
      </w:r>
      <w:r w:rsidR="00D33E65" w:rsidRPr="00E72418">
        <w:t>plus</w:t>
      </w:r>
      <w:r w:rsidR="0044071B" w:rsidRPr="00E72418">
        <w:t xml:space="preserve">, la juridiction </w:t>
      </w:r>
      <w:r w:rsidRPr="00E72418">
        <w:t xml:space="preserve">étant d’avis que le but premier poursuivi par </w:t>
      </w:r>
      <w:r w:rsidR="0044071B" w:rsidRPr="00E72418">
        <w:rPr>
          <w:i/>
        </w:rPr>
        <w:t>Elliott Associates</w:t>
      </w:r>
      <w:r w:rsidR="0044071B" w:rsidRPr="00E72418">
        <w:t xml:space="preserve"> en </w:t>
      </w:r>
      <w:r w:rsidRPr="00E72418">
        <w:t>fai</w:t>
      </w:r>
      <w:r w:rsidR="0044071B" w:rsidRPr="00E72418">
        <w:t>san</w:t>
      </w:r>
      <w:r w:rsidRPr="00E72418">
        <w:t xml:space="preserve">t acquisition de la créance </w:t>
      </w:r>
      <w:r w:rsidR="00D33E65" w:rsidRPr="00E72418">
        <w:t xml:space="preserve">péruvienne </w:t>
      </w:r>
      <w:r w:rsidRPr="00E72418">
        <w:t xml:space="preserve">sur le marché secondaire était de s’en faire payer l’entièreté et d’ainsi en tirer profit. L’intention </w:t>
      </w:r>
      <w:r w:rsidR="00D33E65" w:rsidRPr="00E72418">
        <w:t>d’</w:t>
      </w:r>
      <w:r w:rsidR="00D33E65" w:rsidRPr="00E72418">
        <w:rPr>
          <w:i/>
        </w:rPr>
        <w:t>Elliott Associates</w:t>
      </w:r>
      <w:r w:rsidRPr="00E72418">
        <w:t xml:space="preserve"> de </w:t>
      </w:r>
      <w:r w:rsidR="0044071B" w:rsidRPr="00E72418">
        <w:t>poursuivre cette créance en</w:t>
      </w:r>
      <w:r w:rsidRPr="00E72418">
        <w:t xml:space="preserve"> justice était</w:t>
      </w:r>
      <w:r w:rsidR="0044071B" w:rsidRPr="00E72418">
        <w:t xml:space="preserve">, du point de vue de la </w:t>
      </w:r>
      <w:r w:rsidR="00D33E65" w:rsidRPr="00E72418">
        <w:t>cour</w:t>
      </w:r>
      <w:r w:rsidR="0044071B" w:rsidRPr="00E72418">
        <w:t>,</w:t>
      </w:r>
      <w:r w:rsidRPr="00E72418">
        <w:t xml:space="preserve"> « </w:t>
      </w:r>
      <w:r w:rsidRPr="00E72418">
        <w:rPr>
          <w:rFonts w:cs="Times New Roman"/>
          <w:szCs w:val="24"/>
        </w:rPr>
        <w:t xml:space="preserve">incidental and </w:t>
      </w:r>
      <w:r w:rsidRPr="00E72418">
        <w:rPr>
          <w:rFonts w:cs="Times New Roman"/>
          <w:szCs w:val="24"/>
        </w:rPr>
        <w:lastRenderedPageBreak/>
        <w:t>contingent »</w:t>
      </w:r>
      <w:r w:rsidRPr="00E72418">
        <w:rPr>
          <w:rStyle w:val="Appelnotedebasdep"/>
          <w:rFonts w:cs="Times New Roman"/>
          <w:szCs w:val="24"/>
        </w:rPr>
        <w:footnoteReference w:id="587"/>
      </w:r>
      <w:r w:rsidRPr="00E72418">
        <w:rPr>
          <w:rFonts w:cs="Times New Roman"/>
          <w:szCs w:val="24"/>
        </w:rPr>
        <w:t xml:space="preserve">. La cour d’appel analysa </w:t>
      </w:r>
      <w:r w:rsidR="00D33E65" w:rsidRPr="00E72418">
        <w:rPr>
          <w:rFonts w:cs="Times New Roman"/>
          <w:szCs w:val="24"/>
        </w:rPr>
        <w:t xml:space="preserve">encore </w:t>
      </w:r>
      <w:r w:rsidRPr="00E72418">
        <w:rPr>
          <w:rFonts w:cs="Times New Roman"/>
          <w:szCs w:val="24"/>
        </w:rPr>
        <w:t xml:space="preserve">que la </w:t>
      </w:r>
      <w:r w:rsidRPr="00E72418">
        <w:rPr>
          <w:rFonts w:cs="Times New Roman"/>
          <w:i/>
          <w:szCs w:val="24"/>
        </w:rPr>
        <w:t>Banco de la Nacion</w:t>
      </w:r>
      <w:r w:rsidRPr="00E72418">
        <w:rPr>
          <w:rFonts w:cs="Times New Roman"/>
          <w:szCs w:val="24"/>
        </w:rPr>
        <w:t xml:space="preserve"> avait violé ses obligations de paiement tandis que la République du Pérou avait violé son obligation de garantie</w:t>
      </w:r>
      <w:r w:rsidRPr="00E72418">
        <w:rPr>
          <w:rStyle w:val="Appelnotedebasdep"/>
          <w:rFonts w:cs="Times New Roman"/>
          <w:szCs w:val="24"/>
        </w:rPr>
        <w:footnoteReference w:id="588"/>
      </w:r>
      <w:r w:rsidRPr="00E72418">
        <w:rPr>
          <w:rFonts w:cs="Times New Roman"/>
          <w:szCs w:val="24"/>
        </w:rPr>
        <w:t>.</w:t>
      </w:r>
    </w:p>
    <w:p w14:paraId="7E83A7B3" w14:textId="77777777" w:rsidR="00B45C7B" w:rsidRPr="00E72418" w:rsidRDefault="00B45C7B" w:rsidP="00423B60"/>
    <w:p w14:paraId="1BC58247" w14:textId="74759114" w:rsidR="00B45C7B" w:rsidRPr="00E72418" w:rsidRDefault="007F038F" w:rsidP="00CC4BA8">
      <w:pPr>
        <w:spacing w:line="276" w:lineRule="auto"/>
      </w:pPr>
      <w:r w:rsidRPr="00E72418">
        <w:rPr>
          <w:b/>
        </w:rPr>
        <w:t>102</w:t>
      </w:r>
      <w:r w:rsidR="007E31CD" w:rsidRPr="00E72418">
        <w:rPr>
          <w:b/>
        </w:rPr>
        <w:t xml:space="preserve">. </w:t>
      </w:r>
      <w:r w:rsidR="00B45C7B" w:rsidRPr="00E72418">
        <w:rPr>
          <w:b/>
        </w:rPr>
        <w:t>La recherche d’exécution –</w:t>
      </w:r>
      <w:r w:rsidR="00B45C7B" w:rsidRPr="00E72418">
        <w:t xml:space="preserve"> </w:t>
      </w:r>
      <w:r w:rsidR="00144A26" w:rsidRPr="00E72418">
        <w:t>En juin 2000, le fonds spéculatif obtint la condamnation de son débiteur souverain</w:t>
      </w:r>
      <w:r w:rsidR="00144A26" w:rsidRPr="00E72418">
        <w:rPr>
          <w:rStyle w:val="Appelnotedebasdep"/>
        </w:rPr>
        <w:footnoteReference w:id="589"/>
      </w:r>
      <w:r w:rsidR="00144A26" w:rsidRPr="00E72418">
        <w:t xml:space="preserve">. </w:t>
      </w:r>
      <w:r w:rsidR="00B45C7B" w:rsidRPr="00E72418">
        <w:t xml:space="preserve">Fort de la condamnation obtenue, </w:t>
      </w:r>
      <w:r w:rsidR="00DC0045" w:rsidRPr="00E72418">
        <w:rPr>
          <w:i/>
        </w:rPr>
        <w:t>Elliott Associates</w:t>
      </w:r>
      <w:r w:rsidR="00DC0045" w:rsidRPr="00E72418">
        <w:t xml:space="preserve"> </w:t>
      </w:r>
      <w:r w:rsidR="00B45C7B" w:rsidRPr="00E72418">
        <w:t xml:space="preserve">chercha à la faire exécuter. Pour ce faire, le pays ne disposant pas d’avoirs saisissables aux </w:t>
      </w:r>
      <w:r w:rsidR="00B45C7B" w:rsidRPr="00E72418">
        <w:rPr>
          <w:szCs w:val="24"/>
        </w:rPr>
        <w:t>É</w:t>
      </w:r>
      <w:r w:rsidR="00DC0045" w:rsidRPr="00E72418">
        <w:t xml:space="preserve">tats-Unis, le créancier </w:t>
      </w:r>
      <w:r w:rsidR="00B45C7B" w:rsidRPr="00E72418">
        <w:t xml:space="preserve">s’adressa à de multiples juridictions </w:t>
      </w:r>
      <w:r w:rsidR="00DC0045" w:rsidRPr="00E72418">
        <w:t>parmi lesquelles</w:t>
      </w:r>
      <w:r w:rsidR="00B45C7B" w:rsidRPr="00E72418">
        <w:t xml:space="preserve"> </w:t>
      </w:r>
      <w:r w:rsidR="00DC0045" w:rsidRPr="00E72418">
        <w:t xml:space="preserve">celles du </w:t>
      </w:r>
      <w:r w:rsidR="00B45C7B" w:rsidRPr="00E72418">
        <w:t xml:space="preserve">Canada, </w:t>
      </w:r>
      <w:r w:rsidR="00DC0045" w:rsidRPr="00E72418">
        <w:t xml:space="preserve">de </w:t>
      </w:r>
      <w:r w:rsidR="00B45C7B" w:rsidRPr="00E72418">
        <w:t xml:space="preserve">l’Allemagne, </w:t>
      </w:r>
      <w:r w:rsidR="00DC0045" w:rsidRPr="00E72418">
        <w:t>du</w:t>
      </w:r>
      <w:r w:rsidR="00B45C7B" w:rsidRPr="00E72418">
        <w:t xml:space="preserve"> </w:t>
      </w:r>
      <w:r w:rsidR="00DC0045" w:rsidRPr="00E72418">
        <w:t>Luxembourg, du</w:t>
      </w:r>
      <w:r w:rsidR="00B45C7B" w:rsidRPr="00E72418">
        <w:t xml:space="preserve"> Royaume-Uni ou encore</w:t>
      </w:r>
      <w:r w:rsidR="00DC0045" w:rsidRPr="00E72418">
        <w:t xml:space="preserve"> de</w:t>
      </w:r>
      <w:r w:rsidR="00B45C7B" w:rsidRPr="00E72418">
        <w:t xml:space="preserve"> la Belgique</w:t>
      </w:r>
      <w:r w:rsidR="00B45C7B" w:rsidRPr="00E72418">
        <w:rPr>
          <w:rStyle w:val="Appelnotedebasdep"/>
        </w:rPr>
        <w:footnoteReference w:id="590"/>
      </w:r>
      <w:r w:rsidR="00B45C7B" w:rsidRPr="00E72418">
        <w:t xml:space="preserve">. La stratégie </w:t>
      </w:r>
      <w:r w:rsidR="00DC0045" w:rsidRPr="00E72418">
        <w:t xml:space="preserve">poursuivie par </w:t>
      </w:r>
      <w:r w:rsidR="00144A26" w:rsidRPr="00E72418">
        <w:t>la société créancière</w:t>
      </w:r>
      <w:r w:rsidR="00B45C7B" w:rsidRPr="00E72418">
        <w:t xml:space="preserve"> </w:t>
      </w:r>
      <w:r w:rsidR="00DC0045" w:rsidRPr="00E72418">
        <w:t xml:space="preserve">fut celle de </w:t>
      </w:r>
      <w:r w:rsidR="00B45C7B" w:rsidRPr="00E72418">
        <w:t>cherch</w:t>
      </w:r>
      <w:r w:rsidR="00DC0045" w:rsidRPr="00E72418">
        <w:t>er</w:t>
      </w:r>
      <w:r w:rsidR="00B777C3" w:rsidRPr="00E72418">
        <w:t xml:space="preserve"> à se </w:t>
      </w:r>
      <w:r w:rsidR="00DC0045" w:rsidRPr="00E72418">
        <w:t xml:space="preserve">faire </w:t>
      </w:r>
      <w:r w:rsidR="00B777C3" w:rsidRPr="00E72418">
        <w:t>payer sur les montants du</w:t>
      </w:r>
      <w:r w:rsidR="00B45C7B" w:rsidRPr="00E72418">
        <w:t>s par la République du Pérou aux créanciers ayant accepté la restructuration</w:t>
      </w:r>
      <w:r w:rsidR="00B45C7B" w:rsidRPr="00E72418">
        <w:rPr>
          <w:rStyle w:val="Appelnotedebasdep"/>
        </w:rPr>
        <w:footnoteReference w:id="591"/>
      </w:r>
      <w:r w:rsidR="00B45C7B" w:rsidRPr="00E72418">
        <w:t>.</w:t>
      </w:r>
    </w:p>
    <w:p w14:paraId="0323A833" w14:textId="77777777" w:rsidR="00B45C7B" w:rsidRPr="00E72418" w:rsidRDefault="00B45C7B" w:rsidP="00CC4BA8">
      <w:pPr>
        <w:spacing w:line="276" w:lineRule="auto"/>
      </w:pPr>
      <w:r w:rsidRPr="00E72418">
        <w:t>Les actions entreprises par le fonds spéculatif conduisirent à ce que le Pérou manque le paiement d’un coupon dû à ses créanciers en septembre 2</w:t>
      </w:r>
      <w:r w:rsidR="00B777C3" w:rsidRPr="00E72418">
        <w:t>000. Le défaut de paiement décle</w:t>
      </w:r>
      <w:r w:rsidRPr="00E72418">
        <w:t xml:space="preserve">ncha un délai de grâce de trente jours avant </w:t>
      </w:r>
      <w:r w:rsidR="00DC0045" w:rsidRPr="00E72418">
        <w:t>le</w:t>
      </w:r>
      <w:r w:rsidRPr="00E72418">
        <w:t xml:space="preserve"> défaut formel</w:t>
      </w:r>
      <w:r w:rsidRPr="00E72418">
        <w:rPr>
          <w:rStyle w:val="Appelnotedebasdep"/>
        </w:rPr>
        <w:footnoteReference w:id="592"/>
      </w:r>
      <w:r w:rsidRPr="00E72418">
        <w:t xml:space="preserve">. Afin de l’éviter, le pays entreprit de payer ses créanciers </w:t>
      </w:r>
      <w:r w:rsidR="00DC0045" w:rsidRPr="00E72418">
        <w:t xml:space="preserve">coopérants </w:t>
      </w:r>
      <w:r w:rsidRPr="00E72418">
        <w:t xml:space="preserve">via le système de paiement </w:t>
      </w:r>
      <w:r w:rsidRPr="00E72418">
        <w:rPr>
          <w:i/>
        </w:rPr>
        <w:t>Euroclear</w:t>
      </w:r>
      <w:r w:rsidRPr="00E72418">
        <w:t>.</w:t>
      </w:r>
    </w:p>
    <w:p w14:paraId="09F86E2B" w14:textId="5C35CC3D" w:rsidR="00B45C7B" w:rsidRPr="00E72418" w:rsidRDefault="00DC0045" w:rsidP="00CC4BA8">
      <w:pPr>
        <w:spacing w:line="276" w:lineRule="auto"/>
      </w:pPr>
      <w:r w:rsidRPr="00E72418">
        <w:t>Informé</w:t>
      </w:r>
      <w:r w:rsidR="00B45C7B" w:rsidRPr="00E72418">
        <w:t xml:space="preserve"> de la manœuvre, </w:t>
      </w:r>
      <w:r w:rsidR="00B45C7B" w:rsidRPr="00E72418">
        <w:rPr>
          <w:i/>
        </w:rPr>
        <w:t>Elliott Associates</w:t>
      </w:r>
      <w:r w:rsidR="00B45C7B" w:rsidRPr="00E72418">
        <w:t xml:space="preserve"> attaqua les paiements </w:t>
      </w:r>
      <w:r w:rsidRPr="00E72418">
        <w:t>à</w:t>
      </w:r>
      <w:r w:rsidR="00B45C7B" w:rsidRPr="00E72418">
        <w:t xml:space="preserve"> intervenir </w:t>
      </w:r>
      <w:r w:rsidR="00E67B4D" w:rsidRPr="00E72418">
        <w:t>et</w:t>
      </w:r>
      <w:r w:rsidR="00B45C7B" w:rsidRPr="00E72418">
        <w:t xml:space="preserve"> introduisit devant le président du tribunal de commerc</w:t>
      </w:r>
      <w:r w:rsidR="003263DE" w:rsidRPr="00E72418">
        <w:t xml:space="preserve">e de Bruxelles une procédure </w:t>
      </w:r>
      <w:r w:rsidR="00D927AB" w:rsidRPr="00E72418">
        <w:t xml:space="preserve">sur requête unilatérale </w:t>
      </w:r>
      <w:r w:rsidR="003263DE" w:rsidRPr="00E72418">
        <w:t xml:space="preserve">en </w:t>
      </w:r>
      <w:r w:rsidR="00E67B4D" w:rsidRPr="00E72418">
        <w:t xml:space="preserve">septembre 2000 afin de les </w:t>
      </w:r>
      <w:r w:rsidR="00B45C7B" w:rsidRPr="00E72418">
        <w:t xml:space="preserve">empêcher. L’argument de la clause </w:t>
      </w:r>
      <w:r w:rsidR="00B45C7B" w:rsidRPr="00E72418">
        <w:rPr>
          <w:i/>
        </w:rPr>
        <w:t>pari passu</w:t>
      </w:r>
      <w:r w:rsidR="00E67B4D" w:rsidRPr="00E72418">
        <w:t xml:space="preserve"> fut mobilisé par</w:t>
      </w:r>
      <w:r w:rsidR="00B45C7B" w:rsidRPr="00E72418">
        <w:t xml:space="preserve"> </w:t>
      </w:r>
      <w:r w:rsidR="00144A26" w:rsidRPr="00E72418">
        <w:t xml:space="preserve">le fonds spéculatif </w:t>
      </w:r>
      <w:r w:rsidR="00B45C7B" w:rsidRPr="00E72418">
        <w:t xml:space="preserve">arguant </w:t>
      </w:r>
      <w:r w:rsidR="00144A26" w:rsidRPr="00E72418">
        <w:t xml:space="preserve">que cette clause </w:t>
      </w:r>
      <w:r w:rsidR="00B45C7B" w:rsidRPr="00E72418">
        <w:t xml:space="preserve">serait violée si un paiement </w:t>
      </w:r>
      <w:r w:rsidR="00E67B4D" w:rsidRPr="00E72418">
        <w:t>intervenait</w:t>
      </w:r>
      <w:r w:rsidR="00B45C7B" w:rsidRPr="00E72418">
        <w:t xml:space="preserve"> au pr</w:t>
      </w:r>
      <w:r w:rsidR="00B777C3" w:rsidRPr="00E72418">
        <w:t xml:space="preserve">ofit des créanciers </w:t>
      </w:r>
      <w:r w:rsidRPr="00E72418">
        <w:t>coopérants</w:t>
      </w:r>
      <w:r w:rsidR="00B45C7B" w:rsidRPr="00E72418">
        <w:t xml:space="preserve"> sans qu’</w:t>
      </w:r>
      <w:r w:rsidR="003263DE" w:rsidRPr="00E72418">
        <w:t>il en soit de même au profit d</w:t>
      </w:r>
      <w:r w:rsidR="00E67B4D" w:rsidRPr="00E72418">
        <w:t xml:space="preserve">es créanciers récalcitrants dont </w:t>
      </w:r>
      <w:r w:rsidR="00144A26" w:rsidRPr="00E72418">
        <w:rPr>
          <w:i/>
        </w:rPr>
        <w:t>Elliott Associates</w:t>
      </w:r>
      <w:r w:rsidR="00144A26" w:rsidRPr="00E72418">
        <w:t xml:space="preserve"> </w:t>
      </w:r>
      <w:r w:rsidR="00E67B4D" w:rsidRPr="00E72418">
        <w:t>faisait partie.</w:t>
      </w:r>
      <w:r w:rsidR="00B45C7B" w:rsidRPr="00E72418">
        <w:t xml:space="preserve"> Alors q</w:t>
      </w:r>
      <w:r w:rsidR="00E67B4D" w:rsidRPr="00E72418">
        <w:t>ue la société créancière n’obtint</w:t>
      </w:r>
      <w:r w:rsidR="00B45C7B" w:rsidRPr="00E72418">
        <w:t xml:space="preserve"> pas gain de cause en première inst</w:t>
      </w:r>
      <w:r w:rsidR="00462CD0" w:rsidRPr="00E72418">
        <w:t>ance, le 26 septembre 2000, la c</w:t>
      </w:r>
      <w:r w:rsidR="00B45C7B" w:rsidRPr="00E72418">
        <w:t xml:space="preserve">our d’appel de Bruxelles rendit une </w:t>
      </w:r>
      <w:r w:rsidR="00D927AB" w:rsidRPr="00E72418">
        <w:t>décision empêchant</w:t>
      </w:r>
      <w:r w:rsidR="00B45C7B" w:rsidRPr="00E72418">
        <w:t xml:space="preserve"> le paiement </w:t>
      </w:r>
      <w:r w:rsidR="00E67B4D" w:rsidRPr="00E72418">
        <w:t>de</w:t>
      </w:r>
      <w:r w:rsidR="00D927AB" w:rsidRPr="00E72418">
        <w:t>s</w:t>
      </w:r>
      <w:r w:rsidR="00B45C7B" w:rsidRPr="00E72418">
        <w:t xml:space="preserve"> obligations restructurées</w:t>
      </w:r>
      <w:r w:rsidR="00D927AB" w:rsidRPr="00E72418">
        <w:t xml:space="preserve"> péruviennes</w:t>
      </w:r>
      <w:r w:rsidR="003263DE" w:rsidRPr="00E72418">
        <w:rPr>
          <w:rStyle w:val="Appelnotedebasdep"/>
        </w:rPr>
        <w:footnoteReference w:id="593"/>
      </w:r>
      <w:r w:rsidR="00B45C7B" w:rsidRPr="00E72418">
        <w:t>.</w:t>
      </w:r>
    </w:p>
    <w:p w14:paraId="1AA71F99" w14:textId="77777777" w:rsidR="00B45C7B" w:rsidRPr="00E72418" w:rsidRDefault="00B45C7B" w:rsidP="00423B60">
      <w:pPr>
        <w:rPr>
          <w:highlight w:val="red"/>
        </w:rPr>
      </w:pPr>
    </w:p>
    <w:p w14:paraId="1873EEFE" w14:textId="44A6B34A" w:rsidR="00B45C7B" w:rsidRPr="00E72418" w:rsidRDefault="007F038F" w:rsidP="00CC4BA8">
      <w:pPr>
        <w:spacing w:line="276" w:lineRule="auto"/>
      </w:pPr>
      <w:r w:rsidRPr="00E72418">
        <w:rPr>
          <w:b/>
        </w:rPr>
        <w:lastRenderedPageBreak/>
        <w:t>103</w:t>
      </w:r>
      <w:r w:rsidR="007E31CD" w:rsidRPr="00E72418">
        <w:rPr>
          <w:b/>
        </w:rPr>
        <w:t xml:space="preserve">. </w:t>
      </w:r>
      <w:r w:rsidR="00B45C7B" w:rsidRPr="00E72418">
        <w:rPr>
          <w:b/>
        </w:rPr>
        <w:t>Le paiement par l’</w:t>
      </w:r>
      <w:r w:rsidR="00B45C7B" w:rsidRPr="00E72418">
        <w:rPr>
          <w:b/>
          <w:szCs w:val="24"/>
        </w:rPr>
        <w:t>É</w:t>
      </w:r>
      <w:r w:rsidR="00B45C7B" w:rsidRPr="00E72418">
        <w:rPr>
          <w:b/>
        </w:rPr>
        <w:t>tat débiteur –</w:t>
      </w:r>
      <w:r w:rsidR="00B45C7B" w:rsidRPr="00E72418">
        <w:t xml:space="preserve"> </w:t>
      </w:r>
      <w:r w:rsidR="00E67B4D" w:rsidRPr="00E72418">
        <w:t>À</w:t>
      </w:r>
      <w:r w:rsidR="00462CD0" w:rsidRPr="00E72418">
        <w:t xml:space="preserve"> la suite de la décision de la c</w:t>
      </w:r>
      <w:r w:rsidR="00B45C7B" w:rsidRPr="00E72418">
        <w:t>our d’appel de Bruxelles</w:t>
      </w:r>
      <w:r w:rsidR="00E67B4D" w:rsidRPr="00E72418">
        <w:t>, la République du Pérou n’eut</w:t>
      </w:r>
      <w:r w:rsidR="007272EC" w:rsidRPr="00E72418">
        <w:t xml:space="preserve"> plus d’autre</w:t>
      </w:r>
      <w:r w:rsidR="00B45C7B" w:rsidRPr="00E72418">
        <w:t xml:space="preserve"> choix que celui de payer </w:t>
      </w:r>
      <w:r w:rsidR="00E67B4D" w:rsidRPr="00E72418">
        <w:rPr>
          <w:i/>
        </w:rPr>
        <w:t>Elliott Associates</w:t>
      </w:r>
      <w:r w:rsidR="00E67B4D" w:rsidRPr="00E72418">
        <w:t xml:space="preserve"> </w:t>
      </w:r>
      <w:r w:rsidR="00B45C7B" w:rsidRPr="00E72418">
        <w:t xml:space="preserve">ou celui de faire défaut sur les titres restructurés. Face à ce choix cornélien, le pays </w:t>
      </w:r>
      <w:r w:rsidR="00B777C3" w:rsidRPr="00E72418">
        <w:t>décida de régler les montants du</w:t>
      </w:r>
      <w:r w:rsidR="00B45C7B" w:rsidRPr="00E72418">
        <w:t xml:space="preserve">s à </w:t>
      </w:r>
      <w:r w:rsidR="00E67B4D" w:rsidRPr="00E72418">
        <w:t>ce fonds spéculatif lui</w:t>
      </w:r>
      <w:r w:rsidR="00B45C7B" w:rsidRPr="00E72418">
        <w:t xml:space="preserve"> offrant </w:t>
      </w:r>
      <w:r w:rsidR="00E67B4D" w:rsidRPr="00E72418">
        <w:t xml:space="preserve">ainsi </w:t>
      </w:r>
      <w:r w:rsidR="00B45C7B" w:rsidRPr="00E72418">
        <w:t>un retour su</w:t>
      </w:r>
      <w:r w:rsidR="006637ED" w:rsidRPr="00E72418">
        <w:t xml:space="preserve">r investissement de plus de </w:t>
      </w:r>
      <w:r w:rsidR="00E67B4D" w:rsidRPr="00E72418">
        <w:t>quatre cents</w:t>
      </w:r>
      <w:r w:rsidR="006637ED" w:rsidRPr="00E72418">
        <w:t xml:space="preserve"> pour</w:t>
      </w:r>
      <w:r w:rsidR="00235356" w:rsidRPr="00E72418">
        <w:t xml:space="preserve"> cent</w:t>
      </w:r>
      <w:r w:rsidR="00B45C7B" w:rsidRPr="00E72418">
        <w:rPr>
          <w:rStyle w:val="Appelnotedebasdep"/>
        </w:rPr>
        <w:footnoteReference w:id="594"/>
      </w:r>
      <w:r w:rsidR="00B45C7B" w:rsidRPr="00E72418">
        <w:t>.</w:t>
      </w:r>
    </w:p>
    <w:p w14:paraId="32A43644" w14:textId="4926ED12" w:rsidR="00B45C7B" w:rsidRPr="00E72418" w:rsidRDefault="00B45C7B" w:rsidP="00CC4BA8">
      <w:pPr>
        <w:spacing w:line="276" w:lineRule="auto"/>
      </w:pPr>
      <w:r w:rsidRPr="00E72418">
        <w:t xml:space="preserve">Sans doute, l’explication </w:t>
      </w:r>
      <w:r w:rsidR="00E67B4D" w:rsidRPr="00E72418">
        <w:t xml:space="preserve">principale </w:t>
      </w:r>
      <w:r w:rsidRPr="00E72418">
        <w:t xml:space="preserve">du paiement est-elle à trouver dans la volonté du </w:t>
      </w:r>
      <w:r w:rsidR="00E67B4D" w:rsidRPr="00E72418">
        <w:t>Pérou</w:t>
      </w:r>
      <w:r w:rsidRPr="00E72418">
        <w:t xml:space="preserve"> de ne pas être exclu des marchés des capitaux</w:t>
      </w:r>
      <w:r w:rsidRPr="00E72418">
        <w:rPr>
          <w:rStyle w:val="Appelnotedebasdep"/>
        </w:rPr>
        <w:footnoteReference w:id="595"/>
      </w:r>
      <w:r w:rsidRPr="00E72418">
        <w:t xml:space="preserve">. En raison du contentieux avec </w:t>
      </w:r>
      <w:r w:rsidRPr="00E72418">
        <w:rPr>
          <w:i/>
        </w:rPr>
        <w:t>Elliott Associates</w:t>
      </w:r>
      <w:r w:rsidR="00E67B4D" w:rsidRPr="00E72418">
        <w:t xml:space="preserve">, la République du Pérou n’avait plus émis </w:t>
      </w:r>
      <w:r w:rsidRPr="00E72418">
        <w:t>de nouvelles obligations durant plus de trois a</w:t>
      </w:r>
      <w:r w:rsidR="00E67B4D" w:rsidRPr="00E72418">
        <w:t>ns après la restructuration de s</w:t>
      </w:r>
      <w:r w:rsidRPr="00E72418">
        <w:t>a dette</w:t>
      </w:r>
      <w:r w:rsidR="0033545A" w:rsidRPr="00E72418">
        <w:t>,</w:t>
      </w:r>
      <w:r w:rsidRPr="00E72418">
        <w:t xml:space="preserve"> et ce, malgré plusieurs tentatives</w:t>
      </w:r>
      <w:r w:rsidRPr="00E72418">
        <w:rPr>
          <w:rStyle w:val="Appelnotedebasdep"/>
        </w:rPr>
        <w:footnoteReference w:id="596"/>
      </w:r>
      <w:r w:rsidRPr="00E72418">
        <w:t>.</w:t>
      </w:r>
    </w:p>
    <w:p w14:paraId="47AD2D0C" w14:textId="58284F6F" w:rsidR="00FE1596" w:rsidRPr="00E72418" w:rsidRDefault="00FE1596" w:rsidP="0054314B">
      <w:bookmarkStart w:id="126" w:name="_Toc59280908"/>
      <w:bookmarkStart w:id="127" w:name="_Toc75106077"/>
    </w:p>
    <w:p w14:paraId="25DE68B6" w14:textId="62FE2130" w:rsidR="00B45C7B" w:rsidRPr="00E72418" w:rsidRDefault="000764CE" w:rsidP="00CC4BA8">
      <w:pPr>
        <w:pStyle w:val="CC"/>
        <w:spacing w:line="276" w:lineRule="auto"/>
      </w:pPr>
      <w:bookmarkStart w:id="128" w:name="_Toc84540896"/>
      <w:r w:rsidRPr="00E72418">
        <w:t xml:space="preserve">Chapitre </w:t>
      </w:r>
      <w:r w:rsidR="00CD4206" w:rsidRPr="00E72418">
        <w:t>3</w:t>
      </w:r>
      <w:r w:rsidRPr="00E72418">
        <w:t> :</w:t>
      </w:r>
      <w:r w:rsidRPr="00E72418">
        <w:rPr>
          <w:i/>
        </w:rPr>
        <w:t xml:space="preserve"> </w:t>
      </w:r>
      <w:r w:rsidR="00B45C7B" w:rsidRPr="00E72418">
        <w:rPr>
          <w:i/>
        </w:rPr>
        <w:t>Donegal International Ltd</w:t>
      </w:r>
      <w:r w:rsidR="00B45C7B" w:rsidRPr="00E72418">
        <w:t>. c. la République de Zambie</w:t>
      </w:r>
      <w:bookmarkEnd w:id="126"/>
      <w:bookmarkEnd w:id="127"/>
      <w:bookmarkEnd w:id="128"/>
    </w:p>
    <w:p w14:paraId="6063CAF5" w14:textId="77777777" w:rsidR="00B45C7B" w:rsidRPr="00E72418" w:rsidRDefault="00B45C7B" w:rsidP="0054314B"/>
    <w:p w14:paraId="6F6E05B9" w14:textId="08E72AE8" w:rsidR="00B45C7B" w:rsidRPr="00E72418" w:rsidRDefault="007F038F" w:rsidP="00CC4BA8">
      <w:pPr>
        <w:spacing w:line="276" w:lineRule="auto"/>
      </w:pPr>
      <w:r w:rsidRPr="00E72418">
        <w:rPr>
          <w:b/>
        </w:rPr>
        <w:t>104</w:t>
      </w:r>
      <w:r w:rsidR="007E31CD" w:rsidRPr="00E72418">
        <w:rPr>
          <w:b/>
        </w:rPr>
        <w:t xml:space="preserve">. </w:t>
      </w:r>
      <w:r w:rsidR="00B45C7B" w:rsidRPr="00E72418">
        <w:rPr>
          <w:b/>
        </w:rPr>
        <w:t xml:space="preserve">La créance originaire et son rachat – </w:t>
      </w:r>
      <w:r w:rsidR="00B45C7B" w:rsidRPr="00E72418">
        <w:t xml:space="preserve">En 1979, la Roumanie prêta à la République de Zambie un montant de près de </w:t>
      </w:r>
      <w:r w:rsidR="00DC162F" w:rsidRPr="00E72418">
        <w:t>quinze</w:t>
      </w:r>
      <w:r w:rsidR="00B45C7B" w:rsidRPr="00E72418">
        <w:t xml:space="preserve"> millions de dollars </w:t>
      </w:r>
      <w:r w:rsidR="00DC162F" w:rsidRPr="00E72418">
        <w:t>étatsuniens</w:t>
      </w:r>
      <w:r w:rsidR="00B45C7B" w:rsidRPr="00E72418">
        <w:t xml:space="preserve"> destiné notamment à l’acquisition de matériel agricole. En 1985, la Zambie fit savoir qu’il lui </w:t>
      </w:r>
      <w:r w:rsidR="00DC162F" w:rsidRPr="00E72418">
        <w:t>était impossible de rembourser c</w:t>
      </w:r>
      <w:r w:rsidR="00B45C7B" w:rsidRPr="00E72418">
        <w:t>e montant. Entre 1992</w:t>
      </w:r>
      <w:r w:rsidR="00B45C7B" w:rsidRPr="00E72418">
        <w:rPr>
          <w:vertAlign w:val="superscript"/>
        </w:rPr>
        <w:t xml:space="preserve"> </w:t>
      </w:r>
      <w:r w:rsidR="00B45C7B" w:rsidRPr="00E72418">
        <w:t>et 1998, le pays débiteur chercha à faire réduire la dette et, en 1998, créancier et débiteur s’accordèren</w:t>
      </w:r>
      <w:r w:rsidR="00DC162F" w:rsidRPr="00E72418">
        <w:t xml:space="preserve">t sur un rachat de la dette à </w:t>
      </w:r>
      <w:r w:rsidR="00DA5DCA" w:rsidRPr="00E72418">
        <w:t xml:space="preserve">un peu plus de dix </w:t>
      </w:r>
      <w:r w:rsidR="00B45C7B" w:rsidRPr="00E72418">
        <w:t>pour</w:t>
      </w:r>
      <w:r w:rsidR="002A353B" w:rsidRPr="00E72418">
        <w:t xml:space="preserve"> cent</w:t>
      </w:r>
      <w:r w:rsidR="00B45C7B" w:rsidRPr="00E72418">
        <w:t xml:space="preserve"> de sa valeur</w:t>
      </w:r>
      <w:r w:rsidR="00DA5DCA" w:rsidRPr="00E72418">
        <w:rPr>
          <w:rStyle w:val="Appelnotedebasdep"/>
        </w:rPr>
        <w:footnoteReference w:id="597"/>
      </w:r>
      <w:r w:rsidR="00B45C7B" w:rsidRPr="00E72418">
        <w:t>. La Zambie ne confirma toutefois pas l’accord avant l’échéance fixée au 31 janvier 1999</w:t>
      </w:r>
      <w:r w:rsidR="00B45C7B" w:rsidRPr="00E72418">
        <w:rPr>
          <w:rStyle w:val="Appelnotedebasdep"/>
        </w:rPr>
        <w:footnoteReference w:id="598"/>
      </w:r>
      <w:r w:rsidR="00B45C7B" w:rsidRPr="00E72418">
        <w:t>.</w:t>
      </w:r>
    </w:p>
    <w:p w14:paraId="6ADE798C" w14:textId="2B2ED9A1" w:rsidR="00B45C7B" w:rsidRPr="00E72418" w:rsidRDefault="00B45C7B" w:rsidP="00CC4BA8">
      <w:pPr>
        <w:spacing w:line="276" w:lineRule="auto"/>
      </w:pPr>
      <w:r w:rsidRPr="00E72418">
        <w:t xml:space="preserve">Le 19 janvier 1999, la société </w:t>
      </w:r>
      <w:r w:rsidR="00A74321" w:rsidRPr="00E72418">
        <w:rPr>
          <w:i/>
        </w:rPr>
        <w:t>Donegal International Lt</w:t>
      </w:r>
      <w:r w:rsidRPr="00E72418">
        <w:rPr>
          <w:i/>
        </w:rPr>
        <w:t>d</w:t>
      </w:r>
      <w:r w:rsidR="00A74321" w:rsidRPr="00E72418">
        <w:rPr>
          <w:i/>
        </w:rPr>
        <w:t>.</w:t>
      </w:r>
      <w:r w:rsidR="00DC162F" w:rsidRPr="00E72418">
        <w:t xml:space="preserve"> basée aux </w:t>
      </w:r>
      <w:r w:rsidR="00DC162F" w:rsidRPr="00E72418">
        <w:rPr>
          <w:caps/>
        </w:rPr>
        <w:t>Î</w:t>
      </w:r>
      <w:r w:rsidRPr="00E72418">
        <w:t xml:space="preserve">les Vierges britanniques racheta à la Roumanie la </w:t>
      </w:r>
      <w:r w:rsidR="00DC162F" w:rsidRPr="00E72418">
        <w:t>créance qu’elle détenait à l’encontre</w:t>
      </w:r>
      <w:r w:rsidR="00674C1A" w:rsidRPr="00E72418">
        <w:t xml:space="preserve"> de la République de Zambie. À</w:t>
      </w:r>
      <w:r w:rsidR="00970871" w:rsidRPr="00E72418">
        <w:t xml:space="preserve"> ce moment, </w:t>
      </w:r>
      <w:r w:rsidR="00970871" w:rsidRPr="00E72418">
        <w:rPr>
          <w:rFonts w:ascii="Times New Roman" w:hAnsi="Times New Roman" w:cs="Times New Roman"/>
          <w:lang w:eastAsia="fr-BE"/>
        </w:rPr>
        <w:t xml:space="preserve">l’État </w:t>
      </w:r>
      <w:r w:rsidR="00970871" w:rsidRPr="00E72418">
        <w:t xml:space="preserve">débiteur </w:t>
      </w:r>
      <w:r w:rsidRPr="00E72418">
        <w:t>était sur le poi</w:t>
      </w:r>
      <w:r w:rsidR="00290740" w:rsidRPr="00E72418">
        <w:t>nt d’obtenir une décision d’allè</w:t>
      </w:r>
      <w:r w:rsidRPr="00E72418">
        <w:t>gement global de sa dette au titre de l’Initiative Pays Pauvres Très Endettés</w:t>
      </w:r>
      <w:r w:rsidR="00970871" w:rsidRPr="00E72418">
        <w:t xml:space="preserve"> de la </w:t>
      </w:r>
      <w:r w:rsidR="00970871" w:rsidRPr="00E72418">
        <w:rPr>
          <w:rFonts w:cs="Times New Roman"/>
        </w:rPr>
        <w:t>Banque mondiale et le Fonds monétaire international</w:t>
      </w:r>
      <w:r w:rsidRPr="00E72418">
        <w:rPr>
          <w:rStyle w:val="Appelnotedebasdep"/>
        </w:rPr>
        <w:footnoteReference w:id="599"/>
      </w:r>
      <w:r w:rsidRPr="00E72418">
        <w:t xml:space="preserve">. </w:t>
      </w:r>
      <w:r w:rsidR="00970871" w:rsidRPr="00E72418">
        <w:t>Informé</w:t>
      </w:r>
      <w:r w:rsidRPr="00E72418">
        <w:t xml:space="preserve"> de ce</w:t>
      </w:r>
      <w:r w:rsidR="00970871" w:rsidRPr="00E72418">
        <w:t>ci</w:t>
      </w:r>
      <w:r w:rsidRPr="00E72418">
        <w:t xml:space="preserve">, le fonds spéculatif fit une offre d’acquisition de la dette à un prix légèrement supérieur à celui que la Roumanie aurait récupéré si elle allégeait la dette </w:t>
      </w:r>
      <w:r w:rsidR="00970871" w:rsidRPr="00E72418">
        <w:t xml:space="preserve">zambienne </w:t>
      </w:r>
      <w:r w:rsidRPr="00E72418">
        <w:t>dans le cadre de l’Initiative</w:t>
      </w:r>
      <w:r w:rsidRPr="00E72418">
        <w:rPr>
          <w:rStyle w:val="Appelnotedebasdep"/>
        </w:rPr>
        <w:footnoteReference w:id="600"/>
      </w:r>
      <w:r w:rsidRPr="00E72418">
        <w:t>. L</w:t>
      </w:r>
      <w:r w:rsidR="00970871" w:rsidRPr="00E72418">
        <w:t xml:space="preserve">e rachat </w:t>
      </w:r>
      <w:r w:rsidR="00B32C8B" w:rsidRPr="00E72418">
        <w:t xml:space="preserve">opéré à un peu plus de trois millions </w:t>
      </w:r>
      <w:r w:rsidR="00B32C8B" w:rsidRPr="00E72418">
        <w:lastRenderedPageBreak/>
        <w:t xml:space="preserve">de dollars étatsuniens </w:t>
      </w:r>
      <w:r w:rsidR="00970871" w:rsidRPr="00E72418">
        <w:t xml:space="preserve">se fit </w:t>
      </w:r>
      <w:r w:rsidR="00B32C8B" w:rsidRPr="00E72418">
        <w:t xml:space="preserve">ainsi </w:t>
      </w:r>
      <w:r w:rsidR="00970871" w:rsidRPr="00E72418">
        <w:t>pour environ vingt</w:t>
      </w:r>
      <w:r w:rsidR="006637ED" w:rsidRPr="00E72418">
        <w:t xml:space="preserve"> pour</w:t>
      </w:r>
      <w:r w:rsidR="00235356" w:rsidRPr="00E72418">
        <w:t xml:space="preserve"> cent</w:t>
      </w:r>
      <w:r w:rsidRPr="00E72418">
        <w:t xml:space="preserve"> de ses valeur faciale et intérêts accumulés, la dette acquise étant le seul avoir détenu par la société </w:t>
      </w:r>
      <w:r w:rsidR="00A74321" w:rsidRPr="00E72418">
        <w:rPr>
          <w:i/>
        </w:rPr>
        <w:t>Donegal International Lt</w:t>
      </w:r>
      <w:r w:rsidRPr="00E72418">
        <w:rPr>
          <w:i/>
        </w:rPr>
        <w:t>d</w:t>
      </w:r>
      <w:r w:rsidRPr="00E72418">
        <w:t xml:space="preserve">. </w:t>
      </w:r>
    </w:p>
    <w:p w14:paraId="73E9ED10" w14:textId="77777777" w:rsidR="00B45C7B" w:rsidRPr="00E72418" w:rsidRDefault="00B45C7B" w:rsidP="0054314B"/>
    <w:p w14:paraId="70386CBB" w14:textId="6C987310" w:rsidR="00B45C7B" w:rsidRPr="00E72418" w:rsidRDefault="007F038F" w:rsidP="00CC4BA8">
      <w:pPr>
        <w:spacing w:line="276" w:lineRule="auto"/>
      </w:pPr>
      <w:r w:rsidRPr="00E72418">
        <w:rPr>
          <w:b/>
        </w:rPr>
        <w:t>105</w:t>
      </w:r>
      <w:r w:rsidR="007E31CD" w:rsidRPr="00E72418">
        <w:rPr>
          <w:b/>
        </w:rPr>
        <w:t xml:space="preserve">. </w:t>
      </w:r>
      <w:r w:rsidR="00B45C7B" w:rsidRPr="00E72418">
        <w:rPr>
          <w:b/>
        </w:rPr>
        <w:t>L’accord –</w:t>
      </w:r>
      <w:r w:rsidR="00B45C7B" w:rsidRPr="00E72418">
        <w:t xml:space="preserve"> Moins d’un mois après le rachat, la République de Zambie reconnut devoir honorer la dette à l’égard du créancier secondaire</w:t>
      </w:r>
      <w:r w:rsidR="00B45C7B" w:rsidRPr="00E72418">
        <w:rPr>
          <w:rStyle w:val="Appelnotedebasdep"/>
        </w:rPr>
        <w:footnoteReference w:id="601"/>
      </w:r>
      <w:r w:rsidR="00B45C7B" w:rsidRPr="00E72418">
        <w:t xml:space="preserve">. Des discussions s’amorcèrent ensuite afin de trouver un accord. La société </w:t>
      </w:r>
      <w:r w:rsidR="00A74321" w:rsidRPr="00E72418">
        <w:rPr>
          <w:i/>
        </w:rPr>
        <w:t>Donegal International Ltd.</w:t>
      </w:r>
      <w:r w:rsidR="00B45C7B" w:rsidRPr="00E72418">
        <w:t xml:space="preserve"> chercha notamment à échanger la créance contre des investissements dans le pays débiteur</w:t>
      </w:r>
      <w:r w:rsidR="00B45C7B" w:rsidRPr="00E72418">
        <w:rPr>
          <w:rStyle w:val="Appelnotedebasdep"/>
        </w:rPr>
        <w:footnoteReference w:id="602"/>
      </w:r>
      <w:r w:rsidR="00B45C7B" w:rsidRPr="00E72418">
        <w:t>. N’obtenant pas ce qu’elle désirait, la société introduisit en septembre 2002 une procé</w:t>
      </w:r>
      <w:r w:rsidR="00DC162F" w:rsidRPr="00E72418">
        <w:t>dure aux Î</w:t>
      </w:r>
      <w:r w:rsidR="00B45C7B" w:rsidRPr="00E72418">
        <w:t xml:space="preserve">les Vierges britanniques laquelle lui servit à mettre la pression sur la République de Zambie. </w:t>
      </w:r>
      <w:r w:rsidR="00A74321" w:rsidRPr="00E72418">
        <w:rPr>
          <w:i/>
        </w:rPr>
        <w:t>Donegal International Lt</w:t>
      </w:r>
      <w:r w:rsidR="00B45C7B" w:rsidRPr="00E72418">
        <w:rPr>
          <w:i/>
        </w:rPr>
        <w:t>d</w:t>
      </w:r>
      <w:r w:rsidR="00A74321" w:rsidRPr="00E72418">
        <w:rPr>
          <w:i/>
        </w:rPr>
        <w:t>.</w:t>
      </w:r>
      <w:r w:rsidR="00970871" w:rsidRPr="00E72418">
        <w:t xml:space="preserve"> réclamait plus de quarante</w:t>
      </w:r>
      <w:r w:rsidR="00B45C7B" w:rsidRPr="00E72418">
        <w:t xml:space="preserve"> millions de dollars à son débiteur </w:t>
      </w:r>
      <w:r w:rsidR="00331721">
        <w:t>souverain</w:t>
      </w:r>
      <w:r w:rsidR="00B45C7B" w:rsidRPr="00E72418">
        <w:t>.</w:t>
      </w:r>
    </w:p>
    <w:p w14:paraId="3FB02DC1" w14:textId="2603A63A" w:rsidR="00B45C7B" w:rsidRPr="00E72418" w:rsidRDefault="00B45C7B" w:rsidP="00CC4BA8">
      <w:pPr>
        <w:spacing w:line="276" w:lineRule="auto"/>
      </w:pPr>
      <w:r w:rsidRPr="00E72418">
        <w:t xml:space="preserve">Sous la pression </w:t>
      </w:r>
      <w:r w:rsidR="00FD6021" w:rsidRPr="00E72418">
        <w:t xml:space="preserve">de la procédure entamée, l’État </w:t>
      </w:r>
      <w:r w:rsidRPr="00E72418">
        <w:t xml:space="preserve">débiteur signa en avril 2003 avec la société </w:t>
      </w:r>
      <w:r w:rsidR="00A74321" w:rsidRPr="00E72418">
        <w:rPr>
          <w:i/>
        </w:rPr>
        <w:t>Donegal International Lt</w:t>
      </w:r>
      <w:r w:rsidRPr="00E72418">
        <w:rPr>
          <w:i/>
        </w:rPr>
        <w:t>d</w:t>
      </w:r>
      <w:r w:rsidR="00A74321" w:rsidRPr="00E72418">
        <w:rPr>
          <w:i/>
        </w:rPr>
        <w:t>.</w:t>
      </w:r>
      <w:r w:rsidRPr="00E72418">
        <w:t xml:space="preserve"> un accord prévoyant le règlement de la dette par tranches. L’accor</w:t>
      </w:r>
      <w:r w:rsidR="00970871" w:rsidRPr="00E72418">
        <w:t>d prévoyait que le pays verse</w:t>
      </w:r>
      <w:r w:rsidR="00FD6021" w:rsidRPr="00E72418">
        <w:t>rait</w:t>
      </w:r>
      <w:r w:rsidR="00970871" w:rsidRPr="00E72418">
        <w:t xml:space="preserve"> quinze</w:t>
      </w:r>
      <w:r w:rsidRPr="00E72418">
        <w:t xml:space="preserve"> millions de dollars à son créancier et qu’il serait redevable du montant nominal de la créance et d’intérêts en cas de défaillance d</w:t>
      </w:r>
      <w:r w:rsidR="00B777C3" w:rsidRPr="00E72418">
        <w:t xml:space="preserve">e sa part. Aussi, </w:t>
      </w:r>
      <w:r w:rsidR="00FD6021" w:rsidRPr="00E72418">
        <w:t>la République de Zambie</w:t>
      </w:r>
      <w:r w:rsidR="00B777C3" w:rsidRPr="00E72418">
        <w:t xml:space="preserve"> renonç</w:t>
      </w:r>
      <w:r w:rsidRPr="00E72418">
        <w:t>ait à son immunité souveraine et acceptait que tout litige</w:t>
      </w:r>
      <w:r w:rsidR="00FD6021" w:rsidRPr="00E72418">
        <w:t xml:space="preserve"> éventuel</w:t>
      </w:r>
      <w:r w:rsidRPr="00E72418">
        <w:t xml:space="preserve"> soit réglé pa</w:t>
      </w:r>
      <w:r w:rsidR="001B7DB4" w:rsidRPr="00E72418">
        <w:t>r les juridictions britanniques</w:t>
      </w:r>
      <w:r w:rsidRPr="00E72418">
        <w:rPr>
          <w:rStyle w:val="Appelnotedebasdep"/>
        </w:rPr>
        <w:footnoteReference w:id="603"/>
      </w:r>
      <w:r w:rsidRPr="00E72418">
        <w:t>. En contrepartie de ce que concédait le débiteur, le créancier mettait un ter</w:t>
      </w:r>
      <w:r w:rsidR="00DC162F" w:rsidRPr="00E72418">
        <w:t>me à la procédure intentée aux Î</w:t>
      </w:r>
      <w:r w:rsidR="00FD6021" w:rsidRPr="00E72418">
        <w:t>les Vierges b</w:t>
      </w:r>
      <w:r w:rsidRPr="00E72418">
        <w:t>ritanniques.</w:t>
      </w:r>
    </w:p>
    <w:p w14:paraId="64D82DA3" w14:textId="77777777" w:rsidR="00B45C7B" w:rsidRPr="00E72418" w:rsidRDefault="00B45C7B" w:rsidP="0054314B"/>
    <w:p w14:paraId="545BAEF7" w14:textId="0E165961" w:rsidR="00B45C7B" w:rsidRPr="00E72418" w:rsidRDefault="007F038F" w:rsidP="00CC4BA8">
      <w:pPr>
        <w:spacing w:line="276" w:lineRule="auto"/>
      </w:pPr>
      <w:r w:rsidRPr="00E72418">
        <w:rPr>
          <w:b/>
        </w:rPr>
        <w:t>106</w:t>
      </w:r>
      <w:r w:rsidR="007E31CD" w:rsidRPr="00E72418">
        <w:rPr>
          <w:b/>
        </w:rPr>
        <w:t xml:space="preserve">. </w:t>
      </w:r>
      <w:r w:rsidR="00B45C7B" w:rsidRPr="00E72418">
        <w:rPr>
          <w:b/>
        </w:rPr>
        <w:t xml:space="preserve">La demande en justice et la décision de la </w:t>
      </w:r>
      <w:r w:rsidR="00B45C7B" w:rsidRPr="00F1587D">
        <w:rPr>
          <w:b/>
        </w:rPr>
        <w:t>High Court of Justice</w:t>
      </w:r>
      <w:r w:rsidR="00B45C7B" w:rsidRPr="00E72418">
        <w:rPr>
          <w:b/>
          <w:i/>
        </w:rPr>
        <w:t xml:space="preserve"> </w:t>
      </w:r>
      <w:r w:rsidR="00B45C7B" w:rsidRPr="00E72418">
        <w:rPr>
          <w:b/>
        </w:rPr>
        <w:t xml:space="preserve">britannique – </w:t>
      </w:r>
      <w:r w:rsidR="00FD6021" w:rsidRPr="00E72418">
        <w:t>Quoique</w:t>
      </w:r>
      <w:r w:rsidR="00B45C7B" w:rsidRPr="00E72418">
        <w:t>, dans un premier t</w:t>
      </w:r>
      <w:r w:rsidR="00FD6021" w:rsidRPr="00E72418">
        <w:t>emps, la Zambie honora l’accord passé avec son créancier,</w:t>
      </w:r>
      <w:r w:rsidR="00B45C7B" w:rsidRPr="00E72418">
        <w:t xml:space="preserve"> elle cessa après plusieurs versements faisant valoir que celui-ci était entaché de corruption et qu’il avait été signé sans les pouvoirs nécessaires</w:t>
      </w:r>
      <w:r w:rsidR="00B45C7B" w:rsidRPr="00E72418">
        <w:rPr>
          <w:rStyle w:val="Appelnotedebasdep"/>
        </w:rPr>
        <w:footnoteReference w:id="604"/>
      </w:r>
      <w:r w:rsidR="00B45C7B" w:rsidRPr="00E72418">
        <w:t xml:space="preserve">. </w:t>
      </w:r>
      <w:r w:rsidR="00331721">
        <w:t xml:space="preserve">La décision de l’État débiteur </w:t>
      </w:r>
      <w:r w:rsidR="00B45C7B" w:rsidRPr="00E72418">
        <w:t xml:space="preserve">suivait les recommandations d’une </w:t>
      </w:r>
      <w:r w:rsidR="00B45C7B" w:rsidRPr="00E72418">
        <w:rPr>
          <w:i/>
        </w:rPr>
        <w:t>task force</w:t>
      </w:r>
      <w:r w:rsidR="00B45C7B" w:rsidRPr="00E72418">
        <w:t xml:space="preserve"> sur la corruption</w:t>
      </w:r>
      <w:r w:rsidR="00B45C7B" w:rsidRPr="00E72418">
        <w:rPr>
          <w:rStyle w:val="Appelnotedebasdep"/>
        </w:rPr>
        <w:footnoteReference w:id="605"/>
      </w:r>
      <w:r w:rsidR="00B45C7B" w:rsidRPr="00E72418">
        <w:t>.</w:t>
      </w:r>
    </w:p>
    <w:p w14:paraId="5C541105" w14:textId="09B22536" w:rsidR="00B45C7B" w:rsidRPr="00E72418" w:rsidRDefault="00B45C7B" w:rsidP="00CC4BA8">
      <w:pPr>
        <w:spacing w:line="276" w:lineRule="auto"/>
      </w:pPr>
      <w:r w:rsidRPr="00E72418">
        <w:t xml:space="preserve">Le défaut survenu </w:t>
      </w:r>
      <w:r w:rsidR="00F16DA9" w:rsidRPr="00E72418">
        <w:t xml:space="preserve">à la suite de </w:t>
      </w:r>
      <w:r w:rsidR="00FD6021" w:rsidRPr="00E72418">
        <w:t xml:space="preserve">l’absence de poursuite de </w:t>
      </w:r>
      <w:r w:rsidRPr="00E72418">
        <w:t xml:space="preserve">l’accord, </w:t>
      </w:r>
      <w:r w:rsidR="00FD6021" w:rsidRPr="00E72418">
        <w:t xml:space="preserve">la société </w:t>
      </w:r>
      <w:r w:rsidR="00FD6021" w:rsidRPr="00E72418">
        <w:rPr>
          <w:i/>
        </w:rPr>
        <w:t>Donega</w:t>
      </w:r>
      <w:r w:rsidR="00A74321" w:rsidRPr="00E72418">
        <w:rPr>
          <w:i/>
        </w:rPr>
        <w:t>l International Lt</w:t>
      </w:r>
      <w:r w:rsidR="00FD6021" w:rsidRPr="00E72418">
        <w:rPr>
          <w:i/>
        </w:rPr>
        <w:t>d</w:t>
      </w:r>
      <w:r w:rsidR="00A74321" w:rsidRPr="00E72418">
        <w:rPr>
          <w:i/>
        </w:rPr>
        <w:t>.</w:t>
      </w:r>
      <w:r w:rsidR="00FD6021" w:rsidRPr="00E72418">
        <w:t xml:space="preserve"> </w:t>
      </w:r>
      <w:r w:rsidRPr="00E72418">
        <w:t>introduisit en 2006 à Londres une procédure à l’encontre de la République de</w:t>
      </w:r>
      <w:r w:rsidR="00970871" w:rsidRPr="00E72418">
        <w:t xml:space="preserve"> Zambie lui réclamant plus de cinquante-cinq</w:t>
      </w:r>
      <w:r w:rsidRPr="00E72418">
        <w:t xml:space="preserve"> millions de dollars. La société </w:t>
      </w:r>
      <w:r w:rsidR="00FD6021" w:rsidRPr="00E72418">
        <w:t>créancière</w:t>
      </w:r>
      <w:r w:rsidRPr="00E72418">
        <w:t xml:space="preserve"> se basa</w:t>
      </w:r>
      <w:r w:rsidR="00FD6021" w:rsidRPr="00E72418">
        <w:t>it</w:t>
      </w:r>
      <w:r w:rsidRPr="00E72418">
        <w:t xml:space="preserve"> sur l’accord passé </w:t>
      </w:r>
      <w:r w:rsidR="00FD6021" w:rsidRPr="00E72418">
        <w:t xml:space="preserve">avec l’État débiteur </w:t>
      </w:r>
      <w:r w:rsidRPr="00E72418">
        <w:t>pour fonder son action en justice</w:t>
      </w:r>
      <w:r w:rsidRPr="00E72418">
        <w:rPr>
          <w:rStyle w:val="Appelnotedebasdep"/>
        </w:rPr>
        <w:footnoteReference w:id="606"/>
      </w:r>
      <w:r w:rsidRPr="00E72418">
        <w:t xml:space="preserve">. </w:t>
      </w:r>
      <w:r w:rsidR="00FD6021" w:rsidRPr="00E72418">
        <w:t xml:space="preserve">Pour se </w:t>
      </w:r>
      <w:r w:rsidR="00FD6021" w:rsidRPr="00E72418">
        <w:lastRenderedPageBreak/>
        <w:t>défendre, l</w:t>
      </w:r>
      <w:r w:rsidRPr="00E72418">
        <w:t xml:space="preserve">a Zambie opposa </w:t>
      </w:r>
      <w:r w:rsidR="00FD6021" w:rsidRPr="00E72418">
        <w:t xml:space="preserve">l’argument d’une </w:t>
      </w:r>
      <w:r w:rsidRPr="00E72418">
        <w:t>corruption intervenu</w:t>
      </w:r>
      <w:r w:rsidR="00FD6021" w:rsidRPr="00E72418">
        <w:t>e au moment de la passation de l’accord, des pots-de-vin</w:t>
      </w:r>
      <w:r w:rsidRPr="00E72418">
        <w:t xml:space="preserve"> </w:t>
      </w:r>
      <w:r w:rsidR="00FD6021" w:rsidRPr="00E72418">
        <w:t>ayant</w:t>
      </w:r>
      <w:r w:rsidRPr="00E72418">
        <w:t xml:space="preserve"> été versés à des représentants zambiens</w:t>
      </w:r>
      <w:r w:rsidRPr="00E72418">
        <w:rPr>
          <w:rStyle w:val="Appelnotedebasdep"/>
        </w:rPr>
        <w:footnoteReference w:id="607"/>
      </w:r>
      <w:r w:rsidR="00FD6021" w:rsidRPr="00E72418">
        <w:t xml:space="preserve">. Bien que cet </w:t>
      </w:r>
      <w:r w:rsidRPr="00E72418">
        <w:t xml:space="preserve">argument ne </w:t>
      </w:r>
      <w:r w:rsidR="00BE433A" w:rsidRPr="00E72418">
        <w:t>s’avéra</w:t>
      </w:r>
      <w:r w:rsidRPr="00E72418">
        <w:t xml:space="preserve"> pas péremptoire, la </w:t>
      </w:r>
      <w:r w:rsidRPr="00F1587D">
        <w:t>High Court of Justice</w:t>
      </w:r>
      <w:r w:rsidR="00BE433A" w:rsidRPr="00E72418">
        <w:t xml:space="preserve"> britannique y fut toutefois sensible dans son importante </w:t>
      </w:r>
      <w:r w:rsidRPr="00E72418">
        <w:t>décision du 15 février 2007</w:t>
      </w:r>
      <w:r w:rsidRPr="00E72418">
        <w:rPr>
          <w:rStyle w:val="Appelnotedebasdep"/>
        </w:rPr>
        <w:footnoteReference w:id="608"/>
      </w:r>
      <w:r w:rsidRPr="00E72418">
        <w:t xml:space="preserve">. </w:t>
      </w:r>
      <w:r w:rsidRPr="00E72418">
        <w:rPr>
          <w:rFonts w:cs="Times New Roman"/>
        </w:rPr>
        <w:t xml:space="preserve">Il y </w:t>
      </w:r>
      <w:r w:rsidR="00BE433A" w:rsidRPr="00E72418">
        <w:rPr>
          <w:rFonts w:cs="Times New Roman"/>
        </w:rPr>
        <w:t>fut</w:t>
      </w:r>
      <w:r w:rsidRPr="00E72418">
        <w:rPr>
          <w:rFonts w:cs="Times New Roman"/>
        </w:rPr>
        <w:t xml:space="preserve"> ainsi notamment fait état de témoins « deliberately evasive and even dishonest », de fonds qui « were deliberately withholding documents because they contradicted the case that they were seeking to advance », ou encore de preuves « vague and inconsistent »</w:t>
      </w:r>
      <w:r w:rsidRPr="00E72418">
        <w:rPr>
          <w:rStyle w:val="Appelnotedebasdep"/>
          <w:rFonts w:cs="Times New Roman"/>
          <w:szCs w:val="24"/>
        </w:rPr>
        <w:t xml:space="preserve"> </w:t>
      </w:r>
      <w:r w:rsidRPr="00E72418">
        <w:rPr>
          <w:rStyle w:val="Appelnotedebasdep"/>
          <w:rFonts w:cs="Times New Roman"/>
          <w:szCs w:val="24"/>
        </w:rPr>
        <w:footnoteReference w:id="609"/>
      </w:r>
      <w:r w:rsidRPr="00E72418">
        <w:rPr>
          <w:rFonts w:cs="Times New Roman"/>
        </w:rPr>
        <w:t xml:space="preserve">. </w:t>
      </w:r>
    </w:p>
    <w:p w14:paraId="201DDE1C" w14:textId="0A704184" w:rsidR="00B45C7B" w:rsidRPr="00E72418" w:rsidRDefault="00B45C7B" w:rsidP="00CC4BA8">
      <w:pPr>
        <w:spacing w:line="276" w:lineRule="auto"/>
      </w:pPr>
      <w:r w:rsidRPr="00E72418">
        <w:t xml:space="preserve">Quoique la </w:t>
      </w:r>
      <w:r w:rsidR="00124DD0">
        <w:t>High Court of</w:t>
      </w:r>
      <w:r w:rsidRPr="00F1587D">
        <w:t xml:space="preserve"> Justice retint</w:t>
      </w:r>
      <w:r w:rsidRPr="00E72418">
        <w:t xml:space="preserve"> dans le comportement de la société créancière</w:t>
      </w:r>
      <w:r w:rsidR="00BE433A" w:rsidRPr="00E72418">
        <w:t xml:space="preserve"> des éléments troublants</w:t>
      </w:r>
      <w:r w:rsidRPr="00E72418">
        <w:t>, elle fit toutefois partiellement droit à sa demande</w:t>
      </w:r>
      <w:r w:rsidR="00821510" w:rsidRPr="00E72418">
        <w:t xml:space="preserve"> et ne lui accorda </w:t>
      </w:r>
      <w:r w:rsidR="00C461F2" w:rsidRPr="00E72418">
        <w:t>qu’une partie du montant principal et des coûts poursuivis</w:t>
      </w:r>
      <w:r w:rsidRPr="00E72418">
        <w:rPr>
          <w:rStyle w:val="Appelnotedebasdep"/>
        </w:rPr>
        <w:footnoteReference w:id="610"/>
      </w:r>
      <w:r w:rsidRPr="00E72418">
        <w:t xml:space="preserve">. La Zambie fut </w:t>
      </w:r>
      <w:r w:rsidR="00BE433A" w:rsidRPr="00E72418">
        <w:t xml:space="preserve">ainsi </w:t>
      </w:r>
      <w:r w:rsidRPr="00E72418">
        <w:t>condamnée à</w:t>
      </w:r>
      <w:r w:rsidR="00BE433A" w:rsidRPr="00E72418">
        <w:t xml:space="preserve"> régler un montant d’un peu plus </w:t>
      </w:r>
      <w:r w:rsidR="00970871" w:rsidRPr="00E72418">
        <w:t>de quinze</w:t>
      </w:r>
      <w:r w:rsidRPr="00E72418">
        <w:t xml:space="preserve"> millions de dollars étatsuniens</w:t>
      </w:r>
      <w:r w:rsidR="00BE433A" w:rsidRPr="00E72418">
        <w:t xml:space="preserve"> à la société </w:t>
      </w:r>
      <w:r w:rsidR="00A74321" w:rsidRPr="00E72418">
        <w:rPr>
          <w:i/>
        </w:rPr>
        <w:t>Donegal International Lt</w:t>
      </w:r>
      <w:r w:rsidR="00BE433A" w:rsidRPr="00E72418">
        <w:rPr>
          <w:i/>
        </w:rPr>
        <w:t>d</w:t>
      </w:r>
      <w:r w:rsidR="00A74321" w:rsidRPr="00E72418">
        <w:rPr>
          <w:i/>
        </w:rPr>
        <w:t>.</w:t>
      </w:r>
      <w:r w:rsidR="00C461F2" w:rsidRPr="00E72418">
        <w:t xml:space="preserve"> tandis que les coûts de cette dernière furent réduits d’un tiers</w:t>
      </w:r>
      <w:r w:rsidRPr="00E72418">
        <w:rPr>
          <w:rStyle w:val="Appelnotedebasdep"/>
        </w:rPr>
        <w:footnoteReference w:id="611"/>
      </w:r>
      <w:r w:rsidR="00970871" w:rsidRPr="00E72418">
        <w:t>. Même si</w:t>
      </w:r>
      <w:r w:rsidR="00BE433A" w:rsidRPr="00E72418">
        <w:t>, à première vue,</w:t>
      </w:r>
      <w:r w:rsidR="00970871" w:rsidRPr="00E72418">
        <w:t xml:space="preserve"> </w:t>
      </w:r>
      <w:r w:rsidR="00BE433A" w:rsidRPr="00E72418">
        <w:t>ce</w:t>
      </w:r>
      <w:r w:rsidR="00970871" w:rsidRPr="00E72418">
        <w:t xml:space="preserve"> </w:t>
      </w:r>
      <w:r w:rsidR="00BE433A" w:rsidRPr="00E72418">
        <w:t>montant</w:t>
      </w:r>
      <w:r w:rsidRPr="00E72418">
        <w:t xml:space="preserve"> </w:t>
      </w:r>
      <w:r w:rsidR="00BE433A" w:rsidRPr="00E72418">
        <w:t xml:space="preserve">octroyé au créancier secondaire </w:t>
      </w:r>
      <w:r w:rsidRPr="00E72418">
        <w:t>pourrait paraître pe</w:t>
      </w:r>
      <w:r w:rsidR="00BE433A" w:rsidRPr="00E72418">
        <w:t>u important</w:t>
      </w:r>
      <w:r w:rsidRPr="00E72418">
        <w:t>, il échet de l’apprécier au regard des standards zambiens. Ainsi, pour donner un ordre d’idées, le montant accordé à</w:t>
      </w:r>
      <w:r w:rsidR="00970871" w:rsidRPr="00E72418">
        <w:t xml:space="preserve"> la société </w:t>
      </w:r>
      <w:r w:rsidR="00A74321" w:rsidRPr="00E72418">
        <w:rPr>
          <w:i/>
        </w:rPr>
        <w:t>Donegal International Lt</w:t>
      </w:r>
      <w:r w:rsidR="00BE433A" w:rsidRPr="00E72418">
        <w:rPr>
          <w:i/>
        </w:rPr>
        <w:t>d</w:t>
      </w:r>
      <w:r w:rsidR="00A74321" w:rsidRPr="00E72418">
        <w:rPr>
          <w:i/>
        </w:rPr>
        <w:t>.</w:t>
      </w:r>
      <w:r w:rsidR="00BE433A" w:rsidRPr="00E72418">
        <w:rPr>
          <w:rStyle w:val="Appelnotedebasdep"/>
        </w:rPr>
        <w:t xml:space="preserve"> </w:t>
      </w:r>
      <w:r w:rsidR="00970871" w:rsidRPr="00E72418">
        <w:t>équivaut à neuf</w:t>
      </w:r>
      <w:r w:rsidRPr="00E72418">
        <w:t xml:space="preserve"> pour</w:t>
      </w:r>
      <w:r w:rsidR="00235356" w:rsidRPr="00E72418">
        <w:t xml:space="preserve"> cent</w:t>
      </w:r>
      <w:r w:rsidRPr="00E72418">
        <w:t xml:space="preserve"> du budget de la santé du pays en 2002</w:t>
      </w:r>
      <w:r w:rsidRPr="00E72418">
        <w:rPr>
          <w:rStyle w:val="Appelnotedebasdep"/>
        </w:rPr>
        <w:footnoteReference w:id="612"/>
      </w:r>
      <w:r w:rsidRPr="00E72418">
        <w:t>.</w:t>
      </w:r>
    </w:p>
    <w:p w14:paraId="34DEA43A" w14:textId="075C635B" w:rsidR="00B45C7B" w:rsidRPr="00E72418" w:rsidRDefault="00BE433A" w:rsidP="00CC4BA8">
      <w:pPr>
        <w:spacing w:line="276" w:lineRule="auto"/>
      </w:pPr>
      <w:r w:rsidRPr="00E72418">
        <w:t>La décision britannique r</w:t>
      </w:r>
      <w:r w:rsidR="00B45C7B" w:rsidRPr="00E72418">
        <w:t xml:space="preserve">endue dans le cadre du contentieux zambien fut très controversée. En </w:t>
      </w:r>
      <w:r w:rsidRPr="00E72418">
        <w:t>mai 2007, Gordon Brown annonça</w:t>
      </w:r>
      <w:r w:rsidR="00B45C7B" w:rsidRPr="00E72418">
        <w:t xml:space="preserve"> sa détermination à limiter les dommages occasionnés par les fonds spéculatifs </w:t>
      </w:r>
      <w:r w:rsidRPr="00E72418">
        <w:t xml:space="preserve">et </w:t>
      </w:r>
      <w:r w:rsidR="00FF5E08" w:rsidRPr="00E72418">
        <w:t>indiqua que le G</w:t>
      </w:r>
      <w:r w:rsidR="00B45C7B" w:rsidRPr="00E72418">
        <w:t>ouvernement britannique allait œuvrer contre leurs activités</w:t>
      </w:r>
      <w:r w:rsidR="00B45C7B" w:rsidRPr="00E72418">
        <w:rPr>
          <w:rStyle w:val="Appelnotedebasdep"/>
        </w:rPr>
        <w:footnoteReference w:id="613"/>
      </w:r>
      <w:r w:rsidR="002D7D7D" w:rsidRPr="00E72418">
        <w:rPr>
          <w:vertAlign w:val="superscript"/>
        </w:rPr>
        <w:t>,</w:t>
      </w:r>
      <w:r w:rsidR="002D7D7D" w:rsidRPr="00E72418">
        <w:rPr>
          <w:rStyle w:val="Appelnotedebasdep"/>
        </w:rPr>
        <w:footnoteReference w:id="614"/>
      </w:r>
      <w:r w:rsidR="00B45C7B" w:rsidRPr="00E72418">
        <w:t>.</w:t>
      </w:r>
    </w:p>
    <w:p w14:paraId="5C4F068E" w14:textId="77777777" w:rsidR="00B45C7B" w:rsidRPr="00E72418" w:rsidRDefault="00B45C7B" w:rsidP="0054314B"/>
    <w:p w14:paraId="5EBB6C59" w14:textId="6A614889" w:rsidR="00B45C7B" w:rsidRPr="00E72418" w:rsidRDefault="00CD4206" w:rsidP="00CC4BA8">
      <w:pPr>
        <w:pStyle w:val="CC"/>
        <w:spacing w:line="276" w:lineRule="auto"/>
      </w:pPr>
      <w:bookmarkStart w:id="129" w:name="_Toc59280909"/>
      <w:bookmarkStart w:id="130" w:name="_Toc75106078"/>
      <w:bookmarkStart w:id="131" w:name="_Toc84540897"/>
      <w:r w:rsidRPr="00E72418">
        <w:lastRenderedPageBreak/>
        <w:t>Chapitre 4</w:t>
      </w:r>
      <w:r w:rsidR="000764CE" w:rsidRPr="00E72418">
        <w:t> :</w:t>
      </w:r>
      <w:r w:rsidR="000764CE" w:rsidRPr="00E72418">
        <w:rPr>
          <w:i/>
        </w:rPr>
        <w:t xml:space="preserve"> </w:t>
      </w:r>
      <w:r w:rsidR="003E3A69" w:rsidRPr="00E72418">
        <w:rPr>
          <w:i/>
        </w:rPr>
        <w:t>FG</w:t>
      </w:r>
      <w:r w:rsidR="00B45C7B" w:rsidRPr="00E72418">
        <w:rPr>
          <w:i/>
        </w:rPr>
        <w:t xml:space="preserve"> Hemisphere Associates LLC</w:t>
      </w:r>
      <w:r w:rsidR="00B45C7B" w:rsidRPr="00E72418">
        <w:t xml:space="preserve"> c. la République démocratique du Congo</w:t>
      </w:r>
      <w:bookmarkEnd w:id="129"/>
      <w:bookmarkEnd w:id="130"/>
      <w:bookmarkEnd w:id="131"/>
    </w:p>
    <w:p w14:paraId="57386859" w14:textId="77777777" w:rsidR="00B45C7B" w:rsidRPr="00E72418" w:rsidRDefault="00B45C7B" w:rsidP="0054314B"/>
    <w:p w14:paraId="2A080C41" w14:textId="7BCA1D96" w:rsidR="00B45C7B" w:rsidRPr="00E72418" w:rsidRDefault="007F038F" w:rsidP="00CC4BA8">
      <w:pPr>
        <w:spacing w:line="276" w:lineRule="auto"/>
      </w:pPr>
      <w:r w:rsidRPr="00E72418">
        <w:rPr>
          <w:b/>
        </w:rPr>
        <w:t>107</w:t>
      </w:r>
      <w:r w:rsidR="007E31CD" w:rsidRPr="00E72418">
        <w:rPr>
          <w:b/>
        </w:rPr>
        <w:t xml:space="preserve">. </w:t>
      </w:r>
      <w:r w:rsidR="00B45C7B" w:rsidRPr="00E72418">
        <w:rPr>
          <w:b/>
        </w:rPr>
        <w:t>L’origine de la créance litigieuse –</w:t>
      </w:r>
      <w:r w:rsidR="00FF5E08" w:rsidRPr="00E72418">
        <w:t xml:space="preserve"> Le G</w:t>
      </w:r>
      <w:r w:rsidR="00344471" w:rsidRPr="00E72418">
        <w:t>ouvernement congolais chargea</w:t>
      </w:r>
      <w:r w:rsidR="00B45C7B" w:rsidRPr="00E72418">
        <w:t xml:space="preserve"> en 1980 la société yougoslave </w:t>
      </w:r>
      <w:r w:rsidR="00B45C7B" w:rsidRPr="00E72418">
        <w:rPr>
          <w:i/>
        </w:rPr>
        <w:t>Energoinvest</w:t>
      </w:r>
      <w:r w:rsidR="00B45C7B" w:rsidRPr="00E72418">
        <w:t xml:space="preserve"> de la réalisation notamment de </w:t>
      </w:r>
      <w:r w:rsidR="00344471" w:rsidRPr="00E72418">
        <w:t xml:space="preserve">lignes à haute tension ainsi que </w:t>
      </w:r>
      <w:r w:rsidR="00344471" w:rsidRPr="00E72418">
        <w:rPr>
          <w:rFonts w:ascii="Times New Roman" w:hAnsi="Times New Roman" w:cs="Times New Roman"/>
          <w:szCs w:val="24"/>
        </w:rPr>
        <w:t xml:space="preserve">d’un barrage hydroélectrique à proximité de l’habitation </w:t>
      </w:r>
      <w:r w:rsidR="00331721">
        <w:rPr>
          <w:rFonts w:ascii="Times New Roman" w:hAnsi="Times New Roman" w:cs="Times New Roman"/>
          <w:szCs w:val="24"/>
        </w:rPr>
        <w:t>de Joseph-Désiré</w:t>
      </w:r>
      <w:r w:rsidR="00344471" w:rsidRPr="00E72418">
        <w:rPr>
          <w:rFonts w:ascii="Times New Roman" w:hAnsi="Times New Roman" w:cs="Times New Roman"/>
          <w:szCs w:val="24"/>
        </w:rPr>
        <w:t xml:space="preserve"> Mobutu</w:t>
      </w:r>
      <w:r w:rsidR="00C83864" w:rsidRPr="00E72418">
        <w:rPr>
          <w:rStyle w:val="Appelnotedebasdep"/>
          <w:rFonts w:ascii="Times New Roman" w:hAnsi="Times New Roman" w:cs="Times New Roman"/>
          <w:szCs w:val="24"/>
        </w:rPr>
        <w:footnoteReference w:id="615"/>
      </w:r>
      <w:r w:rsidR="00344471" w:rsidRPr="00E72418">
        <w:rPr>
          <w:rFonts w:ascii="Times New Roman" w:hAnsi="Times New Roman" w:cs="Times New Roman"/>
          <w:szCs w:val="24"/>
        </w:rPr>
        <w:t>. Pour ce faire,</w:t>
      </w:r>
      <w:r w:rsidR="00344471" w:rsidRPr="00E72418">
        <w:t xml:space="preserve"> l</w:t>
      </w:r>
      <w:r w:rsidR="00FF5E08" w:rsidRPr="00E72418">
        <w:t>e G</w:t>
      </w:r>
      <w:r w:rsidR="00B45C7B" w:rsidRPr="00E72418">
        <w:t>ouverne</w:t>
      </w:r>
      <w:r w:rsidR="00344471" w:rsidRPr="00E72418">
        <w:t xml:space="preserve">ment et la </w:t>
      </w:r>
      <w:r w:rsidR="00344471" w:rsidRPr="00E72418">
        <w:rPr>
          <w:i/>
        </w:rPr>
        <w:t>Société Nationale d’</w:t>
      </w:r>
      <w:r w:rsidR="00344471" w:rsidRPr="00E72418">
        <w:rPr>
          <w:i/>
          <w:lang w:val="en-US"/>
        </w:rPr>
        <w:t>É</w:t>
      </w:r>
      <w:r w:rsidR="00B45C7B" w:rsidRPr="00E72418">
        <w:rPr>
          <w:i/>
        </w:rPr>
        <w:t>lec</w:t>
      </w:r>
      <w:r w:rsidR="00C83864" w:rsidRPr="00E72418">
        <w:rPr>
          <w:i/>
        </w:rPr>
        <w:t>tricité</w:t>
      </w:r>
      <w:r w:rsidR="00C83864" w:rsidRPr="00E72418">
        <w:t xml:space="preserve"> s’engagèrent</w:t>
      </w:r>
      <w:r w:rsidR="00B45C7B" w:rsidRPr="00E72418">
        <w:t xml:space="preserve"> dans un contrat de crédit sur lequel ils firent défaut à la fin des années 80</w:t>
      </w:r>
      <w:r w:rsidR="002A593B" w:rsidRPr="00E72418">
        <w:rPr>
          <w:rStyle w:val="Appelnotedebasdep"/>
          <w:rFonts w:ascii="Times New Roman" w:hAnsi="Times New Roman" w:cs="Times New Roman"/>
          <w:szCs w:val="24"/>
        </w:rPr>
        <w:footnoteReference w:id="616"/>
      </w:r>
      <w:r w:rsidR="00C83864" w:rsidRPr="00E72418">
        <w:t xml:space="preserve">. En 1991, l’État </w:t>
      </w:r>
      <w:r w:rsidR="00FA2584" w:rsidRPr="00E72418">
        <w:t>dé</w:t>
      </w:r>
      <w:r w:rsidR="00C83864" w:rsidRPr="00E72418">
        <w:t xml:space="preserve">biteur </w:t>
      </w:r>
      <w:r w:rsidR="00B45C7B" w:rsidRPr="00E72418">
        <w:t xml:space="preserve">reconnut la créance sans pour autant </w:t>
      </w:r>
      <w:r w:rsidR="00344471" w:rsidRPr="00E72418">
        <w:t>l’honorer</w:t>
      </w:r>
      <w:r w:rsidR="00B45C7B" w:rsidRPr="00E72418">
        <w:rPr>
          <w:rStyle w:val="Appelnotedebasdep"/>
        </w:rPr>
        <w:footnoteReference w:id="617"/>
      </w:r>
      <w:r w:rsidR="00B45C7B" w:rsidRPr="00E72418">
        <w:t>.</w:t>
      </w:r>
    </w:p>
    <w:p w14:paraId="11CADF00" w14:textId="400963CB" w:rsidR="00B45C7B" w:rsidRPr="00E72418" w:rsidRDefault="00C83864" w:rsidP="00CC4BA8">
      <w:pPr>
        <w:spacing w:line="276" w:lineRule="auto"/>
        <w:rPr>
          <w:rFonts w:ascii="Times New Roman" w:hAnsi="Times New Roman" w:cs="Times New Roman"/>
          <w:szCs w:val="24"/>
        </w:rPr>
      </w:pPr>
      <w:r w:rsidRPr="00E72418">
        <w:rPr>
          <w:rFonts w:ascii="Times New Roman" w:hAnsi="Times New Roman" w:cs="Times New Roman"/>
          <w:szCs w:val="24"/>
        </w:rPr>
        <w:t>D’attente de paiement lasse, l</w:t>
      </w:r>
      <w:r w:rsidR="00344471" w:rsidRPr="00E72418">
        <w:rPr>
          <w:rFonts w:ascii="Times New Roman" w:hAnsi="Times New Roman" w:cs="Times New Roman"/>
          <w:szCs w:val="24"/>
        </w:rPr>
        <w:t>a</w:t>
      </w:r>
      <w:r w:rsidR="00B45C7B" w:rsidRPr="00E72418">
        <w:rPr>
          <w:rFonts w:ascii="Times New Roman" w:hAnsi="Times New Roman" w:cs="Times New Roman"/>
          <w:szCs w:val="24"/>
        </w:rPr>
        <w:t xml:space="preserve"> société </w:t>
      </w:r>
      <w:r w:rsidR="00B45C7B" w:rsidRPr="00E72418">
        <w:rPr>
          <w:rFonts w:ascii="Times New Roman" w:hAnsi="Times New Roman" w:cs="Times New Roman"/>
          <w:i/>
          <w:szCs w:val="24"/>
        </w:rPr>
        <w:t>Energoinvest</w:t>
      </w:r>
      <w:r w:rsidR="00B45C7B" w:rsidRPr="00E72418">
        <w:rPr>
          <w:rFonts w:ascii="Times New Roman" w:hAnsi="Times New Roman" w:cs="Times New Roman"/>
          <w:szCs w:val="24"/>
        </w:rPr>
        <w:t xml:space="preserve"> initia devant l’</w:t>
      </w:r>
      <w:r w:rsidR="00B45C7B" w:rsidRPr="00E72418">
        <w:rPr>
          <w:rFonts w:ascii="Times New Roman" w:hAnsi="Times New Roman" w:cs="Times New Roman"/>
          <w:i/>
          <w:szCs w:val="24"/>
        </w:rPr>
        <w:t>International Chamber of Commerce Arbitration</w:t>
      </w:r>
      <w:r w:rsidRPr="00E72418">
        <w:rPr>
          <w:rFonts w:ascii="Times New Roman" w:hAnsi="Times New Roman" w:cs="Times New Roman"/>
          <w:szCs w:val="24"/>
        </w:rPr>
        <w:t xml:space="preserve">, en </w:t>
      </w:r>
      <w:r w:rsidR="002D7E78" w:rsidRPr="00E72418">
        <w:rPr>
          <w:rFonts w:ascii="Times New Roman" w:hAnsi="Times New Roman" w:cs="Times New Roman"/>
          <w:szCs w:val="24"/>
        </w:rPr>
        <w:t xml:space="preserve">mars </w:t>
      </w:r>
      <w:r w:rsidRPr="00E72418">
        <w:rPr>
          <w:rFonts w:ascii="Times New Roman" w:hAnsi="Times New Roman" w:cs="Times New Roman"/>
          <w:szCs w:val="24"/>
        </w:rPr>
        <w:t xml:space="preserve">2001, </w:t>
      </w:r>
      <w:r w:rsidR="00B45C7B" w:rsidRPr="00E72418">
        <w:rPr>
          <w:rFonts w:ascii="Times New Roman" w:hAnsi="Times New Roman" w:cs="Times New Roman"/>
          <w:szCs w:val="24"/>
        </w:rPr>
        <w:t>une procédure d’arbitrage contre la Répu</w:t>
      </w:r>
      <w:r w:rsidR="0033545A" w:rsidRPr="00E72418">
        <w:rPr>
          <w:rFonts w:ascii="Times New Roman" w:hAnsi="Times New Roman" w:cs="Times New Roman"/>
          <w:szCs w:val="24"/>
        </w:rPr>
        <w:t>blique démocratique du Congo</w:t>
      </w:r>
      <w:r w:rsidR="00B45C7B" w:rsidRPr="00E72418">
        <w:rPr>
          <w:rFonts w:ascii="Times New Roman" w:hAnsi="Times New Roman" w:cs="Times New Roman"/>
          <w:szCs w:val="24"/>
        </w:rPr>
        <w:t xml:space="preserve"> conformément à la clause d’arbitrage reprise dans le contrat de crédit. En avril 2003, </w:t>
      </w:r>
      <w:r w:rsidR="002D7E78" w:rsidRPr="00E72418">
        <w:rPr>
          <w:rFonts w:ascii="Times New Roman" w:hAnsi="Times New Roman" w:cs="Times New Roman"/>
          <w:szCs w:val="24"/>
        </w:rPr>
        <w:t xml:space="preserve">une </w:t>
      </w:r>
      <w:r w:rsidR="00B45C7B" w:rsidRPr="00E72418">
        <w:rPr>
          <w:rFonts w:ascii="Times New Roman" w:hAnsi="Times New Roman" w:cs="Times New Roman"/>
          <w:szCs w:val="24"/>
        </w:rPr>
        <w:t>sentence fut rendue en faveur d’</w:t>
      </w:r>
      <w:r w:rsidR="00B45C7B" w:rsidRPr="00E72418">
        <w:rPr>
          <w:rFonts w:ascii="Times New Roman" w:hAnsi="Times New Roman" w:cs="Times New Roman"/>
          <w:i/>
          <w:szCs w:val="24"/>
        </w:rPr>
        <w:t xml:space="preserve">Energoinvest </w:t>
      </w:r>
      <w:r w:rsidR="00970871" w:rsidRPr="00E72418">
        <w:rPr>
          <w:rFonts w:ascii="Times New Roman" w:hAnsi="Times New Roman" w:cs="Times New Roman"/>
          <w:szCs w:val="24"/>
        </w:rPr>
        <w:t xml:space="preserve">pour un montant total </w:t>
      </w:r>
      <w:r w:rsidR="00247195" w:rsidRPr="00E72418">
        <w:rPr>
          <w:rFonts w:ascii="Times New Roman" w:hAnsi="Times New Roman" w:cs="Times New Roman"/>
          <w:szCs w:val="24"/>
        </w:rPr>
        <w:t>de plus de dix millions de dollars étatsunien</w:t>
      </w:r>
      <w:r w:rsidR="00B45C7B" w:rsidRPr="00E72418">
        <w:rPr>
          <w:rFonts w:ascii="Times New Roman" w:hAnsi="Times New Roman" w:cs="Times New Roman"/>
          <w:szCs w:val="24"/>
        </w:rPr>
        <w:t>. Le pays fut également condamné à prendre en charge les coûts de l’arbitrage</w:t>
      </w:r>
      <w:r w:rsidR="00A44959" w:rsidRPr="00E72418">
        <w:rPr>
          <w:rFonts w:ascii="Times New Roman" w:hAnsi="Times New Roman" w:cs="Times New Roman"/>
          <w:szCs w:val="24"/>
        </w:rPr>
        <w:t xml:space="preserve"> auquel il ne participa pas</w:t>
      </w:r>
      <w:r w:rsidR="00B45C7B" w:rsidRPr="00E72418">
        <w:rPr>
          <w:rFonts w:ascii="Times New Roman" w:hAnsi="Times New Roman" w:cs="Times New Roman"/>
          <w:szCs w:val="24"/>
        </w:rPr>
        <w:t xml:space="preserve">. En septembre 2004, la </w:t>
      </w:r>
      <w:r w:rsidR="00B45C7B" w:rsidRPr="00C6627B">
        <w:rPr>
          <w:rFonts w:ascii="Times New Roman" w:hAnsi="Times New Roman" w:cs="Times New Roman"/>
          <w:szCs w:val="24"/>
        </w:rPr>
        <w:t>United States District Court for the District of Columbia</w:t>
      </w:r>
      <w:r w:rsidR="00B45C7B" w:rsidRPr="00E72418">
        <w:rPr>
          <w:rFonts w:ascii="Times New Roman" w:hAnsi="Times New Roman" w:cs="Times New Roman"/>
          <w:szCs w:val="24"/>
        </w:rPr>
        <w:t xml:space="preserve"> confirma la condamnation</w:t>
      </w:r>
      <w:r w:rsidR="000167FD" w:rsidRPr="00E72418">
        <w:rPr>
          <w:rFonts w:ascii="Times New Roman" w:hAnsi="Times New Roman" w:cs="Times New Roman"/>
          <w:szCs w:val="24"/>
        </w:rPr>
        <w:t xml:space="preserve"> et rendit un jugemen</w:t>
      </w:r>
      <w:r w:rsidR="00E862EA" w:rsidRPr="00E72418">
        <w:rPr>
          <w:rFonts w:ascii="Times New Roman" w:hAnsi="Times New Roman" w:cs="Times New Roman"/>
          <w:szCs w:val="24"/>
        </w:rPr>
        <w:t>t par défaut à l’encontre de l’</w:t>
      </w:r>
      <w:r w:rsidR="00E862EA" w:rsidRPr="00E72418">
        <w:rPr>
          <w:lang w:eastAsia="fr-BE"/>
        </w:rPr>
        <w:t>É</w:t>
      </w:r>
      <w:r w:rsidR="000167FD" w:rsidRPr="00E72418">
        <w:rPr>
          <w:rFonts w:ascii="Times New Roman" w:hAnsi="Times New Roman" w:cs="Times New Roman"/>
          <w:szCs w:val="24"/>
        </w:rPr>
        <w:t>tat débiteur</w:t>
      </w:r>
      <w:r w:rsidR="00B45C7B" w:rsidRPr="00E72418">
        <w:rPr>
          <w:rStyle w:val="Appelnotedebasdep"/>
          <w:rFonts w:ascii="Times New Roman" w:hAnsi="Times New Roman" w:cs="Times New Roman"/>
          <w:szCs w:val="24"/>
        </w:rPr>
        <w:footnoteReference w:id="618"/>
      </w:r>
      <w:r w:rsidR="0072213A" w:rsidRPr="00E72418">
        <w:rPr>
          <w:rFonts w:ascii="Times New Roman" w:hAnsi="Times New Roman" w:cs="Times New Roman"/>
          <w:szCs w:val="24"/>
        </w:rPr>
        <w:t xml:space="preserve">. Outre la condamnation en principal, la juridiction étatsunienne accorda au créancier des </w:t>
      </w:r>
      <w:r w:rsidR="00B45C7B" w:rsidRPr="00E72418">
        <w:rPr>
          <w:rFonts w:ascii="Times New Roman" w:hAnsi="Times New Roman" w:cs="Times New Roman"/>
          <w:szCs w:val="24"/>
        </w:rPr>
        <w:t xml:space="preserve">intérêts </w:t>
      </w:r>
      <w:r w:rsidR="00247195" w:rsidRPr="00E72418">
        <w:rPr>
          <w:rFonts w:ascii="Times New Roman" w:hAnsi="Times New Roman" w:cs="Times New Roman"/>
          <w:szCs w:val="24"/>
        </w:rPr>
        <w:t>à un taux annuel de neuf pour</w:t>
      </w:r>
      <w:r w:rsidR="00593580" w:rsidRPr="00E72418">
        <w:rPr>
          <w:rFonts w:ascii="Times New Roman" w:hAnsi="Times New Roman" w:cs="Times New Roman"/>
          <w:szCs w:val="24"/>
        </w:rPr>
        <w:t xml:space="preserve"> </w:t>
      </w:r>
      <w:r w:rsidR="00247195" w:rsidRPr="00E72418">
        <w:rPr>
          <w:rFonts w:ascii="Times New Roman" w:hAnsi="Times New Roman" w:cs="Times New Roman"/>
          <w:szCs w:val="24"/>
        </w:rPr>
        <w:t>cent.</w:t>
      </w:r>
    </w:p>
    <w:p w14:paraId="2ED9BE1F" w14:textId="77777777" w:rsidR="00B45C7B" w:rsidRPr="00E72418" w:rsidRDefault="00B45C7B" w:rsidP="0054314B"/>
    <w:p w14:paraId="725F6ACC" w14:textId="63B48F66" w:rsidR="00B45C7B" w:rsidRPr="00E72418" w:rsidRDefault="007F038F" w:rsidP="00CC4BA8">
      <w:pPr>
        <w:spacing w:line="276" w:lineRule="auto"/>
      </w:pPr>
      <w:r w:rsidRPr="00E72418">
        <w:rPr>
          <w:b/>
        </w:rPr>
        <w:t>108</w:t>
      </w:r>
      <w:r w:rsidR="007E31CD" w:rsidRPr="00E72418">
        <w:rPr>
          <w:b/>
        </w:rPr>
        <w:t xml:space="preserve">. </w:t>
      </w:r>
      <w:r w:rsidR="00B45C7B" w:rsidRPr="00E72418">
        <w:rPr>
          <w:b/>
        </w:rPr>
        <w:t xml:space="preserve">Le rachat </w:t>
      </w:r>
      <w:r w:rsidR="006C4F70" w:rsidRPr="00E72418">
        <w:rPr>
          <w:b/>
        </w:rPr>
        <w:t xml:space="preserve">de la créance </w:t>
      </w:r>
      <w:r w:rsidR="00B45C7B" w:rsidRPr="00E72418">
        <w:rPr>
          <w:b/>
        </w:rPr>
        <w:t xml:space="preserve">– </w:t>
      </w:r>
      <w:r w:rsidR="00344471" w:rsidRPr="00E72418">
        <w:t>Fin</w:t>
      </w:r>
      <w:r w:rsidR="00B45C7B" w:rsidRPr="00E72418">
        <w:t xml:space="preserve"> 2004, la société </w:t>
      </w:r>
      <w:r w:rsidR="00B45C7B" w:rsidRPr="00E72418">
        <w:rPr>
          <w:i/>
        </w:rPr>
        <w:t>Energoinvest</w:t>
      </w:r>
      <w:r w:rsidR="00B45C7B" w:rsidRPr="00E72418">
        <w:t xml:space="preserve"> vendit sa créance au fonds </w:t>
      </w:r>
      <w:r w:rsidR="00344471" w:rsidRPr="00E72418">
        <w:t xml:space="preserve">d’investissement </w:t>
      </w:r>
      <w:r w:rsidR="003E3A69" w:rsidRPr="00E72418">
        <w:rPr>
          <w:i/>
        </w:rPr>
        <w:t>FG</w:t>
      </w:r>
      <w:r w:rsidR="00B45C7B" w:rsidRPr="00E72418">
        <w:rPr>
          <w:i/>
        </w:rPr>
        <w:t xml:space="preserve"> Hemisphere Associates LLC</w:t>
      </w:r>
      <w:r w:rsidR="00344471" w:rsidRPr="00E72418">
        <w:t xml:space="preserve"> établi</w:t>
      </w:r>
      <w:r w:rsidR="00B45C7B" w:rsidRPr="00E72418">
        <w:t xml:space="preserve"> dans l</w:t>
      </w:r>
      <w:r w:rsidR="006C4F70" w:rsidRPr="00E72418">
        <w:t xml:space="preserve">’État </w:t>
      </w:r>
      <w:r w:rsidR="005D49E4" w:rsidRPr="00E72418">
        <w:t xml:space="preserve">étatsunien </w:t>
      </w:r>
      <w:r w:rsidR="006C4F70" w:rsidRPr="00E72418">
        <w:t>du Delaware</w:t>
      </w:r>
      <w:r w:rsidR="00247195" w:rsidRPr="00E72418">
        <w:t xml:space="preserve"> et se présentant comme « financial advisor and investor specializing in sovereign debt obligations in emerging markets »</w:t>
      </w:r>
      <w:r w:rsidR="00247195" w:rsidRPr="00E72418">
        <w:rPr>
          <w:rStyle w:val="Appelnotedebasdep"/>
        </w:rPr>
        <w:footnoteReference w:id="619"/>
      </w:r>
      <w:r w:rsidR="006C4F70" w:rsidRPr="00E72418">
        <w:t xml:space="preserve">. </w:t>
      </w:r>
      <w:r w:rsidR="00FA2584" w:rsidRPr="00E72418">
        <w:t xml:space="preserve">Peter </w:t>
      </w:r>
      <w:r w:rsidR="0072213A" w:rsidRPr="00E72418">
        <w:t>Grossman, le dirigeant du fonds acquéreur</w:t>
      </w:r>
      <w:r w:rsidR="006C4F70" w:rsidRPr="00E72418">
        <w:t>, expliqua que ce</w:t>
      </w:r>
      <w:r w:rsidR="0072213A" w:rsidRPr="00E72418">
        <w:t xml:space="preserve">tte vente se justifiait pour </w:t>
      </w:r>
      <w:r w:rsidR="006C4F70" w:rsidRPr="00E72418">
        <w:t xml:space="preserve">la société </w:t>
      </w:r>
      <w:r w:rsidR="006C4F70" w:rsidRPr="00E72418">
        <w:rPr>
          <w:i/>
        </w:rPr>
        <w:t>Energoinvest</w:t>
      </w:r>
      <w:r w:rsidR="006C4F70" w:rsidRPr="00E72418">
        <w:t xml:space="preserve"> </w:t>
      </w:r>
      <w:r w:rsidR="0072213A" w:rsidRPr="00E72418">
        <w:t>par un besoin de liquidités</w:t>
      </w:r>
      <w:r w:rsidR="00B45C7B" w:rsidRPr="00E72418">
        <w:rPr>
          <w:rStyle w:val="Appelnotedebasdep"/>
        </w:rPr>
        <w:footnoteReference w:id="620"/>
      </w:r>
      <w:r w:rsidR="00B45C7B" w:rsidRPr="00E72418">
        <w:t>.</w:t>
      </w:r>
      <w:r w:rsidR="007143FF" w:rsidRPr="00E72418">
        <w:rPr>
          <w:rFonts w:ascii="Times New Roman" w:hAnsi="Times New Roman" w:cs="Times New Roman"/>
        </w:rPr>
        <w:t xml:space="preserve"> </w:t>
      </w:r>
      <w:r w:rsidR="004A248F" w:rsidRPr="00E72418">
        <w:rPr>
          <w:rFonts w:ascii="Times New Roman" w:hAnsi="Times New Roman" w:cs="Times New Roman"/>
        </w:rPr>
        <w:t xml:space="preserve">La </w:t>
      </w:r>
      <w:r w:rsidR="008E2E04" w:rsidRPr="00E72418">
        <w:rPr>
          <w:rFonts w:ascii="Times New Roman" w:hAnsi="Times New Roman" w:cs="Times New Roman"/>
        </w:rPr>
        <w:t xml:space="preserve">cession de la créance détenue par la </w:t>
      </w:r>
      <w:r w:rsidR="004A248F" w:rsidRPr="00E72418">
        <w:rPr>
          <w:rFonts w:ascii="Times New Roman" w:hAnsi="Times New Roman" w:cs="Times New Roman"/>
        </w:rPr>
        <w:t xml:space="preserve">société </w:t>
      </w:r>
      <w:r w:rsidR="004A248F" w:rsidRPr="00E72418">
        <w:rPr>
          <w:rFonts w:ascii="Times New Roman" w:hAnsi="Times New Roman" w:cs="Times New Roman"/>
          <w:i/>
        </w:rPr>
        <w:t>E</w:t>
      </w:r>
      <w:r w:rsidR="008E2E04" w:rsidRPr="00E72418">
        <w:rPr>
          <w:rFonts w:ascii="Times New Roman" w:hAnsi="Times New Roman" w:cs="Times New Roman"/>
          <w:i/>
        </w:rPr>
        <w:t>nergoinvest</w:t>
      </w:r>
      <w:r w:rsidR="008E2E04" w:rsidRPr="00E72418">
        <w:rPr>
          <w:rFonts w:ascii="Times New Roman" w:hAnsi="Times New Roman" w:cs="Times New Roman"/>
        </w:rPr>
        <w:t xml:space="preserve"> fut approuvée par l’ancien Premier Ministre </w:t>
      </w:r>
      <w:r w:rsidR="00C72A19" w:rsidRPr="00E72418">
        <w:rPr>
          <w:rFonts w:ascii="Times New Roman" w:hAnsi="Times New Roman" w:cs="Times New Roman"/>
        </w:rPr>
        <w:t>b</w:t>
      </w:r>
      <w:r w:rsidR="008E2E04" w:rsidRPr="00E72418">
        <w:rPr>
          <w:rFonts w:ascii="Times New Roman" w:hAnsi="Times New Roman" w:cs="Times New Roman"/>
        </w:rPr>
        <w:t>o</w:t>
      </w:r>
      <w:r w:rsidR="00C72A19" w:rsidRPr="00E72418">
        <w:rPr>
          <w:rFonts w:ascii="Times New Roman" w:hAnsi="Times New Roman" w:cs="Times New Roman"/>
        </w:rPr>
        <w:t xml:space="preserve">sniaque </w:t>
      </w:r>
      <w:r w:rsidR="00A454C3" w:rsidRPr="00E72418">
        <w:rPr>
          <w:rFonts w:ascii="Times New Roman" w:hAnsi="Times New Roman" w:cs="Times New Roman"/>
        </w:rPr>
        <w:t xml:space="preserve">Nedzad </w:t>
      </w:r>
      <w:r w:rsidR="008E2E04" w:rsidRPr="00E72418">
        <w:rPr>
          <w:rFonts w:ascii="Times New Roman" w:hAnsi="Times New Roman" w:cs="Times New Roman"/>
        </w:rPr>
        <w:t xml:space="preserve">Brankovic, </w:t>
      </w:r>
      <w:r w:rsidR="00C72A19" w:rsidRPr="00E72418">
        <w:rPr>
          <w:rFonts w:ascii="Times New Roman" w:hAnsi="Times New Roman" w:cs="Times New Roman"/>
        </w:rPr>
        <w:t>lequel</w:t>
      </w:r>
      <w:r w:rsidR="008E2E04" w:rsidRPr="00E72418">
        <w:rPr>
          <w:rFonts w:ascii="Times New Roman" w:hAnsi="Times New Roman" w:cs="Times New Roman"/>
        </w:rPr>
        <w:t xml:space="preserve"> fit l’objet de charges de corruption en lien avec son activité au sein de ladite société dont il fut un temps directeur</w:t>
      </w:r>
      <w:r w:rsidR="006D2D8D" w:rsidRPr="00E72418">
        <w:rPr>
          <w:rStyle w:val="Appelnotedebasdep"/>
        </w:rPr>
        <w:footnoteReference w:id="621"/>
      </w:r>
      <w:r w:rsidR="006D2D8D" w:rsidRPr="00E72418">
        <w:t xml:space="preserve">. </w:t>
      </w:r>
      <w:r w:rsidR="00B45C7B" w:rsidRPr="00E72418">
        <w:t xml:space="preserve">Parallèlement à ce rachat, de </w:t>
      </w:r>
      <w:r w:rsidR="00B45C7B" w:rsidRPr="00E72418">
        <w:lastRenderedPageBreak/>
        <w:t>nombreux créanciers offrai</w:t>
      </w:r>
      <w:r w:rsidR="006C4F70" w:rsidRPr="00E72418">
        <w:t>en</w:t>
      </w:r>
      <w:r w:rsidR="00B45C7B" w:rsidRPr="00E72418">
        <w:t>t à la République démocratique du Congo, l’un des pays les plus pauvres au monde</w:t>
      </w:r>
      <w:r w:rsidR="006C4F70" w:rsidRPr="00E72418">
        <w:rPr>
          <w:rStyle w:val="Appelnotedebasdep"/>
        </w:rPr>
        <w:footnoteReference w:id="622"/>
      </w:r>
      <w:r w:rsidR="00B45C7B" w:rsidRPr="00E72418">
        <w:t>, un allègement de sa dette via l’Initiative Pays Pauvres Très Endettés</w:t>
      </w:r>
      <w:r w:rsidR="006C4F70" w:rsidRPr="00E72418">
        <w:t xml:space="preserve"> de la Banque mondiale et du Fonds monétaire international</w:t>
      </w:r>
      <w:r w:rsidR="00247195" w:rsidRPr="00E72418">
        <w:rPr>
          <w:rStyle w:val="Appelnotedebasdep"/>
        </w:rPr>
        <w:footnoteReference w:id="623"/>
      </w:r>
      <w:r w:rsidR="00B45C7B" w:rsidRPr="00E72418">
        <w:t>.</w:t>
      </w:r>
    </w:p>
    <w:p w14:paraId="51911583" w14:textId="131E0EAA" w:rsidR="006C4F70" w:rsidRPr="00E72418" w:rsidRDefault="006C4F70" w:rsidP="00CC4BA8">
      <w:pPr>
        <w:spacing w:line="276" w:lineRule="auto"/>
      </w:pPr>
      <w:r w:rsidRPr="00E72418">
        <w:t xml:space="preserve">Fort de sa créance, </w:t>
      </w:r>
      <w:r w:rsidR="003E3A69" w:rsidRPr="00E72418">
        <w:rPr>
          <w:i/>
        </w:rPr>
        <w:t>FG</w:t>
      </w:r>
      <w:r w:rsidR="00B45C7B" w:rsidRPr="00E72418">
        <w:rPr>
          <w:i/>
        </w:rPr>
        <w:t xml:space="preserve"> Hemisphere Associates LLC</w:t>
      </w:r>
      <w:r w:rsidRPr="00E72418">
        <w:t xml:space="preserve">, devenu créancier secondaire de la République démocratique du Congo, </w:t>
      </w:r>
      <w:r w:rsidR="00B45C7B" w:rsidRPr="00E72418">
        <w:t>introduisit</w:t>
      </w:r>
      <w:r w:rsidR="0033674E" w:rsidRPr="00E72418">
        <w:t>, entre autres procédures,</w:t>
      </w:r>
      <w:r w:rsidR="00B45C7B" w:rsidRPr="00E72418">
        <w:t xml:space="preserve"> une </w:t>
      </w:r>
      <w:r w:rsidR="0033674E" w:rsidRPr="00E72418">
        <w:t xml:space="preserve">action </w:t>
      </w:r>
      <w:r w:rsidR="00B45C7B" w:rsidRPr="00E72418">
        <w:t>visant à obtenir des informations sur les avoirs de son débiteur</w:t>
      </w:r>
      <w:r w:rsidR="003948E0" w:rsidRPr="00E72418">
        <w:t xml:space="preserve"> dans l’objectif de trouver des moyens de faire honorer sa dette</w:t>
      </w:r>
      <w:r w:rsidR="00B45C7B" w:rsidRPr="00E72418">
        <w:t xml:space="preserve">. La </w:t>
      </w:r>
      <w:r w:rsidR="003948E0" w:rsidRPr="00C6627B">
        <w:rPr>
          <w:lang w:val="en-US"/>
        </w:rPr>
        <w:t>United States District Court for the District of Columbia</w:t>
      </w:r>
      <w:r w:rsidR="003948E0" w:rsidRPr="00E72418">
        <w:t xml:space="preserve"> </w:t>
      </w:r>
      <w:r w:rsidR="00B45C7B" w:rsidRPr="00E72418">
        <w:t>rendit</w:t>
      </w:r>
      <w:r w:rsidR="003948E0" w:rsidRPr="00E72418">
        <w:t>, en 2009,</w:t>
      </w:r>
      <w:r w:rsidR="00B45C7B" w:rsidRPr="00E72418">
        <w:t xml:space="preserve"> </w:t>
      </w:r>
      <w:r w:rsidR="00C33739" w:rsidRPr="00E72418">
        <w:t>une décision imposant à l’</w:t>
      </w:r>
      <w:r w:rsidR="00C33739" w:rsidRPr="00E72418">
        <w:rPr>
          <w:szCs w:val="24"/>
        </w:rPr>
        <w:t>É</w:t>
      </w:r>
      <w:r w:rsidR="00C33739" w:rsidRPr="00E72418">
        <w:t xml:space="preserve">tat débiteur de divulguer diverses </w:t>
      </w:r>
      <w:r w:rsidR="00B45C7B" w:rsidRPr="00E72418">
        <w:t xml:space="preserve">informations </w:t>
      </w:r>
      <w:r w:rsidR="00C33739" w:rsidRPr="00E72418">
        <w:t>utiles au</w:t>
      </w:r>
      <w:r w:rsidR="003948E0" w:rsidRPr="00E72418">
        <w:t>x</w:t>
      </w:r>
      <w:r w:rsidR="00C33739" w:rsidRPr="00E72418">
        <w:t xml:space="preserve"> démarche</w:t>
      </w:r>
      <w:r w:rsidR="003948E0" w:rsidRPr="00E72418">
        <w:t>s</w:t>
      </w:r>
      <w:r w:rsidR="00C33739" w:rsidRPr="00E72418">
        <w:t xml:space="preserve"> de son créancier</w:t>
      </w:r>
      <w:r w:rsidR="00B45C7B" w:rsidRPr="00E72418">
        <w:rPr>
          <w:rStyle w:val="Appelnotedebasdep"/>
        </w:rPr>
        <w:footnoteReference w:id="624"/>
      </w:r>
      <w:r w:rsidR="00B45C7B" w:rsidRPr="00E72418">
        <w:t xml:space="preserve">. Les informations obtenues permirent à </w:t>
      </w:r>
      <w:r w:rsidR="003E3A69" w:rsidRPr="00E72418">
        <w:rPr>
          <w:i/>
        </w:rPr>
        <w:t>FG</w:t>
      </w:r>
      <w:r w:rsidR="00AD4047" w:rsidRPr="00E72418">
        <w:rPr>
          <w:i/>
        </w:rPr>
        <w:t xml:space="preserve"> Hemisphere Associates LLC</w:t>
      </w:r>
      <w:r w:rsidR="00AD4047" w:rsidRPr="00E72418">
        <w:t xml:space="preserve"> </w:t>
      </w:r>
      <w:r w:rsidR="00B45C7B" w:rsidRPr="00E72418">
        <w:t xml:space="preserve">de </w:t>
      </w:r>
      <w:r w:rsidR="00AD4047" w:rsidRPr="00E72418">
        <w:t>concentrer</w:t>
      </w:r>
      <w:r w:rsidR="00B45C7B" w:rsidRPr="00E72418">
        <w:t xml:space="preserve"> ses </w:t>
      </w:r>
      <w:r w:rsidR="00AD4047" w:rsidRPr="00E72418">
        <w:t>poursuites</w:t>
      </w:r>
      <w:r w:rsidR="00B45C7B" w:rsidRPr="00E72418">
        <w:t xml:space="preserve"> là où </w:t>
      </w:r>
      <w:r w:rsidR="00AD4047" w:rsidRPr="00E72418">
        <w:t>elles</w:t>
      </w:r>
      <w:r w:rsidR="00B45C7B" w:rsidRPr="00E72418">
        <w:t xml:space="preserve"> étaient de n</w:t>
      </w:r>
      <w:r w:rsidR="00AD4047" w:rsidRPr="00E72418">
        <w:t>ature à produire des résultats.</w:t>
      </w:r>
      <w:r w:rsidRPr="00E72418">
        <w:rPr>
          <w:rFonts w:ascii="Times New Roman" w:hAnsi="Times New Roman" w:cs="Times New Roman"/>
          <w:szCs w:val="24"/>
        </w:rPr>
        <w:t xml:space="preserve"> </w:t>
      </w:r>
    </w:p>
    <w:p w14:paraId="45F310BD" w14:textId="77777777" w:rsidR="00B45C7B" w:rsidRPr="00E72418" w:rsidRDefault="00B45C7B" w:rsidP="0054314B"/>
    <w:p w14:paraId="18D60DCF" w14:textId="52277237" w:rsidR="00AD4047" w:rsidRPr="00E72418" w:rsidRDefault="007F038F" w:rsidP="00CC4BA8">
      <w:pPr>
        <w:spacing w:line="276" w:lineRule="auto"/>
        <w:rPr>
          <w:rFonts w:ascii="Times New Roman" w:hAnsi="Times New Roman" w:cs="Times New Roman"/>
        </w:rPr>
      </w:pPr>
      <w:r w:rsidRPr="00E72418">
        <w:rPr>
          <w:b/>
        </w:rPr>
        <w:t>109</w:t>
      </w:r>
      <w:r w:rsidR="007E31CD" w:rsidRPr="00E72418">
        <w:rPr>
          <w:b/>
        </w:rPr>
        <w:t xml:space="preserve">. </w:t>
      </w:r>
      <w:r w:rsidR="003948E0" w:rsidRPr="00E72418">
        <w:rPr>
          <w:b/>
        </w:rPr>
        <w:t xml:space="preserve">Les poursuites à travers le monde – </w:t>
      </w:r>
      <w:r w:rsidR="003948E0" w:rsidRPr="00E72418">
        <w:rPr>
          <w:rFonts w:ascii="Times New Roman" w:hAnsi="Times New Roman" w:cs="Times New Roman"/>
          <w:szCs w:val="24"/>
        </w:rPr>
        <w:t>Fort des informations collectées, l</w:t>
      </w:r>
      <w:r w:rsidR="00AD4047" w:rsidRPr="00E72418">
        <w:rPr>
          <w:rFonts w:ascii="Times New Roman" w:hAnsi="Times New Roman" w:cs="Times New Roman"/>
        </w:rPr>
        <w:t>e fonds créancier engagea de nombreuses poursuites à travers le monde</w:t>
      </w:r>
      <w:r w:rsidR="003948E0" w:rsidRPr="00E72418">
        <w:rPr>
          <w:rStyle w:val="Appelnotedebasdep"/>
          <w:rFonts w:ascii="Times New Roman" w:hAnsi="Times New Roman" w:cs="Times New Roman"/>
          <w:szCs w:val="24"/>
        </w:rPr>
        <w:footnoteReference w:id="625"/>
      </w:r>
      <w:r w:rsidR="003948E0" w:rsidRPr="00E72418">
        <w:rPr>
          <w:rFonts w:ascii="Times New Roman" w:hAnsi="Times New Roman" w:cs="Times New Roman"/>
          <w:szCs w:val="24"/>
        </w:rPr>
        <w:t>.</w:t>
      </w:r>
    </w:p>
    <w:p w14:paraId="66DC8E4C" w14:textId="1A7FF286" w:rsidR="00B45C7B" w:rsidRPr="00E72418" w:rsidRDefault="00B45C7B"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Le 27 octobre 2010, </w:t>
      </w:r>
      <w:r w:rsidR="00AD4047" w:rsidRPr="00E72418">
        <w:rPr>
          <w:rFonts w:ascii="Times New Roman" w:hAnsi="Times New Roman" w:cs="Times New Roman"/>
          <w:szCs w:val="24"/>
        </w:rPr>
        <w:t>alors que la République démocratique du Congo faisait défaut, la Cour royale de Jersey décida</w:t>
      </w:r>
      <w:r w:rsidRPr="00E72418">
        <w:rPr>
          <w:rFonts w:ascii="Times New Roman" w:hAnsi="Times New Roman" w:cs="Times New Roman"/>
          <w:szCs w:val="24"/>
        </w:rPr>
        <w:t xml:space="preserve"> que la dette </w:t>
      </w:r>
      <w:r w:rsidR="00AD4047" w:rsidRPr="00E72418">
        <w:rPr>
          <w:rFonts w:ascii="Times New Roman" w:hAnsi="Times New Roman" w:cs="Times New Roman"/>
          <w:szCs w:val="24"/>
        </w:rPr>
        <w:t xml:space="preserve">détenue par </w:t>
      </w:r>
      <w:r w:rsidR="003E3A69" w:rsidRPr="00E72418">
        <w:rPr>
          <w:rFonts w:ascii="Times New Roman" w:hAnsi="Times New Roman" w:cs="Times New Roman"/>
          <w:i/>
        </w:rPr>
        <w:t>FG</w:t>
      </w:r>
      <w:r w:rsidR="00AD4047" w:rsidRPr="00E72418">
        <w:rPr>
          <w:rFonts w:ascii="Times New Roman" w:hAnsi="Times New Roman" w:cs="Times New Roman"/>
          <w:i/>
        </w:rPr>
        <w:t xml:space="preserve"> Hemisphere Associates LLC</w:t>
      </w:r>
      <w:r w:rsidR="00AD4047" w:rsidRPr="00E72418">
        <w:rPr>
          <w:rFonts w:ascii="Times New Roman" w:hAnsi="Times New Roman" w:cs="Times New Roman"/>
          <w:szCs w:val="24"/>
        </w:rPr>
        <w:t xml:space="preserve"> </w:t>
      </w:r>
      <w:r w:rsidRPr="00E72418">
        <w:rPr>
          <w:rFonts w:ascii="Times New Roman" w:hAnsi="Times New Roman" w:cs="Times New Roman"/>
          <w:szCs w:val="24"/>
        </w:rPr>
        <w:t xml:space="preserve">pouvait être exécutée à l’encontre </w:t>
      </w:r>
      <w:r w:rsidR="00972857" w:rsidRPr="00E72418">
        <w:rPr>
          <w:rFonts w:ascii="Times New Roman" w:hAnsi="Times New Roman" w:cs="Times New Roman"/>
          <w:szCs w:val="24"/>
        </w:rPr>
        <w:t xml:space="preserve">de biens </w:t>
      </w:r>
      <w:r w:rsidRPr="00E72418">
        <w:rPr>
          <w:rFonts w:ascii="Times New Roman" w:hAnsi="Times New Roman" w:cs="Times New Roman"/>
          <w:szCs w:val="24"/>
        </w:rPr>
        <w:t xml:space="preserve">de la société </w:t>
      </w:r>
      <w:r w:rsidRPr="00E72418">
        <w:rPr>
          <w:rFonts w:ascii="Times New Roman" w:hAnsi="Times New Roman" w:cs="Times New Roman"/>
          <w:i/>
          <w:szCs w:val="24"/>
        </w:rPr>
        <w:t>Gécamines</w:t>
      </w:r>
      <w:r w:rsidRPr="00E72418">
        <w:rPr>
          <w:rFonts w:ascii="Times New Roman" w:hAnsi="Times New Roman" w:cs="Times New Roman"/>
          <w:szCs w:val="24"/>
        </w:rPr>
        <w:t xml:space="preserve">, une compagnie minière détenue par </w:t>
      </w:r>
      <w:r w:rsidR="00DC41D6" w:rsidRPr="00E72418">
        <w:rPr>
          <w:rFonts w:ascii="Times New Roman" w:hAnsi="Times New Roman" w:cs="Times New Roman"/>
          <w:szCs w:val="24"/>
        </w:rPr>
        <w:t xml:space="preserve">le </w:t>
      </w:r>
      <w:r w:rsidR="00DC41D6" w:rsidRPr="00E72418">
        <w:rPr>
          <w:rFonts w:ascii="Times New Roman" w:hAnsi="Times New Roman" w:cs="Times New Roman"/>
          <w:szCs w:val="24"/>
        </w:rPr>
        <w:lastRenderedPageBreak/>
        <w:t>pays</w:t>
      </w:r>
      <w:r w:rsidRPr="00E72418">
        <w:rPr>
          <w:rStyle w:val="Appelnotedebasdep"/>
          <w:rFonts w:ascii="Times New Roman" w:hAnsi="Times New Roman" w:cs="Times New Roman"/>
          <w:szCs w:val="24"/>
        </w:rPr>
        <w:footnoteReference w:id="626"/>
      </w:r>
      <w:r w:rsidR="004D3E7C" w:rsidRPr="00E72418">
        <w:rPr>
          <w:rFonts w:ascii="Times New Roman" w:hAnsi="Times New Roman" w:cs="Times New Roman"/>
          <w:szCs w:val="24"/>
        </w:rPr>
        <w:t xml:space="preserve">. </w:t>
      </w:r>
      <w:r w:rsidR="00DC41D6" w:rsidRPr="00E72418">
        <w:rPr>
          <w:rFonts w:ascii="Times New Roman" w:hAnsi="Times New Roman" w:cs="Times New Roman"/>
          <w:szCs w:val="24"/>
        </w:rPr>
        <w:t xml:space="preserve">Alors que </w:t>
      </w:r>
      <w:r w:rsidR="00972857" w:rsidRPr="00E72418">
        <w:rPr>
          <w:rFonts w:ascii="Times New Roman" w:hAnsi="Times New Roman" w:cs="Times New Roman"/>
          <w:szCs w:val="24"/>
        </w:rPr>
        <w:t xml:space="preserve">les appels contre </w:t>
      </w:r>
      <w:r w:rsidR="00DC41D6" w:rsidRPr="00E72418">
        <w:rPr>
          <w:rFonts w:ascii="Times New Roman" w:hAnsi="Times New Roman" w:cs="Times New Roman"/>
          <w:szCs w:val="24"/>
        </w:rPr>
        <w:t>c</w:t>
      </w:r>
      <w:r w:rsidRPr="00E72418">
        <w:rPr>
          <w:rFonts w:ascii="Times New Roman" w:hAnsi="Times New Roman" w:cs="Times New Roman"/>
          <w:szCs w:val="24"/>
        </w:rPr>
        <w:t xml:space="preserve">ette décision </w:t>
      </w:r>
      <w:r w:rsidR="00DC41D6" w:rsidRPr="00E72418">
        <w:rPr>
          <w:rFonts w:ascii="Times New Roman" w:hAnsi="Times New Roman" w:cs="Times New Roman"/>
          <w:szCs w:val="24"/>
        </w:rPr>
        <w:t>avai</w:t>
      </w:r>
      <w:r w:rsidR="00972857" w:rsidRPr="00E72418">
        <w:rPr>
          <w:rFonts w:ascii="Times New Roman" w:hAnsi="Times New Roman" w:cs="Times New Roman"/>
          <w:szCs w:val="24"/>
        </w:rPr>
        <w:t>en</w:t>
      </w:r>
      <w:r w:rsidR="00DC41D6" w:rsidRPr="00E72418">
        <w:rPr>
          <w:rFonts w:ascii="Times New Roman" w:hAnsi="Times New Roman" w:cs="Times New Roman"/>
          <w:szCs w:val="24"/>
        </w:rPr>
        <w:t>t été</w:t>
      </w:r>
      <w:r w:rsidRPr="00E72418">
        <w:rPr>
          <w:rFonts w:ascii="Times New Roman" w:hAnsi="Times New Roman" w:cs="Times New Roman"/>
          <w:szCs w:val="24"/>
        </w:rPr>
        <w:t xml:space="preserve"> </w:t>
      </w:r>
      <w:r w:rsidR="00972857" w:rsidRPr="00E72418">
        <w:rPr>
          <w:rFonts w:ascii="Times New Roman" w:hAnsi="Times New Roman" w:cs="Times New Roman"/>
          <w:szCs w:val="24"/>
        </w:rPr>
        <w:t xml:space="preserve">rejetés </w:t>
      </w:r>
      <w:r w:rsidR="00AD4047" w:rsidRPr="00E72418">
        <w:rPr>
          <w:rFonts w:ascii="Times New Roman" w:hAnsi="Times New Roman" w:cs="Times New Roman"/>
          <w:szCs w:val="24"/>
        </w:rPr>
        <w:t>en juillet 2011</w:t>
      </w:r>
      <w:r w:rsidRPr="00E72418">
        <w:rPr>
          <w:rStyle w:val="Appelnotedebasdep"/>
          <w:rFonts w:ascii="Times New Roman" w:hAnsi="Times New Roman" w:cs="Times New Roman"/>
          <w:szCs w:val="24"/>
        </w:rPr>
        <w:footnoteReference w:id="627"/>
      </w:r>
      <w:r w:rsidR="00DC41D6" w:rsidRPr="00E72418">
        <w:rPr>
          <w:rFonts w:ascii="Times New Roman" w:hAnsi="Times New Roman" w:cs="Times New Roman"/>
          <w:szCs w:val="24"/>
        </w:rPr>
        <w:t>, l</w:t>
      </w:r>
      <w:r w:rsidRPr="00E72418">
        <w:rPr>
          <w:rFonts w:ascii="Times New Roman" w:hAnsi="Times New Roman" w:cs="Times New Roman"/>
        </w:rPr>
        <w:t xml:space="preserve">e </w:t>
      </w:r>
      <w:r w:rsidRPr="00216133">
        <w:rPr>
          <w:rFonts w:ascii="Times New Roman" w:hAnsi="Times New Roman" w:cs="Times New Roman"/>
        </w:rPr>
        <w:t>Privy Council</w:t>
      </w:r>
      <w:r w:rsidRPr="00E72418">
        <w:rPr>
          <w:rFonts w:ascii="Times New Roman" w:hAnsi="Times New Roman" w:cs="Times New Roman"/>
        </w:rPr>
        <w:t xml:space="preserve"> de Jersey </w:t>
      </w:r>
      <w:r w:rsidR="00DC41D6" w:rsidRPr="00E72418">
        <w:rPr>
          <w:rFonts w:ascii="Times New Roman" w:hAnsi="Times New Roman" w:cs="Times New Roman"/>
        </w:rPr>
        <w:t>jugea</w:t>
      </w:r>
      <w:r w:rsidRPr="00E72418">
        <w:rPr>
          <w:rFonts w:ascii="Times New Roman" w:hAnsi="Times New Roman" w:cs="Times New Roman"/>
        </w:rPr>
        <w:t xml:space="preserve"> </w:t>
      </w:r>
      <w:r w:rsidR="000404A7" w:rsidRPr="00E72418">
        <w:rPr>
          <w:rFonts w:ascii="Times New Roman" w:hAnsi="Times New Roman" w:cs="Times New Roman"/>
        </w:rPr>
        <w:t>toutefois</w:t>
      </w:r>
      <w:r w:rsidRPr="00E72418">
        <w:rPr>
          <w:rFonts w:ascii="Times New Roman" w:hAnsi="Times New Roman" w:cs="Times New Roman"/>
        </w:rPr>
        <w:t xml:space="preserve"> </w:t>
      </w:r>
      <w:r w:rsidR="00DC41D6" w:rsidRPr="00E72418">
        <w:rPr>
          <w:rFonts w:ascii="Times New Roman" w:hAnsi="Times New Roman" w:cs="Times New Roman"/>
        </w:rPr>
        <w:t xml:space="preserve">le 17 juillet 2012 </w:t>
      </w:r>
      <w:r w:rsidRPr="00E72418">
        <w:rPr>
          <w:rFonts w:ascii="Times New Roman" w:hAnsi="Times New Roman" w:cs="Times New Roman"/>
        </w:rPr>
        <w:t xml:space="preserve">que la société </w:t>
      </w:r>
      <w:r w:rsidRPr="00E72418">
        <w:rPr>
          <w:rFonts w:ascii="Times New Roman" w:hAnsi="Times New Roman" w:cs="Times New Roman"/>
          <w:i/>
        </w:rPr>
        <w:t>Gécamines</w:t>
      </w:r>
      <w:r w:rsidRPr="00E72418">
        <w:rPr>
          <w:rFonts w:ascii="Times New Roman" w:hAnsi="Times New Roman" w:cs="Times New Roman"/>
        </w:rPr>
        <w:t xml:space="preserve"> et la République démocratique du Congo n’étaient pas à ce point liées qu’elles auraient à assumer les responsabilités de l’une l’autre</w:t>
      </w:r>
      <w:r w:rsidR="000404A7" w:rsidRPr="00E72418">
        <w:rPr>
          <w:rStyle w:val="Appelnotedebasdep"/>
          <w:rFonts w:ascii="Times New Roman" w:hAnsi="Times New Roman" w:cs="Times New Roman"/>
        </w:rPr>
        <w:footnoteReference w:id="628"/>
      </w:r>
      <w:r w:rsidRPr="00E72418">
        <w:rPr>
          <w:rFonts w:ascii="Times New Roman" w:hAnsi="Times New Roman" w:cs="Times New Roman"/>
        </w:rPr>
        <w:t>.</w:t>
      </w:r>
    </w:p>
    <w:p w14:paraId="364BDA1E" w14:textId="77777777" w:rsidR="00B45C7B" w:rsidRPr="00E72418" w:rsidRDefault="007B373D" w:rsidP="00CC4BA8">
      <w:pPr>
        <w:spacing w:line="276" w:lineRule="auto"/>
        <w:rPr>
          <w:szCs w:val="24"/>
          <w:lang w:val="fr-BE"/>
        </w:rPr>
      </w:pPr>
      <w:r w:rsidRPr="00E72418">
        <w:t xml:space="preserve">Outre l’action </w:t>
      </w:r>
      <w:r w:rsidR="002A6BD0" w:rsidRPr="00E72418">
        <w:t xml:space="preserve">menée </w:t>
      </w:r>
      <w:r w:rsidR="00C06911" w:rsidRPr="00E72418">
        <w:t>au Bailliage</w:t>
      </w:r>
      <w:r w:rsidRPr="00E72418">
        <w:t xml:space="preserve"> de Jersey, </w:t>
      </w:r>
      <w:r w:rsidR="00DC41D6" w:rsidRPr="00E72418">
        <w:t>l</w:t>
      </w:r>
      <w:r w:rsidR="0051390B" w:rsidRPr="00E72418">
        <w:rPr>
          <w:szCs w:val="24"/>
        </w:rPr>
        <w:t xml:space="preserve">a société </w:t>
      </w:r>
      <w:r w:rsidR="003E3A69" w:rsidRPr="00E72418">
        <w:rPr>
          <w:i/>
          <w:szCs w:val="24"/>
        </w:rPr>
        <w:t>FG</w:t>
      </w:r>
      <w:r w:rsidR="002A6BD0" w:rsidRPr="00E72418">
        <w:rPr>
          <w:i/>
          <w:szCs w:val="24"/>
        </w:rPr>
        <w:t xml:space="preserve"> Hemisphere Associates LLC</w:t>
      </w:r>
      <w:r w:rsidR="002A6BD0" w:rsidRPr="00E72418">
        <w:rPr>
          <w:szCs w:val="24"/>
        </w:rPr>
        <w:t xml:space="preserve"> s’adressa aux juridictions australiennes afin de pouvoir poursuivre l’exécution des sentences arbitrales qu’elle détenait. </w:t>
      </w:r>
      <w:r w:rsidR="00B45C7B" w:rsidRPr="00E72418">
        <w:rPr>
          <w:szCs w:val="24"/>
        </w:rPr>
        <w:t>Le 1</w:t>
      </w:r>
      <w:r w:rsidR="00B45C7B" w:rsidRPr="00E72418">
        <w:rPr>
          <w:szCs w:val="24"/>
          <w:vertAlign w:val="superscript"/>
        </w:rPr>
        <w:t>er</w:t>
      </w:r>
      <w:r w:rsidR="00DC41D6" w:rsidRPr="00E72418">
        <w:rPr>
          <w:szCs w:val="24"/>
        </w:rPr>
        <w:t xml:space="preserve"> novembre 2010</w:t>
      </w:r>
      <w:r w:rsidR="003E3A69" w:rsidRPr="00E72418">
        <w:rPr>
          <w:szCs w:val="24"/>
        </w:rPr>
        <w:t xml:space="preserve">, alors que la République démocratique du Congo et la </w:t>
      </w:r>
      <w:r w:rsidR="0051390B" w:rsidRPr="00E72418">
        <w:rPr>
          <w:szCs w:val="24"/>
        </w:rPr>
        <w:t xml:space="preserve"> </w:t>
      </w:r>
      <w:r w:rsidR="003E3A69" w:rsidRPr="00E72418">
        <w:rPr>
          <w:i/>
        </w:rPr>
        <w:t>Société Nationale d’</w:t>
      </w:r>
      <w:r w:rsidR="003E3A69" w:rsidRPr="00E72418">
        <w:rPr>
          <w:i/>
          <w:lang w:val="en-US"/>
        </w:rPr>
        <w:t>É</w:t>
      </w:r>
      <w:r w:rsidR="003E3A69" w:rsidRPr="00E72418">
        <w:rPr>
          <w:i/>
        </w:rPr>
        <w:t>lectricité</w:t>
      </w:r>
      <w:r w:rsidR="003E3A69" w:rsidRPr="00E72418">
        <w:t xml:space="preserve"> </w:t>
      </w:r>
      <w:r w:rsidR="0051390B" w:rsidRPr="00E72418">
        <w:rPr>
          <w:szCs w:val="24"/>
        </w:rPr>
        <w:t>faisai</w:t>
      </w:r>
      <w:r w:rsidR="003E3A69" w:rsidRPr="00E72418">
        <w:rPr>
          <w:szCs w:val="24"/>
        </w:rPr>
        <w:t>en</w:t>
      </w:r>
      <w:r w:rsidR="0051390B" w:rsidRPr="00E72418">
        <w:rPr>
          <w:szCs w:val="24"/>
        </w:rPr>
        <w:t xml:space="preserve">t défaut, </w:t>
      </w:r>
      <w:r w:rsidR="00DC41D6" w:rsidRPr="00E72418">
        <w:rPr>
          <w:szCs w:val="24"/>
        </w:rPr>
        <w:t xml:space="preserve">la </w:t>
      </w:r>
      <w:r w:rsidR="00DC41D6" w:rsidRPr="00735BBE">
        <w:rPr>
          <w:szCs w:val="24"/>
        </w:rPr>
        <w:t>New South Wales Supreme Court</w:t>
      </w:r>
      <w:r w:rsidR="00DC41D6" w:rsidRPr="00E72418">
        <w:rPr>
          <w:szCs w:val="24"/>
        </w:rPr>
        <w:t xml:space="preserve"> </w:t>
      </w:r>
      <w:r w:rsidR="0051390B" w:rsidRPr="00E72418">
        <w:rPr>
          <w:szCs w:val="24"/>
        </w:rPr>
        <w:t>fit droit à la demande du créancier secondaire retenant que «</w:t>
      </w:r>
      <w:r w:rsidR="0051390B" w:rsidRPr="00E72418">
        <w:t> [t]</w:t>
      </w:r>
      <w:r w:rsidR="0051390B" w:rsidRPr="00E72418">
        <w:rPr>
          <w:szCs w:val="24"/>
          <w:lang w:val="fr-BE"/>
        </w:rPr>
        <w:t>he benefit of the right of enforcement has been assigned to the plaintiff which is accordingly entitled to the relief which it seeks »</w:t>
      </w:r>
      <w:r w:rsidR="00B45C7B" w:rsidRPr="00E72418">
        <w:rPr>
          <w:rStyle w:val="Appelnotedebasdep"/>
          <w:szCs w:val="24"/>
        </w:rPr>
        <w:footnoteReference w:id="629"/>
      </w:r>
      <w:r w:rsidR="00B45C7B" w:rsidRPr="00E72418">
        <w:rPr>
          <w:szCs w:val="24"/>
        </w:rPr>
        <w:t>.</w:t>
      </w:r>
    </w:p>
    <w:p w14:paraId="16FB88F1" w14:textId="77777777" w:rsidR="003E3A69" w:rsidRPr="00E72418" w:rsidRDefault="00B45C7B" w:rsidP="00CC4BA8">
      <w:pPr>
        <w:spacing w:line="276" w:lineRule="auto"/>
      </w:pPr>
      <w:r w:rsidRPr="00E72418">
        <w:t>En novembre 2</w:t>
      </w:r>
      <w:r w:rsidR="0051390B" w:rsidRPr="00E72418">
        <w:t>008, un tribunal sud-africain décida</w:t>
      </w:r>
      <w:r w:rsidRPr="00E72418">
        <w:t xml:space="preserve"> que le fonds </w:t>
      </w:r>
      <w:r w:rsidR="003E3A69" w:rsidRPr="00E72418">
        <w:rPr>
          <w:i/>
        </w:rPr>
        <w:t>FG</w:t>
      </w:r>
      <w:r w:rsidRPr="00E72418">
        <w:rPr>
          <w:i/>
        </w:rPr>
        <w:t xml:space="preserve"> Hemisphere Associates LLC</w:t>
      </w:r>
      <w:r w:rsidRPr="00E72418">
        <w:t xml:space="preserve"> pouvait saisir tout paiement reçu au titre de l’électricité vendue à l’Afrique du Sud par la République démocratique du Congo</w:t>
      </w:r>
      <w:r w:rsidRPr="00E72418">
        <w:rPr>
          <w:rStyle w:val="Appelnotedebasdep"/>
          <w:sz w:val="20"/>
          <w:szCs w:val="20"/>
        </w:rPr>
        <w:footnoteReference w:id="630"/>
      </w:r>
      <w:r w:rsidR="003E3A69" w:rsidRPr="00E72418">
        <w:t>.</w:t>
      </w:r>
    </w:p>
    <w:p w14:paraId="4AC1496F" w14:textId="649DB222" w:rsidR="00B45C7B" w:rsidRPr="00E72418" w:rsidRDefault="003E3A69" w:rsidP="00CC4BA8">
      <w:pPr>
        <w:spacing w:line="276" w:lineRule="auto"/>
      </w:pPr>
      <w:r w:rsidRPr="00E72418">
        <w:t xml:space="preserve">Relevons encore finalement que la société </w:t>
      </w:r>
      <w:r w:rsidRPr="00E72418">
        <w:rPr>
          <w:i/>
          <w:szCs w:val="24"/>
        </w:rPr>
        <w:t>FG</w:t>
      </w:r>
      <w:r w:rsidR="0051390B" w:rsidRPr="00E72418">
        <w:rPr>
          <w:i/>
          <w:szCs w:val="24"/>
        </w:rPr>
        <w:t xml:space="preserve"> Hemisphere Associates LLC</w:t>
      </w:r>
      <w:r w:rsidR="0051390B" w:rsidRPr="00E72418">
        <w:rPr>
          <w:szCs w:val="24"/>
        </w:rPr>
        <w:t xml:space="preserve"> </w:t>
      </w:r>
      <w:r w:rsidR="00B45C7B" w:rsidRPr="00E72418">
        <w:t>introduisit une proc</w:t>
      </w:r>
      <w:r w:rsidR="0087506D" w:rsidRPr="00E72418">
        <w:t xml:space="preserve">édure devant les juridictions de </w:t>
      </w:r>
      <w:r w:rsidR="000E19A6" w:rsidRPr="00E72418">
        <w:t>Hong Kong visant à faire saisir</w:t>
      </w:r>
      <w:r w:rsidR="00B45C7B" w:rsidRPr="00E72418">
        <w:t xml:space="preserve"> des capitaux chinois destinés à la République démocratique du Congo dans le cadre de contrats passés entre la société </w:t>
      </w:r>
      <w:r w:rsidR="00B45C7B" w:rsidRPr="00E72418">
        <w:rPr>
          <w:i/>
        </w:rPr>
        <w:t>Gécamines</w:t>
      </w:r>
      <w:r w:rsidR="00B45C7B" w:rsidRPr="00E72418">
        <w:t xml:space="preserve"> et un groupement d’entreprises chinoises</w:t>
      </w:r>
      <w:r w:rsidR="0051390B" w:rsidRPr="00E72418">
        <w:rPr>
          <w:rStyle w:val="Appelnotedebasdep"/>
        </w:rPr>
        <w:footnoteReference w:id="631"/>
      </w:r>
      <w:r w:rsidR="0051390B" w:rsidRPr="00E72418">
        <w:t>.</w:t>
      </w:r>
      <w:r w:rsidR="00B45C7B" w:rsidRPr="00E72418">
        <w:t xml:space="preserve"> En février 2010,</w:t>
      </w:r>
      <w:r w:rsidR="00462CD0" w:rsidRPr="00E72418">
        <w:t xml:space="preserve"> la c</w:t>
      </w:r>
      <w:r w:rsidR="0051390B" w:rsidRPr="00E72418">
        <w:t xml:space="preserve">our d’appel de Hong Kong </w:t>
      </w:r>
      <w:r w:rsidR="00D13C19" w:rsidRPr="00E72418">
        <w:t>fut d’avis que le débiteur ne bénéficiait pas de l’immunité invoquée permettant</w:t>
      </w:r>
      <w:r w:rsidRPr="00E72418">
        <w:t xml:space="preserve"> </w:t>
      </w:r>
      <w:r w:rsidRPr="00E72418">
        <w:lastRenderedPageBreak/>
        <w:t>ainsi</w:t>
      </w:r>
      <w:r w:rsidR="00D13C19" w:rsidRPr="00E72418">
        <w:t xml:space="preserve"> que soient gelés des montants lui revenant</w:t>
      </w:r>
      <w:r w:rsidR="00D13C19" w:rsidRPr="00E72418">
        <w:rPr>
          <w:rStyle w:val="Appelnotedebasdep"/>
        </w:rPr>
        <w:footnoteReference w:id="632"/>
      </w:r>
      <w:r w:rsidR="00D13C19" w:rsidRPr="00E72418">
        <w:t>.</w:t>
      </w:r>
      <w:r w:rsidR="00B45C7B" w:rsidRPr="00E72418">
        <w:t xml:space="preserve"> </w:t>
      </w:r>
      <w:r w:rsidR="00992D1E" w:rsidRPr="00E72418">
        <w:t xml:space="preserve">Cette </w:t>
      </w:r>
      <w:r w:rsidR="00B45C7B" w:rsidRPr="00E72418">
        <w:t xml:space="preserve">décision </w:t>
      </w:r>
      <w:r w:rsidR="00992D1E" w:rsidRPr="00E72418">
        <w:t>fut</w:t>
      </w:r>
      <w:r w:rsidR="00B45C7B" w:rsidRPr="00E72418">
        <w:t xml:space="preserve"> finalement cassée</w:t>
      </w:r>
      <w:r w:rsidRPr="00E72418">
        <w:t xml:space="preserve"> par la </w:t>
      </w:r>
      <w:r w:rsidRPr="00216133">
        <w:t>Court of final appeal</w:t>
      </w:r>
      <w:r w:rsidRPr="00E72418">
        <w:t xml:space="preserve"> qui retint que</w:t>
      </w:r>
      <w:r w:rsidR="00992D1E" w:rsidRPr="00E72418">
        <w:t xml:space="preserve"> l’immunité absolue </w:t>
      </w:r>
      <w:r w:rsidR="000167FD" w:rsidRPr="00E72418">
        <w:t>s’</w:t>
      </w:r>
      <w:r w:rsidRPr="00E72418">
        <w:t>appliquai</w:t>
      </w:r>
      <w:r w:rsidR="000167FD" w:rsidRPr="00E72418">
        <w:t>t</w:t>
      </w:r>
      <w:r w:rsidRPr="00E72418">
        <w:t xml:space="preserve"> </w:t>
      </w:r>
      <w:r w:rsidRPr="00E72418">
        <w:rPr>
          <w:i/>
        </w:rPr>
        <w:t>in casu</w:t>
      </w:r>
      <w:r w:rsidR="00B45C7B" w:rsidRPr="00E72418">
        <w:rPr>
          <w:rStyle w:val="Appelnotedebasdep"/>
        </w:rPr>
        <w:footnoteReference w:id="633"/>
      </w:r>
      <w:r w:rsidR="00992D1E" w:rsidRPr="00E72418">
        <w:t>.</w:t>
      </w:r>
    </w:p>
    <w:p w14:paraId="70A93D6C" w14:textId="43F46E2E" w:rsidR="0086558D" w:rsidRPr="00E72418" w:rsidRDefault="0086558D" w:rsidP="0054314B"/>
    <w:p w14:paraId="4A82D99B" w14:textId="210EFF9C" w:rsidR="0086558D" w:rsidRPr="00E72418" w:rsidRDefault="007F038F" w:rsidP="0086558D">
      <w:pPr>
        <w:spacing w:line="276" w:lineRule="auto"/>
        <w:rPr>
          <w:i/>
        </w:rPr>
      </w:pPr>
      <w:r w:rsidRPr="00E72418">
        <w:rPr>
          <w:b/>
        </w:rPr>
        <w:t>110.</w:t>
      </w:r>
      <w:r w:rsidR="007E31CD" w:rsidRPr="00E72418">
        <w:rPr>
          <w:b/>
          <w:i/>
        </w:rPr>
        <w:t xml:space="preserve"> </w:t>
      </w:r>
      <w:r w:rsidR="0086558D" w:rsidRPr="00E72418">
        <w:rPr>
          <w:b/>
          <w:i/>
        </w:rPr>
        <w:t xml:space="preserve">Themis Capital LLC </w:t>
      </w:r>
      <w:r w:rsidR="0086558D" w:rsidRPr="00E72418">
        <w:rPr>
          <w:b/>
        </w:rPr>
        <w:t xml:space="preserve">et </w:t>
      </w:r>
      <w:r w:rsidR="0086558D" w:rsidRPr="00E72418">
        <w:rPr>
          <w:b/>
          <w:i/>
        </w:rPr>
        <w:t>Des Moines Investments Ltd.</w:t>
      </w:r>
      <w:r w:rsidR="0086558D" w:rsidRPr="00E72418">
        <w:rPr>
          <w:i/>
        </w:rPr>
        <w:t xml:space="preserve"> </w:t>
      </w:r>
      <w:r w:rsidR="0086558D" w:rsidRPr="00E72418">
        <w:rPr>
          <w:rFonts w:ascii="Times New Roman" w:hAnsi="Times New Roman" w:cs="Times New Roman"/>
          <w:b/>
        </w:rPr>
        <w:t xml:space="preserve">– </w:t>
      </w:r>
      <w:r w:rsidR="0086558D" w:rsidRPr="00E72418">
        <w:rPr>
          <w:rFonts w:ascii="Times New Roman" w:hAnsi="Times New Roman" w:cs="Times New Roman"/>
        </w:rPr>
        <w:t xml:space="preserve">Bien que le contentieux l’ayant opposé à la société </w:t>
      </w:r>
      <w:r w:rsidR="0086558D" w:rsidRPr="00E72418">
        <w:rPr>
          <w:i/>
        </w:rPr>
        <w:t>FG Hemisphere Associates LLC</w:t>
      </w:r>
      <w:r w:rsidR="0086558D" w:rsidRPr="00E72418">
        <w:t xml:space="preserve"> fut sans doute le plus remarqué, la République démocratique du Congo fut également attaquée par d’autres fonds spéculatifs conduisant à de récentes condamnations.</w:t>
      </w:r>
      <w:r w:rsidR="0086558D" w:rsidRPr="00E72418">
        <w:rPr>
          <w:i/>
        </w:rPr>
        <w:t xml:space="preserve"> </w:t>
      </w:r>
      <w:r w:rsidR="0086558D" w:rsidRPr="00E72418">
        <w:t>Ainsi, notamment,</w:t>
      </w:r>
      <w:r w:rsidR="0086558D" w:rsidRPr="00E72418">
        <w:rPr>
          <w:i/>
        </w:rPr>
        <w:t xml:space="preserve"> </w:t>
      </w:r>
      <w:r w:rsidR="0086558D" w:rsidRPr="00E72418">
        <w:t>le</w:t>
      </w:r>
      <w:r w:rsidR="0086558D" w:rsidRPr="00E72418">
        <w:rPr>
          <w:rFonts w:ascii="Times New Roman" w:hAnsi="Times New Roman" w:cs="Times New Roman"/>
          <w:szCs w:val="24"/>
        </w:rPr>
        <w:t xml:space="preserve"> 9 juillet 2014, les sociétés </w:t>
      </w:r>
      <w:r w:rsidR="0086558D" w:rsidRPr="00E72418">
        <w:rPr>
          <w:i/>
        </w:rPr>
        <w:t xml:space="preserve">Themis Capital LLC </w:t>
      </w:r>
      <w:r w:rsidR="0086558D" w:rsidRPr="00E72418">
        <w:t xml:space="preserve">et </w:t>
      </w:r>
      <w:r w:rsidR="0086558D" w:rsidRPr="00E72418">
        <w:rPr>
          <w:i/>
        </w:rPr>
        <w:t>Des Moines Investments Ltd.</w:t>
      </w:r>
      <w:r w:rsidR="0086558D" w:rsidRPr="00E72418">
        <w:t>, toutes deux créancières secondaires de l’</w:t>
      </w:r>
      <w:r w:rsidR="0086558D" w:rsidRPr="00E72418">
        <w:rPr>
          <w:rFonts w:ascii="Times New Roman" w:hAnsi="Times New Roman" w:cs="Times New Roman"/>
          <w:szCs w:val="24"/>
        </w:rPr>
        <w:t>É</w:t>
      </w:r>
      <w:r w:rsidR="0086558D" w:rsidRPr="00E72418">
        <w:t xml:space="preserve">tat africain, </w:t>
      </w:r>
      <w:r w:rsidR="0086558D" w:rsidRPr="00E72418">
        <w:rPr>
          <w:rFonts w:ascii="Times New Roman" w:hAnsi="Times New Roman" w:cs="Times New Roman"/>
          <w:szCs w:val="24"/>
        </w:rPr>
        <w:t xml:space="preserve">obtinrent gain de cause devant la </w:t>
      </w:r>
      <w:r w:rsidR="0086558D" w:rsidRPr="00C6627B">
        <w:t>United States District Court for the Southern District of New York</w:t>
      </w:r>
      <w:r w:rsidR="0086558D" w:rsidRPr="00E72418">
        <w:rPr>
          <w:rStyle w:val="Appelnotedebasdep"/>
        </w:rPr>
        <w:footnoteReference w:id="634"/>
      </w:r>
      <w:r w:rsidR="0086558D" w:rsidRPr="00E72418">
        <w:rPr>
          <w:i/>
        </w:rPr>
        <w:t xml:space="preserve">. </w:t>
      </w:r>
      <w:r w:rsidR="0086558D" w:rsidRPr="00E72418">
        <w:t xml:space="preserve">Ces sociétés avaient racheté et poursuivaient le service de dettes congolaises </w:t>
      </w:r>
      <w:r w:rsidR="005503CA" w:rsidRPr="00E72418">
        <w:t>des</w:t>
      </w:r>
      <w:r w:rsidR="0086558D" w:rsidRPr="00E72418">
        <w:t xml:space="preserve"> années 80 sur lesquelles la République démocratique du Congo faisait défaut depuis. Notons qu’au moment de la condamnation de 2014, la situation du pays s’était améliorée grâce à des programmes de réduction de la dette</w:t>
      </w:r>
      <w:r w:rsidR="0086558D" w:rsidRPr="00E72418">
        <w:rPr>
          <w:rStyle w:val="Appelnotedebasdep"/>
        </w:rPr>
        <w:footnoteReference w:id="635"/>
      </w:r>
      <w:r w:rsidR="0086558D" w:rsidRPr="00E72418">
        <w:t>.</w:t>
      </w:r>
    </w:p>
    <w:p w14:paraId="742B16E4" w14:textId="77777777" w:rsidR="00B45C7B" w:rsidRPr="00E72418" w:rsidRDefault="00B45C7B" w:rsidP="0054314B"/>
    <w:p w14:paraId="341A146D" w14:textId="73C9492B" w:rsidR="00B45C7B" w:rsidRPr="00E72418" w:rsidRDefault="00CD4206" w:rsidP="00CC4BA8">
      <w:pPr>
        <w:pStyle w:val="CC"/>
        <w:spacing w:line="276" w:lineRule="auto"/>
      </w:pPr>
      <w:bookmarkStart w:id="132" w:name="_Toc59280910"/>
      <w:bookmarkStart w:id="133" w:name="_Toc75106079"/>
      <w:bookmarkStart w:id="134" w:name="_Toc84540898"/>
      <w:r w:rsidRPr="00E72418">
        <w:t>Chapitre 5</w:t>
      </w:r>
      <w:r w:rsidR="000764CE" w:rsidRPr="00E72418">
        <w:t> :</w:t>
      </w:r>
      <w:r w:rsidR="000764CE" w:rsidRPr="00E72418">
        <w:rPr>
          <w:i/>
        </w:rPr>
        <w:t xml:space="preserve"> </w:t>
      </w:r>
      <w:r w:rsidR="00233CDD" w:rsidRPr="00E72418">
        <w:rPr>
          <w:i/>
        </w:rPr>
        <w:t>Kensington International Lt</w:t>
      </w:r>
      <w:r w:rsidR="00B45C7B" w:rsidRPr="00E72418">
        <w:rPr>
          <w:i/>
        </w:rPr>
        <w:t>d</w:t>
      </w:r>
      <w:r w:rsidR="00233CDD" w:rsidRPr="00E72418">
        <w:rPr>
          <w:i/>
        </w:rPr>
        <w:t>.</w:t>
      </w:r>
      <w:r w:rsidR="00B45C7B" w:rsidRPr="00E72418">
        <w:t xml:space="preserve"> c. la République du Congo</w:t>
      </w:r>
      <w:bookmarkEnd w:id="132"/>
      <w:bookmarkEnd w:id="133"/>
      <w:bookmarkEnd w:id="134"/>
    </w:p>
    <w:p w14:paraId="678E6D24" w14:textId="77777777" w:rsidR="00B45C7B" w:rsidRPr="00E72418" w:rsidRDefault="00B45C7B" w:rsidP="0054314B"/>
    <w:p w14:paraId="5DFDEC39" w14:textId="5064AFAF" w:rsidR="00B45C7B" w:rsidRPr="00E72418" w:rsidRDefault="007F038F" w:rsidP="00CC4BA8">
      <w:pPr>
        <w:spacing w:line="276" w:lineRule="auto"/>
      </w:pPr>
      <w:r w:rsidRPr="00E72418">
        <w:rPr>
          <w:b/>
        </w:rPr>
        <w:t>111</w:t>
      </w:r>
      <w:r w:rsidR="007E31CD" w:rsidRPr="00E72418">
        <w:rPr>
          <w:b/>
        </w:rPr>
        <w:t xml:space="preserve">. </w:t>
      </w:r>
      <w:r w:rsidR="00E82A5F" w:rsidRPr="00E72418">
        <w:rPr>
          <w:b/>
        </w:rPr>
        <w:t>Le rachat de</w:t>
      </w:r>
      <w:r w:rsidR="007C087F" w:rsidRPr="00E72418">
        <w:rPr>
          <w:b/>
        </w:rPr>
        <w:t xml:space="preserve"> créance</w:t>
      </w:r>
      <w:r w:rsidR="00E82A5F" w:rsidRPr="00E72418">
        <w:rPr>
          <w:b/>
        </w:rPr>
        <w:t xml:space="preserve"> et la condamnation</w:t>
      </w:r>
      <w:r w:rsidR="00B45C7B" w:rsidRPr="00E72418">
        <w:rPr>
          <w:b/>
        </w:rPr>
        <w:t xml:space="preserve"> </w:t>
      </w:r>
      <w:r w:rsidR="00B45C7B" w:rsidRPr="00E72418">
        <w:rPr>
          <w:rStyle w:val="injectednode"/>
          <w:rFonts w:cs="Times New Roman"/>
          <w:b/>
          <w:szCs w:val="24"/>
          <w:bdr w:val="none" w:sz="0" w:space="0" w:color="auto" w:frame="1"/>
        </w:rPr>
        <w:t>–</w:t>
      </w:r>
      <w:r w:rsidR="00B45C7B" w:rsidRPr="00E72418">
        <w:t xml:space="preserve"> </w:t>
      </w:r>
      <w:r w:rsidR="007C087F" w:rsidRPr="00E72418">
        <w:t>Dans les années 90, l</w:t>
      </w:r>
      <w:r w:rsidR="00B45C7B" w:rsidRPr="00E72418">
        <w:t xml:space="preserve">a société </w:t>
      </w:r>
      <w:r w:rsidR="00B45C7B" w:rsidRPr="00E72418">
        <w:rPr>
          <w:i/>
        </w:rPr>
        <w:t>Kensington International</w:t>
      </w:r>
      <w:r w:rsidR="00233CDD" w:rsidRPr="00E72418">
        <w:rPr>
          <w:i/>
        </w:rPr>
        <w:t xml:space="preserve"> Lt</w:t>
      </w:r>
      <w:r w:rsidR="00B45C7B" w:rsidRPr="00E72418">
        <w:rPr>
          <w:i/>
        </w:rPr>
        <w:t>d</w:t>
      </w:r>
      <w:r w:rsidR="00233CDD" w:rsidRPr="00E72418">
        <w:rPr>
          <w:i/>
        </w:rPr>
        <w:t>.</w:t>
      </w:r>
      <w:r w:rsidR="00E82A5F" w:rsidRPr="00E72418">
        <w:t xml:space="preserve">, une branche du fonds </w:t>
      </w:r>
      <w:r w:rsidR="00E82A5F" w:rsidRPr="00E72418">
        <w:rPr>
          <w:i/>
        </w:rPr>
        <w:t>Elliott Associates</w:t>
      </w:r>
      <w:r w:rsidR="00E82A5F" w:rsidRPr="00E72418">
        <w:t xml:space="preserve">, </w:t>
      </w:r>
      <w:r w:rsidR="00B45C7B" w:rsidRPr="00E72418">
        <w:t xml:space="preserve">racheta </w:t>
      </w:r>
      <w:r w:rsidR="007C087F" w:rsidRPr="00E72418">
        <w:t>sur le marché secondaire des titres de dette datant de 1984 dus par la République du Congo</w:t>
      </w:r>
      <w:r w:rsidR="001B0B9E" w:rsidRPr="00E72418">
        <w:t xml:space="preserve"> pour un montant de treize millions et demi de dollars</w:t>
      </w:r>
      <w:r w:rsidR="00B45C7B" w:rsidRPr="00E72418">
        <w:t xml:space="preserve">. Après </w:t>
      </w:r>
      <w:r w:rsidR="007C087F" w:rsidRPr="00E72418">
        <w:t xml:space="preserve">avoir adressé </w:t>
      </w:r>
      <w:r w:rsidR="00B45C7B" w:rsidRPr="00E72418">
        <w:t>de multiples demandes de paiement</w:t>
      </w:r>
      <w:r w:rsidR="007C087F" w:rsidRPr="00E72418">
        <w:t xml:space="preserve"> à son débiteur</w:t>
      </w:r>
      <w:r w:rsidR="00B45C7B" w:rsidRPr="00E72418">
        <w:t xml:space="preserve">, </w:t>
      </w:r>
      <w:r w:rsidR="00233CDD" w:rsidRPr="00E72418">
        <w:rPr>
          <w:i/>
        </w:rPr>
        <w:t>Kensington International Lt</w:t>
      </w:r>
      <w:r w:rsidR="007C087F" w:rsidRPr="00E72418">
        <w:rPr>
          <w:i/>
        </w:rPr>
        <w:t>d</w:t>
      </w:r>
      <w:r w:rsidR="00233CDD" w:rsidRPr="00E72418">
        <w:rPr>
          <w:i/>
        </w:rPr>
        <w:t>.</w:t>
      </w:r>
      <w:r w:rsidR="007C087F" w:rsidRPr="00E72418">
        <w:t xml:space="preserve"> </w:t>
      </w:r>
      <w:r w:rsidR="00B45C7B" w:rsidRPr="00E72418">
        <w:t xml:space="preserve">saisit </w:t>
      </w:r>
      <w:r w:rsidR="007C087F" w:rsidRPr="00E72418">
        <w:t>au début des années 2000</w:t>
      </w:r>
      <w:r w:rsidR="00B45C7B" w:rsidRPr="00E72418">
        <w:t xml:space="preserve"> les juridictions </w:t>
      </w:r>
      <w:r w:rsidR="00B45C7B" w:rsidRPr="00E72418">
        <w:lastRenderedPageBreak/>
        <w:t>brita</w:t>
      </w:r>
      <w:r w:rsidR="007C087F" w:rsidRPr="00E72418">
        <w:t xml:space="preserve">nniques. Celles-ci condamnèrent </w:t>
      </w:r>
      <w:r w:rsidR="006454C6" w:rsidRPr="00E72418">
        <w:t xml:space="preserve">en 2002 </w:t>
      </w:r>
      <w:r w:rsidR="007C087F" w:rsidRPr="00E72418">
        <w:t>la République du Congo</w:t>
      </w:r>
      <w:r w:rsidR="00B45C7B" w:rsidRPr="00E72418">
        <w:t xml:space="preserve"> à un paiement de plus d</w:t>
      </w:r>
      <w:r w:rsidR="007C087F" w:rsidRPr="00E72418">
        <w:t>e cinquante-</w:t>
      </w:r>
      <w:r w:rsidR="00E45F54" w:rsidRPr="00E72418">
        <w:t xml:space="preserve">cinq </w:t>
      </w:r>
      <w:r w:rsidR="00B45C7B" w:rsidRPr="00E72418">
        <w:t>millions de dollars étatsuniens</w:t>
      </w:r>
      <w:r w:rsidR="00E45F54" w:rsidRPr="00E72418">
        <w:t>, plus intérêt à un taux de huit pour</w:t>
      </w:r>
      <w:r w:rsidR="00BF4ACD" w:rsidRPr="00E72418">
        <w:t xml:space="preserve"> </w:t>
      </w:r>
      <w:r w:rsidR="00E45F54" w:rsidRPr="00E72418">
        <w:t>cent l’an</w:t>
      </w:r>
      <w:r w:rsidR="00B45C7B" w:rsidRPr="00E72418">
        <w:rPr>
          <w:rStyle w:val="Appelnotedebasdep"/>
        </w:rPr>
        <w:footnoteReference w:id="636"/>
      </w:r>
      <w:r w:rsidR="00B45C7B" w:rsidRPr="00E72418">
        <w:t xml:space="preserve">. </w:t>
      </w:r>
    </w:p>
    <w:p w14:paraId="414BB557" w14:textId="77777777" w:rsidR="000F20AD" w:rsidRPr="00E72418" w:rsidRDefault="000F20AD" w:rsidP="00CC4BA8">
      <w:pPr>
        <w:spacing w:line="276" w:lineRule="auto"/>
        <w:rPr>
          <w:b/>
        </w:rPr>
      </w:pPr>
    </w:p>
    <w:p w14:paraId="754BF223" w14:textId="057053CE" w:rsidR="00B45C7B" w:rsidRPr="00E72418" w:rsidRDefault="007F038F" w:rsidP="00CC4BA8">
      <w:pPr>
        <w:spacing w:line="276" w:lineRule="auto"/>
      </w:pPr>
      <w:r w:rsidRPr="00E72418">
        <w:rPr>
          <w:b/>
        </w:rPr>
        <w:t>112</w:t>
      </w:r>
      <w:r w:rsidR="007E31CD" w:rsidRPr="00E72418">
        <w:rPr>
          <w:b/>
        </w:rPr>
        <w:t xml:space="preserve">. </w:t>
      </w:r>
      <w:r w:rsidR="00E82A5F" w:rsidRPr="00E72418">
        <w:rPr>
          <w:b/>
        </w:rPr>
        <w:t xml:space="preserve">Les poursuites </w:t>
      </w:r>
      <w:r w:rsidR="00E82A5F" w:rsidRPr="00E72418">
        <w:rPr>
          <w:rStyle w:val="injectednode"/>
          <w:rFonts w:cs="Times New Roman"/>
          <w:b/>
          <w:szCs w:val="24"/>
          <w:bdr w:val="none" w:sz="0" w:space="0" w:color="auto" w:frame="1"/>
        </w:rPr>
        <w:t xml:space="preserve">– </w:t>
      </w:r>
      <w:r w:rsidR="00E82A5F" w:rsidRPr="00E72418">
        <w:t>Fort de la condamnation britannique obtenue, le créancier s’engagea dans des poursuites visant son exécution. La République du Congo</w:t>
      </w:r>
      <w:r w:rsidR="00B45C7B" w:rsidRPr="00E72418">
        <w:t xml:space="preserve"> tirant de nombreux revenus de ses exportations de pétrole, la société </w:t>
      </w:r>
      <w:r w:rsidR="00233CDD" w:rsidRPr="00E72418">
        <w:rPr>
          <w:i/>
        </w:rPr>
        <w:t>Kensington International Lt</w:t>
      </w:r>
      <w:r w:rsidR="00B45C7B" w:rsidRPr="00E72418">
        <w:rPr>
          <w:i/>
        </w:rPr>
        <w:t>d</w:t>
      </w:r>
      <w:r w:rsidR="00233CDD" w:rsidRPr="00E72418">
        <w:rPr>
          <w:i/>
        </w:rPr>
        <w:t>.</w:t>
      </w:r>
      <w:r w:rsidR="00B45C7B" w:rsidRPr="00E72418">
        <w:t xml:space="preserve"> y vit des biens à saisir. </w:t>
      </w:r>
      <w:r w:rsidR="00A602D0" w:rsidRPr="00E72418">
        <w:t>Pour se défendre,</w:t>
      </w:r>
      <w:r w:rsidR="00B45C7B" w:rsidRPr="00E72418">
        <w:t xml:space="preserve"> le pays mit au point une construction juridique </w:t>
      </w:r>
      <w:r w:rsidR="00B60CB9" w:rsidRPr="00E72418">
        <w:t xml:space="preserve">par </w:t>
      </w:r>
      <w:r w:rsidR="00B45C7B" w:rsidRPr="00E72418">
        <w:t xml:space="preserve">l’entremise de toute </w:t>
      </w:r>
      <w:r w:rsidR="00B60CB9" w:rsidRPr="00E72418">
        <w:t xml:space="preserve">une </w:t>
      </w:r>
      <w:r w:rsidR="00B45C7B" w:rsidRPr="00E72418">
        <w:t>série de sociétés de nature à rendre impossible</w:t>
      </w:r>
      <w:r w:rsidR="007C3D5D" w:rsidRPr="00E72418">
        <w:t>s</w:t>
      </w:r>
      <w:r w:rsidR="00B45C7B" w:rsidRPr="00E72418">
        <w:t xml:space="preserve"> les saisies</w:t>
      </w:r>
      <w:r w:rsidR="00C72A19" w:rsidRPr="00E72418">
        <w:t>,</w:t>
      </w:r>
      <w:r w:rsidR="00B45C7B" w:rsidRPr="00E72418">
        <w:t xml:space="preserve"> ce que le Premier Ministre </w:t>
      </w:r>
      <w:r w:rsidR="00FA2584" w:rsidRPr="00E72418">
        <w:t xml:space="preserve">Isidor </w:t>
      </w:r>
      <w:r w:rsidR="00B45C7B" w:rsidRPr="00E72418">
        <w:t>Mvouba admit</w:t>
      </w:r>
      <w:r w:rsidR="00B45C7B" w:rsidRPr="00E72418">
        <w:rPr>
          <w:rStyle w:val="Appelnotedebasdep"/>
        </w:rPr>
        <w:footnoteReference w:id="637"/>
      </w:r>
      <w:r w:rsidR="00B45C7B" w:rsidRPr="00E72418">
        <w:t>.</w:t>
      </w:r>
      <w:r w:rsidR="0086718A" w:rsidRPr="00E72418">
        <w:t xml:space="preserve"> </w:t>
      </w:r>
      <w:r w:rsidR="00E82A5F" w:rsidRPr="00E72418">
        <w:t xml:space="preserve">Parmi les </w:t>
      </w:r>
      <w:r w:rsidR="00840331" w:rsidRPr="00E72418">
        <w:t xml:space="preserve">différentes </w:t>
      </w:r>
      <w:r w:rsidR="00E82A5F" w:rsidRPr="00E72418">
        <w:t>poursuites d’exécution remarquées,</w:t>
      </w:r>
      <w:r w:rsidR="003160FD" w:rsidRPr="00E72418">
        <w:t xml:space="preserve"> celle de</w:t>
      </w:r>
      <w:r w:rsidR="00E82A5F" w:rsidRPr="00E72418">
        <w:t xml:space="preserve"> </w:t>
      </w:r>
      <w:r w:rsidR="003160FD" w:rsidRPr="00E72418">
        <w:t>fonds d’aide au développement octroyés par l’État belge au Congo-Brazzaville fut sans doute celle qui fit grincer le plus des dents</w:t>
      </w:r>
      <w:r w:rsidR="00B45C7B" w:rsidRPr="00E72418">
        <w:rPr>
          <w:rStyle w:val="Appelnotedebasdep"/>
        </w:rPr>
        <w:footnoteReference w:id="638"/>
      </w:r>
      <w:r w:rsidR="00B45C7B" w:rsidRPr="00E72418">
        <w:t>.</w:t>
      </w:r>
    </w:p>
    <w:p w14:paraId="7D951F9F" w14:textId="77777777" w:rsidR="00B45C7B" w:rsidRPr="00E72418" w:rsidRDefault="00B45C7B" w:rsidP="0054314B"/>
    <w:p w14:paraId="53D94403" w14:textId="24C52D8F" w:rsidR="00FE1596" w:rsidRPr="00E72418" w:rsidRDefault="007F038F" w:rsidP="0054314B">
      <w:pPr>
        <w:spacing w:line="276" w:lineRule="auto"/>
        <w:rPr>
          <w:rFonts w:cs="Times"/>
          <w:szCs w:val="24"/>
        </w:rPr>
      </w:pPr>
      <w:r w:rsidRPr="00E72418">
        <w:rPr>
          <w:rFonts w:cs="Times"/>
          <w:b/>
          <w:szCs w:val="24"/>
        </w:rPr>
        <w:t>113</w:t>
      </w:r>
      <w:r w:rsidR="007E31CD" w:rsidRPr="00E72418">
        <w:rPr>
          <w:rFonts w:cs="Times"/>
          <w:b/>
          <w:szCs w:val="24"/>
        </w:rPr>
        <w:t xml:space="preserve">. </w:t>
      </w:r>
      <w:r w:rsidR="00B45C7B" w:rsidRPr="00E72418">
        <w:rPr>
          <w:rFonts w:cs="Times"/>
          <w:b/>
          <w:szCs w:val="24"/>
        </w:rPr>
        <w:t xml:space="preserve">Le paiement </w:t>
      </w:r>
      <w:r w:rsidR="00B45C7B" w:rsidRPr="00E72418">
        <w:rPr>
          <w:rStyle w:val="injectednode"/>
          <w:rFonts w:cs="Times New Roman"/>
          <w:b/>
          <w:szCs w:val="24"/>
          <w:bdr w:val="none" w:sz="0" w:space="0" w:color="auto" w:frame="1"/>
        </w:rPr>
        <w:t>–</w:t>
      </w:r>
      <w:r w:rsidR="00B45C7B" w:rsidRPr="00E72418">
        <w:rPr>
          <w:rFonts w:cs="Times"/>
          <w:szCs w:val="24"/>
        </w:rPr>
        <w:t xml:space="preserve"> En 2008, la société </w:t>
      </w:r>
      <w:r w:rsidR="00233CDD" w:rsidRPr="00E72418">
        <w:rPr>
          <w:rFonts w:cs="Times"/>
          <w:i/>
          <w:szCs w:val="24"/>
        </w:rPr>
        <w:t>Kensington International Lt</w:t>
      </w:r>
      <w:r w:rsidR="00B45C7B" w:rsidRPr="00E72418">
        <w:rPr>
          <w:rFonts w:cs="Times"/>
          <w:i/>
          <w:szCs w:val="24"/>
        </w:rPr>
        <w:t>d</w:t>
      </w:r>
      <w:r w:rsidR="00233CDD" w:rsidRPr="00E72418">
        <w:rPr>
          <w:rFonts w:cs="Times"/>
          <w:i/>
          <w:szCs w:val="24"/>
        </w:rPr>
        <w:t>.</w:t>
      </w:r>
      <w:r w:rsidR="00B45C7B" w:rsidRPr="00E72418">
        <w:rPr>
          <w:rFonts w:cs="Times"/>
          <w:i/>
          <w:szCs w:val="24"/>
        </w:rPr>
        <w:t xml:space="preserve"> </w:t>
      </w:r>
      <w:r w:rsidR="00B45C7B" w:rsidRPr="00E72418">
        <w:rPr>
          <w:rFonts w:cs="Times"/>
          <w:szCs w:val="24"/>
        </w:rPr>
        <w:t xml:space="preserve">indiqua son désintéressement dans le cadre d’un accord extrajudiciaire </w:t>
      </w:r>
      <w:r w:rsidR="00E82A5F" w:rsidRPr="00E72418">
        <w:rPr>
          <w:rFonts w:cs="Times"/>
          <w:szCs w:val="24"/>
        </w:rPr>
        <w:t xml:space="preserve">passé avec la République du Congo. </w:t>
      </w:r>
      <w:r w:rsidR="003160FD" w:rsidRPr="00E72418">
        <w:rPr>
          <w:rFonts w:cs="Times"/>
          <w:szCs w:val="24"/>
        </w:rPr>
        <w:t>L’</w:t>
      </w:r>
      <w:r w:rsidR="003160FD" w:rsidRPr="00E72418">
        <w:t>Ét</w:t>
      </w:r>
      <w:r w:rsidR="003160FD" w:rsidRPr="00E72418">
        <w:rPr>
          <w:rFonts w:ascii="Times New Roman" w:hAnsi="Times New Roman" w:cs="Times New Roman"/>
        </w:rPr>
        <w:t xml:space="preserve">at débiteur </w:t>
      </w:r>
      <w:r w:rsidR="00B45C7B" w:rsidRPr="00E72418">
        <w:rPr>
          <w:rFonts w:cs="Times"/>
          <w:szCs w:val="24"/>
        </w:rPr>
        <w:t xml:space="preserve">bénéficia de la </w:t>
      </w:r>
      <w:r w:rsidR="00B45C7B" w:rsidRPr="00E72418">
        <w:rPr>
          <w:rStyle w:val="Lienhypertexte"/>
          <w:rFonts w:ascii="Times New Roman" w:hAnsi="Times New Roman" w:cs="Times New Roman"/>
          <w:i/>
          <w:color w:val="auto"/>
          <w:u w:val="none"/>
        </w:rPr>
        <w:t xml:space="preserve">Debt Reduction Facility </w:t>
      </w:r>
      <w:r w:rsidR="00B45C7B" w:rsidRPr="00E72418">
        <w:rPr>
          <w:rStyle w:val="Lienhypertexte"/>
          <w:rFonts w:ascii="Times New Roman" w:hAnsi="Times New Roman" w:cs="Times New Roman"/>
          <w:color w:val="auto"/>
          <w:u w:val="none"/>
        </w:rPr>
        <w:t>de la Banque mondiale</w:t>
      </w:r>
      <w:r w:rsidR="00B45C7B" w:rsidRPr="00E72418">
        <w:rPr>
          <w:rStyle w:val="Lienhypertexte"/>
          <w:rFonts w:ascii="Times New Roman" w:hAnsi="Times New Roman" w:cs="Times New Roman"/>
          <w:i/>
          <w:color w:val="auto"/>
          <w:u w:val="none"/>
        </w:rPr>
        <w:t xml:space="preserve"> </w:t>
      </w:r>
      <w:r w:rsidR="00B45C7B" w:rsidRPr="00E72418">
        <w:rPr>
          <w:rStyle w:val="Lienhypertexte"/>
          <w:rFonts w:ascii="Times New Roman" w:hAnsi="Times New Roman" w:cs="Times New Roman"/>
          <w:color w:val="auto"/>
          <w:u w:val="none"/>
        </w:rPr>
        <w:t>qui lui permit de racheter une partie de sa dette.</w:t>
      </w:r>
      <w:r w:rsidR="003160FD" w:rsidRPr="00E72418">
        <w:rPr>
          <w:rStyle w:val="Lienhypertexte"/>
          <w:rFonts w:ascii="Times New Roman" w:hAnsi="Times New Roman" w:cs="Times New Roman"/>
          <w:color w:val="auto"/>
          <w:u w:val="none"/>
        </w:rPr>
        <w:t xml:space="preserve"> </w:t>
      </w:r>
      <w:r w:rsidR="003160FD" w:rsidRPr="00E72418">
        <w:rPr>
          <w:rFonts w:cs="Times"/>
          <w:szCs w:val="24"/>
        </w:rPr>
        <w:t xml:space="preserve">L’accord offrit à </w:t>
      </w:r>
      <w:r w:rsidR="003160FD" w:rsidRPr="00E72418">
        <w:rPr>
          <w:rFonts w:cs="Times"/>
          <w:i/>
          <w:szCs w:val="24"/>
        </w:rPr>
        <w:t>Kensi</w:t>
      </w:r>
      <w:r w:rsidR="00A74321" w:rsidRPr="00E72418">
        <w:rPr>
          <w:rFonts w:cs="Times"/>
          <w:i/>
          <w:szCs w:val="24"/>
        </w:rPr>
        <w:t>ngton International Lt</w:t>
      </w:r>
      <w:r w:rsidR="003160FD" w:rsidRPr="00E72418">
        <w:rPr>
          <w:rFonts w:cs="Times"/>
          <w:i/>
          <w:szCs w:val="24"/>
        </w:rPr>
        <w:t>d</w:t>
      </w:r>
      <w:r w:rsidR="00A74321" w:rsidRPr="00E72418">
        <w:rPr>
          <w:rFonts w:cs="Times"/>
          <w:i/>
          <w:szCs w:val="24"/>
        </w:rPr>
        <w:t>.</w:t>
      </w:r>
      <w:r w:rsidR="003160FD" w:rsidRPr="00E72418">
        <w:rPr>
          <w:rFonts w:cs="Times"/>
          <w:i/>
          <w:szCs w:val="24"/>
        </w:rPr>
        <w:t xml:space="preserve"> </w:t>
      </w:r>
      <w:r w:rsidR="003160FD" w:rsidRPr="00E72418">
        <w:rPr>
          <w:rFonts w:cs="Times"/>
          <w:szCs w:val="24"/>
        </w:rPr>
        <w:t>un retour sur investissement de plus de quatre cents pour</w:t>
      </w:r>
      <w:r w:rsidR="00235356" w:rsidRPr="00E72418">
        <w:rPr>
          <w:rFonts w:cs="Times"/>
          <w:szCs w:val="24"/>
        </w:rPr>
        <w:t xml:space="preserve"> cent</w:t>
      </w:r>
      <w:r w:rsidR="003160FD" w:rsidRPr="00E72418">
        <w:rPr>
          <w:rStyle w:val="Appelnotedebasdep"/>
          <w:rFonts w:cs="Times"/>
          <w:szCs w:val="24"/>
        </w:rPr>
        <w:footnoteReference w:id="639"/>
      </w:r>
      <w:r w:rsidR="003160FD" w:rsidRPr="00E72418">
        <w:rPr>
          <w:rFonts w:cs="Times"/>
          <w:szCs w:val="24"/>
        </w:rPr>
        <w:t>.</w:t>
      </w:r>
      <w:bookmarkStart w:id="135" w:name="_Toc59280911"/>
      <w:bookmarkStart w:id="136" w:name="_Toc75106080"/>
    </w:p>
    <w:p w14:paraId="58383631" w14:textId="77777777" w:rsidR="0054314B" w:rsidRPr="00E72418" w:rsidRDefault="0054314B" w:rsidP="0054314B"/>
    <w:p w14:paraId="651210CE" w14:textId="53DD385A" w:rsidR="00B45C7B" w:rsidRPr="00E72418" w:rsidRDefault="00801236" w:rsidP="00CC4BA8">
      <w:pPr>
        <w:pStyle w:val="CC"/>
        <w:spacing w:line="276" w:lineRule="auto"/>
      </w:pPr>
      <w:bookmarkStart w:id="137" w:name="_Toc84540899"/>
      <w:r w:rsidRPr="00E72418">
        <w:t>Chapitre 6</w:t>
      </w:r>
      <w:r w:rsidR="000764CE" w:rsidRPr="00E72418">
        <w:t> :</w:t>
      </w:r>
      <w:r w:rsidR="000764CE" w:rsidRPr="00E72418">
        <w:rPr>
          <w:i/>
        </w:rPr>
        <w:t xml:space="preserve"> </w:t>
      </w:r>
      <w:r w:rsidR="00B45C7B" w:rsidRPr="00E72418">
        <w:rPr>
          <w:i/>
        </w:rPr>
        <w:t>Hamsah Investment</w:t>
      </w:r>
      <w:r w:rsidR="002E5A8A" w:rsidRPr="00E72418">
        <w:rPr>
          <w:i/>
        </w:rPr>
        <w:t>s</w:t>
      </w:r>
      <w:r w:rsidR="00B45C7B" w:rsidRPr="00E72418">
        <w:rPr>
          <w:i/>
        </w:rPr>
        <w:t xml:space="preserve"> Ltd. </w:t>
      </w:r>
      <w:r w:rsidR="00B45C7B" w:rsidRPr="00E72418">
        <w:t>et</w:t>
      </w:r>
      <w:r w:rsidR="00B45C7B" w:rsidRPr="00E72418">
        <w:rPr>
          <w:i/>
        </w:rPr>
        <w:t xml:space="preserve"> Wall Capital Ltd</w:t>
      </w:r>
      <w:r w:rsidR="00B45C7B" w:rsidRPr="00E72418">
        <w:t>. c. la République du Libéria</w:t>
      </w:r>
      <w:bookmarkEnd w:id="135"/>
      <w:bookmarkEnd w:id="136"/>
      <w:bookmarkEnd w:id="137"/>
    </w:p>
    <w:p w14:paraId="011BABE5" w14:textId="77777777" w:rsidR="00B45C7B" w:rsidRPr="00E72418" w:rsidRDefault="00B45C7B" w:rsidP="0054314B"/>
    <w:p w14:paraId="1D9E29BD" w14:textId="213686AB" w:rsidR="00B45C7B" w:rsidRPr="00E72418" w:rsidRDefault="007F038F" w:rsidP="00CC4BA8">
      <w:pPr>
        <w:spacing w:line="276" w:lineRule="auto"/>
      </w:pPr>
      <w:r w:rsidRPr="00E72418">
        <w:rPr>
          <w:b/>
        </w:rPr>
        <w:t>114</w:t>
      </w:r>
      <w:r w:rsidR="007E31CD" w:rsidRPr="00E72418">
        <w:rPr>
          <w:b/>
        </w:rPr>
        <w:t xml:space="preserve">. </w:t>
      </w:r>
      <w:r w:rsidR="00B45C7B" w:rsidRPr="00E72418">
        <w:rPr>
          <w:b/>
        </w:rPr>
        <w:t xml:space="preserve">La créance originaire et son rachat – </w:t>
      </w:r>
      <w:r w:rsidR="000B6065" w:rsidRPr="00E72418">
        <w:t>En 1978, la République du</w:t>
      </w:r>
      <w:r w:rsidR="00A602D0" w:rsidRPr="00E72418">
        <w:t xml:space="preserve"> Libéria emprunta six</w:t>
      </w:r>
      <w:r w:rsidR="00B45C7B" w:rsidRPr="00E72418">
        <w:t xml:space="preserve"> millions de dollars étatsuniens </w:t>
      </w:r>
      <w:r w:rsidR="00A602D0" w:rsidRPr="00E72418">
        <w:t>à</w:t>
      </w:r>
      <w:r w:rsidR="00B45C7B" w:rsidRPr="00E72418">
        <w:t xml:space="preserve"> la </w:t>
      </w:r>
      <w:r w:rsidR="00B45C7B" w:rsidRPr="00E72418">
        <w:rPr>
          <w:i/>
        </w:rPr>
        <w:t>Chemical Bank</w:t>
      </w:r>
      <w:r w:rsidR="00B45C7B" w:rsidRPr="00E72418">
        <w:t xml:space="preserve"> basée aux États-Unis. </w:t>
      </w:r>
      <w:r w:rsidR="00A602D0" w:rsidRPr="00E72418">
        <w:t>La créance</w:t>
      </w:r>
      <w:r w:rsidR="00B45C7B" w:rsidRPr="00E72418">
        <w:t xml:space="preserve"> fut ensuite </w:t>
      </w:r>
      <w:r w:rsidR="00B45C7B" w:rsidRPr="00E72418">
        <w:lastRenderedPageBreak/>
        <w:t xml:space="preserve">vendue au début des années 2000 à </w:t>
      </w:r>
      <w:r w:rsidR="00B45C7B" w:rsidRPr="00E72418">
        <w:rPr>
          <w:i/>
        </w:rPr>
        <w:t>FH International Financial Services Inc.</w:t>
      </w:r>
      <w:r w:rsidR="00B45C7B" w:rsidRPr="00E72418">
        <w:t xml:space="preserve"> et à </w:t>
      </w:r>
      <w:r w:rsidR="00B45C7B" w:rsidRPr="00E72418">
        <w:rPr>
          <w:i/>
        </w:rPr>
        <w:t>Sifida Investment Company S.A.</w:t>
      </w:r>
      <w:r w:rsidR="00BF3391" w:rsidRPr="00E72418">
        <w:rPr>
          <w:rStyle w:val="Appelnotedebasdep"/>
        </w:rPr>
        <w:footnoteReference w:id="640"/>
      </w:r>
      <w:r w:rsidR="00B45C7B" w:rsidRPr="00E72418">
        <w:t xml:space="preserve"> </w:t>
      </w:r>
      <w:r w:rsidR="000B6065" w:rsidRPr="00E72418">
        <w:t>C</w:t>
      </w:r>
      <w:r w:rsidR="00B45C7B" w:rsidRPr="00E72418">
        <w:t xml:space="preserve">es sociétés obtinrent </w:t>
      </w:r>
      <w:r w:rsidR="000B6065" w:rsidRPr="00E72418">
        <w:t>d’une juridiction étatsunienne</w:t>
      </w:r>
      <w:r w:rsidR="00B45C7B" w:rsidRPr="00E72418">
        <w:t xml:space="preserve"> </w:t>
      </w:r>
      <w:r w:rsidR="000B6065" w:rsidRPr="00E72418">
        <w:t xml:space="preserve">en juin 2002 </w:t>
      </w:r>
      <w:r w:rsidR="00B45C7B" w:rsidRPr="00E72418">
        <w:t xml:space="preserve">un jugement de condamnation </w:t>
      </w:r>
      <w:r w:rsidR="000B6065" w:rsidRPr="00E72418">
        <w:t>par défaut d’</w:t>
      </w:r>
      <w:r w:rsidR="00A602D0" w:rsidRPr="00E72418">
        <w:t>un montant de près de vingt</w:t>
      </w:r>
      <w:r w:rsidR="00B45C7B" w:rsidRPr="00E72418">
        <w:t xml:space="preserve"> millions de dollars</w:t>
      </w:r>
      <w:r w:rsidR="00B45C7B" w:rsidRPr="00E72418">
        <w:rPr>
          <w:rStyle w:val="Appelnotedebasdep"/>
        </w:rPr>
        <w:footnoteReference w:id="641"/>
      </w:r>
      <w:r w:rsidR="00B45C7B" w:rsidRPr="00E72418">
        <w:t>. La dette</w:t>
      </w:r>
      <w:r w:rsidR="000B6065" w:rsidRPr="00E72418">
        <w:t xml:space="preserve"> litigieuse</w:t>
      </w:r>
      <w:r w:rsidR="00B45C7B" w:rsidRPr="00E72418">
        <w:t xml:space="preserve"> fut ensuite cédée à de nombreuses reprises pour finalement être acquise </w:t>
      </w:r>
      <w:r w:rsidR="000B6065" w:rsidRPr="00E72418">
        <w:t>par deux fonds d’investissement</w:t>
      </w:r>
      <w:r w:rsidR="00BF3391" w:rsidRPr="00E72418">
        <w:t xml:space="preserve"> </w:t>
      </w:r>
      <w:r w:rsidR="000B6065" w:rsidRPr="00E72418">
        <w:rPr>
          <w:i/>
        </w:rPr>
        <w:t>Hamsah Investment</w:t>
      </w:r>
      <w:r w:rsidR="002E5A8A" w:rsidRPr="00E72418">
        <w:rPr>
          <w:i/>
        </w:rPr>
        <w:t>s</w:t>
      </w:r>
      <w:r w:rsidR="000B6065" w:rsidRPr="00E72418">
        <w:rPr>
          <w:i/>
        </w:rPr>
        <w:t xml:space="preserve"> Ltd. </w:t>
      </w:r>
      <w:r w:rsidR="000B6065" w:rsidRPr="00E72418">
        <w:t xml:space="preserve">et </w:t>
      </w:r>
      <w:r w:rsidR="000B6065" w:rsidRPr="00E72418">
        <w:rPr>
          <w:i/>
        </w:rPr>
        <w:t>Wall Capital Ltd.</w:t>
      </w:r>
      <w:r w:rsidR="00BF3391" w:rsidRPr="00E72418">
        <w:t>,</w:t>
      </w:r>
      <w:r w:rsidR="00BF3391" w:rsidRPr="00E72418">
        <w:rPr>
          <w:i/>
        </w:rPr>
        <w:t xml:space="preserve"> </w:t>
      </w:r>
      <w:r w:rsidR="00BF3391" w:rsidRPr="00E72418">
        <w:t xml:space="preserve">respectivement basés aux </w:t>
      </w:r>
      <w:r w:rsidR="00BF3391" w:rsidRPr="00E72418">
        <w:rPr>
          <w:rFonts w:ascii="Times New Roman" w:hAnsi="Times New Roman" w:cs="Times New Roman"/>
          <w:szCs w:val="24"/>
        </w:rPr>
        <w:t>Î</w:t>
      </w:r>
      <w:r w:rsidR="00BF3391" w:rsidRPr="00E72418">
        <w:t xml:space="preserve">les Vierges britanniques et aux </w:t>
      </w:r>
      <w:r w:rsidR="00BF3391" w:rsidRPr="00E72418">
        <w:rPr>
          <w:rFonts w:ascii="Times New Roman" w:hAnsi="Times New Roman" w:cs="Times New Roman"/>
          <w:szCs w:val="24"/>
        </w:rPr>
        <w:t>Î</w:t>
      </w:r>
      <w:r w:rsidR="00BF3391" w:rsidRPr="00E72418">
        <w:t>les Caymans</w:t>
      </w:r>
      <w:r w:rsidR="009703B6" w:rsidRPr="00E72418">
        <w:rPr>
          <w:rStyle w:val="Appelnotedebasdep"/>
        </w:rPr>
        <w:footnoteReference w:id="642"/>
      </w:r>
      <w:r w:rsidR="00BF3391" w:rsidRPr="00E72418">
        <w:t>.</w:t>
      </w:r>
    </w:p>
    <w:p w14:paraId="57B3FE51" w14:textId="77777777" w:rsidR="00B45C7B" w:rsidRPr="00E72418" w:rsidRDefault="00B45C7B" w:rsidP="0054314B"/>
    <w:p w14:paraId="2F3059C8" w14:textId="682F006F" w:rsidR="00A602D0" w:rsidRPr="00E72418" w:rsidRDefault="007E31CD" w:rsidP="00CC4BA8">
      <w:pPr>
        <w:spacing w:line="276" w:lineRule="auto"/>
        <w:rPr>
          <w:szCs w:val="24"/>
        </w:rPr>
      </w:pPr>
      <w:r w:rsidRPr="00E72418">
        <w:rPr>
          <w:b/>
        </w:rPr>
        <w:t>11</w:t>
      </w:r>
      <w:r w:rsidR="007F038F" w:rsidRPr="00E72418">
        <w:rPr>
          <w:b/>
        </w:rPr>
        <w:t>5</w:t>
      </w:r>
      <w:r w:rsidRPr="00E72418">
        <w:rPr>
          <w:b/>
        </w:rPr>
        <w:t xml:space="preserve">. </w:t>
      </w:r>
      <w:r w:rsidR="00A602D0" w:rsidRPr="00E72418">
        <w:rPr>
          <w:b/>
        </w:rPr>
        <w:t>La poursuite et le refus de rachat</w:t>
      </w:r>
      <w:r w:rsidR="00B45C7B" w:rsidRPr="00E72418">
        <w:rPr>
          <w:b/>
        </w:rPr>
        <w:t xml:space="preserve"> </w:t>
      </w:r>
      <w:r w:rsidR="00B45C7B" w:rsidRPr="00E72418">
        <w:rPr>
          <w:b/>
          <w:szCs w:val="24"/>
        </w:rPr>
        <w:t xml:space="preserve">– </w:t>
      </w:r>
      <w:r w:rsidR="00A602D0" w:rsidRPr="00E72418">
        <w:rPr>
          <w:i/>
        </w:rPr>
        <w:t>Hamsah Investment</w:t>
      </w:r>
      <w:r w:rsidR="002E5A8A" w:rsidRPr="00E72418">
        <w:rPr>
          <w:i/>
        </w:rPr>
        <w:t>s</w:t>
      </w:r>
      <w:r w:rsidR="00A602D0" w:rsidRPr="00E72418">
        <w:rPr>
          <w:i/>
        </w:rPr>
        <w:t xml:space="preserve"> Ltd. </w:t>
      </w:r>
      <w:r w:rsidR="00A602D0" w:rsidRPr="00E72418">
        <w:t xml:space="preserve">et </w:t>
      </w:r>
      <w:r w:rsidR="00A602D0" w:rsidRPr="00E72418">
        <w:rPr>
          <w:i/>
        </w:rPr>
        <w:t>Wall Capital Ltd</w:t>
      </w:r>
      <w:r w:rsidR="00A602D0" w:rsidRPr="00E72418">
        <w:t xml:space="preserve">. </w:t>
      </w:r>
      <w:r w:rsidR="00B45C7B" w:rsidRPr="00E72418">
        <w:t xml:space="preserve">lancèrent en 2008 une procédure au Royaume-Uni visant à faire reconnaître la décision </w:t>
      </w:r>
      <w:r w:rsidR="000B6065" w:rsidRPr="00E72418">
        <w:t xml:space="preserve">de condamnation </w:t>
      </w:r>
      <w:r w:rsidR="00B45C7B" w:rsidRPr="00E72418">
        <w:t xml:space="preserve">étatsunienne. En novembre 2009, une </w:t>
      </w:r>
      <w:r w:rsidR="00B45C7B" w:rsidRPr="00F1587D">
        <w:t>High Court</w:t>
      </w:r>
      <w:r w:rsidR="00A602D0" w:rsidRPr="00E72418">
        <w:t xml:space="preserve"> londonienne condamna la République du Libéria</w:t>
      </w:r>
      <w:r w:rsidR="00B45C7B" w:rsidRPr="00E72418">
        <w:t xml:space="preserve"> </w:t>
      </w:r>
      <w:r w:rsidR="00A602D0" w:rsidRPr="00E72418">
        <w:t>à</w:t>
      </w:r>
      <w:r w:rsidR="00B45C7B" w:rsidRPr="00E72418">
        <w:t xml:space="preserve"> payer </w:t>
      </w:r>
      <w:r w:rsidR="00A602D0" w:rsidRPr="00E72418">
        <w:t xml:space="preserve">aux deux fonds créanciers </w:t>
      </w:r>
      <w:r w:rsidR="00B45C7B" w:rsidRPr="00E72418">
        <w:t xml:space="preserve">plus de </w:t>
      </w:r>
      <w:r w:rsidR="00A602D0" w:rsidRPr="00E72418">
        <w:t>vingt</w:t>
      </w:r>
      <w:r w:rsidR="00B45C7B" w:rsidRPr="00E72418">
        <w:t xml:space="preserve"> millions de dollars étatsuniens</w:t>
      </w:r>
      <w:r w:rsidR="006A4135" w:rsidRPr="00E72418">
        <w:rPr>
          <w:rStyle w:val="Appelnotedebasdep"/>
        </w:rPr>
        <w:footnoteReference w:id="643"/>
      </w:r>
      <w:r w:rsidR="00B45C7B" w:rsidRPr="00E72418">
        <w:t xml:space="preserve">. </w:t>
      </w:r>
      <w:r w:rsidR="000D0BC3" w:rsidRPr="00E72418">
        <w:t>C</w:t>
      </w:r>
      <w:r w:rsidR="00A602D0" w:rsidRPr="00E72418">
        <w:rPr>
          <w:szCs w:val="24"/>
        </w:rPr>
        <w:t>e</w:t>
      </w:r>
      <w:r w:rsidR="00B45C7B" w:rsidRPr="00E72418">
        <w:rPr>
          <w:szCs w:val="24"/>
        </w:rPr>
        <w:t xml:space="preserve"> </w:t>
      </w:r>
      <w:r w:rsidR="00A602D0" w:rsidRPr="00E72418">
        <w:rPr>
          <w:szCs w:val="24"/>
        </w:rPr>
        <w:t xml:space="preserve">montant </w:t>
      </w:r>
      <w:r w:rsidR="000B6065" w:rsidRPr="00E72418">
        <w:rPr>
          <w:szCs w:val="24"/>
        </w:rPr>
        <w:t>représentant cinq pour</w:t>
      </w:r>
      <w:r w:rsidR="00235356" w:rsidRPr="00E72418">
        <w:rPr>
          <w:szCs w:val="24"/>
        </w:rPr>
        <w:t xml:space="preserve"> cent</w:t>
      </w:r>
      <w:r w:rsidR="000B6065" w:rsidRPr="00E72418">
        <w:rPr>
          <w:szCs w:val="24"/>
        </w:rPr>
        <w:t xml:space="preserve"> du budget gouvernemental annuel </w:t>
      </w:r>
      <w:r w:rsidR="000D0BC3" w:rsidRPr="00E72418">
        <w:rPr>
          <w:szCs w:val="24"/>
        </w:rPr>
        <w:t xml:space="preserve">libérien </w:t>
      </w:r>
      <w:r w:rsidR="00B45C7B" w:rsidRPr="00E72418">
        <w:rPr>
          <w:szCs w:val="24"/>
        </w:rPr>
        <w:t xml:space="preserve">est considérable </w:t>
      </w:r>
      <w:r w:rsidR="000B6065" w:rsidRPr="00E72418">
        <w:rPr>
          <w:szCs w:val="24"/>
        </w:rPr>
        <w:t>pour l’</w:t>
      </w:r>
      <w:r w:rsidR="000B6065" w:rsidRPr="00E72418">
        <w:t>Ét</w:t>
      </w:r>
      <w:r w:rsidR="000B6065" w:rsidRPr="00E72418">
        <w:rPr>
          <w:rFonts w:ascii="Times New Roman" w:hAnsi="Times New Roman" w:cs="Times New Roman"/>
        </w:rPr>
        <w:t>at débiteur africain</w:t>
      </w:r>
      <w:r w:rsidR="00B45C7B" w:rsidRPr="00E72418">
        <w:rPr>
          <w:rStyle w:val="Appelnotedebasdep"/>
          <w:szCs w:val="24"/>
        </w:rPr>
        <w:footnoteReference w:id="644"/>
      </w:r>
      <w:r w:rsidR="00B45C7B" w:rsidRPr="00E72418">
        <w:rPr>
          <w:szCs w:val="24"/>
        </w:rPr>
        <w:t xml:space="preserve">. </w:t>
      </w:r>
    </w:p>
    <w:p w14:paraId="6CF12279" w14:textId="2F8D4316" w:rsidR="00B45C7B" w:rsidRPr="00E72418" w:rsidRDefault="000D0BC3" w:rsidP="00CC4BA8">
      <w:pPr>
        <w:spacing w:line="276" w:lineRule="auto"/>
      </w:pPr>
      <w:r w:rsidRPr="00E72418">
        <w:rPr>
          <w:szCs w:val="24"/>
        </w:rPr>
        <w:t>En avril 2009, la République du</w:t>
      </w:r>
      <w:r w:rsidR="00B45C7B" w:rsidRPr="00E72418">
        <w:rPr>
          <w:szCs w:val="24"/>
        </w:rPr>
        <w:t xml:space="preserve"> Libéria</w:t>
      </w:r>
      <w:r w:rsidR="000B6065" w:rsidRPr="00E72418">
        <w:rPr>
          <w:szCs w:val="24"/>
        </w:rPr>
        <w:t>,</w:t>
      </w:r>
      <w:r w:rsidR="00B45C7B" w:rsidRPr="00E72418">
        <w:rPr>
          <w:szCs w:val="24"/>
        </w:rPr>
        <w:t xml:space="preserve"> </w:t>
      </w:r>
      <w:r w:rsidR="000B6065" w:rsidRPr="00E72418">
        <w:rPr>
          <w:szCs w:val="24"/>
        </w:rPr>
        <w:t xml:space="preserve">qui </w:t>
      </w:r>
      <w:r w:rsidRPr="00E72418">
        <w:rPr>
          <w:szCs w:val="24"/>
        </w:rPr>
        <w:t>avait bénéficié</w:t>
      </w:r>
      <w:r w:rsidR="000B6065" w:rsidRPr="00E72418">
        <w:rPr>
          <w:szCs w:val="24"/>
        </w:rPr>
        <w:t xml:space="preserve"> de l’Initiative Pays Pauvres Très Endettés de la Banque mondiale et du Fonds monétaire international, </w:t>
      </w:r>
      <w:r w:rsidR="00B45C7B" w:rsidRPr="00E72418">
        <w:rPr>
          <w:szCs w:val="24"/>
        </w:rPr>
        <w:t xml:space="preserve">parvint à racheter une importante partie de sa dette </w:t>
      </w:r>
      <w:r w:rsidR="000B6065" w:rsidRPr="00E72418">
        <w:rPr>
          <w:szCs w:val="24"/>
        </w:rPr>
        <w:t>via notamment l</w:t>
      </w:r>
      <w:r w:rsidR="00B45C7B" w:rsidRPr="00E72418">
        <w:rPr>
          <w:szCs w:val="24"/>
        </w:rPr>
        <w:t xml:space="preserve">a </w:t>
      </w:r>
      <w:r w:rsidR="00B45C7B" w:rsidRPr="00E72418">
        <w:rPr>
          <w:i/>
          <w:szCs w:val="24"/>
        </w:rPr>
        <w:t>Debt Reduction Facility</w:t>
      </w:r>
      <w:r w:rsidR="000B6065" w:rsidRPr="00E72418">
        <w:rPr>
          <w:szCs w:val="24"/>
        </w:rPr>
        <w:t xml:space="preserve"> de la Banque mondiale. P</w:t>
      </w:r>
      <w:r w:rsidR="00A602D0" w:rsidRPr="00E72418">
        <w:rPr>
          <w:szCs w:val="24"/>
        </w:rPr>
        <w:t>lus de nonante-sept</w:t>
      </w:r>
      <w:r w:rsidR="006637ED" w:rsidRPr="00E72418">
        <w:rPr>
          <w:szCs w:val="24"/>
        </w:rPr>
        <w:t xml:space="preserve"> pour</w:t>
      </w:r>
      <w:r w:rsidR="007C22BA" w:rsidRPr="00E72418">
        <w:rPr>
          <w:szCs w:val="24"/>
        </w:rPr>
        <w:t xml:space="preserve"> cent</w:t>
      </w:r>
      <w:r w:rsidR="00B45C7B" w:rsidRPr="00E72418">
        <w:rPr>
          <w:szCs w:val="24"/>
        </w:rPr>
        <w:t xml:space="preserve"> des créanciers commerciaux du </w:t>
      </w:r>
      <w:r w:rsidR="000B6065" w:rsidRPr="00E72418">
        <w:rPr>
          <w:szCs w:val="24"/>
        </w:rPr>
        <w:t>pays</w:t>
      </w:r>
      <w:r w:rsidR="00B45C7B" w:rsidRPr="00E72418">
        <w:rPr>
          <w:szCs w:val="24"/>
        </w:rPr>
        <w:t xml:space="preserve"> acceptèrent le rachat de leur</w:t>
      </w:r>
      <w:r w:rsidR="00A602D0" w:rsidRPr="00E72418">
        <w:rPr>
          <w:szCs w:val="24"/>
        </w:rPr>
        <w:t>s</w:t>
      </w:r>
      <w:r w:rsidR="00B45C7B" w:rsidRPr="00E72418">
        <w:rPr>
          <w:szCs w:val="24"/>
        </w:rPr>
        <w:t xml:space="preserve"> dette</w:t>
      </w:r>
      <w:r w:rsidRPr="00E72418">
        <w:rPr>
          <w:szCs w:val="24"/>
        </w:rPr>
        <w:t>s. Ce rachat de dettes allant de pair avec leur réduction</w:t>
      </w:r>
      <w:r w:rsidR="00A602D0" w:rsidRPr="00E72418">
        <w:rPr>
          <w:szCs w:val="24"/>
        </w:rPr>
        <w:t xml:space="preserve"> </w:t>
      </w:r>
      <w:r w:rsidRPr="00E72418">
        <w:rPr>
          <w:szCs w:val="24"/>
        </w:rPr>
        <w:t>conduisit</w:t>
      </w:r>
      <w:r w:rsidR="00A602D0" w:rsidRPr="00E72418">
        <w:rPr>
          <w:szCs w:val="24"/>
        </w:rPr>
        <w:t xml:space="preserve"> </w:t>
      </w:r>
      <w:r w:rsidR="006637ED" w:rsidRPr="00E72418">
        <w:rPr>
          <w:szCs w:val="24"/>
        </w:rPr>
        <w:t xml:space="preserve">à une </w:t>
      </w:r>
      <w:r w:rsidR="00A602D0" w:rsidRPr="00E72418">
        <w:rPr>
          <w:szCs w:val="24"/>
        </w:rPr>
        <w:t xml:space="preserve">allègement considérable de ce dont </w:t>
      </w:r>
      <w:r w:rsidRPr="00E72418">
        <w:rPr>
          <w:szCs w:val="24"/>
        </w:rPr>
        <w:t xml:space="preserve">le Libéria </w:t>
      </w:r>
      <w:r w:rsidR="00A602D0" w:rsidRPr="00E72418">
        <w:rPr>
          <w:szCs w:val="24"/>
        </w:rPr>
        <w:t>était redevable</w:t>
      </w:r>
      <w:r w:rsidR="00B45C7B" w:rsidRPr="00E72418">
        <w:rPr>
          <w:rStyle w:val="Appelnotedebasdep"/>
          <w:szCs w:val="24"/>
        </w:rPr>
        <w:footnoteReference w:id="645"/>
      </w:r>
      <w:r w:rsidR="00B45C7B" w:rsidRPr="00E72418">
        <w:rPr>
          <w:szCs w:val="24"/>
        </w:rPr>
        <w:t xml:space="preserve">. </w:t>
      </w:r>
      <w:r w:rsidR="00A602D0" w:rsidRPr="00E72418">
        <w:rPr>
          <w:i/>
        </w:rPr>
        <w:t>Hamsah Investment</w:t>
      </w:r>
      <w:r w:rsidR="002E5A8A" w:rsidRPr="00E72418">
        <w:rPr>
          <w:i/>
        </w:rPr>
        <w:t>s</w:t>
      </w:r>
      <w:r w:rsidR="00A602D0" w:rsidRPr="00E72418">
        <w:rPr>
          <w:i/>
        </w:rPr>
        <w:t xml:space="preserve"> Ltd. </w:t>
      </w:r>
      <w:r w:rsidR="00A602D0" w:rsidRPr="00E72418">
        <w:t xml:space="preserve">et </w:t>
      </w:r>
      <w:r w:rsidR="00A602D0" w:rsidRPr="00E72418">
        <w:rPr>
          <w:i/>
        </w:rPr>
        <w:t>Wall Capital Ltd</w:t>
      </w:r>
      <w:r w:rsidR="00A602D0" w:rsidRPr="00E72418">
        <w:t xml:space="preserve">. </w:t>
      </w:r>
      <w:r w:rsidR="00B45C7B" w:rsidRPr="00E72418">
        <w:t xml:space="preserve">furent les seuls créanciers </w:t>
      </w:r>
      <w:r w:rsidR="00A602D0" w:rsidRPr="00E72418">
        <w:t xml:space="preserve">qui refusèrent </w:t>
      </w:r>
      <w:r w:rsidR="00B45C7B" w:rsidRPr="00E72418">
        <w:t>de participer à l’accord de rachat</w:t>
      </w:r>
      <w:r w:rsidR="00B45C7B" w:rsidRPr="00E72418">
        <w:rPr>
          <w:rStyle w:val="Appelnotedebasdep"/>
        </w:rPr>
        <w:footnoteReference w:id="646"/>
      </w:r>
      <w:r w:rsidR="00B45C7B" w:rsidRPr="00E72418">
        <w:t>.</w:t>
      </w:r>
    </w:p>
    <w:p w14:paraId="79C46D78" w14:textId="77777777" w:rsidR="00B45C7B" w:rsidRPr="00E72418" w:rsidRDefault="00B45C7B" w:rsidP="0054314B"/>
    <w:p w14:paraId="7FA89BFC" w14:textId="4B087A80" w:rsidR="00B45C7B" w:rsidRPr="00E72418" w:rsidRDefault="007E31CD" w:rsidP="00CC4BA8">
      <w:pPr>
        <w:spacing w:line="276" w:lineRule="auto"/>
      </w:pPr>
      <w:r w:rsidRPr="00E72418">
        <w:rPr>
          <w:b/>
        </w:rPr>
        <w:t>11</w:t>
      </w:r>
      <w:r w:rsidR="007F038F" w:rsidRPr="00E72418">
        <w:rPr>
          <w:b/>
        </w:rPr>
        <w:t>6</w:t>
      </w:r>
      <w:r w:rsidRPr="00E72418">
        <w:rPr>
          <w:b/>
        </w:rPr>
        <w:t xml:space="preserve">. </w:t>
      </w:r>
      <w:r w:rsidR="00B45C7B" w:rsidRPr="00E72418">
        <w:rPr>
          <w:b/>
        </w:rPr>
        <w:t xml:space="preserve">L’accord </w:t>
      </w:r>
      <w:r w:rsidR="00B45C7B" w:rsidRPr="00E72418">
        <w:rPr>
          <w:b/>
          <w:szCs w:val="24"/>
        </w:rPr>
        <w:t xml:space="preserve">– </w:t>
      </w:r>
      <w:r w:rsidR="00490BBB" w:rsidRPr="00E72418">
        <w:rPr>
          <w:szCs w:val="24"/>
        </w:rPr>
        <w:t xml:space="preserve">Conscient de ce que le </w:t>
      </w:r>
      <w:r w:rsidR="00490BBB" w:rsidRPr="00E72418">
        <w:rPr>
          <w:i/>
        </w:rPr>
        <w:t>Debt Relief (Developing Countries) Act</w:t>
      </w:r>
      <w:r w:rsidR="00490BBB" w:rsidRPr="00E72418">
        <w:t xml:space="preserve"> britannique limiterait leur possibilité d’obtenir leur plein désintéressement, </w:t>
      </w:r>
      <w:r w:rsidR="009D31FC" w:rsidRPr="00E72418">
        <w:rPr>
          <w:i/>
        </w:rPr>
        <w:t>Hamsah Investment</w:t>
      </w:r>
      <w:r w:rsidR="002E5A8A" w:rsidRPr="00E72418">
        <w:rPr>
          <w:i/>
        </w:rPr>
        <w:t>s</w:t>
      </w:r>
      <w:r w:rsidR="009D31FC" w:rsidRPr="00E72418">
        <w:rPr>
          <w:i/>
        </w:rPr>
        <w:t xml:space="preserve"> Ltd. </w:t>
      </w:r>
      <w:r w:rsidR="009D31FC" w:rsidRPr="00E72418">
        <w:t xml:space="preserve">et </w:t>
      </w:r>
      <w:r w:rsidR="009D31FC" w:rsidRPr="00E72418">
        <w:rPr>
          <w:i/>
        </w:rPr>
        <w:t>Wall Capital Ltd</w:t>
      </w:r>
      <w:r w:rsidR="009D31FC" w:rsidRPr="00E72418">
        <w:t xml:space="preserve">. </w:t>
      </w:r>
      <w:r w:rsidR="00490BBB" w:rsidRPr="00E72418">
        <w:t>dur</w:t>
      </w:r>
      <w:r w:rsidR="00E862EA" w:rsidRPr="00E72418">
        <w:t>ent consentir un accord avec l’</w:t>
      </w:r>
      <w:r w:rsidR="00E862EA" w:rsidRPr="00E72418">
        <w:rPr>
          <w:lang w:eastAsia="fr-BE"/>
        </w:rPr>
        <w:t>É</w:t>
      </w:r>
      <w:r w:rsidR="00490BBB" w:rsidRPr="00E72418">
        <w:t>tat débiteur</w:t>
      </w:r>
      <w:r w:rsidR="00490BBB" w:rsidRPr="00E72418">
        <w:rPr>
          <w:rStyle w:val="Appelnotedebasdep"/>
        </w:rPr>
        <w:footnoteReference w:id="647"/>
      </w:r>
      <w:r w:rsidR="00490BBB" w:rsidRPr="00E72418">
        <w:t xml:space="preserve">. Selon les termes de celui-ci, </w:t>
      </w:r>
      <w:r w:rsidR="009D31FC" w:rsidRPr="00E72418">
        <w:t xml:space="preserve">ces créanciers </w:t>
      </w:r>
      <w:r w:rsidR="00490BBB" w:rsidRPr="00E72418">
        <w:t>n’obtinrent pas plus que ce qu’ils auraient reçu en participant à l’opération de rachat intervenue plus tôt avec l’ensemble des autres créanciers de la République du Libéria</w:t>
      </w:r>
      <w:r w:rsidR="00B45C7B" w:rsidRPr="00E72418">
        <w:rPr>
          <w:rStyle w:val="Appelnotedebasdep"/>
        </w:rPr>
        <w:footnoteReference w:id="648"/>
      </w:r>
      <w:r w:rsidR="00490BBB" w:rsidRPr="00E72418">
        <w:t>.</w:t>
      </w:r>
    </w:p>
    <w:p w14:paraId="02751B72" w14:textId="77777777" w:rsidR="00B45C7B" w:rsidRPr="00E72418" w:rsidRDefault="00B45C7B" w:rsidP="00CC4BA8">
      <w:pPr>
        <w:spacing w:line="276" w:lineRule="auto"/>
      </w:pPr>
      <w:r w:rsidRPr="00E72418">
        <w:t xml:space="preserve">Si, </w:t>
      </w:r>
      <w:r w:rsidR="00490BBB" w:rsidRPr="00E72418">
        <w:rPr>
          <w:rFonts w:cs="Times"/>
          <w:szCs w:val="24"/>
        </w:rPr>
        <w:t>l’</w:t>
      </w:r>
      <w:r w:rsidR="00490BBB" w:rsidRPr="00E72418">
        <w:t>Ét</w:t>
      </w:r>
      <w:r w:rsidR="00490BBB" w:rsidRPr="00E72418">
        <w:rPr>
          <w:rFonts w:ascii="Times New Roman" w:hAnsi="Times New Roman" w:cs="Times New Roman"/>
        </w:rPr>
        <w:t xml:space="preserve">at débiteur </w:t>
      </w:r>
      <w:r w:rsidRPr="00E72418">
        <w:t xml:space="preserve">s’en tira </w:t>
      </w:r>
      <w:r w:rsidR="00490BBB" w:rsidRPr="00E72418">
        <w:t>finalement bien, il reste que l</w:t>
      </w:r>
      <w:r w:rsidRPr="00E72418">
        <w:t xml:space="preserve">e long contentieux auquel il eut à faire face lui fut néfaste notamment en raison des coûts </w:t>
      </w:r>
      <w:r w:rsidR="00490BBB" w:rsidRPr="00E72418">
        <w:t>de défense et de gestion engendrés</w:t>
      </w:r>
      <w:r w:rsidRPr="00E72418">
        <w:t>.</w:t>
      </w:r>
    </w:p>
    <w:p w14:paraId="67C2E0D0" w14:textId="0A419769" w:rsidR="00B45C7B" w:rsidRPr="00E72418" w:rsidRDefault="0020777B" w:rsidP="00CC4BA8">
      <w:pPr>
        <w:pStyle w:val="CC"/>
        <w:spacing w:line="276" w:lineRule="auto"/>
      </w:pPr>
      <w:bookmarkStart w:id="138" w:name="_Toc9959305"/>
      <w:bookmarkStart w:id="139" w:name="_Toc15985930"/>
      <w:bookmarkStart w:id="140" w:name="_Toc18328212"/>
      <w:bookmarkStart w:id="141" w:name="_Toc59280912"/>
      <w:bookmarkStart w:id="142" w:name="_Toc75106081"/>
      <w:bookmarkStart w:id="143" w:name="_Toc84540900"/>
      <w:r w:rsidRPr="00E72418">
        <w:lastRenderedPageBreak/>
        <w:t>Chapitre 7</w:t>
      </w:r>
      <w:r w:rsidR="000764CE" w:rsidRPr="00E72418">
        <w:t> :</w:t>
      </w:r>
      <w:r w:rsidR="000764CE" w:rsidRPr="00E72418">
        <w:rPr>
          <w:i/>
        </w:rPr>
        <w:t xml:space="preserve"> </w:t>
      </w:r>
      <w:r w:rsidR="00B45C7B" w:rsidRPr="00E72418">
        <w:rPr>
          <w:i/>
        </w:rPr>
        <w:t>LNC Investments Inc.</w:t>
      </w:r>
      <w:r w:rsidR="00B45C7B" w:rsidRPr="00E72418">
        <w:t xml:space="preserve"> c. la République du Nicaragua</w:t>
      </w:r>
      <w:bookmarkEnd w:id="138"/>
      <w:bookmarkEnd w:id="139"/>
      <w:bookmarkEnd w:id="140"/>
      <w:bookmarkEnd w:id="141"/>
      <w:bookmarkEnd w:id="142"/>
      <w:bookmarkEnd w:id="143"/>
    </w:p>
    <w:p w14:paraId="3A3771C4" w14:textId="77777777" w:rsidR="00B45C7B" w:rsidRPr="00E72418" w:rsidRDefault="00B45C7B" w:rsidP="0054314B"/>
    <w:p w14:paraId="7C143CBF" w14:textId="3A0CFCD8" w:rsidR="00B45C7B" w:rsidRPr="00E72418" w:rsidRDefault="007E31CD" w:rsidP="00CC4BA8">
      <w:pPr>
        <w:spacing w:line="276" w:lineRule="auto"/>
        <w:rPr>
          <w:rFonts w:ascii="Times New Roman" w:hAnsi="Times New Roman" w:cs="Times New Roman"/>
        </w:rPr>
      </w:pPr>
      <w:r w:rsidRPr="00E72418">
        <w:rPr>
          <w:rFonts w:ascii="Times New Roman" w:hAnsi="Times New Roman" w:cs="Times New Roman"/>
          <w:b/>
        </w:rPr>
        <w:t>11</w:t>
      </w:r>
      <w:r w:rsidR="007F038F" w:rsidRPr="00E72418">
        <w:rPr>
          <w:rFonts w:ascii="Times New Roman" w:hAnsi="Times New Roman" w:cs="Times New Roman"/>
          <w:b/>
        </w:rPr>
        <w:t>7</w:t>
      </w:r>
      <w:r w:rsidRPr="00E72418">
        <w:rPr>
          <w:rFonts w:ascii="Times New Roman" w:hAnsi="Times New Roman" w:cs="Times New Roman"/>
          <w:b/>
        </w:rPr>
        <w:t xml:space="preserve">. </w:t>
      </w:r>
      <w:r w:rsidR="003B3B8A" w:rsidRPr="00E72418">
        <w:rPr>
          <w:rFonts w:ascii="Times New Roman" w:hAnsi="Times New Roman" w:cs="Times New Roman"/>
          <w:b/>
        </w:rPr>
        <w:t>D’anciennes obligations rachetées</w:t>
      </w:r>
      <w:r w:rsidR="00B45C7B" w:rsidRPr="00E72418">
        <w:rPr>
          <w:rFonts w:ascii="Times New Roman" w:hAnsi="Times New Roman" w:cs="Times New Roman"/>
          <w:b/>
        </w:rPr>
        <w:t xml:space="preserve"> – </w:t>
      </w:r>
      <w:r w:rsidR="005D49E4" w:rsidRPr="00E72418">
        <w:rPr>
          <w:rFonts w:ascii="Times New Roman" w:hAnsi="Times New Roman" w:cs="Times New Roman"/>
        </w:rPr>
        <w:t xml:space="preserve">En </w:t>
      </w:r>
      <w:r w:rsidR="00AD0494" w:rsidRPr="00E72418">
        <w:rPr>
          <w:rFonts w:ascii="Times New Roman" w:hAnsi="Times New Roman" w:cs="Times New Roman"/>
        </w:rPr>
        <w:t xml:space="preserve">octobre </w:t>
      </w:r>
      <w:r w:rsidR="005D49E4" w:rsidRPr="00E72418">
        <w:rPr>
          <w:rFonts w:ascii="Times New Roman" w:hAnsi="Times New Roman" w:cs="Times New Roman"/>
        </w:rPr>
        <w:t>1986</w:t>
      </w:r>
      <w:r w:rsidR="00AD0494" w:rsidRPr="00E72418">
        <w:rPr>
          <w:rFonts w:ascii="Times New Roman" w:hAnsi="Times New Roman" w:cs="Times New Roman"/>
        </w:rPr>
        <w:t xml:space="preserve"> et août 1987</w:t>
      </w:r>
      <w:r w:rsidR="005D49E4" w:rsidRPr="00E72418">
        <w:rPr>
          <w:rFonts w:ascii="Times New Roman" w:hAnsi="Times New Roman" w:cs="Times New Roman"/>
        </w:rPr>
        <w:t xml:space="preserve">, </w:t>
      </w:r>
      <w:r w:rsidR="00B45C7B" w:rsidRPr="00E72418">
        <w:rPr>
          <w:rFonts w:ascii="Times New Roman" w:hAnsi="Times New Roman" w:cs="Times New Roman"/>
          <w:i/>
        </w:rPr>
        <w:t>LNC Investments Inc.</w:t>
      </w:r>
      <w:r w:rsidR="005D49E4" w:rsidRPr="00E72418">
        <w:rPr>
          <w:rFonts w:ascii="Times New Roman" w:hAnsi="Times New Roman" w:cs="Times New Roman"/>
        </w:rPr>
        <w:t>, une société de l’</w:t>
      </w:r>
      <w:r w:rsidR="005D49E4" w:rsidRPr="00E72418">
        <w:t>Ét</w:t>
      </w:r>
      <w:r w:rsidR="005D49E4" w:rsidRPr="00E72418">
        <w:rPr>
          <w:rFonts w:ascii="Times New Roman" w:hAnsi="Times New Roman" w:cs="Times New Roman"/>
        </w:rPr>
        <w:t xml:space="preserve">at étatsunien du Delaware, </w:t>
      </w:r>
      <w:r w:rsidR="00B45C7B" w:rsidRPr="00E72418">
        <w:rPr>
          <w:rFonts w:ascii="Times New Roman" w:hAnsi="Times New Roman" w:cs="Times New Roman"/>
        </w:rPr>
        <w:t xml:space="preserve">fit l’acquisition </w:t>
      </w:r>
      <w:r w:rsidR="00AD0494" w:rsidRPr="00E72418">
        <w:rPr>
          <w:rFonts w:ascii="Times New Roman" w:hAnsi="Times New Roman" w:cs="Times New Roman"/>
        </w:rPr>
        <w:t xml:space="preserve">de </w:t>
      </w:r>
      <w:r w:rsidR="00B45C7B" w:rsidRPr="00E72418">
        <w:rPr>
          <w:rFonts w:ascii="Times New Roman" w:hAnsi="Times New Roman" w:cs="Times New Roman"/>
        </w:rPr>
        <w:t>dette</w:t>
      </w:r>
      <w:r w:rsidR="00AD0494" w:rsidRPr="00E72418">
        <w:rPr>
          <w:rFonts w:ascii="Times New Roman" w:hAnsi="Times New Roman" w:cs="Times New Roman"/>
        </w:rPr>
        <w:t>s</w:t>
      </w:r>
      <w:r w:rsidR="00B45C7B" w:rsidRPr="00E72418">
        <w:rPr>
          <w:rFonts w:ascii="Times New Roman" w:hAnsi="Times New Roman" w:cs="Times New Roman"/>
        </w:rPr>
        <w:t xml:space="preserve"> </w:t>
      </w:r>
      <w:r w:rsidR="005D49E4" w:rsidRPr="00E72418">
        <w:rPr>
          <w:rFonts w:ascii="Times New Roman" w:hAnsi="Times New Roman" w:cs="Times New Roman"/>
        </w:rPr>
        <w:t>liée</w:t>
      </w:r>
      <w:r w:rsidR="00AD0494" w:rsidRPr="00E72418">
        <w:rPr>
          <w:rFonts w:ascii="Times New Roman" w:hAnsi="Times New Roman" w:cs="Times New Roman"/>
        </w:rPr>
        <w:t>s</w:t>
      </w:r>
      <w:r w:rsidR="00B45C7B" w:rsidRPr="00E72418">
        <w:rPr>
          <w:rFonts w:ascii="Times New Roman" w:hAnsi="Times New Roman" w:cs="Times New Roman"/>
        </w:rPr>
        <w:t xml:space="preserve"> à des obligations émises en 1980 par la République du Nicaragua</w:t>
      </w:r>
      <w:r w:rsidR="00AD0494" w:rsidRPr="00E72418">
        <w:rPr>
          <w:rFonts w:ascii="Times New Roman" w:hAnsi="Times New Roman" w:cs="Times New Roman"/>
        </w:rPr>
        <w:t xml:space="preserve"> et d’autres agences gouvernementales que le pays avait repris à son compte</w:t>
      </w:r>
      <w:r w:rsidR="00B147F2" w:rsidRPr="00E72418">
        <w:rPr>
          <w:rStyle w:val="Appelnotedebasdep"/>
          <w:rFonts w:ascii="Times New Roman" w:hAnsi="Times New Roman" w:cs="Times New Roman"/>
        </w:rPr>
        <w:footnoteReference w:id="649"/>
      </w:r>
      <w:r w:rsidR="00B45C7B" w:rsidRPr="00E72418">
        <w:rPr>
          <w:rFonts w:ascii="Times New Roman" w:hAnsi="Times New Roman" w:cs="Times New Roman"/>
        </w:rPr>
        <w:t xml:space="preserve">. </w:t>
      </w:r>
      <w:r w:rsidR="00AD0494" w:rsidRPr="00E72418">
        <w:rPr>
          <w:rFonts w:ascii="Times New Roman" w:hAnsi="Times New Roman" w:cs="Times New Roman"/>
        </w:rPr>
        <w:t xml:space="preserve">La valeur faciale des dettes acquises s’élevait à </w:t>
      </w:r>
      <w:r w:rsidR="005D49E4" w:rsidRPr="00E72418">
        <w:rPr>
          <w:rFonts w:ascii="Times New Roman" w:hAnsi="Times New Roman" w:cs="Times New Roman"/>
        </w:rPr>
        <w:t>de plus de vingt-six</w:t>
      </w:r>
      <w:r w:rsidR="00B45C7B" w:rsidRPr="00E72418">
        <w:rPr>
          <w:rFonts w:ascii="Times New Roman" w:hAnsi="Times New Roman" w:cs="Times New Roman"/>
        </w:rPr>
        <w:t xml:space="preserve"> millions de dollars étatsuniens</w:t>
      </w:r>
      <w:r w:rsidR="005D49E4" w:rsidRPr="00E72418">
        <w:rPr>
          <w:rFonts w:ascii="Times New Roman" w:hAnsi="Times New Roman" w:cs="Times New Roman"/>
        </w:rPr>
        <w:t>,</w:t>
      </w:r>
      <w:r w:rsidR="00B45C7B" w:rsidRPr="00E72418">
        <w:rPr>
          <w:rFonts w:ascii="Times New Roman" w:hAnsi="Times New Roman" w:cs="Times New Roman"/>
        </w:rPr>
        <w:t xml:space="preserve"> </w:t>
      </w:r>
      <w:r w:rsidR="00AD0494" w:rsidRPr="00E72418">
        <w:rPr>
          <w:rFonts w:ascii="Times New Roman" w:hAnsi="Times New Roman" w:cs="Times New Roman"/>
        </w:rPr>
        <w:t xml:space="preserve">tandis qu’elles avaient été rachetées par le créancier secondaire </w:t>
      </w:r>
      <w:r w:rsidR="00B45C7B" w:rsidRPr="00E72418">
        <w:rPr>
          <w:rFonts w:ascii="Times New Roman" w:hAnsi="Times New Roman" w:cs="Times New Roman"/>
        </w:rPr>
        <w:t>pour un montant d’un peu plus d’un million de dollars</w:t>
      </w:r>
      <w:r w:rsidR="00B45C7B" w:rsidRPr="00E72418">
        <w:rPr>
          <w:rStyle w:val="Appelnotedebasdep"/>
          <w:rFonts w:ascii="Times New Roman" w:hAnsi="Times New Roman" w:cs="Times New Roman"/>
        </w:rPr>
        <w:footnoteReference w:id="650"/>
      </w:r>
      <w:r w:rsidR="00B45C7B" w:rsidRPr="00E72418">
        <w:rPr>
          <w:rFonts w:ascii="Times New Roman" w:hAnsi="Times New Roman" w:cs="Times New Roman"/>
        </w:rPr>
        <w:t xml:space="preserve">. </w:t>
      </w:r>
      <w:r w:rsidR="005D49E4" w:rsidRPr="00E72418">
        <w:rPr>
          <w:rFonts w:ascii="Times New Roman" w:hAnsi="Times New Roman" w:cs="Times New Roman"/>
        </w:rPr>
        <w:t>Alors que plus de quatre-vingts pour</w:t>
      </w:r>
      <w:r w:rsidR="007C22BA" w:rsidRPr="00E72418">
        <w:rPr>
          <w:rFonts w:ascii="Times New Roman" w:hAnsi="Times New Roman" w:cs="Times New Roman"/>
        </w:rPr>
        <w:t xml:space="preserve"> cent</w:t>
      </w:r>
      <w:r w:rsidR="005D49E4" w:rsidRPr="00E72418">
        <w:rPr>
          <w:rFonts w:ascii="Times New Roman" w:hAnsi="Times New Roman" w:cs="Times New Roman"/>
        </w:rPr>
        <w:t xml:space="preserve"> des créanciers du Nicaragua acceptèrent </w:t>
      </w:r>
      <w:r w:rsidR="00B147F2" w:rsidRPr="00E72418">
        <w:rPr>
          <w:rFonts w:ascii="Times New Roman" w:hAnsi="Times New Roman" w:cs="Times New Roman"/>
        </w:rPr>
        <w:t>le rachat</w:t>
      </w:r>
      <w:r w:rsidR="005D49E4" w:rsidRPr="00E72418">
        <w:rPr>
          <w:rFonts w:ascii="Times New Roman" w:hAnsi="Times New Roman" w:cs="Times New Roman"/>
        </w:rPr>
        <w:t xml:space="preserve"> des titres qu’ils détenaient, </w:t>
      </w:r>
      <w:r w:rsidR="005D49E4" w:rsidRPr="00E72418">
        <w:rPr>
          <w:rFonts w:ascii="Times New Roman" w:hAnsi="Times New Roman" w:cs="Times New Roman"/>
          <w:i/>
        </w:rPr>
        <w:t xml:space="preserve">LNC Investments Inc. </w:t>
      </w:r>
      <w:r w:rsidR="00B45C7B" w:rsidRPr="00E72418">
        <w:rPr>
          <w:rFonts w:ascii="Times New Roman" w:hAnsi="Times New Roman" w:cs="Times New Roman"/>
        </w:rPr>
        <w:t xml:space="preserve">refusa </w:t>
      </w:r>
      <w:r w:rsidR="005D49E4" w:rsidRPr="00E72418">
        <w:rPr>
          <w:rFonts w:ascii="Times New Roman" w:hAnsi="Times New Roman" w:cs="Times New Roman"/>
        </w:rPr>
        <w:t>la proposition du Nicaragua</w:t>
      </w:r>
      <w:r w:rsidR="00B147F2" w:rsidRPr="00E72418">
        <w:rPr>
          <w:rFonts w:ascii="Times New Roman" w:hAnsi="Times New Roman" w:cs="Times New Roman"/>
        </w:rPr>
        <w:t>,</w:t>
      </w:r>
      <w:r w:rsidR="00B45C7B" w:rsidRPr="00E72418">
        <w:rPr>
          <w:rFonts w:ascii="Times New Roman" w:hAnsi="Times New Roman" w:cs="Times New Roman"/>
        </w:rPr>
        <w:t xml:space="preserve"> </w:t>
      </w:r>
      <w:r w:rsidR="00B147F2" w:rsidRPr="00E72418">
        <w:rPr>
          <w:rFonts w:ascii="Times New Roman" w:hAnsi="Times New Roman" w:cs="Times New Roman"/>
        </w:rPr>
        <w:t xml:space="preserve">laquelle prévoyait une reprise à </w:t>
      </w:r>
      <w:r w:rsidR="005D49E4" w:rsidRPr="00E72418">
        <w:rPr>
          <w:rFonts w:ascii="Times New Roman" w:hAnsi="Times New Roman" w:cs="Times New Roman"/>
        </w:rPr>
        <w:t>huit</w:t>
      </w:r>
      <w:r w:rsidR="006637ED" w:rsidRPr="00E72418">
        <w:rPr>
          <w:rFonts w:ascii="Times New Roman" w:hAnsi="Times New Roman" w:cs="Times New Roman"/>
        </w:rPr>
        <w:t xml:space="preserve"> pour</w:t>
      </w:r>
      <w:r w:rsidR="007C22BA" w:rsidRPr="00E72418">
        <w:rPr>
          <w:rFonts w:ascii="Times New Roman" w:hAnsi="Times New Roman" w:cs="Times New Roman"/>
        </w:rPr>
        <w:t xml:space="preserve"> cent</w:t>
      </w:r>
      <w:r w:rsidR="005D49E4" w:rsidRPr="00E72418">
        <w:rPr>
          <w:rFonts w:ascii="Times New Roman" w:hAnsi="Times New Roman" w:cs="Times New Roman"/>
        </w:rPr>
        <w:t xml:space="preserve"> de la valeur des </w:t>
      </w:r>
      <w:r w:rsidR="00B147F2" w:rsidRPr="00E72418">
        <w:rPr>
          <w:rFonts w:ascii="Times New Roman" w:hAnsi="Times New Roman" w:cs="Times New Roman"/>
        </w:rPr>
        <w:t>titres</w:t>
      </w:r>
      <w:r w:rsidR="00B45C7B" w:rsidRPr="00E72418">
        <w:rPr>
          <w:rStyle w:val="Appelnotedebasdep"/>
          <w:rFonts w:ascii="Times New Roman" w:hAnsi="Times New Roman" w:cs="Times New Roman"/>
        </w:rPr>
        <w:footnoteReference w:id="651"/>
      </w:r>
      <w:r w:rsidR="00B45C7B" w:rsidRPr="00E72418">
        <w:rPr>
          <w:rFonts w:ascii="Times New Roman" w:hAnsi="Times New Roman" w:cs="Times New Roman"/>
        </w:rPr>
        <w:t>.</w:t>
      </w:r>
    </w:p>
    <w:p w14:paraId="2F6B75B5" w14:textId="7289BCAE" w:rsidR="00B45C7B" w:rsidRPr="00E72418" w:rsidRDefault="00B147F2" w:rsidP="00CC4BA8">
      <w:pPr>
        <w:spacing w:line="276" w:lineRule="auto"/>
        <w:rPr>
          <w:rFonts w:ascii="Times New Roman" w:hAnsi="Times New Roman" w:cs="Times New Roman"/>
        </w:rPr>
      </w:pPr>
      <w:r w:rsidRPr="00E72418">
        <w:rPr>
          <w:rFonts w:ascii="Times New Roman" w:hAnsi="Times New Roman" w:cs="Times New Roman"/>
        </w:rPr>
        <w:t xml:space="preserve">Après que le pays ait refusé de régler le montant réclamé par </w:t>
      </w:r>
      <w:r w:rsidR="00B45C7B" w:rsidRPr="00E72418">
        <w:rPr>
          <w:rFonts w:ascii="Times New Roman" w:hAnsi="Times New Roman" w:cs="Times New Roman"/>
        </w:rPr>
        <w:t xml:space="preserve">la société </w:t>
      </w:r>
      <w:r w:rsidR="00B45C7B" w:rsidRPr="00E72418">
        <w:rPr>
          <w:rFonts w:ascii="Times New Roman" w:hAnsi="Times New Roman" w:cs="Times New Roman"/>
          <w:i/>
        </w:rPr>
        <w:t>LNC Investment</w:t>
      </w:r>
      <w:r w:rsidR="005D49E4" w:rsidRPr="00E72418">
        <w:rPr>
          <w:rFonts w:ascii="Times New Roman" w:hAnsi="Times New Roman" w:cs="Times New Roman"/>
          <w:i/>
        </w:rPr>
        <w:t xml:space="preserve"> Inc.</w:t>
      </w:r>
      <w:r w:rsidRPr="00E72418">
        <w:rPr>
          <w:rFonts w:ascii="Times New Roman" w:hAnsi="Times New Roman" w:cs="Times New Roman"/>
        </w:rPr>
        <w:t>, celle-ci entama devant les juridictions étatsuniennes la</w:t>
      </w:r>
      <w:r w:rsidR="00B45C7B" w:rsidRPr="00E72418">
        <w:rPr>
          <w:rFonts w:ascii="Times New Roman" w:hAnsi="Times New Roman" w:cs="Times New Roman"/>
        </w:rPr>
        <w:t xml:space="preserve"> poursuit</w:t>
      </w:r>
      <w:r w:rsidRPr="00E72418">
        <w:rPr>
          <w:rFonts w:ascii="Times New Roman" w:hAnsi="Times New Roman" w:cs="Times New Roman"/>
        </w:rPr>
        <w:t>e de</w:t>
      </w:r>
      <w:r w:rsidR="00B45C7B" w:rsidRPr="00E72418">
        <w:rPr>
          <w:rFonts w:ascii="Times New Roman" w:hAnsi="Times New Roman" w:cs="Times New Roman"/>
        </w:rPr>
        <w:t xml:space="preserve"> </w:t>
      </w:r>
      <w:r w:rsidRPr="00E72418">
        <w:rPr>
          <w:rFonts w:ascii="Times New Roman" w:hAnsi="Times New Roman" w:cs="Times New Roman"/>
        </w:rPr>
        <w:t xml:space="preserve">sa </w:t>
      </w:r>
      <w:r w:rsidR="00B45C7B" w:rsidRPr="00E72418">
        <w:rPr>
          <w:rFonts w:ascii="Times New Roman" w:hAnsi="Times New Roman" w:cs="Times New Roman"/>
        </w:rPr>
        <w:t xml:space="preserve">dette </w:t>
      </w:r>
      <w:r w:rsidRPr="00E72418">
        <w:rPr>
          <w:rFonts w:ascii="Times New Roman" w:hAnsi="Times New Roman" w:cs="Times New Roman"/>
        </w:rPr>
        <w:t xml:space="preserve">à hauteur de sa valeur faciale plus intérêts, frais de conseils et autres coûts. En </w:t>
      </w:r>
      <w:r w:rsidR="00E029BE" w:rsidRPr="00E72418">
        <w:rPr>
          <w:rFonts w:ascii="Times New Roman" w:hAnsi="Times New Roman" w:cs="Times New Roman"/>
        </w:rPr>
        <w:t xml:space="preserve">février </w:t>
      </w:r>
      <w:r w:rsidRPr="00E72418">
        <w:rPr>
          <w:rFonts w:ascii="Times New Roman" w:hAnsi="Times New Roman" w:cs="Times New Roman"/>
        </w:rPr>
        <w:t>1999, le créancier secondaire</w:t>
      </w:r>
      <w:r w:rsidR="00B45C7B" w:rsidRPr="00E72418">
        <w:rPr>
          <w:rFonts w:ascii="Times New Roman" w:hAnsi="Times New Roman" w:cs="Times New Roman"/>
        </w:rPr>
        <w:t xml:space="preserve"> obtint </w:t>
      </w:r>
      <w:r w:rsidR="005D49E4" w:rsidRPr="00E72418">
        <w:rPr>
          <w:rFonts w:ascii="Times New Roman" w:hAnsi="Times New Roman" w:cs="Times New Roman"/>
        </w:rPr>
        <w:t xml:space="preserve">de la </w:t>
      </w:r>
      <w:r w:rsidR="005D49E4" w:rsidRPr="00C6627B">
        <w:rPr>
          <w:szCs w:val="18"/>
          <w:lang w:val="en-US"/>
        </w:rPr>
        <w:t>United States District Court for the Southern District of New York</w:t>
      </w:r>
      <w:r w:rsidR="005D49E4" w:rsidRPr="00E72418">
        <w:rPr>
          <w:rFonts w:ascii="Times New Roman" w:hAnsi="Times New Roman" w:cs="Times New Roman"/>
        </w:rPr>
        <w:t xml:space="preserve"> </w:t>
      </w:r>
      <w:r w:rsidR="00B45C7B" w:rsidRPr="00E72418">
        <w:rPr>
          <w:rFonts w:ascii="Times New Roman" w:hAnsi="Times New Roman" w:cs="Times New Roman"/>
        </w:rPr>
        <w:t>la condamnation de l’</w:t>
      </w:r>
      <w:r w:rsidR="00B45C7B" w:rsidRPr="00E72418">
        <w:t>Ét</w:t>
      </w:r>
      <w:r w:rsidR="00B45C7B" w:rsidRPr="00E72418">
        <w:rPr>
          <w:rFonts w:ascii="Times New Roman" w:hAnsi="Times New Roman" w:cs="Times New Roman"/>
        </w:rPr>
        <w:t>at déb</w:t>
      </w:r>
      <w:r w:rsidR="005D49E4" w:rsidRPr="00E72418">
        <w:rPr>
          <w:rFonts w:ascii="Times New Roman" w:hAnsi="Times New Roman" w:cs="Times New Roman"/>
        </w:rPr>
        <w:t>iteur</w:t>
      </w:r>
      <w:r w:rsidR="00E029BE" w:rsidRPr="00E72418">
        <w:rPr>
          <w:rStyle w:val="Appelnotedebasdep"/>
          <w:rFonts w:ascii="Times New Roman" w:hAnsi="Times New Roman" w:cs="Times New Roman"/>
        </w:rPr>
        <w:footnoteReference w:id="652"/>
      </w:r>
      <w:r w:rsidR="00E029BE" w:rsidRPr="00E72418">
        <w:rPr>
          <w:rFonts w:ascii="Times New Roman" w:hAnsi="Times New Roman" w:cs="Times New Roman"/>
        </w:rPr>
        <w:t>. Un</w:t>
      </w:r>
      <w:r w:rsidRPr="00E72418">
        <w:rPr>
          <w:rFonts w:ascii="Times New Roman" w:hAnsi="Times New Roman" w:cs="Times New Roman"/>
        </w:rPr>
        <w:t xml:space="preserve"> montant de près de nonante millions de dollars à augmenter des frais de conseils et d’autres coûts</w:t>
      </w:r>
      <w:r w:rsidR="00E029BE" w:rsidRPr="00E72418">
        <w:rPr>
          <w:rFonts w:ascii="Times New Roman" w:hAnsi="Times New Roman" w:cs="Times New Roman"/>
        </w:rPr>
        <w:t xml:space="preserve"> fut finalement accordé au créancier secondaire</w:t>
      </w:r>
      <w:r w:rsidR="00E029BE" w:rsidRPr="00E72418">
        <w:rPr>
          <w:rStyle w:val="Appelnotedebasdep"/>
          <w:rFonts w:ascii="Times New Roman" w:hAnsi="Times New Roman" w:cs="Times New Roman"/>
        </w:rPr>
        <w:footnoteReference w:id="653"/>
      </w:r>
      <w:r w:rsidR="00B45C7B" w:rsidRPr="00E72418">
        <w:rPr>
          <w:rFonts w:ascii="Times New Roman" w:hAnsi="Times New Roman" w:cs="Times New Roman"/>
        </w:rPr>
        <w:t>.</w:t>
      </w:r>
    </w:p>
    <w:p w14:paraId="488F6038" w14:textId="77777777" w:rsidR="00B45C7B" w:rsidRPr="00E72418" w:rsidRDefault="00B45C7B" w:rsidP="0054314B"/>
    <w:p w14:paraId="3F6B186A" w14:textId="561EF01D" w:rsidR="00B45C7B" w:rsidRPr="00E72418" w:rsidRDefault="007E31CD" w:rsidP="00CC4BA8">
      <w:pPr>
        <w:spacing w:line="276" w:lineRule="auto"/>
        <w:rPr>
          <w:rFonts w:ascii="Times New Roman" w:hAnsi="Times New Roman" w:cs="Times New Roman"/>
          <w:szCs w:val="24"/>
        </w:rPr>
      </w:pPr>
      <w:r w:rsidRPr="00E72418">
        <w:rPr>
          <w:rFonts w:ascii="Times New Roman" w:hAnsi="Times New Roman" w:cs="Times New Roman"/>
          <w:b/>
        </w:rPr>
        <w:t>11</w:t>
      </w:r>
      <w:r w:rsidR="007F038F" w:rsidRPr="00E72418">
        <w:rPr>
          <w:rFonts w:ascii="Times New Roman" w:hAnsi="Times New Roman" w:cs="Times New Roman"/>
          <w:b/>
        </w:rPr>
        <w:t>8</w:t>
      </w:r>
      <w:r w:rsidRPr="00E72418">
        <w:rPr>
          <w:rFonts w:ascii="Times New Roman" w:hAnsi="Times New Roman" w:cs="Times New Roman"/>
          <w:b/>
        </w:rPr>
        <w:t xml:space="preserve">. </w:t>
      </w:r>
      <w:r w:rsidR="003B3B8A" w:rsidRPr="00E72418">
        <w:rPr>
          <w:rFonts w:ascii="Times New Roman" w:hAnsi="Times New Roman" w:cs="Times New Roman"/>
          <w:b/>
        </w:rPr>
        <w:t>Une exécution peu fructueuse</w:t>
      </w:r>
      <w:r w:rsidR="00B45C7B" w:rsidRPr="00E72418">
        <w:rPr>
          <w:rFonts w:ascii="Times New Roman" w:hAnsi="Times New Roman" w:cs="Times New Roman"/>
          <w:b/>
        </w:rPr>
        <w:t xml:space="preserve"> – </w:t>
      </w:r>
      <w:r w:rsidR="00F933C4" w:rsidRPr="00E72418">
        <w:rPr>
          <w:rFonts w:ascii="Times New Roman" w:hAnsi="Times New Roman" w:cs="Times New Roman"/>
        </w:rPr>
        <w:t xml:space="preserve">Fort de la condamnation obtenue, le fonds </w:t>
      </w:r>
      <w:r w:rsidR="00F933C4" w:rsidRPr="00E72418">
        <w:rPr>
          <w:rFonts w:ascii="Times New Roman" w:hAnsi="Times New Roman" w:cs="Times New Roman"/>
          <w:i/>
        </w:rPr>
        <w:t>LNC Investment Inc.</w:t>
      </w:r>
      <w:r w:rsidR="00F933C4" w:rsidRPr="00E72418">
        <w:rPr>
          <w:rFonts w:ascii="Times New Roman" w:hAnsi="Times New Roman" w:cs="Times New Roman"/>
        </w:rPr>
        <w:t xml:space="preserve"> chercha à faire saisir des taxes payées au Nicaragua sans que cette tentative fut couronnée de succès</w:t>
      </w:r>
      <w:r w:rsidR="00F933C4" w:rsidRPr="00E72418">
        <w:rPr>
          <w:rStyle w:val="Appelnotedebasdep"/>
          <w:rFonts w:ascii="Times New Roman" w:hAnsi="Times New Roman" w:cs="Times New Roman"/>
        </w:rPr>
        <w:footnoteReference w:id="654"/>
      </w:r>
      <w:r w:rsidR="00F933C4" w:rsidRPr="00E72418">
        <w:rPr>
          <w:rFonts w:ascii="Times New Roman" w:hAnsi="Times New Roman" w:cs="Times New Roman"/>
        </w:rPr>
        <w:t>. L</w:t>
      </w:r>
      <w:r w:rsidR="00B45C7B" w:rsidRPr="00E72418">
        <w:rPr>
          <w:rFonts w:ascii="Times New Roman" w:hAnsi="Times New Roman" w:cs="Times New Roman"/>
        </w:rPr>
        <w:t>e créancier</w:t>
      </w:r>
      <w:r w:rsidR="00980ACA" w:rsidRPr="00E72418">
        <w:rPr>
          <w:rFonts w:ascii="Times New Roman" w:hAnsi="Times New Roman" w:cs="Times New Roman"/>
        </w:rPr>
        <w:t xml:space="preserve"> secondaire</w:t>
      </w:r>
      <w:r w:rsidR="00B45C7B" w:rsidRPr="00E72418">
        <w:rPr>
          <w:rFonts w:ascii="Times New Roman" w:hAnsi="Times New Roman" w:cs="Times New Roman"/>
        </w:rPr>
        <w:t xml:space="preserve"> </w:t>
      </w:r>
      <w:r w:rsidR="00B45C7B" w:rsidRPr="00E72418">
        <w:rPr>
          <w:rFonts w:ascii="Times New Roman" w:hAnsi="Times New Roman" w:cs="Times New Roman"/>
          <w:szCs w:val="24"/>
        </w:rPr>
        <w:t xml:space="preserve">s’engagea dans la voie de la saisie d’avoirs de </w:t>
      </w:r>
      <w:r w:rsidR="00E029BE" w:rsidRPr="00E72418">
        <w:rPr>
          <w:rFonts w:ascii="Times New Roman" w:hAnsi="Times New Roman" w:cs="Times New Roman"/>
          <w:szCs w:val="24"/>
        </w:rPr>
        <w:t xml:space="preserve">la </w:t>
      </w:r>
      <w:r w:rsidR="00B45C7B" w:rsidRPr="00E72418">
        <w:rPr>
          <w:rFonts w:ascii="Times New Roman" w:hAnsi="Times New Roman" w:cs="Times New Roman"/>
          <w:szCs w:val="24"/>
        </w:rPr>
        <w:t>banque centrale</w:t>
      </w:r>
      <w:r w:rsidR="00E029BE" w:rsidRPr="00E72418">
        <w:rPr>
          <w:rFonts w:ascii="Times New Roman" w:hAnsi="Times New Roman" w:cs="Times New Roman"/>
          <w:szCs w:val="24"/>
        </w:rPr>
        <w:t xml:space="preserve"> du Nicaragua</w:t>
      </w:r>
      <w:r w:rsidR="00221BBF" w:rsidRPr="00E72418">
        <w:rPr>
          <w:rFonts w:ascii="Times New Roman" w:hAnsi="Times New Roman" w:cs="Times New Roman"/>
          <w:szCs w:val="24"/>
        </w:rPr>
        <w:t xml:space="preserve"> </w:t>
      </w:r>
      <w:r w:rsidR="00E029BE" w:rsidRPr="00E72418">
        <w:rPr>
          <w:rFonts w:ascii="Times New Roman" w:hAnsi="Times New Roman" w:cs="Times New Roman"/>
          <w:szCs w:val="24"/>
        </w:rPr>
        <w:t xml:space="preserve">détenus à la </w:t>
      </w:r>
      <w:r w:rsidR="00E029BE" w:rsidRPr="00E72418">
        <w:rPr>
          <w:i/>
          <w:szCs w:val="24"/>
        </w:rPr>
        <w:t>Federal Reserve Bank of New York</w:t>
      </w:r>
      <w:r w:rsidR="00E029BE" w:rsidRPr="00E72418">
        <w:rPr>
          <w:rFonts w:ascii="Times New Roman" w:hAnsi="Times New Roman" w:cs="Times New Roman"/>
          <w:szCs w:val="24"/>
        </w:rPr>
        <w:t xml:space="preserve"> </w:t>
      </w:r>
      <w:r w:rsidR="00221BBF" w:rsidRPr="00E72418">
        <w:rPr>
          <w:rFonts w:ascii="Times New Roman" w:hAnsi="Times New Roman" w:cs="Times New Roman"/>
          <w:szCs w:val="24"/>
        </w:rPr>
        <w:t>sans plus de succès</w:t>
      </w:r>
      <w:r w:rsidR="00B45C7B" w:rsidRPr="00E72418">
        <w:rPr>
          <w:rStyle w:val="Appelnotedebasdep"/>
          <w:rFonts w:ascii="Times New Roman" w:hAnsi="Times New Roman" w:cs="Times New Roman"/>
          <w:szCs w:val="24"/>
        </w:rPr>
        <w:footnoteReference w:id="655"/>
      </w:r>
      <w:r w:rsidR="00B45C7B" w:rsidRPr="00E72418">
        <w:rPr>
          <w:rFonts w:ascii="Times New Roman" w:hAnsi="Times New Roman" w:cs="Times New Roman"/>
          <w:szCs w:val="24"/>
        </w:rPr>
        <w:t xml:space="preserve">. Aussi, </w:t>
      </w:r>
      <w:r w:rsidR="00B45C7B" w:rsidRPr="00E72418">
        <w:rPr>
          <w:rFonts w:ascii="Times New Roman" w:hAnsi="Times New Roman" w:cs="Times New Roman"/>
          <w:i/>
        </w:rPr>
        <w:t>LNC Investment Inc.</w:t>
      </w:r>
      <w:r w:rsidR="00B45C7B" w:rsidRPr="00E72418">
        <w:rPr>
          <w:rFonts w:ascii="Times New Roman" w:hAnsi="Times New Roman" w:cs="Times New Roman"/>
          <w:szCs w:val="24"/>
        </w:rPr>
        <w:t xml:space="preserve">, se basant sur la clause </w:t>
      </w:r>
      <w:r w:rsidR="00B45C7B" w:rsidRPr="00E72418">
        <w:rPr>
          <w:rFonts w:ascii="Times New Roman" w:hAnsi="Times New Roman" w:cs="Times New Roman"/>
          <w:i/>
          <w:szCs w:val="24"/>
        </w:rPr>
        <w:t>pari passu</w:t>
      </w:r>
      <w:r w:rsidR="00B45C7B" w:rsidRPr="00E72418">
        <w:rPr>
          <w:rFonts w:ascii="Times New Roman" w:hAnsi="Times New Roman" w:cs="Times New Roman"/>
          <w:szCs w:val="24"/>
        </w:rPr>
        <w:t>, chercha à faire saisir des montants destinés aux créanciers du pays a</w:t>
      </w:r>
      <w:r w:rsidR="008D3CB3" w:rsidRPr="00E72418">
        <w:rPr>
          <w:rFonts w:ascii="Times New Roman" w:hAnsi="Times New Roman" w:cs="Times New Roman"/>
          <w:szCs w:val="24"/>
        </w:rPr>
        <w:t>yant accepté la restructuration</w:t>
      </w:r>
      <w:r w:rsidR="003B3B8A" w:rsidRPr="00E72418">
        <w:rPr>
          <w:rFonts w:ascii="Times New Roman" w:hAnsi="Times New Roman" w:cs="Times New Roman"/>
          <w:szCs w:val="24"/>
        </w:rPr>
        <w:t>. Cette tentative ne fut toutefois pas couronnée</w:t>
      </w:r>
      <w:r w:rsidR="008D3CB3" w:rsidRPr="00E72418">
        <w:rPr>
          <w:rFonts w:ascii="Times New Roman" w:hAnsi="Times New Roman" w:cs="Times New Roman"/>
          <w:szCs w:val="24"/>
        </w:rPr>
        <w:t xml:space="preserve"> </w:t>
      </w:r>
      <w:r w:rsidR="003B3B8A" w:rsidRPr="00E72418">
        <w:rPr>
          <w:rFonts w:ascii="Times New Roman" w:hAnsi="Times New Roman" w:cs="Times New Roman"/>
          <w:szCs w:val="24"/>
        </w:rPr>
        <w:t>de</w:t>
      </w:r>
      <w:r w:rsidR="008D3CB3" w:rsidRPr="00E72418">
        <w:rPr>
          <w:rFonts w:ascii="Times New Roman" w:hAnsi="Times New Roman" w:cs="Times New Roman"/>
          <w:szCs w:val="24"/>
        </w:rPr>
        <w:t xml:space="preserve"> succès</w:t>
      </w:r>
      <w:r w:rsidR="008D3CB3" w:rsidRPr="00E72418">
        <w:rPr>
          <w:rStyle w:val="Appelnotedebasdep"/>
          <w:rFonts w:ascii="Times New Roman" w:hAnsi="Times New Roman" w:cs="Times New Roman"/>
          <w:szCs w:val="24"/>
        </w:rPr>
        <w:footnoteReference w:id="656"/>
      </w:r>
      <w:r w:rsidR="008D3CB3" w:rsidRPr="00E72418">
        <w:rPr>
          <w:rFonts w:ascii="Times New Roman" w:hAnsi="Times New Roman" w:cs="Times New Roman"/>
          <w:szCs w:val="24"/>
        </w:rPr>
        <w:t>.</w:t>
      </w:r>
      <w:r w:rsidR="00B45C7B" w:rsidRPr="00E72418">
        <w:rPr>
          <w:rFonts w:ascii="Times New Roman" w:hAnsi="Times New Roman" w:cs="Times New Roman"/>
          <w:szCs w:val="24"/>
        </w:rPr>
        <w:t xml:space="preserve"> </w:t>
      </w:r>
    </w:p>
    <w:p w14:paraId="0A946CB5" w14:textId="0AA2E5E0" w:rsidR="00B45C7B" w:rsidRPr="00E72418" w:rsidRDefault="00D4341F" w:rsidP="00CC4BA8">
      <w:pPr>
        <w:spacing w:line="276" w:lineRule="auto"/>
        <w:rPr>
          <w:rFonts w:ascii="Times New Roman" w:hAnsi="Times New Roman" w:cs="Times New Roman"/>
        </w:rPr>
      </w:pPr>
      <w:r w:rsidRPr="00E72418">
        <w:rPr>
          <w:rFonts w:ascii="Times New Roman" w:hAnsi="Times New Roman" w:cs="Times New Roman"/>
        </w:rPr>
        <w:lastRenderedPageBreak/>
        <w:t>Après de nombreuses tentatives</w:t>
      </w:r>
      <w:r w:rsidR="003B3B8A" w:rsidRPr="00E72418">
        <w:rPr>
          <w:rFonts w:ascii="Times New Roman" w:hAnsi="Times New Roman" w:cs="Times New Roman"/>
        </w:rPr>
        <w:t xml:space="preserve">, </w:t>
      </w:r>
      <w:r w:rsidR="00B45C7B" w:rsidRPr="00E72418">
        <w:rPr>
          <w:rFonts w:ascii="Times New Roman" w:hAnsi="Times New Roman" w:cs="Times New Roman"/>
          <w:i/>
        </w:rPr>
        <w:t xml:space="preserve">LNC Investments Inc. </w:t>
      </w:r>
      <w:r w:rsidR="00B45C7B" w:rsidRPr="00E72418">
        <w:rPr>
          <w:rFonts w:ascii="Times New Roman" w:hAnsi="Times New Roman" w:cs="Times New Roman"/>
        </w:rPr>
        <w:t xml:space="preserve">reçut de son débiteur </w:t>
      </w:r>
      <w:r w:rsidR="00980ACA" w:rsidRPr="00E72418">
        <w:rPr>
          <w:rFonts w:ascii="Times New Roman" w:hAnsi="Times New Roman" w:cs="Times New Roman"/>
        </w:rPr>
        <w:t>des</w:t>
      </w:r>
      <w:r w:rsidR="00B45C7B" w:rsidRPr="00E72418">
        <w:rPr>
          <w:rFonts w:ascii="Times New Roman" w:hAnsi="Times New Roman" w:cs="Times New Roman"/>
        </w:rPr>
        <w:t xml:space="preserve"> conditions de paiement </w:t>
      </w:r>
      <w:r w:rsidR="00980ACA" w:rsidRPr="00E72418">
        <w:rPr>
          <w:rFonts w:ascii="Times New Roman" w:hAnsi="Times New Roman" w:cs="Times New Roman"/>
        </w:rPr>
        <w:t xml:space="preserve">semblables à </w:t>
      </w:r>
      <w:r w:rsidR="00B45C7B" w:rsidRPr="00E72418">
        <w:rPr>
          <w:rFonts w:ascii="Times New Roman" w:hAnsi="Times New Roman" w:cs="Times New Roman"/>
        </w:rPr>
        <w:t>celles reçues par ses créanciers</w:t>
      </w:r>
      <w:r w:rsidR="003B3B8A" w:rsidRPr="00E72418">
        <w:rPr>
          <w:rFonts w:ascii="Times New Roman" w:hAnsi="Times New Roman" w:cs="Times New Roman"/>
        </w:rPr>
        <w:t xml:space="preserve"> coopérants</w:t>
      </w:r>
      <w:r w:rsidR="00B45C7B" w:rsidRPr="00E72418">
        <w:rPr>
          <w:rFonts w:ascii="Times New Roman" w:hAnsi="Times New Roman" w:cs="Times New Roman"/>
        </w:rPr>
        <w:t xml:space="preserve">. </w:t>
      </w:r>
      <w:r w:rsidR="003B3B8A" w:rsidRPr="00E72418">
        <w:rPr>
          <w:rFonts w:ascii="Times New Roman" w:hAnsi="Times New Roman" w:cs="Times New Roman"/>
        </w:rPr>
        <w:t xml:space="preserve">Le créancier secondaire obtint ainsi sur son rachat d’obligations </w:t>
      </w:r>
      <w:r w:rsidR="006637ED" w:rsidRPr="00E72418">
        <w:rPr>
          <w:rFonts w:ascii="Times New Roman" w:hAnsi="Times New Roman" w:cs="Times New Roman"/>
        </w:rPr>
        <w:t xml:space="preserve">un retour de </w:t>
      </w:r>
      <w:r w:rsidR="00FE751E" w:rsidRPr="00E72418">
        <w:rPr>
          <w:rFonts w:ascii="Times New Roman" w:hAnsi="Times New Roman" w:cs="Times New Roman"/>
        </w:rPr>
        <w:t>sept</w:t>
      </w:r>
      <w:r w:rsidR="006637ED" w:rsidRPr="00E72418">
        <w:rPr>
          <w:rFonts w:ascii="Times New Roman" w:hAnsi="Times New Roman" w:cs="Times New Roman"/>
        </w:rPr>
        <w:t xml:space="preserve"> pour</w:t>
      </w:r>
      <w:r w:rsidR="007C22BA" w:rsidRPr="00E72418">
        <w:rPr>
          <w:rFonts w:ascii="Times New Roman" w:hAnsi="Times New Roman" w:cs="Times New Roman"/>
        </w:rPr>
        <w:t xml:space="preserve"> cent</w:t>
      </w:r>
      <w:r w:rsidR="003B3B8A" w:rsidRPr="00E72418">
        <w:rPr>
          <w:rFonts w:ascii="Times New Roman" w:hAnsi="Times New Roman" w:cs="Times New Roman"/>
        </w:rPr>
        <w:t xml:space="preserve">. Ce retour étant toutefois intervenu </w:t>
      </w:r>
      <w:r w:rsidR="00B45C7B" w:rsidRPr="00E72418">
        <w:rPr>
          <w:rFonts w:ascii="Times New Roman" w:hAnsi="Times New Roman" w:cs="Times New Roman"/>
        </w:rPr>
        <w:t xml:space="preserve">après </w:t>
      </w:r>
      <w:r w:rsidR="00FE751E" w:rsidRPr="00E72418">
        <w:rPr>
          <w:rFonts w:ascii="Times New Roman" w:hAnsi="Times New Roman" w:cs="Times New Roman"/>
        </w:rPr>
        <w:t>vingt</w:t>
      </w:r>
      <w:r w:rsidR="003B3B8A" w:rsidRPr="00E72418">
        <w:rPr>
          <w:rFonts w:ascii="Times New Roman" w:hAnsi="Times New Roman" w:cs="Times New Roman"/>
        </w:rPr>
        <w:t xml:space="preserve"> ans de procédure, </w:t>
      </w:r>
      <w:r w:rsidR="00B45C7B" w:rsidRPr="00E72418">
        <w:rPr>
          <w:rFonts w:ascii="Times New Roman" w:hAnsi="Times New Roman" w:cs="Times New Roman"/>
        </w:rPr>
        <w:t xml:space="preserve">certains </w:t>
      </w:r>
      <w:r w:rsidR="003B3B8A" w:rsidRPr="00E72418">
        <w:rPr>
          <w:rFonts w:ascii="Times New Roman" w:hAnsi="Times New Roman" w:cs="Times New Roman"/>
        </w:rPr>
        <w:t>retinrent de la stratégie du fonds spéculatif qu’elle fut un échec</w:t>
      </w:r>
      <w:r w:rsidR="00B45C7B" w:rsidRPr="00E72418">
        <w:rPr>
          <w:rStyle w:val="Appelnotedebasdep"/>
          <w:rFonts w:ascii="Times New Roman" w:hAnsi="Times New Roman" w:cs="Times New Roman"/>
          <w:szCs w:val="24"/>
        </w:rPr>
        <w:footnoteReference w:id="657"/>
      </w:r>
      <w:r w:rsidR="00B45C7B" w:rsidRPr="00E72418">
        <w:rPr>
          <w:rFonts w:ascii="Times New Roman" w:hAnsi="Times New Roman" w:cs="Times New Roman"/>
        </w:rPr>
        <w:t>.</w:t>
      </w:r>
    </w:p>
    <w:p w14:paraId="7B1B1931" w14:textId="77777777" w:rsidR="00CD4206" w:rsidRPr="00E72418" w:rsidRDefault="00CD4206" w:rsidP="0054314B"/>
    <w:p w14:paraId="59A26AE7" w14:textId="088AEE3A" w:rsidR="00CD4206" w:rsidRPr="00E72418" w:rsidRDefault="0020777B" w:rsidP="00CC4BA8">
      <w:pPr>
        <w:pStyle w:val="CC"/>
        <w:spacing w:line="276" w:lineRule="auto"/>
      </w:pPr>
      <w:bookmarkStart w:id="144" w:name="_Toc59280913"/>
      <w:bookmarkStart w:id="145" w:name="_Toc75106082"/>
      <w:bookmarkStart w:id="146" w:name="_Toc84540901"/>
      <w:r w:rsidRPr="00E72418">
        <w:rPr>
          <w:rFonts w:ascii="Times New Roman" w:hAnsi="Times New Roman" w:cs="Times New Roman"/>
        </w:rPr>
        <w:t>Chapitre 8</w:t>
      </w:r>
      <w:r w:rsidR="00CD4206" w:rsidRPr="00E72418">
        <w:rPr>
          <w:rFonts w:ascii="Times New Roman" w:hAnsi="Times New Roman" w:cs="Times New Roman"/>
        </w:rPr>
        <w:t> :</w:t>
      </w:r>
      <w:r w:rsidRPr="00E72418">
        <w:rPr>
          <w:rFonts w:ascii="Times New Roman" w:hAnsi="Times New Roman" w:cs="Times New Roman"/>
        </w:rPr>
        <w:t xml:space="preserve"> </w:t>
      </w:r>
      <w:r w:rsidR="00E9652F" w:rsidRPr="00E72418">
        <w:rPr>
          <w:rFonts w:ascii="Times New Roman" w:hAnsi="Times New Roman" w:cs="Times New Roman"/>
        </w:rPr>
        <w:t>D’autres débiteurs souverains attaqués</w:t>
      </w:r>
      <w:bookmarkEnd w:id="144"/>
      <w:bookmarkEnd w:id="145"/>
      <w:bookmarkEnd w:id="146"/>
    </w:p>
    <w:p w14:paraId="46EC14BB" w14:textId="77777777" w:rsidR="00CD4206" w:rsidRPr="00E72418" w:rsidRDefault="00CD4206" w:rsidP="0054314B">
      <w:pPr>
        <w:rPr>
          <w:highlight w:val="blue"/>
        </w:rPr>
      </w:pPr>
    </w:p>
    <w:p w14:paraId="7142C8D5" w14:textId="0815C4C5" w:rsidR="003A381C" w:rsidRPr="00E72418" w:rsidRDefault="007F038F" w:rsidP="00CC4BA8">
      <w:pPr>
        <w:spacing w:line="276" w:lineRule="auto"/>
        <w:rPr>
          <w:lang w:eastAsia="fr-BE"/>
        </w:rPr>
      </w:pPr>
      <w:bookmarkStart w:id="147" w:name="_Toc9959307"/>
      <w:bookmarkStart w:id="148" w:name="_Toc15985932"/>
      <w:bookmarkStart w:id="149" w:name="_Toc18328214"/>
      <w:r w:rsidRPr="00E72418">
        <w:rPr>
          <w:b/>
        </w:rPr>
        <w:t>119</w:t>
      </w:r>
      <w:r w:rsidR="007E31CD" w:rsidRPr="00E72418">
        <w:rPr>
          <w:b/>
        </w:rPr>
        <w:t xml:space="preserve">. </w:t>
      </w:r>
      <w:r w:rsidR="003A381C" w:rsidRPr="00E72418">
        <w:rPr>
          <w:b/>
        </w:rPr>
        <w:t xml:space="preserve">La </w:t>
      </w:r>
      <w:bookmarkEnd w:id="147"/>
      <w:bookmarkEnd w:id="148"/>
      <w:bookmarkEnd w:id="149"/>
      <w:r w:rsidR="003A381C" w:rsidRPr="00E72418">
        <w:rPr>
          <w:b/>
        </w:rPr>
        <w:t xml:space="preserve">République hellénique </w:t>
      </w:r>
      <w:r w:rsidR="003A381C" w:rsidRPr="00E72418">
        <w:rPr>
          <w:rFonts w:ascii="Times New Roman" w:hAnsi="Times New Roman" w:cs="Times New Roman"/>
          <w:b/>
        </w:rPr>
        <w:t xml:space="preserve">– </w:t>
      </w:r>
      <w:r w:rsidR="003A381C" w:rsidRPr="00E72418">
        <w:rPr>
          <w:rFonts w:ascii="Times New Roman" w:hAnsi="Times New Roman" w:cs="Times New Roman"/>
        </w:rPr>
        <w:t>A</w:t>
      </w:r>
      <w:r w:rsidR="003A381C" w:rsidRPr="00E72418">
        <w:t xml:space="preserve">u début de la décennie passée, la Grèce </w:t>
      </w:r>
      <w:r w:rsidR="00A94535" w:rsidRPr="00E72418">
        <w:t>connut d’importantes difficultés en lien avec</w:t>
      </w:r>
      <w:r w:rsidR="003A381C" w:rsidRPr="00E72418">
        <w:t xml:space="preserve"> sa dette souveraine. La restructuration </w:t>
      </w:r>
      <w:r w:rsidR="00A94535" w:rsidRPr="00E72418">
        <w:t>entamée de celle-ci</w:t>
      </w:r>
      <w:r w:rsidR="003A381C" w:rsidRPr="00E72418">
        <w:t xml:space="preserve"> impliqua une diminution de la valeur faciale des obligations grecques et un allongement de leur maturité</w:t>
      </w:r>
      <w:r w:rsidR="003A381C" w:rsidRPr="00E72418">
        <w:rPr>
          <w:rStyle w:val="Appelnotedebasdep"/>
        </w:rPr>
        <w:footnoteReference w:id="658"/>
      </w:r>
      <w:r w:rsidR="003A381C" w:rsidRPr="00E72418">
        <w:t>.</w:t>
      </w:r>
      <w:r w:rsidR="003A381C" w:rsidRPr="00E72418">
        <w:rPr>
          <w:b/>
        </w:rPr>
        <w:t xml:space="preserve"> </w:t>
      </w:r>
      <w:r w:rsidR="003A381C" w:rsidRPr="00E72418">
        <w:t>La quasi-totalité de ces obligations étant soumise</w:t>
      </w:r>
      <w:r w:rsidR="0097095F" w:rsidRPr="00E72418">
        <w:t>s</w:t>
      </w:r>
      <w:r w:rsidR="003A381C" w:rsidRPr="00E72418">
        <w:t xml:space="preserve"> au droit grec, </w:t>
      </w:r>
      <w:r w:rsidR="0097095F" w:rsidRPr="00E72418">
        <w:t xml:space="preserve">leur </w:t>
      </w:r>
      <w:r w:rsidR="003A381C" w:rsidRPr="00E72418">
        <w:t>restructuration fut rendue possible par l’adoption de</w:t>
      </w:r>
      <w:r w:rsidR="003A381C" w:rsidRPr="00E72418">
        <w:rPr>
          <w:lang w:eastAsia="fr-BE"/>
        </w:rPr>
        <w:t xml:space="preserve"> la loi </w:t>
      </w:r>
      <w:r w:rsidR="00130946" w:rsidRPr="00E72418">
        <w:rPr>
          <w:lang w:eastAsia="fr-BE"/>
        </w:rPr>
        <w:t xml:space="preserve">n° 4050/2012 </w:t>
      </w:r>
      <w:r w:rsidR="003A381C" w:rsidRPr="00E72418">
        <w:rPr>
          <w:lang w:eastAsia="fr-BE"/>
        </w:rPr>
        <w:t xml:space="preserve">du 23 février 2012. Par celle-ci, </w:t>
      </w:r>
      <w:r w:rsidR="003A381C" w:rsidRPr="00E72418">
        <w:t>l’</w:t>
      </w:r>
      <w:r w:rsidR="003A381C" w:rsidRPr="00E72418">
        <w:rPr>
          <w:szCs w:val="18"/>
        </w:rPr>
        <w:t>État débiteur</w:t>
      </w:r>
      <w:r w:rsidR="003A381C" w:rsidRPr="00E72418">
        <w:t xml:space="preserve"> </w:t>
      </w:r>
      <w:r w:rsidR="003A381C" w:rsidRPr="00E72418">
        <w:rPr>
          <w:lang w:eastAsia="fr-BE"/>
        </w:rPr>
        <w:t>introduisit rétroactivement, pour les obligations soumises à la loi</w:t>
      </w:r>
      <w:r w:rsidR="00EA5E7F" w:rsidRPr="00E72418">
        <w:rPr>
          <w:lang w:eastAsia="fr-BE"/>
        </w:rPr>
        <w:t xml:space="preserve"> hellé</w:t>
      </w:r>
      <w:r w:rsidR="003A381C" w:rsidRPr="00E72418">
        <w:rPr>
          <w:lang w:eastAsia="fr-BE"/>
        </w:rPr>
        <w:t>nique, une clause d’action collective</w:t>
      </w:r>
      <w:r w:rsidR="003A381C" w:rsidRPr="00E72418">
        <w:rPr>
          <w:rStyle w:val="Appelnotedebasdep"/>
          <w:lang w:eastAsia="fr-BE"/>
        </w:rPr>
        <w:footnoteReference w:id="659"/>
      </w:r>
      <w:r w:rsidR="003A381C" w:rsidRPr="00E72418">
        <w:rPr>
          <w:lang w:eastAsia="fr-BE"/>
        </w:rPr>
        <w:t>. Cette clause rendit possible une restructuration décidée par une majorité qualifiée des créanciers</w:t>
      </w:r>
      <w:r w:rsidR="003A381C" w:rsidRPr="00E72418">
        <w:rPr>
          <w:rStyle w:val="Appelnotedebasdep"/>
          <w:lang w:eastAsia="fr-BE"/>
        </w:rPr>
        <w:footnoteReference w:id="660"/>
      </w:r>
      <w:r w:rsidR="003A381C" w:rsidRPr="00E72418">
        <w:rPr>
          <w:lang w:eastAsia="fr-BE"/>
        </w:rPr>
        <w:t xml:space="preserve">. </w:t>
      </w:r>
      <w:r w:rsidR="007B3796" w:rsidRPr="00E72418">
        <w:rPr>
          <w:lang w:eastAsia="fr-BE"/>
        </w:rPr>
        <w:t xml:space="preserve">Au sein du quorum de votes représentant </w:t>
      </w:r>
      <w:r w:rsidR="007B3796" w:rsidRPr="00E72418">
        <w:rPr>
          <w:lang w:eastAsia="fr-BE"/>
        </w:rPr>
        <w:lastRenderedPageBreak/>
        <w:t>cinquante pour</w:t>
      </w:r>
      <w:r w:rsidR="00BF4ACD" w:rsidRPr="00E72418">
        <w:rPr>
          <w:lang w:eastAsia="fr-BE"/>
        </w:rPr>
        <w:t xml:space="preserve"> </w:t>
      </w:r>
      <w:r w:rsidR="007B3796" w:rsidRPr="00E72418">
        <w:rPr>
          <w:lang w:eastAsia="fr-BE"/>
        </w:rPr>
        <w:t xml:space="preserve">cent de la valeur faciale des obligations concernées, à savoir l’ensemble des titres soumis au droit grec, il fallait un consentement manifesté </w:t>
      </w:r>
      <w:r w:rsidR="00EA5E7F" w:rsidRPr="00E72418">
        <w:rPr>
          <w:lang w:eastAsia="fr-BE"/>
        </w:rPr>
        <w:t xml:space="preserve">des </w:t>
      </w:r>
      <w:r w:rsidR="007B3796" w:rsidRPr="00E72418">
        <w:rPr>
          <w:lang w:eastAsia="fr-BE"/>
        </w:rPr>
        <w:t>deux tiers</w:t>
      </w:r>
      <w:r w:rsidR="007B3796" w:rsidRPr="00E72418">
        <w:rPr>
          <w:rStyle w:val="Appelnotedebasdep"/>
          <w:lang w:eastAsia="fr-BE"/>
        </w:rPr>
        <w:footnoteReference w:id="661"/>
      </w:r>
      <w:r w:rsidR="007B3796" w:rsidRPr="00E72418">
        <w:rPr>
          <w:lang w:eastAsia="fr-BE"/>
        </w:rPr>
        <w:t>.</w:t>
      </w:r>
      <w:r w:rsidR="00E4255F" w:rsidRPr="00E72418">
        <w:rPr>
          <w:lang w:eastAsia="fr-BE"/>
        </w:rPr>
        <w:t xml:space="preserve"> </w:t>
      </w:r>
      <w:r w:rsidR="003A381C" w:rsidRPr="00E72418">
        <w:rPr>
          <w:lang w:eastAsia="fr-BE"/>
        </w:rPr>
        <w:t>Alors que les obligations régies par le droit grec</w:t>
      </w:r>
      <w:r w:rsidR="00D00250" w:rsidRPr="00E72418">
        <w:rPr>
          <w:lang w:eastAsia="fr-BE"/>
        </w:rPr>
        <w:t xml:space="preserve"> </w:t>
      </w:r>
      <w:r w:rsidR="00D00250" w:rsidRPr="00E72418">
        <w:rPr>
          <w:rFonts w:ascii="Times New Roman" w:hAnsi="Times New Roman" w:cs="Times New Roman"/>
        </w:rPr>
        <w:t>– quan</w:t>
      </w:r>
      <w:r w:rsidR="00FA2584" w:rsidRPr="00E72418">
        <w:rPr>
          <w:rFonts w:ascii="Times New Roman" w:hAnsi="Times New Roman" w:cs="Times New Roman"/>
        </w:rPr>
        <w:t>ti</w:t>
      </w:r>
      <w:r w:rsidR="00D00250" w:rsidRPr="00E72418">
        <w:rPr>
          <w:rFonts w:ascii="Times New Roman" w:hAnsi="Times New Roman" w:cs="Times New Roman"/>
        </w:rPr>
        <w:t>tativement les plus nombreuses</w:t>
      </w:r>
      <w:r w:rsidR="00D00250" w:rsidRPr="00E72418">
        <w:rPr>
          <w:rStyle w:val="Appelnotedebasdep"/>
          <w:rFonts w:ascii="Times New Roman" w:hAnsi="Times New Roman" w:cs="Times New Roman"/>
        </w:rPr>
        <w:footnoteReference w:id="662"/>
      </w:r>
      <w:r w:rsidR="00D00250" w:rsidRPr="00E72418">
        <w:rPr>
          <w:rFonts w:ascii="Times New Roman" w:hAnsi="Times New Roman" w:cs="Times New Roman"/>
        </w:rPr>
        <w:t xml:space="preserve"> –</w:t>
      </w:r>
      <w:r w:rsidR="003A381C" w:rsidRPr="00E72418">
        <w:rPr>
          <w:lang w:eastAsia="fr-BE"/>
        </w:rPr>
        <w:t xml:space="preserve"> </w:t>
      </w:r>
      <w:r w:rsidR="00407B73" w:rsidRPr="00E72418">
        <w:rPr>
          <w:lang w:eastAsia="fr-BE"/>
        </w:rPr>
        <w:t xml:space="preserve">essuyèrent une large </w:t>
      </w:r>
      <w:r w:rsidR="003A381C" w:rsidRPr="00E72418">
        <w:rPr>
          <w:lang w:eastAsia="fr-BE"/>
        </w:rPr>
        <w:t>décote, il n’en fut pas de même pour les obligations soumises à un droit étranger dont les créanciers reçurent le</w:t>
      </w:r>
      <w:r w:rsidR="00407B73" w:rsidRPr="00E72418">
        <w:rPr>
          <w:lang w:eastAsia="fr-BE"/>
        </w:rPr>
        <w:t xml:space="preserve"> plein</w:t>
      </w:r>
      <w:r w:rsidR="003A381C" w:rsidRPr="00E72418">
        <w:rPr>
          <w:lang w:eastAsia="fr-BE"/>
        </w:rPr>
        <w:t xml:space="preserve"> paiement, </w:t>
      </w:r>
      <w:r w:rsidR="003A381C" w:rsidRPr="00E72418">
        <w:t>la République hellénique</w:t>
      </w:r>
      <w:r w:rsidR="003A381C" w:rsidRPr="00E72418">
        <w:rPr>
          <w:b/>
        </w:rPr>
        <w:t xml:space="preserve"> </w:t>
      </w:r>
      <w:r w:rsidR="003A381C" w:rsidRPr="00E72418">
        <w:rPr>
          <w:lang w:eastAsia="fr-BE"/>
        </w:rPr>
        <w:t>débitrice craignant sans doute d’avoir à faire face à des poursuites judiciaires</w:t>
      </w:r>
      <w:r w:rsidR="003A381C" w:rsidRPr="00E72418">
        <w:rPr>
          <w:rStyle w:val="Appelnotedebasdep"/>
          <w:lang w:eastAsia="fr-BE"/>
        </w:rPr>
        <w:footnoteReference w:id="663"/>
      </w:r>
      <w:r w:rsidR="003A381C" w:rsidRPr="00E72418">
        <w:rPr>
          <w:lang w:eastAsia="fr-BE"/>
        </w:rPr>
        <w:t>.</w:t>
      </w:r>
    </w:p>
    <w:p w14:paraId="2A1F7563" w14:textId="1B924D2E" w:rsidR="003A381C" w:rsidRPr="00E72418" w:rsidRDefault="003A381C" w:rsidP="00CC4BA8">
      <w:pPr>
        <w:spacing w:line="276" w:lineRule="auto"/>
        <w:rPr>
          <w:b/>
        </w:rPr>
      </w:pPr>
      <w:r w:rsidRPr="00E72418">
        <w:rPr>
          <w:lang w:eastAsia="fr-BE"/>
        </w:rPr>
        <w:t xml:space="preserve">Des fonds spéculatifs </w:t>
      </w:r>
      <w:r w:rsidRPr="00E72418">
        <w:t>cherchèrent à tirer parti des affres grecques en faisant l’acquisition sur le marché secondaire d’obligations dues par le pays</w:t>
      </w:r>
      <w:r w:rsidRPr="00E72418">
        <w:rPr>
          <w:rStyle w:val="Appelnotedebasdep"/>
        </w:rPr>
        <w:footnoteReference w:id="664"/>
      </w:r>
      <w:r w:rsidRPr="00E72418">
        <w:t xml:space="preserve">. </w:t>
      </w:r>
      <w:r w:rsidR="00E4255F" w:rsidRPr="00E72418">
        <w:rPr>
          <w:szCs w:val="20"/>
        </w:rPr>
        <w:t xml:space="preserve">Par exemple, le fonds </w:t>
      </w:r>
      <w:r w:rsidR="00E4255F" w:rsidRPr="00E72418">
        <w:rPr>
          <w:i/>
          <w:szCs w:val="20"/>
        </w:rPr>
        <w:t>Third Point</w:t>
      </w:r>
      <w:r w:rsidR="00E4255F" w:rsidRPr="00E72418">
        <w:rPr>
          <w:szCs w:val="20"/>
        </w:rPr>
        <w:t xml:space="preserve"> acquit des obligations grecques pour environ dix-sept centimes d’euros lesquelles furent ensuite échangées contre de nouveaux titres valant trente-quatre centimes. </w:t>
      </w:r>
      <w:r w:rsidRPr="00E72418">
        <w:t xml:space="preserve">Dès 2011, </w:t>
      </w:r>
      <w:r w:rsidR="00EA5E7F" w:rsidRPr="00E72418">
        <w:t>d</w:t>
      </w:r>
      <w:r w:rsidRPr="00E72418">
        <w:t xml:space="preserve">es fonds spéculatifs menacèrent </w:t>
      </w:r>
      <w:r w:rsidR="00EA5E7F" w:rsidRPr="00E72418">
        <w:t>la République hellénique</w:t>
      </w:r>
      <w:r w:rsidRPr="00E72418">
        <w:t xml:space="preserve"> de poursuites </w:t>
      </w:r>
      <w:r w:rsidR="007C3D5D" w:rsidRPr="00E72418">
        <w:t>si elle</w:t>
      </w:r>
      <w:r w:rsidRPr="00E72418">
        <w:t xml:space="preserve"> ne remboursait pas l’entièreté des créances détenues</w:t>
      </w:r>
      <w:r w:rsidR="007F604A" w:rsidRPr="00E72418">
        <w:t> ;</w:t>
      </w:r>
      <w:r w:rsidRPr="00E72418">
        <w:t xml:space="preserve"> ce q</w:t>
      </w:r>
      <w:r w:rsidR="00EA5E7F" w:rsidRPr="00E72418">
        <w:t xml:space="preserve">ue </w:t>
      </w:r>
      <w:r w:rsidRPr="00E72418">
        <w:t>fit</w:t>
      </w:r>
      <w:r w:rsidR="00EA5E7F" w:rsidRPr="00E72418">
        <w:t xml:space="preserve"> le pays</w:t>
      </w:r>
      <w:r w:rsidRPr="00E72418">
        <w:rPr>
          <w:rStyle w:val="Appelnotedebasdep"/>
        </w:rPr>
        <w:footnoteReference w:id="665"/>
      </w:r>
      <w:r w:rsidRPr="00E72418">
        <w:t>.</w:t>
      </w:r>
    </w:p>
    <w:p w14:paraId="13E720EC" w14:textId="77777777" w:rsidR="003A381C" w:rsidRPr="00E72418" w:rsidRDefault="003A381C" w:rsidP="0054314B"/>
    <w:p w14:paraId="24E6BBED" w14:textId="11774D94" w:rsidR="00CD4206"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rPr>
        <w:t>120</w:t>
      </w:r>
      <w:r w:rsidR="007E31CD" w:rsidRPr="00E72418">
        <w:rPr>
          <w:rFonts w:ascii="Times New Roman" w:hAnsi="Times New Roman" w:cs="Times New Roman"/>
          <w:b/>
        </w:rPr>
        <w:t xml:space="preserve">. </w:t>
      </w:r>
      <w:r w:rsidR="00E9652F" w:rsidRPr="00E72418">
        <w:rPr>
          <w:rFonts w:ascii="Times New Roman" w:hAnsi="Times New Roman" w:cs="Times New Roman"/>
          <w:b/>
        </w:rPr>
        <w:t>La</w:t>
      </w:r>
      <w:r w:rsidR="003D3AD5" w:rsidRPr="00E72418">
        <w:rPr>
          <w:b/>
        </w:rPr>
        <w:t xml:space="preserve"> République fédérative du Brésil</w:t>
      </w:r>
      <w:r w:rsidR="003D3AD5" w:rsidRPr="00E72418">
        <w:rPr>
          <w:rFonts w:ascii="Times New Roman" w:hAnsi="Times New Roman" w:cs="Times New Roman"/>
          <w:szCs w:val="24"/>
        </w:rPr>
        <w:t xml:space="preserve"> </w:t>
      </w:r>
      <w:r w:rsidR="003D3AD5" w:rsidRPr="00E72418">
        <w:rPr>
          <w:rFonts w:ascii="Times New Roman" w:hAnsi="Times New Roman" w:cs="Times New Roman"/>
          <w:b/>
        </w:rPr>
        <w:t>–</w:t>
      </w:r>
      <w:r w:rsidR="003D3AD5" w:rsidRPr="00E72418">
        <w:rPr>
          <w:rFonts w:ascii="Times New Roman" w:hAnsi="Times New Roman" w:cs="Times New Roman"/>
          <w:szCs w:val="24"/>
        </w:rPr>
        <w:t xml:space="preserve"> </w:t>
      </w:r>
      <w:r w:rsidR="009078C6" w:rsidRPr="00E72418">
        <w:rPr>
          <w:rFonts w:ascii="Times New Roman" w:hAnsi="Times New Roman" w:cs="Times New Roman"/>
          <w:szCs w:val="24"/>
        </w:rPr>
        <w:t>Au début des années 90</w:t>
      </w:r>
      <w:r w:rsidR="00CD4206" w:rsidRPr="00E72418">
        <w:rPr>
          <w:rFonts w:ascii="Times New Roman" w:hAnsi="Times New Roman" w:cs="Times New Roman"/>
          <w:szCs w:val="24"/>
        </w:rPr>
        <w:t xml:space="preserve">, la famille </w:t>
      </w:r>
      <w:r w:rsidR="00CD4206" w:rsidRPr="00E72418">
        <w:rPr>
          <w:rFonts w:ascii="Times New Roman" w:hAnsi="Times New Roman" w:cs="Times New Roman"/>
          <w:i/>
          <w:szCs w:val="24"/>
        </w:rPr>
        <w:t>Dart</w:t>
      </w:r>
      <w:r w:rsidR="00CD4206" w:rsidRPr="00E72418">
        <w:rPr>
          <w:rFonts w:ascii="Times New Roman" w:hAnsi="Times New Roman" w:cs="Times New Roman"/>
          <w:szCs w:val="24"/>
        </w:rPr>
        <w:t xml:space="preserve"> </w:t>
      </w:r>
      <w:r w:rsidR="00A764DB" w:rsidRPr="00E72418">
        <w:rPr>
          <w:rFonts w:ascii="Times New Roman" w:hAnsi="Times New Roman" w:cs="Times New Roman"/>
          <w:szCs w:val="24"/>
        </w:rPr>
        <w:t>racheta</w:t>
      </w:r>
      <w:r w:rsidR="00CD4206" w:rsidRPr="00E72418">
        <w:rPr>
          <w:rFonts w:ascii="Times New Roman" w:hAnsi="Times New Roman" w:cs="Times New Roman"/>
          <w:szCs w:val="24"/>
        </w:rPr>
        <w:t xml:space="preserve"> à une valeur réduite sur le marché secondaire une importante partie de la dette brésilienne qu’elle céda ensuite à la société </w:t>
      </w:r>
      <w:r w:rsidR="00CD4206" w:rsidRPr="00E72418">
        <w:rPr>
          <w:rFonts w:ascii="Times New Roman" w:hAnsi="Times New Roman" w:cs="Times New Roman"/>
          <w:i/>
          <w:szCs w:val="24"/>
        </w:rPr>
        <w:t>CIBC Bank and Trust Company Ltd</w:t>
      </w:r>
      <w:r w:rsidR="00CD4206" w:rsidRPr="00E72418">
        <w:rPr>
          <w:rFonts w:ascii="Times New Roman" w:hAnsi="Times New Roman" w:cs="Times New Roman"/>
          <w:szCs w:val="24"/>
        </w:rPr>
        <w:t>. qu’elle détenait. Le rach</w:t>
      </w:r>
      <w:r w:rsidR="003D3AD5" w:rsidRPr="00E72418">
        <w:rPr>
          <w:rFonts w:ascii="Times New Roman" w:hAnsi="Times New Roman" w:cs="Times New Roman"/>
          <w:szCs w:val="24"/>
        </w:rPr>
        <w:t>at se fit pour un montant de trois cent septante-cinq</w:t>
      </w:r>
      <w:r w:rsidR="00CD4206" w:rsidRPr="00E72418">
        <w:rPr>
          <w:rFonts w:ascii="Times New Roman" w:hAnsi="Times New Roman" w:cs="Times New Roman"/>
          <w:szCs w:val="24"/>
        </w:rPr>
        <w:t xml:space="preserve"> millions de dollars étatsuniens alors que la valeur faciale d</w:t>
      </w:r>
      <w:r w:rsidR="0020777B" w:rsidRPr="00E72418">
        <w:rPr>
          <w:rFonts w:ascii="Times New Roman" w:hAnsi="Times New Roman" w:cs="Times New Roman"/>
          <w:szCs w:val="24"/>
        </w:rPr>
        <w:t xml:space="preserve">e la dette </w:t>
      </w:r>
      <w:r w:rsidR="00A764DB" w:rsidRPr="00E72418">
        <w:rPr>
          <w:rFonts w:ascii="Times New Roman" w:hAnsi="Times New Roman" w:cs="Times New Roman"/>
          <w:szCs w:val="24"/>
        </w:rPr>
        <w:t>concernée</w:t>
      </w:r>
      <w:r w:rsidR="0020777B" w:rsidRPr="00E72418">
        <w:rPr>
          <w:rFonts w:ascii="Times New Roman" w:hAnsi="Times New Roman" w:cs="Times New Roman"/>
          <w:szCs w:val="24"/>
        </w:rPr>
        <w:t xml:space="preserve"> était </w:t>
      </w:r>
      <w:r w:rsidR="00FA2584" w:rsidRPr="00E72418">
        <w:rPr>
          <w:rFonts w:ascii="Times New Roman" w:hAnsi="Times New Roman" w:cs="Times New Roman"/>
          <w:szCs w:val="24"/>
        </w:rPr>
        <w:t xml:space="preserve">quant à </w:t>
      </w:r>
      <w:r w:rsidR="00A764DB" w:rsidRPr="00E72418">
        <w:rPr>
          <w:rFonts w:ascii="Times New Roman" w:hAnsi="Times New Roman" w:cs="Times New Roman"/>
          <w:szCs w:val="24"/>
        </w:rPr>
        <w:t xml:space="preserve">elle </w:t>
      </w:r>
      <w:r w:rsidR="0020777B" w:rsidRPr="00E72418">
        <w:rPr>
          <w:rFonts w:ascii="Times New Roman" w:hAnsi="Times New Roman" w:cs="Times New Roman"/>
          <w:szCs w:val="24"/>
        </w:rPr>
        <w:t>de près d’un</w:t>
      </w:r>
      <w:r w:rsidR="00CD4206" w:rsidRPr="00E72418">
        <w:rPr>
          <w:rFonts w:ascii="Times New Roman" w:hAnsi="Times New Roman" w:cs="Times New Roman"/>
          <w:szCs w:val="24"/>
        </w:rPr>
        <w:t xml:space="preserve"> milliard</w:t>
      </w:r>
      <w:r w:rsidR="0020777B" w:rsidRPr="00E72418">
        <w:rPr>
          <w:rFonts w:ascii="Times New Roman" w:hAnsi="Times New Roman" w:cs="Times New Roman"/>
          <w:szCs w:val="24"/>
        </w:rPr>
        <w:t xml:space="preserve"> et demi</w:t>
      </w:r>
      <w:r w:rsidR="009078C6" w:rsidRPr="00E72418">
        <w:rPr>
          <w:rStyle w:val="Appelnotedebasdep"/>
          <w:rFonts w:ascii="Times New Roman" w:hAnsi="Times New Roman" w:cs="Times New Roman"/>
          <w:szCs w:val="24"/>
        </w:rPr>
        <w:footnoteReference w:id="666"/>
      </w:r>
      <w:r w:rsidR="00A764DB" w:rsidRPr="00E72418">
        <w:rPr>
          <w:rFonts w:ascii="Times New Roman" w:hAnsi="Times New Roman" w:cs="Times New Roman"/>
          <w:szCs w:val="24"/>
        </w:rPr>
        <w:t>.</w:t>
      </w:r>
    </w:p>
    <w:p w14:paraId="42C443CC" w14:textId="32BC36E3" w:rsidR="00B45C7B" w:rsidRPr="00E72418" w:rsidRDefault="00CD4206" w:rsidP="00CC4BA8">
      <w:pPr>
        <w:spacing w:line="276" w:lineRule="auto"/>
      </w:pPr>
      <w:r w:rsidRPr="00E72418">
        <w:rPr>
          <w:rFonts w:ascii="Times New Roman" w:hAnsi="Times New Roman" w:cs="Times New Roman"/>
        </w:rPr>
        <w:t xml:space="preserve">Quand le Brésil chercha à restructurer </w:t>
      </w:r>
      <w:r w:rsidR="00A764DB" w:rsidRPr="00E72418">
        <w:rPr>
          <w:rFonts w:ascii="Times New Roman" w:hAnsi="Times New Roman" w:cs="Times New Roman"/>
        </w:rPr>
        <w:t>sa</w:t>
      </w:r>
      <w:r w:rsidRPr="00E72418">
        <w:rPr>
          <w:rFonts w:ascii="Times New Roman" w:hAnsi="Times New Roman" w:cs="Times New Roman"/>
        </w:rPr>
        <w:t xml:space="preserve"> dette</w:t>
      </w:r>
      <w:r w:rsidR="009078C6" w:rsidRPr="00E72418">
        <w:rPr>
          <w:rFonts w:ascii="Times New Roman" w:hAnsi="Times New Roman" w:cs="Times New Roman"/>
        </w:rPr>
        <w:t xml:space="preserve"> en 1992</w:t>
      </w:r>
      <w:r w:rsidRPr="00E72418">
        <w:rPr>
          <w:rFonts w:ascii="Times New Roman" w:hAnsi="Times New Roman" w:cs="Times New Roman"/>
        </w:rPr>
        <w:t xml:space="preserve">, </w:t>
      </w:r>
      <w:r w:rsidR="00A764DB" w:rsidRPr="00E72418">
        <w:rPr>
          <w:rFonts w:ascii="Times New Roman" w:hAnsi="Times New Roman" w:cs="Times New Roman"/>
        </w:rPr>
        <w:t xml:space="preserve">la société </w:t>
      </w:r>
      <w:r w:rsidR="0020777B" w:rsidRPr="00E72418">
        <w:rPr>
          <w:rFonts w:ascii="Times New Roman" w:hAnsi="Times New Roman" w:cs="Times New Roman"/>
          <w:i/>
        </w:rPr>
        <w:t>CIBC Bank and Trust Company Ltd</w:t>
      </w:r>
      <w:r w:rsidR="0020777B" w:rsidRPr="00E72418">
        <w:rPr>
          <w:rFonts w:ascii="Times New Roman" w:hAnsi="Times New Roman" w:cs="Times New Roman"/>
        </w:rPr>
        <w:t xml:space="preserve">. </w:t>
      </w:r>
      <w:r w:rsidRPr="00E72418">
        <w:rPr>
          <w:rFonts w:ascii="Times New Roman" w:hAnsi="Times New Roman" w:cs="Times New Roman"/>
        </w:rPr>
        <w:t xml:space="preserve">refusa et </w:t>
      </w:r>
      <w:r w:rsidR="0020777B" w:rsidRPr="00E72418">
        <w:rPr>
          <w:rFonts w:ascii="Times New Roman" w:hAnsi="Times New Roman" w:cs="Times New Roman"/>
        </w:rPr>
        <w:t>décida de s’engager dans la voie</w:t>
      </w:r>
      <w:r w:rsidRPr="00E72418">
        <w:rPr>
          <w:rFonts w:ascii="Times New Roman" w:hAnsi="Times New Roman" w:cs="Times New Roman"/>
        </w:rPr>
        <w:t xml:space="preserve"> judiciaire</w:t>
      </w:r>
      <w:r w:rsidR="0020777B" w:rsidRPr="00E72418">
        <w:rPr>
          <w:rFonts w:ascii="Times New Roman" w:hAnsi="Times New Roman" w:cs="Times New Roman"/>
        </w:rPr>
        <w:t xml:space="preserve"> afin que le pays soit contraint </w:t>
      </w:r>
      <w:r w:rsidR="00813C82">
        <w:rPr>
          <w:rFonts w:ascii="Times New Roman" w:hAnsi="Times New Roman" w:cs="Times New Roman"/>
        </w:rPr>
        <w:lastRenderedPageBreak/>
        <w:t>de</w:t>
      </w:r>
      <w:r w:rsidR="0020777B" w:rsidRPr="00E72418">
        <w:rPr>
          <w:rFonts w:ascii="Times New Roman" w:hAnsi="Times New Roman" w:cs="Times New Roman"/>
        </w:rPr>
        <w:t xml:space="preserve"> respecter les droits qu’elle détenait</w:t>
      </w:r>
      <w:r w:rsidR="000C0B4E" w:rsidRPr="00E72418">
        <w:rPr>
          <w:rStyle w:val="Appelnotedebasdep"/>
          <w:rFonts w:ascii="Times New Roman" w:hAnsi="Times New Roman" w:cs="Times New Roman"/>
        </w:rPr>
        <w:footnoteReference w:id="667"/>
      </w:r>
      <w:r w:rsidRPr="00E72418">
        <w:rPr>
          <w:rFonts w:ascii="Times New Roman" w:hAnsi="Times New Roman" w:cs="Times New Roman"/>
        </w:rPr>
        <w:t>.</w:t>
      </w:r>
      <w:r w:rsidRPr="00E72418">
        <w:t xml:space="preserve"> </w:t>
      </w:r>
      <w:r w:rsidR="009078C6" w:rsidRPr="00E72418">
        <w:t xml:space="preserve">Créancier </w:t>
      </w:r>
      <w:r w:rsidR="0086558D" w:rsidRPr="00E72418">
        <w:t xml:space="preserve">secondaire </w:t>
      </w:r>
      <w:r w:rsidR="009078C6" w:rsidRPr="00E72418">
        <w:t>et débiteur parvinrent finalement à un accord extrajudiciaire offrant au fonds spéculatif un succès majeur</w:t>
      </w:r>
      <w:r w:rsidRPr="00E72418">
        <w:rPr>
          <w:rStyle w:val="Appelnotedebasdep"/>
        </w:rPr>
        <w:footnoteReference w:id="668"/>
      </w:r>
      <w:r w:rsidR="009078C6" w:rsidRPr="00E72418">
        <w:t>.</w:t>
      </w:r>
    </w:p>
    <w:p w14:paraId="439A490B" w14:textId="77777777" w:rsidR="00B46BD0" w:rsidRPr="00E72418" w:rsidRDefault="00B46BD0" w:rsidP="0054314B"/>
    <w:p w14:paraId="10F0FBD9" w14:textId="12FEB9F0" w:rsidR="00427B7F"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121</w:t>
      </w:r>
      <w:r w:rsidR="007E31CD" w:rsidRPr="00E72418">
        <w:rPr>
          <w:rFonts w:ascii="Times New Roman" w:hAnsi="Times New Roman" w:cs="Times New Roman"/>
          <w:b/>
          <w:szCs w:val="24"/>
        </w:rPr>
        <w:t xml:space="preserve">. </w:t>
      </w:r>
      <w:r w:rsidR="00B46BD0" w:rsidRPr="00E72418">
        <w:rPr>
          <w:rFonts w:ascii="Times New Roman" w:hAnsi="Times New Roman" w:cs="Times New Roman"/>
          <w:b/>
          <w:szCs w:val="24"/>
        </w:rPr>
        <w:t>D’</w:t>
      </w:r>
      <w:r w:rsidR="00427B7F" w:rsidRPr="00E72418">
        <w:rPr>
          <w:rFonts w:ascii="Times New Roman" w:hAnsi="Times New Roman" w:cs="Times New Roman"/>
          <w:b/>
          <w:szCs w:val="24"/>
        </w:rPr>
        <w:t xml:space="preserve">autres </w:t>
      </w:r>
      <w:r w:rsidR="00427B7F" w:rsidRPr="00E72418">
        <w:rPr>
          <w:rFonts w:ascii="Times New Roman" w:hAnsi="Times New Roman" w:cs="Times New Roman"/>
          <w:b/>
          <w:lang w:eastAsia="fr-BE"/>
        </w:rPr>
        <w:t>É</w:t>
      </w:r>
      <w:r w:rsidR="00B46BD0" w:rsidRPr="00E72418">
        <w:rPr>
          <w:rFonts w:ascii="Times New Roman" w:hAnsi="Times New Roman" w:cs="Times New Roman"/>
          <w:b/>
          <w:szCs w:val="24"/>
        </w:rPr>
        <w:t xml:space="preserve">tats, </w:t>
      </w:r>
      <w:r w:rsidR="001323A7" w:rsidRPr="00E72418">
        <w:rPr>
          <w:rFonts w:ascii="Times New Roman" w:hAnsi="Times New Roman" w:cs="Times New Roman"/>
          <w:b/>
          <w:szCs w:val="24"/>
        </w:rPr>
        <w:t>essentiellement</w:t>
      </w:r>
      <w:r w:rsidR="00B46BD0" w:rsidRPr="00E72418">
        <w:rPr>
          <w:rFonts w:ascii="Times New Roman" w:hAnsi="Times New Roman" w:cs="Times New Roman"/>
          <w:b/>
          <w:szCs w:val="24"/>
        </w:rPr>
        <w:t xml:space="preserve"> africains et sud-américains </w:t>
      </w:r>
      <w:r w:rsidR="00B46BD0" w:rsidRPr="00E72418">
        <w:rPr>
          <w:rStyle w:val="injectednode"/>
          <w:rFonts w:ascii="Times New Roman" w:hAnsi="Times New Roman" w:cs="Times New Roman"/>
          <w:b/>
          <w:szCs w:val="24"/>
          <w:bdr w:val="none" w:sz="0" w:space="0" w:color="auto" w:frame="1"/>
        </w:rPr>
        <w:t>–</w:t>
      </w:r>
      <w:r w:rsidR="00B46BD0" w:rsidRPr="00E72418">
        <w:rPr>
          <w:rFonts w:ascii="Times New Roman" w:hAnsi="Times New Roman" w:cs="Times New Roman"/>
          <w:b/>
          <w:szCs w:val="24"/>
        </w:rPr>
        <w:t xml:space="preserve"> </w:t>
      </w:r>
      <w:r w:rsidR="00B46BD0" w:rsidRPr="00E72418">
        <w:rPr>
          <w:rFonts w:ascii="Times New Roman" w:hAnsi="Times New Roman" w:cs="Times New Roman"/>
          <w:szCs w:val="24"/>
        </w:rPr>
        <w:t xml:space="preserve">L’on ne compte </w:t>
      </w:r>
      <w:r w:rsidR="00656EDF" w:rsidRPr="00E72418">
        <w:rPr>
          <w:rFonts w:ascii="Times New Roman" w:hAnsi="Times New Roman" w:cs="Times New Roman"/>
          <w:szCs w:val="24"/>
        </w:rPr>
        <w:t xml:space="preserve">pas </w:t>
      </w:r>
      <w:r w:rsidR="00B46BD0" w:rsidRPr="00E72418">
        <w:rPr>
          <w:rFonts w:ascii="Times New Roman" w:hAnsi="Times New Roman" w:cs="Times New Roman"/>
          <w:szCs w:val="24"/>
        </w:rPr>
        <w:t xml:space="preserve">les contentieux diligentés par des créanciers ayant fait l’acquisition </w:t>
      </w:r>
      <w:r w:rsidR="00427B7F" w:rsidRPr="00E72418">
        <w:rPr>
          <w:rFonts w:ascii="Times New Roman" w:hAnsi="Times New Roman" w:cs="Times New Roman"/>
          <w:szCs w:val="24"/>
        </w:rPr>
        <w:t xml:space="preserve">à bas prix </w:t>
      </w:r>
      <w:r w:rsidR="00B46BD0" w:rsidRPr="00E72418">
        <w:rPr>
          <w:rFonts w:ascii="Times New Roman" w:hAnsi="Times New Roman" w:cs="Times New Roman"/>
          <w:szCs w:val="24"/>
        </w:rPr>
        <w:t xml:space="preserve">de titres de dette souveraine en souffrance sur le marché secondaire qui cherchent </w:t>
      </w:r>
      <w:r w:rsidR="00813C82">
        <w:rPr>
          <w:rFonts w:ascii="Times New Roman" w:hAnsi="Times New Roman" w:cs="Times New Roman"/>
          <w:szCs w:val="24"/>
        </w:rPr>
        <w:t xml:space="preserve">ensuite </w:t>
      </w:r>
      <w:r w:rsidR="00B46BD0" w:rsidRPr="00E72418">
        <w:rPr>
          <w:rFonts w:ascii="Times New Roman" w:hAnsi="Times New Roman" w:cs="Times New Roman"/>
          <w:szCs w:val="24"/>
        </w:rPr>
        <w:t xml:space="preserve">à en tirer profit en en poursuivant la valeur faciale. </w:t>
      </w:r>
    </w:p>
    <w:p w14:paraId="07FA66F0" w14:textId="73F6B115" w:rsidR="00B46BD0" w:rsidRPr="00E72418" w:rsidRDefault="00B46BD0" w:rsidP="00CC4BA8">
      <w:pPr>
        <w:spacing w:line="276" w:lineRule="auto"/>
        <w:rPr>
          <w:rFonts w:ascii="Times New Roman" w:hAnsi="Times New Roman" w:cs="Times New Roman"/>
        </w:rPr>
      </w:pPr>
      <w:r w:rsidRPr="00E72418">
        <w:rPr>
          <w:rFonts w:ascii="Times New Roman" w:hAnsi="Times New Roman" w:cs="Times New Roman"/>
          <w:szCs w:val="24"/>
        </w:rPr>
        <w:t>Si l’ampleur de l’endettement souverain conduit à retenir qu’</w:t>
      </w:r>
      <w:r w:rsidR="00427B7F" w:rsidRPr="00E72418">
        <w:rPr>
          <w:rFonts w:ascii="Times New Roman" w:hAnsi="Times New Roman" w:cs="Times New Roman"/>
          <w:szCs w:val="24"/>
        </w:rPr>
        <w:t xml:space="preserve">aucun </w:t>
      </w:r>
      <w:r w:rsidR="00427B7F" w:rsidRPr="00E72418">
        <w:rPr>
          <w:rFonts w:ascii="Times New Roman" w:hAnsi="Times New Roman" w:cs="Times New Roman"/>
          <w:lang w:eastAsia="fr-BE"/>
        </w:rPr>
        <w:t>É</w:t>
      </w:r>
      <w:r w:rsidRPr="00E72418">
        <w:rPr>
          <w:rFonts w:ascii="Times New Roman" w:hAnsi="Times New Roman" w:cs="Times New Roman"/>
          <w:szCs w:val="24"/>
        </w:rPr>
        <w:t xml:space="preserve">tat débiteur </w:t>
      </w:r>
      <w:r w:rsidR="00427B7F" w:rsidRPr="00E72418">
        <w:rPr>
          <w:rFonts w:ascii="Times New Roman" w:hAnsi="Times New Roman" w:cs="Times New Roman"/>
          <w:szCs w:val="24"/>
        </w:rPr>
        <w:t>n’</w:t>
      </w:r>
      <w:r w:rsidR="0097095F" w:rsidRPr="00E72418">
        <w:rPr>
          <w:rFonts w:ascii="Times New Roman" w:hAnsi="Times New Roman" w:cs="Times New Roman"/>
          <w:szCs w:val="24"/>
        </w:rPr>
        <w:t>est protégé de</w:t>
      </w:r>
      <w:r w:rsidRPr="00E72418">
        <w:rPr>
          <w:rFonts w:ascii="Times New Roman" w:hAnsi="Times New Roman" w:cs="Times New Roman"/>
          <w:szCs w:val="24"/>
        </w:rPr>
        <w:t xml:space="preserve"> ces actions</w:t>
      </w:r>
      <w:r w:rsidR="00427B7F" w:rsidRPr="00E72418">
        <w:rPr>
          <w:rFonts w:ascii="Times New Roman" w:hAnsi="Times New Roman" w:cs="Times New Roman"/>
          <w:szCs w:val="24"/>
        </w:rPr>
        <w:t xml:space="preserve"> spéculatives</w:t>
      </w:r>
      <w:r w:rsidR="006A4A6D" w:rsidRPr="00E72418">
        <w:rPr>
          <w:rFonts w:ascii="Times New Roman" w:hAnsi="Times New Roman" w:cs="Times New Roman"/>
          <w:szCs w:val="24"/>
        </w:rPr>
        <w:t xml:space="preserve"> comme en témoignent les récentes attaques subies </w:t>
      </w:r>
      <w:r w:rsidR="006A4A6D" w:rsidRPr="00E72418">
        <w:t>par l’État libre associé de Porto Rico</w:t>
      </w:r>
      <w:r w:rsidR="002C46A8" w:rsidRPr="00E72418">
        <w:rPr>
          <w:rStyle w:val="Appelnotedebasdep"/>
        </w:rPr>
        <w:footnoteReference w:id="669"/>
      </w:r>
      <w:r w:rsidRPr="00E72418">
        <w:rPr>
          <w:rFonts w:ascii="Times New Roman" w:hAnsi="Times New Roman" w:cs="Times New Roman"/>
          <w:szCs w:val="24"/>
        </w:rPr>
        <w:t xml:space="preserve">, l’on note cependant qu’elles visent, pour l’essentiel d’entre elles, </w:t>
      </w:r>
      <w:r w:rsidR="00427B7F" w:rsidRPr="00E72418">
        <w:rPr>
          <w:rFonts w:ascii="Times New Roman" w:hAnsi="Times New Roman" w:cs="Times New Roman"/>
          <w:szCs w:val="24"/>
        </w:rPr>
        <w:t xml:space="preserve">des </w:t>
      </w:r>
      <w:r w:rsidR="00427B7F" w:rsidRPr="00E72418">
        <w:rPr>
          <w:rFonts w:ascii="Times New Roman" w:hAnsi="Times New Roman" w:cs="Times New Roman"/>
          <w:lang w:eastAsia="fr-BE"/>
        </w:rPr>
        <w:t>É</w:t>
      </w:r>
      <w:r w:rsidRPr="00E72418">
        <w:rPr>
          <w:rFonts w:ascii="Times New Roman" w:hAnsi="Times New Roman" w:cs="Times New Roman"/>
          <w:szCs w:val="24"/>
        </w:rPr>
        <w:t xml:space="preserve">tats africains et sud-américains dont le niveau de développement les expose </w:t>
      </w:r>
      <w:r w:rsidR="00427B7F" w:rsidRPr="00E72418">
        <w:rPr>
          <w:rFonts w:ascii="Times New Roman" w:hAnsi="Times New Roman" w:cs="Times New Roman"/>
          <w:szCs w:val="24"/>
        </w:rPr>
        <w:t>particulièrement</w:t>
      </w:r>
      <w:r w:rsidRPr="00E72418">
        <w:rPr>
          <w:rFonts w:ascii="Times New Roman" w:hAnsi="Times New Roman" w:cs="Times New Roman"/>
          <w:szCs w:val="24"/>
        </w:rPr>
        <w:t xml:space="preserve"> aux difficultés financières.</w:t>
      </w:r>
      <w:r w:rsidR="00427B7F" w:rsidRPr="00E72418">
        <w:rPr>
          <w:rFonts w:ascii="Times New Roman" w:hAnsi="Times New Roman" w:cs="Times New Roman"/>
          <w:szCs w:val="24"/>
        </w:rPr>
        <w:t xml:space="preserve"> </w:t>
      </w:r>
      <w:r w:rsidRPr="00E72418">
        <w:rPr>
          <w:rFonts w:ascii="Times New Roman" w:hAnsi="Times New Roman" w:cs="Times New Roman"/>
          <w:szCs w:val="24"/>
        </w:rPr>
        <w:t xml:space="preserve">Parmi ceux-ci, </w:t>
      </w:r>
      <w:r w:rsidR="00427B7F" w:rsidRPr="00E72418">
        <w:rPr>
          <w:rFonts w:ascii="Times New Roman" w:hAnsi="Times New Roman" w:cs="Times New Roman"/>
          <w:szCs w:val="24"/>
        </w:rPr>
        <w:t>en sus des contentieux très remarqués précédemment étudiés</w:t>
      </w:r>
      <w:r w:rsidR="0086558D" w:rsidRPr="00E72418">
        <w:rPr>
          <w:rStyle w:val="Appelnotedebasdep"/>
          <w:rFonts w:ascii="Times New Roman" w:hAnsi="Times New Roman" w:cs="Times New Roman"/>
          <w:szCs w:val="24"/>
        </w:rPr>
        <w:footnoteReference w:id="670"/>
      </w:r>
      <w:r w:rsidR="00427B7F" w:rsidRPr="00E72418">
        <w:rPr>
          <w:rFonts w:ascii="Times New Roman" w:hAnsi="Times New Roman" w:cs="Times New Roman"/>
          <w:szCs w:val="24"/>
        </w:rPr>
        <w:t>, l’on peut encore</w:t>
      </w:r>
      <w:r w:rsidRPr="00E72418">
        <w:rPr>
          <w:rFonts w:ascii="Times New Roman" w:hAnsi="Times New Roman" w:cs="Times New Roman"/>
          <w:szCs w:val="24"/>
        </w:rPr>
        <w:t xml:space="preserve"> notamment </w:t>
      </w:r>
      <w:r w:rsidR="00E76173" w:rsidRPr="00E72418">
        <w:rPr>
          <w:rFonts w:ascii="Times New Roman" w:hAnsi="Times New Roman" w:cs="Times New Roman"/>
          <w:szCs w:val="24"/>
        </w:rPr>
        <w:t xml:space="preserve">relever </w:t>
      </w:r>
      <w:r w:rsidRPr="00E72418">
        <w:rPr>
          <w:rFonts w:ascii="Times New Roman" w:hAnsi="Times New Roman" w:cs="Times New Roman"/>
        </w:rPr>
        <w:t>l’</w:t>
      </w:r>
      <w:r w:rsidRPr="00E72418">
        <w:rPr>
          <w:rFonts w:ascii="Times New Roman" w:hAnsi="Times New Roman" w:cs="Times New Roman"/>
          <w:szCs w:val="24"/>
        </w:rPr>
        <w:t>É</w:t>
      </w:r>
      <w:r w:rsidRPr="00E72418">
        <w:rPr>
          <w:rFonts w:ascii="Times New Roman" w:hAnsi="Times New Roman" w:cs="Times New Roman"/>
        </w:rPr>
        <w:t>tat plurinational de Bolivie</w:t>
      </w:r>
      <w:r w:rsidR="00656EDF" w:rsidRPr="00E72418">
        <w:rPr>
          <w:rStyle w:val="Appelnotedebasdep"/>
          <w:rFonts w:ascii="Times New Roman" w:hAnsi="Times New Roman" w:cs="Times New Roman"/>
        </w:rPr>
        <w:footnoteReference w:id="671"/>
      </w:r>
      <w:r w:rsidR="0086558D" w:rsidRPr="00E72418">
        <w:rPr>
          <w:rFonts w:ascii="Times New Roman" w:hAnsi="Times New Roman" w:cs="Times New Roman"/>
          <w:szCs w:val="24"/>
        </w:rPr>
        <w:t xml:space="preserve">, </w:t>
      </w:r>
      <w:r w:rsidRPr="00E72418">
        <w:rPr>
          <w:rFonts w:ascii="Times New Roman" w:hAnsi="Times New Roman" w:cs="Times New Roman"/>
        </w:rPr>
        <w:t>la République du Paraguay</w:t>
      </w:r>
      <w:r w:rsidR="007701F6" w:rsidRPr="00E72418">
        <w:rPr>
          <w:rStyle w:val="Appelnotedebasdep"/>
          <w:rFonts w:ascii="Times New Roman" w:hAnsi="Times New Roman" w:cs="Times New Roman"/>
        </w:rPr>
        <w:footnoteReference w:id="672"/>
      </w:r>
      <w:r w:rsidRPr="00E72418">
        <w:rPr>
          <w:rFonts w:ascii="Times New Roman" w:hAnsi="Times New Roman" w:cs="Times New Roman"/>
        </w:rPr>
        <w:t xml:space="preserve">, </w:t>
      </w:r>
      <w:r w:rsidR="00196C6D" w:rsidRPr="00E72418">
        <w:t>la République du Panama</w:t>
      </w:r>
      <w:r w:rsidR="006B0845" w:rsidRPr="00E72418">
        <w:rPr>
          <w:rStyle w:val="Appelnotedebasdep"/>
        </w:rPr>
        <w:footnoteReference w:id="673"/>
      </w:r>
      <w:r w:rsidR="00196C6D" w:rsidRPr="00E72418">
        <w:t xml:space="preserve">, </w:t>
      </w:r>
      <w:r w:rsidR="00427B7F" w:rsidRPr="00E72418">
        <w:rPr>
          <w:rFonts w:ascii="Times New Roman" w:hAnsi="Times New Roman" w:cs="Times New Roman"/>
        </w:rPr>
        <w:t>la République du Costa Rica</w:t>
      </w:r>
      <w:r w:rsidR="00E9072A" w:rsidRPr="00E72418">
        <w:rPr>
          <w:rFonts w:ascii="Times New Roman" w:hAnsi="Times New Roman" w:cs="Times New Roman"/>
        </w:rPr>
        <w:t>,</w:t>
      </w:r>
      <w:r w:rsidR="00427B7F" w:rsidRPr="00E72418">
        <w:rPr>
          <w:rFonts w:ascii="Times New Roman" w:hAnsi="Times New Roman" w:cs="Times New Roman"/>
        </w:rPr>
        <w:t xml:space="preserve"> </w:t>
      </w:r>
      <w:r w:rsidR="00E9072A" w:rsidRPr="00E72418">
        <w:rPr>
          <w:rFonts w:ascii="Times New Roman" w:hAnsi="Times New Roman" w:cs="Times New Roman"/>
        </w:rPr>
        <w:t>la République bolivarienne du Venezuela</w:t>
      </w:r>
      <w:r w:rsidR="005E1556" w:rsidRPr="00E72418">
        <w:rPr>
          <w:rFonts w:ascii="Times New Roman" w:hAnsi="Times New Roman" w:cs="Times New Roman"/>
        </w:rPr>
        <w:t>,</w:t>
      </w:r>
      <w:r w:rsidR="00E9072A" w:rsidRPr="00E72418">
        <w:rPr>
          <w:rFonts w:ascii="Times New Roman" w:hAnsi="Times New Roman" w:cs="Times New Roman"/>
        </w:rPr>
        <w:t xml:space="preserve"> </w:t>
      </w:r>
      <w:r w:rsidR="005E1556" w:rsidRPr="00E72418">
        <w:rPr>
          <w:rFonts w:ascii="Times New Roman" w:hAnsi="Times New Roman" w:cs="Times New Roman"/>
          <w:szCs w:val="24"/>
        </w:rPr>
        <w:t>la République d’</w:t>
      </w:r>
      <w:r w:rsidR="005E1556" w:rsidRPr="00E72418">
        <w:rPr>
          <w:rFonts w:ascii="Times New Roman" w:hAnsi="Times New Roman" w:cs="Times New Roman"/>
          <w:lang w:eastAsia="fr-BE"/>
        </w:rPr>
        <w:t>É</w:t>
      </w:r>
      <w:r w:rsidR="005E1556" w:rsidRPr="00E72418">
        <w:rPr>
          <w:rFonts w:ascii="Times New Roman" w:hAnsi="Times New Roman" w:cs="Times New Roman"/>
          <w:szCs w:val="24"/>
        </w:rPr>
        <w:t>quateur</w:t>
      </w:r>
      <w:r w:rsidR="005E1556" w:rsidRPr="00E72418">
        <w:rPr>
          <w:rFonts w:ascii="Times New Roman" w:hAnsi="Times New Roman" w:cs="Times New Roman"/>
        </w:rPr>
        <w:t xml:space="preserve"> </w:t>
      </w:r>
      <w:r w:rsidRPr="00E72418">
        <w:rPr>
          <w:rFonts w:ascii="Times New Roman" w:hAnsi="Times New Roman" w:cs="Times New Roman"/>
        </w:rPr>
        <w:t>ou encore</w:t>
      </w:r>
      <w:r w:rsidR="005E1556" w:rsidRPr="00E72418">
        <w:rPr>
          <w:rFonts w:ascii="Times New Roman" w:hAnsi="Times New Roman" w:cs="Times New Roman"/>
        </w:rPr>
        <w:t>, en Afrique,</w:t>
      </w:r>
      <w:r w:rsidRPr="00E72418">
        <w:rPr>
          <w:rFonts w:ascii="Times New Roman" w:hAnsi="Times New Roman" w:cs="Times New Roman"/>
        </w:rPr>
        <w:t xml:space="preserve"> la République du Cameroun</w:t>
      </w:r>
      <w:r w:rsidR="002E5AA7" w:rsidRPr="00E72418">
        <w:rPr>
          <w:rFonts w:ascii="Times New Roman" w:hAnsi="Times New Roman" w:cs="Times New Roman"/>
        </w:rPr>
        <w:t xml:space="preserve">, </w:t>
      </w:r>
      <w:r w:rsidR="00427B7F" w:rsidRPr="00E72418">
        <w:rPr>
          <w:rFonts w:ascii="Times New Roman" w:hAnsi="Times New Roman" w:cs="Times New Roman"/>
        </w:rPr>
        <w:t>la République de Côte d’Ivoire</w:t>
      </w:r>
      <w:r w:rsidR="002E5AA7" w:rsidRPr="00E72418">
        <w:rPr>
          <w:rFonts w:ascii="Times New Roman" w:hAnsi="Times New Roman" w:cs="Times New Roman"/>
        </w:rPr>
        <w:t xml:space="preserve"> et la République d’Angola</w:t>
      </w:r>
      <w:r w:rsidR="00427B7F" w:rsidRPr="00E72418">
        <w:rPr>
          <w:rFonts w:ascii="Times New Roman" w:hAnsi="Times New Roman" w:cs="Times New Roman"/>
        </w:rPr>
        <w:t>.</w:t>
      </w:r>
    </w:p>
    <w:p w14:paraId="59F461BF" w14:textId="30896FCE" w:rsidR="00586473" w:rsidRPr="00E72418" w:rsidRDefault="00586473" w:rsidP="00CC4BA8">
      <w:pPr>
        <w:spacing w:line="276" w:lineRule="auto"/>
        <w:rPr>
          <w:rFonts w:ascii="Times New Roman" w:hAnsi="Times New Roman" w:cs="Times New Roman"/>
          <w:szCs w:val="24"/>
        </w:rPr>
      </w:pPr>
      <w:r w:rsidRPr="00E72418">
        <w:rPr>
          <w:rFonts w:ascii="Times New Roman" w:hAnsi="Times New Roman" w:cs="Times New Roman"/>
        </w:rPr>
        <w:t xml:space="preserve">La crise du </w:t>
      </w:r>
      <w:r w:rsidR="007F582B">
        <w:rPr>
          <w:rFonts w:ascii="Times New Roman" w:hAnsi="Times New Roman" w:cs="Times New Roman"/>
        </w:rPr>
        <w:t>coronavirus</w:t>
      </w:r>
      <w:r w:rsidRPr="00E72418">
        <w:rPr>
          <w:rFonts w:ascii="Times New Roman" w:hAnsi="Times New Roman" w:cs="Times New Roman"/>
        </w:rPr>
        <w:t xml:space="preserve"> et l’explosion des dettes souveraines qu’elle généra font craindre que de nombreux </w:t>
      </w:r>
      <w:r w:rsidR="00B623DC" w:rsidRPr="00E72418">
        <w:rPr>
          <w:rFonts w:ascii="Times New Roman" w:hAnsi="Times New Roman" w:cs="Times New Roman"/>
        </w:rPr>
        <w:t xml:space="preserve">nouveaux </w:t>
      </w:r>
      <w:r w:rsidRPr="00E72418">
        <w:rPr>
          <w:rFonts w:ascii="Times New Roman" w:hAnsi="Times New Roman" w:cs="Times New Roman"/>
        </w:rPr>
        <w:t>contentieux sont à attendre dans les années à venir.</w:t>
      </w:r>
      <w:r w:rsidR="005B326A" w:rsidRPr="00E72418">
        <w:rPr>
          <w:rFonts w:ascii="Times New Roman" w:hAnsi="Times New Roman" w:cs="Times New Roman"/>
        </w:rPr>
        <w:t xml:space="preserve"> Comme le notent </w:t>
      </w:r>
      <w:r w:rsidR="00B86471" w:rsidRPr="00E72418">
        <w:rPr>
          <w:rFonts w:ascii="Times New Roman" w:hAnsi="Times New Roman" w:cs="Times New Roman"/>
        </w:rPr>
        <w:lastRenderedPageBreak/>
        <w:t xml:space="preserve">Jeremy </w:t>
      </w:r>
      <w:r w:rsidR="005B326A" w:rsidRPr="00E72418">
        <w:rPr>
          <w:rFonts w:ascii="Times New Roman" w:hAnsi="Times New Roman" w:cs="Times New Roman"/>
        </w:rPr>
        <w:t xml:space="preserve">Bulow </w:t>
      </w:r>
      <w:r w:rsidR="005B326A" w:rsidRPr="00E72418">
        <w:rPr>
          <w:rFonts w:ascii="Times New Roman" w:hAnsi="Times New Roman" w:cs="Times New Roman"/>
          <w:i/>
        </w:rPr>
        <w:t>et al.</w:t>
      </w:r>
      <w:r w:rsidR="005B326A" w:rsidRPr="00E72418">
        <w:rPr>
          <w:rFonts w:ascii="Times New Roman" w:hAnsi="Times New Roman" w:cs="Times New Roman"/>
        </w:rPr>
        <w:t xml:space="preserve"> dans leur étude intitulée </w:t>
      </w:r>
      <w:r w:rsidR="00FA2584" w:rsidRPr="00E72418">
        <w:rPr>
          <w:rFonts w:ascii="Times New Roman" w:hAnsi="Times New Roman" w:cs="Times New Roman"/>
        </w:rPr>
        <w:t>« </w:t>
      </w:r>
      <w:r w:rsidR="005B326A" w:rsidRPr="00E72418">
        <w:rPr>
          <w:rFonts w:ascii="Times New Roman" w:hAnsi="Times New Roman" w:cs="Times New Roman"/>
        </w:rPr>
        <w:t>The Debt Pandemic</w:t>
      </w:r>
      <w:r w:rsidR="00FA2584" w:rsidRPr="00E72418">
        <w:rPr>
          <w:rFonts w:ascii="Times New Roman" w:hAnsi="Times New Roman" w:cs="Times New Roman"/>
        </w:rPr>
        <w:t> »</w:t>
      </w:r>
      <w:r w:rsidR="005B326A" w:rsidRPr="00E72418">
        <w:rPr>
          <w:rFonts w:ascii="Times New Roman" w:hAnsi="Times New Roman" w:cs="Times New Roman"/>
        </w:rPr>
        <w:t>, « </w:t>
      </w:r>
      <w:r w:rsidR="005B326A" w:rsidRPr="00E72418">
        <w:t xml:space="preserve">[a] further challenge comes from new holdout and litigation tactics by private investors to resist large debt write-downs and restructurings </w:t>
      </w:r>
      <w:r w:rsidR="005B326A" w:rsidRPr="00E72418">
        <w:rPr>
          <w:rFonts w:ascii="Times New Roman" w:hAnsi="Times New Roman" w:cs="Times New Roman"/>
        </w:rPr>
        <w:t>»</w:t>
      </w:r>
      <w:r w:rsidR="005B326A" w:rsidRPr="00E72418">
        <w:rPr>
          <w:rStyle w:val="Appelnotedebasdep"/>
          <w:rFonts w:ascii="Times New Roman" w:hAnsi="Times New Roman" w:cs="Times New Roman"/>
        </w:rPr>
        <w:footnoteReference w:id="674"/>
      </w:r>
      <w:r w:rsidR="005B326A" w:rsidRPr="00E72418">
        <w:rPr>
          <w:rFonts w:ascii="Times New Roman" w:hAnsi="Times New Roman" w:cs="Times New Roman"/>
        </w:rPr>
        <w:t>.</w:t>
      </w:r>
    </w:p>
    <w:p w14:paraId="5121F184" w14:textId="63CEF9DB" w:rsidR="00196C6D" w:rsidRPr="00E72418" w:rsidRDefault="00196C6D" w:rsidP="0054314B"/>
    <w:p w14:paraId="16544412" w14:textId="77777777" w:rsidR="0091693F" w:rsidRPr="00E72418" w:rsidRDefault="0091693F" w:rsidP="0054314B"/>
    <w:p w14:paraId="2783EB5B" w14:textId="0BF811AC" w:rsidR="00B45C7B" w:rsidRPr="00E72418" w:rsidRDefault="003C32DE" w:rsidP="00CC4BA8">
      <w:pPr>
        <w:pStyle w:val="BB"/>
        <w:spacing w:line="276" w:lineRule="auto"/>
      </w:pPr>
      <w:bookmarkStart w:id="150" w:name="_Toc59280914"/>
      <w:bookmarkStart w:id="151" w:name="_Toc75106083"/>
      <w:bookmarkStart w:id="152" w:name="_Toc84540902"/>
      <w:r w:rsidRPr="00E72418">
        <w:t xml:space="preserve">Titre 2 : </w:t>
      </w:r>
      <w:r w:rsidR="00B45C7B" w:rsidRPr="00E72418">
        <w:t>La notion</w:t>
      </w:r>
      <w:bookmarkEnd w:id="150"/>
      <w:bookmarkEnd w:id="151"/>
      <w:r w:rsidR="000D3101" w:rsidRPr="00E72418">
        <w:t xml:space="preserve"> de « </w:t>
      </w:r>
      <w:r w:rsidR="00261524" w:rsidRPr="00E72418">
        <w:rPr>
          <w:rFonts w:cs="Times New Roman"/>
        </w:rPr>
        <w:t xml:space="preserve">fonds spéculant sur les dettes souveraines en difficulté </w:t>
      </w:r>
      <w:r w:rsidR="000D3101" w:rsidRPr="00E72418">
        <w:t>»</w:t>
      </w:r>
      <w:bookmarkEnd w:id="152"/>
    </w:p>
    <w:p w14:paraId="0AE8C379" w14:textId="083FE340" w:rsidR="00B45C7B" w:rsidRPr="00E72418" w:rsidRDefault="00B45C7B" w:rsidP="0054314B"/>
    <w:p w14:paraId="60DD32FE" w14:textId="187FF39A" w:rsidR="00C22982" w:rsidRPr="00E72418" w:rsidRDefault="007F038F" w:rsidP="00C22982">
      <w:pPr>
        <w:spacing w:line="276" w:lineRule="auto"/>
      </w:pPr>
      <w:r w:rsidRPr="00E72418">
        <w:rPr>
          <w:b/>
        </w:rPr>
        <w:t xml:space="preserve">122. </w:t>
      </w:r>
      <w:r w:rsidR="00C22982" w:rsidRPr="00E72418">
        <w:rPr>
          <w:b/>
        </w:rPr>
        <w:t xml:space="preserve">Un phénomène à objectiver – </w:t>
      </w:r>
      <w:r w:rsidR="00813C82">
        <w:t xml:space="preserve">Il ressort de l’analyse des quelques contentieux emblématiques </w:t>
      </w:r>
      <w:r w:rsidR="00C22982" w:rsidRPr="00E72418">
        <w:t>pratiquée que le phénomène de la spéculation sur les dettes souveraines poursuivie en justice est bien réel. Il est un fait que les activités spéculatives étudiées n’ont pu prospérer que dans un contexte propice (</w:t>
      </w:r>
      <w:r w:rsidR="00C22982" w:rsidRPr="00E72418">
        <w:rPr>
          <w:b/>
        </w:rPr>
        <w:t>chapitre 1</w:t>
      </w:r>
      <w:r w:rsidR="00C22982" w:rsidRPr="00E72418">
        <w:t>). Les acteurs de cette spéculation ayant été remarqués, ils ont reçu diverses définitions (</w:t>
      </w:r>
      <w:r w:rsidR="00C22982" w:rsidRPr="00E72418">
        <w:rPr>
          <w:b/>
        </w:rPr>
        <w:t>chapitre 2</w:t>
      </w:r>
      <w:r w:rsidR="00C22982" w:rsidRPr="00E72418">
        <w:t>) lesquelles ne traduisent pas forcément l’ensemble des caractéristiques du modèle économique poursuivi par ceux-ci. Il importe par conséquent d’en dresser le portrait (</w:t>
      </w:r>
      <w:r w:rsidR="00C22982" w:rsidRPr="00E72418">
        <w:rPr>
          <w:b/>
        </w:rPr>
        <w:t>chapitre 3</w:t>
      </w:r>
      <w:r w:rsidR="00C22982" w:rsidRPr="00E72418">
        <w:t>) dont l’image globale a conduit les Nations Unies notamment à s’en inquiéter (</w:t>
      </w:r>
      <w:r w:rsidR="00C22982" w:rsidRPr="00E72418">
        <w:rPr>
          <w:b/>
        </w:rPr>
        <w:t>chapitre 4</w:t>
      </w:r>
      <w:r w:rsidR="00C22982" w:rsidRPr="00E72418">
        <w:t>). Cette préoccupat</w:t>
      </w:r>
      <w:r w:rsidR="007D4021" w:rsidRPr="00E72418">
        <w:t>ion est</w:t>
      </w:r>
      <w:r w:rsidR="00845496">
        <w:t>,</w:t>
      </w:r>
      <w:r w:rsidR="007D4021" w:rsidRPr="00E72418">
        <w:t xml:space="preserve"> pour l’essentiel</w:t>
      </w:r>
      <w:r w:rsidR="00845496">
        <w:t>,</w:t>
      </w:r>
      <w:r w:rsidR="007D4021" w:rsidRPr="00E72418">
        <w:t xml:space="preserve"> nourrie</w:t>
      </w:r>
      <w:r w:rsidR="00C22982" w:rsidRPr="00E72418">
        <w:t xml:space="preserve"> par les reproches qui peuvent être </w:t>
      </w:r>
      <w:r w:rsidR="007D4021" w:rsidRPr="00E72418">
        <w:t>adressés</w:t>
      </w:r>
      <w:r w:rsidR="00C22982" w:rsidRPr="00E72418">
        <w:t xml:space="preserve"> à la spéculation pratiquée (</w:t>
      </w:r>
      <w:r w:rsidR="00C22982" w:rsidRPr="00E72418">
        <w:rPr>
          <w:b/>
        </w:rPr>
        <w:t>chapitre 5</w:t>
      </w:r>
      <w:r w:rsidR="00C22982" w:rsidRPr="00E72418">
        <w:t>). Toutefois, l’on ne saurait passer sous silence les mérites des acteurs s’y adonnant (</w:t>
      </w:r>
      <w:r w:rsidR="00C22982" w:rsidRPr="00E72418">
        <w:rPr>
          <w:b/>
        </w:rPr>
        <w:t>chapitre 6</w:t>
      </w:r>
      <w:r w:rsidR="00C22982" w:rsidRPr="00E72418">
        <w:t>).</w:t>
      </w:r>
      <w:r w:rsidR="00C22982" w:rsidRPr="00E72418">
        <w:rPr>
          <w:b/>
        </w:rPr>
        <w:t xml:space="preserve"> </w:t>
      </w:r>
    </w:p>
    <w:p w14:paraId="1DAC3070" w14:textId="77777777" w:rsidR="007A0127" w:rsidRPr="00E72418" w:rsidRDefault="007A0127" w:rsidP="0054314B"/>
    <w:p w14:paraId="1E9FC264" w14:textId="11F87A26" w:rsidR="00B45C7B" w:rsidRPr="00E72418" w:rsidRDefault="000764CE" w:rsidP="00CC4BA8">
      <w:pPr>
        <w:pStyle w:val="CC"/>
        <w:spacing w:line="276" w:lineRule="auto"/>
      </w:pPr>
      <w:bookmarkStart w:id="153" w:name="_Toc59280915"/>
      <w:bookmarkStart w:id="154" w:name="_Toc75106084"/>
      <w:bookmarkStart w:id="155" w:name="_Toc84540903"/>
      <w:r w:rsidRPr="00E72418">
        <w:t xml:space="preserve">Chapitre 1 : </w:t>
      </w:r>
      <w:r w:rsidR="00B45C7B" w:rsidRPr="00E72418">
        <w:t>Le contexte d’émergence des activités spéculatives et leurs incitants</w:t>
      </w:r>
      <w:bookmarkEnd w:id="153"/>
      <w:bookmarkEnd w:id="154"/>
      <w:bookmarkEnd w:id="155"/>
      <w:r w:rsidR="00B45C7B" w:rsidRPr="00E72418">
        <w:t xml:space="preserve"> </w:t>
      </w:r>
    </w:p>
    <w:p w14:paraId="71F12A1A" w14:textId="77777777" w:rsidR="00B45C7B" w:rsidRPr="00E72418" w:rsidRDefault="00B45C7B" w:rsidP="0054314B"/>
    <w:p w14:paraId="4BE914FD" w14:textId="5B1F9B7F" w:rsidR="00B45C7B" w:rsidRPr="00E72418" w:rsidRDefault="007F038F" w:rsidP="00CC4BA8">
      <w:pPr>
        <w:spacing w:line="276" w:lineRule="auto"/>
      </w:pPr>
      <w:r w:rsidRPr="00E72418">
        <w:rPr>
          <w:b/>
        </w:rPr>
        <w:t>123</w:t>
      </w:r>
      <w:r w:rsidR="007E31CD" w:rsidRPr="00E72418">
        <w:rPr>
          <w:b/>
        </w:rPr>
        <w:t xml:space="preserve">. </w:t>
      </w:r>
      <w:r w:rsidR="00B45C7B" w:rsidRPr="00E72418">
        <w:rPr>
          <w:b/>
        </w:rPr>
        <w:t>Une conjoncture favorable –</w:t>
      </w:r>
      <w:r w:rsidR="00B45C7B" w:rsidRPr="00E72418">
        <w:t xml:space="preserve"> Si l’évolution du financement étatique</w:t>
      </w:r>
      <w:r w:rsidR="009E2153" w:rsidRPr="00E72418">
        <w:t xml:space="preserve"> </w:t>
      </w:r>
      <w:r w:rsidR="00856BFD" w:rsidRPr="00E72418">
        <w:t>a rendu</w:t>
      </w:r>
      <w:r w:rsidR="009E2153" w:rsidRPr="00E72418">
        <w:t xml:space="preserve"> l’émergence d’activités spéculatives sur les dettes souveraines possible</w:t>
      </w:r>
      <w:r w:rsidR="00B45C7B" w:rsidRPr="00E72418">
        <w:t>, le</w:t>
      </w:r>
      <w:r w:rsidR="009E2153" w:rsidRPr="00E72418">
        <w:t>ur</w:t>
      </w:r>
      <w:r w:rsidR="00B45C7B" w:rsidRPr="00E72418">
        <w:t xml:space="preserve"> développement </w:t>
      </w:r>
      <w:r w:rsidR="00856BFD" w:rsidRPr="00E72418">
        <w:t xml:space="preserve">entamé </w:t>
      </w:r>
      <w:r w:rsidR="00B45C7B" w:rsidRPr="00E72418">
        <w:t xml:space="preserve">à la fin du siècle passé </w:t>
      </w:r>
      <w:r w:rsidR="00856BFD" w:rsidRPr="00E72418">
        <w:t xml:space="preserve">et </w:t>
      </w:r>
      <w:r w:rsidR="00B45C7B" w:rsidRPr="00E72418">
        <w:t xml:space="preserve">poursuivi jusqu’à aujourd’hui s’explique par une conjoncture </w:t>
      </w:r>
      <w:r w:rsidR="00674C1A" w:rsidRPr="00E72418">
        <w:t xml:space="preserve">particulièrement favorable. </w:t>
      </w:r>
      <w:r w:rsidR="009E2153" w:rsidRPr="00E72418">
        <w:t>Ainsi, à</w:t>
      </w:r>
      <w:r w:rsidR="00B45C7B" w:rsidRPr="00E72418">
        <w:t xml:space="preserve"> côté de l’ouv</w:t>
      </w:r>
      <w:r w:rsidR="009E2153" w:rsidRPr="00E72418">
        <w:t>erture du marché des</w:t>
      </w:r>
      <w:r w:rsidR="00B45C7B" w:rsidRPr="00E72418">
        <w:t xml:space="preserve"> dette</w:t>
      </w:r>
      <w:r w:rsidR="009E2153" w:rsidRPr="00E72418">
        <w:t>s</w:t>
      </w:r>
      <w:r w:rsidR="00B45C7B" w:rsidRPr="00E72418">
        <w:t xml:space="preserve"> souveraine</w:t>
      </w:r>
      <w:r w:rsidR="009E2153" w:rsidRPr="00E72418">
        <w:t>s</w:t>
      </w:r>
      <w:r w:rsidR="00B45C7B" w:rsidRPr="00E72418">
        <w:t xml:space="preserve"> aux investisseurs privés</w:t>
      </w:r>
      <w:r w:rsidR="009E2153" w:rsidRPr="00E72418">
        <w:t xml:space="preserve">, </w:t>
      </w:r>
      <w:r w:rsidR="00856BFD" w:rsidRPr="00E72418">
        <w:t xml:space="preserve">l’absence de </w:t>
      </w:r>
      <w:r w:rsidR="001243C1" w:rsidRPr="00E72418">
        <w:t xml:space="preserve">réglementation </w:t>
      </w:r>
      <w:r w:rsidR="00856BFD" w:rsidRPr="00E72418">
        <w:t>de la spéculation sur celui-ci ainsi que l</w:t>
      </w:r>
      <w:r w:rsidR="00B45C7B" w:rsidRPr="00E72418">
        <w:t>’évolution de la figure de l’</w:t>
      </w:r>
      <w:r w:rsidR="00B45C7B" w:rsidRPr="00E72418">
        <w:rPr>
          <w:szCs w:val="24"/>
        </w:rPr>
        <w:t>É</w:t>
      </w:r>
      <w:r w:rsidR="00B45C7B" w:rsidRPr="00E72418">
        <w:t>tat débiteur</w:t>
      </w:r>
      <w:r w:rsidR="007D4021" w:rsidRPr="00E72418">
        <w:t>,</w:t>
      </w:r>
      <w:r w:rsidR="00856BFD" w:rsidRPr="00E72418">
        <w:t xml:space="preserve"> </w:t>
      </w:r>
      <w:r w:rsidR="008F24D6" w:rsidRPr="00E72418">
        <w:t>qui n’est</w:t>
      </w:r>
      <w:r w:rsidR="00856BFD" w:rsidRPr="00E72418">
        <w:t xml:space="preserve"> </w:t>
      </w:r>
      <w:r w:rsidR="008F24D6" w:rsidRPr="00E72418">
        <w:t xml:space="preserve">souvent </w:t>
      </w:r>
      <w:r w:rsidR="00856BFD" w:rsidRPr="00E72418">
        <w:t xml:space="preserve">plus vu comme un débiteur bénéficiant d’un quelconque régime </w:t>
      </w:r>
      <w:r w:rsidR="008F24D6" w:rsidRPr="00E72418">
        <w:t xml:space="preserve">protecteur </w:t>
      </w:r>
      <w:r w:rsidR="00856BFD" w:rsidRPr="00E72418">
        <w:t>particulier</w:t>
      </w:r>
      <w:r w:rsidR="007D4021" w:rsidRPr="00E72418">
        <w:t>,</w:t>
      </w:r>
      <w:r w:rsidR="00856BFD" w:rsidRPr="00E72418">
        <w:t xml:space="preserve"> </w:t>
      </w:r>
      <w:r w:rsidR="00B45C7B" w:rsidRPr="00E72418">
        <w:t xml:space="preserve">ont </w:t>
      </w:r>
      <w:r w:rsidR="009E2153" w:rsidRPr="00E72418">
        <w:t>conduit</w:t>
      </w:r>
      <w:r w:rsidR="00B45C7B" w:rsidRPr="00E72418">
        <w:t xml:space="preserve"> des fonds </w:t>
      </w:r>
      <w:r w:rsidR="008F24D6" w:rsidRPr="00E72418">
        <w:t>spéculatifs</w:t>
      </w:r>
      <w:r w:rsidR="00B45C7B" w:rsidRPr="00E72418">
        <w:t xml:space="preserve"> à </w:t>
      </w:r>
      <w:r w:rsidR="009E2153" w:rsidRPr="00E72418">
        <w:t>s’</w:t>
      </w:r>
      <w:r w:rsidR="00B45C7B" w:rsidRPr="00E72418">
        <w:t xml:space="preserve">y </w:t>
      </w:r>
      <w:r w:rsidR="009E2153" w:rsidRPr="00E72418">
        <w:t>engager.</w:t>
      </w:r>
      <w:r w:rsidR="00856BFD" w:rsidRPr="00E72418">
        <w:t xml:space="preserve"> Aussi, les succès engrangés lors de contentieux</w:t>
      </w:r>
      <w:r w:rsidR="008F24D6" w:rsidRPr="00E72418">
        <w:t xml:space="preserve"> portant sur l</w:t>
      </w:r>
      <w:r w:rsidR="00856BFD" w:rsidRPr="00E72418">
        <w:t>es dettes</w:t>
      </w:r>
      <w:r w:rsidR="008F24D6" w:rsidRPr="00E72418">
        <w:t xml:space="preserve"> souveraines ont contribué au développement de la spéculation dès lors que cette dernière a ainsi été perçue comme possible et </w:t>
      </w:r>
      <w:r w:rsidR="00813C82">
        <w:t xml:space="preserve">jugée </w:t>
      </w:r>
      <w:r w:rsidR="008F24D6" w:rsidRPr="00E72418">
        <w:t>souvent très rentable.</w:t>
      </w:r>
    </w:p>
    <w:p w14:paraId="47D71D54" w14:textId="77777777" w:rsidR="00B45C7B" w:rsidRPr="00E72418" w:rsidRDefault="00B45C7B" w:rsidP="0054314B"/>
    <w:p w14:paraId="228CFD2E" w14:textId="31078B38" w:rsidR="00B45C7B"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124</w:t>
      </w:r>
      <w:r w:rsidR="007E31CD" w:rsidRPr="00E72418">
        <w:rPr>
          <w:rFonts w:ascii="Times New Roman" w:hAnsi="Times New Roman" w:cs="Times New Roman"/>
          <w:b/>
          <w:szCs w:val="24"/>
        </w:rPr>
        <w:t xml:space="preserve">. </w:t>
      </w:r>
      <w:r w:rsidR="00B45C7B" w:rsidRPr="00E72418">
        <w:rPr>
          <w:rFonts w:ascii="Times New Roman" w:hAnsi="Times New Roman" w:cs="Times New Roman"/>
          <w:b/>
          <w:szCs w:val="24"/>
        </w:rPr>
        <w:t xml:space="preserve">Des opportunités financières </w:t>
      </w:r>
      <w:r w:rsidR="00B45C7B" w:rsidRPr="00E72418">
        <w:rPr>
          <w:b/>
        </w:rPr>
        <w:t>–</w:t>
      </w:r>
      <w:r w:rsidR="00B45C7B" w:rsidRPr="00E72418">
        <w:t xml:space="preserve"> </w:t>
      </w:r>
      <w:r w:rsidR="009E2153" w:rsidRPr="00E72418">
        <w:t>Alors que</w:t>
      </w:r>
      <w:r w:rsidR="004F2AD2" w:rsidRPr="00E72418">
        <w:t xml:space="preserve"> les fonds spéculant</w:t>
      </w:r>
      <w:r w:rsidR="00B45C7B" w:rsidRPr="00E72418">
        <w:t xml:space="preserve"> sur les dettes souveraines se sont surtout fait connaître au début du siècle ave</w:t>
      </w:r>
      <w:r w:rsidR="0022695C" w:rsidRPr="00E72418">
        <w:t>c le contentieux argentin, les activités de ces fonds d</w:t>
      </w:r>
      <w:r w:rsidR="00B45C7B" w:rsidRPr="00E72418">
        <w:t xml:space="preserve">ébutèrent dès les années 80 avec l’ouverture </w:t>
      </w:r>
      <w:r w:rsidR="00C82E25" w:rsidRPr="00E72418">
        <w:t xml:space="preserve">du marché </w:t>
      </w:r>
      <w:r w:rsidR="0017729F" w:rsidRPr="00E72418">
        <w:t>des</w:t>
      </w:r>
      <w:r w:rsidR="00B45C7B" w:rsidRPr="00E72418">
        <w:t xml:space="preserve"> dette</w:t>
      </w:r>
      <w:r w:rsidR="0017729F" w:rsidRPr="00E72418">
        <w:t>s</w:t>
      </w:r>
      <w:r w:rsidR="00B45C7B" w:rsidRPr="00E72418">
        <w:t xml:space="preserve"> souveraine</w:t>
      </w:r>
      <w:r w:rsidR="0017729F" w:rsidRPr="00E72418">
        <w:t>s</w:t>
      </w:r>
      <w:r w:rsidR="00B45C7B" w:rsidRPr="00E72418">
        <w:t xml:space="preserve"> aux </w:t>
      </w:r>
      <w:r w:rsidR="00B45C7B" w:rsidRPr="00E72418">
        <w:lastRenderedPageBreak/>
        <w:t>créancier</w:t>
      </w:r>
      <w:r w:rsidR="00C82E25" w:rsidRPr="00E72418">
        <w:t>s pa</w:t>
      </w:r>
      <w:r w:rsidR="0022695C" w:rsidRPr="00E72418">
        <w:t>rticuliers et la création d’un</w:t>
      </w:r>
      <w:r w:rsidR="00B45C7B" w:rsidRPr="00E72418">
        <w:t xml:space="preserve"> marché secondaire</w:t>
      </w:r>
      <w:r w:rsidR="00B45C7B" w:rsidRPr="00E72418">
        <w:rPr>
          <w:rStyle w:val="Appelnotedebasdep"/>
        </w:rPr>
        <w:footnoteReference w:id="675"/>
      </w:r>
      <w:r w:rsidR="00B45C7B" w:rsidRPr="00E72418">
        <w:t xml:space="preserve">. </w:t>
      </w:r>
      <w:r w:rsidR="00B45C7B" w:rsidRPr="00E72418">
        <w:rPr>
          <w:rFonts w:ascii="Times New Roman" w:hAnsi="Times New Roman" w:cs="Times New Roman"/>
          <w:szCs w:val="24"/>
        </w:rPr>
        <w:t>Des investisseurs virent dans le marché secondaire des dettes souveraines d’intéressantes opportunités financières</w:t>
      </w:r>
      <w:r w:rsidR="00B45C7B" w:rsidRPr="00E72418">
        <w:rPr>
          <w:rStyle w:val="Appelnotedebasdep"/>
          <w:rFonts w:ascii="Times New Roman" w:hAnsi="Times New Roman" w:cs="Times New Roman"/>
          <w:szCs w:val="24"/>
        </w:rPr>
        <w:footnoteReference w:id="676"/>
      </w:r>
      <w:r w:rsidR="00B45C7B" w:rsidRPr="00E72418">
        <w:rPr>
          <w:rFonts w:ascii="Times New Roman" w:hAnsi="Times New Roman" w:cs="Times New Roman"/>
          <w:szCs w:val="24"/>
        </w:rPr>
        <w:t xml:space="preserve">. </w:t>
      </w:r>
    </w:p>
    <w:p w14:paraId="15D98323" w14:textId="1180BF37" w:rsidR="00B45C7B" w:rsidRPr="00E72418" w:rsidRDefault="00B45C7B" w:rsidP="00CC4BA8">
      <w:pPr>
        <w:spacing w:line="276" w:lineRule="auto"/>
      </w:pPr>
      <w:r w:rsidRPr="00E72418">
        <w:rPr>
          <w:rFonts w:ascii="Times New Roman" w:hAnsi="Times New Roman" w:cs="Times New Roman"/>
          <w:szCs w:val="24"/>
        </w:rPr>
        <w:t xml:space="preserve">La stratégie </w:t>
      </w:r>
      <w:r w:rsidR="000B0E13" w:rsidRPr="00E72418">
        <w:rPr>
          <w:rFonts w:ascii="Times New Roman" w:hAnsi="Times New Roman" w:cs="Times New Roman"/>
          <w:szCs w:val="24"/>
        </w:rPr>
        <w:t xml:space="preserve">spéculative </w:t>
      </w:r>
      <w:r w:rsidRPr="00E72418">
        <w:rPr>
          <w:rFonts w:ascii="Times New Roman" w:hAnsi="Times New Roman" w:cs="Times New Roman"/>
          <w:szCs w:val="24"/>
        </w:rPr>
        <w:t xml:space="preserve">consiste à </w:t>
      </w:r>
      <w:r w:rsidRPr="00E72418">
        <w:t xml:space="preserve">acquérir sur le marché secondaire des créances bradées dont les débiteurs sont des </w:t>
      </w:r>
      <w:r w:rsidRPr="00E72418">
        <w:rPr>
          <w:lang w:eastAsia="fr-BE"/>
        </w:rPr>
        <w:t>É</w:t>
      </w:r>
      <w:r w:rsidRPr="00E72418">
        <w:t xml:space="preserve">tats en difficulté pour, après que ces derniers ont montré des signes de mieux-être économique, en poursuivre </w:t>
      </w:r>
      <w:r w:rsidR="000B0E13" w:rsidRPr="00E72418">
        <w:t xml:space="preserve">en justice </w:t>
      </w:r>
      <w:r w:rsidRPr="00E72418">
        <w:t>le remboursement à leur valeur nominale</w:t>
      </w:r>
      <w:r w:rsidRPr="00E72418">
        <w:rPr>
          <w:rStyle w:val="Appelnotedebasdep"/>
        </w:rPr>
        <w:footnoteReference w:id="677"/>
      </w:r>
      <w:r w:rsidRPr="00E72418">
        <w:t xml:space="preserve">. </w:t>
      </w:r>
      <w:r w:rsidR="004F70C8" w:rsidRPr="00E72418">
        <w:t xml:space="preserve">Jonathan </w:t>
      </w:r>
      <w:r w:rsidR="000B0E13" w:rsidRPr="00E72418">
        <w:t xml:space="preserve">Blackman et </w:t>
      </w:r>
      <w:r w:rsidR="004F70C8" w:rsidRPr="00E72418">
        <w:t xml:space="preserve">Rahul </w:t>
      </w:r>
      <w:r w:rsidR="000B0E13" w:rsidRPr="00E72418">
        <w:t>Mukhi l’expliquent,</w:t>
      </w:r>
      <w:r w:rsidRPr="00E72418">
        <w:t xml:space="preserve"> « </w:t>
      </w:r>
      <w:r w:rsidRPr="00E72418">
        <w:rPr>
          <w:rFonts w:ascii="Times New Roman" w:hAnsi="Times New Roman" w:cs="Times New Roman"/>
        </w:rPr>
        <w:t>[m]</w:t>
      </w:r>
      <w:r w:rsidRPr="00E72418">
        <w:t>odern sovereign debt litigation was born from the rise of the secondary debt market and the attendant opportunities for arbitrage, which, in turn, gave life to an industry of professional suers of foreign states »</w:t>
      </w:r>
      <w:r w:rsidRPr="00E72418">
        <w:rPr>
          <w:rStyle w:val="Appelnotedebasdep"/>
        </w:rPr>
        <w:footnoteReference w:id="678"/>
      </w:r>
      <w:r w:rsidRPr="00E72418">
        <w:t xml:space="preserve">. </w:t>
      </w:r>
      <w:r w:rsidR="000B0E13" w:rsidRPr="00E72418">
        <w:rPr>
          <w:lang w:val="en-US"/>
        </w:rPr>
        <w:t xml:space="preserve">Comme le notent </w:t>
      </w:r>
      <w:r w:rsidR="00B86471" w:rsidRPr="00E72418">
        <w:rPr>
          <w:lang w:val="en-US"/>
        </w:rPr>
        <w:t xml:space="preserve">Natasha </w:t>
      </w:r>
      <w:r w:rsidR="000B0E13" w:rsidRPr="00E72418">
        <w:rPr>
          <w:lang w:val="en-US"/>
        </w:rPr>
        <w:t xml:space="preserve">Harrison et </w:t>
      </w:r>
      <w:r w:rsidR="00B86471" w:rsidRPr="00E72418">
        <w:rPr>
          <w:lang w:val="en-US"/>
        </w:rPr>
        <w:t xml:space="preserve">Fiona </w:t>
      </w:r>
      <w:r w:rsidR="000B0E13" w:rsidRPr="00E72418">
        <w:rPr>
          <w:lang w:val="en-US"/>
        </w:rPr>
        <w:t>Huntriss, « [h]edge funds and other investment funds are emerging as sophisticated litigators, viewing litigation as an asset, which can create value and mitigate risk, rather than something to be avoided or feared »</w:t>
      </w:r>
      <w:r w:rsidR="000B0E13" w:rsidRPr="00E72418">
        <w:rPr>
          <w:rStyle w:val="Appelnotedebasdep"/>
          <w:lang w:val="en-US"/>
        </w:rPr>
        <w:footnoteReference w:id="679"/>
      </w:r>
      <w:r w:rsidR="000B0E13" w:rsidRPr="00E72418">
        <w:rPr>
          <w:lang w:val="en-US"/>
        </w:rPr>
        <w:t>.</w:t>
      </w:r>
      <w:r w:rsidR="000B0E13" w:rsidRPr="00E72418">
        <w:t xml:space="preserve"> L’on vit ainsi apparaître</w:t>
      </w:r>
      <w:r w:rsidRPr="00E72418">
        <w:t xml:space="preserve"> ce que </w:t>
      </w:r>
      <w:r w:rsidR="000B0E13" w:rsidRPr="00E72418">
        <w:t xml:space="preserve">certains </w:t>
      </w:r>
      <w:r w:rsidRPr="00E72418">
        <w:t>appelle</w:t>
      </w:r>
      <w:r w:rsidR="000B0E13" w:rsidRPr="00E72418">
        <w:t>ront d</w:t>
      </w:r>
      <w:r w:rsidRPr="00E72418">
        <w:t>es « debt serial litigators »</w:t>
      </w:r>
      <w:r w:rsidRPr="00E72418">
        <w:rPr>
          <w:rStyle w:val="Appelnotedebasdep"/>
        </w:rPr>
        <w:footnoteReference w:id="680"/>
      </w:r>
      <w:r w:rsidRPr="00E72418">
        <w:t>.</w:t>
      </w:r>
    </w:p>
    <w:p w14:paraId="54889CBF" w14:textId="77777777" w:rsidR="00B45C7B" w:rsidRPr="00E72418" w:rsidRDefault="00B45C7B" w:rsidP="0054314B"/>
    <w:p w14:paraId="17F22CB9" w14:textId="6FF0970A" w:rsidR="00B45C7B" w:rsidRPr="00E72418" w:rsidRDefault="007F038F" w:rsidP="00CC4BA8">
      <w:pPr>
        <w:spacing w:line="276" w:lineRule="auto"/>
      </w:pPr>
      <w:r w:rsidRPr="00E72418">
        <w:rPr>
          <w:b/>
        </w:rPr>
        <w:t>125</w:t>
      </w:r>
      <w:r w:rsidR="007E31CD" w:rsidRPr="00E72418">
        <w:rPr>
          <w:b/>
        </w:rPr>
        <w:t xml:space="preserve">. </w:t>
      </w:r>
      <w:r w:rsidR="00B45C7B" w:rsidRPr="00E72418">
        <w:rPr>
          <w:b/>
        </w:rPr>
        <w:t xml:space="preserve">L’absence de </w:t>
      </w:r>
      <w:r w:rsidR="001243C1" w:rsidRPr="00E72418">
        <w:rPr>
          <w:b/>
        </w:rPr>
        <w:t xml:space="preserve">réglementation </w:t>
      </w:r>
      <w:r w:rsidR="00B45C7B" w:rsidRPr="00E72418">
        <w:rPr>
          <w:b/>
        </w:rPr>
        <w:t xml:space="preserve">et de protection – </w:t>
      </w:r>
      <w:r w:rsidR="00B45C7B" w:rsidRPr="00E72418">
        <w:t xml:space="preserve">Le modèle </w:t>
      </w:r>
      <w:r w:rsidR="00377E0C" w:rsidRPr="00E72418">
        <w:t xml:space="preserve">économique </w:t>
      </w:r>
      <w:r w:rsidR="004F2AD2" w:rsidRPr="00E72418">
        <w:t>des fonds spéculant</w:t>
      </w:r>
      <w:r w:rsidR="00B45C7B" w:rsidRPr="00E72418">
        <w:t xml:space="preserve"> sur les dettes souveraines repose sur l’idée selon laquelle leurs débiteurs ne peuvent tomber en faillite assurant de la sorte qu’ils finiront toujours par payer leurs dettes</w:t>
      </w:r>
      <w:r w:rsidR="00B45C7B" w:rsidRPr="00E72418">
        <w:rPr>
          <w:rStyle w:val="Appelnotedebasdep"/>
        </w:rPr>
        <w:footnoteReference w:id="681"/>
      </w:r>
      <w:r w:rsidR="00B968BE" w:rsidRPr="00E72418">
        <w:rPr>
          <w:vertAlign w:val="superscript"/>
        </w:rPr>
        <w:t>,</w:t>
      </w:r>
      <w:r w:rsidR="00B45C7B" w:rsidRPr="00E72418">
        <w:rPr>
          <w:rStyle w:val="Appelnotedebasdep"/>
        </w:rPr>
        <w:footnoteReference w:id="682"/>
      </w:r>
      <w:r w:rsidR="00B45C7B" w:rsidRPr="00E72418">
        <w:t xml:space="preserve">. Plus </w:t>
      </w:r>
      <w:r w:rsidR="00B45C7B" w:rsidRPr="00E72418">
        <w:lastRenderedPageBreak/>
        <w:t xml:space="preserve">encore, il est impossible </w:t>
      </w:r>
      <w:r w:rsidR="002765CD" w:rsidRPr="00E72418">
        <w:t>pour l’</w:t>
      </w:r>
      <w:r w:rsidR="00CC6336" w:rsidRPr="00E72418">
        <w:rPr>
          <w:lang w:eastAsia="fr-BE"/>
        </w:rPr>
        <w:t>É</w:t>
      </w:r>
      <w:r w:rsidR="002765CD" w:rsidRPr="00E72418">
        <w:t>tat</w:t>
      </w:r>
      <w:r w:rsidR="00CC6336" w:rsidRPr="00E72418">
        <w:t xml:space="preserve"> </w:t>
      </w:r>
      <w:r w:rsidR="002765CD" w:rsidRPr="00E72418">
        <w:t xml:space="preserve">souverain </w:t>
      </w:r>
      <w:r w:rsidR="00CC6336" w:rsidRPr="00E72418">
        <w:t xml:space="preserve">en difficulté financière </w:t>
      </w:r>
      <w:r w:rsidR="00B45C7B" w:rsidRPr="00E72418">
        <w:t>de recourir à quelque procédure d’insolvabilité</w:t>
      </w:r>
      <w:r w:rsidR="00B26ED2" w:rsidRPr="00E72418">
        <w:t>.</w:t>
      </w:r>
      <w:r w:rsidR="00B26ED2" w:rsidRPr="00E72418" w:rsidDel="00B26ED2">
        <w:t xml:space="preserve"> </w:t>
      </w:r>
    </w:p>
    <w:p w14:paraId="40AA66CF" w14:textId="74620A52" w:rsidR="00B45C7B" w:rsidRPr="00E72418" w:rsidRDefault="00B45C7B" w:rsidP="00CC4BA8">
      <w:pPr>
        <w:spacing w:line="276" w:lineRule="auto"/>
        <w:rPr>
          <w:rFonts w:ascii="Courier New" w:hAnsi="Courier New"/>
          <w:lang w:val="fr-BE"/>
        </w:rPr>
      </w:pPr>
      <w:r w:rsidRPr="00E72418">
        <w:t xml:space="preserve">L’absence de mécanisme de faillite </w:t>
      </w:r>
      <w:r w:rsidR="002765CD" w:rsidRPr="00E72418">
        <w:t xml:space="preserve">étatique </w:t>
      </w:r>
      <w:r w:rsidRPr="00E72418">
        <w:t xml:space="preserve">participe à l’engouement pour la spéculation sur les dettes souveraines. Il n’existe en effet </w:t>
      </w:r>
      <w:r w:rsidR="002765CD" w:rsidRPr="00E72418">
        <w:t>ni</w:t>
      </w:r>
      <w:r w:rsidRPr="00E72418">
        <w:t xml:space="preserve"> instance ni </w:t>
      </w:r>
      <w:r w:rsidR="002765CD" w:rsidRPr="00E72418">
        <w:t>régulateur susceptibles</w:t>
      </w:r>
      <w:r w:rsidRPr="00E72418">
        <w:t xml:space="preserve"> de contrôler les pratiq</w:t>
      </w:r>
      <w:r w:rsidR="0017729F" w:rsidRPr="00E72418">
        <w:t>ues en œuvre sur le marché des</w:t>
      </w:r>
      <w:r w:rsidRPr="00E72418">
        <w:t xml:space="preserve"> dette</w:t>
      </w:r>
      <w:r w:rsidR="0017729F" w:rsidRPr="00E72418">
        <w:t>s</w:t>
      </w:r>
      <w:r w:rsidRPr="00E72418">
        <w:t xml:space="preserve"> souveraine</w:t>
      </w:r>
      <w:r w:rsidR="0017729F" w:rsidRPr="00E72418">
        <w:t>s</w:t>
      </w:r>
      <w:r w:rsidRPr="00E72418">
        <w:t xml:space="preserve"> et</w:t>
      </w:r>
      <w:r w:rsidR="002765CD" w:rsidRPr="00E72418">
        <w:t>,</w:t>
      </w:r>
      <w:r w:rsidRPr="00E72418">
        <w:t xml:space="preserve"> par</w:t>
      </w:r>
      <w:r w:rsidR="002765CD" w:rsidRPr="00E72418">
        <w:t xml:space="preserve">tant, </w:t>
      </w:r>
      <w:r w:rsidRPr="00E72418">
        <w:t>de lutter contre les stratégies judiciaires des fonds spéculatifs</w:t>
      </w:r>
      <w:r w:rsidRPr="00E72418">
        <w:rPr>
          <w:rStyle w:val="Appelnotedebasdep"/>
          <w:rFonts w:cs="Times New Roman"/>
          <w:szCs w:val="24"/>
        </w:rPr>
        <w:footnoteReference w:id="683"/>
      </w:r>
      <w:r w:rsidRPr="00E72418">
        <w:t xml:space="preserve">. </w:t>
      </w:r>
      <w:r w:rsidR="00A57BD3" w:rsidRPr="00E72418">
        <w:t>Pointant la situation de l’</w:t>
      </w:r>
      <w:r w:rsidR="005F1C94" w:rsidRPr="00E72418">
        <w:rPr>
          <w:lang w:eastAsia="fr-BE"/>
        </w:rPr>
        <w:t>É</w:t>
      </w:r>
      <w:r w:rsidR="00A57BD3" w:rsidRPr="00E72418">
        <w:t>tat de New York où il entend qu’une législation soit adoptée, le sénateur Gustavo Rivera indique que « </w:t>
      </w:r>
      <w:r w:rsidR="00A57BD3" w:rsidRPr="00E72418">
        <w:rPr>
          <w:szCs w:val="20"/>
        </w:rPr>
        <w:t>[b]</w:t>
      </w:r>
      <w:r w:rsidR="00A57BD3" w:rsidRPr="00E72418">
        <w:t>ecause New York has no financial and legal architecture governing sovereign debt contracts, its power is being superseded by a few bad faith actors who are exploiting a void in the State’s legal system to engage in destabilizing and speculative behavior »</w:t>
      </w:r>
      <w:r w:rsidR="00A57BD3" w:rsidRPr="00E72418">
        <w:rPr>
          <w:rStyle w:val="Appelnotedebasdep"/>
        </w:rPr>
        <w:footnoteReference w:id="684"/>
      </w:r>
      <w:r w:rsidR="00A57BD3" w:rsidRPr="00E72418">
        <w:t>.</w:t>
      </w:r>
    </w:p>
    <w:p w14:paraId="6436F67A" w14:textId="3E437522" w:rsidR="001D4016" w:rsidRPr="00E72418" w:rsidRDefault="00377E0C" w:rsidP="00CC4BA8">
      <w:pPr>
        <w:spacing w:line="276" w:lineRule="auto"/>
      </w:pPr>
      <w:r w:rsidRPr="00E72418">
        <w:t xml:space="preserve">Les créanciers secondaires spéculatifs bénéficient de l’inexistence d’un système de faillite pour les </w:t>
      </w:r>
      <w:r w:rsidRPr="00E72418">
        <w:rPr>
          <w:szCs w:val="24"/>
        </w:rPr>
        <w:t>É</w:t>
      </w:r>
      <w:r w:rsidRPr="00E72418">
        <w:t xml:space="preserve">tats. Ils profitent ainsi du fait que les débiteurs souverains ne sont en principe pas protégés comme le sont généralement d’autres débiteurs insolvables, comme par exemple par </w:t>
      </w:r>
      <w:r w:rsidR="00B45C7B" w:rsidRPr="00E72418">
        <w:t xml:space="preserve">la suspension des contentieux intentés ou encore </w:t>
      </w:r>
      <w:r w:rsidRPr="00E72418">
        <w:t xml:space="preserve">par </w:t>
      </w:r>
      <w:r w:rsidR="00B45C7B" w:rsidRPr="00E72418">
        <w:t>la réduction qu</w:t>
      </w:r>
      <w:r w:rsidR="002765CD" w:rsidRPr="00E72418">
        <w:t>e pourraient imposer</w:t>
      </w:r>
      <w:r w:rsidR="00B45C7B" w:rsidRPr="00E72418">
        <w:t xml:space="preserve"> les juridictions </w:t>
      </w:r>
      <w:r w:rsidR="002765CD" w:rsidRPr="00E72418">
        <w:t>saisies de</w:t>
      </w:r>
      <w:r w:rsidR="00B45C7B" w:rsidRPr="00E72418">
        <w:t xml:space="preserve"> réclamations</w:t>
      </w:r>
      <w:r w:rsidR="00B45C7B" w:rsidRPr="00E72418">
        <w:rPr>
          <w:rStyle w:val="Appelnotedebasdep"/>
        </w:rPr>
        <w:footnoteReference w:id="685"/>
      </w:r>
      <w:r w:rsidR="00B45C7B" w:rsidRPr="00E72418">
        <w:t xml:space="preserve">. </w:t>
      </w:r>
    </w:p>
    <w:p w14:paraId="2B9A9A03" w14:textId="77777777" w:rsidR="00B45C7B" w:rsidRPr="00E72418" w:rsidRDefault="00B45C7B" w:rsidP="00CC4BA8">
      <w:pPr>
        <w:spacing w:line="276" w:lineRule="auto"/>
        <w:rPr>
          <w:rFonts w:cs="Times New Roman"/>
          <w:szCs w:val="24"/>
        </w:rPr>
      </w:pPr>
      <w:r w:rsidRPr="00E72418">
        <w:t xml:space="preserve">Faute de règles, les difficultés </w:t>
      </w:r>
      <w:r w:rsidR="001D4016" w:rsidRPr="00E72418">
        <w:t xml:space="preserve">liées aux dettes souveraines </w:t>
      </w:r>
      <w:r w:rsidRPr="00E72418">
        <w:t xml:space="preserve">doivent être résolues par la seule application des contrats. </w:t>
      </w:r>
      <w:r w:rsidR="00CE53EE" w:rsidRPr="00E72418">
        <w:rPr>
          <w:rFonts w:cs="Times New Roman"/>
          <w:szCs w:val="24"/>
        </w:rPr>
        <w:t>Les créanciers spéculatifs ont alors uniquement à réclamer l’application des termes convenus</w:t>
      </w:r>
      <w:r w:rsidR="00CE53EE" w:rsidRPr="00E72418">
        <w:rPr>
          <w:rStyle w:val="Appelnotedebasdep"/>
          <w:rFonts w:cs="Times New Roman"/>
          <w:szCs w:val="24"/>
        </w:rPr>
        <w:footnoteReference w:id="686"/>
      </w:r>
      <w:r w:rsidR="00CE53EE" w:rsidRPr="00E72418">
        <w:rPr>
          <w:rFonts w:cs="Times New Roman"/>
          <w:szCs w:val="24"/>
        </w:rPr>
        <w:t xml:space="preserve">. </w:t>
      </w:r>
      <w:r w:rsidRPr="00E72418">
        <w:rPr>
          <w:rFonts w:cs="Times New Roman"/>
          <w:szCs w:val="24"/>
        </w:rPr>
        <w:t xml:space="preserve">Ainsi, comme l’évoqua la </w:t>
      </w:r>
      <w:r w:rsidRPr="00C6627B">
        <w:rPr>
          <w:rFonts w:cs="Times New Roman"/>
          <w:szCs w:val="24"/>
        </w:rPr>
        <w:t>United States District Court for the Southern District of New York</w:t>
      </w:r>
      <w:r w:rsidRPr="00E72418">
        <w:rPr>
          <w:rFonts w:cs="Times New Roman"/>
          <w:szCs w:val="24"/>
        </w:rPr>
        <w:t xml:space="preserve"> intervenant dans le cadre du contentieux argentin, « </w:t>
      </w:r>
      <w:r w:rsidRPr="00E72418">
        <w:rPr>
          <w:rFonts w:ascii="Times New Roman" w:hAnsi="Times New Roman" w:cs="Times New Roman"/>
        </w:rPr>
        <w:t>[u]</w:t>
      </w:r>
      <w:r w:rsidRPr="00E72418">
        <w:rPr>
          <w:rFonts w:cs="Times New Roman"/>
          <w:szCs w:val="24"/>
        </w:rPr>
        <w:t>nlike bankruptcy courts, which have significant power to reallocate debtors’ assets to satisfy creditor claims, the court in this case is limited to enforcing the terms of the specific contracts before it »</w:t>
      </w:r>
      <w:r w:rsidRPr="00E72418">
        <w:rPr>
          <w:rStyle w:val="Appelnotedebasdep"/>
          <w:rFonts w:cs="Times New Roman"/>
          <w:szCs w:val="24"/>
        </w:rPr>
        <w:footnoteReference w:id="687"/>
      </w:r>
      <w:r w:rsidRPr="00E72418">
        <w:rPr>
          <w:rFonts w:cs="Times New Roman"/>
          <w:szCs w:val="24"/>
        </w:rPr>
        <w:t xml:space="preserve">. </w:t>
      </w:r>
    </w:p>
    <w:p w14:paraId="651329F2" w14:textId="77777777" w:rsidR="00B45C7B" w:rsidRPr="00E72418" w:rsidRDefault="00B45C7B" w:rsidP="0054314B"/>
    <w:p w14:paraId="2B3D2658" w14:textId="4332ED7A" w:rsidR="00B45C7B" w:rsidRPr="00E72418" w:rsidRDefault="007F038F" w:rsidP="00CC4BA8">
      <w:pPr>
        <w:spacing w:line="276" w:lineRule="auto"/>
      </w:pPr>
      <w:r w:rsidRPr="00E72418">
        <w:rPr>
          <w:b/>
        </w:rPr>
        <w:t>126</w:t>
      </w:r>
      <w:r w:rsidR="007E31CD" w:rsidRPr="00E72418">
        <w:rPr>
          <w:b/>
        </w:rPr>
        <w:t xml:space="preserve">. </w:t>
      </w:r>
      <w:r w:rsidR="00B45C7B" w:rsidRPr="00E72418">
        <w:rPr>
          <w:b/>
        </w:rPr>
        <w:t>Des succès –</w:t>
      </w:r>
      <w:r w:rsidR="00B45C7B" w:rsidRPr="00E72418">
        <w:t xml:space="preserve"> Parallèlement à cette absence </w:t>
      </w:r>
      <w:r w:rsidR="00CE53EE" w:rsidRPr="00E72418">
        <w:t xml:space="preserve">de protection des </w:t>
      </w:r>
      <w:r w:rsidR="00B45C7B" w:rsidRPr="00E72418">
        <w:rPr>
          <w:szCs w:val="24"/>
        </w:rPr>
        <w:t>É</w:t>
      </w:r>
      <w:r w:rsidR="00B45C7B" w:rsidRPr="00E72418">
        <w:t>tat</w:t>
      </w:r>
      <w:r w:rsidR="00CE53EE" w:rsidRPr="00E72418">
        <w:t>s</w:t>
      </w:r>
      <w:r w:rsidR="00B45C7B" w:rsidRPr="00E72418">
        <w:t xml:space="preserve"> débiteur</w:t>
      </w:r>
      <w:r w:rsidR="00CE53EE" w:rsidRPr="00E72418">
        <w:t>s</w:t>
      </w:r>
      <w:r w:rsidR="00B45C7B" w:rsidRPr="00E72418">
        <w:t xml:space="preserve"> faisant face à des difficultés sur </w:t>
      </w:r>
      <w:r w:rsidR="00CE53EE" w:rsidRPr="00E72418">
        <w:t>leur</w:t>
      </w:r>
      <w:r w:rsidR="00B45C7B" w:rsidRPr="00E72418">
        <w:t xml:space="preserve"> dette, les fonds spéculatifs ont su tirer profit de l’érosion de</w:t>
      </w:r>
      <w:r w:rsidR="007D4021" w:rsidRPr="00E72418">
        <w:t xml:space="preserve"> leur avantage</w:t>
      </w:r>
      <w:r w:rsidR="00377E0C" w:rsidRPr="00E72418">
        <w:t xml:space="preserve"> immunitaire</w:t>
      </w:r>
      <w:r w:rsidR="00B45C7B" w:rsidRPr="00E72418">
        <w:t xml:space="preserve"> pour </w:t>
      </w:r>
      <w:r w:rsidR="00CE53EE" w:rsidRPr="00E72418">
        <w:t xml:space="preserve">les </w:t>
      </w:r>
      <w:r w:rsidR="00B45C7B" w:rsidRPr="00E72418">
        <w:t>attraire en justice</w:t>
      </w:r>
      <w:r w:rsidR="00B45C7B" w:rsidRPr="00E72418">
        <w:rPr>
          <w:rStyle w:val="Appelnotedebasdep"/>
        </w:rPr>
        <w:footnoteReference w:id="688"/>
      </w:r>
      <w:r w:rsidR="00B45C7B" w:rsidRPr="00E72418">
        <w:t>. Les succès ayant couronné de nom</w:t>
      </w:r>
      <w:r w:rsidR="00977EC9" w:rsidRPr="00E72418">
        <w:t>breux contentieux intentés par c</w:t>
      </w:r>
      <w:r w:rsidR="00B45C7B" w:rsidRPr="00E72418">
        <w:t xml:space="preserve">es </w:t>
      </w:r>
      <w:r w:rsidR="00CE53EE" w:rsidRPr="00E72418">
        <w:t xml:space="preserve">créanciers </w:t>
      </w:r>
      <w:r w:rsidR="00B45C7B" w:rsidRPr="00E72418">
        <w:t xml:space="preserve">ont sans doute </w:t>
      </w:r>
      <w:r w:rsidR="00977EC9" w:rsidRPr="00E72418">
        <w:t>contribué</w:t>
      </w:r>
      <w:r w:rsidR="00B45C7B" w:rsidRPr="00E72418">
        <w:t xml:space="preserve"> au renforcement de leurs activités</w:t>
      </w:r>
      <w:r w:rsidR="00977EC9" w:rsidRPr="00E72418">
        <w:t xml:space="preserve"> spéculatives</w:t>
      </w:r>
      <w:r w:rsidR="00B45C7B" w:rsidRPr="00E72418">
        <w:t xml:space="preserve">. </w:t>
      </w:r>
      <w:r w:rsidR="00CE53EE" w:rsidRPr="00E72418">
        <w:t>L’examen de la</w:t>
      </w:r>
      <w:r w:rsidR="00B45C7B" w:rsidRPr="00E72418">
        <w:t xml:space="preserve"> s</w:t>
      </w:r>
      <w:r w:rsidR="00CE53EE" w:rsidRPr="00E72418">
        <w:t xml:space="preserve">eule jurisprudence étatsunienne suffit à noter que </w:t>
      </w:r>
      <w:r w:rsidR="00B45C7B" w:rsidRPr="00E72418">
        <w:t>nombreus</w:t>
      </w:r>
      <w:r w:rsidR="00CE53EE" w:rsidRPr="00E72418">
        <w:t>es sont les décisions rendues à leur</w:t>
      </w:r>
      <w:r w:rsidR="00B45C7B" w:rsidRPr="00E72418">
        <w:t xml:space="preserve"> profit, la tendance étant de faire prévaloir les droits des </w:t>
      </w:r>
      <w:r w:rsidR="00B45C7B" w:rsidRPr="00E72418">
        <w:lastRenderedPageBreak/>
        <w:t>créanciers sur les intérêts des débiteurs en difficulté</w:t>
      </w:r>
      <w:r w:rsidR="00B45C7B" w:rsidRPr="00E72418">
        <w:rPr>
          <w:rStyle w:val="Appelnotedebasdep"/>
          <w:szCs w:val="24"/>
        </w:rPr>
        <w:footnoteReference w:id="689"/>
      </w:r>
      <w:r w:rsidR="00B45C7B" w:rsidRPr="00E72418">
        <w:t>. Plus généralement, l’affaiblissement de mécanismes de défense traditio</w:t>
      </w:r>
      <w:r w:rsidR="00387252" w:rsidRPr="00E72418">
        <w:t>nnels comme</w:t>
      </w:r>
      <w:r w:rsidR="00977EC9" w:rsidRPr="00E72418">
        <w:t>,</w:t>
      </w:r>
      <w:r w:rsidR="00387252" w:rsidRPr="00E72418">
        <w:t xml:space="preserve"> </w:t>
      </w:r>
      <w:r w:rsidR="00977EC9" w:rsidRPr="00E72418">
        <w:t xml:space="preserve">par exemple, </w:t>
      </w:r>
      <w:r w:rsidR="00387252" w:rsidRPr="00E72418">
        <w:t xml:space="preserve">la doctrine de </w:t>
      </w:r>
      <w:r w:rsidR="00977EC9" w:rsidRPr="00E72418">
        <w:t xml:space="preserve">l’immunité étatique ou encore </w:t>
      </w:r>
      <w:r w:rsidR="00387252" w:rsidRPr="00E72418">
        <w:t xml:space="preserve">la règle de la </w:t>
      </w:r>
      <w:r w:rsidR="00387252" w:rsidRPr="00E72418">
        <w:rPr>
          <w:i/>
        </w:rPr>
        <w:t>champerty</w:t>
      </w:r>
      <w:r w:rsidR="00977EC9" w:rsidRPr="00E72418">
        <w:t>,</w:t>
      </w:r>
      <w:r w:rsidR="00B45C7B" w:rsidRPr="00E72418">
        <w:t xml:space="preserve"> </w:t>
      </w:r>
      <w:r w:rsidR="00977EC9" w:rsidRPr="00E72418">
        <w:t>participa au</w:t>
      </w:r>
      <w:r w:rsidR="00B45C7B" w:rsidRPr="00E72418">
        <w:t xml:space="preserve"> succès </w:t>
      </w:r>
      <w:r w:rsidR="00977EC9" w:rsidRPr="00E72418">
        <w:t>de</w:t>
      </w:r>
      <w:r w:rsidR="00B45C7B" w:rsidRPr="00E72418">
        <w:t>s démarches judiciaires entreprises</w:t>
      </w:r>
      <w:r w:rsidR="00977EC9" w:rsidRPr="00E72418">
        <w:t xml:space="preserve"> par les fonds spéculatifs</w:t>
      </w:r>
      <w:r w:rsidR="00B45C7B" w:rsidRPr="00E72418">
        <w:rPr>
          <w:rStyle w:val="Appelnotedebasdep"/>
        </w:rPr>
        <w:footnoteReference w:id="690"/>
      </w:r>
      <w:r w:rsidR="00B45C7B" w:rsidRPr="00E72418">
        <w:t>.</w:t>
      </w:r>
    </w:p>
    <w:p w14:paraId="63F4DA5A" w14:textId="77777777" w:rsidR="00B45C7B" w:rsidRPr="00E72418" w:rsidRDefault="00B45C7B" w:rsidP="0054314B"/>
    <w:p w14:paraId="4369AD79" w14:textId="4D52BC74" w:rsidR="00B45C7B" w:rsidRPr="00E72418" w:rsidRDefault="000764CE" w:rsidP="00CC4BA8">
      <w:pPr>
        <w:pStyle w:val="CC"/>
        <w:spacing w:line="276" w:lineRule="auto"/>
      </w:pPr>
      <w:bookmarkStart w:id="156" w:name="_Toc59280916"/>
      <w:bookmarkStart w:id="157" w:name="_Toc75106085"/>
      <w:bookmarkStart w:id="158" w:name="_Toc84540904"/>
      <w:r w:rsidRPr="00E72418">
        <w:t xml:space="preserve">Chapitre 2 : </w:t>
      </w:r>
      <w:r w:rsidR="00B45C7B" w:rsidRPr="00E72418">
        <w:t>Les définitions données</w:t>
      </w:r>
      <w:bookmarkEnd w:id="156"/>
      <w:bookmarkEnd w:id="157"/>
      <w:bookmarkEnd w:id="158"/>
    </w:p>
    <w:p w14:paraId="4830E1AF" w14:textId="77777777" w:rsidR="00B45C7B" w:rsidRPr="00E72418" w:rsidRDefault="00B45C7B" w:rsidP="0054314B"/>
    <w:p w14:paraId="164ED18A" w14:textId="3CEA9376" w:rsidR="00B45C7B" w:rsidRPr="00E72418" w:rsidRDefault="007F038F" w:rsidP="00CC4BA8">
      <w:pPr>
        <w:spacing w:line="276" w:lineRule="auto"/>
      </w:pPr>
      <w:r w:rsidRPr="00E72418">
        <w:rPr>
          <w:b/>
        </w:rPr>
        <w:t>127</w:t>
      </w:r>
      <w:r w:rsidR="007E31CD" w:rsidRPr="00E72418">
        <w:rPr>
          <w:b/>
        </w:rPr>
        <w:t xml:space="preserve">. </w:t>
      </w:r>
      <w:r w:rsidR="00B45C7B" w:rsidRPr="00E72418">
        <w:rPr>
          <w:b/>
        </w:rPr>
        <w:t>L’expression mobilisée –</w:t>
      </w:r>
      <w:r w:rsidR="00A75E14" w:rsidRPr="00E72418">
        <w:t xml:space="preserve"> Les activi</w:t>
      </w:r>
      <w:r w:rsidR="00B45C7B" w:rsidRPr="00E72418">
        <w:t xml:space="preserve">tés spéculatives de fonds d’investissement actifs sur le marché </w:t>
      </w:r>
      <w:r w:rsidR="00A75E14" w:rsidRPr="00E72418">
        <w:t>secondaire des</w:t>
      </w:r>
      <w:r w:rsidR="00B45C7B" w:rsidRPr="00E72418">
        <w:t xml:space="preserve"> dette</w:t>
      </w:r>
      <w:r w:rsidR="00A75E14" w:rsidRPr="00E72418">
        <w:t>s</w:t>
      </w:r>
      <w:r w:rsidR="00B45C7B" w:rsidRPr="00E72418">
        <w:t xml:space="preserve"> souveraine</w:t>
      </w:r>
      <w:r w:rsidR="00A75E14" w:rsidRPr="00E72418">
        <w:t>s</w:t>
      </w:r>
      <w:r w:rsidR="00B45C7B" w:rsidRPr="00E72418">
        <w:t xml:space="preserve"> attirent depuis plusieurs années l’attention. L’expression « fonds vautours » généralement utilisée pour identifier ces </w:t>
      </w:r>
      <w:r w:rsidR="00A75E14" w:rsidRPr="00E72418">
        <w:t>créanciers particuliers</w:t>
      </w:r>
      <w:r w:rsidR="00B45C7B" w:rsidRPr="00E72418">
        <w:t xml:space="preserve"> est </w:t>
      </w:r>
      <w:r w:rsidR="00A75E14" w:rsidRPr="00E72418">
        <w:t>reprise</w:t>
      </w:r>
      <w:r w:rsidR="00B45C7B" w:rsidRPr="00E72418">
        <w:t xml:space="preserve"> dans nombre de textes juridiques</w:t>
      </w:r>
      <w:r w:rsidR="00B45C7B" w:rsidRPr="00E72418">
        <w:rPr>
          <w:rStyle w:val="Appelnotedebasdep"/>
        </w:rPr>
        <w:footnoteReference w:id="691"/>
      </w:r>
      <w:r w:rsidR="00B45C7B" w:rsidRPr="00E72418">
        <w:t>, décisions de jurisprudence</w:t>
      </w:r>
      <w:r w:rsidR="00B45C7B" w:rsidRPr="00E72418">
        <w:rPr>
          <w:rStyle w:val="Appelnotedebasdep"/>
        </w:rPr>
        <w:footnoteReference w:id="692"/>
      </w:r>
      <w:r w:rsidR="00B45C7B" w:rsidRPr="00E72418">
        <w:t>, contributions scientifiques</w:t>
      </w:r>
      <w:r w:rsidR="00B45C7B" w:rsidRPr="00E72418">
        <w:rPr>
          <w:rStyle w:val="Appelnotedebasdep"/>
        </w:rPr>
        <w:footnoteReference w:id="693"/>
      </w:r>
      <w:r w:rsidR="00B45C7B" w:rsidRPr="00E72418">
        <w:t xml:space="preserve">, articles </w:t>
      </w:r>
      <w:r w:rsidR="00A75E14" w:rsidRPr="00E72418">
        <w:t>de presse</w:t>
      </w:r>
      <w:r w:rsidR="00B45C7B" w:rsidRPr="00E72418">
        <w:rPr>
          <w:rStyle w:val="Appelnotedebasdep"/>
        </w:rPr>
        <w:footnoteReference w:id="694"/>
      </w:r>
      <w:r w:rsidR="00B45C7B" w:rsidRPr="00E72418">
        <w:t xml:space="preserve"> et écrits divers sans </w:t>
      </w:r>
      <w:r w:rsidR="00A75E14" w:rsidRPr="00E72418">
        <w:t xml:space="preserve">pour autant </w:t>
      </w:r>
      <w:r w:rsidR="00B45C7B" w:rsidRPr="00E72418">
        <w:t xml:space="preserve">toutefois avoir fait l’objet d’une définition juridique retenue de tous. Comme l’écrit </w:t>
      </w:r>
      <w:r w:rsidR="00CC15FF" w:rsidRPr="00E72418">
        <w:t xml:space="preserve">Patrick </w:t>
      </w:r>
      <w:r w:rsidR="00B45C7B" w:rsidRPr="00E72418">
        <w:t>Wautelet, « a widely accepted definition of vulture funds is hard to craft »</w:t>
      </w:r>
      <w:r w:rsidR="00B45C7B" w:rsidRPr="00E72418">
        <w:rPr>
          <w:rStyle w:val="Appelnotedebasdep"/>
        </w:rPr>
        <w:footnoteReference w:id="695"/>
      </w:r>
      <w:r w:rsidR="00B45C7B" w:rsidRPr="00E72418">
        <w:t>.</w:t>
      </w:r>
      <w:r w:rsidR="008E618E" w:rsidRPr="00E72418">
        <w:t xml:space="preserve"> Cette difficulté ne nous semble pas devoir conduire à continuer à en faire usage sans l’interroger. Cette interrogation est d’autant plus essentielle qu’elle est utile à l’analyse raisonnable du phénomène. En effet, l’expression « fonds vautours » est à ce point connotée péjorativement qu’il paraît difficile à celui s’intéressant au phénomène de ne pas en avoir une appréhension négative là pourtant</w:t>
      </w:r>
      <w:r w:rsidR="007D4021" w:rsidRPr="00E72418">
        <w:t xml:space="preserve"> où</w:t>
      </w:r>
      <w:r w:rsidR="008E618E" w:rsidRPr="00E72418">
        <w:t>, nous le verrons, les choses sont plus complexes qu’elles n’y paraissent</w:t>
      </w:r>
      <w:r w:rsidR="00EA1824" w:rsidRPr="00E72418">
        <w:rPr>
          <w:rStyle w:val="Appelnotedebasdep"/>
        </w:rPr>
        <w:footnoteReference w:id="696"/>
      </w:r>
      <w:r w:rsidR="008E618E" w:rsidRPr="00E72418">
        <w:t>.</w:t>
      </w:r>
    </w:p>
    <w:p w14:paraId="6F1B178D" w14:textId="77777777" w:rsidR="0028460A" w:rsidRPr="00E72418" w:rsidRDefault="0028460A" w:rsidP="0054314B"/>
    <w:p w14:paraId="10CAA677" w14:textId="24E7A9EA" w:rsidR="00B45C7B" w:rsidRPr="00E72418" w:rsidRDefault="007F038F" w:rsidP="00CC4BA8">
      <w:pPr>
        <w:spacing w:line="276" w:lineRule="auto"/>
      </w:pPr>
      <w:r w:rsidRPr="00E72418">
        <w:rPr>
          <w:b/>
        </w:rPr>
        <w:t>128.</w:t>
      </w:r>
      <w:r w:rsidR="007E31CD" w:rsidRPr="00E72418">
        <w:rPr>
          <w:b/>
        </w:rPr>
        <w:t xml:space="preserve"> </w:t>
      </w:r>
      <w:r w:rsidR="004A2184" w:rsidRPr="00E72418">
        <w:rPr>
          <w:b/>
        </w:rPr>
        <w:t>Une</w:t>
      </w:r>
      <w:r w:rsidR="00B45C7B" w:rsidRPr="00E72418">
        <w:rPr>
          <w:b/>
        </w:rPr>
        <w:t xml:space="preserve"> définition </w:t>
      </w:r>
      <w:r w:rsidR="004A2184" w:rsidRPr="00E72418">
        <w:rPr>
          <w:b/>
        </w:rPr>
        <w:t>récurrente</w:t>
      </w:r>
      <w:r w:rsidR="00B45C7B" w:rsidRPr="00E72418">
        <w:rPr>
          <w:b/>
        </w:rPr>
        <w:t xml:space="preserve"> –</w:t>
      </w:r>
      <w:r w:rsidR="00B45C7B" w:rsidRPr="00E72418">
        <w:t xml:space="preserve"> </w:t>
      </w:r>
      <w:r w:rsidR="004A2184" w:rsidRPr="00E72418">
        <w:t>Bien qu’</w:t>
      </w:r>
      <w:r w:rsidR="00B45C7B" w:rsidRPr="00E72418">
        <w:t xml:space="preserve">aucune définition </w:t>
      </w:r>
      <w:r w:rsidR="004A2184" w:rsidRPr="00E72418">
        <w:t xml:space="preserve">consensuelle </w:t>
      </w:r>
      <w:r w:rsidR="00B45C7B" w:rsidRPr="00E72418">
        <w:t xml:space="preserve">de ces « fonds vautours » n’existe, il en est </w:t>
      </w:r>
      <w:r w:rsidR="004A2184" w:rsidRPr="00E72418">
        <w:t xml:space="preserve">toutefois </w:t>
      </w:r>
      <w:r w:rsidR="00B45C7B" w:rsidRPr="00E72418">
        <w:t xml:space="preserve">une qui est souvent </w:t>
      </w:r>
      <w:r w:rsidR="004A2184" w:rsidRPr="00E72418">
        <w:t xml:space="preserve">mobilisée. Ainsi, </w:t>
      </w:r>
      <w:r w:rsidR="00922858" w:rsidRPr="00E72418">
        <w:rPr>
          <w:rFonts w:cs="Times New Roman"/>
        </w:rPr>
        <w:t xml:space="preserve">Cephas </w:t>
      </w:r>
      <w:r w:rsidR="00B45C7B" w:rsidRPr="00E72418">
        <w:t xml:space="preserve">Lumina, </w:t>
      </w:r>
      <w:r w:rsidR="004A2184" w:rsidRPr="00E72418">
        <w:t xml:space="preserve">un </w:t>
      </w:r>
      <w:r w:rsidR="00B45C7B" w:rsidRPr="00E72418">
        <w:t>expert indépendant désigné par le Conseil des droits de l’homme des Nations Unies</w:t>
      </w:r>
      <w:r w:rsidR="004A2184" w:rsidRPr="00E72418">
        <w:t xml:space="preserve"> pour travailler sur la thématique de ces fonds</w:t>
      </w:r>
      <w:r w:rsidR="00B45C7B" w:rsidRPr="00E72418">
        <w:t xml:space="preserve">, </w:t>
      </w:r>
      <w:r w:rsidR="004A2184" w:rsidRPr="00E72418">
        <w:t xml:space="preserve">les </w:t>
      </w:r>
      <w:r w:rsidR="00B45C7B" w:rsidRPr="00E72418">
        <w:t>définit comme suit : « </w:t>
      </w:r>
      <w:r w:rsidR="00B45C7B" w:rsidRPr="00E72418">
        <w:rPr>
          <w:rFonts w:ascii="Times New Roman" w:hAnsi="Times New Roman" w:cs="Times New Roman"/>
        </w:rPr>
        <w:t>[l</w:t>
      </w:r>
      <w:r w:rsidR="002F747E">
        <w:rPr>
          <w:rFonts w:ascii="Times New Roman" w:hAnsi="Times New Roman" w:cs="Times New Roman"/>
        </w:rPr>
        <w:t>’</w:t>
      </w:r>
      <w:r w:rsidR="00B45C7B" w:rsidRPr="00E72418">
        <w:rPr>
          <w:rFonts w:ascii="Times New Roman" w:hAnsi="Times New Roman" w:cs="Times New Roman"/>
        </w:rPr>
        <w:t>]</w:t>
      </w:r>
      <w:r w:rsidR="00813C82">
        <w:t xml:space="preserve">expression </w:t>
      </w:r>
      <w:r w:rsidR="00813C82" w:rsidRPr="00E72418">
        <w:rPr>
          <w:szCs w:val="20"/>
          <w:lang w:val="en-US"/>
        </w:rPr>
        <w:t>“</w:t>
      </w:r>
      <w:r w:rsidR="00813C82">
        <w:rPr>
          <w:szCs w:val="20"/>
          <w:lang w:val="en-US"/>
        </w:rPr>
        <w:t>fonds vautours</w:t>
      </w:r>
      <w:r w:rsidR="00813C82" w:rsidRPr="00E72418">
        <w:rPr>
          <w:szCs w:val="20"/>
          <w:lang w:val="en-US"/>
        </w:rPr>
        <w:t>”</w:t>
      </w:r>
      <w:r w:rsidR="00B45C7B" w:rsidRPr="00E72418">
        <w:t xml:space="preserve"> désigne des entités commerciales privées qui font l’acquisition, par achat, cession ou </w:t>
      </w:r>
      <w:r w:rsidR="00B45C7B" w:rsidRPr="00E72418">
        <w:lastRenderedPageBreak/>
        <w:t>toute autre forme de transaction, ou parfois par le biais de procédures judiciaires, de dettes impayées ou en déshérence, en vue de réaliser un profit élevé. Dans le contexte de la dette souve</w:t>
      </w:r>
      <w:r w:rsidR="00813C82">
        <w:t xml:space="preserve">raine, les fonds vautours (ou </w:t>
      </w:r>
      <w:r w:rsidR="00813C82">
        <w:rPr>
          <w:szCs w:val="20"/>
          <w:lang w:val="en-US"/>
        </w:rPr>
        <w:t>“</w:t>
      </w:r>
      <w:r w:rsidR="00B45C7B" w:rsidRPr="00E72418">
        <w:t>fonds de créances sinistrées</w:t>
      </w:r>
      <w:r w:rsidR="00813C82" w:rsidRPr="00E72418">
        <w:rPr>
          <w:szCs w:val="20"/>
          <w:lang w:val="en-US"/>
        </w:rPr>
        <w:t>”</w:t>
      </w:r>
      <w:r w:rsidR="00B45C7B" w:rsidRPr="00E72418">
        <w:t>, comme ils s’appellent souvent eux-mêmes) acquièrent en général la dette souveraine de pays pauvres défaillants (dont beaucoup sont des pays pauvres très endettés (PPTE)) sur le marché secondaire à un prix très inférieur à la valeur nominale de celle-ci puis tentent, par la voie judiciaire, la saisie d’actifs ou des pressions politiques, d’en recouvrer le montant intégral, majoré d’intérêts, de pénalités et de frais de justice »</w:t>
      </w:r>
      <w:r w:rsidR="00B45C7B" w:rsidRPr="00E72418">
        <w:rPr>
          <w:rStyle w:val="Appelnotedebasdep"/>
        </w:rPr>
        <w:footnoteReference w:id="697"/>
      </w:r>
      <w:r w:rsidR="00B45C7B" w:rsidRPr="00E72418">
        <w:t>.</w:t>
      </w:r>
    </w:p>
    <w:p w14:paraId="4960D0B6" w14:textId="77777777" w:rsidR="00B45C7B" w:rsidRPr="00E72418" w:rsidRDefault="00B45C7B" w:rsidP="0054314B"/>
    <w:p w14:paraId="2233B9C6" w14:textId="19D63D99" w:rsidR="00B45C7B" w:rsidRPr="00E72418" w:rsidRDefault="007F038F" w:rsidP="00CC4BA8">
      <w:pPr>
        <w:spacing w:line="276" w:lineRule="auto"/>
      </w:pPr>
      <w:r w:rsidRPr="00E72418">
        <w:rPr>
          <w:b/>
          <w:szCs w:val="24"/>
        </w:rPr>
        <w:t>129</w:t>
      </w:r>
      <w:r w:rsidR="007E31CD" w:rsidRPr="00E72418">
        <w:rPr>
          <w:b/>
          <w:szCs w:val="24"/>
        </w:rPr>
        <w:t xml:space="preserve">. </w:t>
      </w:r>
      <w:r w:rsidR="00B45C7B" w:rsidRPr="00E72418">
        <w:rPr>
          <w:b/>
          <w:szCs w:val="24"/>
        </w:rPr>
        <w:t xml:space="preserve">Les définitions nationales </w:t>
      </w:r>
      <w:r w:rsidR="00B45C7B" w:rsidRPr="00E72418">
        <w:rPr>
          <w:b/>
        </w:rPr>
        <w:t>–</w:t>
      </w:r>
      <w:r w:rsidR="006B0845" w:rsidRPr="00E72418">
        <w:rPr>
          <w:b/>
        </w:rPr>
        <w:t xml:space="preserve"> </w:t>
      </w:r>
      <w:r w:rsidR="00674C1A" w:rsidRPr="00E72418">
        <w:t>À</w:t>
      </w:r>
      <w:r w:rsidR="00B45C7B" w:rsidRPr="00E72418">
        <w:t xml:space="preserve"> côté de </w:t>
      </w:r>
      <w:r w:rsidR="004A2184" w:rsidRPr="00E72418">
        <w:t>la</w:t>
      </w:r>
      <w:r w:rsidR="00B45C7B" w:rsidRPr="00E72418">
        <w:t xml:space="preserve"> définition </w:t>
      </w:r>
      <w:r w:rsidR="004A2184" w:rsidRPr="00E72418">
        <w:t xml:space="preserve">de </w:t>
      </w:r>
      <w:r w:rsidR="00922858" w:rsidRPr="00E72418">
        <w:rPr>
          <w:rFonts w:cs="Times New Roman"/>
        </w:rPr>
        <w:t xml:space="preserve">Cephas </w:t>
      </w:r>
      <w:r w:rsidR="004A2184" w:rsidRPr="00E72418">
        <w:t>Lumina souvent reprise</w:t>
      </w:r>
      <w:r w:rsidR="00B45C7B" w:rsidRPr="00E72418">
        <w:t>, certaines initiatives nationales visant à lutter ou, à tout le moins, à circonscrire les activités spéculatives sur les dettes souveraines donnent une définition du phénomène</w:t>
      </w:r>
      <w:r w:rsidR="00B45C7B" w:rsidRPr="00E72418">
        <w:rPr>
          <w:rStyle w:val="Appelnotedebasdep"/>
          <w:rFonts w:ascii="Times New Roman" w:hAnsi="Times New Roman" w:cs="Times New Roman"/>
        </w:rPr>
        <w:footnoteReference w:id="698"/>
      </w:r>
      <w:r w:rsidR="00B45C7B" w:rsidRPr="00E72418">
        <w:t xml:space="preserve">. </w:t>
      </w:r>
    </w:p>
    <w:p w14:paraId="356AAABC" w14:textId="77777777" w:rsidR="00B45C7B" w:rsidRPr="00E72418" w:rsidRDefault="00B45C7B" w:rsidP="00CC4BA8">
      <w:pPr>
        <w:spacing w:line="276" w:lineRule="auto"/>
      </w:pPr>
      <w:r w:rsidRPr="00E72418">
        <w:t xml:space="preserve">La proposition de loi à l’origine de la </w:t>
      </w:r>
      <w:r w:rsidR="004A2184" w:rsidRPr="00E72418">
        <w:t>législation</w:t>
      </w:r>
      <w:r w:rsidRPr="00E72418">
        <w:t xml:space="preserve"> belge du 12 juillet 2015 relative à la lutte contre les activités des fonds vautours précise que « [l]es “fonds vautours”, également appelés “créanciers procéduriers”, sont des fonds d’investissement qui rachètent à vil prix des obligations d’États ou des créances sur des États, pour ensuite entamer une procédure judiciaire et les obliger à payer la valeur nominale (montant initial de la créance) de ces obligations ou de ces créances au moment de leur émission ou de leur naissance, majorée des intérêts moratoires »</w:t>
      </w:r>
      <w:r w:rsidRPr="00E72418">
        <w:rPr>
          <w:rStyle w:val="Appelnotedebasdep"/>
          <w:rFonts w:ascii="Times New Roman" w:hAnsi="Times New Roman" w:cs="Times New Roman"/>
          <w:szCs w:val="24"/>
        </w:rPr>
        <w:footnoteReference w:id="699"/>
      </w:r>
      <w:r w:rsidRPr="00E72418">
        <w:t>.</w:t>
      </w:r>
    </w:p>
    <w:p w14:paraId="5824C4EA" w14:textId="77777777" w:rsidR="00B45C7B" w:rsidRPr="00E72418" w:rsidRDefault="00B45C7B" w:rsidP="00CC4BA8">
      <w:pPr>
        <w:spacing w:line="276" w:lineRule="auto"/>
      </w:pPr>
      <w:r w:rsidRPr="00E72418">
        <w:t>Les propositions de loi étatsuniennes visant à empêcher la spéculation et l’exploitation des dettes souveraines en défaut de pays pauvres reprennent également une définition des termes « fonds vautours ». Il y est ainsi précisé que « [t]he term “vulture creditor” means any person who directly or indirectly acquires defaulted sovereign debt at a discount to the face value of the obligation so acquired, except that the term does not include the Government of the United States or any agency of the Government of the United States, any foreign state, or any international financial institution (as defined in section 1701(c)(2) of the International Financial Institutions Act) »</w:t>
      </w:r>
      <w:r w:rsidRPr="00E72418">
        <w:rPr>
          <w:rStyle w:val="Appelnotedebasdep"/>
          <w:rFonts w:ascii="Times New Roman" w:hAnsi="Times New Roman" w:cs="Times New Roman"/>
        </w:rPr>
        <w:footnoteReference w:id="700"/>
      </w:r>
      <w:r w:rsidRPr="00E72418">
        <w:t xml:space="preserve">. </w:t>
      </w:r>
      <w:r w:rsidR="004A2184" w:rsidRPr="00E72418">
        <w:t>Cette</w:t>
      </w:r>
      <w:r w:rsidRPr="00E72418">
        <w:t xml:space="preserve"> définition doit se lire en vis-à-vis de l’article 3(4</w:t>
      </w:r>
      <w:r w:rsidR="004A2184" w:rsidRPr="00E72418">
        <w:t>) des propositions de loi</w:t>
      </w:r>
      <w:r w:rsidRPr="00E72418">
        <w:t xml:space="preserve"> qui précise la notion de « sovereign debt profiteering » </w:t>
      </w:r>
      <w:r w:rsidR="00A83586" w:rsidRPr="00E72418">
        <w:t>consistant en</w:t>
      </w:r>
      <w:r w:rsidRPr="00E72418">
        <w:t xml:space="preserve"> « any act by a vulture creditor seeking, directly or indirectly, the payment of part or all of defaulted sovereign debt of a qualified poor country, in an amount that exceeds the total amount paid by the vulture creditor to acquire the interest of the vulture creditor in the defaulted sovereign debt (excluding any </w:t>
      </w:r>
      <w:r w:rsidRPr="00E72418">
        <w:lastRenderedPageBreak/>
        <w:t>amount paid for attorneys’ fees or other fees and costs associated with collection), plus 6 percent simple interest per year on the total amount, calculated from the date the defaulted sovereign debt was so acquired, but the term does not include the purchase or sale of such a debt, or the acceptance of a payment in satisfaction of the debt obligation, without threat of, or recourse to, litigation ».</w:t>
      </w:r>
      <w:r w:rsidRPr="00E72418">
        <w:rPr>
          <w:rFonts w:ascii="Times New Roman" w:hAnsi="Times New Roman"/>
        </w:rPr>
        <w:t xml:space="preserve"> </w:t>
      </w:r>
    </w:p>
    <w:p w14:paraId="15A31DF3" w14:textId="77777777" w:rsidR="00B45C7B" w:rsidRPr="00E72418" w:rsidRDefault="00B45C7B" w:rsidP="0054314B"/>
    <w:p w14:paraId="2DC0BE0F" w14:textId="08D46D38" w:rsidR="00B45C7B" w:rsidRPr="00E72418" w:rsidRDefault="000764CE" w:rsidP="00CC4BA8">
      <w:pPr>
        <w:pStyle w:val="CC"/>
        <w:spacing w:line="276" w:lineRule="auto"/>
      </w:pPr>
      <w:bookmarkStart w:id="159" w:name="_Toc59280917"/>
      <w:bookmarkStart w:id="160" w:name="_Toc75106086"/>
      <w:bookmarkStart w:id="161" w:name="_Toc75106650"/>
      <w:bookmarkStart w:id="162" w:name="_Toc84540905"/>
      <w:r w:rsidRPr="00E72418">
        <w:t xml:space="preserve">Chapitre 3 : </w:t>
      </w:r>
      <w:r w:rsidR="00B45C7B" w:rsidRPr="00E72418">
        <w:t xml:space="preserve">Les caractéristiques du modèle </w:t>
      </w:r>
      <w:bookmarkEnd w:id="159"/>
      <w:bookmarkEnd w:id="160"/>
      <w:bookmarkEnd w:id="161"/>
      <w:r w:rsidR="00377E0C" w:rsidRPr="00E72418">
        <w:t>économique</w:t>
      </w:r>
      <w:bookmarkEnd w:id="162"/>
      <w:r w:rsidR="00377E0C" w:rsidRPr="00E72418">
        <w:t xml:space="preserve"> </w:t>
      </w:r>
    </w:p>
    <w:p w14:paraId="56480390" w14:textId="77777777" w:rsidR="00B45C7B" w:rsidRPr="00E72418" w:rsidRDefault="00B45C7B" w:rsidP="0054314B"/>
    <w:p w14:paraId="23BD9B68" w14:textId="6B1327A0" w:rsidR="00B45C7B" w:rsidRPr="00E72418" w:rsidRDefault="007F038F" w:rsidP="00CC4BA8">
      <w:pPr>
        <w:spacing w:line="276" w:lineRule="auto"/>
      </w:pPr>
      <w:r w:rsidRPr="00E72418">
        <w:rPr>
          <w:b/>
        </w:rPr>
        <w:t>130</w:t>
      </w:r>
      <w:r w:rsidR="007E31CD" w:rsidRPr="00E72418">
        <w:rPr>
          <w:b/>
        </w:rPr>
        <w:t xml:space="preserve">. </w:t>
      </w:r>
      <w:r w:rsidR="00B45C7B" w:rsidRPr="00E72418">
        <w:rPr>
          <w:b/>
        </w:rPr>
        <w:t>Un contentieux de niche long, risqué et coûteux –</w:t>
      </w:r>
      <w:r w:rsidR="00B45C7B" w:rsidRPr="00E72418">
        <w:t xml:space="preserve"> Le modèle </w:t>
      </w:r>
      <w:r w:rsidR="00377E0C" w:rsidRPr="00E72418">
        <w:t xml:space="preserve">économique </w:t>
      </w:r>
      <w:r w:rsidR="004F2AD2" w:rsidRPr="00E72418">
        <w:t>des fonds spéculant</w:t>
      </w:r>
      <w:r w:rsidR="00B45C7B" w:rsidRPr="00E72418">
        <w:t xml:space="preserve"> sur les dettes souveraines n’est pas accessible à qui veut dans la mesure où il requiert la possibilité de mobiliser d’importants moyens qu’imposent les batailles juridiques</w:t>
      </w:r>
      <w:r w:rsidR="00B45C7B" w:rsidRPr="00E72418">
        <w:rPr>
          <w:rStyle w:val="Appelnotedebasdep"/>
          <w:rFonts w:cs="Times New Roman"/>
          <w:szCs w:val="24"/>
        </w:rPr>
        <w:footnoteReference w:id="701"/>
      </w:r>
      <w:r w:rsidR="00B45C7B" w:rsidRPr="00E72418">
        <w:t xml:space="preserve">. Si l’appât du gain </w:t>
      </w:r>
      <w:r w:rsidR="00A83586" w:rsidRPr="00E72418">
        <w:t xml:space="preserve">est source de motivation pour certains investisseurs </w:t>
      </w:r>
      <w:r w:rsidR="00B45C7B" w:rsidRPr="00E72418">
        <w:t xml:space="preserve">à </w:t>
      </w:r>
      <w:r w:rsidR="00A83586" w:rsidRPr="00E72418">
        <w:t>s’engager</w:t>
      </w:r>
      <w:r w:rsidR="00B45C7B" w:rsidRPr="00E72418">
        <w:t xml:space="preserve"> dans </w:t>
      </w:r>
      <w:r w:rsidR="00A83586" w:rsidRPr="00E72418">
        <w:t>l’activité</w:t>
      </w:r>
      <w:r w:rsidR="00B45C7B" w:rsidRPr="00E72418">
        <w:t xml:space="preserve"> de rachat de dette souveraine</w:t>
      </w:r>
      <w:r w:rsidR="00A83586" w:rsidRPr="00E72418">
        <w:t xml:space="preserve"> ébranlée</w:t>
      </w:r>
      <w:r w:rsidR="00B45C7B" w:rsidRPr="00E72418">
        <w:t xml:space="preserve">, la barrière à l’entrée est </w:t>
      </w:r>
      <w:r w:rsidR="00A83586" w:rsidRPr="00E72418">
        <w:t xml:space="preserve">néanmoins </w:t>
      </w:r>
      <w:r w:rsidR="00B45C7B" w:rsidRPr="00E72418">
        <w:t xml:space="preserve">importante au regard de </w:t>
      </w:r>
      <w:r w:rsidR="00A83586" w:rsidRPr="00E72418">
        <w:t xml:space="preserve">la nécessaire </w:t>
      </w:r>
      <w:r w:rsidR="00AC4687" w:rsidRPr="00E72418">
        <w:t xml:space="preserve">et </w:t>
      </w:r>
      <w:r w:rsidR="00A83586" w:rsidRPr="00E72418">
        <w:t>conséquente mise</w:t>
      </w:r>
      <w:r w:rsidR="00B45C7B" w:rsidRPr="00E72418">
        <w:t xml:space="preserve"> initial</w:t>
      </w:r>
      <w:r w:rsidR="00A83586" w:rsidRPr="00E72418">
        <w:t>e à laquelle s’ajoutent</w:t>
      </w:r>
      <w:r w:rsidR="00B45C7B" w:rsidRPr="00E72418">
        <w:t xml:space="preserve"> les fonds nécessaires à la poursuite de procédures judiciaires longues et coûteuses</w:t>
      </w:r>
      <w:r w:rsidR="00B45C7B" w:rsidRPr="00E72418">
        <w:rPr>
          <w:rStyle w:val="Appelnotedebasdep"/>
          <w:szCs w:val="24"/>
        </w:rPr>
        <w:footnoteReference w:id="702"/>
      </w:r>
      <w:r w:rsidR="00B777C3" w:rsidRPr="00E72418">
        <w:t>. La té</w:t>
      </w:r>
      <w:r w:rsidR="00B45C7B" w:rsidRPr="00E72418">
        <w:t xml:space="preserve">nacité et la patience des créanciers spéculatifs ont pour conséquence que la résolution des litiges les impliquant </w:t>
      </w:r>
      <w:r w:rsidR="00233CDD" w:rsidRPr="00E72418">
        <w:t>s’avère souvent</w:t>
      </w:r>
      <w:r w:rsidR="00B45C7B" w:rsidRPr="00E72418">
        <w:t xml:space="preserve"> </w:t>
      </w:r>
      <w:r w:rsidR="00233CDD" w:rsidRPr="00E72418">
        <w:t>fastidieuse</w:t>
      </w:r>
      <w:r w:rsidR="00B45C7B" w:rsidRPr="00E72418">
        <w:t xml:space="preserve"> et, par conséquent, </w:t>
      </w:r>
      <w:r w:rsidR="00233CDD" w:rsidRPr="00E72418">
        <w:t>onéreuse</w:t>
      </w:r>
      <w:r w:rsidR="00B45C7B" w:rsidRPr="00E72418">
        <w:rPr>
          <w:rStyle w:val="Appelnotedebasdep"/>
          <w:rFonts w:cs="Times New Roman"/>
          <w:szCs w:val="24"/>
        </w:rPr>
        <w:footnoteReference w:id="703"/>
      </w:r>
      <w:r w:rsidR="00B45C7B" w:rsidRPr="00E72418">
        <w:t>.</w:t>
      </w:r>
    </w:p>
    <w:p w14:paraId="3BFFB46E" w14:textId="7718E9C5" w:rsidR="00B45C7B" w:rsidRPr="00E72418" w:rsidRDefault="00B45C7B" w:rsidP="00CC4BA8">
      <w:pPr>
        <w:spacing w:line="276" w:lineRule="auto"/>
      </w:pPr>
      <w:r w:rsidRPr="00E72418">
        <w:t xml:space="preserve">La </w:t>
      </w:r>
      <w:r w:rsidR="00233CDD" w:rsidRPr="00E72418">
        <w:t>durée</w:t>
      </w:r>
      <w:r w:rsidRPr="00E72418">
        <w:t>, le coût et la difficulté des contentieux requièrent de ceux désireux de s’y engager un certain goût du risque</w:t>
      </w:r>
      <w:r w:rsidRPr="00E72418">
        <w:rPr>
          <w:rStyle w:val="Appelnotedebasdep"/>
        </w:rPr>
        <w:footnoteReference w:id="704"/>
      </w:r>
      <w:r w:rsidRPr="00E72418">
        <w:t>. Tout</w:t>
      </w:r>
      <w:r w:rsidR="00FD35A4" w:rsidRPr="00E72418">
        <w:t>e</w:t>
      </w:r>
      <w:r w:rsidRPr="00E72418">
        <w:t xml:space="preserve"> risqué</w:t>
      </w:r>
      <w:r w:rsidR="00FD35A4" w:rsidRPr="00E72418">
        <w:t>e</w:t>
      </w:r>
      <w:r w:rsidRPr="00E72418">
        <w:t xml:space="preserve"> qu’est </w:t>
      </w:r>
      <w:r w:rsidR="00FD35A4" w:rsidRPr="00E72418">
        <w:t>la stratégie</w:t>
      </w:r>
      <w:r w:rsidR="00377E0C" w:rsidRPr="00E72418">
        <w:t xml:space="preserve"> </w:t>
      </w:r>
      <w:r w:rsidRPr="00E72418">
        <w:t>poursuivi</w:t>
      </w:r>
      <w:r w:rsidR="00FD35A4" w:rsidRPr="00E72418">
        <w:t>e</w:t>
      </w:r>
      <w:r w:rsidRPr="00E72418">
        <w:t xml:space="preserve"> par les fonds spéculatifs, il appert que ceux qui courent </w:t>
      </w:r>
      <w:r w:rsidR="00FD35A4" w:rsidRPr="00E72418">
        <w:t xml:space="preserve">les risques, </w:t>
      </w:r>
      <w:r w:rsidRPr="00E72418">
        <w:t>souvent le</w:t>
      </w:r>
      <w:r w:rsidR="00FD35A4" w:rsidRPr="00E72418">
        <w:t>s</w:t>
      </w:r>
      <w:r w:rsidRPr="00E72418">
        <w:t xml:space="preserve"> maîtrisent. Ainsi, </w:t>
      </w:r>
      <w:r w:rsidR="00813C82">
        <w:t xml:space="preserve">Michael </w:t>
      </w:r>
      <w:r w:rsidRPr="00E72418">
        <w:t xml:space="preserve">Sheehan, l’un des directeurs de la société </w:t>
      </w:r>
      <w:r w:rsidRPr="00E72418">
        <w:rPr>
          <w:i/>
        </w:rPr>
        <w:t>Donegal</w:t>
      </w:r>
      <w:r w:rsidR="00233CDD" w:rsidRPr="00E72418">
        <w:rPr>
          <w:i/>
        </w:rPr>
        <w:t xml:space="preserve"> International Ltd.</w:t>
      </w:r>
      <w:r w:rsidRPr="00E72418">
        <w:t xml:space="preserve"> qui se fit connaître dans le cadre du contentieux avec la </w:t>
      </w:r>
      <w:r w:rsidR="00233CDD" w:rsidRPr="00E72418">
        <w:t xml:space="preserve">République de </w:t>
      </w:r>
      <w:r w:rsidR="0004079A" w:rsidRPr="00E72418">
        <w:t>Zambie, aurait un jour dit qu’</w:t>
      </w:r>
      <w:r w:rsidRPr="00E72418">
        <w:t xml:space="preserve"> « our experience and that of others in this business is that you always eventually recover. You have a legal claim. Eventually if you litigate and work hard enough, you will always recover a sufficient amount to cover your costs »</w:t>
      </w:r>
      <w:r w:rsidRPr="00E72418">
        <w:rPr>
          <w:rStyle w:val="Appelnotedebasdep"/>
          <w:rFonts w:cs="Times New Roman"/>
        </w:rPr>
        <w:footnoteReference w:id="705"/>
      </w:r>
      <w:r w:rsidRPr="00E72418">
        <w:t xml:space="preserve">. </w:t>
      </w:r>
    </w:p>
    <w:p w14:paraId="5BB9BD05" w14:textId="77777777" w:rsidR="00B45C7B" w:rsidRPr="00E72418" w:rsidRDefault="00B45C7B" w:rsidP="0054314B"/>
    <w:p w14:paraId="7F955994" w14:textId="032F4E2B" w:rsidR="00B45C7B" w:rsidRPr="00E72418" w:rsidRDefault="007F038F" w:rsidP="00CC4BA8">
      <w:pPr>
        <w:spacing w:line="276" w:lineRule="auto"/>
        <w:rPr>
          <w:szCs w:val="24"/>
        </w:rPr>
      </w:pPr>
      <w:r w:rsidRPr="00E72418">
        <w:rPr>
          <w:b/>
        </w:rPr>
        <w:t>131</w:t>
      </w:r>
      <w:r w:rsidR="007E31CD" w:rsidRPr="00E72418">
        <w:rPr>
          <w:b/>
        </w:rPr>
        <w:t xml:space="preserve">. </w:t>
      </w:r>
      <w:r w:rsidR="00B45C7B" w:rsidRPr="00E72418">
        <w:rPr>
          <w:b/>
        </w:rPr>
        <w:t xml:space="preserve">Une activité lucrative – </w:t>
      </w:r>
      <w:r w:rsidR="004F2AD2" w:rsidRPr="00E72418">
        <w:rPr>
          <w:szCs w:val="24"/>
        </w:rPr>
        <w:t>Les fonds spéculant</w:t>
      </w:r>
      <w:r w:rsidR="00B45C7B" w:rsidRPr="00E72418">
        <w:rPr>
          <w:szCs w:val="24"/>
        </w:rPr>
        <w:t xml:space="preserve"> </w:t>
      </w:r>
      <w:r w:rsidR="00A74321" w:rsidRPr="00E72418">
        <w:rPr>
          <w:szCs w:val="24"/>
        </w:rPr>
        <w:t xml:space="preserve">sur les dettes souveraines </w:t>
      </w:r>
      <w:r w:rsidR="00B45C7B" w:rsidRPr="00E72418">
        <w:rPr>
          <w:szCs w:val="24"/>
        </w:rPr>
        <w:t xml:space="preserve">cherchent par leurs actions à obtenir d’importants gains financiers résultant de la différence entre le prix </w:t>
      </w:r>
      <w:r w:rsidR="00B45C7B" w:rsidRPr="00E72418">
        <w:rPr>
          <w:szCs w:val="24"/>
        </w:rPr>
        <w:lastRenderedPageBreak/>
        <w:t xml:space="preserve">d’acquisition des titres </w:t>
      </w:r>
      <w:r w:rsidR="00A74321" w:rsidRPr="00E72418">
        <w:rPr>
          <w:szCs w:val="24"/>
        </w:rPr>
        <w:t>rachetés sur le marché secondaire</w:t>
      </w:r>
      <w:r w:rsidR="00B45C7B" w:rsidRPr="00E72418">
        <w:rPr>
          <w:szCs w:val="24"/>
        </w:rPr>
        <w:t xml:space="preserve"> et la valeur nominale de ceux-ci majorée d’intérêts, voire d’ame</w:t>
      </w:r>
      <w:r w:rsidR="00A74321" w:rsidRPr="00E72418">
        <w:rPr>
          <w:szCs w:val="24"/>
        </w:rPr>
        <w:t xml:space="preserve">ndes, qu’ils poursuivent. Ce </w:t>
      </w:r>
      <w:r w:rsidR="00B45C7B" w:rsidRPr="00E72418">
        <w:rPr>
          <w:i/>
          <w:szCs w:val="24"/>
        </w:rPr>
        <w:t>modus operandi</w:t>
      </w:r>
      <w:r w:rsidR="00B45C7B" w:rsidRPr="00E72418">
        <w:rPr>
          <w:szCs w:val="24"/>
        </w:rPr>
        <w:t xml:space="preserve"> peut</w:t>
      </w:r>
      <w:r w:rsidR="00A74321" w:rsidRPr="00E72418">
        <w:rPr>
          <w:szCs w:val="24"/>
        </w:rPr>
        <w:t xml:space="preserve"> s’avérer très lucratif comme le note </w:t>
      </w:r>
      <w:r w:rsidR="00B45C7B" w:rsidRPr="00E72418">
        <w:rPr>
          <w:szCs w:val="24"/>
        </w:rPr>
        <w:t xml:space="preserve">le Comité </w:t>
      </w:r>
      <w:r w:rsidR="00B45C7B" w:rsidRPr="00E72418">
        <w:rPr>
          <w:rFonts w:cs="Times New Roman"/>
          <w:szCs w:val="24"/>
        </w:rPr>
        <w:t>consultatif du Conseil des droits de l’homme des Nations Unies</w:t>
      </w:r>
      <w:r w:rsidR="00A74321" w:rsidRPr="00E72418">
        <w:rPr>
          <w:szCs w:val="24"/>
        </w:rPr>
        <w:t xml:space="preserve"> faisant</w:t>
      </w:r>
      <w:r w:rsidR="00B45C7B" w:rsidRPr="00E72418">
        <w:rPr>
          <w:szCs w:val="24"/>
        </w:rPr>
        <w:t xml:space="preserve"> état de procédures débouchant sur des rend</w:t>
      </w:r>
      <w:r w:rsidR="00A74321" w:rsidRPr="00E72418">
        <w:rPr>
          <w:szCs w:val="24"/>
        </w:rPr>
        <w:t>ements annualisés allant de cinquante à trois cent trente-trois</w:t>
      </w:r>
      <w:r w:rsidR="006637ED" w:rsidRPr="00E72418">
        <w:rPr>
          <w:szCs w:val="24"/>
        </w:rPr>
        <w:t xml:space="preserve"> pour</w:t>
      </w:r>
      <w:r w:rsidR="007C22BA" w:rsidRPr="00E72418">
        <w:rPr>
          <w:szCs w:val="24"/>
        </w:rPr>
        <w:t xml:space="preserve"> cent</w:t>
      </w:r>
      <w:r w:rsidR="00B45C7B" w:rsidRPr="00E72418">
        <w:rPr>
          <w:rStyle w:val="Appelnotedebasdep"/>
          <w:szCs w:val="24"/>
        </w:rPr>
        <w:footnoteReference w:id="706"/>
      </w:r>
      <w:r w:rsidR="00B45C7B" w:rsidRPr="00E72418">
        <w:rPr>
          <w:szCs w:val="24"/>
        </w:rPr>
        <w:t>. Plus la</w:t>
      </w:r>
      <w:r w:rsidR="00A74321" w:rsidRPr="00E72418">
        <w:rPr>
          <w:szCs w:val="24"/>
        </w:rPr>
        <w:t xml:space="preserve">rgement, le Comité relève que </w:t>
      </w:r>
      <w:r w:rsidR="00B45C7B" w:rsidRPr="00E72418">
        <w:rPr>
          <w:szCs w:val="24"/>
        </w:rPr>
        <w:t xml:space="preserve">les taux de recouvrement des fonds vautours représentent en moyenne </w:t>
      </w:r>
      <w:r w:rsidR="00A74321" w:rsidRPr="00E72418">
        <w:rPr>
          <w:szCs w:val="24"/>
        </w:rPr>
        <w:t>trois à vingt fois leur investissement</w:t>
      </w:r>
      <w:r w:rsidR="00B45C7B" w:rsidRPr="00E72418">
        <w:rPr>
          <w:rStyle w:val="Appelnotedebasdep"/>
          <w:szCs w:val="24"/>
        </w:rPr>
        <w:footnoteReference w:id="707"/>
      </w:r>
      <w:r w:rsidR="000E0D3F" w:rsidRPr="00E72418">
        <w:rPr>
          <w:szCs w:val="24"/>
          <w:vertAlign w:val="superscript"/>
        </w:rPr>
        <w:t>,</w:t>
      </w:r>
      <w:r w:rsidR="00B45C7B" w:rsidRPr="00E72418">
        <w:rPr>
          <w:rStyle w:val="Appelnotedebasdep"/>
          <w:szCs w:val="24"/>
        </w:rPr>
        <w:footnoteReference w:id="708"/>
      </w:r>
      <w:r w:rsidR="00B45C7B" w:rsidRPr="00E72418">
        <w:rPr>
          <w:szCs w:val="24"/>
        </w:rPr>
        <w:t>.</w:t>
      </w:r>
    </w:p>
    <w:p w14:paraId="1F9A9122" w14:textId="77777777" w:rsidR="00B45C7B" w:rsidRPr="00E72418" w:rsidRDefault="00B45C7B" w:rsidP="0054314B"/>
    <w:p w14:paraId="07BE7D54" w14:textId="5DB5C6EB" w:rsidR="00B45C7B" w:rsidRPr="00E72418" w:rsidRDefault="007F038F" w:rsidP="00CC4BA8">
      <w:pPr>
        <w:spacing w:line="276" w:lineRule="auto"/>
      </w:pPr>
      <w:r w:rsidRPr="00E72418">
        <w:rPr>
          <w:b/>
        </w:rPr>
        <w:t>132</w:t>
      </w:r>
      <w:r w:rsidR="007E31CD" w:rsidRPr="00E72418">
        <w:rPr>
          <w:b/>
        </w:rPr>
        <w:t xml:space="preserve">. </w:t>
      </w:r>
      <w:r w:rsidR="00B45C7B" w:rsidRPr="00E72418">
        <w:rPr>
          <w:b/>
        </w:rPr>
        <w:t xml:space="preserve">Des caractéristiques récurrentes – </w:t>
      </w:r>
      <w:r w:rsidR="00A9063C">
        <w:t>Alors qu’</w:t>
      </w:r>
      <w:r w:rsidR="00B45C7B" w:rsidRPr="00E72418">
        <w:t xml:space="preserve">une </w:t>
      </w:r>
      <w:r w:rsidR="004F2AD2" w:rsidRPr="00E72418">
        <w:t>définition des fonds spéculant</w:t>
      </w:r>
      <w:r w:rsidR="00B45C7B" w:rsidRPr="00E72418">
        <w:t xml:space="preserve"> sur les dettes souveraines </w:t>
      </w:r>
      <w:r w:rsidR="001208F3" w:rsidRPr="00E72418">
        <w:t xml:space="preserve">précise et admise de tous </w:t>
      </w:r>
      <w:r w:rsidR="00B45C7B" w:rsidRPr="00E72418">
        <w:t xml:space="preserve">fait défaut, </w:t>
      </w:r>
      <w:r w:rsidR="006A4A6D" w:rsidRPr="00E72418">
        <w:t>certaines</w:t>
      </w:r>
      <w:r w:rsidR="00B45C7B" w:rsidRPr="00E72418">
        <w:t xml:space="preserve"> caractéristiques </w:t>
      </w:r>
      <w:r w:rsidR="006A4A6D" w:rsidRPr="00E72418">
        <w:t xml:space="preserve">récurrentes </w:t>
      </w:r>
      <w:r w:rsidR="00B45C7B" w:rsidRPr="00E72418">
        <w:t xml:space="preserve">de leur modèle </w:t>
      </w:r>
      <w:r w:rsidR="00377E0C" w:rsidRPr="00E72418">
        <w:t xml:space="preserve">économique </w:t>
      </w:r>
      <w:r w:rsidR="006A4A6D" w:rsidRPr="00E72418">
        <w:t xml:space="preserve">sont </w:t>
      </w:r>
      <w:r w:rsidR="00AF7421" w:rsidRPr="00E72418">
        <w:t>synthétisables</w:t>
      </w:r>
      <w:r w:rsidR="00B45C7B" w:rsidRPr="00E72418">
        <w:t xml:space="preserve">. Si </w:t>
      </w:r>
      <w:r w:rsidR="006A4A6D" w:rsidRPr="00E72418">
        <w:t>celles-ci</w:t>
      </w:r>
      <w:r w:rsidR="00B45C7B" w:rsidRPr="00E72418">
        <w:t xml:space="preserve"> ont généralement trait aux titres acquis par ces fonds </w:t>
      </w:r>
      <w:r w:rsidR="00FD35A4" w:rsidRPr="00E72418">
        <w:t>(</w:t>
      </w:r>
      <w:r w:rsidR="00FD35A4" w:rsidRPr="00E72418">
        <w:rPr>
          <w:b/>
        </w:rPr>
        <w:t>section 1</w:t>
      </w:r>
      <w:r w:rsidR="00FD35A4" w:rsidRPr="00E72418">
        <w:t xml:space="preserve">) </w:t>
      </w:r>
      <w:r w:rsidR="00B45C7B" w:rsidRPr="00E72418">
        <w:t>et aux recours juridiques intentés pour en obtenir le paiement</w:t>
      </w:r>
      <w:r w:rsidR="00FD35A4" w:rsidRPr="00E72418">
        <w:t xml:space="preserve"> (</w:t>
      </w:r>
      <w:r w:rsidR="00FD35A4" w:rsidRPr="00E72418">
        <w:rPr>
          <w:b/>
        </w:rPr>
        <w:t>section 2</w:t>
      </w:r>
      <w:r w:rsidR="00FD35A4" w:rsidRPr="00E72418">
        <w:t>)</w:t>
      </w:r>
      <w:r w:rsidR="00B45C7B" w:rsidRPr="00E72418">
        <w:t xml:space="preserve">, il en est </w:t>
      </w:r>
      <w:r w:rsidR="006A4A6D" w:rsidRPr="00E72418">
        <w:t xml:space="preserve">encore </w:t>
      </w:r>
      <w:r w:rsidR="00B45C7B" w:rsidRPr="00E72418">
        <w:t xml:space="preserve">d’autres comme celle </w:t>
      </w:r>
      <w:r w:rsidR="006A4A6D" w:rsidRPr="00E72418">
        <w:t>relative à</w:t>
      </w:r>
      <w:r w:rsidR="00B45C7B" w:rsidRPr="00E72418">
        <w:t xml:space="preserve"> leur opacité</w:t>
      </w:r>
      <w:r w:rsidR="00FD35A4" w:rsidRPr="00E72418">
        <w:t xml:space="preserve"> (</w:t>
      </w:r>
      <w:r w:rsidR="00FD35A4" w:rsidRPr="00E72418">
        <w:rPr>
          <w:b/>
        </w:rPr>
        <w:t>section 3</w:t>
      </w:r>
      <w:r w:rsidR="00FD35A4" w:rsidRPr="00E72418">
        <w:t>)</w:t>
      </w:r>
      <w:r w:rsidR="00B45C7B" w:rsidRPr="00E72418">
        <w:t>.</w:t>
      </w:r>
    </w:p>
    <w:p w14:paraId="31DAA6EE" w14:textId="77777777" w:rsidR="00B45C7B" w:rsidRPr="00E72418" w:rsidRDefault="00B45C7B" w:rsidP="0054314B"/>
    <w:p w14:paraId="2C42C0C5" w14:textId="10EF8F89" w:rsidR="00B45C7B" w:rsidRPr="00E72418" w:rsidRDefault="000764CE" w:rsidP="00CC4BA8">
      <w:pPr>
        <w:pStyle w:val="DD"/>
        <w:spacing w:line="276" w:lineRule="auto"/>
      </w:pPr>
      <w:bookmarkStart w:id="163" w:name="_Toc59280918"/>
      <w:bookmarkStart w:id="164" w:name="_Toc84540906"/>
      <w:r w:rsidRPr="00E72418">
        <w:t xml:space="preserve">Section 1 : </w:t>
      </w:r>
      <w:r w:rsidR="00B45C7B" w:rsidRPr="00E72418">
        <w:t xml:space="preserve">Le rachat de dettes </w:t>
      </w:r>
      <w:r w:rsidR="009C1867" w:rsidRPr="00E72418">
        <w:t>ébranlées</w:t>
      </w:r>
      <w:bookmarkEnd w:id="163"/>
      <w:bookmarkEnd w:id="164"/>
    </w:p>
    <w:p w14:paraId="094F79DA" w14:textId="77777777" w:rsidR="0054314B" w:rsidRPr="00E72418" w:rsidRDefault="0054314B" w:rsidP="0054314B"/>
    <w:p w14:paraId="07A4B9EB" w14:textId="1B2D677E" w:rsidR="00E9072A" w:rsidRPr="00E72418" w:rsidRDefault="007F038F" w:rsidP="00CC4BA8">
      <w:pPr>
        <w:spacing w:line="276" w:lineRule="auto"/>
      </w:pPr>
      <w:r w:rsidRPr="00E72418">
        <w:rPr>
          <w:b/>
        </w:rPr>
        <w:t>133</w:t>
      </w:r>
      <w:r w:rsidR="007E31CD" w:rsidRPr="00E72418">
        <w:rPr>
          <w:b/>
        </w:rPr>
        <w:t xml:space="preserve">. </w:t>
      </w:r>
      <w:r w:rsidR="00B45C7B" w:rsidRPr="00E72418">
        <w:rPr>
          <w:b/>
        </w:rPr>
        <w:t>Des débiteurs</w:t>
      </w:r>
      <w:r w:rsidR="00E9072A" w:rsidRPr="00E72418">
        <w:rPr>
          <w:b/>
        </w:rPr>
        <w:t>, essentiellement</w:t>
      </w:r>
      <w:r w:rsidR="00B45C7B" w:rsidRPr="00E72418">
        <w:rPr>
          <w:b/>
        </w:rPr>
        <w:t xml:space="preserve"> africains </w:t>
      </w:r>
      <w:r w:rsidR="00E9072A" w:rsidRPr="00E72418">
        <w:rPr>
          <w:b/>
        </w:rPr>
        <w:t>et</w:t>
      </w:r>
      <w:r w:rsidR="00B45C7B" w:rsidRPr="00E72418">
        <w:rPr>
          <w:b/>
        </w:rPr>
        <w:t xml:space="preserve"> sud-américains –</w:t>
      </w:r>
      <w:r w:rsidR="00B45C7B" w:rsidRPr="00E72418">
        <w:t xml:space="preserve"> </w:t>
      </w:r>
      <w:r w:rsidR="00E9072A" w:rsidRPr="00E72418">
        <w:t>Les</w:t>
      </w:r>
      <w:r w:rsidR="00B45C7B" w:rsidRPr="00E72418">
        <w:t xml:space="preserve"> </w:t>
      </w:r>
      <w:r w:rsidR="00B45C7B" w:rsidRPr="00E72418">
        <w:rPr>
          <w:lang w:eastAsia="fr-BE"/>
        </w:rPr>
        <w:t>É</w:t>
      </w:r>
      <w:r w:rsidR="00B45C7B" w:rsidRPr="00E72418">
        <w:t xml:space="preserve">tats souverains dont la dette est la cible de spéculation sont généralement des </w:t>
      </w:r>
      <w:r w:rsidR="00B45C7B" w:rsidRPr="00E72418">
        <w:rPr>
          <w:lang w:eastAsia="fr-BE"/>
        </w:rPr>
        <w:t>É</w:t>
      </w:r>
      <w:r w:rsidR="00B45C7B" w:rsidRPr="00E72418">
        <w:t xml:space="preserve">tats à la situation financière difficile. Ce sont ainsi souvent les </w:t>
      </w:r>
      <w:r w:rsidR="00B45C7B" w:rsidRPr="00E72418">
        <w:rPr>
          <w:lang w:eastAsia="fr-BE"/>
        </w:rPr>
        <w:t>É</w:t>
      </w:r>
      <w:r w:rsidR="00B45C7B" w:rsidRPr="00E72418">
        <w:t xml:space="preserve">tats parmi les plus pauvres au monde, pour l’essentiel africains </w:t>
      </w:r>
      <w:r w:rsidR="00E9072A" w:rsidRPr="00E72418">
        <w:t>et</w:t>
      </w:r>
      <w:r w:rsidR="00B45C7B" w:rsidRPr="00E72418">
        <w:t xml:space="preserve"> sud-américains, qui ont à faire face </w:t>
      </w:r>
      <w:r w:rsidR="00E9072A" w:rsidRPr="00E72418">
        <w:t>aux attaques</w:t>
      </w:r>
      <w:r w:rsidR="00B45C7B" w:rsidRPr="00E72418">
        <w:t xml:space="preserve"> des fonds spéculatifs</w:t>
      </w:r>
      <w:r w:rsidR="00B45C7B" w:rsidRPr="00E72418">
        <w:rPr>
          <w:rStyle w:val="Appelnotedebasdep"/>
          <w:rFonts w:cs="Times New Roman"/>
          <w:szCs w:val="24"/>
        </w:rPr>
        <w:footnoteReference w:id="709"/>
      </w:r>
      <w:r w:rsidR="00B45C7B" w:rsidRPr="00E72418">
        <w:t xml:space="preserve">. </w:t>
      </w:r>
      <w:r w:rsidR="00C36BCF">
        <w:t xml:space="preserve">L’on pourrait voir dans ce rapport, une énième déclinaison de cette société internationale que décrivent </w:t>
      </w:r>
      <w:r w:rsidR="00C36BCF">
        <w:lastRenderedPageBreak/>
        <w:t xml:space="preserve">Emmanuelle Tourme-Jouannet </w:t>
      </w:r>
      <w:r w:rsidR="00C36BCF" w:rsidRPr="00C36BCF">
        <w:rPr>
          <w:i/>
        </w:rPr>
        <w:t>et al.</w:t>
      </w:r>
      <w:r w:rsidR="00C36BCF">
        <w:t xml:space="preserve"> comme étant « caractérisée par le dénuement de la majorité face à l’opulence d’une minoritée »</w:t>
      </w:r>
      <w:r w:rsidR="00C36BCF">
        <w:rPr>
          <w:rStyle w:val="Appelnotedebasdep"/>
        </w:rPr>
        <w:footnoteReference w:id="710"/>
      </w:r>
      <w:r w:rsidR="00C36BCF">
        <w:t>.</w:t>
      </w:r>
    </w:p>
    <w:p w14:paraId="557D2FA8" w14:textId="77777777" w:rsidR="00B45C7B" w:rsidRPr="00E72418" w:rsidRDefault="00B45C7B" w:rsidP="00CC4BA8">
      <w:pPr>
        <w:spacing w:line="276" w:lineRule="auto"/>
      </w:pPr>
      <w:r w:rsidRPr="00E72418">
        <w:t>L’apparent paradoxe que soulève la politique d’acquisition des fonds spéculatifs au regard de l’insolvabilité vraisemblable de</w:t>
      </w:r>
      <w:r w:rsidR="00E9072A" w:rsidRPr="00E72418">
        <w:t xml:space="preserve">s </w:t>
      </w:r>
      <w:r w:rsidRPr="00E72418">
        <w:rPr>
          <w:lang w:eastAsia="fr-BE"/>
        </w:rPr>
        <w:t>É</w:t>
      </w:r>
      <w:r w:rsidRPr="00E72418">
        <w:t>tat</w:t>
      </w:r>
      <w:r w:rsidR="00E9072A" w:rsidRPr="00E72418">
        <w:t>s</w:t>
      </w:r>
      <w:r w:rsidRPr="00E72418">
        <w:t xml:space="preserve"> débiteur</w:t>
      </w:r>
      <w:r w:rsidR="00E9072A" w:rsidRPr="00E72418">
        <w:t>s affaiblis</w:t>
      </w:r>
      <w:r w:rsidRPr="00E72418">
        <w:t>, peut s’expliquer par le bénéfice des a</w:t>
      </w:r>
      <w:r w:rsidR="00B777C3" w:rsidRPr="00E72418">
        <w:t>ides au développement générale</w:t>
      </w:r>
      <w:r w:rsidRPr="00E72418">
        <w:t xml:space="preserve">ment octroyés aux </w:t>
      </w:r>
      <w:r w:rsidRPr="00E72418">
        <w:rPr>
          <w:lang w:eastAsia="fr-BE"/>
        </w:rPr>
        <w:t>É</w:t>
      </w:r>
      <w:r w:rsidRPr="00E72418">
        <w:t>tats très pauvres mais également par leurs ressources nat</w:t>
      </w:r>
      <w:r w:rsidR="00B777C3" w:rsidRPr="00E72418">
        <w:t>urelles dont l’exploitation génère</w:t>
      </w:r>
      <w:r w:rsidRPr="00E72418">
        <w:t xml:space="preserve"> des revenus saisissables</w:t>
      </w:r>
      <w:r w:rsidRPr="00E72418">
        <w:rPr>
          <w:rStyle w:val="Appelnotedebasdep"/>
          <w:rFonts w:cs="Times New Roman"/>
          <w:szCs w:val="24"/>
        </w:rPr>
        <w:footnoteReference w:id="711"/>
      </w:r>
      <w:r w:rsidRPr="00E72418">
        <w:t>.</w:t>
      </w:r>
    </w:p>
    <w:p w14:paraId="3E9A1E37" w14:textId="77777777" w:rsidR="00B45C7B" w:rsidRPr="00E72418" w:rsidRDefault="00B45C7B" w:rsidP="0054314B"/>
    <w:p w14:paraId="39860A2F" w14:textId="6BA7A361" w:rsidR="00B45C7B" w:rsidRPr="00E72418" w:rsidRDefault="007F038F" w:rsidP="00CC4BA8">
      <w:pPr>
        <w:spacing w:line="276" w:lineRule="auto"/>
      </w:pPr>
      <w:r w:rsidRPr="00E72418">
        <w:rPr>
          <w:b/>
        </w:rPr>
        <w:t>134</w:t>
      </w:r>
      <w:r w:rsidR="007E31CD" w:rsidRPr="00E72418">
        <w:rPr>
          <w:b/>
        </w:rPr>
        <w:t xml:space="preserve">. </w:t>
      </w:r>
      <w:r w:rsidR="00B45C7B" w:rsidRPr="00E72418">
        <w:rPr>
          <w:b/>
        </w:rPr>
        <w:t xml:space="preserve">L’état </w:t>
      </w:r>
      <w:r w:rsidR="009C1867" w:rsidRPr="00E72418">
        <w:rPr>
          <w:b/>
        </w:rPr>
        <w:t>difficile des dettes souveraines</w:t>
      </w:r>
      <w:r w:rsidR="00B45C7B" w:rsidRPr="00E72418">
        <w:t xml:space="preserve"> </w:t>
      </w:r>
      <w:r w:rsidR="00B45C7B" w:rsidRPr="00E72418">
        <w:rPr>
          <w:b/>
        </w:rPr>
        <w:t xml:space="preserve">– </w:t>
      </w:r>
      <w:r w:rsidR="00E9072A" w:rsidRPr="00E72418">
        <w:t>Quoique,</w:t>
      </w:r>
      <w:r w:rsidR="00B45C7B" w:rsidRPr="00E72418">
        <w:t xml:space="preserve"> dans les faits</w:t>
      </w:r>
      <w:r w:rsidR="00E9072A" w:rsidRPr="00E72418">
        <w:t>,</w:t>
      </w:r>
      <w:r w:rsidR="00B45C7B" w:rsidRPr="00E72418">
        <w:t xml:space="preserve"> ce sont</w:t>
      </w:r>
      <w:r w:rsidR="00E9072A" w:rsidRPr="00E72418">
        <w:t xml:space="preserve"> généralement les dettes d’</w:t>
      </w:r>
      <w:r w:rsidR="00E9072A" w:rsidRPr="00E72418">
        <w:rPr>
          <w:lang w:eastAsia="fr-BE"/>
        </w:rPr>
        <w:t>É</w:t>
      </w:r>
      <w:r w:rsidR="00E9072A" w:rsidRPr="00E72418">
        <w:t>tats</w:t>
      </w:r>
      <w:r w:rsidR="00B45C7B" w:rsidRPr="00E72418">
        <w:t xml:space="preserve"> très pauvres qui sont poursuivies,</w:t>
      </w:r>
      <w:r w:rsidR="00B45C7B" w:rsidRPr="00E72418">
        <w:rPr>
          <w:b/>
        </w:rPr>
        <w:t xml:space="preserve"> </w:t>
      </w:r>
      <w:r w:rsidR="00B45C7B" w:rsidRPr="00E72418">
        <w:t xml:space="preserve">l’on remarque toutefois que les activités des fonds spéculatifs ne sont pas directement liées à la personne du débiteur mais le sont </w:t>
      </w:r>
      <w:r w:rsidR="00813C82">
        <w:t xml:space="preserve">plus souvent </w:t>
      </w:r>
      <w:r w:rsidR="00B45C7B" w:rsidRPr="00E72418">
        <w:t xml:space="preserve">à l’état de la dette. Le modèle </w:t>
      </w:r>
      <w:r w:rsidR="00377E0C" w:rsidRPr="00E72418">
        <w:t xml:space="preserve">économique </w:t>
      </w:r>
      <w:r w:rsidR="00B45C7B" w:rsidRPr="00E72418">
        <w:t>poursuivi est celui de l’acquisition et de l’exécution de dettes sur lesquelles l’</w:t>
      </w:r>
      <w:r w:rsidR="00B45C7B" w:rsidRPr="00E72418">
        <w:rPr>
          <w:lang w:eastAsia="fr-BE"/>
        </w:rPr>
        <w:t>É</w:t>
      </w:r>
      <w:r w:rsidR="00B45C7B" w:rsidRPr="00E72418">
        <w:t>tat débiteur a fait défaut ou sur lesquelles il est proche</w:t>
      </w:r>
      <w:r w:rsidR="00E9072A" w:rsidRPr="00E72418">
        <w:t xml:space="preserve"> de ce faire</w:t>
      </w:r>
      <w:r w:rsidR="00B45C7B" w:rsidRPr="00E72418">
        <w:rPr>
          <w:rStyle w:val="Appelnotedebasdep"/>
          <w:rFonts w:cs="Times New Roman"/>
          <w:szCs w:val="24"/>
        </w:rPr>
        <w:footnoteReference w:id="712"/>
      </w:r>
      <w:r w:rsidR="00B45C7B" w:rsidRPr="00E72418">
        <w:t>. Ainsi, les aubaines ne se retrouvent pas dans les dettes d’</w:t>
      </w:r>
      <w:r w:rsidR="00B45C7B" w:rsidRPr="00E72418">
        <w:rPr>
          <w:lang w:eastAsia="fr-BE"/>
        </w:rPr>
        <w:t>É</w:t>
      </w:r>
      <w:r w:rsidR="00B45C7B" w:rsidRPr="00E72418">
        <w:t xml:space="preserve">tats très pauvres mais </w:t>
      </w:r>
      <w:r w:rsidR="009C1867" w:rsidRPr="00E72418">
        <w:t>davantage</w:t>
      </w:r>
      <w:r w:rsidR="00B45C7B" w:rsidRPr="00E72418">
        <w:t xml:space="preserve"> dans les dettes </w:t>
      </w:r>
      <w:r w:rsidR="00E9072A" w:rsidRPr="00E72418">
        <w:t>ébranlées</w:t>
      </w:r>
      <w:r w:rsidR="00585FC1" w:rsidRPr="00E72418">
        <w:rPr>
          <w:rStyle w:val="Appelnotedebasdep"/>
        </w:rPr>
        <w:footnoteReference w:id="713"/>
      </w:r>
      <w:r w:rsidR="009C1867" w:rsidRPr="00E72418">
        <w:t>. C</w:t>
      </w:r>
      <w:r w:rsidR="00B45C7B" w:rsidRPr="00E72418">
        <w:t xml:space="preserve">ette raison explique </w:t>
      </w:r>
      <w:r w:rsidR="009C1867" w:rsidRPr="00E72418">
        <w:t>la spéculation sur des</w:t>
      </w:r>
      <w:r w:rsidR="00B45C7B" w:rsidRPr="00E72418">
        <w:t xml:space="preserve"> pays à revenu interméd</w:t>
      </w:r>
      <w:r w:rsidR="00B777C3" w:rsidRPr="00E72418">
        <w:t>i</w:t>
      </w:r>
      <w:r w:rsidR="00B45C7B" w:rsidRPr="00E72418">
        <w:t>aire comme</w:t>
      </w:r>
      <w:r w:rsidR="009C1867" w:rsidRPr="00E72418">
        <w:t>,</w:t>
      </w:r>
      <w:r w:rsidR="00B45C7B" w:rsidRPr="00E72418">
        <w:t xml:space="preserve"> par exemple</w:t>
      </w:r>
      <w:r w:rsidR="009C1867" w:rsidRPr="00E72418">
        <w:t>,</w:t>
      </w:r>
      <w:r w:rsidR="00B45C7B" w:rsidRPr="00E72418">
        <w:t xml:space="preserve"> l’Argentine dont certains titres ont </w:t>
      </w:r>
      <w:r w:rsidR="009C1867" w:rsidRPr="00E72418">
        <w:t>pu être</w:t>
      </w:r>
      <w:r w:rsidR="00B45C7B" w:rsidRPr="00E72418">
        <w:t xml:space="preserve"> racheté</w:t>
      </w:r>
      <w:r w:rsidR="009C1867" w:rsidRPr="00E72418">
        <w:t>s</w:t>
      </w:r>
      <w:r w:rsidR="00B45C7B" w:rsidRPr="00E72418">
        <w:t xml:space="preserve"> à </w:t>
      </w:r>
      <w:r w:rsidR="009C1867" w:rsidRPr="00E72418">
        <w:t>quinze</w:t>
      </w:r>
      <w:r w:rsidR="00B45C7B" w:rsidRPr="00E72418">
        <w:t xml:space="preserve"> pour</w:t>
      </w:r>
      <w:r w:rsidR="007C22BA" w:rsidRPr="00E72418">
        <w:t xml:space="preserve"> cent</w:t>
      </w:r>
      <w:r w:rsidR="00B45C7B" w:rsidRPr="00E72418">
        <w:t xml:space="preserve"> de leur valeur</w:t>
      </w:r>
      <w:r w:rsidR="009C1867" w:rsidRPr="00E72418">
        <w:t xml:space="preserve"> offrant aux investisseurs une amplitude de gains extraordinaire</w:t>
      </w:r>
      <w:r w:rsidR="00B45C7B" w:rsidRPr="00E72418">
        <w:rPr>
          <w:rStyle w:val="Appelnotedebasdep"/>
          <w:rFonts w:cs="Times New Roman"/>
          <w:szCs w:val="24"/>
        </w:rPr>
        <w:footnoteReference w:id="714"/>
      </w:r>
      <w:r w:rsidR="00B45C7B" w:rsidRPr="00E72418">
        <w:t>.</w:t>
      </w:r>
    </w:p>
    <w:p w14:paraId="66417D9F" w14:textId="77777777" w:rsidR="00B45C7B" w:rsidRPr="00E72418" w:rsidRDefault="00B777C3" w:rsidP="00CC4BA8">
      <w:pPr>
        <w:spacing w:line="276" w:lineRule="auto"/>
      </w:pPr>
      <w:r w:rsidRPr="00E72418">
        <w:t>Les dettes co</w:t>
      </w:r>
      <w:r w:rsidR="00B45C7B" w:rsidRPr="00E72418">
        <w:t>nvoitées sont, selon le cas, « defaulted » ou minimalement « distressed ». Le statut difficile de ces dettes en réduit le prix d’acquisition sur le marché secondaire rendant le potentiel profit conséquent</w:t>
      </w:r>
      <w:r w:rsidR="00B45C7B" w:rsidRPr="00E72418">
        <w:rPr>
          <w:rStyle w:val="Appelnotedebasdep"/>
          <w:rFonts w:cs="Times New Roman"/>
          <w:szCs w:val="24"/>
        </w:rPr>
        <w:footnoteReference w:id="715"/>
      </w:r>
      <w:r w:rsidR="00B45C7B" w:rsidRPr="00E72418">
        <w:t xml:space="preserve">. </w:t>
      </w:r>
      <w:r w:rsidR="009C1867" w:rsidRPr="00E72418">
        <w:t>T</w:t>
      </w:r>
      <w:r w:rsidR="005010FE" w:rsidRPr="00E72418">
        <w:t>ant la faible probabilité d’</w:t>
      </w:r>
      <w:r w:rsidR="00B45C7B" w:rsidRPr="00E72418">
        <w:t xml:space="preserve">un paiement </w:t>
      </w:r>
      <w:r w:rsidR="009C1867" w:rsidRPr="00E72418">
        <w:t>complet</w:t>
      </w:r>
      <w:r w:rsidR="00B45C7B" w:rsidRPr="00E72418">
        <w:t xml:space="preserve"> </w:t>
      </w:r>
      <w:r w:rsidR="009C1867" w:rsidRPr="00E72418">
        <w:t xml:space="preserve">des titres </w:t>
      </w:r>
      <w:r w:rsidR="005010FE" w:rsidRPr="00E72418">
        <w:t>par l’</w:t>
      </w:r>
      <w:r w:rsidR="005010FE" w:rsidRPr="00E72418">
        <w:rPr>
          <w:lang w:eastAsia="fr-BE"/>
        </w:rPr>
        <w:t>É</w:t>
      </w:r>
      <w:r w:rsidR="005010FE" w:rsidRPr="00E72418">
        <w:t>tat</w:t>
      </w:r>
      <w:r w:rsidR="00B45C7B" w:rsidRPr="00E72418">
        <w:t xml:space="preserve"> débiteur que les important</w:t>
      </w:r>
      <w:r w:rsidR="009C1867" w:rsidRPr="00E72418">
        <w:t>s</w:t>
      </w:r>
      <w:r w:rsidR="00B45C7B" w:rsidRPr="00E72418">
        <w:t xml:space="preserve"> coûts </w:t>
      </w:r>
      <w:r w:rsidR="005010FE" w:rsidRPr="00E72418">
        <w:t>nécessaires</w:t>
      </w:r>
      <w:r w:rsidR="00B45C7B" w:rsidRPr="00E72418">
        <w:t xml:space="preserve"> </w:t>
      </w:r>
      <w:r w:rsidR="005010FE" w:rsidRPr="00E72418">
        <w:t>à la poursuite de ce</w:t>
      </w:r>
      <w:r w:rsidR="00B45C7B" w:rsidRPr="00E72418">
        <w:t xml:space="preserve"> paiement influent sur la réduction de leur valeur</w:t>
      </w:r>
      <w:r w:rsidR="00B45C7B" w:rsidRPr="00E72418">
        <w:rPr>
          <w:rStyle w:val="Appelnotedebasdep"/>
          <w:rFonts w:cs="Times New Roman"/>
          <w:szCs w:val="24"/>
        </w:rPr>
        <w:footnoteReference w:id="716"/>
      </w:r>
      <w:r w:rsidR="00B45C7B" w:rsidRPr="00E72418">
        <w:t>.</w:t>
      </w:r>
    </w:p>
    <w:p w14:paraId="797D20B6" w14:textId="77777777" w:rsidR="00B45C7B" w:rsidRPr="00E72418" w:rsidRDefault="00B45C7B" w:rsidP="0054314B"/>
    <w:p w14:paraId="505CF228" w14:textId="39B3F568" w:rsidR="00B45C7B" w:rsidRPr="00E72418" w:rsidRDefault="007F038F" w:rsidP="00CC4BA8">
      <w:pPr>
        <w:spacing w:line="276" w:lineRule="auto"/>
      </w:pPr>
      <w:r w:rsidRPr="00E72418">
        <w:rPr>
          <w:b/>
        </w:rPr>
        <w:t>135</w:t>
      </w:r>
      <w:r w:rsidR="007E31CD" w:rsidRPr="00E72418">
        <w:rPr>
          <w:b/>
        </w:rPr>
        <w:t xml:space="preserve">. </w:t>
      </w:r>
      <w:r w:rsidR="00B45C7B" w:rsidRPr="00E72418">
        <w:rPr>
          <w:b/>
        </w:rPr>
        <w:t xml:space="preserve">L’acquisition de titres de créance ou de décisions – </w:t>
      </w:r>
      <w:r w:rsidR="00B45C7B" w:rsidRPr="00E72418">
        <w:t xml:space="preserve">En règle générale, les fonds spéculatifs font l’acquisition sur le marché secondaire de titres représentant une dette due par un </w:t>
      </w:r>
      <w:r w:rsidR="00B45C7B" w:rsidRPr="00E72418">
        <w:rPr>
          <w:lang w:eastAsia="fr-BE"/>
        </w:rPr>
        <w:t>É</w:t>
      </w:r>
      <w:r w:rsidR="00B45C7B" w:rsidRPr="00E72418">
        <w:t>tat et dont un créancier entend se libérer. Si ces dettes</w:t>
      </w:r>
      <w:r w:rsidR="00B45C7B" w:rsidRPr="00E72418">
        <w:rPr>
          <w:b/>
        </w:rPr>
        <w:t xml:space="preserve"> </w:t>
      </w:r>
      <w:r w:rsidR="00B45C7B" w:rsidRPr="00E72418">
        <w:t xml:space="preserve">sont </w:t>
      </w:r>
      <w:r w:rsidR="005010FE" w:rsidRPr="00E72418">
        <w:t xml:space="preserve">généralement </w:t>
      </w:r>
      <w:r w:rsidR="00B45C7B" w:rsidRPr="00E72418">
        <w:t xml:space="preserve">acquises par </w:t>
      </w:r>
      <w:r w:rsidR="00B45C7B" w:rsidRPr="00E72418">
        <w:lastRenderedPageBreak/>
        <w:t>rachat, les acquisitions par les fonds ne s’y limitent pas. Il peut ainsi s’agir de toute forme de transaction conduisant au transfert de propriété des titres</w:t>
      </w:r>
      <w:r w:rsidR="00B45C7B" w:rsidRPr="00E72418">
        <w:rPr>
          <w:rStyle w:val="Appelnotedebasdep"/>
        </w:rPr>
        <w:footnoteReference w:id="717"/>
      </w:r>
      <w:r w:rsidR="00B45C7B" w:rsidRPr="00E72418">
        <w:t xml:space="preserve">. </w:t>
      </w:r>
    </w:p>
    <w:p w14:paraId="18C2D51B" w14:textId="5BF090DE" w:rsidR="00B45C7B" w:rsidRPr="00E72418" w:rsidRDefault="00B45C7B" w:rsidP="00CC4BA8">
      <w:pPr>
        <w:spacing w:line="276" w:lineRule="auto"/>
      </w:pPr>
      <w:r w:rsidRPr="00E72418">
        <w:t xml:space="preserve">Aussi, l’objet de l’acquisition par les fonds spéculatifs n’est pas toujours un titre de </w:t>
      </w:r>
      <w:r w:rsidR="005010FE" w:rsidRPr="00E72418">
        <w:t>créance. Il est également des</w:t>
      </w:r>
      <w:r w:rsidRPr="00E72418">
        <w:t xml:space="preserve"> opportunité</w:t>
      </w:r>
      <w:r w:rsidR="005010FE" w:rsidRPr="00E72418">
        <w:t>s</w:t>
      </w:r>
      <w:r w:rsidRPr="00E72418">
        <w:t xml:space="preserve"> dans l’acquisition de </w:t>
      </w:r>
      <w:r w:rsidR="005010FE" w:rsidRPr="00E72418">
        <w:t>décisions</w:t>
      </w:r>
      <w:r w:rsidRPr="00E72418">
        <w:t xml:space="preserve"> déjà prononcé</w:t>
      </w:r>
      <w:r w:rsidR="005010FE" w:rsidRPr="00E72418">
        <w:t>es à l’encontre d’</w:t>
      </w:r>
      <w:r w:rsidRPr="00E72418">
        <w:rPr>
          <w:lang w:eastAsia="fr-BE"/>
        </w:rPr>
        <w:t>Ét</w:t>
      </w:r>
      <w:r w:rsidRPr="00E72418">
        <w:t>ats</w:t>
      </w:r>
      <w:r w:rsidR="005010FE" w:rsidRPr="00E72418">
        <w:t xml:space="preserve"> débiteurs</w:t>
      </w:r>
      <w:r w:rsidRPr="00E72418">
        <w:rPr>
          <w:rStyle w:val="Appelnotedebasdep"/>
          <w:rFonts w:cs="Times New Roman"/>
        </w:rPr>
        <w:footnoteReference w:id="718"/>
      </w:r>
      <w:r w:rsidRPr="00E72418">
        <w:t xml:space="preserve">. L’on peut </w:t>
      </w:r>
      <w:r w:rsidR="005010FE" w:rsidRPr="00E72418">
        <w:t xml:space="preserve">ainsi </w:t>
      </w:r>
      <w:r w:rsidRPr="00E72418">
        <w:t xml:space="preserve">imaginer que </w:t>
      </w:r>
      <w:r w:rsidR="005010FE" w:rsidRPr="00E72418">
        <w:t>leurs</w:t>
      </w:r>
      <w:r w:rsidRPr="00E72418">
        <w:t xml:space="preserve"> bénéficiaires </w:t>
      </w:r>
      <w:r w:rsidR="005010FE" w:rsidRPr="00E72418">
        <w:t xml:space="preserve">préfèrent s’en débarrasser </w:t>
      </w:r>
      <w:r w:rsidRPr="00E72418">
        <w:t>conscient</w:t>
      </w:r>
      <w:r w:rsidR="005010FE" w:rsidRPr="00E72418">
        <w:t>s</w:t>
      </w:r>
      <w:r w:rsidRPr="00E72418">
        <w:t xml:space="preserve"> des difficultés </w:t>
      </w:r>
      <w:r w:rsidR="005010FE" w:rsidRPr="00E72418">
        <w:t>émaillant les recherches d’exécution à l’encontre de</w:t>
      </w:r>
      <w:r w:rsidRPr="00E72418">
        <w:t xml:space="preserve"> débiteur</w:t>
      </w:r>
      <w:r w:rsidR="005010FE" w:rsidRPr="00E72418">
        <w:t>s</w:t>
      </w:r>
      <w:r w:rsidRPr="00E72418">
        <w:t xml:space="preserve"> souverain</w:t>
      </w:r>
      <w:r w:rsidR="005010FE" w:rsidRPr="00E72418">
        <w:t>s</w:t>
      </w:r>
      <w:r w:rsidRPr="00E72418">
        <w:t>.</w:t>
      </w:r>
    </w:p>
    <w:p w14:paraId="057627DB" w14:textId="36622600" w:rsidR="00B45C7B" w:rsidRPr="00E72418" w:rsidRDefault="00B45C7B" w:rsidP="00CC4BA8">
      <w:pPr>
        <w:spacing w:line="276" w:lineRule="auto"/>
        <w:rPr>
          <w:b/>
        </w:rPr>
      </w:pPr>
      <w:r w:rsidRPr="00E72418">
        <w:rPr>
          <w:szCs w:val="24"/>
        </w:rPr>
        <w:t>Par ailleurs, si les fonds spéculatifs poursuivent généra</w:t>
      </w:r>
      <w:r w:rsidR="005010FE" w:rsidRPr="00E72418">
        <w:rPr>
          <w:szCs w:val="24"/>
        </w:rPr>
        <w:t xml:space="preserve">lement de simples paiements de </w:t>
      </w:r>
      <w:r w:rsidRPr="00E72418">
        <w:rPr>
          <w:szCs w:val="24"/>
        </w:rPr>
        <w:t xml:space="preserve">titres </w:t>
      </w:r>
      <w:r w:rsidR="005010FE" w:rsidRPr="00E72418">
        <w:rPr>
          <w:szCs w:val="24"/>
        </w:rPr>
        <w:t xml:space="preserve">de créance </w:t>
      </w:r>
      <w:r w:rsidRPr="00E72418">
        <w:rPr>
          <w:szCs w:val="24"/>
        </w:rPr>
        <w:t xml:space="preserve">et </w:t>
      </w:r>
      <w:r w:rsidR="005010FE" w:rsidRPr="00E72418">
        <w:rPr>
          <w:szCs w:val="24"/>
        </w:rPr>
        <w:t xml:space="preserve">de </w:t>
      </w:r>
      <w:r w:rsidRPr="00E72418">
        <w:rPr>
          <w:szCs w:val="24"/>
        </w:rPr>
        <w:t xml:space="preserve">décisions, il est des cas dans lesquels ceux-ci </w:t>
      </w:r>
      <w:r w:rsidR="00D551BF" w:rsidRPr="00E72418">
        <w:rPr>
          <w:szCs w:val="24"/>
        </w:rPr>
        <w:t>cherchent</w:t>
      </w:r>
      <w:r w:rsidRPr="00E72418">
        <w:rPr>
          <w:szCs w:val="24"/>
        </w:rPr>
        <w:t xml:space="preserve"> à être désintéressés d’autres façons</w:t>
      </w:r>
      <w:r w:rsidR="00D551BF" w:rsidRPr="00E72418">
        <w:rPr>
          <w:szCs w:val="24"/>
        </w:rPr>
        <w:t>. L’on peut ainsi penser à des</w:t>
      </w:r>
      <w:r w:rsidRPr="00E72418">
        <w:rPr>
          <w:szCs w:val="24"/>
        </w:rPr>
        <w:t xml:space="preserve"> échange</w:t>
      </w:r>
      <w:r w:rsidR="00D551BF" w:rsidRPr="00E72418">
        <w:rPr>
          <w:szCs w:val="24"/>
        </w:rPr>
        <w:t>s</w:t>
      </w:r>
      <w:r w:rsidRPr="00E72418">
        <w:rPr>
          <w:szCs w:val="24"/>
        </w:rPr>
        <w:t xml:space="preserve"> </w:t>
      </w:r>
      <w:r w:rsidRPr="00E72418">
        <w:rPr>
          <w:rFonts w:cs="Times New Roman"/>
          <w:szCs w:val="24"/>
        </w:rPr>
        <w:t>contre des ressources naturelles ou encore des projets d’infrastructures dans le pays débiteur</w:t>
      </w:r>
      <w:r w:rsidR="00D551BF" w:rsidRPr="00E72418">
        <w:rPr>
          <w:rStyle w:val="Appelnotedebasdep"/>
          <w:rFonts w:cs="Times New Roman"/>
          <w:szCs w:val="24"/>
        </w:rPr>
        <w:footnoteReference w:id="719"/>
      </w:r>
      <w:r w:rsidRPr="00E72418">
        <w:rPr>
          <w:rFonts w:cs="Times New Roman"/>
          <w:szCs w:val="24"/>
        </w:rPr>
        <w:t>.</w:t>
      </w:r>
      <w:r w:rsidR="00680266" w:rsidRPr="00E72418">
        <w:rPr>
          <w:rFonts w:cs="Times New Roman"/>
          <w:szCs w:val="24"/>
        </w:rPr>
        <w:t xml:space="preserve"> Les spéculateurs pourraient également chercher à obtenir des participations lors de la privatisation d’entreprises publiques</w:t>
      </w:r>
      <w:r w:rsidR="00680266" w:rsidRPr="00E72418">
        <w:rPr>
          <w:rStyle w:val="Appelnotedebasdep"/>
          <w:rFonts w:cs="Times New Roman"/>
          <w:szCs w:val="24"/>
        </w:rPr>
        <w:footnoteReference w:id="720"/>
      </w:r>
      <w:r w:rsidR="00680266" w:rsidRPr="00E72418">
        <w:rPr>
          <w:rFonts w:cs="Times New Roman"/>
          <w:szCs w:val="24"/>
        </w:rPr>
        <w:t>.</w:t>
      </w:r>
    </w:p>
    <w:p w14:paraId="20E3B522" w14:textId="77777777" w:rsidR="00B45C7B" w:rsidRPr="00E72418" w:rsidRDefault="00B45C7B" w:rsidP="0054314B"/>
    <w:p w14:paraId="5AA89225" w14:textId="05055348" w:rsidR="00B45C7B" w:rsidRPr="00E72418" w:rsidRDefault="000764CE" w:rsidP="00CC4BA8">
      <w:pPr>
        <w:pStyle w:val="DD"/>
        <w:spacing w:line="276" w:lineRule="auto"/>
      </w:pPr>
      <w:bookmarkStart w:id="165" w:name="_Toc59280919"/>
      <w:bookmarkStart w:id="166" w:name="_Toc84540907"/>
      <w:r w:rsidRPr="00E72418">
        <w:t xml:space="preserve">Section 2 : </w:t>
      </w:r>
      <w:r w:rsidR="00B45C7B" w:rsidRPr="00E72418">
        <w:t>L’agressivité et la détermination</w:t>
      </w:r>
      <w:bookmarkEnd w:id="165"/>
      <w:bookmarkEnd w:id="166"/>
    </w:p>
    <w:p w14:paraId="6D8159A8" w14:textId="77777777" w:rsidR="0054314B" w:rsidRPr="00E72418" w:rsidRDefault="0054314B" w:rsidP="0054314B"/>
    <w:p w14:paraId="3663DA23" w14:textId="4B841995" w:rsidR="00B45C7B" w:rsidRPr="00E72418" w:rsidRDefault="007F038F" w:rsidP="00CC4BA8">
      <w:pPr>
        <w:spacing w:line="276" w:lineRule="auto"/>
      </w:pPr>
      <w:r w:rsidRPr="00E72418">
        <w:rPr>
          <w:b/>
        </w:rPr>
        <w:t>136</w:t>
      </w:r>
      <w:r w:rsidR="007E31CD" w:rsidRPr="00E72418">
        <w:rPr>
          <w:b/>
        </w:rPr>
        <w:t xml:space="preserve">. </w:t>
      </w:r>
      <w:r w:rsidR="00B45C7B" w:rsidRPr="00E72418">
        <w:rPr>
          <w:b/>
        </w:rPr>
        <w:t xml:space="preserve">Une espèce de créanciers récalcitrants – </w:t>
      </w:r>
      <w:r w:rsidR="00B45C7B" w:rsidRPr="00E72418">
        <w:t>Si l’expression « créanciers récalcitrants » est souvent utilisée pour décrire les f</w:t>
      </w:r>
      <w:r w:rsidR="004F2AD2" w:rsidRPr="00E72418">
        <w:t>onds spéculant</w:t>
      </w:r>
      <w:r w:rsidR="00B45C7B" w:rsidRPr="00E72418">
        <w:t xml:space="preserve"> sur les dettes souveraines, il échet toutefois de relever que la synonymie est imparfaite</w:t>
      </w:r>
      <w:r w:rsidR="00416642" w:rsidRPr="00E72418">
        <w:rPr>
          <w:rStyle w:val="Appelnotedebasdep"/>
        </w:rPr>
        <w:footnoteReference w:id="721"/>
      </w:r>
      <w:r w:rsidR="00B45C7B" w:rsidRPr="00E72418">
        <w:t>. Les seconds sont une espèce, sans doute la plus commune, des premiers de sorte que si un fonds spéculatif est en règle un créancier récalcitrant, l’inverse n’est pas f</w:t>
      </w:r>
      <w:r w:rsidR="00813C82">
        <w:t xml:space="preserve">orcément le cas. </w:t>
      </w:r>
      <w:r w:rsidR="00B45C7B" w:rsidRPr="00E72418">
        <w:t xml:space="preserve">La différence majeure réside dans le fait que les créanciers récalcitrants peuvent être des créanciers primaires ou secondaires tandis que les fonds </w:t>
      </w:r>
      <w:r w:rsidR="000332F4" w:rsidRPr="00E72418">
        <w:t>dits « </w:t>
      </w:r>
      <w:r w:rsidR="00B45C7B" w:rsidRPr="00E72418">
        <w:t>vautours</w:t>
      </w:r>
      <w:r w:rsidR="000332F4" w:rsidRPr="00E72418">
        <w:t> »</w:t>
      </w:r>
      <w:r w:rsidR="00B45C7B" w:rsidRPr="00E72418">
        <w:t xml:space="preserve"> sont toujours des créanciers secondaires dont le modèle </w:t>
      </w:r>
      <w:r w:rsidR="00377E0C" w:rsidRPr="00E72418">
        <w:t xml:space="preserve">économique </w:t>
      </w:r>
      <w:r w:rsidR="00B45C7B" w:rsidRPr="00E72418">
        <w:t>consiste à racheter à des prêteurs originaires des cré</w:t>
      </w:r>
      <w:r w:rsidR="000332F4" w:rsidRPr="00E72418">
        <w:t>ances en difficulté espérant</w:t>
      </w:r>
      <w:r w:rsidR="00B45C7B" w:rsidRPr="00E72418">
        <w:t xml:space="preserve"> pouvoir en tirer profit</w:t>
      </w:r>
      <w:r w:rsidR="00B45C7B" w:rsidRPr="00E72418">
        <w:rPr>
          <w:rStyle w:val="Appelnotedebasdep"/>
          <w:rFonts w:cs="Times New Roman"/>
          <w:szCs w:val="24"/>
        </w:rPr>
        <w:footnoteReference w:id="722"/>
      </w:r>
      <w:r w:rsidR="00B45C7B" w:rsidRPr="00E72418">
        <w:t>.</w:t>
      </w:r>
    </w:p>
    <w:p w14:paraId="2FB44EFA" w14:textId="6ABFCD26" w:rsidR="00B45C7B" w:rsidRPr="00E72418" w:rsidRDefault="00B45C7B" w:rsidP="00CC4BA8">
      <w:pPr>
        <w:spacing w:line="276" w:lineRule="auto"/>
        <w:rPr>
          <w:rFonts w:cs="Times New Roman"/>
          <w:szCs w:val="24"/>
        </w:rPr>
      </w:pPr>
      <w:r w:rsidRPr="00E72418">
        <w:t xml:space="preserve">Les </w:t>
      </w:r>
      <w:r w:rsidRPr="00E72418">
        <w:rPr>
          <w:lang w:eastAsia="fr-BE"/>
        </w:rPr>
        <w:t>É</w:t>
      </w:r>
      <w:r w:rsidRPr="00E72418">
        <w:t>tats en difficulté financière à l’égard desquels les fonds spéculatifs détiennent des titres sont souvent amenés à s’engager da</w:t>
      </w:r>
      <w:r w:rsidR="000332F4" w:rsidRPr="00E72418">
        <w:t>ns la restructuration de leur dette</w:t>
      </w:r>
      <w:r w:rsidRPr="00E72418">
        <w:t xml:space="preserve"> à laquelle ces fonds vont </w:t>
      </w:r>
      <w:r w:rsidRPr="00E72418">
        <w:lastRenderedPageBreak/>
        <w:t>refuser de participer</w:t>
      </w:r>
      <w:r w:rsidRPr="00E72418">
        <w:rPr>
          <w:rStyle w:val="Appelnotedebasdep"/>
        </w:rPr>
        <w:footnoteReference w:id="723"/>
      </w:r>
      <w:r w:rsidRPr="00E72418">
        <w:t xml:space="preserve">. </w:t>
      </w:r>
      <w:r w:rsidRPr="00E72418">
        <w:rPr>
          <w:rFonts w:cs="Times New Roman"/>
          <w:szCs w:val="24"/>
        </w:rPr>
        <w:t>Leur stratégie consiste précisément à réclamer la valeur nominale de créances acquises</w:t>
      </w:r>
      <w:r w:rsidR="000332F4" w:rsidRPr="00E72418">
        <w:rPr>
          <w:rFonts w:cs="Times New Roman"/>
          <w:szCs w:val="24"/>
        </w:rPr>
        <w:t xml:space="preserve"> sur le marché secondaire</w:t>
      </w:r>
      <w:r w:rsidRPr="00E72418">
        <w:rPr>
          <w:rFonts w:cs="Times New Roman"/>
          <w:szCs w:val="24"/>
        </w:rPr>
        <w:t xml:space="preserve">, et plus généralement l’application de leurs termes originaux, même si elles ont été </w:t>
      </w:r>
      <w:r w:rsidR="000332F4" w:rsidRPr="00E72418">
        <w:rPr>
          <w:rFonts w:cs="Times New Roman"/>
          <w:szCs w:val="24"/>
        </w:rPr>
        <w:t>rachetées</w:t>
      </w:r>
      <w:r w:rsidRPr="00E72418">
        <w:rPr>
          <w:rFonts w:cs="Times New Roman"/>
          <w:szCs w:val="24"/>
        </w:rPr>
        <w:t xml:space="preserve"> à prix réduit</w:t>
      </w:r>
      <w:r w:rsidRPr="00E72418">
        <w:rPr>
          <w:rStyle w:val="Appelnotedebasdep"/>
          <w:rFonts w:cs="Times New Roman"/>
          <w:szCs w:val="24"/>
        </w:rPr>
        <w:footnoteReference w:id="724"/>
      </w:r>
      <w:r w:rsidRPr="00E72418">
        <w:rPr>
          <w:rFonts w:cs="Times New Roman"/>
          <w:szCs w:val="24"/>
        </w:rPr>
        <w:t>.</w:t>
      </w:r>
    </w:p>
    <w:p w14:paraId="5B2E15E0" w14:textId="77777777" w:rsidR="00C24330" w:rsidRPr="00E72418" w:rsidRDefault="00C24330" w:rsidP="0054314B"/>
    <w:p w14:paraId="359A53EB" w14:textId="52256309" w:rsidR="00B45C7B" w:rsidRPr="00E72418" w:rsidRDefault="007F038F" w:rsidP="00CC4BA8">
      <w:pPr>
        <w:spacing w:line="276" w:lineRule="auto"/>
      </w:pPr>
      <w:r w:rsidRPr="00E72418">
        <w:rPr>
          <w:b/>
        </w:rPr>
        <w:t>137</w:t>
      </w:r>
      <w:r w:rsidR="007E31CD" w:rsidRPr="00E72418">
        <w:rPr>
          <w:b/>
        </w:rPr>
        <w:t xml:space="preserve">. </w:t>
      </w:r>
      <w:r w:rsidR="00B45C7B" w:rsidRPr="00E72418">
        <w:rPr>
          <w:b/>
        </w:rPr>
        <w:t xml:space="preserve">Des procès – </w:t>
      </w:r>
      <w:r w:rsidR="00B45C7B" w:rsidRPr="00E72418">
        <w:t>Fréquemment confronté</w:t>
      </w:r>
      <w:r w:rsidR="000332F4" w:rsidRPr="00E72418">
        <w:t>s</w:t>
      </w:r>
      <w:r w:rsidR="00B45C7B" w:rsidRPr="00E72418">
        <w:t xml:space="preserve"> au refus des </w:t>
      </w:r>
      <w:r w:rsidR="00B45C7B" w:rsidRPr="00E72418">
        <w:rPr>
          <w:lang w:eastAsia="fr-BE"/>
        </w:rPr>
        <w:t>É</w:t>
      </w:r>
      <w:r w:rsidR="00B45C7B" w:rsidRPr="00E72418">
        <w:t xml:space="preserve">tats d’honorer les créances dans les termes réclamés par les fonds spéculatifs, ces derniers, refusant la solution négociée, s’engagent </w:t>
      </w:r>
      <w:r w:rsidR="000332F4" w:rsidRPr="00E72418">
        <w:t>souvent</w:t>
      </w:r>
      <w:r w:rsidR="00B45C7B" w:rsidRPr="00E72418">
        <w:t xml:space="preserve"> dans des procédures visan</w:t>
      </w:r>
      <w:r w:rsidR="000332F4" w:rsidRPr="00E72418">
        <w:t>t à obtenir la condamnation de leurs débiteurs</w:t>
      </w:r>
      <w:r w:rsidR="00B45C7B" w:rsidRPr="00E72418">
        <w:t xml:space="preserve"> à honorer leurs dettes selon leurs modalités originaires. Ces poursuites ont ceci de particulier qu’elles sont souvent </w:t>
      </w:r>
      <w:r w:rsidR="000332F4" w:rsidRPr="00E72418">
        <w:t>acharnée</w:t>
      </w:r>
      <w:r w:rsidR="00B45C7B" w:rsidRPr="00E72418">
        <w:t xml:space="preserve">s, des auteurs allant jusqu’à qualifier l’activisme judiciaire des fonds </w:t>
      </w:r>
      <w:r w:rsidR="004F2AD2" w:rsidRPr="00E72418">
        <w:t>spéculant</w:t>
      </w:r>
      <w:r w:rsidR="000332F4" w:rsidRPr="00E72418">
        <w:t xml:space="preserve"> sur les dettes souveraines </w:t>
      </w:r>
      <w:r w:rsidR="00B45C7B" w:rsidRPr="00E72418">
        <w:t>de « vulturisme »</w:t>
      </w:r>
      <w:r w:rsidR="00B45C7B" w:rsidRPr="00E72418">
        <w:rPr>
          <w:rStyle w:val="Appelnotedebasdep"/>
          <w:rFonts w:cs="Times New Roman"/>
          <w:szCs w:val="24"/>
        </w:rPr>
        <w:footnoteReference w:id="725"/>
      </w:r>
      <w:r w:rsidR="00B45C7B" w:rsidRPr="00E72418">
        <w:t xml:space="preserve">. </w:t>
      </w:r>
    </w:p>
    <w:p w14:paraId="7C921C55" w14:textId="77777777" w:rsidR="00B45C7B" w:rsidRPr="00E72418" w:rsidRDefault="00B45C7B" w:rsidP="00CC4BA8">
      <w:pPr>
        <w:spacing w:line="276" w:lineRule="auto"/>
      </w:pPr>
      <w:r w:rsidRPr="00E72418">
        <w:t xml:space="preserve">Pour parvenir à leurs fins, les créanciers font appel aux juridictions </w:t>
      </w:r>
      <w:r w:rsidR="000332F4" w:rsidRPr="00E72418">
        <w:t>du</w:t>
      </w:r>
      <w:r w:rsidRPr="00E72418">
        <w:t xml:space="preserve"> monde entier afin de faire condamner leur débiteur </w:t>
      </w:r>
      <w:r w:rsidR="000332F4" w:rsidRPr="00E72418">
        <w:t>puis</w:t>
      </w:r>
      <w:r w:rsidRPr="00E72418">
        <w:t xml:space="preserve"> saisir leurs biens</w:t>
      </w:r>
      <w:r w:rsidR="00B777C3" w:rsidRPr="00E72418">
        <w:t>. Tirant parti de l’hétérogénéit</w:t>
      </w:r>
      <w:r w:rsidRPr="00E72418">
        <w:t>é du droit, la pratique des fonds spéculatifs consiste à poursuiv</w:t>
      </w:r>
      <w:r w:rsidR="00DE337B" w:rsidRPr="00E72418">
        <w:t>re la condamnation de leur</w:t>
      </w:r>
      <w:r w:rsidRPr="00E72418">
        <w:t xml:space="preserve"> débiteur </w:t>
      </w:r>
      <w:r w:rsidR="009D21F8" w:rsidRPr="00E72418">
        <w:t xml:space="preserve">souverain </w:t>
      </w:r>
      <w:r w:rsidRPr="00E72418">
        <w:t xml:space="preserve">devant les juridictions les plus enclines à leur donner raison sur le fond de leur prétention pour ensuite poursuivre l’exécution des décisions obtenues devant les juridictions où le contentieux de la reconnaissance et de l’exécution permet le moins de regard </w:t>
      </w:r>
      <w:r w:rsidR="00DE337B" w:rsidRPr="00E72418">
        <w:t>quant au</w:t>
      </w:r>
      <w:r w:rsidRPr="00E72418">
        <w:t xml:space="preserve"> fond</w:t>
      </w:r>
      <w:r w:rsidRPr="00E72418">
        <w:rPr>
          <w:rStyle w:val="Appelnotedebasdep"/>
          <w:rFonts w:cs="Times New Roman"/>
          <w:szCs w:val="24"/>
        </w:rPr>
        <w:footnoteReference w:id="726"/>
      </w:r>
      <w:r w:rsidRPr="00E72418">
        <w:t xml:space="preserve">. </w:t>
      </w:r>
    </w:p>
    <w:p w14:paraId="0C55F167" w14:textId="58352EBD" w:rsidR="00B45C7B" w:rsidRPr="00E72418" w:rsidRDefault="00B45C7B" w:rsidP="00CC4BA8">
      <w:pPr>
        <w:spacing w:line="276" w:lineRule="auto"/>
      </w:pPr>
      <w:r w:rsidRPr="00E72418">
        <w:rPr>
          <w:shd w:val="clear" w:color="auto" w:fill="FFFFFF"/>
        </w:rPr>
        <w:t xml:space="preserve">En matière de dettes souveraines poursuivies en justice par les créanciers, </w:t>
      </w:r>
      <w:r w:rsidR="00DE337B" w:rsidRPr="00E72418">
        <w:rPr>
          <w:shd w:val="clear" w:color="auto" w:fill="FFFFFF"/>
        </w:rPr>
        <w:t>les pierres d’achoppement se situent</w:t>
      </w:r>
      <w:r w:rsidRPr="00E72418">
        <w:rPr>
          <w:shd w:val="clear" w:color="auto" w:fill="FFFFFF"/>
        </w:rPr>
        <w:t xml:space="preserve"> </w:t>
      </w:r>
      <w:r w:rsidR="00DE337B" w:rsidRPr="00E72418">
        <w:rPr>
          <w:shd w:val="clear" w:color="auto" w:fill="FFFFFF"/>
        </w:rPr>
        <w:t>principalement</w:t>
      </w:r>
      <w:r w:rsidRPr="00E72418">
        <w:rPr>
          <w:shd w:val="clear" w:color="auto" w:fill="FFFFFF"/>
        </w:rPr>
        <w:t xml:space="preserve"> au niveau de l’exécution </w:t>
      </w:r>
      <w:r w:rsidR="00DE337B" w:rsidRPr="00E72418">
        <w:rPr>
          <w:shd w:val="clear" w:color="auto" w:fill="FFFFFF"/>
        </w:rPr>
        <w:t>conduisant</w:t>
      </w:r>
      <w:r w:rsidRPr="00E72418">
        <w:rPr>
          <w:shd w:val="clear" w:color="auto" w:fill="FFFFFF"/>
        </w:rPr>
        <w:t xml:space="preserve"> </w:t>
      </w:r>
      <w:r w:rsidR="00DE337B" w:rsidRPr="00E72418">
        <w:rPr>
          <w:shd w:val="clear" w:color="auto" w:fill="FFFFFF"/>
        </w:rPr>
        <w:t xml:space="preserve">par conséquent </w:t>
      </w:r>
      <w:r w:rsidRPr="00E72418">
        <w:rPr>
          <w:shd w:val="clear" w:color="auto" w:fill="FFFFFF"/>
        </w:rPr>
        <w:t xml:space="preserve">tant </w:t>
      </w:r>
      <w:r w:rsidR="00DE337B" w:rsidRPr="00E72418">
        <w:rPr>
          <w:shd w:val="clear" w:color="auto" w:fill="FFFFFF"/>
        </w:rPr>
        <w:t>les fonds attaquants que l</w:t>
      </w:r>
      <w:r w:rsidRPr="00E72418">
        <w:rPr>
          <w:shd w:val="clear" w:color="auto" w:fill="FFFFFF"/>
        </w:rPr>
        <w:t xml:space="preserve">es </w:t>
      </w:r>
      <w:r w:rsidRPr="00E72418">
        <w:rPr>
          <w:lang w:eastAsia="fr-BE"/>
        </w:rPr>
        <w:t>É</w:t>
      </w:r>
      <w:r w:rsidRPr="00E72418">
        <w:rPr>
          <w:shd w:val="clear" w:color="auto" w:fill="FFFFFF"/>
        </w:rPr>
        <w:t>tats défenseurs</w:t>
      </w:r>
      <w:r w:rsidR="00DE337B" w:rsidRPr="00E72418">
        <w:rPr>
          <w:shd w:val="clear" w:color="auto" w:fill="FFFFFF"/>
        </w:rPr>
        <w:t xml:space="preserve"> à développer d’innovantes argumentations juridiques</w:t>
      </w:r>
      <w:r w:rsidRPr="00E72418">
        <w:rPr>
          <w:rStyle w:val="Appelnotedebasdep"/>
          <w:rFonts w:cs="Times New Roman"/>
          <w:szCs w:val="24"/>
          <w:shd w:val="clear" w:color="auto" w:fill="FFFFFF"/>
        </w:rPr>
        <w:footnoteReference w:id="727"/>
      </w:r>
      <w:r w:rsidRPr="00E72418">
        <w:rPr>
          <w:shd w:val="clear" w:color="auto" w:fill="FFFFFF"/>
        </w:rPr>
        <w:t>. L</w:t>
      </w:r>
      <w:r w:rsidRPr="00E72418">
        <w:t xml:space="preserve">’on </w:t>
      </w:r>
      <w:r w:rsidR="00DE337B" w:rsidRPr="00E72418">
        <w:t>constate</w:t>
      </w:r>
      <w:r w:rsidRPr="00E72418">
        <w:t xml:space="preserve"> </w:t>
      </w:r>
      <w:r w:rsidR="00DE337B" w:rsidRPr="00E72418">
        <w:t xml:space="preserve">ainsi </w:t>
      </w:r>
      <w:r w:rsidR="002E4BA0" w:rsidRPr="00E72418">
        <w:t>fréquemment</w:t>
      </w:r>
      <w:r w:rsidR="00DE337B" w:rsidRPr="00E72418">
        <w:t xml:space="preserve"> une </w:t>
      </w:r>
      <w:r w:rsidR="00DF3D6B" w:rsidRPr="00E72418">
        <w:t>réelle</w:t>
      </w:r>
      <w:r w:rsidR="00DE337B" w:rsidRPr="00E72418">
        <w:t xml:space="preserve"> </w:t>
      </w:r>
      <w:r w:rsidRPr="00E72418">
        <w:t xml:space="preserve">« chasse aux avoirs » </w:t>
      </w:r>
      <w:r w:rsidR="00DE337B" w:rsidRPr="00E72418">
        <w:t>déclinée dans de</w:t>
      </w:r>
      <w:r w:rsidRPr="00E72418">
        <w:t xml:space="preserve"> nombreuses tentatives de saisies et saisies de biens appartenant à des débiteur</w:t>
      </w:r>
      <w:r w:rsidR="0097095F" w:rsidRPr="00E72418">
        <w:t>s</w:t>
      </w:r>
      <w:r w:rsidRPr="00E72418">
        <w:t xml:space="preserve"> souverains à travers le monde</w:t>
      </w:r>
      <w:r w:rsidRPr="00E72418">
        <w:rPr>
          <w:rStyle w:val="Appelnotedebasdep"/>
          <w:rFonts w:cs="Times New Roman"/>
          <w:szCs w:val="24"/>
        </w:rPr>
        <w:footnoteReference w:id="728"/>
      </w:r>
      <w:r w:rsidR="00AC5756" w:rsidRPr="00E72418">
        <w:rPr>
          <w:vertAlign w:val="superscript"/>
        </w:rPr>
        <w:t>,</w:t>
      </w:r>
      <w:r w:rsidR="00DF3D6B" w:rsidRPr="00E72418">
        <w:rPr>
          <w:rStyle w:val="Appelnotedebasdep"/>
        </w:rPr>
        <w:footnoteReference w:id="729"/>
      </w:r>
      <w:r w:rsidR="00DF3D6B" w:rsidRPr="00E72418">
        <w:t>.</w:t>
      </w:r>
    </w:p>
    <w:p w14:paraId="581AAE18" w14:textId="50C7ADD4" w:rsidR="00B45C7B" w:rsidRPr="00E72418" w:rsidRDefault="00B45C7B" w:rsidP="00CC4BA8">
      <w:pPr>
        <w:spacing w:line="276" w:lineRule="auto"/>
      </w:pPr>
      <w:r w:rsidRPr="00E72418">
        <w:rPr>
          <w:rFonts w:ascii="Times New Roman" w:hAnsi="Times New Roman"/>
        </w:rPr>
        <w:lastRenderedPageBreak/>
        <w:t xml:space="preserve">Si les poursuites ne sont </w:t>
      </w:r>
      <w:r w:rsidR="002E4BA0" w:rsidRPr="00E72418">
        <w:rPr>
          <w:rFonts w:ascii="Times New Roman" w:hAnsi="Times New Roman"/>
        </w:rPr>
        <w:t>d’ordinaire</w:t>
      </w:r>
      <w:r w:rsidRPr="00E72418">
        <w:rPr>
          <w:rFonts w:ascii="Times New Roman" w:hAnsi="Times New Roman"/>
        </w:rPr>
        <w:t xml:space="preserve"> pas couronnées </w:t>
      </w:r>
      <w:r w:rsidR="002E4BA0" w:rsidRPr="00E72418">
        <w:rPr>
          <w:rFonts w:ascii="Times New Roman" w:hAnsi="Times New Roman"/>
        </w:rPr>
        <w:t xml:space="preserve">de succès, elles participent de la politique </w:t>
      </w:r>
      <w:r w:rsidRPr="00E72418">
        <w:rPr>
          <w:rFonts w:ascii="Times New Roman" w:hAnsi="Times New Roman"/>
        </w:rPr>
        <w:t xml:space="preserve">de nuisance des fonds </w:t>
      </w:r>
      <w:r w:rsidR="002E4BA0" w:rsidRPr="00E72418">
        <w:rPr>
          <w:rFonts w:ascii="Times New Roman" w:hAnsi="Times New Roman"/>
        </w:rPr>
        <w:t>pouvant</w:t>
      </w:r>
      <w:r w:rsidRPr="00E72418">
        <w:rPr>
          <w:rFonts w:ascii="Times New Roman" w:hAnsi="Times New Roman"/>
        </w:rPr>
        <w:t xml:space="preserve"> conduire l’</w:t>
      </w:r>
      <w:r w:rsidRPr="00E72418">
        <w:rPr>
          <w:lang w:eastAsia="fr-BE"/>
        </w:rPr>
        <w:t>É</w:t>
      </w:r>
      <w:r w:rsidRPr="00E72418">
        <w:rPr>
          <w:rFonts w:ascii="Times New Roman" w:hAnsi="Times New Roman"/>
        </w:rPr>
        <w:t xml:space="preserve">tat débiteur à préférer régler les montants réclamés afin de </w:t>
      </w:r>
      <w:r w:rsidR="002E4BA0" w:rsidRPr="00E72418">
        <w:rPr>
          <w:rFonts w:ascii="Times New Roman" w:hAnsi="Times New Roman"/>
        </w:rPr>
        <w:t>s’affranchir de la pression subie</w:t>
      </w:r>
      <w:r w:rsidRPr="00E72418">
        <w:rPr>
          <w:rFonts w:ascii="Times New Roman" w:hAnsi="Times New Roman"/>
        </w:rPr>
        <w:t xml:space="preserve">. Et ceci est d’autant plus vrai que, comme le notent </w:t>
      </w:r>
      <w:r w:rsidR="003D7F91" w:rsidRPr="00E72418">
        <w:rPr>
          <w:rFonts w:ascii="Times New Roman" w:hAnsi="Times New Roman"/>
        </w:rPr>
        <w:t xml:space="preserve">Julian </w:t>
      </w:r>
      <w:r w:rsidRPr="00E72418">
        <w:rPr>
          <w:rFonts w:ascii="Times New Roman" w:hAnsi="Times New Roman"/>
        </w:rPr>
        <w:t>Schumacher</w:t>
      </w:r>
      <w:r w:rsidR="00F00694" w:rsidRPr="00E72418">
        <w:rPr>
          <w:rFonts w:ascii="Times New Roman" w:hAnsi="Times New Roman"/>
        </w:rPr>
        <w:t xml:space="preserve"> </w:t>
      </w:r>
      <w:r w:rsidR="00F00694" w:rsidRPr="00E72418">
        <w:rPr>
          <w:rFonts w:ascii="Times New Roman" w:hAnsi="Times New Roman"/>
          <w:i/>
        </w:rPr>
        <w:t>et al.</w:t>
      </w:r>
      <w:r w:rsidRPr="00E72418">
        <w:rPr>
          <w:rFonts w:ascii="Times New Roman" w:hAnsi="Times New Roman"/>
        </w:rPr>
        <w:t xml:space="preserve">, « the attempts increased the </w:t>
      </w:r>
      <w:r w:rsidRPr="00E72418">
        <w:t>“nuisance value” of the ongoing lawsuits, sometimes causing externalities that far exceeded the value of the litigated claims »</w:t>
      </w:r>
      <w:r w:rsidRPr="00E72418">
        <w:rPr>
          <w:rStyle w:val="Appelnotedebasdep"/>
        </w:rPr>
        <w:footnoteReference w:id="730"/>
      </w:r>
      <w:r w:rsidRPr="00E72418">
        <w:t>.</w:t>
      </w:r>
    </w:p>
    <w:p w14:paraId="1295B8F8" w14:textId="77777777" w:rsidR="00B45C7B" w:rsidRPr="00E72418" w:rsidRDefault="00B45C7B" w:rsidP="00CC4BA8">
      <w:pPr>
        <w:spacing w:line="276" w:lineRule="auto"/>
      </w:pPr>
      <w:r w:rsidRPr="00E72418">
        <w:t xml:space="preserve">Les attaques des fonds spéculatifs contraignent les </w:t>
      </w:r>
      <w:r w:rsidRPr="00E72418">
        <w:rPr>
          <w:lang w:eastAsia="fr-BE"/>
        </w:rPr>
        <w:t>É</w:t>
      </w:r>
      <w:r w:rsidRPr="00E72418">
        <w:t>tats débiteurs à engager d’importants montants et à consacrer du temps pour assurer leur défense dans les démarches et procédures menées à leur encontre</w:t>
      </w:r>
      <w:r w:rsidRPr="00E72418">
        <w:rPr>
          <w:rStyle w:val="Appelnotedebasdep"/>
          <w:rFonts w:ascii="Times New Roman" w:hAnsi="Times New Roman" w:cs="Times New Roman"/>
          <w:szCs w:val="24"/>
        </w:rPr>
        <w:footnoteReference w:id="731"/>
      </w:r>
      <w:r w:rsidRPr="00E72418">
        <w:t xml:space="preserve">. Inévitablement, le coût des contentieux auxquels doivent faire face les </w:t>
      </w:r>
      <w:r w:rsidRPr="00E72418">
        <w:rPr>
          <w:lang w:eastAsia="fr-BE"/>
        </w:rPr>
        <w:t>É</w:t>
      </w:r>
      <w:r w:rsidRPr="00E72418">
        <w:t xml:space="preserve">tats débiteurs </w:t>
      </w:r>
      <w:r w:rsidR="009D75B2" w:rsidRPr="00E72418">
        <w:t>grève leur budget et participe</w:t>
      </w:r>
      <w:r w:rsidRPr="00E72418">
        <w:t xml:space="preserve"> à leur enlisement financier</w:t>
      </w:r>
      <w:r w:rsidRPr="00E72418">
        <w:rPr>
          <w:rStyle w:val="Appelnotedebasdep"/>
          <w:rFonts w:cs="Times New Roman"/>
          <w:szCs w:val="24"/>
        </w:rPr>
        <w:footnoteReference w:id="732"/>
      </w:r>
      <w:r w:rsidRPr="00E72418">
        <w:t xml:space="preserve">. Et le coût est d’autant plus important pour les </w:t>
      </w:r>
      <w:r w:rsidRPr="00E72418">
        <w:rPr>
          <w:lang w:eastAsia="fr-BE"/>
        </w:rPr>
        <w:t>É</w:t>
      </w:r>
      <w:r w:rsidRPr="00E72418">
        <w:t>tats que les fonds ont cette stratégie de multiplier les actions, souvent auprès des juridictions du monde entier</w:t>
      </w:r>
      <w:r w:rsidR="002E4BA0" w:rsidRPr="00E72418">
        <w:t>, afin de parvenir à leurs fins</w:t>
      </w:r>
      <w:r w:rsidRPr="00E72418">
        <w:t xml:space="preserve">. Outre l’argument du coût, l’acharnement caractéristique des fonds </w:t>
      </w:r>
      <w:r w:rsidR="002E4BA0" w:rsidRPr="00E72418">
        <w:t>spéculatifs</w:t>
      </w:r>
      <w:r w:rsidRPr="00E72418">
        <w:t xml:space="preserve"> est de nature à détourner l’</w:t>
      </w:r>
      <w:r w:rsidRPr="00E72418">
        <w:rPr>
          <w:lang w:eastAsia="fr-BE"/>
        </w:rPr>
        <w:t>É</w:t>
      </w:r>
      <w:r w:rsidRPr="00E72418">
        <w:t>tat débiteur de ses missions essentielles</w:t>
      </w:r>
      <w:r w:rsidRPr="00E72418">
        <w:rPr>
          <w:rStyle w:val="Appelnotedebasdep"/>
        </w:rPr>
        <w:footnoteReference w:id="733"/>
      </w:r>
      <w:r w:rsidRPr="00E72418">
        <w:t>.</w:t>
      </w:r>
    </w:p>
    <w:p w14:paraId="14E5CB4D" w14:textId="77777777" w:rsidR="00B45C7B" w:rsidRPr="00E72418" w:rsidRDefault="00B45C7B" w:rsidP="0054314B"/>
    <w:p w14:paraId="4EB50E35" w14:textId="761B8C26" w:rsidR="00C73DC4" w:rsidRPr="00E72418" w:rsidRDefault="007F038F" w:rsidP="00CC4BA8">
      <w:pPr>
        <w:spacing w:line="276" w:lineRule="auto"/>
      </w:pPr>
      <w:r w:rsidRPr="00E72418">
        <w:rPr>
          <w:b/>
        </w:rPr>
        <w:t>138</w:t>
      </w:r>
      <w:r w:rsidR="007E31CD" w:rsidRPr="00E72418">
        <w:rPr>
          <w:b/>
        </w:rPr>
        <w:t xml:space="preserve">. </w:t>
      </w:r>
      <w:r w:rsidR="00B45C7B" w:rsidRPr="00E72418">
        <w:rPr>
          <w:b/>
        </w:rPr>
        <w:t xml:space="preserve">Une pression – </w:t>
      </w:r>
      <w:r w:rsidR="00B45C7B" w:rsidRPr="00E72418">
        <w:t>Les fonds spéculatifs sont conscients de l’importance de</w:t>
      </w:r>
      <w:r w:rsidR="002E4BA0" w:rsidRPr="00E72418">
        <w:t xml:space="preserve"> la mise sous pression de</w:t>
      </w:r>
      <w:r w:rsidR="00B45C7B" w:rsidRPr="00E72418">
        <w:t xml:space="preserve"> leur débiteur</w:t>
      </w:r>
      <w:r w:rsidR="0097095F" w:rsidRPr="00E72418">
        <w:t>,</w:t>
      </w:r>
      <w:r w:rsidR="00B45C7B" w:rsidRPr="00E72418">
        <w:t xml:space="preserve"> laquelle est de nature à le conduire à accepter un accord qui leur soit favorable</w:t>
      </w:r>
      <w:r w:rsidR="00B45C7B" w:rsidRPr="00E72418">
        <w:rPr>
          <w:rStyle w:val="Appelnotedebasdep"/>
          <w:rFonts w:cs="Times New Roman"/>
          <w:szCs w:val="24"/>
        </w:rPr>
        <w:footnoteReference w:id="734"/>
      </w:r>
      <w:r w:rsidR="00B45C7B" w:rsidRPr="00E72418">
        <w:t xml:space="preserve">. L’agressivité des techniques employées par les fonds </w:t>
      </w:r>
      <w:r w:rsidR="002E4BA0" w:rsidRPr="00E72418">
        <w:t xml:space="preserve">n’apparaît ainsi </w:t>
      </w:r>
      <w:r w:rsidR="00B45C7B" w:rsidRPr="00E72418">
        <w:t>pas uniquement guidée par un souci d’obtenir un résultat</w:t>
      </w:r>
      <w:r w:rsidR="002E4BA0" w:rsidRPr="00E72418">
        <w:t xml:space="preserve"> direct</w:t>
      </w:r>
      <w:r w:rsidR="00B45C7B" w:rsidRPr="00E72418">
        <w:t xml:space="preserve"> mais servirait à envoyer un message clair de leur détermination</w:t>
      </w:r>
      <w:r w:rsidR="00B45C7B" w:rsidRPr="00E72418">
        <w:rPr>
          <w:rStyle w:val="Appelnotedebasdep"/>
          <w:rFonts w:cs="Times New Roman"/>
          <w:szCs w:val="24"/>
        </w:rPr>
        <w:footnoteReference w:id="735"/>
      </w:r>
      <w:r w:rsidR="00B45C7B" w:rsidRPr="00E72418">
        <w:t xml:space="preserve">. </w:t>
      </w:r>
      <w:r w:rsidR="00C73DC4" w:rsidRPr="00E72418">
        <w:rPr>
          <w:shd w:val="clear" w:color="auto" w:fill="FFFFFF"/>
        </w:rPr>
        <w:t xml:space="preserve">Pour le seul contentieux ayant opposé la société </w:t>
      </w:r>
      <w:r w:rsidR="00C73DC4" w:rsidRPr="00E72418">
        <w:rPr>
          <w:i/>
          <w:shd w:val="clear" w:color="auto" w:fill="FFFFFF"/>
        </w:rPr>
        <w:t>NML Capital Ltd.</w:t>
      </w:r>
      <w:r w:rsidR="00C73DC4" w:rsidRPr="00E72418">
        <w:rPr>
          <w:shd w:val="clear" w:color="auto" w:fill="FFFFFF"/>
        </w:rPr>
        <w:t xml:space="preserve"> à la République argentine, </w:t>
      </w:r>
      <w:r w:rsidR="003F09AF" w:rsidRPr="00E72418">
        <w:rPr>
          <w:shd w:val="clear" w:color="auto" w:fill="FFFFFF"/>
        </w:rPr>
        <w:t xml:space="preserve">Sonya </w:t>
      </w:r>
      <w:r w:rsidR="00C73DC4" w:rsidRPr="00E72418">
        <w:rPr>
          <w:shd w:val="clear" w:color="auto" w:fill="FFFFFF"/>
        </w:rPr>
        <w:t xml:space="preserve">Scott </w:t>
      </w:r>
      <w:r w:rsidR="00E76173" w:rsidRPr="00E72418">
        <w:rPr>
          <w:shd w:val="clear" w:color="auto" w:fill="FFFFFF"/>
        </w:rPr>
        <w:t>note</w:t>
      </w:r>
      <w:r w:rsidR="00C73DC4" w:rsidRPr="00E72418">
        <w:rPr>
          <w:shd w:val="clear" w:color="auto" w:fill="FFFFFF"/>
        </w:rPr>
        <w:t>, e</w:t>
      </w:r>
      <w:r w:rsidR="00105F6B" w:rsidRPr="00E72418">
        <w:rPr>
          <w:shd w:val="clear" w:color="auto" w:fill="FFFFFF"/>
        </w:rPr>
        <w:t>ntre 2005 et 2012, vingt-huit</w:t>
      </w:r>
      <w:r w:rsidR="00C73DC4" w:rsidRPr="00E72418">
        <w:rPr>
          <w:shd w:val="clear" w:color="auto" w:fill="FFFFFF"/>
        </w:rPr>
        <w:t xml:space="preserve"> tentatives du </w:t>
      </w:r>
      <w:r w:rsidR="00C73DC4" w:rsidRPr="00E72418">
        <w:rPr>
          <w:shd w:val="clear" w:color="auto" w:fill="FFFFFF"/>
        </w:rPr>
        <w:lastRenderedPageBreak/>
        <w:t xml:space="preserve">créancier de mettre la main sur des biens argentins que ce soit aux </w:t>
      </w:r>
      <w:r w:rsidR="00C73DC4" w:rsidRPr="00E72418">
        <w:rPr>
          <w:lang w:eastAsia="fr-BE"/>
        </w:rPr>
        <w:t>É</w:t>
      </w:r>
      <w:r w:rsidR="00C73DC4" w:rsidRPr="00E72418">
        <w:rPr>
          <w:shd w:val="clear" w:color="auto" w:fill="FFFFFF"/>
        </w:rPr>
        <w:t>tats-Unis, en Europe ou encore en Afrique</w:t>
      </w:r>
      <w:r w:rsidR="00C73DC4" w:rsidRPr="00E72418">
        <w:rPr>
          <w:rStyle w:val="Appelnotedebasdep"/>
          <w:shd w:val="clear" w:color="auto" w:fill="FFFFFF"/>
        </w:rPr>
        <w:footnoteReference w:id="736"/>
      </w:r>
      <w:r w:rsidR="00C73DC4" w:rsidRPr="00E72418">
        <w:rPr>
          <w:shd w:val="clear" w:color="auto" w:fill="FFFFFF"/>
        </w:rPr>
        <w:t>.</w:t>
      </w:r>
    </w:p>
    <w:p w14:paraId="12EEDACD" w14:textId="5BE490B3" w:rsidR="00B45C7B" w:rsidRPr="00E72418" w:rsidRDefault="00082F04" w:rsidP="00CC4BA8">
      <w:pPr>
        <w:spacing w:line="276" w:lineRule="auto"/>
      </w:pPr>
      <w:r w:rsidRPr="00E72418">
        <w:t xml:space="preserve">Comme l’explique </w:t>
      </w:r>
      <w:r w:rsidR="00FE7BE9" w:rsidRPr="00E72418">
        <w:t xml:space="preserve">Hayk </w:t>
      </w:r>
      <w:r w:rsidRPr="00E72418">
        <w:t>Kupelyants dans sa thèse, « </w:t>
      </w:r>
      <w:r w:rsidRPr="00E72418">
        <w:rPr>
          <w:szCs w:val="20"/>
          <w:lang w:val="en-US"/>
        </w:rPr>
        <w:t xml:space="preserve">[t]he risk of litigation might be a sword of Damocles hanging over the sovereign debtor and might eventually force the debtor to settle on terms favourable to the holdout creditor </w:t>
      </w:r>
      <w:r w:rsidRPr="00E72418">
        <w:t>»</w:t>
      </w:r>
      <w:r w:rsidRPr="00E72418">
        <w:rPr>
          <w:rStyle w:val="Appelnotedebasdep"/>
        </w:rPr>
        <w:footnoteReference w:id="737"/>
      </w:r>
      <w:r w:rsidRPr="00E72418">
        <w:t xml:space="preserve">. </w:t>
      </w:r>
      <w:r w:rsidR="00B45C7B" w:rsidRPr="00E72418">
        <w:t xml:space="preserve">Si les fonds </w:t>
      </w:r>
      <w:r w:rsidR="004F2AD2" w:rsidRPr="00E72418">
        <w:t>spéculant</w:t>
      </w:r>
      <w:r w:rsidR="00105F6B" w:rsidRPr="00E72418">
        <w:t xml:space="preserve"> sur l</w:t>
      </w:r>
      <w:r w:rsidR="004F2AD2" w:rsidRPr="00E72418">
        <w:t xml:space="preserve">es dettes souveraines </w:t>
      </w:r>
      <w:r w:rsidR="00B45C7B" w:rsidRPr="00E72418">
        <w:t xml:space="preserve">font </w:t>
      </w:r>
      <w:r w:rsidR="00105F6B" w:rsidRPr="00E72418">
        <w:t>un</w:t>
      </w:r>
      <w:r w:rsidR="00B45C7B" w:rsidRPr="00E72418">
        <w:t xml:space="preserve"> usage </w:t>
      </w:r>
      <w:r w:rsidR="00105F6B" w:rsidRPr="00E72418">
        <w:t xml:space="preserve">méthodique </w:t>
      </w:r>
      <w:r w:rsidR="00B45C7B" w:rsidRPr="00E72418">
        <w:t>de procédures</w:t>
      </w:r>
      <w:r w:rsidR="00105F6B" w:rsidRPr="00E72418">
        <w:t xml:space="preserve"> judiciaires</w:t>
      </w:r>
      <w:r w:rsidR="00B45C7B" w:rsidRPr="00E72418">
        <w:t xml:space="preserve"> afin de mettr</w:t>
      </w:r>
      <w:r w:rsidR="00105F6B" w:rsidRPr="00E72418">
        <w:t>e un maximum de pression sur leur</w:t>
      </w:r>
      <w:r w:rsidR="00B45C7B" w:rsidRPr="00E72418">
        <w:t xml:space="preserve"> </w:t>
      </w:r>
      <w:r w:rsidR="00105F6B" w:rsidRPr="00E72418">
        <w:t>débiteur</w:t>
      </w:r>
      <w:r w:rsidR="00B45C7B" w:rsidRPr="00E72418">
        <w:t xml:space="preserve"> leur valant le qualificatif de « créanciers procéduriers », ils </w:t>
      </w:r>
      <w:r w:rsidR="00105F6B" w:rsidRPr="00E72418">
        <w:t>brandissent</w:t>
      </w:r>
      <w:r w:rsidR="00B45C7B" w:rsidRPr="00E72418">
        <w:t xml:space="preserve"> de la même </w:t>
      </w:r>
      <w:r w:rsidR="00105F6B" w:rsidRPr="00E72418">
        <w:t xml:space="preserve">manière </w:t>
      </w:r>
      <w:r w:rsidR="00B45C7B" w:rsidRPr="00E72418">
        <w:t>la menace de telles</w:t>
      </w:r>
      <w:r w:rsidR="00105F6B" w:rsidRPr="00E72418">
        <w:t xml:space="preserve"> procédure</w:t>
      </w:r>
      <w:r w:rsidR="0097095F" w:rsidRPr="00E72418">
        <w:t>s</w:t>
      </w:r>
      <w:r w:rsidR="00105F6B" w:rsidRPr="00E72418">
        <w:t xml:space="preserve"> afin de le conduire</w:t>
      </w:r>
      <w:r w:rsidR="00B45C7B" w:rsidRPr="00E72418">
        <w:t xml:space="preserve"> à payer les montants réclamés</w:t>
      </w:r>
      <w:r w:rsidR="00B45C7B" w:rsidRPr="00E72418">
        <w:rPr>
          <w:rStyle w:val="Appelnotedebasdep"/>
          <w:rFonts w:cs="Times New Roman"/>
          <w:szCs w:val="24"/>
        </w:rPr>
        <w:footnoteReference w:id="738"/>
      </w:r>
      <w:r w:rsidR="00B45C7B" w:rsidRPr="00E72418">
        <w:t xml:space="preserve">. Pour certains </w:t>
      </w:r>
      <w:r w:rsidR="00B45C7B" w:rsidRPr="00E72418">
        <w:rPr>
          <w:lang w:eastAsia="fr-BE"/>
        </w:rPr>
        <w:t>É</w:t>
      </w:r>
      <w:r w:rsidR="00B45C7B" w:rsidRPr="00E72418">
        <w:t xml:space="preserve">tats, le coût des défenses rendues indispensables pour faire face aux actions intentées </w:t>
      </w:r>
      <w:r w:rsidR="00105F6B" w:rsidRPr="00E72418">
        <w:t>les pousse</w:t>
      </w:r>
      <w:r w:rsidR="00B45C7B" w:rsidRPr="00E72418">
        <w:t xml:space="preserve"> à régler les montants réclamés</w:t>
      </w:r>
      <w:r w:rsidR="00B45C7B" w:rsidRPr="00E72418">
        <w:rPr>
          <w:rStyle w:val="Appelnotedebasdep"/>
        </w:rPr>
        <w:footnoteReference w:id="739"/>
      </w:r>
      <w:r w:rsidR="00B45C7B" w:rsidRPr="00E72418">
        <w:t xml:space="preserve">. </w:t>
      </w:r>
      <w:r w:rsidR="0067312A" w:rsidRPr="00E72418">
        <w:t xml:space="preserve">Les </w:t>
      </w:r>
      <w:r w:rsidR="0067312A" w:rsidRPr="00E72418">
        <w:rPr>
          <w:rFonts w:cs="Times New Roman"/>
          <w:szCs w:val="24"/>
        </w:rPr>
        <w:t>É</w:t>
      </w:r>
      <w:r w:rsidR="00D26C88" w:rsidRPr="00E72418">
        <w:t>tats menacés peuvent également craindre la saisie de biens utiles à leur économie.</w:t>
      </w:r>
    </w:p>
    <w:p w14:paraId="704CB240" w14:textId="77777777" w:rsidR="00B45C7B" w:rsidRPr="00E72418" w:rsidRDefault="00A020AB" w:rsidP="00CC4BA8">
      <w:pPr>
        <w:spacing w:line="276" w:lineRule="auto"/>
        <w:rPr>
          <w:rFonts w:cs="Times New Roman"/>
          <w:szCs w:val="24"/>
        </w:rPr>
      </w:pPr>
      <w:r w:rsidRPr="00E72418">
        <w:rPr>
          <w:rFonts w:cs="Times New Roman"/>
          <w:szCs w:val="24"/>
        </w:rPr>
        <w:t>Les procès et l</w:t>
      </w:r>
      <w:r w:rsidR="00B45C7B" w:rsidRPr="00E72418">
        <w:rPr>
          <w:rFonts w:cs="Times New Roman"/>
          <w:szCs w:val="24"/>
        </w:rPr>
        <w:t xml:space="preserve">es menaces de procès ne sont pas les seules techniques </w:t>
      </w:r>
      <w:r w:rsidRPr="00E72418">
        <w:rPr>
          <w:rFonts w:cs="Times New Roman"/>
          <w:szCs w:val="24"/>
        </w:rPr>
        <w:t>mobilisées</w:t>
      </w:r>
      <w:r w:rsidR="00B45C7B" w:rsidRPr="00E72418">
        <w:rPr>
          <w:rFonts w:cs="Times New Roman"/>
          <w:szCs w:val="24"/>
        </w:rPr>
        <w:t xml:space="preserve"> par les fonds spéculatifs. L’on peut ainsi donner l’exemple du lobby</w:t>
      </w:r>
      <w:r w:rsidR="00B45C7B" w:rsidRPr="00E72418">
        <w:rPr>
          <w:rStyle w:val="Appelnotedebasdep"/>
          <w:rFonts w:cs="Times New Roman"/>
          <w:szCs w:val="24"/>
        </w:rPr>
        <w:footnoteReference w:id="740"/>
      </w:r>
      <w:r w:rsidR="00B45C7B" w:rsidRPr="00E72418">
        <w:rPr>
          <w:rFonts w:cs="Times New Roman"/>
          <w:szCs w:val="24"/>
        </w:rPr>
        <w:t xml:space="preserve"> ou encore du recours aux médias pour tenter de jeter l’opprobre sur des politiciens aux dépenses scandaleuses</w:t>
      </w:r>
      <w:r w:rsidR="00B45C7B" w:rsidRPr="00E72418">
        <w:rPr>
          <w:rStyle w:val="Appelnotedebasdep"/>
          <w:rFonts w:cs="Times New Roman"/>
          <w:szCs w:val="24"/>
        </w:rPr>
        <w:footnoteReference w:id="741"/>
      </w:r>
      <w:r w:rsidR="00B45C7B" w:rsidRPr="00E72418">
        <w:rPr>
          <w:rFonts w:cs="Times New Roman"/>
          <w:szCs w:val="24"/>
        </w:rPr>
        <w:t xml:space="preserve">. </w:t>
      </w:r>
      <w:r w:rsidRPr="00E72418">
        <w:rPr>
          <w:rFonts w:cs="Times New Roman"/>
          <w:szCs w:val="24"/>
        </w:rPr>
        <w:t>C</w:t>
      </w:r>
      <w:r w:rsidR="00B45C7B" w:rsidRPr="00E72418">
        <w:rPr>
          <w:szCs w:val="24"/>
        </w:rPr>
        <w:t xml:space="preserve">ertains </w:t>
      </w:r>
      <w:r w:rsidR="00B45C7B" w:rsidRPr="00E72418">
        <w:rPr>
          <w:lang w:eastAsia="fr-BE"/>
        </w:rPr>
        <w:t>É</w:t>
      </w:r>
      <w:r w:rsidR="00B45C7B" w:rsidRPr="00E72418">
        <w:rPr>
          <w:szCs w:val="24"/>
        </w:rPr>
        <w:t xml:space="preserve">tats </w:t>
      </w:r>
      <w:r w:rsidRPr="00E72418">
        <w:rPr>
          <w:szCs w:val="24"/>
        </w:rPr>
        <w:t xml:space="preserve">ayant le souci </w:t>
      </w:r>
      <w:r w:rsidR="00B45C7B" w:rsidRPr="00E72418">
        <w:rPr>
          <w:szCs w:val="24"/>
        </w:rPr>
        <w:t xml:space="preserve">de ne pas </w:t>
      </w:r>
      <w:r w:rsidRPr="00E72418">
        <w:rPr>
          <w:szCs w:val="24"/>
        </w:rPr>
        <w:t>voir leur image ternie préfère</w:t>
      </w:r>
      <w:r w:rsidR="00B45C7B" w:rsidRPr="00E72418">
        <w:rPr>
          <w:szCs w:val="24"/>
        </w:rPr>
        <w:t>nt évi</w:t>
      </w:r>
      <w:r w:rsidRPr="00E72418">
        <w:rPr>
          <w:szCs w:val="24"/>
        </w:rPr>
        <w:t>ter la médiatisation et acceptent alors de négocier</w:t>
      </w:r>
      <w:r w:rsidR="00B45C7B" w:rsidRPr="00E72418">
        <w:rPr>
          <w:szCs w:val="24"/>
        </w:rPr>
        <w:t xml:space="preserve"> </w:t>
      </w:r>
      <w:r w:rsidRPr="00E72418">
        <w:rPr>
          <w:szCs w:val="24"/>
        </w:rPr>
        <w:t xml:space="preserve">avec leurs créanciers </w:t>
      </w:r>
      <w:r w:rsidR="00B45C7B" w:rsidRPr="00E72418">
        <w:rPr>
          <w:szCs w:val="24"/>
        </w:rPr>
        <w:t>en marge des tribunaux</w:t>
      </w:r>
      <w:r w:rsidR="00B45C7B" w:rsidRPr="00E72418">
        <w:rPr>
          <w:rStyle w:val="Appelnotedebasdep"/>
          <w:szCs w:val="24"/>
        </w:rPr>
        <w:footnoteReference w:id="742"/>
      </w:r>
      <w:r w:rsidR="00B45C7B" w:rsidRPr="00E72418">
        <w:rPr>
          <w:szCs w:val="24"/>
        </w:rPr>
        <w:t>.</w:t>
      </w:r>
    </w:p>
    <w:p w14:paraId="495F41E7" w14:textId="77777777" w:rsidR="00B45C7B" w:rsidRPr="00E72418" w:rsidRDefault="00B45C7B" w:rsidP="0054314B"/>
    <w:p w14:paraId="6670101C" w14:textId="5AC3EABF" w:rsidR="00B45C7B" w:rsidRPr="00E72418" w:rsidRDefault="007F038F" w:rsidP="00CC4BA8">
      <w:pPr>
        <w:spacing w:line="276" w:lineRule="auto"/>
      </w:pPr>
      <w:r w:rsidRPr="00E72418">
        <w:rPr>
          <w:b/>
        </w:rPr>
        <w:lastRenderedPageBreak/>
        <w:t>139</w:t>
      </w:r>
      <w:r w:rsidR="007E31CD" w:rsidRPr="00E72418">
        <w:rPr>
          <w:b/>
        </w:rPr>
        <w:t xml:space="preserve">. </w:t>
      </w:r>
      <w:r w:rsidR="00B45C7B" w:rsidRPr="00E72418">
        <w:rPr>
          <w:b/>
        </w:rPr>
        <w:t xml:space="preserve">Une expertise juridique – </w:t>
      </w:r>
      <w:r w:rsidR="00B45C7B" w:rsidRPr="00E72418">
        <w:t>La pression exercée par les fonds spéculatifs est d’autant plus opérante qu’elle est généralement savamment construite.</w:t>
      </w:r>
      <w:r w:rsidR="00B45C7B" w:rsidRPr="00E72418">
        <w:rPr>
          <w:b/>
        </w:rPr>
        <w:t xml:space="preserve"> </w:t>
      </w:r>
      <w:r w:rsidR="00B45C7B" w:rsidRPr="00E72418">
        <w:t xml:space="preserve">Par contraste avec les </w:t>
      </w:r>
      <w:r w:rsidR="001D0C19" w:rsidRPr="00E72418">
        <w:rPr>
          <w:lang w:eastAsia="fr-BE"/>
        </w:rPr>
        <w:t>É</w:t>
      </w:r>
      <w:r w:rsidR="001D0C19" w:rsidRPr="00E72418">
        <w:t xml:space="preserve">tats </w:t>
      </w:r>
      <w:r w:rsidR="00B45C7B" w:rsidRPr="00E72418">
        <w:t>débiteurs poursuivis manquant souvent d’expertise et de financement pour se défendre</w:t>
      </w:r>
      <w:r w:rsidR="00B45C7B" w:rsidRPr="00E72418">
        <w:rPr>
          <w:rStyle w:val="Appelnotedebasdep"/>
          <w:rFonts w:cs="Times New Roman"/>
          <w:szCs w:val="24"/>
        </w:rPr>
        <w:footnoteReference w:id="743"/>
      </w:r>
      <w:r w:rsidR="00B45C7B" w:rsidRPr="00E72418">
        <w:t>, les fonds spéculatifs sont des investisseurs sophistiqués ayant accès à d’importantes ressources</w:t>
      </w:r>
      <w:r w:rsidR="00B45C7B" w:rsidRPr="00E72418">
        <w:rPr>
          <w:rStyle w:val="Appelnotedebasdep"/>
          <w:rFonts w:cs="Times New Roman"/>
          <w:szCs w:val="24"/>
        </w:rPr>
        <w:footnoteReference w:id="744"/>
      </w:r>
      <w:r w:rsidR="00B45C7B" w:rsidRPr="00E72418">
        <w:t>. Ces fonds font généralement usage d’habiles arguments juridique</w:t>
      </w:r>
      <w:r w:rsidR="001D0C19" w:rsidRPr="00E72418">
        <w:t>s</w:t>
      </w:r>
      <w:r w:rsidR="00B45C7B" w:rsidRPr="00E72418">
        <w:rPr>
          <w:rStyle w:val="Appelnotedebasdep"/>
          <w:rFonts w:cs="Times New Roman"/>
          <w:szCs w:val="24"/>
        </w:rPr>
        <w:footnoteReference w:id="745"/>
      </w:r>
      <w:r w:rsidR="00B45C7B" w:rsidRPr="00E72418">
        <w:t xml:space="preserve"> et font mo</w:t>
      </w:r>
      <w:r w:rsidR="00B777C3" w:rsidRPr="00E72418">
        <w:t>ntre d’une imagination débordant</w:t>
      </w:r>
      <w:r w:rsidR="00B45C7B" w:rsidRPr="00E72418">
        <w:t xml:space="preserve">e </w:t>
      </w:r>
      <w:r w:rsidR="001D0C19" w:rsidRPr="00E72418">
        <w:t>dans les</w:t>
      </w:r>
      <w:r w:rsidR="00B45C7B" w:rsidRPr="00E72418">
        <w:t xml:space="preserve"> moyens d’agir contre leurs débiteurs</w:t>
      </w:r>
      <w:r w:rsidR="00B45C7B" w:rsidRPr="00E72418">
        <w:rPr>
          <w:rStyle w:val="Appelnotedebasdep"/>
          <w:rFonts w:cs="Times New Roman"/>
          <w:szCs w:val="24"/>
        </w:rPr>
        <w:footnoteReference w:id="746"/>
      </w:r>
      <w:r w:rsidR="00B45C7B" w:rsidRPr="00E72418">
        <w:t xml:space="preserve">. </w:t>
      </w:r>
    </w:p>
    <w:p w14:paraId="7426F02A" w14:textId="344CB356" w:rsidR="00B45C7B" w:rsidRPr="00E72418" w:rsidRDefault="00B45C7B" w:rsidP="00CC4BA8">
      <w:pPr>
        <w:spacing w:line="276" w:lineRule="auto"/>
      </w:pPr>
      <w:r w:rsidRPr="00E72418">
        <w:t xml:space="preserve">L’expertise est d’autant plus importante et rentable qu’il apparaît que ce sont généralement les mêmes acteurs que l’on retrouve </w:t>
      </w:r>
      <w:r w:rsidR="001D0C19" w:rsidRPr="00E72418">
        <w:t xml:space="preserve">engagés </w:t>
      </w:r>
      <w:r w:rsidRPr="00E72418">
        <w:t>dans les contentieux</w:t>
      </w:r>
      <w:r w:rsidR="001D0C19" w:rsidRPr="00E72418">
        <w:t xml:space="preserve"> portant sur les dettes souveraines ébranlées</w:t>
      </w:r>
      <w:r w:rsidRPr="00E72418">
        <w:rPr>
          <w:rStyle w:val="Appelnotedebasdep"/>
          <w:rFonts w:cs="Times New Roman"/>
          <w:szCs w:val="24"/>
        </w:rPr>
        <w:footnoteReference w:id="747"/>
      </w:r>
      <w:r w:rsidRPr="00E72418">
        <w:t xml:space="preserve">. L’on peut </w:t>
      </w:r>
      <w:r w:rsidR="00355D84" w:rsidRPr="00E72418">
        <w:t>ainsi en déduire</w:t>
      </w:r>
      <w:r w:rsidRPr="00E72418">
        <w:t xml:space="preserve"> que l’augmenta</w:t>
      </w:r>
      <w:r w:rsidR="00B777C3" w:rsidRPr="00E72418">
        <w:t>tion des contentieux va de pair</w:t>
      </w:r>
      <w:r w:rsidRPr="00E72418">
        <w:t xml:space="preserve"> avec le développement de l’expertise des fonds spéculatifs rendant leurs démarches moins onéreuses</w:t>
      </w:r>
      <w:r w:rsidR="00355D84" w:rsidRPr="00E72418">
        <w:t xml:space="preserve"> et plus efficaces</w:t>
      </w:r>
      <w:r w:rsidRPr="00E72418">
        <w:rPr>
          <w:rStyle w:val="Appelnotedebasdep"/>
        </w:rPr>
        <w:footnoteReference w:id="748"/>
      </w:r>
      <w:r w:rsidRPr="00E72418">
        <w:t xml:space="preserve">. </w:t>
      </w:r>
      <w:r w:rsidR="00355D84" w:rsidRPr="00E72418">
        <w:t>Ces créanciers</w:t>
      </w:r>
      <w:r w:rsidRPr="00E72418">
        <w:t xml:space="preserve"> parviennent également à capitaliser sur</w:t>
      </w:r>
      <w:r w:rsidR="00355D84" w:rsidRPr="00E72418">
        <w:t xml:space="preserve"> l</w:t>
      </w:r>
      <w:r w:rsidRPr="00E72418">
        <w:t>es précédents</w:t>
      </w:r>
      <w:r w:rsidR="00355D84" w:rsidRPr="00E72418">
        <w:t xml:space="preserve"> obtenus</w:t>
      </w:r>
      <w:r w:rsidRPr="00E72418">
        <w:t xml:space="preserve">. </w:t>
      </w:r>
      <w:r w:rsidR="0051444F" w:rsidRPr="00E72418">
        <w:t xml:space="preserve">Ayant noté que « les fréquentes références croisées entre les juridictions de </w:t>
      </w:r>
      <w:r w:rsidR="0051444F" w:rsidRPr="00E72418">
        <w:rPr>
          <w:i/>
        </w:rPr>
        <w:t>common law</w:t>
      </w:r>
      <w:r w:rsidR="0051444F" w:rsidRPr="00E72418">
        <w:t xml:space="preserve"> génèrent une convergence par osmose »</w:t>
      </w:r>
      <w:r w:rsidR="0051444F" w:rsidRPr="00E72418">
        <w:rPr>
          <w:rStyle w:val="Appelnotedebasdep"/>
        </w:rPr>
        <w:footnoteReference w:id="749"/>
      </w:r>
      <w:r w:rsidR="0051444F" w:rsidRPr="00E72418">
        <w:t xml:space="preserve">, </w:t>
      </w:r>
      <w:r w:rsidR="00CC15FF" w:rsidRPr="00E72418">
        <w:t xml:space="preserve">Horatia </w:t>
      </w:r>
      <w:r w:rsidRPr="00E72418">
        <w:t xml:space="preserve">Muir Watt relève l’importance dans le contexte des contentieux relatifs aux dettes souveraines d’obtenir de tels précédents en épinglant le phénomène des </w:t>
      </w:r>
      <w:r w:rsidRPr="00E72418">
        <w:rPr>
          <w:i/>
        </w:rPr>
        <w:t>rogue precedents</w:t>
      </w:r>
      <w:r w:rsidRPr="00E72418">
        <w:t xml:space="preserve"> qui, </w:t>
      </w:r>
      <w:r w:rsidR="00355D84" w:rsidRPr="00E72418">
        <w:t>rendus</w:t>
      </w:r>
      <w:r w:rsidRPr="00E72418">
        <w:t xml:space="preserve"> dans le contexte d’une défaillance souv</w:t>
      </w:r>
      <w:r w:rsidR="00B777C3" w:rsidRPr="00E72418">
        <w:t>er</w:t>
      </w:r>
      <w:r w:rsidRPr="00E72418">
        <w:t xml:space="preserve">aine donnée, réapparaissent </w:t>
      </w:r>
      <w:r w:rsidR="00355D84" w:rsidRPr="00E72418">
        <w:t xml:space="preserve">comme </w:t>
      </w:r>
      <w:r w:rsidRPr="00E72418">
        <w:t>revêtus d’autorité persuasive</w:t>
      </w:r>
      <w:r w:rsidR="00FC742D" w:rsidRPr="00E72418">
        <w:t xml:space="preserve"> </w:t>
      </w:r>
      <w:r w:rsidRPr="00E72418">
        <w:t>à l’occasion d’une autre défaillance</w:t>
      </w:r>
      <w:r w:rsidRPr="00E72418">
        <w:rPr>
          <w:rStyle w:val="Appelnotedebasdep"/>
          <w:szCs w:val="24"/>
        </w:rPr>
        <w:footnoteReference w:id="750"/>
      </w:r>
      <w:r w:rsidR="00355D84" w:rsidRPr="00E72418">
        <w:t>. L</w:t>
      </w:r>
      <w:r w:rsidRPr="00E72418">
        <w:t>a multiplicatio</w:t>
      </w:r>
      <w:r w:rsidR="00B777C3" w:rsidRPr="00E72418">
        <w:t xml:space="preserve">n des contentieux auprès de </w:t>
      </w:r>
      <w:r w:rsidR="00355D84" w:rsidRPr="00E72418">
        <w:t>diverses</w:t>
      </w:r>
      <w:r w:rsidRPr="00E72418">
        <w:t xml:space="preserve"> juridictions à travers </w:t>
      </w:r>
      <w:r w:rsidRPr="00E72418">
        <w:lastRenderedPageBreak/>
        <w:t>le mond</w:t>
      </w:r>
      <w:r w:rsidR="00355D84" w:rsidRPr="00E72418">
        <w:t xml:space="preserve">e s’inscrit dans cette logique </w:t>
      </w:r>
      <w:r w:rsidRPr="00E72418">
        <w:t>permet</w:t>
      </w:r>
      <w:r w:rsidR="00355D84" w:rsidRPr="00E72418">
        <w:t>tant</w:t>
      </w:r>
      <w:r w:rsidRPr="00E72418">
        <w:t xml:space="preserve"> aux fonds d’activer des arguments juridiques différents au même moment de façon à voir où une jurisprudence favorable </w:t>
      </w:r>
      <w:r w:rsidR="00355D84" w:rsidRPr="00E72418">
        <w:t>est susceptible de</w:t>
      </w:r>
      <w:r w:rsidRPr="00E72418">
        <w:t xml:space="preserve"> se former</w:t>
      </w:r>
      <w:r w:rsidRPr="00E72418">
        <w:rPr>
          <w:rStyle w:val="Appelnotedebasdep"/>
          <w:rFonts w:ascii="Times New Roman" w:hAnsi="Times New Roman" w:cs="Times New Roman"/>
          <w:szCs w:val="24"/>
        </w:rPr>
        <w:footnoteReference w:id="751"/>
      </w:r>
      <w:r w:rsidRPr="00E72418">
        <w:t>.</w:t>
      </w:r>
    </w:p>
    <w:p w14:paraId="14D86DFA" w14:textId="77777777" w:rsidR="00B45C7B" w:rsidRPr="00E72418" w:rsidRDefault="00B45C7B" w:rsidP="0054314B"/>
    <w:p w14:paraId="4DFFC6E4" w14:textId="4621B0EC" w:rsidR="00B45C7B" w:rsidRPr="00E72418" w:rsidRDefault="007F038F" w:rsidP="00CC4BA8">
      <w:pPr>
        <w:spacing w:line="276" w:lineRule="auto"/>
        <w:rPr>
          <w:rFonts w:cs="Times New Roman"/>
        </w:rPr>
      </w:pPr>
      <w:r w:rsidRPr="00E72418">
        <w:rPr>
          <w:b/>
        </w:rPr>
        <w:t>140</w:t>
      </w:r>
      <w:r w:rsidR="007E31CD" w:rsidRPr="00E72418">
        <w:rPr>
          <w:b/>
        </w:rPr>
        <w:t xml:space="preserve">. </w:t>
      </w:r>
      <w:r w:rsidR="00B45C7B" w:rsidRPr="00E72418">
        <w:rPr>
          <w:b/>
        </w:rPr>
        <w:t>D’autres formes de spéculation –</w:t>
      </w:r>
      <w:r w:rsidR="00B45C7B" w:rsidRPr="00E72418">
        <w:t xml:space="preserve"> L’issue favorable attendue des procès intentés ou des menaces faites n’est pas la seule forme de spéculation sur les dettes souveraines</w:t>
      </w:r>
      <w:r w:rsidR="009B7998" w:rsidRPr="00E72418">
        <w:t xml:space="preserve"> rencontrée</w:t>
      </w:r>
      <w:r w:rsidR="00B45C7B" w:rsidRPr="00E72418">
        <w:t xml:space="preserve">. </w:t>
      </w:r>
      <w:r w:rsidR="00B45C7B" w:rsidRPr="00E72418">
        <w:rPr>
          <w:rFonts w:cs="Times New Roman"/>
        </w:rPr>
        <w:t xml:space="preserve">Les fonds ayant fait l’acquisition de dettes </w:t>
      </w:r>
      <w:r w:rsidR="009B7998" w:rsidRPr="00E72418">
        <w:rPr>
          <w:rFonts w:cs="Times New Roman"/>
        </w:rPr>
        <w:t>ébranlées</w:t>
      </w:r>
      <w:r w:rsidR="00B45C7B" w:rsidRPr="00E72418">
        <w:rPr>
          <w:rFonts w:cs="Times New Roman"/>
        </w:rPr>
        <w:t xml:space="preserve"> peuvent simplement </w:t>
      </w:r>
      <w:r w:rsidR="009B7998" w:rsidRPr="00E72418">
        <w:rPr>
          <w:rFonts w:cs="Times New Roman"/>
        </w:rPr>
        <w:t xml:space="preserve">tirer profit du mieux-être de leur </w:t>
      </w:r>
      <w:r w:rsidR="00B45C7B" w:rsidRPr="00E72418">
        <w:rPr>
          <w:rFonts w:cs="Times New Roman"/>
        </w:rPr>
        <w:t>débiteur impliquant que la valeur de</w:t>
      </w:r>
      <w:r w:rsidR="009B7998" w:rsidRPr="00E72418">
        <w:rPr>
          <w:rFonts w:cs="Times New Roman"/>
        </w:rPr>
        <w:t>s</w:t>
      </w:r>
      <w:r w:rsidR="00B45C7B" w:rsidRPr="00E72418">
        <w:rPr>
          <w:rFonts w:cs="Times New Roman"/>
        </w:rPr>
        <w:t xml:space="preserve"> dette</w:t>
      </w:r>
      <w:r w:rsidR="009B7998" w:rsidRPr="00E72418">
        <w:rPr>
          <w:rFonts w:cs="Times New Roman"/>
        </w:rPr>
        <w:t>s</w:t>
      </w:r>
      <w:r w:rsidR="00B45C7B" w:rsidRPr="00E72418">
        <w:rPr>
          <w:rFonts w:cs="Times New Roman"/>
        </w:rPr>
        <w:t xml:space="preserve"> qu’ils détiennent augmente à mesure que </w:t>
      </w:r>
      <w:r w:rsidR="009B7998" w:rsidRPr="00E72418">
        <w:rPr>
          <w:rFonts w:cs="Times New Roman"/>
        </w:rPr>
        <w:t>leurs</w:t>
      </w:r>
      <w:r w:rsidR="00B45C7B" w:rsidRPr="00E72418">
        <w:rPr>
          <w:rFonts w:cs="Times New Roman"/>
        </w:rPr>
        <w:t xml:space="preserve"> chances de remboursement croissent.</w:t>
      </w:r>
    </w:p>
    <w:p w14:paraId="687E0612" w14:textId="2AB4D943" w:rsidR="00B45C7B" w:rsidRPr="00E72418" w:rsidRDefault="00B45C7B" w:rsidP="00CC4BA8">
      <w:pPr>
        <w:spacing w:line="276" w:lineRule="auto"/>
      </w:pPr>
      <w:r w:rsidRPr="00E72418">
        <w:rPr>
          <w:rFonts w:cs="Times New Roman"/>
        </w:rPr>
        <w:t xml:space="preserve">Les acquéreurs de dettes en souffrance sur le marché secondaire peuvent </w:t>
      </w:r>
      <w:r w:rsidR="009B7998" w:rsidRPr="00E72418">
        <w:rPr>
          <w:rFonts w:cs="Times New Roman"/>
        </w:rPr>
        <w:t xml:space="preserve">être </w:t>
      </w:r>
      <w:r w:rsidR="002B3E58" w:rsidRPr="00E72418">
        <w:rPr>
          <w:rFonts w:cs="Times New Roman"/>
        </w:rPr>
        <w:t xml:space="preserve">motivés </w:t>
      </w:r>
      <w:r w:rsidRPr="00E72418">
        <w:rPr>
          <w:rFonts w:cs="Times New Roman"/>
        </w:rPr>
        <w:t xml:space="preserve">par </w:t>
      </w:r>
      <w:r w:rsidR="009B7998" w:rsidRPr="00E72418">
        <w:rPr>
          <w:rFonts w:cs="Times New Roman"/>
        </w:rPr>
        <w:t>un</w:t>
      </w:r>
      <w:r w:rsidRPr="00E72418">
        <w:rPr>
          <w:rFonts w:cs="Times New Roman"/>
        </w:rPr>
        <w:t xml:space="preserve"> profit </w:t>
      </w:r>
      <w:r w:rsidR="009B7998" w:rsidRPr="00E72418">
        <w:rPr>
          <w:rFonts w:cs="Times New Roman"/>
        </w:rPr>
        <w:t xml:space="preserve">tiré </w:t>
      </w:r>
      <w:r w:rsidRPr="00E72418">
        <w:rPr>
          <w:rFonts w:cs="Times New Roman"/>
        </w:rPr>
        <w:t>d’une restructuration qui leur serait profitable</w:t>
      </w:r>
      <w:r w:rsidR="00E4255F" w:rsidRPr="00E72418">
        <w:rPr>
          <w:rStyle w:val="Appelnotedebasdep"/>
          <w:rFonts w:cs="Times New Roman"/>
        </w:rPr>
        <w:footnoteReference w:id="752"/>
      </w:r>
      <w:r w:rsidRPr="00E72418">
        <w:rPr>
          <w:rFonts w:cs="Times New Roman"/>
        </w:rPr>
        <w:t xml:space="preserve">. Ainsi, il est des cas où les créances rachetées le sont à un prix </w:t>
      </w:r>
      <w:r w:rsidR="00586473" w:rsidRPr="00E72418">
        <w:rPr>
          <w:rFonts w:cs="Times New Roman"/>
        </w:rPr>
        <w:t xml:space="preserve">tellement </w:t>
      </w:r>
      <w:r w:rsidR="002B3E58" w:rsidRPr="00E72418">
        <w:rPr>
          <w:rFonts w:cs="Times New Roman"/>
        </w:rPr>
        <w:t>dérisoire</w:t>
      </w:r>
      <w:r w:rsidRPr="00E72418">
        <w:rPr>
          <w:rFonts w:cs="Times New Roman"/>
        </w:rPr>
        <w:t xml:space="preserve"> que leur</w:t>
      </w:r>
      <w:r w:rsidR="002B3E58" w:rsidRPr="00E72418">
        <w:rPr>
          <w:rFonts w:cs="Times New Roman"/>
        </w:rPr>
        <w:t>s</w:t>
      </w:r>
      <w:r w:rsidRPr="00E72418">
        <w:rPr>
          <w:rFonts w:cs="Times New Roman"/>
        </w:rPr>
        <w:t xml:space="preserve"> acquéreur</w:t>
      </w:r>
      <w:r w:rsidR="002B3E58" w:rsidRPr="00E72418">
        <w:rPr>
          <w:rFonts w:cs="Times New Roman"/>
        </w:rPr>
        <w:t>s</w:t>
      </w:r>
      <w:r w:rsidRPr="00E72418">
        <w:rPr>
          <w:rFonts w:cs="Times New Roman"/>
        </w:rPr>
        <w:t xml:space="preserve"> sur le marché secondaire peu</w:t>
      </w:r>
      <w:r w:rsidR="002B3E58" w:rsidRPr="00E72418">
        <w:rPr>
          <w:rFonts w:cs="Times New Roman"/>
        </w:rPr>
        <w:t>ven</w:t>
      </w:r>
      <w:r w:rsidRPr="00E72418">
        <w:rPr>
          <w:rFonts w:cs="Times New Roman"/>
        </w:rPr>
        <w:t>t espérer tirer profit des termes d’une restructuration future et, subsidiairement, s</w:t>
      </w:r>
      <w:r w:rsidR="002B3E58" w:rsidRPr="00E72418">
        <w:rPr>
          <w:rFonts w:cs="Times New Roman"/>
        </w:rPr>
        <w:t>’</w:t>
      </w:r>
      <w:r w:rsidRPr="00E72418">
        <w:rPr>
          <w:rFonts w:cs="Times New Roman"/>
        </w:rPr>
        <w:t>i</w:t>
      </w:r>
      <w:r w:rsidR="002B3E58" w:rsidRPr="00E72418">
        <w:rPr>
          <w:rFonts w:cs="Times New Roman"/>
        </w:rPr>
        <w:t xml:space="preserve">ls ne </w:t>
      </w:r>
      <w:r w:rsidRPr="00E72418">
        <w:rPr>
          <w:rFonts w:cs="Times New Roman"/>
        </w:rPr>
        <w:t xml:space="preserve">devaient pas </w:t>
      </w:r>
      <w:r w:rsidR="002B3E58" w:rsidRPr="00E72418">
        <w:rPr>
          <w:rFonts w:cs="Times New Roman"/>
        </w:rPr>
        <w:t>les juger</w:t>
      </w:r>
      <w:r w:rsidRPr="00E72418">
        <w:rPr>
          <w:rFonts w:cs="Times New Roman"/>
        </w:rPr>
        <w:t xml:space="preserve"> suffisants alors s’opposer à la restructuration et engager des poursuites à l’encontre de l’</w:t>
      </w:r>
      <w:r w:rsidRPr="00E72418">
        <w:rPr>
          <w:lang w:eastAsia="fr-BE"/>
        </w:rPr>
        <w:t>É</w:t>
      </w:r>
      <w:r w:rsidRPr="00E72418">
        <w:rPr>
          <w:rFonts w:cs="Times New Roman"/>
        </w:rPr>
        <w:t>tat débiteur</w:t>
      </w:r>
      <w:r w:rsidRPr="00E72418">
        <w:rPr>
          <w:rStyle w:val="Appelnotedebasdep"/>
        </w:rPr>
        <w:footnoteReference w:id="753"/>
      </w:r>
      <w:r w:rsidRPr="00E72418">
        <w:t>.</w:t>
      </w:r>
    </w:p>
    <w:p w14:paraId="52B275D1" w14:textId="51616FD5" w:rsidR="00B45C7B" w:rsidRPr="00E72418" w:rsidRDefault="00B45C7B" w:rsidP="00CC4BA8">
      <w:pPr>
        <w:spacing w:line="276" w:lineRule="auto"/>
        <w:rPr>
          <w:lang w:val="fr-BE"/>
        </w:rPr>
      </w:pPr>
      <w:r w:rsidRPr="00E72418">
        <w:rPr>
          <w:rFonts w:cs="Times New Roman"/>
        </w:rPr>
        <w:t xml:space="preserve">Certains créanciers détenteurs de </w:t>
      </w:r>
      <w:r w:rsidR="00E40EE7" w:rsidRPr="00E72418">
        <w:rPr>
          <w:rFonts w:cs="Times New Roman"/>
        </w:rPr>
        <w:t>contrats d’échange sur risq</w:t>
      </w:r>
      <w:r w:rsidR="00A9063C">
        <w:rPr>
          <w:rFonts w:cs="Times New Roman"/>
        </w:rPr>
        <w:t xml:space="preserve">ue de crédit, les bien connus </w:t>
      </w:r>
      <w:r w:rsidRPr="00A9063C">
        <w:rPr>
          <w:rFonts w:cs="Times New Roman"/>
          <w:i/>
        </w:rPr>
        <w:t>credit default swaps</w:t>
      </w:r>
      <w:r w:rsidRPr="00E72418">
        <w:rPr>
          <w:rFonts w:cs="Times New Roman"/>
        </w:rPr>
        <w:t xml:space="preserve"> auraient intérêt à ce que l’</w:t>
      </w:r>
      <w:r w:rsidRPr="00E72418">
        <w:rPr>
          <w:lang w:eastAsia="fr-BE"/>
        </w:rPr>
        <w:t>É</w:t>
      </w:r>
      <w:r w:rsidRPr="00E72418">
        <w:rPr>
          <w:rFonts w:cs="Times New Roman"/>
        </w:rPr>
        <w:t xml:space="preserve">tat débiteur soit en défaut sur sa dette. En effet, un </w:t>
      </w:r>
      <w:r w:rsidR="00A9063C">
        <w:rPr>
          <w:rFonts w:cs="Times New Roman"/>
        </w:rPr>
        <w:t xml:space="preserve">tel </w:t>
      </w:r>
      <w:r w:rsidRPr="00E72418">
        <w:rPr>
          <w:rFonts w:cs="Times New Roman"/>
          <w:i/>
        </w:rPr>
        <w:t>swap</w:t>
      </w:r>
      <w:r w:rsidRPr="00E72418">
        <w:rPr>
          <w:rFonts w:cs="Times New Roman"/>
        </w:rPr>
        <w:t xml:space="preserve"> est u</w:t>
      </w:r>
      <w:r w:rsidR="002B3E58" w:rsidRPr="00E72418">
        <w:rPr>
          <w:rFonts w:cs="Times New Roman"/>
        </w:rPr>
        <w:t xml:space="preserve">n contrat aux termes duquel un tiers protecteur </w:t>
      </w:r>
      <w:r w:rsidRPr="00E72418">
        <w:rPr>
          <w:rFonts w:cs="Times New Roman"/>
        </w:rPr>
        <w:t xml:space="preserve">s’engage au versement d’un montant déterminé à une autre </w:t>
      </w:r>
      <w:r w:rsidR="002B3E58" w:rsidRPr="00E72418">
        <w:rPr>
          <w:rFonts w:cs="Times New Roman"/>
        </w:rPr>
        <w:t xml:space="preserve">partie dans la situation </w:t>
      </w:r>
      <w:r w:rsidRPr="00E72418">
        <w:rPr>
          <w:rFonts w:cs="Times New Roman"/>
        </w:rPr>
        <w:t>où l’émetteur d’une obligation ferait défaut</w:t>
      </w:r>
      <w:r w:rsidRPr="00E72418">
        <w:rPr>
          <w:rStyle w:val="Appelnotedebasdep"/>
          <w:rFonts w:cs="Times New Roman"/>
          <w:szCs w:val="24"/>
        </w:rPr>
        <w:footnoteReference w:id="754"/>
      </w:r>
      <w:r w:rsidRPr="00E72418">
        <w:rPr>
          <w:rFonts w:cs="Times New Roman"/>
        </w:rPr>
        <w:t xml:space="preserve">. </w:t>
      </w:r>
      <w:r w:rsidR="002B3E58" w:rsidRPr="00E72418">
        <w:rPr>
          <w:rFonts w:cs="Times New Roman"/>
        </w:rPr>
        <w:t xml:space="preserve">Un </w:t>
      </w:r>
      <w:r w:rsidRPr="00E72418">
        <w:rPr>
          <w:rFonts w:cs="Times New Roman"/>
        </w:rPr>
        <w:t xml:space="preserve">enjeu financier </w:t>
      </w:r>
      <w:r w:rsidR="002B3E58" w:rsidRPr="00E72418">
        <w:rPr>
          <w:rFonts w:cs="Times New Roman"/>
        </w:rPr>
        <w:t xml:space="preserve">important </w:t>
      </w:r>
      <w:r w:rsidR="00B41CCF" w:rsidRPr="00E72418">
        <w:rPr>
          <w:rFonts w:cs="Times New Roman"/>
        </w:rPr>
        <w:t>pour les fonds spéculant</w:t>
      </w:r>
      <w:r w:rsidRPr="00E72418">
        <w:rPr>
          <w:rFonts w:cs="Times New Roman"/>
        </w:rPr>
        <w:t xml:space="preserve"> sur les dettes souveraines, et plus généralement pour les créanciers réfractaires, </w:t>
      </w:r>
      <w:r w:rsidR="002B3E58" w:rsidRPr="00E72418">
        <w:rPr>
          <w:rFonts w:cs="Times New Roman"/>
        </w:rPr>
        <w:t>peut ainsi se trouver dans c</w:t>
      </w:r>
      <w:r w:rsidRPr="00E72418">
        <w:rPr>
          <w:rFonts w:cs="Times New Roman"/>
        </w:rPr>
        <w:t xml:space="preserve">es </w:t>
      </w:r>
      <w:r w:rsidR="00E40EE7" w:rsidRPr="00E72418">
        <w:rPr>
          <w:rFonts w:cs="Times New Roman"/>
        </w:rPr>
        <w:t>contrats d’échange sur risque de crédit</w:t>
      </w:r>
      <w:r w:rsidRPr="00E72418">
        <w:rPr>
          <w:rStyle w:val="Appelnotedebasdep"/>
          <w:rFonts w:cs="Times New Roman"/>
          <w:szCs w:val="24"/>
        </w:rPr>
        <w:footnoteReference w:id="755"/>
      </w:r>
      <w:r w:rsidRPr="00E72418">
        <w:rPr>
          <w:rFonts w:cs="Times New Roman"/>
        </w:rPr>
        <w:t xml:space="preserve">. Les </w:t>
      </w:r>
      <w:r w:rsidR="004A265D" w:rsidRPr="00E72418">
        <w:rPr>
          <w:rFonts w:cs="Times New Roman"/>
          <w:i/>
        </w:rPr>
        <w:t>credit default</w:t>
      </w:r>
      <w:r w:rsidRPr="00E72418">
        <w:rPr>
          <w:rFonts w:cs="Times New Roman"/>
          <w:i/>
        </w:rPr>
        <w:t xml:space="preserve"> swaps</w:t>
      </w:r>
      <w:r w:rsidRPr="00E72418">
        <w:rPr>
          <w:rFonts w:cs="Times New Roman"/>
        </w:rPr>
        <w:t xml:space="preserve"> pr</w:t>
      </w:r>
      <w:r w:rsidR="002B3E58" w:rsidRPr="00E72418">
        <w:rPr>
          <w:rFonts w:cs="Times New Roman"/>
        </w:rPr>
        <w:t xml:space="preserve">ennent ainsi place dans ce que </w:t>
      </w:r>
      <w:r w:rsidR="00CC15FF" w:rsidRPr="00E72418">
        <w:rPr>
          <w:rFonts w:cs="Times New Roman"/>
        </w:rPr>
        <w:t xml:space="preserve">Horatia </w:t>
      </w:r>
      <w:r w:rsidR="002B3E58" w:rsidRPr="00E72418">
        <w:rPr>
          <w:rFonts w:cs="Times New Roman"/>
        </w:rPr>
        <w:t>Muir Watt</w:t>
      </w:r>
      <w:r w:rsidRPr="00E72418">
        <w:rPr>
          <w:rFonts w:cs="Times New Roman"/>
        </w:rPr>
        <w:t xml:space="preserve"> présente comme une « ingénierie juridique ingénieuse » visant à créer contractuellement divers droits, assurances et priorités </w:t>
      </w:r>
      <w:r w:rsidR="00E14589" w:rsidRPr="00E72418">
        <w:rPr>
          <w:rFonts w:cs="Times New Roman"/>
        </w:rPr>
        <w:t xml:space="preserve">qui permettent de </w:t>
      </w:r>
      <w:r w:rsidRPr="00E72418">
        <w:rPr>
          <w:rFonts w:cs="Times New Roman"/>
        </w:rPr>
        <w:t xml:space="preserve">s’assurer contre le risque de perte </w:t>
      </w:r>
      <w:r w:rsidRPr="00E72418">
        <w:rPr>
          <w:rFonts w:cs="Times New Roman"/>
        </w:rPr>
        <w:lastRenderedPageBreak/>
        <w:t>financière dans la situation d’un défaut</w:t>
      </w:r>
      <w:r w:rsidRPr="00E72418">
        <w:rPr>
          <w:rStyle w:val="Appelnotedebasdep"/>
          <w:rFonts w:cs="Times New Roman"/>
          <w:szCs w:val="24"/>
        </w:rPr>
        <w:footnoteReference w:id="756"/>
      </w:r>
      <w:r w:rsidRPr="00E72418">
        <w:rPr>
          <w:rFonts w:cs="Times New Roman"/>
        </w:rPr>
        <w:t xml:space="preserve">. </w:t>
      </w:r>
      <w:r w:rsidR="002B3E58" w:rsidRPr="00E72418">
        <w:rPr>
          <w:rFonts w:cs="Times New Roman"/>
        </w:rPr>
        <w:t>L’on comprend que c</w:t>
      </w:r>
      <w:r w:rsidRPr="00E72418">
        <w:rPr>
          <w:rFonts w:cs="Times New Roman"/>
        </w:rPr>
        <w:t xml:space="preserve">eux-ci peuvent </w:t>
      </w:r>
      <w:r w:rsidR="002B3E58" w:rsidRPr="00E72418">
        <w:rPr>
          <w:rFonts w:cs="Times New Roman"/>
        </w:rPr>
        <w:t xml:space="preserve">alors </w:t>
      </w:r>
      <w:r w:rsidRPr="00E72418">
        <w:rPr>
          <w:rFonts w:cs="Times New Roman"/>
        </w:rPr>
        <w:t>devenir des outils de spéculation à part entière</w:t>
      </w:r>
      <w:r w:rsidR="004A265D" w:rsidRPr="00E72418">
        <w:rPr>
          <w:rStyle w:val="Appelnotedebasdep"/>
          <w:rFonts w:cs="Times New Roman"/>
        </w:rPr>
        <w:footnoteReference w:id="757"/>
      </w:r>
      <w:r w:rsidRPr="00E72418">
        <w:rPr>
          <w:rFonts w:cs="Times New Roman"/>
        </w:rPr>
        <w:t xml:space="preserve">. </w:t>
      </w:r>
      <w:r w:rsidR="00D46A0E" w:rsidRPr="00E72418">
        <w:rPr>
          <w:rFonts w:cs="Times New Roman"/>
        </w:rPr>
        <w:t xml:space="preserve">Et ici encore les incidences négatives sur les restructurations sont à craindre de la part de ceux qu’on appelle des « empty creditors ». Comme le note </w:t>
      </w:r>
      <w:r w:rsidR="003D7F91" w:rsidRPr="00E72418">
        <w:rPr>
          <w:rFonts w:cs="Times New Roman"/>
        </w:rPr>
        <w:t xml:space="preserve">Yesha </w:t>
      </w:r>
      <w:r w:rsidR="00D46A0E" w:rsidRPr="00E72418">
        <w:rPr>
          <w:rFonts w:cs="Times New Roman"/>
        </w:rPr>
        <w:t>Yadav, « </w:t>
      </w:r>
      <w:r w:rsidR="00D46A0E" w:rsidRPr="00E72418">
        <w:rPr>
          <w:szCs w:val="20"/>
        </w:rPr>
        <w:t>[s]</w:t>
      </w:r>
      <w:r w:rsidR="00D46A0E" w:rsidRPr="00E72418">
        <w:rPr>
          <w:lang w:val="fr-BE"/>
        </w:rPr>
        <w:t>uch a creditor may hasten default by limiting negotiations with a borrower, electing instead to call an event of default and accelerate repayment », « </w:t>
      </w:r>
      <w:r w:rsidR="00D46A0E" w:rsidRPr="00E72418">
        <w:rPr>
          <w:szCs w:val="20"/>
        </w:rPr>
        <w:t>[o]</w:t>
      </w:r>
      <w:r w:rsidR="00D46A0E" w:rsidRPr="00E72418">
        <w:rPr>
          <w:lang w:val="fr-BE"/>
        </w:rPr>
        <w:t>r, it may create conditions that make it more likely that such an event of default occurs »</w:t>
      </w:r>
      <w:r w:rsidR="00D46A0E" w:rsidRPr="00E72418">
        <w:rPr>
          <w:rStyle w:val="Appelnotedebasdep"/>
          <w:lang w:val="fr-BE"/>
        </w:rPr>
        <w:footnoteReference w:id="758"/>
      </w:r>
      <w:r w:rsidR="00D46A0E" w:rsidRPr="00E72418">
        <w:rPr>
          <w:lang w:val="fr-BE"/>
        </w:rPr>
        <w:t>.</w:t>
      </w:r>
    </w:p>
    <w:p w14:paraId="376E32B0" w14:textId="77777777" w:rsidR="004A265D" w:rsidRPr="00E72418" w:rsidRDefault="004A265D" w:rsidP="0054314B">
      <w:pPr>
        <w:rPr>
          <w:lang w:val="fr-BE"/>
        </w:rPr>
      </w:pPr>
    </w:p>
    <w:p w14:paraId="235EB575" w14:textId="7ECC5EC0" w:rsidR="00B45C7B" w:rsidRPr="00E72418" w:rsidRDefault="000764CE" w:rsidP="00CC4BA8">
      <w:pPr>
        <w:pStyle w:val="DD"/>
        <w:spacing w:line="276" w:lineRule="auto"/>
      </w:pPr>
      <w:bookmarkStart w:id="167" w:name="_Toc59280920"/>
      <w:bookmarkStart w:id="168" w:name="_Toc84540908"/>
      <w:r w:rsidRPr="00E72418">
        <w:t xml:space="preserve">Section 3 : </w:t>
      </w:r>
      <w:r w:rsidR="00B45C7B" w:rsidRPr="00E72418">
        <w:t>L’opacité</w:t>
      </w:r>
      <w:bookmarkEnd w:id="167"/>
      <w:bookmarkEnd w:id="168"/>
    </w:p>
    <w:p w14:paraId="54F1D4AE" w14:textId="77777777" w:rsidR="0054314B" w:rsidRPr="00E72418" w:rsidRDefault="0054314B" w:rsidP="0054314B"/>
    <w:p w14:paraId="32DAE215" w14:textId="0BE0676A" w:rsidR="00B45C7B" w:rsidRPr="00E72418" w:rsidRDefault="007F038F" w:rsidP="00CC4BA8">
      <w:pPr>
        <w:spacing w:line="276" w:lineRule="auto"/>
      </w:pPr>
      <w:r w:rsidRPr="00E72418">
        <w:rPr>
          <w:b/>
        </w:rPr>
        <w:t>141</w:t>
      </w:r>
      <w:r w:rsidR="007E31CD" w:rsidRPr="00E72418">
        <w:rPr>
          <w:b/>
        </w:rPr>
        <w:t xml:space="preserve">. </w:t>
      </w:r>
      <w:r w:rsidR="00B45C7B" w:rsidRPr="00E72418">
        <w:rPr>
          <w:b/>
        </w:rPr>
        <w:t>Des créanciers parfois éphémères établis dans des paradis fiscaux –</w:t>
      </w:r>
      <w:r w:rsidR="00B45C7B" w:rsidRPr="00E72418">
        <w:t xml:space="preserve"> G</w:t>
      </w:r>
      <w:r w:rsidR="00B41CCF" w:rsidRPr="00E72418">
        <w:t>rand nombre de fonds spéculant</w:t>
      </w:r>
      <w:r w:rsidR="002E5A8A" w:rsidRPr="00E72418">
        <w:t xml:space="preserve"> </w:t>
      </w:r>
      <w:r w:rsidR="004F2AD2" w:rsidRPr="00E72418">
        <w:t xml:space="preserve">sur les dettes souveraines </w:t>
      </w:r>
      <w:r w:rsidR="00B45C7B" w:rsidRPr="00E72418">
        <w:t>sont intégrés dans des paradis fiscaux pratiquant le secret bancaire</w:t>
      </w:r>
      <w:r w:rsidR="00B45C7B" w:rsidRPr="00E72418">
        <w:rPr>
          <w:rStyle w:val="Appelnotedebasdep"/>
          <w:szCs w:val="24"/>
        </w:rPr>
        <w:footnoteReference w:id="759"/>
      </w:r>
      <w:r w:rsidR="002E5A8A" w:rsidRPr="00E72418">
        <w:t>. Outre ce secret</w:t>
      </w:r>
      <w:r w:rsidR="00B45C7B" w:rsidRPr="00E72418">
        <w:t>, ils peuvent y bénéficier d’une fiscalité avantageuse voire de l’exonération fiscale, d’un manque de coopération avec les autor</w:t>
      </w:r>
      <w:r w:rsidR="002E5A8A" w:rsidRPr="00E72418">
        <w:t>ités fiscales, douanières et</w:t>
      </w:r>
      <w:r w:rsidR="00B45C7B" w:rsidRPr="00E72418">
        <w:t xml:space="preserve"> judiciaires des autres pays, de réglementations financières peu efficaces </w:t>
      </w:r>
      <w:r w:rsidR="002E5A8A" w:rsidRPr="00E72418">
        <w:t>voire</w:t>
      </w:r>
      <w:r w:rsidR="00B45C7B" w:rsidRPr="00E72418">
        <w:t xml:space="preserve"> inexistantes ou encore de réglementations favorables à l’établissement de sociétés-écrans sans activité réelle sur le territoire</w:t>
      </w:r>
      <w:r w:rsidR="00B45C7B" w:rsidRPr="00E72418">
        <w:rPr>
          <w:rStyle w:val="Appelnotedebasdep"/>
          <w:szCs w:val="24"/>
        </w:rPr>
        <w:footnoteReference w:id="760"/>
      </w:r>
      <w:r w:rsidR="00B45C7B" w:rsidRPr="00E72418">
        <w:t>.</w:t>
      </w:r>
    </w:p>
    <w:p w14:paraId="122012F4" w14:textId="66C7B2AC" w:rsidR="00B45C7B" w:rsidRPr="00E72418" w:rsidRDefault="00B45C7B" w:rsidP="00CC4BA8">
      <w:pPr>
        <w:spacing w:line="276" w:lineRule="auto"/>
      </w:pPr>
      <w:r w:rsidRPr="00E72418">
        <w:t>Il est des cas o</w:t>
      </w:r>
      <w:r w:rsidR="002E5A8A" w:rsidRPr="00E72418">
        <w:t>ù l</w:t>
      </w:r>
      <w:r w:rsidRPr="00E72418">
        <w:t xml:space="preserve">es fonds </w:t>
      </w:r>
      <w:r w:rsidR="002E5A8A" w:rsidRPr="00E72418">
        <w:t xml:space="preserve">spéculatifs </w:t>
      </w:r>
      <w:r w:rsidRPr="00E72418">
        <w:t xml:space="preserve">ont une existence éphémère, </w:t>
      </w:r>
      <w:r w:rsidR="002E5A8A" w:rsidRPr="00E72418">
        <w:t>des sociétés</w:t>
      </w:r>
      <w:r w:rsidRPr="00E72418">
        <w:t xml:space="preserve"> étant créé</w:t>
      </w:r>
      <w:r w:rsidR="002E5A8A" w:rsidRPr="00E72418">
        <w:t>es pour l’acquisition et la poursuite</w:t>
      </w:r>
      <w:r w:rsidRPr="00E72418">
        <w:t xml:space="preserve"> d’une créance spécifique et disparaissant dès l’obtention de son </w:t>
      </w:r>
      <w:r w:rsidRPr="00E72418">
        <w:lastRenderedPageBreak/>
        <w:t>paiement</w:t>
      </w:r>
      <w:r w:rsidRPr="00E72418">
        <w:rPr>
          <w:rStyle w:val="Appelnotedebasdep"/>
          <w:szCs w:val="24"/>
        </w:rPr>
        <w:footnoteReference w:id="761"/>
      </w:r>
      <w:r w:rsidRPr="00E72418">
        <w:t xml:space="preserve">. </w:t>
      </w:r>
      <w:r w:rsidRPr="00E72418">
        <w:rPr>
          <w:rFonts w:cs="Times New Roman"/>
        </w:rPr>
        <w:t xml:space="preserve">Les fonds agissent alors à travers des véhicules temporaires ou des filiales installées de manière </w:t>
      </w:r>
      <w:r w:rsidRPr="007C3F47">
        <w:rPr>
          <w:rFonts w:cs="Times New Roman"/>
          <w:i/>
        </w:rPr>
        <w:t>ad hoc</w:t>
      </w:r>
      <w:r w:rsidRPr="00E72418">
        <w:rPr>
          <w:rFonts w:cs="Times New Roman"/>
        </w:rPr>
        <w:t xml:space="preserve"> pour une procédure particulière</w:t>
      </w:r>
      <w:r w:rsidRPr="00E72418">
        <w:rPr>
          <w:rStyle w:val="Appelnotedebasdep"/>
          <w:rFonts w:cs="Times New Roman"/>
          <w:szCs w:val="24"/>
        </w:rPr>
        <w:footnoteReference w:id="762"/>
      </w:r>
      <w:r w:rsidR="0054314B" w:rsidRPr="00E72418">
        <w:rPr>
          <w:rFonts w:cs="Times New Roman"/>
          <w:vertAlign w:val="superscript"/>
        </w:rPr>
        <w:t>,</w:t>
      </w:r>
      <w:r w:rsidRPr="00E72418">
        <w:rPr>
          <w:rStyle w:val="Appelnotedebasdep"/>
          <w:rFonts w:cs="Times New Roman"/>
          <w:szCs w:val="24"/>
        </w:rPr>
        <w:footnoteReference w:id="763"/>
      </w:r>
      <w:r w:rsidRPr="00E72418">
        <w:t>.</w:t>
      </w:r>
    </w:p>
    <w:p w14:paraId="7383CD84" w14:textId="77777777" w:rsidR="00B45C7B" w:rsidRPr="00E72418" w:rsidRDefault="00B45C7B" w:rsidP="0054314B"/>
    <w:p w14:paraId="2270279B" w14:textId="165C806C" w:rsidR="00B45C7B" w:rsidRPr="00E72418" w:rsidRDefault="007F038F" w:rsidP="00CC4BA8">
      <w:pPr>
        <w:spacing w:line="276" w:lineRule="auto"/>
      </w:pPr>
      <w:r w:rsidRPr="00E72418">
        <w:rPr>
          <w:b/>
        </w:rPr>
        <w:t>142</w:t>
      </w:r>
      <w:r w:rsidR="007E31CD" w:rsidRPr="00E72418">
        <w:rPr>
          <w:b/>
        </w:rPr>
        <w:t xml:space="preserve">. </w:t>
      </w:r>
      <w:r w:rsidR="00B45C7B" w:rsidRPr="00E72418">
        <w:rPr>
          <w:b/>
        </w:rPr>
        <w:t>Un actionnariat mystérieux et des donné</w:t>
      </w:r>
      <w:r w:rsidR="00B777C3" w:rsidRPr="00E72418">
        <w:rPr>
          <w:b/>
        </w:rPr>
        <w:t>e</w:t>
      </w:r>
      <w:r w:rsidR="00B45C7B" w:rsidRPr="00E72418">
        <w:rPr>
          <w:b/>
        </w:rPr>
        <w:t xml:space="preserve">s financières cachées – </w:t>
      </w:r>
      <w:r w:rsidR="00B45C7B" w:rsidRPr="00E72418">
        <w:t>Si certains fonds spéculatifs appartiennent à de grandes institutions financières, il en est d’autres au régime de propriété obscur</w:t>
      </w:r>
      <w:r w:rsidR="00B45C7B" w:rsidRPr="00E72418">
        <w:rPr>
          <w:rStyle w:val="Appelnotedebasdep"/>
          <w:rFonts w:cs="Times New Roman"/>
          <w:szCs w:val="24"/>
        </w:rPr>
        <w:footnoteReference w:id="764"/>
      </w:r>
      <w:r w:rsidR="00B45C7B" w:rsidRPr="00E72418">
        <w:t xml:space="preserve">. Outre leur actionnariat mystérieux, l’opacité des fonds </w:t>
      </w:r>
      <w:r w:rsidR="00B41CCF" w:rsidRPr="00E72418">
        <w:t>spéculant</w:t>
      </w:r>
      <w:r w:rsidR="00266FC9" w:rsidRPr="00E72418">
        <w:t xml:space="preserve"> sur les dettes souveraines </w:t>
      </w:r>
      <w:r w:rsidR="00B45C7B" w:rsidRPr="00E72418">
        <w:t>se décline également généralement dans des données financières confidentielles ou encore dans une communication publique inexistante</w:t>
      </w:r>
      <w:r w:rsidR="00B45C7B" w:rsidRPr="00E72418">
        <w:rPr>
          <w:rStyle w:val="Appelnotedebasdep"/>
          <w:szCs w:val="24"/>
        </w:rPr>
        <w:footnoteReference w:id="765"/>
      </w:r>
      <w:r w:rsidR="00B45C7B" w:rsidRPr="00E72418">
        <w:t>.</w:t>
      </w:r>
      <w:r w:rsidR="00266FC9" w:rsidRPr="00E72418">
        <w:t xml:space="preserve"> Le secret entourant les fonds spéculatifs peut s’expliquer par l’opprobre qu’il subissent très généralement en raison de leurs activités</w:t>
      </w:r>
      <w:r w:rsidR="00266FC9" w:rsidRPr="00E72418">
        <w:rPr>
          <w:rStyle w:val="Appelnotedebasdep"/>
        </w:rPr>
        <w:footnoteReference w:id="766"/>
      </w:r>
      <w:r w:rsidR="00266FC9" w:rsidRPr="00E72418">
        <w:t>.</w:t>
      </w:r>
    </w:p>
    <w:p w14:paraId="43AC3974" w14:textId="45E72422" w:rsidR="00266FC9" w:rsidRPr="00E72418" w:rsidRDefault="00266FC9" w:rsidP="00CC4BA8">
      <w:pPr>
        <w:spacing w:line="276" w:lineRule="auto"/>
      </w:pPr>
      <w:r w:rsidRPr="00E72418">
        <w:t>L</w:t>
      </w:r>
      <w:r w:rsidR="00B45C7B" w:rsidRPr="00E72418">
        <w:t>’opacité souvent ép</w:t>
      </w:r>
      <w:r w:rsidRPr="00E72418">
        <w:t xml:space="preserve">inglée </w:t>
      </w:r>
      <w:r w:rsidR="00B45C7B" w:rsidRPr="00E72418">
        <w:t>n’est toutefois pas absolue. Ainsi, par exemple, Kenneth Dart est souvent présenté comme l’inventeur de la stratégie des fonds spéculatifs</w:t>
      </w:r>
      <w:r w:rsidR="00B45C7B" w:rsidRPr="00E72418">
        <w:rPr>
          <w:rStyle w:val="Appelnotedebasdep"/>
          <w:szCs w:val="24"/>
        </w:rPr>
        <w:footnoteReference w:id="767"/>
      </w:r>
      <w:r w:rsidR="00B45C7B" w:rsidRPr="00E72418">
        <w:t xml:space="preserve">. Paul Singer est lui aussi un personnage bien connu des contentieux relatifs aux dettes </w:t>
      </w:r>
      <w:r w:rsidRPr="00E72418">
        <w:t>souveraines en difficulté</w:t>
      </w:r>
      <w:r w:rsidR="00B45C7B" w:rsidRPr="00E72418">
        <w:t xml:space="preserve">. Co-fondateur du fonds </w:t>
      </w:r>
      <w:r w:rsidR="00B45C7B" w:rsidRPr="00E72418">
        <w:rPr>
          <w:i/>
        </w:rPr>
        <w:t>Elliott Management</w:t>
      </w:r>
      <w:r w:rsidR="00B45C7B" w:rsidRPr="00E72418">
        <w:t xml:space="preserve">, directeur général de la société </w:t>
      </w:r>
      <w:r w:rsidR="00B45C7B" w:rsidRPr="00E72418">
        <w:rPr>
          <w:i/>
        </w:rPr>
        <w:t>NML Capital Ltd.</w:t>
      </w:r>
      <w:r w:rsidR="00B45C7B" w:rsidRPr="00E72418">
        <w:t>, il est l’un des principaux bailleurs de fonds du Parti républicain aux États-</w:t>
      </w:r>
      <w:r w:rsidRPr="00E72418">
        <w:t xml:space="preserve">Unis de sorte qu’on lui prête </w:t>
      </w:r>
      <w:r w:rsidR="00B45C7B" w:rsidRPr="00E72418">
        <w:t xml:space="preserve">un énorme pouvoir de </w:t>
      </w:r>
      <w:r w:rsidR="000626CA" w:rsidRPr="00E72418">
        <w:t>lobby</w:t>
      </w:r>
      <w:r w:rsidR="00B45C7B" w:rsidRPr="00E72418">
        <w:t xml:space="preserve"> ainsi qu’un appui politique et juridique important</w:t>
      </w:r>
      <w:r w:rsidR="00B45C7B" w:rsidRPr="00E72418">
        <w:rPr>
          <w:rStyle w:val="Appelnotedebasdep"/>
          <w:szCs w:val="24"/>
        </w:rPr>
        <w:footnoteReference w:id="768"/>
      </w:r>
      <w:r w:rsidR="00B45C7B" w:rsidRPr="00E72418">
        <w:t>.</w:t>
      </w:r>
    </w:p>
    <w:p w14:paraId="4124F04E" w14:textId="443D1F36" w:rsidR="00B45C7B" w:rsidRDefault="00B45C7B" w:rsidP="00CC4BA8">
      <w:pPr>
        <w:spacing w:line="276" w:lineRule="auto"/>
      </w:pPr>
      <w:r w:rsidRPr="00E72418">
        <w:lastRenderedPageBreak/>
        <w:t xml:space="preserve">Le secret entourant les fonds spéculatifs les a </w:t>
      </w:r>
      <w:r w:rsidR="00266FC9" w:rsidRPr="00E72418">
        <w:t xml:space="preserve">parfois </w:t>
      </w:r>
      <w:r w:rsidRPr="00E72418">
        <w:t xml:space="preserve">conduits à </w:t>
      </w:r>
      <w:r w:rsidR="00266FC9" w:rsidRPr="00E72418">
        <w:t>quelques</w:t>
      </w:r>
      <w:r w:rsidRPr="00E72418">
        <w:t xml:space="preserve"> déconvenues. Dans une affaire opposant la République du Panama à l’un de ses créanciers qui la poursuivait en paiement de plusieurs millions de dollars de dettes en souffrance rachetées à prix réduit sur le marché secondaire, la </w:t>
      </w:r>
      <w:r w:rsidRPr="00C6627B">
        <w:t>United States District Court for the Southern District of New York</w:t>
      </w:r>
      <w:r w:rsidR="00266FC9" w:rsidRPr="00E72418">
        <w:t xml:space="preserve"> rejeta</w:t>
      </w:r>
      <w:r w:rsidRPr="00E72418">
        <w:t xml:space="preserve"> la demande en raison du défaut de la société créancière de divulguer le nom de ses propriétaires</w:t>
      </w:r>
      <w:r w:rsidRPr="00E72418">
        <w:rPr>
          <w:rStyle w:val="Appelnotedebasdep"/>
          <w:szCs w:val="24"/>
        </w:rPr>
        <w:footnoteReference w:id="769"/>
      </w:r>
      <w:r w:rsidRPr="00E72418">
        <w:t xml:space="preserve">. </w:t>
      </w:r>
      <w:r w:rsidR="00266FC9" w:rsidRPr="00E72418">
        <w:t>Autre exemple, d</w:t>
      </w:r>
      <w:r w:rsidRPr="00E72418">
        <w:t xml:space="preserve">ans l’affaire </w:t>
      </w:r>
      <w:r w:rsidRPr="00E72418">
        <w:rPr>
          <w:bCs/>
          <w:i/>
          <w:iCs/>
        </w:rPr>
        <w:t>Elliott Assocs. L.P. v. Banco de la Nacion</w:t>
      </w:r>
      <w:r w:rsidRPr="00E72418">
        <w:rPr>
          <w:bCs/>
          <w:iCs/>
        </w:rPr>
        <w:t xml:space="preserve">, la </w:t>
      </w:r>
      <w:r w:rsidRPr="00C6627B">
        <w:t>United States District Court for the Southern District of New York</w:t>
      </w:r>
      <w:r w:rsidRPr="00E72418">
        <w:t xml:space="preserve"> </w:t>
      </w:r>
      <w:r w:rsidR="0004079A" w:rsidRPr="00E72418">
        <w:rPr>
          <w:bCs/>
          <w:iCs/>
        </w:rPr>
        <w:t>releva qu’</w:t>
      </w:r>
      <w:r w:rsidRPr="00E72418">
        <w:rPr>
          <w:bCs/>
          <w:iCs/>
        </w:rPr>
        <w:t xml:space="preserve"> « </w:t>
      </w:r>
      <w:r w:rsidRPr="00E72418">
        <w:rPr>
          <w:rFonts w:ascii="Times New Roman" w:hAnsi="Times New Roman" w:cs="Times New Roman"/>
        </w:rPr>
        <w:t>[o]</w:t>
      </w:r>
      <w:r w:rsidRPr="00E72418">
        <w:t>n December 30, 1996, Defendants had issued discovery requests for documents and communications pertaining to principal and accrued interest, which Elliott agreed to prod</w:t>
      </w:r>
      <w:r w:rsidR="0004079A" w:rsidRPr="00E72418">
        <w:t>uce on January 24, 1997 » et qu’</w:t>
      </w:r>
      <w:r w:rsidRPr="00E72418">
        <w:t xml:space="preserve"> « Elliott did not, however, produce those documents at that time, nor did it produce at any time prior to trial an expert report or disclose the name of any expert witness who might testify as to accrued interest on the debt »</w:t>
      </w:r>
      <w:r w:rsidRPr="00E72418">
        <w:rPr>
          <w:rStyle w:val="Appelnotedebasdep"/>
          <w:szCs w:val="24"/>
        </w:rPr>
        <w:footnoteReference w:id="770"/>
      </w:r>
      <w:r w:rsidRPr="00E72418">
        <w:t>.</w:t>
      </w:r>
    </w:p>
    <w:p w14:paraId="77E33A13" w14:textId="77777777" w:rsidR="00486978" w:rsidRPr="00E72418" w:rsidRDefault="00486978" w:rsidP="00CC4BA8">
      <w:pPr>
        <w:spacing w:line="276" w:lineRule="auto"/>
      </w:pPr>
    </w:p>
    <w:p w14:paraId="138A57EF" w14:textId="35C0E0B4" w:rsidR="00B45C7B" w:rsidRPr="00E72418" w:rsidRDefault="007F038F" w:rsidP="00CC4BA8">
      <w:pPr>
        <w:spacing w:line="276" w:lineRule="auto"/>
        <w:rPr>
          <w:szCs w:val="24"/>
        </w:rPr>
      </w:pPr>
      <w:r w:rsidRPr="00E72418">
        <w:rPr>
          <w:b/>
          <w:szCs w:val="24"/>
        </w:rPr>
        <w:t>143</w:t>
      </w:r>
      <w:r w:rsidR="007E31CD" w:rsidRPr="00E72418">
        <w:rPr>
          <w:b/>
          <w:szCs w:val="24"/>
        </w:rPr>
        <w:t xml:space="preserve">. </w:t>
      </w:r>
      <w:r w:rsidR="00B45C7B" w:rsidRPr="00E72418">
        <w:rPr>
          <w:b/>
          <w:szCs w:val="24"/>
        </w:rPr>
        <w:t xml:space="preserve">Des opérations cachées – </w:t>
      </w:r>
      <w:r w:rsidR="00B45C7B" w:rsidRPr="00E72418">
        <w:rPr>
          <w:szCs w:val="24"/>
        </w:rPr>
        <w:t>L’opacité des fonds spéculatifs se décline également lors des négociations qu’ils pratiquent avec les créa</w:t>
      </w:r>
      <w:r w:rsidR="00B777C3" w:rsidRPr="00E72418">
        <w:rPr>
          <w:szCs w:val="24"/>
        </w:rPr>
        <w:t>nciers primaires à qui ils rachè</w:t>
      </w:r>
      <w:r w:rsidR="00266FC9" w:rsidRPr="00E72418">
        <w:rPr>
          <w:szCs w:val="24"/>
        </w:rPr>
        <w:t>tent d</w:t>
      </w:r>
      <w:r w:rsidR="00B45C7B" w:rsidRPr="00E72418">
        <w:rPr>
          <w:szCs w:val="24"/>
        </w:rPr>
        <w:t>es titres de dettes</w:t>
      </w:r>
      <w:r w:rsidR="00DD6DCC" w:rsidRPr="00E72418">
        <w:rPr>
          <w:rStyle w:val="Appelnotedebasdep"/>
          <w:szCs w:val="24"/>
        </w:rPr>
        <w:footnoteReference w:id="771"/>
      </w:r>
      <w:r w:rsidR="00B45C7B" w:rsidRPr="00E72418">
        <w:rPr>
          <w:szCs w:val="24"/>
        </w:rPr>
        <w:t xml:space="preserve">. Le </w:t>
      </w:r>
      <w:r w:rsidR="00B45C7B" w:rsidRPr="00E72418">
        <w:rPr>
          <w:rFonts w:cs="Times New Roman"/>
          <w:szCs w:val="24"/>
        </w:rPr>
        <w:t>Comité consultatif du Conseil des droits de l’homme des Nations Unies</w:t>
      </w:r>
      <w:r w:rsidR="00B45C7B" w:rsidRPr="00E72418">
        <w:rPr>
          <w:rStyle w:val="Appelnotedebasdep"/>
          <w:szCs w:val="24"/>
        </w:rPr>
        <w:t xml:space="preserve"> </w:t>
      </w:r>
      <w:r w:rsidR="00B45C7B" w:rsidRPr="00E72418">
        <w:rPr>
          <w:szCs w:val="24"/>
        </w:rPr>
        <w:t xml:space="preserve">remarque qu’ils opèrent sur le marché secondaire dans le plus grand secret sans que </w:t>
      </w:r>
      <w:r w:rsidR="001124C5" w:rsidRPr="00E72418">
        <w:rPr>
          <w:szCs w:val="24"/>
        </w:rPr>
        <w:t xml:space="preserve">ne </w:t>
      </w:r>
      <w:r w:rsidR="00B45C7B" w:rsidRPr="00E72418">
        <w:rPr>
          <w:szCs w:val="24"/>
        </w:rPr>
        <w:t xml:space="preserve">soient divulgués de renseignements sur les créanciers et sur les opérations </w:t>
      </w:r>
      <w:r w:rsidR="006E7441" w:rsidRPr="00E72418">
        <w:rPr>
          <w:szCs w:val="24"/>
        </w:rPr>
        <w:t xml:space="preserve">de rachat </w:t>
      </w:r>
      <w:r w:rsidR="00B45C7B" w:rsidRPr="00E72418">
        <w:rPr>
          <w:szCs w:val="24"/>
        </w:rPr>
        <w:t xml:space="preserve">de sorte que les </w:t>
      </w:r>
      <w:r w:rsidR="006E7441" w:rsidRPr="00E72418">
        <w:rPr>
          <w:szCs w:val="24"/>
        </w:rPr>
        <w:t>dettes</w:t>
      </w:r>
      <w:r w:rsidR="00266FC9" w:rsidRPr="00E72418">
        <w:rPr>
          <w:szCs w:val="24"/>
        </w:rPr>
        <w:t xml:space="preserve"> souveraines peuvent se trouver</w:t>
      </w:r>
      <w:r w:rsidR="00B45C7B" w:rsidRPr="00E72418">
        <w:rPr>
          <w:szCs w:val="24"/>
        </w:rPr>
        <w:t xml:space="preserve"> échangées entre investisseurs sans que l’État débiteur concerné </w:t>
      </w:r>
      <w:r w:rsidR="006E7441" w:rsidRPr="00E72418">
        <w:rPr>
          <w:szCs w:val="24"/>
        </w:rPr>
        <w:t>n’en</w:t>
      </w:r>
      <w:r w:rsidR="00266FC9" w:rsidRPr="00E72418">
        <w:rPr>
          <w:szCs w:val="24"/>
        </w:rPr>
        <w:t xml:space="preserve"> </w:t>
      </w:r>
      <w:r w:rsidR="00B45C7B" w:rsidRPr="00E72418">
        <w:rPr>
          <w:szCs w:val="24"/>
        </w:rPr>
        <w:t>soit nécessairement informé</w:t>
      </w:r>
      <w:r w:rsidR="006E7441" w:rsidRPr="00E72418">
        <w:rPr>
          <w:szCs w:val="24"/>
        </w:rPr>
        <w:t xml:space="preserve"> ni même conscient</w:t>
      </w:r>
      <w:r w:rsidR="00B45C7B" w:rsidRPr="00E72418">
        <w:rPr>
          <w:rStyle w:val="Appelnotedebasdep"/>
          <w:szCs w:val="24"/>
        </w:rPr>
        <w:footnoteReference w:id="772"/>
      </w:r>
      <w:r w:rsidR="00B45C7B" w:rsidRPr="00E72418">
        <w:rPr>
          <w:szCs w:val="24"/>
        </w:rPr>
        <w:t xml:space="preserve">. </w:t>
      </w:r>
      <w:r w:rsidR="006E7441" w:rsidRPr="00E72418">
        <w:rPr>
          <w:szCs w:val="24"/>
        </w:rPr>
        <w:t>Aussi, l</w:t>
      </w:r>
      <w:r w:rsidR="00B45C7B" w:rsidRPr="00E72418">
        <w:rPr>
          <w:szCs w:val="24"/>
        </w:rPr>
        <w:t xml:space="preserve">es fonds ont tendance à </w:t>
      </w:r>
      <w:r w:rsidR="006E7441" w:rsidRPr="00E72418">
        <w:rPr>
          <w:szCs w:val="24"/>
        </w:rPr>
        <w:t>garder</w:t>
      </w:r>
      <w:r w:rsidR="00B45C7B" w:rsidRPr="00E72418">
        <w:rPr>
          <w:szCs w:val="24"/>
        </w:rPr>
        <w:t xml:space="preserve"> secrets les prix payés pour racheter les créances sur le marché secondaire</w:t>
      </w:r>
      <w:r w:rsidR="00B45C7B" w:rsidRPr="00E72418">
        <w:rPr>
          <w:rStyle w:val="Appelnotedebasdep"/>
          <w:szCs w:val="24"/>
        </w:rPr>
        <w:footnoteReference w:id="773"/>
      </w:r>
      <w:r w:rsidR="00B45C7B" w:rsidRPr="00E72418">
        <w:rPr>
          <w:szCs w:val="24"/>
        </w:rPr>
        <w:t>.</w:t>
      </w:r>
    </w:p>
    <w:p w14:paraId="3D5C36AE" w14:textId="77777777" w:rsidR="00B45C7B" w:rsidRPr="00E72418" w:rsidRDefault="00B45C7B" w:rsidP="0054314B"/>
    <w:p w14:paraId="15AA764C" w14:textId="5423E048" w:rsidR="00B45C7B" w:rsidRPr="00E72418" w:rsidRDefault="000764CE" w:rsidP="00CC4BA8">
      <w:pPr>
        <w:pStyle w:val="CC"/>
        <w:spacing w:line="276" w:lineRule="auto"/>
      </w:pPr>
      <w:bookmarkStart w:id="169" w:name="_Toc59280921"/>
      <w:bookmarkStart w:id="170" w:name="_Toc75106087"/>
      <w:bookmarkStart w:id="171" w:name="_Toc84540909"/>
      <w:r w:rsidRPr="00E72418">
        <w:t xml:space="preserve">Chapitre 4 : </w:t>
      </w:r>
      <w:r w:rsidR="00B45C7B" w:rsidRPr="00E72418">
        <w:t>La préoccupation des Nations Unies</w:t>
      </w:r>
      <w:bookmarkEnd w:id="169"/>
      <w:bookmarkEnd w:id="170"/>
      <w:bookmarkEnd w:id="171"/>
    </w:p>
    <w:p w14:paraId="47890738" w14:textId="77777777" w:rsidR="00B45C7B" w:rsidRPr="00E72418" w:rsidRDefault="00B45C7B" w:rsidP="0054314B"/>
    <w:p w14:paraId="6EE6BF5D" w14:textId="0426B147" w:rsidR="00B45C7B" w:rsidRPr="00E72418" w:rsidRDefault="007F038F" w:rsidP="00CC4BA8">
      <w:pPr>
        <w:spacing w:line="276" w:lineRule="auto"/>
        <w:rPr>
          <w:b/>
        </w:rPr>
      </w:pPr>
      <w:r w:rsidRPr="00E72418">
        <w:rPr>
          <w:b/>
        </w:rPr>
        <w:t>144</w:t>
      </w:r>
      <w:r w:rsidR="007E31CD" w:rsidRPr="00E72418">
        <w:rPr>
          <w:b/>
        </w:rPr>
        <w:t xml:space="preserve">. </w:t>
      </w:r>
      <w:r w:rsidR="00B45C7B" w:rsidRPr="00E72418">
        <w:rPr>
          <w:b/>
        </w:rPr>
        <w:t xml:space="preserve">Une préoccupation répétée de l’Assemblée générale – </w:t>
      </w:r>
      <w:r w:rsidR="00B45C7B" w:rsidRPr="00E72418">
        <w:t>L’Assembl</w:t>
      </w:r>
      <w:r w:rsidR="003946DD" w:rsidRPr="00E72418">
        <w:t>ée générale des Nations Unies affiche de longue date</w:t>
      </w:r>
      <w:r w:rsidR="00B45C7B" w:rsidRPr="00E72418">
        <w:t xml:space="preserve"> sa préoccupation quant aux conséquences des</w:t>
      </w:r>
      <w:r w:rsidR="00B41CCF" w:rsidRPr="00E72418">
        <w:t xml:space="preserve"> activités </w:t>
      </w:r>
      <w:r w:rsidR="00B41CCF" w:rsidRPr="00E72418">
        <w:lastRenderedPageBreak/>
        <w:t>des fonds spéculant</w:t>
      </w:r>
      <w:r w:rsidR="00B45C7B" w:rsidRPr="00E72418">
        <w:t xml:space="preserve"> sur les dettes souveraines, singulièrement lorsque </w:t>
      </w:r>
      <w:r w:rsidR="003946DD" w:rsidRPr="00E72418">
        <w:t>les</w:t>
      </w:r>
      <w:r w:rsidR="00B45C7B" w:rsidRPr="00E72418">
        <w:t xml:space="preserve"> allègement</w:t>
      </w:r>
      <w:r w:rsidR="003946DD" w:rsidRPr="00E72418">
        <w:t>s</w:t>
      </w:r>
      <w:r w:rsidR="00B45C7B" w:rsidRPr="00E72418">
        <w:t xml:space="preserve"> et restructuration</w:t>
      </w:r>
      <w:r w:rsidR="003946DD" w:rsidRPr="00E72418">
        <w:t>s de celles-ci</w:t>
      </w:r>
      <w:r w:rsidR="00B45C7B" w:rsidRPr="00E72418">
        <w:t xml:space="preserve"> sont envisagés</w:t>
      </w:r>
      <w:r w:rsidR="00BD0EC2" w:rsidRPr="00E72418">
        <w:rPr>
          <w:rStyle w:val="Appelnotedebasdep"/>
        </w:rPr>
        <w:footnoteReference w:id="774"/>
      </w:r>
      <w:r w:rsidR="00B45C7B" w:rsidRPr="00E72418">
        <w:t>.</w:t>
      </w:r>
    </w:p>
    <w:p w14:paraId="254852B1" w14:textId="4FD51538" w:rsidR="00B45C7B" w:rsidRPr="00E72418" w:rsidRDefault="00B45C7B" w:rsidP="00CC4BA8">
      <w:pPr>
        <w:spacing w:line="276" w:lineRule="auto"/>
      </w:pPr>
      <w:r w:rsidRPr="00E72418">
        <w:t>Par une résolution du 24 décembre 2008, l’Assemblée générale des Nations Unies approuva la déclaration de Doha sur le financement du développement</w:t>
      </w:r>
      <w:r w:rsidR="003946DD" w:rsidRPr="00E72418">
        <w:t xml:space="preserve"> reprenant</w:t>
      </w:r>
      <w:r w:rsidRPr="00E72418">
        <w:t xml:space="preserve"> la préoccupation liée à la croissance et à l’ampleur des contentieux dili</w:t>
      </w:r>
      <w:r w:rsidR="00B41CCF" w:rsidRPr="00E72418">
        <w:t>gentés par des fonds spéculant</w:t>
      </w:r>
      <w:r w:rsidRPr="00E72418">
        <w:t xml:space="preserve"> sur les dettes souveraines. </w:t>
      </w:r>
      <w:r w:rsidR="003946DD" w:rsidRPr="00E72418">
        <w:t xml:space="preserve">Il y </w:t>
      </w:r>
      <w:r w:rsidR="00920724" w:rsidRPr="00E72418">
        <w:t>est</w:t>
      </w:r>
      <w:r w:rsidR="003946DD" w:rsidRPr="00E72418">
        <w:t xml:space="preserve"> notamment demandé</w:t>
      </w:r>
      <w:r w:rsidRPr="00E72418">
        <w:t xml:space="preserve"> aux </w:t>
      </w:r>
      <w:r w:rsidR="003946DD" w:rsidRPr="00E72418">
        <w:t>détenteurs de titres</w:t>
      </w:r>
      <w:r w:rsidRPr="00E72418">
        <w:t xml:space="preserve"> </w:t>
      </w:r>
      <w:r w:rsidR="003946DD" w:rsidRPr="00E72418">
        <w:t xml:space="preserve">sur les </w:t>
      </w:r>
      <w:r w:rsidR="003946DD" w:rsidRPr="00E72418">
        <w:rPr>
          <w:szCs w:val="24"/>
        </w:rPr>
        <w:t xml:space="preserve">États </w:t>
      </w:r>
      <w:r w:rsidR="003946DD" w:rsidRPr="00E72418">
        <w:t xml:space="preserve">bénéficiant de l’Initiative Pays Pauvres Très Endettés </w:t>
      </w:r>
      <w:r w:rsidRPr="00E72418">
        <w:t xml:space="preserve">de ne pas </w:t>
      </w:r>
      <w:r w:rsidR="003946DD" w:rsidRPr="00E72418">
        <w:t xml:space="preserve">les </w:t>
      </w:r>
      <w:r w:rsidRPr="00E72418">
        <w:t>vendre à des créanciers qui ne participeraient pas de manière adéquat</w:t>
      </w:r>
      <w:r w:rsidR="003946DD" w:rsidRPr="00E72418">
        <w:t>e aux efforts d’allègement des</w:t>
      </w:r>
      <w:r w:rsidRPr="00E72418">
        <w:t xml:space="preserve"> dette</w:t>
      </w:r>
      <w:r w:rsidR="003946DD" w:rsidRPr="00E72418">
        <w:t>s</w:t>
      </w:r>
      <w:r w:rsidRPr="00E72418">
        <w:rPr>
          <w:rStyle w:val="Appelnotedebasdep"/>
        </w:rPr>
        <w:footnoteReference w:id="775"/>
      </w:r>
      <w:r w:rsidR="00436A81" w:rsidRPr="00E72418">
        <w:rPr>
          <w:vertAlign w:val="superscript"/>
        </w:rPr>
        <w:t>,</w:t>
      </w:r>
      <w:r w:rsidRPr="00E72418">
        <w:rPr>
          <w:rStyle w:val="Appelnotedebasdep"/>
        </w:rPr>
        <w:footnoteReference w:id="776"/>
      </w:r>
      <w:r w:rsidRPr="00E72418">
        <w:t>.</w:t>
      </w:r>
      <w:r w:rsidR="000E0D3F" w:rsidRPr="00E72418">
        <w:t xml:space="preserve"> Dans des résolutions portant sur la soutenabilité de la dette extérieure et le développement, l’Assemblée indique clairement être « consciente des préoccupations que suscite le contentieux lié aux fonds vautours »</w:t>
      </w:r>
      <w:r w:rsidR="000E0D3F" w:rsidRPr="00E72418">
        <w:rPr>
          <w:rStyle w:val="Appelnotedebasdep"/>
        </w:rPr>
        <w:footnoteReference w:id="777"/>
      </w:r>
      <w:r w:rsidR="000E0D3F" w:rsidRPr="00E72418">
        <w:t>.</w:t>
      </w:r>
    </w:p>
    <w:p w14:paraId="6299062C" w14:textId="77777777" w:rsidR="00B45C7B" w:rsidRPr="00E72418" w:rsidRDefault="00B45C7B" w:rsidP="00CC4BA8">
      <w:pPr>
        <w:spacing w:line="276" w:lineRule="auto"/>
      </w:pPr>
      <w:r w:rsidRPr="00E72418">
        <w:t>Les</w:t>
      </w:r>
      <w:r w:rsidR="00B41CCF" w:rsidRPr="00E72418">
        <w:t xml:space="preserve"> activités des fonds spéculant</w:t>
      </w:r>
      <w:r w:rsidRPr="00E72418">
        <w:t xml:space="preserve"> sur les dettes souveraines sont clairement épinglées dans la résolution de l’Assemblée générale des Nations Unies </w:t>
      </w:r>
      <w:r w:rsidR="00920724" w:rsidRPr="00E72418">
        <w:t xml:space="preserve">de 2014 </w:t>
      </w:r>
      <w:r w:rsidRPr="00E72418">
        <w:t>sur l’établissement d’un cadre juridique multilatéral applicable aux opérations de restructuration de la dette souveraine</w:t>
      </w:r>
      <w:r w:rsidRPr="00E72418">
        <w:rPr>
          <w:rStyle w:val="Appelnotedebasdep"/>
        </w:rPr>
        <w:footnoteReference w:id="778"/>
      </w:r>
      <w:r w:rsidRPr="00E72418">
        <w:t>. Il y est relevé que « les efforts que déploie tout État aux fins de restructurer sa dette souveraine ne sauraient être contrariés ou gênés par des créanciers opérant aux conditions du marché, notamment des fonds de placement spécialisés tels que les fonds spéculatifs, qui se livreraient, à des fins de spéculation, à des achats sur le marché secondaire de titres de sa dette sinistrée assortis d’une forte décote, en vue d’en obtenir le remboursement intégral par voie de justice »</w:t>
      </w:r>
      <w:r w:rsidRPr="00E72418">
        <w:rPr>
          <w:rStyle w:val="Appelnotedebasdep"/>
          <w:rFonts w:cs="Times New Roman"/>
        </w:rPr>
        <w:footnoteReference w:id="779"/>
      </w:r>
      <w:r w:rsidRPr="00E72418">
        <w:t>.</w:t>
      </w:r>
    </w:p>
    <w:p w14:paraId="238EB6D4" w14:textId="77777777" w:rsidR="00B45C7B" w:rsidRPr="00E72418" w:rsidRDefault="00920724" w:rsidP="00CC4BA8">
      <w:pPr>
        <w:spacing w:line="276" w:lineRule="auto"/>
      </w:pPr>
      <w:r w:rsidRPr="00E72418">
        <w:rPr>
          <w:szCs w:val="24"/>
        </w:rPr>
        <w:t>Finalement encore, d</w:t>
      </w:r>
      <w:r w:rsidR="00B45C7B" w:rsidRPr="00E72418">
        <w:rPr>
          <w:szCs w:val="24"/>
        </w:rPr>
        <w:t xml:space="preserve">ans son importante résolution </w:t>
      </w:r>
      <w:r w:rsidR="00B45C7B" w:rsidRPr="00E72418">
        <w:t xml:space="preserve">sur les principes fondamentaux des opérations de restructuration de la dette souveraine de 2015, l’Assemblée générale des Nations </w:t>
      </w:r>
      <w:r w:rsidR="00B45C7B" w:rsidRPr="00E72418">
        <w:lastRenderedPageBreak/>
        <w:t>Unies fai</w:t>
      </w:r>
      <w:r w:rsidR="00B41CCF" w:rsidRPr="00E72418">
        <w:t>t allusion aux fonds spéculant</w:t>
      </w:r>
      <w:r w:rsidR="00B45C7B" w:rsidRPr="00E72418">
        <w:t xml:space="preserve"> sur les dettes souveraines et entend que leurs activités soient appréhendées</w:t>
      </w:r>
      <w:r w:rsidR="00B45C7B" w:rsidRPr="00E72418">
        <w:rPr>
          <w:rStyle w:val="Appelnotedebasdep"/>
        </w:rPr>
        <w:footnoteReference w:id="780"/>
      </w:r>
      <w:r w:rsidR="00B45C7B" w:rsidRPr="00E72418">
        <w:t xml:space="preserve">. Ainsi, le premier principe fondamental posé est que « </w:t>
      </w:r>
      <w:r w:rsidR="00B45C7B" w:rsidRPr="00E72418">
        <w:rPr>
          <w:rFonts w:ascii="Times New Roman" w:hAnsi="Times New Roman"/>
        </w:rPr>
        <w:t>[t]</w:t>
      </w:r>
      <w:r w:rsidR="00B45C7B" w:rsidRPr="00E72418">
        <w:t>out État souverain a le droit, dans l’exercice de son pouvoir discrétionnaire, d’élaborer sa politique macroéconomique, et notamment de restructurer sa dette souveraine, droit dont nulle mesure abusive ne saurait empêcher ou gêner l’exercice ».</w:t>
      </w:r>
    </w:p>
    <w:p w14:paraId="3508AB9F" w14:textId="77777777" w:rsidR="00B45C7B" w:rsidRPr="00E72418" w:rsidRDefault="00B45C7B" w:rsidP="0054314B">
      <w:pPr>
        <w:rPr>
          <w:highlight w:val="green"/>
        </w:rPr>
      </w:pPr>
    </w:p>
    <w:p w14:paraId="28ACCCFA" w14:textId="3F3C6AE0" w:rsidR="00B45C7B" w:rsidRPr="00E72418" w:rsidRDefault="007F038F" w:rsidP="00CC4BA8">
      <w:pPr>
        <w:spacing w:line="276" w:lineRule="auto"/>
        <w:rPr>
          <w:rFonts w:ascii="Times New Roman" w:hAnsi="Times New Roman"/>
        </w:rPr>
      </w:pPr>
      <w:r w:rsidRPr="00E72418">
        <w:rPr>
          <w:b/>
        </w:rPr>
        <w:t>145</w:t>
      </w:r>
      <w:r w:rsidR="007E31CD" w:rsidRPr="00E72418">
        <w:rPr>
          <w:b/>
        </w:rPr>
        <w:t xml:space="preserve">. </w:t>
      </w:r>
      <w:r w:rsidR="00B45C7B" w:rsidRPr="00E72418">
        <w:rPr>
          <w:b/>
        </w:rPr>
        <w:t>La mobilisation du Conseil des droits de l’homme</w:t>
      </w:r>
      <w:r w:rsidR="00B45C7B" w:rsidRPr="00E72418">
        <w:t xml:space="preserve"> </w:t>
      </w:r>
      <w:r w:rsidR="00B45C7B" w:rsidRPr="00E72418">
        <w:rPr>
          <w:b/>
        </w:rPr>
        <w:t>–</w:t>
      </w:r>
      <w:r w:rsidR="00B45C7B" w:rsidRPr="00E72418">
        <w:t xml:space="preserve"> En 2014, le Conseil des droits de l’homme des Nations Unies a adopté un</w:t>
      </w:r>
      <w:r w:rsidR="00920724" w:rsidRPr="00E72418">
        <w:t>e résolution intitulée « E</w:t>
      </w:r>
      <w:r w:rsidR="00B45C7B" w:rsidRPr="00E72418">
        <w:t xml:space="preserve">ffets de la dette extérieure et des obligations financières internationales connexes des </w:t>
      </w:r>
      <w:r w:rsidR="007B23A7" w:rsidRPr="00E72418">
        <w:t>É</w:t>
      </w:r>
      <w:r w:rsidR="00B45C7B" w:rsidRPr="00E72418">
        <w:t>tats sur le plein exercice de tous les droits de l’homme, en particulier des droits économiques, sociaux et culturels : activités des fonds rapaces »</w:t>
      </w:r>
      <w:r w:rsidR="00B45C7B" w:rsidRPr="00E72418">
        <w:rPr>
          <w:rStyle w:val="Appelnotedebasdep"/>
          <w:rFonts w:cs="Times New Roman"/>
          <w:szCs w:val="24"/>
        </w:rPr>
        <w:footnoteReference w:id="781"/>
      </w:r>
      <w:r w:rsidR="00B45C7B" w:rsidRPr="00E72418">
        <w:t>. Il y explique que « les fonds rapaces, par la voie judiciaire et par d’autres moyens, obligent les pays endettés à détourner des ressources financières dégagées par l’annulation</w:t>
      </w:r>
      <w:r w:rsidR="00290740" w:rsidRPr="00E72418">
        <w:t xml:space="preserve"> de la dette et réduisent l’allè</w:t>
      </w:r>
      <w:r w:rsidR="00B45C7B" w:rsidRPr="00E72418">
        <w:t>gement de la dette de ces pays, ou atténuent les effets positifs qui peuvent en résulter, ce qui compromet la capacité des gouvernements de garantir le plein exercice des droits fondamentaux de la population »</w:t>
      </w:r>
      <w:r w:rsidR="00B45C7B" w:rsidRPr="00E72418">
        <w:rPr>
          <w:rStyle w:val="Appelnotedebasdep"/>
        </w:rPr>
        <w:footnoteReference w:id="782"/>
      </w:r>
      <w:r w:rsidR="00B45C7B" w:rsidRPr="00E72418">
        <w:t xml:space="preserve">. Le Conseil des droits de l’homme </w:t>
      </w:r>
      <w:r w:rsidR="00B45C7B" w:rsidRPr="00E72418">
        <w:rPr>
          <w:iCs/>
        </w:rPr>
        <w:t xml:space="preserve">condamne </w:t>
      </w:r>
      <w:r w:rsidR="00B45C7B" w:rsidRPr="00E72418">
        <w:t>les</w:t>
      </w:r>
      <w:r w:rsidR="00B41CCF" w:rsidRPr="00E72418">
        <w:t xml:space="preserve"> activités des fonds spéculant</w:t>
      </w:r>
      <w:r w:rsidR="00B45C7B" w:rsidRPr="00E72418">
        <w:t xml:space="preserve"> sur les dettes souveraines en raison des incidences négatives directes que le règlement des créances qu’ils détiennent peut avoir sur la capacité des États débiteurs de s’acquitter de leurs obligations en matière de droits de l’homme</w:t>
      </w:r>
      <w:r w:rsidR="00B45C7B" w:rsidRPr="00E72418">
        <w:rPr>
          <w:rStyle w:val="Appelnotedebasdep"/>
        </w:rPr>
        <w:footnoteReference w:id="783"/>
      </w:r>
      <w:r w:rsidR="00B45C7B" w:rsidRPr="00E72418">
        <w:t>. É</w:t>
      </w:r>
      <w:r w:rsidR="00B45C7B" w:rsidRPr="00E72418">
        <w:rPr>
          <w:rFonts w:ascii="Times New Roman" w:hAnsi="Times New Roman"/>
        </w:rPr>
        <w:t xml:space="preserve">pinglant l’atteinte portée par les activités des fonds vautours à l’exercice des droits de l’homme dans les </w:t>
      </w:r>
      <w:r w:rsidR="00B45C7B" w:rsidRPr="00E72418">
        <w:t>É</w:t>
      </w:r>
      <w:r w:rsidR="00B45C7B" w:rsidRPr="00E72418">
        <w:rPr>
          <w:rFonts w:ascii="Times New Roman" w:hAnsi="Times New Roman"/>
        </w:rPr>
        <w:t xml:space="preserve">tats débiteurs, le Conseil des droits de l’homme </w:t>
      </w:r>
      <w:r w:rsidR="00920724" w:rsidRPr="00E72418">
        <w:rPr>
          <w:rFonts w:ascii="Times New Roman" w:hAnsi="Times New Roman"/>
        </w:rPr>
        <w:t xml:space="preserve">des Nations Unies </w:t>
      </w:r>
      <w:r w:rsidR="00B45C7B" w:rsidRPr="00E72418">
        <w:rPr>
          <w:rFonts w:ascii="Times New Roman" w:hAnsi="Times New Roman"/>
        </w:rPr>
        <w:t xml:space="preserve">demande aux </w:t>
      </w:r>
      <w:r w:rsidR="00B45C7B" w:rsidRPr="00E72418">
        <w:t>É</w:t>
      </w:r>
      <w:r w:rsidR="00B45C7B" w:rsidRPr="00E72418">
        <w:rPr>
          <w:rFonts w:ascii="Times New Roman" w:hAnsi="Times New Roman"/>
        </w:rPr>
        <w:t>tats d’envisager la mise en place de cadre</w:t>
      </w:r>
      <w:r w:rsidR="00920724" w:rsidRPr="00E72418">
        <w:rPr>
          <w:rFonts w:ascii="Times New Roman" w:hAnsi="Times New Roman"/>
        </w:rPr>
        <w:t>s</w:t>
      </w:r>
      <w:r w:rsidR="00B45C7B" w:rsidRPr="00E72418">
        <w:rPr>
          <w:rFonts w:ascii="Times New Roman" w:hAnsi="Times New Roman"/>
        </w:rPr>
        <w:t xml:space="preserve"> juridiques permettant de restreindre ces activités dans leur juridiction</w:t>
      </w:r>
      <w:r w:rsidR="00B45C7B" w:rsidRPr="00E72418">
        <w:rPr>
          <w:rStyle w:val="Appelnotedebasdep"/>
          <w:rFonts w:ascii="Times New Roman" w:hAnsi="Times New Roman" w:cs="Times New Roman"/>
          <w:szCs w:val="24"/>
        </w:rPr>
        <w:footnoteReference w:id="784"/>
      </w:r>
      <w:r w:rsidR="00B45C7B" w:rsidRPr="00E72418">
        <w:rPr>
          <w:rFonts w:ascii="Times New Roman" w:hAnsi="Times New Roman"/>
        </w:rPr>
        <w:t>.</w:t>
      </w:r>
    </w:p>
    <w:p w14:paraId="4C682938" w14:textId="77777777" w:rsidR="00BD0EC2" w:rsidRPr="00E72418" w:rsidRDefault="00BD0EC2" w:rsidP="0054314B"/>
    <w:p w14:paraId="667AC522" w14:textId="77777777" w:rsidR="00486978" w:rsidRDefault="00486978">
      <w:pPr>
        <w:jc w:val="left"/>
        <w:rPr>
          <w:rFonts w:eastAsiaTheme="majorEastAsia" w:cstheme="majorBidi"/>
          <w:b/>
          <w:sz w:val="32"/>
          <w:szCs w:val="24"/>
          <w:u w:val="single"/>
        </w:rPr>
      </w:pPr>
      <w:bookmarkStart w:id="172" w:name="_Toc59280922"/>
      <w:bookmarkStart w:id="173" w:name="_Toc75106088"/>
      <w:bookmarkStart w:id="174" w:name="_Toc84540910"/>
      <w:r>
        <w:br w:type="page"/>
      </w:r>
    </w:p>
    <w:p w14:paraId="28D4F53E" w14:textId="2F12274F" w:rsidR="00B45C7B" w:rsidRPr="00E72418" w:rsidRDefault="000764CE" w:rsidP="00CC4BA8">
      <w:pPr>
        <w:pStyle w:val="CC"/>
        <w:spacing w:line="276" w:lineRule="auto"/>
      </w:pPr>
      <w:r w:rsidRPr="00E72418">
        <w:lastRenderedPageBreak/>
        <w:t xml:space="preserve">Chapitre 5 : </w:t>
      </w:r>
      <w:r w:rsidR="00B45C7B" w:rsidRPr="00E72418">
        <w:t>Les reproches</w:t>
      </w:r>
      <w:bookmarkEnd w:id="172"/>
      <w:bookmarkEnd w:id="173"/>
      <w:bookmarkEnd w:id="174"/>
    </w:p>
    <w:p w14:paraId="0CD11BA0" w14:textId="77777777" w:rsidR="00B45C7B" w:rsidRPr="00E72418" w:rsidRDefault="00B45C7B" w:rsidP="0054314B"/>
    <w:p w14:paraId="4D1D8345" w14:textId="4EF43566" w:rsidR="00B45C7B" w:rsidRPr="00E72418" w:rsidRDefault="007F038F" w:rsidP="00CC4BA8">
      <w:pPr>
        <w:spacing w:line="276" w:lineRule="auto"/>
        <w:rPr>
          <w:shd w:val="clear" w:color="auto" w:fill="FFFFFF"/>
        </w:rPr>
      </w:pPr>
      <w:r w:rsidRPr="00E72418">
        <w:rPr>
          <w:b/>
        </w:rPr>
        <w:t>146</w:t>
      </w:r>
      <w:r w:rsidR="007E31CD" w:rsidRPr="00E72418">
        <w:rPr>
          <w:b/>
        </w:rPr>
        <w:t xml:space="preserve">. </w:t>
      </w:r>
      <w:r w:rsidR="00B45C7B" w:rsidRPr="00E72418">
        <w:rPr>
          <w:b/>
        </w:rPr>
        <w:t>De très nombreuses critiques –</w:t>
      </w:r>
      <w:r w:rsidR="00B45C7B" w:rsidRPr="00E72418">
        <w:t xml:space="preserve"> Depuis leur apparition, les fonds investissant et spéculant sur les dettes souveraines sont vertement critiqués et affublés du sobriquet de « fonds vautours ». Ils </w:t>
      </w:r>
      <w:r w:rsidR="00B45C7B" w:rsidRPr="00E72418">
        <w:rPr>
          <w:bCs/>
        </w:rPr>
        <w:t>essuient</w:t>
      </w:r>
      <w:r w:rsidR="006B6331" w:rsidRPr="00E72418">
        <w:rPr>
          <w:bCs/>
        </w:rPr>
        <w:t xml:space="preserve"> la bronca de leurs détracteurs</w:t>
      </w:r>
      <w:r w:rsidR="00B45C7B" w:rsidRPr="00E72418">
        <w:rPr>
          <w:bCs/>
        </w:rPr>
        <w:t xml:space="preserve"> politiques, académiques et civils, qui stigmatisent l’immoralité de leur comportement et leurs conséquences négatives</w:t>
      </w:r>
      <w:r w:rsidR="00B45C7B" w:rsidRPr="00E72418">
        <w:rPr>
          <w:rStyle w:val="Appelnotedebasdep"/>
          <w:bCs/>
          <w:szCs w:val="24"/>
        </w:rPr>
        <w:footnoteReference w:id="785"/>
      </w:r>
      <w:r w:rsidR="00B45C7B" w:rsidRPr="00E72418">
        <w:rPr>
          <w:bCs/>
        </w:rPr>
        <w:t xml:space="preserve">. </w:t>
      </w:r>
      <w:r w:rsidR="00B45C7B" w:rsidRPr="00E72418">
        <w:t xml:space="preserve">Les propos de </w:t>
      </w:r>
      <w:r w:rsidR="005E2676" w:rsidRPr="00E72418">
        <w:t>Gordon</w:t>
      </w:r>
      <w:r w:rsidR="00B45C7B" w:rsidRPr="00E72418">
        <w:t xml:space="preserve"> Brown, ancien Premier ministre du Royaume-Uni, sont souvent cités afin d’illustrer la défiance à l’égard de ces fonds : « </w:t>
      </w:r>
      <w:r w:rsidR="00B45C7B" w:rsidRPr="00E72418">
        <w:rPr>
          <w:shd w:val="clear" w:color="auto" w:fill="FFFFFF"/>
        </w:rPr>
        <w:t xml:space="preserve">We particularly condemn the perversity where vulture funds purchase debt at a reduced price and make a profit from suing the debtor country to recover </w:t>
      </w:r>
      <w:r w:rsidR="002F4499" w:rsidRPr="00E72418">
        <w:rPr>
          <w:shd w:val="clear" w:color="auto" w:fill="FFFFFF"/>
        </w:rPr>
        <w:t xml:space="preserve">the full amount owed </w:t>
      </w:r>
      <w:r w:rsidR="002F4499" w:rsidRPr="00E72418">
        <w:rPr>
          <w:b/>
        </w:rPr>
        <w:t>–</w:t>
      </w:r>
      <w:r w:rsidR="00B45C7B" w:rsidRPr="00E72418">
        <w:rPr>
          <w:shd w:val="clear" w:color="auto" w:fill="FFFFFF"/>
        </w:rPr>
        <w:t xml:space="preserve"> a morally outrageous outcome. </w:t>
      </w:r>
      <w:r w:rsidR="00B45C7B" w:rsidRPr="00E72418">
        <w:rPr>
          <w:rFonts w:ascii="Times New Roman" w:hAnsi="Times New Roman"/>
        </w:rPr>
        <w:t>[…]</w:t>
      </w:r>
      <w:r w:rsidR="00B45C7B" w:rsidRPr="00E72418">
        <w:rPr>
          <w:shd w:val="clear" w:color="auto" w:fill="FFFFFF"/>
        </w:rPr>
        <w:t xml:space="preserve"> </w:t>
      </w:r>
      <w:r w:rsidR="00B45C7B" w:rsidRPr="00E72418">
        <w:t>»</w:t>
      </w:r>
      <w:r w:rsidR="00B45C7B" w:rsidRPr="00E72418">
        <w:rPr>
          <w:rStyle w:val="Appelnotedebasdep"/>
          <w:rFonts w:cs="Times New Roman"/>
          <w:szCs w:val="24"/>
          <w:shd w:val="clear" w:color="auto" w:fill="FFFFFF"/>
        </w:rPr>
        <w:footnoteReference w:id="786"/>
      </w:r>
      <w:r w:rsidR="00B45C7B" w:rsidRPr="00E72418">
        <w:rPr>
          <w:shd w:val="clear" w:color="auto" w:fill="FFFFFF"/>
        </w:rPr>
        <w:t>.</w:t>
      </w:r>
    </w:p>
    <w:p w14:paraId="0041C61D" w14:textId="2648A74A" w:rsidR="00B45C7B" w:rsidRDefault="00B45C7B" w:rsidP="00CC4BA8">
      <w:pPr>
        <w:spacing w:line="276" w:lineRule="auto"/>
        <w:rPr>
          <w:shd w:val="clear" w:color="auto" w:fill="FFFFFF"/>
        </w:rPr>
      </w:pPr>
      <w:r w:rsidRPr="00E72418">
        <w:rPr>
          <w:shd w:val="clear" w:color="auto" w:fill="FFFFFF"/>
        </w:rPr>
        <w:t>Si la critique du profit immoral est la plus fréquemment formulée</w:t>
      </w:r>
      <w:r w:rsidR="007A0127" w:rsidRPr="00E72418">
        <w:rPr>
          <w:shd w:val="clear" w:color="auto" w:fill="FFFFFF"/>
        </w:rPr>
        <w:t xml:space="preserve"> (</w:t>
      </w:r>
      <w:r w:rsidR="007A0127" w:rsidRPr="00E72418">
        <w:rPr>
          <w:b/>
          <w:shd w:val="clear" w:color="auto" w:fill="FFFFFF"/>
        </w:rPr>
        <w:t>section 1</w:t>
      </w:r>
      <w:r w:rsidR="007A0127" w:rsidRPr="00E72418">
        <w:rPr>
          <w:shd w:val="clear" w:color="auto" w:fill="FFFFFF"/>
        </w:rPr>
        <w:t>)</w:t>
      </w:r>
      <w:r w:rsidRPr="00E72418">
        <w:rPr>
          <w:shd w:val="clear" w:color="auto" w:fill="FFFFFF"/>
        </w:rPr>
        <w:t>, les activités des fonds spéculatifs sont également décriées pour le risque qu’elles font courir aux restructurations</w:t>
      </w:r>
      <w:r w:rsidR="007A0127" w:rsidRPr="00E72418">
        <w:rPr>
          <w:shd w:val="clear" w:color="auto" w:fill="FFFFFF"/>
        </w:rPr>
        <w:t xml:space="preserve"> (</w:t>
      </w:r>
      <w:r w:rsidR="007A0127" w:rsidRPr="00E72418">
        <w:rPr>
          <w:b/>
          <w:shd w:val="clear" w:color="auto" w:fill="FFFFFF"/>
        </w:rPr>
        <w:t>section 2</w:t>
      </w:r>
      <w:r w:rsidR="007A0127" w:rsidRPr="00E72418">
        <w:rPr>
          <w:shd w:val="clear" w:color="auto" w:fill="FFFFFF"/>
        </w:rPr>
        <w:t>). Celles-ci sont</w:t>
      </w:r>
      <w:r w:rsidRPr="00E72418">
        <w:rPr>
          <w:shd w:val="clear" w:color="auto" w:fill="FFFFFF"/>
        </w:rPr>
        <w:t xml:space="preserve"> entreprises par les </w:t>
      </w:r>
      <w:r w:rsidRPr="00E72418">
        <w:rPr>
          <w:szCs w:val="24"/>
        </w:rPr>
        <w:t>É</w:t>
      </w:r>
      <w:r w:rsidRPr="00E72418">
        <w:rPr>
          <w:shd w:val="clear" w:color="auto" w:fill="FFFFFF"/>
        </w:rPr>
        <w:t xml:space="preserve">tats débiteurs afin de parvenir à une </w:t>
      </w:r>
      <w:r w:rsidR="006B6331" w:rsidRPr="00E72418">
        <w:rPr>
          <w:shd w:val="clear" w:color="auto" w:fill="FFFFFF"/>
        </w:rPr>
        <w:t>situation</w:t>
      </w:r>
      <w:r w:rsidRPr="00E72418">
        <w:rPr>
          <w:shd w:val="clear" w:color="auto" w:fill="FFFFFF"/>
        </w:rPr>
        <w:t xml:space="preserve"> où le service de leur dette n’est plus de nature à interférer négativement avec leurs</w:t>
      </w:r>
      <w:r w:rsidR="006B6331" w:rsidRPr="00E72418">
        <w:rPr>
          <w:shd w:val="clear" w:color="auto" w:fill="FFFFFF"/>
        </w:rPr>
        <w:t xml:space="preserve"> missions dont celle d’assurer le respect des droits fondamentaux de leur population.</w:t>
      </w:r>
      <w:r w:rsidR="007A0127" w:rsidRPr="00E72418">
        <w:rPr>
          <w:shd w:val="clear" w:color="auto" w:fill="FFFFFF"/>
        </w:rPr>
        <w:t xml:space="preserve"> L’on reproche ainsi plus largement aux fonds étudiés de pertu</w:t>
      </w:r>
      <w:r w:rsidR="007429E8" w:rsidRPr="00E72418">
        <w:rPr>
          <w:shd w:val="clear" w:color="auto" w:fill="FFFFFF"/>
        </w:rPr>
        <w:t xml:space="preserve">rber le bon fonctionnement des </w:t>
      </w:r>
      <w:r w:rsidR="007429E8" w:rsidRPr="00E72418">
        <w:rPr>
          <w:rFonts w:cs="Times New Roman"/>
          <w:szCs w:val="20"/>
        </w:rPr>
        <w:t>É</w:t>
      </w:r>
      <w:r w:rsidR="007A0127" w:rsidRPr="00E72418">
        <w:rPr>
          <w:shd w:val="clear" w:color="auto" w:fill="FFFFFF"/>
        </w:rPr>
        <w:t>tats auxquels ils s’attaquent (</w:t>
      </w:r>
      <w:r w:rsidR="007A0127" w:rsidRPr="00E72418">
        <w:rPr>
          <w:b/>
          <w:shd w:val="clear" w:color="auto" w:fill="FFFFFF"/>
        </w:rPr>
        <w:t>section 3</w:t>
      </w:r>
      <w:r w:rsidR="007A0127" w:rsidRPr="00E72418">
        <w:rPr>
          <w:shd w:val="clear" w:color="auto" w:fill="FFFFFF"/>
        </w:rPr>
        <w:t>).</w:t>
      </w:r>
    </w:p>
    <w:p w14:paraId="4C468D56" w14:textId="77777777" w:rsidR="00D70DFF" w:rsidRPr="00E72418" w:rsidRDefault="00D70DFF" w:rsidP="00CC4BA8">
      <w:pPr>
        <w:spacing w:line="276" w:lineRule="auto"/>
        <w:rPr>
          <w:shd w:val="clear" w:color="auto" w:fill="FFFFFF"/>
        </w:rPr>
      </w:pPr>
    </w:p>
    <w:p w14:paraId="718EDCA7" w14:textId="5C71BBE2" w:rsidR="00B45C7B" w:rsidRPr="00E72418" w:rsidRDefault="000764CE" w:rsidP="00CC4BA8">
      <w:pPr>
        <w:pStyle w:val="DD"/>
        <w:spacing w:line="276" w:lineRule="auto"/>
        <w:rPr>
          <w:shd w:val="clear" w:color="auto" w:fill="FFFFFF"/>
        </w:rPr>
      </w:pPr>
      <w:bookmarkStart w:id="175" w:name="_Toc59280923"/>
      <w:bookmarkStart w:id="176" w:name="_Toc84540911"/>
      <w:r w:rsidRPr="00E72418">
        <w:rPr>
          <w:shd w:val="clear" w:color="auto" w:fill="FFFFFF"/>
        </w:rPr>
        <w:t xml:space="preserve">Section 1 : </w:t>
      </w:r>
      <w:r w:rsidR="00B45C7B" w:rsidRPr="00E72418">
        <w:rPr>
          <w:shd w:val="clear" w:color="auto" w:fill="FFFFFF"/>
        </w:rPr>
        <w:t>Le profit immoral</w:t>
      </w:r>
      <w:bookmarkEnd w:id="175"/>
      <w:bookmarkEnd w:id="176"/>
    </w:p>
    <w:p w14:paraId="6C9A3988" w14:textId="77777777" w:rsidR="0054314B" w:rsidRPr="00E72418" w:rsidRDefault="0054314B" w:rsidP="0054314B">
      <w:pPr>
        <w:rPr>
          <w:shd w:val="clear" w:color="auto" w:fill="FFFFFF"/>
        </w:rPr>
      </w:pPr>
    </w:p>
    <w:p w14:paraId="618D715D" w14:textId="3C23F8A3" w:rsidR="00B45C7B" w:rsidRPr="00E72418" w:rsidRDefault="007F038F" w:rsidP="00CC4BA8">
      <w:pPr>
        <w:spacing w:line="276" w:lineRule="auto"/>
      </w:pPr>
      <w:r w:rsidRPr="00E72418">
        <w:rPr>
          <w:b/>
        </w:rPr>
        <w:t>147</w:t>
      </w:r>
      <w:r w:rsidR="007E31CD" w:rsidRPr="00E72418">
        <w:rPr>
          <w:b/>
        </w:rPr>
        <w:t xml:space="preserve">. </w:t>
      </w:r>
      <w:r w:rsidR="00B45C7B" w:rsidRPr="00E72418">
        <w:rPr>
          <w:b/>
        </w:rPr>
        <w:t>L’exploitation de la faiblesse –</w:t>
      </w:r>
      <w:r w:rsidR="006B6331" w:rsidRPr="00E72418">
        <w:t xml:space="preserve"> La critique la plus </w:t>
      </w:r>
      <w:r w:rsidR="007C3F47">
        <w:t>régulièrement</w:t>
      </w:r>
      <w:r w:rsidR="00B45C7B" w:rsidRPr="00E72418">
        <w:t xml:space="preserve"> </w:t>
      </w:r>
      <w:r w:rsidR="006B6331" w:rsidRPr="00E72418">
        <w:t>formulée à l’encontre des</w:t>
      </w:r>
      <w:r w:rsidR="00B41CCF" w:rsidRPr="00E72418">
        <w:t xml:space="preserve"> fonds spéculant</w:t>
      </w:r>
      <w:r w:rsidR="00B45C7B" w:rsidRPr="00E72418">
        <w:t xml:space="preserve"> sur les dettes souveraines est celle de leur immoralité. </w:t>
      </w:r>
      <w:r w:rsidR="006B6331" w:rsidRPr="00E72418">
        <w:t>D’aucuns</w:t>
      </w:r>
      <w:r w:rsidR="00B45C7B" w:rsidRPr="00E72418">
        <w:t xml:space="preserve"> pointe</w:t>
      </w:r>
      <w:r w:rsidR="006B6331" w:rsidRPr="00E72418">
        <w:t>nt</w:t>
      </w:r>
      <w:r w:rsidR="00B45C7B" w:rsidRPr="00E72418">
        <w:t xml:space="preserve"> l’argument moral de l’injustice de s’attaquer à de</w:t>
      </w:r>
      <w:r w:rsidR="006B6331" w:rsidRPr="00E72418">
        <w:t>s</w:t>
      </w:r>
      <w:r w:rsidR="00B45C7B" w:rsidRPr="00E72418">
        <w:t xml:space="preserve"> pauvres pays rendant leur situation encore plus difficile. Ainsi, comme cela fut souligné par les initiateurs de la loi belge visant à lutter contre ces fonds, « </w:t>
      </w:r>
      <w:r w:rsidR="00B45C7B" w:rsidRPr="00E72418">
        <w:rPr>
          <w:rFonts w:ascii="Times New Roman" w:hAnsi="Times New Roman"/>
        </w:rPr>
        <w:t>[l</w:t>
      </w:r>
      <w:r w:rsidR="002F747E">
        <w:rPr>
          <w:rFonts w:ascii="Times New Roman" w:hAnsi="Times New Roman"/>
        </w:rPr>
        <w:t>’</w:t>
      </w:r>
      <w:r w:rsidR="00B45C7B" w:rsidRPr="00E72418">
        <w:rPr>
          <w:rFonts w:ascii="Times New Roman" w:hAnsi="Times New Roman"/>
        </w:rPr>
        <w:t>]</w:t>
      </w:r>
      <w:r w:rsidR="00B45C7B" w:rsidRPr="00E72418">
        <w:t>action des fonds vautours est immorale</w:t>
      </w:r>
      <w:r w:rsidR="00B45C7B" w:rsidRPr="00E72418">
        <w:rPr>
          <w:rFonts w:ascii="Times New Roman" w:hAnsi="Times New Roman"/>
        </w:rPr>
        <w:t xml:space="preserve"> [</w:t>
      </w:r>
      <w:r w:rsidR="00B45C7B" w:rsidRPr="00E72418">
        <w:t>car ils</w:t>
      </w:r>
      <w:r w:rsidR="00B45C7B" w:rsidRPr="00E72418">
        <w:rPr>
          <w:rFonts w:ascii="Times New Roman" w:hAnsi="Times New Roman"/>
        </w:rPr>
        <w:t xml:space="preserve">] </w:t>
      </w:r>
      <w:r w:rsidR="00B45C7B" w:rsidRPr="00E72418">
        <w:t>profitent de la situation difficile d’États fortement endettés pour réaliser des profits démesurés par rapport à leur mise de fonds »</w:t>
      </w:r>
      <w:r w:rsidR="00B45C7B" w:rsidRPr="00E72418">
        <w:rPr>
          <w:rStyle w:val="Appelnotedebasdep"/>
          <w:rFonts w:cs="Times New Roman"/>
          <w:szCs w:val="24"/>
        </w:rPr>
        <w:footnoteReference w:id="787"/>
      </w:r>
      <w:r w:rsidR="00B45C7B" w:rsidRPr="00E72418">
        <w:t xml:space="preserve">. Dans le même sens, </w:t>
      </w:r>
      <w:r w:rsidR="00FA2584" w:rsidRPr="00E72418">
        <w:t xml:space="preserve">Sally </w:t>
      </w:r>
      <w:r w:rsidR="00B45C7B" w:rsidRPr="00E72418">
        <w:t xml:space="preserve">Keeble qui fut l’une des instigatrices de la loi britannique de 2010 notait que « </w:t>
      </w:r>
      <w:r w:rsidR="00B45C7B" w:rsidRPr="00E72418">
        <w:rPr>
          <w:rFonts w:ascii="Times New Roman" w:hAnsi="Times New Roman"/>
        </w:rPr>
        <w:t>[p]</w:t>
      </w:r>
      <w:r w:rsidR="00B45C7B" w:rsidRPr="00E72418">
        <w:t>rofiteering on the back of the debt of some of the poorest people in the world is perhaps the most objectionable activity of all »</w:t>
      </w:r>
      <w:r w:rsidR="00B45C7B" w:rsidRPr="00E72418">
        <w:rPr>
          <w:rStyle w:val="Appelnotedebasdep"/>
          <w:szCs w:val="24"/>
        </w:rPr>
        <w:footnoteReference w:id="788"/>
      </w:r>
      <w:r w:rsidR="00A454C3" w:rsidRPr="00E72418">
        <w:rPr>
          <w:vertAlign w:val="superscript"/>
        </w:rPr>
        <w:t>,</w:t>
      </w:r>
      <w:r w:rsidR="00B45C7B" w:rsidRPr="00E72418">
        <w:rPr>
          <w:rStyle w:val="Appelnotedebasdep"/>
        </w:rPr>
        <w:footnoteReference w:id="789"/>
      </w:r>
      <w:r w:rsidR="00B45C7B" w:rsidRPr="00E72418">
        <w:t xml:space="preserve">. </w:t>
      </w:r>
    </w:p>
    <w:p w14:paraId="0A42D5CE" w14:textId="79A284E2" w:rsidR="00B45C7B" w:rsidRPr="00E72418" w:rsidRDefault="00B45C7B" w:rsidP="00CC4BA8">
      <w:pPr>
        <w:spacing w:line="276" w:lineRule="auto"/>
      </w:pPr>
      <w:r w:rsidRPr="00E72418">
        <w:lastRenderedPageBreak/>
        <w:t xml:space="preserve">Le procédé suivi par les fonds spéculatifs, </w:t>
      </w:r>
      <w:r w:rsidR="006B6331" w:rsidRPr="00E72418">
        <w:t>lorsqu’</w:t>
      </w:r>
      <w:r w:rsidRPr="00E72418">
        <w:t xml:space="preserve">il ne </w:t>
      </w:r>
      <w:r w:rsidR="006B6331" w:rsidRPr="00E72418">
        <w:t>vise</w:t>
      </w:r>
      <w:r w:rsidRPr="00E72418">
        <w:t xml:space="preserve"> pas des </w:t>
      </w:r>
      <w:r w:rsidRPr="00E72418">
        <w:rPr>
          <w:szCs w:val="24"/>
        </w:rPr>
        <w:t>É</w:t>
      </w:r>
      <w:r w:rsidRPr="00E72418">
        <w:t xml:space="preserve">tats </w:t>
      </w:r>
      <w:r w:rsidR="006B6331" w:rsidRPr="00E72418">
        <w:t xml:space="preserve">totalement </w:t>
      </w:r>
      <w:r w:rsidRPr="00E72418">
        <w:t xml:space="preserve">exsangues, met en difficulté des </w:t>
      </w:r>
      <w:r w:rsidRPr="00E72418">
        <w:rPr>
          <w:rFonts w:cs="Times New Roman"/>
          <w:shd w:val="clear" w:color="auto" w:fill="FFFFFF"/>
        </w:rPr>
        <w:t>É</w:t>
      </w:r>
      <w:r w:rsidRPr="00E72418">
        <w:t>tats aux finances publiques parfois à peine rétablies, les con</w:t>
      </w:r>
      <w:r w:rsidR="006B6331" w:rsidRPr="00E72418">
        <w:t>traignant souvent à l’émission de nouvelles dettes</w:t>
      </w:r>
      <w:r w:rsidRPr="00E72418">
        <w:t xml:space="preserve"> et, partant, les exposant à de nouvelles poursuites. Ceci participe </w:t>
      </w:r>
      <w:r w:rsidR="006B6331" w:rsidRPr="00E72418">
        <w:t xml:space="preserve">d’un cercle vicieux confinant les </w:t>
      </w:r>
      <w:r w:rsidRPr="00E72418">
        <w:rPr>
          <w:szCs w:val="24"/>
        </w:rPr>
        <w:t>É</w:t>
      </w:r>
      <w:r w:rsidRPr="00E72418">
        <w:t>tat</w:t>
      </w:r>
      <w:r w:rsidR="006B6331" w:rsidRPr="00E72418">
        <w:t>s</w:t>
      </w:r>
      <w:r w:rsidRPr="00E72418">
        <w:t xml:space="preserve"> débiteur</w:t>
      </w:r>
      <w:r w:rsidR="006B6331" w:rsidRPr="00E72418">
        <w:t>s</w:t>
      </w:r>
      <w:r w:rsidRPr="00E72418">
        <w:t xml:space="preserve"> à une situation dont il</w:t>
      </w:r>
      <w:r w:rsidR="006B6331" w:rsidRPr="00E72418">
        <w:t>s auront</w:t>
      </w:r>
      <w:r w:rsidRPr="00E72418">
        <w:t xml:space="preserve"> du mal à s’extraire</w:t>
      </w:r>
      <w:r w:rsidRPr="00E72418">
        <w:rPr>
          <w:rStyle w:val="Appelnotedebasdep"/>
          <w:szCs w:val="24"/>
        </w:rPr>
        <w:footnoteReference w:id="790"/>
      </w:r>
      <w:r w:rsidRPr="00E72418">
        <w:t xml:space="preserve">. </w:t>
      </w:r>
      <w:r w:rsidR="00915173" w:rsidRPr="00E72418">
        <w:t xml:space="preserve">Martin </w:t>
      </w:r>
      <w:r w:rsidR="006B6331" w:rsidRPr="00E72418">
        <w:t xml:space="preserve">Guzman </w:t>
      </w:r>
      <w:r w:rsidRPr="00E72418">
        <w:t xml:space="preserve">l’explique, </w:t>
      </w:r>
      <w:r w:rsidRPr="00E72418">
        <w:rPr>
          <w:rFonts w:cs="Times New Roman"/>
        </w:rPr>
        <w:t>le comportement des fonds spéculatifs « could </w:t>
      </w:r>
      <w:r w:rsidRPr="00E72418">
        <w:t xml:space="preserve">[…] lead to settlements with terms friendlier for bondholders </w:t>
      </w:r>
      <w:r w:rsidRPr="00E72418">
        <w:rPr>
          <w:rFonts w:ascii="PalatinoLTStd-Italic" w:hAnsi="PalatinoLTStd-Italic" w:cs="PalatinoLTStd-Italic"/>
          <w:i/>
          <w:iCs/>
        </w:rPr>
        <w:t xml:space="preserve">even if </w:t>
      </w:r>
      <w:r w:rsidRPr="00E72418">
        <w:t>those terms do not lead to the recovery of debt sustainability, putting more pressure on societies in distress »</w:t>
      </w:r>
      <w:r w:rsidRPr="00E72418">
        <w:rPr>
          <w:rStyle w:val="Appelnotedebasdep"/>
        </w:rPr>
        <w:footnoteReference w:id="791"/>
      </w:r>
      <w:r w:rsidRPr="00E72418">
        <w:t>.</w:t>
      </w:r>
    </w:p>
    <w:p w14:paraId="4110EB38" w14:textId="5C903526" w:rsidR="00B45C7B" w:rsidRDefault="00B45C7B" w:rsidP="00CC4BA8">
      <w:pPr>
        <w:spacing w:line="276" w:lineRule="auto"/>
      </w:pPr>
      <w:r w:rsidRPr="00E72418">
        <w:t>Le c</w:t>
      </w:r>
      <w:r w:rsidR="00652158" w:rsidRPr="00E72418">
        <w:t xml:space="preserve">ontraste entre la pauvreté des </w:t>
      </w:r>
      <w:r w:rsidRPr="00E72418">
        <w:rPr>
          <w:szCs w:val="24"/>
        </w:rPr>
        <w:t>É</w:t>
      </w:r>
      <w:r w:rsidRPr="00E72418">
        <w:t>tat</w:t>
      </w:r>
      <w:r w:rsidR="00652158" w:rsidRPr="00E72418">
        <w:t xml:space="preserve">s débiteurs attaqués </w:t>
      </w:r>
      <w:r w:rsidRPr="00E72418">
        <w:t xml:space="preserve">et la richesse des fonds spéculatifs, d’une part, la disproportion </w:t>
      </w:r>
      <w:r w:rsidR="00652158" w:rsidRPr="00E72418">
        <w:t>entre le</w:t>
      </w:r>
      <w:r w:rsidRPr="00E72418">
        <w:t xml:space="preserve"> gain recherché </w:t>
      </w:r>
      <w:r w:rsidR="00652158" w:rsidRPr="00E72418">
        <w:t>et</w:t>
      </w:r>
      <w:r w:rsidRPr="00E72418">
        <w:t xml:space="preserve"> l’investissement de départ,</w:t>
      </w:r>
      <w:r w:rsidR="00652158" w:rsidRPr="00E72418">
        <w:t xml:space="preserve"> d’autre part,</w:t>
      </w:r>
      <w:r w:rsidRPr="00E72418">
        <w:t xml:space="preserve"> participent également à l’argument de l’exploitation de la faiblesse</w:t>
      </w:r>
      <w:r w:rsidRPr="00E72418">
        <w:rPr>
          <w:rStyle w:val="Appelnotedebasdep"/>
          <w:rFonts w:ascii="Times New Roman" w:hAnsi="Times New Roman" w:cs="Times New Roman"/>
          <w:szCs w:val="24"/>
        </w:rPr>
        <w:footnoteReference w:id="792"/>
      </w:r>
      <w:r w:rsidRPr="00E72418">
        <w:t xml:space="preserve">. Finalement, l’exploitation reprochée aux fonds spéculatifs </w:t>
      </w:r>
      <w:r w:rsidR="00652158" w:rsidRPr="00E72418">
        <w:t>concerne encore</w:t>
      </w:r>
      <w:r w:rsidRPr="00E72418">
        <w:t xml:space="preserve"> le fréquent manque d’expertise et de financement des </w:t>
      </w:r>
      <w:r w:rsidRPr="00E72418">
        <w:rPr>
          <w:szCs w:val="24"/>
        </w:rPr>
        <w:t>É</w:t>
      </w:r>
      <w:r w:rsidRPr="00E72418">
        <w:t xml:space="preserve">tats débiteurs </w:t>
      </w:r>
      <w:r w:rsidR="00652158" w:rsidRPr="00E72418">
        <w:t>afin de pouvoir</w:t>
      </w:r>
      <w:r w:rsidRPr="00E72418">
        <w:t xml:space="preserve"> se défendre utilement</w:t>
      </w:r>
      <w:r w:rsidRPr="00E72418">
        <w:rPr>
          <w:rStyle w:val="Appelnotedebasdep"/>
        </w:rPr>
        <w:footnoteReference w:id="793"/>
      </w:r>
      <w:r w:rsidRPr="00E72418">
        <w:t>.</w:t>
      </w:r>
    </w:p>
    <w:p w14:paraId="2353D6D6" w14:textId="77777777" w:rsidR="00486978" w:rsidRPr="00E72418" w:rsidRDefault="00486978" w:rsidP="00CC4BA8">
      <w:pPr>
        <w:spacing w:line="276" w:lineRule="auto"/>
      </w:pPr>
    </w:p>
    <w:p w14:paraId="02C0FA80" w14:textId="67B8768D" w:rsidR="00B45C7B" w:rsidRPr="00E72418" w:rsidRDefault="00A9718E" w:rsidP="00CC4BA8">
      <w:pPr>
        <w:spacing w:line="276" w:lineRule="auto"/>
      </w:pPr>
      <w:r w:rsidRPr="00E72418">
        <w:rPr>
          <w:b/>
        </w:rPr>
        <w:t>14</w:t>
      </w:r>
      <w:r w:rsidR="007F038F" w:rsidRPr="00E72418">
        <w:rPr>
          <w:b/>
        </w:rPr>
        <w:t>8</w:t>
      </w:r>
      <w:r w:rsidR="007E31CD" w:rsidRPr="00E72418">
        <w:rPr>
          <w:b/>
        </w:rPr>
        <w:t xml:space="preserve">. </w:t>
      </w:r>
      <w:r w:rsidR="00652158" w:rsidRPr="00E72418">
        <w:rPr>
          <w:b/>
        </w:rPr>
        <w:t>D</w:t>
      </w:r>
      <w:r w:rsidR="00B45C7B" w:rsidRPr="00E72418">
        <w:rPr>
          <w:b/>
        </w:rPr>
        <w:t xml:space="preserve">es pratiques douteuses – </w:t>
      </w:r>
      <w:r w:rsidR="00B45C7B" w:rsidRPr="00E72418">
        <w:t>L’immoralité critiquée des fonds spéculatifs découle également de pratiques douteuses posées pour parvenir à leur fin.</w:t>
      </w:r>
      <w:r w:rsidR="00B45C7B" w:rsidRPr="00E72418">
        <w:rPr>
          <w:b/>
        </w:rPr>
        <w:t xml:space="preserve"> </w:t>
      </w:r>
      <w:r w:rsidR="00B45C7B" w:rsidRPr="00E72418">
        <w:t>Ainsi, par exemple, si l’on s’intéresse à la décision rendue par la High Court of Justice britannique</w:t>
      </w:r>
      <w:r w:rsidR="00B45C7B" w:rsidRPr="00E72418">
        <w:rPr>
          <w:i/>
        </w:rPr>
        <w:t xml:space="preserve"> </w:t>
      </w:r>
      <w:r w:rsidR="00B45C7B" w:rsidRPr="00E72418">
        <w:t xml:space="preserve">dans le contentieux ayant opposé la société </w:t>
      </w:r>
      <w:r w:rsidR="00B45C7B" w:rsidRPr="00E72418">
        <w:rPr>
          <w:i/>
        </w:rPr>
        <w:t>Donegal</w:t>
      </w:r>
      <w:r w:rsidR="00B45C7B" w:rsidRPr="00E72418">
        <w:t xml:space="preserve"> </w:t>
      </w:r>
      <w:r w:rsidR="00652158" w:rsidRPr="00E72418">
        <w:rPr>
          <w:i/>
        </w:rPr>
        <w:t>International Ltd.</w:t>
      </w:r>
      <w:r w:rsidR="00652158" w:rsidRPr="00E72418">
        <w:t xml:space="preserve"> </w:t>
      </w:r>
      <w:r w:rsidR="00B45C7B" w:rsidRPr="00E72418">
        <w:t xml:space="preserve">à la </w:t>
      </w:r>
      <w:r w:rsidR="00652158" w:rsidRPr="00E72418">
        <w:t xml:space="preserve">République de </w:t>
      </w:r>
      <w:r w:rsidR="00B45C7B" w:rsidRPr="00E72418">
        <w:t xml:space="preserve">Zambie, la juridiction y </w:t>
      </w:r>
      <w:r w:rsidR="00E76173" w:rsidRPr="00E72418">
        <w:t xml:space="preserve">relève </w:t>
      </w:r>
      <w:r w:rsidR="00B45C7B" w:rsidRPr="00E72418">
        <w:t>différentes pratiques critiquables</w:t>
      </w:r>
      <w:r w:rsidR="00B45C7B" w:rsidRPr="00E72418">
        <w:rPr>
          <w:rStyle w:val="Appelnotedebasdep"/>
        </w:rPr>
        <w:footnoteReference w:id="794"/>
      </w:r>
      <w:r w:rsidR="00B45C7B" w:rsidRPr="00E72418">
        <w:t>. Il y est notamment fait état de témoins « deliberately evasive and even dishonest »</w:t>
      </w:r>
      <w:r w:rsidR="00B45C7B" w:rsidRPr="00E72418">
        <w:rPr>
          <w:rStyle w:val="Appelnotedebasdep"/>
          <w:rFonts w:cs="Times New Roman"/>
          <w:szCs w:val="24"/>
        </w:rPr>
        <w:footnoteReference w:id="795"/>
      </w:r>
      <w:r w:rsidR="00B45C7B" w:rsidRPr="00E72418">
        <w:t>, de fonds qui « were deliberately withholding documents because they contradicted the case that they were seeking to advance »</w:t>
      </w:r>
      <w:r w:rsidR="00B45C7B" w:rsidRPr="00E72418">
        <w:rPr>
          <w:rStyle w:val="Appelnotedebasdep"/>
          <w:rFonts w:cs="Times New Roman"/>
          <w:szCs w:val="24"/>
        </w:rPr>
        <w:footnoteReference w:id="796"/>
      </w:r>
      <w:r w:rsidR="00B45C7B" w:rsidRPr="00E72418">
        <w:t xml:space="preserve">, ou encore de preuves </w:t>
      </w:r>
      <w:r w:rsidR="00B45C7B" w:rsidRPr="00E72418">
        <w:lastRenderedPageBreak/>
        <w:t>« vague and inconsistent »</w:t>
      </w:r>
      <w:r w:rsidR="00B45C7B" w:rsidRPr="00E72418">
        <w:rPr>
          <w:rStyle w:val="Appelnotedebasdep"/>
          <w:rFonts w:cs="Times New Roman"/>
          <w:szCs w:val="24"/>
        </w:rPr>
        <w:footnoteReference w:id="797"/>
      </w:r>
      <w:r w:rsidR="00652158" w:rsidRPr="00E72418">
        <w:t>. C</w:t>
      </w:r>
      <w:r w:rsidR="00B45C7B" w:rsidRPr="00E72418">
        <w:t xml:space="preserve">e conflit </w:t>
      </w:r>
      <w:r w:rsidR="00652158" w:rsidRPr="00E72418">
        <w:t>déclina également le reproche de la</w:t>
      </w:r>
      <w:r w:rsidR="00B45C7B" w:rsidRPr="00E72418">
        <w:t xml:space="preserve"> corruption à laquelle recourraient certains fonds spéculatifs</w:t>
      </w:r>
      <w:r w:rsidR="00B45C7B" w:rsidRPr="00E72418">
        <w:rPr>
          <w:rStyle w:val="Appelnotedebasdep"/>
        </w:rPr>
        <w:footnoteReference w:id="798"/>
      </w:r>
      <w:r w:rsidR="001B7DB4" w:rsidRPr="00E72418">
        <w:rPr>
          <w:vertAlign w:val="superscript"/>
        </w:rPr>
        <w:t>,</w:t>
      </w:r>
      <w:r w:rsidR="00652158" w:rsidRPr="00E72418">
        <w:rPr>
          <w:rStyle w:val="Appelnotedebasdep"/>
        </w:rPr>
        <w:footnoteReference w:id="799"/>
      </w:r>
      <w:r w:rsidR="001D22F5" w:rsidRPr="00E72418">
        <w:t>.</w:t>
      </w:r>
    </w:p>
    <w:p w14:paraId="4056A644" w14:textId="77777777" w:rsidR="00B45C7B" w:rsidRPr="00E72418" w:rsidRDefault="00B45C7B" w:rsidP="0054314B"/>
    <w:p w14:paraId="57354729" w14:textId="32A11E3F" w:rsidR="00B45C7B" w:rsidRPr="00E72418" w:rsidRDefault="007F038F" w:rsidP="00CC4BA8">
      <w:pPr>
        <w:spacing w:line="276" w:lineRule="auto"/>
        <w:rPr>
          <w:rFonts w:cs="Times New Roman"/>
          <w:szCs w:val="24"/>
        </w:rPr>
      </w:pPr>
      <w:r w:rsidRPr="00E72418">
        <w:rPr>
          <w:b/>
        </w:rPr>
        <w:t>149</w:t>
      </w:r>
      <w:r w:rsidR="007E31CD" w:rsidRPr="00E72418">
        <w:rPr>
          <w:b/>
        </w:rPr>
        <w:t xml:space="preserve">. </w:t>
      </w:r>
      <w:r w:rsidR="00B45C7B" w:rsidRPr="00E72418">
        <w:rPr>
          <w:b/>
        </w:rPr>
        <w:t>Le détournement de montants utiles –</w:t>
      </w:r>
      <w:r w:rsidR="00B45C7B" w:rsidRPr="00E72418">
        <w:t xml:space="preserve"> Les activités des fonds spéculatifs sont critiquées en ce qu’elles privent les </w:t>
      </w:r>
      <w:r w:rsidR="00B45C7B" w:rsidRPr="00E72418">
        <w:rPr>
          <w:szCs w:val="24"/>
        </w:rPr>
        <w:t>É</w:t>
      </w:r>
      <w:r w:rsidR="00B45C7B" w:rsidRPr="00E72418">
        <w:t>tats attaqués de ressources utiles. Les débiteurs</w:t>
      </w:r>
      <w:r w:rsidR="001D22F5" w:rsidRPr="00E72418">
        <w:t xml:space="preserve"> souverains,</w:t>
      </w:r>
      <w:r w:rsidR="00B45C7B" w:rsidRPr="00E72418">
        <w:t xml:space="preserve"> proies de ces fonds</w:t>
      </w:r>
      <w:r w:rsidR="001D22F5" w:rsidRPr="00E72418">
        <w:t>,</w:t>
      </w:r>
      <w:r w:rsidR="00B45C7B" w:rsidRPr="00E72418">
        <w:t xml:space="preserve"> voient leurs finances potentiellement amputées des prétentions desdits fonds auxquelles s’ajoutent les importants coûts de défense imposés par les démarches et les procédures, là où les montants poursuivis paraissent essentiels au bien-être de leur population. </w:t>
      </w:r>
      <w:r w:rsidR="00B45C7B" w:rsidRPr="00E72418">
        <w:rPr>
          <w:rFonts w:cs="Times New Roman"/>
        </w:rPr>
        <w:t xml:space="preserve">Les </w:t>
      </w:r>
      <w:r w:rsidR="00B45C7B" w:rsidRPr="00E72418">
        <w:rPr>
          <w:szCs w:val="24"/>
        </w:rPr>
        <w:t>É</w:t>
      </w:r>
      <w:r w:rsidR="00B45C7B" w:rsidRPr="00E72418">
        <w:rPr>
          <w:rFonts w:cs="Times New Roman"/>
        </w:rPr>
        <w:t xml:space="preserve">tats attaqués connaissant généralement des situations sociale et sanitaire </w:t>
      </w:r>
      <w:r w:rsidR="001D22F5" w:rsidRPr="00E72418">
        <w:rPr>
          <w:rFonts w:cs="Times New Roman"/>
        </w:rPr>
        <w:t xml:space="preserve">difficiles, les conséquences négatives </w:t>
      </w:r>
      <w:r w:rsidR="00B45C7B" w:rsidRPr="00E72418">
        <w:rPr>
          <w:rFonts w:cs="Times New Roman"/>
        </w:rPr>
        <w:t xml:space="preserve">du détournement de montants utiles </w:t>
      </w:r>
      <w:r w:rsidR="001D22F5" w:rsidRPr="00E72418">
        <w:rPr>
          <w:rFonts w:cs="Times New Roman"/>
        </w:rPr>
        <w:t>sont</w:t>
      </w:r>
      <w:r w:rsidR="00B45C7B" w:rsidRPr="00E72418">
        <w:rPr>
          <w:rFonts w:cs="Times New Roman"/>
        </w:rPr>
        <w:t xml:space="preserve"> d’autant plus important</w:t>
      </w:r>
      <w:r w:rsidR="001D22F5" w:rsidRPr="00E72418">
        <w:rPr>
          <w:rFonts w:cs="Times New Roman"/>
        </w:rPr>
        <w:t>es</w:t>
      </w:r>
      <w:r w:rsidR="00B45C7B" w:rsidRPr="00E72418">
        <w:rPr>
          <w:rStyle w:val="Appelnotedebasdep"/>
          <w:rFonts w:cs="Times New Roman"/>
        </w:rPr>
        <w:footnoteReference w:id="800"/>
      </w:r>
      <w:r w:rsidR="00B45C7B" w:rsidRPr="00E72418">
        <w:rPr>
          <w:rFonts w:cs="Times New Roman"/>
        </w:rPr>
        <w:t>.</w:t>
      </w:r>
    </w:p>
    <w:p w14:paraId="5144C6B9" w14:textId="273AD018" w:rsidR="00C72A19" w:rsidRPr="00E72418" w:rsidRDefault="001D22F5" w:rsidP="00CC4BA8">
      <w:pPr>
        <w:spacing w:line="276" w:lineRule="auto"/>
        <w:rPr>
          <w:szCs w:val="24"/>
        </w:rPr>
      </w:pPr>
      <w:r w:rsidRPr="00E72418">
        <w:t>Dans son</w:t>
      </w:r>
      <w:r w:rsidR="00B45C7B" w:rsidRPr="00E72418">
        <w:t xml:space="preserve"> rapport </w:t>
      </w:r>
      <w:r w:rsidRPr="00E72418">
        <w:t xml:space="preserve">de 2019 </w:t>
      </w:r>
      <w:r w:rsidR="00B45C7B" w:rsidRPr="00E72418">
        <w:t>sur les activités des fonds vautours et leurs incidences sur les droits de l’homme</w:t>
      </w:r>
      <w:r w:rsidRPr="00E72418">
        <w:t>, l</w:t>
      </w:r>
      <w:r w:rsidR="00B45C7B" w:rsidRPr="00E72418">
        <w:rPr>
          <w:szCs w:val="24"/>
        </w:rPr>
        <w:t xml:space="preserve">e </w:t>
      </w:r>
      <w:r w:rsidRPr="00E72418">
        <w:t>Comité consultatif du Conseil des droits de l’homme des Nations Unies</w:t>
      </w:r>
      <w:r w:rsidRPr="00E72418">
        <w:rPr>
          <w:szCs w:val="24"/>
        </w:rPr>
        <w:t xml:space="preserve"> </w:t>
      </w:r>
      <w:r w:rsidR="00B45C7B" w:rsidRPr="00E72418">
        <w:rPr>
          <w:szCs w:val="24"/>
        </w:rPr>
        <w:t>remarque que le règlement, par des pays pauvres affichant un niveau d’endettement insoutenable, de montants excessifs réclamés par des fonds spéculatifs a des répercussions négatives directes sur leur capacité à satisfaire leurs obligations en matière de droits de l’homme, en particulier les droits économiques, sociaux et culturels, et notamment les droits à la santé, à l’eau et à l’assainissement, à l’alimentation, au logement et à l’éducation</w:t>
      </w:r>
      <w:r w:rsidR="007C3F47">
        <w:rPr>
          <w:rStyle w:val="Appelnotedebasdep"/>
          <w:szCs w:val="24"/>
        </w:rPr>
        <w:footnoteReference w:id="801"/>
      </w:r>
      <w:r w:rsidR="00B45C7B" w:rsidRPr="00E72418">
        <w:rPr>
          <w:szCs w:val="24"/>
        </w:rPr>
        <w:t>.</w:t>
      </w:r>
      <w:r w:rsidR="00B45C7B" w:rsidRPr="00E72418">
        <w:t xml:space="preserve"> Les longs et coûteux procès intentés par les fonds contribuent à détourner les ressources publiques d’autres considérations plus pressantes ayant trait au développement, à la société et aux droits de l’homme</w:t>
      </w:r>
      <w:r w:rsidR="007C3F47">
        <w:rPr>
          <w:rStyle w:val="Appelnotedebasdep"/>
        </w:rPr>
        <w:footnoteReference w:id="802"/>
      </w:r>
      <w:r w:rsidR="00B45C7B" w:rsidRPr="00E72418">
        <w:t xml:space="preserve">. </w:t>
      </w:r>
      <w:r w:rsidR="00B45C7B" w:rsidRPr="00E72418">
        <w:rPr>
          <w:rFonts w:cs="Times New Roman"/>
          <w:szCs w:val="24"/>
        </w:rPr>
        <w:t>Plus encore, l’explique le Comité, « </w:t>
      </w:r>
      <w:r w:rsidR="00B45C7B" w:rsidRPr="00E72418">
        <w:rPr>
          <w:rFonts w:ascii="Times New Roman" w:hAnsi="Times New Roman" w:cs="Times New Roman"/>
        </w:rPr>
        <w:t>[u]</w:t>
      </w:r>
      <w:r w:rsidR="00B45C7B" w:rsidRPr="00E72418">
        <w:rPr>
          <w:szCs w:val="24"/>
        </w:rPr>
        <w:t xml:space="preserve">n État qui doit rembourser un montant </w:t>
      </w:r>
      <w:r w:rsidR="00B45C7B" w:rsidRPr="00E72418">
        <w:rPr>
          <w:szCs w:val="24"/>
        </w:rPr>
        <w:lastRenderedPageBreak/>
        <w:t>bien supérieur à celui qu’il a emprunté à l’origine peut être contraint de réaffecter au service de sa dette des ressources qui avaient été initialement allouées au financement de services publics essentiels ou, pire encore, de mettre en place des politiques d’austérité de long terme »</w:t>
      </w:r>
      <w:r w:rsidR="00B45C7B" w:rsidRPr="00E72418">
        <w:rPr>
          <w:rStyle w:val="Appelnotedebasdep"/>
          <w:szCs w:val="24"/>
        </w:rPr>
        <w:footnoteReference w:id="803"/>
      </w:r>
      <w:r w:rsidR="00B45C7B" w:rsidRPr="00E72418">
        <w:rPr>
          <w:szCs w:val="24"/>
        </w:rPr>
        <w:t>.</w:t>
      </w:r>
    </w:p>
    <w:p w14:paraId="32C15E99" w14:textId="37EB7C13" w:rsidR="00C72A19" w:rsidRPr="00E72418" w:rsidRDefault="00C72A19" w:rsidP="00CC4BA8">
      <w:pPr>
        <w:spacing w:line="276" w:lineRule="auto"/>
        <w:rPr>
          <w:szCs w:val="24"/>
        </w:rPr>
      </w:pPr>
      <w:r w:rsidRPr="00E72418">
        <w:rPr>
          <w:szCs w:val="24"/>
        </w:rPr>
        <w:t>En plus du détournement à prop</w:t>
      </w:r>
      <w:r w:rsidR="00096995" w:rsidRPr="00E72418">
        <w:rPr>
          <w:szCs w:val="24"/>
        </w:rPr>
        <w:t>r</w:t>
      </w:r>
      <w:r w:rsidRPr="00E72418">
        <w:rPr>
          <w:szCs w:val="24"/>
        </w:rPr>
        <w:t xml:space="preserve">ement parler de montants utiles aux populations des </w:t>
      </w:r>
      <w:r w:rsidR="00C600C6" w:rsidRPr="00E72418">
        <w:rPr>
          <w:szCs w:val="20"/>
        </w:rPr>
        <w:t>É</w:t>
      </w:r>
      <w:r w:rsidR="00096995" w:rsidRPr="00E72418">
        <w:rPr>
          <w:szCs w:val="24"/>
        </w:rPr>
        <w:t>tats débiteurs attaqués, de plus larges conséquences</w:t>
      </w:r>
      <w:r w:rsidRPr="00E72418">
        <w:rPr>
          <w:szCs w:val="24"/>
        </w:rPr>
        <w:t xml:space="preserve"> </w:t>
      </w:r>
      <w:r w:rsidR="00096995" w:rsidRPr="00E72418">
        <w:rPr>
          <w:szCs w:val="24"/>
        </w:rPr>
        <w:t>induites par</w:t>
      </w:r>
      <w:r w:rsidRPr="00E72418">
        <w:rPr>
          <w:szCs w:val="24"/>
        </w:rPr>
        <w:t xml:space="preserve"> les activités des fonds spéculatifs sont de nature à compliquer l’accès à c</w:t>
      </w:r>
      <w:r w:rsidR="00096995" w:rsidRPr="00E72418">
        <w:rPr>
          <w:szCs w:val="24"/>
        </w:rPr>
        <w:t>ertaines ressources financi</w:t>
      </w:r>
      <w:r w:rsidRPr="00E72418">
        <w:rPr>
          <w:szCs w:val="24"/>
        </w:rPr>
        <w:t xml:space="preserve">ères nécessaires à la mise en place de politiques sociales. C’est d’ailleurs précisément ce que remarque </w:t>
      </w:r>
      <w:r w:rsidR="00922858" w:rsidRPr="00E72418">
        <w:rPr>
          <w:rFonts w:cs="Times New Roman"/>
        </w:rPr>
        <w:t xml:space="preserve">Cephas </w:t>
      </w:r>
      <w:r w:rsidRPr="00E72418">
        <w:rPr>
          <w:szCs w:val="24"/>
        </w:rPr>
        <w:t xml:space="preserve">Lumina ; « </w:t>
      </w:r>
      <w:r w:rsidRPr="00E72418">
        <w:t>[t]he lack of access to international capital markets, the freezing of sovereign assets, and the limited trade and investment opportunities occasioned by vulture fund activities all have adverse effects on governments’ capacity to mobilize the financial resources needed to create the conditions for the realization of human rights</w:t>
      </w:r>
      <w:r w:rsidRPr="00E72418">
        <w:rPr>
          <w:szCs w:val="24"/>
        </w:rPr>
        <w:t> »</w:t>
      </w:r>
      <w:r w:rsidRPr="00E72418">
        <w:rPr>
          <w:rStyle w:val="Appelnotedebasdep"/>
          <w:szCs w:val="24"/>
        </w:rPr>
        <w:footnoteReference w:id="804"/>
      </w:r>
      <w:r w:rsidRPr="00E72418">
        <w:rPr>
          <w:szCs w:val="24"/>
        </w:rPr>
        <w:t xml:space="preserve">. </w:t>
      </w:r>
    </w:p>
    <w:p w14:paraId="0B6D32AD" w14:textId="77777777" w:rsidR="00B45C7B" w:rsidRPr="00E72418" w:rsidRDefault="00B45C7B" w:rsidP="0054314B"/>
    <w:p w14:paraId="773DDBB4" w14:textId="1573C0C6" w:rsidR="00B45C7B" w:rsidRPr="00E72418" w:rsidRDefault="007F038F" w:rsidP="00CC4BA8">
      <w:pPr>
        <w:spacing w:line="276" w:lineRule="auto"/>
        <w:rPr>
          <w:rFonts w:ascii="Times New Roman" w:hAnsi="Times New Roman" w:cs="Times New Roman"/>
          <w:shd w:val="clear" w:color="auto" w:fill="FFFFFF"/>
        </w:rPr>
      </w:pPr>
      <w:r w:rsidRPr="00E72418">
        <w:rPr>
          <w:b/>
        </w:rPr>
        <w:t>150</w:t>
      </w:r>
      <w:r w:rsidR="007E31CD" w:rsidRPr="00E72418">
        <w:rPr>
          <w:b/>
        </w:rPr>
        <w:t xml:space="preserve">. </w:t>
      </w:r>
      <w:r w:rsidR="00B45C7B" w:rsidRPr="00E72418">
        <w:rPr>
          <w:b/>
        </w:rPr>
        <w:t xml:space="preserve">Le profit tiré des réductions et </w:t>
      </w:r>
      <w:r w:rsidR="00320885" w:rsidRPr="00E72418">
        <w:rPr>
          <w:b/>
        </w:rPr>
        <w:t xml:space="preserve">des </w:t>
      </w:r>
      <w:r w:rsidR="00B45C7B" w:rsidRPr="00E72418">
        <w:rPr>
          <w:b/>
        </w:rPr>
        <w:t xml:space="preserve">annulations de dettes – </w:t>
      </w:r>
      <w:r w:rsidR="00B45C7B" w:rsidRPr="00E72418">
        <w:t xml:space="preserve">Les fonds spéculatifs sont connus pour traquer les processus </w:t>
      </w:r>
      <w:r w:rsidR="00320885" w:rsidRPr="00E72418">
        <w:t>de réduction</w:t>
      </w:r>
      <w:r w:rsidR="00B45C7B" w:rsidRPr="00E72418">
        <w:t xml:space="preserve"> </w:t>
      </w:r>
      <w:r w:rsidR="00320885" w:rsidRPr="00E72418">
        <w:t>et d’annulation de</w:t>
      </w:r>
      <w:r w:rsidR="00B45C7B" w:rsidRPr="00E72418">
        <w:t xml:space="preserve"> dette</w:t>
      </w:r>
      <w:r w:rsidR="00320885" w:rsidRPr="00E72418">
        <w:t>s souveraines</w:t>
      </w:r>
      <w:r w:rsidR="00B45C7B" w:rsidRPr="00E72418">
        <w:t xml:space="preserve">. Ils cherchent ainsi à </w:t>
      </w:r>
      <w:r w:rsidR="00320885" w:rsidRPr="00E72418">
        <w:t>r</w:t>
      </w:r>
      <w:r w:rsidR="00B45C7B" w:rsidRPr="00E72418">
        <w:t xml:space="preserve">acheter des titres dont un allègement </w:t>
      </w:r>
      <w:r w:rsidR="00320885" w:rsidRPr="00E72418">
        <w:t>est susceptible d’</w:t>
      </w:r>
      <w:r w:rsidR="00B45C7B" w:rsidRPr="00E72418">
        <w:t xml:space="preserve">intervenir pour ensuite </w:t>
      </w:r>
      <w:r w:rsidR="00964EF8" w:rsidRPr="00E72418">
        <w:t xml:space="preserve">essayer de </w:t>
      </w:r>
      <w:r w:rsidR="00B45C7B" w:rsidRPr="00E72418">
        <w:t xml:space="preserve">tirer parti du mieux-être financier qui </w:t>
      </w:r>
      <w:r w:rsidR="0090174B" w:rsidRPr="00E72418">
        <w:t>s’en</w:t>
      </w:r>
      <w:r w:rsidR="00320885" w:rsidRPr="00E72418">
        <w:t xml:space="preserve">suivra </w:t>
      </w:r>
      <w:r w:rsidR="00B45C7B" w:rsidRPr="00E72418">
        <w:t>logiquement</w:t>
      </w:r>
      <w:r w:rsidR="00B45C7B" w:rsidRPr="00E72418">
        <w:rPr>
          <w:rStyle w:val="Appelnotedebasdep"/>
          <w:rFonts w:cs="Times New Roman"/>
        </w:rPr>
        <w:footnoteReference w:id="805"/>
      </w:r>
      <w:r w:rsidR="00320885" w:rsidRPr="00E72418">
        <w:t>. Ce faisant, c</w:t>
      </w:r>
      <w:r w:rsidR="00B45C7B" w:rsidRPr="00E72418">
        <w:t xml:space="preserve">es fonds sont à même de réaliser </w:t>
      </w:r>
      <w:r w:rsidR="00B45C7B" w:rsidRPr="00E72418">
        <w:rPr>
          <w:bCs/>
          <w:szCs w:val="24"/>
        </w:rPr>
        <w:t xml:space="preserve">de plantureux profits aux dépens tant des </w:t>
      </w:r>
      <w:r w:rsidR="00B45C7B" w:rsidRPr="00E72418">
        <w:rPr>
          <w:szCs w:val="24"/>
        </w:rPr>
        <w:t>É</w:t>
      </w:r>
      <w:r w:rsidR="00B45C7B" w:rsidRPr="00E72418">
        <w:t>tats débiteurs et de leur population que</w:t>
      </w:r>
      <w:r w:rsidR="00B45C7B" w:rsidRPr="00E72418">
        <w:rPr>
          <w:bCs/>
          <w:szCs w:val="24"/>
        </w:rPr>
        <w:t xml:space="preserve"> des créanciers qui </w:t>
      </w:r>
      <w:r w:rsidR="00B45C7B" w:rsidRPr="00E72418">
        <w:t>concèdent les mesures d’allègement</w:t>
      </w:r>
      <w:r w:rsidR="00B45C7B" w:rsidRPr="00E72418">
        <w:rPr>
          <w:rStyle w:val="Appelnotedebasdep"/>
        </w:rPr>
        <w:footnoteReference w:id="806"/>
      </w:r>
      <w:r w:rsidR="00B45C7B" w:rsidRPr="00E72418">
        <w:t>. C’est ainsi que le note Joyce Quin, « [i]ronically, as debt relief improves the financial situation of a developing country, it increases the prospect of repayment of the debt owned by the vulture funds »</w:t>
      </w:r>
      <w:r w:rsidR="00B45C7B" w:rsidRPr="00E72418">
        <w:rPr>
          <w:rStyle w:val="Appelnotedebasdep"/>
        </w:rPr>
        <w:footnoteReference w:id="807"/>
      </w:r>
      <w:r w:rsidR="00B45C7B" w:rsidRPr="00E72418">
        <w:t>.</w:t>
      </w:r>
    </w:p>
    <w:p w14:paraId="1B2285D3" w14:textId="76051847" w:rsidR="00B45C7B" w:rsidRPr="00E72418" w:rsidRDefault="00B45C7B" w:rsidP="00CC4BA8">
      <w:pPr>
        <w:spacing w:line="276" w:lineRule="auto"/>
      </w:pPr>
      <w:r w:rsidRPr="00E72418">
        <w:t xml:space="preserve">Le propos de </w:t>
      </w:r>
      <w:r w:rsidR="00922858" w:rsidRPr="00E72418">
        <w:rPr>
          <w:rFonts w:cs="Times New Roman"/>
        </w:rPr>
        <w:t xml:space="preserve">Cephas </w:t>
      </w:r>
      <w:r w:rsidR="00320885" w:rsidRPr="00E72418">
        <w:rPr>
          <w:rFonts w:cs="Times New Roman"/>
        </w:rPr>
        <w:t>Lumina</w:t>
      </w:r>
      <w:r w:rsidRPr="00E72418">
        <w:rPr>
          <w:rFonts w:cs="Times New Roman"/>
        </w:rPr>
        <w:t xml:space="preserve"> résume bien le reproche quand il indique que « </w:t>
      </w:r>
      <w:r w:rsidRPr="00E72418">
        <w:rPr>
          <w:rFonts w:ascii="Times New Roman" w:hAnsi="Times New Roman" w:cs="Times New Roman"/>
        </w:rPr>
        <w:t>[l]</w:t>
      </w:r>
      <w:r w:rsidRPr="00E72418">
        <w:t>es procédures judiciaires engagées par les fonds vautours empêchent les pays pauvres très endettés d’utiliser les ressources libérées par l’allègement de la dette pour leurs programmes de développement et de réduction de la pauvreté et diminuent donc la capacité de ces pays à créer les conditions nécessaires à la réalisation des droits de l’homme de leur population ». Et l’expert</w:t>
      </w:r>
      <w:r w:rsidR="00320885" w:rsidRPr="00E72418">
        <w:t xml:space="preserve"> </w:t>
      </w:r>
      <w:r w:rsidR="00320885" w:rsidRPr="00E72418">
        <w:rPr>
          <w:rFonts w:cs="Times New Roman"/>
        </w:rPr>
        <w:t>pour le Conseil des droits de l’homme des Nations Unies</w:t>
      </w:r>
      <w:r w:rsidRPr="00E72418">
        <w:t xml:space="preserve"> d’ajouter « </w:t>
      </w:r>
      <w:r w:rsidRPr="00E72418">
        <w:rPr>
          <w:rFonts w:ascii="Times New Roman" w:hAnsi="Times New Roman" w:cs="Times New Roman"/>
        </w:rPr>
        <w:t>[l</w:t>
      </w:r>
      <w:r w:rsidR="002F747E">
        <w:rPr>
          <w:rFonts w:ascii="Times New Roman" w:hAnsi="Times New Roman" w:cs="Times New Roman"/>
        </w:rPr>
        <w:t>’</w:t>
      </w:r>
      <w:r w:rsidRPr="00E72418">
        <w:rPr>
          <w:rFonts w:ascii="Times New Roman" w:hAnsi="Times New Roman" w:cs="Times New Roman"/>
        </w:rPr>
        <w:t>]</w:t>
      </w:r>
      <w:r w:rsidRPr="00E72418">
        <w:t xml:space="preserve">argent, destiné à la réduction de la pauvreté et à des services sociaux de base, tels que la santé et l’éducation, est utilisé pour </w:t>
      </w:r>
      <w:r w:rsidRPr="00E72418">
        <w:lastRenderedPageBreak/>
        <w:t>répondre aux demandes importantes de versements des fonds vautours » avant de conclure qu’</w:t>
      </w:r>
      <w:r w:rsidR="009950CC" w:rsidRPr="00E72418">
        <w:t xml:space="preserve"> </w:t>
      </w:r>
      <w:r w:rsidRPr="00E72418">
        <w:t>« </w:t>
      </w:r>
      <w:r w:rsidRPr="00E72418">
        <w:rPr>
          <w:rFonts w:ascii="Times New Roman" w:hAnsi="Times New Roman" w:cs="Times New Roman"/>
        </w:rPr>
        <w:t>[e]</w:t>
      </w:r>
      <w:r w:rsidRPr="00E72418">
        <w:t xml:space="preserve">n bref, les fonds vautours entament les gains provenant de l’allègement de la dette des pays pauvres et compromettent la réalisation des obligations de ces pays en matière de droits de l’homme </w:t>
      </w:r>
      <w:r w:rsidRPr="00E72418">
        <w:rPr>
          <w:rFonts w:cs="Times New Roman"/>
        </w:rPr>
        <w:t>»</w:t>
      </w:r>
      <w:r w:rsidRPr="00E72418">
        <w:rPr>
          <w:rStyle w:val="Appelnotedebasdep"/>
          <w:rFonts w:cs="Times New Roman"/>
          <w:szCs w:val="24"/>
        </w:rPr>
        <w:footnoteReference w:id="808"/>
      </w:r>
      <w:r w:rsidRPr="00E72418">
        <w:rPr>
          <w:rFonts w:cs="Times New Roman"/>
        </w:rPr>
        <w:t>. Il a ainsi été démontré dans</w:t>
      </w:r>
      <w:r w:rsidRPr="00E72418">
        <w:t xml:space="preserve"> un certain nombre de cas que les ressources dégagées pour financer les programmes de développement et de réduction de la pauvreté servaient à assurer le service de la dette due à des fonds spéculatifs</w:t>
      </w:r>
      <w:r w:rsidRPr="00E72418">
        <w:rPr>
          <w:rStyle w:val="Appelnotedebasdep"/>
        </w:rPr>
        <w:footnoteReference w:id="809"/>
      </w:r>
      <w:r w:rsidRPr="00E72418">
        <w:t>.</w:t>
      </w:r>
    </w:p>
    <w:p w14:paraId="1674A5D4" w14:textId="5795893F" w:rsidR="00B45C7B" w:rsidRPr="00E72418" w:rsidRDefault="00B45C7B" w:rsidP="00CC4BA8">
      <w:pPr>
        <w:spacing w:line="276" w:lineRule="auto"/>
      </w:pPr>
      <w:r w:rsidRPr="00E72418">
        <w:t xml:space="preserve">Voyant le fruit des mesures d’allègement concédées diverti au profit des fonds spéculatifs, les créanciers </w:t>
      </w:r>
      <w:r w:rsidR="00D90600" w:rsidRPr="00E72418">
        <w:t>peuvent</w:t>
      </w:r>
      <w:r w:rsidRPr="00E72418">
        <w:t xml:space="preserve"> se trouver découragés de participer </w:t>
      </w:r>
      <w:r w:rsidR="00D90600" w:rsidRPr="00E72418">
        <w:t>à des</w:t>
      </w:r>
      <w:r w:rsidRPr="00E72418">
        <w:t xml:space="preserve"> mesures de restructuration</w:t>
      </w:r>
      <w:r w:rsidR="00D90600" w:rsidRPr="00E72418">
        <w:t xml:space="preserve"> envisagées</w:t>
      </w:r>
      <w:r w:rsidRPr="00E72418">
        <w:rPr>
          <w:rStyle w:val="Appelnotedebasdep"/>
        </w:rPr>
        <w:footnoteReference w:id="810"/>
      </w:r>
      <w:r w:rsidRPr="00E72418">
        <w:t>. Dans la même veine, l’action des fonds spéculatifs peut avoir ceci de néfaste que l’aide au développement octroyé</w:t>
      </w:r>
      <w:r w:rsidR="00D90600" w:rsidRPr="00E72418">
        <w:t>e</w:t>
      </w:r>
      <w:r w:rsidRPr="00E72418">
        <w:t xml:space="preserve"> par certains pays s’en trouve réduite</w:t>
      </w:r>
      <w:r w:rsidR="00D90600" w:rsidRPr="00E72418">
        <w:rPr>
          <w:rStyle w:val="Appelnotedebasdep"/>
        </w:rPr>
        <w:footnoteReference w:id="811"/>
      </w:r>
      <w:r w:rsidRPr="00E72418">
        <w:t>.</w:t>
      </w:r>
    </w:p>
    <w:p w14:paraId="1EBF1A25" w14:textId="77777777" w:rsidR="0091693F" w:rsidRPr="00E72418" w:rsidRDefault="0091693F" w:rsidP="00CC4BA8">
      <w:pPr>
        <w:spacing w:line="276" w:lineRule="auto"/>
      </w:pPr>
    </w:p>
    <w:p w14:paraId="705DE2D8" w14:textId="54DDA3CE" w:rsidR="00B45C7B" w:rsidRPr="00E72418" w:rsidRDefault="000764CE" w:rsidP="00CC4BA8">
      <w:pPr>
        <w:pStyle w:val="DD"/>
        <w:spacing w:line="276" w:lineRule="auto"/>
      </w:pPr>
      <w:bookmarkStart w:id="177" w:name="_Toc59280924"/>
      <w:bookmarkStart w:id="178" w:name="_Toc84540912"/>
      <w:r w:rsidRPr="00E72418">
        <w:t xml:space="preserve">Section 2 : </w:t>
      </w:r>
      <w:r w:rsidR="00B45C7B" w:rsidRPr="00E72418">
        <w:t>Le risque pour les restructurations</w:t>
      </w:r>
      <w:bookmarkEnd w:id="177"/>
      <w:bookmarkEnd w:id="178"/>
    </w:p>
    <w:p w14:paraId="7EC1C139" w14:textId="77777777" w:rsidR="0054314B" w:rsidRPr="00E72418" w:rsidRDefault="0054314B" w:rsidP="0054314B"/>
    <w:p w14:paraId="5E6E0CEC" w14:textId="0E4404E3" w:rsidR="00B45C7B" w:rsidRPr="00E72418" w:rsidRDefault="007F038F" w:rsidP="00CC4BA8">
      <w:pPr>
        <w:spacing w:line="276" w:lineRule="auto"/>
      </w:pPr>
      <w:r w:rsidRPr="00E72418">
        <w:rPr>
          <w:b/>
        </w:rPr>
        <w:t>151</w:t>
      </w:r>
      <w:r w:rsidR="007E31CD" w:rsidRPr="00E72418">
        <w:rPr>
          <w:b/>
        </w:rPr>
        <w:t xml:space="preserve">. </w:t>
      </w:r>
      <w:r w:rsidR="00B45C7B" w:rsidRPr="00E72418">
        <w:rPr>
          <w:b/>
        </w:rPr>
        <w:t xml:space="preserve">L’inégalité entre créanciers – </w:t>
      </w:r>
      <w:r w:rsidR="00B45C7B" w:rsidRPr="00E72418">
        <w:t>L’attitude des créanciers récalcitrants en gé</w:t>
      </w:r>
      <w:r w:rsidR="0097095F" w:rsidRPr="00E72418">
        <w:t>néral et, par conséquent, celle</w:t>
      </w:r>
      <w:r w:rsidR="00B45C7B" w:rsidRPr="00E72418">
        <w:t xml:space="preserve"> des fonds spéculatifs en particulier,</w:t>
      </w:r>
      <w:r w:rsidR="0097095F" w:rsidRPr="00E72418">
        <w:t xml:space="preserve"> sont</w:t>
      </w:r>
      <w:r w:rsidR="00B45C7B" w:rsidRPr="00E72418">
        <w:t xml:space="preserve"> </w:t>
      </w:r>
      <w:r w:rsidR="00F500E9" w:rsidRPr="00E72418">
        <w:t>critiquée</w:t>
      </w:r>
      <w:r w:rsidR="0097095F" w:rsidRPr="00E72418">
        <w:t>s</w:t>
      </w:r>
      <w:r w:rsidR="00F500E9" w:rsidRPr="00E72418">
        <w:t xml:space="preserve"> en ce qu’elle</w:t>
      </w:r>
      <w:r w:rsidR="0097095F" w:rsidRPr="00E72418">
        <w:t>s</w:t>
      </w:r>
      <w:r w:rsidR="00F500E9" w:rsidRPr="00E72418">
        <w:t xml:space="preserve"> méconna</w:t>
      </w:r>
      <w:r w:rsidR="0097095F" w:rsidRPr="00E72418">
        <w:t>issent</w:t>
      </w:r>
      <w:r w:rsidR="00B45C7B" w:rsidRPr="00E72418">
        <w:t xml:space="preserve"> le principe d’égalité entre créanciers. Si les stratégies non-coopératives poursuivies par les fonds spéculatifs sont controversées d’un point de vue moral, elles sont également perçues comme injustes par les créanciers ayant accepté des termes défavorables dans le cadre de restructurations</w:t>
      </w:r>
      <w:r w:rsidR="00F500E9" w:rsidRPr="00E72418">
        <w:t xml:space="preserve"> engagées</w:t>
      </w:r>
      <w:r w:rsidR="00B45C7B" w:rsidRPr="00E72418">
        <w:rPr>
          <w:rStyle w:val="Appelnotedebasdep"/>
          <w:rFonts w:cs="Times New Roman"/>
          <w:szCs w:val="24"/>
        </w:rPr>
        <w:footnoteReference w:id="812"/>
      </w:r>
      <w:r w:rsidR="00B45C7B" w:rsidRPr="00E72418">
        <w:t xml:space="preserve">. En effet, les fonds </w:t>
      </w:r>
      <w:r w:rsidR="00F500E9" w:rsidRPr="00E72418">
        <w:t>spéculatifs</w:t>
      </w:r>
      <w:r w:rsidR="00B45C7B" w:rsidRPr="00E72418">
        <w:t xml:space="preserve"> cherchent à </w:t>
      </w:r>
      <w:r w:rsidR="00B45C7B" w:rsidRPr="00E72418">
        <w:lastRenderedPageBreak/>
        <w:t xml:space="preserve">contraindre les </w:t>
      </w:r>
      <w:r w:rsidR="00B45C7B" w:rsidRPr="00E72418">
        <w:rPr>
          <w:szCs w:val="24"/>
        </w:rPr>
        <w:t>É</w:t>
      </w:r>
      <w:r w:rsidR="00B45C7B" w:rsidRPr="00E72418">
        <w:t xml:space="preserve">tats débiteurs à régler les parties qu’ils détiennent d’une dette, là où d’autres créanciers </w:t>
      </w:r>
      <w:r w:rsidR="00F500E9" w:rsidRPr="00E72418">
        <w:t>en ont accepté</w:t>
      </w:r>
      <w:r w:rsidR="00B45C7B" w:rsidRPr="00E72418">
        <w:t xml:space="preserve"> la restructuration. </w:t>
      </w:r>
      <w:r w:rsidR="00F500E9" w:rsidRPr="00E72418">
        <w:t>Dans la situation où</w:t>
      </w:r>
      <w:r w:rsidR="00B45C7B" w:rsidRPr="00E72418">
        <w:t xml:space="preserve"> la dette</w:t>
      </w:r>
      <w:r w:rsidR="00F500E9" w:rsidRPr="00E72418">
        <w:t xml:space="preserve"> souveraine</w:t>
      </w:r>
      <w:r w:rsidR="00B45C7B" w:rsidRPr="00E72418">
        <w:t xml:space="preserve"> n’a pas été restructurée, les actions des fonds </w:t>
      </w:r>
      <w:r w:rsidR="00F500E9" w:rsidRPr="00E72418">
        <w:t xml:space="preserve">décriés </w:t>
      </w:r>
      <w:r w:rsidR="00B45C7B" w:rsidRPr="00E72418">
        <w:t>réduisent l’assiette disponible</w:t>
      </w:r>
      <w:r w:rsidR="00F500E9" w:rsidRPr="00E72418">
        <w:t>. Les fonds spéculatifs, et plus généralement les créanciers récalcitrants, vont ainsi par exemple favoriser la concurrence entre créanciers dans la mise en œuvre de mesures d’exécution sur les biens des États débiteurs</w:t>
      </w:r>
      <w:r w:rsidR="00B45C7B" w:rsidRPr="00E72418">
        <w:rPr>
          <w:rStyle w:val="Appelnotedebasdep"/>
        </w:rPr>
        <w:footnoteReference w:id="813"/>
      </w:r>
      <w:r w:rsidR="00B45C7B" w:rsidRPr="00E72418">
        <w:t>.</w:t>
      </w:r>
    </w:p>
    <w:p w14:paraId="3EF29F30" w14:textId="77777777" w:rsidR="00B45C7B" w:rsidRPr="00E72418" w:rsidRDefault="00B45C7B" w:rsidP="0054314B"/>
    <w:p w14:paraId="7CD1CC06" w14:textId="14DD2FC4" w:rsidR="00B45C7B" w:rsidRPr="00E72418" w:rsidRDefault="007F038F" w:rsidP="00CC4BA8">
      <w:pPr>
        <w:spacing w:line="276" w:lineRule="auto"/>
      </w:pPr>
      <w:r w:rsidRPr="00E72418">
        <w:rPr>
          <w:b/>
        </w:rPr>
        <w:t>152</w:t>
      </w:r>
      <w:r w:rsidR="007E31CD" w:rsidRPr="00E72418">
        <w:rPr>
          <w:b/>
        </w:rPr>
        <w:t xml:space="preserve">. </w:t>
      </w:r>
      <w:r w:rsidR="00B45C7B" w:rsidRPr="00E72418">
        <w:rPr>
          <w:b/>
        </w:rPr>
        <w:t>Une complication voire une entrave –</w:t>
      </w:r>
      <w:r w:rsidR="00B45C7B" w:rsidRPr="00E72418">
        <w:t xml:space="preserve"> L’inégalité entre créanciers est de nature à compliquer les restructurations. Le refus des fonds spéculatifs de participer aux efforts </w:t>
      </w:r>
      <w:r w:rsidR="00F500E9" w:rsidRPr="00E72418">
        <w:t>attendus de la part de l’ensemble des</w:t>
      </w:r>
      <w:r w:rsidR="00B45C7B" w:rsidRPr="00E72418">
        <w:t xml:space="preserve"> créanciers et leur recherche d’un paiement complet de leurs créances peuvent ainsi dissuader d’autres créanciers de l’</w:t>
      </w:r>
      <w:r w:rsidR="00B45C7B" w:rsidRPr="00E72418">
        <w:rPr>
          <w:szCs w:val="24"/>
        </w:rPr>
        <w:t>É</w:t>
      </w:r>
      <w:r w:rsidR="00B45C7B" w:rsidRPr="00E72418">
        <w:t xml:space="preserve">tat en difficulté de concéder des modifications des modalités de leur créance passant par exemple par la réduction des taux d’intérêt </w:t>
      </w:r>
      <w:r w:rsidR="007A197A" w:rsidRPr="00E72418">
        <w:t xml:space="preserve">ou du montant principal dû. </w:t>
      </w:r>
      <w:r w:rsidR="00674C1A" w:rsidRPr="00E72418">
        <w:t>À</w:t>
      </w:r>
      <w:r w:rsidR="00B45C7B" w:rsidRPr="00E72418">
        <w:t xml:space="preserve"> la perte financière que les restructurations impliquent généralement, s’ajoute le risque de longs et coûteux contentieux</w:t>
      </w:r>
      <w:r w:rsidR="00B45C7B" w:rsidRPr="00E72418">
        <w:rPr>
          <w:rStyle w:val="Appelnotedebasdep"/>
        </w:rPr>
        <w:footnoteReference w:id="814"/>
      </w:r>
      <w:r w:rsidR="00B45C7B" w:rsidRPr="00E72418">
        <w:t xml:space="preserve">. Les créanciers peuvent légitimement craindre que les fonds </w:t>
      </w:r>
      <w:r w:rsidR="00F500E9" w:rsidRPr="00E72418">
        <w:t>spéculatifs</w:t>
      </w:r>
      <w:r w:rsidR="00B45C7B" w:rsidRPr="00E72418">
        <w:t xml:space="preserve"> obtiennent quelque chose par priorité à leurs revendications laissant le débiteur sans d’autres ressources pour </w:t>
      </w:r>
      <w:r w:rsidR="00F500E9" w:rsidRPr="00E72418">
        <w:t>les désintéresser</w:t>
      </w:r>
      <w:r w:rsidR="00B45C7B" w:rsidRPr="00E72418">
        <w:rPr>
          <w:rStyle w:val="Appelnotedebasdep"/>
          <w:rFonts w:cs="Times New Roman"/>
          <w:szCs w:val="24"/>
        </w:rPr>
        <w:footnoteReference w:id="815"/>
      </w:r>
      <w:r w:rsidR="00B45C7B" w:rsidRPr="00E72418">
        <w:t>.</w:t>
      </w:r>
    </w:p>
    <w:p w14:paraId="178D0F59" w14:textId="0B2C7197" w:rsidR="00B45C7B" w:rsidRPr="00E72418" w:rsidRDefault="00B45C7B" w:rsidP="00CC4BA8">
      <w:pPr>
        <w:spacing w:line="276" w:lineRule="auto"/>
      </w:pPr>
      <w:r w:rsidRPr="00E72418">
        <w:t xml:space="preserve">Outre le souci de ne pas </w:t>
      </w:r>
      <w:r w:rsidR="00F500E9" w:rsidRPr="00E72418">
        <w:t>se voir</w:t>
      </w:r>
      <w:r w:rsidRPr="00E72418">
        <w:t xml:space="preserve"> moins bien traité qu’un autre, l’incertitude que font peser les fonds spéculatifs sur les restructurations est de nature à avoir une incidence sur la volonté des autres créanciers d’y participer. Les autres créanciers</w:t>
      </w:r>
      <w:r w:rsidR="00F500E9" w:rsidRPr="00E72418">
        <w:t>,</w:t>
      </w:r>
      <w:r w:rsidRPr="00E72418">
        <w:t xml:space="preserve"> face à la complexité des restructuratio</w:t>
      </w:r>
      <w:r w:rsidR="00F500E9" w:rsidRPr="00E72418">
        <w:t>ns engendrée par les activités de c</w:t>
      </w:r>
      <w:r w:rsidRPr="00E72418">
        <w:t>es fonds</w:t>
      </w:r>
      <w:r w:rsidR="00F500E9" w:rsidRPr="00E72418">
        <w:t>,</w:t>
      </w:r>
      <w:r w:rsidRPr="00E72418">
        <w:t xml:space="preserve"> sont moins enclins à les négocier. </w:t>
      </w:r>
      <w:r w:rsidR="00375032" w:rsidRPr="00E72418">
        <w:t xml:space="preserve">Plus encore, certains créanciers récalcitrants peuvent voir leur sort s’améliorer ensuite des actions entamées par les fonds spéculatifs. Comme le note </w:t>
      </w:r>
      <w:r w:rsidR="003D7F91" w:rsidRPr="00E72418">
        <w:t xml:space="preserve">Robert </w:t>
      </w:r>
      <w:r w:rsidR="00375032" w:rsidRPr="00E72418">
        <w:t>Kolb, « </w:t>
      </w:r>
      <w:r w:rsidR="00375032" w:rsidRPr="00E72418">
        <w:rPr>
          <w:rFonts w:cs="Times New Roman"/>
          <w:lang w:val="en-US"/>
        </w:rPr>
        <w:t>[i]</w:t>
      </w:r>
      <w:r w:rsidR="00375032" w:rsidRPr="00E72418">
        <w:rPr>
          <w:lang w:val="en-US"/>
        </w:rPr>
        <w:t>f the vulture can prevail in its efforts against the sovereign debtor, those other independent holdouts will likely be able to secure the same terms the vulture wins through its efforts</w:t>
      </w:r>
      <w:r w:rsidR="00375032" w:rsidRPr="00E72418">
        <w:rPr>
          <w:rFonts w:cs="Times New Roman"/>
          <w:shd w:val="clear" w:color="auto" w:fill="FFFFFF"/>
          <w:lang w:val="en-US"/>
        </w:rPr>
        <w:t xml:space="preserve"> » et</w:t>
      </w:r>
      <w:r w:rsidR="00375032" w:rsidRPr="00E72418">
        <w:rPr>
          <w:lang w:val="en-US"/>
        </w:rPr>
        <w:t xml:space="preserve"> </w:t>
      </w:r>
      <w:r w:rsidR="00375032" w:rsidRPr="00E72418">
        <w:t>« </w:t>
      </w:r>
      <w:r w:rsidR="00375032" w:rsidRPr="00E72418">
        <w:rPr>
          <w:rFonts w:cs="Times New Roman"/>
          <w:lang w:val="en-US"/>
        </w:rPr>
        <w:t>[i]</w:t>
      </w:r>
      <w:r w:rsidR="00375032" w:rsidRPr="00E72418">
        <w:rPr>
          <w:lang w:val="en-US"/>
        </w:rPr>
        <w:t xml:space="preserve">f the vulture succeeds through its expenditure of time, money, and effort, these independent holdouts capture similar benefits without bearing any litigation expense </w:t>
      </w:r>
      <w:r w:rsidR="00375032" w:rsidRPr="00E72418">
        <w:rPr>
          <w:rFonts w:cs="Times New Roman"/>
          <w:shd w:val="clear" w:color="auto" w:fill="FFFFFF"/>
          <w:lang w:val="en-US"/>
        </w:rPr>
        <w:t>»</w:t>
      </w:r>
      <w:r w:rsidR="00375032" w:rsidRPr="00E72418">
        <w:rPr>
          <w:rStyle w:val="Appelnotedebasdep"/>
          <w:rFonts w:cs="Times New Roman"/>
          <w:shd w:val="clear" w:color="auto" w:fill="FFFFFF"/>
          <w:lang w:val="en-US"/>
        </w:rPr>
        <w:footnoteReference w:id="816"/>
      </w:r>
      <w:r w:rsidR="00375032" w:rsidRPr="00E72418">
        <w:rPr>
          <w:rFonts w:cs="Times New Roman"/>
          <w:shd w:val="clear" w:color="auto" w:fill="FFFFFF"/>
          <w:lang w:val="en-US"/>
        </w:rPr>
        <w:t>.</w:t>
      </w:r>
    </w:p>
    <w:p w14:paraId="199284E7" w14:textId="4D321EBB" w:rsidR="00B45C7B" w:rsidRPr="00E72418" w:rsidRDefault="00B45C7B" w:rsidP="00CC4BA8">
      <w:pPr>
        <w:spacing w:line="276" w:lineRule="auto"/>
      </w:pPr>
      <w:r w:rsidRPr="00E72418">
        <w:t xml:space="preserve">Plus qu’une complication, il est des situations </w:t>
      </w:r>
      <w:r w:rsidR="002F40A1" w:rsidRPr="00E72418">
        <w:t>dans lesquelles les</w:t>
      </w:r>
      <w:r w:rsidRPr="00E72418">
        <w:t xml:space="preserve"> position</w:t>
      </w:r>
      <w:r w:rsidR="002F40A1" w:rsidRPr="00E72418">
        <w:t>s</w:t>
      </w:r>
      <w:r w:rsidRPr="00E72418">
        <w:t xml:space="preserve"> détenue</w:t>
      </w:r>
      <w:r w:rsidR="002F40A1" w:rsidRPr="00E72418">
        <w:t>s</w:t>
      </w:r>
      <w:r w:rsidRPr="00E72418">
        <w:t xml:space="preserve"> par les fonds </w:t>
      </w:r>
      <w:r w:rsidR="00F500E9" w:rsidRPr="00E72418">
        <w:t>dits « </w:t>
      </w:r>
      <w:r w:rsidRPr="00E72418">
        <w:t>vautours</w:t>
      </w:r>
      <w:r w:rsidR="00F500E9" w:rsidRPr="00E72418">
        <w:t> »</w:t>
      </w:r>
      <w:r w:rsidRPr="00E72418">
        <w:t xml:space="preserve"> leur permet</w:t>
      </w:r>
      <w:r w:rsidR="002F40A1" w:rsidRPr="00E72418">
        <w:t>tent</w:t>
      </w:r>
      <w:r w:rsidRPr="00E72418">
        <w:t xml:space="preserve"> de rendre juridiquement </w:t>
      </w:r>
      <w:r w:rsidR="00F500E9" w:rsidRPr="00E72418">
        <w:t xml:space="preserve">impossible une restructuration si l’on pense </w:t>
      </w:r>
      <w:r w:rsidR="002F40A1" w:rsidRPr="00E72418">
        <w:t xml:space="preserve">à la situation d’une </w:t>
      </w:r>
      <w:r w:rsidR="00F500E9" w:rsidRPr="00E72418">
        <w:t xml:space="preserve">détention d’un </w:t>
      </w:r>
      <w:r w:rsidRPr="00E72418">
        <w:t xml:space="preserve">nombre de titres </w:t>
      </w:r>
      <w:r w:rsidR="00F500E9" w:rsidRPr="00E72418">
        <w:t>suffisant à leur offrir</w:t>
      </w:r>
      <w:r w:rsidRPr="00E72418">
        <w:t xml:space="preserve"> une position de blocage</w:t>
      </w:r>
      <w:r w:rsidR="00737C4B" w:rsidRPr="00E72418">
        <w:t>, notamment en présence de clauses d’action collective</w:t>
      </w:r>
      <w:r w:rsidR="00737C4B" w:rsidRPr="00E72418">
        <w:rPr>
          <w:rStyle w:val="Appelnotedebasdep"/>
        </w:rPr>
        <w:footnoteReference w:id="817"/>
      </w:r>
      <w:r w:rsidR="00737C4B" w:rsidRPr="00E72418">
        <w:rPr>
          <w:vertAlign w:val="superscript"/>
        </w:rPr>
        <w:t>,</w:t>
      </w:r>
      <w:r w:rsidRPr="00E72418">
        <w:rPr>
          <w:rStyle w:val="Appelnotedebasdep"/>
        </w:rPr>
        <w:footnoteReference w:id="818"/>
      </w:r>
      <w:r w:rsidRPr="00E72418">
        <w:t>.</w:t>
      </w:r>
    </w:p>
    <w:p w14:paraId="26F6D065" w14:textId="2CA24B97" w:rsidR="00A57E2C" w:rsidRPr="00E72418" w:rsidRDefault="00B45C7B" w:rsidP="00CC4BA8">
      <w:pPr>
        <w:spacing w:line="276" w:lineRule="auto"/>
      </w:pPr>
      <w:r w:rsidRPr="00E72418">
        <w:lastRenderedPageBreak/>
        <w:t xml:space="preserve">L’argument de la complication voire de l’entrave </w:t>
      </w:r>
      <w:r w:rsidR="002F40A1" w:rsidRPr="00E72418">
        <w:t>aux</w:t>
      </w:r>
      <w:r w:rsidRPr="00E72418">
        <w:t xml:space="preserve"> restructuration</w:t>
      </w:r>
      <w:r w:rsidR="002F40A1" w:rsidRPr="00E72418">
        <w:t>s</w:t>
      </w:r>
      <w:r w:rsidRPr="00E72418">
        <w:t xml:space="preserve"> engendrée par les fonds spéculatifs est parfois contesté. En 2002, le groupe du G10 sur les clauses d’action collective notait que « disruptive legal action against sovereigns has historically not been a major barrier to restructurings although some are of the view that it may be more of a concern in the future »</w:t>
      </w:r>
      <w:r w:rsidRPr="00E72418">
        <w:rPr>
          <w:rStyle w:val="Appelnotedebasdep"/>
        </w:rPr>
        <w:footnoteReference w:id="819"/>
      </w:r>
      <w:r w:rsidR="00821BC2" w:rsidRPr="00E72418">
        <w:t xml:space="preserve">. </w:t>
      </w:r>
      <w:r w:rsidR="00E8016A" w:rsidRPr="00E72418">
        <w:t xml:space="preserve">Arturo </w:t>
      </w:r>
      <w:r w:rsidR="00821BC2" w:rsidRPr="00E72418">
        <w:t>Porzecanski</w:t>
      </w:r>
      <w:r w:rsidRPr="00E72418">
        <w:t xml:space="preserve"> </w:t>
      </w:r>
      <w:r w:rsidR="002F40A1" w:rsidRPr="00E72418">
        <w:t>fit</w:t>
      </w:r>
      <w:r w:rsidRPr="00E72418">
        <w:t xml:space="preserve"> valoir quelques années plus ta</w:t>
      </w:r>
      <w:r w:rsidR="0004079A" w:rsidRPr="00E72418">
        <w:t>rd qu’</w:t>
      </w:r>
      <w:r w:rsidRPr="00E72418">
        <w:t xml:space="preserve"> « experience demonstrates that neither the threat nor the act of litigation, nor isolated instances of “rogue creditor” behavior, have thwarted the debt restructurings that needed to be accomplished »</w:t>
      </w:r>
      <w:r w:rsidRPr="00E72418">
        <w:rPr>
          <w:rStyle w:val="Appelnotedebasdep"/>
        </w:rPr>
        <w:footnoteReference w:id="820"/>
      </w:r>
      <w:r w:rsidR="002F40A1" w:rsidRPr="00E72418">
        <w:t xml:space="preserve">. </w:t>
      </w:r>
      <w:r w:rsidR="00CC15FF" w:rsidRPr="00E72418">
        <w:t xml:space="preserve">Patrick </w:t>
      </w:r>
      <w:r w:rsidR="002F40A1" w:rsidRPr="00E72418">
        <w:t xml:space="preserve">Wautelet </w:t>
      </w:r>
      <w:r w:rsidR="005B6A73" w:rsidRPr="00E72418">
        <w:t xml:space="preserve">retient </w:t>
      </w:r>
      <w:r w:rsidR="0004079A" w:rsidRPr="00E72418">
        <w:t xml:space="preserve">qu’ </w:t>
      </w:r>
      <w:r w:rsidRPr="00E72418">
        <w:t>« even though creditors’ action has received a lot of attention, the role played by creditors in debt restructuring is limited »</w:t>
      </w:r>
      <w:r w:rsidRPr="00E72418">
        <w:rPr>
          <w:rStyle w:val="Appelnotedebasdep"/>
          <w:rFonts w:cs="Times New Roman"/>
          <w:szCs w:val="24"/>
        </w:rPr>
        <w:footnoteReference w:id="821"/>
      </w:r>
      <w:r w:rsidRPr="00E72418">
        <w:t xml:space="preserve">. </w:t>
      </w:r>
      <w:r w:rsidR="00737C4B" w:rsidRPr="00E72418">
        <w:t xml:space="preserve">Cette </w:t>
      </w:r>
      <w:r w:rsidR="00A57E2C" w:rsidRPr="00E72418">
        <w:t xml:space="preserve">relativisation de l’argument </w:t>
      </w:r>
      <w:r w:rsidR="00737C4B" w:rsidRPr="00E72418">
        <w:t xml:space="preserve">des complication et entrave </w:t>
      </w:r>
      <w:r w:rsidR="00A57E2C" w:rsidRPr="00E72418">
        <w:t xml:space="preserve">qui est antérieure au contentieux </w:t>
      </w:r>
      <w:r w:rsidR="00A57E2C" w:rsidRPr="00E72418">
        <w:rPr>
          <w:i/>
        </w:rPr>
        <w:t>NML Capital Ltd.</w:t>
      </w:r>
      <w:r w:rsidR="00A57E2C" w:rsidRPr="00E72418">
        <w:t xml:space="preserve"> c. la République argentine </w:t>
      </w:r>
      <w:r w:rsidR="00737C4B" w:rsidRPr="00E72418">
        <w:t>doit sans doute être aujourd’hui nuancée</w:t>
      </w:r>
      <w:r w:rsidR="00A57E2C" w:rsidRPr="00E72418">
        <w:t xml:space="preserve"> à l’aune de ce dernier</w:t>
      </w:r>
      <w:r w:rsidR="00A57E2C" w:rsidRPr="00E72418">
        <w:rPr>
          <w:rStyle w:val="Appelnotedebasdep"/>
        </w:rPr>
        <w:footnoteReference w:id="822"/>
      </w:r>
      <w:r w:rsidR="00A57E2C" w:rsidRPr="00E72418">
        <w:t xml:space="preserve">. </w:t>
      </w:r>
    </w:p>
    <w:p w14:paraId="250154E8" w14:textId="20B4CB74" w:rsidR="00B45C7B" w:rsidRPr="00E72418" w:rsidRDefault="00A57E2C" w:rsidP="00CC4BA8">
      <w:pPr>
        <w:spacing w:line="276" w:lineRule="auto"/>
      </w:pPr>
      <w:r w:rsidRPr="00E72418">
        <w:t>Quoi qu’il en soit, t</w:t>
      </w:r>
      <w:r w:rsidR="00B45C7B" w:rsidRPr="00E72418">
        <w:t>out relatif qu</w:t>
      </w:r>
      <w:r w:rsidRPr="00E72418">
        <w:t>e serait ou pourrait être</w:t>
      </w:r>
      <w:r w:rsidR="00B45C7B" w:rsidRPr="00E72418">
        <w:t xml:space="preserve"> l’argument de la complication voire de l’entrave, notons que les fonds spéculatifs auront à cœur de le mobiliser conscients de l’util</w:t>
      </w:r>
      <w:r w:rsidR="00B777C3" w:rsidRPr="00E72418">
        <w:t>it</w:t>
      </w:r>
      <w:r w:rsidR="00B45C7B" w:rsidRPr="00E72418">
        <w:t xml:space="preserve">é de faire peser une menace sur les restructurations et de l’entretenir en vue </w:t>
      </w:r>
      <w:r w:rsidR="00C53871" w:rsidRPr="00E72418">
        <w:t xml:space="preserve">de </w:t>
      </w:r>
      <w:r w:rsidR="002F40A1" w:rsidRPr="00E72418">
        <w:t>mettre</w:t>
      </w:r>
      <w:r w:rsidR="00B45C7B" w:rsidRPr="00E72418">
        <w:t xml:space="preserve"> sur les </w:t>
      </w:r>
      <w:r w:rsidR="00B45C7B" w:rsidRPr="00E72418">
        <w:rPr>
          <w:szCs w:val="24"/>
        </w:rPr>
        <w:t>Ét</w:t>
      </w:r>
      <w:r w:rsidR="00B45C7B" w:rsidRPr="00E72418">
        <w:t xml:space="preserve">ats débiteurs </w:t>
      </w:r>
      <w:r w:rsidR="002F40A1" w:rsidRPr="00E72418">
        <w:t xml:space="preserve">une pression susceptible de les conduire </w:t>
      </w:r>
      <w:r w:rsidR="00B45C7B" w:rsidRPr="00E72418">
        <w:t>à accepter une solution transactionnelle</w:t>
      </w:r>
      <w:r w:rsidR="00B45C7B" w:rsidRPr="00E72418">
        <w:rPr>
          <w:rStyle w:val="Appelnotedebasdep"/>
        </w:rPr>
        <w:footnoteReference w:id="823"/>
      </w:r>
      <w:r w:rsidR="00B45C7B" w:rsidRPr="00E72418">
        <w:t>.</w:t>
      </w:r>
    </w:p>
    <w:p w14:paraId="3F230A98" w14:textId="77777777" w:rsidR="00B45C7B" w:rsidRPr="00E72418" w:rsidRDefault="00B45C7B" w:rsidP="0054314B"/>
    <w:p w14:paraId="3E5A398B" w14:textId="222C917E" w:rsidR="00B45C7B" w:rsidRPr="00E72418" w:rsidRDefault="000764CE" w:rsidP="00CC4BA8">
      <w:pPr>
        <w:pStyle w:val="DD"/>
        <w:spacing w:line="276" w:lineRule="auto"/>
      </w:pPr>
      <w:bookmarkStart w:id="179" w:name="_Toc59280925"/>
      <w:bookmarkStart w:id="180" w:name="_Toc84540913"/>
      <w:r w:rsidRPr="00E72418">
        <w:t xml:space="preserve">Section 3 : </w:t>
      </w:r>
      <w:r w:rsidR="00B45C7B" w:rsidRPr="00E72418">
        <w:t>L</w:t>
      </w:r>
      <w:r w:rsidR="0030527A" w:rsidRPr="00E72418">
        <w:t>a perturbation du</w:t>
      </w:r>
      <w:r w:rsidR="00B45C7B" w:rsidRPr="00E72418">
        <w:t xml:space="preserve"> bon fonctionnement de l’État</w:t>
      </w:r>
      <w:bookmarkEnd w:id="179"/>
      <w:bookmarkEnd w:id="180"/>
    </w:p>
    <w:p w14:paraId="70B193D1" w14:textId="77777777" w:rsidR="0030527A" w:rsidRPr="00E72418" w:rsidRDefault="0030527A" w:rsidP="0054314B"/>
    <w:p w14:paraId="0C77BE8A" w14:textId="659322DB" w:rsidR="00B45C7B" w:rsidRPr="00E72418" w:rsidRDefault="007F038F" w:rsidP="00CC4BA8">
      <w:pPr>
        <w:spacing w:line="276" w:lineRule="auto"/>
      </w:pPr>
      <w:r w:rsidRPr="00E72418">
        <w:rPr>
          <w:b/>
        </w:rPr>
        <w:t>153</w:t>
      </w:r>
      <w:r w:rsidR="007E31CD" w:rsidRPr="00E72418">
        <w:rPr>
          <w:b/>
        </w:rPr>
        <w:t xml:space="preserve">. </w:t>
      </w:r>
      <w:r w:rsidR="0030527A" w:rsidRPr="00E72418">
        <w:rPr>
          <w:b/>
        </w:rPr>
        <w:t>L’atteinte à</w:t>
      </w:r>
      <w:r w:rsidR="009B7F9D" w:rsidRPr="00E72418">
        <w:rPr>
          <w:b/>
        </w:rPr>
        <w:t xml:space="preserve"> la s</w:t>
      </w:r>
      <w:r w:rsidR="00B45C7B" w:rsidRPr="00E72418">
        <w:rPr>
          <w:b/>
        </w:rPr>
        <w:t xml:space="preserve">ouveraineté – </w:t>
      </w:r>
      <w:r w:rsidR="00B45C7B" w:rsidRPr="00E72418">
        <w:t>L’importance de la souveraineté est rappelée à diverses reprises dans les principes fondamentaux des opérations de restructuration de la dette souveraine posés par l’Assemblée générale des Nations Unies en 2015. Ainsi, il y est notamment prévu que</w:t>
      </w:r>
      <w:r w:rsidR="00B45C7B" w:rsidRPr="00E72418">
        <w:rPr>
          <w:b/>
        </w:rPr>
        <w:t xml:space="preserve"> </w:t>
      </w:r>
      <w:r w:rsidR="00B45C7B" w:rsidRPr="00E72418">
        <w:t>« [t]out État souverain a le droit, dans l’exercice de son pouvoir discrétionnaire, d’élaborer sa politique macroéconomique, et notamment de restructurer sa dette souveraine, droit dont nulle mesure abusive ne saurait empêcher ou gêner l’exercice »</w:t>
      </w:r>
      <w:r w:rsidR="00B45C7B" w:rsidRPr="00E72418">
        <w:rPr>
          <w:rStyle w:val="Appelnotedebasdep"/>
          <w:rFonts w:cs="Times"/>
        </w:rPr>
        <w:footnoteReference w:id="824"/>
      </w:r>
      <w:r w:rsidR="00B45C7B" w:rsidRPr="00E72418">
        <w:t>.</w:t>
      </w:r>
    </w:p>
    <w:p w14:paraId="68D57924" w14:textId="07339C7C" w:rsidR="00B45C7B" w:rsidRPr="00E72418" w:rsidRDefault="00B45C7B" w:rsidP="00CC4BA8">
      <w:pPr>
        <w:spacing w:line="276" w:lineRule="auto"/>
      </w:pPr>
      <w:r w:rsidRPr="00E72418">
        <w:t>Les activités des fonds spéculatifs sont souvent critiquées en ce qu’elles méconnaissent la souveraineté étatique de l’</w:t>
      </w:r>
      <w:r w:rsidRPr="00E72418">
        <w:rPr>
          <w:rFonts w:cs="Times New Roman"/>
          <w:shd w:val="clear" w:color="auto" w:fill="FFFFFF"/>
        </w:rPr>
        <w:t>É</w:t>
      </w:r>
      <w:r w:rsidRPr="00E72418">
        <w:t>tat débiteur et entament certaines de ses prérogatives en découlant</w:t>
      </w:r>
      <w:r w:rsidR="00085071" w:rsidRPr="00E72418">
        <w:rPr>
          <w:rStyle w:val="Appelnotedebasdep"/>
        </w:rPr>
        <w:footnoteReference w:id="825"/>
      </w:r>
      <w:r w:rsidRPr="00E72418">
        <w:t xml:space="preserve">. </w:t>
      </w:r>
      <w:r w:rsidRPr="00E72418">
        <w:rPr>
          <w:rFonts w:cs="Times New Roman"/>
          <w:szCs w:val="24"/>
        </w:rPr>
        <w:t xml:space="preserve">Par exemple, en cherchant à dicter à un </w:t>
      </w:r>
      <w:r w:rsidRPr="00E72418">
        <w:rPr>
          <w:rFonts w:cs="Times New Roman"/>
          <w:shd w:val="clear" w:color="auto" w:fill="FFFFFF"/>
        </w:rPr>
        <w:t>É</w:t>
      </w:r>
      <w:r w:rsidRPr="00E72418">
        <w:rPr>
          <w:rFonts w:cs="Times New Roman"/>
          <w:szCs w:val="24"/>
        </w:rPr>
        <w:t xml:space="preserve">tat des termes de paiement de sa dette, </w:t>
      </w:r>
      <w:r w:rsidRPr="00E72418">
        <w:rPr>
          <w:rFonts w:cs="Times New Roman"/>
          <w:szCs w:val="24"/>
        </w:rPr>
        <w:lastRenderedPageBreak/>
        <w:t>certains considèrent que ces fonds s’immiscent dans la politique monétaire du pays</w:t>
      </w:r>
      <w:r w:rsidRPr="00E72418">
        <w:rPr>
          <w:rStyle w:val="Appelnotedebasdep"/>
          <w:rFonts w:cs="Times New Roman"/>
          <w:szCs w:val="24"/>
        </w:rPr>
        <w:footnoteReference w:id="826"/>
      </w:r>
      <w:r w:rsidRPr="00E72418">
        <w:rPr>
          <w:rFonts w:cs="Times New Roman"/>
          <w:szCs w:val="24"/>
        </w:rPr>
        <w:t>. Aussi, dans la situation où l’</w:t>
      </w:r>
      <w:r w:rsidRPr="00E72418">
        <w:rPr>
          <w:rFonts w:cs="Times New Roman"/>
          <w:shd w:val="clear" w:color="auto" w:fill="FFFFFF"/>
        </w:rPr>
        <w:t>É</w:t>
      </w:r>
      <w:r w:rsidRPr="00E72418">
        <w:rPr>
          <w:rFonts w:cs="Times New Roman"/>
          <w:szCs w:val="24"/>
        </w:rPr>
        <w:t xml:space="preserve">tat mis sous pression par les fonds spéculatifs n’a d’autre choix que d’adopter des politiques lui permettant d’assurer le service de la dette, </w:t>
      </w:r>
      <w:r w:rsidR="009B7F9D" w:rsidRPr="00E72418">
        <w:rPr>
          <w:rFonts w:cs="Times New Roman"/>
          <w:szCs w:val="24"/>
        </w:rPr>
        <w:t>l’on pourrait retenir</w:t>
      </w:r>
      <w:r w:rsidRPr="00E72418">
        <w:rPr>
          <w:rFonts w:cs="Times New Roman"/>
          <w:szCs w:val="24"/>
        </w:rPr>
        <w:t xml:space="preserve"> qu’il </w:t>
      </w:r>
      <w:r w:rsidR="009B7F9D" w:rsidRPr="00E72418">
        <w:rPr>
          <w:rFonts w:cs="Times New Roman"/>
          <w:szCs w:val="24"/>
        </w:rPr>
        <w:t xml:space="preserve">y a </w:t>
      </w:r>
      <w:r w:rsidRPr="00E72418">
        <w:rPr>
          <w:rFonts w:cs="Times New Roman"/>
          <w:szCs w:val="24"/>
        </w:rPr>
        <w:t>atteinte à sa souveraineté</w:t>
      </w:r>
      <w:r w:rsidRPr="00E72418">
        <w:rPr>
          <w:rStyle w:val="Appelnotedebasdep"/>
          <w:rFonts w:cs="Times New Roman"/>
          <w:szCs w:val="24"/>
        </w:rPr>
        <w:footnoteReference w:id="827"/>
      </w:r>
      <w:r w:rsidRPr="00E72418">
        <w:rPr>
          <w:rFonts w:cs="Times New Roman"/>
          <w:szCs w:val="24"/>
        </w:rPr>
        <w:t xml:space="preserve">. </w:t>
      </w:r>
      <w:r w:rsidRPr="00E72418">
        <w:t xml:space="preserve">Plus concrètement, </w:t>
      </w:r>
      <w:r w:rsidR="009B7F9D" w:rsidRPr="00E72418">
        <w:t>lors</w:t>
      </w:r>
      <w:r w:rsidRPr="00E72418">
        <w:t xml:space="preserve"> du contentieux ayant opposé la société </w:t>
      </w:r>
      <w:r w:rsidRPr="00E72418">
        <w:rPr>
          <w:i/>
        </w:rPr>
        <w:t>NML Capital Ltd</w:t>
      </w:r>
      <w:r w:rsidR="009B7F9D" w:rsidRPr="00E72418">
        <w:rPr>
          <w:i/>
        </w:rPr>
        <w:t>.</w:t>
      </w:r>
      <w:r w:rsidRPr="00E72418">
        <w:t xml:space="preserve"> à la République argentine, des atteintes perceptibles à la souveraineté du pays ont pu être constatées. Ainsi, </w:t>
      </w:r>
      <w:r w:rsidR="00281C39" w:rsidRPr="00E72418">
        <w:t xml:space="preserve">Quentin </w:t>
      </w:r>
      <w:r w:rsidRPr="00E72418">
        <w:t xml:space="preserve">Deforge et </w:t>
      </w:r>
      <w:r w:rsidR="00281C39" w:rsidRPr="00E72418">
        <w:t xml:space="preserve">Benjamin </w:t>
      </w:r>
      <w:r w:rsidRPr="00E72418">
        <w:t>Lemoine prennent la situation de l’ambassade du pays en France où, écrivent-ils, « </w:t>
      </w:r>
      <w:r w:rsidRPr="00E72418">
        <w:rPr>
          <w:rFonts w:ascii="Times New Roman" w:hAnsi="Times New Roman" w:cs="Times New Roman"/>
        </w:rPr>
        <w:t>[l]</w:t>
      </w:r>
      <w:r w:rsidRPr="00E72418">
        <w:t>es comptes bancaires de la mission diplomatique sont gérés sur le fil du rasoir : renfloués lorsqu’ils sont dans le rouge, et vidés au maximum lorsqu’ils sont excédentaires afin d’empêcher toute saisie</w:t>
      </w:r>
      <w:r w:rsidR="009B7F9D" w:rsidRPr="00E72418">
        <w:t> », « </w:t>
      </w:r>
      <w:r w:rsidRPr="00E72418">
        <w:rPr>
          <w:rFonts w:ascii="Times New Roman" w:hAnsi="Times New Roman" w:cs="Times New Roman"/>
        </w:rPr>
        <w:t>[a]</w:t>
      </w:r>
      <w:r w:rsidRPr="00E72418">
        <w:t>ussi, un expert-comptable se rend régulièrement à Berne, en Suisse, pour rapporter, dans des valises, l’argent liquide nécessaire à diverses dépenses de fonctionnement »</w:t>
      </w:r>
      <w:r w:rsidRPr="00E72418">
        <w:rPr>
          <w:rStyle w:val="Appelnotedebasdep"/>
        </w:rPr>
        <w:footnoteReference w:id="828"/>
      </w:r>
      <w:r w:rsidRPr="00E72418">
        <w:t>.</w:t>
      </w:r>
    </w:p>
    <w:p w14:paraId="60953F14" w14:textId="77777777" w:rsidR="00B45C7B" w:rsidRPr="00E72418" w:rsidRDefault="00B45C7B" w:rsidP="0054314B"/>
    <w:p w14:paraId="58A1DCC6" w14:textId="51B843B3" w:rsidR="00B45C7B" w:rsidRPr="00E72418" w:rsidRDefault="007F038F" w:rsidP="00CC4BA8">
      <w:pPr>
        <w:spacing w:line="276" w:lineRule="auto"/>
      </w:pPr>
      <w:r w:rsidRPr="00E72418">
        <w:rPr>
          <w:b/>
        </w:rPr>
        <w:t>154</w:t>
      </w:r>
      <w:r w:rsidR="007E31CD" w:rsidRPr="00E72418">
        <w:rPr>
          <w:b/>
        </w:rPr>
        <w:t xml:space="preserve">. </w:t>
      </w:r>
      <w:r w:rsidR="00B45C7B" w:rsidRPr="00E72418">
        <w:rPr>
          <w:b/>
        </w:rPr>
        <w:t>Une entrave à l’accès aux capitaux –</w:t>
      </w:r>
      <w:r w:rsidR="00B45C7B" w:rsidRPr="00E72418">
        <w:t xml:space="preserve"> Les activités des fonds spéculatifs limi</w:t>
      </w:r>
      <w:r w:rsidR="009B7F9D" w:rsidRPr="00E72418">
        <w:t xml:space="preserve">tent l’accès au capitaux pour les </w:t>
      </w:r>
      <w:r w:rsidR="00B45C7B" w:rsidRPr="00E72418">
        <w:rPr>
          <w:rFonts w:cs="Times New Roman"/>
          <w:shd w:val="clear" w:color="auto" w:fill="FFFFFF"/>
        </w:rPr>
        <w:t>É</w:t>
      </w:r>
      <w:r w:rsidR="00B45C7B" w:rsidRPr="00E72418">
        <w:t>tat</w:t>
      </w:r>
      <w:r w:rsidR="009B7F9D" w:rsidRPr="00E72418">
        <w:t>s</w:t>
      </w:r>
      <w:r w:rsidR="00B45C7B" w:rsidRPr="00E72418">
        <w:t xml:space="preserve"> débiteur</w:t>
      </w:r>
      <w:r w:rsidR="009B7F9D" w:rsidRPr="00E72418">
        <w:t>s qui en sont</w:t>
      </w:r>
      <w:r w:rsidR="00B45C7B" w:rsidRPr="00E72418">
        <w:t xml:space="preserve"> la cible en ce qu’il </w:t>
      </w:r>
      <w:r w:rsidR="009B7F9D" w:rsidRPr="00E72418">
        <w:t>leur</w:t>
      </w:r>
      <w:r w:rsidR="00B45C7B" w:rsidRPr="00E72418">
        <w:t xml:space="preserve"> </w:t>
      </w:r>
      <w:r w:rsidR="009B7F9D" w:rsidRPr="00E72418">
        <w:t>est</w:t>
      </w:r>
      <w:r w:rsidR="00B45C7B" w:rsidRPr="00E72418">
        <w:t xml:space="preserve"> extrêmement difficile d’avoir accès à de nouveaux capitaux sans auparavant honorer les dettes</w:t>
      </w:r>
      <w:r w:rsidR="006F5D81" w:rsidRPr="00E72418">
        <w:t xml:space="preserve"> dues. Comme l’indiquent Faisal Ahmed </w:t>
      </w:r>
      <w:r w:rsidR="006F5D81" w:rsidRPr="00E72418">
        <w:rPr>
          <w:i/>
        </w:rPr>
        <w:t>et al.</w:t>
      </w:r>
      <w:r w:rsidR="00B45C7B" w:rsidRPr="00E72418">
        <w:t>, « </w:t>
      </w:r>
      <w:r w:rsidR="00B45C7B" w:rsidRPr="00E72418">
        <w:rPr>
          <w:rFonts w:ascii="Times New Roman" w:hAnsi="Times New Roman"/>
        </w:rPr>
        <w:t>[s]</w:t>
      </w:r>
      <w:r w:rsidR="00B45C7B" w:rsidRPr="00E72418">
        <w:t>uccessful lawsuits made it extremely difficult for a defaulting country to issue new credit without paying off old creditors, thereby imposing the kind of credit boycott that short-memoried markets had been unable to impose on their own »</w:t>
      </w:r>
      <w:r w:rsidR="00B45C7B" w:rsidRPr="00E72418">
        <w:rPr>
          <w:rStyle w:val="Appelnotedebasdep"/>
          <w:szCs w:val="24"/>
        </w:rPr>
        <w:footnoteReference w:id="829"/>
      </w:r>
      <w:r w:rsidR="00B45C7B" w:rsidRPr="00E72418">
        <w:t xml:space="preserve">. </w:t>
      </w:r>
      <w:r w:rsidR="009B7F9D" w:rsidRPr="00E72418">
        <w:t>Ce reproche adressé aux activités des fonds spéculatifs est directement lié</w:t>
      </w:r>
      <w:r w:rsidR="00B45C7B" w:rsidRPr="00E72418">
        <w:t xml:space="preserve"> à l’importance de la réputation pour les </w:t>
      </w:r>
      <w:r w:rsidR="00B45C7B" w:rsidRPr="00E72418">
        <w:rPr>
          <w:rFonts w:cs="Times New Roman"/>
          <w:shd w:val="clear" w:color="auto" w:fill="FFFFFF"/>
        </w:rPr>
        <w:t>É</w:t>
      </w:r>
      <w:r w:rsidR="00B45C7B" w:rsidRPr="00E72418">
        <w:t>tats souhaitant emprunter de l’argent sur les marchés des capitaux</w:t>
      </w:r>
      <w:r w:rsidR="00B45C7B" w:rsidRPr="00E72418">
        <w:rPr>
          <w:rStyle w:val="Appelnotedebasdep"/>
          <w:rFonts w:cs="Times New Roman"/>
          <w:szCs w:val="24"/>
        </w:rPr>
        <w:footnoteReference w:id="830"/>
      </w:r>
      <w:r w:rsidR="00B45C7B" w:rsidRPr="00E72418">
        <w:t xml:space="preserve">. </w:t>
      </w:r>
      <w:r w:rsidR="009B7F9D" w:rsidRPr="00E72418">
        <w:rPr>
          <w:szCs w:val="24"/>
        </w:rPr>
        <w:t xml:space="preserve">Ce pouvoir d’entrave est </w:t>
      </w:r>
      <w:r w:rsidR="00B45C7B" w:rsidRPr="00E72418">
        <w:rPr>
          <w:szCs w:val="24"/>
        </w:rPr>
        <w:t>pour les fonds spéculatifs</w:t>
      </w:r>
      <w:r w:rsidR="009B7F9D" w:rsidRPr="00E72418">
        <w:rPr>
          <w:szCs w:val="24"/>
        </w:rPr>
        <w:t>, on le comprend,</w:t>
      </w:r>
      <w:r w:rsidR="00B45C7B" w:rsidRPr="00E72418">
        <w:rPr>
          <w:szCs w:val="24"/>
        </w:rPr>
        <w:t xml:space="preserve"> une véritable arme leur permettant de forcer les </w:t>
      </w:r>
      <w:r w:rsidR="00B45C7B" w:rsidRPr="00E72418">
        <w:rPr>
          <w:rFonts w:cs="Times New Roman"/>
          <w:shd w:val="clear" w:color="auto" w:fill="FFFFFF"/>
        </w:rPr>
        <w:t>É</w:t>
      </w:r>
      <w:r w:rsidR="00B45C7B" w:rsidRPr="00E72418">
        <w:rPr>
          <w:szCs w:val="24"/>
        </w:rPr>
        <w:t>tats débiteurs à négocier et potentiellement à accéder à leurs demandes</w:t>
      </w:r>
      <w:r w:rsidR="00B45C7B" w:rsidRPr="00E72418">
        <w:rPr>
          <w:rStyle w:val="Appelnotedebasdep"/>
          <w:szCs w:val="24"/>
        </w:rPr>
        <w:footnoteReference w:id="831"/>
      </w:r>
      <w:r w:rsidR="00B45C7B" w:rsidRPr="00E72418">
        <w:rPr>
          <w:szCs w:val="24"/>
        </w:rPr>
        <w:t xml:space="preserve">. </w:t>
      </w:r>
    </w:p>
    <w:p w14:paraId="549F7118" w14:textId="77777777" w:rsidR="00B45C7B" w:rsidRPr="00E72418" w:rsidRDefault="00B45C7B" w:rsidP="0054314B"/>
    <w:p w14:paraId="03C28568" w14:textId="0F5764D8" w:rsidR="00B45C7B" w:rsidRPr="00E72418" w:rsidRDefault="007F038F" w:rsidP="00CC4BA8">
      <w:pPr>
        <w:spacing w:line="276" w:lineRule="auto"/>
      </w:pPr>
      <w:r w:rsidRPr="00E72418">
        <w:rPr>
          <w:b/>
        </w:rPr>
        <w:t>155</w:t>
      </w:r>
      <w:r w:rsidR="007E31CD" w:rsidRPr="00E72418">
        <w:rPr>
          <w:b/>
        </w:rPr>
        <w:t xml:space="preserve">. </w:t>
      </w:r>
      <w:r w:rsidR="00B45C7B" w:rsidRPr="00E72418">
        <w:rPr>
          <w:b/>
        </w:rPr>
        <w:t>La mise à mal des affaires –</w:t>
      </w:r>
      <w:r w:rsidR="00B45C7B" w:rsidRPr="00E72418">
        <w:t xml:space="preserve"> Le</w:t>
      </w:r>
      <w:r w:rsidR="009B7F9D" w:rsidRPr="00E72418">
        <w:t>s attaques des fonds spéculatif</w:t>
      </w:r>
      <w:r w:rsidR="00B45C7B" w:rsidRPr="00E72418">
        <w:t xml:space="preserve">s </w:t>
      </w:r>
      <w:r w:rsidR="009B7F9D" w:rsidRPr="00E72418">
        <w:t>portent parfois</w:t>
      </w:r>
      <w:r w:rsidR="00B45C7B" w:rsidRPr="00E72418">
        <w:t xml:space="preserve"> sur des activités économiques de</w:t>
      </w:r>
      <w:r w:rsidR="009B7F9D" w:rsidRPr="00E72418">
        <w:t xml:space="preserve">s </w:t>
      </w:r>
      <w:r w:rsidR="00B45C7B" w:rsidRPr="00E72418">
        <w:rPr>
          <w:rFonts w:cs="Times New Roman"/>
          <w:shd w:val="clear" w:color="auto" w:fill="FFFFFF"/>
        </w:rPr>
        <w:t>É</w:t>
      </w:r>
      <w:r w:rsidR="00B45C7B" w:rsidRPr="00E72418">
        <w:t>tat</w:t>
      </w:r>
      <w:r w:rsidR="009B7F9D" w:rsidRPr="00E72418">
        <w:t>s</w:t>
      </w:r>
      <w:r w:rsidR="00B45C7B" w:rsidRPr="00E72418">
        <w:t xml:space="preserve"> débiteur</w:t>
      </w:r>
      <w:r w:rsidR="009B7F9D" w:rsidRPr="00E72418">
        <w:t>s</w:t>
      </w:r>
      <w:r w:rsidR="00B45C7B" w:rsidRPr="00E72418">
        <w:t xml:space="preserve"> participant à la création de richesses qu’ils voient comme susceptibles de les désintéresser. Ce fut par exemple le cas lors du conflit </w:t>
      </w:r>
      <w:r w:rsidR="009B7F9D" w:rsidRPr="00E72418">
        <w:t xml:space="preserve">congolais où </w:t>
      </w:r>
      <w:r w:rsidR="00B45C7B" w:rsidRPr="00E72418">
        <w:lastRenderedPageBreak/>
        <w:t>les exportations de pétrole</w:t>
      </w:r>
      <w:r w:rsidR="009B7F9D" w:rsidRPr="00E72418">
        <w:t xml:space="preserve"> de la République du Congo</w:t>
      </w:r>
      <w:r w:rsidR="00B45C7B" w:rsidRPr="00E72418">
        <w:t xml:space="preserve"> ont été bloquées durant des années</w:t>
      </w:r>
      <w:r w:rsidR="00B45C7B" w:rsidRPr="00E72418">
        <w:rPr>
          <w:rStyle w:val="Appelnotedebasdep"/>
          <w:rFonts w:cs="Times New Roman"/>
          <w:szCs w:val="24"/>
        </w:rPr>
        <w:footnoteReference w:id="832"/>
      </w:r>
      <w:r w:rsidR="00B45C7B" w:rsidRPr="00E72418">
        <w:t>. Dans l’hypothèse où l’</w:t>
      </w:r>
      <w:r w:rsidR="00B45C7B" w:rsidRPr="00E72418">
        <w:rPr>
          <w:rFonts w:cs="Times New Roman"/>
          <w:shd w:val="clear" w:color="auto" w:fill="FFFFFF"/>
        </w:rPr>
        <w:t>É</w:t>
      </w:r>
      <w:r w:rsidR="00B45C7B" w:rsidRPr="00E72418">
        <w:t xml:space="preserve">tat débiteur </w:t>
      </w:r>
      <w:r w:rsidR="00FA476C" w:rsidRPr="00E72418">
        <w:t>cherche à</w:t>
      </w:r>
      <w:r w:rsidR="00B45C7B" w:rsidRPr="00E72418">
        <w:t xml:space="preserve"> se </w:t>
      </w:r>
      <w:r w:rsidR="00FA476C" w:rsidRPr="00E72418">
        <w:t>prémunir contre ce</w:t>
      </w:r>
      <w:r w:rsidR="00B45C7B" w:rsidRPr="00E72418">
        <w:t xml:space="preserve">s attaques, il </w:t>
      </w:r>
      <w:r w:rsidR="00FA476C" w:rsidRPr="00E72418">
        <w:t xml:space="preserve">pourrait </w:t>
      </w:r>
      <w:r w:rsidR="00B45C7B" w:rsidRPr="00E72418">
        <w:t xml:space="preserve">chercher à protéger certains de ses avoirs </w:t>
      </w:r>
      <w:r w:rsidR="00FA476C" w:rsidRPr="00E72418">
        <w:t>par</w:t>
      </w:r>
      <w:r w:rsidR="00B45C7B" w:rsidRPr="00E72418">
        <w:t xml:space="preserve"> des manœuvres </w:t>
      </w:r>
      <w:r w:rsidR="00FA476C" w:rsidRPr="00E72418">
        <w:t>qui auront par contre pour conséquence de</w:t>
      </w:r>
      <w:r w:rsidR="00B45C7B" w:rsidRPr="00E72418">
        <w:t xml:space="preserve"> compliquer la fluidité de ses affaires</w:t>
      </w:r>
      <w:r w:rsidR="00B45C7B" w:rsidRPr="00E72418">
        <w:rPr>
          <w:rStyle w:val="Appelnotedebasdep"/>
          <w:rFonts w:cs="Times New Roman"/>
          <w:szCs w:val="24"/>
        </w:rPr>
        <w:footnoteReference w:id="833"/>
      </w:r>
      <w:r w:rsidR="00B45C7B" w:rsidRPr="00E72418">
        <w:t>.</w:t>
      </w:r>
    </w:p>
    <w:p w14:paraId="58849888" w14:textId="10146581" w:rsidR="00B45C7B" w:rsidRPr="00E72418" w:rsidRDefault="00B45C7B" w:rsidP="00CC4BA8">
      <w:pPr>
        <w:spacing w:line="276" w:lineRule="auto"/>
      </w:pPr>
      <w:r w:rsidRPr="00E72418">
        <w:rPr>
          <w:rFonts w:cs="Times New Roman"/>
          <w:szCs w:val="24"/>
        </w:rPr>
        <w:t>Il est des cas où les fonds spéculatifs attaquent ou menacent d’attaquer des interlocut</w:t>
      </w:r>
      <w:r w:rsidR="00FA476C" w:rsidRPr="00E72418">
        <w:rPr>
          <w:rFonts w:cs="Times New Roman"/>
          <w:szCs w:val="24"/>
        </w:rPr>
        <w:t>eurs liés ou travaillant avec l’</w:t>
      </w:r>
      <w:r w:rsidRPr="00E72418">
        <w:rPr>
          <w:rFonts w:cs="Times New Roman"/>
          <w:shd w:val="clear" w:color="auto" w:fill="FFFFFF"/>
        </w:rPr>
        <w:t>É</w:t>
      </w:r>
      <w:r w:rsidRPr="00E72418">
        <w:rPr>
          <w:rFonts w:cs="Times New Roman"/>
          <w:szCs w:val="24"/>
        </w:rPr>
        <w:t>tat débiteur</w:t>
      </w:r>
      <w:r w:rsidR="004A358F" w:rsidRPr="00E72418">
        <w:rPr>
          <w:rStyle w:val="Appelnotedebasdep"/>
          <w:rFonts w:cs="Times New Roman"/>
          <w:szCs w:val="24"/>
        </w:rPr>
        <w:footnoteReference w:id="834"/>
      </w:r>
      <w:r w:rsidR="007C7D6A" w:rsidRPr="00E72418">
        <w:rPr>
          <w:rFonts w:cs="Times New Roman"/>
          <w:szCs w:val="24"/>
          <w:vertAlign w:val="superscript"/>
        </w:rPr>
        <w:t>,</w:t>
      </w:r>
      <w:r w:rsidR="007C7D6A" w:rsidRPr="00E72418">
        <w:rPr>
          <w:rStyle w:val="Appelnotedebasdep"/>
          <w:rFonts w:cs="Times New Roman"/>
          <w:szCs w:val="24"/>
        </w:rPr>
        <w:footnoteReference w:id="835"/>
      </w:r>
      <w:r w:rsidRPr="00E72418">
        <w:rPr>
          <w:rFonts w:cs="Times New Roman"/>
          <w:szCs w:val="24"/>
        </w:rPr>
        <w:t xml:space="preserve">. </w:t>
      </w:r>
      <w:r w:rsidR="00FA476C" w:rsidRPr="00E72418">
        <w:rPr>
          <w:rFonts w:cs="Times New Roman"/>
          <w:szCs w:val="24"/>
        </w:rPr>
        <w:t>Ces attaques</w:t>
      </w:r>
      <w:r w:rsidRPr="00E72418">
        <w:rPr>
          <w:rFonts w:cs="Times New Roman"/>
          <w:szCs w:val="24"/>
        </w:rPr>
        <w:t xml:space="preserve"> entrave</w:t>
      </w:r>
      <w:r w:rsidR="00FA476C" w:rsidRPr="00E72418">
        <w:rPr>
          <w:rFonts w:cs="Times New Roman"/>
          <w:szCs w:val="24"/>
        </w:rPr>
        <w:t>nt</w:t>
      </w:r>
      <w:r w:rsidRPr="00E72418">
        <w:rPr>
          <w:rFonts w:cs="Times New Roman"/>
          <w:szCs w:val="24"/>
        </w:rPr>
        <w:t xml:space="preserve"> la bonne marche des affaires et la poursuite de relations commerciales </w:t>
      </w:r>
      <w:r w:rsidR="00FA476C" w:rsidRPr="00E72418">
        <w:rPr>
          <w:rFonts w:cs="Times New Roman"/>
          <w:szCs w:val="24"/>
        </w:rPr>
        <w:t>et conduisent à</w:t>
      </w:r>
      <w:r w:rsidRPr="00E72418">
        <w:rPr>
          <w:rFonts w:cs="Times New Roman"/>
          <w:szCs w:val="24"/>
        </w:rPr>
        <w:t xml:space="preserve"> de fâcheuses conséquences pour les économies </w:t>
      </w:r>
      <w:r w:rsidR="00FA476C" w:rsidRPr="00E72418">
        <w:rPr>
          <w:rFonts w:cs="Times New Roman"/>
          <w:szCs w:val="24"/>
        </w:rPr>
        <w:t>souveraines</w:t>
      </w:r>
      <w:r w:rsidRPr="00E72418">
        <w:rPr>
          <w:rFonts w:cs="Times New Roman"/>
          <w:szCs w:val="24"/>
        </w:rPr>
        <w:t xml:space="preserve"> qui voient des investissements disparaître</w:t>
      </w:r>
      <w:r w:rsidRPr="00E72418">
        <w:rPr>
          <w:rStyle w:val="Appelnotedebasdep"/>
          <w:rFonts w:cs="Times New Roman"/>
          <w:szCs w:val="24"/>
        </w:rPr>
        <w:footnoteReference w:id="836"/>
      </w:r>
      <w:r w:rsidRPr="00E72418">
        <w:rPr>
          <w:rFonts w:cs="Times New Roman"/>
          <w:szCs w:val="24"/>
        </w:rPr>
        <w:t xml:space="preserve">. </w:t>
      </w:r>
    </w:p>
    <w:p w14:paraId="71DC8A9F" w14:textId="77777777" w:rsidR="00B45C7B" w:rsidRPr="00E72418" w:rsidRDefault="00B45C7B" w:rsidP="00CC4BA8">
      <w:pPr>
        <w:spacing w:line="276" w:lineRule="auto"/>
        <w:rPr>
          <w:rFonts w:cs="Times New Roman"/>
          <w:szCs w:val="24"/>
        </w:rPr>
      </w:pPr>
      <w:r w:rsidRPr="00E72418">
        <w:rPr>
          <w:rFonts w:cs="Times New Roman"/>
          <w:szCs w:val="24"/>
        </w:rPr>
        <w:t xml:space="preserve">Les conséquences négatives des activités des fonds spéculatifs </w:t>
      </w:r>
      <w:r w:rsidR="00FA476C" w:rsidRPr="00E72418">
        <w:rPr>
          <w:rFonts w:cs="Times New Roman"/>
          <w:szCs w:val="24"/>
        </w:rPr>
        <w:t xml:space="preserve">ne </w:t>
      </w:r>
      <w:r w:rsidRPr="00E72418">
        <w:rPr>
          <w:rFonts w:cs="Times New Roman"/>
          <w:szCs w:val="24"/>
        </w:rPr>
        <w:t xml:space="preserve">se font </w:t>
      </w:r>
      <w:r w:rsidR="00FA476C" w:rsidRPr="00E72418">
        <w:rPr>
          <w:rFonts w:cs="Times New Roman"/>
          <w:szCs w:val="24"/>
        </w:rPr>
        <w:t xml:space="preserve">pas uniquement </w:t>
      </w:r>
      <w:r w:rsidRPr="00E72418">
        <w:rPr>
          <w:rFonts w:cs="Times New Roman"/>
          <w:szCs w:val="24"/>
        </w:rPr>
        <w:t xml:space="preserve">ressentir par les </w:t>
      </w:r>
      <w:r w:rsidRPr="00E72418">
        <w:rPr>
          <w:rFonts w:cs="Times New Roman"/>
          <w:shd w:val="clear" w:color="auto" w:fill="FFFFFF"/>
        </w:rPr>
        <w:t>É</w:t>
      </w:r>
      <w:r w:rsidRPr="00E72418">
        <w:rPr>
          <w:rFonts w:cs="Times New Roman"/>
          <w:szCs w:val="24"/>
        </w:rPr>
        <w:t>tats débiteurs</w:t>
      </w:r>
      <w:r w:rsidR="00FA476C" w:rsidRPr="00E72418">
        <w:rPr>
          <w:rFonts w:cs="Times New Roman"/>
          <w:szCs w:val="24"/>
        </w:rPr>
        <w:t xml:space="preserve">. Ces </w:t>
      </w:r>
      <w:r w:rsidRPr="00E72418">
        <w:rPr>
          <w:rFonts w:cs="Times New Roman"/>
          <w:szCs w:val="24"/>
        </w:rPr>
        <w:t>derniers ne pouv</w:t>
      </w:r>
      <w:r w:rsidR="00FA476C" w:rsidRPr="00E72418">
        <w:rPr>
          <w:rFonts w:cs="Times New Roman"/>
          <w:szCs w:val="24"/>
        </w:rPr>
        <w:t xml:space="preserve">ant jouer leur rôle de partenaire commercial crédible, </w:t>
      </w:r>
      <w:r w:rsidRPr="00E72418">
        <w:rPr>
          <w:rFonts w:cs="Times New Roman"/>
          <w:szCs w:val="24"/>
        </w:rPr>
        <w:t xml:space="preserve">l’ensemble du système </w:t>
      </w:r>
      <w:r w:rsidR="00FA476C" w:rsidRPr="00E72418">
        <w:rPr>
          <w:rFonts w:cs="Times New Roman"/>
          <w:szCs w:val="24"/>
        </w:rPr>
        <w:t>s’en</w:t>
      </w:r>
      <w:r w:rsidRPr="00E72418">
        <w:rPr>
          <w:rFonts w:cs="Times New Roman"/>
          <w:szCs w:val="24"/>
        </w:rPr>
        <w:t xml:space="preserve"> retrouve affecté</w:t>
      </w:r>
      <w:r w:rsidRPr="00E72418">
        <w:rPr>
          <w:rStyle w:val="Appelnotedebasdep"/>
        </w:rPr>
        <w:footnoteReference w:id="837"/>
      </w:r>
      <w:r w:rsidRPr="00E72418">
        <w:rPr>
          <w:rFonts w:cs="Times New Roman"/>
          <w:szCs w:val="24"/>
        </w:rPr>
        <w:t>.</w:t>
      </w:r>
    </w:p>
    <w:p w14:paraId="34BEE136" w14:textId="77777777" w:rsidR="00B45C7B" w:rsidRPr="00E72418" w:rsidRDefault="00B45C7B" w:rsidP="0054314B"/>
    <w:p w14:paraId="19D29A61" w14:textId="76E636C9" w:rsidR="00FA476C" w:rsidRPr="00E72418" w:rsidRDefault="007F038F" w:rsidP="00CC4BA8">
      <w:pPr>
        <w:spacing w:line="276" w:lineRule="auto"/>
        <w:rPr>
          <w:szCs w:val="24"/>
        </w:rPr>
      </w:pPr>
      <w:r w:rsidRPr="00E72418">
        <w:rPr>
          <w:b/>
          <w:szCs w:val="24"/>
        </w:rPr>
        <w:t>156</w:t>
      </w:r>
      <w:r w:rsidR="007E31CD" w:rsidRPr="00E72418">
        <w:rPr>
          <w:b/>
          <w:szCs w:val="24"/>
        </w:rPr>
        <w:t xml:space="preserve">. </w:t>
      </w:r>
      <w:r w:rsidR="00B45C7B" w:rsidRPr="00E72418">
        <w:rPr>
          <w:b/>
          <w:szCs w:val="24"/>
        </w:rPr>
        <w:t xml:space="preserve">La complication des relations diplomatiques – </w:t>
      </w:r>
      <w:r w:rsidR="00B45C7B" w:rsidRPr="00E72418">
        <w:rPr>
          <w:szCs w:val="24"/>
        </w:rPr>
        <w:t xml:space="preserve">Les </w:t>
      </w:r>
      <w:r w:rsidR="00B45C7B" w:rsidRPr="00E72418">
        <w:rPr>
          <w:rFonts w:cs="Times New Roman"/>
          <w:shd w:val="clear" w:color="auto" w:fill="FFFFFF"/>
        </w:rPr>
        <w:t>É</w:t>
      </w:r>
      <w:r w:rsidR="00B45C7B" w:rsidRPr="00E72418">
        <w:rPr>
          <w:szCs w:val="24"/>
        </w:rPr>
        <w:t xml:space="preserve">tats débiteurs attaqués par les fonds spéculatifs ne sont pas les seuls </w:t>
      </w:r>
      <w:r w:rsidR="00B45C7B" w:rsidRPr="00E72418">
        <w:rPr>
          <w:rFonts w:cs="Times New Roman"/>
          <w:shd w:val="clear" w:color="auto" w:fill="FFFFFF"/>
        </w:rPr>
        <w:t>É</w:t>
      </w:r>
      <w:r w:rsidR="00B45C7B" w:rsidRPr="00E72418">
        <w:rPr>
          <w:szCs w:val="24"/>
        </w:rPr>
        <w:t xml:space="preserve">tats à se trouver dans une position peu enviable. Les </w:t>
      </w:r>
      <w:r w:rsidR="00B45C7B" w:rsidRPr="00E72418">
        <w:rPr>
          <w:rFonts w:cs="Times New Roman"/>
          <w:shd w:val="clear" w:color="auto" w:fill="FFFFFF"/>
        </w:rPr>
        <w:t>É</w:t>
      </w:r>
      <w:r w:rsidR="00B45C7B" w:rsidRPr="00E72418">
        <w:rPr>
          <w:szCs w:val="24"/>
        </w:rPr>
        <w:t xml:space="preserve">tats dont les juridictions sont saisies par les fonds </w:t>
      </w:r>
      <w:r w:rsidR="00FA476C" w:rsidRPr="00E72418">
        <w:rPr>
          <w:szCs w:val="24"/>
        </w:rPr>
        <w:t>sont</w:t>
      </w:r>
      <w:r w:rsidR="00B45C7B" w:rsidRPr="00E72418">
        <w:rPr>
          <w:szCs w:val="24"/>
        </w:rPr>
        <w:t xml:space="preserve"> amenés à jouer un rôle </w:t>
      </w:r>
      <w:r w:rsidR="00FA476C" w:rsidRPr="00E72418">
        <w:rPr>
          <w:szCs w:val="24"/>
        </w:rPr>
        <w:t>susceptible d’</w:t>
      </w:r>
      <w:r w:rsidR="00B45C7B" w:rsidRPr="00E72418">
        <w:rPr>
          <w:szCs w:val="24"/>
        </w:rPr>
        <w:t xml:space="preserve">altérer leurs relations avec les débiteurs souverains. </w:t>
      </w:r>
    </w:p>
    <w:p w14:paraId="3F7932D6" w14:textId="77777777" w:rsidR="00B45C7B" w:rsidRPr="00E72418" w:rsidRDefault="00B45C7B" w:rsidP="00CC4BA8">
      <w:pPr>
        <w:spacing w:line="276" w:lineRule="auto"/>
        <w:rPr>
          <w:b/>
          <w:szCs w:val="24"/>
        </w:rPr>
      </w:pPr>
      <w:r w:rsidRPr="00E72418">
        <w:rPr>
          <w:rFonts w:cs="Times New Roman"/>
          <w:szCs w:val="24"/>
        </w:rPr>
        <w:t>Cette conséquence négative est reprise dans les propositions de législation ant</w:t>
      </w:r>
      <w:r w:rsidR="00FA476C" w:rsidRPr="00E72418">
        <w:rPr>
          <w:rFonts w:cs="Times New Roman"/>
          <w:szCs w:val="24"/>
        </w:rPr>
        <w:t>i-fonds vautours étatsuniennes où d</w:t>
      </w:r>
      <w:r w:rsidRPr="00E72418">
        <w:rPr>
          <w:rFonts w:cs="Times New Roman"/>
          <w:szCs w:val="24"/>
        </w:rPr>
        <w:t>es parlemen</w:t>
      </w:r>
      <w:r w:rsidR="0004079A" w:rsidRPr="00E72418">
        <w:rPr>
          <w:rFonts w:cs="Times New Roman"/>
          <w:szCs w:val="24"/>
        </w:rPr>
        <w:t>taires font le constat de ce qu’</w:t>
      </w:r>
      <w:r w:rsidRPr="00E72418">
        <w:rPr>
          <w:rFonts w:cs="Times New Roman"/>
          <w:szCs w:val="24"/>
        </w:rPr>
        <w:t xml:space="preserve"> « </w:t>
      </w:r>
      <w:r w:rsidRPr="00E72418">
        <w:rPr>
          <w:rFonts w:ascii="Times New Roman" w:hAnsi="Times New Roman" w:cs="Times New Roman"/>
        </w:rPr>
        <w:t>[i]</w:t>
      </w:r>
      <w:r w:rsidRPr="00E72418">
        <w:rPr>
          <w:rFonts w:cs="Times New Roman"/>
          <w:szCs w:val="24"/>
        </w:rPr>
        <w:t>n pursuit of their collection activities, vulture creditors have engaged in litigation in the courts of the United States, which has, and continues to have, a negative effect on the foreign relations of the United States, and hinders trade between the United States and the poor countries whose defaulted debts have been acquired by vulture creditors »</w:t>
      </w:r>
      <w:r w:rsidRPr="00E72418">
        <w:rPr>
          <w:rStyle w:val="Appelnotedebasdep"/>
          <w:rFonts w:cs="Times New Roman"/>
          <w:szCs w:val="24"/>
        </w:rPr>
        <w:footnoteReference w:id="838"/>
      </w:r>
      <w:r w:rsidRPr="00E72418">
        <w:rPr>
          <w:rFonts w:cs="Times New Roman"/>
          <w:szCs w:val="24"/>
        </w:rPr>
        <w:t>.</w:t>
      </w:r>
    </w:p>
    <w:p w14:paraId="27A00D0B" w14:textId="77777777" w:rsidR="00B45C7B" w:rsidRPr="00E72418" w:rsidRDefault="00B45C7B" w:rsidP="00CC4BA8">
      <w:pPr>
        <w:spacing w:line="276" w:lineRule="auto"/>
      </w:pPr>
      <w:r w:rsidRPr="00E72418">
        <w:rPr>
          <w:shd w:val="clear" w:color="auto" w:fill="FFFFFF"/>
        </w:rPr>
        <w:t xml:space="preserve">Les attaques </w:t>
      </w:r>
      <w:r w:rsidR="004C3BE9" w:rsidRPr="00E72418">
        <w:rPr>
          <w:shd w:val="clear" w:color="auto" w:fill="FFFFFF"/>
        </w:rPr>
        <w:t>portées par</w:t>
      </w:r>
      <w:r w:rsidRPr="00E72418">
        <w:rPr>
          <w:shd w:val="clear" w:color="auto" w:fill="FFFFFF"/>
        </w:rPr>
        <w:t xml:space="preserve"> les fonds spéculatifs sur des fonds bilatéraux liés au développement </w:t>
      </w:r>
      <w:r w:rsidR="004C3BE9" w:rsidRPr="00E72418">
        <w:rPr>
          <w:shd w:val="clear" w:color="auto" w:fill="FFFFFF"/>
        </w:rPr>
        <w:t>peuvent</w:t>
      </w:r>
      <w:r w:rsidRPr="00E72418">
        <w:rPr>
          <w:shd w:val="clear" w:color="auto" w:fill="FFFFFF"/>
        </w:rPr>
        <w:t xml:space="preserve"> également perturber la bonne entente entre les pourvoyeurs de fonds et leurs </w:t>
      </w:r>
      <w:r w:rsidRPr="00E72418">
        <w:rPr>
          <w:shd w:val="clear" w:color="auto" w:fill="FFFFFF"/>
        </w:rPr>
        <w:lastRenderedPageBreak/>
        <w:t>récipiendaires. Il fut ainsi relevé lors des travaux préparatoires de la loi française Sapin II qu’en opérant des saisies sur les flux financiers entre les États en développement et leurs partenaires économiques, les fonds spéculatifs peuvent affecter les relations bilatérales entre l’État français et ces États</w:t>
      </w:r>
      <w:r w:rsidRPr="00E72418">
        <w:rPr>
          <w:rStyle w:val="Appelnotedebasdep"/>
          <w:rFonts w:cs="Times New Roman"/>
          <w:shd w:val="clear" w:color="auto" w:fill="FFFFFF"/>
        </w:rPr>
        <w:footnoteReference w:id="839"/>
      </w:r>
      <w:r w:rsidRPr="00E72418">
        <w:rPr>
          <w:shd w:val="clear" w:color="auto" w:fill="FFFFFF"/>
        </w:rPr>
        <w:t>.</w:t>
      </w:r>
      <w:r w:rsidRPr="00E72418">
        <w:t xml:space="preserve"> </w:t>
      </w:r>
    </w:p>
    <w:p w14:paraId="4221158B" w14:textId="77777777" w:rsidR="00B45C7B" w:rsidRPr="00E72418" w:rsidRDefault="00B45C7B" w:rsidP="0054314B"/>
    <w:p w14:paraId="0A445855" w14:textId="41C785A5" w:rsidR="00B45C7B" w:rsidRPr="00E72418" w:rsidRDefault="000764CE" w:rsidP="00CC4BA8">
      <w:pPr>
        <w:pStyle w:val="CC"/>
        <w:spacing w:line="276" w:lineRule="auto"/>
      </w:pPr>
      <w:bookmarkStart w:id="181" w:name="_Toc59280926"/>
      <w:bookmarkStart w:id="182" w:name="_Toc75106089"/>
      <w:bookmarkStart w:id="183" w:name="_Toc84540914"/>
      <w:r w:rsidRPr="00E72418">
        <w:t xml:space="preserve">Chapitre 6 : </w:t>
      </w:r>
      <w:r w:rsidR="00B45C7B" w:rsidRPr="00E72418">
        <w:t>Le</w:t>
      </w:r>
      <w:bookmarkEnd w:id="181"/>
      <w:bookmarkEnd w:id="182"/>
      <w:r w:rsidR="0030527A" w:rsidRPr="00E72418">
        <w:t>s mérites</w:t>
      </w:r>
      <w:bookmarkEnd w:id="183"/>
    </w:p>
    <w:p w14:paraId="7AFD5864" w14:textId="77777777" w:rsidR="00B45C7B" w:rsidRPr="00E72418" w:rsidRDefault="00B45C7B" w:rsidP="0054314B"/>
    <w:p w14:paraId="47236AB0" w14:textId="3197DE81" w:rsidR="00357400" w:rsidRPr="00E72418" w:rsidRDefault="007F038F" w:rsidP="0091693F">
      <w:pPr>
        <w:spacing w:line="276" w:lineRule="auto"/>
        <w:rPr>
          <w:rFonts w:cs="Times New Roman"/>
          <w:szCs w:val="24"/>
        </w:rPr>
      </w:pPr>
      <w:r w:rsidRPr="00E72418">
        <w:rPr>
          <w:rFonts w:cs="Times New Roman"/>
          <w:b/>
          <w:szCs w:val="24"/>
        </w:rPr>
        <w:t>157</w:t>
      </w:r>
      <w:r w:rsidR="007E31CD" w:rsidRPr="00E72418">
        <w:rPr>
          <w:rFonts w:cs="Times New Roman"/>
          <w:b/>
          <w:szCs w:val="24"/>
        </w:rPr>
        <w:t xml:space="preserve">. </w:t>
      </w:r>
      <w:r w:rsidR="00B45C7B" w:rsidRPr="00E72418">
        <w:rPr>
          <w:rFonts w:cs="Times New Roman"/>
          <w:b/>
          <w:szCs w:val="24"/>
        </w:rPr>
        <w:t>Des qualités –</w:t>
      </w:r>
      <w:r w:rsidR="00B45C7B" w:rsidRPr="00E72418">
        <w:rPr>
          <w:rFonts w:cs="Times New Roman"/>
          <w:szCs w:val="24"/>
        </w:rPr>
        <w:t xml:space="preserve"> </w:t>
      </w:r>
      <w:r w:rsidR="002D773E" w:rsidRPr="00E72418">
        <w:rPr>
          <w:rFonts w:cs="Times New Roman"/>
          <w:szCs w:val="24"/>
        </w:rPr>
        <w:t>D’aucuns</w:t>
      </w:r>
      <w:r w:rsidR="00B45C7B" w:rsidRPr="00E72418">
        <w:rPr>
          <w:rFonts w:cs="Times New Roman"/>
          <w:szCs w:val="24"/>
        </w:rPr>
        <w:t xml:space="preserve"> voient dans les activités des fonds spéculatifs et les profits que ceux-ci sont en mesure d’en tirer la simple déclinaison du principe selon lequel</w:t>
      </w:r>
      <w:r w:rsidR="00964EF8" w:rsidRPr="00E72418">
        <w:rPr>
          <w:rFonts w:cs="Times New Roman"/>
          <w:szCs w:val="24"/>
        </w:rPr>
        <w:t>,</w:t>
      </w:r>
      <w:r w:rsidR="00B45C7B" w:rsidRPr="00E72418">
        <w:rPr>
          <w:rFonts w:cs="Times New Roman"/>
          <w:szCs w:val="24"/>
        </w:rPr>
        <w:t xml:space="preserve"> en matière d’investissement</w:t>
      </w:r>
      <w:r w:rsidR="005B6A73" w:rsidRPr="00E72418">
        <w:rPr>
          <w:rFonts w:cs="Times New Roman"/>
          <w:szCs w:val="24"/>
        </w:rPr>
        <w:t>,</w:t>
      </w:r>
      <w:r w:rsidR="00B45C7B" w:rsidRPr="00E72418">
        <w:rPr>
          <w:rFonts w:cs="Times New Roman"/>
          <w:szCs w:val="24"/>
        </w:rPr>
        <w:t xml:space="preserve"> </w:t>
      </w:r>
      <w:r w:rsidR="00B45C7B" w:rsidRPr="00E72418">
        <w:rPr>
          <w:szCs w:val="24"/>
        </w:rPr>
        <w:t>de grands</w:t>
      </w:r>
      <w:r w:rsidR="00B777C3" w:rsidRPr="00E72418">
        <w:rPr>
          <w:szCs w:val="24"/>
        </w:rPr>
        <w:t xml:space="preserve"> risques doivent aller de pair </w:t>
      </w:r>
      <w:r w:rsidR="002D773E" w:rsidRPr="00E72418">
        <w:rPr>
          <w:szCs w:val="24"/>
        </w:rPr>
        <w:t xml:space="preserve">avec d’importants </w:t>
      </w:r>
      <w:r w:rsidR="00B45C7B" w:rsidRPr="00E72418">
        <w:rPr>
          <w:szCs w:val="24"/>
        </w:rPr>
        <w:t>profits</w:t>
      </w:r>
      <w:r w:rsidR="00B45C7B" w:rsidRPr="00E72418">
        <w:rPr>
          <w:rStyle w:val="Appelnotedebasdep"/>
          <w:szCs w:val="24"/>
        </w:rPr>
        <w:footnoteReference w:id="840"/>
      </w:r>
      <w:r w:rsidR="00E37070" w:rsidRPr="00E72418">
        <w:rPr>
          <w:szCs w:val="24"/>
          <w:vertAlign w:val="superscript"/>
        </w:rPr>
        <w:t>,</w:t>
      </w:r>
      <w:r w:rsidR="00B45C7B" w:rsidRPr="00E72418">
        <w:rPr>
          <w:rStyle w:val="Appelnotedebasdep"/>
          <w:szCs w:val="24"/>
        </w:rPr>
        <w:footnoteReference w:id="841"/>
      </w:r>
      <w:r w:rsidR="00B45C7B" w:rsidRPr="00E72418">
        <w:rPr>
          <w:szCs w:val="24"/>
        </w:rPr>
        <w:t xml:space="preserve">. </w:t>
      </w:r>
      <w:r w:rsidR="00B45C7B" w:rsidRPr="00E72418">
        <w:rPr>
          <w:rFonts w:cs="Times New Roman"/>
          <w:szCs w:val="24"/>
        </w:rPr>
        <w:t>Au-delà de cette justification</w:t>
      </w:r>
      <w:r w:rsidR="00E16F06" w:rsidRPr="00E72418">
        <w:rPr>
          <w:rFonts w:cs="Times New Roman"/>
          <w:szCs w:val="24"/>
        </w:rPr>
        <w:t>,</w:t>
      </w:r>
      <w:r w:rsidR="00B45C7B" w:rsidRPr="00E72418">
        <w:rPr>
          <w:rFonts w:cs="Times New Roman"/>
          <w:szCs w:val="24"/>
        </w:rPr>
        <w:t xml:space="preserve"> et </w:t>
      </w:r>
      <w:r w:rsidR="002D773E" w:rsidRPr="00E72418">
        <w:rPr>
          <w:rFonts w:cs="Times New Roman"/>
          <w:szCs w:val="24"/>
        </w:rPr>
        <w:t>même si</w:t>
      </w:r>
      <w:r w:rsidR="00B45C7B" w:rsidRPr="00E72418">
        <w:rPr>
          <w:rFonts w:cs="Times New Roman"/>
          <w:szCs w:val="24"/>
        </w:rPr>
        <w:t xml:space="preserve"> la littérature scientifique traitant du phénomène des fonds spéculatifs reprend pour l’essentiel des reproches à leur encontre, il est des qualités et des effets bénéfiques de leurs activité</w:t>
      </w:r>
      <w:r w:rsidR="002D773E" w:rsidRPr="00E72418">
        <w:rPr>
          <w:rFonts w:cs="Times New Roman"/>
          <w:szCs w:val="24"/>
        </w:rPr>
        <w:t xml:space="preserve">s qui ne </w:t>
      </w:r>
      <w:r w:rsidR="00E16F06" w:rsidRPr="00E72418">
        <w:rPr>
          <w:rFonts w:cs="Times New Roman"/>
          <w:szCs w:val="24"/>
        </w:rPr>
        <w:t xml:space="preserve">pourraient </w:t>
      </w:r>
      <w:r w:rsidR="002D773E" w:rsidRPr="00E72418">
        <w:rPr>
          <w:rFonts w:cs="Times New Roman"/>
          <w:szCs w:val="24"/>
        </w:rPr>
        <w:t>être tus</w:t>
      </w:r>
      <w:r w:rsidR="00B45C7B" w:rsidRPr="00E72418">
        <w:rPr>
          <w:rFonts w:cs="Times New Roman"/>
          <w:szCs w:val="24"/>
        </w:rPr>
        <w:t xml:space="preserve">. </w:t>
      </w:r>
      <w:r w:rsidR="00A9063C">
        <w:rPr>
          <w:rFonts w:cs="Times New Roman"/>
          <w:szCs w:val="24"/>
        </w:rPr>
        <w:t>L</w:t>
      </w:r>
      <w:r w:rsidR="00B45C7B" w:rsidRPr="00E72418">
        <w:rPr>
          <w:rFonts w:cs="Times New Roman"/>
          <w:szCs w:val="24"/>
        </w:rPr>
        <w:t>e</w:t>
      </w:r>
      <w:r w:rsidR="0030527A" w:rsidRPr="00E72418">
        <w:rPr>
          <w:rFonts w:cs="Times New Roman"/>
          <w:szCs w:val="24"/>
        </w:rPr>
        <w:t>s</w:t>
      </w:r>
      <w:r w:rsidR="00B45C7B" w:rsidRPr="00E72418">
        <w:rPr>
          <w:rFonts w:cs="Times New Roman"/>
          <w:szCs w:val="24"/>
        </w:rPr>
        <w:t xml:space="preserve"> </w:t>
      </w:r>
      <w:r w:rsidR="0030527A" w:rsidRPr="00E72418">
        <w:rPr>
          <w:rFonts w:cs="Times New Roman"/>
          <w:szCs w:val="24"/>
        </w:rPr>
        <w:t xml:space="preserve">mérites reconnus </w:t>
      </w:r>
      <w:r w:rsidR="00B45C7B" w:rsidRPr="00E72418">
        <w:rPr>
          <w:rFonts w:cs="Times New Roman"/>
          <w:szCs w:val="24"/>
        </w:rPr>
        <w:t>aux fonds découle</w:t>
      </w:r>
      <w:r w:rsidR="00E16F06" w:rsidRPr="00E72418">
        <w:rPr>
          <w:rFonts w:cs="Times New Roman"/>
          <w:szCs w:val="24"/>
        </w:rPr>
        <w:t>nt</w:t>
      </w:r>
      <w:r w:rsidR="00B45C7B" w:rsidRPr="00E72418">
        <w:rPr>
          <w:rFonts w:cs="Times New Roman"/>
          <w:szCs w:val="24"/>
        </w:rPr>
        <w:t>, d’une part, de la liquidité des capitaux et de la réduction de leurs coûts qu’ils permettent</w:t>
      </w:r>
      <w:r w:rsidR="007A0127" w:rsidRPr="00E72418">
        <w:rPr>
          <w:rFonts w:cs="Times New Roman"/>
          <w:szCs w:val="24"/>
        </w:rPr>
        <w:t xml:space="preserve"> (</w:t>
      </w:r>
      <w:r w:rsidR="007A0127" w:rsidRPr="00E72418">
        <w:rPr>
          <w:rFonts w:cs="Times New Roman"/>
          <w:b/>
          <w:szCs w:val="24"/>
        </w:rPr>
        <w:t>section 1</w:t>
      </w:r>
      <w:r w:rsidR="007A0127" w:rsidRPr="00E72418">
        <w:rPr>
          <w:rFonts w:cs="Times New Roman"/>
          <w:szCs w:val="24"/>
        </w:rPr>
        <w:t>)</w:t>
      </w:r>
      <w:r w:rsidR="00B45C7B" w:rsidRPr="00E72418">
        <w:rPr>
          <w:rFonts w:cs="Times New Roman"/>
          <w:szCs w:val="24"/>
        </w:rPr>
        <w:t>, d’autre part, de la mission de surveillance qu’ils remplissent</w:t>
      </w:r>
      <w:r w:rsidR="007A0127" w:rsidRPr="00E72418">
        <w:rPr>
          <w:rFonts w:cs="Times New Roman"/>
          <w:szCs w:val="24"/>
        </w:rPr>
        <w:t xml:space="preserve"> (</w:t>
      </w:r>
      <w:r w:rsidR="007A0127" w:rsidRPr="00E72418">
        <w:rPr>
          <w:rFonts w:cs="Times New Roman"/>
          <w:b/>
          <w:szCs w:val="24"/>
        </w:rPr>
        <w:t>section 2</w:t>
      </w:r>
      <w:r w:rsidR="007A0127" w:rsidRPr="00E72418">
        <w:rPr>
          <w:rFonts w:cs="Times New Roman"/>
          <w:szCs w:val="24"/>
        </w:rPr>
        <w:t>)</w:t>
      </w:r>
      <w:r w:rsidR="00B45C7B" w:rsidRPr="00E72418">
        <w:rPr>
          <w:rFonts w:cs="Times New Roman"/>
          <w:szCs w:val="24"/>
        </w:rPr>
        <w:t xml:space="preserve">. </w:t>
      </w:r>
      <w:r w:rsidR="002D773E" w:rsidRPr="00E72418">
        <w:rPr>
          <w:rFonts w:cs="Times New Roman"/>
          <w:szCs w:val="24"/>
        </w:rPr>
        <w:t>Il nous apparaît que c</w:t>
      </w:r>
      <w:r w:rsidR="00B45C7B" w:rsidRPr="00E72418">
        <w:rPr>
          <w:rFonts w:cs="Times New Roman"/>
          <w:szCs w:val="24"/>
        </w:rPr>
        <w:t>e</w:t>
      </w:r>
      <w:r w:rsidR="00AE5F9B" w:rsidRPr="00E72418">
        <w:rPr>
          <w:rFonts w:cs="Times New Roman"/>
          <w:szCs w:val="24"/>
        </w:rPr>
        <w:t>s</w:t>
      </w:r>
      <w:r w:rsidR="00B45C7B" w:rsidRPr="00E72418">
        <w:rPr>
          <w:rFonts w:cs="Times New Roman"/>
          <w:szCs w:val="24"/>
        </w:rPr>
        <w:t xml:space="preserve"> </w:t>
      </w:r>
      <w:r w:rsidR="00AE5F9B" w:rsidRPr="00E72418">
        <w:rPr>
          <w:rFonts w:cs="Times New Roman"/>
          <w:szCs w:val="24"/>
        </w:rPr>
        <w:t xml:space="preserve">mérites </w:t>
      </w:r>
      <w:r w:rsidR="00B45C7B" w:rsidRPr="00E72418">
        <w:rPr>
          <w:rFonts w:cs="Times New Roman"/>
          <w:szCs w:val="24"/>
        </w:rPr>
        <w:t>doi</w:t>
      </w:r>
      <w:r w:rsidR="00AE5F9B" w:rsidRPr="00E72418">
        <w:rPr>
          <w:rFonts w:cs="Times New Roman"/>
          <w:szCs w:val="24"/>
        </w:rPr>
        <w:t>vent</w:t>
      </w:r>
      <w:r w:rsidR="00B45C7B" w:rsidRPr="00E72418">
        <w:rPr>
          <w:rFonts w:cs="Times New Roman"/>
          <w:szCs w:val="24"/>
        </w:rPr>
        <w:t xml:space="preserve"> être pris en compte dans la réflexion sur la pert</w:t>
      </w:r>
      <w:r w:rsidR="00802A9E" w:rsidRPr="00E72418">
        <w:rPr>
          <w:rFonts w:cs="Times New Roman"/>
          <w:szCs w:val="24"/>
        </w:rPr>
        <w:t xml:space="preserve">inence et sur la manière de réglementer </w:t>
      </w:r>
      <w:r w:rsidR="00B45C7B" w:rsidRPr="00E72418">
        <w:rPr>
          <w:rFonts w:cs="Times New Roman"/>
          <w:szCs w:val="24"/>
        </w:rPr>
        <w:t>leurs activités</w:t>
      </w:r>
      <w:r w:rsidR="002D773E" w:rsidRPr="00E72418">
        <w:rPr>
          <w:rStyle w:val="Appelnotedebasdep"/>
          <w:rFonts w:cs="Times New Roman"/>
          <w:szCs w:val="24"/>
        </w:rPr>
        <w:footnoteReference w:id="842"/>
      </w:r>
      <w:r w:rsidR="00B45C7B" w:rsidRPr="00E72418">
        <w:rPr>
          <w:rFonts w:cs="Times New Roman"/>
          <w:szCs w:val="24"/>
        </w:rPr>
        <w:t>.</w:t>
      </w:r>
      <w:bookmarkStart w:id="184" w:name="_Toc59280927"/>
      <w:bookmarkStart w:id="185" w:name="_Toc84540915"/>
    </w:p>
    <w:p w14:paraId="792214A0" w14:textId="77777777" w:rsidR="0091693F" w:rsidRPr="00E72418" w:rsidRDefault="0091693F" w:rsidP="0091693F">
      <w:pPr>
        <w:spacing w:line="276" w:lineRule="auto"/>
      </w:pPr>
    </w:p>
    <w:p w14:paraId="3F2C820F" w14:textId="111E0145" w:rsidR="00B45C7B" w:rsidRPr="00E72418" w:rsidRDefault="000764CE" w:rsidP="00CC4BA8">
      <w:pPr>
        <w:pStyle w:val="DD"/>
        <w:spacing w:line="276" w:lineRule="auto"/>
      </w:pPr>
      <w:r w:rsidRPr="00E72418">
        <w:t xml:space="preserve">Section 1 : </w:t>
      </w:r>
      <w:r w:rsidR="00B45C7B" w:rsidRPr="00E72418">
        <w:t>La liquidité et le coût du capital</w:t>
      </w:r>
      <w:bookmarkEnd w:id="184"/>
      <w:bookmarkEnd w:id="185"/>
    </w:p>
    <w:p w14:paraId="26769C5D" w14:textId="77777777" w:rsidR="0030527A" w:rsidRPr="00E72418" w:rsidRDefault="0030527A" w:rsidP="0054314B"/>
    <w:p w14:paraId="21A90A62" w14:textId="02963968" w:rsidR="00B45C7B" w:rsidRPr="00E72418" w:rsidRDefault="007F038F" w:rsidP="00CC4BA8">
      <w:pPr>
        <w:spacing w:line="276" w:lineRule="auto"/>
      </w:pPr>
      <w:r w:rsidRPr="00E72418">
        <w:rPr>
          <w:b/>
        </w:rPr>
        <w:t>158</w:t>
      </w:r>
      <w:r w:rsidR="007E31CD" w:rsidRPr="00E72418">
        <w:rPr>
          <w:b/>
        </w:rPr>
        <w:t xml:space="preserve">. </w:t>
      </w:r>
      <w:r w:rsidR="00B45C7B" w:rsidRPr="00E72418">
        <w:rPr>
          <w:b/>
        </w:rPr>
        <w:t>L’efficience du marché –</w:t>
      </w:r>
      <w:r w:rsidR="00B45C7B" w:rsidRPr="00E72418">
        <w:t xml:space="preserve"> Les fonds spéculatifs contribuent à la liqui</w:t>
      </w:r>
      <w:r w:rsidR="00B777C3" w:rsidRPr="00E72418">
        <w:t>di</w:t>
      </w:r>
      <w:r w:rsidR="002D773E" w:rsidRPr="00E72418">
        <w:t>té des</w:t>
      </w:r>
      <w:r w:rsidR="00B45C7B" w:rsidRPr="00E72418">
        <w:t xml:space="preserve"> dette</w:t>
      </w:r>
      <w:r w:rsidR="002D773E" w:rsidRPr="00E72418">
        <w:t>s</w:t>
      </w:r>
      <w:r w:rsidR="00B45C7B" w:rsidRPr="00E72418">
        <w:t xml:space="preserve"> souveraine</w:t>
      </w:r>
      <w:r w:rsidR="002D773E" w:rsidRPr="00E72418">
        <w:t>s</w:t>
      </w:r>
      <w:r w:rsidR="00B45C7B" w:rsidRPr="00E72418">
        <w:t xml:space="preserve"> de par la place qu’ils occupent sur le marché secondaire. Ce marché est important en ce qu’il permet aux créanciers de </w:t>
      </w:r>
      <w:r w:rsidR="002D773E" w:rsidRPr="00E72418">
        <w:t>solder</w:t>
      </w:r>
      <w:r w:rsidR="00B45C7B" w:rsidRPr="00E72418">
        <w:t xml:space="preserve"> </w:t>
      </w:r>
      <w:r w:rsidR="002D773E" w:rsidRPr="00E72418">
        <w:t xml:space="preserve">leur </w:t>
      </w:r>
      <w:r w:rsidR="00B45C7B" w:rsidRPr="00E72418">
        <w:t>investissement en revendant les titres qu’ils détiennent</w:t>
      </w:r>
      <w:r w:rsidR="00B45C7B" w:rsidRPr="00E72418">
        <w:rPr>
          <w:rStyle w:val="Appelnotedebasdep"/>
        </w:rPr>
        <w:footnoteReference w:id="843"/>
      </w:r>
      <w:r w:rsidR="00B45C7B" w:rsidRPr="00E72418">
        <w:t xml:space="preserve">. Cette possibilité </w:t>
      </w:r>
      <w:r w:rsidR="002D773E" w:rsidRPr="00E72418">
        <w:t xml:space="preserve">de sortie </w:t>
      </w:r>
      <w:r w:rsidR="00B45C7B" w:rsidRPr="00E72418">
        <w:t xml:space="preserve">rend le financement étatique moins risqué et contribue </w:t>
      </w:r>
      <w:r w:rsidR="002D773E" w:rsidRPr="00E72418">
        <w:t xml:space="preserve">par conséquent au </w:t>
      </w:r>
      <w:r w:rsidR="00B45C7B" w:rsidRPr="00E72418">
        <w:t>bon fonctionnement</w:t>
      </w:r>
      <w:r w:rsidR="002D773E" w:rsidRPr="00E72418">
        <w:t xml:space="preserve"> du marché</w:t>
      </w:r>
      <w:r w:rsidR="00B45C7B" w:rsidRPr="00E72418">
        <w:rPr>
          <w:rStyle w:val="Appelnotedebasdep"/>
        </w:rPr>
        <w:footnoteReference w:id="844"/>
      </w:r>
      <w:r w:rsidR="00B45C7B" w:rsidRPr="00E72418">
        <w:t xml:space="preserve">. </w:t>
      </w:r>
      <w:r w:rsidR="002D773E" w:rsidRPr="00E72418">
        <w:t>Ainsi, t</w:t>
      </w:r>
      <w:r w:rsidR="00B45C7B" w:rsidRPr="00E72418">
        <w:rPr>
          <w:rFonts w:cs="Times New Roman"/>
          <w:szCs w:val="24"/>
        </w:rPr>
        <w:t xml:space="preserve">oute inefficience du marché </w:t>
      </w:r>
      <w:r w:rsidR="00B45C7B" w:rsidRPr="00E72418">
        <w:rPr>
          <w:rFonts w:cs="Times New Roman"/>
          <w:szCs w:val="24"/>
        </w:rPr>
        <w:lastRenderedPageBreak/>
        <w:t>secondaire freine l’activité sur le marché primaire et décourage dans le même temps les émissions de dettes</w:t>
      </w:r>
      <w:r w:rsidR="00B45C7B" w:rsidRPr="00E72418">
        <w:rPr>
          <w:rStyle w:val="Appelnotedebasdep"/>
          <w:rFonts w:cs="Times New Roman"/>
          <w:szCs w:val="24"/>
        </w:rPr>
        <w:footnoteReference w:id="845"/>
      </w:r>
      <w:r w:rsidR="00B45C7B" w:rsidRPr="00E72418">
        <w:rPr>
          <w:rFonts w:cs="Times New Roman"/>
          <w:szCs w:val="24"/>
        </w:rPr>
        <w:t>.</w:t>
      </w:r>
      <w:r w:rsidR="00B45C7B" w:rsidRPr="00E72418">
        <w:t xml:space="preserve"> </w:t>
      </w:r>
    </w:p>
    <w:p w14:paraId="6D001F99" w14:textId="77777777" w:rsidR="00B45C7B" w:rsidRPr="00E72418" w:rsidRDefault="00504175" w:rsidP="00CC4BA8">
      <w:pPr>
        <w:spacing w:line="276" w:lineRule="auto"/>
      </w:pPr>
      <w:r w:rsidRPr="00E72418">
        <w:rPr>
          <w:rFonts w:cs="Times New Roman"/>
          <w:szCs w:val="24"/>
        </w:rPr>
        <w:t>La faculté de</w:t>
      </w:r>
      <w:r w:rsidR="00B45C7B" w:rsidRPr="00E72418">
        <w:rPr>
          <w:rFonts w:cs="Times New Roman"/>
          <w:szCs w:val="24"/>
        </w:rPr>
        <w:t xml:space="preserve"> se libérer de titres </w:t>
      </w:r>
      <w:r w:rsidRPr="00E72418">
        <w:rPr>
          <w:rFonts w:cs="Times New Roman"/>
          <w:szCs w:val="24"/>
        </w:rPr>
        <w:t>ébranlés</w:t>
      </w:r>
      <w:r w:rsidR="00B45C7B" w:rsidRPr="00E72418">
        <w:rPr>
          <w:rFonts w:cs="Times New Roman"/>
          <w:szCs w:val="24"/>
        </w:rPr>
        <w:t xml:space="preserve"> sans remou</w:t>
      </w:r>
      <w:r w:rsidR="00B777C3" w:rsidRPr="00E72418">
        <w:rPr>
          <w:rFonts w:cs="Times New Roman"/>
          <w:szCs w:val="24"/>
        </w:rPr>
        <w:t>s</w:t>
      </w:r>
      <w:r w:rsidR="00B45C7B" w:rsidRPr="00E72418">
        <w:rPr>
          <w:rFonts w:cs="Times New Roman"/>
          <w:szCs w:val="24"/>
        </w:rPr>
        <w:t xml:space="preserve"> peut être particulièrement attrayant</w:t>
      </w:r>
      <w:r w:rsidRPr="00E72418">
        <w:rPr>
          <w:rFonts w:cs="Times New Roman"/>
          <w:szCs w:val="24"/>
        </w:rPr>
        <w:t>e</w:t>
      </w:r>
      <w:r w:rsidR="00B45C7B" w:rsidRPr="00E72418">
        <w:rPr>
          <w:rFonts w:cs="Times New Roman"/>
          <w:szCs w:val="24"/>
        </w:rPr>
        <w:t xml:space="preserve"> pour les investisseurs institutionnels ou étatiques ne souhaitant pas se livrer à des contentieux avec des </w:t>
      </w:r>
      <w:r w:rsidR="00B45C7B" w:rsidRPr="00E72418">
        <w:t>É</w:t>
      </w:r>
      <w:r w:rsidR="00B45C7B" w:rsidRPr="00E72418">
        <w:rPr>
          <w:rFonts w:cs="Times New Roman"/>
          <w:szCs w:val="24"/>
        </w:rPr>
        <w:t>tats débiteurs de crainte de voir leurs relations se détériorer</w:t>
      </w:r>
      <w:r w:rsidR="00B45C7B" w:rsidRPr="00E72418">
        <w:rPr>
          <w:rStyle w:val="Appelnotedebasdep"/>
          <w:rFonts w:ascii="Times New Roman" w:hAnsi="Times New Roman" w:cs="Times New Roman"/>
          <w:szCs w:val="24"/>
        </w:rPr>
        <w:footnoteReference w:id="846"/>
      </w:r>
      <w:r w:rsidR="00B45C7B" w:rsidRPr="00E72418">
        <w:rPr>
          <w:rFonts w:ascii="Times New Roman" w:hAnsi="Times New Roman" w:cs="Times New Roman"/>
          <w:szCs w:val="24"/>
        </w:rPr>
        <w:t>.</w:t>
      </w:r>
      <w:r w:rsidR="00B45C7B" w:rsidRPr="00E72418">
        <w:t xml:space="preserve"> L’on pourrait </w:t>
      </w:r>
      <w:r w:rsidRPr="00E72418">
        <w:t>également imaginer que certaines de leurs règles internes</w:t>
      </w:r>
      <w:r w:rsidR="00B45C7B" w:rsidRPr="00E72418">
        <w:t xml:space="preserve"> </w:t>
      </w:r>
      <w:r w:rsidRPr="00E72418">
        <w:t>leur interdise</w:t>
      </w:r>
      <w:r w:rsidR="00B45C7B" w:rsidRPr="00E72418">
        <w:t xml:space="preserve">nt de conserver dans leur portefeuille des actifs ébranlés et les </w:t>
      </w:r>
      <w:r w:rsidRPr="00E72418">
        <w:t>contraignent</w:t>
      </w:r>
      <w:r w:rsidR="00B45C7B" w:rsidRPr="00E72418">
        <w:t xml:space="preserve"> à s’en déba</w:t>
      </w:r>
      <w:r w:rsidR="00B777C3" w:rsidRPr="00E72418">
        <w:t>r</w:t>
      </w:r>
      <w:r w:rsidR="00B45C7B" w:rsidRPr="00E72418">
        <w:t>rasser</w:t>
      </w:r>
      <w:r w:rsidR="00B45C7B" w:rsidRPr="00E72418">
        <w:rPr>
          <w:rStyle w:val="Appelnotedebasdep"/>
        </w:rPr>
        <w:footnoteReference w:id="847"/>
      </w:r>
      <w:r w:rsidR="00B45C7B" w:rsidRPr="00E72418">
        <w:t>.</w:t>
      </w:r>
      <w:r w:rsidR="00B45C7B" w:rsidRPr="00E72418">
        <w:rPr>
          <w:rFonts w:cs="Times New Roman"/>
          <w:szCs w:val="24"/>
        </w:rPr>
        <w:t xml:space="preserve"> </w:t>
      </w:r>
      <w:r w:rsidRPr="00E72418">
        <w:rPr>
          <w:rFonts w:cs="Times New Roman"/>
          <w:szCs w:val="24"/>
        </w:rPr>
        <w:t>De manière p</w:t>
      </w:r>
      <w:r w:rsidR="00B45C7B" w:rsidRPr="00E72418">
        <w:rPr>
          <w:rFonts w:cs="Times New Roman"/>
          <w:szCs w:val="24"/>
        </w:rPr>
        <w:t xml:space="preserve">lus perfide, </w:t>
      </w:r>
      <w:r w:rsidR="00B45C7B" w:rsidRPr="00E72418">
        <w:t xml:space="preserve">des créanciers originaires pourraient voir dans le rachat par des fonds spéculatifs un moyen de dissimuler, quand les choses vont mal, le fait qu’ils aient concédé des </w:t>
      </w:r>
      <w:r w:rsidRPr="00E72418">
        <w:t>moyens</w:t>
      </w:r>
      <w:r w:rsidR="00B45C7B" w:rsidRPr="00E72418">
        <w:t xml:space="preserve"> à des États alors qu’ils n’auraient pas dû le faire</w:t>
      </w:r>
      <w:r w:rsidR="00B45C7B" w:rsidRPr="00E72418">
        <w:rPr>
          <w:rStyle w:val="Appelnotedebasdep"/>
        </w:rPr>
        <w:footnoteReference w:id="848"/>
      </w:r>
      <w:r w:rsidR="00674C1A" w:rsidRPr="00E72418">
        <w:t>. À</w:t>
      </w:r>
      <w:r w:rsidR="00B45C7B" w:rsidRPr="00E72418">
        <w:t xml:space="preserve"> côté de ces raisons juridiques et stratégiques, i</w:t>
      </w:r>
      <w:r w:rsidR="00B45C7B" w:rsidRPr="00E72418">
        <w:rPr>
          <w:rFonts w:cs="Times New Roman"/>
          <w:szCs w:val="24"/>
        </w:rPr>
        <w:t>l pourrait être des cas dans lesquels, simplement, les créanciers originaires n’auraient pas les moyens temporels et financiers de s’engager dans des mesures de restructuration de la dette détenue voire dans de longs contentieux incertains et onéreux.</w:t>
      </w:r>
    </w:p>
    <w:p w14:paraId="38C93428" w14:textId="77777777" w:rsidR="00B45C7B" w:rsidRPr="00E72418" w:rsidRDefault="00B45C7B" w:rsidP="0054314B"/>
    <w:p w14:paraId="19E2BAE0" w14:textId="0A3A1AAE" w:rsidR="00DE2FB8" w:rsidRPr="00E72418" w:rsidRDefault="007F038F" w:rsidP="00CC4BA8">
      <w:pPr>
        <w:spacing w:line="276" w:lineRule="auto"/>
      </w:pPr>
      <w:r w:rsidRPr="00E72418">
        <w:rPr>
          <w:b/>
        </w:rPr>
        <w:t>159</w:t>
      </w:r>
      <w:r w:rsidR="007E31CD" w:rsidRPr="00E72418">
        <w:rPr>
          <w:b/>
        </w:rPr>
        <w:t xml:space="preserve">. </w:t>
      </w:r>
      <w:r w:rsidR="00B45C7B" w:rsidRPr="00E72418">
        <w:rPr>
          <w:b/>
        </w:rPr>
        <w:t xml:space="preserve">L’amélioration des </w:t>
      </w:r>
      <w:r w:rsidR="00504175" w:rsidRPr="00E72418">
        <w:rPr>
          <w:b/>
        </w:rPr>
        <w:t>modalités contractuelles</w:t>
      </w:r>
      <w:r w:rsidR="00B45C7B" w:rsidRPr="00E72418">
        <w:rPr>
          <w:b/>
        </w:rPr>
        <w:t xml:space="preserve"> – </w:t>
      </w:r>
      <w:r w:rsidR="00B45C7B" w:rsidRPr="00E72418">
        <w:t xml:space="preserve">L’argument de l’amélioration des </w:t>
      </w:r>
      <w:r w:rsidR="00504175" w:rsidRPr="00E72418">
        <w:t>modalités contractuelles</w:t>
      </w:r>
      <w:r w:rsidR="00B45C7B" w:rsidRPr="00E72418">
        <w:t xml:space="preserve"> offertes aux États débiteurs </w:t>
      </w:r>
      <w:r w:rsidR="00504175" w:rsidRPr="00E72418">
        <w:t xml:space="preserve">lors des émissions de dettes </w:t>
      </w:r>
      <w:r w:rsidR="00B45C7B" w:rsidRPr="00E72418">
        <w:t>rendue possible par l’existence des fonds spéculat</w:t>
      </w:r>
      <w:r w:rsidR="00B777C3" w:rsidRPr="00E72418">
        <w:t>ifs est lié à celui de la liquidit</w:t>
      </w:r>
      <w:r w:rsidR="00B45C7B" w:rsidRPr="00E72418">
        <w:t>é que ceux-ci permettent. La situation des débiteurs étant renforcée par l’existence d’un marché secondaire de la dette souveraine, leurs levées de capitaux s’en trouvent facilitées. La présence de ce marché permet aux créanciers de toujours s’assurer un retour financier p</w:t>
      </w:r>
      <w:r w:rsidR="00DE2FB8" w:rsidRPr="00E72418">
        <w:t>eu importe qu’un défaut survienne</w:t>
      </w:r>
      <w:r w:rsidR="00B45C7B" w:rsidRPr="00E72418">
        <w:t xml:space="preserve"> ou non</w:t>
      </w:r>
      <w:r w:rsidR="00B45C7B" w:rsidRPr="00E72418">
        <w:rPr>
          <w:rStyle w:val="Appelnotedebasdep"/>
        </w:rPr>
        <w:footnoteReference w:id="849"/>
      </w:r>
      <w:r w:rsidR="00B45C7B" w:rsidRPr="00E72418">
        <w:t xml:space="preserve">. </w:t>
      </w:r>
    </w:p>
    <w:p w14:paraId="2A27DCC6" w14:textId="598A7E9B" w:rsidR="00B45C7B" w:rsidRPr="00E72418" w:rsidRDefault="00DE2FB8" w:rsidP="00CC4BA8">
      <w:pPr>
        <w:spacing w:line="276" w:lineRule="auto"/>
        <w:rPr>
          <w:rFonts w:cs="Times New Roman"/>
          <w:szCs w:val="24"/>
        </w:rPr>
      </w:pPr>
      <w:r w:rsidRPr="00E72418">
        <w:t>La</w:t>
      </w:r>
      <w:r w:rsidR="00B45C7B" w:rsidRPr="00E72418">
        <w:t xml:space="preserve"> réduction du risque </w:t>
      </w:r>
      <w:r w:rsidRPr="00E72418">
        <w:t xml:space="preserve">permet aux </w:t>
      </w:r>
      <w:r w:rsidR="00B45C7B" w:rsidRPr="00E72418">
        <w:t>État</w:t>
      </w:r>
      <w:r w:rsidRPr="00E72418">
        <w:t>s</w:t>
      </w:r>
      <w:r w:rsidR="00B45C7B" w:rsidRPr="00E72418">
        <w:t xml:space="preserve"> débiteur</w:t>
      </w:r>
      <w:r w:rsidRPr="00E72418">
        <w:t>s</w:t>
      </w:r>
      <w:r w:rsidR="00B45C7B" w:rsidRPr="00E72418">
        <w:t xml:space="preserve"> </w:t>
      </w:r>
      <w:r w:rsidRPr="00E72418">
        <w:t>d’initialement se financer</w:t>
      </w:r>
      <w:r w:rsidR="00B45C7B" w:rsidRPr="00E72418">
        <w:t xml:space="preserve"> </w:t>
      </w:r>
      <w:r w:rsidRPr="00E72418">
        <w:t>à de meilleures conditions. G</w:t>
      </w:r>
      <w:r w:rsidR="00B45C7B" w:rsidRPr="00E72418">
        <w:t xml:space="preserve">énéralement, l’effet bénéfique se réalise au niveau du coût des capitaux qui s’en </w:t>
      </w:r>
      <w:r w:rsidR="00B45C7B" w:rsidRPr="00E72418">
        <w:lastRenderedPageBreak/>
        <w:t xml:space="preserve">trouve </w:t>
      </w:r>
      <w:r w:rsidRPr="00E72418">
        <w:t>réduit</w:t>
      </w:r>
      <w:r w:rsidR="00B45C7B" w:rsidRPr="00E72418">
        <w:rPr>
          <w:rStyle w:val="Appelnotedebasdep"/>
        </w:rPr>
        <w:footnoteReference w:id="850"/>
      </w:r>
      <w:r w:rsidR="00AE5F9B" w:rsidRPr="00E72418">
        <w:rPr>
          <w:vertAlign w:val="superscript"/>
        </w:rPr>
        <w:t>,</w:t>
      </w:r>
      <w:r w:rsidR="006B11D5" w:rsidRPr="00E72418">
        <w:rPr>
          <w:rStyle w:val="Appelnotedebasdep"/>
        </w:rPr>
        <w:footnoteReference w:id="851"/>
      </w:r>
      <w:r w:rsidR="00B45C7B" w:rsidRPr="00E72418">
        <w:t xml:space="preserve">. Outre </w:t>
      </w:r>
      <w:r w:rsidRPr="00E72418">
        <w:t>cette réduction</w:t>
      </w:r>
      <w:r w:rsidR="00B45C7B" w:rsidRPr="00E72418">
        <w:t xml:space="preserve">, </w:t>
      </w:r>
      <w:r w:rsidR="00B45C7B" w:rsidRPr="00E72418">
        <w:rPr>
          <w:rFonts w:cs="Times New Roman"/>
          <w:szCs w:val="24"/>
        </w:rPr>
        <w:t xml:space="preserve">les </w:t>
      </w:r>
      <w:r w:rsidRPr="00E72418">
        <w:rPr>
          <w:rFonts w:cs="Times New Roman"/>
          <w:szCs w:val="24"/>
        </w:rPr>
        <w:t xml:space="preserve">bailleurs de fonds auront tendance à concéder de </w:t>
      </w:r>
      <w:r w:rsidR="00B45C7B" w:rsidRPr="00E72418">
        <w:rPr>
          <w:rFonts w:cs="Times New Roman"/>
          <w:szCs w:val="24"/>
        </w:rPr>
        <w:t>meilleurs taux d’intérêt et des maturités de dettes plus longues s’ils savent avoir la po</w:t>
      </w:r>
      <w:r w:rsidRPr="00E72418">
        <w:rPr>
          <w:rFonts w:cs="Times New Roman"/>
          <w:szCs w:val="24"/>
        </w:rPr>
        <w:t>ssibilité future de revendre leurs</w:t>
      </w:r>
      <w:r w:rsidR="00B45C7B" w:rsidRPr="00E72418">
        <w:rPr>
          <w:rFonts w:cs="Times New Roman"/>
          <w:szCs w:val="24"/>
        </w:rPr>
        <w:t xml:space="preserve"> titres</w:t>
      </w:r>
      <w:r w:rsidR="00B45C7B" w:rsidRPr="00E72418">
        <w:rPr>
          <w:rStyle w:val="Appelnotedebasdep"/>
          <w:rFonts w:cs="Times New Roman"/>
          <w:szCs w:val="24"/>
        </w:rPr>
        <w:footnoteReference w:id="852"/>
      </w:r>
      <w:r w:rsidR="00B45C7B" w:rsidRPr="00E72418">
        <w:rPr>
          <w:rFonts w:cs="Times New Roman"/>
          <w:szCs w:val="24"/>
        </w:rPr>
        <w:t>.</w:t>
      </w:r>
      <w:r w:rsidR="006B11D5" w:rsidRPr="00E72418">
        <w:rPr>
          <w:rFonts w:cs="Times New Roman"/>
          <w:szCs w:val="24"/>
        </w:rPr>
        <w:t xml:space="preserve"> </w:t>
      </w:r>
    </w:p>
    <w:p w14:paraId="5F176C1B" w14:textId="77777777" w:rsidR="00077F51" w:rsidRPr="00E72418" w:rsidRDefault="00077F51" w:rsidP="0054314B"/>
    <w:p w14:paraId="6F1BDD66" w14:textId="66B2790C" w:rsidR="00B45C7B" w:rsidRPr="00E72418" w:rsidRDefault="007F038F" w:rsidP="00CC4BA8">
      <w:pPr>
        <w:spacing w:line="276" w:lineRule="auto"/>
      </w:pPr>
      <w:r w:rsidRPr="00E72418">
        <w:rPr>
          <w:b/>
        </w:rPr>
        <w:t>160</w:t>
      </w:r>
      <w:r w:rsidR="007E31CD" w:rsidRPr="00E72418">
        <w:rPr>
          <w:b/>
        </w:rPr>
        <w:t xml:space="preserve">. </w:t>
      </w:r>
      <w:r w:rsidR="00B45C7B" w:rsidRPr="00E72418">
        <w:rPr>
          <w:b/>
        </w:rPr>
        <w:t xml:space="preserve">La stabilisation – </w:t>
      </w:r>
      <w:r w:rsidR="00B45C7B" w:rsidRPr="00E72418">
        <w:t>Dès lors qu’ils sont prêt</w:t>
      </w:r>
      <w:r w:rsidR="00B777C3" w:rsidRPr="00E72418">
        <w:t>s à racheter</w:t>
      </w:r>
      <w:r w:rsidR="00B45C7B" w:rsidRPr="00E72418">
        <w:t xml:space="preserve"> des actifs risqués dont des créanciers souhaiter</w:t>
      </w:r>
      <w:r w:rsidR="004B28DC" w:rsidRPr="00E72418">
        <w:t>aient</w:t>
      </w:r>
      <w:r w:rsidR="00B45C7B" w:rsidRPr="00E72418">
        <w:t xml:space="preserve"> se débarrasser lors de moments difficiles, les fonds spéculatifs remplissent un rôle de catalyseur durant les crises. </w:t>
      </w:r>
      <w:r w:rsidR="00B45C7B" w:rsidRPr="00E72418">
        <w:rPr>
          <w:szCs w:val="24"/>
        </w:rPr>
        <w:t xml:space="preserve">Au constat de ce qu’avec une crise, les </w:t>
      </w:r>
      <w:r w:rsidR="00B45C7B" w:rsidRPr="00E72418">
        <w:t>É</w:t>
      </w:r>
      <w:r w:rsidR="00B45C7B" w:rsidRPr="00E72418">
        <w:rPr>
          <w:szCs w:val="24"/>
        </w:rPr>
        <w:t>tats ont besoin de capitaux afin de se remettre et d’aller vers la croissance, les fonds spéculatifs vont permettre de stabiliser la situation en rachetant des actifs risqués</w:t>
      </w:r>
      <w:r w:rsidR="00B45C7B" w:rsidRPr="00E72418">
        <w:rPr>
          <w:rStyle w:val="Appelnotedebasdep"/>
        </w:rPr>
        <w:footnoteReference w:id="853"/>
      </w:r>
      <w:r w:rsidR="00B45C7B" w:rsidRPr="00E72418">
        <w:t>. Avec la stabilisation des prix et la confiance des investisseurs retrouvée, des capitaux seront a</w:t>
      </w:r>
      <w:r w:rsidR="004B28DC" w:rsidRPr="00E72418">
        <w:t xml:space="preserve">lors disponibles permettant aux </w:t>
      </w:r>
      <w:r w:rsidR="00B45C7B" w:rsidRPr="00E72418">
        <w:t>économie</w:t>
      </w:r>
      <w:r w:rsidR="004B28DC" w:rsidRPr="00E72418">
        <w:t>s</w:t>
      </w:r>
      <w:r w:rsidR="00B45C7B" w:rsidRPr="00E72418">
        <w:t xml:space="preserve"> jadis fragil</w:t>
      </w:r>
      <w:r w:rsidR="00650677" w:rsidRPr="00E72418">
        <w:t>is</w:t>
      </w:r>
      <w:r w:rsidR="00B45C7B" w:rsidRPr="00E72418">
        <w:t>ée</w:t>
      </w:r>
      <w:r w:rsidR="004B28DC" w:rsidRPr="00E72418">
        <w:t>s</w:t>
      </w:r>
      <w:r w:rsidR="00B45C7B" w:rsidRPr="00E72418">
        <w:t xml:space="preserve"> de se rétablir</w:t>
      </w:r>
      <w:r w:rsidR="00B45C7B" w:rsidRPr="00E72418">
        <w:rPr>
          <w:rStyle w:val="Appelnotedebasdep"/>
        </w:rPr>
        <w:footnoteReference w:id="854"/>
      </w:r>
      <w:r w:rsidR="00B45C7B" w:rsidRPr="00E72418">
        <w:t xml:space="preserve">. </w:t>
      </w:r>
    </w:p>
    <w:p w14:paraId="1B097DE1" w14:textId="5485FDDB" w:rsidR="00B45C7B" w:rsidRPr="00E72418" w:rsidRDefault="00B45C7B" w:rsidP="00CC4BA8">
      <w:pPr>
        <w:spacing w:line="276" w:lineRule="auto"/>
        <w:rPr>
          <w:rFonts w:cs="Times"/>
        </w:rPr>
      </w:pPr>
      <w:r w:rsidRPr="00E72418">
        <w:rPr>
          <w:rFonts w:cs="Times"/>
        </w:rPr>
        <w:t>C’</w:t>
      </w:r>
      <w:r w:rsidR="004B28DC" w:rsidRPr="00E72418">
        <w:rPr>
          <w:rFonts w:cs="Times"/>
        </w:rPr>
        <w:t xml:space="preserve">est dans cet ordre d’idées que </w:t>
      </w:r>
      <w:r w:rsidR="00DF779F" w:rsidRPr="00E72418">
        <w:rPr>
          <w:rFonts w:cs="Times"/>
        </w:rPr>
        <w:t xml:space="preserve">Geert </w:t>
      </w:r>
      <w:r w:rsidR="004B28DC" w:rsidRPr="00E72418">
        <w:rPr>
          <w:rFonts w:cs="Times"/>
        </w:rPr>
        <w:t>v</w:t>
      </w:r>
      <w:r w:rsidRPr="00E72418">
        <w:rPr>
          <w:rFonts w:cs="Times"/>
        </w:rPr>
        <w:t>an Calster indique que « [v]ulture funds often enter the financial arena akin to angel investors albeit at the opposite side</w:t>
      </w:r>
      <w:r w:rsidR="0004079A" w:rsidRPr="00E72418">
        <w:rPr>
          <w:rFonts w:cs="Times"/>
        </w:rPr>
        <w:t xml:space="preserve"> of the spectrum » et relève qu’</w:t>
      </w:r>
      <w:r w:rsidRPr="00E72418">
        <w:rPr>
          <w:rFonts w:cs="Times"/>
        </w:rPr>
        <w:t xml:space="preserve"> « [a]ngel funds (also known as seed money) support budding private initiatives at a time when no one else is interested in supporting the new measure » et que « [l]ikewise, vulture funds step in once everyone else has left the sinking ship »</w:t>
      </w:r>
      <w:r w:rsidRPr="00E72418">
        <w:rPr>
          <w:rStyle w:val="Appelnotedebasdep"/>
          <w:rFonts w:cs="Times"/>
          <w:szCs w:val="24"/>
        </w:rPr>
        <w:footnoteReference w:id="855"/>
      </w:r>
      <w:r w:rsidRPr="00E72418">
        <w:rPr>
          <w:rFonts w:cs="Times"/>
        </w:rPr>
        <w:t>.</w:t>
      </w:r>
    </w:p>
    <w:p w14:paraId="562EE2E6" w14:textId="77777777" w:rsidR="00B45C7B" w:rsidRPr="00E72418" w:rsidRDefault="00B45C7B" w:rsidP="0054314B"/>
    <w:p w14:paraId="5FC37A4E" w14:textId="1CCB5000" w:rsidR="00B45C7B" w:rsidRPr="00E72418" w:rsidRDefault="000764CE" w:rsidP="00CC4BA8">
      <w:pPr>
        <w:pStyle w:val="DD"/>
        <w:spacing w:line="276" w:lineRule="auto"/>
      </w:pPr>
      <w:bookmarkStart w:id="186" w:name="_Toc59280928"/>
      <w:bookmarkStart w:id="187" w:name="_Toc84540916"/>
      <w:r w:rsidRPr="00E72418">
        <w:t xml:space="preserve">Section 2 : </w:t>
      </w:r>
      <w:r w:rsidR="00B45C7B" w:rsidRPr="00E72418">
        <w:t>La surveillance</w:t>
      </w:r>
      <w:bookmarkEnd w:id="186"/>
      <w:bookmarkEnd w:id="187"/>
    </w:p>
    <w:p w14:paraId="17AE49D6" w14:textId="77777777" w:rsidR="0054314B" w:rsidRPr="00E72418" w:rsidRDefault="0054314B" w:rsidP="0054314B"/>
    <w:p w14:paraId="1EA4C06B" w14:textId="6466B6E2" w:rsidR="00B45C7B" w:rsidRPr="00E72418" w:rsidRDefault="007F038F" w:rsidP="00CC4BA8">
      <w:pPr>
        <w:spacing w:line="276" w:lineRule="auto"/>
      </w:pPr>
      <w:r w:rsidRPr="00E72418">
        <w:rPr>
          <w:b/>
        </w:rPr>
        <w:t>161</w:t>
      </w:r>
      <w:r w:rsidR="007E31CD" w:rsidRPr="00E72418">
        <w:rPr>
          <w:b/>
        </w:rPr>
        <w:t xml:space="preserve">. </w:t>
      </w:r>
      <w:r w:rsidR="00B45C7B" w:rsidRPr="00E72418">
        <w:rPr>
          <w:b/>
        </w:rPr>
        <w:t xml:space="preserve">La liberté – </w:t>
      </w:r>
      <w:r w:rsidR="00B45C7B" w:rsidRPr="00E72418">
        <w:t xml:space="preserve">Les fonds spéculatifs n’obéissant à aucune forme de pression, </w:t>
      </w:r>
      <w:r w:rsidR="004B28DC" w:rsidRPr="00E72418">
        <w:t>ils</w:t>
      </w:r>
      <w:r w:rsidR="00B45C7B" w:rsidRPr="00E72418">
        <w:t xml:space="preserve"> n’ont </w:t>
      </w:r>
      <w:r w:rsidR="004B28DC" w:rsidRPr="00E72418">
        <w:t>en principe aucune</w:t>
      </w:r>
      <w:r w:rsidR="00B45C7B" w:rsidRPr="00E72418">
        <w:t xml:space="preserve"> difficulté à adopter vis-à-vis d’un </w:t>
      </w:r>
      <w:r w:rsidR="00B45C7B" w:rsidRPr="00E72418">
        <w:rPr>
          <w:szCs w:val="24"/>
        </w:rPr>
        <w:t>É</w:t>
      </w:r>
      <w:r w:rsidR="00B45C7B" w:rsidRPr="00E72418">
        <w:t>tat débiteur faisant défaut sur sa dette ou s’</w:t>
      </w:r>
      <w:r w:rsidR="004B28DC" w:rsidRPr="00E72418">
        <w:t xml:space="preserve">y </w:t>
      </w:r>
      <w:r w:rsidR="00B45C7B" w:rsidRPr="00E72418">
        <w:t xml:space="preserve">apprêtant une attitude </w:t>
      </w:r>
      <w:r w:rsidR="000E5BA1" w:rsidRPr="00E72418">
        <w:t xml:space="preserve">dure que d’autres créanciers ne </w:t>
      </w:r>
      <w:r w:rsidR="00B45C7B" w:rsidRPr="00E72418">
        <w:t>souhaiteraient pas adopter</w:t>
      </w:r>
      <w:r w:rsidR="00B45C7B" w:rsidRPr="00E72418">
        <w:rPr>
          <w:rStyle w:val="Appelnotedebasdep"/>
          <w:szCs w:val="24"/>
        </w:rPr>
        <w:footnoteReference w:id="856"/>
      </w:r>
      <w:r w:rsidR="00B45C7B" w:rsidRPr="00E72418">
        <w:t xml:space="preserve">. Cette liberté des fonds </w:t>
      </w:r>
      <w:r w:rsidR="000E5BA1" w:rsidRPr="00E72418">
        <w:t>les affranchit</w:t>
      </w:r>
      <w:r w:rsidR="00B45C7B" w:rsidRPr="00E72418">
        <w:t xml:space="preserve"> de toute forme de calculs auxquels peuvent être contraints d’autres créanciers qui, par exemple, entretiennent des relations plus constantes avec l’</w:t>
      </w:r>
      <w:r w:rsidR="00B45C7B" w:rsidRPr="00E72418">
        <w:rPr>
          <w:szCs w:val="24"/>
        </w:rPr>
        <w:t>É</w:t>
      </w:r>
      <w:r w:rsidR="00B45C7B" w:rsidRPr="00E72418">
        <w:t xml:space="preserve">tat </w:t>
      </w:r>
      <w:r w:rsidR="00B45C7B" w:rsidRPr="00E72418">
        <w:lastRenderedPageBreak/>
        <w:t>débiteur</w:t>
      </w:r>
      <w:r w:rsidR="00B45C7B" w:rsidRPr="00E72418">
        <w:rPr>
          <w:rStyle w:val="Appelnotedebasdep"/>
        </w:rPr>
        <w:footnoteReference w:id="857"/>
      </w:r>
      <w:r w:rsidR="00B45C7B" w:rsidRPr="00E72418">
        <w:t xml:space="preserve">. Ainsi, les fonds </w:t>
      </w:r>
      <w:r w:rsidR="004B28DC" w:rsidRPr="00E72418">
        <w:t>spéculatifs sont</w:t>
      </w:r>
      <w:r w:rsidR="00B45C7B" w:rsidRPr="00E72418">
        <w:t xml:space="preserve"> à même de jouer un rôle de surveillance des </w:t>
      </w:r>
      <w:r w:rsidR="00B45C7B" w:rsidRPr="00E72418">
        <w:rPr>
          <w:szCs w:val="24"/>
        </w:rPr>
        <w:t>É</w:t>
      </w:r>
      <w:r w:rsidR="00B45C7B" w:rsidRPr="00E72418">
        <w:t>tats débiteurs et de leurs comportements adoptés tant en amont des crises qu’au moment où celles-ci surviennent.</w:t>
      </w:r>
    </w:p>
    <w:p w14:paraId="317694ED" w14:textId="77777777" w:rsidR="00B45C7B" w:rsidRPr="00E72418" w:rsidRDefault="00B45C7B" w:rsidP="0054314B"/>
    <w:p w14:paraId="2D3C0996" w14:textId="57B53733" w:rsidR="00B45C7B" w:rsidRPr="00E72418" w:rsidRDefault="007F038F" w:rsidP="00CC4BA8">
      <w:pPr>
        <w:spacing w:line="276" w:lineRule="auto"/>
      </w:pPr>
      <w:r w:rsidRPr="00E72418">
        <w:rPr>
          <w:b/>
        </w:rPr>
        <w:t>162</w:t>
      </w:r>
      <w:r w:rsidR="007E31CD" w:rsidRPr="00E72418">
        <w:rPr>
          <w:b/>
        </w:rPr>
        <w:t xml:space="preserve">. </w:t>
      </w:r>
      <w:r w:rsidR="00B45C7B" w:rsidRPr="00E72418">
        <w:rPr>
          <w:b/>
        </w:rPr>
        <w:t>La bonne utilisation des ressources –</w:t>
      </w:r>
      <w:r w:rsidR="00B45C7B" w:rsidRPr="00E72418">
        <w:t xml:space="preserve"> Il arrive que des </w:t>
      </w:r>
      <w:r w:rsidR="00B45C7B" w:rsidRPr="00E72418">
        <w:rPr>
          <w:szCs w:val="24"/>
        </w:rPr>
        <w:t>É</w:t>
      </w:r>
      <w:r w:rsidR="00B45C7B" w:rsidRPr="00E72418">
        <w:t>tats s’endettent au-delà de leur faculté de rembours</w:t>
      </w:r>
      <w:r w:rsidR="00650677" w:rsidRPr="00E72418">
        <w:t>ement ou simplement qu’ils ne gè</w:t>
      </w:r>
      <w:r w:rsidR="00B45C7B" w:rsidRPr="00E72418">
        <w:t>rent pas leur dette avec rigueur</w:t>
      </w:r>
      <w:r w:rsidR="00D22CFF" w:rsidRPr="00E72418">
        <w:t xml:space="preserve"> et prudence</w:t>
      </w:r>
      <w:r w:rsidR="00B45C7B" w:rsidRPr="00E72418">
        <w:t>. Ce</w:t>
      </w:r>
      <w:r w:rsidR="00D22CFF" w:rsidRPr="00E72418">
        <w:t>tte attitude désinvolte peut</w:t>
      </w:r>
      <w:r w:rsidR="00B45C7B" w:rsidRPr="00E72418">
        <w:t xml:space="preserve"> </w:t>
      </w:r>
      <w:r w:rsidR="00D22CFF" w:rsidRPr="00E72418">
        <w:t>s’expliquer par leur</w:t>
      </w:r>
      <w:r w:rsidR="00B45C7B" w:rsidRPr="00E72418">
        <w:t xml:space="preserve"> conviction </w:t>
      </w:r>
      <w:r w:rsidR="00D22CFF" w:rsidRPr="00E72418">
        <w:t>d’avoir</w:t>
      </w:r>
      <w:r w:rsidR="00B45C7B" w:rsidRPr="00E72418">
        <w:t xml:space="preserve"> toujours </w:t>
      </w:r>
      <w:r w:rsidR="00D22CFF" w:rsidRPr="00E72418">
        <w:t>la possibilité de profiter d’une restructuration</w:t>
      </w:r>
      <w:r w:rsidR="00B45C7B" w:rsidRPr="00E72418">
        <w:t xml:space="preserve"> de leur dette s’ils devaient ne plus être en mesure de l’honorer</w:t>
      </w:r>
      <w:r w:rsidR="00B45C7B" w:rsidRPr="00E72418">
        <w:rPr>
          <w:rStyle w:val="Appelnotedebasdep"/>
        </w:rPr>
        <w:footnoteReference w:id="858"/>
      </w:r>
      <w:r w:rsidR="00B45C7B" w:rsidRPr="00E72418">
        <w:t xml:space="preserve">. Cette attitude </w:t>
      </w:r>
      <w:r w:rsidR="00D22CFF" w:rsidRPr="00E72418">
        <w:t>peut</w:t>
      </w:r>
      <w:r w:rsidR="00B45C7B" w:rsidRPr="00E72418">
        <w:t xml:space="preserve"> se trouver renforcée par </w:t>
      </w:r>
      <w:r w:rsidR="00D22CFF" w:rsidRPr="00E72418">
        <w:t>des</w:t>
      </w:r>
      <w:r w:rsidR="00B45C7B" w:rsidRPr="00E72418">
        <w:t xml:space="preserve"> restructurations concédées </w:t>
      </w:r>
      <w:r w:rsidR="00D22CFF" w:rsidRPr="00E72418">
        <w:t xml:space="preserve">par le passé </w:t>
      </w:r>
      <w:r w:rsidR="00B45C7B" w:rsidRPr="00E72418">
        <w:t xml:space="preserve">dans la mesure où, comme l’explique </w:t>
      </w:r>
      <w:r w:rsidR="00D801A6" w:rsidRPr="00E72418">
        <w:t xml:space="preserve">Elizabeth </w:t>
      </w:r>
      <w:r w:rsidR="00B45C7B" w:rsidRPr="00E72418">
        <w:t>Broomfield, « when nations win debt relief without becoming more accountable, they will simply repeat old mistakes and end up deep in debt once again »</w:t>
      </w:r>
      <w:r w:rsidR="00B45C7B" w:rsidRPr="00E72418">
        <w:rPr>
          <w:rStyle w:val="Appelnotedebasdep"/>
        </w:rPr>
        <w:footnoteReference w:id="859"/>
      </w:r>
      <w:r w:rsidR="00B45C7B" w:rsidRPr="00E72418">
        <w:t>.</w:t>
      </w:r>
      <w:r w:rsidR="00FA2FE9" w:rsidRPr="00E72418">
        <w:t xml:space="preserve"> Aussi, sans la menace de la </w:t>
      </w:r>
      <w:r w:rsidR="0067312A" w:rsidRPr="00E72418">
        <w:t xml:space="preserve">surveillance, les </w:t>
      </w:r>
      <w:r w:rsidR="0067312A" w:rsidRPr="00E72418">
        <w:rPr>
          <w:rFonts w:cs="Times New Roman"/>
          <w:szCs w:val="24"/>
        </w:rPr>
        <w:t>É</w:t>
      </w:r>
      <w:r w:rsidR="00FA2FE9" w:rsidRPr="00E72418">
        <w:t xml:space="preserve">tats </w:t>
      </w:r>
      <w:r w:rsidR="006048D4" w:rsidRPr="00E72418">
        <w:t>pourraient</w:t>
      </w:r>
      <w:r w:rsidR="00FA2FE9" w:rsidRPr="00E72418">
        <w:t xml:space="preserve"> être tentés de manipuler des informations </w:t>
      </w:r>
      <w:r w:rsidR="00B85F7F" w:rsidRPr="00E72418">
        <w:t xml:space="preserve">en vue de </w:t>
      </w:r>
      <w:r w:rsidR="00FA2FE9" w:rsidRPr="00E72418">
        <w:t>bénéficier de meilleurs taux d’intérêt</w:t>
      </w:r>
      <w:r w:rsidR="00FA2FE9" w:rsidRPr="00E72418">
        <w:rPr>
          <w:rStyle w:val="Appelnotedebasdep"/>
        </w:rPr>
        <w:footnoteReference w:id="860"/>
      </w:r>
      <w:r w:rsidR="00FA2FE9" w:rsidRPr="00E72418">
        <w:t>.</w:t>
      </w:r>
    </w:p>
    <w:p w14:paraId="73488FE3" w14:textId="77777777" w:rsidR="00B45C7B" w:rsidRPr="00E72418" w:rsidRDefault="00B45C7B" w:rsidP="00CC4BA8">
      <w:pPr>
        <w:spacing w:line="276" w:lineRule="auto"/>
      </w:pPr>
      <w:r w:rsidRPr="00E72418">
        <w:t xml:space="preserve">Les fonds spéculatifs, par leur vigilance, conduisent à la transparence des </w:t>
      </w:r>
      <w:r w:rsidRPr="00E72418">
        <w:rPr>
          <w:szCs w:val="24"/>
        </w:rPr>
        <w:t>É</w:t>
      </w:r>
      <w:r w:rsidRPr="00E72418">
        <w:t>tats débiteurs quant à la façon dont ils utilisent leurs moyens offrant, ce faisant, « a valuable monitoring function »</w:t>
      </w:r>
      <w:r w:rsidRPr="00E72418">
        <w:rPr>
          <w:rStyle w:val="Appelnotedebasdep"/>
          <w:rFonts w:ascii="Times New Roman" w:hAnsi="Times New Roman" w:cs="Times New Roman"/>
          <w:szCs w:val="24"/>
        </w:rPr>
        <w:footnoteReference w:id="861"/>
      </w:r>
      <w:r w:rsidRPr="00E72418">
        <w:t xml:space="preserve">. Ce rôle endossé va discipliner les </w:t>
      </w:r>
      <w:r w:rsidRPr="00E72418">
        <w:rPr>
          <w:szCs w:val="24"/>
        </w:rPr>
        <w:t>É</w:t>
      </w:r>
      <w:r w:rsidRPr="00E72418">
        <w:t>tats débiteurs qui se soucieront davantage de leur bonne gestion</w:t>
      </w:r>
      <w:r w:rsidRPr="00E72418">
        <w:rPr>
          <w:rStyle w:val="Appelnotedebasdep"/>
          <w:rFonts w:ascii="Times New Roman" w:hAnsi="Times New Roman" w:cs="Times New Roman"/>
          <w:szCs w:val="24"/>
        </w:rPr>
        <w:footnoteReference w:id="862"/>
      </w:r>
      <w:r w:rsidRPr="00E72418">
        <w:t xml:space="preserve">. Plus encore, la présence de fonds spéculatifs et la crainte de ce qu’ils s’intéressent à leur dette </w:t>
      </w:r>
      <w:r w:rsidR="000E5BA1" w:rsidRPr="00E72418">
        <w:t>est de nature à</w:t>
      </w:r>
      <w:r w:rsidRPr="00E72418">
        <w:t xml:space="preserve"> pousser les </w:t>
      </w:r>
      <w:r w:rsidRPr="00E72418">
        <w:rPr>
          <w:szCs w:val="24"/>
        </w:rPr>
        <w:t>É</w:t>
      </w:r>
      <w:r w:rsidRPr="00E72418">
        <w:t>tats à s’inscrire dans une logique de viabilité de celle-ci</w:t>
      </w:r>
      <w:r w:rsidRPr="00E72418">
        <w:rPr>
          <w:rStyle w:val="Appelnotedebasdep"/>
          <w:szCs w:val="24"/>
        </w:rPr>
        <w:footnoteReference w:id="863"/>
      </w:r>
      <w:r w:rsidRPr="00E72418">
        <w:t xml:space="preserve">. </w:t>
      </w:r>
    </w:p>
    <w:p w14:paraId="41C4F3D9" w14:textId="77777777" w:rsidR="00B45C7B" w:rsidRPr="00E72418" w:rsidRDefault="00B45C7B" w:rsidP="00CC4BA8">
      <w:pPr>
        <w:spacing w:line="276" w:lineRule="auto"/>
      </w:pPr>
      <w:r w:rsidRPr="00E72418">
        <w:t>Une limite logique existe à cette fonction de surveillance de l’affectation des ressources par l’</w:t>
      </w:r>
      <w:r w:rsidRPr="00E72418">
        <w:rPr>
          <w:szCs w:val="24"/>
        </w:rPr>
        <w:t>É</w:t>
      </w:r>
      <w:r w:rsidRPr="00E72418">
        <w:t xml:space="preserve">tat débiteur. En effet, l’opportunité de la gestion d’un </w:t>
      </w:r>
      <w:r w:rsidRPr="00E72418">
        <w:rPr>
          <w:szCs w:val="24"/>
        </w:rPr>
        <w:t>É</w:t>
      </w:r>
      <w:r w:rsidRPr="00E72418">
        <w:t xml:space="preserve">tat ne saurait se réduire à de seules </w:t>
      </w:r>
      <w:r w:rsidRPr="00E72418">
        <w:lastRenderedPageBreak/>
        <w:t>considérations économiques</w:t>
      </w:r>
      <w:r w:rsidRPr="00E72418">
        <w:rPr>
          <w:rStyle w:val="Appelnotedebasdep"/>
          <w:rFonts w:cs="Times New Roman"/>
          <w:szCs w:val="24"/>
        </w:rPr>
        <w:footnoteReference w:id="864"/>
      </w:r>
      <w:r w:rsidRPr="00E72418">
        <w:t xml:space="preserve">. Ainsi, par exemple, des dépenses en matière de soins de santé ou d’éducation qui sont indéniablement utiles pour la population d’un </w:t>
      </w:r>
      <w:r w:rsidRPr="00E72418">
        <w:rPr>
          <w:szCs w:val="24"/>
        </w:rPr>
        <w:t>É</w:t>
      </w:r>
      <w:r w:rsidRPr="00E72418">
        <w:t xml:space="preserve">tat ne seront </w:t>
      </w:r>
      <w:r w:rsidR="00A8510D" w:rsidRPr="00E72418">
        <w:t xml:space="preserve">sans doute </w:t>
      </w:r>
      <w:r w:rsidRPr="00E72418">
        <w:t>pas valorisé</w:t>
      </w:r>
      <w:r w:rsidR="00A8510D" w:rsidRPr="00E72418">
        <w:t>e</w:t>
      </w:r>
      <w:r w:rsidRPr="00E72418">
        <w:t>s par les créanciers spéculatifs. S</w:t>
      </w:r>
      <w:r w:rsidR="00A8510D" w:rsidRPr="00E72418">
        <w:t>’il est certain qu’à long terme</w:t>
      </w:r>
      <w:r w:rsidRPr="00E72418">
        <w:t xml:space="preserve"> une populatio</w:t>
      </w:r>
      <w:r w:rsidR="00A8510D" w:rsidRPr="00E72418">
        <w:t>n éduquée et en bonne santé participe de la prospérité</w:t>
      </w:r>
      <w:r w:rsidRPr="00E72418">
        <w:t xml:space="preserve"> d’un pays, </w:t>
      </w:r>
      <w:r w:rsidR="00A8510D" w:rsidRPr="00E72418">
        <w:t>l’on perçoit</w:t>
      </w:r>
      <w:r w:rsidRPr="00E72418">
        <w:t xml:space="preserve"> que les fonds spéculatifs ne sont pas forcément les acteurs les plus à même de juger de ce qui est bon pour un </w:t>
      </w:r>
      <w:r w:rsidRPr="00E72418">
        <w:rPr>
          <w:szCs w:val="24"/>
        </w:rPr>
        <w:t>É</w:t>
      </w:r>
      <w:r w:rsidRPr="00E72418">
        <w:t xml:space="preserve">tat ou non, leur préoccupation étant selon </w:t>
      </w:r>
      <w:r w:rsidR="00A8510D" w:rsidRPr="00E72418">
        <w:t xml:space="preserve">toute vraisemblance limitée à leur </w:t>
      </w:r>
      <w:r w:rsidRPr="00E72418">
        <w:t>intérêt direct.</w:t>
      </w:r>
    </w:p>
    <w:p w14:paraId="3BCB9364" w14:textId="77777777" w:rsidR="00B45C7B" w:rsidRPr="00E72418" w:rsidRDefault="00A8510D" w:rsidP="00CC4BA8">
      <w:pPr>
        <w:spacing w:line="276" w:lineRule="auto"/>
      </w:pPr>
      <w:r w:rsidRPr="00E72418">
        <w:t>Même si</w:t>
      </w:r>
      <w:r w:rsidR="00B45C7B" w:rsidRPr="00E72418">
        <w:t xml:space="preserve"> les fonds </w:t>
      </w:r>
      <w:r w:rsidRPr="00E72418">
        <w:t>spéculatifs</w:t>
      </w:r>
      <w:r w:rsidR="00B45C7B" w:rsidRPr="00E72418">
        <w:t xml:space="preserve"> peuvent mettre en lumière le mauvais usage par l’</w:t>
      </w:r>
      <w:r w:rsidR="00B45C7B" w:rsidRPr="00E72418">
        <w:rPr>
          <w:szCs w:val="24"/>
        </w:rPr>
        <w:t>É</w:t>
      </w:r>
      <w:r w:rsidR="00B45C7B" w:rsidRPr="00E72418">
        <w:t>tat de ses moyens, leur action positive est limité</w:t>
      </w:r>
      <w:r w:rsidRPr="00E72418">
        <w:t>e</w:t>
      </w:r>
      <w:r w:rsidR="00B45C7B" w:rsidRPr="00E72418">
        <w:t xml:space="preserve"> à cette surveillance en ce qu’ils ne sont pas en mesure </w:t>
      </w:r>
      <w:r w:rsidRPr="00E72418">
        <w:t>de dicter</w:t>
      </w:r>
      <w:r w:rsidR="00B45C7B" w:rsidRPr="00E72418">
        <w:t xml:space="preserve"> directement l’usage fait par l’</w:t>
      </w:r>
      <w:r w:rsidR="00B45C7B" w:rsidRPr="00E72418">
        <w:rPr>
          <w:szCs w:val="24"/>
        </w:rPr>
        <w:t>É</w:t>
      </w:r>
      <w:r w:rsidRPr="00E72418">
        <w:t>tat souverain</w:t>
      </w:r>
      <w:r w:rsidR="00B45C7B" w:rsidRPr="00E72418">
        <w:t xml:space="preserve"> de ceux-ci</w:t>
      </w:r>
      <w:r w:rsidR="00B45C7B" w:rsidRPr="00E72418">
        <w:rPr>
          <w:rStyle w:val="Appelnotedebasdep"/>
          <w:rFonts w:cs="Times New Roman"/>
          <w:szCs w:val="24"/>
        </w:rPr>
        <w:footnoteReference w:id="865"/>
      </w:r>
      <w:r w:rsidR="00B45C7B" w:rsidRPr="00E72418">
        <w:t xml:space="preserve">. </w:t>
      </w:r>
    </w:p>
    <w:p w14:paraId="0BE228B7" w14:textId="77777777" w:rsidR="00B45C7B" w:rsidRPr="00E72418" w:rsidRDefault="00B45C7B" w:rsidP="0054314B"/>
    <w:p w14:paraId="7E40AF98" w14:textId="79B8519E" w:rsidR="00B45C7B" w:rsidRPr="00E72418" w:rsidRDefault="007F038F" w:rsidP="00CC4BA8">
      <w:pPr>
        <w:spacing w:line="276" w:lineRule="auto"/>
      </w:pPr>
      <w:r w:rsidRPr="00E72418">
        <w:rPr>
          <w:b/>
        </w:rPr>
        <w:t>163</w:t>
      </w:r>
      <w:r w:rsidR="007E31CD" w:rsidRPr="00E72418">
        <w:rPr>
          <w:b/>
        </w:rPr>
        <w:t xml:space="preserve">. </w:t>
      </w:r>
      <w:r w:rsidR="00B45C7B" w:rsidRPr="00E72418">
        <w:rPr>
          <w:b/>
        </w:rPr>
        <w:t xml:space="preserve">L’opportunisme et l’abus – </w:t>
      </w:r>
      <w:r w:rsidR="00B45C7B" w:rsidRPr="00E72418">
        <w:t>Si la vigilance des fonds spéculatifs les conduit à une surveillance de la bonne utilisation des ressou</w:t>
      </w:r>
      <w:r w:rsidR="00A8510D" w:rsidRPr="00E72418">
        <w:t xml:space="preserve">rces par les </w:t>
      </w:r>
      <w:r w:rsidR="00B45C7B" w:rsidRPr="00E72418">
        <w:rPr>
          <w:szCs w:val="24"/>
        </w:rPr>
        <w:t>É</w:t>
      </w:r>
      <w:r w:rsidR="00B45C7B" w:rsidRPr="00E72418">
        <w:t>tat</w:t>
      </w:r>
      <w:r w:rsidR="00A8510D" w:rsidRPr="00E72418">
        <w:t>s</w:t>
      </w:r>
      <w:r w:rsidR="00B45C7B" w:rsidRPr="00E72418">
        <w:t xml:space="preserve"> débiteur</w:t>
      </w:r>
      <w:r w:rsidR="00A8510D" w:rsidRPr="00E72418">
        <w:t>s</w:t>
      </w:r>
      <w:r w:rsidR="00B45C7B" w:rsidRPr="00E72418">
        <w:t xml:space="preserve"> et des potentiels abus, c’est </w:t>
      </w:r>
      <w:r w:rsidR="00A8510D" w:rsidRPr="00E72418">
        <w:t>essentiellement</w:t>
      </w:r>
      <w:r w:rsidR="00B45C7B" w:rsidRPr="00E72418">
        <w:t xml:space="preserve"> lorsque ce</w:t>
      </w:r>
      <w:r w:rsidR="00A8510D" w:rsidRPr="00E72418">
        <w:t>s derniers font</w:t>
      </w:r>
      <w:r w:rsidR="00B45C7B" w:rsidRPr="00E72418">
        <w:t xml:space="preserve"> défaut sur </w:t>
      </w:r>
      <w:r w:rsidR="00A8510D" w:rsidRPr="00E72418">
        <w:t>leur</w:t>
      </w:r>
      <w:r w:rsidR="00B45C7B" w:rsidRPr="00E72418">
        <w:t xml:space="preserve"> dette que la surveillance s’exerce, le souci étant que le</w:t>
      </w:r>
      <w:r w:rsidR="00A8510D" w:rsidRPr="00E72418">
        <w:t>s</w:t>
      </w:r>
      <w:r w:rsidR="00B45C7B" w:rsidRPr="00E72418">
        <w:t xml:space="preserve"> défaut</w:t>
      </w:r>
      <w:r w:rsidR="00A8510D" w:rsidRPr="00E72418">
        <w:t>s</w:t>
      </w:r>
      <w:r w:rsidR="00B45C7B" w:rsidRPr="00E72418">
        <w:t xml:space="preserve"> ne soi</w:t>
      </w:r>
      <w:r w:rsidR="00A8510D" w:rsidRPr="00E72418">
        <w:t>en</w:t>
      </w:r>
      <w:r w:rsidR="00B45C7B" w:rsidRPr="00E72418">
        <w:t>t ni opportuniste</w:t>
      </w:r>
      <w:r w:rsidR="00A8510D" w:rsidRPr="00E72418">
        <w:t>s</w:t>
      </w:r>
      <w:r w:rsidR="00B45C7B" w:rsidRPr="00E72418">
        <w:t>, ni abusif</w:t>
      </w:r>
      <w:r w:rsidR="00A8510D" w:rsidRPr="00E72418">
        <w:t>s</w:t>
      </w:r>
      <w:r w:rsidR="00B45C7B" w:rsidRPr="00E72418">
        <w:t xml:space="preserve">. Dans le cadre du défaut argentin du début du siècle, les critiques </w:t>
      </w:r>
      <w:r w:rsidR="00A8510D" w:rsidRPr="00E72418">
        <w:t>de</w:t>
      </w:r>
      <w:r w:rsidR="00B45C7B" w:rsidRPr="00E72418">
        <w:t xml:space="preserve"> certains furent violentes. La </w:t>
      </w:r>
      <w:r w:rsidR="00B45C7B" w:rsidRPr="00735BBE">
        <w:t>United States Court of Appeals for the Second Circuit</w:t>
      </w:r>
      <w:r w:rsidR="00B45C7B" w:rsidRPr="00E72418">
        <w:t xml:space="preserve"> qualifia</w:t>
      </w:r>
      <w:r w:rsidR="00A8510D" w:rsidRPr="00E72418">
        <w:t xml:space="preserve"> par exemple</w:t>
      </w:r>
      <w:r w:rsidR="00B45C7B" w:rsidRPr="00E72418">
        <w:t xml:space="preserve"> l’</w:t>
      </w:r>
      <w:r w:rsidR="00B45C7B" w:rsidRPr="00E72418">
        <w:rPr>
          <w:szCs w:val="24"/>
        </w:rPr>
        <w:t>É</w:t>
      </w:r>
      <w:r w:rsidR="00B45C7B" w:rsidRPr="00E72418">
        <w:t>tat argentin de « uniquely recalcitrant debtor »</w:t>
      </w:r>
      <w:r w:rsidR="00B45C7B" w:rsidRPr="00E72418">
        <w:rPr>
          <w:rStyle w:val="Appelnotedebasdep"/>
          <w:rFonts w:cs="Times New Roman"/>
          <w:szCs w:val="24"/>
        </w:rPr>
        <w:footnoteReference w:id="866"/>
      </w:r>
      <w:r w:rsidR="00596A89" w:rsidRPr="00E72418">
        <w:rPr>
          <w:vertAlign w:val="superscript"/>
        </w:rPr>
        <w:t>,</w:t>
      </w:r>
      <w:r w:rsidR="00596A89" w:rsidRPr="00E72418">
        <w:rPr>
          <w:rStyle w:val="Appelnotedebasdep"/>
        </w:rPr>
        <w:footnoteReference w:id="867"/>
      </w:r>
      <w:r w:rsidR="00B45C7B" w:rsidRPr="00E72418">
        <w:t xml:space="preserve">, là où des auteurs </w:t>
      </w:r>
      <w:r w:rsidR="00A8510D" w:rsidRPr="00E72418">
        <w:t>traitèrent</w:t>
      </w:r>
      <w:r w:rsidR="00B45C7B" w:rsidRPr="00E72418">
        <w:t xml:space="preserve"> le pays de « rogue debtor »</w:t>
      </w:r>
      <w:r w:rsidR="00B45C7B" w:rsidRPr="00E72418">
        <w:rPr>
          <w:rStyle w:val="Appelnotedebasdep"/>
          <w:rFonts w:cs="Times New Roman"/>
          <w:szCs w:val="24"/>
        </w:rPr>
        <w:footnoteReference w:id="868"/>
      </w:r>
      <w:r w:rsidR="00B45C7B" w:rsidRPr="00E72418">
        <w:t>.</w:t>
      </w:r>
    </w:p>
    <w:p w14:paraId="129D667D" w14:textId="43A8273F" w:rsidR="00B45C7B" w:rsidRPr="00E72418" w:rsidRDefault="00B45C7B" w:rsidP="00CC4BA8">
      <w:pPr>
        <w:spacing w:line="276" w:lineRule="auto"/>
        <w:rPr>
          <w:rFonts w:ascii="Times New Roman" w:hAnsi="Times New Roman" w:cs="Times New Roman"/>
          <w:szCs w:val="24"/>
        </w:rPr>
      </w:pPr>
      <w:r w:rsidRPr="00E72418">
        <w:t xml:space="preserve">Sans la menace de l’engagement de contentieux à son encontre, un </w:t>
      </w:r>
      <w:r w:rsidRPr="00E72418">
        <w:rPr>
          <w:szCs w:val="24"/>
        </w:rPr>
        <w:t>É</w:t>
      </w:r>
      <w:r w:rsidRPr="00E72418">
        <w:t xml:space="preserve">tat débiteur pourrait par opportunisme </w:t>
      </w:r>
      <w:r w:rsidR="00A8510D" w:rsidRPr="00E72418">
        <w:t xml:space="preserve">choisir de faire défaut sur sa dette postulant qu’une </w:t>
      </w:r>
      <w:r w:rsidRPr="00E72418">
        <w:t xml:space="preserve">restructuration permettra d’en </w:t>
      </w:r>
      <w:r w:rsidRPr="00E72418">
        <w:lastRenderedPageBreak/>
        <w:t>améliorer les termes</w:t>
      </w:r>
      <w:r w:rsidRPr="00E72418">
        <w:rPr>
          <w:rStyle w:val="Appelnotedebasdep"/>
          <w:rFonts w:ascii="Times New Roman" w:hAnsi="Times New Roman" w:cs="Times New Roman"/>
          <w:szCs w:val="24"/>
        </w:rPr>
        <w:footnoteReference w:id="869"/>
      </w:r>
      <w:r w:rsidR="00596A89" w:rsidRPr="00E72418">
        <w:rPr>
          <w:vertAlign w:val="superscript"/>
        </w:rPr>
        <w:t>,</w:t>
      </w:r>
      <w:r w:rsidRPr="00E72418">
        <w:rPr>
          <w:rStyle w:val="Appelnotedebasdep"/>
          <w:rFonts w:ascii="Times New Roman" w:hAnsi="Times New Roman"/>
        </w:rPr>
        <w:footnoteReference w:id="870"/>
      </w:r>
      <w:r w:rsidRPr="00E72418">
        <w:t xml:space="preserve">. Dans la même veine, dès lors qu’en règle les prix des titres matérialisant la dette souveraine chutent à la suite d’un défaut, un </w:t>
      </w:r>
      <w:r w:rsidRPr="00E72418">
        <w:rPr>
          <w:szCs w:val="24"/>
        </w:rPr>
        <w:t>É</w:t>
      </w:r>
      <w:r w:rsidRPr="00E72418">
        <w:t xml:space="preserve">tat pourrait y être tenté </w:t>
      </w:r>
      <w:r w:rsidR="00B85F7F" w:rsidRPr="00E72418">
        <w:t>afin de</w:t>
      </w:r>
      <w:r w:rsidRPr="00E72418">
        <w:t xml:space="preserve"> lui permettre de les racheter à prix réduit</w:t>
      </w:r>
      <w:r w:rsidRPr="00E72418">
        <w:rPr>
          <w:rStyle w:val="Appelnotedebasdep"/>
          <w:rFonts w:ascii="Times New Roman" w:hAnsi="Times New Roman" w:cs="Times New Roman"/>
          <w:szCs w:val="24"/>
        </w:rPr>
        <w:footnoteReference w:id="871"/>
      </w:r>
      <w:r w:rsidRPr="00E72418">
        <w:t>.</w:t>
      </w:r>
      <w:r w:rsidR="00A11FBD" w:rsidRPr="00E72418">
        <w:t xml:space="preserve"> Puisque le risque opportuniste est réel, </w:t>
      </w:r>
      <w:r w:rsidR="00A11FBD" w:rsidRPr="00E72418">
        <w:rPr>
          <w:rFonts w:ascii="Times New Roman" w:hAnsi="Times New Roman" w:cs="Times New Roman"/>
          <w:szCs w:val="24"/>
        </w:rPr>
        <w:t>la Conférence des Nations Unies sur le commerce et le développement déduit du principe de la promptitude, de l’efficacité et de l’équité des restructurations qu’elle pose, l’importance que « [l</w:t>
      </w:r>
      <w:r w:rsidR="002F747E">
        <w:rPr>
          <w:rFonts w:ascii="Times New Roman" w:hAnsi="Times New Roman" w:cs="Times New Roman"/>
          <w:szCs w:val="24"/>
        </w:rPr>
        <w:t>’</w:t>
      </w:r>
      <w:r w:rsidR="00A11FBD" w:rsidRPr="00E72418">
        <w:rPr>
          <w:rFonts w:ascii="Times New Roman" w:hAnsi="Times New Roman" w:cs="Times New Roman"/>
          <w:szCs w:val="24"/>
        </w:rPr>
        <w:t>]emprunteur devrait éviter d’avoir un comportement opportuniste »</w:t>
      </w:r>
      <w:r w:rsidR="00A11FBD" w:rsidRPr="00E72418">
        <w:rPr>
          <w:rStyle w:val="Appelnotedebasdep"/>
          <w:rFonts w:ascii="Times New Roman" w:hAnsi="Times New Roman" w:cs="Times New Roman"/>
          <w:szCs w:val="24"/>
        </w:rPr>
        <w:footnoteReference w:id="872"/>
      </w:r>
      <w:r w:rsidR="00A11FBD" w:rsidRPr="00E72418">
        <w:rPr>
          <w:rFonts w:ascii="Times New Roman" w:hAnsi="Times New Roman" w:cs="Times New Roman"/>
          <w:szCs w:val="24"/>
        </w:rPr>
        <w:t>.</w:t>
      </w:r>
      <w:r w:rsidR="000B3D1D" w:rsidRPr="00E72418">
        <w:rPr>
          <w:rFonts w:ascii="Times New Roman" w:hAnsi="Times New Roman" w:cs="Times New Roman"/>
          <w:szCs w:val="24"/>
        </w:rPr>
        <w:t xml:space="preserve"> Cette importance est par ailleurs rappelée dans les </w:t>
      </w:r>
      <w:r w:rsidR="000B3D1D" w:rsidRPr="00E72418">
        <w:rPr>
          <w:rFonts w:ascii="Times New Roman" w:hAnsi="Times New Roman" w:cs="Times New Roman"/>
          <w:szCs w:val="20"/>
        </w:rPr>
        <w:t>principes fondamentaux des opérations de restructuration de la dette souveraine</w:t>
      </w:r>
      <w:r w:rsidR="000B3D1D" w:rsidRPr="00E72418">
        <w:rPr>
          <w:rFonts w:ascii="Times New Roman" w:hAnsi="Times New Roman" w:cs="Times New Roman"/>
          <w:szCs w:val="24"/>
        </w:rPr>
        <w:t xml:space="preserve"> adoptés en 2015 par l’Assemblée générale des Nations Unies où la bonne foi du débiteur est reprise comme un tel principe</w:t>
      </w:r>
      <w:r w:rsidR="000B3D1D" w:rsidRPr="00E72418">
        <w:rPr>
          <w:rStyle w:val="Appelnotedebasdep"/>
          <w:rFonts w:ascii="Times New Roman" w:hAnsi="Times New Roman" w:cs="Times New Roman"/>
          <w:szCs w:val="24"/>
        </w:rPr>
        <w:footnoteReference w:id="873"/>
      </w:r>
      <w:r w:rsidR="000B3D1D" w:rsidRPr="00E72418">
        <w:rPr>
          <w:rFonts w:ascii="Times New Roman" w:hAnsi="Times New Roman" w:cs="Times New Roman"/>
          <w:szCs w:val="24"/>
        </w:rPr>
        <w:t>.</w:t>
      </w:r>
    </w:p>
    <w:p w14:paraId="3B717E16" w14:textId="243B2D0F" w:rsidR="00B45C7B" w:rsidRPr="00E72418" w:rsidRDefault="00B5648D" w:rsidP="00CC4BA8">
      <w:pPr>
        <w:spacing w:line="276" w:lineRule="auto"/>
      </w:pPr>
      <w:r w:rsidRPr="00E72418">
        <w:t>À</w:t>
      </w:r>
      <w:r w:rsidR="00B45C7B" w:rsidRPr="00E72418">
        <w:t xml:space="preserve"> côté de la vigilance à l’encontre de l’opportunisme, les fonds </w:t>
      </w:r>
      <w:r w:rsidR="00451AE5" w:rsidRPr="00E72418">
        <w:t xml:space="preserve">spéculatifs </w:t>
      </w:r>
      <w:r w:rsidR="00B45C7B" w:rsidRPr="00E72418">
        <w:t>veillent à ce que les termes des restructurations ne soient pas abusifs. L’abus pourrait survenir quant aux modalités de restructuration proposées par l’</w:t>
      </w:r>
      <w:r w:rsidR="00B45C7B" w:rsidRPr="00E72418">
        <w:rPr>
          <w:szCs w:val="24"/>
        </w:rPr>
        <w:t>É</w:t>
      </w:r>
      <w:r w:rsidR="00B45C7B" w:rsidRPr="00E72418">
        <w:t xml:space="preserve">tat débiteur qui s’avèreraient injustes </w:t>
      </w:r>
      <w:r w:rsidR="00B45C7B" w:rsidRPr="00E72418">
        <w:rPr>
          <w:rFonts w:cs="Times New Roman"/>
          <w:szCs w:val="24"/>
        </w:rPr>
        <w:t>au regard de sa réelle capacité financière</w:t>
      </w:r>
      <w:r w:rsidR="00B45C7B" w:rsidRPr="00E72418">
        <w:rPr>
          <w:rStyle w:val="Appelnotedebasdep"/>
          <w:rFonts w:cs="Times New Roman"/>
          <w:szCs w:val="24"/>
        </w:rPr>
        <w:footnoteReference w:id="874"/>
      </w:r>
      <w:r w:rsidR="00B45C7B" w:rsidRPr="00E72418">
        <w:rPr>
          <w:rFonts w:cs="Times New Roman"/>
          <w:szCs w:val="24"/>
        </w:rPr>
        <w:t xml:space="preserve">. </w:t>
      </w:r>
      <w:r w:rsidR="00B45C7B" w:rsidRPr="00E72418">
        <w:t>Si l’on prend l’exemple argentin, l’at</w:t>
      </w:r>
      <w:r w:rsidR="00FF5E08" w:rsidRPr="00E72418">
        <w:t>titude quelque peu obstinée du G</w:t>
      </w:r>
      <w:r w:rsidR="00B45C7B" w:rsidRPr="00E72418">
        <w:t>ouvernement de ne pas régler le problème des créanc</w:t>
      </w:r>
      <w:r w:rsidR="00451AE5" w:rsidRPr="00E72418">
        <w:t>iers récalcitrants leur permi</w:t>
      </w:r>
      <w:r w:rsidR="00B45C7B" w:rsidRPr="00E72418">
        <w:t xml:space="preserve">t de se présenter, comme le note </w:t>
      </w:r>
      <w:r w:rsidR="003D7F91" w:rsidRPr="00E72418">
        <w:t xml:space="preserve">Tomas </w:t>
      </w:r>
      <w:r w:rsidR="00B45C7B" w:rsidRPr="00E72418">
        <w:t xml:space="preserve">Araya, « as the parties looking for a </w:t>
      </w:r>
      <w:r w:rsidR="00B45C7B" w:rsidRPr="00E72418">
        <w:rPr>
          <w:rFonts w:cs="Times New Roman"/>
          <w:szCs w:val="24"/>
        </w:rPr>
        <w:t>“</w:t>
      </w:r>
      <w:r w:rsidR="00B45C7B" w:rsidRPr="00E72418">
        <w:t>just and fair reconciliation</w:t>
      </w:r>
      <w:r w:rsidR="00B45C7B" w:rsidRPr="00E72418">
        <w:rPr>
          <w:rFonts w:cs="Times New Roman"/>
          <w:szCs w:val="24"/>
        </w:rPr>
        <w:t>”</w:t>
      </w:r>
      <w:r w:rsidR="00B45C7B" w:rsidRPr="00E72418">
        <w:t xml:space="preserve"> of the Argentine debt crisis caused by a </w:t>
      </w:r>
      <w:r w:rsidR="00B45C7B" w:rsidRPr="00E72418">
        <w:rPr>
          <w:rFonts w:cs="Times New Roman"/>
          <w:szCs w:val="24"/>
        </w:rPr>
        <w:t>“</w:t>
      </w:r>
      <w:r w:rsidR="00B45C7B" w:rsidRPr="00E72418">
        <w:t>populist</w:t>
      </w:r>
      <w:r w:rsidR="00B45C7B" w:rsidRPr="00E72418">
        <w:rPr>
          <w:rFonts w:cs="Times New Roman"/>
          <w:szCs w:val="24"/>
        </w:rPr>
        <w:t>”</w:t>
      </w:r>
      <w:r w:rsidR="00B45C7B" w:rsidRPr="00E72418">
        <w:t xml:space="preserve"> government »</w:t>
      </w:r>
      <w:r w:rsidR="00B45C7B" w:rsidRPr="00E72418">
        <w:rPr>
          <w:rStyle w:val="Appelnotedebasdep"/>
        </w:rPr>
        <w:footnoteReference w:id="875"/>
      </w:r>
      <w:r w:rsidR="00B45C7B" w:rsidRPr="00E72418">
        <w:t xml:space="preserve">. L’abus pourrait </w:t>
      </w:r>
      <w:r w:rsidR="00451AE5" w:rsidRPr="00E72418">
        <w:t xml:space="preserve">également </w:t>
      </w:r>
      <w:r w:rsidR="00B45C7B" w:rsidRPr="00E72418">
        <w:t xml:space="preserve">se manifester </w:t>
      </w:r>
      <w:r w:rsidR="00451AE5" w:rsidRPr="00E72418">
        <w:t>dans l’inégalité de traitement des créanciers engendrée par le</w:t>
      </w:r>
      <w:r w:rsidR="00B45C7B" w:rsidRPr="00E72418">
        <w:t>s termes de la restructuration proposée par l’</w:t>
      </w:r>
      <w:r w:rsidR="00B45C7B" w:rsidRPr="00E72418">
        <w:rPr>
          <w:szCs w:val="24"/>
        </w:rPr>
        <w:t>É</w:t>
      </w:r>
      <w:r w:rsidR="00B45C7B" w:rsidRPr="00E72418">
        <w:t>tat débiteur</w:t>
      </w:r>
      <w:r w:rsidR="00B45C7B" w:rsidRPr="00E72418">
        <w:rPr>
          <w:rStyle w:val="Appelnotedebasdep"/>
        </w:rPr>
        <w:footnoteReference w:id="876"/>
      </w:r>
      <w:r w:rsidR="00B45C7B" w:rsidRPr="00E72418">
        <w:t>.</w:t>
      </w:r>
    </w:p>
    <w:p w14:paraId="0BFEE012" w14:textId="18DD6D2C" w:rsidR="00B45C7B" w:rsidRPr="00E72418" w:rsidRDefault="00B45C7B" w:rsidP="00CC4BA8">
      <w:pPr>
        <w:spacing w:line="276" w:lineRule="auto"/>
      </w:pPr>
      <w:r w:rsidRPr="00E72418">
        <w:lastRenderedPageBreak/>
        <w:t xml:space="preserve">La mission de surveillance est essentielle </w:t>
      </w:r>
      <w:r w:rsidR="00451AE5" w:rsidRPr="00E72418">
        <w:t>en considération</w:t>
      </w:r>
      <w:r w:rsidRPr="00E72418">
        <w:t xml:space="preserve"> des impacts négatifs sur les marchés que peuvent avoir les </w:t>
      </w:r>
      <w:r w:rsidRPr="00E72418">
        <w:rPr>
          <w:szCs w:val="24"/>
        </w:rPr>
        <w:t>É</w:t>
      </w:r>
      <w:r w:rsidRPr="00E72418">
        <w:t>tats voyous</w:t>
      </w:r>
      <w:r w:rsidR="00D26C88" w:rsidRPr="00E72418">
        <w:rPr>
          <w:rStyle w:val="Appelnotedebasdep"/>
        </w:rPr>
        <w:footnoteReference w:id="877"/>
      </w:r>
      <w:r w:rsidRPr="00E72418">
        <w:t xml:space="preserve">. </w:t>
      </w:r>
      <w:r w:rsidR="00E8016A" w:rsidRPr="00E72418">
        <w:t xml:space="preserve">Arturo </w:t>
      </w:r>
      <w:r w:rsidR="00824C07">
        <w:t xml:space="preserve">Porzecanski souligne </w:t>
      </w:r>
      <w:r w:rsidRPr="00E72418">
        <w:t>« the realistic possibility that rogue sovereign debtors, rather than rogue private creditors, are the ones that pose the greatest threat to the integrity and efficiency of the international financial architecture »</w:t>
      </w:r>
      <w:r w:rsidRPr="00E72418">
        <w:rPr>
          <w:rStyle w:val="Appelnotedebasdep"/>
        </w:rPr>
        <w:footnoteReference w:id="878"/>
      </w:r>
      <w:r w:rsidRPr="00E72418">
        <w:t>. La gest</w:t>
      </w:r>
      <w:r w:rsidR="00451AE5" w:rsidRPr="00E72418">
        <w:t xml:space="preserve">ion des difficultés </w:t>
      </w:r>
      <w:r w:rsidRPr="00E72418">
        <w:t xml:space="preserve">dépendant du bon vouloir des </w:t>
      </w:r>
      <w:r w:rsidRPr="00E72418">
        <w:rPr>
          <w:szCs w:val="24"/>
        </w:rPr>
        <w:t>É</w:t>
      </w:r>
      <w:r w:rsidRPr="00E72418">
        <w:t>tats débiteurs</w:t>
      </w:r>
      <w:r w:rsidR="00451AE5" w:rsidRPr="00E72418">
        <w:t xml:space="preserve"> en raison de leur statut souverain</w:t>
      </w:r>
      <w:r w:rsidRPr="00E72418">
        <w:t>, les activités des fonds spéculatifs et les menaces qu’ils font planer sont de nature à les conduire à la diligence</w:t>
      </w:r>
      <w:r w:rsidRPr="00E72418">
        <w:rPr>
          <w:rStyle w:val="Appelnotedebasdep"/>
        </w:rPr>
        <w:footnoteReference w:id="879"/>
      </w:r>
      <w:r w:rsidRPr="00E72418">
        <w:t xml:space="preserve">. La volonté </w:t>
      </w:r>
      <w:r w:rsidR="00451AE5" w:rsidRPr="00E72418">
        <w:t xml:space="preserve">et la détermination </w:t>
      </w:r>
      <w:r w:rsidRPr="00E72418">
        <w:t>d’investisseurs de poursuivre leurs droits ser</w:t>
      </w:r>
      <w:r w:rsidR="00451AE5" w:rsidRPr="00E72418">
        <w:t>ven</w:t>
      </w:r>
      <w:r w:rsidR="0017729F" w:rsidRPr="00E72418">
        <w:t xml:space="preserve">t l’équilibre du marché des </w:t>
      </w:r>
      <w:r w:rsidRPr="00E72418">
        <w:t>dette</w:t>
      </w:r>
      <w:r w:rsidR="0017729F" w:rsidRPr="00E72418">
        <w:t>s</w:t>
      </w:r>
      <w:r w:rsidRPr="00E72418">
        <w:t xml:space="preserve"> souveraine</w:t>
      </w:r>
      <w:r w:rsidR="0017729F" w:rsidRPr="00E72418">
        <w:t>s</w:t>
      </w:r>
      <w:r w:rsidRPr="00E72418">
        <w:rPr>
          <w:rStyle w:val="Appelnotedebasdep"/>
          <w:rFonts w:ascii="Times New Roman" w:hAnsi="Times New Roman" w:cs="Times New Roman"/>
          <w:szCs w:val="24"/>
        </w:rPr>
        <w:footnoteReference w:id="880"/>
      </w:r>
      <w:r w:rsidRPr="00E72418">
        <w:t xml:space="preserve">. </w:t>
      </w:r>
    </w:p>
    <w:p w14:paraId="4BE6D05B" w14:textId="77777777" w:rsidR="00B45C7B" w:rsidRPr="00E72418" w:rsidRDefault="00B45C7B" w:rsidP="0054314B"/>
    <w:p w14:paraId="70D40746" w14:textId="7C4D8AD6" w:rsidR="00B45C7B" w:rsidRPr="00E72418" w:rsidRDefault="007F038F" w:rsidP="00CC4BA8">
      <w:pPr>
        <w:spacing w:line="276" w:lineRule="auto"/>
      </w:pPr>
      <w:r w:rsidRPr="00E72418">
        <w:rPr>
          <w:b/>
        </w:rPr>
        <w:t>164</w:t>
      </w:r>
      <w:r w:rsidR="007E31CD" w:rsidRPr="00E72418">
        <w:rPr>
          <w:b/>
        </w:rPr>
        <w:t xml:space="preserve">. </w:t>
      </w:r>
      <w:r w:rsidR="00B45C7B" w:rsidRPr="00E72418">
        <w:rPr>
          <w:b/>
        </w:rPr>
        <w:t>La corruption –</w:t>
      </w:r>
      <w:r w:rsidR="00B45C7B" w:rsidRPr="00E72418">
        <w:t xml:space="preserve"> Une autre qualité que l’on concède aux fonds spéculatifs est celle de </w:t>
      </w:r>
      <w:r w:rsidR="00451AE5" w:rsidRPr="00E72418">
        <w:t xml:space="preserve">la surveillance pratiquée </w:t>
      </w:r>
      <w:r w:rsidR="00B45C7B" w:rsidRPr="00E72418">
        <w:t xml:space="preserve">de possibles actes de corruption. En effet, ces fonds </w:t>
      </w:r>
      <w:r w:rsidR="00451AE5" w:rsidRPr="00E72418">
        <w:t>remplissent cette mission</w:t>
      </w:r>
      <w:r w:rsidR="00B45C7B" w:rsidRPr="00E72418">
        <w:t xml:space="preserve"> dans les </w:t>
      </w:r>
      <w:r w:rsidR="00451AE5" w:rsidRPr="00E72418">
        <w:rPr>
          <w:szCs w:val="24"/>
        </w:rPr>
        <w:t>É</w:t>
      </w:r>
      <w:r w:rsidR="00451AE5" w:rsidRPr="00E72418">
        <w:t xml:space="preserve">tats </w:t>
      </w:r>
      <w:r w:rsidR="00B45C7B" w:rsidRPr="00E72418">
        <w:t xml:space="preserve">qu’ils poursuivent en ce qu’ils </w:t>
      </w:r>
      <w:r w:rsidR="00824C07">
        <w:t>sont enclins à examiner</w:t>
      </w:r>
      <w:r w:rsidR="00B45C7B" w:rsidRPr="00E72418">
        <w:t xml:space="preserve"> systématiquement leurs arrangements commerciaux</w:t>
      </w:r>
      <w:r w:rsidR="00B45C7B" w:rsidRPr="00E72418">
        <w:rPr>
          <w:rStyle w:val="Appelnotedebasdep"/>
          <w:rFonts w:cs="Times New Roman"/>
          <w:szCs w:val="24"/>
        </w:rPr>
        <w:footnoteReference w:id="881"/>
      </w:r>
      <w:r w:rsidR="00B45C7B" w:rsidRPr="00E72418">
        <w:t>. Cette fonction est importante si l’on retient que « [d]ebt forgiveness – which is often included in restructuring – gives blank checks to corrupt regimes to squander public funds for their personal benefit »</w:t>
      </w:r>
      <w:r w:rsidR="00B45C7B" w:rsidRPr="00E72418">
        <w:rPr>
          <w:rStyle w:val="Appelnotedebasdep"/>
          <w:rFonts w:cs="Times New Roman"/>
          <w:szCs w:val="24"/>
        </w:rPr>
        <w:footnoteReference w:id="882"/>
      </w:r>
      <w:r w:rsidR="00B45C7B" w:rsidRPr="00E72418">
        <w:t>.</w:t>
      </w:r>
    </w:p>
    <w:p w14:paraId="11280EEE" w14:textId="3DC7ACE4" w:rsidR="00B45C7B" w:rsidRPr="00E72418" w:rsidRDefault="00B45C7B" w:rsidP="00CC4BA8">
      <w:pPr>
        <w:spacing w:line="276" w:lineRule="auto"/>
      </w:pPr>
      <w:r w:rsidRPr="00E72418">
        <w:t>Dans le cas de la République du Congo, certains créanciers ont tenté de dévoiler des preuves d</w:t>
      </w:r>
      <w:r w:rsidR="0056081B" w:rsidRPr="00E72418">
        <w:t>e corruption et de détournement</w:t>
      </w:r>
      <w:r w:rsidRPr="00E72418">
        <w:t xml:space="preserve"> de fonds publics par des</w:t>
      </w:r>
      <w:r w:rsidR="00FF5E08" w:rsidRPr="00E72418">
        <w:t xml:space="preserve"> fonctionnaires du G</w:t>
      </w:r>
      <w:r w:rsidR="0056081B" w:rsidRPr="00E72418">
        <w:t>ouvernement</w:t>
      </w:r>
      <w:r w:rsidRPr="00E72418">
        <w:t xml:space="preserve"> et</w:t>
      </w:r>
      <w:r w:rsidR="0056081B" w:rsidRPr="00E72418">
        <w:t>,</w:t>
      </w:r>
      <w:r w:rsidRPr="00E72418">
        <w:t xml:space="preserve"> en particulier</w:t>
      </w:r>
      <w:r w:rsidR="0056081B" w:rsidRPr="00E72418">
        <w:t>,</w:t>
      </w:r>
      <w:r w:rsidRPr="00E72418">
        <w:t xml:space="preserve"> par le président. Ainsi, des informations furent transmises par les créanciers </w:t>
      </w:r>
      <w:r w:rsidR="0056081B" w:rsidRPr="00E72418">
        <w:t xml:space="preserve">du pays </w:t>
      </w:r>
      <w:r w:rsidRPr="00E72418">
        <w:t xml:space="preserve">à des ONG comme </w:t>
      </w:r>
      <w:r w:rsidRPr="00E72418">
        <w:rPr>
          <w:i/>
        </w:rPr>
        <w:t>Transparency International</w:t>
      </w:r>
      <w:r w:rsidRPr="00E72418">
        <w:rPr>
          <w:rStyle w:val="Appelnotedebasdep"/>
          <w:rFonts w:cs="Times New Roman"/>
          <w:szCs w:val="24"/>
        </w:rPr>
        <w:footnoteReference w:id="883"/>
      </w:r>
      <w:r w:rsidRPr="00E72418">
        <w:t xml:space="preserve">. L’équipe du fonds </w:t>
      </w:r>
      <w:r w:rsidRPr="00E72418">
        <w:rPr>
          <w:i/>
        </w:rPr>
        <w:t>Elliott Associates</w:t>
      </w:r>
      <w:r w:rsidRPr="00E72418">
        <w:t xml:space="preserve">, </w:t>
      </w:r>
      <w:r w:rsidRPr="00E72418">
        <w:lastRenderedPageBreak/>
        <w:t>dans ses tentatives de saisies d’avoirs congolais et singulièrement de pétrole, révéla tout un réseau de fausse</w:t>
      </w:r>
      <w:r w:rsidR="0056081B" w:rsidRPr="00E72418">
        <w:t>s sociétés visant à dissimuler d</w:t>
      </w:r>
      <w:r w:rsidRPr="00E72418">
        <w:t>es transactions pétrolières</w:t>
      </w:r>
      <w:r w:rsidRPr="00E72418">
        <w:rPr>
          <w:rStyle w:val="Appelnotedebasdep"/>
          <w:rFonts w:cs="Times New Roman"/>
          <w:szCs w:val="24"/>
        </w:rPr>
        <w:footnoteReference w:id="884"/>
      </w:r>
      <w:r w:rsidRPr="00E72418">
        <w:t xml:space="preserve">. Le contentieux ayant opposé la société </w:t>
      </w:r>
      <w:r w:rsidRPr="00E72418">
        <w:rPr>
          <w:i/>
        </w:rPr>
        <w:t>Do</w:t>
      </w:r>
      <w:r w:rsidR="00650677" w:rsidRPr="00E72418">
        <w:rPr>
          <w:i/>
        </w:rPr>
        <w:t xml:space="preserve">negal </w:t>
      </w:r>
      <w:r w:rsidR="0056081B" w:rsidRPr="00E72418">
        <w:rPr>
          <w:i/>
        </w:rPr>
        <w:t>International Ltd.</w:t>
      </w:r>
      <w:r w:rsidR="0056081B" w:rsidRPr="00E72418">
        <w:t xml:space="preserve"> </w:t>
      </w:r>
      <w:r w:rsidR="00650677" w:rsidRPr="00E72418">
        <w:t xml:space="preserve">à la </w:t>
      </w:r>
      <w:r w:rsidR="0056081B" w:rsidRPr="00E72418">
        <w:t xml:space="preserve">République de </w:t>
      </w:r>
      <w:r w:rsidR="00650677" w:rsidRPr="00E72418">
        <w:t>Zambie permit de révé</w:t>
      </w:r>
      <w:r w:rsidRPr="00E72418">
        <w:t>ler la fraude de politiciens zambiens qui</w:t>
      </w:r>
      <w:r w:rsidR="002D7D7D" w:rsidRPr="00E72418">
        <w:t xml:space="preserve"> </w:t>
      </w:r>
      <w:r w:rsidRPr="00E72418">
        <w:t xml:space="preserve">rachetèrent une dette due </w:t>
      </w:r>
      <w:r w:rsidR="00650677" w:rsidRPr="00E72418">
        <w:t>par la Banque de Zambie au Koweï</w:t>
      </w:r>
      <w:r w:rsidRPr="00E72418">
        <w:t xml:space="preserve">t pour ensuite intenter une procédure à l’encontre de leur </w:t>
      </w:r>
      <w:r w:rsidR="0056081B" w:rsidRPr="00E72418">
        <w:t xml:space="preserve">propre </w:t>
      </w:r>
      <w:r w:rsidRPr="00E72418">
        <w:t>pays</w:t>
      </w:r>
      <w:r w:rsidRPr="00E72418">
        <w:rPr>
          <w:rStyle w:val="Appelnotedebasdep"/>
          <w:rFonts w:cs="Times New Roman"/>
          <w:szCs w:val="24"/>
        </w:rPr>
        <w:footnoteReference w:id="885"/>
      </w:r>
      <w:r w:rsidRPr="00E72418">
        <w:t xml:space="preserve">. </w:t>
      </w:r>
    </w:p>
    <w:p w14:paraId="48D175BC" w14:textId="03F52FC3" w:rsidR="00B45C7B" w:rsidRPr="00E72418" w:rsidRDefault="00B45C7B" w:rsidP="00CC4BA8">
      <w:pPr>
        <w:spacing w:line="276" w:lineRule="auto"/>
      </w:pPr>
      <w:r w:rsidRPr="00E72418">
        <w:t xml:space="preserve">Si l’on perçoit très clairement l’intérêt des activités des fonds spéculatifs </w:t>
      </w:r>
      <w:r w:rsidR="0056081B" w:rsidRPr="00E72418">
        <w:t>en raison</w:t>
      </w:r>
      <w:r w:rsidRPr="00E72418">
        <w:t xml:space="preserve"> de la corruption qu’ils peuvent permettre de détecter, il ne faudrait toutefois </w:t>
      </w:r>
      <w:r w:rsidR="00C53871" w:rsidRPr="00E72418">
        <w:t xml:space="preserve">pas </w:t>
      </w:r>
      <w:r w:rsidR="0056081B" w:rsidRPr="00E72418">
        <w:t>extrapoler cet intérêt en retenant</w:t>
      </w:r>
      <w:r w:rsidRPr="00E72418">
        <w:t xml:space="preserve"> que la corruption est un problème </w:t>
      </w:r>
      <w:r w:rsidR="0056081B" w:rsidRPr="00E72418">
        <w:t xml:space="preserve">endémique de </w:t>
      </w:r>
      <w:r w:rsidRPr="00E72418">
        <w:t xml:space="preserve">l’ensemble des </w:t>
      </w:r>
      <w:r w:rsidRPr="00E72418">
        <w:rPr>
          <w:szCs w:val="24"/>
        </w:rPr>
        <w:t>É</w:t>
      </w:r>
      <w:r w:rsidRPr="00E72418">
        <w:t>tats en proie aux activités de ces fonds</w:t>
      </w:r>
      <w:r w:rsidRPr="00E72418">
        <w:rPr>
          <w:rStyle w:val="Appelnotedebasdep"/>
          <w:rFonts w:cs="Times New Roman"/>
          <w:szCs w:val="24"/>
        </w:rPr>
        <w:footnoteReference w:id="886"/>
      </w:r>
      <w:r w:rsidRPr="00E72418">
        <w:t xml:space="preserve">. Aussi, pour </w:t>
      </w:r>
      <w:r w:rsidR="00875281" w:rsidRPr="00E72418">
        <w:t xml:space="preserve">Leentje </w:t>
      </w:r>
      <w:r w:rsidRPr="00E72418">
        <w:t xml:space="preserve">Sourbron et </w:t>
      </w:r>
      <w:r w:rsidR="00875281" w:rsidRPr="00E72418">
        <w:t xml:space="preserve">Lode </w:t>
      </w:r>
      <w:r w:rsidRPr="00E72418">
        <w:t>Vereeck, « </w:t>
      </w:r>
      <w:r w:rsidRPr="00E72418">
        <w:rPr>
          <w:rFonts w:ascii="Times New Roman" w:hAnsi="Times New Roman"/>
        </w:rPr>
        <w:t>[t]</w:t>
      </w:r>
      <w:r w:rsidRPr="00E72418">
        <w:t>he argument cuts no ice, since the vulture funds are more than willing to settle with the corrupt regimes they supposedly expose »</w:t>
      </w:r>
      <w:r w:rsidRPr="00E72418">
        <w:rPr>
          <w:rStyle w:val="Appelnotedebasdep"/>
          <w:rFonts w:cs="Times New Roman"/>
          <w:szCs w:val="24"/>
        </w:rPr>
        <w:footnoteReference w:id="887"/>
      </w:r>
      <w:r w:rsidRPr="00E72418">
        <w:t>.</w:t>
      </w:r>
    </w:p>
    <w:p w14:paraId="269E8CC2" w14:textId="77777777" w:rsidR="00B45C7B" w:rsidRPr="00E72418" w:rsidRDefault="00B45C7B" w:rsidP="0054314B"/>
    <w:p w14:paraId="2B8AB1B0" w14:textId="164D238D" w:rsidR="00B45C7B" w:rsidRPr="00E72418" w:rsidRDefault="007F038F" w:rsidP="00CC4BA8">
      <w:pPr>
        <w:spacing w:line="276" w:lineRule="auto"/>
      </w:pPr>
      <w:r w:rsidRPr="00E72418">
        <w:rPr>
          <w:b/>
        </w:rPr>
        <w:t>165</w:t>
      </w:r>
      <w:r w:rsidR="007E31CD" w:rsidRPr="00E72418">
        <w:rPr>
          <w:b/>
        </w:rPr>
        <w:t xml:space="preserve">. </w:t>
      </w:r>
      <w:r w:rsidR="00B45C7B" w:rsidRPr="00E72418">
        <w:rPr>
          <w:b/>
        </w:rPr>
        <w:t xml:space="preserve">Une qualité à relativiser – </w:t>
      </w:r>
      <w:r w:rsidR="00B45C7B" w:rsidRPr="00E72418">
        <w:t xml:space="preserve">L’importance de l’argument en faveur des fonds spéculatifs qu’est celui de la surveillance que ces derniers </w:t>
      </w:r>
      <w:r w:rsidR="0056081B" w:rsidRPr="00E72418">
        <w:t>pratiquent sur l</w:t>
      </w:r>
      <w:r w:rsidR="00B45C7B" w:rsidRPr="00E72418">
        <w:t>e</w:t>
      </w:r>
      <w:r w:rsidR="0056081B" w:rsidRPr="00E72418">
        <w:t xml:space="preserve">s </w:t>
      </w:r>
      <w:r w:rsidR="00B45C7B" w:rsidRPr="00E72418">
        <w:rPr>
          <w:szCs w:val="24"/>
        </w:rPr>
        <w:t>É</w:t>
      </w:r>
      <w:r w:rsidR="00B45C7B" w:rsidRPr="00E72418">
        <w:t>tat</w:t>
      </w:r>
      <w:r w:rsidR="0056081B" w:rsidRPr="00E72418">
        <w:t>s</w:t>
      </w:r>
      <w:r w:rsidR="00B45C7B" w:rsidRPr="00E72418">
        <w:t xml:space="preserve"> débiteur</w:t>
      </w:r>
      <w:r w:rsidR="0056081B" w:rsidRPr="00E72418">
        <w:t>s</w:t>
      </w:r>
      <w:r w:rsidR="00B45C7B" w:rsidRPr="00E72418">
        <w:t xml:space="preserve"> peut</w:t>
      </w:r>
      <w:r w:rsidR="0056081B" w:rsidRPr="00E72418">
        <w:t xml:space="preserve"> et doit</w:t>
      </w:r>
      <w:r w:rsidR="00B45C7B" w:rsidRPr="00E72418">
        <w:t xml:space="preserve"> être relativisé</w:t>
      </w:r>
      <w:r w:rsidR="0056081B" w:rsidRPr="00E72418">
        <w:t>e</w:t>
      </w:r>
      <w:r w:rsidR="00B45C7B" w:rsidRPr="00E72418">
        <w:t>. D’une part, ces fonds ne sont pas les seuls acteurs capables d’assurer cette surveillance</w:t>
      </w:r>
      <w:r w:rsidR="00B45C7B" w:rsidRPr="00E72418">
        <w:rPr>
          <w:rStyle w:val="Appelnotedebasdep"/>
          <w:rFonts w:cs="Times New Roman"/>
          <w:szCs w:val="24"/>
        </w:rPr>
        <w:footnoteReference w:id="888"/>
      </w:r>
      <w:r w:rsidR="00B45C7B" w:rsidRPr="00E72418">
        <w:t xml:space="preserve">. D’autre part, cette surveillance </w:t>
      </w:r>
      <w:r w:rsidR="0056081B" w:rsidRPr="00E72418">
        <w:t>n’est</w:t>
      </w:r>
      <w:r w:rsidR="00B45C7B" w:rsidRPr="00E72418">
        <w:t xml:space="preserve"> pratiquée par les fonds que dans la mesure où elle touche à leurs intérêts. Plus généralement, la fonction de surveillance est assuré</w:t>
      </w:r>
      <w:r w:rsidR="0056081B" w:rsidRPr="00E72418">
        <w:t>e</w:t>
      </w:r>
      <w:r w:rsidR="00B45C7B" w:rsidRPr="00E72418">
        <w:t xml:space="preserve"> dan</w:t>
      </w:r>
      <w:r w:rsidR="0056081B" w:rsidRPr="00E72418">
        <w:t xml:space="preserve">s l’unique objectif d’obliger les </w:t>
      </w:r>
      <w:r w:rsidR="00B45C7B" w:rsidRPr="00E72418">
        <w:rPr>
          <w:szCs w:val="24"/>
        </w:rPr>
        <w:t>É</w:t>
      </w:r>
      <w:r w:rsidR="00B45C7B" w:rsidRPr="00E72418">
        <w:t>tat</w:t>
      </w:r>
      <w:r w:rsidR="0056081B" w:rsidRPr="00E72418">
        <w:t>s</w:t>
      </w:r>
      <w:r w:rsidR="00B45C7B" w:rsidRPr="00E72418">
        <w:t xml:space="preserve"> débiteur</w:t>
      </w:r>
      <w:r w:rsidR="0056081B" w:rsidRPr="00E72418">
        <w:t>s à négocier et à payer leur</w:t>
      </w:r>
      <w:r w:rsidR="00B45C7B" w:rsidRPr="00E72418">
        <w:t xml:space="preserve"> dette</w:t>
      </w:r>
      <w:r w:rsidR="00B45C7B" w:rsidRPr="00E72418">
        <w:rPr>
          <w:rStyle w:val="Appelnotedebasdep"/>
          <w:rFonts w:cs="Times New Roman"/>
          <w:szCs w:val="24"/>
        </w:rPr>
        <w:footnoteReference w:id="889"/>
      </w:r>
      <w:r w:rsidR="00B45C7B" w:rsidRPr="00E72418">
        <w:t>.</w:t>
      </w:r>
    </w:p>
    <w:p w14:paraId="02CF8428" w14:textId="77777777" w:rsidR="00B45C7B" w:rsidRPr="00E72418" w:rsidRDefault="00B45C7B" w:rsidP="00CC4BA8">
      <w:pPr>
        <w:spacing w:line="276" w:lineRule="auto"/>
      </w:pPr>
      <w:r w:rsidRPr="00E72418">
        <w:t>Toute relative qu’est la surveillance assurée par les fonds spéculatifs, les situations de mauvaise gouvernance et de corruption de certains débiteurs</w:t>
      </w:r>
      <w:r w:rsidR="0056081B" w:rsidRPr="00E72418">
        <w:t xml:space="preserve"> souverains</w:t>
      </w:r>
      <w:r w:rsidRPr="00E72418">
        <w:t xml:space="preserve"> ne constituent certainement pas une</w:t>
      </w:r>
      <w:r w:rsidR="0056081B" w:rsidRPr="00E72418">
        <w:t xml:space="preserve"> justification des activités de ces</w:t>
      </w:r>
      <w:r w:rsidRPr="00E72418">
        <w:t xml:space="preserve"> fonds qui ne font qu’aggraver la situation des </w:t>
      </w:r>
      <w:r w:rsidRPr="00E72418">
        <w:rPr>
          <w:szCs w:val="24"/>
        </w:rPr>
        <w:t>É</w:t>
      </w:r>
      <w:r w:rsidRPr="00E72418">
        <w:t>tats débiteurs</w:t>
      </w:r>
      <w:r w:rsidRPr="00E72418">
        <w:rPr>
          <w:rStyle w:val="Appelnotedebasdep"/>
          <w:rFonts w:cs="Times New Roman"/>
          <w:szCs w:val="24"/>
        </w:rPr>
        <w:footnoteReference w:id="890"/>
      </w:r>
      <w:r w:rsidRPr="00E72418">
        <w:t>.</w:t>
      </w:r>
    </w:p>
    <w:p w14:paraId="6E0DB67D" w14:textId="299B1F3E" w:rsidR="00B45C7B" w:rsidRPr="00E72418" w:rsidRDefault="00B45C7B" w:rsidP="00CC4BA8">
      <w:pPr>
        <w:spacing w:line="276" w:lineRule="auto"/>
        <w:rPr>
          <w:rFonts w:ascii="Times New Roman" w:hAnsi="Times New Roman"/>
        </w:rPr>
      </w:pPr>
      <w:r w:rsidRPr="00E72418">
        <w:rPr>
          <w:rFonts w:ascii="Times New Roman" w:hAnsi="Times New Roman"/>
        </w:rPr>
        <w:lastRenderedPageBreak/>
        <w:t xml:space="preserve">Aussi et finalement, les choses </w:t>
      </w:r>
      <w:r w:rsidR="0056081B" w:rsidRPr="00E72418">
        <w:rPr>
          <w:rFonts w:ascii="Times New Roman" w:hAnsi="Times New Roman"/>
        </w:rPr>
        <w:t>peuvent</w:t>
      </w:r>
      <w:r w:rsidRPr="00E72418">
        <w:rPr>
          <w:rFonts w:ascii="Times New Roman" w:hAnsi="Times New Roman"/>
        </w:rPr>
        <w:t xml:space="preserve"> parfois </w:t>
      </w:r>
      <w:r w:rsidR="0056081B" w:rsidRPr="00E72418">
        <w:rPr>
          <w:rFonts w:ascii="Times New Roman" w:hAnsi="Times New Roman"/>
        </w:rPr>
        <w:t>s’avérer plus complexes</w:t>
      </w:r>
      <w:r w:rsidRPr="00E72418">
        <w:rPr>
          <w:rFonts w:ascii="Times New Roman" w:hAnsi="Times New Roman"/>
        </w:rPr>
        <w:t xml:space="preserve"> qu’elles paraissent. Ainsi, par exemple, si l’importante décote prévue dans les échanges argentins du début du siècle fut </w:t>
      </w:r>
      <w:r w:rsidR="0056081B" w:rsidRPr="00E72418">
        <w:rPr>
          <w:rFonts w:ascii="Times New Roman" w:hAnsi="Times New Roman"/>
        </w:rPr>
        <w:t xml:space="preserve">parfois </w:t>
      </w:r>
      <w:r w:rsidRPr="00E72418">
        <w:rPr>
          <w:rFonts w:ascii="Times New Roman" w:hAnsi="Times New Roman"/>
        </w:rPr>
        <w:t>vertement critiquée notamment en ce qu’elle était généralement plus importante que dans d’autres res</w:t>
      </w:r>
      <w:r w:rsidR="0004079A" w:rsidRPr="00E72418">
        <w:rPr>
          <w:rFonts w:ascii="Times New Roman" w:hAnsi="Times New Roman"/>
        </w:rPr>
        <w:t xml:space="preserve">tructurations, </w:t>
      </w:r>
      <w:r w:rsidR="00915173" w:rsidRPr="00E72418">
        <w:rPr>
          <w:rFonts w:ascii="Times New Roman" w:hAnsi="Times New Roman"/>
        </w:rPr>
        <w:t xml:space="preserve">Martin </w:t>
      </w:r>
      <w:r w:rsidR="0004079A" w:rsidRPr="00E72418">
        <w:rPr>
          <w:rFonts w:ascii="Times New Roman" w:hAnsi="Times New Roman"/>
        </w:rPr>
        <w:t>Guzman relève qu’</w:t>
      </w:r>
      <w:r w:rsidRPr="00E72418">
        <w:rPr>
          <w:rFonts w:ascii="Times New Roman" w:hAnsi="Times New Roman"/>
        </w:rPr>
        <w:t xml:space="preserve"> « a judgment on whether the haircut was “too large” should not be done on the basis of an inter-country comparison, but on the basis of whether it was larger than was necessary to achieve sustainability </w:t>
      </w:r>
      <w:r w:rsidRPr="00E72418">
        <w:t>–</w:t>
      </w:r>
      <w:r w:rsidRPr="00E72418">
        <w:rPr>
          <w:rFonts w:ascii="Times New Roman" w:hAnsi="Times New Roman"/>
        </w:rPr>
        <w:t xml:space="preserve"> taking into account that the </w:t>
      </w:r>
      <w:r w:rsidRPr="00E72418">
        <w:rPr>
          <w:rFonts w:ascii="Times New Roman" w:hAnsi="Times New Roman"/>
          <w:i/>
          <w:iCs/>
        </w:rPr>
        <w:t xml:space="preserve">ex post </w:t>
      </w:r>
      <w:r w:rsidRPr="00E72418">
        <w:rPr>
          <w:rFonts w:ascii="Times New Roman" w:hAnsi="Times New Roman"/>
        </w:rPr>
        <w:t>performance is endogenous on the amount of debt relief »</w:t>
      </w:r>
      <w:r w:rsidRPr="00E72418">
        <w:rPr>
          <w:rStyle w:val="Appelnotedebasdep"/>
          <w:rFonts w:ascii="Times New Roman" w:hAnsi="Times New Roman" w:cs="Times New Roman"/>
          <w:szCs w:val="24"/>
        </w:rPr>
        <w:footnoteReference w:id="891"/>
      </w:r>
      <w:r w:rsidRPr="00E72418">
        <w:rPr>
          <w:rFonts w:ascii="Times New Roman" w:hAnsi="Times New Roman"/>
        </w:rPr>
        <w:t>.</w:t>
      </w:r>
    </w:p>
    <w:p w14:paraId="1F1ECFF4" w14:textId="3F426F28" w:rsidR="00B45C7B" w:rsidRPr="00E72418" w:rsidRDefault="00B45C7B" w:rsidP="0054314B"/>
    <w:p w14:paraId="7C1C7577" w14:textId="6C2B3FF1" w:rsidR="00B45C7B" w:rsidRPr="00E72418" w:rsidRDefault="00F10F7D" w:rsidP="00CC4BA8">
      <w:pPr>
        <w:pStyle w:val="BB"/>
        <w:spacing w:line="276" w:lineRule="auto"/>
      </w:pPr>
      <w:bookmarkStart w:id="190" w:name="_Toc59280929"/>
      <w:bookmarkStart w:id="191" w:name="_Toc75106090"/>
      <w:bookmarkStart w:id="192" w:name="_Toc84540917"/>
      <w:r w:rsidRPr="00E72418">
        <w:t>Conclusion de la partie I</w:t>
      </w:r>
      <w:r w:rsidR="00B45C7B" w:rsidRPr="00E72418">
        <w:t xml:space="preserve"> </w:t>
      </w:r>
      <w:r w:rsidR="002F4499" w:rsidRPr="00E72418">
        <w:rPr>
          <w:b/>
        </w:rPr>
        <w:t xml:space="preserve">– </w:t>
      </w:r>
      <w:r w:rsidRPr="00E72418">
        <w:t>sous-partie</w:t>
      </w:r>
      <w:r w:rsidR="00B45C7B" w:rsidRPr="00E72418">
        <w:t xml:space="preserve"> 1</w:t>
      </w:r>
      <w:bookmarkEnd w:id="190"/>
      <w:bookmarkEnd w:id="191"/>
      <w:bookmarkEnd w:id="192"/>
      <w:r w:rsidR="00B45C7B" w:rsidRPr="00E72418">
        <w:t> </w:t>
      </w:r>
    </w:p>
    <w:p w14:paraId="6AD34E6A" w14:textId="77777777" w:rsidR="00B45C7B" w:rsidRPr="00E72418" w:rsidRDefault="00B45C7B" w:rsidP="00CC4BA8">
      <w:pPr>
        <w:spacing w:line="276" w:lineRule="auto"/>
        <w:rPr>
          <w:rFonts w:cs="Times New Roman"/>
          <w:b/>
          <w:szCs w:val="24"/>
        </w:rPr>
      </w:pPr>
    </w:p>
    <w:p w14:paraId="47741FD5" w14:textId="4918C6F1" w:rsidR="00B45C7B" w:rsidRPr="00E72418" w:rsidRDefault="007F038F" w:rsidP="00CC4BA8">
      <w:pPr>
        <w:spacing w:line="276" w:lineRule="auto"/>
      </w:pPr>
      <w:r w:rsidRPr="00E72418">
        <w:rPr>
          <w:b/>
        </w:rPr>
        <w:t>166</w:t>
      </w:r>
      <w:r w:rsidR="007E31CD" w:rsidRPr="00E72418">
        <w:rPr>
          <w:b/>
        </w:rPr>
        <w:t xml:space="preserve">. </w:t>
      </w:r>
      <w:r w:rsidR="00B45C7B" w:rsidRPr="00E72418">
        <w:rPr>
          <w:b/>
        </w:rPr>
        <w:t>Une appellation à privilégier</w:t>
      </w:r>
      <w:r w:rsidR="00B45C7B" w:rsidRPr="00E72418">
        <w:t xml:space="preserve"> </w:t>
      </w:r>
      <w:r w:rsidR="00B45C7B" w:rsidRPr="00E72418">
        <w:rPr>
          <w:b/>
        </w:rPr>
        <w:t xml:space="preserve">– </w:t>
      </w:r>
      <w:r w:rsidR="006E03B7" w:rsidRPr="00E72418">
        <w:t xml:space="preserve">La description du phénomène des fonds dits « vautours » nous a notamment permis, par l’étude de </w:t>
      </w:r>
      <w:r w:rsidR="00824C07">
        <w:t xml:space="preserve">quelques </w:t>
      </w:r>
      <w:r w:rsidR="006E03B7" w:rsidRPr="00E72418">
        <w:t xml:space="preserve">contentieux emblématiques de celui-ci, de préciser cette notion </w:t>
      </w:r>
      <w:r w:rsidR="009E4607" w:rsidRPr="00E72418">
        <w:t xml:space="preserve">abondamment utilisée mais pourtant </w:t>
      </w:r>
      <w:r w:rsidR="006E03B7" w:rsidRPr="00E72418">
        <w:t xml:space="preserve">mal définie. </w:t>
      </w:r>
      <w:r w:rsidR="009E4607" w:rsidRPr="00E72418">
        <w:t>Quoique le phénomène interpelle, l’on constate à regret que</w:t>
      </w:r>
      <w:r w:rsidR="0030527A" w:rsidRPr="00E72418">
        <w:t xml:space="preserve"> son appréciation manque souvent de mesure</w:t>
      </w:r>
      <w:r w:rsidR="009E4607" w:rsidRPr="00E72418">
        <w:t>. Pourtant, s</w:t>
      </w:r>
      <w:r w:rsidR="006E03B7" w:rsidRPr="00E72418">
        <w:t>i l’on procède</w:t>
      </w:r>
      <w:r w:rsidR="00B45C7B" w:rsidRPr="00E72418">
        <w:t xml:space="preserve"> à la </w:t>
      </w:r>
      <w:r w:rsidR="006E03B7" w:rsidRPr="00E72418">
        <w:t xml:space="preserve">mise en </w:t>
      </w:r>
      <w:r w:rsidR="00B45C7B" w:rsidRPr="00E72418">
        <w:t xml:space="preserve">balance des </w:t>
      </w:r>
      <w:r w:rsidR="006E03B7" w:rsidRPr="00E72418">
        <w:t>reproches formulés à l’encontre de ces fonds particuliers avec le</w:t>
      </w:r>
      <w:r w:rsidR="0030527A" w:rsidRPr="00E72418">
        <w:t>s</w:t>
      </w:r>
      <w:r w:rsidR="006E03B7" w:rsidRPr="00E72418">
        <w:t xml:space="preserve"> </w:t>
      </w:r>
      <w:r w:rsidR="0030527A" w:rsidRPr="00E72418">
        <w:t>mérites</w:t>
      </w:r>
      <w:r w:rsidR="006E03B7" w:rsidRPr="00E72418">
        <w:t xml:space="preserve"> qui peu</w:t>
      </w:r>
      <w:r w:rsidR="0030527A" w:rsidRPr="00E72418">
        <w:t>vent</w:t>
      </w:r>
      <w:r w:rsidR="006E03B7" w:rsidRPr="00E72418">
        <w:t xml:space="preserve"> leur être </w:t>
      </w:r>
      <w:r w:rsidR="0030527A" w:rsidRPr="00E72418">
        <w:t>reconnus</w:t>
      </w:r>
      <w:r w:rsidR="00B45C7B" w:rsidRPr="00E72418">
        <w:t xml:space="preserve">, </w:t>
      </w:r>
      <w:r w:rsidR="009E4607" w:rsidRPr="00E72418">
        <w:t>il nous appara</w:t>
      </w:r>
      <w:r w:rsidR="00572ADA" w:rsidRPr="00E72418">
        <w:t>ît que l</w:t>
      </w:r>
      <w:r w:rsidR="009E4607" w:rsidRPr="00E72418">
        <w:t xml:space="preserve">e phénomène </w:t>
      </w:r>
      <w:r w:rsidR="00572ADA" w:rsidRPr="00E72418">
        <w:t xml:space="preserve">étudié </w:t>
      </w:r>
      <w:r w:rsidR="009E4607" w:rsidRPr="00E72418">
        <w:t xml:space="preserve">ne saurait </w:t>
      </w:r>
      <w:r w:rsidR="00572ADA" w:rsidRPr="00E72418">
        <w:t>être appréhendé de manière</w:t>
      </w:r>
      <w:r w:rsidR="009E4607" w:rsidRPr="00E72418">
        <w:t xml:space="preserve"> </w:t>
      </w:r>
      <w:r w:rsidR="003459BA" w:rsidRPr="00E72418">
        <w:t>manichéenne</w:t>
      </w:r>
      <w:r w:rsidR="00B45C7B" w:rsidRPr="00E72418">
        <w:rPr>
          <w:rStyle w:val="Appelnotedebasdep"/>
        </w:rPr>
        <w:footnoteReference w:id="892"/>
      </w:r>
      <w:r w:rsidR="00B45C7B" w:rsidRPr="00E72418">
        <w:t xml:space="preserve">. </w:t>
      </w:r>
      <w:r w:rsidR="00572ADA" w:rsidRPr="00E72418">
        <w:t>Cette balance</w:t>
      </w:r>
      <w:r w:rsidR="00B45C7B" w:rsidRPr="00E72418">
        <w:t xml:space="preserve"> nous </w:t>
      </w:r>
      <w:r w:rsidR="00E86C2C" w:rsidRPr="00E72418">
        <w:t>amène</w:t>
      </w:r>
      <w:r w:rsidR="00B45C7B" w:rsidRPr="00E72418">
        <w:t xml:space="preserve"> plutôt à retenir qu’une réponse nuancée doit pouvoir être apportée à ce phénomè</w:t>
      </w:r>
      <w:r w:rsidR="00650677" w:rsidRPr="00E72418">
        <w:t>ne existant, relativement critiqu</w:t>
      </w:r>
      <w:r w:rsidR="00B45C7B" w:rsidRPr="00E72418">
        <w:t>able et difficile à appréhender.</w:t>
      </w:r>
    </w:p>
    <w:p w14:paraId="4CF61ACD" w14:textId="74E9BFFD" w:rsidR="00B45C7B" w:rsidRPr="00E72418" w:rsidRDefault="00E86C2C" w:rsidP="00CC4BA8">
      <w:pPr>
        <w:spacing w:line="276" w:lineRule="auto"/>
      </w:pPr>
      <w:r w:rsidRPr="00E72418">
        <w:t>L</w:t>
      </w:r>
      <w:r w:rsidR="00B45C7B" w:rsidRPr="00E72418">
        <w:t>’utilisation du sobriquet « fonds vautours » pour</w:t>
      </w:r>
      <w:r w:rsidR="00B41CCF" w:rsidRPr="00E72418">
        <w:t xml:space="preserve"> qualifier les fonds spéculant</w:t>
      </w:r>
      <w:r w:rsidR="00B45C7B" w:rsidRPr="00E72418">
        <w:t xml:space="preserve"> sur les dettes souveraines ne nous paraît pas permettre cette nécessaire nuance. Il est utilisé de manière trop légère dans la mesure où tout investisseur sur le marché secondaire n’en est pas un</w:t>
      </w:r>
      <w:r w:rsidR="00B45C7B" w:rsidRPr="00E72418">
        <w:rPr>
          <w:rStyle w:val="Appelnotedebasdep"/>
          <w:szCs w:val="24"/>
        </w:rPr>
        <w:footnoteReference w:id="893"/>
      </w:r>
      <w:r w:rsidR="00B45C7B" w:rsidRPr="00E72418">
        <w:t xml:space="preserve">. Par ailleurs, </w:t>
      </w:r>
      <w:r w:rsidRPr="00E72418">
        <w:t xml:space="preserve">l’on a pu démontrer qu’il </w:t>
      </w:r>
      <w:r w:rsidR="00B45C7B" w:rsidRPr="00E72418">
        <w:t>est utile au bon fonctionnement du marché que des investisseurs soient prêts à prendre d’importants risques en intervenant quand les choses vont mal</w:t>
      </w:r>
      <w:r w:rsidR="00B45C7B" w:rsidRPr="00E72418">
        <w:rPr>
          <w:rStyle w:val="Appelnotedebasdep"/>
          <w:szCs w:val="24"/>
        </w:rPr>
        <w:footnoteReference w:id="894"/>
      </w:r>
      <w:r w:rsidR="00B45C7B" w:rsidRPr="00E72418">
        <w:t xml:space="preserve">. Aussi, dès lors </w:t>
      </w:r>
      <w:r w:rsidRPr="00E72418">
        <w:t>que l</w:t>
      </w:r>
      <w:r w:rsidR="00B45C7B" w:rsidRPr="00E72418">
        <w:t xml:space="preserve">es </w:t>
      </w:r>
      <w:r w:rsidR="00B45C7B" w:rsidRPr="00E72418">
        <w:rPr>
          <w:szCs w:val="24"/>
        </w:rPr>
        <w:t>É</w:t>
      </w:r>
      <w:r w:rsidR="00B45C7B" w:rsidRPr="00E72418">
        <w:t xml:space="preserve">tats débiteurs </w:t>
      </w:r>
      <w:r w:rsidR="00654772">
        <w:t>pourraient</w:t>
      </w:r>
      <w:r w:rsidR="00B45C7B" w:rsidRPr="00E72418">
        <w:t xml:space="preserve"> être trop facilement tentés de solliciter une restructuration des termes de leur dette, le refus d’un créancier d’y accéder ne saurait faire de lui </w:t>
      </w:r>
      <w:r w:rsidR="00B45C7B" w:rsidRPr="00E72418">
        <w:rPr>
          <w:i/>
        </w:rPr>
        <w:t>ipso facto</w:t>
      </w:r>
      <w:r w:rsidR="00B45C7B" w:rsidRPr="00E72418">
        <w:t xml:space="preserve"> un </w:t>
      </w:r>
      <w:r w:rsidR="00460015" w:rsidRPr="00E72418">
        <w:t>« </w:t>
      </w:r>
      <w:r w:rsidR="00B45C7B" w:rsidRPr="00E72418">
        <w:t>vautour</w:t>
      </w:r>
      <w:r w:rsidR="00460015" w:rsidRPr="00E72418">
        <w:t> »</w:t>
      </w:r>
      <w:r w:rsidR="00B45C7B" w:rsidRPr="00E72418">
        <w:rPr>
          <w:rStyle w:val="Appelnotedebasdep"/>
          <w:szCs w:val="24"/>
        </w:rPr>
        <w:footnoteReference w:id="895"/>
      </w:r>
      <w:r w:rsidR="00B45C7B" w:rsidRPr="00E72418">
        <w:t xml:space="preserve">. </w:t>
      </w:r>
      <w:r w:rsidRPr="00E72418">
        <w:t xml:space="preserve">Pour toutes les raisons exposées dans la première </w:t>
      </w:r>
      <w:r w:rsidR="00824C07">
        <w:t xml:space="preserve">sous-partie de la première </w:t>
      </w:r>
      <w:r w:rsidRPr="00E72418">
        <w:t>partie de notre recherche, le</w:t>
      </w:r>
      <w:r w:rsidR="00B45C7B" w:rsidRPr="00E72418">
        <w:t>s termes « fonds vaut</w:t>
      </w:r>
      <w:r w:rsidRPr="00E72418">
        <w:t>ours » ne nous paraissent</w:t>
      </w:r>
      <w:r w:rsidR="00B45C7B" w:rsidRPr="00E72418">
        <w:t xml:space="preserve"> pas </w:t>
      </w:r>
      <w:r w:rsidR="00B45C7B" w:rsidRPr="00E72418">
        <w:lastRenderedPageBreak/>
        <w:t>adéquats</w:t>
      </w:r>
      <w:r w:rsidR="00166F08" w:rsidRPr="00E72418">
        <w:rPr>
          <w:rStyle w:val="Appelnotedebasdep"/>
        </w:rPr>
        <w:footnoteReference w:id="896"/>
      </w:r>
      <w:r w:rsidR="00B45C7B" w:rsidRPr="00E72418">
        <w:t xml:space="preserve">. Ils </w:t>
      </w:r>
      <w:r w:rsidR="00356072" w:rsidRPr="00E72418">
        <w:t>stigmatisent</w:t>
      </w:r>
      <w:r w:rsidR="00B45C7B" w:rsidRPr="00E72418">
        <w:t xml:space="preserve"> inutilement et </w:t>
      </w:r>
      <w:r w:rsidR="00356072" w:rsidRPr="00E72418">
        <w:t xml:space="preserve">sont </w:t>
      </w:r>
      <w:r w:rsidR="00B45C7B" w:rsidRPr="00E72418">
        <w:t>porteurs d’une condamnation morale qu’un traitement juridique lucide ne saurait retenir</w:t>
      </w:r>
      <w:r w:rsidR="00B45C7B" w:rsidRPr="00E72418">
        <w:rPr>
          <w:rStyle w:val="Appelnotedebasdep"/>
          <w:szCs w:val="24"/>
        </w:rPr>
        <w:footnoteReference w:id="897"/>
      </w:r>
      <w:r w:rsidR="00B45C7B" w:rsidRPr="00E72418">
        <w:t>.</w:t>
      </w:r>
      <w:r w:rsidR="00B45C7B" w:rsidRPr="00E72418">
        <w:rPr>
          <w:rFonts w:cs="Times New Roman"/>
        </w:rPr>
        <w:t xml:space="preserve"> </w:t>
      </w:r>
    </w:p>
    <w:p w14:paraId="186EFDF2" w14:textId="21604F2F" w:rsidR="00B45C7B" w:rsidRPr="00E72418" w:rsidRDefault="007479E5" w:rsidP="00CC4BA8">
      <w:pPr>
        <w:spacing w:line="276" w:lineRule="auto"/>
        <w:rPr>
          <w:rFonts w:cs="Times New Roman"/>
          <w:szCs w:val="24"/>
        </w:rPr>
      </w:pPr>
      <w:r w:rsidRPr="00E72418">
        <w:rPr>
          <w:rFonts w:cs="Times New Roman"/>
          <w:szCs w:val="24"/>
        </w:rPr>
        <w:t>L</w:t>
      </w:r>
      <w:r w:rsidR="00B45C7B" w:rsidRPr="00E72418">
        <w:rPr>
          <w:rFonts w:cs="Times New Roman"/>
          <w:szCs w:val="24"/>
        </w:rPr>
        <w:t>’expression générique de « créanciers récalcitrants</w:t>
      </w:r>
      <w:r w:rsidRPr="00E72418">
        <w:rPr>
          <w:rFonts w:cs="Times New Roman"/>
          <w:szCs w:val="24"/>
        </w:rPr>
        <w:t> » ou « </w:t>
      </w:r>
      <w:r w:rsidR="00B45C7B" w:rsidRPr="00E72418">
        <w:rPr>
          <w:rFonts w:cs="Times New Roman"/>
          <w:szCs w:val="24"/>
        </w:rPr>
        <w:t xml:space="preserve">holdout creditors » </w:t>
      </w:r>
      <w:r w:rsidRPr="00E72418">
        <w:rPr>
          <w:rFonts w:cs="Times New Roman"/>
          <w:szCs w:val="24"/>
        </w:rPr>
        <w:t xml:space="preserve">est parfois utilisée </w:t>
      </w:r>
      <w:r w:rsidR="00B45C7B" w:rsidRPr="00E72418">
        <w:rPr>
          <w:rFonts w:cs="Times New Roman"/>
          <w:szCs w:val="24"/>
        </w:rPr>
        <w:t>afin de</w:t>
      </w:r>
      <w:r w:rsidR="00B41CCF" w:rsidRPr="00E72418">
        <w:rPr>
          <w:rFonts w:cs="Times New Roman"/>
          <w:szCs w:val="24"/>
        </w:rPr>
        <w:t xml:space="preserve"> qualifier les fonds spéculant</w:t>
      </w:r>
      <w:r w:rsidR="00B45C7B" w:rsidRPr="00E72418">
        <w:rPr>
          <w:rFonts w:cs="Times New Roman"/>
          <w:szCs w:val="24"/>
        </w:rPr>
        <w:t xml:space="preserve"> sur les dettes souveraines. Cette expression est inadéquate dans la mesure où si ces fonds sont des créanciers récalcitrants, l’inverse n’est </w:t>
      </w:r>
      <w:r w:rsidRPr="00E72418">
        <w:rPr>
          <w:rFonts w:cs="Times New Roman"/>
          <w:szCs w:val="24"/>
        </w:rPr>
        <w:t xml:space="preserve">toutefois </w:t>
      </w:r>
      <w:r w:rsidR="00B45C7B" w:rsidRPr="00E72418">
        <w:rPr>
          <w:rFonts w:cs="Times New Roman"/>
          <w:szCs w:val="24"/>
        </w:rPr>
        <w:t xml:space="preserve">pas </w:t>
      </w:r>
      <w:r w:rsidRPr="00E72418">
        <w:rPr>
          <w:rFonts w:cs="Times New Roman"/>
          <w:szCs w:val="24"/>
        </w:rPr>
        <w:t>exact</w:t>
      </w:r>
      <w:r w:rsidR="00B45C7B" w:rsidRPr="00E72418">
        <w:rPr>
          <w:rFonts w:cs="Times New Roman"/>
          <w:szCs w:val="24"/>
        </w:rPr>
        <w:t>. Comme nous l’avons vu, i</w:t>
      </w:r>
      <w:r w:rsidRPr="00E72418">
        <w:rPr>
          <w:rFonts w:cs="Times New Roman"/>
          <w:szCs w:val="24"/>
        </w:rPr>
        <w:t>l est des cas où des créanciers</w:t>
      </w:r>
      <w:r w:rsidR="00B45C7B" w:rsidRPr="00E72418">
        <w:rPr>
          <w:rFonts w:cs="Times New Roman"/>
          <w:szCs w:val="24"/>
        </w:rPr>
        <w:t xml:space="preserve"> refusent de par</w:t>
      </w:r>
      <w:r w:rsidR="00650677" w:rsidRPr="00E72418">
        <w:rPr>
          <w:rFonts w:cs="Times New Roman"/>
          <w:szCs w:val="24"/>
        </w:rPr>
        <w:t>ticiper aux mesures de restruct</w:t>
      </w:r>
      <w:r w:rsidR="00B45C7B" w:rsidRPr="00E72418">
        <w:rPr>
          <w:rFonts w:cs="Times New Roman"/>
          <w:szCs w:val="24"/>
        </w:rPr>
        <w:t>uration sans qu’une quelconque malice ne puisse leur être reprochée</w:t>
      </w:r>
      <w:r w:rsidR="00B45C7B" w:rsidRPr="00E72418">
        <w:rPr>
          <w:rStyle w:val="Appelnotedebasdep"/>
          <w:rFonts w:cs="Times New Roman"/>
          <w:szCs w:val="24"/>
        </w:rPr>
        <w:footnoteReference w:id="898"/>
      </w:r>
      <w:r w:rsidR="00B45C7B" w:rsidRPr="00E72418">
        <w:rPr>
          <w:rFonts w:cs="Times New Roman"/>
          <w:szCs w:val="24"/>
        </w:rPr>
        <w:t xml:space="preserve">. Dans le même sens, l’appellation « hedge funds » est également </w:t>
      </w:r>
      <w:r w:rsidRPr="00E72418">
        <w:rPr>
          <w:rFonts w:cs="Times New Roman"/>
          <w:szCs w:val="24"/>
        </w:rPr>
        <w:t>impropre</w:t>
      </w:r>
      <w:r w:rsidR="00B45C7B" w:rsidRPr="00E72418">
        <w:rPr>
          <w:rFonts w:cs="Times New Roman"/>
          <w:szCs w:val="24"/>
        </w:rPr>
        <w:t xml:space="preserve"> en ce que si les fonds </w:t>
      </w:r>
      <w:r w:rsidRPr="00E72418">
        <w:rPr>
          <w:rFonts w:cs="Times New Roman"/>
          <w:szCs w:val="24"/>
        </w:rPr>
        <w:t xml:space="preserve">spéculatifs </w:t>
      </w:r>
      <w:r w:rsidR="00B45C7B" w:rsidRPr="00E72418">
        <w:rPr>
          <w:rFonts w:cs="Times New Roman"/>
          <w:szCs w:val="24"/>
        </w:rPr>
        <w:t>qui</w:t>
      </w:r>
      <w:r w:rsidR="00203454" w:rsidRPr="00E72418">
        <w:rPr>
          <w:rFonts w:cs="Times New Roman"/>
          <w:szCs w:val="24"/>
        </w:rPr>
        <w:t xml:space="preserve"> nous occupent </w:t>
      </w:r>
      <w:r w:rsidR="00C65BEB" w:rsidRPr="00E72418">
        <w:rPr>
          <w:rFonts w:cs="Times New Roman"/>
          <w:szCs w:val="24"/>
        </w:rPr>
        <w:t xml:space="preserve">en </w:t>
      </w:r>
      <w:r w:rsidR="00203454" w:rsidRPr="00E72418">
        <w:rPr>
          <w:rFonts w:cs="Times New Roman"/>
          <w:szCs w:val="24"/>
        </w:rPr>
        <w:t>sont</w:t>
      </w:r>
      <w:r w:rsidR="00B45C7B" w:rsidRPr="00E72418">
        <w:rPr>
          <w:rFonts w:cs="Times New Roman"/>
          <w:szCs w:val="24"/>
        </w:rPr>
        <w:t>, l’inverse n’est pas toujours vrai.</w:t>
      </w:r>
    </w:p>
    <w:p w14:paraId="353F98DE" w14:textId="77777777" w:rsidR="005B5D0A" w:rsidRPr="00E72418" w:rsidRDefault="00B45C7B" w:rsidP="00CC4BA8">
      <w:pPr>
        <w:spacing w:line="276" w:lineRule="auto"/>
        <w:rPr>
          <w:rFonts w:cs="Times New Roman"/>
        </w:rPr>
      </w:pPr>
      <w:r w:rsidRPr="00E72418">
        <w:rPr>
          <w:rFonts w:cs="Times New Roman"/>
        </w:rPr>
        <w:t xml:space="preserve">Les fonds spéculatifs décrits sont </w:t>
      </w:r>
      <w:r w:rsidR="007479E5" w:rsidRPr="00E72418">
        <w:rPr>
          <w:rFonts w:cs="Times New Roman"/>
        </w:rPr>
        <w:t xml:space="preserve">également </w:t>
      </w:r>
      <w:r w:rsidRPr="00E72418">
        <w:rPr>
          <w:rFonts w:cs="Times New Roman"/>
        </w:rPr>
        <w:t xml:space="preserve">parfois qualifiés tantôt de « distressed debt funds » dans la mesure où leur </w:t>
      </w:r>
      <w:r w:rsidRPr="00E72418">
        <w:rPr>
          <w:rFonts w:cs="Times New Roman"/>
          <w:i/>
        </w:rPr>
        <w:t>modus operandi</w:t>
      </w:r>
      <w:r w:rsidRPr="00E72418">
        <w:rPr>
          <w:rFonts w:cs="Times New Roman"/>
        </w:rPr>
        <w:t xml:space="preserve"> </w:t>
      </w:r>
      <w:r w:rsidR="007479E5" w:rsidRPr="00E72418">
        <w:rPr>
          <w:rFonts w:cs="Times New Roman"/>
        </w:rPr>
        <w:t xml:space="preserve">consiste à </w:t>
      </w:r>
      <w:r w:rsidRPr="00E72418">
        <w:rPr>
          <w:rFonts w:cs="Times New Roman"/>
        </w:rPr>
        <w:t xml:space="preserve">investir dans des dettes </w:t>
      </w:r>
      <w:r w:rsidR="007479E5" w:rsidRPr="00E72418">
        <w:rPr>
          <w:rFonts w:cs="Times New Roman"/>
        </w:rPr>
        <w:t>ébranlées</w:t>
      </w:r>
      <w:r w:rsidRPr="00E72418">
        <w:rPr>
          <w:rFonts w:cs="Times New Roman"/>
        </w:rPr>
        <w:t xml:space="preserve">, tantôt de </w:t>
      </w:r>
      <w:r w:rsidRPr="00E72418">
        <w:t>« professional plaintiffs » lorsqu’ils sont appréhendés sous l’angle des procédures qu’ils entament à l’encontre de leur</w:t>
      </w:r>
      <w:r w:rsidR="007479E5" w:rsidRPr="00E72418">
        <w:t>s</w:t>
      </w:r>
      <w:r w:rsidRPr="00E72418">
        <w:t xml:space="preserve"> débiteur</w:t>
      </w:r>
      <w:r w:rsidR="007479E5" w:rsidRPr="00E72418">
        <w:t>s</w:t>
      </w:r>
      <w:r w:rsidRPr="00E72418">
        <w:rPr>
          <w:rStyle w:val="Appelnotedebasdep"/>
          <w:rFonts w:cs="Times New Roman"/>
          <w:szCs w:val="24"/>
        </w:rPr>
        <w:footnoteReference w:id="899"/>
      </w:r>
      <w:r w:rsidRPr="00E72418">
        <w:rPr>
          <w:rFonts w:cs="Times New Roman"/>
        </w:rPr>
        <w:t xml:space="preserve">. </w:t>
      </w:r>
    </w:p>
    <w:p w14:paraId="7510EDB9" w14:textId="06264B71" w:rsidR="00B45C7B" w:rsidRPr="00E72418" w:rsidRDefault="005B5D0A" w:rsidP="00CC4BA8">
      <w:pPr>
        <w:spacing w:line="276" w:lineRule="auto"/>
        <w:rPr>
          <w:rFonts w:cs="Times New Roman"/>
        </w:rPr>
      </w:pPr>
      <w:r w:rsidRPr="00E72418">
        <w:rPr>
          <w:rFonts w:cs="Times New Roman"/>
        </w:rPr>
        <w:t>Ainsi, au vu de ce qui précède, nous ferons le choix de l’appellation « fonds spéculant sur les dettes souveraines en difficulté » laquelle traduit la réalité d’une spéculation se faisant au détriment d</w:t>
      </w:r>
      <w:r w:rsidR="005258D9" w:rsidRPr="00E72418">
        <w:rPr>
          <w:rFonts w:cs="Times New Roman"/>
        </w:rPr>
        <w:t>’</w:t>
      </w:r>
      <w:r w:rsidR="005258D9" w:rsidRPr="00E72418">
        <w:rPr>
          <w:rFonts w:cs="Times New Roman"/>
          <w:szCs w:val="24"/>
        </w:rPr>
        <w:t>É</w:t>
      </w:r>
      <w:r w:rsidRPr="00E72418">
        <w:rPr>
          <w:rFonts w:cs="Times New Roman"/>
        </w:rPr>
        <w:t>tats débiteurs en difficulté financière</w:t>
      </w:r>
      <w:r w:rsidRPr="00E72418">
        <w:rPr>
          <w:rStyle w:val="Appelnotedebasdep"/>
          <w:rFonts w:cs="Times New Roman"/>
          <w:szCs w:val="24"/>
        </w:rPr>
        <w:footnoteReference w:id="900"/>
      </w:r>
      <w:r w:rsidRPr="00E72418">
        <w:rPr>
          <w:rFonts w:cs="Times New Roman"/>
        </w:rPr>
        <w:t>.</w:t>
      </w:r>
    </w:p>
    <w:p w14:paraId="257CD6FB" w14:textId="3D580D0B" w:rsidR="005E2035" w:rsidRPr="00E72418" w:rsidRDefault="00B45C7B" w:rsidP="00CC4BA8">
      <w:pPr>
        <w:spacing w:line="276" w:lineRule="auto"/>
      </w:pPr>
      <w:r w:rsidRPr="00E72418">
        <w:rPr>
          <w:szCs w:val="24"/>
        </w:rPr>
        <w:t>S’il est une chose que l’importance de la sémantique</w:t>
      </w:r>
      <w:r w:rsidR="007479E5" w:rsidRPr="00E72418">
        <w:rPr>
          <w:szCs w:val="24"/>
        </w:rPr>
        <w:t xml:space="preserve"> nous apprend</w:t>
      </w:r>
      <w:r w:rsidRPr="00E72418">
        <w:rPr>
          <w:szCs w:val="24"/>
        </w:rPr>
        <w:t xml:space="preserve">, c’est qu’il est essentiel d’identifier clairement les comportements à contrer et d’ainsi éviter de mettre tous les créanciers d’États </w:t>
      </w:r>
      <w:r w:rsidR="007479E5" w:rsidRPr="00E72418">
        <w:rPr>
          <w:szCs w:val="24"/>
        </w:rPr>
        <w:t xml:space="preserve">souverains </w:t>
      </w:r>
      <w:r w:rsidRPr="00E72418">
        <w:rPr>
          <w:szCs w:val="24"/>
        </w:rPr>
        <w:t xml:space="preserve">dans le même panier. Comme l’indique </w:t>
      </w:r>
      <w:r w:rsidR="00CC15FF" w:rsidRPr="00E72418">
        <w:rPr>
          <w:szCs w:val="24"/>
        </w:rPr>
        <w:t xml:space="preserve">Patrick </w:t>
      </w:r>
      <w:r w:rsidRPr="00E72418">
        <w:rPr>
          <w:szCs w:val="24"/>
        </w:rPr>
        <w:t xml:space="preserve">Wautelet, </w:t>
      </w:r>
      <w:r w:rsidR="007479E5" w:rsidRPr="00E72418">
        <w:rPr>
          <w:szCs w:val="24"/>
        </w:rPr>
        <w:t>ces créanciers</w:t>
      </w:r>
      <w:r w:rsidRPr="00E72418">
        <w:rPr>
          <w:szCs w:val="24"/>
        </w:rPr>
        <w:t xml:space="preserve"> ne sont </w:t>
      </w:r>
      <w:r w:rsidR="007479E5" w:rsidRPr="00E72418">
        <w:rPr>
          <w:szCs w:val="24"/>
        </w:rPr>
        <w:t xml:space="preserve">en effet </w:t>
      </w:r>
      <w:r w:rsidRPr="00E72418">
        <w:rPr>
          <w:szCs w:val="24"/>
        </w:rPr>
        <w:t xml:space="preserve">pas tous des </w:t>
      </w:r>
      <w:r w:rsidRPr="00E72418">
        <w:t>« highly specialized investment boutiques set up to prey on distressed sovereign debt »</w:t>
      </w:r>
      <w:r w:rsidRPr="00E72418">
        <w:rPr>
          <w:rStyle w:val="Appelnotedebasdep"/>
        </w:rPr>
        <w:footnoteReference w:id="901"/>
      </w:r>
      <w:r w:rsidRPr="00E72418">
        <w:t>.</w:t>
      </w:r>
      <w:r w:rsidR="000A7742" w:rsidRPr="00E72418">
        <w:t xml:space="preserve"> Les seuls comportements que nous nous donnons comme ambition de </w:t>
      </w:r>
      <w:r w:rsidR="00802A9E" w:rsidRPr="00E72418">
        <w:t>limiter</w:t>
      </w:r>
      <w:r w:rsidR="000A7742" w:rsidRPr="00E72418">
        <w:t xml:space="preserve"> sont ceux consistant à racheter sur le marché secondaire </w:t>
      </w:r>
      <w:r w:rsidR="005B5D0A" w:rsidRPr="00E72418">
        <w:t>des</w:t>
      </w:r>
      <w:r w:rsidR="000A7742" w:rsidRPr="00E72418">
        <w:t xml:space="preserve"> dette</w:t>
      </w:r>
      <w:r w:rsidR="005B5D0A" w:rsidRPr="00E72418">
        <w:t>s</w:t>
      </w:r>
      <w:r w:rsidR="000A7742" w:rsidRPr="00E72418">
        <w:t xml:space="preserve"> souveraine</w:t>
      </w:r>
      <w:r w:rsidR="005B5D0A" w:rsidRPr="00E72418">
        <w:t>s</w:t>
      </w:r>
      <w:r w:rsidR="000A7742" w:rsidRPr="00E72418">
        <w:t xml:space="preserve"> à prix réduit au regard de </w:t>
      </w:r>
      <w:r w:rsidR="005B5D0A" w:rsidRPr="00E72418">
        <w:t>leur</w:t>
      </w:r>
      <w:r w:rsidR="000A7742" w:rsidRPr="00E72418">
        <w:t xml:space="preserve"> valeur nominale et à chercher à en obtenir le paiement complet alors que </w:t>
      </w:r>
      <w:r w:rsidR="005B5D0A" w:rsidRPr="00E72418">
        <w:t>les</w:t>
      </w:r>
      <w:r w:rsidR="000A7742" w:rsidRPr="00E72418">
        <w:t xml:space="preserve"> dette</w:t>
      </w:r>
      <w:r w:rsidR="005B5D0A" w:rsidRPr="00E72418">
        <w:t>s</w:t>
      </w:r>
      <w:r w:rsidR="000A7742" w:rsidRPr="00E72418">
        <w:t xml:space="preserve"> poursuivie</w:t>
      </w:r>
      <w:r w:rsidR="005B5D0A" w:rsidRPr="00E72418">
        <w:t>s</w:t>
      </w:r>
      <w:r w:rsidR="000A7742" w:rsidRPr="00E72418">
        <w:t xml:space="preserve"> </w:t>
      </w:r>
      <w:r w:rsidR="005B5D0A" w:rsidRPr="00E72418">
        <w:t>sont</w:t>
      </w:r>
      <w:r w:rsidR="000A7742" w:rsidRPr="00E72418">
        <w:t xml:space="preserve"> insoutenable</w:t>
      </w:r>
      <w:r w:rsidR="005B5D0A" w:rsidRPr="00E72418">
        <w:t>s</w:t>
      </w:r>
      <w:r w:rsidR="000A7742" w:rsidRPr="00E72418">
        <w:t xml:space="preserve"> pour </w:t>
      </w:r>
      <w:r w:rsidR="005B5D0A" w:rsidRPr="00E72418">
        <w:t>leur</w:t>
      </w:r>
      <w:r w:rsidR="000A7742" w:rsidRPr="00E72418">
        <w:t xml:space="preserve"> débiteur.</w:t>
      </w:r>
      <w:r w:rsidR="005B5D0A" w:rsidRPr="00E72418">
        <w:t xml:space="preserve"> La proposition de </w:t>
      </w:r>
      <w:r w:rsidR="001243C1" w:rsidRPr="00E72418">
        <w:t>réglementation</w:t>
      </w:r>
      <w:r w:rsidR="005B5D0A" w:rsidRPr="00E72418">
        <w:t xml:space="preserve"> que nous ferons à l’issue de notre recherche verra ainsi sa portée finement précisée</w:t>
      </w:r>
      <w:r w:rsidR="005B5D0A" w:rsidRPr="00E72418">
        <w:rPr>
          <w:rStyle w:val="Appelnotedebasdep"/>
        </w:rPr>
        <w:footnoteReference w:id="902"/>
      </w:r>
      <w:r w:rsidR="005B5D0A" w:rsidRPr="00E72418">
        <w:t>.</w:t>
      </w:r>
    </w:p>
    <w:p w14:paraId="41502FEE" w14:textId="139521BD" w:rsidR="009D41C8" w:rsidRPr="00E72418" w:rsidRDefault="00B852A5" w:rsidP="00CC4BA8">
      <w:pPr>
        <w:pStyle w:val="AA"/>
        <w:spacing w:line="276" w:lineRule="auto"/>
      </w:pPr>
      <w:bookmarkStart w:id="193" w:name="_Toc59280930"/>
      <w:bookmarkStart w:id="194" w:name="_Toc75106091"/>
      <w:bookmarkStart w:id="195" w:name="_Toc84540918"/>
      <w:r w:rsidRPr="00E72418">
        <w:lastRenderedPageBreak/>
        <w:t>Partie I – S</w:t>
      </w:r>
      <w:r w:rsidR="00F10F7D" w:rsidRPr="00E72418">
        <w:t>ous-partie</w:t>
      </w:r>
      <w:r w:rsidR="009D41C8" w:rsidRPr="00E72418">
        <w:t xml:space="preserve"> 2 : Les </w:t>
      </w:r>
      <w:r w:rsidR="00250EFB" w:rsidRPr="00E72418">
        <w:t xml:space="preserve">principes </w:t>
      </w:r>
      <w:r w:rsidR="009D41C8" w:rsidRPr="00E72418">
        <w:t xml:space="preserve">juridiques </w:t>
      </w:r>
      <w:bookmarkEnd w:id="193"/>
      <w:bookmarkEnd w:id="194"/>
      <w:r w:rsidR="00250EFB" w:rsidRPr="00E72418">
        <w:t>mobilisés</w:t>
      </w:r>
      <w:bookmarkEnd w:id="195"/>
    </w:p>
    <w:p w14:paraId="3C4B81A5" w14:textId="77777777" w:rsidR="009D41C8" w:rsidRPr="00E72418" w:rsidRDefault="009D41C8" w:rsidP="0054314B"/>
    <w:p w14:paraId="37B97C05" w14:textId="151B5391" w:rsidR="009D41C8" w:rsidRPr="00E72418" w:rsidRDefault="009D41C8" w:rsidP="00CC4BA8">
      <w:pPr>
        <w:pStyle w:val="BB"/>
        <w:spacing w:line="276" w:lineRule="auto"/>
        <w:rPr>
          <w:rStyle w:val="Emphaseple"/>
          <w:i/>
          <w:iCs w:val="0"/>
          <w:color w:val="auto"/>
        </w:rPr>
      </w:pPr>
      <w:bookmarkStart w:id="196" w:name="_Toc59280931"/>
      <w:bookmarkStart w:id="197" w:name="_Toc75106092"/>
      <w:bookmarkStart w:id="198" w:name="_Toc84540919"/>
      <w:r w:rsidRPr="00E72418">
        <w:rPr>
          <w:rStyle w:val="Emphaseple"/>
          <w:i/>
          <w:iCs w:val="0"/>
          <w:color w:val="auto"/>
        </w:rPr>
        <w:t xml:space="preserve">Introduction de la </w:t>
      </w:r>
      <w:r w:rsidR="00F10F7D" w:rsidRPr="00E72418">
        <w:t>partie I – sous-partie</w:t>
      </w:r>
      <w:r w:rsidRPr="00E72418">
        <w:t xml:space="preserve"> 2</w:t>
      </w:r>
      <w:bookmarkEnd w:id="196"/>
      <w:bookmarkEnd w:id="197"/>
      <w:bookmarkEnd w:id="198"/>
    </w:p>
    <w:p w14:paraId="61D7A6ED" w14:textId="77777777" w:rsidR="009D41C8" w:rsidRPr="00E72418" w:rsidRDefault="009D41C8" w:rsidP="0054314B"/>
    <w:p w14:paraId="292BCD82" w14:textId="004886D4" w:rsidR="009D41C8" w:rsidRPr="00E72418" w:rsidRDefault="007F038F" w:rsidP="00CC4BA8">
      <w:pPr>
        <w:spacing w:line="276" w:lineRule="auto"/>
      </w:pPr>
      <w:r w:rsidRPr="00E72418">
        <w:rPr>
          <w:b/>
        </w:rPr>
        <w:t>167</w:t>
      </w:r>
      <w:r w:rsidR="007E31CD" w:rsidRPr="00E72418">
        <w:rPr>
          <w:b/>
        </w:rPr>
        <w:t xml:space="preserve">. </w:t>
      </w:r>
      <w:r w:rsidR="009D41C8" w:rsidRPr="00E72418">
        <w:rPr>
          <w:b/>
        </w:rPr>
        <w:t xml:space="preserve">Des questions </w:t>
      </w:r>
      <w:r w:rsidR="00105FB8" w:rsidRPr="00E72418">
        <w:rPr>
          <w:b/>
        </w:rPr>
        <w:t xml:space="preserve">juridiques </w:t>
      </w:r>
      <w:r w:rsidR="009D41C8" w:rsidRPr="00E72418">
        <w:rPr>
          <w:b/>
        </w:rPr>
        <w:t>de pointe –</w:t>
      </w:r>
      <w:r w:rsidR="009D41C8" w:rsidRPr="00E72418">
        <w:t xml:space="preserve"> L’expertise carac</w:t>
      </w:r>
      <w:r w:rsidR="00B41CCF" w:rsidRPr="00E72418">
        <w:t>téristique des fonds spéculant</w:t>
      </w:r>
      <w:r w:rsidR="009D41C8" w:rsidRPr="00E72418">
        <w:t xml:space="preserve"> sur les dettes souveraines conduit à ce que soient </w:t>
      </w:r>
      <w:r w:rsidR="00105FB8" w:rsidRPr="00E72418">
        <w:t>régu</w:t>
      </w:r>
      <w:r w:rsidR="00056B82" w:rsidRPr="00E72418">
        <w:t>l</w:t>
      </w:r>
      <w:r w:rsidR="00105FB8" w:rsidRPr="00E72418">
        <w:t>ièr</w:t>
      </w:r>
      <w:r w:rsidR="00056B82" w:rsidRPr="00E72418">
        <w:t>e</w:t>
      </w:r>
      <w:r w:rsidR="00105FB8" w:rsidRPr="00E72418">
        <w:t xml:space="preserve">ment </w:t>
      </w:r>
      <w:r w:rsidR="009D41C8" w:rsidRPr="00E72418">
        <w:t>posées</w:t>
      </w:r>
      <w:r w:rsidR="00642FC3" w:rsidRPr="00E72418">
        <w:t>,</w:t>
      </w:r>
      <w:r w:rsidR="009D41C8" w:rsidRPr="00E72418">
        <w:t xml:space="preserve"> durant les contentieux intentés par ceux-ci</w:t>
      </w:r>
      <w:r w:rsidR="00642FC3" w:rsidRPr="00E72418">
        <w:t>,</w:t>
      </w:r>
      <w:r w:rsidR="009D41C8" w:rsidRPr="00E72418">
        <w:t xml:space="preserve"> des</w:t>
      </w:r>
      <w:r w:rsidR="00DB770B" w:rsidRPr="00E72418">
        <w:t xml:space="preserve"> questions juridiques de pointe appelant des réponses qui le sont tout autant et qui façonnent </w:t>
      </w:r>
      <w:r w:rsidR="00266400" w:rsidRPr="00E72418">
        <w:t>le traitement réservé aux activités spéculatives</w:t>
      </w:r>
      <w:r w:rsidR="00DB770B" w:rsidRPr="00E72418">
        <w:t xml:space="preserve">. </w:t>
      </w:r>
      <w:r w:rsidR="009D41C8" w:rsidRPr="00E72418">
        <w:t xml:space="preserve">Les </w:t>
      </w:r>
      <w:r w:rsidR="00105FB8" w:rsidRPr="00E72418">
        <w:t>procès menés</w:t>
      </w:r>
      <w:r w:rsidR="009D41C8" w:rsidRPr="00E72418">
        <w:t xml:space="preserve"> par la société </w:t>
      </w:r>
      <w:r w:rsidR="009D41C8" w:rsidRPr="00E72418">
        <w:rPr>
          <w:i/>
        </w:rPr>
        <w:t>NML Capital Ltd.</w:t>
      </w:r>
      <w:r w:rsidR="009D41C8" w:rsidRPr="00E72418">
        <w:t xml:space="preserve"> à l’encontre de la République argentine donn</w:t>
      </w:r>
      <w:r w:rsidR="00650677" w:rsidRPr="00E72418">
        <w:t xml:space="preserve">èrent </w:t>
      </w:r>
      <w:r w:rsidR="00DB770B" w:rsidRPr="00E72418">
        <w:t xml:space="preserve">ainsi </w:t>
      </w:r>
      <w:r w:rsidR="00650677" w:rsidRPr="00E72418">
        <w:t>lieu à d’importantes décis</w:t>
      </w:r>
      <w:r w:rsidR="00642FC3" w:rsidRPr="00E72418">
        <w:t xml:space="preserve">ions de principe permettant de retenir, comme l’écrit </w:t>
      </w:r>
      <w:r w:rsidR="0030568D" w:rsidRPr="00E72418">
        <w:t xml:space="preserve">Caroline </w:t>
      </w:r>
      <w:r w:rsidR="009D41C8" w:rsidRPr="00E72418">
        <w:t xml:space="preserve">Kleiner, </w:t>
      </w:r>
      <w:r w:rsidR="00642FC3" w:rsidRPr="00E72418">
        <w:t xml:space="preserve">qu’ </w:t>
      </w:r>
      <w:r w:rsidR="009D41C8" w:rsidRPr="00E72418">
        <w:t xml:space="preserve">« </w:t>
      </w:r>
      <w:r w:rsidR="009D41C8" w:rsidRPr="00E72418">
        <w:rPr>
          <w:rFonts w:ascii="Times New Roman" w:hAnsi="Times New Roman"/>
        </w:rPr>
        <w:t>[à]</w:t>
      </w:r>
      <w:r w:rsidR="009D41C8" w:rsidRPr="00E72418">
        <w:t xml:space="preserve"> bien des égards, la crise de la dette souveraine argentine a servi de “laboratoire” où les juristes ont éprouvé de nouveaux concepts ou bouleversé d’anciens outils »</w:t>
      </w:r>
      <w:r w:rsidR="009D41C8" w:rsidRPr="00E72418">
        <w:rPr>
          <w:rStyle w:val="Appelnotedebasdep"/>
          <w:rFonts w:cs="Times New Roman"/>
          <w:szCs w:val="24"/>
        </w:rPr>
        <w:footnoteReference w:id="903"/>
      </w:r>
      <w:r w:rsidR="009D41C8" w:rsidRPr="00E72418">
        <w:t xml:space="preserve">. </w:t>
      </w:r>
    </w:p>
    <w:p w14:paraId="1077ADED" w14:textId="5D8188C3" w:rsidR="005E2035" w:rsidRPr="00E72418" w:rsidRDefault="009D41C8" w:rsidP="00CC4BA8">
      <w:pPr>
        <w:spacing w:line="276" w:lineRule="auto"/>
      </w:pPr>
      <w:r w:rsidRPr="00E72418">
        <w:t>Les arguments ju</w:t>
      </w:r>
      <w:r w:rsidR="00105FB8" w:rsidRPr="00E72418">
        <w:t>ridiques régulièrement avancés</w:t>
      </w:r>
      <w:r w:rsidR="001178DB" w:rsidRPr="00E72418">
        <w:t xml:space="preserve"> </w:t>
      </w:r>
      <w:r w:rsidRPr="00E72418">
        <w:t xml:space="preserve">tant </w:t>
      </w:r>
      <w:r w:rsidR="00105FB8" w:rsidRPr="00E72418">
        <w:t xml:space="preserve">par </w:t>
      </w:r>
      <w:r w:rsidRPr="00E72418">
        <w:t xml:space="preserve">les fonds créanciers que </w:t>
      </w:r>
      <w:r w:rsidR="00105FB8" w:rsidRPr="00E72418">
        <w:t xml:space="preserve">par </w:t>
      </w:r>
      <w:r w:rsidRPr="00E72418">
        <w:t xml:space="preserve">les </w:t>
      </w:r>
      <w:r w:rsidRPr="00E72418">
        <w:rPr>
          <w:lang w:eastAsia="fr-BE"/>
        </w:rPr>
        <w:t>É</w:t>
      </w:r>
      <w:r w:rsidRPr="00E72418">
        <w:t>tats dé</w:t>
      </w:r>
      <w:r w:rsidR="00642FC3" w:rsidRPr="00E72418">
        <w:t>biteurs peuvent être regroupés entre, d</w:t>
      </w:r>
      <w:r w:rsidRPr="00E72418">
        <w:t xml:space="preserve">’une part, les arguments </w:t>
      </w:r>
      <w:r w:rsidR="00E310B0" w:rsidRPr="00E72418">
        <w:t>soutenant l’</w:t>
      </w:r>
      <w:r w:rsidRPr="00E72418">
        <w:t xml:space="preserve">attaque </w:t>
      </w:r>
      <w:r w:rsidR="00DB770B" w:rsidRPr="00E72418">
        <w:t xml:space="preserve">lesquels ont trait au principe de la </w:t>
      </w:r>
      <w:r w:rsidR="0006084E" w:rsidRPr="00E72418">
        <w:t>sacralité</w:t>
      </w:r>
      <w:r w:rsidR="00DB770B" w:rsidRPr="00E72418">
        <w:t xml:space="preserve"> des contrats et à l’égalité de traitement des créanciers</w:t>
      </w:r>
      <w:r w:rsidR="00250EFB" w:rsidRPr="00E72418">
        <w:t xml:space="preserve"> (</w:t>
      </w:r>
      <w:r w:rsidR="00250EFB" w:rsidRPr="00E72418">
        <w:rPr>
          <w:b/>
        </w:rPr>
        <w:t>titre 1</w:t>
      </w:r>
      <w:r w:rsidR="00250EFB" w:rsidRPr="00E72418">
        <w:t>)</w:t>
      </w:r>
      <w:r w:rsidR="00642FC3" w:rsidRPr="00E72418">
        <w:t>, d’autre part,</w:t>
      </w:r>
      <w:r w:rsidRPr="00E72418">
        <w:t xml:space="preserve"> ceux opposés en défense</w:t>
      </w:r>
      <w:r w:rsidR="00DB770B" w:rsidRPr="00E72418">
        <w:t xml:space="preserve"> participant de la souveraineté, de l’impossible spéculation ou encore de la prééminence de l’intérêt général</w:t>
      </w:r>
      <w:r w:rsidR="00250EFB" w:rsidRPr="00E72418">
        <w:t xml:space="preserve"> (</w:t>
      </w:r>
      <w:r w:rsidR="00250EFB" w:rsidRPr="00E72418">
        <w:rPr>
          <w:b/>
        </w:rPr>
        <w:t>titre 2</w:t>
      </w:r>
      <w:r w:rsidR="00250EFB" w:rsidRPr="00E72418">
        <w:t>)</w:t>
      </w:r>
      <w:r w:rsidR="00EF79B3" w:rsidRPr="00E72418">
        <w:rPr>
          <w:rStyle w:val="Appelnotedebasdep"/>
        </w:rPr>
        <w:footnoteReference w:id="904"/>
      </w:r>
      <w:r w:rsidRPr="00E72418">
        <w:t>.</w:t>
      </w:r>
      <w:r w:rsidR="00AE5F9B" w:rsidRPr="00E72418">
        <w:t xml:space="preserve"> L’examen</w:t>
      </w:r>
      <w:r w:rsidR="00250EFB" w:rsidRPr="00E72418">
        <w:t xml:space="preserve"> des principes juridiques mobilisés est utile à notre thèse consistant à offrir une grille d’analyse permettant de mettre de l’ordre dans ceux-ci et d’en pondérer les effets.</w:t>
      </w:r>
    </w:p>
    <w:p w14:paraId="5AE2A81A" w14:textId="4BBD03C9" w:rsidR="003D2DD9" w:rsidRPr="00E72418" w:rsidRDefault="003D2DD9" w:rsidP="0054314B"/>
    <w:p w14:paraId="65352339" w14:textId="19971576" w:rsidR="006B6CA2" w:rsidRPr="00E72418" w:rsidRDefault="007E31CD" w:rsidP="006B6CA2">
      <w:pPr>
        <w:spacing w:line="276" w:lineRule="auto"/>
      </w:pPr>
      <w:r w:rsidRPr="00E72418">
        <w:rPr>
          <w:b/>
        </w:rPr>
        <w:t>16</w:t>
      </w:r>
      <w:r w:rsidR="007F038F" w:rsidRPr="00E72418">
        <w:rPr>
          <w:b/>
        </w:rPr>
        <w:t>8</w:t>
      </w:r>
      <w:r w:rsidRPr="00E72418">
        <w:rPr>
          <w:b/>
        </w:rPr>
        <w:t xml:space="preserve">. </w:t>
      </w:r>
      <w:r w:rsidR="003D2DD9" w:rsidRPr="00E72418">
        <w:rPr>
          <w:b/>
        </w:rPr>
        <w:t xml:space="preserve">Une possible cacophonie – </w:t>
      </w:r>
      <w:r w:rsidR="003D2DD9" w:rsidRPr="00E72418">
        <w:t>On l’a noté, de nombreuses juridictions judiciaires ont été saisies d’actions mues par les fonds spéculant sur les dettes souveraines</w:t>
      </w:r>
      <w:r w:rsidR="00C65BEB" w:rsidRPr="00E72418">
        <w:t xml:space="preserve"> en difficulté</w:t>
      </w:r>
      <w:r w:rsidR="003D2DD9" w:rsidRPr="00E72418">
        <w:t>. Cet état de fait découle de l’absence d’</w:t>
      </w:r>
      <w:r w:rsidR="002153C5" w:rsidRPr="00E72418">
        <w:t>existence d’</w:t>
      </w:r>
      <w:r w:rsidR="003D2DD9" w:rsidRPr="00E72418">
        <w:t>un jug</w:t>
      </w:r>
      <w:r w:rsidR="002153C5" w:rsidRPr="00E72418">
        <w:t>e unique à même de connaître de l’ensemble des</w:t>
      </w:r>
      <w:r w:rsidR="003D2DD9" w:rsidRPr="00E72418">
        <w:t xml:space="preserve"> contentieux liés aux dettes souveraines ainsi que de l’atomisation </w:t>
      </w:r>
      <w:r w:rsidR="006048D4" w:rsidRPr="00E72418">
        <w:t>de leurs détenteurs</w:t>
      </w:r>
      <w:r w:rsidR="003D2DD9" w:rsidRPr="00E72418">
        <w:t xml:space="preserve">. La multitude de juges potentiellement saisis conduit à </w:t>
      </w:r>
      <w:r w:rsidR="004F4AC3" w:rsidRPr="00E72418">
        <w:t>un</w:t>
      </w:r>
      <w:r w:rsidR="003D2DD9" w:rsidRPr="00E72418">
        <w:t xml:space="preserve"> traitement </w:t>
      </w:r>
      <w:r w:rsidR="004F4AC3" w:rsidRPr="00E72418">
        <w:t xml:space="preserve">parcellaire </w:t>
      </w:r>
      <w:r w:rsidR="003D2DD9" w:rsidRPr="00E72418">
        <w:t>de l’insolvabilité</w:t>
      </w:r>
      <w:r w:rsidR="004F4AC3" w:rsidRPr="00E72418">
        <w:t xml:space="preserve"> souveraine</w:t>
      </w:r>
      <w:r w:rsidR="003D2DD9" w:rsidRPr="00E72418">
        <w:t xml:space="preserve">. Pour </w:t>
      </w:r>
      <w:r w:rsidR="0030568D" w:rsidRPr="00E72418">
        <w:t xml:space="preserve">Fanny </w:t>
      </w:r>
      <w:r w:rsidR="003D2DD9" w:rsidRPr="00E72418">
        <w:t>Giansetto, cette situation es</w:t>
      </w:r>
      <w:r w:rsidR="002153C5" w:rsidRPr="00E72418">
        <w:t>t insatisfaisante à deux égards ; d</w:t>
      </w:r>
      <w:r w:rsidR="003D2DD9" w:rsidRPr="00E72418">
        <w:t>’une part, même si la compétence d’un juge se trouve limitée à une p</w:t>
      </w:r>
      <w:r w:rsidR="00B3200D" w:rsidRPr="00E72418">
        <w:t xml:space="preserve">artie de la dette émise par un </w:t>
      </w:r>
      <w:r w:rsidR="00B3200D" w:rsidRPr="00E72418">
        <w:rPr>
          <w:rFonts w:ascii="Times New Roman" w:hAnsi="Times New Roman" w:cs="Times New Roman"/>
          <w:lang w:eastAsia="fr-BE"/>
        </w:rPr>
        <w:t>É</w:t>
      </w:r>
      <w:r w:rsidR="003D2DD9" w:rsidRPr="00E72418">
        <w:t xml:space="preserve">tat, sa décision </w:t>
      </w:r>
      <w:r w:rsidR="002153C5" w:rsidRPr="00E72418">
        <w:t xml:space="preserve">a une influence plus large notamment en ce qu’en cas d’accueil de la prétention d’un créancier, </w:t>
      </w:r>
      <w:r w:rsidR="006048D4" w:rsidRPr="00E72418">
        <w:t>elle</w:t>
      </w:r>
      <w:r w:rsidR="002153C5" w:rsidRPr="00E72418">
        <w:t xml:space="preserve"> diminue l’actif disponible pour les autres, d’autre part, l’implication de différents ordres juridiques fait courir le risque de solutions distinctes et potentiellement contradictoires</w:t>
      </w:r>
      <w:r w:rsidR="002153C5" w:rsidRPr="00E72418">
        <w:rPr>
          <w:rStyle w:val="Appelnotedebasdep"/>
        </w:rPr>
        <w:footnoteReference w:id="905"/>
      </w:r>
      <w:r w:rsidR="002153C5" w:rsidRPr="00E72418">
        <w:t>.</w:t>
      </w:r>
      <w:r w:rsidR="00CB4465" w:rsidRPr="00E72418">
        <w:t xml:space="preserve"> </w:t>
      </w:r>
      <w:r w:rsidR="006B6CA2" w:rsidRPr="00E72418">
        <w:t>Outre l</w:t>
      </w:r>
      <w:r w:rsidR="00CB4465" w:rsidRPr="00E72418">
        <w:t xml:space="preserve">e risque d’une </w:t>
      </w:r>
      <w:r w:rsidR="006B6CA2" w:rsidRPr="00E72418">
        <w:t xml:space="preserve">cacophonie, comme le note </w:t>
      </w:r>
      <w:r w:rsidR="003D7F91" w:rsidRPr="00E72418">
        <w:t xml:space="preserve">Luca </w:t>
      </w:r>
      <w:r w:rsidR="006B6CA2" w:rsidRPr="00E72418">
        <w:t>Boggio, « </w:t>
      </w:r>
      <w:r w:rsidR="006B6CA2" w:rsidRPr="00E72418">
        <w:rPr>
          <w:rFonts w:ascii="Times New Roman" w:hAnsi="Times New Roman" w:cs="Times New Roman"/>
          <w:szCs w:val="24"/>
          <w:lang w:val="fr-BE"/>
        </w:rPr>
        <w:t xml:space="preserve">no </w:t>
      </w:r>
      <w:r w:rsidR="006B6CA2" w:rsidRPr="00E72418">
        <w:rPr>
          <w:rFonts w:ascii="Times New Roman" w:hAnsi="Times New Roman" w:cs="Times New Roman"/>
          <w:szCs w:val="24"/>
          <w:lang w:val="fr-BE"/>
        </w:rPr>
        <w:lastRenderedPageBreak/>
        <w:t xml:space="preserve">coordination between administrative bodies as well as between judges leads to multi-litigation cases which become </w:t>
      </w:r>
      <w:r w:rsidR="006B6CA2" w:rsidRPr="00E72418">
        <w:rPr>
          <w:rFonts w:cs="Times New Roman"/>
          <w:bCs/>
          <w:szCs w:val="24"/>
          <w:lang w:val="en-US"/>
        </w:rPr>
        <w:t>“</w:t>
      </w:r>
      <w:r w:rsidR="006B6CA2" w:rsidRPr="00E72418">
        <w:rPr>
          <w:rFonts w:ascii="Times New Roman" w:hAnsi="Times New Roman" w:cs="Times New Roman"/>
          <w:szCs w:val="24"/>
          <w:lang w:val="fr-BE"/>
        </w:rPr>
        <w:t>never ending stories</w:t>
      </w:r>
      <w:r w:rsidR="006B6CA2" w:rsidRPr="00E72418">
        <w:rPr>
          <w:rFonts w:cs="Times New Roman"/>
          <w:bCs/>
          <w:szCs w:val="24"/>
          <w:lang w:val="en-US"/>
        </w:rPr>
        <w:t>”</w:t>
      </w:r>
      <w:r w:rsidR="006B6CA2" w:rsidRPr="00E72418">
        <w:rPr>
          <w:rFonts w:ascii="Times New Roman" w:hAnsi="Times New Roman" w:cs="Times New Roman"/>
          <w:szCs w:val="24"/>
          <w:lang w:val="fr-BE"/>
        </w:rPr>
        <w:t xml:space="preserve"> </w:t>
      </w:r>
      <w:r w:rsidR="006B6CA2" w:rsidRPr="00E72418">
        <w:t>»</w:t>
      </w:r>
      <w:r w:rsidR="006B6CA2" w:rsidRPr="00E72418">
        <w:rPr>
          <w:rStyle w:val="Appelnotedebasdep"/>
        </w:rPr>
        <w:footnoteReference w:id="906"/>
      </w:r>
      <w:r w:rsidR="006B6CA2" w:rsidRPr="00E72418">
        <w:t>.</w:t>
      </w:r>
    </w:p>
    <w:p w14:paraId="73E7E0A6" w14:textId="350B4F9C" w:rsidR="006B6CA2" w:rsidRPr="00E72418" w:rsidRDefault="006B6CA2" w:rsidP="0054314B"/>
    <w:p w14:paraId="0DF9F5D5" w14:textId="77777777" w:rsidR="0091693F" w:rsidRPr="00E72418" w:rsidRDefault="0091693F" w:rsidP="0054314B"/>
    <w:p w14:paraId="7EB77220" w14:textId="74138922" w:rsidR="005E2035" w:rsidRPr="00E72418" w:rsidRDefault="003C32DE" w:rsidP="00CC4BA8">
      <w:pPr>
        <w:pStyle w:val="BB"/>
        <w:spacing w:line="276" w:lineRule="auto"/>
        <w:rPr>
          <w:rStyle w:val="Emphaseple"/>
          <w:i/>
          <w:iCs w:val="0"/>
          <w:color w:val="auto"/>
        </w:rPr>
      </w:pPr>
      <w:bookmarkStart w:id="199" w:name="_Toc59280932"/>
      <w:bookmarkStart w:id="200" w:name="_Toc75106093"/>
      <w:bookmarkStart w:id="201" w:name="_Toc84540920"/>
      <w:r w:rsidRPr="00E72418">
        <w:rPr>
          <w:rStyle w:val="Emphaseple"/>
          <w:i/>
          <w:iCs w:val="0"/>
          <w:color w:val="auto"/>
        </w:rPr>
        <w:t xml:space="preserve">Titre 1 : </w:t>
      </w:r>
      <w:r w:rsidR="005E2035" w:rsidRPr="00E72418">
        <w:rPr>
          <w:rStyle w:val="Emphaseple"/>
          <w:i/>
          <w:iCs w:val="0"/>
          <w:color w:val="auto"/>
        </w:rPr>
        <w:t>L’attaque</w:t>
      </w:r>
      <w:bookmarkEnd w:id="199"/>
      <w:bookmarkEnd w:id="200"/>
      <w:bookmarkEnd w:id="201"/>
    </w:p>
    <w:p w14:paraId="5EA222F2" w14:textId="64F63211" w:rsidR="005E2035" w:rsidRPr="00E72418" w:rsidRDefault="005E2035" w:rsidP="0054314B">
      <w:pPr>
        <w:rPr>
          <w:rStyle w:val="Emphaseple"/>
          <w:rFonts w:cs="Times New Roman"/>
          <w:i w:val="0"/>
          <w:color w:val="auto"/>
          <w:szCs w:val="24"/>
        </w:rPr>
      </w:pPr>
    </w:p>
    <w:p w14:paraId="1B958739" w14:textId="4C701C1C" w:rsidR="00B75CD8" w:rsidRPr="00E72418" w:rsidRDefault="007F038F" w:rsidP="00B75CD8">
      <w:pPr>
        <w:spacing w:line="276" w:lineRule="auto"/>
      </w:pPr>
      <w:r w:rsidRPr="00E72418">
        <w:rPr>
          <w:rStyle w:val="Emphaseple"/>
          <w:rFonts w:cs="Times New Roman"/>
          <w:b/>
          <w:i w:val="0"/>
          <w:color w:val="auto"/>
          <w:szCs w:val="24"/>
        </w:rPr>
        <w:t xml:space="preserve">169. </w:t>
      </w:r>
      <w:r w:rsidR="00B75CD8" w:rsidRPr="00E72418">
        <w:rPr>
          <w:rStyle w:val="Emphaseple"/>
          <w:rFonts w:cs="Times New Roman"/>
          <w:b/>
          <w:i w:val="0"/>
          <w:color w:val="auto"/>
          <w:szCs w:val="24"/>
        </w:rPr>
        <w:t xml:space="preserve">Une redoutable double détente </w:t>
      </w:r>
      <w:r w:rsidR="00B75CD8" w:rsidRPr="00E72418">
        <w:rPr>
          <w:b/>
        </w:rPr>
        <w:t>–</w:t>
      </w:r>
      <w:r w:rsidR="00B75CD8" w:rsidRPr="00E72418">
        <w:t xml:space="preserve"> Afin de faire prospérer en justice leur</w:t>
      </w:r>
      <w:r w:rsidR="00AE5F9B" w:rsidRPr="00E72418">
        <w:t>s</w:t>
      </w:r>
      <w:r w:rsidR="00B75CD8" w:rsidRPr="00E72418">
        <w:t xml:space="preserve"> prétentions, les fonds spéculant sur les dettes souveraines en difficulté s’arment</w:t>
      </w:r>
      <w:r w:rsidR="00CF00CD">
        <w:t xml:space="preserve"> souvent</w:t>
      </w:r>
      <w:r w:rsidR="00B75CD8" w:rsidRPr="00E72418">
        <w:t xml:space="preserve"> de principes juridiques simples. Il leur faut toujours avancer que les dettes qu’ils détiennent doivent être honorées en raison de l’importance du respect des engagements un temps pris par leur débiteur (</w:t>
      </w:r>
      <w:r w:rsidR="00B75CD8" w:rsidRPr="00E72418">
        <w:rPr>
          <w:b/>
        </w:rPr>
        <w:t>chapitre 1</w:t>
      </w:r>
      <w:r w:rsidR="00B75CD8" w:rsidRPr="00E72418">
        <w:t>). Une fois que raison leur a été donnée, il faut encore que la décision rendue en leur faveur puisse concrètement leur êt</w:t>
      </w:r>
      <w:r w:rsidR="00AE5F9B" w:rsidRPr="00E72418">
        <w:t>re profitable. Ainsi, face à l’é</w:t>
      </w:r>
      <w:r w:rsidR="00B75CD8" w:rsidRPr="00E72418">
        <w:t xml:space="preserve">ventuel refus de leur débiteur de l’honorer, certains créanciers ont cherché à faire valoir qu’il ne pourrait alors continuer à opérer avec </w:t>
      </w:r>
      <w:r w:rsidR="00AE5F9B" w:rsidRPr="00E72418">
        <w:t>ses</w:t>
      </w:r>
      <w:r w:rsidR="00B75CD8" w:rsidRPr="00E72418">
        <w:t xml:space="preserve"> autres créanciers comme bon </w:t>
      </w:r>
      <w:r w:rsidR="00AE5F9B" w:rsidRPr="00E72418">
        <w:t>lui</w:t>
      </w:r>
      <w:r w:rsidR="00B75CD8" w:rsidRPr="00E72418">
        <w:t xml:space="preserve"> semble. Les fonds spéculatifs mobilisent ainsi la clause </w:t>
      </w:r>
      <w:r w:rsidR="00B75CD8" w:rsidRPr="00E72418">
        <w:rPr>
          <w:i/>
        </w:rPr>
        <w:t>pari passu</w:t>
      </w:r>
      <w:r w:rsidR="00B75CD8" w:rsidRPr="00E72418">
        <w:t xml:space="preserve"> généralement reprise dans les contrats de dettes souveraines prévoyant que les créanciers recevront de leur débiteur une parité de traitement (</w:t>
      </w:r>
      <w:r w:rsidR="00B75CD8" w:rsidRPr="00E72418">
        <w:rPr>
          <w:b/>
        </w:rPr>
        <w:t>chapitre 2</w:t>
      </w:r>
      <w:r w:rsidR="00B75CD8" w:rsidRPr="00E72418">
        <w:t>).</w:t>
      </w:r>
    </w:p>
    <w:p w14:paraId="56861878" w14:textId="77777777" w:rsidR="00597CA9" w:rsidRPr="00E72418" w:rsidRDefault="00597CA9" w:rsidP="0054314B">
      <w:pPr>
        <w:rPr>
          <w:rStyle w:val="Emphaseple"/>
          <w:rFonts w:cs="Times New Roman"/>
          <w:i w:val="0"/>
          <w:color w:val="auto"/>
          <w:szCs w:val="24"/>
        </w:rPr>
      </w:pPr>
    </w:p>
    <w:p w14:paraId="0D23785B" w14:textId="5DBADD85" w:rsidR="005E2035" w:rsidRPr="00E72418" w:rsidRDefault="000764CE" w:rsidP="00CC4BA8">
      <w:pPr>
        <w:pStyle w:val="CC"/>
        <w:spacing w:line="276" w:lineRule="auto"/>
        <w:rPr>
          <w:i/>
        </w:rPr>
      </w:pPr>
      <w:bookmarkStart w:id="202" w:name="_Toc59280933"/>
      <w:bookmarkStart w:id="203" w:name="_Toc75106094"/>
      <w:bookmarkStart w:id="204" w:name="_Toc84540921"/>
      <w:r w:rsidRPr="00E72418">
        <w:t xml:space="preserve">Chapitre 1 : </w:t>
      </w:r>
      <w:r w:rsidR="00FD0720" w:rsidRPr="00E72418">
        <w:t xml:space="preserve">Le principe </w:t>
      </w:r>
      <w:r w:rsidR="00FD0720" w:rsidRPr="00E72418">
        <w:rPr>
          <w:i/>
        </w:rPr>
        <w:t>p</w:t>
      </w:r>
      <w:r w:rsidR="005E2035" w:rsidRPr="00E72418">
        <w:rPr>
          <w:i/>
        </w:rPr>
        <w:t>acta sunt servanda</w:t>
      </w:r>
      <w:bookmarkEnd w:id="202"/>
      <w:bookmarkEnd w:id="203"/>
      <w:bookmarkEnd w:id="204"/>
    </w:p>
    <w:p w14:paraId="24CCF7C1" w14:textId="77777777" w:rsidR="005E2035" w:rsidRPr="00E72418" w:rsidRDefault="005E2035" w:rsidP="0054314B"/>
    <w:p w14:paraId="66495F88" w14:textId="4A46CA30" w:rsidR="00153C65" w:rsidRPr="00E72418" w:rsidRDefault="007F038F" w:rsidP="00CC4BA8">
      <w:pPr>
        <w:spacing w:line="276" w:lineRule="auto"/>
      </w:pPr>
      <w:r w:rsidRPr="00E72418">
        <w:rPr>
          <w:b/>
        </w:rPr>
        <w:t>170</w:t>
      </w:r>
      <w:r w:rsidR="007E31CD" w:rsidRPr="00E72418">
        <w:rPr>
          <w:b/>
        </w:rPr>
        <w:t xml:space="preserve">. </w:t>
      </w:r>
      <w:r w:rsidR="0023480F" w:rsidRPr="00E72418">
        <w:rPr>
          <w:b/>
        </w:rPr>
        <w:t>Le principe –</w:t>
      </w:r>
      <w:r w:rsidR="00B41CCF" w:rsidRPr="00E72418">
        <w:t xml:space="preserve"> Les fonds spéculant</w:t>
      </w:r>
      <w:r w:rsidR="0023480F" w:rsidRPr="00E72418">
        <w:t xml:space="preserve"> </w:t>
      </w:r>
      <w:r w:rsidR="00A9063C">
        <w:t xml:space="preserve">sur les dettes souveraines font, </w:t>
      </w:r>
      <w:r w:rsidR="0023480F" w:rsidRPr="00E72418">
        <w:t>pour l’essentiel</w:t>
      </w:r>
      <w:r w:rsidR="00A9063C">
        <w:t>,</w:t>
      </w:r>
      <w:r w:rsidR="0023480F" w:rsidRPr="00E72418">
        <w:t xml:space="preserve"> appel à un principe juridique </w:t>
      </w:r>
      <w:r w:rsidR="00597CA9" w:rsidRPr="00E72418">
        <w:t>commun</w:t>
      </w:r>
      <w:r w:rsidR="0023480F" w:rsidRPr="00E72418">
        <w:t xml:space="preserve"> pour avancer leurs causes ; en tant que créanciers secondaires ils sont en droit de réclamer le paiement des titres qu’ils détiennent. Eu égard à l’absence de </w:t>
      </w:r>
      <w:r w:rsidR="001243C1" w:rsidRPr="00E72418">
        <w:t xml:space="preserve">réglementation </w:t>
      </w:r>
      <w:r w:rsidR="0023480F" w:rsidRPr="00E72418">
        <w:t>spécifique de la dette souveraine et de son marché secondaire, les règles du droit des contrats</w:t>
      </w:r>
      <w:r w:rsidR="00153C65" w:rsidRPr="00E72418">
        <w:t xml:space="preserve"> trouvent </w:t>
      </w:r>
      <w:r w:rsidR="00AE5F9B" w:rsidRPr="00E72418">
        <w:t xml:space="preserve">en principe </w:t>
      </w:r>
      <w:r w:rsidR="00153C65" w:rsidRPr="00E72418">
        <w:t>à s’appliquer</w:t>
      </w:r>
      <w:r w:rsidR="0023480F" w:rsidRPr="00E72418">
        <w:t xml:space="preserve"> lorsque des contentieux opposent des </w:t>
      </w:r>
      <w:r w:rsidR="0023480F" w:rsidRPr="00E72418">
        <w:rPr>
          <w:lang w:eastAsia="fr-BE"/>
        </w:rPr>
        <w:t>É</w:t>
      </w:r>
      <w:r w:rsidR="0023480F" w:rsidRPr="00E72418">
        <w:t>tats débiteurs à leurs créanciers privés</w:t>
      </w:r>
      <w:r w:rsidR="0023480F" w:rsidRPr="00E72418">
        <w:rPr>
          <w:rStyle w:val="Appelnotedebasdep"/>
        </w:rPr>
        <w:footnoteReference w:id="907"/>
      </w:r>
      <w:r w:rsidR="00153C65" w:rsidRPr="00E72418">
        <w:t xml:space="preserve">. </w:t>
      </w:r>
      <w:r w:rsidR="00EB5F8F" w:rsidRPr="00E72418">
        <w:t xml:space="preserve">Si l’idée a pu être défendue par le passé que </w:t>
      </w:r>
      <w:r w:rsidR="0067312A" w:rsidRPr="00E72418">
        <w:t xml:space="preserve">les dettes </w:t>
      </w:r>
      <w:r w:rsidR="0067312A" w:rsidRPr="00E72418">
        <w:lastRenderedPageBreak/>
        <w:t xml:space="preserve">contractées par les </w:t>
      </w:r>
      <w:r w:rsidR="0067312A" w:rsidRPr="00E72418">
        <w:rPr>
          <w:rFonts w:cs="Times New Roman"/>
          <w:szCs w:val="24"/>
        </w:rPr>
        <w:t>É</w:t>
      </w:r>
      <w:r w:rsidR="00EB5F8F" w:rsidRPr="00E72418">
        <w:t>tats étaient, en raison de la stature de ces débiteurs singuliers, uniquement des dettes d’honneur affranchies de l’application des règles de droit privé, il n’apparaît pas que l’on puisse encore douter aujourd’hui de leur caractère obligatoire</w:t>
      </w:r>
      <w:r w:rsidR="00EB5F8F" w:rsidRPr="00E72418">
        <w:rPr>
          <w:rStyle w:val="Appelnotedebasdep"/>
        </w:rPr>
        <w:footnoteReference w:id="908"/>
      </w:r>
      <w:r w:rsidR="00EB5F8F" w:rsidRPr="00E72418">
        <w:t>.</w:t>
      </w:r>
    </w:p>
    <w:p w14:paraId="0CED8569" w14:textId="4B17CE5E" w:rsidR="007057D9" w:rsidRPr="00E72418" w:rsidRDefault="00870A26" w:rsidP="007057D9">
      <w:pPr>
        <w:spacing w:line="276" w:lineRule="auto"/>
      </w:pPr>
      <w:r w:rsidRPr="00E72418">
        <w:t>Les</w:t>
      </w:r>
      <w:r w:rsidR="007057D9" w:rsidRPr="00E72418">
        <w:t xml:space="preserve"> contrats</w:t>
      </w:r>
      <w:r w:rsidRPr="00E72418">
        <w:t xml:space="preserve"> de dette</w:t>
      </w:r>
      <w:r w:rsidR="009E4F86" w:rsidRPr="00E72418">
        <w:t>s</w:t>
      </w:r>
      <w:r w:rsidRPr="00E72418">
        <w:t xml:space="preserve"> souveraine</w:t>
      </w:r>
      <w:r w:rsidR="009E4F86" w:rsidRPr="00E72418">
        <w:t>s</w:t>
      </w:r>
      <w:r w:rsidR="007057D9" w:rsidRPr="00E72418">
        <w:t xml:space="preserve"> sont obligatoires et demeurent d’application tant qu’ils n’ont pas été honorés</w:t>
      </w:r>
      <w:r w:rsidR="007057D9" w:rsidRPr="00E72418">
        <w:rPr>
          <w:rStyle w:val="Appelnotedebasdep"/>
          <w:rFonts w:ascii="Times New Roman" w:hAnsi="Times New Roman" w:cs="Times New Roman"/>
          <w:szCs w:val="24"/>
        </w:rPr>
        <w:footnoteReference w:id="909"/>
      </w:r>
      <w:r w:rsidR="007057D9" w:rsidRPr="00E72418">
        <w:t xml:space="preserve">. </w:t>
      </w:r>
      <w:r w:rsidR="008B6D2B" w:rsidRPr="00E72418">
        <w:t xml:space="preserve">Il est ici fait appel à la notion de « sanctity of contracts » qui, l’explique </w:t>
      </w:r>
      <w:r w:rsidR="00AE5F9B" w:rsidRPr="00E72418">
        <w:t xml:space="preserve">Celine </w:t>
      </w:r>
      <w:r w:rsidR="008B6D2B" w:rsidRPr="00E72418">
        <w:t>Tan, « </w:t>
      </w:r>
      <w:r w:rsidR="008B6D2B" w:rsidRPr="00E72418">
        <w:rPr>
          <w:lang w:val="fr-BE"/>
        </w:rPr>
        <w:t>places primacy on the contractual form as the expression of parties’ free will and autonomy and resists interference, statutory or judicial, in the commitments made in the agreement unless these obligations are renegotiated with the consent of the parties</w:t>
      </w:r>
      <w:r w:rsidR="008B6D2B" w:rsidRPr="00E72418">
        <w:t xml:space="preserve"> »</w:t>
      </w:r>
      <w:r w:rsidR="008B6D2B" w:rsidRPr="00E72418">
        <w:rPr>
          <w:rStyle w:val="Appelnotedebasdep"/>
        </w:rPr>
        <w:footnoteReference w:id="910"/>
      </w:r>
      <w:r w:rsidR="008B6D2B" w:rsidRPr="00E72418">
        <w:t xml:space="preserve">. </w:t>
      </w:r>
      <w:r w:rsidR="007057D9" w:rsidRPr="00E72418">
        <w:t>L’immutabilité de principe des contrats de dette</w:t>
      </w:r>
      <w:r w:rsidR="009E4F86" w:rsidRPr="00E72418">
        <w:t>s</w:t>
      </w:r>
      <w:r w:rsidR="007057D9" w:rsidRPr="00E72418">
        <w:t xml:space="preserve"> souveraine</w:t>
      </w:r>
      <w:r w:rsidR="009E4F86" w:rsidRPr="00E72418">
        <w:t>s</w:t>
      </w:r>
      <w:r w:rsidR="007057D9" w:rsidRPr="00E72418">
        <w:t xml:space="preserve"> est d’ailleurs reprise parmi les principes fondamentaux des opérations de restructuration de la dette souveraine énoncés par l’Assemblée générale des Nations Unies en 2015. Ainsi, l’on peut lire au septième principe que « </w:t>
      </w:r>
      <w:r w:rsidR="007057D9" w:rsidRPr="00E72418">
        <w:rPr>
          <w:rFonts w:ascii="Times New Roman" w:hAnsi="Times New Roman" w:cs="Times New Roman"/>
        </w:rPr>
        <w:t>[l]</w:t>
      </w:r>
      <w:r w:rsidR="007057D9" w:rsidRPr="00E72418">
        <w:rPr>
          <w:szCs w:val="20"/>
        </w:rPr>
        <w:t>es modalités et conditions des contrats originaux doivent rester en vigueur tant qu’elles ne sont pas modifiées par un accord de restructuration »</w:t>
      </w:r>
      <w:r w:rsidR="007057D9" w:rsidRPr="00E72418">
        <w:rPr>
          <w:rStyle w:val="Appelnotedebasdep"/>
          <w:szCs w:val="20"/>
        </w:rPr>
        <w:footnoteReference w:id="911"/>
      </w:r>
      <w:r w:rsidR="007057D9" w:rsidRPr="00E72418">
        <w:t>.</w:t>
      </w:r>
    </w:p>
    <w:p w14:paraId="27E2DBFE" w14:textId="0FCD71A6" w:rsidR="0023480F" w:rsidRPr="00E72418" w:rsidRDefault="00153C65" w:rsidP="00CC4BA8">
      <w:pPr>
        <w:spacing w:line="276" w:lineRule="auto"/>
      </w:pPr>
      <w:r w:rsidRPr="00E72418">
        <w:rPr>
          <w:rFonts w:cs="Times New Roman"/>
          <w:szCs w:val="24"/>
        </w:rPr>
        <w:t>Comme l’indiqua</w:t>
      </w:r>
      <w:r w:rsidR="0023480F" w:rsidRPr="00E72418">
        <w:rPr>
          <w:rFonts w:cs="Times New Roman"/>
          <w:szCs w:val="24"/>
        </w:rPr>
        <w:t xml:space="preserve"> </w:t>
      </w:r>
      <w:r w:rsidR="009125E0" w:rsidRPr="00E72418">
        <w:rPr>
          <w:rFonts w:cs="Times New Roman"/>
          <w:szCs w:val="24"/>
        </w:rPr>
        <w:t xml:space="preserve">Henry </w:t>
      </w:r>
      <w:r w:rsidR="0023480F" w:rsidRPr="00E72418">
        <w:rPr>
          <w:rFonts w:cs="Times New Roman"/>
          <w:szCs w:val="24"/>
        </w:rPr>
        <w:t xml:space="preserve">Paulson, ancien Secrétaire au Trésor étatsunien, « </w:t>
      </w:r>
      <w:r w:rsidR="0023480F" w:rsidRPr="00E72418">
        <w:rPr>
          <w:rFonts w:ascii="Times New Roman" w:hAnsi="Times New Roman" w:cs="Times New Roman"/>
        </w:rPr>
        <w:t>[w]</w:t>
      </w:r>
      <w:r w:rsidR="0023480F" w:rsidRPr="00E72418">
        <w:rPr>
          <w:rFonts w:cs="Times New Roman"/>
          <w:szCs w:val="24"/>
        </w:rPr>
        <w:t>hen countries enter into debt agreements, laws apply » de sorte que « the vulture funds have the rule of law on their side »</w:t>
      </w:r>
      <w:r w:rsidR="0023480F" w:rsidRPr="00E72418">
        <w:rPr>
          <w:rStyle w:val="Appelnotedebasdep"/>
          <w:rFonts w:cs="Times New Roman"/>
          <w:szCs w:val="24"/>
        </w:rPr>
        <w:footnoteReference w:id="912"/>
      </w:r>
      <w:r w:rsidR="0023480F" w:rsidRPr="00E72418">
        <w:rPr>
          <w:rFonts w:cs="Times New Roman"/>
          <w:szCs w:val="24"/>
        </w:rPr>
        <w:t>. Même si les</w:t>
      </w:r>
      <w:r w:rsidR="00B41CCF" w:rsidRPr="00E72418">
        <w:rPr>
          <w:rFonts w:cs="Times New Roman"/>
          <w:szCs w:val="24"/>
        </w:rPr>
        <w:t xml:space="preserve"> activités des fonds spéculant</w:t>
      </w:r>
      <w:r w:rsidR="0023480F" w:rsidRPr="00E72418">
        <w:rPr>
          <w:rFonts w:cs="Times New Roman"/>
          <w:szCs w:val="24"/>
        </w:rPr>
        <w:t xml:space="preserve"> sur les dettes souveraines sont régulièrement décriées en raison de leur immoralité, les magistrats saisis de leurs demandes n’auront </w:t>
      </w:r>
      <w:r w:rsidR="0023480F" w:rsidRPr="00E72418">
        <w:rPr>
          <w:rFonts w:cs="Times New Roman"/>
          <w:i/>
          <w:szCs w:val="24"/>
        </w:rPr>
        <w:t>a priori</w:t>
      </w:r>
      <w:r w:rsidR="0023480F" w:rsidRPr="00E72418">
        <w:rPr>
          <w:rFonts w:cs="Times New Roman"/>
          <w:szCs w:val="24"/>
        </w:rPr>
        <w:t xml:space="preserve"> d’autre choix que de s’arrêter aux </w:t>
      </w:r>
      <w:r w:rsidRPr="00E72418">
        <w:rPr>
          <w:rFonts w:cs="Times New Roman"/>
          <w:szCs w:val="24"/>
        </w:rPr>
        <w:t xml:space="preserve">seules </w:t>
      </w:r>
      <w:r w:rsidR="0023480F" w:rsidRPr="00E72418">
        <w:rPr>
          <w:rFonts w:cs="Times New Roman"/>
          <w:szCs w:val="24"/>
        </w:rPr>
        <w:t>questions juridiques posées et d’</w:t>
      </w:r>
      <w:r w:rsidRPr="00E72418">
        <w:rPr>
          <w:rFonts w:cs="Times New Roman"/>
          <w:szCs w:val="24"/>
        </w:rPr>
        <w:t xml:space="preserve">y </w:t>
      </w:r>
      <w:r w:rsidR="0023480F" w:rsidRPr="00E72418">
        <w:rPr>
          <w:rFonts w:cs="Times New Roman"/>
          <w:szCs w:val="24"/>
        </w:rPr>
        <w:t>appliquer les règles de droit idoines</w:t>
      </w:r>
      <w:r w:rsidR="0023480F" w:rsidRPr="00E72418">
        <w:rPr>
          <w:rStyle w:val="Appelnotedebasdep"/>
          <w:rFonts w:cs="Times New Roman"/>
          <w:szCs w:val="24"/>
        </w:rPr>
        <w:footnoteReference w:id="913"/>
      </w:r>
      <w:r w:rsidR="0023480F" w:rsidRPr="00E72418">
        <w:rPr>
          <w:rFonts w:cs="Times New Roman"/>
          <w:szCs w:val="24"/>
        </w:rPr>
        <w:t xml:space="preserve">. Ainsi, par exemple, dans le contentieux </w:t>
      </w:r>
      <w:r w:rsidR="00D712B7" w:rsidRPr="00E72418">
        <w:rPr>
          <w:rFonts w:cs="Times New Roman"/>
          <w:szCs w:val="24"/>
        </w:rPr>
        <w:t>ayant opposé</w:t>
      </w:r>
      <w:r w:rsidR="0023480F" w:rsidRPr="00E72418">
        <w:rPr>
          <w:rFonts w:cs="Times New Roman"/>
          <w:szCs w:val="24"/>
        </w:rPr>
        <w:t xml:space="preserve"> la société </w:t>
      </w:r>
      <w:r w:rsidR="00A74321" w:rsidRPr="00E72418">
        <w:rPr>
          <w:rFonts w:cs="Times New Roman"/>
          <w:i/>
          <w:szCs w:val="24"/>
        </w:rPr>
        <w:t>Donegal International Lt</w:t>
      </w:r>
      <w:r w:rsidR="0023480F" w:rsidRPr="00E72418">
        <w:rPr>
          <w:rFonts w:cs="Times New Roman"/>
          <w:i/>
          <w:szCs w:val="24"/>
        </w:rPr>
        <w:t>d</w:t>
      </w:r>
      <w:r w:rsidR="00A74321" w:rsidRPr="00E72418">
        <w:rPr>
          <w:rFonts w:cs="Times New Roman"/>
          <w:i/>
          <w:szCs w:val="24"/>
        </w:rPr>
        <w:t>.</w:t>
      </w:r>
      <w:r w:rsidR="0023480F" w:rsidRPr="00E72418">
        <w:rPr>
          <w:rFonts w:cs="Times New Roman"/>
          <w:szCs w:val="24"/>
        </w:rPr>
        <w:t xml:space="preserve"> à la République de Zambie, après avoir concédé que « </w:t>
      </w:r>
      <w:r w:rsidR="0023480F" w:rsidRPr="00E72418">
        <w:rPr>
          <w:rFonts w:ascii="Times New Roman" w:hAnsi="Times New Roman" w:cs="Times New Roman"/>
        </w:rPr>
        <w:t>[t]</w:t>
      </w:r>
      <w:r w:rsidR="0023480F" w:rsidRPr="00E72418">
        <w:rPr>
          <w:rFonts w:cs="Times New Roman"/>
          <w:szCs w:val="24"/>
        </w:rPr>
        <w:t xml:space="preserve">he </w:t>
      </w:r>
      <w:r w:rsidR="0023480F" w:rsidRPr="00E72418">
        <w:rPr>
          <w:rFonts w:cs="Times New Roman"/>
          <w:szCs w:val="24"/>
        </w:rPr>
        <w:lastRenderedPageBreak/>
        <w:t xml:space="preserve">proceedings arouse strong feelings », </w:t>
      </w:r>
      <w:r w:rsidR="00824C07">
        <w:rPr>
          <w:rFonts w:cs="Times New Roman"/>
          <w:szCs w:val="24"/>
        </w:rPr>
        <w:t>le juge</w:t>
      </w:r>
      <w:r w:rsidR="0023480F" w:rsidRPr="00E72418">
        <w:rPr>
          <w:rFonts w:cs="Times New Roman"/>
          <w:szCs w:val="24"/>
        </w:rPr>
        <w:t xml:space="preserve"> Andrew Smith releva pour la </w:t>
      </w:r>
      <w:r w:rsidR="0023480F" w:rsidRPr="00F1587D">
        <w:rPr>
          <w:rFonts w:cs="Times New Roman"/>
          <w:szCs w:val="24"/>
        </w:rPr>
        <w:t>High Court of Justice</w:t>
      </w:r>
      <w:r w:rsidR="0023480F" w:rsidRPr="00E72418">
        <w:rPr>
          <w:rFonts w:cs="Times New Roman"/>
          <w:szCs w:val="24"/>
        </w:rPr>
        <w:t xml:space="preserve"> du Royaume-Uni : « I am concerned, of course, with the legal questions that are raised by the applications before me and not with questions of morality or humanity »</w:t>
      </w:r>
      <w:r w:rsidR="0023480F" w:rsidRPr="00E72418">
        <w:rPr>
          <w:rStyle w:val="Appelnotedebasdep"/>
          <w:rFonts w:cs="Times New Roman"/>
          <w:szCs w:val="24"/>
        </w:rPr>
        <w:footnoteReference w:id="914"/>
      </w:r>
      <w:r w:rsidR="0023480F" w:rsidRPr="00E72418">
        <w:rPr>
          <w:rFonts w:cs="Times New Roman"/>
          <w:szCs w:val="24"/>
        </w:rPr>
        <w:t>.</w:t>
      </w:r>
    </w:p>
    <w:p w14:paraId="451E7537" w14:textId="5B26D4D6" w:rsidR="0023480F" w:rsidRPr="00E72418" w:rsidRDefault="00D712B7" w:rsidP="00CC4BA8">
      <w:pPr>
        <w:spacing w:line="276" w:lineRule="auto"/>
      </w:pPr>
      <w:r w:rsidRPr="00E72418">
        <w:rPr>
          <w:rFonts w:cs="Times New Roman"/>
          <w:szCs w:val="24"/>
        </w:rPr>
        <w:t>La percussion des attaques menées par ces fonds se situe</w:t>
      </w:r>
      <w:r w:rsidR="00A9063C">
        <w:rPr>
          <w:rFonts w:cs="Times New Roman"/>
          <w:szCs w:val="24"/>
        </w:rPr>
        <w:t>,</w:t>
      </w:r>
      <w:r w:rsidRPr="00E72418">
        <w:rPr>
          <w:rFonts w:cs="Times New Roman"/>
          <w:szCs w:val="24"/>
        </w:rPr>
        <w:t xml:space="preserve"> </w:t>
      </w:r>
      <w:r w:rsidR="008900E0" w:rsidRPr="00E72418">
        <w:rPr>
          <w:rFonts w:cs="Times New Roman"/>
          <w:szCs w:val="24"/>
        </w:rPr>
        <w:t>pour l’essentiel</w:t>
      </w:r>
      <w:r w:rsidR="00A9063C">
        <w:rPr>
          <w:rFonts w:cs="Times New Roman"/>
          <w:szCs w:val="24"/>
        </w:rPr>
        <w:t>,</w:t>
      </w:r>
      <w:r w:rsidRPr="00E72418">
        <w:rPr>
          <w:rFonts w:cs="Times New Roman"/>
          <w:szCs w:val="24"/>
        </w:rPr>
        <w:t xml:space="preserve"> dans la simple mobilisation du principe </w:t>
      </w:r>
      <w:r w:rsidRPr="00E72418">
        <w:rPr>
          <w:rFonts w:cs="Times New Roman"/>
          <w:i/>
          <w:szCs w:val="24"/>
        </w:rPr>
        <w:t>pacta sunt servanda</w:t>
      </w:r>
      <w:r w:rsidRPr="00E72418">
        <w:rPr>
          <w:rFonts w:cs="Times New Roman"/>
          <w:szCs w:val="24"/>
        </w:rPr>
        <w:t xml:space="preserve">. </w:t>
      </w:r>
      <w:r w:rsidR="0023480F" w:rsidRPr="00E72418">
        <w:t>Forts des contrats qu’ils détiennent, les créanciers secondaires d’</w:t>
      </w:r>
      <w:r w:rsidR="0023480F" w:rsidRPr="00E72418">
        <w:rPr>
          <w:lang w:eastAsia="fr-BE"/>
        </w:rPr>
        <w:t>É</w:t>
      </w:r>
      <w:r w:rsidR="0023480F" w:rsidRPr="00E72418">
        <w:t xml:space="preserve">tats souverains </w:t>
      </w:r>
      <w:r w:rsidR="008900E0" w:rsidRPr="00E72418">
        <w:t>ont</w:t>
      </w:r>
      <w:r w:rsidR="0023480F" w:rsidRPr="00E72418">
        <w:t xml:space="preserve"> en pratique peu de difficulté à faire condamner leur</w:t>
      </w:r>
      <w:r w:rsidR="008900E0" w:rsidRPr="00E72418">
        <w:t>s</w:t>
      </w:r>
      <w:r w:rsidR="0023480F" w:rsidRPr="00E72418">
        <w:t xml:space="preserve"> débiteur</w:t>
      </w:r>
      <w:r w:rsidR="008900E0" w:rsidRPr="00E72418">
        <w:t>s</w:t>
      </w:r>
      <w:r w:rsidR="0023480F" w:rsidRPr="00E72418">
        <w:t xml:space="preserve">, les magistrats saisis de leurs demandes n’ayant souvent d’autre </w:t>
      </w:r>
      <w:r w:rsidR="008900E0" w:rsidRPr="00E72418">
        <w:t>choix que de faire droit à l’</w:t>
      </w:r>
      <w:r w:rsidR="0023480F" w:rsidRPr="00E72418">
        <w:t>argument du respect des obligations librement contractées</w:t>
      </w:r>
      <w:r w:rsidR="0023480F" w:rsidRPr="00E72418">
        <w:rPr>
          <w:rStyle w:val="Appelnotedebasdep"/>
          <w:rFonts w:cs="Times New Roman"/>
          <w:szCs w:val="24"/>
        </w:rPr>
        <w:footnoteReference w:id="915"/>
      </w:r>
      <w:r w:rsidR="0023480F" w:rsidRPr="00E72418">
        <w:t>.</w:t>
      </w:r>
    </w:p>
    <w:p w14:paraId="3C83A5EF" w14:textId="77777777" w:rsidR="0023480F" w:rsidRPr="00E72418" w:rsidRDefault="0023480F" w:rsidP="0054314B"/>
    <w:p w14:paraId="21818B55" w14:textId="4368CB2E" w:rsidR="0023480F" w:rsidRPr="00E72418" w:rsidRDefault="007F038F" w:rsidP="00CC4BA8">
      <w:pPr>
        <w:spacing w:line="276" w:lineRule="auto"/>
        <w:rPr>
          <w:rFonts w:ascii="Times New Roman" w:hAnsi="Times New Roman"/>
        </w:rPr>
      </w:pPr>
      <w:r w:rsidRPr="00E72418">
        <w:rPr>
          <w:b/>
        </w:rPr>
        <w:t>171</w:t>
      </w:r>
      <w:r w:rsidR="007E31CD" w:rsidRPr="00E72418">
        <w:rPr>
          <w:b/>
        </w:rPr>
        <w:t xml:space="preserve">. </w:t>
      </w:r>
      <w:r w:rsidR="0023480F" w:rsidRPr="00E72418">
        <w:rPr>
          <w:b/>
        </w:rPr>
        <w:t>Le bon fonctionnement des marchés financiers</w:t>
      </w:r>
      <w:r w:rsidR="00C125F8" w:rsidRPr="00E72418">
        <w:rPr>
          <w:b/>
        </w:rPr>
        <w:t xml:space="preserve"> et la protection de leurs acteurs</w:t>
      </w:r>
      <w:r w:rsidR="0023480F" w:rsidRPr="00E72418">
        <w:rPr>
          <w:b/>
        </w:rPr>
        <w:t xml:space="preserve"> </w:t>
      </w:r>
      <w:r w:rsidR="0023480F" w:rsidRPr="00E72418">
        <w:rPr>
          <w:rStyle w:val="injectednode"/>
          <w:rFonts w:cs="Times New Roman"/>
          <w:b/>
          <w:szCs w:val="24"/>
          <w:bdr w:val="none" w:sz="0" w:space="0" w:color="auto" w:frame="1"/>
        </w:rPr>
        <w:t>–</w:t>
      </w:r>
      <w:r w:rsidR="0023480F" w:rsidRPr="00E72418">
        <w:t xml:space="preserve"> Le principe de la sécurité juridique et de l’exécution des contrats participe du bon fonctionnement des marchés financiers</w:t>
      </w:r>
      <w:r w:rsidR="0023480F" w:rsidRPr="00E72418">
        <w:rPr>
          <w:rStyle w:val="Appelnotedebasdep"/>
          <w:rFonts w:cs="Times New Roman"/>
          <w:szCs w:val="24"/>
        </w:rPr>
        <w:footnoteReference w:id="916"/>
      </w:r>
      <w:r w:rsidR="0023480F" w:rsidRPr="00E72418">
        <w:t xml:space="preserve">. Dans un de </w:t>
      </w:r>
      <w:r w:rsidR="008900E0" w:rsidRPr="00E72418">
        <w:t>ses discours, Kofi Annan, alors Secrétaire G</w:t>
      </w:r>
      <w:r w:rsidR="0023480F" w:rsidRPr="00E72418">
        <w:t>énéral des Nations Unies</w:t>
      </w:r>
      <w:r w:rsidR="008900E0" w:rsidRPr="00E72418">
        <w:t>,</w:t>
      </w:r>
      <w:r w:rsidR="0023480F" w:rsidRPr="00E72418">
        <w:t xml:space="preserve"> relevait que « </w:t>
      </w:r>
      <w:r w:rsidR="0023480F" w:rsidRPr="00E72418">
        <w:rPr>
          <w:shd w:val="clear" w:color="auto" w:fill="FFFFFF"/>
        </w:rPr>
        <w:t xml:space="preserve">without rules governing contracts and property rights; without confidence based on the rule of law; without trust and transparency, there could be no well-functioning markets </w:t>
      </w:r>
      <w:r w:rsidR="0023480F" w:rsidRPr="00E72418">
        <w:t>»</w:t>
      </w:r>
      <w:r w:rsidR="0023480F" w:rsidRPr="00E72418">
        <w:rPr>
          <w:rStyle w:val="Appelnotedebasdep"/>
          <w:rFonts w:cs="Times New Roman"/>
          <w:szCs w:val="24"/>
        </w:rPr>
        <w:footnoteReference w:id="917"/>
      </w:r>
      <w:r w:rsidR="0023480F" w:rsidRPr="00E72418">
        <w:t xml:space="preserve">. Le fait que les créanciers soient en mesure de faire respecter les droits qu’ils tirent de leurs titres de créance permet d’éviter que les </w:t>
      </w:r>
      <w:r w:rsidR="0023480F" w:rsidRPr="00E72418">
        <w:rPr>
          <w:lang w:eastAsia="fr-BE"/>
        </w:rPr>
        <w:t>É</w:t>
      </w:r>
      <w:r w:rsidR="0023480F" w:rsidRPr="00E72418">
        <w:t>tats, conscients des obligations pesant sur eux, ne surempruntent de l’argent</w:t>
      </w:r>
      <w:r w:rsidR="0023480F" w:rsidRPr="00E72418">
        <w:rPr>
          <w:rStyle w:val="Appelnotedebasdep"/>
          <w:rFonts w:cs="Times New Roman"/>
          <w:szCs w:val="24"/>
        </w:rPr>
        <w:footnoteReference w:id="918"/>
      </w:r>
      <w:r w:rsidR="0023480F" w:rsidRPr="00E72418">
        <w:t xml:space="preserve">. Par ailleurs, </w:t>
      </w:r>
      <w:r w:rsidR="008900E0" w:rsidRPr="00E72418">
        <w:t xml:space="preserve">les bailleurs de fonds </w:t>
      </w:r>
      <w:r w:rsidR="0023480F" w:rsidRPr="00E72418">
        <w:t xml:space="preserve">comptent </w:t>
      </w:r>
      <w:r w:rsidR="008900E0" w:rsidRPr="00E72418">
        <w:t xml:space="preserve">logiquement </w:t>
      </w:r>
      <w:r w:rsidR="0023480F" w:rsidRPr="00E72418">
        <w:t>sur l’application de la règle de droit</w:t>
      </w:r>
      <w:r w:rsidR="008900E0" w:rsidRPr="00E72418">
        <w:t xml:space="preserve"> lorsqu’ils </w:t>
      </w:r>
      <w:r w:rsidR="005B6A73" w:rsidRPr="00E72418">
        <w:t>fournissent des capitaux.</w:t>
      </w:r>
    </w:p>
    <w:p w14:paraId="01CAF6A0" w14:textId="535734C3" w:rsidR="0023480F" w:rsidRPr="00E72418" w:rsidRDefault="0023480F" w:rsidP="00CC4BA8">
      <w:pPr>
        <w:spacing w:line="276" w:lineRule="auto"/>
      </w:pPr>
      <w:r w:rsidRPr="00E72418">
        <w:t xml:space="preserve">Le principe du respect de la règle de droit est d’autant plus important qu’en matière de dettes souveraines, </w:t>
      </w:r>
      <w:r w:rsidR="00F23B56" w:rsidRPr="00E72418">
        <w:t>les créanciers auront face à eux un débiteur d’un genre particulier</w:t>
      </w:r>
      <w:r w:rsidR="00C125F8" w:rsidRPr="00E72418">
        <w:t>. Ainsi, dans son importante</w:t>
      </w:r>
      <w:r w:rsidRPr="00E72418">
        <w:t xml:space="preserve"> décision du 23 février 2012</w:t>
      </w:r>
      <w:r w:rsidR="008900E0" w:rsidRPr="00E72418">
        <w:t xml:space="preserve"> rendue dans le cadre du contentieux argentin</w:t>
      </w:r>
      <w:r w:rsidRPr="00E72418">
        <w:t xml:space="preserve">, la </w:t>
      </w:r>
      <w:r w:rsidR="007B616E" w:rsidRPr="00C6627B">
        <w:t>United States</w:t>
      </w:r>
      <w:r w:rsidRPr="00C6627B">
        <w:t xml:space="preserve"> District Court for the Southern District of New York </w:t>
      </w:r>
      <w:r w:rsidRPr="00E72418">
        <w:t xml:space="preserve">releva que « </w:t>
      </w:r>
      <w:r w:rsidRPr="00E72418">
        <w:rPr>
          <w:rFonts w:ascii="Times New Roman" w:hAnsi="Times New Roman"/>
        </w:rPr>
        <w:t>[t]</w:t>
      </w:r>
      <w:r w:rsidRPr="00E72418">
        <w:t xml:space="preserve">he public interest of enforcing contracts and upholding the rule of law will be served by the issuance of this Order, particularly here, where creditors of the Republic have no recourse to bankruptcy regimes to protect their interests and must rely upon courts to enforce contractual promises » et que « </w:t>
      </w:r>
      <w:r w:rsidRPr="00E72418">
        <w:rPr>
          <w:rFonts w:ascii="Times New Roman" w:hAnsi="Times New Roman"/>
        </w:rPr>
        <w:t>[n]</w:t>
      </w:r>
      <w:r w:rsidRPr="00E72418">
        <w:t>o less than any other entity entering into a commercial transaction, there is a strong public interest in holding the Republic to its contractual obligations »</w:t>
      </w:r>
      <w:r w:rsidRPr="00E72418">
        <w:rPr>
          <w:rStyle w:val="Appelnotedebasdep"/>
          <w:rFonts w:cs="Times New Roman"/>
          <w:szCs w:val="24"/>
        </w:rPr>
        <w:footnoteReference w:id="919"/>
      </w:r>
      <w:r w:rsidRPr="00E72418">
        <w:t xml:space="preserve">. </w:t>
      </w:r>
    </w:p>
    <w:p w14:paraId="62641B2F" w14:textId="7A05AD0F" w:rsidR="0023480F" w:rsidRPr="00E72418" w:rsidRDefault="00C125F8" w:rsidP="00CC4BA8">
      <w:pPr>
        <w:spacing w:line="276" w:lineRule="auto"/>
      </w:pPr>
      <w:r w:rsidRPr="00E72418">
        <w:t xml:space="preserve">Parmi </w:t>
      </w:r>
      <w:r w:rsidR="0023480F" w:rsidRPr="00E72418">
        <w:t xml:space="preserve">les contentieux soumis aux juridictions étatsuniennes, il </w:t>
      </w:r>
      <w:r w:rsidRPr="00E72418">
        <w:t xml:space="preserve">en </w:t>
      </w:r>
      <w:r w:rsidR="0023480F" w:rsidRPr="00E72418">
        <w:t xml:space="preserve">est dans lesquels les juridictions s’appuyèrent sur le principe du respect de la règle de droit </w:t>
      </w:r>
      <w:r w:rsidRPr="00E72418">
        <w:t>en ce qu’il</w:t>
      </w:r>
      <w:r w:rsidR="0023480F" w:rsidRPr="00E72418">
        <w:t xml:space="preserve"> représente un « policy interest »</w:t>
      </w:r>
      <w:r w:rsidR="0023480F" w:rsidRPr="00E72418">
        <w:rPr>
          <w:rStyle w:val="Appelnotedebasdep"/>
          <w:rFonts w:ascii="Times New Roman" w:hAnsi="Times New Roman" w:cs="Times New Roman"/>
          <w:szCs w:val="24"/>
        </w:rPr>
        <w:footnoteReference w:id="920"/>
      </w:r>
      <w:r w:rsidR="0023480F" w:rsidRPr="00E72418">
        <w:t xml:space="preserve">. </w:t>
      </w:r>
      <w:r w:rsidR="00D40E7A" w:rsidRPr="00E72418">
        <w:t>Ainsi, d</w:t>
      </w:r>
      <w:r w:rsidR="0023480F" w:rsidRPr="00E72418">
        <w:t xml:space="preserve">ans l’affaire </w:t>
      </w:r>
      <w:r w:rsidR="0051781E" w:rsidRPr="00E72418">
        <w:rPr>
          <w:i/>
        </w:rPr>
        <w:t>Pravin Banker Associates</w:t>
      </w:r>
      <w:r w:rsidR="0023480F" w:rsidRPr="00E72418">
        <w:rPr>
          <w:i/>
        </w:rPr>
        <w:t xml:space="preserve"> Ltd. v. Banco Popular del Peru and the Republic of Peru</w:t>
      </w:r>
      <w:r w:rsidR="0023480F" w:rsidRPr="00E72418">
        <w:t xml:space="preserve">, la </w:t>
      </w:r>
      <w:r w:rsidR="0023480F" w:rsidRPr="00C6627B">
        <w:t>United States Court of Appeals for the Second Circuit</w:t>
      </w:r>
      <w:r w:rsidRPr="00C6627B">
        <w:t xml:space="preserve"> </w:t>
      </w:r>
      <w:r w:rsidRPr="00E72418">
        <w:t>notait</w:t>
      </w:r>
      <w:r w:rsidR="0023480F" w:rsidRPr="00E72418">
        <w:t xml:space="preserve"> que « the United States has a strong interest in ensuring the enforceability of valid debts under </w:t>
      </w:r>
      <w:r w:rsidR="0023480F" w:rsidRPr="00E72418">
        <w:lastRenderedPageBreak/>
        <w:t>the principles of contract law, and in particular, the continuing enforceability of foreign debts owed to United States lenders »</w:t>
      </w:r>
      <w:r w:rsidR="0023480F" w:rsidRPr="00E72418">
        <w:rPr>
          <w:rStyle w:val="Appelnotedebasdep"/>
          <w:rFonts w:ascii="Times New Roman" w:hAnsi="Times New Roman" w:cs="Times New Roman"/>
          <w:szCs w:val="24"/>
        </w:rPr>
        <w:footnoteReference w:id="921"/>
      </w:r>
      <w:r w:rsidR="0023480F" w:rsidRPr="00E72418">
        <w:t xml:space="preserve">. Dans le même ordre d’idées mais cette fois à l’endroit du droit britannique, David Gauke fit valoir lors de la discussion du texte du </w:t>
      </w:r>
      <w:r w:rsidR="0023480F" w:rsidRPr="00E72418">
        <w:rPr>
          <w:i/>
        </w:rPr>
        <w:t>Debt relief (Developing Countries) Act</w:t>
      </w:r>
      <w:r w:rsidR="0023480F" w:rsidRPr="00E72418">
        <w:t xml:space="preserve"> que « [b]</w:t>
      </w:r>
      <w:r w:rsidR="0023480F" w:rsidRPr="00E72418">
        <w:rPr>
          <w:shd w:val="clear" w:color="auto" w:fill="FFFFFF"/>
        </w:rPr>
        <w:t xml:space="preserve">y and large, we in this country take a view that contractual rights should be respected. Contracts provide certainty, are part of our tradition and are one of the reasons why English law is a favoured choice of system throughout the world. It has clearly been to the advantage of the UK that we have a system that provides such certainty </w:t>
      </w:r>
      <w:r w:rsidR="0023480F" w:rsidRPr="00E72418">
        <w:t>»</w:t>
      </w:r>
      <w:r w:rsidR="0023480F" w:rsidRPr="00E72418">
        <w:rPr>
          <w:rStyle w:val="Appelnotedebasdep"/>
          <w:rFonts w:ascii="Times New Roman" w:hAnsi="Times New Roman" w:cs="Times New Roman"/>
          <w:szCs w:val="24"/>
        </w:rPr>
        <w:footnoteReference w:id="922"/>
      </w:r>
      <w:r w:rsidR="0023480F" w:rsidRPr="00E72418">
        <w:t>.</w:t>
      </w:r>
      <w:r w:rsidR="000E5C8C" w:rsidRPr="00E72418">
        <w:t xml:space="preserve"> L’on a d’ailleurs ainsi expliqué les prééminences étatsunienne et britannique en matière de dettes souveraines et, singulièrement, de contentieux y relatifs</w:t>
      </w:r>
      <w:r w:rsidR="000E5C8C" w:rsidRPr="00E72418">
        <w:rPr>
          <w:rStyle w:val="Appelnotedebasdep"/>
        </w:rPr>
        <w:footnoteReference w:id="923"/>
      </w:r>
      <w:r w:rsidR="000E5C8C" w:rsidRPr="00E72418">
        <w:t>.</w:t>
      </w:r>
    </w:p>
    <w:p w14:paraId="3573C9B8" w14:textId="77777777" w:rsidR="0023480F" w:rsidRPr="00E72418" w:rsidRDefault="0023480F" w:rsidP="0054314B"/>
    <w:p w14:paraId="360E7B0D" w14:textId="6F54171E" w:rsidR="0023480F" w:rsidRPr="00E72418" w:rsidRDefault="00A9718E" w:rsidP="00CC4BA8">
      <w:pPr>
        <w:spacing w:line="276" w:lineRule="auto"/>
      </w:pPr>
      <w:r w:rsidRPr="00E72418">
        <w:rPr>
          <w:b/>
        </w:rPr>
        <w:t>1</w:t>
      </w:r>
      <w:r w:rsidR="007F038F" w:rsidRPr="00E72418">
        <w:rPr>
          <w:b/>
        </w:rPr>
        <w:t>72</w:t>
      </w:r>
      <w:r w:rsidR="007E31CD" w:rsidRPr="00E72418">
        <w:rPr>
          <w:b/>
        </w:rPr>
        <w:t xml:space="preserve">. </w:t>
      </w:r>
      <w:r w:rsidR="0023480F" w:rsidRPr="00E72418">
        <w:rPr>
          <w:b/>
        </w:rPr>
        <w:t>Un argument non péremptoire –</w:t>
      </w:r>
      <w:r w:rsidR="0023480F" w:rsidRPr="00E72418">
        <w:t xml:space="preserve"> </w:t>
      </w:r>
      <w:r w:rsidR="004D68A3" w:rsidRPr="00E72418">
        <w:t>Tout opérant qu’il soit</w:t>
      </w:r>
      <w:r w:rsidR="00B41CCF" w:rsidRPr="00E72418">
        <w:t xml:space="preserve"> au profit des fonds spéculant</w:t>
      </w:r>
      <w:r w:rsidR="004D68A3" w:rsidRPr="00E72418">
        <w:t xml:space="preserve"> sur les dettes souveraines, l</w:t>
      </w:r>
      <w:r w:rsidR="0023480F" w:rsidRPr="00E72418">
        <w:t xml:space="preserve">e principe </w:t>
      </w:r>
      <w:r w:rsidR="00C125F8" w:rsidRPr="00E72418">
        <w:rPr>
          <w:i/>
        </w:rPr>
        <w:t>p</w:t>
      </w:r>
      <w:r w:rsidR="0023480F" w:rsidRPr="00E72418">
        <w:rPr>
          <w:i/>
        </w:rPr>
        <w:t>acta sunt servanda</w:t>
      </w:r>
      <w:r w:rsidR="0023480F" w:rsidRPr="00E72418">
        <w:t xml:space="preserve"> ne saurait constituer un argument péremptoire n’ayant à se concilier avec aucune autre réalité. </w:t>
      </w:r>
      <w:r w:rsidR="004D68A3" w:rsidRPr="00E72418">
        <w:t>Ainsi, l</w:t>
      </w:r>
      <w:r w:rsidR="0023480F" w:rsidRPr="00E72418">
        <w:rPr>
          <w:rFonts w:cs="Times New Roman"/>
          <w:szCs w:val="24"/>
        </w:rPr>
        <w:t xml:space="preserve">e principe du respect des contrats doit recevoir application avec l’objectif du seul bon fonctionnement des marchés financiers et </w:t>
      </w:r>
      <w:r w:rsidR="00D40E7A" w:rsidRPr="00E72418">
        <w:rPr>
          <w:rFonts w:cs="Times New Roman"/>
          <w:szCs w:val="24"/>
        </w:rPr>
        <w:t xml:space="preserve">de la sécurité juridique qu’il nécessite. La poursuite de la règle </w:t>
      </w:r>
      <w:r w:rsidR="0023480F" w:rsidRPr="00E72418">
        <w:rPr>
          <w:rFonts w:cs="Times New Roman"/>
          <w:szCs w:val="24"/>
        </w:rPr>
        <w:t xml:space="preserve">ne devrait </w:t>
      </w:r>
      <w:r w:rsidR="00D40E7A" w:rsidRPr="00E72418">
        <w:rPr>
          <w:rFonts w:cs="Times New Roman"/>
          <w:szCs w:val="24"/>
        </w:rPr>
        <w:t xml:space="preserve">toutefois </w:t>
      </w:r>
      <w:r w:rsidR="0023480F" w:rsidRPr="00E72418">
        <w:rPr>
          <w:rFonts w:cs="Times New Roman"/>
          <w:szCs w:val="24"/>
        </w:rPr>
        <w:t>pas conduire au sacrifice d’autres principes tout aussi fondamentaux qui y participent également. C’est dans ce sens que la Conférence des Nations Unies sur le commerce et le développement fait valoir que « </w:t>
      </w:r>
      <w:r w:rsidR="0023480F" w:rsidRPr="00E72418">
        <w:t>legal frameworks are the servants of economic prosperity, as well as of social and political stability, not their master » et que « </w:t>
      </w:r>
      <w:r w:rsidR="0023480F" w:rsidRPr="00E72418">
        <w:rPr>
          <w:rFonts w:ascii="Times New Roman" w:hAnsi="Times New Roman"/>
        </w:rPr>
        <w:t>[t]</w:t>
      </w:r>
      <w:r w:rsidR="0023480F" w:rsidRPr="00E72418">
        <w:t>heir core role is to eradicate abuse and to ensure economic and political prosperity and stability »</w:t>
      </w:r>
      <w:r w:rsidR="004D68A3" w:rsidRPr="00E72418">
        <w:rPr>
          <w:rStyle w:val="Appelnotedebasdep"/>
        </w:rPr>
        <w:footnoteReference w:id="924"/>
      </w:r>
      <w:r w:rsidR="0023480F" w:rsidRPr="00E72418">
        <w:t>.</w:t>
      </w:r>
    </w:p>
    <w:p w14:paraId="64936814" w14:textId="39EB68AB" w:rsidR="004D68A3" w:rsidRPr="00E72418" w:rsidRDefault="004D68A3" w:rsidP="00CC4BA8">
      <w:pPr>
        <w:spacing w:line="276" w:lineRule="auto"/>
      </w:pPr>
      <w:r w:rsidRPr="00E72418">
        <w:t>Il</w:t>
      </w:r>
      <w:r w:rsidR="0023480F" w:rsidRPr="00E72418">
        <w:t xml:space="preserve"> est </w:t>
      </w:r>
      <w:r w:rsidRPr="00E72418">
        <w:t xml:space="preserve">toutefois </w:t>
      </w:r>
      <w:r w:rsidR="0023480F" w:rsidRPr="00E72418">
        <w:t xml:space="preserve">à constater que la nuance ne fut pas toujours de mise en jurisprudence, singulièrement </w:t>
      </w:r>
      <w:r w:rsidRPr="00E72418">
        <w:t>lorsque</w:t>
      </w:r>
      <w:r w:rsidR="0023480F" w:rsidRPr="00E72418">
        <w:t xml:space="preserve"> le droit des créanciers au respect des titres détenus était confronté à l’imp</w:t>
      </w:r>
      <w:r w:rsidRPr="00E72418">
        <w:t>ortance des restructurations de</w:t>
      </w:r>
      <w:r w:rsidR="0023480F" w:rsidRPr="00E72418">
        <w:t xml:space="preserve"> dettes souveraines non viables</w:t>
      </w:r>
      <w:r w:rsidRPr="00E72418">
        <w:t xml:space="preserve"> qu’ils visaient</w:t>
      </w:r>
      <w:r w:rsidR="0023480F" w:rsidRPr="00E72418">
        <w:t xml:space="preserve">. </w:t>
      </w:r>
      <w:r w:rsidRPr="00E72418">
        <w:t xml:space="preserve">Depuis l’arrêt </w:t>
      </w:r>
      <w:r w:rsidRPr="00E72418">
        <w:rPr>
          <w:i/>
        </w:rPr>
        <w:t>Allied Bank International v. Banco Credito Agricola de Cartago</w:t>
      </w:r>
      <w:r w:rsidRPr="00E72418">
        <w:t xml:space="preserve"> de 1985 où il fut décidé que les obligations liées à une dette en voie de restructuration demeuraient valides et exécutables</w:t>
      </w:r>
      <w:r w:rsidRPr="00E72418">
        <w:rPr>
          <w:rStyle w:val="Appelnotedebasdep"/>
        </w:rPr>
        <w:footnoteReference w:id="925"/>
      </w:r>
      <w:r w:rsidRPr="00E72418">
        <w:t xml:space="preserve">, les juridictions new-yorkaises appliquent </w:t>
      </w:r>
      <w:r w:rsidR="00824C07">
        <w:t xml:space="preserve">généralement </w:t>
      </w:r>
      <w:r w:rsidRPr="00E72418">
        <w:t>à la lettre le sacro-saint principe du respect du droit des contrats</w:t>
      </w:r>
      <w:r w:rsidRPr="00E72418">
        <w:rPr>
          <w:rStyle w:val="Appelnotedebasdep"/>
        </w:rPr>
        <w:footnoteReference w:id="926"/>
      </w:r>
      <w:r w:rsidRPr="00E72418">
        <w:t xml:space="preserve">. </w:t>
      </w:r>
      <w:r w:rsidR="00DD0CF9" w:rsidRPr="00E72418">
        <w:t>C’est ainsi que d</w:t>
      </w:r>
      <w:r w:rsidRPr="00E72418">
        <w:rPr>
          <w:lang w:val="en-US"/>
        </w:rPr>
        <w:t xml:space="preserve">ans l’affaire </w:t>
      </w:r>
      <w:r w:rsidRPr="00E72418">
        <w:rPr>
          <w:i/>
          <w:lang w:val="en-US"/>
        </w:rPr>
        <w:t>Pravi</w:t>
      </w:r>
      <w:r w:rsidR="0051781E" w:rsidRPr="00E72418">
        <w:rPr>
          <w:i/>
          <w:lang w:val="en-US"/>
        </w:rPr>
        <w:t>n Banker Associates</w:t>
      </w:r>
      <w:r w:rsidRPr="00E72418">
        <w:rPr>
          <w:i/>
          <w:lang w:val="en-US"/>
        </w:rPr>
        <w:t xml:space="preserve"> Ltd. v. Banco Popular del Peru and the Republic of Peru</w:t>
      </w:r>
      <w:r w:rsidRPr="00E72418">
        <w:rPr>
          <w:lang w:val="en-US"/>
        </w:rPr>
        <w:t xml:space="preserve">, la </w:t>
      </w:r>
      <w:r w:rsidRPr="00735BBE">
        <w:rPr>
          <w:lang w:val="en-US"/>
        </w:rPr>
        <w:t xml:space="preserve">United States Court of Appeals for the Second Circuit </w:t>
      </w:r>
      <w:r w:rsidRPr="00E72418">
        <w:rPr>
          <w:lang w:val="en-US"/>
        </w:rPr>
        <w:t xml:space="preserve">procède à la balance entre, d’une part, l’importance des restructurations, d’autre part, les droits des créanciers </w:t>
      </w:r>
      <w:r w:rsidR="00DD0CF9" w:rsidRPr="00E72418">
        <w:rPr>
          <w:lang w:val="en-US"/>
        </w:rPr>
        <w:t>et retient</w:t>
      </w:r>
      <w:r w:rsidRPr="00E72418">
        <w:rPr>
          <w:lang w:val="en-US"/>
        </w:rPr>
        <w:t xml:space="preserve"> que « </w:t>
      </w:r>
      <w:r w:rsidR="005563FE" w:rsidRPr="00E72418">
        <w:rPr>
          <w:rFonts w:ascii="Times New Roman" w:hAnsi="Times New Roman"/>
        </w:rPr>
        <w:t>[t]</w:t>
      </w:r>
      <w:r w:rsidRPr="00E72418">
        <w:rPr>
          <w:lang w:val="en-US"/>
        </w:rPr>
        <w:t xml:space="preserve">his second interest limits the first so that, although the United States advocates negotiations to effect debt reduction </w:t>
      </w:r>
      <w:r w:rsidRPr="00E72418">
        <w:rPr>
          <w:lang w:val="en-US"/>
        </w:rPr>
        <w:lastRenderedPageBreak/>
        <w:t>and continued lending to defaulting foreign sovereigns, it maintains that creditor participation in such negotiations should be on a strictly voluntary basis »</w:t>
      </w:r>
      <w:r w:rsidRPr="00E72418">
        <w:rPr>
          <w:rStyle w:val="Appelnotedebasdep"/>
          <w:lang w:val="en-US"/>
        </w:rPr>
        <w:footnoteReference w:id="927"/>
      </w:r>
      <w:r w:rsidRPr="00E72418">
        <w:rPr>
          <w:lang w:val="en-US"/>
        </w:rPr>
        <w:t>.</w:t>
      </w:r>
    </w:p>
    <w:p w14:paraId="060CB69D" w14:textId="77777777" w:rsidR="00DD0CF9" w:rsidRPr="00E72418" w:rsidRDefault="0023480F" w:rsidP="00CC4BA8">
      <w:pPr>
        <w:spacing w:line="276" w:lineRule="auto"/>
      </w:pPr>
      <w:r w:rsidRPr="00E72418">
        <w:t xml:space="preserve">Bien que, dans nombre de cas, l’argument du respect de la force obligatoire des contrats conduisit les juges nationaux à donner raison aux créanciers poursuivant des </w:t>
      </w:r>
      <w:r w:rsidRPr="00E72418">
        <w:rPr>
          <w:lang w:eastAsia="fr-BE"/>
        </w:rPr>
        <w:t>É</w:t>
      </w:r>
      <w:r w:rsidRPr="00E72418">
        <w:t>tats débiteurs, il est des situations dans lesquelles, la priorité fut par contre donnée à des considérations d’intérêt général</w:t>
      </w:r>
      <w:r w:rsidRPr="00E72418">
        <w:rPr>
          <w:rStyle w:val="Appelnotedebasdep"/>
          <w:rFonts w:cs="Times New Roman"/>
          <w:szCs w:val="24"/>
        </w:rPr>
        <w:footnoteReference w:id="928"/>
      </w:r>
      <w:r w:rsidR="003E382B" w:rsidRPr="00E72418">
        <w:t xml:space="preserve">. La position de faiblesse des </w:t>
      </w:r>
      <w:r w:rsidR="003E382B" w:rsidRPr="00E72418">
        <w:rPr>
          <w:lang w:eastAsia="fr-BE"/>
        </w:rPr>
        <w:t>É</w:t>
      </w:r>
      <w:r w:rsidRPr="00E72418">
        <w:t>tats débiteurs peut ainsi donner lieu à ce que prennent le dessus des principes touchant simplement aux droit</w:t>
      </w:r>
      <w:r w:rsidR="00DD0CF9" w:rsidRPr="00E72418">
        <w:t>s</w:t>
      </w:r>
      <w:r w:rsidRPr="00E72418">
        <w:t xml:space="preserve"> de l’homme</w:t>
      </w:r>
      <w:r w:rsidRPr="00E72418">
        <w:rPr>
          <w:rStyle w:val="Appelnotedebasdep"/>
          <w:rFonts w:cs="Times New Roman"/>
          <w:szCs w:val="24"/>
        </w:rPr>
        <w:footnoteReference w:id="929"/>
      </w:r>
      <w:r w:rsidRPr="00E72418">
        <w:rPr>
          <w:rFonts w:cs="Times New Roman"/>
          <w:szCs w:val="24"/>
        </w:rPr>
        <w:t>.</w:t>
      </w:r>
      <w:r w:rsidR="00DD0CF9" w:rsidRPr="00E72418">
        <w:t xml:space="preserve"> </w:t>
      </w:r>
    </w:p>
    <w:p w14:paraId="30C6555D" w14:textId="77777777" w:rsidR="00DD0CF9" w:rsidRPr="00E72418" w:rsidRDefault="0023480F" w:rsidP="00CC4BA8">
      <w:pPr>
        <w:spacing w:line="276" w:lineRule="auto"/>
      </w:pPr>
      <w:r w:rsidRPr="00E72418">
        <w:t xml:space="preserve">L’on pourrait encore arguer que dans certaines situations, les dettes poursuivies par les fonds spéculatifs ont été originairement contractées par des </w:t>
      </w:r>
      <w:r w:rsidRPr="00E72418">
        <w:rPr>
          <w:lang w:eastAsia="fr-BE"/>
        </w:rPr>
        <w:t>É</w:t>
      </w:r>
      <w:r w:rsidRPr="00E72418">
        <w:t xml:space="preserve">tats en </w:t>
      </w:r>
      <w:r w:rsidR="009037AA" w:rsidRPr="00E72418">
        <w:t xml:space="preserve">proie à une </w:t>
      </w:r>
      <w:r w:rsidRPr="00E72418">
        <w:t>situation financière tellement difficile que l</w:t>
      </w:r>
      <w:r w:rsidR="00DD0CF9" w:rsidRPr="00E72418">
        <w:t>eur consentement s’en fut trouvé</w:t>
      </w:r>
      <w:r w:rsidRPr="00E72418">
        <w:t xml:space="preserve"> </w:t>
      </w:r>
      <w:r w:rsidR="009037AA" w:rsidRPr="00E72418">
        <w:t xml:space="preserve">en quelque sorte </w:t>
      </w:r>
      <w:r w:rsidRPr="00E72418">
        <w:t>forcé</w:t>
      </w:r>
      <w:r w:rsidRPr="00E72418">
        <w:rPr>
          <w:rStyle w:val="Appelnotedebasdep"/>
        </w:rPr>
        <w:footnoteReference w:id="930"/>
      </w:r>
      <w:r w:rsidR="00DD0CF9" w:rsidRPr="00E72418">
        <w:t xml:space="preserve">. </w:t>
      </w:r>
    </w:p>
    <w:p w14:paraId="0B93FDF3" w14:textId="775AC7BB" w:rsidR="00FE1596" w:rsidRPr="00E72418" w:rsidRDefault="001A541A" w:rsidP="0054314B">
      <w:pPr>
        <w:spacing w:line="276" w:lineRule="auto"/>
      </w:pPr>
      <w:r w:rsidRPr="00E72418">
        <w:t>Finalement, l’on pourrait entrevoir dans le fait</w:t>
      </w:r>
      <w:r w:rsidR="009037AA" w:rsidRPr="00E72418">
        <w:t xml:space="preserve"> que les fonds spéculatifs n’aie</w:t>
      </w:r>
      <w:r w:rsidRPr="00E72418">
        <w:t xml:space="preserve">nt pas </w:t>
      </w:r>
      <w:r w:rsidR="009037AA" w:rsidRPr="00E72418">
        <w:t xml:space="preserve">participé </w:t>
      </w:r>
      <w:r w:rsidRPr="00E72418">
        <w:t xml:space="preserve">au financement originaire et </w:t>
      </w:r>
      <w:r w:rsidR="009037AA" w:rsidRPr="00E72418">
        <w:t xml:space="preserve">que </w:t>
      </w:r>
      <w:r w:rsidRPr="00E72418">
        <w:t xml:space="preserve">les montants </w:t>
      </w:r>
      <w:r w:rsidR="009037AA" w:rsidRPr="00E72418">
        <w:t xml:space="preserve">qu’ils ont </w:t>
      </w:r>
      <w:r w:rsidRPr="00E72418">
        <w:t xml:space="preserve">engagés </w:t>
      </w:r>
      <w:r w:rsidR="009037AA" w:rsidRPr="00E72418">
        <w:t>sont</w:t>
      </w:r>
      <w:r w:rsidRPr="00E72418">
        <w:t xml:space="preserve"> souvent dérisoires p</w:t>
      </w:r>
      <w:r w:rsidR="001F0A16" w:rsidRPr="00E72418">
        <w:t xml:space="preserve">ar comparaison à ce financement, un argument justifiant de relativiser la portée de la règle </w:t>
      </w:r>
      <w:r w:rsidR="001F0A16" w:rsidRPr="00E72418">
        <w:rPr>
          <w:i/>
        </w:rPr>
        <w:t>pacta sunt servanda</w:t>
      </w:r>
      <w:r w:rsidR="001F0A16" w:rsidRPr="00E72418">
        <w:t>.</w:t>
      </w:r>
      <w:bookmarkStart w:id="205" w:name="_Toc59280934"/>
      <w:bookmarkStart w:id="206" w:name="_Toc75106095"/>
    </w:p>
    <w:p w14:paraId="70AD59C0" w14:textId="77777777" w:rsidR="0054314B" w:rsidRPr="00E72418" w:rsidRDefault="0054314B" w:rsidP="0054314B">
      <w:pPr>
        <w:rPr>
          <w:rStyle w:val="Emphaseple"/>
          <w:i w:val="0"/>
          <w:iCs w:val="0"/>
          <w:color w:val="auto"/>
        </w:rPr>
      </w:pPr>
    </w:p>
    <w:p w14:paraId="4CA725A4" w14:textId="2296CAB7" w:rsidR="005C7174" w:rsidRPr="00E72418" w:rsidRDefault="000764CE" w:rsidP="00CC4BA8">
      <w:pPr>
        <w:pStyle w:val="CC"/>
        <w:spacing w:line="276" w:lineRule="auto"/>
        <w:rPr>
          <w:rStyle w:val="Emphaseple"/>
          <w:i w:val="0"/>
          <w:iCs w:val="0"/>
          <w:color w:val="auto"/>
        </w:rPr>
      </w:pPr>
      <w:bookmarkStart w:id="207" w:name="_Toc84540922"/>
      <w:r w:rsidRPr="00E72418">
        <w:rPr>
          <w:rStyle w:val="Emphaseple"/>
          <w:i w:val="0"/>
          <w:iCs w:val="0"/>
          <w:color w:val="auto"/>
        </w:rPr>
        <w:t xml:space="preserve">Chapitre 2 : </w:t>
      </w:r>
      <w:r w:rsidR="005C7174" w:rsidRPr="00E72418">
        <w:rPr>
          <w:rStyle w:val="Emphaseple"/>
          <w:i w:val="0"/>
          <w:iCs w:val="0"/>
          <w:color w:val="auto"/>
        </w:rPr>
        <w:t xml:space="preserve">La clause </w:t>
      </w:r>
      <w:r w:rsidR="005C7174" w:rsidRPr="00E72418">
        <w:rPr>
          <w:rStyle w:val="Emphaseple"/>
          <w:iCs w:val="0"/>
          <w:color w:val="auto"/>
        </w:rPr>
        <w:t>pari passu</w:t>
      </w:r>
      <w:bookmarkEnd w:id="205"/>
      <w:bookmarkEnd w:id="206"/>
      <w:bookmarkEnd w:id="207"/>
    </w:p>
    <w:p w14:paraId="435BF126" w14:textId="6161D867" w:rsidR="005C7174" w:rsidRPr="00E72418" w:rsidRDefault="005C7174" w:rsidP="0054314B"/>
    <w:p w14:paraId="01B7DC03" w14:textId="16AA0B00" w:rsidR="007A0127" w:rsidRPr="00E72418" w:rsidRDefault="007F038F" w:rsidP="00CC4BA8">
      <w:pPr>
        <w:spacing w:line="276" w:lineRule="auto"/>
        <w:rPr>
          <w:rFonts w:ascii="Times New Roman" w:hAnsi="Times New Roman"/>
        </w:rPr>
      </w:pPr>
      <w:r w:rsidRPr="00E72418">
        <w:rPr>
          <w:b/>
        </w:rPr>
        <w:t xml:space="preserve">173. </w:t>
      </w:r>
      <w:r w:rsidR="00A44BCA" w:rsidRPr="00E72418">
        <w:rPr>
          <w:b/>
        </w:rPr>
        <w:t>Un levier utile</w:t>
      </w:r>
      <w:r w:rsidR="00A44BCA" w:rsidRPr="00E72418">
        <w:t xml:space="preserve"> </w:t>
      </w:r>
      <w:r w:rsidR="00A44BCA" w:rsidRPr="00E72418">
        <w:rPr>
          <w:rFonts w:ascii="Times New Roman" w:hAnsi="Times New Roman"/>
          <w:b/>
        </w:rPr>
        <w:t xml:space="preserve">– </w:t>
      </w:r>
      <w:r w:rsidR="00A44BCA" w:rsidRPr="00E72418">
        <w:rPr>
          <w:rFonts w:ascii="Times New Roman" w:hAnsi="Times New Roman"/>
        </w:rPr>
        <w:t>Forts des condamnation</w:t>
      </w:r>
      <w:r w:rsidR="00AE5F9B" w:rsidRPr="00E72418">
        <w:rPr>
          <w:rFonts w:ascii="Times New Roman" w:hAnsi="Times New Roman"/>
        </w:rPr>
        <w:t>s obtenues à l’encontre de leurs débiteurs</w:t>
      </w:r>
      <w:r w:rsidR="00A44BCA" w:rsidRPr="00E72418">
        <w:rPr>
          <w:rFonts w:ascii="Times New Roman" w:hAnsi="Times New Roman"/>
        </w:rPr>
        <w:t>, les fonds spéculatifs risquent de faire face à un refus d’exécution de leur part. Si l’exécution des titres judiciaires peut, comme nous le verrons, s’avérer compliquée en raison du régime immunitaire p</w:t>
      </w:r>
      <w:r w:rsidR="006A04CF" w:rsidRPr="00E72418">
        <w:rPr>
          <w:rFonts w:ascii="Times New Roman" w:hAnsi="Times New Roman"/>
        </w:rPr>
        <w:t xml:space="preserve">rotecteur dont bénéficient les </w:t>
      </w:r>
      <w:r w:rsidR="006A04CF" w:rsidRPr="00E72418">
        <w:rPr>
          <w:rFonts w:ascii="Times New Roman" w:hAnsi="Times New Roman" w:cs="Times New Roman"/>
          <w:lang w:eastAsia="fr-BE"/>
        </w:rPr>
        <w:t>É</w:t>
      </w:r>
      <w:r w:rsidR="00A44BCA" w:rsidRPr="00E72418">
        <w:rPr>
          <w:rFonts w:ascii="Times New Roman" w:hAnsi="Times New Roman"/>
        </w:rPr>
        <w:t xml:space="preserve">tats souverains, une stratégie porteuse consiste à capitaliser sur la clause </w:t>
      </w:r>
      <w:r w:rsidR="00A44BCA" w:rsidRPr="00E72418">
        <w:rPr>
          <w:rFonts w:ascii="Times New Roman" w:hAnsi="Times New Roman"/>
          <w:i/>
        </w:rPr>
        <w:t>pari passu</w:t>
      </w:r>
      <w:r w:rsidR="00A44BCA" w:rsidRPr="00E72418">
        <w:rPr>
          <w:rFonts w:ascii="Times New Roman" w:hAnsi="Times New Roman"/>
        </w:rPr>
        <w:t xml:space="preserve"> généralement contenue dans les titres de dettes souveraines. Quoique le contenu de celle-ci est discuté (</w:t>
      </w:r>
      <w:r w:rsidR="00A44BCA" w:rsidRPr="00E72418">
        <w:rPr>
          <w:rFonts w:ascii="Times New Roman" w:hAnsi="Times New Roman"/>
          <w:b/>
        </w:rPr>
        <w:t>section 1</w:t>
      </w:r>
      <w:r w:rsidR="00A44BCA" w:rsidRPr="00E72418">
        <w:rPr>
          <w:rFonts w:ascii="Times New Roman" w:hAnsi="Times New Roman"/>
        </w:rPr>
        <w:t>), certains juges, belges à l’origine, lui ont donné un sens permettant aux fonds spéculatifs de paralyser</w:t>
      </w:r>
      <w:r w:rsidR="00AE5F9B" w:rsidRPr="00E72418">
        <w:rPr>
          <w:rFonts w:ascii="Times New Roman" w:hAnsi="Times New Roman"/>
        </w:rPr>
        <w:t xml:space="preserve"> les </w:t>
      </w:r>
      <w:r w:rsidR="006A04CF" w:rsidRPr="00E72418">
        <w:rPr>
          <w:rFonts w:ascii="Times New Roman" w:hAnsi="Times New Roman" w:cs="Times New Roman"/>
          <w:lang w:eastAsia="fr-BE"/>
        </w:rPr>
        <w:t>É</w:t>
      </w:r>
      <w:r w:rsidR="00A44BCA" w:rsidRPr="00E72418">
        <w:rPr>
          <w:rFonts w:ascii="Times New Roman" w:hAnsi="Times New Roman"/>
        </w:rPr>
        <w:t>tat</w:t>
      </w:r>
      <w:r w:rsidR="00AE5F9B" w:rsidRPr="00E72418">
        <w:rPr>
          <w:rFonts w:ascii="Times New Roman" w:hAnsi="Times New Roman"/>
        </w:rPr>
        <w:t>s</w:t>
      </w:r>
      <w:r w:rsidR="00A44BCA" w:rsidRPr="00E72418">
        <w:rPr>
          <w:rFonts w:ascii="Times New Roman" w:hAnsi="Times New Roman"/>
        </w:rPr>
        <w:t xml:space="preserve"> débiteur</w:t>
      </w:r>
      <w:r w:rsidR="00AE5F9B" w:rsidRPr="00E72418">
        <w:rPr>
          <w:rFonts w:ascii="Times New Roman" w:hAnsi="Times New Roman"/>
        </w:rPr>
        <w:t>s dans leurs</w:t>
      </w:r>
      <w:r w:rsidR="00A44BCA" w:rsidRPr="00E72418">
        <w:rPr>
          <w:rFonts w:ascii="Times New Roman" w:hAnsi="Times New Roman"/>
        </w:rPr>
        <w:t xml:space="preserve"> rapports avec </w:t>
      </w:r>
      <w:r w:rsidR="00AE5F9B" w:rsidRPr="00E72418">
        <w:rPr>
          <w:rFonts w:ascii="Times New Roman" w:hAnsi="Times New Roman"/>
        </w:rPr>
        <w:t>leurs</w:t>
      </w:r>
      <w:r w:rsidR="00A44BCA" w:rsidRPr="00E72418">
        <w:rPr>
          <w:rFonts w:ascii="Times New Roman" w:hAnsi="Times New Roman"/>
        </w:rPr>
        <w:t xml:space="preserve"> autres créanciers (</w:t>
      </w:r>
      <w:r w:rsidR="00A44BCA" w:rsidRPr="00E72418">
        <w:rPr>
          <w:rFonts w:ascii="Times New Roman" w:hAnsi="Times New Roman"/>
          <w:b/>
        </w:rPr>
        <w:t>section 2</w:t>
      </w:r>
      <w:r w:rsidR="00A44BCA" w:rsidRPr="00E72418">
        <w:rPr>
          <w:rFonts w:ascii="Times New Roman" w:hAnsi="Times New Roman"/>
        </w:rPr>
        <w:t xml:space="preserve">). Cette lecture de la clause </w:t>
      </w:r>
      <w:r w:rsidR="00AE5F9B" w:rsidRPr="00E72418">
        <w:rPr>
          <w:rFonts w:ascii="Times New Roman" w:hAnsi="Times New Roman"/>
          <w:i/>
        </w:rPr>
        <w:t>pari passu</w:t>
      </w:r>
      <w:r w:rsidR="00AE5F9B" w:rsidRPr="00E72418">
        <w:rPr>
          <w:rFonts w:ascii="Times New Roman" w:hAnsi="Times New Roman"/>
        </w:rPr>
        <w:t xml:space="preserve"> </w:t>
      </w:r>
      <w:r w:rsidR="00A44BCA" w:rsidRPr="00E72418">
        <w:rPr>
          <w:rFonts w:ascii="Times New Roman" w:hAnsi="Times New Roman"/>
        </w:rPr>
        <w:t xml:space="preserve">a </w:t>
      </w:r>
      <w:r w:rsidR="00980455" w:rsidRPr="00E72418">
        <w:rPr>
          <w:rFonts w:ascii="Times New Roman" w:hAnsi="Times New Roman"/>
        </w:rPr>
        <w:t xml:space="preserve">souvent étonné et offusqué </w:t>
      </w:r>
      <w:r w:rsidR="00A44BCA" w:rsidRPr="00E72418">
        <w:rPr>
          <w:rFonts w:ascii="Times New Roman" w:hAnsi="Times New Roman"/>
        </w:rPr>
        <w:t>si bien qu’elle fait l’objet depuis plusieurs années d’adaptations (</w:t>
      </w:r>
      <w:r w:rsidR="00A44BCA" w:rsidRPr="00E72418">
        <w:rPr>
          <w:rFonts w:ascii="Times New Roman" w:hAnsi="Times New Roman"/>
          <w:b/>
        </w:rPr>
        <w:t>section 3</w:t>
      </w:r>
      <w:r w:rsidR="00A44BCA" w:rsidRPr="00E72418">
        <w:rPr>
          <w:rFonts w:ascii="Times New Roman" w:hAnsi="Times New Roman"/>
        </w:rPr>
        <w:t xml:space="preserve">). </w:t>
      </w:r>
    </w:p>
    <w:p w14:paraId="7363C792" w14:textId="77777777" w:rsidR="00A44BCA" w:rsidRPr="00E72418" w:rsidRDefault="00A44BCA" w:rsidP="0054314B"/>
    <w:p w14:paraId="393F2036" w14:textId="75CE35BF" w:rsidR="005C7174" w:rsidRPr="00E72418" w:rsidRDefault="000764CE" w:rsidP="00CC4BA8">
      <w:pPr>
        <w:pStyle w:val="DD"/>
        <w:spacing w:line="276" w:lineRule="auto"/>
        <w:rPr>
          <w:rStyle w:val="Emphaseple"/>
          <w:i/>
          <w:iCs/>
          <w:color w:val="auto"/>
        </w:rPr>
      </w:pPr>
      <w:bookmarkStart w:id="208" w:name="_Toc59280935"/>
      <w:bookmarkStart w:id="209" w:name="_Toc84540923"/>
      <w:r w:rsidRPr="00E72418">
        <w:rPr>
          <w:rStyle w:val="Emphaseple"/>
          <w:i/>
          <w:iCs/>
          <w:color w:val="auto"/>
        </w:rPr>
        <w:lastRenderedPageBreak/>
        <w:t xml:space="preserve">Section 1 : </w:t>
      </w:r>
      <w:r w:rsidR="0005536F" w:rsidRPr="00E72418">
        <w:rPr>
          <w:rStyle w:val="Emphaseple"/>
          <w:i/>
          <w:iCs/>
          <w:color w:val="auto"/>
        </w:rPr>
        <w:t>Le contenu</w:t>
      </w:r>
      <w:bookmarkEnd w:id="208"/>
      <w:bookmarkEnd w:id="209"/>
    </w:p>
    <w:p w14:paraId="1AAA334E" w14:textId="77777777" w:rsidR="0054314B" w:rsidRPr="00E72418" w:rsidRDefault="0054314B" w:rsidP="0054314B">
      <w:pPr>
        <w:rPr>
          <w:rStyle w:val="Emphaseple"/>
          <w:i w:val="0"/>
          <w:iCs w:val="0"/>
          <w:color w:val="auto"/>
        </w:rPr>
      </w:pPr>
    </w:p>
    <w:p w14:paraId="7B737E61" w14:textId="3CA7CED4" w:rsidR="005C7174" w:rsidRPr="00E72418" w:rsidRDefault="007F038F" w:rsidP="00CC4BA8">
      <w:pPr>
        <w:spacing w:line="276" w:lineRule="auto"/>
      </w:pPr>
      <w:r w:rsidRPr="00E72418">
        <w:rPr>
          <w:b/>
        </w:rPr>
        <w:t>174</w:t>
      </w:r>
      <w:r w:rsidR="007E31CD" w:rsidRPr="00E72418">
        <w:rPr>
          <w:b/>
        </w:rPr>
        <w:t xml:space="preserve">. </w:t>
      </w:r>
      <w:r w:rsidR="005C7174" w:rsidRPr="00E72418">
        <w:rPr>
          <w:b/>
        </w:rPr>
        <w:t xml:space="preserve">Une clause standard au sens incertain </w:t>
      </w:r>
      <w:r w:rsidR="005C7174" w:rsidRPr="00E72418">
        <w:rPr>
          <w:rFonts w:ascii="Times New Roman" w:hAnsi="Times New Roman"/>
          <w:b/>
        </w:rPr>
        <w:t xml:space="preserve">– </w:t>
      </w:r>
      <w:r w:rsidR="005C7174" w:rsidRPr="00E72418">
        <w:t xml:space="preserve">La clause </w:t>
      </w:r>
      <w:r w:rsidR="005C7174" w:rsidRPr="00E72418">
        <w:rPr>
          <w:i/>
        </w:rPr>
        <w:t>pari passu</w:t>
      </w:r>
      <w:r w:rsidR="005C7174" w:rsidRPr="00E72418">
        <w:t>,</w:t>
      </w:r>
      <w:r w:rsidR="005C7174" w:rsidRPr="00E72418">
        <w:rPr>
          <w:i/>
        </w:rPr>
        <w:t xml:space="preserve"> </w:t>
      </w:r>
      <w:r w:rsidR="0063520D" w:rsidRPr="00E72418">
        <w:t xml:space="preserve">signifiant </w:t>
      </w:r>
      <w:r w:rsidR="005C7174" w:rsidRPr="00E72418">
        <w:rPr>
          <w:i/>
        </w:rPr>
        <w:t>in equal step</w:t>
      </w:r>
      <w:r w:rsidR="005C7174" w:rsidRPr="00E72418">
        <w:t>, a pour</w:t>
      </w:r>
      <w:r w:rsidR="005C7174" w:rsidRPr="00E72418">
        <w:rPr>
          <w:i/>
        </w:rPr>
        <w:t xml:space="preserve"> </w:t>
      </w:r>
      <w:r w:rsidR="005C7174" w:rsidRPr="00E72418">
        <w:t xml:space="preserve">objectif d’éviter les discriminations parmi les créanciers </w:t>
      </w:r>
      <w:r w:rsidR="0063520D" w:rsidRPr="00E72418">
        <w:t xml:space="preserve">en assurant </w:t>
      </w:r>
      <w:r w:rsidR="005C7174" w:rsidRPr="00E72418">
        <w:t>la parité de leur traitement</w:t>
      </w:r>
      <w:r w:rsidR="000F59CC" w:rsidRPr="00E72418">
        <w:rPr>
          <w:rStyle w:val="Appelnotedebasdep"/>
        </w:rPr>
        <w:footnoteReference w:id="931"/>
      </w:r>
      <w:r w:rsidR="005C7174" w:rsidRPr="00E72418">
        <w:t xml:space="preserve">. Concrètement, la clause sert généralement à contrer le risque qu’un acte </w:t>
      </w:r>
      <w:r w:rsidR="0063520D" w:rsidRPr="00E72418">
        <w:t>du débiteur souverain</w:t>
      </w:r>
      <w:r w:rsidR="005C7174" w:rsidRPr="00E72418">
        <w:t xml:space="preserve"> puiss</w:t>
      </w:r>
      <w:r w:rsidR="0063520D" w:rsidRPr="00E72418">
        <w:t>e altérer la hiérarchisation de ses</w:t>
      </w:r>
      <w:r w:rsidR="005C7174" w:rsidRPr="00E72418">
        <w:t xml:space="preserve"> dettes</w:t>
      </w:r>
      <w:r w:rsidR="005C7174" w:rsidRPr="00E72418">
        <w:rPr>
          <w:rStyle w:val="Appelnotedebasdep"/>
          <w:rFonts w:cs="Times New Roman"/>
          <w:szCs w:val="24"/>
        </w:rPr>
        <w:footnoteReference w:id="932"/>
      </w:r>
      <w:r w:rsidR="005C7174" w:rsidRPr="00E72418">
        <w:t xml:space="preserve">. </w:t>
      </w:r>
      <w:r w:rsidR="0063520D" w:rsidRPr="00E72418">
        <w:t>L’utilité</w:t>
      </w:r>
      <w:r w:rsidR="009037AA" w:rsidRPr="00E72418">
        <w:t xml:space="preserve"> d’une clause </w:t>
      </w:r>
      <w:r w:rsidR="005C7174" w:rsidRPr="00E72418">
        <w:rPr>
          <w:i/>
        </w:rPr>
        <w:t>pari passu</w:t>
      </w:r>
      <w:r w:rsidR="005C7174" w:rsidRPr="00E72418">
        <w:t xml:space="preserve"> </w:t>
      </w:r>
      <w:r w:rsidR="0063520D" w:rsidRPr="00E72418">
        <w:t>n’est, à première vue, perceptible</w:t>
      </w:r>
      <w:r w:rsidR="005C7174" w:rsidRPr="00E72418">
        <w:t xml:space="preserve"> que dans l’hypothèse où le débiteur </w:t>
      </w:r>
      <w:r w:rsidR="0063520D" w:rsidRPr="00E72418">
        <w:t>se trouve</w:t>
      </w:r>
      <w:r w:rsidR="005C7174" w:rsidRPr="00E72418">
        <w:t xml:space="preserve"> dans une situation d’insolvabilité conduisant à une procédure collective. Dès lors</w:t>
      </w:r>
      <w:r w:rsidR="0063520D" w:rsidRPr="00E72418">
        <w:t xml:space="preserve"> que, nous l’avons vu,</w:t>
      </w:r>
      <w:r w:rsidR="005C7174" w:rsidRPr="00E72418">
        <w:t xml:space="preserve"> les </w:t>
      </w:r>
      <w:r w:rsidR="005C7174" w:rsidRPr="00E72418">
        <w:rPr>
          <w:lang w:eastAsia="fr-BE"/>
        </w:rPr>
        <w:t>É</w:t>
      </w:r>
      <w:r w:rsidR="005C7174" w:rsidRPr="00E72418">
        <w:t>tats souverains ne peuvent se trouver dans une tel</w:t>
      </w:r>
      <w:r w:rsidR="0063520D" w:rsidRPr="00E72418">
        <w:t xml:space="preserve">le situation, la présence d’une </w:t>
      </w:r>
      <w:r w:rsidR="005C7174" w:rsidRPr="00E72418">
        <w:t xml:space="preserve">clause </w:t>
      </w:r>
      <w:r w:rsidR="005C7174" w:rsidRPr="00E72418">
        <w:rPr>
          <w:i/>
        </w:rPr>
        <w:t>pari passu</w:t>
      </w:r>
      <w:r w:rsidR="005C7174" w:rsidRPr="00E72418">
        <w:t xml:space="preserve"> dans les contrats </w:t>
      </w:r>
      <w:r w:rsidR="0063520D" w:rsidRPr="00E72418">
        <w:t>de dettes</w:t>
      </w:r>
      <w:r w:rsidR="005C7174" w:rsidRPr="00E72418">
        <w:t xml:space="preserve"> souverain</w:t>
      </w:r>
      <w:r w:rsidR="0063520D" w:rsidRPr="00E72418">
        <w:t>e</w:t>
      </w:r>
      <w:r w:rsidR="005C7174" w:rsidRPr="00E72418">
        <w:t xml:space="preserve">s </w:t>
      </w:r>
      <w:r w:rsidR="0063520D" w:rsidRPr="00E72418">
        <w:t xml:space="preserve">ne </w:t>
      </w:r>
      <w:r w:rsidR="005C7174" w:rsidRPr="00E72418">
        <w:t xml:space="preserve">paraît </w:t>
      </w:r>
      <w:r w:rsidR="0063520D" w:rsidRPr="00E72418">
        <w:t>pas</w:t>
      </w:r>
      <w:r w:rsidR="00392084">
        <w:t>, à première vue,</w:t>
      </w:r>
      <w:r w:rsidR="0063520D" w:rsidRPr="00E72418">
        <w:t xml:space="preserve"> en protéger les créanciers</w:t>
      </w:r>
      <w:r w:rsidR="005C7174" w:rsidRPr="00E72418">
        <w:rPr>
          <w:rStyle w:val="Appelnotedebasdep"/>
          <w:rFonts w:cs="Times New Roman"/>
          <w:szCs w:val="24"/>
        </w:rPr>
        <w:footnoteReference w:id="933"/>
      </w:r>
      <w:r w:rsidR="005C7174" w:rsidRPr="00E72418">
        <w:t>.</w:t>
      </w:r>
    </w:p>
    <w:p w14:paraId="18C4434E" w14:textId="7E047D7C" w:rsidR="005C7174" w:rsidRPr="00E72418" w:rsidRDefault="005C7174" w:rsidP="00CC4BA8">
      <w:pPr>
        <w:spacing w:line="276" w:lineRule="auto"/>
      </w:pPr>
      <w:r w:rsidRPr="00E72418">
        <w:t xml:space="preserve">Toute inutile que cette clause puisse </w:t>
      </w:r>
      <w:r w:rsidR="00B42732" w:rsidRPr="00E72418">
        <w:rPr>
          <w:i/>
        </w:rPr>
        <w:t>prima facie</w:t>
      </w:r>
      <w:r w:rsidR="00B42732" w:rsidRPr="00E72418">
        <w:t xml:space="preserve"> </w:t>
      </w:r>
      <w:r w:rsidRPr="00E72418">
        <w:t xml:space="preserve">paraître dans les contrats de dettes souveraines, le fait est qu’elle s’y retrouve </w:t>
      </w:r>
      <w:r w:rsidR="00B42732" w:rsidRPr="00E72418">
        <w:t xml:space="preserve">pourtant </w:t>
      </w:r>
      <w:r w:rsidRPr="00E72418">
        <w:t>très fréquemment</w:t>
      </w:r>
      <w:r w:rsidR="00B42732" w:rsidRPr="00E72418">
        <w:t>. D’aucuns retiennent ainsi</w:t>
      </w:r>
      <w:r w:rsidRPr="00E72418">
        <w:t xml:space="preserve"> qu’il s’agit d’une clause standard</w:t>
      </w:r>
      <w:r w:rsidR="00B42732" w:rsidRPr="00E72418">
        <w:t xml:space="preserve"> en matière de dettes souveraines</w:t>
      </w:r>
      <w:r w:rsidRPr="00E72418">
        <w:rPr>
          <w:rStyle w:val="Appelnotedebasdep"/>
          <w:rFonts w:cs="Times New Roman"/>
          <w:szCs w:val="24"/>
        </w:rPr>
        <w:footnoteReference w:id="934"/>
      </w:r>
      <w:r w:rsidRPr="00E72418">
        <w:t xml:space="preserve">. </w:t>
      </w:r>
      <w:r w:rsidR="00B42732" w:rsidRPr="00E72418">
        <w:t>Cette standardisation ne suffit toutefois pas à lever les doutes entourant le sens à y donner de sorte que, c</w:t>
      </w:r>
      <w:r w:rsidR="00392084">
        <w:rPr>
          <w:rFonts w:ascii="Times New Roman" w:hAnsi="Times New Roman"/>
        </w:rPr>
        <w:t xml:space="preserve">omme l’écrivent </w:t>
      </w:r>
      <w:r w:rsidR="006907CE" w:rsidRPr="00E72418">
        <w:rPr>
          <w:rFonts w:ascii="Times New Roman" w:hAnsi="Times New Roman"/>
        </w:rPr>
        <w:t xml:space="preserve">Mark </w:t>
      </w:r>
      <w:r w:rsidR="00B42732" w:rsidRPr="00E72418">
        <w:rPr>
          <w:rFonts w:ascii="Times New Roman" w:hAnsi="Times New Roman"/>
        </w:rPr>
        <w:t>Weidemaier</w:t>
      </w:r>
      <w:r w:rsidR="00D801A6" w:rsidRPr="00E72418">
        <w:rPr>
          <w:rFonts w:ascii="Times New Roman" w:hAnsi="Times New Roman"/>
        </w:rPr>
        <w:t xml:space="preserve"> </w:t>
      </w:r>
      <w:r w:rsidR="00D801A6" w:rsidRPr="00E72418">
        <w:rPr>
          <w:rFonts w:ascii="Times New Roman" w:hAnsi="Times New Roman"/>
          <w:i/>
        </w:rPr>
        <w:t>et al.</w:t>
      </w:r>
      <w:r w:rsidR="00D801A6" w:rsidRPr="00E72418">
        <w:rPr>
          <w:rFonts w:ascii="Times New Roman" w:hAnsi="Times New Roman"/>
        </w:rPr>
        <w:t xml:space="preserve"> </w:t>
      </w:r>
      <w:r w:rsidR="00B42732" w:rsidRPr="00E72418">
        <w:rPr>
          <w:rFonts w:ascii="Times New Roman" w:hAnsi="Times New Roman"/>
        </w:rPr>
        <w:t>de manière triviale,</w:t>
      </w:r>
      <w:r w:rsidRPr="00E72418">
        <w:rPr>
          <w:rFonts w:ascii="Times New Roman" w:hAnsi="Times New Roman"/>
        </w:rPr>
        <w:t xml:space="preserve"> « [i]n the context of sovereign lending, […] it is fair to say that no one really knows what the </w:t>
      </w:r>
      <w:r w:rsidRPr="00E72418">
        <w:rPr>
          <w:rFonts w:ascii="Times New Roman" w:hAnsi="Times New Roman"/>
          <w:i/>
          <w:iCs/>
        </w:rPr>
        <w:t>pari passu</w:t>
      </w:r>
      <w:r w:rsidRPr="00E72418">
        <w:rPr>
          <w:rFonts w:ascii="Times New Roman" w:hAnsi="Times New Roman"/>
        </w:rPr>
        <w:t xml:space="preserve"> clause means</w:t>
      </w:r>
      <w:r w:rsidR="00B42732" w:rsidRPr="00E72418">
        <w:rPr>
          <w:rFonts w:ascii="Times New Roman" w:hAnsi="Times New Roman"/>
        </w:rPr>
        <w:t xml:space="preserve"> </w:t>
      </w:r>
      <w:r w:rsidRPr="00E72418">
        <w:rPr>
          <w:rFonts w:ascii="Times New Roman" w:hAnsi="Times New Roman"/>
        </w:rPr>
        <w:t>»</w:t>
      </w:r>
      <w:r w:rsidRPr="00E72418">
        <w:rPr>
          <w:rStyle w:val="Appelnotedebasdep"/>
          <w:rFonts w:ascii="Times New Roman" w:hAnsi="Times New Roman" w:cs="Times New Roman"/>
          <w:szCs w:val="24"/>
        </w:rPr>
        <w:footnoteReference w:id="935"/>
      </w:r>
      <w:r w:rsidRPr="00E72418">
        <w:rPr>
          <w:rFonts w:ascii="Times New Roman" w:hAnsi="Times New Roman"/>
        </w:rPr>
        <w:t>.</w:t>
      </w:r>
    </w:p>
    <w:p w14:paraId="3C56C8C0" w14:textId="77777777" w:rsidR="005C7174" w:rsidRPr="00E72418" w:rsidRDefault="005C7174" w:rsidP="0054314B"/>
    <w:p w14:paraId="6860372D" w14:textId="595F4F5A" w:rsidR="00AF0D42" w:rsidRPr="00E72418" w:rsidRDefault="007F038F" w:rsidP="00CC4BA8">
      <w:pPr>
        <w:spacing w:line="276" w:lineRule="auto"/>
      </w:pPr>
      <w:r w:rsidRPr="00E72418">
        <w:rPr>
          <w:b/>
        </w:rPr>
        <w:t>175</w:t>
      </w:r>
      <w:r w:rsidR="007E31CD" w:rsidRPr="00E72418">
        <w:rPr>
          <w:b/>
        </w:rPr>
        <w:t xml:space="preserve">. </w:t>
      </w:r>
      <w:r w:rsidR="005C7174" w:rsidRPr="00E72418">
        <w:rPr>
          <w:b/>
        </w:rPr>
        <w:t xml:space="preserve">Les deux acceptions </w:t>
      </w:r>
      <w:r w:rsidR="005C7174" w:rsidRPr="00E72418">
        <w:rPr>
          <w:rFonts w:ascii="Times New Roman" w:hAnsi="Times New Roman"/>
          <w:b/>
        </w:rPr>
        <w:t xml:space="preserve">– </w:t>
      </w:r>
      <w:r w:rsidR="005C7174" w:rsidRPr="00E72418">
        <w:t xml:space="preserve">Généralement, la clause </w:t>
      </w:r>
      <w:r w:rsidR="00B42732" w:rsidRPr="00E72418">
        <w:rPr>
          <w:i/>
        </w:rPr>
        <w:t>pari passu</w:t>
      </w:r>
      <w:r w:rsidR="00B42732" w:rsidRPr="00E72418">
        <w:t xml:space="preserve"> </w:t>
      </w:r>
      <w:r w:rsidR="005C7174" w:rsidRPr="00E72418">
        <w:t>reçoit deux acceptions</w:t>
      </w:r>
      <w:r w:rsidR="00D361DA" w:rsidRPr="00E72418">
        <w:rPr>
          <w:rStyle w:val="Appelnotedebasdep"/>
        </w:rPr>
        <w:footnoteReference w:id="936"/>
      </w:r>
      <w:r w:rsidR="005C7174" w:rsidRPr="00E72418">
        <w:t xml:space="preserve">. Elle peut être </w:t>
      </w:r>
      <w:r w:rsidR="00AB70A0" w:rsidRPr="00E72418">
        <w:t>interprétée</w:t>
      </w:r>
      <w:r w:rsidR="005C7174" w:rsidRPr="00E72418">
        <w:t xml:space="preserve"> comme interdisant à l’</w:t>
      </w:r>
      <w:r w:rsidR="005C7174" w:rsidRPr="00E72418">
        <w:rPr>
          <w:lang w:eastAsia="fr-BE"/>
        </w:rPr>
        <w:t>É</w:t>
      </w:r>
      <w:r w:rsidR="005C7174" w:rsidRPr="00E72418">
        <w:t>tat débiteur d’octroyer à l’un de ses créanciers un rang prioritaire par rapport à un autre créancier de sorte que la créance de ce dernier s’y trouverait subordonnée</w:t>
      </w:r>
      <w:r w:rsidR="005C7174" w:rsidRPr="00E72418">
        <w:rPr>
          <w:rStyle w:val="Appelnotedebasdep"/>
          <w:rFonts w:cs="Times New Roman"/>
          <w:szCs w:val="24"/>
        </w:rPr>
        <w:footnoteReference w:id="937"/>
      </w:r>
      <w:r w:rsidR="005C7174" w:rsidRPr="00E72418">
        <w:t xml:space="preserve">. La clause peut également être </w:t>
      </w:r>
      <w:r w:rsidR="00AB70A0" w:rsidRPr="00E72418">
        <w:t xml:space="preserve">comprise, dans </w:t>
      </w:r>
      <w:r w:rsidR="00392084">
        <w:t>une</w:t>
      </w:r>
      <w:r w:rsidR="00AB70A0" w:rsidRPr="00E72418">
        <w:t xml:space="preserve"> « ratable payment </w:t>
      </w:r>
      <w:r w:rsidR="00AB70A0" w:rsidRPr="00E72418">
        <w:lastRenderedPageBreak/>
        <w:t>interpretation » cette fois,</w:t>
      </w:r>
      <w:r w:rsidR="005C7174" w:rsidRPr="00E72418">
        <w:t xml:space="preserve"> </w:t>
      </w:r>
      <w:r w:rsidR="00B42732" w:rsidRPr="00E72418">
        <w:t>comme prohibant</w:t>
      </w:r>
      <w:r w:rsidR="005C7174" w:rsidRPr="00E72418">
        <w:t xml:space="preserve"> le paiement d’un créancier sans qu’il en soit de même au profit d’un autre </w:t>
      </w:r>
      <w:r w:rsidR="00AB70A0" w:rsidRPr="00E72418">
        <w:t xml:space="preserve">à </w:t>
      </w:r>
      <w:r w:rsidR="005C7174" w:rsidRPr="00E72418">
        <w:t xml:space="preserve">rang égal. </w:t>
      </w:r>
    </w:p>
    <w:p w14:paraId="4E31B9D9" w14:textId="77777777" w:rsidR="005C7174" w:rsidRPr="00E72418" w:rsidRDefault="005C7174" w:rsidP="00CC4BA8">
      <w:pPr>
        <w:spacing w:line="276" w:lineRule="auto"/>
      </w:pPr>
      <w:r w:rsidRPr="00E72418">
        <w:t xml:space="preserve">La première acception, qui est celle traditionnellement retenue, fait une lecture restreinte de la clause là où la seconde en fait une large. Cette double acception peut être illustrée par l’exemple de la clause </w:t>
      </w:r>
      <w:r w:rsidRPr="00E72418">
        <w:rPr>
          <w:i/>
        </w:rPr>
        <w:t>pari passu</w:t>
      </w:r>
      <w:r w:rsidRPr="00E72418">
        <w:t xml:space="preserve"> reprise dans le </w:t>
      </w:r>
      <w:r w:rsidRPr="00E72418">
        <w:rPr>
          <w:i/>
        </w:rPr>
        <w:t>Fiscal Agency Agreement</w:t>
      </w:r>
      <w:r w:rsidRPr="00E72418">
        <w:t xml:space="preserve"> mobilisé dans le cadre du contentieux argentin</w:t>
      </w:r>
      <w:r w:rsidRPr="00E72418">
        <w:rPr>
          <w:rStyle w:val="Appelnotedebasdep"/>
          <w:rFonts w:cs="Times New Roman"/>
          <w:szCs w:val="24"/>
        </w:rPr>
        <w:footnoteReference w:id="938"/>
      </w:r>
      <w:r w:rsidRPr="00E72418">
        <w:t>. Au point c de l’article 1, l’on peut lire que : « </w:t>
      </w:r>
      <w:r w:rsidRPr="00E72418">
        <w:rPr>
          <w:rFonts w:ascii="Times New Roman" w:hAnsi="Times New Roman" w:cs="Times New Roman"/>
        </w:rPr>
        <w:t>[t]</w:t>
      </w:r>
      <w:r w:rsidRPr="00E72418">
        <w:t xml:space="preserve">he Securities will constitute </w:t>
      </w:r>
      <w:r w:rsidRPr="00E72418">
        <w:rPr>
          <w:rFonts w:ascii="Times New Roman" w:hAnsi="Times New Roman" w:cs="Times New Roman"/>
        </w:rPr>
        <w:t>[…]</w:t>
      </w:r>
      <w:r w:rsidRPr="00E72418">
        <w:t xml:space="preserve"> direct, unconditional, unsecured and unsubordinated obligations of the Republic and shall at all times</w:t>
      </w:r>
      <w:r w:rsidRPr="00E72418">
        <w:rPr>
          <w:b/>
        </w:rPr>
        <w:t xml:space="preserve"> </w:t>
      </w:r>
      <w:r w:rsidRPr="00E72418">
        <w:t xml:space="preserve">rank </w:t>
      </w:r>
      <w:r w:rsidRPr="00E72418">
        <w:rPr>
          <w:u w:val="single"/>
        </w:rPr>
        <w:t>pari</w:t>
      </w:r>
      <w:r w:rsidRPr="00E72418">
        <w:t xml:space="preserve"> </w:t>
      </w:r>
      <w:r w:rsidRPr="00E72418">
        <w:rPr>
          <w:u w:val="single"/>
        </w:rPr>
        <w:t>passu</w:t>
      </w:r>
      <w:r w:rsidRPr="00E72418">
        <w:t xml:space="preserve"> and without any preference among themselves. </w:t>
      </w:r>
      <w:r w:rsidRPr="00E72418">
        <w:rPr>
          <w:iCs/>
        </w:rPr>
        <w:t>The payment obligations of the Republic under the Securities shall at all times rank at least equally with all its other present and future unsecured and unsubordinated External Indebtedness</w:t>
      </w:r>
      <w:r w:rsidRPr="00E72418">
        <w:t xml:space="preserve"> </w:t>
      </w:r>
      <w:r w:rsidRPr="00E72418">
        <w:rPr>
          <w:rFonts w:ascii="Times New Roman" w:hAnsi="Times New Roman" w:cs="Times New Roman"/>
        </w:rPr>
        <w:t>[…]</w:t>
      </w:r>
      <w:r w:rsidRPr="00E72418">
        <w:t> »</w:t>
      </w:r>
      <w:r w:rsidRPr="00E72418">
        <w:rPr>
          <w:rStyle w:val="Appelnotedebasdep"/>
          <w:rFonts w:cs="Times New Roman"/>
          <w:szCs w:val="24"/>
        </w:rPr>
        <w:footnoteReference w:id="939"/>
      </w:r>
      <w:r w:rsidRPr="00E72418">
        <w:t>. L’approche restreinte tire argument du verbe « rank » utilisé et retient qu’il n’implique pas une interdiction pour l’</w:t>
      </w:r>
      <w:r w:rsidRPr="00E72418">
        <w:rPr>
          <w:lang w:eastAsia="fr-BE"/>
        </w:rPr>
        <w:t>É</w:t>
      </w:r>
      <w:r w:rsidRPr="00E72418">
        <w:t>tat débiteur de privilégier des paiements parmi ses créanciers</w:t>
      </w:r>
      <w:r w:rsidRPr="00E72418">
        <w:rPr>
          <w:rStyle w:val="Appelnotedebasdep"/>
          <w:rFonts w:cs="Times New Roman"/>
          <w:szCs w:val="24"/>
        </w:rPr>
        <w:footnoteReference w:id="940"/>
      </w:r>
      <w:r w:rsidRPr="00E72418">
        <w:t xml:space="preserve">. Par opposition, l’approche large retient que les paiements en tant que tels sont visés. Les paiements doivent </w:t>
      </w:r>
      <w:r w:rsidR="009A51D9" w:rsidRPr="00E72418">
        <w:t xml:space="preserve">ainsi </w:t>
      </w:r>
      <w:r w:rsidRPr="00E72418">
        <w:t>intervenir équitablement de sorte qu’en effectuer certains sans en faire d’autres constitue une subordination</w:t>
      </w:r>
      <w:r w:rsidRPr="00E72418">
        <w:rPr>
          <w:rStyle w:val="Appelnotedebasdep"/>
          <w:rFonts w:cs="Times New Roman"/>
          <w:szCs w:val="24"/>
        </w:rPr>
        <w:footnoteReference w:id="941"/>
      </w:r>
      <w:r w:rsidRPr="00E72418">
        <w:t>.</w:t>
      </w:r>
    </w:p>
    <w:p w14:paraId="64B3A760" w14:textId="77777777" w:rsidR="005C7174" w:rsidRPr="00E72418" w:rsidRDefault="005C7174" w:rsidP="0054314B"/>
    <w:p w14:paraId="0D2A781D" w14:textId="470C2DA2" w:rsidR="0005056B" w:rsidRPr="00E72418" w:rsidRDefault="007F038F" w:rsidP="0005056B">
      <w:pPr>
        <w:spacing w:line="276" w:lineRule="auto"/>
        <w:rPr>
          <w:lang w:val="fr-BE"/>
        </w:rPr>
      </w:pPr>
      <w:r w:rsidRPr="00E72418">
        <w:rPr>
          <w:rFonts w:cs="Times New Roman"/>
          <w:b/>
          <w:szCs w:val="24"/>
        </w:rPr>
        <w:t>176</w:t>
      </w:r>
      <w:r w:rsidR="007E31CD" w:rsidRPr="00E72418">
        <w:rPr>
          <w:rFonts w:cs="Times New Roman"/>
          <w:b/>
          <w:szCs w:val="24"/>
        </w:rPr>
        <w:t xml:space="preserve">. </w:t>
      </w:r>
      <w:r w:rsidR="005C7174" w:rsidRPr="00E72418">
        <w:rPr>
          <w:rFonts w:cs="Times New Roman"/>
          <w:b/>
          <w:szCs w:val="24"/>
        </w:rPr>
        <w:t xml:space="preserve">L’utile incertitude </w:t>
      </w:r>
      <w:r w:rsidR="005C7174" w:rsidRPr="00E72418">
        <w:rPr>
          <w:rFonts w:ascii="Times New Roman" w:hAnsi="Times New Roman" w:cs="Times New Roman"/>
          <w:b/>
          <w:szCs w:val="24"/>
        </w:rPr>
        <w:t>–</w:t>
      </w:r>
      <w:r w:rsidR="005C7174" w:rsidRPr="00E72418">
        <w:rPr>
          <w:rFonts w:cs="Times New Roman"/>
          <w:szCs w:val="24"/>
        </w:rPr>
        <w:t xml:space="preserve"> Dans le cadre de certains contentieux relatifs à des dettes souveraines ébranlées, la clause </w:t>
      </w:r>
      <w:r w:rsidR="005C7174" w:rsidRPr="00E72418">
        <w:rPr>
          <w:rFonts w:cs="Times New Roman"/>
          <w:i/>
          <w:szCs w:val="24"/>
        </w:rPr>
        <w:t xml:space="preserve">pari passu </w:t>
      </w:r>
      <w:r w:rsidR="005C7174" w:rsidRPr="00E72418">
        <w:rPr>
          <w:rFonts w:cs="Times New Roman"/>
          <w:szCs w:val="24"/>
        </w:rPr>
        <w:t xml:space="preserve">a servi d’argument aux fonds spéculatifs poursuivant </w:t>
      </w:r>
      <w:r w:rsidR="009A51D9" w:rsidRPr="00E72418">
        <w:rPr>
          <w:rFonts w:cs="Times New Roman"/>
          <w:szCs w:val="24"/>
        </w:rPr>
        <w:t xml:space="preserve">en justice </w:t>
      </w:r>
      <w:r w:rsidR="005C7174" w:rsidRPr="00E72418">
        <w:rPr>
          <w:rFonts w:cs="Times New Roman"/>
          <w:szCs w:val="24"/>
        </w:rPr>
        <w:t xml:space="preserve">leur débiteur souverain. L’interprétation de la clause par les juridictions et son exécution furent, dans ces contentieux, des éléments capitaux de la stratégie </w:t>
      </w:r>
      <w:r w:rsidR="009A51D9" w:rsidRPr="00E72418">
        <w:rPr>
          <w:rFonts w:cs="Times New Roman"/>
          <w:szCs w:val="24"/>
        </w:rPr>
        <w:t>employée</w:t>
      </w:r>
      <w:r w:rsidR="005C7174" w:rsidRPr="00E72418">
        <w:rPr>
          <w:rFonts w:cs="Times New Roman"/>
          <w:szCs w:val="24"/>
        </w:rPr>
        <w:t xml:space="preserve"> par ces créanciers</w:t>
      </w:r>
      <w:r w:rsidR="005C7174" w:rsidRPr="00E72418">
        <w:rPr>
          <w:rStyle w:val="Appelnotedebasdep"/>
          <w:rFonts w:cs="Times New Roman"/>
          <w:szCs w:val="24"/>
        </w:rPr>
        <w:footnoteReference w:id="942"/>
      </w:r>
      <w:r w:rsidR="005C7174" w:rsidRPr="00E72418">
        <w:rPr>
          <w:rFonts w:cs="Times New Roman"/>
          <w:szCs w:val="24"/>
        </w:rPr>
        <w:t xml:space="preserve">. Ainsi, comme le relève </w:t>
      </w:r>
      <w:r w:rsidR="0030568D" w:rsidRPr="00E72418">
        <w:rPr>
          <w:rFonts w:cs="Times New Roman"/>
          <w:szCs w:val="24"/>
        </w:rPr>
        <w:t xml:space="preserve">Caroline </w:t>
      </w:r>
      <w:r w:rsidR="005C7174" w:rsidRPr="00E72418">
        <w:rPr>
          <w:rFonts w:cs="Times New Roman"/>
          <w:szCs w:val="24"/>
        </w:rPr>
        <w:t>Lequ</w:t>
      </w:r>
      <w:r w:rsidR="00B41CCF" w:rsidRPr="00E72418">
        <w:rPr>
          <w:rFonts w:cs="Times New Roman"/>
          <w:szCs w:val="24"/>
        </w:rPr>
        <w:t>esne-Roth, les fonds spéculant</w:t>
      </w:r>
      <w:r w:rsidR="005C7174" w:rsidRPr="00E72418">
        <w:rPr>
          <w:rFonts w:cs="Times New Roman"/>
          <w:szCs w:val="24"/>
        </w:rPr>
        <w:t xml:space="preserve"> sur les dettes souveraines, et singulièrement la société </w:t>
      </w:r>
      <w:r w:rsidR="005C7174" w:rsidRPr="00E72418">
        <w:rPr>
          <w:rFonts w:cs="Times New Roman"/>
          <w:i/>
          <w:szCs w:val="24"/>
        </w:rPr>
        <w:t>NML Capital Ltd.</w:t>
      </w:r>
      <w:r w:rsidR="005C7174" w:rsidRPr="00E72418">
        <w:rPr>
          <w:rFonts w:cs="Times New Roman"/>
          <w:szCs w:val="24"/>
        </w:rPr>
        <w:t xml:space="preserve">, ont fait de l’argument lié à la clause </w:t>
      </w:r>
      <w:r w:rsidR="005C7174" w:rsidRPr="00E72418">
        <w:rPr>
          <w:rFonts w:cs="Times New Roman"/>
          <w:i/>
          <w:szCs w:val="24"/>
        </w:rPr>
        <w:t>pari passu</w:t>
      </w:r>
      <w:r w:rsidR="005C7174" w:rsidRPr="00E72418">
        <w:rPr>
          <w:rFonts w:cs="Times New Roman"/>
          <w:szCs w:val="24"/>
        </w:rPr>
        <w:t xml:space="preserve"> une véritable stratégie exécutoire dont la caution concédée par les juridictions étatsuniennes en a fait une « arme redoutable »</w:t>
      </w:r>
      <w:r w:rsidR="005C7174" w:rsidRPr="00E72418">
        <w:rPr>
          <w:rStyle w:val="Appelnotedebasdep"/>
          <w:rFonts w:cs="Times New Roman"/>
          <w:szCs w:val="24"/>
        </w:rPr>
        <w:footnoteReference w:id="943"/>
      </w:r>
      <w:r w:rsidR="005C7174" w:rsidRPr="00E72418">
        <w:rPr>
          <w:rFonts w:cs="Times New Roman"/>
          <w:szCs w:val="24"/>
        </w:rPr>
        <w:t>.</w:t>
      </w:r>
      <w:r w:rsidR="0005056B" w:rsidRPr="00E72418">
        <w:rPr>
          <w:rFonts w:cs="Times New Roman"/>
          <w:szCs w:val="24"/>
        </w:rPr>
        <w:t xml:space="preserve"> Ceci explique sans doute que</w:t>
      </w:r>
      <w:r w:rsidR="00761387" w:rsidRPr="00E72418">
        <w:rPr>
          <w:rFonts w:cs="Times New Roman"/>
          <w:szCs w:val="24"/>
        </w:rPr>
        <w:t>,</w:t>
      </w:r>
      <w:r w:rsidR="0005056B" w:rsidRPr="00E72418">
        <w:rPr>
          <w:rFonts w:cs="Times New Roman"/>
          <w:szCs w:val="24"/>
        </w:rPr>
        <w:t xml:space="preserve"> </w:t>
      </w:r>
      <w:r w:rsidR="00761387" w:rsidRPr="00E72418">
        <w:rPr>
          <w:rFonts w:cs="Times New Roman"/>
          <w:szCs w:val="24"/>
        </w:rPr>
        <w:t>même si</w:t>
      </w:r>
      <w:r w:rsidR="0005056B" w:rsidRPr="00E72418">
        <w:rPr>
          <w:rFonts w:cs="Times New Roman"/>
          <w:szCs w:val="24"/>
        </w:rPr>
        <w:t> </w:t>
      </w:r>
      <w:r w:rsidR="0005056B" w:rsidRPr="00E72418">
        <w:rPr>
          <w:lang w:val="fr-BE"/>
        </w:rPr>
        <w:t>«</w:t>
      </w:r>
      <w:r w:rsidR="0005056B" w:rsidRPr="00E72418">
        <w:rPr>
          <w:rFonts w:ascii="Times New Roman" w:hAnsi="Times New Roman" w:cs="Times New Roman"/>
        </w:rPr>
        <w:t xml:space="preserve"> [o]</w:t>
      </w:r>
      <w:r w:rsidR="0005056B" w:rsidRPr="00E72418">
        <w:rPr>
          <w:lang w:val="fr-BE"/>
        </w:rPr>
        <w:t xml:space="preserve">n several occasions, financial industry working groups and academic experts have argued for removing the clause from sovereign bonds, </w:t>
      </w:r>
      <w:r w:rsidR="0005056B" w:rsidRPr="00E72418">
        <w:rPr>
          <w:rFonts w:ascii="Times New Roman" w:hAnsi="Times New Roman" w:cs="Times New Roman"/>
        </w:rPr>
        <w:t xml:space="preserve">[they] </w:t>
      </w:r>
      <w:r w:rsidR="0005056B" w:rsidRPr="00E72418">
        <w:rPr>
          <w:lang w:val="fr-BE"/>
        </w:rPr>
        <w:t xml:space="preserve">have run into staunch resistance on the part of the creditors, whose response is usually </w:t>
      </w:r>
      <w:r w:rsidR="0005056B" w:rsidRPr="00E72418">
        <w:rPr>
          <w:rFonts w:cs="Times New Roman"/>
          <w:bCs/>
          <w:szCs w:val="24"/>
          <w:lang w:val="en-US"/>
        </w:rPr>
        <w:t>“</w:t>
      </w:r>
      <w:r w:rsidR="0005056B" w:rsidRPr="00E72418">
        <w:rPr>
          <w:lang w:val="fr-BE"/>
        </w:rPr>
        <w:t>keep it just in case</w:t>
      </w:r>
      <w:r w:rsidR="0005056B" w:rsidRPr="00E72418">
        <w:rPr>
          <w:rFonts w:cs="Times New Roman"/>
          <w:bCs/>
          <w:szCs w:val="24"/>
          <w:lang w:val="en-US"/>
        </w:rPr>
        <w:t>”</w:t>
      </w:r>
      <w:r w:rsidR="0005056B" w:rsidRPr="00E72418">
        <w:rPr>
          <w:lang w:val="fr-BE"/>
        </w:rPr>
        <w:t> »</w:t>
      </w:r>
      <w:r w:rsidR="0005056B" w:rsidRPr="00E72418">
        <w:rPr>
          <w:rStyle w:val="Appelnotedebasdep"/>
          <w:lang w:val="fr-BE"/>
        </w:rPr>
        <w:footnoteReference w:id="944"/>
      </w:r>
      <w:r w:rsidR="0005056B" w:rsidRPr="00E72418">
        <w:rPr>
          <w:lang w:val="fr-BE"/>
        </w:rPr>
        <w:t>.</w:t>
      </w:r>
    </w:p>
    <w:p w14:paraId="5B28FD24" w14:textId="6C76CE60" w:rsidR="005C7174" w:rsidRPr="00E72418" w:rsidRDefault="005C7174" w:rsidP="0054314B"/>
    <w:p w14:paraId="4337E34A" w14:textId="7DD54DFA" w:rsidR="005C7174" w:rsidRPr="00E72418" w:rsidRDefault="000764CE" w:rsidP="00CC4BA8">
      <w:pPr>
        <w:pStyle w:val="DD"/>
        <w:spacing w:line="276" w:lineRule="auto"/>
        <w:rPr>
          <w:rStyle w:val="Emphaseple"/>
          <w:i/>
          <w:iCs/>
          <w:color w:val="auto"/>
        </w:rPr>
      </w:pPr>
      <w:bookmarkStart w:id="210" w:name="_Toc59280936"/>
      <w:bookmarkStart w:id="211" w:name="_Toc84540924"/>
      <w:r w:rsidRPr="00E72418">
        <w:rPr>
          <w:rStyle w:val="Emphaseple"/>
          <w:i/>
          <w:iCs/>
          <w:color w:val="auto"/>
        </w:rPr>
        <w:lastRenderedPageBreak/>
        <w:t xml:space="preserve">Section 2 : </w:t>
      </w:r>
      <w:r w:rsidR="005C7174" w:rsidRPr="00E72418">
        <w:rPr>
          <w:rStyle w:val="Emphaseple"/>
          <w:i/>
          <w:iCs/>
          <w:color w:val="auto"/>
        </w:rPr>
        <w:t>L’écho jurisprudentiel</w:t>
      </w:r>
      <w:bookmarkEnd w:id="210"/>
      <w:bookmarkEnd w:id="211"/>
    </w:p>
    <w:p w14:paraId="5BB4CD4D" w14:textId="77777777" w:rsidR="0054314B" w:rsidRPr="00E72418" w:rsidRDefault="0054314B" w:rsidP="0054314B">
      <w:pPr>
        <w:rPr>
          <w:rStyle w:val="Emphaseple"/>
          <w:i w:val="0"/>
          <w:iCs w:val="0"/>
          <w:color w:val="auto"/>
        </w:rPr>
      </w:pPr>
    </w:p>
    <w:p w14:paraId="01175A68" w14:textId="44F6E1E6" w:rsidR="007A0127" w:rsidRPr="00E72418" w:rsidRDefault="007F038F" w:rsidP="0054314B">
      <w:pPr>
        <w:spacing w:line="276" w:lineRule="auto"/>
      </w:pPr>
      <w:r w:rsidRPr="00E72418">
        <w:rPr>
          <w:b/>
        </w:rPr>
        <w:t xml:space="preserve">177. </w:t>
      </w:r>
      <w:r w:rsidR="00C22982" w:rsidRPr="00E72418">
        <w:rPr>
          <w:b/>
        </w:rPr>
        <w:t xml:space="preserve">De Bruxelles à New York – </w:t>
      </w:r>
      <w:r w:rsidR="00C22982" w:rsidRPr="00E72418">
        <w:t>L’inte</w:t>
      </w:r>
      <w:r w:rsidR="00527C72" w:rsidRPr="00E72418">
        <w:t>r</w:t>
      </w:r>
      <w:r w:rsidR="00C22982" w:rsidRPr="00E72418">
        <w:t xml:space="preserve">prétation donnée à la clause </w:t>
      </w:r>
      <w:r w:rsidR="00980455" w:rsidRPr="00E72418">
        <w:rPr>
          <w:i/>
        </w:rPr>
        <w:t>pari passu</w:t>
      </w:r>
      <w:r w:rsidR="00980455" w:rsidRPr="00E72418">
        <w:t xml:space="preserve"> </w:t>
      </w:r>
      <w:r w:rsidR="00C22982" w:rsidRPr="00E72418">
        <w:t xml:space="preserve">par la cour d’appel de Bruxelles au tout début des années 2000 a fait le jeu du créancier qui la mobilisait en lui permettant de mettre une pression telle sur son débiteur que ce dernier fut contraint de lui régler les montants </w:t>
      </w:r>
      <w:r w:rsidR="00980455" w:rsidRPr="00E72418">
        <w:t>réclamés</w:t>
      </w:r>
      <w:r w:rsidR="00C22982" w:rsidRPr="00E72418">
        <w:t xml:space="preserve"> (</w:t>
      </w:r>
      <w:r w:rsidR="00C22982" w:rsidRPr="00E72418">
        <w:rPr>
          <w:b/>
        </w:rPr>
        <w:t>sous-section 1</w:t>
      </w:r>
      <w:r w:rsidR="00C22982" w:rsidRPr="00E72418">
        <w:t xml:space="preserve">). Si l’interprétation en faveur des créanciers récalcitrants ne parut pas pour autant totalement acquise, elle prit tout son potentiel </w:t>
      </w:r>
      <w:r w:rsidR="006E534E" w:rsidRPr="00E72418">
        <w:t xml:space="preserve">une dizaine d’années plus tard devant la </w:t>
      </w:r>
      <w:r w:rsidR="00C6627B">
        <w:t xml:space="preserve">United States </w:t>
      </w:r>
      <w:r w:rsidR="006E534E" w:rsidRPr="00C6627B">
        <w:t>District Court for the Southern District of New York</w:t>
      </w:r>
      <w:r w:rsidR="006E534E" w:rsidRPr="00E72418">
        <w:t xml:space="preserve"> (</w:t>
      </w:r>
      <w:r w:rsidR="006E534E" w:rsidRPr="00E72418">
        <w:rPr>
          <w:b/>
        </w:rPr>
        <w:t>sous-section 2</w:t>
      </w:r>
      <w:r w:rsidR="006E534E" w:rsidRPr="00E72418">
        <w:t>).</w:t>
      </w:r>
    </w:p>
    <w:p w14:paraId="30E49793" w14:textId="77777777" w:rsidR="007A0127" w:rsidRPr="00E72418" w:rsidRDefault="007A0127" w:rsidP="0054314B"/>
    <w:p w14:paraId="6404B7A2" w14:textId="6489E8AD" w:rsidR="001F689C" w:rsidRPr="00E72418" w:rsidRDefault="000764CE" w:rsidP="00CC4BA8">
      <w:pPr>
        <w:pStyle w:val="EE"/>
        <w:spacing w:line="276" w:lineRule="auto"/>
        <w:jc w:val="both"/>
        <w:rPr>
          <w:rStyle w:val="Emphaseple"/>
          <w:i w:val="0"/>
          <w:iCs w:val="0"/>
          <w:color w:val="auto"/>
        </w:rPr>
      </w:pPr>
      <w:bookmarkStart w:id="212" w:name="_Toc59280937"/>
      <w:bookmarkStart w:id="213" w:name="_Toc84540925"/>
      <w:r w:rsidRPr="00E72418">
        <w:rPr>
          <w:rStyle w:val="Emphaseple"/>
          <w:i w:val="0"/>
          <w:iCs w:val="0"/>
          <w:color w:val="auto"/>
        </w:rPr>
        <w:t xml:space="preserve">Sous-section 1 : </w:t>
      </w:r>
      <w:r w:rsidR="00462CD0" w:rsidRPr="00E72418">
        <w:rPr>
          <w:rStyle w:val="Emphaseple"/>
          <w:i w:val="0"/>
          <w:iCs w:val="0"/>
          <w:color w:val="auto"/>
        </w:rPr>
        <w:t>L’arrêt de la c</w:t>
      </w:r>
      <w:r w:rsidR="001F689C" w:rsidRPr="00E72418">
        <w:rPr>
          <w:rStyle w:val="Emphaseple"/>
          <w:i w:val="0"/>
          <w:iCs w:val="0"/>
          <w:color w:val="auto"/>
        </w:rPr>
        <w:t>our d’ap</w:t>
      </w:r>
      <w:r w:rsidR="0056416B" w:rsidRPr="00E72418">
        <w:rPr>
          <w:rStyle w:val="Emphaseple"/>
          <w:i w:val="0"/>
          <w:iCs w:val="0"/>
          <w:color w:val="auto"/>
        </w:rPr>
        <w:t>pel de Bruxelles de</w:t>
      </w:r>
      <w:r w:rsidR="001F689C" w:rsidRPr="00E72418">
        <w:rPr>
          <w:rStyle w:val="Emphaseple"/>
          <w:i w:val="0"/>
          <w:iCs w:val="0"/>
          <w:color w:val="auto"/>
        </w:rPr>
        <w:t xml:space="preserve"> 2000</w:t>
      </w:r>
      <w:bookmarkEnd w:id="212"/>
      <w:bookmarkEnd w:id="213"/>
    </w:p>
    <w:p w14:paraId="33C74FDD" w14:textId="77777777" w:rsidR="00231337" w:rsidRPr="00E72418" w:rsidRDefault="00231337" w:rsidP="0054314B">
      <w:pPr>
        <w:rPr>
          <w:rStyle w:val="Emphaseple"/>
          <w:i w:val="0"/>
          <w:iCs w:val="0"/>
          <w:color w:val="auto"/>
        </w:rPr>
      </w:pPr>
    </w:p>
    <w:p w14:paraId="0658054C" w14:textId="1D16CE11" w:rsidR="001F689C" w:rsidRPr="00E72418" w:rsidRDefault="007F038F" w:rsidP="00CC4BA8">
      <w:pPr>
        <w:spacing w:line="276" w:lineRule="auto"/>
      </w:pPr>
      <w:r w:rsidRPr="00E72418">
        <w:rPr>
          <w:b/>
        </w:rPr>
        <w:t>178</w:t>
      </w:r>
      <w:r w:rsidR="007E31CD" w:rsidRPr="00E72418">
        <w:rPr>
          <w:b/>
        </w:rPr>
        <w:t xml:space="preserve">. </w:t>
      </w:r>
      <w:r w:rsidR="001F689C" w:rsidRPr="00E72418">
        <w:rPr>
          <w:b/>
        </w:rPr>
        <w:t>La demande et l’argument –</w:t>
      </w:r>
      <w:r w:rsidR="001F689C" w:rsidRPr="00E72418">
        <w:t xml:space="preserve"> Dans le cadre du contentieux ayant opposé la société </w:t>
      </w:r>
      <w:r w:rsidR="001F689C" w:rsidRPr="00E72418">
        <w:rPr>
          <w:i/>
        </w:rPr>
        <w:t>Elliott Associates</w:t>
      </w:r>
      <w:r w:rsidR="001F689C" w:rsidRPr="00E72418">
        <w:t xml:space="preserve"> à la République du Pérou, le créan</w:t>
      </w:r>
      <w:r w:rsidR="009A417B" w:rsidRPr="00E72418">
        <w:t>cier, fort d’un</w:t>
      </w:r>
      <w:r w:rsidR="001F689C" w:rsidRPr="00E72418">
        <w:t xml:space="preserve"> jugement étatsunien condamnant le pays à honorer ses obligations, introduisit une action </w:t>
      </w:r>
      <w:r w:rsidR="00D927AB" w:rsidRPr="00E72418">
        <w:t xml:space="preserve">sur requête unilatérale </w:t>
      </w:r>
      <w:r w:rsidR="001F689C" w:rsidRPr="00E72418">
        <w:t xml:space="preserve">devant les juridictions bruxelloises visant à faire interdire à </w:t>
      </w:r>
      <w:r w:rsidR="001F689C" w:rsidRPr="00E72418">
        <w:rPr>
          <w:i/>
        </w:rPr>
        <w:t>Morgan Guaranty Trust</w:t>
      </w:r>
      <w:r w:rsidR="001F689C" w:rsidRPr="00E72418">
        <w:t xml:space="preserve">, qui opérait à l’époque le système </w:t>
      </w:r>
      <w:r w:rsidR="001F689C" w:rsidRPr="00E72418">
        <w:rPr>
          <w:i/>
        </w:rPr>
        <w:t>Euroclear</w:t>
      </w:r>
      <w:r w:rsidR="001F689C" w:rsidRPr="00E72418">
        <w:t>, de procéder au paiement de créanciers ayant accepté la restructuration péruvienne</w:t>
      </w:r>
      <w:r w:rsidR="001F689C" w:rsidRPr="00E72418">
        <w:rPr>
          <w:rStyle w:val="Appelnotedebasdep"/>
          <w:rFonts w:ascii="Times New Roman" w:hAnsi="Times New Roman" w:cs="Times New Roman"/>
          <w:szCs w:val="24"/>
        </w:rPr>
        <w:footnoteReference w:id="945"/>
      </w:r>
      <w:r w:rsidR="001F689C" w:rsidRPr="00E72418">
        <w:rPr>
          <w:szCs w:val="24"/>
        </w:rPr>
        <w:t>.</w:t>
      </w:r>
    </w:p>
    <w:p w14:paraId="79CFD86C" w14:textId="77777777" w:rsidR="001F689C" w:rsidRPr="00E72418" w:rsidRDefault="001F689C" w:rsidP="00CC4BA8">
      <w:pPr>
        <w:spacing w:line="276" w:lineRule="auto"/>
        <w:rPr>
          <w:rFonts w:cs="Times New Roman"/>
          <w:szCs w:val="24"/>
        </w:rPr>
      </w:pPr>
      <w:r w:rsidRPr="00E72418">
        <w:rPr>
          <w:rFonts w:ascii="Times New Roman" w:hAnsi="Times New Roman" w:cs="Times New Roman"/>
          <w:i/>
        </w:rPr>
        <w:t>Elliott Associates</w:t>
      </w:r>
      <w:r w:rsidRPr="00E72418">
        <w:rPr>
          <w:rFonts w:ascii="Times New Roman" w:hAnsi="Times New Roman" w:cs="Times New Roman"/>
        </w:rPr>
        <w:t xml:space="preserve"> mobilisa </w:t>
      </w:r>
      <w:r w:rsidR="009A417B" w:rsidRPr="00E72418">
        <w:rPr>
          <w:rFonts w:ascii="Times New Roman" w:hAnsi="Times New Roman" w:cs="Times New Roman"/>
        </w:rPr>
        <w:t xml:space="preserve">à l’appui de sa demande </w:t>
      </w:r>
      <w:r w:rsidRPr="00E72418">
        <w:rPr>
          <w:rFonts w:ascii="Times New Roman" w:hAnsi="Times New Roman" w:cs="Times New Roman"/>
        </w:rPr>
        <w:t xml:space="preserve">l’argument de la clause </w:t>
      </w:r>
      <w:r w:rsidRPr="00E72418">
        <w:rPr>
          <w:rFonts w:ascii="Times New Roman" w:hAnsi="Times New Roman" w:cs="Times New Roman"/>
          <w:i/>
        </w:rPr>
        <w:t>pari passu</w:t>
      </w:r>
      <w:r w:rsidRPr="00E72418">
        <w:rPr>
          <w:rFonts w:ascii="Times New Roman" w:hAnsi="Times New Roman" w:cs="Times New Roman"/>
        </w:rPr>
        <w:t xml:space="preserve"> laquelle, reprise dans les contrats </w:t>
      </w:r>
      <w:r w:rsidR="009A417B" w:rsidRPr="00E72418">
        <w:rPr>
          <w:rFonts w:ascii="Times New Roman" w:hAnsi="Times New Roman" w:cs="Times New Roman"/>
        </w:rPr>
        <w:t>concernés</w:t>
      </w:r>
      <w:r w:rsidRPr="00E72418">
        <w:rPr>
          <w:rFonts w:ascii="Times New Roman" w:hAnsi="Times New Roman" w:cs="Times New Roman"/>
        </w:rPr>
        <w:t>, disposait que « [t]he obligations of the Guarantor hereunder do rank and will rank at least pari passu in priority of payment with all other External Indebtedness of the Guarantor, and interest thereon »</w:t>
      </w:r>
      <w:r w:rsidRPr="00E72418">
        <w:rPr>
          <w:rStyle w:val="Appelnotedebasdep"/>
          <w:rFonts w:ascii="Times New Roman" w:hAnsi="Times New Roman" w:cs="Times New Roman"/>
        </w:rPr>
        <w:footnoteReference w:id="946"/>
      </w:r>
      <w:r w:rsidRPr="00E72418">
        <w:rPr>
          <w:rFonts w:ascii="Times New Roman" w:hAnsi="Times New Roman" w:cs="Times New Roman"/>
        </w:rPr>
        <w:t xml:space="preserve">. </w:t>
      </w:r>
      <w:r w:rsidRPr="00E72418">
        <w:rPr>
          <w:rFonts w:cs="Times New Roman"/>
          <w:szCs w:val="24"/>
        </w:rPr>
        <w:t xml:space="preserve">La société créancière faisait </w:t>
      </w:r>
      <w:r w:rsidR="009A417B" w:rsidRPr="00E72418">
        <w:rPr>
          <w:rFonts w:cs="Times New Roman"/>
          <w:szCs w:val="24"/>
        </w:rPr>
        <w:t xml:space="preserve">par conséquent </w:t>
      </w:r>
      <w:r w:rsidRPr="00E72418">
        <w:rPr>
          <w:rFonts w:cs="Times New Roman"/>
          <w:szCs w:val="24"/>
        </w:rPr>
        <w:t>valoir que cette clause, outre la subordination légale qu’elle interdisait, empêchait la République du Pérou de régler ses créanciers ayant accepté la restructuration sans en faire de même au p</w:t>
      </w:r>
      <w:r w:rsidR="00674C1A" w:rsidRPr="00E72418">
        <w:rPr>
          <w:rFonts w:cs="Times New Roman"/>
          <w:szCs w:val="24"/>
        </w:rPr>
        <w:t xml:space="preserve">rofit de ceux l’ayant refusée. </w:t>
      </w:r>
      <w:r w:rsidR="00BC2ECD" w:rsidRPr="00E72418">
        <w:t>De l’avis d’</w:t>
      </w:r>
      <w:r w:rsidR="00BC2ECD" w:rsidRPr="00E72418">
        <w:rPr>
          <w:rFonts w:ascii="Times New Roman" w:hAnsi="Times New Roman" w:cs="Times New Roman"/>
          <w:i/>
        </w:rPr>
        <w:t>Elliott Associates</w:t>
      </w:r>
      <w:r w:rsidRPr="00E72418">
        <w:rPr>
          <w:rFonts w:cs="Times New Roman"/>
          <w:szCs w:val="24"/>
        </w:rPr>
        <w:t xml:space="preserve">, le paiement par le Pérou des </w:t>
      </w:r>
      <w:r w:rsidRPr="00E72418">
        <w:rPr>
          <w:rFonts w:cs="Times New Roman"/>
          <w:i/>
          <w:szCs w:val="24"/>
        </w:rPr>
        <w:t>Brady bonds</w:t>
      </w:r>
      <w:r w:rsidRPr="00E72418">
        <w:rPr>
          <w:rFonts w:cs="Times New Roman"/>
          <w:szCs w:val="24"/>
        </w:rPr>
        <w:t xml:space="preserve"> sans l’inclure constituait une violation du principe d’égalité de traitement entre les créanciers</w:t>
      </w:r>
      <w:r w:rsidR="00BC2ECD" w:rsidRPr="00E72418">
        <w:rPr>
          <w:rFonts w:cs="Times New Roman"/>
          <w:szCs w:val="24"/>
        </w:rPr>
        <w:t>, principe découlant de</w:t>
      </w:r>
      <w:r w:rsidRPr="00E72418">
        <w:rPr>
          <w:rFonts w:cs="Times New Roman"/>
          <w:szCs w:val="24"/>
        </w:rPr>
        <w:t xml:space="preserve"> la clause </w:t>
      </w:r>
      <w:r w:rsidRPr="00E72418">
        <w:rPr>
          <w:rFonts w:cs="Times New Roman"/>
          <w:i/>
          <w:szCs w:val="24"/>
        </w:rPr>
        <w:t>pari passu</w:t>
      </w:r>
      <w:r w:rsidRPr="00E72418">
        <w:rPr>
          <w:rStyle w:val="Appelnotedebasdep"/>
          <w:rFonts w:cs="Times New Roman"/>
          <w:szCs w:val="24"/>
        </w:rPr>
        <w:footnoteReference w:id="947"/>
      </w:r>
      <w:r w:rsidRPr="00E72418">
        <w:rPr>
          <w:rFonts w:cs="Times New Roman"/>
          <w:szCs w:val="24"/>
        </w:rPr>
        <w:t xml:space="preserve">. </w:t>
      </w:r>
    </w:p>
    <w:p w14:paraId="35AEA0B2" w14:textId="77777777" w:rsidR="001F689C" w:rsidRPr="00E72418" w:rsidRDefault="001F689C" w:rsidP="0054314B"/>
    <w:p w14:paraId="07579114" w14:textId="595704D3" w:rsidR="001F689C" w:rsidRPr="00E72418" w:rsidRDefault="007F038F" w:rsidP="00CC4BA8">
      <w:pPr>
        <w:spacing w:line="276" w:lineRule="auto"/>
        <w:rPr>
          <w:rFonts w:ascii="Times New Roman" w:hAnsi="Times New Roman" w:cs="Times New Roman"/>
          <w:szCs w:val="24"/>
        </w:rPr>
      </w:pPr>
      <w:r w:rsidRPr="00E72418">
        <w:rPr>
          <w:rFonts w:cs="Times New Roman"/>
          <w:b/>
          <w:szCs w:val="24"/>
        </w:rPr>
        <w:t>179</w:t>
      </w:r>
      <w:r w:rsidR="007E31CD" w:rsidRPr="00E72418">
        <w:rPr>
          <w:rFonts w:cs="Times New Roman"/>
          <w:b/>
          <w:szCs w:val="24"/>
        </w:rPr>
        <w:t xml:space="preserve">. </w:t>
      </w:r>
      <w:r w:rsidR="001F689C" w:rsidRPr="00E72418">
        <w:rPr>
          <w:rFonts w:cs="Times New Roman"/>
          <w:b/>
          <w:szCs w:val="24"/>
        </w:rPr>
        <w:t xml:space="preserve">La décision </w:t>
      </w:r>
      <w:r w:rsidR="001F689C" w:rsidRPr="00E72418">
        <w:rPr>
          <w:b/>
        </w:rPr>
        <w:t>–</w:t>
      </w:r>
      <w:r w:rsidR="001F689C" w:rsidRPr="00E72418">
        <w:rPr>
          <w:rFonts w:cs="Times New Roman"/>
          <w:b/>
          <w:szCs w:val="24"/>
        </w:rPr>
        <w:t xml:space="preserve"> </w:t>
      </w:r>
      <w:r w:rsidR="00462CD0" w:rsidRPr="00E72418">
        <w:rPr>
          <w:rFonts w:ascii="Times New Roman" w:hAnsi="Times New Roman" w:cs="Times New Roman"/>
          <w:szCs w:val="24"/>
        </w:rPr>
        <w:t>La c</w:t>
      </w:r>
      <w:r w:rsidR="001F689C" w:rsidRPr="00E72418">
        <w:rPr>
          <w:rFonts w:ascii="Times New Roman" w:hAnsi="Times New Roman" w:cs="Times New Roman"/>
          <w:szCs w:val="24"/>
        </w:rPr>
        <w:t>our d’appel de Bruxelles, qui eut à connaître de l’affaire</w:t>
      </w:r>
      <w:r w:rsidR="001F689C" w:rsidRPr="00E72418">
        <w:rPr>
          <w:rStyle w:val="Appelnotedebasdep"/>
          <w:rFonts w:ascii="Times New Roman" w:hAnsi="Times New Roman" w:cs="Times New Roman"/>
          <w:szCs w:val="24"/>
        </w:rPr>
        <w:footnoteReference w:id="948"/>
      </w:r>
      <w:r w:rsidR="0004079A" w:rsidRPr="00E72418">
        <w:rPr>
          <w:rFonts w:ascii="Times New Roman" w:hAnsi="Times New Roman" w:cs="Times New Roman"/>
          <w:szCs w:val="24"/>
        </w:rPr>
        <w:t>, décida qu’</w:t>
      </w:r>
      <w:r w:rsidR="001F689C" w:rsidRPr="00E72418">
        <w:rPr>
          <w:rFonts w:ascii="Times New Roman" w:hAnsi="Times New Roman" w:cs="Times New Roman"/>
          <w:szCs w:val="24"/>
        </w:rPr>
        <w:t xml:space="preserve"> « </w:t>
      </w:r>
      <w:r w:rsidR="00D927AB" w:rsidRPr="00E72418">
        <w:rPr>
          <w:szCs w:val="20"/>
          <w:lang w:val="en-US"/>
        </w:rPr>
        <w:t>[e]</w:t>
      </w:r>
      <w:r w:rsidR="00D927AB" w:rsidRPr="00E72418">
        <w:t xml:space="preserve">r blijkt uit de basisovereenkomst die de terugbetaling van de Peruviaanse buitenlandse schuld beheerst ook dat de verschillende schuldeisers genieten van de “pari passu-clausule”, die wezenlijk inhoudt dat de schuld op proportioneel gelijkmatige wijze wordt afgebouwd ten aanzien van alle schuldeisers. Hieruit lijkt te moeten worden besloten dat in geval van een </w:t>
      </w:r>
      <w:r w:rsidR="00D927AB" w:rsidRPr="00E72418">
        <w:lastRenderedPageBreak/>
        <w:t xml:space="preserve">intrestbetaling geen enkele schuldeiser kan </w:t>
      </w:r>
      <w:r w:rsidR="00D858EC" w:rsidRPr="00E72418">
        <w:rPr>
          <w:szCs w:val="20"/>
          <w:lang w:val="en-US"/>
        </w:rPr>
        <w:t xml:space="preserve">[van] </w:t>
      </w:r>
      <w:r w:rsidR="00D927AB" w:rsidRPr="00E72418">
        <w:t>zijn evenredig deel mag worden uitgesloten</w:t>
      </w:r>
      <w:r w:rsidR="001F689C" w:rsidRPr="00E72418">
        <w:rPr>
          <w:rFonts w:ascii="Times New Roman" w:hAnsi="Times New Roman" w:cs="Times New Roman"/>
          <w:szCs w:val="24"/>
        </w:rPr>
        <w:t> »</w:t>
      </w:r>
      <w:r w:rsidR="00640D13" w:rsidRPr="00E72418">
        <w:rPr>
          <w:rStyle w:val="Appelnotedebasdep"/>
          <w:rFonts w:ascii="Times New Roman" w:hAnsi="Times New Roman" w:cs="Times New Roman"/>
          <w:szCs w:val="24"/>
        </w:rPr>
        <w:footnoteReference w:id="949"/>
      </w:r>
      <w:r w:rsidR="001F689C" w:rsidRPr="00E72418">
        <w:rPr>
          <w:rFonts w:ascii="Times New Roman" w:hAnsi="Times New Roman" w:cs="Times New Roman"/>
          <w:szCs w:val="24"/>
        </w:rPr>
        <w:t xml:space="preserve">. </w:t>
      </w:r>
      <w:r w:rsidR="001F689C" w:rsidRPr="00E72418">
        <w:rPr>
          <w:rFonts w:cs="Times New Roman"/>
          <w:szCs w:val="24"/>
        </w:rPr>
        <w:t xml:space="preserve">L’interprétation bruxelloise de la clause </w:t>
      </w:r>
      <w:r w:rsidR="00634713" w:rsidRPr="00E72418">
        <w:rPr>
          <w:rFonts w:cs="Times New Roman"/>
          <w:i/>
          <w:szCs w:val="24"/>
        </w:rPr>
        <w:t>pari passu</w:t>
      </w:r>
      <w:r w:rsidR="00634713" w:rsidRPr="00E72418">
        <w:rPr>
          <w:rFonts w:cs="Times New Roman"/>
          <w:szCs w:val="24"/>
        </w:rPr>
        <w:t xml:space="preserve"> </w:t>
      </w:r>
      <w:r w:rsidR="001F689C" w:rsidRPr="00E72418">
        <w:rPr>
          <w:rFonts w:cs="Times New Roman"/>
          <w:szCs w:val="24"/>
        </w:rPr>
        <w:t>fut ainsi celle d’une égalité de paiement des créanci</w:t>
      </w:r>
      <w:r w:rsidR="00462CD0" w:rsidRPr="00E72418">
        <w:rPr>
          <w:rFonts w:cs="Times New Roman"/>
          <w:szCs w:val="24"/>
        </w:rPr>
        <w:t>ers en conséquence de quoi, la c</w:t>
      </w:r>
      <w:r w:rsidR="001F689C" w:rsidRPr="00E72418">
        <w:rPr>
          <w:rFonts w:cs="Times New Roman"/>
          <w:szCs w:val="24"/>
        </w:rPr>
        <w:t xml:space="preserve">our d’appel enjoignit </w:t>
      </w:r>
      <w:r w:rsidR="00634713" w:rsidRPr="00E72418">
        <w:rPr>
          <w:rFonts w:cs="Times New Roman"/>
          <w:szCs w:val="24"/>
        </w:rPr>
        <w:t xml:space="preserve">à </w:t>
      </w:r>
      <w:r w:rsidR="001F689C" w:rsidRPr="00E72418">
        <w:rPr>
          <w:rFonts w:ascii="Times New Roman" w:hAnsi="Times New Roman" w:cs="Times New Roman"/>
          <w:i/>
          <w:szCs w:val="24"/>
        </w:rPr>
        <w:t>Euroclear</w:t>
      </w:r>
      <w:r w:rsidR="00634713" w:rsidRPr="00E72418">
        <w:rPr>
          <w:rFonts w:ascii="Times New Roman" w:hAnsi="Times New Roman" w:cs="Times New Roman"/>
          <w:szCs w:val="24"/>
        </w:rPr>
        <w:t xml:space="preserve"> de ne pas participer au paiement</w:t>
      </w:r>
      <w:r w:rsidR="001F689C" w:rsidRPr="00E72418">
        <w:rPr>
          <w:rFonts w:ascii="Times New Roman" w:hAnsi="Times New Roman" w:cs="Times New Roman"/>
          <w:szCs w:val="24"/>
        </w:rPr>
        <w:t xml:space="preserve"> de certains créanciers péruviens. </w:t>
      </w:r>
      <w:r w:rsidR="00634713" w:rsidRPr="00E72418">
        <w:rPr>
          <w:rFonts w:ascii="Times New Roman" w:hAnsi="Times New Roman" w:cs="Times New Roman"/>
          <w:szCs w:val="24"/>
        </w:rPr>
        <w:t>S</w:t>
      </w:r>
      <w:r w:rsidR="00634713" w:rsidRPr="00E72418">
        <w:rPr>
          <w:rFonts w:cs="Times New Roman"/>
          <w:szCs w:val="24"/>
        </w:rPr>
        <w:t>oucieuse</w:t>
      </w:r>
      <w:r w:rsidR="001F689C" w:rsidRPr="00E72418">
        <w:rPr>
          <w:rFonts w:cs="Times New Roman"/>
          <w:szCs w:val="24"/>
        </w:rPr>
        <w:t xml:space="preserve"> de ne pas se </w:t>
      </w:r>
      <w:r w:rsidR="00634713" w:rsidRPr="00E72418">
        <w:rPr>
          <w:rFonts w:cs="Times New Roman"/>
          <w:szCs w:val="24"/>
        </w:rPr>
        <w:t>re</w:t>
      </w:r>
      <w:r w:rsidR="001F689C" w:rsidRPr="00E72418">
        <w:rPr>
          <w:rFonts w:cs="Times New Roman"/>
          <w:szCs w:val="24"/>
        </w:rPr>
        <w:t>trouver en défaut</w:t>
      </w:r>
      <w:r w:rsidR="00634713" w:rsidRPr="00E72418">
        <w:rPr>
          <w:rFonts w:cs="Times New Roman"/>
          <w:szCs w:val="24"/>
        </w:rPr>
        <w:t xml:space="preserve"> sur ses </w:t>
      </w:r>
      <w:r w:rsidR="00634713" w:rsidRPr="00E72418">
        <w:rPr>
          <w:rFonts w:cs="Times New Roman"/>
          <w:i/>
          <w:szCs w:val="24"/>
        </w:rPr>
        <w:t>Brady bonds</w:t>
      </w:r>
      <w:r w:rsidR="00634713" w:rsidRPr="00E72418">
        <w:rPr>
          <w:rFonts w:cs="Times New Roman"/>
          <w:szCs w:val="24"/>
        </w:rPr>
        <w:t>, la République du Pérou</w:t>
      </w:r>
      <w:r w:rsidR="001F689C" w:rsidRPr="00E72418">
        <w:rPr>
          <w:rFonts w:cs="Times New Roman"/>
          <w:szCs w:val="24"/>
        </w:rPr>
        <w:t xml:space="preserve"> n’eut d’autre choix que de désintéresser la société </w:t>
      </w:r>
      <w:r w:rsidR="001F689C" w:rsidRPr="00E72418">
        <w:rPr>
          <w:rFonts w:cs="Times New Roman"/>
          <w:i/>
          <w:szCs w:val="24"/>
        </w:rPr>
        <w:t>Elliott Associates</w:t>
      </w:r>
      <w:r w:rsidR="001F689C" w:rsidRPr="00E72418">
        <w:rPr>
          <w:rFonts w:cs="Times New Roman"/>
          <w:szCs w:val="24"/>
        </w:rPr>
        <w:t>.</w:t>
      </w:r>
    </w:p>
    <w:p w14:paraId="45655986" w14:textId="77777777" w:rsidR="001F689C" w:rsidRPr="00E72418" w:rsidRDefault="001F689C" w:rsidP="0054314B"/>
    <w:p w14:paraId="5C28386E" w14:textId="5A02E0F3" w:rsidR="001F689C" w:rsidRPr="00E72418" w:rsidRDefault="007F038F" w:rsidP="00CC4BA8">
      <w:pPr>
        <w:spacing w:line="276" w:lineRule="auto"/>
      </w:pPr>
      <w:r w:rsidRPr="00E72418">
        <w:rPr>
          <w:b/>
        </w:rPr>
        <w:t>180</w:t>
      </w:r>
      <w:r w:rsidR="007E31CD" w:rsidRPr="00E72418">
        <w:rPr>
          <w:b/>
        </w:rPr>
        <w:t xml:space="preserve">. </w:t>
      </w:r>
      <w:r w:rsidR="001F689C" w:rsidRPr="00E72418">
        <w:rPr>
          <w:b/>
        </w:rPr>
        <w:t xml:space="preserve">La critique – </w:t>
      </w:r>
      <w:r w:rsidR="001F689C" w:rsidRPr="00E72418">
        <w:t xml:space="preserve">Quoique </w:t>
      </w:r>
      <w:r w:rsidR="00761387" w:rsidRPr="00E72418">
        <w:t xml:space="preserve">le fait que </w:t>
      </w:r>
      <w:r w:rsidR="001F689C" w:rsidRPr="00E72418">
        <w:t xml:space="preserve">la décision ait été rendue </w:t>
      </w:r>
      <w:r w:rsidR="00D927AB" w:rsidRPr="00E72418">
        <w:t>sur requête unilatérale</w:t>
      </w:r>
      <w:r w:rsidR="001F689C" w:rsidRPr="00E72418">
        <w:t xml:space="preserve"> par une juridiction bruxelloise permettait à l’époque de douter d</w:t>
      </w:r>
      <w:r w:rsidR="00650677" w:rsidRPr="00E72418">
        <w:t>e sa force de précédent outre-At</w:t>
      </w:r>
      <w:r w:rsidR="001F689C" w:rsidRPr="00E72418">
        <w:t xml:space="preserve">lantique, il n’en demeure pas moins qu’elle fut la première décision à consacrer l’acception large de la clause </w:t>
      </w:r>
      <w:r w:rsidR="001F689C" w:rsidRPr="00E72418">
        <w:rPr>
          <w:i/>
        </w:rPr>
        <w:t>pari passu</w:t>
      </w:r>
      <w:r w:rsidR="001F689C" w:rsidRPr="00E72418">
        <w:rPr>
          <w:rStyle w:val="Appelnotedebasdep"/>
        </w:rPr>
        <w:footnoteReference w:id="950"/>
      </w:r>
      <w:r w:rsidR="001F689C" w:rsidRPr="00E72418">
        <w:t>.</w:t>
      </w:r>
      <w:r w:rsidR="00D927AB" w:rsidRPr="00E72418">
        <w:t xml:space="preserve"> </w:t>
      </w:r>
      <w:r w:rsidR="00B822FB" w:rsidRPr="00E72418">
        <w:t xml:space="preserve">Aussi, les termes utilisés par la cour d’appel (« lijkt te moeten worden ») doivent à notre sens conduire à relativiser le caractère péremptoire prêté </w:t>
      </w:r>
      <w:r w:rsidR="00761387" w:rsidRPr="00E72418">
        <w:t xml:space="preserve">par certains </w:t>
      </w:r>
      <w:r w:rsidR="00B822FB" w:rsidRPr="00E72418">
        <w:t>au propos</w:t>
      </w:r>
      <w:r w:rsidR="00B822FB" w:rsidRPr="00E72418">
        <w:rPr>
          <w:rStyle w:val="Appelnotedebasdep"/>
        </w:rPr>
        <w:footnoteReference w:id="951"/>
      </w:r>
      <w:r w:rsidR="00B822FB" w:rsidRPr="00E72418">
        <w:t>.</w:t>
      </w:r>
    </w:p>
    <w:p w14:paraId="0E09AA22" w14:textId="7614B0B3" w:rsidR="001F689C" w:rsidRPr="00E72418" w:rsidRDefault="00B822FB" w:rsidP="00CC4BA8">
      <w:pPr>
        <w:spacing w:line="276" w:lineRule="auto"/>
        <w:rPr>
          <w:rFonts w:cs="Times New Roman"/>
          <w:b/>
          <w:szCs w:val="24"/>
        </w:rPr>
      </w:pPr>
      <w:r w:rsidRPr="00E72418">
        <w:t>Quoi qu’il en soit, l</w:t>
      </w:r>
      <w:r w:rsidR="001F689C" w:rsidRPr="00E72418">
        <w:t xml:space="preserve">a </w:t>
      </w:r>
      <w:r w:rsidR="00634713" w:rsidRPr="00E72418">
        <w:t>jurisprudence</w:t>
      </w:r>
      <w:r w:rsidR="001F689C" w:rsidRPr="00E72418">
        <w:t xml:space="preserve"> bruxelloise reçut un accueil négatif de la part de la majorité de la doctrine </w:t>
      </w:r>
      <w:r w:rsidR="00634713" w:rsidRPr="00E72418">
        <w:t xml:space="preserve">en critiquant </w:t>
      </w:r>
      <w:r w:rsidR="001F689C" w:rsidRPr="00E72418">
        <w:t>vertement notamment son potentiel effet perturbateur des flux financiers</w:t>
      </w:r>
      <w:r w:rsidR="001F689C" w:rsidRPr="00E72418">
        <w:rPr>
          <w:rStyle w:val="Appelnotedebasdep"/>
          <w:rFonts w:cs="Times New Roman"/>
          <w:szCs w:val="24"/>
        </w:rPr>
        <w:footnoteReference w:id="952"/>
      </w:r>
      <w:r w:rsidR="001F689C" w:rsidRPr="00E72418">
        <w:t xml:space="preserve">. Aussi, en lien </w:t>
      </w:r>
      <w:r w:rsidR="00A43E16" w:rsidRPr="00E72418">
        <w:t xml:space="preserve">direct </w:t>
      </w:r>
      <w:r w:rsidR="001F689C" w:rsidRPr="00E72418">
        <w:t xml:space="preserve">avec notre étude, </w:t>
      </w:r>
      <w:r w:rsidR="00650677" w:rsidRPr="00E72418">
        <w:t>le pouvoir de nuisance ex</w:t>
      </w:r>
      <w:r w:rsidR="001F689C" w:rsidRPr="00E72418">
        <w:t>orbita</w:t>
      </w:r>
      <w:r w:rsidR="00B41CCF" w:rsidRPr="00E72418">
        <w:t>nt conféré aux fonds spéculant</w:t>
      </w:r>
      <w:r w:rsidR="001F689C" w:rsidRPr="00E72418">
        <w:t xml:space="preserve"> sur les dettes souveraines, et plus généralement aux créanciers récalcitrants, fut décrié. </w:t>
      </w:r>
      <w:r w:rsidR="001F689C" w:rsidRPr="00E72418">
        <w:rPr>
          <w:rFonts w:cs="Times New Roman"/>
          <w:szCs w:val="24"/>
        </w:rPr>
        <w:t xml:space="preserve">Pour </w:t>
      </w:r>
      <w:r w:rsidR="006907CE" w:rsidRPr="00E72418">
        <w:rPr>
          <w:rFonts w:cs="Times New Roman"/>
          <w:szCs w:val="24"/>
        </w:rPr>
        <w:t xml:space="preserve">Mitu </w:t>
      </w:r>
      <w:r w:rsidR="001F689C" w:rsidRPr="00E72418">
        <w:rPr>
          <w:rFonts w:cs="Times New Roman"/>
          <w:szCs w:val="24"/>
        </w:rPr>
        <w:t xml:space="preserve">Gulati et </w:t>
      </w:r>
      <w:r w:rsidR="006907CE" w:rsidRPr="00E72418">
        <w:rPr>
          <w:rFonts w:cs="Times New Roman"/>
          <w:szCs w:val="24"/>
        </w:rPr>
        <w:t xml:space="preserve">Kenneth </w:t>
      </w:r>
      <w:r w:rsidR="001F689C" w:rsidRPr="00E72418">
        <w:rPr>
          <w:rFonts w:cs="Times New Roman"/>
          <w:szCs w:val="24"/>
        </w:rPr>
        <w:t xml:space="preserve">Klee, « </w:t>
      </w:r>
      <w:r w:rsidR="001F689C" w:rsidRPr="00E72418">
        <w:rPr>
          <w:rFonts w:ascii="Times New Roman" w:hAnsi="Times New Roman" w:cs="Times New Roman"/>
        </w:rPr>
        <w:t>[w]</w:t>
      </w:r>
      <w:r w:rsidR="001F689C" w:rsidRPr="00E72418">
        <w:rPr>
          <w:rFonts w:cs="Times New Roman"/>
          <w:szCs w:val="24"/>
        </w:rPr>
        <w:t xml:space="preserve">hat the Brussels Opinion does is to put a large hammer in the hands of holdout creditors </w:t>
      </w:r>
      <w:r w:rsidR="001F689C" w:rsidRPr="00E72418">
        <w:rPr>
          <w:rFonts w:ascii="Times New Roman" w:hAnsi="Times New Roman" w:cs="Times New Roman"/>
        </w:rPr>
        <w:t>[…]</w:t>
      </w:r>
      <w:r w:rsidR="001F689C" w:rsidRPr="00E72418">
        <w:rPr>
          <w:rFonts w:cs="Times New Roman"/>
          <w:szCs w:val="24"/>
        </w:rPr>
        <w:t>, thereby enabling them to cause even more disruption in restructurings »</w:t>
      </w:r>
      <w:r w:rsidR="001F689C" w:rsidRPr="00E72418">
        <w:rPr>
          <w:rStyle w:val="Appelnotedebasdep"/>
          <w:rFonts w:cs="Times New Roman"/>
          <w:szCs w:val="24"/>
        </w:rPr>
        <w:footnoteReference w:id="953"/>
      </w:r>
      <w:r w:rsidR="001F689C" w:rsidRPr="00E72418">
        <w:rPr>
          <w:rFonts w:cs="Times New Roman"/>
          <w:szCs w:val="24"/>
        </w:rPr>
        <w:t>.</w:t>
      </w:r>
    </w:p>
    <w:p w14:paraId="23D0897C" w14:textId="77777777" w:rsidR="001F689C" w:rsidRPr="00E72418" w:rsidRDefault="001F689C" w:rsidP="0054314B"/>
    <w:p w14:paraId="484C5151" w14:textId="56A8CACE" w:rsidR="00CC59AB" w:rsidRPr="00E72418" w:rsidRDefault="007F038F" w:rsidP="00CC4BA8">
      <w:pPr>
        <w:spacing w:line="276" w:lineRule="auto"/>
      </w:pPr>
      <w:r w:rsidRPr="00E72418">
        <w:rPr>
          <w:rStyle w:val="Emphaseple"/>
          <w:b/>
          <w:i w:val="0"/>
          <w:iCs w:val="0"/>
          <w:color w:val="auto"/>
        </w:rPr>
        <w:t>181</w:t>
      </w:r>
      <w:r w:rsidR="007E31CD" w:rsidRPr="00E72418">
        <w:rPr>
          <w:rStyle w:val="Emphaseple"/>
          <w:b/>
          <w:i w:val="0"/>
          <w:iCs w:val="0"/>
          <w:color w:val="auto"/>
        </w:rPr>
        <w:t xml:space="preserve">. </w:t>
      </w:r>
      <w:r w:rsidR="001F689C" w:rsidRPr="00E72418">
        <w:rPr>
          <w:rStyle w:val="Emphaseple"/>
          <w:b/>
          <w:i w:val="0"/>
          <w:iCs w:val="0"/>
          <w:color w:val="auto"/>
        </w:rPr>
        <w:t xml:space="preserve">Les invocations postérieures inopérantes </w:t>
      </w:r>
      <w:r w:rsidR="001F689C" w:rsidRPr="00E72418">
        <w:rPr>
          <w:b/>
        </w:rPr>
        <w:t xml:space="preserve">– </w:t>
      </w:r>
      <w:r w:rsidR="001F689C" w:rsidRPr="00E72418">
        <w:t xml:space="preserve">Après le succès remarqué de la société </w:t>
      </w:r>
      <w:r w:rsidR="001F689C" w:rsidRPr="00E72418">
        <w:rPr>
          <w:i/>
        </w:rPr>
        <w:t>Elliott Associates</w:t>
      </w:r>
      <w:r w:rsidR="001F689C" w:rsidRPr="00E72418">
        <w:t xml:space="preserve"> et la conscience ainsi prise de l’efficacité de la clause </w:t>
      </w:r>
      <w:r w:rsidR="001F689C" w:rsidRPr="00E72418">
        <w:rPr>
          <w:i/>
        </w:rPr>
        <w:t>pari passu</w:t>
      </w:r>
      <w:r w:rsidR="00575A97" w:rsidRPr="00E72418">
        <w:rPr>
          <w:rStyle w:val="Appelnotedebasdep"/>
        </w:rPr>
        <w:footnoteReference w:id="954"/>
      </w:r>
      <w:r w:rsidR="001F689C" w:rsidRPr="00E72418">
        <w:t xml:space="preserve">, d’autres créanciers de débiteurs souverains entreprirent de faire usage de la même stratégie sans toutefois </w:t>
      </w:r>
      <w:r w:rsidR="005B1BE1" w:rsidRPr="00E72418">
        <w:t xml:space="preserve">toujours </w:t>
      </w:r>
      <w:r w:rsidR="001F689C" w:rsidRPr="00E72418">
        <w:t>connaître le même succès</w:t>
      </w:r>
      <w:r w:rsidR="001F689C" w:rsidRPr="00E72418">
        <w:rPr>
          <w:rStyle w:val="Appelnotedebasdep"/>
          <w:rFonts w:cs="Times New Roman"/>
          <w:szCs w:val="24"/>
        </w:rPr>
        <w:footnoteReference w:id="955"/>
      </w:r>
      <w:r w:rsidR="005B1BE1" w:rsidRPr="00E72418">
        <w:t>. Sans doute l’explication des</w:t>
      </w:r>
      <w:r w:rsidR="007C7B1A" w:rsidRPr="00E72418">
        <w:t xml:space="preserve"> hésitations et des</w:t>
      </w:r>
      <w:r w:rsidR="005B1BE1" w:rsidRPr="00E72418">
        <w:t xml:space="preserve"> </w:t>
      </w:r>
      <w:r w:rsidR="001F689C" w:rsidRPr="00E72418">
        <w:lastRenderedPageBreak/>
        <w:t xml:space="preserve">échecs peut-elle être trouvée </w:t>
      </w:r>
      <w:r w:rsidR="00AC5578" w:rsidRPr="00E72418">
        <w:t>pour</w:t>
      </w:r>
      <w:r w:rsidR="001F689C" w:rsidRPr="00E72418">
        <w:t xml:space="preserve"> partie dans le fait qu’aucun consensus n’émergea en doctrine quant au sens précis à donne</w:t>
      </w:r>
      <w:r w:rsidR="00AC5578" w:rsidRPr="00E72418">
        <w:t>r à la clause rendant l’argumen</w:t>
      </w:r>
      <w:r w:rsidR="001F689C" w:rsidRPr="00E72418">
        <w:t>t non péremptoire</w:t>
      </w:r>
      <w:r w:rsidR="001F689C" w:rsidRPr="00E72418">
        <w:rPr>
          <w:rStyle w:val="Appelnotedebasdep"/>
          <w:rFonts w:cs="Times New Roman"/>
          <w:szCs w:val="24"/>
        </w:rPr>
        <w:footnoteReference w:id="956"/>
      </w:r>
      <w:r w:rsidR="001F689C" w:rsidRPr="00E72418">
        <w:t>.</w:t>
      </w:r>
    </w:p>
    <w:p w14:paraId="66816EAB" w14:textId="6E69938E" w:rsidR="001F689C" w:rsidRPr="00E72418" w:rsidRDefault="00CC59AB" w:rsidP="00CC4BA8">
      <w:pPr>
        <w:spacing w:line="276" w:lineRule="auto"/>
      </w:pPr>
      <w:r w:rsidRPr="00E72418">
        <w:rPr>
          <w:rFonts w:cs="Times New Roman"/>
          <w:szCs w:val="24"/>
        </w:rPr>
        <w:t xml:space="preserve">Ainsi, par exemple, </w:t>
      </w:r>
      <w:r w:rsidR="0003221B" w:rsidRPr="00E72418">
        <w:rPr>
          <w:rFonts w:cs="Times New Roman"/>
          <w:szCs w:val="24"/>
        </w:rPr>
        <w:t>d</w:t>
      </w:r>
      <w:r w:rsidR="001F689C" w:rsidRPr="00E72418">
        <w:rPr>
          <w:rFonts w:cs="Times New Roman"/>
          <w:szCs w:val="24"/>
        </w:rPr>
        <w:t xml:space="preserve">ans l’affaire opposant la société </w:t>
      </w:r>
      <w:r w:rsidR="001F689C" w:rsidRPr="00E72418">
        <w:rPr>
          <w:rFonts w:ascii="Times New Roman" w:hAnsi="Times New Roman" w:cs="Times New Roman"/>
          <w:i/>
        </w:rPr>
        <w:t xml:space="preserve">LNC Investments Inc. </w:t>
      </w:r>
      <w:r w:rsidR="001F689C" w:rsidRPr="00E72418">
        <w:rPr>
          <w:rFonts w:ascii="Times New Roman" w:hAnsi="Times New Roman" w:cs="Times New Roman"/>
        </w:rPr>
        <w:t>à la</w:t>
      </w:r>
      <w:r w:rsidR="001F689C" w:rsidRPr="00E72418">
        <w:rPr>
          <w:rFonts w:cs="Times New Roman"/>
          <w:szCs w:val="24"/>
        </w:rPr>
        <w:t xml:space="preserve"> République du Nicaragua, le créancier </w:t>
      </w:r>
      <w:r w:rsidR="00E53780" w:rsidRPr="00E72418">
        <w:rPr>
          <w:rFonts w:ascii="Times New Roman" w:hAnsi="Times New Roman" w:cs="Times New Roman"/>
          <w:szCs w:val="24"/>
        </w:rPr>
        <w:t>chercha à bloquer</w:t>
      </w:r>
      <w:r w:rsidR="001F689C" w:rsidRPr="00E72418">
        <w:rPr>
          <w:rFonts w:ascii="Times New Roman" w:hAnsi="Times New Roman" w:cs="Times New Roman"/>
          <w:szCs w:val="24"/>
        </w:rPr>
        <w:t xml:space="preserve"> l’argent transitant par </w:t>
      </w:r>
      <w:r w:rsidR="001F689C" w:rsidRPr="00E72418">
        <w:rPr>
          <w:rFonts w:ascii="Times New Roman" w:hAnsi="Times New Roman" w:cs="Times New Roman"/>
          <w:i/>
          <w:szCs w:val="24"/>
        </w:rPr>
        <w:t>Euroclear</w:t>
      </w:r>
      <w:r w:rsidR="00AC5578" w:rsidRPr="00E72418">
        <w:rPr>
          <w:rFonts w:ascii="Times New Roman" w:hAnsi="Times New Roman" w:cs="Times New Roman"/>
          <w:szCs w:val="24"/>
        </w:rPr>
        <w:t xml:space="preserve"> </w:t>
      </w:r>
      <w:r w:rsidR="000446B7" w:rsidRPr="00E72418">
        <w:rPr>
          <w:rFonts w:ascii="Times New Roman" w:hAnsi="Times New Roman" w:cs="Times New Roman"/>
          <w:szCs w:val="24"/>
        </w:rPr>
        <w:t xml:space="preserve">et </w:t>
      </w:r>
      <w:r w:rsidR="001F689C" w:rsidRPr="00E72418">
        <w:rPr>
          <w:rFonts w:ascii="Times New Roman" w:hAnsi="Times New Roman" w:cs="Times New Roman"/>
          <w:szCs w:val="24"/>
        </w:rPr>
        <w:t>destiné à payer les créanciers ayant accepté la restructuration nicaraguayenne. Par une décision du 25 juillet 2003</w:t>
      </w:r>
      <w:r w:rsidR="00E53780" w:rsidRPr="00E72418">
        <w:rPr>
          <w:rFonts w:ascii="Times New Roman" w:hAnsi="Times New Roman" w:cs="Times New Roman"/>
          <w:szCs w:val="24"/>
        </w:rPr>
        <w:t>,</w:t>
      </w:r>
      <w:r w:rsidR="001F689C" w:rsidRPr="00E72418">
        <w:rPr>
          <w:rFonts w:ascii="Times New Roman" w:hAnsi="Times New Roman" w:cs="Times New Roman"/>
          <w:szCs w:val="24"/>
        </w:rPr>
        <w:t xml:space="preserve"> </w:t>
      </w:r>
      <w:r w:rsidR="00E53780" w:rsidRPr="00E72418">
        <w:rPr>
          <w:rFonts w:ascii="Times New Roman" w:hAnsi="Times New Roman" w:cs="Times New Roman"/>
          <w:szCs w:val="24"/>
        </w:rPr>
        <w:t xml:space="preserve">le </w:t>
      </w:r>
      <w:r w:rsidR="001F689C" w:rsidRPr="00E72418">
        <w:rPr>
          <w:rFonts w:ascii="Times New Roman" w:hAnsi="Times New Roman" w:cs="Times New Roman"/>
          <w:szCs w:val="24"/>
        </w:rPr>
        <w:t>président du tribunal de commerce de Bruxelles</w:t>
      </w:r>
      <w:r w:rsidR="00E53780" w:rsidRPr="00E72418">
        <w:rPr>
          <w:rFonts w:ascii="Times New Roman" w:hAnsi="Times New Roman" w:cs="Times New Roman"/>
          <w:szCs w:val="24"/>
        </w:rPr>
        <w:t xml:space="preserve"> fit droit à la demande</w:t>
      </w:r>
      <w:r w:rsidR="001F689C" w:rsidRPr="00E72418">
        <w:rPr>
          <w:rFonts w:ascii="Times New Roman" w:hAnsi="Times New Roman" w:cs="Times New Roman"/>
          <w:szCs w:val="24"/>
        </w:rPr>
        <w:t xml:space="preserve">. L’affaire fut ensuite soumise au tribunal de commerce de Bruxelles qui, par une décision du 11 septembre 2003, refusa de retirer l’injonction au motif que les paiements intervenus au profit des créanciers ayant accepté l’échange sans en faire de même au profit de </w:t>
      </w:r>
      <w:r w:rsidR="001F689C" w:rsidRPr="00E72418">
        <w:rPr>
          <w:rFonts w:ascii="Times New Roman" w:hAnsi="Times New Roman" w:cs="Times New Roman"/>
          <w:i/>
        </w:rPr>
        <w:t xml:space="preserve">LNC Investments Inc. </w:t>
      </w:r>
      <w:r w:rsidR="001F689C" w:rsidRPr="00E72418">
        <w:rPr>
          <w:rFonts w:ascii="Times New Roman" w:hAnsi="Times New Roman" w:cs="Times New Roman"/>
          <w:szCs w:val="24"/>
        </w:rPr>
        <w:t xml:space="preserve">consistait en une violation de la clause </w:t>
      </w:r>
      <w:r w:rsidR="001F689C" w:rsidRPr="00E72418">
        <w:rPr>
          <w:rFonts w:ascii="Times New Roman" w:hAnsi="Times New Roman" w:cs="Times New Roman"/>
          <w:i/>
          <w:szCs w:val="24"/>
        </w:rPr>
        <w:t>pari passu</w:t>
      </w:r>
      <w:r w:rsidR="001F689C" w:rsidRPr="00E72418">
        <w:rPr>
          <w:rFonts w:ascii="Times New Roman" w:hAnsi="Times New Roman" w:cs="Times New Roman"/>
          <w:szCs w:val="24"/>
        </w:rPr>
        <w:t>. La juridiction se fondait n</w:t>
      </w:r>
      <w:r w:rsidR="00462CD0" w:rsidRPr="00E72418">
        <w:rPr>
          <w:rFonts w:ascii="Times New Roman" w:hAnsi="Times New Roman" w:cs="Times New Roman"/>
          <w:szCs w:val="24"/>
        </w:rPr>
        <w:t>otamment sur la décision de la c</w:t>
      </w:r>
      <w:r w:rsidR="001F689C" w:rsidRPr="00E72418">
        <w:rPr>
          <w:rFonts w:ascii="Times New Roman" w:hAnsi="Times New Roman" w:cs="Times New Roman"/>
          <w:szCs w:val="24"/>
        </w:rPr>
        <w:t>our d’appel de Bruxelles du 26 septembre 2000</w:t>
      </w:r>
      <w:r w:rsidR="001F689C" w:rsidRPr="00E72418">
        <w:rPr>
          <w:rStyle w:val="Appelnotedebasdep"/>
          <w:rFonts w:ascii="Times New Roman" w:hAnsi="Times New Roman" w:cs="Times New Roman"/>
          <w:szCs w:val="24"/>
        </w:rPr>
        <w:footnoteReference w:id="957"/>
      </w:r>
      <w:r w:rsidR="004060B7" w:rsidRPr="00E72418">
        <w:rPr>
          <w:rFonts w:ascii="Times New Roman" w:hAnsi="Times New Roman" w:cs="Times New Roman"/>
          <w:szCs w:val="24"/>
          <w:vertAlign w:val="superscript"/>
        </w:rPr>
        <w:t>,</w:t>
      </w:r>
      <w:r w:rsidR="004060B7" w:rsidRPr="00E72418">
        <w:rPr>
          <w:rStyle w:val="Appelnotedebasdep"/>
          <w:rFonts w:ascii="Times New Roman" w:hAnsi="Times New Roman" w:cs="Times New Roman"/>
          <w:szCs w:val="24"/>
        </w:rPr>
        <w:footnoteReference w:id="958"/>
      </w:r>
      <w:r w:rsidR="001F689C" w:rsidRPr="00E72418">
        <w:rPr>
          <w:rFonts w:ascii="Times New Roman" w:hAnsi="Times New Roman" w:cs="Times New Roman"/>
          <w:szCs w:val="24"/>
        </w:rPr>
        <w:t xml:space="preserve">. </w:t>
      </w:r>
      <w:r w:rsidR="001F689C" w:rsidRPr="00E72418">
        <w:rPr>
          <w:rFonts w:cs="Times New Roman"/>
          <w:szCs w:val="24"/>
        </w:rPr>
        <w:t>Par une déc</w:t>
      </w:r>
      <w:r w:rsidR="00462CD0" w:rsidRPr="00E72418">
        <w:rPr>
          <w:rFonts w:cs="Times New Roman"/>
          <w:szCs w:val="24"/>
        </w:rPr>
        <w:t>ision du 19 mars 2004, la c</w:t>
      </w:r>
      <w:r w:rsidR="001F689C" w:rsidRPr="00E72418">
        <w:rPr>
          <w:rFonts w:cs="Times New Roman"/>
          <w:szCs w:val="24"/>
        </w:rPr>
        <w:t xml:space="preserve">our d’appel de Bruxelles </w:t>
      </w:r>
      <w:r w:rsidRPr="00E72418">
        <w:rPr>
          <w:rFonts w:cs="Times New Roman"/>
          <w:szCs w:val="24"/>
        </w:rPr>
        <w:t xml:space="preserve">ne s’engagea pas dans une discussion de la portée de la clause </w:t>
      </w:r>
      <w:r w:rsidRPr="00E72418">
        <w:rPr>
          <w:rFonts w:cs="Times New Roman"/>
          <w:i/>
          <w:szCs w:val="24"/>
        </w:rPr>
        <w:t>pari passu</w:t>
      </w:r>
      <w:r w:rsidRPr="00E72418">
        <w:rPr>
          <w:rFonts w:cs="Times New Roman"/>
          <w:szCs w:val="24"/>
        </w:rPr>
        <w:t>, dont elle indiqua au demeurant que l’interprétation donnée par le créancier était « sérieusement contestée », mais retint simplemen</w:t>
      </w:r>
      <w:r w:rsidR="00AD7212" w:rsidRPr="00E72418">
        <w:rPr>
          <w:rFonts w:cs="Times New Roman"/>
          <w:szCs w:val="24"/>
        </w:rPr>
        <w:t>t que</w:t>
      </w:r>
      <w:r w:rsidRPr="00E72418">
        <w:rPr>
          <w:rFonts w:cs="Times New Roman"/>
          <w:szCs w:val="24"/>
        </w:rPr>
        <w:t xml:space="preserve"> la société </w:t>
      </w:r>
      <w:r w:rsidR="001F689C" w:rsidRPr="00E72418">
        <w:rPr>
          <w:rFonts w:cs="Times New Roman"/>
          <w:i/>
          <w:szCs w:val="24"/>
        </w:rPr>
        <w:t>Euroclear</w:t>
      </w:r>
      <w:r w:rsidR="001F689C" w:rsidRPr="00E72418">
        <w:rPr>
          <w:rFonts w:cs="Times New Roman"/>
          <w:szCs w:val="24"/>
        </w:rPr>
        <w:t xml:space="preserve"> n’éta</w:t>
      </w:r>
      <w:r w:rsidRPr="00E72418">
        <w:rPr>
          <w:rFonts w:cs="Times New Roman"/>
          <w:szCs w:val="24"/>
        </w:rPr>
        <w:t>it</w:t>
      </w:r>
      <w:r w:rsidR="001F689C" w:rsidRPr="00E72418">
        <w:rPr>
          <w:rFonts w:cs="Times New Roman"/>
          <w:szCs w:val="24"/>
        </w:rPr>
        <w:t xml:space="preserve"> pas partie au contrat comportant la</w:t>
      </w:r>
      <w:r w:rsidRPr="00E72418">
        <w:rPr>
          <w:rFonts w:cs="Times New Roman"/>
          <w:szCs w:val="24"/>
        </w:rPr>
        <w:t>dite</w:t>
      </w:r>
      <w:r w:rsidR="001F689C" w:rsidRPr="00E72418">
        <w:rPr>
          <w:rFonts w:cs="Times New Roman"/>
          <w:szCs w:val="24"/>
        </w:rPr>
        <w:t xml:space="preserve"> clause </w:t>
      </w:r>
      <w:r w:rsidR="000446B7" w:rsidRPr="00E72418">
        <w:rPr>
          <w:rFonts w:cs="Times New Roman"/>
          <w:szCs w:val="24"/>
        </w:rPr>
        <w:t xml:space="preserve">et qu’elle n’eut su </w:t>
      </w:r>
      <w:r w:rsidR="001F689C" w:rsidRPr="00E72418">
        <w:rPr>
          <w:rFonts w:cs="Times New Roman"/>
          <w:szCs w:val="24"/>
        </w:rPr>
        <w:t xml:space="preserve">ainsi </w:t>
      </w:r>
      <w:r w:rsidR="000446B7" w:rsidRPr="00E72418">
        <w:rPr>
          <w:rFonts w:cs="Times New Roman"/>
          <w:szCs w:val="24"/>
        </w:rPr>
        <w:t xml:space="preserve">la </w:t>
      </w:r>
      <w:r w:rsidR="001F689C" w:rsidRPr="00E72418">
        <w:rPr>
          <w:rFonts w:cs="Times New Roman"/>
          <w:szCs w:val="24"/>
        </w:rPr>
        <w:t>méconnaître</w:t>
      </w:r>
      <w:r w:rsidRPr="00E72418">
        <w:rPr>
          <w:rFonts w:cs="Times New Roman"/>
          <w:szCs w:val="24"/>
        </w:rPr>
        <w:t xml:space="preserve">, la juridiction rappelant </w:t>
      </w:r>
      <w:r w:rsidR="001F62BE" w:rsidRPr="00E72418">
        <w:rPr>
          <w:rFonts w:cs="Times New Roman"/>
          <w:szCs w:val="24"/>
        </w:rPr>
        <w:t xml:space="preserve">notamment </w:t>
      </w:r>
      <w:r w:rsidRPr="00E72418">
        <w:rPr>
          <w:rFonts w:cs="Times New Roman"/>
          <w:szCs w:val="24"/>
        </w:rPr>
        <w:t>que le principe de la relativité des contrats s’oppose à toute mesure faisant d’un tiers le garant de l’exécution d’un contrat</w:t>
      </w:r>
      <w:r w:rsidR="001F689C" w:rsidRPr="00E72418">
        <w:rPr>
          <w:rStyle w:val="Appelnotedebasdep"/>
          <w:rFonts w:cs="Times New Roman"/>
          <w:szCs w:val="24"/>
        </w:rPr>
        <w:footnoteReference w:id="959"/>
      </w:r>
      <w:r w:rsidR="00296241" w:rsidRPr="00E72418">
        <w:rPr>
          <w:rFonts w:cs="Times New Roman"/>
          <w:szCs w:val="24"/>
        </w:rPr>
        <w:t>.</w:t>
      </w:r>
      <w:r w:rsidRPr="00E72418">
        <w:rPr>
          <w:szCs w:val="20"/>
          <w:lang w:val="en-US"/>
        </w:rPr>
        <w:t xml:space="preserve"> Comme le relève </w:t>
      </w:r>
      <w:r w:rsidR="00CC15FF" w:rsidRPr="00E72418">
        <w:rPr>
          <w:szCs w:val="20"/>
          <w:lang w:val="en-US"/>
        </w:rPr>
        <w:t xml:space="preserve">Patrick </w:t>
      </w:r>
      <w:r w:rsidRPr="00E72418">
        <w:rPr>
          <w:szCs w:val="20"/>
          <w:lang w:val="en-US"/>
        </w:rPr>
        <w:t>Wautelet, « [w]ith this ruling, it appears that the Court of Appeal, without overturning directly the previously accepted interpretation of the pari passu clause, has in effect blocked all attempts to use this interpretation »</w:t>
      </w:r>
      <w:r w:rsidRPr="00E72418">
        <w:rPr>
          <w:rStyle w:val="Appelnotedebasdep"/>
          <w:szCs w:val="20"/>
          <w:lang w:val="en-US"/>
        </w:rPr>
        <w:footnoteReference w:id="960"/>
      </w:r>
      <w:r w:rsidRPr="00E72418">
        <w:rPr>
          <w:szCs w:val="20"/>
          <w:lang w:val="en-US"/>
        </w:rPr>
        <w:t>.</w:t>
      </w:r>
    </w:p>
    <w:p w14:paraId="4AB79960" w14:textId="77777777" w:rsidR="001F689C" w:rsidRPr="00E72418" w:rsidRDefault="001F689C" w:rsidP="0054314B"/>
    <w:p w14:paraId="0083C9B3" w14:textId="4E560708" w:rsidR="001F689C" w:rsidRPr="00E72418" w:rsidRDefault="000764CE" w:rsidP="00CC4BA8">
      <w:pPr>
        <w:pStyle w:val="EE"/>
        <w:spacing w:line="276" w:lineRule="auto"/>
        <w:jc w:val="both"/>
        <w:rPr>
          <w:rStyle w:val="Emphaseple"/>
          <w:i w:val="0"/>
          <w:iCs w:val="0"/>
          <w:color w:val="auto"/>
        </w:rPr>
      </w:pPr>
      <w:bookmarkStart w:id="214" w:name="_Toc59280938"/>
      <w:bookmarkStart w:id="215" w:name="_Toc84540926"/>
      <w:r w:rsidRPr="00E72418">
        <w:rPr>
          <w:rStyle w:val="Emphaseple"/>
          <w:i w:val="0"/>
          <w:iCs w:val="0"/>
          <w:color w:val="auto"/>
        </w:rPr>
        <w:t xml:space="preserve">Sous-section 2 : </w:t>
      </w:r>
      <w:r w:rsidR="001F689C" w:rsidRPr="00E72418">
        <w:rPr>
          <w:rStyle w:val="Emphaseple"/>
          <w:i w:val="0"/>
          <w:iCs w:val="0"/>
          <w:color w:val="auto"/>
        </w:rPr>
        <w:t>L’injonction new-yorkaise de 2012</w:t>
      </w:r>
      <w:bookmarkEnd w:id="214"/>
      <w:bookmarkEnd w:id="215"/>
    </w:p>
    <w:p w14:paraId="4187D7AA" w14:textId="77777777" w:rsidR="009F5812" w:rsidRPr="00E72418" w:rsidRDefault="009F5812" w:rsidP="0054314B">
      <w:pPr>
        <w:rPr>
          <w:rStyle w:val="Emphaseple"/>
          <w:i w:val="0"/>
          <w:iCs w:val="0"/>
          <w:color w:val="auto"/>
        </w:rPr>
      </w:pPr>
    </w:p>
    <w:p w14:paraId="02430E43" w14:textId="6059C741" w:rsidR="001F689C" w:rsidRPr="00E72418" w:rsidRDefault="007F038F" w:rsidP="00CC4BA8">
      <w:pPr>
        <w:spacing w:line="276" w:lineRule="auto"/>
      </w:pPr>
      <w:r w:rsidRPr="00E72418">
        <w:rPr>
          <w:b/>
        </w:rPr>
        <w:t>182</w:t>
      </w:r>
      <w:r w:rsidR="007E31CD" w:rsidRPr="00E72418">
        <w:rPr>
          <w:b/>
        </w:rPr>
        <w:t xml:space="preserve">. </w:t>
      </w:r>
      <w:r w:rsidR="00650677" w:rsidRPr="00E72418">
        <w:rPr>
          <w:b/>
        </w:rPr>
        <w:t>La ré</w:t>
      </w:r>
      <w:r w:rsidR="001F689C" w:rsidRPr="00E72418">
        <w:rPr>
          <w:b/>
        </w:rPr>
        <w:t>surgence –</w:t>
      </w:r>
      <w:r w:rsidR="001F689C" w:rsidRPr="00E72418">
        <w:t xml:space="preserve"> La mobilisation de la clause </w:t>
      </w:r>
      <w:r w:rsidR="001F689C" w:rsidRPr="00E72418">
        <w:rPr>
          <w:i/>
        </w:rPr>
        <w:t>pari passu</w:t>
      </w:r>
      <w:r w:rsidR="001F689C" w:rsidRPr="00E72418">
        <w:t xml:space="preserve"> par les fonds spéculatifs connut, depuis l’arrêt bruxellois remarqué de 2000, son point d’orgue à l’occasion du contentieux ayant opposé de longues années durant la société </w:t>
      </w:r>
      <w:r w:rsidR="001F689C" w:rsidRPr="00E72418">
        <w:rPr>
          <w:i/>
        </w:rPr>
        <w:t>NML Capital Ltd.</w:t>
      </w:r>
      <w:r w:rsidR="00787D04" w:rsidRPr="00E72418">
        <w:t xml:space="preserve"> à la République argentine. </w:t>
      </w:r>
      <w:r w:rsidR="001F689C" w:rsidRPr="00E72418">
        <w:t>La société avançait que l’</w:t>
      </w:r>
      <w:r w:rsidR="001F689C" w:rsidRPr="00E72418">
        <w:rPr>
          <w:lang w:eastAsia="fr-BE"/>
        </w:rPr>
        <w:t>É</w:t>
      </w:r>
      <w:r w:rsidR="001F689C" w:rsidRPr="00E72418">
        <w:t xml:space="preserve">tat débiteur ne respectait pas la clause </w:t>
      </w:r>
      <w:r w:rsidR="001F689C" w:rsidRPr="00E72418">
        <w:rPr>
          <w:i/>
        </w:rPr>
        <w:t xml:space="preserve">pari passu </w:t>
      </w:r>
      <w:r w:rsidR="001F689C" w:rsidRPr="00E72418">
        <w:t xml:space="preserve">contenue dans le </w:t>
      </w:r>
      <w:r w:rsidR="001F689C" w:rsidRPr="00E72418">
        <w:rPr>
          <w:i/>
        </w:rPr>
        <w:t>Fiscal Agency Agreement</w:t>
      </w:r>
      <w:r w:rsidR="001F689C" w:rsidRPr="00E72418">
        <w:t xml:space="preserve"> régissant les titres qu’elle détenait lorsqu’il effectuait des paiements au profit des créanciers ayant accepté les restructurations de 2005 et 2010 sans en faire de même </w:t>
      </w:r>
      <w:r w:rsidR="001F689C" w:rsidRPr="00E72418">
        <w:lastRenderedPageBreak/>
        <w:t>à son profit</w:t>
      </w:r>
      <w:r w:rsidR="002C57CA" w:rsidRPr="00E72418">
        <w:rPr>
          <w:rStyle w:val="Appelnotedebasdep"/>
        </w:rPr>
        <w:footnoteReference w:id="961"/>
      </w:r>
      <w:r w:rsidR="001F689C" w:rsidRPr="00E72418">
        <w:t xml:space="preserve">. </w:t>
      </w:r>
      <w:r w:rsidR="001F689C" w:rsidRPr="00E72418">
        <w:rPr>
          <w:i/>
        </w:rPr>
        <w:t>NML Capital Ltd.</w:t>
      </w:r>
      <w:r w:rsidR="001F689C" w:rsidRPr="00E72418">
        <w:t xml:space="preserve"> retenait qu’en vertu de la clause, l’Argentine était tenue de payer ses c</w:t>
      </w:r>
      <w:r w:rsidR="00787D04" w:rsidRPr="00E72418">
        <w:t xml:space="preserve">réanciers de façon égalitaire. </w:t>
      </w:r>
      <w:r w:rsidR="001F689C" w:rsidRPr="00E72418">
        <w:t xml:space="preserve">De part adverse, il était défendu que la clause </w:t>
      </w:r>
      <w:r w:rsidR="001F689C" w:rsidRPr="00E72418">
        <w:rPr>
          <w:i/>
        </w:rPr>
        <w:t>pari passu</w:t>
      </w:r>
      <w:r w:rsidR="001F689C" w:rsidRPr="00E72418">
        <w:t xml:space="preserve"> n’était rien d’autre qu’une clause standard qui, dans le contexte des dettes souveraines, « has been universally understood for over 50 years </w:t>
      </w:r>
      <w:r w:rsidR="001F689C" w:rsidRPr="00E72418">
        <w:rPr>
          <w:rFonts w:ascii="Times New Roman" w:hAnsi="Times New Roman"/>
        </w:rPr>
        <w:t>[…]</w:t>
      </w:r>
      <w:r w:rsidR="001F689C" w:rsidRPr="00E72418">
        <w:t xml:space="preserve"> to provide protection from </w:t>
      </w:r>
      <w:r w:rsidR="001F689C" w:rsidRPr="00E72418">
        <w:rPr>
          <w:i/>
          <w:iCs/>
        </w:rPr>
        <w:t xml:space="preserve">legal subordination </w:t>
      </w:r>
      <w:r w:rsidR="001F689C" w:rsidRPr="00E72418">
        <w:t xml:space="preserve">or other discriminatory </w:t>
      </w:r>
      <w:r w:rsidR="001F689C" w:rsidRPr="00E72418">
        <w:rPr>
          <w:i/>
          <w:iCs/>
        </w:rPr>
        <w:t xml:space="preserve">legal ranking </w:t>
      </w:r>
      <w:r w:rsidR="001F689C" w:rsidRPr="00E72418">
        <w:t xml:space="preserve">by preventing the creation of </w:t>
      </w:r>
      <w:r w:rsidR="001F689C" w:rsidRPr="00E72418">
        <w:rPr>
          <w:i/>
          <w:iCs/>
        </w:rPr>
        <w:t xml:space="preserve">legal priorities </w:t>
      </w:r>
      <w:r w:rsidR="001F689C" w:rsidRPr="00E72418">
        <w:t>by the sovereign in favor of creditors holding particular classes of debt »</w:t>
      </w:r>
      <w:r w:rsidR="001F689C" w:rsidRPr="00E72418">
        <w:rPr>
          <w:rStyle w:val="Appelnotedebasdep"/>
          <w:rFonts w:cs="Times New Roman"/>
          <w:szCs w:val="24"/>
        </w:rPr>
        <w:footnoteReference w:id="962"/>
      </w:r>
      <w:r w:rsidR="001F689C" w:rsidRPr="00E72418">
        <w:t>. De l’avis de la République</w:t>
      </w:r>
      <w:r w:rsidR="00787D04" w:rsidRPr="00E72418">
        <w:t xml:space="preserve"> débitrice</w:t>
      </w:r>
      <w:r w:rsidR="001F689C" w:rsidRPr="00E72418">
        <w:t xml:space="preserve">, aucune subordination légale n’intervenait </w:t>
      </w:r>
      <w:r w:rsidR="001F689C" w:rsidRPr="00E72418">
        <w:rPr>
          <w:i/>
        </w:rPr>
        <w:t>in casu</w:t>
      </w:r>
      <w:r w:rsidR="00787D04" w:rsidRPr="00E72418">
        <w:t xml:space="preserve"> de sorte qu’aucune méconnaissance de la clause ne </w:t>
      </w:r>
      <w:r w:rsidR="001F689C" w:rsidRPr="00E72418">
        <w:t>pouvait lui être reproché</w:t>
      </w:r>
      <w:r w:rsidR="00787D04" w:rsidRPr="00E72418">
        <w:t>e</w:t>
      </w:r>
      <w:r w:rsidR="001F689C" w:rsidRPr="00E72418">
        <w:t>.</w:t>
      </w:r>
    </w:p>
    <w:p w14:paraId="6F3DFABA" w14:textId="77777777" w:rsidR="0091693F" w:rsidRPr="00E72418" w:rsidRDefault="0091693F" w:rsidP="00CC4BA8">
      <w:pPr>
        <w:spacing w:line="276" w:lineRule="auto"/>
      </w:pPr>
    </w:p>
    <w:p w14:paraId="0C30EDD6" w14:textId="67681AF2" w:rsidR="001F689C" w:rsidRPr="00E72418" w:rsidRDefault="007F038F" w:rsidP="00CC4BA8">
      <w:pPr>
        <w:spacing w:line="276" w:lineRule="auto"/>
      </w:pPr>
      <w:r w:rsidRPr="00E72418">
        <w:rPr>
          <w:b/>
        </w:rPr>
        <w:t>183</w:t>
      </w:r>
      <w:r w:rsidR="007E31CD" w:rsidRPr="00E72418">
        <w:rPr>
          <w:b/>
        </w:rPr>
        <w:t xml:space="preserve">. </w:t>
      </w:r>
      <w:r w:rsidR="001F689C" w:rsidRPr="00E72418">
        <w:rPr>
          <w:b/>
        </w:rPr>
        <w:t xml:space="preserve">La violation de la clause </w:t>
      </w:r>
      <w:r w:rsidR="001F689C" w:rsidRPr="00E72418">
        <w:rPr>
          <w:b/>
          <w:i/>
        </w:rPr>
        <w:t>pari passu</w:t>
      </w:r>
      <w:r w:rsidR="001F689C" w:rsidRPr="00E72418">
        <w:rPr>
          <w:b/>
        </w:rPr>
        <w:t xml:space="preserve"> – </w:t>
      </w:r>
      <w:r w:rsidR="001F689C" w:rsidRPr="00E72418">
        <w:t xml:space="preserve">Dans une première décision du 7 décembre 2011, la </w:t>
      </w:r>
      <w:r w:rsidR="00C6627B">
        <w:t xml:space="preserve">United States </w:t>
      </w:r>
      <w:r w:rsidR="001F689C" w:rsidRPr="00C6627B">
        <w:t>District Court for the Southern District of New York</w:t>
      </w:r>
      <w:r w:rsidR="001F689C" w:rsidRPr="00E72418">
        <w:t xml:space="preserve">, </w:t>
      </w:r>
      <w:r w:rsidR="005B6A73" w:rsidRPr="00E72418">
        <w:t xml:space="preserve">incarnée par le </w:t>
      </w:r>
      <w:r w:rsidR="001F689C" w:rsidRPr="00E72418">
        <w:t xml:space="preserve">juge </w:t>
      </w:r>
      <w:r w:rsidR="006361CE" w:rsidRPr="00E72418">
        <w:t xml:space="preserve">Thomas </w:t>
      </w:r>
      <w:r w:rsidR="001F689C" w:rsidRPr="00E72418">
        <w:t xml:space="preserve">Griesa, lut la clause </w:t>
      </w:r>
      <w:r w:rsidR="001F689C" w:rsidRPr="00E72418">
        <w:rPr>
          <w:i/>
        </w:rPr>
        <w:t>pari passu</w:t>
      </w:r>
      <w:r w:rsidR="001F689C" w:rsidRPr="00E72418">
        <w:t xml:space="preserve"> comme interdisant à l’Argentine de discriminer ses créanciers selon qu’ils avaient ou non accepté les restructurations de 2005 et 2010</w:t>
      </w:r>
      <w:r w:rsidR="001F689C" w:rsidRPr="00E72418">
        <w:rPr>
          <w:rStyle w:val="Appelnotedebasdep"/>
          <w:rFonts w:cs="Times New Roman"/>
          <w:szCs w:val="24"/>
        </w:rPr>
        <w:footnoteReference w:id="963"/>
      </w:r>
      <w:r w:rsidR="001F689C" w:rsidRPr="00E72418">
        <w:t xml:space="preserve">. La </w:t>
      </w:r>
      <w:r w:rsidR="00787D04" w:rsidRPr="00E72418">
        <w:t>juridiction</w:t>
      </w:r>
      <w:r w:rsidR="001F689C" w:rsidRPr="00E72418">
        <w:t xml:space="preserve"> décida que le pays violait la clause en payant les obligations restructurées sans en faire de même </w:t>
      </w:r>
      <w:r w:rsidR="00787D04" w:rsidRPr="00E72418">
        <w:t>avec</w:t>
      </w:r>
      <w:r w:rsidR="001F689C" w:rsidRPr="00E72418">
        <w:t xml:space="preserve"> les obligations non restructurées</w:t>
      </w:r>
      <w:r w:rsidR="001F689C" w:rsidRPr="00E72418">
        <w:rPr>
          <w:rStyle w:val="Appelnotedebasdep"/>
          <w:rFonts w:cs="Times New Roman"/>
          <w:szCs w:val="24"/>
        </w:rPr>
        <w:footnoteReference w:id="964"/>
      </w:r>
      <w:r w:rsidR="003D13B2">
        <w:t>. La c</w:t>
      </w:r>
      <w:r w:rsidR="001F689C" w:rsidRPr="00E72418">
        <w:t xml:space="preserve">our new-yorkaise était d’avis que la clause </w:t>
      </w:r>
      <w:r w:rsidR="001F689C" w:rsidRPr="00E72418">
        <w:rPr>
          <w:i/>
        </w:rPr>
        <w:t>pari passu</w:t>
      </w:r>
      <w:r w:rsidR="001F689C" w:rsidRPr="00E72418">
        <w:t xml:space="preserve"> était violée par les </w:t>
      </w:r>
      <w:r w:rsidR="001F689C" w:rsidRPr="00E72418">
        <w:rPr>
          <w:i/>
        </w:rPr>
        <w:t>Lock Laws</w:t>
      </w:r>
      <w:r w:rsidR="001F689C" w:rsidRPr="00E72418">
        <w:t xml:space="preserve"> adoptées </w:t>
      </w:r>
      <w:r w:rsidR="00787D04" w:rsidRPr="00E72418">
        <w:t xml:space="preserve">par le débiteur souverain </w:t>
      </w:r>
      <w:r w:rsidR="001F689C" w:rsidRPr="00E72418">
        <w:t>qui interdisaient que des accords soient passés relativement aux obligations non échangées lors des restructurations</w:t>
      </w:r>
      <w:r w:rsidR="001F689C" w:rsidRPr="00E72418">
        <w:rPr>
          <w:rStyle w:val="Appelnotedebasdep"/>
          <w:rFonts w:cs="Times New Roman"/>
          <w:szCs w:val="24"/>
        </w:rPr>
        <w:footnoteReference w:id="965"/>
      </w:r>
      <w:r w:rsidR="00E91E70" w:rsidRPr="00E72418">
        <w:rPr>
          <w:vertAlign w:val="superscript"/>
        </w:rPr>
        <w:t>,</w:t>
      </w:r>
      <w:r w:rsidR="001F689C" w:rsidRPr="00E72418">
        <w:rPr>
          <w:rStyle w:val="Appelnotedebasdep"/>
          <w:rFonts w:cs="Times New Roman"/>
          <w:szCs w:val="24"/>
        </w:rPr>
        <w:footnoteReference w:id="966"/>
      </w:r>
      <w:r w:rsidR="001F689C" w:rsidRPr="00E72418">
        <w:t>.</w:t>
      </w:r>
    </w:p>
    <w:p w14:paraId="4C20E8B5" w14:textId="77777777" w:rsidR="001F689C" w:rsidRPr="00E72418" w:rsidRDefault="001F689C" w:rsidP="0054314B"/>
    <w:p w14:paraId="258C49E9" w14:textId="6610D0BF" w:rsidR="001F689C" w:rsidRPr="00E72418" w:rsidRDefault="007F038F" w:rsidP="00CC4BA8">
      <w:pPr>
        <w:spacing w:line="276" w:lineRule="auto"/>
      </w:pPr>
      <w:r w:rsidRPr="00E72418">
        <w:rPr>
          <w:b/>
        </w:rPr>
        <w:t>184</w:t>
      </w:r>
      <w:r w:rsidR="007E31CD" w:rsidRPr="00E72418">
        <w:rPr>
          <w:b/>
        </w:rPr>
        <w:t xml:space="preserve">. </w:t>
      </w:r>
      <w:r w:rsidR="001F689C" w:rsidRPr="00E72418">
        <w:rPr>
          <w:b/>
        </w:rPr>
        <w:t xml:space="preserve">L’interdiction de paiement – </w:t>
      </w:r>
      <w:r w:rsidR="00CA1A77" w:rsidRPr="00E72418">
        <w:t xml:space="preserve">Dans la foulée de sa décision de </w:t>
      </w:r>
      <w:r w:rsidR="001F689C" w:rsidRPr="00E72418">
        <w:t xml:space="preserve">décembre 2011, par une décision très remarquée du 23 février 2012, la </w:t>
      </w:r>
      <w:r w:rsidR="00735BBE">
        <w:t xml:space="preserve">United States </w:t>
      </w:r>
      <w:r w:rsidR="001F689C" w:rsidRPr="00735BBE">
        <w:t xml:space="preserve">District Court for the Southern District of New York </w:t>
      </w:r>
      <w:r w:rsidR="00CA1A77" w:rsidRPr="00E72418">
        <w:t xml:space="preserve">rendit à l’initiative de la société </w:t>
      </w:r>
      <w:r w:rsidR="00CA1A77" w:rsidRPr="00E72418">
        <w:rPr>
          <w:i/>
        </w:rPr>
        <w:t xml:space="preserve">NML Capital Ltd. </w:t>
      </w:r>
      <w:r w:rsidR="001F689C" w:rsidRPr="00E72418">
        <w:t xml:space="preserve">une injonction permanente interdisant à la République argentine d’effectuer des paiements au profit de ses créanciers ayant accepté les restructurations sans en faire de même au profit des créanciers </w:t>
      </w:r>
      <w:r w:rsidR="00CA1A77" w:rsidRPr="00E72418">
        <w:t xml:space="preserve">les ayant refusées. </w:t>
      </w:r>
      <w:r w:rsidR="001F689C" w:rsidRPr="00E72418">
        <w:t>La juridiction new-yorkaise décida ainsi que « </w:t>
      </w:r>
      <w:r w:rsidR="001F689C" w:rsidRPr="00E72418">
        <w:rPr>
          <w:rFonts w:ascii="Times New Roman" w:hAnsi="Times New Roman"/>
        </w:rPr>
        <w:t>[w]</w:t>
      </w:r>
      <w:r w:rsidR="001F689C" w:rsidRPr="00E72418">
        <w:t xml:space="preserve">henever the Republic pays any amount due under the terms of the bonds or other obligations issued pursuant to the Republic’s 2005 or 2010 Exchange Offers </w:t>
      </w:r>
      <w:r w:rsidR="001F689C" w:rsidRPr="00E72418">
        <w:rPr>
          <w:rFonts w:ascii="Times New Roman" w:hAnsi="Times New Roman"/>
        </w:rPr>
        <w:t>[…]</w:t>
      </w:r>
      <w:r w:rsidR="001F689C" w:rsidRPr="00E72418">
        <w:t xml:space="preserve"> the Republic shall concurrently or in advance make a “Ratable Payment” to NML »</w:t>
      </w:r>
      <w:r w:rsidR="001F689C" w:rsidRPr="00E72418">
        <w:rPr>
          <w:rStyle w:val="Appelnotedebasdep"/>
          <w:rFonts w:cs="Times New Roman"/>
          <w:szCs w:val="24"/>
        </w:rPr>
        <w:footnoteReference w:id="967"/>
      </w:r>
      <w:r w:rsidR="001F689C" w:rsidRPr="00E72418">
        <w:t>.</w:t>
      </w:r>
    </w:p>
    <w:p w14:paraId="11FC478A" w14:textId="5B860940" w:rsidR="001F689C" w:rsidRPr="00E72418" w:rsidRDefault="001F689C" w:rsidP="00CC4BA8">
      <w:pPr>
        <w:spacing w:line="276" w:lineRule="auto"/>
      </w:pPr>
      <w:r w:rsidRPr="00E72418">
        <w:t xml:space="preserve">Afin de renforcer l’injonction, la </w:t>
      </w:r>
      <w:r w:rsidR="00735BBE">
        <w:t xml:space="preserve">United States </w:t>
      </w:r>
      <w:r w:rsidRPr="00735BBE">
        <w:t>District Court for the Southern District of New York</w:t>
      </w:r>
      <w:r w:rsidRPr="00E72418">
        <w:t xml:space="preserve"> décida que les termes de sa décision s’appliquaient à « all parties involved, directly or indirectly, in advising upon, preparing, processing, or facilitating any payment on the Exchange Bonds </w:t>
      </w:r>
      <w:r w:rsidRPr="00E72418">
        <w:rPr>
          <w:rFonts w:ascii="Times New Roman" w:hAnsi="Times New Roman"/>
        </w:rPr>
        <w:t xml:space="preserve">[…] </w:t>
      </w:r>
      <w:r w:rsidRPr="00E72418">
        <w:t>»</w:t>
      </w:r>
      <w:r w:rsidRPr="00E72418">
        <w:rPr>
          <w:rStyle w:val="Appelnotedebasdep"/>
          <w:rFonts w:cs="Times New Roman"/>
          <w:szCs w:val="24"/>
        </w:rPr>
        <w:footnoteReference w:id="968"/>
      </w:r>
      <w:r w:rsidR="0080345D" w:rsidRPr="00E72418">
        <w:rPr>
          <w:vertAlign w:val="superscript"/>
        </w:rPr>
        <w:t>,</w:t>
      </w:r>
      <w:r w:rsidR="0080345D" w:rsidRPr="00E72418">
        <w:rPr>
          <w:rStyle w:val="Appelnotedebasdep"/>
        </w:rPr>
        <w:footnoteReference w:id="969"/>
      </w:r>
      <w:r w:rsidRPr="00E72418">
        <w:t xml:space="preserve">. Ces parties étaient </w:t>
      </w:r>
      <w:r w:rsidR="00CA1A77" w:rsidRPr="00E72418">
        <w:t xml:space="preserve">ainsi </w:t>
      </w:r>
      <w:r w:rsidRPr="00E72418">
        <w:t>« prohibited from aiding and abetting any violation of the order, including any further violation by the Republic of its obligations under Paragraph 1(c) of the FAA, such as any effort to make payments under the terms of the Exchange Bonds without also concurrently or in advance making a Ratable Payment to NML »</w:t>
      </w:r>
      <w:r w:rsidRPr="00E72418">
        <w:rPr>
          <w:rStyle w:val="Appelnotedebasdep"/>
          <w:rFonts w:cs="Times New Roman"/>
          <w:szCs w:val="24"/>
        </w:rPr>
        <w:footnoteReference w:id="970"/>
      </w:r>
      <w:r w:rsidRPr="00E72418">
        <w:t>.</w:t>
      </w:r>
      <w:r w:rsidR="004A113E" w:rsidRPr="00E72418">
        <w:t xml:space="preserve"> </w:t>
      </w:r>
      <w:r w:rsidR="00496B0A" w:rsidRPr="00E72418">
        <w:t>Cette portée de l’injonction renforcée par la crainte des pa</w:t>
      </w:r>
      <w:r w:rsidR="00980455" w:rsidRPr="00E72418">
        <w:t xml:space="preserve">rties visées de se trouver en </w:t>
      </w:r>
      <w:r w:rsidR="00496B0A" w:rsidRPr="00E72418">
        <w:rPr>
          <w:i/>
        </w:rPr>
        <w:t>contempt of court</w:t>
      </w:r>
      <w:r w:rsidR="00496B0A" w:rsidRPr="00E72418">
        <w:t xml:space="preserve"> participa indéniablement à son efficacité.</w:t>
      </w:r>
    </w:p>
    <w:p w14:paraId="16512F16" w14:textId="77777777" w:rsidR="001F689C" w:rsidRPr="00E72418" w:rsidRDefault="001F689C" w:rsidP="0054314B"/>
    <w:p w14:paraId="43880A13" w14:textId="756ECEBA" w:rsidR="001F689C" w:rsidRPr="00E72418" w:rsidRDefault="007F038F" w:rsidP="00CC4BA8">
      <w:pPr>
        <w:spacing w:line="276" w:lineRule="auto"/>
        <w:rPr>
          <w:rFonts w:cs="Times New Roman"/>
          <w:szCs w:val="24"/>
        </w:rPr>
      </w:pPr>
      <w:r w:rsidRPr="00E72418">
        <w:rPr>
          <w:rFonts w:cs="Times New Roman"/>
          <w:b/>
          <w:szCs w:val="24"/>
        </w:rPr>
        <w:t>185</w:t>
      </w:r>
      <w:r w:rsidR="007E31CD" w:rsidRPr="00E72418">
        <w:rPr>
          <w:rFonts w:cs="Times New Roman"/>
          <w:b/>
          <w:szCs w:val="24"/>
        </w:rPr>
        <w:t xml:space="preserve">. </w:t>
      </w:r>
      <w:r w:rsidR="001F689C" w:rsidRPr="00E72418">
        <w:rPr>
          <w:rFonts w:cs="Times New Roman"/>
          <w:b/>
          <w:szCs w:val="24"/>
        </w:rPr>
        <w:t>Les considérants –</w:t>
      </w:r>
      <w:r w:rsidR="001F689C" w:rsidRPr="00E72418">
        <w:rPr>
          <w:rFonts w:cs="Times New Roman"/>
          <w:szCs w:val="24"/>
        </w:rPr>
        <w:t xml:space="preserve"> La décision portant l’injonction se justifiait, </w:t>
      </w:r>
      <w:r w:rsidR="00CA1A77" w:rsidRPr="00E72418">
        <w:rPr>
          <w:rFonts w:cs="Times New Roman"/>
          <w:szCs w:val="24"/>
        </w:rPr>
        <w:t>de l’avis de</w:t>
      </w:r>
      <w:r w:rsidR="001F689C" w:rsidRPr="00E72418">
        <w:rPr>
          <w:rFonts w:cs="Times New Roman"/>
          <w:szCs w:val="24"/>
        </w:rPr>
        <w:t xml:space="preserve"> la juridiction, par le fait que « NML is irreparably harmed by and has no adequate remedy at law for the Republic’s ongoing violations of Paragraph 1(c) of the FAA, and that the equities and public interest strongly support issuance of equitable relief to prevent the Republic from further violating Paragraph 1(c) of the FAA »</w:t>
      </w:r>
      <w:r w:rsidR="001F689C" w:rsidRPr="00E72418">
        <w:rPr>
          <w:rStyle w:val="Appelnotedebasdep"/>
          <w:rFonts w:cs="Times New Roman"/>
          <w:szCs w:val="24"/>
        </w:rPr>
        <w:footnoteReference w:id="971"/>
      </w:r>
      <w:r w:rsidR="001F689C" w:rsidRPr="00E72418">
        <w:rPr>
          <w:rFonts w:cs="Times New Roman"/>
          <w:szCs w:val="24"/>
        </w:rPr>
        <w:t xml:space="preserve">. La </w:t>
      </w:r>
      <w:r w:rsidR="00735BBE">
        <w:rPr>
          <w:rFonts w:cs="Times New Roman"/>
          <w:szCs w:val="24"/>
        </w:rPr>
        <w:t xml:space="preserve">United States </w:t>
      </w:r>
      <w:r w:rsidR="001F689C" w:rsidRPr="00735BBE">
        <w:rPr>
          <w:rFonts w:cs="Times New Roman"/>
          <w:szCs w:val="24"/>
        </w:rPr>
        <w:t>District Court for the Southern District of New York</w:t>
      </w:r>
      <w:r w:rsidR="001F689C" w:rsidRPr="00E72418">
        <w:rPr>
          <w:rFonts w:cs="Times New Roman"/>
          <w:szCs w:val="24"/>
        </w:rPr>
        <w:t xml:space="preserve"> pointait l’absence de régime de faillite pour les </w:t>
      </w:r>
      <w:r w:rsidR="001F689C" w:rsidRPr="00E72418">
        <w:rPr>
          <w:lang w:eastAsia="fr-BE"/>
        </w:rPr>
        <w:t>É</w:t>
      </w:r>
      <w:r w:rsidR="001F689C" w:rsidRPr="00E72418">
        <w:rPr>
          <w:rFonts w:cs="Times New Roman"/>
          <w:szCs w:val="24"/>
        </w:rPr>
        <w:t>tats en difficulté et les conséquences de cette absence sur leurs créanciers. Ainsi, la décision précisait que « </w:t>
      </w:r>
      <w:r w:rsidR="001F689C" w:rsidRPr="00E72418">
        <w:rPr>
          <w:rFonts w:ascii="Times New Roman" w:hAnsi="Times New Roman" w:cs="Times New Roman"/>
        </w:rPr>
        <w:t>[t]</w:t>
      </w:r>
      <w:r w:rsidR="001F689C" w:rsidRPr="00E72418">
        <w:rPr>
          <w:rFonts w:cs="Times New Roman"/>
          <w:szCs w:val="24"/>
        </w:rPr>
        <w:t xml:space="preserve">he </w:t>
      </w:r>
      <w:r w:rsidR="001F689C" w:rsidRPr="00E72418">
        <w:rPr>
          <w:rFonts w:cs="Times New Roman"/>
          <w:szCs w:val="24"/>
        </w:rPr>
        <w:lastRenderedPageBreak/>
        <w:t>public interest of enforcing contracts and upholding the rule of law will be served by the issuance of this Order, particularly here, where creditors of the Republic have no recourse to bankruptcy regimes to protect their interests and must rely upon courts to enforce contractual promises »</w:t>
      </w:r>
      <w:r w:rsidR="001F689C" w:rsidRPr="00E72418">
        <w:rPr>
          <w:rStyle w:val="Appelnotedebasdep"/>
          <w:rFonts w:cs="Times New Roman"/>
          <w:szCs w:val="24"/>
        </w:rPr>
        <w:footnoteReference w:id="972"/>
      </w:r>
      <w:r w:rsidR="001F689C" w:rsidRPr="00E72418">
        <w:rPr>
          <w:rFonts w:cs="Times New Roman"/>
          <w:szCs w:val="24"/>
        </w:rPr>
        <w:t>.</w:t>
      </w:r>
    </w:p>
    <w:p w14:paraId="54F765C0" w14:textId="77777777" w:rsidR="001F689C" w:rsidRPr="00E72418" w:rsidRDefault="001F689C" w:rsidP="00CC4BA8">
      <w:pPr>
        <w:spacing w:line="276" w:lineRule="auto"/>
        <w:rPr>
          <w:rFonts w:cs="Times New Roman"/>
          <w:szCs w:val="24"/>
        </w:rPr>
      </w:pPr>
      <w:r w:rsidRPr="00E72418">
        <w:rPr>
          <w:rFonts w:cs="Times New Roman"/>
          <w:szCs w:val="24"/>
        </w:rPr>
        <w:t>La Cour new-yorkaise justifiait son recours à une telle injonction en raison de l’intention de la République argentine de s’opposer à tout jugement financier rendu à son encontre</w:t>
      </w:r>
      <w:r w:rsidRPr="00E72418">
        <w:rPr>
          <w:rStyle w:val="Appelnotedebasdep"/>
          <w:rFonts w:cs="Times New Roman"/>
          <w:szCs w:val="24"/>
        </w:rPr>
        <w:footnoteReference w:id="973"/>
      </w:r>
      <w:r w:rsidRPr="00E72418">
        <w:rPr>
          <w:rFonts w:cs="Times New Roman"/>
          <w:szCs w:val="24"/>
        </w:rPr>
        <w:t>. La juridiction faisait encore valoir que le pays débiteur avait les moyens financiers suffisants d’honore</w:t>
      </w:r>
      <w:r w:rsidR="00CA1A77" w:rsidRPr="00E72418">
        <w:rPr>
          <w:rFonts w:cs="Times New Roman"/>
          <w:szCs w:val="24"/>
        </w:rPr>
        <w:t>r l’ensemble de ses engagements</w:t>
      </w:r>
      <w:r w:rsidRPr="00E72418">
        <w:rPr>
          <w:rFonts w:cs="Times New Roman"/>
          <w:szCs w:val="24"/>
        </w:rPr>
        <w:t xml:space="preserve"> qu’ils aient ou non </w:t>
      </w:r>
      <w:r w:rsidR="00CA1A77" w:rsidRPr="00E72418">
        <w:rPr>
          <w:rFonts w:cs="Times New Roman"/>
          <w:szCs w:val="24"/>
        </w:rPr>
        <w:t>été restructurés</w:t>
      </w:r>
      <w:r w:rsidRPr="00E72418">
        <w:rPr>
          <w:rFonts w:cs="Times New Roman"/>
          <w:szCs w:val="24"/>
        </w:rPr>
        <w:t>.</w:t>
      </w:r>
    </w:p>
    <w:p w14:paraId="32075157" w14:textId="77777777" w:rsidR="001F689C" w:rsidRPr="00E72418" w:rsidRDefault="001F689C" w:rsidP="0054314B"/>
    <w:p w14:paraId="5DC8413C" w14:textId="25D7BDC8" w:rsidR="001F689C" w:rsidRPr="00E72418" w:rsidRDefault="007F038F" w:rsidP="00CC4BA8">
      <w:pPr>
        <w:spacing w:line="276" w:lineRule="auto"/>
      </w:pPr>
      <w:r w:rsidRPr="00E72418">
        <w:rPr>
          <w:b/>
        </w:rPr>
        <w:t>186</w:t>
      </w:r>
      <w:r w:rsidR="007E31CD" w:rsidRPr="00E72418">
        <w:rPr>
          <w:b/>
        </w:rPr>
        <w:t xml:space="preserve">. </w:t>
      </w:r>
      <w:r w:rsidR="001F689C" w:rsidRPr="00E72418">
        <w:rPr>
          <w:b/>
        </w:rPr>
        <w:t xml:space="preserve">La confirmation en appel </w:t>
      </w:r>
      <w:r w:rsidR="001F689C" w:rsidRPr="00E72418">
        <w:rPr>
          <w:rFonts w:ascii="Times New Roman" w:hAnsi="Times New Roman"/>
          <w:b/>
        </w:rPr>
        <w:t>–</w:t>
      </w:r>
      <w:r w:rsidR="001F689C" w:rsidRPr="00E72418">
        <w:rPr>
          <w:b/>
        </w:rPr>
        <w:t xml:space="preserve"> </w:t>
      </w:r>
      <w:r w:rsidR="001F689C" w:rsidRPr="00E72418">
        <w:t xml:space="preserve">La </w:t>
      </w:r>
      <w:r w:rsidR="00735BBE">
        <w:t xml:space="preserve">United States </w:t>
      </w:r>
      <w:r w:rsidR="001F689C" w:rsidRPr="00735BBE">
        <w:t>Court of Appeals for the Second Circuit</w:t>
      </w:r>
      <w:r w:rsidR="001F689C" w:rsidRPr="00E72418">
        <w:t xml:space="preserve"> fut saisie de la contestation de </w:t>
      </w:r>
      <w:r w:rsidR="00E45598" w:rsidRPr="00E72418">
        <w:t>l’injonction. Comme elle l’analysa</w:t>
      </w:r>
      <w:r w:rsidR="001F689C" w:rsidRPr="00E72418">
        <w:t xml:space="preserve">, « the real dispute is over what constitutes subordination under the </w:t>
      </w:r>
      <w:r w:rsidR="001F689C" w:rsidRPr="00E72418">
        <w:rPr>
          <w:i/>
        </w:rPr>
        <w:t>Pari Passu</w:t>
      </w:r>
      <w:r w:rsidR="001F689C" w:rsidRPr="00E72418">
        <w:t xml:space="preserve"> Clause »</w:t>
      </w:r>
      <w:r w:rsidR="001F689C" w:rsidRPr="00E72418">
        <w:rPr>
          <w:rStyle w:val="Appelnotedebasdep"/>
          <w:rFonts w:cs="Times New Roman"/>
          <w:szCs w:val="24"/>
        </w:rPr>
        <w:footnoteReference w:id="974"/>
      </w:r>
      <w:r w:rsidR="001F689C" w:rsidRPr="00E72418">
        <w:t>. Par une d</w:t>
      </w:r>
      <w:r w:rsidR="00462CD0" w:rsidRPr="00E72418">
        <w:t>écision du 26 octobre 2012, la c</w:t>
      </w:r>
      <w:r w:rsidR="001F689C" w:rsidRPr="00E72418">
        <w:t xml:space="preserve">our d’appel confirma la décision suivant l’interprétation de la clause </w:t>
      </w:r>
      <w:r w:rsidR="001F689C" w:rsidRPr="00E72418">
        <w:rPr>
          <w:i/>
        </w:rPr>
        <w:t>pari passu</w:t>
      </w:r>
      <w:r w:rsidR="001F689C" w:rsidRPr="00E72418">
        <w:t xml:space="preserve"> donnée en première instance. Elle </w:t>
      </w:r>
      <w:r w:rsidR="00E45598" w:rsidRPr="00E72418">
        <w:t>approuva</w:t>
      </w:r>
      <w:r w:rsidR="001F689C" w:rsidRPr="00E72418">
        <w:t xml:space="preserve"> p</w:t>
      </w:r>
      <w:r w:rsidR="009D74EB">
        <w:t xml:space="preserve">ar ailleurs la pertinence de l’injonction </w:t>
      </w:r>
      <w:r w:rsidR="001F689C" w:rsidRPr="00E72418">
        <w:t>prononcée</w:t>
      </w:r>
      <w:r w:rsidR="001F689C" w:rsidRPr="00E72418">
        <w:rPr>
          <w:rStyle w:val="Appelnotedebasdep"/>
        </w:rPr>
        <w:footnoteReference w:id="975"/>
      </w:r>
      <w:r w:rsidR="001F689C" w:rsidRPr="00E72418">
        <w:t>.</w:t>
      </w:r>
    </w:p>
    <w:p w14:paraId="667B7156" w14:textId="77777777" w:rsidR="001F689C" w:rsidRPr="00E72418" w:rsidRDefault="001F689C" w:rsidP="00CC4BA8">
      <w:pPr>
        <w:spacing w:line="276" w:lineRule="auto"/>
      </w:pPr>
      <w:r w:rsidRPr="00E72418">
        <w:t xml:space="preserve">Pour décider de la sorte, la Cour du second circuit fit une simple lecture des termes de la clause </w:t>
      </w:r>
      <w:r w:rsidRPr="00E72418">
        <w:rPr>
          <w:i/>
        </w:rPr>
        <w:t>pari passu</w:t>
      </w:r>
      <w:r w:rsidRPr="00E72418">
        <w:t xml:space="preserve"> reprise dans le </w:t>
      </w:r>
      <w:r w:rsidRPr="00E72418">
        <w:rPr>
          <w:i/>
        </w:rPr>
        <w:t>Fiscal Agency Agreement.</w:t>
      </w:r>
      <w:r w:rsidRPr="00E72418">
        <w:t xml:space="preserve"> Elle remarqua que « the two sentences of the </w:t>
      </w:r>
      <w:r w:rsidRPr="00E72418">
        <w:rPr>
          <w:i/>
          <w:iCs/>
        </w:rPr>
        <w:t xml:space="preserve">Pari Passu </w:t>
      </w:r>
      <w:r w:rsidRPr="00E72418">
        <w:t>Clause protect against different forms of discrimination: the issuance of other superior debt (first sentence) and the giving of priority to other paymen</w:t>
      </w:r>
      <w:r w:rsidR="00E45598" w:rsidRPr="00E72418">
        <w:t xml:space="preserve">t obligations (second sentence) </w:t>
      </w:r>
      <w:r w:rsidRPr="00E72418">
        <w:t>»</w:t>
      </w:r>
      <w:r w:rsidRPr="00E72418">
        <w:rPr>
          <w:rStyle w:val="Appelnotedebasdep"/>
          <w:rFonts w:cs="Times New Roman"/>
          <w:szCs w:val="24"/>
        </w:rPr>
        <w:footnoteReference w:id="976"/>
      </w:r>
      <w:r w:rsidRPr="00E72418">
        <w:t xml:space="preserve">. Ainsi, la première phrase interdisait à l’Argentine, en tant qu’émetteur </w:t>
      </w:r>
      <w:r w:rsidR="00E45598" w:rsidRPr="00E72418">
        <w:t>de titres</w:t>
      </w:r>
      <w:r w:rsidRPr="00E72418">
        <w:t>, de formellement subordonner les obligations en souffrance en émettant des dettes d’un</w:t>
      </w:r>
      <w:r w:rsidR="00E45598" w:rsidRPr="00E72418">
        <w:t xml:space="preserve"> niveau supérieur</w:t>
      </w:r>
      <w:r w:rsidRPr="00E72418">
        <w:t xml:space="preserve"> tandis que la seconde phrase interdisait au pays, en tant que payeur cette fois, de </w:t>
      </w:r>
      <w:r w:rsidR="00E45598" w:rsidRPr="00E72418">
        <w:t>régler</w:t>
      </w:r>
      <w:r w:rsidRPr="00E72418">
        <w:t xml:space="preserve"> certaines obligations sans faire de même avec les obligations soumises au </w:t>
      </w:r>
      <w:r w:rsidRPr="00E72418">
        <w:rPr>
          <w:i/>
        </w:rPr>
        <w:t>Fiscal Agency Agreement</w:t>
      </w:r>
      <w:r w:rsidRPr="00E72418">
        <w:rPr>
          <w:rStyle w:val="Appelnotedebasdep"/>
          <w:rFonts w:cs="Times New Roman"/>
          <w:szCs w:val="24"/>
        </w:rPr>
        <w:footnoteReference w:id="977"/>
      </w:r>
      <w:r w:rsidRPr="00E72418">
        <w:t xml:space="preserve">. </w:t>
      </w:r>
    </w:p>
    <w:p w14:paraId="28B7E894" w14:textId="569A245F" w:rsidR="001F689C" w:rsidRPr="00E72418" w:rsidRDefault="001F689C" w:rsidP="00CC4BA8">
      <w:pPr>
        <w:spacing w:line="276" w:lineRule="auto"/>
        <w:rPr>
          <w:rFonts w:cs="Times New Roman"/>
          <w:szCs w:val="24"/>
        </w:rPr>
      </w:pPr>
      <w:r w:rsidRPr="00E72418">
        <w:rPr>
          <w:rFonts w:cs="Times New Roman"/>
          <w:i/>
          <w:szCs w:val="24"/>
        </w:rPr>
        <w:t>In concreto</w:t>
      </w:r>
      <w:r w:rsidR="00462CD0" w:rsidRPr="00E72418">
        <w:rPr>
          <w:rFonts w:cs="Times New Roman"/>
          <w:szCs w:val="24"/>
        </w:rPr>
        <w:t>, la c</w:t>
      </w:r>
      <w:r w:rsidRPr="00E72418">
        <w:rPr>
          <w:rFonts w:cs="Times New Roman"/>
          <w:szCs w:val="24"/>
        </w:rPr>
        <w:t xml:space="preserve">our d’appel relevait que « the combination of Argentina’s executive declarations and legislative enactments have ensured that plaintiffs’ beneficial interests do </w:t>
      </w:r>
      <w:r w:rsidRPr="00E72418">
        <w:rPr>
          <w:rFonts w:cs="Times New Roman"/>
          <w:i/>
          <w:iCs/>
          <w:szCs w:val="24"/>
        </w:rPr>
        <w:t xml:space="preserve">not </w:t>
      </w:r>
      <w:r w:rsidRPr="00E72418">
        <w:rPr>
          <w:rFonts w:cs="Times New Roman"/>
          <w:szCs w:val="24"/>
        </w:rPr>
        <w:t xml:space="preserve">remain direct, unconditional, unsecured and unsubordinated obligations of the Republic and that any claims that may arise from the Republic’s restructured debt </w:t>
      </w:r>
      <w:r w:rsidRPr="00E72418">
        <w:rPr>
          <w:rFonts w:cs="Times New Roman"/>
          <w:i/>
          <w:iCs/>
          <w:szCs w:val="24"/>
        </w:rPr>
        <w:t xml:space="preserve">do </w:t>
      </w:r>
      <w:r w:rsidRPr="00E72418">
        <w:rPr>
          <w:rFonts w:cs="Times New Roman"/>
          <w:szCs w:val="24"/>
        </w:rPr>
        <w:t>have priority in Argentinian courts over claims arising out of the Republic’s unstructured debt »</w:t>
      </w:r>
      <w:r w:rsidRPr="00E72418">
        <w:rPr>
          <w:rStyle w:val="Appelnotedebasdep"/>
          <w:rFonts w:cs="Times New Roman"/>
          <w:szCs w:val="24"/>
        </w:rPr>
        <w:footnoteReference w:id="978"/>
      </w:r>
      <w:r w:rsidRPr="00E72418">
        <w:rPr>
          <w:rFonts w:cs="Times New Roman"/>
          <w:szCs w:val="24"/>
        </w:rPr>
        <w:t>.</w:t>
      </w:r>
    </w:p>
    <w:p w14:paraId="326244AB" w14:textId="6143A911" w:rsidR="001F689C" w:rsidRPr="00E72418" w:rsidRDefault="001F689C" w:rsidP="00CC4BA8">
      <w:pPr>
        <w:spacing w:line="276" w:lineRule="auto"/>
        <w:rPr>
          <w:rFonts w:cs="Times New Roman"/>
          <w:szCs w:val="24"/>
        </w:rPr>
      </w:pPr>
      <w:r w:rsidRPr="00E72418">
        <w:rPr>
          <w:rFonts w:cs="Times New Roman"/>
          <w:szCs w:val="24"/>
        </w:rPr>
        <w:lastRenderedPageBreak/>
        <w:t xml:space="preserve">La </w:t>
      </w:r>
      <w:r w:rsidR="00735BBE">
        <w:rPr>
          <w:rFonts w:cs="Times New Roman"/>
          <w:szCs w:val="24"/>
        </w:rPr>
        <w:t xml:space="preserve">United States </w:t>
      </w:r>
      <w:r w:rsidRPr="00735BBE">
        <w:t>Court of Appeals for the Second Circuit</w:t>
      </w:r>
      <w:r w:rsidR="00E45598" w:rsidRPr="00E72418">
        <w:t xml:space="preserve"> décida</w:t>
      </w:r>
      <w:r w:rsidRPr="00E72418">
        <w:t xml:space="preserve"> encore que l’injonction ne privait pas la République argentine du contrôle de ses biens </w:t>
      </w:r>
      <w:r w:rsidR="00E45598" w:rsidRPr="00E72418">
        <w:t>puisqu</w:t>
      </w:r>
      <w:r w:rsidRPr="00E72418">
        <w:t xml:space="preserve">’elle n’opérait aucune saisie interdite par le </w:t>
      </w:r>
      <w:r w:rsidRPr="00E72418">
        <w:rPr>
          <w:i/>
        </w:rPr>
        <w:t>Foreign Sovereign Immunities Act</w:t>
      </w:r>
      <w:r w:rsidRPr="00E72418">
        <w:rPr>
          <w:rStyle w:val="Appelnotedebasdep"/>
          <w:rFonts w:cs="Times New Roman"/>
          <w:szCs w:val="24"/>
        </w:rPr>
        <w:footnoteReference w:id="979"/>
      </w:r>
      <w:r w:rsidRPr="00E72418">
        <w:rPr>
          <w:rFonts w:cs="Times New Roman"/>
          <w:szCs w:val="24"/>
        </w:rPr>
        <w:t>.</w:t>
      </w:r>
    </w:p>
    <w:p w14:paraId="7EF111DC" w14:textId="77777777" w:rsidR="001F689C" w:rsidRPr="00E72418" w:rsidRDefault="001F689C" w:rsidP="0054314B">
      <w:pPr>
        <w:rPr>
          <w:rStyle w:val="Emphaseple"/>
          <w:i w:val="0"/>
          <w:iCs w:val="0"/>
          <w:color w:val="auto"/>
        </w:rPr>
      </w:pPr>
    </w:p>
    <w:p w14:paraId="0147188A" w14:textId="6F652E72" w:rsidR="006D4108" w:rsidRPr="00E72418" w:rsidRDefault="00A9718E" w:rsidP="00CC4BA8">
      <w:pPr>
        <w:spacing w:line="276" w:lineRule="auto"/>
      </w:pPr>
      <w:r w:rsidRPr="00E72418">
        <w:rPr>
          <w:b/>
        </w:rPr>
        <w:t>18</w:t>
      </w:r>
      <w:r w:rsidR="007F038F" w:rsidRPr="00E72418">
        <w:rPr>
          <w:b/>
        </w:rPr>
        <w:t>7</w:t>
      </w:r>
      <w:r w:rsidR="007E31CD" w:rsidRPr="00E72418">
        <w:rPr>
          <w:b/>
        </w:rPr>
        <w:t xml:space="preserve">. </w:t>
      </w:r>
      <w:r w:rsidR="001F689C" w:rsidRPr="00E72418">
        <w:rPr>
          <w:b/>
        </w:rPr>
        <w:t xml:space="preserve">La clarification de l’injonction </w:t>
      </w:r>
      <w:r w:rsidR="001F689C" w:rsidRPr="00E72418">
        <w:rPr>
          <w:rFonts w:ascii="Times New Roman" w:hAnsi="Times New Roman"/>
          <w:b/>
        </w:rPr>
        <w:t>–</w:t>
      </w:r>
      <w:r w:rsidR="001F689C" w:rsidRPr="00E72418">
        <w:rPr>
          <w:b/>
        </w:rPr>
        <w:t xml:space="preserve"> </w:t>
      </w:r>
      <w:r w:rsidR="00462CD0" w:rsidRPr="00E72418">
        <w:t>La c</w:t>
      </w:r>
      <w:r w:rsidR="001F689C" w:rsidRPr="00E72418">
        <w:t xml:space="preserve">our d’appel ayant suivi le raisonnement tenu par la </w:t>
      </w:r>
      <w:r w:rsidR="00735BBE">
        <w:t xml:space="preserve">United States </w:t>
      </w:r>
      <w:r w:rsidR="001F689C" w:rsidRPr="00735BBE">
        <w:t>District Court for the Southern District of New York</w:t>
      </w:r>
      <w:r w:rsidR="001F689C" w:rsidRPr="00E72418">
        <w:t>, elle lui renvoya l’affaire pour qu’elle précise, d’une part, la formule de paiement de l’injonction (</w:t>
      </w:r>
      <w:r w:rsidR="001F689C" w:rsidRPr="00E72418">
        <w:rPr>
          <w:i/>
        </w:rPr>
        <w:t>i.e.</w:t>
      </w:r>
      <w:r w:rsidR="001F689C" w:rsidRPr="00E72418">
        <w:t xml:space="preserve"> clarifier le concept de « ratable payment »), d’autre part, la façon dont l’injonction trouve à s’appliquer aux tiers</w:t>
      </w:r>
      <w:r w:rsidR="001F689C" w:rsidRPr="00E72418">
        <w:rPr>
          <w:rStyle w:val="Appelnotedebasdep"/>
          <w:rFonts w:cs="Times New Roman"/>
          <w:szCs w:val="24"/>
        </w:rPr>
        <w:footnoteReference w:id="980"/>
      </w:r>
      <w:r w:rsidR="001F689C" w:rsidRPr="00E72418">
        <w:t xml:space="preserve">. </w:t>
      </w:r>
    </w:p>
    <w:p w14:paraId="1F85241A" w14:textId="6393C3BE" w:rsidR="001F689C" w:rsidRPr="00E72418" w:rsidRDefault="001F689C" w:rsidP="00CC4BA8">
      <w:pPr>
        <w:spacing w:line="276" w:lineRule="auto"/>
      </w:pPr>
      <w:r w:rsidRPr="00E72418">
        <w:t xml:space="preserve">Les éclaircissements </w:t>
      </w:r>
      <w:r w:rsidR="006D4108" w:rsidRPr="00E72418">
        <w:t xml:space="preserve">demandés </w:t>
      </w:r>
      <w:r w:rsidRPr="00E72418">
        <w:t xml:space="preserve">furent </w:t>
      </w:r>
      <w:r w:rsidR="006D4108" w:rsidRPr="00E72418">
        <w:t>donnés</w:t>
      </w:r>
      <w:r w:rsidRPr="00E72418">
        <w:t xml:space="preserve"> </w:t>
      </w:r>
      <w:r w:rsidR="006D4108" w:rsidRPr="00E72418">
        <w:t xml:space="preserve">par la </w:t>
      </w:r>
      <w:r w:rsidR="00735BBE">
        <w:t xml:space="preserve">United States </w:t>
      </w:r>
      <w:r w:rsidR="006D4108" w:rsidRPr="00735BBE">
        <w:t>District Court for the Southern District of New York</w:t>
      </w:r>
      <w:r w:rsidR="006D4108" w:rsidRPr="00E72418">
        <w:t xml:space="preserve"> </w:t>
      </w:r>
      <w:r w:rsidRPr="00E72418">
        <w:t xml:space="preserve">dans </w:t>
      </w:r>
      <w:r w:rsidR="006D4108" w:rsidRPr="00E72418">
        <w:t>une</w:t>
      </w:r>
      <w:r w:rsidRPr="00E72418">
        <w:t xml:space="preserve"> décision du 21 novembre 2012</w:t>
      </w:r>
      <w:r w:rsidR="006D4108" w:rsidRPr="00E72418">
        <w:t xml:space="preserve">. Elle y </w:t>
      </w:r>
      <w:r w:rsidR="0004079A" w:rsidRPr="00E72418">
        <w:t>indiqua qu’</w:t>
      </w:r>
      <w:r w:rsidRPr="00E72418">
        <w:t xml:space="preserve"> « </w:t>
      </w:r>
      <w:r w:rsidRPr="00E72418">
        <w:rPr>
          <w:rFonts w:ascii="Times New Roman" w:hAnsi="Times New Roman"/>
        </w:rPr>
        <w:t>[a]</w:t>
      </w:r>
      <w:r w:rsidRPr="00E72418">
        <w:t>lthough the provisions of the February 23, 2012 Injunctions regarding the “Ratable Payment” are phrased in a somewhat complicated manner, the actual meaning is quite straightforward »</w:t>
      </w:r>
      <w:r w:rsidRPr="00E72418">
        <w:rPr>
          <w:rStyle w:val="Appelnotedebasdep"/>
          <w:rFonts w:cs="Times New Roman"/>
          <w:szCs w:val="24"/>
        </w:rPr>
        <w:footnoteReference w:id="981"/>
      </w:r>
      <w:r w:rsidRPr="00E72418">
        <w:t xml:space="preserve">. </w:t>
      </w:r>
      <w:r w:rsidR="006D4108" w:rsidRPr="00E72418">
        <w:t>Pratiquement, s</w:t>
      </w:r>
      <w:r w:rsidRPr="00E72418">
        <w:t>i la République argentine payait un pourcentage de ce qu’elle devait aux créanciers ayant accepté les restructurations, alors elle devait payer le même pourcentage de ce qu’elle devait aux créanciers récalcitrants</w:t>
      </w:r>
      <w:r w:rsidRPr="00E72418">
        <w:rPr>
          <w:rStyle w:val="Appelnotedebasdep"/>
          <w:rFonts w:cs="Times New Roman"/>
          <w:szCs w:val="24"/>
        </w:rPr>
        <w:footnoteReference w:id="982"/>
      </w:r>
      <w:r w:rsidRPr="00E72418">
        <w:t>.</w:t>
      </w:r>
    </w:p>
    <w:p w14:paraId="51C6B53D" w14:textId="7A593296" w:rsidR="001F689C" w:rsidRPr="00E72418" w:rsidRDefault="006D4108" w:rsidP="00CC4BA8">
      <w:pPr>
        <w:spacing w:line="276" w:lineRule="auto"/>
      </w:pPr>
      <w:r w:rsidRPr="00E72418">
        <w:t>Par ailleurs, l</w:t>
      </w:r>
      <w:r w:rsidR="001F689C" w:rsidRPr="00E72418">
        <w:t xml:space="preserve">a juridiction new-yorkaise </w:t>
      </w:r>
      <w:r w:rsidR="00E76173" w:rsidRPr="00E72418">
        <w:t xml:space="preserve">souligna </w:t>
      </w:r>
      <w:r w:rsidR="001F689C" w:rsidRPr="00E72418">
        <w:t>l’importance que sa décision ne concerne pas uniquement la République argentine</w:t>
      </w:r>
      <w:r w:rsidRPr="00E72418">
        <w:t xml:space="preserve"> </w:t>
      </w:r>
      <w:r w:rsidR="001F689C" w:rsidRPr="00E72418">
        <w:t xml:space="preserve">: « it is necessary that the </w:t>
      </w:r>
      <w:r w:rsidR="001F689C" w:rsidRPr="00E72418">
        <w:rPr>
          <w:i/>
          <w:iCs/>
        </w:rPr>
        <w:t xml:space="preserve">process </w:t>
      </w:r>
      <w:r w:rsidR="001F689C" w:rsidRPr="00E72418">
        <w:t>for making payments on the Exchange Bonds be covered by the Injunctions, and that the parties participating in that process be so covered »</w:t>
      </w:r>
      <w:r w:rsidR="001F689C" w:rsidRPr="00E72418">
        <w:rPr>
          <w:rStyle w:val="Appelnotedebasdep"/>
          <w:rFonts w:cs="Times New Roman"/>
          <w:szCs w:val="24"/>
        </w:rPr>
        <w:footnoteReference w:id="983"/>
      </w:r>
      <w:r w:rsidR="001F689C" w:rsidRPr="00E72418">
        <w:t>. L’objectif poursuivi était précisément d’empêcher que des tiers puissent aider le pays débiteur à contourner l’injonction rendue</w:t>
      </w:r>
      <w:r w:rsidR="001F689C" w:rsidRPr="00E72418">
        <w:rPr>
          <w:rStyle w:val="Appelnotedebasdep"/>
          <w:rFonts w:cs="Times New Roman"/>
          <w:szCs w:val="24"/>
        </w:rPr>
        <w:footnoteReference w:id="984"/>
      </w:r>
      <w:r w:rsidR="003C2584" w:rsidRPr="00E72418">
        <w:rPr>
          <w:vertAlign w:val="superscript"/>
        </w:rPr>
        <w:t>,</w:t>
      </w:r>
      <w:r w:rsidR="001F689C" w:rsidRPr="00E72418">
        <w:rPr>
          <w:rStyle w:val="Appelnotedebasdep"/>
          <w:rFonts w:cs="Times New Roman"/>
          <w:szCs w:val="24"/>
        </w:rPr>
        <w:footnoteReference w:id="985"/>
      </w:r>
      <w:r w:rsidR="001F689C" w:rsidRPr="00E72418">
        <w:t>.</w:t>
      </w:r>
    </w:p>
    <w:p w14:paraId="4F23C88D" w14:textId="77777777" w:rsidR="001F689C" w:rsidRPr="00E72418" w:rsidRDefault="001F689C" w:rsidP="0054314B"/>
    <w:p w14:paraId="2AD1B439" w14:textId="656F5F80" w:rsidR="001F689C" w:rsidRPr="00E72418" w:rsidRDefault="007F038F" w:rsidP="00CC4BA8">
      <w:pPr>
        <w:spacing w:line="276" w:lineRule="auto"/>
      </w:pPr>
      <w:r w:rsidRPr="00E72418">
        <w:rPr>
          <w:b/>
        </w:rPr>
        <w:t>188</w:t>
      </w:r>
      <w:r w:rsidR="007E31CD" w:rsidRPr="00E72418">
        <w:rPr>
          <w:b/>
        </w:rPr>
        <w:t xml:space="preserve">. </w:t>
      </w:r>
      <w:r w:rsidR="001F689C" w:rsidRPr="00E72418">
        <w:rPr>
          <w:b/>
        </w:rPr>
        <w:t>La nouvelle confirmation en appel –</w:t>
      </w:r>
      <w:r w:rsidR="001F689C" w:rsidRPr="00E72418">
        <w:t xml:space="preserve"> Le contentieux argentin, et singulièrement celui entourant l’injonction, se poursuivit devant la </w:t>
      </w:r>
      <w:r w:rsidR="001F689C" w:rsidRPr="00735BBE">
        <w:rPr>
          <w:rStyle w:val="Emphaseple"/>
          <w:i w:val="0"/>
          <w:iCs w:val="0"/>
          <w:color w:val="auto"/>
        </w:rPr>
        <w:t>United States Court of Appeals for the Second Circuit.</w:t>
      </w:r>
      <w:r w:rsidR="001F689C" w:rsidRPr="00E72418">
        <w:rPr>
          <w:rStyle w:val="Emphaseple"/>
          <w:i w:val="0"/>
          <w:iCs w:val="0"/>
          <w:color w:val="auto"/>
        </w:rPr>
        <w:t xml:space="preserve"> </w:t>
      </w:r>
      <w:r w:rsidR="001F689C" w:rsidRPr="00E72418">
        <w:rPr>
          <w:rFonts w:cs="Times New Roman"/>
          <w:szCs w:val="24"/>
        </w:rPr>
        <w:t xml:space="preserve">La décision rendue par la </w:t>
      </w:r>
      <w:r w:rsidR="001F689C" w:rsidRPr="00735BBE">
        <w:rPr>
          <w:rFonts w:cs="Times New Roman"/>
          <w:szCs w:val="24"/>
        </w:rPr>
        <w:t>District Court</w:t>
      </w:r>
      <w:r w:rsidR="001F689C" w:rsidRPr="00E72418">
        <w:rPr>
          <w:rFonts w:cs="Times New Roman"/>
          <w:szCs w:val="24"/>
        </w:rPr>
        <w:t xml:space="preserve"> le 21 novembre 2012 fut suspendue par </w:t>
      </w:r>
      <w:r w:rsidR="001F64B7" w:rsidRPr="00E72418">
        <w:rPr>
          <w:rFonts w:cs="Times New Roman"/>
          <w:szCs w:val="24"/>
        </w:rPr>
        <w:t xml:space="preserve">une décision du 28 novembre 2012 de </w:t>
      </w:r>
      <w:r w:rsidR="001F689C" w:rsidRPr="00E72418">
        <w:rPr>
          <w:rFonts w:cs="Times New Roman"/>
          <w:szCs w:val="24"/>
        </w:rPr>
        <w:t xml:space="preserve">la </w:t>
      </w:r>
      <w:r w:rsidR="001F689C" w:rsidRPr="00735BBE">
        <w:rPr>
          <w:rFonts w:cs="Times New Roman"/>
          <w:szCs w:val="24"/>
        </w:rPr>
        <w:t>United States Court of Appeals for the Second Circuit</w:t>
      </w:r>
      <w:r w:rsidR="001F689C" w:rsidRPr="00E72418">
        <w:rPr>
          <w:rFonts w:cs="Times New Roman"/>
          <w:szCs w:val="24"/>
        </w:rPr>
        <w:t>. Le conflit gagna en intensité à mesure que s’y e</w:t>
      </w:r>
      <w:r w:rsidR="006D4108" w:rsidRPr="00E72418">
        <w:rPr>
          <w:rFonts w:cs="Times New Roman"/>
          <w:szCs w:val="24"/>
        </w:rPr>
        <w:t xml:space="preserve">ngageaient de nouveaux acteurs, </w:t>
      </w:r>
      <w:r w:rsidR="001F689C" w:rsidRPr="00E72418">
        <w:rPr>
          <w:rFonts w:cs="Times New Roman"/>
          <w:szCs w:val="24"/>
        </w:rPr>
        <w:t xml:space="preserve">le vice-président </w:t>
      </w:r>
      <w:r w:rsidR="001F689C" w:rsidRPr="00E72418">
        <w:rPr>
          <w:rFonts w:cs="Times New Roman"/>
          <w:szCs w:val="24"/>
        </w:rPr>
        <w:lastRenderedPageBreak/>
        <w:t xml:space="preserve">et le ministre de l’économie argentins </w:t>
      </w:r>
      <w:r w:rsidR="006D4108" w:rsidRPr="00E72418">
        <w:rPr>
          <w:rFonts w:cs="Times New Roman"/>
          <w:szCs w:val="24"/>
        </w:rPr>
        <w:t>allant jusqu’à assister</w:t>
      </w:r>
      <w:r w:rsidR="001F689C" w:rsidRPr="00E72418">
        <w:rPr>
          <w:rFonts w:cs="Times New Roman"/>
          <w:szCs w:val="24"/>
        </w:rPr>
        <w:t xml:space="preserve"> à </w:t>
      </w:r>
      <w:r w:rsidR="00462CD0" w:rsidRPr="00E72418">
        <w:rPr>
          <w:rFonts w:cs="Times New Roman"/>
          <w:szCs w:val="24"/>
        </w:rPr>
        <w:t>l’audience de plaidoirie de la c</w:t>
      </w:r>
      <w:r w:rsidR="001F689C" w:rsidRPr="00E72418">
        <w:rPr>
          <w:rFonts w:cs="Times New Roman"/>
          <w:szCs w:val="24"/>
        </w:rPr>
        <w:t>our d’appel du 27 février 2013 dans une salle d’audience pleine à craquer</w:t>
      </w:r>
      <w:r w:rsidR="001F689C" w:rsidRPr="00E72418">
        <w:rPr>
          <w:rStyle w:val="Appelnotedebasdep"/>
          <w:rFonts w:cs="Times New Roman"/>
          <w:szCs w:val="24"/>
        </w:rPr>
        <w:footnoteReference w:id="986"/>
      </w:r>
      <w:r w:rsidR="001F689C" w:rsidRPr="00E72418">
        <w:rPr>
          <w:rFonts w:cs="Times New Roman"/>
          <w:szCs w:val="24"/>
        </w:rPr>
        <w:t xml:space="preserve">. </w:t>
      </w:r>
    </w:p>
    <w:p w14:paraId="49FBB0DE" w14:textId="1BA7FE13" w:rsidR="001F689C" w:rsidRPr="00E72418" w:rsidRDefault="001F689C" w:rsidP="00CC4BA8">
      <w:pPr>
        <w:spacing w:line="276" w:lineRule="auto"/>
      </w:pPr>
      <w:r w:rsidRPr="00E72418">
        <w:t xml:space="preserve">Quelques jours après cette audience, la Cour demanda à ce qu’une </w:t>
      </w:r>
      <w:r w:rsidR="005B6A73" w:rsidRPr="00E72418">
        <w:t xml:space="preserve">proposition </w:t>
      </w:r>
      <w:r w:rsidRPr="00E72418">
        <w:t xml:space="preserve">de paiement soit faite aux créanciers </w:t>
      </w:r>
      <w:r w:rsidR="008A3DB7" w:rsidRPr="00E72418">
        <w:t xml:space="preserve">par la République argentine. L’offre </w:t>
      </w:r>
      <w:r w:rsidR="006D4108" w:rsidRPr="00E72418">
        <w:t>qui suivit</w:t>
      </w:r>
      <w:r w:rsidRPr="00E72418">
        <w:t xml:space="preserve"> reprenait des modalités équivalentes à celles des restructurations de 2005 et 2010 de sorte qu’elle fut refusée </w:t>
      </w:r>
      <w:r w:rsidR="00A97C5B" w:rsidRPr="00E72418">
        <w:t>par les créanciers récalcitrants</w:t>
      </w:r>
      <w:r w:rsidR="008A3DB7" w:rsidRPr="00E72418">
        <w:t xml:space="preserve"> impliqués en la cause</w:t>
      </w:r>
      <w:r w:rsidR="00A97C5B" w:rsidRPr="00E72418">
        <w:t xml:space="preserve"> </w:t>
      </w:r>
      <w:r w:rsidRPr="00E72418">
        <w:t>au motif que « </w:t>
      </w:r>
      <w:r w:rsidRPr="00E72418">
        <w:rPr>
          <w:rFonts w:ascii="Times New Roman" w:hAnsi="Times New Roman"/>
        </w:rPr>
        <w:t>[n]</w:t>
      </w:r>
      <w:r w:rsidRPr="00E72418">
        <w:t>ot only are the details of Argentina’s proposal unacceptable and unresponsive; Argentina fails even to provide th</w:t>
      </w:r>
      <w:r w:rsidR="008A3DB7" w:rsidRPr="00E72418">
        <w:t>is</w:t>
      </w:r>
      <w:r w:rsidRPr="00E72418">
        <w:t xml:space="preserve"> </w:t>
      </w:r>
      <w:r w:rsidR="008A3DB7" w:rsidRPr="00E72418">
        <w:t>C</w:t>
      </w:r>
      <w:r w:rsidRPr="00E72418">
        <w:t>ourt with meaningful “assurances” that it will actually comply with its own proposal »</w:t>
      </w:r>
      <w:r w:rsidRPr="00E72418">
        <w:rPr>
          <w:rStyle w:val="Appelnotedebasdep"/>
          <w:rFonts w:cs="Times New Roman"/>
          <w:szCs w:val="24"/>
        </w:rPr>
        <w:footnoteReference w:id="987"/>
      </w:r>
      <w:r w:rsidRPr="00E72418">
        <w:t xml:space="preserve">. La formule de paiement proposée ne satisfit pas davantage la </w:t>
      </w:r>
      <w:r w:rsidR="00A97C5B" w:rsidRPr="00735BBE">
        <w:rPr>
          <w:rFonts w:cs="Times New Roman"/>
          <w:szCs w:val="24"/>
        </w:rPr>
        <w:t>United States Court of Appeals for the Second Circuit</w:t>
      </w:r>
      <w:r w:rsidR="00A97C5B" w:rsidRPr="00E72418">
        <w:t xml:space="preserve"> </w:t>
      </w:r>
      <w:r w:rsidRPr="00E72418">
        <w:t>qui retint que « no productive proposals have been forthcoming »</w:t>
      </w:r>
      <w:r w:rsidRPr="00E72418">
        <w:rPr>
          <w:rStyle w:val="Appelnotedebasdep"/>
          <w:rFonts w:cs="Times New Roman"/>
          <w:szCs w:val="24"/>
        </w:rPr>
        <w:footnoteReference w:id="988"/>
      </w:r>
      <w:r w:rsidRPr="00E72418">
        <w:t>.</w:t>
      </w:r>
    </w:p>
    <w:p w14:paraId="57BD1D66" w14:textId="03F8A6B8" w:rsidR="001F689C" w:rsidRPr="00E72418" w:rsidRDefault="001F689C" w:rsidP="00CC4BA8">
      <w:pPr>
        <w:spacing w:line="276" w:lineRule="auto"/>
        <w:rPr>
          <w:rFonts w:cs="Times New Roman"/>
          <w:szCs w:val="24"/>
        </w:rPr>
      </w:pPr>
      <w:r w:rsidRPr="00E72418">
        <w:t xml:space="preserve">Dans sa décision du 23 août 2013, la </w:t>
      </w:r>
      <w:r w:rsidRPr="00735BBE">
        <w:t>United States Court of Appeals for the Second Circuit</w:t>
      </w:r>
      <w:r w:rsidRPr="00E72418">
        <w:rPr>
          <w:i/>
        </w:rPr>
        <w:t xml:space="preserve"> </w:t>
      </w:r>
      <w:r w:rsidR="00A97C5B" w:rsidRPr="00E72418">
        <w:t>pointa</w:t>
      </w:r>
      <w:r w:rsidRPr="00E72418">
        <w:t xml:space="preserve"> à maintes reprises la particularité de la situation argentine, qualifiant le pays de « uniquely recalcitrant debtor » avec une « long history of defaulting on its debts » et ayant un « extraordinary behavior ». </w:t>
      </w:r>
      <w:r w:rsidRPr="00E72418">
        <w:rPr>
          <w:rFonts w:cs="Times New Roman"/>
          <w:szCs w:val="24"/>
        </w:rPr>
        <w:t>C’est au regard de cette spécificité arge</w:t>
      </w:r>
      <w:r w:rsidR="00462CD0" w:rsidRPr="00E72418">
        <w:rPr>
          <w:rFonts w:cs="Times New Roman"/>
          <w:szCs w:val="24"/>
        </w:rPr>
        <w:t>ntine que la c</w:t>
      </w:r>
      <w:r w:rsidR="00A97C5B" w:rsidRPr="00E72418">
        <w:rPr>
          <w:rFonts w:cs="Times New Roman"/>
          <w:szCs w:val="24"/>
        </w:rPr>
        <w:t>our d’appel aborda</w:t>
      </w:r>
      <w:r w:rsidRPr="00E72418">
        <w:rPr>
          <w:rFonts w:cs="Times New Roman"/>
          <w:szCs w:val="24"/>
        </w:rPr>
        <w:t xml:space="preserve"> l’argument argentin selon lequel les injonctions rendues étaient de nature à mettre en danger les restructurations de dettes souveraines futures en ce que les créanciers y verraient un encouragement à les refuser co</w:t>
      </w:r>
      <w:r w:rsidR="00A97C5B" w:rsidRPr="00E72418">
        <w:rPr>
          <w:rFonts w:cs="Times New Roman"/>
          <w:szCs w:val="24"/>
        </w:rPr>
        <w:t>nscients du fait qu’une</w:t>
      </w:r>
      <w:r w:rsidR="00650677" w:rsidRPr="00E72418">
        <w:rPr>
          <w:rFonts w:cs="Times New Roman"/>
          <w:szCs w:val="24"/>
        </w:rPr>
        <w:t xml:space="preserve"> posture ré</w:t>
      </w:r>
      <w:r w:rsidRPr="00E72418">
        <w:rPr>
          <w:rFonts w:cs="Times New Roman"/>
          <w:szCs w:val="24"/>
        </w:rPr>
        <w:t>fractaire pourrait les conduire à un paiement complet</w:t>
      </w:r>
      <w:r w:rsidRPr="00E72418">
        <w:rPr>
          <w:rStyle w:val="Appelnotedebasdep"/>
          <w:rFonts w:cs="Times New Roman"/>
          <w:szCs w:val="24"/>
        </w:rPr>
        <w:footnoteReference w:id="989"/>
      </w:r>
      <w:r w:rsidRPr="00E72418">
        <w:rPr>
          <w:rFonts w:cs="Times New Roman"/>
          <w:szCs w:val="24"/>
        </w:rPr>
        <w:t xml:space="preserve">. La </w:t>
      </w:r>
      <w:r w:rsidRPr="00735BBE">
        <w:rPr>
          <w:rFonts w:cs="Times New Roman"/>
          <w:szCs w:val="24"/>
          <w:shd w:val="clear" w:color="auto" w:fill="FFFFFF"/>
        </w:rPr>
        <w:t>United States Court of Appeals for the Second Circuit</w:t>
      </w:r>
      <w:r w:rsidRPr="00E72418">
        <w:rPr>
          <w:rFonts w:cs="Times New Roman"/>
          <w:szCs w:val="24"/>
        </w:rPr>
        <w:t xml:space="preserve"> ne suivit guère l’argument et y répondit que « this case is an exceptional one with little apparent bearing on transactions that can be expected in the future. Our decision here does not control the interpretation of all </w:t>
      </w:r>
      <w:r w:rsidRPr="00E72418">
        <w:rPr>
          <w:rFonts w:cs="Times New Roman"/>
          <w:i/>
          <w:iCs/>
          <w:szCs w:val="24"/>
        </w:rPr>
        <w:t xml:space="preserve">pari passu </w:t>
      </w:r>
      <w:r w:rsidRPr="00E72418">
        <w:rPr>
          <w:rFonts w:cs="Times New Roman"/>
          <w:szCs w:val="24"/>
        </w:rPr>
        <w:t xml:space="preserve">clauses or the obligations of other sovereign debtors under </w:t>
      </w:r>
      <w:r w:rsidRPr="00E72418">
        <w:rPr>
          <w:rFonts w:cs="Times New Roman"/>
          <w:i/>
          <w:iCs/>
          <w:szCs w:val="24"/>
        </w:rPr>
        <w:t xml:space="preserve">pari passu </w:t>
      </w:r>
      <w:r w:rsidRPr="00E72418">
        <w:rPr>
          <w:rFonts w:cs="Times New Roman"/>
          <w:szCs w:val="24"/>
        </w:rPr>
        <w:t xml:space="preserve">clauses in other debt instruments. As we explicitly stated in our last opinion, we have not held that a sovereign debtor breaches its </w:t>
      </w:r>
      <w:r w:rsidRPr="00E72418">
        <w:rPr>
          <w:rFonts w:cs="Times New Roman"/>
          <w:i/>
          <w:iCs/>
          <w:szCs w:val="24"/>
        </w:rPr>
        <w:t xml:space="preserve">pari passu </w:t>
      </w:r>
      <w:r w:rsidRPr="00E72418">
        <w:rPr>
          <w:rFonts w:cs="Times New Roman"/>
          <w:szCs w:val="24"/>
        </w:rPr>
        <w:t xml:space="preserve">clause every time it pays one creditor and not another, or even every time it enacts a law disparately affecting a creditor’s rights. </w:t>
      </w:r>
      <w:r w:rsidRPr="00E72418">
        <w:rPr>
          <w:rFonts w:ascii="Times New Roman" w:hAnsi="Times New Roman" w:cs="Times New Roman"/>
        </w:rPr>
        <w:t>[…]</w:t>
      </w:r>
      <w:r w:rsidRPr="00E72418">
        <w:rPr>
          <w:rFonts w:cs="Times New Roman"/>
          <w:szCs w:val="24"/>
        </w:rPr>
        <w:t xml:space="preserve"> We simply affirm the district court’s conclusion that Argentine’s extraordinary behavior was a violation of the particular </w:t>
      </w:r>
      <w:r w:rsidRPr="00E72418">
        <w:rPr>
          <w:rFonts w:cs="Times New Roman"/>
          <w:i/>
          <w:iCs/>
          <w:szCs w:val="24"/>
        </w:rPr>
        <w:t xml:space="preserve">pari passu </w:t>
      </w:r>
      <w:r w:rsidRPr="00E72418">
        <w:rPr>
          <w:rFonts w:cs="Times New Roman"/>
          <w:szCs w:val="24"/>
        </w:rPr>
        <w:t>clause found in the FAA »</w:t>
      </w:r>
      <w:r w:rsidRPr="00E72418">
        <w:rPr>
          <w:rStyle w:val="Appelnotedebasdep"/>
          <w:rFonts w:cs="Times New Roman"/>
          <w:szCs w:val="24"/>
        </w:rPr>
        <w:footnoteReference w:id="990"/>
      </w:r>
      <w:r w:rsidRPr="00E72418">
        <w:rPr>
          <w:rFonts w:cs="Times New Roman"/>
          <w:szCs w:val="24"/>
        </w:rPr>
        <w:t xml:space="preserve">. Sans doute la particularité </w:t>
      </w:r>
      <w:r w:rsidR="00BC1039" w:rsidRPr="00E72418">
        <w:rPr>
          <w:rFonts w:cs="Times New Roman"/>
          <w:szCs w:val="24"/>
        </w:rPr>
        <w:t xml:space="preserve">de la situation </w:t>
      </w:r>
      <w:r w:rsidRPr="00E72418">
        <w:rPr>
          <w:rFonts w:cs="Times New Roman"/>
          <w:szCs w:val="24"/>
        </w:rPr>
        <w:t xml:space="preserve">argentine </w:t>
      </w:r>
      <w:r w:rsidR="00BC1039" w:rsidRPr="00E72418">
        <w:rPr>
          <w:rFonts w:cs="Times New Roman"/>
          <w:szCs w:val="24"/>
        </w:rPr>
        <w:t>résidait dans le fait</w:t>
      </w:r>
      <w:r w:rsidRPr="00E72418">
        <w:rPr>
          <w:rFonts w:cs="Times New Roman"/>
          <w:szCs w:val="24"/>
        </w:rPr>
        <w:t xml:space="preserve"> qu’il n’y</w:t>
      </w:r>
      <w:r w:rsidR="00A51648" w:rsidRPr="00E72418">
        <w:rPr>
          <w:rFonts w:cs="Times New Roman"/>
          <w:szCs w:val="24"/>
        </w:rPr>
        <w:t xml:space="preserve"> </w:t>
      </w:r>
      <w:r w:rsidRPr="00E72418">
        <w:rPr>
          <w:rFonts w:cs="Times New Roman"/>
          <w:szCs w:val="24"/>
        </w:rPr>
        <w:t>était pas uniquement question de paiements</w:t>
      </w:r>
      <w:r w:rsidR="00BC1039" w:rsidRPr="00E72418">
        <w:rPr>
          <w:rFonts w:cs="Times New Roman"/>
          <w:szCs w:val="24"/>
        </w:rPr>
        <w:t xml:space="preserve"> intervenant</w:t>
      </w:r>
      <w:r w:rsidRPr="00E72418">
        <w:rPr>
          <w:rFonts w:cs="Times New Roman"/>
          <w:szCs w:val="24"/>
        </w:rPr>
        <w:t xml:space="preserve"> au pr</w:t>
      </w:r>
      <w:r w:rsidR="00A51648" w:rsidRPr="00E72418">
        <w:rPr>
          <w:rFonts w:cs="Times New Roman"/>
          <w:szCs w:val="24"/>
        </w:rPr>
        <w:t xml:space="preserve">ofit des créanciers </w:t>
      </w:r>
      <w:r w:rsidR="00DC0045" w:rsidRPr="00E72418">
        <w:rPr>
          <w:rFonts w:cs="Times New Roman"/>
          <w:szCs w:val="24"/>
        </w:rPr>
        <w:t>coopérants</w:t>
      </w:r>
      <w:r w:rsidR="00462CD0" w:rsidRPr="00E72418">
        <w:rPr>
          <w:rFonts w:cs="Times New Roman"/>
          <w:szCs w:val="24"/>
        </w:rPr>
        <w:t>. Comme la c</w:t>
      </w:r>
      <w:r w:rsidRPr="00E72418">
        <w:rPr>
          <w:rFonts w:cs="Times New Roman"/>
          <w:szCs w:val="24"/>
        </w:rPr>
        <w:t xml:space="preserve">our d’appel le notait, </w:t>
      </w:r>
      <w:r w:rsidRPr="00E72418">
        <w:t xml:space="preserve">« [a]s we have held, by defaulting on the Bonds, enacting legislation specifically forbidding </w:t>
      </w:r>
      <w:r w:rsidRPr="00E72418">
        <w:lastRenderedPageBreak/>
        <w:t xml:space="preserve">future payment on them, </w:t>
      </w:r>
      <w:r w:rsidRPr="00E72418">
        <w:rPr>
          <w:i/>
        </w:rPr>
        <w:t>and</w:t>
      </w:r>
      <w:r w:rsidRPr="00E72418">
        <w:t xml:space="preserve"> continuing to pay interest on subsequently issued debt, Argentina breached its promise of equal treatment »</w:t>
      </w:r>
      <w:r w:rsidRPr="00E72418">
        <w:rPr>
          <w:rStyle w:val="Appelnotedebasdep"/>
          <w:rFonts w:cs="Times New Roman"/>
          <w:szCs w:val="24"/>
        </w:rPr>
        <w:footnoteReference w:id="991"/>
      </w:r>
      <w:r w:rsidRPr="00E72418">
        <w:rPr>
          <w:rFonts w:cs="Times New Roman"/>
          <w:szCs w:val="24"/>
        </w:rPr>
        <w:t>.</w:t>
      </w:r>
    </w:p>
    <w:p w14:paraId="0D1DA959" w14:textId="77777777" w:rsidR="001F689C" w:rsidRPr="00E72418" w:rsidRDefault="001F689C" w:rsidP="0054314B"/>
    <w:p w14:paraId="45F68643" w14:textId="4099F1FC" w:rsidR="001F689C" w:rsidRDefault="007F038F" w:rsidP="00CC4BA8">
      <w:pPr>
        <w:spacing w:line="276" w:lineRule="auto"/>
      </w:pPr>
      <w:r w:rsidRPr="00E72418">
        <w:rPr>
          <w:b/>
        </w:rPr>
        <w:t>189</w:t>
      </w:r>
      <w:r w:rsidR="007E31CD" w:rsidRPr="00E72418">
        <w:rPr>
          <w:b/>
        </w:rPr>
        <w:t xml:space="preserve">. </w:t>
      </w:r>
      <w:r w:rsidR="001F689C" w:rsidRPr="00E72418">
        <w:rPr>
          <w:b/>
        </w:rPr>
        <w:t xml:space="preserve">Les décisions </w:t>
      </w:r>
      <w:r w:rsidR="001F62BE" w:rsidRPr="00E72418">
        <w:rPr>
          <w:b/>
        </w:rPr>
        <w:t>de la Cour suprême étatsunienne</w:t>
      </w:r>
      <w:r w:rsidR="001F689C" w:rsidRPr="00E72418">
        <w:rPr>
          <w:b/>
        </w:rPr>
        <w:t xml:space="preserve"> – </w:t>
      </w:r>
      <w:r w:rsidR="00462CD0" w:rsidRPr="00E72418">
        <w:t>La c</w:t>
      </w:r>
      <w:r w:rsidR="001F689C" w:rsidRPr="00E72418">
        <w:t xml:space="preserve">our d’appel, après avoir confirmé la décision de la </w:t>
      </w:r>
      <w:r w:rsidR="00735BBE">
        <w:t xml:space="preserve">United States </w:t>
      </w:r>
      <w:r w:rsidR="001F689C" w:rsidRPr="00735BBE">
        <w:t>District Court for the Southern District of New York</w:t>
      </w:r>
      <w:r w:rsidR="001F689C" w:rsidRPr="00E72418">
        <w:t xml:space="preserve"> du 21 novembre 2012 et donc l’injonction du 23 février 2</w:t>
      </w:r>
      <w:r w:rsidR="009F01A1" w:rsidRPr="00E72418">
        <w:t>012 amendée, décida toutefois d’en</w:t>
      </w:r>
      <w:r w:rsidR="001F689C" w:rsidRPr="00E72418">
        <w:t xml:space="preserve"> suspendre l’exécution dans l’attente de la décision de la Cour suprême sur la </w:t>
      </w:r>
      <w:r w:rsidR="001F689C" w:rsidRPr="00E72418">
        <w:rPr>
          <w:i/>
        </w:rPr>
        <w:t xml:space="preserve">petition for a writ of </w:t>
      </w:r>
      <w:r w:rsidR="001F689C" w:rsidRPr="00E72418">
        <w:rPr>
          <w:i/>
          <w:iCs/>
        </w:rPr>
        <w:t>certiorari</w:t>
      </w:r>
      <w:r w:rsidR="001F689C" w:rsidRPr="00E72418">
        <w:rPr>
          <w:iCs/>
        </w:rPr>
        <w:t xml:space="preserve"> introduite par l’Argentine</w:t>
      </w:r>
      <w:r w:rsidR="001F689C" w:rsidRPr="00E72418">
        <w:rPr>
          <w:rStyle w:val="Appelnotedebasdep"/>
          <w:rFonts w:cs="Times New Roman"/>
          <w:iCs/>
          <w:szCs w:val="24"/>
        </w:rPr>
        <w:footnoteReference w:id="992"/>
      </w:r>
      <w:r w:rsidR="001F689C" w:rsidRPr="00E72418">
        <w:rPr>
          <w:iCs/>
        </w:rPr>
        <w:t xml:space="preserve">. </w:t>
      </w:r>
      <w:r w:rsidR="001F689C" w:rsidRPr="00E72418">
        <w:t xml:space="preserve">Dans deux décisions du 16 juin 2014, la Cour suprême des </w:t>
      </w:r>
      <w:r w:rsidR="001F689C" w:rsidRPr="00E72418">
        <w:rPr>
          <w:lang w:eastAsia="fr-BE"/>
        </w:rPr>
        <w:t>É</w:t>
      </w:r>
      <w:r w:rsidR="001F689C" w:rsidRPr="00E72418">
        <w:t xml:space="preserve">tats-Unis refusa des </w:t>
      </w:r>
      <w:r w:rsidR="001F689C" w:rsidRPr="00E72418">
        <w:rPr>
          <w:i/>
        </w:rPr>
        <w:t xml:space="preserve">petitions for writ of certiorari to the United States Court of Appeals for the Second Circuit </w:t>
      </w:r>
      <w:r w:rsidR="001F689C" w:rsidRPr="00E72418">
        <w:t>introduites, d’une part, par la République argentine, d’autre part, par un groupe de créanciers ayant accepté la restructuration de la dette argentine</w:t>
      </w:r>
      <w:r w:rsidR="001F689C" w:rsidRPr="00E72418">
        <w:rPr>
          <w:rStyle w:val="Appelnotedebasdep"/>
          <w:rFonts w:cs="Times New Roman"/>
          <w:szCs w:val="24"/>
        </w:rPr>
        <w:footnoteReference w:id="993"/>
      </w:r>
      <w:r w:rsidR="001F689C" w:rsidRPr="00E72418">
        <w:t>.</w:t>
      </w:r>
      <w:r w:rsidR="001F689C" w:rsidRPr="00E72418">
        <w:rPr>
          <w:iCs/>
        </w:rPr>
        <w:t xml:space="preserve"> </w:t>
      </w:r>
      <w:r w:rsidR="002D7E78" w:rsidRPr="00E72418">
        <w:t>À</w:t>
      </w:r>
      <w:r w:rsidR="00F16DA9" w:rsidRPr="00E72418">
        <w:rPr>
          <w:iCs/>
        </w:rPr>
        <w:t xml:space="preserve"> la suite de </w:t>
      </w:r>
      <w:r w:rsidR="009F01A1" w:rsidRPr="00E72418">
        <w:t>ces refus</w:t>
      </w:r>
      <w:r w:rsidR="001F689C" w:rsidRPr="00E72418">
        <w:t>, la suspension</w:t>
      </w:r>
      <w:r w:rsidR="00462CD0" w:rsidRPr="00E72418">
        <w:t xml:space="preserve"> de la décision décidée par la c</w:t>
      </w:r>
      <w:r w:rsidR="001F689C" w:rsidRPr="00E72418">
        <w:t xml:space="preserve">our d’appel prit fin </w:t>
      </w:r>
      <w:r w:rsidR="009F01A1" w:rsidRPr="00E72418">
        <w:t>de sorte que l’</w:t>
      </w:r>
      <w:r w:rsidR="009F01A1" w:rsidRPr="00E72418">
        <w:rPr>
          <w:lang w:eastAsia="fr-BE"/>
        </w:rPr>
        <w:t>État débiteur</w:t>
      </w:r>
      <w:r w:rsidR="001F689C" w:rsidRPr="00E72418">
        <w:t xml:space="preserve"> se trouva dans l’impossibilité de payer ses créanciers ayant accepté les restructurations sans en faire de même à l’égard de ses créanciers récalcitrants</w:t>
      </w:r>
      <w:r w:rsidR="001F689C" w:rsidRPr="00E72418">
        <w:rPr>
          <w:rStyle w:val="Appelnotedebasdep"/>
        </w:rPr>
        <w:footnoteReference w:id="994"/>
      </w:r>
      <w:r w:rsidR="001F689C" w:rsidRPr="00E72418">
        <w:t>.</w:t>
      </w:r>
    </w:p>
    <w:p w14:paraId="0A0F26B9" w14:textId="77777777" w:rsidR="00486978" w:rsidRPr="00E72418" w:rsidRDefault="00486978" w:rsidP="00CC4BA8">
      <w:pPr>
        <w:spacing w:line="276" w:lineRule="auto"/>
      </w:pPr>
    </w:p>
    <w:p w14:paraId="3FA8D82E" w14:textId="13104E72" w:rsidR="001F689C" w:rsidRPr="00E72418" w:rsidRDefault="000764CE" w:rsidP="00CC4BA8">
      <w:pPr>
        <w:pStyle w:val="DD"/>
        <w:spacing w:line="276" w:lineRule="auto"/>
        <w:rPr>
          <w:rStyle w:val="Emphaseple"/>
          <w:i/>
          <w:iCs/>
          <w:color w:val="auto"/>
        </w:rPr>
      </w:pPr>
      <w:bookmarkStart w:id="216" w:name="_Toc59280939"/>
      <w:bookmarkStart w:id="217" w:name="_Toc84540927"/>
      <w:r w:rsidRPr="00E72418">
        <w:rPr>
          <w:rStyle w:val="Emphaseple"/>
          <w:i/>
          <w:iCs/>
          <w:color w:val="auto"/>
        </w:rPr>
        <w:t xml:space="preserve">Section 3 : </w:t>
      </w:r>
      <w:r w:rsidR="001F689C" w:rsidRPr="00E72418">
        <w:rPr>
          <w:rStyle w:val="Emphaseple"/>
          <w:i/>
          <w:iCs/>
          <w:color w:val="auto"/>
        </w:rPr>
        <w:t xml:space="preserve">Les critiques </w:t>
      </w:r>
      <w:r w:rsidR="00E263CF" w:rsidRPr="00E72418">
        <w:rPr>
          <w:rStyle w:val="Emphaseple"/>
          <w:i/>
          <w:iCs/>
          <w:color w:val="auto"/>
        </w:rPr>
        <w:t xml:space="preserve">et les </w:t>
      </w:r>
      <w:r w:rsidR="001F689C" w:rsidRPr="00E72418">
        <w:rPr>
          <w:rStyle w:val="Emphaseple"/>
          <w:i/>
          <w:iCs/>
          <w:color w:val="auto"/>
        </w:rPr>
        <w:t>adaptation</w:t>
      </w:r>
      <w:r w:rsidR="00E263CF" w:rsidRPr="00E72418">
        <w:rPr>
          <w:rStyle w:val="Emphaseple"/>
          <w:i/>
          <w:iCs/>
          <w:color w:val="auto"/>
        </w:rPr>
        <w:t>s suggérées</w:t>
      </w:r>
      <w:bookmarkEnd w:id="216"/>
      <w:bookmarkEnd w:id="217"/>
    </w:p>
    <w:p w14:paraId="7CBA9EBE" w14:textId="77777777" w:rsidR="009F5812" w:rsidRPr="00E72418" w:rsidRDefault="009F5812" w:rsidP="0054314B">
      <w:pPr>
        <w:rPr>
          <w:rStyle w:val="Emphaseple"/>
          <w:i w:val="0"/>
          <w:iCs w:val="0"/>
          <w:color w:val="auto"/>
        </w:rPr>
      </w:pPr>
    </w:p>
    <w:p w14:paraId="29216131" w14:textId="05370CA7" w:rsidR="00C21616" w:rsidRPr="00E72418" w:rsidRDefault="007F038F" w:rsidP="00CC4BA8">
      <w:pPr>
        <w:spacing w:line="276" w:lineRule="auto"/>
      </w:pPr>
      <w:r w:rsidRPr="00E72418">
        <w:rPr>
          <w:b/>
        </w:rPr>
        <w:t>190</w:t>
      </w:r>
      <w:r w:rsidR="007E31CD" w:rsidRPr="00E72418">
        <w:rPr>
          <w:b/>
        </w:rPr>
        <w:t xml:space="preserve">. </w:t>
      </w:r>
      <w:r w:rsidR="00C21616" w:rsidRPr="00E72418">
        <w:rPr>
          <w:b/>
        </w:rPr>
        <w:t>Des décisions de circonstance –</w:t>
      </w:r>
      <w:r w:rsidR="00C21616" w:rsidRPr="00E72418">
        <w:t xml:space="preserve"> Le caractère exceptionnel de la situation argentine doit, pour </w:t>
      </w:r>
      <w:r w:rsidR="009B7317" w:rsidRPr="00E72418">
        <w:t>nombre</w:t>
      </w:r>
      <w:r w:rsidR="00C21616" w:rsidRPr="00E72418">
        <w:t xml:space="preserve"> de commentateurs, conduire à ce que la jurisprudence y relative soit appliquée de la manière la plus étroite possible</w:t>
      </w:r>
      <w:r w:rsidR="009F5812" w:rsidRPr="00E72418">
        <w:rPr>
          <w:rStyle w:val="Appelnotedebasdep"/>
        </w:rPr>
        <w:footnoteReference w:id="995"/>
      </w:r>
      <w:r w:rsidR="00C21616" w:rsidRPr="00E72418">
        <w:t xml:space="preserve">. Cette casuistique particulière fut d’ailleurs </w:t>
      </w:r>
      <w:r w:rsidR="00E76173" w:rsidRPr="00E72418">
        <w:t xml:space="preserve">soulignée </w:t>
      </w:r>
      <w:r w:rsidR="00C21616" w:rsidRPr="00E72418">
        <w:t xml:space="preserve">par la </w:t>
      </w:r>
      <w:r w:rsidR="00C21616" w:rsidRPr="00735BBE">
        <w:t>United States Court of Appeals for the Second Circuit</w:t>
      </w:r>
      <w:r w:rsidR="00C21616" w:rsidRPr="00E72418">
        <w:t xml:space="preserve"> indiquant notamment que « this case is an exceptional one with little apparent bearing on transactions that can be expected in the </w:t>
      </w:r>
      <w:r w:rsidR="00C21616" w:rsidRPr="00E72418">
        <w:lastRenderedPageBreak/>
        <w:t>future »</w:t>
      </w:r>
      <w:r w:rsidR="00C21616" w:rsidRPr="00E72418">
        <w:rPr>
          <w:rStyle w:val="Appelnotedebasdep"/>
          <w:rFonts w:cs="Times New Roman"/>
          <w:szCs w:val="24"/>
        </w:rPr>
        <w:footnoteReference w:id="996"/>
      </w:r>
      <w:r w:rsidR="009F01A1" w:rsidRPr="00E72418">
        <w:t xml:space="preserve">. La </w:t>
      </w:r>
      <w:r w:rsidR="009B7317" w:rsidRPr="00E72418">
        <w:t>juridiction</w:t>
      </w:r>
      <w:r w:rsidR="009F01A1" w:rsidRPr="00E72418">
        <w:t xml:space="preserve"> souligna</w:t>
      </w:r>
      <w:r w:rsidR="00C21616" w:rsidRPr="00E72418">
        <w:t xml:space="preserve"> </w:t>
      </w:r>
      <w:r w:rsidR="009B7317" w:rsidRPr="00E72418">
        <w:t>encore</w:t>
      </w:r>
      <w:r w:rsidR="00C21616" w:rsidRPr="00E72418">
        <w:t xml:space="preserve"> que sa décision « does not control the interpretation of all </w:t>
      </w:r>
      <w:r w:rsidR="00C21616" w:rsidRPr="00E72418">
        <w:rPr>
          <w:i/>
          <w:iCs/>
        </w:rPr>
        <w:t xml:space="preserve">pari passu </w:t>
      </w:r>
      <w:r w:rsidR="00C21616" w:rsidRPr="00E72418">
        <w:t xml:space="preserve">clauses or the obligations of other sovereign debtors under </w:t>
      </w:r>
      <w:r w:rsidR="00C21616" w:rsidRPr="00E72418">
        <w:rPr>
          <w:i/>
          <w:iCs/>
        </w:rPr>
        <w:t xml:space="preserve">pari passu </w:t>
      </w:r>
      <w:r w:rsidR="00C21616" w:rsidRPr="00E72418">
        <w:t>clauses in other debt instruments »</w:t>
      </w:r>
      <w:r w:rsidR="00C21616" w:rsidRPr="00E72418">
        <w:rPr>
          <w:rStyle w:val="Appelnotedebasdep"/>
          <w:rFonts w:cs="Times New Roman"/>
          <w:szCs w:val="24"/>
        </w:rPr>
        <w:footnoteReference w:id="997"/>
      </w:r>
      <w:r w:rsidR="00C21616" w:rsidRPr="00E72418">
        <w:t xml:space="preserve">. </w:t>
      </w:r>
    </w:p>
    <w:p w14:paraId="009A5C5D" w14:textId="6ED7C89C" w:rsidR="00C21616" w:rsidRPr="00E72418" w:rsidRDefault="00C21616" w:rsidP="00CC4BA8">
      <w:pPr>
        <w:spacing w:line="276" w:lineRule="auto"/>
      </w:pPr>
      <w:r w:rsidRPr="00E72418">
        <w:t>Si l’on peut retenir de ce</w:t>
      </w:r>
      <w:r w:rsidR="009B7317" w:rsidRPr="00E72418">
        <w:t>s</w:t>
      </w:r>
      <w:r w:rsidR="00462CD0" w:rsidRPr="00E72418">
        <w:t xml:space="preserve"> propos que la c</w:t>
      </w:r>
      <w:r w:rsidRPr="00E72418">
        <w:t xml:space="preserve">our d’appel se défend de toute </w:t>
      </w:r>
      <w:r w:rsidR="001243C1" w:rsidRPr="00E72418">
        <w:t xml:space="preserve">direction </w:t>
      </w:r>
      <w:r w:rsidRPr="00E72418">
        <w:t>internat</w:t>
      </w:r>
      <w:r w:rsidR="009B7317" w:rsidRPr="00E72418">
        <w:t>ionale et relativise la force de</w:t>
      </w:r>
      <w:r w:rsidRPr="00E72418">
        <w:t xml:space="preserve"> précédent</w:t>
      </w:r>
      <w:r w:rsidR="009B7317" w:rsidRPr="00E72418">
        <w:t xml:space="preserve"> de ses décisions</w:t>
      </w:r>
      <w:r w:rsidRPr="00E72418">
        <w:t xml:space="preserve">, il reste que, dans les faits, les juridictions ayant à appliquer le droit de New York en raison d’une clause de droit applicable </w:t>
      </w:r>
      <w:r w:rsidR="00455321" w:rsidRPr="00E72418">
        <w:t>devraient</w:t>
      </w:r>
      <w:r w:rsidRPr="00E72418">
        <w:t xml:space="preserve"> </w:t>
      </w:r>
      <w:r w:rsidR="000E72FC" w:rsidRPr="00E72418">
        <w:rPr>
          <w:i/>
        </w:rPr>
        <w:t>a priori</w:t>
      </w:r>
      <w:r w:rsidR="000E72FC" w:rsidRPr="00E72418">
        <w:t xml:space="preserve"> </w:t>
      </w:r>
      <w:r w:rsidRPr="00E72418">
        <w:t>retenir l’interprétation donnée par la Cour</w:t>
      </w:r>
      <w:r w:rsidRPr="00E72418">
        <w:rPr>
          <w:rStyle w:val="Appelnotedebasdep"/>
          <w:rFonts w:cs="Times New Roman"/>
          <w:szCs w:val="24"/>
        </w:rPr>
        <w:footnoteReference w:id="998"/>
      </w:r>
      <w:r w:rsidRPr="00E72418">
        <w:t xml:space="preserve">. </w:t>
      </w:r>
      <w:r w:rsidR="009B7317" w:rsidRPr="00E72418">
        <w:t>Et l</w:t>
      </w:r>
      <w:r w:rsidRPr="00E72418">
        <w:t xml:space="preserve">es conséquences sont importantes quand on sait que bon nombre de contrats </w:t>
      </w:r>
      <w:r w:rsidR="009B7317" w:rsidRPr="00E72418">
        <w:t>de dettes</w:t>
      </w:r>
      <w:r w:rsidRPr="00E72418">
        <w:t xml:space="preserve"> souverain</w:t>
      </w:r>
      <w:r w:rsidR="009B7317" w:rsidRPr="00E72418">
        <w:t>e</w:t>
      </w:r>
      <w:r w:rsidRPr="00E72418">
        <w:t>s identifient les juridictions new-yorkaises comme c</w:t>
      </w:r>
      <w:r w:rsidR="009B7317" w:rsidRPr="00E72418">
        <w:t>ompétentes en cas de difficultés</w:t>
      </w:r>
      <w:r w:rsidRPr="00E72418">
        <w:t xml:space="preserve"> et le droit new-yorkais comme applicable à celles-ci</w:t>
      </w:r>
      <w:r w:rsidRPr="00E72418">
        <w:rPr>
          <w:rStyle w:val="Appelnotedebasdep"/>
          <w:rFonts w:cs="Times New Roman"/>
          <w:szCs w:val="24"/>
        </w:rPr>
        <w:footnoteReference w:id="999"/>
      </w:r>
      <w:r w:rsidR="009B7317" w:rsidRPr="00E72418">
        <w:t>. C</w:t>
      </w:r>
      <w:r w:rsidRPr="00E72418">
        <w:t xml:space="preserve">omme le notent </w:t>
      </w:r>
      <w:r w:rsidR="003D7F91" w:rsidRPr="00E72418">
        <w:t xml:space="preserve">Lee </w:t>
      </w:r>
      <w:r w:rsidRPr="00E72418">
        <w:t xml:space="preserve">Buchheit et </w:t>
      </w:r>
      <w:r w:rsidR="003D7F91" w:rsidRPr="00E72418">
        <w:t xml:space="preserve">Mitu </w:t>
      </w:r>
      <w:r w:rsidRPr="00E72418">
        <w:t>Gulati, « </w:t>
      </w:r>
      <w:r w:rsidRPr="00E72418">
        <w:rPr>
          <w:rFonts w:ascii="Times New Roman" w:hAnsi="Times New Roman"/>
        </w:rPr>
        <w:t>[i]</w:t>
      </w:r>
      <w:r w:rsidRPr="00E72418">
        <w:t xml:space="preserve">t may be years before subsequent cases gradually narrow the NML decision to the peculiar facts of the Argentine case or the peculiar wording of the </w:t>
      </w:r>
      <w:r w:rsidRPr="00E72418">
        <w:rPr>
          <w:i/>
        </w:rPr>
        <w:t>pari passu</w:t>
      </w:r>
      <w:r w:rsidRPr="00E72418">
        <w:t xml:space="preserve"> clause in the Argentine Bonds (and it was peculiar) »</w:t>
      </w:r>
      <w:r w:rsidRPr="00E72418">
        <w:rPr>
          <w:rStyle w:val="Appelnotedebasdep"/>
          <w:rFonts w:cs="Times New Roman"/>
          <w:szCs w:val="24"/>
        </w:rPr>
        <w:footnoteReference w:id="1000"/>
      </w:r>
      <w:r w:rsidRPr="00E72418">
        <w:t>.</w:t>
      </w:r>
    </w:p>
    <w:p w14:paraId="3CD5FACE" w14:textId="77777777" w:rsidR="00C21616" w:rsidRPr="00E72418" w:rsidRDefault="00C21616" w:rsidP="0054314B"/>
    <w:p w14:paraId="78039251" w14:textId="1EC7A546" w:rsidR="00C21616" w:rsidRPr="00E72418" w:rsidRDefault="007F038F" w:rsidP="00CC4BA8">
      <w:pPr>
        <w:spacing w:line="276" w:lineRule="auto"/>
      </w:pPr>
      <w:r w:rsidRPr="00E72418">
        <w:rPr>
          <w:b/>
        </w:rPr>
        <w:t>191</w:t>
      </w:r>
      <w:r w:rsidR="007E31CD" w:rsidRPr="00E72418">
        <w:rPr>
          <w:b/>
        </w:rPr>
        <w:t xml:space="preserve">. </w:t>
      </w:r>
      <w:r w:rsidR="00C21616" w:rsidRPr="00E72418">
        <w:rPr>
          <w:b/>
        </w:rPr>
        <w:t xml:space="preserve">De très nombreuses critiques – </w:t>
      </w:r>
      <w:r w:rsidR="009B7317" w:rsidRPr="00E72418">
        <w:t>Maints</w:t>
      </w:r>
      <w:r w:rsidR="00C21616" w:rsidRPr="00E72418">
        <w:t xml:space="preserve"> intervenants lors des procédures ent</w:t>
      </w:r>
      <w:r w:rsidR="009B7317" w:rsidRPr="00E72418">
        <w:t xml:space="preserve">ourant l’injonction de même qu’une importante partie </w:t>
      </w:r>
      <w:r w:rsidR="00C21616" w:rsidRPr="00E72418">
        <w:t>de ses commentateurs s’insu</w:t>
      </w:r>
      <w:r w:rsidR="00A51648" w:rsidRPr="00E72418">
        <w:t>r</w:t>
      </w:r>
      <w:r w:rsidR="00C21616" w:rsidRPr="00E72418">
        <w:t xml:space="preserve">gèrent contre l’erreur de droit qu’ils voyaient commise à l’endroit de l’interprétation de la clause </w:t>
      </w:r>
      <w:r w:rsidR="00C21616" w:rsidRPr="00E72418">
        <w:rPr>
          <w:i/>
        </w:rPr>
        <w:t>pari passu</w:t>
      </w:r>
      <w:r w:rsidR="00C21616" w:rsidRPr="00E72418">
        <w:t>.</w:t>
      </w:r>
      <w:r w:rsidR="00C21616" w:rsidRPr="00E72418">
        <w:rPr>
          <w:b/>
        </w:rPr>
        <w:t xml:space="preserve"> </w:t>
      </w:r>
      <w:r w:rsidR="00C21616" w:rsidRPr="00E72418">
        <w:t xml:space="preserve">Pour les </w:t>
      </w:r>
      <w:r w:rsidR="00C21616" w:rsidRPr="00E72418">
        <w:rPr>
          <w:lang w:eastAsia="fr-BE"/>
        </w:rPr>
        <w:t>É</w:t>
      </w:r>
      <w:r w:rsidR="00C21616" w:rsidRPr="00E72418">
        <w:t xml:space="preserve">tats-Unis ayant déposé une </w:t>
      </w:r>
      <w:r w:rsidR="00C21616" w:rsidRPr="00E72418">
        <w:rPr>
          <w:i/>
        </w:rPr>
        <w:t>amicus brief</w:t>
      </w:r>
      <w:r w:rsidR="00C21616" w:rsidRPr="00E72418">
        <w:t xml:space="preserve"> durant le contentieux, l’interprétation faite de la clause « contradicts the settled market understanding » laquelle en retient une lecture restreinte</w:t>
      </w:r>
      <w:r w:rsidR="00C21616" w:rsidRPr="00E72418">
        <w:rPr>
          <w:rStyle w:val="Appelnotedebasdep"/>
          <w:rFonts w:ascii="Times New Roman" w:hAnsi="Times New Roman" w:cs="Times New Roman"/>
          <w:szCs w:val="24"/>
        </w:rPr>
        <w:footnoteReference w:id="1001"/>
      </w:r>
      <w:r w:rsidR="00C21616" w:rsidRPr="00E72418">
        <w:t xml:space="preserve">. </w:t>
      </w:r>
      <w:r w:rsidR="004721AA" w:rsidRPr="00E72418">
        <w:t>La même conda</w:t>
      </w:r>
      <w:r w:rsidR="008035F8" w:rsidRPr="00E72418">
        <w:t>mnation était formulée du côté d’une grande partie de la</w:t>
      </w:r>
      <w:r w:rsidR="004721AA" w:rsidRPr="00E72418">
        <w:t xml:space="preserve"> doctrine parmi laquelle, par exemple, </w:t>
      </w:r>
      <w:r w:rsidR="00E33737" w:rsidRPr="00E72418">
        <w:t xml:space="preserve">Lee </w:t>
      </w:r>
      <w:r w:rsidR="004721AA" w:rsidRPr="00E72418">
        <w:t xml:space="preserve">Buchheit et </w:t>
      </w:r>
      <w:r w:rsidR="00E33737" w:rsidRPr="00E72418">
        <w:t xml:space="preserve">Mitu </w:t>
      </w:r>
      <w:r w:rsidR="004721AA" w:rsidRPr="00E72418">
        <w:t>Gulati note</w:t>
      </w:r>
      <w:r w:rsidR="0004079A" w:rsidRPr="00E72418">
        <w:t>nt qu’</w:t>
      </w:r>
      <w:r w:rsidR="00C21616" w:rsidRPr="00E72418">
        <w:t xml:space="preserve"> « [a]s a matter of contract interpretation of the </w:t>
      </w:r>
      <w:r w:rsidR="00C21616" w:rsidRPr="00E72418">
        <w:rPr>
          <w:i/>
        </w:rPr>
        <w:t>pari passu</w:t>
      </w:r>
      <w:r w:rsidR="00C21616" w:rsidRPr="00E72418">
        <w:t xml:space="preserve"> clause, the decision was certainly wrong »</w:t>
      </w:r>
      <w:r w:rsidR="00C21616" w:rsidRPr="00E72418">
        <w:rPr>
          <w:rStyle w:val="Appelnotedebasdep"/>
          <w:rFonts w:ascii="Times New Roman" w:hAnsi="Times New Roman" w:cs="Times New Roman"/>
          <w:szCs w:val="24"/>
        </w:rPr>
        <w:footnoteReference w:id="1002"/>
      </w:r>
      <w:r w:rsidR="008035F8" w:rsidRPr="00E72418">
        <w:t>.</w:t>
      </w:r>
      <w:r w:rsidR="007C7B1A" w:rsidRPr="00E72418">
        <w:rPr>
          <w:rStyle w:val="Appelnotedebasdep"/>
        </w:rPr>
        <w:t xml:space="preserve"> </w:t>
      </w:r>
      <w:r w:rsidR="008035F8" w:rsidRPr="00E72418">
        <w:rPr>
          <w:rFonts w:ascii="Times New Roman" w:hAnsi="Times New Roman" w:cs="Times New Roman"/>
        </w:rPr>
        <w:t>Pour d’autres auteurs, moins nombreux, ce n’</w:t>
      </w:r>
      <w:r w:rsidR="0071364A" w:rsidRPr="00E72418">
        <w:rPr>
          <w:rFonts w:ascii="Times New Roman" w:hAnsi="Times New Roman" w:cs="Times New Roman"/>
        </w:rPr>
        <w:t>est</w:t>
      </w:r>
      <w:r w:rsidR="008035F8" w:rsidRPr="00E72418">
        <w:rPr>
          <w:rFonts w:ascii="Times New Roman" w:hAnsi="Times New Roman" w:cs="Times New Roman"/>
        </w:rPr>
        <w:t xml:space="preserve"> pas l’interprétation faite de la clause qui est problématique mais la sanction de la violation retenue. Ainsi</w:t>
      </w:r>
      <w:r w:rsidR="00527C72" w:rsidRPr="00E72418">
        <w:rPr>
          <w:rFonts w:ascii="Times New Roman" w:hAnsi="Times New Roman" w:cs="Times New Roman"/>
        </w:rPr>
        <w:t>,</w:t>
      </w:r>
      <w:r w:rsidR="008035F8" w:rsidRPr="00E72418">
        <w:rPr>
          <w:rFonts w:ascii="Times New Roman" w:hAnsi="Times New Roman" w:cs="Times New Roman"/>
        </w:rPr>
        <w:t xml:space="preserve"> </w:t>
      </w:r>
      <w:r w:rsidR="000444ED" w:rsidRPr="00E72418">
        <w:rPr>
          <w:rFonts w:ascii="Times New Roman" w:hAnsi="Times New Roman" w:cs="Times New Roman"/>
        </w:rPr>
        <w:t xml:space="preserve">Romain </w:t>
      </w:r>
      <w:r w:rsidR="008035F8" w:rsidRPr="00E72418">
        <w:rPr>
          <w:rFonts w:ascii="Times New Roman" w:hAnsi="Times New Roman" w:cs="Times New Roman"/>
        </w:rPr>
        <w:t>Zamour relevait que « </w:t>
      </w:r>
      <w:r w:rsidR="008035F8" w:rsidRPr="00E72418">
        <w:rPr>
          <w:rFonts w:ascii="Times New Roman" w:hAnsi="Times New Roman" w:cs="Times New Roman"/>
          <w:szCs w:val="24"/>
        </w:rPr>
        <w:t xml:space="preserve">Argentina </w:t>
      </w:r>
      <w:r w:rsidR="008035F8" w:rsidRPr="00E72418">
        <w:rPr>
          <w:rFonts w:ascii="Times New Roman" w:hAnsi="Times New Roman" w:cs="Times New Roman"/>
          <w:szCs w:val="24"/>
        </w:rPr>
        <w:lastRenderedPageBreak/>
        <w:t xml:space="preserve">breached the </w:t>
      </w:r>
      <w:r w:rsidR="008035F8" w:rsidRPr="00E72418">
        <w:rPr>
          <w:rFonts w:ascii="Times New Roman" w:hAnsi="Times New Roman" w:cs="Times New Roman"/>
          <w:i/>
          <w:iCs/>
          <w:szCs w:val="24"/>
        </w:rPr>
        <w:t xml:space="preserve">pari passu </w:t>
      </w:r>
      <w:r w:rsidR="008035F8" w:rsidRPr="00E72418">
        <w:rPr>
          <w:rFonts w:ascii="Times New Roman" w:hAnsi="Times New Roman" w:cs="Times New Roman"/>
          <w:szCs w:val="24"/>
        </w:rPr>
        <w:t xml:space="preserve">clause under any reading of the clause </w:t>
      </w:r>
      <w:r w:rsidR="008035F8" w:rsidRPr="00E72418">
        <w:rPr>
          <w:rFonts w:ascii="Times New Roman" w:hAnsi="Times New Roman" w:cs="Times New Roman"/>
        </w:rPr>
        <w:t>» mais que « </w:t>
      </w:r>
      <w:r w:rsidR="008035F8" w:rsidRPr="00E72418">
        <w:rPr>
          <w:szCs w:val="20"/>
          <w:lang w:val="en-US"/>
        </w:rPr>
        <w:t>[t]</w:t>
      </w:r>
      <w:r w:rsidR="008035F8" w:rsidRPr="00E72418">
        <w:rPr>
          <w:rFonts w:ascii="Times New Roman" w:hAnsi="Times New Roman" w:cs="Times New Roman"/>
          <w:szCs w:val="24"/>
        </w:rPr>
        <w:t>he remedial issue in this case,</w:t>
      </w:r>
      <w:r w:rsidR="008035F8" w:rsidRPr="00E72418">
        <w:rPr>
          <w:rFonts w:ascii="Times New Roman" w:hAnsi="Times New Roman" w:cs="Times New Roman"/>
        </w:rPr>
        <w:t xml:space="preserve"> </w:t>
      </w:r>
      <w:r w:rsidR="008035F8" w:rsidRPr="00E72418">
        <w:rPr>
          <w:rFonts w:ascii="Times New Roman" w:hAnsi="Times New Roman" w:cs="Times New Roman"/>
          <w:szCs w:val="24"/>
        </w:rPr>
        <w:t>however, is complex</w:t>
      </w:r>
      <w:r w:rsidR="008035F8" w:rsidRPr="00E72418">
        <w:rPr>
          <w:rFonts w:ascii="Times New Roman" w:hAnsi="Times New Roman" w:cs="Times New Roman"/>
        </w:rPr>
        <w:t> »</w:t>
      </w:r>
      <w:r w:rsidR="007C7B1A" w:rsidRPr="00E72418">
        <w:rPr>
          <w:rStyle w:val="Appelnotedebasdep"/>
        </w:rPr>
        <w:footnoteReference w:id="1003"/>
      </w:r>
      <w:r w:rsidR="00C21616" w:rsidRPr="00E72418">
        <w:t xml:space="preserve">. Outre </w:t>
      </w:r>
      <w:r w:rsidR="008035F8" w:rsidRPr="00E72418">
        <w:t xml:space="preserve">les fréquentes critiques portant sur </w:t>
      </w:r>
      <w:r w:rsidR="00C21616" w:rsidRPr="00E72418">
        <w:t>l’interprétation retenue de la clause</w:t>
      </w:r>
      <w:r w:rsidR="008035F8" w:rsidRPr="00E72418">
        <w:t xml:space="preserve"> ou celles sur la sanction à retenir de sa violation</w:t>
      </w:r>
      <w:r w:rsidR="00C21616" w:rsidRPr="00E72418">
        <w:t>, les décisions new-yorkaises furent abondamment critiq</w:t>
      </w:r>
      <w:r w:rsidR="004721AA" w:rsidRPr="00E72418">
        <w:t xml:space="preserve">uées pour leurs effets </w:t>
      </w:r>
      <w:r w:rsidR="00B5557E" w:rsidRPr="00E72418">
        <w:t xml:space="preserve">délétères </w:t>
      </w:r>
      <w:r w:rsidR="00C21616" w:rsidRPr="00E72418">
        <w:t xml:space="preserve">sur la sécurité juridique, sur les chances de succès des restructurations, sur l’égalité des créanciers ou encore sur la place des </w:t>
      </w:r>
      <w:r w:rsidR="00C21616" w:rsidRPr="00E72418">
        <w:rPr>
          <w:lang w:eastAsia="fr-BE"/>
        </w:rPr>
        <w:t>É</w:t>
      </w:r>
      <w:r w:rsidR="00C21616" w:rsidRPr="00E72418">
        <w:t>tats-Unis en tant que centre financier</w:t>
      </w:r>
      <w:r w:rsidR="00C21616" w:rsidRPr="00E72418">
        <w:rPr>
          <w:rStyle w:val="Appelnotedebasdep"/>
          <w:rFonts w:ascii="Times New Roman" w:hAnsi="Times New Roman" w:cs="Times New Roman"/>
          <w:szCs w:val="24"/>
        </w:rPr>
        <w:footnoteReference w:id="1004"/>
      </w:r>
      <w:r w:rsidR="00C21616" w:rsidRPr="00E72418">
        <w:t>.</w:t>
      </w:r>
    </w:p>
    <w:p w14:paraId="6C1C3B9A" w14:textId="77777777" w:rsidR="00527C72" w:rsidRPr="00E72418" w:rsidRDefault="00527C72" w:rsidP="00CC4BA8">
      <w:pPr>
        <w:spacing w:line="276" w:lineRule="auto"/>
      </w:pPr>
    </w:p>
    <w:p w14:paraId="77D724D7" w14:textId="0FF96482" w:rsidR="00C21616" w:rsidRPr="00E72418" w:rsidRDefault="007F038F" w:rsidP="00CC4BA8">
      <w:pPr>
        <w:spacing w:line="276" w:lineRule="auto"/>
      </w:pPr>
      <w:r w:rsidRPr="00E72418">
        <w:rPr>
          <w:b/>
        </w:rPr>
        <w:t>192</w:t>
      </w:r>
      <w:r w:rsidR="007E31CD" w:rsidRPr="00E72418">
        <w:rPr>
          <w:b/>
        </w:rPr>
        <w:t xml:space="preserve">. </w:t>
      </w:r>
      <w:r w:rsidR="00C21616" w:rsidRPr="00E72418">
        <w:rPr>
          <w:b/>
        </w:rPr>
        <w:t>L’insécurité juridique</w:t>
      </w:r>
      <w:r w:rsidR="00C21616" w:rsidRPr="00E72418">
        <w:rPr>
          <w:rFonts w:ascii="Times New Roman" w:hAnsi="Times New Roman"/>
          <w:b/>
        </w:rPr>
        <w:t xml:space="preserve"> – </w:t>
      </w:r>
      <w:r w:rsidR="00C21616" w:rsidRPr="00E72418">
        <w:rPr>
          <w:rFonts w:ascii="Times New Roman" w:hAnsi="Times New Roman"/>
        </w:rPr>
        <w:t xml:space="preserve">Avec leurs décisions, </w:t>
      </w:r>
      <w:r w:rsidR="00C21616" w:rsidRPr="00E72418">
        <w:t>les juridictions new-yorkaises on</w:t>
      </w:r>
      <w:r w:rsidR="0017729F" w:rsidRPr="00E72418">
        <w:t>t introduit dans le marché des</w:t>
      </w:r>
      <w:r w:rsidR="00C21616" w:rsidRPr="00E72418">
        <w:t xml:space="preserve"> dette</w:t>
      </w:r>
      <w:r w:rsidR="0017729F" w:rsidRPr="00E72418">
        <w:t>s</w:t>
      </w:r>
      <w:r w:rsidR="00C21616" w:rsidRPr="00E72418">
        <w:t xml:space="preserve"> souveraine</w:t>
      </w:r>
      <w:r w:rsidR="0017729F" w:rsidRPr="00E72418">
        <w:t>s</w:t>
      </w:r>
      <w:r w:rsidR="00C21616" w:rsidRPr="00E72418">
        <w:t xml:space="preserve"> une certaine dose d’incertitude </w:t>
      </w:r>
      <w:r w:rsidR="00A574CE" w:rsidRPr="00E72418">
        <w:t>indésirable</w:t>
      </w:r>
      <w:r w:rsidR="00C21616" w:rsidRPr="00E72418">
        <w:rPr>
          <w:rStyle w:val="Appelnotedebasdep"/>
          <w:szCs w:val="24"/>
        </w:rPr>
        <w:footnoteReference w:id="1005"/>
      </w:r>
      <w:r w:rsidR="00C21616" w:rsidRPr="00E72418">
        <w:t xml:space="preserve">. Comme le relèvent </w:t>
      </w:r>
      <w:r w:rsidR="000D05F9" w:rsidRPr="00E72418">
        <w:t xml:space="preserve">Howard Steel </w:t>
      </w:r>
      <w:r w:rsidR="000D05F9" w:rsidRPr="00E72418">
        <w:rPr>
          <w:i/>
        </w:rPr>
        <w:t>et al.</w:t>
      </w:r>
      <w:r w:rsidR="000D05F9" w:rsidRPr="00E72418">
        <w:t>,</w:t>
      </w:r>
      <w:r w:rsidR="00C21616" w:rsidRPr="00E72418">
        <w:t xml:space="preserve"> « </w:t>
      </w:r>
      <w:r w:rsidR="00C21616" w:rsidRPr="00E72418">
        <w:rPr>
          <w:rFonts w:ascii="Times New Roman" w:hAnsi="Times New Roman"/>
        </w:rPr>
        <w:t>[u]</w:t>
      </w:r>
      <w:r w:rsidR="00C21616" w:rsidRPr="00E72418">
        <w:t>nder New York law, bargained-for contractual provisions are enforced as they are written »</w:t>
      </w:r>
      <w:r w:rsidR="00C21616" w:rsidRPr="00E72418">
        <w:rPr>
          <w:rStyle w:val="Appelnotedebasdep"/>
          <w:rFonts w:cs="Times New Roman"/>
          <w:szCs w:val="24"/>
        </w:rPr>
        <w:footnoteReference w:id="1006"/>
      </w:r>
      <w:r w:rsidR="00C21616" w:rsidRPr="00E72418">
        <w:t>. Après avoir rappelé la décision</w:t>
      </w:r>
      <w:r w:rsidR="00C21616" w:rsidRPr="00E72418">
        <w:rPr>
          <w:shd w:val="clear" w:color="auto" w:fill="FFFFFF"/>
        </w:rPr>
        <w:t xml:space="preserve"> </w:t>
      </w:r>
      <w:r w:rsidR="00C21616" w:rsidRPr="00E72418">
        <w:rPr>
          <w:i/>
        </w:rPr>
        <w:t xml:space="preserve">Sharon Steel Corp. v. Chase Manhattan Bank, N.A </w:t>
      </w:r>
      <w:r w:rsidR="00C21616" w:rsidRPr="00E72418">
        <w:t xml:space="preserve">de la </w:t>
      </w:r>
      <w:r w:rsidR="00C21616" w:rsidRPr="00735BBE">
        <w:rPr>
          <w:shd w:val="clear" w:color="auto" w:fill="FFFFFF"/>
        </w:rPr>
        <w:t>United States Court of Appeals for the Second Circuit</w:t>
      </w:r>
      <w:r w:rsidR="00C21616" w:rsidRPr="00E72418">
        <w:rPr>
          <w:i/>
        </w:rPr>
        <w:t xml:space="preserve"> </w:t>
      </w:r>
      <w:r w:rsidR="00C21616" w:rsidRPr="00E72418">
        <w:t>qui insiste sur l’importance d’une interprétation uniforme des contrats, les auteurs ajoutent que « New York courts are reluctant to find implied indenture terms that parties did not bargain for or to interpret common indenture terms in an unconventional fashion because doing so “on a case-by-case basis threatens to inject an impermissible degree of uncertainty into the bond market” »</w:t>
      </w:r>
      <w:r w:rsidR="00C21616" w:rsidRPr="00E72418">
        <w:rPr>
          <w:rStyle w:val="Appelnotedebasdep"/>
          <w:rFonts w:cs="Times New Roman"/>
          <w:szCs w:val="24"/>
        </w:rPr>
        <w:footnoteReference w:id="1007"/>
      </w:r>
      <w:r w:rsidR="00C21616" w:rsidRPr="00E72418">
        <w:t>.</w:t>
      </w:r>
    </w:p>
    <w:p w14:paraId="13AD36CE" w14:textId="500D7AD0" w:rsidR="00C21616" w:rsidRPr="00E72418" w:rsidRDefault="00C21616" w:rsidP="00CC4BA8">
      <w:pPr>
        <w:spacing w:line="276" w:lineRule="auto"/>
      </w:pPr>
      <w:r w:rsidRPr="00E72418">
        <w:t xml:space="preserve">Si la lecture faite </w:t>
      </w:r>
      <w:r w:rsidR="00A574CE" w:rsidRPr="00E72418">
        <w:t xml:space="preserve">par </w:t>
      </w:r>
      <w:r w:rsidRPr="00E72418">
        <w:t xml:space="preserve">les juridictions new-yorkaises de la clause </w:t>
      </w:r>
      <w:r w:rsidRPr="00E72418">
        <w:rPr>
          <w:i/>
        </w:rPr>
        <w:t>pari passu</w:t>
      </w:r>
      <w:r w:rsidRPr="00E72418">
        <w:t xml:space="preserve"> pouvait notamment s’expliquer par l’attitude défiante de la République argentine, c</w:t>
      </w:r>
      <w:r w:rsidR="00A574CE" w:rsidRPr="00E72418">
        <w:t>ette lecture apparaî</w:t>
      </w:r>
      <w:r w:rsidRPr="00E72418">
        <w:t xml:space="preserve">t néanmoins trop dangereuse pour s’en trouver justifiée. Ainsi, </w:t>
      </w:r>
      <w:r w:rsidR="00BA657D" w:rsidRPr="00E72418">
        <w:t xml:space="preserve">Tim </w:t>
      </w:r>
      <w:r w:rsidRPr="00E72418">
        <w:t xml:space="preserve">Samples critique la surinterprétation de la clause en ce que « </w:t>
      </w:r>
      <w:r w:rsidRPr="00E72418">
        <w:rPr>
          <w:rFonts w:ascii="Times New Roman" w:hAnsi="Times New Roman"/>
        </w:rPr>
        <w:t>[c]</w:t>
      </w:r>
      <w:r w:rsidRPr="00E72418">
        <w:t>rafting radical judicial remedies with small shreds of ambiguous language seems overzealous, given the high stakes in a critical area of law »</w:t>
      </w:r>
      <w:r w:rsidRPr="00E72418">
        <w:rPr>
          <w:rStyle w:val="Appelnotedebasdep"/>
          <w:rFonts w:cs="Times New Roman"/>
          <w:szCs w:val="24"/>
        </w:rPr>
        <w:footnoteReference w:id="1008"/>
      </w:r>
      <w:r w:rsidRPr="00E72418">
        <w:t xml:space="preserve">. </w:t>
      </w:r>
    </w:p>
    <w:p w14:paraId="771C497C" w14:textId="77777777" w:rsidR="00C21616" w:rsidRPr="00E72418" w:rsidRDefault="00C21616" w:rsidP="0054314B"/>
    <w:p w14:paraId="133C1349" w14:textId="002A1F6F" w:rsidR="00C21616" w:rsidRPr="00E72418" w:rsidRDefault="007F038F" w:rsidP="00CC4BA8">
      <w:pPr>
        <w:spacing w:line="276" w:lineRule="auto"/>
      </w:pPr>
      <w:r w:rsidRPr="00E72418">
        <w:rPr>
          <w:b/>
        </w:rPr>
        <w:lastRenderedPageBreak/>
        <w:t>193</w:t>
      </w:r>
      <w:r w:rsidR="007E31CD" w:rsidRPr="00E72418">
        <w:rPr>
          <w:b/>
        </w:rPr>
        <w:t xml:space="preserve">. </w:t>
      </w:r>
      <w:r w:rsidR="00C21616" w:rsidRPr="00E72418">
        <w:rPr>
          <w:b/>
        </w:rPr>
        <w:t xml:space="preserve">Une menace pour les restructurations futures </w:t>
      </w:r>
      <w:r w:rsidR="00C21616" w:rsidRPr="00E72418">
        <w:rPr>
          <w:rFonts w:ascii="Times New Roman" w:hAnsi="Times New Roman"/>
          <w:b/>
        </w:rPr>
        <w:t>–</w:t>
      </w:r>
      <w:r w:rsidR="00C21616" w:rsidRPr="00E72418">
        <w:rPr>
          <w:b/>
        </w:rPr>
        <w:t xml:space="preserve"> </w:t>
      </w:r>
      <w:r w:rsidR="00C21616" w:rsidRPr="00E72418">
        <w:t>Si les décisions étatsuniennes furent saluées</w:t>
      </w:r>
      <w:r w:rsidR="00E705D8" w:rsidRPr="00E72418">
        <w:t>, par certains et à certains égards,</w:t>
      </w:r>
      <w:r w:rsidR="00C21616" w:rsidRPr="00E72418">
        <w:t xml:space="preserve"> en ce qu’elles permettaient de lutter contre des </w:t>
      </w:r>
      <w:r w:rsidR="00C21616" w:rsidRPr="00E72418">
        <w:rPr>
          <w:lang w:eastAsia="fr-BE"/>
        </w:rPr>
        <w:t>É</w:t>
      </w:r>
      <w:r w:rsidR="00C21616" w:rsidRPr="00E72418">
        <w:t xml:space="preserve">tats </w:t>
      </w:r>
      <w:r w:rsidR="00E705D8" w:rsidRPr="00E72418">
        <w:t xml:space="preserve">débiteurs </w:t>
      </w:r>
      <w:r w:rsidR="00C21616" w:rsidRPr="00E72418">
        <w:t>abusant de leur situation</w:t>
      </w:r>
      <w:r w:rsidR="00C21616" w:rsidRPr="00E72418">
        <w:rPr>
          <w:rStyle w:val="Appelnotedebasdep"/>
          <w:rFonts w:cs="Times New Roman"/>
          <w:szCs w:val="24"/>
        </w:rPr>
        <w:footnoteReference w:id="1009"/>
      </w:r>
      <w:r w:rsidR="00C21616" w:rsidRPr="00E72418">
        <w:t>, elles furent surtout critiquées pour les menaces qu’elles fa</w:t>
      </w:r>
      <w:r w:rsidR="00A51648" w:rsidRPr="00E72418">
        <w:t>isaient planer sur les restruct</w:t>
      </w:r>
      <w:r w:rsidR="00C21616" w:rsidRPr="00E72418">
        <w:t xml:space="preserve">urations de dettes souveraines futures. </w:t>
      </w:r>
    </w:p>
    <w:p w14:paraId="02BC871A" w14:textId="161FE904" w:rsidR="00C21616" w:rsidRPr="00E72418" w:rsidRDefault="00C21616" w:rsidP="00CC4BA8">
      <w:pPr>
        <w:spacing w:line="276" w:lineRule="auto"/>
      </w:pPr>
      <w:r w:rsidRPr="00E72418">
        <w:t xml:space="preserve">Ainsi, les </w:t>
      </w:r>
      <w:r w:rsidRPr="00E72418">
        <w:rPr>
          <w:lang w:eastAsia="fr-BE"/>
        </w:rPr>
        <w:t>É</w:t>
      </w:r>
      <w:r w:rsidRPr="00E72418">
        <w:t>tats-Unis firent valoir que les décisions rendues risquaient de miner des décennies d’effort visant à encourager la mise sur pied d’un système de résolution concerté des crises de dettes souveraines</w:t>
      </w:r>
      <w:r w:rsidRPr="00E72418">
        <w:rPr>
          <w:rStyle w:val="Appelnotedebasdep"/>
          <w:rFonts w:cs="Times New Roman"/>
          <w:szCs w:val="24"/>
        </w:rPr>
        <w:footnoteReference w:id="1010"/>
      </w:r>
      <w:r w:rsidRPr="00E72418">
        <w:t xml:space="preserve">. Ils avançaient également dans leur </w:t>
      </w:r>
      <w:r w:rsidRPr="00E72418">
        <w:rPr>
          <w:i/>
        </w:rPr>
        <w:t>amicus brief</w:t>
      </w:r>
      <w:r w:rsidRPr="00E72418">
        <w:t xml:space="preserve"> que les décisions étaient de nature à permettre à « a single creditor to thwart the implementation of an internationally supported restructuring plan »</w:t>
      </w:r>
      <w:r w:rsidRPr="00E72418">
        <w:rPr>
          <w:rStyle w:val="Appelnotedebasdep"/>
          <w:rFonts w:cs="Times New Roman"/>
          <w:szCs w:val="24"/>
        </w:rPr>
        <w:footnoteReference w:id="1011"/>
      </w:r>
      <w:r w:rsidRPr="00E72418">
        <w:t xml:space="preserve">. En empêchant que puissent être réglés des montants dus à des créanciers ayant accepté une restructuration, les juridictions étatsuniennes donnèrent aux créanciers récalcitrants un moyen de torpiller les restructurations </w:t>
      </w:r>
      <w:r w:rsidR="00B85F7F" w:rsidRPr="00E72418">
        <w:t xml:space="preserve">les rendant </w:t>
      </w:r>
      <w:r w:rsidR="00AD7212" w:rsidRPr="00E72418">
        <w:t xml:space="preserve">ainsi </w:t>
      </w:r>
      <w:r w:rsidR="00B85F7F" w:rsidRPr="00E72418">
        <w:t>t</w:t>
      </w:r>
      <w:r w:rsidR="00E705D8" w:rsidRPr="00E72418">
        <w:t xml:space="preserve">rès difficiles voire </w:t>
      </w:r>
      <w:r w:rsidRPr="00E72418">
        <w:t>impossibles dans le futur</w:t>
      </w:r>
      <w:r w:rsidRPr="00E72418">
        <w:rPr>
          <w:rStyle w:val="Appelnotedebasdep"/>
          <w:rFonts w:cs="Times New Roman"/>
          <w:szCs w:val="24"/>
        </w:rPr>
        <w:footnoteReference w:id="1012"/>
      </w:r>
      <w:r w:rsidRPr="00E72418">
        <w:t xml:space="preserve">. Comme le note le </w:t>
      </w:r>
      <w:r w:rsidRPr="00E72418">
        <w:rPr>
          <w:i/>
        </w:rPr>
        <w:t>Committee on International Economic Policy and Reform</w:t>
      </w:r>
      <w:r w:rsidRPr="00E72418">
        <w:t>, « recent rulings in New York may give creditors the first broadly replicable remedy against sovereign debtors since the days of gunboat diplomacy a century ago »</w:t>
      </w:r>
      <w:r w:rsidRPr="00E72418">
        <w:rPr>
          <w:rStyle w:val="Appelnotedebasdep"/>
          <w:rFonts w:cs="Times New Roman"/>
          <w:szCs w:val="24"/>
        </w:rPr>
        <w:footnoteReference w:id="1013"/>
      </w:r>
      <w:r w:rsidRPr="00E72418">
        <w:t>.</w:t>
      </w:r>
    </w:p>
    <w:p w14:paraId="1597B109" w14:textId="3CE0DCA3" w:rsidR="00C21616" w:rsidRPr="00E72418" w:rsidRDefault="00C21616" w:rsidP="00CC4BA8">
      <w:pPr>
        <w:spacing w:line="276" w:lineRule="auto"/>
      </w:pPr>
      <w:r w:rsidRPr="00E72418">
        <w:t xml:space="preserve">Si l’interprétation donnée à la clause </w:t>
      </w:r>
      <w:r w:rsidRPr="00E72418">
        <w:rPr>
          <w:i/>
        </w:rPr>
        <w:t>pari passu</w:t>
      </w:r>
      <w:r w:rsidRPr="00E72418">
        <w:t xml:space="preserve"> par les juridictions new-yorkaises menace les restructurations, elle incite par ailleurs</w:t>
      </w:r>
      <w:r w:rsidR="00E705D8" w:rsidRPr="00E72418">
        <w:t xml:space="preserve"> et plus généralement</w:t>
      </w:r>
      <w:r w:rsidRPr="00E72418">
        <w:t xml:space="preserve"> à l’adoption de comportements récalcitrants. En effet, l’injonction obtenue conduit les créanciers d’</w:t>
      </w:r>
      <w:r w:rsidRPr="00E72418">
        <w:rPr>
          <w:lang w:eastAsia="fr-BE"/>
        </w:rPr>
        <w:t>É</w:t>
      </w:r>
      <w:r w:rsidRPr="00E72418">
        <w:t xml:space="preserve">tats souverains à retenir qu’il est possible d’obtenir davantage de leur débiteur en s’engageant dans la voie conflictuelle plutôt que dans la consensuelle. Comme le relève </w:t>
      </w:r>
      <w:r w:rsidR="00E8016A" w:rsidRPr="00E72418">
        <w:t xml:space="preserve">John </w:t>
      </w:r>
      <w:r w:rsidRPr="00E72418">
        <w:t>Pottow, « </w:t>
      </w:r>
      <w:r w:rsidRPr="00E72418">
        <w:rPr>
          <w:rFonts w:ascii="Times New Roman" w:hAnsi="Times New Roman"/>
        </w:rPr>
        <w:t>[t]</w:t>
      </w:r>
      <w:r w:rsidRPr="00E72418">
        <w:t xml:space="preserve">he most troubling policy outcome with this case is the perverse holdout incentive it creates </w:t>
      </w:r>
      <w:r w:rsidRPr="00E72418">
        <w:rPr>
          <w:bCs/>
        </w:rPr>
        <w:t xml:space="preserve">by </w:t>
      </w:r>
      <w:r w:rsidRPr="00E72418">
        <w:t xml:space="preserve">paying the holdouts </w:t>
      </w:r>
      <w:r w:rsidRPr="00E72418">
        <w:rPr>
          <w:iCs/>
        </w:rPr>
        <w:t>more</w:t>
      </w:r>
      <w:r w:rsidRPr="00E72418">
        <w:rPr>
          <w:i/>
          <w:iCs/>
        </w:rPr>
        <w:t xml:space="preserve"> </w:t>
      </w:r>
      <w:r w:rsidRPr="00E72418">
        <w:t>than the cooperators »</w:t>
      </w:r>
      <w:r w:rsidRPr="00E72418">
        <w:rPr>
          <w:rStyle w:val="Appelnotedebasdep"/>
          <w:rFonts w:cs="Times New Roman"/>
          <w:szCs w:val="24"/>
        </w:rPr>
        <w:footnoteReference w:id="1014"/>
      </w:r>
      <w:r w:rsidRPr="00E72418">
        <w:t>.</w:t>
      </w:r>
    </w:p>
    <w:p w14:paraId="776F6FC6" w14:textId="0F653784" w:rsidR="00C21616" w:rsidRPr="00E72418" w:rsidRDefault="00C21616" w:rsidP="0054314B"/>
    <w:p w14:paraId="091FF70B" w14:textId="00135FB3" w:rsidR="00C21616" w:rsidRPr="00E72418" w:rsidRDefault="007F038F" w:rsidP="00CC4BA8">
      <w:pPr>
        <w:spacing w:line="276" w:lineRule="auto"/>
      </w:pPr>
      <w:r w:rsidRPr="00E72418">
        <w:rPr>
          <w:b/>
        </w:rPr>
        <w:t>194</w:t>
      </w:r>
      <w:r w:rsidR="007E31CD" w:rsidRPr="00E72418">
        <w:rPr>
          <w:b/>
        </w:rPr>
        <w:t xml:space="preserve">. </w:t>
      </w:r>
      <w:r w:rsidR="00C21616" w:rsidRPr="00E72418">
        <w:rPr>
          <w:b/>
        </w:rPr>
        <w:t>La rupture de l’équité entre créanciers –</w:t>
      </w:r>
      <w:r w:rsidR="00C21616" w:rsidRPr="00E72418">
        <w:t xml:space="preserve"> Nombre de critiques de l’injonction épinglent la surinterprétation faite de la clause </w:t>
      </w:r>
      <w:r w:rsidR="00C21616" w:rsidRPr="00E72418">
        <w:rPr>
          <w:i/>
        </w:rPr>
        <w:t>pari passu</w:t>
      </w:r>
      <w:r w:rsidR="00C21616" w:rsidRPr="00E72418">
        <w:t xml:space="preserve"> </w:t>
      </w:r>
      <w:r w:rsidR="00612A87" w:rsidRPr="00E72418">
        <w:t>qui</w:t>
      </w:r>
      <w:r w:rsidR="00C21616" w:rsidRPr="00E72418">
        <w:t xml:space="preserve"> vise uniquement à éviter que la dette d’un </w:t>
      </w:r>
      <w:r w:rsidR="00C21616" w:rsidRPr="00E72418">
        <w:lastRenderedPageBreak/>
        <w:t>créancier soit subordonnée à celle d’un autre</w:t>
      </w:r>
      <w:r w:rsidR="00C21616" w:rsidRPr="00E72418">
        <w:rPr>
          <w:rStyle w:val="Appelnotedebasdep"/>
          <w:rFonts w:cs="Times New Roman"/>
          <w:szCs w:val="24"/>
        </w:rPr>
        <w:footnoteReference w:id="1015"/>
      </w:r>
      <w:r w:rsidR="00C21616" w:rsidRPr="00E72418">
        <w:t xml:space="preserve">. Il est </w:t>
      </w:r>
      <w:r w:rsidR="00612A87" w:rsidRPr="00E72418">
        <w:t xml:space="preserve">en effet </w:t>
      </w:r>
      <w:r w:rsidR="00C21616" w:rsidRPr="00E72418">
        <w:t xml:space="preserve">généralement retenu que la clause </w:t>
      </w:r>
      <w:r w:rsidR="00C21616" w:rsidRPr="00E72418">
        <w:rPr>
          <w:i/>
        </w:rPr>
        <w:t>pari passu</w:t>
      </w:r>
      <w:r w:rsidR="00C21616" w:rsidRPr="00E72418">
        <w:t xml:space="preserve"> doit être simplement lue comme empêchant que des dettes soient légalement subordonnées à d’autres dettes dues par le même </w:t>
      </w:r>
      <w:r w:rsidR="00612A87" w:rsidRPr="00E72418">
        <w:t>débiteur</w:t>
      </w:r>
      <w:r w:rsidR="00C21616" w:rsidRPr="00E72418">
        <w:t xml:space="preserve">. Pourtant, en permettant aux créanciers récalcitrants de voir leurs obligations honorées dans leurs termes originaux alors que les créanciers coopérants </w:t>
      </w:r>
      <w:r w:rsidR="00612A87" w:rsidRPr="00E72418">
        <w:t>bénéficient uniquement des</w:t>
      </w:r>
      <w:r w:rsidR="00C21616" w:rsidRPr="00E72418">
        <w:t xml:space="preserve"> termes restructurés, l</w:t>
      </w:r>
      <w:r w:rsidR="00A51648" w:rsidRPr="00E72418">
        <w:t>’on pourrait conclure à une supé</w:t>
      </w:r>
      <w:r w:rsidR="00C21616" w:rsidRPr="00E72418">
        <w:t>rio</w:t>
      </w:r>
      <w:r w:rsidR="00A51648" w:rsidRPr="00E72418">
        <w:t>ri</w:t>
      </w:r>
      <w:r w:rsidR="00C21616" w:rsidRPr="00E72418">
        <w:t>té légale conférée aux premiers</w:t>
      </w:r>
      <w:r w:rsidR="00C21616" w:rsidRPr="00E72418">
        <w:rPr>
          <w:rStyle w:val="Appelnotedebasdep"/>
          <w:rFonts w:cs="Times New Roman"/>
          <w:szCs w:val="24"/>
        </w:rPr>
        <w:footnoteReference w:id="1016"/>
      </w:r>
      <w:r w:rsidR="00C21616" w:rsidRPr="00E72418">
        <w:t xml:space="preserve">. Cette situation ne semble pas poser souci à la </w:t>
      </w:r>
      <w:r w:rsidR="008F3A4E" w:rsidRPr="00735BBE">
        <w:rPr>
          <w:lang w:val="en-US"/>
        </w:rPr>
        <w:t>United States Court of Appeals for the Second Circuit</w:t>
      </w:r>
      <w:r w:rsidR="008F3A4E" w:rsidRPr="00E72418">
        <w:t xml:space="preserve"> </w:t>
      </w:r>
      <w:r w:rsidR="00C21616" w:rsidRPr="00E72418">
        <w:t>qui précise que « </w:t>
      </w:r>
      <w:r w:rsidR="00C21616" w:rsidRPr="00E72418">
        <w:rPr>
          <w:rFonts w:ascii="Times New Roman" w:hAnsi="Times New Roman"/>
        </w:rPr>
        <w:t>[w]</w:t>
      </w:r>
      <w:r w:rsidR="00C21616" w:rsidRPr="00E72418">
        <w:t>e believe that it is equitable for one creditor to receive what it bargained for, and is therefore entitled to, even if other creditors, when receiving what they bargained for, do not receive the same thing »</w:t>
      </w:r>
      <w:r w:rsidR="00C21616" w:rsidRPr="00E72418">
        <w:rPr>
          <w:rStyle w:val="Appelnotedebasdep"/>
          <w:rFonts w:cs="Times New Roman"/>
          <w:szCs w:val="24"/>
        </w:rPr>
        <w:footnoteReference w:id="1017"/>
      </w:r>
      <w:r w:rsidR="00C21616" w:rsidRPr="00E72418">
        <w:t>.</w:t>
      </w:r>
    </w:p>
    <w:p w14:paraId="2A551B11" w14:textId="77777777" w:rsidR="00C21616" w:rsidRPr="00E72418" w:rsidRDefault="00C21616" w:rsidP="0054314B"/>
    <w:p w14:paraId="1DFC2C40" w14:textId="6C0A776E" w:rsidR="00C21616" w:rsidRPr="00E72418" w:rsidRDefault="007F038F" w:rsidP="00CC4BA8">
      <w:pPr>
        <w:spacing w:line="276" w:lineRule="auto"/>
      </w:pPr>
      <w:r w:rsidRPr="00E72418">
        <w:rPr>
          <w:b/>
        </w:rPr>
        <w:t>195</w:t>
      </w:r>
      <w:r w:rsidR="007E31CD" w:rsidRPr="00E72418">
        <w:rPr>
          <w:b/>
        </w:rPr>
        <w:t xml:space="preserve">. </w:t>
      </w:r>
      <w:r w:rsidR="00C21616" w:rsidRPr="00E72418">
        <w:rPr>
          <w:b/>
        </w:rPr>
        <w:t xml:space="preserve">L’effet néfaste pour les </w:t>
      </w:r>
      <w:r w:rsidR="00C21616" w:rsidRPr="00E72418">
        <w:rPr>
          <w:b/>
          <w:lang w:eastAsia="fr-BE"/>
        </w:rPr>
        <w:t>É</w:t>
      </w:r>
      <w:r w:rsidR="00C21616" w:rsidRPr="00E72418">
        <w:rPr>
          <w:b/>
        </w:rPr>
        <w:t>tats-Unis –</w:t>
      </w:r>
      <w:r w:rsidR="00C21616" w:rsidRPr="00E72418">
        <w:t xml:space="preserve"> L’argument de l’impact négatif des décisions étatsuniennes sur le recours au droit new-yorkais et sur la place de New York sur l’échiquier de la finance internationale fut également avancé</w:t>
      </w:r>
      <w:r w:rsidR="00511AA5" w:rsidRPr="00E72418">
        <w:rPr>
          <w:rStyle w:val="Appelnotedebasdep"/>
        </w:rPr>
        <w:footnoteReference w:id="1018"/>
      </w:r>
      <w:r w:rsidR="00C21616" w:rsidRPr="00E72418">
        <w:t xml:space="preserve">. </w:t>
      </w:r>
      <w:r w:rsidR="00A51648" w:rsidRPr="00E72418">
        <w:t>L</w:t>
      </w:r>
      <w:r w:rsidR="00C21616" w:rsidRPr="00E72418">
        <w:t xml:space="preserve">a </w:t>
      </w:r>
      <w:r w:rsidR="008F3A4E" w:rsidRPr="00735BBE">
        <w:rPr>
          <w:lang w:val="en-US"/>
        </w:rPr>
        <w:t>United States Court of Appeals for the Second Circuit</w:t>
      </w:r>
      <w:r w:rsidR="008F3A4E" w:rsidRPr="00735BBE">
        <w:t xml:space="preserve"> </w:t>
      </w:r>
      <w:r w:rsidR="000F5FE4">
        <w:t>se montra</w:t>
      </w:r>
      <w:r w:rsidR="00C21616" w:rsidRPr="00E72418">
        <w:t xml:space="preserve"> attentive à l’importance d’une telle place. Toutefois, pour elle, « the interest </w:t>
      </w:r>
      <w:r w:rsidR="002F4499" w:rsidRPr="00E72418">
        <w:rPr>
          <w:b/>
        </w:rPr>
        <w:t xml:space="preserve">– </w:t>
      </w:r>
      <w:r w:rsidR="00C21616" w:rsidRPr="00E72418">
        <w:t>one widely shared in the financi</w:t>
      </w:r>
      <w:r w:rsidR="002F4499" w:rsidRPr="00E72418">
        <w:t xml:space="preserve">al community </w:t>
      </w:r>
      <w:r w:rsidR="002F4499" w:rsidRPr="00E72418">
        <w:rPr>
          <w:b/>
        </w:rPr>
        <w:t>–</w:t>
      </w:r>
      <w:r w:rsidR="00C21616" w:rsidRPr="00E72418">
        <w:t xml:space="preserve"> in maintaining New York’s status as one of the foremost commercial centers is advanced by requiring debtors, including foreign debtors, to pay their debts »</w:t>
      </w:r>
      <w:r w:rsidR="00C21616" w:rsidRPr="00E72418">
        <w:rPr>
          <w:rStyle w:val="Appelnotedebasdep"/>
          <w:rFonts w:cs="Times New Roman"/>
          <w:szCs w:val="24"/>
        </w:rPr>
        <w:footnoteReference w:id="1019"/>
      </w:r>
      <w:r w:rsidR="00C21616" w:rsidRPr="00E72418">
        <w:t xml:space="preserve">. </w:t>
      </w:r>
      <w:r w:rsidR="000D05F9" w:rsidRPr="00E72418">
        <w:t xml:space="preserve">Howard Steel </w:t>
      </w:r>
      <w:r w:rsidR="000D05F9" w:rsidRPr="00E72418">
        <w:rPr>
          <w:i/>
        </w:rPr>
        <w:t>et al.</w:t>
      </w:r>
      <w:r w:rsidR="000D05F9" w:rsidRPr="00E72418">
        <w:t xml:space="preserve"> </w:t>
      </w:r>
      <w:r w:rsidR="00C21616" w:rsidRPr="00E72418">
        <w:t xml:space="preserve">vont plus loin en affirmant que la jurisprudence étatsunienne renforce la place du droit </w:t>
      </w:r>
      <w:r w:rsidR="0017729F" w:rsidRPr="00E72418">
        <w:t xml:space="preserve">new-yorkais sur le marché des </w:t>
      </w:r>
      <w:r w:rsidR="00C21616" w:rsidRPr="00E72418">
        <w:t>dette</w:t>
      </w:r>
      <w:r w:rsidR="0017729F" w:rsidRPr="00E72418">
        <w:t>s</w:t>
      </w:r>
      <w:r w:rsidR="00C21616" w:rsidRPr="00E72418">
        <w:t xml:space="preserve"> souveraine</w:t>
      </w:r>
      <w:r w:rsidR="0017729F" w:rsidRPr="00E72418">
        <w:t>s</w:t>
      </w:r>
      <w:r w:rsidR="00C21616" w:rsidRPr="00E72418">
        <w:t xml:space="preserve"> en ce que « </w:t>
      </w:r>
      <w:r w:rsidR="00C21616" w:rsidRPr="00E72418">
        <w:rPr>
          <w:rFonts w:ascii="Times New Roman" w:hAnsi="Times New Roman"/>
        </w:rPr>
        <w:t>[f]</w:t>
      </w:r>
      <w:r w:rsidR="00C21616" w:rsidRPr="00E72418">
        <w:t>uture borrowers and lenders may continue to rely upon foundational principals of contract construction under New York law when evaluating the terms of their indentures without fear of undue interpretative bias »</w:t>
      </w:r>
      <w:r w:rsidR="00C21616" w:rsidRPr="00E72418">
        <w:rPr>
          <w:rStyle w:val="Appelnotedebasdep"/>
          <w:rFonts w:cs="Times New Roman"/>
          <w:szCs w:val="24"/>
        </w:rPr>
        <w:footnoteReference w:id="1020"/>
      </w:r>
      <w:r w:rsidR="00C21616" w:rsidRPr="00E72418">
        <w:t>.</w:t>
      </w:r>
    </w:p>
    <w:p w14:paraId="4FCBBBCE" w14:textId="69B2150D" w:rsidR="00C21616" w:rsidRPr="00E72418" w:rsidRDefault="007F038F" w:rsidP="00CC4BA8">
      <w:pPr>
        <w:spacing w:line="276" w:lineRule="auto"/>
      </w:pPr>
      <w:r w:rsidRPr="00E72418">
        <w:rPr>
          <w:b/>
        </w:rPr>
        <w:lastRenderedPageBreak/>
        <w:t>196</w:t>
      </w:r>
      <w:r w:rsidR="007E31CD" w:rsidRPr="00E72418">
        <w:rPr>
          <w:b/>
        </w:rPr>
        <w:t xml:space="preserve">. </w:t>
      </w:r>
      <w:r w:rsidR="00C21616" w:rsidRPr="00E72418">
        <w:rPr>
          <w:b/>
        </w:rPr>
        <w:t>Quelques critiques positives néanmoins –</w:t>
      </w:r>
      <w:r w:rsidR="00C21616" w:rsidRPr="00E72418">
        <w:t xml:space="preserve"> </w:t>
      </w:r>
      <w:r w:rsidR="00442F49" w:rsidRPr="00E72418">
        <w:t xml:space="preserve">Si les </w:t>
      </w:r>
      <w:r w:rsidR="00C21616" w:rsidRPr="00E72418">
        <w:t>décisions étatsuniennes</w:t>
      </w:r>
      <w:r w:rsidR="00835A26" w:rsidRPr="00E72418">
        <w:t xml:space="preserve"> rendues lors du contentieux argentin</w:t>
      </w:r>
      <w:r w:rsidR="00442F49" w:rsidRPr="00E72418">
        <w:t xml:space="preserve"> firent l’objet de critiques très majoritairement négatives</w:t>
      </w:r>
      <w:r w:rsidR="00C21616" w:rsidRPr="00E72418">
        <w:t xml:space="preserve">, il en est </w:t>
      </w:r>
      <w:r w:rsidR="00442F49" w:rsidRPr="00E72418">
        <w:t xml:space="preserve">néanmoins </w:t>
      </w:r>
      <w:r w:rsidR="00C21616" w:rsidRPr="00E72418">
        <w:t xml:space="preserve">certaines qui y virent des conséquences positives. Ainsi, par exemple, </w:t>
      </w:r>
      <w:r w:rsidR="00281C39" w:rsidRPr="00E72418">
        <w:t xml:space="preserve">Benjamin </w:t>
      </w:r>
      <w:r w:rsidR="00C21616" w:rsidRPr="00E72418">
        <w:t xml:space="preserve">Chabot et </w:t>
      </w:r>
      <w:r w:rsidR="00281C39" w:rsidRPr="00E72418">
        <w:t xml:space="preserve">Veronica </w:t>
      </w:r>
      <w:r w:rsidR="00C21616" w:rsidRPr="00E72418">
        <w:t xml:space="preserve">Santarosa défendent l’idée selon laquelle « [t]here is every reason to think that by including </w:t>
      </w:r>
      <w:r w:rsidR="00C21616" w:rsidRPr="00E72418">
        <w:rPr>
          <w:i/>
        </w:rPr>
        <w:t>pari passu</w:t>
      </w:r>
      <w:r w:rsidR="00C21616" w:rsidRPr="00E72418">
        <w:t xml:space="preserve"> clauses in their bond contracts modern sovereign borrowers can likewise raise the cost of default and thereby signal their commitment to repay, reduce moral hazard and, as a result, borrow at lower rates »</w:t>
      </w:r>
      <w:r w:rsidR="00C21616" w:rsidRPr="00E72418">
        <w:rPr>
          <w:rStyle w:val="Appelnotedebasdep"/>
        </w:rPr>
        <w:footnoteReference w:id="1021"/>
      </w:r>
      <w:r w:rsidR="00C21616" w:rsidRPr="00E72418">
        <w:t>.</w:t>
      </w:r>
    </w:p>
    <w:p w14:paraId="55F0BCF4" w14:textId="77777777" w:rsidR="001F689C" w:rsidRPr="00E72418" w:rsidRDefault="001F689C" w:rsidP="0054314B"/>
    <w:p w14:paraId="0F8DC4CB" w14:textId="4A76F425" w:rsidR="00CE6C51" w:rsidRPr="00E72418" w:rsidRDefault="007F038F" w:rsidP="00CC4BA8">
      <w:pPr>
        <w:spacing w:line="276" w:lineRule="auto"/>
        <w:rPr>
          <w:rStyle w:val="Emphaseple"/>
          <w:i w:val="0"/>
          <w:color w:val="auto"/>
        </w:rPr>
      </w:pPr>
      <w:r w:rsidRPr="00E72418">
        <w:rPr>
          <w:rStyle w:val="Emphaseple"/>
          <w:b/>
          <w:i w:val="0"/>
          <w:color w:val="auto"/>
        </w:rPr>
        <w:t>197</w:t>
      </w:r>
      <w:r w:rsidR="007E31CD" w:rsidRPr="00E72418">
        <w:rPr>
          <w:rStyle w:val="Emphaseple"/>
          <w:b/>
          <w:i w:val="0"/>
          <w:color w:val="auto"/>
        </w:rPr>
        <w:t xml:space="preserve">. </w:t>
      </w:r>
      <w:r w:rsidR="00CE6C51" w:rsidRPr="00E72418">
        <w:rPr>
          <w:rStyle w:val="Emphaseple"/>
          <w:b/>
          <w:i w:val="0"/>
          <w:color w:val="auto"/>
        </w:rPr>
        <w:t xml:space="preserve">L’adaptation des clauses </w:t>
      </w:r>
      <w:r w:rsidR="00CE6C51" w:rsidRPr="00E72418">
        <w:rPr>
          <w:rFonts w:cs="Times New Roman"/>
          <w:b/>
          <w:szCs w:val="24"/>
        </w:rPr>
        <w:t xml:space="preserve">– </w:t>
      </w:r>
      <w:r w:rsidR="00CE6C51" w:rsidRPr="00E72418">
        <w:rPr>
          <w:rStyle w:val="Emphaseple"/>
          <w:i w:val="0"/>
          <w:color w:val="auto"/>
        </w:rPr>
        <w:t xml:space="preserve">Dès lors que les décisions étatsuniennes se sont fondées sur la clause </w:t>
      </w:r>
      <w:r w:rsidR="00CE6C51" w:rsidRPr="00E72418">
        <w:rPr>
          <w:rStyle w:val="Emphaseple"/>
          <w:color w:val="auto"/>
        </w:rPr>
        <w:t>pari passu</w:t>
      </w:r>
      <w:r w:rsidR="00CE6C51" w:rsidRPr="00E72418">
        <w:rPr>
          <w:rStyle w:val="Emphaseple"/>
          <w:i w:val="0"/>
          <w:color w:val="auto"/>
        </w:rPr>
        <w:t xml:space="preserve"> telle que reprise dans le </w:t>
      </w:r>
      <w:r w:rsidR="00CE6C51" w:rsidRPr="00E72418">
        <w:rPr>
          <w:rStyle w:val="Emphaseple"/>
          <w:color w:val="auto"/>
        </w:rPr>
        <w:t>Fiscal Agency Agreement</w:t>
      </w:r>
      <w:r w:rsidR="00CE6C51" w:rsidRPr="00E72418">
        <w:rPr>
          <w:rStyle w:val="Emphaseple"/>
          <w:i w:val="0"/>
          <w:color w:val="auto"/>
        </w:rPr>
        <w:t>, l’interprétation qui en fut donnée pourrait être évitée par une modificati</w:t>
      </w:r>
      <w:r w:rsidR="00835A26" w:rsidRPr="00E72418">
        <w:rPr>
          <w:rStyle w:val="Emphaseple"/>
          <w:i w:val="0"/>
          <w:color w:val="auto"/>
        </w:rPr>
        <w:t>on de la rédaction de la clause</w:t>
      </w:r>
      <w:r w:rsidR="00CE6C51" w:rsidRPr="00E72418">
        <w:rPr>
          <w:rStyle w:val="Emphaseple"/>
          <w:i w:val="0"/>
          <w:color w:val="auto"/>
        </w:rPr>
        <w:t xml:space="preserve"> voire </w:t>
      </w:r>
      <w:r w:rsidR="00835A26" w:rsidRPr="00E72418">
        <w:rPr>
          <w:rStyle w:val="Emphaseple"/>
          <w:i w:val="0"/>
          <w:color w:val="auto"/>
        </w:rPr>
        <w:t xml:space="preserve">plus </w:t>
      </w:r>
      <w:r w:rsidR="00CE6C51" w:rsidRPr="00E72418">
        <w:rPr>
          <w:rStyle w:val="Emphaseple"/>
          <w:i w:val="0"/>
          <w:color w:val="auto"/>
        </w:rPr>
        <w:t xml:space="preserve">simplement </w:t>
      </w:r>
      <w:r w:rsidR="00835A26" w:rsidRPr="00E72418">
        <w:rPr>
          <w:rStyle w:val="Emphaseple"/>
          <w:i w:val="0"/>
          <w:color w:val="auto"/>
        </w:rPr>
        <w:t>par son abandon</w:t>
      </w:r>
      <w:r w:rsidR="007A164A" w:rsidRPr="00E72418">
        <w:rPr>
          <w:rStyle w:val="Appelnotedebasdep"/>
          <w:iCs/>
        </w:rPr>
        <w:footnoteReference w:id="1022"/>
      </w:r>
      <w:r w:rsidR="000E72FC" w:rsidRPr="00E72418">
        <w:rPr>
          <w:rStyle w:val="Emphaseple"/>
          <w:i w:val="0"/>
          <w:color w:val="auto"/>
          <w:vertAlign w:val="superscript"/>
        </w:rPr>
        <w:t>,</w:t>
      </w:r>
      <w:r w:rsidR="00CE6C51" w:rsidRPr="00E72418">
        <w:rPr>
          <w:rStyle w:val="Appelnotedebasdep"/>
        </w:rPr>
        <w:footnoteReference w:id="1023"/>
      </w:r>
      <w:r w:rsidR="00CE6C51" w:rsidRPr="00E72418">
        <w:rPr>
          <w:rStyle w:val="Emphaseple"/>
          <w:i w:val="0"/>
          <w:color w:val="auto"/>
        </w:rPr>
        <w:t xml:space="preserve">. Créanciers et débiteurs </w:t>
      </w:r>
      <w:r w:rsidR="00835A26" w:rsidRPr="00E72418">
        <w:rPr>
          <w:rStyle w:val="Emphaseple"/>
          <w:i w:val="0"/>
          <w:color w:val="auto"/>
        </w:rPr>
        <w:t>pourraient</w:t>
      </w:r>
      <w:r w:rsidR="00CE6C51" w:rsidRPr="00E72418">
        <w:rPr>
          <w:rStyle w:val="Emphaseple"/>
          <w:i w:val="0"/>
          <w:color w:val="auto"/>
        </w:rPr>
        <w:t xml:space="preserve"> également s’accorder sur l’interprétation à donner à la clause.</w:t>
      </w:r>
    </w:p>
    <w:p w14:paraId="7F1FA390" w14:textId="651CE4E9" w:rsidR="00CE6C51" w:rsidRPr="00E72418" w:rsidRDefault="000E72FC" w:rsidP="00CC4BA8">
      <w:pPr>
        <w:spacing w:line="276" w:lineRule="auto"/>
        <w:rPr>
          <w:rFonts w:cs="Times New Roman"/>
          <w:szCs w:val="24"/>
        </w:rPr>
      </w:pPr>
      <w:r w:rsidRPr="00E72418">
        <w:t>À</w:t>
      </w:r>
      <w:r w:rsidR="00F16DA9" w:rsidRPr="00E72418">
        <w:rPr>
          <w:rFonts w:cs="Times New Roman"/>
          <w:szCs w:val="24"/>
        </w:rPr>
        <w:t xml:space="preserve"> la suite de </w:t>
      </w:r>
      <w:r w:rsidR="00CE6C51" w:rsidRPr="00E72418">
        <w:rPr>
          <w:rFonts w:cs="Times New Roman"/>
          <w:szCs w:val="24"/>
        </w:rPr>
        <w:t xml:space="preserve">l’épisode argentin, différentes initiatives furent prises afin de repenser la clause </w:t>
      </w:r>
      <w:r w:rsidR="00CE6C51" w:rsidRPr="00E72418">
        <w:rPr>
          <w:rFonts w:cs="Times New Roman"/>
          <w:i/>
          <w:szCs w:val="24"/>
        </w:rPr>
        <w:t>pari passu</w:t>
      </w:r>
      <w:r w:rsidR="00CE6C51" w:rsidRPr="00E72418">
        <w:rPr>
          <w:rFonts w:cs="Times New Roman"/>
          <w:szCs w:val="24"/>
        </w:rPr>
        <w:t xml:space="preserve"> </w:t>
      </w:r>
      <w:r w:rsidR="00B85F7F" w:rsidRPr="00E72418">
        <w:rPr>
          <w:rFonts w:cs="Times New Roman"/>
          <w:szCs w:val="24"/>
        </w:rPr>
        <w:t>en vue d’</w:t>
      </w:r>
      <w:r w:rsidR="00CE6C51" w:rsidRPr="00E72418">
        <w:rPr>
          <w:rFonts w:cs="Times New Roman"/>
          <w:szCs w:val="24"/>
        </w:rPr>
        <w:t xml:space="preserve">éviter l’écueil new-yorkais. </w:t>
      </w:r>
      <w:r w:rsidR="00CE6C51" w:rsidRPr="00E72418">
        <w:t>L’</w:t>
      </w:r>
      <w:r w:rsidR="00727DD5" w:rsidRPr="00E72418">
        <w:t xml:space="preserve">Association internationale des marchés de capitaux </w:t>
      </w:r>
      <w:r w:rsidR="00CE6C51" w:rsidRPr="00E72418">
        <w:t xml:space="preserve">présenta ainsi en août 2014 un nouveau modèle de clause </w:t>
      </w:r>
      <w:r w:rsidR="00CE6C51" w:rsidRPr="00E72418">
        <w:rPr>
          <w:i/>
        </w:rPr>
        <w:t>pari passu</w:t>
      </w:r>
      <w:r w:rsidR="00CE6C51" w:rsidRPr="00E72418">
        <w:t xml:space="preserve"> évitant l’interprétation donnée par</w:t>
      </w:r>
      <w:r w:rsidR="000F5FE4">
        <w:t xml:space="preserve"> les juridictions new-yorkaises</w:t>
      </w:r>
      <w:r w:rsidR="00CE6C51" w:rsidRPr="00E72418">
        <w:rPr>
          <w:rStyle w:val="Appelnotedebasdep"/>
        </w:rPr>
        <w:footnoteReference w:id="1024"/>
      </w:r>
      <w:r w:rsidR="00CE6C51" w:rsidRPr="00E72418">
        <w:t xml:space="preserve">. </w:t>
      </w:r>
      <w:r w:rsidR="00835A26" w:rsidRPr="00E72418">
        <w:rPr>
          <w:rFonts w:cs="Times New Roman"/>
          <w:szCs w:val="24"/>
        </w:rPr>
        <w:t>Dans le même sens, l</w:t>
      </w:r>
      <w:r w:rsidR="00CE6C51" w:rsidRPr="00E72418">
        <w:rPr>
          <w:rFonts w:cs="Times New Roman"/>
          <w:szCs w:val="24"/>
        </w:rPr>
        <w:t>e Fonds monétaire international fai</w:t>
      </w:r>
      <w:r w:rsidR="00835A26" w:rsidRPr="00E72418">
        <w:rPr>
          <w:rFonts w:cs="Times New Roman"/>
          <w:szCs w:val="24"/>
        </w:rPr>
        <w:t>sai</w:t>
      </w:r>
      <w:r w:rsidR="00CE6C51" w:rsidRPr="00E72418">
        <w:rPr>
          <w:rFonts w:cs="Times New Roman"/>
          <w:szCs w:val="24"/>
        </w:rPr>
        <w:t xml:space="preserve">t notamment valoir </w:t>
      </w:r>
      <w:r w:rsidR="00835A26" w:rsidRPr="00E72418">
        <w:rPr>
          <w:rFonts w:cs="Times New Roman"/>
          <w:szCs w:val="24"/>
        </w:rPr>
        <w:t xml:space="preserve">dans son rapport </w:t>
      </w:r>
      <w:r w:rsidR="00835A26" w:rsidRPr="00E72418">
        <w:rPr>
          <w:rFonts w:cs="Times New Roman"/>
          <w:smallCaps/>
          <w:szCs w:val="24"/>
        </w:rPr>
        <w:t xml:space="preserve">« </w:t>
      </w:r>
      <w:r w:rsidR="00835A26" w:rsidRPr="00E72418">
        <w:rPr>
          <w:rFonts w:cs="Times New Roman"/>
          <w:szCs w:val="24"/>
        </w:rPr>
        <w:t>Strengthening the contractual framework to address collective action problems in sovereign debt restructuring » de 2014 qu’</w:t>
      </w:r>
      <w:r w:rsidR="00CE6C51" w:rsidRPr="00E72418">
        <w:rPr>
          <w:rFonts w:cs="Times New Roman"/>
          <w:bCs/>
          <w:szCs w:val="24"/>
        </w:rPr>
        <w:t xml:space="preserve"> </w:t>
      </w:r>
      <w:r w:rsidR="00CE6C51" w:rsidRPr="00E72418">
        <w:rPr>
          <w:rFonts w:cs="Times New Roman"/>
          <w:szCs w:val="24"/>
        </w:rPr>
        <w:t>«</w:t>
      </w:r>
      <w:r w:rsidR="00CE6C51" w:rsidRPr="00E72418">
        <w:rPr>
          <w:rFonts w:cs="Times New Roman"/>
          <w:bCs/>
          <w:szCs w:val="24"/>
        </w:rPr>
        <w:t xml:space="preserve"> </w:t>
      </w:r>
      <w:r w:rsidR="00CE6C51" w:rsidRPr="00E72418">
        <w:rPr>
          <w:rFonts w:ascii="Times New Roman" w:hAnsi="Times New Roman" w:cs="Times New Roman"/>
        </w:rPr>
        <w:t>[i]</w:t>
      </w:r>
      <w:r w:rsidR="00CE6C51" w:rsidRPr="00E72418">
        <w:rPr>
          <w:rFonts w:cs="Times New Roman"/>
          <w:bCs/>
          <w:szCs w:val="24"/>
        </w:rPr>
        <w:t xml:space="preserve">n light of the uncertainty concerning the interpretation of the </w:t>
      </w:r>
      <w:r w:rsidR="00CE6C51" w:rsidRPr="00E72418">
        <w:rPr>
          <w:rFonts w:cs="Times New Roman"/>
          <w:bCs/>
          <w:i/>
          <w:szCs w:val="24"/>
        </w:rPr>
        <w:t>pari passu</w:t>
      </w:r>
      <w:r w:rsidR="00CE6C51" w:rsidRPr="00E72418">
        <w:rPr>
          <w:rFonts w:cs="Times New Roman"/>
          <w:bCs/>
          <w:szCs w:val="24"/>
        </w:rPr>
        <w:t xml:space="preserve"> clause, staff is of the view that </w:t>
      </w:r>
      <w:r w:rsidR="00CE6C51" w:rsidRPr="00E72418">
        <w:rPr>
          <w:rFonts w:cs="Times New Roman"/>
          <w:bCs/>
          <w:i/>
          <w:szCs w:val="24"/>
        </w:rPr>
        <w:t>pari passu</w:t>
      </w:r>
      <w:r w:rsidR="00CE6C51" w:rsidRPr="00E72418">
        <w:rPr>
          <w:rFonts w:cs="Times New Roman"/>
          <w:bCs/>
          <w:szCs w:val="24"/>
        </w:rPr>
        <w:t xml:space="preserve"> clauses should be drafted in a manner that, consistent with the </w:t>
      </w:r>
      <w:r w:rsidR="00727DD5" w:rsidRPr="00E72418">
        <w:rPr>
          <w:rFonts w:ascii="Times New Roman" w:hAnsi="Times New Roman" w:cs="Times New Roman"/>
        </w:rPr>
        <w:t>[</w:t>
      </w:r>
      <w:r w:rsidR="00727DD5" w:rsidRPr="00E72418">
        <w:rPr>
          <w:szCs w:val="20"/>
        </w:rPr>
        <w:t>International Capital Markets Association</w:t>
      </w:r>
      <w:r w:rsidR="00727DD5" w:rsidRPr="00E72418">
        <w:rPr>
          <w:rFonts w:ascii="Times New Roman" w:hAnsi="Times New Roman" w:cs="Times New Roman"/>
        </w:rPr>
        <w:t>]</w:t>
      </w:r>
      <w:r w:rsidR="00727DD5" w:rsidRPr="00E72418">
        <w:rPr>
          <w:rFonts w:cs="Times New Roman"/>
          <w:bCs/>
          <w:szCs w:val="24"/>
        </w:rPr>
        <w:t xml:space="preserve"> </w:t>
      </w:r>
      <w:r w:rsidR="00CE6C51" w:rsidRPr="00E72418">
        <w:rPr>
          <w:rFonts w:cs="Times New Roman"/>
          <w:bCs/>
          <w:szCs w:val="24"/>
        </w:rPr>
        <w:t xml:space="preserve">Model Clauses, explicitly excludes the obligation to effect ratable payments </w:t>
      </w:r>
      <w:r w:rsidR="00CE6C51" w:rsidRPr="00E72418">
        <w:rPr>
          <w:rFonts w:cs="Times New Roman"/>
          <w:szCs w:val="24"/>
        </w:rPr>
        <w:t>»</w:t>
      </w:r>
      <w:r w:rsidR="00CE6C51" w:rsidRPr="00E72418">
        <w:rPr>
          <w:rStyle w:val="Appelnotedebasdep"/>
          <w:rFonts w:cs="Times New Roman"/>
          <w:szCs w:val="24"/>
        </w:rPr>
        <w:footnoteReference w:id="1025"/>
      </w:r>
      <w:r w:rsidR="00CE6C51" w:rsidRPr="00E72418">
        <w:rPr>
          <w:rFonts w:cs="Times New Roman"/>
          <w:szCs w:val="24"/>
        </w:rPr>
        <w:t>.</w:t>
      </w:r>
    </w:p>
    <w:p w14:paraId="08CFF3AB" w14:textId="5A4567F3" w:rsidR="00A02DAE" w:rsidRPr="00E72418" w:rsidRDefault="009F0EBD" w:rsidP="0091693F">
      <w:pPr>
        <w:spacing w:line="276" w:lineRule="auto"/>
        <w:rPr>
          <w:rFonts w:ascii="Times New Roman" w:hAnsi="Times New Roman" w:cs="Times New Roman"/>
          <w:szCs w:val="24"/>
        </w:rPr>
      </w:pPr>
      <w:r w:rsidRPr="00E72418">
        <w:rPr>
          <w:rFonts w:ascii="Times New Roman" w:hAnsi="Times New Roman" w:cs="Times New Roman"/>
          <w:szCs w:val="24"/>
        </w:rPr>
        <w:lastRenderedPageBreak/>
        <w:t xml:space="preserve">Deborah Zandstra </w:t>
      </w:r>
      <w:r w:rsidRPr="00E72418">
        <w:rPr>
          <w:rFonts w:ascii="Times New Roman" w:hAnsi="Times New Roman" w:cs="Times New Roman"/>
          <w:i/>
          <w:szCs w:val="24"/>
        </w:rPr>
        <w:t>et al.</w:t>
      </w:r>
      <w:r w:rsidRPr="00E72418">
        <w:rPr>
          <w:rFonts w:ascii="Times New Roman" w:hAnsi="Times New Roman" w:cs="Times New Roman"/>
          <w:szCs w:val="24"/>
        </w:rPr>
        <w:t xml:space="preserve"> remarquent que « </w:t>
      </w:r>
      <w:r w:rsidRPr="00E72418">
        <w:rPr>
          <w:rFonts w:ascii="Times New Roman" w:hAnsi="Times New Roman" w:cs="Times New Roman"/>
          <w:lang w:val="fr-BE"/>
        </w:rPr>
        <w:t>it is now routine for new sovereign bond issuances governed by New York or English law to contain the latest enhanced CACs published by the International Capital Market Association (</w:t>
      </w:r>
      <w:r w:rsidRPr="00E72418">
        <w:rPr>
          <w:szCs w:val="20"/>
          <w:lang w:val="en-US"/>
        </w:rPr>
        <w:t>“ICMA”</w:t>
      </w:r>
      <w:r w:rsidRPr="00E72418">
        <w:rPr>
          <w:rFonts w:ascii="Times New Roman" w:hAnsi="Times New Roman" w:cs="Times New Roman"/>
          <w:lang w:val="fr-BE"/>
        </w:rPr>
        <w:t xml:space="preserve">) in 2014/2015 together with a template </w:t>
      </w:r>
      <w:r w:rsidRPr="00E72418">
        <w:rPr>
          <w:rFonts w:ascii="Times New Roman" w:hAnsi="Times New Roman" w:cs="Times New Roman"/>
          <w:i/>
          <w:iCs/>
          <w:lang w:val="fr-BE"/>
        </w:rPr>
        <w:t xml:space="preserve">pari passu </w:t>
      </w:r>
      <w:r w:rsidRPr="00E72418">
        <w:rPr>
          <w:rFonts w:ascii="Times New Roman" w:hAnsi="Times New Roman" w:cs="Times New Roman"/>
          <w:lang w:val="fr-BE"/>
        </w:rPr>
        <w:t xml:space="preserve">clause disavowing the rateable payment interpretation of </w:t>
      </w:r>
      <w:r w:rsidRPr="00E72418">
        <w:rPr>
          <w:rFonts w:ascii="Times New Roman" w:hAnsi="Times New Roman" w:cs="Times New Roman"/>
          <w:i/>
          <w:iCs/>
          <w:lang w:val="fr-BE"/>
        </w:rPr>
        <w:t xml:space="preserve">pari passu </w:t>
      </w:r>
      <w:r w:rsidRPr="00E72418">
        <w:rPr>
          <w:rFonts w:ascii="Times New Roman" w:hAnsi="Times New Roman" w:cs="Times New Roman"/>
          <w:lang w:val="fr-BE"/>
        </w:rPr>
        <w:t xml:space="preserve">clauses at the heart of the Argentine litigation prior to the latest Argentina restructuring </w:t>
      </w:r>
      <w:r w:rsidRPr="00E72418">
        <w:rPr>
          <w:rFonts w:ascii="Times New Roman" w:hAnsi="Times New Roman" w:cs="Times New Roman"/>
          <w:szCs w:val="24"/>
        </w:rPr>
        <w:t>»</w:t>
      </w:r>
      <w:r w:rsidRPr="00E72418">
        <w:rPr>
          <w:rStyle w:val="Appelnotedebasdep"/>
          <w:rFonts w:ascii="Times New Roman" w:hAnsi="Times New Roman" w:cs="Times New Roman"/>
          <w:szCs w:val="24"/>
        </w:rPr>
        <w:footnoteReference w:id="1026"/>
      </w:r>
      <w:r w:rsidRPr="00E72418">
        <w:rPr>
          <w:rFonts w:ascii="Times New Roman" w:hAnsi="Times New Roman" w:cs="Times New Roman"/>
          <w:szCs w:val="24"/>
        </w:rPr>
        <w:t>.</w:t>
      </w:r>
    </w:p>
    <w:p w14:paraId="33B1C11A" w14:textId="2C11F5CF" w:rsidR="0091693F" w:rsidRPr="00E72418" w:rsidRDefault="0091693F" w:rsidP="0091693F"/>
    <w:p w14:paraId="480FDA45" w14:textId="77777777" w:rsidR="0091693F" w:rsidRPr="00E72418" w:rsidRDefault="0091693F" w:rsidP="0091693F"/>
    <w:p w14:paraId="5E5275AB" w14:textId="5D7FBF04" w:rsidR="005E2035" w:rsidRPr="00E72418" w:rsidRDefault="003C32DE" w:rsidP="00CC4BA8">
      <w:pPr>
        <w:pStyle w:val="BB"/>
        <w:spacing w:line="276" w:lineRule="auto"/>
        <w:rPr>
          <w:rStyle w:val="Emphaseple"/>
          <w:i/>
          <w:iCs w:val="0"/>
          <w:color w:val="auto"/>
        </w:rPr>
      </w:pPr>
      <w:bookmarkStart w:id="218" w:name="_Toc59280940"/>
      <w:bookmarkStart w:id="219" w:name="_Toc75106096"/>
      <w:bookmarkStart w:id="220" w:name="_Toc84540928"/>
      <w:r w:rsidRPr="00E72418">
        <w:rPr>
          <w:rStyle w:val="Emphaseple"/>
          <w:i/>
          <w:iCs w:val="0"/>
          <w:color w:val="auto"/>
        </w:rPr>
        <w:t xml:space="preserve">Titre 2 : </w:t>
      </w:r>
      <w:r w:rsidR="005E2035" w:rsidRPr="00E72418">
        <w:rPr>
          <w:rStyle w:val="Emphaseple"/>
          <w:i/>
          <w:iCs w:val="0"/>
          <w:color w:val="auto"/>
        </w:rPr>
        <w:t>La défense</w:t>
      </w:r>
      <w:bookmarkEnd w:id="218"/>
      <w:bookmarkEnd w:id="219"/>
      <w:bookmarkEnd w:id="220"/>
    </w:p>
    <w:p w14:paraId="4BDA1491" w14:textId="77777777" w:rsidR="006E534E" w:rsidRPr="00E72418" w:rsidRDefault="006E534E" w:rsidP="0054314B">
      <w:pPr>
        <w:rPr>
          <w:rStyle w:val="Emphaseple"/>
          <w:i w:val="0"/>
          <w:iCs w:val="0"/>
          <w:color w:val="auto"/>
        </w:rPr>
      </w:pPr>
    </w:p>
    <w:p w14:paraId="1C7903F4" w14:textId="6977A6C2" w:rsidR="00DB0734" w:rsidRPr="00E72418" w:rsidRDefault="007F038F" w:rsidP="00CC4BA8">
      <w:pPr>
        <w:spacing w:line="276" w:lineRule="auto"/>
      </w:pPr>
      <w:r w:rsidRPr="00E72418">
        <w:rPr>
          <w:b/>
        </w:rPr>
        <w:t xml:space="preserve">198. </w:t>
      </w:r>
      <w:r w:rsidR="006E534E" w:rsidRPr="00E72418">
        <w:rPr>
          <w:b/>
        </w:rPr>
        <w:t xml:space="preserve">Différents axes de défense – </w:t>
      </w:r>
      <w:r w:rsidR="00753410" w:rsidRPr="00E72418">
        <w:t>Aussi</w:t>
      </w:r>
      <w:r w:rsidR="006E534E" w:rsidRPr="00E72418">
        <w:t xml:space="preserve"> convaincants que </w:t>
      </w:r>
      <w:r w:rsidR="00753410" w:rsidRPr="00E72418">
        <w:t>puissent</w:t>
      </w:r>
      <w:r w:rsidR="006E534E" w:rsidRPr="00E72418">
        <w:t xml:space="preserve"> être les arguments avancés en attaque par les fonds spéculant sur les dettes souveraines</w:t>
      </w:r>
      <w:r w:rsidR="00980455" w:rsidRPr="00E72418">
        <w:t xml:space="preserve"> en difficulté</w:t>
      </w:r>
      <w:r w:rsidR="006E534E" w:rsidRPr="00E72418">
        <w:t>, l</w:t>
      </w:r>
      <w:r w:rsidR="006A04CF" w:rsidRPr="00E72418">
        <w:t xml:space="preserve">es </w:t>
      </w:r>
      <w:r w:rsidR="006A04CF" w:rsidRPr="00E72418">
        <w:rPr>
          <w:rFonts w:ascii="Times New Roman" w:hAnsi="Times New Roman" w:cs="Times New Roman"/>
          <w:lang w:eastAsia="fr-BE"/>
        </w:rPr>
        <w:t>É</w:t>
      </w:r>
      <w:r w:rsidR="006E534E" w:rsidRPr="00E72418">
        <w:t>tats attaqués ne s’en trouvent pas pour autant totale</w:t>
      </w:r>
      <w:r w:rsidR="00980455" w:rsidRPr="00E72418">
        <w:t>ment démunis. Ces derniers ont à</w:t>
      </w:r>
      <w:r w:rsidR="006E534E" w:rsidRPr="00E72418">
        <w:t xml:space="preserve"> leur disposition toute une batterie d’arguments mobilisables en fonction des circonstances de chaque conflit. Sans doute la figure particulière du débiteur attaqué fait-elle d’abord penser à l’attribut de souveraineté qui le caractérise (</w:t>
      </w:r>
      <w:r w:rsidR="006E534E" w:rsidRPr="00E72418">
        <w:rPr>
          <w:b/>
        </w:rPr>
        <w:t>chapitre 1</w:t>
      </w:r>
      <w:r w:rsidR="006E534E" w:rsidRPr="00E72418">
        <w:t>). Là n’est pourtant pas l’unique angle de défense pouvant êtr</w:t>
      </w:r>
      <w:r w:rsidR="006A04CF" w:rsidRPr="00E72418">
        <w:t xml:space="preserve">e avancé par les </w:t>
      </w:r>
      <w:r w:rsidR="006A04CF" w:rsidRPr="00E72418">
        <w:rPr>
          <w:rFonts w:ascii="Times New Roman" w:hAnsi="Times New Roman" w:cs="Times New Roman"/>
          <w:lang w:eastAsia="fr-BE"/>
        </w:rPr>
        <w:t>É</w:t>
      </w:r>
      <w:r w:rsidR="006E534E" w:rsidRPr="00E72418">
        <w:t xml:space="preserve">tats. Il est des cas dans lesquels ceux-ci peuvent faire valoir que les attaques dont ils sont l’objet ne pourraient prospérer en raison d’une condamnation qu’il conviendrait de faire </w:t>
      </w:r>
      <w:r w:rsidR="00980455" w:rsidRPr="00E72418">
        <w:t>de la spéculation qui les guide</w:t>
      </w:r>
      <w:r w:rsidR="006E534E" w:rsidRPr="00E72418">
        <w:t xml:space="preserve"> (</w:t>
      </w:r>
      <w:r w:rsidR="006E534E" w:rsidRPr="00E72418">
        <w:rPr>
          <w:b/>
        </w:rPr>
        <w:t>chapitre 2</w:t>
      </w:r>
      <w:r w:rsidR="006E534E" w:rsidRPr="00E72418">
        <w:t>). Dans d’</w:t>
      </w:r>
      <w:r w:rsidR="006A04CF" w:rsidRPr="00E72418">
        <w:t xml:space="preserve">autres, les </w:t>
      </w:r>
      <w:r w:rsidR="006A04CF" w:rsidRPr="00E72418">
        <w:rPr>
          <w:rFonts w:ascii="Times New Roman" w:hAnsi="Times New Roman" w:cs="Times New Roman"/>
          <w:lang w:eastAsia="fr-BE"/>
        </w:rPr>
        <w:t>É</w:t>
      </w:r>
      <w:r w:rsidR="006E534E" w:rsidRPr="00E72418">
        <w:t>tats</w:t>
      </w:r>
      <w:r w:rsidR="00980455" w:rsidRPr="00E72418">
        <w:t xml:space="preserve"> débiteurs</w:t>
      </w:r>
      <w:r w:rsidR="006E534E" w:rsidRPr="00E72418">
        <w:t>, forts des missions que l’on attend généralement qu’ils accomplissent</w:t>
      </w:r>
      <w:r w:rsidR="00980455" w:rsidRPr="00E72418">
        <w:t>,</w:t>
      </w:r>
      <w:r w:rsidR="006E534E" w:rsidRPr="00E72418">
        <w:t xml:space="preserve"> pourra</w:t>
      </w:r>
      <w:r w:rsidR="00980455" w:rsidRPr="00E72418">
        <w:t xml:space="preserve">ient arguer que primauté doit </w:t>
      </w:r>
      <w:r w:rsidR="006E534E" w:rsidRPr="00E72418">
        <w:t>être donnée à des considérations d’intérêt général (</w:t>
      </w:r>
      <w:r w:rsidR="006E534E" w:rsidRPr="00E72418">
        <w:rPr>
          <w:b/>
        </w:rPr>
        <w:t>chapitre 3</w:t>
      </w:r>
      <w:r w:rsidR="006E534E" w:rsidRPr="00E72418">
        <w:t xml:space="preserve">). </w:t>
      </w:r>
    </w:p>
    <w:p w14:paraId="5A81624D" w14:textId="77777777" w:rsidR="006E534E" w:rsidRPr="00E72418" w:rsidRDefault="006E534E" w:rsidP="0054314B"/>
    <w:p w14:paraId="69997185" w14:textId="77777777" w:rsidR="005E2035" w:rsidRPr="00E72418" w:rsidRDefault="000764CE" w:rsidP="00CC4BA8">
      <w:pPr>
        <w:pStyle w:val="CC"/>
        <w:spacing w:line="276" w:lineRule="auto"/>
      </w:pPr>
      <w:bookmarkStart w:id="221" w:name="_Toc59280941"/>
      <w:bookmarkStart w:id="222" w:name="_Toc75106097"/>
      <w:bookmarkStart w:id="223" w:name="_Toc84540929"/>
      <w:bookmarkStart w:id="224" w:name="_Toc9959334"/>
      <w:r w:rsidRPr="00E72418">
        <w:t xml:space="preserve">Chapitre 1 : </w:t>
      </w:r>
      <w:r w:rsidR="005E2035" w:rsidRPr="00E72418">
        <w:t>La souveraineté</w:t>
      </w:r>
      <w:bookmarkEnd w:id="221"/>
      <w:bookmarkEnd w:id="222"/>
      <w:bookmarkEnd w:id="223"/>
    </w:p>
    <w:p w14:paraId="5521EABC" w14:textId="77777777" w:rsidR="007B7FDA" w:rsidRPr="00E72418" w:rsidRDefault="007B7FDA" w:rsidP="0054314B"/>
    <w:p w14:paraId="11371FD1" w14:textId="6471224C" w:rsidR="00AE472C" w:rsidRPr="00E72418" w:rsidRDefault="00A9718E" w:rsidP="00CC4BA8">
      <w:pPr>
        <w:spacing w:line="276" w:lineRule="auto"/>
      </w:pPr>
      <w:r w:rsidRPr="00E72418">
        <w:rPr>
          <w:b/>
        </w:rPr>
        <w:t>19</w:t>
      </w:r>
      <w:r w:rsidR="007F038F" w:rsidRPr="00E72418">
        <w:rPr>
          <w:b/>
        </w:rPr>
        <w:t>9</w:t>
      </w:r>
      <w:r w:rsidR="007E31CD" w:rsidRPr="00E72418">
        <w:rPr>
          <w:b/>
        </w:rPr>
        <w:t xml:space="preserve">. </w:t>
      </w:r>
      <w:r w:rsidR="007B7FDA" w:rsidRPr="00E72418">
        <w:rPr>
          <w:b/>
        </w:rPr>
        <w:t xml:space="preserve">L’idée </w:t>
      </w:r>
      <w:r w:rsidR="00137361" w:rsidRPr="00E72418">
        <w:rPr>
          <w:b/>
        </w:rPr>
        <w:t xml:space="preserve">et les différentes déclinaisons </w:t>
      </w:r>
      <w:r w:rsidR="007B7FDA" w:rsidRPr="00E72418">
        <w:rPr>
          <w:b/>
        </w:rPr>
        <w:t>–</w:t>
      </w:r>
      <w:r w:rsidR="00FD2DA2" w:rsidRPr="00E72418">
        <w:rPr>
          <w:b/>
        </w:rPr>
        <w:t xml:space="preserve"> </w:t>
      </w:r>
      <w:r w:rsidR="00FD2DA2" w:rsidRPr="00E72418">
        <w:t>L</w:t>
      </w:r>
      <w:r w:rsidR="007B7FDA" w:rsidRPr="00E72418">
        <w:t>a question</w:t>
      </w:r>
      <w:r w:rsidR="00FD2DA2" w:rsidRPr="00E72418">
        <w:t xml:space="preserve"> posée par </w:t>
      </w:r>
      <w:r w:rsidR="0030568D" w:rsidRPr="00E72418">
        <w:t xml:space="preserve">Dominique </w:t>
      </w:r>
      <w:r w:rsidR="00FD2DA2" w:rsidRPr="00E72418">
        <w:t xml:space="preserve">Carreau et </w:t>
      </w:r>
      <w:r w:rsidR="0030568D" w:rsidRPr="00E72418">
        <w:t xml:space="preserve">Caroline </w:t>
      </w:r>
      <w:r w:rsidR="00FD2DA2" w:rsidRPr="00E72418">
        <w:t>Kleiner</w:t>
      </w:r>
      <w:r w:rsidR="00473BB7" w:rsidRPr="00E72418">
        <w:t xml:space="preserve"> </w:t>
      </w:r>
      <w:r w:rsidR="007B7FDA" w:rsidRPr="00E72418">
        <w:t>« comment ne pas noter que l’</w:t>
      </w:r>
      <w:r w:rsidR="007B7FDA" w:rsidRPr="00E72418">
        <w:rPr>
          <w:lang w:eastAsia="fr-BE"/>
        </w:rPr>
        <w:t>É</w:t>
      </w:r>
      <w:r w:rsidR="007B7FDA" w:rsidRPr="00E72418">
        <w:t>tat endetté – sans même parler de l’</w:t>
      </w:r>
      <w:r w:rsidR="007B7FDA" w:rsidRPr="00E72418">
        <w:rPr>
          <w:lang w:eastAsia="fr-BE"/>
        </w:rPr>
        <w:t>É</w:t>
      </w:r>
      <w:r w:rsidR="007B7FDA" w:rsidRPr="00E72418">
        <w:t>tat surendetté – perd la maîtrise de son destin ? »</w:t>
      </w:r>
      <w:r w:rsidR="00FD2DA2" w:rsidRPr="00E72418">
        <w:t xml:space="preserve"> conduit </w:t>
      </w:r>
      <w:r w:rsidR="00AE472C" w:rsidRPr="00E72418">
        <w:t xml:space="preserve">à nous </w:t>
      </w:r>
      <w:r w:rsidR="00FD2DA2" w:rsidRPr="00E72418">
        <w:t>interroger sur la possibilité pour le débiteur souverain de se protéger des attaques des fonds spéculatifs en excipant de sa souveraineté</w:t>
      </w:r>
      <w:r w:rsidR="007B7FDA" w:rsidRPr="00E72418">
        <w:rPr>
          <w:rStyle w:val="Appelnotedebasdep"/>
          <w:rFonts w:cs="Times New Roman"/>
          <w:szCs w:val="24"/>
        </w:rPr>
        <w:footnoteReference w:id="1027"/>
      </w:r>
      <w:r w:rsidR="007B7FDA" w:rsidRPr="00E72418">
        <w:t>. Lor</w:t>
      </w:r>
      <w:r w:rsidR="00A51648" w:rsidRPr="00E72418">
        <w:t>s</w:t>
      </w:r>
      <w:r w:rsidR="007B7FDA" w:rsidRPr="00E72418">
        <w:t>que des créanciers cherchent à dicter à leur</w:t>
      </w:r>
      <w:r w:rsidR="00473BB7" w:rsidRPr="00E72418">
        <w:t>s</w:t>
      </w:r>
      <w:r w:rsidR="007B7FDA" w:rsidRPr="00E72418">
        <w:t xml:space="preserve"> débiteur</w:t>
      </w:r>
      <w:r w:rsidR="00473BB7" w:rsidRPr="00E72418">
        <w:t>s</w:t>
      </w:r>
      <w:r w:rsidR="007B7FDA" w:rsidRPr="00E72418">
        <w:t xml:space="preserve"> souverain</w:t>
      </w:r>
      <w:r w:rsidR="00473BB7" w:rsidRPr="00E72418">
        <w:t>s</w:t>
      </w:r>
      <w:r w:rsidR="007B7FDA" w:rsidRPr="00E72418">
        <w:t xml:space="preserve"> les termes de remboursement de </w:t>
      </w:r>
      <w:r w:rsidR="00473BB7" w:rsidRPr="00E72418">
        <w:t>leur</w:t>
      </w:r>
      <w:r w:rsidR="007B7FDA" w:rsidRPr="00E72418">
        <w:t xml:space="preserve"> dette, </w:t>
      </w:r>
      <w:r w:rsidR="00AE472C" w:rsidRPr="00E72418">
        <w:t>l’on peut y voir une</w:t>
      </w:r>
      <w:r w:rsidR="007B7FDA" w:rsidRPr="00E72418">
        <w:t xml:space="preserve"> ingérence dans les attributs de </w:t>
      </w:r>
      <w:r w:rsidR="00473BB7" w:rsidRPr="00E72418">
        <w:t>leur</w:t>
      </w:r>
      <w:r w:rsidR="007B7FDA" w:rsidRPr="00E72418">
        <w:t xml:space="preserve"> souveraineté</w:t>
      </w:r>
      <w:r w:rsidR="007B7FDA" w:rsidRPr="00E72418">
        <w:rPr>
          <w:rStyle w:val="Appelnotedebasdep"/>
        </w:rPr>
        <w:footnoteReference w:id="1028"/>
      </w:r>
      <w:r w:rsidR="007B7FDA" w:rsidRPr="00E72418">
        <w:t xml:space="preserve">. </w:t>
      </w:r>
    </w:p>
    <w:p w14:paraId="0ACC4F86" w14:textId="6BEEC0C8" w:rsidR="00681802" w:rsidRPr="00E72418" w:rsidRDefault="007B7FDA" w:rsidP="00CC4BA8">
      <w:pPr>
        <w:spacing w:line="276" w:lineRule="auto"/>
      </w:pPr>
      <w:r w:rsidRPr="00E72418">
        <w:t>Les</w:t>
      </w:r>
      <w:r w:rsidR="00B41CCF" w:rsidRPr="00E72418">
        <w:t xml:space="preserve"> activités des fonds spéculant</w:t>
      </w:r>
      <w:r w:rsidRPr="00E72418">
        <w:t xml:space="preserve"> sur les dettes souveraines entament par définition la souveraineté de l’</w:t>
      </w:r>
      <w:r w:rsidRPr="00E72418">
        <w:rPr>
          <w:lang w:eastAsia="fr-BE"/>
        </w:rPr>
        <w:t>É</w:t>
      </w:r>
      <w:r w:rsidRPr="00E72418">
        <w:t>tat débiteur.</w:t>
      </w:r>
      <w:r w:rsidR="00AF2EE8" w:rsidRPr="00E72418">
        <w:t xml:space="preserve"> </w:t>
      </w:r>
      <w:r w:rsidRPr="00E72418">
        <w:t>La souveraineté étatique étant une prémisse cardinale du droit international, l’on est tenté d’y voir un argument permetta</w:t>
      </w:r>
      <w:r w:rsidR="00AF2EE8" w:rsidRPr="00E72418">
        <w:t>nt de contrer c</w:t>
      </w:r>
      <w:r w:rsidRPr="00E72418">
        <w:t>es activités.</w:t>
      </w:r>
      <w:r w:rsidR="00681802" w:rsidRPr="00E72418">
        <w:t xml:space="preserve"> Pour </w:t>
      </w:r>
      <w:r w:rsidR="00922858" w:rsidRPr="00E72418">
        <w:t xml:space="preserve">Juan </w:t>
      </w:r>
      <w:r w:rsidR="00922858" w:rsidRPr="00E72418">
        <w:lastRenderedPageBreak/>
        <w:t xml:space="preserve">Pablo </w:t>
      </w:r>
      <w:r w:rsidR="00681802" w:rsidRPr="00E72418">
        <w:t xml:space="preserve">Bohoslavsky, l’expert indépendant désigné par le Conseil des droits de l’homme des Nations Unies, la portée du principe </w:t>
      </w:r>
      <w:r w:rsidR="00681802" w:rsidRPr="00E72418">
        <w:rPr>
          <w:i/>
          <w:iCs/>
        </w:rPr>
        <w:t>pacta sunt servanda</w:t>
      </w:r>
      <w:r w:rsidR="00681802" w:rsidRPr="00E72418">
        <w:rPr>
          <w:iCs/>
        </w:rPr>
        <w:t xml:space="preserve"> </w:t>
      </w:r>
      <w:r w:rsidR="00681802" w:rsidRPr="00E72418">
        <w:t>est limitée par la souveraineté et les droits de l’homme</w:t>
      </w:r>
      <w:r w:rsidR="00681802" w:rsidRPr="00E72418">
        <w:rPr>
          <w:rStyle w:val="Appelnotedebasdep"/>
        </w:rPr>
        <w:footnoteReference w:id="1029"/>
      </w:r>
      <w:r w:rsidR="00681802" w:rsidRPr="00E72418">
        <w:t>.</w:t>
      </w:r>
    </w:p>
    <w:p w14:paraId="5B137CCD" w14:textId="666D38E7" w:rsidR="00044557" w:rsidRPr="00E72418" w:rsidRDefault="00681802" w:rsidP="00CC4BA8">
      <w:pPr>
        <w:spacing w:line="276" w:lineRule="auto"/>
        <w:rPr>
          <w:rFonts w:ascii="Times New Roman" w:hAnsi="Times New Roman" w:cs="Times New Roman"/>
          <w:szCs w:val="24"/>
        </w:rPr>
      </w:pPr>
      <w:r w:rsidRPr="00E72418">
        <w:t>L’</w:t>
      </w:r>
      <w:r w:rsidR="007B7FDA" w:rsidRPr="00E72418">
        <w:t>argument</w:t>
      </w:r>
      <w:r w:rsidRPr="00E72418">
        <w:t xml:space="preserve"> de la souveraineté</w:t>
      </w:r>
      <w:r w:rsidR="00AA54EC" w:rsidRPr="00E72418">
        <w:t xml:space="preserve"> n’échappe plus aux </w:t>
      </w:r>
      <w:r w:rsidR="00AA54EC" w:rsidRPr="00E72418">
        <w:rPr>
          <w:lang w:eastAsia="fr-BE"/>
        </w:rPr>
        <w:t>É</w:t>
      </w:r>
      <w:r w:rsidR="007B7FDA" w:rsidRPr="00E72418">
        <w:t>tats débiteurs</w:t>
      </w:r>
      <w:r w:rsidR="00AE472C" w:rsidRPr="00E72418">
        <w:t xml:space="preserve"> en témoigne la République argentine qui</w:t>
      </w:r>
      <w:r w:rsidR="007B7FDA" w:rsidRPr="00E72418">
        <w:t xml:space="preserve">, comme l’explique </w:t>
      </w:r>
      <w:r w:rsidR="006F5D81" w:rsidRPr="00E72418">
        <w:t xml:space="preserve">Mallory </w:t>
      </w:r>
      <w:r w:rsidR="007B7FDA" w:rsidRPr="00E72418">
        <w:t xml:space="preserve">Barr, </w:t>
      </w:r>
      <w:r w:rsidR="007B7FDA" w:rsidRPr="00E72418">
        <w:rPr>
          <w:szCs w:val="24"/>
        </w:rPr>
        <w:t>« </w:t>
      </w:r>
      <w:r w:rsidR="007B7FDA" w:rsidRPr="00E72418">
        <w:rPr>
          <w:rFonts w:cs="Times New Roman"/>
          <w:szCs w:val="24"/>
        </w:rPr>
        <w:t>has used the vulture funds’ tactics to highlight their encroachments on the fundamental international law concept of state sovereignty</w:t>
      </w:r>
      <w:r w:rsidR="007B7FDA" w:rsidRPr="00E72418">
        <w:rPr>
          <w:szCs w:val="24"/>
        </w:rPr>
        <w:t xml:space="preserve"> »</w:t>
      </w:r>
      <w:r w:rsidR="007B7FDA" w:rsidRPr="00E72418">
        <w:rPr>
          <w:rStyle w:val="Appelnotedebasdep"/>
          <w:szCs w:val="24"/>
        </w:rPr>
        <w:footnoteReference w:id="1030"/>
      </w:r>
      <w:r w:rsidR="007B7FDA" w:rsidRPr="00E72418">
        <w:rPr>
          <w:szCs w:val="24"/>
        </w:rPr>
        <w:t>.</w:t>
      </w:r>
      <w:r w:rsidRPr="00E72418">
        <w:t xml:space="preserve"> </w:t>
      </w:r>
      <w:r w:rsidR="00AE472C" w:rsidRPr="00E72418">
        <w:t xml:space="preserve">Forte de la conviction de son </w:t>
      </w:r>
      <w:r w:rsidR="007B7FDA" w:rsidRPr="00E72418">
        <w:t xml:space="preserve">argument, </w:t>
      </w:r>
      <w:r w:rsidR="00AE472C" w:rsidRPr="00E72418">
        <w:t>le pays</w:t>
      </w:r>
      <w:r w:rsidR="00044557" w:rsidRPr="00E72418">
        <w:t xml:space="preserve"> introduisit</w:t>
      </w:r>
      <w:r w:rsidR="007B7FDA" w:rsidRPr="00E72418">
        <w:t xml:space="preserve"> </w:t>
      </w:r>
      <w:r w:rsidR="00137361" w:rsidRPr="00E72418">
        <w:t xml:space="preserve">même </w:t>
      </w:r>
      <w:r w:rsidR="007B7FDA" w:rsidRPr="00E72418">
        <w:t>en 2014</w:t>
      </w:r>
      <w:r w:rsidR="000F5FE4">
        <w:t xml:space="preserve"> une plainte auprès de la Cour i</w:t>
      </w:r>
      <w:r w:rsidR="00044557" w:rsidRPr="00E72418">
        <w:t xml:space="preserve">nternationale de Justice à l’encontre des </w:t>
      </w:r>
      <w:r w:rsidR="00044557" w:rsidRPr="00E72418">
        <w:rPr>
          <w:szCs w:val="24"/>
        </w:rPr>
        <w:t>É</w:t>
      </w:r>
      <w:r w:rsidR="00044557" w:rsidRPr="00E72418">
        <w:t>tats-Unis d’Amérique</w:t>
      </w:r>
      <w:r w:rsidR="007B7FDA" w:rsidRPr="00E72418">
        <w:t xml:space="preserve"> plaidant que ces derniers</w:t>
      </w:r>
      <w:r w:rsidR="00044557" w:rsidRPr="00E72418">
        <w:t xml:space="preserve"> a</w:t>
      </w:r>
      <w:r w:rsidR="00AE472C" w:rsidRPr="00E72418">
        <w:t>vaient commis une violation de s</w:t>
      </w:r>
      <w:r w:rsidR="00044557" w:rsidRPr="00E72418">
        <w:t xml:space="preserve">a souveraineté en raison de décisions rendues </w:t>
      </w:r>
      <w:r w:rsidR="00AE472C" w:rsidRPr="00E72418">
        <w:t>relativement à</w:t>
      </w:r>
      <w:r w:rsidR="00044557" w:rsidRPr="00E72418">
        <w:t xml:space="preserve"> la restructuration de sa dette</w:t>
      </w:r>
      <w:r w:rsidR="00044557" w:rsidRPr="00E72418">
        <w:rPr>
          <w:rStyle w:val="Appelnotedebasdep"/>
        </w:rPr>
        <w:footnoteReference w:id="1031"/>
      </w:r>
      <w:r w:rsidR="001022A6" w:rsidRPr="00E72418">
        <w:rPr>
          <w:vertAlign w:val="superscript"/>
        </w:rPr>
        <w:t>,</w:t>
      </w:r>
      <w:r w:rsidR="00AE472C" w:rsidRPr="00E72418">
        <w:rPr>
          <w:rStyle w:val="Appelnotedebasdep"/>
        </w:rPr>
        <w:footnoteReference w:id="1032"/>
      </w:r>
      <w:r w:rsidR="00044557" w:rsidRPr="00E72418">
        <w:t>.</w:t>
      </w:r>
    </w:p>
    <w:p w14:paraId="15A7BC5C" w14:textId="39E16057" w:rsidR="00473BB7" w:rsidRPr="00E72418" w:rsidRDefault="00AF2EE8" w:rsidP="00CC4BA8">
      <w:pPr>
        <w:spacing w:line="276" w:lineRule="auto"/>
        <w:rPr>
          <w:b/>
        </w:rPr>
      </w:pPr>
      <w:r w:rsidRPr="00E72418">
        <w:t>La défense tirée de l’argument de la souveraineté peut recevoir différentes déclinaisons. Si l’on pense spontanément</w:t>
      </w:r>
      <w:r w:rsidR="00AA54EC" w:rsidRPr="00E72418">
        <w:t xml:space="preserve"> à celle des immunités que les </w:t>
      </w:r>
      <w:r w:rsidR="00AA54EC" w:rsidRPr="00E72418">
        <w:rPr>
          <w:lang w:eastAsia="fr-BE"/>
        </w:rPr>
        <w:t>É</w:t>
      </w:r>
      <w:r w:rsidRPr="00E72418">
        <w:t>tats se concèdent généralement</w:t>
      </w:r>
      <w:r w:rsidR="000815BB" w:rsidRPr="00E72418">
        <w:t xml:space="preserve"> (</w:t>
      </w:r>
      <w:r w:rsidR="000815BB" w:rsidRPr="00E72418">
        <w:rPr>
          <w:b/>
        </w:rPr>
        <w:t>section 1</w:t>
      </w:r>
      <w:r w:rsidR="000815BB" w:rsidRPr="00E72418">
        <w:t>)</w:t>
      </w:r>
      <w:r w:rsidRPr="00E72418">
        <w:t xml:space="preserve">, il en est d’autres comme les doctrines </w:t>
      </w:r>
      <w:r w:rsidR="00387252" w:rsidRPr="00E72418">
        <w:t>de l’</w:t>
      </w:r>
      <w:r w:rsidR="00387252" w:rsidRPr="00E72418">
        <w:rPr>
          <w:i/>
        </w:rPr>
        <w:t>act of State</w:t>
      </w:r>
      <w:r w:rsidRPr="00E72418">
        <w:rPr>
          <w:i/>
        </w:rPr>
        <w:t xml:space="preserve"> </w:t>
      </w:r>
      <w:r w:rsidR="00387252" w:rsidRPr="00E72418">
        <w:t xml:space="preserve">et de la </w:t>
      </w:r>
      <w:r w:rsidR="00387252" w:rsidRPr="00E72418">
        <w:rPr>
          <w:i/>
        </w:rPr>
        <w:t>comity</w:t>
      </w:r>
      <w:r w:rsidR="000815BB" w:rsidRPr="00E72418">
        <w:rPr>
          <w:i/>
        </w:rPr>
        <w:t xml:space="preserve"> </w:t>
      </w:r>
      <w:r w:rsidR="000815BB" w:rsidRPr="00E72418">
        <w:t>(</w:t>
      </w:r>
      <w:r w:rsidR="000815BB" w:rsidRPr="00E72418">
        <w:rPr>
          <w:b/>
        </w:rPr>
        <w:t>section 2</w:t>
      </w:r>
      <w:r w:rsidR="000815BB" w:rsidRPr="00E72418">
        <w:t>)</w:t>
      </w:r>
      <w:r w:rsidRPr="00E72418">
        <w:t>.</w:t>
      </w:r>
      <w:r w:rsidR="00137361" w:rsidRPr="00E72418">
        <w:t xml:space="preserve"> Il y a là trois mécanismes de défense mobil</w:t>
      </w:r>
      <w:r w:rsidR="00E862EA" w:rsidRPr="00E72418">
        <w:t xml:space="preserve">isables par les </w:t>
      </w:r>
      <w:r w:rsidR="00E862EA" w:rsidRPr="00E72418">
        <w:rPr>
          <w:lang w:eastAsia="fr-BE"/>
        </w:rPr>
        <w:t>É</w:t>
      </w:r>
      <w:r w:rsidR="00137361" w:rsidRPr="00E72418">
        <w:t>tats débiteurs attaqués par des fonds spéculatifs.</w:t>
      </w:r>
    </w:p>
    <w:p w14:paraId="5EF1E0E0" w14:textId="77777777" w:rsidR="00044557" w:rsidRPr="00E72418" w:rsidRDefault="00044557" w:rsidP="0054314B"/>
    <w:p w14:paraId="04ABB701" w14:textId="77777777" w:rsidR="00486978" w:rsidRDefault="00486978">
      <w:pPr>
        <w:jc w:val="left"/>
        <w:rPr>
          <w:rFonts w:ascii="Times New Roman" w:eastAsiaTheme="majorEastAsia" w:hAnsi="Times New Roman" w:cstheme="majorBidi"/>
          <w:i/>
          <w:iCs/>
          <w:sz w:val="28"/>
        </w:rPr>
      </w:pPr>
      <w:bookmarkStart w:id="225" w:name="_Toc59280942"/>
      <w:bookmarkStart w:id="226" w:name="_Toc84540930"/>
      <w:r>
        <w:br w:type="page"/>
      </w:r>
    </w:p>
    <w:p w14:paraId="004CC7D9" w14:textId="76A074BF" w:rsidR="007F19C6" w:rsidRPr="00E72418" w:rsidRDefault="000764CE" w:rsidP="00CC4BA8">
      <w:pPr>
        <w:pStyle w:val="DD"/>
        <w:spacing w:line="276" w:lineRule="auto"/>
      </w:pPr>
      <w:r w:rsidRPr="00E72418">
        <w:lastRenderedPageBreak/>
        <w:t xml:space="preserve">Section 1 : </w:t>
      </w:r>
      <w:r w:rsidR="007F19C6" w:rsidRPr="00E72418">
        <w:t>Les immunités</w:t>
      </w:r>
      <w:bookmarkEnd w:id="225"/>
      <w:bookmarkEnd w:id="226"/>
    </w:p>
    <w:p w14:paraId="469EBB00" w14:textId="77777777" w:rsidR="000578BD" w:rsidRPr="00E72418" w:rsidRDefault="000578BD" w:rsidP="0054314B"/>
    <w:p w14:paraId="545B20EF" w14:textId="4694A809" w:rsidR="006D50CA" w:rsidRPr="00E72418" w:rsidRDefault="007F038F" w:rsidP="00CC4BA8">
      <w:pPr>
        <w:spacing w:line="276" w:lineRule="auto"/>
      </w:pPr>
      <w:r w:rsidRPr="00E72418">
        <w:rPr>
          <w:b/>
        </w:rPr>
        <w:t>200</w:t>
      </w:r>
      <w:r w:rsidR="007E31CD" w:rsidRPr="00E72418">
        <w:rPr>
          <w:b/>
        </w:rPr>
        <w:t xml:space="preserve">. </w:t>
      </w:r>
      <w:r w:rsidR="006D50CA" w:rsidRPr="00E72418">
        <w:rPr>
          <w:b/>
        </w:rPr>
        <w:t xml:space="preserve">Un argument intuitif mais complexe – </w:t>
      </w:r>
      <w:r w:rsidR="006D50CA" w:rsidRPr="00E72418">
        <w:t xml:space="preserve">Les contentieux introduits devant des juridictions nationales </w:t>
      </w:r>
      <w:r w:rsidR="00137361" w:rsidRPr="00E72418">
        <w:t>contre des</w:t>
      </w:r>
      <w:r w:rsidR="00137361" w:rsidRPr="00E72418">
        <w:rPr>
          <w:lang w:eastAsia="fr-BE"/>
        </w:rPr>
        <w:t xml:space="preserve"> É</w:t>
      </w:r>
      <w:r w:rsidR="00137361" w:rsidRPr="00E72418">
        <w:t xml:space="preserve">tats souverains </w:t>
      </w:r>
      <w:r w:rsidR="006D50CA" w:rsidRPr="00E72418">
        <w:t xml:space="preserve">au sujet de leur dette posent </w:t>
      </w:r>
      <w:r w:rsidR="00137361" w:rsidRPr="00E72418">
        <w:t>naturellement</w:t>
      </w:r>
      <w:r w:rsidR="006D50CA" w:rsidRPr="00E72418">
        <w:t xml:space="preserve"> la question de l’immunité dont disposent ces sujets de droit international. </w:t>
      </w:r>
      <w:r w:rsidR="00137361" w:rsidRPr="00E72418">
        <w:t xml:space="preserve">Il convient, dans le cadre de notre recherche, de nous </w:t>
      </w:r>
      <w:r w:rsidR="006D50CA" w:rsidRPr="00E72418">
        <w:t xml:space="preserve">interroger sur la </w:t>
      </w:r>
      <w:r w:rsidR="00137361" w:rsidRPr="00E72418">
        <w:t>façon dont cette immunité est en mesure d’interférer avec les poursuites entamées par des f</w:t>
      </w:r>
      <w:r w:rsidR="006D50CA" w:rsidRPr="00E72418">
        <w:t xml:space="preserve">onds spéculatifs </w:t>
      </w:r>
      <w:r w:rsidR="00137361" w:rsidRPr="00E72418">
        <w:t xml:space="preserve">afin de faire condamner leurs débiteurs souverains et d’ensuite </w:t>
      </w:r>
      <w:r w:rsidR="006D50CA" w:rsidRPr="00E72418">
        <w:t>faire exécuter des décisions obtenues à leur encontre.</w:t>
      </w:r>
    </w:p>
    <w:p w14:paraId="470B632A" w14:textId="05444279" w:rsidR="006D50CA" w:rsidRPr="00E72418" w:rsidRDefault="00B25470" w:rsidP="00CC4BA8">
      <w:pPr>
        <w:spacing w:line="276" w:lineRule="auto"/>
      </w:pPr>
      <w:r w:rsidRPr="00E72418">
        <w:t>L’appare</w:t>
      </w:r>
      <w:r w:rsidR="00137361" w:rsidRPr="00E72418">
        <w:t xml:space="preserve">nte </w:t>
      </w:r>
      <w:r w:rsidR="006D50CA" w:rsidRPr="00E72418">
        <w:t>simplicité de l’argument de défense</w:t>
      </w:r>
      <w:r w:rsidR="00F64771" w:rsidRPr="00E72418">
        <w:t xml:space="preserve"> immunitaire</w:t>
      </w:r>
      <w:r w:rsidR="006D50CA" w:rsidRPr="00E72418">
        <w:t xml:space="preserve"> a conduit les </w:t>
      </w:r>
      <w:r w:rsidR="006D50CA" w:rsidRPr="00E72418">
        <w:rPr>
          <w:lang w:eastAsia="fr-BE"/>
        </w:rPr>
        <w:t>É</w:t>
      </w:r>
      <w:r w:rsidR="00137361" w:rsidRPr="00E72418">
        <w:t>tats débiteurs à chercher à le mobiliser</w:t>
      </w:r>
      <w:r w:rsidR="006D50CA" w:rsidRPr="00E72418">
        <w:t xml:space="preserve"> lorsqu’ils se trouvaient attaqués par leurs débiteurs</w:t>
      </w:r>
      <w:r w:rsidR="00F64771" w:rsidRPr="00E72418">
        <w:t xml:space="preserve"> au sujet de leur dette</w:t>
      </w:r>
      <w:r w:rsidR="006D50CA" w:rsidRPr="00E72418">
        <w:t xml:space="preserve">. Comme le notent </w:t>
      </w:r>
      <w:r w:rsidR="003D7F91" w:rsidRPr="00E72418">
        <w:t xml:space="preserve">Jonathan </w:t>
      </w:r>
      <w:r w:rsidR="006D50CA" w:rsidRPr="00E72418">
        <w:t xml:space="preserve">Blackman et </w:t>
      </w:r>
      <w:r w:rsidR="003D7F91" w:rsidRPr="00E72418">
        <w:t xml:space="preserve">Rahul </w:t>
      </w:r>
      <w:r w:rsidR="006D50CA" w:rsidRPr="00E72418">
        <w:t>Mukhi, « </w:t>
      </w:r>
      <w:r w:rsidR="006D50CA" w:rsidRPr="00E72418">
        <w:rPr>
          <w:rFonts w:ascii="Times New Roman" w:hAnsi="Times New Roman"/>
        </w:rPr>
        <w:t>[a]</w:t>
      </w:r>
      <w:r w:rsidR="006D50CA" w:rsidRPr="00E72418">
        <w:t>lthough distressed sovereign debtors cannot use the shield of bankruptcy law to prevent creditor litigation, rules concerning foreign sovereign immunity have emerged as a rough, sometimes inadequate, proxy for insolvency laws »</w:t>
      </w:r>
      <w:r w:rsidR="006D50CA" w:rsidRPr="00E72418">
        <w:rPr>
          <w:rStyle w:val="Appelnotedebasdep"/>
        </w:rPr>
        <w:footnoteReference w:id="1033"/>
      </w:r>
      <w:r w:rsidR="006D50CA" w:rsidRPr="00E72418">
        <w:t>.</w:t>
      </w:r>
    </w:p>
    <w:p w14:paraId="1AE82325" w14:textId="61B247CD" w:rsidR="006D50CA" w:rsidRPr="00E72418" w:rsidRDefault="00F64771" w:rsidP="00CC4BA8">
      <w:pPr>
        <w:spacing w:line="276" w:lineRule="auto"/>
      </w:pPr>
      <w:r w:rsidRPr="00E72418">
        <w:t>Tout séduisant qu’</w:t>
      </w:r>
      <w:r w:rsidR="006D50CA" w:rsidRPr="00E72418">
        <w:t xml:space="preserve">il </w:t>
      </w:r>
      <w:r w:rsidRPr="00E72418">
        <w:t>ap</w:t>
      </w:r>
      <w:r w:rsidR="006D50CA" w:rsidRPr="00E72418">
        <w:t xml:space="preserve">paraît </w:t>
      </w:r>
      <w:r w:rsidRPr="00E72418">
        <w:t>à première vue</w:t>
      </w:r>
      <w:r w:rsidR="006D50CA" w:rsidRPr="00E72418">
        <w:t>, l’</w:t>
      </w:r>
      <w:r w:rsidRPr="00E72418">
        <w:t>invocation de l’</w:t>
      </w:r>
      <w:r w:rsidR="006D50CA" w:rsidRPr="00E72418">
        <w:t>argument immunitaire est</w:t>
      </w:r>
      <w:r w:rsidRPr="00E72418">
        <w:t xml:space="preserve"> néanmoins</w:t>
      </w:r>
      <w:r w:rsidR="006D50CA" w:rsidRPr="00E72418">
        <w:t xml:space="preserve"> complexe tant les règles entourant l’immunité souveraine le sont</w:t>
      </w:r>
      <w:r w:rsidRPr="00E72418">
        <w:t>. Comme l’écrit</w:t>
      </w:r>
      <w:r w:rsidR="006D50CA" w:rsidRPr="00E72418">
        <w:t xml:space="preserve"> </w:t>
      </w:r>
      <w:r w:rsidR="00EA7FD2" w:rsidRPr="00E72418">
        <w:t xml:space="preserve">Chin </w:t>
      </w:r>
      <w:r w:rsidR="006D50CA" w:rsidRPr="00E72418">
        <w:t>Lim, « </w:t>
      </w:r>
      <w:r w:rsidR="006D50CA" w:rsidRPr="00E72418">
        <w:rPr>
          <w:rFonts w:ascii="Times New Roman" w:hAnsi="Times New Roman" w:cs="Times New Roman"/>
        </w:rPr>
        <w:t>[t]</w:t>
      </w:r>
      <w:r w:rsidR="006D50CA" w:rsidRPr="00E72418">
        <w:t>he proliferation of rules requires legal advisers and counsel to navigate a vast, complex and commonly unfriendly terrain of comparative legislation »</w:t>
      </w:r>
      <w:r w:rsidR="006D50CA" w:rsidRPr="00E72418">
        <w:rPr>
          <w:rStyle w:val="Appelnotedebasdep"/>
        </w:rPr>
        <w:footnoteReference w:id="1034"/>
      </w:r>
      <w:r w:rsidR="006D50CA" w:rsidRPr="00E72418">
        <w:t xml:space="preserve">. Ironisant sur la complexité des questions immunitaires, </w:t>
      </w:r>
      <w:r w:rsidR="0030568D" w:rsidRPr="00E72418">
        <w:t xml:space="preserve">Caroline </w:t>
      </w:r>
      <w:r w:rsidR="006D50CA" w:rsidRPr="00E72418">
        <w:t xml:space="preserve">Kleiner remarque que </w:t>
      </w:r>
      <w:r w:rsidR="0042665E" w:rsidRPr="00E72418">
        <w:t xml:space="preserve">« cette matière </w:t>
      </w:r>
      <w:r w:rsidR="0042665E" w:rsidRPr="00E72418">
        <w:rPr>
          <w:rFonts w:ascii="Times New Roman" w:hAnsi="Times New Roman"/>
        </w:rPr>
        <w:t>[est]</w:t>
      </w:r>
      <w:r w:rsidR="0042665E" w:rsidRPr="00E72418">
        <w:t xml:space="preserve"> </w:t>
      </w:r>
      <w:r w:rsidR="006D50CA" w:rsidRPr="00E72418">
        <w:t>loin d’être une partition symphonique mozartienne, où les mélodies se rép</w:t>
      </w:r>
      <w:r w:rsidR="00913659" w:rsidRPr="00E72418">
        <w:t>ondent, mais qu’elle ressembl</w:t>
      </w:r>
      <w:r w:rsidR="00913659" w:rsidRPr="00E72418">
        <w:rPr>
          <w:rFonts w:ascii="Times New Roman" w:hAnsi="Times New Roman"/>
        </w:rPr>
        <w:t>[e]</w:t>
      </w:r>
      <w:r w:rsidR="006D50CA" w:rsidRPr="00E72418">
        <w:t xml:space="preserve"> plutôt à une partition d’une œuvre dodécaphonique »</w:t>
      </w:r>
      <w:r w:rsidR="006D50CA" w:rsidRPr="00E72418">
        <w:rPr>
          <w:rStyle w:val="Appelnotedebasdep"/>
          <w:rFonts w:cs="Times New Roman"/>
          <w:szCs w:val="24"/>
        </w:rPr>
        <w:footnoteReference w:id="1035"/>
      </w:r>
      <w:r w:rsidR="006D50CA" w:rsidRPr="00E72418">
        <w:t>.</w:t>
      </w:r>
    </w:p>
    <w:p w14:paraId="5698F099" w14:textId="77777777" w:rsidR="006D50CA" w:rsidRPr="00E72418" w:rsidRDefault="006D50CA" w:rsidP="0054314B"/>
    <w:p w14:paraId="4452F33A" w14:textId="6465AD1C" w:rsidR="006D50CA" w:rsidRPr="00E72418" w:rsidRDefault="007F038F" w:rsidP="00CC4BA8">
      <w:pPr>
        <w:spacing w:line="276" w:lineRule="auto"/>
      </w:pPr>
      <w:r w:rsidRPr="00E72418">
        <w:rPr>
          <w:b/>
        </w:rPr>
        <w:t>201</w:t>
      </w:r>
      <w:r w:rsidR="007E31CD" w:rsidRPr="00E72418">
        <w:rPr>
          <w:b/>
        </w:rPr>
        <w:t xml:space="preserve">. </w:t>
      </w:r>
      <w:r w:rsidR="006D50CA" w:rsidRPr="00E72418">
        <w:rPr>
          <w:b/>
        </w:rPr>
        <w:t xml:space="preserve">Un argument non péremptoire – </w:t>
      </w:r>
      <w:r w:rsidR="006D50CA" w:rsidRPr="00E72418">
        <w:t xml:space="preserve">Dans sa résolution sur les principes fondamentaux des opérations de restructuration de la dette souveraine, l’Assemblée générale des Nations Unies a déclaré que « </w:t>
      </w:r>
      <w:r w:rsidR="006D50CA" w:rsidRPr="00E72418">
        <w:rPr>
          <w:rFonts w:ascii="Times New Roman" w:hAnsi="Times New Roman"/>
        </w:rPr>
        <w:t>[l</w:t>
      </w:r>
      <w:r w:rsidR="002F747E">
        <w:rPr>
          <w:rFonts w:ascii="Times New Roman" w:hAnsi="Times New Roman"/>
        </w:rPr>
        <w:t>’</w:t>
      </w:r>
      <w:r w:rsidR="006D50CA" w:rsidRPr="00E72418">
        <w:rPr>
          <w:rFonts w:ascii="Times New Roman" w:hAnsi="Times New Roman"/>
        </w:rPr>
        <w:t>]</w:t>
      </w:r>
      <w:r w:rsidR="006D50CA" w:rsidRPr="00E72418">
        <w:t>immunité souveraine de juridiction et d’exécution en matière d’opérations de restructuration de la dette souveraine est un droit dont disposent les États devant les tribunaux nationaux étrangers et toute exception doit faire l’objet d’une interprétation restrictive »</w:t>
      </w:r>
      <w:r w:rsidR="006D50CA" w:rsidRPr="00E72418">
        <w:rPr>
          <w:rStyle w:val="Appelnotedebasdep"/>
        </w:rPr>
        <w:footnoteReference w:id="1036"/>
      </w:r>
      <w:r w:rsidR="003722A8" w:rsidRPr="00E72418">
        <w:t xml:space="preserve">. </w:t>
      </w:r>
      <w:r w:rsidR="003722A8" w:rsidRPr="00E72418">
        <w:rPr>
          <w:rFonts w:cs="Times New Roman"/>
          <w:szCs w:val="24"/>
        </w:rPr>
        <w:t>Pourtant, dans les faits, bien que</w:t>
      </w:r>
      <w:r w:rsidR="006D50CA" w:rsidRPr="00E72418">
        <w:rPr>
          <w:rFonts w:cs="Times New Roman"/>
          <w:szCs w:val="24"/>
        </w:rPr>
        <w:t xml:space="preserve"> l’immunité a</w:t>
      </w:r>
      <w:r w:rsidR="003722A8" w:rsidRPr="00E72418">
        <w:rPr>
          <w:rFonts w:cs="Times New Roman"/>
          <w:szCs w:val="24"/>
        </w:rPr>
        <w:t>it</w:t>
      </w:r>
      <w:r w:rsidR="006D50CA" w:rsidRPr="00E72418">
        <w:rPr>
          <w:rFonts w:cs="Times New Roman"/>
          <w:szCs w:val="24"/>
        </w:rPr>
        <w:t xml:space="preserve"> longtemps protégé les </w:t>
      </w:r>
      <w:r w:rsidR="006D50CA" w:rsidRPr="00E72418">
        <w:rPr>
          <w:lang w:eastAsia="fr-BE"/>
        </w:rPr>
        <w:t>É</w:t>
      </w:r>
      <w:r w:rsidR="006D50CA" w:rsidRPr="00E72418">
        <w:rPr>
          <w:rFonts w:cs="Times New Roman"/>
          <w:szCs w:val="24"/>
        </w:rPr>
        <w:t xml:space="preserve">tats débiteurs, son érosion </w:t>
      </w:r>
      <w:r w:rsidR="00A51648" w:rsidRPr="00E72418">
        <w:rPr>
          <w:rFonts w:cs="Times New Roman"/>
          <w:szCs w:val="24"/>
        </w:rPr>
        <w:t>depuis les années 70 va de pair</w:t>
      </w:r>
      <w:r w:rsidR="006D50CA" w:rsidRPr="00E72418">
        <w:rPr>
          <w:rFonts w:cs="Times New Roman"/>
          <w:szCs w:val="24"/>
        </w:rPr>
        <w:t xml:space="preserve"> avec un nombre croissant de procédures intentées à leur encontre et de tentatives de saisie sur leurs biens</w:t>
      </w:r>
      <w:r w:rsidR="0028086A" w:rsidRPr="00E72418">
        <w:rPr>
          <w:rStyle w:val="Appelnotedebasdep"/>
          <w:rFonts w:cs="Times New Roman"/>
          <w:szCs w:val="24"/>
        </w:rPr>
        <w:footnoteReference w:id="1037"/>
      </w:r>
      <w:r w:rsidR="006D50CA" w:rsidRPr="00E72418">
        <w:rPr>
          <w:rFonts w:cs="Times New Roman"/>
          <w:szCs w:val="24"/>
        </w:rPr>
        <w:t xml:space="preserve">. </w:t>
      </w:r>
      <w:r w:rsidR="003722A8" w:rsidRPr="00E72418">
        <w:rPr>
          <w:rFonts w:cs="Times New Roman"/>
          <w:szCs w:val="24"/>
        </w:rPr>
        <w:t>Ainsi, l</w:t>
      </w:r>
      <w:r w:rsidR="006D50CA" w:rsidRPr="00E72418">
        <w:rPr>
          <w:rFonts w:cs="Times New Roman"/>
          <w:szCs w:val="24"/>
        </w:rPr>
        <w:t xml:space="preserve">e passage d’une immunité absolue à une immunité relative, laquelle est désormais </w:t>
      </w:r>
      <w:r w:rsidR="003722A8" w:rsidRPr="00E72418">
        <w:rPr>
          <w:rFonts w:cs="Times New Roman"/>
          <w:szCs w:val="24"/>
        </w:rPr>
        <w:t>retenue par</w:t>
      </w:r>
      <w:r w:rsidR="006D50CA" w:rsidRPr="00E72418">
        <w:rPr>
          <w:rFonts w:cs="Times New Roman"/>
          <w:szCs w:val="24"/>
        </w:rPr>
        <w:t xml:space="preserve"> de nombreux textes, a eu un impact </w:t>
      </w:r>
      <w:r w:rsidR="006D50CA" w:rsidRPr="00E72418">
        <w:rPr>
          <w:rFonts w:cs="Times New Roman"/>
          <w:szCs w:val="24"/>
        </w:rPr>
        <w:lastRenderedPageBreak/>
        <w:t xml:space="preserve">significatif sur les contentieux faits aux </w:t>
      </w:r>
      <w:r w:rsidR="006D50CA" w:rsidRPr="00E72418">
        <w:rPr>
          <w:lang w:eastAsia="fr-BE"/>
        </w:rPr>
        <w:t>É</w:t>
      </w:r>
      <w:r w:rsidR="006D50CA" w:rsidRPr="00E72418">
        <w:rPr>
          <w:rFonts w:cs="Times New Roman"/>
          <w:szCs w:val="24"/>
        </w:rPr>
        <w:t>tats au sujet de leur dette</w:t>
      </w:r>
      <w:r w:rsidR="006D50CA" w:rsidRPr="00E72418">
        <w:rPr>
          <w:rStyle w:val="Appelnotedebasdep"/>
          <w:rFonts w:cs="Times New Roman"/>
          <w:szCs w:val="24"/>
        </w:rPr>
        <w:footnoteReference w:id="1038"/>
      </w:r>
      <w:r w:rsidR="003722A8" w:rsidRPr="00E72418">
        <w:rPr>
          <w:rFonts w:cs="Times New Roman"/>
          <w:szCs w:val="24"/>
        </w:rPr>
        <w:t xml:space="preserve">. </w:t>
      </w:r>
      <w:r w:rsidR="009A0DCF" w:rsidRPr="00E72418">
        <w:rPr>
          <w:rFonts w:cs="Times New Roman"/>
          <w:szCs w:val="24"/>
        </w:rPr>
        <w:t>En outre, dans l</w:t>
      </w:r>
      <w:r w:rsidR="003722A8" w:rsidRPr="00E72418">
        <w:rPr>
          <w:rFonts w:cs="Times New Roman"/>
          <w:szCs w:val="24"/>
        </w:rPr>
        <w:t>e prolongement de cette érosion,</w:t>
      </w:r>
      <w:r w:rsidR="006D50CA" w:rsidRPr="00E72418">
        <w:rPr>
          <w:rFonts w:cs="Times New Roman"/>
          <w:szCs w:val="24"/>
        </w:rPr>
        <w:t xml:space="preserve"> il </w:t>
      </w:r>
      <w:r w:rsidR="003722A8" w:rsidRPr="00E72418">
        <w:rPr>
          <w:rFonts w:cs="Times New Roman"/>
          <w:szCs w:val="24"/>
        </w:rPr>
        <w:t xml:space="preserve">convient </w:t>
      </w:r>
      <w:r w:rsidR="009A0DCF" w:rsidRPr="00E72418">
        <w:rPr>
          <w:rFonts w:cs="Times New Roman"/>
          <w:szCs w:val="24"/>
        </w:rPr>
        <w:t>de</w:t>
      </w:r>
      <w:r w:rsidR="003722A8" w:rsidRPr="00E72418">
        <w:rPr>
          <w:rFonts w:cs="Times New Roman"/>
          <w:szCs w:val="24"/>
        </w:rPr>
        <w:t xml:space="preserve"> remarquer les renonciations fréquentes au privilège immunitaire concédées par les </w:t>
      </w:r>
      <w:r w:rsidR="009A0DCF" w:rsidRPr="00E72418">
        <w:rPr>
          <w:lang w:eastAsia="fr-BE"/>
        </w:rPr>
        <w:t>É</w:t>
      </w:r>
      <w:r w:rsidR="003722A8" w:rsidRPr="00E72418">
        <w:rPr>
          <w:rFonts w:cs="Times New Roman"/>
          <w:szCs w:val="24"/>
        </w:rPr>
        <w:t xml:space="preserve">tats </w:t>
      </w:r>
      <w:r w:rsidR="009A0DCF" w:rsidRPr="00E72418">
        <w:rPr>
          <w:rFonts w:cs="Times New Roman"/>
          <w:szCs w:val="24"/>
        </w:rPr>
        <w:t>les privant, le moment venu, d’une utile défense</w:t>
      </w:r>
      <w:r w:rsidR="009A0DCF" w:rsidRPr="00E72418">
        <w:rPr>
          <w:rStyle w:val="Appelnotedebasdep"/>
          <w:rFonts w:cs="Times New Roman"/>
          <w:szCs w:val="24"/>
        </w:rPr>
        <w:footnoteReference w:id="1039"/>
      </w:r>
      <w:r w:rsidR="009A0DCF" w:rsidRPr="00E72418">
        <w:rPr>
          <w:rFonts w:cs="Times New Roman"/>
          <w:szCs w:val="24"/>
        </w:rPr>
        <w:t>.</w:t>
      </w:r>
    </w:p>
    <w:p w14:paraId="49C9FAE0" w14:textId="155697B4" w:rsidR="000815BB" w:rsidRPr="00E72418" w:rsidRDefault="003722A8" w:rsidP="000578BD">
      <w:pPr>
        <w:spacing w:line="276" w:lineRule="auto"/>
        <w:rPr>
          <w:rFonts w:cs="Times New Roman"/>
          <w:szCs w:val="24"/>
        </w:rPr>
      </w:pPr>
      <w:r w:rsidRPr="00E72418">
        <w:rPr>
          <w:rFonts w:cs="Times New Roman"/>
          <w:szCs w:val="24"/>
        </w:rPr>
        <w:t>L’érosion et les renonciations précitées conduisent à retenir que</w:t>
      </w:r>
      <w:r w:rsidR="009A0DCF" w:rsidRPr="00E72418">
        <w:rPr>
          <w:rFonts w:cs="Times New Roman"/>
          <w:szCs w:val="24"/>
        </w:rPr>
        <w:t xml:space="preserve">, lorsque des </w:t>
      </w:r>
      <w:r w:rsidR="009A0DCF" w:rsidRPr="00E72418">
        <w:rPr>
          <w:lang w:eastAsia="fr-BE"/>
        </w:rPr>
        <w:t>É</w:t>
      </w:r>
      <w:r w:rsidR="009A0DCF" w:rsidRPr="00E72418">
        <w:rPr>
          <w:rFonts w:cs="Times New Roman"/>
          <w:szCs w:val="24"/>
        </w:rPr>
        <w:t>tats débiteurs se trouvent attaqués par des fonds spéculatifs,</w:t>
      </w:r>
      <w:r w:rsidRPr="00E72418">
        <w:rPr>
          <w:rFonts w:cs="Times New Roman"/>
          <w:szCs w:val="24"/>
        </w:rPr>
        <w:t xml:space="preserve"> l’argument immunitaire </w:t>
      </w:r>
      <w:r w:rsidR="009A0DCF" w:rsidRPr="00E72418">
        <w:rPr>
          <w:rFonts w:cs="Times New Roman"/>
          <w:szCs w:val="24"/>
        </w:rPr>
        <w:t xml:space="preserve">opposé </w:t>
      </w:r>
      <w:r w:rsidRPr="00E72418">
        <w:rPr>
          <w:rFonts w:cs="Times New Roman"/>
          <w:szCs w:val="24"/>
        </w:rPr>
        <w:t xml:space="preserve">ne saurait être </w:t>
      </w:r>
      <w:r w:rsidR="009A0DCF" w:rsidRPr="00E72418">
        <w:rPr>
          <w:rFonts w:cs="Times New Roman"/>
          <w:szCs w:val="24"/>
        </w:rPr>
        <w:t>jugé</w:t>
      </w:r>
      <w:r w:rsidRPr="00E72418">
        <w:rPr>
          <w:rFonts w:cs="Times New Roman"/>
          <w:szCs w:val="24"/>
        </w:rPr>
        <w:t xml:space="preserve"> comme péremptoire. Qu’à cela ne tienne, t</w:t>
      </w:r>
      <w:r w:rsidR="00DB7BEB" w:rsidRPr="00E72418">
        <w:rPr>
          <w:rFonts w:cs="Times New Roman"/>
          <w:szCs w:val="24"/>
        </w:rPr>
        <w:t>oute versatile qu’est</w:t>
      </w:r>
      <w:r w:rsidR="006D50CA" w:rsidRPr="00E72418">
        <w:rPr>
          <w:rFonts w:cs="Times New Roman"/>
          <w:szCs w:val="24"/>
        </w:rPr>
        <w:t xml:space="preserve"> la réception de l’argument par les juridictions, les </w:t>
      </w:r>
      <w:r w:rsidR="006D50CA" w:rsidRPr="00E72418">
        <w:rPr>
          <w:lang w:eastAsia="fr-BE"/>
        </w:rPr>
        <w:t>É</w:t>
      </w:r>
      <w:r w:rsidR="006D50CA" w:rsidRPr="00E72418">
        <w:rPr>
          <w:rFonts w:cs="Times New Roman"/>
          <w:szCs w:val="24"/>
        </w:rPr>
        <w:t>tats débiteurs l’avancent souvent avec vigueur là où les créanciers n’hésitent pas à s’y opposer</w:t>
      </w:r>
      <w:r w:rsidR="009A0DCF" w:rsidRPr="00E72418">
        <w:rPr>
          <w:rFonts w:cs="Times New Roman"/>
          <w:szCs w:val="24"/>
        </w:rPr>
        <w:t xml:space="preserve"> avec autant d’ardeur</w:t>
      </w:r>
      <w:r w:rsidR="006D50CA" w:rsidRPr="00E72418">
        <w:rPr>
          <w:rFonts w:cs="Times New Roman"/>
          <w:szCs w:val="24"/>
        </w:rPr>
        <w:t xml:space="preserve">. </w:t>
      </w:r>
      <w:r w:rsidR="00DB7BEB" w:rsidRPr="00E72418">
        <w:rPr>
          <w:rFonts w:cs="Times New Roman"/>
          <w:szCs w:val="24"/>
        </w:rPr>
        <w:t>Il en résulte que l</w:t>
      </w:r>
      <w:r w:rsidR="006D50CA" w:rsidRPr="00E72418">
        <w:rPr>
          <w:rFonts w:cs="Times New Roman"/>
          <w:szCs w:val="24"/>
        </w:rPr>
        <w:t>es contentieux portant sur les aspects immunitaires</w:t>
      </w:r>
      <w:r w:rsidR="000578BD" w:rsidRPr="00E72418">
        <w:rPr>
          <w:rFonts w:cs="Times New Roman"/>
          <w:szCs w:val="24"/>
        </w:rPr>
        <w:t xml:space="preserve"> </w:t>
      </w:r>
      <w:r w:rsidR="006D50CA" w:rsidRPr="00E72418">
        <w:rPr>
          <w:rFonts w:cs="Times New Roman"/>
          <w:szCs w:val="24"/>
        </w:rPr>
        <w:t>sont légions</w:t>
      </w:r>
      <w:r w:rsidR="006D50CA" w:rsidRPr="00E72418">
        <w:rPr>
          <w:rStyle w:val="Appelnotedebasdep"/>
          <w:rFonts w:cs="Times New Roman"/>
          <w:szCs w:val="24"/>
        </w:rPr>
        <w:footnoteReference w:id="1040"/>
      </w:r>
      <w:r w:rsidR="006D50CA" w:rsidRPr="00E72418">
        <w:rPr>
          <w:rFonts w:cs="Times New Roman"/>
          <w:szCs w:val="24"/>
        </w:rPr>
        <w:t>.</w:t>
      </w:r>
      <w:r w:rsidR="000578BD" w:rsidRPr="00E72418">
        <w:rPr>
          <w:rFonts w:cs="Times New Roman"/>
          <w:szCs w:val="24"/>
        </w:rPr>
        <w:t xml:space="preserve"> Si l’argument immunitaire peut être brandi afin de s’opposer à ce que le juge judiciaire puisse connaître d’une demande dont le défendeur est souverain (</w:t>
      </w:r>
      <w:r w:rsidR="000578BD" w:rsidRPr="00E72418">
        <w:rPr>
          <w:rFonts w:cs="Times New Roman"/>
          <w:b/>
          <w:szCs w:val="24"/>
        </w:rPr>
        <w:t>sous-section 1</w:t>
      </w:r>
      <w:r w:rsidR="000578BD" w:rsidRPr="00E72418">
        <w:rPr>
          <w:rFonts w:cs="Times New Roman"/>
          <w:szCs w:val="24"/>
        </w:rPr>
        <w:t xml:space="preserve">), c’est essentiellement à l’endroit de l’exécution que l’argument </w:t>
      </w:r>
      <w:r w:rsidR="00833229" w:rsidRPr="00E72418">
        <w:rPr>
          <w:rFonts w:cs="Times New Roman"/>
          <w:szCs w:val="24"/>
        </w:rPr>
        <w:t>s’avère</w:t>
      </w:r>
      <w:r w:rsidR="000578BD" w:rsidRPr="00E72418">
        <w:rPr>
          <w:rFonts w:cs="Times New Roman"/>
          <w:szCs w:val="24"/>
        </w:rPr>
        <w:t xml:space="preserve"> le plus opérant (</w:t>
      </w:r>
      <w:r w:rsidR="000578BD" w:rsidRPr="00E72418">
        <w:rPr>
          <w:rFonts w:cs="Times New Roman"/>
          <w:b/>
          <w:szCs w:val="24"/>
        </w:rPr>
        <w:t>sous-section 2</w:t>
      </w:r>
      <w:r w:rsidR="000578BD" w:rsidRPr="00E72418">
        <w:rPr>
          <w:rFonts w:cs="Times New Roman"/>
          <w:szCs w:val="24"/>
        </w:rPr>
        <w:t>).</w:t>
      </w:r>
    </w:p>
    <w:p w14:paraId="51D062CB" w14:textId="77777777" w:rsidR="006D50CA" w:rsidRPr="00E72418" w:rsidRDefault="006D50CA" w:rsidP="0054314B"/>
    <w:p w14:paraId="426AE55B" w14:textId="60FC8DFB" w:rsidR="006D50CA" w:rsidRPr="00E72418" w:rsidRDefault="000764CE" w:rsidP="00CC4BA8">
      <w:pPr>
        <w:pStyle w:val="EE"/>
        <w:spacing w:line="276" w:lineRule="auto"/>
        <w:jc w:val="both"/>
        <w:rPr>
          <w:rFonts w:eastAsia="Times New Roman"/>
          <w:lang w:eastAsia="fr-BE"/>
        </w:rPr>
      </w:pPr>
      <w:bookmarkStart w:id="227" w:name="_Toc47442831"/>
      <w:bookmarkStart w:id="228" w:name="_Toc59280943"/>
      <w:bookmarkStart w:id="229" w:name="_Toc84540931"/>
      <w:r w:rsidRPr="00E72418">
        <w:rPr>
          <w:rFonts w:eastAsia="Times New Roman"/>
          <w:lang w:eastAsia="fr-BE"/>
        </w:rPr>
        <w:t xml:space="preserve">Sous-section 1 : </w:t>
      </w:r>
      <w:r w:rsidR="006D50CA" w:rsidRPr="00E72418">
        <w:rPr>
          <w:rFonts w:eastAsia="Times New Roman"/>
          <w:lang w:eastAsia="fr-BE"/>
        </w:rPr>
        <w:t>L’immunité de juridiction</w:t>
      </w:r>
      <w:bookmarkEnd w:id="227"/>
      <w:bookmarkEnd w:id="228"/>
      <w:bookmarkEnd w:id="229"/>
    </w:p>
    <w:p w14:paraId="53DFB8A3" w14:textId="77777777" w:rsidR="000578BD" w:rsidRPr="00E72418" w:rsidRDefault="000578BD" w:rsidP="0054314B">
      <w:pPr>
        <w:rPr>
          <w:lang w:eastAsia="fr-BE"/>
        </w:rPr>
      </w:pPr>
    </w:p>
    <w:p w14:paraId="4CE7B13A" w14:textId="669A7831" w:rsidR="006D50CA" w:rsidRPr="00E72418" w:rsidRDefault="007F038F" w:rsidP="00CC4BA8">
      <w:pPr>
        <w:spacing w:line="276" w:lineRule="auto"/>
        <w:rPr>
          <w:rFonts w:cs="Times"/>
          <w:szCs w:val="24"/>
        </w:rPr>
      </w:pPr>
      <w:r w:rsidRPr="00E72418">
        <w:rPr>
          <w:rFonts w:cs="Times"/>
          <w:b/>
          <w:lang w:eastAsia="fr-BE"/>
        </w:rPr>
        <w:t>202</w:t>
      </w:r>
      <w:r w:rsidR="007E31CD" w:rsidRPr="00E72418">
        <w:rPr>
          <w:rFonts w:cs="Times"/>
          <w:b/>
          <w:lang w:eastAsia="fr-BE"/>
        </w:rPr>
        <w:t xml:space="preserve">. </w:t>
      </w:r>
      <w:r w:rsidR="006D50CA" w:rsidRPr="00E72418">
        <w:rPr>
          <w:rFonts w:cs="Times"/>
          <w:b/>
          <w:lang w:eastAsia="fr-BE"/>
        </w:rPr>
        <w:t xml:space="preserve">La juridiction et la recevabilité </w:t>
      </w:r>
      <w:r w:rsidR="006D50CA" w:rsidRPr="00E72418">
        <w:rPr>
          <w:rFonts w:cs="Times"/>
          <w:b/>
        </w:rPr>
        <w:t xml:space="preserve">– </w:t>
      </w:r>
      <w:r w:rsidR="006D50CA" w:rsidRPr="00E72418">
        <w:rPr>
          <w:rFonts w:cs="Times"/>
          <w:lang w:eastAsia="fr-BE"/>
        </w:rPr>
        <w:t>Le fondement du privilège immunitaire se retrouve dans la maxime </w:t>
      </w:r>
      <w:r w:rsidR="00527C72" w:rsidRPr="00E72418">
        <w:rPr>
          <w:rFonts w:cs="Times"/>
          <w:i/>
          <w:lang w:eastAsia="fr-BE"/>
        </w:rPr>
        <w:t xml:space="preserve">par </w:t>
      </w:r>
      <w:r w:rsidR="006D50CA" w:rsidRPr="00E72418">
        <w:rPr>
          <w:rFonts w:cs="Times"/>
          <w:i/>
          <w:iCs/>
          <w:lang w:eastAsia="fr-BE"/>
        </w:rPr>
        <w:t xml:space="preserve">in parem non habet </w:t>
      </w:r>
      <w:r w:rsidR="00527C72" w:rsidRPr="00E72418">
        <w:rPr>
          <w:rFonts w:cs="Times"/>
          <w:i/>
          <w:iCs/>
          <w:lang w:eastAsia="fr-BE"/>
        </w:rPr>
        <w:t>imperium</w:t>
      </w:r>
      <w:r w:rsidR="006D50CA" w:rsidRPr="00E72418">
        <w:rPr>
          <w:rFonts w:cs="Times"/>
          <w:lang w:eastAsia="fr-BE"/>
        </w:rPr>
        <w:t>, principe de droit international public traduisant l’idée selon laquelle les égaux n’ont pas de juridiction l’un à l’égard de l’autre</w:t>
      </w:r>
      <w:r w:rsidR="006D50CA" w:rsidRPr="00E72418">
        <w:rPr>
          <w:rStyle w:val="Appelnotedebasdep"/>
          <w:rFonts w:cs="Times"/>
          <w:szCs w:val="24"/>
        </w:rPr>
        <w:footnoteReference w:id="1041"/>
      </w:r>
      <w:r w:rsidR="006D50CA" w:rsidRPr="00E72418">
        <w:rPr>
          <w:rFonts w:cs="Times"/>
          <w:lang w:eastAsia="fr-BE"/>
        </w:rPr>
        <w:t xml:space="preserve">. </w:t>
      </w:r>
      <w:r w:rsidR="006D50CA" w:rsidRPr="00E72418">
        <w:rPr>
          <w:rFonts w:cs="Times"/>
          <w:szCs w:val="24"/>
        </w:rPr>
        <w:t xml:space="preserve">Ainsi, ce sont </w:t>
      </w:r>
      <w:r w:rsidR="00626F37" w:rsidRPr="00E72418">
        <w:rPr>
          <w:rFonts w:cs="Times"/>
          <w:szCs w:val="24"/>
        </w:rPr>
        <w:t xml:space="preserve">généralement </w:t>
      </w:r>
      <w:r w:rsidR="006D50CA" w:rsidRPr="00E72418">
        <w:rPr>
          <w:rFonts w:cs="Times"/>
          <w:szCs w:val="24"/>
        </w:rPr>
        <w:t>les principes</w:t>
      </w:r>
      <w:r w:rsidR="001E62E2" w:rsidRPr="00E72418">
        <w:rPr>
          <w:rFonts w:cs="Times"/>
          <w:szCs w:val="24"/>
        </w:rPr>
        <w:t xml:space="preserve"> de souveraineté, d’indépendance </w:t>
      </w:r>
      <w:r w:rsidR="006D50CA" w:rsidRPr="00E72418">
        <w:rPr>
          <w:rFonts w:cs="Times"/>
          <w:szCs w:val="24"/>
        </w:rPr>
        <w:t xml:space="preserve">ou encore d’égalité des </w:t>
      </w:r>
      <w:r w:rsidR="006D50CA" w:rsidRPr="00E72418">
        <w:rPr>
          <w:lang w:eastAsia="fr-BE"/>
        </w:rPr>
        <w:t>É</w:t>
      </w:r>
      <w:r w:rsidR="00FE706D" w:rsidRPr="00E72418">
        <w:rPr>
          <w:rFonts w:cs="Times"/>
          <w:szCs w:val="24"/>
        </w:rPr>
        <w:t xml:space="preserve">tats </w:t>
      </w:r>
      <w:r w:rsidR="006D50CA" w:rsidRPr="00E72418">
        <w:rPr>
          <w:rFonts w:cs="Times"/>
          <w:szCs w:val="24"/>
        </w:rPr>
        <w:t xml:space="preserve">qui sont à l’origine des immunités </w:t>
      </w:r>
      <w:r w:rsidR="000F5FE4">
        <w:rPr>
          <w:rFonts w:cs="Times"/>
          <w:szCs w:val="24"/>
        </w:rPr>
        <w:t xml:space="preserve">qui leur sont </w:t>
      </w:r>
      <w:r w:rsidR="006D50CA" w:rsidRPr="00E72418">
        <w:rPr>
          <w:rFonts w:cs="Times"/>
          <w:szCs w:val="24"/>
        </w:rPr>
        <w:t>accordées.</w:t>
      </w:r>
      <w:r w:rsidR="009F5D04" w:rsidRPr="00E72418">
        <w:rPr>
          <w:rFonts w:cs="Times"/>
          <w:szCs w:val="24"/>
        </w:rPr>
        <w:t xml:space="preserve"> Il en va également de la courtoisie et du souci des bonnes relations </w:t>
      </w:r>
      <w:r w:rsidR="0067312A" w:rsidRPr="00E72418">
        <w:rPr>
          <w:rFonts w:cs="Times"/>
          <w:szCs w:val="24"/>
        </w:rPr>
        <w:t xml:space="preserve">entre </w:t>
      </w:r>
      <w:r w:rsidR="0067312A" w:rsidRPr="00E72418">
        <w:rPr>
          <w:rFonts w:cs="Times New Roman"/>
          <w:szCs w:val="24"/>
        </w:rPr>
        <w:t>É</w:t>
      </w:r>
      <w:r w:rsidR="009F5D04" w:rsidRPr="00E72418">
        <w:rPr>
          <w:rFonts w:cs="Times"/>
          <w:szCs w:val="24"/>
        </w:rPr>
        <w:t>tats.</w:t>
      </w:r>
    </w:p>
    <w:p w14:paraId="6F86E924" w14:textId="51C16137" w:rsidR="006D50CA" w:rsidRPr="00E72418" w:rsidRDefault="006D50CA" w:rsidP="00CC4BA8">
      <w:pPr>
        <w:spacing w:line="276" w:lineRule="auto"/>
      </w:pPr>
      <w:r w:rsidRPr="00E72418">
        <w:rPr>
          <w:lang w:eastAsia="fr-BE"/>
        </w:rPr>
        <w:t>Dès lors que dans nomb</w:t>
      </w:r>
      <w:r w:rsidR="00B41CCF" w:rsidRPr="00E72418">
        <w:rPr>
          <w:lang w:eastAsia="fr-BE"/>
        </w:rPr>
        <w:t>re de cas, les fonds spéculant</w:t>
      </w:r>
      <w:r w:rsidRPr="00E72418">
        <w:rPr>
          <w:lang w:eastAsia="fr-BE"/>
        </w:rPr>
        <w:t xml:space="preserve"> sur les dettes souveraines attraient leur débiteur devant des juridictions nationales afin d’en solliciter la condamnation, ces juridictions ont à se pos</w:t>
      </w:r>
      <w:r w:rsidR="001E62E2" w:rsidRPr="00E72418">
        <w:rPr>
          <w:lang w:eastAsia="fr-BE"/>
        </w:rPr>
        <w:t>er la question de leur pouvoir de</w:t>
      </w:r>
      <w:r w:rsidRPr="00E72418">
        <w:rPr>
          <w:lang w:eastAsia="fr-BE"/>
        </w:rPr>
        <w:t xml:space="preserve"> connaître de ces demandes. </w:t>
      </w:r>
      <w:r w:rsidRPr="00E72418">
        <w:t xml:space="preserve">L’invocation de l’immunité de juridiction </w:t>
      </w:r>
      <w:r w:rsidR="001E62E2" w:rsidRPr="00E72418">
        <w:t xml:space="preserve">soulève une question de pouvoir du juge ; elle </w:t>
      </w:r>
      <w:r w:rsidRPr="00E72418">
        <w:t xml:space="preserve">prive les juridictions normalement compétentes selon le droit interne de leur pouvoir de connaître de la demande qui </w:t>
      </w:r>
      <w:r w:rsidRPr="00E72418">
        <w:lastRenderedPageBreak/>
        <w:t>leur est soumise</w:t>
      </w:r>
      <w:r w:rsidRPr="00E72418">
        <w:rPr>
          <w:rStyle w:val="Appelnotedebasdep"/>
        </w:rPr>
        <w:footnoteReference w:id="1042"/>
      </w:r>
      <w:r w:rsidRPr="00E72418">
        <w:t xml:space="preserve">. </w:t>
      </w:r>
      <w:r w:rsidR="00674C1A" w:rsidRPr="00E72418">
        <w:t>À</w:t>
      </w:r>
      <w:r w:rsidRPr="00E72418">
        <w:t xml:space="preserve"> la différence d’autres arguments mobilisés dans le décours des procès, l’argument immunitaire est ainsi souvent le premier rempart en ce</w:t>
      </w:r>
      <w:r w:rsidR="001E62E2" w:rsidRPr="00E72418">
        <w:t xml:space="preserve"> qu’il touche à la recevabilité </w:t>
      </w:r>
      <w:r w:rsidRPr="00E72418">
        <w:t>même de l’action entreprise à l’encontre de l’</w:t>
      </w:r>
      <w:r w:rsidRPr="00E72418">
        <w:rPr>
          <w:lang w:eastAsia="fr-BE"/>
        </w:rPr>
        <w:t>É</w:t>
      </w:r>
      <w:r w:rsidRPr="00E72418">
        <w:t>tat débiteur</w:t>
      </w:r>
      <w:r w:rsidRPr="00E72418">
        <w:rPr>
          <w:rStyle w:val="Appelnotedebasdep"/>
        </w:rPr>
        <w:footnoteReference w:id="1043"/>
      </w:r>
      <w:r w:rsidRPr="00E72418">
        <w:t xml:space="preserve">. </w:t>
      </w:r>
    </w:p>
    <w:p w14:paraId="02BB4F81" w14:textId="77777777" w:rsidR="0061620F" w:rsidRPr="00E72418" w:rsidRDefault="0061620F" w:rsidP="0054314B"/>
    <w:p w14:paraId="2B353AAB" w14:textId="3CBCBC9F" w:rsidR="006D50CA" w:rsidRPr="00E72418" w:rsidRDefault="007F038F" w:rsidP="00CC4BA8">
      <w:pPr>
        <w:spacing w:line="276" w:lineRule="auto"/>
      </w:pPr>
      <w:r w:rsidRPr="00E72418">
        <w:rPr>
          <w:b/>
        </w:rPr>
        <w:t>203</w:t>
      </w:r>
      <w:r w:rsidR="007E31CD" w:rsidRPr="00E72418">
        <w:rPr>
          <w:b/>
        </w:rPr>
        <w:t xml:space="preserve">. </w:t>
      </w:r>
      <w:r w:rsidR="006D50CA" w:rsidRPr="00E72418">
        <w:rPr>
          <w:b/>
        </w:rPr>
        <w:t xml:space="preserve">Un principe coutumier – </w:t>
      </w:r>
      <w:r w:rsidR="006D50CA" w:rsidRPr="00E72418">
        <w:t xml:space="preserve">Le principe </w:t>
      </w:r>
      <w:r w:rsidR="0095511E" w:rsidRPr="00E72418">
        <w:t xml:space="preserve">immunitaire </w:t>
      </w:r>
      <w:r w:rsidR="006D50CA" w:rsidRPr="00E72418">
        <w:t>d’origine coutumière reçoit différentes traductions légales, notamment par l’adoption de conventions</w:t>
      </w:r>
      <w:r w:rsidR="0095511E" w:rsidRPr="00E72418">
        <w:t xml:space="preserve"> internationales</w:t>
      </w:r>
      <w:r w:rsidR="006D50CA" w:rsidRPr="00E72418">
        <w:t xml:space="preserve"> comme la Convention européenne sur les immunités des </w:t>
      </w:r>
      <w:r w:rsidR="006D50CA" w:rsidRPr="00E72418">
        <w:rPr>
          <w:lang w:eastAsia="fr-BE"/>
        </w:rPr>
        <w:t>É</w:t>
      </w:r>
      <w:r w:rsidR="006D50CA" w:rsidRPr="00E72418">
        <w:t>tats</w:t>
      </w:r>
      <w:r w:rsidR="006D50CA" w:rsidRPr="00E72418">
        <w:rPr>
          <w:rStyle w:val="Appelnotedebasdep"/>
          <w:rFonts w:cs="Times"/>
          <w:szCs w:val="24"/>
        </w:rPr>
        <w:footnoteReference w:id="1044"/>
      </w:r>
      <w:r w:rsidR="006D50CA" w:rsidRPr="00E72418">
        <w:t xml:space="preserve"> et la Convention des Nations Unies sur les immunités juridictionnelles des </w:t>
      </w:r>
      <w:r w:rsidR="006D50CA" w:rsidRPr="00E72418">
        <w:rPr>
          <w:lang w:eastAsia="fr-BE"/>
        </w:rPr>
        <w:t>É</w:t>
      </w:r>
      <w:r w:rsidR="006D50CA" w:rsidRPr="00E72418">
        <w:t>tats et de leurs biens</w:t>
      </w:r>
      <w:r w:rsidR="006D50CA" w:rsidRPr="00E72418">
        <w:rPr>
          <w:rStyle w:val="Appelnotedebasdep"/>
          <w:rFonts w:cs="Times"/>
          <w:szCs w:val="24"/>
        </w:rPr>
        <w:footnoteReference w:id="1045"/>
      </w:r>
      <w:r w:rsidR="006D50CA" w:rsidRPr="00E72418">
        <w:t xml:space="preserve"> ou encore par l’adoption de législations nationales comme le </w:t>
      </w:r>
      <w:r w:rsidR="006D50CA" w:rsidRPr="00E72418">
        <w:rPr>
          <w:i/>
        </w:rPr>
        <w:t>Foreign Sovereign Immunities Act</w:t>
      </w:r>
      <w:r w:rsidR="006D50CA" w:rsidRPr="00E72418">
        <w:t xml:space="preserve"> étatsunien de 1976 et le </w:t>
      </w:r>
      <w:r w:rsidR="006D50CA" w:rsidRPr="00E72418">
        <w:rPr>
          <w:i/>
        </w:rPr>
        <w:t>State Immunity Act</w:t>
      </w:r>
      <w:r w:rsidR="006D50CA" w:rsidRPr="00E72418">
        <w:t xml:space="preserve"> britannique de 1978. La Belgique et la France n’ont quant à elle</w:t>
      </w:r>
      <w:r w:rsidR="0095511E" w:rsidRPr="00E72418">
        <w:t>s</w:t>
      </w:r>
      <w:r w:rsidR="00336609" w:rsidRPr="00E72418">
        <w:t xml:space="preserve"> pas légiféré</w:t>
      </w:r>
      <w:r w:rsidR="006D50CA" w:rsidRPr="00E72418">
        <w:t xml:space="preserve"> spécifiquement en matière d’immunité de juridiction.</w:t>
      </w:r>
    </w:p>
    <w:p w14:paraId="341889CA" w14:textId="77777777" w:rsidR="006D50CA" w:rsidRPr="00E72418" w:rsidRDefault="006D50CA" w:rsidP="00CC4BA8">
      <w:pPr>
        <w:spacing w:line="276" w:lineRule="auto"/>
        <w:rPr>
          <w:rFonts w:cs="Times New Roman"/>
          <w:szCs w:val="24"/>
        </w:rPr>
      </w:pPr>
      <w:r w:rsidRPr="00E72418">
        <w:t xml:space="preserve">La Convention des Nations Unies sur les immunités juridictionnelles des </w:t>
      </w:r>
      <w:r w:rsidRPr="00E72418">
        <w:rPr>
          <w:lang w:eastAsia="fr-BE"/>
        </w:rPr>
        <w:t>É</w:t>
      </w:r>
      <w:r w:rsidRPr="00E72418">
        <w:t>tats et de leurs biens représente au mieux l’état du droit en la matière</w:t>
      </w:r>
      <w:r w:rsidRPr="00E72418">
        <w:rPr>
          <w:rStyle w:val="Appelnotedebasdep"/>
          <w:rFonts w:cs="Times"/>
          <w:szCs w:val="24"/>
        </w:rPr>
        <w:footnoteReference w:id="1046"/>
      </w:r>
      <w:r w:rsidRPr="00E72418">
        <w:t xml:space="preserve">. L’on peut lire dans son préambule que « les immunités juridictionnelles des États et de leurs biens procèdent d’un principe généralement accepté de droit coutumier » et qu’ « une convention internationale sur les immunités juridictionnelles des États et de leurs biens renforcerait la prééminence du droit et la sécurité juridique, en particulier dans les rapports entre les États et les personnes physiques et morales, et contribuerait à la codification et au développement du droit international et à l’harmonisation des pratiques dans ce domaine ». </w:t>
      </w:r>
      <w:r w:rsidR="0095511E" w:rsidRPr="00E72418">
        <w:t>C’est ainsi que l</w:t>
      </w:r>
      <w:r w:rsidRPr="00E72418">
        <w:t>a Cour europé</w:t>
      </w:r>
      <w:r w:rsidR="0095511E" w:rsidRPr="00E72418">
        <w:t xml:space="preserve">enne des droits de l’homme </w:t>
      </w:r>
      <w:r w:rsidR="0095511E" w:rsidRPr="00E72418">
        <w:lastRenderedPageBreak/>
        <w:t>reti</w:t>
      </w:r>
      <w:r w:rsidRPr="00E72418">
        <w:t xml:space="preserve">nt notamment dans son arrêt </w:t>
      </w:r>
      <w:r w:rsidRPr="00E72418">
        <w:rPr>
          <w:rFonts w:cs="Times New Roman"/>
          <w:i/>
          <w:szCs w:val="24"/>
        </w:rPr>
        <w:t>Wallishauser c. Autriche</w:t>
      </w:r>
      <w:r w:rsidRPr="00E72418">
        <w:rPr>
          <w:rFonts w:cs="Times New Roman"/>
          <w:szCs w:val="24"/>
        </w:rPr>
        <w:t xml:space="preserve"> que l’immunité de juridiction étatique est gouvernée par le droit international coutumier dont la codification est reprise dans la</w:t>
      </w:r>
      <w:r w:rsidRPr="00E72418">
        <w:t xml:space="preserve"> Convention des Nations Unies sur les immunités juridictionnelles des </w:t>
      </w:r>
      <w:r w:rsidRPr="00E72418">
        <w:rPr>
          <w:lang w:eastAsia="fr-BE"/>
        </w:rPr>
        <w:t>É</w:t>
      </w:r>
      <w:r w:rsidRPr="00E72418">
        <w:t>tats et de leurs biens</w:t>
      </w:r>
      <w:r w:rsidRPr="00E72418">
        <w:rPr>
          <w:rStyle w:val="Appelnotedebasdep"/>
          <w:rFonts w:cs="Times New Roman"/>
          <w:szCs w:val="24"/>
        </w:rPr>
        <w:footnoteReference w:id="1047"/>
      </w:r>
      <w:r w:rsidRPr="00E72418">
        <w:rPr>
          <w:rFonts w:cs="Times New Roman"/>
          <w:szCs w:val="24"/>
        </w:rPr>
        <w:t>.</w:t>
      </w:r>
    </w:p>
    <w:p w14:paraId="2C6AD1CA" w14:textId="77777777" w:rsidR="006D50CA" w:rsidRPr="00E72418" w:rsidRDefault="006D50CA" w:rsidP="0054314B"/>
    <w:p w14:paraId="18FF1032" w14:textId="6A178F38" w:rsidR="006D50CA" w:rsidRPr="00E72418" w:rsidRDefault="006D50CA" w:rsidP="008D1D70">
      <w:pPr>
        <w:pStyle w:val="FF"/>
        <w:numPr>
          <w:ilvl w:val="0"/>
          <w:numId w:val="2"/>
        </w:numPr>
        <w:spacing w:line="276" w:lineRule="auto"/>
        <w:rPr>
          <w:lang w:eastAsia="fr-BE"/>
        </w:rPr>
      </w:pPr>
      <w:bookmarkStart w:id="230" w:name="_Toc59280944"/>
      <w:bookmarkStart w:id="231" w:name="_Toc84540932"/>
      <w:r w:rsidRPr="00E72418">
        <w:rPr>
          <w:lang w:eastAsia="fr-BE"/>
        </w:rPr>
        <w:t>La relativité</w:t>
      </w:r>
      <w:bookmarkEnd w:id="230"/>
      <w:bookmarkEnd w:id="231"/>
    </w:p>
    <w:p w14:paraId="24DE54A0" w14:textId="77777777" w:rsidR="0054314B" w:rsidRPr="00E72418" w:rsidRDefault="0054314B" w:rsidP="0054314B">
      <w:pPr>
        <w:rPr>
          <w:lang w:eastAsia="fr-BE"/>
        </w:rPr>
      </w:pPr>
    </w:p>
    <w:p w14:paraId="523626D5" w14:textId="6ADDD79A" w:rsidR="006D50CA" w:rsidRPr="00E72418" w:rsidRDefault="007F038F" w:rsidP="00CC4BA8">
      <w:pPr>
        <w:spacing w:line="276" w:lineRule="auto"/>
        <w:rPr>
          <w:lang w:eastAsia="fr-BE"/>
        </w:rPr>
      </w:pPr>
      <w:r w:rsidRPr="00E72418">
        <w:rPr>
          <w:b/>
        </w:rPr>
        <w:t>204</w:t>
      </w:r>
      <w:r w:rsidR="007E31CD" w:rsidRPr="00E72418">
        <w:rPr>
          <w:b/>
        </w:rPr>
        <w:t xml:space="preserve">. </w:t>
      </w:r>
      <w:r w:rsidR="000F5901" w:rsidRPr="00E72418">
        <w:rPr>
          <w:b/>
          <w:i/>
        </w:rPr>
        <w:t>Acta jure imperii</w:t>
      </w:r>
      <w:r w:rsidR="000F5901" w:rsidRPr="00E72418">
        <w:rPr>
          <w:b/>
        </w:rPr>
        <w:t xml:space="preserve"> et </w:t>
      </w:r>
      <w:r w:rsidR="000F5901" w:rsidRPr="00E72418">
        <w:rPr>
          <w:b/>
          <w:i/>
        </w:rPr>
        <w:t>acta jure gestionis</w:t>
      </w:r>
      <w:r w:rsidR="000F5901" w:rsidRPr="00E72418">
        <w:rPr>
          <w:b/>
        </w:rPr>
        <w:t xml:space="preserve"> –</w:t>
      </w:r>
      <w:r w:rsidR="000F5901" w:rsidRPr="00E72418">
        <w:t xml:space="preserve"> </w:t>
      </w:r>
      <w:r w:rsidR="006D50CA" w:rsidRPr="00E72418">
        <w:rPr>
          <w:lang w:eastAsia="fr-BE"/>
        </w:rPr>
        <w:t xml:space="preserve">Si l’immunité de juridiction fut longtemps </w:t>
      </w:r>
      <w:r w:rsidR="0095511E" w:rsidRPr="00E72418">
        <w:rPr>
          <w:lang w:eastAsia="fr-BE"/>
        </w:rPr>
        <w:t>jugée</w:t>
      </w:r>
      <w:r w:rsidR="006D50CA" w:rsidRPr="00E72418">
        <w:rPr>
          <w:lang w:eastAsia="fr-BE"/>
        </w:rPr>
        <w:t xml:space="preserve"> comme absolue, ce n’est plus la portée qui lui est généralement conférée aujourd’hui</w:t>
      </w:r>
      <w:r w:rsidR="006D50CA" w:rsidRPr="00E72418">
        <w:rPr>
          <w:rStyle w:val="Appelnotedebasdep"/>
          <w:rFonts w:eastAsia="Times New Roman" w:cs="Times New Roman"/>
          <w:szCs w:val="24"/>
          <w:lang w:eastAsia="fr-BE"/>
        </w:rPr>
        <w:footnoteReference w:id="1048"/>
      </w:r>
      <w:r w:rsidR="006D50CA" w:rsidRPr="00E72418">
        <w:rPr>
          <w:lang w:eastAsia="fr-BE"/>
        </w:rPr>
        <w:t xml:space="preserve">. </w:t>
      </w:r>
      <w:r w:rsidR="006D50CA" w:rsidRPr="00E72418">
        <w:t xml:space="preserve">Cette érosion de l’immunité s’explique par l’implication de plus en plus importante des </w:t>
      </w:r>
      <w:r w:rsidR="006D50CA" w:rsidRPr="00E72418">
        <w:rPr>
          <w:lang w:eastAsia="fr-BE"/>
        </w:rPr>
        <w:t>É</w:t>
      </w:r>
      <w:r w:rsidR="006D50CA" w:rsidRPr="00E72418">
        <w:t>tats souverains sur les marchés commer</w:t>
      </w:r>
      <w:r w:rsidR="008803E8" w:rsidRPr="00E72418">
        <w:t xml:space="preserve">ciaux difficilement compatible avec l’idée d’une </w:t>
      </w:r>
      <w:r w:rsidR="006D50CA" w:rsidRPr="00E72418">
        <w:t>im</w:t>
      </w:r>
      <w:r w:rsidR="000F5FE4">
        <w:t>munité absolue dès lors qu’ils</w:t>
      </w:r>
      <w:r w:rsidR="006D50CA" w:rsidRPr="00E72418">
        <w:t xml:space="preserve"> y </w:t>
      </w:r>
      <w:r w:rsidR="008803E8" w:rsidRPr="00E72418">
        <w:t>endossent</w:t>
      </w:r>
      <w:r w:rsidR="006D50CA" w:rsidRPr="00E72418">
        <w:t xml:space="preserve"> un</w:t>
      </w:r>
      <w:r w:rsidR="008803E8" w:rsidRPr="00E72418">
        <w:t xml:space="preserve"> rôle</w:t>
      </w:r>
      <w:r w:rsidR="006D50CA" w:rsidRPr="00E72418">
        <w:t xml:space="preserve"> d’acteurs privés</w:t>
      </w:r>
      <w:r w:rsidR="006D50CA" w:rsidRPr="00E72418">
        <w:rPr>
          <w:rStyle w:val="Appelnotedebasdep"/>
        </w:rPr>
        <w:footnoteReference w:id="1049"/>
      </w:r>
      <w:r w:rsidR="006D50CA" w:rsidRPr="00E72418">
        <w:t xml:space="preserve">. </w:t>
      </w:r>
      <w:r w:rsidR="008803E8" w:rsidRPr="00E72418">
        <w:t>De ceci émergea l</w:t>
      </w:r>
      <w:r w:rsidR="00A51648" w:rsidRPr="00E72418">
        <w:rPr>
          <w:lang w:eastAsia="fr-BE"/>
        </w:rPr>
        <w:t xml:space="preserve">a </w:t>
      </w:r>
      <w:r w:rsidR="00CC3DBC" w:rsidRPr="00E72418">
        <w:rPr>
          <w:lang w:eastAsia="fr-BE"/>
        </w:rPr>
        <w:t xml:space="preserve">doctrine </w:t>
      </w:r>
      <w:r w:rsidR="006D50CA" w:rsidRPr="00E72418">
        <w:rPr>
          <w:lang w:eastAsia="fr-BE"/>
        </w:rPr>
        <w:t xml:space="preserve">de l’immunité relative </w:t>
      </w:r>
      <w:r w:rsidR="00CC3DBC" w:rsidRPr="00E72418">
        <w:rPr>
          <w:lang w:eastAsia="fr-BE"/>
        </w:rPr>
        <w:t>dont l’</w:t>
      </w:r>
      <w:r w:rsidR="00AD7212" w:rsidRPr="00E72418">
        <w:rPr>
          <w:lang w:eastAsia="fr-BE"/>
        </w:rPr>
        <w:t>application</w:t>
      </w:r>
      <w:r w:rsidR="00CC3DBC" w:rsidRPr="00E72418">
        <w:rPr>
          <w:lang w:eastAsia="fr-BE"/>
        </w:rPr>
        <w:t xml:space="preserve"> par </w:t>
      </w:r>
      <w:r w:rsidR="006D50CA" w:rsidRPr="00E72418">
        <w:rPr>
          <w:lang w:eastAsia="fr-BE"/>
        </w:rPr>
        <w:t xml:space="preserve">la plupart des pays </w:t>
      </w:r>
      <w:r w:rsidR="00CC3DBC" w:rsidRPr="00E72418">
        <w:rPr>
          <w:lang w:eastAsia="fr-BE"/>
        </w:rPr>
        <w:t>contribua à ce qu’elle « crystallize</w:t>
      </w:r>
      <w:r w:rsidR="00ED2377" w:rsidRPr="00E72418">
        <w:rPr>
          <w:szCs w:val="20"/>
        </w:rPr>
        <w:t>[s]</w:t>
      </w:r>
      <w:r w:rsidR="00CC3DBC" w:rsidRPr="00E72418">
        <w:rPr>
          <w:lang w:eastAsia="fr-BE"/>
        </w:rPr>
        <w:t xml:space="preserve"> into customary international law »</w:t>
      </w:r>
      <w:r w:rsidR="006D50CA" w:rsidRPr="00E72418">
        <w:rPr>
          <w:rStyle w:val="Appelnotedebasdep"/>
        </w:rPr>
        <w:footnoteReference w:id="1050"/>
      </w:r>
      <w:r w:rsidR="000F5901" w:rsidRPr="00E72418">
        <w:rPr>
          <w:lang w:eastAsia="fr-BE"/>
        </w:rPr>
        <w:t>.</w:t>
      </w:r>
    </w:p>
    <w:p w14:paraId="027C9B77" w14:textId="723C89DB" w:rsidR="006D50CA" w:rsidRDefault="006D50CA" w:rsidP="00CC4BA8">
      <w:pPr>
        <w:spacing w:line="276" w:lineRule="auto"/>
      </w:pPr>
      <w:r w:rsidRPr="00E72418">
        <w:t>La théorie de l’immu</w:t>
      </w:r>
      <w:r w:rsidR="001A408C" w:rsidRPr="00E72418">
        <w:t xml:space="preserve">nité relative conduit à ce que </w:t>
      </w:r>
      <w:r w:rsidRPr="00E72418">
        <w:t xml:space="preserve">soient </w:t>
      </w:r>
      <w:r w:rsidR="001A408C" w:rsidRPr="00E72418">
        <w:t xml:space="preserve">uniquement </w:t>
      </w:r>
      <w:r w:rsidRPr="00E72418">
        <w:t xml:space="preserve">immunisés les </w:t>
      </w:r>
      <w:r w:rsidRPr="00E72418">
        <w:rPr>
          <w:i/>
        </w:rPr>
        <w:t>acta jure imperii</w:t>
      </w:r>
      <w:r w:rsidRPr="00E72418">
        <w:t xml:space="preserve"> posés par un </w:t>
      </w:r>
      <w:r w:rsidRPr="00E72418">
        <w:rPr>
          <w:lang w:eastAsia="fr-BE"/>
        </w:rPr>
        <w:t>É</w:t>
      </w:r>
      <w:r w:rsidRPr="00E72418">
        <w:t xml:space="preserve">tat souverain. Par opposition, les </w:t>
      </w:r>
      <w:r w:rsidRPr="00E72418">
        <w:rPr>
          <w:i/>
        </w:rPr>
        <w:t>acta jure gestionis</w:t>
      </w:r>
      <w:r w:rsidRPr="00E72418">
        <w:t xml:space="preserve"> ne sont pas protégés de sorte que lorsqu’ils posent ce type d’actes, les </w:t>
      </w:r>
      <w:r w:rsidRPr="00E72418">
        <w:rPr>
          <w:lang w:eastAsia="fr-BE"/>
        </w:rPr>
        <w:t>É</w:t>
      </w:r>
      <w:r w:rsidRPr="00E72418">
        <w:t>tats souverains sont alors traités comme de quelconques justiciables</w:t>
      </w:r>
      <w:r w:rsidR="00F21B58" w:rsidRPr="00E72418">
        <w:rPr>
          <w:rStyle w:val="Appelnotedebasdep"/>
        </w:rPr>
        <w:footnoteReference w:id="1051"/>
      </w:r>
      <w:r w:rsidRPr="00E72418">
        <w:t>.</w:t>
      </w:r>
      <w:r w:rsidR="001A408C" w:rsidRPr="00E72418">
        <w:t xml:space="preserve"> L’enjeu de la distinction lorsqu’il est question de dette souveraines est crucial pour notre recherche. </w:t>
      </w:r>
    </w:p>
    <w:p w14:paraId="1781974A" w14:textId="77777777" w:rsidR="00F768FD" w:rsidRPr="00E72418" w:rsidRDefault="00F768FD" w:rsidP="00CC4BA8">
      <w:pPr>
        <w:spacing w:line="276" w:lineRule="auto"/>
      </w:pPr>
    </w:p>
    <w:p w14:paraId="135DFBD2" w14:textId="133A306D" w:rsidR="006D50CA" w:rsidRPr="00E72418" w:rsidRDefault="000764CE" w:rsidP="00CC4BA8">
      <w:pPr>
        <w:pStyle w:val="GG"/>
        <w:spacing w:line="276" w:lineRule="auto"/>
        <w:rPr>
          <w:color w:val="auto"/>
        </w:rPr>
      </w:pPr>
      <w:bookmarkStart w:id="232" w:name="_Toc15985944"/>
      <w:bookmarkStart w:id="233" w:name="_Toc18328226"/>
      <w:bookmarkStart w:id="234" w:name="_Toc47442835"/>
      <w:bookmarkStart w:id="235" w:name="_Toc59280945"/>
      <w:bookmarkStart w:id="236" w:name="_Toc84540933"/>
      <w:r w:rsidRPr="00E72418">
        <w:rPr>
          <w:color w:val="auto"/>
        </w:rPr>
        <w:lastRenderedPageBreak/>
        <w:t xml:space="preserve">A.1. </w:t>
      </w:r>
      <w:r w:rsidR="006D50CA" w:rsidRPr="00E72418">
        <w:rPr>
          <w:color w:val="auto"/>
        </w:rPr>
        <w:t xml:space="preserve">La Convention des Nations Unies sur les immunités juridictionnelles des </w:t>
      </w:r>
      <w:r w:rsidR="006D50CA" w:rsidRPr="00E72418">
        <w:rPr>
          <w:color w:val="auto"/>
          <w:lang w:eastAsia="fr-BE"/>
        </w:rPr>
        <w:t>É</w:t>
      </w:r>
      <w:r w:rsidR="006D50CA" w:rsidRPr="00E72418">
        <w:rPr>
          <w:color w:val="auto"/>
        </w:rPr>
        <w:t>tats et de leurs biens</w:t>
      </w:r>
      <w:bookmarkEnd w:id="232"/>
      <w:bookmarkEnd w:id="233"/>
      <w:bookmarkEnd w:id="234"/>
      <w:bookmarkEnd w:id="235"/>
      <w:bookmarkEnd w:id="236"/>
    </w:p>
    <w:p w14:paraId="3A608C2E" w14:textId="77777777" w:rsidR="0054314B" w:rsidRPr="00E72418" w:rsidRDefault="0054314B" w:rsidP="0054314B"/>
    <w:p w14:paraId="66D2D0D0" w14:textId="320663DB" w:rsidR="006D50CA" w:rsidRDefault="007F038F" w:rsidP="00CC4BA8">
      <w:pPr>
        <w:spacing w:line="276" w:lineRule="auto"/>
        <w:rPr>
          <w:rFonts w:eastAsia="Times New Roman"/>
          <w:lang w:eastAsia="fr-BE"/>
        </w:rPr>
      </w:pPr>
      <w:r w:rsidRPr="00E72418">
        <w:rPr>
          <w:b/>
        </w:rPr>
        <w:t>205</w:t>
      </w:r>
      <w:r w:rsidR="007E31CD" w:rsidRPr="00E72418">
        <w:rPr>
          <w:b/>
        </w:rPr>
        <w:t xml:space="preserve">. </w:t>
      </w:r>
      <w:r w:rsidR="006D50CA" w:rsidRPr="00E72418">
        <w:rPr>
          <w:b/>
        </w:rPr>
        <w:t xml:space="preserve">La </w:t>
      </w:r>
      <w:r w:rsidR="00F158B3" w:rsidRPr="00E72418">
        <w:rPr>
          <w:b/>
        </w:rPr>
        <w:t>relativité</w:t>
      </w:r>
      <w:r w:rsidR="006D50CA" w:rsidRPr="00E72418">
        <w:rPr>
          <w:b/>
        </w:rPr>
        <w:t xml:space="preserve"> consacrée – </w:t>
      </w:r>
      <w:r w:rsidR="006D50CA" w:rsidRPr="00E72418">
        <w:t xml:space="preserve">La Convention des Nations Unies sur les immunités juridictionnelles des </w:t>
      </w:r>
      <w:r w:rsidR="006D50CA" w:rsidRPr="00E72418">
        <w:rPr>
          <w:lang w:eastAsia="fr-BE"/>
        </w:rPr>
        <w:t>É</w:t>
      </w:r>
      <w:r w:rsidR="006D50CA" w:rsidRPr="00E72418">
        <w:t xml:space="preserve">tats et de leurs biens consacre la théorie de l’immunité relative. </w:t>
      </w:r>
      <w:r w:rsidR="001A408C" w:rsidRPr="00E72418">
        <w:t>Alors qu’</w:t>
      </w:r>
      <w:r w:rsidR="006D50CA" w:rsidRPr="00E72418">
        <w:t>en son article 5 la convention pose le principe immunitaire, elle le relativise ensuite en listant tout</w:t>
      </w:r>
      <w:r w:rsidR="001A408C" w:rsidRPr="00E72418">
        <w:t>e</w:t>
      </w:r>
      <w:r w:rsidR="006D50CA" w:rsidRPr="00E72418">
        <w:t xml:space="preserve"> une série de procédures </w:t>
      </w:r>
      <w:r w:rsidR="001A408C" w:rsidRPr="00E72418">
        <w:t>pour</w:t>
      </w:r>
      <w:r w:rsidR="006D50CA" w:rsidRPr="00E72418">
        <w:t xml:space="preserve"> lesquelles les </w:t>
      </w:r>
      <w:r w:rsidR="006D50CA" w:rsidRPr="00E72418">
        <w:rPr>
          <w:lang w:eastAsia="fr-BE"/>
        </w:rPr>
        <w:t>É</w:t>
      </w:r>
      <w:r w:rsidR="006D50CA" w:rsidRPr="00E72418">
        <w:t xml:space="preserve">tats ne peuvent </w:t>
      </w:r>
      <w:r w:rsidR="001A408C" w:rsidRPr="00E72418">
        <w:t>exciper</w:t>
      </w:r>
      <w:r w:rsidR="006D50CA" w:rsidRPr="00E72418">
        <w:t xml:space="preserve"> l’immunité</w:t>
      </w:r>
      <w:r w:rsidR="006D50CA" w:rsidRPr="00E72418">
        <w:rPr>
          <w:rStyle w:val="Appelnotedebasdep"/>
          <w:rFonts w:cs="Times New Roman"/>
          <w:szCs w:val="24"/>
        </w:rPr>
        <w:footnoteReference w:id="1052"/>
      </w:r>
      <w:r w:rsidR="006D50CA" w:rsidRPr="00E72418">
        <w:t xml:space="preserve">. Généralement, la </w:t>
      </w:r>
      <w:r w:rsidR="006D50CA" w:rsidRPr="00E72418">
        <w:rPr>
          <w:rFonts w:eastAsia="Times New Roman"/>
          <w:lang w:eastAsia="fr-BE"/>
        </w:rPr>
        <w:t>Convention des Nations unies opère un partage entre les activités étatiques publiques couvertes par l’immunité de juridiction et les activités où l’État est jugé comme agissant à l’instar d’une personne privée</w:t>
      </w:r>
      <w:r w:rsidR="001A408C" w:rsidRPr="00E72418">
        <w:rPr>
          <w:rFonts w:eastAsia="Times New Roman"/>
          <w:lang w:eastAsia="fr-BE"/>
        </w:rPr>
        <w:t xml:space="preserve"> pour lesquelles il n’y a pas de bénéfice immunitaire</w:t>
      </w:r>
      <w:r w:rsidR="006D50CA" w:rsidRPr="00E72418">
        <w:rPr>
          <w:rFonts w:eastAsia="Times New Roman"/>
          <w:lang w:eastAsia="fr-BE"/>
        </w:rPr>
        <w:t xml:space="preserve">. </w:t>
      </w:r>
      <w:r w:rsidR="006D50CA" w:rsidRPr="00E72418">
        <w:t xml:space="preserve">C’est essentiellement </w:t>
      </w:r>
      <w:r w:rsidR="001A408C" w:rsidRPr="00E72418">
        <w:t>dans</w:t>
      </w:r>
      <w:r w:rsidR="006D50CA" w:rsidRPr="00E72418">
        <w:t xml:space="preserve"> les hypothèses de transactions commerciales et de contrats de travail que la dichotomie trouve </w:t>
      </w:r>
      <w:r w:rsidR="001A408C" w:rsidRPr="00E72418">
        <w:t>à s’appliquer</w:t>
      </w:r>
      <w:r w:rsidR="006D50CA" w:rsidRPr="00E72418">
        <w:rPr>
          <w:rStyle w:val="Appelnotedebasdep"/>
        </w:rPr>
        <w:footnoteReference w:id="1053"/>
      </w:r>
      <w:r w:rsidR="006D50CA" w:rsidRPr="00E72418">
        <w:t>. À côté de cela, la Convention des Nations Unies va reprendre des exceptions qui ne peuvent entrer dans la distinction classique</w:t>
      </w:r>
      <w:r w:rsidR="001A408C" w:rsidRPr="00E72418">
        <w:t xml:space="preserve"> de sorte que pour celles-ci, </w:t>
      </w:r>
      <w:r w:rsidR="00F158B3" w:rsidRPr="00E72418">
        <w:t>il est inutile de déterminer si l’acte</w:t>
      </w:r>
      <w:r w:rsidR="006D50CA" w:rsidRPr="00E72418">
        <w:t xml:space="preserve"> </w:t>
      </w:r>
      <w:r w:rsidR="00F158B3" w:rsidRPr="00E72418">
        <w:t>a été posé</w:t>
      </w:r>
      <w:r w:rsidR="006D50CA" w:rsidRPr="00E72418">
        <w:t xml:space="preserve"> dans la sphère souveraine ou non</w:t>
      </w:r>
      <w:r w:rsidR="001A408C" w:rsidRPr="00E72418">
        <w:t xml:space="preserve"> </w:t>
      </w:r>
      <w:r w:rsidR="006D50CA" w:rsidRPr="00E72418">
        <w:t>; le seul fait d’y être confronté entraînant l’absence d’immunité pour l’État</w:t>
      </w:r>
      <w:r w:rsidR="006D50CA" w:rsidRPr="00E72418">
        <w:rPr>
          <w:rStyle w:val="Appelnotedebasdep"/>
          <w:rFonts w:eastAsia="Times New Roman" w:cs="Times New Roman"/>
          <w:szCs w:val="24"/>
          <w:lang w:eastAsia="fr-BE"/>
        </w:rPr>
        <w:footnoteReference w:id="1054"/>
      </w:r>
      <w:r w:rsidR="006D50CA" w:rsidRPr="00E72418">
        <w:rPr>
          <w:rFonts w:eastAsia="Times New Roman"/>
          <w:lang w:eastAsia="fr-BE"/>
        </w:rPr>
        <w:t>.</w:t>
      </w:r>
    </w:p>
    <w:p w14:paraId="3A31967C" w14:textId="77777777" w:rsidR="00486978" w:rsidRPr="00E72418" w:rsidRDefault="00486978" w:rsidP="00CC4BA8">
      <w:pPr>
        <w:spacing w:line="276" w:lineRule="auto"/>
        <w:rPr>
          <w:b/>
        </w:rPr>
      </w:pPr>
    </w:p>
    <w:p w14:paraId="1498CB5D" w14:textId="4C236359" w:rsidR="006D50CA" w:rsidRPr="00E72418" w:rsidRDefault="007F038F" w:rsidP="00CC4BA8">
      <w:pPr>
        <w:spacing w:line="276" w:lineRule="auto"/>
      </w:pPr>
      <w:r w:rsidRPr="00E72418">
        <w:rPr>
          <w:b/>
        </w:rPr>
        <w:t>206</w:t>
      </w:r>
      <w:r w:rsidR="007E31CD" w:rsidRPr="00E72418">
        <w:rPr>
          <w:b/>
        </w:rPr>
        <w:t xml:space="preserve">. </w:t>
      </w:r>
      <w:r w:rsidR="006D50CA" w:rsidRPr="00E72418">
        <w:rPr>
          <w:b/>
        </w:rPr>
        <w:t>Les transactions commerciales –</w:t>
      </w:r>
      <w:r w:rsidR="006D50CA" w:rsidRPr="00E72418">
        <w:t xml:space="preserve"> </w:t>
      </w:r>
      <w:r w:rsidR="00F158B3" w:rsidRPr="00E72418">
        <w:t xml:space="preserve">Le traitement réservé par la Convention des Nations Unies sur les immunités juridictionnelles des </w:t>
      </w:r>
      <w:r w:rsidR="00F158B3" w:rsidRPr="00E72418">
        <w:rPr>
          <w:lang w:eastAsia="fr-BE"/>
        </w:rPr>
        <w:t>É</w:t>
      </w:r>
      <w:r w:rsidR="00F158B3" w:rsidRPr="00E72418">
        <w:t>tats et de leurs biens aux transactions commerciales est</w:t>
      </w:r>
      <w:r w:rsidR="00B453A0" w:rsidRPr="00E72418">
        <w:t xml:space="preserve"> significatif</w:t>
      </w:r>
      <w:r w:rsidR="00F158B3" w:rsidRPr="00E72418">
        <w:t xml:space="preserve"> pour les contentieux relatifs aux dettes souveraines. </w:t>
      </w:r>
      <w:r w:rsidR="006D50CA" w:rsidRPr="00E72418">
        <w:t>L’article 10</w:t>
      </w:r>
      <w:r w:rsidR="00F158B3" w:rsidRPr="00E72418">
        <w:t xml:space="preserve"> de la convention </w:t>
      </w:r>
      <w:r w:rsidR="006D50CA" w:rsidRPr="00E72418">
        <w:t xml:space="preserve">précise que, sauf exceptions, si un </w:t>
      </w:r>
      <w:r w:rsidR="006D50CA" w:rsidRPr="00E72418">
        <w:rPr>
          <w:lang w:eastAsia="fr-BE"/>
        </w:rPr>
        <w:t>É</w:t>
      </w:r>
      <w:r w:rsidR="006D50CA" w:rsidRPr="00E72418">
        <w:t>tat effect</w:t>
      </w:r>
      <w:r w:rsidR="00656744" w:rsidRPr="00E72418">
        <w:t>ue, avec une personne physique o</w:t>
      </w:r>
      <w:r w:rsidR="006D50CA" w:rsidRPr="00E72418">
        <w:t xml:space="preserve">u morale étrangère, une transaction commerciale et si, en vertu des règles applicables de droit international privé, les contestations relatives à cette transaction commerciale relèvent de la juridiction d’un tribunal d’un autre </w:t>
      </w:r>
      <w:r w:rsidR="006D50CA" w:rsidRPr="00E72418">
        <w:rPr>
          <w:lang w:eastAsia="fr-BE"/>
        </w:rPr>
        <w:t>É</w:t>
      </w:r>
      <w:r w:rsidR="006D50CA" w:rsidRPr="00E72418">
        <w:t>tat, l’</w:t>
      </w:r>
      <w:r w:rsidR="006D50CA" w:rsidRPr="00E72418">
        <w:rPr>
          <w:lang w:eastAsia="fr-BE"/>
        </w:rPr>
        <w:t>É</w:t>
      </w:r>
      <w:r w:rsidR="00656744" w:rsidRPr="00E72418">
        <w:t xml:space="preserve">tat ne peut invoquer l’immunité </w:t>
      </w:r>
      <w:r w:rsidR="006D50CA" w:rsidRPr="00E72418">
        <w:t xml:space="preserve">de juridiction devant ce tribunal dans une procédure découlant de ladite transaction. La règle posée ne </w:t>
      </w:r>
      <w:r w:rsidR="00B453A0" w:rsidRPr="00E72418">
        <w:t>s’applique pas</w:t>
      </w:r>
      <w:r w:rsidR="006D50CA" w:rsidRPr="00E72418">
        <w:t xml:space="preserve"> dans les cas de transactions commerciales entre </w:t>
      </w:r>
      <w:r w:rsidR="006D50CA" w:rsidRPr="00E72418">
        <w:rPr>
          <w:lang w:eastAsia="fr-BE"/>
        </w:rPr>
        <w:t>É</w:t>
      </w:r>
      <w:r w:rsidR="006D50CA" w:rsidRPr="00E72418">
        <w:t xml:space="preserve">tats </w:t>
      </w:r>
      <w:r w:rsidR="000F5FE4">
        <w:t>ainsi que</w:t>
      </w:r>
      <w:r w:rsidR="006D50CA" w:rsidRPr="00E72418">
        <w:t xml:space="preserve"> </w:t>
      </w:r>
      <w:r w:rsidR="00B453A0" w:rsidRPr="00E72418">
        <w:t>dans l’hypothèse où</w:t>
      </w:r>
      <w:r w:rsidR="006D50CA" w:rsidRPr="00E72418">
        <w:t xml:space="preserve"> les parties à la transaction commerciale en sont expressément convenues autrement</w:t>
      </w:r>
      <w:r w:rsidR="006D50CA" w:rsidRPr="00E72418">
        <w:rPr>
          <w:rStyle w:val="Appelnotedebasdep"/>
        </w:rPr>
        <w:footnoteReference w:id="1055"/>
      </w:r>
      <w:r w:rsidR="006D50CA" w:rsidRPr="00E72418">
        <w:t>.</w:t>
      </w:r>
    </w:p>
    <w:p w14:paraId="1E74C511" w14:textId="486B56FD" w:rsidR="00A02DAE" w:rsidRPr="00E72418" w:rsidRDefault="006D50CA" w:rsidP="0091693F">
      <w:pPr>
        <w:spacing w:line="276" w:lineRule="auto"/>
      </w:pPr>
      <w:r w:rsidRPr="00E72418">
        <w:t>L’article 2(1)(c) de la convention précise que l’expression « transaction commerciale » désigne notamment « tout contrat de prêt ou autre transaction de nature financière, y compris toute obligation de garantie ou d’indemnisation en rapport avec un tel prêt ou une telle transaction ». L’on peut lire à l’article 2(2) que « </w:t>
      </w:r>
      <w:r w:rsidRPr="00E72418">
        <w:rPr>
          <w:rFonts w:ascii="Times New Roman" w:hAnsi="Times New Roman"/>
        </w:rPr>
        <w:t>[p]</w:t>
      </w:r>
      <w:r w:rsidRPr="00E72418">
        <w:t xml:space="preserve">our déterminer si un contrat ou une transaction est une “transaction commerciale” au sens de l’alinéa c) du paragraphe 1, il convient de tenir compte en premier lieu de la nature du contrat ou de la transaction, mais il faudrait aussi prendre en considération son but si les parties au contrat ou à la transaction en sont ainsi convenues, ou si, </w:t>
      </w:r>
      <w:r w:rsidRPr="00E72418">
        <w:lastRenderedPageBreak/>
        <w:t>dans la pratique de l’État du for, ce but est pertinent pour déterminer la nature non commerciale du contrat ou de la transaction »</w:t>
      </w:r>
      <w:r w:rsidRPr="00E72418">
        <w:rPr>
          <w:rStyle w:val="Appelnotedebasdep"/>
        </w:rPr>
        <w:footnoteReference w:id="1056"/>
      </w:r>
      <w:r w:rsidRPr="00E72418">
        <w:t>.</w:t>
      </w:r>
    </w:p>
    <w:p w14:paraId="58F4FEAD" w14:textId="77777777" w:rsidR="0091693F" w:rsidRPr="00E72418" w:rsidRDefault="0091693F" w:rsidP="0091693F">
      <w:pPr>
        <w:spacing w:line="276" w:lineRule="auto"/>
      </w:pPr>
    </w:p>
    <w:p w14:paraId="786ED0D0" w14:textId="22D347C3" w:rsidR="006D50CA" w:rsidRPr="00E72418" w:rsidRDefault="000764CE" w:rsidP="00CC4BA8">
      <w:pPr>
        <w:pStyle w:val="GG"/>
        <w:spacing w:line="276" w:lineRule="auto"/>
        <w:rPr>
          <w:color w:val="auto"/>
        </w:rPr>
      </w:pPr>
      <w:bookmarkStart w:id="237" w:name="_Toc47442836"/>
      <w:bookmarkStart w:id="238" w:name="_Toc59280946"/>
      <w:bookmarkStart w:id="239" w:name="_Toc84540934"/>
      <w:r w:rsidRPr="00E72418">
        <w:rPr>
          <w:color w:val="auto"/>
        </w:rPr>
        <w:t xml:space="preserve">A.2. </w:t>
      </w:r>
      <w:r w:rsidR="006D50CA" w:rsidRPr="00E72418">
        <w:rPr>
          <w:color w:val="auto"/>
        </w:rPr>
        <w:t xml:space="preserve">Le </w:t>
      </w:r>
      <w:r w:rsidR="006D50CA" w:rsidRPr="00E72418">
        <w:rPr>
          <w:i w:val="0"/>
          <w:color w:val="auto"/>
        </w:rPr>
        <w:t>Foreign Sovereign Immunities Act</w:t>
      </w:r>
      <w:bookmarkEnd w:id="237"/>
      <w:r w:rsidR="006D50CA" w:rsidRPr="00E72418">
        <w:rPr>
          <w:color w:val="auto"/>
        </w:rPr>
        <w:t xml:space="preserve"> étasunien</w:t>
      </w:r>
      <w:bookmarkEnd w:id="238"/>
      <w:bookmarkEnd w:id="239"/>
    </w:p>
    <w:p w14:paraId="1ED78878" w14:textId="77777777" w:rsidR="0054314B" w:rsidRPr="00E72418" w:rsidRDefault="0054314B" w:rsidP="0054314B"/>
    <w:p w14:paraId="2B63203C" w14:textId="75C67E07" w:rsidR="006D50CA" w:rsidRPr="00E72418" w:rsidRDefault="007F038F" w:rsidP="00CC4BA8">
      <w:pPr>
        <w:spacing w:line="276" w:lineRule="auto"/>
      </w:pPr>
      <w:r w:rsidRPr="00E72418">
        <w:rPr>
          <w:rFonts w:cs="Times New Roman"/>
          <w:b/>
          <w:szCs w:val="24"/>
        </w:rPr>
        <w:t>207</w:t>
      </w:r>
      <w:r w:rsidR="007E31CD" w:rsidRPr="00E72418">
        <w:rPr>
          <w:rFonts w:cs="Times New Roman"/>
          <w:b/>
          <w:szCs w:val="24"/>
        </w:rPr>
        <w:t xml:space="preserve">. </w:t>
      </w:r>
      <w:r w:rsidR="00DA5026" w:rsidRPr="00E72418">
        <w:rPr>
          <w:rFonts w:cs="Times New Roman"/>
          <w:b/>
          <w:szCs w:val="24"/>
        </w:rPr>
        <w:t xml:space="preserve">La codification </w:t>
      </w:r>
      <w:r w:rsidR="00DA5026" w:rsidRPr="00E72418">
        <w:rPr>
          <w:b/>
        </w:rPr>
        <w:t>–</w:t>
      </w:r>
      <w:r w:rsidR="00DA5026" w:rsidRPr="00E72418">
        <w:rPr>
          <w:rFonts w:cs="Times New Roman"/>
          <w:szCs w:val="24"/>
        </w:rPr>
        <w:t xml:space="preserve"> </w:t>
      </w:r>
      <w:r w:rsidR="006D50CA" w:rsidRPr="00E72418">
        <w:t xml:space="preserve">Aux </w:t>
      </w:r>
      <w:r w:rsidR="006D50CA" w:rsidRPr="00E72418">
        <w:rPr>
          <w:lang w:eastAsia="fr-BE"/>
        </w:rPr>
        <w:t>É</w:t>
      </w:r>
      <w:r w:rsidR="006D50CA" w:rsidRPr="00E72418">
        <w:t xml:space="preserve">tats-Unis, l’immunité de juridiction </w:t>
      </w:r>
      <w:r w:rsidR="00BC75DC" w:rsidRPr="00E72418">
        <w:t xml:space="preserve">absolue </w:t>
      </w:r>
      <w:r w:rsidR="006D50CA" w:rsidRPr="00E72418">
        <w:t>a longtemps prévalu</w:t>
      </w:r>
      <w:r w:rsidR="006D50CA" w:rsidRPr="00E72418">
        <w:rPr>
          <w:rStyle w:val="Appelnotedebasdep"/>
        </w:rPr>
        <w:footnoteReference w:id="1057"/>
      </w:r>
      <w:r w:rsidR="006D50CA" w:rsidRPr="00E72418">
        <w:t xml:space="preserve">. Les choses évoluèrent en quelque </w:t>
      </w:r>
      <w:r w:rsidR="00083E79" w:rsidRPr="00E72418">
        <w:t xml:space="preserve">sorte en 1952 avec la célèbre </w:t>
      </w:r>
      <w:r w:rsidR="006D50CA" w:rsidRPr="00E72418">
        <w:rPr>
          <w:i/>
        </w:rPr>
        <w:t>Tate Letter</w:t>
      </w:r>
      <w:r w:rsidR="006D50CA" w:rsidRPr="00E72418">
        <w:t xml:space="preserve">. </w:t>
      </w:r>
      <w:r w:rsidR="00674C1A" w:rsidRPr="00E72418">
        <w:t>À</w:t>
      </w:r>
      <w:r w:rsidR="006D50CA" w:rsidRPr="00E72418">
        <w:t xml:space="preserve"> l’époque, les juridictions étatsuniennes saisies de contentieux à l’encontre d’</w:t>
      </w:r>
      <w:r w:rsidR="006D50CA" w:rsidRPr="00E72418">
        <w:rPr>
          <w:lang w:eastAsia="fr-BE"/>
        </w:rPr>
        <w:t>É</w:t>
      </w:r>
      <w:r w:rsidR="006D50CA" w:rsidRPr="00E72418">
        <w:t xml:space="preserve">tats étrangers faisaient appel au pouvoir exécutif afin qu’il décide s’il y avait lieu d’accorder ou non à ces </w:t>
      </w:r>
      <w:r w:rsidR="006D50CA" w:rsidRPr="00E72418">
        <w:rPr>
          <w:lang w:eastAsia="fr-BE"/>
        </w:rPr>
        <w:t>É</w:t>
      </w:r>
      <w:r w:rsidR="006D50CA" w:rsidRPr="00E72418">
        <w:t xml:space="preserve">tats le bénéfice </w:t>
      </w:r>
      <w:r w:rsidR="005E2676" w:rsidRPr="00E72418">
        <w:t>de l’immunité. Son auteur, Jack</w:t>
      </w:r>
      <w:r w:rsidR="006D50CA" w:rsidRPr="00E72418">
        <w:t xml:space="preserve"> Tate, </w:t>
      </w:r>
      <w:r w:rsidR="006D50CA" w:rsidRPr="00E72418">
        <w:rPr>
          <w:i/>
        </w:rPr>
        <w:t>Department of State’s Acting Legal Adviser</w:t>
      </w:r>
      <w:r w:rsidR="006D50CA" w:rsidRPr="00E72418">
        <w:t>, indiquait que « the Department feels that the widespread and increasing practice on the part of governments of engaging in commercial activities makes necessary a practice which will enable persons doing business with them to have their rights determined in the courts »</w:t>
      </w:r>
      <w:r w:rsidR="006D50CA" w:rsidRPr="00E72418">
        <w:rPr>
          <w:rStyle w:val="Appelnotedebasdep"/>
        </w:rPr>
        <w:footnoteReference w:id="1058"/>
      </w:r>
      <w:r w:rsidR="006D50CA" w:rsidRPr="00E72418">
        <w:t xml:space="preserve">. Il y était ainsi </w:t>
      </w:r>
      <w:r w:rsidR="00083E79" w:rsidRPr="00E72418">
        <w:t>admis</w:t>
      </w:r>
      <w:r w:rsidR="006D50CA" w:rsidRPr="00E72418">
        <w:t xml:space="preserve"> </w:t>
      </w:r>
      <w:r w:rsidR="00083E79" w:rsidRPr="00E72418">
        <w:t xml:space="preserve">que </w:t>
      </w:r>
      <w:r w:rsidR="006D50CA" w:rsidRPr="00E72418">
        <w:t xml:space="preserve">les </w:t>
      </w:r>
      <w:r w:rsidR="006D50CA" w:rsidRPr="00E72418">
        <w:rPr>
          <w:lang w:eastAsia="fr-BE"/>
        </w:rPr>
        <w:t>Ét</w:t>
      </w:r>
      <w:r w:rsidR="006D50CA" w:rsidRPr="00E72418">
        <w:t xml:space="preserve">ats étrangers </w:t>
      </w:r>
      <w:r w:rsidR="00083E79" w:rsidRPr="00E72418">
        <w:t>puissent</w:t>
      </w:r>
      <w:r w:rsidR="006D50CA" w:rsidRPr="00E72418">
        <w:t xml:space="preserve"> être poursuivis devant les juridictions étatsuniennes en raison de leurs activités commerciales. La théorie</w:t>
      </w:r>
      <w:r w:rsidR="00083E79" w:rsidRPr="00E72418">
        <w:t xml:space="preserve"> restrictive consacrée par la </w:t>
      </w:r>
      <w:r w:rsidR="006D50CA" w:rsidRPr="00E72418">
        <w:rPr>
          <w:i/>
        </w:rPr>
        <w:t>Tate Letter</w:t>
      </w:r>
      <w:r w:rsidR="006D50CA" w:rsidRPr="00E72418">
        <w:t xml:space="preserve"> reprenait ainsi la distinction entre les actes </w:t>
      </w:r>
      <w:r w:rsidR="006D50CA" w:rsidRPr="00E72418">
        <w:rPr>
          <w:i/>
        </w:rPr>
        <w:t>jure imperii</w:t>
      </w:r>
      <w:r w:rsidR="006D50CA" w:rsidRPr="00E72418">
        <w:t xml:space="preserve"> et les actes </w:t>
      </w:r>
      <w:r w:rsidR="006D50CA" w:rsidRPr="00E72418">
        <w:rPr>
          <w:i/>
        </w:rPr>
        <w:t>jure gestionis</w:t>
      </w:r>
      <w:r w:rsidR="006D50CA" w:rsidRPr="00E72418">
        <w:t>.</w:t>
      </w:r>
    </w:p>
    <w:p w14:paraId="14D861C3" w14:textId="1C9E4FB3" w:rsidR="006D50CA" w:rsidRPr="00E72418" w:rsidRDefault="006D50CA" w:rsidP="00CC4BA8">
      <w:pPr>
        <w:spacing w:line="276" w:lineRule="auto"/>
      </w:pPr>
      <w:r w:rsidRPr="00E72418">
        <w:rPr>
          <w:rFonts w:cs="Times New Roman"/>
          <w:szCs w:val="24"/>
        </w:rPr>
        <w:t xml:space="preserve">En 1976, l’immunité relative fut </w:t>
      </w:r>
      <w:r w:rsidR="00083E79" w:rsidRPr="00E72418">
        <w:rPr>
          <w:rFonts w:cs="Times New Roman"/>
          <w:szCs w:val="24"/>
        </w:rPr>
        <w:t xml:space="preserve">légalement </w:t>
      </w:r>
      <w:r w:rsidRPr="00E72418">
        <w:rPr>
          <w:rFonts w:cs="Times New Roman"/>
          <w:szCs w:val="24"/>
        </w:rPr>
        <w:t xml:space="preserve">consolidée </w:t>
      </w:r>
      <w:r w:rsidR="00083E79" w:rsidRPr="00E72418">
        <w:rPr>
          <w:rFonts w:cs="Times New Roman"/>
          <w:szCs w:val="24"/>
        </w:rPr>
        <w:t xml:space="preserve">aux </w:t>
      </w:r>
      <w:r w:rsidR="00083E79" w:rsidRPr="00E72418">
        <w:rPr>
          <w:lang w:eastAsia="fr-BE"/>
        </w:rPr>
        <w:t>É</w:t>
      </w:r>
      <w:r w:rsidR="00083E79" w:rsidRPr="00E72418">
        <w:t>tats-Unis par</w:t>
      </w:r>
      <w:r w:rsidRPr="00E72418">
        <w:rPr>
          <w:rFonts w:cs="Times New Roman"/>
          <w:szCs w:val="24"/>
        </w:rPr>
        <w:t xml:space="preserve"> l’adoption du </w:t>
      </w:r>
      <w:r w:rsidRPr="00E72418">
        <w:rPr>
          <w:rFonts w:cs="Times New Roman"/>
          <w:i/>
          <w:szCs w:val="24"/>
        </w:rPr>
        <w:t>Foreign Sovereign Immunities Act</w:t>
      </w:r>
      <w:r w:rsidRPr="00E72418">
        <w:rPr>
          <w:rStyle w:val="Appelnotedebasdep"/>
          <w:rFonts w:cs="Times New Roman"/>
          <w:szCs w:val="24"/>
        </w:rPr>
        <w:footnoteReference w:id="1059"/>
      </w:r>
      <w:r w:rsidRPr="00E72418">
        <w:rPr>
          <w:rFonts w:cs="Times New Roman"/>
          <w:szCs w:val="24"/>
        </w:rPr>
        <w:t xml:space="preserve">. </w:t>
      </w:r>
      <w:r w:rsidRPr="00E72418">
        <w:t>Comme l’indiqua la Cour suprême, le Congrès étatsunien adopta le texte afin d’éviter que le pouvoir exécutif ne continue à être soumis à des pressions diplomatiques, afin de clarifier les règles et, finalement, afin d’assurer aux justiciables que les décisions so</w:t>
      </w:r>
      <w:r w:rsidR="00083E79" w:rsidRPr="00E72418">
        <w:t>ie</w:t>
      </w:r>
      <w:r w:rsidRPr="00E72418">
        <w:t xml:space="preserve">nt prises sur </w:t>
      </w:r>
      <w:r w:rsidR="00F25880" w:rsidRPr="00E72418">
        <w:t xml:space="preserve">la </w:t>
      </w:r>
      <w:r w:rsidRPr="00E72418">
        <w:t>base de règles juridiques et selon des procédures garantissant un procès équitable</w:t>
      </w:r>
      <w:r w:rsidRPr="00E72418">
        <w:rPr>
          <w:rStyle w:val="Appelnotedebasdep"/>
        </w:rPr>
        <w:footnoteReference w:id="1060"/>
      </w:r>
      <w:r w:rsidRPr="00E72418">
        <w:t xml:space="preserve">. Le </w:t>
      </w:r>
      <w:r w:rsidRPr="00E72418">
        <w:rPr>
          <w:rFonts w:cs="Times New Roman"/>
          <w:i/>
          <w:szCs w:val="24"/>
        </w:rPr>
        <w:t xml:space="preserve">Foreign Sovereign Immunities Act </w:t>
      </w:r>
      <w:r w:rsidRPr="00E72418">
        <w:rPr>
          <w:rFonts w:cs="Times New Roman"/>
          <w:szCs w:val="24"/>
        </w:rPr>
        <w:t xml:space="preserve">dont l’article 4 </w:t>
      </w:r>
      <w:r w:rsidR="00083E79" w:rsidRPr="00E72418">
        <w:t xml:space="preserve">insère </w:t>
      </w:r>
      <w:r w:rsidR="00083E79" w:rsidRPr="00E72418">
        <w:lastRenderedPageBreak/>
        <w:t>un chapitre</w:t>
      </w:r>
      <w:r w:rsidRPr="00E72418">
        <w:t xml:space="preserve"> intitulé « Jurisdictional Immunities of Foreign States » dans le Titre 28 </w:t>
      </w:r>
      <w:r w:rsidR="00083E79" w:rsidRPr="00E72418">
        <w:t xml:space="preserve">intitulé </w:t>
      </w:r>
      <w:r w:rsidRPr="00E72418">
        <w:t>« Judiciary and Judicial Procedure » de l’</w:t>
      </w:r>
      <w:r w:rsidRPr="00E72418">
        <w:rPr>
          <w:i/>
        </w:rPr>
        <w:t>U.S. Code</w:t>
      </w:r>
      <w:r w:rsidRPr="00E72418">
        <w:rPr>
          <w:rFonts w:cs="Times New Roman"/>
          <w:i/>
          <w:szCs w:val="24"/>
        </w:rPr>
        <w:t xml:space="preserve"> </w:t>
      </w:r>
      <w:r w:rsidRPr="00E72418">
        <w:rPr>
          <w:rFonts w:cs="Times New Roman"/>
          <w:szCs w:val="24"/>
        </w:rPr>
        <w:t xml:space="preserve">devint ainsi le texte pivot permettant d’attraire un </w:t>
      </w:r>
      <w:r w:rsidRPr="00E72418">
        <w:rPr>
          <w:lang w:eastAsia="fr-BE"/>
        </w:rPr>
        <w:t>É</w:t>
      </w:r>
      <w:r w:rsidRPr="00E72418">
        <w:rPr>
          <w:rFonts w:cs="Times New Roman"/>
          <w:szCs w:val="24"/>
        </w:rPr>
        <w:t>tat étranger devant les juridictions étatsuniennes</w:t>
      </w:r>
      <w:r w:rsidRPr="00E72418">
        <w:rPr>
          <w:rStyle w:val="Appelnotedebasdep"/>
          <w:rFonts w:cs="Times New Roman"/>
          <w:szCs w:val="24"/>
        </w:rPr>
        <w:footnoteReference w:id="1061"/>
      </w:r>
      <w:r w:rsidR="009158FA" w:rsidRPr="00E72418">
        <w:rPr>
          <w:rFonts w:cs="Times New Roman"/>
          <w:szCs w:val="24"/>
        </w:rPr>
        <w:t>.</w:t>
      </w:r>
      <w:r w:rsidRPr="00E72418">
        <w:rPr>
          <w:rFonts w:cs="Times New Roman"/>
          <w:szCs w:val="24"/>
        </w:rPr>
        <w:t xml:space="preserve"> </w:t>
      </w:r>
      <w:r w:rsidRPr="00E72418">
        <w:t>Les dispositions intéressantes sont précisément reprises aux articles 1602 à 1611</w:t>
      </w:r>
      <w:r w:rsidRPr="00E72418">
        <w:rPr>
          <w:rStyle w:val="Appelnotedebasdep"/>
        </w:rPr>
        <w:footnoteReference w:id="1062"/>
      </w:r>
      <w:r w:rsidRPr="00E72418">
        <w:t>.</w:t>
      </w:r>
    </w:p>
    <w:p w14:paraId="4C2B1FA6" w14:textId="121EF4B0" w:rsidR="006D50CA" w:rsidRPr="00E72418" w:rsidRDefault="006D50CA" w:rsidP="00CC4BA8">
      <w:pPr>
        <w:spacing w:line="276" w:lineRule="auto"/>
      </w:pPr>
      <w:r w:rsidRPr="00E72418">
        <w:t xml:space="preserve">Avec l’adoption du </w:t>
      </w:r>
      <w:r w:rsidRPr="00E72418">
        <w:rPr>
          <w:rFonts w:cs="Times New Roman"/>
          <w:i/>
          <w:szCs w:val="24"/>
        </w:rPr>
        <w:t>Foreign Sovereign Immunities Act</w:t>
      </w:r>
      <w:r w:rsidRPr="00E72418">
        <w:t xml:space="preserve">, les </w:t>
      </w:r>
      <w:r w:rsidRPr="00E72418">
        <w:rPr>
          <w:lang w:eastAsia="fr-BE"/>
        </w:rPr>
        <w:t>É</w:t>
      </w:r>
      <w:r w:rsidRPr="00E72418">
        <w:t>tats-Unis codifièrent la théorie de l’immunité re</w:t>
      </w:r>
      <w:r w:rsidR="005D77BE" w:rsidRPr="00E72418">
        <w:t xml:space="preserve">streinte. Le principe posé par l’article 1604 </w:t>
      </w:r>
      <w:r w:rsidR="005D77BE" w:rsidRPr="00E72418">
        <w:rPr>
          <w:rFonts w:cs="Times New Roman"/>
        </w:rPr>
        <w:t xml:space="preserve">est que les </w:t>
      </w:r>
      <w:r w:rsidR="005D77BE" w:rsidRPr="00E72418">
        <w:rPr>
          <w:lang w:eastAsia="fr-BE"/>
        </w:rPr>
        <w:t>É</w:t>
      </w:r>
      <w:r w:rsidR="005D77BE" w:rsidRPr="00E72418">
        <w:rPr>
          <w:rFonts w:cs="Times New Roman"/>
        </w:rPr>
        <w:t xml:space="preserve">tats bénéficient de l’immunité de juridiction devant les </w:t>
      </w:r>
      <w:r w:rsidR="0033545A" w:rsidRPr="00E72418">
        <w:rPr>
          <w:rFonts w:cs="Times New Roman"/>
        </w:rPr>
        <w:t xml:space="preserve">juridictions américaines </w:t>
      </w:r>
      <w:r w:rsidR="005D77BE" w:rsidRPr="00E72418">
        <w:rPr>
          <w:rFonts w:cs="Times New Roman"/>
        </w:rPr>
        <w:t>sauf exceptions reprises aux articles 1605 à 1607</w:t>
      </w:r>
      <w:r w:rsidR="005D77BE" w:rsidRPr="00E72418">
        <w:rPr>
          <w:rStyle w:val="Appelnotedebasdep"/>
          <w:rFonts w:cs="Times New Roman"/>
        </w:rPr>
        <w:footnoteReference w:id="1063"/>
      </w:r>
      <w:r w:rsidR="005D77BE" w:rsidRPr="00E72418">
        <w:rPr>
          <w:rFonts w:cs="Times New Roman"/>
        </w:rPr>
        <w:t xml:space="preserve">. </w:t>
      </w:r>
      <w:r w:rsidR="005D77BE" w:rsidRPr="00E72418">
        <w:t xml:space="preserve">Dans l’hypothèse où un </w:t>
      </w:r>
      <w:r w:rsidRPr="00E72418">
        <w:rPr>
          <w:lang w:eastAsia="fr-BE"/>
        </w:rPr>
        <w:t>É</w:t>
      </w:r>
      <w:r w:rsidRPr="00E72418">
        <w:t xml:space="preserve">tat ne bénéficie pas de l’immunité de juridiction, </w:t>
      </w:r>
      <w:r w:rsidR="005D77BE" w:rsidRPr="00E72418">
        <w:t>l’article 1606 précise qu’</w:t>
      </w:r>
      <w:r w:rsidRPr="00E72418">
        <w:t xml:space="preserve">il doit </w:t>
      </w:r>
      <w:r w:rsidR="005D77BE" w:rsidRPr="00E72418">
        <w:t xml:space="preserve">alors </w:t>
      </w:r>
      <w:r w:rsidRPr="00E72418">
        <w:t xml:space="preserve">être traité comme un individu privé : « </w:t>
      </w:r>
      <w:r w:rsidRPr="00E72418">
        <w:rPr>
          <w:rFonts w:ascii="Times New Roman" w:hAnsi="Times New Roman" w:cs="Times New Roman"/>
        </w:rPr>
        <w:t>[a]</w:t>
      </w:r>
      <w:r w:rsidRPr="00E72418">
        <w:t>s to any claim for relief with respect to which a foreign </w:t>
      </w:r>
      <w:hyperlink r:id="rId14" w:history="1">
        <w:r w:rsidRPr="00E72418">
          <w:t>state</w:t>
        </w:r>
      </w:hyperlink>
      <w:r w:rsidRPr="00E72418">
        <w:t> is not entitled to immunity under section </w:t>
      </w:r>
      <w:hyperlink r:id="rId15" w:history="1">
        <w:r w:rsidRPr="00E72418">
          <w:t>1605</w:t>
        </w:r>
      </w:hyperlink>
      <w:r w:rsidRPr="00E72418">
        <w:t xml:space="preserve"> or </w:t>
      </w:r>
      <w:hyperlink r:id="rId16" w:history="1">
        <w:r w:rsidRPr="00E72418">
          <w:t>1607</w:t>
        </w:r>
      </w:hyperlink>
      <w:r w:rsidRPr="00E72418">
        <w:t> of this chapter, the foreign</w:t>
      </w:r>
      <w:hyperlink r:id="rId17" w:history="1">
        <w:r w:rsidRPr="00E72418">
          <w:t> state </w:t>
        </w:r>
      </w:hyperlink>
      <w:r w:rsidRPr="00E72418">
        <w:t>shall be liable in the same manner and to the same extent as a private individual under like circumstances</w:t>
      </w:r>
      <w:r w:rsidRPr="00E72418">
        <w:rPr>
          <w:shd w:val="clear" w:color="auto" w:fill="FFFFFF"/>
        </w:rPr>
        <w:t xml:space="preserve"> </w:t>
      </w:r>
      <w:r w:rsidRPr="00E72418">
        <w:rPr>
          <w:rFonts w:ascii="Times New Roman" w:hAnsi="Times New Roman" w:cs="Times New Roman"/>
        </w:rPr>
        <w:t>[…]</w:t>
      </w:r>
      <w:r w:rsidRPr="00E72418">
        <w:rPr>
          <w:shd w:val="clear" w:color="auto" w:fill="FFFFFF"/>
        </w:rPr>
        <w:t xml:space="preserve"> </w:t>
      </w:r>
      <w:r w:rsidRPr="00E72418">
        <w:t xml:space="preserve">». </w:t>
      </w:r>
    </w:p>
    <w:p w14:paraId="2D6A0AC8" w14:textId="77777777" w:rsidR="006D50CA" w:rsidRPr="00E72418" w:rsidRDefault="006D50CA" w:rsidP="0054314B"/>
    <w:p w14:paraId="582C6E93" w14:textId="4B175EF4" w:rsidR="006D50CA" w:rsidRPr="00E72418" w:rsidRDefault="007F038F" w:rsidP="00CC4BA8">
      <w:pPr>
        <w:spacing w:line="276" w:lineRule="auto"/>
      </w:pPr>
      <w:r w:rsidRPr="00E72418">
        <w:rPr>
          <w:b/>
        </w:rPr>
        <w:t>208</w:t>
      </w:r>
      <w:r w:rsidR="00BB1C7E" w:rsidRPr="00E72418">
        <w:rPr>
          <w:b/>
        </w:rPr>
        <w:t xml:space="preserve">. </w:t>
      </w:r>
      <w:r w:rsidR="006D50CA" w:rsidRPr="00E72418">
        <w:rPr>
          <w:b/>
        </w:rPr>
        <w:t xml:space="preserve">Les activités commerciales </w:t>
      </w:r>
      <w:r w:rsidR="00CC5A04" w:rsidRPr="00E72418">
        <w:rPr>
          <w:b/>
        </w:rPr>
        <w:t>–</w:t>
      </w:r>
      <w:r w:rsidR="006D50CA" w:rsidRPr="00E72418">
        <w:rPr>
          <w:rFonts w:cs="Times New Roman"/>
          <w:b/>
          <w:szCs w:val="24"/>
        </w:rPr>
        <w:t xml:space="preserve"> </w:t>
      </w:r>
      <w:r w:rsidR="006D50CA" w:rsidRPr="00E72418">
        <w:t xml:space="preserve">Dans l’article 1602 reprenant les « findings and declaration of purpose » du régime immunitaire mis en place par le </w:t>
      </w:r>
      <w:r w:rsidR="006D50CA" w:rsidRPr="00E72418">
        <w:rPr>
          <w:i/>
        </w:rPr>
        <w:t>Foreign Sovereign Immunities Act</w:t>
      </w:r>
      <w:r w:rsidR="0004079A" w:rsidRPr="00E72418">
        <w:t>, il est notamment indiqué qu’</w:t>
      </w:r>
      <w:r w:rsidR="006D50CA" w:rsidRPr="00E72418">
        <w:t xml:space="preserve"> « [u]nder international law,</w:t>
      </w:r>
      <w:hyperlink r:id="rId18" w:history="1">
        <w:r w:rsidR="006D50CA" w:rsidRPr="00E72418">
          <w:t> states </w:t>
        </w:r>
      </w:hyperlink>
      <w:r w:rsidR="006D50CA" w:rsidRPr="00E72418">
        <w:t>are not immune from the jurisdiction of foreign</w:t>
      </w:r>
      <w:hyperlink r:id="rId19" w:history="1">
        <w:r w:rsidR="006D50CA" w:rsidRPr="00E72418">
          <w:t> courts </w:t>
        </w:r>
      </w:hyperlink>
      <w:r w:rsidR="006D50CA" w:rsidRPr="00E72418">
        <w:t>insofar as their commercial activities are concerned […] ». De ce constat, découle une règle précise, posée à l’article 1605(a)(2), selon laquelle « [a] foreign state shall not be immune from the jurisdiction of courts of the United States or of the States in any case […] in which the action is based upon a commercial activity carried on in the United States by the foreign state; or upon an act performed in the United States in connection with a commercial activity of the foreign state elsewhere; or upon an act outside the territory of the United States in connection with a commercial activity of the foreign state elsewhere and that act causes a direct effect in the United States ». La disposition retient une double exigence</w:t>
      </w:r>
      <w:r w:rsidR="005D77BE" w:rsidRPr="00E72418">
        <w:t xml:space="preserve"> à l’absence d’immunité</w:t>
      </w:r>
      <w:r w:rsidR="006D50CA" w:rsidRPr="00E72418">
        <w:t xml:space="preserve"> ; il faut qu’il y ait une activité commerciale, d’une part, un lien avec les </w:t>
      </w:r>
      <w:r w:rsidR="006D50CA" w:rsidRPr="00E72418">
        <w:rPr>
          <w:lang w:eastAsia="fr-BE"/>
        </w:rPr>
        <w:t>É</w:t>
      </w:r>
      <w:r w:rsidR="006D50CA" w:rsidRPr="00E72418">
        <w:t>tats-Unis, d’autre part.</w:t>
      </w:r>
    </w:p>
    <w:p w14:paraId="3B9AE807" w14:textId="77777777" w:rsidR="006D50CA" w:rsidRPr="00E72418" w:rsidRDefault="006D50CA" w:rsidP="00CC4BA8">
      <w:pPr>
        <w:spacing w:line="276" w:lineRule="auto"/>
        <w:rPr>
          <w:shd w:val="clear" w:color="auto" w:fill="FFFFFF"/>
        </w:rPr>
      </w:pPr>
      <w:r w:rsidRPr="00E72418">
        <w:t xml:space="preserve">Le concept d’activité commerciale est cardinal dans la législation </w:t>
      </w:r>
      <w:r w:rsidR="0017251A" w:rsidRPr="00E72418">
        <w:t>étatsunienne</w:t>
      </w:r>
      <w:r w:rsidR="00EF76B7" w:rsidRPr="00E72418">
        <w:t>.</w:t>
      </w:r>
      <w:r w:rsidR="0017251A" w:rsidRPr="00E72418">
        <w:t xml:space="preserve"> L’article 1603(d) précise qu’</w:t>
      </w:r>
      <w:r w:rsidRPr="00E72418">
        <w:t xml:space="preserve"> « [a]</w:t>
      </w:r>
      <w:r w:rsidRPr="00E72418">
        <w:rPr>
          <w:shd w:val="clear" w:color="auto" w:fill="FFFFFF"/>
        </w:rPr>
        <w:t xml:space="preserve"> “</w:t>
      </w:r>
      <w:hyperlink r:id="rId20" w:history="1">
        <w:r w:rsidRPr="00E72418">
          <w:rPr>
            <w:rStyle w:val="Lienhypertexte"/>
            <w:rFonts w:cs="Times"/>
            <w:color w:val="auto"/>
            <w:u w:val="none"/>
            <w:shd w:val="clear" w:color="auto" w:fill="FFFFFF"/>
          </w:rPr>
          <w:t>commercial activity</w:t>
        </w:r>
      </w:hyperlink>
      <w:r w:rsidRPr="00E72418">
        <w:rPr>
          <w:shd w:val="clear" w:color="auto" w:fill="FFFFFF"/>
        </w:rPr>
        <w:t>” means either a regular course of commercial conduct or a particular commercial transaction or act » et que « </w:t>
      </w:r>
      <w:r w:rsidRPr="00E72418">
        <w:t>[t]</w:t>
      </w:r>
      <w:r w:rsidRPr="00E72418">
        <w:rPr>
          <w:shd w:val="clear" w:color="auto" w:fill="FFFFFF"/>
        </w:rPr>
        <w:t>he commercial character of an activity shall be determined by reference to the nature of the course of conduct or particular transaction or act, rather than by reference to its purpose ».</w:t>
      </w:r>
      <w:r w:rsidRPr="00E72418">
        <w:t xml:space="preserve"> </w:t>
      </w:r>
      <w:r w:rsidRPr="00E72418">
        <w:rPr>
          <w:shd w:val="clear" w:color="auto" w:fill="FFFFFF"/>
        </w:rPr>
        <w:t xml:space="preserve">La notion de </w:t>
      </w:r>
      <w:r w:rsidRPr="00E72418">
        <w:t xml:space="preserve">« </w:t>
      </w:r>
      <w:hyperlink r:id="rId21" w:history="1">
        <w:r w:rsidRPr="00E72418">
          <w:rPr>
            <w:rStyle w:val="Lienhypertexte"/>
            <w:rFonts w:cs="Times"/>
            <w:color w:val="auto"/>
            <w:u w:val="none"/>
            <w:shd w:val="clear" w:color="auto" w:fill="FFFFFF"/>
          </w:rPr>
          <w:t xml:space="preserve">commercial activity </w:t>
        </w:r>
        <w:r w:rsidRPr="00E72418">
          <w:rPr>
            <w:rStyle w:val="Lienhypertexte"/>
            <w:rFonts w:cs="Times"/>
            <w:color w:val="auto"/>
            <w:u w:val="none"/>
            <w:shd w:val="clear" w:color="auto" w:fill="FFFFFF"/>
          </w:rPr>
          <w:lastRenderedPageBreak/>
          <w:t>carried on in the United States by a foreign state</w:t>
        </w:r>
      </w:hyperlink>
      <w:r w:rsidRPr="00E72418">
        <w:rPr>
          <w:shd w:val="clear" w:color="auto" w:fill="FFFFFF"/>
        </w:rPr>
        <w:t xml:space="preserve"> » est quant à elle précisée à l’article 1603(e) comme</w:t>
      </w:r>
      <w:hyperlink r:id="rId22" w:history="1">
        <w:r w:rsidRPr="00E72418">
          <w:rPr>
            <w:rStyle w:val="Lienhypertexte"/>
            <w:rFonts w:cs="Times"/>
            <w:color w:val="auto"/>
            <w:u w:val="none"/>
            <w:shd w:val="clear" w:color="auto" w:fill="FFFFFF"/>
          </w:rPr>
          <w:t xml:space="preserve"> étant une </w:t>
        </w:r>
        <w:r w:rsidRPr="00E72418">
          <w:t xml:space="preserve">« </w:t>
        </w:r>
        <w:r w:rsidRPr="00E72418">
          <w:rPr>
            <w:rStyle w:val="Lienhypertexte"/>
            <w:rFonts w:cs="Times"/>
            <w:color w:val="auto"/>
            <w:u w:val="none"/>
            <w:shd w:val="clear" w:color="auto" w:fill="FFFFFF"/>
          </w:rPr>
          <w:t>commercial activity</w:t>
        </w:r>
      </w:hyperlink>
      <w:r w:rsidRPr="00E72418">
        <w:t xml:space="preserve"> </w:t>
      </w:r>
      <w:r w:rsidRPr="00E72418">
        <w:rPr>
          <w:shd w:val="clear" w:color="auto" w:fill="FFFFFF"/>
        </w:rPr>
        <w:t>carried on by such</w:t>
      </w:r>
      <w:hyperlink r:id="rId23" w:history="1">
        <w:r w:rsidRPr="00E72418">
          <w:rPr>
            <w:rStyle w:val="Lienhypertexte"/>
            <w:rFonts w:cs="Times"/>
            <w:color w:val="auto"/>
            <w:u w:val="none"/>
            <w:shd w:val="clear" w:color="auto" w:fill="FFFFFF"/>
          </w:rPr>
          <w:t> state </w:t>
        </w:r>
      </w:hyperlink>
      <w:r w:rsidRPr="00E72418">
        <w:rPr>
          <w:shd w:val="clear" w:color="auto" w:fill="FFFFFF"/>
        </w:rPr>
        <w:t>and having substantial contact with the United States ».</w:t>
      </w:r>
    </w:p>
    <w:p w14:paraId="40C41A3A" w14:textId="77777777" w:rsidR="006D50CA" w:rsidRPr="00E72418" w:rsidRDefault="006D50CA" w:rsidP="0054314B">
      <w:pPr>
        <w:rPr>
          <w:shd w:val="clear" w:color="auto" w:fill="FFFFFF"/>
        </w:rPr>
      </w:pPr>
    </w:p>
    <w:p w14:paraId="3E2EFA10" w14:textId="76DCBF5D" w:rsidR="006D50CA" w:rsidRPr="00E72418" w:rsidRDefault="000764CE" w:rsidP="00CC4BA8">
      <w:pPr>
        <w:pStyle w:val="GG"/>
        <w:spacing w:line="276" w:lineRule="auto"/>
        <w:rPr>
          <w:color w:val="auto"/>
        </w:rPr>
      </w:pPr>
      <w:bookmarkStart w:id="240" w:name="_Toc59280947"/>
      <w:bookmarkStart w:id="241" w:name="_Toc84540935"/>
      <w:r w:rsidRPr="00E72418">
        <w:rPr>
          <w:color w:val="auto"/>
        </w:rPr>
        <w:t xml:space="preserve">A.3. </w:t>
      </w:r>
      <w:r w:rsidR="006D50CA" w:rsidRPr="00E72418">
        <w:rPr>
          <w:color w:val="auto"/>
        </w:rPr>
        <w:t xml:space="preserve">Le </w:t>
      </w:r>
      <w:r w:rsidR="006D50CA" w:rsidRPr="00E72418">
        <w:rPr>
          <w:i w:val="0"/>
          <w:color w:val="auto"/>
        </w:rPr>
        <w:t>State Immunity Act</w:t>
      </w:r>
      <w:r w:rsidR="006D50CA" w:rsidRPr="00E72418">
        <w:rPr>
          <w:color w:val="auto"/>
        </w:rPr>
        <w:t xml:space="preserve"> britannique</w:t>
      </w:r>
      <w:bookmarkEnd w:id="240"/>
      <w:bookmarkEnd w:id="241"/>
    </w:p>
    <w:p w14:paraId="0DA63CE3" w14:textId="77777777" w:rsidR="0054314B" w:rsidRPr="00E72418" w:rsidRDefault="0054314B" w:rsidP="0054314B"/>
    <w:p w14:paraId="39D46CF9" w14:textId="5B8A7E15" w:rsidR="006D50CA" w:rsidRPr="00E72418" w:rsidRDefault="007F038F" w:rsidP="00CC4BA8">
      <w:pPr>
        <w:spacing w:line="276" w:lineRule="auto"/>
        <w:rPr>
          <w:rFonts w:cstheme="majorBidi"/>
          <w:shd w:val="clear" w:color="auto" w:fill="FFFFFF"/>
        </w:rPr>
      </w:pPr>
      <w:r w:rsidRPr="00E72418">
        <w:rPr>
          <w:b/>
        </w:rPr>
        <w:t>209</w:t>
      </w:r>
      <w:r w:rsidR="00BB1C7E" w:rsidRPr="00E72418">
        <w:rPr>
          <w:b/>
        </w:rPr>
        <w:t xml:space="preserve">. </w:t>
      </w:r>
      <w:r w:rsidR="00CC5A04" w:rsidRPr="00E72418">
        <w:rPr>
          <w:b/>
        </w:rPr>
        <w:t>Le principe posé –</w:t>
      </w:r>
      <w:r w:rsidR="006D50CA" w:rsidRPr="00E72418">
        <w:t xml:space="preserve"> En 1978, le Royaume-Uni adopta le </w:t>
      </w:r>
      <w:r w:rsidR="006D50CA" w:rsidRPr="00E72418">
        <w:rPr>
          <w:i/>
        </w:rPr>
        <w:t>State Immunity Act</w:t>
      </w:r>
      <w:r w:rsidR="006D50CA" w:rsidRPr="00E72418">
        <w:rPr>
          <w:rStyle w:val="Appelnotedebasdep"/>
        </w:rPr>
        <w:footnoteReference w:id="1064"/>
      </w:r>
      <w:r w:rsidR="006D50CA" w:rsidRPr="00E72418">
        <w:rPr>
          <w:i/>
        </w:rPr>
        <w:t>.</w:t>
      </w:r>
      <w:r w:rsidR="006D50CA" w:rsidRPr="00E72418">
        <w:t xml:space="preserve"> Ce texte reprend la théorie de l’immunité de juridiction relative en p</w:t>
      </w:r>
      <w:r w:rsidR="0004079A" w:rsidRPr="00E72418">
        <w:t>révoyant en son article 1(1) qu’</w:t>
      </w:r>
      <w:r w:rsidR="006D50CA" w:rsidRPr="00E72418">
        <w:t xml:space="preserve"> </w:t>
      </w:r>
      <w:r w:rsidR="006D50CA" w:rsidRPr="00E72418">
        <w:rPr>
          <w:rFonts w:cs="Times New Roman"/>
          <w:szCs w:val="24"/>
        </w:rPr>
        <w:t>« </w:t>
      </w:r>
      <w:r w:rsidR="006D50CA" w:rsidRPr="00E72418">
        <w:rPr>
          <w:rFonts w:ascii="Times New Roman" w:hAnsi="Times New Roman" w:cs="Times New Roman"/>
        </w:rPr>
        <w:t>[a]</w:t>
      </w:r>
      <w:r w:rsidR="006D50CA" w:rsidRPr="00E72418">
        <w:rPr>
          <w:rFonts w:cs="Times New Roman"/>
          <w:szCs w:val="24"/>
          <w:shd w:val="clear" w:color="auto" w:fill="FFFFFF"/>
        </w:rPr>
        <w:t xml:space="preserve"> State is immune from the jurisdiction of the courts of the United Kingdom except as provided in the following provisions of this Part of this Act </w:t>
      </w:r>
      <w:r w:rsidR="006D50CA" w:rsidRPr="00E72418">
        <w:rPr>
          <w:rFonts w:cs="Times New Roman"/>
          <w:szCs w:val="24"/>
        </w:rPr>
        <w:t>». Les articles 2 à 11 reprennent les ex</w:t>
      </w:r>
      <w:r w:rsidR="00424087" w:rsidRPr="00E72418">
        <w:rPr>
          <w:rFonts w:cs="Times New Roman"/>
          <w:szCs w:val="24"/>
        </w:rPr>
        <w:t>ceptions à l’immunité consacrée parmi lesquelles on retrouve l’exception commerciale</w:t>
      </w:r>
      <w:r w:rsidR="00424087" w:rsidRPr="00E72418">
        <w:rPr>
          <w:rStyle w:val="Appelnotedebasdep"/>
          <w:rFonts w:ascii="Times New Roman" w:hAnsi="Times New Roman" w:cs="Times New Roman"/>
          <w:szCs w:val="24"/>
        </w:rPr>
        <w:footnoteReference w:id="1065"/>
      </w:r>
      <w:r w:rsidR="00424087" w:rsidRPr="00E72418">
        <w:rPr>
          <w:rFonts w:ascii="Times New Roman" w:hAnsi="Times New Roman" w:cs="Times New Roman"/>
          <w:szCs w:val="24"/>
        </w:rPr>
        <w:t>.</w:t>
      </w:r>
    </w:p>
    <w:p w14:paraId="25654C73" w14:textId="77777777" w:rsidR="006D50CA" w:rsidRPr="00E72418" w:rsidRDefault="006D50CA" w:rsidP="0054314B"/>
    <w:p w14:paraId="3A328FE6" w14:textId="2639634C" w:rsidR="006D50CA"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210</w:t>
      </w:r>
      <w:r w:rsidR="00BB1C7E" w:rsidRPr="00E72418">
        <w:rPr>
          <w:rFonts w:ascii="Times New Roman" w:hAnsi="Times New Roman" w:cs="Times New Roman"/>
          <w:b/>
          <w:szCs w:val="24"/>
        </w:rPr>
        <w:t xml:space="preserve">. </w:t>
      </w:r>
      <w:r w:rsidR="00CC5A04" w:rsidRPr="00E72418">
        <w:rPr>
          <w:rFonts w:ascii="Times New Roman" w:hAnsi="Times New Roman" w:cs="Times New Roman"/>
          <w:b/>
          <w:szCs w:val="24"/>
        </w:rPr>
        <w:t xml:space="preserve">Les transactions commerciales </w:t>
      </w:r>
      <w:r w:rsidR="00CC5A04" w:rsidRPr="00E72418">
        <w:rPr>
          <w:b/>
        </w:rPr>
        <w:t>–</w:t>
      </w:r>
      <w:r w:rsidR="00424087" w:rsidRPr="00E72418">
        <w:rPr>
          <w:b/>
        </w:rPr>
        <w:t xml:space="preserve"> </w:t>
      </w:r>
      <w:r w:rsidR="006D50CA" w:rsidRPr="00E72418">
        <w:rPr>
          <w:rFonts w:ascii="Times New Roman" w:hAnsi="Times New Roman" w:cs="Times New Roman"/>
          <w:szCs w:val="24"/>
        </w:rPr>
        <w:t xml:space="preserve">L’article 3(1) du </w:t>
      </w:r>
      <w:r w:rsidR="006D50CA" w:rsidRPr="00E72418">
        <w:rPr>
          <w:rFonts w:ascii="Times New Roman" w:hAnsi="Times New Roman" w:cs="Times New Roman"/>
          <w:i/>
          <w:szCs w:val="24"/>
        </w:rPr>
        <w:t>State Immunity Act</w:t>
      </w:r>
      <w:r w:rsidR="0004079A" w:rsidRPr="00E72418">
        <w:rPr>
          <w:rFonts w:ascii="Times New Roman" w:hAnsi="Times New Roman" w:cs="Times New Roman"/>
          <w:szCs w:val="24"/>
        </w:rPr>
        <w:t xml:space="preserve"> dispose qu’</w:t>
      </w:r>
      <w:r w:rsidR="006D50CA" w:rsidRPr="00E72418">
        <w:rPr>
          <w:rFonts w:ascii="Times New Roman" w:hAnsi="Times New Roman" w:cs="Times New Roman"/>
          <w:szCs w:val="24"/>
        </w:rPr>
        <w:t xml:space="preserve"> « [a]</w:t>
      </w:r>
      <w:r w:rsidR="006D50CA" w:rsidRPr="00E72418">
        <w:rPr>
          <w:rFonts w:ascii="Times New Roman" w:hAnsi="Times New Roman" w:cs="Times New Roman"/>
          <w:szCs w:val="24"/>
          <w:shd w:val="clear" w:color="auto" w:fill="FFFFFF"/>
        </w:rPr>
        <w:t xml:space="preserve"> State is not immune as respects proceedings relating to </w:t>
      </w:r>
      <w:r w:rsidR="00424087" w:rsidRPr="00E72418">
        <w:rPr>
          <w:rFonts w:ascii="Times New Roman" w:hAnsi="Times New Roman" w:cs="Times New Roman"/>
          <w:szCs w:val="24"/>
          <w:shd w:val="clear" w:color="auto" w:fill="FFFFFF"/>
        </w:rPr>
        <w:t xml:space="preserve">(a) </w:t>
      </w:r>
      <w:r w:rsidR="006D50CA" w:rsidRPr="00E72418">
        <w:rPr>
          <w:rFonts w:ascii="Times New Roman" w:hAnsi="Times New Roman" w:cs="Times New Roman"/>
          <w:szCs w:val="24"/>
          <w:shd w:val="clear" w:color="auto" w:fill="FFFFFF"/>
        </w:rPr>
        <w:t>a commercial transaction entered into by the State</w:t>
      </w:r>
      <w:r w:rsidR="00424087" w:rsidRPr="00E72418">
        <w:rPr>
          <w:rFonts w:ascii="Times New Roman" w:hAnsi="Times New Roman" w:cs="Times New Roman"/>
          <w:szCs w:val="24"/>
          <w:shd w:val="clear" w:color="auto" w:fill="FFFFFF"/>
        </w:rPr>
        <w:t> ;</w:t>
      </w:r>
      <w:r w:rsidR="006D50CA" w:rsidRPr="00E72418">
        <w:rPr>
          <w:rFonts w:ascii="Times New Roman" w:hAnsi="Times New Roman" w:cs="Times New Roman"/>
          <w:szCs w:val="24"/>
          <w:shd w:val="clear" w:color="auto" w:fill="FFFFFF"/>
        </w:rPr>
        <w:t xml:space="preserve"> or </w:t>
      </w:r>
      <w:r w:rsidR="00424087" w:rsidRPr="00E72418">
        <w:rPr>
          <w:rFonts w:ascii="Times New Roman" w:hAnsi="Times New Roman" w:cs="Times New Roman"/>
          <w:szCs w:val="24"/>
          <w:shd w:val="clear" w:color="auto" w:fill="FFFFFF"/>
        </w:rPr>
        <w:t xml:space="preserve">(b) </w:t>
      </w:r>
      <w:r w:rsidR="006D50CA" w:rsidRPr="00E72418">
        <w:rPr>
          <w:rFonts w:ascii="Times New Roman" w:hAnsi="Times New Roman" w:cs="Times New Roman"/>
          <w:szCs w:val="24"/>
          <w:shd w:val="clear" w:color="auto" w:fill="FFFFFF"/>
        </w:rPr>
        <w:t xml:space="preserve">an obligation of the State which by virtue of a contract (whether a commercial transaction or not) falls to be performed wholly or partly in the United Kingdom </w:t>
      </w:r>
      <w:r w:rsidR="006D50CA" w:rsidRPr="00E72418">
        <w:rPr>
          <w:rFonts w:ascii="Times New Roman" w:hAnsi="Times New Roman" w:cs="Times New Roman"/>
          <w:szCs w:val="24"/>
        </w:rPr>
        <w:t xml:space="preserve">». Cette exception à l’immunité est écartée si les parties sont des </w:t>
      </w:r>
      <w:r w:rsidR="006D50CA" w:rsidRPr="00E72418">
        <w:t>É</w:t>
      </w:r>
      <w:r w:rsidR="006D50CA" w:rsidRPr="00E72418">
        <w:rPr>
          <w:rFonts w:ascii="Times New Roman" w:hAnsi="Times New Roman" w:cs="Times New Roman"/>
          <w:szCs w:val="24"/>
        </w:rPr>
        <w:t>tats ou si elles en ont décidé autrement par écrit</w:t>
      </w:r>
      <w:r w:rsidR="006D50CA" w:rsidRPr="00E72418">
        <w:rPr>
          <w:rStyle w:val="Appelnotedebasdep"/>
          <w:rFonts w:ascii="Times New Roman" w:hAnsi="Times New Roman" w:cs="Times New Roman"/>
          <w:szCs w:val="24"/>
        </w:rPr>
        <w:footnoteReference w:id="1066"/>
      </w:r>
      <w:r w:rsidR="006D50CA" w:rsidRPr="00E72418">
        <w:rPr>
          <w:rFonts w:ascii="Times New Roman" w:hAnsi="Times New Roman" w:cs="Times New Roman"/>
          <w:szCs w:val="24"/>
        </w:rPr>
        <w:t>.</w:t>
      </w:r>
    </w:p>
    <w:p w14:paraId="40C74644" w14:textId="77777777" w:rsidR="006D50CA" w:rsidRPr="00E72418" w:rsidRDefault="006D50CA"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L’article 3(3) définit ce qu’il faut entendre par « commercial transaction ». </w:t>
      </w:r>
      <w:r w:rsidR="00305399" w:rsidRPr="00E72418">
        <w:rPr>
          <w:rFonts w:ascii="Times New Roman" w:hAnsi="Times New Roman" w:cs="Times New Roman"/>
          <w:szCs w:val="24"/>
        </w:rPr>
        <w:t>Il s’agit d’</w:t>
      </w:r>
      <w:r w:rsidRPr="00E72418">
        <w:rPr>
          <w:rFonts w:ascii="Times New Roman" w:hAnsi="Times New Roman" w:cs="Times New Roman"/>
          <w:szCs w:val="24"/>
        </w:rPr>
        <w:t xml:space="preserve"> « </w:t>
      </w:r>
      <w:r w:rsidRPr="00E72418">
        <w:rPr>
          <w:rFonts w:ascii="Times New Roman" w:hAnsi="Times New Roman" w:cs="Times New Roman"/>
          <w:szCs w:val="24"/>
          <w:shd w:val="clear" w:color="auto" w:fill="FFFFFF"/>
        </w:rPr>
        <w:t>any contract for the supply of goods or services</w:t>
      </w:r>
      <w:r w:rsidRPr="00E72418">
        <w:rPr>
          <w:rFonts w:ascii="Times New Roman" w:hAnsi="Times New Roman" w:cs="Times New Roman"/>
          <w:szCs w:val="24"/>
        </w:rPr>
        <w:t xml:space="preserve"> » mais, surtout pour </w:t>
      </w:r>
      <w:r w:rsidR="00424087" w:rsidRPr="00E72418">
        <w:rPr>
          <w:rFonts w:ascii="Times New Roman" w:hAnsi="Times New Roman" w:cs="Times New Roman"/>
          <w:szCs w:val="24"/>
        </w:rPr>
        <w:t>l’étude du</w:t>
      </w:r>
      <w:r w:rsidR="00B41CCF" w:rsidRPr="00E72418">
        <w:rPr>
          <w:rFonts w:ascii="Times New Roman" w:hAnsi="Times New Roman" w:cs="Times New Roman"/>
          <w:szCs w:val="24"/>
        </w:rPr>
        <w:t xml:space="preserve"> phénomène des fonds spéculant</w:t>
      </w:r>
      <w:r w:rsidR="00424087" w:rsidRPr="00E72418">
        <w:rPr>
          <w:rFonts w:ascii="Times New Roman" w:hAnsi="Times New Roman" w:cs="Times New Roman"/>
          <w:szCs w:val="24"/>
        </w:rPr>
        <w:t xml:space="preserve"> sur les dettes souveraines</w:t>
      </w:r>
      <w:r w:rsidR="00305399" w:rsidRPr="00E72418">
        <w:rPr>
          <w:rFonts w:ascii="Times New Roman" w:hAnsi="Times New Roman" w:cs="Times New Roman"/>
          <w:szCs w:val="24"/>
        </w:rPr>
        <w:t xml:space="preserve"> qui nous intéresse, d’</w:t>
      </w:r>
      <w:r w:rsidRPr="00E72418">
        <w:rPr>
          <w:rFonts w:ascii="Times New Roman" w:hAnsi="Times New Roman" w:cs="Times New Roman"/>
          <w:szCs w:val="24"/>
        </w:rPr>
        <w:t xml:space="preserve"> « </w:t>
      </w:r>
      <w:r w:rsidRPr="00E72418">
        <w:rPr>
          <w:rFonts w:ascii="Times New Roman" w:hAnsi="Times New Roman" w:cs="Times New Roman"/>
          <w:szCs w:val="24"/>
          <w:shd w:val="clear" w:color="auto" w:fill="FFFFFF"/>
        </w:rPr>
        <w:t xml:space="preserve">any loan or other transaction for the provision of finance and any guarantee or indemnity in respect of any such transaction or of any other financial obligation </w:t>
      </w:r>
      <w:r w:rsidR="00305399" w:rsidRPr="00E72418">
        <w:rPr>
          <w:rFonts w:ascii="Times New Roman" w:hAnsi="Times New Roman" w:cs="Times New Roman"/>
          <w:szCs w:val="24"/>
        </w:rPr>
        <w:t>» et d’</w:t>
      </w:r>
      <w:r w:rsidRPr="00E72418">
        <w:rPr>
          <w:rFonts w:ascii="Times New Roman" w:hAnsi="Times New Roman" w:cs="Times New Roman"/>
          <w:szCs w:val="24"/>
        </w:rPr>
        <w:t xml:space="preserve"> « </w:t>
      </w:r>
      <w:r w:rsidRPr="00E72418">
        <w:rPr>
          <w:rFonts w:ascii="Times New Roman" w:hAnsi="Times New Roman" w:cs="Times New Roman"/>
          <w:szCs w:val="24"/>
          <w:shd w:val="clear" w:color="auto" w:fill="FFFFFF"/>
        </w:rPr>
        <w:t xml:space="preserve">any other transaction or activity (whether of a commercial, industrial, financial, professional or other similar character) into which a State enters or in which it engages otherwise than in the exercise of sovereign authority </w:t>
      </w:r>
      <w:r w:rsidRPr="00E72418">
        <w:rPr>
          <w:rFonts w:ascii="Times New Roman" w:hAnsi="Times New Roman" w:cs="Times New Roman"/>
          <w:szCs w:val="24"/>
        </w:rPr>
        <w:t>».</w:t>
      </w:r>
    </w:p>
    <w:p w14:paraId="37DF8522" w14:textId="77777777" w:rsidR="006D50CA" w:rsidRPr="00E72418" w:rsidRDefault="006D50CA" w:rsidP="0054314B"/>
    <w:p w14:paraId="15032872" w14:textId="1946940B" w:rsidR="00803BA5" w:rsidRPr="00E72418" w:rsidRDefault="00803BA5" w:rsidP="00CC4BA8">
      <w:pPr>
        <w:pStyle w:val="GG"/>
        <w:spacing w:line="276" w:lineRule="auto"/>
        <w:rPr>
          <w:color w:val="auto"/>
        </w:rPr>
      </w:pPr>
      <w:bookmarkStart w:id="242" w:name="_Toc59280948"/>
      <w:bookmarkStart w:id="243" w:name="_Toc84540936"/>
      <w:r w:rsidRPr="00E72418">
        <w:rPr>
          <w:color w:val="auto"/>
        </w:rPr>
        <w:t>A.4. La nature particulière des dettes souveraines</w:t>
      </w:r>
      <w:bookmarkEnd w:id="242"/>
      <w:bookmarkEnd w:id="243"/>
    </w:p>
    <w:p w14:paraId="43AA1D9F" w14:textId="77777777" w:rsidR="0054314B" w:rsidRPr="00E72418" w:rsidRDefault="0054314B" w:rsidP="0054314B"/>
    <w:p w14:paraId="0C5CD062" w14:textId="087D105D" w:rsidR="00C66FB1" w:rsidRPr="00E72418" w:rsidRDefault="007F038F" w:rsidP="00CC4BA8">
      <w:pPr>
        <w:spacing w:line="276" w:lineRule="auto"/>
      </w:pPr>
      <w:r w:rsidRPr="00E72418">
        <w:rPr>
          <w:b/>
        </w:rPr>
        <w:t>211</w:t>
      </w:r>
      <w:r w:rsidR="00BB1C7E" w:rsidRPr="00E72418">
        <w:rPr>
          <w:b/>
        </w:rPr>
        <w:t xml:space="preserve">. </w:t>
      </w:r>
      <w:r w:rsidR="000B57A0" w:rsidRPr="00E72418">
        <w:rPr>
          <w:b/>
        </w:rPr>
        <w:t>L’affiliation à l’exception commerciale –</w:t>
      </w:r>
      <w:r w:rsidR="00C66FB1" w:rsidRPr="00E72418">
        <w:rPr>
          <w:b/>
        </w:rPr>
        <w:t xml:space="preserve"> </w:t>
      </w:r>
      <w:r w:rsidR="00C66FB1" w:rsidRPr="00E72418">
        <w:t xml:space="preserve">Tant la Convention des Nations Unies de 2004 que les législations étatsunienne et britannique retiennent la relativité de l’immunité de juridiction en prévoyant notamment que les </w:t>
      </w:r>
      <w:r w:rsidR="00C66FB1" w:rsidRPr="00E72418">
        <w:rPr>
          <w:lang w:eastAsia="fr-BE"/>
        </w:rPr>
        <w:t>É</w:t>
      </w:r>
      <w:r w:rsidR="00C66FB1" w:rsidRPr="00E72418">
        <w:t xml:space="preserve">tats ne sauraient en bénéficier lorsqu’ils s’engagent dans une activité commerciale. L’on peut donc se poser la question de l’affiliation </w:t>
      </w:r>
      <w:r w:rsidR="00C66FB1" w:rsidRPr="00E72418">
        <w:lastRenderedPageBreak/>
        <w:t xml:space="preserve">des dettes souveraines à cette exception commerciale. L’enjeu est de taille dans la mesure où une réponse affirmative rend la mobilisation de l’argument immunitaire inopérante dans les contentieux </w:t>
      </w:r>
      <w:r w:rsidR="009158FA" w:rsidRPr="00E72418">
        <w:t xml:space="preserve">portant sur des dettes souveraines et </w:t>
      </w:r>
      <w:r w:rsidR="00C66FB1" w:rsidRPr="00E72418">
        <w:t xml:space="preserve">opposant des </w:t>
      </w:r>
      <w:r w:rsidR="00C66FB1" w:rsidRPr="00E72418">
        <w:rPr>
          <w:lang w:eastAsia="fr-BE"/>
        </w:rPr>
        <w:t>É</w:t>
      </w:r>
      <w:r w:rsidR="00C66FB1" w:rsidRPr="00E72418">
        <w:t xml:space="preserve">tats débiteurs aux fonds spéculatifs. </w:t>
      </w:r>
      <w:r w:rsidR="00C1762C" w:rsidRPr="00E72418">
        <w:t xml:space="preserve">Il est </w:t>
      </w:r>
      <w:r w:rsidR="00294683" w:rsidRPr="00E72418">
        <w:t xml:space="preserve">très </w:t>
      </w:r>
      <w:r w:rsidR="00C1762C" w:rsidRPr="00E72418">
        <w:t xml:space="preserve">généralement retenu </w:t>
      </w:r>
      <w:r w:rsidR="00F62FD7" w:rsidRPr="00E72418">
        <w:t>aujourd’hui que les emprunts d’</w:t>
      </w:r>
      <w:r w:rsidR="00F62FD7" w:rsidRPr="00E72418">
        <w:rPr>
          <w:lang w:eastAsia="fr-BE"/>
        </w:rPr>
        <w:t>É</w:t>
      </w:r>
      <w:r w:rsidR="00C1762C" w:rsidRPr="00E72418">
        <w:t>tat</w:t>
      </w:r>
      <w:r w:rsidR="005D2556" w:rsidRPr="00E72418">
        <w:t>, et singulièrement les contrats d’émission,</w:t>
      </w:r>
      <w:r w:rsidR="00C1762C" w:rsidRPr="00E72418">
        <w:t xml:space="preserve"> </w:t>
      </w:r>
      <w:r w:rsidR="005D2556" w:rsidRPr="00E72418">
        <w:t xml:space="preserve">ont une nature privée et </w:t>
      </w:r>
      <w:r w:rsidR="00C1762C" w:rsidRPr="00E72418">
        <w:t xml:space="preserve">sont à considérer comme étant des </w:t>
      </w:r>
      <w:r w:rsidR="005D2556" w:rsidRPr="00E72418">
        <w:t>contrats conclus</w:t>
      </w:r>
      <w:r w:rsidR="00C1762C" w:rsidRPr="00E72418">
        <w:t xml:space="preserve"> </w:t>
      </w:r>
      <w:r w:rsidR="00C1762C" w:rsidRPr="00E72418">
        <w:rPr>
          <w:i/>
        </w:rPr>
        <w:t>jure gestionis</w:t>
      </w:r>
      <w:r w:rsidR="00C1762C" w:rsidRPr="00E72418">
        <w:t xml:space="preserve"> ouvrant le champ des possibles à leurs créanciers</w:t>
      </w:r>
      <w:r w:rsidR="005D2556" w:rsidRPr="00E72418">
        <w:rPr>
          <w:rStyle w:val="Appelnotedebasdep"/>
        </w:rPr>
        <w:footnoteReference w:id="1067"/>
      </w:r>
      <w:r w:rsidR="00C1762C" w:rsidRPr="00E72418">
        <w:t xml:space="preserve">. </w:t>
      </w:r>
      <w:r w:rsidR="001E6474" w:rsidRPr="00E72418">
        <w:t xml:space="preserve">Dans son arrêt </w:t>
      </w:r>
      <w:r w:rsidR="00F7042B" w:rsidRPr="00E72418">
        <w:rPr>
          <w:rFonts w:cs="Times"/>
          <w:i/>
          <w:szCs w:val="20"/>
        </w:rPr>
        <w:t>Fahnenbrock c. République hellénique</w:t>
      </w:r>
      <w:r w:rsidR="00F7042B" w:rsidRPr="00E72418">
        <w:t xml:space="preserve">, </w:t>
      </w:r>
      <w:r w:rsidR="006E3B68" w:rsidRPr="00E72418">
        <w:t>la Cour de J</w:t>
      </w:r>
      <w:r w:rsidR="001E6474" w:rsidRPr="00E72418">
        <w:t xml:space="preserve">ustice </w:t>
      </w:r>
      <w:r w:rsidR="006E3B68" w:rsidRPr="00E72418">
        <w:t xml:space="preserve">de l’Union européenne </w:t>
      </w:r>
      <w:r w:rsidR="001E6474" w:rsidRPr="00E72418">
        <w:t xml:space="preserve">a </w:t>
      </w:r>
      <w:r w:rsidR="006E3B68" w:rsidRPr="00E72418">
        <w:t>ainsi affirmé</w:t>
      </w:r>
      <w:r w:rsidR="001E6474" w:rsidRPr="00E72418">
        <w:t xml:space="preserve"> que « </w:t>
      </w:r>
      <w:r w:rsidR="001E6474" w:rsidRPr="00E72418">
        <w:rPr>
          <w:shd w:val="clear" w:color="auto" w:fill="FFFFFF"/>
        </w:rPr>
        <w:t>l’émission d’obligations ne présuppose pas nécessairement l’exercice de pouvoirs exorbitants par rapport aux règles applicables dans les relations entre les particuliers » puisqu’ « </w:t>
      </w:r>
      <w:r w:rsidR="001E6474" w:rsidRPr="00E72418">
        <w:rPr>
          <w:rFonts w:ascii="Times New Roman" w:hAnsi="Times New Roman" w:cs="Times New Roman"/>
          <w:szCs w:val="24"/>
        </w:rPr>
        <w:t>[e]</w:t>
      </w:r>
      <w:r w:rsidR="001E6474" w:rsidRPr="00E72418">
        <w:rPr>
          <w:shd w:val="clear" w:color="auto" w:fill="FFFFFF"/>
        </w:rPr>
        <w:t>n effet, il ne saurait être exclu qu’une personne morale de droit privé puisse avoir recours au marché pour se financer, notamment par le biais de l’émission d’obligations »</w:t>
      </w:r>
      <w:r w:rsidR="001E6474" w:rsidRPr="00E72418">
        <w:rPr>
          <w:rStyle w:val="Appelnotedebasdep"/>
          <w:shd w:val="clear" w:color="auto" w:fill="FFFFFF"/>
        </w:rPr>
        <w:footnoteReference w:id="1068"/>
      </w:r>
      <w:r w:rsidR="001E6474" w:rsidRPr="00E72418">
        <w:rPr>
          <w:shd w:val="clear" w:color="auto" w:fill="FFFFFF"/>
        </w:rPr>
        <w:t>.</w:t>
      </w:r>
    </w:p>
    <w:p w14:paraId="5FB2FB2B" w14:textId="77777777" w:rsidR="000B57A0" w:rsidRPr="00E72418" w:rsidRDefault="000B57A0" w:rsidP="0054314B"/>
    <w:p w14:paraId="705A89F8" w14:textId="7FBEDEFC" w:rsidR="00803BA5" w:rsidRPr="00E72418" w:rsidRDefault="007F038F" w:rsidP="00CC4BA8">
      <w:pPr>
        <w:spacing w:line="276" w:lineRule="auto"/>
      </w:pPr>
      <w:r w:rsidRPr="00E72418">
        <w:rPr>
          <w:b/>
        </w:rPr>
        <w:t>212</w:t>
      </w:r>
      <w:r w:rsidR="00BB1C7E" w:rsidRPr="00E72418">
        <w:rPr>
          <w:b/>
        </w:rPr>
        <w:t xml:space="preserve">. </w:t>
      </w:r>
      <w:r w:rsidR="006D50CA" w:rsidRPr="00E72418">
        <w:rPr>
          <w:b/>
        </w:rPr>
        <w:t xml:space="preserve">La Convention des Nations Unies sur les immunités juridictionnelles des </w:t>
      </w:r>
      <w:r w:rsidR="006D50CA" w:rsidRPr="00E72418">
        <w:rPr>
          <w:b/>
          <w:lang w:eastAsia="fr-BE"/>
        </w:rPr>
        <w:t>É</w:t>
      </w:r>
      <w:r w:rsidR="00CC5A04" w:rsidRPr="00E72418">
        <w:rPr>
          <w:b/>
        </w:rPr>
        <w:t>tats et de leurs biens –</w:t>
      </w:r>
      <w:r w:rsidR="00EA1EA8" w:rsidRPr="00E72418">
        <w:t xml:space="preserve"> L’article 2(1), </w:t>
      </w:r>
      <w:r w:rsidR="006D50CA" w:rsidRPr="00E72418">
        <w:t>c)</w:t>
      </w:r>
      <w:r w:rsidR="00EA1EA8" w:rsidRPr="00E72418">
        <w:t xml:space="preserve">, </w:t>
      </w:r>
      <w:r w:rsidR="00803BA5" w:rsidRPr="00E72418">
        <w:t>ii) de la C</w:t>
      </w:r>
      <w:r w:rsidR="006D50CA" w:rsidRPr="00E72418">
        <w:t>onvention de Nations Unies précise que l’expression « transaction commerciale » désigne « tout contrat de prêt ou autre transaction de nature financière, y compris toute obligation de garantie ou d’indemnisation en rapport avec un tel prêt ou une telle transaction ».</w:t>
      </w:r>
      <w:r w:rsidR="00803BA5" w:rsidRPr="00E72418">
        <w:t xml:space="preserve"> Rappelons encore que l’article 2(2) précise que pour déterminer si un contrat ou une transaction est une « transaction commerciale », il convient de tenir compte en premier lieu de la nature du contrat ou de la transaction</w:t>
      </w:r>
      <w:r w:rsidR="00803BA5" w:rsidRPr="00E72418">
        <w:rPr>
          <w:rStyle w:val="Appelnotedebasdep"/>
        </w:rPr>
        <w:footnoteReference w:id="1069"/>
      </w:r>
      <w:r w:rsidR="00803BA5" w:rsidRPr="00E72418">
        <w:t>.</w:t>
      </w:r>
    </w:p>
    <w:p w14:paraId="5C6BD7C4" w14:textId="0AD20D5F" w:rsidR="000A7980" w:rsidRPr="00E72418" w:rsidRDefault="00803BA5" w:rsidP="00CC4BA8">
      <w:pPr>
        <w:spacing w:line="276" w:lineRule="auto"/>
        <w:rPr>
          <w:b/>
        </w:rPr>
      </w:pPr>
      <w:r w:rsidRPr="00E72418">
        <w:t>L’on voit ici que la boîte de Pandore est ouve</w:t>
      </w:r>
      <w:r w:rsidR="00B41CCF" w:rsidRPr="00E72418">
        <w:t>rte et que les fonds spéculant</w:t>
      </w:r>
      <w:r w:rsidRPr="00E72418">
        <w:t xml:space="preserve"> sur les dettes souveraines chercheront à tirer le meilleur parti de la règle posée par la convention afin de contrer la défense immunitaire qui pourrait leur être opposée par leurs débiteurs souverains.</w:t>
      </w:r>
      <w:r w:rsidRPr="00E72418">
        <w:rPr>
          <w:b/>
        </w:rPr>
        <w:t xml:space="preserve"> </w:t>
      </w:r>
      <w:r w:rsidR="000A7980" w:rsidRPr="00E72418">
        <w:rPr>
          <w:rFonts w:ascii="Times New Roman" w:hAnsi="Times New Roman" w:cs="Times New Roman"/>
          <w:szCs w:val="24"/>
        </w:rPr>
        <w:t xml:space="preserve">Les dettes contractées par les </w:t>
      </w:r>
      <w:r w:rsidR="000A7980" w:rsidRPr="00E72418">
        <w:rPr>
          <w:rFonts w:ascii="Times New Roman" w:hAnsi="Times New Roman" w:cs="Times New Roman"/>
          <w:lang w:eastAsia="fr-BE"/>
        </w:rPr>
        <w:t>É</w:t>
      </w:r>
      <w:r w:rsidR="000A7980" w:rsidRPr="00E72418">
        <w:rPr>
          <w:rFonts w:ascii="Times New Roman" w:hAnsi="Times New Roman" w:cs="Times New Roman"/>
          <w:szCs w:val="24"/>
        </w:rPr>
        <w:t xml:space="preserve">tats sur les marchés financiers paraissent </w:t>
      </w:r>
      <w:r w:rsidRPr="00E72418">
        <w:rPr>
          <w:rFonts w:ascii="Times New Roman" w:hAnsi="Times New Roman" w:cs="Times New Roman"/>
          <w:szCs w:val="24"/>
        </w:rPr>
        <w:t>en effet pouvoir</w:t>
      </w:r>
      <w:r w:rsidR="000A7980" w:rsidRPr="00E72418">
        <w:rPr>
          <w:rFonts w:ascii="Times New Roman" w:hAnsi="Times New Roman" w:cs="Times New Roman"/>
          <w:szCs w:val="24"/>
        </w:rPr>
        <w:t xml:space="preserve"> être </w:t>
      </w:r>
      <w:r w:rsidRPr="00E72418">
        <w:rPr>
          <w:rFonts w:ascii="Times New Roman" w:hAnsi="Times New Roman" w:cs="Times New Roman"/>
          <w:szCs w:val="24"/>
        </w:rPr>
        <w:t>considéré</w:t>
      </w:r>
      <w:r w:rsidR="001A6427" w:rsidRPr="00E72418">
        <w:rPr>
          <w:rFonts w:ascii="Times New Roman" w:hAnsi="Times New Roman" w:cs="Times New Roman"/>
          <w:szCs w:val="24"/>
        </w:rPr>
        <w:t>e</w:t>
      </w:r>
      <w:r w:rsidRPr="00E72418">
        <w:rPr>
          <w:rFonts w:ascii="Times New Roman" w:hAnsi="Times New Roman" w:cs="Times New Roman"/>
          <w:szCs w:val="24"/>
        </w:rPr>
        <w:t>s</w:t>
      </w:r>
      <w:r w:rsidR="000A7980" w:rsidRPr="00E72418">
        <w:rPr>
          <w:rFonts w:ascii="Times New Roman" w:hAnsi="Times New Roman" w:cs="Times New Roman"/>
          <w:szCs w:val="24"/>
        </w:rPr>
        <w:t xml:space="preserve">, au sens de </w:t>
      </w:r>
      <w:r w:rsidRPr="00E72418">
        <w:rPr>
          <w:rFonts w:ascii="Times New Roman" w:hAnsi="Times New Roman" w:cs="Times New Roman"/>
          <w:szCs w:val="24"/>
        </w:rPr>
        <w:t>la C</w:t>
      </w:r>
      <w:r w:rsidR="000A7980" w:rsidRPr="00E72418">
        <w:rPr>
          <w:rFonts w:ascii="Times New Roman" w:hAnsi="Times New Roman" w:cs="Times New Roman"/>
          <w:szCs w:val="24"/>
        </w:rPr>
        <w:t>onvention</w:t>
      </w:r>
      <w:r w:rsidRPr="00E72418">
        <w:rPr>
          <w:rFonts w:ascii="Times New Roman" w:hAnsi="Times New Roman" w:cs="Times New Roman"/>
          <w:szCs w:val="24"/>
        </w:rPr>
        <w:t xml:space="preserve"> des Nations Unies</w:t>
      </w:r>
      <w:r w:rsidR="000A7980" w:rsidRPr="00E72418">
        <w:rPr>
          <w:rFonts w:ascii="Times New Roman" w:hAnsi="Times New Roman" w:cs="Times New Roman"/>
          <w:szCs w:val="24"/>
        </w:rPr>
        <w:t xml:space="preserve">, comme des actes </w:t>
      </w:r>
      <w:r w:rsidR="000A7980" w:rsidRPr="00E72418">
        <w:rPr>
          <w:rFonts w:ascii="Times New Roman" w:hAnsi="Times New Roman" w:cs="Times New Roman"/>
          <w:i/>
          <w:szCs w:val="24"/>
        </w:rPr>
        <w:t>jure gestionis</w:t>
      </w:r>
      <w:r w:rsidR="000A7980" w:rsidRPr="00E72418">
        <w:rPr>
          <w:rFonts w:ascii="Times New Roman" w:hAnsi="Times New Roman" w:cs="Times New Roman"/>
          <w:szCs w:val="24"/>
        </w:rPr>
        <w:t xml:space="preserve">. </w:t>
      </w:r>
      <w:r w:rsidR="009158FA" w:rsidRPr="00E72418">
        <w:rPr>
          <w:rFonts w:ascii="Times New Roman" w:hAnsi="Times New Roman" w:cs="Times New Roman"/>
          <w:szCs w:val="24"/>
        </w:rPr>
        <w:t>C</w:t>
      </w:r>
      <w:r w:rsidR="000A7980" w:rsidRPr="00E72418">
        <w:rPr>
          <w:rFonts w:ascii="Times New Roman" w:hAnsi="Times New Roman" w:cs="Times New Roman"/>
          <w:szCs w:val="24"/>
        </w:rPr>
        <w:t xml:space="preserve">ette </w:t>
      </w:r>
      <w:r w:rsidR="009158FA" w:rsidRPr="00E72418">
        <w:rPr>
          <w:rFonts w:ascii="Times New Roman" w:hAnsi="Times New Roman" w:cs="Times New Roman"/>
          <w:szCs w:val="24"/>
        </w:rPr>
        <w:t>intuition</w:t>
      </w:r>
      <w:r w:rsidR="000A7980" w:rsidRPr="00E72418">
        <w:rPr>
          <w:rFonts w:ascii="Times New Roman" w:hAnsi="Times New Roman" w:cs="Times New Roman"/>
          <w:szCs w:val="24"/>
        </w:rPr>
        <w:t xml:space="preserve"> est confirmée à la lecture du </w:t>
      </w:r>
      <w:r w:rsidR="004509FC" w:rsidRPr="00E72418">
        <w:rPr>
          <w:rFonts w:ascii="Times New Roman" w:hAnsi="Times New Roman" w:cs="Times New Roman"/>
          <w:szCs w:val="24"/>
        </w:rPr>
        <w:t>rapport</w:t>
      </w:r>
      <w:r w:rsidR="000A7980" w:rsidRPr="00E72418">
        <w:rPr>
          <w:rFonts w:ascii="Times New Roman" w:hAnsi="Times New Roman" w:cs="Times New Roman"/>
          <w:szCs w:val="24"/>
        </w:rPr>
        <w:t xml:space="preserve"> de la Commission du droit international qui indiquait que les obligations émises par un </w:t>
      </w:r>
      <w:r w:rsidR="000A7980" w:rsidRPr="00E72418">
        <w:rPr>
          <w:rFonts w:ascii="Times New Roman" w:hAnsi="Times New Roman" w:cs="Times New Roman"/>
          <w:lang w:eastAsia="fr-BE"/>
        </w:rPr>
        <w:t>É</w:t>
      </w:r>
      <w:r w:rsidR="000A7980" w:rsidRPr="00E72418">
        <w:rPr>
          <w:rFonts w:ascii="Times New Roman" w:hAnsi="Times New Roman" w:cs="Times New Roman"/>
          <w:szCs w:val="24"/>
        </w:rPr>
        <w:t xml:space="preserve">tat sur les marchés des capitaux d’un autre </w:t>
      </w:r>
      <w:r w:rsidR="000A7980" w:rsidRPr="00E72418">
        <w:rPr>
          <w:rFonts w:ascii="Times New Roman" w:hAnsi="Times New Roman" w:cs="Times New Roman"/>
          <w:lang w:eastAsia="fr-BE"/>
        </w:rPr>
        <w:t>É</w:t>
      </w:r>
      <w:r w:rsidR="000A7980" w:rsidRPr="00E72418">
        <w:rPr>
          <w:rFonts w:ascii="Times New Roman" w:hAnsi="Times New Roman" w:cs="Times New Roman"/>
          <w:szCs w:val="24"/>
        </w:rPr>
        <w:t xml:space="preserve">tat </w:t>
      </w:r>
      <w:r w:rsidR="004509FC" w:rsidRPr="00E72418">
        <w:rPr>
          <w:rFonts w:ascii="Times New Roman" w:hAnsi="Times New Roman" w:cs="Times New Roman"/>
          <w:szCs w:val="24"/>
        </w:rPr>
        <w:t>étaient visées par l’expression « transaction commerciale »</w:t>
      </w:r>
      <w:r w:rsidR="000A7980" w:rsidRPr="00E72418">
        <w:rPr>
          <w:rStyle w:val="Appelnotedebasdep"/>
          <w:rFonts w:ascii="Times New Roman" w:hAnsi="Times New Roman" w:cs="Times New Roman"/>
          <w:szCs w:val="24"/>
        </w:rPr>
        <w:footnoteReference w:id="1070"/>
      </w:r>
      <w:r w:rsidR="000A7980" w:rsidRPr="00E72418">
        <w:rPr>
          <w:rFonts w:ascii="Times New Roman" w:hAnsi="Times New Roman" w:cs="Times New Roman"/>
          <w:szCs w:val="24"/>
        </w:rPr>
        <w:t>.</w:t>
      </w:r>
    </w:p>
    <w:p w14:paraId="304170F7" w14:textId="77777777" w:rsidR="006D50CA" w:rsidRPr="00E72418" w:rsidRDefault="006D50CA" w:rsidP="0054314B"/>
    <w:p w14:paraId="599789BF" w14:textId="6E8470B1" w:rsidR="00EF76B7" w:rsidRPr="00E72418" w:rsidRDefault="007F038F" w:rsidP="00CC4BA8">
      <w:pPr>
        <w:spacing w:line="276" w:lineRule="auto"/>
      </w:pPr>
      <w:r w:rsidRPr="00E72418">
        <w:rPr>
          <w:b/>
        </w:rPr>
        <w:t>213</w:t>
      </w:r>
      <w:r w:rsidR="00BB1C7E" w:rsidRPr="00E72418">
        <w:rPr>
          <w:b/>
        </w:rPr>
        <w:t xml:space="preserve">. </w:t>
      </w:r>
      <w:r w:rsidR="006D50CA" w:rsidRPr="00E72418">
        <w:rPr>
          <w:b/>
        </w:rPr>
        <w:t xml:space="preserve">Le </w:t>
      </w:r>
      <w:r w:rsidR="006D50CA" w:rsidRPr="00E72418">
        <w:rPr>
          <w:b/>
          <w:i/>
        </w:rPr>
        <w:t xml:space="preserve">Foreign Sovereign Immunities Act </w:t>
      </w:r>
      <w:r w:rsidR="006D50CA" w:rsidRPr="00E72418">
        <w:rPr>
          <w:b/>
        </w:rPr>
        <w:t xml:space="preserve">et l’arrêt </w:t>
      </w:r>
      <w:r w:rsidR="006D50CA" w:rsidRPr="00E72418">
        <w:rPr>
          <w:b/>
          <w:i/>
        </w:rPr>
        <w:t>Republic of Argentina v. Weltover, Inc.</w:t>
      </w:r>
      <w:r w:rsidR="006D50CA" w:rsidRPr="00E72418">
        <w:rPr>
          <w:b/>
        </w:rPr>
        <w:t xml:space="preserve"> –</w:t>
      </w:r>
      <w:r w:rsidR="009158FA" w:rsidRPr="00E72418">
        <w:rPr>
          <w:b/>
        </w:rPr>
        <w:t xml:space="preserve"> </w:t>
      </w:r>
      <w:r w:rsidR="009158FA" w:rsidRPr="00E72418">
        <w:t>Le</w:t>
      </w:r>
      <w:r w:rsidR="006D50CA" w:rsidRPr="00E72418">
        <w:t xml:space="preserve"> </w:t>
      </w:r>
      <w:r w:rsidR="006D50CA" w:rsidRPr="00E72418">
        <w:rPr>
          <w:i/>
        </w:rPr>
        <w:t>Foreign Sovereign Immunities Act</w:t>
      </w:r>
      <w:r w:rsidR="006D50CA" w:rsidRPr="00E72418">
        <w:t xml:space="preserve"> </w:t>
      </w:r>
      <w:r w:rsidR="009158FA" w:rsidRPr="00E72418">
        <w:t xml:space="preserve">ne comporte </w:t>
      </w:r>
      <w:r w:rsidR="006D50CA" w:rsidRPr="00E72418">
        <w:t xml:space="preserve">aucune précision </w:t>
      </w:r>
      <w:r w:rsidR="009158FA" w:rsidRPr="00E72418">
        <w:t xml:space="preserve">permettant de déterminer </w:t>
      </w:r>
      <w:r w:rsidR="009158FA" w:rsidRPr="00E72418">
        <w:lastRenderedPageBreak/>
        <w:t>si</w:t>
      </w:r>
      <w:r w:rsidR="006D50CA" w:rsidRPr="00E72418">
        <w:t xml:space="preserve"> les dettes souveraines doivent être reprises sous l’exception commerciale</w:t>
      </w:r>
      <w:r w:rsidR="009158FA" w:rsidRPr="00E72418">
        <w:t xml:space="preserve"> qu’il pose</w:t>
      </w:r>
      <w:r w:rsidR="006D50CA" w:rsidRPr="00E72418">
        <w:rPr>
          <w:rStyle w:val="Appelnotedebasdep"/>
          <w:rFonts w:cs="Times New Roman"/>
        </w:rPr>
        <w:footnoteReference w:id="1071"/>
      </w:r>
      <w:r w:rsidR="006D50CA" w:rsidRPr="00E72418">
        <w:t xml:space="preserve">. La Cour suprême </w:t>
      </w:r>
      <w:r w:rsidR="009158FA" w:rsidRPr="00E72418">
        <w:t xml:space="preserve">étatsunienne </w:t>
      </w:r>
      <w:r w:rsidR="006D50CA" w:rsidRPr="00E72418">
        <w:t xml:space="preserve">a été amenée à appréhender ce silence dans son arrêt </w:t>
      </w:r>
      <w:r w:rsidR="006D50CA" w:rsidRPr="00E72418">
        <w:rPr>
          <w:i/>
        </w:rPr>
        <w:t>Republic of Argentina v. Weltover, Inc.</w:t>
      </w:r>
      <w:r w:rsidR="00317FE3" w:rsidRPr="00E72418">
        <w:t xml:space="preserve"> lequel est depuis </w:t>
      </w:r>
      <w:r w:rsidR="008134D0" w:rsidRPr="00E72418">
        <w:t>présenté</w:t>
      </w:r>
      <w:r w:rsidR="00317FE3" w:rsidRPr="00E72418">
        <w:t xml:space="preserve"> comme la « leading decision […] concerning the immunity of states in the courts of another country in the context of the issuance of bonds »</w:t>
      </w:r>
      <w:r w:rsidR="00317FE3" w:rsidRPr="00E72418">
        <w:rPr>
          <w:rStyle w:val="Appelnotedebasdep"/>
        </w:rPr>
        <w:footnoteReference w:id="1072"/>
      </w:r>
      <w:r w:rsidR="00317FE3" w:rsidRPr="00E72418">
        <w:t>. E</w:t>
      </w:r>
      <w:r w:rsidR="006D50CA" w:rsidRPr="00E72418">
        <w:t xml:space="preserve">lle </w:t>
      </w:r>
      <w:r w:rsidR="00317FE3" w:rsidRPr="00E72418">
        <w:t xml:space="preserve">y </w:t>
      </w:r>
      <w:r w:rsidR="006D50CA" w:rsidRPr="00E72418">
        <w:t xml:space="preserve">décida que l’émission d’obligations souveraines pouvait être considérée comme une activité commerciale au sens du </w:t>
      </w:r>
      <w:r w:rsidR="006D50CA" w:rsidRPr="00E72418">
        <w:rPr>
          <w:i/>
        </w:rPr>
        <w:t>Foreign Sovereign Immunities Act</w:t>
      </w:r>
      <w:r w:rsidR="006D50CA" w:rsidRPr="00E72418">
        <w:rPr>
          <w:rStyle w:val="Appelnotedebasdep"/>
          <w:rFonts w:cs="Times New Roman"/>
          <w:szCs w:val="24"/>
        </w:rPr>
        <w:footnoteReference w:id="1073"/>
      </w:r>
      <w:r w:rsidR="006D50CA" w:rsidRPr="00E72418">
        <w:t xml:space="preserve">. </w:t>
      </w:r>
      <w:r w:rsidR="003F09AF" w:rsidRPr="00E72418">
        <w:t xml:space="preserve">Julian </w:t>
      </w:r>
      <w:r w:rsidR="00B55830" w:rsidRPr="00E72418">
        <w:rPr>
          <w:rFonts w:ascii="Times New Roman" w:hAnsi="Times New Roman" w:cs="Times New Roman"/>
        </w:rPr>
        <w:t>Schumacher</w:t>
      </w:r>
      <w:r w:rsidR="00F00694" w:rsidRPr="00E72418">
        <w:rPr>
          <w:rFonts w:ascii="Times New Roman" w:hAnsi="Times New Roman"/>
          <w:i/>
        </w:rPr>
        <w:t xml:space="preserve"> et al. </w:t>
      </w:r>
      <w:r w:rsidR="00B55830" w:rsidRPr="00E72418">
        <w:rPr>
          <w:rFonts w:ascii="Times New Roman" w:hAnsi="Times New Roman" w:cs="Times New Roman"/>
        </w:rPr>
        <w:t>écrivent au sujet de cette importante décision qu’elle « gave a definitive blow to the defense of sovereign immunity » et qu’elle « paved the way for US-based creditor litigation »</w:t>
      </w:r>
      <w:r w:rsidR="00B55830" w:rsidRPr="00E72418">
        <w:rPr>
          <w:rStyle w:val="Appelnotedebasdep"/>
          <w:rFonts w:ascii="Times New Roman" w:hAnsi="Times New Roman" w:cs="Times New Roman"/>
        </w:rPr>
        <w:footnoteReference w:id="1074"/>
      </w:r>
      <w:r w:rsidR="00B55830" w:rsidRPr="00E72418">
        <w:rPr>
          <w:rFonts w:ascii="Times New Roman" w:hAnsi="Times New Roman" w:cs="Times New Roman"/>
        </w:rPr>
        <w:t>.</w:t>
      </w:r>
    </w:p>
    <w:p w14:paraId="258C524F" w14:textId="68D92A66" w:rsidR="006D50CA" w:rsidRPr="00E72418" w:rsidRDefault="00B55830" w:rsidP="00CC4BA8">
      <w:pPr>
        <w:spacing w:line="276" w:lineRule="auto"/>
        <w:rPr>
          <w:rFonts w:ascii="Times New Roman" w:hAnsi="Times New Roman" w:cs="Times New Roman"/>
          <w:szCs w:val="24"/>
          <w:highlight w:val="yellow"/>
        </w:rPr>
      </w:pPr>
      <w:r w:rsidRPr="00E72418">
        <w:rPr>
          <w:rFonts w:ascii="Times New Roman" w:hAnsi="Times New Roman" w:cs="Times New Roman"/>
        </w:rPr>
        <w:t>En substance, l</w:t>
      </w:r>
      <w:r w:rsidRPr="00E72418">
        <w:rPr>
          <w:rFonts w:ascii="Times New Roman" w:hAnsi="Times New Roman" w:cs="Times New Roman"/>
          <w:szCs w:val="24"/>
        </w:rPr>
        <w:t xml:space="preserve">a Cour suprême des </w:t>
      </w:r>
      <w:r w:rsidRPr="00E72418">
        <w:rPr>
          <w:rFonts w:ascii="Times New Roman" w:hAnsi="Times New Roman" w:cs="Times New Roman"/>
          <w:lang w:eastAsia="fr-BE"/>
        </w:rPr>
        <w:t>É</w:t>
      </w:r>
      <w:r w:rsidRPr="00E72418">
        <w:rPr>
          <w:rFonts w:ascii="Times New Roman" w:hAnsi="Times New Roman" w:cs="Times New Roman"/>
          <w:szCs w:val="24"/>
        </w:rPr>
        <w:t>tats-Unis décida que « the restrictive theory of foreign sovereign immunity would not bar a suit based upon a foreign state’s participation in the marketplace in the manner of a private citizen or corporation »</w:t>
      </w:r>
      <w:r w:rsidRPr="00E72418">
        <w:rPr>
          <w:rStyle w:val="Appelnotedebasdep"/>
          <w:rFonts w:ascii="Times New Roman" w:hAnsi="Times New Roman" w:cs="Times New Roman"/>
          <w:szCs w:val="24"/>
        </w:rPr>
        <w:footnoteReference w:id="1075"/>
      </w:r>
      <w:r w:rsidRPr="00E72418">
        <w:rPr>
          <w:rFonts w:ascii="Times New Roman" w:hAnsi="Times New Roman" w:cs="Times New Roman"/>
          <w:szCs w:val="24"/>
        </w:rPr>
        <w:t xml:space="preserve">. </w:t>
      </w:r>
      <w:r w:rsidR="00EF76B7" w:rsidRPr="00E72418">
        <w:t>La Cour supr</w:t>
      </w:r>
      <w:r w:rsidRPr="00E72418">
        <w:t>ême précisa</w:t>
      </w:r>
      <w:r w:rsidR="006D50CA" w:rsidRPr="00E72418">
        <w:t xml:space="preserve"> que « when a foreign government acts, not as regulator of a market, but in the manner of a private player within it, the foreign sovereign’s actions are “commercial” within the meaning of the FSIA »</w:t>
      </w:r>
      <w:r w:rsidR="006D50CA" w:rsidRPr="00E72418">
        <w:rPr>
          <w:rStyle w:val="Appelnotedebasdep"/>
          <w:rFonts w:cs="Times New Roman"/>
          <w:szCs w:val="24"/>
        </w:rPr>
        <w:footnoteReference w:id="1076"/>
      </w:r>
      <w:r w:rsidR="006D50CA" w:rsidRPr="00E72418">
        <w:t xml:space="preserve">. </w:t>
      </w:r>
      <w:r w:rsidR="006D50CA" w:rsidRPr="00E72418">
        <w:rPr>
          <w:rFonts w:ascii="Times New Roman" w:hAnsi="Times New Roman"/>
        </w:rPr>
        <w:t xml:space="preserve">Se basant sur l’article 1603(d) du </w:t>
      </w:r>
      <w:r w:rsidR="006D50CA" w:rsidRPr="00E72418">
        <w:rPr>
          <w:rFonts w:ascii="Times New Roman" w:hAnsi="Times New Roman"/>
          <w:i/>
        </w:rPr>
        <w:t>Foreign Sovereign Immunities Act</w:t>
      </w:r>
      <w:r w:rsidR="006D50CA" w:rsidRPr="00E72418">
        <w:rPr>
          <w:rFonts w:ascii="Times New Roman" w:hAnsi="Times New Roman"/>
        </w:rPr>
        <w:t xml:space="preserve"> selon lequel le caractère commercial de l’activité s’apprécie en fonction de la nature de l’acte et non en fonction de son </w:t>
      </w:r>
      <w:r w:rsidR="000F5FE4">
        <w:rPr>
          <w:rFonts w:ascii="Times New Roman" w:hAnsi="Times New Roman"/>
        </w:rPr>
        <w:t>but</w:t>
      </w:r>
      <w:r w:rsidR="006D50CA" w:rsidRPr="00E72418">
        <w:rPr>
          <w:rFonts w:ascii="Times New Roman" w:hAnsi="Times New Roman"/>
        </w:rPr>
        <w:t>, la Cour suprême releva encore que « the question is not whether the foreign government is acting with a profit motive or instead with the aim of fulfilling uniquely sovereign objectives »</w:t>
      </w:r>
      <w:r w:rsidR="006D50CA" w:rsidRPr="00E72418">
        <w:rPr>
          <w:rStyle w:val="Appelnotedebasdep"/>
          <w:rFonts w:ascii="Times New Roman" w:hAnsi="Times New Roman" w:cs="Times New Roman"/>
          <w:szCs w:val="24"/>
        </w:rPr>
        <w:footnoteReference w:id="1077"/>
      </w:r>
      <w:r w:rsidR="006D50CA" w:rsidRPr="00E72418">
        <w:rPr>
          <w:rFonts w:ascii="Times New Roman" w:hAnsi="Times New Roman"/>
        </w:rPr>
        <w:t xml:space="preserve">. </w:t>
      </w:r>
      <w:r w:rsidR="006D50CA" w:rsidRPr="00E72418">
        <w:rPr>
          <w:rFonts w:ascii="Times New Roman" w:hAnsi="Times New Roman" w:cs="Times New Roman"/>
        </w:rPr>
        <w:t xml:space="preserve">La règle posée par le </w:t>
      </w:r>
      <w:r w:rsidR="006D50CA" w:rsidRPr="00E72418">
        <w:rPr>
          <w:rFonts w:ascii="Times New Roman" w:hAnsi="Times New Roman"/>
          <w:i/>
        </w:rPr>
        <w:t>Foreign Sovereign Immunities Act</w:t>
      </w:r>
      <w:r w:rsidR="006D50CA" w:rsidRPr="00E72418">
        <w:rPr>
          <w:rFonts w:ascii="Times New Roman" w:hAnsi="Times New Roman"/>
        </w:rPr>
        <w:t xml:space="preserve"> met </w:t>
      </w:r>
      <w:r w:rsidR="006D50CA" w:rsidRPr="00E72418">
        <w:rPr>
          <w:rFonts w:ascii="Times New Roman" w:hAnsi="Times New Roman"/>
        </w:rPr>
        <w:lastRenderedPageBreak/>
        <w:t xml:space="preserve">également, nous l’avons vu, l’accent sur le lien de l’activité commerciale avec les </w:t>
      </w:r>
      <w:r w:rsidR="006D50CA" w:rsidRPr="00E72418">
        <w:rPr>
          <w:lang w:eastAsia="fr-BE"/>
        </w:rPr>
        <w:t>É</w:t>
      </w:r>
      <w:r w:rsidR="006D50CA" w:rsidRPr="00E72418">
        <w:rPr>
          <w:rFonts w:ascii="Times New Roman" w:hAnsi="Times New Roman"/>
        </w:rPr>
        <w:t xml:space="preserve">tats-Unis. La Cour suprême fut </w:t>
      </w:r>
      <w:r w:rsidR="00EF76B7" w:rsidRPr="00E72418">
        <w:rPr>
          <w:rFonts w:ascii="Times New Roman" w:hAnsi="Times New Roman"/>
          <w:i/>
        </w:rPr>
        <w:t>in casu</w:t>
      </w:r>
      <w:r w:rsidR="00EF76B7" w:rsidRPr="00E72418">
        <w:rPr>
          <w:rFonts w:ascii="Times New Roman" w:hAnsi="Times New Roman"/>
        </w:rPr>
        <w:t xml:space="preserve"> </w:t>
      </w:r>
      <w:r w:rsidR="006D50CA" w:rsidRPr="00E72418">
        <w:rPr>
          <w:rFonts w:ascii="Times New Roman" w:hAnsi="Times New Roman"/>
        </w:rPr>
        <w:t xml:space="preserve">attentive à l’existence de ce lien relevant </w:t>
      </w:r>
      <w:r w:rsidR="006D50CA" w:rsidRPr="00E72418">
        <w:rPr>
          <w:rFonts w:ascii="Times New Roman" w:hAnsi="Times New Roman" w:cs="Times New Roman"/>
        </w:rPr>
        <w:t xml:space="preserve">que « </w:t>
      </w:r>
      <w:r w:rsidR="00EF76B7" w:rsidRPr="00E72418">
        <w:t>[the]</w:t>
      </w:r>
      <w:r w:rsidR="00EF76B7" w:rsidRPr="00E72418">
        <w:rPr>
          <w:rFonts w:ascii="Times New Roman" w:hAnsi="Times New Roman" w:cs="Times New Roman"/>
        </w:rPr>
        <w:t xml:space="preserve"> </w:t>
      </w:r>
      <w:r w:rsidR="006D50CA" w:rsidRPr="00E72418">
        <w:rPr>
          <w:rFonts w:ascii="Times New Roman" w:hAnsi="Times New Roman" w:cs="Times New Roman"/>
        </w:rPr>
        <w:t>reschedulin</w:t>
      </w:r>
      <w:r w:rsidR="00EF76B7" w:rsidRPr="00E72418">
        <w:rPr>
          <w:rFonts w:ascii="Times New Roman" w:hAnsi="Times New Roman" w:cs="Times New Roman"/>
        </w:rPr>
        <w:t xml:space="preserve">g of the maturity dates on </w:t>
      </w:r>
      <w:r w:rsidR="00EF76B7" w:rsidRPr="00E72418">
        <w:t>[the]</w:t>
      </w:r>
      <w:r w:rsidR="006D50CA" w:rsidRPr="00E72418">
        <w:rPr>
          <w:rFonts w:ascii="Times New Roman" w:hAnsi="Times New Roman" w:cs="Times New Roman"/>
        </w:rPr>
        <w:t xml:space="preserve"> instruments was taken in connection with that commercial activity and had a “direct effect” in the United States »</w:t>
      </w:r>
      <w:r w:rsidR="006D50CA" w:rsidRPr="00E72418">
        <w:rPr>
          <w:rStyle w:val="Appelnotedebasdep"/>
          <w:rFonts w:ascii="Times New Roman" w:hAnsi="Times New Roman" w:cs="Times New Roman"/>
          <w:szCs w:val="24"/>
        </w:rPr>
        <w:footnoteReference w:id="1078"/>
      </w:r>
      <w:r w:rsidR="006D50CA" w:rsidRPr="00E72418">
        <w:rPr>
          <w:rFonts w:ascii="Times New Roman" w:hAnsi="Times New Roman" w:cs="Times New Roman"/>
        </w:rPr>
        <w:t>.</w:t>
      </w:r>
    </w:p>
    <w:p w14:paraId="133E6616" w14:textId="77777777" w:rsidR="006D50CA" w:rsidRPr="00E72418" w:rsidRDefault="006D50CA" w:rsidP="0054314B"/>
    <w:p w14:paraId="5BDF151C" w14:textId="5A65730B" w:rsidR="00B55830" w:rsidRPr="00E72418" w:rsidRDefault="007F038F" w:rsidP="00CC4BA8">
      <w:pPr>
        <w:spacing w:line="276" w:lineRule="auto"/>
      </w:pPr>
      <w:r w:rsidRPr="00E72418">
        <w:rPr>
          <w:b/>
        </w:rPr>
        <w:t>214</w:t>
      </w:r>
      <w:r w:rsidR="00555B98" w:rsidRPr="00E72418">
        <w:rPr>
          <w:b/>
        </w:rPr>
        <w:t xml:space="preserve">. </w:t>
      </w:r>
      <w:r w:rsidR="006D50CA" w:rsidRPr="00E72418">
        <w:rPr>
          <w:b/>
        </w:rPr>
        <w:t xml:space="preserve">La clarté britannique – </w:t>
      </w:r>
      <w:r w:rsidR="00B55830" w:rsidRPr="00E72418">
        <w:t>À</w:t>
      </w:r>
      <w:r w:rsidR="006D50CA" w:rsidRPr="00E72418">
        <w:rPr>
          <w:rFonts w:cs="Times New Roman"/>
        </w:rPr>
        <w:t xml:space="preserve"> l’article 3 du </w:t>
      </w:r>
      <w:r w:rsidR="006D50CA" w:rsidRPr="00E72418">
        <w:rPr>
          <w:i/>
        </w:rPr>
        <w:t>State Immunity Act</w:t>
      </w:r>
      <w:r w:rsidR="006D50CA" w:rsidRPr="00E72418">
        <w:rPr>
          <w:rFonts w:cs="Times New Roman"/>
        </w:rPr>
        <w:t xml:space="preserve"> qui retient l’absence d’immunité pour les transactions commerciales, il est précisé que les termes « </w:t>
      </w:r>
      <w:r w:rsidR="006D50CA" w:rsidRPr="000F5FE4">
        <w:rPr>
          <w:rFonts w:cs="Times New Roman"/>
        </w:rPr>
        <w:t>commercial transaction</w:t>
      </w:r>
      <w:r w:rsidR="006D50CA" w:rsidRPr="00E72418">
        <w:rPr>
          <w:rFonts w:cs="Times New Roman"/>
        </w:rPr>
        <w:t> » visent notamment « </w:t>
      </w:r>
      <w:r w:rsidR="006D50CA" w:rsidRPr="00E72418">
        <w:rPr>
          <w:rFonts w:cs="Times New Roman"/>
          <w:shd w:val="clear" w:color="auto" w:fill="FFFFFF"/>
        </w:rPr>
        <w:t xml:space="preserve">any loan or other transaction for the provision of finance and any guarantee or indemnity in respect of any such transaction or of any other financial obligation </w:t>
      </w:r>
      <w:r w:rsidR="006D50CA" w:rsidRPr="00E72418">
        <w:rPr>
          <w:rFonts w:cs="Times New Roman"/>
        </w:rPr>
        <w:t xml:space="preserve">». Le </w:t>
      </w:r>
      <w:r w:rsidR="006D50CA" w:rsidRPr="00E72418">
        <w:rPr>
          <w:rFonts w:cs="Times New Roman"/>
          <w:i/>
        </w:rPr>
        <w:t>State Immunity Act</w:t>
      </w:r>
      <w:r w:rsidR="006D50CA" w:rsidRPr="00E72418">
        <w:rPr>
          <w:rFonts w:cs="Times New Roman"/>
        </w:rPr>
        <w:t xml:space="preserve"> l’affirme sans </w:t>
      </w:r>
      <w:r w:rsidR="000C7043" w:rsidRPr="00E72418">
        <w:rPr>
          <w:rFonts w:cs="Times New Roman"/>
        </w:rPr>
        <w:t>ambages</w:t>
      </w:r>
      <w:r w:rsidR="006D50CA" w:rsidRPr="00E72418">
        <w:rPr>
          <w:rFonts w:cs="Times New Roman"/>
        </w:rPr>
        <w:t xml:space="preserve">, les dettes souveraines font partie de l’exception commerciale à l’immunité de juridiction dont bénéficient les </w:t>
      </w:r>
      <w:r w:rsidR="006D50CA" w:rsidRPr="00E72418">
        <w:rPr>
          <w:lang w:eastAsia="fr-BE"/>
        </w:rPr>
        <w:t>É</w:t>
      </w:r>
      <w:r w:rsidR="006D50CA" w:rsidRPr="00E72418">
        <w:rPr>
          <w:rFonts w:cs="Times New Roman"/>
        </w:rPr>
        <w:t>tats.</w:t>
      </w:r>
      <w:r w:rsidR="000C7043" w:rsidRPr="00E72418">
        <w:rPr>
          <w:rFonts w:cs="Times New Roman"/>
        </w:rPr>
        <w:t xml:space="preserve"> </w:t>
      </w:r>
      <w:r w:rsidR="00B55830" w:rsidRPr="00E72418">
        <w:rPr>
          <w:rFonts w:ascii="Times New Roman" w:hAnsi="Times New Roman" w:cs="Times New Roman"/>
          <w:szCs w:val="24"/>
        </w:rPr>
        <w:t>La</w:t>
      </w:r>
      <w:r w:rsidR="000C7043" w:rsidRPr="00E72418">
        <w:rPr>
          <w:rFonts w:ascii="Times New Roman" w:hAnsi="Times New Roman" w:cs="Times New Roman"/>
          <w:szCs w:val="24"/>
        </w:rPr>
        <w:t xml:space="preserve"> législation britannique</w:t>
      </w:r>
      <w:r w:rsidR="00B55830" w:rsidRPr="00E72418">
        <w:t xml:space="preserve"> rend </w:t>
      </w:r>
      <w:r w:rsidR="000C7043" w:rsidRPr="00E72418">
        <w:t xml:space="preserve">ainsi </w:t>
      </w:r>
      <w:r w:rsidR="00B55830" w:rsidRPr="00E72418">
        <w:t xml:space="preserve">justiciables </w:t>
      </w:r>
      <w:r w:rsidR="000C7043" w:rsidRPr="00E72418">
        <w:t>des</w:t>
      </w:r>
      <w:r w:rsidR="00B55830" w:rsidRPr="00E72418">
        <w:t xml:space="preserve"> juridictions du Royaume-Uni les dettes souveraines dont des fonds spéculatifs poursuivraient le paiement.</w:t>
      </w:r>
    </w:p>
    <w:p w14:paraId="6B4FD311" w14:textId="6F090AFE" w:rsidR="000F20AD" w:rsidRPr="00E72418" w:rsidRDefault="000F20AD">
      <w:pPr>
        <w:jc w:val="left"/>
        <w:rPr>
          <w:rFonts w:eastAsiaTheme="majorEastAsia" w:cstheme="majorBidi"/>
          <w:i/>
          <w:iCs/>
          <w:u w:val="single"/>
        </w:rPr>
      </w:pPr>
      <w:bookmarkStart w:id="244" w:name="_Toc84540937"/>
    </w:p>
    <w:p w14:paraId="70EF6B34" w14:textId="75702BDE" w:rsidR="001E5CDB" w:rsidRPr="00E72418" w:rsidRDefault="001E5CDB" w:rsidP="009B5B86">
      <w:pPr>
        <w:pStyle w:val="GG"/>
        <w:rPr>
          <w:color w:val="auto"/>
        </w:rPr>
      </w:pPr>
      <w:r w:rsidRPr="00E72418">
        <w:rPr>
          <w:color w:val="auto"/>
        </w:rPr>
        <w:t>A.5. La particularité des mesures adoptées en relation avec les dettes souveraines</w:t>
      </w:r>
      <w:bookmarkEnd w:id="244"/>
    </w:p>
    <w:p w14:paraId="23BC48FB" w14:textId="77777777" w:rsidR="0054314B" w:rsidRPr="00E72418" w:rsidRDefault="0054314B" w:rsidP="0054314B"/>
    <w:p w14:paraId="1CBD7E7D" w14:textId="4F7BAC9D" w:rsidR="0005336B" w:rsidRPr="00E72418" w:rsidRDefault="007F038F" w:rsidP="00CC4BA8">
      <w:pPr>
        <w:spacing w:line="276" w:lineRule="auto"/>
        <w:rPr>
          <w:lang w:eastAsia="fr-BE"/>
        </w:rPr>
      </w:pPr>
      <w:r w:rsidRPr="00E72418">
        <w:rPr>
          <w:b/>
        </w:rPr>
        <w:t>215</w:t>
      </w:r>
      <w:r w:rsidR="00555B98" w:rsidRPr="00E72418">
        <w:rPr>
          <w:b/>
        </w:rPr>
        <w:t xml:space="preserve">. </w:t>
      </w:r>
      <w:r w:rsidR="008D56EA" w:rsidRPr="00E72418">
        <w:rPr>
          <w:b/>
        </w:rPr>
        <w:t xml:space="preserve">Contrats d’émission </w:t>
      </w:r>
      <w:r w:rsidR="00B06B5A" w:rsidRPr="00E72418">
        <w:rPr>
          <w:b/>
        </w:rPr>
        <w:t>et</w:t>
      </w:r>
      <w:r w:rsidR="008D56EA" w:rsidRPr="00E72418">
        <w:rPr>
          <w:b/>
        </w:rPr>
        <w:t xml:space="preserve"> mesures y relatives –</w:t>
      </w:r>
      <w:r w:rsidR="008D56EA" w:rsidRPr="00E72418">
        <w:t xml:space="preserve"> </w:t>
      </w:r>
      <w:r w:rsidR="001E5CDB" w:rsidRPr="00E72418">
        <w:t>S</w:t>
      </w:r>
      <w:r w:rsidR="00D534B9" w:rsidRPr="00E72418">
        <w:t xml:space="preserve">i l’on prête </w:t>
      </w:r>
      <w:r w:rsidR="006F1A75" w:rsidRPr="00E72418">
        <w:t xml:space="preserve">généralement </w:t>
      </w:r>
      <w:r w:rsidR="001E5CDB" w:rsidRPr="00E72418">
        <w:t xml:space="preserve">aux dettes souveraines, et singulièrement aux contrats d’émission, </w:t>
      </w:r>
      <w:r w:rsidR="0067312A" w:rsidRPr="00E72418">
        <w:t>un caractère privé privant les É</w:t>
      </w:r>
      <w:r w:rsidR="001E5CDB" w:rsidRPr="00E72418">
        <w:t xml:space="preserve">tats débiteurs de la protection immunitaire entourant les seuls actes </w:t>
      </w:r>
      <w:r w:rsidR="001E5CDB" w:rsidRPr="00E72418">
        <w:rPr>
          <w:i/>
        </w:rPr>
        <w:t>jure imperii</w:t>
      </w:r>
      <w:r w:rsidR="001E5CDB" w:rsidRPr="00E72418">
        <w:t>, la nuance prévaut à l’endroit des mesures que peuvent adopter</w:t>
      </w:r>
      <w:r w:rsidR="006E3B68" w:rsidRPr="00E72418">
        <w:t xml:space="preserve"> ce</w:t>
      </w:r>
      <w:r w:rsidR="001E5CDB" w:rsidRPr="00E72418">
        <w:t>s débiteurs particuliers en relation avec lesdites dettes.</w:t>
      </w:r>
      <w:r w:rsidR="0067312A" w:rsidRPr="00E72418">
        <w:t xml:space="preserve"> En difficulté financière, les É</w:t>
      </w:r>
      <w:r w:rsidR="001E5CDB" w:rsidRPr="00E72418">
        <w:t xml:space="preserve">tats peuvent chercher à utiliser leurs prérogatives de puissance publique afin de suspendre </w:t>
      </w:r>
      <w:r w:rsidR="008D56EA" w:rsidRPr="00E72418">
        <w:t>l’</w:t>
      </w:r>
      <w:r w:rsidR="001E5CDB" w:rsidRPr="00E72418">
        <w:t>exécution</w:t>
      </w:r>
      <w:r w:rsidR="008D56EA" w:rsidRPr="00E72418">
        <w:t xml:space="preserve"> de leur dette</w:t>
      </w:r>
      <w:r w:rsidR="001E5CDB" w:rsidRPr="00E72418">
        <w:t xml:space="preserve"> ou d’en modifier les modalités</w:t>
      </w:r>
      <w:r w:rsidR="001E5CDB" w:rsidRPr="00E72418">
        <w:rPr>
          <w:vertAlign w:val="superscript"/>
        </w:rPr>
        <w:footnoteReference w:id="1079"/>
      </w:r>
      <w:r w:rsidR="001E5CDB" w:rsidRPr="00E72418">
        <w:t>.</w:t>
      </w:r>
      <w:r w:rsidR="008D56EA" w:rsidRPr="00E72418">
        <w:t xml:space="preserve"> </w:t>
      </w:r>
      <w:r w:rsidR="0005336B" w:rsidRPr="00E72418">
        <w:t xml:space="preserve">Comme le note </w:t>
      </w:r>
      <w:r w:rsidR="003D7F91" w:rsidRPr="00E72418">
        <w:t xml:space="preserve">Manuel </w:t>
      </w:r>
      <w:r w:rsidR="0005336B" w:rsidRPr="00E72418">
        <w:t>Monteagudo, « [a] mandate to not pay the public debt must be authorized by law because, as opposed to a simple commercial failure, the act of defaulting has been characterized as a public power’s intervention to prevent the execution of a commercial obligation »</w:t>
      </w:r>
      <w:r w:rsidR="0005336B" w:rsidRPr="00E72418">
        <w:rPr>
          <w:vertAlign w:val="superscript"/>
        </w:rPr>
        <w:footnoteReference w:id="1080"/>
      </w:r>
      <w:r w:rsidR="0005336B" w:rsidRPr="00E72418">
        <w:t xml:space="preserve">. </w:t>
      </w:r>
      <w:r w:rsidR="008D56EA" w:rsidRPr="00E72418">
        <w:t>Le moratoire déclaré par l</w:t>
      </w:r>
      <w:r w:rsidR="004676DE" w:rsidRPr="00E72418">
        <w:t xml:space="preserve">a République </w:t>
      </w:r>
      <w:r w:rsidR="008D56EA" w:rsidRPr="00E72418">
        <w:t>Argentine</w:t>
      </w:r>
      <w:r w:rsidR="004676DE" w:rsidRPr="00E72418">
        <w:t xml:space="preserve"> en 2001 et l’introduction rétroactive, par la loi du 23 février 2012</w:t>
      </w:r>
      <w:r w:rsidR="006E3B68" w:rsidRPr="00E72418">
        <w:t>,</w:t>
      </w:r>
      <w:r w:rsidR="004676DE" w:rsidRPr="00E72418">
        <w:t xml:space="preserve"> d’une clause d’action collective pour les obligations soumises à la loi</w:t>
      </w:r>
      <w:r w:rsidR="00EA5E7F" w:rsidRPr="00E72418">
        <w:t xml:space="preserve"> hellé</w:t>
      </w:r>
      <w:r w:rsidR="004676DE" w:rsidRPr="00E72418">
        <w:t>nique sont tant d’exemples marquants et contemporains de mesures adoptées en relation avec les dettes souveraines</w:t>
      </w:r>
      <w:r w:rsidR="004676DE" w:rsidRPr="00E72418">
        <w:rPr>
          <w:vertAlign w:val="superscript"/>
        </w:rPr>
        <w:footnoteReference w:id="1081"/>
      </w:r>
      <w:r w:rsidR="004676DE" w:rsidRPr="00E72418">
        <w:t>.</w:t>
      </w:r>
      <w:r w:rsidR="006E3B68" w:rsidRPr="00E72418">
        <w:t xml:space="preserve"> </w:t>
      </w:r>
    </w:p>
    <w:p w14:paraId="2837380E" w14:textId="6D3A26EA" w:rsidR="001E5CDB" w:rsidRPr="00E72418" w:rsidRDefault="00006400" w:rsidP="00CC4BA8">
      <w:pPr>
        <w:spacing w:line="276" w:lineRule="auto"/>
      </w:pPr>
      <w:r w:rsidRPr="00E72418">
        <w:rPr>
          <w:lang w:eastAsia="fr-BE"/>
        </w:rPr>
        <w:t>La ligne de démarcation peut s’avérer d’une importance capitale dans le cadre des actions intentées par les fonds spéculatifs dans la mesure où, si l</w:t>
      </w:r>
      <w:r w:rsidR="006E3B68" w:rsidRPr="00E72418">
        <w:rPr>
          <w:lang w:eastAsia="fr-BE"/>
        </w:rPr>
        <w:t xml:space="preserve">’on </w:t>
      </w:r>
      <w:r w:rsidRPr="00E72418">
        <w:rPr>
          <w:lang w:eastAsia="fr-BE"/>
        </w:rPr>
        <w:t xml:space="preserve">a uniquement égard au contrat fondant leurs prétentions, </w:t>
      </w:r>
      <w:r w:rsidR="00FC4E03" w:rsidRPr="00E72418">
        <w:rPr>
          <w:lang w:eastAsia="fr-BE"/>
        </w:rPr>
        <w:t>alors l’</w:t>
      </w:r>
      <w:r w:rsidR="00FC4E03" w:rsidRPr="00E72418">
        <w:rPr>
          <w:rFonts w:ascii="Times New Roman" w:hAnsi="Times New Roman" w:cs="Times New Roman"/>
          <w:lang w:eastAsia="fr-BE"/>
        </w:rPr>
        <w:t>É</w:t>
      </w:r>
      <w:r w:rsidRPr="00E72418">
        <w:rPr>
          <w:lang w:eastAsia="fr-BE"/>
        </w:rPr>
        <w:t xml:space="preserve">tat débiteur ne saurait exciper son privilège immunitaire </w:t>
      </w:r>
      <w:r w:rsidRPr="00E72418">
        <w:rPr>
          <w:lang w:eastAsia="fr-BE"/>
        </w:rPr>
        <w:lastRenderedPageBreak/>
        <w:t xml:space="preserve">tandis que si l’attention est concentrée sur les mesures adoptées en relation avec les dettes qui, sans doute, </w:t>
      </w:r>
      <w:r w:rsidR="000A1FCB" w:rsidRPr="00E72418">
        <w:rPr>
          <w:lang w:eastAsia="fr-BE"/>
        </w:rPr>
        <w:t>encouragent</w:t>
      </w:r>
      <w:r w:rsidRPr="00E72418">
        <w:rPr>
          <w:lang w:eastAsia="fr-BE"/>
        </w:rPr>
        <w:t xml:space="preserve"> les actions intentées, alors le privilège immunitaire est apte à conférer protection au débiteur souverain</w:t>
      </w:r>
      <w:r w:rsidR="007F4164" w:rsidRPr="00E72418">
        <w:rPr>
          <w:rStyle w:val="Appelnotedebasdep"/>
          <w:lang w:eastAsia="fr-BE"/>
        </w:rPr>
        <w:footnoteReference w:id="1082"/>
      </w:r>
      <w:r w:rsidRPr="00E72418">
        <w:rPr>
          <w:lang w:eastAsia="fr-BE"/>
        </w:rPr>
        <w:t xml:space="preserve">. Cette difficulté est surmontée par </w:t>
      </w:r>
      <w:r w:rsidR="0030568D" w:rsidRPr="00E72418">
        <w:rPr>
          <w:lang w:eastAsia="fr-BE"/>
        </w:rPr>
        <w:t xml:space="preserve">Fanny </w:t>
      </w:r>
      <w:r w:rsidRPr="00E72418">
        <w:rPr>
          <w:lang w:eastAsia="fr-BE"/>
        </w:rPr>
        <w:t xml:space="preserve">Giansetto en </w:t>
      </w:r>
      <w:r w:rsidR="007731F0" w:rsidRPr="00E72418">
        <w:rPr>
          <w:lang w:eastAsia="fr-BE"/>
        </w:rPr>
        <w:t>analysant l’objet du litige et en prenant en compte la question de droit posée au juge</w:t>
      </w:r>
      <w:r w:rsidR="007731F0" w:rsidRPr="00E72418">
        <w:rPr>
          <w:rStyle w:val="Appelnotedebasdep"/>
          <w:lang w:eastAsia="fr-BE"/>
        </w:rPr>
        <w:footnoteReference w:id="1083"/>
      </w:r>
      <w:r w:rsidR="007731F0" w:rsidRPr="00E72418">
        <w:rPr>
          <w:lang w:eastAsia="fr-BE"/>
        </w:rPr>
        <w:t>. L’auteur</w:t>
      </w:r>
      <w:r w:rsidR="00DC7917" w:rsidRPr="00E72418">
        <w:rPr>
          <w:lang w:eastAsia="fr-BE"/>
        </w:rPr>
        <w:t>e</w:t>
      </w:r>
      <w:r w:rsidR="007731F0" w:rsidRPr="00E72418">
        <w:rPr>
          <w:lang w:eastAsia="fr-BE"/>
        </w:rPr>
        <w:t xml:space="preserve"> distingue</w:t>
      </w:r>
      <w:r w:rsidR="00C71292" w:rsidRPr="00E72418">
        <w:rPr>
          <w:lang w:eastAsia="fr-BE"/>
        </w:rPr>
        <w:t>, d’une part,</w:t>
      </w:r>
      <w:r w:rsidR="007731F0" w:rsidRPr="00E72418">
        <w:rPr>
          <w:lang w:eastAsia="fr-BE"/>
        </w:rPr>
        <w:t xml:space="preserve"> le cas où le contrat d’émission comporte</w:t>
      </w:r>
      <w:r w:rsidR="00C71292" w:rsidRPr="00E72418">
        <w:rPr>
          <w:lang w:eastAsia="fr-BE"/>
        </w:rPr>
        <w:t>,</w:t>
      </w:r>
      <w:r w:rsidR="007731F0" w:rsidRPr="00E72418">
        <w:rPr>
          <w:lang w:eastAsia="fr-BE"/>
        </w:rPr>
        <w:t xml:space="preserve"> comme événement de défaut</w:t>
      </w:r>
      <w:r w:rsidR="00C71292" w:rsidRPr="00E72418">
        <w:rPr>
          <w:lang w:eastAsia="fr-BE"/>
        </w:rPr>
        <w:t>,</w:t>
      </w:r>
      <w:r w:rsidR="00FC4E03" w:rsidRPr="00E72418">
        <w:rPr>
          <w:lang w:eastAsia="fr-BE"/>
        </w:rPr>
        <w:t xml:space="preserve"> l’acte normatif pris par l’</w:t>
      </w:r>
      <w:r w:rsidR="00FC4E03" w:rsidRPr="00E72418">
        <w:rPr>
          <w:rFonts w:ascii="Times New Roman" w:hAnsi="Times New Roman" w:cs="Times New Roman"/>
          <w:lang w:eastAsia="fr-BE"/>
        </w:rPr>
        <w:t>É</w:t>
      </w:r>
      <w:r w:rsidR="007731F0" w:rsidRPr="00E72418">
        <w:rPr>
          <w:lang w:eastAsia="fr-BE"/>
        </w:rPr>
        <w:t>tat de sorte que la question porte</w:t>
      </w:r>
      <w:r w:rsidR="000F5FE4">
        <w:rPr>
          <w:lang w:eastAsia="fr-BE"/>
        </w:rPr>
        <w:t xml:space="preserve"> sur le droit de créance détenu</w:t>
      </w:r>
      <w:r w:rsidR="007731F0" w:rsidRPr="00E72418">
        <w:rPr>
          <w:lang w:eastAsia="fr-BE"/>
        </w:rPr>
        <w:t xml:space="preserve"> par les obligataires</w:t>
      </w:r>
      <w:r w:rsidR="00C71292" w:rsidRPr="00E72418">
        <w:rPr>
          <w:lang w:eastAsia="fr-BE"/>
        </w:rPr>
        <w:t xml:space="preserve">, d’autre part, le </w:t>
      </w:r>
      <w:r w:rsidR="007731F0" w:rsidRPr="00E72418">
        <w:rPr>
          <w:lang w:eastAsia="fr-BE"/>
        </w:rPr>
        <w:t xml:space="preserve">cas où </w:t>
      </w:r>
      <w:r w:rsidR="00C71292" w:rsidRPr="00E72418">
        <w:rPr>
          <w:lang w:eastAsia="fr-BE"/>
        </w:rPr>
        <w:t>l’acte posé souverainement par le débiteur n’est pas listé comme événement de défaut</w:t>
      </w:r>
      <w:r w:rsidR="007731F0" w:rsidRPr="00E72418">
        <w:rPr>
          <w:lang w:eastAsia="fr-BE"/>
        </w:rPr>
        <w:t xml:space="preserve"> et où il revient </w:t>
      </w:r>
      <w:r w:rsidR="00C71292" w:rsidRPr="00E72418">
        <w:rPr>
          <w:lang w:eastAsia="fr-BE"/>
        </w:rPr>
        <w:t xml:space="preserve">donc </w:t>
      </w:r>
      <w:r w:rsidR="007731F0" w:rsidRPr="00E72418">
        <w:rPr>
          <w:lang w:eastAsia="fr-BE"/>
        </w:rPr>
        <w:t>de s’</w:t>
      </w:r>
      <w:r w:rsidR="00C71292" w:rsidRPr="00E72418">
        <w:rPr>
          <w:lang w:eastAsia="fr-BE"/>
        </w:rPr>
        <w:t xml:space="preserve">interroger sur cet </w:t>
      </w:r>
      <w:r w:rsidR="007731F0" w:rsidRPr="00E72418">
        <w:rPr>
          <w:lang w:eastAsia="fr-BE"/>
        </w:rPr>
        <w:t>acte</w:t>
      </w:r>
      <w:r w:rsidR="007731F0" w:rsidRPr="00E72418">
        <w:rPr>
          <w:rStyle w:val="Appelnotedebasdep"/>
          <w:lang w:eastAsia="fr-BE"/>
        </w:rPr>
        <w:footnoteReference w:id="1084"/>
      </w:r>
      <w:r w:rsidR="007731F0" w:rsidRPr="00E72418">
        <w:rPr>
          <w:lang w:eastAsia="fr-BE"/>
        </w:rPr>
        <w:t>.</w:t>
      </w:r>
      <w:r w:rsidR="00C71292" w:rsidRPr="00E72418">
        <w:rPr>
          <w:lang w:eastAsia="fr-BE"/>
        </w:rPr>
        <w:t xml:space="preserve"> </w:t>
      </w:r>
      <w:r w:rsidR="0030568D" w:rsidRPr="00E72418">
        <w:rPr>
          <w:lang w:eastAsia="fr-BE"/>
        </w:rPr>
        <w:t xml:space="preserve">Fanny </w:t>
      </w:r>
      <w:r w:rsidR="00C71292" w:rsidRPr="00E72418">
        <w:rPr>
          <w:lang w:eastAsia="fr-BE"/>
        </w:rPr>
        <w:t>Giansetto conclut de son analyse que « </w:t>
      </w:r>
      <w:r w:rsidR="00270304" w:rsidRPr="00E72418">
        <w:t>[l]es tribunaux internes ne pourront connaître que des questions de droit portant sur le droit de créance des obligataires, à savoir les actions intentées par les créanciers lorsque l</w:t>
      </w:r>
      <w:r w:rsidR="00FC4E03" w:rsidRPr="00E72418">
        <w:t>’</w:t>
      </w:r>
      <w:r w:rsidR="00FC4E03" w:rsidRPr="00E72418">
        <w:rPr>
          <w:rFonts w:ascii="Times New Roman" w:hAnsi="Times New Roman" w:cs="Times New Roman"/>
          <w:lang w:eastAsia="fr-BE"/>
        </w:rPr>
        <w:t>É</w:t>
      </w:r>
      <w:r w:rsidR="00270304" w:rsidRPr="00E72418">
        <w:t xml:space="preserve">tat a fait défaut en vertu du contrat d’émission </w:t>
      </w:r>
      <w:r w:rsidR="00C71292" w:rsidRPr="00E72418">
        <w:rPr>
          <w:lang w:eastAsia="fr-BE"/>
        </w:rPr>
        <w:t>»</w:t>
      </w:r>
      <w:r w:rsidR="00270304" w:rsidRPr="00E72418">
        <w:rPr>
          <w:lang w:eastAsia="fr-BE"/>
        </w:rPr>
        <w:t xml:space="preserve"> et qu’ « </w:t>
      </w:r>
      <w:r w:rsidR="00270304" w:rsidRPr="00E72418">
        <w:t>[e]</w:t>
      </w:r>
      <w:r w:rsidR="00FC4E03" w:rsidRPr="00E72418">
        <w:t>n revanche, dès lors que l’</w:t>
      </w:r>
      <w:r w:rsidR="00FC4E03" w:rsidRPr="00E72418">
        <w:rPr>
          <w:rFonts w:ascii="Times New Roman" w:hAnsi="Times New Roman" w:cs="Times New Roman"/>
          <w:lang w:eastAsia="fr-BE"/>
        </w:rPr>
        <w:t>É</w:t>
      </w:r>
      <w:r w:rsidR="00270304" w:rsidRPr="00E72418">
        <w:t>tat a modifié les contrats d’émission ou répudié sa dette, le litige portera en principe sur l’acte souverain pr</w:t>
      </w:r>
      <w:r w:rsidR="00FC4E03" w:rsidRPr="00E72418">
        <w:t>is par l’</w:t>
      </w:r>
      <w:r w:rsidR="00FC4E03" w:rsidRPr="00E72418">
        <w:rPr>
          <w:rFonts w:ascii="Times New Roman" w:hAnsi="Times New Roman" w:cs="Times New Roman"/>
          <w:lang w:eastAsia="fr-BE"/>
        </w:rPr>
        <w:t>É</w:t>
      </w:r>
      <w:r w:rsidR="00270304" w:rsidRPr="00E72418">
        <w:t>tat</w:t>
      </w:r>
      <w:r w:rsidR="00270304" w:rsidRPr="00E72418">
        <w:rPr>
          <w:lang w:eastAsia="fr-BE"/>
        </w:rPr>
        <w:t> »</w:t>
      </w:r>
      <w:r w:rsidR="00C71292" w:rsidRPr="00E72418">
        <w:rPr>
          <w:rStyle w:val="Appelnotedebasdep"/>
          <w:lang w:eastAsia="fr-BE"/>
        </w:rPr>
        <w:footnoteReference w:id="1085"/>
      </w:r>
      <w:r w:rsidR="00C71292" w:rsidRPr="00E72418">
        <w:rPr>
          <w:lang w:eastAsia="fr-BE"/>
        </w:rPr>
        <w:t>.</w:t>
      </w:r>
    </w:p>
    <w:p w14:paraId="6E5E33A0" w14:textId="1B8B4833" w:rsidR="00DC2FEE" w:rsidRPr="00E72418" w:rsidRDefault="0027647E" w:rsidP="00CC4BA8">
      <w:pPr>
        <w:spacing w:line="276" w:lineRule="auto"/>
        <w:rPr>
          <w:rFonts w:ascii="Times New Roman" w:hAnsi="Times New Roman" w:cs="Times New Roman"/>
          <w:szCs w:val="24"/>
        </w:rPr>
      </w:pPr>
      <w:r w:rsidRPr="00E72418">
        <w:rPr>
          <w:rFonts w:ascii="Times New Roman" w:hAnsi="Times New Roman" w:cs="Times New Roman"/>
          <w:szCs w:val="24"/>
        </w:rPr>
        <w:t>Sans se prononcer directement sur la singularité des contentieux relatifs aux dettes souveraines, la Cour de Justice de l’Union européenne a été amenée à se prononcer sur leur nature civile et commerciale.</w:t>
      </w:r>
      <w:r w:rsidR="00F7042B" w:rsidRPr="00E72418">
        <w:rPr>
          <w:rFonts w:ascii="Times New Roman" w:hAnsi="Times New Roman" w:cs="Times New Roman"/>
          <w:szCs w:val="24"/>
        </w:rPr>
        <w:t xml:space="preserve"> </w:t>
      </w:r>
      <w:r w:rsidR="00F7042B" w:rsidRPr="00E72418">
        <w:t>Elle</w:t>
      </w:r>
      <w:r w:rsidR="00DC2FEE" w:rsidRPr="00E72418">
        <w:t xml:space="preserve"> </w:t>
      </w:r>
      <w:r w:rsidR="00457B55" w:rsidRPr="00E72418">
        <w:t>décida</w:t>
      </w:r>
      <w:r w:rsidR="00DC2FEE" w:rsidRPr="00E72418">
        <w:t xml:space="preserve"> dans son arrêt </w:t>
      </w:r>
      <w:r w:rsidR="00DC2FEE" w:rsidRPr="00E72418">
        <w:rPr>
          <w:i/>
        </w:rPr>
        <w:t>Fahnenbrock c. République hellénique</w:t>
      </w:r>
      <w:r w:rsidR="00DC2FEE" w:rsidRPr="00E72418">
        <w:t xml:space="preserve"> de 2015 que </w:t>
      </w:r>
      <w:r w:rsidR="000D7174" w:rsidRPr="00E72418">
        <w:t>des actions juridictionnelles en indemnité pour trouble de la possession et de la propriété, en exécution contrac</w:t>
      </w:r>
      <w:r w:rsidR="005836D2" w:rsidRPr="00E72418">
        <w:t xml:space="preserve">tuelle et en dommages et </w:t>
      </w:r>
      <w:r w:rsidR="00DC2FEE" w:rsidRPr="00E72418">
        <w:t xml:space="preserve">intérêts </w:t>
      </w:r>
      <w:r w:rsidR="000D7174" w:rsidRPr="00E72418">
        <w:t>introd</w:t>
      </w:r>
      <w:r w:rsidR="00DC2FEE" w:rsidRPr="00E72418">
        <w:t>uites par des personnes privées,</w:t>
      </w:r>
      <w:r w:rsidR="000D7174" w:rsidRPr="00E72418">
        <w:t xml:space="preserve"> titulaires d’obligations </w:t>
      </w:r>
      <w:r w:rsidR="00457B55" w:rsidRPr="00E72418">
        <w:t>souveraines</w:t>
      </w:r>
      <w:r w:rsidR="000D7174" w:rsidRPr="00E72418">
        <w:t xml:space="preserve">, contre l’État émetteur, rentrent dans le champ d’application </w:t>
      </w:r>
      <w:r w:rsidR="00DC2FEE" w:rsidRPr="00E72418">
        <w:t xml:space="preserve">du règlement européen n° 1393/2007 relatif à la signification et à la notification dans les États membres des actes judiciaires et extrajudiciaires en matière civile ou commerciale </w:t>
      </w:r>
      <w:r w:rsidR="000D7174" w:rsidRPr="00E72418">
        <w:t>dans la mesure où il n’apparaît pas qu’elles ne relèvent manifestement pas de l</w:t>
      </w:r>
      <w:r w:rsidR="00DC2FEE" w:rsidRPr="00E72418">
        <w:t>a matière civile ou commerciale</w:t>
      </w:r>
      <w:r w:rsidR="00DC2FEE" w:rsidRPr="00E72418">
        <w:rPr>
          <w:rStyle w:val="Appelnotedebasdep"/>
        </w:rPr>
        <w:footnoteReference w:id="1086"/>
      </w:r>
      <w:r w:rsidR="00DC2FEE" w:rsidRPr="00E72418">
        <w:t>.</w:t>
      </w:r>
      <w:r w:rsidR="00A9512C" w:rsidRPr="00E72418">
        <w:t xml:space="preserve"> </w:t>
      </w:r>
      <w:r w:rsidR="001E6474" w:rsidRPr="00E72418">
        <w:rPr>
          <w:rFonts w:ascii="Times New Roman" w:hAnsi="Times New Roman" w:cs="Times New Roman"/>
          <w:szCs w:val="24"/>
        </w:rPr>
        <w:t xml:space="preserve">Dans cet arrêt, </w:t>
      </w:r>
      <w:r w:rsidR="00A9512C" w:rsidRPr="00E72418">
        <w:rPr>
          <w:rFonts w:ascii="Times New Roman" w:hAnsi="Times New Roman" w:cs="Times New Roman"/>
          <w:szCs w:val="24"/>
        </w:rPr>
        <w:t>la Cour décide que « la loi n</w:t>
      </w:r>
      <w:r w:rsidR="00A9512C" w:rsidRPr="00E72418">
        <w:rPr>
          <w:rFonts w:ascii="Times New Roman" w:hAnsi="Times New Roman" w:cs="Times New Roman"/>
          <w:szCs w:val="24"/>
          <w:vertAlign w:val="superscript"/>
        </w:rPr>
        <w:t>o</w:t>
      </w:r>
      <w:r w:rsidR="00A9512C" w:rsidRPr="00E72418">
        <w:rPr>
          <w:rFonts w:ascii="Times New Roman" w:hAnsi="Times New Roman" w:cs="Times New Roman"/>
          <w:szCs w:val="24"/>
        </w:rPr>
        <w:t> 4050/2012 s’inscrit dans le cadre de la gestion des finances publiques et, tout particulièrement, de la restructuration de la dette publique afin de faire face à une grave situation de crise financière et c’est à ces fins qu’elle a introduit la possibilité d’un échange des titres dans les contrats en question »</w:t>
      </w:r>
      <w:r w:rsidR="008767D4" w:rsidRPr="00E72418">
        <w:rPr>
          <w:rFonts w:ascii="Times New Roman" w:hAnsi="Times New Roman" w:cs="Times New Roman"/>
          <w:szCs w:val="24"/>
        </w:rPr>
        <w:t xml:space="preserve"> mais qu’ « </w:t>
      </w:r>
      <w:r w:rsidR="008767D4" w:rsidRPr="00E72418">
        <w:t>[i]</w:t>
      </w:r>
      <w:r w:rsidR="008767D4" w:rsidRPr="00E72418">
        <w:rPr>
          <w:rFonts w:ascii="Times New Roman" w:hAnsi="Times New Roman" w:cs="Times New Roman"/>
          <w:szCs w:val="24"/>
        </w:rPr>
        <w:t>l y a lieu cependant de relever à cet égard que</w:t>
      </w:r>
      <w:r w:rsidR="001E6474" w:rsidRPr="00E72418">
        <w:rPr>
          <w:rFonts w:ascii="Times New Roman" w:hAnsi="Times New Roman" w:cs="Times New Roman"/>
          <w:szCs w:val="24"/>
        </w:rPr>
        <w:t xml:space="preserve"> </w:t>
      </w:r>
      <w:r w:rsidR="001E6474" w:rsidRPr="00E72418">
        <w:t>[…]</w:t>
      </w:r>
      <w:r w:rsidR="008767D4" w:rsidRPr="00E72418">
        <w:rPr>
          <w:rFonts w:ascii="Times New Roman" w:hAnsi="Times New Roman" w:cs="Times New Roman"/>
          <w:szCs w:val="24"/>
        </w:rPr>
        <w:t xml:space="preserve"> la circonstance que cette possibilité ait été introduite par une loi n’est pas déterminante en soi pour conclure que l’État a exercé sa puissance publique »</w:t>
      </w:r>
      <w:r w:rsidR="008767D4" w:rsidRPr="00E72418">
        <w:rPr>
          <w:rStyle w:val="Appelnotedebasdep"/>
          <w:rFonts w:ascii="Times New Roman" w:hAnsi="Times New Roman" w:cs="Times New Roman"/>
          <w:szCs w:val="24"/>
        </w:rPr>
        <w:footnoteReference w:id="1087"/>
      </w:r>
      <w:r w:rsidR="008767D4" w:rsidRPr="00E72418">
        <w:rPr>
          <w:rFonts w:ascii="Times New Roman" w:hAnsi="Times New Roman" w:cs="Times New Roman"/>
          <w:szCs w:val="24"/>
        </w:rPr>
        <w:t>.</w:t>
      </w:r>
    </w:p>
    <w:p w14:paraId="2EEF6575" w14:textId="20DC4288" w:rsidR="00184267" w:rsidRPr="00E72418" w:rsidRDefault="000F5FE4" w:rsidP="00CC4BA8">
      <w:pPr>
        <w:spacing w:line="276" w:lineRule="auto"/>
        <w:rPr>
          <w:rFonts w:ascii="Times New Roman" w:hAnsi="Times New Roman" w:cs="Times New Roman"/>
          <w:bCs/>
          <w:szCs w:val="24"/>
        </w:rPr>
      </w:pPr>
      <w:r>
        <w:rPr>
          <w:rFonts w:ascii="Times New Roman" w:hAnsi="Times New Roman" w:cs="Times New Roman"/>
          <w:szCs w:val="24"/>
        </w:rPr>
        <w:lastRenderedPageBreak/>
        <w:t>Peu de temps après, d</w:t>
      </w:r>
      <w:r w:rsidR="002C4535" w:rsidRPr="00E72418">
        <w:rPr>
          <w:rFonts w:ascii="Times New Roman" w:hAnsi="Times New Roman" w:cs="Times New Roman"/>
          <w:szCs w:val="24"/>
        </w:rPr>
        <w:t>ans</w:t>
      </w:r>
      <w:r w:rsidR="00184267" w:rsidRPr="00E72418">
        <w:rPr>
          <w:rFonts w:ascii="Times New Roman" w:hAnsi="Times New Roman" w:cs="Times New Roman"/>
          <w:szCs w:val="24"/>
        </w:rPr>
        <w:t xml:space="preserve"> son arrêt </w:t>
      </w:r>
      <w:r w:rsidR="00184267" w:rsidRPr="00E72418">
        <w:rPr>
          <w:rFonts w:ascii="Times New Roman" w:hAnsi="Times New Roman" w:cs="Times New Roman"/>
          <w:bCs/>
          <w:i/>
          <w:szCs w:val="24"/>
        </w:rPr>
        <w:t xml:space="preserve">Hellenische Republik contre Leo Kuhn </w:t>
      </w:r>
      <w:r w:rsidR="00184267" w:rsidRPr="00E72418">
        <w:rPr>
          <w:rFonts w:ascii="Times New Roman" w:hAnsi="Times New Roman" w:cs="Times New Roman"/>
          <w:bCs/>
          <w:szCs w:val="24"/>
        </w:rPr>
        <w:t>de 2018</w:t>
      </w:r>
      <w:r w:rsidR="00DC2FEE" w:rsidRPr="00E72418">
        <w:rPr>
          <w:rFonts w:ascii="Times New Roman" w:hAnsi="Times New Roman" w:cs="Times New Roman"/>
          <w:bCs/>
          <w:szCs w:val="24"/>
        </w:rPr>
        <w:t>, l</w:t>
      </w:r>
      <w:r w:rsidR="00DC2FEE" w:rsidRPr="00E72418">
        <w:rPr>
          <w:rFonts w:ascii="Times New Roman" w:hAnsi="Times New Roman" w:cs="Times New Roman"/>
          <w:szCs w:val="24"/>
        </w:rPr>
        <w:t xml:space="preserve">a Cour de Justice de l’Union européenne </w:t>
      </w:r>
      <w:r w:rsidR="00457B55" w:rsidRPr="00E72418">
        <w:rPr>
          <w:rFonts w:ascii="Times New Roman" w:hAnsi="Times New Roman" w:cs="Times New Roman"/>
          <w:szCs w:val="24"/>
        </w:rPr>
        <w:t>jugea par contre</w:t>
      </w:r>
      <w:r w:rsidR="002C4535" w:rsidRPr="00E72418">
        <w:rPr>
          <w:rFonts w:ascii="Times New Roman" w:hAnsi="Times New Roman" w:cs="Times New Roman"/>
          <w:bCs/>
          <w:szCs w:val="24"/>
        </w:rPr>
        <w:t xml:space="preserve"> qu’un litige relatif à une action introduite par une personne physique ayant acquis des obligations émises par un État membre à l’encontre de celui-ci et tendant à contester l’échange desdites obligations contre des obligations de valeur moindre, imposé à cette personne physique par l’effet d’une loi, adoptée dans des circonstances exceptionnelles par le législateur national, en vertu de laquelle ces conditions ont été unilatéralement et rétroactivement modifiées par l’introduction d’une clause d’action collective permettant à une majorité de détenteurs des obligations concernées d’imposer cet échange à la minorité, ne relève pas de la « matière civile et commerciale », au sens de l’article 1</w:t>
      </w:r>
      <w:r w:rsidR="002C4535" w:rsidRPr="00E72418">
        <w:rPr>
          <w:rFonts w:ascii="Times New Roman" w:hAnsi="Times New Roman" w:cs="Times New Roman"/>
          <w:bCs/>
          <w:szCs w:val="24"/>
          <w:vertAlign w:val="superscript"/>
        </w:rPr>
        <w:t>er</w:t>
      </w:r>
      <w:r w:rsidR="002C4535" w:rsidRPr="00E72418">
        <w:rPr>
          <w:rFonts w:ascii="Times New Roman" w:hAnsi="Times New Roman" w:cs="Times New Roman"/>
          <w:bCs/>
          <w:szCs w:val="24"/>
        </w:rPr>
        <w:t>, paragraphe 1, du règlement</w:t>
      </w:r>
      <w:r w:rsidR="002C4535" w:rsidRPr="00E72418">
        <w:rPr>
          <w:rStyle w:val="Appelnotedebasdep"/>
          <w:rFonts w:ascii="Times New Roman" w:hAnsi="Times New Roman" w:cs="Times New Roman"/>
          <w:szCs w:val="24"/>
        </w:rPr>
        <w:t xml:space="preserve"> </w:t>
      </w:r>
      <w:r w:rsidR="002C4535" w:rsidRPr="00E72418">
        <w:rPr>
          <w:rFonts w:ascii="Times New Roman" w:hAnsi="Times New Roman" w:cs="Times New Roman"/>
          <w:szCs w:val="24"/>
        </w:rPr>
        <w:t xml:space="preserve">européen </w:t>
      </w:r>
      <w:r w:rsidR="0025053A" w:rsidRPr="00E72418">
        <w:t>n° 1215/2012 du 12 décembre 2012 concernant la compétence judiciaire, la reconnaissance et l’exécution des décisions en matière civile et commerciale,</w:t>
      </w:r>
      <w:r w:rsidR="0025053A" w:rsidRPr="00E72418">
        <w:rPr>
          <w:rFonts w:ascii="Times New Roman" w:hAnsi="Times New Roman" w:cs="Times New Roman"/>
          <w:szCs w:val="24"/>
        </w:rPr>
        <w:t xml:space="preserve"> dit</w:t>
      </w:r>
      <w:r w:rsidR="00A07260" w:rsidRPr="00E72418">
        <w:rPr>
          <w:rFonts w:ascii="Times New Roman" w:hAnsi="Times New Roman" w:cs="Times New Roman"/>
          <w:szCs w:val="24"/>
        </w:rPr>
        <w:t xml:space="preserve"> r</w:t>
      </w:r>
      <w:r w:rsidR="00B26AAE" w:rsidRPr="00E72418">
        <w:rPr>
          <w:rFonts w:ascii="Times New Roman" w:hAnsi="Times New Roman" w:cs="Times New Roman"/>
          <w:szCs w:val="24"/>
        </w:rPr>
        <w:t xml:space="preserve">èglement </w:t>
      </w:r>
      <w:r w:rsidR="002C4535" w:rsidRPr="00E72418">
        <w:rPr>
          <w:rFonts w:ascii="Times New Roman" w:hAnsi="Times New Roman" w:cs="Times New Roman"/>
          <w:szCs w:val="24"/>
        </w:rPr>
        <w:t>Bruxelles I</w:t>
      </w:r>
      <w:r w:rsidR="002C4535" w:rsidRPr="00E72418">
        <w:rPr>
          <w:rFonts w:ascii="Times New Roman" w:hAnsi="Times New Roman" w:cs="Times New Roman"/>
          <w:i/>
          <w:szCs w:val="24"/>
        </w:rPr>
        <w:t>bis</w:t>
      </w:r>
      <w:r w:rsidR="00184267" w:rsidRPr="00E72418">
        <w:rPr>
          <w:rStyle w:val="Appelnotedebasdep"/>
          <w:rFonts w:ascii="Times New Roman" w:hAnsi="Times New Roman" w:cs="Times New Roman"/>
          <w:szCs w:val="24"/>
        </w:rPr>
        <w:footnoteReference w:id="1088"/>
      </w:r>
      <w:r w:rsidR="00184267" w:rsidRPr="00E72418">
        <w:rPr>
          <w:rFonts w:ascii="Times New Roman" w:hAnsi="Times New Roman" w:cs="Times New Roman"/>
          <w:bCs/>
          <w:szCs w:val="24"/>
        </w:rPr>
        <w:t>.</w:t>
      </w:r>
    </w:p>
    <w:p w14:paraId="57E56545" w14:textId="77777777" w:rsidR="006D50CA" w:rsidRPr="00E72418" w:rsidRDefault="006D50CA" w:rsidP="0054314B"/>
    <w:p w14:paraId="679B2F52" w14:textId="2BEA4BBE" w:rsidR="0054314B" w:rsidRPr="00E72418" w:rsidRDefault="006D50CA" w:rsidP="00932D4E">
      <w:pPr>
        <w:pStyle w:val="FF"/>
        <w:numPr>
          <w:ilvl w:val="0"/>
          <w:numId w:val="2"/>
        </w:numPr>
        <w:rPr>
          <w:rStyle w:val="EECar"/>
          <w:b w:val="0"/>
          <w:color w:val="auto"/>
          <w:sz w:val="24"/>
        </w:rPr>
      </w:pPr>
      <w:bookmarkStart w:id="245" w:name="_Toc59280949"/>
      <w:bookmarkStart w:id="246" w:name="_Toc84540938"/>
      <w:r w:rsidRPr="00E72418">
        <w:rPr>
          <w:rStyle w:val="EECar"/>
          <w:b w:val="0"/>
          <w:color w:val="auto"/>
          <w:sz w:val="24"/>
        </w:rPr>
        <w:t>La renonciation</w:t>
      </w:r>
      <w:bookmarkEnd w:id="245"/>
      <w:bookmarkEnd w:id="246"/>
    </w:p>
    <w:p w14:paraId="77AA97EE" w14:textId="77777777" w:rsidR="0054314B" w:rsidRPr="00E72418" w:rsidRDefault="0054314B" w:rsidP="0054314B">
      <w:pPr>
        <w:rPr>
          <w:rStyle w:val="EECar"/>
          <w:b w:val="0"/>
          <w:color w:val="auto"/>
        </w:rPr>
      </w:pPr>
    </w:p>
    <w:p w14:paraId="7C72E612" w14:textId="42850168" w:rsidR="006D50CA" w:rsidRPr="00E72418" w:rsidRDefault="007F038F" w:rsidP="00CC4BA8">
      <w:pPr>
        <w:spacing w:line="276" w:lineRule="auto"/>
      </w:pPr>
      <w:r w:rsidRPr="00E72418">
        <w:rPr>
          <w:b/>
        </w:rPr>
        <w:t>216</w:t>
      </w:r>
      <w:r w:rsidR="00A9718E" w:rsidRPr="00E72418">
        <w:rPr>
          <w:b/>
        </w:rPr>
        <w:t xml:space="preserve">. </w:t>
      </w:r>
      <w:r w:rsidR="006D50CA" w:rsidRPr="00E72418">
        <w:rPr>
          <w:b/>
        </w:rPr>
        <w:t xml:space="preserve">La fréquence – </w:t>
      </w:r>
      <w:r w:rsidR="006D50CA" w:rsidRPr="00E72418">
        <w:t xml:space="preserve">Il est des situations </w:t>
      </w:r>
      <w:r w:rsidR="00672A81" w:rsidRPr="00E72418">
        <w:t>dans lesquelles</w:t>
      </w:r>
      <w:r w:rsidR="00692CE5" w:rsidRPr="00E72418">
        <w:t xml:space="preserve">, les débiteurs </w:t>
      </w:r>
      <w:r w:rsidR="00906C84" w:rsidRPr="00E72418">
        <w:t xml:space="preserve">souverains </w:t>
      </w:r>
      <w:r w:rsidR="00692CE5" w:rsidRPr="00E72418">
        <w:t xml:space="preserve">ayant renoncé au bénéfice immunitaire, les fonds spéculatifs cherchant à les poursuivre n’auront pas à surmonter </w:t>
      </w:r>
      <w:r w:rsidR="006D50CA" w:rsidRPr="00E72418">
        <w:t>la démarcation entre les actes de souveraineté et les actes de gestion</w:t>
      </w:r>
      <w:r w:rsidR="006D50CA" w:rsidRPr="00E72418">
        <w:rPr>
          <w:rStyle w:val="Appelnotedebasdep"/>
        </w:rPr>
        <w:footnoteReference w:id="1089"/>
      </w:r>
      <w:r w:rsidR="006D50CA" w:rsidRPr="00E72418">
        <w:t xml:space="preserve">. Ces renonciations fréquentes </w:t>
      </w:r>
      <w:r w:rsidR="006D50CA" w:rsidRPr="00E72418">
        <w:rPr>
          <w:rFonts w:cs="Times New Roman"/>
        </w:rPr>
        <w:t>dans les contrats d’émission de dette souveraine</w:t>
      </w:r>
      <w:r w:rsidR="00906C84" w:rsidRPr="00E72418">
        <w:t xml:space="preserve"> s’expliquent </w:t>
      </w:r>
      <w:r w:rsidR="006D50CA" w:rsidRPr="00E72418">
        <w:t xml:space="preserve">généralement par le souci des </w:t>
      </w:r>
      <w:r w:rsidR="006D50CA" w:rsidRPr="00E72418">
        <w:rPr>
          <w:lang w:eastAsia="fr-BE"/>
        </w:rPr>
        <w:t>É</w:t>
      </w:r>
      <w:r w:rsidR="006D50CA" w:rsidRPr="00E72418">
        <w:t>tats d’attirer les pourvoyeurs de fonds qui s’en trouveront rassurés</w:t>
      </w:r>
      <w:r w:rsidR="006D50CA" w:rsidRPr="00E72418">
        <w:rPr>
          <w:rStyle w:val="Appelnotedebasdep"/>
        </w:rPr>
        <w:footnoteReference w:id="1090"/>
      </w:r>
      <w:r w:rsidR="006D50CA" w:rsidRPr="00E72418">
        <w:t xml:space="preserve">. Cette inclination se trouve parfois renforcée par la conviction que peuvent avoir les </w:t>
      </w:r>
      <w:r w:rsidR="006D50CA" w:rsidRPr="00E72418">
        <w:rPr>
          <w:lang w:eastAsia="fr-BE"/>
        </w:rPr>
        <w:t>É</w:t>
      </w:r>
      <w:r w:rsidR="006D50CA" w:rsidRPr="00E72418">
        <w:t>tats de leur solvabilité de sorte qu’ils ne devraient pas avoir à faire face à des procès sur leur dette</w:t>
      </w:r>
      <w:r w:rsidR="006D50CA" w:rsidRPr="00E72418">
        <w:rPr>
          <w:rStyle w:val="Appelnotedebasdep"/>
        </w:rPr>
        <w:footnoteReference w:id="1091"/>
      </w:r>
      <w:r w:rsidR="006D50CA" w:rsidRPr="00E72418">
        <w:t>.</w:t>
      </w:r>
      <w:r w:rsidR="00D77A1B" w:rsidRPr="00E72418">
        <w:t xml:space="preserve"> Si l’on reprend la distinction mobilisée par </w:t>
      </w:r>
      <w:r w:rsidR="0030568D" w:rsidRPr="00E72418">
        <w:t xml:space="preserve">Fanny </w:t>
      </w:r>
      <w:r w:rsidR="00D77A1B" w:rsidRPr="00E72418">
        <w:t xml:space="preserve">Giansetto selon que </w:t>
      </w:r>
      <w:r w:rsidR="00D77A1B" w:rsidRPr="00E72418">
        <w:rPr>
          <w:lang w:eastAsia="fr-BE"/>
        </w:rPr>
        <w:t>la question de droit soumise aux juges porte sur le droit de créance des obligataires ou sur la validité de l’acte souverain, l’auteur</w:t>
      </w:r>
      <w:r w:rsidR="00DC7917" w:rsidRPr="00E72418">
        <w:rPr>
          <w:lang w:eastAsia="fr-BE"/>
        </w:rPr>
        <w:t>e</w:t>
      </w:r>
      <w:r w:rsidR="00D77A1B" w:rsidRPr="00E72418">
        <w:rPr>
          <w:lang w:eastAsia="fr-BE"/>
        </w:rPr>
        <w:t xml:space="preserve"> relève que « </w:t>
      </w:r>
      <w:r w:rsidR="00D77A1B" w:rsidRPr="00E72418">
        <w:rPr>
          <w:szCs w:val="20"/>
          <w:lang w:val="en-US"/>
        </w:rPr>
        <w:t xml:space="preserve">[d]ans l’hypothèse où </w:t>
      </w:r>
      <w:r w:rsidR="00FC4E03" w:rsidRPr="00E72418">
        <w:rPr>
          <w:szCs w:val="20"/>
          <w:lang w:val="en-US"/>
        </w:rPr>
        <w:t>l’</w:t>
      </w:r>
      <w:r w:rsidR="00FC4E03" w:rsidRPr="00E72418">
        <w:rPr>
          <w:rFonts w:ascii="Times New Roman" w:hAnsi="Times New Roman" w:cs="Times New Roman"/>
          <w:lang w:eastAsia="fr-BE"/>
        </w:rPr>
        <w:t>É</w:t>
      </w:r>
      <w:r w:rsidR="00D77A1B" w:rsidRPr="00E72418">
        <w:rPr>
          <w:szCs w:val="20"/>
          <w:lang w:val="en-US"/>
        </w:rPr>
        <w:t xml:space="preserve">tat a renoncé à son immunité de juridiction par le biais d’une clause de renonciation insérée dans le contrat d’émission, les </w:t>
      </w:r>
      <w:r w:rsidR="00D77A1B" w:rsidRPr="00E72418">
        <w:rPr>
          <w:szCs w:val="20"/>
          <w:lang w:val="en-US"/>
        </w:rPr>
        <w:lastRenderedPageBreak/>
        <w:t>tribunaux internes pourront connaître de l’ensemble des questions de droit re</w:t>
      </w:r>
      <w:r w:rsidR="00FC4E03" w:rsidRPr="00E72418">
        <w:rPr>
          <w:szCs w:val="20"/>
          <w:lang w:val="en-US"/>
        </w:rPr>
        <w:t>latives à l’insolvabilité de l’</w:t>
      </w:r>
      <w:r w:rsidR="00FC4E03" w:rsidRPr="00E72418">
        <w:rPr>
          <w:rFonts w:ascii="Times New Roman" w:hAnsi="Times New Roman" w:cs="Times New Roman"/>
          <w:lang w:eastAsia="fr-BE"/>
        </w:rPr>
        <w:t>É</w:t>
      </w:r>
      <w:r w:rsidR="00D77A1B" w:rsidRPr="00E72418">
        <w:rPr>
          <w:szCs w:val="20"/>
          <w:lang w:val="en-US"/>
        </w:rPr>
        <w:t>tat »</w:t>
      </w:r>
      <w:r w:rsidR="00D77A1B" w:rsidRPr="00E72418">
        <w:rPr>
          <w:rStyle w:val="Appelnotedebasdep"/>
          <w:szCs w:val="20"/>
          <w:lang w:val="en-US"/>
        </w:rPr>
        <w:footnoteReference w:id="1092"/>
      </w:r>
      <w:r w:rsidR="00D77A1B" w:rsidRPr="00E72418">
        <w:rPr>
          <w:szCs w:val="20"/>
          <w:lang w:val="en-US"/>
        </w:rPr>
        <w:t>.</w:t>
      </w:r>
    </w:p>
    <w:p w14:paraId="5EF14DA1" w14:textId="77777777" w:rsidR="006D50CA" w:rsidRPr="00E72418" w:rsidRDefault="006D50CA" w:rsidP="0054314B"/>
    <w:p w14:paraId="6A3BF486" w14:textId="3D13AB86" w:rsidR="00906C84" w:rsidRPr="00E72418" w:rsidRDefault="007F038F" w:rsidP="00CC4BA8">
      <w:pPr>
        <w:spacing w:line="276" w:lineRule="auto"/>
      </w:pPr>
      <w:r w:rsidRPr="00E72418">
        <w:rPr>
          <w:b/>
        </w:rPr>
        <w:t>217</w:t>
      </w:r>
      <w:r w:rsidR="00A9718E" w:rsidRPr="00E72418">
        <w:rPr>
          <w:b/>
        </w:rPr>
        <w:t xml:space="preserve">. </w:t>
      </w:r>
      <w:r w:rsidR="00906C84" w:rsidRPr="00E72418">
        <w:rPr>
          <w:b/>
        </w:rPr>
        <w:t xml:space="preserve">Une possibilité légalisée </w:t>
      </w:r>
      <w:r w:rsidR="006D50CA" w:rsidRPr="00E72418">
        <w:rPr>
          <w:b/>
        </w:rPr>
        <w:t>–</w:t>
      </w:r>
      <w:r w:rsidR="006D50CA" w:rsidRPr="00E72418">
        <w:t xml:space="preserve"> </w:t>
      </w:r>
      <w:r w:rsidR="00906C84" w:rsidRPr="00E72418">
        <w:t xml:space="preserve">Tant la Convention des Nations Unies sur les immunités juridictionnelles des </w:t>
      </w:r>
      <w:r w:rsidR="00906C84" w:rsidRPr="00E72418">
        <w:rPr>
          <w:lang w:eastAsia="fr-BE"/>
        </w:rPr>
        <w:t>É</w:t>
      </w:r>
      <w:r w:rsidR="00906C84" w:rsidRPr="00E72418">
        <w:t xml:space="preserve">tats et de leurs biens que les législations étatsunienne et britannique contiennent des dispositions réglant la possibilité pour les </w:t>
      </w:r>
      <w:r w:rsidR="00906C84" w:rsidRPr="00E72418">
        <w:rPr>
          <w:lang w:eastAsia="fr-BE"/>
        </w:rPr>
        <w:t>É</w:t>
      </w:r>
      <w:r w:rsidR="00906C84" w:rsidRPr="00E72418">
        <w:t>tats de renoncer au bénéfice immunitaire.</w:t>
      </w:r>
    </w:p>
    <w:p w14:paraId="1920AD1F" w14:textId="77777777" w:rsidR="006D50CA" w:rsidRPr="00E72418" w:rsidRDefault="006D50CA" w:rsidP="00CC4BA8">
      <w:pPr>
        <w:spacing w:line="276" w:lineRule="auto"/>
      </w:pPr>
      <w:r w:rsidRPr="00E72418">
        <w:t>L’article 7 de la Convention des Nations Unies règle la situation où l’</w:t>
      </w:r>
      <w:r w:rsidRPr="00E72418">
        <w:rPr>
          <w:lang w:eastAsia="fr-BE"/>
        </w:rPr>
        <w:t>É</w:t>
      </w:r>
      <w:r w:rsidRPr="00E72418">
        <w:t>tat donne son consentement exprès à l’exercice de la juridiction. Il y est prévu qu’un État ne peut invoquer l’immunité de juridiction dans une procédure devant un tribunal d’un autre État s’il a consenti expressément, notamment dans un contrat écrit, à l’exercice de la juridiction de ce tribunal. L’article prévoit en son second alinéa que l’accord donné par un État pour l’application de la loi d’un autre État n’est pas réputé valoir consentement à l’exercice de la juridiction des tribunaux de cet autre État.</w:t>
      </w:r>
    </w:p>
    <w:p w14:paraId="159E3C15" w14:textId="77777777" w:rsidR="006D50CA" w:rsidRPr="00E72418" w:rsidRDefault="006D50CA" w:rsidP="00CC4BA8">
      <w:pPr>
        <w:spacing w:line="276" w:lineRule="auto"/>
        <w:rPr>
          <w:rFonts w:ascii="Times New Roman" w:hAnsi="Times New Roman" w:cs="Times New Roman"/>
        </w:rPr>
      </w:pPr>
      <w:r w:rsidRPr="00E72418">
        <w:t xml:space="preserve">L’article 1605(a)(1) du </w:t>
      </w:r>
      <w:r w:rsidRPr="00E72418">
        <w:rPr>
          <w:rFonts w:cs="Times New Roman"/>
          <w:i/>
          <w:szCs w:val="24"/>
        </w:rPr>
        <w:t>Foreign Sovereign Immunities Act</w:t>
      </w:r>
      <w:r w:rsidRPr="00E72418">
        <w:t xml:space="preserve"> </w:t>
      </w:r>
      <w:r w:rsidR="00906C84" w:rsidRPr="00E72418">
        <w:t>étatsunien prévoit quant à lui qu’</w:t>
      </w:r>
      <w:r w:rsidRPr="00E72418">
        <w:t xml:space="preserve"> « </w:t>
      </w:r>
      <w:r w:rsidRPr="00E72418">
        <w:rPr>
          <w:rFonts w:ascii="Times New Roman" w:hAnsi="Times New Roman" w:cs="Times New Roman"/>
        </w:rPr>
        <w:t xml:space="preserve">[a] </w:t>
      </w:r>
      <w:r w:rsidRPr="00E72418">
        <w:t>foreign </w:t>
      </w:r>
      <w:hyperlink r:id="rId24" w:history="1">
        <w:r w:rsidRPr="00E72418">
          <w:t>state</w:t>
        </w:r>
      </w:hyperlink>
      <w:r w:rsidRPr="00E72418">
        <w:t> shall not be immune from the jurisdiction of</w:t>
      </w:r>
      <w:hyperlink r:id="rId25" w:history="1">
        <w:r w:rsidRPr="00E72418">
          <w:t> courts </w:t>
        </w:r>
      </w:hyperlink>
      <w:r w:rsidRPr="00E72418">
        <w:t>of the </w:t>
      </w:r>
      <w:hyperlink r:id="rId26" w:history="1">
        <w:r w:rsidRPr="00E72418">
          <w:t>United States</w:t>
        </w:r>
      </w:hyperlink>
      <w:r w:rsidRPr="00E72418">
        <w:t> or of the</w:t>
      </w:r>
      <w:hyperlink r:id="rId27" w:history="1">
        <w:r w:rsidRPr="00E72418">
          <w:t> States</w:t>
        </w:r>
      </w:hyperlink>
      <w:r w:rsidRPr="00E72418">
        <w:t xml:space="preserve"> in any case in which the foreign </w:t>
      </w:r>
      <w:hyperlink r:id="rId28" w:history="1">
        <w:r w:rsidRPr="00E72418">
          <w:t>state</w:t>
        </w:r>
      </w:hyperlink>
      <w:r w:rsidRPr="00E72418">
        <w:t> has waived its immunity either explicitly or by implication, notwithstanding any withdrawal of the waiver which the foreign </w:t>
      </w:r>
      <w:hyperlink r:id="rId29" w:history="1">
        <w:r w:rsidRPr="00E72418">
          <w:t>state</w:t>
        </w:r>
      </w:hyperlink>
      <w:r w:rsidRPr="00E72418">
        <w:t> may purport to effect except in accordance with the terms of the waiver ».</w:t>
      </w:r>
      <w:r w:rsidR="00906C84" w:rsidRPr="00E72418">
        <w:rPr>
          <w:rFonts w:ascii="Times New Roman" w:hAnsi="Times New Roman" w:cs="Times New Roman"/>
        </w:rPr>
        <w:t xml:space="preserve"> I</w:t>
      </w:r>
      <w:r w:rsidRPr="00E72418">
        <w:t xml:space="preserve">l </w:t>
      </w:r>
      <w:r w:rsidR="00906C84" w:rsidRPr="00E72418">
        <w:t>est</w:t>
      </w:r>
      <w:r w:rsidRPr="00E72418">
        <w:t xml:space="preserve"> </w:t>
      </w:r>
      <w:r w:rsidR="00906C84" w:rsidRPr="00E72418">
        <w:t xml:space="preserve">ainsi </w:t>
      </w:r>
      <w:r w:rsidRPr="00E72418">
        <w:t xml:space="preserve">impossible pour une juridiction d’accorder le bénéfice de l’immunité à un </w:t>
      </w:r>
      <w:r w:rsidRPr="00E72418">
        <w:rPr>
          <w:lang w:eastAsia="fr-BE"/>
        </w:rPr>
        <w:t>Ét</w:t>
      </w:r>
      <w:r w:rsidRPr="00E72418">
        <w:t>at souverain qui y aurait renoncé</w:t>
      </w:r>
      <w:r w:rsidRPr="00E72418">
        <w:rPr>
          <w:rStyle w:val="Appelnotedebasdep"/>
        </w:rPr>
        <w:footnoteReference w:id="1093"/>
      </w:r>
      <w:r w:rsidRPr="00E72418">
        <w:t xml:space="preserve">. </w:t>
      </w:r>
      <w:r w:rsidRPr="00E72418">
        <w:rPr>
          <w:szCs w:val="24"/>
        </w:rPr>
        <w:t xml:space="preserve">La renonciation à l’immunité de juridiction est en principe irrévocable sauf si elle intervient dans le respect des conditions posées par la clause </w:t>
      </w:r>
      <w:r w:rsidR="00906C84" w:rsidRPr="00E72418">
        <w:rPr>
          <w:szCs w:val="24"/>
        </w:rPr>
        <w:t>la reprenant</w:t>
      </w:r>
      <w:r w:rsidRPr="00E72418">
        <w:rPr>
          <w:rStyle w:val="Appelnotedebasdep"/>
          <w:szCs w:val="24"/>
        </w:rPr>
        <w:footnoteReference w:id="1094"/>
      </w:r>
      <w:r w:rsidRPr="00E72418">
        <w:rPr>
          <w:szCs w:val="24"/>
        </w:rPr>
        <w:t>.</w:t>
      </w:r>
    </w:p>
    <w:p w14:paraId="72739F7B" w14:textId="77777777" w:rsidR="006D50CA" w:rsidRPr="00E72418" w:rsidRDefault="00906C84" w:rsidP="00CC4BA8">
      <w:pPr>
        <w:spacing w:line="276" w:lineRule="auto"/>
        <w:rPr>
          <w:rFonts w:ascii="Times New Roman" w:hAnsi="Times New Roman" w:cs="Times New Roman"/>
          <w:szCs w:val="24"/>
        </w:rPr>
      </w:pPr>
      <w:r w:rsidRPr="00E72418">
        <w:t>Finalement, l</w:t>
      </w:r>
      <w:r w:rsidR="006D50CA" w:rsidRPr="00E72418">
        <w:t xml:space="preserve">e </w:t>
      </w:r>
      <w:r w:rsidR="006D50CA" w:rsidRPr="00E72418">
        <w:rPr>
          <w:i/>
        </w:rPr>
        <w:t>State Immunity Act</w:t>
      </w:r>
      <w:r w:rsidR="006D50CA" w:rsidRPr="00E72418">
        <w:t xml:space="preserve"> britannique, en son article 2, envisage la situation d’une renonciation par l’État débiteur au bénéfice de son immunité. </w:t>
      </w:r>
      <w:r w:rsidRPr="00E72418">
        <w:t>Ainsi l’article 2(1) prévoit qu’</w:t>
      </w:r>
      <w:r w:rsidR="006D50CA" w:rsidRPr="00E72418">
        <w:t xml:space="preserve"> « [a] State is not immune as respects proceedings in respect of which it has submitted to the jurisdiction of the courts of the United Kingdom » tandis que l’article 2(2) dispose qu’ « </w:t>
      </w:r>
      <w:r w:rsidR="006D50CA" w:rsidRPr="00E72418">
        <w:rPr>
          <w:rFonts w:ascii="Times New Roman" w:hAnsi="Times New Roman"/>
        </w:rPr>
        <w:t>[a]</w:t>
      </w:r>
      <w:r w:rsidR="006D50CA" w:rsidRPr="00E72418">
        <w:rPr>
          <w:shd w:val="clear" w:color="auto" w:fill="FFFFFF"/>
        </w:rPr>
        <w:t xml:space="preserve"> State may submit after the dispute giving rise to the proceedings has arisen or by a prior written agreement; but a provision in any agreement that it is to be governed by the law of the United Kingdom is not to be regarded as a submission </w:t>
      </w:r>
      <w:r w:rsidR="006D50CA" w:rsidRPr="00E72418">
        <w:t>»</w:t>
      </w:r>
      <w:r w:rsidR="006D50CA" w:rsidRPr="00E72418">
        <w:rPr>
          <w:shd w:val="clear" w:color="auto" w:fill="FFFFFF"/>
        </w:rPr>
        <w:t>.</w:t>
      </w:r>
    </w:p>
    <w:p w14:paraId="117C5FF5" w14:textId="0E8312BC" w:rsidR="00FE1596" w:rsidRPr="00E72418" w:rsidRDefault="00FE1596" w:rsidP="0054314B">
      <w:pPr>
        <w:rPr>
          <w:lang w:eastAsia="fr-BE"/>
        </w:rPr>
      </w:pPr>
      <w:bookmarkStart w:id="247" w:name="_Toc47442832"/>
      <w:bookmarkStart w:id="248" w:name="_Toc59280950"/>
    </w:p>
    <w:p w14:paraId="7B0A1858" w14:textId="757480C1" w:rsidR="006D50CA" w:rsidRPr="00E72418" w:rsidRDefault="000764CE" w:rsidP="00CC4BA8">
      <w:pPr>
        <w:pStyle w:val="EE"/>
        <w:spacing w:line="276" w:lineRule="auto"/>
        <w:jc w:val="left"/>
        <w:rPr>
          <w:rFonts w:eastAsia="Times New Roman"/>
          <w:lang w:eastAsia="fr-BE"/>
        </w:rPr>
      </w:pPr>
      <w:bookmarkStart w:id="249" w:name="_Toc84540939"/>
      <w:r w:rsidRPr="00E72418">
        <w:rPr>
          <w:rFonts w:eastAsia="Times New Roman"/>
          <w:lang w:eastAsia="fr-BE"/>
        </w:rPr>
        <w:t xml:space="preserve">Sous-section 2 : </w:t>
      </w:r>
      <w:r w:rsidR="006D50CA" w:rsidRPr="00E72418">
        <w:rPr>
          <w:rFonts w:eastAsia="Times New Roman"/>
          <w:lang w:eastAsia="fr-BE"/>
        </w:rPr>
        <w:t>L’immunité d’exécution</w:t>
      </w:r>
      <w:bookmarkEnd w:id="247"/>
      <w:bookmarkEnd w:id="248"/>
      <w:bookmarkEnd w:id="249"/>
      <w:r w:rsidR="006D50CA" w:rsidRPr="00E72418">
        <w:rPr>
          <w:rFonts w:eastAsia="Times New Roman"/>
          <w:lang w:eastAsia="fr-BE"/>
        </w:rPr>
        <w:t xml:space="preserve"> </w:t>
      </w:r>
    </w:p>
    <w:p w14:paraId="4D54EDCA" w14:textId="77777777" w:rsidR="006D50CA" w:rsidRPr="00E72418" w:rsidRDefault="006D50CA" w:rsidP="0054314B"/>
    <w:p w14:paraId="4E33481B" w14:textId="60368CBA" w:rsidR="00DD1F52" w:rsidRPr="00E72418" w:rsidRDefault="007F038F" w:rsidP="00CC4BA8">
      <w:pPr>
        <w:spacing w:line="276" w:lineRule="auto"/>
      </w:pPr>
      <w:r w:rsidRPr="00E72418">
        <w:rPr>
          <w:b/>
        </w:rPr>
        <w:t>218</w:t>
      </w:r>
      <w:r w:rsidR="00A9718E" w:rsidRPr="00E72418">
        <w:rPr>
          <w:b/>
        </w:rPr>
        <w:t xml:space="preserve">. </w:t>
      </w:r>
      <w:r w:rsidR="001E4508" w:rsidRPr="00E72418">
        <w:rPr>
          <w:b/>
        </w:rPr>
        <w:t xml:space="preserve">Une </w:t>
      </w:r>
      <w:r w:rsidR="00DD1F52" w:rsidRPr="00E72418">
        <w:rPr>
          <w:b/>
        </w:rPr>
        <w:t>plus large portée</w:t>
      </w:r>
      <w:r w:rsidR="0041512C" w:rsidRPr="00E72418">
        <w:rPr>
          <w:b/>
        </w:rPr>
        <w:t xml:space="preserve">, néanmoins relative </w:t>
      </w:r>
      <w:r w:rsidR="001E4508" w:rsidRPr="00E72418">
        <w:rPr>
          <w:b/>
        </w:rPr>
        <w:t>–</w:t>
      </w:r>
      <w:r w:rsidR="001E4508" w:rsidRPr="00E72418">
        <w:t xml:space="preserve"> Une fois la condamnation de leur débiteur obtenue, les </w:t>
      </w:r>
      <w:r w:rsidR="00B41CCF" w:rsidRPr="00E72418">
        <w:t>fonds spéculant</w:t>
      </w:r>
      <w:r w:rsidR="001E4508" w:rsidRPr="00E72418">
        <w:t xml:space="preserve"> sur les dettes souveraines doivent la faire exécuter. Cette exécution pourrait être compliquée par l’obstacle de l’immunité d’exécution dont bénéficient les </w:t>
      </w:r>
      <w:r w:rsidR="001E4508" w:rsidRPr="00E72418">
        <w:rPr>
          <w:lang w:eastAsia="fr-BE"/>
        </w:rPr>
        <w:t>É</w:t>
      </w:r>
      <w:r w:rsidR="001E4508" w:rsidRPr="00E72418">
        <w:t xml:space="preserve">tats. Et </w:t>
      </w:r>
      <w:r w:rsidR="001E4508" w:rsidRPr="00E72418">
        <w:lastRenderedPageBreak/>
        <w:t>l’obstacle sera d’autant plus important que cette immunité est plus large que l’immunité de juridiction</w:t>
      </w:r>
      <w:r w:rsidR="0001676A" w:rsidRPr="00E72418">
        <w:rPr>
          <w:rStyle w:val="Appelnotedebasdep"/>
        </w:rPr>
        <w:footnoteReference w:id="1095"/>
      </w:r>
      <w:r w:rsidR="001E4508" w:rsidRPr="00E72418">
        <w:t xml:space="preserve">. Cette </w:t>
      </w:r>
      <w:r w:rsidR="00626820" w:rsidRPr="00E72418">
        <w:t>portée</w:t>
      </w:r>
      <w:r w:rsidR="001E4508" w:rsidRPr="00E72418">
        <w:t xml:space="preserve"> accrue s’explique par le fait que l’exécution sur les biens d’un </w:t>
      </w:r>
      <w:r w:rsidR="001E4508" w:rsidRPr="00E72418">
        <w:rPr>
          <w:lang w:eastAsia="fr-BE"/>
        </w:rPr>
        <w:t>É</w:t>
      </w:r>
      <w:r w:rsidR="001E4508" w:rsidRPr="00E72418">
        <w:t>tat est plus attentatoire à sa souveraineté que ne l’est la prononciation d’une décision à son encontre</w:t>
      </w:r>
      <w:r w:rsidR="001E4508" w:rsidRPr="00E72418">
        <w:rPr>
          <w:rStyle w:val="Appelnotedebasdep"/>
        </w:rPr>
        <w:footnoteReference w:id="1096"/>
      </w:r>
      <w:r w:rsidR="001E4508" w:rsidRPr="00E72418">
        <w:t xml:space="preserve">. </w:t>
      </w:r>
      <w:r w:rsidR="00FE5E10" w:rsidRPr="00E72418">
        <w:t xml:space="preserve">Aussi, le fait que les </w:t>
      </w:r>
      <w:r w:rsidR="00FE5E10" w:rsidRPr="00E72418">
        <w:rPr>
          <w:lang w:eastAsia="fr-BE"/>
        </w:rPr>
        <w:t>É</w:t>
      </w:r>
      <w:r w:rsidR="00FE5E10" w:rsidRPr="00E72418">
        <w:t>tats ne puissent pas avoir accès au régime de la faillite les rend généralement plus vulnérables</w:t>
      </w:r>
      <w:r w:rsidR="00FE5E10" w:rsidRPr="00E72418">
        <w:rPr>
          <w:rStyle w:val="Appelnotedebasdep"/>
        </w:rPr>
        <w:footnoteReference w:id="1097"/>
      </w:r>
      <w:r w:rsidR="00FE5E10" w:rsidRPr="00E72418">
        <w:t>.</w:t>
      </w:r>
    </w:p>
    <w:p w14:paraId="206218F7" w14:textId="77777777" w:rsidR="004D010B" w:rsidRPr="00E72418" w:rsidRDefault="00C609A1" w:rsidP="00CC4BA8">
      <w:pPr>
        <w:spacing w:line="276" w:lineRule="auto"/>
      </w:pPr>
      <w:r w:rsidRPr="00E72418">
        <w:t>Quoi</w:t>
      </w:r>
      <w:r w:rsidR="00A726F9" w:rsidRPr="00E72418">
        <w:t xml:space="preserve">que plus </w:t>
      </w:r>
      <w:r w:rsidR="006118DB" w:rsidRPr="00E72418">
        <w:t>étendue</w:t>
      </w:r>
      <w:r w:rsidR="00A726F9" w:rsidRPr="00E72418">
        <w:t xml:space="preserve"> que l’immunité de juridiction, </w:t>
      </w:r>
      <w:r w:rsidR="001E4508" w:rsidRPr="00E72418">
        <w:t>la règle généralement retenue</w:t>
      </w:r>
      <w:r w:rsidRPr="00E72418">
        <w:t xml:space="preserve"> aujourd’hui</w:t>
      </w:r>
      <w:r w:rsidR="0041512C" w:rsidRPr="00E72418">
        <w:t xml:space="preserve"> en matière d’immunité d’exécution</w:t>
      </w:r>
      <w:r w:rsidR="001E4508" w:rsidRPr="00E72418">
        <w:t xml:space="preserve"> est </w:t>
      </w:r>
      <w:r w:rsidRPr="00E72418">
        <w:t xml:space="preserve">également </w:t>
      </w:r>
      <w:r w:rsidR="0041512C" w:rsidRPr="00E72418">
        <w:t xml:space="preserve">celle de sa relativité. </w:t>
      </w:r>
      <w:r w:rsidR="00626820" w:rsidRPr="00E72418">
        <w:t>Celle-ci</w:t>
      </w:r>
      <w:r w:rsidR="008D47E0" w:rsidRPr="00E72418">
        <w:t xml:space="preserve"> est notamment évoquée dans l’</w:t>
      </w:r>
      <w:r w:rsidR="00A42868" w:rsidRPr="00E72418">
        <w:t xml:space="preserve">arrêt </w:t>
      </w:r>
      <w:r w:rsidR="00A42868" w:rsidRPr="00E72418">
        <w:rPr>
          <w:i/>
        </w:rPr>
        <w:t xml:space="preserve">Immunités juridictionnelles de l’État (Allemagne c. Italie ; Grèce (intervenant)) </w:t>
      </w:r>
      <w:r w:rsidR="008D47E0" w:rsidRPr="00E72418">
        <w:t>de la Cour internationale de Justice</w:t>
      </w:r>
      <w:r w:rsidR="00C13154" w:rsidRPr="00E72418">
        <w:t xml:space="preserve"> où il est expliqué qu’ « il existe au minimum une condition qui doit être remplie pour qu’une mesure de contrainte puisse être prise à l’ég</w:t>
      </w:r>
      <w:r w:rsidR="007068F1" w:rsidRPr="00E72418">
        <w:t xml:space="preserve">ard d’un bien appartenant à un </w:t>
      </w:r>
      <w:r w:rsidR="007068F1" w:rsidRPr="00E72418">
        <w:rPr>
          <w:lang w:eastAsia="fr-BE"/>
        </w:rPr>
        <w:t>É</w:t>
      </w:r>
      <w:r w:rsidR="00C13154" w:rsidRPr="00E72418">
        <w:t>tat étranger</w:t>
      </w:r>
      <w:r w:rsidR="007068F1" w:rsidRPr="00E72418">
        <w:t xml:space="preserve"> </w:t>
      </w:r>
      <w:r w:rsidR="00C13154" w:rsidRPr="00E72418">
        <w:t xml:space="preserve">: que le bien en cause soit utilisé pour les besoins d’une activité ne poursuivant pas des fins de service public non commerciales, ou que </w:t>
      </w:r>
      <w:r w:rsidR="007068F1" w:rsidRPr="00E72418">
        <w:t>l’</w:t>
      </w:r>
      <w:r w:rsidR="007068F1" w:rsidRPr="00E72418">
        <w:rPr>
          <w:lang w:eastAsia="fr-BE"/>
        </w:rPr>
        <w:t>É</w:t>
      </w:r>
      <w:r w:rsidR="00C13154" w:rsidRPr="00E72418">
        <w:t>tat propriétaire ait expressément consenti à l’application d’une mesure de</w:t>
      </w:r>
      <w:r w:rsidR="007068F1" w:rsidRPr="00E72418">
        <w:t xml:space="preserve"> contrainte, ou encore que cet </w:t>
      </w:r>
      <w:r w:rsidR="007068F1" w:rsidRPr="00E72418">
        <w:rPr>
          <w:lang w:eastAsia="fr-BE"/>
        </w:rPr>
        <w:t>É</w:t>
      </w:r>
      <w:r w:rsidR="00C13154" w:rsidRPr="00E72418">
        <w:t>tat ait réservé le bien en cause à la satisfaction d’une demande en justice »</w:t>
      </w:r>
      <w:r w:rsidR="00A42868" w:rsidRPr="00E72418">
        <w:rPr>
          <w:rStyle w:val="Appelnotedebasdep"/>
        </w:rPr>
        <w:footnoteReference w:id="1098"/>
      </w:r>
      <w:r w:rsidR="00A42868" w:rsidRPr="00E72418">
        <w:t xml:space="preserve">. </w:t>
      </w:r>
    </w:p>
    <w:p w14:paraId="6E647772" w14:textId="77777777" w:rsidR="00F56AD6" w:rsidRPr="00E72418" w:rsidRDefault="004D010B" w:rsidP="00CC4BA8">
      <w:pPr>
        <w:spacing w:line="276" w:lineRule="auto"/>
      </w:pPr>
      <w:r w:rsidRPr="00E72418">
        <w:t>Participant de la même relativité, bien que</w:t>
      </w:r>
      <w:r w:rsidR="00C20F23" w:rsidRPr="00E72418">
        <w:rPr>
          <w:rFonts w:ascii="Times-Roman" w:hAnsi="Times-Roman" w:cs="Times-Roman"/>
          <w:szCs w:val="24"/>
        </w:rPr>
        <w:t xml:space="preserve"> le principe retenu par la Convention </w:t>
      </w:r>
      <w:r w:rsidR="00C13154" w:rsidRPr="00E72418">
        <w:t xml:space="preserve">des Nations Unies sur les immunités juridictionnelles des </w:t>
      </w:r>
      <w:r w:rsidR="00C13154" w:rsidRPr="00E72418">
        <w:rPr>
          <w:lang w:eastAsia="fr-BE"/>
        </w:rPr>
        <w:t>É</w:t>
      </w:r>
      <w:r w:rsidR="00C13154" w:rsidRPr="00E72418">
        <w:t xml:space="preserve">tats et de leurs biens </w:t>
      </w:r>
      <w:r w:rsidR="00C20F23" w:rsidRPr="00E72418">
        <w:rPr>
          <w:rFonts w:ascii="Times-Roman" w:hAnsi="Times-Roman" w:cs="Times-Roman"/>
          <w:szCs w:val="24"/>
        </w:rPr>
        <w:t xml:space="preserve">est que les biens d’un </w:t>
      </w:r>
      <w:r w:rsidR="00C20F23" w:rsidRPr="00E72418">
        <w:rPr>
          <w:lang w:eastAsia="fr-BE"/>
        </w:rPr>
        <w:t>É</w:t>
      </w:r>
      <w:r w:rsidR="00C20F23" w:rsidRPr="00E72418">
        <w:rPr>
          <w:rFonts w:ascii="Times-Roman" w:hAnsi="Times-Roman" w:cs="Times-Roman"/>
          <w:szCs w:val="24"/>
        </w:rPr>
        <w:t>tat ne peuvent subir de mesures de contrainte, des exceptions y sont toutefois posées</w:t>
      </w:r>
      <w:r w:rsidR="006118DB" w:rsidRPr="00E72418">
        <w:rPr>
          <w:rFonts w:ascii="Times-Roman" w:hAnsi="Times-Roman" w:cs="Times-Roman"/>
          <w:szCs w:val="24"/>
        </w:rPr>
        <w:t xml:space="preserve"> conduisant à retenir que l’immunité d’exécution consacrée </w:t>
      </w:r>
      <w:r w:rsidRPr="00E72418">
        <w:rPr>
          <w:rFonts w:ascii="Times-Roman" w:hAnsi="Times-Roman" w:cs="Times-Roman"/>
          <w:szCs w:val="24"/>
        </w:rPr>
        <w:t>n’est pas absolue</w:t>
      </w:r>
      <w:r w:rsidR="00C13154" w:rsidRPr="00E72418">
        <w:rPr>
          <w:rStyle w:val="Appelnotedebasdep"/>
          <w:rFonts w:ascii="Times-Roman" w:hAnsi="Times-Roman" w:cs="Times-Roman"/>
          <w:szCs w:val="24"/>
        </w:rPr>
        <w:footnoteReference w:id="1099"/>
      </w:r>
      <w:r w:rsidR="00C20F23" w:rsidRPr="00E72418">
        <w:rPr>
          <w:rFonts w:ascii="Times-Roman" w:hAnsi="Times-Roman" w:cs="Times-Roman"/>
          <w:szCs w:val="24"/>
        </w:rPr>
        <w:t>.</w:t>
      </w:r>
      <w:r w:rsidR="006118DB" w:rsidRPr="00E72418">
        <w:t xml:space="preserve"> </w:t>
      </w:r>
    </w:p>
    <w:p w14:paraId="1F4747B4" w14:textId="77777777" w:rsidR="0041512C" w:rsidRPr="00E72418" w:rsidRDefault="00F918AA" w:rsidP="00CC4BA8">
      <w:pPr>
        <w:spacing w:line="276" w:lineRule="auto"/>
      </w:pPr>
      <w:r w:rsidRPr="00E72418">
        <w:rPr>
          <w:rFonts w:ascii="Times New Roman" w:hAnsi="Times New Roman" w:cs="Times New Roman"/>
          <w:szCs w:val="24"/>
        </w:rPr>
        <w:t>Les légis</w:t>
      </w:r>
      <w:r w:rsidR="006118DB" w:rsidRPr="00E72418">
        <w:rPr>
          <w:rFonts w:ascii="Times New Roman" w:hAnsi="Times New Roman" w:cs="Times New Roman"/>
          <w:szCs w:val="24"/>
        </w:rPr>
        <w:t>l</w:t>
      </w:r>
      <w:r w:rsidRPr="00E72418">
        <w:rPr>
          <w:rFonts w:ascii="Times New Roman" w:hAnsi="Times New Roman" w:cs="Times New Roman"/>
          <w:szCs w:val="24"/>
        </w:rPr>
        <w:t xml:space="preserve">ations nationales des </w:t>
      </w:r>
      <w:r w:rsidRPr="00E72418">
        <w:rPr>
          <w:rFonts w:ascii="Times New Roman" w:hAnsi="Times New Roman" w:cs="Times New Roman"/>
          <w:szCs w:val="24"/>
          <w:lang w:eastAsia="fr-BE"/>
        </w:rPr>
        <w:t>É</w:t>
      </w:r>
      <w:r w:rsidRPr="00E72418">
        <w:rPr>
          <w:rFonts w:ascii="Times New Roman" w:hAnsi="Times New Roman" w:cs="Times New Roman"/>
          <w:szCs w:val="24"/>
        </w:rPr>
        <w:t xml:space="preserve">tats intéressant notre propos </w:t>
      </w:r>
      <w:r w:rsidRPr="00E72418">
        <w:rPr>
          <w:rFonts w:ascii="Times New Roman" w:hAnsi="Times New Roman" w:cs="Times New Roman"/>
          <w:szCs w:val="24"/>
          <w:shd w:val="clear" w:color="auto" w:fill="FFFFFF"/>
        </w:rPr>
        <w:t xml:space="preserve">reprennent </w:t>
      </w:r>
      <w:r w:rsidR="006118DB" w:rsidRPr="00E72418">
        <w:rPr>
          <w:rFonts w:ascii="Times New Roman" w:hAnsi="Times New Roman" w:cs="Times New Roman"/>
          <w:szCs w:val="24"/>
          <w:shd w:val="clear" w:color="auto" w:fill="FFFFFF"/>
        </w:rPr>
        <w:t xml:space="preserve">également </w:t>
      </w:r>
      <w:r w:rsidRPr="00E72418">
        <w:rPr>
          <w:rFonts w:ascii="Times New Roman" w:hAnsi="Times New Roman" w:cs="Times New Roman"/>
          <w:szCs w:val="24"/>
          <w:shd w:val="clear" w:color="auto" w:fill="FFFFFF"/>
        </w:rPr>
        <w:t xml:space="preserve">la </w:t>
      </w:r>
      <w:r w:rsidR="00626820" w:rsidRPr="00E72418">
        <w:rPr>
          <w:rFonts w:ascii="Times New Roman" w:hAnsi="Times New Roman" w:cs="Times New Roman"/>
          <w:szCs w:val="24"/>
          <w:shd w:val="clear" w:color="auto" w:fill="FFFFFF"/>
        </w:rPr>
        <w:t>règle</w:t>
      </w:r>
      <w:r w:rsidRPr="00E72418">
        <w:rPr>
          <w:rFonts w:ascii="Times New Roman" w:hAnsi="Times New Roman" w:cs="Times New Roman"/>
          <w:szCs w:val="24"/>
          <w:shd w:val="clear" w:color="auto" w:fill="FFFFFF"/>
        </w:rPr>
        <w:t xml:space="preserve"> de l’immunité relative à l’endroit de l’exécution.</w:t>
      </w:r>
      <w:r w:rsidRPr="00E72418">
        <w:rPr>
          <w:rFonts w:ascii="Times New Roman" w:hAnsi="Times New Roman" w:cs="Times New Roman"/>
          <w:szCs w:val="24"/>
        </w:rPr>
        <w:t xml:space="preserve"> </w:t>
      </w:r>
      <w:r w:rsidR="00626820" w:rsidRPr="00E72418">
        <w:rPr>
          <w:rFonts w:ascii="Times New Roman" w:hAnsi="Times New Roman" w:cs="Times New Roman"/>
          <w:szCs w:val="24"/>
        </w:rPr>
        <w:t>D’abord, l</w:t>
      </w:r>
      <w:r w:rsidR="0041512C" w:rsidRPr="00E72418">
        <w:rPr>
          <w:rFonts w:ascii="Times New Roman" w:hAnsi="Times New Roman" w:cs="Times New Roman"/>
          <w:szCs w:val="24"/>
        </w:rPr>
        <w:t xml:space="preserve">’article 1609 du </w:t>
      </w:r>
      <w:r w:rsidR="0041512C" w:rsidRPr="00E72418">
        <w:rPr>
          <w:rFonts w:ascii="Times New Roman" w:hAnsi="Times New Roman" w:cs="Times New Roman"/>
          <w:i/>
          <w:szCs w:val="24"/>
        </w:rPr>
        <w:t>Foreign Sovereign Immunities Act</w:t>
      </w:r>
      <w:r w:rsidR="0041512C" w:rsidRPr="00E72418">
        <w:rPr>
          <w:rFonts w:ascii="Times New Roman" w:hAnsi="Times New Roman" w:cs="Times New Roman"/>
          <w:szCs w:val="24"/>
        </w:rPr>
        <w:t xml:space="preserve"> </w:t>
      </w:r>
      <w:r w:rsidRPr="00E72418">
        <w:rPr>
          <w:rFonts w:ascii="Times New Roman" w:hAnsi="Times New Roman" w:cs="Times New Roman"/>
          <w:szCs w:val="24"/>
        </w:rPr>
        <w:t xml:space="preserve">étatsunien </w:t>
      </w:r>
      <w:r w:rsidRPr="00E72418">
        <w:rPr>
          <w:rFonts w:ascii="Times New Roman" w:hAnsi="Times New Roman" w:cs="Times New Roman"/>
          <w:szCs w:val="24"/>
          <w:shd w:val="clear" w:color="auto" w:fill="FFFFFF"/>
        </w:rPr>
        <w:t>prévoit</w:t>
      </w:r>
      <w:r w:rsidR="0041512C" w:rsidRPr="00E72418">
        <w:rPr>
          <w:rFonts w:ascii="Times New Roman" w:hAnsi="Times New Roman" w:cs="Times New Roman"/>
          <w:szCs w:val="24"/>
        </w:rPr>
        <w:t xml:space="preserve"> que « [s]</w:t>
      </w:r>
      <w:r w:rsidR="0041512C" w:rsidRPr="00E72418">
        <w:rPr>
          <w:rFonts w:ascii="Times New Roman" w:hAnsi="Times New Roman" w:cs="Times New Roman"/>
          <w:szCs w:val="24"/>
          <w:shd w:val="clear" w:color="auto" w:fill="FFFFFF"/>
        </w:rPr>
        <w:t>ubject to existing international agreements to which the </w:t>
      </w:r>
      <w:hyperlink r:id="rId30" w:history="1">
        <w:r w:rsidR="0041512C" w:rsidRPr="00E72418">
          <w:rPr>
            <w:rStyle w:val="Lienhypertexte"/>
            <w:rFonts w:ascii="Times New Roman" w:hAnsi="Times New Roman" w:cs="Times New Roman"/>
            <w:color w:val="auto"/>
            <w:szCs w:val="24"/>
            <w:u w:val="none"/>
            <w:shd w:val="clear" w:color="auto" w:fill="FFFFFF"/>
          </w:rPr>
          <w:t>United States</w:t>
        </w:r>
      </w:hyperlink>
      <w:r w:rsidR="0041512C" w:rsidRPr="00E72418">
        <w:rPr>
          <w:rFonts w:ascii="Times New Roman" w:hAnsi="Times New Roman" w:cs="Times New Roman"/>
          <w:szCs w:val="24"/>
          <w:shd w:val="clear" w:color="auto" w:fill="FFFFFF"/>
        </w:rPr>
        <w:t> is a party at the time of enactment of this Act the property in the </w:t>
      </w:r>
      <w:hyperlink r:id="rId31" w:history="1">
        <w:r w:rsidR="0041512C" w:rsidRPr="00E72418">
          <w:rPr>
            <w:rStyle w:val="Lienhypertexte"/>
            <w:rFonts w:ascii="Times New Roman" w:hAnsi="Times New Roman" w:cs="Times New Roman"/>
            <w:color w:val="auto"/>
            <w:szCs w:val="24"/>
            <w:u w:val="none"/>
            <w:shd w:val="clear" w:color="auto" w:fill="FFFFFF"/>
          </w:rPr>
          <w:t>United States</w:t>
        </w:r>
      </w:hyperlink>
      <w:r w:rsidR="0041512C" w:rsidRPr="00E72418">
        <w:rPr>
          <w:rFonts w:ascii="Times New Roman" w:hAnsi="Times New Roman" w:cs="Times New Roman"/>
          <w:szCs w:val="24"/>
          <w:shd w:val="clear" w:color="auto" w:fill="FFFFFF"/>
        </w:rPr>
        <w:t xml:space="preserve"> of a foreign state </w:t>
      </w:r>
      <w:r w:rsidR="00626820" w:rsidRPr="00E72418">
        <w:rPr>
          <w:rFonts w:ascii="Times New Roman" w:hAnsi="Times New Roman" w:cs="Times New Roman"/>
          <w:szCs w:val="24"/>
          <w:shd w:val="clear" w:color="auto" w:fill="FFFFFF"/>
        </w:rPr>
        <w:t xml:space="preserve">shall be immune from attachment </w:t>
      </w:r>
      <w:r w:rsidR="0041512C" w:rsidRPr="00E72418">
        <w:rPr>
          <w:rFonts w:ascii="Times New Roman" w:hAnsi="Times New Roman" w:cs="Times New Roman"/>
          <w:szCs w:val="24"/>
          <w:shd w:val="clear" w:color="auto" w:fill="FFFFFF"/>
        </w:rPr>
        <w:t>arrest and execution except as provided in sections </w:t>
      </w:r>
      <w:hyperlink r:id="rId32" w:history="1">
        <w:r w:rsidR="0041512C" w:rsidRPr="00E72418">
          <w:rPr>
            <w:rStyle w:val="Lienhypertexte"/>
            <w:rFonts w:ascii="Times New Roman" w:hAnsi="Times New Roman" w:cs="Times New Roman"/>
            <w:color w:val="auto"/>
            <w:szCs w:val="24"/>
            <w:u w:val="none"/>
            <w:shd w:val="clear" w:color="auto" w:fill="FFFFFF"/>
          </w:rPr>
          <w:t>1610</w:t>
        </w:r>
      </w:hyperlink>
      <w:r w:rsidR="0041512C" w:rsidRPr="00E72418">
        <w:rPr>
          <w:rFonts w:ascii="Times New Roman" w:hAnsi="Times New Roman" w:cs="Times New Roman"/>
          <w:szCs w:val="24"/>
          <w:shd w:val="clear" w:color="auto" w:fill="FFFFFF"/>
        </w:rPr>
        <w:t> and </w:t>
      </w:r>
      <w:hyperlink r:id="rId33" w:history="1">
        <w:r w:rsidR="0041512C" w:rsidRPr="00E72418">
          <w:rPr>
            <w:rStyle w:val="Lienhypertexte"/>
            <w:rFonts w:ascii="Times New Roman" w:hAnsi="Times New Roman" w:cs="Times New Roman"/>
            <w:color w:val="auto"/>
            <w:szCs w:val="24"/>
            <w:u w:val="none"/>
            <w:shd w:val="clear" w:color="auto" w:fill="FFFFFF"/>
          </w:rPr>
          <w:t>1611</w:t>
        </w:r>
      </w:hyperlink>
      <w:r w:rsidR="0041512C" w:rsidRPr="00E72418">
        <w:rPr>
          <w:rFonts w:ascii="Times New Roman" w:hAnsi="Times New Roman" w:cs="Times New Roman"/>
          <w:szCs w:val="24"/>
          <w:shd w:val="clear" w:color="auto" w:fill="FFFFFF"/>
        </w:rPr>
        <w:t xml:space="preserve"> of this chapter </w:t>
      </w:r>
      <w:r w:rsidR="0041512C" w:rsidRPr="00E72418">
        <w:rPr>
          <w:rFonts w:ascii="Times New Roman" w:hAnsi="Times New Roman" w:cs="Times New Roman"/>
          <w:szCs w:val="24"/>
        </w:rPr>
        <w:t>»</w:t>
      </w:r>
      <w:r w:rsidR="0041512C" w:rsidRPr="00E72418">
        <w:rPr>
          <w:rFonts w:ascii="Times New Roman" w:hAnsi="Times New Roman" w:cs="Times New Roman"/>
          <w:szCs w:val="24"/>
          <w:shd w:val="clear" w:color="auto" w:fill="FFFFFF"/>
        </w:rPr>
        <w:t xml:space="preserve">. </w:t>
      </w:r>
      <w:r w:rsidR="00626820" w:rsidRPr="00E72418">
        <w:rPr>
          <w:rFonts w:ascii="Times New Roman" w:hAnsi="Times New Roman" w:cs="Times New Roman"/>
          <w:szCs w:val="24"/>
          <w:shd w:val="clear" w:color="auto" w:fill="FFFFFF"/>
        </w:rPr>
        <w:t>Ensuite, l’a</w:t>
      </w:r>
      <w:r w:rsidR="0041512C" w:rsidRPr="00E72418">
        <w:rPr>
          <w:rFonts w:ascii="Times New Roman" w:hAnsi="Times New Roman" w:cs="Times New Roman"/>
          <w:szCs w:val="24"/>
          <w:shd w:val="clear" w:color="auto" w:fill="FFFFFF"/>
        </w:rPr>
        <w:t xml:space="preserve">rticle 13(2)(b) du </w:t>
      </w:r>
      <w:r w:rsidR="0041512C" w:rsidRPr="00E72418">
        <w:rPr>
          <w:rFonts w:ascii="Times New Roman" w:hAnsi="Times New Roman" w:cs="Times New Roman"/>
          <w:i/>
          <w:szCs w:val="24"/>
        </w:rPr>
        <w:t>State Immunity Act</w:t>
      </w:r>
      <w:r w:rsidR="0041512C" w:rsidRPr="00E72418">
        <w:rPr>
          <w:rFonts w:ascii="Times New Roman" w:hAnsi="Times New Roman" w:cs="Times New Roman"/>
          <w:szCs w:val="24"/>
        </w:rPr>
        <w:t xml:space="preserve"> </w:t>
      </w:r>
      <w:r w:rsidR="00C20F23" w:rsidRPr="00E72418">
        <w:rPr>
          <w:rFonts w:ascii="Times New Roman" w:hAnsi="Times New Roman" w:cs="Times New Roman"/>
          <w:szCs w:val="24"/>
        </w:rPr>
        <w:t xml:space="preserve">britannique </w:t>
      </w:r>
      <w:r w:rsidR="006118DB" w:rsidRPr="00E72418">
        <w:rPr>
          <w:rFonts w:ascii="Times New Roman" w:hAnsi="Times New Roman" w:cs="Times New Roman"/>
          <w:szCs w:val="24"/>
        </w:rPr>
        <w:t>confère</w:t>
      </w:r>
      <w:r w:rsidRPr="00E72418">
        <w:rPr>
          <w:rFonts w:ascii="Times New Roman" w:hAnsi="Times New Roman" w:cs="Times New Roman"/>
          <w:szCs w:val="24"/>
        </w:rPr>
        <w:t xml:space="preserve"> également </w:t>
      </w:r>
      <w:r w:rsidR="00626820" w:rsidRPr="00E72418">
        <w:rPr>
          <w:rFonts w:ascii="Times New Roman" w:hAnsi="Times New Roman" w:cs="Times New Roman"/>
          <w:szCs w:val="24"/>
        </w:rPr>
        <w:t>le bénéfice d’</w:t>
      </w:r>
      <w:r w:rsidR="006118DB" w:rsidRPr="00E72418">
        <w:rPr>
          <w:rFonts w:ascii="Times New Roman" w:hAnsi="Times New Roman" w:cs="Times New Roman"/>
          <w:szCs w:val="24"/>
        </w:rPr>
        <w:t xml:space="preserve">une immunité d’exécution relative </w:t>
      </w:r>
      <w:r w:rsidRPr="00E72418">
        <w:rPr>
          <w:rFonts w:ascii="Times New Roman" w:hAnsi="Times New Roman" w:cs="Times New Roman"/>
          <w:szCs w:val="24"/>
        </w:rPr>
        <w:t xml:space="preserve">aux </w:t>
      </w:r>
      <w:r w:rsidRPr="00E72418">
        <w:rPr>
          <w:rFonts w:ascii="Times New Roman" w:hAnsi="Times New Roman" w:cs="Times New Roman"/>
          <w:szCs w:val="24"/>
          <w:lang w:eastAsia="fr-BE"/>
        </w:rPr>
        <w:t>É</w:t>
      </w:r>
      <w:r w:rsidRPr="00E72418">
        <w:rPr>
          <w:rFonts w:ascii="Times New Roman" w:hAnsi="Times New Roman" w:cs="Times New Roman"/>
          <w:szCs w:val="24"/>
        </w:rPr>
        <w:t>tats</w:t>
      </w:r>
      <w:r w:rsidRPr="00E72418">
        <w:rPr>
          <w:rStyle w:val="Appelnotedebasdep"/>
          <w:rFonts w:ascii="Times New Roman" w:hAnsi="Times New Roman" w:cs="Times New Roman"/>
          <w:szCs w:val="24"/>
        </w:rPr>
        <w:footnoteReference w:id="1100"/>
      </w:r>
      <w:r w:rsidR="0041512C" w:rsidRPr="00E72418">
        <w:rPr>
          <w:rFonts w:ascii="Times New Roman" w:hAnsi="Times New Roman" w:cs="Times New Roman"/>
          <w:szCs w:val="24"/>
        </w:rPr>
        <w:t xml:space="preserve">. </w:t>
      </w:r>
      <w:r w:rsidR="00EE3A1B" w:rsidRPr="00E72418">
        <w:rPr>
          <w:rFonts w:ascii="Times New Roman" w:hAnsi="Times New Roman" w:cs="Times New Roman"/>
          <w:szCs w:val="24"/>
        </w:rPr>
        <w:t>Aussi, l</w:t>
      </w:r>
      <w:r w:rsidRPr="00E72418">
        <w:rPr>
          <w:rFonts w:ascii="Times New Roman" w:hAnsi="Times New Roman" w:cs="Times New Roman"/>
          <w:szCs w:val="24"/>
        </w:rPr>
        <w:t>’article 1412</w:t>
      </w:r>
      <w:r w:rsidRPr="00E72418">
        <w:rPr>
          <w:rFonts w:ascii="Times New Roman" w:hAnsi="Times New Roman" w:cs="Times New Roman"/>
          <w:i/>
          <w:szCs w:val="24"/>
        </w:rPr>
        <w:t>quinquies</w:t>
      </w:r>
      <w:r w:rsidRPr="00E72418">
        <w:rPr>
          <w:rFonts w:ascii="Times New Roman" w:hAnsi="Times New Roman" w:cs="Times New Roman"/>
          <w:szCs w:val="24"/>
        </w:rPr>
        <w:t xml:space="preserve"> du Code judiciaire belge consacre l’insaisissabilité </w:t>
      </w:r>
      <w:r w:rsidRPr="00E72418">
        <w:rPr>
          <w:rFonts w:ascii="Times New Roman" w:hAnsi="Times New Roman" w:cs="Times New Roman"/>
          <w:szCs w:val="24"/>
        </w:rPr>
        <w:lastRenderedPageBreak/>
        <w:t xml:space="preserve">des </w:t>
      </w:r>
      <w:r w:rsidRPr="00E72418">
        <w:rPr>
          <w:rFonts w:ascii="Times New Roman" w:hAnsi="Times New Roman" w:cs="Times New Roman"/>
          <w:bCs/>
          <w:szCs w:val="24"/>
        </w:rPr>
        <w:t>biens appartenant à une puissance étrangère qui se trouvent sur le territoire du Royaume avec toutefois une possibilité offerte au</w:t>
      </w:r>
      <w:r w:rsidR="006118DB" w:rsidRPr="00E72418">
        <w:rPr>
          <w:rFonts w:ascii="Times New Roman" w:hAnsi="Times New Roman" w:cs="Times New Roman"/>
          <w:bCs/>
          <w:szCs w:val="24"/>
        </w:rPr>
        <w:t>x</w:t>
      </w:r>
      <w:r w:rsidRPr="00E72418">
        <w:rPr>
          <w:rFonts w:ascii="Times New Roman" w:hAnsi="Times New Roman" w:cs="Times New Roman"/>
          <w:bCs/>
          <w:szCs w:val="24"/>
        </w:rPr>
        <w:t xml:space="preserve"> créanciers d’obtenir une autorisation de saisie lorsque certaines conditions sont remplies</w:t>
      </w:r>
      <w:r w:rsidR="003C3E03" w:rsidRPr="00E72418">
        <w:rPr>
          <w:rStyle w:val="Appelnotedebasdep"/>
          <w:rFonts w:ascii="Times New Roman" w:hAnsi="Times New Roman" w:cs="Times New Roman"/>
          <w:bCs/>
          <w:szCs w:val="24"/>
        </w:rPr>
        <w:footnoteReference w:id="1101"/>
      </w:r>
      <w:r w:rsidRPr="00E72418">
        <w:rPr>
          <w:rFonts w:ascii="Times New Roman" w:hAnsi="Times New Roman" w:cs="Times New Roman"/>
          <w:bCs/>
          <w:szCs w:val="24"/>
        </w:rPr>
        <w:t>.</w:t>
      </w:r>
      <w:r w:rsidR="00C20F23" w:rsidRPr="00E72418">
        <w:rPr>
          <w:rFonts w:ascii="Times New Roman" w:hAnsi="Times New Roman" w:cs="Times New Roman"/>
          <w:bCs/>
          <w:szCs w:val="24"/>
        </w:rPr>
        <w:t xml:space="preserve"> Finalement, le Code des procédures civiles d’exécution français prévoit que </w:t>
      </w:r>
      <w:r w:rsidR="00C20F23" w:rsidRPr="00E72418">
        <w:rPr>
          <w:rFonts w:ascii="Times New Roman" w:hAnsi="Times New Roman" w:cs="Times New Roman"/>
          <w:szCs w:val="24"/>
          <w:shd w:val="clear" w:color="auto" w:fill="FFFFFF"/>
        </w:rPr>
        <w:t xml:space="preserve">des mesures conservatoires ou des mesures d’exécution forcée visant un bien appartenant à un </w:t>
      </w:r>
      <w:r w:rsidR="00C20F23" w:rsidRPr="00E72418">
        <w:rPr>
          <w:rFonts w:ascii="Times New Roman" w:hAnsi="Times New Roman" w:cs="Times New Roman"/>
          <w:szCs w:val="24"/>
          <w:lang w:eastAsia="fr-BE"/>
        </w:rPr>
        <w:t>É</w:t>
      </w:r>
      <w:r w:rsidR="00C20F23" w:rsidRPr="00E72418">
        <w:rPr>
          <w:rFonts w:ascii="Times New Roman" w:hAnsi="Times New Roman" w:cs="Times New Roman"/>
          <w:szCs w:val="24"/>
          <w:shd w:val="clear" w:color="auto" w:fill="FFFFFF"/>
        </w:rPr>
        <w:t>tat étranger ne peuvent être autorisées que moyennant le respect de certaines conditions</w:t>
      </w:r>
      <w:r w:rsidR="00EE260A" w:rsidRPr="00E72418">
        <w:rPr>
          <w:rStyle w:val="Appelnotedebasdep"/>
          <w:rFonts w:ascii="Times New Roman" w:hAnsi="Times New Roman" w:cs="Times New Roman"/>
          <w:szCs w:val="24"/>
          <w:shd w:val="clear" w:color="auto" w:fill="FFFFFF"/>
        </w:rPr>
        <w:footnoteReference w:id="1102"/>
      </w:r>
      <w:r w:rsidR="00C20F23" w:rsidRPr="00E72418">
        <w:rPr>
          <w:rFonts w:ascii="Times New Roman" w:hAnsi="Times New Roman" w:cs="Times New Roman"/>
          <w:szCs w:val="24"/>
          <w:shd w:val="clear" w:color="auto" w:fill="FFFFFF"/>
        </w:rPr>
        <w:t>.</w:t>
      </w:r>
    </w:p>
    <w:p w14:paraId="0C967E77" w14:textId="77777777" w:rsidR="001E4508" w:rsidRPr="00E72418" w:rsidRDefault="001E4508" w:rsidP="00CC4BA8">
      <w:pPr>
        <w:spacing w:line="276" w:lineRule="auto"/>
      </w:pPr>
      <w:r w:rsidRPr="00E72418">
        <w:t>L’immunité d’exécution n’étant pas absolue, les fonds sp</w:t>
      </w:r>
      <w:r w:rsidR="00B41CCF" w:rsidRPr="00E72418">
        <w:t>éculant</w:t>
      </w:r>
      <w:r w:rsidRPr="00E72418">
        <w:t xml:space="preserve"> </w:t>
      </w:r>
      <w:r w:rsidR="006118DB" w:rsidRPr="00E72418">
        <w:t xml:space="preserve">sur les dettes étatiques </w:t>
      </w:r>
      <w:r w:rsidRPr="00E72418">
        <w:t xml:space="preserve">sont enclins à entreprendre des mesures </w:t>
      </w:r>
      <w:r w:rsidR="00EE3A1B" w:rsidRPr="00E72418">
        <w:t>de contrainte</w:t>
      </w:r>
      <w:r w:rsidRPr="00E72418">
        <w:t xml:space="preserve"> là où leurs débiteurs souverains détiennent des biens possiblement saisissables. La chose n’est cependant pas aisée dès lors que, souvent, peu de biens susceptibles de désintéresser les créanciers se trouvent hors des frontières de l’</w:t>
      </w:r>
      <w:r w:rsidRPr="00E72418">
        <w:rPr>
          <w:lang w:eastAsia="fr-BE"/>
        </w:rPr>
        <w:t>É</w:t>
      </w:r>
      <w:r w:rsidRPr="00E72418">
        <w:t>tat débiteur. Par ailleurs, l</w:t>
      </w:r>
      <w:r w:rsidR="00EE3A1B" w:rsidRPr="00E72418">
        <w:t>orsqu’il en existe</w:t>
      </w:r>
      <w:r w:rsidRPr="00E72418">
        <w:t xml:space="preserve">, comme par exemple avec les ambassades, ces biens </w:t>
      </w:r>
      <w:r w:rsidR="006118DB" w:rsidRPr="00E72418">
        <w:t>peuvent se trouver</w:t>
      </w:r>
      <w:r w:rsidRPr="00E72418">
        <w:t xml:space="preserve"> protégés par des régimes d’immunité particuliers</w:t>
      </w:r>
      <w:r w:rsidRPr="00E72418">
        <w:rPr>
          <w:rStyle w:val="Appelnotedebasdep"/>
        </w:rPr>
        <w:footnoteReference w:id="1103"/>
      </w:r>
      <w:r w:rsidRPr="00E72418">
        <w:t>. Pratiquement donc, les créanciers d’</w:t>
      </w:r>
      <w:r w:rsidRPr="00E72418">
        <w:rPr>
          <w:lang w:eastAsia="fr-BE"/>
        </w:rPr>
        <w:t>É</w:t>
      </w:r>
      <w:r w:rsidRPr="00E72418">
        <w:t>tats vont rencontrer le plus de difficultés lors de la recherche d’exécution de décisions</w:t>
      </w:r>
      <w:r w:rsidR="00C44B9C" w:rsidRPr="00E72418">
        <w:t xml:space="preserve"> de condamnation</w:t>
      </w:r>
      <w:r w:rsidRPr="00E72418">
        <w:t xml:space="preserve"> obtenues. L</w:t>
      </w:r>
      <w:r w:rsidR="00B41CCF" w:rsidRPr="00E72418">
        <w:t>’activisme des fonds spéculant</w:t>
      </w:r>
      <w:r w:rsidRPr="00E72418">
        <w:t xml:space="preserve"> sur les dettes souveraines est ainsi le plus marqué lors de cette phase</w:t>
      </w:r>
      <w:r w:rsidRPr="00E72418">
        <w:rPr>
          <w:rStyle w:val="Appelnotedebasdep"/>
        </w:rPr>
        <w:footnoteReference w:id="1104"/>
      </w:r>
      <w:r w:rsidR="00B064E9" w:rsidRPr="00E72418">
        <w:t>.</w:t>
      </w:r>
    </w:p>
    <w:p w14:paraId="047E45F2" w14:textId="77777777" w:rsidR="001E4508" w:rsidRPr="00E72418" w:rsidRDefault="001E4508" w:rsidP="0054314B"/>
    <w:p w14:paraId="7B4DF68E" w14:textId="0B6AF1B4" w:rsidR="006D50CA" w:rsidRPr="00E72418" w:rsidRDefault="006D50CA" w:rsidP="008D1D70">
      <w:pPr>
        <w:pStyle w:val="FF"/>
        <w:numPr>
          <w:ilvl w:val="0"/>
          <w:numId w:val="3"/>
        </w:numPr>
        <w:spacing w:line="276" w:lineRule="auto"/>
      </w:pPr>
      <w:bookmarkStart w:id="250" w:name="_Toc59280951"/>
      <w:bookmarkStart w:id="251" w:name="_Toc84540940"/>
      <w:r w:rsidRPr="00E72418">
        <w:t>L’autorisation judiciaire</w:t>
      </w:r>
      <w:r w:rsidR="001D327C" w:rsidRPr="00E72418">
        <w:t xml:space="preserve"> préalable</w:t>
      </w:r>
      <w:bookmarkEnd w:id="250"/>
      <w:bookmarkEnd w:id="251"/>
    </w:p>
    <w:p w14:paraId="20C74376" w14:textId="77777777" w:rsidR="0054314B" w:rsidRPr="00E72418" w:rsidRDefault="0054314B" w:rsidP="0054314B"/>
    <w:p w14:paraId="73708569" w14:textId="4F724715" w:rsidR="00FE40FF" w:rsidRPr="00E72418" w:rsidRDefault="007F038F" w:rsidP="00CC4BA8">
      <w:pPr>
        <w:spacing w:line="276" w:lineRule="auto"/>
      </w:pPr>
      <w:r w:rsidRPr="00E72418">
        <w:rPr>
          <w:b/>
        </w:rPr>
        <w:t>219</w:t>
      </w:r>
      <w:r w:rsidR="00A9718E" w:rsidRPr="00E72418">
        <w:rPr>
          <w:b/>
        </w:rPr>
        <w:t xml:space="preserve">. </w:t>
      </w:r>
      <w:r w:rsidR="004103C9" w:rsidRPr="00E72418">
        <w:rPr>
          <w:b/>
        </w:rPr>
        <w:t xml:space="preserve">Une singularité </w:t>
      </w:r>
      <w:r w:rsidR="00130FFC" w:rsidRPr="00E72418">
        <w:rPr>
          <w:b/>
        </w:rPr>
        <w:t xml:space="preserve">des législations nationales </w:t>
      </w:r>
      <w:r w:rsidR="007A77DB" w:rsidRPr="00E72418">
        <w:rPr>
          <w:b/>
        </w:rPr>
        <w:t>–</w:t>
      </w:r>
      <w:r w:rsidR="004103C9" w:rsidRPr="00E72418">
        <w:rPr>
          <w:b/>
        </w:rPr>
        <w:t xml:space="preserve"> </w:t>
      </w:r>
      <w:r w:rsidR="00FE40FF" w:rsidRPr="00E72418">
        <w:t xml:space="preserve">Quoique </w:t>
      </w:r>
      <w:r w:rsidR="00387621" w:rsidRPr="00E72418">
        <w:t>l’</w:t>
      </w:r>
      <w:r w:rsidR="00FE40FF" w:rsidRPr="00E72418">
        <w:t xml:space="preserve">exigence ne soit ni </w:t>
      </w:r>
      <w:r w:rsidR="00387621" w:rsidRPr="00E72418">
        <w:t xml:space="preserve">retenue </w:t>
      </w:r>
      <w:r w:rsidR="00FE40FF" w:rsidRPr="00E72418">
        <w:t xml:space="preserve">par la coutume ni </w:t>
      </w:r>
      <w:r w:rsidR="00387621" w:rsidRPr="00E72418">
        <w:t xml:space="preserve">reprise </w:t>
      </w:r>
      <w:r w:rsidR="00FE40FF" w:rsidRPr="00E72418">
        <w:t xml:space="preserve">par la Convention des Nations Unies sur les immunités juridictionnelles </w:t>
      </w:r>
      <w:r w:rsidR="00FE40FF" w:rsidRPr="00E72418">
        <w:lastRenderedPageBreak/>
        <w:t xml:space="preserve">des </w:t>
      </w:r>
      <w:r w:rsidR="00FE40FF" w:rsidRPr="00E72418">
        <w:rPr>
          <w:lang w:eastAsia="fr-BE"/>
        </w:rPr>
        <w:t>É</w:t>
      </w:r>
      <w:r w:rsidR="00FE40FF" w:rsidRPr="00E72418">
        <w:t xml:space="preserve">tats et de leurs biens, </w:t>
      </w:r>
      <w:r w:rsidR="004C79EB" w:rsidRPr="00E72418">
        <w:t>certaines</w:t>
      </w:r>
      <w:r w:rsidR="00FE40FF" w:rsidRPr="00E72418">
        <w:t xml:space="preserve"> législations nationales posent la règle selon laquelle les mesures </w:t>
      </w:r>
      <w:r w:rsidR="00387621" w:rsidRPr="00E72418">
        <w:t xml:space="preserve">de contrainte </w:t>
      </w:r>
      <w:r w:rsidR="00FE40FF" w:rsidRPr="00E72418">
        <w:t>sur des biens d’</w:t>
      </w:r>
      <w:r w:rsidR="00FE40FF" w:rsidRPr="00E72418">
        <w:rPr>
          <w:lang w:eastAsia="fr-BE"/>
        </w:rPr>
        <w:t>É</w:t>
      </w:r>
      <w:r w:rsidR="00FE40FF" w:rsidRPr="00E72418">
        <w:t xml:space="preserve">tats doivent être autorisées judiciairement avant de pouvoir être entreprises. </w:t>
      </w:r>
      <w:r w:rsidR="004C79EB" w:rsidRPr="00E72418">
        <w:t xml:space="preserve">Cette autorisation judiciaire préalable s’inscrit notamment dans un souci de sécurité juridique tant on sait que les mesures </w:t>
      </w:r>
      <w:r w:rsidR="00EE260A" w:rsidRPr="00E72418">
        <w:t>de contrainte</w:t>
      </w:r>
      <w:r w:rsidR="004C79EB" w:rsidRPr="00E72418">
        <w:t xml:space="preserve"> sur les biens d’</w:t>
      </w:r>
      <w:r w:rsidR="007A77DB" w:rsidRPr="00E72418">
        <w:t xml:space="preserve">un </w:t>
      </w:r>
      <w:r w:rsidR="007A77DB" w:rsidRPr="00E72418">
        <w:rPr>
          <w:lang w:eastAsia="fr-BE"/>
        </w:rPr>
        <w:t>É</w:t>
      </w:r>
      <w:r w:rsidR="004C79EB" w:rsidRPr="00E72418">
        <w:t>tat souverain sont attentatoires et, par conséquent, délicates dans leur application</w:t>
      </w:r>
      <w:r w:rsidR="004C79EB" w:rsidRPr="00E72418">
        <w:rPr>
          <w:rStyle w:val="Appelnotedebasdep"/>
        </w:rPr>
        <w:footnoteReference w:id="1105"/>
      </w:r>
      <w:r w:rsidR="004C79EB" w:rsidRPr="00E72418">
        <w:t>.</w:t>
      </w:r>
      <w:r w:rsidR="00387621" w:rsidRPr="00E72418">
        <w:t xml:space="preserve"> Le processus d’autorisation</w:t>
      </w:r>
      <w:r w:rsidR="00EE260A" w:rsidRPr="00E72418">
        <w:t xml:space="preserve"> permet la vérification de la rencontre des conditions permettant que l’immunité d’exécution soit écartée.</w:t>
      </w:r>
    </w:p>
    <w:p w14:paraId="3EBAF55F" w14:textId="532FE610" w:rsidR="00130FFC" w:rsidRPr="00E72418" w:rsidRDefault="00242224" w:rsidP="00CC4BA8">
      <w:pPr>
        <w:spacing w:line="276" w:lineRule="auto"/>
        <w:rPr>
          <w:rFonts w:ascii="Times New Roman" w:hAnsi="Times New Roman" w:cs="Times New Roman"/>
          <w:szCs w:val="24"/>
          <w:shd w:val="clear" w:color="auto" w:fill="FFFFFF"/>
        </w:rPr>
      </w:pPr>
      <w:r w:rsidRPr="00E72418">
        <w:t>L’article 1412</w:t>
      </w:r>
      <w:r w:rsidRPr="00E72418">
        <w:rPr>
          <w:i/>
        </w:rPr>
        <w:t>quinquies</w:t>
      </w:r>
      <w:r w:rsidRPr="00E72418">
        <w:t xml:space="preserve"> du Code judiciaire belge prévoit l’insaisissabilité de principe des biens appartenant à une puissance étrangère qui se trouvent sur le territoire du Royaume de Belgique sauf dans certaines situations particulières que l’article précise et pour autant que la saisie soit autorisée préalablement par le juge des saisies</w:t>
      </w:r>
      <w:r w:rsidRPr="00E72418">
        <w:rPr>
          <w:rFonts w:cs="Times New Roman"/>
          <w:szCs w:val="24"/>
        </w:rPr>
        <w:t xml:space="preserve">. </w:t>
      </w:r>
      <w:r w:rsidR="00EE260A" w:rsidRPr="00E72418">
        <w:rPr>
          <w:rFonts w:ascii="Times New Roman" w:hAnsi="Times New Roman" w:cs="Times New Roman"/>
          <w:szCs w:val="24"/>
        </w:rPr>
        <w:t xml:space="preserve">Le </w:t>
      </w:r>
      <w:r w:rsidR="00387621" w:rsidRPr="00E72418">
        <w:rPr>
          <w:rFonts w:ascii="Times New Roman" w:hAnsi="Times New Roman" w:cs="Times New Roman"/>
          <w:szCs w:val="24"/>
        </w:rPr>
        <w:t xml:space="preserve">même </w:t>
      </w:r>
      <w:r w:rsidR="00EE260A" w:rsidRPr="00E72418">
        <w:rPr>
          <w:rFonts w:ascii="Times New Roman" w:hAnsi="Times New Roman" w:cs="Times New Roman"/>
          <w:szCs w:val="24"/>
        </w:rPr>
        <w:t xml:space="preserve">principe </w:t>
      </w:r>
      <w:r w:rsidR="00387621" w:rsidRPr="00E72418">
        <w:rPr>
          <w:rFonts w:ascii="Times New Roman" w:hAnsi="Times New Roman" w:cs="Times New Roman"/>
          <w:szCs w:val="24"/>
        </w:rPr>
        <w:t xml:space="preserve">est </w:t>
      </w:r>
      <w:r w:rsidR="00EE260A" w:rsidRPr="00E72418">
        <w:rPr>
          <w:rFonts w:ascii="Times New Roman" w:hAnsi="Times New Roman" w:cs="Times New Roman"/>
          <w:szCs w:val="24"/>
        </w:rPr>
        <w:t xml:space="preserve">retenu </w:t>
      </w:r>
      <w:r w:rsidR="00387621" w:rsidRPr="00E72418">
        <w:rPr>
          <w:rFonts w:ascii="Times New Roman" w:hAnsi="Times New Roman" w:cs="Times New Roman"/>
          <w:szCs w:val="24"/>
        </w:rPr>
        <w:t>par la loi française,</w:t>
      </w:r>
      <w:r w:rsidR="00EE260A" w:rsidRPr="00E72418">
        <w:rPr>
          <w:rFonts w:ascii="Times New Roman" w:hAnsi="Times New Roman" w:cs="Times New Roman"/>
          <w:szCs w:val="24"/>
        </w:rPr>
        <w:t xml:space="preserve"> singulièrement l’article L.</w:t>
      </w:r>
      <w:r w:rsidR="006445D4" w:rsidRPr="00E72418">
        <w:rPr>
          <w:rFonts w:ascii="Times New Roman" w:hAnsi="Times New Roman" w:cs="Times New Roman"/>
          <w:szCs w:val="24"/>
        </w:rPr>
        <w:t xml:space="preserve"> </w:t>
      </w:r>
      <w:r w:rsidR="00EE260A" w:rsidRPr="00E72418">
        <w:rPr>
          <w:rFonts w:ascii="Times New Roman" w:hAnsi="Times New Roman" w:cs="Times New Roman"/>
          <w:szCs w:val="24"/>
        </w:rPr>
        <w:t>111-1-1 du Code des procédures civiles d’exécution</w:t>
      </w:r>
      <w:r w:rsidR="00387621" w:rsidRPr="00E72418">
        <w:rPr>
          <w:rFonts w:ascii="Times New Roman" w:hAnsi="Times New Roman" w:cs="Times New Roman"/>
          <w:szCs w:val="24"/>
        </w:rPr>
        <w:t>,</w:t>
      </w:r>
      <w:r w:rsidR="00EE260A" w:rsidRPr="00E72418">
        <w:rPr>
          <w:rFonts w:ascii="Times New Roman" w:hAnsi="Times New Roman" w:cs="Times New Roman"/>
          <w:szCs w:val="24"/>
        </w:rPr>
        <w:t xml:space="preserve"> </w:t>
      </w:r>
      <w:r w:rsidR="00387621" w:rsidRPr="00E72418">
        <w:rPr>
          <w:rFonts w:ascii="Times New Roman" w:hAnsi="Times New Roman" w:cs="Times New Roman"/>
          <w:szCs w:val="24"/>
        </w:rPr>
        <w:t xml:space="preserve">qui prévoit </w:t>
      </w:r>
      <w:r w:rsidR="00EE260A" w:rsidRPr="00E72418">
        <w:rPr>
          <w:rFonts w:ascii="Times New Roman" w:hAnsi="Times New Roman" w:cs="Times New Roman"/>
          <w:szCs w:val="24"/>
        </w:rPr>
        <w:t xml:space="preserve">que </w:t>
      </w:r>
      <w:r w:rsidR="00EE260A" w:rsidRPr="00E72418">
        <w:rPr>
          <w:rFonts w:ascii="Times New Roman" w:hAnsi="Times New Roman" w:cs="Times New Roman"/>
          <w:szCs w:val="24"/>
          <w:shd w:val="clear" w:color="auto" w:fill="FFFFFF"/>
        </w:rPr>
        <w:t xml:space="preserve">des mesures conservatoires ou des mesures d’exécution forcée ne peuvent être mises en œuvre sur un bien appartenant à un </w:t>
      </w:r>
      <w:r w:rsidR="00EE260A" w:rsidRPr="00E72418">
        <w:rPr>
          <w:lang w:eastAsia="fr-BE"/>
        </w:rPr>
        <w:t>É</w:t>
      </w:r>
      <w:r w:rsidR="00EE260A" w:rsidRPr="00E72418">
        <w:rPr>
          <w:rFonts w:ascii="Times New Roman" w:hAnsi="Times New Roman" w:cs="Times New Roman"/>
          <w:szCs w:val="24"/>
          <w:shd w:val="clear" w:color="auto" w:fill="FFFFFF"/>
        </w:rPr>
        <w:t xml:space="preserve">tat étranger que sur autorisation préalable du juge par ordonnance rendue sur requête. </w:t>
      </w:r>
      <w:r w:rsidR="00DD1F52" w:rsidRPr="00E72418">
        <w:rPr>
          <w:rFonts w:ascii="Times New Roman" w:hAnsi="Times New Roman" w:cs="Times New Roman"/>
          <w:shd w:val="clear" w:color="auto" w:fill="FFFFFF"/>
        </w:rPr>
        <w:t xml:space="preserve">Le </w:t>
      </w:r>
      <w:r w:rsidR="00DD1F52" w:rsidRPr="00E72418">
        <w:rPr>
          <w:rFonts w:ascii="Times New Roman" w:hAnsi="Times New Roman" w:cs="Times New Roman"/>
          <w:i/>
        </w:rPr>
        <w:t xml:space="preserve">Foreign Sovereign Immunities Act </w:t>
      </w:r>
      <w:r w:rsidR="00EE260A" w:rsidRPr="00E72418">
        <w:rPr>
          <w:rFonts w:ascii="Times New Roman" w:hAnsi="Times New Roman" w:cs="Times New Roman"/>
        </w:rPr>
        <w:t>étatsunien r</w:t>
      </w:r>
      <w:r w:rsidR="00DD1F52" w:rsidRPr="00E72418">
        <w:rPr>
          <w:rFonts w:ascii="Times New Roman" w:hAnsi="Times New Roman" w:cs="Times New Roman"/>
        </w:rPr>
        <w:t xml:space="preserve">eprend </w:t>
      </w:r>
      <w:r w:rsidR="00EE260A" w:rsidRPr="00E72418">
        <w:rPr>
          <w:rFonts w:ascii="Times New Roman" w:hAnsi="Times New Roman" w:cs="Times New Roman"/>
        </w:rPr>
        <w:t xml:space="preserve">également </w:t>
      </w:r>
      <w:r w:rsidR="004D007F" w:rsidRPr="00E72418">
        <w:rPr>
          <w:rFonts w:ascii="Times New Roman" w:hAnsi="Times New Roman" w:cs="Times New Roman"/>
        </w:rPr>
        <w:t>en</w:t>
      </w:r>
      <w:r w:rsidR="00387621" w:rsidRPr="00E72418">
        <w:rPr>
          <w:rFonts w:ascii="Times New Roman" w:hAnsi="Times New Roman" w:cs="Times New Roman"/>
        </w:rPr>
        <w:t xml:space="preserve"> quelque sorte </w:t>
      </w:r>
      <w:r w:rsidR="00DD1F52" w:rsidRPr="00E72418">
        <w:rPr>
          <w:rFonts w:ascii="Times New Roman" w:hAnsi="Times New Roman" w:cs="Times New Roman"/>
        </w:rPr>
        <w:t>l’exigence de l’autorisation judici</w:t>
      </w:r>
      <w:r w:rsidR="00EE260A" w:rsidRPr="00E72418">
        <w:rPr>
          <w:rFonts w:ascii="Times New Roman" w:hAnsi="Times New Roman" w:cs="Times New Roman"/>
        </w:rPr>
        <w:t xml:space="preserve">aire des mesures de contrainte en son </w:t>
      </w:r>
      <w:r w:rsidR="00DD1F52" w:rsidRPr="00E72418">
        <w:rPr>
          <w:rFonts w:ascii="Times New Roman" w:hAnsi="Times New Roman" w:cs="Times New Roman"/>
        </w:rPr>
        <w:t xml:space="preserve">article 1610(c) </w:t>
      </w:r>
      <w:r w:rsidR="00387621" w:rsidRPr="00E72418">
        <w:rPr>
          <w:rFonts w:ascii="Times New Roman" w:hAnsi="Times New Roman" w:cs="Times New Roman"/>
        </w:rPr>
        <w:t>lequel</w:t>
      </w:r>
      <w:r w:rsidR="00EE260A" w:rsidRPr="00E72418">
        <w:rPr>
          <w:rFonts w:ascii="Times New Roman" w:hAnsi="Times New Roman" w:cs="Times New Roman"/>
        </w:rPr>
        <w:t xml:space="preserve"> </w:t>
      </w:r>
      <w:r w:rsidR="00DD1F52" w:rsidRPr="00E72418">
        <w:rPr>
          <w:rFonts w:ascii="Times New Roman" w:hAnsi="Times New Roman" w:cs="Times New Roman"/>
        </w:rPr>
        <w:t>dispose que « [n]</w:t>
      </w:r>
      <w:r w:rsidR="00DD1F52" w:rsidRPr="00E72418">
        <w:rPr>
          <w:rFonts w:ascii="Times New Roman" w:hAnsi="Times New Roman" w:cs="Times New Roman"/>
          <w:shd w:val="clear" w:color="auto" w:fill="FFFFFF"/>
        </w:rPr>
        <w:t>o attachment or execution referred to in subsections (a) and (b) of this section shall be permitted until the court has ordered such attachment and execution after having determined that a reasonable period of time has elapsed following the entry of judgment and the giving of any notice required under </w:t>
      </w:r>
      <w:hyperlink r:id="rId34" w:anchor="e" w:history="1">
        <w:r w:rsidR="00DD1F52" w:rsidRPr="00E72418">
          <w:rPr>
            <w:rStyle w:val="Lienhypertexte"/>
            <w:rFonts w:ascii="Times New Roman" w:hAnsi="Times New Roman" w:cs="Times New Roman"/>
            <w:color w:val="auto"/>
            <w:u w:val="none"/>
            <w:shd w:val="clear" w:color="auto" w:fill="FFFFFF"/>
          </w:rPr>
          <w:t>section 1608(e) of this chapter</w:t>
        </w:r>
      </w:hyperlink>
      <w:r w:rsidR="00DD1F52" w:rsidRPr="00E72418">
        <w:rPr>
          <w:rFonts w:ascii="Times New Roman" w:hAnsi="Times New Roman" w:cs="Times New Roman"/>
        </w:rPr>
        <w:t> »</w:t>
      </w:r>
      <w:r w:rsidR="00206A9D" w:rsidRPr="00E72418">
        <w:rPr>
          <w:rStyle w:val="Appelnotedebasdep"/>
          <w:rFonts w:ascii="Times New Roman" w:hAnsi="Times New Roman" w:cs="Times New Roman"/>
        </w:rPr>
        <w:footnoteReference w:id="1106"/>
      </w:r>
      <w:r w:rsidR="00DD1F52" w:rsidRPr="00E72418">
        <w:rPr>
          <w:rFonts w:ascii="Times New Roman" w:hAnsi="Times New Roman" w:cs="Times New Roman"/>
        </w:rPr>
        <w:t>.</w:t>
      </w:r>
    </w:p>
    <w:p w14:paraId="25640A77" w14:textId="77777777" w:rsidR="0041512C" w:rsidRPr="00E72418" w:rsidRDefault="0041512C" w:rsidP="0054314B"/>
    <w:p w14:paraId="09F23F9D" w14:textId="7762A5DF" w:rsidR="006D50CA" w:rsidRPr="00E72418" w:rsidRDefault="0025407D" w:rsidP="008D1D70">
      <w:pPr>
        <w:pStyle w:val="FF"/>
        <w:numPr>
          <w:ilvl w:val="0"/>
          <w:numId w:val="3"/>
        </w:numPr>
        <w:spacing w:line="276" w:lineRule="auto"/>
      </w:pPr>
      <w:bookmarkStart w:id="252" w:name="_Toc59280952"/>
      <w:bookmarkStart w:id="253" w:name="_Toc84540941"/>
      <w:r w:rsidRPr="00E72418">
        <w:t>L’exception</w:t>
      </w:r>
      <w:r w:rsidR="006D50CA" w:rsidRPr="00E72418">
        <w:t xml:space="preserve"> commerciale</w:t>
      </w:r>
      <w:bookmarkEnd w:id="252"/>
      <w:bookmarkEnd w:id="253"/>
    </w:p>
    <w:p w14:paraId="1E8259BE" w14:textId="77777777" w:rsidR="0054314B" w:rsidRPr="00E72418" w:rsidRDefault="0054314B" w:rsidP="0054314B"/>
    <w:p w14:paraId="03481D7C" w14:textId="16637C6D" w:rsidR="00B064E9" w:rsidRPr="00E72418" w:rsidRDefault="007F038F" w:rsidP="00CC4BA8">
      <w:pPr>
        <w:spacing w:line="276" w:lineRule="auto"/>
      </w:pPr>
      <w:r w:rsidRPr="00E72418">
        <w:rPr>
          <w:b/>
        </w:rPr>
        <w:t>220</w:t>
      </w:r>
      <w:r w:rsidR="00A9718E" w:rsidRPr="00E72418">
        <w:rPr>
          <w:b/>
        </w:rPr>
        <w:t xml:space="preserve">. </w:t>
      </w:r>
      <w:r w:rsidR="008D47E0" w:rsidRPr="00E72418">
        <w:rPr>
          <w:b/>
        </w:rPr>
        <w:t xml:space="preserve">Une explication rationnelle </w:t>
      </w:r>
      <w:r w:rsidR="00044A1A" w:rsidRPr="00E72418">
        <w:rPr>
          <w:rFonts w:ascii="Times-Roman" w:hAnsi="Times-Roman" w:cs="Times-Roman"/>
          <w:b/>
          <w:szCs w:val="24"/>
        </w:rPr>
        <w:t xml:space="preserve">– </w:t>
      </w:r>
      <w:r w:rsidR="00044A1A" w:rsidRPr="00E72418">
        <w:t xml:space="preserve">Outre le cas où les </w:t>
      </w:r>
      <w:r w:rsidR="0041512C" w:rsidRPr="00E72418">
        <w:rPr>
          <w:lang w:eastAsia="fr-BE"/>
        </w:rPr>
        <w:t>É</w:t>
      </w:r>
      <w:r w:rsidR="0041512C" w:rsidRPr="00E72418">
        <w:t>tat</w:t>
      </w:r>
      <w:r w:rsidR="00044A1A" w:rsidRPr="00E72418">
        <w:t>s</w:t>
      </w:r>
      <w:r w:rsidR="0041512C" w:rsidRPr="00E72418">
        <w:t xml:space="preserve"> renonce</w:t>
      </w:r>
      <w:r w:rsidR="00044A1A" w:rsidRPr="00E72418">
        <w:t>nt</w:t>
      </w:r>
      <w:r w:rsidR="0041512C" w:rsidRPr="00E72418">
        <w:t xml:space="preserve"> à </w:t>
      </w:r>
      <w:r w:rsidR="00044A1A" w:rsidRPr="00E72418">
        <w:t>leur</w:t>
      </w:r>
      <w:r w:rsidR="0041512C" w:rsidRPr="00E72418">
        <w:t xml:space="preserve"> immunité d’exécution</w:t>
      </w:r>
      <w:r w:rsidR="00044A1A" w:rsidRPr="00E72418">
        <w:t xml:space="preserve"> et celui où ils réservent des biens </w:t>
      </w:r>
      <w:r w:rsidR="00044A1A" w:rsidRPr="00E72418">
        <w:rPr>
          <w:rFonts w:cs="Times New Roman"/>
        </w:rPr>
        <w:t>à la satisfaction d’une demande en justice</w:t>
      </w:r>
      <w:r w:rsidR="0041512C" w:rsidRPr="00E72418">
        <w:t xml:space="preserve">, l’immunité </w:t>
      </w:r>
      <w:r w:rsidR="00044A1A" w:rsidRPr="00E72418">
        <w:t>d’exécution ne protège pas</w:t>
      </w:r>
      <w:r w:rsidR="00F02D1D" w:rsidRPr="00E72418">
        <w:t>, la Cour internationale de Justice l’écrit,</w:t>
      </w:r>
      <w:r w:rsidR="00044A1A" w:rsidRPr="00E72418">
        <w:t xml:space="preserve"> l</w:t>
      </w:r>
      <w:r w:rsidR="0041512C" w:rsidRPr="00E72418">
        <w:t>es biens</w:t>
      </w:r>
      <w:r w:rsidR="00044A1A" w:rsidRPr="00E72418">
        <w:t xml:space="preserve"> étatiques</w:t>
      </w:r>
      <w:r w:rsidR="0041512C" w:rsidRPr="00E72418">
        <w:t xml:space="preserve"> n’étant pas utilisés à des fins de service public non commercia</w:t>
      </w:r>
      <w:r w:rsidR="00044A1A" w:rsidRPr="00E72418">
        <w:t>l ou, pour le dire autrement, l</w:t>
      </w:r>
      <w:r w:rsidR="0041512C" w:rsidRPr="00E72418">
        <w:t>es biens n’étant pas nécessaires à l’exercice de la souveraineté</w:t>
      </w:r>
      <w:r w:rsidR="00F02D1D" w:rsidRPr="00E72418">
        <w:rPr>
          <w:rStyle w:val="Appelnotedebasdep"/>
        </w:rPr>
        <w:footnoteReference w:id="1107"/>
      </w:r>
      <w:r w:rsidR="0041512C" w:rsidRPr="00E72418">
        <w:t>.</w:t>
      </w:r>
      <w:r w:rsidR="00044A1A" w:rsidRPr="00E72418">
        <w:t xml:space="preserve"> L’on aperçoit dans cette </w:t>
      </w:r>
      <w:r w:rsidR="00387621" w:rsidRPr="00E72418">
        <w:t>exception commerciale</w:t>
      </w:r>
      <w:r w:rsidR="00044A1A" w:rsidRPr="00E72418">
        <w:t xml:space="preserve"> la déclinaison du refus d’accorder aux </w:t>
      </w:r>
      <w:r w:rsidR="00044A1A" w:rsidRPr="00E72418">
        <w:rPr>
          <w:lang w:eastAsia="fr-BE"/>
        </w:rPr>
        <w:t>É</w:t>
      </w:r>
      <w:r w:rsidR="00387621" w:rsidRPr="00E72418">
        <w:t>tats endossant un rôle d’acteur privé</w:t>
      </w:r>
      <w:r w:rsidR="004662CD" w:rsidRPr="00E72418">
        <w:t>, rôle relatif comme le relève toutefois Pierre d’Argent</w:t>
      </w:r>
      <w:r w:rsidR="004662CD" w:rsidRPr="00E72418">
        <w:rPr>
          <w:rStyle w:val="Appelnotedebasdep"/>
        </w:rPr>
        <w:footnoteReference w:id="1108"/>
      </w:r>
      <w:r w:rsidR="004662CD" w:rsidRPr="00E72418">
        <w:t>,</w:t>
      </w:r>
      <w:r w:rsidR="00044A1A" w:rsidRPr="00E72418">
        <w:t xml:space="preserve"> un bénéfice immunitaire uniquement </w:t>
      </w:r>
      <w:r w:rsidR="00387621" w:rsidRPr="00E72418">
        <w:t>justifié par leur souveraineté.</w:t>
      </w:r>
    </w:p>
    <w:p w14:paraId="009FE1B6" w14:textId="77777777" w:rsidR="00387621" w:rsidRPr="00E72418" w:rsidRDefault="00387621" w:rsidP="0054314B"/>
    <w:p w14:paraId="10A2B76C" w14:textId="2BFEB78D" w:rsidR="006D50CA" w:rsidRPr="00E72418" w:rsidRDefault="007F038F" w:rsidP="00CC4BA8">
      <w:pPr>
        <w:spacing w:line="276" w:lineRule="auto"/>
        <w:rPr>
          <w:rFonts w:ascii="Times-Roman" w:hAnsi="Times-Roman" w:cs="Times-Roman"/>
          <w:szCs w:val="24"/>
        </w:rPr>
      </w:pPr>
      <w:r w:rsidRPr="00E72418">
        <w:rPr>
          <w:b/>
        </w:rPr>
        <w:t>221</w:t>
      </w:r>
      <w:r w:rsidR="00A9718E" w:rsidRPr="00E72418">
        <w:rPr>
          <w:b/>
        </w:rPr>
        <w:t xml:space="preserve">. </w:t>
      </w:r>
      <w:r w:rsidR="00EA1EA8" w:rsidRPr="00E72418">
        <w:rPr>
          <w:b/>
        </w:rPr>
        <w:t>L’article 19, c)</w:t>
      </w:r>
      <w:r w:rsidR="0025407D" w:rsidRPr="00E72418">
        <w:rPr>
          <w:b/>
        </w:rPr>
        <w:t xml:space="preserve"> de la</w:t>
      </w:r>
      <w:r w:rsidR="00B064E9" w:rsidRPr="00E72418">
        <w:rPr>
          <w:b/>
        </w:rPr>
        <w:t xml:space="preserve"> Convention des Nations Unies sur les immunités juridictionnelles des </w:t>
      </w:r>
      <w:r w:rsidR="00B064E9" w:rsidRPr="00E72418">
        <w:rPr>
          <w:b/>
          <w:lang w:eastAsia="fr-BE"/>
        </w:rPr>
        <w:t>É</w:t>
      </w:r>
      <w:r w:rsidR="00B064E9" w:rsidRPr="00E72418">
        <w:rPr>
          <w:b/>
        </w:rPr>
        <w:t>tats et de leurs biens</w:t>
      </w:r>
      <w:r w:rsidR="00B064E9" w:rsidRPr="00E72418">
        <w:rPr>
          <w:rFonts w:ascii="Times-Roman" w:hAnsi="Times-Roman" w:cs="Times-Roman"/>
          <w:b/>
          <w:szCs w:val="24"/>
        </w:rPr>
        <w:t xml:space="preserve"> </w:t>
      </w:r>
      <w:r w:rsidR="006D50CA" w:rsidRPr="00E72418">
        <w:rPr>
          <w:rFonts w:ascii="Times-Roman" w:hAnsi="Times-Roman" w:cs="Times-Roman"/>
          <w:b/>
          <w:szCs w:val="24"/>
        </w:rPr>
        <w:t xml:space="preserve">– </w:t>
      </w:r>
      <w:r w:rsidR="00387621" w:rsidRPr="00E72418">
        <w:rPr>
          <w:rFonts w:ascii="Times-Roman" w:hAnsi="Times-Roman" w:cs="Times-Roman"/>
          <w:szCs w:val="24"/>
        </w:rPr>
        <w:t>La</w:t>
      </w:r>
      <w:r w:rsidR="006D50CA" w:rsidRPr="00E72418">
        <w:t xml:space="preserve"> Convention des Nations Unies </w:t>
      </w:r>
      <w:r w:rsidR="00387621" w:rsidRPr="00E72418">
        <w:t xml:space="preserve">de 2004 </w:t>
      </w:r>
      <w:r w:rsidR="006D50CA" w:rsidRPr="00E72418">
        <w:t>prévoit que certains biens ne sont pas protégés en raison de leur nature particulière.</w:t>
      </w:r>
      <w:r w:rsidR="00E77585" w:rsidRPr="00E72418">
        <w:rPr>
          <w:rFonts w:ascii="Times-Roman" w:hAnsi="Times-Roman" w:cs="Times-Roman"/>
          <w:szCs w:val="24"/>
        </w:rPr>
        <w:t xml:space="preserve"> </w:t>
      </w:r>
      <w:r w:rsidR="006D50CA" w:rsidRPr="00E72418">
        <w:t>L’exception commerciale à l’immunité d’exécu</w:t>
      </w:r>
      <w:r w:rsidR="0054213B" w:rsidRPr="00E72418">
        <w:t xml:space="preserve">tion </w:t>
      </w:r>
      <w:r w:rsidR="0025407D" w:rsidRPr="00E72418">
        <w:t xml:space="preserve">y </w:t>
      </w:r>
      <w:r w:rsidR="0054213B" w:rsidRPr="00E72418">
        <w:t xml:space="preserve">est reprise à l’article 19, </w:t>
      </w:r>
      <w:r w:rsidR="006D50CA" w:rsidRPr="00E72418">
        <w:t>c)</w:t>
      </w:r>
      <w:r w:rsidR="0025407D" w:rsidRPr="00E72418">
        <w:t xml:space="preserve"> </w:t>
      </w:r>
      <w:r w:rsidR="00E77585" w:rsidRPr="00E72418">
        <w:t>qui prévoit</w:t>
      </w:r>
      <w:r w:rsidR="006D50CA" w:rsidRPr="00E72418">
        <w:t xml:space="preserve"> que des mesures de contrainte </w:t>
      </w:r>
      <w:r w:rsidR="00E77585" w:rsidRPr="00E72418">
        <w:t xml:space="preserve">postérieures au jugement </w:t>
      </w:r>
      <w:r w:rsidR="006D50CA" w:rsidRPr="00E72418">
        <w:t>peuvent être prises contre des biens d’un État en relation avec une procédure intentée devant un tribunal d’un autre État s’il a été établi que les biens sont spécifiquement utilisés ou destinés à être utilisés par l’État poursuivi autrement qu’à des fins de service public non commerciales et sont situés sur le territoire de l’État du for</w:t>
      </w:r>
      <w:r w:rsidR="006D50CA" w:rsidRPr="00E72418">
        <w:rPr>
          <w:rStyle w:val="Appelnotedebasdep"/>
        </w:rPr>
        <w:footnoteReference w:id="1109"/>
      </w:r>
      <w:r w:rsidR="00CF7A69" w:rsidRPr="00E72418">
        <w:rPr>
          <w:vertAlign w:val="superscript"/>
        </w:rPr>
        <w:t>,</w:t>
      </w:r>
      <w:r w:rsidR="00E77585" w:rsidRPr="00E72418">
        <w:rPr>
          <w:rStyle w:val="Appelnotedebasdep"/>
        </w:rPr>
        <w:footnoteReference w:id="1110"/>
      </w:r>
      <w:r w:rsidR="006D50CA" w:rsidRPr="00E72418">
        <w:t>. Outre cette utilisation particulière, il fa</w:t>
      </w:r>
      <w:r w:rsidR="0054213B" w:rsidRPr="00E72418">
        <w:t xml:space="preserve">ut encore, précise l’article 19, </w:t>
      </w:r>
      <w:r w:rsidR="006D50CA" w:rsidRPr="00E72418">
        <w:t xml:space="preserve">c) de la Convention, que les mesures ne portent que sur des biens qui ont un lien avec l’entité contre laquelle la procédure a été intentée. </w:t>
      </w:r>
      <w:r w:rsidR="006D50CA" w:rsidRPr="00E72418">
        <w:rPr>
          <w:bCs/>
          <w:szCs w:val="24"/>
        </w:rPr>
        <w:t>Cette précision permet d’éviter les saisies croisées qui seraient pratiquées sur les biens appartenant à une entité infra-étatique alors que le débiteur serait l’</w:t>
      </w:r>
      <w:r w:rsidR="006D50CA" w:rsidRPr="00E72418">
        <w:rPr>
          <w:lang w:eastAsia="fr-BE"/>
        </w:rPr>
        <w:t>É</w:t>
      </w:r>
      <w:r w:rsidR="006D50CA" w:rsidRPr="00E72418">
        <w:rPr>
          <w:bCs/>
          <w:szCs w:val="24"/>
        </w:rPr>
        <w:t>tat et inversement</w:t>
      </w:r>
      <w:r w:rsidR="006D50CA" w:rsidRPr="00E72418">
        <w:rPr>
          <w:rStyle w:val="Appelnotedebasdep"/>
          <w:rFonts w:cs="Times New Roman"/>
          <w:bCs/>
          <w:szCs w:val="24"/>
        </w:rPr>
        <w:footnoteReference w:id="1111"/>
      </w:r>
      <w:r w:rsidR="006D50CA" w:rsidRPr="00E72418">
        <w:rPr>
          <w:bCs/>
          <w:szCs w:val="24"/>
        </w:rPr>
        <w:t xml:space="preserve">. </w:t>
      </w:r>
      <w:r w:rsidR="006D50CA" w:rsidRPr="00E72418">
        <w:rPr>
          <w:szCs w:val="24"/>
        </w:rPr>
        <w:t>L’expression « les biens qui ont un lien avec l’entité » utilisée s’entend dans un sens plus large que la propriété ou la possession</w:t>
      </w:r>
      <w:r w:rsidR="006D50CA" w:rsidRPr="00E72418">
        <w:rPr>
          <w:rStyle w:val="Appelnotedebasdep"/>
          <w:rFonts w:cs="Times New Roman"/>
          <w:szCs w:val="24"/>
        </w:rPr>
        <w:footnoteReference w:id="1112"/>
      </w:r>
      <w:r w:rsidR="006D50CA" w:rsidRPr="00E72418">
        <w:rPr>
          <w:szCs w:val="24"/>
        </w:rPr>
        <w:t xml:space="preserve">. </w:t>
      </w:r>
      <w:r w:rsidR="006D50CA" w:rsidRPr="00E72418">
        <w:rPr>
          <w:bCs/>
          <w:szCs w:val="24"/>
        </w:rPr>
        <w:t xml:space="preserve">Le terme « entité » s’entend </w:t>
      </w:r>
      <w:r w:rsidR="006D50CA" w:rsidRPr="00E72418">
        <w:rPr>
          <w:szCs w:val="24"/>
        </w:rPr>
        <w:t>de l’État en tant que personnalité juridique indépendante, d’une unité constitutive d’un État fédéral, d’une subdivision d’un État, d’un organisme ou d’une institution étatique ou de toute autre entité, dotée d’une personnalité juridique indépendante</w:t>
      </w:r>
      <w:r w:rsidR="006D50CA" w:rsidRPr="00E72418">
        <w:rPr>
          <w:rStyle w:val="Appelnotedebasdep"/>
          <w:rFonts w:cs="Times New Roman"/>
          <w:szCs w:val="24"/>
        </w:rPr>
        <w:footnoteReference w:id="1113"/>
      </w:r>
      <w:r w:rsidR="00F30691" w:rsidRPr="00E72418">
        <w:rPr>
          <w:szCs w:val="24"/>
        </w:rPr>
        <w:t>.</w:t>
      </w:r>
    </w:p>
    <w:p w14:paraId="4D636C77" w14:textId="77777777" w:rsidR="00B064E9" w:rsidRPr="00E72418" w:rsidRDefault="00B064E9" w:rsidP="0054314B"/>
    <w:p w14:paraId="7A44EDD2" w14:textId="3C5CA9EF" w:rsidR="00B064E9" w:rsidRPr="00E72418" w:rsidRDefault="007F038F" w:rsidP="00CC4BA8">
      <w:pPr>
        <w:spacing w:line="276" w:lineRule="auto"/>
        <w:rPr>
          <w:bCs/>
          <w:szCs w:val="24"/>
        </w:rPr>
      </w:pPr>
      <w:r w:rsidRPr="00E72418">
        <w:rPr>
          <w:b/>
        </w:rPr>
        <w:t>222</w:t>
      </w:r>
      <w:r w:rsidR="00A9718E" w:rsidRPr="00E72418">
        <w:rPr>
          <w:b/>
        </w:rPr>
        <w:t xml:space="preserve">. </w:t>
      </w:r>
      <w:r w:rsidR="00B064E9" w:rsidRPr="00E72418">
        <w:rPr>
          <w:b/>
        </w:rPr>
        <w:t>L’article 1412</w:t>
      </w:r>
      <w:r w:rsidR="00B064E9" w:rsidRPr="00E72418">
        <w:rPr>
          <w:b/>
          <w:i/>
        </w:rPr>
        <w:t>quinquies</w:t>
      </w:r>
      <w:r w:rsidR="0025407D" w:rsidRPr="00E72418">
        <w:rPr>
          <w:b/>
        </w:rPr>
        <w:t xml:space="preserve">, </w:t>
      </w:r>
      <w:r w:rsidR="0025407D" w:rsidRPr="00E72418">
        <w:rPr>
          <w:b/>
          <w:bCs/>
          <w:szCs w:val="24"/>
        </w:rPr>
        <w:t xml:space="preserve">§2, 3°, </w:t>
      </w:r>
      <w:r w:rsidR="00B064E9" w:rsidRPr="00E72418">
        <w:rPr>
          <w:b/>
        </w:rPr>
        <w:t xml:space="preserve">du Code judiciaire belge – </w:t>
      </w:r>
      <w:r w:rsidR="00B064E9" w:rsidRPr="00E72418">
        <w:rPr>
          <w:bCs/>
          <w:szCs w:val="24"/>
        </w:rPr>
        <w:t>Conformément à l’article 1412</w:t>
      </w:r>
      <w:r w:rsidR="00B064E9" w:rsidRPr="00E72418">
        <w:rPr>
          <w:bCs/>
          <w:i/>
          <w:szCs w:val="24"/>
        </w:rPr>
        <w:t>quinquies</w:t>
      </w:r>
      <w:r w:rsidR="00B064E9" w:rsidRPr="00E72418">
        <w:rPr>
          <w:bCs/>
          <w:szCs w:val="24"/>
        </w:rPr>
        <w:t xml:space="preserve">, §2, 3°, du Code judiciaire, le créancier d’un </w:t>
      </w:r>
      <w:r w:rsidR="00B064E9" w:rsidRPr="00E72418">
        <w:rPr>
          <w:lang w:eastAsia="fr-BE"/>
        </w:rPr>
        <w:t>É</w:t>
      </w:r>
      <w:r w:rsidR="00B064E9" w:rsidRPr="00E72418">
        <w:rPr>
          <w:bCs/>
          <w:szCs w:val="24"/>
        </w:rPr>
        <w:t xml:space="preserve">tat étranger pourrait obtenir </w:t>
      </w:r>
      <w:r w:rsidR="004E3DF6" w:rsidRPr="00E72418">
        <w:rPr>
          <w:bCs/>
          <w:szCs w:val="24"/>
        </w:rPr>
        <w:t>l’</w:t>
      </w:r>
      <w:r w:rsidR="00B064E9" w:rsidRPr="00E72418">
        <w:rPr>
          <w:bCs/>
          <w:szCs w:val="24"/>
        </w:rPr>
        <w:t xml:space="preserve">autorisation de saisir les biens de ce dernier se trouvant sur le territoire belge s’il a été établi que ces biens sont spécifiquement utilisés ou destinés à être utilisés par la puissance étrangère autrement qu’à des fins de </w:t>
      </w:r>
      <w:r w:rsidR="004E3DF6" w:rsidRPr="00E72418">
        <w:rPr>
          <w:bCs/>
          <w:szCs w:val="24"/>
        </w:rPr>
        <w:t>service public non commerciales</w:t>
      </w:r>
      <w:r w:rsidR="00B24417" w:rsidRPr="00E72418">
        <w:rPr>
          <w:rStyle w:val="Appelnotedebasdep"/>
        </w:rPr>
        <w:footnoteReference w:id="1114"/>
      </w:r>
      <w:r w:rsidR="00B064E9" w:rsidRPr="00E72418">
        <w:rPr>
          <w:bCs/>
          <w:szCs w:val="24"/>
        </w:rPr>
        <w:t>. On constate ici la cohérence du droit belge avec le droit coutumier</w:t>
      </w:r>
      <w:r w:rsidR="00B064E9" w:rsidRPr="00E72418">
        <w:rPr>
          <w:rStyle w:val="Appelnotedebasdep"/>
          <w:rFonts w:cs="Times New Roman"/>
          <w:bCs/>
          <w:szCs w:val="24"/>
        </w:rPr>
        <w:footnoteReference w:id="1115"/>
      </w:r>
      <w:r w:rsidR="00B24417" w:rsidRPr="00E72418">
        <w:rPr>
          <w:bCs/>
          <w:szCs w:val="24"/>
        </w:rPr>
        <w:t xml:space="preserve">. Outre leur </w:t>
      </w:r>
      <w:r w:rsidR="00B064E9" w:rsidRPr="00E72418">
        <w:rPr>
          <w:bCs/>
          <w:szCs w:val="24"/>
        </w:rPr>
        <w:t xml:space="preserve">utilisation </w:t>
      </w:r>
      <w:r w:rsidR="00B24417" w:rsidRPr="00E72418">
        <w:rPr>
          <w:bCs/>
          <w:szCs w:val="24"/>
        </w:rPr>
        <w:t>particulière</w:t>
      </w:r>
      <w:r w:rsidR="00B064E9" w:rsidRPr="00E72418">
        <w:rPr>
          <w:bCs/>
          <w:szCs w:val="24"/>
        </w:rPr>
        <w:t xml:space="preserve">, </w:t>
      </w:r>
      <w:r w:rsidR="00B24417" w:rsidRPr="00E72418">
        <w:rPr>
          <w:bCs/>
          <w:szCs w:val="24"/>
        </w:rPr>
        <w:t xml:space="preserve">le créancier doit </w:t>
      </w:r>
      <w:r w:rsidR="00B24417" w:rsidRPr="00E72418">
        <w:rPr>
          <w:bCs/>
          <w:szCs w:val="24"/>
        </w:rPr>
        <w:lastRenderedPageBreak/>
        <w:t>démontrer le lien de</w:t>
      </w:r>
      <w:r w:rsidR="00B064E9" w:rsidRPr="00E72418">
        <w:rPr>
          <w:bCs/>
          <w:szCs w:val="24"/>
        </w:rPr>
        <w:t>s biens avec l’entité visée par le titre exécutoire ou le titre authentique ou privé qui,</w:t>
      </w:r>
      <w:r w:rsidR="00B24417" w:rsidRPr="00E72418">
        <w:rPr>
          <w:bCs/>
          <w:szCs w:val="24"/>
        </w:rPr>
        <w:t xml:space="preserve"> selon le cas, fonde la saisie.</w:t>
      </w:r>
    </w:p>
    <w:p w14:paraId="4164867A" w14:textId="77777777" w:rsidR="00B064E9" w:rsidRPr="00E72418" w:rsidRDefault="00B064E9" w:rsidP="0054314B"/>
    <w:p w14:paraId="4887D375" w14:textId="5E57AA25" w:rsidR="00B064E9" w:rsidRPr="00E72418" w:rsidRDefault="007F038F" w:rsidP="00CC4BA8">
      <w:pPr>
        <w:spacing w:line="276" w:lineRule="auto"/>
      </w:pPr>
      <w:r w:rsidRPr="00E72418">
        <w:rPr>
          <w:b/>
        </w:rPr>
        <w:t>223</w:t>
      </w:r>
      <w:r w:rsidR="00A9718E" w:rsidRPr="00E72418">
        <w:rPr>
          <w:b/>
        </w:rPr>
        <w:t xml:space="preserve">. </w:t>
      </w:r>
      <w:r w:rsidR="0025407D" w:rsidRPr="00E72418">
        <w:rPr>
          <w:b/>
        </w:rPr>
        <w:t>L’article L.</w:t>
      </w:r>
      <w:r w:rsidR="006445D4" w:rsidRPr="00E72418">
        <w:rPr>
          <w:b/>
        </w:rPr>
        <w:t xml:space="preserve"> </w:t>
      </w:r>
      <w:r w:rsidR="0025407D" w:rsidRPr="00E72418">
        <w:rPr>
          <w:b/>
        </w:rPr>
        <w:t xml:space="preserve">111-1-2, alinéa 1, 3° </w:t>
      </w:r>
      <w:r w:rsidR="00B064E9" w:rsidRPr="00E72418">
        <w:rPr>
          <w:b/>
        </w:rPr>
        <w:t xml:space="preserve">du Code des procédures civiles d’exécution français – </w:t>
      </w:r>
      <w:r w:rsidR="00B064E9" w:rsidRPr="00E72418">
        <w:t xml:space="preserve">Parmi les conditions auxquelles des mesures de contrainte visant un bien appartenant à un </w:t>
      </w:r>
      <w:r w:rsidR="00B064E9" w:rsidRPr="00E72418">
        <w:rPr>
          <w:lang w:eastAsia="fr-BE"/>
        </w:rPr>
        <w:t>É</w:t>
      </w:r>
      <w:r w:rsidR="00B064E9" w:rsidRPr="00E72418">
        <w:t>tat étranger peuvent être autorisées</w:t>
      </w:r>
      <w:r w:rsidR="0025407D" w:rsidRPr="00E72418">
        <w:t xml:space="preserve"> par le juge français</w:t>
      </w:r>
      <w:r w:rsidR="00B064E9" w:rsidRPr="00E72418">
        <w:t>, l’on retrouve à l’article L.</w:t>
      </w:r>
      <w:r w:rsidR="006445D4" w:rsidRPr="00E72418">
        <w:t xml:space="preserve"> </w:t>
      </w:r>
      <w:r w:rsidR="00B064E9" w:rsidRPr="00E72418">
        <w:t xml:space="preserve">111-1-2, alinéa 1, 3°, du Code des procédures civiles d’exécution celle où le bien en question est spécifiquement utilisé ou destiné à être utilisé par ledit </w:t>
      </w:r>
      <w:r w:rsidR="00B064E9" w:rsidRPr="00E72418">
        <w:rPr>
          <w:lang w:eastAsia="fr-BE"/>
        </w:rPr>
        <w:t>É</w:t>
      </w:r>
      <w:r w:rsidR="00B064E9" w:rsidRPr="00E72418">
        <w:t>tat autrement qu’à des fins de service public non commerciales. Il faut par ailleurs que le bien entretienne un lien avec l’entité contre laquelle la procédure a</w:t>
      </w:r>
      <w:r w:rsidR="0025407D" w:rsidRPr="00E72418">
        <w:t xml:space="preserve"> été intentée. Cette possible autorisation de mesures de contrainte découlant de l’exception commerciale consacrée en droit français</w:t>
      </w:r>
      <w:r w:rsidR="00B064E9" w:rsidRPr="00E72418">
        <w:t xml:space="preserve"> ne concerne que les mesures postérieures aux décisions, l’article L.</w:t>
      </w:r>
      <w:r w:rsidR="006445D4" w:rsidRPr="00E72418">
        <w:t xml:space="preserve"> </w:t>
      </w:r>
      <w:r w:rsidR="00B064E9" w:rsidRPr="00E72418">
        <w:t>111-1-2, alinéa 1, 3°, précisant qu’il faut qu’un jugement ou une sentence arbitrale ait été rendu contre l’</w:t>
      </w:r>
      <w:r w:rsidR="00B064E9" w:rsidRPr="00E72418">
        <w:rPr>
          <w:lang w:eastAsia="fr-BE"/>
        </w:rPr>
        <w:t>É</w:t>
      </w:r>
      <w:r w:rsidR="00B064E9" w:rsidRPr="00E72418">
        <w:t>tat concerné.</w:t>
      </w:r>
    </w:p>
    <w:p w14:paraId="1DC800E1" w14:textId="77777777" w:rsidR="00EE260A" w:rsidRPr="00E72418" w:rsidRDefault="00EE260A" w:rsidP="0054314B"/>
    <w:p w14:paraId="113AC369" w14:textId="62B5B13B" w:rsidR="006D50CA" w:rsidRPr="00E72418" w:rsidRDefault="007F038F" w:rsidP="00CC4BA8">
      <w:pPr>
        <w:spacing w:line="276" w:lineRule="auto"/>
        <w:rPr>
          <w:rFonts w:ascii="Times New Roman" w:hAnsi="Times New Roman" w:cs="Times New Roman"/>
          <w:szCs w:val="24"/>
        </w:rPr>
      </w:pPr>
      <w:r w:rsidRPr="00E72418">
        <w:rPr>
          <w:b/>
        </w:rPr>
        <w:t>224</w:t>
      </w:r>
      <w:r w:rsidR="00A9718E" w:rsidRPr="00E72418">
        <w:rPr>
          <w:b/>
        </w:rPr>
        <w:t xml:space="preserve">. </w:t>
      </w:r>
      <w:r w:rsidR="0025407D" w:rsidRPr="00E72418">
        <w:rPr>
          <w:b/>
        </w:rPr>
        <w:t>L’article 13(4) du</w:t>
      </w:r>
      <w:r w:rsidR="00B064E9" w:rsidRPr="00E72418">
        <w:rPr>
          <w:b/>
        </w:rPr>
        <w:t xml:space="preserve"> </w:t>
      </w:r>
      <w:r w:rsidR="00B064E9" w:rsidRPr="00E72418">
        <w:rPr>
          <w:b/>
          <w:i/>
        </w:rPr>
        <w:t>State Immunity Act</w:t>
      </w:r>
      <w:r w:rsidR="00B064E9" w:rsidRPr="00E72418">
        <w:rPr>
          <w:b/>
        </w:rPr>
        <w:t xml:space="preserve"> britannique –</w:t>
      </w:r>
      <w:r w:rsidR="00B064E9" w:rsidRPr="00E72418">
        <w:rPr>
          <w:szCs w:val="24"/>
        </w:rPr>
        <w:t xml:space="preserve"> </w:t>
      </w:r>
      <w:r w:rsidR="00411492" w:rsidRPr="00E72418">
        <w:rPr>
          <w:szCs w:val="24"/>
        </w:rPr>
        <w:t xml:space="preserve">Comme la Belgique et la France, le Royaume-Uni a repris dans sa législation </w:t>
      </w:r>
      <w:r w:rsidR="00B064E9" w:rsidRPr="00E72418">
        <w:rPr>
          <w:szCs w:val="24"/>
        </w:rPr>
        <w:t xml:space="preserve">l’exception commerciale à l’immunité d’exécution. </w:t>
      </w:r>
      <w:r w:rsidR="00411492" w:rsidRPr="00E72418">
        <w:rPr>
          <w:szCs w:val="24"/>
        </w:rPr>
        <w:t>Ainsi, l</w:t>
      </w:r>
      <w:r w:rsidR="00B064E9" w:rsidRPr="00E72418">
        <w:rPr>
          <w:szCs w:val="24"/>
        </w:rPr>
        <w:t xml:space="preserve">’article 13(4) </w:t>
      </w:r>
      <w:r w:rsidR="00411492" w:rsidRPr="00E72418">
        <w:rPr>
          <w:szCs w:val="24"/>
        </w:rPr>
        <w:t xml:space="preserve">du </w:t>
      </w:r>
      <w:r w:rsidR="00411492" w:rsidRPr="00E72418">
        <w:rPr>
          <w:i/>
          <w:szCs w:val="24"/>
        </w:rPr>
        <w:t>State Immunity Act</w:t>
      </w:r>
      <w:r w:rsidR="00411492" w:rsidRPr="00E72418">
        <w:rPr>
          <w:szCs w:val="24"/>
        </w:rPr>
        <w:t xml:space="preserve"> </w:t>
      </w:r>
      <w:r w:rsidR="005531C4" w:rsidRPr="00E72418">
        <w:rPr>
          <w:szCs w:val="24"/>
        </w:rPr>
        <w:t>relativise l’immunité</w:t>
      </w:r>
      <w:r w:rsidR="00B064E9" w:rsidRPr="00E72418">
        <w:rPr>
          <w:szCs w:val="24"/>
        </w:rPr>
        <w:t xml:space="preserve"> prévue à l’article 13(2)(b) en disposant que « </w:t>
      </w:r>
      <w:r w:rsidR="00B064E9" w:rsidRPr="00E72418">
        <w:rPr>
          <w:rFonts w:ascii="Times New Roman" w:hAnsi="Times New Roman"/>
        </w:rPr>
        <w:t>[s]</w:t>
      </w:r>
      <w:r w:rsidR="00B064E9" w:rsidRPr="00E72418">
        <w:rPr>
          <w:szCs w:val="24"/>
          <w:shd w:val="clear" w:color="auto" w:fill="FFFFFF"/>
        </w:rPr>
        <w:t>ubsection (2)(</w:t>
      </w:r>
      <w:r w:rsidR="00B064E9" w:rsidRPr="00E72418">
        <w:rPr>
          <w:rStyle w:val="Accentuation"/>
          <w:rFonts w:cs="Times New Roman"/>
          <w:i w:val="0"/>
          <w:szCs w:val="24"/>
          <w:shd w:val="clear" w:color="auto" w:fill="FFFFFF"/>
        </w:rPr>
        <w:t>b</w:t>
      </w:r>
      <w:r w:rsidR="00B064E9" w:rsidRPr="00E72418">
        <w:rPr>
          <w:szCs w:val="24"/>
          <w:shd w:val="clear" w:color="auto" w:fill="FFFFFF"/>
        </w:rPr>
        <w:t xml:space="preserve">) above does not prevent the issue of any process in respect of property which is for the time being in use or intended for use for commercial purposes </w:t>
      </w:r>
      <w:r w:rsidR="00B064E9" w:rsidRPr="00E72418">
        <w:rPr>
          <w:rFonts w:ascii="Times New Roman" w:hAnsi="Times New Roman"/>
        </w:rPr>
        <w:t xml:space="preserve">[…] </w:t>
      </w:r>
      <w:r w:rsidR="00B064E9" w:rsidRPr="00E72418">
        <w:rPr>
          <w:szCs w:val="24"/>
        </w:rPr>
        <w:t>»</w:t>
      </w:r>
      <w:r w:rsidR="00B064E9" w:rsidRPr="00E72418">
        <w:rPr>
          <w:rStyle w:val="Appelnotedebasdep"/>
          <w:szCs w:val="24"/>
        </w:rPr>
        <w:footnoteReference w:id="1116"/>
      </w:r>
      <w:r w:rsidR="00B064E9" w:rsidRPr="00E72418">
        <w:rPr>
          <w:szCs w:val="24"/>
          <w:shd w:val="clear" w:color="auto" w:fill="FFFFFF"/>
        </w:rPr>
        <w:t xml:space="preserve">. </w:t>
      </w:r>
      <w:r w:rsidR="00411492" w:rsidRPr="00E72418">
        <w:rPr>
          <w:rFonts w:ascii="Times New Roman" w:hAnsi="Times New Roman" w:cs="Times New Roman"/>
          <w:szCs w:val="24"/>
          <w:shd w:val="clear" w:color="auto" w:fill="FFFFFF"/>
        </w:rPr>
        <w:t xml:space="preserve">L’article 17(1) dispose quant à lui que </w:t>
      </w:r>
      <w:r w:rsidR="00B064E9" w:rsidRPr="00E72418">
        <w:rPr>
          <w:rFonts w:ascii="Times New Roman" w:hAnsi="Times New Roman" w:cs="Times New Roman"/>
          <w:szCs w:val="24"/>
          <w:shd w:val="clear" w:color="auto" w:fill="FFFFFF"/>
        </w:rPr>
        <w:t xml:space="preserve">« “commercial purposes” means purposes of such transactions or activities as are mentioned in section 3(3) above </w:t>
      </w:r>
      <w:r w:rsidR="00B064E9" w:rsidRPr="00E72418">
        <w:rPr>
          <w:rFonts w:ascii="Times New Roman" w:hAnsi="Times New Roman" w:cs="Times New Roman"/>
          <w:szCs w:val="24"/>
        </w:rPr>
        <w:t>», à savoir donc d</w:t>
      </w:r>
      <w:r w:rsidR="00411492" w:rsidRPr="00E72418">
        <w:rPr>
          <w:rFonts w:ascii="Times New Roman" w:hAnsi="Times New Roman" w:cs="Times New Roman"/>
          <w:szCs w:val="24"/>
        </w:rPr>
        <w:t>es « </w:t>
      </w:r>
      <w:r w:rsidR="00411492" w:rsidRPr="000F5FE4">
        <w:rPr>
          <w:rFonts w:ascii="Times New Roman" w:hAnsi="Times New Roman" w:cs="Times New Roman"/>
          <w:szCs w:val="24"/>
        </w:rPr>
        <w:t>commercial transactions</w:t>
      </w:r>
      <w:r w:rsidR="00411492" w:rsidRPr="00E72418">
        <w:rPr>
          <w:rFonts w:ascii="Times New Roman" w:hAnsi="Times New Roman" w:cs="Times New Roman"/>
          <w:szCs w:val="24"/>
        </w:rPr>
        <w:t> »</w:t>
      </w:r>
      <w:r w:rsidR="00411492" w:rsidRPr="00E72418">
        <w:rPr>
          <w:rStyle w:val="Appelnotedebasdep"/>
          <w:rFonts w:ascii="Times New Roman" w:hAnsi="Times New Roman" w:cs="Times New Roman"/>
          <w:szCs w:val="24"/>
        </w:rPr>
        <w:footnoteReference w:id="1117"/>
      </w:r>
      <w:r w:rsidR="00411492" w:rsidRPr="00E72418">
        <w:rPr>
          <w:rFonts w:ascii="Times New Roman" w:hAnsi="Times New Roman" w:cs="Times New Roman"/>
          <w:szCs w:val="24"/>
        </w:rPr>
        <w:t>.</w:t>
      </w:r>
      <w:r w:rsidR="00B064E9" w:rsidRPr="00E72418">
        <w:rPr>
          <w:szCs w:val="24"/>
          <w:shd w:val="clear" w:color="auto" w:fill="FFFFFF"/>
        </w:rPr>
        <w:t xml:space="preserve"> </w:t>
      </w:r>
      <w:r w:rsidR="00411492" w:rsidRPr="00E72418">
        <w:t>À</w:t>
      </w:r>
      <w:r w:rsidR="00411492" w:rsidRPr="00E72418">
        <w:rPr>
          <w:szCs w:val="24"/>
          <w:shd w:val="clear" w:color="auto" w:fill="FFFFFF"/>
        </w:rPr>
        <w:t xml:space="preserve"> la différence des lois belge et française, l</w:t>
      </w:r>
      <w:r w:rsidR="00B064E9" w:rsidRPr="00E72418">
        <w:rPr>
          <w:szCs w:val="24"/>
          <w:shd w:val="clear" w:color="auto" w:fill="FFFFFF"/>
        </w:rPr>
        <w:t>’exigence d’un lien entre le bien et la demande que le créancier cherche à satisfaire est ici inexistante.</w:t>
      </w:r>
    </w:p>
    <w:p w14:paraId="405D8407" w14:textId="77777777" w:rsidR="00A96174" w:rsidRPr="00E72418" w:rsidRDefault="00A96174" w:rsidP="0054314B"/>
    <w:p w14:paraId="166746D9" w14:textId="629FFB2C" w:rsidR="006D50CA" w:rsidRPr="00E72418" w:rsidRDefault="007F038F" w:rsidP="00CC4BA8">
      <w:pPr>
        <w:spacing w:line="276" w:lineRule="auto"/>
        <w:rPr>
          <w:rFonts w:cs="Times New Roman"/>
        </w:rPr>
      </w:pPr>
      <w:r w:rsidRPr="00E72418">
        <w:rPr>
          <w:b/>
        </w:rPr>
        <w:t>225</w:t>
      </w:r>
      <w:r w:rsidR="00A9718E" w:rsidRPr="00E72418">
        <w:rPr>
          <w:b/>
        </w:rPr>
        <w:t xml:space="preserve">. </w:t>
      </w:r>
      <w:r w:rsidR="0025407D" w:rsidRPr="00E72418">
        <w:rPr>
          <w:b/>
        </w:rPr>
        <w:t>L’article 1610(a)(2) du</w:t>
      </w:r>
      <w:r w:rsidR="00B064E9" w:rsidRPr="00E72418">
        <w:rPr>
          <w:b/>
        </w:rPr>
        <w:t xml:space="preserve"> </w:t>
      </w:r>
      <w:r w:rsidR="00B064E9" w:rsidRPr="00E72418">
        <w:rPr>
          <w:b/>
          <w:i/>
        </w:rPr>
        <w:t>Foreign Sovereign Immunities Act</w:t>
      </w:r>
      <w:r w:rsidR="00B064E9" w:rsidRPr="00E72418">
        <w:rPr>
          <w:b/>
        </w:rPr>
        <w:t xml:space="preserve"> étatsunien </w:t>
      </w:r>
      <w:r w:rsidR="00CC5A04" w:rsidRPr="00E72418">
        <w:rPr>
          <w:b/>
        </w:rPr>
        <w:t>–</w:t>
      </w:r>
      <w:r w:rsidR="006D50CA" w:rsidRPr="00E72418">
        <w:t xml:space="preserve"> Dans l’article 1602 reprenant les « findings and declaration of purpose » du régime immunitaire mis en pla</w:t>
      </w:r>
      <w:r w:rsidR="0004079A" w:rsidRPr="00E72418">
        <w:t>ce</w:t>
      </w:r>
      <w:r w:rsidR="00CD74E0" w:rsidRPr="00E72418">
        <w:t xml:space="preserve"> aux </w:t>
      </w:r>
      <w:r w:rsidR="00CD74E0" w:rsidRPr="00E72418">
        <w:rPr>
          <w:lang w:eastAsia="fr-BE"/>
        </w:rPr>
        <w:t>É</w:t>
      </w:r>
      <w:r w:rsidR="00CD74E0" w:rsidRPr="00E72418">
        <w:t>tats-Unis</w:t>
      </w:r>
      <w:r w:rsidR="0004079A" w:rsidRPr="00E72418">
        <w:t>, il est notamment indiqué qu’</w:t>
      </w:r>
      <w:r w:rsidR="006D50CA" w:rsidRPr="00E72418">
        <w:t xml:space="preserve"> « [u]nder international law, states are not immune from the jurisdiction of foreign courts insofar as their commercial activities are concerned, and their commercial property may be levied upon for the satisfaction of judgments rendered against them in connection with their commercial activities ».</w:t>
      </w:r>
      <w:r w:rsidR="006D50CA" w:rsidRPr="00E72418">
        <w:rPr>
          <w:rFonts w:cs="Times New Roman"/>
        </w:rPr>
        <w:t xml:space="preserve"> </w:t>
      </w:r>
      <w:r w:rsidR="0090174B" w:rsidRPr="00E72418">
        <w:t>La règle s’en</w:t>
      </w:r>
      <w:r w:rsidR="006D50CA" w:rsidRPr="00E72418">
        <w:t xml:space="preserve">suivant logiquement est reprise à l’article 1610(a)(2) qui dispose que « </w:t>
      </w:r>
      <w:r w:rsidR="006D50CA" w:rsidRPr="00E72418">
        <w:rPr>
          <w:rFonts w:ascii="Times New Roman" w:hAnsi="Times New Roman" w:cs="Times New Roman"/>
        </w:rPr>
        <w:t>[t]</w:t>
      </w:r>
      <w:r w:rsidR="006D50CA" w:rsidRPr="00E72418">
        <w:t>he property in the </w:t>
      </w:r>
      <w:hyperlink r:id="rId35" w:history="1">
        <w:r w:rsidR="006D50CA" w:rsidRPr="00E72418">
          <w:t>United States</w:t>
        </w:r>
      </w:hyperlink>
      <w:r w:rsidR="006D50CA" w:rsidRPr="00E72418">
        <w:t> of a foreign state</w:t>
      </w:r>
      <w:r w:rsidR="006D50CA" w:rsidRPr="00E72418">
        <w:rPr>
          <w:rFonts w:ascii="Times New Roman" w:hAnsi="Times New Roman" w:cs="Times New Roman"/>
        </w:rPr>
        <w:t xml:space="preserve"> […]</w:t>
      </w:r>
      <w:r w:rsidR="006D50CA" w:rsidRPr="00E72418">
        <w:t xml:space="preserve"> used for a</w:t>
      </w:r>
      <w:hyperlink r:id="rId36" w:history="1">
        <w:r w:rsidR="006D50CA" w:rsidRPr="00E72418">
          <w:t> commercial activity </w:t>
        </w:r>
      </w:hyperlink>
      <w:r w:rsidR="006D50CA" w:rsidRPr="00E72418">
        <w:t>in the</w:t>
      </w:r>
      <w:hyperlink r:id="rId37" w:history="1">
        <w:r w:rsidR="006D50CA" w:rsidRPr="00E72418">
          <w:t> United States,</w:t>
        </w:r>
      </w:hyperlink>
      <w:r w:rsidR="006D50CA" w:rsidRPr="00E72418">
        <w:t> shall not be immune from attachment in aid of execution, or from execution, upon a judgment entered by a</w:t>
      </w:r>
      <w:hyperlink r:id="rId38" w:history="1">
        <w:r w:rsidR="006D50CA" w:rsidRPr="00E72418">
          <w:t> court </w:t>
        </w:r>
      </w:hyperlink>
      <w:r w:rsidR="006D50CA" w:rsidRPr="00E72418">
        <w:t>of the</w:t>
      </w:r>
      <w:hyperlink r:id="rId39" w:history="1">
        <w:r w:rsidR="006D50CA" w:rsidRPr="00E72418">
          <w:t> United States </w:t>
        </w:r>
      </w:hyperlink>
      <w:r w:rsidR="006D50CA" w:rsidRPr="00E72418">
        <w:t>or of a</w:t>
      </w:r>
      <w:hyperlink r:id="rId40" w:history="1">
        <w:r w:rsidR="006D50CA" w:rsidRPr="00E72418">
          <w:t> State </w:t>
        </w:r>
      </w:hyperlink>
      <w:r w:rsidR="006D50CA" w:rsidRPr="00E72418">
        <w:t xml:space="preserve">after the effective date of this Act, if </w:t>
      </w:r>
      <w:r w:rsidR="006D50CA" w:rsidRPr="00E72418">
        <w:rPr>
          <w:rFonts w:ascii="Times New Roman" w:hAnsi="Times New Roman" w:cs="Times New Roman"/>
        </w:rPr>
        <w:t>[…]</w:t>
      </w:r>
      <w:r w:rsidR="006D50CA" w:rsidRPr="00E72418">
        <w:t xml:space="preserve"> the property is or was used for the </w:t>
      </w:r>
      <w:hyperlink r:id="rId41" w:history="1">
        <w:r w:rsidR="006D50CA" w:rsidRPr="00E72418">
          <w:t>commercial activity</w:t>
        </w:r>
      </w:hyperlink>
      <w:r w:rsidR="006D50CA" w:rsidRPr="00E72418">
        <w:t> </w:t>
      </w:r>
      <w:r w:rsidR="00430A10" w:rsidRPr="00E72418">
        <w:t>upon which the claim is based »</w:t>
      </w:r>
      <w:r w:rsidR="006D50CA" w:rsidRPr="00E72418">
        <w:rPr>
          <w:rStyle w:val="Appelnotedebasdep"/>
        </w:rPr>
        <w:footnoteReference w:id="1118"/>
      </w:r>
      <w:r w:rsidR="006D50CA" w:rsidRPr="00E72418">
        <w:t>.</w:t>
      </w:r>
      <w:r w:rsidR="00430A10" w:rsidRPr="00E72418">
        <w:rPr>
          <w:rFonts w:cs="Times New Roman"/>
        </w:rPr>
        <w:t xml:space="preserve"> </w:t>
      </w:r>
      <w:r w:rsidR="006D50CA" w:rsidRPr="00E72418">
        <w:rPr>
          <w:szCs w:val="24"/>
        </w:rPr>
        <w:t xml:space="preserve">La condition de </w:t>
      </w:r>
      <w:r w:rsidR="006D50CA" w:rsidRPr="00E72418">
        <w:rPr>
          <w:szCs w:val="24"/>
        </w:rPr>
        <w:lastRenderedPageBreak/>
        <w:t>l’utilisation du bien pour l’activité commerciale sur laquelle est basée la revendication du créancier limite fortement les possibilités offertes à ce dernier</w:t>
      </w:r>
      <w:r w:rsidR="006D50CA" w:rsidRPr="00E72418">
        <w:rPr>
          <w:rStyle w:val="Appelnotedebasdep"/>
          <w:szCs w:val="24"/>
        </w:rPr>
        <w:footnoteReference w:id="1119"/>
      </w:r>
      <w:r w:rsidR="00430A10" w:rsidRPr="00E72418">
        <w:rPr>
          <w:szCs w:val="24"/>
        </w:rPr>
        <w:t>.</w:t>
      </w:r>
    </w:p>
    <w:p w14:paraId="1315B30C" w14:textId="77777777" w:rsidR="006D50CA" w:rsidRPr="00E72418" w:rsidRDefault="006D50CA" w:rsidP="0054314B"/>
    <w:p w14:paraId="4282A063" w14:textId="09D257AF" w:rsidR="006D50CA" w:rsidRPr="00E72418" w:rsidRDefault="007F038F" w:rsidP="00CC4BA8">
      <w:pPr>
        <w:spacing w:line="276" w:lineRule="auto"/>
        <w:rPr>
          <w:rStyle w:val="injectednode"/>
          <w:rFonts w:cs="Times"/>
          <w:szCs w:val="24"/>
        </w:rPr>
      </w:pPr>
      <w:r w:rsidRPr="00E72418">
        <w:rPr>
          <w:rFonts w:cs="Times"/>
          <w:b/>
        </w:rPr>
        <w:t>226</w:t>
      </w:r>
      <w:r w:rsidR="00A9718E" w:rsidRPr="00E72418">
        <w:rPr>
          <w:rFonts w:cs="Times"/>
          <w:b/>
        </w:rPr>
        <w:t xml:space="preserve">. </w:t>
      </w:r>
      <w:r w:rsidR="006D50CA" w:rsidRPr="00E72418">
        <w:rPr>
          <w:rFonts w:cs="Times"/>
          <w:b/>
        </w:rPr>
        <w:t xml:space="preserve">Deux cas </w:t>
      </w:r>
      <w:r w:rsidR="00B57820" w:rsidRPr="00E72418">
        <w:rPr>
          <w:rFonts w:cs="Times"/>
          <w:b/>
        </w:rPr>
        <w:t xml:space="preserve">particuliers </w:t>
      </w:r>
      <w:r w:rsidR="006D50CA" w:rsidRPr="00E72418">
        <w:rPr>
          <w:rFonts w:cs="Times"/>
          <w:b/>
        </w:rPr>
        <w:t xml:space="preserve">d’application </w:t>
      </w:r>
      <w:r w:rsidR="00B064E9" w:rsidRPr="00E72418">
        <w:rPr>
          <w:rFonts w:cs="Times"/>
          <w:b/>
        </w:rPr>
        <w:t xml:space="preserve">du </w:t>
      </w:r>
      <w:r w:rsidR="00B064E9" w:rsidRPr="00E72418">
        <w:rPr>
          <w:b/>
          <w:i/>
        </w:rPr>
        <w:t>Foreign Sovereign Immunities Act</w:t>
      </w:r>
      <w:r w:rsidR="00B064E9" w:rsidRPr="00E72418">
        <w:rPr>
          <w:b/>
        </w:rPr>
        <w:t xml:space="preserve"> étatsunien</w:t>
      </w:r>
      <w:r w:rsidR="00B064E9" w:rsidRPr="00E72418">
        <w:rPr>
          <w:rFonts w:cs="Times"/>
          <w:b/>
        </w:rPr>
        <w:t xml:space="preserve"> </w:t>
      </w:r>
      <w:r w:rsidR="00B57820" w:rsidRPr="00E72418">
        <w:rPr>
          <w:rFonts w:cs="Times"/>
          <w:b/>
        </w:rPr>
        <w:t>lors du</w:t>
      </w:r>
      <w:r w:rsidR="006D50CA" w:rsidRPr="00E72418">
        <w:rPr>
          <w:rFonts w:cs="Times"/>
          <w:b/>
        </w:rPr>
        <w:t xml:space="preserve"> </w:t>
      </w:r>
      <w:r w:rsidR="00B57820" w:rsidRPr="00E72418">
        <w:rPr>
          <w:rFonts w:cs="Times"/>
          <w:b/>
        </w:rPr>
        <w:t xml:space="preserve">récent </w:t>
      </w:r>
      <w:r w:rsidR="006D50CA" w:rsidRPr="00E72418">
        <w:rPr>
          <w:rFonts w:cs="Times"/>
          <w:b/>
        </w:rPr>
        <w:t>contentieux argentin</w:t>
      </w:r>
      <w:r w:rsidR="006D50CA" w:rsidRPr="00E72418">
        <w:rPr>
          <w:rFonts w:cs="Times"/>
          <w:b/>
          <w:i/>
        </w:rPr>
        <w:t xml:space="preserve"> </w:t>
      </w:r>
      <w:r w:rsidR="006D50CA" w:rsidRPr="00E72418">
        <w:rPr>
          <w:rFonts w:cs="Times"/>
          <w:b/>
        </w:rPr>
        <w:t>–</w:t>
      </w:r>
      <w:r w:rsidR="006D50CA" w:rsidRPr="00E72418">
        <w:rPr>
          <w:rFonts w:cs="Times"/>
        </w:rPr>
        <w:t xml:space="preserve"> </w:t>
      </w:r>
      <w:r w:rsidR="00A727B4" w:rsidRPr="00E72418">
        <w:rPr>
          <w:rFonts w:cs="Times"/>
        </w:rPr>
        <w:t>E</w:t>
      </w:r>
      <w:r w:rsidR="006D50CA" w:rsidRPr="00E72418">
        <w:rPr>
          <w:rFonts w:cs="Times"/>
        </w:rPr>
        <w:t>n vue de l’exécution de la condamnation de la République argentine obtenue</w:t>
      </w:r>
      <w:r w:rsidR="00A727B4" w:rsidRPr="00E72418">
        <w:rPr>
          <w:rFonts w:cs="Times"/>
        </w:rPr>
        <w:t xml:space="preserve"> à la suite de son défaut sur sa dette au début du siècle</w:t>
      </w:r>
      <w:r w:rsidR="006D50CA" w:rsidRPr="00E72418">
        <w:rPr>
          <w:rFonts w:cs="Times"/>
        </w:rPr>
        <w:t>, ses créanciers</w:t>
      </w:r>
      <w:r w:rsidR="00A727B4" w:rsidRPr="00E72418">
        <w:rPr>
          <w:rFonts w:cs="Times"/>
        </w:rPr>
        <w:t>,</w:t>
      </w:r>
      <w:r w:rsidR="006D50CA" w:rsidRPr="00E72418">
        <w:rPr>
          <w:rFonts w:cs="Times"/>
        </w:rPr>
        <w:t xml:space="preserve"> </w:t>
      </w:r>
      <w:r w:rsidR="00A727B4" w:rsidRPr="00E72418">
        <w:rPr>
          <w:rFonts w:cs="Times"/>
        </w:rPr>
        <w:t xml:space="preserve">parmi lesquels le fonds spéculatif </w:t>
      </w:r>
      <w:r w:rsidR="00A727B4" w:rsidRPr="00E72418">
        <w:rPr>
          <w:rStyle w:val="injectednode"/>
          <w:rFonts w:cs="Times"/>
          <w:i/>
          <w:szCs w:val="24"/>
          <w:bdr w:val="none" w:sz="0" w:space="0" w:color="auto" w:frame="1"/>
        </w:rPr>
        <w:t>NML Capital Ltd.</w:t>
      </w:r>
      <w:r w:rsidR="00A727B4" w:rsidRPr="00E72418">
        <w:rPr>
          <w:rFonts w:cs="Times"/>
        </w:rPr>
        <w:t>, c</w:t>
      </w:r>
      <w:r w:rsidR="006D50CA" w:rsidRPr="00E72418">
        <w:rPr>
          <w:rFonts w:cs="Times"/>
        </w:rPr>
        <w:t xml:space="preserve">herchèrent </w:t>
      </w:r>
      <w:r w:rsidR="00A727B4" w:rsidRPr="00E72418">
        <w:rPr>
          <w:rFonts w:cs="Times"/>
        </w:rPr>
        <w:t>d</w:t>
      </w:r>
      <w:r w:rsidR="006D50CA" w:rsidRPr="00E72418">
        <w:rPr>
          <w:rFonts w:cs="Times"/>
        </w:rPr>
        <w:t xml:space="preserve">es biens </w:t>
      </w:r>
      <w:r w:rsidR="00A727B4" w:rsidRPr="00E72418">
        <w:rPr>
          <w:rFonts w:cs="Times"/>
        </w:rPr>
        <w:t>susceptibles</w:t>
      </w:r>
      <w:r w:rsidR="006D50CA" w:rsidRPr="00E72418">
        <w:rPr>
          <w:rFonts w:cs="Times"/>
        </w:rPr>
        <w:t xml:space="preserve"> de les désintéresser. </w:t>
      </w:r>
      <w:r w:rsidR="006D50CA" w:rsidRPr="00E72418">
        <w:rPr>
          <w:rFonts w:cs="Times"/>
          <w:szCs w:val="24"/>
        </w:rPr>
        <w:t>La localisation des avoirs argentins donna lie</w:t>
      </w:r>
      <w:r w:rsidR="00A727B4" w:rsidRPr="00E72418">
        <w:rPr>
          <w:rFonts w:cs="Times"/>
          <w:szCs w:val="24"/>
        </w:rPr>
        <w:t>u à de nombreux contentieux où d</w:t>
      </w:r>
      <w:r w:rsidR="006D50CA" w:rsidRPr="00E72418">
        <w:rPr>
          <w:rFonts w:cs="Times"/>
          <w:szCs w:val="24"/>
        </w:rPr>
        <w:t xml:space="preserve">es mesures de </w:t>
      </w:r>
      <w:r w:rsidR="006D50CA" w:rsidRPr="00E72418">
        <w:rPr>
          <w:rFonts w:cs="Times"/>
          <w:i/>
          <w:szCs w:val="24"/>
        </w:rPr>
        <w:t>discovery</w:t>
      </w:r>
      <w:r w:rsidR="006D50CA" w:rsidRPr="00E72418">
        <w:rPr>
          <w:rFonts w:cs="Times"/>
          <w:szCs w:val="24"/>
        </w:rPr>
        <w:t xml:space="preserve"> prévues par les </w:t>
      </w:r>
      <w:r w:rsidR="006D50CA" w:rsidRPr="00E72418">
        <w:rPr>
          <w:rFonts w:cs="Times"/>
          <w:i/>
          <w:szCs w:val="24"/>
        </w:rPr>
        <w:t>Federal Rules of civil procedure</w:t>
      </w:r>
      <w:r w:rsidR="006D50CA" w:rsidRPr="00E72418">
        <w:rPr>
          <w:rFonts w:cs="Times"/>
          <w:szCs w:val="24"/>
        </w:rPr>
        <w:t xml:space="preserve"> étatsuniennes furent sollicité</w:t>
      </w:r>
      <w:r w:rsidR="00A727B4" w:rsidRPr="00E72418">
        <w:rPr>
          <w:rFonts w:cs="Times"/>
          <w:szCs w:val="24"/>
        </w:rPr>
        <w:t>e</w:t>
      </w:r>
      <w:r w:rsidR="006D50CA" w:rsidRPr="00E72418">
        <w:rPr>
          <w:rFonts w:cs="Times"/>
          <w:szCs w:val="24"/>
        </w:rPr>
        <w:t xml:space="preserve">s par les créanciers afin </w:t>
      </w:r>
      <w:r w:rsidR="003055DA" w:rsidRPr="00E72418">
        <w:rPr>
          <w:rFonts w:cs="Times"/>
          <w:szCs w:val="24"/>
        </w:rPr>
        <w:t>de ré</w:t>
      </w:r>
      <w:r w:rsidR="00A727B4" w:rsidRPr="00E72418">
        <w:rPr>
          <w:rFonts w:cs="Times"/>
          <w:szCs w:val="24"/>
        </w:rPr>
        <w:t>colter</w:t>
      </w:r>
      <w:r w:rsidR="006D50CA" w:rsidRPr="00E72418">
        <w:rPr>
          <w:rFonts w:cs="Times"/>
          <w:szCs w:val="24"/>
        </w:rPr>
        <w:t xml:space="preserve"> des informations sur ces avoirs</w:t>
      </w:r>
      <w:r w:rsidR="006D50CA" w:rsidRPr="00E72418">
        <w:rPr>
          <w:rStyle w:val="Appelnotedebasdep"/>
          <w:rFonts w:cs="Times"/>
          <w:szCs w:val="24"/>
        </w:rPr>
        <w:footnoteReference w:id="1120"/>
      </w:r>
      <w:r w:rsidR="006D50CA" w:rsidRPr="00E72418">
        <w:rPr>
          <w:rFonts w:cs="Times"/>
          <w:szCs w:val="24"/>
        </w:rPr>
        <w:t xml:space="preserve">. </w:t>
      </w:r>
      <w:r w:rsidR="00A727B4" w:rsidRPr="00E72418">
        <w:rPr>
          <w:rFonts w:cs="Times"/>
          <w:szCs w:val="24"/>
        </w:rPr>
        <w:t>Ainsi, l</w:t>
      </w:r>
      <w:r w:rsidR="006D50CA" w:rsidRPr="00E72418">
        <w:rPr>
          <w:rStyle w:val="injectednode"/>
          <w:rFonts w:cs="Times"/>
          <w:szCs w:val="24"/>
          <w:bdr w:val="none" w:sz="0" w:space="0" w:color="auto" w:frame="1"/>
        </w:rPr>
        <w:t xml:space="preserve">a société </w:t>
      </w:r>
      <w:r w:rsidR="006D50CA" w:rsidRPr="00E72418">
        <w:rPr>
          <w:rStyle w:val="injectednode"/>
          <w:rFonts w:cs="Times"/>
          <w:i/>
          <w:szCs w:val="24"/>
          <w:bdr w:val="none" w:sz="0" w:space="0" w:color="auto" w:frame="1"/>
        </w:rPr>
        <w:t>NML Capital Ltd.</w:t>
      </w:r>
      <w:r w:rsidR="006D50CA" w:rsidRPr="00E72418">
        <w:rPr>
          <w:rStyle w:val="injectednode"/>
          <w:rFonts w:cs="Times"/>
          <w:szCs w:val="24"/>
          <w:bdr w:val="none" w:sz="0" w:space="0" w:color="auto" w:frame="1"/>
        </w:rPr>
        <w:t xml:space="preserve"> cita en justice les banques </w:t>
      </w:r>
      <w:r w:rsidR="00A727B4" w:rsidRPr="00E72418">
        <w:rPr>
          <w:rStyle w:val="injectednode"/>
          <w:rFonts w:cs="Times"/>
          <w:szCs w:val="24"/>
          <w:bdr w:val="none" w:sz="0" w:space="0" w:color="auto" w:frame="1"/>
        </w:rPr>
        <w:t>via</w:t>
      </w:r>
      <w:r w:rsidR="006D50CA" w:rsidRPr="00E72418">
        <w:rPr>
          <w:rStyle w:val="injectednode"/>
          <w:rFonts w:cs="Times"/>
          <w:szCs w:val="24"/>
          <w:bdr w:val="none" w:sz="0" w:space="0" w:color="auto" w:frame="1"/>
        </w:rPr>
        <w:t xml:space="preserve"> lesquelles la République argentine </w:t>
      </w:r>
      <w:r w:rsidR="00A727B4" w:rsidRPr="00E72418">
        <w:rPr>
          <w:rStyle w:val="injectednode"/>
          <w:rFonts w:cs="Times"/>
          <w:szCs w:val="24"/>
          <w:bdr w:val="none" w:sz="0" w:space="0" w:color="auto" w:frame="1"/>
        </w:rPr>
        <w:t>opérait</w:t>
      </w:r>
      <w:r w:rsidR="006D50CA" w:rsidRPr="00E72418">
        <w:rPr>
          <w:rStyle w:val="injectednode"/>
          <w:rFonts w:cs="Times"/>
          <w:szCs w:val="24"/>
          <w:bdr w:val="none" w:sz="0" w:space="0" w:color="auto" w:frame="1"/>
        </w:rPr>
        <w:t xml:space="preserve"> ses paiements afin d’obtenir des </w:t>
      </w:r>
      <w:r w:rsidR="00A727B4" w:rsidRPr="00E72418">
        <w:rPr>
          <w:rStyle w:val="injectednode"/>
          <w:rFonts w:cs="Times"/>
          <w:szCs w:val="24"/>
          <w:bdr w:val="none" w:sz="0" w:space="0" w:color="auto" w:frame="1"/>
        </w:rPr>
        <w:t>informations sur la façon dont s</w:t>
      </w:r>
      <w:r w:rsidR="006D50CA" w:rsidRPr="00E72418">
        <w:rPr>
          <w:rStyle w:val="injectednode"/>
          <w:rFonts w:cs="Times"/>
          <w:szCs w:val="24"/>
          <w:bdr w:val="none" w:sz="0" w:space="0" w:color="auto" w:frame="1"/>
        </w:rPr>
        <w:t xml:space="preserve">es avoirs étaient déplacés. La question qui se posa </w:t>
      </w:r>
      <w:r w:rsidR="00A727B4" w:rsidRPr="00E72418">
        <w:rPr>
          <w:rStyle w:val="injectednode"/>
          <w:rFonts w:cs="Times"/>
          <w:szCs w:val="24"/>
          <w:bdr w:val="none" w:sz="0" w:space="0" w:color="auto" w:frame="1"/>
        </w:rPr>
        <w:t xml:space="preserve">alors </w:t>
      </w:r>
      <w:r w:rsidR="006D50CA" w:rsidRPr="00E72418">
        <w:rPr>
          <w:rStyle w:val="injectednode"/>
          <w:rFonts w:cs="Times"/>
          <w:szCs w:val="24"/>
          <w:bdr w:val="none" w:sz="0" w:space="0" w:color="auto" w:frame="1"/>
        </w:rPr>
        <w:t xml:space="preserve">fut celle de la conciliation des </w:t>
      </w:r>
      <w:r w:rsidR="006D50CA" w:rsidRPr="00E72418">
        <w:rPr>
          <w:rFonts w:cs="Times"/>
          <w:szCs w:val="24"/>
        </w:rPr>
        <w:t xml:space="preserve">règles fédérales de procédure civile avec le régime immunitaire contenu dans le </w:t>
      </w:r>
      <w:r w:rsidR="006D50CA" w:rsidRPr="00E72418">
        <w:rPr>
          <w:rFonts w:cs="Times"/>
          <w:i/>
          <w:szCs w:val="24"/>
        </w:rPr>
        <w:t>Foreign Sovereign Immunities Act.</w:t>
      </w:r>
    </w:p>
    <w:p w14:paraId="284FC551" w14:textId="22749AEC" w:rsidR="006D50CA" w:rsidRPr="00E72418" w:rsidRDefault="006D50CA" w:rsidP="00CC4BA8">
      <w:pPr>
        <w:spacing w:line="276" w:lineRule="auto"/>
        <w:rPr>
          <w:rStyle w:val="injectednode"/>
          <w:rFonts w:cs="Times"/>
          <w:szCs w:val="24"/>
          <w:bdr w:val="none" w:sz="0" w:space="0" w:color="auto" w:frame="1"/>
        </w:rPr>
      </w:pPr>
      <w:r w:rsidRPr="00E72418">
        <w:rPr>
          <w:rFonts w:cs="Times"/>
        </w:rPr>
        <w:t xml:space="preserve">Saisie de la question, </w:t>
      </w:r>
      <w:r w:rsidR="00462CD0" w:rsidRPr="00E72418">
        <w:rPr>
          <w:rStyle w:val="injectednode"/>
          <w:rFonts w:cs="Times"/>
          <w:szCs w:val="24"/>
          <w:bdr w:val="none" w:sz="0" w:space="0" w:color="auto" w:frame="1"/>
        </w:rPr>
        <w:t>la c</w:t>
      </w:r>
      <w:r w:rsidRPr="00E72418">
        <w:rPr>
          <w:rStyle w:val="injectednode"/>
          <w:rFonts w:cs="Times"/>
          <w:szCs w:val="24"/>
          <w:bdr w:val="none" w:sz="0" w:space="0" w:color="auto" w:frame="1"/>
        </w:rPr>
        <w:t>our d’appel du Second Circuit retint, par une décision du 20 août 2012</w:t>
      </w:r>
      <w:r w:rsidRPr="00E72418">
        <w:rPr>
          <w:rStyle w:val="Appelnotedebasdep"/>
          <w:rFonts w:cs="Times"/>
          <w:szCs w:val="24"/>
        </w:rPr>
        <w:footnoteReference w:id="1121"/>
      </w:r>
      <w:r w:rsidRPr="00E72418">
        <w:rPr>
          <w:rStyle w:val="injectednode"/>
          <w:rFonts w:cs="Times"/>
          <w:szCs w:val="24"/>
          <w:bdr w:val="none" w:sz="0" w:space="0" w:color="auto" w:frame="1"/>
        </w:rPr>
        <w:t xml:space="preserve">, que le </w:t>
      </w:r>
      <w:r w:rsidRPr="00E72418">
        <w:rPr>
          <w:rFonts w:cs="Times"/>
          <w:i/>
        </w:rPr>
        <w:t>Foreign Sovereign Immunities Act</w:t>
      </w:r>
      <w:r w:rsidRPr="00E72418">
        <w:rPr>
          <w:rFonts w:cs="Times"/>
        </w:rPr>
        <w:t xml:space="preserve"> </w:t>
      </w:r>
      <w:r w:rsidRPr="00E72418">
        <w:rPr>
          <w:rStyle w:val="injectednode"/>
          <w:rFonts w:cs="Times"/>
          <w:szCs w:val="24"/>
          <w:bdr w:val="none" w:sz="0" w:space="0" w:color="auto" w:frame="1"/>
        </w:rPr>
        <w:t>n’entame pas le pou</w:t>
      </w:r>
      <w:r w:rsidR="00531F0B" w:rsidRPr="00E72418">
        <w:rPr>
          <w:rStyle w:val="injectednode"/>
          <w:rFonts w:cs="Times"/>
          <w:szCs w:val="24"/>
          <w:bdr w:val="none" w:sz="0" w:space="0" w:color="auto" w:frame="1"/>
        </w:rPr>
        <w:t xml:space="preserve">voir d’ordonner une mesure de </w:t>
      </w:r>
      <w:r w:rsidRPr="00E72418">
        <w:rPr>
          <w:rStyle w:val="injectednode"/>
          <w:rFonts w:cs="Times"/>
          <w:i/>
          <w:szCs w:val="24"/>
          <w:bdr w:val="none" w:sz="0" w:space="0" w:color="auto" w:frame="1"/>
        </w:rPr>
        <w:t>post-judgment discovery</w:t>
      </w:r>
      <w:r w:rsidRPr="00E72418">
        <w:rPr>
          <w:rStyle w:val="Appelnotedebasdep"/>
          <w:rFonts w:cs="Times"/>
          <w:szCs w:val="24"/>
          <w:bdr w:val="none" w:sz="0" w:space="0" w:color="auto" w:frame="1"/>
        </w:rPr>
        <w:footnoteReference w:id="1122"/>
      </w:r>
      <w:r w:rsidRPr="00E72418">
        <w:rPr>
          <w:rStyle w:val="injectednode"/>
          <w:rFonts w:cs="Times"/>
          <w:szCs w:val="24"/>
          <w:bdr w:val="none" w:sz="0" w:space="0" w:color="auto" w:frame="1"/>
        </w:rPr>
        <w:t xml:space="preserve">. De l’avis de la juridiction, </w:t>
      </w:r>
      <w:r w:rsidRPr="00E72418">
        <w:rPr>
          <w:rFonts w:cs="Times"/>
        </w:rPr>
        <w:t>« because the district court ordered only discovery, not the attachment of sovereign property, and because that discovery is directed at third-party banks, Argentina’s sovereign immunity is not affected »</w:t>
      </w:r>
      <w:r w:rsidRPr="00E72418">
        <w:rPr>
          <w:rStyle w:val="Appelnotedebasdep"/>
          <w:rFonts w:cs="Times"/>
          <w:szCs w:val="24"/>
          <w:bdr w:val="none" w:sz="0" w:space="0" w:color="auto" w:frame="1"/>
        </w:rPr>
        <w:footnoteReference w:id="1123"/>
      </w:r>
      <w:r w:rsidRPr="00E72418">
        <w:rPr>
          <w:rStyle w:val="injectednode"/>
          <w:rFonts w:cs="Times"/>
          <w:szCs w:val="24"/>
          <w:bdr w:val="none" w:sz="0" w:space="0" w:color="auto" w:frame="1"/>
        </w:rPr>
        <w:t>. Cette décision d’appel fut contestée devant la Cour suprême étatsunienne qui rendit le 16 juin 2014 un arrêt remarqué</w:t>
      </w:r>
      <w:r w:rsidR="00A727B4" w:rsidRPr="00E72418">
        <w:rPr>
          <w:rStyle w:val="injectednode"/>
          <w:rFonts w:cs="Times"/>
          <w:szCs w:val="24"/>
          <w:bdr w:val="none" w:sz="0" w:space="0" w:color="auto" w:frame="1"/>
        </w:rPr>
        <w:t xml:space="preserve">. La juridiction y </w:t>
      </w:r>
      <w:r w:rsidRPr="00E72418">
        <w:rPr>
          <w:rStyle w:val="injectednode"/>
          <w:rFonts w:cs="Times"/>
          <w:szCs w:val="24"/>
          <w:bdr w:val="none" w:sz="0" w:space="0" w:color="auto" w:frame="1"/>
        </w:rPr>
        <w:t xml:space="preserve">releva au sujet du </w:t>
      </w:r>
      <w:r w:rsidRPr="00E72418">
        <w:rPr>
          <w:rFonts w:cs="Times"/>
          <w:i/>
        </w:rPr>
        <w:t>Foreign Sovereign Immunities Act</w:t>
      </w:r>
      <w:r w:rsidRPr="00E72418">
        <w:rPr>
          <w:rFonts w:cs="Times"/>
        </w:rPr>
        <w:t xml:space="preserve"> </w:t>
      </w:r>
      <w:r w:rsidRPr="00E72418">
        <w:rPr>
          <w:rStyle w:val="injectednode"/>
          <w:rFonts w:cs="Times"/>
          <w:szCs w:val="24"/>
          <w:bdr w:val="none" w:sz="0" w:space="0" w:color="auto" w:frame="1"/>
        </w:rPr>
        <w:t>que « </w:t>
      </w:r>
      <w:r w:rsidRPr="00E72418">
        <w:rPr>
          <w:rFonts w:cs="Times"/>
        </w:rPr>
        <w:t xml:space="preserve">[t]he Act has no third provision forbidding or limiting discovery in aid of execution of a </w:t>
      </w:r>
      <w:r w:rsidRPr="00E72418">
        <w:rPr>
          <w:rFonts w:cs="Times"/>
        </w:rPr>
        <w:lastRenderedPageBreak/>
        <w:t xml:space="preserve">foreign-sovereign judgment debtor’s assets </w:t>
      </w:r>
      <w:r w:rsidRPr="00E72418">
        <w:rPr>
          <w:rStyle w:val="injectednode"/>
          <w:rFonts w:cs="Times"/>
          <w:szCs w:val="24"/>
          <w:bdr w:val="none" w:sz="0" w:space="0" w:color="auto" w:frame="1"/>
        </w:rPr>
        <w:t>»</w:t>
      </w:r>
      <w:r w:rsidR="003D036A" w:rsidRPr="00E72418">
        <w:rPr>
          <w:rStyle w:val="Appelnotedebasdep"/>
          <w:rFonts w:cs="Times"/>
          <w:szCs w:val="24"/>
          <w:bdr w:val="none" w:sz="0" w:space="0" w:color="auto" w:frame="1"/>
        </w:rPr>
        <w:footnoteReference w:id="1124"/>
      </w:r>
      <w:r w:rsidRPr="00E72418">
        <w:rPr>
          <w:rStyle w:val="injectednode"/>
          <w:rFonts w:cs="Times"/>
          <w:szCs w:val="24"/>
          <w:bdr w:val="none" w:sz="0" w:space="0" w:color="auto" w:frame="1"/>
        </w:rPr>
        <w:t>.</w:t>
      </w:r>
      <w:r w:rsidRPr="00E72418">
        <w:rPr>
          <w:rFonts w:cs="Times"/>
          <w:bdr w:val="none" w:sz="0" w:space="0" w:color="auto" w:frame="1"/>
        </w:rPr>
        <w:t xml:space="preserve"> </w:t>
      </w:r>
      <w:r w:rsidR="00531F0B" w:rsidRPr="00E72418">
        <w:rPr>
          <w:rFonts w:cs="Times"/>
          <w:bdr w:val="none" w:sz="0" w:space="0" w:color="auto" w:frame="1"/>
        </w:rPr>
        <w:t>I</w:t>
      </w:r>
      <w:r w:rsidR="003D036A" w:rsidRPr="00E72418">
        <w:rPr>
          <w:rStyle w:val="injectednode"/>
          <w:rFonts w:cs="Times"/>
          <w:szCs w:val="24"/>
          <w:bdr w:val="none" w:sz="0" w:space="0" w:color="auto" w:frame="1"/>
        </w:rPr>
        <w:t xml:space="preserve">nterrogée </w:t>
      </w:r>
      <w:r w:rsidR="00531F0B" w:rsidRPr="00E72418">
        <w:rPr>
          <w:rStyle w:val="injectednode"/>
          <w:rFonts w:cs="Times"/>
          <w:szCs w:val="24"/>
          <w:bdr w:val="none" w:sz="0" w:space="0" w:color="auto" w:frame="1"/>
        </w:rPr>
        <w:t>sur la permission du</w:t>
      </w:r>
      <w:r w:rsidRPr="00E72418">
        <w:rPr>
          <w:rStyle w:val="injectednode"/>
          <w:rFonts w:cs="Times"/>
          <w:szCs w:val="24"/>
          <w:bdr w:val="none" w:sz="0" w:space="0" w:color="auto" w:frame="1"/>
        </w:rPr>
        <w:t xml:space="preserve"> </w:t>
      </w:r>
      <w:r w:rsidR="003D036A" w:rsidRPr="00E72418">
        <w:rPr>
          <w:rFonts w:cs="Times"/>
        </w:rPr>
        <w:t>texte</w:t>
      </w:r>
      <w:r w:rsidRPr="00E72418">
        <w:rPr>
          <w:rFonts w:cs="Times"/>
        </w:rPr>
        <w:t xml:space="preserve"> </w:t>
      </w:r>
      <w:r w:rsidR="00531F0B" w:rsidRPr="00E72418">
        <w:rPr>
          <w:rStyle w:val="injectednode"/>
          <w:rFonts w:cs="Times"/>
          <w:szCs w:val="24"/>
          <w:bdr w:val="none" w:sz="0" w:space="0" w:color="auto" w:frame="1"/>
        </w:rPr>
        <w:t xml:space="preserve">des </w:t>
      </w:r>
      <w:r w:rsidRPr="00E72418">
        <w:rPr>
          <w:rStyle w:val="injectednode"/>
          <w:rFonts w:cs="Times"/>
          <w:i/>
          <w:szCs w:val="24"/>
          <w:bdr w:val="none" w:sz="0" w:space="0" w:color="auto" w:frame="1"/>
        </w:rPr>
        <w:t>discovery orders</w:t>
      </w:r>
      <w:r w:rsidRPr="00E72418">
        <w:rPr>
          <w:rStyle w:val="injectednode"/>
          <w:rFonts w:cs="Times"/>
          <w:szCs w:val="24"/>
          <w:bdr w:val="none" w:sz="0" w:space="0" w:color="auto" w:frame="1"/>
        </w:rPr>
        <w:t xml:space="preserve"> en lien avec des biens de l’</w:t>
      </w:r>
      <w:r w:rsidRPr="00E72418">
        <w:rPr>
          <w:rFonts w:cs="Times"/>
          <w:lang w:eastAsia="fr-BE"/>
        </w:rPr>
        <w:t>É</w:t>
      </w:r>
      <w:r w:rsidRPr="00E72418">
        <w:rPr>
          <w:rStyle w:val="injectednode"/>
          <w:rFonts w:cs="Times"/>
          <w:szCs w:val="24"/>
          <w:bdr w:val="none" w:sz="0" w:space="0" w:color="auto" w:frame="1"/>
        </w:rPr>
        <w:t>tat étranger condamné situés à l’étranger, l</w:t>
      </w:r>
      <w:r w:rsidR="003D036A" w:rsidRPr="00E72418">
        <w:rPr>
          <w:rFonts w:cs="Times"/>
        </w:rPr>
        <w:t xml:space="preserve">a Cour suprême répondit que le </w:t>
      </w:r>
      <w:r w:rsidRPr="00E72418">
        <w:rPr>
          <w:rStyle w:val="injectednode"/>
          <w:rFonts w:cs="Times"/>
          <w:szCs w:val="24"/>
          <w:bdr w:val="none" w:sz="0" w:space="0" w:color="auto" w:frame="1"/>
        </w:rPr>
        <w:t xml:space="preserve">« </w:t>
      </w:r>
      <w:r w:rsidR="003D036A" w:rsidRPr="00E72418">
        <w:rPr>
          <w:rFonts w:cs="Times"/>
        </w:rPr>
        <w:t xml:space="preserve">Foreign Sovereign Immunities Act (FSIA) </w:t>
      </w:r>
      <w:r w:rsidRPr="00E72418">
        <w:rPr>
          <w:rFonts w:cs="Times"/>
        </w:rPr>
        <w:t xml:space="preserve">did not preclude discovery of Argentina’s extraterritorial assets </w:t>
      </w:r>
      <w:r w:rsidRPr="00E72418">
        <w:rPr>
          <w:rStyle w:val="injectednode"/>
          <w:rFonts w:cs="Times"/>
          <w:szCs w:val="24"/>
          <w:bdr w:val="none" w:sz="0" w:space="0" w:color="auto" w:frame="1"/>
        </w:rPr>
        <w:t>»</w:t>
      </w:r>
      <w:r w:rsidRPr="00E72418">
        <w:rPr>
          <w:rStyle w:val="Appelnotedebasdep"/>
          <w:rFonts w:cs="Times"/>
          <w:szCs w:val="24"/>
          <w:bdr w:val="none" w:sz="0" w:space="0" w:color="auto" w:frame="1"/>
        </w:rPr>
        <w:footnoteReference w:id="1125"/>
      </w:r>
      <w:r w:rsidR="00675F79" w:rsidRPr="00E72418">
        <w:rPr>
          <w:rStyle w:val="injectednode"/>
          <w:rFonts w:cs="Times"/>
          <w:szCs w:val="24"/>
          <w:bdr w:val="none" w:sz="0" w:space="0" w:color="auto" w:frame="1"/>
          <w:vertAlign w:val="superscript"/>
        </w:rPr>
        <w:t>,</w:t>
      </w:r>
      <w:r w:rsidRPr="00E72418">
        <w:rPr>
          <w:rStyle w:val="Appelnotedebasdep"/>
          <w:rFonts w:cs="Times"/>
          <w:szCs w:val="24"/>
          <w:bdr w:val="none" w:sz="0" w:space="0" w:color="auto" w:frame="1"/>
        </w:rPr>
        <w:footnoteReference w:id="1126"/>
      </w:r>
      <w:r w:rsidRPr="00E72418">
        <w:rPr>
          <w:rStyle w:val="injectednode"/>
          <w:rFonts w:cs="Times"/>
          <w:szCs w:val="24"/>
          <w:bdr w:val="none" w:sz="0" w:space="0" w:color="auto" w:frame="1"/>
        </w:rPr>
        <w:t>.</w:t>
      </w:r>
    </w:p>
    <w:p w14:paraId="1751759E" w14:textId="028756C1" w:rsidR="006D50CA" w:rsidRPr="00E72418" w:rsidRDefault="00A727B4" w:rsidP="00CC4BA8">
      <w:pPr>
        <w:spacing w:line="276" w:lineRule="auto"/>
      </w:pPr>
      <w:r w:rsidRPr="00E72418">
        <w:t>D</w:t>
      </w:r>
      <w:r w:rsidR="006D50CA" w:rsidRPr="00E72418">
        <w:t xml:space="preserve">ans le cadre du contentieux argentin toujours, la </w:t>
      </w:r>
      <w:r w:rsidR="00735BBE">
        <w:t xml:space="preserve">United States </w:t>
      </w:r>
      <w:r w:rsidR="006D50CA" w:rsidRPr="00735BBE">
        <w:t>District Court for the Southern District of New York</w:t>
      </w:r>
      <w:r w:rsidR="00E34B4F" w:rsidRPr="00E72418">
        <w:t xml:space="preserve">, se fondant sur la clause </w:t>
      </w:r>
      <w:r w:rsidR="00E34B4F" w:rsidRPr="00E72418">
        <w:rPr>
          <w:i/>
        </w:rPr>
        <w:t>pari passu</w:t>
      </w:r>
      <w:r w:rsidR="006D50CA" w:rsidRPr="00E72418">
        <w:t>, rendit une injonction permanente empêchant la République argentine d’effectuer des paiements au profit de ses créanciers ayant accepté les restructurations sans en faire de même au profit des créanciers récalcitrants</w:t>
      </w:r>
      <w:r w:rsidR="006D50CA" w:rsidRPr="00E72418">
        <w:rPr>
          <w:rStyle w:val="Appelnotedebasdep"/>
        </w:rPr>
        <w:footnoteReference w:id="1127"/>
      </w:r>
      <w:r w:rsidR="006D50CA" w:rsidRPr="00E72418">
        <w:t xml:space="preserve">. Cette décision fut contestée en appel </w:t>
      </w:r>
      <w:r w:rsidR="00531F0B" w:rsidRPr="00E72418">
        <w:t>en raison</w:t>
      </w:r>
      <w:r w:rsidR="006D50CA" w:rsidRPr="00E72418">
        <w:t xml:space="preserve"> notamment de la méconnaissance </w:t>
      </w:r>
      <w:r w:rsidR="00531F0B" w:rsidRPr="00E72418">
        <w:t xml:space="preserve">prétendue </w:t>
      </w:r>
      <w:r w:rsidR="006D50CA" w:rsidRPr="00E72418">
        <w:t xml:space="preserve">du </w:t>
      </w:r>
      <w:r w:rsidR="006D50CA" w:rsidRPr="00E72418">
        <w:rPr>
          <w:i/>
        </w:rPr>
        <w:t>Foreign Sovereign Immunities Act.</w:t>
      </w:r>
      <w:r w:rsidR="006D50CA" w:rsidRPr="00E72418">
        <w:rPr>
          <w:rFonts w:cstheme="majorBidi"/>
        </w:rPr>
        <w:t xml:space="preserve"> </w:t>
      </w:r>
      <w:r w:rsidR="006D50CA" w:rsidRPr="00E72418">
        <w:t xml:space="preserve">La position argentine fut soutenue par de nombreuses </w:t>
      </w:r>
      <w:r w:rsidR="006D50CA" w:rsidRPr="00E72418">
        <w:rPr>
          <w:i/>
        </w:rPr>
        <w:t xml:space="preserve">amicus briefs </w:t>
      </w:r>
      <w:r w:rsidR="006D50CA" w:rsidRPr="00E72418">
        <w:t xml:space="preserve">dont notamment une déposée par les </w:t>
      </w:r>
      <w:r w:rsidR="006D50CA" w:rsidRPr="00E72418">
        <w:rPr>
          <w:lang w:eastAsia="fr-BE"/>
        </w:rPr>
        <w:t>É</w:t>
      </w:r>
      <w:r w:rsidR="006D50CA" w:rsidRPr="00E72418">
        <w:t>tat</w:t>
      </w:r>
      <w:r w:rsidR="00A51648" w:rsidRPr="00E72418">
        <w:t>s</w:t>
      </w:r>
      <w:r w:rsidR="006D50CA" w:rsidRPr="00E72418">
        <w:t>-Unis qui argumentaient que l’injonction violait l’immunité souveraine du pays en ce qu’elle « constrain</w:t>
      </w:r>
      <w:r w:rsidR="006D50CA" w:rsidRPr="00E72418">
        <w:rPr>
          <w:rFonts w:ascii="Times New Roman" w:hAnsi="Times New Roman" w:cs="Times New Roman"/>
        </w:rPr>
        <w:t>[</w:t>
      </w:r>
      <w:r w:rsidR="006D50CA" w:rsidRPr="00E72418">
        <w:t>s</w:t>
      </w:r>
      <w:r w:rsidR="006D50CA" w:rsidRPr="00E72418">
        <w:rPr>
          <w:rFonts w:ascii="Times New Roman" w:hAnsi="Times New Roman" w:cs="Times New Roman"/>
        </w:rPr>
        <w:t>]</w:t>
      </w:r>
      <w:r w:rsidR="006D50CA" w:rsidRPr="00E72418">
        <w:t xml:space="preserve"> Argentina’s use and disposition of sovereign property that is immune from execution »</w:t>
      </w:r>
      <w:r w:rsidR="006D50CA" w:rsidRPr="00E72418">
        <w:rPr>
          <w:rStyle w:val="Appelnotedebasdep"/>
        </w:rPr>
        <w:footnoteReference w:id="1128"/>
      </w:r>
      <w:r w:rsidR="006D50CA" w:rsidRPr="00E72418">
        <w:t xml:space="preserve">. </w:t>
      </w:r>
    </w:p>
    <w:p w14:paraId="2B19E2ED" w14:textId="5DD13306" w:rsidR="006D50CA" w:rsidRPr="00E72418" w:rsidRDefault="00055C11" w:rsidP="00CC4BA8">
      <w:pPr>
        <w:spacing w:line="276" w:lineRule="auto"/>
        <w:rPr>
          <w:rFonts w:cstheme="majorBidi"/>
        </w:rPr>
      </w:pPr>
      <w:r w:rsidRPr="00E72418">
        <w:rPr>
          <w:rFonts w:cs="Times New Roman"/>
        </w:rPr>
        <w:t>Saisie de l’appel, l</w:t>
      </w:r>
      <w:r w:rsidR="006D50CA" w:rsidRPr="00E72418">
        <w:rPr>
          <w:rFonts w:cs="Times New Roman"/>
        </w:rPr>
        <w:t xml:space="preserve">a </w:t>
      </w:r>
      <w:r w:rsidR="006D50CA" w:rsidRPr="00735BBE">
        <w:rPr>
          <w:rFonts w:cs="Times New Roman"/>
          <w:shd w:val="clear" w:color="auto" w:fill="FFFFFF"/>
        </w:rPr>
        <w:t>United States Court of Appeals for the Second Circuit</w:t>
      </w:r>
      <w:r w:rsidR="006D50CA" w:rsidRPr="00E72418">
        <w:rPr>
          <w:rFonts w:cs="Times New Roman"/>
        </w:rPr>
        <w:t xml:space="preserve"> retint que l’injonction décidée était respectueuse </w:t>
      </w:r>
      <w:r w:rsidR="006D50CA" w:rsidRPr="00E72418">
        <w:t xml:space="preserve">du </w:t>
      </w:r>
      <w:r w:rsidR="006D50CA" w:rsidRPr="00E72418">
        <w:rPr>
          <w:i/>
        </w:rPr>
        <w:t>Foreign Sovereign Immunities Act</w:t>
      </w:r>
      <w:r w:rsidR="006D50CA" w:rsidRPr="00E72418">
        <w:rPr>
          <w:rStyle w:val="Appelnotedebasdep"/>
        </w:rPr>
        <w:footnoteReference w:id="1129"/>
      </w:r>
      <w:r w:rsidR="006D50CA" w:rsidRPr="00E72418">
        <w:rPr>
          <w:rFonts w:cs="Times New Roman"/>
        </w:rPr>
        <w:t>.</w:t>
      </w:r>
      <w:r w:rsidR="006D50CA" w:rsidRPr="00E72418">
        <w:rPr>
          <w:rFonts w:cstheme="majorBidi"/>
        </w:rPr>
        <w:t xml:space="preserve"> </w:t>
      </w:r>
      <w:r w:rsidR="006D50CA" w:rsidRPr="00E72418">
        <w:rPr>
          <w:rFonts w:cs="Times New Roman"/>
        </w:rPr>
        <w:t xml:space="preserve">Dans sa décision du 26 </w:t>
      </w:r>
      <w:r w:rsidR="006D50CA" w:rsidRPr="00E72418">
        <w:rPr>
          <w:rFonts w:cs="Times New Roman"/>
        </w:rPr>
        <w:lastRenderedPageBreak/>
        <w:t xml:space="preserve">octobre 2012, </w:t>
      </w:r>
      <w:r w:rsidR="00462CD0" w:rsidRPr="00E72418">
        <w:rPr>
          <w:rFonts w:cs="Times New Roman"/>
          <w:szCs w:val="24"/>
        </w:rPr>
        <w:t>la c</w:t>
      </w:r>
      <w:r w:rsidR="006D50CA" w:rsidRPr="00E72418">
        <w:rPr>
          <w:rFonts w:cs="Times New Roman"/>
          <w:szCs w:val="24"/>
        </w:rPr>
        <w:t>our d’appel décida que « </w:t>
      </w:r>
      <w:r w:rsidR="006D50CA" w:rsidRPr="00E72418">
        <w:rPr>
          <w:rFonts w:ascii="Times New Roman" w:hAnsi="Times New Roman" w:cs="Times New Roman"/>
        </w:rPr>
        <w:t>[t]</w:t>
      </w:r>
      <w:r w:rsidR="006D50CA" w:rsidRPr="00E72418">
        <w:rPr>
          <w:rFonts w:cs="Times New Roman"/>
          <w:szCs w:val="24"/>
        </w:rPr>
        <w:t xml:space="preserve">he Injunctions do not require Argentina to pay any bondholder any amount of money; nor do they limit the other uses to which Argentina may </w:t>
      </w:r>
      <w:r w:rsidR="0004079A" w:rsidRPr="00E72418">
        <w:rPr>
          <w:rFonts w:cs="Times New Roman"/>
          <w:szCs w:val="24"/>
        </w:rPr>
        <w:t>put its fiscal reserves » et qu’</w:t>
      </w:r>
      <w:r w:rsidR="006D50CA" w:rsidRPr="00E72418">
        <w:rPr>
          <w:rFonts w:cs="Times New Roman"/>
          <w:szCs w:val="24"/>
        </w:rPr>
        <w:t xml:space="preserve"> « </w:t>
      </w:r>
      <w:r w:rsidR="006D50CA" w:rsidRPr="00E72418">
        <w:rPr>
          <w:rFonts w:ascii="Times New Roman" w:hAnsi="Times New Roman" w:cs="Times New Roman"/>
        </w:rPr>
        <w:t>[i]</w:t>
      </w:r>
      <w:r w:rsidR="006D50CA" w:rsidRPr="00E72418">
        <w:rPr>
          <w:rFonts w:cs="Times New Roman"/>
          <w:szCs w:val="24"/>
        </w:rPr>
        <w:t xml:space="preserve">n other words, the Injunctions do not transfer any dominion or control over sovereign property to the court. Accordingly, the district court’s Injunctions do not violate </w:t>
      </w:r>
      <w:r w:rsidR="006D7551" w:rsidRPr="00E72418">
        <w:rPr>
          <w:rFonts w:cs="Times New Roman"/>
          <w:iCs/>
          <w:szCs w:val="24"/>
        </w:rPr>
        <w:t>§</w:t>
      </w:r>
      <w:r w:rsidR="006D50CA" w:rsidRPr="00E72418">
        <w:rPr>
          <w:rFonts w:cs="Times New Roman"/>
          <w:iCs/>
          <w:szCs w:val="24"/>
        </w:rPr>
        <w:t xml:space="preserve">1609 (of the Foreign Sovereign Immunities Act) </w:t>
      </w:r>
      <w:r w:rsidR="006D50CA" w:rsidRPr="00E72418">
        <w:rPr>
          <w:rFonts w:cs="Times New Roman"/>
          <w:szCs w:val="24"/>
        </w:rPr>
        <w:t>»</w:t>
      </w:r>
      <w:r w:rsidR="006D50CA" w:rsidRPr="00E72418">
        <w:rPr>
          <w:rStyle w:val="Appelnotedebasdep"/>
          <w:rFonts w:cs="Times New Roman"/>
          <w:szCs w:val="24"/>
        </w:rPr>
        <w:footnoteReference w:id="1130"/>
      </w:r>
      <w:r w:rsidR="006D50CA" w:rsidRPr="00E72418">
        <w:rPr>
          <w:rFonts w:cs="Times New Roman"/>
          <w:szCs w:val="24"/>
        </w:rPr>
        <w:t xml:space="preserve">. Ainsi, </w:t>
      </w:r>
      <w:r w:rsidR="00205009" w:rsidRPr="00E72418">
        <w:rPr>
          <w:rFonts w:cs="Times New Roman"/>
          <w:szCs w:val="24"/>
        </w:rPr>
        <w:t xml:space="preserve">de l’avis de la Cour toujours, </w:t>
      </w:r>
      <w:r w:rsidR="006D50CA" w:rsidRPr="00E72418">
        <w:rPr>
          <w:rFonts w:cs="Times New Roman"/>
          <w:szCs w:val="24"/>
        </w:rPr>
        <w:t>« because compliance with the Injunctions would not deprive Argentina of control over any of its property, they do not operate as attachments of foreign property prohibited by the FSIA »</w:t>
      </w:r>
      <w:r w:rsidR="006D50CA" w:rsidRPr="00E72418">
        <w:rPr>
          <w:rStyle w:val="Appelnotedebasdep"/>
          <w:rFonts w:cs="Times New Roman"/>
          <w:szCs w:val="24"/>
        </w:rPr>
        <w:footnoteReference w:id="1131"/>
      </w:r>
      <w:r w:rsidR="00AB1BBC" w:rsidRPr="00E72418">
        <w:rPr>
          <w:rFonts w:cs="Times New Roman"/>
          <w:szCs w:val="24"/>
          <w:vertAlign w:val="superscript"/>
        </w:rPr>
        <w:t>,</w:t>
      </w:r>
      <w:r w:rsidR="006D50CA" w:rsidRPr="00E72418">
        <w:rPr>
          <w:rStyle w:val="Appelnotedebasdep"/>
          <w:rFonts w:cs="Times New Roman"/>
          <w:szCs w:val="24"/>
        </w:rPr>
        <w:footnoteReference w:id="1132"/>
      </w:r>
      <w:r w:rsidR="006D50CA" w:rsidRPr="00E72418">
        <w:rPr>
          <w:rFonts w:cs="Times New Roman"/>
          <w:szCs w:val="24"/>
        </w:rPr>
        <w:t>.</w:t>
      </w:r>
    </w:p>
    <w:p w14:paraId="1B235E3D" w14:textId="77777777" w:rsidR="006D50CA" w:rsidRPr="00E72418" w:rsidRDefault="006D50CA" w:rsidP="0054314B"/>
    <w:p w14:paraId="36E31038" w14:textId="34EF5FCA" w:rsidR="006D50CA" w:rsidRPr="00E72418" w:rsidRDefault="006D50CA" w:rsidP="008D1D70">
      <w:pPr>
        <w:pStyle w:val="FF"/>
        <w:numPr>
          <w:ilvl w:val="0"/>
          <w:numId w:val="3"/>
        </w:numPr>
        <w:spacing w:line="276" w:lineRule="auto"/>
      </w:pPr>
      <w:bookmarkStart w:id="254" w:name="_Toc59280953"/>
      <w:bookmarkStart w:id="255" w:name="_Toc84540942"/>
      <w:r w:rsidRPr="00E72418">
        <w:t>La renonciation</w:t>
      </w:r>
      <w:bookmarkEnd w:id="254"/>
      <w:bookmarkEnd w:id="255"/>
    </w:p>
    <w:p w14:paraId="5E3A8DC4" w14:textId="77777777" w:rsidR="0054314B" w:rsidRPr="00E72418" w:rsidRDefault="0054314B" w:rsidP="00932D4E"/>
    <w:p w14:paraId="43229DBD" w14:textId="4D8445C0" w:rsidR="005C12E8" w:rsidRPr="00E72418" w:rsidRDefault="007F038F" w:rsidP="00CC4BA8">
      <w:pPr>
        <w:spacing w:line="276" w:lineRule="auto"/>
      </w:pPr>
      <w:r w:rsidRPr="00E72418">
        <w:rPr>
          <w:b/>
        </w:rPr>
        <w:t>227</w:t>
      </w:r>
      <w:r w:rsidR="00A9718E" w:rsidRPr="00E72418">
        <w:rPr>
          <w:b/>
        </w:rPr>
        <w:t xml:space="preserve">. </w:t>
      </w:r>
      <w:r w:rsidR="00F02D1D" w:rsidRPr="00E72418">
        <w:rPr>
          <w:b/>
        </w:rPr>
        <w:t xml:space="preserve">Une volonté souveraine </w:t>
      </w:r>
      <w:r w:rsidR="00F02D1D" w:rsidRPr="00E72418">
        <w:rPr>
          <w:rFonts w:cs="Times"/>
          <w:b/>
        </w:rPr>
        <w:t>–</w:t>
      </w:r>
      <w:r w:rsidR="009A1C23" w:rsidRPr="00E72418">
        <w:rPr>
          <w:rFonts w:cs="Times"/>
          <w:b/>
        </w:rPr>
        <w:t xml:space="preserve"> </w:t>
      </w:r>
      <w:r w:rsidR="009A1C23" w:rsidRPr="00E72418">
        <w:rPr>
          <w:rFonts w:cs="Times"/>
        </w:rPr>
        <w:t>L</w:t>
      </w:r>
      <w:r w:rsidR="008D47E0" w:rsidRPr="00E72418">
        <w:t xml:space="preserve">a Cour internationale de Justice releva dans son important arrêt </w:t>
      </w:r>
      <w:r w:rsidR="006409C4" w:rsidRPr="00E72418">
        <w:t>de 2012</w:t>
      </w:r>
      <w:r w:rsidR="009A1C23" w:rsidRPr="00E72418">
        <w:t xml:space="preserve"> constatant la coutume internationale en matière d’immunité d’exécution</w:t>
      </w:r>
      <w:r w:rsidR="006409C4" w:rsidRPr="00E72418">
        <w:t xml:space="preserve"> </w:t>
      </w:r>
      <w:r w:rsidR="008D47E0" w:rsidRPr="00E72418">
        <w:t xml:space="preserve">qu’une mesure de contrainte </w:t>
      </w:r>
      <w:r w:rsidR="00F02D1D" w:rsidRPr="00E72418">
        <w:t>peut</w:t>
      </w:r>
      <w:r w:rsidR="008D47E0" w:rsidRPr="00E72418">
        <w:t xml:space="preserve"> être prise à l’égard d’un bien appartenant à un </w:t>
      </w:r>
      <w:r w:rsidR="008D47E0" w:rsidRPr="00E72418">
        <w:rPr>
          <w:lang w:eastAsia="fr-BE"/>
        </w:rPr>
        <w:t>É</w:t>
      </w:r>
      <w:r w:rsidR="008D47E0" w:rsidRPr="00E72418">
        <w:t xml:space="preserve">tat étranger </w:t>
      </w:r>
      <w:r w:rsidR="009A1C23" w:rsidRPr="00E72418">
        <w:t>lorsque ce dernier</w:t>
      </w:r>
      <w:r w:rsidR="009A1C23" w:rsidRPr="00E72418">
        <w:rPr>
          <w:lang w:eastAsia="fr-BE"/>
        </w:rPr>
        <w:t xml:space="preserve"> </w:t>
      </w:r>
      <w:r w:rsidR="006409C4" w:rsidRPr="00E72418">
        <w:t>a expressément consenti à l’application d’une</w:t>
      </w:r>
      <w:r w:rsidR="009A1C23" w:rsidRPr="00E72418">
        <w:t xml:space="preserve"> telle</w:t>
      </w:r>
      <w:r w:rsidR="006409C4" w:rsidRPr="00E72418">
        <w:t xml:space="preserve"> mesure</w:t>
      </w:r>
      <w:r w:rsidR="006409C4" w:rsidRPr="00E72418">
        <w:rPr>
          <w:rStyle w:val="Appelnotedebasdep"/>
        </w:rPr>
        <w:footnoteReference w:id="1133"/>
      </w:r>
      <w:r w:rsidR="006409C4" w:rsidRPr="00E72418">
        <w:t>.</w:t>
      </w:r>
      <w:r w:rsidR="005C12E8" w:rsidRPr="00E72418">
        <w:t xml:space="preserve"> </w:t>
      </w:r>
    </w:p>
    <w:p w14:paraId="220A3A12" w14:textId="77777777" w:rsidR="006D50CA" w:rsidRPr="00E72418" w:rsidRDefault="006D50CA" w:rsidP="00CC4BA8">
      <w:pPr>
        <w:spacing w:line="276" w:lineRule="auto"/>
      </w:pPr>
      <w:r w:rsidRPr="00E72418">
        <w:t xml:space="preserve">Les articles 18 et 19 de la Convention des Nations Unies </w:t>
      </w:r>
      <w:r w:rsidR="001D327C" w:rsidRPr="00E72418">
        <w:t xml:space="preserve">sur les immunités juridictionnelles des </w:t>
      </w:r>
      <w:r w:rsidR="001D327C" w:rsidRPr="00E72418">
        <w:rPr>
          <w:lang w:eastAsia="fr-BE"/>
        </w:rPr>
        <w:t>É</w:t>
      </w:r>
      <w:r w:rsidR="001D327C" w:rsidRPr="00E72418">
        <w:t xml:space="preserve">tats et de leurs biens </w:t>
      </w:r>
      <w:r w:rsidRPr="00E72418">
        <w:t xml:space="preserve">retiennent la possibilité pour un État d’expressément consentir à l’application de mesures de contrainte qu’elles soient antérieures ou postérieures au jugement. Cette renonciation </w:t>
      </w:r>
      <w:r w:rsidR="009A1C23" w:rsidRPr="00E72418">
        <w:t>est possible pour l’ensemble de ses</w:t>
      </w:r>
      <w:r w:rsidRPr="00E72418">
        <w:t xml:space="preserve"> biens</w:t>
      </w:r>
      <w:r w:rsidRPr="00E72418">
        <w:rPr>
          <w:rStyle w:val="Appelnotedebasdep"/>
        </w:rPr>
        <w:footnoteReference w:id="1134"/>
      </w:r>
      <w:r w:rsidRPr="00E72418">
        <w:t>.</w:t>
      </w:r>
      <w:r w:rsidR="009A1C23" w:rsidRPr="00E72418">
        <w:t xml:space="preserve"> La Convention prévoit toutefois en son article 20 que le consentement à l’exercice de la juridiction n’implique pas qu’il y ait consentement à l’adoption de mesures de contrainte.</w:t>
      </w:r>
    </w:p>
    <w:p w14:paraId="7D629948" w14:textId="77777777" w:rsidR="006D50CA" w:rsidRPr="00E72418" w:rsidRDefault="006D50CA" w:rsidP="00CC4BA8">
      <w:pPr>
        <w:spacing w:line="276" w:lineRule="auto"/>
        <w:rPr>
          <w:rFonts w:ascii="Times New Roman" w:hAnsi="Times New Roman" w:cs="Times New Roman"/>
        </w:rPr>
      </w:pPr>
      <w:r w:rsidRPr="00E72418">
        <w:rPr>
          <w:rFonts w:ascii="Times New Roman" w:hAnsi="Times New Roman" w:cs="Times New Roman"/>
        </w:rPr>
        <w:lastRenderedPageBreak/>
        <w:t xml:space="preserve">L’article 1610(a)(1) du </w:t>
      </w:r>
      <w:r w:rsidRPr="00E72418">
        <w:rPr>
          <w:rFonts w:ascii="Times New Roman" w:hAnsi="Times New Roman" w:cs="Times New Roman"/>
          <w:i/>
        </w:rPr>
        <w:t xml:space="preserve">Foreign Sovereign Immunities Act </w:t>
      </w:r>
      <w:r w:rsidR="001D327C" w:rsidRPr="00E72418">
        <w:rPr>
          <w:rFonts w:ascii="Times New Roman" w:hAnsi="Times New Roman" w:cs="Times New Roman"/>
        </w:rPr>
        <w:t xml:space="preserve">étatsunien </w:t>
      </w:r>
      <w:r w:rsidRPr="00E72418">
        <w:rPr>
          <w:rFonts w:ascii="Times New Roman" w:hAnsi="Times New Roman" w:cs="Times New Roman"/>
        </w:rPr>
        <w:t xml:space="preserve">dispose que </w:t>
      </w:r>
      <w:r w:rsidRPr="00E72418">
        <w:rPr>
          <w:rFonts w:cs="Times New Roman"/>
        </w:rPr>
        <w:t>«</w:t>
      </w:r>
      <w:r w:rsidRPr="00E72418">
        <w:rPr>
          <w:rFonts w:ascii="Times New Roman" w:hAnsi="Times New Roman" w:cs="Times New Roman"/>
        </w:rPr>
        <w:t xml:space="preserve"> [t]he property in the </w:t>
      </w:r>
      <w:hyperlink r:id="rId42" w:history="1">
        <w:r w:rsidRPr="00E72418">
          <w:rPr>
            <w:rFonts w:ascii="Times New Roman" w:hAnsi="Times New Roman" w:cs="Times New Roman"/>
          </w:rPr>
          <w:t>United States</w:t>
        </w:r>
      </w:hyperlink>
      <w:r w:rsidRPr="00E72418">
        <w:rPr>
          <w:rFonts w:ascii="Times New Roman" w:hAnsi="Times New Roman" w:cs="Times New Roman"/>
        </w:rPr>
        <w:t> of a foreign state […] used for a</w:t>
      </w:r>
      <w:hyperlink r:id="rId43" w:history="1">
        <w:r w:rsidRPr="00E72418">
          <w:rPr>
            <w:rFonts w:ascii="Times New Roman" w:hAnsi="Times New Roman" w:cs="Times New Roman"/>
          </w:rPr>
          <w:t> commercial activity </w:t>
        </w:r>
      </w:hyperlink>
      <w:r w:rsidRPr="00E72418">
        <w:rPr>
          <w:rFonts w:ascii="Times New Roman" w:hAnsi="Times New Roman" w:cs="Times New Roman"/>
        </w:rPr>
        <w:t>in the</w:t>
      </w:r>
      <w:hyperlink r:id="rId44" w:history="1">
        <w:r w:rsidRPr="00E72418">
          <w:rPr>
            <w:rFonts w:ascii="Times New Roman" w:hAnsi="Times New Roman" w:cs="Times New Roman"/>
          </w:rPr>
          <w:t> United States,</w:t>
        </w:r>
      </w:hyperlink>
      <w:r w:rsidRPr="00E72418">
        <w:rPr>
          <w:rFonts w:ascii="Times New Roman" w:hAnsi="Times New Roman" w:cs="Times New Roman"/>
        </w:rPr>
        <w:t> shall not be immune from attachment in aid of execution, or from execution, upon a judgment entered by a</w:t>
      </w:r>
      <w:hyperlink r:id="rId45" w:history="1">
        <w:r w:rsidRPr="00E72418">
          <w:rPr>
            <w:rFonts w:ascii="Times New Roman" w:hAnsi="Times New Roman" w:cs="Times New Roman"/>
          </w:rPr>
          <w:t> court </w:t>
        </w:r>
      </w:hyperlink>
      <w:r w:rsidRPr="00E72418">
        <w:rPr>
          <w:rFonts w:ascii="Times New Roman" w:hAnsi="Times New Roman" w:cs="Times New Roman"/>
        </w:rPr>
        <w:t>of the</w:t>
      </w:r>
      <w:hyperlink r:id="rId46" w:history="1">
        <w:r w:rsidRPr="00E72418">
          <w:rPr>
            <w:rFonts w:ascii="Times New Roman" w:hAnsi="Times New Roman" w:cs="Times New Roman"/>
          </w:rPr>
          <w:t> United States </w:t>
        </w:r>
      </w:hyperlink>
      <w:r w:rsidRPr="00E72418">
        <w:rPr>
          <w:rFonts w:ascii="Times New Roman" w:hAnsi="Times New Roman" w:cs="Times New Roman"/>
        </w:rPr>
        <w:t>or of a</w:t>
      </w:r>
      <w:hyperlink r:id="rId47" w:history="1">
        <w:r w:rsidRPr="00E72418">
          <w:rPr>
            <w:rFonts w:ascii="Times New Roman" w:hAnsi="Times New Roman" w:cs="Times New Roman"/>
          </w:rPr>
          <w:t> State </w:t>
        </w:r>
      </w:hyperlink>
      <w:r w:rsidRPr="00E72418">
        <w:rPr>
          <w:rFonts w:ascii="Times New Roman" w:hAnsi="Times New Roman" w:cs="Times New Roman"/>
        </w:rPr>
        <w:t xml:space="preserve">after the effective date of this Act, if </w:t>
      </w:r>
      <w:r w:rsidRPr="00E72418">
        <w:rPr>
          <w:rFonts w:ascii="Times New Roman" w:hAnsi="Times New Roman" w:cs="Times New Roman"/>
          <w:shd w:val="clear" w:color="auto" w:fill="FFFFFF"/>
        </w:rPr>
        <w:t>the foreign state has waived its immunity from attachment in aid of execution or from execution either explicitly or by implication, notwithstanding any withdrawal of the waiver the foreign state may purport to effect except in accordance with the terms of the waiver</w:t>
      </w:r>
      <w:r w:rsidRPr="00E72418">
        <w:rPr>
          <w:rFonts w:ascii="Times New Roman" w:hAnsi="Times New Roman" w:cs="Times New Roman"/>
        </w:rPr>
        <w:t xml:space="preserve"> ». La même exception à l’immunité </w:t>
      </w:r>
      <w:r w:rsidR="009A1C23" w:rsidRPr="00E72418">
        <w:rPr>
          <w:rFonts w:ascii="Times New Roman" w:hAnsi="Times New Roman" w:cs="Times New Roman"/>
        </w:rPr>
        <w:t xml:space="preserve">en ce qui concerne les mesures antérieures au jugement </w:t>
      </w:r>
      <w:r w:rsidRPr="00E72418">
        <w:rPr>
          <w:rFonts w:ascii="Times New Roman" w:hAnsi="Times New Roman" w:cs="Times New Roman"/>
        </w:rPr>
        <w:t>est prévue à l’article 1610(d)(1)</w:t>
      </w:r>
      <w:r w:rsidRPr="00E72418">
        <w:rPr>
          <w:rStyle w:val="Appelnotedebasdep"/>
          <w:rFonts w:ascii="Times New Roman" w:hAnsi="Times New Roman" w:cs="Times New Roman"/>
        </w:rPr>
        <w:footnoteReference w:id="1135"/>
      </w:r>
      <w:r w:rsidR="009A1C23" w:rsidRPr="00E72418">
        <w:rPr>
          <w:rFonts w:ascii="Times New Roman" w:hAnsi="Times New Roman" w:cs="Times New Roman"/>
        </w:rPr>
        <w:t>.</w:t>
      </w:r>
    </w:p>
    <w:p w14:paraId="4A9F49B4" w14:textId="77777777" w:rsidR="006D50CA" w:rsidRPr="00E72418" w:rsidRDefault="006D50CA" w:rsidP="00CC4BA8">
      <w:pPr>
        <w:spacing w:line="276" w:lineRule="auto"/>
        <w:rPr>
          <w:szCs w:val="24"/>
        </w:rPr>
      </w:pPr>
      <w:r w:rsidRPr="00E72418">
        <w:rPr>
          <w:szCs w:val="24"/>
        </w:rPr>
        <w:t xml:space="preserve">Le </w:t>
      </w:r>
      <w:r w:rsidRPr="00E72418">
        <w:rPr>
          <w:i/>
          <w:szCs w:val="24"/>
        </w:rPr>
        <w:t>State Immunity Act</w:t>
      </w:r>
      <w:r w:rsidRPr="00E72418">
        <w:rPr>
          <w:szCs w:val="24"/>
        </w:rPr>
        <w:t xml:space="preserve"> </w:t>
      </w:r>
      <w:r w:rsidR="001D327C" w:rsidRPr="00E72418">
        <w:rPr>
          <w:szCs w:val="24"/>
        </w:rPr>
        <w:t xml:space="preserve">britannique </w:t>
      </w:r>
      <w:r w:rsidRPr="00E72418">
        <w:rPr>
          <w:szCs w:val="24"/>
        </w:rPr>
        <w:t xml:space="preserve">prévoit qu’il peut être renoncé au bénéfice immunitaire. Ainsi, l’article 13(3) </w:t>
      </w:r>
      <w:r w:rsidR="005C12E8" w:rsidRPr="00E72418">
        <w:rPr>
          <w:szCs w:val="24"/>
        </w:rPr>
        <w:t>dispose</w:t>
      </w:r>
      <w:r w:rsidRPr="00E72418">
        <w:rPr>
          <w:szCs w:val="24"/>
        </w:rPr>
        <w:t xml:space="preserve"> que «</w:t>
      </w:r>
      <w:r w:rsidRPr="00E72418">
        <w:rPr>
          <w:szCs w:val="24"/>
          <w:shd w:val="clear" w:color="auto" w:fill="FFFFFF"/>
        </w:rPr>
        <w:t xml:space="preserve"> </w:t>
      </w:r>
      <w:r w:rsidRPr="00E72418">
        <w:rPr>
          <w:rFonts w:ascii="Times New Roman" w:hAnsi="Times New Roman"/>
        </w:rPr>
        <w:t>[s]</w:t>
      </w:r>
      <w:r w:rsidRPr="00E72418">
        <w:rPr>
          <w:szCs w:val="24"/>
          <w:shd w:val="clear" w:color="auto" w:fill="FFFFFF"/>
        </w:rPr>
        <w:t xml:space="preserve">ubsection (2) above does not prevent the giving of any relief or the issue of any process with the written consent of the State concerned; and any such consent (which may be contained in a prior agreement) may be expressed so as to apply to a limited extent or generally; but a provision merely submitting to the jurisdiction of the courts is not to be regarded as a consent for the purposes of this subsection </w:t>
      </w:r>
      <w:r w:rsidR="001D327C" w:rsidRPr="00E72418">
        <w:rPr>
          <w:szCs w:val="24"/>
        </w:rPr>
        <w:t>».</w:t>
      </w:r>
    </w:p>
    <w:p w14:paraId="5BDB639E" w14:textId="1E733DB8" w:rsidR="006D50CA" w:rsidRPr="00E72418" w:rsidRDefault="006D50CA" w:rsidP="00CC4BA8">
      <w:pPr>
        <w:spacing w:line="276" w:lineRule="auto"/>
        <w:rPr>
          <w:rFonts w:ascii="Times New Roman" w:hAnsi="Times New Roman" w:cs="Times New Roman"/>
          <w:b/>
          <w:szCs w:val="24"/>
        </w:rPr>
      </w:pPr>
      <w:r w:rsidRPr="00E72418">
        <w:rPr>
          <w:rFonts w:ascii="Times New Roman" w:hAnsi="Times New Roman" w:cs="Times New Roman"/>
          <w:szCs w:val="24"/>
        </w:rPr>
        <w:t>L’article L.</w:t>
      </w:r>
      <w:r w:rsidR="006445D4" w:rsidRPr="00E72418">
        <w:rPr>
          <w:rFonts w:ascii="Times New Roman" w:hAnsi="Times New Roman" w:cs="Times New Roman"/>
          <w:szCs w:val="24"/>
        </w:rPr>
        <w:t xml:space="preserve"> </w:t>
      </w:r>
      <w:r w:rsidRPr="00E72418">
        <w:rPr>
          <w:rFonts w:ascii="Times New Roman" w:hAnsi="Times New Roman" w:cs="Times New Roman"/>
          <w:szCs w:val="24"/>
        </w:rPr>
        <w:t xml:space="preserve">111-1-2, alinéa 1, 1°, du Code des procédures civiles d’exécution français </w:t>
      </w:r>
      <w:r w:rsidR="005C12E8" w:rsidRPr="00E72418">
        <w:rPr>
          <w:rFonts w:ascii="Times New Roman" w:hAnsi="Times New Roman" w:cs="Times New Roman"/>
          <w:szCs w:val="24"/>
        </w:rPr>
        <w:t>prévoit</w:t>
      </w:r>
      <w:r w:rsidRPr="00E72418">
        <w:rPr>
          <w:rFonts w:ascii="Times New Roman" w:hAnsi="Times New Roman" w:cs="Times New Roman"/>
          <w:szCs w:val="24"/>
        </w:rPr>
        <w:t xml:space="preserve"> que des mesures conservatoires ou des mesures d’exécution forcée visant un bien appartenant à un </w:t>
      </w:r>
      <w:r w:rsidRPr="00E72418">
        <w:rPr>
          <w:lang w:eastAsia="fr-BE"/>
        </w:rPr>
        <w:t>É</w:t>
      </w:r>
      <w:r w:rsidRPr="00E72418">
        <w:rPr>
          <w:rFonts w:ascii="Times New Roman" w:hAnsi="Times New Roman" w:cs="Times New Roman"/>
          <w:szCs w:val="24"/>
        </w:rPr>
        <w:t xml:space="preserve">tat étranger peuvent être autorisées si </w:t>
      </w:r>
      <w:r w:rsidRPr="00E72418">
        <w:rPr>
          <w:rFonts w:ascii="Times New Roman" w:hAnsi="Times New Roman" w:cs="Times New Roman"/>
          <w:szCs w:val="24"/>
          <w:shd w:val="clear" w:color="auto" w:fill="FFFFFF"/>
        </w:rPr>
        <w:t>l’</w:t>
      </w:r>
      <w:r w:rsidRPr="00E72418">
        <w:rPr>
          <w:lang w:eastAsia="fr-BE"/>
        </w:rPr>
        <w:t>É</w:t>
      </w:r>
      <w:r w:rsidRPr="00E72418">
        <w:rPr>
          <w:rFonts w:ascii="Times New Roman" w:hAnsi="Times New Roman" w:cs="Times New Roman"/>
          <w:szCs w:val="24"/>
          <w:shd w:val="clear" w:color="auto" w:fill="FFFFFF"/>
        </w:rPr>
        <w:t>tat concerné a expressément consenti à l’application de telles mesures</w:t>
      </w:r>
      <w:r w:rsidR="00736AC6" w:rsidRPr="00E72418">
        <w:rPr>
          <w:rStyle w:val="Appelnotedebasdep"/>
          <w:rFonts w:ascii="Times New Roman" w:hAnsi="Times New Roman" w:cs="Times New Roman"/>
          <w:szCs w:val="24"/>
          <w:shd w:val="clear" w:color="auto" w:fill="FFFFFF"/>
        </w:rPr>
        <w:footnoteReference w:id="1136"/>
      </w:r>
      <w:r w:rsidRPr="00E72418">
        <w:rPr>
          <w:rFonts w:ascii="Times New Roman" w:hAnsi="Times New Roman" w:cs="Times New Roman"/>
          <w:szCs w:val="24"/>
        </w:rPr>
        <w:t>.</w:t>
      </w:r>
    </w:p>
    <w:p w14:paraId="0A898D74" w14:textId="712050F3" w:rsidR="006D50CA" w:rsidRPr="00E72418" w:rsidRDefault="006D50CA" w:rsidP="00CC4BA8">
      <w:pPr>
        <w:spacing w:line="276" w:lineRule="auto"/>
        <w:rPr>
          <w:szCs w:val="24"/>
        </w:rPr>
      </w:pPr>
      <w:r w:rsidRPr="00E72418">
        <w:rPr>
          <w:bCs/>
          <w:szCs w:val="24"/>
        </w:rPr>
        <w:t xml:space="preserve">Le législateur belge admet qu’une saisie d’avoirs appartenant à un </w:t>
      </w:r>
      <w:r w:rsidRPr="00E72418">
        <w:rPr>
          <w:lang w:eastAsia="fr-BE"/>
        </w:rPr>
        <w:t>É</w:t>
      </w:r>
      <w:r w:rsidRPr="00E72418">
        <w:rPr>
          <w:bCs/>
          <w:szCs w:val="24"/>
        </w:rPr>
        <w:t>tat étranger et se trouvant sur le sol belge puisse être autorisée par le juge des saisies si l’</w:t>
      </w:r>
      <w:r w:rsidRPr="00E72418">
        <w:rPr>
          <w:lang w:eastAsia="fr-BE"/>
        </w:rPr>
        <w:t>É</w:t>
      </w:r>
      <w:r w:rsidRPr="00E72418">
        <w:rPr>
          <w:bCs/>
          <w:szCs w:val="24"/>
        </w:rPr>
        <w:t>tat concerné a consenti à la saisissabilité. Si l’article 1412</w:t>
      </w:r>
      <w:r w:rsidRPr="00E72418">
        <w:rPr>
          <w:bCs/>
          <w:i/>
          <w:szCs w:val="24"/>
        </w:rPr>
        <w:t>quinquies</w:t>
      </w:r>
      <w:r w:rsidR="006D7551" w:rsidRPr="00E72418">
        <w:rPr>
          <w:bCs/>
          <w:szCs w:val="24"/>
        </w:rPr>
        <w:t xml:space="preserve">, </w:t>
      </w:r>
      <w:r w:rsidR="006D7551" w:rsidRPr="00E72418">
        <w:rPr>
          <w:szCs w:val="24"/>
        </w:rPr>
        <w:t>§</w:t>
      </w:r>
      <w:r w:rsidRPr="00E72418">
        <w:rPr>
          <w:szCs w:val="24"/>
        </w:rPr>
        <w:t xml:space="preserve">2, 1°, </w:t>
      </w:r>
      <w:r w:rsidRPr="00E72418">
        <w:rPr>
          <w:bCs/>
          <w:szCs w:val="24"/>
        </w:rPr>
        <w:t xml:space="preserve">du Code judiciaire tel qu’adopté par le Parlement belge prévoyait que le consentement à la saisissabilité soit donné « expressément et spécifiquement », il en est aujourd’hui </w:t>
      </w:r>
      <w:r w:rsidR="005C12E8" w:rsidRPr="00E72418">
        <w:rPr>
          <w:bCs/>
          <w:szCs w:val="24"/>
        </w:rPr>
        <w:t>différemment de l’état du droit</w:t>
      </w:r>
      <w:r w:rsidRPr="00E72418">
        <w:rPr>
          <w:bCs/>
          <w:szCs w:val="24"/>
        </w:rPr>
        <w:t xml:space="preserve"> et ce, depuis l’arrêt de la Cour constitutionnelle belge du 27 avril 2017. La Cour a </w:t>
      </w:r>
      <w:r w:rsidR="005C12E8" w:rsidRPr="00E72418">
        <w:rPr>
          <w:bCs/>
          <w:szCs w:val="24"/>
        </w:rPr>
        <w:t xml:space="preserve">en effet </w:t>
      </w:r>
      <w:r w:rsidRPr="00E72418">
        <w:rPr>
          <w:bCs/>
          <w:szCs w:val="24"/>
        </w:rPr>
        <w:t xml:space="preserve">annulé les </w:t>
      </w:r>
      <w:r w:rsidRPr="00E72418">
        <w:rPr>
          <w:szCs w:val="24"/>
        </w:rPr>
        <w:t>mots « et spécifiquement » dans la disposition mais unique</w:t>
      </w:r>
      <w:r w:rsidR="005C12E8" w:rsidRPr="00E72418">
        <w:rPr>
          <w:szCs w:val="24"/>
        </w:rPr>
        <w:t>ment en ce qu’elle est appliquée</w:t>
      </w:r>
      <w:r w:rsidRPr="00E72418">
        <w:rPr>
          <w:szCs w:val="24"/>
        </w:rPr>
        <w:t xml:space="preserve"> aux saisies visant des biens autres que les biens, en ce compris les comptes bancaires, utilisés dans l’exercice des fonctions de la mission diplomatique de la puissance étrangère ou de ses postes consulaires, de ses missions spéciales, de ses missions auprès des organisations internationales </w:t>
      </w:r>
      <w:r w:rsidRPr="00E72418">
        <w:rPr>
          <w:szCs w:val="24"/>
        </w:rPr>
        <w:lastRenderedPageBreak/>
        <w:t>ou de ses délégations dans les organes des organisations internationales ou aux conférences internationales</w:t>
      </w:r>
      <w:r w:rsidRPr="00E72418">
        <w:rPr>
          <w:rStyle w:val="Appelnotedebasdep"/>
          <w:szCs w:val="24"/>
        </w:rPr>
        <w:footnoteReference w:id="1137"/>
      </w:r>
      <w:r w:rsidR="00E83492" w:rsidRPr="00E72418">
        <w:rPr>
          <w:szCs w:val="24"/>
          <w:vertAlign w:val="superscript"/>
        </w:rPr>
        <w:t>,</w:t>
      </w:r>
      <w:r w:rsidR="005C12E8" w:rsidRPr="00E72418">
        <w:rPr>
          <w:rStyle w:val="Appelnotedebasdep"/>
          <w:szCs w:val="24"/>
        </w:rPr>
        <w:footnoteReference w:id="1138"/>
      </w:r>
      <w:r w:rsidRPr="00E72418">
        <w:rPr>
          <w:szCs w:val="24"/>
        </w:rPr>
        <w:t>.</w:t>
      </w:r>
    </w:p>
    <w:p w14:paraId="5A044194" w14:textId="59DB595A" w:rsidR="000F20AD" w:rsidRPr="00E72418" w:rsidRDefault="000F20AD">
      <w:pPr>
        <w:jc w:val="left"/>
      </w:pPr>
    </w:p>
    <w:p w14:paraId="7054AB92" w14:textId="218AE8A4" w:rsidR="00055731" w:rsidRPr="00E72418" w:rsidRDefault="00055731" w:rsidP="008D1D70">
      <w:pPr>
        <w:pStyle w:val="FF"/>
        <w:numPr>
          <w:ilvl w:val="0"/>
          <w:numId w:val="3"/>
        </w:numPr>
        <w:spacing w:line="276" w:lineRule="auto"/>
      </w:pPr>
      <w:bookmarkStart w:id="257" w:name="_Toc59280954"/>
      <w:bookmarkStart w:id="258" w:name="_Toc84540943"/>
      <w:r w:rsidRPr="00E72418">
        <w:t>L’affectation de certains biens</w:t>
      </w:r>
      <w:bookmarkEnd w:id="257"/>
      <w:bookmarkEnd w:id="258"/>
    </w:p>
    <w:p w14:paraId="690BA4B5" w14:textId="77777777" w:rsidR="0054314B" w:rsidRPr="00E72418" w:rsidRDefault="0054314B" w:rsidP="0054314B"/>
    <w:p w14:paraId="6C09B17A" w14:textId="5659FD67" w:rsidR="008D47E0" w:rsidRPr="00E72418" w:rsidRDefault="007F038F" w:rsidP="00CC4BA8">
      <w:pPr>
        <w:spacing w:line="276" w:lineRule="auto"/>
        <w:rPr>
          <w:rFonts w:cs="Times New Roman"/>
        </w:rPr>
      </w:pPr>
      <w:r w:rsidRPr="00E72418">
        <w:rPr>
          <w:rFonts w:cs="Times New Roman"/>
          <w:b/>
        </w:rPr>
        <w:t>228</w:t>
      </w:r>
      <w:r w:rsidR="00A9718E" w:rsidRPr="00E72418">
        <w:rPr>
          <w:rFonts w:cs="Times New Roman"/>
          <w:b/>
        </w:rPr>
        <w:t xml:space="preserve">. </w:t>
      </w:r>
      <w:r w:rsidR="007211AD" w:rsidRPr="00E72418">
        <w:rPr>
          <w:rFonts w:cs="Times New Roman"/>
          <w:b/>
        </w:rPr>
        <w:t>La satisfaction d’une demande en justice</w:t>
      </w:r>
      <w:r w:rsidR="007211AD" w:rsidRPr="00E72418">
        <w:rPr>
          <w:b/>
          <w:szCs w:val="24"/>
        </w:rPr>
        <w:t xml:space="preserve"> </w:t>
      </w:r>
      <w:r w:rsidR="007211AD" w:rsidRPr="00E72418">
        <w:rPr>
          <w:rFonts w:cs="Times"/>
          <w:b/>
        </w:rPr>
        <w:t xml:space="preserve">– </w:t>
      </w:r>
      <w:r w:rsidR="00F02D1D" w:rsidRPr="00E72418">
        <w:rPr>
          <w:szCs w:val="24"/>
        </w:rPr>
        <w:t xml:space="preserve">En sus du cas </w:t>
      </w:r>
      <w:r w:rsidR="00F02D1D" w:rsidRPr="00E72418">
        <w:t>des biens étatiques n’étant pas utilisés à des fins de service public non commercial et de la situation où l’</w:t>
      </w:r>
      <w:r w:rsidR="00F02D1D" w:rsidRPr="00E72418">
        <w:rPr>
          <w:lang w:eastAsia="fr-BE"/>
        </w:rPr>
        <w:t>É</w:t>
      </w:r>
      <w:r w:rsidR="00F02D1D" w:rsidRPr="00E72418">
        <w:rPr>
          <w:rFonts w:cs="Times New Roman"/>
        </w:rPr>
        <w:t>tat a renoncé au bénéfice immunitaire,</w:t>
      </w:r>
      <w:r w:rsidR="00F02D1D" w:rsidRPr="00E72418">
        <w:rPr>
          <w:szCs w:val="24"/>
        </w:rPr>
        <w:t xml:space="preserve"> l</w:t>
      </w:r>
      <w:r w:rsidR="00055731" w:rsidRPr="00E72418">
        <w:rPr>
          <w:szCs w:val="24"/>
        </w:rPr>
        <w:t xml:space="preserve">a Cour internationale de Justice </w:t>
      </w:r>
      <w:r w:rsidR="00F02D1D" w:rsidRPr="00E72418">
        <w:rPr>
          <w:szCs w:val="24"/>
        </w:rPr>
        <w:t>reti</w:t>
      </w:r>
      <w:r w:rsidR="008D47E0" w:rsidRPr="00E72418">
        <w:rPr>
          <w:szCs w:val="24"/>
        </w:rPr>
        <w:t xml:space="preserve">nt </w:t>
      </w:r>
      <w:r w:rsidR="00F02D1D" w:rsidRPr="00E72418">
        <w:rPr>
          <w:szCs w:val="24"/>
        </w:rPr>
        <w:t xml:space="preserve">finalement </w:t>
      </w:r>
      <w:r w:rsidR="00055731" w:rsidRPr="00E72418">
        <w:rPr>
          <w:szCs w:val="24"/>
        </w:rPr>
        <w:t>d</w:t>
      </w:r>
      <w:r w:rsidR="008D47E0" w:rsidRPr="00E72418">
        <w:rPr>
          <w:szCs w:val="24"/>
        </w:rPr>
        <w:t xml:space="preserve">ans son arrêt </w:t>
      </w:r>
      <w:r w:rsidR="00F02D1D" w:rsidRPr="00E72418">
        <w:rPr>
          <w:i/>
        </w:rPr>
        <w:t xml:space="preserve">Immunités juridictionnelles de l’État (Allemagne c. Italie ; Grèce (intervenant)) </w:t>
      </w:r>
      <w:r w:rsidR="00055731" w:rsidRPr="00E72418">
        <w:rPr>
          <w:rFonts w:cs="Times New Roman"/>
        </w:rPr>
        <w:t xml:space="preserve">qu’une mesure de contrainte </w:t>
      </w:r>
      <w:r w:rsidR="00F02D1D" w:rsidRPr="00E72418">
        <w:rPr>
          <w:rFonts w:cs="Times New Roman"/>
        </w:rPr>
        <w:t>peut</w:t>
      </w:r>
      <w:r w:rsidR="00055731" w:rsidRPr="00E72418">
        <w:rPr>
          <w:rFonts w:cs="Times New Roman"/>
        </w:rPr>
        <w:t xml:space="preserve"> être prise à l’égard d’un bien appartenant à un </w:t>
      </w:r>
      <w:r w:rsidR="00055731" w:rsidRPr="00E72418">
        <w:rPr>
          <w:lang w:eastAsia="fr-BE"/>
        </w:rPr>
        <w:t>É</w:t>
      </w:r>
      <w:r w:rsidR="00055731" w:rsidRPr="00E72418">
        <w:rPr>
          <w:rFonts w:cs="Times New Roman"/>
        </w:rPr>
        <w:t xml:space="preserve">tat étranger </w:t>
      </w:r>
      <w:r w:rsidR="00F02D1D" w:rsidRPr="00E72418">
        <w:rPr>
          <w:rFonts w:cs="Times New Roman"/>
        </w:rPr>
        <w:t xml:space="preserve">lorsque ce dernier a </w:t>
      </w:r>
      <w:r w:rsidR="00055731" w:rsidRPr="00E72418">
        <w:rPr>
          <w:rFonts w:cs="Times New Roman"/>
        </w:rPr>
        <w:t>réservé le bien en cause à la satisfaction d’une de</w:t>
      </w:r>
      <w:r w:rsidR="00F02D1D" w:rsidRPr="00E72418">
        <w:rPr>
          <w:rFonts w:cs="Times New Roman"/>
        </w:rPr>
        <w:t>mande en justice</w:t>
      </w:r>
      <w:r w:rsidR="00055731" w:rsidRPr="00E72418">
        <w:rPr>
          <w:rStyle w:val="Appelnotedebasdep"/>
          <w:rFonts w:cs="Times New Roman"/>
        </w:rPr>
        <w:footnoteReference w:id="1139"/>
      </w:r>
      <w:r w:rsidR="00055731" w:rsidRPr="00E72418">
        <w:rPr>
          <w:rFonts w:cs="Times New Roman"/>
        </w:rPr>
        <w:t xml:space="preserve">. </w:t>
      </w:r>
    </w:p>
    <w:p w14:paraId="4AEA8D6E" w14:textId="742E26EF" w:rsidR="00055731" w:rsidRPr="00E72418" w:rsidRDefault="009861AD" w:rsidP="00CC4BA8">
      <w:pPr>
        <w:spacing w:line="276" w:lineRule="auto"/>
        <w:rPr>
          <w:rFonts w:cs="Times New Roman"/>
        </w:rPr>
      </w:pPr>
      <w:r w:rsidRPr="00E72418">
        <w:rPr>
          <w:szCs w:val="24"/>
        </w:rPr>
        <w:t>S</w:t>
      </w:r>
      <w:r w:rsidR="00055731" w:rsidRPr="00E72418">
        <w:rPr>
          <w:szCs w:val="24"/>
        </w:rPr>
        <w:t xml:space="preserve">i </w:t>
      </w:r>
      <w:r w:rsidR="000F5FE4">
        <w:rPr>
          <w:szCs w:val="24"/>
        </w:rPr>
        <w:t>la règle générale veut qu’</w:t>
      </w:r>
      <w:r w:rsidR="00055731" w:rsidRPr="00E72418">
        <w:t>aucune mesure de contrainte</w:t>
      </w:r>
      <w:r w:rsidR="000F5FE4">
        <w:t xml:space="preserve"> postérieure au jugement ne puisse</w:t>
      </w:r>
      <w:r w:rsidR="00055731" w:rsidRPr="00E72418">
        <w:t xml:space="preserve"> être prise contre des biens d’un État en relation avec une procédure intentée devant un tribunal d’un autre État, </w:t>
      </w:r>
      <w:r w:rsidRPr="00E72418">
        <w:rPr>
          <w:szCs w:val="24"/>
        </w:rPr>
        <w:t>l</w:t>
      </w:r>
      <w:r w:rsidR="00EA1EA8" w:rsidRPr="00E72418">
        <w:rPr>
          <w:szCs w:val="24"/>
        </w:rPr>
        <w:t>’article 19, b)</w:t>
      </w:r>
      <w:r w:rsidRPr="00E72418">
        <w:rPr>
          <w:szCs w:val="24"/>
        </w:rPr>
        <w:t xml:space="preserve"> de la Convention des Nations Unies de 2004 prévoit que </w:t>
      </w:r>
      <w:r w:rsidR="00055731" w:rsidRPr="00E72418">
        <w:t xml:space="preserve">tel n’est </w:t>
      </w:r>
      <w:r w:rsidR="005C12E8" w:rsidRPr="00E72418">
        <w:t xml:space="preserve">toutefois </w:t>
      </w:r>
      <w:r w:rsidR="00055731" w:rsidRPr="00E72418">
        <w:t xml:space="preserve">pas le cas </w:t>
      </w:r>
      <w:r w:rsidRPr="00E72418">
        <w:t>lorsque</w:t>
      </w:r>
      <w:r w:rsidR="00055731" w:rsidRPr="00E72418">
        <w:t xml:space="preserve"> l’État a réservé ou affecté des biens à la satisfaction de la demande qui f</w:t>
      </w:r>
      <w:r w:rsidRPr="00E72418">
        <w:t>ait l’objet de cette procédure.</w:t>
      </w:r>
    </w:p>
    <w:p w14:paraId="23409565" w14:textId="40CFF77A" w:rsidR="00055731" w:rsidRPr="00E72418" w:rsidRDefault="00055731" w:rsidP="00CC4BA8">
      <w:pPr>
        <w:spacing w:line="276" w:lineRule="auto"/>
        <w:rPr>
          <w:b/>
        </w:rPr>
      </w:pPr>
      <w:r w:rsidRPr="00E72418">
        <w:t>L’article L.</w:t>
      </w:r>
      <w:r w:rsidR="006445D4" w:rsidRPr="00E72418">
        <w:t xml:space="preserve"> </w:t>
      </w:r>
      <w:r w:rsidRPr="00E72418">
        <w:t xml:space="preserve">111-1-2, alinéa 1, 2°, du Code des procédures civiles d’exécution français dispose que des mesures </w:t>
      </w:r>
      <w:r w:rsidR="009861AD" w:rsidRPr="00E72418">
        <w:t>conservatoires ou des mesures d’</w:t>
      </w:r>
      <w:r w:rsidRPr="00E72418">
        <w:t xml:space="preserve">exécution forcée visant un bien appartenant à un </w:t>
      </w:r>
      <w:r w:rsidRPr="00E72418">
        <w:rPr>
          <w:lang w:eastAsia="fr-BE"/>
        </w:rPr>
        <w:t>É</w:t>
      </w:r>
      <w:r w:rsidRPr="00E72418">
        <w:t>tat étranger peuvent être autorisées si l’</w:t>
      </w:r>
      <w:r w:rsidRPr="00E72418">
        <w:rPr>
          <w:lang w:eastAsia="fr-BE"/>
        </w:rPr>
        <w:t>É</w:t>
      </w:r>
      <w:r w:rsidRPr="00E72418">
        <w:t>tat concerné a réservé ou affecté ce bien à la satisfaction de la demande qui fait l’objet de la procédure.</w:t>
      </w:r>
    </w:p>
    <w:p w14:paraId="7FB014C3" w14:textId="4CC2FABA" w:rsidR="00055731" w:rsidRPr="00E72418" w:rsidRDefault="00055731" w:rsidP="00CC4BA8">
      <w:pPr>
        <w:spacing w:line="276" w:lineRule="auto"/>
        <w:rPr>
          <w:bCs/>
          <w:szCs w:val="24"/>
        </w:rPr>
      </w:pPr>
      <w:r w:rsidRPr="00E72418">
        <w:rPr>
          <w:bCs/>
          <w:szCs w:val="24"/>
        </w:rPr>
        <w:t>Le législateur belge admet qu’une saisie d’avoirs appartenant à une puissance étrangère se trouvant sur le territoire belge puisse être autorisée si le créancier démontre que cette puissance a réservé ou affecté des biens à la satisfaction de la demande qui fait l’objet du titre exécutoire ou du titre authentique ou privé qui, selon le cas, fonde la saisie</w:t>
      </w:r>
      <w:r w:rsidRPr="00E72418">
        <w:rPr>
          <w:rStyle w:val="Appelnotedebasdep"/>
          <w:bCs/>
          <w:szCs w:val="24"/>
        </w:rPr>
        <w:footnoteReference w:id="1140"/>
      </w:r>
      <w:r w:rsidRPr="00E72418">
        <w:rPr>
          <w:bCs/>
          <w:szCs w:val="24"/>
        </w:rPr>
        <w:t>.</w:t>
      </w:r>
    </w:p>
    <w:p w14:paraId="20EA4768" w14:textId="0C1D2E08" w:rsidR="006D50CA" w:rsidRPr="00E72418" w:rsidRDefault="00016C60" w:rsidP="004007D2">
      <w:pPr>
        <w:pStyle w:val="FF"/>
        <w:numPr>
          <w:ilvl w:val="0"/>
          <w:numId w:val="3"/>
        </w:numPr>
        <w:spacing w:line="276" w:lineRule="auto"/>
      </w:pPr>
      <w:bookmarkStart w:id="259" w:name="_Toc59280955"/>
      <w:bookmarkStart w:id="260" w:name="_Toc84540944"/>
      <w:r w:rsidRPr="00E72418">
        <w:lastRenderedPageBreak/>
        <w:t>Le régime</w:t>
      </w:r>
      <w:r w:rsidR="006D50CA" w:rsidRPr="00E72418">
        <w:t xml:space="preserve"> particulier</w:t>
      </w:r>
      <w:r w:rsidRPr="00E72418">
        <w:t xml:space="preserve"> des biens à fonction diplomatique</w:t>
      </w:r>
      <w:bookmarkEnd w:id="259"/>
      <w:bookmarkEnd w:id="260"/>
    </w:p>
    <w:p w14:paraId="6D5518DE" w14:textId="77777777" w:rsidR="004007D2" w:rsidRPr="00E72418" w:rsidRDefault="004007D2" w:rsidP="0054314B"/>
    <w:p w14:paraId="7016E80F" w14:textId="642AD969" w:rsidR="00016C60" w:rsidRPr="00E72418" w:rsidRDefault="007F038F" w:rsidP="00CC4BA8">
      <w:pPr>
        <w:spacing w:line="276" w:lineRule="auto"/>
        <w:rPr>
          <w:rFonts w:cs="Times New Roman"/>
        </w:rPr>
      </w:pPr>
      <w:r w:rsidRPr="00E72418">
        <w:rPr>
          <w:b/>
        </w:rPr>
        <w:t>229</w:t>
      </w:r>
      <w:r w:rsidR="00A9718E" w:rsidRPr="00E72418">
        <w:rPr>
          <w:b/>
        </w:rPr>
        <w:t xml:space="preserve">. </w:t>
      </w:r>
      <w:r w:rsidR="006D50CA" w:rsidRPr="00E72418">
        <w:rPr>
          <w:b/>
        </w:rPr>
        <w:t>La néce</w:t>
      </w:r>
      <w:r w:rsidR="00CC5A04" w:rsidRPr="00E72418">
        <w:rPr>
          <w:b/>
        </w:rPr>
        <w:t>ssaire protection particulière –</w:t>
      </w:r>
      <w:r w:rsidR="006D50CA" w:rsidRPr="00E72418">
        <w:t xml:space="preserve"> </w:t>
      </w:r>
      <w:r w:rsidR="00016C60" w:rsidRPr="00E72418">
        <w:rPr>
          <w:rFonts w:cs="Times New Roman"/>
        </w:rPr>
        <w:t xml:space="preserve">Dans le cadre des contentieux ayant trait aux dettes souveraines, les biens des ambassades des </w:t>
      </w:r>
      <w:r w:rsidR="00016C60" w:rsidRPr="00E72418">
        <w:t>É</w:t>
      </w:r>
      <w:r w:rsidR="00016C60" w:rsidRPr="00E72418">
        <w:rPr>
          <w:rFonts w:cs="Times New Roman"/>
        </w:rPr>
        <w:t>tats débiteurs sont souvent visés par les créanciers</w:t>
      </w:r>
      <w:r w:rsidR="00016C60" w:rsidRPr="00E72418">
        <w:rPr>
          <w:rStyle w:val="Appelnotedebasdep"/>
          <w:rFonts w:cs="Times New Roman"/>
        </w:rPr>
        <w:footnoteReference w:id="1141"/>
      </w:r>
      <w:r w:rsidR="00016C60" w:rsidRPr="00E72418">
        <w:rPr>
          <w:rFonts w:cs="Times New Roman"/>
        </w:rPr>
        <w:t xml:space="preserve">. </w:t>
      </w:r>
      <w:r w:rsidR="005B5C40" w:rsidRPr="00E72418">
        <w:rPr>
          <w:rFonts w:cs="Times New Roman"/>
        </w:rPr>
        <w:t>Comme l’explique Pierre d’Argent, « </w:t>
      </w:r>
      <w:r w:rsidR="005B5C40" w:rsidRPr="00E72418">
        <w:rPr>
          <w:rFonts w:ascii="Times New Roman" w:hAnsi="Times New Roman"/>
        </w:rPr>
        <w:t>[l’]ambassade n’étant qu’un organe de l’</w:t>
      </w:r>
      <w:r w:rsidR="005B5C40" w:rsidRPr="00E72418">
        <w:rPr>
          <w:lang w:eastAsia="fr-BE"/>
        </w:rPr>
        <w:t>É</w:t>
      </w:r>
      <w:r w:rsidR="005B5C40" w:rsidRPr="00E72418">
        <w:rPr>
          <w:rFonts w:ascii="Times New Roman" w:hAnsi="Times New Roman"/>
        </w:rPr>
        <w:t>tat étranger, elle ne jouit d’aucune personnalité juridique propre et les sommes portées au crédit des comptes ouverts en son nom sont des biens de l’</w:t>
      </w:r>
      <w:r w:rsidR="005B5C40" w:rsidRPr="00E72418">
        <w:rPr>
          <w:lang w:eastAsia="fr-BE"/>
        </w:rPr>
        <w:t>É</w:t>
      </w:r>
      <w:r w:rsidR="005B5C40" w:rsidRPr="00E72418">
        <w:rPr>
          <w:rFonts w:ascii="Times New Roman" w:hAnsi="Times New Roman"/>
        </w:rPr>
        <w:t xml:space="preserve">tat qu’elle représente </w:t>
      </w:r>
      <w:r w:rsidR="005B5C40" w:rsidRPr="00E72418">
        <w:rPr>
          <w:rFonts w:cs="Times New Roman"/>
        </w:rPr>
        <w:t>»</w:t>
      </w:r>
      <w:r w:rsidR="005B5C40" w:rsidRPr="00E72418">
        <w:rPr>
          <w:rStyle w:val="Appelnotedebasdep"/>
          <w:rFonts w:cs="Times New Roman"/>
        </w:rPr>
        <w:footnoteReference w:id="1142"/>
      </w:r>
      <w:r w:rsidR="005B5C40" w:rsidRPr="00E72418">
        <w:rPr>
          <w:rFonts w:cs="Times New Roman"/>
        </w:rPr>
        <w:t xml:space="preserve">. </w:t>
      </w:r>
      <w:r w:rsidR="00016C60" w:rsidRPr="00E72418">
        <w:rPr>
          <w:rFonts w:cs="Times New Roman"/>
        </w:rPr>
        <w:t>La question de la saisissabilité de ces biens particuliers est singulière sachant qu’ils bénéficient généralement d’un régime immunitaire propre.</w:t>
      </w:r>
    </w:p>
    <w:p w14:paraId="39D16FD3" w14:textId="77777777" w:rsidR="006D50CA" w:rsidRPr="00E72418" w:rsidRDefault="006D50CA" w:rsidP="00CC4BA8">
      <w:pPr>
        <w:spacing w:line="276" w:lineRule="auto"/>
      </w:pPr>
      <w:r w:rsidRPr="00E72418">
        <w:t xml:space="preserve">En vertu de la règle coutumière internationale </w:t>
      </w:r>
      <w:r w:rsidRPr="00E72418">
        <w:rPr>
          <w:i/>
          <w:iCs/>
        </w:rPr>
        <w:t>ne impediatur legatio</w:t>
      </w:r>
      <w:r w:rsidRPr="00E72418">
        <w:t xml:space="preserve">, le fonctionnement de la mission diplomatique ne peut être entravé. </w:t>
      </w:r>
      <w:r w:rsidR="00613F59" w:rsidRPr="00E72418">
        <w:rPr>
          <w:szCs w:val="24"/>
        </w:rPr>
        <w:t>L’article 22(3)</w:t>
      </w:r>
      <w:r w:rsidRPr="00E72418">
        <w:rPr>
          <w:szCs w:val="24"/>
        </w:rPr>
        <w:t xml:space="preserve"> de la Convention de Vienne du 18 avril 1961 sur les relations diplomatiques prévoit que </w:t>
      </w:r>
      <w:r w:rsidRPr="00E72418">
        <w:rPr>
          <w:rFonts w:cs="Times New Roman"/>
        </w:rPr>
        <w:t>« </w:t>
      </w:r>
      <w:r w:rsidRPr="00E72418">
        <w:rPr>
          <w:rFonts w:ascii="Times New Roman" w:hAnsi="Times New Roman"/>
        </w:rPr>
        <w:t>[l]</w:t>
      </w:r>
      <w:r w:rsidRPr="00E72418">
        <w:rPr>
          <w:rFonts w:cs="Times New Roman"/>
        </w:rPr>
        <w:t xml:space="preserve">es locaux de la mission, leur ameublement et les autres objets qui s’y trouvent, ainsi que les moyens de transport de la mission, ne peuvent faire l’objet d’aucune perquisition, réquisition, saisie ou mesure d’exécution ». </w:t>
      </w:r>
      <w:r w:rsidRPr="00E72418">
        <w:rPr>
          <w:szCs w:val="24"/>
        </w:rPr>
        <w:t>L’article 25 de la Convention impose quant à lui</w:t>
      </w:r>
      <w:r w:rsidR="00613F59" w:rsidRPr="00E72418">
        <w:rPr>
          <w:szCs w:val="24"/>
        </w:rPr>
        <w:t xml:space="preserve"> à l’</w:t>
      </w:r>
      <w:r w:rsidR="00613F59" w:rsidRPr="00E72418">
        <w:rPr>
          <w:lang w:eastAsia="fr-BE"/>
        </w:rPr>
        <w:t>É</w:t>
      </w:r>
      <w:r w:rsidR="00613F59" w:rsidRPr="00E72418">
        <w:rPr>
          <w:szCs w:val="24"/>
        </w:rPr>
        <w:t>tat accréditaire</w:t>
      </w:r>
      <w:r w:rsidRPr="00E72418">
        <w:rPr>
          <w:szCs w:val="24"/>
        </w:rPr>
        <w:t xml:space="preserve"> d’accorder toutes facilités pour l’accomplissement des fonctions des missions.</w:t>
      </w:r>
    </w:p>
    <w:p w14:paraId="32BBCC8B" w14:textId="36DF6F83" w:rsidR="006D50CA" w:rsidRPr="00E72418" w:rsidRDefault="00AB62A8" w:rsidP="00CC4BA8">
      <w:pPr>
        <w:spacing w:line="276" w:lineRule="auto"/>
        <w:rPr>
          <w:szCs w:val="24"/>
        </w:rPr>
      </w:pPr>
      <w:r w:rsidRPr="00E72418">
        <w:rPr>
          <w:rFonts w:cs="Times New Roman"/>
        </w:rPr>
        <w:t>Comme le relèvent </w:t>
      </w:r>
      <w:r w:rsidR="00201853" w:rsidRPr="00E72418">
        <w:rPr>
          <w:rFonts w:cs="Times New Roman"/>
        </w:rPr>
        <w:t xml:space="preserve">Nicolas </w:t>
      </w:r>
      <w:r w:rsidRPr="00E72418">
        <w:rPr>
          <w:rFonts w:cs="Times New Roman"/>
        </w:rPr>
        <w:t xml:space="preserve">Angelet et </w:t>
      </w:r>
      <w:r w:rsidR="00201853" w:rsidRPr="00E72418">
        <w:rPr>
          <w:rFonts w:cs="Times New Roman"/>
        </w:rPr>
        <w:t xml:space="preserve">Hakim </w:t>
      </w:r>
      <w:r w:rsidR="006D50CA" w:rsidRPr="00E72418">
        <w:rPr>
          <w:rFonts w:cs="Times New Roman"/>
        </w:rPr>
        <w:t xml:space="preserve">Boularbah, de manière générale, les avoirs des </w:t>
      </w:r>
      <w:r w:rsidR="006D50CA" w:rsidRPr="00E72418">
        <w:rPr>
          <w:lang w:eastAsia="fr-BE"/>
        </w:rPr>
        <w:t>É</w:t>
      </w:r>
      <w:r w:rsidR="006D50CA" w:rsidRPr="00E72418">
        <w:rPr>
          <w:rFonts w:cs="Times New Roman"/>
        </w:rPr>
        <w:t xml:space="preserve">tats étrangers bénéficient de l’immunité </w:t>
      </w:r>
      <w:r w:rsidR="0070455A" w:rsidRPr="00E72418">
        <w:rPr>
          <w:rFonts w:cs="Times New Roman"/>
        </w:rPr>
        <w:t xml:space="preserve">générale </w:t>
      </w:r>
      <w:r w:rsidR="006D50CA" w:rsidRPr="00E72418">
        <w:rPr>
          <w:rFonts w:cs="Times New Roman"/>
        </w:rPr>
        <w:t>à laquelle s’ajoutent des régimes particuliers tel</w:t>
      </w:r>
      <w:r w:rsidR="003055DA" w:rsidRPr="00E72418">
        <w:rPr>
          <w:rFonts w:cs="Times New Roman"/>
        </w:rPr>
        <w:t>s</w:t>
      </w:r>
      <w:r w:rsidR="006D50CA" w:rsidRPr="00E72418">
        <w:rPr>
          <w:rFonts w:cs="Times New Roman"/>
        </w:rPr>
        <w:t xml:space="preserve"> que celui de la Convention de Vienne sur les relations diplomatiques qui accorde une protection supplémentaire et distincte aux avoirs servant au fonctionnement d’une mission diplomatique</w:t>
      </w:r>
      <w:r w:rsidR="006D50CA" w:rsidRPr="00E72418">
        <w:rPr>
          <w:rStyle w:val="Appelnotedebasdep"/>
          <w:rFonts w:cs="Times New Roman"/>
        </w:rPr>
        <w:footnoteReference w:id="1143"/>
      </w:r>
      <w:r w:rsidR="006D50CA" w:rsidRPr="00E72418">
        <w:rPr>
          <w:rFonts w:cs="Times New Roman"/>
          <w:bCs/>
        </w:rPr>
        <w:t xml:space="preserve">. </w:t>
      </w:r>
      <w:r w:rsidR="00A016BF" w:rsidRPr="00E72418">
        <w:rPr>
          <w:rFonts w:cs="Times New Roman"/>
          <w:bCs/>
        </w:rPr>
        <w:t xml:space="preserve">L’explication de cette superposition des protections est à trouver dans le fait </w:t>
      </w:r>
      <w:r w:rsidR="006D50CA" w:rsidRPr="00E72418">
        <w:rPr>
          <w:rFonts w:cs="Times New Roman"/>
          <w:bCs/>
        </w:rPr>
        <w:t>que l</w:t>
      </w:r>
      <w:r w:rsidR="006D50CA" w:rsidRPr="00E72418">
        <w:rPr>
          <w:rFonts w:cs="Times New Roman"/>
        </w:rPr>
        <w:t xml:space="preserve">’immunité étatique a comme fondement l’égalité souveraine des </w:t>
      </w:r>
      <w:r w:rsidR="006D50CA" w:rsidRPr="00E72418">
        <w:rPr>
          <w:lang w:eastAsia="fr-BE"/>
        </w:rPr>
        <w:t>É</w:t>
      </w:r>
      <w:r w:rsidR="006D50CA" w:rsidRPr="00E72418">
        <w:rPr>
          <w:rFonts w:cs="Times New Roman"/>
        </w:rPr>
        <w:t xml:space="preserve">tats là où les privilèges et immunités des missions diplomatiques se justifient par la garantie </w:t>
      </w:r>
      <w:r w:rsidR="00A016BF" w:rsidRPr="00E72418">
        <w:rPr>
          <w:rFonts w:cs="Times New Roman"/>
        </w:rPr>
        <w:t>que ces dernières</w:t>
      </w:r>
      <w:r w:rsidR="006D50CA" w:rsidRPr="00E72418">
        <w:rPr>
          <w:rFonts w:cs="Times New Roman"/>
        </w:rPr>
        <w:t xml:space="preserve"> puissent effectuer leur tâche de représentation internationale sans ingérence de l’</w:t>
      </w:r>
      <w:r w:rsidR="006D50CA" w:rsidRPr="00E72418">
        <w:rPr>
          <w:lang w:eastAsia="fr-BE"/>
        </w:rPr>
        <w:t>É</w:t>
      </w:r>
      <w:r w:rsidR="006D50CA" w:rsidRPr="00E72418">
        <w:rPr>
          <w:rFonts w:cs="Times New Roman"/>
        </w:rPr>
        <w:t>tat hôte. Ces deux concepts sont, quoi</w:t>
      </w:r>
      <w:r w:rsidR="00A06818" w:rsidRPr="00E72418">
        <w:rPr>
          <w:rFonts w:cs="Times New Roman"/>
        </w:rPr>
        <w:t xml:space="preserve"> </w:t>
      </w:r>
      <w:r w:rsidR="006D50CA" w:rsidRPr="00E72418">
        <w:rPr>
          <w:rFonts w:cs="Times New Roman"/>
        </w:rPr>
        <w:t>qu’il en soit, liés</w:t>
      </w:r>
      <w:r w:rsidR="006D50CA" w:rsidRPr="00E72418">
        <w:rPr>
          <w:rStyle w:val="Appelnotedebasdep"/>
          <w:rFonts w:cs="Times New Roman"/>
        </w:rPr>
        <w:footnoteReference w:id="1144"/>
      </w:r>
      <w:r w:rsidR="006D50CA" w:rsidRPr="00E72418">
        <w:rPr>
          <w:rFonts w:cs="Times New Roman"/>
        </w:rPr>
        <w:t>.</w:t>
      </w:r>
    </w:p>
    <w:p w14:paraId="69A2B0A2" w14:textId="77777777" w:rsidR="006D50CA" w:rsidRPr="00E72418" w:rsidRDefault="006D50CA" w:rsidP="0054314B"/>
    <w:p w14:paraId="215F2346" w14:textId="5483E95A" w:rsidR="006D50CA" w:rsidRPr="00E72418" w:rsidRDefault="007F038F" w:rsidP="00CC4BA8">
      <w:pPr>
        <w:spacing w:line="276" w:lineRule="auto"/>
      </w:pPr>
      <w:r w:rsidRPr="00E72418">
        <w:rPr>
          <w:b/>
        </w:rPr>
        <w:t>230</w:t>
      </w:r>
      <w:r w:rsidR="00A9718E" w:rsidRPr="00E72418">
        <w:rPr>
          <w:b/>
        </w:rPr>
        <w:t xml:space="preserve">. </w:t>
      </w:r>
      <w:r w:rsidR="006D50CA" w:rsidRPr="00E72418">
        <w:rPr>
          <w:b/>
        </w:rPr>
        <w:t xml:space="preserve">La Convention des Nations Unies sur les immunités juridictionnelles des </w:t>
      </w:r>
      <w:r w:rsidR="006D50CA" w:rsidRPr="00E72418">
        <w:rPr>
          <w:b/>
          <w:lang w:eastAsia="fr-BE"/>
        </w:rPr>
        <w:t>É</w:t>
      </w:r>
      <w:r w:rsidR="006D50CA" w:rsidRPr="00E72418">
        <w:rPr>
          <w:b/>
        </w:rPr>
        <w:t>tats et de leurs biens –</w:t>
      </w:r>
      <w:r w:rsidR="006D50CA" w:rsidRPr="00E72418">
        <w:t xml:space="preserve"> L’article 20(1)(a) de la Convention des Nations Unies retient que ne sont pas considérés comme des biens spécifiquement utilisés ou destinés à être utilisés par l’État autrement qu’à des fins de service public non commerciales, les biens, y compris les comptes bancaires, utilisés ou destinés à être utilisés dans l’exercice des fonctions de la mission </w:t>
      </w:r>
      <w:r w:rsidR="006D50CA" w:rsidRPr="00E72418">
        <w:lastRenderedPageBreak/>
        <w:t>diplomatique de l’État ou de ses postes consulaires, de ses missions spéciales, de ses missions auprès des organisations internationales, ou de ses délégations dans les organes des organisations internationales ou aux conférences internationales</w:t>
      </w:r>
      <w:r w:rsidR="00016C60" w:rsidRPr="00E72418">
        <w:rPr>
          <w:rStyle w:val="Appelnotedebasdep"/>
        </w:rPr>
        <w:footnoteReference w:id="1145"/>
      </w:r>
      <w:r w:rsidR="006D50CA" w:rsidRPr="00E72418">
        <w:t>.</w:t>
      </w:r>
      <w:r w:rsidR="00016C60" w:rsidRPr="00E72418">
        <w:t xml:space="preserve"> </w:t>
      </w:r>
      <w:r w:rsidR="00016C60" w:rsidRPr="00E72418">
        <w:rPr>
          <w:bCs/>
          <w:szCs w:val="24"/>
        </w:rPr>
        <w:t xml:space="preserve">Les biens à fonction diplomatique étant </w:t>
      </w:r>
      <w:r w:rsidR="00016C60" w:rsidRPr="00E72418">
        <w:rPr>
          <w:szCs w:val="24"/>
        </w:rPr>
        <w:t>considérés comme étant utilisés ou destinés à être utilisé</w:t>
      </w:r>
      <w:r w:rsidR="006E64F5" w:rsidRPr="00E72418">
        <w:rPr>
          <w:szCs w:val="24"/>
        </w:rPr>
        <w:t>s</w:t>
      </w:r>
      <w:r w:rsidR="00016C60" w:rsidRPr="00E72418">
        <w:rPr>
          <w:szCs w:val="24"/>
        </w:rPr>
        <w:t xml:space="preserve"> à des fins de service public non commerciales, le créancier est empêché d’apporter la preuve de leur affectation non souveraine et ne peut ainsi espérer faire pratiquer une mesure de contrainte sur ceux-ci</w:t>
      </w:r>
      <w:r w:rsidR="00016C60" w:rsidRPr="00E72418">
        <w:rPr>
          <w:rStyle w:val="Appelnotedebasdep"/>
          <w:rFonts w:cs="Times New Roman"/>
          <w:szCs w:val="24"/>
        </w:rPr>
        <w:footnoteReference w:id="1146"/>
      </w:r>
      <w:r w:rsidR="00016C60" w:rsidRPr="00E72418">
        <w:rPr>
          <w:szCs w:val="24"/>
        </w:rPr>
        <w:t>.</w:t>
      </w:r>
    </w:p>
    <w:p w14:paraId="59D907E6" w14:textId="4E7FFB32" w:rsidR="006D50CA" w:rsidRPr="00E72418" w:rsidRDefault="006D50CA" w:rsidP="00CC4BA8">
      <w:pPr>
        <w:spacing w:line="276" w:lineRule="auto"/>
        <w:rPr>
          <w:szCs w:val="24"/>
        </w:rPr>
      </w:pPr>
      <w:r w:rsidRPr="00E72418">
        <w:rPr>
          <w:szCs w:val="24"/>
        </w:rPr>
        <w:t>La présomption ne vaut que pour autant qu’ait été retenue l’utilisation ou la destination des biens à des fins diplomatiques. Ainsi, s’il est démontré que des biens diplomatiques ne sont pas utilisés ou ne sont pas destinés à être utilisés dans l’exercice des fonctions de la mission diplomatique et qu’ils ne sont pas non plus utilisés ou destinés à être utilisés à des fins de service public non commerciales, alors ils pourraient être saisis</w:t>
      </w:r>
      <w:r w:rsidR="0032213F" w:rsidRPr="00E72418">
        <w:rPr>
          <w:rStyle w:val="Appelnotedebasdep"/>
          <w:szCs w:val="24"/>
        </w:rPr>
        <w:footnoteReference w:id="1147"/>
      </w:r>
      <w:r w:rsidRPr="00E72418">
        <w:rPr>
          <w:szCs w:val="24"/>
        </w:rPr>
        <w:t xml:space="preserve">. Le simple fait pour un bien d’appartenir à une mission diplomatique ne suffit donc pas à le rendre insaisissable. </w:t>
      </w:r>
    </w:p>
    <w:p w14:paraId="7610E9BA" w14:textId="77777777" w:rsidR="006D50CA" w:rsidRPr="00E72418" w:rsidRDefault="006D50CA" w:rsidP="00CC4BA8">
      <w:pPr>
        <w:spacing w:line="276" w:lineRule="auto"/>
        <w:rPr>
          <w:szCs w:val="24"/>
        </w:rPr>
      </w:pPr>
      <w:r w:rsidRPr="00E72418">
        <w:rPr>
          <w:szCs w:val="24"/>
        </w:rPr>
        <w:t xml:space="preserve">La présomption posée par la Convention n’empêche pas les </w:t>
      </w:r>
      <w:r w:rsidRPr="00E72418">
        <w:t>É</w:t>
      </w:r>
      <w:r w:rsidRPr="00E72418">
        <w:rPr>
          <w:szCs w:val="24"/>
        </w:rPr>
        <w:t xml:space="preserve">tats de renoncer au bénéfice qui en découle. En effet, en vertu de l’article 21(2), les </w:t>
      </w:r>
      <w:r w:rsidRPr="00E72418">
        <w:t>É</w:t>
      </w:r>
      <w:r w:rsidRPr="00E72418">
        <w:rPr>
          <w:szCs w:val="24"/>
        </w:rPr>
        <w:t>tats peuvent consentir à l’application de mesures de contrainte sur les biens à fonction diplomatique. Ce consentement doit, en application des articles 18 et 19, être donné expressément.</w:t>
      </w:r>
      <w:r w:rsidR="00016C60" w:rsidRPr="00E72418">
        <w:rPr>
          <w:szCs w:val="24"/>
        </w:rPr>
        <w:t xml:space="preserve"> Aussi, </w:t>
      </w:r>
      <w:r w:rsidR="005C34EB" w:rsidRPr="00E72418">
        <w:rPr>
          <w:szCs w:val="24"/>
        </w:rPr>
        <w:t xml:space="preserve">en application de l’article 21(2) de la Convention toujours, </w:t>
      </w:r>
      <w:r w:rsidR="00016C60" w:rsidRPr="00E72418">
        <w:rPr>
          <w:szCs w:val="24"/>
        </w:rPr>
        <w:t xml:space="preserve">les </w:t>
      </w:r>
      <w:r w:rsidR="005C34EB" w:rsidRPr="00E72418">
        <w:t>É</w:t>
      </w:r>
      <w:r w:rsidR="005C34EB" w:rsidRPr="00E72418">
        <w:rPr>
          <w:szCs w:val="24"/>
        </w:rPr>
        <w:t>tats peuvent</w:t>
      </w:r>
      <w:r w:rsidR="00016C60" w:rsidRPr="00E72418">
        <w:rPr>
          <w:szCs w:val="24"/>
        </w:rPr>
        <w:t xml:space="preserve"> réserver ces biens ou les </w:t>
      </w:r>
      <w:r w:rsidR="00016C60" w:rsidRPr="00E72418">
        <w:rPr>
          <w:rFonts w:cs="Times New Roman"/>
        </w:rPr>
        <w:t>affecter à la satisfaction de la demande qui fait l’objet d’une procédure.</w:t>
      </w:r>
    </w:p>
    <w:p w14:paraId="01E38959" w14:textId="77777777" w:rsidR="006D50CA" w:rsidRPr="00E72418" w:rsidRDefault="006D50CA" w:rsidP="0054314B"/>
    <w:p w14:paraId="1118C9B7" w14:textId="7FBB6FEE" w:rsidR="006D50CA" w:rsidRPr="00E72418" w:rsidRDefault="007F038F" w:rsidP="00CC4BA8">
      <w:pPr>
        <w:spacing w:line="276" w:lineRule="auto"/>
        <w:rPr>
          <w:rFonts w:ascii="Times New Roman" w:hAnsi="Times New Roman" w:cs="Times New Roman"/>
          <w:szCs w:val="24"/>
        </w:rPr>
      </w:pPr>
      <w:r w:rsidRPr="00E72418">
        <w:rPr>
          <w:rFonts w:ascii="Times New Roman" w:hAnsi="Times New Roman" w:cs="Times New Roman"/>
          <w:b/>
          <w:szCs w:val="24"/>
        </w:rPr>
        <w:t>231.</w:t>
      </w:r>
      <w:r w:rsidR="00A9718E" w:rsidRPr="00E72418">
        <w:rPr>
          <w:rFonts w:ascii="Times New Roman" w:hAnsi="Times New Roman" w:cs="Times New Roman"/>
          <w:b/>
          <w:szCs w:val="24"/>
        </w:rPr>
        <w:t xml:space="preserve"> </w:t>
      </w:r>
      <w:r w:rsidR="00AB62A8" w:rsidRPr="00E72418">
        <w:rPr>
          <w:rFonts w:ascii="Times New Roman" w:hAnsi="Times New Roman" w:cs="Times New Roman"/>
          <w:b/>
          <w:szCs w:val="24"/>
        </w:rPr>
        <w:t>Les articles L.</w:t>
      </w:r>
      <w:r w:rsidR="006445D4" w:rsidRPr="00E72418">
        <w:rPr>
          <w:rFonts w:ascii="Times New Roman" w:hAnsi="Times New Roman" w:cs="Times New Roman"/>
          <w:b/>
          <w:szCs w:val="24"/>
        </w:rPr>
        <w:t xml:space="preserve"> </w:t>
      </w:r>
      <w:r w:rsidR="00AB62A8" w:rsidRPr="00E72418">
        <w:rPr>
          <w:rFonts w:ascii="Times New Roman" w:hAnsi="Times New Roman" w:cs="Times New Roman"/>
          <w:b/>
          <w:szCs w:val="24"/>
        </w:rPr>
        <w:t xml:space="preserve">111-1-2 et </w:t>
      </w:r>
      <w:r w:rsidR="006D50CA" w:rsidRPr="00E72418">
        <w:rPr>
          <w:rFonts w:ascii="Times New Roman" w:hAnsi="Times New Roman" w:cs="Times New Roman"/>
          <w:b/>
          <w:szCs w:val="24"/>
        </w:rPr>
        <w:t>L.</w:t>
      </w:r>
      <w:r w:rsidR="006445D4" w:rsidRPr="00E72418">
        <w:rPr>
          <w:rFonts w:ascii="Times New Roman" w:hAnsi="Times New Roman" w:cs="Times New Roman"/>
          <w:b/>
          <w:szCs w:val="24"/>
        </w:rPr>
        <w:t xml:space="preserve"> </w:t>
      </w:r>
      <w:r w:rsidR="006D50CA" w:rsidRPr="00E72418">
        <w:rPr>
          <w:rFonts w:ascii="Times New Roman" w:hAnsi="Times New Roman" w:cs="Times New Roman"/>
          <w:b/>
          <w:szCs w:val="24"/>
        </w:rPr>
        <w:t xml:space="preserve">111-1-3 du Code des procédures civiles d’exécution français – </w:t>
      </w:r>
      <w:r w:rsidR="006D50CA" w:rsidRPr="00E72418">
        <w:rPr>
          <w:rFonts w:ascii="Times New Roman" w:hAnsi="Times New Roman" w:cs="Times New Roman"/>
          <w:szCs w:val="24"/>
        </w:rPr>
        <w:t>Le régime immunitair</w:t>
      </w:r>
      <w:r w:rsidR="00AB62A8" w:rsidRPr="00E72418">
        <w:rPr>
          <w:rFonts w:ascii="Times New Roman" w:hAnsi="Times New Roman" w:cs="Times New Roman"/>
          <w:szCs w:val="24"/>
        </w:rPr>
        <w:t>e français, singulièrement l’a</w:t>
      </w:r>
      <w:r w:rsidR="00AB62A8" w:rsidRPr="00E72418">
        <w:t>rticle L.</w:t>
      </w:r>
      <w:r w:rsidR="006445D4" w:rsidRPr="00E72418">
        <w:t xml:space="preserve"> </w:t>
      </w:r>
      <w:r w:rsidR="00AB62A8" w:rsidRPr="00E72418">
        <w:t>111-1-2, alinéa 2, a)</w:t>
      </w:r>
      <w:r w:rsidR="00EA1EA8" w:rsidRPr="00E72418">
        <w:t>,</w:t>
      </w:r>
      <w:r w:rsidR="00AB62A8" w:rsidRPr="00E72418">
        <w:t xml:space="preserve"> du </w:t>
      </w:r>
      <w:r w:rsidR="00AB62A8" w:rsidRPr="00E72418">
        <w:rPr>
          <w:rFonts w:ascii="Times New Roman" w:hAnsi="Times New Roman" w:cs="Times New Roman"/>
          <w:szCs w:val="24"/>
        </w:rPr>
        <w:t xml:space="preserve">Code des procédures civiles d’exécution, </w:t>
      </w:r>
      <w:r w:rsidR="006D50CA" w:rsidRPr="00E72418">
        <w:rPr>
          <w:rFonts w:ascii="Times New Roman" w:hAnsi="Times New Roman" w:cs="Times New Roman"/>
          <w:szCs w:val="24"/>
        </w:rPr>
        <w:t>prévoit que sont considérés comme spécifiquement utilisés ou destinés à être utilisés par l’</w:t>
      </w:r>
      <w:r w:rsidR="006D50CA" w:rsidRPr="00E72418">
        <w:rPr>
          <w:lang w:eastAsia="fr-BE"/>
        </w:rPr>
        <w:t>É</w:t>
      </w:r>
      <w:r w:rsidR="006D50CA" w:rsidRPr="00E72418">
        <w:rPr>
          <w:rFonts w:ascii="Times New Roman" w:hAnsi="Times New Roman" w:cs="Times New Roman"/>
          <w:szCs w:val="24"/>
        </w:rPr>
        <w:t>tat à des fins de service public non commerciales les biens, y compris les comptes bancaires, utilisés ou destinés à être utilisés dans l’exercice des fonctions de la mission diplomatique de l’</w:t>
      </w:r>
      <w:r w:rsidR="006D50CA" w:rsidRPr="00E72418">
        <w:rPr>
          <w:lang w:eastAsia="fr-BE"/>
        </w:rPr>
        <w:t>É</w:t>
      </w:r>
      <w:r w:rsidR="006D50CA" w:rsidRPr="00E72418">
        <w:rPr>
          <w:rFonts w:ascii="Times New Roman" w:hAnsi="Times New Roman" w:cs="Times New Roman"/>
          <w:szCs w:val="24"/>
        </w:rPr>
        <w:t>tat ou de ses postes consulaires, de ses missions spéciales, de ses missions auprès des organisations internationales, ou de ses délégations dans les organes des organisations internationales ou aux conférences internationales.</w:t>
      </w:r>
    </w:p>
    <w:p w14:paraId="7EFF35AA" w14:textId="0A3278A0" w:rsidR="006D50CA" w:rsidRPr="00E72418" w:rsidRDefault="006D50CA" w:rsidP="00CC4BA8">
      <w:pPr>
        <w:spacing w:line="276" w:lineRule="auto"/>
        <w:rPr>
          <w:rFonts w:ascii="Times New Roman" w:hAnsi="Times New Roman" w:cs="Times New Roman"/>
          <w:b/>
          <w:szCs w:val="24"/>
        </w:rPr>
      </w:pPr>
      <w:r w:rsidRPr="00E72418">
        <w:rPr>
          <w:rFonts w:ascii="Times New Roman" w:hAnsi="Times New Roman" w:cs="Times New Roman"/>
          <w:szCs w:val="24"/>
        </w:rPr>
        <w:t xml:space="preserve">Le fait que les biens </w:t>
      </w:r>
      <w:r w:rsidR="00CA1DE1" w:rsidRPr="00E72418">
        <w:rPr>
          <w:rFonts w:ascii="Times New Roman" w:hAnsi="Times New Roman" w:cs="Times New Roman"/>
          <w:szCs w:val="24"/>
        </w:rPr>
        <w:t>à fonction diplomatique</w:t>
      </w:r>
      <w:r w:rsidRPr="00E72418">
        <w:rPr>
          <w:rFonts w:ascii="Times New Roman" w:hAnsi="Times New Roman" w:cs="Times New Roman"/>
          <w:szCs w:val="24"/>
        </w:rPr>
        <w:t xml:space="preserve"> soient retenus comme étant des biens </w:t>
      </w:r>
      <w:r w:rsidRPr="00E72418">
        <w:rPr>
          <w:rFonts w:ascii="Times New Roman" w:hAnsi="Times New Roman" w:cs="Times New Roman"/>
          <w:szCs w:val="24"/>
          <w:shd w:val="clear" w:color="auto" w:fill="FFFFFF"/>
        </w:rPr>
        <w:t>spécifiquement utilisés ou destinés à être utilisés par l’</w:t>
      </w:r>
      <w:r w:rsidRPr="00E72418">
        <w:rPr>
          <w:rFonts w:ascii="Times New Roman" w:hAnsi="Times New Roman" w:cs="Times New Roman"/>
          <w:lang w:eastAsia="fr-BE"/>
        </w:rPr>
        <w:t>É</w:t>
      </w:r>
      <w:r w:rsidRPr="00E72418">
        <w:rPr>
          <w:rFonts w:ascii="Times New Roman" w:hAnsi="Times New Roman" w:cs="Times New Roman"/>
          <w:szCs w:val="24"/>
          <w:shd w:val="clear" w:color="auto" w:fill="FFFFFF"/>
        </w:rPr>
        <w:t>tat à des fins de service public non commerciales re</w:t>
      </w:r>
      <w:r w:rsidR="00D15C80" w:rsidRPr="00E72418">
        <w:rPr>
          <w:rFonts w:ascii="Times New Roman" w:hAnsi="Times New Roman" w:cs="Times New Roman"/>
          <w:szCs w:val="24"/>
          <w:shd w:val="clear" w:color="auto" w:fill="FFFFFF"/>
        </w:rPr>
        <w:t xml:space="preserve">ndant leur saisie en principe non </w:t>
      </w:r>
      <w:r w:rsidRPr="00E72418">
        <w:rPr>
          <w:rFonts w:ascii="Times New Roman" w:hAnsi="Times New Roman" w:cs="Times New Roman"/>
          <w:szCs w:val="24"/>
          <w:shd w:val="clear" w:color="auto" w:fill="FFFFFF"/>
        </w:rPr>
        <w:t xml:space="preserve">autorisable n’empêche toutefois pas que les </w:t>
      </w:r>
      <w:r w:rsidRPr="00E72418">
        <w:rPr>
          <w:lang w:eastAsia="fr-BE"/>
        </w:rPr>
        <w:lastRenderedPageBreak/>
        <w:t>É</w:t>
      </w:r>
      <w:r w:rsidRPr="00E72418">
        <w:rPr>
          <w:rFonts w:ascii="Times New Roman" w:hAnsi="Times New Roman" w:cs="Times New Roman"/>
          <w:szCs w:val="24"/>
          <w:shd w:val="clear" w:color="auto" w:fill="FFFFFF"/>
        </w:rPr>
        <w:t>tats débiteurs puissent</w:t>
      </w:r>
      <w:r w:rsidR="00CA1DE1" w:rsidRPr="00E72418">
        <w:rPr>
          <w:rFonts w:ascii="Times New Roman" w:hAnsi="Times New Roman" w:cs="Times New Roman"/>
          <w:szCs w:val="24"/>
          <w:shd w:val="clear" w:color="auto" w:fill="FFFFFF"/>
        </w:rPr>
        <w:t>, par une renonciation expresse et spéciale prévue à l’article L.</w:t>
      </w:r>
      <w:r w:rsidR="006445D4" w:rsidRPr="00E72418">
        <w:rPr>
          <w:rFonts w:ascii="Times New Roman" w:hAnsi="Times New Roman" w:cs="Times New Roman"/>
          <w:szCs w:val="24"/>
          <w:shd w:val="clear" w:color="auto" w:fill="FFFFFF"/>
        </w:rPr>
        <w:t xml:space="preserve"> </w:t>
      </w:r>
      <w:r w:rsidR="00CA1DE1" w:rsidRPr="00E72418">
        <w:rPr>
          <w:rFonts w:ascii="Times New Roman" w:hAnsi="Times New Roman" w:cs="Times New Roman"/>
          <w:szCs w:val="24"/>
          <w:shd w:val="clear" w:color="auto" w:fill="FFFFFF"/>
        </w:rPr>
        <w:t>111-1-3, écarter le bénéfice immunitaire</w:t>
      </w:r>
      <w:r w:rsidR="0092722D" w:rsidRPr="00E72418">
        <w:rPr>
          <w:rStyle w:val="Appelnotedebasdep"/>
          <w:rFonts w:ascii="Times New Roman" w:hAnsi="Times New Roman" w:cs="Times New Roman"/>
          <w:szCs w:val="24"/>
          <w:shd w:val="clear" w:color="auto" w:fill="FFFFFF"/>
        </w:rPr>
        <w:footnoteReference w:id="1148"/>
      </w:r>
      <w:r w:rsidR="00CA1DE1" w:rsidRPr="00E72418">
        <w:rPr>
          <w:rFonts w:ascii="Times New Roman" w:hAnsi="Times New Roman" w:cs="Times New Roman"/>
          <w:szCs w:val="24"/>
          <w:shd w:val="clear" w:color="auto" w:fill="FFFFFF"/>
        </w:rPr>
        <w:t>.</w:t>
      </w:r>
    </w:p>
    <w:p w14:paraId="1FBAB6D7" w14:textId="77777777" w:rsidR="006D50CA" w:rsidRPr="00E72418" w:rsidRDefault="006D50CA" w:rsidP="0054314B"/>
    <w:p w14:paraId="59052827" w14:textId="0FCEF624" w:rsidR="00A60CD5" w:rsidRPr="00E72418" w:rsidRDefault="007F038F" w:rsidP="00CC4BA8">
      <w:pPr>
        <w:spacing w:line="276" w:lineRule="auto"/>
        <w:rPr>
          <w:bCs/>
          <w:szCs w:val="24"/>
        </w:rPr>
      </w:pPr>
      <w:r w:rsidRPr="00E72418">
        <w:rPr>
          <w:b/>
          <w:bCs/>
          <w:szCs w:val="24"/>
        </w:rPr>
        <w:t>232</w:t>
      </w:r>
      <w:r w:rsidR="00A9718E" w:rsidRPr="00E72418">
        <w:rPr>
          <w:b/>
          <w:bCs/>
          <w:szCs w:val="24"/>
        </w:rPr>
        <w:t xml:space="preserve">. </w:t>
      </w:r>
      <w:r w:rsidR="006D50CA" w:rsidRPr="00E72418">
        <w:rPr>
          <w:b/>
          <w:bCs/>
          <w:szCs w:val="24"/>
        </w:rPr>
        <w:t>L’article 1412</w:t>
      </w:r>
      <w:r w:rsidR="006D50CA" w:rsidRPr="00E72418">
        <w:rPr>
          <w:b/>
          <w:bCs/>
          <w:i/>
          <w:szCs w:val="24"/>
        </w:rPr>
        <w:t>quinquies</w:t>
      </w:r>
      <w:r w:rsidR="006D50CA" w:rsidRPr="00E72418">
        <w:rPr>
          <w:b/>
          <w:bCs/>
          <w:szCs w:val="24"/>
        </w:rPr>
        <w:t xml:space="preserve"> du Code judiciaire belge – </w:t>
      </w:r>
      <w:r w:rsidR="006D50CA" w:rsidRPr="00E72418">
        <w:rPr>
          <w:bCs/>
          <w:szCs w:val="24"/>
        </w:rPr>
        <w:t>Quoique l’article 1412</w:t>
      </w:r>
      <w:r w:rsidR="006D50CA" w:rsidRPr="00E72418">
        <w:rPr>
          <w:bCs/>
          <w:i/>
          <w:szCs w:val="24"/>
        </w:rPr>
        <w:t>quinquies</w:t>
      </w:r>
      <w:r w:rsidR="006D50CA" w:rsidRPr="00E72418">
        <w:rPr>
          <w:bCs/>
          <w:szCs w:val="24"/>
        </w:rPr>
        <w:t xml:space="preserve"> du Code judiciaire </w:t>
      </w:r>
      <w:r w:rsidR="00A60CD5" w:rsidRPr="00E72418">
        <w:rPr>
          <w:bCs/>
          <w:szCs w:val="24"/>
        </w:rPr>
        <w:t>protège</w:t>
      </w:r>
      <w:r w:rsidR="00A016BF" w:rsidRPr="00E72418">
        <w:rPr>
          <w:bCs/>
          <w:szCs w:val="24"/>
        </w:rPr>
        <w:t>,</w:t>
      </w:r>
      <w:r w:rsidR="00A60CD5" w:rsidRPr="00E72418">
        <w:rPr>
          <w:bCs/>
          <w:szCs w:val="24"/>
        </w:rPr>
        <w:t xml:space="preserve"> en les visant spécifiquement</w:t>
      </w:r>
      <w:r w:rsidR="00A016BF" w:rsidRPr="00E72418">
        <w:rPr>
          <w:bCs/>
          <w:szCs w:val="24"/>
        </w:rPr>
        <w:t>,</w:t>
      </w:r>
      <w:r w:rsidR="006D50CA" w:rsidRPr="00E72418">
        <w:rPr>
          <w:bCs/>
          <w:szCs w:val="24"/>
        </w:rPr>
        <w:t xml:space="preserve"> les biens appartenant à une puissance étrangère utilisés ou destinés à être utilisés « notamment dans l’exercice des fonctions de la mission diplomatique de la puissance étrangère ou de ses postes consulaires, de ses missions spéciales, de ses missions auprès des organisations internationales, ou de ses délégations dans les organes des organisations internationales ou aux conférences internationales », le législateur belge ne consacra pas pour autant une immunité diplomatique autonome</w:t>
      </w:r>
      <w:r w:rsidR="006D50CA" w:rsidRPr="00E72418">
        <w:rPr>
          <w:rStyle w:val="Appelnotedebasdep"/>
          <w:rFonts w:cs="Times New Roman"/>
          <w:bCs/>
          <w:szCs w:val="24"/>
        </w:rPr>
        <w:footnoteReference w:id="1149"/>
      </w:r>
      <w:r w:rsidR="006D50CA" w:rsidRPr="00E72418">
        <w:rPr>
          <w:bCs/>
          <w:szCs w:val="24"/>
        </w:rPr>
        <w:t xml:space="preserve">. L’état du droit belge est pourtant </w:t>
      </w:r>
      <w:r w:rsidR="002F11AE" w:rsidRPr="00E72418">
        <w:rPr>
          <w:bCs/>
          <w:szCs w:val="24"/>
        </w:rPr>
        <w:t xml:space="preserve">tout </w:t>
      </w:r>
      <w:r w:rsidR="006D50CA" w:rsidRPr="00E72418">
        <w:rPr>
          <w:bCs/>
          <w:szCs w:val="24"/>
        </w:rPr>
        <w:t>autre depuis l’arrêt du 27 avril 2017 de la Cour constitutionnelle. Dans sa formulation originaire, l’article 1412</w:t>
      </w:r>
      <w:r w:rsidR="006D50CA" w:rsidRPr="00E72418">
        <w:rPr>
          <w:bCs/>
          <w:i/>
          <w:szCs w:val="24"/>
        </w:rPr>
        <w:t>quinquies</w:t>
      </w:r>
      <w:r w:rsidR="006D7551" w:rsidRPr="00E72418">
        <w:rPr>
          <w:bCs/>
          <w:szCs w:val="24"/>
        </w:rPr>
        <w:t>, §</w:t>
      </w:r>
      <w:r w:rsidR="002F11AE" w:rsidRPr="00E72418">
        <w:rPr>
          <w:bCs/>
          <w:szCs w:val="24"/>
        </w:rPr>
        <w:t>2, 1°, du Code judiciaire</w:t>
      </w:r>
      <w:r w:rsidR="006D50CA" w:rsidRPr="00E72418">
        <w:rPr>
          <w:bCs/>
          <w:szCs w:val="24"/>
        </w:rPr>
        <w:t xml:space="preserve"> prévoyait que la saisie des avoirs d’une puissance étrangère pouvait être autorisée s’il était démontré que cette dernière avait « expressément et spécifiquement » consenti à leur saisissabilité. La Cour constitutionnelle annula </w:t>
      </w:r>
      <w:r w:rsidR="006D50CA" w:rsidRPr="00E72418">
        <w:rPr>
          <w:szCs w:val="24"/>
        </w:rPr>
        <w:t>les mots « et spécifiquement » dans cet article, mais uniquement en ce qu’il est appliqué aux saisies visant des biens autres que les biens, en ce compris les comptes bancaires, utilisés dans l’exercice des fonctions de la mission diplomatique de la puissance étrangère ou de ses postes consulaires, de ses missions spéciales, de ses missions auprès des organisations internationales ou de ses délégations dans les organes des organisations internationales ou aux conférences internationales.</w:t>
      </w:r>
      <w:r w:rsidR="006D50CA" w:rsidRPr="00E72418">
        <w:rPr>
          <w:bCs/>
          <w:szCs w:val="24"/>
        </w:rPr>
        <w:t xml:space="preserve"> La</w:t>
      </w:r>
      <w:r w:rsidR="002F11AE" w:rsidRPr="00E72418">
        <w:rPr>
          <w:bCs/>
          <w:szCs w:val="24"/>
        </w:rPr>
        <w:t xml:space="preserve"> Cour retint</w:t>
      </w:r>
      <w:r w:rsidR="006D50CA" w:rsidRPr="00E72418">
        <w:rPr>
          <w:bCs/>
          <w:szCs w:val="24"/>
        </w:rPr>
        <w:t xml:space="preserve"> qu’il existe une immunité d’exécution spéciale pour les biens </w:t>
      </w:r>
      <w:r w:rsidR="006D50CA" w:rsidRPr="00E72418">
        <w:t>affectés au fonctionnement des missions diplomatiques, en ce compris les comptes bancaires utilisés par celles-ci, immunité</w:t>
      </w:r>
      <w:r w:rsidR="006D50CA" w:rsidRPr="00E72418">
        <w:rPr>
          <w:bCs/>
          <w:szCs w:val="24"/>
        </w:rPr>
        <w:t xml:space="preserve"> à laquelle la puissance étrangère ne saurait renoncer que de manière expresse et spécifique</w:t>
      </w:r>
      <w:r w:rsidR="006D50CA" w:rsidRPr="00E72418">
        <w:rPr>
          <w:rStyle w:val="Appelnotedebasdep"/>
          <w:rFonts w:cs="Times New Roman"/>
          <w:bCs/>
          <w:szCs w:val="24"/>
        </w:rPr>
        <w:footnoteReference w:id="1150"/>
      </w:r>
      <w:r w:rsidR="006D50CA" w:rsidRPr="00E72418">
        <w:rPr>
          <w:bCs/>
          <w:szCs w:val="24"/>
        </w:rPr>
        <w:t>.</w:t>
      </w:r>
    </w:p>
    <w:p w14:paraId="423FD741" w14:textId="47C3C022" w:rsidR="00D758C2" w:rsidRPr="00E72418" w:rsidRDefault="007F038F" w:rsidP="00CC4BA8">
      <w:pPr>
        <w:spacing w:line="276" w:lineRule="auto"/>
        <w:rPr>
          <w:b/>
        </w:rPr>
      </w:pPr>
      <w:r w:rsidRPr="00E72418">
        <w:rPr>
          <w:b/>
        </w:rPr>
        <w:lastRenderedPageBreak/>
        <w:t>233</w:t>
      </w:r>
      <w:r w:rsidR="00A9718E" w:rsidRPr="00E72418">
        <w:rPr>
          <w:b/>
        </w:rPr>
        <w:t xml:space="preserve">. </w:t>
      </w:r>
      <w:r w:rsidR="00D758C2" w:rsidRPr="00E72418">
        <w:rPr>
          <w:b/>
        </w:rPr>
        <w:t xml:space="preserve">Le </w:t>
      </w:r>
      <w:r w:rsidR="00D758C2" w:rsidRPr="00E72418">
        <w:rPr>
          <w:b/>
          <w:i/>
        </w:rPr>
        <w:t>Foreign Sovereign Immunities Act</w:t>
      </w:r>
      <w:r w:rsidR="00D758C2" w:rsidRPr="00E72418">
        <w:rPr>
          <w:b/>
        </w:rPr>
        <w:t xml:space="preserve"> étatsunien – </w:t>
      </w:r>
      <w:r w:rsidR="00D758C2" w:rsidRPr="00E72418">
        <w:t xml:space="preserve">Bien qu’aucun régime particulier ne soit réservé aux biens à fonction diplomatique dans le </w:t>
      </w:r>
      <w:r w:rsidR="00D758C2" w:rsidRPr="00E72418">
        <w:rPr>
          <w:i/>
        </w:rPr>
        <w:t>Foreign Sovereign Immunities Act</w:t>
      </w:r>
      <w:r w:rsidR="009F375D" w:rsidRPr="00E72418">
        <w:t xml:space="preserve"> étatsunien, ce dernier</w:t>
      </w:r>
      <w:r w:rsidR="00D758C2" w:rsidRPr="00E72418">
        <w:t xml:space="preserve"> ne permettant l’exercice de mesures de contrainte sur les biens d’</w:t>
      </w:r>
      <w:r w:rsidR="007068F1" w:rsidRPr="00E72418">
        <w:rPr>
          <w:lang w:eastAsia="fr-BE"/>
        </w:rPr>
        <w:t>É</w:t>
      </w:r>
      <w:r w:rsidR="007068F1" w:rsidRPr="00E72418">
        <w:t xml:space="preserve">tats situés aux </w:t>
      </w:r>
      <w:r w:rsidR="007068F1" w:rsidRPr="00E72418">
        <w:rPr>
          <w:lang w:eastAsia="fr-BE"/>
        </w:rPr>
        <w:t>É</w:t>
      </w:r>
      <w:r w:rsidR="007068F1" w:rsidRPr="00E72418">
        <w:t>tats-</w:t>
      </w:r>
      <w:r w:rsidR="00D758C2" w:rsidRPr="00E72418">
        <w:t>Unis que</w:t>
      </w:r>
      <w:r w:rsidR="009F375D" w:rsidRPr="00E72418">
        <w:t xml:space="preserve"> lorsqu’ils </w:t>
      </w:r>
      <w:r w:rsidR="00D758C2" w:rsidRPr="00E72418">
        <w:t>sont « used for a commercial ac</w:t>
      </w:r>
      <w:r w:rsidR="003358EF" w:rsidRPr="00E72418">
        <w:t>tivity in the United Stated », l</w:t>
      </w:r>
      <w:r w:rsidR="00D758C2" w:rsidRPr="00E72418">
        <w:t xml:space="preserve">es biens </w:t>
      </w:r>
      <w:r w:rsidR="003358EF" w:rsidRPr="00E72418">
        <w:t xml:space="preserve">à fonction diplomatique </w:t>
      </w:r>
      <w:r w:rsidR="00D758C2" w:rsidRPr="00E72418">
        <w:t>ne sauraient être saisis</w:t>
      </w:r>
      <w:r w:rsidR="002A4F00" w:rsidRPr="00E72418">
        <w:rPr>
          <w:rStyle w:val="Appelnotedebasdep"/>
        </w:rPr>
        <w:footnoteReference w:id="1151"/>
      </w:r>
      <w:r w:rsidR="00D758C2" w:rsidRPr="00E72418">
        <w:t>.</w:t>
      </w:r>
    </w:p>
    <w:p w14:paraId="2631A63E" w14:textId="77777777" w:rsidR="00D758C2" w:rsidRPr="00E72418" w:rsidRDefault="00D758C2" w:rsidP="0054314B"/>
    <w:p w14:paraId="3581B621" w14:textId="343130B0" w:rsidR="002D3ECE" w:rsidRPr="00E72418" w:rsidRDefault="007F038F" w:rsidP="002D3ECE">
      <w:pPr>
        <w:spacing w:line="276" w:lineRule="auto"/>
      </w:pPr>
      <w:r w:rsidRPr="00E72418">
        <w:rPr>
          <w:b/>
        </w:rPr>
        <w:t>234</w:t>
      </w:r>
      <w:r w:rsidR="00A9718E" w:rsidRPr="00E72418">
        <w:rPr>
          <w:b/>
        </w:rPr>
        <w:t xml:space="preserve">. </w:t>
      </w:r>
      <w:r w:rsidR="00D758C2" w:rsidRPr="00E72418">
        <w:rPr>
          <w:b/>
        </w:rPr>
        <w:t xml:space="preserve">Le </w:t>
      </w:r>
      <w:r w:rsidR="00D758C2" w:rsidRPr="00E72418">
        <w:rPr>
          <w:b/>
          <w:i/>
        </w:rPr>
        <w:t>State Immunity Act</w:t>
      </w:r>
      <w:r w:rsidR="00D758C2" w:rsidRPr="00E72418">
        <w:rPr>
          <w:b/>
        </w:rPr>
        <w:t xml:space="preserve"> britannique – </w:t>
      </w:r>
      <w:r w:rsidR="00D758C2" w:rsidRPr="00E72418">
        <w:t xml:space="preserve">L’article 16(1) du </w:t>
      </w:r>
      <w:r w:rsidR="00D758C2" w:rsidRPr="00E72418">
        <w:rPr>
          <w:i/>
        </w:rPr>
        <w:t>State Immunity Act</w:t>
      </w:r>
      <w:r w:rsidR="00D758C2" w:rsidRPr="00E72418">
        <w:t xml:space="preserve"> britannique dispose que « </w:t>
      </w:r>
      <w:r w:rsidR="00D758C2" w:rsidRPr="00E72418">
        <w:rPr>
          <w:rFonts w:ascii="Times New Roman" w:hAnsi="Times New Roman"/>
        </w:rPr>
        <w:t>[t]</w:t>
      </w:r>
      <w:r w:rsidR="00D758C2" w:rsidRPr="00E72418">
        <w:t>his Part of this Act does not affect any immunity or privilege conferred by the Diplomatic Privileges Act 1964 or the Consular Relations Act 1968 ».</w:t>
      </w:r>
      <w:r w:rsidR="00E177F3" w:rsidRPr="00E72418">
        <w:t xml:space="preserve"> Pour l’essentiel, le </w:t>
      </w:r>
      <w:r w:rsidR="00E177F3" w:rsidRPr="00E72418">
        <w:rPr>
          <w:i/>
        </w:rPr>
        <w:t>Diplomatic Privileges Act 1964</w:t>
      </w:r>
      <w:r w:rsidR="00E177F3" w:rsidRPr="00E72418">
        <w:t xml:space="preserve"> renvoie à Convention de Vienne sur les relations diplomatiques de 1961 dont l’article 22(3) prévoit</w:t>
      </w:r>
      <w:r w:rsidR="00A016BF" w:rsidRPr="00E72418">
        <w:t>, rappelons-le,</w:t>
      </w:r>
      <w:r w:rsidR="00E177F3" w:rsidRPr="00E72418">
        <w:t xml:space="preserve"> que « </w:t>
      </w:r>
      <w:r w:rsidR="00E177F3" w:rsidRPr="00E72418">
        <w:rPr>
          <w:rFonts w:ascii="Times New Roman" w:hAnsi="Times New Roman"/>
        </w:rPr>
        <w:t>[l]</w:t>
      </w:r>
      <w:r w:rsidR="00E177F3" w:rsidRPr="00E72418">
        <w:t>es locaux de la mission, leur ameublement et les autres objets qui s’y trouvent, ainsi que les moyens de transport de la mission, ne peuvent faire l’objet d’aucune perquisition, réquisition, saisie ou mesure d’exécution ».</w:t>
      </w:r>
    </w:p>
    <w:p w14:paraId="559EC487" w14:textId="77777777" w:rsidR="002D3ECE" w:rsidRPr="00E72418" w:rsidRDefault="002D3ECE" w:rsidP="00932D4E"/>
    <w:p w14:paraId="33909843" w14:textId="2CCCC66B" w:rsidR="002D3ECE" w:rsidRPr="00E72418" w:rsidRDefault="002D3ECE" w:rsidP="008D1D70">
      <w:pPr>
        <w:pStyle w:val="FF"/>
        <w:numPr>
          <w:ilvl w:val="0"/>
          <w:numId w:val="4"/>
        </w:numPr>
      </w:pPr>
      <w:bookmarkStart w:id="261" w:name="_Toc84540945"/>
      <w:r w:rsidRPr="00E72418">
        <w:t>Le régime particulier des avoirs des banques centrales</w:t>
      </w:r>
      <w:bookmarkEnd w:id="261"/>
    </w:p>
    <w:p w14:paraId="46E4BFED" w14:textId="77777777" w:rsidR="004007D2" w:rsidRPr="00E72418" w:rsidRDefault="004007D2" w:rsidP="0054314B"/>
    <w:p w14:paraId="6DD3BF87" w14:textId="2DEA72E1" w:rsidR="00B17759" w:rsidRPr="00E72418" w:rsidRDefault="007F038F" w:rsidP="00B17759">
      <w:pPr>
        <w:spacing w:line="276" w:lineRule="auto"/>
        <w:rPr>
          <w:b/>
        </w:rPr>
      </w:pPr>
      <w:r w:rsidRPr="00E72418">
        <w:rPr>
          <w:b/>
        </w:rPr>
        <w:t>235</w:t>
      </w:r>
      <w:r w:rsidR="00A9718E" w:rsidRPr="00E72418">
        <w:rPr>
          <w:b/>
        </w:rPr>
        <w:t xml:space="preserve">. </w:t>
      </w:r>
      <w:r w:rsidR="00B17759" w:rsidRPr="00E72418">
        <w:rPr>
          <w:b/>
        </w:rPr>
        <w:t xml:space="preserve">Les textes – </w:t>
      </w:r>
      <w:r w:rsidR="00B17759" w:rsidRPr="00E72418">
        <w:t xml:space="preserve">En général, les banques centrales pouvant détenir des biens à l’étranger sont traitées comme des entités juridiques distingues des </w:t>
      </w:r>
      <w:r w:rsidR="00B17759" w:rsidRPr="00E72418">
        <w:rPr>
          <w:lang w:eastAsia="fr-BE"/>
        </w:rPr>
        <w:t>É</w:t>
      </w:r>
      <w:r w:rsidR="00B17759" w:rsidRPr="00E72418">
        <w:t>tats et leurs biens ne devraient pas permettre de désintéresser les créanciers de l’</w:t>
      </w:r>
      <w:r w:rsidR="00B17759" w:rsidRPr="00E72418">
        <w:rPr>
          <w:lang w:eastAsia="fr-BE"/>
        </w:rPr>
        <w:t>É</w:t>
      </w:r>
      <w:r w:rsidR="00B17759" w:rsidRPr="00E72418">
        <w:t>tat lui-même</w:t>
      </w:r>
      <w:r w:rsidR="00B17759" w:rsidRPr="00E72418">
        <w:rPr>
          <w:rStyle w:val="Appelnotedebasdep"/>
        </w:rPr>
        <w:footnoteReference w:id="1152"/>
      </w:r>
      <w:r w:rsidR="00B17759" w:rsidRPr="00E72418">
        <w:t>.</w:t>
      </w:r>
      <w:r w:rsidR="00B17759" w:rsidRPr="00E72418">
        <w:rPr>
          <w:b/>
        </w:rPr>
        <w:t xml:space="preserve"> </w:t>
      </w:r>
      <w:r w:rsidR="00B17759" w:rsidRPr="00E72418">
        <w:t xml:space="preserve">En droit positif, les avoirs des banques centrales étrangères reçoivent un régime immunitaire particulier tant dans la Convention des Nations Unies sur les immunités juridictionnelles des </w:t>
      </w:r>
      <w:r w:rsidR="00B17759" w:rsidRPr="00E72418">
        <w:rPr>
          <w:lang w:eastAsia="fr-BE"/>
        </w:rPr>
        <w:t>É</w:t>
      </w:r>
      <w:r w:rsidR="00B17759" w:rsidRPr="00E72418">
        <w:t>tats et de leurs biens que dans les législations nationales étatsunienne, britannique, française et belge qui nous intéressent.</w:t>
      </w:r>
      <w:r w:rsidR="00B17759" w:rsidRPr="00E72418">
        <w:rPr>
          <w:b/>
        </w:rPr>
        <w:t xml:space="preserve"> </w:t>
      </w:r>
    </w:p>
    <w:p w14:paraId="6F67A18A" w14:textId="5DBA253C" w:rsidR="00B17759" w:rsidRPr="00E72418" w:rsidRDefault="00B17759" w:rsidP="00B17759">
      <w:pPr>
        <w:spacing w:line="276" w:lineRule="auto"/>
        <w:rPr>
          <w:rFonts w:cs="Times New Roman"/>
        </w:rPr>
      </w:pPr>
      <w:r w:rsidRPr="00E72418">
        <w:rPr>
          <w:rFonts w:cs="Times New Roman"/>
        </w:rPr>
        <w:t>La Convention des Nations Unies prévoit en son article 21 que les biens de la banque centrale ou d’une autre autorité monétaire de l’État ne sont notamment pas considérés comme des biens spécifiquement utilisés ou destinés à être utilisés par l’État autrement qu’à des fins de service public non commerciale saisissables en application de l’article 19, c). Les biens de la banque centrale ou d’une autre autorité monétaire de l’État ne sauraient être saisis que si l’</w:t>
      </w:r>
      <w:r w:rsidRPr="00E72418">
        <w:t>É</w:t>
      </w:r>
      <w:r w:rsidRPr="00E72418">
        <w:rPr>
          <w:rFonts w:cs="Times New Roman"/>
        </w:rPr>
        <w:t>tat a expressément consenti à l’application de mesures de contrainte sur eux ou s’il les a réservés ou affectés à la satisfaction d’une demande particulière.</w:t>
      </w:r>
    </w:p>
    <w:p w14:paraId="75AD22F1" w14:textId="77777777" w:rsidR="00B17759" w:rsidRPr="00E72418" w:rsidRDefault="00B17759" w:rsidP="00B17759">
      <w:pPr>
        <w:spacing w:line="276" w:lineRule="auto"/>
        <w:rPr>
          <w:rFonts w:cs="Times New Roman"/>
        </w:rPr>
      </w:pPr>
      <w:r w:rsidRPr="00E72418">
        <w:rPr>
          <w:rFonts w:cs="Times New Roman"/>
        </w:rPr>
        <w:lastRenderedPageBreak/>
        <w:t xml:space="preserve">L’article 1611(b)(1) du </w:t>
      </w:r>
      <w:r w:rsidRPr="00E72418">
        <w:rPr>
          <w:rFonts w:cs="Times New Roman"/>
          <w:i/>
        </w:rPr>
        <w:t>Foreign Sovereign Immunities Act</w:t>
      </w:r>
      <w:r w:rsidRPr="00E72418">
        <w:rPr>
          <w:rFonts w:cs="Times New Roman"/>
        </w:rPr>
        <w:t xml:space="preserve"> étatsunien dispose que « [n]</w:t>
      </w:r>
      <w:r w:rsidRPr="00E72418">
        <w:rPr>
          <w:rFonts w:cs="Times New Roman"/>
          <w:shd w:val="clear" w:color="auto" w:fill="FFFFFF"/>
        </w:rPr>
        <w:t>otwithstanding the provisions of </w:t>
      </w:r>
      <w:hyperlink r:id="rId48" w:history="1">
        <w:r w:rsidRPr="00E72418">
          <w:rPr>
            <w:rStyle w:val="Lienhypertexte"/>
            <w:rFonts w:cs="Times New Roman"/>
            <w:color w:val="auto"/>
            <w:u w:val="none"/>
            <w:shd w:val="clear" w:color="auto" w:fill="FFFFFF"/>
          </w:rPr>
          <w:t>section 1610 of this chapter</w:t>
        </w:r>
      </w:hyperlink>
      <w:r w:rsidRPr="00E72418">
        <w:rPr>
          <w:rFonts w:cs="Times New Roman"/>
          <w:shd w:val="clear" w:color="auto" w:fill="FFFFFF"/>
        </w:rPr>
        <w:t xml:space="preserve">, the property of a foreign state shall be immune from attachment and from execution, if the property is that of a foreign central bank or monetary authority held for its own account, unless such bank or authority, or its parent foreign government, has explicitly waived its immunity from attachment in aid of execution, or from execution, notwithstanding any withdrawal of the waiver which the bank, authority or government may purport to effect except in accordance with the terms of the waiver </w:t>
      </w:r>
      <w:r w:rsidRPr="00E72418">
        <w:rPr>
          <w:rFonts w:cs="Times New Roman"/>
          <w:szCs w:val="24"/>
        </w:rPr>
        <w:t>»</w:t>
      </w:r>
      <w:r w:rsidRPr="00E72418">
        <w:rPr>
          <w:rFonts w:cs="Times New Roman"/>
          <w:shd w:val="clear" w:color="auto" w:fill="FFFFFF"/>
        </w:rPr>
        <w:t>.</w:t>
      </w:r>
    </w:p>
    <w:p w14:paraId="0E22627A" w14:textId="33F45055" w:rsidR="00B17759" w:rsidRPr="00E72418" w:rsidRDefault="00B17759" w:rsidP="00B17759">
      <w:pPr>
        <w:spacing w:line="276" w:lineRule="auto"/>
        <w:rPr>
          <w:shd w:val="clear" w:color="auto" w:fill="FFFFFF"/>
        </w:rPr>
      </w:pPr>
      <w:r w:rsidRPr="00E72418">
        <w:t xml:space="preserve">L’article 14(4) du </w:t>
      </w:r>
      <w:r w:rsidRPr="00E72418">
        <w:rPr>
          <w:i/>
        </w:rPr>
        <w:t>State Immunity Act</w:t>
      </w:r>
      <w:r w:rsidRPr="00E72418">
        <w:t xml:space="preserve"> britannique dispose notamment que « [p]</w:t>
      </w:r>
      <w:r w:rsidRPr="00E72418">
        <w:rPr>
          <w:shd w:val="clear" w:color="auto" w:fill="FFFFFF"/>
        </w:rPr>
        <w:t xml:space="preserve">roperty of a State’s central bank or other monetary authority shall not be regarded for the purposes of subsection (4) of section 13 above as in use or intended for use for commercial purposes </w:t>
      </w:r>
      <w:r w:rsidRPr="00E72418">
        <w:rPr>
          <w:szCs w:val="24"/>
        </w:rPr>
        <w:t>»</w:t>
      </w:r>
      <w:r w:rsidRPr="00E72418">
        <w:rPr>
          <w:shd w:val="clear" w:color="auto" w:fill="FFFFFF"/>
        </w:rPr>
        <w:t>, l’article 13(4) visé prévoyant que les voies d’exécution peuvent être mises en œuvre s’agissant de biens utilisés ou destinés à être ut</w:t>
      </w:r>
      <w:r w:rsidR="002A39CA" w:rsidRPr="00E72418">
        <w:rPr>
          <w:shd w:val="clear" w:color="auto" w:fill="FFFFFF"/>
        </w:rPr>
        <w:t>ilisés à des fins commerciales.</w:t>
      </w:r>
      <w:r w:rsidR="00717742" w:rsidRPr="00E72418">
        <w:rPr>
          <w:shd w:val="clear" w:color="auto" w:fill="FFFFFF"/>
        </w:rPr>
        <w:t xml:space="preserve"> Les biens</w:t>
      </w:r>
      <w:r w:rsidR="00F62FD7" w:rsidRPr="00E72418">
        <w:rPr>
          <w:shd w:val="clear" w:color="auto" w:fill="FFFFFF"/>
        </w:rPr>
        <w:t xml:space="preserve"> des banques centrales d’</w:t>
      </w:r>
      <w:r w:rsidR="00F62FD7" w:rsidRPr="00E72418">
        <w:rPr>
          <w:lang w:eastAsia="fr-BE"/>
        </w:rPr>
        <w:t>É</w:t>
      </w:r>
      <w:r w:rsidR="00717742" w:rsidRPr="00E72418">
        <w:rPr>
          <w:shd w:val="clear" w:color="auto" w:fill="FFFFFF"/>
        </w:rPr>
        <w:t>tats bénéficient par conséquent d’une protection absolue</w:t>
      </w:r>
      <w:r w:rsidR="00717742" w:rsidRPr="00E72418">
        <w:rPr>
          <w:rStyle w:val="Appelnotedebasdep"/>
          <w:shd w:val="clear" w:color="auto" w:fill="FFFFFF"/>
        </w:rPr>
        <w:footnoteReference w:id="1153"/>
      </w:r>
      <w:r w:rsidR="00717742" w:rsidRPr="00E72418">
        <w:rPr>
          <w:shd w:val="clear" w:color="auto" w:fill="FFFFFF"/>
        </w:rPr>
        <w:t>.</w:t>
      </w:r>
    </w:p>
    <w:p w14:paraId="58289D96" w14:textId="1FE846F8" w:rsidR="00B17759" w:rsidRPr="00E72418" w:rsidRDefault="00B17759" w:rsidP="00B17759">
      <w:pPr>
        <w:spacing w:line="276" w:lineRule="auto"/>
        <w:rPr>
          <w:rFonts w:eastAsia="Times New Roman" w:cs="Times New Roman"/>
          <w:szCs w:val="24"/>
          <w:lang w:eastAsia="fr-BE"/>
        </w:rPr>
      </w:pPr>
      <w:r w:rsidRPr="00E72418">
        <w:rPr>
          <w:rFonts w:cs="Times New Roman"/>
          <w:szCs w:val="24"/>
        </w:rPr>
        <w:t xml:space="preserve">L’article L153-1 du Code monétaire et financier français pose le principe de l’insaisissabilité </w:t>
      </w:r>
      <w:r w:rsidRPr="00E72418">
        <w:rPr>
          <w:rFonts w:eastAsia="Times New Roman" w:cs="Times New Roman"/>
          <w:szCs w:val="24"/>
          <w:lang w:eastAsia="fr-BE"/>
        </w:rPr>
        <w:t>des biens de toute nature, notamment les avoirs de réserves de change, que les banques centrales ou les autorités monétaires étrangères détiennent ou gèrent pour leur compte ou celui de l’</w:t>
      </w:r>
      <w:r w:rsidRPr="00E72418">
        <w:rPr>
          <w:lang w:eastAsia="fr-BE"/>
        </w:rPr>
        <w:t>É</w:t>
      </w:r>
      <w:r w:rsidRPr="00E72418">
        <w:rPr>
          <w:rFonts w:eastAsia="Times New Roman" w:cs="Times New Roman"/>
          <w:szCs w:val="24"/>
          <w:lang w:eastAsia="fr-BE"/>
        </w:rPr>
        <w:t xml:space="preserve">tat ou des </w:t>
      </w:r>
      <w:r w:rsidRPr="00E72418">
        <w:rPr>
          <w:lang w:eastAsia="fr-BE"/>
        </w:rPr>
        <w:t>É</w:t>
      </w:r>
      <w:r w:rsidRPr="00E72418">
        <w:rPr>
          <w:rFonts w:eastAsia="Times New Roman" w:cs="Times New Roman"/>
          <w:szCs w:val="24"/>
          <w:lang w:eastAsia="fr-BE"/>
        </w:rPr>
        <w:t>tats étrangers dont elles relèvent. Ce principe immunitaire est toutefois écarté si le créancier établit que les biens détenus ou gérés pour son propre compte par la banque centrale ou l’autorité monétaire étrangère font partie d’un patrimoine qu’elle affecte à une activité principale relevant du droit privé. Le créancier muni d’un titre exécutoire constatant une créance liquide et exigible pourra solliciter du juge de l’exécution l’autorisation de poursuivre l’exécution forcée</w:t>
      </w:r>
      <w:r w:rsidR="00CC77AE" w:rsidRPr="00E72418">
        <w:rPr>
          <w:rStyle w:val="Appelnotedebasdep"/>
          <w:rFonts w:eastAsia="Times New Roman" w:cs="Times New Roman"/>
          <w:szCs w:val="24"/>
          <w:lang w:eastAsia="fr-BE"/>
        </w:rPr>
        <w:footnoteReference w:id="1154"/>
      </w:r>
      <w:r w:rsidRPr="00E72418">
        <w:rPr>
          <w:rFonts w:eastAsia="Times New Roman" w:cs="Times New Roman"/>
          <w:szCs w:val="24"/>
          <w:lang w:eastAsia="fr-BE"/>
        </w:rPr>
        <w:t>.</w:t>
      </w:r>
    </w:p>
    <w:p w14:paraId="29327755" w14:textId="5CE53849" w:rsidR="00B17759" w:rsidRPr="00E72418" w:rsidRDefault="00B17759" w:rsidP="00B17759">
      <w:pPr>
        <w:spacing w:line="276" w:lineRule="auto"/>
      </w:pPr>
      <w:r w:rsidRPr="00E72418">
        <w:rPr>
          <w:szCs w:val="24"/>
        </w:rPr>
        <w:t>L’article 1412</w:t>
      </w:r>
      <w:r w:rsidRPr="00E72418">
        <w:rPr>
          <w:i/>
          <w:szCs w:val="24"/>
        </w:rPr>
        <w:t>quater</w:t>
      </w:r>
      <w:r w:rsidRPr="00E72418">
        <w:rPr>
          <w:szCs w:val="24"/>
        </w:rPr>
        <w:t xml:space="preserve"> du Code judiciaire belge prévoit que</w:t>
      </w:r>
      <w:r w:rsidR="0008209C" w:rsidRPr="00E72418">
        <w:rPr>
          <w:szCs w:val="24"/>
        </w:rPr>
        <w:t>,</w:t>
      </w:r>
      <w:r w:rsidRPr="00E72418">
        <w:rPr>
          <w:szCs w:val="24"/>
        </w:rPr>
        <w:t xml:space="preserve"> s</w:t>
      </w:r>
      <w:r w:rsidRPr="00E72418">
        <w:t>ous réserve de l’application des dispositions impératives d’un instrument supranational, les avoirs de toute nature, dont les réserves de change, que des banques centrales étrangères ou des autorités monétaires internationales détiennent ou gèrent en Belgique pour leur propre compte ou pour compte de tiers sont insaisissables. Cette insaisissabilité peut être surmontée si le créancier parvient à démontrer que les avoirs sont exclusivement affectés à une activité économique ou commerciale de droit privé. Une requête doit ainsi être introduite par le créancier muni d’un titre exécutoire auprès du juge des saisies afin de demander l’autorisation de saisir.</w:t>
      </w:r>
    </w:p>
    <w:p w14:paraId="1018CAAE" w14:textId="77777777" w:rsidR="00B17759" w:rsidRPr="00E72418" w:rsidRDefault="00B17759" w:rsidP="0054314B"/>
    <w:p w14:paraId="22241DAD" w14:textId="42B3E962" w:rsidR="00B17759" w:rsidRPr="00E72418" w:rsidRDefault="007F038F" w:rsidP="00B17759">
      <w:pPr>
        <w:spacing w:line="276" w:lineRule="auto"/>
        <w:rPr>
          <w:szCs w:val="24"/>
          <w:lang w:val="en-US"/>
        </w:rPr>
      </w:pPr>
      <w:r w:rsidRPr="00E72418">
        <w:rPr>
          <w:b/>
        </w:rPr>
        <w:t>236</w:t>
      </w:r>
      <w:r w:rsidR="00A9718E" w:rsidRPr="00E72418">
        <w:rPr>
          <w:b/>
        </w:rPr>
        <w:t xml:space="preserve">. </w:t>
      </w:r>
      <w:r w:rsidR="00B17759" w:rsidRPr="00E72418">
        <w:rPr>
          <w:b/>
        </w:rPr>
        <w:t xml:space="preserve">Quelques déclinaisons </w:t>
      </w:r>
      <w:r w:rsidR="00B17759" w:rsidRPr="00E72418">
        <w:rPr>
          <w:rFonts w:cs="Times New Roman"/>
          <w:b/>
          <w:szCs w:val="24"/>
        </w:rPr>
        <w:t>–</w:t>
      </w:r>
      <w:r w:rsidR="00B17759" w:rsidRPr="00E72418">
        <w:rPr>
          <w:b/>
        </w:rPr>
        <w:t xml:space="preserve"> </w:t>
      </w:r>
      <w:r w:rsidR="00B17759" w:rsidRPr="00E72418">
        <w:rPr>
          <w:szCs w:val="24"/>
          <w:lang w:val="en-US"/>
        </w:rPr>
        <w:t xml:space="preserve">Dans le cadre du contentieux ayant opposé la société </w:t>
      </w:r>
      <w:r w:rsidR="00B17759" w:rsidRPr="00E72418">
        <w:rPr>
          <w:i/>
          <w:szCs w:val="24"/>
          <w:lang w:val="en-US"/>
        </w:rPr>
        <w:t>LNC Investments Inc.</w:t>
      </w:r>
      <w:r w:rsidR="00B17759" w:rsidRPr="00E72418">
        <w:rPr>
          <w:szCs w:val="24"/>
          <w:lang w:val="en-US"/>
        </w:rPr>
        <w:t xml:space="preserve"> à la République du Nicaragua</w:t>
      </w:r>
      <w:r w:rsidR="00B17759" w:rsidRPr="00E72418">
        <w:rPr>
          <w:rStyle w:val="Appelnotedebasdep"/>
          <w:szCs w:val="24"/>
          <w:lang w:val="en-US"/>
        </w:rPr>
        <w:footnoteReference w:id="1155"/>
      </w:r>
      <w:r w:rsidR="00B17759" w:rsidRPr="00E72418">
        <w:rPr>
          <w:szCs w:val="24"/>
          <w:lang w:val="en-US"/>
        </w:rPr>
        <w:t xml:space="preserve">, le créancier chercha à faire saisir le compte de la </w:t>
      </w:r>
      <w:r w:rsidR="00B17759" w:rsidRPr="00E72418">
        <w:rPr>
          <w:i/>
          <w:szCs w:val="24"/>
        </w:rPr>
        <w:t>Banco Central de Nicaragua</w:t>
      </w:r>
      <w:r w:rsidR="00B17759" w:rsidRPr="00E72418">
        <w:rPr>
          <w:szCs w:val="24"/>
        </w:rPr>
        <w:t xml:space="preserve"> à la </w:t>
      </w:r>
      <w:r w:rsidR="00B17759" w:rsidRPr="00E72418">
        <w:rPr>
          <w:i/>
          <w:szCs w:val="24"/>
        </w:rPr>
        <w:t>Federal Reserve Bank of New York</w:t>
      </w:r>
      <w:r w:rsidR="00B17759" w:rsidRPr="00E72418">
        <w:rPr>
          <w:szCs w:val="24"/>
          <w:lang w:val="en-US"/>
        </w:rPr>
        <w:t xml:space="preserve">. Par une décision du </w:t>
      </w:r>
      <w:r w:rsidR="00B17759" w:rsidRPr="00E72418">
        <w:rPr>
          <w:szCs w:val="24"/>
          <w:lang w:val="en-US"/>
        </w:rPr>
        <w:lastRenderedPageBreak/>
        <w:t>26 avril 2000</w:t>
      </w:r>
      <w:r w:rsidR="00B17759" w:rsidRPr="00E72418">
        <w:rPr>
          <w:rStyle w:val="Appelnotedebasdep"/>
          <w:szCs w:val="24"/>
          <w:lang w:val="en-US"/>
        </w:rPr>
        <w:footnoteReference w:id="1156"/>
      </w:r>
      <w:r w:rsidR="00B17759" w:rsidRPr="00E72418">
        <w:rPr>
          <w:szCs w:val="24"/>
          <w:lang w:val="en-US"/>
        </w:rPr>
        <w:t xml:space="preserve">, la </w:t>
      </w:r>
      <w:r w:rsidR="00B17759" w:rsidRPr="00735BBE">
        <w:rPr>
          <w:rFonts w:ascii="Times New Roman" w:hAnsi="Times New Roman" w:cs="Times New Roman"/>
          <w:szCs w:val="24"/>
          <w:lang w:val="en-US"/>
        </w:rPr>
        <w:t>United States District Court for the Southern District of New York</w:t>
      </w:r>
      <w:r w:rsidR="00B17759" w:rsidRPr="00E72418">
        <w:rPr>
          <w:rFonts w:cs="Times New Roman"/>
          <w:i/>
          <w:szCs w:val="24"/>
          <w:lang w:val="en-US"/>
        </w:rPr>
        <w:t xml:space="preserve"> </w:t>
      </w:r>
      <w:r w:rsidR="00B17759" w:rsidRPr="00E72418">
        <w:rPr>
          <w:rFonts w:cs="Times New Roman"/>
          <w:szCs w:val="24"/>
          <w:lang w:val="en-US"/>
        </w:rPr>
        <w:t xml:space="preserve">refusa d’apparenter la banque au pays débiteur. La juridiction rappelait qu’ </w:t>
      </w:r>
      <w:r w:rsidR="00B17759" w:rsidRPr="00E72418">
        <w:t>« [a] government instrumentality loses its separate juridical status and becomes the alter-ego or agent of its parent government when the government exercises extensive control over the instrumentality’s daily operations and abuses the corporate form » et, au terme de son raisonnement, retenait que « LNC has not shown that the Central Bank was the agent or alter-ego of Nicaragua »</w:t>
      </w:r>
      <w:r w:rsidR="00B17759" w:rsidRPr="00E72418">
        <w:rPr>
          <w:rStyle w:val="Appelnotedebasdep"/>
        </w:rPr>
        <w:footnoteReference w:id="1157"/>
      </w:r>
      <w:r w:rsidR="00B17759" w:rsidRPr="00E72418">
        <w:t>.</w:t>
      </w:r>
    </w:p>
    <w:p w14:paraId="5E932C9E" w14:textId="31DB2E0C" w:rsidR="00B17759" w:rsidRPr="00E72418" w:rsidRDefault="00233A2A" w:rsidP="00B17759">
      <w:pPr>
        <w:spacing w:line="276" w:lineRule="auto"/>
        <w:rPr>
          <w:rFonts w:cs="Times New Roman"/>
          <w:szCs w:val="24"/>
          <w:lang w:val="en-US"/>
        </w:rPr>
      </w:pPr>
      <w:r w:rsidRPr="00E72418">
        <w:t>La saisie de fonds déten</w:t>
      </w:r>
      <w:r w:rsidR="00B17759" w:rsidRPr="00E72418">
        <w:t xml:space="preserve">us par la </w:t>
      </w:r>
      <w:r w:rsidR="00B17759" w:rsidRPr="00E72418">
        <w:rPr>
          <w:i/>
        </w:rPr>
        <w:t>Banco Central de la República Argentina</w:t>
      </w:r>
      <w:r w:rsidR="00B17759" w:rsidRPr="00E72418">
        <w:t xml:space="preserve"> à la </w:t>
      </w:r>
      <w:r w:rsidR="00B17759" w:rsidRPr="00E72418">
        <w:rPr>
          <w:i/>
        </w:rPr>
        <w:t>Federal Reserve Bank of New York</w:t>
      </w:r>
      <w:r w:rsidR="00B17759" w:rsidRPr="00E72418">
        <w:t xml:space="preserve"> fut poursuivie par des créanciers de la République argentine. Cette poursuite posa notamment la question de l’immunité de ces biens en application du </w:t>
      </w:r>
      <w:r w:rsidR="00B17759" w:rsidRPr="00E72418">
        <w:rPr>
          <w:rFonts w:cs="Times New Roman"/>
          <w:i/>
          <w:szCs w:val="24"/>
        </w:rPr>
        <w:t>Foreign Sovereign Immunities Act</w:t>
      </w:r>
      <w:r w:rsidR="00B17759" w:rsidRPr="00E72418">
        <w:t xml:space="preserve">. </w:t>
      </w:r>
      <w:r w:rsidR="00B17759" w:rsidRPr="00E72418">
        <w:rPr>
          <w:rFonts w:cs="Times New Roman"/>
          <w:szCs w:val="24"/>
          <w:lang w:val="en-US"/>
        </w:rPr>
        <w:t xml:space="preserve">La </w:t>
      </w:r>
      <w:r w:rsidR="00B17759" w:rsidRPr="00735BBE">
        <w:rPr>
          <w:rFonts w:cs="Times New Roman"/>
          <w:szCs w:val="24"/>
          <w:lang w:val="en-US"/>
        </w:rPr>
        <w:t>United States Court of Appeals for the Second Circuit</w:t>
      </w:r>
      <w:r w:rsidR="00B17759" w:rsidRPr="00E72418">
        <w:rPr>
          <w:rFonts w:cs="Times New Roman"/>
          <w:szCs w:val="24"/>
          <w:lang w:val="en-US"/>
        </w:rPr>
        <w:t xml:space="preserve"> retint que « </w:t>
      </w:r>
      <w:r w:rsidR="00B17759" w:rsidRPr="00E72418">
        <w:rPr>
          <w:rFonts w:cs="Times New Roman"/>
          <w:lang w:val="en-US"/>
        </w:rPr>
        <w:t>[b]</w:t>
      </w:r>
      <w:r w:rsidR="00B17759" w:rsidRPr="00E72418">
        <w:rPr>
          <w:rFonts w:cs="Times New Roman"/>
          <w:szCs w:val="24"/>
          <w:lang w:val="en-US"/>
        </w:rPr>
        <w:t xml:space="preserve">ecause BCRA’s sovereign immunity over the FRBNY Funds has not been waived and the FRBNY Funds are property of BCRA held for its own account under </w:t>
      </w:r>
      <w:r w:rsidR="00B17759" w:rsidRPr="00E72418">
        <w:rPr>
          <w:rFonts w:cs="Times New Roman"/>
          <w:iCs/>
          <w:szCs w:val="24"/>
          <w:lang w:val="en-US"/>
        </w:rPr>
        <w:t>28</w:t>
      </w:r>
      <w:r w:rsidR="00B17759" w:rsidRPr="00E72418">
        <w:rPr>
          <w:rFonts w:cs="Times New Roman"/>
          <w:szCs w:val="24"/>
          <w:lang w:val="en-US"/>
        </w:rPr>
        <w:t xml:space="preserve"> </w:t>
      </w:r>
      <w:r w:rsidR="00B17759" w:rsidRPr="00E72418">
        <w:rPr>
          <w:rFonts w:cs="Times New Roman"/>
          <w:iCs/>
          <w:szCs w:val="24"/>
          <w:lang w:val="en-US"/>
        </w:rPr>
        <w:t>U.S.C. § 1611(b)(1)</w:t>
      </w:r>
      <w:r w:rsidR="00B17759" w:rsidRPr="00E72418">
        <w:rPr>
          <w:rFonts w:cs="Times New Roman"/>
          <w:szCs w:val="24"/>
          <w:lang w:val="en-US"/>
        </w:rPr>
        <w:t>, we hold that the FRBNY Funds are immune from attachment and restraint »</w:t>
      </w:r>
      <w:r w:rsidR="00B17759" w:rsidRPr="00E72418">
        <w:rPr>
          <w:rStyle w:val="Appelnotedebasdep"/>
          <w:rFonts w:cs="Times New Roman"/>
          <w:szCs w:val="24"/>
          <w:lang w:val="en-US"/>
        </w:rPr>
        <w:footnoteReference w:id="1158"/>
      </w:r>
      <w:r w:rsidR="00B17759" w:rsidRPr="00E72418">
        <w:rPr>
          <w:rFonts w:cs="Times New Roman"/>
          <w:szCs w:val="24"/>
          <w:lang w:val="en-US"/>
        </w:rPr>
        <w:t>. L’argument de la dépendance de la Banque à l’</w:t>
      </w:r>
      <w:r w:rsidR="00B17759" w:rsidRPr="00E72418">
        <w:rPr>
          <w:lang w:val="en-US" w:eastAsia="fr-BE"/>
        </w:rPr>
        <w:t>É</w:t>
      </w:r>
      <w:r w:rsidR="00B17759" w:rsidRPr="00E72418">
        <w:rPr>
          <w:rFonts w:cs="Times New Roman"/>
          <w:szCs w:val="24"/>
          <w:lang w:val="en-US"/>
        </w:rPr>
        <w:t xml:space="preserve">tat argentin qui justifierait que ses biens puissent être saisis fut rejeté par la </w:t>
      </w:r>
      <w:r w:rsidR="00B17759" w:rsidRPr="00735BBE">
        <w:rPr>
          <w:rFonts w:cs="Times New Roman"/>
          <w:szCs w:val="24"/>
          <w:lang w:val="en-US"/>
        </w:rPr>
        <w:t>United States Court of Appeals for the Second Circuit</w:t>
      </w:r>
      <w:r w:rsidR="00B17759" w:rsidRPr="00E72418">
        <w:rPr>
          <w:rFonts w:cs="Times New Roman"/>
          <w:szCs w:val="24"/>
          <w:lang w:val="en-US"/>
        </w:rPr>
        <w:t>, d’avis que « </w:t>
      </w:r>
      <w:r w:rsidR="00B17759" w:rsidRPr="00E72418">
        <w:rPr>
          <w:lang w:val="en-US"/>
        </w:rPr>
        <w:t xml:space="preserve">§ 1611(b)(1) immunizes foreign central bank property “held for its own account” without regard to the central bank’s independence from its parent state </w:t>
      </w:r>
      <w:r w:rsidR="00B17759" w:rsidRPr="00E72418">
        <w:rPr>
          <w:rFonts w:cs="Times New Roman"/>
          <w:szCs w:val="24"/>
          <w:lang w:val="en-US"/>
        </w:rPr>
        <w:t>»</w:t>
      </w:r>
      <w:r w:rsidR="00B17759" w:rsidRPr="00E72418">
        <w:rPr>
          <w:rStyle w:val="Appelnotedebasdep"/>
          <w:rFonts w:cs="Times New Roman"/>
          <w:szCs w:val="24"/>
          <w:lang w:val="en-US"/>
        </w:rPr>
        <w:footnoteReference w:id="1159"/>
      </w:r>
      <w:r w:rsidR="00B17759" w:rsidRPr="00E72418">
        <w:rPr>
          <w:rFonts w:cs="Times New Roman"/>
          <w:szCs w:val="24"/>
          <w:lang w:val="en-US"/>
        </w:rPr>
        <w:t>.</w:t>
      </w:r>
      <w:r w:rsidR="00B17759" w:rsidRPr="00E72418">
        <w:t xml:space="preserve"> </w:t>
      </w:r>
      <w:r w:rsidR="00B17759" w:rsidRPr="00E72418">
        <w:rPr>
          <w:rFonts w:cs="Times New Roman"/>
          <w:szCs w:val="24"/>
          <w:lang w:val="en-US"/>
        </w:rPr>
        <w:t xml:space="preserve">Par une décision ultérieure du 31 août 2015, la </w:t>
      </w:r>
      <w:r w:rsidR="00B17759" w:rsidRPr="00735BBE">
        <w:rPr>
          <w:rFonts w:cs="Times New Roman"/>
          <w:szCs w:val="24"/>
          <w:lang w:val="en-US"/>
        </w:rPr>
        <w:t>United States Court of Appeals for the Second Circuit</w:t>
      </w:r>
      <w:r w:rsidR="00B17759" w:rsidRPr="00E72418">
        <w:rPr>
          <w:rFonts w:cs="Times New Roman"/>
          <w:szCs w:val="24"/>
          <w:lang w:val="en-US"/>
        </w:rPr>
        <w:t xml:space="preserve"> eut également l’occasion de retenir que « </w:t>
      </w:r>
      <w:r w:rsidR="00B17759" w:rsidRPr="00E72418">
        <w:rPr>
          <w:lang w:val="en-US"/>
        </w:rPr>
        <w:t xml:space="preserve">bank was not under extensive control of Argentina such that it could be considered an alter ego </w:t>
      </w:r>
      <w:r w:rsidR="00B17759" w:rsidRPr="00E72418">
        <w:rPr>
          <w:rFonts w:cs="Times New Roman"/>
          <w:szCs w:val="24"/>
          <w:lang w:val="en-US"/>
        </w:rPr>
        <w:t>»</w:t>
      </w:r>
      <w:r w:rsidR="00B17759" w:rsidRPr="00E72418">
        <w:rPr>
          <w:lang w:val="en-US"/>
        </w:rPr>
        <w:t xml:space="preserve"> et que </w:t>
      </w:r>
      <w:r w:rsidRPr="00E72418">
        <w:rPr>
          <w:rFonts w:cs="Times New Roman"/>
          <w:szCs w:val="24"/>
          <w:lang w:val="en-US"/>
        </w:rPr>
        <w:t>«</w:t>
      </w:r>
      <w:r w:rsidR="00B17759" w:rsidRPr="00E72418">
        <w:rPr>
          <w:rFonts w:cs="Times New Roman"/>
          <w:szCs w:val="24"/>
          <w:lang w:val="en-US"/>
        </w:rPr>
        <w:t xml:space="preserve"> </w:t>
      </w:r>
      <w:r w:rsidR="00B17759" w:rsidRPr="00E72418">
        <w:rPr>
          <w:lang w:val="en-US"/>
        </w:rPr>
        <w:t xml:space="preserve">recognition of bank’s separate legal status would not work fraud or injustice </w:t>
      </w:r>
      <w:r w:rsidR="00B17759" w:rsidRPr="00E72418">
        <w:rPr>
          <w:rFonts w:cs="Times New Roman"/>
          <w:szCs w:val="24"/>
          <w:lang w:val="en-US"/>
        </w:rPr>
        <w:t>»</w:t>
      </w:r>
      <w:r w:rsidR="00B17759" w:rsidRPr="00E72418">
        <w:rPr>
          <w:rStyle w:val="Appelnotedebasdep"/>
          <w:rFonts w:cs="Times New Roman"/>
          <w:szCs w:val="24"/>
          <w:lang w:val="en-US"/>
        </w:rPr>
        <w:footnoteReference w:id="1160"/>
      </w:r>
      <w:r w:rsidR="00B17759" w:rsidRPr="00E72418">
        <w:rPr>
          <w:rFonts w:cs="Times New Roman"/>
          <w:szCs w:val="24"/>
          <w:lang w:val="en-US"/>
        </w:rPr>
        <w:t>.</w:t>
      </w:r>
    </w:p>
    <w:p w14:paraId="4F23A122" w14:textId="2A2FAFBF" w:rsidR="00B17759" w:rsidRPr="00E72418" w:rsidRDefault="00B17759" w:rsidP="00B17759">
      <w:pPr>
        <w:spacing w:line="276" w:lineRule="auto"/>
        <w:rPr>
          <w:lang w:val="en-US"/>
        </w:rPr>
      </w:pPr>
      <w:r w:rsidRPr="00E72418">
        <w:t>Dans le cadre du contentieux argentin toujours, des créanciers avaient fait valoir qu’en raison de l’autorisation donnée par l’Argentine à sa banque centrale de payer le Fonds monétaire international pour son compte, le pays avait acquis un « </w:t>
      </w:r>
      <w:r w:rsidRPr="006F23BB">
        <w:t>property interest</w:t>
      </w:r>
      <w:r w:rsidRPr="00E72418">
        <w:rPr>
          <w:i/>
        </w:rPr>
        <w:t> </w:t>
      </w:r>
      <w:r w:rsidRPr="00E72418">
        <w:t xml:space="preserve">» dans les réserves de </w:t>
      </w:r>
      <w:r w:rsidRPr="00E72418">
        <w:lastRenderedPageBreak/>
        <w:t>la banque centrale</w:t>
      </w:r>
      <w:r w:rsidRPr="00E72418">
        <w:rPr>
          <w:rStyle w:val="Appelnotedebasdep"/>
        </w:rPr>
        <w:footnoteReference w:id="1161"/>
      </w:r>
      <w:r w:rsidRPr="00E72418">
        <w:t xml:space="preserve">. Par décision du 5 janvier 2007, la </w:t>
      </w:r>
      <w:r w:rsidRPr="00735BBE">
        <w:rPr>
          <w:rFonts w:cs="Times New Roman"/>
          <w:szCs w:val="24"/>
          <w:shd w:val="clear" w:color="auto" w:fill="FFFFFF"/>
        </w:rPr>
        <w:t xml:space="preserve">United States Court of Appeals for the Second Circuit </w:t>
      </w:r>
      <w:r w:rsidRPr="00E72418">
        <w:rPr>
          <w:rFonts w:cs="Times New Roman"/>
          <w:szCs w:val="24"/>
          <w:shd w:val="clear" w:color="auto" w:fill="FFFFFF"/>
        </w:rPr>
        <w:t xml:space="preserve">ne suivit pas l’argumentation au motif notamment que le « use of funds to repay the IMF is not a </w:t>
      </w:r>
      <w:r w:rsidRPr="00E72418">
        <w:t>“commercial activity” »</w:t>
      </w:r>
      <w:r w:rsidRPr="00E72418">
        <w:rPr>
          <w:rStyle w:val="Appelnotedebasdep"/>
        </w:rPr>
        <w:footnoteReference w:id="1162"/>
      </w:r>
      <w:r w:rsidRPr="00E72418">
        <w:t>. La Cour décida également que ce n’est pas parce que le pays a la souhait et est en mesure de contrôler sa banque centrale et de l’enjoindre à user de ses fonds à son profit que les fonds y déposés lui reviennent</w:t>
      </w:r>
      <w:r w:rsidRPr="00E72418">
        <w:rPr>
          <w:rStyle w:val="Appelnotedebasdep"/>
        </w:rPr>
        <w:footnoteReference w:id="1163"/>
      </w:r>
      <w:r w:rsidRPr="00E72418">
        <w:t xml:space="preserve">. </w:t>
      </w:r>
      <w:r w:rsidR="00233A2A" w:rsidRPr="00E72418">
        <w:rPr>
          <w:rStyle w:val="injectednode"/>
          <w:lang w:val="en-US"/>
        </w:rPr>
        <w:t xml:space="preserve">Pour la Cour, </w:t>
      </w:r>
      <w:r w:rsidR="00233A2A" w:rsidRPr="00E72418">
        <w:t>«</w:t>
      </w:r>
      <w:r w:rsidR="00233A2A" w:rsidRPr="00E72418">
        <w:rPr>
          <w:rStyle w:val="injectednode"/>
          <w:lang w:val="en-US"/>
        </w:rPr>
        <w:t xml:space="preserve"> </w:t>
      </w:r>
      <w:r w:rsidRPr="00E72418">
        <w:rPr>
          <w:lang w:val="en-US"/>
        </w:rPr>
        <w:t>[t]o conclude otherwise would be to allow creditors of a foreign state to attach all of the assets of the state’s central bank any time the foreign state issues directives affecting the central bank’s reserves ».</w:t>
      </w:r>
    </w:p>
    <w:p w14:paraId="3F996B41" w14:textId="50B6526D" w:rsidR="000F20AD" w:rsidRPr="00E72418" w:rsidRDefault="000F20AD">
      <w:pPr>
        <w:jc w:val="left"/>
        <w:rPr>
          <w:rFonts w:ascii="Times New Roman" w:eastAsiaTheme="majorEastAsia" w:hAnsi="Times New Roman" w:cstheme="majorBidi"/>
          <w:i/>
          <w:iCs/>
          <w:sz w:val="28"/>
        </w:rPr>
      </w:pPr>
      <w:bookmarkStart w:id="262" w:name="_Toc59280956"/>
      <w:bookmarkStart w:id="263" w:name="_Toc84540946"/>
    </w:p>
    <w:p w14:paraId="549546D0" w14:textId="2915ACF8" w:rsidR="007F19C6" w:rsidRPr="00E72418" w:rsidRDefault="000764CE" w:rsidP="00CC4BA8">
      <w:pPr>
        <w:pStyle w:val="DD"/>
        <w:spacing w:line="276" w:lineRule="auto"/>
        <w:rPr>
          <w:i w:val="0"/>
        </w:rPr>
      </w:pPr>
      <w:r w:rsidRPr="00E72418">
        <w:t xml:space="preserve">Section 2 : </w:t>
      </w:r>
      <w:r w:rsidR="007F19C6" w:rsidRPr="00E72418">
        <w:t>Les doctri</w:t>
      </w:r>
      <w:r w:rsidR="00387252" w:rsidRPr="00E72418">
        <w:t>nes de l’</w:t>
      </w:r>
      <w:r w:rsidR="00387252" w:rsidRPr="00E72418">
        <w:rPr>
          <w:i w:val="0"/>
        </w:rPr>
        <w:t xml:space="preserve">act of State </w:t>
      </w:r>
      <w:r w:rsidR="00387252" w:rsidRPr="00E72418">
        <w:t xml:space="preserve">et de la </w:t>
      </w:r>
      <w:r w:rsidR="00387252" w:rsidRPr="00E72418">
        <w:rPr>
          <w:i w:val="0"/>
        </w:rPr>
        <w:t>comity</w:t>
      </w:r>
      <w:bookmarkEnd w:id="262"/>
      <w:bookmarkEnd w:id="263"/>
    </w:p>
    <w:p w14:paraId="63726DBC" w14:textId="77777777" w:rsidR="0054314B" w:rsidRPr="00E72418" w:rsidRDefault="0054314B" w:rsidP="0054314B"/>
    <w:p w14:paraId="5E26C0A5" w14:textId="0C2B7C2A" w:rsidR="00EB79C4" w:rsidRPr="00E72418" w:rsidRDefault="007F038F" w:rsidP="00CC4BA8">
      <w:pPr>
        <w:spacing w:line="276" w:lineRule="auto"/>
      </w:pPr>
      <w:r w:rsidRPr="00E72418">
        <w:rPr>
          <w:b/>
        </w:rPr>
        <w:t>237</w:t>
      </w:r>
      <w:r w:rsidR="00A9718E" w:rsidRPr="00E72418">
        <w:rPr>
          <w:b/>
        </w:rPr>
        <w:t xml:space="preserve">. </w:t>
      </w:r>
      <w:r w:rsidR="00EB79C4" w:rsidRPr="00E72418">
        <w:rPr>
          <w:b/>
        </w:rPr>
        <w:t xml:space="preserve">La déférence </w:t>
      </w:r>
      <w:r w:rsidR="00EB79C4" w:rsidRPr="00E72418">
        <w:rPr>
          <w:rFonts w:cs="Times New Roman"/>
          <w:b/>
          <w:szCs w:val="24"/>
        </w:rPr>
        <w:t>–</w:t>
      </w:r>
      <w:r w:rsidR="00127AC9" w:rsidRPr="00E72418">
        <w:t xml:space="preserve"> Participant tou</w:t>
      </w:r>
      <w:r w:rsidR="00EB79C4" w:rsidRPr="00E72418">
        <w:t xml:space="preserve">s deux du respect que les </w:t>
      </w:r>
      <w:r w:rsidR="00EB79C4" w:rsidRPr="00E72418">
        <w:rPr>
          <w:lang w:eastAsia="fr-BE"/>
        </w:rPr>
        <w:t>É</w:t>
      </w:r>
      <w:r w:rsidR="00EB79C4" w:rsidRPr="00E72418">
        <w:t>tat</w:t>
      </w:r>
      <w:r w:rsidR="00387252" w:rsidRPr="00E72418">
        <w:t>s se portent, l’argument de l’</w:t>
      </w:r>
      <w:r w:rsidR="00387252" w:rsidRPr="00E72418">
        <w:rPr>
          <w:i/>
        </w:rPr>
        <w:t>a</w:t>
      </w:r>
      <w:r w:rsidR="00EB79C4" w:rsidRPr="00E72418">
        <w:rPr>
          <w:i/>
        </w:rPr>
        <w:t>ct of State</w:t>
      </w:r>
      <w:r w:rsidR="00387252" w:rsidRPr="00E72418">
        <w:t xml:space="preserve"> et celui de la </w:t>
      </w:r>
      <w:r w:rsidR="00387252" w:rsidRPr="00E72418">
        <w:rPr>
          <w:i/>
        </w:rPr>
        <w:t>c</w:t>
      </w:r>
      <w:r w:rsidR="00EB79C4" w:rsidRPr="00E72418">
        <w:rPr>
          <w:i/>
        </w:rPr>
        <w:t>omity</w:t>
      </w:r>
      <w:r w:rsidR="00EB79C4" w:rsidRPr="00E72418">
        <w:t xml:space="preserve"> furent parfois avancés par les </w:t>
      </w:r>
      <w:r w:rsidR="00EB79C4" w:rsidRPr="00E72418">
        <w:rPr>
          <w:lang w:eastAsia="fr-BE"/>
        </w:rPr>
        <w:t>É</w:t>
      </w:r>
      <w:r w:rsidR="00EB79C4" w:rsidRPr="00E72418">
        <w:t xml:space="preserve">tats débiteurs attraits </w:t>
      </w:r>
      <w:r w:rsidR="00127AC9" w:rsidRPr="00E72418">
        <w:t xml:space="preserve">devant les juridictions étatsuniennes </w:t>
      </w:r>
      <w:r w:rsidR="00EB79C4" w:rsidRPr="00E72418">
        <w:t xml:space="preserve">par </w:t>
      </w:r>
      <w:r w:rsidR="00127AC9" w:rsidRPr="00E72418">
        <w:t>des fonds spéculatifs et, plus généralement, par leurs créanciers. Ces arguments relativement similaires</w:t>
      </w:r>
      <w:r w:rsidR="00EB79C4" w:rsidRPr="00E72418">
        <w:t xml:space="preserve"> ont tous deux trait à la déférence que portent les </w:t>
      </w:r>
      <w:r w:rsidR="00EB79C4" w:rsidRPr="00E72418">
        <w:rPr>
          <w:lang w:eastAsia="fr-BE"/>
        </w:rPr>
        <w:t>É</w:t>
      </w:r>
      <w:r w:rsidR="00EB79C4" w:rsidRPr="00E72418">
        <w:t xml:space="preserve">tats-Unis aux autres </w:t>
      </w:r>
      <w:r w:rsidR="00EB79C4" w:rsidRPr="00E72418">
        <w:rPr>
          <w:lang w:eastAsia="fr-BE"/>
        </w:rPr>
        <w:t>É</w:t>
      </w:r>
      <w:r w:rsidR="00EB79C4" w:rsidRPr="00E72418">
        <w:t>tats souverains avec lesq</w:t>
      </w:r>
      <w:r w:rsidR="00127AC9" w:rsidRPr="00E72418">
        <w:t>uels ils entendent maintenir de</w:t>
      </w:r>
      <w:r w:rsidR="00EB79C4" w:rsidRPr="00E72418">
        <w:t xml:space="preserve"> bonnes relations</w:t>
      </w:r>
      <w:r w:rsidR="00EB79C4" w:rsidRPr="00E72418">
        <w:rPr>
          <w:rStyle w:val="Appelnotedebasdep"/>
          <w:rFonts w:cs="Times New Roman"/>
          <w:szCs w:val="24"/>
        </w:rPr>
        <w:footnoteReference w:id="1164"/>
      </w:r>
      <w:r w:rsidR="00EB79C4" w:rsidRPr="00E72418">
        <w:t xml:space="preserve">. Les deux arguments empêchent les juridictions </w:t>
      </w:r>
      <w:r w:rsidR="00127AC9" w:rsidRPr="00E72418">
        <w:t>étatsuniennes</w:t>
      </w:r>
      <w:r w:rsidR="00EB79C4" w:rsidRPr="00E72418">
        <w:t xml:space="preserve"> de juger, dans le cadre d’actions civiles intentées, de la validité d’actes posés par un autre </w:t>
      </w:r>
      <w:r w:rsidR="00EB79C4" w:rsidRPr="00E72418">
        <w:rPr>
          <w:lang w:eastAsia="fr-BE"/>
        </w:rPr>
        <w:t>É</w:t>
      </w:r>
      <w:r w:rsidR="00EB79C4" w:rsidRPr="00E72418">
        <w:t>tat sur son territoire</w:t>
      </w:r>
      <w:r w:rsidR="00EB79C4" w:rsidRPr="00E72418">
        <w:rPr>
          <w:rStyle w:val="Appelnotedebasdep"/>
          <w:rFonts w:cs="Times New Roman"/>
          <w:szCs w:val="24"/>
        </w:rPr>
        <w:footnoteReference w:id="1165"/>
      </w:r>
      <w:r w:rsidR="00387252" w:rsidRPr="00E72418">
        <w:t>. Les doctrines de l’</w:t>
      </w:r>
      <w:r w:rsidR="00387252" w:rsidRPr="00E72418">
        <w:rPr>
          <w:i/>
        </w:rPr>
        <w:t>a</w:t>
      </w:r>
      <w:r w:rsidR="00EB79C4" w:rsidRPr="00E72418">
        <w:rPr>
          <w:i/>
        </w:rPr>
        <w:t>ct of State</w:t>
      </w:r>
      <w:r w:rsidR="00387252" w:rsidRPr="00E72418">
        <w:t xml:space="preserve"> et de la </w:t>
      </w:r>
      <w:r w:rsidR="00387252" w:rsidRPr="00E72418">
        <w:rPr>
          <w:i/>
        </w:rPr>
        <w:t>c</w:t>
      </w:r>
      <w:r w:rsidR="00EB79C4" w:rsidRPr="00E72418">
        <w:rPr>
          <w:i/>
        </w:rPr>
        <w:t>omity</w:t>
      </w:r>
      <w:r w:rsidR="00EB79C4" w:rsidRPr="00E72418">
        <w:t xml:space="preserve"> peuvent ainsi </w:t>
      </w:r>
      <w:r w:rsidR="00127AC9" w:rsidRPr="00E72418">
        <w:t>conduire les juridictions à appliquer</w:t>
      </w:r>
      <w:r w:rsidR="00EB79C4" w:rsidRPr="00E72418">
        <w:t xml:space="preserve"> </w:t>
      </w:r>
      <w:r w:rsidR="00127AC9" w:rsidRPr="00E72418">
        <w:t xml:space="preserve">des </w:t>
      </w:r>
      <w:r w:rsidR="004C5C83" w:rsidRPr="00E72418">
        <w:t>textes décidés par u</w:t>
      </w:r>
      <w:r w:rsidR="00EB79C4" w:rsidRPr="00E72418">
        <w:t xml:space="preserve">n </w:t>
      </w:r>
      <w:r w:rsidR="00EB79C4" w:rsidRPr="00E72418">
        <w:rPr>
          <w:lang w:eastAsia="fr-BE"/>
        </w:rPr>
        <w:t>É</w:t>
      </w:r>
      <w:r w:rsidR="00EB79C4" w:rsidRPr="00E72418">
        <w:t>tat étranger imposant</w:t>
      </w:r>
      <w:r w:rsidR="004C5C83" w:rsidRPr="00E72418">
        <w:t>,</w:t>
      </w:r>
      <w:r w:rsidR="00EB79C4" w:rsidRPr="00E72418">
        <w:t xml:space="preserve"> </w:t>
      </w:r>
      <w:r w:rsidR="004C5C83" w:rsidRPr="00E72418">
        <w:t xml:space="preserve">par exemple, </w:t>
      </w:r>
      <w:r w:rsidR="00EB79C4" w:rsidRPr="00E72418">
        <w:t>un moratoire sur le paiement de sa dette</w:t>
      </w:r>
      <w:r w:rsidR="00EB79C4" w:rsidRPr="00E72418">
        <w:rPr>
          <w:rStyle w:val="Appelnotedebasdep"/>
          <w:rFonts w:cs="Times New Roman"/>
          <w:szCs w:val="24"/>
        </w:rPr>
        <w:footnoteReference w:id="1166"/>
      </w:r>
      <w:r w:rsidR="00EB79C4" w:rsidRPr="00E72418">
        <w:t>.</w:t>
      </w:r>
    </w:p>
    <w:p w14:paraId="0FB95C7A" w14:textId="77777777" w:rsidR="00EB79C4" w:rsidRPr="00E72418" w:rsidRDefault="00EB79C4" w:rsidP="0054314B"/>
    <w:p w14:paraId="551D6253" w14:textId="235B2D57" w:rsidR="00EB79C4" w:rsidRPr="00E72418" w:rsidRDefault="007F038F" w:rsidP="00CC4BA8">
      <w:pPr>
        <w:spacing w:line="276" w:lineRule="auto"/>
      </w:pPr>
      <w:r w:rsidRPr="00E72418">
        <w:rPr>
          <w:b/>
        </w:rPr>
        <w:t>238</w:t>
      </w:r>
      <w:r w:rsidR="00A9718E" w:rsidRPr="00E72418">
        <w:rPr>
          <w:b/>
        </w:rPr>
        <w:t xml:space="preserve">. </w:t>
      </w:r>
      <w:r w:rsidR="00EB79C4" w:rsidRPr="00E72418">
        <w:rPr>
          <w:b/>
        </w:rPr>
        <w:t xml:space="preserve">Leur principe </w:t>
      </w:r>
      <w:r w:rsidR="00EB79C4" w:rsidRPr="00E72418">
        <w:rPr>
          <w:rFonts w:cs="Times New Roman"/>
          <w:b/>
          <w:szCs w:val="24"/>
        </w:rPr>
        <w:t xml:space="preserve">– </w:t>
      </w:r>
      <w:r w:rsidR="00EB79C4" w:rsidRPr="00E72418">
        <w:rPr>
          <w:rFonts w:cs="Times New Roman"/>
          <w:szCs w:val="24"/>
        </w:rPr>
        <w:t>D</w:t>
      </w:r>
      <w:r w:rsidR="00EB79C4" w:rsidRPr="00E72418">
        <w:t xml:space="preserve">ans l’affaire </w:t>
      </w:r>
      <w:r w:rsidR="00EB79C4" w:rsidRPr="00E72418">
        <w:rPr>
          <w:i/>
        </w:rPr>
        <w:t>Underhill v. Hernandez</w:t>
      </w:r>
      <w:r w:rsidR="00EB79C4" w:rsidRPr="00E72418">
        <w:t xml:space="preserve">, la Cour suprême des </w:t>
      </w:r>
      <w:r w:rsidR="00EB79C4" w:rsidRPr="00E72418">
        <w:rPr>
          <w:lang w:eastAsia="fr-BE"/>
        </w:rPr>
        <w:t>É</w:t>
      </w:r>
      <w:r w:rsidR="0004079A" w:rsidRPr="00E72418">
        <w:t>tats-Unis indiqua qu’</w:t>
      </w:r>
      <w:r w:rsidR="00EB79C4" w:rsidRPr="00E72418">
        <w:t xml:space="preserve"> « </w:t>
      </w:r>
      <w:r w:rsidR="00EB79C4" w:rsidRPr="00E72418">
        <w:rPr>
          <w:rFonts w:ascii="Times New Roman" w:hAnsi="Times New Roman" w:cs="Times New Roman"/>
        </w:rPr>
        <w:t>[e]</w:t>
      </w:r>
      <w:r w:rsidR="00EB79C4" w:rsidRPr="00E72418">
        <w:t>very sovereign State is bound to respect the independence of every other sovereign State, and the courts of one country will not sit in judgment on the acts of the government of another done within its own territory »</w:t>
      </w:r>
      <w:r w:rsidR="00EB79C4" w:rsidRPr="00E72418">
        <w:rPr>
          <w:rStyle w:val="Appelnotedebasdep"/>
        </w:rPr>
        <w:footnoteReference w:id="1167"/>
      </w:r>
      <w:r w:rsidR="00EB79C4" w:rsidRPr="00E72418">
        <w:t xml:space="preserve">. Ainsi, comme l’expliqua la Cour dans </w:t>
      </w:r>
      <w:r w:rsidR="004C5C83" w:rsidRPr="00E72418">
        <w:t>sa</w:t>
      </w:r>
      <w:r w:rsidR="00EB79C4" w:rsidRPr="00E72418">
        <w:t xml:space="preserve"> </w:t>
      </w:r>
      <w:r w:rsidR="004C5C83" w:rsidRPr="00E72418">
        <w:t xml:space="preserve">décision </w:t>
      </w:r>
      <w:r w:rsidR="004C5C83" w:rsidRPr="00E72418">
        <w:rPr>
          <w:rFonts w:cs="Times"/>
          <w:i/>
          <w:lang w:val="en-US"/>
        </w:rPr>
        <w:t>Banco Nacional de Cuba v. Sabbatino</w:t>
      </w:r>
      <w:r w:rsidR="00EB79C4" w:rsidRPr="00E72418">
        <w:t>, « </w:t>
      </w:r>
      <w:r w:rsidR="00EB79C4" w:rsidRPr="00E72418">
        <w:rPr>
          <w:rFonts w:ascii="Times New Roman" w:hAnsi="Times New Roman" w:cs="Times New Roman"/>
        </w:rPr>
        <w:t>[t]</w:t>
      </w:r>
      <w:r w:rsidR="00EB79C4" w:rsidRPr="00E72418">
        <w:t>he act of state doctrine in its traditional formulation precludes the courts of this country from inquiring into the validity of the public acts a recognized foreign sovereign power committed within its own territory »</w:t>
      </w:r>
      <w:r w:rsidR="00EB79C4" w:rsidRPr="00E72418">
        <w:rPr>
          <w:rStyle w:val="Appelnotedebasdep"/>
        </w:rPr>
        <w:footnoteReference w:id="1168"/>
      </w:r>
      <w:r w:rsidR="00EB79C4" w:rsidRPr="00E72418">
        <w:t>.</w:t>
      </w:r>
    </w:p>
    <w:p w14:paraId="6351F838" w14:textId="762DA036" w:rsidR="00EB79C4" w:rsidRDefault="00EB79C4" w:rsidP="00CC4BA8">
      <w:pPr>
        <w:spacing w:line="276" w:lineRule="auto"/>
      </w:pPr>
      <w:r w:rsidRPr="00E72418">
        <w:rPr>
          <w:rFonts w:cs="Times New Roman"/>
          <w:szCs w:val="24"/>
        </w:rPr>
        <w:lastRenderedPageBreak/>
        <w:t xml:space="preserve">La Cour suprême </w:t>
      </w:r>
      <w:r w:rsidR="004C5C83" w:rsidRPr="00E72418">
        <w:t>étatsunienne</w:t>
      </w:r>
      <w:r w:rsidR="00387252" w:rsidRPr="00E72418">
        <w:rPr>
          <w:rFonts w:cs="Times New Roman"/>
          <w:szCs w:val="24"/>
        </w:rPr>
        <w:t xml:space="preserve"> donna une définition de la </w:t>
      </w:r>
      <w:r w:rsidR="00387252" w:rsidRPr="00E72418">
        <w:rPr>
          <w:rFonts w:cs="Times New Roman"/>
          <w:i/>
          <w:szCs w:val="24"/>
        </w:rPr>
        <w:t>c</w:t>
      </w:r>
      <w:r w:rsidRPr="00E72418">
        <w:rPr>
          <w:rFonts w:cs="Times New Roman"/>
          <w:i/>
          <w:szCs w:val="24"/>
        </w:rPr>
        <w:t>omity</w:t>
      </w:r>
      <w:r w:rsidRPr="00E72418">
        <w:rPr>
          <w:rFonts w:cs="Times New Roman"/>
          <w:szCs w:val="24"/>
        </w:rPr>
        <w:t xml:space="preserve"> dans son arrêt </w:t>
      </w:r>
      <w:r w:rsidRPr="00E72418">
        <w:rPr>
          <w:rFonts w:cs="Times New Roman"/>
          <w:i/>
          <w:szCs w:val="24"/>
        </w:rPr>
        <w:t>Hilton v. Guyot</w:t>
      </w:r>
      <w:r w:rsidR="0004079A" w:rsidRPr="00E72418">
        <w:rPr>
          <w:rFonts w:cs="Times New Roman"/>
          <w:szCs w:val="24"/>
        </w:rPr>
        <w:t xml:space="preserve"> en notant qu’ </w:t>
      </w:r>
      <w:r w:rsidRPr="00E72418">
        <w:rPr>
          <w:rFonts w:cs="Times New Roman"/>
          <w:szCs w:val="24"/>
        </w:rPr>
        <w:t>« it is the recognition which one nation allows within its territory to the legislative, executive or judicial acts of another nation, having due regard both to international duty and convenience, and to the rights of its own citizens or of other persons who are under the protection of its laws »</w:t>
      </w:r>
      <w:r w:rsidRPr="00E72418">
        <w:rPr>
          <w:rStyle w:val="Appelnotedebasdep"/>
          <w:rFonts w:cs="Times New Roman"/>
          <w:szCs w:val="24"/>
        </w:rPr>
        <w:footnoteReference w:id="1169"/>
      </w:r>
      <w:r w:rsidRPr="00E72418">
        <w:rPr>
          <w:rFonts w:cs="Times New Roman"/>
          <w:szCs w:val="24"/>
        </w:rPr>
        <w:t xml:space="preserve">. </w:t>
      </w:r>
      <w:r w:rsidRPr="00E72418">
        <w:t xml:space="preserve">Pratiquement, l’argument de la </w:t>
      </w:r>
      <w:r w:rsidR="00387252" w:rsidRPr="00E72418">
        <w:rPr>
          <w:rFonts w:cs="Times New Roman"/>
          <w:i/>
          <w:szCs w:val="24"/>
        </w:rPr>
        <w:t>c</w:t>
      </w:r>
      <w:r w:rsidRPr="00E72418">
        <w:rPr>
          <w:rFonts w:cs="Times New Roman"/>
          <w:i/>
          <w:szCs w:val="24"/>
        </w:rPr>
        <w:t>omity</w:t>
      </w:r>
      <w:r w:rsidRPr="00E72418">
        <w:rPr>
          <w:rFonts w:cs="Times New Roman"/>
          <w:szCs w:val="24"/>
        </w:rPr>
        <w:t xml:space="preserve"> conduit à ce qu’effet puisse être donné par les juri</w:t>
      </w:r>
      <w:r w:rsidR="00D15C80" w:rsidRPr="00E72418">
        <w:rPr>
          <w:rFonts w:cs="Times New Roman"/>
          <w:szCs w:val="24"/>
        </w:rPr>
        <w:t>dictions étatsu</w:t>
      </w:r>
      <w:r w:rsidRPr="00E72418">
        <w:rPr>
          <w:rFonts w:cs="Times New Roman"/>
          <w:szCs w:val="24"/>
        </w:rPr>
        <w:t xml:space="preserve">niennes aux actes posés par un </w:t>
      </w:r>
      <w:r w:rsidRPr="00E72418">
        <w:rPr>
          <w:lang w:eastAsia="fr-BE"/>
        </w:rPr>
        <w:t>É</w:t>
      </w:r>
      <w:r w:rsidRPr="00E72418">
        <w:rPr>
          <w:rFonts w:cs="Times New Roman"/>
          <w:szCs w:val="24"/>
        </w:rPr>
        <w:t>tat étranger pour autant que ceux-ci soient respectueux des lois et politiques étatsuniennes</w:t>
      </w:r>
      <w:r w:rsidRPr="00E72418">
        <w:rPr>
          <w:rStyle w:val="Appelnotedebasdep"/>
        </w:rPr>
        <w:footnoteReference w:id="1170"/>
      </w:r>
      <w:r w:rsidRPr="00E72418">
        <w:t>.</w:t>
      </w:r>
    </w:p>
    <w:p w14:paraId="4F6832F3" w14:textId="77777777" w:rsidR="00486978" w:rsidRPr="00E72418" w:rsidRDefault="00486978" w:rsidP="00CC4BA8">
      <w:pPr>
        <w:spacing w:line="276" w:lineRule="auto"/>
      </w:pPr>
    </w:p>
    <w:p w14:paraId="2538C3C9" w14:textId="4DD1716F" w:rsidR="002775DD" w:rsidRPr="00E72418" w:rsidRDefault="007F038F" w:rsidP="00CC4BA8">
      <w:pPr>
        <w:spacing w:line="276" w:lineRule="auto"/>
        <w:rPr>
          <w:b/>
        </w:rPr>
      </w:pPr>
      <w:bookmarkStart w:id="264" w:name="_Toc9959335"/>
      <w:r w:rsidRPr="00E72418">
        <w:rPr>
          <w:b/>
        </w:rPr>
        <w:t>239</w:t>
      </w:r>
      <w:r w:rsidR="00A9718E" w:rsidRPr="00E72418">
        <w:rPr>
          <w:b/>
        </w:rPr>
        <w:t xml:space="preserve">. </w:t>
      </w:r>
      <w:r w:rsidR="002775DD" w:rsidRPr="00E72418">
        <w:rPr>
          <w:b/>
        </w:rPr>
        <w:t xml:space="preserve">Quelques affaires – </w:t>
      </w:r>
      <w:r w:rsidR="00387252" w:rsidRPr="00E72418">
        <w:t>Les doctrines de l’</w:t>
      </w:r>
      <w:r w:rsidR="00387252" w:rsidRPr="00E72418">
        <w:rPr>
          <w:i/>
        </w:rPr>
        <w:t>act of State</w:t>
      </w:r>
      <w:r w:rsidR="002775DD" w:rsidRPr="00E72418">
        <w:rPr>
          <w:i/>
        </w:rPr>
        <w:t xml:space="preserve"> </w:t>
      </w:r>
      <w:r w:rsidR="00387252" w:rsidRPr="00E72418">
        <w:t xml:space="preserve">et de la </w:t>
      </w:r>
      <w:r w:rsidR="00387252" w:rsidRPr="00E72418">
        <w:rPr>
          <w:i/>
        </w:rPr>
        <w:t>comity</w:t>
      </w:r>
      <w:r w:rsidR="002775DD" w:rsidRPr="00E72418">
        <w:t xml:space="preserve"> furent </w:t>
      </w:r>
      <w:r w:rsidR="000C5B83" w:rsidRPr="00E72418">
        <w:t>régulièrement</w:t>
      </w:r>
      <w:r w:rsidR="002775DD" w:rsidRPr="00E72418">
        <w:t xml:space="preserve"> invoquées devant les juridictions étatsuniennes par les </w:t>
      </w:r>
      <w:r w:rsidR="002775DD" w:rsidRPr="00E72418">
        <w:rPr>
          <w:lang w:eastAsia="fr-BE"/>
        </w:rPr>
        <w:t>É</w:t>
      </w:r>
      <w:r w:rsidR="002775DD" w:rsidRPr="00E72418">
        <w:t xml:space="preserve">tats </w:t>
      </w:r>
      <w:r w:rsidR="00960F09" w:rsidRPr="00E72418">
        <w:t>en proie aux poursuites de leur</w:t>
      </w:r>
      <w:r w:rsidR="000C5B83" w:rsidRPr="00E72418">
        <w:t>s créanciers au sujet de leur dette ébranlée.</w:t>
      </w:r>
      <w:r w:rsidR="002775DD" w:rsidRPr="00E72418">
        <w:t xml:space="preserve"> Précisément, </w:t>
      </w:r>
      <w:r w:rsidR="000C5B83" w:rsidRPr="00E72418">
        <w:t>les débiteurs souverains</w:t>
      </w:r>
      <w:r w:rsidR="002775DD" w:rsidRPr="00E72418">
        <w:t xml:space="preserve"> revendiquaient </w:t>
      </w:r>
      <w:r w:rsidR="000C5B83" w:rsidRPr="00E72418">
        <w:t xml:space="preserve">que les mesures qu’ils avaient posées </w:t>
      </w:r>
      <w:r w:rsidR="00960F09" w:rsidRPr="00E72418">
        <w:t>afin d’en</w:t>
      </w:r>
      <w:r w:rsidR="002775DD" w:rsidRPr="00E72418">
        <w:t xml:space="preserve"> faciliter la restructuration </w:t>
      </w:r>
      <w:r w:rsidR="000C5B83" w:rsidRPr="00E72418">
        <w:t xml:space="preserve">leur appartenaient et </w:t>
      </w:r>
      <w:r w:rsidR="002775DD" w:rsidRPr="00E72418">
        <w:t xml:space="preserve">ne </w:t>
      </w:r>
      <w:r w:rsidR="000C5B83" w:rsidRPr="00E72418">
        <w:t>pouvaient</w:t>
      </w:r>
      <w:r w:rsidR="002775DD" w:rsidRPr="00E72418">
        <w:t xml:space="preserve"> </w:t>
      </w:r>
      <w:r w:rsidR="00960F09" w:rsidRPr="00E72418">
        <w:t xml:space="preserve">par conséquent </w:t>
      </w:r>
      <w:r w:rsidR="002775DD" w:rsidRPr="00E72418">
        <w:t xml:space="preserve">faire l’objet d’une appréciation par les juridictions </w:t>
      </w:r>
      <w:r w:rsidR="000C5B83" w:rsidRPr="00E72418">
        <w:t>judiciaires étatsuniennes.</w:t>
      </w:r>
    </w:p>
    <w:p w14:paraId="0DBBB650" w14:textId="3CD1CEDA" w:rsidR="002775DD" w:rsidRPr="00E72418" w:rsidRDefault="00960F09" w:rsidP="00CC4BA8">
      <w:pPr>
        <w:spacing w:line="276" w:lineRule="auto"/>
        <w:rPr>
          <w:shd w:val="clear" w:color="auto" w:fill="FFFFFF"/>
        </w:rPr>
      </w:pPr>
      <w:r w:rsidRPr="00E72418">
        <w:t>Dans l</w:t>
      </w:r>
      <w:r w:rsidR="002775DD" w:rsidRPr="00E72418">
        <w:rPr>
          <w:shd w:val="clear" w:color="auto" w:fill="FFFFFF"/>
        </w:rPr>
        <w:t xml:space="preserve">’affaire </w:t>
      </w:r>
      <w:r w:rsidR="002775DD" w:rsidRPr="00E72418">
        <w:rPr>
          <w:i/>
        </w:rPr>
        <w:t>Allied Bank International v. Banco Credito Agricola de Cartago</w:t>
      </w:r>
      <w:r w:rsidRPr="00E72418">
        <w:t xml:space="preserve">, le Costa Rica attaqué au sujet de sa dette et de mesures prises sur celle-ci mobilisa </w:t>
      </w:r>
      <w:r w:rsidR="00453486" w:rsidRPr="00E72418">
        <w:t>une défense</w:t>
      </w:r>
      <w:r w:rsidRPr="00E72418">
        <w:t xml:space="preserve"> </w:t>
      </w:r>
      <w:r w:rsidR="000C5B83" w:rsidRPr="00E72418">
        <w:t>tiré</w:t>
      </w:r>
      <w:r w:rsidR="00453486" w:rsidRPr="00E72418">
        <w:t>e</w:t>
      </w:r>
      <w:r w:rsidR="002775DD" w:rsidRPr="00E72418">
        <w:t xml:space="preserve"> des doctrines de l’</w:t>
      </w:r>
      <w:r w:rsidR="00387252" w:rsidRPr="00E72418">
        <w:rPr>
          <w:i/>
          <w:shd w:val="clear" w:color="auto" w:fill="FFFFFF"/>
        </w:rPr>
        <w:t>act of State</w:t>
      </w:r>
      <w:r w:rsidR="002775DD" w:rsidRPr="00E72418">
        <w:rPr>
          <w:i/>
        </w:rPr>
        <w:t xml:space="preserve"> </w:t>
      </w:r>
      <w:r w:rsidR="00387252" w:rsidRPr="00E72418">
        <w:t xml:space="preserve">et de la </w:t>
      </w:r>
      <w:r w:rsidR="00387252" w:rsidRPr="00E72418">
        <w:rPr>
          <w:i/>
        </w:rPr>
        <w:t>comity</w:t>
      </w:r>
      <w:r w:rsidR="002775DD" w:rsidRPr="00E72418">
        <w:rPr>
          <w:rStyle w:val="Appelnotedebasdep"/>
        </w:rPr>
        <w:footnoteReference w:id="1171"/>
      </w:r>
      <w:r w:rsidR="002775DD" w:rsidRPr="00E72418">
        <w:t>.</w:t>
      </w:r>
      <w:r w:rsidR="000C5B83" w:rsidRPr="00E72418">
        <w:rPr>
          <w:shd w:val="clear" w:color="auto" w:fill="FFFFFF"/>
        </w:rPr>
        <w:t xml:space="preserve"> </w:t>
      </w:r>
      <w:r w:rsidR="002775DD" w:rsidRPr="00735BBE">
        <w:t>La United States District Court for the Southern District of New York</w:t>
      </w:r>
      <w:r w:rsidR="0004079A" w:rsidRPr="00E72418">
        <w:rPr>
          <w:rFonts w:cs="Times New Roman"/>
          <w:shd w:val="clear" w:color="auto" w:fill="FFFFFF"/>
        </w:rPr>
        <w:t xml:space="preserve"> </w:t>
      </w:r>
      <w:r w:rsidRPr="00E72418">
        <w:rPr>
          <w:rFonts w:cs="Times New Roman"/>
          <w:shd w:val="clear" w:color="auto" w:fill="FFFFFF"/>
        </w:rPr>
        <w:t xml:space="preserve">saisie par le créancier </w:t>
      </w:r>
      <w:r w:rsidRPr="00E72418">
        <w:rPr>
          <w:i/>
        </w:rPr>
        <w:t>Allied Bank International</w:t>
      </w:r>
      <w:r w:rsidRPr="00E72418">
        <w:rPr>
          <w:rFonts w:cs="Times New Roman"/>
          <w:shd w:val="clear" w:color="auto" w:fill="FFFFFF"/>
        </w:rPr>
        <w:t xml:space="preserve"> </w:t>
      </w:r>
      <w:r w:rsidR="0004079A" w:rsidRPr="00E72418">
        <w:rPr>
          <w:rFonts w:cs="Times New Roman"/>
          <w:shd w:val="clear" w:color="auto" w:fill="FFFFFF"/>
        </w:rPr>
        <w:t>décida</w:t>
      </w:r>
      <w:r w:rsidR="00590E27" w:rsidRPr="00E72418">
        <w:rPr>
          <w:rFonts w:cs="Times New Roman"/>
          <w:shd w:val="clear" w:color="auto" w:fill="FFFFFF"/>
        </w:rPr>
        <w:t>,</w:t>
      </w:r>
      <w:r w:rsidR="0004079A" w:rsidRPr="00E72418">
        <w:rPr>
          <w:rFonts w:cs="Times New Roman"/>
          <w:shd w:val="clear" w:color="auto" w:fill="FFFFFF"/>
        </w:rPr>
        <w:t xml:space="preserve"> </w:t>
      </w:r>
      <w:r w:rsidR="00590E27" w:rsidRPr="00E72418">
        <w:rPr>
          <w:rFonts w:cs="Times New Roman"/>
          <w:shd w:val="clear" w:color="auto" w:fill="FFFFFF"/>
        </w:rPr>
        <w:t>en application de la théorie de l’</w:t>
      </w:r>
      <w:r w:rsidR="00590E27" w:rsidRPr="00E72418">
        <w:rPr>
          <w:i/>
          <w:shd w:val="clear" w:color="auto" w:fill="FFFFFF"/>
        </w:rPr>
        <w:t>act of State</w:t>
      </w:r>
      <w:r w:rsidR="00590E27" w:rsidRPr="00E72418">
        <w:rPr>
          <w:i/>
        </w:rPr>
        <w:t xml:space="preserve">, </w:t>
      </w:r>
      <w:r w:rsidR="0004079A" w:rsidRPr="00E72418">
        <w:rPr>
          <w:rFonts w:cs="Times New Roman"/>
          <w:shd w:val="clear" w:color="auto" w:fill="FFFFFF"/>
        </w:rPr>
        <w:t>qu’</w:t>
      </w:r>
      <w:r w:rsidR="002775DD" w:rsidRPr="00E72418">
        <w:rPr>
          <w:rFonts w:cs="Times New Roman"/>
          <w:shd w:val="clear" w:color="auto" w:fill="FFFFFF"/>
        </w:rPr>
        <w:t xml:space="preserve"> </w:t>
      </w:r>
      <w:r w:rsidR="002775DD" w:rsidRPr="00E72418">
        <w:t>«</w:t>
      </w:r>
      <w:r w:rsidR="002775DD" w:rsidRPr="00E72418">
        <w:rPr>
          <w:rFonts w:cs="Times New Roman"/>
        </w:rPr>
        <w:t xml:space="preserve"> </w:t>
      </w:r>
      <w:r w:rsidR="002775DD" w:rsidRPr="00E72418">
        <w:rPr>
          <w:rFonts w:ascii="Times New Roman" w:hAnsi="Times New Roman" w:cs="Times New Roman"/>
        </w:rPr>
        <w:t>[a]</w:t>
      </w:r>
      <w:r w:rsidR="002775DD" w:rsidRPr="00E72418">
        <w:rPr>
          <w:rFonts w:cs="Times New Roman"/>
        </w:rPr>
        <w:t xml:space="preserve"> judgment in favor of Allied in this case would constitute a judicial determination that defendants </w:t>
      </w:r>
      <w:r w:rsidR="004D776A" w:rsidRPr="00E72418">
        <w:rPr>
          <w:rFonts w:cs="Times New Roman"/>
        </w:rPr>
        <w:t>(</w:t>
      </w:r>
      <w:r w:rsidR="004D776A" w:rsidRPr="00E72418">
        <w:rPr>
          <w:rFonts w:cs="Times New Roman"/>
          <w:i/>
        </w:rPr>
        <w:t>i.e.</w:t>
      </w:r>
      <w:r w:rsidR="004D776A" w:rsidRPr="00E72418">
        <w:rPr>
          <w:rFonts w:cs="Times New Roman"/>
        </w:rPr>
        <w:t xml:space="preserve"> notamment la </w:t>
      </w:r>
      <w:r w:rsidR="004D776A" w:rsidRPr="00E72418">
        <w:rPr>
          <w:rFonts w:cs="Times New Roman"/>
          <w:i/>
        </w:rPr>
        <w:t>Banco National de Costa Rica</w:t>
      </w:r>
      <w:r w:rsidR="004D776A" w:rsidRPr="00E72418">
        <w:rPr>
          <w:rFonts w:cs="Times New Roman"/>
        </w:rPr>
        <w:t xml:space="preserve">) </w:t>
      </w:r>
      <w:r w:rsidR="002775DD" w:rsidRPr="00E72418">
        <w:rPr>
          <w:rFonts w:cs="Times New Roman"/>
        </w:rPr>
        <w:t xml:space="preserve">must make payments contrary to the directives of their government </w:t>
      </w:r>
      <w:r w:rsidR="002775DD" w:rsidRPr="00E72418">
        <w:t>»</w:t>
      </w:r>
      <w:r w:rsidR="002775DD" w:rsidRPr="00E72418">
        <w:rPr>
          <w:rStyle w:val="Appelnotedebasdep"/>
          <w:rFonts w:cs="Times New Roman"/>
          <w:szCs w:val="24"/>
        </w:rPr>
        <w:footnoteReference w:id="1172"/>
      </w:r>
      <w:r w:rsidR="002775DD" w:rsidRPr="00E72418">
        <w:rPr>
          <w:rFonts w:cs="Times New Roman"/>
        </w:rPr>
        <w:t xml:space="preserve">. Pour la juridiction new-yorkaise, une telle décision </w:t>
      </w:r>
      <w:r w:rsidR="00DA1D45" w:rsidRPr="00E72418">
        <w:rPr>
          <w:rFonts w:cs="Times New Roman"/>
        </w:rPr>
        <w:t>serait</w:t>
      </w:r>
      <w:r w:rsidR="002775DD" w:rsidRPr="00E72418">
        <w:rPr>
          <w:rFonts w:cs="Times New Roman"/>
        </w:rPr>
        <w:t xml:space="preserve"> problématique en ce que </w:t>
      </w:r>
      <w:r w:rsidR="002775DD" w:rsidRPr="00E72418">
        <w:t>«</w:t>
      </w:r>
      <w:r w:rsidR="002775DD" w:rsidRPr="00E72418">
        <w:rPr>
          <w:rFonts w:cs="Times New Roman"/>
        </w:rPr>
        <w:t xml:space="preserve"> </w:t>
      </w:r>
      <w:r w:rsidR="002775DD" w:rsidRPr="00E72418">
        <w:rPr>
          <w:rFonts w:ascii="Times New Roman" w:hAnsi="Times New Roman" w:cs="Times New Roman"/>
        </w:rPr>
        <w:t>[t]</w:t>
      </w:r>
      <w:r w:rsidR="002775DD" w:rsidRPr="00E72418">
        <w:rPr>
          <w:rFonts w:cs="Times New Roman"/>
        </w:rPr>
        <w:t xml:space="preserve">his puts the judicial branch of the United States at odds with policies laid down by a foreign government on an issue deemed by that government to be of central importance </w:t>
      </w:r>
      <w:r w:rsidR="002775DD" w:rsidRPr="00E72418">
        <w:t>»</w:t>
      </w:r>
      <w:r w:rsidR="002775DD" w:rsidRPr="00E72418">
        <w:rPr>
          <w:rFonts w:cs="Times New Roman"/>
        </w:rPr>
        <w:t xml:space="preserve"> et que </w:t>
      </w:r>
      <w:r w:rsidR="002775DD" w:rsidRPr="00E72418">
        <w:t xml:space="preserve">« </w:t>
      </w:r>
      <w:r w:rsidR="002775DD" w:rsidRPr="00E72418">
        <w:rPr>
          <w:rFonts w:ascii="Times New Roman" w:hAnsi="Times New Roman" w:cs="Times New Roman"/>
        </w:rPr>
        <w:t>[s]</w:t>
      </w:r>
      <w:r w:rsidR="002775DD" w:rsidRPr="00E72418">
        <w:rPr>
          <w:rFonts w:cs="Times New Roman"/>
        </w:rPr>
        <w:t>uch an act by this court risks embarrassment to the relations between the executive branch of the United States and the government of Costa Rica</w:t>
      </w:r>
      <w:r w:rsidR="002775DD" w:rsidRPr="00E72418">
        <w:t xml:space="preserve"> »</w:t>
      </w:r>
      <w:r w:rsidR="002775DD" w:rsidRPr="00E72418">
        <w:rPr>
          <w:rStyle w:val="Appelnotedebasdep"/>
          <w:rFonts w:cs="Times New Roman"/>
          <w:szCs w:val="24"/>
        </w:rPr>
        <w:footnoteReference w:id="1173"/>
      </w:r>
      <w:r w:rsidR="002775DD" w:rsidRPr="00E72418">
        <w:t>.</w:t>
      </w:r>
      <w:r w:rsidR="002775DD" w:rsidRPr="00E72418">
        <w:rPr>
          <w:rFonts w:ascii="Times New Roman" w:hAnsi="Times New Roman" w:cs="Times New Roman"/>
        </w:rPr>
        <w:t xml:space="preserve"> </w:t>
      </w:r>
      <w:r w:rsidR="002775DD" w:rsidRPr="00E72418">
        <w:t xml:space="preserve">En appel, la </w:t>
      </w:r>
      <w:r w:rsidR="002775DD" w:rsidRPr="00735BBE">
        <w:rPr>
          <w:rFonts w:cs="Times New Roman"/>
          <w:shd w:val="clear" w:color="auto" w:fill="FFFFFF"/>
        </w:rPr>
        <w:t xml:space="preserve">United States Court of Appeals for the Second Circuit </w:t>
      </w:r>
      <w:r w:rsidR="002775DD" w:rsidRPr="00E72418">
        <w:rPr>
          <w:rFonts w:cs="Times New Roman"/>
          <w:shd w:val="clear" w:color="auto" w:fill="FFFFFF"/>
        </w:rPr>
        <w:t xml:space="preserve">maintint la décision </w:t>
      </w:r>
      <w:r w:rsidR="00CF3ABE" w:rsidRPr="00E72418">
        <w:rPr>
          <w:rFonts w:cs="Times New Roman"/>
          <w:shd w:val="clear" w:color="auto" w:fill="FFFFFF"/>
        </w:rPr>
        <w:t xml:space="preserve">mais fut toutefois </w:t>
      </w:r>
      <w:r w:rsidR="002775DD" w:rsidRPr="00E72418">
        <w:rPr>
          <w:rFonts w:cs="Times New Roman"/>
          <w:shd w:val="clear" w:color="auto" w:fill="FFFFFF"/>
        </w:rPr>
        <w:t>d’avis</w:t>
      </w:r>
      <w:r w:rsidR="00590E27" w:rsidRPr="00E72418">
        <w:rPr>
          <w:rFonts w:cs="Times New Roman"/>
          <w:shd w:val="clear" w:color="auto" w:fill="FFFFFF"/>
        </w:rPr>
        <w:t xml:space="preserve"> </w:t>
      </w:r>
      <w:r w:rsidR="002775DD" w:rsidRPr="00E72418">
        <w:rPr>
          <w:rFonts w:cs="Times New Roman"/>
          <w:shd w:val="clear" w:color="auto" w:fill="FFFFFF"/>
        </w:rPr>
        <w:t>que la juridiction de première</w:t>
      </w:r>
      <w:r w:rsidR="00E34B4F" w:rsidRPr="00E72418">
        <w:rPr>
          <w:rFonts w:cs="Times New Roman"/>
          <w:shd w:val="clear" w:color="auto" w:fill="FFFFFF"/>
        </w:rPr>
        <w:t xml:space="preserve"> instance eut dû accorder la </w:t>
      </w:r>
      <w:r w:rsidR="00E34B4F" w:rsidRPr="00E72418">
        <w:rPr>
          <w:rFonts w:cs="Times New Roman"/>
          <w:i/>
          <w:shd w:val="clear" w:color="auto" w:fill="FFFFFF"/>
        </w:rPr>
        <w:t>comity</w:t>
      </w:r>
      <w:r w:rsidR="002775DD" w:rsidRPr="00E72418">
        <w:rPr>
          <w:rFonts w:cs="Times New Roman"/>
          <w:shd w:val="clear" w:color="auto" w:fill="FFFFFF"/>
        </w:rPr>
        <w:t xml:space="preserve"> </w:t>
      </w:r>
      <w:r w:rsidR="00FF5E08" w:rsidRPr="00E72418">
        <w:rPr>
          <w:rFonts w:cs="Times New Roman"/>
          <w:shd w:val="clear" w:color="auto" w:fill="FFFFFF"/>
        </w:rPr>
        <w:t>aux actes du G</w:t>
      </w:r>
      <w:r w:rsidR="00D15C80" w:rsidRPr="00E72418">
        <w:rPr>
          <w:rFonts w:cs="Times New Roman"/>
          <w:shd w:val="clear" w:color="auto" w:fill="FFFFFF"/>
        </w:rPr>
        <w:t>ouvernement costa</w:t>
      </w:r>
      <w:r w:rsidR="009D58FE" w:rsidRPr="00E72418">
        <w:rPr>
          <w:rFonts w:cs="Times New Roman"/>
          <w:shd w:val="clear" w:color="auto" w:fill="FFFFFF"/>
        </w:rPr>
        <w:t>ricie</w:t>
      </w:r>
      <w:r w:rsidR="002775DD" w:rsidRPr="00E72418">
        <w:rPr>
          <w:rFonts w:cs="Times New Roman"/>
          <w:shd w:val="clear" w:color="auto" w:fill="FFFFFF"/>
        </w:rPr>
        <w:t>n</w:t>
      </w:r>
      <w:r w:rsidR="002775DD" w:rsidRPr="00E72418">
        <w:rPr>
          <w:rStyle w:val="Appelnotedebasdep"/>
          <w:rFonts w:cs="Times New Roman"/>
          <w:shd w:val="clear" w:color="auto" w:fill="FFFFFF"/>
        </w:rPr>
        <w:footnoteReference w:id="1174"/>
      </w:r>
      <w:r w:rsidR="002775DD" w:rsidRPr="00E72418">
        <w:rPr>
          <w:rFonts w:cs="Times New Roman"/>
          <w:shd w:val="clear" w:color="auto" w:fill="FFFFFF"/>
        </w:rPr>
        <w:t xml:space="preserve">. Elle </w:t>
      </w:r>
      <w:r w:rsidR="00CF3ABE" w:rsidRPr="00E72418">
        <w:rPr>
          <w:rFonts w:cs="Times New Roman"/>
          <w:shd w:val="clear" w:color="auto" w:fill="FFFFFF"/>
        </w:rPr>
        <w:t>décida</w:t>
      </w:r>
      <w:r w:rsidR="002775DD" w:rsidRPr="00E72418">
        <w:rPr>
          <w:rFonts w:cs="Times New Roman"/>
          <w:shd w:val="clear" w:color="auto" w:fill="FFFFFF"/>
        </w:rPr>
        <w:t xml:space="preserve"> que </w:t>
      </w:r>
      <w:r w:rsidR="002775DD" w:rsidRPr="00E72418">
        <w:rPr>
          <w:rFonts w:cs="Times New Roman"/>
          <w:szCs w:val="24"/>
        </w:rPr>
        <w:t xml:space="preserve">« </w:t>
      </w:r>
      <w:r w:rsidR="002775DD" w:rsidRPr="00E72418">
        <w:rPr>
          <w:rFonts w:ascii="Times New Roman" w:hAnsi="Times New Roman" w:cs="Times New Roman"/>
        </w:rPr>
        <w:t>[t]</w:t>
      </w:r>
      <w:r w:rsidR="002775DD" w:rsidRPr="00E72418">
        <w:rPr>
          <w:rFonts w:cs="Times New Roman"/>
          <w:szCs w:val="24"/>
        </w:rPr>
        <w:t xml:space="preserve">he actions of Costa Rica as a sovereign nation that prevented the timely payment of appellees’ obligations </w:t>
      </w:r>
      <w:r w:rsidR="002775DD" w:rsidRPr="00E72418">
        <w:rPr>
          <w:rFonts w:cs="Times New Roman"/>
          <w:szCs w:val="24"/>
        </w:rPr>
        <w:lastRenderedPageBreak/>
        <w:t>are consistent with our law and policy » et que « Comity considerations demand that the actions of Costa Rica be recognized in the courts of the United States »</w:t>
      </w:r>
      <w:r w:rsidR="002775DD" w:rsidRPr="00E72418">
        <w:rPr>
          <w:rStyle w:val="Appelnotedebasdep"/>
          <w:rFonts w:cs="Times New Roman"/>
          <w:szCs w:val="24"/>
        </w:rPr>
        <w:footnoteReference w:id="1175"/>
      </w:r>
      <w:r w:rsidR="002775DD" w:rsidRPr="00E72418">
        <w:rPr>
          <w:rFonts w:cs="Times New Roman"/>
          <w:szCs w:val="24"/>
        </w:rPr>
        <w:t xml:space="preserve">. </w:t>
      </w:r>
      <w:r w:rsidR="002775DD" w:rsidRPr="00E72418">
        <w:t xml:space="preserve">Comme le relève </w:t>
      </w:r>
      <w:r w:rsidR="00CC15FF" w:rsidRPr="00E72418">
        <w:t xml:space="preserve">Patrick </w:t>
      </w:r>
      <w:r w:rsidR="002775DD" w:rsidRPr="00E72418">
        <w:t>Wautelet, « [t]his decision was certainly influenced in substance by the position of the US government, which had indicated its support for Costa Rica’s attempt to restructure its debts »</w:t>
      </w:r>
      <w:r w:rsidR="002775DD" w:rsidRPr="00E72418">
        <w:rPr>
          <w:rStyle w:val="Appelnotedebasdep"/>
        </w:rPr>
        <w:footnoteReference w:id="1176"/>
      </w:r>
      <w:r w:rsidR="002775DD" w:rsidRPr="00E72418">
        <w:t xml:space="preserve">. </w:t>
      </w:r>
    </w:p>
    <w:p w14:paraId="754DC8B1" w14:textId="1D362F69" w:rsidR="002775DD" w:rsidRPr="00E72418" w:rsidRDefault="002775DD" w:rsidP="00CC4BA8">
      <w:pPr>
        <w:spacing w:line="276" w:lineRule="auto"/>
        <w:rPr>
          <w:rFonts w:cs="Times New Roman"/>
          <w:shd w:val="clear" w:color="auto" w:fill="FFFFFF"/>
        </w:rPr>
      </w:pPr>
      <w:r w:rsidRPr="00E72418">
        <w:rPr>
          <w:rFonts w:cs="Times New Roman"/>
          <w:shd w:val="clear" w:color="auto" w:fill="FFFFFF"/>
        </w:rPr>
        <w:t xml:space="preserve">Dans la </w:t>
      </w:r>
      <w:r w:rsidRPr="00E72418">
        <w:rPr>
          <w:rFonts w:cs="Times New Roman"/>
        </w:rPr>
        <w:t>suite du contentieux</w:t>
      </w:r>
      <w:r w:rsidR="006220E4" w:rsidRPr="00E72418">
        <w:rPr>
          <w:rFonts w:cs="Times New Roman"/>
        </w:rPr>
        <w:t xml:space="preserve"> costaricien</w:t>
      </w:r>
      <w:r w:rsidRPr="00E72418">
        <w:rPr>
          <w:rFonts w:cs="Times New Roman"/>
        </w:rPr>
        <w:t xml:space="preserve">, la </w:t>
      </w:r>
      <w:r w:rsidRPr="00735BBE">
        <w:rPr>
          <w:rFonts w:cs="Times New Roman"/>
          <w:shd w:val="clear" w:color="auto" w:fill="FFFFFF"/>
        </w:rPr>
        <w:t xml:space="preserve">United States Court of Appeals for the Second Circuit </w:t>
      </w:r>
      <w:r w:rsidR="00CF3ABE" w:rsidRPr="00E72418">
        <w:rPr>
          <w:rFonts w:cs="Times New Roman"/>
          <w:shd w:val="clear" w:color="auto" w:fill="FFFFFF"/>
        </w:rPr>
        <w:t>fit</w:t>
      </w:r>
      <w:r w:rsidRPr="00E72418">
        <w:rPr>
          <w:rFonts w:cs="Times New Roman"/>
          <w:shd w:val="clear" w:color="auto" w:fill="FFFFFF"/>
        </w:rPr>
        <w:t xml:space="preserve"> volte-face en écartant tant l’argument de l’</w:t>
      </w:r>
      <w:r w:rsidR="00387252" w:rsidRPr="00E72418">
        <w:rPr>
          <w:rFonts w:cs="Times New Roman"/>
          <w:i/>
          <w:shd w:val="clear" w:color="auto" w:fill="FFFFFF"/>
        </w:rPr>
        <w:t>a</w:t>
      </w:r>
      <w:r w:rsidRPr="00E72418">
        <w:rPr>
          <w:rFonts w:cs="Times New Roman"/>
          <w:i/>
          <w:shd w:val="clear" w:color="auto" w:fill="FFFFFF"/>
        </w:rPr>
        <w:t xml:space="preserve">ct of State </w:t>
      </w:r>
      <w:r w:rsidRPr="00E72418">
        <w:rPr>
          <w:rFonts w:cs="Times New Roman"/>
          <w:shd w:val="clear" w:color="auto" w:fill="FFFFFF"/>
        </w:rPr>
        <w:t xml:space="preserve">que celui de la </w:t>
      </w:r>
      <w:r w:rsidR="00387252" w:rsidRPr="00E72418">
        <w:rPr>
          <w:rFonts w:cs="Times New Roman"/>
          <w:i/>
          <w:shd w:val="clear" w:color="auto" w:fill="FFFFFF"/>
        </w:rPr>
        <w:t>c</w:t>
      </w:r>
      <w:r w:rsidRPr="00E72418">
        <w:rPr>
          <w:rFonts w:cs="Times New Roman"/>
          <w:i/>
          <w:shd w:val="clear" w:color="auto" w:fill="FFFFFF"/>
        </w:rPr>
        <w:t>omity</w:t>
      </w:r>
      <w:r w:rsidRPr="00E72418">
        <w:rPr>
          <w:rFonts w:cs="Times New Roman"/>
          <w:shd w:val="clear" w:color="auto" w:fill="FFFFFF"/>
        </w:rPr>
        <w:t xml:space="preserve">. </w:t>
      </w:r>
      <w:r w:rsidRPr="00E72418">
        <w:t>En réalité, il apparaissait que le</w:t>
      </w:r>
      <w:r w:rsidR="00FF5E08" w:rsidRPr="00E72418">
        <w:t xml:space="preserve"> soutien du G</w:t>
      </w:r>
      <w:r w:rsidR="00CF3ABE" w:rsidRPr="00E72418">
        <w:t xml:space="preserve">ouvernement étatsunien devait être nuancé en ce qu’il </w:t>
      </w:r>
      <w:r w:rsidRPr="00E72418">
        <w:t>faisait une distinction entre</w:t>
      </w:r>
      <w:r w:rsidR="00CF3ABE" w:rsidRPr="00E72418">
        <w:t>, d’une part,</w:t>
      </w:r>
      <w:r w:rsidRPr="00E72418">
        <w:t xml:space="preserve"> les dettes d</w:t>
      </w:r>
      <w:r w:rsidR="00CF3ABE" w:rsidRPr="00E72418">
        <w:t xml:space="preserve">ues à des créanciers publics, d’autre part, </w:t>
      </w:r>
      <w:r w:rsidRPr="00E72418">
        <w:t>les obligations</w:t>
      </w:r>
      <w:r w:rsidR="00CF3ABE" w:rsidRPr="00E72418">
        <w:t xml:space="preserve"> dues à des créanciers privés p</w:t>
      </w:r>
      <w:r w:rsidRPr="00E72418">
        <w:t xml:space="preserve">our </w:t>
      </w:r>
      <w:r w:rsidR="00CF3ABE" w:rsidRPr="00E72418">
        <w:t>lesquelles</w:t>
      </w:r>
      <w:r w:rsidRPr="00E72418">
        <w:t xml:space="preserve"> « Costa Rica’s attempted unilateral restructuring of private obligations</w:t>
      </w:r>
      <w:r w:rsidR="00CF3ABE" w:rsidRPr="00E72418">
        <w:t xml:space="preserve"> […] </w:t>
      </w:r>
      <w:r w:rsidRPr="00E72418">
        <w:t>was inconsistent with this system of international cooperation and negotiation and thus inconsistent with United States policy »</w:t>
      </w:r>
      <w:r w:rsidRPr="00E72418">
        <w:rPr>
          <w:rStyle w:val="Appelnotedebasdep"/>
        </w:rPr>
        <w:footnoteReference w:id="1177"/>
      </w:r>
      <w:r w:rsidRPr="00E72418">
        <w:t>.</w:t>
      </w:r>
      <w:r w:rsidR="00462CD0" w:rsidRPr="00E72418">
        <w:rPr>
          <w:rFonts w:cs="Times New Roman"/>
          <w:shd w:val="clear" w:color="auto" w:fill="FFFFFF"/>
        </w:rPr>
        <w:t xml:space="preserve"> La c</w:t>
      </w:r>
      <w:r w:rsidR="00CF3ABE" w:rsidRPr="00E72418">
        <w:rPr>
          <w:rFonts w:cs="Times New Roman"/>
          <w:shd w:val="clear" w:color="auto" w:fill="FFFFFF"/>
        </w:rPr>
        <w:t>our d’appel</w:t>
      </w:r>
      <w:r w:rsidR="00387252" w:rsidRPr="00E72418">
        <w:rPr>
          <w:rFonts w:cs="Times New Roman"/>
          <w:shd w:val="clear" w:color="auto" w:fill="FFFFFF"/>
        </w:rPr>
        <w:t xml:space="preserve"> décida que l’argument de l’</w:t>
      </w:r>
      <w:r w:rsidR="00387252" w:rsidRPr="00E72418">
        <w:rPr>
          <w:rFonts w:cs="Times New Roman"/>
          <w:i/>
          <w:shd w:val="clear" w:color="auto" w:fill="FFFFFF"/>
        </w:rPr>
        <w:t>a</w:t>
      </w:r>
      <w:r w:rsidRPr="00E72418">
        <w:rPr>
          <w:rFonts w:cs="Times New Roman"/>
          <w:i/>
          <w:shd w:val="clear" w:color="auto" w:fill="FFFFFF"/>
        </w:rPr>
        <w:t>ct of State</w:t>
      </w:r>
      <w:r w:rsidRPr="00E72418">
        <w:rPr>
          <w:rFonts w:cs="Times New Roman"/>
        </w:rPr>
        <w:t xml:space="preserve"> n’a</w:t>
      </w:r>
      <w:r w:rsidR="00CF3ABE" w:rsidRPr="00E72418">
        <w:rPr>
          <w:rFonts w:cs="Times New Roman"/>
        </w:rPr>
        <w:t>vait</w:t>
      </w:r>
      <w:r w:rsidRPr="00E72418">
        <w:rPr>
          <w:rFonts w:cs="Times New Roman"/>
        </w:rPr>
        <w:t xml:space="preserve"> pas à s’appliquer dans la mesure où « the situs of the debt was in the United States, not in Costa Rica »</w:t>
      </w:r>
      <w:r w:rsidRPr="00E72418">
        <w:rPr>
          <w:rStyle w:val="Appelnotedebasdep"/>
          <w:rFonts w:cs="Times New Roman"/>
          <w:szCs w:val="24"/>
          <w:shd w:val="clear" w:color="auto" w:fill="FFFFFF"/>
        </w:rPr>
        <w:footnoteReference w:id="1178"/>
      </w:r>
      <w:r w:rsidRPr="00E72418">
        <w:rPr>
          <w:rFonts w:cs="Times New Roman"/>
        </w:rPr>
        <w:t xml:space="preserve">. </w:t>
      </w:r>
      <w:r w:rsidRPr="00E72418">
        <w:rPr>
          <w:shd w:val="clear" w:color="auto" w:fill="FFFFFF"/>
        </w:rPr>
        <w:t xml:space="preserve">L’argument de la </w:t>
      </w:r>
      <w:r w:rsidR="00E34B4F" w:rsidRPr="00E72418">
        <w:rPr>
          <w:i/>
          <w:shd w:val="clear" w:color="auto" w:fill="FFFFFF"/>
        </w:rPr>
        <w:t>Comity</w:t>
      </w:r>
      <w:r w:rsidR="00032559" w:rsidRPr="00E72418">
        <w:t xml:space="preserve"> ne devait pas davantage </w:t>
      </w:r>
      <w:r w:rsidRPr="00E72418">
        <w:t xml:space="preserve">être suivi </w:t>
      </w:r>
      <w:r w:rsidRPr="00E72418">
        <w:rPr>
          <w:shd w:val="clear" w:color="auto" w:fill="FFFFFF"/>
        </w:rPr>
        <w:t>dans l</w:t>
      </w:r>
      <w:r w:rsidR="0004079A" w:rsidRPr="00E72418">
        <w:rPr>
          <w:shd w:val="clear" w:color="auto" w:fill="FFFFFF"/>
        </w:rPr>
        <w:t xml:space="preserve">a mesure où </w:t>
      </w:r>
      <w:r w:rsidR="00032559" w:rsidRPr="00E72418">
        <w:rPr>
          <w:shd w:val="clear" w:color="auto" w:fill="FFFFFF"/>
        </w:rPr>
        <w:t>la Cour indiquait</w:t>
      </w:r>
      <w:r w:rsidR="0004079A" w:rsidRPr="00E72418">
        <w:rPr>
          <w:shd w:val="clear" w:color="auto" w:fill="FFFFFF"/>
        </w:rPr>
        <w:t xml:space="preserve"> qu’</w:t>
      </w:r>
      <w:r w:rsidRPr="00E72418">
        <w:rPr>
          <w:shd w:val="clear" w:color="auto" w:fill="FFFFFF"/>
        </w:rPr>
        <w:t xml:space="preserve"> </w:t>
      </w:r>
      <w:r w:rsidRPr="00E72418">
        <w:t xml:space="preserve">« </w:t>
      </w:r>
      <w:r w:rsidRPr="00E72418">
        <w:rPr>
          <w:rFonts w:ascii="Times New Roman" w:hAnsi="Times New Roman"/>
        </w:rPr>
        <w:t>[i]</w:t>
      </w:r>
      <w:r w:rsidRPr="00E72418">
        <w:t>n light of the government’s elucidation of its position, we believe that our earlier interpretation of United States policy was wrong »</w:t>
      </w:r>
      <w:r w:rsidRPr="00E72418">
        <w:rPr>
          <w:rStyle w:val="Appelnotedebasdep"/>
          <w:rFonts w:cs="Times New Roman"/>
          <w:szCs w:val="24"/>
        </w:rPr>
        <w:footnoteReference w:id="1179"/>
      </w:r>
      <w:r w:rsidRPr="00E72418">
        <w:t>.</w:t>
      </w:r>
      <w:r w:rsidRPr="00E72418">
        <w:rPr>
          <w:shd w:val="clear" w:color="auto" w:fill="FFFFFF"/>
        </w:rPr>
        <w:t xml:space="preserve"> </w:t>
      </w:r>
      <w:r w:rsidRPr="00E72418">
        <w:rPr>
          <w:rStyle w:val="injectednode"/>
          <w:rFonts w:cs="Times New Roman"/>
          <w:szCs w:val="24"/>
          <w:bdr w:val="none" w:sz="0" w:space="0" w:color="auto" w:frame="1"/>
        </w:rPr>
        <w:t xml:space="preserve">De l’avis de la Cour, </w:t>
      </w:r>
      <w:r w:rsidRPr="00E72418">
        <w:t xml:space="preserve">« </w:t>
      </w:r>
      <w:r w:rsidRPr="00E72418">
        <w:rPr>
          <w:rFonts w:ascii="Times New Roman" w:hAnsi="Times New Roman"/>
        </w:rPr>
        <w:t>[t]</w:t>
      </w:r>
      <w:r w:rsidRPr="00E72418">
        <w:t>he Costa Rican government’s unilateral attempt to repudiate private, commercial obligations is inconsistent with the orderly resolution of international debt problems. It is similarly contrary to the interests of the United States, a major source of private international credit »</w:t>
      </w:r>
      <w:r w:rsidRPr="00E72418">
        <w:rPr>
          <w:rStyle w:val="Appelnotedebasdep"/>
          <w:rFonts w:cs="Times New Roman"/>
          <w:szCs w:val="24"/>
        </w:rPr>
        <w:footnoteReference w:id="1180"/>
      </w:r>
      <w:r w:rsidRPr="00E72418">
        <w:t xml:space="preserve">. La Cour, après avoir rappelé la place centrale des </w:t>
      </w:r>
      <w:r w:rsidRPr="00E72418">
        <w:rPr>
          <w:lang w:eastAsia="fr-BE"/>
        </w:rPr>
        <w:t>É</w:t>
      </w:r>
      <w:r w:rsidRPr="00E72418">
        <w:t xml:space="preserve">tats-Unis, et singulièrement </w:t>
      </w:r>
      <w:r w:rsidR="00032559" w:rsidRPr="00E72418">
        <w:t xml:space="preserve">celle </w:t>
      </w:r>
      <w:r w:rsidRPr="00E72418">
        <w:t xml:space="preserve">de New York, en matière de </w:t>
      </w:r>
      <w:r w:rsidR="00032559" w:rsidRPr="00E72418">
        <w:t>commerce international, expliqua</w:t>
      </w:r>
      <w:r w:rsidRPr="00E72418">
        <w:t xml:space="preserve"> que « </w:t>
      </w:r>
      <w:r w:rsidRPr="00E72418">
        <w:rPr>
          <w:rFonts w:ascii="Times New Roman" w:hAnsi="Times New Roman"/>
        </w:rPr>
        <w:t>[t]</w:t>
      </w:r>
      <w:r w:rsidRPr="00E72418">
        <w:t>he United States has an interest in ensuring that creditors entitled to payment in the United States in United States dollars under contracts subject to the jurisdiction of United States courts may assume that, except under the most extraordinary circumstances, their rights will be determined in accordance with recognized principles of contract law »</w:t>
      </w:r>
      <w:r w:rsidRPr="00E72418">
        <w:rPr>
          <w:rStyle w:val="Appelnotedebasdep"/>
          <w:rFonts w:cs="Times New Roman"/>
          <w:szCs w:val="24"/>
        </w:rPr>
        <w:footnoteReference w:id="1181"/>
      </w:r>
      <w:r w:rsidRPr="00E72418">
        <w:t xml:space="preserve">. </w:t>
      </w:r>
      <w:r w:rsidR="00032559" w:rsidRPr="00E72418">
        <w:t>Ainsi, l</w:t>
      </w:r>
      <w:r w:rsidRPr="00E72418">
        <w:t>es actes d’</w:t>
      </w:r>
      <w:r w:rsidRPr="00E72418">
        <w:rPr>
          <w:lang w:eastAsia="fr-BE"/>
        </w:rPr>
        <w:t>É</w:t>
      </w:r>
      <w:r w:rsidRPr="00E72418">
        <w:t xml:space="preserve">tats étrangers ne sauraient bénéficier de la protection de la </w:t>
      </w:r>
      <w:r w:rsidRPr="00E72418">
        <w:rPr>
          <w:i/>
        </w:rPr>
        <w:t>comity</w:t>
      </w:r>
      <w:r w:rsidRPr="00E72418">
        <w:t xml:space="preserve"> lorsqu’un tel bénéfice serait contraire aux législations et aux politiques </w:t>
      </w:r>
      <w:r w:rsidR="00032559" w:rsidRPr="00E72418">
        <w:t>étatsuniennes</w:t>
      </w:r>
      <w:r w:rsidRPr="00E72418">
        <w:rPr>
          <w:rStyle w:val="Appelnotedebasdep"/>
          <w:rFonts w:cs="Times New Roman"/>
          <w:szCs w:val="24"/>
        </w:rPr>
        <w:footnoteReference w:id="1182"/>
      </w:r>
      <w:r w:rsidRPr="00E72418">
        <w:t>.</w:t>
      </w:r>
      <w:bookmarkEnd w:id="264"/>
    </w:p>
    <w:p w14:paraId="44191FE4" w14:textId="77777777" w:rsidR="006220E4" w:rsidRPr="00E72418" w:rsidRDefault="002775DD" w:rsidP="00CC4BA8">
      <w:pPr>
        <w:spacing w:line="276" w:lineRule="auto"/>
      </w:pPr>
      <w:r w:rsidRPr="00E72418">
        <w:t xml:space="preserve">Après l’affaire </w:t>
      </w:r>
      <w:r w:rsidRPr="00E72418">
        <w:rPr>
          <w:i/>
        </w:rPr>
        <w:t>Allied Bank International v. Banco Credito Agricola de Cartago</w:t>
      </w:r>
      <w:r w:rsidR="00032559" w:rsidRPr="00E72418">
        <w:t>, les juridictions étatsuniennes eurent à nouveau à connaître, dans l’</w:t>
      </w:r>
      <w:r w:rsidRPr="00E72418">
        <w:t xml:space="preserve">affaire </w:t>
      </w:r>
      <w:r w:rsidRPr="00E72418">
        <w:rPr>
          <w:i/>
        </w:rPr>
        <w:t>Pravin Banker Assocs. v. Banco Popular del Peru</w:t>
      </w:r>
      <w:r w:rsidR="00032559" w:rsidRPr="00E72418">
        <w:t>,</w:t>
      </w:r>
      <w:r w:rsidR="00032559" w:rsidRPr="00E72418">
        <w:rPr>
          <w:b/>
          <w:i/>
        </w:rPr>
        <w:t xml:space="preserve"> </w:t>
      </w:r>
      <w:r w:rsidR="00032559" w:rsidRPr="00E72418">
        <w:t>de l’</w:t>
      </w:r>
      <w:r w:rsidRPr="00E72418">
        <w:t xml:space="preserve">argument de la </w:t>
      </w:r>
      <w:r w:rsidR="00032559" w:rsidRPr="00E72418">
        <w:rPr>
          <w:i/>
        </w:rPr>
        <w:t>comity</w:t>
      </w:r>
      <w:r w:rsidR="00032559" w:rsidRPr="00E72418">
        <w:t xml:space="preserve"> invoqué par un </w:t>
      </w:r>
      <w:r w:rsidRPr="00E72418">
        <w:rPr>
          <w:lang w:eastAsia="fr-BE"/>
        </w:rPr>
        <w:t>É</w:t>
      </w:r>
      <w:r w:rsidRPr="00E72418">
        <w:t xml:space="preserve">tat </w:t>
      </w:r>
      <w:r w:rsidR="00E34B4F" w:rsidRPr="00E72418">
        <w:t>débiteur</w:t>
      </w:r>
      <w:r w:rsidR="00032559" w:rsidRPr="00E72418">
        <w:t xml:space="preserve"> attaqué par un de ses créanciers sur sa dette souveraine</w:t>
      </w:r>
      <w:r w:rsidRPr="00E72418">
        <w:t xml:space="preserve">. </w:t>
      </w:r>
      <w:r w:rsidRPr="00E72418">
        <w:rPr>
          <w:shd w:val="clear" w:color="auto" w:fill="FFFFFF"/>
        </w:rPr>
        <w:t xml:space="preserve">Dans sa décision du 24 février 1994, la </w:t>
      </w:r>
      <w:r w:rsidRPr="00735BBE">
        <w:rPr>
          <w:shd w:val="clear" w:color="auto" w:fill="FFFFFF"/>
        </w:rPr>
        <w:t>United States District Court for the Southern District of New York</w:t>
      </w:r>
      <w:r w:rsidRPr="00E72418">
        <w:rPr>
          <w:shd w:val="clear" w:color="auto" w:fill="FFFFFF"/>
        </w:rPr>
        <w:t xml:space="preserve"> </w:t>
      </w:r>
      <w:r w:rsidR="00032559" w:rsidRPr="00E72418">
        <w:rPr>
          <w:shd w:val="clear" w:color="auto" w:fill="FFFFFF"/>
        </w:rPr>
        <w:t>fi</w:t>
      </w:r>
      <w:r w:rsidR="00E34B4F" w:rsidRPr="00E72418">
        <w:rPr>
          <w:shd w:val="clear" w:color="auto" w:fill="FFFFFF"/>
        </w:rPr>
        <w:t xml:space="preserve">t droit à la défense de la </w:t>
      </w:r>
      <w:r w:rsidR="00E34B4F" w:rsidRPr="00E72418">
        <w:rPr>
          <w:i/>
          <w:shd w:val="clear" w:color="auto" w:fill="FFFFFF"/>
        </w:rPr>
        <w:t>comity</w:t>
      </w:r>
      <w:r w:rsidRPr="00E72418">
        <w:rPr>
          <w:shd w:val="clear" w:color="auto" w:fill="FFFFFF"/>
        </w:rPr>
        <w:t xml:space="preserve"> avancée par le Pérou</w:t>
      </w:r>
      <w:r w:rsidR="00032559" w:rsidRPr="00E72418">
        <w:rPr>
          <w:shd w:val="clear" w:color="auto" w:fill="FFFFFF"/>
        </w:rPr>
        <w:t xml:space="preserve"> en </w:t>
      </w:r>
      <w:r w:rsidR="0004079A" w:rsidRPr="00E72418">
        <w:t>rappela</w:t>
      </w:r>
      <w:r w:rsidR="00032559" w:rsidRPr="00E72418">
        <w:t>nt</w:t>
      </w:r>
      <w:r w:rsidR="0004079A" w:rsidRPr="00E72418">
        <w:t xml:space="preserve"> qu’</w:t>
      </w:r>
      <w:r w:rsidRPr="00E72418">
        <w:t xml:space="preserve"> « </w:t>
      </w:r>
      <w:r w:rsidRPr="00E72418">
        <w:rPr>
          <w:rFonts w:ascii="Times New Roman" w:hAnsi="Times New Roman" w:cs="Times New Roman"/>
        </w:rPr>
        <w:t>[u]</w:t>
      </w:r>
      <w:r w:rsidRPr="00E72418">
        <w:t xml:space="preserve">nder principles of international comity, acts of foreign </w:t>
      </w:r>
      <w:r w:rsidRPr="00E72418">
        <w:lastRenderedPageBreak/>
        <w:t xml:space="preserve">governments which are consistent with United States law and policy may not be reviewed by courts » et </w:t>
      </w:r>
      <w:r w:rsidR="00032559" w:rsidRPr="00E72418">
        <w:t xml:space="preserve">en </w:t>
      </w:r>
      <w:r w:rsidRPr="00E72418">
        <w:t>analysa</w:t>
      </w:r>
      <w:r w:rsidR="00032559" w:rsidRPr="00E72418">
        <w:t>nt</w:t>
      </w:r>
      <w:r w:rsidRPr="00E72418">
        <w:t xml:space="preserve"> que « sufficient evidence has been presented to indicate that Peru is in compliance with the mandates of U.S. policy »</w:t>
      </w:r>
      <w:r w:rsidRPr="00E72418">
        <w:rPr>
          <w:rStyle w:val="Appelnotedebasdep"/>
          <w:rFonts w:cs="Times New Roman"/>
          <w:szCs w:val="24"/>
        </w:rPr>
        <w:footnoteReference w:id="1183"/>
      </w:r>
      <w:r w:rsidRPr="00E72418">
        <w:t xml:space="preserve">. </w:t>
      </w:r>
      <w:r w:rsidR="006220E4" w:rsidRPr="00E72418">
        <w:t>Afin de rendre possible la restructuration péruvienne, la juridiction new-yorkaise décida d’une suspension des poursuites, par la suite prolongée</w:t>
      </w:r>
      <w:r w:rsidRPr="00E72418">
        <w:rPr>
          <w:rStyle w:val="Appelnotedebasdep"/>
        </w:rPr>
        <w:footnoteReference w:id="1184"/>
      </w:r>
      <w:r w:rsidR="006220E4" w:rsidRPr="00E72418">
        <w:t>.</w:t>
      </w:r>
    </w:p>
    <w:p w14:paraId="12E955C2" w14:textId="5A59EA8D" w:rsidR="002775DD" w:rsidRPr="00E72418" w:rsidRDefault="006F23BB" w:rsidP="00CC4BA8">
      <w:pPr>
        <w:spacing w:line="276" w:lineRule="auto"/>
      </w:pPr>
      <w:r>
        <w:t>Le contentieux péruvien se poursuivit</w:t>
      </w:r>
      <w:r w:rsidR="006220E4" w:rsidRPr="00E72418">
        <w:t xml:space="preserve"> devant </w:t>
      </w:r>
      <w:r w:rsidR="002775DD" w:rsidRPr="00E72418">
        <w:t xml:space="preserve">la </w:t>
      </w:r>
      <w:r w:rsidR="002775DD" w:rsidRPr="00735BBE">
        <w:rPr>
          <w:bCs/>
        </w:rPr>
        <w:t>United States Court of Appeals for the Second Circuit</w:t>
      </w:r>
      <w:r w:rsidR="002775DD" w:rsidRPr="00735BBE">
        <w:t xml:space="preserve"> </w:t>
      </w:r>
      <w:r w:rsidR="006220E4" w:rsidRPr="00E72418">
        <w:t xml:space="preserve">qui, dans une décision du 25 mars 1997, </w:t>
      </w:r>
      <w:r w:rsidR="0004079A" w:rsidRPr="00E72418">
        <w:rPr>
          <w:rFonts w:ascii="Times New Roman" w:hAnsi="Times New Roman" w:cs="Times New Roman"/>
          <w:szCs w:val="24"/>
        </w:rPr>
        <w:t>retint qu’</w:t>
      </w:r>
      <w:r w:rsidR="002775DD" w:rsidRPr="00E72418">
        <w:rPr>
          <w:rFonts w:ascii="Times New Roman" w:hAnsi="Times New Roman" w:cs="Times New Roman"/>
          <w:szCs w:val="24"/>
        </w:rPr>
        <w:t xml:space="preserve"> « extending comity to Peru’s debt negotiations is only appropriate if it is consistent with Un</w:t>
      </w:r>
      <w:r w:rsidR="00DA6E4E" w:rsidRPr="00E72418">
        <w:rPr>
          <w:rFonts w:ascii="Times New Roman" w:hAnsi="Times New Roman" w:cs="Times New Roman"/>
          <w:szCs w:val="24"/>
        </w:rPr>
        <w:t>ited States government policy ». L</w:t>
      </w:r>
      <w:r w:rsidR="00462CD0" w:rsidRPr="00E72418">
        <w:rPr>
          <w:rFonts w:ascii="Times New Roman" w:hAnsi="Times New Roman" w:cs="Times New Roman"/>
          <w:szCs w:val="24"/>
        </w:rPr>
        <w:t>a c</w:t>
      </w:r>
      <w:r w:rsidR="002775DD" w:rsidRPr="00E72418">
        <w:rPr>
          <w:rFonts w:ascii="Times New Roman" w:hAnsi="Times New Roman" w:cs="Times New Roman"/>
          <w:szCs w:val="24"/>
        </w:rPr>
        <w:t>our</w:t>
      </w:r>
      <w:r w:rsidR="00DA6E4E" w:rsidRPr="00E72418">
        <w:rPr>
          <w:rFonts w:ascii="Times New Roman" w:hAnsi="Times New Roman" w:cs="Times New Roman"/>
          <w:szCs w:val="24"/>
        </w:rPr>
        <w:t xml:space="preserve"> d’appel releva</w:t>
      </w:r>
      <w:r w:rsidR="002775DD" w:rsidRPr="00E72418">
        <w:rPr>
          <w:rFonts w:ascii="Times New Roman" w:hAnsi="Times New Roman" w:cs="Times New Roman"/>
          <w:szCs w:val="24"/>
        </w:rPr>
        <w:t xml:space="preserve"> deux aspects de cette politique que sont l’importance de la participation à la restructuration, d’une part, l’exécution des contrats, et singulièrement l’exécution des dettes dues aux prêteurs étatsuniens, d’autre part</w:t>
      </w:r>
      <w:r w:rsidR="002775DD" w:rsidRPr="00E72418">
        <w:rPr>
          <w:rStyle w:val="Appelnotedebasdep"/>
          <w:rFonts w:ascii="Times New Roman" w:hAnsi="Times New Roman" w:cs="Times New Roman"/>
          <w:szCs w:val="24"/>
        </w:rPr>
        <w:footnoteReference w:id="1185"/>
      </w:r>
      <w:r w:rsidR="00DA6E4E" w:rsidRPr="00E72418">
        <w:rPr>
          <w:rFonts w:ascii="Times New Roman" w:hAnsi="Times New Roman" w:cs="Times New Roman"/>
          <w:szCs w:val="24"/>
        </w:rPr>
        <w:t xml:space="preserve">. La juridiction en conclut </w:t>
      </w:r>
      <w:r w:rsidR="002775DD" w:rsidRPr="00E72418">
        <w:rPr>
          <w:rFonts w:ascii="Times New Roman" w:hAnsi="Times New Roman" w:cs="Times New Roman"/>
          <w:szCs w:val="24"/>
        </w:rPr>
        <w:t>que « </w:t>
      </w:r>
      <w:r w:rsidR="002775DD" w:rsidRPr="00E72418">
        <w:rPr>
          <w:rFonts w:ascii="Times New Roman" w:hAnsi="Times New Roman" w:cs="Times New Roman"/>
        </w:rPr>
        <w:t>[t]</w:t>
      </w:r>
      <w:r w:rsidR="002775DD" w:rsidRPr="00E72418">
        <w:rPr>
          <w:rFonts w:ascii="Times New Roman" w:hAnsi="Times New Roman" w:cs="Times New Roman"/>
          <w:szCs w:val="24"/>
        </w:rPr>
        <w:t>his second interest limits the first so that, although the United States advocates negotiations to effect debt reduction and continued lending to defaulting foreign sovereigns, it maintains that creditor participation in such negotiations should be on a st</w:t>
      </w:r>
      <w:r w:rsidR="0004079A" w:rsidRPr="00E72418">
        <w:rPr>
          <w:rFonts w:ascii="Times New Roman" w:hAnsi="Times New Roman" w:cs="Times New Roman"/>
          <w:szCs w:val="24"/>
        </w:rPr>
        <w:t xml:space="preserve">rictly voluntary basis » et qu’ </w:t>
      </w:r>
      <w:r w:rsidR="002775DD" w:rsidRPr="00E72418">
        <w:rPr>
          <w:rFonts w:ascii="Times New Roman" w:hAnsi="Times New Roman" w:cs="Times New Roman"/>
          <w:szCs w:val="24"/>
        </w:rPr>
        <w:t>« </w:t>
      </w:r>
      <w:r w:rsidR="002775DD" w:rsidRPr="00E72418">
        <w:rPr>
          <w:rFonts w:ascii="Times New Roman" w:hAnsi="Times New Roman" w:cs="Times New Roman"/>
        </w:rPr>
        <w:t>[i]</w:t>
      </w:r>
      <w:r w:rsidR="002775DD" w:rsidRPr="00E72418">
        <w:rPr>
          <w:rFonts w:ascii="Times New Roman" w:hAnsi="Times New Roman" w:cs="Times New Roman"/>
          <w:szCs w:val="24"/>
        </w:rPr>
        <w:t>t also requires that debts remain enforceable throughout the negotiations »</w:t>
      </w:r>
      <w:r w:rsidR="002775DD" w:rsidRPr="00E72418">
        <w:rPr>
          <w:rStyle w:val="Appelnotedebasdep"/>
          <w:rFonts w:ascii="Times New Roman" w:hAnsi="Times New Roman" w:cs="Times New Roman"/>
          <w:szCs w:val="24"/>
        </w:rPr>
        <w:footnoteReference w:id="1186"/>
      </w:r>
      <w:r w:rsidR="002775DD" w:rsidRPr="00E72418">
        <w:rPr>
          <w:rFonts w:ascii="Times New Roman" w:hAnsi="Times New Roman" w:cs="Times New Roman"/>
          <w:szCs w:val="24"/>
        </w:rPr>
        <w:t>.</w:t>
      </w:r>
    </w:p>
    <w:p w14:paraId="1C8BA47B" w14:textId="77777777" w:rsidR="003600DC" w:rsidRPr="00E72418" w:rsidRDefault="003600DC" w:rsidP="0054314B"/>
    <w:p w14:paraId="3431D495" w14:textId="00D96967" w:rsidR="003600DC" w:rsidRPr="00E72418" w:rsidRDefault="007F038F" w:rsidP="00CC4BA8">
      <w:pPr>
        <w:spacing w:line="276" w:lineRule="auto"/>
        <w:rPr>
          <w:szCs w:val="18"/>
        </w:rPr>
      </w:pPr>
      <w:r w:rsidRPr="00E72418">
        <w:rPr>
          <w:b/>
        </w:rPr>
        <w:t>240</w:t>
      </w:r>
      <w:r w:rsidR="00A9718E" w:rsidRPr="00E72418">
        <w:rPr>
          <w:b/>
        </w:rPr>
        <w:t xml:space="preserve">. </w:t>
      </w:r>
      <w:r w:rsidR="003600DC" w:rsidRPr="00E72418">
        <w:rPr>
          <w:b/>
        </w:rPr>
        <w:t>L’</w:t>
      </w:r>
      <w:r w:rsidR="00442F49" w:rsidRPr="00E72418">
        <w:rPr>
          <w:b/>
        </w:rPr>
        <w:t>éventuelle</w:t>
      </w:r>
      <w:r w:rsidR="00BE166B" w:rsidRPr="00E72418">
        <w:rPr>
          <w:b/>
        </w:rPr>
        <w:t xml:space="preserve"> </w:t>
      </w:r>
      <w:r w:rsidR="003600DC" w:rsidRPr="00E72418">
        <w:rPr>
          <w:b/>
        </w:rPr>
        <w:t xml:space="preserve">utilité </w:t>
      </w:r>
      <w:r w:rsidR="00442F49" w:rsidRPr="00E72418">
        <w:rPr>
          <w:b/>
        </w:rPr>
        <w:t>au cœur</w:t>
      </w:r>
      <w:r w:rsidR="003600DC" w:rsidRPr="00E72418">
        <w:rPr>
          <w:b/>
        </w:rPr>
        <w:t xml:space="preserve"> des contentieux </w:t>
      </w:r>
      <w:r w:rsidR="00A1496E" w:rsidRPr="00E72418">
        <w:rPr>
          <w:b/>
        </w:rPr>
        <w:t xml:space="preserve">spéculatifs </w:t>
      </w:r>
      <w:r w:rsidR="003600DC" w:rsidRPr="00E72418">
        <w:rPr>
          <w:b/>
        </w:rPr>
        <w:t xml:space="preserve">intentés aux </w:t>
      </w:r>
      <w:r w:rsidR="003600DC" w:rsidRPr="00E72418">
        <w:rPr>
          <w:b/>
          <w:lang w:eastAsia="fr-BE"/>
        </w:rPr>
        <w:t>É</w:t>
      </w:r>
      <w:r w:rsidR="003600DC" w:rsidRPr="00E72418">
        <w:rPr>
          <w:b/>
        </w:rPr>
        <w:t>tats-Unis –</w:t>
      </w:r>
      <w:r w:rsidR="003600DC" w:rsidRPr="00E72418">
        <w:t xml:space="preserve"> </w:t>
      </w:r>
      <w:r w:rsidR="00564C5C" w:rsidRPr="00E72418">
        <w:t xml:space="preserve">La défense de </w:t>
      </w:r>
      <w:r w:rsidR="003600DC" w:rsidRPr="00E72418">
        <w:t xml:space="preserve">la souveraineté déclinée </w:t>
      </w:r>
      <w:r w:rsidR="00387252" w:rsidRPr="00E72418">
        <w:t>dans les doctrines de l’</w:t>
      </w:r>
      <w:r w:rsidR="00387252" w:rsidRPr="00E72418">
        <w:rPr>
          <w:i/>
        </w:rPr>
        <w:t>a</w:t>
      </w:r>
      <w:r w:rsidR="003600DC" w:rsidRPr="00E72418">
        <w:rPr>
          <w:i/>
        </w:rPr>
        <w:t>ct of State</w:t>
      </w:r>
      <w:r w:rsidR="00387252" w:rsidRPr="00E72418">
        <w:t xml:space="preserve"> et de la </w:t>
      </w:r>
      <w:r w:rsidR="00387252" w:rsidRPr="00E72418">
        <w:rPr>
          <w:i/>
        </w:rPr>
        <w:t>c</w:t>
      </w:r>
      <w:r w:rsidR="003600DC" w:rsidRPr="00E72418">
        <w:rPr>
          <w:i/>
        </w:rPr>
        <w:t>omity</w:t>
      </w:r>
      <w:r w:rsidR="003600DC" w:rsidRPr="00E72418">
        <w:t xml:space="preserve"> peut</w:t>
      </w:r>
      <w:r w:rsidR="001A4DD1" w:rsidRPr="00E72418">
        <w:t xml:space="preserve">, pour un </w:t>
      </w:r>
      <w:r w:rsidR="001A4DD1" w:rsidRPr="00E72418">
        <w:rPr>
          <w:lang w:eastAsia="fr-BE"/>
        </w:rPr>
        <w:t>É</w:t>
      </w:r>
      <w:r w:rsidR="001A4DD1" w:rsidRPr="00E72418">
        <w:t>tat débiteur,</w:t>
      </w:r>
      <w:r w:rsidR="003600DC" w:rsidRPr="00E72418">
        <w:t xml:space="preserve"> s’avérer utile</w:t>
      </w:r>
      <w:r w:rsidR="00564C5C" w:rsidRPr="00E72418">
        <w:t xml:space="preserve"> afin de contrer des poursuites entamées par ses créanciers</w:t>
      </w:r>
      <w:r w:rsidR="003600DC" w:rsidRPr="00E72418">
        <w:rPr>
          <w:rStyle w:val="Appelnotedebasdep"/>
        </w:rPr>
        <w:footnoteReference w:id="1187"/>
      </w:r>
      <w:r w:rsidR="003600DC" w:rsidRPr="00E72418">
        <w:t xml:space="preserve">. </w:t>
      </w:r>
      <w:r w:rsidR="001A4DD1" w:rsidRPr="00E72418">
        <w:t>Dès lors que les</w:t>
      </w:r>
      <w:r w:rsidR="00B41CCF" w:rsidRPr="00E72418">
        <w:t xml:space="preserve"> activités des fonds spéculant</w:t>
      </w:r>
      <w:r w:rsidR="001A4DD1" w:rsidRPr="00E72418">
        <w:t xml:space="preserve"> sur les dettes souveraines semblent politiquement couvertes d’opprobre, </w:t>
      </w:r>
      <w:r w:rsidR="000D05F9" w:rsidRPr="00E72418">
        <w:t xml:space="preserve">Christopher </w:t>
      </w:r>
      <w:r w:rsidR="003600DC" w:rsidRPr="00E72418">
        <w:t xml:space="preserve">Wheeler et </w:t>
      </w:r>
      <w:r w:rsidR="000D05F9" w:rsidRPr="00E72418">
        <w:t xml:space="preserve">Amir </w:t>
      </w:r>
      <w:r w:rsidR="003600DC" w:rsidRPr="00E72418">
        <w:t xml:space="preserve">Attaran </w:t>
      </w:r>
      <w:r w:rsidR="00564C5C" w:rsidRPr="00E72418">
        <w:t>encouragent</w:t>
      </w:r>
      <w:r w:rsidR="001A4DD1" w:rsidRPr="00E72418">
        <w:t xml:space="preserve"> l’usage des</w:t>
      </w:r>
      <w:r w:rsidR="003600DC" w:rsidRPr="00E72418">
        <w:t xml:space="preserve"> arguments</w:t>
      </w:r>
      <w:r w:rsidR="001A4DD1" w:rsidRPr="00E72418">
        <w:t xml:space="preserve"> de l’</w:t>
      </w:r>
      <w:r w:rsidR="001A4DD1" w:rsidRPr="00E72418">
        <w:rPr>
          <w:i/>
        </w:rPr>
        <w:t>act of State</w:t>
      </w:r>
      <w:r w:rsidR="001A4DD1" w:rsidRPr="00E72418">
        <w:t xml:space="preserve"> et de la </w:t>
      </w:r>
      <w:r w:rsidR="001A4DD1" w:rsidRPr="00E72418">
        <w:rPr>
          <w:i/>
        </w:rPr>
        <w:t>comity</w:t>
      </w:r>
      <w:r w:rsidR="003600DC" w:rsidRPr="00E72418">
        <w:t xml:space="preserve"> lorsque des </w:t>
      </w:r>
      <w:r w:rsidR="003600DC" w:rsidRPr="00E72418">
        <w:rPr>
          <w:lang w:eastAsia="fr-BE"/>
        </w:rPr>
        <w:t>É</w:t>
      </w:r>
      <w:r w:rsidR="003600DC" w:rsidRPr="00E72418">
        <w:t xml:space="preserve">tats </w:t>
      </w:r>
      <w:r w:rsidR="001A4DD1" w:rsidRPr="00E72418">
        <w:t xml:space="preserve">débiteurs se </w:t>
      </w:r>
      <w:r w:rsidR="003600DC" w:rsidRPr="00E72418">
        <w:t xml:space="preserve">trouvent attaqués </w:t>
      </w:r>
      <w:r w:rsidR="001A4DD1" w:rsidRPr="00E72418">
        <w:t>par de tels</w:t>
      </w:r>
      <w:r w:rsidR="00564C5C" w:rsidRPr="00E72418">
        <w:t xml:space="preserve"> fonds</w:t>
      </w:r>
      <w:r w:rsidR="001A4DD1" w:rsidRPr="00E72418">
        <w:t xml:space="preserve"> aux </w:t>
      </w:r>
      <w:r w:rsidR="001A4DD1" w:rsidRPr="00E72418">
        <w:rPr>
          <w:lang w:eastAsia="fr-BE"/>
        </w:rPr>
        <w:t>É</w:t>
      </w:r>
      <w:r w:rsidR="001A4DD1" w:rsidRPr="00E72418">
        <w:t>tats-Unis</w:t>
      </w:r>
      <w:r w:rsidR="00564C5C" w:rsidRPr="00E72418">
        <w:t xml:space="preserve">. </w:t>
      </w:r>
      <w:r w:rsidR="003600DC" w:rsidRPr="00E72418">
        <w:t>Les auteurs relèvent ainsi que « looking to contemporary […] executive statements, no court could maintain that preventing vulture fund litigation from disrupting the sovereign restructuring process is inconsistent with U.S. policy »</w:t>
      </w:r>
      <w:r w:rsidR="003600DC" w:rsidRPr="00E72418">
        <w:rPr>
          <w:rStyle w:val="Appelnotedebasdep"/>
          <w:rFonts w:ascii="Times New Roman" w:hAnsi="Times New Roman" w:cs="Times New Roman"/>
        </w:rPr>
        <w:footnoteReference w:id="1188"/>
      </w:r>
      <w:r w:rsidR="003600DC" w:rsidRPr="00E72418">
        <w:t xml:space="preserve">. Et </w:t>
      </w:r>
      <w:r w:rsidR="001A4DD1" w:rsidRPr="00E72418">
        <w:t>les auteurs d’</w:t>
      </w:r>
      <w:r w:rsidR="0004079A" w:rsidRPr="00E72418">
        <w:t>ajouter qu’</w:t>
      </w:r>
      <w:r w:rsidR="003600DC" w:rsidRPr="00E72418">
        <w:t xml:space="preserve"> « executive frustration with the disruptive effect of vulture fund litigation is perfectly clear »</w:t>
      </w:r>
      <w:r w:rsidR="003600DC" w:rsidRPr="00E72418">
        <w:rPr>
          <w:rStyle w:val="Appelnotedebasdep"/>
        </w:rPr>
        <w:footnoteReference w:id="1189"/>
      </w:r>
      <w:r w:rsidR="003600DC" w:rsidRPr="00E72418">
        <w:t>. Dans le même sens</w:t>
      </w:r>
      <w:r w:rsidR="004C0434" w:rsidRPr="00E72418">
        <w:t xml:space="preserve">, </w:t>
      </w:r>
      <w:r w:rsidR="006F5D81" w:rsidRPr="00E72418">
        <w:t xml:space="preserve">Ryan </w:t>
      </w:r>
      <w:r w:rsidR="004C0434" w:rsidRPr="00E72418">
        <w:t>Avery note</w:t>
      </w:r>
      <w:r w:rsidR="003600DC" w:rsidRPr="00E72418">
        <w:t xml:space="preserve"> que « literature suggests that the U.S. position is currently in favor of reducing damage awards for vulture funds, rather than promoting litigation in creditor’s favor »</w:t>
      </w:r>
      <w:r w:rsidR="003600DC" w:rsidRPr="00E72418">
        <w:rPr>
          <w:rStyle w:val="Appelnotedebasdep"/>
        </w:rPr>
        <w:footnoteReference w:id="1190"/>
      </w:r>
      <w:r w:rsidR="003600DC" w:rsidRPr="00E72418">
        <w:t xml:space="preserve">. </w:t>
      </w:r>
      <w:r w:rsidR="001A4DD1" w:rsidRPr="00E72418">
        <w:t xml:space="preserve">Cette réprobation des activités spéculatives sur les dettes </w:t>
      </w:r>
      <w:r w:rsidR="001A4DD1" w:rsidRPr="00E72418">
        <w:lastRenderedPageBreak/>
        <w:t xml:space="preserve">souveraines en difficulté se retrouve également traduite dans les </w:t>
      </w:r>
      <w:r w:rsidR="001A4DD1" w:rsidRPr="00E72418">
        <w:rPr>
          <w:szCs w:val="18"/>
        </w:rPr>
        <w:t>propositions de législation déposées au Congrès étatsunien et visant l’adoption d’un « Stop VULTURE funds Act »</w:t>
      </w:r>
      <w:r w:rsidR="001A4DD1" w:rsidRPr="00E72418">
        <w:rPr>
          <w:rStyle w:val="Appelnotedebasdep"/>
          <w:szCs w:val="18"/>
        </w:rPr>
        <w:footnoteReference w:id="1191"/>
      </w:r>
      <w:r w:rsidR="001A4DD1" w:rsidRPr="00E72418">
        <w:rPr>
          <w:szCs w:val="18"/>
        </w:rPr>
        <w:t>.</w:t>
      </w:r>
    </w:p>
    <w:p w14:paraId="2FAD44BF" w14:textId="77777777" w:rsidR="00932D4E" w:rsidRPr="00E72418" w:rsidRDefault="00932D4E" w:rsidP="00CC4BA8">
      <w:pPr>
        <w:spacing w:line="276" w:lineRule="auto"/>
        <w:rPr>
          <w:szCs w:val="18"/>
        </w:rPr>
      </w:pPr>
    </w:p>
    <w:p w14:paraId="1D9BC7AD" w14:textId="792A98E8" w:rsidR="005B2163" w:rsidRPr="00E72418" w:rsidRDefault="007F038F" w:rsidP="00CC4BA8">
      <w:pPr>
        <w:spacing w:line="276" w:lineRule="auto"/>
      </w:pPr>
      <w:r w:rsidRPr="00E72418">
        <w:rPr>
          <w:b/>
        </w:rPr>
        <w:t>241.</w:t>
      </w:r>
      <w:r w:rsidR="00A9718E" w:rsidRPr="00E72418">
        <w:rPr>
          <w:b/>
        </w:rPr>
        <w:t xml:space="preserve"> </w:t>
      </w:r>
      <w:r w:rsidR="005B2163" w:rsidRPr="00E72418">
        <w:rPr>
          <w:b/>
        </w:rPr>
        <w:t>La</w:t>
      </w:r>
      <w:r w:rsidR="004C0434" w:rsidRPr="00E72418">
        <w:rPr>
          <w:b/>
        </w:rPr>
        <w:t xml:space="preserve"> faiblesse – </w:t>
      </w:r>
      <w:r w:rsidR="003600DC" w:rsidRPr="00E72418">
        <w:t xml:space="preserve">Toutes </w:t>
      </w:r>
      <w:r w:rsidR="004C0434" w:rsidRPr="00E72418">
        <w:t>protectrices</w:t>
      </w:r>
      <w:r w:rsidR="003600DC" w:rsidRPr="00E72418">
        <w:t xml:space="preserve"> </w:t>
      </w:r>
      <w:r w:rsidR="004C0434" w:rsidRPr="00E72418">
        <w:t xml:space="preserve">des </w:t>
      </w:r>
      <w:r w:rsidR="004C0434" w:rsidRPr="00E72418">
        <w:rPr>
          <w:lang w:eastAsia="fr-BE"/>
        </w:rPr>
        <w:t>É</w:t>
      </w:r>
      <w:r w:rsidR="004C0434" w:rsidRPr="00E72418">
        <w:t xml:space="preserve">tats débiteurs </w:t>
      </w:r>
      <w:r w:rsidR="003600DC" w:rsidRPr="00E72418">
        <w:t xml:space="preserve">que </w:t>
      </w:r>
      <w:r w:rsidR="005B2163" w:rsidRPr="00E72418">
        <w:t xml:space="preserve">puissent </w:t>
      </w:r>
      <w:r w:rsidR="00C37AF3" w:rsidRPr="00E72418">
        <w:t xml:space="preserve">s’avérer </w:t>
      </w:r>
      <w:r w:rsidR="005B2163" w:rsidRPr="00E72418">
        <w:t>les</w:t>
      </w:r>
      <w:r w:rsidR="004C0434" w:rsidRPr="00E72418">
        <w:t xml:space="preserve"> doctrines</w:t>
      </w:r>
      <w:r w:rsidR="005B2163" w:rsidRPr="00E72418">
        <w:t xml:space="preserve"> de l’</w:t>
      </w:r>
      <w:r w:rsidR="005B2163" w:rsidRPr="00E72418">
        <w:rPr>
          <w:i/>
        </w:rPr>
        <w:t>act of State</w:t>
      </w:r>
      <w:r w:rsidR="005B2163" w:rsidRPr="00E72418">
        <w:t xml:space="preserve"> et de la </w:t>
      </w:r>
      <w:r w:rsidR="005B2163" w:rsidRPr="00E72418">
        <w:rPr>
          <w:i/>
        </w:rPr>
        <w:t>comity</w:t>
      </w:r>
      <w:r w:rsidR="004C0434" w:rsidRPr="00E72418">
        <w:t xml:space="preserve">, elles n’offrent </w:t>
      </w:r>
      <w:r w:rsidR="005B2163" w:rsidRPr="00E72418">
        <w:t xml:space="preserve">pour autant </w:t>
      </w:r>
      <w:r w:rsidR="004C0434" w:rsidRPr="00E72418">
        <w:t xml:space="preserve">pas </w:t>
      </w:r>
      <w:r w:rsidR="005B2163" w:rsidRPr="00E72418">
        <w:t>de</w:t>
      </w:r>
      <w:r w:rsidR="004C0434" w:rsidRPr="00E72418">
        <w:t xml:space="preserve"> réponse </w:t>
      </w:r>
      <w:r w:rsidR="00453575" w:rsidRPr="00E72418">
        <w:t xml:space="preserve">définitive </w:t>
      </w:r>
      <w:r w:rsidR="004C0434" w:rsidRPr="00E72418">
        <w:t>aux a</w:t>
      </w:r>
      <w:r w:rsidR="00B41CCF" w:rsidRPr="00E72418">
        <w:t>ctivités des fonds spéculant</w:t>
      </w:r>
      <w:r w:rsidR="006E64F5" w:rsidRPr="00E72418">
        <w:t xml:space="preserve"> sur les dettes souveraine</w:t>
      </w:r>
      <w:r w:rsidR="004C0434" w:rsidRPr="00E72418">
        <w:t>s</w:t>
      </w:r>
      <w:r w:rsidR="003600DC" w:rsidRPr="00E72418">
        <w:t>.</w:t>
      </w:r>
      <w:r w:rsidR="005B2163" w:rsidRPr="00E72418">
        <w:t xml:space="preserve"> La faiblesse de la défense vient </w:t>
      </w:r>
      <w:r w:rsidR="00A32B6A" w:rsidRPr="00E72418">
        <w:t xml:space="preserve">notamment </w:t>
      </w:r>
      <w:r w:rsidR="005B2163" w:rsidRPr="00E72418">
        <w:t>de la subtilité des politiques en matière de restructuration et de leur caractère potentiellement versatile</w:t>
      </w:r>
      <w:r w:rsidR="00DE138E" w:rsidRPr="00E72418">
        <w:t xml:space="preserve"> la rendant incertaine</w:t>
      </w:r>
      <w:r w:rsidR="005B2163" w:rsidRPr="00E72418">
        <w:rPr>
          <w:rStyle w:val="Appelnotedebasdep"/>
        </w:rPr>
        <w:footnoteReference w:id="1192"/>
      </w:r>
      <w:r w:rsidR="005B2163" w:rsidRPr="00E72418">
        <w:t>. La critique de la méconnaissance de la séparation des pouvoirs et celle de la difficile perception des politiques gouvernementales par le pouvoir judiciaire affaiblissent encore l’</w:t>
      </w:r>
      <w:r w:rsidR="00DE138E" w:rsidRPr="00E72418">
        <w:t>argument de défense tiré des doctrines étudiées</w:t>
      </w:r>
      <w:r w:rsidR="002424E9" w:rsidRPr="00E72418">
        <w:rPr>
          <w:rStyle w:val="Appelnotedebasdep"/>
        </w:rPr>
        <w:footnoteReference w:id="1193"/>
      </w:r>
      <w:r w:rsidR="00DE138E" w:rsidRPr="00E72418">
        <w:t>.</w:t>
      </w:r>
    </w:p>
    <w:p w14:paraId="7C4804CC" w14:textId="77777777" w:rsidR="002D5ECC" w:rsidRPr="00E72418" w:rsidRDefault="002D5ECC" w:rsidP="0054314B"/>
    <w:p w14:paraId="71ECF4DA" w14:textId="77777777" w:rsidR="00B9150D" w:rsidRPr="00E72418" w:rsidRDefault="000764CE" w:rsidP="00CC4BA8">
      <w:pPr>
        <w:pStyle w:val="CC"/>
        <w:spacing w:line="276" w:lineRule="auto"/>
      </w:pPr>
      <w:bookmarkStart w:id="265" w:name="_Toc59280957"/>
      <w:bookmarkStart w:id="266" w:name="_Toc75106098"/>
      <w:bookmarkStart w:id="267" w:name="_Toc84540947"/>
      <w:bookmarkStart w:id="268" w:name="_Toc47442863"/>
      <w:r w:rsidRPr="00E72418">
        <w:t xml:space="preserve">Chapitre 2 : </w:t>
      </w:r>
      <w:r w:rsidR="00B9150D" w:rsidRPr="00E72418">
        <w:t>L’impossible spéculation</w:t>
      </w:r>
      <w:bookmarkEnd w:id="265"/>
      <w:bookmarkEnd w:id="266"/>
      <w:bookmarkEnd w:id="267"/>
    </w:p>
    <w:p w14:paraId="2A7A3B05" w14:textId="77777777" w:rsidR="00B9150D" w:rsidRPr="00E72418" w:rsidRDefault="00B9150D" w:rsidP="0054314B"/>
    <w:p w14:paraId="2E36F0FB" w14:textId="416BA3E1" w:rsidR="007701C0" w:rsidRPr="00E72418" w:rsidRDefault="007F038F" w:rsidP="00CC4BA8">
      <w:pPr>
        <w:spacing w:line="276" w:lineRule="auto"/>
      </w:pPr>
      <w:r w:rsidRPr="00E72418">
        <w:rPr>
          <w:b/>
        </w:rPr>
        <w:t>242</w:t>
      </w:r>
      <w:r w:rsidR="00A9718E" w:rsidRPr="00E72418">
        <w:rPr>
          <w:b/>
        </w:rPr>
        <w:t xml:space="preserve">. </w:t>
      </w:r>
      <w:r w:rsidR="00915476" w:rsidRPr="00E72418">
        <w:rPr>
          <w:b/>
        </w:rPr>
        <w:t xml:space="preserve">Différentes protections légales – </w:t>
      </w:r>
      <w:r w:rsidR="0079091D" w:rsidRPr="00E72418">
        <w:t>L</w:t>
      </w:r>
      <w:r w:rsidR="007701C0" w:rsidRPr="00E72418">
        <w:t xml:space="preserve">e modèle </w:t>
      </w:r>
      <w:r w:rsidR="00377E0C" w:rsidRPr="00E72418">
        <w:t xml:space="preserve">économique </w:t>
      </w:r>
      <w:r w:rsidR="007701C0" w:rsidRPr="00E72418">
        <w:t>de</w:t>
      </w:r>
      <w:r w:rsidR="00B41CCF" w:rsidRPr="00E72418">
        <w:t>s fonds spéculant</w:t>
      </w:r>
      <w:r w:rsidR="007701C0" w:rsidRPr="00E72418">
        <w:t xml:space="preserve"> sur les dettes souveraines consiste</w:t>
      </w:r>
      <w:r w:rsidR="00A9063C">
        <w:t>,</w:t>
      </w:r>
      <w:r w:rsidR="007701C0" w:rsidRPr="00E72418">
        <w:t xml:space="preserve"> </w:t>
      </w:r>
      <w:r w:rsidR="00A9063C">
        <w:t xml:space="preserve">pour l’essentiel, </w:t>
      </w:r>
      <w:r w:rsidR="007701C0" w:rsidRPr="00E72418">
        <w:t xml:space="preserve">à faire l’acquisition à prix réduit de </w:t>
      </w:r>
      <w:r w:rsidR="005734AE" w:rsidRPr="00E72418">
        <w:t xml:space="preserve">telles </w:t>
      </w:r>
      <w:r w:rsidR="007701C0" w:rsidRPr="00E72418">
        <w:t>dettes sur le marché secondaire et</w:t>
      </w:r>
      <w:r w:rsidR="00A9063C">
        <w:t>, ensuite,</w:t>
      </w:r>
      <w:r w:rsidR="007701C0" w:rsidRPr="00E72418">
        <w:t xml:space="preserve"> à rechercher la condamnation </w:t>
      </w:r>
      <w:r w:rsidR="0079091D" w:rsidRPr="00E72418">
        <w:t xml:space="preserve">judiciaire </w:t>
      </w:r>
      <w:r w:rsidR="007701C0" w:rsidRPr="00E72418">
        <w:t xml:space="preserve">des </w:t>
      </w:r>
      <w:r w:rsidR="007701C0" w:rsidRPr="00E72418">
        <w:rPr>
          <w:lang w:eastAsia="fr-BE"/>
        </w:rPr>
        <w:t>É</w:t>
      </w:r>
      <w:r w:rsidR="007701C0" w:rsidRPr="00E72418">
        <w:t xml:space="preserve">tats débiteurs au </w:t>
      </w:r>
      <w:r w:rsidR="0079091D" w:rsidRPr="00E72418">
        <w:t xml:space="preserve">paiement de leur valeur faciale. Cette spéculation, si elle se heurte </w:t>
      </w:r>
      <w:r w:rsidR="005734AE" w:rsidRPr="00E72418">
        <w:t xml:space="preserve">dans certains cas </w:t>
      </w:r>
      <w:r w:rsidR="0079091D" w:rsidRPr="00E72418">
        <w:t xml:space="preserve">à des règles l’interdisant, </w:t>
      </w:r>
      <w:r w:rsidR="0068226E" w:rsidRPr="00E72418">
        <w:t>opère</w:t>
      </w:r>
      <w:r w:rsidR="0079091D" w:rsidRPr="00E72418">
        <w:t xml:space="preserve"> </w:t>
      </w:r>
      <w:r w:rsidR="0068226E" w:rsidRPr="00E72418">
        <w:t>à travers</w:t>
      </w:r>
      <w:r w:rsidR="0079091D" w:rsidRPr="00E72418">
        <w:t xml:space="preserve"> </w:t>
      </w:r>
      <w:r w:rsidR="0068226E" w:rsidRPr="00E72418">
        <w:t>l’activation par les fonds de</w:t>
      </w:r>
      <w:r w:rsidR="0079091D" w:rsidRPr="00E72418">
        <w:t xml:space="preserve"> droits qu’il</w:t>
      </w:r>
      <w:r w:rsidR="0068226E" w:rsidRPr="00E72418">
        <w:t xml:space="preserve">s ont certes régulièrement acquis mais dont la poursuite peut s’avérer abusive. À côté de la règle de la </w:t>
      </w:r>
      <w:r w:rsidR="0068226E" w:rsidRPr="00E72418">
        <w:rPr>
          <w:i/>
        </w:rPr>
        <w:t>champerty</w:t>
      </w:r>
      <w:r w:rsidR="0068226E" w:rsidRPr="00E72418">
        <w:t xml:space="preserve"> </w:t>
      </w:r>
      <w:r w:rsidR="000815BB" w:rsidRPr="00E72418">
        <w:t>(</w:t>
      </w:r>
      <w:r w:rsidR="000815BB" w:rsidRPr="00E72418">
        <w:rPr>
          <w:b/>
        </w:rPr>
        <w:t>section 1</w:t>
      </w:r>
      <w:r w:rsidR="000815BB" w:rsidRPr="00E72418">
        <w:t xml:space="preserve">) </w:t>
      </w:r>
      <w:r w:rsidR="0068226E" w:rsidRPr="00E72418">
        <w:t>et de celle de l’interdiction de l’abus de droit</w:t>
      </w:r>
      <w:r w:rsidR="000815BB" w:rsidRPr="00E72418">
        <w:t xml:space="preserve"> (</w:t>
      </w:r>
      <w:r w:rsidR="000815BB" w:rsidRPr="00E72418">
        <w:rPr>
          <w:b/>
        </w:rPr>
        <w:t>section 2</w:t>
      </w:r>
      <w:r w:rsidR="000815BB" w:rsidRPr="00E72418">
        <w:t>)</w:t>
      </w:r>
      <w:r w:rsidR="0068226E" w:rsidRPr="00E72418">
        <w:t xml:space="preserve">, </w:t>
      </w:r>
      <w:r w:rsidR="005301A0" w:rsidRPr="00E72418">
        <w:t xml:space="preserve">le </w:t>
      </w:r>
      <w:r w:rsidR="0068226E" w:rsidRPr="00E72418">
        <w:t>mécanisme du retrait litigieux</w:t>
      </w:r>
      <w:r w:rsidR="000815BB" w:rsidRPr="00E72418">
        <w:t xml:space="preserve"> (</w:t>
      </w:r>
      <w:r w:rsidR="000815BB" w:rsidRPr="00E72418">
        <w:rPr>
          <w:b/>
        </w:rPr>
        <w:t>section 3</w:t>
      </w:r>
      <w:r w:rsidR="000815BB" w:rsidRPr="00E72418">
        <w:t>)</w:t>
      </w:r>
      <w:r w:rsidR="0068226E" w:rsidRPr="00E72418">
        <w:t xml:space="preserve"> s’inscrit dans la même logique d’appréhension de la spéculation par le droit.</w:t>
      </w:r>
    </w:p>
    <w:p w14:paraId="0CC78F93" w14:textId="77777777" w:rsidR="00915476" w:rsidRPr="00E72418" w:rsidRDefault="00915476" w:rsidP="0054314B"/>
    <w:p w14:paraId="5EDBAB54" w14:textId="2C74C919" w:rsidR="002D5ECC" w:rsidRPr="00E72418" w:rsidRDefault="00B9150D" w:rsidP="00CC4BA8">
      <w:pPr>
        <w:pStyle w:val="DD"/>
        <w:spacing w:line="276" w:lineRule="auto"/>
        <w:rPr>
          <w:i w:val="0"/>
        </w:rPr>
      </w:pPr>
      <w:bookmarkStart w:id="269" w:name="_Toc59280958"/>
      <w:bookmarkStart w:id="270" w:name="_Toc84540948"/>
      <w:r w:rsidRPr="00E72418">
        <w:t xml:space="preserve">Section 1 : </w:t>
      </w:r>
      <w:r w:rsidR="002D5ECC" w:rsidRPr="00E72418">
        <w:t xml:space="preserve">La </w:t>
      </w:r>
      <w:r w:rsidR="002D5ECC" w:rsidRPr="00E72418">
        <w:rPr>
          <w:i w:val="0"/>
        </w:rPr>
        <w:t>champerty</w:t>
      </w:r>
      <w:bookmarkEnd w:id="268"/>
      <w:bookmarkEnd w:id="269"/>
      <w:bookmarkEnd w:id="270"/>
    </w:p>
    <w:p w14:paraId="42AAD837" w14:textId="77777777" w:rsidR="0054314B" w:rsidRPr="00E72418" w:rsidRDefault="0054314B" w:rsidP="0054314B">
      <w:pPr>
        <w:rPr>
          <w:highlight w:val="magenta"/>
        </w:rPr>
      </w:pPr>
    </w:p>
    <w:p w14:paraId="7A341F40" w14:textId="7A2E08EE" w:rsidR="00915476" w:rsidRPr="00E72418" w:rsidRDefault="007F038F" w:rsidP="00CC4BA8">
      <w:pPr>
        <w:spacing w:line="276" w:lineRule="auto"/>
        <w:rPr>
          <w:rFonts w:ascii="Times New Roman" w:hAnsi="Times New Roman" w:cs="Times New Roman"/>
          <w:szCs w:val="24"/>
          <w:lang w:val="fr-BE"/>
        </w:rPr>
      </w:pPr>
      <w:r w:rsidRPr="00E72418">
        <w:rPr>
          <w:rFonts w:ascii="Times New Roman" w:hAnsi="Times New Roman" w:cs="Times New Roman"/>
          <w:b/>
          <w:szCs w:val="24"/>
        </w:rPr>
        <w:t>243</w:t>
      </w:r>
      <w:r w:rsidR="00A9718E" w:rsidRPr="00E72418">
        <w:rPr>
          <w:rFonts w:ascii="Times New Roman" w:hAnsi="Times New Roman" w:cs="Times New Roman"/>
          <w:b/>
          <w:szCs w:val="24"/>
        </w:rPr>
        <w:t xml:space="preserve">. </w:t>
      </w:r>
      <w:r w:rsidR="002D5ECC" w:rsidRPr="00E72418">
        <w:rPr>
          <w:rFonts w:ascii="Times New Roman" w:hAnsi="Times New Roman" w:cs="Times New Roman"/>
          <w:b/>
          <w:szCs w:val="24"/>
        </w:rPr>
        <w:t>La règle et son utilité –</w:t>
      </w:r>
      <w:r w:rsidR="002D5ECC" w:rsidRPr="00E72418">
        <w:rPr>
          <w:rFonts w:ascii="Times New Roman" w:hAnsi="Times New Roman" w:cs="Times New Roman"/>
          <w:szCs w:val="24"/>
        </w:rPr>
        <w:t xml:space="preserve"> La règle de la </w:t>
      </w:r>
      <w:r w:rsidR="002D5ECC" w:rsidRPr="00E72418">
        <w:rPr>
          <w:rFonts w:ascii="Times New Roman" w:hAnsi="Times New Roman" w:cs="Times New Roman"/>
          <w:i/>
          <w:szCs w:val="24"/>
        </w:rPr>
        <w:t>champerty</w:t>
      </w:r>
      <w:r w:rsidR="002D5ECC" w:rsidRPr="00E72418">
        <w:rPr>
          <w:rFonts w:ascii="Times New Roman" w:hAnsi="Times New Roman" w:cs="Times New Roman"/>
          <w:szCs w:val="24"/>
        </w:rPr>
        <w:t xml:space="preserve"> interdit à une partie de faire l’acquisition d’une dette dans le seul objectif d’intenter un procès. </w:t>
      </w:r>
      <w:r w:rsidR="00CC63BC" w:rsidRPr="00E72418">
        <w:rPr>
          <w:rFonts w:ascii="Times New Roman" w:hAnsi="Times New Roman" w:cs="Times New Roman"/>
          <w:szCs w:val="24"/>
        </w:rPr>
        <w:t>L</w:t>
      </w:r>
      <w:r w:rsidR="00915476" w:rsidRPr="00E72418">
        <w:rPr>
          <w:rFonts w:ascii="Times New Roman" w:hAnsi="Times New Roman" w:cs="Times New Roman"/>
          <w:szCs w:val="24"/>
        </w:rPr>
        <w:t>a règle</w:t>
      </w:r>
      <w:r w:rsidR="007701C0" w:rsidRPr="00E72418">
        <w:rPr>
          <w:rFonts w:ascii="Times New Roman" w:hAnsi="Times New Roman" w:cs="Times New Roman"/>
          <w:szCs w:val="24"/>
        </w:rPr>
        <w:t xml:space="preserve"> </w:t>
      </w:r>
      <w:r w:rsidR="00915476" w:rsidRPr="00E72418">
        <w:rPr>
          <w:rFonts w:ascii="Times New Roman" w:hAnsi="Times New Roman" w:cs="Times New Roman"/>
          <w:szCs w:val="24"/>
        </w:rPr>
        <w:t xml:space="preserve">contenue </w:t>
      </w:r>
      <w:r w:rsidR="007701C0" w:rsidRPr="00E72418">
        <w:rPr>
          <w:rFonts w:ascii="Times New Roman" w:hAnsi="Times New Roman" w:cs="Times New Roman"/>
          <w:szCs w:val="24"/>
        </w:rPr>
        <w:t xml:space="preserve">notamment </w:t>
      </w:r>
      <w:r w:rsidR="00915476" w:rsidRPr="00E72418">
        <w:rPr>
          <w:rFonts w:ascii="Times New Roman" w:hAnsi="Times New Roman" w:cs="Times New Roman"/>
          <w:szCs w:val="24"/>
        </w:rPr>
        <w:t xml:space="preserve">à l’article 489 de la </w:t>
      </w:r>
      <w:r w:rsidR="00915476" w:rsidRPr="00E72418">
        <w:rPr>
          <w:rFonts w:ascii="Times New Roman" w:hAnsi="Times New Roman" w:cs="Times New Roman"/>
          <w:i/>
          <w:szCs w:val="24"/>
        </w:rPr>
        <w:t>New York Judiciary Law</w:t>
      </w:r>
      <w:r w:rsidR="00CC63BC" w:rsidRPr="00E72418">
        <w:rPr>
          <w:rFonts w:ascii="Times New Roman" w:hAnsi="Times New Roman" w:cs="Times New Roman"/>
          <w:szCs w:val="24"/>
        </w:rPr>
        <w:t xml:space="preserve"> prévoi</w:t>
      </w:r>
      <w:r w:rsidR="00915476" w:rsidRPr="00E72418">
        <w:rPr>
          <w:rFonts w:ascii="Times New Roman" w:hAnsi="Times New Roman" w:cs="Times New Roman"/>
          <w:szCs w:val="24"/>
        </w:rPr>
        <w:t xml:space="preserve">t que </w:t>
      </w:r>
      <w:r w:rsidR="002910D9" w:rsidRPr="00E72418">
        <w:rPr>
          <w:rFonts w:ascii="Times New Roman" w:hAnsi="Times New Roman" w:cs="Times New Roman"/>
          <w:szCs w:val="24"/>
        </w:rPr>
        <w:t>« </w:t>
      </w:r>
      <w:r w:rsidR="002910D9" w:rsidRPr="00E72418">
        <w:rPr>
          <w:rFonts w:ascii="Times New Roman" w:hAnsi="Times New Roman" w:cs="Times New Roman"/>
          <w:szCs w:val="24"/>
          <w:lang w:val="fr-BE"/>
        </w:rPr>
        <w:t xml:space="preserve">no person or co-partnership, engaged directly </w:t>
      </w:r>
      <w:r w:rsidR="002910D9" w:rsidRPr="00E72418">
        <w:rPr>
          <w:rFonts w:ascii="Times New Roman" w:hAnsi="Times New Roman" w:cs="Times New Roman"/>
          <w:szCs w:val="24"/>
          <w:lang w:val="fr-BE"/>
        </w:rPr>
        <w:lastRenderedPageBreak/>
        <w:t xml:space="preserve">or indirectly in the business of collection and adjustment of claims, and no corporation or association, directly </w:t>
      </w:r>
      <w:r w:rsidR="00CC63BC" w:rsidRPr="00E72418">
        <w:rPr>
          <w:rFonts w:ascii="Times New Roman" w:hAnsi="Times New Roman" w:cs="Times New Roman"/>
          <w:szCs w:val="24"/>
          <w:lang w:val="fr-BE"/>
        </w:rPr>
        <w:t xml:space="preserve">or indirectly, </w:t>
      </w:r>
      <w:r w:rsidR="00CC63BC" w:rsidRPr="00E72418">
        <w:rPr>
          <w:rFonts w:ascii="Times New Roman" w:hAnsi="Times New Roman"/>
        </w:rPr>
        <w:t>[…]</w:t>
      </w:r>
      <w:r w:rsidR="00CC63BC" w:rsidRPr="00E72418">
        <w:rPr>
          <w:rFonts w:ascii="Times New Roman" w:hAnsi="Times New Roman" w:cs="Times New Roman"/>
          <w:szCs w:val="24"/>
          <w:lang w:val="fr-BE"/>
        </w:rPr>
        <w:t xml:space="preserve"> </w:t>
      </w:r>
      <w:r w:rsidR="002910D9" w:rsidRPr="00E72418">
        <w:rPr>
          <w:rFonts w:ascii="Times New Roman" w:hAnsi="Times New Roman" w:cs="Times New Roman"/>
          <w:szCs w:val="24"/>
          <w:lang w:val="fr-BE"/>
        </w:rPr>
        <w:t>shall solicit, buy or take an assignment of, or be in any manner interested in buying or taking an assignment of a bond, promissory note, bill of exchange, book debt, or other thing in action, or any claim or demand, with the intent and for the purpose of bringing an action or proceeding thereon ».</w:t>
      </w:r>
    </w:p>
    <w:p w14:paraId="3C9FC21A" w14:textId="77777777" w:rsidR="002D5ECC" w:rsidRPr="00E72418" w:rsidRDefault="007701C0" w:rsidP="00CC4BA8">
      <w:pPr>
        <w:spacing w:line="276" w:lineRule="auto"/>
      </w:pPr>
      <w:r w:rsidRPr="00E72418">
        <w:t>C</w:t>
      </w:r>
      <w:r w:rsidR="00A50A7E" w:rsidRPr="00E72418">
        <w:t xml:space="preserve">ertains </w:t>
      </w:r>
      <w:r w:rsidR="00A50A7E" w:rsidRPr="00E72418">
        <w:rPr>
          <w:lang w:eastAsia="fr-BE"/>
        </w:rPr>
        <w:t>É</w:t>
      </w:r>
      <w:r w:rsidR="002D5ECC" w:rsidRPr="00E72418">
        <w:t xml:space="preserve">tats attaqués par leurs créanciers </w:t>
      </w:r>
      <w:r w:rsidRPr="00E72418">
        <w:t xml:space="preserve">virent dans la règle codifiée </w:t>
      </w:r>
      <w:r w:rsidR="002D5ECC" w:rsidRPr="00E72418">
        <w:t>un moyen de défense</w:t>
      </w:r>
      <w:r w:rsidRPr="00E72418">
        <w:t xml:space="preserve"> utile</w:t>
      </w:r>
      <w:r w:rsidR="002D5ECC" w:rsidRPr="00E72418">
        <w:rPr>
          <w:rStyle w:val="Appelnotedebasdep"/>
        </w:rPr>
        <w:footnoteReference w:id="1194"/>
      </w:r>
      <w:r w:rsidR="002D5ECC" w:rsidRPr="00E72418">
        <w:t>. Il y a</w:t>
      </w:r>
      <w:r w:rsidRPr="00E72418">
        <w:t>,</w:t>
      </w:r>
      <w:r w:rsidR="002D5ECC" w:rsidRPr="00E72418">
        <w:t xml:space="preserve"> en effet</w:t>
      </w:r>
      <w:r w:rsidRPr="00E72418">
        <w:t>,</w:t>
      </w:r>
      <w:r w:rsidR="002D5ECC" w:rsidRPr="00E72418">
        <w:t xml:space="preserve"> dans la règle de la </w:t>
      </w:r>
      <w:r w:rsidR="002D5ECC" w:rsidRPr="00E72418">
        <w:rPr>
          <w:i/>
        </w:rPr>
        <w:t>champerty</w:t>
      </w:r>
      <w:r w:rsidR="002D5ECC" w:rsidRPr="00E72418">
        <w:t xml:space="preserve"> un moyen pour l’</w:t>
      </w:r>
      <w:r w:rsidR="002D5ECC" w:rsidRPr="00E72418">
        <w:rPr>
          <w:lang w:eastAsia="fr-BE"/>
        </w:rPr>
        <w:t>É</w:t>
      </w:r>
      <w:r w:rsidR="002D5ECC" w:rsidRPr="00E72418">
        <w:t>tat débiteur de s’opposer à l’action en justice d’un fonds cessionnaire lorsque la cession s’est faite dans un but exclusivement spéculatif</w:t>
      </w:r>
      <w:r w:rsidR="002D5ECC" w:rsidRPr="00E72418">
        <w:rPr>
          <w:rStyle w:val="Appelnotedebasdep"/>
        </w:rPr>
        <w:footnoteReference w:id="1195"/>
      </w:r>
      <w:r w:rsidR="002D5ECC" w:rsidRPr="00E72418">
        <w:t xml:space="preserve">. Tout séduisant qu’est l’argument, il n’est toutefois pas aisé à mobiliser </w:t>
      </w:r>
      <w:r w:rsidR="00A50A7E" w:rsidRPr="00E72418">
        <w:t xml:space="preserve">dès lors qu’il revient </w:t>
      </w:r>
      <w:r w:rsidRPr="00E72418">
        <w:t xml:space="preserve">à </w:t>
      </w:r>
      <w:r w:rsidR="00A50A7E" w:rsidRPr="00E72418">
        <w:t>l’</w:t>
      </w:r>
      <w:r w:rsidR="00A50A7E" w:rsidRPr="00E72418">
        <w:rPr>
          <w:lang w:eastAsia="fr-BE"/>
        </w:rPr>
        <w:t>É</w:t>
      </w:r>
      <w:r w:rsidR="002D5ECC" w:rsidRPr="00E72418">
        <w:t>tat de démontrer le dessein spéculatif du créancier secondaire</w:t>
      </w:r>
      <w:r w:rsidR="002D5ECC" w:rsidRPr="00E72418">
        <w:rPr>
          <w:rStyle w:val="Appelnotedebasdep"/>
        </w:rPr>
        <w:footnoteReference w:id="1196"/>
      </w:r>
      <w:r w:rsidR="002D5ECC" w:rsidRPr="00E72418">
        <w:t>.</w:t>
      </w:r>
    </w:p>
    <w:p w14:paraId="57E62FFE" w14:textId="77777777" w:rsidR="0013370D" w:rsidRPr="00E72418" w:rsidRDefault="0013370D" w:rsidP="0054314B"/>
    <w:p w14:paraId="34CC073B" w14:textId="169822CD" w:rsidR="00BE4BD3" w:rsidRPr="00E72418" w:rsidRDefault="007F038F" w:rsidP="00CC4BA8">
      <w:pPr>
        <w:spacing w:line="276" w:lineRule="auto"/>
        <w:rPr>
          <w:rFonts w:ascii="Times New Roman" w:hAnsi="Times New Roman"/>
          <w:b/>
        </w:rPr>
      </w:pPr>
      <w:r w:rsidRPr="00E72418">
        <w:rPr>
          <w:b/>
        </w:rPr>
        <w:t>244</w:t>
      </w:r>
      <w:r w:rsidR="00A9718E" w:rsidRPr="00E72418">
        <w:rPr>
          <w:b/>
        </w:rPr>
        <w:t xml:space="preserve">. </w:t>
      </w:r>
      <w:r w:rsidR="00C65136" w:rsidRPr="00E72418">
        <w:rPr>
          <w:b/>
        </w:rPr>
        <w:t>L’importante intention</w:t>
      </w:r>
      <w:r w:rsidR="00BE4BD3" w:rsidRPr="00E72418">
        <w:rPr>
          <w:b/>
        </w:rPr>
        <w:t xml:space="preserve"> </w:t>
      </w:r>
      <w:r w:rsidR="00BE4BD3" w:rsidRPr="00E72418">
        <w:rPr>
          <w:rFonts w:ascii="Times New Roman" w:hAnsi="Times New Roman"/>
          <w:b/>
        </w:rPr>
        <w:t xml:space="preserve">– </w:t>
      </w:r>
      <w:r w:rsidR="007701C0" w:rsidRPr="00E72418">
        <w:rPr>
          <w:rFonts w:ascii="Times New Roman" w:hAnsi="Times New Roman"/>
        </w:rPr>
        <w:t>Deux décisions new-yorkaises</w:t>
      </w:r>
      <w:r w:rsidR="00C51348" w:rsidRPr="00E72418">
        <w:rPr>
          <w:rFonts w:ascii="Times New Roman" w:hAnsi="Times New Roman"/>
        </w:rPr>
        <w:t xml:space="preserve"> remarquées,</w:t>
      </w:r>
      <w:r w:rsidR="007701C0" w:rsidRPr="00E72418">
        <w:rPr>
          <w:rFonts w:ascii="Times New Roman" w:hAnsi="Times New Roman"/>
        </w:rPr>
        <w:t xml:space="preserve"> </w:t>
      </w:r>
      <w:r w:rsidR="00C51348" w:rsidRPr="00E72418">
        <w:rPr>
          <w:i/>
        </w:rPr>
        <w:t>CIBC Bank &amp; Trust Co. v. Banco Cent. do Brasil</w:t>
      </w:r>
      <w:r w:rsidR="00C51348" w:rsidRPr="00E72418">
        <w:rPr>
          <w:rFonts w:ascii="Times New Roman" w:hAnsi="Times New Roman"/>
        </w:rPr>
        <w:t xml:space="preserve"> et </w:t>
      </w:r>
      <w:r w:rsidR="0013370D" w:rsidRPr="00E72418">
        <w:rPr>
          <w:i/>
          <w:szCs w:val="18"/>
          <w:lang w:val="en-US"/>
        </w:rPr>
        <w:t>Elliott Assocs.</w:t>
      </w:r>
      <w:r w:rsidR="00C51348" w:rsidRPr="00E72418">
        <w:rPr>
          <w:i/>
          <w:szCs w:val="18"/>
          <w:lang w:val="en-US"/>
        </w:rPr>
        <w:t xml:space="preserve"> L.P. v. Republic of Peru</w:t>
      </w:r>
      <w:r w:rsidR="00C51348" w:rsidRPr="00E72418">
        <w:rPr>
          <w:rFonts w:ascii="Times New Roman" w:hAnsi="Times New Roman"/>
        </w:rPr>
        <w:t xml:space="preserve">, </w:t>
      </w:r>
      <w:r w:rsidR="007701C0" w:rsidRPr="00E72418">
        <w:rPr>
          <w:rFonts w:ascii="Times New Roman" w:hAnsi="Times New Roman"/>
        </w:rPr>
        <w:t>façonnèrent</w:t>
      </w:r>
      <w:r w:rsidR="00BE4BD3" w:rsidRPr="00E72418">
        <w:rPr>
          <w:rFonts w:ascii="Times New Roman" w:hAnsi="Times New Roman"/>
        </w:rPr>
        <w:t xml:space="preserve"> l’argument </w:t>
      </w:r>
      <w:r w:rsidR="00BB2054" w:rsidRPr="00E72418">
        <w:rPr>
          <w:rFonts w:ascii="Times New Roman" w:hAnsi="Times New Roman"/>
        </w:rPr>
        <w:t xml:space="preserve">de défense </w:t>
      </w:r>
      <w:r w:rsidR="007701C0" w:rsidRPr="00E72418">
        <w:rPr>
          <w:rFonts w:ascii="Times New Roman" w:hAnsi="Times New Roman"/>
        </w:rPr>
        <w:t xml:space="preserve">tiré de la règle de la </w:t>
      </w:r>
      <w:r w:rsidR="007701C0" w:rsidRPr="00E72418">
        <w:rPr>
          <w:i/>
        </w:rPr>
        <w:t>champerty</w:t>
      </w:r>
      <w:r w:rsidR="00C76981" w:rsidRPr="00E72418">
        <w:rPr>
          <w:rFonts w:ascii="Times New Roman" w:hAnsi="Times New Roman"/>
        </w:rPr>
        <w:t xml:space="preserve">. Elles retinrent </w:t>
      </w:r>
      <w:r w:rsidR="00BB2054" w:rsidRPr="00E72418">
        <w:rPr>
          <w:rFonts w:ascii="Times New Roman" w:hAnsi="Times New Roman"/>
        </w:rPr>
        <w:t>l’exigence</w:t>
      </w:r>
      <w:r w:rsidR="00BE4BD3" w:rsidRPr="00E72418">
        <w:rPr>
          <w:rFonts w:ascii="Times New Roman" w:hAnsi="Times New Roman"/>
        </w:rPr>
        <w:t xml:space="preserve"> que </w:t>
      </w:r>
      <w:r w:rsidR="005301A0" w:rsidRPr="00E72418">
        <w:rPr>
          <w:rFonts w:ascii="Times New Roman" w:hAnsi="Times New Roman"/>
        </w:rPr>
        <w:t xml:space="preserve">le recouvrement judiciaire </w:t>
      </w:r>
      <w:r w:rsidR="00C76981" w:rsidRPr="00E72418">
        <w:rPr>
          <w:rFonts w:ascii="Times New Roman" w:hAnsi="Times New Roman"/>
        </w:rPr>
        <w:t xml:space="preserve">d’une </w:t>
      </w:r>
      <w:r w:rsidR="00C51348" w:rsidRPr="00E72418">
        <w:rPr>
          <w:rFonts w:ascii="Times New Roman" w:hAnsi="Times New Roman"/>
        </w:rPr>
        <w:t>dette soit la première intention et le</w:t>
      </w:r>
      <w:r w:rsidR="00BE4BD3" w:rsidRPr="00E72418">
        <w:rPr>
          <w:rFonts w:ascii="Times New Roman" w:hAnsi="Times New Roman"/>
        </w:rPr>
        <w:t xml:space="preserve"> seul object</w:t>
      </w:r>
      <w:r w:rsidR="007701C0" w:rsidRPr="00E72418">
        <w:rPr>
          <w:rFonts w:ascii="Times New Roman" w:hAnsi="Times New Roman"/>
        </w:rPr>
        <w:t>if du créancier lorsqu’il en fait</w:t>
      </w:r>
      <w:r w:rsidR="00BE4BD3" w:rsidRPr="00E72418">
        <w:rPr>
          <w:rFonts w:ascii="Times New Roman" w:hAnsi="Times New Roman"/>
        </w:rPr>
        <w:t xml:space="preserve"> l’acqui</w:t>
      </w:r>
      <w:r w:rsidR="007701C0" w:rsidRPr="00E72418">
        <w:rPr>
          <w:rFonts w:ascii="Times New Roman" w:hAnsi="Times New Roman"/>
        </w:rPr>
        <w:t>sition</w:t>
      </w:r>
      <w:r w:rsidR="00BE4BD3" w:rsidRPr="00E72418">
        <w:rPr>
          <w:rStyle w:val="Appelnotedebasdep"/>
          <w:rFonts w:ascii="Times New Roman" w:hAnsi="Times New Roman"/>
        </w:rPr>
        <w:footnoteReference w:id="1197"/>
      </w:r>
      <w:r w:rsidR="00BE4BD3" w:rsidRPr="00E72418">
        <w:rPr>
          <w:rFonts w:ascii="Times New Roman" w:hAnsi="Times New Roman"/>
        </w:rPr>
        <w:t>.</w:t>
      </w:r>
    </w:p>
    <w:p w14:paraId="123E21C0" w14:textId="2698BBC4" w:rsidR="00BE4BD3" w:rsidRPr="00E72418" w:rsidRDefault="00BE4BD3" w:rsidP="00CC4BA8">
      <w:pPr>
        <w:spacing w:line="276" w:lineRule="auto"/>
      </w:pPr>
      <w:r w:rsidRPr="00E72418">
        <w:t xml:space="preserve">Dans l’affaire </w:t>
      </w:r>
      <w:r w:rsidRPr="00E72418">
        <w:rPr>
          <w:i/>
        </w:rPr>
        <w:t>CIBC Bank &amp; Trust Co. v. Banco Cent. do Brasil</w:t>
      </w:r>
      <w:r w:rsidRPr="00E72418">
        <w:t xml:space="preserve">, la règle de la </w:t>
      </w:r>
      <w:r w:rsidRPr="00E72418">
        <w:rPr>
          <w:i/>
        </w:rPr>
        <w:t>champerty</w:t>
      </w:r>
      <w:r w:rsidRPr="00E72418">
        <w:t xml:space="preserve"> fut avancée </w:t>
      </w:r>
      <w:r w:rsidR="00BB2054" w:rsidRPr="00E72418">
        <w:t>par le débiteur au</w:t>
      </w:r>
      <w:r w:rsidR="00C51348" w:rsidRPr="00E72418">
        <w:t xml:space="preserve"> motif </w:t>
      </w:r>
      <w:r w:rsidRPr="00E72418">
        <w:t>que la dette poursuivie</w:t>
      </w:r>
      <w:r w:rsidR="00C51348" w:rsidRPr="00E72418">
        <w:t>,</w:t>
      </w:r>
      <w:r w:rsidRPr="00E72418">
        <w:t xml:space="preserve"> </w:t>
      </w:r>
      <w:r w:rsidR="00C51348" w:rsidRPr="00E72418">
        <w:t xml:space="preserve">rachetée dans un premier temps </w:t>
      </w:r>
      <w:r w:rsidR="00BB2054" w:rsidRPr="00E72418">
        <w:rPr>
          <w:rFonts w:ascii="Times New Roman" w:hAnsi="Times New Roman" w:cs="Times New Roman"/>
          <w:szCs w:val="24"/>
        </w:rPr>
        <w:t xml:space="preserve">à prix réduit </w:t>
      </w:r>
      <w:r w:rsidR="00C51348" w:rsidRPr="00E72418">
        <w:t xml:space="preserve">par </w:t>
      </w:r>
      <w:r w:rsidR="00C51348" w:rsidRPr="00E72418">
        <w:rPr>
          <w:rFonts w:ascii="Times New Roman" w:hAnsi="Times New Roman" w:cs="Times New Roman"/>
          <w:szCs w:val="24"/>
        </w:rPr>
        <w:t xml:space="preserve">la famille </w:t>
      </w:r>
      <w:r w:rsidR="00C51348" w:rsidRPr="00E72418">
        <w:rPr>
          <w:rFonts w:ascii="Times New Roman" w:hAnsi="Times New Roman" w:cs="Times New Roman"/>
          <w:i/>
          <w:szCs w:val="24"/>
        </w:rPr>
        <w:t>Dart</w:t>
      </w:r>
      <w:r w:rsidR="00C51348" w:rsidRPr="00E72418">
        <w:rPr>
          <w:rFonts w:ascii="Times New Roman" w:hAnsi="Times New Roman" w:cs="Times New Roman"/>
          <w:szCs w:val="24"/>
        </w:rPr>
        <w:t xml:space="preserve"> sur le marché secondaire,</w:t>
      </w:r>
      <w:r w:rsidR="00C51348" w:rsidRPr="00E72418">
        <w:t xml:space="preserve"> </w:t>
      </w:r>
      <w:r w:rsidRPr="00E72418">
        <w:t xml:space="preserve">avait </w:t>
      </w:r>
      <w:r w:rsidR="00C51348" w:rsidRPr="00E72418">
        <w:t xml:space="preserve">ensuite </w:t>
      </w:r>
      <w:r w:rsidRPr="00E72418">
        <w:t xml:space="preserve">été cédée à </w:t>
      </w:r>
      <w:r w:rsidR="00C51348" w:rsidRPr="00E72418">
        <w:t xml:space="preserve">une société détenue par la cédante, la </w:t>
      </w:r>
      <w:r w:rsidR="00C51348" w:rsidRPr="00E72418">
        <w:rPr>
          <w:i/>
        </w:rPr>
        <w:t>CIBC Bank &amp; Trust Co</w:t>
      </w:r>
      <w:r w:rsidR="00C51348" w:rsidRPr="00E72418">
        <w:t xml:space="preserve">. </w:t>
      </w:r>
      <w:r w:rsidRPr="00E72418">
        <w:t xml:space="preserve">Après que la </w:t>
      </w:r>
      <w:r w:rsidRPr="00735BBE">
        <w:rPr>
          <w:shd w:val="clear" w:color="auto" w:fill="FFFFFF"/>
        </w:rPr>
        <w:t>United States District Court for the Southern District of New York</w:t>
      </w:r>
      <w:r w:rsidRPr="00E72418">
        <w:rPr>
          <w:shd w:val="clear" w:color="auto" w:fill="FFFFFF"/>
        </w:rPr>
        <w:t xml:space="preserve"> ait indiqué que </w:t>
      </w:r>
      <w:r w:rsidRPr="00E72418">
        <w:t xml:space="preserve">« </w:t>
      </w:r>
      <w:r w:rsidRPr="00E72418">
        <w:rPr>
          <w:rFonts w:ascii="Times New Roman" w:hAnsi="Times New Roman"/>
        </w:rPr>
        <w:t>[t]</w:t>
      </w:r>
      <w:r w:rsidRPr="00E72418">
        <w:t>o demonstrate champerty, a defendant must show that the assignment was made with the intent and purpose of bringing suit, a decidedly fact-specific inquiry », elle conclut que « such a finding would be inappropriate in this case»</w:t>
      </w:r>
      <w:r w:rsidRPr="00E72418">
        <w:rPr>
          <w:rStyle w:val="Appelnotedebasdep"/>
          <w:rFonts w:cs="Times New Roman"/>
          <w:szCs w:val="24"/>
        </w:rPr>
        <w:footnoteReference w:id="1198"/>
      </w:r>
      <w:r w:rsidRPr="00E72418">
        <w:t xml:space="preserve">. </w:t>
      </w:r>
      <w:r w:rsidR="00674C1A" w:rsidRPr="00E72418">
        <w:t>À</w:t>
      </w:r>
      <w:r w:rsidRPr="00E72418">
        <w:t xml:space="preserve"> l’appui de sa décision, la juridiction </w:t>
      </w:r>
      <w:r w:rsidR="000370B1" w:rsidRPr="00E72418">
        <w:t>fit</w:t>
      </w:r>
      <w:r w:rsidRPr="00E72418">
        <w:t xml:space="preserve"> valoir que « </w:t>
      </w:r>
      <w:r w:rsidRPr="00E72418">
        <w:rPr>
          <w:rFonts w:ascii="Times New Roman" w:hAnsi="Times New Roman"/>
        </w:rPr>
        <w:t>[t]</w:t>
      </w:r>
      <w:r w:rsidRPr="00E72418">
        <w:t>here is no doubt that, given the timing of the filing of suit in this case, it could be inferred that one of the purposes of the assignment was to bring suit. Based on the complaint, however, there is reason to infer that other functions go along with service as holder-of-record »</w:t>
      </w:r>
      <w:r w:rsidRPr="00E72418">
        <w:rPr>
          <w:rStyle w:val="Appelnotedebasdep"/>
          <w:rFonts w:cs="Times New Roman"/>
          <w:szCs w:val="24"/>
        </w:rPr>
        <w:footnoteReference w:id="1199"/>
      </w:r>
      <w:r w:rsidRPr="00E72418">
        <w:t xml:space="preserve">. Ainsi, il </w:t>
      </w:r>
      <w:r w:rsidR="000370B1" w:rsidRPr="00E72418">
        <w:t>fut</w:t>
      </w:r>
      <w:r w:rsidRPr="00E72418">
        <w:t xml:space="preserve"> retenu </w:t>
      </w:r>
      <w:r w:rsidR="000370B1" w:rsidRPr="00E72418">
        <w:t xml:space="preserve">par la </w:t>
      </w:r>
      <w:r w:rsidR="00C76981" w:rsidRPr="00735BBE">
        <w:rPr>
          <w:shd w:val="clear" w:color="auto" w:fill="FFFFFF"/>
        </w:rPr>
        <w:t xml:space="preserve">United States District </w:t>
      </w:r>
      <w:r w:rsidR="00C76981" w:rsidRPr="00735BBE">
        <w:rPr>
          <w:shd w:val="clear" w:color="auto" w:fill="FFFFFF"/>
        </w:rPr>
        <w:lastRenderedPageBreak/>
        <w:t>Court for the Southern District of New York</w:t>
      </w:r>
      <w:r w:rsidR="00C76981" w:rsidRPr="00735BBE">
        <w:t xml:space="preserve"> </w:t>
      </w:r>
      <w:r w:rsidRPr="00E72418">
        <w:t>que</w:t>
      </w:r>
      <w:r w:rsidR="00D22E33" w:rsidRPr="00E72418">
        <w:t>,</w:t>
      </w:r>
      <w:r w:rsidR="00C76981" w:rsidRPr="00E72418">
        <w:t xml:space="preserve"> bien que </w:t>
      </w:r>
      <w:r w:rsidRPr="00E72418">
        <w:t>la cession visait l’introduction d’un procès</w:t>
      </w:r>
      <w:r w:rsidR="00BB2054" w:rsidRPr="00E72418">
        <w:t>, ce dernier</w:t>
      </w:r>
      <w:r w:rsidR="00C76981" w:rsidRPr="00E72418">
        <w:t xml:space="preserve"> n</w:t>
      </w:r>
      <w:r w:rsidRPr="00E72418">
        <w:t>’</w:t>
      </w:r>
      <w:r w:rsidR="000370B1" w:rsidRPr="00E72418">
        <w:t xml:space="preserve">en était </w:t>
      </w:r>
      <w:r w:rsidR="00C76981" w:rsidRPr="00E72418">
        <w:t xml:space="preserve">toutefois </w:t>
      </w:r>
      <w:r w:rsidR="000370B1" w:rsidRPr="00E72418">
        <w:t xml:space="preserve">pas l’unique </w:t>
      </w:r>
      <w:r w:rsidRPr="00E72418">
        <w:t>objectif</w:t>
      </w:r>
      <w:r w:rsidR="00C76981" w:rsidRPr="00E72418">
        <w:t>.</w:t>
      </w:r>
    </w:p>
    <w:p w14:paraId="74A188E1" w14:textId="77777777" w:rsidR="00BE4BD3" w:rsidRPr="00E72418" w:rsidRDefault="00BE4BD3" w:rsidP="00CC4BA8">
      <w:pPr>
        <w:spacing w:line="276" w:lineRule="auto"/>
      </w:pPr>
      <w:r w:rsidRPr="00E72418">
        <w:rPr>
          <w:rFonts w:ascii="Times New Roman" w:hAnsi="Times New Roman"/>
        </w:rPr>
        <w:t xml:space="preserve">Dans le cadre du contentieux péruvien impliquant le fonds </w:t>
      </w:r>
      <w:r w:rsidR="007F771E" w:rsidRPr="00E72418">
        <w:rPr>
          <w:rFonts w:ascii="Times New Roman" w:hAnsi="Times New Roman"/>
        </w:rPr>
        <w:t xml:space="preserve">spéculatif </w:t>
      </w:r>
      <w:r w:rsidRPr="00E72418">
        <w:rPr>
          <w:i/>
        </w:rPr>
        <w:t>Elliott</w:t>
      </w:r>
      <w:r w:rsidRPr="00E72418">
        <w:rPr>
          <w:rFonts w:ascii="Times New Roman" w:hAnsi="Times New Roman"/>
        </w:rPr>
        <w:t xml:space="preserve">, la </w:t>
      </w:r>
      <w:r w:rsidR="007F771E" w:rsidRPr="00735BBE">
        <w:rPr>
          <w:shd w:val="clear" w:color="auto" w:fill="FFFFFF"/>
        </w:rPr>
        <w:t>United States District Court for the Southern District of New York</w:t>
      </w:r>
      <w:r w:rsidR="007F771E" w:rsidRPr="00E72418">
        <w:rPr>
          <w:shd w:val="clear" w:color="auto" w:fill="FFFFFF"/>
        </w:rPr>
        <w:t xml:space="preserve"> </w:t>
      </w:r>
      <w:r w:rsidR="007F771E" w:rsidRPr="00E72418">
        <w:rPr>
          <w:rFonts w:ascii="Times New Roman" w:hAnsi="Times New Roman"/>
        </w:rPr>
        <w:t>décida</w:t>
      </w:r>
      <w:r w:rsidR="00BB2054" w:rsidRPr="00E72418">
        <w:rPr>
          <w:rFonts w:ascii="Times New Roman" w:hAnsi="Times New Roman"/>
        </w:rPr>
        <w:t xml:space="preserve">, </w:t>
      </w:r>
      <w:r w:rsidR="00BB2054" w:rsidRPr="00E72418">
        <w:rPr>
          <w:rFonts w:ascii="Times New Roman" w:hAnsi="Times New Roman" w:cs="Times New Roman"/>
          <w:szCs w:val="24"/>
        </w:rPr>
        <w:t>en première instance,</w:t>
      </w:r>
      <w:r w:rsidRPr="00E72418">
        <w:rPr>
          <w:rFonts w:ascii="Times New Roman" w:hAnsi="Times New Roman"/>
        </w:rPr>
        <w:t xml:space="preserve"> qu’il y avait eu de la part du créancier une violation de la loi new-yorkaise de </w:t>
      </w:r>
      <w:r w:rsidRPr="00E72418">
        <w:rPr>
          <w:rFonts w:ascii="Times New Roman" w:hAnsi="Times New Roman"/>
          <w:i/>
        </w:rPr>
        <w:t>champerty</w:t>
      </w:r>
      <w:r w:rsidRPr="00E72418">
        <w:rPr>
          <w:rStyle w:val="Appelnotedebasdep"/>
          <w:rFonts w:cs="Times New Roman"/>
          <w:szCs w:val="24"/>
        </w:rPr>
        <w:footnoteReference w:id="1200"/>
      </w:r>
      <w:r w:rsidR="007F771E" w:rsidRPr="00E72418">
        <w:rPr>
          <w:rFonts w:ascii="Times New Roman" w:hAnsi="Times New Roman"/>
        </w:rPr>
        <w:t xml:space="preserve">. De l’avis de la juridiction, on ne pouvait douter de son </w:t>
      </w:r>
      <w:r w:rsidRPr="00E72418">
        <w:rPr>
          <w:rFonts w:ascii="Times New Roman" w:hAnsi="Times New Roman"/>
        </w:rPr>
        <w:t xml:space="preserve">intention d’attaquer son débiteur en justice dans la mesure où aucune démarche sérieuse et de bonne foi n’avait été </w:t>
      </w:r>
      <w:r w:rsidR="007F771E" w:rsidRPr="00E72418">
        <w:rPr>
          <w:rFonts w:ascii="Times New Roman" w:hAnsi="Times New Roman"/>
        </w:rPr>
        <w:t>entreprise</w:t>
      </w:r>
      <w:r w:rsidRPr="00E72418">
        <w:rPr>
          <w:rFonts w:ascii="Times New Roman" w:hAnsi="Times New Roman"/>
        </w:rPr>
        <w:t xml:space="preserve"> afin de parvenir à une restructuration de la dette </w:t>
      </w:r>
      <w:r w:rsidR="007F771E" w:rsidRPr="00E72418">
        <w:rPr>
          <w:rFonts w:ascii="Times New Roman" w:hAnsi="Times New Roman"/>
        </w:rPr>
        <w:t>ébranlée</w:t>
      </w:r>
      <w:r w:rsidRPr="00E72418">
        <w:rPr>
          <w:rStyle w:val="Appelnotedebasdep"/>
          <w:rFonts w:cs="Times New Roman"/>
          <w:szCs w:val="24"/>
        </w:rPr>
        <w:footnoteReference w:id="1201"/>
      </w:r>
      <w:r w:rsidRPr="00E72418">
        <w:rPr>
          <w:rFonts w:ascii="Times New Roman" w:hAnsi="Times New Roman"/>
        </w:rPr>
        <w:t xml:space="preserve">. </w:t>
      </w:r>
      <w:r w:rsidRPr="00E72418">
        <w:t xml:space="preserve">En appel, la </w:t>
      </w:r>
      <w:r w:rsidRPr="00735BBE">
        <w:t>Cour of Appeals for the Second Circuit</w:t>
      </w:r>
      <w:r w:rsidRPr="00E72418">
        <w:t xml:space="preserve"> retint toutefois que « we hold that </w:t>
      </w:r>
      <w:r w:rsidRPr="00E72418">
        <w:rPr>
          <w:i/>
          <w:iCs/>
        </w:rPr>
        <w:t xml:space="preserve">Section 489 </w:t>
      </w:r>
      <w:r w:rsidR="007F771E" w:rsidRPr="00E72418">
        <w:rPr>
          <w:iCs/>
        </w:rPr>
        <w:t>(</w:t>
      </w:r>
      <w:r w:rsidR="007F771E" w:rsidRPr="00E72418">
        <w:rPr>
          <w:i/>
          <w:iCs/>
        </w:rPr>
        <w:t>i.e.</w:t>
      </w:r>
      <w:r w:rsidR="007F771E" w:rsidRPr="00E72418">
        <w:rPr>
          <w:iCs/>
        </w:rPr>
        <w:t xml:space="preserve"> la disposition de la </w:t>
      </w:r>
      <w:r w:rsidR="007F771E" w:rsidRPr="00E72418">
        <w:rPr>
          <w:i/>
        </w:rPr>
        <w:t>New York Judiciary Law</w:t>
      </w:r>
      <w:r w:rsidR="007F771E" w:rsidRPr="00E72418">
        <w:t xml:space="preserve"> reprenant la règle de la </w:t>
      </w:r>
      <w:r w:rsidR="007F771E" w:rsidRPr="00E72418">
        <w:rPr>
          <w:i/>
        </w:rPr>
        <w:t>champerty</w:t>
      </w:r>
      <w:r w:rsidR="007F771E" w:rsidRPr="00E72418">
        <w:t xml:space="preserve">) </w:t>
      </w:r>
      <w:r w:rsidRPr="00E72418">
        <w:t>is not violated when, as here, the accused party’s “primary goal” is found to be satisfaction of a valid debt and its intent is only to sue absent full performance »</w:t>
      </w:r>
      <w:r w:rsidRPr="00E72418">
        <w:rPr>
          <w:rStyle w:val="Appelnotedebasdep"/>
          <w:szCs w:val="24"/>
        </w:rPr>
        <w:footnoteReference w:id="1202"/>
      </w:r>
      <w:r w:rsidRPr="00E72418">
        <w:t>.</w:t>
      </w:r>
      <w:r w:rsidRPr="00E72418">
        <w:rPr>
          <w:rFonts w:ascii="Times New Roman" w:hAnsi="Times New Roman"/>
        </w:rPr>
        <w:t xml:space="preserve"> </w:t>
      </w:r>
      <w:r w:rsidRPr="00E72418">
        <w:t xml:space="preserve">La Cour rappela dans son raisonnement l’affaire </w:t>
      </w:r>
      <w:r w:rsidRPr="00E72418">
        <w:rPr>
          <w:i/>
        </w:rPr>
        <w:t>Moses v. McDivitt</w:t>
      </w:r>
      <w:r w:rsidRPr="00E72418">
        <w:t xml:space="preserve"> et l’idée y retenue selon laquelle « where the debt instrument is acquired for the primary purpose of enforcing it, with intent to resort to litigation to the extent necessary to accomplish the enforcement, the intent to litigate is “merely incidental and contingent” and does not violate the statute »</w:t>
      </w:r>
      <w:r w:rsidRPr="00E72418">
        <w:rPr>
          <w:rStyle w:val="Appelnotedebasdep"/>
          <w:rFonts w:cs="Times New Roman"/>
          <w:szCs w:val="24"/>
        </w:rPr>
        <w:footnoteReference w:id="1203"/>
      </w:r>
      <w:r w:rsidRPr="00E72418">
        <w:t>.</w:t>
      </w:r>
      <w:r w:rsidRPr="00E72418">
        <w:rPr>
          <w:rFonts w:ascii="Times New Roman" w:hAnsi="Times New Roman"/>
        </w:rPr>
        <w:t xml:space="preserve"> </w:t>
      </w:r>
      <w:r w:rsidRPr="00E72418">
        <w:t xml:space="preserve">Appliquant cette règle au cas </w:t>
      </w:r>
      <w:r w:rsidR="007F771E" w:rsidRPr="00E72418">
        <w:t>péruvien</w:t>
      </w:r>
      <w:r w:rsidR="0004079A" w:rsidRPr="00E72418">
        <w:t xml:space="preserve">, la </w:t>
      </w:r>
      <w:r w:rsidR="004E64CD" w:rsidRPr="00735BBE">
        <w:t>Cour of Appeals for the Second Circuit</w:t>
      </w:r>
      <w:r w:rsidR="0004079A" w:rsidRPr="00E72418">
        <w:t xml:space="preserve"> releva qu’</w:t>
      </w:r>
      <w:r w:rsidRPr="00E72418">
        <w:t xml:space="preserve"> « any intent on Elliott’s part to bring suit against the Debtors was “incidental and contingent” </w:t>
      </w:r>
      <w:r w:rsidRPr="00E72418">
        <w:rPr>
          <w:rFonts w:ascii="Times New Roman" w:hAnsi="Times New Roman"/>
        </w:rPr>
        <w:t>[…]</w:t>
      </w:r>
      <w:r w:rsidRPr="00E72418">
        <w:t xml:space="preserve"> »</w:t>
      </w:r>
      <w:r w:rsidRPr="00E72418">
        <w:rPr>
          <w:rStyle w:val="Appelnotedebasdep"/>
        </w:rPr>
        <w:footnoteReference w:id="1204"/>
      </w:r>
      <w:r w:rsidRPr="00E72418">
        <w:t xml:space="preserve">. De l’avis de la </w:t>
      </w:r>
      <w:r w:rsidR="004E64CD" w:rsidRPr="00E72418">
        <w:t>juridiction d’appel</w:t>
      </w:r>
      <w:r w:rsidR="00C65136" w:rsidRPr="00E72418">
        <w:t xml:space="preserve">, la position </w:t>
      </w:r>
      <w:r w:rsidRPr="00E72418">
        <w:t xml:space="preserve">tenue en première instance </w:t>
      </w:r>
      <w:r w:rsidR="00C65136" w:rsidRPr="00E72418">
        <w:t xml:space="preserve">par la </w:t>
      </w:r>
      <w:r w:rsidR="00C65136" w:rsidRPr="00735BBE">
        <w:rPr>
          <w:shd w:val="clear" w:color="auto" w:fill="FFFFFF"/>
        </w:rPr>
        <w:t>United States District Court for the Southern District of New York</w:t>
      </w:r>
      <w:r w:rsidR="00C65136" w:rsidRPr="00E72418">
        <w:t xml:space="preserve"> </w:t>
      </w:r>
      <w:r w:rsidRPr="00E72418">
        <w:t xml:space="preserve">n’était pas souhaitable </w:t>
      </w:r>
      <w:r w:rsidR="0017729F" w:rsidRPr="00E72418">
        <w:t xml:space="preserve">pour le marché des </w:t>
      </w:r>
      <w:r w:rsidR="004E64CD" w:rsidRPr="00E72418">
        <w:t>dette</w:t>
      </w:r>
      <w:r w:rsidR="0017729F" w:rsidRPr="00E72418">
        <w:t>s</w:t>
      </w:r>
      <w:r w:rsidR="004E64CD" w:rsidRPr="00E72418">
        <w:t xml:space="preserve"> souveraine</w:t>
      </w:r>
      <w:r w:rsidR="0017729F" w:rsidRPr="00E72418">
        <w:t>s</w:t>
      </w:r>
      <w:r w:rsidR="00C65136" w:rsidRPr="00E72418">
        <w:t>. L’importance du</w:t>
      </w:r>
      <w:r w:rsidR="004E64CD" w:rsidRPr="00E72418">
        <w:t xml:space="preserve"> </w:t>
      </w:r>
      <w:r w:rsidRPr="00E72418">
        <w:t xml:space="preserve">risque </w:t>
      </w:r>
      <w:r w:rsidR="00C65136" w:rsidRPr="00E72418">
        <w:t xml:space="preserve">ainsi </w:t>
      </w:r>
      <w:r w:rsidRPr="00E72418">
        <w:t>encouru par les créanciers primaires qui peineraient à trouver des investisseurs prêts à racheter leurs créances</w:t>
      </w:r>
      <w:r w:rsidR="004E64CD" w:rsidRPr="00E72418">
        <w:t xml:space="preserve"> </w:t>
      </w:r>
      <w:r w:rsidR="00C65136" w:rsidRPr="00E72418">
        <w:t xml:space="preserve">aurait en effet compliqué le financement des </w:t>
      </w:r>
      <w:r w:rsidR="00C65136" w:rsidRPr="00E72418">
        <w:rPr>
          <w:lang w:eastAsia="fr-BE"/>
        </w:rPr>
        <w:t>É</w:t>
      </w:r>
      <w:r w:rsidR="00C65136" w:rsidRPr="00E72418">
        <w:t>tats et</w:t>
      </w:r>
      <w:r w:rsidR="004E64CD" w:rsidRPr="00E72418">
        <w:t xml:space="preserve"> en </w:t>
      </w:r>
      <w:r w:rsidR="00C65136" w:rsidRPr="00E72418">
        <w:t xml:space="preserve">aurait augmenté </w:t>
      </w:r>
      <w:r w:rsidR="004E64CD" w:rsidRPr="00E72418">
        <w:t>le coût</w:t>
      </w:r>
      <w:r w:rsidRPr="00E72418">
        <w:rPr>
          <w:rStyle w:val="Appelnotedebasdep"/>
        </w:rPr>
        <w:footnoteReference w:id="1205"/>
      </w:r>
      <w:r w:rsidRPr="00E72418">
        <w:t>.</w:t>
      </w:r>
    </w:p>
    <w:p w14:paraId="20BCBD2B" w14:textId="49190AEB" w:rsidR="002D5ECC" w:rsidRPr="00E72418" w:rsidRDefault="007F038F" w:rsidP="00CC4BA8">
      <w:pPr>
        <w:spacing w:line="276" w:lineRule="auto"/>
      </w:pPr>
      <w:r w:rsidRPr="00E72418">
        <w:rPr>
          <w:b/>
        </w:rPr>
        <w:lastRenderedPageBreak/>
        <w:t>24</w:t>
      </w:r>
      <w:r w:rsidR="00BF6CE7" w:rsidRPr="00E72418">
        <w:rPr>
          <w:b/>
        </w:rPr>
        <w:t>5</w:t>
      </w:r>
      <w:r w:rsidR="00A9718E" w:rsidRPr="00E72418">
        <w:rPr>
          <w:b/>
        </w:rPr>
        <w:t xml:space="preserve">. </w:t>
      </w:r>
      <w:r w:rsidR="002D5ECC" w:rsidRPr="00E72418">
        <w:rPr>
          <w:b/>
        </w:rPr>
        <w:t>La modification de 2004 –</w:t>
      </w:r>
      <w:r w:rsidR="002D5ECC" w:rsidRPr="00E72418">
        <w:t xml:space="preserve"> Outre la difficulté relative à la démonstration de l’intention du créancier, la défense basée sur la règle de la </w:t>
      </w:r>
      <w:r w:rsidR="002D5ECC" w:rsidRPr="00E72418">
        <w:rPr>
          <w:i/>
        </w:rPr>
        <w:t>champerty</w:t>
      </w:r>
      <w:r w:rsidR="002D5ECC" w:rsidRPr="00E72418">
        <w:t xml:space="preserve"> s’est </w:t>
      </w:r>
      <w:r w:rsidR="0035425F" w:rsidRPr="00E72418">
        <w:t>re</w:t>
      </w:r>
      <w:r w:rsidR="002D5ECC" w:rsidRPr="00E72418">
        <w:t xml:space="preserve">trouvée affaiblie à la suite de la modification de la règle new-yorkaise en 2004. Ainsi, la règle fut </w:t>
      </w:r>
      <w:r w:rsidR="0035425F" w:rsidRPr="00E72418">
        <w:t>revue</w:t>
      </w:r>
      <w:r w:rsidR="002D5ECC" w:rsidRPr="00E72418">
        <w:t xml:space="preserve"> pour désormais prévoir qu’elle ne s’applique plus aux dettes excédant </w:t>
      </w:r>
      <w:r w:rsidR="0035425F" w:rsidRPr="00E72418">
        <w:t>cinq cent mille dollars étatsuniens. Ce</w:t>
      </w:r>
      <w:r w:rsidR="002D5ECC" w:rsidRPr="00E72418">
        <w:t xml:space="preserve"> </w:t>
      </w:r>
      <w:r w:rsidR="0035425F" w:rsidRPr="00E72418">
        <w:t>changement,</w:t>
      </w:r>
      <w:r w:rsidR="002D5ECC" w:rsidRPr="00E72418">
        <w:t xml:space="preserve"> </w:t>
      </w:r>
      <w:r w:rsidR="0035425F" w:rsidRPr="00E72418">
        <w:t>qui fit suite au</w:t>
      </w:r>
      <w:r w:rsidR="002D5ECC" w:rsidRPr="00E72418">
        <w:t xml:space="preserve"> lobby entamé depuis le milieu des années 90 par d’imp</w:t>
      </w:r>
      <w:r w:rsidR="0035425F" w:rsidRPr="00E72418">
        <w:t>ortants fonds d’investissements</w:t>
      </w:r>
      <w:r w:rsidR="002D5ECC" w:rsidRPr="00E72418">
        <w:t xml:space="preserve"> parmi lesquels la société </w:t>
      </w:r>
      <w:r w:rsidR="002D5ECC" w:rsidRPr="00E72418">
        <w:rPr>
          <w:i/>
        </w:rPr>
        <w:t>Elliott</w:t>
      </w:r>
      <w:r w:rsidR="002D5ECC" w:rsidRPr="00E72418">
        <w:rPr>
          <w:rStyle w:val="Appelnotedebasdep"/>
        </w:rPr>
        <w:footnoteReference w:id="1206"/>
      </w:r>
      <w:r w:rsidR="0035425F" w:rsidRPr="00E72418">
        <w:t xml:space="preserve">, </w:t>
      </w:r>
      <w:r w:rsidR="002D5ECC" w:rsidRPr="00E72418">
        <w:t xml:space="preserve">est </w:t>
      </w:r>
      <w:r w:rsidR="0035425F" w:rsidRPr="00E72418">
        <w:t xml:space="preserve">notamment </w:t>
      </w:r>
      <w:r w:rsidR="00CC63BC" w:rsidRPr="00E72418">
        <w:t>justifié</w:t>
      </w:r>
      <w:r w:rsidR="002D5ECC" w:rsidRPr="00E72418">
        <w:t xml:space="preserve"> par le fait que « </w:t>
      </w:r>
      <w:r w:rsidR="002D5ECC" w:rsidRPr="00E72418">
        <w:rPr>
          <w:rFonts w:ascii="Times New Roman" w:hAnsi="Times New Roman" w:cs="Times New Roman"/>
        </w:rPr>
        <w:t>[m]</w:t>
      </w:r>
      <w:r w:rsidR="002D5ECC" w:rsidRPr="00E72418">
        <w:t>arkets have developed for the purchase and sale of claims including claims that are in default » et que « </w:t>
      </w:r>
      <w:r w:rsidR="002D5ECC" w:rsidRPr="00E72418">
        <w:rPr>
          <w:rFonts w:ascii="Times New Roman" w:hAnsi="Times New Roman" w:cs="Times New Roman"/>
        </w:rPr>
        <w:t>[t]</w:t>
      </w:r>
      <w:r w:rsidR="002D5ECC" w:rsidRPr="00E72418">
        <w:t>he ability to collect on these claims without fear of champerty litigation is essential to the fluidity of commerce in New York »</w:t>
      </w:r>
      <w:r w:rsidR="002D5ECC" w:rsidRPr="00E72418">
        <w:rPr>
          <w:rStyle w:val="Appelnotedebasdep"/>
        </w:rPr>
        <w:footnoteReference w:id="1207"/>
      </w:r>
      <w:r w:rsidR="002D5ECC" w:rsidRPr="00E72418">
        <w:t xml:space="preserve">. </w:t>
      </w:r>
    </w:p>
    <w:p w14:paraId="03B1EEB2" w14:textId="56D3C5D4" w:rsidR="002D5ECC" w:rsidRPr="00E72418" w:rsidRDefault="002D5ECC" w:rsidP="00CC4BA8">
      <w:pPr>
        <w:spacing w:line="276" w:lineRule="auto"/>
      </w:pPr>
      <w:r w:rsidRPr="00E72418">
        <w:t xml:space="preserve">La </w:t>
      </w:r>
      <w:r w:rsidR="00CC63BC" w:rsidRPr="00E72418">
        <w:t>réduction de la portée</w:t>
      </w:r>
      <w:r w:rsidRPr="00E72418">
        <w:t xml:space="preserve"> de la règle </w:t>
      </w:r>
      <w:r w:rsidR="0035425F" w:rsidRPr="00E72418">
        <w:t xml:space="preserve">de la </w:t>
      </w:r>
      <w:r w:rsidR="0035425F" w:rsidRPr="00E72418">
        <w:rPr>
          <w:i/>
        </w:rPr>
        <w:t>champerty</w:t>
      </w:r>
      <w:r w:rsidRPr="00E72418">
        <w:t xml:space="preserve"> fit tomber </w:t>
      </w:r>
      <w:r w:rsidR="0035425F" w:rsidRPr="00E72418">
        <w:t>l’entrave qu</w:t>
      </w:r>
      <w:r w:rsidR="005F132F" w:rsidRPr="00E72418">
        <w:t>e celle-ci mettait</w:t>
      </w:r>
      <w:r w:rsidRPr="00E72418">
        <w:t xml:space="preserve"> à </w:t>
      </w:r>
      <w:r w:rsidR="00B41CCF" w:rsidRPr="00E72418">
        <w:t>l’activité des fonds spéculant</w:t>
      </w:r>
      <w:r w:rsidRPr="00E72418">
        <w:t xml:space="preserve"> sur les dettes souveraines</w:t>
      </w:r>
      <w:r w:rsidR="005F132F" w:rsidRPr="00E72418">
        <w:t xml:space="preserve">. Ainsi, pour </w:t>
      </w:r>
      <w:r w:rsidR="00EA7FD2" w:rsidRPr="00E72418">
        <w:t xml:space="preserve">Pablo </w:t>
      </w:r>
      <w:r w:rsidR="005F132F" w:rsidRPr="00E72418">
        <w:t xml:space="preserve">Lopez et </w:t>
      </w:r>
      <w:r w:rsidR="00EA7FD2" w:rsidRPr="00E72418">
        <w:t xml:space="preserve">Cecilia </w:t>
      </w:r>
      <w:r w:rsidR="005F132F" w:rsidRPr="00E72418">
        <w:t xml:space="preserve">Nahon, la modification de 2004 </w:t>
      </w:r>
      <w:r w:rsidRPr="00E72418">
        <w:t>« provided significant impetus to the sovereign debt litigation business in the United States »</w:t>
      </w:r>
      <w:r w:rsidRPr="00E72418">
        <w:rPr>
          <w:rStyle w:val="Appelnotedebasdep"/>
        </w:rPr>
        <w:footnoteReference w:id="1208"/>
      </w:r>
      <w:r w:rsidRPr="00E72418">
        <w:t>. En effet,</w:t>
      </w:r>
      <w:r w:rsidR="005F132F" w:rsidRPr="00E72418">
        <w:t xml:space="preserve"> eu égard aux montants financiers considérables généralement poursuivis par les fonds spéculatifs,</w:t>
      </w:r>
      <w:r w:rsidRPr="00E72418">
        <w:t xml:space="preserve"> </w:t>
      </w:r>
      <w:r w:rsidR="005F132F" w:rsidRPr="00E72418">
        <w:t xml:space="preserve">la défense tirée de la règle de la </w:t>
      </w:r>
      <w:r w:rsidR="005F132F" w:rsidRPr="00E72418">
        <w:rPr>
          <w:i/>
        </w:rPr>
        <w:t>champerty</w:t>
      </w:r>
      <w:r w:rsidRPr="00E72418">
        <w:t xml:space="preserve"> </w:t>
      </w:r>
      <w:r w:rsidR="005F132F" w:rsidRPr="00E72418">
        <w:t xml:space="preserve">s’avère </w:t>
      </w:r>
      <w:r w:rsidRPr="00E72418">
        <w:t xml:space="preserve">quasiment </w:t>
      </w:r>
      <w:r w:rsidR="005F132F" w:rsidRPr="00E72418">
        <w:t>impraticable</w:t>
      </w:r>
      <w:r w:rsidRPr="00E72418">
        <w:t xml:space="preserve"> par les </w:t>
      </w:r>
      <w:r w:rsidRPr="00E72418">
        <w:rPr>
          <w:lang w:eastAsia="fr-BE"/>
        </w:rPr>
        <w:t>É</w:t>
      </w:r>
      <w:r w:rsidR="005F132F" w:rsidRPr="00E72418">
        <w:t xml:space="preserve">tats débiteurs en proie aux </w:t>
      </w:r>
      <w:r w:rsidRPr="00E72418">
        <w:t>action</w:t>
      </w:r>
      <w:r w:rsidR="005F132F" w:rsidRPr="00E72418">
        <w:t>s</w:t>
      </w:r>
      <w:r w:rsidRPr="00E72418">
        <w:t xml:space="preserve"> de ces fonds </w:t>
      </w:r>
      <w:r w:rsidR="005F132F" w:rsidRPr="00E72418">
        <w:t>auxquelles</w:t>
      </w:r>
      <w:r w:rsidRPr="00E72418">
        <w:t xml:space="preserve"> s’applique le droit new-yorkais</w:t>
      </w:r>
      <w:r w:rsidR="000772C3" w:rsidRPr="00E72418">
        <w:rPr>
          <w:rStyle w:val="Appelnotedebasdep"/>
        </w:rPr>
        <w:footnoteReference w:id="1209"/>
      </w:r>
      <w:r w:rsidRPr="00E72418">
        <w:t xml:space="preserve">. </w:t>
      </w:r>
    </w:p>
    <w:p w14:paraId="5C1ECE7F" w14:textId="77777777" w:rsidR="00116BFB" w:rsidRPr="00E72418" w:rsidRDefault="00116BFB" w:rsidP="0054314B"/>
    <w:p w14:paraId="24E4C1F1" w14:textId="080EE6FF" w:rsidR="00116BFB" w:rsidRPr="00E72418" w:rsidRDefault="0079091D" w:rsidP="00CC4BA8">
      <w:pPr>
        <w:pStyle w:val="DD"/>
        <w:spacing w:line="276" w:lineRule="auto"/>
        <w:rPr>
          <w:rStyle w:val="Emphaseple"/>
          <w:i/>
          <w:iCs/>
          <w:color w:val="auto"/>
        </w:rPr>
      </w:pPr>
      <w:bookmarkStart w:id="271" w:name="_Toc59280959"/>
      <w:bookmarkStart w:id="272" w:name="_Toc84540949"/>
      <w:r w:rsidRPr="00E72418">
        <w:rPr>
          <w:rStyle w:val="Emphaseple"/>
          <w:i/>
          <w:iCs/>
          <w:color w:val="auto"/>
        </w:rPr>
        <w:t>Section 2</w:t>
      </w:r>
      <w:r w:rsidR="00B9150D" w:rsidRPr="00E72418">
        <w:rPr>
          <w:rStyle w:val="Emphaseple"/>
          <w:i/>
          <w:iCs/>
          <w:color w:val="auto"/>
        </w:rPr>
        <w:t> : L’abus de droit</w:t>
      </w:r>
      <w:bookmarkEnd w:id="271"/>
      <w:bookmarkEnd w:id="272"/>
    </w:p>
    <w:p w14:paraId="3EC07ABC" w14:textId="77777777" w:rsidR="0054314B" w:rsidRPr="00E72418" w:rsidRDefault="0054314B" w:rsidP="0054314B">
      <w:pPr>
        <w:rPr>
          <w:rStyle w:val="Emphaseple"/>
          <w:i w:val="0"/>
          <w:iCs w:val="0"/>
          <w:color w:val="auto"/>
        </w:rPr>
      </w:pPr>
    </w:p>
    <w:p w14:paraId="195795A0" w14:textId="05ED136B" w:rsidR="009A049D" w:rsidRPr="00E72418" w:rsidRDefault="00BF6CE7" w:rsidP="00CC4BA8">
      <w:pPr>
        <w:spacing w:line="276" w:lineRule="auto"/>
        <w:rPr>
          <w:rFonts w:ascii="Times New Roman" w:hAnsi="Times New Roman" w:cs="Times New Roman"/>
          <w:szCs w:val="24"/>
        </w:rPr>
      </w:pPr>
      <w:r w:rsidRPr="00E72418">
        <w:rPr>
          <w:rFonts w:ascii="Times New Roman" w:hAnsi="Times New Roman" w:cs="Times New Roman"/>
          <w:b/>
          <w:szCs w:val="24"/>
        </w:rPr>
        <w:t>246</w:t>
      </w:r>
      <w:r w:rsidR="00A9718E" w:rsidRPr="00E72418">
        <w:rPr>
          <w:rFonts w:ascii="Times New Roman" w:hAnsi="Times New Roman" w:cs="Times New Roman"/>
          <w:b/>
          <w:szCs w:val="24"/>
        </w:rPr>
        <w:t xml:space="preserve">. </w:t>
      </w:r>
      <w:r w:rsidR="007E522B" w:rsidRPr="00E72418">
        <w:rPr>
          <w:rFonts w:ascii="Times New Roman" w:hAnsi="Times New Roman" w:cs="Times New Roman"/>
          <w:b/>
          <w:szCs w:val="24"/>
        </w:rPr>
        <w:t>L’idée –</w:t>
      </w:r>
      <w:r w:rsidR="007E522B" w:rsidRPr="00E72418">
        <w:rPr>
          <w:rFonts w:ascii="Times New Roman" w:hAnsi="Times New Roman" w:cs="Times New Roman"/>
          <w:szCs w:val="24"/>
        </w:rPr>
        <w:t xml:space="preserve"> La Conférence des Nations Unies pour le commerce et le développement remarque que « [v]ulture funds […] are not true lenders but entities purchasing distressed debt in the secondary markets wi</w:t>
      </w:r>
      <w:r w:rsidR="009A049D" w:rsidRPr="00E72418">
        <w:rPr>
          <w:rFonts w:ascii="Times New Roman" w:hAnsi="Times New Roman" w:cs="Times New Roman"/>
          <w:szCs w:val="24"/>
        </w:rPr>
        <w:t>th the sole purpose to litigate » et que « [s]</w:t>
      </w:r>
      <w:r w:rsidR="007E522B" w:rsidRPr="00E72418">
        <w:rPr>
          <w:rFonts w:ascii="Times New Roman" w:hAnsi="Times New Roman" w:cs="Times New Roman"/>
          <w:szCs w:val="24"/>
        </w:rPr>
        <w:t>uch opportunistic behaviour calls into question a widely accepted legal principle across different contexts and jurisdictions, namely the principle of good faith »</w:t>
      </w:r>
      <w:r w:rsidR="007E522B" w:rsidRPr="00E72418">
        <w:rPr>
          <w:rStyle w:val="Appelnotedebasdep"/>
          <w:rFonts w:ascii="Times New Roman" w:hAnsi="Times New Roman" w:cs="Times New Roman"/>
          <w:szCs w:val="24"/>
        </w:rPr>
        <w:footnoteReference w:id="1210"/>
      </w:r>
      <w:r w:rsidR="007E522B" w:rsidRPr="00E72418">
        <w:rPr>
          <w:rFonts w:ascii="Times New Roman" w:hAnsi="Times New Roman" w:cs="Times New Roman"/>
          <w:szCs w:val="24"/>
        </w:rPr>
        <w:t>.</w:t>
      </w:r>
      <w:r w:rsidR="009A049D" w:rsidRPr="00E72418">
        <w:rPr>
          <w:rFonts w:ascii="Times New Roman" w:hAnsi="Times New Roman" w:cs="Times New Roman"/>
          <w:szCs w:val="24"/>
        </w:rPr>
        <w:t xml:space="preserve"> </w:t>
      </w:r>
    </w:p>
    <w:p w14:paraId="5013CE9A" w14:textId="77777777" w:rsidR="007E522B" w:rsidRPr="00E72418" w:rsidRDefault="007E522B"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Le septième principe pour l’octroi de prêts et la souscription d’emprunts souverains responsables </w:t>
      </w:r>
      <w:r w:rsidR="009A049D" w:rsidRPr="00E72418">
        <w:rPr>
          <w:rFonts w:ascii="Times New Roman" w:hAnsi="Times New Roman" w:cs="Times New Roman"/>
          <w:szCs w:val="24"/>
        </w:rPr>
        <w:t>posé par cette Conférence conduit à voir dans l’ar</w:t>
      </w:r>
      <w:r w:rsidRPr="00E72418">
        <w:rPr>
          <w:rFonts w:ascii="Times New Roman" w:hAnsi="Times New Roman" w:cs="Times New Roman"/>
          <w:szCs w:val="24"/>
        </w:rPr>
        <w:t xml:space="preserve">gument de l’abus de droit </w:t>
      </w:r>
      <w:r w:rsidR="009A049D" w:rsidRPr="00E72418">
        <w:rPr>
          <w:rFonts w:ascii="Times New Roman" w:hAnsi="Times New Roman" w:cs="Times New Roman"/>
          <w:szCs w:val="24"/>
        </w:rPr>
        <w:t xml:space="preserve">un </w:t>
      </w:r>
      <w:r w:rsidR="009A049D" w:rsidRPr="00E72418">
        <w:rPr>
          <w:rFonts w:ascii="Times New Roman" w:hAnsi="Times New Roman" w:cs="Times New Roman"/>
          <w:szCs w:val="24"/>
        </w:rPr>
        <w:lastRenderedPageBreak/>
        <w:t xml:space="preserve">moyen de </w:t>
      </w:r>
      <w:r w:rsidRPr="00E72418">
        <w:rPr>
          <w:rFonts w:ascii="Times New Roman" w:hAnsi="Times New Roman" w:cs="Times New Roman"/>
          <w:szCs w:val="24"/>
        </w:rPr>
        <w:t xml:space="preserve">condamner </w:t>
      </w:r>
      <w:r w:rsidR="009A049D" w:rsidRPr="00E72418">
        <w:rPr>
          <w:rFonts w:ascii="Times New Roman" w:hAnsi="Times New Roman" w:cs="Times New Roman"/>
          <w:szCs w:val="24"/>
        </w:rPr>
        <w:t xml:space="preserve">et d’ainsi contrer </w:t>
      </w:r>
      <w:r w:rsidR="00B41CCF" w:rsidRPr="00E72418">
        <w:rPr>
          <w:rFonts w:ascii="Times New Roman" w:hAnsi="Times New Roman" w:cs="Times New Roman"/>
          <w:szCs w:val="24"/>
        </w:rPr>
        <w:t>l’action des fonds spéculant</w:t>
      </w:r>
      <w:r w:rsidRPr="00E72418">
        <w:rPr>
          <w:rFonts w:ascii="Times New Roman" w:hAnsi="Times New Roman" w:cs="Times New Roman"/>
          <w:szCs w:val="24"/>
        </w:rPr>
        <w:t xml:space="preserve"> sur les dettes souveraines</w:t>
      </w:r>
      <w:r w:rsidRPr="00E72418">
        <w:rPr>
          <w:rStyle w:val="Appelnotedebasdep"/>
          <w:rFonts w:ascii="Times New Roman" w:hAnsi="Times New Roman" w:cs="Times New Roman"/>
          <w:szCs w:val="24"/>
        </w:rPr>
        <w:footnoteReference w:id="1211"/>
      </w:r>
      <w:r w:rsidRPr="00E72418">
        <w:rPr>
          <w:rFonts w:ascii="Times New Roman" w:hAnsi="Times New Roman" w:cs="Times New Roman"/>
          <w:szCs w:val="24"/>
        </w:rPr>
        <w:t xml:space="preserve">. Le principe posé est que </w:t>
      </w:r>
      <w:r w:rsidRPr="00E72418">
        <w:rPr>
          <w:rFonts w:ascii="Times New Roman" w:hAnsi="Times New Roman" w:cs="Times New Roman"/>
          <w:bCs/>
          <w:szCs w:val="24"/>
        </w:rPr>
        <w:t>lorsqu’un État est manifestement dans l’incapacité d’assurer le service de sa dette, tous les prêteurs ont la responsabilité de se comporter de bonne foi et avec un esprit coo</w:t>
      </w:r>
      <w:r w:rsidRPr="00E72418">
        <w:rPr>
          <w:rFonts w:ascii="Times New Roman" w:hAnsi="Times New Roman" w:cs="Times New Roman"/>
          <w:bCs/>
          <w:szCs w:val="24"/>
        </w:rPr>
        <w:softHyphen/>
        <w:t xml:space="preserve">pératif pour arriver à un réaménagement de ces obligations. Parmi les implications de ce principe, la Conférence </w:t>
      </w:r>
      <w:r w:rsidR="009A049D" w:rsidRPr="00E72418">
        <w:rPr>
          <w:rFonts w:ascii="Times New Roman" w:hAnsi="Times New Roman" w:cs="Times New Roman"/>
          <w:szCs w:val="24"/>
        </w:rPr>
        <w:t>des Nations Unies pour le commerce et le développement</w:t>
      </w:r>
      <w:r w:rsidR="009A049D" w:rsidRPr="00E72418">
        <w:rPr>
          <w:rFonts w:ascii="Times New Roman" w:hAnsi="Times New Roman" w:cs="Times New Roman"/>
          <w:bCs/>
          <w:szCs w:val="24"/>
        </w:rPr>
        <w:t xml:space="preserve"> retient</w:t>
      </w:r>
      <w:r w:rsidRPr="00E72418">
        <w:rPr>
          <w:rFonts w:ascii="Times New Roman" w:hAnsi="Times New Roman" w:cs="Times New Roman"/>
          <w:bCs/>
          <w:szCs w:val="24"/>
        </w:rPr>
        <w:t xml:space="preserve"> qu’u</w:t>
      </w:r>
      <w:r w:rsidRPr="00E72418">
        <w:rPr>
          <w:rFonts w:ascii="Times New Roman" w:hAnsi="Times New Roman" w:cs="Times New Roman"/>
          <w:szCs w:val="24"/>
        </w:rPr>
        <w:t>n créancier qui acquiert un instrument d’endettement d’un État surendetté dans l’intention de le forcer à un règlement préférentiel en dehors d’un processus de réaménagement consensuel commet un acte abusif</w:t>
      </w:r>
      <w:r w:rsidRPr="00E72418">
        <w:rPr>
          <w:rStyle w:val="Appelnotedebasdep"/>
          <w:rFonts w:ascii="Times New Roman" w:hAnsi="Times New Roman" w:cs="Times New Roman"/>
          <w:szCs w:val="24"/>
        </w:rPr>
        <w:t xml:space="preserve"> </w:t>
      </w:r>
      <w:r w:rsidRPr="00E72418">
        <w:rPr>
          <w:rStyle w:val="Appelnotedebasdep"/>
          <w:rFonts w:ascii="Times New Roman" w:hAnsi="Times New Roman" w:cs="Times New Roman"/>
          <w:szCs w:val="24"/>
        </w:rPr>
        <w:footnoteReference w:id="1212"/>
      </w:r>
      <w:r w:rsidRPr="00E72418">
        <w:rPr>
          <w:rFonts w:ascii="Times New Roman" w:hAnsi="Times New Roman" w:cs="Times New Roman"/>
          <w:szCs w:val="24"/>
        </w:rPr>
        <w:t>.</w:t>
      </w:r>
    </w:p>
    <w:p w14:paraId="22E9BB9F" w14:textId="77777777" w:rsidR="007E522B" w:rsidRPr="00E72418" w:rsidRDefault="007E522B" w:rsidP="0054314B"/>
    <w:p w14:paraId="7BCF75C9" w14:textId="58B8EC31" w:rsidR="00FE3616" w:rsidRPr="00E72418" w:rsidRDefault="00BF6CE7" w:rsidP="00CC4BA8">
      <w:pPr>
        <w:spacing w:line="276" w:lineRule="auto"/>
      </w:pPr>
      <w:r w:rsidRPr="00E72418">
        <w:rPr>
          <w:b/>
          <w:szCs w:val="24"/>
        </w:rPr>
        <w:t>247</w:t>
      </w:r>
      <w:r w:rsidR="00A9718E" w:rsidRPr="00E72418">
        <w:rPr>
          <w:b/>
          <w:szCs w:val="24"/>
        </w:rPr>
        <w:t xml:space="preserve">. </w:t>
      </w:r>
      <w:r w:rsidR="006429F3" w:rsidRPr="00E72418">
        <w:rPr>
          <w:b/>
          <w:szCs w:val="24"/>
        </w:rPr>
        <w:t>La portée</w:t>
      </w:r>
      <w:r w:rsidR="007E522B" w:rsidRPr="00E72418">
        <w:rPr>
          <w:b/>
          <w:szCs w:val="24"/>
        </w:rPr>
        <w:t xml:space="preserve"> </w:t>
      </w:r>
      <w:r w:rsidR="007E522B" w:rsidRPr="00E72418">
        <w:rPr>
          <w:b/>
        </w:rPr>
        <w:t>–</w:t>
      </w:r>
      <w:r w:rsidR="007E522B" w:rsidRPr="00E72418">
        <w:rPr>
          <w:szCs w:val="24"/>
        </w:rPr>
        <w:t xml:space="preserve"> </w:t>
      </w:r>
      <w:r w:rsidR="001075E5" w:rsidRPr="00E72418">
        <w:rPr>
          <w:rFonts w:cs="Times New Roman"/>
          <w:szCs w:val="24"/>
        </w:rPr>
        <w:t xml:space="preserve">L’intégration </w:t>
      </w:r>
      <w:r w:rsidR="007E522B" w:rsidRPr="00E72418">
        <w:rPr>
          <w:rFonts w:cs="Times New Roman"/>
          <w:szCs w:val="24"/>
        </w:rPr>
        <w:t>de l’interdiction de l’abus de droit parmi les</w:t>
      </w:r>
      <w:r w:rsidR="007E522B" w:rsidRPr="00E72418">
        <w:t xml:space="preserve"> principes de la Conférence des Nations Unies sur le commerce et le développement pour l’octroi de prêts et la souscription d’emprunts souverains responsables pose la question de sa portée. Comme l’explique </w:t>
      </w:r>
      <w:r w:rsidR="00423C96" w:rsidRPr="00E72418">
        <w:t xml:space="preserve">Mauro </w:t>
      </w:r>
      <w:r w:rsidR="007E522B" w:rsidRPr="00E72418">
        <w:rPr>
          <w:szCs w:val="24"/>
        </w:rPr>
        <w:t>Megliani, « </w:t>
      </w:r>
      <w:r w:rsidR="007E522B" w:rsidRPr="00E72418">
        <w:rPr>
          <w:rFonts w:ascii="Times New Roman" w:hAnsi="Times New Roman" w:cs="Times New Roman"/>
        </w:rPr>
        <w:t>[t]</w:t>
      </w:r>
      <w:r w:rsidR="007E522B" w:rsidRPr="00E72418">
        <w:rPr>
          <w:szCs w:val="24"/>
        </w:rPr>
        <w:t xml:space="preserve">he UNCTAD Principles have not been formally incorporated into a binding instrument for two reasons: this choice is consistent with the soft law characterization of international financial law; </w:t>
      </w:r>
      <w:r w:rsidR="007E522B" w:rsidRPr="00E72418">
        <w:rPr>
          <w:rFonts w:ascii="Times New Roman" w:hAnsi="Times New Roman" w:cs="Times New Roman"/>
        </w:rPr>
        <w:t xml:space="preserve">[…] </w:t>
      </w:r>
      <w:r w:rsidR="007E522B" w:rsidRPr="00E72418">
        <w:rPr>
          <w:szCs w:val="24"/>
        </w:rPr>
        <w:t xml:space="preserve">and their purpose is not so much to establish rights and obligations but rather to identify basic rules and best practices </w:t>
      </w:r>
      <w:r w:rsidR="007E522B" w:rsidRPr="00E72418">
        <w:t>»</w:t>
      </w:r>
      <w:r w:rsidR="007E522B" w:rsidRPr="00E72418">
        <w:rPr>
          <w:rStyle w:val="Appelnotedebasdep"/>
        </w:rPr>
        <w:footnoteReference w:id="1213"/>
      </w:r>
      <w:r w:rsidR="001075E5" w:rsidRPr="00E72418">
        <w:t xml:space="preserve">. </w:t>
      </w:r>
    </w:p>
    <w:p w14:paraId="60E6949B" w14:textId="77777777" w:rsidR="001075E5" w:rsidRPr="00E72418" w:rsidRDefault="00FE3616" w:rsidP="00CC4BA8">
      <w:pPr>
        <w:spacing w:line="276" w:lineRule="auto"/>
      </w:pPr>
      <w:r w:rsidRPr="00E72418">
        <w:t>Qu’à cela ne tienne, l</w:t>
      </w:r>
      <w:r w:rsidR="001075E5" w:rsidRPr="00E72418">
        <w:t>e Parlement européen estima dans une résolution de 2018 que « les principes de la CNUCED pour l’octroi de prêts et la souscription d’emprunts responsables devraient devenir des instruments juridiquement contraignants et exécutoires »</w:t>
      </w:r>
      <w:r w:rsidRPr="00E72418">
        <w:rPr>
          <w:rStyle w:val="Appelnotedebasdep"/>
        </w:rPr>
        <w:footnoteReference w:id="1214"/>
      </w:r>
      <w:r w:rsidR="001075E5" w:rsidRPr="00E72418">
        <w:t>.</w:t>
      </w:r>
      <w:r w:rsidRPr="00E72418">
        <w:t xml:space="preserve"> </w:t>
      </w:r>
      <w:r w:rsidR="001075E5" w:rsidRPr="00E72418">
        <w:t>Quoi qu’il en soit</w:t>
      </w:r>
      <w:r w:rsidRPr="00E72418">
        <w:t xml:space="preserve"> et d’ici là</w:t>
      </w:r>
      <w:r w:rsidR="001075E5" w:rsidRPr="00E72418">
        <w:t>, l</w:t>
      </w:r>
      <w:r w:rsidR="007E522B" w:rsidRPr="00E72418">
        <w:rPr>
          <w:rFonts w:cs="Times New Roman"/>
          <w:szCs w:val="24"/>
        </w:rPr>
        <w:t xml:space="preserve">e caractère de </w:t>
      </w:r>
      <w:r w:rsidR="007E522B" w:rsidRPr="00E72418">
        <w:rPr>
          <w:rFonts w:cs="Times New Roman"/>
          <w:i/>
          <w:szCs w:val="24"/>
        </w:rPr>
        <w:t>soft law</w:t>
      </w:r>
      <w:r w:rsidR="007E522B" w:rsidRPr="00E72418">
        <w:rPr>
          <w:rFonts w:cs="Times New Roman"/>
          <w:szCs w:val="24"/>
        </w:rPr>
        <w:t xml:space="preserve"> des </w:t>
      </w:r>
      <w:r w:rsidR="00373BE9" w:rsidRPr="00E72418">
        <w:rPr>
          <w:szCs w:val="24"/>
        </w:rPr>
        <w:t>p</w:t>
      </w:r>
      <w:r w:rsidR="007E522B" w:rsidRPr="00E72418">
        <w:rPr>
          <w:szCs w:val="24"/>
        </w:rPr>
        <w:t xml:space="preserve">rincipes </w:t>
      </w:r>
      <w:r w:rsidR="001075E5" w:rsidRPr="00E72418">
        <w:rPr>
          <w:szCs w:val="24"/>
        </w:rPr>
        <w:t>formulés par la</w:t>
      </w:r>
      <w:r w:rsidR="007E522B" w:rsidRPr="00E72418">
        <w:rPr>
          <w:szCs w:val="24"/>
        </w:rPr>
        <w:t xml:space="preserve"> Conférence ne les rend pas pour autant dépourvus</w:t>
      </w:r>
      <w:r w:rsidR="001075E5" w:rsidRPr="00E72418">
        <w:rPr>
          <w:szCs w:val="24"/>
        </w:rPr>
        <w:t xml:space="preserve"> d’effets normatifs en ce que ces principes</w:t>
      </w:r>
      <w:r w:rsidR="007E522B" w:rsidRPr="00E72418">
        <w:rPr>
          <w:szCs w:val="24"/>
        </w:rPr>
        <w:t xml:space="preserve"> reposent en partie sur le principe général de bonne foi</w:t>
      </w:r>
      <w:r w:rsidR="007E522B" w:rsidRPr="00E72418">
        <w:rPr>
          <w:rStyle w:val="Appelnotedebasdep"/>
          <w:szCs w:val="24"/>
        </w:rPr>
        <w:footnoteReference w:id="1215"/>
      </w:r>
      <w:r w:rsidR="007E522B" w:rsidRPr="00E72418">
        <w:rPr>
          <w:szCs w:val="24"/>
        </w:rPr>
        <w:t>.</w:t>
      </w:r>
    </w:p>
    <w:p w14:paraId="08DFF06E" w14:textId="77777777" w:rsidR="007E522B" w:rsidRPr="00E72418" w:rsidRDefault="007E522B" w:rsidP="0054314B"/>
    <w:p w14:paraId="12175194" w14:textId="55C260EB" w:rsidR="00FE3616" w:rsidRPr="00E72418" w:rsidRDefault="00BF6CE7" w:rsidP="00CC4BA8">
      <w:pPr>
        <w:spacing w:line="276" w:lineRule="auto"/>
        <w:rPr>
          <w:szCs w:val="24"/>
        </w:rPr>
      </w:pPr>
      <w:r w:rsidRPr="00E72418">
        <w:rPr>
          <w:b/>
        </w:rPr>
        <w:t>248</w:t>
      </w:r>
      <w:r w:rsidR="00A9718E" w:rsidRPr="00E72418">
        <w:rPr>
          <w:b/>
        </w:rPr>
        <w:t xml:space="preserve">. </w:t>
      </w:r>
      <w:r w:rsidR="007E522B" w:rsidRPr="00E72418">
        <w:rPr>
          <w:b/>
        </w:rPr>
        <w:t xml:space="preserve">La difficile </w:t>
      </w:r>
      <w:r w:rsidR="00FE3616" w:rsidRPr="00E72418">
        <w:rPr>
          <w:b/>
        </w:rPr>
        <w:t>application</w:t>
      </w:r>
      <w:r w:rsidR="007E522B" w:rsidRPr="00E72418">
        <w:rPr>
          <w:b/>
        </w:rPr>
        <w:t xml:space="preserve"> –</w:t>
      </w:r>
      <w:r w:rsidR="007E522B" w:rsidRPr="00E72418">
        <w:t xml:space="preserve"> </w:t>
      </w:r>
      <w:r w:rsidR="00FE3616" w:rsidRPr="00E72418">
        <w:rPr>
          <w:szCs w:val="24"/>
        </w:rPr>
        <w:t>D</w:t>
      </w:r>
      <w:r w:rsidR="00FE3616" w:rsidRPr="00E72418">
        <w:rPr>
          <w:rFonts w:cs="Times New Roman"/>
          <w:szCs w:val="24"/>
        </w:rPr>
        <w:t xml:space="preserve">ans l’affaire </w:t>
      </w:r>
      <w:r w:rsidR="00FE3616" w:rsidRPr="00E72418">
        <w:rPr>
          <w:rFonts w:cs="Times New Roman"/>
          <w:i/>
          <w:szCs w:val="24"/>
        </w:rPr>
        <w:t>Lightwater Corp. v. Republic of Argentina</w:t>
      </w:r>
      <w:r w:rsidR="00FE3616" w:rsidRPr="00E72418">
        <w:rPr>
          <w:rFonts w:cs="Times New Roman"/>
          <w:szCs w:val="24"/>
        </w:rPr>
        <w:t xml:space="preserve">, le pays débiteur avança pour se défendre l’argument de l’abus de droit de son créancier. La </w:t>
      </w:r>
      <w:r w:rsidR="00FE3616" w:rsidRPr="00735BBE">
        <w:rPr>
          <w:rFonts w:cs="Times New Roman"/>
          <w:szCs w:val="24"/>
          <w:shd w:val="clear" w:color="auto" w:fill="FFFFFF"/>
        </w:rPr>
        <w:t>United States District Court for the Southern District of New York</w:t>
      </w:r>
      <w:r w:rsidR="00FE3616" w:rsidRPr="00E72418">
        <w:rPr>
          <w:rFonts w:cs="Times New Roman"/>
          <w:szCs w:val="24"/>
        </w:rPr>
        <w:t>, répondant à l’argument selon lequel il existerait un principe de droit international interdisant aux créanciers de poursuivre en justice l’exécution de leurs créances lorsque leur débiteur traverse une crise économique sévère, indiqua qu’elle trouvait « no merit in this argument as applied in the present case »</w:t>
      </w:r>
      <w:r w:rsidR="00FE3616" w:rsidRPr="00E72418">
        <w:rPr>
          <w:rStyle w:val="Appelnotedebasdep"/>
          <w:rFonts w:cs="Times New Roman"/>
          <w:szCs w:val="24"/>
        </w:rPr>
        <w:footnoteReference w:id="1216"/>
      </w:r>
      <w:r w:rsidR="00FE3616" w:rsidRPr="00E72418">
        <w:rPr>
          <w:rFonts w:cs="Times New Roman"/>
          <w:szCs w:val="24"/>
        </w:rPr>
        <w:t xml:space="preserve">. La formulation retenue par la juridiction new-yorkaise </w:t>
      </w:r>
      <w:r w:rsidR="006429F3" w:rsidRPr="00E72418">
        <w:rPr>
          <w:rFonts w:cs="Times New Roman"/>
          <w:szCs w:val="24"/>
        </w:rPr>
        <w:t>laisse</w:t>
      </w:r>
      <w:r w:rsidR="00FE3616" w:rsidRPr="00E72418">
        <w:rPr>
          <w:rFonts w:cs="Times New Roman"/>
          <w:szCs w:val="24"/>
        </w:rPr>
        <w:t xml:space="preserve"> penser qu</w:t>
      </w:r>
      <w:r w:rsidR="006429F3" w:rsidRPr="00E72418">
        <w:rPr>
          <w:rFonts w:cs="Times New Roman"/>
          <w:szCs w:val="24"/>
        </w:rPr>
        <w:t xml:space="preserve">e d’autres circonstances </w:t>
      </w:r>
      <w:r w:rsidR="006429F3" w:rsidRPr="00E72418">
        <w:rPr>
          <w:rFonts w:cs="Times New Roman"/>
          <w:szCs w:val="24"/>
        </w:rPr>
        <w:lastRenderedPageBreak/>
        <w:t>factuelles peuvent conduire à une solution différente et,</w:t>
      </w:r>
      <w:r w:rsidR="00FE3616" w:rsidRPr="00E72418">
        <w:rPr>
          <w:rFonts w:cs="Times New Roman"/>
          <w:szCs w:val="24"/>
        </w:rPr>
        <w:t xml:space="preserve"> par conséquent, que l’argument n’est pas généralement inopérant.</w:t>
      </w:r>
    </w:p>
    <w:p w14:paraId="224A1955" w14:textId="5447A60A" w:rsidR="001014F6" w:rsidRPr="00E72418" w:rsidRDefault="007E522B" w:rsidP="00635D38">
      <w:pPr>
        <w:spacing w:line="276" w:lineRule="auto"/>
        <w:rPr>
          <w:rFonts w:ascii="Times New Roman" w:hAnsi="Times New Roman" w:cs="Times New Roman"/>
          <w:sz w:val="18"/>
          <w:szCs w:val="18"/>
        </w:rPr>
      </w:pPr>
      <w:r w:rsidRPr="00E72418">
        <w:t>Même si l’on retient l’existence d’une règle qui serait contraignante, la difficulté se trouve alors à l’endroit de l’appréciation de cet abus</w:t>
      </w:r>
      <w:r w:rsidR="00662B02" w:rsidRPr="00E72418">
        <w:t xml:space="preserve"> de droit </w:t>
      </w:r>
      <w:r w:rsidR="00635D38" w:rsidRPr="00E72418">
        <w:t>que l’on chercherait à reprocher aux fonds spéculatifs</w:t>
      </w:r>
      <w:r w:rsidR="00662B02" w:rsidRPr="00E72418">
        <w:t>.</w:t>
      </w:r>
      <w:r w:rsidR="00635D38" w:rsidRPr="00E72418">
        <w:t xml:space="preserve"> Si l’on </w:t>
      </w:r>
      <w:r w:rsidR="00DF1C54" w:rsidRPr="00E72418">
        <w:t>part du principe</w:t>
      </w:r>
      <w:r w:rsidR="00635D38" w:rsidRPr="00E72418">
        <w:t xml:space="preserve"> qu’un créancier « normalement prudent et diligent » limiterait ses ardeurs lorsque son débiteur fait face à de lourdes difficultés financières, alors la jurisprudence de la Cour de cassation belge </w:t>
      </w:r>
      <w:r w:rsidR="00662B02" w:rsidRPr="00E72418">
        <w:t xml:space="preserve">qui retient comme principe général du droit que </w:t>
      </w:r>
      <w:r w:rsidR="001014F6" w:rsidRPr="00E72418">
        <w:rPr>
          <w:rFonts w:ascii="Times New Roman" w:hAnsi="Times New Roman" w:cs="Times New Roman"/>
        </w:rPr>
        <w:t xml:space="preserve">l’abus de droit </w:t>
      </w:r>
      <w:r w:rsidR="00635D38" w:rsidRPr="00E72418">
        <w:rPr>
          <w:rFonts w:ascii="Times New Roman" w:hAnsi="Times New Roman" w:cs="Times New Roman"/>
        </w:rPr>
        <w:t xml:space="preserve">peut </w:t>
      </w:r>
      <w:r w:rsidR="001014F6" w:rsidRPr="00E72418">
        <w:rPr>
          <w:rFonts w:ascii="Times New Roman" w:hAnsi="Times New Roman" w:cs="Times New Roman"/>
        </w:rPr>
        <w:t>résulter non seulement de l’exercice d’un droit avec la seule intention de nuire, mais également de l’exercice de ce droit d’une manière qui dépasse les limites de l’exercice normal de celui-ci par une personne prudente et diligente</w:t>
      </w:r>
      <w:r w:rsidR="00635D38" w:rsidRPr="00E72418">
        <w:rPr>
          <w:rStyle w:val="Appelnotedebasdep"/>
          <w:rFonts w:ascii="Times New Roman" w:hAnsi="Times New Roman" w:cs="Times New Roman"/>
        </w:rPr>
        <w:footnoteReference w:id="1217"/>
      </w:r>
      <w:r w:rsidR="00635D38" w:rsidRPr="00E72418">
        <w:rPr>
          <w:rFonts w:ascii="Times New Roman" w:hAnsi="Times New Roman" w:cs="Times New Roman"/>
        </w:rPr>
        <w:t>, offre un axe de défense intéressant au débiteur attaqué</w:t>
      </w:r>
      <w:r w:rsidR="00662B02" w:rsidRPr="00E72418">
        <w:rPr>
          <w:rFonts w:ascii="Times New Roman" w:hAnsi="Times New Roman" w:cs="Times New Roman"/>
        </w:rPr>
        <w:t xml:space="preserve"> quoique difficile d’application</w:t>
      </w:r>
      <w:r w:rsidR="00A17BDC" w:rsidRPr="00E72418">
        <w:rPr>
          <w:rStyle w:val="Appelnotedebasdep"/>
          <w:rFonts w:ascii="Times New Roman" w:hAnsi="Times New Roman" w:cs="Times New Roman"/>
        </w:rPr>
        <w:footnoteReference w:id="1218"/>
      </w:r>
      <w:r w:rsidR="00635D38" w:rsidRPr="00E72418">
        <w:rPr>
          <w:rFonts w:ascii="Times New Roman" w:hAnsi="Times New Roman" w:cs="Times New Roman"/>
        </w:rPr>
        <w:t>.</w:t>
      </w:r>
      <w:r w:rsidR="00FD2AB7" w:rsidRPr="00E72418">
        <w:rPr>
          <w:rFonts w:ascii="Times New Roman" w:hAnsi="Times New Roman" w:cs="Times New Roman"/>
        </w:rPr>
        <w:t xml:space="preserve"> La défense est intéressante si l’on retient, comme la Cour de cassation belge toujours, que le juge dispose de la possibilité de modérer l’exercice abusif du droit</w:t>
      </w:r>
      <w:r w:rsidR="00FD2AB7" w:rsidRPr="00E72418">
        <w:rPr>
          <w:rStyle w:val="Appelnotedebasdep"/>
          <w:rFonts w:ascii="Times New Roman" w:hAnsi="Times New Roman" w:cs="Times New Roman"/>
        </w:rPr>
        <w:footnoteReference w:id="1219"/>
      </w:r>
      <w:r w:rsidR="00FD2AB7" w:rsidRPr="00E72418">
        <w:rPr>
          <w:rFonts w:ascii="Times New Roman" w:hAnsi="Times New Roman" w:cs="Times New Roman"/>
        </w:rPr>
        <w:t>.</w:t>
      </w:r>
    </w:p>
    <w:p w14:paraId="7F51A609" w14:textId="13CD7CB9" w:rsidR="0079091D" w:rsidRPr="00E72418" w:rsidRDefault="0079091D" w:rsidP="0054314B"/>
    <w:p w14:paraId="7A5BA346" w14:textId="2F7285AC" w:rsidR="0079091D" w:rsidRPr="00E72418" w:rsidRDefault="0079091D" w:rsidP="00CC4BA8">
      <w:pPr>
        <w:pStyle w:val="DD"/>
        <w:spacing w:line="276" w:lineRule="auto"/>
      </w:pPr>
      <w:bookmarkStart w:id="274" w:name="_Toc47442865"/>
      <w:bookmarkStart w:id="275" w:name="_Toc59280960"/>
      <w:bookmarkStart w:id="276" w:name="_Toc84540950"/>
      <w:r w:rsidRPr="00E72418">
        <w:t>Section 3 : Le retrait litigieux</w:t>
      </w:r>
      <w:bookmarkEnd w:id="274"/>
      <w:bookmarkEnd w:id="275"/>
      <w:bookmarkEnd w:id="276"/>
    </w:p>
    <w:p w14:paraId="577EF3A5" w14:textId="77777777" w:rsidR="0054314B" w:rsidRPr="00E72418" w:rsidRDefault="0054314B" w:rsidP="0054314B"/>
    <w:p w14:paraId="5366EA1F" w14:textId="45C3E80D" w:rsidR="00D4325E" w:rsidRPr="00E72418" w:rsidRDefault="00BF6CE7" w:rsidP="002D6CEC">
      <w:pPr>
        <w:spacing w:line="276" w:lineRule="auto"/>
        <w:rPr>
          <w:szCs w:val="24"/>
          <w:shd w:val="clear" w:color="auto" w:fill="FFFFFF"/>
        </w:rPr>
      </w:pPr>
      <w:r w:rsidRPr="00E72418">
        <w:rPr>
          <w:b/>
        </w:rPr>
        <w:t>249</w:t>
      </w:r>
      <w:r w:rsidR="00A9718E" w:rsidRPr="00E72418">
        <w:rPr>
          <w:b/>
        </w:rPr>
        <w:t xml:space="preserve">. </w:t>
      </w:r>
      <w:r w:rsidR="0079091D" w:rsidRPr="00E72418">
        <w:rPr>
          <w:b/>
        </w:rPr>
        <w:t xml:space="preserve">Le mécanisme et son utilité – </w:t>
      </w:r>
      <w:r w:rsidR="001B57F1" w:rsidRPr="00E72418">
        <w:t>Généralement, le retrait est la faculté accordée par la loi à une personne de se substituer à une autre dans les droits et obligations que la dernière tient d’un contrat</w:t>
      </w:r>
      <w:r w:rsidR="001B57F1" w:rsidRPr="00E72418">
        <w:rPr>
          <w:rStyle w:val="Appelnotedebasdep"/>
        </w:rPr>
        <w:footnoteReference w:id="1220"/>
      </w:r>
      <w:r w:rsidR="001B57F1" w:rsidRPr="00E72418">
        <w:t>.</w:t>
      </w:r>
      <w:r w:rsidR="00A336E9" w:rsidRPr="00E72418">
        <w:t xml:space="preserve"> </w:t>
      </w:r>
      <w:r w:rsidR="0063186C" w:rsidRPr="00E72418">
        <w:t xml:space="preserve">Puisque, comme l’écrivent </w:t>
      </w:r>
      <w:r w:rsidR="00A336E9" w:rsidRPr="00E72418">
        <w:t xml:space="preserve">Guy </w:t>
      </w:r>
      <w:r w:rsidR="0063186C" w:rsidRPr="00E72418">
        <w:t xml:space="preserve">Keutgen et </w:t>
      </w:r>
      <w:r w:rsidR="00A336E9" w:rsidRPr="00E72418">
        <w:t xml:space="preserve">Didier </w:t>
      </w:r>
      <w:r w:rsidR="0063186C" w:rsidRPr="00E72418">
        <w:t>Matray, « notre droit se méfie des spéculateurs »</w:t>
      </w:r>
      <w:r w:rsidR="0063186C" w:rsidRPr="00E72418">
        <w:rPr>
          <w:rStyle w:val="Appelnotedebasdep"/>
        </w:rPr>
        <w:footnoteReference w:id="1221"/>
      </w:r>
      <w:r w:rsidR="0063186C" w:rsidRPr="00E72418">
        <w:t xml:space="preserve">, </w:t>
      </w:r>
      <w:r w:rsidR="0063186C" w:rsidRPr="00E72418">
        <w:rPr>
          <w:szCs w:val="24"/>
        </w:rPr>
        <w:t>l’</w:t>
      </w:r>
      <w:r w:rsidR="0079091D" w:rsidRPr="00E72418">
        <w:rPr>
          <w:szCs w:val="24"/>
        </w:rPr>
        <w:t xml:space="preserve">article 1699 </w:t>
      </w:r>
      <w:r w:rsidR="0063186C" w:rsidRPr="00E72418">
        <w:rPr>
          <w:szCs w:val="24"/>
        </w:rPr>
        <w:t>des codes civils belge et français instaure</w:t>
      </w:r>
      <w:r w:rsidR="00A81302" w:rsidRPr="00E72418">
        <w:rPr>
          <w:szCs w:val="24"/>
        </w:rPr>
        <w:t xml:space="preserve"> un</w:t>
      </w:r>
      <w:r w:rsidR="0063186C" w:rsidRPr="00E72418">
        <w:t xml:space="preserve"> mécanisme dit du « retrait litigieux »</w:t>
      </w:r>
      <w:r w:rsidR="00635955" w:rsidRPr="00E72418">
        <w:rPr>
          <w:rStyle w:val="Appelnotedebasdep"/>
        </w:rPr>
        <w:footnoteReference w:id="1222"/>
      </w:r>
      <w:r w:rsidR="0079091D" w:rsidRPr="00E72418">
        <w:rPr>
          <w:szCs w:val="24"/>
        </w:rPr>
        <w:t>. L’on peut y lire que « </w:t>
      </w:r>
      <w:r w:rsidR="0079091D" w:rsidRPr="00E72418">
        <w:t>[c]</w:t>
      </w:r>
      <w:r w:rsidR="0079091D" w:rsidRPr="00E72418">
        <w:rPr>
          <w:szCs w:val="24"/>
          <w:shd w:val="clear" w:color="auto" w:fill="FFFFFF"/>
        </w:rPr>
        <w:t xml:space="preserve">elui contre lequel on a cédé un droit litigieux peut s’en faire tenir quitte par le cessionnaire, en lui remboursant le prix réel de la cession avec les frais et loyaux coûts, et avec les intérêts à compter du jour où le cessionnaire a payé le prix de la cession à lui faite ». </w:t>
      </w:r>
      <w:r w:rsidR="0079091D" w:rsidRPr="00E72418">
        <w:t>L’article 1700 des mêmes codes dispose que « [l]</w:t>
      </w:r>
      <w:r w:rsidR="0079091D" w:rsidRPr="00E72418">
        <w:rPr>
          <w:shd w:val="clear" w:color="auto" w:fill="FFFFFF"/>
        </w:rPr>
        <w:t xml:space="preserve">a chose </w:t>
      </w:r>
      <w:r w:rsidR="0079091D" w:rsidRPr="00E72418">
        <w:rPr>
          <w:shd w:val="clear" w:color="auto" w:fill="FFFFFF"/>
        </w:rPr>
        <w:lastRenderedPageBreak/>
        <w:t>est censée litigieuse dès qu’il y a procès et contestation sur le fond du droit »</w:t>
      </w:r>
      <w:r w:rsidR="00F10AFD" w:rsidRPr="00E72418">
        <w:rPr>
          <w:rStyle w:val="Appelnotedebasdep"/>
          <w:shd w:val="clear" w:color="auto" w:fill="FFFFFF"/>
        </w:rPr>
        <w:footnoteReference w:id="1223"/>
      </w:r>
      <w:r w:rsidR="00F10AFD" w:rsidRPr="00E72418">
        <w:rPr>
          <w:szCs w:val="24"/>
          <w:shd w:val="clear" w:color="auto" w:fill="FFFFFF"/>
        </w:rPr>
        <w:t>.</w:t>
      </w:r>
      <w:r w:rsidR="006B2DB2" w:rsidRPr="00E72418">
        <w:rPr>
          <w:szCs w:val="24"/>
          <w:shd w:val="clear" w:color="auto" w:fill="FFFFFF"/>
        </w:rPr>
        <w:t xml:space="preserve"> Le mécanisme a pour fonction de protéger les droits du débiteur d’un tiers spéculateur</w:t>
      </w:r>
      <w:r w:rsidR="006B2DB2" w:rsidRPr="00E72418">
        <w:rPr>
          <w:rStyle w:val="Appelnotedebasdep"/>
          <w:szCs w:val="24"/>
          <w:shd w:val="clear" w:color="auto" w:fill="FFFFFF"/>
        </w:rPr>
        <w:footnoteReference w:id="1224"/>
      </w:r>
      <w:r w:rsidR="00B03F63" w:rsidRPr="00E72418">
        <w:rPr>
          <w:szCs w:val="24"/>
          <w:shd w:val="clear" w:color="auto" w:fill="FFFFFF"/>
          <w:vertAlign w:val="superscript"/>
        </w:rPr>
        <w:t>,</w:t>
      </w:r>
      <w:r w:rsidR="00B03F63" w:rsidRPr="00E72418">
        <w:rPr>
          <w:rStyle w:val="Appelnotedebasdep"/>
          <w:szCs w:val="24"/>
          <w:shd w:val="clear" w:color="auto" w:fill="FFFFFF"/>
        </w:rPr>
        <w:footnoteReference w:id="1225"/>
      </w:r>
      <w:r w:rsidR="006B2DB2" w:rsidRPr="00E72418">
        <w:rPr>
          <w:szCs w:val="24"/>
          <w:shd w:val="clear" w:color="auto" w:fill="FFFFFF"/>
        </w:rPr>
        <w:t>.</w:t>
      </w:r>
    </w:p>
    <w:p w14:paraId="5239E467" w14:textId="7F52D81B" w:rsidR="00A22F8B" w:rsidRPr="00E72418" w:rsidRDefault="0079091D" w:rsidP="00A22F8B">
      <w:pPr>
        <w:spacing w:line="276" w:lineRule="auto"/>
      </w:pPr>
      <w:r w:rsidRPr="00E72418">
        <w:rPr>
          <w:szCs w:val="24"/>
          <w:shd w:val="clear" w:color="auto" w:fill="FFFFFF"/>
        </w:rPr>
        <w:t xml:space="preserve">Le mécanisme </w:t>
      </w:r>
      <w:r w:rsidRPr="00E72418">
        <w:t>du retrait litigieux</w:t>
      </w:r>
      <w:r w:rsidRPr="00E72418">
        <w:rPr>
          <w:szCs w:val="24"/>
          <w:shd w:val="clear" w:color="auto" w:fill="FFFFFF"/>
        </w:rPr>
        <w:t xml:space="preserve"> </w:t>
      </w:r>
      <w:r w:rsidR="00D23C0C">
        <w:rPr>
          <w:szCs w:val="24"/>
          <w:shd w:val="clear" w:color="auto" w:fill="FFFFFF"/>
        </w:rPr>
        <w:t>pourrait offrir</w:t>
      </w:r>
      <w:r w:rsidRPr="00E72418">
        <w:rPr>
          <w:szCs w:val="24"/>
          <w:shd w:val="clear" w:color="auto" w:fill="FFFFFF"/>
        </w:rPr>
        <w:t xml:space="preserve"> aux </w:t>
      </w:r>
      <w:r w:rsidRPr="00E72418">
        <w:rPr>
          <w:lang w:eastAsia="fr-BE"/>
        </w:rPr>
        <w:t>É</w:t>
      </w:r>
      <w:r w:rsidRPr="00E72418">
        <w:rPr>
          <w:szCs w:val="24"/>
          <w:shd w:val="clear" w:color="auto" w:fill="FFFFFF"/>
        </w:rPr>
        <w:t>tats débiteurs un moyen de défense contre les activités des fonds spéculatifs en ce qu’il leur permet</w:t>
      </w:r>
      <w:r w:rsidR="00D23C0C">
        <w:rPr>
          <w:szCs w:val="24"/>
          <w:shd w:val="clear" w:color="auto" w:fill="FFFFFF"/>
        </w:rPr>
        <w:t>trait</w:t>
      </w:r>
      <w:r w:rsidRPr="00E72418">
        <w:rPr>
          <w:szCs w:val="24"/>
          <w:shd w:val="clear" w:color="auto" w:fill="FFFFFF"/>
        </w:rPr>
        <w:t xml:space="preserve"> de couper court à la spéculation en rachetant la dette litigieuse</w:t>
      </w:r>
      <w:r w:rsidR="002D6CEC" w:rsidRPr="00E72418">
        <w:rPr>
          <w:rStyle w:val="Appelnotedebasdep"/>
          <w:szCs w:val="24"/>
          <w:shd w:val="clear" w:color="auto" w:fill="FFFFFF"/>
        </w:rPr>
        <w:footnoteReference w:id="1226"/>
      </w:r>
      <w:r w:rsidR="00D04B6C" w:rsidRPr="00E72418">
        <w:rPr>
          <w:szCs w:val="24"/>
          <w:shd w:val="clear" w:color="auto" w:fill="FFFFFF"/>
          <w:vertAlign w:val="superscript"/>
        </w:rPr>
        <w:t>,</w:t>
      </w:r>
      <w:r w:rsidR="00D04B6C" w:rsidRPr="00E72418">
        <w:rPr>
          <w:rStyle w:val="Appelnotedebasdep"/>
          <w:szCs w:val="24"/>
          <w:shd w:val="clear" w:color="auto" w:fill="FFFFFF"/>
        </w:rPr>
        <w:footnoteReference w:id="1227"/>
      </w:r>
      <w:r w:rsidRPr="00E72418">
        <w:rPr>
          <w:szCs w:val="24"/>
          <w:shd w:val="clear" w:color="auto" w:fill="FFFFFF"/>
        </w:rPr>
        <w:t xml:space="preserve">. </w:t>
      </w:r>
      <w:r w:rsidRPr="00E72418">
        <w:t xml:space="preserve">Pour </w:t>
      </w:r>
      <w:r w:rsidR="00CC15FF" w:rsidRPr="00E72418">
        <w:t xml:space="preserve">Horatia </w:t>
      </w:r>
      <w:r w:rsidRPr="00E72418">
        <w:t xml:space="preserve">Muir Watt, </w:t>
      </w:r>
      <w:r w:rsidRPr="00E72418">
        <w:rPr>
          <w:szCs w:val="24"/>
        </w:rPr>
        <w:t xml:space="preserve">« dans le contexte spécifique de la dette souveraine l’existence de cette institution en tant que ressource de police procédurale </w:t>
      </w:r>
      <w:r w:rsidRPr="00E72418">
        <w:t>[…]</w:t>
      </w:r>
      <w:r w:rsidRPr="00E72418">
        <w:rPr>
          <w:szCs w:val="24"/>
        </w:rPr>
        <w:t xml:space="preserve"> paraît très opportune »</w:t>
      </w:r>
      <w:r w:rsidRPr="00E72418">
        <w:rPr>
          <w:rStyle w:val="Appelnotedebasdep"/>
          <w:rFonts w:cs="Times"/>
          <w:szCs w:val="24"/>
        </w:rPr>
        <w:footnoteReference w:id="1228"/>
      </w:r>
      <w:r w:rsidRPr="00E72418">
        <w:rPr>
          <w:szCs w:val="24"/>
        </w:rPr>
        <w:t xml:space="preserve">. </w:t>
      </w:r>
      <w:r w:rsidRPr="00E72418">
        <w:t>L’auteur</w:t>
      </w:r>
      <w:r w:rsidR="00DC7917" w:rsidRPr="00E72418">
        <w:t>e</w:t>
      </w:r>
      <w:r w:rsidRPr="00E72418">
        <w:t xml:space="preserve"> relève ainsi que le mécanisme décrit est « l’un des rares moyens potentiellement efficaces, toutes traditions confondues, pour lutter contre l’action des fonds vautours en cas de rachat par ces derniers d’une dette souveraine »</w:t>
      </w:r>
      <w:r w:rsidRPr="00E72418">
        <w:rPr>
          <w:rStyle w:val="Appelnotedebasdep"/>
          <w:rFonts w:cs="Times"/>
        </w:rPr>
        <w:footnoteReference w:id="1229"/>
      </w:r>
      <w:r w:rsidRPr="00E72418">
        <w:t>.</w:t>
      </w:r>
      <w:r w:rsidR="009C3E40" w:rsidRPr="00E72418">
        <w:t xml:space="preserve"> Le retrait pratiqué par le débiteur originaire cédé ne devrait pas inquiéter les créanciers primaires cédants dans la mesure où l’on retient que ceux-ci ne doivent pas indemniser les cessionnaires du préjudice que leur cause le retrait</w:t>
      </w:r>
      <w:r w:rsidR="009C3E40" w:rsidRPr="00E72418">
        <w:rPr>
          <w:rStyle w:val="Appelnotedebasdep"/>
        </w:rPr>
        <w:footnoteReference w:id="1230"/>
      </w:r>
      <w:r w:rsidR="009C3E40" w:rsidRPr="00E72418">
        <w:t xml:space="preserve">. </w:t>
      </w:r>
    </w:p>
    <w:p w14:paraId="678D54E9" w14:textId="33D68910" w:rsidR="0079091D" w:rsidRDefault="00A22F8B" w:rsidP="00CC4BA8">
      <w:pPr>
        <w:spacing w:line="276" w:lineRule="auto"/>
      </w:pPr>
      <w:bookmarkStart w:id="277" w:name="_Toc75106696"/>
      <w:bookmarkStart w:id="278" w:name="_Toc84540951"/>
      <w:r w:rsidRPr="00E72418">
        <w:rPr>
          <w:rStyle w:val="Titre6Car"/>
          <w:rFonts w:ascii="Times" w:eastAsiaTheme="minorHAnsi" w:hAnsi="Times" w:cstheme="minorBidi"/>
          <w:color w:val="auto"/>
          <w:szCs w:val="20"/>
        </w:rPr>
        <w:t>L’on peut s’interroger toutefois sur la temporalité de la mobilisation du mécanisme dans le cadre des contentieux relatifs aux dettes souveraines en se demandant</w:t>
      </w:r>
      <w:bookmarkEnd w:id="277"/>
      <w:bookmarkEnd w:id="278"/>
      <w:r w:rsidRPr="00E72418">
        <w:rPr>
          <w:rStyle w:val="Titre6Car"/>
          <w:rFonts w:ascii="Times" w:eastAsiaTheme="minorHAnsi" w:hAnsi="Times" w:cstheme="minorBidi"/>
          <w:color w:val="auto"/>
          <w:szCs w:val="20"/>
        </w:rPr>
        <w:t xml:space="preserve"> </w:t>
      </w:r>
      <w:r w:rsidRPr="00E72418">
        <w:rPr>
          <w:szCs w:val="24"/>
        </w:rPr>
        <w:t>s’il est opérant au moment de la poursuite de l’exécution d’une décision de condamnation ou s’il n’est mobilisable qu’au moment de l’action en condamnation</w:t>
      </w:r>
      <w:r w:rsidRPr="00E72418">
        <w:rPr>
          <w:rStyle w:val="Appelnotedebasdep"/>
          <w:szCs w:val="24"/>
        </w:rPr>
        <w:footnoteReference w:id="1231"/>
      </w:r>
      <w:r w:rsidRPr="00E72418">
        <w:rPr>
          <w:rStyle w:val="Titre6Car"/>
          <w:rFonts w:ascii="Times" w:eastAsiaTheme="minorHAnsi" w:hAnsi="Times" w:cstheme="minorBidi"/>
          <w:color w:val="auto"/>
          <w:szCs w:val="20"/>
        </w:rPr>
        <w:t xml:space="preserve">. </w:t>
      </w:r>
      <w:r w:rsidRPr="00E72418">
        <w:t>Relevons ainsi que, d</w:t>
      </w:r>
      <w:r w:rsidR="0079091D" w:rsidRPr="00E72418">
        <w:t xml:space="preserve">ans le cadre du contentieux ayant opposé la République démocratique du Congo au fonds </w:t>
      </w:r>
      <w:r w:rsidR="0079091D" w:rsidRPr="00E72418">
        <w:rPr>
          <w:i/>
        </w:rPr>
        <w:t>FG Hemisphere Associates LLC</w:t>
      </w:r>
      <w:r w:rsidR="0079091D" w:rsidRPr="00E72418">
        <w:t xml:space="preserve">, le pays sollicita le bénéfice du retrait litigieux souhaitant payer au fonds cessionnaire le prix de la cession. Cette demande fut formulée dans le cadre du recours en annulation de la sentence de condamnation du pays au paiement de diverses sommes dont la </w:t>
      </w:r>
      <w:r w:rsidR="0079091D" w:rsidRPr="00E72418">
        <w:lastRenderedPageBreak/>
        <w:t xml:space="preserve">créance fut cédée au fonds </w:t>
      </w:r>
      <w:r w:rsidR="0079091D" w:rsidRPr="00E72418">
        <w:rPr>
          <w:i/>
        </w:rPr>
        <w:t>FG Hemisphere Associates LLC</w:t>
      </w:r>
      <w:r w:rsidR="0079091D" w:rsidRPr="00E72418">
        <w:t>. Dans un arrêt du 28 février 2018, la Cour de cassation française dit pour droit que</w:t>
      </w:r>
      <w:r w:rsidRPr="00E72418">
        <w:t>,</w:t>
      </w:r>
      <w:r w:rsidR="0079091D" w:rsidRPr="00E72418">
        <w:t xml:space="preserve"> dès lors que l’exercice du retrait litigieux affectait l’exécution de la sentence, il revenait à la juridiction saisie de l’annulation de cette dernière de statuer sur la demande de retrait formulée par la République démocratique du Congo</w:t>
      </w:r>
      <w:r w:rsidR="0079091D" w:rsidRPr="00E72418">
        <w:rPr>
          <w:rStyle w:val="Appelnotedebasdep"/>
        </w:rPr>
        <w:footnoteReference w:id="1232"/>
      </w:r>
      <w:r w:rsidR="0079091D" w:rsidRPr="00E72418">
        <w:t>.</w:t>
      </w:r>
    </w:p>
    <w:p w14:paraId="485507A6" w14:textId="77777777" w:rsidR="00486978" w:rsidRPr="00E72418" w:rsidRDefault="00486978" w:rsidP="00CC4BA8">
      <w:pPr>
        <w:spacing w:line="276" w:lineRule="auto"/>
      </w:pPr>
    </w:p>
    <w:p w14:paraId="21B070B3" w14:textId="77777777" w:rsidR="00C80309" w:rsidRPr="00E72418" w:rsidRDefault="0079091D" w:rsidP="00CC4BA8">
      <w:pPr>
        <w:pStyle w:val="CC"/>
        <w:spacing w:line="276" w:lineRule="auto"/>
      </w:pPr>
      <w:bookmarkStart w:id="279" w:name="_Toc47442868"/>
      <w:bookmarkStart w:id="280" w:name="_Toc59280961"/>
      <w:bookmarkStart w:id="281" w:name="_Toc75106099"/>
      <w:bookmarkStart w:id="282" w:name="_Toc84540952"/>
      <w:r w:rsidRPr="00E72418">
        <w:t>Chapitre 3</w:t>
      </w:r>
      <w:r w:rsidR="000764CE" w:rsidRPr="00E72418">
        <w:t xml:space="preserve"> : </w:t>
      </w:r>
      <w:bookmarkEnd w:id="279"/>
      <w:r w:rsidRPr="00E72418">
        <w:t>La prééminence de l’intérêt général</w:t>
      </w:r>
      <w:bookmarkEnd w:id="280"/>
      <w:bookmarkEnd w:id="281"/>
      <w:bookmarkEnd w:id="282"/>
    </w:p>
    <w:p w14:paraId="08E057ED" w14:textId="77777777" w:rsidR="007140D8" w:rsidRPr="00E72418" w:rsidRDefault="007140D8" w:rsidP="0054314B"/>
    <w:p w14:paraId="2199CADC" w14:textId="159E44CF" w:rsidR="00D15B17" w:rsidRPr="00E72418" w:rsidRDefault="00BF6CE7" w:rsidP="00CC4BA8">
      <w:pPr>
        <w:spacing w:line="276" w:lineRule="auto"/>
        <w:rPr>
          <w:b/>
        </w:rPr>
      </w:pPr>
      <w:r w:rsidRPr="00E72418">
        <w:rPr>
          <w:b/>
        </w:rPr>
        <w:t>250</w:t>
      </w:r>
      <w:r w:rsidR="00A9718E" w:rsidRPr="00E72418">
        <w:rPr>
          <w:b/>
        </w:rPr>
        <w:t xml:space="preserve">. </w:t>
      </w:r>
      <w:r w:rsidR="00B1431C" w:rsidRPr="00E72418">
        <w:rPr>
          <w:b/>
        </w:rPr>
        <w:t xml:space="preserve">La protection d’une forme de bien commun – </w:t>
      </w:r>
      <w:r w:rsidR="00945607" w:rsidRPr="00E72418">
        <w:t xml:space="preserve">Les </w:t>
      </w:r>
      <w:r w:rsidR="00945607" w:rsidRPr="00E72418">
        <w:rPr>
          <w:rFonts w:cs="Times"/>
          <w:lang w:eastAsia="fr-BE"/>
        </w:rPr>
        <w:t>É</w:t>
      </w:r>
      <w:r w:rsidR="00C24216" w:rsidRPr="00E72418">
        <w:t>tats débiteurs attaqués par des fonds spéculatifs peuvent chercher à se défendre de leurs actions en opposant que les mesures prises sur l</w:t>
      </w:r>
      <w:r w:rsidR="00945607" w:rsidRPr="00E72418">
        <w:t xml:space="preserve">eurs dettes </w:t>
      </w:r>
      <w:r w:rsidR="00D00616" w:rsidRPr="00E72418">
        <w:t xml:space="preserve">se justifient par une </w:t>
      </w:r>
      <w:r w:rsidR="00C24216" w:rsidRPr="00E72418">
        <w:t>forme d’ordre publ</w:t>
      </w:r>
      <w:r w:rsidR="00945607" w:rsidRPr="00E72418">
        <w:t xml:space="preserve">ic de la gestion des crises </w:t>
      </w:r>
      <w:r w:rsidR="00D00616" w:rsidRPr="00E72418">
        <w:t xml:space="preserve">dans l’intérêt de la poursuite </w:t>
      </w:r>
      <w:r w:rsidR="00945607" w:rsidRPr="00E72418">
        <w:t>d</w:t>
      </w:r>
      <w:r w:rsidR="00C24216" w:rsidRPr="00E72418">
        <w:t>es missions étatiques essentielles</w:t>
      </w:r>
      <w:r w:rsidR="000815BB" w:rsidRPr="00E72418">
        <w:t xml:space="preserve"> (</w:t>
      </w:r>
      <w:r w:rsidR="000815BB" w:rsidRPr="00E72418">
        <w:rPr>
          <w:b/>
        </w:rPr>
        <w:t>section 1</w:t>
      </w:r>
      <w:r w:rsidR="000815BB" w:rsidRPr="00E72418">
        <w:t>)</w:t>
      </w:r>
      <w:r w:rsidR="00C24216" w:rsidRPr="00E72418">
        <w:t xml:space="preserve">. Cette </w:t>
      </w:r>
      <w:r w:rsidR="00F60FD6" w:rsidRPr="00E72418">
        <w:t>justification est de nature à conduire le juge</w:t>
      </w:r>
      <w:r w:rsidR="00453575" w:rsidRPr="00E72418">
        <w:t>,</w:t>
      </w:r>
      <w:r w:rsidR="00F60FD6" w:rsidRPr="00E72418">
        <w:t xml:space="preserve"> saisi des demandes des créanciers</w:t>
      </w:r>
      <w:r w:rsidR="00453575" w:rsidRPr="00E72418">
        <w:t>,</w:t>
      </w:r>
      <w:r w:rsidR="00F60FD6" w:rsidRPr="00E72418">
        <w:t xml:space="preserve"> à y réserver un traitement qui soit compatible avec ce</w:t>
      </w:r>
      <w:r w:rsidR="00D00616" w:rsidRPr="00E72418">
        <w:t>t</w:t>
      </w:r>
      <w:r w:rsidR="00F60FD6" w:rsidRPr="00E72418">
        <w:t xml:space="preserve"> ordre public.</w:t>
      </w:r>
      <w:r w:rsidR="00945607" w:rsidRPr="00E72418">
        <w:t xml:space="preserve"> Dans la même veine, les débiteurs souverains pourraient chercher à justifier de leurs mesures par l’invocation d’un état de nécessité les y obligeant</w:t>
      </w:r>
      <w:r w:rsidR="000815BB" w:rsidRPr="00E72418">
        <w:t xml:space="preserve"> (</w:t>
      </w:r>
      <w:r w:rsidR="000815BB" w:rsidRPr="00E72418">
        <w:rPr>
          <w:b/>
        </w:rPr>
        <w:t>section 2</w:t>
      </w:r>
      <w:r w:rsidR="000815BB" w:rsidRPr="00E72418">
        <w:t>)</w:t>
      </w:r>
      <w:r w:rsidR="00945607" w:rsidRPr="00E72418">
        <w:t>.</w:t>
      </w:r>
    </w:p>
    <w:p w14:paraId="24081066" w14:textId="77777777" w:rsidR="00C24216" w:rsidRPr="00E72418" w:rsidRDefault="00C24216" w:rsidP="0054314B"/>
    <w:p w14:paraId="6469CE8D" w14:textId="66F4AD21" w:rsidR="0079091D" w:rsidRPr="00E72418" w:rsidRDefault="00D15B17" w:rsidP="00CC4BA8">
      <w:pPr>
        <w:pStyle w:val="DD"/>
        <w:spacing w:line="276" w:lineRule="auto"/>
      </w:pPr>
      <w:bookmarkStart w:id="283" w:name="_Toc59280962"/>
      <w:bookmarkStart w:id="284" w:name="_Toc84540953"/>
      <w:r w:rsidRPr="00E72418">
        <w:t>Section 1</w:t>
      </w:r>
      <w:r w:rsidR="007140D8" w:rsidRPr="00E72418">
        <w:t> : L’</w:t>
      </w:r>
      <w:r w:rsidR="0079091D" w:rsidRPr="00E72418">
        <w:t>ordre public</w:t>
      </w:r>
      <w:bookmarkEnd w:id="283"/>
      <w:bookmarkEnd w:id="284"/>
    </w:p>
    <w:p w14:paraId="53A2CAE4" w14:textId="77777777" w:rsidR="00296F23" w:rsidRPr="00E72418" w:rsidRDefault="00296F23" w:rsidP="0054314B"/>
    <w:p w14:paraId="2BCBB6B4" w14:textId="29A4377A" w:rsidR="00BA5BDE" w:rsidRPr="00E72418" w:rsidRDefault="00BF6CE7" w:rsidP="00CC4BA8">
      <w:pPr>
        <w:spacing w:line="276" w:lineRule="auto"/>
      </w:pPr>
      <w:r w:rsidRPr="00E72418">
        <w:rPr>
          <w:b/>
        </w:rPr>
        <w:t>251</w:t>
      </w:r>
      <w:r w:rsidR="00A9718E" w:rsidRPr="00E72418">
        <w:rPr>
          <w:b/>
        </w:rPr>
        <w:t xml:space="preserve">. </w:t>
      </w:r>
      <w:r w:rsidR="00EA6B66" w:rsidRPr="00E72418">
        <w:rPr>
          <w:b/>
        </w:rPr>
        <w:t>L’idée</w:t>
      </w:r>
      <w:r w:rsidR="007140D8" w:rsidRPr="00E72418">
        <w:rPr>
          <w:b/>
        </w:rPr>
        <w:t xml:space="preserve"> –</w:t>
      </w:r>
      <w:r w:rsidR="002C1EC4" w:rsidRPr="00E72418">
        <w:t xml:space="preserve"> </w:t>
      </w:r>
      <w:r w:rsidR="00C77F9F" w:rsidRPr="00E72418">
        <w:t xml:space="preserve">Lors d’un cours donné à l’Académie de droit international de La Haye en 1923 portant sur le droit international et les obligations financières internationales naissant d’un contrat, </w:t>
      </w:r>
      <w:r w:rsidR="007748D9" w:rsidRPr="00E72418">
        <w:t xml:space="preserve">John </w:t>
      </w:r>
      <w:r w:rsidR="00C77F9F" w:rsidRPr="00E72418">
        <w:t>Fischer Williams relevait que « rien n’est mieux établi, par le consentement commun de l’humanité, que l’existence de cas dans lesquels les considérations d’ordre pu</w:t>
      </w:r>
      <w:r w:rsidR="00527C72" w:rsidRPr="00E72418">
        <w:t>b</w:t>
      </w:r>
      <w:r w:rsidR="00C77F9F" w:rsidRPr="00E72418">
        <w:t>lic l’emportent sur les droits des particuliers, et empêchent qu’on ne leur donne effet »</w:t>
      </w:r>
      <w:r w:rsidR="00C77F9F" w:rsidRPr="00E72418">
        <w:rPr>
          <w:vertAlign w:val="superscript"/>
        </w:rPr>
        <w:footnoteReference w:id="1233"/>
      </w:r>
      <w:r w:rsidR="00C77F9F" w:rsidRPr="00E72418">
        <w:t xml:space="preserve">. </w:t>
      </w:r>
      <w:r w:rsidR="00602DE1" w:rsidRPr="00E72418">
        <w:t>Quoique l’ordre public est indéfinissable dans ses contours précis</w:t>
      </w:r>
      <w:r w:rsidR="002C1EC4" w:rsidRPr="00E72418">
        <w:rPr>
          <w:vertAlign w:val="superscript"/>
        </w:rPr>
        <w:footnoteReference w:id="1234"/>
      </w:r>
      <w:r w:rsidR="002C1EC4" w:rsidRPr="00E72418">
        <w:t>, à l’étude des</w:t>
      </w:r>
      <w:r w:rsidR="00EA6B66" w:rsidRPr="00E72418">
        <w:t xml:space="preserve"> d</w:t>
      </w:r>
      <w:r w:rsidR="00945607" w:rsidRPr="00E72418">
        <w:t xml:space="preserve">ifficultés </w:t>
      </w:r>
      <w:r w:rsidR="00945607" w:rsidRPr="00E72418">
        <w:lastRenderedPageBreak/>
        <w:t xml:space="preserve">rencontrées par les </w:t>
      </w:r>
      <w:r w:rsidR="00945607" w:rsidRPr="00E72418">
        <w:rPr>
          <w:rFonts w:cs="Times"/>
          <w:lang w:eastAsia="fr-BE"/>
        </w:rPr>
        <w:t>É</w:t>
      </w:r>
      <w:r w:rsidR="00EA6B66" w:rsidRPr="00E72418">
        <w:t xml:space="preserve">tats au sujet de leur dette souveraine et, particulièrement, aux difficultés liées aux activités des fonds spéculatifs, l’on peut se demander s’il n’existerait pas un ordre public de la gestion des crises de dettes souveraines ou encore un ordre public </w:t>
      </w:r>
      <w:r w:rsidR="00EA6B66" w:rsidRPr="00E72418">
        <w:rPr>
          <w:rFonts w:cs="Times"/>
        </w:rPr>
        <w:t>du respect des missions essentiell</w:t>
      </w:r>
      <w:r w:rsidR="00945607" w:rsidRPr="00E72418">
        <w:rPr>
          <w:rFonts w:cs="Times"/>
        </w:rPr>
        <w:t>es étatiques à l’aune desquels c</w:t>
      </w:r>
      <w:r w:rsidR="00EA6B66" w:rsidRPr="00E72418">
        <w:rPr>
          <w:rFonts w:cs="Times"/>
        </w:rPr>
        <w:t xml:space="preserve">es activités </w:t>
      </w:r>
      <w:r w:rsidR="00945607" w:rsidRPr="00E72418">
        <w:rPr>
          <w:rFonts w:cs="Times"/>
        </w:rPr>
        <w:t>devraient</w:t>
      </w:r>
      <w:r w:rsidR="00EA6B66" w:rsidRPr="00E72418">
        <w:rPr>
          <w:rFonts w:cs="Times"/>
        </w:rPr>
        <w:t xml:space="preserve"> être appréciées</w:t>
      </w:r>
      <w:r w:rsidR="00112DAC" w:rsidRPr="00E72418">
        <w:rPr>
          <w:rStyle w:val="Appelnotedebasdep"/>
          <w:rFonts w:cs="Times"/>
        </w:rPr>
        <w:footnoteReference w:id="1235"/>
      </w:r>
      <w:r w:rsidR="00EA6B66" w:rsidRPr="00E72418">
        <w:rPr>
          <w:rFonts w:cs="Times"/>
        </w:rPr>
        <w:t>. Cette appréciation po</w:t>
      </w:r>
      <w:r w:rsidR="00945607" w:rsidRPr="00E72418">
        <w:rPr>
          <w:rFonts w:cs="Times"/>
        </w:rPr>
        <w:t xml:space="preserve">urrait conduire à conférer aux </w:t>
      </w:r>
      <w:r w:rsidR="00945607" w:rsidRPr="00E72418">
        <w:rPr>
          <w:rFonts w:cs="Times"/>
          <w:lang w:eastAsia="fr-BE"/>
        </w:rPr>
        <w:t>É</w:t>
      </w:r>
      <w:r w:rsidR="004E5CD5" w:rsidRPr="00E72418">
        <w:rPr>
          <w:rFonts w:cs="Times"/>
        </w:rPr>
        <w:t xml:space="preserve">tats débiteurs une protection </w:t>
      </w:r>
      <w:r w:rsidR="00EA6B66" w:rsidRPr="00E72418">
        <w:rPr>
          <w:rFonts w:cs="Times"/>
        </w:rPr>
        <w:t xml:space="preserve">contre </w:t>
      </w:r>
      <w:r w:rsidR="00D9255C" w:rsidRPr="00E72418">
        <w:rPr>
          <w:rFonts w:cs="Times"/>
        </w:rPr>
        <w:t>la spéculation</w:t>
      </w:r>
      <w:r w:rsidR="00602DE1" w:rsidRPr="00E72418">
        <w:rPr>
          <w:rStyle w:val="Appelnotedebasdep"/>
          <w:rFonts w:cs="Times"/>
        </w:rPr>
        <w:footnoteReference w:id="1236"/>
      </w:r>
      <w:r w:rsidR="00EB7BE1" w:rsidRPr="00E72418">
        <w:rPr>
          <w:rFonts w:cs="Times"/>
          <w:vertAlign w:val="superscript"/>
        </w:rPr>
        <w:t>,</w:t>
      </w:r>
      <w:r w:rsidR="00EB7BE1" w:rsidRPr="00E72418">
        <w:rPr>
          <w:rStyle w:val="Appelnotedebasdep"/>
          <w:rFonts w:cs="Times"/>
        </w:rPr>
        <w:footnoteReference w:id="1237"/>
      </w:r>
      <w:r w:rsidR="00EA6B66" w:rsidRPr="00E72418">
        <w:rPr>
          <w:rFonts w:cs="Times"/>
        </w:rPr>
        <w:t>.</w:t>
      </w:r>
      <w:r w:rsidR="002D3E20" w:rsidRPr="00E72418">
        <w:rPr>
          <w:rFonts w:cs="Times"/>
        </w:rPr>
        <w:t xml:space="preserve"> L’argument de l’ordre public a d’ailleurs été explicitement</w:t>
      </w:r>
      <w:r w:rsidR="00B16E75" w:rsidRPr="00E72418">
        <w:rPr>
          <w:rFonts w:cs="Times"/>
        </w:rPr>
        <w:t xml:space="preserve"> excipé</w:t>
      </w:r>
      <w:r w:rsidR="002D3E20" w:rsidRPr="00E72418">
        <w:rPr>
          <w:rFonts w:cs="Times"/>
        </w:rPr>
        <w:t xml:space="preserve"> par les législateurs britannique et belge pour justifier de la pertinence de la </w:t>
      </w:r>
      <w:r w:rsidR="001243C1" w:rsidRPr="00E72418">
        <w:rPr>
          <w:rFonts w:cs="Times"/>
        </w:rPr>
        <w:t xml:space="preserve">réglementation </w:t>
      </w:r>
      <w:r w:rsidR="002D3E20" w:rsidRPr="00E72418">
        <w:rPr>
          <w:rFonts w:cs="Times"/>
        </w:rPr>
        <w:t>des activités des fonds spéculati</w:t>
      </w:r>
      <w:r w:rsidR="00B16E75" w:rsidRPr="00E72418">
        <w:rPr>
          <w:rFonts w:cs="Times"/>
        </w:rPr>
        <w:t>f</w:t>
      </w:r>
      <w:r w:rsidR="002D3E20" w:rsidRPr="00E72418">
        <w:rPr>
          <w:rFonts w:cs="Times"/>
        </w:rPr>
        <w:t xml:space="preserve">s. Ainsi, </w:t>
      </w:r>
      <w:r w:rsidR="002D3E20" w:rsidRPr="00E72418">
        <w:t xml:space="preserve">comme le relevaient les notes explicatives de la proposition de loi britannique, la réduction des dettes visées se justifie par des </w:t>
      </w:r>
      <w:r w:rsidR="002D3E20" w:rsidRPr="00E72418">
        <w:rPr>
          <w:i/>
        </w:rPr>
        <w:t>compelling public policy reasons</w:t>
      </w:r>
      <w:r w:rsidR="002D3E20" w:rsidRPr="00E72418">
        <w:t>, lesquelles tiennent notamment au souci d’empêcher le comportement parasite de certains créanciers</w:t>
      </w:r>
      <w:r w:rsidR="002D3E20" w:rsidRPr="00E72418">
        <w:rPr>
          <w:rStyle w:val="Appelnotedebasdep"/>
        </w:rPr>
        <w:footnoteReference w:id="1238"/>
      </w:r>
      <w:r w:rsidR="002D3E20" w:rsidRPr="00E72418">
        <w:t>.</w:t>
      </w:r>
      <w:r w:rsidR="002D3E20" w:rsidRPr="00E72418">
        <w:rPr>
          <w:rFonts w:cs="Times"/>
        </w:rPr>
        <w:t xml:space="preserve"> Outre-Manche, la </w:t>
      </w:r>
      <w:r w:rsidR="002D3E20" w:rsidRPr="00E72418">
        <w:rPr>
          <w:szCs w:val="20"/>
        </w:rPr>
        <w:t>proposition de loi belge relative à la lutte contre les activités des fonds vautours</w:t>
      </w:r>
      <w:r w:rsidR="002D3E20" w:rsidRPr="00E72418">
        <w:rPr>
          <w:rFonts w:cs="Times"/>
        </w:rPr>
        <w:t xml:space="preserve"> précisait que </w:t>
      </w:r>
      <w:r w:rsidR="002D3E20" w:rsidRPr="00E72418">
        <w:rPr>
          <w:szCs w:val="20"/>
        </w:rPr>
        <w:t>« </w:t>
      </w:r>
      <w:r w:rsidR="002D3E20" w:rsidRPr="00E72418">
        <w:rPr>
          <w:rFonts w:cs="Times New Roman"/>
          <w:szCs w:val="20"/>
        </w:rPr>
        <w:t>[q]</w:t>
      </w:r>
      <w:r w:rsidR="002D3E20" w:rsidRPr="00E72418">
        <w:rPr>
          <w:szCs w:val="20"/>
        </w:rPr>
        <w:t>uel que soit le droit applicable à la relation juridique avec l’État, débiteur de l’obligation de paiement, l’ordre public belge s’oppose à un ordre de paiement sur le fond, à l’</w:t>
      </w:r>
      <w:r w:rsidR="002D3E20" w:rsidRPr="00E72418">
        <w:rPr>
          <w:i/>
          <w:szCs w:val="20"/>
        </w:rPr>
        <w:t>exequatur</w:t>
      </w:r>
      <w:r w:rsidR="002D3E20" w:rsidRPr="00E72418">
        <w:rPr>
          <w:szCs w:val="20"/>
        </w:rPr>
        <w:t xml:space="preserve"> d’une décision judiciaire ou d’une sentence arbitrale étrangère, pour autant qu’un tel paiement donne lieu à un avantage illégitime pour la partie qui rachète l’emprunt ou la créance à un tiers »</w:t>
      </w:r>
      <w:r w:rsidR="002D3E20" w:rsidRPr="00E72418">
        <w:rPr>
          <w:rStyle w:val="Appelnotedebasdep"/>
          <w:szCs w:val="20"/>
        </w:rPr>
        <w:footnoteReference w:id="1239"/>
      </w:r>
      <w:r w:rsidR="002D3E20" w:rsidRPr="00E72418">
        <w:rPr>
          <w:szCs w:val="20"/>
        </w:rPr>
        <w:t>.</w:t>
      </w:r>
    </w:p>
    <w:p w14:paraId="412CEFBB" w14:textId="77777777" w:rsidR="00EA6B66" w:rsidRPr="00E72418" w:rsidRDefault="00EA6B66" w:rsidP="0054314B"/>
    <w:p w14:paraId="73F5B8B0" w14:textId="2653A27A" w:rsidR="00BA5BDE" w:rsidRPr="00E72418" w:rsidRDefault="00BF6CE7" w:rsidP="00CC4BA8">
      <w:pPr>
        <w:spacing w:line="276" w:lineRule="auto"/>
      </w:pPr>
      <w:r w:rsidRPr="00E72418">
        <w:rPr>
          <w:b/>
        </w:rPr>
        <w:t>252</w:t>
      </w:r>
      <w:r w:rsidR="00A9718E" w:rsidRPr="00E72418">
        <w:rPr>
          <w:b/>
        </w:rPr>
        <w:t xml:space="preserve">. </w:t>
      </w:r>
      <w:r w:rsidR="00EA6B66" w:rsidRPr="00E72418">
        <w:rPr>
          <w:b/>
        </w:rPr>
        <w:t>L’ordre public de la gestion des crises de dettes souveraines –</w:t>
      </w:r>
      <w:r w:rsidR="00602DE1" w:rsidRPr="00E72418">
        <w:rPr>
          <w:b/>
        </w:rPr>
        <w:t xml:space="preserve"> </w:t>
      </w:r>
      <w:r w:rsidR="00BA5BDE" w:rsidRPr="00E72418">
        <w:t xml:space="preserve">Les différentes manifestations en faveur de restructurations </w:t>
      </w:r>
      <w:r w:rsidR="00945607" w:rsidRPr="00E72418">
        <w:t xml:space="preserve">laissent </w:t>
      </w:r>
      <w:r w:rsidR="00BA5BDE" w:rsidRPr="00E72418">
        <w:t>penser que celles-ci relèvent de l’intérêt pu</w:t>
      </w:r>
      <w:r w:rsidR="00945607" w:rsidRPr="00E72418">
        <w:t>blic et qu’il existe en quelque</w:t>
      </w:r>
      <w:r w:rsidR="00BA5BDE" w:rsidRPr="00E72418">
        <w:t xml:space="preserve"> sorte un ordre public de la gestion des crises de dettes souveraines</w:t>
      </w:r>
      <w:r w:rsidR="00BA5BDE" w:rsidRPr="00E72418">
        <w:rPr>
          <w:rStyle w:val="Appelnotedebasdep"/>
        </w:rPr>
        <w:footnoteReference w:id="1240"/>
      </w:r>
      <w:r w:rsidR="00BA5BDE" w:rsidRPr="00E72418">
        <w:t xml:space="preserve">. Pour </w:t>
      </w:r>
      <w:r w:rsidR="004F70C8" w:rsidRPr="00E72418">
        <w:t xml:space="preserve">André </w:t>
      </w:r>
      <w:r w:rsidR="00BA5BDE" w:rsidRPr="00E72418">
        <w:t xml:space="preserve">Berends, « wherever the line must be drawn between rules which </w:t>
      </w:r>
      <w:r w:rsidR="00BA5BDE" w:rsidRPr="00E72418">
        <w:lastRenderedPageBreak/>
        <w:t>are crucial for safeguarding public interests and rules which are not, it is beyond any doubt that rules that protect the stability of financial systems are not in a grey area but are definitely above this line »</w:t>
      </w:r>
      <w:r w:rsidR="00BA5BDE" w:rsidRPr="00E72418">
        <w:rPr>
          <w:rStyle w:val="Appelnotedebasdep"/>
        </w:rPr>
        <w:footnoteReference w:id="1241"/>
      </w:r>
      <w:r w:rsidR="00BA5BDE" w:rsidRPr="00E72418">
        <w:t>.</w:t>
      </w:r>
    </w:p>
    <w:p w14:paraId="34BB3D63" w14:textId="11B0E1B6" w:rsidR="004E5CD5" w:rsidRPr="00E72418" w:rsidRDefault="00670CCE" w:rsidP="00CC4BA8">
      <w:pPr>
        <w:spacing w:line="276" w:lineRule="auto"/>
      </w:pPr>
      <w:r w:rsidRPr="00E72418">
        <w:t>L’affirmation d’un tel ordre public de la gestion des crises de dettes souveraines</w:t>
      </w:r>
      <w:r w:rsidR="003454C4" w:rsidRPr="00E72418">
        <w:t xml:space="preserve"> a été formulée à différentes reprises</w:t>
      </w:r>
      <w:r w:rsidR="00B16E75" w:rsidRPr="00E72418">
        <w:t xml:space="preserve">. </w:t>
      </w:r>
      <w:r w:rsidR="004943D1" w:rsidRPr="00E72418">
        <w:t>L</w:t>
      </w:r>
      <w:r w:rsidR="004E5CD5" w:rsidRPr="00E72418">
        <w:t xml:space="preserve">a loi argentine n° 27.207/15 du 4 novembre 2015 a déclaré que les principes fondamentaux des opérations de restructuration de la dette souveraine issus de la résolution A/RES/69/319 du 10 septembre 2015 de l’Assemblée générale de Nations Unies « forman parte del ordenamiento jurídico de la República Argentina ». </w:t>
      </w:r>
      <w:r w:rsidR="00B5521B" w:rsidRPr="00E72418">
        <w:rPr>
          <w:lang w:eastAsia="fr-BE"/>
        </w:rPr>
        <w:t>Dans le cadre du contentieux argentin, l</w:t>
      </w:r>
      <w:r w:rsidR="00B5521B" w:rsidRPr="00E72418">
        <w:t xml:space="preserve">a Cour suprême </w:t>
      </w:r>
      <w:r w:rsidR="00AF7420" w:rsidRPr="00E72418">
        <w:t xml:space="preserve">de justice de la Nation </w:t>
      </w:r>
      <w:r w:rsidR="00B5521B" w:rsidRPr="00E72418">
        <w:t xml:space="preserve">argentine avait préalablement décidé, par deux arrêts </w:t>
      </w:r>
      <w:r w:rsidR="00B5521B" w:rsidRPr="00E72418">
        <w:rPr>
          <w:lang w:eastAsia="fr-BE"/>
        </w:rPr>
        <w:t>du 6 mars 2014 et du 11 novembre</w:t>
      </w:r>
      <w:r w:rsidR="00B5521B" w:rsidRPr="00E72418">
        <w:t xml:space="preserve"> 2014</w:t>
      </w:r>
      <w:r w:rsidR="00B5521B" w:rsidRPr="00E72418">
        <w:rPr>
          <w:rStyle w:val="Appelnotedebasdep"/>
          <w:rFonts w:cs="Times New Roman"/>
          <w:lang w:eastAsia="fr-BE"/>
        </w:rPr>
        <w:footnoteReference w:id="1242"/>
      </w:r>
      <w:r w:rsidR="00B5521B" w:rsidRPr="00E72418">
        <w:t>, qu’</w:t>
      </w:r>
      <w:r w:rsidR="00AF7420" w:rsidRPr="00E72418">
        <w:t>est</w:t>
      </w:r>
      <w:r w:rsidR="00B5521B" w:rsidRPr="00E72418">
        <w:t xml:space="preserve"> contraire à l’ordre public l’exécution de décisions judiciaires étrangères ordonnant le paiement </w:t>
      </w:r>
      <w:r w:rsidR="00AF7420" w:rsidRPr="00E72418">
        <w:t xml:space="preserve">de dettes découlant de l’émission de bons du trésor </w:t>
      </w:r>
      <w:r w:rsidR="00B5521B" w:rsidRPr="00E72418">
        <w:t>dans des conditions différentes de celles stipulées par l’État dans le cadre de la restructuration de sa dette extérieure</w:t>
      </w:r>
      <w:r w:rsidR="00B5521B" w:rsidRPr="00E72418">
        <w:rPr>
          <w:rStyle w:val="Appelnotedebasdep"/>
          <w:rFonts w:cs="Times New Roman"/>
        </w:rPr>
        <w:footnoteReference w:id="1243"/>
      </w:r>
      <w:r w:rsidR="00B5521B" w:rsidRPr="00E72418">
        <w:t>. De l’avis de la Cour, l</w:t>
      </w:r>
      <w:r w:rsidR="00B5521B" w:rsidRPr="00E72418">
        <w:rPr>
          <w:lang w:eastAsia="fr-BE"/>
        </w:rPr>
        <w:t>a décision étatsunienne dont l’</w:t>
      </w:r>
      <w:r w:rsidR="00B5521B" w:rsidRPr="00E72418">
        <w:rPr>
          <w:i/>
          <w:lang w:eastAsia="fr-BE"/>
        </w:rPr>
        <w:t>exequatur</w:t>
      </w:r>
      <w:r w:rsidR="00B5521B" w:rsidRPr="00E72418">
        <w:rPr>
          <w:lang w:eastAsia="fr-BE"/>
        </w:rPr>
        <w:t xml:space="preserve"> était sollicité par les créanciers violait les normes relatives à la restructuration de la dette lesquelles font partie de l’ordre public argentin</w:t>
      </w:r>
      <w:r w:rsidR="00B5521B" w:rsidRPr="00E72418">
        <w:rPr>
          <w:rStyle w:val="Appelnotedebasdep"/>
          <w:rFonts w:cs="Times New Roman"/>
          <w:lang w:eastAsia="fr-BE"/>
        </w:rPr>
        <w:footnoteReference w:id="1244"/>
      </w:r>
      <w:r w:rsidR="00B5521B" w:rsidRPr="00E72418">
        <w:rPr>
          <w:lang w:eastAsia="fr-BE"/>
        </w:rPr>
        <w:t>.</w:t>
      </w:r>
      <w:r w:rsidRPr="00E72418">
        <w:t xml:space="preserve"> </w:t>
      </w:r>
      <w:r w:rsidR="004943D1" w:rsidRPr="00E72418">
        <w:t xml:space="preserve">Au sujet de l’interprétation de la clause </w:t>
      </w:r>
      <w:r w:rsidR="004943D1" w:rsidRPr="00E72418">
        <w:rPr>
          <w:i/>
        </w:rPr>
        <w:t xml:space="preserve">pari passu </w:t>
      </w:r>
      <w:r w:rsidR="004943D1" w:rsidRPr="00E72418">
        <w:t xml:space="preserve">discutée devant les juridictions </w:t>
      </w:r>
      <w:r w:rsidR="00435D16" w:rsidRPr="00E72418">
        <w:t>étatsuniennes</w:t>
      </w:r>
      <w:r w:rsidR="0067312A" w:rsidRPr="00E72418">
        <w:t xml:space="preserve">, les </w:t>
      </w:r>
      <w:r w:rsidR="0067312A" w:rsidRPr="00E72418">
        <w:rPr>
          <w:rFonts w:cs="Times New Roman"/>
          <w:szCs w:val="24"/>
        </w:rPr>
        <w:t>É</w:t>
      </w:r>
      <w:r w:rsidR="004943D1" w:rsidRPr="00E72418">
        <w:t>tats-Unis et la France étaient intervenus par le biais d’</w:t>
      </w:r>
      <w:r w:rsidR="004943D1" w:rsidRPr="00E72418">
        <w:rPr>
          <w:i/>
        </w:rPr>
        <w:t>amic</w:t>
      </w:r>
      <w:r w:rsidR="00515ED5" w:rsidRPr="00E72418">
        <w:rPr>
          <w:i/>
        </w:rPr>
        <w:t>us briefs</w:t>
      </w:r>
      <w:r w:rsidR="00515ED5" w:rsidRPr="00E72418">
        <w:t xml:space="preserve"> en appelant, respectivement, à des considérations</w:t>
      </w:r>
      <w:r w:rsidR="004943D1" w:rsidRPr="00E72418">
        <w:t xml:space="preserve"> </w:t>
      </w:r>
      <w:r w:rsidR="00515ED5" w:rsidRPr="00E72418">
        <w:t xml:space="preserve">de </w:t>
      </w:r>
      <w:r w:rsidR="00515ED5" w:rsidRPr="00E72418">
        <w:rPr>
          <w:i/>
        </w:rPr>
        <w:t>vital public policy</w:t>
      </w:r>
      <w:r w:rsidR="00515ED5" w:rsidRPr="00E72418">
        <w:t xml:space="preserve"> et de </w:t>
      </w:r>
      <w:r w:rsidR="00515ED5" w:rsidRPr="00E72418">
        <w:rPr>
          <w:i/>
        </w:rPr>
        <w:t xml:space="preserve">wider public </w:t>
      </w:r>
      <w:r w:rsidR="004C285A" w:rsidRPr="00E72418">
        <w:rPr>
          <w:i/>
        </w:rPr>
        <w:t xml:space="preserve">en private </w:t>
      </w:r>
      <w:r w:rsidR="00515ED5" w:rsidRPr="00E72418">
        <w:rPr>
          <w:i/>
        </w:rPr>
        <w:t>interests</w:t>
      </w:r>
      <w:r w:rsidR="00515ED5" w:rsidRPr="00E72418">
        <w:rPr>
          <w:rStyle w:val="Appelnotedebasdep"/>
        </w:rPr>
        <w:footnoteReference w:id="1245"/>
      </w:r>
      <w:r w:rsidR="00515ED5" w:rsidRPr="00E72418">
        <w:t xml:space="preserve">. </w:t>
      </w:r>
      <w:r w:rsidR="004943D1" w:rsidRPr="00E72418">
        <w:t>Dans le cadre des difficultés grecques de la décennie passée,</w:t>
      </w:r>
      <w:r w:rsidRPr="00E72418">
        <w:t xml:space="preserve"> p</w:t>
      </w:r>
      <w:r w:rsidR="004E5CD5" w:rsidRPr="00E72418">
        <w:rPr>
          <w:lang w:eastAsia="fr-BE"/>
        </w:rPr>
        <w:t xml:space="preserve">ar la loi </w:t>
      </w:r>
      <w:r w:rsidR="004E5CD5" w:rsidRPr="00E72418">
        <w:t xml:space="preserve">n° 4050/2012 </w:t>
      </w:r>
      <w:r w:rsidR="004E5CD5" w:rsidRPr="00E72418">
        <w:rPr>
          <w:lang w:eastAsia="fr-BE"/>
        </w:rPr>
        <w:t xml:space="preserve">du 23 février 2012, la République hellénique introduisit rétroactivement, pour les obligations soumises à sa loi, une clause d’action collective qui permit la restructuration de sa dette par une majorité qualifiée des créanciers. Le pays souligna que la loi était adoptée dans la poursuite d’un </w:t>
      </w:r>
      <w:r w:rsidR="004E5CD5" w:rsidRPr="00E72418">
        <w:t>intérêt public important.</w:t>
      </w:r>
    </w:p>
    <w:p w14:paraId="0E2EC5C7" w14:textId="4F08168F" w:rsidR="00B5521B" w:rsidRPr="00E72418" w:rsidRDefault="00EA6B66" w:rsidP="00CC4BA8">
      <w:pPr>
        <w:spacing w:line="276" w:lineRule="auto"/>
      </w:pPr>
      <w:r w:rsidRPr="00E72418">
        <w:t xml:space="preserve">Comme le relève </w:t>
      </w:r>
      <w:r w:rsidR="00201853" w:rsidRPr="00E72418">
        <w:t xml:space="preserve">Régis </w:t>
      </w:r>
      <w:r w:rsidRPr="00E72418">
        <w:t>Bismuth, « </w:t>
      </w:r>
      <w:r w:rsidRPr="00E72418">
        <w:rPr>
          <w:rFonts w:ascii="Times New Roman" w:hAnsi="Times New Roman" w:cs="Times New Roman"/>
        </w:rPr>
        <w:t>[l</w:t>
      </w:r>
      <w:r w:rsidR="002F747E">
        <w:rPr>
          <w:rFonts w:ascii="Times New Roman" w:hAnsi="Times New Roman" w:cs="Times New Roman"/>
        </w:rPr>
        <w:t>’</w:t>
      </w:r>
      <w:r w:rsidRPr="00E72418">
        <w:rPr>
          <w:rFonts w:ascii="Times New Roman" w:hAnsi="Times New Roman" w:cs="Times New Roman"/>
        </w:rPr>
        <w:t>]</w:t>
      </w:r>
      <w:r w:rsidRPr="00E72418">
        <w:t xml:space="preserve">existence d’impératifs d’ordre public destinés à assurer une gestion ordonnée d’une crise de dette souveraine permettrait au juge compétent en matière de différends relatifs au contrat d’emprunt de ne pas donner pleinement effet aux stipulations </w:t>
      </w:r>
      <w:r w:rsidRPr="00E72418">
        <w:lastRenderedPageBreak/>
        <w:t>contractuelles ou de les interpréter dans un sens conforme à ces impératifs »</w:t>
      </w:r>
      <w:r w:rsidRPr="00E72418">
        <w:rPr>
          <w:rStyle w:val="Appelnotedebasdep"/>
        </w:rPr>
        <w:footnoteReference w:id="1246"/>
      </w:r>
      <w:r w:rsidRPr="00E72418">
        <w:t>.</w:t>
      </w:r>
      <w:r w:rsidR="00272FD1" w:rsidRPr="00E72418">
        <w:t xml:space="preserve"> Dans le même d’ordre d’idées, </w:t>
      </w:r>
      <w:r w:rsidR="0030568D" w:rsidRPr="00E72418">
        <w:t xml:space="preserve">Fanny </w:t>
      </w:r>
      <w:r w:rsidR="00272FD1" w:rsidRPr="00E72418">
        <w:t>Giansetto relève qu’ « un juge pourrait invoquer l’existence d’un principe d’ordre public international r</w:t>
      </w:r>
      <w:r w:rsidR="0067312A" w:rsidRPr="00E72418">
        <w:t xml:space="preserve">elatif à la nécessité pour les </w:t>
      </w:r>
      <w:r w:rsidR="0067312A" w:rsidRPr="00E72418">
        <w:rPr>
          <w:rFonts w:cs="Times New Roman"/>
          <w:szCs w:val="24"/>
        </w:rPr>
        <w:t>É</w:t>
      </w:r>
      <w:r w:rsidR="00272FD1" w:rsidRPr="00E72418">
        <w:t>tats de pouvoir restructurer leur dette »</w:t>
      </w:r>
      <w:r w:rsidR="00272FD1" w:rsidRPr="00E72418">
        <w:rPr>
          <w:rStyle w:val="Appelnotedebasdep"/>
        </w:rPr>
        <w:footnoteReference w:id="1247"/>
      </w:r>
      <w:r w:rsidR="00272FD1" w:rsidRPr="00E72418">
        <w:t>.</w:t>
      </w:r>
    </w:p>
    <w:p w14:paraId="3366095C" w14:textId="77777777" w:rsidR="007140D8" w:rsidRPr="00E72418" w:rsidRDefault="007140D8" w:rsidP="0054314B"/>
    <w:p w14:paraId="6C81CC63" w14:textId="1085DA39" w:rsidR="00EA6B66" w:rsidRPr="00E72418" w:rsidRDefault="00BF6CE7" w:rsidP="00CC4BA8">
      <w:pPr>
        <w:spacing w:line="276" w:lineRule="auto"/>
        <w:rPr>
          <w:rFonts w:cs="Times"/>
        </w:rPr>
      </w:pPr>
      <w:r w:rsidRPr="00E72418">
        <w:rPr>
          <w:rFonts w:cs="Times"/>
          <w:b/>
        </w:rPr>
        <w:t>253</w:t>
      </w:r>
      <w:r w:rsidR="00A9718E" w:rsidRPr="00E72418">
        <w:rPr>
          <w:rFonts w:cs="Times"/>
          <w:b/>
        </w:rPr>
        <w:t xml:space="preserve">. </w:t>
      </w:r>
      <w:r w:rsidR="007140D8" w:rsidRPr="00E72418">
        <w:rPr>
          <w:rFonts w:cs="Times"/>
          <w:b/>
        </w:rPr>
        <w:t xml:space="preserve">L’ordre public du respect des missions étatiques </w:t>
      </w:r>
      <w:r w:rsidR="00EA6B66" w:rsidRPr="00E72418">
        <w:rPr>
          <w:rFonts w:cs="Times"/>
          <w:b/>
        </w:rPr>
        <w:t xml:space="preserve">essentielles </w:t>
      </w:r>
      <w:r w:rsidR="007140D8" w:rsidRPr="00E72418">
        <w:rPr>
          <w:b/>
        </w:rPr>
        <w:t xml:space="preserve">– </w:t>
      </w:r>
      <w:r w:rsidR="007140D8" w:rsidRPr="00E72418">
        <w:rPr>
          <w:rFonts w:cs="Times"/>
        </w:rPr>
        <w:t>Dès lors que l’exécution d’une décision portant sur une dette souveraine peut conduire à priver l’</w:t>
      </w:r>
      <w:r w:rsidR="007140D8" w:rsidRPr="00E72418">
        <w:rPr>
          <w:rFonts w:cs="Times"/>
          <w:lang w:eastAsia="fr-BE"/>
        </w:rPr>
        <w:t>É</w:t>
      </w:r>
      <w:r w:rsidR="007140D8" w:rsidRPr="00E72418">
        <w:rPr>
          <w:rFonts w:cs="Times"/>
        </w:rPr>
        <w:t>tat de biens nécessaires à la mise en œuvre de ses missions essentielles, il p</w:t>
      </w:r>
      <w:r w:rsidR="000F5299" w:rsidRPr="00E72418">
        <w:rPr>
          <w:rFonts w:cs="Times"/>
        </w:rPr>
        <w:t>ourrait y avoir argument pour le débiteur souverain</w:t>
      </w:r>
      <w:r w:rsidR="007140D8" w:rsidRPr="00E72418">
        <w:rPr>
          <w:rFonts w:cs="Times"/>
        </w:rPr>
        <w:t xml:space="preserve"> à solliciter le refus d’exécution d’une telle décision</w:t>
      </w:r>
      <w:r w:rsidR="00EA6B66" w:rsidRPr="00E72418">
        <w:rPr>
          <w:rFonts w:cs="Times"/>
        </w:rPr>
        <w:t xml:space="preserve"> qui contreviendrait à une forme d’ordre public</w:t>
      </w:r>
      <w:r w:rsidR="007140D8" w:rsidRPr="00E72418">
        <w:rPr>
          <w:rFonts w:cs="Times"/>
        </w:rPr>
        <w:t xml:space="preserve">. </w:t>
      </w:r>
    </w:p>
    <w:p w14:paraId="4A8AD41F" w14:textId="43251060" w:rsidR="007140D8" w:rsidRPr="00E72418" w:rsidRDefault="00423C96" w:rsidP="00CC4BA8">
      <w:pPr>
        <w:spacing w:line="276" w:lineRule="auto"/>
        <w:rPr>
          <w:rFonts w:cs="Times"/>
        </w:rPr>
      </w:pPr>
      <w:r w:rsidRPr="00E72418">
        <w:rPr>
          <w:rFonts w:cs="Times"/>
        </w:rPr>
        <w:t xml:space="preserve">Mauro </w:t>
      </w:r>
      <w:r w:rsidR="007140D8" w:rsidRPr="00E72418">
        <w:rPr>
          <w:rFonts w:cs="Times"/>
        </w:rPr>
        <w:t xml:space="preserve">Megliani relève </w:t>
      </w:r>
      <w:r w:rsidR="000F5299" w:rsidRPr="00E72418">
        <w:rPr>
          <w:rFonts w:cs="Times"/>
        </w:rPr>
        <w:t xml:space="preserve">ainsi </w:t>
      </w:r>
      <w:r w:rsidR="007140D8" w:rsidRPr="00E72418">
        <w:rPr>
          <w:rFonts w:cs="Times"/>
        </w:rPr>
        <w:t>qu’ « [a]lthough, so far, no judge or arbitrator has specified which rules of this truly international public order apply to sovereign debt, it may be reasonable to assume that the duty of a state to ensure certain social and economic rights to its population may be subsumed under this category »</w:t>
      </w:r>
      <w:r w:rsidR="007140D8" w:rsidRPr="00E72418">
        <w:rPr>
          <w:rStyle w:val="Appelnotedebasdep"/>
          <w:rFonts w:cs="Times"/>
        </w:rPr>
        <w:footnoteReference w:id="1248"/>
      </w:r>
      <w:r w:rsidR="007140D8" w:rsidRPr="00E72418">
        <w:rPr>
          <w:rFonts w:cs="Times"/>
        </w:rPr>
        <w:t>. Et l’auteur de poursuivre, « [t]he acknowledgment of this truly international public order rule within the international public policy of the forum involves suspending the recognition and enforcement of a foreign judgment or an arbitral award until and to the extent that it is possible to combine servicing the debt with the provision of essential services »</w:t>
      </w:r>
      <w:r w:rsidR="007140D8" w:rsidRPr="00E72418">
        <w:rPr>
          <w:rStyle w:val="Appelnotedebasdep"/>
          <w:rFonts w:cs="Times"/>
        </w:rPr>
        <w:footnoteReference w:id="1249"/>
      </w:r>
      <w:r w:rsidR="007140D8" w:rsidRPr="00E72418">
        <w:rPr>
          <w:rFonts w:cs="Times"/>
        </w:rPr>
        <w:t>.</w:t>
      </w:r>
    </w:p>
    <w:p w14:paraId="230D5711" w14:textId="482B82AD" w:rsidR="00E43978" w:rsidRPr="00E72418" w:rsidRDefault="00E43978" w:rsidP="0054314B"/>
    <w:p w14:paraId="56F4F807" w14:textId="2B1AAF44" w:rsidR="00A06818" w:rsidRPr="00E72418" w:rsidRDefault="00BF6CE7" w:rsidP="00A06818">
      <w:pPr>
        <w:spacing w:line="276" w:lineRule="auto"/>
        <w:rPr>
          <w:szCs w:val="24"/>
        </w:rPr>
      </w:pPr>
      <w:r w:rsidRPr="00E72418">
        <w:rPr>
          <w:b/>
        </w:rPr>
        <w:t>254</w:t>
      </w:r>
      <w:r w:rsidR="00A9718E" w:rsidRPr="00E72418">
        <w:rPr>
          <w:b/>
        </w:rPr>
        <w:t xml:space="preserve">. </w:t>
      </w:r>
      <w:r w:rsidR="00A06818" w:rsidRPr="00E72418">
        <w:rPr>
          <w:b/>
        </w:rPr>
        <w:t xml:space="preserve">De multiples facettes – </w:t>
      </w:r>
      <w:r w:rsidR="00A06818" w:rsidRPr="00E72418">
        <w:rPr>
          <w:szCs w:val="24"/>
        </w:rPr>
        <w:t xml:space="preserve">Entendu dans la logique du droit international privé qui caractérise le rapport entre créanciers privés et débiteurs souverains </w:t>
      </w:r>
      <w:r w:rsidR="00D23C0C">
        <w:rPr>
          <w:szCs w:val="24"/>
        </w:rPr>
        <w:t>spécifique</w:t>
      </w:r>
      <w:r w:rsidR="00A06818" w:rsidRPr="00E72418">
        <w:rPr>
          <w:szCs w:val="24"/>
        </w:rPr>
        <w:t xml:space="preserve"> des actions des fonds spéculant sur les dettes souveraines, l’argument de l’ordre public peut intervenir à différents égards. Dans un premier cas, l’argument intervient au moment de l’application d’une loi étrangère en cas de contentieux relatif à un contrat de dette souveraine ou au moment de la reconnaissance et de l’exécution d’une décision relative à un tel contrat. Dans un second cas, l’argument intervient au moment de l’exécution du contrat souverain. Les deux facettes de l’argument pe</w:t>
      </w:r>
      <w:r w:rsidR="00D23C0C">
        <w:rPr>
          <w:szCs w:val="24"/>
        </w:rPr>
        <w:t>uvent être mobilisées lors de l’appréhension des</w:t>
      </w:r>
      <w:r w:rsidR="00A06818" w:rsidRPr="00E72418">
        <w:rPr>
          <w:szCs w:val="24"/>
        </w:rPr>
        <w:t xml:space="preserve"> actions de fonds spéculatifs.</w:t>
      </w:r>
    </w:p>
    <w:p w14:paraId="0EDBFBEA" w14:textId="2677695A" w:rsidR="00A06818" w:rsidRPr="00E72418" w:rsidRDefault="00A06818" w:rsidP="00A06818">
      <w:pPr>
        <w:spacing w:line="276" w:lineRule="auto"/>
        <w:rPr>
          <w:szCs w:val="24"/>
        </w:rPr>
      </w:pPr>
      <w:r w:rsidRPr="00E72418">
        <w:rPr>
          <w:szCs w:val="24"/>
        </w:rPr>
        <w:t xml:space="preserve">La reconnaissance d’un ordre public entourant les restructurations de dettes souveraines et </w:t>
      </w:r>
      <w:r w:rsidRPr="00E72418">
        <w:rPr>
          <w:rFonts w:cs="Times"/>
          <w:szCs w:val="24"/>
        </w:rPr>
        <w:t>du respect des missions étatiques essentielles pourrait conduire le juge saisi d’une demande d’un fonds spéculatif à ne pas appliquer une disposition légale qui devrait, par application des règles de conflit de lois, s’appliquer au motif qu’elle serait incompatible avec l’ordre public du for</w:t>
      </w:r>
      <w:r w:rsidRPr="00E72418">
        <w:rPr>
          <w:rStyle w:val="Appelnotedebasdep"/>
          <w:rFonts w:cs="Times"/>
          <w:szCs w:val="24"/>
        </w:rPr>
        <w:footnoteReference w:id="1250"/>
      </w:r>
      <w:r w:rsidRPr="00E72418">
        <w:rPr>
          <w:rFonts w:cs="Times"/>
          <w:szCs w:val="24"/>
        </w:rPr>
        <w:t xml:space="preserve">. Dans la même logique de protection de l’ordre public, la reconnaissance et l’exécution d’une </w:t>
      </w:r>
      <w:r w:rsidRPr="00E72418">
        <w:rPr>
          <w:rFonts w:cs="Times"/>
          <w:szCs w:val="24"/>
        </w:rPr>
        <w:lastRenderedPageBreak/>
        <w:t xml:space="preserve">décision condamnant un </w:t>
      </w:r>
      <w:r w:rsidRPr="00E72418">
        <w:rPr>
          <w:rFonts w:ascii="Times New Roman" w:hAnsi="Times New Roman" w:cs="Times New Roman"/>
          <w:lang w:eastAsia="fr-BE"/>
        </w:rPr>
        <w:t>É</w:t>
      </w:r>
      <w:r w:rsidRPr="00E72418">
        <w:rPr>
          <w:rFonts w:cs="Times"/>
          <w:szCs w:val="24"/>
        </w:rPr>
        <w:t xml:space="preserve">tat débiteur pourraient être refusées si celles-ci </w:t>
      </w:r>
      <w:r w:rsidR="00D9255C" w:rsidRPr="00E72418">
        <w:rPr>
          <w:rFonts w:cs="Times"/>
          <w:szCs w:val="24"/>
        </w:rPr>
        <w:t>s’avéraient</w:t>
      </w:r>
      <w:r w:rsidRPr="00E72418">
        <w:rPr>
          <w:rFonts w:cs="Times"/>
          <w:szCs w:val="24"/>
        </w:rPr>
        <w:t xml:space="preserve"> être manifestement contraires à l’ordre public de l’</w:t>
      </w:r>
      <w:r w:rsidRPr="00E72418">
        <w:rPr>
          <w:rFonts w:ascii="Times New Roman" w:hAnsi="Times New Roman" w:cs="Times New Roman"/>
          <w:lang w:eastAsia="fr-BE"/>
        </w:rPr>
        <w:t>É</w:t>
      </w:r>
      <w:r w:rsidRPr="00E72418">
        <w:rPr>
          <w:rFonts w:cs="Times"/>
          <w:szCs w:val="24"/>
        </w:rPr>
        <w:t>tat requis</w:t>
      </w:r>
      <w:r w:rsidRPr="00E72418">
        <w:rPr>
          <w:rStyle w:val="Appelnotedebasdep"/>
          <w:rFonts w:cs="Times"/>
          <w:szCs w:val="24"/>
        </w:rPr>
        <w:footnoteReference w:id="1251"/>
      </w:r>
      <w:r w:rsidRPr="00E72418">
        <w:rPr>
          <w:rFonts w:cs="Times"/>
          <w:szCs w:val="24"/>
        </w:rPr>
        <w:t>.</w:t>
      </w:r>
      <w:r w:rsidRPr="00E72418">
        <w:rPr>
          <w:szCs w:val="24"/>
        </w:rPr>
        <w:t xml:space="preserve"> </w:t>
      </w:r>
    </w:p>
    <w:p w14:paraId="285BEB8B" w14:textId="67A9398A" w:rsidR="00A06818" w:rsidRPr="00E72418" w:rsidRDefault="00A06818" w:rsidP="00A06818">
      <w:pPr>
        <w:spacing w:line="276" w:lineRule="auto"/>
        <w:rPr>
          <w:szCs w:val="24"/>
        </w:rPr>
      </w:pPr>
      <w:r w:rsidRPr="00E72418">
        <w:rPr>
          <w:szCs w:val="24"/>
        </w:rPr>
        <w:t>Aussi, l’application de la théorie des lois de police pourrait permettre à une juridiction d’appliquer une disposition adoptée par l’</w:t>
      </w:r>
      <w:r w:rsidRPr="00E72418">
        <w:rPr>
          <w:szCs w:val="24"/>
          <w:lang w:eastAsia="fr-BE"/>
        </w:rPr>
        <w:t>É</w:t>
      </w:r>
      <w:r w:rsidRPr="00E72418">
        <w:rPr>
          <w:szCs w:val="24"/>
        </w:rPr>
        <w:t>tat débiteur relativement à sa dette</w:t>
      </w:r>
      <w:r w:rsidRPr="00E72418">
        <w:rPr>
          <w:rStyle w:val="Appelnotedebasdep"/>
          <w:szCs w:val="24"/>
        </w:rPr>
        <w:footnoteReference w:id="1252"/>
      </w:r>
      <w:r w:rsidRPr="00E72418">
        <w:rPr>
          <w:szCs w:val="24"/>
        </w:rPr>
        <w:t xml:space="preserve">. </w:t>
      </w:r>
      <w:r w:rsidR="0030568D" w:rsidRPr="00E72418">
        <w:rPr>
          <w:szCs w:val="24"/>
        </w:rPr>
        <w:t xml:space="preserve">Fanny </w:t>
      </w:r>
      <w:r w:rsidRPr="00E72418">
        <w:rPr>
          <w:szCs w:val="24"/>
        </w:rPr>
        <w:t>Giansetto relève trois types de lois qui pourraient être retenues comme lois de police de l’</w:t>
      </w:r>
      <w:r w:rsidRPr="00E72418">
        <w:rPr>
          <w:szCs w:val="24"/>
          <w:lang w:eastAsia="fr-BE"/>
        </w:rPr>
        <w:t>É</w:t>
      </w:r>
      <w:r w:rsidRPr="00E72418">
        <w:rPr>
          <w:szCs w:val="24"/>
        </w:rPr>
        <w:t>tat débiteur qu’il conviendrait alors d’appliquer ; les lois modifiant les contrats d’émission, les lois répudiant les dettes souveraines et les lois prononçant un moratoire</w:t>
      </w:r>
      <w:r w:rsidRPr="00E72418">
        <w:rPr>
          <w:rStyle w:val="Appelnotedebasdep"/>
          <w:szCs w:val="24"/>
        </w:rPr>
        <w:footnoteReference w:id="1253"/>
      </w:r>
      <w:r w:rsidRPr="00E72418">
        <w:rPr>
          <w:szCs w:val="24"/>
        </w:rPr>
        <w:t xml:space="preserve">. L’article 9 du règlement européen </w:t>
      </w:r>
      <w:r w:rsidRPr="00E72418">
        <w:t xml:space="preserve">n° 593/2008 </w:t>
      </w:r>
      <w:r w:rsidRPr="00E72418">
        <w:rPr>
          <w:szCs w:val="24"/>
        </w:rPr>
        <w:t>prévoit ainsi notamment qu’une loi de police est une disposition impérative dont le respect est jugé crucial par un pays pour la sauvegarde de ses intérêts publics, tels que son organisation politique, sociale ou économique, au point d’en exiger l’application à toute situation entrant dans son champ d’application.</w:t>
      </w:r>
    </w:p>
    <w:p w14:paraId="4AF8814D" w14:textId="77777777" w:rsidR="00D15B17" w:rsidRPr="00E72418" w:rsidRDefault="00D15B17" w:rsidP="0054314B"/>
    <w:p w14:paraId="3A855139" w14:textId="1D96D166" w:rsidR="00D15B17" w:rsidRPr="00E72418" w:rsidRDefault="00B1431C" w:rsidP="00CC4BA8">
      <w:pPr>
        <w:pStyle w:val="DD"/>
        <w:spacing w:line="276" w:lineRule="auto"/>
      </w:pPr>
      <w:bookmarkStart w:id="285" w:name="_Toc59280963"/>
      <w:bookmarkStart w:id="286" w:name="_Toc84540954"/>
      <w:r w:rsidRPr="00E72418">
        <w:t>Section 2</w:t>
      </w:r>
      <w:r w:rsidR="00D15B17" w:rsidRPr="00E72418">
        <w:t> : L’état de nécessité</w:t>
      </w:r>
      <w:bookmarkEnd w:id="285"/>
      <w:bookmarkEnd w:id="286"/>
    </w:p>
    <w:p w14:paraId="3DEBF06D" w14:textId="77777777" w:rsidR="004007D2" w:rsidRPr="00E72418" w:rsidRDefault="004007D2" w:rsidP="0054314B"/>
    <w:p w14:paraId="6ABA963D" w14:textId="156C2871" w:rsidR="000F5299" w:rsidRPr="00E72418" w:rsidRDefault="00BF6CE7" w:rsidP="00CC4BA8">
      <w:pPr>
        <w:spacing w:line="276" w:lineRule="auto"/>
        <w:rPr>
          <w:bCs/>
        </w:rPr>
      </w:pPr>
      <w:r w:rsidRPr="00E72418">
        <w:rPr>
          <w:b/>
        </w:rPr>
        <w:t>255</w:t>
      </w:r>
      <w:r w:rsidR="00A9718E" w:rsidRPr="00E72418">
        <w:rPr>
          <w:b/>
        </w:rPr>
        <w:t xml:space="preserve">. </w:t>
      </w:r>
      <w:r w:rsidR="00D15B17" w:rsidRPr="00E72418">
        <w:rPr>
          <w:b/>
        </w:rPr>
        <w:t xml:space="preserve">La </w:t>
      </w:r>
      <w:r w:rsidR="00B1431C" w:rsidRPr="00E72418">
        <w:rPr>
          <w:b/>
        </w:rPr>
        <w:t>nécessaire altération</w:t>
      </w:r>
      <w:r w:rsidR="00D15B17" w:rsidRPr="00E72418">
        <w:rPr>
          <w:b/>
        </w:rPr>
        <w:t xml:space="preserve"> – </w:t>
      </w:r>
      <w:r w:rsidR="00D15B17" w:rsidRPr="00E72418">
        <w:t xml:space="preserve">Les difficultés financières que peuvent rencontrer les </w:t>
      </w:r>
      <w:r w:rsidR="00D15B17" w:rsidRPr="00E72418">
        <w:rPr>
          <w:lang w:eastAsia="fr-BE"/>
        </w:rPr>
        <w:t>É</w:t>
      </w:r>
      <w:r w:rsidR="00D15B17" w:rsidRPr="00E72418">
        <w:t>tats à l’endroit du service de leur dette posent la question de la possible invocation de l’argument de l’état de nécessité leur permettant d’altérer leurs obligations. La nécessité pourrait être, pour les débiteurs souverains, celle d’assurer les missions qui sont les leurs</w:t>
      </w:r>
      <w:r w:rsidR="00D15B17" w:rsidRPr="00E72418">
        <w:rPr>
          <w:rStyle w:val="Appelnotedebasdep"/>
          <w:rFonts w:cs="Times New Roman"/>
          <w:szCs w:val="24"/>
        </w:rPr>
        <w:footnoteReference w:id="1254"/>
      </w:r>
      <w:r w:rsidR="00D15B17" w:rsidRPr="00E72418">
        <w:t>.</w:t>
      </w:r>
      <w:r w:rsidR="00D15B17" w:rsidRPr="00E72418">
        <w:rPr>
          <w:bCs/>
        </w:rPr>
        <w:t xml:space="preserve"> </w:t>
      </w:r>
    </w:p>
    <w:p w14:paraId="13229C12" w14:textId="4358C468" w:rsidR="00D15B17" w:rsidRPr="00E72418" w:rsidRDefault="00D15B17" w:rsidP="00CC4BA8">
      <w:pPr>
        <w:spacing w:line="276" w:lineRule="auto"/>
        <w:rPr>
          <w:bCs/>
        </w:rPr>
      </w:pPr>
      <w:r w:rsidRPr="00E72418">
        <w:t xml:space="preserve">De nombreux auteurs défendent la possibilité pour un </w:t>
      </w:r>
      <w:r w:rsidRPr="00E72418">
        <w:rPr>
          <w:lang w:eastAsia="fr-BE"/>
        </w:rPr>
        <w:t>É</w:t>
      </w:r>
      <w:r w:rsidRPr="00E72418">
        <w:t>tat d’invoquer l’argument de l’</w:t>
      </w:r>
      <w:r w:rsidRPr="00E72418">
        <w:rPr>
          <w:lang w:eastAsia="fr-BE"/>
        </w:rPr>
        <w:t>é</w:t>
      </w:r>
      <w:r w:rsidRPr="00E72418">
        <w:t xml:space="preserve">tat de nécessité. Pour </w:t>
      </w:r>
      <w:r w:rsidR="00DF779F" w:rsidRPr="00E72418">
        <w:t xml:space="preserve">August </w:t>
      </w:r>
      <w:r w:rsidRPr="00E72418">
        <w:t xml:space="preserve">Reinisch et </w:t>
      </w:r>
      <w:r w:rsidR="00DF779F" w:rsidRPr="00E72418">
        <w:t xml:space="preserve">Christina </w:t>
      </w:r>
      <w:r w:rsidRPr="00E72418">
        <w:t xml:space="preserve">Binder par exemple, </w:t>
      </w:r>
      <w:r w:rsidRPr="00E72418">
        <w:rPr>
          <w:lang w:val="en-US"/>
        </w:rPr>
        <w:t xml:space="preserve">« [i]t seems in fact difficult to conceive why a state would not be allowed to suspend the fulfilment of its payment obligations to the extent necessary to protect elementary concerns of the </w:t>
      </w:r>
      <w:r w:rsidRPr="00E72418">
        <w:rPr>
          <w:i/>
          <w:lang w:val="en-US"/>
        </w:rPr>
        <w:t>bien commun</w:t>
      </w:r>
      <w:r w:rsidRPr="00E72418">
        <w:rPr>
          <w:lang w:val="en-US"/>
        </w:rPr>
        <w:t>, such as the protection of the life and health of its citizens, also towards investors »</w:t>
      </w:r>
      <w:r w:rsidRPr="00E72418">
        <w:rPr>
          <w:rStyle w:val="Appelnotedebasdep"/>
          <w:rFonts w:cs="Times New Roman"/>
          <w:szCs w:val="24"/>
        </w:rPr>
        <w:footnoteReference w:id="1255"/>
      </w:r>
      <w:r w:rsidRPr="00E72418">
        <w:t>.</w:t>
      </w:r>
    </w:p>
    <w:p w14:paraId="31CA2652" w14:textId="157CBD42" w:rsidR="00D15B17" w:rsidRPr="00E72418" w:rsidRDefault="00D15B17" w:rsidP="00CC4BA8">
      <w:pPr>
        <w:spacing w:line="276" w:lineRule="auto"/>
        <w:rPr>
          <w:bCs/>
        </w:rPr>
      </w:pPr>
      <w:r w:rsidRPr="00E72418">
        <w:rPr>
          <w:bCs/>
        </w:rPr>
        <w:t>L’</w:t>
      </w:r>
      <w:r w:rsidRPr="00E72418">
        <w:t>argument trouve écho dans le neuvième principe de la Conférence des Nations Unies sur le commerce et le développement pour l’octroi de prêts et la souscription d’emprunts souverains responsables de 2012 qui dispose qu’ « [u]</w:t>
      </w:r>
      <w:r w:rsidRPr="00E72418">
        <w:rPr>
          <w:bCs/>
        </w:rPr>
        <w:t>n contrat de dette souveraine est une obligation contraignante qui devrait être hon</w:t>
      </w:r>
      <w:r w:rsidRPr="00E72418">
        <w:rPr>
          <w:bCs/>
        </w:rPr>
        <w:softHyphen/>
        <w:t xml:space="preserve">orée. Des circonstances exceptionnelles peuvent néanmoins surgir. Un état de nécessité financière peut empêcher le remboursement intégral et/ou en temps et en heure de l’emprunteur. De plus, une autorité judiciaire compétente peut décider que </w:t>
      </w:r>
      <w:r w:rsidRPr="00E72418">
        <w:rPr>
          <w:bCs/>
        </w:rPr>
        <w:lastRenderedPageBreak/>
        <w:t>certaines cir</w:t>
      </w:r>
      <w:r w:rsidRPr="00E72418">
        <w:rPr>
          <w:bCs/>
        </w:rPr>
        <w:softHyphen/>
        <w:t xml:space="preserve">constances pouvant constituer des motifs de défense juridiques sont apparues. </w:t>
      </w:r>
      <w:r w:rsidRPr="00E72418">
        <w:rPr>
          <w:rFonts w:ascii="Times New Roman" w:hAnsi="Times New Roman" w:cs="Times New Roman"/>
        </w:rPr>
        <w:t xml:space="preserve">[…] </w:t>
      </w:r>
      <w:r w:rsidRPr="00E72418">
        <w:rPr>
          <w:bCs/>
        </w:rPr>
        <w:t>»</w:t>
      </w:r>
      <w:r w:rsidRPr="00E72418">
        <w:rPr>
          <w:rStyle w:val="Appelnotedebasdep"/>
          <w:rFonts w:cs="Times"/>
          <w:bCs/>
          <w:szCs w:val="24"/>
        </w:rPr>
        <w:footnoteReference w:id="1256"/>
      </w:r>
      <w:r w:rsidRPr="00E72418">
        <w:rPr>
          <w:bCs/>
        </w:rPr>
        <w:t>.</w:t>
      </w:r>
    </w:p>
    <w:p w14:paraId="54A5DB2C" w14:textId="77777777" w:rsidR="00A06818" w:rsidRPr="00E72418" w:rsidRDefault="00A06818" w:rsidP="00A06818">
      <w:pPr>
        <w:spacing w:line="276" w:lineRule="auto"/>
      </w:pPr>
      <w:r w:rsidRPr="00E72418">
        <w:t>L’on retrouve dans le projet d’articles sur la responsabilité de l’État pour un fait internationalement illicite de 2001 de la Commission de droit international la reconnaissance de ce qu’un état de nécessité peut offrir une justification à la méconnaissance d’obligations internationales. L’on peut ainsi s’interroger sur la mobilisation de l’argument pour justifier de la méconnaissance d’obligations liées au service des dettes souveraines. L’article 25 du projet dispose que l’État ne peut invoquer l’état de nécessité comme cause d’exclusion de l’illicéité d’un fait non conforme à l’une de ses obligations internationales que si ce fait constitue pour l’État le seul moyen de protéger un intérêt essentiel contre un péril grave et imminent et si ce fait ne porte pas gravement atteinte à un intérêt essentiel de l’État ou des États à l’égard desquels l’obligation existe ou de la communauté internationale dans son ensemble. Il y est encore précisé que l’état de nécessité ne peut être invoqué par l’État comme cause d’exclusion de l’illicéité si l’obligation internationale en question exclut la possibilité d’invoquer l’état de nécessité ou si l’État a contribué à la survenance de cette situation</w:t>
      </w:r>
      <w:r w:rsidRPr="00E72418">
        <w:rPr>
          <w:rStyle w:val="Appelnotedebasdep"/>
        </w:rPr>
        <w:footnoteReference w:id="1257"/>
      </w:r>
      <w:r w:rsidRPr="00E72418">
        <w:t>. L’état de nécessité étant une « circonstance excluant l’illicéité », il importe de se rapporter à l’article 27 du projet afin de déterminer les conséquences de l’invocation de cette circonstance. Il en ressort que l’invocation d’une telle circonstance est sans préjudice, d’une part, du respect de l’obligation en question si, et dans la mesure où, la circonstance excluant l’illicéité n’existe plus, d’autre part, de la question de l’indemnisation de toute perte effective causée par le fait en question.</w:t>
      </w:r>
    </w:p>
    <w:p w14:paraId="4A4DD96D" w14:textId="77777777" w:rsidR="00751D84" w:rsidRPr="00E72418" w:rsidRDefault="00751D84" w:rsidP="0054314B"/>
    <w:p w14:paraId="013964C4" w14:textId="39E60CC8" w:rsidR="00E939C7" w:rsidRPr="00E72418" w:rsidRDefault="00BF6CE7" w:rsidP="00CC4BA8">
      <w:pPr>
        <w:spacing w:line="276" w:lineRule="auto"/>
        <w:rPr>
          <w:rFonts w:cs="Times New Roman"/>
          <w:szCs w:val="24"/>
        </w:rPr>
      </w:pPr>
      <w:r w:rsidRPr="00E72418">
        <w:rPr>
          <w:b/>
        </w:rPr>
        <w:t>256</w:t>
      </w:r>
      <w:r w:rsidR="00A9718E" w:rsidRPr="00E72418">
        <w:rPr>
          <w:b/>
        </w:rPr>
        <w:t xml:space="preserve">. </w:t>
      </w:r>
      <w:r w:rsidR="00D15B17" w:rsidRPr="00E72418">
        <w:rPr>
          <w:b/>
        </w:rPr>
        <w:t>L</w:t>
      </w:r>
      <w:r w:rsidR="00E939C7" w:rsidRPr="00E72418">
        <w:rPr>
          <w:b/>
        </w:rPr>
        <w:t>es</w:t>
      </w:r>
      <w:r w:rsidR="00D15B17" w:rsidRPr="00E72418">
        <w:rPr>
          <w:b/>
        </w:rPr>
        <w:t xml:space="preserve"> difficile</w:t>
      </w:r>
      <w:r w:rsidR="00E939C7" w:rsidRPr="00E72418">
        <w:rPr>
          <w:b/>
        </w:rPr>
        <w:t>s</w:t>
      </w:r>
      <w:r w:rsidR="00D15B17" w:rsidRPr="00E72418">
        <w:rPr>
          <w:b/>
        </w:rPr>
        <w:t xml:space="preserve"> démonstration </w:t>
      </w:r>
      <w:r w:rsidR="00E939C7" w:rsidRPr="00E72418">
        <w:rPr>
          <w:b/>
        </w:rPr>
        <w:t xml:space="preserve">et mobilisation </w:t>
      </w:r>
      <w:r w:rsidR="00D15B17" w:rsidRPr="00E72418">
        <w:rPr>
          <w:b/>
        </w:rPr>
        <w:t xml:space="preserve">– </w:t>
      </w:r>
      <w:r w:rsidR="00D15B17" w:rsidRPr="00E72418">
        <w:t xml:space="preserve">Si l’argument de l’état de nécessité semble pouvoir servir de défense aux </w:t>
      </w:r>
      <w:r w:rsidR="00D15B17" w:rsidRPr="00E72418">
        <w:rPr>
          <w:lang w:eastAsia="fr-BE"/>
        </w:rPr>
        <w:t>É</w:t>
      </w:r>
      <w:r w:rsidR="00D15B17" w:rsidRPr="00E72418">
        <w:t xml:space="preserve">tats débiteurs en proie à des poursuites menées par des fonds spéculatifs, cette défense demeure </w:t>
      </w:r>
      <w:r w:rsidR="005301A0" w:rsidRPr="00E72418">
        <w:t xml:space="preserve">fragile </w:t>
      </w:r>
      <w:r w:rsidR="00D15B17" w:rsidRPr="00E72418">
        <w:t>tant la démonstration d’un tel état</w:t>
      </w:r>
      <w:r w:rsidR="007E57DD" w:rsidRPr="00E72418">
        <w:t xml:space="preserve"> et de ses conditions d’application</w:t>
      </w:r>
      <w:r w:rsidR="00D15B17" w:rsidRPr="00E72418">
        <w:t xml:space="preserve"> est complexe</w:t>
      </w:r>
      <w:r w:rsidR="00731513" w:rsidRPr="00E72418">
        <w:rPr>
          <w:rStyle w:val="Appelnotedebasdep"/>
        </w:rPr>
        <w:footnoteReference w:id="1258"/>
      </w:r>
      <w:r w:rsidR="00D15B17" w:rsidRPr="00E72418">
        <w:t xml:space="preserve">. </w:t>
      </w:r>
      <w:r w:rsidR="008813AF" w:rsidRPr="00E72418">
        <w:t>Comme le note Patrick Wautelet, « it appears that a State could only walk away from its obligations using the state of necessity if it builds a very convincing case »</w:t>
      </w:r>
      <w:r w:rsidR="008813AF" w:rsidRPr="00E72418">
        <w:rPr>
          <w:rStyle w:val="Appelnotedebasdep"/>
        </w:rPr>
        <w:footnoteReference w:id="1259"/>
      </w:r>
      <w:r w:rsidR="008813AF" w:rsidRPr="00E72418">
        <w:t xml:space="preserve">. </w:t>
      </w:r>
      <w:r w:rsidR="00D15B17" w:rsidRPr="00E72418">
        <w:t xml:space="preserve">Ainsi, par exemple, la République argentine avança devant la </w:t>
      </w:r>
      <w:r w:rsidR="00D15B17" w:rsidRPr="00735BBE">
        <w:rPr>
          <w:shd w:val="clear" w:color="auto" w:fill="FFFFFF"/>
        </w:rPr>
        <w:t>United States Court of Appeals for the Second Circuit</w:t>
      </w:r>
      <w:r w:rsidR="00D15B17" w:rsidRPr="00E72418">
        <w:rPr>
          <w:shd w:val="clear" w:color="auto" w:fill="FFFFFF"/>
        </w:rPr>
        <w:t xml:space="preserve"> saisie du contentieux de l’injonction </w:t>
      </w:r>
      <w:r w:rsidR="00D15B17" w:rsidRPr="00E72418">
        <w:t xml:space="preserve">diligenté par la société </w:t>
      </w:r>
      <w:r w:rsidR="00D15B17" w:rsidRPr="00E72418">
        <w:rPr>
          <w:i/>
        </w:rPr>
        <w:t>NML Capital Ltd.</w:t>
      </w:r>
      <w:r w:rsidR="00D15B17" w:rsidRPr="00E72418">
        <w:t xml:space="preserve"> l’argument selon lequel un paiement de ses créanciers récalcitrants ferait plonger le pays dans une nouvelle crise financière et économique. L’argument ne fit toutefois </w:t>
      </w:r>
      <w:r w:rsidR="00D15B17" w:rsidRPr="00E72418">
        <w:lastRenderedPageBreak/>
        <w:t>pas mouche, la juridiction</w:t>
      </w:r>
      <w:r w:rsidR="000F5299" w:rsidRPr="00E72418">
        <w:t xml:space="preserve"> jugeant que l’Argentine</w:t>
      </w:r>
      <w:r w:rsidR="00D15B17" w:rsidRPr="00E72418">
        <w:t xml:space="preserve"> avait suffisamment d’argent pour payer</w:t>
      </w:r>
      <w:r w:rsidR="00D15B17" w:rsidRPr="00E72418">
        <w:rPr>
          <w:rStyle w:val="Appelnotedebasdep"/>
        </w:rPr>
        <w:footnoteReference w:id="1260"/>
      </w:r>
      <w:r w:rsidR="00D15B17" w:rsidRPr="00E72418">
        <w:t>. Dans une décision postérieure</w:t>
      </w:r>
      <w:r w:rsidR="00462CD0" w:rsidRPr="00E72418">
        <w:t>, la c</w:t>
      </w:r>
      <w:r w:rsidR="00D15B17" w:rsidRPr="00E72418">
        <w:t xml:space="preserve">our d’appel maintint son propos en expliquant qu’ </w:t>
      </w:r>
      <w:r w:rsidR="00D15B17" w:rsidRPr="00E72418">
        <w:rPr>
          <w:rFonts w:cs="Times New Roman"/>
          <w:szCs w:val="24"/>
        </w:rPr>
        <w:t>«</w:t>
      </w:r>
      <w:r w:rsidR="00D15B17" w:rsidRPr="00E72418">
        <w:rPr>
          <w:rFonts w:cs="Times New Roman"/>
          <w:b/>
          <w:szCs w:val="24"/>
        </w:rPr>
        <w:t> </w:t>
      </w:r>
      <w:r w:rsidR="00D15B17" w:rsidRPr="00E72418">
        <w:rPr>
          <w:rFonts w:cs="Times New Roman"/>
          <w:szCs w:val="24"/>
        </w:rPr>
        <w:t xml:space="preserve">Argentina and the Euro Bondholders warn that Argentina may not be able to pay or that paying will cause problems in the Argentine economy, which could affect the global economy. But as we observed in our last opinion, other than this speculation, “Argentina makes no real argument that, to avoid defaulting on its other debt, it cannot afford to service the defaulted debt, and it certainly fails to demonstrate that the district court’s finding to the contrary was clearly erroneous.” </w:t>
      </w:r>
      <w:r w:rsidR="00D15B17" w:rsidRPr="00E72418">
        <w:t xml:space="preserve">[…] </w:t>
      </w:r>
      <w:r w:rsidR="00D15B17" w:rsidRPr="00E72418">
        <w:rPr>
          <w:rFonts w:cs="Times New Roman"/>
          <w:szCs w:val="24"/>
        </w:rPr>
        <w:t>Moreover, and perhaps more critically, Argentina failed to present the district court with any record evidence to support its assertions »</w:t>
      </w:r>
      <w:r w:rsidR="00D15B17" w:rsidRPr="00E72418">
        <w:rPr>
          <w:rStyle w:val="Appelnotedebasdep"/>
          <w:rFonts w:cs="Times New Roman"/>
          <w:szCs w:val="24"/>
        </w:rPr>
        <w:footnoteReference w:id="1261"/>
      </w:r>
      <w:r w:rsidR="00A06818" w:rsidRPr="00E72418">
        <w:rPr>
          <w:rFonts w:cs="Times New Roman"/>
          <w:szCs w:val="24"/>
          <w:vertAlign w:val="superscript"/>
        </w:rPr>
        <w:t>,</w:t>
      </w:r>
      <w:r w:rsidR="00D15B17" w:rsidRPr="00E72418">
        <w:rPr>
          <w:rStyle w:val="Appelnotedebasdep"/>
          <w:rFonts w:cs="Times New Roman"/>
          <w:szCs w:val="24"/>
        </w:rPr>
        <w:footnoteReference w:id="1262"/>
      </w:r>
      <w:r w:rsidR="00D15B17" w:rsidRPr="00E72418">
        <w:rPr>
          <w:rFonts w:cs="Times New Roman"/>
          <w:szCs w:val="24"/>
        </w:rPr>
        <w:t>.</w:t>
      </w:r>
      <w:r w:rsidR="002E238C" w:rsidRPr="00E72418">
        <w:rPr>
          <w:rFonts w:cs="Times New Roman"/>
          <w:szCs w:val="24"/>
        </w:rPr>
        <w:t xml:space="preserve"> </w:t>
      </w:r>
      <w:r w:rsidR="00E939C7" w:rsidRPr="00E72418">
        <w:rPr>
          <w:rFonts w:cs="Times New Roman"/>
          <w:szCs w:val="24"/>
        </w:rPr>
        <w:t xml:space="preserve">Outre que l’état de nécessité est difficile à démontrer, la défense n’apparaît pas pérenne dans la mesure où elle disparaît lorsque la situation économique et financière de </w:t>
      </w:r>
      <w:r w:rsidR="00FC4E03" w:rsidRPr="00E72418">
        <w:rPr>
          <w:rFonts w:cs="Times New Roman"/>
          <w:szCs w:val="24"/>
        </w:rPr>
        <w:t>l’</w:t>
      </w:r>
      <w:r w:rsidR="00FC4E03" w:rsidRPr="00E72418">
        <w:rPr>
          <w:rFonts w:ascii="Times New Roman" w:hAnsi="Times New Roman" w:cs="Times New Roman"/>
          <w:lang w:eastAsia="fr-BE"/>
        </w:rPr>
        <w:t>É</w:t>
      </w:r>
      <w:r w:rsidR="00E939C7" w:rsidRPr="00E72418">
        <w:rPr>
          <w:rFonts w:cs="Times New Roman"/>
          <w:szCs w:val="24"/>
        </w:rPr>
        <w:t>tat débiteur s’améliore</w:t>
      </w:r>
      <w:r w:rsidR="00E939C7" w:rsidRPr="00E72418">
        <w:rPr>
          <w:rStyle w:val="Appelnotedebasdep"/>
          <w:rFonts w:cs="Times New Roman"/>
          <w:szCs w:val="24"/>
        </w:rPr>
        <w:footnoteReference w:id="1263"/>
      </w:r>
      <w:r w:rsidR="00E939C7" w:rsidRPr="00E72418">
        <w:rPr>
          <w:rFonts w:cs="Times New Roman"/>
          <w:szCs w:val="24"/>
        </w:rPr>
        <w:t>.</w:t>
      </w:r>
    </w:p>
    <w:p w14:paraId="494F12F5" w14:textId="3518135E" w:rsidR="008567F3" w:rsidRPr="00E72418" w:rsidRDefault="00A06818" w:rsidP="00CC4BA8">
      <w:pPr>
        <w:spacing w:line="276" w:lineRule="auto"/>
      </w:pPr>
      <w:r w:rsidRPr="00E72418">
        <w:t>Au sujet de la défense telle que reprise dans le projet d’articles sur la responsabilité de l’État pour un fait internationalement illicite, outre notamment l’interrogation entourant l’utile mobilisation de l’argument de l’état de nécessité à la situation où il est question de nécessité financière</w:t>
      </w:r>
      <w:r w:rsidRPr="00E72418">
        <w:rPr>
          <w:rStyle w:val="Appelnotedebasdep"/>
        </w:rPr>
        <w:footnoteReference w:id="1264"/>
      </w:r>
      <w:r w:rsidRPr="00E72418">
        <w:rPr>
          <w:vertAlign w:val="superscript"/>
        </w:rPr>
        <w:t>,</w:t>
      </w:r>
      <w:r w:rsidRPr="00E72418">
        <w:rPr>
          <w:rStyle w:val="Appelnotedebasdep"/>
        </w:rPr>
        <w:footnoteReference w:id="1265"/>
      </w:r>
      <w:r w:rsidRPr="00E72418">
        <w:t xml:space="preserve">, la faiblesse de la défense réside dans son caractère temporaire faisant dire à </w:t>
      </w:r>
      <w:r w:rsidR="00DF779F" w:rsidRPr="00E72418">
        <w:lastRenderedPageBreak/>
        <w:t xml:space="preserve">August </w:t>
      </w:r>
      <w:r w:rsidRPr="00E72418">
        <w:t xml:space="preserve">Reinisch et </w:t>
      </w:r>
      <w:r w:rsidR="00DF779F" w:rsidRPr="00E72418">
        <w:t xml:space="preserve">Christina </w:t>
      </w:r>
      <w:r w:rsidRPr="00E72418">
        <w:t>Binder que « reliance on necessity may thus be of limited value for debtor states seeking to return to economic viability »</w:t>
      </w:r>
      <w:r w:rsidRPr="00E72418">
        <w:rPr>
          <w:rStyle w:val="Appelnotedebasdep"/>
        </w:rPr>
        <w:footnoteReference w:id="1266"/>
      </w:r>
      <w:r w:rsidRPr="00E72418">
        <w:t xml:space="preserve">. Aussi, l’argument de la nécessité a ceci d’inefficace pour solutionner les problèmes posés par les activités des fonds spéculatifs qu’il ne fait pas disparaître ce qui leur est dû. L’article 27 du projet d’articles sur la responsabilité de l’État pour un fait internationalement illicite fait en effet valoir qu’il y a matière à compensation de l’inobservation de l’obligation. Comme le notent encore </w:t>
      </w:r>
      <w:r w:rsidR="00B86471" w:rsidRPr="00E72418">
        <w:t xml:space="preserve">Augut </w:t>
      </w:r>
      <w:r w:rsidRPr="00E72418">
        <w:t xml:space="preserve">Reinisch et </w:t>
      </w:r>
      <w:r w:rsidR="00B86471" w:rsidRPr="00E72418">
        <w:t xml:space="preserve">Christina </w:t>
      </w:r>
      <w:r w:rsidRPr="00E72418">
        <w:t>Binder, « it seems safe to conclude that a state will generally have to compensate investors even in cases of a successful reliance on necessity »</w:t>
      </w:r>
      <w:r w:rsidRPr="00E72418">
        <w:rPr>
          <w:rStyle w:val="Appelnotedebasdep"/>
        </w:rPr>
        <w:footnoteReference w:id="1267"/>
      </w:r>
      <w:r w:rsidRPr="00E72418">
        <w:t>.</w:t>
      </w:r>
      <w:bookmarkEnd w:id="224"/>
    </w:p>
    <w:p w14:paraId="53D20BE5" w14:textId="308FE595" w:rsidR="008567F3" w:rsidRPr="00E72418" w:rsidRDefault="008567F3" w:rsidP="0054314B"/>
    <w:p w14:paraId="1B675BAC" w14:textId="6AB81A29" w:rsidR="008567F3" w:rsidRPr="00E72418" w:rsidRDefault="008567F3" w:rsidP="008567F3">
      <w:pPr>
        <w:pStyle w:val="DD"/>
      </w:pPr>
      <w:bookmarkStart w:id="287" w:name="_Toc84540955"/>
      <w:r w:rsidRPr="00E72418">
        <w:t>Section 3 : Le concept de dette odieuse</w:t>
      </w:r>
      <w:bookmarkEnd w:id="287"/>
    </w:p>
    <w:p w14:paraId="2F377E14" w14:textId="77777777" w:rsidR="008567F3" w:rsidRPr="00E72418" w:rsidRDefault="008567F3" w:rsidP="0054314B"/>
    <w:p w14:paraId="1E938C93" w14:textId="4A5DBA41" w:rsidR="008567F3" w:rsidRPr="00E72418" w:rsidRDefault="00BF6CE7" w:rsidP="008567F3">
      <w:pPr>
        <w:spacing w:line="276" w:lineRule="auto"/>
        <w:rPr>
          <w:rFonts w:ascii="Times New Roman" w:hAnsi="Times New Roman" w:cs="Times New Roman"/>
          <w:szCs w:val="24"/>
        </w:rPr>
      </w:pPr>
      <w:r w:rsidRPr="00E72418">
        <w:rPr>
          <w:rFonts w:ascii="Times New Roman" w:hAnsi="Times New Roman" w:cs="Times New Roman"/>
          <w:b/>
          <w:szCs w:val="24"/>
        </w:rPr>
        <w:t>257</w:t>
      </w:r>
      <w:r w:rsidR="008567F3" w:rsidRPr="00E72418">
        <w:rPr>
          <w:rFonts w:ascii="Times New Roman" w:hAnsi="Times New Roman" w:cs="Times New Roman"/>
          <w:b/>
          <w:szCs w:val="24"/>
        </w:rPr>
        <w:t>. L’enchaînement des gouvernements –</w:t>
      </w:r>
      <w:r w:rsidR="008567F3" w:rsidRPr="00E72418">
        <w:rPr>
          <w:rFonts w:ascii="Times New Roman" w:hAnsi="Times New Roman" w:cs="Times New Roman"/>
          <w:szCs w:val="24"/>
        </w:rPr>
        <w:t xml:space="preserve"> Les dettes contractées par un gouvernement échoient au suivant en vertu du principe de la continuité de la dette souveraine. Dès lors que les dettes étatiques ont souvent ceci de particulier qu’elles ont de très longues maturités, ceux qui empruntent l’argent ne sont pas toujours ceux qui auront à le rembourser</w:t>
      </w:r>
      <w:r w:rsidR="008567F3" w:rsidRPr="00E72418">
        <w:rPr>
          <w:rStyle w:val="Appelnotedebasdep"/>
          <w:rFonts w:ascii="Times New Roman" w:hAnsi="Times New Roman" w:cs="Times New Roman"/>
          <w:szCs w:val="24"/>
        </w:rPr>
        <w:footnoteReference w:id="1268"/>
      </w:r>
      <w:r w:rsidR="008567F3" w:rsidRPr="00E72418">
        <w:rPr>
          <w:rFonts w:ascii="Times New Roman" w:hAnsi="Times New Roman" w:cs="Times New Roman"/>
          <w:szCs w:val="24"/>
        </w:rPr>
        <w:t xml:space="preserve">. La règle de la continuité a ceci d’inique que les générations suivantes en héritent </w:t>
      </w:r>
      <w:r w:rsidR="00372DFE">
        <w:rPr>
          <w:rFonts w:ascii="Times New Roman" w:hAnsi="Times New Roman" w:cs="Times New Roman"/>
          <w:szCs w:val="24"/>
        </w:rPr>
        <w:t xml:space="preserve">et ce, </w:t>
      </w:r>
      <w:r w:rsidR="008567F3" w:rsidRPr="00E72418">
        <w:rPr>
          <w:rFonts w:ascii="Times New Roman" w:hAnsi="Times New Roman" w:cs="Times New Roman"/>
          <w:szCs w:val="24"/>
        </w:rPr>
        <w:t>que cette dette ait été contractée à bon ou à mauvais escient</w:t>
      </w:r>
      <w:r w:rsidR="008567F3" w:rsidRPr="00E72418">
        <w:rPr>
          <w:rStyle w:val="Appelnotedebasdep"/>
          <w:rFonts w:ascii="Times New Roman" w:hAnsi="Times New Roman" w:cs="Times New Roman"/>
          <w:szCs w:val="24"/>
        </w:rPr>
        <w:footnoteReference w:id="1269"/>
      </w:r>
      <w:r w:rsidR="008567F3" w:rsidRPr="00E72418">
        <w:rPr>
          <w:rFonts w:ascii="Times New Roman" w:hAnsi="Times New Roman" w:cs="Times New Roman"/>
          <w:szCs w:val="24"/>
        </w:rPr>
        <w:t xml:space="preserve">. Comme l’expliquent Lee Buchheit et Mitu Gulati, « [s]eparating the sweetness of borrowing money from the sourness of having to repay it contradicts a basic principle of justice </w:t>
      </w:r>
      <w:r w:rsidR="008567F3" w:rsidRPr="00E72418">
        <w:rPr>
          <w:b/>
        </w:rPr>
        <w:t xml:space="preserve">– </w:t>
      </w:r>
      <w:r w:rsidR="008567F3" w:rsidRPr="00E72418">
        <w:rPr>
          <w:rFonts w:ascii="Times New Roman" w:hAnsi="Times New Roman" w:cs="Times New Roman"/>
          <w:szCs w:val="24"/>
        </w:rPr>
        <w:t>that the consequences of an act should fall on the actor, not on an innocent third party »</w:t>
      </w:r>
      <w:r w:rsidR="008567F3" w:rsidRPr="00E72418">
        <w:rPr>
          <w:rStyle w:val="Appelnotedebasdep"/>
          <w:rFonts w:ascii="Times New Roman" w:hAnsi="Times New Roman" w:cs="Times New Roman"/>
          <w:szCs w:val="24"/>
        </w:rPr>
        <w:footnoteReference w:id="1270"/>
      </w:r>
      <w:r w:rsidR="008567F3" w:rsidRPr="00E72418">
        <w:rPr>
          <w:rFonts w:ascii="Times New Roman" w:hAnsi="Times New Roman" w:cs="Times New Roman"/>
          <w:szCs w:val="24"/>
        </w:rPr>
        <w:t>.</w:t>
      </w:r>
    </w:p>
    <w:p w14:paraId="1D84AB56" w14:textId="77777777" w:rsidR="008567F3" w:rsidRPr="00E72418" w:rsidRDefault="008567F3" w:rsidP="0054314B"/>
    <w:p w14:paraId="05ADC41C" w14:textId="10D58704" w:rsidR="008567F3" w:rsidRPr="00E72418" w:rsidRDefault="00BF6CE7" w:rsidP="008567F3">
      <w:pPr>
        <w:spacing w:line="276" w:lineRule="auto"/>
        <w:rPr>
          <w:rFonts w:ascii="Times New Roman" w:hAnsi="Times New Roman" w:cs="Times New Roman"/>
          <w:szCs w:val="24"/>
        </w:rPr>
      </w:pPr>
      <w:r w:rsidRPr="00E72418">
        <w:rPr>
          <w:rFonts w:ascii="Times New Roman" w:hAnsi="Times New Roman" w:cs="Times New Roman"/>
          <w:b/>
          <w:szCs w:val="24"/>
        </w:rPr>
        <w:t>258</w:t>
      </w:r>
      <w:r w:rsidR="008567F3" w:rsidRPr="00E72418">
        <w:rPr>
          <w:rFonts w:ascii="Times New Roman" w:hAnsi="Times New Roman" w:cs="Times New Roman"/>
          <w:b/>
          <w:szCs w:val="24"/>
        </w:rPr>
        <w:t>. Le concept –</w:t>
      </w:r>
      <w:r w:rsidR="008567F3" w:rsidRPr="00E72418">
        <w:rPr>
          <w:rFonts w:ascii="Times New Roman" w:hAnsi="Times New Roman" w:cs="Times New Roman"/>
          <w:szCs w:val="24"/>
        </w:rPr>
        <w:t xml:space="preserve"> De la possible iniquité découlant du principe de la continuité de la dette souveraine est né le concept, davantage politique que juridique, de la dette odieuse lequel tient à l’objet et à la cause de la dette</w:t>
      </w:r>
      <w:r w:rsidR="008567F3" w:rsidRPr="00E72418">
        <w:rPr>
          <w:rStyle w:val="Appelnotedebasdep"/>
          <w:rFonts w:ascii="Times New Roman" w:hAnsi="Times New Roman" w:cs="Times New Roman"/>
          <w:szCs w:val="24"/>
        </w:rPr>
        <w:footnoteReference w:id="1271"/>
      </w:r>
      <w:r w:rsidR="008567F3" w:rsidRPr="00E72418">
        <w:rPr>
          <w:rFonts w:ascii="Times New Roman" w:hAnsi="Times New Roman" w:cs="Times New Roman"/>
          <w:szCs w:val="24"/>
        </w:rPr>
        <w:t>. Le concept a été développé au début du siècle passé par Alexander Sack qui indiquait que « [s]i un pouvoir despotique contracte une dette non pas pour les besoins et dans les intérêts de l’</w:t>
      </w:r>
      <w:r w:rsidR="008567F3" w:rsidRPr="00E72418">
        <w:rPr>
          <w:rFonts w:ascii="Times New Roman" w:hAnsi="Times New Roman" w:cs="Times New Roman"/>
          <w:szCs w:val="24"/>
          <w:lang w:eastAsia="fr-BE"/>
        </w:rPr>
        <w:t>É</w:t>
      </w:r>
      <w:r w:rsidR="008567F3" w:rsidRPr="00E72418">
        <w:rPr>
          <w:rFonts w:ascii="Times New Roman" w:hAnsi="Times New Roman" w:cs="Times New Roman"/>
          <w:szCs w:val="24"/>
        </w:rPr>
        <w:t xml:space="preserve">tat, mais pour fortifier son régime despotique, pour réprimer la population qui le combat, etc., cette dette est </w:t>
      </w:r>
      <w:r w:rsidR="008567F3" w:rsidRPr="00E72418">
        <w:rPr>
          <w:rFonts w:ascii="Times New Roman" w:hAnsi="Times New Roman" w:cs="Times New Roman"/>
          <w:i/>
          <w:szCs w:val="24"/>
        </w:rPr>
        <w:t>odieuse pour la population de l’</w:t>
      </w:r>
      <w:r w:rsidR="008567F3" w:rsidRPr="00E72418">
        <w:rPr>
          <w:rFonts w:ascii="Times New Roman" w:hAnsi="Times New Roman" w:cs="Times New Roman"/>
          <w:i/>
          <w:szCs w:val="24"/>
          <w:lang w:eastAsia="fr-BE"/>
        </w:rPr>
        <w:t>É</w:t>
      </w:r>
      <w:r w:rsidR="008567F3" w:rsidRPr="00E72418">
        <w:rPr>
          <w:rFonts w:ascii="Times New Roman" w:hAnsi="Times New Roman" w:cs="Times New Roman"/>
          <w:i/>
          <w:szCs w:val="24"/>
        </w:rPr>
        <w:t>tat entier</w:t>
      </w:r>
      <w:r w:rsidR="008567F3" w:rsidRPr="00E72418">
        <w:rPr>
          <w:rFonts w:ascii="Times New Roman" w:hAnsi="Times New Roman" w:cs="Times New Roman"/>
          <w:szCs w:val="24"/>
        </w:rPr>
        <w:t xml:space="preserve"> ». Il ajoutait que « [c]ette dette n’est pas obligatoire pour la nation ; c’est une dette de </w:t>
      </w:r>
      <w:r w:rsidR="008567F3" w:rsidRPr="00E72418">
        <w:rPr>
          <w:rFonts w:ascii="Times New Roman" w:hAnsi="Times New Roman" w:cs="Times New Roman"/>
          <w:szCs w:val="24"/>
        </w:rPr>
        <w:lastRenderedPageBreak/>
        <w:t xml:space="preserve">régime, dette </w:t>
      </w:r>
      <w:r w:rsidR="008567F3" w:rsidRPr="00E72418">
        <w:rPr>
          <w:rFonts w:ascii="Times New Roman" w:hAnsi="Times New Roman" w:cs="Times New Roman"/>
          <w:i/>
          <w:szCs w:val="24"/>
        </w:rPr>
        <w:t>personnelle</w:t>
      </w:r>
      <w:r w:rsidR="008567F3" w:rsidRPr="00E72418">
        <w:rPr>
          <w:rFonts w:ascii="Times New Roman" w:hAnsi="Times New Roman" w:cs="Times New Roman"/>
          <w:szCs w:val="24"/>
        </w:rPr>
        <w:t xml:space="preserve"> du pouvoir qui l’a contractée, par conséquent elle tombe avec la chute de ce pouvoir »</w:t>
      </w:r>
      <w:r w:rsidR="008567F3" w:rsidRPr="00E72418">
        <w:rPr>
          <w:rStyle w:val="Appelnotedebasdep"/>
          <w:rFonts w:ascii="Times New Roman" w:hAnsi="Times New Roman" w:cs="Times New Roman"/>
          <w:szCs w:val="24"/>
        </w:rPr>
        <w:footnoteReference w:id="1272"/>
      </w:r>
      <w:r w:rsidR="008567F3" w:rsidRPr="00E72418">
        <w:rPr>
          <w:rFonts w:ascii="Times New Roman" w:hAnsi="Times New Roman" w:cs="Times New Roman"/>
          <w:szCs w:val="24"/>
        </w:rPr>
        <w:t>.</w:t>
      </w:r>
    </w:p>
    <w:p w14:paraId="76490CAF" w14:textId="77777777" w:rsidR="008567F3" w:rsidRPr="00E72418" w:rsidRDefault="008567F3" w:rsidP="008567F3">
      <w:pPr>
        <w:spacing w:line="276" w:lineRule="auto"/>
        <w:rPr>
          <w:rFonts w:ascii="Times New Roman" w:hAnsi="Times New Roman" w:cs="Times New Roman"/>
          <w:szCs w:val="24"/>
        </w:rPr>
      </w:pPr>
      <w:r w:rsidRPr="00E72418">
        <w:rPr>
          <w:rFonts w:ascii="Times New Roman" w:hAnsi="Times New Roman" w:cs="Times New Roman"/>
          <w:szCs w:val="24"/>
        </w:rPr>
        <w:t xml:space="preserve">La dette contractée par un </w:t>
      </w:r>
      <w:r w:rsidRPr="00E72418">
        <w:rPr>
          <w:rFonts w:ascii="Times New Roman" w:hAnsi="Times New Roman" w:cs="Times New Roman"/>
          <w:szCs w:val="24"/>
          <w:lang w:eastAsia="fr-BE"/>
        </w:rPr>
        <w:t>É</w:t>
      </w:r>
      <w:r w:rsidRPr="00E72418">
        <w:rPr>
          <w:rFonts w:ascii="Times New Roman" w:hAnsi="Times New Roman" w:cs="Times New Roman"/>
          <w:szCs w:val="24"/>
        </w:rPr>
        <w:t>tat pourrait être considérée comme odieuse si elle l’a été contre la volonté de la population et contre ses intérêts</w:t>
      </w:r>
      <w:r w:rsidRPr="00E72418">
        <w:rPr>
          <w:rStyle w:val="Appelnotedebasdep"/>
          <w:rFonts w:ascii="Times New Roman" w:hAnsi="Times New Roman" w:cs="Times New Roman"/>
          <w:szCs w:val="24"/>
        </w:rPr>
        <w:footnoteReference w:id="1273"/>
      </w:r>
      <w:r w:rsidRPr="00E72418">
        <w:rPr>
          <w:rFonts w:ascii="Times New Roman" w:hAnsi="Times New Roman" w:cs="Times New Roman"/>
          <w:szCs w:val="24"/>
        </w:rPr>
        <w:t>. Ce pourrait ainsi être le cas lorsque l’</w:t>
      </w:r>
      <w:r w:rsidRPr="00E72418">
        <w:rPr>
          <w:rFonts w:ascii="Times New Roman" w:hAnsi="Times New Roman" w:cs="Times New Roman"/>
          <w:szCs w:val="24"/>
          <w:lang w:eastAsia="fr-BE"/>
        </w:rPr>
        <w:t>É</w:t>
      </w:r>
      <w:r w:rsidRPr="00E72418">
        <w:rPr>
          <w:rFonts w:ascii="Times New Roman" w:hAnsi="Times New Roman" w:cs="Times New Roman"/>
          <w:szCs w:val="24"/>
        </w:rPr>
        <w:t>tat connaît un régime tyrannique et/ou corrompu ou encore, lorsque sa population ne tire aucun bénéfice de la dette contractée</w:t>
      </w:r>
      <w:r w:rsidRPr="00E72418">
        <w:rPr>
          <w:rStyle w:val="Appelnotedebasdep"/>
          <w:rFonts w:ascii="Times New Roman" w:hAnsi="Times New Roman" w:cs="Times New Roman"/>
          <w:szCs w:val="24"/>
        </w:rPr>
        <w:footnoteReference w:id="1274"/>
      </w:r>
      <w:r w:rsidRPr="00E72418">
        <w:rPr>
          <w:rFonts w:ascii="Times New Roman" w:hAnsi="Times New Roman" w:cs="Times New Roman"/>
          <w:szCs w:val="24"/>
        </w:rPr>
        <w:t>. La définition de la dette odieuse donnée par le Parlement européen reprend l’idée de la connaissance des créanciers des intentions de l’emprunteur</w:t>
      </w:r>
      <w:r w:rsidRPr="00E72418">
        <w:rPr>
          <w:rStyle w:val="Appelnotedebasdep"/>
          <w:rFonts w:ascii="Times New Roman" w:hAnsi="Times New Roman" w:cs="Times New Roman"/>
          <w:szCs w:val="24"/>
        </w:rPr>
        <w:footnoteReference w:id="1275"/>
      </w:r>
      <w:r w:rsidRPr="00E72418">
        <w:rPr>
          <w:rFonts w:ascii="Times New Roman" w:hAnsi="Times New Roman" w:cs="Times New Roman"/>
          <w:szCs w:val="24"/>
        </w:rPr>
        <w:t xml:space="preserve">. </w:t>
      </w:r>
    </w:p>
    <w:p w14:paraId="6B787D59" w14:textId="77777777" w:rsidR="008567F3" w:rsidRPr="00E72418" w:rsidRDefault="008567F3" w:rsidP="008567F3">
      <w:pPr>
        <w:spacing w:line="276" w:lineRule="auto"/>
        <w:rPr>
          <w:rFonts w:ascii="Times New Roman" w:hAnsi="Times New Roman" w:cs="Times New Roman"/>
          <w:szCs w:val="24"/>
        </w:rPr>
      </w:pPr>
      <w:r w:rsidRPr="00E72418">
        <w:rPr>
          <w:rFonts w:ascii="Times New Roman" w:hAnsi="Times New Roman" w:cs="Times New Roman"/>
          <w:szCs w:val="24"/>
        </w:rPr>
        <w:t>L’on retient généralement que trois critères cumulatifs doivent être remplis pour pouvoir caractériser une dette d’odieuse ; premièrement, l’absence de consentement de la population de l’État débiteur, deuxièmement, l’absence de bénéfice pour cette même population et, troisièmement, le fait que le créancier avait ou à tout le moins aurait dû avoir conscience de ces absences</w:t>
      </w:r>
      <w:r w:rsidRPr="00E72418">
        <w:rPr>
          <w:rStyle w:val="Appelnotedebasdep"/>
          <w:rFonts w:ascii="Times New Roman" w:hAnsi="Times New Roman" w:cs="Times New Roman"/>
          <w:szCs w:val="24"/>
        </w:rPr>
        <w:footnoteReference w:id="1276"/>
      </w:r>
      <w:r w:rsidRPr="00E72418">
        <w:rPr>
          <w:rFonts w:ascii="Times New Roman" w:hAnsi="Times New Roman" w:cs="Times New Roman"/>
          <w:szCs w:val="24"/>
        </w:rPr>
        <w:t>.</w:t>
      </w:r>
    </w:p>
    <w:p w14:paraId="086DAF34" w14:textId="77777777" w:rsidR="008567F3" w:rsidRPr="00E72418" w:rsidRDefault="008567F3" w:rsidP="0054314B"/>
    <w:p w14:paraId="26ABC826" w14:textId="6A598396" w:rsidR="008567F3" w:rsidRPr="00E72418" w:rsidRDefault="00BF6CE7" w:rsidP="008567F3">
      <w:pPr>
        <w:spacing w:line="276" w:lineRule="auto"/>
        <w:rPr>
          <w:rFonts w:ascii="Times New Roman" w:hAnsi="Times New Roman" w:cs="Times New Roman"/>
        </w:rPr>
      </w:pPr>
      <w:r w:rsidRPr="00E72418">
        <w:rPr>
          <w:rFonts w:ascii="Times New Roman" w:hAnsi="Times New Roman" w:cs="Times New Roman"/>
          <w:b/>
        </w:rPr>
        <w:t>259</w:t>
      </w:r>
      <w:r w:rsidR="008567F3" w:rsidRPr="00E72418">
        <w:rPr>
          <w:rFonts w:ascii="Times New Roman" w:hAnsi="Times New Roman" w:cs="Times New Roman"/>
          <w:b/>
        </w:rPr>
        <w:t>. Les conséquences –</w:t>
      </w:r>
      <w:r w:rsidR="008567F3" w:rsidRPr="00E72418">
        <w:rPr>
          <w:rFonts w:ascii="Times New Roman" w:hAnsi="Times New Roman" w:cs="Times New Roman"/>
        </w:rPr>
        <w:t xml:space="preserve"> Au constat du caractère odieux de certaines dettes, d’aucuns plaident pour qu’il soit fait exception au principe selon lequel un gouvernement hérite de la dette de son prédécesseur</w:t>
      </w:r>
      <w:r w:rsidR="008567F3" w:rsidRPr="00E72418">
        <w:rPr>
          <w:rStyle w:val="Appelnotedebasdep"/>
          <w:rFonts w:ascii="Times New Roman" w:hAnsi="Times New Roman" w:cs="Times New Roman"/>
        </w:rPr>
        <w:footnoteReference w:id="1277"/>
      </w:r>
      <w:r w:rsidR="008567F3" w:rsidRPr="00E72418">
        <w:rPr>
          <w:rFonts w:ascii="Times New Roman" w:hAnsi="Times New Roman" w:cs="Times New Roman"/>
        </w:rPr>
        <w:t xml:space="preserve">. </w:t>
      </w:r>
      <w:r w:rsidR="008567F3" w:rsidRPr="00E72418">
        <w:rPr>
          <w:rFonts w:cs="Times New Roman"/>
        </w:rPr>
        <w:t xml:space="preserve">La théorie de la dette odieuse est parfois invoquée par un </w:t>
      </w:r>
      <w:r w:rsidR="008567F3" w:rsidRPr="00E72418">
        <w:rPr>
          <w:lang w:eastAsia="fr-BE"/>
        </w:rPr>
        <w:t>É</w:t>
      </w:r>
      <w:r w:rsidR="008567F3" w:rsidRPr="00E72418">
        <w:rPr>
          <w:rFonts w:cs="Times New Roman"/>
        </w:rPr>
        <w:t>tat pour justifier de la suspension ou de l’arrêt du service de sa dette</w:t>
      </w:r>
      <w:r w:rsidR="008567F3" w:rsidRPr="00E72418">
        <w:rPr>
          <w:rStyle w:val="Appelnotedebasdep"/>
          <w:rFonts w:cs="Times New Roman"/>
        </w:rPr>
        <w:footnoteReference w:id="1278"/>
      </w:r>
      <w:r w:rsidR="008567F3" w:rsidRPr="00E72418">
        <w:rPr>
          <w:rFonts w:cs="Times New Roman"/>
        </w:rPr>
        <w:t xml:space="preserve">. </w:t>
      </w:r>
      <w:r w:rsidR="008567F3" w:rsidRPr="00E72418">
        <w:rPr>
          <w:rFonts w:ascii="Times New Roman" w:hAnsi="Times New Roman" w:cs="Times New Roman"/>
        </w:rPr>
        <w:t>Ainsi, retenir qu’une dette est odieuse pourrait justifier sa répudiation totale ou partielle par son débiteur</w:t>
      </w:r>
      <w:r w:rsidR="008567F3" w:rsidRPr="00E72418">
        <w:rPr>
          <w:rStyle w:val="Appelnotedebasdep"/>
          <w:rFonts w:ascii="Times New Roman" w:hAnsi="Times New Roman" w:cs="Times New Roman"/>
        </w:rPr>
        <w:footnoteReference w:id="1279"/>
      </w:r>
      <w:r w:rsidR="008567F3" w:rsidRPr="00E72418">
        <w:rPr>
          <w:rFonts w:ascii="Times New Roman" w:hAnsi="Times New Roman" w:cs="Times New Roman"/>
        </w:rPr>
        <w:t xml:space="preserve">. </w:t>
      </w:r>
      <w:r w:rsidR="00915173" w:rsidRPr="00E72418">
        <w:rPr>
          <w:rFonts w:ascii="Times New Roman" w:hAnsi="Times New Roman" w:cs="Times New Roman"/>
        </w:rPr>
        <w:t xml:space="preserve">Robert </w:t>
      </w:r>
      <w:r w:rsidR="008567F3" w:rsidRPr="00E72418">
        <w:rPr>
          <w:rFonts w:cs="Times New Roman"/>
        </w:rPr>
        <w:t>Howse note ainsi que « </w:t>
      </w:r>
      <w:r w:rsidR="008567F3" w:rsidRPr="00E72418">
        <w:rPr>
          <w:rFonts w:cs="Times"/>
          <w:szCs w:val="24"/>
        </w:rPr>
        <w:t>[t]</w:t>
      </w:r>
      <w:r w:rsidR="008567F3" w:rsidRPr="00E72418">
        <w:t>he international law obligation to repay debt has never been accepted as absolute, and has frequently been limited or qualified by a range of equitable considerations, some of which may be regrouped under the concept of “odiousness” »</w:t>
      </w:r>
      <w:r w:rsidR="008567F3" w:rsidRPr="00E72418">
        <w:rPr>
          <w:rStyle w:val="Appelnotedebasdep"/>
        </w:rPr>
        <w:footnoteReference w:id="1280"/>
      </w:r>
      <w:r w:rsidR="008567F3" w:rsidRPr="00E72418">
        <w:t>.</w:t>
      </w:r>
      <w:r w:rsidR="00372DFE">
        <w:rPr>
          <w:rFonts w:ascii="Times New Roman" w:hAnsi="Times New Roman" w:cs="Times New Roman"/>
        </w:rPr>
        <w:t xml:space="preserve"> </w:t>
      </w:r>
      <w:r w:rsidR="008567F3" w:rsidRPr="00E72418">
        <w:rPr>
          <w:rFonts w:ascii="Times New Roman" w:hAnsi="Times New Roman" w:cs="Times New Roman"/>
        </w:rPr>
        <w:t xml:space="preserve">La pleine conscience des créanciers </w:t>
      </w:r>
      <w:r w:rsidR="008567F3" w:rsidRPr="00E72418">
        <w:rPr>
          <w:rFonts w:ascii="Times New Roman" w:hAnsi="Times New Roman" w:cs="Times New Roman"/>
        </w:rPr>
        <w:lastRenderedPageBreak/>
        <w:t>des particularités critiquables de la dette détenue serait de nature à justifier qu’ils aient à supporter le risque qu’elle soit répudiée</w:t>
      </w:r>
      <w:r w:rsidR="008567F3" w:rsidRPr="00E72418">
        <w:rPr>
          <w:rStyle w:val="Appelnotedebasdep"/>
          <w:rFonts w:ascii="Times New Roman" w:hAnsi="Times New Roman" w:cs="Times New Roman"/>
        </w:rPr>
        <w:footnoteReference w:id="1281"/>
      </w:r>
      <w:r w:rsidR="008567F3" w:rsidRPr="00E72418">
        <w:rPr>
          <w:rFonts w:ascii="Times New Roman" w:hAnsi="Times New Roman" w:cs="Times New Roman"/>
        </w:rPr>
        <w:t>. Il reviendrait alors aux créanciers cherchant à récupérer les montants qu’ils ont engagés de démontrer l’équité des transactions et de l’usage des fonds accordés</w:t>
      </w:r>
      <w:r w:rsidR="008567F3" w:rsidRPr="00E72418">
        <w:rPr>
          <w:rStyle w:val="Appelnotedebasdep"/>
          <w:rFonts w:ascii="Times New Roman" w:hAnsi="Times New Roman" w:cs="Times New Roman"/>
        </w:rPr>
        <w:footnoteReference w:id="1282"/>
      </w:r>
      <w:r w:rsidR="008567F3" w:rsidRPr="00E72418">
        <w:rPr>
          <w:rFonts w:ascii="Times New Roman" w:hAnsi="Times New Roman" w:cs="Times New Roman"/>
        </w:rPr>
        <w:t>.</w:t>
      </w:r>
    </w:p>
    <w:p w14:paraId="15F2B64F" w14:textId="65B102CA" w:rsidR="008567F3" w:rsidRPr="00372DFE" w:rsidRDefault="00B5648D" w:rsidP="008567F3">
      <w:pPr>
        <w:spacing w:line="276" w:lineRule="auto"/>
        <w:rPr>
          <w:rFonts w:ascii="Times New Roman" w:hAnsi="Times New Roman" w:cs="Times New Roman"/>
        </w:rPr>
      </w:pPr>
      <w:r w:rsidRPr="00E72418">
        <w:t>À</w:t>
      </w:r>
      <w:r w:rsidR="008567F3" w:rsidRPr="00E72418">
        <w:rPr>
          <w:rFonts w:ascii="Times New Roman" w:hAnsi="Times New Roman" w:cs="Times New Roman"/>
        </w:rPr>
        <w:t xml:space="preserve"> côté de la possible répudiation des dettes retenues comme étant odieuses, d’autres réponses au phénomène sont proposées par la doctrine parmi lesquelles celles de « changes in contract interpretations, changing legal doctrines and interpretations, and limitations in secondary markets for certain types of sovereign debt »</w:t>
      </w:r>
      <w:r w:rsidR="008567F3" w:rsidRPr="00E72418">
        <w:rPr>
          <w:rStyle w:val="Appelnotedebasdep"/>
          <w:rFonts w:ascii="Times New Roman" w:hAnsi="Times New Roman" w:cs="Times New Roman"/>
        </w:rPr>
        <w:footnoteReference w:id="1283"/>
      </w:r>
      <w:r w:rsidR="00372DFE">
        <w:rPr>
          <w:rFonts w:ascii="Times New Roman" w:hAnsi="Times New Roman" w:cs="Times New Roman"/>
        </w:rPr>
        <w:t xml:space="preserve">. </w:t>
      </w:r>
      <w:r w:rsidR="008567F3" w:rsidRPr="00E72418">
        <w:rPr>
          <w:rFonts w:ascii="Times New Roman" w:hAnsi="Times New Roman" w:cs="Times New Roman"/>
        </w:rPr>
        <w:t xml:space="preserve">Appliquée, dans le cadre de notre recherche, à la problématique des fonds spéculant sur les dettes souveraines, la doctrine pourrait servir à entraver leurs activités. </w:t>
      </w:r>
      <w:r w:rsidR="008567F3" w:rsidRPr="00E72418">
        <w:rPr>
          <w:rFonts w:cs="Times New Roman"/>
        </w:rPr>
        <w:t xml:space="preserve">L’argument de la dette odieuse est particulièrement important quand on parcourt les critiques formulées à l’encontre des procès faits aux </w:t>
      </w:r>
      <w:r w:rsidR="008567F3" w:rsidRPr="00E72418">
        <w:rPr>
          <w:lang w:eastAsia="fr-BE"/>
        </w:rPr>
        <w:t>É</w:t>
      </w:r>
      <w:r w:rsidR="008567F3" w:rsidRPr="00E72418">
        <w:rPr>
          <w:rFonts w:cs="Times New Roman"/>
        </w:rPr>
        <w:t xml:space="preserve">tats très pauvres. </w:t>
      </w:r>
      <w:r w:rsidR="008567F3" w:rsidRPr="00E72418">
        <w:rPr>
          <w:rFonts w:ascii="Times New Roman" w:hAnsi="Times New Roman" w:cs="Times New Roman"/>
        </w:rPr>
        <w:t xml:space="preserve">Ainsi, comme le note Sonya Scott, </w:t>
      </w:r>
      <w:r w:rsidR="008567F3" w:rsidRPr="00E72418">
        <w:rPr>
          <w:rFonts w:ascii="Times New Roman" w:hAnsi="Times New Roman" w:cs="Times New Roman"/>
          <w:szCs w:val="24"/>
        </w:rPr>
        <w:t>« </w:t>
      </w:r>
      <w:r w:rsidR="008567F3" w:rsidRPr="00E72418">
        <w:rPr>
          <w:rFonts w:ascii="Times New Roman" w:hAnsi="Times New Roman" w:cs="Times New Roman"/>
        </w:rPr>
        <w:t xml:space="preserve">[c]ertain legal scholars […] help take the question of vulture funds and the treatment of sovereign debt further by adding a layer of analysis and engaging with the legitimacy of </w:t>
      </w:r>
      <w:r w:rsidR="008567F3" w:rsidRPr="00E72418">
        <w:rPr>
          <w:rFonts w:ascii="Times New Roman" w:hAnsi="Times New Roman" w:cs="Times New Roman"/>
          <w:szCs w:val="24"/>
        </w:rPr>
        <w:t>many sovereign debts by invoking the question of odious debts […] ». Et l’auteur</w:t>
      </w:r>
      <w:r w:rsidR="00527C72" w:rsidRPr="00E72418">
        <w:rPr>
          <w:rFonts w:ascii="Times New Roman" w:hAnsi="Times New Roman" w:cs="Times New Roman"/>
          <w:szCs w:val="24"/>
        </w:rPr>
        <w:t>e</w:t>
      </w:r>
      <w:r w:rsidR="008567F3" w:rsidRPr="00E72418">
        <w:rPr>
          <w:rFonts w:ascii="Times New Roman" w:hAnsi="Times New Roman" w:cs="Times New Roman"/>
          <w:szCs w:val="24"/>
        </w:rPr>
        <w:t xml:space="preserve"> d’ajouter, « [t]his is particularly pertinent to the question of vulture funds, because it calls into question the analytical treatment of debt as a fundamentally neutral contractual issue, rather than an ethically charged, unequal and historically located credit relationship »</w:t>
      </w:r>
      <w:r w:rsidR="008567F3" w:rsidRPr="00E72418">
        <w:rPr>
          <w:rStyle w:val="Appelnotedebasdep"/>
          <w:rFonts w:ascii="Times New Roman" w:hAnsi="Times New Roman" w:cs="Times New Roman"/>
          <w:szCs w:val="24"/>
        </w:rPr>
        <w:footnoteReference w:id="1284"/>
      </w:r>
      <w:r w:rsidR="008567F3" w:rsidRPr="00E72418">
        <w:rPr>
          <w:rFonts w:ascii="Times New Roman" w:hAnsi="Times New Roman" w:cs="Times New Roman"/>
          <w:szCs w:val="24"/>
        </w:rPr>
        <w:t>. L’illégitimité de l’intérêt recherché par la spéculation pourrait ainsi conduire à ce que la dette poursuivie, sans aller jusqu’à sa mise à néant, s’en trouve réduite par rapport à sa valeur faciale</w:t>
      </w:r>
      <w:r w:rsidR="008567F3" w:rsidRPr="00E72418">
        <w:rPr>
          <w:rStyle w:val="Appelnotedebasdep"/>
          <w:rFonts w:ascii="Times New Roman" w:hAnsi="Times New Roman" w:cs="Times New Roman"/>
          <w:szCs w:val="24"/>
        </w:rPr>
        <w:footnoteReference w:id="1285"/>
      </w:r>
      <w:r w:rsidR="008567F3" w:rsidRPr="00E72418">
        <w:rPr>
          <w:rFonts w:ascii="Times New Roman" w:hAnsi="Times New Roman" w:cs="Times New Roman"/>
          <w:szCs w:val="24"/>
        </w:rPr>
        <w:t>.</w:t>
      </w:r>
    </w:p>
    <w:p w14:paraId="1B48C09B" w14:textId="77777777" w:rsidR="008567F3" w:rsidRPr="00E72418" w:rsidRDefault="008567F3" w:rsidP="0054314B"/>
    <w:p w14:paraId="5111ADDC" w14:textId="6B3B0EE3" w:rsidR="008567F3" w:rsidRPr="00E72418" w:rsidRDefault="00BF6CE7" w:rsidP="008567F3">
      <w:pPr>
        <w:spacing w:line="276" w:lineRule="auto"/>
        <w:rPr>
          <w:rFonts w:ascii="Times New Roman" w:hAnsi="Times New Roman" w:cs="Times New Roman"/>
          <w:szCs w:val="24"/>
        </w:rPr>
      </w:pPr>
      <w:r w:rsidRPr="00E72418">
        <w:rPr>
          <w:rFonts w:ascii="Times New Roman" w:hAnsi="Times New Roman" w:cs="Times New Roman"/>
          <w:b/>
          <w:szCs w:val="24"/>
        </w:rPr>
        <w:t>260</w:t>
      </w:r>
      <w:r w:rsidR="008567F3" w:rsidRPr="00E72418">
        <w:rPr>
          <w:rFonts w:ascii="Times New Roman" w:hAnsi="Times New Roman" w:cs="Times New Roman"/>
          <w:b/>
          <w:szCs w:val="24"/>
        </w:rPr>
        <w:t>. Une doctrine floue et controversée –</w:t>
      </w:r>
      <w:r w:rsidR="008567F3" w:rsidRPr="00E72418">
        <w:rPr>
          <w:rFonts w:ascii="Times New Roman" w:hAnsi="Times New Roman" w:cs="Times New Roman"/>
          <w:szCs w:val="24"/>
        </w:rPr>
        <w:t xml:space="preserve"> La principale faiblesse de la doctrine de la dette odieuse et de la possible réponse qu’elle pourrait apporter aux activités des fonds spéculatifs réside dans son caractère flou et controversé. Si cette doctrine n’est pas aujourd’hui pleinement </w:t>
      </w:r>
      <w:r w:rsidR="008567F3" w:rsidRPr="00E72418">
        <w:rPr>
          <w:rFonts w:ascii="Times New Roman" w:hAnsi="Times New Roman" w:cs="Times New Roman"/>
          <w:szCs w:val="24"/>
        </w:rPr>
        <w:lastRenderedPageBreak/>
        <w:t>établie c’est vraisemblablement en raison, d’une part, de ses complexes définition et transposition, d’autre part, des lourdes incertitudes qu’elle fait peser sur le système financier</w:t>
      </w:r>
      <w:r w:rsidR="008567F3" w:rsidRPr="00E72418">
        <w:rPr>
          <w:rStyle w:val="Appelnotedebasdep"/>
          <w:rFonts w:ascii="Times New Roman" w:hAnsi="Times New Roman" w:cs="Times New Roman"/>
          <w:szCs w:val="24"/>
        </w:rPr>
        <w:footnoteReference w:id="1286"/>
      </w:r>
      <w:r w:rsidR="008567F3" w:rsidRPr="00E72418">
        <w:rPr>
          <w:rFonts w:ascii="Times New Roman" w:hAnsi="Times New Roman" w:cs="Times New Roman"/>
          <w:szCs w:val="24"/>
        </w:rPr>
        <w:t>.</w:t>
      </w:r>
    </w:p>
    <w:p w14:paraId="2E47A990" w14:textId="77777777" w:rsidR="008567F3" w:rsidRPr="00E72418" w:rsidRDefault="008567F3" w:rsidP="008567F3">
      <w:pPr>
        <w:spacing w:line="276" w:lineRule="auto"/>
        <w:rPr>
          <w:rFonts w:ascii="Times New Roman" w:hAnsi="Times New Roman" w:cs="Times New Roman"/>
          <w:szCs w:val="24"/>
        </w:rPr>
      </w:pPr>
      <w:r w:rsidRPr="00E72418">
        <w:rPr>
          <w:rFonts w:ascii="Times New Roman" w:hAnsi="Times New Roman" w:cs="Times New Roman"/>
          <w:szCs w:val="24"/>
        </w:rPr>
        <w:t>Toute incertaine qu’est la doctrine, le Parlement européen reconnaît toutefois le caractère odieux de certains dettes même s’il retient que le concept est controversé en raison de l’opposition ferme de certains créanciers</w:t>
      </w:r>
      <w:r w:rsidRPr="00E72418">
        <w:rPr>
          <w:rStyle w:val="Appelnotedebasdep"/>
          <w:rFonts w:ascii="Times New Roman" w:hAnsi="Times New Roman" w:cs="Times New Roman"/>
          <w:szCs w:val="24"/>
        </w:rPr>
        <w:footnoteReference w:id="1287"/>
      </w:r>
      <w:r w:rsidRPr="00E72418">
        <w:rPr>
          <w:rFonts w:ascii="Times New Roman" w:hAnsi="Times New Roman" w:cs="Times New Roman"/>
          <w:szCs w:val="24"/>
        </w:rPr>
        <w:t>. Le Parlement met l’accent sur la nécessité de convenir de règles internationales contraignantes s’attaquant aux dettes odieuses et illégitimes et souligne que les prêts illégitimes et odieux devraient être annulés</w:t>
      </w:r>
      <w:r w:rsidRPr="00E72418">
        <w:rPr>
          <w:rStyle w:val="Appelnotedebasdep"/>
          <w:rFonts w:ascii="Times New Roman" w:hAnsi="Times New Roman" w:cs="Times New Roman"/>
          <w:szCs w:val="24"/>
        </w:rPr>
        <w:footnoteReference w:id="1288"/>
      </w:r>
      <w:r w:rsidRPr="00E72418">
        <w:rPr>
          <w:rFonts w:ascii="Times New Roman" w:hAnsi="Times New Roman" w:cs="Times New Roman"/>
          <w:szCs w:val="24"/>
        </w:rPr>
        <w:t>. Il insiste, finalement, sur l’importance d’une règle applicable en cas de menace d’insolvabilité selon laquelle les tribunaux pourraient priver le créancier du droit de faire valoir sa créance si celle-ci a été contractée par l’État en violation du droit établi par son parlement national</w:t>
      </w:r>
      <w:r w:rsidRPr="00E72418">
        <w:rPr>
          <w:rStyle w:val="Appelnotedebasdep"/>
          <w:rFonts w:ascii="Times New Roman" w:hAnsi="Times New Roman" w:cs="Times New Roman"/>
          <w:szCs w:val="24"/>
        </w:rPr>
        <w:footnoteReference w:id="1289"/>
      </w:r>
      <w:r w:rsidRPr="00E72418">
        <w:rPr>
          <w:rFonts w:ascii="Times New Roman" w:hAnsi="Times New Roman" w:cs="Times New Roman"/>
          <w:szCs w:val="24"/>
        </w:rPr>
        <w:t>.</w:t>
      </w:r>
    </w:p>
    <w:p w14:paraId="40F20A86" w14:textId="1BE4DDB0" w:rsidR="005E2035" w:rsidRPr="00E72418" w:rsidRDefault="008567F3" w:rsidP="00CC4BA8">
      <w:pPr>
        <w:spacing w:line="276" w:lineRule="auto"/>
        <w:rPr>
          <w:rFonts w:ascii="Times New Roman" w:hAnsi="Times New Roman" w:cs="Times New Roman"/>
          <w:szCs w:val="24"/>
        </w:rPr>
      </w:pPr>
      <w:r w:rsidRPr="00E72418">
        <w:rPr>
          <w:rFonts w:ascii="Times New Roman" w:hAnsi="Times New Roman" w:cs="Times New Roman"/>
          <w:szCs w:val="24"/>
        </w:rPr>
        <w:t>Quand bien même la doctrine de la dette odieuse ne serait-elle pas en mesure de protéger un débiteur souverain des actions spéculatives de certains de ses créanciers, il reste, comme le note Jeff King, que « </w:t>
      </w:r>
      <w:r w:rsidRPr="00E72418">
        <w:rPr>
          <w:rFonts w:ascii="Times New Roman" w:hAnsi="Times New Roman" w:cs="Times New Roman"/>
        </w:rPr>
        <w:t xml:space="preserve">[t]here are debts that should not be repaid, but for reasons having little to do with the original purpose of the loan </w:t>
      </w:r>
      <w:r w:rsidRPr="00E72418">
        <w:rPr>
          <w:rFonts w:ascii="Times New Roman" w:hAnsi="Times New Roman" w:cs="Times New Roman"/>
          <w:szCs w:val="24"/>
        </w:rPr>
        <w:t>»</w:t>
      </w:r>
      <w:r w:rsidRPr="00E72418">
        <w:rPr>
          <w:rStyle w:val="Appelnotedebasdep"/>
          <w:rFonts w:ascii="Times New Roman" w:hAnsi="Times New Roman" w:cs="Times New Roman"/>
          <w:szCs w:val="24"/>
        </w:rPr>
        <w:footnoteReference w:id="1290"/>
      </w:r>
      <w:r w:rsidRPr="00E72418">
        <w:rPr>
          <w:rFonts w:ascii="Times New Roman" w:hAnsi="Times New Roman" w:cs="Times New Roman"/>
          <w:szCs w:val="24"/>
        </w:rPr>
        <w:t>. Ainsi, l’auteur explique qu’ « </w:t>
      </w:r>
      <w:r w:rsidR="00845D92" w:rsidRPr="00E72418">
        <w:rPr>
          <w:rFonts w:ascii="Times New Roman" w:hAnsi="Times New Roman" w:cs="Times New Roman"/>
          <w:szCs w:val="24"/>
        </w:rPr>
        <w:t>a completely innocent loan should be written off when</w:t>
      </w:r>
      <w:r w:rsidRPr="00E72418">
        <w:rPr>
          <w:rFonts w:ascii="Times New Roman" w:hAnsi="Times New Roman" w:cs="Times New Roman"/>
          <w:szCs w:val="24"/>
        </w:rPr>
        <w:t xml:space="preserve"> the repayment of it compromises a state’s capacity to protect the life, limb and basic human rights of its people »</w:t>
      </w:r>
      <w:r w:rsidRPr="00E72418">
        <w:rPr>
          <w:rStyle w:val="Appelnotedebasdep"/>
          <w:rFonts w:ascii="Times New Roman" w:hAnsi="Times New Roman" w:cs="Times New Roman"/>
          <w:szCs w:val="24"/>
        </w:rPr>
        <w:footnoteReference w:id="1291"/>
      </w:r>
      <w:r w:rsidRPr="00E72418">
        <w:rPr>
          <w:rFonts w:ascii="Times New Roman" w:hAnsi="Times New Roman" w:cs="Times New Roman"/>
          <w:szCs w:val="24"/>
        </w:rPr>
        <w:t>.</w:t>
      </w:r>
    </w:p>
    <w:p w14:paraId="63AFF9E8" w14:textId="77777777" w:rsidR="0054314B" w:rsidRPr="00E72418" w:rsidRDefault="0054314B" w:rsidP="0054314B">
      <w:pPr>
        <w:rPr>
          <w:rStyle w:val="Emphaseple"/>
          <w:rFonts w:ascii="Times New Roman" w:hAnsi="Times New Roman" w:cs="Times New Roman"/>
          <w:i w:val="0"/>
          <w:iCs w:val="0"/>
          <w:color w:val="auto"/>
          <w:szCs w:val="24"/>
        </w:rPr>
      </w:pPr>
    </w:p>
    <w:p w14:paraId="208A946B" w14:textId="1824C727" w:rsidR="005E2035" w:rsidRPr="00E72418" w:rsidRDefault="00F10F7D" w:rsidP="00CC4BA8">
      <w:pPr>
        <w:pStyle w:val="BB"/>
        <w:spacing w:line="276" w:lineRule="auto"/>
        <w:rPr>
          <w:rStyle w:val="Emphaseple"/>
          <w:i/>
          <w:iCs w:val="0"/>
          <w:color w:val="auto"/>
        </w:rPr>
      </w:pPr>
      <w:bookmarkStart w:id="288" w:name="_Toc59280965"/>
      <w:bookmarkStart w:id="289" w:name="_Toc75106100"/>
      <w:bookmarkStart w:id="290" w:name="_Toc84540956"/>
      <w:r w:rsidRPr="00E72418">
        <w:rPr>
          <w:rStyle w:val="Emphaseple"/>
          <w:i/>
          <w:iCs w:val="0"/>
          <w:color w:val="auto"/>
        </w:rPr>
        <w:t>Conclusion de la partie I</w:t>
      </w:r>
      <w:r w:rsidR="005E2035" w:rsidRPr="00E72418">
        <w:rPr>
          <w:rStyle w:val="Emphaseple"/>
          <w:i/>
          <w:iCs w:val="0"/>
          <w:color w:val="auto"/>
        </w:rPr>
        <w:t xml:space="preserve"> </w:t>
      </w:r>
      <w:r w:rsidR="002F4499" w:rsidRPr="00E72418">
        <w:rPr>
          <w:b/>
        </w:rPr>
        <w:t xml:space="preserve">– </w:t>
      </w:r>
      <w:r w:rsidRPr="00E72418">
        <w:rPr>
          <w:rStyle w:val="Emphaseple"/>
          <w:i/>
          <w:iCs w:val="0"/>
          <w:color w:val="auto"/>
        </w:rPr>
        <w:t>sous-partie</w:t>
      </w:r>
      <w:r w:rsidR="005E2035" w:rsidRPr="00E72418">
        <w:rPr>
          <w:rStyle w:val="Emphaseple"/>
          <w:i/>
          <w:iCs w:val="0"/>
          <w:color w:val="auto"/>
        </w:rPr>
        <w:t xml:space="preserve"> 2</w:t>
      </w:r>
      <w:bookmarkEnd w:id="288"/>
      <w:bookmarkEnd w:id="289"/>
      <w:bookmarkEnd w:id="290"/>
    </w:p>
    <w:p w14:paraId="62378429" w14:textId="77777777" w:rsidR="00865EA9" w:rsidRPr="00E72418" w:rsidRDefault="00865EA9" w:rsidP="0054314B">
      <w:pPr>
        <w:rPr>
          <w:rStyle w:val="injectednode"/>
          <w:rFonts w:cs="Times New Roman"/>
          <w:b/>
          <w:szCs w:val="24"/>
          <w:bdr w:val="none" w:sz="0" w:space="0" w:color="auto" w:frame="1"/>
        </w:rPr>
      </w:pPr>
    </w:p>
    <w:p w14:paraId="06D605C5" w14:textId="15D7D305" w:rsidR="00865EA9" w:rsidRPr="00E72418" w:rsidRDefault="00BF6CE7" w:rsidP="00CC4BA8">
      <w:pPr>
        <w:spacing w:line="276" w:lineRule="auto"/>
        <w:rPr>
          <w:rStyle w:val="injectednode"/>
          <w:rFonts w:cs="Times New Roman"/>
          <w:szCs w:val="24"/>
          <w:bdr w:val="none" w:sz="0" w:space="0" w:color="auto" w:frame="1"/>
        </w:rPr>
      </w:pPr>
      <w:r w:rsidRPr="00E72418">
        <w:rPr>
          <w:rStyle w:val="injectednode"/>
          <w:rFonts w:cs="Times New Roman"/>
          <w:b/>
          <w:szCs w:val="24"/>
          <w:bdr w:val="none" w:sz="0" w:space="0" w:color="auto" w:frame="1"/>
        </w:rPr>
        <w:t>261</w:t>
      </w:r>
      <w:r w:rsidR="00A9718E" w:rsidRPr="00E72418">
        <w:rPr>
          <w:rStyle w:val="injectednode"/>
          <w:rFonts w:cs="Times New Roman"/>
          <w:b/>
          <w:szCs w:val="24"/>
          <w:bdr w:val="none" w:sz="0" w:space="0" w:color="auto" w:frame="1"/>
        </w:rPr>
        <w:t xml:space="preserve">. </w:t>
      </w:r>
      <w:r w:rsidR="00704790" w:rsidRPr="00E72418">
        <w:rPr>
          <w:rStyle w:val="injectednode"/>
          <w:rFonts w:cs="Times New Roman"/>
          <w:b/>
          <w:szCs w:val="24"/>
          <w:bdr w:val="none" w:sz="0" w:space="0" w:color="auto" w:frame="1"/>
        </w:rPr>
        <w:t>Une confrontation difficile</w:t>
      </w:r>
      <w:r w:rsidR="00865EA9" w:rsidRPr="00E72418">
        <w:rPr>
          <w:rStyle w:val="injectednode"/>
          <w:rFonts w:cs="Times New Roman"/>
          <w:b/>
          <w:szCs w:val="24"/>
          <w:bdr w:val="none" w:sz="0" w:space="0" w:color="auto" w:frame="1"/>
        </w:rPr>
        <w:t xml:space="preserve"> – </w:t>
      </w:r>
      <w:r w:rsidR="00704790" w:rsidRPr="00E72418">
        <w:rPr>
          <w:rStyle w:val="injectednode"/>
          <w:rFonts w:cs="Times New Roman"/>
          <w:szCs w:val="24"/>
          <w:bdr w:val="none" w:sz="0" w:space="0" w:color="auto" w:frame="1"/>
        </w:rPr>
        <w:t>Toutes convaincantes que peuvent être les défenses opposées aux actions judiciaires menées par les fonds spéculant sur les dettes souveraines, elles se heurtent toujours au</w:t>
      </w:r>
      <w:r w:rsidR="00865EA9" w:rsidRPr="00E72418">
        <w:rPr>
          <w:rStyle w:val="injectednode"/>
          <w:rFonts w:cs="Times New Roman"/>
          <w:szCs w:val="24"/>
          <w:bdr w:val="none" w:sz="0" w:space="0" w:color="auto" w:frame="1"/>
        </w:rPr>
        <w:t xml:space="preserve"> respect de la sacro-sainte règle de droit</w:t>
      </w:r>
      <w:r w:rsidR="00704790" w:rsidRPr="00E72418">
        <w:rPr>
          <w:rStyle w:val="injectednode"/>
          <w:rFonts w:cs="Times New Roman"/>
          <w:szCs w:val="24"/>
          <w:bdr w:val="none" w:sz="0" w:space="0" w:color="auto" w:frame="1"/>
        </w:rPr>
        <w:t xml:space="preserve"> sur lequel repose simplement le modèle économique des fonds</w:t>
      </w:r>
      <w:r w:rsidR="00865EA9" w:rsidRPr="00E72418">
        <w:rPr>
          <w:rStyle w:val="Appelnotedebasdep"/>
          <w:rFonts w:cs="Times New Roman"/>
          <w:szCs w:val="24"/>
          <w:bdr w:val="none" w:sz="0" w:space="0" w:color="auto" w:frame="1"/>
        </w:rPr>
        <w:footnoteReference w:id="1292"/>
      </w:r>
      <w:r w:rsidR="00865EA9" w:rsidRPr="00E72418">
        <w:rPr>
          <w:rStyle w:val="injectednode"/>
          <w:rFonts w:cs="Times New Roman"/>
          <w:szCs w:val="24"/>
          <w:bdr w:val="none" w:sz="0" w:space="0" w:color="auto" w:frame="1"/>
        </w:rPr>
        <w:t xml:space="preserve">. </w:t>
      </w:r>
      <w:r w:rsidR="00704790" w:rsidRPr="00E72418">
        <w:rPr>
          <w:rStyle w:val="injectednode"/>
          <w:rFonts w:cs="Times New Roman"/>
          <w:szCs w:val="24"/>
          <w:bdr w:val="none" w:sz="0" w:space="0" w:color="auto" w:frame="1"/>
        </w:rPr>
        <w:t>La confrontation est</w:t>
      </w:r>
      <w:r w:rsidR="00865EA9" w:rsidRPr="00E72418">
        <w:rPr>
          <w:rStyle w:val="injectednode"/>
          <w:rFonts w:cs="Times New Roman"/>
          <w:szCs w:val="24"/>
          <w:bdr w:val="none" w:sz="0" w:space="0" w:color="auto" w:frame="1"/>
        </w:rPr>
        <w:t xml:space="preserve"> d’autant plus difficile que dans les contentieux financiers où se déclinent les activités </w:t>
      </w:r>
      <w:r w:rsidR="000521D5" w:rsidRPr="00E72418">
        <w:rPr>
          <w:rStyle w:val="injectednode"/>
          <w:rFonts w:cs="Times New Roman"/>
          <w:szCs w:val="24"/>
          <w:bdr w:val="none" w:sz="0" w:space="0" w:color="auto" w:frame="1"/>
        </w:rPr>
        <w:t>spéculatives</w:t>
      </w:r>
      <w:r w:rsidR="00865EA9" w:rsidRPr="00E72418">
        <w:rPr>
          <w:rStyle w:val="injectednode"/>
          <w:rFonts w:cs="Times New Roman"/>
          <w:szCs w:val="24"/>
          <w:bdr w:val="none" w:sz="0" w:space="0" w:color="auto" w:frame="1"/>
        </w:rPr>
        <w:t>, le respect de la règle de droit est fondamental</w:t>
      </w:r>
      <w:r w:rsidR="000521D5" w:rsidRPr="00E72418">
        <w:rPr>
          <w:rStyle w:val="injectednode"/>
          <w:rFonts w:cs="Times New Roman"/>
          <w:szCs w:val="24"/>
          <w:bdr w:val="none" w:sz="0" w:space="0" w:color="auto" w:frame="1"/>
        </w:rPr>
        <w:t xml:space="preserve">. </w:t>
      </w:r>
      <w:r w:rsidR="000521D5" w:rsidRPr="00E72418">
        <w:rPr>
          <w:lang w:val="en-US"/>
        </w:rPr>
        <w:t xml:space="preserve">Comme le relève </w:t>
      </w:r>
      <w:r w:rsidR="00EA7FD2" w:rsidRPr="00E72418">
        <w:rPr>
          <w:lang w:val="en-US"/>
        </w:rPr>
        <w:t xml:space="preserve">Tor </w:t>
      </w:r>
      <w:r w:rsidR="000521D5" w:rsidRPr="00E72418">
        <w:rPr>
          <w:lang w:val="en-US"/>
        </w:rPr>
        <w:t>Krever, « today the rule of law is increasingly viewed as a necessary requirement, or even silver bullet, for economic development »</w:t>
      </w:r>
      <w:r w:rsidR="00865EA9" w:rsidRPr="00E72418">
        <w:rPr>
          <w:rStyle w:val="Appelnotedebasdep"/>
          <w:rFonts w:cs="Times New Roman"/>
          <w:szCs w:val="24"/>
          <w:bdr w:val="none" w:sz="0" w:space="0" w:color="auto" w:frame="1"/>
        </w:rPr>
        <w:footnoteReference w:id="1293"/>
      </w:r>
      <w:r w:rsidR="00865EA9" w:rsidRPr="00E72418">
        <w:rPr>
          <w:rStyle w:val="injectednode"/>
          <w:rFonts w:cs="Times New Roman"/>
          <w:szCs w:val="24"/>
          <w:bdr w:val="none" w:sz="0" w:space="0" w:color="auto" w:frame="1"/>
        </w:rPr>
        <w:t xml:space="preserve">. </w:t>
      </w:r>
    </w:p>
    <w:p w14:paraId="5BA8071E" w14:textId="2CAF0D8F" w:rsidR="00865EA9" w:rsidRPr="00E72418" w:rsidRDefault="00865EA9" w:rsidP="00CC4BA8">
      <w:pPr>
        <w:spacing w:line="276" w:lineRule="auto"/>
        <w:rPr>
          <w:rStyle w:val="injectednode"/>
          <w:rFonts w:cs="Times New Roman"/>
          <w:szCs w:val="24"/>
          <w:bdr w:val="none" w:sz="0" w:space="0" w:color="auto" w:frame="1"/>
        </w:rPr>
      </w:pPr>
      <w:r w:rsidRPr="00E72418">
        <w:rPr>
          <w:rStyle w:val="injectednode"/>
          <w:rFonts w:cs="Times New Roman"/>
          <w:szCs w:val="24"/>
          <w:bdr w:val="none" w:sz="0" w:space="0" w:color="auto" w:frame="1"/>
        </w:rPr>
        <w:lastRenderedPageBreak/>
        <w:t>Toutefois, l</w:t>
      </w:r>
      <w:r w:rsidRPr="00E72418">
        <w:t xml:space="preserve">’attachement à la stricte règle de droit </w:t>
      </w:r>
      <w:r w:rsidR="000521D5" w:rsidRPr="00E72418">
        <w:t>est critiquable</w:t>
      </w:r>
      <w:r w:rsidRPr="00E72418">
        <w:t xml:space="preserve">. Ainsi, </w:t>
      </w:r>
      <w:r w:rsidR="004F70C8" w:rsidRPr="00E72418">
        <w:t xml:space="preserve">Elisa </w:t>
      </w:r>
      <w:r w:rsidRPr="00E72418">
        <w:t>Beneze releva « the harmful impact that can result from a court ruling that relies on rule of law and textual interpretation, but fails to account for broader policy and global economic ramifications when dealing with a complex issue that typically falls outside of a domestic court’s expertise »</w:t>
      </w:r>
      <w:r w:rsidRPr="00E72418">
        <w:rPr>
          <w:rStyle w:val="Appelnotedebasdep"/>
          <w:szCs w:val="24"/>
        </w:rPr>
        <w:footnoteReference w:id="1294"/>
      </w:r>
      <w:r w:rsidRPr="00E72418">
        <w:t>.</w:t>
      </w:r>
      <w:r w:rsidRPr="00E72418">
        <w:rPr>
          <w:rStyle w:val="injectednode"/>
          <w:rFonts w:cs="Times New Roman"/>
          <w:szCs w:val="24"/>
          <w:bdr w:val="none" w:sz="0" w:space="0" w:color="auto" w:frame="1"/>
        </w:rPr>
        <w:t xml:space="preserve"> Outre l’importance d’une lecture large des</w:t>
      </w:r>
      <w:r w:rsidR="00B131DC" w:rsidRPr="00E72418">
        <w:rPr>
          <w:rStyle w:val="injectednode"/>
          <w:rFonts w:cs="Times New Roman"/>
          <w:szCs w:val="24"/>
          <w:bdr w:val="none" w:sz="0" w:space="0" w:color="auto" w:frame="1"/>
        </w:rPr>
        <w:t xml:space="preserve"> événements rencontrés, les </w:t>
      </w:r>
      <w:r w:rsidR="00B131DC" w:rsidRPr="00E72418">
        <w:rPr>
          <w:lang w:eastAsia="fr-BE"/>
        </w:rPr>
        <w:t>É</w:t>
      </w:r>
      <w:r w:rsidRPr="00E72418">
        <w:rPr>
          <w:rStyle w:val="injectednode"/>
          <w:rFonts w:cs="Times New Roman"/>
          <w:szCs w:val="24"/>
          <w:bdr w:val="none" w:sz="0" w:space="0" w:color="auto" w:frame="1"/>
        </w:rPr>
        <w:t xml:space="preserve">tats débiteurs attaqués ont </w:t>
      </w:r>
      <w:r w:rsidR="005A6570" w:rsidRPr="00E72418">
        <w:rPr>
          <w:rStyle w:val="injectednode"/>
          <w:rFonts w:cs="Times New Roman"/>
          <w:szCs w:val="24"/>
          <w:bdr w:val="none" w:sz="0" w:space="0" w:color="auto" w:frame="1"/>
        </w:rPr>
        <w:t xml:space="preserve">pour </w:t>
      </w:r>
      <w:r w:rsidRPr="00E72418">
        <w:rPr>
          <w:rStyle w:val="injectednode"/>
          <w:rFonts w:cs="Times New Roman"/>
          <w:szCs w:val="24"/>
          <w:bdr w:val="none" w:sz="0" w:space="0" w:color="auto" w:frame="1"/>
        </w:rPr>
        <w:t xml:space="preserve">leur défense un certain nombre d’arguments juridiques mobilisables dont l’invocation aura pour conséquence logique de compliquer la tâche </w:t>
      </w:r>
      <w:r w:rsidR="005A6570" w:rsidRPr="00E72418">
        <w:rPr>
          <w:rStyle w:val="injectednode"/>
          <w:rFonts w:cs="Times New Roman"/>
          <w:szCs w:val="24"/>
          <w:bdr w:val="none" w:sz="0" w:space="0" w:color="auto" w:frame="1"/>
        </w:rPr>
        <w:t>de leurs créanciers</w:t>
      </w:r>
      <w:r w:rsidRPr="00E72418">
        <w:rPr>
          <w:rStyle w:val="injectednode"/>
          <w:rFonts w:cs="Times New Roman"/>
          <w:szCs w:val="24"/>
          <w:bdr w:val="none" w:sz="0" w:space="0" w:color="auto" w:frame="1"/>
        </w:rPr>
        <w:t xml:space="preserve">. </w:t>
      </w:r>
    </w:p>
    <w:p w14:paraId="5825FEB6" w14:textId="27CCB9F3" w:rsidR="00865EA9" w:rsidRPr="00E72418" w:rsidRDefault="00865EA9" w:rsidP="00CC4BA8">
      <w:pPr>
        <w:spacing w:line="276" w:lineRule="auto"/>
        <w:rPr>
          <w:rStyle w:val="injectednode"/>
          <w:rFonts w:cs="Times New Roman"/>
          <w:szCs w:val="24"/>
          <w:bdr w:val="none" w:sz="0" w:space="0" w:color="auto" w:frame="1"/>
        </w:rPr>
      </w:pPr>
      <w:r w:rsidRPr="00E72418">
        <w:rPr>
          <w:rStyle w:val="injectednode"/>
          <w:rFonts w:cs="Times New Roman"/>
          <w:szCs w:val="24"/>
          <w:bdr w:val="none" w:sz="0" w:space="0" w:color="auto" w:frame="1"/>
        </w:rPr>
        <w:t xml:space="preserve">Si l’on peut raisonnablement attendre des juridictions saisies des contentieux menés par les fonds spéculatifs qu’elles résolvent les conflits, </w:t>
      </w:r>
      <w:r w:rsidR="003F4523" w:rsidRPr="00E72418">
        <w:rPr>
          <w:rStyle w:val="injectednode"/>
          <w:rFonts w:cs="Times New Roman"/>
          <w:szCs w:val="24"/>
          <w:bdr w:val="none" w:sz="0" w:space="0" w:color="auto" w:frame="1"/>
        </w:rPr>
        <w:t xml:space="preserve">attendre de leur part qu’elles </w:t>
      </w:r>
      <w:r w:rsidRPr="00E72418">
        <w:rPr>
          <w:rStyle w:val="injectednode"/>
          <w:rFonts w:cs="Times New Roman"/>
          <w:szCs w:val="24"/>
          <w:bdr w:val="none" w:sz="0" w:space="0" w:color="auto" w:frame="1"/>
        </w:rPr>
        <w:t>adopte</w:t>
      </w:r>
      <w:r w:rsidR="003F4523" w:rsidRPr="00E72418">
        <w:rPr>
          <w:rStyle w:val="injectednode"/>
          <w:rFonts w:cs="Times New Roman"/>
          <w:szCs w:val="24"/>
          <w:bdr w:val="none" w:sz="0" w:space="0" w:color="auto" w:frame="1"/>
        </w:rPr>
        <w:t>nt</w:t>
      </w:r>
      <w:r w:rsidRPr="00E72418">
        <w:rPr>
          <w:rStyle w:val="injectednode"/>
          <w:rFonts w:cs="Times New Roman"/>
          <w:szCs w:val="24"/>
          <w:bdr w:val="none" w:sz="0" w:space="0" w:color="auto" w:frame="1"/>
        </w:rPr>
        <w:t xml:space="preserve"> </w:t>
      </w:r>
      <w:r w:rsidR="003F4523" w:rsidRPr="00E72418">
        <w:rPr>
          <w:rStyle w:val="injectednode"/>
          <w:rFonts w:cs="Times New Roman"/>
          <w:szCs w:val="24"/>
          <w:bdr w:val="none" w:sz="0" w:space="0" w:color="auto" w:frame="1"/>
        </w:rPr>
        <w:t xml:space="preserve">des décisions </w:t>
      </w:r>
      <w:r w:rsidRPr="00E72418">
        <w:rPr>
          <w:rStyle w:val="injectednode"/>
          <w:rFonts w:cs="Times New Roman"/>
          <w:szCs w:val="24"/>
          <w:bdr w:val="none" w:sz="0" w:space="0" w:color="auto" w:frame="1"/>
        </w:rPr>
        <w:t>dépass</w:t>
      </w:r>
      <w:r w:rsidR="003F4523" w:rsidRPr="00E72418">
        <w:rPr>
          <w:rStyle w:val="injectednode"/>
          <w:rFonts w:cs="Times New Roman"/>
          <w:szCs w:val="24"/>
          <w:bdr w:val="none" w:sz="0" w:space="0" w:color="auto" w:frame="1"/>
        </w:rPr>
        <w:t>ant</w:t>
      </w:r>
      <w:r w:rsidRPr="00E72418">
        <w:rPr>
          <w:rStyle w:val="injectednode"/>
          <w:rFonts w:cs="Times New Roman"/>
          <w:szCs w:val="24"/>
          <w:bdr w:val="none" w:sz="0" w:space="0" w:color="auto" w:frame="1"/>
        </w:rPr>
        <w:t xml:space="preserve"> les seuls arguments juridiques avancés pose question</w:t>
      </w:r>
      <w:r w:rsidR="003F4523" w:rsidRPr="00E72418">
        <w:rPr>
          <w:rStyle w:val="injectednode"/>
          <w:rFonts w:cs="Times New Roman"/>
          <w:szCs w:val="24"/>
          <w:bdr w:val="none" w:sz="0" w:space="0" w:color="auto" w:frame="1"/>
        </w:rPr>
        <w:t xml:space="preserve">. </w:t>
      </w:r>
      <w:r w:rsidR="00CF00CD">
        <w:rPr>
          <w:rStyle w:val="injectednode"/>
          <w:rFonts w:cs="Times New Roman"/>
          <w:szCs w:val="24"/>
          <w:bdr w:val="none" w:sz="0" w:space="0" w:color="auto" w:frame="1"/>
        </w:rPr>
        <w:t>Alors que</w:t>
      </w:r>
      <w:r w:rsidR="00845D92" w:rsidRPr="00E72418">
        <w:rPr>
          <w:rStyle w:val="injectednode"/>
          <w:rFonts w:cs="Times New Roman"/>
          <w:szCs w:val="24"/>
          <w:bdr w:val="none" w:sz="0" w:space="0" w:color="auto" w:frame="1"/>
        </w:rPr>
        <w:t xml:space="preserve"> l</w:t>
      </w:r>
      <w:r w:rsidR="003F4523" w:rsidRPr="00E72418">
        <w:rPr>
          <w:rStyle w:val="injectednode"/>
          <w:rFonts w:cs="Times New Roman"/>
          <w:szCs w:val="24"/>
          <w:bdr w:val="none" w:sz="0" w:space="0" w:color="auto" w:frame="1"/>
        </w:rPr>
        <w:t xml:space="preserve">’on peut </w:t>
      </w:r>
      <w:r w:rsidR="00C60216" w:rsidRPr="00E72418">
        <w:rPr>
          <w:rStyle w:val="injectednode"/>
          <w:rFonts w:cs="Times New Roman"/>
          <w:szCs w:val="24"/>
          <w:bdr w:val="none" w:sz="0" w:space="0" w:color="auto" w:frame="1"/>
        </w:rPr>
        <w:t xml:space="preserve">en effet </w:t>
      </w:r>
      <w:r w:rsidR="00845D92" w:rsidRPr="00E72418">
        <w:rPr>
          <w:rStyle w:val="injectednode"/>
          <w:rFonts w:cs="Times New Roman"/>
          <w:szCs w:val="24"/>
          <w:bdr w:val="none" w:sz="0" w:space="0" w:color="auto" w:frame="1"/>
        </w:rPr>
        <w:t>s’interroger sur l’opportunité de</w:t>
      </w:r>
      <w:r w:rsidR="003F4523" w:rsidRPr="00E72418">
        <w:rPr>
          <w:rStyle w:val="injectednode"/>
          <w:rFonts w:cs="Times New Roman"/>
          <w:szCs w:val="24"/>
          <w:bdr w:val="none" w:sz="0" w:space="0" w:color="auto" w:frame="1"/>
        </w:rPr>
        <w:t xml:space="preserve"> tels jugements</w:t>
      </w:r>
      <w:r w:rsidR="00845D92" w:rsidRPr="00E72418">
        <w:rPr>
          <w:rStyle w:val="injectednode"/>
          <w:rFonts w:cs="Times New Roman"/>
          <w:szCs w:val="24"/>
          <w:bdr w:val="none" w:sz="0" w:space="0" w:color="auto" w:frame="1"/>
        </w:rPr>
        <w:t xml:space="preserve">, l’on peut également se demander </w:t>
      </w:r>
      <w:r w:rsidR="003F4523" w:rsidRPr="00E72418">
        <w:rPr>
          <w:rStyle w:val="injectednode"/>
          <w:rFonts w:cs="Times New Roman"/>
          <w:szCs w:val="24"/>
          <w:bdr w:val="none" w:sz="0" w:space="0" w:color="auto" w:frame="1"/>
        </w:rPr>
        <w:t>si les juges sont en mesure de les rendre.</w:t>
      </w:r>
    </w:p>
    <w:p w14:paraId="44A96CC6" w14:textId="77777777" w:rsidR="00865EA9" w:rsidRPr="00E72418" w:rsidRDefault="00865EA9" w:rsidP="0054314B">
      <w:pPr>
        <w:rPr>
          <w:rStyle w:val="injectednode"/>
          <w:rFonts w:cs="Times New Roman"/>
          <w:szCs w:val="24"/>
          <w:bdr w:val="none" w:sz="0" w:space="0" w:color="auto" w:frame="1"/>
        </w:rPr>
      </w:pPr>
    </w:p>
    <w:p w14:paraId="32BECDE9" w14:textId="4AD229DA" w:rsidR="00865EA9" w:rsidRPr="00E72418" w:rsidRDefault="00BF6CE7" w:rsidP="00CC4BA8">
      <w:pPr>
        <w:spacing w:line="276" w:lineRule="auto"/>
        <w:rPr>
          <w:rFonts w:cs="Times New Roman"/>
          <w:szCs w:val="24"/>
        </w:rPr>
      </w:pPr>
      <w:r w:rsidRPr="00E72418">
        <w:rPr>
          <w:rStyle w:val="injectednode"/>
          <w:rFonts w:cs="Times New Roman"/>
          <w:b/>
          <w:szCs w:val="24"/>
          <w:bdr w:val="none" w:sz="0" w:space="0" w:color="auto" w:frame="1"/>
        </w:rPr>
        <w:t>262</w:t>
      </w:r>
      <w:r w:rsidR="00A9718E" w:rsidRPr="00E72418">
        <w:rPr>
          <w:rStyle w:val="injectednode"/>
          <w:rFonts w:cs="Times New Roman"/>
          <w:b/>
          <w:szCs w:val="24"/>
          <w:bdr w:val="none" w:sz="0" w:space="0" w:color="auto" w:frame="1"/>
        </w:rPr>
        <w:t xml:space="preserve">. </w:t>
      </w:r>
      <w:r w:rsidR="005A6570" w:rsidRPr="00E72418">
        <w:rPr>
          <w:rStyle w:val="injectednode"/>
          <w:rFonts w:cs="Times New Roman"/>
          <w:b/>
          <w:szCs w:val="24"/>
          <w:bdr w:val="none" w:sz="0" w:space="0" w:color="auto" w:frame="1"/>
        </w:rPr>
        <w:t>L’importante uniformité –</w:t>
      </w:r>
      <w:r w:rsidR="005A6570" w:rsidRPr="00E72418">
        <w:rPr>
          <w:b/>
        </w:rPr>
        <w:t xml:space="preserve"> </w:t>
      </w:r>
      <w:r w:rsidR="00704790" w:rsidRPr="00E72418">
        <w:t>Quelle que soit l’issue de la confrontation des arguments,</w:t>
      </w:r>
      <w:r w:rsidR="00704790" w:rsidRPr="00E72418">
        <w:rPr>
          <w:b/>
        </w:rPr>
        <w:t xml:space="preserve"> </w:t>
      </w:r>
      <w:r w:rsidR="00BF44ED" w:rsidRPr="00E72418">
        <w:t>il nous paraît important qu’une uniformité ressorte des</w:t>
      </w:r>
      <w:r w:rsidR="001C77D8" w:rsidRPr="00E72418">
        <w:rPr>
          <w:rStyle w:val="injectednode"/>
          <w:rFonts w:cs="Times New Roman"/>
          <w:szCs w:val="24"/>
          <w:bdr w:val="none" w:sz="0" w:space="0" w:color="auto" w:frame="1"/>
        </w:rPr>
        <w:t xml:space="preserve"> solutions retenues</w:t>
      </w:r>
      <w:r w:rsidR="0033545A" w:rsidRPr="00E72418">
        <w:rPr>
          <w:rStyle w:val="injectednode"/>
          <w:rFonts w:cs="Times New Roman"/>
          <w:szCs w:val="24"/>
          <w:bdr w:val="none" w:sz="0" w:space="0" w:color="auto" w:frame="1"/>
        </w:rPr>
        <w:t>,</w:t>
      </w:r>
      <w:r w:rsidR="00BF44ED" w:rsidRPr="00E72418">
        <w:rPr>
          <w:rStyle w:val="injectednode"/>
          <w:rFonts w:cs="Times New Roman"/>
          <w:szCs w:val="24"/>
          <w:bdr w:val="none" w:sz="0" w:space="0" w:color="auto" w:frame="1"/>
        </w:rPr>
        <w:t xml:space="preserve"> et ce, dans un souci d</w:t>
      </w:r>
      <w:r w:rsidR="001C77D8" w:rsidRPr="00E72418">
        <w:rPr>
          <w:rStyle w:val="injectednode"/>
          <w:rFonts w:cs="Times New Roman"/>
          <w:szCs w:val="24"/>
          <w:bdr w:val="none" w:sz="0" w:space="0" w:color="auto" w:frame="1"/>
        </w:rPr>
        <w:t>e sécurité juridique</w:t>
      </w:r>
      <w:r w:rsidR="00865EA9" w:rsidRPr="00E72418">
        <w:rPr>
          <w:rStyle w:val="injectednode"/>
          <w:rFonts w:cs="Times New Roman"/>
          <w:szCs w:val="24"/>
          <w:bdr w:val="none" w:sz="0" w:space="0" w:color="auto" w:frame="1"/>
        </w:rPr>
        <w:t xml:space="preserve">. </w:t>
      </w:r>
      <w:r w:rsidR="00704790" w:rsidRPr="00E72418">
        <w:rPr>
          <w:rFonts w:cs="Times New Roman"/>
          <w:szCs w:val="24"/>
        </w:rPr>
        <w:t>Il est primordial que l</w:t>
      </w:r>
      <w:r w:rsidR="00865EA9" w:rsidRPr="00E72418">
        <w:rPr>
          <w:rFonts w:cs="Times New Roman"/>
          <w:szCs w:val="24"/>
        </w:rPr>
        <w:t>e traitement réservé aux arguments avancés par les protagonistes des contentieux sur les dettes souveraines</w:t>
      </w:r>
      <w:r w:rsidR="00704790" w:rsidRPr="00E72418">
        <w:rPr>
          <w:rFonts w:cs="Times New Roman"/>
          <w:szCs w:val="24"/>
        </w:rPr>
        <w:t xml:space="preserve"> soit</w:t>
      </w:r>
      <w:r w:rsidR="00865EA9" w:rsidRPr="00E72418">
        <w:rPr>
          <w:rFonts w:cs="Times New Roman"/>
          <w:szCs w:val="24"/>
        </w:rPr>
        <w:t xml:space="preserve"> uniforme au risque d</w:t>
      </w:r>
      <w:r w:rsidR="00845D92" w:rsidRPr="00E72418">
        <w:rPr>
          <w:rFonts w:cs="Times New Roman"/>
          <w:szCs w:val="24"/>
        </w:rPr>
        <w:t>’avoir une incidence négative sur</w:t>
      </w:r>
      <w:r w:rsidR="0017729F" w:rsidRPr="00E72418">
        <w:rPr>
          <w:rFonts w:cs="Times New Roman"/>
          <w:szCs w:val="24"/>
        </w:rPr>
        <w:t xml:space="preserve"> le marché des </w:t>
      </w:r>
      <w:r w:rsidR="00865EA9" w:rsidRPr="00E72418">
        <w:rPr>
          <w:rFonts w:cs="Times New Roman"/>
          <w:szCs w:val="24"/>
        </w:rPr>
        <w:t>dette</w:t>
      </w:r>
      <w:r w:rsidR="0017729F" w:rsidRPr="00E72418">
        <w:rPr>
          <w:rFonts w:cs="Times New Roman"/>
          <w:szCs w:val="24"/>
        </w:rPr>
        <w:t>s</w:t>
      </w:r>
      <w:r w:rsidR="00865EA9" w:rsidRPr="00E72418">
        <w:rPr>
          <w:rFonts w:cs="Times New Roman"/>
          <w:szCs w:val="24"/>
        </w:rPr>
        <w:t xml:space="preserve"> souveraine</w:t>
      </w:r>
      <w:r w:rsidR="0017729F" w:rsidRPr="00E72418">
        <w:rPr>
          <w:rFonts w:cs="Times New Roman"/>
          <w:szCs w:val="24"/>
        </w:rPr>
        <w:t>s</w:t>
      </w:r>
      <w:r w:rsidR="00865EA9" w:rsidRPr="00E72418">
        <w:rPr>
          <w:rFonts w:cs="Times New Roman"/>
          <w:szCs w:val="24"/>
        </w:rPr>
        <w:t xml:space="preserve"> essentiel au bon fonctionnement du financement étatique. La </w:t>
      </w:r>
      <w:r w:rsidR="00865EA9" w:rsidRPr="00735BBE">
        <w:rPr>
          <w:rFonts w:cs="Times New Roman"/>
          <w:szCs w:val="24"/>
          <w:shd w:val="clear" w:color="auto" w:fill="FFFFFF"/>
        </w:rPr>
        <w:t xml:space="preserve">United States Court of Appeals for the Second Circuit </w:t>
      </w:r>
      <w:r w:rsidR="001C77D8" w:rsidRPr="00735BBE">
        <w:rPr>
          <w:rFonts w:cs="Times New Roman"/>
          <w:szCs w:val="24"/>
          <w:shd w:val="clear" w:color="auto" w:fill="FFFFFF"/>
        </w:rPr>
        <w:t>l</w:t>
      </w:r>
      <w:r w:rsidR="001C77D8" w:rsidRPr="00E72418">
        <w:rPr>
          <w:rFonts w:cs="Times New Roman"/>
          <w:szCs w:val="24"/>
          <w:shd w:val="clear" w:color="auto" w:fill="FFFFFF"/>
        </w:rPr>
        <w:t>’indiqua</w:t>
      </w:r>
      <w:r w:rsidR="00865EA9" w:rsidRPr="00E72418">
        <w:rPr>
          <w:rFonts w:cs="Times New Roman"/>
          <w:szCs w:val="24"/>
          <w:shd w:val="clear" w:color="auto" w:fill="FFFFFF"/>
        </w:rPr>
        <w:t xml:space="preserve"> dans son arrêt </w:t>
      </w:r>
      <w:r w:rsidR="00865EA9" w:rsidRPr="00E72418">
        <w:rPr>
          <w:rFonts w:cs="Times New Roman"/>
          <w:i/>
          <w:szCs w:val="24"/>
        </w:rPr>
        <w:t>Sharon Steel Corp. v. Chase Manhattan Bank</w:t>
      </w:r>
      <w:r w:rsidR="00865EA9" w:rsidRPr="00E72418">
        <w:rPr>
          <w:rStyle w:val="Appelnotedebasdep"/>
          <w:rFonts w:cs="Times New Roman"/>
          <w:szCs w:val="24"/>
        </w:rPr>
        <w:t xml:space="preserve"> </w:t>
      </w:r>
      <w:r w:rsidR="00865EA9" w:rsidRPr="00E72418">
        <w:rPr>
          <w:rFonts w:cs="Times New Roman"/>
          <w:szCs w:val="24"/>
        </w:rPr>
        <w:t>, « </w:t>
      </w:r>
      <w:r w:rsidR="00865EA9" w:rsidRPr="00E72418">
        <w:rPr>
          <w:rFonts w:ascii="Times New Roman" w:hAnsi="Times New Roman" w:cs="Times New Roman"/>
        </w:rPr>
        <w:t>[w]</w:t>
      </w:r>
      <w:r w:rsidR="00865EA9" w:rsidRPr="00E72418">
        <w:rPr>
          <w:rFonts w:cs="Times New Roman"/>
          <w:szCs w:val="24"/>
        </w:rPr>
        <w:t>hereas participants in the capital market can adjust their affairs according to a uniform interpretation, whether it be correct or not as an initial proposition, the creation of enduring uncertainties as to the meaning of boilerplate provisions would decrease the value of all debenture issues and greatly impair the efficient working of capital markets. Such uncertainties would vastly increase the risks and, therefore, the costs of borrowing with no offsetting benefits either in the capital market or in the administration of justice »</w:t>
      </w:r>
      <w:r w:rsidR="00865EA9" w:rsidRPr="00E72418">
        <w:rPr>
          <w:rStyle w:val="Appelnotedebasdep"/>
          <w:rFonts w:cs="Times New Roman"/>
          <w:szCs w:val="24"/>
        </w:rPr>
        <w:footnoteReference w:id="1295"/>
      </w:r>
      <w:r w:rsidR="00865EA9" w:rsidRPr="00E72418">
        <w:rPr>
          <w:rFonts w:cs="Times New Roman"/>
          <w:szCs w:val="24"/>
        </w:rPr>
        <w:t>.</w:t>
      </w:r>
    </w:p>
    <w:p w14:paraId="5CEE1F49" w14:textId="28BAA9D6" w:rsidR="00865EA9" w:rsidRPr="00E72418" w:rsidRDefault="001C77D8" w:rsidP="00CC4BA8">
      <w:pPr>
        <w:spacing w:line="276" w:lineRule="auto"/>
        <w:rPr>
          <w:rFonts w:ascii="Times New Roman" w:hAnsi="Times New Roman" w:cs="Times New Roman"/>
          <w:szCs w:val="24"/>
        </w:rPr>
      </w:pPr>
      <w:r w:rsidRPr="00E72418">
        <w:rPr>
          <w:rFonts w:ascii="Times New Roman" w:hAnsi="Times New Roman" w:cs="Times New Roman"/>
          <w:szCs w:val="24"/>
        </w:rPr>
        <w:t>Pourtant, en pratique,</w:t>
      </w:r>
      <w:r w:rsidR="00865EA9" w:rsidRPr="00E72418">
        <w:rPr>
          <w:rFonts w:ascii="Times New Roman" w:hAnsi="Times New Roman" w:cs="Times New Roman"/>
          <w:szCs w:val="24"/>
        </w:rPr>
        <w:t xml:space="preserve"> l’on </w:t>
      </w:r>
      <w:r w:rsidRPr="00E72418">
        <w:rPr>
          <w:rFonts w:ascii="Times New Roman" w:hAnsi="Times New Roman" w:cs="Times New Roman"/>
          <w:szCs w:val="24"/>
        </w:rPr>
        <w:t>constate</w:t>
      </w:r>
      <w:r w:rsidR="00865EA9" w:rsidRPr="00E72418">
        <w:rPr>
          <w:rFonts w:ascii="Times New Roman" w:hAnsi="Times New Roman" w:cs="Times New Roman"/>
          <w:szCs w:val="24"/>
        </w:rPr>
        <w:t xml:space="preserve"> que la complexité</w:t>
      </w:r>
      <w:r w:rsidRPr="00E72418">
        <w:rPr>
          <w:rFonts w:ascii="Times New Roman" w:hAnsi="Times New Roman" w:cs="Times New Roman"/>
          <w:szCs w:val="24"/>
        </w:rPr>
        <w:t xml:space="preserve"> des contentieux engagés rend</w:t>
      </w:r>
      <w:r w:rsidR="00865EA9" w:rsidRPr="00E72418">
        <w:rPr>
          <w:rFonts w:ascii="Times New Roman" w:hAnsi="Times New Roman" w:cs="Times New Roman"/>
          <w:szCs w:val="24"/>
        </w:rPr>
        <w:t xml:space="preserve"> cette uniformité </w:t>
      </w:r>
      <w:r w:rsidRPr="00E72418">
        <w:rPr>
          <w:rFonts w:ascii="Times New Roman" w:hAnsi="Times New Roman" w:cs="Times New Roman"/>
          <w:szCs w:val="24"/>
        </w:rPr>
        <w:t>difficile voire impossible</w:t>
      </w:r>
      <w:r w:rsidRPr="00E72418">
        <w:rPr>
          <w:rStyle w:val="Appelnotedebasdep"/>
          <w:rFonts w:ascii="Times New Roman" w:hAnsi="Times New Roman" w:cs="Times New Roman"/>
          <w:szCs w:val="24"/>
        </w:rPr>
        <w:footnoteReference w:id="1296"/>
      </w:r>
      <w:r w:rsidR="00865EA9" w:rsidRPr="00E72418">
        <w:rPr>
          <w:rFonts w:ascii="Times New Roman" w:hAnsi="Times New Roman" w:cs="Times New Roman"/>
          <w:szCs w:val="24"/>
        </w:rPr>
        <w:t xml:space="preserve">. </w:t>
      </w:r>
      <w:r w:rsidRPr="00E72418">
        <w:rPr>
          <w:rFonts w:ascii="Times New Roman" w:hAnsi="Times New Roman" w:cs="Times New Roman"/>
          <w:szCs w:val="24"/>
        </w:rPr>
        <w:t xml:space="preserve">Cette complexe </w:t>
      </w:r>
      <w:r w:rsidR="00865EA9" w:rsidRPr="00E72418">
        <w:rPr>
          <w:rFonts w:ascii="Times New Roman" w:hAnsi="Times New Roman" w:cs="Times New Roman"/>
          <w:szCs w:val="24"/>
        </w:rPr>
        <w:t>uniformité découlant de la singularité des contentieux est renforcée par la dispersion des actio</w:t>
      </w:r>
      <w:r w:rsidRPr="00E72418">
        <w:rPr>
          <w:rFonts w:ascii="Times New Roman" w:hAnsi="Times New Roman" w:cs="Times New Roman"/>
          <w:szCs w:val="24"/>
        </w:rPr>
        <w:t xml:space="preserve">ns intentées par les fonds spéculatifs dont le modèle </w:t>
      </w:r>
      <w:r w:rsidR="00377E0C" w:rsidRPr="00E72418">
        <w:rPr>
          <w:rFonts w:ascii="Times New Roman" w:hAnsi="Times New Roman" w:cs="Times New Roman"/>
          <w:szCs w:val="24"/>
        </w:rPr>
        <w:t xml:space="preserve">économique </w:t>
      </w:r>
      <w:r w:rsidRPr="00E72418">
        <w:rPr>
          <w:rFonts w:ascii="Times New Roman" w:hAnsi="Times New Roman" w:cs="Times New Roman"/>
          <w:szCs w:val="24"/>
        </w:rPr>
        <w:t>consiste à multiplier les actions et à les poursuivre devant les juridictions du monde entier.</w:t>
      </w:r>
    </w:p>
    <w:p w14:paraId="1C123383" w14:textId="70E56B7F" w:rsidR="00A728E5" w:rsidRPr="00E72418" w:rsidRDefault="00A728E5" w:rsidP="0054314B"/>
    <w:p w14:paraId="3C342FB9" w14:textId="3384C751" w:rsidR="00A728E5" w:rsidRPr="00E72418" w:rsidRDefault="00BF6CE7" w:rsidP="00A728E5">
      <w:pPr>
        <w:spacing w:line="276" w:lineRule="auto"/>
      </w:pPr>
      <w:r w:rsidRPr="00E72418">
        <w:rPr>
          <w:b/>
        </w:rPr>
        <w:t>263</w:t>
      </w:r>
      <w:r w:rsidR="00A728E5" w:rsidRPr="00E72418">
        <w:rPr>
          <w:b/>
        </w:rPr>
        <w:t xml:space="preserve">. Des </w:t>
      </w:r>
      <w:r w:rsidR="00704790" w:rsidRPr="00E72418">
        <w:rPr>
          <w:b/>
        </w:rPr>
        <w:t>défenses à fournir</w:t>
      </w:r>
      <w:r w:rsidR="00A728E5" w:rsidRPr="00E72418">
        <w:rPr>
          <w:b/>
        </w:rPr>
        <w:t xml:space="preserve"> </w:t>
      </w:r>
      <w:r w:rsidR="0098049D" w:rsidRPr="00E72418">
        <w:rPr>
          <w:b/>
        </w:rPr>
        <w:t xml:space="preserve">et à fourbir </w:t>
      </w:r>
      <w:r w:rsidR="00A728E5" w:rsidRPr="00E72418">
        <w:rPr>
          <w:b/>
        </w:rPr>
        <w:t>–</w:t>
      </w:r>
      <w:r w:rsidR="00A728E5" w:rsidRPr="00E72418">
        <w:t xml:space="preserve"> Les questions juridiques que posent les contentieux entourant les dettes souveraines sont </w:t>
      </w:r>
      <w:r w:rsidR="00704790" w:rsidRPr="00E72418">
        <w:t>complexes</w:t>
      </w:r>
      <w:r w:rsidR="00A728E5" w:rsidRPr="00E72418">
        <w:t xml:space="preserve">. Face à la technicité des arguments que mettent en jeu les contentieux sur les dettes souveraines intentés par les fonds spéculatifs, l’importance d’un soutien juridique aux </w:t>
      </w:r>
      <w:r w:rsidR="00A728E5" w:rsidRPr="00E72418">
        <w:rPr>
          <w:lang w:eastAsia="fr-BE"/>
        </w:rPr>
        <w:t>É</w:t>
      </w:r>
      <w:r w:rsidR="00A728E5" w:rsidRPr="00E72418">
        <w:t xml:space="preserve">tats attaqués a souvent été soulevée. Dans l’un de ses discours, Gordon Brown releva ainsi que « </w:t>
      </w:r>
      <w:r w:rsidR="00A728E5" w:rsidRPr="00E72418">
        <w:rPr>
          <w:rFonts w:cs="Times New Roman"/>
        </w:rPr>
        <w:t>[t]</w:t>
      </w:r>
      <w:r w:rsidR="00A728E5" w:rsidRPr="00E72418">
        <w:rPr>
          <w:shd w:val="clear" w:color="auto" w:fill="FFFFFF"/>
        </w:rPr>
        <w:t xml:space="preserve">he international community should consider giving </w:t>
      </w:r>
      <w:r w:rsidR="00A728E5" w:rsidRPr="00E72418">
        <w:rPr>
          <w:shd w:val="clear" w:color="auto" w:fill="FFFFFF"/>
        </w:rPr>
        <w:lastRenderedPageBreak/>
        <w:t xml:space="preserve">technical assistance to any HIPC country being sued by a vulture fund and provide them with expert financial advice on debt restructuring to prevent future legal claims </w:t>
      </w:r>
      <w:r w:rsidR="00A728E5" w:rsidRPr="00E72418">
        <w:t>»</w:t>
      </w:r>
      <w:r w:rsidR="00A728E5" w:rsidRPr="00E72418">
        <w:rPr>
          <w:rStyle w:val="Appelnotedebasdep"/>
        </w:rPr>
        <w:footnoteReference w:id="1297"/>
      </w:r>
      <w:r w:rsidR="00A728E5" w:rsidRPr="00E72418">
        <w:t xml:space="preserve">. </w:t>
      </w:r>
    </w:p>
    <w:p w14:paraId="3917AAD8" w14:textId="77777777" w:rsidR="00A728E5" w:rsidRPr="00E72418" w:rsidRDefault="00A728E5" w:rsidP="00A728E5">
      <w:pPr>
        <w:spacing w:line="276" w:lineRule="auto"/>
      </w:pPr>
      <w:r w:rsidRPr="00E72418">
        <w:t xml:space="preserve">Le constat fait de ce que les fonds spéculant sur les dettes souveraines profitent des faibles capacités institutionnelles des </w:t>
      </w:r>
      <w:r w:rsidRPr="00E72418">
        <w:rPr>
          <w:lang w:eastAsia="fr-BE"/>
        </w:rPr>
        <w:t>É</w:t>
      </w:r>
      <w:r w:rsidRPr="00E72418">
        <w:t>tats débiteurs les empêchant d’apporter des réponses adéquates à leurs activités</w:t>
      </w:r>
      <w:r w:rsidRPr="00E72418">
        <w:rPr>
          <w:rStyle w:val="Appelnotedebasdep"/>
        </w:rPr>
        <w:footnoteReference w:id="1298"/>
      </w:r>
      <w:r w:rsidRPr="00E72418">
        <w:t xml:space="preserve">, des cliniques juridiques ont été mises en place afin d’aider ces </w:t>
      </w:r>
      <w:r w:rsidRPr="00E72418">
        <w:rPr>
          <w:lang w:eastAsia="fr-BE"/>
        </w:rPr>
        <w:t>É</w:t>
      </w:r>
      <w:r w:rsidRPr="00E72418">
        <w:t>tats à y faire face</w:t>
      </w:r>
      <w:r w:rsidRPr="00E72418">
        <w:rPr>
          <w:rStyle w:val="Appelnotedebasdep"/>
        </w:rPr>
        <w:footnoteReference w:id="1299"/>
      </w:r>
      <w:r w:rsidRPr="00E72418">
        <w:t>. Ces cliniques leur offrent ceci de positif qu’ « </w:t>
      </w:r>
      <w:r w:rsidRPr="00E72418">
        <w:rPr>
          <w:rFonts w:cs="Times New Roman"/>
        </w:rPr>
        <w:t>[h]</w:t>
      </w:r>
      <w:r w:rsidRPr="00E72418">
        <w:t>igh-quality legal advice may be able to reduce the liability faced by countries, and the prospect of a more complex and protracted legal process may also make the option of holding out for high repayment less appealing to creditors »</w:t>
      </w:r>
      <w:r w:rsidRPr="00E72418">
        <w:rPr>
          <w:rStyle w:val="Appelnotedebasdep"/>
        </w:rPr>
        <w:footnoteReference w:id="1300"/>
      </w:r>
      <w:r w:rsidRPr="00E72418">
        <w:t>.</w:t>
      </w:r>
    </w:p>
    <w:p w14:paraId="5C01E3C1" w14:textId="77777777" w:rsidR="00A728E5" w:rsidRPr="00E72418" w:rsidRDefault="00A728E5" w:rsidP="00A728E5">
      <w:pPr>
        <w:spacing w:line="276" w:lineRule="auto"/>
      </w:pPr>
      <w:r w:rsidRPr="00E72418">
        <w:t>La clinique la plus connue est sans doute la Facilité Africaine de Soutien Juridique</w:t>
      </w:r>
      <w:r w:rsidRPr="00E72418">
        <w:rPr>
          <w:rStyle w:val="Appelnotedebasdep"/>
        </w:rPr>
        <w:footnoteReference w:id="1301"/>
      </w:r>
      <w:r w:rsidRPr="00E72418">
        <w:rPr>
          <w:vertAlign w:val="superscript"/>
        </w:rPr>
        <w:t>,</w:t>
      </w:r>
      <w:r w:rsidRPr="00E72418">
        <w:rPr>
          <w:rStyle w:val="Appelnotedebasdep"/>
        </w:rPr>
        <w:footnoteReference w:id="1302"/>
      </w:r>
      <w:r w:rsidRPr="00E72418">
        <w:t xml:space="preserve">. Créée en 2009 à l’initiative de la Banque africaine de développement, la Facilité Africaine de Soutien Juridique est une organisation internationale dont le mandat est notamment d’apporter des conseils juridiques et une assistance technique aux </w:t>
      </w:r>
      <w:r w:rsidRPr="00E72418">
        <w:rPr>
          <w:lang w:eastAsia="fr-BE"/>
        </w:rPr>
        <w:t>É</w:t>
      </w:r>
      <w:r w:rsidRPr="00E72418">
        <w:t>tats africains afin de renforcer leurs capacités en matière de règlement des litiges avec leurs créanciers</w:t>
      </w:r>
      <w:r w:rsidRPr="00E72418">
        <w:rPr>
          <w:rStyle w:val="Appelnotedebasdep"/>
        </w:rPr>
        <w:footnoteReference w:id="1303"/>
      </w:r>
      <w:r w:rsidRPr="00E72418">
        <w:t xml:space="preserve">. Si l’action de </w:t>
      </w:r>
      <w:r w:rsidRPr="00E72418">
        <w:lastRenderedPageBreak/>
        <w:t>l’organisation ne se limite pas à apporter de l’aide dans le cadre de contentieux impliquant des fonds spéculant sur les dettes souveraines, cette aide est néanmoins l’une de ses importantes missions</w:t>
      </w:r>
      <w:r w:rsidRPr="00E72418">
        <w:rPr>
          <w:rStyle w:val="Appelnotedebasdep"/>
        </w:rPr>
        <w:footnoteReference w:id="1304"/>
      </w:r>
      <w:r w:rsidRPr="00E72418">
        <w:rPr>
          <w:vertAlign w:val="superscript"/>
        </w:rPr>
        <w:t>,</w:t>
      </w:r>
      <w:r w:rsidRPr="00E72418">
        <w:rPr>
          <w:rStyle w:val="Appelnotedebasdep"/>
        </w:rPr>
        <w:footnoteReference w:id="1305"/>
      </w:r>
      <w:r w:rsidRPr="00E72418">
        <w:t xml:space="preserve">. </w:t>
      </w:r>
      <w:r w:rsidRPr="00E72418">
        <w:rPr>
          <w:szCs w:val="24"/>
        </w:rPr>
        <w:t xml:space="preserve">L’action de cette Facilité Africaine de Soutien Juridique est saluée par le </w:t>
      </w:r>
      <w:r w:rsidRPr="00E72418">
        <w:rPr>
          <w:rFonts w:cs="Times New Roman"/>
          <w:szCs w:val="24"/>
        </w:rPr>
        <w:t>Comité consultatif du Conseil des droits de l’homme des Nations Unies,</w:t>
      </w:r>
      <w:r w:rsidRPr="00E72418">
        <w:rPr>
          <w:szCs w:val="24"/>
        </w:rPr>
        <w:t xml:space="preserve"> lequel est d’ailleurs d’avis d’élargir </w:t>
      </w:r>
      <w:r w:rsidRPr="00E72418">
        <w:rPr>
          <w:bCs/>
          <w:szCs w:val="24"/>
        </w:rPr>
        <w:t>ce mécanisme afin de venir en aide plus largement aux pays en développement</w:t>
      </w:r>
      <w:r w:rsidRPr="00E72418">
        <w:rPr>
          <w:rStyle w:val="Appelnotedebasdep"/>
          <w:bCs/>
          <w:szCs w:val="24"/>
        </w:rPr>
        <w:footnoteReference w:id="1306"/>
      </w:r>
      <w:r w:rsidRPr="00E72418">
        <w:rPr>
          <w:bCs/>
          <w:szCs w:val="24"/>
        </w:rPr>
        <w:t>.</w:t>
      </w:r>
    </w:p>
    <w:p w14:paraId="363323D7" w14:textId="77777777" w:rsidR="00865EA9" w:rsidRPr="00E72418" w:rsidRDefault="00865EA9" w:rsidP="0054314B">
      <w:pPr>
        <w:rPr>
          <w:bdr w:val="none" w:sz="0" w:space="0" w:color="auto" w:frame="1"/>
        </w:rPr>
      </w:pPr>
    </w:p>
    <w:p w14:paraId="12EF0D4F" w14:textId="17951AD8" w:rsidR="005E2035" w:rsidRPr="00E72418" w:rsidRDefault="00BF6CE7" w:rsidP="00CC4BA8">
      <w:pPr>
        <w:spacing w:line="276" w:lineRule="auto"/>
        <w:rPr>
          <w:rFonts w:ascii="Times New Roman" w:hAnsi="Times New Roman" w:cs="Times New Roman"/>
          <w:szCs w:val="24"/>
        </w:rPr>
      </w:pPr>
      <w:r w:rsidRPr="00E72418">
        <w:rPr>
          <w:rFonts w:ascii="Times New Roman" w:hAnsi="Times New Roman" w:cs="Times New Roman"/>
          <w:b/>
          <w:szCs w:val="24"/>
        </w:rPr>
        <w:t>264</w:t>
      </w:r>
      <w:r w:rsidR="00A9718E" w:rsidRPr="00E72418">
        <w:rPr>
          <w:rFonts w:ascii="Times New Roman" w:hAnsi="Times New Roman" w:cs="Times New Roman"/>
          <w:b/>
          <w:szCs w:val="24"/>
        </w:rPr>
        <w:t xml:space="preserve">. </w:t>
      </w:r>
      <w:r w:rsidR="00865EA9" w:rsidRPr="00E72418">
        <w:rPr>
          <w:rFonts w:ascii="Times New Roman" w:hAnsi="Times New Roman" w:cs="Times New Roman"/>
          <w:b/>
          <w:szCs w:val="24"/>
        </w:rPr>
        <w:t>L’opportunité d’une solution</w:t>
      </w:r>
      <w:r w:rsidR="00582AEA" w:rsidRPr="00E72418">
        <w:rPr>
          <w:rFonts w:ascii="Times New Roman" w:hAnsi="Times New Roman" w:cs="Times New Roman"/>
          <w:b/>
          <w:szCs w:val="24"/>
        </w:rPr>
        <w:t xml:space="preserve"> sur</w:t>
      </w:r>
      <w:r w:rsidR="00740198" w:rsidRPr="00E72418">
        <w:rPr>
          <w:rFonts w:ascii="Times New Roman" w:hAnsi="Times New Roman" w:cs="Times New Roman"/>
          <w:b/>
          <w:szCs w:val="24"/>
        </w:rPr>
        <w:t xml:space="preserve"> </w:t>
      </w:r>
      <w:r w:rsidR="00582AEA" w:rsidRPr="00E72418">
        <w:rPr>
          <w:rFonts w:ascii="Times New Roman" w:hAnsi="Times New Roman" w:cs="Times New Roman"/>
          <w:b/>
          <w:szCs w:val="24"/>
        </w:rPr>
        <w:t xml:space="preserve">mesure </w:t>
      </w:r>
      <w:r w:rsidR="00865EA9" w:rsidRPr="00E72418">
        <w:rPr>
          <w:rStyle w:val="injectednode"/>
          <w:rFonts w:ascii="Times New Roman" w:hAnsi="Times New Roman" w:cs="Times New Roman"/>
          <w:b/>
          <w:szCs w:val="24"/>
          <w:bdr w:val="none" w:sz="0" w:space="0" w:color="auto" w:frame="1"/>
        </w:rPr>
        <w:t xml:space="preserve">– </w:t>
      </w:r>
      <w:r w:rsidR="00865EA9" w:rsidRPr="00E72418">
        <w:rPr>
          <w:rStyle w:val="injectednode"/>
          <w:rFonts w:ascii="Times New Roman" w:hAnsi="Times New Roman" w:cs="Times New Roman"/>
          <w:szCs w:val="24"/>
          <w:bdr w:val="none" w:sz="0" w:space="0" w:color="auto" w:frame="1"/>
        </w:rPr>
        <w:t>La difficile tâche qui échoit aux juridictions nationales saisies des contentieux opposant des fonds spéculatifs à leurs débiteurs convainc de l’opportunité d’apporter à ces contentieux une solution parti</w:t>
      </w:r>
      <w:r w:rsidR="004B4299" w:rsidRPr="00E72418">
        <w:rPr>
          <w:rStyle w:val="injectednode"/>
          <w:rFonts w:ascii="Times New Roman" w:hAnsi="Times New Roman" w:cs="Times New Roman"/>
          <w:szCs w:val="24"/>
          <w:bdr w:val="none" w:sz="0" w:space="0" w:color="auto" w:frame="1"/>
        </w:rPr>
        <w:t>culière</w:t>
      </w:r>
      <w:r w:rsidR="00865EA9" w:rsidRPr="00E72418">
        <w:rPr>
          <w:rStyle w:val="injectednode"/>
          <w:rFonts w:ascii="Times New Roman" w:hAnsi="Times New Roman" w:cs="Times New Roman"/>
          <w:szCs w:val="24"/>
          <w:bdr w:val="none" w:sz="0" w:space="0" w:color="auto" w:frame="1"/>
        </w:rPr>
        <w:t>.</w:t>
      </w:r>
      <w:r w:rsidR="00740198" w:rsidRPr="00E72418">
        <w:rPr>
          <w:rStyle w:val="injectednode"/>
          <w:rFonts w:ascii="Times New Roman" w:hAnsi="Times New Roman" w:cs="Times New Roman"/>
          <w:b/>
          <w:szCs w:val="24"/>
          <w:bdr w:val="none" w:sz="0" w:space="0" w:color="auto" w:frame="1"/>
        </w:rPr>
        <w:t xml:space="preserve"> </w:t>
      </w:r>
      <w:r w:rsidR="00865EA9" w:rsidRPr="00E72418">
        <w:rPr>
          <w:rStyle w:val="injectednode"/>
          <w:rFonts w:ascii="Times New Roman" w:hAnsi="Times New Roman" w:cs="Times New Roman"/>
          <w:szCs w:val="24"/>
          <w:bdr w:val="none" w:sz="0" w:space="0" w:color="auto" w:frame="1"/>
        </w:rPr>
        <w:t xml:space="preserve">La complexité de l’équilibre </w:t>
      </w:r>
      <w:r w:rsidR="004B4299" w:rsidRPr="00E72418">
        <w:rPr>
          <w:rStyle w:val="injectednode"/>
          <w:rFonts w:ascii="Times New Roman" w:hAnsi="Times New Roman" w:cs="Times New Roman"/>
          <w:szCs w:val="24"/>
          <w:bdr w:val="none" w:sz="0" w:space="0" w:color="auto" w:frame="1"/>
        </w:rPr>
        <w:t xml:space="preserve">à trouver </w:t>
      </w:r>
      <w:r w:rsidR="00865EA9" w:rsidRPr="00E72418">
        <w:rPr>
          <w:rStyle w:val="injectednode"/>
          <w:rFonts w:ascii="Times New Roman" w:hAnsi="Times New Roman" w:cs="Times New Roman"/>
          <w:szCs w:val="24"/>
          <w:bdr w:val="none" w:sz="0" w:space="0" w:color="auto" w:frame="1"/>
        </w:rPr>
        <w:t xml:space="preserve">et la nécessaire uniformité </w:t>
      </w:r>
      <w:r w:rsidR="004B4299" w:rsidRPr="00E72418">
        <w:rPr>
          <w:rStyle w:val="injectednode"/>
          <w:rFonts w:ascii="Times New Roman" w:hAnsi="Times New Roman" w:cs="Times New Roman"/>
          <w:szCs w:val="24"/>
          <w:bdr w:val="none" w:sz="0" w:space="0" w:color="auto" w:frame="1"/>
        </w:rPr>
        <w:t xml:space="preserve">à procurer </w:t>
      </w:r>
      <w:r w:rsidR="00865EA9" w:rsidRPr="00E72418">
        <w:rPr>
          <w:rStyle w:val="injectednode"/>
          <w:rFonts w:ascii="Times New Roman" w:hAnsi="Times New Roman" w:cs="Times New Roman"/>
          <w:szCs w:val="24"/>
          <w:bdr w:val="none" w:sz="0" w:space="0" w:color="auto" w:frame="1"/>
        </w:rPr>
        <w:t>plaident pour une approche sur mesure aux</w:t>
      </w:r>
      <w:r w:rsidR="00B41CCF" w:rsidRPr="00E72418">
        <w:rPr>
          <w:rStyle w:val="injectednode"/>
          <w:rFonts w:ascii="Times New Roman" w:hAnsi="Times New Roman" w:cs="Times New Roman"/>
          <w:szCs w:val="24"/>
          <w:bdr w:val="none" w:sz="0" w:space="0" w:color="auto" w:frame="1"/>
        </w:rPr>
        <w:t xml:space="preserve"> activités des fonds spéculant</w:t>
      </w:r>
      <w:r w:rsidR="004B4299" w:rsidRPr="00E72418">
        <w:rPr>
          <w:rStyle w:val="injectednode"/>
          <w:rFonts w:ascii="Times New Roman" w:hAnsi="Times New Roman" w:cs="Times New Roman"/>
          <w:szCs w:val="24"/>
          <w:bdr w:val="none" w:sz="0" w:space="0" w:color="auto" w:frame="1"/>
        </w:rPr>
        <w:t xml:space="preserve"> sur les dettes souveraines</w:t>
      </w:r>
      <w:r w:rsidR="00BE470D" w:rsidRPr="00E72418">
        <w:rPr>
          <w:rStyle w:val="Appelnotedebasdep"/>
          <w:rFonts w:ascii="Times New Roman" w:hAnsi="Times New Roman" w:cs="Times New Roman"/>
          <w:szCs w:val="24"/>
          <w:bdr w:val="none" w:sz="0" w:space="0" w:color="auto" w:frame="1"/>
        </w:rPr>
        <w:footnoteReference w:id="1307"/>
      </w:r>
      <w:r w:rsidR="004B4299" w:rsidRPr="00E72418">
        <w:rPr>
          <w:rStyle w:val="injectednode"/>
          <w:rFonts w:ascii="Times New Roman" w:hAnsi="Times New Roman" w:cs="Times New Roman"/>
          <w:szCs w:val="24"/>
          <w:bdr w:val="none" w:sz="0" w:space="0" w:color="auto" w:frame="1"/>
        </w:rPr>
        <w:t>. C</w:t>
      </w:r>
      <w:r w:rsidR="00865EA9" w:rsidRPr="00E72418">
        <w:rPr>
          <w:rStyle w:val="injectednode"/>
          <w:rFonts w:ascii="Times New Roman" w:hAnsi="Times New Roman" w:cs="Times New Roman"/>
          <w:szCs w:val="24"/>
          <w:bdr w:val="none" w:sz="0" w:space="0" w:color="auto" w:frame="1"/>
        </w:rPr>
        <w:t xml:space="preserve">ette approche pourrait utilement consister en l’adoption d’une </w:t>
      </w:r>
      <w:r w:rsidR="001243C1" w:rsidRPr="00E72418">
        <w:rPr>
          <w:rStyle w:val="injectednode"/>
          <w:rFonts w:ascii="Times New Roman" w:hAnsi="Times New Roman" w:cs="Times New Roman"/>
          <w:szCs w:val="24"/>
          <w:bdr w:val="none" w:sz="0" w:space="0" w:color="auto" w:frame="1"/>
        </w:rPr>
        <w:t xml:space="preserve">réglementation </w:t>
      </w:r>
      <w:r w:rsidR="00865EA9" w:rsidRPr="00E72418">
        <w:rPr>
          <w:rStyle w:val="injectednode"/>
          <w:rFonts w:ascii="Times New Roman" w:hAnsi="Times New Roman" w:cs="Times New Roman"/>
          <w:szCs w:val="24"/>
          <w:bdr w:val="none" w:sz="0" w:space="0" w:color="auto" w:frame="1"/>
        </w:rPr>
        <w:t xml:space="preserve">de nature à </w:t>
      </w:r>
      <w:r w:rsidR="009471F9" w:rsidRPr="00E72418">
        <w:rPr>
          <w:rStyle w:val="injectednode"/>
          <w:rFonts w:ascii="Times New Roman" w:hAnsi="Times New Roman" w:cs="Times New Roman"/>
          <w:szCs w:val="24"/>
          <w:bdr w:val="none" w:sz="0" w:space="0" w:color="auto" w:frame="1"/>
        </w:rPr>
        <w:t xml:space="preserve">équiper </w:t>
      </w:r>
      <w:r w:rsidR="00865EA9" w:rsidRPr="00E72418">
        <w:rPr>
          <w:rStyle w:val="injectednode"/>
          <w:rFonts w:ascii="Times New Roman" w:hAnsi="Times New Roman" w:cs="Times New Roman"/>
          <w:szCs w:val="24"/>
          <w:bdr w:val="none" w:sz="0" w:space="0" w:color="auto" w:frame="1"/>
        </w:rPr>
        <w:t xml:space="preserve">les juridictions saisies et à objectiver les </w:t>
      </w:r>
      <w:r w:rsidR="004B4299" w:rsidRPr="00E72418">
        <w:rPr>
          <w:rStyle w:val="injectednode"/>
          <w:rFonts w:ascii="Times New Roman" w:hAnsi="Times New Roman" w:cs="Times New Roman"/>
          <w:szCs w:val="24"/>
          <w:bdr w:val="none" w:sz="0" w:space="0" w:color="auto" w:frame="1"/>
        </w:rPr>
        <w:t>situations litigieuses</w:t>
      </w:r>
      <w:r w:rsidR="00865EA9" w:rsidRPr="00E72418">
        <w:rPr>
          <w:rStyle w:val="injectednode"/>
          <w:rFonts w:ascii="Times New Roman" w:hAnsi="Times New Roman" w:cs="Times New Roman"/>
          <w:szCs w:val="24"/>
          <w:bdr w:val="none" w:sz="0" w:space="0" w:color="auto" w:frame="1"/>
        </w:rPr>
        <w:t xml:space="preserve">. </w:t>
      </w:r>
      <w:r w:rsidR="007F5655" w:rsidRPr="00E72418">
        <w:rPr>
          <w:rFonts w:ascii="Times New Roman" w:hAnsi="Times New Roman" w:cs="Times New Roman"/>
          <w:szCs w:val="24"/>
        </w:rPr>
        <w:t>Aussi, l’outil législatif qui serait mis à disposition des juges permettrait de combler</w:t>
      </w:r>
      <w:r w:rsidR="00845D92" w:rsidRPr="00E72418">
        <w:rPr>
          <w:rFonts w:ascii="Times New Roman" w:hAnsi="Times New Roman" w:cs="Times New Roman"/>
          <w:szCs w:val="24"/>
        </w:rPr>
        <w:t>,</w:t>
      </w:r>
      <w:r w:rsidR="007F5655" w:rsidRPr="00E72418">
        <w:rPr>
          <w:rFonts w:ascii="Times New Roman" w:hAnsi="Times New Roman" w:cs="Times New Roman"/>
          <w:szCs w:val="24"/>
        </w:rPr>
        <w:t xml:space="preserve"> le cas échéant</w:t>
      </w:r>
      <w:r w:rsidR="00845D92" w:rsidRPr="00E72418">
        <w:rPr>
          <w:rFonts w:ascii="Times New Roman" w:hAnsi="Times New Roman" w:cs="Times New Roman"/>
          <w:szCs w:val="24"/>
        </w:rPr>
        <w:t>,</w:t>
      </w:r>
      <w:r w:rsidR="007F5655" w:rsidRPr="00E72418">
        <w:rPr>
          <w:rFonts w:ascii="Times New Roman" w:hAnsi="Times New Roman" w:cs="Times New Roman"/>
          <w:szCs w:val="24"/>
        </w:rPr>
        <w:t xml:space="preserve"> les lacunes des défenses qu’opposeraient les débiteurs souverains attaqués par leurs créanciers spéculatifs.</w:t>
      </w:r>
    </w:p>
    <w:p w14:paraId="6ECA246F" w14:textId="44E132AC" w:rsidR="005E2035" w:rsidRDefault="009471F9" w:rsidP="00CC4BA8">
      <w:pPr>
        <w:spacing w:line="276" w:lineRule="auto"/>
        <w:rPr>
          <w:rFonts w:ascii="Times New Roman" w:hAnsi="Times New Roman" w:cs="Times New Roman"/>
          <w:szCs w:val="24"/>
        </w:rPr>
      </w:pPr>
      <w:r w:rsidRPr="00E72418">
        <w:rPr>
          <w:rStyle w:val="injectednode"/>
          <w:rFonts w:ascii="Times New Roman" w:hAnsi="Times New Roman" w:cs="Times New Roman"/>
          <w:szCs w:val="24"/>
          <w:bdr w:val="none" w:sz="0" w:space="0" w:color="auto" w:frame="1"/>
        </w:rPr>
        <w:t xml:space="preserve">Nous sommes d’avis qu’une législation </w:t>
      </w:r>
      <w:r w:rsidR="002954F0" w:rsidRPr="00E72418">
        <w:rPr>
          <w:rStyle w:val="injectednode"/>
          <w:rFonts w:ascii="Times New Roman" w:hAnsi="Times New Roman" w:cs="Times New Roman"/>
          <w:szCs w:val="24"/>
          <w:bdr w:val="none" w:sz="0" w:space="0" w:color="auto" w:frame="1"/>
        </w:rPr>
        <w:t>circonscrivant</w:t>
      </w:r>
      <w:r w:rsidRPr="00E72418">
        <w:rPr>
          <w:rStyle w:val="injectednode"/>
          <w:rFonts w:ascii="Times New Roman" w:hAnsi="Times New Roman" w:cs="Times New Roman"/>
          <w:szCs w:val="24"/>
          <w:bdr w:val="none" w:sz="0" w:space="0" w:color="auto" w:frame="1"/>
        </w:rPr>
        <w:t xml:space="preserve"> la spéculation sur les dettes souveraines à une mesure qui ne la fasse pas entamer la capacité des </w:t>
      </w:r>
      <w:r w:rsidR="005258D9" w:rsidRPr="00E72418">
        <w:rPr>
          <w:rFonts w:cs="Times New Roman"/>
          <w:szCs w:val="24"/>
        </w:rPr>
        <w:t>É</w:t>
      </w:r>
      <w:r w:rsidRPr="00E72418">
        <w:rPr>
          <w:rStyle w:val="injectednode"/>
          <w:rFonts w:ascii="Times New Roman" w:hAnsi="Times New Roman" w:cs="Times New Roman"/>
          <w:szCs w:val="24"/>
          <w:bdr w:val="none" w:sz="0" w:space="0" w:color="auto" w:frame="1"/>
        </w:rPr>
        <w:t xml:space="preserve">tats à assurer </w:t>
      </w:r>
      <w:r w:rsidR="002954F0" w:rsidRPr="00E72418">
        <w:rPr>
          <w:rStyle w:val="injectednode"/>
          <w:rFonts w:ascii="Times New Roman" w:hAnsi="Times New Roman" w:cs="Times New Roman"/>
          <w:szCs w:val="24"/>
          <w:bdr w:val="none" w:sz="0" w:space="0" w:color="auto" w:frame="1"/>
        </w:rPr>
        <w:t xml:space="preserve">leurs missions permet </w:t>
      </w:r>
      <w:r w:rsidRPr="00E72418">
        <w:rPr>
          <w:rStyle w:val="injectednode"/>
          <w:rFonts w:ascii="Times New Roman" w:hAnsi="Times New Roman" w:cs="Times New Roman"/>
          <w:szCs w:val="24"/>
          <w:bdr w:val="none" w:sz="0" w:space="0" w:color="auto" w:frame="1"/>
        </w:rPr>
        <w:t>la compatibilité des différents principes juridiques</w:t>
      </w:r>
      <w:r w:rsidR="002954F0" w:rsidRPr="00E72418">
        <w:rPr>
          <w:rStyle w:val="injectednode"/>
          <w:rFonts w:ascii="Times New Roman" w:hAnsi="Times New Roman" w:cs="Times New Roman"/>
          <w:szCs w:val="24"/>
          <w:bdr w:val="none" w:sz="0" w:space="0" w:color="auto" w:frame="1"/>
        </w:rPr>
        <w:t xml:space="preserve"> étudiés</w:t>
      </w:r>
      <w:r w:rsidRPr="00E72418">
        <w:rPr>
          <w:rStyle w:val="injectednode"/>
          <w:rFonts w:ascii="Times New Roman" w:hAnsi="Times New Roman" w:cs="Times New Roman"/>
          <w:szCs w:val="24"/>
          <w:bdr w:val="none" w:sz="0" w:space="0" w:color="auto" w:frame="1"/>
        </w:rPr>
        <w:t xml:space="preserve">. La voie que nous choisirons d’emprunter n’est aucunement partisane dans la mesure où nous ne sommes pas convaincu </w:t>
      </w:r>
      <w:r w:rsidR="002954F0" w:rsidRPr="00E72418">
        <w:rPr>
          <w:rStyle w:val="injectednode"/>
          <w:rFonts w:ascii="Times New Roman" w:hAnsi="Times New Roman" w:cs="Times New Roman"/>
          <w:szCs w:val="24"/>
          <w:bdr w:val="none" w:sz="0" w:space="0" w:color="auto" w:frame="1"/>
        </w:rPr>
        <w:t xml:space="preserve">que les intérêts des uns devraient être sacrifiés au bénéfice de ceux des autres. S’il importe de ne pas mettre à mal le marché des dettes souveraines, on ne saurait toutefois y laisser prospérer </w:t>
      </w:r>
      <w:r w:rsidR="002954F0" w:rsidRPr="00E72418">
        <w:rPr>
          <w:rStyle w:val="injectednode"/>
          <w:rFonts w:ascii="Times New Roman" w:hAnsi="Times New Roman" w:cs="Times New Roman"/>
          <w:szCs w:val="24"/>
          <w:bdr w:val="none" w:sz="0" w:space="0" w:color="auto" w:frame="1"/>
        </w:rPr>
        <w:lastRenderedPageBreak/>
        <w:t xml:space="preserve">des comportements portant atteinte aux populations des </w:t>
      </w:r>
      <w:r w:rsidR="002954F0" w:rsidRPr="00E72418">
        <w:rPr>
          <w:lang w:eastAsia="fr-BE"/>
        </w:rPr>
        <w:t>É</w:t>
      </w:r>
      <w:r w:rsidR="002954F0" w:rsidRPr="00E72418">
        <w:rPr>
          <w:rStyle w:val="injectednode"/>
          <w:rFonts w:ascii="Times New Roman" w:hAnsi="Times New Roman" w:cs="Times New Roman"/>
          <w:szCs w:val="24"/>
          <w:bdr w:val="none" w:sz="0" w:space="0" w:color="auto" w:frame="1"/>
        </w:rPr>
        <w:t>tats débiteurs. Et c</w:t>
      </w:r>
      <w:r w:rsidRPr="00E72418">
        <w:rPr>
          <w:rStyle w:val="injectednode"/>
          <w:rFonts w:ascii="Times New Roman" w:hAnsi="Times New Roman" w:cs="Times New Roman"/>
          <w:szCs w:val="24"/>
          <w:bdr w:val="none" w:sz="0" w:space="0" w:color="auto" w:frame="1"/>
        </w:rPr>
        <w:t xml:space="preserve">e souci n’est pas uniquement nôtre. Ainsi, par exemple, le </w:t>
      </w:r>
      <w:r w:rsidRPr="00E72418">
        <w:rPr>
          <w:rFonts w:ascii="Times New Roman" w:hAnsi="Times New Roman" w:cs="Times New Roman"/>
          <w:i/>
          <w:szCs w:val="24"/>
        </w:rPr>
        <w:t>Chief Minister</w:t>
      </w:r>
      <w:r w:rsidRPr="00E72418">
        <w:rPr>
          <w:rFonts w:ascii="Times New Roman" w:hAnsi="Times New Roman" w:cs="Times New Roman"/>
          <w:szCs w:val="24"/>
        </w:rPr>
        <w:t xml:space="preserve"> de Jersey précisa, losque l’île s’engagea dans la voie de la législation, que « </w:t>
      </w:r>
      <w:r w:rsidRPr="00E72418">
        <w:rPr>
          <w:rFonts w:ascii="Times New Roman" w:hAnsi="Times New Roman" w:cs="Times New Roman"/>
        </w:rPr>
        <w:t>[t]</w:t>
      </w:r>
      <w:r w:rsidRPr="00E72418">
        <w:rPr>
          <w:rFonts w:ascii="Times New Roman" w:hAnsi="Times New Roman" w:cs="Times New Roman"/>
          <w:szCs w:val="24"/>
        </w:rPr>
        <w:t>he proposed legislation will seek to strike the correct and necessary balance between supporting international debt relief efforts and upholding the sanctity of contract law and compliance with our human rights commitments »</w:t>
      </w:r>
      <w:r w:rsidRPr="00E72418">
        <w:rPr>
          <w:rStyle w:val="Appelnotedebasdep"/>
          <w:rFonts w:ascii="Times New Roman" w:hAnsi="Times New Roman" w:cs="Times New Roman"/>
          <w:szCs w:val="24"/>
        </w:rPr>
        <w:footnoteReference w:id="1308"/>
      </w:r>
      <w:r w:rsidRPr="00E72418">
        <w:rPr>
          <w:rFonts w:ascii="Times New Roman" w:hAnsi="Times New Roman" w:cs="Times New Roman"/>
          <w:szCs w:val="24"/>
        </w:rPr>
        <w:t>.</w:t>
      </w:r>
    </w:p>
    <w:p w14:paraId="7722CC7E" w14:textId="07A28341" w:rsidR="009B2CCE" w:rsidRPr="00E72418" w:rsidRDefault="009B2CCE" w:rsidP="00CC4BA8">
      <w:pPr>
        <w:spacing w:line="276" w:lineRule="auto"/>
        <w:rPr>
          <w:rFonts w:ascii="Times New Roman" w:hAnsi="Times New Roman" w:cs="Times New Roman"/>
          <w:szCs w:val="24"/>
        </w:rPr>
      </w:pPr>
    </w:p>
    <w:p w14:paraId="5BE4B8C6" w14:textId="67D9F8C4" w:rsidR="007C57EF" w:rsidRPr="00E72418" w:rsidRDefault="00F10F7D" w:rsidP="00CC4BA8">
      <w:pPr>
        <w:pStyle w:val="AA"/>
        <w:spacing w:line="276" w:lineRule="auto"/>
      </w:pPr>
      <w:bookmarkStart w:id="291" w:name="_Toc59280966"/>
      <w:bookmarkStart w:id="292" w:name="_Toc75106101"/>
      <w:bookmarkStart w:id="293" w:name="_Toc84540957"/>
      <w:r w:rsidRPr="00E72418">
        <w:t>Conclusion de la partie I</w:t>
      </w:r>
      <w:bookmarkEnd w:id="291"/>
      <w:bookmarkEnd w:id="292"/>
      <w:bookmarkEnd w:id="293"/>
    </w:p>
    <w:p w14:paraId="709166E8" w14:textId="77777777" w:rsidR="007C57EF" w:rsidRPr="00E72418" w:rsidRDefault="007C57EF" w:rsidP="0054314B"/>
    <w:p w14:paraId="1525D077" w14:textId="1549F103" w:rsidR="00C73E28" w:rsidRPr="00E72418" w:rsidRDefault="00BF6CE7" w:rsidP="00CC4BA8">
      <w:pPr>
        <w:spacing w:line="276" w:lineRule="auto"/>
        <w:rPr>
          <w:rFonts w:cs="Times New Roman"/>
        </w:rPr>
      </w:pPr>
      <w:r w:rsidRPr="00E72418">
        <w:rPr>
          <w:b/>
        </w:rPr>
        <w:t>265</w:t>
      </w:r>
      <w:r w:rsidR="00A9718E" w:rsidRPr="00E72418">
        <w:rPr>
          <w:b/>
        </w:rPr>
        <w:t xml:space="preserve">. </w:t>
      </w:r>
      <w:r w:rsidR="00C73E28" w:rsidRPr="00E72418">
        <w:rPr>
          <w:b/>
        </w:rPr>
        <w:t>Des paroles et des actes –</w:t>
      </w:r>
      <w:r w:rsidR="00C73E28" w:rsidRPr="00E72418">
        <w:t xml:space="preserve"> En 2019, le Comité consultatif du Conseil des droits de l’homme des Nations Unies relevait le consensus de plu</w:t>
      </w:r>
      <w:r w:rsidR="00462013" w:rsidRPr="00E72418">
        <w:t>s en plus large</w:t>
      </w:r>
      <w:r w:rsidR="001A1B5C" w:rsidRPr="00E72418">
        <w:t xml:space="preserve"> dégagé c</w:t>
      </w:r>
      <w:r w:rsidR="00C73E28" w:rsidRPr="00E72418">
        <w:t>es dix dernières années sur la nécessité de mettre un frein aux</w:t>
      </w:r>
      <w:r w:rsidR="00B41CCF" w:rsidRPr="00E72418">
        <w:t xml:space="preserve"> activités des fonds spéculant</w:t>
      </w:r>
      <w:r w:rsidR="00C73E28" w:rsidRPr="00E72418">
        <w:t xml:space="preserve"> sur les dettes souveraines</w:t>
      </w:r>
      <w:r w:rsidR="00C73E28" w:rsidRPr="00E72418">
        <w:rPr>
          <w:rStyle w:val="Appelnotedebasdep"/>
          <w:szCs w:val="24"/>
        </w:rPr>
        <w:footnoteReference w:id="1309"/>
      </w:r>
      <w:r w:rsidR="00C73E28" w:rsidRPr="00E72418">
        <w:t xml:space="preserve">. </w:t>
      </w:r>
      <w:r w:rsidR="00C73E28" w:rsidRPr="00E72418">
        <w:rPr>
          <w:rFonts w:cs="Times New Roman"/>
        </w:rPr>
        <w:t xml:space="preserve">Si les condamnations, politiques notamment, des activités de ces fonds sont nombreuses, elles </w:t>
      </w:r>
      <w:r w:rsidR="00462013" w:rsidRPr="00E72418">
        <w:rPr>
          <w:rFonts w:cs="Times New Roman"/>
        </w:rPr>
        <w:t>demeurent</w:t>
      </w:r>
      <w:r w:rsidR="00C73E28" w:rsidRPr="00E72418">
        <w:rPr>
          <w:rFonts w:cs="Times New Roman"/>
        </w:rPr>
        <w:t xml:space="preserve"> vaines</w:t>
      </w:r>
      <w:r w:rsidR="00462013" w:rsidRPr="00E72418">
        <w:rPr>
          <w:rFonts w:cs="Times New Roman"/>
        </w:rPr>
        <w:t xml:space="preserve"> si elles ne sont pas suivies d’une mise</w:t>
      </w:r>
      <w:r w:rsidR="00C73E28" w:rsidRPr="00E72418">
        <w:rPr>
          <w:rFonts w:cs="Times New Roman"/>
        </w:rPr>
        <w:t xml:space="preserve"> en place d’obstacles légaux les entravant</w:t>
      </w:r>
      <w:r w:rsidR="00C73E28" w:rsidRPr="00E72418">
        <w:rPr>
          <w:rStyle w:val="Appelnotedebasdep"/>
        </w:rPr>
        <w:footnoteReference w:id="1310"/>
      </w:r>
      <w:r w:rsidR="00C73E28" w:rsidRPr="00E72418">
        <w:t>.</w:t>
      </w:r>
    </w:p>
    <w:p w14:paraId="66BB1435" w14:textId="1DE709E3" w:rsidR="00C73E28" w:rsidRPr="00E72418" w:rsidRDefault="00462013" w:rsidP="00CC4BA8">
      <w:pPr>
        <w:spacing w:line="276" w:lineRule="auto"/>
        <w:rPr>
          <w:rFonts w:cs="Times New Roman"/>
        </w:rPr>
      </w:pPr>
      <w:r w:rsidRPr="00E72418">
        <w:rPr>
          <w:rFonts w:cs="Times New Roman"/>
        </w:rPr>
        <w:t>Alors que pour certains</w:t>
      </w:r>
      <w:r w:rsidR="00C73E28" w:rsidRPr="00E72418">
        <w:rPr>
          <w:rFonts w:cs="Times New Roman"/>
        </w:rPr>
        <w:t xml:space="preserve"> la mise en place d’une </w:t>
      </w:r>
      <w:r w:rsidR="001243C1" w:rsidRPr="00E72418">
        <w:rPr>
          <w:rFonts w:cs="Times New Roman"/>
        </w:rPr>
        <w:t xml:space="preserve">réglementation </w:t>
      </w:r>
      <w:r w:rsidR="00C73E28" w:rsidRPr="00E72418">
        <w:rPr>
          <w:rFonts w:cs="Times New Roman"/>
        </w:rPr>
        <w:t xml:space="preserve">des activités des fonds spéculatifs repose sur l’idée que les </w:t>
      </w:r>
      <w:r w:rsidR="00C73E28" w:rsidRPr="00E72418">
        <w:rPr>
          <w:lang w:eastAsia="fr-BE"/>
        </w:rPr>
        <w:t>É</w:t>
      </w:r>
      <w:r w:rsidR="00C73E28" w:rsidRPr="00E72418">
        <w:rPr>
          <w:rFonts w:cs="Times New Roman"/>
        </w:rPr>
        <w:t xml:space="preserve">tats débiteurs en situation financière difficile doivent être protégés </w:t>
      </w:r>
      <w:r w:rsidRPr="00E72418">
        <w:rPr>
          <w:rFonts w:cs="Times New Roman"/>
        </w:rPr>
        <w:t>même si ce</w:t>
      </w:r>
      <w:r w:rsidR="00C73E28" w:rsidRPr="00E72418">
        <w:rPr>
          <w:rFonts w:cs="Times New Roman"/>
        </w:rPr>
        <w:t xml:space="preserve">la </w:t>
      </w:r>
      <w:r w:rsidRPr="00E72418">
        <w:rPr>
          <w:rFonts w:cs="Times New Roman"/>
        </w:rPr>
        <w:t>doit se faire</w:t>
      </w:r>
      <w:r w:rsidR="00C73E28" w:rsidRPr="00E72418">
        <w:rPr>
          <w:rFonts w:cs="Times New Roman"/>
        </w:rPr>
        <w:t xml:space="preserve"> au détriment du droit de propriété de </w:t>
      </w:r>
      <w:r w:rsidRPr="00E72418">
        <w:rPr>
          <w:rFonts w:cs="Times New Roman"/>
        </w:rPr>
        <w:t xml:space="preserve">leurs </w:t>
      </w:r>
      <w:r w:rsidR="00C73E28" w:rsidRPr="00E72418">
        <w:rPr>
          <w:rFonts w:cs="Times New Roman"/>
        </w:rPr>
        <w:t xml:space="preserve">créanciers, à plus forte raison si ces derniers sont des créanciers secondaires spéculatifs, il nous apparaît toutefois que les intérêts des uns ne sauraient être complètement sacrifiés aux bénéfices de ceux des autres. Une résolution </w:t>
      </w:r>
      <w:r w:rsidR="003459BA" w:rsidRPr="00E72418">
        <w:rPr>
          <w:rFonts w:cs="Times New Roman"/>
        </w:rPr>
        <w:t xml:space="preserve">manichéenne </w:t>
      </w:r>
      <w:r w:rsidR="00C73E28" w:rsidRPr="00E72418">
        <w:rPr>
          <w:rFonts w:cs="Times New Roman"/>
        </w:rPr>
        <w:t xml:space="preserve">de la question </w:t>
      </w:r>
      <w:r w:rsidRPr="00E72418">
        <w:rPr>
          <w:rFonts w:cs="Times New Roman"/>
        </w:rPr>
        <w:t xml:space="preserve">étant insatisfaisante, une approche nuancée du phénomène spéculatif sur les dettes souveraines </w:t>
      </w:r>
      <w:r w:rsidR="00582AEA" w:rsidRPr="00E72418">
        <w:rPr>
          <w:rFonts w:cs="Times New Roman"/>
        </w:rPr>
        <w:t xml:space="preserve">nous paraît </w:t>
      </w:r>
      <w:r w:rsidRPr="00E72418">
        <w:rPr>
          <w:rFonts w:cs="Times New Roman"/>
        </w:rPr>
        <w:t>souhaitable</w:t>
      </w:r>
      <w:r w:rsidRPr="00E72418">
        <w:t>.</w:t>
      </w:r>
      <w:r w:rsidR="0028086A" w:rsidRPr="00E72418">
        <w:t xml:space="preserve"> Comme le note d’ailleurs Alexia Autenne, « [l]</w:t>
      </w:r>
      <w:r w:rsidR="00B3200D" w:rsidRPr="00E72418">
        <w:t xml:space="preserve">a relation qu’entretient un </w:t>
      </w:r>
      <w:r w:rsidR="00B3200D" w:rsidRPr="00E72418">
        <w:rPr>
          <w:rFonts w:ascii="Times New Roman" w:hAnsi="Times New Roman" w:cs="Times New Roman"/>
          <w:lang w:eastAsia="fr-BE"/>
        </w:rPr>
        <w:t>É</w:t>
      </w:r>
      <w:r w:rsidR="0028086A" w:rsidRPr="00E72418">
        <w:t>tat avec son créancier souverain n’est pas toujours réductible à une lutte inégale entre le “méchant” prédateur et la “gentille” puissance publique au service de l’intérêt général »</w:t>
      </w:r>
      <w:r w:rsidR="00B54FC9" w:rsidRPr="00E72418">
        <w:rPr>
          <w:rStyle w:val="Appelnotedebasdep"/>
        </w:rPr>
        <w:footnoteReference w:id="1311"/>
      </w:r>
      <w:r w:rsidR="0028086A" w:rsidRPr="00E72418">
        <w:t>.</w:t>
      </w:r>
    </w:p>
    <w:p w14:paraId="32033130" w14:textId="77777777" w:rsidR="00C73E28" w:rsidRPr="00E72418" w:rsidRDefault="00C73E28" w:rsidP="0054314B"/>
    <w:p w14:paraId="3F82C28C" w14:textId="673F32E6" w:rsidR="00561F0D" w:rsidRPr="00E72418" w:rsidRDefault="00BF6CE7" w:rsidP="00CC4BA8">
      <w:pPr>
        <w:spacing w:line="276" w:lineRule="auto"/>
      </w:pPr>
      <w:r w:rsidRPr="00E72418">
        <w:rPr>
          <w:b/>
        </w:rPr>
        <w:t>266</w:t>
      </w:r>
      <w:r w:rsidR="00A9718E" w:rsidRPr="00E72418">
        <w:rPr>
          <w:b/>
        </w:rPr>
        <w:t xml:space="preserve">. </w:t>
      </w:r>
      <w:r w:rsidR="00C73E28" w:rsidRPr="00E72418">
        <w:rPr>
          <w:b/>
        </w:rPr>
        <w:t xml:space="preserve">Une attitude </w:t>
      </w:r>
      <w:r w:rsidR="00582AEA" w:rsidRPr="00E72418">
        <w:rPr>
          <w:b/>
        </w:rPr>
        <w:t xml:space="preserve">cohérente </w:t>
      </w:r>
      <w:r w:rsidR="00C73E28" w:rsidRPr="00E72418">
        <w:rPr>
          <w:b/>
        </w:rPr>
        <w:t xml:space="preserve">des </w:t>
      </w:r>
      <w:r w:rsidR="00C73E28" w:rsidRPr="00E72418">
        <w:rPr>
          <w:b/>
          <w:lang w:eastAsia="fr-BE"/>
        </w:rPr>
        <w:t>É</w:t>
      </w:r>
      <w:r w:rsidR="00C73E28" w:rsidRPr="00E72418">
        <w:rPr>
          <w:b/>
        </w:rPr>
        <w:t xml:space="preserve">tats créanciers – </w:t>
      </w:r>
      <w:r w:rsidR="00C73E28" w:rsidRPr="00E72418">
        <w:t xml:space="preserve">Pour les </w:t>
      </w:r>
      <w:r w:rsidR="00C73E28" w:rsidRPr="00E72418">
        <w:rPr>
          <w:lang w:eastAsia="fr-BE"/>
        </w:rPr>
        <w:t>É</w:t>
      </w:r>
      <w:r w:rsidR="00C73E28" w:rsidRPr="00E72418">
        <w:t xml:space="preserve">tats créanciers accordant des allègements ou des suppressions de dettes à d’autres </w:t>
      </w:r>
      <w:r w:rsidR="00C73E28" w:rsidRPr="00E72418">
        <w:rPr>
          <w:lang w:eastAsia="fr-BE"/>
        </w:rPr>
        <w:t>É</w:t>
      </w:r>
      <w:r w:rsidR="00C73E28" w:rsidRPr="00E72418">
        <w:t xml:space="preserve">tats débiteurs, il paraît logique de s’atteler </w:t>
      </w:r>
      <w:r w:rsidR="00C73E28" w:rsidRPr="00E72418">
        <w:lastRenderedPageBreak/>
        <w:t xml:space="preserve">à empêcher les comportements abusifs </w:t>
      </w:r>
      <w:r w:rsidR="00462013" w:rsidRPr="00E72418">
        <w:t>tirant</w:t>
      </w:r>
      <w:r w:rsidR="00C73E28" w:rsidRPr="00E72418">
        <w:t xml:space="preserve"> </w:t>
      </w:r>
      <w:r w:rsidR="00462013" w:rsidRPr="00E72418">
        <w:t>profit de ces</w:t>
      </w:r>
      <w:r w:rsidR="00C73E28" w:rsidRPr="00E72418">
        <w:t xml:space="preserve"> concessions. La même consistance </w:t>
      </w:r>
      <w:r w:rsidR="00462013" w:rsidRPr="00E72418">
        <w:t>s’impose aux</w:t>
      </w:r>
      <w:r w:rsidR="00C73E28" w:rsidRPr="00E72418">
        <w:t xml:space="preserve"> </w:t>
      </w:r>
      <w:r w:rsidR="00C73E28" w:rsidRPr="00E72418">
        <w:rPr>
          <w:lang w:eastAsia="fr-BE"/>
        </w:rPr>
        <w:t>É</w:t>
      </w:r>
      <w:r w:rsidR="00C73E28" w:rsidRPr="00E72418">
        <w:t>tats qui octroient des sommes au titre de l’aide au développement</w:t>
      </w:r>
      <w:r w:rsidR="00C73E28" w:rsidRPr="00E72418">
        <w:rPr>
          <w:rStyle w:val="Appelnotedebasdep"/>
        </w:rPr>
        <w:footnoteReference w:id="1312"/>
      </w:r>
      <w:r w:rsidR="00C73E28" w:rsidRPr="00E72418">
        <w:t xml:space="preserve">. </w:t>
      </w:r>
    </w:p>
    <w:p w14:paraId="166E52F9" w14:textId="1FC0D076" w:rsidR="00C73E28" w:rsidRPr="00E72418" w:rsidRDefault="00462013" w:rsidP="00CC4BA8">
      <w:pPr>
        <w:spacing w:line="276" w:lineRule="auto"/>
      </w:pPr>
      <w:r w:rsidRPr="00E72418">
        <w:t>Il échet de</w:t>
      </w:r>
      <w:r w:rsidR="00C73E28" w:rsidRPr="00E72418">
        <w:t xml:space="preserve"> corriger </w:t>
      </w:r>
      <w:r w:rsidRPr="00E72418">
        <w:t>une forme d’incohérence</w:t>
      </w:r>
      <w:r w:rsidR="00C73E28" w:rsidRPr="00E72418">
        <w:t xml:space="preserve"> existant entre</w:t>
      </w:r>
      <w:r w:rsidRPr="00E72418">
        <w:t>, d’une part,</w:t>
      </w:r>
      <w:r w:rsidR="00C73E28" w:rsidRPr="00E72418">
        <w:t xml:space="preserve"> le fait que le droit permette aux fonds spéculatifs d</w:t>
      </w:r>
      <w:r w:rsidRPr="00E72418">
        <w:t xml:space="preserve">e développer leurs activités, d’autre part, </w:t>
      </w:r>
      <w:r w:rsidR="00C73E28" w:rsidRPr="00E72418">
        <w:t xml:space="preserve">le fait que les politiques visent à venir en aide aux </w:t>
      </w:r>
      <w:r w:rsidR="00C73E28" w:rsidRPr="00E72418">
        <w:rPr>
          <w:lang w:eastAsia="fr-BE"/>
        </w:rPr>
        <w:t>É</w:t>
      </w:r>
      <w:r w:rsidR="00C73E28" w:rsidRPr="00E72418">
        <w:t>tats débiteurs en difficulté</w:t>
      </w:r>
      <w:r w:rsidR="00C73E28" w:rsidRPr="00E72418">
        <w:rPr>
          <w:rStyle w:val="Appelnotedebasdep"/>
          <w:rFonts w:cs="Times New Roman"/>
          <w:szCs w:val="24"/>
        </w:rPr>
        <w:footnoteReference w:id="1313"/>
      </w:r>
      <w:r w:rsidR="00C73E28" w:rsidRPr="00E72418">
        <w:t xml:space="preserve">. Cette recherche de </w:t>
      </w:r>
      <w:r w:rsidR="00561F0D" w:rsidRPr="00E72418">
        <w:t>cohérence</w:t>
      </w:r>
      <w:r w:rsidR="007520B5" w:rsidRPr="00E72418">
        <w:t>, à laquelle s’ajoute l’intérêt de possib</w:t>
      </w:r>
      <w:r w:rsidR="00527C72" w:rsidRPr="00E72418">
        <w:t>les effets diplomatiques positif</w:t>
      </w:r>
      <w:r w:rsidR="007520B5" w:rsidRPr="00E72418">
        <w:t>s</w:t>
      </w:r>
      <w:r w:rsidR="007520B5" w:rsidRPr="00E72418">
        <w:rPr>
          <w:rStyle w:val="Appelnotedebasdep"/>
        </w:rPr>
        <w:footnoteReference w:id="1314"/>
      </w:r>
      <w:r w:rsidR="007520B5" w:rsidRPr="00E72418">
        <w:t>,</w:t>
      </w:r>
      <w:r w:rsidR="00561F0D" w:rsidRPr="00E72418">
        <w:t xml:space="preserve"> conduisit</w:t>
      </w:r>
      <w:r w:rsidR="00C73E28" w:rsidRPr="00E72418">
        <w:t xml:space="preserve"> </w:t>
      </w:r>
      <w:r w:rsidR="00561F0D" w:rsidRPr="00E72418">
        <w:t>certains</w:t>
      </w:r>
      <w:r w:rsidR="00C73E28" w:rsidRPr="00E72418">
        <w:t xml:space="preserve"> </w:t>
      </w:r>
      <w:r w:rsidR="00C73E28" w:rsidRPr="00E72418">
        <w:rPr>
          <w:lang w:eastAsia="fr-BE"/>
        </w:rPr>
        <w:t>É</w:t>
      </w:r>
      <w:r w:rsidR="00C73E28" w:rsidRPr="00E72418">
        <w:t xml:space="preserve">tats </w:t>
      </w:r>
      <w:r w:rsidR="00561F0D" w:rsidRPr="00E72418">
        <w:t>comme</w:t>
      </w:r>
      <w:r w:rsidR="006E096A" w:rsidRPr="00E72418">
        <w:t xml:space="preserve"> </w:t>
      </w:r>
      <w:r w:rsidR="00561F0D" w:rsidRPr="00E72418">
        <w:t xml:space="preserve">les </w:t>
      </w:r>
      <w:r w:rsidR="00561F0D" w:rsidRPr="00E72418">
        <w:rPr>
          <w:lang w:eastAsia="fr-BE"/>
        </w:rPr>
        <w:t>É</w:t>
      </w:r>
      <w:r w:rsidR="00561F0D" w:rsidRPr="00E72418">
        <w:t>tats</w:t>
      </w:r>
      <w:r w:rsidR="006E096A" w:rsidRPr="00E72418">
        <w:t>-Unis, le Royaume-Uni,</w:t>
      </w:r>
      <w:r w:rsidR="00561F0D" w:rsidRPr="00E72418">
        <w:t xml:space="preserve"> la </w:t>
      </w:r>
      <w:r w:rsidR="006E096A" w:rsidRPr="00E72418">
        <w:t>Belgique et la France</w:t>
      </w:r>
      <w:r w:rsidR="00561F0D" w:rsidRPr="00E72418">
        <w:t xml:space="preserve"> à chercher à se doter d’une</w:t>
      </w:r>
      <w:r w:rsidR="00C73E28" w:rsidRPr="00E72418">
        <w:t xml:space="preserve"> législation visant la </w:t>
      </w:r>
      <w:r w:rsidR="001243C1" w:rsidRPr="00E72418">
        <w:t xml:space="preserve">réglementation </w:t>
      </w:r>
      <w:r w:rsidR="00C73E28" w:rsidRPr="00E72418">
        <w:t>des activités des fonds spéculatifs</w:t>
      </w:r>
      <w:r w:rsidR="00B25DA0" w:rsidRPr="00E72418">
        <w:rPr>
          <w:rStyle w:val="Appelnotedebasdep"/>
        </w:rPr>
        <w:footnoteReference w:id="1315"/>
      </w:r>
      <w:r w:rsidR="00C73E28" w:rsidRPr="00E72418">
        <w:t>.</w:t>
      </w:r>
    </w:p>
    <w:p w14:paraId="2171D354" w14:textId="4192B894" w:rsidR="00C73E28" w:rsidRPr="00E72418" w:rsidRDefault="00FC7E32" w:rsidP="00CC4BA8">
      <w:pPr>
        <w:spacing w:line="276" w:lineRule="auto"/>
      </w:pPr>
      <w:r w:rsidRPr="00E72418">
        <w:t xml:space="preserve">Comme le relevèrent, </w:t>
      </w:r>
      <w:r w:rsidR="00561F0D" w:rsidRPr="00E72418">
        <w:t>il y a plus de dix ans</w:t>
      </w:r>
      <w:r w:rsidRPr="00E72418">
        <w:t>,</w:t>
      </w:r>
      <w:r w:rsidR="00561F0D" w:rsidRPr="00E72418">
        <w:t xml:space="preserve"> </w:t>
      </w:r>
      <w:r w:rsidR="00C73E28" w:rsidRPr="00E72418">
        <w:t xml:space="preserve">des parlementaires français à l’initiative d’une proposition de loi visant à lutter </w:t>
      </w:r>
      <w:r w:rsidR="00C73E28" w:rsidRPr="00E72418">
        <w:rPr>
          <w:rFonts w:cs="Times New Roman"/>
        </w:rPr>
        <w:t>contre l’action des fonds financiers dits « fonds vautours »</w:t>
      </w:r>
      <w:r w:rsidR="00C73E28" w:rsidRPr="00E72418">
        <w:t>, il est « </w:t>
      </w:r>
      <w:r w:rsidR="00C73E28" w:rsidRPr="00E72418">
        <w:rPr>
          <w:rFonts w:ascii="TimesNewRoman" w:hAnsi="TimesNewRoman" w:cs="TimesNewRoman"/>
        </w:rPr>
        <w:t xml:space="preserve">absurde que l’Exécutif efface d’une main nos créances pour que le pouvoir judiciaire accorde de l’autre les sommes </w:t>
      </w:r>
      <w:r w:rsidR="00C73E28" w:rsidRPr="00E72418">
        <w:t>rendues disponibles aux usuriers »</w:t>
      </w:r>
      <w:r w:rsidR="00C73E28" w:rsidRPr="00E72418">
        <w:rPr>
          <w:rStyle w:val="Appelnotedebasdep"/>
        </w:rPr>
        <w:footnoteReference w:id="1316"/>
      </w:r>
      <w:r w:rsidR="00C73E28" w:rsidRPr="00E72418">
        <w:t xml:space="preserve">. Lors des travaux préparatoires de la loi </w:t>
      </w:r>
      <w:r w:rsidR="00561F0D" w:rsidRPr="00E72418">
        <w:t xml:space="preserve">anti-fonds spéculatifs française de 2016 </w:t>
      </w:r>
      <w:r w:rsidR="00C73E28" w:rsidRPr="00E72418">
        <w:t>le député Dominique Potier souligna également l’importance de « mettre fin aux pratiques de ces fonds procéduriers […] captant l’aide publique au développement »</w:t>
      </w:r>
      <w:r w:rsidR="00C73E28" w:rsidRPr="00E72418">
        <w:rPr>
          <w:rStyle w:val="Appelnotedebasdep"/>
        </w:rPr>
        <w:footnoteReference w:id="1317"/>
      </w:r>
      <w:r w:rsidR="00C73E28" w:rsidRPr="00E72418">
        <w:t xml:space="preserve">. L’argument de la consistance </w:t>
      </w:r>
      <w:r w:rsidR="00561F0D" w:rsidRPr="00E72418">
        <w:t>fut</w:t>
      </w:r>
      <w:r w:rsidR="00C73E28" w:rsidRPr="00E72418">
        <w:t xml:space="preserve"> également repris dans les propositions de législations étatsunien</w:t>
      </w:r>
      <w:r w:rsidR="0004079A" w:rsidRPr="00E72418">
        <w:t xml:space="preserve">nes </w:t>
      </w:r>
      <w:r w:rsidR="00561F0D" w:rsidRPr="00E72418">
        <w:t xml:space="preserve">des années 2000 </w:t>
      </w:r>
      <w:r w:rsidR="0004079A" w:rsidRPr="00E72418">
        <w:t>qui notaient notamment qu’</w:t>
      </w:r>
      <w:r w:rsidR="00C73E28" w:rsidRPr="00E72418">
        <w:t xml:space="preserve"> « [a]t the same time that the international community has been extending debt relief to the poor countries of the world, a new form of business has emerged for the purpose of speculating in and profiteering from defaulted sovereign debt at the expense of both the impoverished citizens of the poor nations and the taxpayers of the world who have participated in international debt relief »</w:t>
      </w:r>
      <w:r w:rsidR="00C73E28" w:rsidRPr="00E72418">
        <w:rPr>
          <w:rStyle w:val="Appelnotedebasdep"/>
        </w:rPr>
        <w:footnoteReference w:id="1318"/>
      </w:r>
      <w:r w:rsidR="00C73E28" w:rsidRPr="00E72418">
        <w:t xml:space="preserve">. Au Royaume-Uni, Sally Keeble se demandait lors des travaux préparatoires </w:t>
      </w:r>
      <w:r w:rsidR="00561F0D" w:rsidRPr="00E72418">
        <w:t xml:space="preserve">du </w:t>
      </w:r>
      <w:r w:rsidR="00561F0D" w:rsidRPr="00E72418">
        <w:rPr>
          <w:i/>
          <w:lang w:val="en-US"/>
        </w:rPr>
        <w:t>Debt Relief (Developing Countries) Act</w:t>
      </w:r>
      <w:r w:rsidR="00C73E28" w:rsidRPr="00E72418">
        <w:t xml:space="preserve"> britannique : « [w]hy should British taxpayers pay money to write off debts for developing countries when private, completely uncontrolled vulture funds can swoop in and cream off some of the money</w:t>
      </w:r>
      <w:r w:rsidR="00561F0D" w:rsidRPr="00E72418">
        <w:t xml:space="preserve"> </w:t>
      </w:r>
      <w:r w:rsidR="00C73E28" w:rsidRPr="00E72418">
        <w:t>? »</w:t>
      </w:r>
      <w:r w:rsidR="00C73E28" w:rsidRPr="00E72418">
        <w:rPr>
          <w:rStyle w:val="Appelnotedebasdep"/>
        </w:rPr>
        <w:footnoteReference w:id="1319"/>
      </w:r>
      <w:r w:rsidR="00C73E28" w:rsidRPr="00E72418">
        <w:t xml:space="preserve">. Finalement, </w:t>
      </w:r>
      <w:r w:rsidR="00C73E28" w:rsidRPr="00E72418">
        <w:lastRenderedPageBreak/>
        <w:t xml:space="preserve">en Belgique, l’on notait </w:t>
      </w:r>
      <w:r w:rsidR="00561F0D" w:rsidRPr="00E72418">
        <w:t xml:space="preserve">au Sénat </w:t>
      </w:r>
      <w:r w:rsidR="00C73E28" w:rsidRPr="00E72418">
        <w:t>l’objectif  d’</w:t>
      </w:r>
      <w:r w:rsidR="00074247" w:rsidRPr="00E72418">
        <w:t xml:space="preserve"> </w:t>
      </w:r>
      <w:r w:rsidR="00C73E28" w:rsidRPr="00E72418">
        <w:t xml:space="preserve">« éviter que les fruits </w:t>
      </w:r>
      <w:r w:rsidR="006E096A" w:rsidRPr="00E72418">
        <w:t xml:space="preserve">[…] </w:t>
      </w:r>
      <w:r w:rsidR="00C73E28" w:rsidRPr="00E72418">
        <w:t>des importantes remises de dettes que la Belgique veut réaliser à l’avenir ne soient utilisés de manière inappropriée à cause de certains créanciers véreux »</w:t>
      </w:r>
      <w:r w:rsidR="00C73E28" w:rsidRPr="00E72418">
        <w:rPr>
          <w:rStyle w:val="Appelnotedebasdep"/>
        </w:rPr>
        <w:footnoteReference w:id="1320"/>
      </w:r>
      <w:r w:rsidR="00C73E28" w:rsidRPr="00E72418">
        <w:t>.</w:t>
      </w:r>
    </w:p>
    <w:p w14:paraId="26C51230" w14:textId="77777777" w:rsidR="00386CFC" w:rsidRPr="00E72418" w:rsidRDefault="00386CFC" w:rsidP="0054314B"/>
    <w:p w14:paraId="49E1116B" w14:textId="70BEBE96" w:rsidR="007D6C51" w:rsidRPr="00E72418" w:rsidRDefault="00BF6CE7" w:rsidP="00CC4BA8">
      <w:pPr>
        <w:spacing w:line="276" w:lineRule="auto"/>
      </w:pPr>
      <w:r w:rsidRPr="00E72418">
        <w:rPr>
          <w:b/>
        </w:rPr>
        <w:t>267</w:t>
      </w:r>
      <w:r w:rsidR="00A9718E" w:rsidRPr="00E72418">
        <w:rPr>
          <w:b/>
        </w:rPr>
        <w:t xml:space="preserve">. </w:t>
      </w:r>
      <w:r w:rsidR="00386CFC" w:rsidRPr="00E72418">
        <w:rPr>
          <w:b/>
        </w:rPr>
        <w:t xml:space="preserve">La responsabilité des </w:t>
      </w:r>
      <w:r w:rsidR="00386CFC" w:rsidRPr="00E72418">
        <w:rPr>
          <w:b/>
          <w:lang w:eastAsia="fr-BE"/>
        </w:rPr>
        <w:t>É</w:t>
      </w:r>
      <w:r w:rsidR="00386CFC" w:rsidRPr="00E72418">
        <w:rPr>
          <w:b/>
        </w:rPr>
        <w:t>tats –</w:t>
      </w:r>
      <w:r w:rsidR="00386CFC" w:rsidRPr="00E72418">
        <w:t xml:space="preserve"> Outre la</w:t>
      </w:r>
      <w:r w:rsidR="00561F0D" w:rsidRPr="00E72418">
        <w:t xml:space="preserve"> recherche de </w:t>
      </w:r>
      <w:r w:rsidR="00386CFC" w:rsidRPr="00E72418">
        <w:t>consis</w:t>
      </w:r>
      <w:r w:rsidR="00CC5A04" w:rsidRPr="00E72418">
        <w:t xml:space="preserve">tance </w:t>
      </w:r>
      <w:r w:rsidR="00561F0D" w:rsidRPr="00E72418">
        <w:t>poussant</w:t>
      </w:r>
      <w:r w:rsidR="00CC5A04" w:rsidRPr="00E72418">
        <w:t xml:space="preserve"> les </w:t>
      </w:r>
      <w:r w:rsidR="00CC5A04" w:rsidRPr="00E72418">
        <w:rPr>
          <w:rFonts w:cs="Times New Roman"/>
          <w:szCs w:val="24"/>
        </w:rPr>
        <w:t>É</w:t>
      </w:r>
      <w:r w:rsidR="00386CFC" w:rsidRPr="00E72418">
        <w:t xml:space="preserve">tats dans la voie de la </w:t>
      </w:r>
      <w:r w:rsidR="001243C1" w:rsidRPr="00E72418">
        <w:t>réglementation</w:t>
      </w:r>
      <w:r w:rsidR="00386CFC" w:rsidRPr="00E72418">
        <w:t xml:space="preserve">, leur responsabilité devrait </w:t>
      </w:r>
      <w:r w:rsidR="00607DC5" w:rsidRPr="00E72418">
        <w:t xml:space="preserve">également </w:t>
      </w:r>
      <w:r w:rsidR="00386CFC" w:rsidRPr="00E72418">
        <w:t>les y conduire. En effet, l</w:t>
      </w:r>
      <w:r w:rsidR="00CC5A04" w:rsidRPr="00E72418">
        <w:rPr>
          <w:rFonts w:ascii="Times New Roman" w:hAnsi="Times New Roman" w:cs="Times New Roman"/>
          <w:szCs w:val="24"/>
        </w:rPr>
        <w:t xml:space="preserve">a responsabilité des </w:t>
      </w:r>
      <w:r w:rsidR="00CC5A04" w:rsidRPr="00E72418">
        <w:rPr>
          <w:rFonts w:cs="Times New Roman"/>
          <w:szCs w:val="24"/>
        </w:rPr>
        <w:t>É</w:t>
      </w:r>
      <w:r w:rsidR="00386CFC" w:rsidRPr="00E72418">
        <w:rPr>
          <w:rFonts w:ascii="Times New Roman" w:hAnsi="Times New Roman" w:cs="Times New Roman"/>
          <w:szCs w:val="24"/>
        </w:rPr>
        <w:t xml:space="preserve">tats de légiférer afin de </w:t>
      </w:r>
      <w:r w:rsidR="00802A9E" w:rsidRPr="00E72418">
        <w:rPr>
          <w:rFonts w:ascii="Times New Roman" w:hAnsi="Times New Roman" w:cs="Times New Roman"/>
          <w:szCs w:val="24"/>
        </w:rPr>
        <w:t xml:space="preserve">limiter </w:t>
      </w:r>
      <w:r w:rsidR="00386CFC" w:rsidRPr="00E72418">
        <w:rPr>
          <w:rFonts w:ascii="Times New Roman" w:hAnsi="Times New Roman" w:cs="Times New Roman"/>
          <w:szCs w:val="24"/>
        </w:rPr>
        <w:t xml:space="preserve">les activités des fonds spéculatifs </w:t>
      </w:r>
      <w:r w:rsidR="00607DC5" w:rsidRPr="00E72418">
        <w:rPr>
          <w:rFonts w:ascii="Times New Roman" w:hAnsi="Times New Roman" w:cs="Times New Roman"/>
          <w:szCs w:val="24"/>
        </w:rPr>
        <w:t xml:space="preserve">affectant négativement </w:t>
      </w:r>
      <w:r w:rsidR="00CC5A04" w:rsidRPr="00E72418">
        <w:rPr>
          <w:rFonts w:ascii="Times New Roman" w:hAnsi="Times New Roman" w:cs="Times New Roman"/>
          <w:szCs w:val="24"/>
        </w:rPr>
        <w:t xml:space="preserve">les populations des </w:t>
      </w:r>
      <w:r w:rsidR="00386CFC" w:rsidRPr="00E72418">
        <w:rPr>
          <w:rFonts w:ascii="Times New Roman" w:hAnsi="Times New Roman" w:cs="Times New Roman"/>
          <w:szCs w:val="24"/>
        </w:rPr>
        <w:t>débiteurs</w:t>
      </w:r>
      <w:r w:rsidR="00607DC5" w:rsidRPr="00E72418">
        <w:rPr>
          <w:rFonts w:ascii="Times New Roman" w:hAnsi="Times New Roman" w:cs="Times New Roman"/>
          <w:szCs w:val="24"/>
        </w:rPr>
        <w:t xml:space="preserve"> souverains</w:t>
      </w:r>
      <w:r w:rsidR="00386CFC" w:rsidRPr="00E72418">
        <w:rPr>
          <w:rFonts w:ascii="Times New Roman" w:hAnsi="Times New Roman" w:cs="Times New Roman"/>
          <w:szCs w:val="24"/>
        </w:rPr>
        <w:t xml:space="preserve"> peut être </w:t>
      </w:r>
      <w:r w:rsidR="00607DC5" w:rsidRPr="00E72418">
        <w:rPr>
          <w:rFonts w:ascii="Times New Roman" w:hAnsi="Times New Roman" w:cs="Times New Roman"/>
          <w:szCs w:val="24"/>
        </w:rPr>
        <w:t>trouvée</w:t>
      </w:r>
      <w:r w:rsidR="00386CFC" w:rsidRPr="00E72418">
        <w:rPr>
          <w:rFonts w:ascii="Times New Roman" w:hAnsi="Times New Roman" w:cs="Times New Roman"/>
          <w:szCs w:val="24"/>
        </w:rPr>
        <w:t xml:space="preserve"> dans l’article 2(1) du Pacte international relatif aux droits éc</w:t>
      </w:r>
      <w:r w:rsidR="00607DC5" w:rsidRPr="00E72418">
        <w:rPr>
          <w:rFonts w:ascii="Times New Roman" w:hAnsi="Times New Roman" w:cs="Times New Roman"/>
          <w:szCs w:val="24"/>
        </w:rPr>
        <w:t xml:space="preserve">onomiques, sociaux et culturels prévoyant que </w:t>
      </w:r>
      <w:r w:rsidR="00386CFC" w:rsidRPr="00E72418">
        <w:rPr>
          <w:rFonts w:ascii="Times New Roman" w:hAnsi="Times New Roman" w:cs="Times New Roman"/>
          <w:szCs w:val="24"/>
        </w:rPr>
        <w:t>« [c]</w:t>
      </w:r>
      <w:r w:rsidR="00386CFC" w:rsidRPr="00E72418">
        <w:rPr>
          <w:rFonts w:ascii="Times New Roman" w:hAnsi="Times New Roman" w:cs="Times New Roman"/>
          <w:szCs w:val="24"/>
          <w:shd w:val="clear" w:color="auto" w:fill="FFFFFF"/>
        </w:rPr>
        <w:t xml:space="preserve">hacun des </w:t>
      </w:r>
      <w:r w:rsidR="00386CFC" w:rsidRPr="00E72418">
        <w:rPr>
          <w:rFonts w:cs="Times New Roman"/>
          <w:szCs w:val="24"/>
        </w:rPr>
        <w:t>É</w:t>
      </w:r>
      <w:r w:rsidR="00386CFC" w:rsidRPr="00E72418">
        <w:rPr>
          <w:rFonts w:ascii="Times New Roman" w:hAnsi="Times New Roman" w:cs="Times New Roman"/>
          <w:szCs w:val="24"/>
          <w:shd w:val="clear" w:color="auto" w:fill="FFFFFF"/>
        </w:rPr>
        <w:t>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 »</w:t>
      </w:r>
      <w:r w:rsidR="00924D6E" w:rsidRPr="00E72418">
        <w:rPr>
          <w:rStyle w:val="Appelnotedebasdep"/>
          <w:rFonts w:ascii="Times New Roman" w:hAnsi="Times New Roman" w:cs="Times New Roman"/>
          <w:szCs w:val="24"/>
          <w:shd w:val="clear" w:color="auto" w:fill="FFFFFF"/>
        </w:rPr>
        <w:footnoteReference w:id="1321"/>
      </w:r>
      <w:r w:rsidR="00386CFC" w:rsidRPr="00E72418">
        <w:rPr>
          <w:rFonts w:ascii="Times New Roman" w:hAnsi="Times New Roman" w:cs="Times New Roman"/>
          <w:szCs w:val="24"/>
          <w:shd w:val="clear" w:color="auto" w:fill="FFFFFF"/>
        </w:rPr>
        <w:t xml:space="preserve">. </w:t>
      </w:r>
      <w:r w:rsidR="00607DC5" w:rsidRPr="00E72418">
        <w:rPr>
          <w:rFonts w:ascii="Times New Roman" w:hAnsi="Times New Roman" w:cs="Times New Roman"/>
          <w:szCs w:val="24"/>
          <w:shd w:val="clear" w:color="auto" w:fill="FFFFFF"/>
        </w:rPr>
        <w:t>Dans un sens similaire, l</w:t>
      </w:r>
      <w:r w:rsidR="00607DC5" w:rsidRPr="00E72418">
        <w:rPr>
          <w:rFonts w:cs="Times New Roman"/>
        </w:rPr>
        <w:t xml:space="preserve">’article 2(2) du </w:t>
      </w:r>
      <w:r w:rsidR="00607DC5" w:rsidRPr="00E72418">
        <w:t>Pacte international relatif aux droits civils et politiques</w:t>
      </w:r>
      <w:r w:rsidR="00607DC5" w:rsidRPr="00E72418">
        <w:rPr>
          <w:rFonts w:ascii="Times New Roman" w:hAnsi="Times New Roman" w:cs="Times New Roman"/>
          <w:szCs w:val="24"/>
        </w:rPr>
        <w:t xml:space="preserve"> </w:t>
      </w:r>
      <w:r w:rsidR="00386CFC" w:rsidRPr="00E72418">
        <w:t>dispose q</w:t>
      </w:r>
      <w:r w:rsidR="00386CFC" w:rsidRPr="00E72418">
        <w:rPr>
          <w:shd w:val="clear" w:color="auto" w:fill="FFFFFF"/>
        </w:rPr>
        <w:t>ue « </w:t>
      </w:r>
      <w:r w:rsidR="00386CFC" w:rsidRPr="00E72418">
        <w:rPr>
          <w:rFonts w:cs="Times New Roman"/>
        </w:rPr>
        <w:t>[l]</w:t>
      </w:r>
      <w:r w:rsidR="00386CFC" w:rsidRPr="00E72418">
        <w:rPr>
          <w:shd w:val="clear" w:color="auto" w:fill="FFFFFF"/>
        </w:rPr>
        <w:t xml:space="preserve">es </w:t>
      </w:r>
      <w:r w:rsidR="00386CFC" w:rsidRPr="00E72418">
        <w:rPr>
          <w:lang w:eastAsia="fr-BE"/>
        </w:rPr>
        <w:t>É</w:t>
      </w:r>
      <w:r w:rsidR="00386CFC" w:rsidRPr="00E72418">
        <w:rPr>
          <w:shd w:val="clear" w:color="auto" w:fill="FFFFFF"/>
        </w:rPr>
        <w:t>tats parties au présent Pacte s’e</w:t>
      </w:r>
      <w:r w:rsidR="00607DC5" w:rsidRPr="00E72418">
        <w:rPr>
          <w:shd w:val="clear" w:color="auto" w:fill="FFFFFF"/>
        </w:rPr>
        <w:t>ngagent à prendre</w:t>
      </w:r>
      <w:r w:rsidR="00386CFC" w:rsidRPr="00E72418">
        <w:rPr>
          <w:shd w:val="clear" w:color="auto" w:fill="FFFFFF"/>
        </w:rPr>
        <w:t xml:space="preserve"> </w:t>
      </w:r>
      <w:r w:rsidR="00607DC5" w:rsidRPr="00E72418">
        <w:rPr>
          <w:rFonts w:cs="Times New Roman"/>
        </w:rPr>
        <w:t xml:space="preserve">[…] </w:t>
      </w:r>
      <w:r w:rsidR="00386CFC" w:rsidRPr="00E72418">
        <w:rPr>
          <w:shd w:val="clear" w:color="auto" w:fill="FFFFFF"/>
        </w:rPr>
        <w:t>les arrangements devan</w:t>
      </w:r>
      <w:r w:rsidR="00607DC5" w:rsidRPr="00E72418">
        <w:rPr>
          <w:shd w:val="clear" w:color="auto" w:fill="FFFFFF"/>
        </w:rPr>
        <w:t xml:space="preserve">t permettre l’adoption de </w:t>
      </w:r>
      <w:r w:rsidR="00607DC5" w:rsidRPr="00E72418">
        <w:rPr>
          <w:rFonts w:cs="Times New Roman"/>
        </w:rPr>
        <w:t>[…]</w:t>
      </w:r>
      <w:r w:rsidR="00386CFC" w:rsidRPr="00E72418">
        <w:rPr>
          <w:shd w:val="clear" w:color="auto" w:fill="FFFFFF"/>
        </w:rPr>
        <w:t xml:space="preserve"> mesures d’ordre législatif ou autre, propres à donner effet aux droits reconnus dans le présent Pacte qui ne seraient pas déjà en vigueur »</w:t>
      </w:r>
      <w:r w:rsidR="00386CFC" w:rsidRPr="00E72418">
        <w:rPr>
          <w:rFonts w:ascii="Times New Roman" w:hAnsi="Times New Roman" w:cs="Times New Roman"/>
          <w:szCs w:val="24"/>
          <w:shd w:val="clear" w:color="auto" w:fill="FFFFFF"/>
        </w:rPr>
        <w:t>.</w:t>
      </w:r>
      <w:r w:rsidR="005258D9" w:rsidRPr="00E72418">
        <w:rPr>
          <w:rFonts w:ascii="Times New Roman" w:hAnsi="Times New Roman" w:cs="Times New Roman"/>
          <w:szCs w:val="24"/>
          <w:shd w:val="clear" w:color="auto" w:fill="FFFFFF"/>
        </w:rPr>
        <w:t xml:space="preserve"> Les </w:t>
      </w:r>
      <w:r w:rsidR="005258D9" w:rsidRPr="00E72418">
        <w:rPr>
          <w:rFonts w:cs="Times New Roman"/>
          <w:szCs w:val="24"/>
        </w:rPr>
        <w:t>É</w:t>
      </w:r>
      <w:r w:rsidR="002954F0" w:rsidRPr="00E72418">
        <w:rPr>
          <w:rFonts w:ascii="Times New Roman" w:hAnsi="Times New Roman" w:cs="Times New Roman"/>
          <w:szCs w:val="24"/>
          <w:shd w:val="clear" w:color="auto" w:fill="FFFFFF"/>
        </w:rPr>
        <w:t>tats parties à ces deux instruments doivent ainsi faire ce qui est en leur pouvoir afin de contrer des comportements attentatoires aux droits qui y sont cons</w:t>
      </w:r>
      <w:r w:rsidR="005258D9" w:rsidRPr="00E72418">
        <w:rPr>
          <w:rFonts w:ascii="Times New Roman" w:hAnsi="Times New Roman" w:cs="Times New Roman"/>
          <w:szCs w:val="24"/>
          <w:shd w:val="clear" w:color="auto" w:fill="FFFFFF"/>
        </w:rPr>
        <w:t>acrés</w:t>
      </w:r>
      <w:r w:rsidR="00B54DB4" w:rsidRPr="00E72418">
        <w:rPr>
          <w:rStyle w:val="Appelnotedebasdep"/>
          <w:rFonts w:ascii="Times New Roman" w:hAnsi="Times New Roman" w:cs="Times New Roman"/>
          <w:szCs w:val="24"/>
          <w:shd w:val="clear" w:color="auto" w:fill="FFFFFF"/>
        </w:rPr>
        <w:footnoteReference w:id="1322"/>
      </w:r>
      <w:r w:rsidR="005258D9" w:rsidRPr="00E72418">
        <w:rPr>
          <w:rFonts w:ascii="Times New Roman" w:hAnsi="Times New Roman" w:cs="Times New Roman"/>
          <w:szCs w:val="24"/>
          <w:shd w:val="clear" w:color="auto" w:fill="FFFFFF"/>
        </w:rPr>
        <w:t xml:space="preserve">. Cette responsabilité peut, à notre sens, être prise en adoptant des </w:t>
      </w:r>
      <w:r w:rsidR="00845D92" w:rsidRPr="00E72418">
        <w:rPr>
          <w:rFonts w:ascii="Times New Roman" w:hAnsi="Times New Roman" w:cs="Times New Roman"/>
          <w:szCs w:val="24"/>
          <w:shd w:val="clear" w:color="auto" w:fill="FFFFFF"/>
        </w:rPr>
        <w:t>lois</w:t>
      </w:r>
      <w:r w:rsidR="005258D9" w:rsidRPr="00E72418">
        <w:rPr>
          <w:rFonts w:ascii="Times New Roman" w:hAnsi="Times New Roman" w:cs="Times New Roman"/>
          <w:szCs w:val="24"/>
          <w:shd w:val="clear" w:color="auto" w:fill="FFFFFF"/>
        </w:rPr>
        <w:t xml:space="preserve"> visant à assurer le respect de ces droits. S’engager dans la voie de la limitation des prétentions des créanciers spéculatifs de sorte que leurs actions judiciaires n’entament pas les droits des populations des </w:t>
      </w:r>
      <w:r w:rsidR="005258D9" w:rsidRPr="00E72418">
        <w:rPr>
          <w:rFonts w:cs="Times New Roman"/>
          <w:szCs w:val="24"/>
        </w:rPr>
        <w:t>É</w:t>
      </w:r>
      <w:r w:rsidR="005258D9" w:rsidRPr="00E72418">
        <w:rPr>
          <w:rFonts w:ascii="Times New Roman" w:hAnsi="Times New Roman" w:cs="Times New Roman"/>
          <w:szCs w:val="24"/>
          <w:shd w:val="clear" w:color="auto" w:fill="FFFFFF"/>
        </w:rPr>
        <w:t>tats débiteurs est pour nous un moyen utile au r</w:t>
      </w:r>
      <w:r w:rsidR="00932D4E" w:rsidRPr="00E72418">
        <w:rPr>
          <w:rFonts w:ascii="Times New Roman" w:hAnsi="Times New Roman" w:cs="Times New Roman"/>
          <w:szCs w:val="24"/>
          <w:shd w:val="clear" w:color="auto" w:fill="FFFFFF"/>
        </w:rPr>
        <w:t>espect des deux Pactes précités.</w:t>
      </w:r>
    </w:p>
    <w:p w14:paraId="1A31CCC3" w14:textId="22EDDA0B" w:rsidR="00A02DAE" w:rsidRPr="00E72418" w:rsidRDefault="00A02DAE">
      <w:pPr>
        <w:jc w:val="left"/>
        <w:rPr>
          <w:rFonts w:ascii="Times New Roman" w:eastAsiaTheme="majorEastAsia" w:hAnsi="Times New Roman" w:cstheme="majorBidi"/>
          <w:b/>
          <w:sz w:val="40"/>
          <w:szCs w:val="26"/>
          <w:u w:val="single"/>
        </w:rPr>
      </w:pPr>
      <w:bookmarkStart w:id="294" w:name="_Toc75106102"/>
      <w:bookmarkStart w:id="295" w:name="_Toc84540958"/>
      <w:r w:rsidRPr="00E72418">
        <w:br w:type="page"/>
      </w:r>
    </w:p>
    <w:p w14:paraId="795407F3" w14:textId="77777777" w:rsidR="000F20AD" w:rsidRPr="00E72418" w:rsidRDefault="000F20AD">
      <w:pPr>
        <w:jc w:val="left"/>
        <w:rPr>
          <w:rFonts w:ascii="Times New Roman" w:eastAsiaTheme="majorEastAsia" w:hAnsi="Times New Roman" w:cstheme="majorBidi"/>
          <w:b/>
          <w:sz w:val="40"/>
          <w:szCs w:val="26"/>
          <w:u w:val="single"/>
        </w:rPr>
      </w:pPr>
      <w:r w:rsidRPr="00E72418">
        <w:lastRenderedPageBreak/>
        <w:br w:type="page"/>
      </w:r>
    </w:p>
    <w:p w14:paraId="163A419A" w14:textId="50B44628" w:rsidR="00D302B7" w:rsidRDefault="00D302B7" w:rsidP="00D302B7"/>
    <w:p w14:paraId="2EF44745" w14:textId="79B653D1" w:rsidR="00D302B7" w:rsidRDefault="00D302B7" w:rsidP="00D302B7"/>
    <w:p w14:paraId="62BA7023" w14:textId="595CDD3C" w:rsidR="00D302B7" w:rsidRDefault="00D302B7" w:rsidP="00D302B7"/>
    <w:p w14:paraId="5AA01C70" w14:textId="31846DA1" w:rsidR="00D302B7" w:rsidRDefault="00D302B7" w:rsidP="00D302B7"/>
    <w:p w14:paraId="406E7535" w14:textId="0A940AD1" w:rsidR="00D302B7" w:rsidRDefault="00D302B7" w:rsidP="00D302B7"/>
    <w:p w14:paraId="6C6FAA52" w14:textId="6E8CE508" w:rsidR="00D302B7" w:rsidRDefault="00D302B7" w:rsidP="00D302B7"/>
    <w:p w14:paraId="2E3B586C" w14:textId="15FBA706" w:rsidR="00D302B7" w:rsidRDefault="00D302B7" w:rsidP="00D302B7"/>
    <w:p w14:paraId="72434062" w14:textId="5B740949" w:rsidR="00D302B7" w:rsidRDefault="00D302B7" w:rsidP="00D302B7"/>
    <w:p w14:paraId="0D952C5C" w14:textId="259B2573" w:rsidR="00D302B7" w:rsidRDefault="00D302B7" w:rsidP="00D302B7"/>
    <w:p w14:paraId="4BF86F9D" w14:textId="475DD68D" w:rsidR="00D302B7" w:rsidRDefault="00D302B7" w:rsidP="00D302B7"/>
    <w:p w14:paraId="75FCC37A" w14:textId="5D0FE1F1" w:rsidR="00D302B7" w:rsidRDefault="00D302B7" w:rsidP="00D302B7"/>
    <w:p w14:paraId="455BC83F" w14:textId="77777777" w:rsidR="00D302B7" w:rsidRDefault="00D302B7" w:rsidP="00D302B7"/>
    <w:p w14:paraId="5A660572" w14:textId="3BA07877" w:rsidR="007D6C51" w:rsidRPr="00E72418" w:rsidRDefault="007D6C51" w:rsidP="00CC4BA8">
      <w:pPr>
        <w:pStyle w:val="AA"/>
        <w:spacing w:afterLines="60" w:after="144" w:line="276" w:lineRule="auto"/>
        <w:jc w:val="center"/>
      </w:pPr>
      <w:r w:rsidRPr="00E72418">
        <w:t>Partie II : La recherche d’une solution mesurée</w:t>
      </w:r>
      <w:r w:rsidR="00740198" w:rsidRPr="00E72418">
        <w:t xml:space="preserve"> et sur </w:t>
      </w:r>
      <w:r w:rsidR="00E2175A" w:rsidRPr="00E72418">
        <w:t>mesure</w:t>
      </w:r>
      <w:bookmarkEnd w:id="294"/>
      <w:bookmarkEnd w:id="295"/>
    </w:p>
    <w:p w14:paraId="198ABCE4" w14:textId="34844959" w:rsidR="00A02DAE" w:rsidRPr="00E72418" w:rsidRDefault="00A02DAE" w:rsidP="00CC4BA8">
      <w:pPr>
        <w:spacing w:line="276" w:lineRule="auto"/>
      </w:pPr>
    </w:p>
    <w:p w14:paraId="6E6361F6" w14:textId="77777777" w:rsidR="007D6C51" w:rsidRPr="00E72418" w:rsidRDefault="007D6C51" w:rsidP="00CC4BA8">
      <w:pPr>
        <w:spacing w:line="276" w:lineRule="auto"/>
      </w:pPr>
    </w:p>
    <w:p w14:paraId="75B217A5" w14:textId="77777777" w:rsidR="007D6C51" w:rsidRPr="00E72418" w:rsidRDefault="007D6C51" w:rsidP="00CC4BA8">
      <w:pPr>
        <w:spacing w:line="276" w:lineRule="auto"/>
        <w:ind w:left="4248"/>
        <w:rPr>
          <w:rFonts w:ascii="Times New Roman" w:hAnsi="Times New Roman" w:cs="Times New Roman"/>
          <w:spacing w:val="8"/>
          <w:sz w:val="20"/>
          <w:szCs w:val="20"/>
          <w:shd w:val="clear" w:color="auto" w:fill="FFFFFF"/>
        </w:rPr>
      </w:pPr>
      <w:r w:rsidRPr="00E72418">
        <w:rPr>
          <w:rFonts w:ascii="Times New Roman" w:hAnsi="Times New Roman" w:cs="Times New Roman"/>
          <w:sz w:val="20"/>
          <w:szCs w:val="20"/>
        </w:rPr>
        <w:t>« </w:t>
      </w:r>
      <w:r w:rsidRPr="00E72418">
        <w:rPr>
          <w:rFonts w:ascii="Times New Roman" w:hAnsi="Times New Roman" w:cs="Times New Roman"/>
          <w:spacing w:val="8"/>
          <w:sz w:val="20"/>
          <w:szCs w:val="20"/>
          <w:shd w:val="clear" w:color="auto" w:fill="FFFFFF"/>
        </w:rPr>
        <w:t>Le paiement des dettes est nécessaire à l’ordre social. Le non-paiement des dettes est tout aussi nécessaire à l’ordre social. Entre ces deux nécessités contradictoires, l’humanité oscille depuis des siècles avec une belle inconscience ».</w:t>
      </w:r>
    </w:p>
    <w:p w14:paraId="4C4209C1" w14:textId="77777777" w:rsidR="007D6C51" w:rsidRPr="00E72418" w:rsidRDefault="007D6C51" w:rsidP="00CC4BA8">
      <w:pPr>
        <w:spacing w:line="276" w:lineRule="auto"/>
        <w:ind w:left="4248"/>
        <w:jc w:val="right"/>
        <w:rPr>
          <w:rFonts w:ascii="Times New Roman" w:hAnsi="Times New Roman" w:cs="Times New Roman"/>
          <w:spacing w:val="8"/>
          <w:sz w:val="20"/>
          <w:szCs w:val="20"/>
          <w:shd w:val="clear" w:color="auto" w:fill="FFFFFF"/>
        </w:rPr>
      </w:pPr>
    </w:p>
    <w:p w14:paraId="1C7D11D9" w14:textId="0B9869F3" w:rsidR="00326543" w:rsidRPr="00E72418" w:rsidRDefault="007D6C51" w:rsidP="00CC4BA8">
      <w:pPr>
        <w:spacing w:line="276" w:lineRule="auto"/>
        <w:jc w:val="right"/>
      </w:pPr>
      <w:r w:rsidRPr="00E72418">
        <w:rPr>
          <w:rFonts w:ascii="Times New Roman" w:hAnsi="Times New Roman" w:cs="Times New Roman"/>
          <w:spacing w:val="8"/>
          <w:sz w:val="20"/>
          <w:szCs w:val="20"/>
          <w:shd w:val="clear" w:color="auto" w:fill="FFFFFF"/>
        </w:rPr>
        <w:t xml:space="preserve">Simone Weil, </w:t>
      </w:r>
      <w:r w:rsidRPr="00E72418">
        <w:rPr>
          <w:rFonts w:ascii="Times New Roman" w:hAnsi="Times New Roman" w:cs="Times New Roman"/>
          <w:i/>
          <w:sz w:val="20"/>
          <w:szCs w:val="20"/>
          <w:shd w:val="clear" w:color="auto" w:fill="FFFFFF"/>
        </w:rPr>
        <w:t>É</w:t>
      </w:r>
      <w:r w:rsidRPr="00E72418">
        <w:rPr>
          <w:rFonts w:ascii="Times New Roman" w:hAnsi="Times New Roman" w:cs="Times New Roman"/>
          <w:i/>
          <w:spacing w:val="8"/>
          <w:sz w:val="20"/>
          <w:szCs w:val="20"/>
          <w:shd w:val="clear" w:color="auto" w:fill="FFFFFF"/>
        </w:rPr>
        <w:t>crits historiques et politique</w:t>
      </w:r>
      <w:r w:rsidRPr="00E72418">
        <w:rPr>
          <w:rFonts w:ascii="Times New Roman" w:hAnsi="Times New Roman" w:cs="Times New Roman"/>
          <w:i/>
          <w:sz w:val="20"/>
          <w:szCs w:val="20"/>
        </w:rPr>
        <w:t>s</w:t>
      </w:r>
    </w:p>
    <w:p w14:paraId="0522786B" w14:textId="77777777" w:rsidR="007D6C51" w:rsidRPr="00E72418" w:rsidRDefault="007D6C51" w:rsidP="00CC4BA8">
      <w:pPr>
        <w:spacing w:line="276" w:lineRule="auto"/>
        <w:jc w:val="left"/>
        <w:rPr>
          <w:rFonts w:ascii="Times New Roman" w:eastAsiaTheme="majorEastAsia" w:hAnsi="Times New Roman" w:cstheme="majorBidi"/>
          <w:b/>
          <w:sz w:val="40"/>
          <w:szCs w:val="26"/>
          <w:u w:val="single"/>
        </w:rPr>
      </w:pPr>
      <w:bookmarkStart w:id="296" w:name="_Toc37777356"/>
      <w:bookmarkStart w:id="297" w:name="_Toc59280968"/>
      <w:r w:rsidRPr="00E72418">
        <w:br w:type="page"/>
      </w:r>
    </w:p>
    <w:p w14:paraId="4AFBDEA4" w14:textId="505C30D8" w:rsidR="00A02DAE" w:rsidRPr="00E72418" w:rsidRDefault="00A02DAE">
      <w:pPr>
        <w:jc w:val="left"/>
        <w:rPr>
          <w:rFonts w:ascii="Times New Roman" w:eastAsiaTheme="majorEastAsia" w:hAnsi="Times New Roman" w:cstheme="majorBidi"/>
          <w:b/>
          <w:sz w:val="40"/>
          <w:szCs w:val="26"/>
          <w:u w:val="single"/>
        </w:rPr>
      </w:pPr>
      <w:bookmarkStart w:id="298" w:name="_Toc75106103"/>
      <w:bookmarkStart w:id="299" w:name="_Toc84540959"/>
      <w:r w:rsidRPr="00E72418">
        <w:lastRenderedPageBreak/>
        <w:br w:type="page"/>
      </w:r>
    </w:p>
    <w:p w14:paraId="16725865" w14:textId="75409E0A" w:rsidR="005F6F52" w:rsidRPr="00E72418" w:rsidRDefault="00F10F7D" w:rsidP="00CC4BA8">
      <w:pPr>
        <w:pStyle w:val="AA"/>
        <w:spacing w:afterLines="60" w:after="144" w:line="276" w:lineRule="auto"/>
      </w:pPr>
      <w:r w:rsidRPr="00E72418">
        <w:lastRenderedPageBreak/>
        <w:t>Introduction de la partie II</w:t>
      </w:r>
      <w:bookmarkEnd w:id="296"/>
      <w:bookmarkEnd w:id="297"/>
      <w:bookmarkEnd w:id="298"/>
      <w:bookmarkEnd w:id="299"/>
    </w:p>
    <w:p w14:paraId="3BB5E505" w14:textId="77777777" w:rsidR="00FB28DC" w:rsidRPr="00E72418" w:rsidRDefault="00FB28DC" w:rsidP="0054314B"/>
    <w:p w14:paraId="4C1FD1D9" w14:textId="097B227F" w:rsidR="00FC418F" w:rsidRPr="00E72418" w:rsidRDefault="00BF6CE7" w:rsidP="00CC4BA8">
      <w:pPr>
        <w:spacing w:line="276" w:lineRule="auto"/>
      </w:pPr>
      <w:r w:rsidRPr="00E72418">
        <w:rPr>
          <w:rFonts w:cs="Times New Roman"/>
          <w:b/>
          <w:szCs w:val="24"/>
        </w:rPr>
        <w:t>268</w:t>
      </w:r>
      <w:r w:rsidR="00A9718E" w:rsidRPr="00E72418">
        <w:rPr>
          <w:rFonts w:cs="Times New Roman"/>
          <w:b/>
          <w:szCs w:val="24"/>
        </w:rPr>
        <w:t xml:space="preserve">. </w:t>
      </w:r>
      <w:r w:rsidR="00FC418F" w:rsidRPr="00E72418">
        <w:rPr>
          <w:rFonts w:cs="Times New Roman"/>
          <w:b/>
          <w:szCs w:val="24"/>
        </w:rPr>
        <w:t xml:space="preserve">L’importance d’une approche </w:t>
      </w:r>
      <w:r w:rsidR="0056626D" w:rsidRPr="00E72418">
        <w:rPr>
          <w:rFonts w:cs="Times New Roman"/>
          <w:b/>
          <w:szCs w:val="24"/>
        </w:rPr>
        <w:t>équilibrée</w:t>
      </w:r>
      <w:r w:rsidR="00FC418F" w:rsidRPr="00E72418">
        <w:rPr>
          <w:rFonts w:cs="Times New Roman"/>
          <w:b/>
          <w:szCs w:val="24"/>
        </w:rPr>
        <w:t xml:space="preserve">, nuancée et justifiée </w:t>
      </w:r>
      <w:r w:rsidR="00FC418F" w:rsidRPr="00E72418">
        <w:rPr>
          <w:b/>
        </w:rPr>
        <w:t>–</w:t>
      </w:r>
      <w:r w:rsidR="00FC418F" w:rsidRPr="00E72418">
        <w:rPr>
          <w:rFonts w:cs="Times New Roman"/>
          <w:szCs w:val="24"/>
        </w:rPr>
        <w:t xml:space="preserve"> </w:t>
      </w:r>
      <w:r w:rsidR="003E3D1D" w:rsidRPr="00E72418">
        <w:t xml:space="preserve">Les contentieux opposant des </w:t>
      </w:r>
      <w:r w:rsidR="003E3D1D" w:rsidRPr="00E72418">
        <w:rPr>
          <w:lang w:eastAsia="fr-BE"/>
        </w:rPr>
        <w:t>É</w:t>
      </w:r>
      <w:r w:rsidR="00FC418F" w:rsidRPr="00E72418">
        <w:t xml:space="preserve">tats aux fonds spéculatifs sont généralement caractérisés par des bras de </w:t>
      </w:r>
      <w:r w:rsidR="00DE0691" w:rsidRPr="00E72418">
        <w:t>fer juridiques où s’opposent, d’une part,</w:t>
      </w:r>
      <w:r w:rsidR="00FC418F" w:rsidRPr="00E72418">
        <w:t xml:space="preserve"> des débiteurs à la posture souveraine tout à fait particulière</w:t>
      </w:r>
      <w:r w:rsidR="00DE0691" w:rsidRPr="00E72418">
        <w:t>, d’autre part,</w:t>
      </w:r>
      <w:r w:rsidR="00FC418F" w:rsidRPr="00E72418">
        <w:t xml:space="preserve"> des créanciers aguerris et déterminés. </w:t>
      </w:r>
      <w:r w:rsidR="00D15C80" w:rsidRPr="00E72418">
        <w:rPr>
          <w:rFonts w:cs="Times New Roman"/>
          <w:szCs w:val="24"/>
        </w:rPr>
        <w:t>Comme le relèv</w:t>
      </w:r>
      <w:r w:rsidR="00FC418F" w:rsidRPr="00E72418">
        <w:rPr>
          <w:rFonts w:cs="Times New Roman"/>
          <w:szCs w:val="24"/>
        </w:rPr>
        <w:t xml:space="preserve">ent </w:t>
      </w:r>
      <w:r w:rsidR="004F70C8" w:rsidRPr="00E72418">
        <w:rPr>
          <w:rFonts w:cs="Times New Roman"/>
          <w:szCs w:val="24"/>
        </w:rPr>
        <w:t xml:space="preserve">Jonathan </w:t>
      </w:r>
      <w:r w:rsidR="00FC418F" w:rsidRPr="00E72418">
        <w:rPr>
          <w:rFonts w:cs="Times New Roman"/>
          <w:szCs w:val="24"/>
        </w:rPr>
        <w:t xml:space="preserve">Blackman et </w:t>
      </w:r>
      <w:r w:rsidR="004F70C8" w:rsidRPr="00E72418">
        <w:rPr>
          <w:rFonts w:cs="Times New Roman"/>
          <w:szCs w:val="24"/>
        </w:rPr>
        <w:t xml:space="preserve">Rahul </w:t>
      </w:r>
      <w:r w:rsidR="00FC418F" w:rsidRPr="00E72418">
        <w:rPr>
          <w:rFonts w:cs="Times New Roman"/>
          <w:szCs w:val="24"/>
        </w:rPr>
        <w:t>Mukhi, « sovereign debt litigation has begun to resemble a chess match: a move by a vulture is blocked or countered, and a new move or theory comes into vogue as another avenue to try to increase the chances of recovery »</w:t>
      </w:r>
      <w:r w:rsidR="00FC418F" w:rsidRPr="00E72418">
        <w:rPr>
          <w:rStyle w:val="Appelnotedebasdep"/>
          <w:rFonts w:cs="Times New Roman"/>
          <w:szCs w:val="24"/>
        </w:rPr>
        <w:footnoteReference w:id="1323"/>
      </w:r>
      <w:r w:rsidR="00FC418F" w:rsidRPr="00E72418">
        <w:rPr>
          <w:rFonts w:cs="Times New Roman"/>
          <w:szCs w:val="24"/>
        </w:rPr>
        <w:t xml:space="preserve">. </w:t>
      </w:r>
      <w:r w:rsidR="00FC418F" w:rsidRPr="00E72418">
        <w:t>L’i</w:t>
      </w:r>
      <w:r w:rsidR="00B41CCF" w:rsidRPr="00E72418">
        <w:t>ngéniosité des fonds spéculant</w:t>
      </w:r>
      <w:r w:rsidR="00FC418F" w:rsidRPr="00E72418">
        <w:t xml:space="preserve"> sur les dettes souveraines oblige celui qui entend en </w:t>
      </w:r>
      <w:r w:rsidR="00802A9E" w:rsidRPr="00E72418">
        <w:t xml:space="preserve">réglementer </w:t>
      </w:r>
      <w:r w:rsidR="00FC418F" w:rsidRPr="00E72418">
        <w:t>les activités à faire montre de réactivité</w:t>
      </w:r>
      <w:r w:rsidR="00DE0691" w:rsidRPr="00E72418">
        <w:t xml:space="preserve"> et de créativité</w:t>
      </w:r>
      <w:r w:rsidR="00FC418F" w:rsidRPr="00E72418">
        <w:t>. Ainsi, ces fonds ont ceci de positif qu’ils offrent matière à réflexion et s’engouffrent souvent dans les lacunes qu’une fois identifiées, il est possible de combler</w:t>
      </w:r>
      <w:r w:rsidR="00FC418F" w:rsidRPr="00E72418">
        <w:rPr>
          <w:rStyle w:val="Appelnotedebasdep"/>
        </w:rPr>
        <w:footnoteReference w:id="1324"/>
      </w:r>
      <w:r w:rsidR="00FC418F" w:rsidRPr="00E72418">
        <w:t xml:space="preserve">. </w:t>
      </w:r>
    </w:p>
    <w:p w14:paraId="7BC25449" w14:textId="4E72DDE1" w:rsidR="00FC418F" w:rsidRPr="00E72418" w:rsidRDefault="000578BD" w:rsidP="00CC4BA8">
      <w:pPr>
        <w:spacing w:line="276" w:lineRule="auto"/>
        <w:rPr>
          <w:rFonts w:cs="Times New Roman"/>
          <w:shd w:val="clear" w:color="auto" w:fill="FFFFFF"/>
        </w:rPr>
      </w:pPr>
      <w:r w:rsidRPr="00E72418">
        <w:t>Bien qu’</w:t>
      </w:r>
      <w:r w:rsidR="00DE0691" w:rsidRPr="00E72418">
        <w:t>u</w:t>
      </w:r>
      <w:r w:rsidR="00FC418F" w:rsidRPr="00E72418">
        <w:t xml:space="preserve">ne </w:t>
      </w:r>
      <w:r w:rsidR="001243C1" w:rsidRPr="00E72418">
        <w:t xml:space="preserve">réglementation </w:t>
      </w:r>
      <w:r w:rsidR="00FC418F" w:rsidRPr="00E72418">
        <w:t>du phénomène</w:t>
      </w:r>
      <w:r w:rsidRPr="00E72418">
        <w:t xml:space="preserve"> est souhaitable</w:t>
      </w:r>
      <w:r w:rsidR="00FC418F" w:rsidRPr="00E72418">
        <w:t xml:space="preserve">, cette dernière </w:t>
      </w:r>
      <w:r w:rsidR="00DE0691" w:rsidRPr="00E72418">
        <w:t>est sensible</w:t>
      </w:r>
      <w:r w:rsidR="00FC418F" w:rsidRPr="00E72418">
        <w:t xml:space="preserve">. </w:t>
      </w:r>
      <w:r w:rsidRPr="00E72418">
        <w:t xml:space="preserve">Même si </w:t>
      </w:r>
      <w:r w:rsidR="00DE0691" w:rsidRPr="00E72418">
        <w:t>la figure du fonds spéculatif est souvent vertement critiquée</w:t>
      </w:r>
      <w:r w:rsidR="00FC418F" w:rsidRPr="00E72418">
        <w:t>,</w:t>
      </w:r>
      <w:r w:rsidR="00DE0691" w:rsidRPr="00E72418">
        <w:t xml:space="preserve"> l’on a étudié qu’</w:t>
      </w:r>
      <w:r w:rsidR="00FC418F" w:rsidRPr="00E72418">
        <w:t xml:space="preserve">outre le fait que </w:t>
      </w:r>
      <w:r w:rsidR="00DE0691" w:rsidRPr="00E72418">
        <w:t>ses</w:t>
      </w:r>
      <w:r w:rsidR="00FC418F" w:rsidRPr="00E72418">
        <w:t xml:space="preserve"> activités sont </w:t>
      </w:r>
      <w:r w:rsidR="00DE0691" w:rsidRPr="00E72418">
        <w:t xml:space="preserve">souvent </w:t>
      </w:r>
      <w:r w:rsidR="00FC418F" w:rsidRPr="00E72418">
        <w:t xml:space="preserve">légalement justifiées, </w:t>
      </w:r>
      <w:r w:rsidR="00DE0691" w:rsidRPr="00E72418">
        <w:t>il remplit</w:t>
      </w:r>
      <w:r w:rsidR="00FC418F" w:rsidRPr="00E72418">
        <w:t xml:space="preserve"> un rôle </w:t>
      </w:r>
      <w:r w:rsidR="00DE0691" w:rsidRPr="00E72418">
        <w:t xml:space="preserve">important pour </w:t>
      </w:r>
      <w:r w:rsidR="0017729F" w:rsidRPr="00E72418">
        <w:t xml:space="preserve">le marché des </w:t>
      </w:r>
      <w:r w:rsidR="00FC418F" w:rsidRPr="00E72418">
        <w:t>dette</w:t>
      </w:r>
      <w:r w:rsidR="0017729F" w:rsidRPr="00E72418">
        <w:t>s</w:t>
      </w:r>
      <w:r w:rsidR="00FC418F" w:rsidRPr="00E72418">
        <w:t xml:space="preserve"> souveraine</w:t>
      </w:r>
      <w:r w:rsidR="0017729F" w:rsidRPr="00E72418">
        <w:t>s</w:t>
      </w:r>
      <w:r w:rsidR="00FC418F" w:rsidRPr="00E72418">
        <w:t xml:space="preserve"> que l’on ne saurait </w:t>
      </w:r>
      <w:r w:rsidR="00DE0691" w:rsidRPr="00E72418">
        <w:t>taire</w:t>
      </w:r>
      <w:r w:rsidR="00FC418F" w:rsidRPr="00E72418">
        <w:t xml:space="preserve">. </w:t>
      </w:r>
      <w:r w:rsidR="00FC418F" w:rsidRPr="00E72418">
        <w:rPr>
          <w:rFonts w:cs="Times New Roman"/>
          <w:szCs w:val="24"/>
        </w:rPr>
        <w:t>Ainsi, toutes importantes que sont les</w:t>
      </w:r>
      <w:r w:rsidR="00FC418F" w:rsidRPr="00E72418">
        <w:rPr>
          <w:rFonts w:cs="Times New Roman"/>
          <w:shd w:val="clear" w:color="auto" w:fill="FFFFFF"/>
        </w:rPr>
        <w:t xml:space="preserve"> iniquités auxquelles </w:t>
      </w:r>
      <w:r w:rsidR="00B41CCF" w:rsidRPr="00E72418">
        <w:rPr>
          <w:rFonts w:cs="Times New Roman"/>
          <w:shd w:val="clear" w:color="auto" w:fill="FFFFFF"/>
        </w:rPr>
        <w:t>concourent les fonds spéculant</w:t>
      </w:r>
      <w:r w:rsidR="00FC418F" w:rsidRPr="00E72418">
        <w:rPr>
          <w:rFonts w:cs="Times New Roman"/>
          <w:shd w:val="clear" w:color="auto" w:fill="FFFFFF"/>
        </w:rPr>
        <w:t xml:space="preserve"> sur les dettes souveraines, elles ne doivent pas conduire à </w:t>
      </w:r>
      <w:r w:rsidR="00DE0691" w:rsidRPr="00E72418">
        <w:rPr>
          <w:rFonts w:cs="Times New Roman"/>
          <w:shd w:val="clear" w:color="auto" w:fill="FFFFFF"/>
        </w:rPr>
        <w:t>une</w:t>
      </w:r>
      <w:r w:rsidR="00FC418F" w:rsidRPr="00E72418">
        <w:rPr>
          <w:rFonts w:cs="Times New Roman"/>
          <w:shd w:val="clear" w:color="auto" w:fill="FFFFFF"/>
        </w:rPr>
        <w:t xml:space="preserve"> démesure de la réponse qu’on souhaite y apporter</w:t>
      </w:r>
      <w:r w:rsidR="0042351C" w:rsidRPr="00E72418">
        <w:rPr>
          <w:rStyle w:val="Appelnotedebasdep"/>
          <w:rFonts w:cs="Times New Roman"/>
          <w:shd w:val="clear" w:color="auto" w:fill="FFFFFF"/>
        </w:rPr>
        <w:footnoteReference w:id="1325"/>
      </w:r>
      <w:r w:rsidR="00FC418F" w:rsidRPr="00E72418">
        <w:rPr>
          <w:rFonts w:cs="Times New Roman"/>
          <w:shd w:val="clear" w:color="auto" w:fill="FFFFFF"/>
        </w:rPr>
        <w:t xml:space="preserve">. Aussi, l’on ne saurait se satisfaire d’une réponse </w:t>
      </w:r>
      <w:r w:rsidR="003459BA" w:rsidRPr="00E72418">
        <w:rPr>
          <w:rFonts w:cs="Times New Roman"/>
          <w:shd w:val="clear" w:color="auto" w:fill="FFFFFF"/>
        </w:rPr>
        <w:t xml:space="preserve">manichéenne </w:t>
      </w:r>
      <w:r w:rsidR="00FC418F" w:rsidRPr="00E72418">
        <w:rPr>
          <w:rFonts w:cs="Times New Roman"/>
          <w:shd w:val="clear" w:color="auto" w:fill="FFFFFF"/>
        </w:rPr>
        <w:t xml:space="preserve">aux problèmes complexes posés. </w:t>
      </w:r>
      <w:r w:rsidR="00FC418F" w:rsidRPr="00E72418">
        <w:rPr>
          <w:rFonts w:cs="Times New Roman"/>
          <w:szCs w:val="24"/>
        </w:rPr>
        <w:t xml:space="preserve">Comme le dit </w:t>
      </w:r>
      <w:r w:rsidR="006907CE" w:rsidRPr="00E72418">
        <w:rPr>
          <w:rFonts w:cs="Times New Roman"/>
          <w:szCs w:val="24"/>
        </w:rPr>
        <w:t xml:space="preserve">Joshua </w:t>
      </w:r>
      <w:r w:rsidR="00FC418F" w:rsidRPr="00E72418">
        <w:rPr>
          <w:rFonts w:cs="Times New Roman"/>
          <w:szCs w:val="24"/>
        </w:rPr>
        <w:t>Burress, rendre la situation plus équitable « does not simply mean taking the wind out of the sails of vulture funds or strengthening defenses for foreign states »</w:t>
      </w:r>
      <w:r w:rsidR="00FC418F" w:rsidRPr="00E72418">
        <w:rPr>
          <w:rStyle w:val="Appelnotedebasdep"/>
          <w:rFonts w:cs="Times New Roman"/>
          <w:szCs w:val="24"/>
        </w:rPr>
        <w:footnoteReference w:id="1326"/>
      </w:r>
      <w:r w:rsidR="00FC418F" w:rsidRPr="00E72418">
        <w:rPr>
          <w:rFonts w:cs="Times New Roman"/>
          <w:szCs w:val="24"/>
        </w:rPr>
        <w:t xml:space="preserve">. </w:t>
      </w:r>
    </w:p>
    <w:p w14:paraId="69286848" w14:textId="77777777" w:rsidR="00B75FE2" w:rsidRPr="00E72418" w:rsidRDefault="00FC418F" w:rsidP="00CC4BA8">
      <w:pPr>
        <w:spacing w:line="276" w:lineRule="auto"/>
        <w:rPr>
          <w:rFonts w:cs="Times New Roman"/>
          <w:shd w:val="clear" w:color="auto" w:fill="FFFFFF"/>
        </w:rPr>
      </w:pPr>
      <w:r w:rsidRPr="00E72418">
        <w:rPr>
          <w:rFonts w:cs="Times New Roman"/>
          <w:shd w:val="clear" w:color="auto" w:fill="FFFFFF"/>
        </w:rPr>
        <w:t xml:space="preserve">Les parlementaires français à l’origine </w:t>
      </w:r>
      <w:r w:rsidR="00B75FE2" w:rsidRPr="00E72418">
        <w:rPr>
          <w:rFonts w:cs="Times New Roman"/>
          <w:shd w:val="clear" w:color="auto" w:fill="FFFFFF"/>
        </w:rPr>
        <w:t>de la</w:t>
      </w:r>
      <w:r w:rsidRPr="00E72418">
        <w:rPr>
          <w:rFonts w:cs="Times New Roman"/>
          <w:shd w:val="clear" w:color="auto" w:fill="FFFFFF"/>
        </w:rPr>
        <w:t xml:space="preserve"> </w:t>
      </w:r>
      <w:r w:rsidR="00B75FE2" w:rsidRPr="00E72418">
        <w:rPr>
          <w:rFonts w:cs="Times New Roman"/>
          <w:shd w:val="clear" w:color="auto" w:fill="FFFFFF"/>
        </w:rPr>
        <w:t>législation</w:t>
      </w:r>
      <w:r w:rsidRPr="00E72418">
        <w:rPr>
          <w:rFonts w:cs="Times New Roman"/>
          <w:shd w:val="clear" w:color="auto" w:fill="FFFFFF"/>
        </w:rPr>
        <w:t xml:space="preserve"> anti-fonds spéculatifs </w:t>
      </w:r>
      <w:r w:rsidR="00B75FE2" w:rsidRPr="00E72418">
        <w:rPr>
          <w:rFonts w:cs="Times New Roman"/>
          <w:shd w:val="clear" w:color="auto" w:fill="FFFFFF"/>
        </w:rPr>
        <w:t xml:space="preserve">française de 2016 </w:t>
      </w:r>
      <w:r w:rsidRPr="00E72418">
        <w:rPr>
          <w:rFonts w:cs="Times New Roman"/>
          <w:shd w:val="clear" w:color="auto" w:fill="FFFFFF"/>
        </w:rPr>
        <w:t xml:space="preserve">sont </w:t>
      </w:r>
      <w:r w:rsidR="00B75FE2" w:rsidRPr="00E72418">
        <w:rPr>
          <w:rFonts w:cs="Times New Roman"/>
          <w:shd w:val="clear" w:color="auto" w:fill="FFFFFF"/>
        </w:rPr>
        <w:t>catégoriques ; la mesure qu’ils entendent</w:t>
      </w:r>
      <w:r w:rsidRPr="00E72418">
        <w:rPr>
          <w:rFonts w:cs="Times New Roman"/>
          <w:shd w:val="clear" w:color="auto" w:fill="FFFFFF"/>
        </w:rPr>
        <w:t xml:space="preserve"> mettre en place ne vise pas à exonérer les États débiteurs de leurs obligations de rembourser leurs </w:t>
      </w:r>
      <w:r w:rsidR="00B75FE2" w:rsidRPr="00E72418">
        <w:rPr>
          <w:rFonts w:cs="Times New Roman"/>
          <w:shd w:val="clear" w:color="auto" w:fill="FFFFFF"/>
        </w:rPr>
        <w:t>dettes</w:t>
      </w:r>
      <w:r w:rsidRPr="00E72418">
        <w:rPr>
          <w:rFonts w:cs="Times New Roman"/>
          <w:shd w:val="clear" w:color="auto" w:fill="FFFFFF"/>
        </w:rPr>
        <w:t xml:space="preserve">, ce qui dissuaderait les créanciers de ces États de continuer à les financer. Ainsi, </w:t>
      </w:r>
      <w:r w:rsidR="00B75FE2" w:rsidRPr="00E72418">
        <w:rPr>
          <w:rFonts w:cs="Times New Roman"/>
          <w:shd w:val="clear" w:color="auto" w:fill="FFFFFF"/>
        </w:rPr>
        <w:t>les parlementaires</w:t>
      </w:r>
      <w:r w:rsidRPr="00E72418">
        <w:rPr>
          <w:rFonts w:cs="Times New Roman"/>
          <w:shd w:val="clear" w:color="auto" w:fill="FFFFFF"/>
        </w:rPr>
        <w:t xml:space="preserve"> insistent, la mesure envisagée doit « être circonscrite et protéger les droits des créanciers usuels, y compris lorsque ceux-ci rachètent la dette d’un État en difficulté financière mais encore en mesure d’assurer le service de sa dette, pour éviter de précipiter des situations de défaut de paiement »</w:t>
      </w:r>
      <w:r w:rsidRPr="00E72418">
        <w:rPr>
          <w:rStyle w:val="Appelnotedebasdep"/>
          <w:rFonts w:cs="Times New Roman"/>
          <w:szCs w:val="24"/>
          <w:shd w:val="clear" w:color="auto" w:fill="FFFFFF"/>
        </w:rPr>
        <w:footnoteReference w:id="1327"/>
      </w:r>
      <w:r w:rsidRPr="00E72418">
        <w:rPr>
          <w:rFonts w:cs="Times New Roman"/>
          <w:shd w:val="clear" w:color="auto" w:fill="FFFFFF"/>
        </w:rPr>
        <w:t>.</w:t>
      </w:r>
      <w:r w:rsidR="00B75FE2" w:rsidRPr="00E72418">
        <w:rPr>
          <w:rFonts w:cs="Times New Roman"/>
          <w:shd w:val="clear" w:color="auto" w:fill="FFFFFF"/>
        </w:rPr>
        <w:t xml:space="preserve"> </w:t>
      </w:r>
    </w:p>
    <w:p w14:paraId="4E35846C" w14:textId="36032062" w:rsidR="00FC418F" w:rsidRPr="00E72418" w:rsidRDefault="00B75FE2" w:rsidP="00CC4BA8">
      <w:pPr>
        <w:spacing w:line="276" w:lineRule="auto"/>
      </w:pPr>
      <w:r w:rsidRPr="00E72418">
        <w:rPr>
          <w:rFonts w:cs="Times New Roman"/>
          <w:szCs w:val="24"/>
        </w:rPr>
        <w:t xml:space="preserve">Toute limitation des </w:t>
      </w:r>
      <w:r w:rsidRPr="00E72418">
        <w:t xml:space="preserve">droits des créanciers érode le principe de la convention-loi suivant lequel les contrats doivent être exécutés et les dettes payées. Ainsi, comme le note </w:t>
      </w:r>
      <w:r w:rsidR="00CC15FF" w:rsidRPr="00E72418">
        <w:t xml:space="preserve">Patrick </w:t>
      </w:r>
      <w:r w:rsidRPr="00E72418">
        <w:t xml:space="preserve">Wautelet </w:t>
      </w:r>
      <w:r w:rsidRPr="00E72418">
        <w:lastRenderedPageBreak/>
        <w:t>« </w:t>
      </w:r>
      <w:r w:rsidRPr="00E72418">
        <w:rPr>
          <w:rFonts w:cs="Times New Roman"/>
        </w:rPr>
        <w:t>[b]</w:t>
      </w:r>
      <w:r w:rsidRPr="00E72418">
        <w:t>reaching this fundamental principle requires sound justification, as it modifies the equilibrium between the parties »</w:t>
      </w:r>
      <w:r w:rsidRPr="00E72418">
        <w:rPr>
          <w:rStyle w:val="Appelnotedebasdep"/>
        </w:rPr>
        <w:footnoteReference w:id="1328"/>
      </w:r>
      <w:r w:rsidRPr="00E72418">
        <w:t>.</w:t>
      </w:r>
      <w:r w:rsidRPr="00E72418">
        <w:rPr>
          <w:rFonts w:cs="Times New Roman"/>
          <w:shd w:val="clear" w:color="auto" w:fill="FFFFFF"/>
        </w:rPr>
        <w:t xml:space="preserve"> </w:t>
      </w:r>
      <w:r w:rsidR="00FC418F" w:rsidRPr="00E72418">
        <w:t xml:space="preserve">Il nous apparaît que </w:t>
      </w:r>
      <w:r w:rsidRPr="00E72418">
        <w:t xml:space="preserve">la justification </w:t>
      </w:r>
      <w:r w:rsidR="0039525E" w:rsidRPr="00E72418">
        <w:t xml:space="preserve">de l’atteinte à ce principe </w:t>
      </w:r>
      <w:r w:rsidRPr="00E72418">
        <w:t xml:space="preserve">et </w:t>
      </w:r>
      <w:r w:rsidR="00FC418F" w:rsidRPr="00E72418">
        <w:t xml:space="preserve">le canon à retenir </w:t>
      </w:r>
      <w:r w:rsidR="0039525E" w:rsidRPr="00E72418">
        <w:t xml:space="preserve">quand elle y est portée </w:t>
      </w:r>
      <w:r w:rsidRPr="00E72418">
        <w:t xml:space="preserve">ont </w:t>
      </w:r>
      <w:r w:rsidR="003C6CB1" w:rsidRPr="00E72418">
        <w:t>tous les</w:t>
      </w:r>
      <w:r w:rsidR="0039525E" w:rsidRPr="00E72418">
        <w:t xml:space="preserve"> deux </w:t>
      </w:r>
      <w:r w:rsidRPr="00E72418">
        <w:t xml:space="preserve">trait à </w:t>
      </w:r>
      <w:r w:rsidR="00FC418F" w:rsidRPr="00E72418">
        <w:t xml:space="preserve">la soutenabilité de la dette souveraine. </w:t>
      </w:r>
      <w:r w:rsidR="0039525E" w:rsidRPr="00E72418">
        <w:t>Ainsi, d</w:t>
      </w:r>
      <w:r w:rsidR="00FC418F" w:rsidRPr="00E72418">
        <w:t xml:space="preserve">ans la situation où les difficultés financières d’un </w:t>
      </w:r>
      <w:r w:rsidR="00FC418F" w:rsidRPr="00E72418">
        <w:rPr>
          <w:lang w:eastAsia="fr-BE"/>
        </w:rPr>
        <w:t>É</w:t>
      </w:r>
      <w:r w:rsidR="00FC418F" w:rsidRPr="00E72418">
        <w:t>tat le conduisent à ne plus assurer certains services essentiels à sa population afin de pouvoir honorer ses obligations vis-à-vis de ses créanciers alors, la mise en place d’un système protecteur apparaît pleinement justifiée</w:t>
      </w:r>
      <w:r w:rsidR="00FC418F" w:rsidRPr="00E72418">
        <w:rPr>
          <w:rStyle w:val="Appelnotedebasdep"/>
        </w:rPr>
        <w:footnoteReference w:id="1329"/>
      </w:r>
      <w:r w:rsidR="00FC418F" w:rsidRPr="00E72418">
        <w:t>. Le principe de la soutenabilité de la dette souveraine</w:t>
      </w:r>
      <w:r w:rsidR="0039525E" w:rsidRPr="00E72418">
        <w:t>, qui est au cœur de notre démonstration</w:t>
      </w:r>
      <w:r w:rsidR="0039525E" w:rsidRPr="00E72418">
        <w:rPr>
          <w:rStyle w:val="Appelnotedebasdep"/>
        </w:rPr>
        <w:footnoteReference w:id="1330"/>
      </w:r>
      <w:r w:rsidR="0039525E" w:rsidRPr="00E72418">
        <w:t>,</w:t>
      </w:r>
      <w:r w:rsidR="00FC418F" w:rsidRPr="00E72418">
        <w:t xml:space="preserve"> implique que des normes soient adoptées afin d’éviter que l’application des règles du marché n’e</w:t>
      </w:r>
      <w:r w:rsidR="006E2B9F" w:rsidRPr="00E72418">
        <w:t xml:space="preserve">ntrave les responsabilités des </w:t>
      </w:r>
      <w:r w:rsidR="006E2B9F" w:rsidRPr="00E72418">
        <w:rPr>
          <w:lang w:eastAsia="fr-BE"/>
        </w:rPr>
        <w:t>É</w:t>
      </w:r>
      <w:r w:rsidR="00FC418F" w:rsidRPr="00E72418">
        <w:t>tats de respecter et de garantir les droits fondamentaux de leur population</w:t>
      </w:r>
      <w:r w:rsidR="00FC418F" w:rsidRPr="00E72418">
        <w:rPr>
          <w:rStyle w:val="Appelnotedebasdep"/>
          <w:rFonts w:cs="Times New Roman"/>
          <w:szCs w:val="24"/>
        </w:rPr>
        <w:footnoteReference w:id="1331"/>
      </w:r>
      <w:r w:rsidR="00FC418F" w:rsidRPr="00E72418">
        <w:t>.</w:t>
      </w:r>
    </w:p>
    <w:p w14:paraId="0D4977D3" w14:textId="4B867606" w:rsidR="00ED77A4" w:rsidRPr="00E72418" w:rsidRDefault="000578BD" w:rsidP="00CC4BA8">
      <w:pPr>
        <w:spacing w:line="276" w:lineRule="auto"/>
        <w:rPr>
          <w:rFonts w:cs="Times New Roman"/>
          <w:shd w:val="clear" w:color="auto" w:fill="FFFFFF"/>
        </w:rPr>
      </w:pPr>
      <w:r w:rsidRPr="00E72418">
        <w:rPr>
          <w:rFonts w:cs="Times New Roman"/>
          <w:shd w:val="clear" w:color="auto" w:fill="FFFFFF"/>
        </w:rPr>
        <w:t>L’on ne saur</w:t>
      </w:r>
      <w:r w:rsidR="003C6CB1" w:rsidRPr="00E72418">
        <w:rPr>
          <w:rFonts w:cs="Times New Roman"/>
          <w:shd w:val="clear" w:color="auto" w:fill="FFFFFF"/>
        </w:rPr>
        <w:t>ait s’engager dans la voie d’une</w:t>
      </w:r>
      <w:r w:rsidRPr="00E72418">
        <w:rPr>
          <w:rFonts w:cs="Times New Roman"/>
          <w:shd w:val="clear" w:color="auto" w:fill="FFFFFF"/>
        </w:rPr>
        <w:t xml:space="preserve"> proposition avant d’avoir fait l’état des lieux des solutions </w:t>
      </w:r>
      <w:r w:rsidR="003C6CB1" w:rsidRPr="00E72418">
        <w:rPr>
          <w:rFonts w:cs="Times New Roman"/>
          <w:shd w:val="clear" w:color="auto" w:fill="FFFFFF"/>
        </w:rPr>
        <w:t>existantes</w:t>
      </w:r>
      <w:r w:rsidRPr="00E72418">
        <w:rPr>
          <w:rFonts w:cs="Times New Roman"/>
          <w:shd w:val="clear" w:color="auto" w:fill="FFFFFF"/>
        </w:rPr>
        <w:t xml:space="preserve"> afin d’appréhender le phénomène spéculatif qui fait l’objet de notre recherche (</w:t>
      </w:r>
      <w:r w:rsidRPr="00E72418">
        <w:rPr>
          <w:rFonts w:cs="Times New Roman"/>
          <w:b/>
          <w:shd w:val="clear" w:color="auto" w:fill="FFFFFF"/>
        </w:rPr>
        <w:t>partie II – sous-partie 1</w:t>
      </w:r>
      <w:r w:rsidRPr="00E72418">
        <w:rPr>
          <w:rFonts w:cs="Times New Roman"/>
          <w:shd w:val="clear" w:color="auto" w:fill="FFFFFF"/>
        </w:rPr>
        <w:t xml:space="preserve">). Une fois ce recensement </w:t>
      </w:r>
      <w:r w:rsidR="0098049D" w:rsidRPr="00E72418">
        <w:rPr>
          <w:rFonts w:cs="Times New Roman"/>
          <w:shd w:val="clear" w:color="auto" w:fill="FFFFFF"/>
        </w:rPr>
        <w:t>accompli</w:t>
      </w:r>
      <w:r w:rsidRPr="00E72418">
        <w:rPr>
          <w:rFonts w:cs="Times New Roman"/>
          <w:shd w:val="clear" w:color="auto" w:fill="FFFFFF"/>
        </w:rPr>
        <w:t>, il est alors envisageable de proposer une solution qui puisse s’imaginer en tirant parti des forces des solutions existantes et en s’affrichant de leurs faiblesses (</w:t>
      </w:r>
      <w:r w:rsidR="003C6CB1" w:rsidRPr="00E72418">
        <w:rPr>
          <w:rFonts w:cs="Times New Roman"/>
          <w:b/>
          <w:shd w:val="clear" w:color="auto" w:fill="FFFFFF"/>
        </w:rPr>
        <w:t>partie II – sous-partie 2</w:t>
      </w:r>
      <w:r w:rsidRPr="00E72418">
        <w:rPr>
          <w:rFonts w:cs="Times New Roman"/>
          <w:shd w:val="clear" w:color="auto" w:fill="FFFFFF"/>
        </w:rPr>
        <w:t xml:space="preserve">). Cette ultime étape de notre recherche se veut </w:t>
      </w:r>
      <w:r w:rsidR="00BE6960" w:rsidRPr="00E72418">
        <w:rPr>
          <w:rFonts w:cs="Times New Roman"/>
          <w:shd w:val="clear" w:color="auto" w:fill="FFFFFF"/>
        </w:rPr>
        <w:t xml:space="preserve">résolument </w:t>
      </w:r>
      <w:r w:rsidR="0098049D" w:rsidRPr="00E72418">
        <w:rPr>
          <w:rFonts w:cs="Times New Roman"/>
          <w:shd w:val="clear" w:color="auto" w:fill="FFFFFF"/>
        </w:rPr>
        <w:t>prospective</w:t>
      </w:r>
      <w:r w:rsidR="00BE6960" w:rsidRPr="00E72418">
        <w:rPr>
          <w:rFonts w:cs="Times New Roman"/>
          <w:shd w:val="clear" w:color="auto" w:fill="FFFFFF"/>
        </w:rPr>
        <w:t xml:space="preserve"> dans la mesure où nous espérons modestement apporter des bases de réflexions aux législateurs qui, s’engageant dans la voie de la réglementation de la spéculation sur les dettes souveraines, pourraient trouver dans nos travaux les traits saillants à retenir et les écueils </w:t>
      </w:r>
      <w:r w:rsidR="00963475" w:rsidRPr="00E72418">
        <w:rPr>
          <w:rFonts w:cs="Times New Roman"/>
          <w:shd w:val="clear" w:color="auto" w:fill="FFFFFF"/>
        </w:rPr>
        <w:t>dont se garder</w:t>
      </w:r>
      <w:r w:rsidR="00BE6960" w:rsidRPr="00E72418">
        <w:rPr>
          <w:rFonts w:cs="Times New Roman"/>
          <w:shd w:val="clear" w:color="auto" w:fill="FFFFFF"/>
        </w:rPr>
        <w:t>.</w:t>
      </w:r>
    </w:p>
    <w:p w14:paraId="7625FD25" w14:textId="06173BF6" w:rsidR="00102EBD" w:rsidRPr="00E72418" w:rsidRDefault="00102EBD" w:rsidP="00CC4BA8">
      <w:pPr>
        <w:spacing w:line="276" w:lineRule="auto"/>
        <w:rPr>
          <w:b/>
          <w:shd w:val="clear" w:color="auto" w:fill="FFFFFF"/>
        </w:rPr>
      </w:pPr>
    </w:p>
    <w:p w14:paraId="4463F102" w14:textId="77777777" w:rsidR="00075B8A" w:rsidRPr="00E72418" w:rsidRDefault="00075B8A" w:rsidP="00CC4BA8">
      <w:pPr>
        <w:spacing w:line="276" w:lineRule="auto"/>
        <w:rPr>
          <w:b/>
          <w:shd w:val="clear" w:color="auto" w:fill="FFFFFF"/>
        </w:rPr>
      </w:pPr>
    </w:p>
    <w:p w14:paraId="43F2B1C2" w14:textId="1EAE72F1" w:rsidR="005F6F52" w:rsidRPr="00E72418" w:rsidRDefault="00B852A5" w:rsidP="00CC4BA8">
      <w:pPr>
        <w:pStyle w:val="AA"/>
        <w:spacing w:afterLines="60" w:after="144" w:line="276" w:lineRule="auto"/>
      </w:pPr>
      <w:bookmarkStart w:id="300" w:name="_Toc37777357"/>
      <w:bookmarkStart w:id="301" w:name="_Toc59280969"/>
      <w:bookmarkStart w:id="302" w:name="_Toc75106104"/>
      <w:bookmarkStart w:id="303" w:name="_Toc84540960"/>
      <w:r w:rsidRPr="00E72418">
        <w:t>Partie II – S</w:t>
      </w:r>
      <w:r w:rsidR="00F10F7D" w:rsidRPr="00E72418">
        <w:t>ous-partie</w:t>
      </w:r>
      <w:r w:rsidR="005F6F52" w:rsidRPr="00E72418">
        <w:t xml:space="preserve"> 1 : Les solutions </w:t>
      </w:r>
      <w:bookmarkEnd w:id="300"/>
      <w:bookmarkEnd w:id="301"/>
      <w:r w:rsidR="0083679E" w:rsidRPr="00E72418">
        <w:t>existantes</w:t>
      </w:r>
      <w:bookmarkEnd w:id="302"/>
      <w:bookmarkEnd w:id="303"/>
    </w:p>
    <w:p w14:paraId="75765D18" w14:textId="77777777" w:rsidR="00BE6960" w:rsidRPr="00E72418" w:rsidRDefault="00BE6960" w:rsidP="009B2B07"/>
    <w:p w14:paraId="509A350B" w14:textId="4D7F93BD" w:rsidR="005F6F52" w:rsidRPr="00E72418" w:rsidRDefault="005F6F52" w:rsidP="00CC4BA8">
      <w:pPr>
        <w:pStyle w:val="BB"/>
        <w:spacing w:line="276" w:lineRule="auto"/>
      </w:pPr>
      <w:bookmarkStart w:id="304" w:name="_Toc37777358"/>
      <w:bookmarkStart w:id="305" w:name="_Toc59280970"/>
      <w:bookmarkStart w:id="306" w:name="_Toc75106105"/>
      <w:bookmarkStart w:id="307" w:name="_Toc84540961"/>
      <w:r w:rsidRPr="00E72418">
        <w:t xml:space="preserve">Introduction de la </w:t>
      </w:r>
      <w:r w:rsidR="00F10F7D" w:rsidRPr="00E72418">
        <w:t>partie II</w:t>
      </w:r>
      <w:r w:rsidRPr="00E72418">
        <w:t xml:space="preserve"> </w:t>
      </w:r>
      <w:r w:rsidR="00287754" w:rsidRPr="00E72418">
        <w:t>–</w:t>
      </w:r>
      <w:r w:rsidRPr="00E72418">
        <w:t xml:space="preserve"> </w:t>
      </w:r>
      <w:r w:rsidR="00F10F7D" w:rsidRPr="00E72418">
        <w:t>sous-partie</w:t>
      </w:r>
      <w:r w:rsidRPr="00E72418">
        <w:t xml:space="preserve"> 1</w:t>
      </w:r>
      <w:bookmarkEnd w:id="304"/>
      <w:bookmarkEnd w:id="305"/>
      <w:bookmarkEnd w:id="306"/>
      <w:bookmarkEnd w:id="307"/>
    </w:p>
    <w:p w14:paraId="46F1D178" w14:textId="77777777" w:rsidR="00FB72EC" w:rsidRPr="00E72418" w:rsidRDefault="00FB72EC" w:rsidP="009B2B07">
      <w:pPr>
        <w:rPr>
          <w:highlight w:val="magenta"/>
        </w:rPr>
      </w:pPr>
    </w:p>
    <w:p w14:paraId="45FDC6B4" w14:textId="22930219" w:rsidR="005130A2" w:rsidRPr="00E72418" w:rsidRDefault="00BF6CE7" w:rsidP="00CC4BA8">
      <w:pPr>
        <w:spacing w:line="276" w:lineRule="auto"/>
      </w:pPr>
      <w:r w:rsidRPr="00E72418">
        <w:rPr>
          <w:b/>
        </w:rPr>
        <w:t>269</w:t>
      </w:r>
      <w:r w:rsidR="00A9718E" w:rsidRPr="00E72418">
        <w:rPr>
          <w:b/>
        </w:rPr>
        <w:t xml:space="preserve">. </w:t>
      </w:r>
      <w:r w:rsidR="00F537DD" w:rsidRPr="00E72418">
        <w:rPr>
          <w:b/>
        </w:rPr>
        <w:t>Diverses options –</w:t>
      </w:r>
      <w:r w:rsidR="00F537DD" w:rsidRPr="00E72418">
        <w:t xml:space="preserve"> </w:t>
      </w:r>
      <w:r w:rsidR="00457B55" w:rsidRPr="00E72418">
        <w:t>Différentes réponses peuvent être apportées à la spéculation sur les dettes souveraines</w:t>
      </w:r>
      <w:r w:rsidR="005130A2" w:rsidRPr="00E72418">
        <w:t xml:space="preserve"> que l’on souhaiterait combattre ou, à tout le moins, </w:t>
      </w:r>
      <w:r w:rsidR="00802A9E" w:rsidRPr="00E72418">
        <w:t>limiter</w:t>
      </w:r>
      <w:r w:rsidR="005130A2" w:rsidRPr="00E72418">
        <w:t>.</w:t>
      </w:r>
      <w:r w:rsidR="00457B55" w:rsidRPr="00E72418">
        <w:t xml:space="preserve"> </w:t>
      </w:r>
      <w:r w:rsidR="005130A2" w:rsidRPr="00E72418">
        <w:t>Alors que d</w:t>
      </w:r>
      <w:r w:rsidR="0051781E" w:rsidRPr="00E72418">
        <w:t xml:space="preserve">es solutions indirectes </w:t>
      </w:r>
      <w:r w:rsidR="005130A2" w:rsidRPr="00E72418">
        <w:t xml:space="preserve">peuvent être trouvées dans la </w:t>
      </w:r>
      <w:r w:rsidR="001243C1" w:rsidRPr="00E72418">
        <w:t xml:space="preserve">réglementation </w:t>
      </w:r>
      <w:r w:rsidR="005130A2" w:rsidRPr="00E72418">
        <w:t>des restructurations et dans la modélisation des contrats matérialisant les dettes</w:t>
      </w:r>
      <w:r w:rsidR="00ED77A4" w:rsidRPr="00E72418">
        <w:t xml:space="preserve"> (</w:t>
      </w:r>
      <w:r w:rsidR="00ED77A4" w:rsidRPr="00E72418">
        <w:rPr>
          <w:b/>
        </w:rPr>
        <w:t>titre 1</w:t>
      </w:r>
      <w:r w:rsidR="00ED77A4" w:rsidRPr="00E72418">
        <w:t>)</w:t>
      </w:r>
      <w:r w:rsidR="005130A2" w:rsidRPr="00E72418">
        <w:t xml:space="preserve">, d’autres ont été taillées sur mesure par des législateurs nationaux désireux de </w:t>
      </w:r>
      <w:r w:rsidR="00D84FB8" w:rsidRPr="00E72418">
        <w:t xml:space="preserve">régler </w:t>
      </w:r>
      <w:r w:rsidR="005130A2" w:rsidRPr="00E72418">
        <w:t>le phénomène décrié</w:t>
      </w:r>
      <w:r w:rsidR="00ED77A4" w:rsidRPr="00E72418">
        <w:t xml:space="preserve"> (</w:t>
      </w:r>
      <w:r w:rsidR="00ED77A4" w:rsidRPr="00E72418">
        <w:rPr>
          <w:b/>
        </w:rPr>
        <w:t>titre 2</w:t>
      </w:r>
      <w:r w:rsidR="00ED77A4" w:rsidRPr="00E72418">
        <w:t>)</w:t>
      </w:r>
      <w:r w:rsidR="005130A2" w:rsidRPr="00E72418">
        <w:t>.</w:t>
      </w:r>
    </w:p>
    <w:p w14:paraId="33BCC6A0" w14:textId="77777777" w:rsidR="00FB72EC" w:rsidRPr="00E72418" w:rsidRDefault="00FB72EC" w:rsidP="009B2B07"/>
    <w:p w14:paraId="2A3A7E96" w14:textId="77777777" w:rsidR="00A02DAE" w:rsidRPr="00E72418" w:rsidRDefault="00A02DAE">
      <w:pPr>
        <w:jc w:val="left"/>
        <w:rPr>
          <w:rFonts w:ascii="Times New Roman" w:eastAsiaTheme="majorEastAsia" w:hAnsi="Times New Roman" w:cstheme="majorBidi"/>
          <w:i/>
          <w:sz w:val="40"/>
          <w:szCs w:val="26"/>
        </w:rPr>
      </w:pPr>
      <w:bookmarkStart w:id="308" w:name="_Toc37777359"/>
      <w:bookmarkStart w:id="309" w:name="_Toc59280971"/>
      <w:bookmarkStart w:id="310" w:name="_Toc75106106"/>
      <w:bookmarkStart w:id="311" w:name="_Toc84540962"/>
      <w:r w:rsidRPr="00E72418">
        <w:br w:type="page"/>
      </w:r>
    </w:p>
    <w:p w14:paraId="6C1CBCCB" w14:textId="33CBBDBB" w:rsidR="00102EBD" w:rsidRPr="00E72418" w:rsidRDefault="003C32DE" w:rsidP="00CC4BA8">
      <w:pPr>
        <w:pStyle w:val="BB"/>
        <w:spacing w:afterLines="60" w:after="144" w:line="276" w:lineRule="auto"/>
      </w:pPr>
      <w:r w:rsidRPr="00E72418">
        <w:lastRenderedPageBreak/>
        <w:t xml:space="preserve">Titre 1 : </w:t>
      </w:r>
      <w:r w:rsidR="005F6F52" w:rsidRPr="00E72418">
        <w:t>Les solutions indirectes</w:t>
      </w:r>
      <w:bookmarkEnd w:id="308"/>
      <w:bookmarkEnd w:id="309"/>
      <w:bookmarkEnd w:id="310"/>
      <w:bookmarkEnd w:id="311"/>
    </w:p>
    <w:p w14:paraId="25839B54" w14:textId="77777777" w:rsidR="000F1E35" w:rsidRPr="00E72418" w:rsidRDefault="000F1E35" w:rsidP="009B2B07"/>
    <w:p w14:paraId="44EAA86D" w14:textId="4DEB5843" w:rsidR="00EA5112" w:rsidRPr="00E72418" w:rsidRDefault="00BF6CE7" w:rsidP="00CC4BA8">
      <w:pPr>
        <w:spacing w:line="276" w:lineRule="auto"/>
      </w:pPr>
      <w:r w:rsidRPr="00E72418">
        <w:rPr>
          <w:b/>
        </w:rPr>
        <w:t>270</w:t>
      </w:r>
      <w:r w:rsidR="00A9718E" w:rsidRPr="00E72418">
        <w:rPr>
          <w:b/>
        </w:rPr>
        <w:t xml:space="preserve">. </w:t>
      </w:r>
      <w:r w:rsidR="001E77CE">
        <w:rPr>
          <w:b/>
        </w:rPr>
        <w:t xml:space="preserve">La </w:t>
      </w:r>
      <w:r w:rsidR="001E77CE" w:rsidRPr="001E77CE">
        <w:rPr>
          <w:b/>
          <w:i/>
        </w:rPr>
        <w:t>statutory approach</w:t>
      </w:r>
      <w:r w:rsidR="005F6F52" w:rsidRPr="00E72418">
        <w:rPr>
          <w:b/>
        </w:rPr>
        <w:t xml:space="preserve"> </w:t>
      </w:r>
      <w:r w:rsidR="001E77CE">
        <w:rPr>
          <w:b/>
        </w:rPr>
        <w:t xml:space="preserve">et la </w:t>
      </w:r>
      <w:r w:rsidR="001E77CE" w:rsidRPr="001E77CE">
        <w:rPr>
          <w:b/>
          <w:i/>
        </w:rPr>
        <w:t>contractual approach</w:t>
      </w:r>
      <w:r w:rsidR="00102EBD" w:rsidRPr="00E72418">
        <w:rPr>
          <w:b/>
        </w:rPr>
        <w:t xml:space="preserve"> – </w:t>
      </w:r>
      <w:r w:rsidR="00EA5112" w:rsidRPr="00E72418">
        <w:t xml:space="preserve">Deux grandes approches sont généralement avancées afin de </w:t>
      </w:r>
      <w:r w:rsidR="00F537DD" w:rsidRPr="00E72418">
        <w:t xml:space="preserve">permettre aux </w:t>
      </w:r>
      <w:r w:rsidR="00F537DD" w:rsidRPr="00E72418">
        <w:rPr>
          <w:lang w:eastAsia="fr-BE"/>
        </w:rPr>
        <w:t>É</w:t>
      </w:r>
      <w:r w:rsidR="00F537DD" w:rsidRPr="00E72418">
        <w:t xml:space="preserve">tats débiteurs de </w:t>
      </w:r>
      <w:r w:rsidR="00EA5112" w:rsidRPr="00E72418">
        <w:t xml:space="preserve">surmonter les </w:t>
      </w:r>
      <w:r w:rsidR="00F537DD" w:rsidRPr="00E72418">
        <w:t xml:space="preserve">difficultés rencontrées lors de la mise en place de mesures </w:t>
      </w:r>
      <w:r w:rsidR="004F2AD2" w:rsidRPr="00E72418">
        <w:t>de restructuration</w:t>
      </w:r>
      <w:r w:rsidR="007B402B" w:rsidRPr="00E72418">
        <w:t xml:space="preserve"> de leur dette ébranlée</w:t>
      </w:r>
      <w:r w:rsidR="004F2AD2" w:rsidRPr="00E72418">
        <w:t>, d</w:t>
      </w:r>
      <w:r w:rsidR="00EA5112" w:rsidRPr="00E72418">
        <w:t>ifficultés découlant souvent de l’attitude récalcitrante adoptée par certains créanciers. Sans être centrées sur le</w:t>
      </w:r>
      <w:r w:rsidR="001E77CE">
        <w:t xml:space="preserve">s seuls fonds spéculatifs, la </w:t>
      </w:r>
      <w:r w:rsidR="001E77CE" w:rsidRPr="001E77CE">
        <w:rPr>
          <w:i/>
        </w:rPr>
        <w:t>statutory approach</w:t>
      </w:r>
      <w:r w:rsidR="001E77CE">
        <w:t xml:space="preserve"> et la </w:t>
      </w:r>
      <w:r w:rsidR="001E77CE" w:rsidRPr="001E77CE">
        <w:rPr>
          <w:i/>
        </w:rPr>
        <w:t>contractual approach</w:t>
      </w:r>
      <w:r w:rsidR="00EA5112" w:rsidRPr="00E72418">
        <w:t xml:space="preserve"> offrent une solution indirecte aux problèmes que ces fonds peuvent poser.</w:t>
      </w:r>
    </w:p>
    <w:p w14:paraId="794C3F4D" w14:textId="36227DEE" w:rsidR="005F6F52" w:rsidRPr="00E72418" w:rsidRDefault="00F11B56" w:rsidP="00CC4BA8">
      <w:pPr>
        <w:spacing w:line="276" w:lineRule="auto"/>
      </w:pPr>
      <w:r w:rsidRPr="00E72418">
        <w:t xml:space="preserve">Avec la </w:t>
      </w:r>
      <w:r w:rsidR="009C5C3D" w:rsidRPr="00E72418">
        <w:rPr>
          <w:i/>
        </w:rPr>
        <w:t>statutory approach</w:t>
      </w:r>
      <w:r w:rsidR="0039525E" w:rsidRPr="00E72418">
        <w:rPr>
          <w:i/>
        </w:rPr>
        <w:t xml:space="preserve"> </w:t>
      </w:r>
      <w:r w:rsidR="0039525E" w:rsidRPr="00E72418">
        <w:t>(</w:t>
      </w:r>
      <w:r w:rsidR="0039525E" w:rsidRPr="00E72418">
        <w:rPr>
          <w:b/>
        </w:rPr>
        <w:t>chapitre 1</w:t>
      </w:r>
      <w:r w:rsidR="0039525E" w:rsidRPr="00E72418">
        <w:t>)</w:t>
      </w:r>
      <w:r w:rsidRPr="00E72418">
        <w:t xml:space="preserve">, la restructuration est appréhendée comme un processus de conciliation global, arbitré par un tiers impartial prenant en compte l’ensemble des intérêts en présence, et dont </w:t>
      </w:r>
      <w:r w:rsidR="007B402B" w:rsidRPr="00E72418">
        <w:t xml:space="preserve">les résultats sont opposables à </w:t>
      </w:r>
      <w:r w:rsidRPr="00E72418">
        <w:t xml:space="preserve">l’État débiteur et </w:t>
      </w:r>
      <w:r w:rsidR="007B402B" w:rsidRPr="00E72418">
        <w:t xml:space="preserve">à </w:t>
      </w:r>
      <w:r w:rsidRPr="00E72418">
        <w:t>ses créanciers</w:t>
      </w:r>
      <w:r w:rsidRPr="00E72418">
        <w:rPr>
          <w:rStyle w:val="Appelnotedebasdep"/>
          <w:rFonts w:cs="Times New Roman"/>
          <w:szCs w:val="24"/>
        </w:rPr>
        <w:footnoteReference w:id="1332"/>
      </w:r>
      <w:r w:rsidRPr="00E72418">
        <w:t xml:space="preserve">. </w:t>
      </w:r>
      <w:r w:rsidR="007B402B" w:rsidRPr="00E72418">
        <w:t>Dès lors qu’aucun mécanisme collectif permettant de régler les difficultés relatives aux dettes souveraines</w:t>
      </w:r>
      <w:r w:rsidR="005F6F52" w:rsidRPr="00E72418">
        <w:t xml:space="preserve"> n’existe </w:t>
      </w:r>
      <w:r w:rsidR="00423062" w:rsidRPr="00E72418">
        <w:t xml:space="preserve">actuellement et qu’il ne semble pas qu’il en </w:t>
      </w:r>
      <w:r w:rsidR="00D36C7D" w:rsidRPr="00E72418">
        <w:t>exister</w:t>
      </w:r>
      <w:r w:rsidR="00423062" w:rsidRPr="00E72418">
        <w:t>a</w:t>
      </w:r>
      <w:r w:rsidR="00D36C7D" w:rsidRPr="00E72418">
        <w:t xml:space="preserve"> </w:t>
      </w:r>
      <w:r w:rsidR="00423062" w:rsidRPr="00E72418">
        <w:t xml:space="preserve">un </w:t>
      </w:r>
      <w:r w:rsidR="00D36C7D" w:rsidRPr="00E72418">
        <w:t>à court terme</w:t>
      </w:r>
      <w:r w:rsidR="005F6F52" w:rsidRPr="00E72418">
        <w:t xml:space="preserve">, </w:t>
      </w:r>
      <w:r w:rsidR="00D36C7D" w:rsidRPr="00E72418">
        <w:t xml:space="preserve">certains </w:t>
      </w:r>
      <w:r w:rsidR="005F6F52" w:rsidRPr="00E72418">
        <w:t xml:space="preserve">voient </w:t>
      </w:r>
      <w:r w:rsidR="00423062" w:rsidRPr="00E72418">
        <w:t xml:space="preserve">dans le contrat formalisant la dette </w:t>
      </w:r>
      <w:r w:rsidR="005F6F52" w:rsidRPr="00E72418">
        <w:t xml:space="preserve">une </w:t>
      </w:r>
      <w:r w:rsidR="00423062" w:rsidRPr="00E72418">
        <w:t xml:space="preserve">autre </w:t>
      </w:r>
      <w:r w:rsidR="005F6F52" w:rsidRPr="00E72418">
        <w:t>possibilité de gestion des crises</w:t>
      </w:r>
      <w:r w:rsidR="005F6F52" w:rsidRPr="00E72418">
        <w:rPr>
          <w:rStyle w:val="Appelnotedebasdep"/>
        </w:rPr>
        <w:footnoteReference w:id="1333"/>
      </w:r>
      <w:r w:rsidR="005F6F52" w:rsidRPr="00E72418">
        <w:t>.</w:t>
      </w:r>
      <w:r w:rsidR="00D36C7D" w:rsidRPr="00E72418">
        <w:t xml:space="preserve"> </w:t>
      </w:r>
      <w:r w:rsidR="00423062" w:rsidRPr="00E72418">
        <w:t>Ainsi, l</w:t>
      </w:r>
      <w:r w:rsidR="00D36C7D" w:rsidRPr="00E72418">
        <w:t xml:space="preserve">a </w:t>
      </w:r>
      <w:r w:rsidR="009C5C3D" w:rsidRPr="00E72418">
        <w:rPr>
          <w:i/>
        </w:rPr>
        <w:t>contractual approach</w:t>
      </w:r>
      <w:r w:rsidR="00D36C7D" w:rsidRPr="00E72418">
        <w:t xml:space="preserve"> </w:t>
      </w:r>
      <w:r w:rsidR="0039525E" w:rsidRPr="00E72418">
        <w:t>(</w:t>
      </w:r>
      <w:r w:rsidR="0039525E" w:rsidRPr="00E72418">
        <w:rPr>
          <w:b/>
        </w:rPr>
        <w:t>chapitre 2</w:t>
      </w:r>
      <w:r w:rsidR="0039525E" w:rsidRPr="00E72418">
        <w:t xml:space="preserve">) </w:t>
      </w:r>
      <w:r w:rsidR="00C27666" w:rsidRPr="00E72418">
        <w:t>vis</w:t>
      </w:r>
      <w:r w:rsidR="00423062" w:rsidRPr="00E72418">
        <w:t xml:space="preserve">e </w:t>
      </w:r>
      <w:r w:rsidR="00C27666" w:rsidRPr="00E72418">
        <w:t xml:space="preserve">la résolution des difficultés entourant les dettes souveraines par </w:t>
      </w:r>
      <w:r w:rsidR="007520B5" w:rsidRPr="00E72418">
        <w:t>l’adaptation de</w:t>
      </w:r>
      <w:r w:rsidR="003C6CB1" w:rsidRPr="00E72418">
        <w:t xml:space="preserve"> leurs </w:t>
      </w:r>
      <w:r w:rsidR="0039525E" w:rsidRPr="00E72418">
        <w:t>modalités contractuelles</w:t>
      </w:r>
      <w:r w:rsidR="00C27666" w:rsidRPr="00E72418">
        <w:t xml:space="preserve">. Cette approche </w:t>
      </w:r>
      <w:r w:rsidR="00D36C7D" w:rsidRPr="00E72418">
        <w:t xml:space="preserve">consiste généralement en l’insertion de clauses d’action collective dans les contrats de dettes souveraines </w:t>
      </w:r>
      <w:r w:rsidR="0090174B" w:rsidRPr="00E72418">
        <w:t xml:space="preserve">afin de permettre à une majorité de créanciers de pouvoir </w:t>
      </w:r>
      <w:r w:rsidR="00D36C7D" w:rsidRPr="00E72418">
        <w:t>décider pour l’ensemble d’entre eux qu’une res</w:t>
      </w:r>
      <w:r w:rsidR="005A77B7" w:rsidRPr="00E72418">
        <w:t>tructuration doit être engagée.</w:t>
      </w:r>
    </w:p>
    <w:p w14:paraId="7D2567C7" w14:textId="77777777" w:rsidR="005A77B7" w:rsidRPr="00E72418" w:rsidRDefault="005A77B7" w:rsidP="00CC4BA8">
      <w:pPr>
        <w:spacing w:line="276" w:lineRule="auto"/>
      </w:pPr>
      <w:r w:rsidRPr="00E72418">
        <w:t>Le traitement de ces deux approches</w:t>
      </w:r>
      <w:r w:rsidR="00F03CFD" w:rsidRPr="00E72418">
        <w:t xml:space="preserve"> offrant une solution indirecte</w:t>
      </w:r>
      <w:r w:rsidRPr="00E72418">
        <w:t xml:space="preserve"> aux problèmes posés par les</w:t>
      </w:r>
      <w:r w:rsidR="00B41CCF" w:rsidRPr="00E72418">
        <w:t xml:space="preserve"> activités des fonds spéculant</w:t>
      </w:r>
      <w:r w:rsidRPr="00E72418">
        <w:t xml:space="preserve"> sur les dettes souveraines sera circonscrit, d’une part, à l’impact positif qu’elles peuvent avoir, d’autre part, à leurs carences rendant </w:t>
      </w:r>
      <w:r w:rsidR="00F03CFD" w:rsidRPr="00E72418">
        <w:t>une solution plus directe opportune.</w:t>
      </w:r>
    </w:p>
    <w:p w14:paraId="1F0B3269" w14:textId="77777777" w:rsidR="005F6F52" w:rsidRPr="00E72418" w:rsidRDefault="005F6F52" w:rsidP="009B2B07"/>
    <w:p w14:paraId="0B999607" w14:textId="3E95C21D" w:rsidR="005F6F52" w:rsidRPr="00E72418" w:rsidRDefault="008665DF" w:rsidP="00CC4BA8">
      <w:pPr>
        <w:pStyle w:val="CC"/>
        <w:spacing w:afterLines="60" w:after="144" w:line="276" w:lineRule="auto"/>
      </w:pPr>
      <w:bookmarkStart w:id="312" w:name="_Toc37777360"/>
      <w:bookmarkStart w:id="313" w:name="_Toc59280972"/>
      <w:bookmarkStart w:id="314" w:name="_Toc75106107"/>
      <w:bookmarkStart w:id="315" w:name="_Toc84540963"/>
      <w:r w:rsidRPr="00E72418">
        <w:t xml:space="preserve">Chapitre 1 : </w:t>
      </w:r>
      <w:r w:rsidR="005F6F52" w:rsidRPr="00E72418">
        <w:t xml:space="preserve">La </w:t>
      </w:r>
      <w:r w:rsidR="001243C1" w:rsidRPr="00E72418">
        <w:t xml:space="preserve">réglementation </w:t>
      </w:r>
      <w:r w:rsidR="005F6F52" w:rsidRPr="00E72418">
        <w:t>des restructurations</w:t>
      </w:r>
      <w:bookmarkEnd w:id="312"/>
      <w:bookmarkEnd w:id="313"/>
      <w:bookmarkEnd w:id="314"/>
      <w:bookmarkEnd w:id="315"/>
    </w:p>
    <w:p w14:paraId="465A4E06" w14:textId="77777777" w:rsidR="00BE6960" w:rsidRPr="00E72418" w:rsidRDefault="00BE6960" w:rsidP="009B2B07"/>
    <w:p w14:paraId="433AC139" w14:textId="12DE8094" w:rsidR="00B50982" w:rsidRPr="00E72418" w:rsidRDefault="00BF6CE7" w:rsidP="00B50982">
      <w:pPr>
        <w:spacing w:line="276" w:lineRule="auto"/>
      </w:pPr>
      <w:r w:rsidRPr="00E72418">
        <w:rPr>
          <w:b/>
        </w:rPr>
        <w:t>271</w:t>
      </w:r>
      <w:r w:rsidR="00B50982" w:rsidRPr="00E72418">
        <w:rPr>
          <w:b/>
        </w:rPr>
        <w:t xml:space="preserve">. Une appréhension </w:t>
      </w:r>
      <w:r w:rsidR="009D0802" w:rsidRPr="00E72418">
        <w:rPr>
          <w:b/>
        </w:rPr>
        <w:t xml:space="preserve">globale </w:t>
      </w:r>
      <w:r w:rsidR="00B50982" w:rsidRPr="00E72418">
        <w:rPr>
          <w:b/>
        </w:rPr>
        <w:t>–</w:t>
      </w:r>
      <w:r w:rsidR="00B50982" w:rsidRPr="00E72418">
        <w:t xml:space="preserve"> Le </w:t>
      </w:r>
      <w:r w:rsidR="00B50982" w:rsidRPr="00E72418">
        <w:rPr>
          <w:i/>
        </w:rPr>
        <w:t>modus operandi</w:t>
      </w:r>
      <w:r w:rsidR="00B50982" w:rsidRPr="00E72418">
        <w:t xml:space="preserve"> des fonds spéculant sur les dettes souveraines est </w:t>
      </w:r>
      <w:r w:rsidR="00372DFE">
        <w:t xml:space="preserve">notamment </w:t>
      </w:r>
      <w:r w:rsidR="00B50982" w:rsidRPr="00E72418">
        <w:t>rendu possible par le fait qu’aucun mécanisme de restructuration de ces dettes n’existe (</w:t>
      </w:r>
      <w:r w:rsidR="00B50982" w:rsidRPr="00E72418">
        <w:rPr>
          <w:b/>
        </w:rPr>
        <w:t>section 1</w:t>
      </w:r>
      <w:r w:rsidR="00B50982" w:rsidRPr="00E72418">
        <w:t>). Les États rencontrant des difficultés</w:t>
      </w:r>
      <w:r w:rsidR="001E77CE">
        <w:t>,</w:t>
      </w:r>
      <w:r w:rsidR="00B50982" w:rsidRPr="00E72418">
        <w:t xml:space="preserve"> voire une impossibilité</w:t>
      </w:r>
      <w:r w:rsidR="001E77CE">
        <w:t>,</w:t>
      </w:r>
      <w:r w:rsidR="00B50982" w:rsidRPr="00E72418">
        <w:t xml:space="preserve"> à honorer le service de leur dette ne bénéficient pas des protections généralement offertes par les mécanismes de faillite</w:t>
      </w:r>
      <w:r w:rsidR="00B50982" w:rsidRPr="00E72418">
        <w:rPr>
          <w:rStyle w:val="Appelnotedebasdep"/>
          <w:rFonts w:cs="Times New Roman"/>
          <w:szCs w:val="24"/>
        </w:rPr>
        <w:footnoteReference w:id="1334"/>
      </w:r>
      <w:r w:rsidR="00B50982" w:rsidRPr="00E72418">
        <w:t xml:space="preserve">. Pourtant l’existence d’un cadre entourant les restructurations des </w:t>
      </w:r>
      <w:r w:rsidR="00B50982" w:rsidRPr="00E72418">
        <w:lastRenderedPageBreak/>
        <w:t>dettes souveraines avec des contraintes pouvant être imposées par un tiers impartial est indubitablement de nature à décourager les activités des fonds spéculatifs</w:t>
      </w:r>
      <w:r w:rsidR="00B50982" w:rsidRPr="00E72418">
        <w:rPr>
          <w:rStyle w:val="Appelnotedebasdep"/>
          <w:rFonts w:cs="Times New Roman"/>
          <w:szCs w:val="24"/>
        </w:rPr>
        <w:footnoteReference w:id="1335"/>
      </w:r>
      <w:r w:rsidR="00B50982" w:rsidRPr="00E72418">
        <w:t xml:space="preserve">. Des tentatives sont intervenues afin de combler la carence sans toutefois </w:t>
      </w:r>
      <w:r w:rsidR="003C6CB1" w:rsidRPr="00E72418">
        <w:t>aboutir</w:t>
      </w:r>
      <w:r w:rsidR="00B50982" w:rsidRPr="00E72418">
        <w:t xml:space="preserve"> (</w:t>
      </w:r>
      <w:r w:rsidR="00B50982" w:rsidRPr="00E72418">
        <w:rPr>
          <w:b/>
        </w:rPr>
        <w:t>section 2</w:t>
      </w:r>
      <w:r w:rsidR="00B50982" w:rsidRPr="00E72418">
        <w:t>).</w:t>
      </w:r>
    </w:p>
    <w:p w14:paraId="357CC905" w14:textId="41A827B2" w:rsidR="00B50982" w:rsidRPr="00E72418" w:rsidRDefault="00B50982" w:rsidP="00B50982">
      <w:pPr>
        <w:spacing w:line="276" w:lineRule="auto"/>
      </w:pPr>
      <w:r w:rsidRPr="00E72418">
        <w:t xml:space="preserve">Bien que l’importance de parvenir à un mécanisme de restructuration des dettes souveraines dépasse le seul intérêt de la </w:t>
      </w:r>
      <w:r w:rsidR="004F7711" w:rsidRPr="00E72418">
        <w:t xml:space="preserve">réglementation </w:t>
      </w:r>
      <w:r w:rsidRPr="00E72418">
        <w:t xml:space="preserve">des activités des fonds spéculatifs, il n’en demeure pas moins que l’adoption d’un tel mécanisme aura cet effet positif en ce que, l’explique la Conférence des Nations Unies sur le commerce et le développement, « it would definitely close gaps in the current </w:t>
      </w:r>
      <w:r w:rsidRPr="00E72418">
        <w:rPr>
          <w:i/>
          <w:iCs/>
        </w:rPr>
        <w:t>ad</w:t>
      </w:r>
      <w:r w:rsidRPr="00E72418">
        <w:t xml:space="preserve"> </w:t>
      </w:r>
      <w:r w:rsidRPr="00E72418">
        <w:rPr>
          <w:i/>
          <w:iCs/>
        </w:rPr>
        <w:t>hoc</w:t>
      </w:r>
      <w:r w:rsidRPr="00E72418">
        <w:t xml:space="preserve"> system that are being exploited by vulture funds and allow them to obtain preferential settlements outside of a consensual workout process »</w:t>
      </w:r>
      <w:r w:rsidRPr="00E72418">
        <w:rPr>
          <w:rStyle w:val="Appelnotedebasdep"/>
          <w:rFonts w:cs="Times New Roman"/>
          <w:szCs w:val="24"/>
        </w:rPr>
        <w:footnoteReference w:id="1336"/>
      </w:r>
      <w:r w:rsidRPr="00E72418">
        <w:t>. Ces lacunes dont tirent profit les fonds spéculatifs illustrent l’iniquité de la façon dont les restructurations se déroulent généralement faute de mécanisme les entourant et permettent ainsi de relever quelques caractéristiques essentielles du mécanisme souhaité (</w:t>
      </w:r>
      <w:r w:rsidRPr="00E72418">
        <w:rPr>
          <w:b/>
        </w:rPr>
        <w:t>section 3</w:t>
      </w:r>
      <w:r w:rsidRPr="00E72418">
        <w:t>).</w:t>
      </w:r>
    </w:p>
    <w:p w14:paraId="1E1D40A5" w14:textId="77777777" w:rsidR="00E57603" w:rsidRPr="00E72418" w:rsidRDefault="00E57603" w:rsidP="009B2B07"/>
    <w:p w14:paraId="6345B2F6" w14:textId="67743ABD" w:rsidR="00E57603" w:rsidRPr="00E72418" w:rsidRDefault="008665DF" w:rsidP="00CC4BA8">
      <w:pPr>
        <w:pStyle w:val="DD"/>
        <w:spacing w:line="276" w:lineRule="auto"/>
      </w:pPr>
      <w:bookmarkStart w:id="316" w:name="_Toc37777363"/>
      <w:bookmarkStart w:id="317" w:name="_Toc59280973"/>
      <w:bookmarkStart w:id="318" w:name="_Toc84540964"/>
      <w:bookmarkStart w:id="319" w:name="_Toc37777371"/>
      <w:r w:rsidRPr="00E72418">
        <w:t xml:space="preserve">Section 1 : </w:t>
      </w:r>
      <w:r w:rsidR="00E57603" w:rsidRPr="00E72418">
        <w:t>L</w:t>
      </w:r>
      <w:bookmarkEnd w:id="316"/>
      <w:r w:rsidR="006A5BD1" w:rsidRPr="00E72418">
        <w:t>a carence</w:t>
      </w:r>
      <w:bookmarkEnd w:id="317"/>
      <w:bookmarkEnd w:id="318"/>
    </w:p>
    <w:p w14:paraId="70FE4444" w14:textId="77777777" w:rsidR="00BE6960" w:rsidRPr="00E72418" w:rsidRDefault="00BE6960" w:rsidP="009B2B07"/>
    <w:p w14:paraId="12C150CC" w14:textId="06C76357" w:rsidR="00E57603" w:rsidRPr="00E72418" w:rsidRDefault="00BF6CE7" w:rsidP="009B5B86">
      <w:pPr>
        <w:autoSpaceDE w:val="0"/>
        <w:autoSpaceDN w:val="0"/>
        <w:adjustRightInd w:val="0"/>
        <w:spacing w:line="276" w:lineRule="auto"/>
        <w:rPr>
          <w:rFonts w:ascii="Times New Roman" w:hAnsi="Times New Roman" w:cs="Times New Roman"/>
          <w:szCs w:val="24"/>
          <w:lang w:val="fr-BE"/>
        </w:rPr>
      </w:pPr>
      <w:r w:rsidRPr="00E72418">
        <w:rPr>
          <w:b/>
        </w:rPr>
        <w:t>272</w:t>
      </w:r>
      <w:r w:rsidR="00817D62" w:rsidRPr="00E72418">
        <w:rPr>
          <w:b/>
        </w:rPr>
        <w:t xml:space="preserve">. </w:t>
      </w:r>
      <w:r w:rsidR="00E57603" w:rsidRPr="00E72418">
        <w:rPr>
          <w:b/>
        </w:rPr>
        <w:t>Un manque regrettable –</w:t>
      </w:r>
      <w:r w:rsidR="00E57603" w:rsidRPr="00E72418">
        <w:t xml:space="preserve"> </w:t>
      </w:r>
      <w:r w:rsidR="0005056B" w:rsidRPr="00E72418">
        <w:t xml:space="preserve">Comme le notent </w:t>
      </w:r>
      <w:r w:rsidR="00B86471" w:rsidRPr="00E72418">
        <w:t xml:space="preserve">Stephen </w:t>
      </w:r>
      <w:r w:rsidR="0005056B" w:rsidRPr="00E72418">
        <w:t xml:space="preserve">Park et </w:t>
      </w:r>
      <w:r w:rsidR="00B86471" w:rsidRPr="00E72418">
        <w:t xml:space="preserve">Tim </w:t>
      </w:r>
      <w:r w:rsidR="0005056B" w:rsidRPr="00E72418">
        <w:t>Samples, « </w:t>
      </w:r>
      <w:r w:rsidR="0005056B" w:rsidRPr="00E72418">
        <w:rPr>
          <w:rFonts w:ascii="Times New Roman" w:hAnsi="Times New Roman" w:cs="Times New Roman"/>
          <w:szCs w:val="24"/>
        </w:rPr>
        <w:t>[s]</w:t>
      </w:r>
      <w:r w:rsidR="0005056B" w:rsidRPr="00E72418">
        <w:rPr>
          <w:rFonts w:ascii="Times New Roman" w:hAnsi="Times New Roman" w:cs="Times New Roman"/>
          <w:szCs w:val="24"/>
          <w:lang w:val="fr-BE"/>
        </w:rPr>
        <w:t>overeign debt markets operate in a legal and regulatory void, largely free from direct regulatory or legal authority »</w:t>
      </w:r>
      <w:r w:rsidR="0005056B" w:rsidRPr="00E72418">
        <w:rPr>
          <w:rStyle w:val="Appelnotedebasdep"/>
          <w:rFonts w:ascii="Times New Roman" w:hAnsi="Times New Roman" w:cs="Times New Roman"/>
          <w:szCs w:val="24"/>
          <w:lang w:val="fr-BE"/>
        </w:rPr>
        <w:footnoteReference w:id="1337"/>
      </w:r>
      <w:r w:rsidR="0005056B" w:rsidRPr="00E72418">
        <w:rPr>
          <w:rFonts w:ascii="Times New Roman" w:hAnsi="Times New Roman" w:cs="Times New Roman"/>
          <w:szCs w:val="24"/>
          <w:lang w:val="fr-BE"/>
        </w:rPr>
        <w:t xml:space="preserve">. </w:t>
      </w:r>
      <w:r w:rsidR="0005056B" w:rsidRPr="00E72418">
        <w:t>Pourtant, l</w:t>
      </w:r>
      <w:r w:rsidR="00E57603" w:rsidRPr="00E72418">
        <w:t xml:space="preserve">es </w:t>
      </w:r>
      <w:r w:rsidR="0080344F" w:rsidRPr="00E72418">
        <w:t>problèmes dans lesquels sont plongé</w:t>
      </w:r>
      <w:r w:rsidR="00E57603" w:rsidRPr="00E72418">
        <w:t xml:space="preserve">s les débiteurs </w:t>
      </w:r>
      <w:r w:rsidR="0080344F" w:rsidRPr="00E72418">
        <w:t xml:space="preserve">souverains </w:t>
      </w:r>
      <w:r w:rsidR="00E57603" w:rsidRPr="00E72418">
        <w:t xml:space="preserve">et leurs créanciers lorsque les premiers rencontrent des difficultés à honorer leurs dettes </w:t>
      </w:r>
      <w:r w:rsidR="0080344F" w:rsidRPr="00E72418">
        <w:t xml:space="preserve">font souhaiter </w:t>
      </w:r>
      <w:r w:rsidR="00700528" w:rsidRPr="00E72418">
        <w:t>l’existence d’</w:t>
      </w:r>
      <w:r w:rsidR="00E57603" w:rsidRPr="00E72418">
        <w:t xml:space="preserve">un mécanisme juridique permettant de surmonter </w:t>
      </w:r>
      <w:r w:rsidR="0080344F" w:rsidRPr="00E72418">
        <w:t>celles-ci</w:t>
      </w:r>
      <w:r w:rsidR="00E57603" w:rsidRPr="00E72418">
        <w:t xml:space="preserve"> d’une façon qui soit respectueuse de l’ens</w:t>
      </w:r>
      <w:r w:rsidR="006F6AF9" w:rsidRPr="00E72418">
        <w:t xml:space="preserve">emble des intérêts en présence. </w:t>
      </w:r>
      <w:r w:rsidR="0080344F" w:rsidRPr="00E72418">
        <w:t xml:space="preserve">Si </w:t>
      </w:r>
      <w:r w:rsidR="00E57603" w:rsidRPr="00E72418">
        <w:t xml:space="preserve">le mécanisme de l’insolvabilité permet </w:t>
      </w:r>
      <w:r w:rsidR="0080344F" w:rsidRPr="00E72418">
        <w:t xml:space="preserve">en règle </w:t>
      </w:r>
      <w:r w:rsidR="00E57603" w:rsidRPr="00E72418">
        <w:t>d’assurer une résolution juste et équitable des difficultés</w:t>
      </w:r>
      <w:r w:rsidR="0080344F" w:rsidRPr="00E72418">
        <w:t xml:space="preserve"> financières</w:t>
      </w:r>
      <w:r w:rsidR="00E57603" w:rsidRPr="00E72418">
        <w:rPr>
          <w:rStyle w:val="Appelnotedebasdep"/>
        </w:rPr>
        <w:footnoteReference w:id="1338"/>
      </w:r>
      <w:r w:rsidR="0080344F" w:rsidRPr="00E72418">
        <w:t>, u</w:t>
      </w:r>
      <w:r w:rsidR="00E57603" w:rsidRPr="00E72418">
        <w:t xml:space="preserve">n tel mécanisme est inexistant </w:t>
      </w:r>
      <w:r w:rsidR="00D767F3" w:rsidRPr="00E72418">
        <w:t xml:space="preserve">lorsque les débiteurs sont des </w:t>
      </w:r>
      <w:r w:rsidR="00D767F3" w:rsidRPr="00E72418">
        <w:rPr>
          <w:lang w:eastAsia="fr-BE"/>
        </w:rPr>
        <w:t>É</w:t>
      </w:r>
      <w:r w:rsidR="00E57603" w:rsidRPr="00E72418">
        <w:t>tats souverains ne pouvant être liquidés ni voir leurs avoirs réalis</w:t>
      </w:r>
      <w:r w:rsidR="006F6AF9" w:rsidRPr="00E72418">
        <w:t>és afin d’honorer leurs créance</w:t>
      </w:r>
      <w:r w:rsidR="00E57603" w:rsidRPr="00E72418">
        <w:t>s</w:t>
      </w:r>
      <w:r w:rsidR="00E57603" w:rsidRPr="00E72418">
        <w:rPr>
          <w:rStyle w:val="Appelnotedebasdep"/>
        </w:rPr>
        <w:footnoteReference w:id="1339"/>
      </w:r>
      <w:r w:rsidR="00E57603" w:rsidRPr="00E72418">
        <w:t xml:space="preserve">. </w:t>
      </w:r>
      <w:r w:rsidR="006F6AF9" w:rsidRPr="00E72418">
        <w:t>Achoppant sur leur dette, les</w:t>
      </w:r>
      <w:r w:rsidR="00E57603" w:rsidRPr="00E72418">
        <w:t xml:space="preserve"> États n’ont </w:t>
      </w:r>
      <w:r w:rsidR="006F6AF9" w:rsidRPr="00E72418">
        <w:t xml:space="preserve">par conséquent </w:t>
      </w:r>
      <w:r w:rsidR="00E57603" w:rsidRPr="00E72418">
        <w:t xml:space="preserve">d’autre choix que de s’engager dans un dialogue avec leurs créanciers qu’ils doivent espérer constructif. Les débiteurs souverains n’ont </w:t>
      </w:r>
      <w:r w:rsidR="006F6AF9" w:rsidRPr="00E72418">
        <w:t xml:space="preserve">en effet </w:t>
      </w:r>
      <w:r w:rsidR="00E57603" w:rsidRPr="00E72418">
        <w:t xml:space="preserve">à leur disposition </w:t>
      </w:r>
      <w:r w:rsidR="00E57603" w:rsidRPr="00E72418">
        <w:lastRenderedPageBreak/>
        <w:t xml:space="preserve">aucun mécanisme juridique leur permettant de contraindre leurs créanciers à participer à </w:t>
      </w:r>
      <w:r w:rsidR="006F6AF9" w:rsidRPr="00E72418">
        <w:t>une résolution concertée</w:t>
      </w:r>
      <w:r w:rsidR="00E57603" w:rsidRPr="00E72418">
        <w:t>.</w:t>
      </w:r>
      <w:r w:rsidR="006F6AF9" w:rsidRPr="00E72418">
        <w:t xml:space="preserve"> </w:t>
      </w:r>
      <w:r w:rsidR="006F6AF9" w:rsidRPr="00E72418">
        <w:rPr>
          <w:rFonts w:ascii="Times New Roman" w:hAnsi="Times New Roman" w:cs="Times New Roman"/>
          <w:szCs w:val="24"/>
        </w:rPr>
        <w:t xml:space="preserve">Aussi, dans les faits, l’on constate que les restructurations des dettes souveraines se font souvent de manière déstructurée à travers toute une série d’arrangements </w:t>
      </w:r>
      <w:r w:rsidR="006F6AF9" w:rsidRPr="00E72418">
        <w:rPr>
          <w:rFonts w:ascii="Times New Roman" w:hAnsi="Times New Roman" w:cs="Times New Roman"/>
          <w:i/>
          <w:szCs w:val="24"/>
        </w:rPr>
        <w:t>ad hoc</w:t>
      </w:r>
      <w:r w:rsidR="006F6AF9" w:rsidRPr="00E72418">
        <w:rPr>
          <w:rFonts w:ascii="Times New Roman" w:hAnsi="Times New Roman" w:cs="Times New Roman"/>
          <w:szCs w:val="24"/>
        </w:rPr>
        <w:t xml:space="preserve"> conduisant à un réel manque d’efficience</w:t>
      </w:r>
      <w:r w:rsidR="006F6AF9" w:rsidRPr="00E72418">
        <w:rPr>
          <w:rStyle w:val="Appelnotedebasdep"/>
          <w:rFonts w:ascii="Times New Roman" w:hAnsi="Times New Roman" w:cs="Times New Roman"/>
          <w:szCs w:val="24"/>
        </w:rPr>
        <w:footnoteReference w:id="1340"/>
      </w:r>
      <w:r w:rsidR="006F6AF9" w:rsidRPr="00E72418">
        <w:rPr>
          <w:rFonts w:ascii="Times New Roman" w:hAnsi="Times New Roman" w:cs="Times New Roman"/>
          <w:szCs w:val="24"/>
        </w:rPr>
        <w:t xml:space="preserve">. </w:t>
      </w:r>
      <w:r w:rsidR="00700528" w:rsidRPr="00E72418">
        <w:rPr>
          <w:rFonts w:ascii="Times New Roman" w:hAnsi="Times New Roman" w:cs="Times New Roman"/>
          <w:szCs w:val="24"/>
        </w:rPr>
        <w:t>Même s</w:t>
      </w:r>
      <w:r w:rsidR="006F6AF9" w:rsidRPr="00E72418">
        <w:rPr>
          <w:rFonts w:ascii="Times New Roman" w:hAnsi="Times New Roman" w:cs="Times New Roman"/>
          <w:szCs w:val="24"/>
        </w:rPr>
        <w:t>i les restructurations entreprises sur base volontaire peuvent conduire à des résultats satisfaisants, ceux-ci sont à ce point incertain</w:t>
      </w:r>
      <w:r w:rsidR="00700528" w:rsidRPr="00E72418">
        <w:rPr>
          <w:rFonts w:ascii="Times New Roman" w:hAnsi="Times New Roman" w:cs="Times New Roman"/>
          <w:szCs w:val="24"/>
        </w:rPr>
        <w:t>s</w:t>
      </w:r>
      <w:r w:rsidR="006F6AF9" w:rsidRPr="00E72418">
        <w:rPr>
          <w:rFonts w:ascii="Times New Roman" w:hAnsi="Times New Roman" w:cs="Times New Roman"/>
          <w:szCs w:val="24"/>
        </w:rPr>
        <w:t xml:space="preserve"> qu’un mécanisme institutionnalisé est souhaitable.</w:t>
      </w:r>
    </w:p>
    <w:p w14:paraId="1D4565B2" w14:textId="1C3B65FA" w:rsidR="00E57603" w:rsidRPr="00E72418" w:rsidRDefault="00E57603" w:rsidP="00CC4BA8">
      <w:pPr>
        <w:spacing w:line="276" w:lineRule="auto"/>
      </w:pPr>
      <w:r w:rsidRPr="00E72418">
        <w:t xml:space="preserve">Prenant exemple de la crise argentine, </w:t>
      </w:r>
      <w:r w:rsidR="00EA7FD2" w:rsidRPr="00E72418">
        <w:t xml:space="preserve">Pablo </w:t>
      </w:r>
      <w:r w:rsidRPr="00E72418">
        <w:t xml:space="preserve">Lopez et </w:t>
      </w:r>
      <w:r w:rsidR="00EA7FD2" w:rsidRPr="00E72418">
        <w:t xml:space="preserve">Cecilia </w:t>
      </w:r>
      <w:r w:rsidRPr="00E72418">
        <w:t>Nahon relèvent l’importance d’un mécanisme de restructuration des dettes souveraines</w:t>
      </w:r>
      <w:r w:rsidR="006F6AF9" w:rsidRPr="00E72418">
        <w:t xml:space="preserve"> en remarquant que </w:t>
      </w:r>
      <w:r w:rsidRPr="00E72418">
        <w:t>« the only way to overcome the debt-recession trap is a timely and big-enough debt retructuring mechanism that provides an economy with a fresh start »</w:t>
      </w:r>
      <w:r w:rsidRPr="00E72418">
        <w:rPr>
          <w:rStyle w:val="Appelnotedebasdep"/>
          <w:rFonts w:cs="Times New Roman"/>
          <w:szCs w:val="24"/>
        </w:rPr>
        <w:footnoteReference w:id="1341"/>
      </w:r>
      <w:r w:rsidRPr="00E72418">
        <w:t>. Pour ces mêmes auteurs, « [</w:t>
      </w:r>
      <w:r w:rsidR="00700528" w:rsidRPr="00E72418">
        <w:t>n]either austerity policies nor</w:t>
      </w:r>
      <w:r w:rsidRPr="00E72418">
        <w:t xml:space="preserve"> debt roll-overs h</w:t>
      </w:r>
      <w:r w:rsidR="0004079A" w:rsidRPr="00E72418">
        <w:t xml:space="preserve">ave done the job » de sorte qu’ </w:t>
      </w:r>
      <w:r w:rsidRPr="00E72418">
        <w:t>« an orderly, predictable, fair and balanced sovereign debt restructuring system is such a relevant […] component of the international financial architecture »</w:t>
      </w:r>
      <w:r w:rsidRPr="00E72418">
        <w:rPr>
          <w:rStyle w:val="Appelnotedebasdep"/>
          <w:rFonts w:cs="Times New Roman"/>
          <w:szCs w:val="24"/>
        </w:rPr>
        <w:footnoteReference w:id="1342"/>
      </w:r>
      <w:r w:rsidRPr="00E72418">
        <w:t>.</w:t>
      </w:r>
    </w:p>
    <w:p w14:paraId="0A5B315D" w14:textId="77777777" w:rsidR="00E57603" w:rsidRPr="00E72418" w:rsidRDefault="00E57603" w:rsidP="009B2B07"/>
    <w:p w14:paraId="67816C23" w14:textId="40BA6FA7" w:rsidR="00E57603" w:rsidRPr="00E72418" w:rsidRDefault="00BF6CE7" w:rsidP="00CC4BA8">
      <w:pPr>
        <w:spacing w:line="276" w:lineRule="auto"/>
      </w:pPr>
      <w:r w:rsidRPr="00E72418">
        <w:rPr>
          <w:rFonts w:cs="Times New Roman"/>
          <w:b/>
          <w:szCs w:val="24"/>
        </w:rPr>
        <w:t>273</w:t>
      </w:r>
      <w:r w:rsidR="00817D62" w:rsidRPr="00E72418">
        <w:rPr>
          <w:rFonts w:cs="Times New Roman"/>
          <w:b/>
          <w:szCs w:val="24"/>
        </w:rPr>
        <w:t xml:space="preserve">. </w:t>
      </w:r>
      <w:r w:rsidR="00013A39" w:rsidRPr="00E72418">
        <w:rPr>
          <w:rFonts w:cs="Times New Roman"/>
          <w:b/>
          <w:szCs w:val="24"/>
        </w:rPr>
        <w:t>L’importance</w:t>
      </w:r>
      <w:r w:rsidR="00E57603" w:rsidRPr="00E72418">
        <w:rPr>
          <w:rFonts w:cs="Times New Roman"/>
          <w:b/>
          <w:szCs w:val="24"/>
        </w:rPr>
        <w:t xml:space="preserve"> de pallier </w:t>
      </w:r>
      <w:r w:rsidR="00700528" w:rsidRPr="00E72418">
        <w:rPr>
          <w:rFonts w:cs="Times New Roman"/>
          <w:b/>
          <w:szCs w:val="24"/>
        </w:rPr>
        <w:t>la carence</w:t>
      </w:r>
      <w:r w:rsidR="00E57603" w:rsidRPr="00E72418">
        <w:rPr>
          <w:rFonts w:cs="Times New Roman"/>
          <w:b/>
          <w:szCs w:val="24"/>
        </w:rPr>
        <w:t xml:space="preserve"> –</w:t>
      </w:r>
      <w:r w:rsidR="00700528" w:rsidRPr="00E72418">
        <w:rPr>
          <w:rFonts w:cs="Times New Roman"/>
          <w:b/>
          <w:szCs w:val="24"/>
        </w:rPr>
        <w:t xml:space="preserve"> </w:t>
      </w:r>
      <w:r w:rsidR="00700528" w:rsidRPr="00E72418">
        <w:rPr>
          <w:rFonts w:cs="Times New Roman"/>
          <w:szCs w:val="24"/>
        </w:rPr>
        <w:t>N</w:t>
      </w:r>
      <w:r w:rsidR="00E57603" w:rsidRPr="00E72418">
        <w:rPr>
          <w:rFonts w:cs="Times New Roman"/>
          <w:szCs w:val="24"/>
        </w:rPr>
        <w:t xml:space="preserve">ombreux sont ceux étant d’avis que </w:t>
      </w:r>
      <w:r w:rsidR="00700528" w:rsidRPr="00E72418">
        <w:rPr>
          <w:rFonts w:cs="Times New Roman"/>
          <w:szCs w:val="24"/>
        </w:rPr>
        <w:t xml:space="preserve">l’absence d’existence d’un </w:t>
      </w:r>
      <w:r w:rsidR="00700528" w:rsidRPr="00E72418">
        <w:t>mécanisme de restructuration des dettes souveraines</w:t>
      </w:r>
      <w:r w:rsidR="00700528" w:rsidRPr="00E72418">
        <w:rPr>
          <w:rFonts w:cs="Times New Roman"/>
          <w:szCs w:val="24"/>
        </w:rPr>
        <w:t xml:space="preserve"> </w:t>
      </w:r>
      <w:r w:rsidR="00E57603" w:rsidRPr="00E72418">
        <w:rPr>
          <w:rFonts w:cs="Times New Roman"/>
          <w:szCs w:val="24"/>
        </w:rPr>
        <w:t>doit être pallié</w:t>
      </w:r>
      <w:r w:rsidR="00700528" w:rsidRPr="00E72418">
        <w:rPr>
          <w:rFonts w:cs="Times New Roman"/>
          <w:szCs w:val="24"/>
        </w:rPr>
        <w:t>e</w:t>
      </w:r>
      <w:r w:rsidR="00E57603" w:rsidRPr="00E72418">
        <w:rPr>
          <w:rStyle w:val="Appelnotedebasdep"/>
          <w:rFonts w:cs="Times New Roman"/>
          <w:szCs w:val="24"/>
        </w:rPr>
        <w:footnoteReference w:id="1343"/>
      </w:r>
      <w:r w:rsidR="00E57603" w:rsidRPr="00E72418">
        <w:rPr>
          <w:rFonts w:cs="Times New Roman"/>
          <w:szCs w:val="24"/>
        </w:rPr>
        <w:t xml:space="preserve">. </w:t>
      </w:r>
      <w:r w:rsidR="00013A39" w:rsidRPr="00E72418">
        <w:rPr>
          <w:rFonts w:cs="Times New Roman"/>
          <w:szCs w:val="24"/>
        </w:rPr>
        <w:t xml:space="preserve">Cette solution est d’autant plus nécessaire que </w:t>
      </w:r>
      <w:r w:rsidR="00E57603" w:rsidRPr="00E72418">
        <w:t xml:space="preserve">l’exclusion </w:t>
      </w:r>
      <w:r w:rsidR="00013A39" w:rsidRPr="00E72418">
        <w:t xml:space="preserve">des dettes souveraines </w:t>
      </w:r>
      <w:r w:rsidR="00E57603" w:rsidRPr="00E72418">
        <w:t>du bénéfice d’un mécanisme de faillite représente une menace sérieuse pour le système financier global</w:t>
      </w:r>
      <w:r w:rsidR="00E57603" w:rsidRPr="00E72418">
        <w:rPr>
          <w:rStyle w:val="Appelnotedebasdep"/>
        </w:rPr>
        <w:footnoteReference w:id="1344"/>
      </w:r>
      <w:r w:rsidR="00E57603" w:rsidRPr="00E72418">
        <w:t>.</w:t>
      </w:r>
    </w:p>
    <w:p w14:paraId="6B1E731F" w14:textId="5590B9CB" w:rsidR="00E57603" w:rsidRPr="00E72418" w:rsidRDefault="00E57603" w:rsidP="00CC4BA8">
      <w:pPr>
        <w:spacing w:line="276" w:lineRule="auto"/>
      </w:pPr>
      <w:r w:rsidRPr="00E72418">
        <w:t xml:space="preserve">Si </w:t>
      </w:r>
      <w:r w:rsidR="00013A39" w:rsidRPr="00E72418">
        <w:t>l’importance pour le</w:t>
      </w:r>
      <w:r w:rsidR="00D767F3" w:rsidRPr="00E72418">
        <w:t xml:space="preserve">s </w:t>
      </w:r>
      <w:r w:rsidR="00D767F3" w:rsidRPr="00E72418">
        <w:rPr>
          <w:lang w:eastAsia="fr-BE"/>
        </w:rPr>
        <w:t>É</w:t>
      </w:r>
      <w:r w:rsidRPr="00E72418">
        <w:t xml:space="preserve">tats débiteurs </w:t>
      </w:r>
      <w:r w:rsidR="00013A39" w:rsidRPr="00E72418">
        <w:t>d</w:t>
      </w:r>
      <w:r w:rsidRPr="00E72418">
        <w:t xml:space="preserve">’un mécanisme visant à surmonter leurs difficultés financières </w:t>
      </w:r>
      <w:r w:rsidR="00013A39" w:rsidRPr="00E72418">
        <w:t xml:space="preserve">est </w:t>
      </w:r>
      <w:r w:rsidR="001E6F2B" w:rsidRPr="00E72418">
        <w:t>certaine</w:t>
      </w:r>
      <w:r w:rsidRPr="00E72418">
        <w:t xml:space="preserve">, l’intérêt </w:t>
      </w:r>
      <w:r w:rsidR="00013A39" w:rsidRPr="00E72418">
        <w:t>existe également pour leurs</w:t>
      </w:r>
      <w:r w:rsidRPr="00E72418">
        <w:t xml:space="preserve"> créanciers. Un mécanisme de restructuration permet </w:t>
      </w:r>
      <w:r w:rsidR="00013A39" w:rsidRPr="00E72418">
        <w:t xml:space="preserve">en effet </w:t>
      </w:r>
      <w:r w:rsidRPr="00E72418">
        <w:t xml:space="preserve">de veiller à ce que </w:t>
      </w:r>
      <w:r w:rsidR="00013A39" w:rsidRPr="00E72418">
        <w:t>tous les</w:t>
      </w:r>
      <w:r w:rsidRPr="00E72418">
        <w:t xml:space="preserve"> créanciers d’un État en difficulté soi</w:t>
      </w:r>
      <w:r w:rsidR="00013A39" w:rsidRPr="00E72418">
        <w:t>en</w:t>
      </w:r>
      <w:r w:rsidRPr="00E72418">
        <w:t>t traité</w:t>
      </w:r>
      <w:r w:rsidR="00013A39" w:rsidRPr="00E72418">
        <w:t>s</w:t>
      </w:r>
      <w:r w:rsidRPr="00E72418">
        <w:t xml:space="preserve"> de manière équitable. Aussi, comme le relève </w:t>
      </w:r>
      <w:r w:rsidR="008C045F" w:rsidRPr="00E72418">
        <w:t xml:space="preserve">John </w:t>
      </w:r>
      <w:r w:rsidRPr="00E72418">
        <w:t>Muse-Fisher, « </w:t>
      </w:r>
      <w:r w:rsidRPr="00E72418">
        <w:rPr>
          <w:rFonts w:cs="Times New Roman"/>
        </w:rPr>
        <w:t>[c]</w:t>
      </w:r>
      <w:r w:rsidRPr="00E72418">
        <w:t xml:space="preserve">reditors would also benefit from an SDRM’s </w:t>
      </w:r>
      <w:r w:rsidR="00013A39" w:rsidRPr="00E72418">
        <w:t>(</w:t>
      </w:r>
      <w:r w:rsidR="00013A39" w:rsidRPr="00E72418">
        <w:rPr>
          <w:i/>
        </w:rPr>
        <w:t>i.e.</w:t>
      </w:r>
      <w:r w:rsidR="00013A39" w:rsidRPr="00E72418">
        <w:t xml:space="preserve"> </w:t>
      </w:r>
      <w:r w:rsidR="00013A39" w:rsidRPr="00E72418">
        <w:rPr>
          <w:rFonts w:cs="Times New Roman"/>
          <w:szCs w:val="24"/>
        </w:rPr>
        <w:t xml:space="preserve">Sovereign Debt Restructuring Mechanism) </w:t>
      </w:r>
      <w:r w:rsidRPr="00E72418">
        <w:t>predictability, organization, and capacity to help struggling nations regain their economic footing and thereby take out future loans and service future debt »</w:t>
      </w:r>
      <w:r w:rsidRPr="00E72418">
        <w:rPr>
          <w:rStyle w:val="Appelnotedebasdep"/>
        </w:rPr>
        <w:footnoteReference w:id="1345"/>
      </w:r>
      <w:r w:rsidRPr="00E72418">
        <w:t>.</w:t>
      </w:r>
    </w:p>
    <w:p w14:paraId="0A33687F" w14:textId="77777777" w:rsidR="00E57603" w:rsidRPr="00E72418" w:rsidRDefault="00E57603" w:rsidP="009B2B07">
      <w:bookmarkStart w:id="320" w:name="_Toc37777364"/>
    </w:p>
    <w:p w14:paraId="686F5BB3" w14:textId="77777777" w:rsidR="00A02DAE" w:rsidRPr="00E72418" w:rsidRDefault="00A02DAE">
      <w:pPr>
        <w:jc w:val="left"/>
        <w:rPr>
          <w:rFonts w:ascii="Times New Roman" w:eastAsiaTheme="majorEastAsia" w:hAnsi="Times New Roman" w:cstheme="majorBidi"/>
          <w:i/>
          <w:iCs/>
          <w:sz w:val="36"/>
        </w:rPr>
      </w:pPr>
      <w:bookmarkStart w:id="321" w:name="_Toc59280974"/>
      <w:bookmarkStart w:id="322" w:name="_Toc84540965"/>
      <w:r w:rsidRPr="00E72418">
        <w:br w:type="page"/>
      </w:r>
    </w:p>
    <w:p w14:paraId="713C89E7" w14:textId="59AD4CFD" w:rsidR="00E57603" w:rsidRPr="00E72418" w:rsidRDefault="008665DF" w:rsidP="00CC4BA8">
      <w:pPr>
        <w:pStyle w:val="DD"/>
        <w:spacing w:line="276" w:lineRule="auto"/>
      </w:pPr>
      <w:r w:rsidRPr="00E72418">
        <w:lastRenderedPageBreak/>
        <w:t xml:space="preserve">Section 2 : </w:t>
      </w:r>
      <w:r w:rsidR="00E57603" w:rsidRPr="00E72418">
        <w:t>Les tentatives</w:t>
      </w:r>
      <w:bookmarkEnd w:id="320"/>
      <w:bookmarkEnd w:id="321"/>
      <w:bookmarkEnd w:id="322"/>
    </w:p>
    <w:p w14:paraId="60363DD8" w14:textId="77777777" w:rsidR="00BE6960" w:rsidRPr="00E72418" w:rsidRDefault="00BE6960" w:rsidP="009B2B07"/>
    <w:p w14:paraId="5DC08B1C" w14:textId="3D6B5D4D" w:rsidR="00E57603" w:rsidRPr="00E72418" w:rsidRDefault="00BF6CE7" w:rsidP="00CC4BA8">
      <w:pPr>
        <w:spacing w:line="276" w:lineRule="auto"/>
      </w:pPr>
      <w:r w:rsidRPr="00E72418">
        <w:rPr>
          <w:b/>
        </w:rPr>
        <w:t>274</w:t>
      </w:r>
      <w:r w:rsidR="00817D62" w:rsidRPr="00E72418">
        <w:rPr>
          <w:b/>
        </w:rPr>
        <w:t xml:space="preserve">. </w:t>
      </w:r>
      <w:r w:rsidR="00E57603" w:rsidRPr="00E72418">
        <w:rPr>
          <w:b/>
        </w:rPr>
        <w:t>Une solution de très longue date –</w:t>
      </w:r>
      <w:r w:rsidR="00E57603" w:rsidRPr="00E72418">
        <w:t xml:space="preserve"> La mise en place d’un mécanisme international de restructuration des dettes souveraines a depuis très longtemps été imaginée afin de remédier à l’absence de système de faillite pour les États. Adam Smith, déjà, évoquait l’importance pour les États en difficulté d’une « fair, open, and avowed bankruptcy »</w:t>
      </w:r>
      <w:r w:rsidR="00E57603" w:rsidRPr="00E72418">
        <w:rPr>
          <w:rStyle w:val="Appelnotedebasdep"/>
          <w:rFonts w:cs="Times New Roman"/>
          <w:szCs w:val="24"/>
        </w:rPr>
        <w:footnoteReference w:id="1346"/>
      </w:r>
      <w:r w:rsidR="00E57603" w:rsidRPr="00E72418">
        <w:t xml:space="preserve">. </w:t>
      </w:r>
      <w:r w:rsidR="00E57603" w:rsidRPr="00E72418">
        <w:rPr>
          <w:rFonts w:cs="Times New Roman"/>
          <w:szCs w:val="24"/>
        </w:rPr>
        <w:t>En 1935, l’Assemblée de la Société des Nations adopta une</w:t>
      </w:r>
      <w:r w:rsidR="004A2729" w:rsidRPr="00E72418">
        <w:rPr>
          <w:rFonts w:cs="Times New Roman"/>
          <w:szCs w:val="24"/>
        </w:rPr>
        <w:t xml:space="preserve"> résolution visant </w:t>
      </w:r>
      <w:r w:rsidR="00E57603" w:rsidRPr="00E72418">
        <w:rPr>
          <w:rFonts w:cs="Times New Roman"/>
          <w:szCs w:val="24"/>
        </w:rPr>
        <w:t xml:space="preserve">la désignation d’un comité d’experts juridiques et financiers chargé d’étudier les moyens qui permettraient d’améliorer les contrats relatifs aux emprunts internationaux émis par les autorités publiques. Dans son rapport de 1939, le comité avançait l’idée selon laquelle il importe qu’une juridiction puisse connaître des litiges découlant de difficultés relatives aux emprunts internationaux et </w:t>
      </w:r>
      <w:r w:rsidR="00731914" w:rsidRPr="00E72418">
        <w:rPr>
          <w:rFonts w:cs="Times New Roman"/>
          <w:szCs w:val="24"/>
        </w:rPr>
        <w:t>envisageait</w:t>
      </w:r>
      <w:r w:rsidR="00E57603" w:rsidRPr="00E72418">
        <w:rPr>
          <w:rFonts w:cs="Times New Roman"/>
          <w:szCs w:val="24"/>
        </w:rPr>
        <w:t xml:space="preserve"> la mise en place d’un « tribunal des emprunts internationaux », tribunal unique compétent pour tous les emprunts internationaux</w:t>
      </w:r>
      <w:r w:rsidR="00E57603" w:rsidRPr="00E72418">
        <w:rPr>
          <w:rStyle w:val="Appelnotedebasdep"/>
          <w:rFonts w:cs="Times New Roman"/>
          <w:szCs w:val="24"/>
        </w:rPr>
        <w:footnoteReference w:id="1347"/>
      </w:r>
      <w:r w:rsidR="00E57603" w:rsidRPr="00E72418">
        <w:rPr>
          <w:rFonts w:cs="Times New Roman"/>
          <w:szCs w:val="24"/>
        </w:rPr>
        <w:t>.</w:t>
      </w:r>
      <w:r w:rsidR="00E57603" w:rsidRPr="00E72418">
        <w:t xml:space="preserve"> </w:t>
      </w:r>
      <w:r w:rsidR="00E57603" w:rsidRPr="00E72418">
        <w:rPr>
          <w:rFonts w:cs="Times New Roman"/>
          <w:szCs w:val="24"/>
        </w:rPr>
        <w:t xml:space="preserve">L’émission de ce rapport ne fut pas la seule occasion lors de laquelle l’institution d’une </w:t>
      </w:r>
      <w:r w:rsidR="004F7711" w:rsidRPr="00E72418">
        <w:rPr>
          <w:rFonts w:cs="Times New Roman"/>
          <w:szCs w:val="24"/>
        </w:rPr>
        <w:t xml:space="preserve">réglementation </w:t>
      </w:r>
      <w:r w:rsidR="00E57603" w:rsidRPr="00E72418">
        <w:rPr>
          <w:rFonts w:cs="Times New Roman"/>
          <w:szCs w:val="24"/>
        </w:rPr>
        <w:t xml:space="preserve">des restructurations </w:t>
      </w:r>
      <w:r w:rsidR="00AE4723" w:rsidRPr="00E72418">
        <w:rPr>
          <w:rFonts w:cs="Times New Roman"/>
          <w:szCs w:val="24"/>
        </w:rPr>
        <w:t>fut envisagée. Ainsi,</w:t>
      </w:r>
      <w:r w:rsidR="00E57603" w:rsidRPr="00E72418">
        <w:rPr>
          <w:rFonts w:cs="Times New Roman"/>
          <w:szCs w:val="24"/>
        </w:rPr>
        <w:t xml:space="preserve"> ce fut encore </w:t>
      </w:r>
      <w:r w:rsidR="00AE4723" w:rsidRPr="00E72418">
        <w:rPr>
          <w:rFonts w:cs="Times New Roman"/>
          <w:szCs w:val="24"/>
        </w:rPr>
        <w:t xml:space="preserve">notamment </w:t>
      </w:r>
      <w:r w:rsidR="00E57603" w:rsidRPr="00E72418">
        <w:rPr>
          <w:rFonts w:cs="Times New Roman"/>
          <w:szCs w:val="24"/>
        </w:rPr>
        <w:t>le cas en 1942 lors de l’élaboration de la charte du Fonds monétaire international où fut envi</w:t>
      </w:r>
      <w:r w:rsidR="00D767F3" w:rsidRPr="00E72418">
        <w:rPr>
          <w:rFonts w:cs="Times New Roman"/>
          <w:szCs w:val="24"/>
        </w:rPr>
        <w:t xml:space="preserve">sagée l’interdiction faite aux </w:t>
      </w:r>
      <w:r w:rsidR="00D767F3" w:rsidRPr="00E72418">
        <w:rPr>
          <w:lang w:eastAsia="fr-BE"/>
        </w:rPr>
        <w:t>É</w:t>
      </w:r>
      <w:r w:rsidR="00E57603" w:rsidRPr="00E72418">
        <w:rPr>
          <w:rFonts w:cs="Times New Roman"/>
          <w:szCs w:val="24"/>
        </w:rPr>
        <w:t>tats membres de faire défaut sans l’accord du Fonds lequel recevait un pouvoir d’arbitrage contraignant</w:t>
      </w:r>
      <w:r w:rsidR="00E57603" w:rsidRPr="00E72418">
        <w:rPr>
          <w:rStyle w:val="Appelnotedebasdep"/>
          <w:rFonts w:cs="Times New Roman"/>
          <w:szCs w:val="24"/>
        </w:rPr>
        <w:footnoteReference w:id="1348"/>
      </w:r>
      <w:r w:rsidR="00E57603" w:rsidRPr="00E72418">
        <w:rPr>
          <w:rFonts w:cs="Times New Roman"/>
          <w:szCs w:val="24"/>
        </w:rPr>
        <w:t>.</w:t>
      </w:r>
    </w:p>
    <w:p w14:paraId="3EA58671" w14:textId="77777777" w:rsidR="00E57603" w:rsidRPr="00E72418" w:rsidRDefault="00E57603" w:rsidP="009B2B07">
      <w:pPr>
        <w:rPr>
          <w:highlight w:val="yellow"/>
        </w:rPr>
      </w:pPr>
    </w:p>
    <w:p w14:paraId="6F236BA6" w14:textId="0BE27A64" w:rsidR="00E57603" w:rsidRPr="00E72418" w:rsidRDefault="00BF6CE7" w:rsidP="00CC4BA8">
      <w:pPr>
        <w:spacing w:line="276" w:lineRule="auto"/>
        <w:rPr>
          <w:lang w:eastAsia="fr-BE"/>
        </w:rPr>
      </w:pPr>
      <w:bookmarkStart w:id="323" w:name="_Toc37777365"/>
      <w:r w:rsidRPr="00E72418">
        <w:rPr>
          <w:b/>
        </w:rPr>
        <w:t>275</w:t>
      </w:r>
      <w:r w:rsidR="00817D62" w:rsidRPr="00E72418">
        <w:rPr>
          <w:b/>
        </w:rPr>
        <w:t xml:space="preserve">. </w:t>
      </w:r>
      <w:r w:rsidR="00E57603" w:rsidRPr="00E72418">
        <w:rPr>
          <w:b/>
        </w:rPr>
        <w:t>La proposition du Fonds monétaire international</w:t>
      </w:r>
      <w:bookmarkEnd w:id="323"/>
      <w:r w:rsidR="00E57603" w:rsidRPr="00E72418">
        <w:rPr>
          <w:b/>
        </w:rPr>
        <w:t xml:space="preserve"> de 2002 </w:t>
      </w:r>
      <w:r w:rsidR="00E57603" w:rsidRPr="00E72418">
        <w:rPr>
          <w:rFonts w:cs="Times New Roman"/>
          <w:b/>
          <w:szCs w:val="24"/>
        </w:rPr>
        <w:t>–</w:t>
      </w:r>
      <w:r w:rsidR="00E57603" w:rsidRPr="00E72418">
        <w:rPr>
          <w:b/>
        </w:rPr>
        <w:t xml:space="preserve"> </w:t>
      </w:r>
      <w:r w:rsidR="00E57603" w:rsidRPr="00E72418">
        <w:t xml:space="preserve">La tentative du </w:t>
      </w:r>
      <w:r w:rsidR="00D9462D" w:rsidRPr="00E72418">
        <w:rPr>
          <w:rFonts w:cs="Times New Roman"/>
          <w:szCs w:val="24"/>
        </w:rPr>
        <w:t xml:space="preserve">Fonds monétaire international </w:t>
      </w:r>
      <w:r w:rsidR="00E57603" w:rsidRPr="00E72418">
        <w:rPr>
          <w:rFonts w:cs="Times New Roman"/>
          <w:szCs w:val="24"/>
        </w:rPr>
        <w:t>de mettre en place</w:t>
      </w:r>
      <w:r w:rsidR="00D9462D" w:rsidRPr="00E72418">
        <w:rPr>
          <w:rFonts w:cs="Times New Roman"/>
          <w:szCs w:val="24"/>
        </w:rPr>
        <w:t xml:space="preserve"> en 2002</w:t>
      </w:r>
      <w:r w:rsidR="00E57603" w:rsidRPr="00E72418">
        <w:rPr>
          <w:rFonts w:cs="Times New Roman"/>
          <w:szCs w:val="24"/>
        </w:rPr>
        <w:t xml:space="preserve"> </w:t>
      </w:r>
      <w:r w:rsidR="00D9462D" w:rsidRPr="00E72418">
        <w:rPr>
          <w:rFonts w:cs="Times New Roman"/>
          <w:szCs w:val="24"/>
        </w:rPr>
        <w:t>un</w:t>
      </w:r>
      <w:r w:rsidR="00E57603" w:rsidRPr="00E72418">
        <w:rPr>
          <w:rFonts w:cs="Times New Roman"/>
          <w:szCs w:val="24"/>
        </w:rPr>
        <w:t xml:space="preserve"> </w:t>
      </w:r>
      <w:r w:rsidR="00E57603" w:rsidRPr="00E72418">
        <w:rPr>
          <w:rFonts w:cs="Times New Roman"/>
          <w:i/>
          <w:szCs w:val="24"/>
        </w:rPr>
        <w:t>Sovereign Debt Restructuring Mechanism</w:t>
      </w:r>
      <w:r w:rsidR="00D9462D" w:rsidRPr="00E72418">
        <w:rPr>
          <w:rFonts w:cs="Times New Roman"/>
          <w:szCs w:val="24"/>
        </w:rPr>
        <w:t xml:space="preserve"> fut </w:t>
      </w:r>
      <w:r w:rsidR="00D9462D" w:rsidRPr="00E72418">
        <w:t>sans doute la plus remarquée</w:t>
      </w:r>
      <w:r w:rsidR="00D974C5" w:rsidRPr="00E72418">
        <w:rPr>
          <w:rStyle w:val="Appelnotedebasdep"/>
        </w:rPr>
        <w:footnoteReference w:id="1349"/>
      </w:r>
      <w:r w:rsidR="00D9462D" w:rsidRPr="00E72418">
        <w:t xml:space="preserve">. </w:t>
      </w:r>
      <w:r w:rsidR="00D9462D" w:rsidRPr="00E72418">
        <w:rPr>
          <w:rFonts w:cs="Times New Roman"/>
          <w:szCs w:val="24"/>
        </w:rPr>
        <w:t>Anne</w:t>
      </w:r>
      <w:r w:rsidR="00E57603" w:rsidRPr="00E72418">
        <w:rPr>
          <w:rFonts w:cs="Times New Roman"/>
          <w:szCs w:val="24"/>
        </w:rPr>
        <w:t xml:space="preserve"> Krueger, </w:t>
      </w:r>
      <w:r w:rsidR="00D9462D" w:rsidRPr="00E72418">
        <w:rPr>
          <w:rFonts w:cs="Times New Roman"/>
          <w:szCs w:val="24"/>
        </w:rPr>
        <w:t xml:space="preserve">alors première directrice adjointe du Fonds et </w:t>
      </w:r>
      <w:r w:rsidR="00E57603" w:rsidRPr="00E72418">
        <w:rPr>
          <w:rFonts w:cs="Times New Roman"/>
          <w:szCs w:val="24"/>
        </w:rPr>
        <w:t xml:space="preserve">porteuse du projet, indiquait que « </w:t>
      </w:r>
      <w:r w:rsidR="00E57603" w:rsidRPr="00E72418">
        <w:rPr>
          <w:rFonts w:cs="Times New Roman"/>
        </w:rPr>
        <w:t>[t]</w:t>
      </w:r>
      <w:r w:rsidR="00E57603" w:rsidRPr="00E72418">
        <w:rPr>
          <w:rFonts w:cs="Times New Roman"/>
          <w:szCs w:val="24"/>
        </w:rPr>
        <w:t>here is now widespread agreement that a new approach is necessary, and that a fairer, more efficient process for sovereign debt restructurings would represent a substantial strengthening of the international financial system »</w:t>
      </w:r>
      <w:r w:rsidR="00E57603" w:rsidRPr="00E72418">
        <w:rPr>
          <w:rStyle w:val="Appelnotedebasdep"/>
          <w:rFonts w:cs="Times New Roman"/>
          <w:szCs w:val="24"/>
        </w:rPr>
        <w:footnoteReference w:id="1350"/>
      </w:r>
      <w:r w:rsidR="00E57603" w:rsidRPr="00E72418">
        <w:rPr>
          <w:rFonts w:cs="Times New Roman"/>
          <w:szCs w:val="24"/>
        </w:rPr>
        <w:t>.</w:t>
      </w:r>
      <w:r w:rsidR="00E57603" w:rsidRPr="00E72418">
        <w:t xml:space="preserve"> </w:t>
      </w:r>
      <w:r w:rsidR="00E57603" w:rsidRPr="00E72418">
        <w:rPr>
          <w:lang w:eastAsia="fr-BE"/>
        </w:rPr>
        <w:t>Face au vide juridique d’un schéma d’ensemble destiné à régler le surendettement étatique</w:t>
      </w:r>
      <w:r w:rsidR="00E57603" w:rsidRPr="00E72418">
        <w:rPr>
          <w:rFonts w:cs="Times New Roman"/>
          <w:szCs w:val="24"/>
        </w:rPr>
        <w:t>, l’idée du Fonds monétaire international</w:t>
      </w:r>
      <w:r w:rsidR="00E57603" w:rsidRPr="00E72418">
        <w:rPr>
          <w:lang w:eastAsia="fr-BE"/>
        </w:rPr>
        <w:t xml:space="preserve"> était de mettre en place un mécanisme cohérent visant à faciliter d’une manière ordonnée, rapide et prévisible la restructuration des dettes sou</w:t>
      </w:r>
      <w:r w:rsidR="0033545A" w:rsidRPr="00E72418">
        <w:rPr>
          <w:lang w:eastAsia="fr-BE"/>
        </w:rPr>
        <w:t xml:space="preserve">veraines devenues insoutenables, </w:t>
      </w:r>
      <w:r w:rsidR="00E57603" w:rsidRPr="00E72418">
        <w:rPr>
          <w:lang w:eastAsia="fr-BE"/>
        </w:rPr>
        <w:t>et ce, dans le respect des droits des divers créanciers tout en ménageant les intérêts des États débiteurs</w:t>
      </w:r>
      <w:r w:rsidR="00E57603" w:rsidRPr="00E72418">
        <w:rPr>
          <w:rStyle w:val="Appelnotedebasdep"/>
          <w:lang w:eastAsia="fr-BE"/>
        </w:rPr>
        <w:footnoteReference w:id="1351"/>
      </w:r>
      <w:r w:rsidR="00E57603" w:rsidRPr="00E72418">
        <w:rPr>
          <w:lang w:eastAsia="fr-BE"/>
        </w:rPr>
        <w:t>.</w:t>
      </w:r>
      <w:r w:rsidR="007652F3" w:rsidRPr="00E72418">
        <w:rPr>
          <w:lang w:eastAsia="fr-BE"/>
        </w:rPr>
        <w:t xml:space="preserve"> Comme le note </w:t>
      </w:r>
      <w:r w:rsidR="00423C96" w:rsidRPr="00E72418">
        <w:rPr>
          <w:lang w:eastAsia="fr-BE"/>
        </w:rPr>
        <w:t xml:space="preserve">Charlotte </w:t>
      </w:r>
      <w:r w:rsidR="007652F3" w:rsidRPr="00E72418">
        <w:rPr>
          <w:lang w:eastAsia="fr-BE"/>
        </w:rPr>
        <w:t>Rault, « </w:t>
      </w:r>
      <w:r w:rsidR="007652F3" w:rsidRPr="00E72418">
        <w:rPr>
          <w:rFonts w:cs="Times New Roman"/>
        </w:rPr>
        <w:t>[b]ased on the fact that capital disintermediation obstructs sovereign debt restructuring, the IMF seeks to create a sovereign bankruptcy law associated with the establishment of a tribunal »</w:t>
      </w:r>
      <w:r w:rsidR="007652F3" w:rsidRPr="00E72418">
        <w:rPr>
          <w:rStyle w:val="Appelnotedebasdep"/>
          <w:rFonts w:cs="Times New Roman"/>
        </w:rPr>
        <w:footnoteReference w:id="1352"/>
      </w:r>
      <w:r w:rsidR="007652F3" w:rsidRPr="00E72418">
        <w:rPr>
          <w:rFonts w:cs="Times New Roman"/>
        </w:rPr>
        <w:t>.</w:t>
      </w:r>
    </w:p>
    <w:p w14:paraId="3CE5ADE6" w14:textId="480F2FA0" w:rsidR="00E57603" w:rsidRPr="00E72418" w:rsidRDefault="00E57603" w:rsidP="00CC4BA8">
      <w:pPr>
        <w:spacing w:line="276" w:lineRule="auto"/>
        <w:rPr>
          <w:rFonts w:cs="Times New Roman"/>
        </w:rPr>
      </w:pPr>
      <w:r w:rsidRPr="00E72418">
        <w:rPr>
          <w:rFonts w:cs="Times New Roman"/>
          <w:szCs w:val="24"/>
        </w:rPr>
        <w:t xml:space="preserve">Entre autres caractéristiques du mécanisme </w:t>
      </w:r>
      <w:r w:rsidR="00ED65BC" w:rsidRPr="00E72418">
        <w:rPr>
          <w:rFonts w:cs="Times New Roman"/>
          <w:szCs w:val="24"/>
        </w:rPr>
        <w:t>envisagé</w:t>
      </w:r>
      <w:r w:rsidRPr="00E72418">
        <w:rPr>
          <w:rFonts w:cs="Times New Roman"/>
          <w:szCs w:val="24"/>
        </w:rPr>
        <w:t xml:space="preserve">, </w:t>
      </w:r>
      <w:r w:rsidR="00ED65BC" w:rsidRPr="00E72418">
        <w:rPr>
          <w:rFonts w:cs="Times New Roman"/>
          <w:szCs w:val="24"/>
        </w:rPr>
        <w:t xml:space="preserve">il était prévu </w:t>
      </w:r>
      <w:r w:rsidRPr="00E72418">
        <w:rPr>
          <w:rFonts w:cs="Times New Roman"/>
          <w:szCs w:val="24"/>
        </w:rPr>
        <w:t>qu’eu égard à la souveraineté de l’</w:t>
      </w:r>
      <w:r w:rsidRPr="00E72418">
        <w:t>É</w:t>
      </w:r>
      <w:r w:rsidRPr="00E72418">
        <w:rPr>
          <w:rFonts w:cs="Times New Roman"/>
          <w:szCs w:val="24"/>
        </w:rPr>
        <w:t xml:space="preserve">tat débiteur, le mécanisme ne pouvait être activé qu’à son initiative </w:t>
      </w:r>
      <w:r w:rsidR="00526056" w:rsidRPr="00E72418">
        <w:rPr>
          <w:rFonts w:cs="Times New Roman"/>
          <w:szCs w:val="24"/>
        </w:rPr>
        <w:t xml:space="preserve">s’il estimait </w:t>
      </w:r>
      <w:r w:rsidRPr="00E72418">
        <w:rPr>
          <w:rFonts w:cs="Times New Roman"/>
          <w:szCs w:val="24"/>
        </w:rPr>
        <w:t xml:space="preserve">que sa </w:t>
      </w:r>
      <w:r w:rsidRPr="00E72418">
        <w:rPr>
          <w:rFonts w:cs="Times New Roman"/>
          <w:szCs w:val="24"/>
        </w:rPr>
        <w:lastRenderedPageBreak/>
        <w:t>dette était devenue insoutenable</w:t>
      </w:r>
      <w:r w:rsidRPr="00E72418">
        <w:rPr>
          <w:rStyle w:val="Appelnotedebasdep"/>
          <w:rFonts w:cs="Times New Roman"/>
        </w:rPr>
        <w:footnoteReference w:id="1353"/>
      </w:r>
      <w:r w:rsidRPr="00E72418">
        <w:rPr>
          <w:rFonts w:cs="Times New Roman"/>
        </w:rPr>
        <w:t>. I</w:t>
      </w:r>
      <w:r w:rsidRPr="00E72418">
        <w:t xml:space="preserve">l était également </w:t>
      </w:r>
      <w:r w:rsidR="00ED65BC" w:rsidRPr="00E72418">
        <w:t>envisagé</w:t>
      </w:r>
      <w:r w:rsidRPr="00E72418">
        <w:t xml:space="preserve"> que, durant la période de négociation d’un accord de rééchelonnement, les créanciers dev</w:t>
      </w:r>
      <w:r w:rsidR="00ED65BC" w:rsidRPr="00E72418">
        <w:t>r</w:t>
      </w:r>
      <w:r w:rsidRPr="00E72418">
        <w:t>aient s’abstenir de tout rec</w:t>
      </w:r>
      <w:r w:rsidR="002B0420" w:rsidRPr="00E72418">
        <w:t>ours en justice et qu’en contre</w:t>
      </w:r>
      <w:r w:rsidRPr="00E72418">
        <w:t>partie le dé</w:t>
      </w:r>
      <w:r w:rsidR="00ED65BC" w:rsidRPr="00E72418">
        <w:t>biteur devrait</w:t>
      </w:r>
      <w:r w:rsidRPr="00E72418">
        <w:t xml:space="preserve"> conserver ses ressources intactes</w:t>
      </w:r>
      <w:r w:rsidRPr="00E72418">
        <w:rPr>
          <w:rStyle w:val="Appelnotedebasdep"/>
        </w:rPr>
        <w:footnoteReference w:id="1354"/>
      </w:r>
      <w:r w:rsidRPr="00E72418">
        <w:t>.</w:t>
      </w:r>
      <w:r w:rsidRPr="00E72418">
        <w:rPr>
          <w:rFonts w:cs="Times New Roman"/>
        </w:rPr>
        <w:t xml:space="preserve"> </w:t>
      </w:r>
      <w:r w:rsidRPr="00E72418">
        <w:t xml:space="preserve">Le </w:t>
      </w:r>
      <w:r w:rsidRPr="00E72418">
        <w:rPr>
          <w:rFonts w:cs="Times New Roman"/>
          <w:i/>
          <w:szCs w:val="24"/>
        </w:rPr>
        <w:t>Sovereign Debt Restructuring Mechanism</w:t>
      </w:r>
      <w:r w:rsidRPr="00E72418">
        <w:t xml:space="preserve"> en projet prévoyait que les restructurations étaient décidées par une majorité des créanciers dont la décision liait l’ensemble des créanciers</w:t>
      </w:r>
      <w:r w:rsidRPr="00E72418">
        <w:rPr>
          <w:rStyle w:val="Appelnotedebasdep"/>
        </w:rPr>
        <w:footnoteReference w:id="1355"/>
      </w:r>
      <w:r w:rsidRPr="00E72418">
        <w:t xml:space="preserve">. La caractéristique majeure du mécanisme proposé </w:t>
      </w:r>
      <w:r w:rsidR="00ED65BC" w:rsidRPr="00E72418">
        <w:t xml:space="preserve">par le Fonds monétaire international </w:t>
      </w:r>
      <w:r w:rsidRPr="00E72418">
        <w:t xml:space="preserve">était sans doute </w:t>
      </w:r>
      <w:r w:rsidR="00D15C80" w:rsidRPr="00E72418">
        <w:rPr>
          <w:rFonts w:cs="Times New Roman"/>
          <w:szCs w:val="24"/>
        </w:rPr>
        <w:t>la créa</w:t>
      </w:r>
      <w:r w:rsidRPr="00E72418">
        <w:rPr>
          <w:rFonts w:cs="Times New Roman"/>
          <w:szCs w:val="24"/>
        </w:rPr>
        <w:t xml:space="preserve">tion d’un </w:t>
      </w:r>
      <w:r w:rsidRPr="00E72418">
        <w:rPr>
          <w:rFonts w:cs="Times New Roman"/>
          <w:i/>
          <w:szCs w:val="24"/>
        </w:rPr>
        <w:t xml:space="preserve">Sovereign Debt Dispute Resolution Forum, </w:t>
      </w:r>
      <w:r w:rsidRPr="00E72418">
        <w:rPr>
          <w:rFonts w:cs="Times New Roman"/>
          <w:szCs w:val="24"/>
        </w:rPr>
        <w:t xml:space="preserve">véritable tribunal international des insolvabilités étatiques, dont le rôle </w:t>
      </w:r>
      <w:r w:rsidR="00ED65BC" w:rsidRPr="00E72418">
        <w:rPr>
          <w:rFonts w:cs="Times New Roman"/>
          <w:szCs w:val="24"/>
        </w:rPr>
        <w:t>était</w:t>
      </w:r>
      <w:r w:rsidRPr="00E72418">
        <w:rPr>
          <w:rFonts w:cs="Times New Roman"/>
          <w:szCs w:val="24"/>
        </w:rPr>
        <w:t xml:space="preserve"> de </w:t>
      </w:r>
      <w:r w:rsidRPr="00E72418">
        <w:rPr>
          <w:lang w:eastAsia="fr-BE"/>
        </w:rPr>
        <w:t>trancher les différends</w:t>
      </w:r>
      <w:r w:rsidR="00ED65BC" w:rsidRPr="00E72418">
        <w:rPr>
          <w:rFonts w:cs="Times New Roman"/>
          <w:szCs w:val="24"/>
        </w:rPr>
        <w:t xml:space="preserve">. La centralisation de ceux-ci </w:t>
      </w:r>
      <w:r w:rsidRPr="00E72418">
        <w:rPr>
          <w:rFonts w:cs="Times New Roman"/>
          <w:szCs w:val="24"/>
        </w:rPr>
        <w:t>auprès d’une même institution permettait l’émergence d</w:t>
      </w:r>
      <w:r w:rsidR="00ED65BC" w:rsidRPr="00E72418">
        <w:rPr>
          <w:rFonts w:cs="Times New Roman"/>
          <w:szCs w:val="24"/>
        </w:rPr>
        <w:t>’une approche unique évitant la diversité des</w:t>
      </w:r>
      <w:r w:rsidRPr="00E72418">
        <w:rPr>
          <w:rFonts w:cs="Times New Roman"/>
          <w:szCs w:val="24"/>
        </w:rPr>
        <w:t xml:space="preserve"> fragmentations nationales</w:t>
      </w:r>
      <w:r w:rsidRPr="00E72418">
        <w:rPr>
          <w:rStyle w:val="Appelnotedebasdep"/>
          <w:rFonts w:cs="Times New Roman"/>
          <w:szCs w:val="24"/>
        </w:rPr>
        <w:footnoteReference w:id="1356"/>
      </w:r>
      <w:r w:rsidRPr="00E72418">
        <w:rPr>
          <w:rFonts w:cs="Times New Roman"/>
          <w:szCs w:val="24"/>
        </w:rPr>
        <w:t>.</w:t>
      </w:r>
    </w:p>
    <w:p w14:paraId="524D2E4A" w14:textId="09BF4DF2" w:rsidR="00E57603" w:rsidRPr="00E72418" w:rsidRDefault="00E57603" w:rsidP="00CC4BA8">
      <w:pPr>
        <w:spacing w:line="276" w:lineRule="auto"/>
        <w:rPr>
          <w:rFonts w:cs="Times New Roman"/>
          <w:szCs w:val="24"/>
        </w:rPr>
      </w:pPr>
      <w:r w:rsidRPr="00E72418">
        <w:rPr>
          <w:rFonts w:cs="Times New Roman"/>
          <w:szCs w:val="24"/>
        </w:rPr>
        <w:t xml:space="preserve">Bien qu’un pourcentage important des </w:t>
      </w:r>
      <w:r w:rsidRPr="00E72418">
        <w:t>É</w:t>
      </w:r>
      <w:r w:rsidRPr="00E72418">
        <w:rPr>
          <w:rFonts w:cs="Times New Roman"/>
          <w:szCs w:val="24"/>
        </w:rPr>
        <w:t xml:space="preserve">tats membres du Fonds monétaire </w:t>
      </w:r>
      <w:r w:rsidR="00ED65BC" w:rsidRPr="00E72418">
        <w:rPr>
          <w:rFonts w:cs="Times New Roman"/>
          <w:szCs w:val="24"/>
        </w:rPr>
        <w:t>international supporta</w:t>
      </w:r>
      <w:r w:rsidRPr="00E72418">
        <w:rPr>
          <w:rFonts w:cs="Times New Roman"/>
          <w:szCs w:val="24"/>
        </w:rPr>
        <w:t xml:space="preserve"> sa proposition, les </w:t>
      </w:r>
      <w:r w:rsidRPr="00E72418">
        <w:t>É</w:t>
      </w:r>
      <w:r w:rsidRPr="00E72418">
        <w:rPr>
          <w:rFonts w:cs="Times New Roman"/>
          <w:szCs w:val="24"/>
        </w:rPr>
        <w:t xml:space="preserve">tats-Unis </w:t>
      </w:r>
      <w:r w:rsidR="00ED65BC" w:rsidRPr="00E72418">
        <w:rPr>
          <w:rFonts w:cs="Times New Roman"/>
          <w:szCs w:val="24"/>
        </w:rPr>
        <w:t>avec leur</w:t>
      </w:r>
      <w:r w:rsidRPr="00E72418">
        <w:rPr>
          <w:rFonts w:cs="Times New Roman"/>
          <w:szCs w:val="24"/>
        </w:rPr>
        <w:t xml:space="preserve"> important vote s’y étant opposé</w:t>
      </w:r>
      <w:r w:rsidR="00ED65BC" w:rsidRPr="00E72418">
        <w:rPr>
          <w:rFonts w:cs="Times New Roman"/>
          <w:szCs w:val="24"/>
        </w:rPr>
        <w:t>s, aucun accord ne put être atteint</w:t>
      </w:r>
      <w:r w:rsidRPr="00E72418">
        <w:rPr>
          <w:rStyle w:val="Appelnotedebasdep"/>
          <w:rFonts w:cs="Times New Roman"/>
          <w:szCs w:val="24"/>
        </w:rPr>
        <w:footnoteReference w:id="1357"/>
      </w:r>
      <w:r w:rsidRPr="00E72418">
        <w:rPr>
          <w:rFonts w:cs="Times New Roman"/>
          <w:szCs w:val="24"/>
        </w:rPr>
        <w:t>. La pierre d’achoppement majeure fut sans doute celle de l’atteinte à la souveraineté étatique qu’impliquait la mise en place d’un tel mécanisme lequel « require</w:t>
      </w:r>
      <w:r w:rsidRPr="00E72418">
        <w:rPr>
          <w:rFonts w:cs="Times New Roman"/>
        </w:rPr>
        <w:t>[s]</w:t>
      </w:r>
      <w:r w:rsidRPr="00E72418">
        <w:rPr>
          <w:rFonts w:cs="Times New Roman"/>
          <w:szCs w:val="24"/>
        </w:rPr>
        <w:t xml:space="preserve"> an expansion of some multilateral authority »</w:t>
      </w:r>
      <w:r w:rsidRPr="00E72418">
        <w:rPr>
          <w:rStyle w:val="Appelnotedebasdep"/>
          <w:rFonts w:cs="Times New Roman"/>
          <w:szCs w:val="24"/>
        </w:rPr>
        <w:footnoteReference w:id="1358"/>
      </w:r>
      <w:r w:rsidRPr="00E72418">
        <w:rPr>
          <w:rFonts w:cs="Times New Roman"/>
          <w:szCs w:val="24"/>
        </w:rPr>
        <w:t xml:space="preserve">. Outre l’argument de la perte de souveraineté, certains </w:t>
      </w:r>
      <w:r w:rsidRPr="00E72418">
        <w:t>É</w:t>
      </w:r>
      <w:r w:rsidRPr="00E72418">
        <w:rPr>
          <w:rFonts w:cs="Times New Roman"/>
          <w:szCs w:val="24"/>
        </w:rPr>
        <w:t>tats</w:t>
      </w:r>
      <w:r w:rsidR="005C56CF" w:rsidRPr="00E72418">
        <w:rPr>
          <w:rFonts w:cs="Times New Roman"/>
          <w:szCs w:val="24"/>
        </w:rPr>
        <w:t>,</w:t>
      </w:r>
      <w:r w:rsidRPr="00E72418">
        <w:rPr>
          <w:rFonts w:cs="Times New Roman"/>
          <w:szCs w:val="24"/>
        </w:rPr>
        <w:t xml:space="preserve"> comme le Brésil ou la Turquie, s’opposèrent au projet inquiets de ce qu’il était de nature à faire augmenter les taux d’intérêts des </w:t>
      </w:r>
      <w:r w:rsidR="005C56CF" w:rsidRPr="00E72418">
        <w:rPr>
          <w:rFonts w:cs="Times New Roman"/>
          <w:szCs w:val="24"/>
        </w:rPr>
        <w:t>dettes</w:t>
      </w:r>
      <w:r w:rsidRPr="00E72418">
        <w:rPr>
          <w:rFonts w:cs="Times New Roman"/>
          <w:szCs w:val="24"/>
        </w:rPr>
        <w:t xml:space="preserve"> souveraines</w:t>
      </w:r>
      <w:r w:rsidRPr="00E72418">
        <w:rPr>
          <w:rStyle w:val="Appelnotedebasdep"/>
          <w:rFonts w:cs="Times New Roman"/>
          <w:szCs w:val="24"/>
        </w:rPr>
        <w:footnoteReference w:id="1359"/>
      </w:r>
      <w:r w:rsidRPr="00E72418">
        <w:rPr>
          <w:rFonts w:cs="Times New Roman"/>
          <w:szCs w:val="24"/>
        </w:rPr>
        <w:t>.</w:t>
      </w:r>
      <w:r w:rsidR="00A40FD7" w:rsidRPr="00E72418">
        <w:rPr>
          <w:rFonts w:cs="Times New Roman"/>
          <w:szCs w:val="24"/>
        </w:rPr>
        <w:t xml:space="preserve"> </w:t>
      </w:r>
      <w:r w:rsidR="003A6998" w:rsidRPr="00E72418">
        <w:rPr>
          <w:rFonts w:cs="Times New Roman"/>
          <w:szCs w:val="24"/>
        </w:rPr>
        <w:t xml:space="preserve">L’on épingla </w:t>
      </w:r>
      <w:r w:rsidR="003A6998" w:rsidRPr="00E72418">
        <w:rPr>
          <w:rFonts w:cs="Times New Roman"/>
          <w:szCs w:val="24"/>
        </w:rPr>
        <w:lastRenderedPageBreak/>
        <w:t>également l’interférence trop importante avec les marchés</w:t>
      </w:r>
      <w:r w:rsidR="003A6998" w:rsidRPr="00E72418">
        <w:rPr>
          <w:rStyle w:val="Appelnotedebasdep"/>
          <w:rFonts w:cs="Times New Roman"/>
          <w:szCs w:val="24"/>
        </w:rPr>
        <w:footnoteReference w:id="1360"/>
      </w:r>
      <w:r w:rsidR="003A6998" w:rsidRPr="00E72418">
        <w:rPr>
          <w:rFonts w:cs="Times New Roman"/>
          <w:szCs w:val="24"/>
        </w:rPr>
        <w:t>. Ainsi</w:t>
      </w:r>
      <w:r w:rsidR="00A40FD7" w:rsidRPr="00E72418">
        <w:rPr>
          <w:rFonts w:cs="Times New Roman"/>
          <w:szCs w:val="24"/>
        </w:rPr>
        <w:t xml:space="preserve">, l’opposition d’importantes associations financières fut </w:t>
      </w:r>
      <w:r w:rsidR="00C04EB6" w:rsidRPr="00E72418">
        <w:rPr>
          <w:rFonts w:cs="Times New Roman"/>
          <w:szCs w:val="24"/>
        </w:rPr>
        <w:t>majeure</w:t>
      </w:r>
      <w:r w:rsidR="00A40FD7" w:rsidRPr="00E72418">
        <w:rPr>
          <w:rStyle w:val="Appelnotedebasdep"/>
          <w:rFonts w:cs="Times New Roman"/>
          <w:szCs w:val="24"/>
        </w:rPr>
        <w:footnoteReference w:id="1361"/>
      </w:r>
      <w:r w:rsidR="00A40FD7" w:rsidRPr="00E72418">
        <w:rPr>
          <w:rFonts w:cs="Times New Roman"/>
          <w:szCs w:val="24"/>
        </w:rPr>
        <w:t>.</w:t>
      </w:r>
    </w:p>
    <w:p w14:paraId="75F5AFA3" w14:textId="77777777" w:rsidR="00E57603" w:rsidRPr="00E72418" w:rsidRDefault="00E57603" w:rsidP="009B2B07"/>
    <w:p w14:paraId="6D5FE97D" w14:textId="21B9179F" w:rsidR="00E57603" w:rsidRPr="00E72418" w:rsidRDefault="00BF6CE7" w:rsidP="00CC4BA8">
      <w:pPr>
        <w:spacing w:line="276" w:lineRule="auto"/>
      </w:pPr>
      <w:r w:rsidRPr="00E72418">
        <w:rPr>
          <w:b/>
        </w:rPr>
        <w:t>276</w:t>
      </w:r>
      <w:r w:rsidR="00817D62" w:rsidRPr="00E72418">
        <w:rPr>
          <w:b/>
        </w:rPr>
        <w:t xml:space="preserve">. </w:t>
      </w:r>
      <w:r w:rsidR="00E57603" w:rsidRPr="00E72418">
        <w:rPr>
          <w:b/>
        </w:rPr>
        <w:t xml:space="preserve">Un manque de volonté insurmontable ? – </w:t>
      </w:r>
      <w:r w:rsidR="00E57603" w:rsidRPr="00E72418">
        <w:t>Tout utile qu’un mécanisme de restructuration des dettes souveraines paraît être, il de</w:t>
      </w:r>
      <w:r w:rsidR="005C56CF" w:rsidRPr="00E72418">
        <w:t>meure complexe à instituer. L</w:t>
      </w:r>
      <w:r w:rsidR="00E57603" w:rsidRPr="00E72418">
        <w:t>’une des principales difficultés à ce faire découle de l’absence de volonté de certains États d’y participer</w:t>
      </w:r>
      <w:r w:rsidR="00135F3B" w:rsidRPr="00E72418">
        <w:rPr>
          <w:rStyle w:val="Appelnotedebasdep"/>
        </w:rPr>
        <w:footnoteReference w:id="1362"/>
      </w:r>
      <w:r w:rsidR="00E57603" w:rsidRPr="00E72418">
        <w:t xml:space="preserve">. </w:t>
      </w:r>
      <w:r w:rsidR="005C56CF" w:rsidRPr="00E72418">
        <w:t>O</w:t>
      </w:r>
      <w:r w:rsidR="00E57603" w:rsidRPr="00E72418">
        <w:t>utre le refus de conférer du pouvoir par essence souverain à une autorité chargée de régler les rest</w:t>
      </w:r>
      <w:r w:rsidR="00ED6880" w:rsidRPr="00E72418">
        <w:t>r</w:t>
      </w:r>
      <w:r w:rsidR="00E57603" w:rsidRPr="00E72418">
        <w:t>ucturations,</w:t>
      </w:r>
      <w:r w:rsidR="005C56CF" w:rsidRPr="00E72418">
        <w:t xml:space="preserve"> le manque de volonté</w:t>
      </w:r>
      <w:r w:rsidR="00E57603" w:rsidRPr="00E72418">
        <w:t xml:space="preserve"> peut s’expliquer par les conséquences de l’existence d’un tel mécanisme sur le coût du capital. </w:t>
      </w:r>
      <w:r w:rsidR="005C56CF" w:rsidRPr="00E72418">
        <w:t>L</w:t>
      </w:r>
      <w:r w:rsidR="00E57603" w:rsidRPr="00E72418">
        <w:t>es créanciers voyant le processus</w:t>
      </w:r>
      <w:r w:rsidR="005C56CF" w:rsidRPr="00E72418">
        <w:t xml:space="preserve"> de restructuration</w:t>
      </w:r>
      <w:r w:rsidR="00E57603" w:rsidRPr="00E72418">
        <w:t xml:space="preserve"> échapper à leur contrôle et à leur volonté, il est fort à penser qu’ils entendront assurer l</w:t>
      </w:r>
      <w:r w:rsidR="005C7B3E" w:rsidRPr="00E72418">
        <w:t>’augmentation du niveau de</w:t>
      </w:r>
      <w:r w:rsidR="00E57603" w:rsidRPr="00E72418">
        <w:t xml:space="preserve"> risque </w:t>
      </w:r>
      <w:r w:rsidR="005C7B3E" w:rsidRPr="00E72418">
        <w:t>couru, laquelle assurance engendrera pour les</w:t>
      </w:r>
      <w:r w:rsidR="0067312A" w:rsidRPr="00E72418">
        <w:t xml:space="preserve"> </w:t>
      </w:r>
      <w:r w:rsidR="0067312A" w:rsidRPr="00E72418">
        <w:rPr>
          <w:rFonts w:cs="Times New Roman"/>
          <w:szCs w:val="24"/>
        </w:rPr>
        <w:t>É</w:t>
      </w:r>
      <w:r w:rsidR="005C7B3E" w:rsidRPr="00E72418">
        <w:t>tats une augmentation du coût du capital</w:t>
      </w:r>
      <w:r w:rsidR="00E57603" w:rsidRPr="00E72418">
        <w:rPr>
          <w:rStyle w:val="Appelnotedebasdep"/>
        </w:rPr>
        <w:footnoteReference w:id="1363"/>
      </w:r>
      <w:r w:rsidR="00E57603" w:rsidRPr="00E72418">
        <w:t>.</w:t>
      </w:r>
      <w:r w:rsidR="00F16877" w:rsidRPr="00E72418">
        <w:t xml:space="preserve"> De l’avis tranché d</w:t>
      </w:r>
      <w:r w:rsidR="00CC15FF" w:rsidRPr="00E72418">
        <w:t xml:space="preserve">e Vincent </w:t>
      </w:r>
      <w:r w:rsidR="00F16877" w:rsidRPr="00E72418">
        <w:t xml:space="preserve">Heuzé et </w:t>
      </w:r>
      <w:r w:rsidR="00CC15FF" w:rsidRPr="00E72418">
        <w:t xml:space="preserve">Horatia </w:t>
      </w:r>
      <w:r w:rsidR="00F16877" w:rsidRPr="00E72418">
        <w:t>Muir Watt, la proposition d’une procédure collective d’apurement du passif placée sous l’autorité d’une organisation internationale est « parfaitement irréaliste » en raison de ce qu’ « </w:t>
      </w:r>
      <w:r w:rsidR="00FC4E03" w:rsidRPr="00E72418">
        <w:t xml:space="preserve">aucun </w:t>
      </w:r>
      <w:r w:rsidR="00FC4E03" w:rsidRPr="00E72418">
        <w:rPr>
          <w:rFonts w:ascii="Times New Roman" w:hAnsi="Times New Roman" w:cs="Times New Roman"/>
          <w:lang w:eastAsia="fr-BE"/>
        </w:rPr>
        <w:t>É</w:t>
      </w:r>
      <w:r w:rsidR="00F16877" w:rsidRPr="00E72418">
        <w:t>tat ne peut y consentir, puisqu’elle le dépossèderait de son pouvoir d’apprécier les sacrifices que le peuple qu’il représente est capable de supporter ; et l’on peut compter sur la puissance des groupes de pression que forment ceux dont l’activité consiste à spéculer sur les dettes souveraines pour faire obstacle à toutes les initiatives qui s’orientent néanmoins dans pareille direction »</w:t>
      </w:r>
      <w:r w:rsidR="00F16877" w:rsidRPr="00E72418">
        <w:rPr>
          <w:rStyle w:val="Appelnotedebasdep"/>
        </w:rPr>
        <w:footnoteReference w:id="1364"/>
      </w:r>
      <w:r w:rsidR="00F16877" w:rsidRPr="00E72418">
        <w:t>.</w:t>
      </w:r>
    </w:p>
    <w:p w14:paraId="138D4232" w14:textId="157F942F" w:rsidR="00E213E0" w:rsidRPr="00E72418" w:rsidRDefault="005C56CF" w:rsidP="00CC4BA8">
      <w:pPr>
        <w:spacing w:line="276" w:lineRule="auto"/>
        <w:rPr>
          <w:highlight w:val="magenta"/>
        </w:rPr>
      </w:pPr>
      <w:r w:rsidRPr="00E72418">
        <w:t xml:space="preserve">Bien que </w:t>
      </w:r>
      <w:r w:rsidR="00E57603" w:rsidRPr="00E72418">
        <w:t xml:space="preserve">l’instauration d’un mécanisme global contraignant est </w:t>
      </w:r>
      <w:r w:rsidRPr="00E72418">
        <w:t>actuellement</w:t>
      </w:r>
      <w:r w:rsidR="00E57603" w:rsidRPr="00E72418">
        <w:t xml:space="preserve"> impossible</w:t>
      </w:r>
      <w:r w:rsidRPr="00E72418">
        <w:t xml:space="preserve"> faute de volonté partagée au niveau international</w:t>
      </w:r>
      <w:r w:rsidR="00E57603" w:rsidRPr="00E72418">
        <w:t xml:space="preserve">, certaines avancées plus modestes sont à </w:t>
      </w:r>
      <w:r w:rsidR="00E76173" w:rsidRPr="00E72418">
        <w:t>remarquer</w:t>
      </w:r>
      <w:r w:rsidR="00E57603" w:rsidRPr="00E72418">
        <w:rPr>
          <w:rStyle w:val="Appelnotedebasdep"/>
        </w:rPr>
        <w:footnoteReference w:id="1365"/>
      </w:r>
      <w:r w:rsidR="00E57603" w:rsidRPr="00E72418">
        <w:t xml:space="preserve">. Au niveau local, certaines concrétisations sont </w:t>
      </w:r>
      <w:r w:rsidRPr="00E72418">
        <w:t>intervenues comme,</w:t>
      </w:r>
      <w:r w:rsidR="00E57603" w:rsidRPr="00E72418">
        <w:t xml:space="preserve"> par exemple</w:t>
      </w:r>
      <w:r w:rsidRPr="00E72418">
        <w:t>,</w:t>
      </w:r>
      <w:r w:rsidR="00E57603" w:rsidRPr="00E72418">
        <w:t xml:space="preserve"> avec les pays membres de la zone euro qui ont mis en place une solution institutionnelle aux crises liées au surendettement étatique via </w:t>
      </w:r>
      <w:r w:rsidR="00276051" w:rsidRPr="00E72418">
        <w:t xml:space="preserve">la création d’une institution financière internationale </w:t>
      </w:r>
      <w:r w:rsidR="00276051" w:rsidRPr="00E72418">
        <w:lastRenderedPageBreak/>
        <w:t xml:space="preserve">dénommée </w:t>
      </w:r>
      <w:r w:rsidR="00E57603" w:rsidRPr="00E72418">
        <w:t xml:space="preserve">le </w:t>
      </w:r>
      <w:r w:rsidR="00276051" w:rsidRPr="00E72418">
        <w:t>« M</w:t>
      </w:r>
      <w:r w:rsidR="00E57603" w:rsidRPr="00E72418">
        <w:t>écanisme européen de stabilité</w:t>
      </w:r>
      <w:r w:rsidR="00276051" w:rsidRPr="00E72418">
        <w:t> »</w:t>
      </w:r>
      <w:r w:rsidR="00E213E0" w:rsidRPr="00E72418">
        <w:rPr>
          <w:rStyle w:val="Appelnotedebasdep"/>
        </w:rPr>
        <w:footnoteReference w:id="1366"/>
      </w:r>
      <w:r w:rsidR="00E57603" w:rsidRPr="00E72418">
        <w:t xml:space="preserve">. Aussi, </w:t>
      </w:r>
      <w:r w:rsidR="00E213E0" w:rsidRPr="00E72418">
        <w:t xml:space="preserve">plus largement, </w:t>
      </w:r>
      <w:r w:rsidR="00E57603" w:rsidRPr="00E72418">
        <w:t>différentes propositions ont été faites, particulièrement par les Nations Unies, afin de minimalement définir un cadre u</w:t>
      </w:r>
      <w:r w:rsidR="00E213E0" w:rsidRPr="00E72418">
        <w:t>tile aux restructurations. Le</w:t>
      </w:r>
      <w:r w:rsidR="0090174B" w:rsidRPr="00E72418">
        <w:t>s concrétisations qui s’en</w:t>
      </w:r>
      <w:r w:rsidR="00E57603" w:rsidRPr="00E72418">
        <w:t>suivirent finissent de convaincre de la détermination de certains à ce qu’émerge un mécanisme global contraignant</w:t>
      </w:r>
      <w:r w:rsidR="00E213E0" w:rsidRPr="00E72418">
        <w:t>. Le Comité consultatif du Conseil des droits de l’homme des Nations Unies note ainsi que « [c]ompte tenu des efforts et des progrès accomplis ces dernières années, il est difficile de comprendre les raisons de l’impasse politique dans laquelle se trouve le processus de création d’une institution de restructuration de la dette sur la base des Principes fondamentaux des opérations de restructuration de la dette souveraine, énoncés dans la résolution 69/319 de l’Assemblée générale »</w:t>
      </w:r>
      <w:r w:rsidR="00E57603" w:rsidRPr="00E72418">
        <w:rPr>
          <w:rStyle w:val="Appelnotedebasdep"/>
        </w:rPr>
        <w:footnoteReference w:id="1367"/>
      </w:r>
      <w:r w:rsidR="00E57603" w:rsidRPr="00E72418">
        <w:t>.</w:t>
      </w:r>
      <w:r w:rsidR="00E57603" w:rsidRPr="00E72418">
        <w:rPr>
          <w:highlight w:val="magenta"/>
        </w:rPr>
        <w:t xml:space="preserve"> </w:t>
      </w:r>
    </w:p>
    <w:p w14:paraId="2D312D4A" w14:textId="77777777" w:rsidR="00E57603" w:rsidRPr="00E72418" w:rsidRDefault="00E57603" w:rsidP="00CC4BA8">
      <w:pPr>
        <w:spacing w:line="276" w:lineRule="auto"/>
        <w:rPr>
          <w:szCs w:val="24"/>
        </w:rPr>
      </w:pPr>
      <w:r w:rsidRPr="00E72418">
        <w:rPr>
          <w:szCs w:val="24"/>
        </w:rPr>
        <w:t>Il semble que l’objectif de parvenir à un mécanisme global contraignant reste à l’agenda de certains. En 2018 encore, le Parlement européen mettait l’accent sur la nécessité de résoudre la crise de la dette d’une manière équitable, rapide et durable à travers la mise en place d’un mécanisme international de restructuration de la dette</w:t>
      </w:r>
      <w:r w:rsidRPr="00E72418">
        <w:rPr>
          <w:rStyle w:val="Appelnotedebasdep"/>
          <w:szCs w:val="24"/>
        </w:rPr>
        <w:footnoteReference w:id="1368"/>
      </w:r>
      <w:r w:rsidRPr="00E72418">
        <w:rPr>
          <w:szCs w:val="24"/>
        </w:rPr>
        <w:t>.</w:t>
      </w:r>
    </w:p>
    <w:p w14:paraId="52A34167" w14:textId="77777777" w:rsidR="00E57603" w:rsidRPr="00E72418" w:rsidRDefault="00E57603" w:rsidP="009B2B07">
      <w:bookmarkStart w:id="325" w:name="_Toc37777366"/>
    </w:p>
    <w:p w14:paraId="12F61A44" w14:textId="67CAC2C7" w:rsidR="00A87E7E" w:rsidRPr="00E72418" w:rsidRDefault="00BF6CE7" w:rsidP="00CC4BA8">
      <w:pPr>
        <w:spacing w:line="276" w:lineRule="auto"/>
      </w:pPr>
      <w:r w:rsidRPr="00E72418">
        <w:rPr>
          <w:b/>
        </w:rPr>
        <w:t>277</w:t>
      </w:r>
      <w:r w:rsidR="00817D62" w:rsidRPr="00E72418">
        <w:rPr>
          <w:b/>
        </w:rPr>
        <w:t xml:space="preserve">. </w:t>
      </w:r>
      <w:r w:rsidR="00E57603" w:rsidRPr="00E72418">
        <w:rPr>
          <w:b/>
        </w:rPr>
        <w:t>Les propositions académiques</w:t>
      </w:r>
      <w:bookmarkEnd w:id="325"/>
      <w:r w:rsidR="00E57603" w:rsidRPr="00E72418">
        <w:rPr>
          <w:b/>
        </w:rPr>
        <w:t xml:space="preserve"> – </w:t>
      </w:r>
      <w:r w:rsidR="00E57603" w:rsidRPr="00E72418">
        <w:t>Face à l’actuel impossible consensus international sur un mécanisme global contraignant, des académiques ont formulé des propositions s’inscrivant dans la logiq</w:t>
      </w:r>
      <w:r w:rsidR="002B0420" w:rsidRPr="00E72418">
        <w:t xml:space="preserve">ue de la </w:t>
      </w:r>
      <w:r w:rsidR="002B0420" w:rsidRPr="00E72418">
        <w:rPr>
          <w:i/>
        </w:rPr>
        <w:t>statutory approach</w:t>
      </w:r>
      <w:r w:rsidR="00E57603" w:rsidRPr="00E72418">
        <w:rPr>
          <w:rFonts w:cs="Times New Roman"/>
          <w:szCs w:val="24"/>
        </w:rPr>
        <w:t xml:space="preserve">. </w:t>
      </w:r>
      <w:r w:rsidR="005235BD" w:rsidRPr="00E72418">
        <w:t xml:space="preserve">Entre autres exemples, </w:t>
      </w:r>
      <w:r w:rsidR="00E8016A" w:rsidRPr="00E72418">
        <w:t xml:space="preserve">John </w:t>
      </w:r>
      <w:r w:rsidR="005235BD" w:rsidRPr="00E72418">
        <w:t>Pottow proposa la mise en place d’un « board of certification for sovereign-debt restructuring proposals »</w:t>
      </w:r>
      <w:r w:rsidR="005235BD" w:rsidRPr="00E72418">
        <w:rPr>
          <w:rStyle w:val="Appelnotedebasdep"/>
          <w:rFonts w:cs="Times New Roman"/>
          <w:szCs w:val="24"/>
        </w:rPr>
        <w:footnoteReference w:id="1369"/>
      </w:r>
      <w:r w:rsidR="005235BD" w:rsidRPr="00E72418">
        <w:rPr>
          <w:rFonts w:cs="Times New Roman"/>
          <w:szCs w:val="24"/>
        </w:rPr>
        <w:t xml:space="preserve">. L’idée est de donner à ce comité le pouvoir d’estampiller les restructurations proposées par les </w:t>
      </w:r>
      <w:r w:rsidR="005235BD" w:rsidRPr="00E72418">
        <w:t>É</w:t>
      </w:r>
      <w:r w:rsidR="005235BD" w:rsidRPr="00E72418">
        <w:rPr>
          <w:rFonts w:cs="Times New Roman"/>
          <w:szCs w:val="24"/>
        </w:rPr>
        <w:t>tats comme étant conformes à certains standards</w:t>
      </w:r>
      <w:r w:rsidR="005235BD" w:rsidRPr="00E72418">
        <w:rPr>
          <w:rStyle w:val="Appelnotedebasdep"/>
          <w:rFonts w:cs="Times New Roman"/>
          <w:szCs w:val="24"/>
        </w:rPr>
        <w:footnoteReference w:id="1370"/>
      </w:r>
      <w:r w:rsidR="005235BD" w:rsidRPr="00E72418">
        <w:rPr>
          <w:rFonts w:cs="Times New Roman"/>
          <w:szCs w:val="24"/>
        </w:rPr>
        <w:t xml:space="preserve">. </w:t>
      </w:r>
      <w:r w:rsidR="005235BD" w:rsidRPr="00E72418">
        <w:t xml:space="preserve">Dans un article de 2015, </w:t>
      </w:r>
      <w:r w:rsidR="00373B28" w:rsidRPr="00E72418">
        <w:t xml:space="preserve">Steven </w:t>
      </w:r>
      <w:r w:rsidR="005235BD" w:rsidRPr="00E72418">
        <w:t>Schwarc</w:t>
      </w:r>
      <w:r w:rsidR="00E57603" w:rsidRPr="00E72418">
        <w:t>z proposa</w:t>
      </w:r>
      <w:r w:rsidR="005235BD" w:rsidRPr="00E72418">
        <w:t xml:space="preserve"> quant à lui</w:t>
      </w:r>
      <w:r w:rsidR="00E57603" w:rsidRPr="00E72418">
        <w:t xml:space="preserve"> une « </w:t>
      </w:r>
      <w:r w:rsidR="004C5543" w:rsidRPr="00E72418">
        <w:t>sovereign debt restructuring model l</w:t>
      </w:r>
      <w:r w:rsidR="00E57603" w:rsidRPr="00E72418">
        <w:t xml:space="preserve">aw » ; </w:t>
      </w:r>
      <w:r w:rsidR="005235BD" w:rsidRPr="00E72418">
        <w:t xml:space="preserve">une </w:t>
      </w:r>
      <w:r w:rsidR="00E57603" w:rsidRPr="00E72418">
        <w:t>législation pouvant être adoptée au niveau national permettant la restructuration des dettes souveraines</w:t>
      </w:r>
      <w:r w:rsidR="00B057AD" w:rsidRPr="00E72418">
        <w:rPr>
          <w:rStyle w:val="Appelnotedebasdep"/>
        </w:rPr>
        <w:footnoteReference w:id="1371"/>
      </w:r>
      <w:r w:rsidR="00E57603" w:rsidRPr="00E72418">
        <w:t xml:space="preserve">. Le mécanisme proposé consiste en un plan de </w:t>
      </w:r>
      <w:r w:rsidR="00832BEF" w:rsidRPr="00E72418">
        <w:t xml:space="preserve">restructuration </w:t>
      </w:r>
      <w:r w:rsidR="00E57603" w:rsidRPr="00E72418">
        <w:t>soumis par l’État jugeant</w:t>
      </w:r>
      <w:r w:rsidR="005235BD" w:rsidRPr="00E72418">
        <w:t xml:space="preserve"> que sa dette </w:t>
      </w:r>
      <w:r w:rsidR="005235BD" w:rsidRPr="00E72418">
        <w:lastRenderedPageBreak/>
        <w:t>n’est plus viable. Ce</w:t>
      </w:r>
      <w:r w:rsidR="00E57603" w:rsidRPr="00E72418">
        <w:t xml:space="preserve"> plan </w:t>
      </w:r>
      <w:r w:rsidR="005235BD" w:rsidRPr="00E72418">
        <w:t xml:space="preserve">est ensuite voté par ses créanciers tandis que le processus </w:t>
      </w:r>
      <w:r w:rsidR="00B057AD" w:rsidRPr="00E72418">
        <w:t>de restructuration</w:t>
      </w:r>
      <w:r w:rsidR="005235BD" w:rsidRPr="00E72418">
        <w:t xml:space="preserve"> </w:t>
      </w:r>
      <w:r w:rsidR="00B057AD" w:rsidRPr="00E72418">
        <w:t xml:space="preserve">est placé sous le contrôle </w:t>
      </w:r>
      <w:r w:rsidR="002B0420" w:rsidRPr="00E72418">
        <w:t xml:space="preserve">d’une </w:t>
      </w:r>
      <w:r w:rsidR="00372DFE">
        <w:t>« </w:t>
      </w:r>
      <w:r w:rsidR="00E57603" w:rsidRPr="00372DFE">
        <w:t>supervisory authority</w:t>
      </w:r>
      <w:r w:rsidR="00372DFE">
        <w:rPr>
          <w:rStyle w:val="Appelnotedebasdep"/>
        </w:rPr>
        <w:t> </w:t>
      </w:r>
      <w:r w:rsidR="00372DFE" w:rsidRPr="00372DFE">
        <w:rPr>
          <w:rStyle w:val="Appelnotedebasdep"/>
          <w:vertAlign w:val="baseline"/>
        </w:rPr>
        <w:t>»</w:t>
      </w:r>
      <w:r w:rsidR="00E57603" w:rsidRPr="00E72418">
        <w:rPr>
          <w:rStyle w:val="Appelnotedebasdep"/>
        </w:rPr>
        <w:footnoteReference w:id="1372"/>
      </w:r>
      <w:r w:rsidR="00E57603" w:rsidRPr="00E72418">
        <w:t>.</w:t>
      </w:r>
      <w:r w:rsidR="00832BEF" w:rsidRPr="00E72418">
        <w:t xml:space="preserve"> </w:t>
      </w:r>
      <w:r w:rsidR="00E8016A" w:rsidRPr="00E72418">
        <w:t xml:space="preserve">Christoph </w:t>
      </w:r>
      <w:r w:rsidR="00832BEF" w:rsidRPr="00E72418">
        <w:t>Paulus, réfléchissant au cadre européen, alla un pas plus loin en proposant l’établissement d’une « resolvency proceeding » avec la création d’une juridiction qui, en plus d’offrir une aide à la négociation devant intervenir entre le débiteur et ses créanciers, aurait à valider l’accord auquel les protagonistes seraient parvenus</w:t>
      </w:r>
      <w:r w:rsidR="00832BEF" w:rsidRPr="00E72418">
        <w:rPr>
          <w:rStyle w:val="Appelnotedebasdep"/>
        </w:rPr>
        <w:footnoteReference w:id="1373"/>
      </w:r>
      <w:r w:rsidR="00832BEF" w:rsidRPr="00E72418">
        <w:t>.</w:t>
      </w:r>
    </w:p>
    <w:p w14:paraId="2174D019" w14:textId="4F7E091D" w:rsidR="005A7BA9" w:rsidRPr="00E72418" w:rsidRDefault="005A7BA9" w:rsidP="00CC4BA8">
      <w:pPr>
        <w:spacing w:line="276" w:lineRule="auto"/>
      </w:pPr>
    </w:p>
    <w:p w14:paraId="16ACB844" w14:textId="74331CF5" w:rsidR="00A60EB7" w:rsidRPr="00E72418" w:rsidRDefault="007F038F" w:rsidP="00A60EB7">
      <w:pPr>
        <w:spacing w:line="276" w:lineRule="auto"/>
        <w:rPr>
          <w:rFonts w:ascii="Courier New" w:hAnsi="Courier New"/>
          <w:lang w:val="fr-BE"/>
        </w:rPr>
      </w:pPr>
      <w:r w:rsidRPr="00E72418">
        <w:rPr>
          <w:b/>
        </w:rPr>
        <w:t>27</w:t>
      </w:r>
      <w:r w:rsidR="00BF6CE7" w:rsidRPr="00E72418">
        <w:rPr>
          <w:b/>
        </w:rPr>
        <w:t>8</w:t>
      </w:r>
      <w:r w:rsidRPr="00E72418">
        <w:rPr>
          <w:b/>
        </w:rPr>
        <w:t xml:space="preserve">. </w:t>
      </w:r>
      <w:r w:rsidR="00A60EB7" w:rsidRPr="00E72418">
        <w:rPr>
          <w:b/>
        </w:rPr>
        <w:t xml:space="preserve">La </w:t>
      </w:r>
      <w:r w:rsidR="00A8432C" w:rsidRPr="00E72418">
        <w:rPr>
          <w:b/>
        </w:rPr>
        <w:t xml:space="preserve">dernière </w:t>
      </w:r>
      <w:r w:rsidR="00A60EB7" w:rsidRPr="00E72418">
        <w:rPr>
          <w:b/>
        </w:rPr>
        <w:t xml:space="preserve">proposition </w:t>
      </w:r>
      <w:r w:rsidR="00A8432C" w:rsidRPr="00E72418">
        <w:rPr>
          <w:b/>
        </w:rPr>
        <w:t xml:space="preserve">en date </w:t>
      </w:r>
      <w:r w:rsidR="00A60EB7" w:rsidRPr="00E72418">
        <w:rPr>
          <w:rFonts w:cs="Times New Roman"/>
          <w:b/>
          <w:szCs w:val="24"/>
        </w:rPr>
        <w:t xml:space="preserve">– </w:t>
      </w:r>
      <w:r w:rsidR="00A60EB7" w:rsidRPr="00E72418">
        <w:rPr>
          <w:rFonts w:cs="Times New Roman"/>
          <w:szCs w:val="24"/>
        </w:rPr>
        <w:t xml:space="preserve">En 2021, Gustavo Rivera a déposé au </w:t>
      </w:r>
      <w:r w:rsidR="00A60EB7" w:rsidRPr="00E72418">
        <w:rPr>
          <w:rFonts w:cs="Times New Roman"/>
          <w:i/>
          <w:szCs w:val="24"/>
        </w:rPr>
        <w:t>New York State Senate</w:t>
      </w:r>
      <w:r w:rsidR="00A60EB7" w:rsidRPr="00E72418">
        <w:rPr>
          <w:rFonts w:cs="Times New Roman"/>
          <w:szCs w:val="24"/>
        </w:rPr>
        <w:t xml:space="preserve"> un texte visant l’instauration d’un mécanisme de restructuration pour les dettes souveraines insoutenables</w:t>
      </w:r>
      <w:r w:rsidR="00A60EB7" w:rsidRPr="00E72418">
        <w:rPr>
          <w:rStyle w:val="Appelnotedebasdep"/>
          <w:rFonts w:cs="Times New Roman"/>
          <w:szCs w:val="24"/>
        </w:rPr>
        <w:footnoteReference w:id="1374"/>
      </w:r>
      <w:r w:rsidR="00A60EB7" w:rsidRPr="00E72418">
        <w:rPr>
          <w:rFonts w:cs="Times New Roman"/>
          <w:szCs w:val="24"/>
        </w:rPr>
        <w:t>. Face à la carence précédemment décrite, le sénateur note que « </w:t>
      </w:r>
      <w:r w:rsidR="00A60EB7" w:rsidRPr="00E72418">
        <w:rPr>
          <w:szCs w:val="20"/>
        </w:rPr>
        <w:t>[c]</w:t>
      </w:r>
      <w:r w:rsidR="00A60EB7" w:rsidRPr="00E72418">
        <w:t>ircumstances have given New York State the astonishing ability to make history by establishing an orderly sovereign debt resolution procedure under the rule of law</w:t>
      </w:r>
      <w:r w:rsidR="00A60EB7" w:rsidRPr="00E72418">
        <w:rPr>
          <w:rFonts w:ascii="Courier New" w:hAnsi="Courier New"/>
          <w:lang w:val="fr-BE"/>
        </w:rPr>
        <w:t xml:space="preserve"> </w:t>
      </w:r>
      <w:r w:rsidR="00A60EB7" w:rsidRPr="00E72418">
        <w:rPr>
          <w:rFonts w:cs="Times New Roman"/>
          <w:szCs w:val="24"/>
        </w:rPr>
        <w:t>»</w:t>
      </w:r>
      <w:r w:rsidR="00A60EB7" w:rsidRPr="00E72418">
        <w:rPr>
          <w:rStyle w:val="Appelnotedebasdep"/>
          <w:rFonts w:cs="Times New Roman"/>
          <w:szCs w:val="24"/>
        </w:rPr>
        <w:footnoteReference w:id="1375"/>
      </w:r>
      <w:r w:rsidR="00A60EB7" w:rsidRPr="00E72418">
        <w:rPr>
          <w:rFonts w:cs="Times New Roman"/>
          <w:szCs w:val="24"/>
        </w:rPr>
        <w:t>.</w:t>
      </w:r>
      <w:r w:rsidR="00AD27CA" w:rsidRPr="00E72418">
        <w:rPr>
          <w:rFonts w:cs="Times New Roman"/>
          <w:szCs w:val="24"/>
        </w:rPr>
        <w:t xml:space="preserve"> Il est vrai que l</w:t>
      </w:r>
      <w:r w:rsidR="00B470EF" w:rsidRPr="00E72418">
        <w:rPr>
          <w:rFonts w:cs="Times New Roman"/>
          <w:szCs w:val="24"/>
        </w:rPr>
        <w:t>’initiative parlementaire est</w:t>
      </w:r>
      <w:r w:rsidR="000B244D" w:rsidRPr="00E72418">
        <w:rPr>
          <w:rFonts w:cs="Times New Roman"/>
          <w:szCs w:val="24"/>
        </w:rPr>
        <w:t>,</w:t>
      </w:r>
      <w:r w:rsidR="00B470EF" w:rsidRPr="00E72418">
        <w:rPr>
          <w:rFonts w:cs="Times New Roman"/>
          <w:szCs w:val="24"/>
        </w:rPr>
        <w:t xml:space="preserve"> à certains égards</w:t>
      </w:r>
      <w:r w:rsidR="000B244D" w:rsidRPr="00E72418">
        <w:rPr>
          <w:rFonts w:cs="Times New Roman"/>
          <w:szCs w:val="24"/>
        </w:rPr>
        <w:t>,</w:t>
      </w:r>
      <w:r w:rsidR="00B470EF" w:rsidRPr="00E72418">
        <w:rPr>
          <w:rFonts w:cs="Times New Roman"/>
          <w:szCs w:val="24"/>
        </w:rPr>
        <w:t xml:space="preserve"> copernicienne</w:t>
      </w:r>
      <w:r w:rsidR="006A4307" w:rsidRPr="00E72418">
        <w:rPr>
          <w:rFonts w:cs="Times New Roman"/>
          <w:szCs w:val="24"/>
        </w:rPr>
        <w:t xml:space="preserve"> au vu de la fréquent</w:t>
      </w:r>
      <w:r w:rsidR="000B244D" w:rsidRPr="00E72418">
        <w:rPr>
          <w:rFonts w:cs="Times New Roman"/>
          <w:szCs w:val="24"/>
        </w:rPr>
        <w:t>e</w:t>
      </w:r>
      <w:r w:rsidR="006A4307" w:rsidRPr="00E72418">
        <w:rPr>
          <w:rFonts w:cs="Times New Roman"/>
          <w:szCs w:val="24"/>
        </w:rPr>
        <w:t xml:space="preserve"> soumission des dettes souveraines au</w:t>
      </w:r>
      <w:r w:rsidR="00B470EF" w:rsidRPr="00E72418">
        <w:rPr>
          <w:rFonts w:cs="Times New Roman"/>
          <w:szCs w:val="24"/>
        </w:rPr>
        <w:t xml:space="preserve"> droit new-yorkais</w:t>
      </w:r>
      <w:r w:rsidR="00B470EF" w:rsidRPr="00E72418">
        <w:rPr>
          <w:rStyle w:val="Appelnotedebasdep"/>
          <w:rFonts w:cs="Times New Roman"/>
          <w:szCs w:val="24"/>
        </w:rPr>
        <w:footnoteReference w:id="1376"/>
      </w:r>
      <w:r w:rsidR="00B470EF" w:rsidRPr="00E72418">
        <w:rPr>
          <w:rFonts w:cs="Times New Roman"/>
          <w:szCs w:val="24"/>
        </w:rPr>
        <w:t>.</w:t>
      </w:r>
    </w:p>
    <w:p w14:paraId="67D9919D" w14:textId="0AEC6FD6" w:rsidR="00A60EB7" w:rsidRPr="00E72418" w:rsidRDefault="00A60EB7" w:rsidP="00A60EB7">
      <w:pPr>
        <w:spacing w:line="276" w:lineRule="auto"/>
        <w:rPr>
          <w:lang w:val="fr-BE" w:eastAsia="fr-BE"/>
        </w:rPr>
      </w:pPr>
      <w:r w:rsidRPr="00E72418">
        <w:rPr>
          <w:rFonts w:cs="Times New Roman"/>
          <w:szCs w:val="24"/>
        </w:rPr>
        <w:t xml:space="preserve">Le texte en projet prévoit l’insertion de diverses dispositions dans la </w:t>
      </w:r>
      <w:r w:rsidRPr="00E72418">
        <w:rPr>
          <w:rFonts w:cs="Times New Roman"/>
          <w:i/>
          <w:szCs w:val="24"/>
        </w:rPr>
        <w:t>banking law</w:t>
      </w:r>
      <w:r w:rsidRPr="00E72418">
        <w:rPr>
          <w:rFonts w:cs="Times New Roman"/>
          <w:szCs w:val="24"/>
        </w:rPr>
        <w:t xml:space="preserve"> et a pour ambition « </w:t>
      </w:r>
      <w:r w:rsidRPr="00E72418">
        <w:rPr>
          <w:szCs w:val="20"/>
        </w:rPr>
        <w:t>[t]</w:t>
      </w:r>
      <w:r w:rsidRPr="00E72418">
        <w:rPr>
          <w:lang w:val="fr-BE" w:eastAsia="fr-BE"/>
        </w:rPr>
        <w:t xml:space="preserve">o provide effective mechanisms for restructuring unsustainable sovereign </w:t>
      </w:r>
      <w:r w:rsidRPr="00E72418">
        <w:rPr>
          <w:szCs w:val="20"/>
        </w:rPr>
        <w:t xml:space="preserve">[…] </w:t>
      </w:r>
      <w:r w:rsidRPr="00E72418">
        <w:rPr>
          <w:lang w:val="fr-BE" w:eastAsia="fr-BE"/>
        </w:rPr>
        <w:t xml:space="preserve">debt so as to reduce : 1. the social costs of sovereign </w:t>
      </w:r>
      <w:r w:rsidRPr="00E72418">
        <w:rPr>
          <w:szCs w:val="20"/>
        </w:rPr>
        <w:t>[…]</w:t>
      </w:r>
      <w:r w:rsidRPr="00E72418">
        <w:rPr>
          <w:lang w:val="fr-BE" w:eastAsia="fr-BE"/>
        </w:rPr>
        <w:t xml:space="preserve"> debt crises ; 2. systemic risk to the financial system ; 3. creditor uncertainty ; and 4. the need for sovereign </w:t>
      </w:r>
      <w:r w:rsidRPr="00E72418">
        <w:rPr>
          <w:szCs w:val="20"/>
        </w:rPr>
        <w:t xml:space="preserve">[…] debt bailouts, which are costly and create moral hazard </w:t>
      </w:r>
      <w:r w:rsidRPr="00E72418">
        <w:rPr>
          <w:lang w:val="fr-BE" w:eastAsia="fr-BE"/>
        </w:rPr>
        <w:t>»</w:t>
      </w:r>
      <w:r w:rsidRPr="00E72418">
        <w:rPr>
          <w:rStyle w:val="Appelnotedebasdep"/>
          <w:lang w:val="fr-BE" w:eastAsia="fr-BE"/>
        </w:rPr>
        <w:footnoteReference w:id="1377"/>
      </w:r>
      <w:r w:rsidRPr="00E72418">
        <w:rPr>
          <w:lang w:val="fr-BE" w:eastAsia="fr-BE"/>
        </w:rPr>
        <w:t xml:space="preserve">. </w:t>
      </w:r>
      <w:r w:rsidR="00A66DCC" w:rsidRPr="00E72418">
        <w:rPr>
          <w:lang w:val="fr-BE" w:eastAsia="fr-BE"/>
        </w:rPr>
        <w:t xml:space="preserve">Une particularité majeure de la législation envisagée a trait à sa portée. Ainsi, la </w:t>
      </w:r>
      <w:r w:rsidR="00A66DCC" w:rsidRPr="00E72418">
        <w:rPr>
          <w:i/>
        </w:rPr>
        <w:t>section</w:t>
      </w:r>
      <w:r w:rsidR="00A66DCC" w:rsidRPr="00E72418">
        <w:t xml:space="preserve"> 309.2. du texte précise notamment </w:t>
      </w:r>
      <w:r w:rsidR="00A66DCC" w:rsidRPr="00E72418">
        <w:rPr>
          <w:lang w:val="fr-BE" w:eastAsia="fr-BE"/>
        </w:rPr>
        <w:t>qu’elle opère rétroactivement et qu’elle outrepasse les dispositions contractuelles en sens contraire</w:t>
      </w:r>
      <w:r w:rsidR="00A66DCC" w:rsidRPr="00E72418">
        <w:rPr>
          <w:rStyle w:val="Appelnotedebasdep"/>
          <w:lang w:val="fr-BE" w:eastAsia="fr-BE"/>
        </w:rPr>
        <w:footnoteReference w:id="1378"/>
      </w:r>
      <w:r w:rsidR="00A66DCC" w:rsidRPr="00E72418">
        <w:rPr>
          <w:lang w:val="fr-BE" w:eastAsia="fr-BE"/>
        </w:rPr>
        <w:t>.</w:t>
      </w:r>
    </w:p>
    <w:p w14:paraId="35A2F9B9" w14:textId="6DE4BE28" w:rsidR="002665EF" w:rsidRPr="00E72418" w:rsidRDefault="00A60EB7" w:rsidP="00A60EB7">
      <w:pPr>
        <w:spacing w:line="276" w:lineRule="auto"/>
        <w:rPr>
          <w:lang w:val="fr-BE" w:eastAsia="fr-BE"/>
        </w:rPr>
      </w:pPr>
      <w:r w:rsidRPr="00E72418">
        <w:rPr>
          <w:lang w:val="fr-BE" w:eastAsia="fr-BE"/>
        </w:rPr>
        <w:t xml:space="preserve">Le mécanisme </w:t>
      </w:r>
      <w:r w:rsidR="00AD27CA" w:rsidRPr="00E72418">
        <w:rPr>
          <w:lang w:val="fr-BE" w:eastAsia="fr-BE"/>
        </w:rPr>
        <w:t>proposé</w:t>
      </w:r>
      <w:r w:rsidR="005F1C94" w:rsidRPr="00E72418">
        <w:rPr>
          <w:lang w:val="fr-BE" w:eastAsia="fr-BE"/>
        </w:rPr>
        <w:t xml:space="preserve"> consiste à permettre aux </w:t>
      </w:r>
      <w:r w:rsidR="005F1C94" w:rsidRPr="00E72418">
        <w:rPr>
          <w:lang w:eastAsia="fr-BE"/>
        </w:rPr>
        <w:t>É</w:t>
      </w:r>
      <w:r w:rsidRPr="00E72418">
        <w:rPr>
          <w:lang w:val="fr-BE" w:eastAsia="fr-BE"/>
        </w:rPr>
        <w:t>tats jugeant leur dette insoutenable de soumettre volontairement, pour autant qu’une telle demande ne soit pas intervenue dans les dix années précédentes, une « petition for relief » à une autorité de supervision afin de la rendre soutenable</w:t>
      </w:r>
      <w:r w:rsidRPr="00E72418">
        <w:rPr>
          <w:rStyle w:val="Appelnotedebasdep"/>
          <w:lang w:val="fr-BE" w:eastAsia="fr-BE"/>
        </w:rPr>
        <w:footnoteReference w:id="1379"/>
      </w:r>
      <w:r w:rsidRPr="00E72418">
        <w:rPr>
          <w:lang w:val="fr-BE" w:eastAsia="fr-BE"/>
        </w:rPr>
        <w:t xml:space="preserve">. </w:t>
      </w:r>
      <w:r w:rsidR="002665EF" w:rsidRPr="00E72418">
        <w:rPr>
          <w:lang w:val="fr-BE" w:eastAsia="fr-BE"/>
        </w:rPr>
        <w:t>Le mécanisme est en tant que tel o</w:t>
      </w:r>
      <w:r w:rsidR="005F1C94" w:rsidRPr="00E72418">
        <w:rPr>
          <w:lang w:val="fr-BE" w:eastAsia="fr-BE"/>
        </w:rPr>
        <w:t xml:space="preserve">uvert à tous les </w:t>
      </w:r>
      <w:r w:rsidR="005F1C94" w:rsidRPr="00E72418">
        <w:rPr>
          <w:lang w:eastAsia="fr-BE"/>
        </w:rPr>
        <w:t>É</w:t>
      </w:r>
      <w:r w:rsidR="002665EF" w:rsidRPr="00E72418">
        <w:rPr>
          <w:lang w:val="fr-BE" w:eastAsia="fr-BE"/>
        </w:rPr>
        <w:t>tats.</w:t>
      </w:r>
    </w:p>
    <w:p w14:paraId="7B25C9BD" w14:textId="23C26DE6" w:rsidR="00A60EB7" w:rsidRPr="00E72418" w:rsidRDefault="002665EF" w:rsidP="00A60EB7">
      <w:pPr>
        <w:spacing w:line="276" w:lineRule="auto"/>
      </w:pPr>
      <w:r w:rsidRPr="00E72418">
        <w:rPr>
          <w:lang w:val="fr-BE" w:eastAsia="fr-BE"/>
        </w:rPr>
        <w:t>La requête soumise, l</w:t>
      </w:r>
      <w:r w:rsidR="005F1C94" w:rsidRPr="00E72418">
        <w:rPr>
          <w:lang w:val="fr-BE" w:eastAsia="fr-BE"/>
        </w:rPr>
        <w:t>’</w:t>
      </w:r>
      <w:r w:rsidR="005F1C94" w:rsidRPr="00E72418">
        <w:rPr>
          <w:lang w:eastAsia="fr-BE"/>
        </w:rPr>
        <w:t>É</w:t>
      </w:r>
      <w:r w:rsidR="00A60EB7" w:rsidRPr="00E72418">
        <w:rPr>
          <w:lang w:val="fr-BE" w:eastAsia="fr-BE"/>
        </w:rPr>
        <w:t>tat doit ensuite faire savoir à ses créanciers qu’il entend négocier un plan de restructuration suivant le mécanisme mis en place</w:t>
      </w:r>
      <w:r w:rsidR="00A60EB7" w:rsidRPr="00E72418">
        <w:rPr>
          <w:rStyle w:val="Appelnotedebasdep"/>
          <w:lang w:val="fr-BE" w:eastAsia="fr-BE"/>
        </w:rPr>
        <w:footnoteReference w:id="1380"/>
      </w:r>
      <w:r w:rsidR="00A60EB7" w:rsidRPr="00E72418">
        <w:rPr>
          <w:lang w:val="fr-BE" w:eastAsia="fr-BE"/>
        </w:rPr>
        <w:t>. S’</w:t>
      </w:r>
      <w:r w:rsidRPr="00E72418">
        <w:rPr>
          <w:lang w:val="fr-BE" w:eastAsia="fr-BE"/>
        </w:rPr>
        <w:t xml:space="preserve">ensuit </w:t>
      </w:r>
      <w:r w:rsidR="00A60EB7" w:rsidRPr="00E72418">
        <w:rPr>
          <w:lang w:val="fr-BE" w:eastAsia="fr-BE"/>
        </w:rPr>
        <w:t>un « </w:t>
      </w:r>
      <w:r w:rsidR="00A60EB7" w:rsidRPr="00E72418">
        <w:t xml:space="preserve">comprehensive audit » mené par un organisme indépendant consistant à « examine and evaluate the public debt </w:t>
      </w:r>
      <w:r w:rsidR="00A60EB7" w:rsidRPr="00E72418">
        <w:lastRenderedPageBreak/>
        <w:t>contracting, refinancing, or negotiation process, in order to determine the lawfulness, transparency, quality, efficacy, efficiency, and sustainability thereof »</w:t>
      </w:r>
      <w:r w:rsidR="00A60EB7" w:rsidRPr="00E72418">
        <w:rPr>
          <w:rStyle w:val="Appelnotedebasdep"/>
        </w:rPr>
        <w:footnoteReference w:id="1381"/>
      </w:r>
      <w:r w:rsidR="00A60EB7" w:rsidRPr="00E72418">
        <w:t xml:space="preserve">. </w:t>
      </w:r>
    </w:p>
    <w:p w14:paraId="73B94AF9" w14:textId="5091F355" w:rsidR="00A60EB7" w:rsidRPr="00E72418" w:rsidRDefault="005F1C94" w:rsidP="00A60EB7">
      <w:pPr>
        <w:spacing w:line="276" w:lineRule="auto"/>
      </w:pPr>
      <w:r w:rsidRPr="00E72418">
        <w:t>Avec le texte en projet, l’</w:t>
      </w:r>
      <w:r w:rsidRPr="00E72418">
        <w:rPr>
          <w:lang w:eastAsia="fr-BE"/>
        </w:rPr>
        <w:t>É</w:t>
      </w:r>
      <w:r w:rsidR="00A60EB7" w:rsidRPr="00E72418">
        <w:t>tat débiteur peut à tout moment soumettre un plan de restructuration dans lequel il précise le sort qu’il entend réserver à chacune des « classes of claims »</w:t>
      </w:r>
      <w:r w:rsidR="00A60EB7" w:rsidRPr="00E72418">
        <w:rPr>
          <w:rStyle w:val="Appelnotedebasdep"/>
        </w:rPr>
        <w:footnoteReference w:id="1382"/>
      </w:r>
      <w:r w:rsidR="00A60EB7" w:rsidRPr="00E72418">
        <w:t xml:space="preserve">. Ce plan </w:t>
      </w:r>
      <w:r w:rsidR="00AD27CA" w:rsidRPr="00E72418">
        <w:t>devient</w:t>
      </w:r>
      <w:r w:rsidR="00A60EB7" w:rsidRPr="00E72418">
        <w:t xml:space="preserve"> effectif et </w:t>
      </w:r>
      <w:r w:rsidRPr="00E72418">
        <w:t>obligatoire pour l’</w:t>
      </w:r>
      <w:r w:rsidRPr="00E72418">
        <w:rPr>
          <w:lang w:eastAsia="fr-BE"/>
        </w:rPr>
        <w:t>É</w:t>
      </w:r>
      <w:r w:rsidR="00A60EB7" w:rsidRPr="00E72418">
        <w:t xml:space="preserve">tat débiteur et ses créanciers une fois que les créanciers de chacune des catégories précitées </w:t>
      </w:r>
      <w:r w:rsidR="00AD27CA" w:rsidRPr="00E72418">
        <w:t>ont</w:t>
      </w:r>
      <w:r w:rsidR="00A60EB7" w:rsidRPr="00E72418">
        <w:t xml:space="preserve"> donné leur accord</w:t>
      </w:r>
      <w:r w:rsidR="000E4BA7" w:rsidRPr="00E72418">
        <w:t>,</w:t>
      </w:r>
      <w:r w:rsidR="009E4F86" w:rsidRPr="00E72418">
        <w:t xml:space="preserve"> sachant qu’</w:t>
      </w:r>
      <w:r w:rsidR="00A60EB7" w:rsidRPr="00E72418">
        <w:t> « </w:t>
      </w:r>
      <w:r w:rsidR="00A60EB7" w:rsidRPr="00E72418">
        <w:rPr>
          <w:szCs w:val="20"/>
        </w:rPr>
        <w:t>[a]</w:t>
      </w:r>
      <w:r w:rsidR="00A60EB7" w:rsidRPr="00E72418">
        <w:t xml:space="preserve"> class of claims has agreed to a plan if creditors holding at least two-thirds in amount and more than one-half in number of the claims of such class voting on such plan agree to the plan »</w:t>
      </w:r>
      <w:r w:rsidR="00A60EB7" w:rsidRPr="00E72418">
        <w:rPr>
          <w:rStyle w:val="Appelnotedebasdep"/>
        </w:rPr>
        <w:footnoteReference w:id="1383"/>
      </w:r>
      <w:r w:rsidR="00A60EB7" w:rsidRPr="00E72418">
        <w:t xml:space="preserve">. L’engagement du processus de restructuration n’empêche pas </w:t>
      </w:r>
      <w:r w:rsidR="000E4BA7" w:rsidRPr="00E72418">
        <w:t>l’</w:t>
      </w:r>
      <w:r w:rsidR="000E4BA7" w:rsidRPr="00E72418">
        <w:rPr>
          <w:lang w:eastAsia="fr-BE"/>
        </w:rPr>
        <w:t>É</w:t>
      </w:r>
      <w:r w:rsidR="000E4BA7" w:rsidRPr="00E72418">
        <w:t xml:space="preserve">tat </w:t>
      </w:r>
      <w:r w:rsidR="00A60EB7" w:rsidRPr="00E72418">
        <w:t>de continuer à emprunter de l’argent pourvu que cela se fasse suivant des modalités prévues par le texte en projet</w:t>
      </w:r>
      <w:r w:rsidR="00A60EB7" w:rsidRPr="00E72418">
        <w:rPr>
          <w:rStyle w:val="Appelnotedebasdep"/>
        </w:rPr>
        <w:footnoteReference w:id="1384"/>
      </w:r>
      <w:r w:rsidR="00A60EB7" w:rsidRPr="00E72418">
        <w:t>.</w:t>
      </w:r>
    </w:p>
    <w:p w14:paraId="3928BD2B" w14:textId="02ACD7CE" w:rsidR="005F1C94" w:rsidRPr="00E72418" w:rsidRDefault="000E4BA7" w:rsidP="005F1C94">
      <w:pPr>
        <w:spacing w:line="276" w:lineRule="auto"/>
        <w:rPr>
          <w:rFonts w:ascii="Times New Roman" w:hAnsi="Times New Roman" w:cs="Times New Roman"/>
          <w:szCs w:val="24"/>
          <w:lang w:val="fr-BE"/>
        </w:rPr>
      </w:pPr>
      <w:r w:rsidRPr="00E72418">
        <w:rPr>
          <w:rFonts w:ascii="Times New Roman" w:hAnsi="Times New Roman" w:cs="Times New Roman"/>
          <w:szCs w:val="24"/>
          <w:lang w:val="fr-BE" w:eastAsia="fr-BE"/>
        </w:rPr>
        <w:t>Il n’est pas certain que cette</w:t>
      </w:r>
      <w:r w:rsidR="005F1C94" w:rsidRPr="00E72418">
        <w:rPr>
          <w:rFonts w:ascii="Times New Roman" w:hAnsi="Times New Roman" w:cs="Times New Roman"/>
          <w:szCs w:val="24"/>
          <w:lang w:val="fr-BE" w:eastAsia="fr-BE"/>
        </w:rPr>
        <w:t xml:space="preserve"> proposition de loi </w:t>
      </w:r>
      <w:r w:rsidRPr="00E72418">
        <w:rPr>
          <w:rFonts w:ascii="Times New Roman" w:hAnsi="Times New Roman" w:cs="Times New Roman"/>
          <w:szCs w:val="24"/>
          <w:lang w:val="fr-BE" w:eastAsia="fr-BE"/>
        </w:rPr>
        <w:t xml:space="preserve">new-yorkaise </w:t>
      </w:r>
      <w:r w:rsidR="005F1C94" w:rsidRPr="00E72418">
        <w:rPr>
          <w:rFonts w:ascii="Times New Roman" w:hAnsi="Times New Roman" w:cs="Times New Roman"/>
          <w:szCs w:val="24"/>
          <w:lang w:val="fr-BE" w:eastAsia="fr-BE"/>
        </w:rPr>
        <w:t>puisse aboutir, du moins dans sa formulation originelle. Comme le note Noah Zuss, quoique « </w:t>
      </w:r>
      <w:r w:rsidR="005F1C94" w:rsidRPr="00E72418">
        <w:rPr>
          <w:rFonts w:ascii="Times New Roman" w:hAnsi="Times New Roman" w:cs="Times New Roman"/>
          <w:szCs w:val="24"/>
        </w:rPr>
        <w:t>[t]</w:t>
      </w:r>
      <w:r w:rsidR="005F1C94" w:rsidRPr="00E72418">
        <w:rPr>
          <w:rFonts w:ascii="Times New Roman" w:hAnsi="Times New Roman" w:cs="Times New Roman"/>
          <w:szCs w:val="24"/>
          <w:lang w:val="fr-BE"/>
        </w:rPr>
        <w:t>he bill’s sponsors are progressives in a Democrat-majority state legislature », « New York State is also a major banking and finance hub, and the financial industry may oppose the bill »</w:t>
      </w:r>
      <w:r w:rsidR="005F1C94" w:rsidRPr="00E72418">
        <w:rPr>
          <w:rStyle w:val="Appelnotedebasdep"/>
          <w:rFonts w:ascii="Times New Roman" w:hAnsi="Times New Roman" w:cs="Times New Roman"/>
          <w:szCs w:val="24"/>
          <w:lang w:val="fr-BE"/>
        </w:rPr>
        <w:footnoteReference w:id="1385"/>
      </w:r>
      <w:r w:rsidR="005F1C94" w:rsidRPr="00E72418">
        <w:rPr>
          <w:rFonts w:ascii="Times New Roman" w:hAnsi="Times New Roman" w:cs="Times New Roman"/>
          <w:szCs w:val="24"/>
          <w:lang w:val="fr-BE"/>
        </w:rPr>
        <w:t xml:space="preserve">. Deborah Zandstra </w:t>
      </w:r>
      <w:r w:rsidR="005F1C94" w:rsidRPr="00E72418">
        <w:rPr>
          <w:rFonts w:ascii="Times New Roman" w:hAnsi="Times New Roman" w:cs="Times New Roman"/>
          <w:i/>
          <w:szCs w:val="24"/>
          <w:lang w:val="fr-BE"/>
        </w:rPr>
        <w:t xml:space="preserve">et al. </w:t>
      </w:r>
      <w:r w:rsidR="005F1C94" w:rsidRPr="00E72418">
        <w:rPr>
          <w:rFonts w:ascii="Times New Roman" w:hAnsi="Times New Roman" w:cs="Times New Roman"/>
          <w:szCs w:val="24"/>
          <w:lang w:val="fr-BE"/>
        </w:rPr>
        <w:t>sont quant à eux critiques sur</w:t>
      </w:r>
      <w:r w:rsidR="009E4F86" w:rsidRPr="00E72418">
        <w:rPr>
          <w:rFonts w:ascii="Times New Roman" w:hAnsi="Times New Roman" w:cs="Times New Roman"/>
          <w:szCs w:val="24"/>
          <w:lang w:val="fr-BE"/>
        </w:rPr>
        <w:t xml:space="preserve"> la rédaction du texte en ce qu’</w:t>
      </w:r>
      <w:r w:rsidR="005F1C94" w:rsidRPr="00E72418">
        <w:rPr>
          <w:rFonts w:ascii="Times New Roman" w:hAnsi="Times New Roman" w:cs="Times New Roman"/>
          <w:szCs w:val="24"/>
          <w:lang w:val="fr-BE"/>
        </w:rPr>
        <w:t xml:space="preserve"> « </w:t>
      </w:r>
      <w:r w:rsidR="005F1C94" w:rsidRPr="00E72418">
        <w:rPr>
          <w:rFonts w:ascii="Times New Roman" w:hAnsi="Times New Roman" w:cs="Times New Roman"/>
          <w:szCs w:val="24"/>
        </w:rPr>
        <w:t>[a]</w:t>
      </w:r>
      <w:r w:rsidR="005F1C94" w:rsidRPr="00E72418">
        <w:rPr>
          <w:rFonts w:ascii="Times New Roman" w:hAnsi="Times New Roman" w:cs="Times New Roman"/>
          <w:szCs w:val="24"/>
          <w:lang w:val="fr-BE"/>
        </w:rPr>
        <w:t>s drafted, it leaves important questions of detail unanswered, potentially leading to market uncertainty and unintended consequences for sovereign debtors as well as other relevant stakeholders »</w:t>
      </w:r>
      <w:r w:rsidR="005F1C94" w:rsidRPr="00E72418">
        <w:rPr>
          <w:rStyle w:val="Appelnotedebasdep"/>
          <w:rFonts w:ascii="Times New Roman" w:hAnsi="Times New Roman" w:cs="Times New Roman"/>
          <w:szCs w:val="24"/>
          <w:lang w:val="fr-BE"/>
        </w:rPr>
        <w:footnoteReference w:id="1386"/>
      </w:r>
      <w:r w:rsidR="005F1C94" w:rsidRPr="00E72418">
        <w:rPr>
          <w:rFonts w:ascii="Times New Roman" w:hAnsi="Times New Roman" w:cs="Times New Roman"/>
          <w:szCs w:val="24"/>
          <w:lang w:val="fr-BE"/>
        </w:rPr>
        <w:t>.</w:t>
      </w:r>
    </w:p>
    <w:p w14:paraId="4260789B" w14:textId="4DD254C7" w:rsidR="0067312A" w:rsidRPr="00E72418" w:rsidRDefault="0067312A" w:rsidP="00A60EB7">
      <w:pPr>
        <w:spacing w:line="276" w:lineRule="auto"/>
      </w:pPr>
    </w:p>
    <w:p w14:paraId="065A6DB6" w14:textId="61C3CDD1" w:rsidR="00A87E7E" w:rsidRPr="00E72418" w:rsidRDefault="008665DF" w:rsidP="00CC4BA8">
      <w:pPr>
        <w:pStyle w:val="DD"/>
        <w:spacing w:line="276" w:lineRule="auto"/>
      </w:pPr>
      <w:bookmarkStart w:id="326" w:name="_Toc37777368"/>
      <w:bookmarkStart w:id="327" w:name="_Toc59280975"/>
      <w:bookmarkStart w:id="328" w:name="_Toc84540966"/>
      <w:r w:rsidRPr="00E72418">
        <w:t xml:space="preserve">Section 3 : </w:t>
      </w:r>
      <w:r w:rsidR="00A87E7E" w:rsidRPr="00E72418">
        <w:t>Les caractéristiques essentielles</w:t>
      </w:r>
      <w:bookmarkEnd w:id="326"/>
      <w:bookmarkEnd w:id="327"/>
      <w:bookmarkEnd w:id="328"/>
    </w:p>
    <w:p w14:paraId="2FBBADE8" w14:textId="77777777" w:rsidR="00BE6960" w:rsidRPr="00E72418" w:rsidRDefault="00BE6960" w:rsidP="009B2B07"/>
    <w:p w14:paraId="24FF55F5" w14:textId="7B2FFCC8" w:rsidR="00E752D6" w:rsidRPr="00E72418" w:rsidRDefault="00BF6CE7" w:rsidP="00CC4BA8">
      <w:pPr>
        <w:spacing w:line="276" w:lineRule="auto"/>
        <w:rPr>
          <w:rFonts w:cs="Times New Roman"/>
          <w:szCs w:val="24"/>
        </w:rPr>
      </w:pPr>
      <w:r w:rsidRPr="00E72418">
        <w:rPr>
          <w:rFonts w:cs="Times New Roman"/>
          <w:b/>
          <w:szCs w:val="24"/>
        </w:rPr>
        <w:t>279</w:t>
      </w:r>
      <w:r w:rsidR="00817D62" w:rsidRPr="00E72418">
        <w:rPr>
          <w:rFonts w:cs="Times New Roman"/>
          <w:b/>
          <w:szCs w:val="24"/>
        </w:rPr>
        <w:t xml:space="preserve">. </w:t>
      </w:r>
      <w:r w:rsidR="00E752D6" w:rsidRPr="00E72418">
        <w:rPr>
          <w:rFonts w:cs="Times New Roman"/>
          <w:b/>
          <w:szCs w:val="24"/>
        </w:rPr>
        <w:t xml:space="preserve">Un tiers impartial – </w:t>
      </w:r>
      <w:r w:rsidR="00E752D6" w:rsidRPr="00E72418">
        <w:rPr>
          <w:rFonts w:cs="Times New Roman"/>
          <w:szCs w:val="24"/>
        </w:rPr>
        <w:t>Vu la complexité des questions posées lors des restructurations et les intérêts divergents en jeu, l’instauration d’un tiers impartial paraît d’une utilité incontestable afin de parvenir à trancher les difficultés</w:t>
      </w:r>
      <w:r w:rsidR="00521298" w:rsidRPr="00E72418">
        <w:rPr>
          <w:rStyle w:val="Appelnotedebasdep"/>
          <w:rFonts w:cs="Times New Roman"/>
          <w:szCs w:val="24"/>
        </w:rPr>
        <w:footnoteReference w:id="1387"/>
      </w:r>
      <w:r w:rsidR="00E752D6" w:rsidRPr="00E72418">
        <w:rPr>
          <w:rFonts w:cs="Times New Roman"/>
          <w:szCs w:val="24"/>
        </w:rPr>
        <w:t xml:space="preserve">. Outre ce rôle de juge, sa seule présence peut </w:t>
      </w:r>
      <w:r w:rsidR="009B56F2" w:rsidRPr="00E72418">
        <w:rPr>
          <w:rFonts w:cs="Times New Roman"/>
          <w:szCs w:val="24"/>
        </w:rPr>
        <w:t>suffire</w:t>
      </w:r>
      <w:r w:rsidR="00E752D6" w:rsidRPr="00E72418">
        <w:rPr>
          <w:rFonts w:cs="Times New Roman"/>
          <w:szCs w:val="24"/>
        </w:rPr>
        <w:t xml:space="preserve"> à réguler les comportements adoptés par les différents protagonistes. Face au risque que des </w:t>
      </w:r>
      <w:r w:rsidR="00E752D6" w:rsidRPr="00E72418">
        <w:t>É</w:t>
      </w:r>
      <w:r w:rsidR="00E752D6" w:rsidRPr="00E72418">
        <w:rPr>
          <w:rFonts w:cs="Times New Roman"/>
          <w:szCs w:val="24"/>
        </w:rPr>
        <w:t>tats débiteurs jouent du défaut et de la restructuration afin d’éviter de devoir payer leurs dettes alors qu’ils seraient en mesure de le fair</w:t>
      </w:r>
      <w:r w:rsidR="006B01CA" w:rsidRPr="00E72418">
        <w:rPr>
          <w:rFonts w:cs="Times New Roman"/>
          <w:szCs w:val="24"/>
        </w:rPr>
        <w:t>e, le tiers impartial veille</w:t>
      </w:r>
      <w:r w:rsidR="00E752D6" w:rsidRPr="00E72418">
        <w:rPr>
          <w:rFonts w:cs="Times New Roman"/>
          <w:szCs w:val="24"/>
        </w:rPr>
        <w:t xml:space="preserve"> à ce qu’ils adoptent un comportement qui satisfasse </w:t>
      </w:r>
      <w:r w:rsidR="006B01CA" w:rsidRPr="00E72418">
        <w:rPr>
          <w:rFonts w:cs="Times New Roman"/>
          <w:szCs w:val="24"/>
        </w:rPr>
        <w:t>aux</w:t>
      </w:r>
      <w:r w:rsidR="00ED6880" w:rsidRPr="00E72418">
        <w:rPr>
          <w:rFonts w:cs="Times New Roman"/>
          <w:szCs w:val="24"/>
        </w:rPr>
        <w:t xml:space="preserve"> exigences de rigueur. Inverse</w:t>
      </w:r>
      <w:r w:rsidR="00E752D6" w:rsidRPr="00E72418">
        <w:rPr>
          <w:rFonts w:cs="Times New Roman"/>
          <w:szCs w:val="24"/>
        </w:rPr>
        <w:t xml:space="preserve">ment, dans le cas où les </w:t>
      </w:r>
      <w:r w:rsidR="00E752D6" w:rsidRPr="00E72418">
        <w:t>É</w:t>
      </w:r>
      <w:r w:rsidR="00E752D6" w:rsidRPr="00E72418">
        <w:rPr>
          <w:rFonts w:cs="Times New Roman"/>
          <w:szCs w:val="24"/>
        </w:rPr>
        <w:t>tats en proie à des difficultés financières éprouveraient des réticences à s’engager dans un processus de restructurat</w:t>
      </w:r>
      <w:r w:rsidR="006B01CA" w:rsidRPr="00E72418">
        <w:rPr>
          <w:rFonts w:cs="Times New Roman"/>
          <w:szCs w:val="24"/>
        </w:rPr>
        <w:t>ion, le tiers impartial peut</w:t>
      </w:r>
      <w:r w:rsidR="00E752D6" w:rsidRPr="00E72418">
        <w:rPr>
          <w:rFonts w:cs="Times New Roman"/>
          <w:szCs w:val="24"/>
        </w:rPr>
        <w:t xml:space="preserve"> déterminer quand défaut il y a et quand une </w:t>
      </w:r>
      <w:r w:rsidR="00E752D6" w:rsidRPr="00E72418">
        <w:rPr>
          <w:rFonts w:cs="Times New Roman"/>
          <w:szCs w:val="24"/>
        </w:rPr>
        <w:lastRenderedPageBreak/>
        <w:t>restructuration s’avère nécessaire</w:t>
      </w:r>
      <w:r w:rsidR="00E752D6" w:rsidRPr="00E72418">
        <w:rPr>
          <w:rStyle w:val="Appelnotedebasdep"/>
          <w:rFonts w:cs="Times New Roman"/>
          <w:szCs w:val="24"/>
        </w:rPr>
        <w:footnoteReference w:id="1388"/>
      </w:r>
      <w:r w:rsidR="00E752D6" w:rsidRPr="00E72418">
        <w:rPr>
          <w:rFonts w:cs="Times New Roman"/>
          <w:szCs w:val="24"/>
        </w:rPr>
        <w:t xml:space="preserve">. </w:t>
      </w:r>
      <w:r w:rsidR="006B01CA" w:rsidRPr="00E72418">
        <w:rPr>
          <w:rFonts w:cs="Times New Roman"/>
          <w:szCs w:val="24"/>
        </w:rPr>
        <w:t>En ce qui concerne les</w:t>
      </w:r>
      <w:r w:rsidR="00E752D6" w:rsidRPr="00E72418">
        <w:rPr>
          <w:rFonts w:cs="Times New Roman"/>
          <w:szCs w:val="24"/>
        </w:rPr>
        <w:t xml:space="preserve"> créanciers, la présence d’un tiers impartial est également de nature à </w:t>
      </w:r>
      <w:r w:rsidR="00D84FB8" w:rsidRPr="00E72418">
        <w:rPr>
          <w:rFonts w:cs="Times New Roman"/>
          <w:szCs w:val="24"/>
        </w:rPr>
        <w:t xml:space="preserve">modérer </w:t>
      </w:r>
      <w:r w:rsidR="006B01CA" w:rsidRPr="00E72418">
        <w:rPr>
          <w:rFonts w:cs="Times New Roman"/>
          <w:szCs w:val="24"/>
        </w:rPr>
        <w:t>leurs comportements.</w:t>
      </w:r>
    </w:p>
    <w:p w14:paraId="7291572A" w14:textId="62C1AF65" w:rsidR="001E7274" w:rsidRPr="00E72418" w:rsidRDefault="006B01CA" w:rsidP="00CC4BA8">
      <w:pPr>
        <w:spacing w:line="276" w:lineRule="auto"/>
        <w:rPr>
          <w:rFonts w:cs="Times New Roman"/>
          <w:szCs w:val="24"/>
        </w:rPr>
      </w:pPr>
      <w:r w:rsidRPr="00E72418">
        <w:rPr>
          <w:rFonts w:cs="Times New Roman"/>
          <w:szCs w:val="24"/>
        </w:rPr>
        <w:t>E</w:t>
      </w:r>
      <w:r w:rsidR="00E752D6" w:rsidRPr="00E72418">
        <w:rPr>
          <w:rFonts w:cs="Times New Roman"/>
          <w:szCs w:val="24"/>
        </w:rPr>
        <w:t>n l’absence de tiers impartial désigné dans le cadre d’un méca</w:t>
      </w:r>
      <w:r w:rsidRPr="00E72418">
        <w:rPr>
          <w:rFonts w:cs="Times New Roman"/>
          <w:szCs w:val="24"/>
        </w:rPr>
        <w:t xml:space="preserve">nisme de restructuration global, </w:t>
      </w:r>
      <w:r w:rsidR="00E752D6" w:rsidRPr="00E72418">
        <w:rPr>
          <w:rFonts w:cs="Times New Roman"/>
          <w:szCs w:val="24"/>
        </w:rPr>
        <w:t xml:space="preserve">les juridictions nationales </w:t>
      </w:r>
      <w:r w:rsidRPr="00E72418">
        <w:rPr>
          <w:rFonts w:cs="Times New Roman"/>
          <w:szCs w:val="24"/>
        </w:rPr>
        <w:t>se retrouvent</w:t>
      </w:r>
      <w:r w:rsidR="00E752D6" w:rsidRPr="00E72418">
        <w:rPr>
          <w:rFonts w:cs="Times New Roman"/>
          <w:szCs w:val="24"/>
        </w:rPr>
        <w:t xml:space="preserve"> parfois </w:t>
      </w:r>
      <w:r w:rsidRPr="00E72418">
        <w:rPr>
          <w:rFonts w:cs="Times New Roman"/>
          <w:szCs w:val="24"/>
        </w:rPr>
        <w:t>contraintes d’</w:t>
      </w:r>
      <w:r w:rsidR="00E752D6" w:rsidRPr="00E72418">
        <w:rPr>
          <w:rFonts w:cs="Times New Roman"/>
          <w:szCs w:val="24"/>
        </w:rPr>
        <w:t>endo</w:t>
      </w:r>
      <w:r w:rsidRPr="00E72418">
        <w:rPr>
          <w:rFonts w:cs="Times New Roman"/>
          <w:szCs w:val="24"/>
        </w:rPr>
        <w:t>sser tant bien que mal ce rôle</w:t>
      </w:r>
      <w:r w:rsidRPr="00E72418">
        <w:rPr>
          <w:rStyle w:val="Appelnotedebasdep"/>
          <w:rFonts w:cs="Times New Roman"/>
          <w:szCs w:val="24"/>
        </w:rPr>
        <w:footnoteReference w:id="1389"/>
      </w:r>
      <w:r w:rsidRPr="00E72418">
        <w:rPr>
          <w:rFonts w:cs="Times New Roman"/>
          <w:szCs w:val="24"/>
        </w:rPr>
        <w:t>. I</w:t>
      </w:r>
      <w:r w:rsidR="00E752D6" w:rsidRPr="00E72418">
        <w:rPr>
          <w:rFonts w:cs="Times New Roman"/>
          <w:szCs w:val="24"/>
        </w:rPr>
        <w:t xml:space="preserve">l n’apparaît toutefois pas qu’elles soient les juridictions idoines pour connaître des difficultés entourant les restructurations des dettes souveraines. </w:t>
      </w:r>
      <w:r w:rsidRPr="00E72418">
        <w:rPr>
          <w:rFonts w:cs="Times New Roman"/>
          <w:szCs w:val="24"/>
        </w:rPr>
        <w:t>Cette inadéquation s’explique</w:t>
      </w:r>
      <w:r w:rsidR="00E752D6" w:rsidRPr="00E72418">
        <w:rPr>
          <w:rFonts w:cs="Times New Roman"/>
          <w:szCs w:val="24"/>
        </w:rPr>
        <w:t xml:space="preserve"> notamment </w:t>
      </w:r>
      <w:r w:rsidRPr="00E72418">
        <w:rPr>
          <w:rFonts w:cs="Times New Roman"/>
          <w:szCs w:val="24"/>
        </w:rPr>
        <w:t>par</w:t>
      </w:r>
      <w:r w:rsidR="00E752D6" w:rsidRPr="00E72418">
        <w:rPr>
          <w:rFonts w:cs="Times New Roman"/>
          <w:szCs w:val="24"/>
        </w:rPr>
        <w:t xml:space="preserve"> le caractère transnational, et nécessairement collectif, de la restructuration de la dette d’un </w:t>
      </w:r>
      <w:r w:rsidR="00E752D6" w:rsidRPr="00E72418">
        <w:t>É</w:t>
      </w:r>
      <w:r w:rsidR="00E752D6" w:rsidRPr="00E72418">
        <w:rPr>
          <w:rFonts w:cs="Times New Roman"/>
          <w:szCs w:val="24"/>
        </w:rPr>
        <w:t xml:space="preserve">tat, </w:t>
      </w:r>
      <w:r w:rsidRPr="00E72418">
        <w:rPr>
          <w:rFonts w:cs="Times New Roman"/>
          <w:szCs w:val="24"/>
        </w:rPr>
        <w:t>par</w:t>
      </w:r>
      <w:r w:rsidR="00E752D6" w:rsidRPr="00E72418">
        <w:rPr>
          <w:rFonts w:cs="Times New Roman"/>
          <w:szCs w:val="24"/>
        </w:rPr>
        <w:t xml:space="preserve"> l’expertise très particulièr</w:t>
      </w:r>
      <w:r w:rsidRPr="00E72418">
        <w:rPr>
          <w:rFonts w:cs="Times New Roman"/>
          <w:szCs w:val="24"/>
        </w:rPr>
        <w:t xml:space="preserve">e requise ou encore par </w:t>
      </w:r>
      <w:r w:rsidR="00E752D6" w:rsidRPr="00E72418">
        <w:rPr>
          <w:rFonts w:cs="Times New Roman"/>
          <w:szCs w:val="24"/>
        </w:rPr>
        <w:t xml:space="preserve">la </w:t>
      </w:r>
      <w:r w:rsidRPr="00E72418">
        <w:rPr>
          <w:rFonts w:cs="Times New Roman"/>
          <w:szCs w:val="24"/>
        </w:rPr>
        <w:t xml:space="preserve">nécessaire </w:t>
      </w:r>
      <w:r w:rsidR="00E752D6" w:rsidRPr="00E72418">
        <w:rPr>
          <w:rFonts w:cs="Times New Roman"/>
          <w:szCs w:val="24"/>
        </w:rPr>
        <w:t>prise en compte sans bia</w:t>
      </w:r>
      <w:r w:rsidR="00D767F3" w:rsidRPr="00E72418">
        <w:rPr>
          <w:rFonts w:cs="Times New Roman"/>
          <w:szCs w:val="24"/>
        </w:rPr>
        <w:t>is des intérêts tant de l’</w:t>
      </w:r>
      <w:r w:rsidR="00D767F3" w:rsidRPr="00E72418">
        <w:rPr>
          <w:lang w:eastAsia="fr-BE"/>
        </w:rPr>
        <w:t>É</w:t>
      </w:r>
      <w:r w:rsidR="00E752D6" w:rsidRPr="00E72418">
        <w:rPr>
          <w:rFonts w:cs="Times New Roman"/>
          <w:szCs w:val="24"/>
        </w:rPr>
        <w:t>tat débiteur que de ceux de ses créanciers</w:t>
      </w:r>
      <w:r w:rsidR="00E752D6" w:rsidRPr="00E72418">
        <w:rPr>
          <w:rStyle w:val="Appelnotedebasdep"/>
          <w:rFonts w:cs="Times New Roman"/>
          <w:szCs w:val="24"/>
        </w:rPr>
        <w:footnoteReference w:id="1390"/>
      </w:r>
      <w:r w:rsidR="00E752D6" w:rsidRPr="00E72418">
        <w:rPr>
          <w:rFonts w:cs="Times New Roman"/>
          <w:szCs w:val="24"/>
        </w:rPr>
        <w:t xml:space="preserve">. En outre, l’instauration d’une juridiction unique </w:t>
      </w:r>
      <w:r w:rsidR="004100A0" w:rsidRPr="00E72418">
        <w:rPr>
          <w:rFonts w:cs="Times New Roman"/>
          <w:szCs w:val="24"/>
        </w:rPr>
        <w:t>conduit à</w:t>
      </w:r>
      <w:r w:rsidR="00E752D6" w:rsidRPr="00E72418">
        <w:rPr>
          <w:rFonts w:cs="Times New Roman"/>
          <w:szCs w:val="24"/>
        </w:rPr>
        <w:t xml:space="preserve"> la centralisation des contentieux </w:t>
      </w:r>
      <w:r w:rsidR="004100A0" w:rsidRPr="00E72418">
        <w:rPr>
          <w:rFonts w:cs="Times New Roman"/>
          <w:szCs w:val="24"/>
        </w:rPr>
        <w:t>laquelle permet d’éviter</w:t>
      </w:r>
      <w:r w:rsidR="00E752D6" w:rsidRPr="00E72418">
        <w:rPr>
          <w:rFonts w:cs="Times New Roman"/>
          <w:szCs w:val="24"/>
        </w:rPr>
        <w:t xml:space="preserve"> le risque de décisions contr</w:t>
      </w:r>
      <w:r w:rsidR="004100A0" w:rsidRPr="00E72418">
        <w:rPr>
          <w:rFonts w:cs="Times New Roman"/>
          <w:szCs w:val="24"/>
        </w:rPr>
        <w:t>adictoires et leur im</w:t>
      </w:r>
      <w:r w:rsidR="00E752D6" w:rsidRPr="00E72418">
        <w:rPr>
          <w:rFonts w:cs="Times New Roman"/>
          <w:szCs w:val="24"/>
        </w:rPr>
        <w:t>prévisibilité</w:t>
      </w:r>
      <w:r w:rsidR="004100A0" w:rsidRPr="00E72418">
        <w:rPr>
          <w:rFonts w:cs="Times New Roman"/>
          <w:szCs w:val="24"/>
        </w:rPr>
        <w:t>,</w:t>
      </w:r>
      <w:r w:rsidR="00E752D6" w:rsidRPr="00E72418">
        <w:rPr>
          <w:rFonts w:cs="Times New Roman"/>
          <w:szCs w:val="24"/>
        </w:rPr>
        <w:t xml:space="preserve"> </w:t>
      </w:r>
      <w:r w:rsidR="004100A0" w:rsidRPr="00E72418">
        <w:rPr>
          <w:rFonts w:cs="Times New Roman"/>
          <w:szCs w:val="24"/>
        </w:rPr>
        <w:t xml:space="preserve">tant d’écueils </w:t>
      </w:r>
      <w:r w:rsidR="00E752D6" w:rsidRPr="00E72418">
        <w:rPr>
          <w:rFonts w:cs="Times New Roman"/>
          <w:szCs w:val="24"/>
        </w:rPr>
        <w:t>de nature à paralyser le processus de restructuration dans lequel l’</w:t>
      </w:r>
      <w:r w:rsidR="00E752D6" w:rsidRPr="00E72418">
        <w:t>É</w:t>
      </w:r>
      <w:r w:rsidR="00E752D6" w:rsidRPr="00E72418">
        <w:rPr>
          <w:rFonts w:cs="Times New Roman"/>
          <w:szCs w:val="24"/>
        </w:rPr>
        <w:t>tat débiteur est potentiellement engagé</w:t>
      </w:r>
      <w:r w:rsidR="00E752D6" w:rsidRPr="00E72418">
        <w:rPr>
          <w:rStyle w:val="Appelnotedebasdep"/>
          <w:rFonts w:cs="Times New Roman"/>
          <w:szCs w:val="24"/>
        </w:rPr>
        <w:footnoteReference w:id="1391"/>
      </w:r>
      <w:r w:rsidR="00E752D6" w:rsidRPr="00E72418">
        <w:rPr>
          <w:rFonts w:cs="Times New Roman"/>
          <w:szCs w:val="24"/>
        </w:rPr>
        <w:t>.</w:t>
      </w:r>
    </w:p>
    <w:p w14:paraId="4CC9EB2E" w14:textId="77777777" w:rsidR="001E7274" w:rsidRPr="00E72418" w:rsidRDefault="001E7274" w:rsidP="009B2B07"/>
    <w:p w14:paraId="7950268A" w14:textId="63F31142" w:rsidR="00E752D6" w:rsidRPr="00E72418" w:rsidRDefault="00BF6CE7" w:rsidP="00CC4BA8">
      <w:pPr>
        <w:spacing w:line="276" w:lineRule="auto"/>
        <w:rPr>
          <w:rFonts w:cs="Times New Roman"/>
          <w:szCs w:val="24"/>
        </w:rPr>
      </w:pPr>
      <w:r w:rsidRPr="00E72418">
        <w:rPr>
          <w:rFonts w:cs="Times New Roman"/>
          <w:b/>
          <w:szCs w:val="24"/>
        </w:rPr>
        <w:t>280</w:t>
      </w:r>
      <w:r w:rsidR="00817D62" w:rsidRPr="00E72418">
        <w:rPr>
          <w:rFonts w:cs="Times New Roman"/>
          <w:b/>
          <w:szCs w:val="24"/>
        </w:rPr>
        <w:t xml:space="preserve">. </w:t>
      </w:r>
      <w:r w:rsidR="002D06E6" w:rsidRPr="00E72418">
        <w:rPr>
          <w:rFonts w:cs="Times New Roman"/>
          <w:b/>
          <w:szCs w:val="24"/>
        </w:rPr>
        <w:t>La voie décidée par</w:t>
      </w:r>
      <w:r w:rsidR="001E7274" w:rsidRPr="00E72418">
        <w:rPr>
          <w:rFonts w:cs="Times New Roman"/>
          <w:b/>
          <w:szCs w:val="24"/>
        </w:rPr>
        <w:t xml:space="preserve"> la majorité –</w:t>
      </w:r>
      <w:r w:rsidR="001E7274" w:rsidRPr="00E72418">
        <w:rPr>
          <w:rFonts w:cs="Times New Roman"/>
          <w:szCs w:val="24"/>
        </w:rPr>
        <w:t xml:space="preserve"> </w:t>
      </w:r>
      <w:r w:rsidR="001E7274" w:rsidRPr="00E72418">
        <w:t xml:space="preserve">La viabilité d’un mécanisme de restructuration dépend de son caractère équitable tant à l’égard des créanciers qu’à l’égard des débiteurs. Fort de cette affirmation, </w:t>
      </w:r>
      <w:r w:rsidR="006907CE" w:rsidRPr="00E72418">
        <w:t xml:space="preserve">Jeffrey </w:t>
      </w:r>
      <w:r w:rsidR="001E7274" w:rsidRPr="00E72418">
        <w:t>Butensky relève que cette équité se traduit par une inclusion de tous les créanciers dans les négociations et par un respect de la souveraineté</w:t>
      </w:r>
      <w:r w:rsidR="001E7274" w:rsidRPr="00E72418">
        <w:rPr>
          <w:rStyle w:val="Appelnotedebasdep"/>
        </w:rPr>
        <w:footnoteReference w:id="1392"/>
      </w:r>
      <w:r w:rsidR="001E7274" w:rsidRPr="00E72418">
        <w:t xml:space="preserve">. Outre cette participation inclusive, il apparaît nécessaire que la majorité des créanciers puisse décider de la voie à suivre par tous. Cette solution, </w:t>
      </w:r>
      <w:r w:rsidR="002D06E6" w:rsidRPr="00E72418">
        <w:t>bien qu’</w:t>
      </w:r>
      <w:r w:rsidR="001E7274" w:rsidRPr="00E72418">
        <w:t>elle porte atteinte à la relativité des contrats lorsque des clauses d’action collective n’y sont pas reprises, est profitable au système dans son ensemble</w:t>
      </w:r>
      <w:r w:rsidR="002D06E6" w:rsidRPr="00E72418">
        <w:rPr>
          <w:rStyle w:val="Appelnotedebasdep"/>
        </w:rPr>
        <w:footnoteReference w:id="1393"/>
      </w:r>
      <w:r w:rsidR="001E7274" w:rsidRPr="00E72418">
        <w:t xml:space="preserve">. La possibilité pour une majorité de créanciers </w:t>
      </w:r>
      <w:r w:rsidR="00DC0045" w:rsidRPr="00E72418">
        <w:t>coopérants</w:t>
      </w:r>
      <w:r w:rsidR="001E7274" w:rsidRPr="00E72418">
        <w:t xml:space="preserve"> de </w:t>
      </w:r>
      <w:r w:rsidR="001E7274" w:rsidRPr="00E72418">
        <w:rPr>
          <w:rFonts w:cs="Times New Roman"/>
          <w:szCs w:val="24"/>
        </w:rPr>
        <w:t xml:space="preserve">s’atteler à une </w:t>
      </w:r>
      <w:r w:rsidR="001E7274" w:rsidRPr="00E72418">
        <w:rPr>
          <w:rFonts w:cs="Times New Roman"/>
          <w:szCs w:val="24"/>
        </w:rPr>
        <w:lastRenderedPageBreak/>
        <w:t>solution contraignante pour l’ensemble permet d’entraver les comportements récalcitrants</w:t>
      </w:r>
      <w:r w:rsidR="001E7274" w:rsidRPr="00E72418">
        <w:t xml:space="preserve"> et plus </w:t>
      </w:r>
      <w:r w:rsidR="00CD48CD" w:rsidRPr="00E72418">
        <w:t>encore</w:t>
      </w:r>
      <w:r w:rsidR="001E7274" w:rsidRPr="00E72418">
        <w:t xml:space="preserve"> ceux des fonds spéculatifs</w:t>
      </w:r>
      <w:r w:rsidR="001E7274" w:rsidRPr="00E72418">
        <w:rPr>
          <w:rStyle w:val="Appelnotedebasdep"/>
          <w:rFonts w:cs="Times New Roman"/>
          <w:szCs w:val="24"/>
        </w:rPr>
        <w:footnoteReference w:id="1394"/>
      </w:r>
      <w:r w:rsidR="001E7274" w:rsidRPr="00E72418">
        <w:rPr>
          <w:rFonts w:cs="Times New Roman"/>
          <w:szCs w:val="24"/>
        </w:rPr>
        <w:t>.</w:t>
      </w:r>
    </w:p>
    <w:p w14:paraId="12E36C61" w14:textId="77777777" w:rsidR="00B145F3" w:rsidRPr="00E72418" w:rsidRDefault="00B145F3" w:rsidP="009B2B07"/>
    <w:p w14:paraId="39C17C9C" w14:textId="1F67D99F" w:rsidR="00B145F3" w:rsidRPr="00E72418" w:rsidRDefault="00BF6CE7" w:rsidP="00CC4BA8">
      <w:pPr>
        <w:spacing w:line="276" w:lineRule="auto"/>
        <w:rPr>
          <w:rFonts w:ascii="Times New Roman" w:hAnsi="Times New Roman"/>
        </w:rPr>
      </w:pPr>
      <w:r w:rsidRPr="00E72418">
        <w:rPr>
          <w:b/>
        </w:rPr>
        <w:t>281</w:t>
      </w:r>
      <w:r w:rsidR="00817D62" w:rsidRPr="00E72418">
        <w:rPr>
          <w:b/>
        </w:rPr>
        <w:t xml:space="preserve">. </w:t>
      </w:r>
      <w:r w:rsidR="00B145F3" w:rsidRPr="00E72418">
        <w:rPr>
          <w:b/>
        </w:rPr>
        <w:t>La suspension des actions –</w:t>
      </w:r>
      <w:r w:rsidR="00B145F3" w:rsidRPr="00E72418">
        <w:t xml:space="preserve"> La bonne réalisation d’une restructuration dépend d’une marge de manœuvre permise par la suspension des actions </w:t>
      </w:r>
      <w:r w:rsidR="00CD48CD" w:rsidRPr="00E72418">
        <w:t>pouvant</w:t>
      </w:r>
      <w:r w:rsidR="00B145F3" w:rsidRPr="00E72418">
        <w:t xml:space="preserve"> être entreprises par des créanciers. Cette suspension est de nature à of</w:t>
      </w:r>
      <w:r w:rsidR="00D767F3" w:rsidRPr="00E72418">
        <w:t>frir</w:t>
      </w:r>
      <w:r w:rsidR="00CD48CD" w:rsidRPr="00E72418">
        <w:t xml:space="preserve"> un peu de répit et de recul</w:t>
      </w:r>
      <w:r w:rsidR="00D767F3" w:rsidRPr="00E72418">
        <w:t xml:space="preserve"> à l’</w:t>
      </w:r>
      <w:r w:rsidR="00D767F3" w:rsidRPr="00E72418">
        <w:rPr>
          <w:lang w:eastAsia="fr-BE"/>
        </w:rPr>
        <w:t>É</w:t>
      </w:r>
      <w:r w:rsidR="00B145F3" w:rsidRPr="00E72418">
        <w:t>tat accablé par les difficultés lui permettant de prendre les mesures que celles-ci imposent</w:t>
      </w:r>
      <w:r w:rsidR="00A841AB" w:rsidRPr="00E72418">
        <w:rPr>
          <w:rStyle w:val="Appelnotedebasdep"/>
        </w:rPr>
        <w:footnoteReference w:id="1395"/>
      </w:r>
      <w:r w:rsidR="00B145F3" w:rsidRPr="00E72418">
        <w:t>. Aussi, les créanciers, conscients du fait qu’ils ne seront pas en mesure de solliciter l’exécution de leurs droits le temps que</w:t>
      </w:r>
      <w:r w:rsidR="00CD48CD" w:rsidRPr="00E72418">
        <w:t xml:space="preserve"> dure</w:t>
      </w:r>
      <w:r w:rsidR="00B145F3" w:rsidRPr="00E72418">
        <w:t xml:space="preserve"> le processus de restructuration</w:t>
      </w:r>
      <w:r w:rsidR="00CD48CD" w:rsidRPr="00E72418">
        <w:t>, n’auront d’autre choix que de</w:t>
      </w:r>
      <w:r w:rsidR="00B145F3" w:rsidRPr="00E72418">
        <w:t xml:space="preserve"> s’</w:t>
      </w:r>
      <w:r w:rsidR="00CD48CD" w:rsidRPr="00E72418">
        <w:t xml:space="preserve">y </w:t>
      </w:r>
      <w:r w:rsidR="00B145F3" w:rsidRPr="00E72418">
        <w:t xml:space="preserve">engager avec proactivité. Si la suspension des actions </w:t>
      </w:r>
      <w:r w:rsidR="00ED6880" w:rsidRPr="00E72418">
        <w:t>est bénéfique</w:t>
      </w:r>
      <w:r w:rsidR="00B145F3" w:rsidRPr="00E72418">
        <w:t xml:space="preserve"> pour l’État débiteur, elle l’est également pour les créanciers dans la mesure où elle empêche qu’un créancier fasse cavalier seul au détriment des autres</w:t>
      </w:r>
      <w:r w:rsidR="00B145F3" w:rsidRPr="00E72418">
        <w:rPr>
          <w:rStyle w:val="Appelnotedebasdep"/>
          <w:rFonts w:cs="Times New Roman"/>
          <w:szCs w:val="24"/>
        </w:rPr>
        <w:footnoteReference w:id="1396"/>
      </w:r>
      <w:r w:rsidR="00D75AF5" w:rsidRPr="00E72418">
        <w:t>.</w:t>
      </w:r>
    </w:p>
    <w:p w14:paraId="4ED64F6D" w14:textId="77777777" w:rsidR="00A87E7E" w:rsidRPr="00E72418" w:rsidRDefault="00A87E7E" w:rsidP="009B2B07"/>
    <w:p w14:paraId="0EB1F1E0" w14:textId="5F9E44AD" w:rsidR="005F6F52" w:rsidRPr="00E72418" w:rsidRDefault="008665DF" w:rsidP="00CC4BA8">
      <w:pPr>
        <w:pStyle w:val="CC"/>
        <w:spacing w:afterLines="60" w:after="144" w:line="276" w:lineRule="auto"/>
      </w:pPr>
      <w:bookmarkStart w:id="329" w:name="_Toc59280976"/>
      <w:bookmarkStart w:id="330" w:name="_Toc75106108"/>
      <w:bookmarkStart w:id="331" w:name="_Toc84540967"/>
      <w:r w:rsidRPr="00E72418">
        <w:t xml:space="preserve">Chapitre 2 : </w:t>
      </w:r>
      <w:r w:rsidR="005F6F52" w:rsidRPr="00E72418">
        <w:t>Les clauses d’action collective</w:t>
      </w:r>
      <w:bookmarkEnd w:id="319"/>
      <w:bookmarkEnd w:id="329"/>
      <w:bookmarkEnd w:id="330"/>
      <w:bookmarkEnd w:id="331"/>
    </w:p>
    <w:p w14:paraId="20BC7D76" w14:textId="77777777" w:rsidR="009D0802" w:rsidRPr="00E72418" w:rsidRDefault="009D0802" w:rsidP="009B2B07"/>
    <w:p w14:paraId="5B98D9B8" w14:textId="3039D5F6" w:rsidR="005F6F52" w:rsidRPr="00E72418" w:rsidRDefault="007F038F" w:rsidP="00CC4BA8">
      <w:pPr>
        <w:spacing w:line="276" w:lineRule="auto"/>
      </w:pPr>
      <w:r w:rsidRPr="00E72418">
        <w:rPr>
          <w:b/>
        </w:rPr>
        <w:t>2</w:t>
      </w:r>
      <w:r w:rsidR="00BF6CE7" w:rsidRPr="00E72418">
        <w:rPr>
          <w:b/>
        </w:rPr>
        <w:t>82</w:t>
      </w:r>
      <w:r w:rsidRPr="00E72418">
        <w:rPr>
          <w:b/>
        </w:rPr>
        <w:t xml:space="preserve">. </w:t>
      </w:r>
      <w:r w:rsidR="009D0802" w:rsidRPr="00E72418">
        <w:rPr>
          <w:b/>
        </w:rPr>
        <w:t>Une solution prometteuse –</w:t>
      </w:r>
      <w:r w:rsidR="009D0802" w:rsidRPr="00E72418">
        <w:t xml:space="preserve"> Alors que la consécration de la </w:t>
      </w:r>
      <w:r w:rsidR="009D0802" w:rsidRPr="00E72418">
        <w:rPr>
          <w:i/>
        </w:rPr>
        <w:t xml:space="preserve">statutory approach </w:t>
      </w:r>
      <w:r w:rsidR="009D0802" w:rsidRPr="00E72418">
        <w:t>paraît difficile tant elle est copernicienne par l’atteint</w:t>
      </w:r>
      <w:r w:rsidR="006A04CF" w:rsidRPr="00E72418">
        <w:t xml:space="preserve">e portée à la souveraineté des </w:t>
      </w:r>
      <w:r w:rsidR="006A04CF" w:rsidRPr="00E72418">
        <w:rPr>
          <w:rFonts w:ascii="Times New Roman" w:hAnsi="Times New Roman" w:cs="Times New Roman"/>
          <w:lang w:eastAsia="fr-BE"/>
        </w:rPr>
        <w:t>É</w:t>
      </w:r>
      <w:r w:rsidR="009D0802" w:rsidRPr="00E72418">
        <w:t xml:space="preserve">tats dont elle cherche à solutionner les problèmes, le succès de la </w:t>
      </w:r>
      <w:r w:rsidR="009D0802" w:rsidRPr="00E72418">
        <w:rPr>
          <w:i/>
        </w:rPr>
        <w:t>contractual approach</w:t>
      </w:r>
      <w:r w:rsidR="009D0802" w:rsidRPr="00E72418">
        <w:t xml:space="preserve"> passant par l’adaptation des clauses contenues dans les contrats de dette</w:t>
      </w:r>
      <w:r w:rsidR="009E4F86" w:rsidRPr="00E72418">
        <w:t>s</w:t>
      </w:r>
      <w:r w:rsidR="009D0802" w:rsidRPr="00E72418">
        <w:t xml:space="preserve"> souveraine</w:t>
      </w:r>
      <w:r w:rsidR="009E4F86" w:rsidRPr="00E72418">
        <w:t>s</w:t>
      </w:r>
      <w:r w:rsidR="009D0802" w:rsidRPr="00E72418">
        <w:t xml:space="preserve"> est lui plus tangible</w:t>
      </w:r>
      <w:r w:rsidR="008F3FF1" w:rsidRPr="00E72418">
        <w:t xml:space="preserve"> comme en attestent les restructurations passées que cette approche a permises (</w:t>
      </w:r>
      <w:r w:rsidR="008F3FF1" w:rsidRPr="00E72418">
        <w:rPr>
          <w:b/>
        </w:rPr>
        <w:t>section 1</w:t>
      </w:r>
      <w:r w:rsidR="008F3FF1" w:rsidRPr="00E72418">
        <w:t xml:space="preserve">). Si les dispositions des clauses </w:t>
      </w:r>
      <w:r w:rsidR="000E4BA7" w:rsidRPr="00E72418">
        <w:t xml:space="preserve">d’action collective </w:t>
      </w:r>
      <w:r w:rsidR="008F3FF1" w:rsidRPr="00E72418">
        <w:t>sont variées, la plus en vue est sans doute celle permettant à un nombre déterminé de créanciers de décider, pour l’ensemble, du sort à réserver à une restructuration envisagée (</w:t>
      </w:r>
      <w:r w:rsidR="008F3FF1" w:rsidRPr="00E72418">
        <w:rPr>
          <w:b/>
        </w:rPr>
        <w:t>section 2</w:t>
      </w:r>
      <w:r w:rsidR="008F3FF1" w:rsidRPr="00E72418">
        <w:t xml:space="preserve">). Toute enthousiasmante que paraît </w:t>
      </w:r>
      <w:r w:rsidR="004D2B6F" w:rsidRPr="00E72418">
        <w:t>l’</w:t>
      </w:r>
      <w:r w:rsidR="008F3FF1" w:rsidRPr="00E72418">
        <w:t>approche</w:t>
      </w:r>
      <w:r w:rsidR="004D2B6F" w:rsidRPr="00E72418">
        <w:t xml:space="preserve"> </w:t>
      </w:r>
      <w:r w:rsidR="004D2B6F" w:rsidRPr="00E72418">
        <w:lastRenderedPageBreak/>
        <w:t>contractuelle</w:t>
      </w:r>
      <w:r w:rsidR="008F3FF1" w:rsidRPr="00E72418">
        <w:t xml:space="preserve"> des difficultés f</w:t>
      </w:r>
      <w:r w:rsidR="006A04CF" w:rsidRPr="00E72418">
        <w:t xml:space="preserve">inancières rencontrées par les </w:t>
      </w:r>
      <w:r w:rsidR="006A04CF" w:rsidRPr="00E72418">
        <w:rPr>
          <w:rFonts w:ascii="Times New Roman" w:hAnsi="Times New Roman" w:cs="Times New Roman"/>
          <w:lang w:eastAsia="fr-BE"/>
        </w:rPr>
        <w:t>É</w:t>
      </w:r>
      <w:r w:rsidR="008F3FF1" w:rsidRPr="00E72418">
        <w:t>tats au sujet de leurs dettes, elle n’est malheureusement pas la panacée (</w:t>
      </w:r>
      <w:r w:rsidR="008F3FF1" w:rsidRPr="00E72418">
        <w:rPr>
          <w:b/>
        </w:rPr>
        <w:t>section 3</w:t>
      </w:r>
      <w:r w:rsidR="008F3FF1" w:rsidRPr="00E72418">
        <w:t>).</w:t>
      </w:r>
    </w:p>
    <w:p w14:paraId="242099ED" w14:textId="77777777" w:rsidR="009D0802" w:rsidRPr="00E72418" w:rsidRDefault="009D0802" w:rsidP="009B2B07"/>
    <w:p w14:paraId="11E53C4B" w14:textId="68A054FE" w:rsidR="004B4DA6" w:rsidRPr="00E72418" w:rsidRDefault="008665DF" w:rsidP="00CC4BA8">
      <w:pPr>
        <w:pStyle w:val="DD"/>
        <w:spacing w:afterLines="60" w:after="144" w:line="276" w:lineRule="auto"/>
      </w:pPr>
      <w:bookmarkStart w:id="332" w:name="_Toc37777372"/>
      <w:bookmarkStart w:id="333" w:name="_Toc59280977"/>
      <w:bookmarkStart w:id="334" w:name="_Toc84540968"/>
      <w:bookmarkStart w:id="335" w:name="_Toc37777377"/>
      <w:r w:rsidRPr="00E72418">
        <w:t xml:space="preserve">Section 1 : </w:t>
      </w:r>
      <w:r w:rsidR="004B4DA6" w:rsidRPr="00E72418">
        <w:t>La notion</w:t>
      </w:r>
      <w:bookmarkEnd w:id="332"/>
      <w:bookmarkEnd w:id="333"/>
      <w:bookmarkEnd w:id="334"/>
    </w:p>
    <w:p w14:paraId="69E986B0" w14:textId="77777777" w:rsidR="00BE6960" w:rsidRPr="00E72418" w:rsidRDefault="00BE6960" w:rsidP="009B2B07"/>
    <w:p w14:paraId="0D168A27" w14:textId="142DBC1F" w:rsidR="004B4DA6" w:rsidRPr="00E72418" w:rsidRDefault="00BF6CE7" w:rsidP="00CC4BA8">
      <w:pPr>
        <w:spacing w:line="276" w:lineRule="auto"/>
      </w:pPr>
      <w:r w:rsidRPr="00E72418">
        <w:rPr>
          <w:b/>
        </w:rPr>
        <w:t>283</w:t>
      </w:r>
      <w:r w:rsidR="00817D62" w:rsidRPr="00E72418">
        <w:rPr>
          <w:b/>
        </w:rPr>
        <w:t xml:space="preserve">. </w:t>
      </w:r>
      <w:r w:rsidR="004B4DA6" w:rsidRPr="00E72418">
        <w:rPr>
          <w:b/>
        </w:rPr>
        <w:t>L’idée –</w:t>
      </w:r>
      <w:r w:rsidR="0051781E" w:rsidRPr="00E72418">
        <w:t xml:space="preserve"> L’avancée </w:t>
      </w:r>
      <w:r w:rsidR="005C7B3E" w:rsidRPr="00E72418">
        <w:t xml:space="preserve">de la </w:t>
      </w:r>
      <w:r w:rsidR="005C7B3E" w:rsidRPr="00E72418">
        <w:rPr>
          <w:i/>
        </w:rPr>
        <w:t>contractual approach</w:t>
      </w:r>
      <w:r w:rsidR="004B4DA6" w:rsidRPr="00E72418">
        <w:t xml:space="preserve"> aux problèmes liés aux dettes souveraines </w:t>
      </w:r>
      <w:r w:rsidR="00372DFE">
        <w:t>peut faire éclipser en quelque sorte</w:t>
      </w:r>
      <w:r w:rsidR="004B4DA6" w:rsidRPr="00E72418">
        <w:t xml:space="preserve"> la </w:t>
      </w:r>
      <w:r w:rsidR="005C7B3E" w:rsidRPr="00E72418">
        <w:rPr>
          <w:i/>
        </w:rPr>
        <w:t>statutory approach</w:t>
      </w:r>
      <w:r w:rsidR="005C7B3E" w:rsidRPr="00E72418">
        <w:t xml:space="preserve"> </w:t>
      </w:r>
      <w:r w:rsidR="004B4DA6" w:rsidRPr="00E72418">
        <w:t>passant par la mise en place d’un mécanisme de restructuration</w:t>
      </w:r>
      <w:r w:rsidR="004B4DA6" w:rsidRPr="00E72418">
        <w:rPr>
          <w:rStyle w:val="Appelnotedebasdep"/>
        </w:rPr>
        <w:footnoteReference w:id="1397"/>
      </w:r>
      <w:r w:rsidR="004B4DA6" w:rsidRPr="00E72418">
        <w:t xml:space="preserve">. Le développement des clauses d’action collective fait suite à différents </w:t>
      </w:r>
      <w:r w:rsidR="0051781E" w:rsidRPr="00E72418">
        <w:t xml:space="preserve">importants </w:t>
      </w:r>
      <w:r w:rsidR="004B4DA6" w:rsidRPr="00E72418">
        <w:t>contentieux re</w:t>
      </w:r>
      <w:r w:rsidR="00ED6880" w:rsidRPr="00E72418">
        <w:t>n</w:t>
      </w:r>
      <w:r w:rsidR="0051781E" w:rsidRPr="00E72418">
        <w:t>contrés par d</w:t>
      </w:r>
      <w:r w:rsidR="004B4DA6" w:rsidRPr="00E72418">
        <w:t xml:space="preserve">es </w:t>
      </w:r>
      <w:r w:rsidR="004B4DA6" w:rsidRPr="00E72418">
        <w:rPr>
          <w:lang w:eastAsia="fr-BE"/>
        </w:rPr>
        <w:t>É</w:t>
      </w:r>
      <w:r w:rsidR="004B4DA6" w:rsidRPr="00E72418">
        <w:t>tats au momen</w:t>
      </w:r>
      <w:r w:rsidR="0051781E" w:rsidRPr="00E72418">
        <w:t>t où ils tentèrent d’engager des</w:t>
      </w:r>
      <w:r w:rsidR="004B4DA6" w:rsidRPr="00E72418">
        <w:t xml:space="preserve"> restructuration</w:t>
      </w:r>
      <w:r w:rsidR="0051781E" w:rsidRPr="00E72418">
        <w:t>s</w:t>
      </w:r>
      <w:r w:rsidR="004B4DA6" w:rsidRPr="00E72418">
        <w:t xml:space="preserve"> de leur dette. C’est précisément l’attitude réfractaire de certains créanciers lors de </w:t>
      </w:r>
      <w:r w:rsidR="0051781E" w:rsidRPr="00E72418">
        <w:t>celles-ci</w:t>
      </w:r>
      <w:r w:rsidR="004B4DA6" w:rsidRPr="00E72418">
        <w:t xml:space="preserve"> qui conduisit à l’insertion de clauses d’action collective dans les contrats </w:t>
      </w:r>
      <w:r w:rsidR="00626821" w:rsidRPr="00E72418">
        <w:t>de dette</w:t>
      </w:r>
      <w:r w:rsidR="009E4F86" w:rsidRPr="00E72418">
        <w:t>s</w:t>
      </w:r>
      <w:r w:rsidR="00626821" w:rsidRPr="00E72418">
        <w:t xml:space="preserve"> souveraine</w:t>
      </w:r>
      <w:r w:rsidR="009E4F86" w:rsidRPr="00E72418">
        <w:t>s</w:t>
      </w:r>
      <w:r w:rsidR="004B4DA6" w:rsidRPr="00E72418">
        <w:t xml:space="preserve"> visant à </w:t>
      </w:r>
      <w:r w:rsidR="0051781E" w:rsidRPr="00E72418">
        <w:t xml:space="preserve">les </w:t>
      </w:r>
      <w:r w:rsidR="004B4DA6" w:rsidRPr="00E72418">
        <w:t>faciliter</w:t>
      </w:r>
      <w:r w:rsidR="004B4DA6" w:rsidRPr="00E72418">
        <w:rPr>
          <w:rStyle w:val="Appelnotedebasdep"/>
        </w:rPr>
        <w:footnoteReference w:id="1398"/>
      </w:r>
      <w:r w:rsidR="004B4DA6" w:rsidRPr="00E72418">
        <w:t xml:space="preserve">. </w:t>
      </w:r>
      <w:r w:rsidR="003009E0" w:rsidRPr="00E72418">
        <w:t xml:space="preserve">L’intérêt de telles clauses n’est pas uniquement exprimé par les débiteurs souverains puisque, comme le note </w:t>
      </w:r>
      <w:r w:rsidR="00CC15FF" w:rsidRPr="00E72418">
        <w:t xml:space="preserve">Horatia </w:t>
      </w:r>
      <w:r w:rsidR="003009E0" w:rsidRPr="00E72418">
        <w:t>Muir Watt, « </w:t>
      </w:r>
      <w:r w:rsidR="003009E0" w:rsidRPr="00E72418">
        <w:rPr>
          <w:szCs w:val="20"/>
          <w:lang w:val="en-US"/>
        </w:rPr>
        <w:t xml:space="preserve">[c]ollective action clauses in loan contracts seem to have come into favour with both sovereign debtors and private creditors in order to forestall any more peremptory form of collective discipline </w:t>
      </w:r>
      <w:r w:rsidR="003009E0" w:rsidRPr="00E72418">
        <w:t>»</w:t>
      </w:r>
      <w:r w:rsidR="003009E0" w:rsidRPr="00E72418">
        <w:rPr>
          <w:rStyle w:val="Appelnotedebasdep"/>
        </w:rPr>
        <w:footnoteReference w:id="1399"/>
      </w:r>
      <w:r w:rsidR="003009E0" w:rsidRPr="00E72418">
        <w:t>.</w:t>
      </w:r>
    </w:p>
    <w:p w14:paraId="34BEAD6C" w14:textId="32AD330C" w:rsidR="004B4DA6" w:rsidRPr="00E72418" w:rsidRDefault="004B4DA6" w:rsidP="00CC4BA8">
      <w:pPr>
        <w:spacing w:line="276" w:lineRule="auto"/>
      </w:pPr>
      <w:r w:rsidRPr="00E72418">
        <w:t>Dès lors que le contrat de dette souveraine fait la loi des parties, les termes et conditions de celui-ci ne peuvent être modifiés que moyennant leur accord. Les clauses d’action collective</w:t>
      </w:r>
      <w:r w:rsidR="004A6403" w:rsidRPr="00E72418">
        <w:t xml:space="preserve"> contenu</w:t>
      </w:r>
      <w:r w:rsidR="005C7B3E" w:rsidRPr="00E72418">
        <w:t>e</w:t>
      </w:r>
      <w:r w:rsidR="004A6403" w:rsidRPr="00E72418">
        <w:t>s dans les contrats de dettes</w:t>
      </w:r>
      <w:r w:rsidRPr="00E72418">
        <w:t xml:space="preserve"> </w:t>
      </w:r>
      <w:r w:rsidR="004A6403" w:rsidRPr="00E72418">
        <w:t>conduisent à ce</w:t>
      </w:r>
      <w:r w:rsidRPr="00E72418">
        <w:t xml:space="preserve"> que les termes d’une restructuration acceptés par une majorité de créanciers s’imposent à l’ensemble des créanciers</w:t>
      </w:r>
      <w:r w:rsidR="004A6403" w:rsidRPr="00E72418">
        <w:t xml:space="preserve"> de l’</w:t>
      </w:r>
      <w:r w:rsidR="004A6403" w:rsidRPr="00E72418">
        <w:rPr>
          <w:lang w:eastAsia="fr-BE"/>
        </w:rPr>
        <w:t>É</w:t>
      </w:r>
      <w:r w:rsidR="004A6403" w:rsidRPr="00E72418">
        <w:t>tat débiteur</w:t>
      </w:r>
      <w:r w:rsidRPr="00E72418">
        <w:rPr>
          <w:rStyle w:val="Appelnotedebasdep"/>
        </w:rPr>
        <w:footnoteReference w:id="1400"/>
      </w:r>
      <w:r w:rsidRPr="00E72418">
        <w:t xml:space="preserve">. </w:t>
      </w:r>
      <w:r w:rsidR="004A6403" w:rsidRPr="00E72418">
        <w:t>Ces clauses</w:t>
      </w:r>
      <w:r w:rsidRPr="00E72418">
        <w:t xml:space="preserve"> </w:t>
      </w:r>
      <w:r w:rsidR="004A6403" w:rsidRPr="00E72418">
        <w:t>offrent</w:t>
      </w:r>
      <w:r w:rsidRPr="00E72418">
        <w:t xml:space="preserve"> </w:t>
      </w:r>
      <w:r w:rsidR="004A6403" w:rsidRPr="00E72418">
        <w:t xml:space="preserve">ainsi un moyen </w:t>
      </w:r>
      <w:r w:rsidRPr="00E72418">
        <w:t>de surmonter les difficultés liées au fait que l’</w:t>
      </w:r>
      <w:r w:rsidRPr="00E72418">
        <w:rPr>
          <w:lang w:eastAsia="fr-BE"/>
        </w:rPr>
        <w:t>É</w:t>
      </w:r>
      <w:r w:rsidRPr="00E72418">
        <w:t>tat débiteur a comme cocontractant un nombre fort important de créanciers rendant l’unanimité de ceux-ci utopique.</w:t>
      </w:r>
    </w:p>
    <w:p w14:paraId="120FC501" w14:textId="77777777" w:rsidR="004B4DA6" w:rsidRPr="00E72418" w:rsidRDefault="004B4DA6" w:rsidP="009B2B07"/>
    <w:p w14:paraId="020576C2" w14:textId="2AD1BAD4" w:rsidR="004B4DA6" w:rsidRPr="00E72418" w:rsidRDefault="00BF6CE7" w:rsidP="00CC4BA8">
      <w:pPr>
        <w:spacing w:line="276" w:lineRule="auto"/>
      </w:pPr>
      <w:r w:rsidRPr="00E72418">
        <w:rPr>
          <w:b/>
        </w:rPr>
        <w:t>284</w:t>
      </w:r>
      <w:r w:rsidR="00817D62" w:rsidRPr="00E72418">
        <w:rPr>
          <w:b/>
        </w:rPr>
        <w:t xml:space="preserve">. </w:t>
      </w:r>
      <w:r w:rsidR="004B4DA6" w:rsidRPr="00E72418">
        <w:rPr>
          <w:b/>
        </w:rPr>
        <w:t>Une montée en puissance –</w:t>
      </w:r>
      <w:r w:rsidR="004B4DA6" w:rsidRPr="00E72418">
        <w:t xml:space="preserve"> S’il apparaît que, dans certains rares cas, des </w:t>
      </w:r>
      <w:r w:rsidR="00626821" w:rsidRPr="00E72418">
        <w:t>dettes</w:t>
      </w:r>
      <w:r w:rsidR="004B4DA6" w:rsidRPr="00E72418">
        <w:t xml:space="preserve"> </w:t>
      </w:r>
      <w:r w:rsidR="004A6403" w:rsidRPr="00E72418">
        <w:t>souveraines</w:t>
      </w:r>
      <w:r w:rsidR="004A786F" w:rsidRPr="00E72418">
        <w:t xml:space="preserve"> datant du début du vingtième</w:t>
      </w:r>
      <w:r w:rsidR="004B4DA6" w:rsidRPr="00E72418">
        <w:t xml:space="preserve"> siècle contenaient des clauses permettant la </w:t>
      </w:r>
      <w:r w:rsidR="004B4DA6" w:rsidRPr="00E72418">
        <w:lastRenderedPageBreak/>
        <w:t>modification de leurs termes et conditions par accord d’une certaine majorité de créanciers</w:t>
      </w:r>
      <w:r w:rsidR="004B4DA6" w:rsidRPr="00E72418">
        <w:rPr>
          <w:rStyle w:val="Appelnotedebasdep"/>
        </w:rPr>
        <w:footnoteReference w:id="1401"/>
      </w:r>
      <w:r w:rsidR="004B4DA6" w:rsidRPr="00E72418">
        <w:t>, les clauses d’action collective trouvent en quelque sorte leur origine dans le rapport dit « Rey » de 1996 adopté par le G-10</w:t>
      </w:r>
      <w:r w:rsidR="004B4DA6" w:rsidRPr="00E72418">
        <w:rPr>
          <w:rStyle w:val="Appelnotedebasdep"/>
        </w:rPr>
        <w:footnoteReference w:id="1402"/>
      </w:r>
      <w:r w:rsidR="00AB51CE" w:rsidRPr="00E72418">
        <w:t xml:space="preserve">. Plus précisément, </w:t>
      </w:r>
      <w:r w:rsidR="004B4DA6" w:rsidRPr="00E72418">
        <w:t xml:space="preserve">le rapport du 26 septembre 2002 d’un groupe de travail sollicité par le G-10 peut être </w:t>
      </w:r>
      <w:r w:rsidR="00AB51CE" w:rsidRPr="00E72418">
        <w:t xml:space="preserve">retenu </w:t>
      </w:r>
      <w:r w:rsidR="004B4DA6" w:rsidRPr="00E72418">
        <w:t>comme le point de départ du recours aux clauses d’action collective comme outil d</w:t>
      </w:r>
      <w:r w:rsidR="00ED6880" w:rsidRPr="00E72418">
        <w:t>e lutte contre les stratégies ré</w:t>
      </w:r>
      <w:r w:rsidR="004B4DA6" w:rsidRPr="00E72418">
        <w:t xml:space="preserve">fractaires </w:t>
      </w:r>
      <w:r w:rsidR="004A6403" w:rsidRPr="00E72418">
        <w:t>adoptées</w:t>
      </w:r>
      <w:r w:rsidR="004B4DA6" w:rsidRPr="00E72418">
        <w:t xml:space="preserve"> par certains créanciers</w:t>
      </w:r>
      <w:r w:rsidR="004B4DA6" w:rsidRPr="00E72418">
        <w:rPr>
          <w:rStyle w:val="Appelnotedebasdep"/>
        </w:rPr>
        <w:footnoteReference w:id="1403"/>
      </w:r>
      <w:r w:rsidR="004B4DA6" w:rsidRPr="00E72418">
        <w:t>.</w:t>
      </w:r>
    </w:p>
    <w:p w14:paraId="26A99737" w14:textId="77777777" w:rsidR="004B4DA6" w:rsidRPr="00E72418" w:rsidRDefault="004B4DA6" w:rsidP="00CC4BA8">
      <w:pPr>
        <w:spacing w:line="276" w:lineRule="auto"/>
        <w:rPr>
          <w:sz w:val="23"/>
          <w:szCs w:val="23"/>
        </w:rPr>
      </w:pPr>
      <w:r w:rsidRPr="00E72418">
        <w:t xml:space="preserve">L’insertion de clauses d’action collective </w:t>
      </w:r>
      <w:r w:rsidR="004A6403" w:rsidRPr="00E72418">
        <w:t>est</w:t>
      </w:r>
      <w:r w:rsidRPr="00E72418">
        <w:t xml:space="preserve"> une innovation récente pour le droit new-yorkais</w:t>
      </w:r>
      <w:r w:rsidRPr="00E72418">
        <w:rPr>
          <w:rStyle w:val="Appelnotedebasdep"/>
        </w:rPr>
        <w:footnoteReference w:id="1404"/>
      </w:r>
      <w:r w:rsidRPr="00E72418">
        <w:t xml:space="preserve">. Si le Mexique fut le premier </w:t>
      </w:r>
      <w:r w:rsidRPr="00E72418">
        <w:rPr>
          <w:lang w:eastAsia="fr-BE"/>
        </w:rPr>
        <w:t>É</w:t>
      </w:r>
      <w:r w:rsidRPr="00E72418">
        <w:t xml:space="preserve">tat à insérer ce type de clause dans un emprunt de </w:t>
      </w:r>
      <w:r w:rsidRPr="00E72418">
        <w:rPr>
          <w:szCs w:val="24"/>
        </w:rPr>
        <w:t>2003</w:t>
      </w:r>
      <w:r w:rsidRPr="00E72418">
        <w:rPr>
          <w:rStyle w:val="Appelnotedebasdep"/>
          <w:szCs w:val="24"/>
        </w:rPr>
        <w:footnoteReference w:id="1405"/>
      </w:r>
      <w:r w:rsidRPr="00E72418">
        <w:rPr>
          <w:szCs w:val="24"/>
        </w:rPr>
        <w:t>, depuis, pratiquement l’ensemble des obligations émises sous le droit new-yorkais contient une telle clause</w:t>
      </w:r>
      <w:r w:rsidRPr="00E72418">
        <w:rPr>
          <w:rStyle w:val="Appelnotedebasdep"/>
          <w:szCs w:val="24"/>
        </w:rPr>
        <w:footnoteReference w:id="1406"/>
      </w:r>
      <w:r w:rsidRPr="00E72418">
        <w:rPr>
          <w:szCs w:val="24"/>
        </w:rPr>
        <w:t>.</w:t>
      </w:r>
      <w:r w:rsidR="00A54BAA" w:rsidRPr="00E72418">
        <w:rPr>
          <w:szCs w:val="24"/>
        </w:rPr>
        <w:t xml:space="preserve"> </w:t>
      </w:r>
      <w:r w:rsidRPr="00E72418">
        <w:rPr>
          <w:szCs w:val="24"/>
        </w:rPr>
        <w:t xml:space="preserve">De l’autre côté de l’Atlantique, dans une déclaration de 2010, l’Eurogroupe indiqua que « des clauses d’action collective (CAC) normalisées et identiques seront incluses, d’une manière qui permette de préserver la liquidité du marché, dans les conditions dont seront assorties toutes les nouvelles obligations d’État </w:t>
      </w:r>
      <w:r w:rsidRPr="00E72418">
        <w:rPr>
          <w:rFonts w:cs="Times New Roman"/>
          <w:szCs w:val="24"/>
        </w:rPr>
        <w:t xml:space="preserve">[…] </w:t>
      </w:r>
      <w:r w:rsidRPr="00E72418">
        <w:rPr>
          <w:szCs w:val="24"/>
        </w:rPr>
        <w:t>»</w:t>
      </w:r>
      <w:r w:rsidRPr="00E72418">
        <w:rPr>
          <w:rStyle w:val="Appelnotedebasdep"/>
          <w:szCs w:val="24"/>
        </w:rPr>
        <w:footnoteReference w:id="1407"/>
      </w:r>
      <w:r w:rsidRPr="00E72418">
        <w:rPr>
          <w:szCs w:val="24"/>
        </w:rPr>
        <w:t xml:space="preserve">. </w:t>
      </w:r>
      <w:r w:rsidR="00DC62FD" w:rsidRPr="00E72418">
        <w:rPr>
          <w:szCs w:val="24"/>
        </w:rPr>
        <w:t>L</w:t>
      </w:r>
      <w:r w:rsidRPr="00E72418">
        <w:rPr>
          <w:szCs w:val="24"/>
        </w:rPr>
        <w:t xml:space="preserve">’article 12.3. du Traité instituant le mécanisme européen de stabilité du 2 février 2012 dispose </w:t>
      </w:r>
      <w:r w:rsidR="00DC62FD" w:rsidRPr="00E72418">
        <w:rPr>
          <w:szCs w:val="24"/>
        </w:rPr>
        <w:t xml:space="preserve">ainsi </w:t>
      </w:r>
      <w:r w:rsidRPr="00E72418">
        <w:rPr>
          <w:szCs w:val="24"/>
        </w:rPr>
        <w:t>que « </w:t>
      </w:r>
      <w:r w:rsidRPr="00E72418">
        <w:rPr>
          <w:rFonts w:cs="Times New Roman"/>
          <w:szCs w:val="24"/>
        </w:rPr>
        <w:t>[d]</w:t>
      </w:r>
      <w:r w:rsidRPr="00E72418">
        <w:rPr>
          <w:szCs w:val="24"/>
        </w:rPr>
        <w:t>es clauses d’action collective figureront, à compter du 1</w:t>
      </w:r>
      <w:r w:rsidRPr="00E72418">
        <w:rPr>
          <w:szCs w:val="24"/>
          <w:vertAlign w:val="superscript"/>
        </w:rPr>
        <w:t>er</w:t>
      </w:r>
      <w:r w:rsidRPr="00E72418">
        <w:rPr>
          <w:szCs w:val="24"/>
        </w:rPr>
        <w:t xml:space="preserve"> janvier 2013, dans tous les nouveaux titres d’État d’une maturité supérieure à un an qui seront émis dans la zone euro, de manière à leur assurer un effet juridique identique ».</w:t>
      </w:r>
    </w:p>
    <w:p w14:paraId="531AEF4D" w14:textId="77777777" w:rsidR="004B4DA6" w:rsidRPr="00E72418" w:rsidRDefault="004B4DA6" w:rsidP="00CC4BA8">
      <w:pPr>
        <w:spacing w:line="276" w:lineRule="auto"/>
      </w:pPr>
      <w:r w:rsidRPr="00E72418">
        <w:lastRenderedPageBreak/>
        <w:t xml:space="preserve">La montée en puissance du recours aux clauses d’action collective se confirme au niveau international, singulièrement au sein des Nations Unies </w:t>
      </w:r>
      <w:r w:rsidR="00DC62FD" w:rsidRPr="00E72418">
        <w:t>où il est insisté</w:t>
      </w:r>
      <w:r w:rsidRPr="00E72418">
        <w:t xml:space="preserve"> sur l’importance que les </w:t>
      </w:r>
      <w:r w:rsidR="00DC62FD" w:rsidRPr="00E72418">
        <w:rPr>
          <w:szCs w:val="24"/>
        </w:rPr>
        <w:t>État</w:t>
      </w:r>
      <w:r w:rsidR="00DC62FD" w:rsidRPr="00E72418">
        <w:t>s incluent de telles</w:t>
      </w:r>
      <w:r w:rsidRPr="00E72418">
        <w:t xml:space="preserve"> clauses dans leurs émissions de dette. Le neuvième principe fondamental devant guider les opérations de restructuration d</w:t>
      </w:r>
      <w:r w:rsidR="00DC62FD" w:rsidRPr="00E72418">
        <w:t xml:space="preserve">es dettes souveraines posé par l’Assemblée générale </w:t>
      </w:r>
      <w:r w:rsidRPr="00E72418">
        <w:t>dans son importante résolution du 10 septembre 2015 emprunte au mécanisme des clauses d’action collective</w:t>
      </w:r>
      <w:r w:rsidRPr="00E72418">
        <w:rPr>
          <w:rStyle w:val="Appelnotedebasdep"/>
        </w:rPr>
        <w:footnoteReference w:id="1408"/>
      </w:r>
      <w:r w:rsidRPr="00E72418">
        <w:t>. Il dispose en effet que « </w:t>
      </w:r>
      <w:r w:rsidRPr="00E72418">
        <w:rPr>
          <w:rFonts w:cs="Times New Roman"/>
        </w:rPr>
        <w:t>[l]</w:t>
      </w:r>
      <w:r w:rsidRPr="00E72418">
        <w:t>es restructurations décidées à la majorité impliquent que l’application des accords de restructuration de la dette souveraine approuvés par une majorité qualifiée de créanciers d’un État ne peut être compromise, remise en question ou autrement entravée par d’autres États ou une minorité non représentative de créanciers, qui sont tenus de se conformer aux décisions adoptées par la majorité ».</w:t>
      </w:r>
    </w:p>
    <w:p w14:paraId="5CF4208B" w14:textId="57FDD5D7" w:rsidR="00FE1596" w:rsidRPr="00E72418" w:rsidRDefault="00082C73" w:rsidP="009D0802">
      <w:pPr>
        <w:spacing w:line="276" w:lineRule="auto"/>
        <w:rPr>
          <w:sz w:val="23"/>
          <w:szCs w:val="23"/>
        </w:rPr>
      </w:pPr>
      <w:r w:rsidRPr="00E72418">
        <w:t>Il est à constater que les contrats matérialisant les obligations souveraines ressemblent à des contrats d’adhésion peu singularisés dont nombre de clauses régissant les éventuelles difficultés futures y sont reprises sans faire l’objet ni d’une attention particulière, ni même d’une négociation, les opérateurs se concentrant surtout sur les aspects techniques (prix d’émission, intérêt</w:t>
      </w:r>
      <w:r w:rsidR="007C3F47">
        <w:t xml:space="preserve">s, modalités de remboursement, </w:t>
      </w:r>
      <w:r w:rsidR="007C3F47" w:rsidRPr="007C3F47">
        <w:rPr>
          <w:i/>
        </w:rPr>
        <w:t>etc.</w:t>
      </w:r>
      <w:r w:rsidRPr="00E72418">
        <w:t>)</w:t>
      </w:r>
      <w:r w:rsidRPr="00E72418">
        <w:rPr>
          <w:rStyle w:val="Appelnotedebasdep"/>
        </w:rPr>
        <w:footnoteReference w:id="1409"/>
      </w:r>
      <w:r w:rsidR="004D1BEC" w:rsidRPr="00E72418">
        <w:t>. Ainsi</w:t>
      </w:r>
      <w:r w:rsidRPr="00E72418">
        <w:t>, p</w:t>
      </w:r>
      <w:r w:rsidR="00DC62FD" w:rsidRPr="00E72418">
        <w:t xml:space="preserve">our </w:t>
      </w:r>
      <w:r w:rsidR="00201853" w:rsidRPr="00E72418">
        <w:t>Caroline Le</w:t>
      </w:r>
      <w:r w:rsidR="00DC62FD" w:rsidRPr="00E72418">
        <w:t>que</w:t>
      </w:r>
      <w:r w:rsidR="00201853" w:rsidRPr="00E72418">
        <w:t>s</w:t>
      </w:r>
      <w:r w:rsidR="00DC62FD" w:rsidRPr="00E72418">
        <w:t xml:space="preserve">ne-Roth, </w:t>
      </w:r>
      <w:r w:rsidR="004B4DA6" w:rsidRPr="00E72418">
        <w:t>le développement des clauses d’ac</w:t>
      </w:r>
      <w:r w:rsidR="001763E0" w:rsidRPr="00E72418">
        <w:t>tion collective constitue un évé</w:t>
      </w:r>
      <w:r w:rsidR="004B4DA6" w:rsidRPr="00E72418">
        <w:t>nement en soi tant l’adoption de nouveaux standards dans les emprunts obligataires est rare</w:t>
      </w:r>
      <w:r w:rsidR="004B4DA6" w:rsidRPr="00E72418">
        <w:rPr>
          <w:rStyle w:val="Appelnotedebasdep"/>
        </w:rPr>
        <w:footnoteReference w:id="1410"/>
      </w:r>
      <w:r w:rsidR="004B4DA6" w:rsidRPr="00E72418">
        <w:t>.</w:t>
      </w:r>
      <w:r w:rsidR="004B4DA6" w:rsidRPr="00E72418">
        <w:rPr>
          <w:rFonts w:cs="Times New Roman"/>
          <w:szCs w:val="24"/>
        </w:rPr>
        <w:t xml:space="preserve"> Pour </w:t>
      </w:r>
      <w:r w:rsidR="00201853" w:rsidRPr="00E72418">
        <w:rPr>
          <w:rFonts w:cs="Times New Roman"/>
          <w:szCs w:val="24"/>
        </w:rPr>
        <w:t xml:space="preserve">Régis </w:t>
      </w:r>
      <w:r w:rsidR="004B4DA6" w:rsidRPr="00E72418">
        <w:rPr>
          <w:rFonts w:cs="Times New Roman"/>
          <w:szCs w:val="24"/>
        </w:rPr>
        <w:t>Bismuth, il ne serait pas excessif d’avancer que la génér</w:t>
      </w:r>
      <w:r w:rsidR="00DC62FD" w:rsidRPr="00E72418">
        <w:rPr>
          <w:rFonts w:cs="Times New Roman"/>
          <w:szCs w:val="24"/>
        </w:rPr>
        <w:t>alisation de la pratique de ces</w:t>
      </w:r>
      <w:r w:rsidR="004B4DA6" w:rsidRPr="00E72418">
        <w:rPr>
          <w:rFonts w:cs="Times New Roman"/>
          <w:szCs w:val="24"/>
        </w:rPr>
        <w:t xml:space="preserve"> clauses traduit la formation et la consolidation d’un certain « ordre public </w:t>
      </w:r>
      <w:r w:rsidR="004B4DA6" w:rsidRPr="00E72418">
        <w:rPr>
          <w:rFonts w:cs="Times New Roman"/>
          <w:i/>
          <w:szCs w:val="24"/>
        </w:rPr>
        <w:t>de facto</w:t>
      </w:r>
      <w:r w:rsidR="004B4DA6" w:rsidRPr="00E72418">
        <w:rPr>
          <w:rFonts w:cs="Times New Roman"/>
          <w:szCs w:val="24"/>
        </w:rPr>
        <w:t xml:space="preserve"> de la dette souveraine »</w:t>
      </w:r>
      <w:r w:rsidR="004B4DA6" w:rsidRPr="00E72418">
        <w:rPr>
          <w:rStyle w:val="Appelnotedebasdep"/>
          <w:rFonts w:cs="Times New Roman"/>
          <w:szCs w:val="24"/>
        </w:rPr>
        <w:footnoteReference w:id="1411"/>
      </w:r>
      <w:r w:rsidR="004D1BEC" w:rsidRPr="00E72418">
        <w:rPr>
          <w:sz w:val="23"/>
          <w:szCs w:val="23"/>
        </w:rPr>
        <w:t>.</w:t>
      </w:r>
      <w:bookmarkStart w:id="336" w:name="_Toc59280978"/>
    </w:p>
    <w:p w14:paraId="054B306E" w14:textId="77777777" w:rsidR="009D0802" w:rsidRPr="00E72418" w:rsidRDefault="009D0802" w:rsidP="009B2B07"/>
    <w:p w14:paraId="21EC4C9C" w14:textId="70F5A89C" w:rsidR="004437D5" w:rsidRPr="00E72418" w:rsidRDefault="008665DF" w:rsidP="00CC4BA8">
      <w:pPr>
        <w:pStyle w:val="DD"/>
        <w:spacing w:afterLines="60" w:after="144" w:line="276" w:lineRule="auto"/>
      </w:pPr>
      <w:bookmarkStart w:id="337" w:name="_Toc84540969"/>
      <w:r w:rsidRPr="00E72418">
        <w:t xml:space="preserve">Section 2 : </w:t>
      </w:r>
      <w:r w:rsidR="004437D5" w:rsidRPr="00E72418">
        <w:t>La nomenclature</w:t>
      </w:r>
      <w:bookmarkEnd w:id="336"/>
      <w:bookmarkEnd w:id="337"/>
    </w:p>
    <w:p w14:paraId="1B524DE7" w14:textId="77777777" w:rsidR="00BE6960" w:rsidRPr="00E72418" w:rsidRDefault="00BE6960" w:rsidP="009B2B07"/>
    <w:p w14:paraId="1C78F71A" w14:textId="3BF24C17" w:rsidR="004437D5" w:rsidRPr="00E72418" w:rsidRDefault="004469AC" w:rsidP="00CC4BA8">
      <w:pPr>
        <w:spacing w:line="276" w:lineRule="auto"/>
      </w:pPr>
      <w:r w:rsidRPr="00E72418">
        <w:rPr>
          <w:b/>
        </w:rPr>
        <w:t>285</w:t>
      </w:r>
      <w:r w:rsidR="00817D62" w:rsidRPr="00E72418">
        <w:rPr>
          <w:b/>
        </w:rPr>
        <w:t xml:space="preserve">. </w:t>
      </w:r>
      <w:r w:rsidR="004437D5" w:rsidRPr="00E72418">
        <w:rPr>
          <w:b/>
        </w:rPr>
        <w:t xml:space="preserve">La modification des termes – </w:t>
      </w:r>
      <w:r w:rsidR="002945DC" w:rsidRPr="00E72418">
        <w:t>Bien que</w:t>
      </w:r>
      <w:r w:rsidR="004437D5" w:rsidRPr="00E72418">
        <w:t xml:space="preserve"> les clauses d’action collective insérées dans les contrats de dettes souveraines peuvent prévoir différentes choses, la modalité la plus en vue est celle portant sur l’accord </w:t>
      </w:r>
      <w:r w:rsidR="001F5045" w:rsidRPr="00E72418">
        <w:t>concernant</w:t>
      </w:r>
      <w:r w:rsidR="004437D5" w:rsidRPr="00E72418">
        <w:t xml:space="preserve"> les termes d’une restructuration. Ainsi, la clause peut prévoir qu’un pourcentage des créanciers de l’</w:t>
      </w:r>
      <w:r w:rsidR="004437D5" w:rsidRPr="00E72418">
        <w:rPr>
          <w:lang w:eastAsia="fr-BE"/>
        </w:rPr>
        <w:t>É</w:t>
      </w:r>
      <w:r w:rsidR="001F5045" w:rsidRPr="00E72418">
        <w:t>tat est à même de</w:t>
      </w:r>
      <w:r w:rsidR="004437D5" w:rsidRPr="00E72418">
        <w:t xml:space="preserve"> décider de modifications des termes des titres qui s’imposeront à l’ensemble des créanciers. </w:t>
      </w:r>
      <w:r w:rsidR="001F5045" w:rsidRPr="00E72418">
        <w:t>Les modifications pouva</w:t>
      </w:r>
      <w:r w:rsidR="004437D5" w:rsidRPr="00E72418">
        <w:t>nt notamment concerner les termes de paiement, les taux d’</w:t>
      </w:r>
      <w:r w:rsidR="001F5045" w:rsidRPr="00E72418">
        <w:t xml:space="preserve">intérêt ou encore le montant dû, en </w:t>
      </w:r>
      <w:r w:rsidR="001F5045" w:rsidRPr="00E72418">
        <w:lastRenderedPageBreak/>
        <w:t>règle générale, la majorité requise par la clause dépend de la modification en vue selon qu’elle est fondamentale ou non.</w:t>
      </w:r>
    </w:p>
    <w:p w14:paraId="67AC53C5" w14:textId="5A5A998B" w:rsidR="004437D5" w:rsidRPr="00E72418" w:rsidRDefault="004437D5" w:rsidP="00CC4BA8">
      <w:pPr>
        <w:spacing w:line="276" w:lineRule="auto"/>
      </w:pPr>
      <w:r w:rsidRPr="00E72418">
        <w:t xml:space="preserve">Les clauses d’action collective ne </w:t>
      </w:r>
      <w:r w:rsidR="001F5045" w:rsidRPr="00E72418">
        <w:t>visent</w:t>
      </w:r>
      <w:r w:rsidRPr="00E72418">
        <w:t xml:space="preserve"> pas toutes la modification des titres de dettes. Ainsi, par exemple, l’on peut retrouver des clause</w:t>
      </w:r>
      <w:r w:rsidR="001F5045" w:rsidRPr="00E72418">
        <w:t>s</w:t>
      </w:r>
      <w:r w:rsidRPr="00E72418">
        <w:t xml:space="preserve"> mettant en place un mécanisme permettant d’administrer une représentation collective des porteurs de titres</w:t>
      </w:r>
      <w:r w:rsidRPr="00E72418">
        <w:rPr>
          <w:rStyle w:val="Appelnotedebasdep"/>
        </w:rPr>
        <w:footnoteReference w:id="1412"/>
      </w:r>
      <w:r w:rsidRPr="00E72418">
        <w:t xml:space="preserve">. Dans d’autres cas, la clause peut interdire les actions judiciaires individuelles et permettre </w:t>
      </w:r>
      <w:r w:rsidR="001F5045" w:rsidRPr="00E72418">
        <w:t xml:space="preserve">uniquement </w:t>
      </w:r>
      <w:r w:rsidRPr="00E72418">
        <w:t>les actions contre l’</w:t>
      </w:r>
      <w:r w:rsidRPr="00E72418">
        <w:rPr>
          <w:lang w:eastAsia="fr-BE"/>
        </w:rPr>
        <w:t>É</w:t>
      </w:r>
      <w:r w:rsidR="001F5045" w:rsidRPr="00E72418">
        <w:t xml:space="preserve">tat débiteur </w:t>
      </w:r>
      <w:r w:rsidRPr="00E72418">
        <w:t>à l’initiative d’un représentant des créanciers</w:t>
      </w:r>
      <w:r w:rsidR="001F5045" w:rsidRPr="00E72418">
        <w:rPr>
          <w:rStyle w:val="Appelnotedebasdep"/>
        </w:rPr>
        <w:footnoteReference w:id="1413"/>
      </w:r>
      <w:r w:rsidRPr="00E72418">
        <w:t xml:space="preserve">. L’on peut encore donner l’exemple de la </w:t>
      </w:r>
      <w:r w:rsidR="00C04ADA" w:rsidRPr="00E72418">
        <w:rPr>
          <w:i/>
        </w:rPr>
        <w:t>sharing clause</w:t>
      </w:r>
      <w:r w:rsidR="00FB644B" w:rsidRPr="00E72418">
        <w:t xml:space="preserve"> qui, sans être à proprement parler une clause d’action collective, prévoit</w:t>
      </w:r>
      <w:r w:rsidRPr="00E72418">
        <w:t xml:space="preserve"> que les montants récupérés par un créancier dans le cadre de procès intentés à l’encontre de l’</w:t>
      </w:r>
      <w:r w:rsidRPr="00E72418">
        <w:rPr>
          <w:lang w:eastAsia="fr-BE"/>
        </w:rPr>
        <w:t>É</w:t>
      </w:r>
      <w:r w:rsidRPr="00E72418">
        <w:t xml:space="preserve">tat débiteur </w:t>
      </w:r>
      <w:r w:rsidR="00FB644B" w:rsidRPr="00E72418">
        <w:t>sur</w:t>
      </w:r>
      <w:r w:rsidR="00F25880" w:rsidRPr="00E72418">
        <w:t xml:space="preserve"> la</w:t>
      </w:r>
      <w:r w:rsidR="00FB644B" w:rsidRPr="00E72418">
        <w:t xml:space="preserve"> base de contrats d’émission </w:t>
      </w:r>
      <w:r w:rsidRPr="00E72418">
        <w:t>seront redistribués à l’ensemble des créanciers</w:t>
      </w:r>
      <w:r w:rsidR="00A83B28" w:rsidRPr="00E72418">
        <w:rPr>
          <w:rStyle w:val="Appelnotedebasdep"/>
        </w:rPr>
        <w:footnoteReference w:id="1414"/>
      </w:r>
      <w:r w:rsidRPr="00E72418">
        <w:t>.</w:t>
      </w:r>
    </w:p>
    <w:p w14:paraId="5916A22A" w14:textId="0AB2F93E" w:rsidR="004437D5" w:rsidRPr="00E72418" w:rsidRDefault="004437D5" w:rsidP="00CC4BA8">
      <w:pPr>
        <w:spacing w:line="276" w:lineRule="auto"/>
      </w:pPr>
      <w:r w:rsidRPr="00E72418">
        <w:t xml:space="preserve">Sans être à proprement parler une clause d’action collective, </w:t>
      </w:r>
      <w:r w:rsidR="00C04ADA" w:rsidRPr="00E72418">
        <w:t>la logique poursuivie avec l’</w:t>
      </w:r>
      <w:r w:rsidRPr="00E72418">
        <w:rPr>
          <w:i/>
        </w:rPr>
        <w:t>exit consent</w:t>
      </w:r>
      <w:r w:rsidRPr="00E72418">
        <w:t xml:space="preserve"> est celle de faire modifier des dispositions par les créanciers acceptant une restructuration avant qu’ils n’échangent leurs titres </w:t>
      </w:r>
      <w:r w:rsidR="0090174B" w:rsidRPr="00E72418">
        <w:t xml:space="preserve">afin de </w:t>
      </w:r>
      <w:r w:rsidRPr="00E72418">
        <w:t>rendre les anciens titres moins intéressants et</w:t>
      </w:r>
      <w:r w:rsidR="0090174B" w:rsidRPr="00E72418">
        <w:t>,</w:t>
      </w:r>
      <w:r w:rsidRPr="00E72418">
        <w:t xml:space="preserve"> par conséquent</w:t>
      </w:r>
      <w:r w:rsidR="0090174B" w:rsidRPr="00E72418">
        <w:t>,</w:t>
      </w:r>
      <w:r w:rsidRPr="00E72418">
        <w:t xml:space="preserve"> </w:t>
      </w:r>
      <w:r w:rsidR="0090174B" w:rsidRPr="00E72418">
        <w:t>de</w:t>
      </w:r>
      <w:r w:rsidRPr="00E72418">
        <w:t xml:space="preserve"> décourager l’attitude récalcitrante de certains </w:t>
      </w:r>
      <w:r w:rsidR="00621E62" w:rsidRPr="00E72418">
        <w:t xml:space="preserve">créanciers </w:t>
      </w:r>
      <w:r w:rsidRPr="00E72418">
        <w:t>refusant d’échanger leurs titres</w:t>
      </w:r>
      <w:r w:rsidRPr="00E72418">
        <w:rPr>
          <w:rStyle w:val="Appelnotedebasdep"/>
        </w:rPr>
        <w:footnoteReference w:id="1415"/>
      </w:r>
      <w:r w:rsidRPr="00E72418">
        <w:t>. L’on peut ainsi penser à une modification qui serait apportée au niveau de la renonciation à l’immunité de sorte que les créanciers réfractaires ne puissent par la suite se servir de la clause de renonciation afin de mener à bien leur procédure judiciaire à l’encontre de l’</w:t>
      </w:r>
      <w:r w:rsidRPr="00E72418">
        <w:rPr>
          <w:lang w:eastAsia="fr-BE"/>
        </w:rPr>
        <w:t>É</w:t>
      </w:r>
      <w:r w:rsidRPr="00E72418">
        <w:t>tat débiteur</w:t>
      </w:r>
      <w:r w:rsidRPr="00E72418">
        <w:rPr>
          <w:rStyle w:val="Appelnotedebasdep"/>
        </w:rPr>
        <w:footnoteReference w:id="1416"/>
      </w:r>
      <w:r w:rsidRPr="00E72418">
        <w:t>. Mê</w:t>
      </w:r>
      <w:r w:rsidR="00621E62" w:rsidRPr="00E72418">
        <w:t>me si</w:t>
      </w:r>
      <w:r w:rsidRPr="00E72418">
        <w:t xml:space="preserve"> subsistent des créanciers récalcitrants qui décident de ne pas participer à l’échange et qui deviennent majori</w:t>
      </w:r>
      <w:r w:rsidR="00621E62" w:rsidRPr="00E72418">
        <w:t>taires relativement aux ancien</w:t>
      </w:r>
      <w:r w:rsidRPr="00E72418">
        <w:t xml:space="preserve">s </w:t>
      </w:r>
      <w:r w:rsidR="00621E62" w:rsidRPr="00E72418">
        <w:t>titres</w:t>
      </w:r>
      <w:r w:rsidRPr="00E72418">
        <w:t xml:space="preserve">, </w:t>
      </w:r>
      <w:r w:rsidRPr="00E72418">
        <w:lastRenderedPageBreak/>
        <w:t>il leur est impossible de faire annuler les modifications opérées sans l’accord du débiteur</w:t>
      </w:r>
      <w:r w:rsidRPr="00E72418">
        <w:rPr>
          <w:rStyle w:val="Appelnotedebasdep"/>
        </w:rPr>
        <w:footnoteReference w:id="1417"/>
      </w:r>
      <w:r w:rsidRPr="00E72418">
        <w:t xml:space="preserve">. </w:t>
      </w:r>
      <w:r w:rsidR="00621E62" w:rsidRPr="00E72418">
        <w:t xml:space="preserve">Fort encourageants qu’ils paraissent être pour les </w:t>
      </w:r>
      <w:r w:rsidR="00621E62" w:rsidRPr="00E72418">
        <w:rPr>
          <w:lang w:eastAsia="fr-BE"/>
        </w:rPr>
        <w:t>É</w:t>
      </w:r>
      <w:r w:rsidR="00621E62" w:rsidRPr="00E72418">
        <w:t>tats débiteurs, l</w:t>
      </w:r>
      <w:r w:rsidRPr="00E72418">
        <w:t xml:space="preserve">es </w:t>
      </w:r>
      <w:r w:rsidRPr="00E72418">
        <w:rPr>
          <w:i/>
        </w:rPr>
        <w:t>exit consents</w:t>
      </w:r>
      <w:r w:rsidRPr="00E72418">
        <w:t xml:space="preserve"> ne sont toutefois pas la panacée. Il est en effet des situations où le </w:t>
      </w:r>
      <w:r w:rsidRPr="00E72418">
        <w:rPr>
          <w:i/>
        </w:rPr>
        <w:t>buoying-up effect</w:t>
      </w:r>
      <w:r w:rsidRPr="00E72418">
        <w:t xml:space="preserve">, qui représente la conséquence positive de la restructuration d’un certain nombre de titres dont bénéficient </w:t>
      </w:r>
      <w:r w:rsidR="00621E62" w:rsidRPr="00E72418">
        <w:t>ceux</w:t>
      </w:r>
      <w:r w:rsidRPr="00E72418">
        <w:t xml:space="preserve"> non restructurés, est à ce point important qu’il dépasse la conséquence négative des </w:t>
      </w:r>
      <w:r w:rsidRPr="00E72418">
        <w:rPr>
          <w:i/>
        </w:rPr>
        <w:t>exit consents</w:t>
      </w:r>
      <w:r w:rsidRPr="00E72418">
        <w:rPr>
          <w:rStyle w:val="Appelnotedebasdep"/>
        </w:rPr>
        <w:footnoteReference w:id="1418"/>
      </w:r>
      <w:r w:rsidRPr="00E72418">
        <w:t>.</w:t>
      </w:r>
    </w:p>
    <w:p w14:paraId="54581580" w14:textId="77777777" w:rsidR="004437D5" w:rsidRPr="00E72418" w:rsidRDefault="004437D5" w:rsidP="009B2B07"/>
    <w:p w14:paraId="523DAD16" w14:textId="6DBC79C7" w:rsidR="004437D5" w:rsidRPr="00E72418" w:rsidRDefault="004469AC" w:rsidP="00CC4BA8">
      <w:pPr>
        <w:spacing w:line="276" w:lineRule="auto"/>
        <w:rPr>
          <w:szCs w:val="24"/>
        </w:rPr>
      </w:pPr>
      <w:r w:rsidRPr="00E72418">
        <w:rPr>
          <w:b/>
        </w:rPr>
        <w:t>286</w:t>
      </w:r>
      <w:r w:rsidR="00817D62" w:rsidRPr="00E72418">
        <w:rPr>
          <w:b/>
        </w:rPr>
        <w:t xml:space="preserve">. </w:t>
      </w:r>
      <w:r w:rsidR="004437D5" w:rsidRPr="00E72418">
        <w:rPr>
          <w:b/>
        </w:rPr>
        <w:t>Les clauses d’agrégation –</w:t>
      </w:r>
      <w:r w:rsidR="004437D5" w:rsidRPr="00E72418">
        <w:t xml:space="preserve"> L’activation des clauses d’action collective peut, dans certains cas, s’avérer compliquée notamment lorsque</w:t>
      </w:r>
      <w:r w:rsidR="00672658" w:rsidRPr="00E72418">
        <w:t>,</w:t>
      </w:r>
      <w:r w:rsidR="004437D5" w:rsidRPr="00E72418">
        <w:t xml:space="preserve"> les votes devant intervenir dans différentes séries de titres, des créanciers récalcitrants d’une </w:t>
      </w:r>
      <w:r w:rsidR="00ED6880" w:rsidRPr="00E72418">
        <w:t>unique série parviennent à bloqu</w:t>
      </w:r>
      <w:r w:rsidR="004437D5" w:rsidRPr="00E72418">
        <w:t>er l’ensemble de la restructuration</w:t>
      </w:r>
      <w:r w:rsidR="004437D5" w:rsidRPr="00E72418">
        <w:rPr>
          <w:rStyle w:val="Appelnotedebasdep"/>
        </w:rPr>
        <w:footnoteReference w:id="1419"/>
      </w:r>
      <w:r w:rsidR="004437D5" w:rsidRPr="00E72418">
        <w:t>. Les clauses d’agrégation offrent une solution à ce problème en permettant d’agréger les votes des différentes séries en un vote unique sur l’ensemble de la dette</w:t>
      </w:r>
      <w:r w:rsidR="004437D5" w:rsidRPr="00E72418">
        <w:rPr>
          <w:rStyle w:val="Appelnotedebasdep"/>
        </w:rPr>
        <w:footnoteReference w:id="1420"/>
      </w:r>
      <w:r w:rsidR="004437D5" w:rsidRPr="00E72418">
        <w:t xml:space="preserve">. </w:t>
      </w:r>
      <w:r w:rsidR="00672658" w:rsidRPr="00E72418">
        <w:t>L’insertion de c</w:t>
      </w:r>
      <w:r w:rsidR="004437D5" w:rsidRPr="00E72418">
        <w:t>es clause</w:t>
      </w:r>
      <w:r w:rsidR="00672658" w:rsidRPr="00E72418">
        <w:t>s</w:t>
      </w:r>
      <w:r w:rsidR="004437D5" w:rsidRPr="00E72418">
        <w:t xml:space="preserve"> d’agrégation qui ne sont pas encore aujourd’hui largement utilisées </w:t>
      </w:r>
      <w:r w:rsidR="00672658" w:rsidRPr="00E72418">
        <w:t>est encouragée</w:t>
      </w:r>
      <w:r w:rsidR="004437D5" w:rsidRPr="00E72418">
        <w:t xml:space="preserve"> par le Fonds monétaire international</w:t>
      </w:r>
      <w:r w:rsidR="004437D5" w:rsidRPr="00E72418">
        <w:rPr>
          <w:rStyle w:val="Appelnotedebasdep"/>
        </w:rPr>
        <w:footnoteReference w:id="1421"/>
      </w:r>
      <w:r w:rsidR="004437D5" w:rsidRPr="00E72418">
        <w:t xml:space="preserve">. </w:t>
      </w:r>
      <w:r w:rsidR="004437D5" w:rsidRPr="00E72418">
        <w:rPr>
          <w:szCs w:val="24"/>
        </w:rPr>
        <w:t xml:space="preserve">Comme </w:t>
      </w:r>
      <w:r w:rsidR="00373B28" w:rsidRPr="00E72418">
        <w:rPr>
          <w:szCs w:val="24"/>
        </w:rPr>
        <w:t xml:space="preserve">Steven </w:t>
      </w:r>
      <w:r w:rsidR="004437D5" w:rsidRPr="00E72418">
        <w:rPr>
          <w:szCs w:val="24"/>
        </w:rPr>
        <w:t>Schwarcz le note, « </w:t>
      </w:r>
      <w:r w:rsidR="004437D5" w:rsidRPr="00E72418">
        <w:rPr>
          <w:rFonts w:cs="Times New Roman"/>
        </w:rPr>
        <w:t>[a]</w:t>
      </w:r>
      <w:r w:rsidR="004437D5" w:rsidRPr="00E72418">
        <w:rPr>
          <w:szCs w:val="24"/>
        </w:rPr>
        <w:t xml:space="preserve">ggregate-voting is critical for at least two reasons: it can prevent creditors of individual sovereign debt contracts from acting as holdouts vis-a-vis other sovereign debt contracts; </w:t>
      </w:r>
      <w:r w:rsidR="004437D5" w:rsidRPr="00E72418">
        <w:rPr>
          <w:rFonts w:cs="Times New Roman"/>
        </w:rPr>
        <w:t>[…]</w:t>
      </w:r>
      <w:r w:rsidR="004437D5" w:rsidRPr="00E72418">
        <w:rPr>
          <w:szCs w:val="24"/>
        </w:rPr>
        <w:t xml:space="preserve"> and it allows a debtor-state to designate large enough classes of claims to prevent vulture funds (or similar holdouts), as a practical matter, from purchasing enough claims to block a restructuring plan or otherwise control the voting »</w:t>
      </w:r>
      <w:r w:rsidR="004437D5" w:rsidRPr="00E72418">
        <w:rPr>
          <w:rStyle w:val="Appelnotedebasdep"/>
          <w:szCs w:val="24"/>
        </w:rPr>
        <w:footnoteReference w:id="1422"/>
      </w:r>
      <w:r w:rsidR="004437D5" w:rsidRPr="00E72418">
        <w:rPr>
          <w:szCs w:val="24"/>
        </w:rPr>
        <w:t>.</w:t>
      </w:r>
    </w:p>
    <w:p w14:paraId="2325F9D0" w14:textId="6975E59F" w:rsidR="004437D5" w:rsidRPr="00E72418" w:rsidRDefault="00DB631A" w:rsidP="00CC4BA8">
      <w:pPr>
        <w:spacing w:line="276" w:lineRule="auto"/>
      </w:pPr>
      <w:r w:rsidRPr="00E72418">
        <w:t>En 2014, l’Association internationale des m</w:t>
      </w:r>
      <w:r w:rsidR="004437D5" w:rsidRPr="00E72418">
        <w:t>arc</w:t>
      </w:r>
      <w:r w:rsidRPr="00E72418">
        <w:t>hés de c</w:t>
      </w:r>
      <w:r w:rsidR="004437D5" w:rsidRPr="00E72418">
        <w:t>apitaux</w:t>
      </w:r>
      <w:r w:rsidR="004437D5" w:rsidRPr="00E72418">
        <w:rPr>
          <w:b/>
        </w:rPr>
        <w:t xml:space="preserve"> </w:t>
      </w:r>
      <w:r w:rsidR="006C300E" w:rsidRPr="00E72418">
        <w:t>publia une série de clauses-</w:t>
      </w:r>
      <w:r w:rsidR="004437D5" w:rsidRPr="00E72418">
        <w:t>types pour les contrats d’obligations souveraines</w:t>
      </w:r>
      <w:r w:rsidR="004437D5" w:rsidRPr="00E72418">
        <w:rPr>
          <w:rStyle w:val="Appelnotedebasdep"/>
        </w:rPr>
        <w:footnoteReference w:id="1423"/>
      </w:r>
      <w:r w:rsidR="004437D5" w:rsidRPr="00E72418">
        <w:t xml:space="preserve">. Parmi celles-ci, on retrouve des « one-limb collective action clauses » lesquelles requièrent pour la modification de modalités financières un </w:t>
      </w:r>
      <w:r w:rsidR="00672658" w:rsidRPr="00E72418">
        <w:t>unique</w:t>
      </w:r>
      <w:r w:rsidR="004437D5" w:rsidRPr="00E72418">
        <w:t xml:space="preserve"> vote calculé sur une base globale reprenant toutes les séries d’obligations affectées sans qu’il y ait de vote par série d’obligations</w:t>
      </w:r>
      <w:r w:rsidR="004437D5" w:rsidRPr="00E72418">
        <w:rPr>
          <w:rStyle w:val="Appelnotedebasdep"/>
        </w:rPr>
        <w:footnoteReference w:id="1424"/>
      </w:r>
      <w:r w:rsidR="004437D5" w:rsidRPr="00E72418">
        <w:t>. La possibilité pour l’émetteur d’agréger les votes des détenteurs de titres de l’ensemble des séries a pour conséquence de rendre plus difficile l’acq</w:t>
      </w:r>
      <w:r w:rsidR="00ED6880" w:rsidRPr="00E72418">
        <w:t>uisition d’une position de bloc</w:t>
      </w:r>
      <w:r w:rsidR="004437D5" w:rsidRPr="00E72418">
        <w:t>age</w:t>
      </w:r>
      <w:r w:rsidR="004437D5" w:rsidRPr="00E72418">
        <w:rPr>
          <w:rStyle w:val="Appelnotedebasdep"/>
        </w:rPr>
        <w:footnoteReference w:id="1425"/>
      </w:r>
      <w:r w:rsidR="00672658" w:rsidRPr="00E72418">
        <w:t xml:space="preserve">. </w:t>
      </w:r>
      <w:r w:rsidR="004437D5" w:rsidRPr="00E72418">
        <w:t xml:space="preserve">Depuis 2014, le Fonds monétaire </w:t>
      </w:r>
      <w:r w:rsidR="004437D5" w:rsidRPr="00E72418">
        <w:lastRenderedPageBreak/>
        <w:t>international encourage l’utilisation de clauses d’action collective renforcées</w:t>
      </w:r>
      <w:r w:rsidR="004437D5" w:rsidRPr="00E72418">
        <w:rPr>
          <w:rStyle w:val="Appelnotedebasdep"/>
          <w:rFonts w:cs="Times New Roman"/>
        </w:rPr>
        <w:footnoteReference w:id="1426"/>
      </w:r>
      <w:r w:rsidR="00860ACD" w:rsidRPr="00E72418">
        <w:t>. Il est question d’</w:t>
      </w:r>
      <w:r w:rsidR="004437D5" w:rsidRPr="00E72418">
        <w:t xml:space="preserve"> </w:t>
      </w:r>
      <w:r w:rsidR="004437D5" w:rsidRPr="00E72418">
        <w:rPr>
          <w:rStyle w:val="Titre5Car"/>
          <w:rFonts w:ascii="Times New Roman" w:hAnsi="Times New Roman" w:cs="Times New Roman"/>
          <w:color w:val="auto"/>
        </w:rPr>
        <w:t xml:space="preserve">« </w:t>
      </w:r>
      <w:r w:rsidR="004437D5" w:rsidRPr="00E72418">
        <w:t xml:space="preserve">enhanced CAC with a menu of voting procedures, including a “single-limb” aggregated voting procedure that enables bonds to be restructured on the basis of a single vote across all affected instruments, a two-limb aggregated voting procedure, and a series-by-series voting procedure </w:t>
      </w:r>
      <w:r w:rsidR="004437D5" w:rsidRPr="00E72418">
        <w:rPr>
          <w:rStyle w:val="Titre5Car"/>
          <w:rFonts w:ascii="Times New Roman" w:hAnsi="Times New Roman" w:cs="Times New Roman"/>
          <w:color w:val="auto"/>
        </w:rPr>
        <w:t>»</w:t>
      </w:r>
      <w:r w:rsidR="004437D5" w:rsidRPr="00E72418">
        <w:rPr>
          <w:rStyle w:val="Appelnotedebasdep"/>
          <w:rFonts w:cs="Times New Roman"/>
        </w:rPr>
        <w:footnoteReference w:id="1427"/>
      </w:r>
      <w:r w:rsidR="004437D5" w:rsidRPr="00E72418">
        <w:t>.</w:t>
      </w:r>
    </w:p>
    <w:p w14:paraId="2D6463D6" w14:textId="7BF12E2C" w:rsidR="00934A9E" w:rsidRPr="00E72418" w:rsidRDefault="00934A9E" w:rsidP="00A02DAE">
      <w:bookmarkStart w:id="338" w:name="_Toc37777376"/>
      <w:bookmarkStart w:id="339" w:name="_Toc47442906"/>
      <w:bookmarkStart w:id="340" w:name="_Toc59280979"/>
      <w:bookmarkStart w:id="341" w:name="_Toc84540970"/>
    </w:p>
    <w:p w14:paraId="694A2C6F" w14:textId="7E416248" w:rsidR="00B21766" w:rsidRPr="00E72418" w:rsidRDefault="008665DF" w:rsidP="00CC4BA8">
      <w:pPr>
        <w:pStyle w:val="DD"/>
        <w:spacing w:afterLines="60" w:after="144" w:line="276" w:lineRule="auto"/>
      </w:pPr>
      <w:r w:rsidRPr="00E72418">
        <w:t xml:space="preserve">Section 3 : </w:t>
      </w:r>
      <w:r w:rsidR="00B21766" w:rsidRPr="00E72418">
        <w:t>Les faiblesses</w:t>
      </w:r>
      <w:bookmarkEnd w:id="338"/>
      <w:bookmarkEnd w:id="339"/>
      <w:bookmarkEnd w:id="340"/>
      <w:bookmarkEnd w:id="341"/>
    </w:p>
    <w:p w14:paraId="103D5F56" w14:textId="77777777" w:rsidR="00BE6960" w:rsidRPr="00E72418" w:rsidRDefault="00BE6960" w:rsidP="009B2B07"/>
    <w:p w14:paraId="1CE8C6E0" w14:textId="386D8618" w:rsidR="000460ED" w:rsidRPr="00E72418" w:rsidRDefault="004469AC" w:rsidP="00CC4BA8">
      <w:pPr>
        <w:spacing w:line="276" w:lineRule="auto"/>
      </w:pPr>
      <w:r w:rsidRPr="00E72418">
        <w:rPr>
          <w:b/>
        </w:rPr>
        <w:t>287</w:t>
      </w:r>
      <w:r w:rsidR="00817D62" w:rsidRPr="00E72418">
        <w:rPr>
          <w:b/>
        </w:rPr>
        <w:t xml:space="preserve">. </w:t>
      </w:r>
      <w:r w:rsidR="000460ED" w:rsidRPr="00E72418">
        <w:rPr>
          <w:b/>
        </w:rPr>
        <w:t>Le postulat –</w:t>
      </w:r>
      <w:r w:rsidR="000460ED" w:rsidRPr="00E72418">
        <w:t xml:space="preserve"> La présence de clauses d’action collective dans les contrats de dettes souveraines est de nature à entrave</w:t>
      </w:r>
      <w:r w:rsidR="00672658" w:rsidRPr="00E72418">
        <w:t>r l’adoption de comportements parasites</w:t>
      </w:r>
      <w:r w:rsidR="000460ED" w:rsidRPr="00E72418">
        <w:t xml:space="preserve"> caract</w:t>
      </w:r>
      <w:r w:rsidR="00B41CCF" w:rsidRPr="00E72418">
        <w:t>éristiques des fonds spéculant</w:t>
      </w:r>
      <w:r w:rsidR="000460ED" w:rsidRPr="00E72418">
        <w:t xml:space="preserve"> sur les dettes souveraines</w:t>
      </w:r>
      <w:r w:rsidR="000460ED" w:rsidRPr="00E72418">
        <w:rPr>
          <w:rStyle w:val="Appelnotedebasdep"/>
          <w:rFonts w:cs="Times New Roman"/>
          <w:szCs w:val="24"/>
        </w:rPr>
        <w:footnoteReference w:id="1428"/>
      </w:r>
      <w:r w:rsidR="000460ED" w:rsidRPr="00E72418">
        <w:t xml:space="preserve">. </w:t>
      </w:r>
      <w:r w:rsidR="00672658" w:rsidRPr="00E72418">
        <w:t>Ces</w:t>
      </w:r>
      <w:r w:rsidR="000460ED" w:rsidRPr="00E72418">
        <w:t xml:space="preserve"> comportements sont rendus impossibles </w:t>
      </w:r>
      <w:r w:rsidR="00672658" w:rsidRPr="00E72418">
        <w:t xml:space="preserve">par de telles clauses </w:t>
      </w:r>
      <w:r w:rsidR="000460ED" w:rsidRPr="00E72418">
        <w:t>dans la mes</w:t>
      </w:r>
      <w:r w:rsidR="00ED6880" w:rsidRPr="00E72418">
        <w:t>ure où une majorité de créancie</w:t>
      </w:r>
      <w:r w:rsidR="000460ED" w:rsidRPr="00E72418">
        <w:t>rs peut décider de modalités qui s’imposero</w:t>
      </w:r>
      <w:r w:rsidR="00672658" w:rsidRPr="00E72418">
        <w:t>nt à l’ensemble des créanciers.</w:t>
      </w:r>
    </w:p>
    <w:p w14:paraId="292241C3" w14:textId="392D660E" w:rsidR="000460ED" w:rsidRPr="00E72418" w:rsidRDefault="000460ED" w:rsidP="00CC4BA8">
      <w:pPr>
        <w:spacing w:line="276" w:lineRule="auto"/>
      </w:pPr>
      <w:r w:rsidRPr="00E72418">
        <w:t xml:space="preserve">Dans le cadre du contentieux argentin noué devant les juridictions new-yorkaises, à l’argument des </w:t>
      </w:r>
      <w:r w:rsidRPr="00E72418">
        <w:rPr>
          <w:lang w:eastAsia="fr-BE"/>
        </w:rPr>
        <w:t>É</w:t>
      </w:r>
      <w:r w:rsidRPr="00E72418">
        <w:t xml:space="preserve">tats-Unis avancé dans leur </w:t>
      </w:r>
      <w:r w:rsidRPr="00E72418">
        <w:rPr>
          <w:i/>
        </w:rPr>
        <w:t>amicus brief</w:t>
      </w:r>
      <w:r w:rsidRPr="00E72418">
        <w:t xml:space="preserve"> selon lequel </w:t>
      </w:r>
      <w:r w:rsidR="00BA7D30" w:rsidRPr="00E72418">
        <w:t>sa</w:t>
      </w:r>
      <w:r w:rsidRPr="00E72418">
        <w:t xml:space="preserve"> décision était de nature à permettre à « a single creditor to thwart the implementation of an internationally supported restructuring plan », la </w:t>
      </w:r>
      <w:r w:rsidRPr="00735BBE">
        <w:rPr>
          <w:shd w:val="clear" w:color="auto" w:fill="FFFFFF"/>
        </w:rPr>
        <w:t>United States Court of Appeals for the Second Circuit</w:t>
      </w:r>
      <w:r w:rsidRPr="00E72418">
        <w:rPr>
          <w:shd w:val="clear" w:color="auto" w:fill="FFFFFF"/>
        </w:rPr>
        <w:t xml:space="preserve"> répondit </w:t>
      </w:r>
      <w:r w:rsidRPr="00E72418">
        <w:t>qu’il était peu probable qu’à l’avenir d’autres pays se trouvent dans la délicate situation que fut celle dans laquelle se t</w:t>
      </w:r>
      <w:r w:rsidR="0033545A" w:rsidRPr="00E72418">
        <w:t xml:space="preserve">rouvait l’Argentine, </w:t>
      </w:r>
      <w:r w:rsidRPr="00E72418">
        <w:t>et ce, en raison des clauses d’action collective</w:t>
      </w:r>
      <w:r w:rsidRPr="00E72418">
        <w:rPr>
          <w:rStyle w:val="Appelnotedebasdep"/>
          <w:rFonts w:cs="Times New Roman"/>
          <w:szCs w:val="24"/>
        </w:rPr>
        <w:footnoteReference w:id="1429"/>
      </w:r>
      <w:r w:rsidR="00462CD0" w:rsidRPr="00E72418">
        <w:t>. La conviction de la c</w:t>
      </w:r>
      <w:r w:rsidRPr="00E72418">
        <w:t>our d’appel était claire : « [w]ith the inclusion of collective action clauses, the type of “holdout” litigation at issue here is not likely to reoccur »</w:t>
      </w:r>
      <w:r w:rsidRPr="00E72418">
        <w:rPr>
          <w:rStyle w:val="Appelnotedebasdep"/>
          <w:rFonts w:cs="Times New Roman"/>
          <w:szCs w:val="24"/>
        </w:rPr>
        <w:footnoteReference w:id="1430"/>
      </w:r>
      <w:r w:rsidRPr="00E72418">
        <w:t>.</w:t>
      </w:r>
    </w:p>
    <w:p w14:paraId="2241AD22" w14:textId="77777777" w:rsidR="000460ED" w:rsidRPr="00E72418" w:rsidRDefault="000460ED" w:rsidP="009B2B07"/>
    <w:p w14:paraId="4C9BBC48" w14:textId="3EE1BCE5" w:rsidR="000460ED" w:rsidRPr="00E72418" w:rsidRDefault="004469AC" w:rsidP="00CC4BA8">
      <w:pPr>
        <w:spacing w:line="276" w:lineRule="auto"/>
      </w:pPr>
      <w:r w:rsidRPr="00E72418">
        <w:rPr>
          <w:b/>
        </w:rPr>
        <w:lastRenderedPageBreak/>
        <w:t>288</w:t>
      </w:r>
      <w:r w:rsidR="00817D62" w:rsidRPr="00E72418">
        <w:rPr>
          <w:b/>
        </w:rPr>
        <w:t xml:space="preserve">. </w:t>
      </w:r>
      <w:r w:rsidR="000460ED" w:rsidRPr="00E72418">
        <w:rPr>
          <w:b/>
        </w:rPr>
        <w:t xml:space="preserve">Une solution imparfaite – </w:t>
      </w:r>
      <w:r w:rsidR="000460ED" w:rsidRPr="00E72418">
        <w:t>S’il est des exemples concrets comme celui des Seychelles entre 2008 et 2010 ou encore celui de Belize entre 2012 et 2013 et en 2017 dans lesquels la présence de clauses d’action collective permit d’éviter le problème des créanciers récalcitrants</w:t>
      </w:r>
      <w:r w:rsidR="000460ED" w:rsidRPr="00E72418">
        <w:rPr>
          <w:rStyle w:val="Appelnotedebasdep"/>
        </w:rPr>
        <w:footnoteReference w:id="1431"/>
      </w:r>
      <w:r w:rsidR="000460ED" w:rsidRPr="00E72418">
        <w:t xml:space="preserve">, </w:t>
      </w:r>
      <w:r w:rsidR="00BA7D30" w:rsidRPr="00E72418">
        <w:t>la</w:t>
      </w:r>
      <w:r w:rsidR="006E059E" w:rsidRPr="00E72418">
        <w:t xml:space="preserve"> </w:t>
      </w:r>
      <w:r w:rsidR="006E059E" w:rsidRPr="00E72418">
        <w:rPr>
          <w:i/>
        </w:rPr>
        <w:t>contractual approach</w:t>
      </w:r>
      <w:r w:rsidR="000460ED" w:rsidRPr="00E72418">
        <w:t xml:space="preserve"> souffre de différentes faiblesses rendant la solution imparfaite. Comme le notait </w:t>
      </w:r>
      <w:r w:rsidR="00865D15" w:rsidRPr="00E72418">
        <w:t xml:space="preserve">Joseph </w:t>
      </w:r>
      <w:r w:rsidR="000460ED" w:rsidRPr="00E72418">
        <w:t>Stiglitz, « </w:t>
      </w:r>
      <w:r w:rsidR="000460ED" w:rsidRPr="00E72418">
        <w:rPr>
          <w:rFonts w:cs="Times New Roman"/>
        </w:rPr>
        <w:t>[t]</w:t>
      </w:r>
      <w:r w:rsidR="000460ED" w:rsidRPr="00E72418">
        <w:t>he fact that every advanced industrial country has found it necessary to have a bankruptcy law reinforces the conclusions of economic theory, that collective action clauses will not suffice; some judicial process is required »</w:t>
      </w:r>
      <w:r w:rsidR="000460ED" w:rsidRPr="00E72418">
        <w:rPr>
          <w:rStyle w:val="Appelnotedebasdep"/>
        </w:rPr>
        <w:footnoteReference w:id="1432"/>
      </w:r>
      <w:r w:rsidR="000460ED" w:rsidRPr="00E72418">
        <w:t>.</w:t>
      </w:r>
    </w:p>
    <w:p w14:paraId="0D92E236" w14:textId="6E34269C" w:rsidR="000460ED" w:rsidRPr="00E72418" w:rsidRDefault="00BA7D30" w:rsidP="00CC4BA8">
      <w:pPr>
        <w:spacing w:line="276" w:lineRule="auto"/>
      </w:pPr>
      <w:r w:rsidRPr="00E72418">
        <w:rPr>
          <w:szCs w:val="24"/>
        </w:rPr>
        <w:t>Les clauses d’action collective</w:t>
      </w:r>
      <w:r w:rsidR="000460ED" w:rsidRPr="00E72418">
        <w:rPr>
          <w:szCs w:val="24"/>
        </w:rPr>
        <w:t xml:space="preserve"> sont, par définition, intégrées dans les contrats relatifs aux dettes souveraines et, par conséquent, antérieures aux difficultés pouvant survenir relativement à celles-ci. </w:t>
      </w:r>
      <w:r w:rsidR="001746D3" w:rsidRPr="00E72418">
        <w:rPr>
          <w:szCs w:val="24"/>
        </w:rPr>
        <w:t>Un des</w:t>
      </w:r>
      <w:r w:rsidR="000460ED" w:rsidRPr="00E72418">
        <w:rPr>
          <w:szCs w:val="24"/>
        </w:rPr>
        <w:t xml:space="preserve"> problème</w:t>
      </w:r>
      <w:r w:rsidR="001746D3" w:rsidRPr="00E72418">
        <w:rPr>
          <w:szCs w:val="24"/>
        </w:rPr>
        <w:t>s</w:t>
      </w:r>
      <w:r w:rsidR="000460ED" w:rsidRPr="00E72418">
        <w:rPr>
          <w:szCs w:val="24"/>
        </w:rPr>
        <w:t xml:space="preserve"> réside </w:t>
      </w:r>
      <w:r w:rsidR="001746D3" w:rsidRPr="00E72418">
        <w:rPr>
          <w:szCs w:val="24"/>
        </w:rPr>
        <w:t xml:space="preserve">ainsi </w:t>
      </w:r>
      <w:r w:rsidR="000460ED" w:rsidRPr="00E72418">
        <w:rPr>
          <w:szCs w:val="24"/>
        </w:rPr>
        <w:t>dans le fait que ces clauses ne peuvent pleinement appréhender les circonstances de chaque défaut souverain</w:t>
      </w:r>
      <w:r w:rsidR="000460ED" w:rsidRPr="00E72418">
        <w:rPr>
          <w:rStyle w:val="Appelnotedebasdep"/>
          <w:szCs w:val="24"/>
        </w:rPr>
        <w:footnoteReference w:id="1433"/>
      </w:r>
      <w:r w:rsidR="000460ED" w:rsidRPr="00E72418">
        <w:rPr>
          <w:szCs w:val="24"/>
        </w:rPr>
        <w:t xml:space="preserve">. Plus encore, leur teneur pourrait </w:t>
      </w:r>
      <w:r w:rsidR="000460ED" w:rsidRPr="00E72418">
        <w:rPr>
          <w:i/>
          <w:szCs w:val="24"/>
        </w:rPr>
        <w:t>in casu</w:t>
      </w:r>
      <w:r w:rsidR="000460ED" w:rsidRPr="00E72418">
        <w:rPr>
          <w:szCs w:val="24"/>
        </w:rPr>
        <w:t xml:space="preserve"> être contestée conduisant des juridictions à devoir les</w:t>
      </w:r>
      <w:r w:rsidR="000460ED" w:rsidRPr="00E72418">
        <w:t xml:space="preserve"> interpréter avec l’insécurité juridi</w:t>
      </w:r>
      <w:r w:rsidR="00967C5D" w:rsidRPr="00E72418">
        <w:t>que qui s’en</w:t>
      </w:r>
      <w:r w:rsidR="000460ED" w:rsidRPr="00E72418">
        <w:t>suit</w:t>
      </w:r>
      <w:r w:rsidR="000460ED" w:rsidRPr="00E72418">
        <w:rPr>
          <w:rStyle w:val="Appelnotedebasdep"/>
        </w:rPr>
        <w:footnoteReference w:id="1434"/>
      </w:r>
      <w:r w:rsidR="000651AC" w:rsidRPr="00E72418">
        <w:rPr>
          <w:vertAlign w:val="superscript"/>
        </w:rPr>
        <w:t>,</w:t>
      </w:r>
      <w:r w:rsidR="00CB0812" w:rsidRPr="00E72418">
        <w:rPr>
          <w:rStyle w:val="Appelnotedebasdep"/>
        </w:rPr>
        <w:footnoteReference w:id="1435"/>
      </w:r>
      <w:r w:rsidR="000460ED" w:rsidRPr="00E72418">
        <w:t>.</w:t>
      </w:r>
    </w:p>
    <w:p w14:paraId="56FCF31A" w14:textId="27AF31A8" w:rsidR="000460ED" w:rsidRPr="00E72418" w:rsidRDefault="000460ED" w:rsidP="00CC4BA8">
      <w:pPr>
        <w:spacing w:line="276" w:lineRule="auto"/>
      </w:pPr>
      <w:r w:rsidRPr="00E72418">
        <w:t xml:space="preserve">Les clauses d’action collective ne permettent de déjouer les actions des fonds spéculatifs que lorsque la restructuration est acceptée. Ainsi, elles ne </w:t>
      </w:r>
      <w:r w:rsidR="001746D3" w:rsidRPr="00E72418">
        <w:t xml:space="preserve">protègent </w:t>
      </w:r>
      <w:r w:rsidR="00B1549F" w:rsidRPr="00E72418">
        <w:t xml:space="preserve">en principe </w:t>
      </w:r>
      <w:r w:rsidR="001746D3" w:rsidRPr="00E72418">
        <w:t>pas</w:t>
      </w:r>
      <w:r w:rsidRPr="00E72418">
        <w:t xml:space="preserve"> l’</w:t>
      </w:r>
      <w:r w:rsidRPr="00E72418">
        <w:rPr>
          <w:lang w:eastAsia="fr-BE"/>
        </w:rPr>
        <w:t>É</w:t>
      </w:r>
      <w:r w:rsidRPr="00E72418">
        <w:t>tat débiteur de leurs actions avant que la restructuration ne soit entérinée</w:t>
      </w:r>
      <w:r w:rsidRPr="00E72418">
        <w:rPr>
          <w:rStyle w:val="Appelnotedebasdep"/>
        </w:rPr>
        <w:footnoteReference w:id="1436"/>
      </w:r>
      <w:r w:rsidRPr="00E72418">
        <w:t>. Ironie de la solution, la présence de clauses d’action collective et les négociations qu’elles impliquent sont de nature à retarder le processus de restructuration</w:t>
      </w:r>
      <w:r w:rsidRPr="00E72418">
        <w:rPr>
          <w:rStyle w:val="Appelnotedebasdep"/>
        </w:rPr>
        <w:footnoteReference w:id="1437"/>
      </w:r>
      <w:r w:rsidRPr="00E72418">
        <w:t>.</w:t>
      </w:r>
    </w:p>
    <w:p w14:paraId="37059714" w14:textId="77777777" w:rsidR="00363474" w:rsidRPr="00E72418" w:rsidRDefault="00363474" w:rsidP="009B2B07"/>
    <w:p w14:paraId="388049B4" w14:textId="513C621B" w:rsidR="00BE1B1A" w:rsidRPr="00E72418" w:rsidRDefault="004469AC" w:rsidP="00CC4BA8">
      <w:pPr>
        <w:spacing w:line="276" w:lineRule="auto"/>
        <w:rPr>
          <w:rFonts w:cs="Times New Roman"/>
          <w:szCs w:val="24"/>
        </w:rPr>
      </w:pPr>
      <w:r w:rsidRPr="00E72418">
        <w:rPr>
          <w:rFonts w:cs="Times New Roman"/>
          <w:b/>
          <w:szCs w:val="24"/>
        </w:rPr>
        <w:lastRenderedPageBreak/>
        <w:t>289</w:t>
      </w:r>
      <w:r w:rsidR="00817D62" w:rsidRPr="00E72418">
        <w:rPr>
          <w:rFonts w:cs="Times New Roman"/>
          <w:b/>
          <w:szCs w:val="24"/>
        </w:rPr>
        <w:t xml:space="preserve">. </w:t>
      </w:r>
      <w:r w:rsidR="000460ED" w:rsidRPr="00E72418">
        <w:rPr>
          <w:rFonts w:cs="Times New Roman"/>
          <w:b/>
          <w:szCs w:val="24"/>
        </w:rPr>
        <w:t>Une généralisation longue et difficile –</w:t>
      </w:r>
      <w:r w:rsidR="000460ED" w:rsidRPr="00E72418">
        <w:rPr>
          <w:rFonts w:cs="Times New Roman"/>
          <w:szCs w:val="24"/>
        </w:rPr>
        <w:t xml:space="preserve"> </w:t>
      </w:r>
      <w:r w:rsidR="00A4394B" w:rsidRPr="00E72418">
        <w:rPr>
          <w:rFonts w:cs="Times New Roman"/>
          <w:szCs w:val="24"/>
        </w:rPr>
        <w:t xml:space="preserve">Quoique l’Assemblée générale des Nations Unies retienne comme </w:t>
      </w:r>
      <w:r w:rsidR="00A4394B" w:rsidRPr="00E72418">
        <w:t xml:space="preserve">principe fondamental des opérations de restructuration de la dette souveraine le fait qu’une minorité de créanciers ne </w:t>
      </w:r>
      <w:r w:rsidR="00363474" w:rsidRPr="00E72418">
        <w:t>pourrait compromettre, remettre en question ou autrement entraver</w:t>
      </w:r>
      <w:r w:rsidR="00A4394B" w:rsidRPr="00E72418">
        <w:rPr>
          <w:rStyle w:val="Appelnotedebasdep"/>
          <w:rFonts w:cs="Times New Roman"/>
          <w:szCs w:val="24"/>
        </w:rPr>
        <w:t xml:space="preserve"> </w:t>
      </w:r>
      <w:r w:rsidR="00363474" w:rsidRPr="00E72418">
        <w:rPr>
          <w:rFonts w:cs="Times New Roman"/>
          <w:szCs w:val="24"/>
        </w:rPr>
        <w:t xml:space="preserve">un accord de restructuration décidé par une majorité de créanciers, ce principe </w:t>
      </w:r>
      <w:r w:rsidR="00BE1B1A" w:rsidRPr="00E72418">
        <w:rPr>
          <w:rFonts w:cs="Times New Roman"/>
          <w:szCs w:val="24"/>
        </w:rPr>
        <w:t xml:space="preserve">énoncé ne nous </w:t>
      </w:r>
      <w:r w:rsidR="00363474" w:rsidRPr="00E72418">
        <w:rPr>
          <w:rFonts w:cs="Times New Roman"/>
          <w:szCs w:val="24"/>
        </w:rPr>
        <w:t>para</w:t>
      </w:r>
      <w:r w:rsidR="00BE1B1A" w:rsidRPr="00E72418">
        <w:rPr>
          <w:rFonts w:cs="Times New Roman"/>
          <w:szCs w:val="24"/>
        </w:rPr>
        <w:t xml:space="preserve">ît pas, à lui seul, être porteur d’une règle qui s’imposerait dans les contrats non pourvus </w:t>
      </w:r>
      <w:r w:rsidR="00BE1B1A" w:rsidRPr="00E72418">
        <w:rPr>
          <w:rFonts w:cs="Times New Roman"/>
          <w:i/>
          <w:szCs w:val="24"/>
        </w:rPr>
        <w:t>expressis verbis</w:t>
      </w:r>
      <w:r w:rsidR="00BE1B1A" w:rsidRPr="00E72418">
        <w:rPr>
          <w:rFonts w:cs="Times New Roman"/>
          <w:szCs w:val="24"/>
        </w:rPr>
        <w:t xml:space="preserve"> d’une clause d’action collective</w:t>
      </w:r>
      <w:r w:rsidR="00BE1B1A" w:rsidRPr="00E72418">
        <w:rPr>
          <w:rStyle w:val="Appelnotedebasdep"/>
          <w:rFonts w:cs="Times New Roman"/>
          <w:szCs w:val="24"/>
        </w:rPr>
        <w:footnoteReference w:id="1438"/>
      </w:r>
      <w:r w:rsidR="00A4394B" w:rsidRPr="00E72418">
        <w:rPr>
          <w:rFonts w:cs="Times New Roman"/>
          <w:szCs w:val="24"/>
        </w:rPr>
        <w:t xml:space="preserve">. </w:t>
      </w:r>
    </w:p>
    <w:p w14:paraId="46E82FA0" w14:textId="09CAE912" w:rsidR="000651AC" w:rsidRPr="00E72418" w:rsidRDefault="000460ED" w:rsidP="00CC4BA8">
      <w:pPr>
        <w:spacing w:line="276" w:lineRule="auto"/>
        <w:rPr>
          <w:szCs w:val="24"/>
        </w:rPr>
      </w:pPr>
      <w:r w:rsidRPr="00E72418">
        <w:t xml:space="preserve">De nombreux anciens contrats </w:t>
      </w:r>
      <w:r w:rsidR="001746D3" w:rsidRPr="00E72418">
        <w:t xml:space="preserve">de dettes souveraines </w:t>
      </w:r>
      <w:r w:rsidRPr="00E72418">
        <w:t xml:space="preserve">ne contiennent pas de clause d’action collective </w:t>
      </w:r>
      <w:r w:rsidR="006C300E" w:rsidRPr="00E72418">
        <w:t xml:space="preserve">ce qui rend </w:t>
      </w:r>
      <w:r w:rsidRPr="00E72418">
        <w:t>les dettes qu’ils concernent susceptibles de contentieux</w:t>
      </w:r>
      <w:r w:rsidRPr="00E72418">
        <w:rPr>
          <w:rStyle w:val="Appelnotedebasdep"/>
        </w:rPr>
        <w:footnoteReference w:id="1439"/>
      </w:r>
      <w:r w:rsidRPr="00E72418">
        <w:t xml:space="preserve">. Se basant sur les chiffres de la Banque mondiale, </w:t>
      </w:r>
      <w:r w:rsidR="008C045F" w:rsidRPr="00E72418">
        <w:t xml:space="preserve">John </w:t>
      </w:r>
      <w:r w:rsidRPr="00E72418">
        <w:t>Muse-Fisher calculait en 2014 qu’il était raisonnable de retenir qu’existaient encore des milliards de dollars de dettes non pourvues de clauses d’action collective</w:t>
      </w:r>
      <w:r w:rsidRPr="00E72418">
        <w:rPr>
          <w:rStyle w:val="Appelnotedebasdep"/>
        </w:rPr>
        <w:footnoteReference w:id="1440"/>
      </w:r>
      <w:r w:rsidRPr="00E72418">
        <w:t xml:space="preserve">. </w:t>
      </w:r>
      <w:r w:rsidR="00822620" w:rsidRPr="00E72418">
        <w:t xml:space="preserve">Comme le notait </w:t>
      </w:r>
      <w:r w:rsidR="00865D15" w:rsidRPr="00E72418">
        <w:t xml:space="preserve">Daniel </w:t>
      </w:r>
      <w:r w:rsidR="00822620" w:rsidRPr="00E72418">
        <w:t>Brutti, « </w:t>
      </w:r>
      <w:r w:rsidR="00822620" w:rsidRPr="00E72418">
        <w:rPr>
          <w:rFonts w:cs="Times New Roman"/>
        </w:rPr>
        <w:t>[i]</w:t>
      </w:r>
      <w:r w:rsidR="00822620" w:rsidRPr="00E72418">
        <w:t>nnovations in bond-drafting practices will not take effect for decades, and markets have been disappointingly slow to adopt them »</w:t>
      </w:r>
      <w:r w:rsidR="00822620" w:rsidRPr="00E72418">
        <w:rPr>
          <w:rStyle w:val="Appelnotedebasdep"/>
        </w:rPr>
        <w:footnoteReference w:id="1441"/>
      </w:r>
      <w:r w:rsidR="00822620" w:rsidRPr="00E72418">
        <w:t xml:space="preserve">. Ainsi, </w:t>
      </w:r>
      <w:r w:rsidR="0030568D" w:rsidRPr="00E72418">
        <w:t xml:space="preserve">Caroline </w:t>
      </w:r>
      <w:r w:rsidRPr="00E72418">
        <w:rPr>
          <w:szCs w:val="24"/>
        </w:rPr>
        <w:t>Lequesne-Roth évaluait en 2018 à une dizaine d’années la généralisation de la clause</w:t>
      </w:r>
      <w:r w:rsidRPr="00E72418">
        <w:rPr>
          <w:rStyle w:val="Appelnotedebasdep"/>
          <w:szCs w:val="24"/>
        </w:rPr>
        <w:footnoteReference w:id="1442"/>
      </w:r>
      <w:r w:rsidRPr="00E72418">
        <w:rPr>
          <w:szCs w:val="24"/>
        </w:rPr>
        <w:t xml:space="preserve">. </w:t>
      </w:r>
      <w:r w:rsidR="000651AC" w:rsidRPr="00E72418">
        <w:rPr>
          <w:szCs w:val="24"/>
        </w:rPr>
        <w:t>Toutefois, l’on peut craindre que cette généralisation soit impossible au vu de recentes démarches entamées par des créanciers afin de contourner l’usage de ces clauses</w:t>
      </w:r>
      <w:r w:rsidR="000651AC" w:rsidRPr="00E72418">
        <w:rPr>
          <w:rStyle w:val="Appelnotedebasdep"/>
          <w:szCs w:val="24"/>
        </w:rPr>
        <w:footnoteReference w:id="1443"/>
      </w:r>
      <w:r w:rsidR="000651AC" w:rsidRPr="00E72418">
        <w:rPr>
          <w:szCs w:val="24"/>
        </w:rPr>
        <w:t>.</w:t>
      </w:r>
      <w:r w:rsidR="00293ED2" w:rsidRPr="00E72418">
        <w:rPr>
          <w:szCs w:val="24"/>
        </w:rPr>
        <w:t xml:space="preserve"> Il est encore à noter que de récentes nouvelles émissions sont intervenues sans qu’une telle clause n’y soit reprise</w:t>
      </w:r>
      <w:r w:rsidR="00293ED2" w:rsidRPr="00E72418">
        <w:rPr>
          <w:rStyle w:val="Appelnotedebasdep"/>
          <w:szCs w:val="24"/>
        </w:rPr>
        <w:footnoteReference w:id="1444"/>
      </w:r>
      <w:r w:rsidR="00293ED2" w:rsidRPr="00E72418">
        <w:rPr>
          <w:szCs w:val="24"/>
        </w:rPr>
        <w:t xml:space="preserve">. </w:t>
      </w:r>
    </w:p>
    <w:p w14:paraId="779F0AFC" w14:textId="286D165F" w:rsidR="000460ED" w:rsidRPr="00E72418" w:rsidRDefault="000460ED" w:rsidP="00CC4BA8">
      <w:pPr>
        <w:spacing w:line="276" w:lineRule="auto"/>
      </w:pPr>
      <w:r w:rsidRPr="00E72418">
        <w:rPr>
          <w:szCs w:val="24"/>
        </w:rPr>
        <w:t>Par ailleurs, l</w:t>
      </w:r>
      <w:r w:rsidRPr="00E72418">
        <w:t xml:space="preserve">es </w:t>
      </w:r>
      <w:r w:rsidRPr="00E72418">
        <w:rPr>
          <w:rFonts w:cs="Times New Roman"/>
          <w:shd w:val="clear" w:color="auto" w:fill="FFFFFF"/>
        </w:rPr>
        <w:t>É</w:t>
      </w:r>
      <w:r w:rsidRPr="00E72418">
        <w:t>tats en développement ne disposent pas toujours des ressources juridiques suffisantes pour s’assurer que leurs émissions de dette sont dûment protégées</w:t>
      </w:r>
      <w:r w:rsidRPr="00E72418">
        <w:rPr>
          <w:rStyle w:val="Appelnotedebasdep"/>
        </w:rPr>
        <w:footnoteReference w:id="1445"/>
      </w:r>
      <w:r w:rsidRPr="00E72418">
        <w:t xml:space="preserve">. Comme pour </w:t>
      </w:r>
      <w:r w:rsidRPr="00E72418">
        <w:lastRenderedPageBreak/>
        <w:t xml:space="preserve">toutes les mesures qui restreignent les droits des créanciers, </w:t>
      </w:r>
      <w:r w:rsidR="00A50A7E" w:rsidRPr="00E72418">
        <w:t xml:space="preserve">les </w:t>
      </w:r>
      <w:r w:rsidR="00A50A7E" w:rsidRPr="00E72418">
        <w:rPr>
          <w:lang w:eastAsia="fr-BE"/>
        </w:rPr>
        <w:t>É</w:t>
      </w:r>
      <w:r w:rsidRPr="00E72418">
        <w:t xml:space="preserve">tats débiteurs peuvent </w:t>
      </w:r>
      <w:r w:rsidR="006032C9" w:rsidRPr="00E72418">
        <w:t>craindre que les limitations de ces</w:t>
      </w:r>
      <w:r w:rsidRPr="00E72418">
        <w:t xml:space="preserve"> droits qu’occasionnent les clauses d’action collective se traduisent par une augmentation du coût du capital. </w:t>
      </w:r>
      <w:r w:rsidR="0030568D" w:rsidRPr="00E72418">
        <w:t xml:space="preserve">Caroline </w:t>
      </w:r>
      <w:r w:rsidRPr="00E72418">
        <w:t xml:space="preserve">Lequesne-Roth </w:t>
      </w:r>
      <w:r w:rsidR="00AB51CE" w:rsidRPr="00E72418">
        <w:t xml:space="preserve">remarque </w:t>
      </w:r>
      <w:r w:rsidR="006032C9" w:rsidRPr="00E72418">
        <w:t xml:space="preserve">ainsi </w:t>
      </w:r>
      <w:r w:rsidRPr="00E72418">
        <w:t xml:space="preserve">l’aversion de certains </w:t>
      </w:r>
      <w:r w:rsidRPr="00E72418">
        <w:rPr>
          <w:lang w:eastAsia="fr-BE"/>
        </w:rPr>
        <w:t>É</w:t>
      </w:r>
      <w:r w:rsidRPr="00E72418">
        <w:t>tats de recourir à de telles clauses, l’auteur</w:t>
      </w:r>
      <w:r w:rsidR="00DC7917" w:rsidRPr="00E72418">
        <w:t>e</w:t>
      </w:r>
      <w:r w:rsidRPr="00E72418">
        <w:t xml:space="preserve"> relevant que « [s]ur le marché compétitif de la dette publique, la physionomie du contrat conditionne le coût de l’emprunt et les dispositions favorables aux créanciers sont autant d’éléments d’attractivité »</w:t>
      </w:r>
      <w:r w:rsidRPr="00E72418">
        <w:rPr>
          <w:rStyle w:val="Appelnotedebasdep"/>
          <w:rFonts w:cs="Times New Roman"/>
          <w:szCs w:val="24"/>
        </w:rPr>
        <w:footnoteReference w:id="1446"/>
      </w:r>
      <w:r w:rsidRPr="00E72418">
        <w:t>.</w:t>
      </w:r>
    </w:p>
    <w:p w14:paraId="7C000151" w14:textId="77777777" w:rsidR="00D9672A" w:rsidRPr="00E72418" w:rsidRDefault="00D9672A" w:rsidP="00CC4BA8">
      <w:pPr>
        <w:spacing w:line="276" w:lineRule="auto"/>
      </w:pPr>
    </w:p>
    <w:p w14:paraId="4EBC8BE1" w14:textId="3EA690F3" w:rsidR="00A62443" w:rsidRPr="00E72418" w:rsidRDefault="004469AC" w:rsidP="00CC4BA8">
      <w:pPr>
        <w:spacing w:line="276" w:lineRule="auto"/>
        <w:rPr>
          <w:rFonts w:cs="Times New Roman"/>
          <w:szCs w:val="24"/>
        </w:rPr>
      </w:pPr>
      <w:r w:rsidRPr="00E72418">
        <w:rPr>
          <w:rFonts w:cs="Times New Roman"/>
          <w:b/>
          <w:szCs w:val="24"/>
        </w:rPr>
        <w:t>290</w:t>
      </w:r>
      <w:r w:rsidR="00817D62" w:rsidRPr="00E72418">
        <w:rPr>
          <w:rFonts w:cs="Times New Roman"/>
          <w:b/>
          <w:szCs w:val="24"/>
        </w:rPr>
        <w:t xml:space="preserve">. </w:t>
      </w:r>
      <w:r w:rsidR="00A62443" w:rsidRPr="00E72418">
        <w:rPr>
          <w:rFonts w:cs="Times New Roman"/>
          <w:b/>
          <w:szCs w:val="24"/>
        </w:rPr>
        <w:t>Des</w:t>
      </w:r>
      <w:r w:rsidR="006032C9" w:rsidRPr="00E72418">
        <w:rPr>
          <w:rFonts w:cs="Times New Roman"/>
          <w:b/>
          <w:szCs w:val="24"/>
        </w:rPr>
        <w:t xml:space="preserve"> majorités parfois difficiles </w:t>
      </w:r>
      <w:r w:rsidR="006C300E" w:rsidRPr="00E72418">
        <w:rPr>
          <w:rFonts w:cs="Times New Roman"/>
          <w:b/>
          <w:szCs w:val="24"/>
        </w:rPr>
        <w:t>à atteindre</w:t>
      </w:r>
      <w:r w:rsidR="00A62443" w:rsidRPr="00E72418">
        <w:rPr>
          <w:rFonts w:cs="Times New Roman"/>
          <w:b/>
          <w:szCs w:val="24"/>
        </w:rPr>
        <w:t xml:space="preserve"> –</w:t>
      </w:r>
      <w:r w:rsidR="00A62443" w:rsidRPr="00E72418">
        <w:rPr>
          <w:rFonts w:cs="Times New Roman"/>
          <w:szCs w:val="24"/>
        </w:rPr>
        <w:t xml:space="preserve"> L’activation des clauses d’action collective dépend de l’accord d’un certain </w:t>
      </w:r>
      <w:r w:rsidR="006032C9" w:rsidRPr="00E72418">
        <w:rPr>
          <w:rFonts w:cs="Times New Roman"/>
          <w:szCs w:val="24"/>
        </w:rPr>
        <w:t>nombre de créanciers et l</w:t>
      </w:r>
      <w:r w:rsidR="00A62443" w:rsidRPr="00E72418">
        <w:rPr>
          <w:rFonts w:cs="Times New Roman"/>
          <w:szCs w:val="24"/>
        </w:rPr>
        <w:t xml:space="preserve">es majorités prévues </w:t>
      </w:r>
      <w:r w:rsidR="006032C9" w:rsidRPr="00E72418">
        <w:rPr>
          <w:rFonts w:cs="Times New Roman"/>
          <w:szCs w:val="24"/>
        </w:rPr>
        <w:t xml:space="preserve">permettent </w:t>
      </w:r>
      <w:r w:rsidR="00A62443" w:rsidRPr="00E72418">
        <w:rPr>
          <w:rFonts w:cs="Times New Roman"/>
          <w:szCs w:val="24"/>
        </w:rPr>
        <w:t xml:space="preserve">la constitution de </w:t>
      </w:r>
      <w:r w:rsidR="00372DFE">
        <w:rPr>
          <w:rFonts w:cs="Times New Roman"/>
          <w:szCs w:val="24"/>
        </w:rPr>
        <w:t>positions</w:t>
      </w:r>
      <w:r w:rsidR="00A62443" w:rsidRPr="00E72418">
        <w:rPr>
          <w:rFonts w:cs="Times New Roman"/>
          <w:szCs w:val="24"/>
        </w:rPr>
        <w:t xml:space="preserve"> de blocage</w:t>
      </w:r>
      <w:r w:rsidR="00A62443" w:rsidRPr="00E72418">
        <w:rPr>
          <w:rStyle w:val="Appelnotedebasdep"/>
          <w:rFonts w:cs="Times New Roman"/>
          <w:szCs w:val="24"/>
        </w:rPr>
        <w:footnoteReference w:id="1447"/>
      </w:r>
      <w:r w:rsidR="00A62443" w:rsidRPr="00E72418">
        <w:rPr>
          <w:rFonts w:cs="Times New Roman"/>
          <w:szCs w:val="24"/>
        </w:rPr>
        <w:t>. L</w:t>
      </w:r>
      <w:r w:rsidR="00A62443" w:rsidRPr="00E72418">
        <w:rPr>
          <w:szCs w:val="24"/>
        </w:rPr>
        <w:t>es créanciers récalcitrants peuvent ainsi entreprendre de convaincre d’autres créanciers de s’associer à eux</w:t>
      </w:r>
      <w:r w:rsidR="00A62443" w:rsidRPr="00E72418">
        <w:rPr>
          <w:rStyle w:val="Appelnotedebasdep"/>
          <w:szCs w:val="24"/>
        </w:rPr>
        <w:footnoteReference w:id="1448"/>
      </w:r>
      <w:r w:rsidR="00A62443" w:rsidRPr="00E72418">
        <w:rPr>
          <w:szCs w:val="24"/>
        </w:rPr>
        <w:t>. Ils peuvent également chercher à faire l’acquisition de suffisamment de titres pour constituer à eux seuls une telle minorité</w:t>
      </w:r>
      <w:r w:rsidR="00A62443" w:rsidRPr="00E72418">
        <w:rPr>
          <w:rStyle w:val="Appelnotedebasdep"/>
          <w:szCs w:val="24"/>
        </w:rPr>
        <w:footnoteReference w:id="1449"/>
      </w:r>
      <w:r w:rsidR="00A62443" w:rsidRPr="00E72418">
        <w:rPr>
          <w:rFonts w:cs="Times New Roman"/>
          <w:szCs w:val="24"/>
        </w:rPr>
        <w:t xml:space="preserve">. Dans ce dernier cas, des créanciers </w:t>
      </w:r>
      <w:r w:rsidR="00A62443" w:rsidRPr="00E72418">
        <w:rPr>
          <w:rFonts w:cs="Times New Roman"/>
          <w:i/>
          <w:szCs w:val="24"/>
        </w:rPr>
        <w:t>a priori</w:t>
      </w:r>
      <w:r w:rsidR="00A62443" w:rsidRPr="00E72418">
        <w:rPr>
          <w:rFonts w:cs="Times New Roman"/>
          <w:szCs w:val="24"/>
        </w:rPr>
        <w:t xml:space="preserve"> conciliants pourraient accepter de céder leurs titres à des créanciers récalcitrants qui leur en offriraient un montant légèrement supérieur à celui qu’ils recevraient si la restructuration devait intervenir</w:t>
      </w:r>
      <w:r w:rsidR="00A62443" w:rsidRPr="00E72418">
        <w:rPr>
          <w:rStyle w:val="Appelnotedebasdep"/>
          <w:szCs w:val="24"/>
        </w:rPr>
        <w:footnoteReference w:id="1450"/>
      </w:r>
      <w:r w:rsidR="00A62443" w:rsidRPr="00E72418">
        <w:rPr>
          <w:rFonts w:cs="Times New Roman"/>
          <w:szCs w:val="24"/>
        </w:rPr>
        <w:t>.</w:t>
      </w:r>
    </w:p>
    <w:p w14:paraId="324F0437" w14:textId="79CC4005" w:rsidR="00A62443" w:rsidRPr="00E72418" w:rsidRDefault="00A62443" w:rsidP="00CC4BA8">
      <w:pPr>
        <w:spacing w:line="276" w:lineRule="auto"/>
      </w:pPr>
      <w:r w:rsidRPr="00E72418">
        <w:t xml:space="preserve">Un autre problème </w:t>
      </w:r>
      <w:r w:rsidR="00177BBC" w:rsidRPr="00E72418">
        <w:t>des</w:t>
      </w:r>
      <w:r w:rsidRPr="00E72418">
        <w:t xml:space="preserve"> clauses d’action collective lié aux majorités à </w:t>
      </w:r>
      <w:r w:rsidR="00177BBC" w:rsidRPr="00E72418">
        <w:t>obtenir</w:t>
      </w:r>
      <w:r w:rsidRPr="00E72418">
        <w:t xml:space="preserve"> e</w:t>
      </w:r>
      <w:r w:rsidR="00177BBC" w:rsidRPr="00E72418">
        <w:t xml:space="preserve">st que nombre de ces clauses n’obligent </w:t>
      </w:r>
      <w:r w:rsidRPr="00E72418">
        <w:t>que les créanciers d’une même émission</w:t>
      </w:r>
      <w:r w:rsidRPr="00E72418">
        <w:rPr>
          <w:rStyle w:val="Appelnotedebasdep"/>
          <w:rFonts w:cs="Times New Roman"/>
          <w:szCs w:val="24"/>
        </w:rPr>
        <w:footnoteReference w:id="1451"/>
      </w:r>
      <w:r w:rsidR="00177BBC" w:rsidRPr="00E72418">
        <w:t>. Dès lors que les</w:t>
      </w:r>
      <w:r w:rsidRPr="00E72418">
        <w:t xml:space="preserve"> dette</w:t>
      </w:r>
      <w:r w:rsidR="00177BBC" w:rsidRPr="00E72418">
        <w:t>s</w:t>
      </w:r>
      <w:r w:rsidRPr="00E72418">
        <w:t xml:space="preserve"> souveraine</w:t>
      </w:r>
      <w:r w:rsidR="00177BBC" w:rsidRPr="00E72418">
        <w:t>s</w:t>
      </w:r>
      <w:r w:rsidRPr="00E72418">
        <w:t xml:space="preserve"> </w:t>
      </w:r>
      <w:r w:rsidR="00177BBC" w:rsidRPr="00E72418">
        <w:t>sont</w:t>
      </w:r>
      <w:r w:rsidRPr="00E72418">
        <w:t xml:space="preserve"> souvent faite</w:t>
      </w:r>
      <w:r w:rsidR="00177BBC" w:rsidRPr="00E72418">
        <w:t>s</w:t>
      </w:r>
      <w:r w:rsidRPr="00E72418">
        <w:t xml:space="preserve"> de multiples émissions,</w:t>
      </w:r>
      <w:r w:rsidR="00B333B4" w:rsidRPr="00E72418">
        <w:t xml:space="preserve"> lesquelles peuvent comporter des clauses d’action collective à teneur différente</w:t>
      </w:r>
      <w:r w:rsidR="00B333B4" w:rsidRPr="00E72418">
        <w:rPr>
          <w:rStyle w:val="Appelnotedebasdep"/>
        </w:rPr>
        <w:footnoteReference w:id="1452"/>
      </w:r>
      <w:r w:rsidR="00B333B4" w:rsidRPr="00E72418">
        <w:t>,</w:t>
      </w:r>
      <w:r w:rsidRPr="00E72418">
        <w:t xml:space="preserve"> des fonds spéculatifs détenant une majorité </w:t>
      </w:r>
      <w:r w:rsidRPr="00E72418">
        <w:lastRenderedPageBreak/>
        <w:t>dans une seule d’entre elles sont en mesure de faire échouer la restructuration de l’ensemble de l’encours</w:t>
      </w:r>
      <w:r w:rsidRPr="00E72418">
        <w:rPr>
          <w:rStyle w:val="Appelnotedebasdep"/>
        </w:rPr>
        <w:footnoteReference w:id="1453"/>
      </w:r>
      <w:r w:rsidRPr="00E72418">
        <w:t xml:space="preserve">. Si la solution à ce problème particulier est </w:t>
      </w:r>
      <w:r w:rsidR="00372DFE">
        <w:t xml:space="preserve">sans doute </w:t>
      </w:r>
      <w:r w:rsidRPr="00E72418">
        <w:t>à trouver dans les clauses d’agrégation, il reste que celles-ci n</w:t>
      </w:r>
      <w:r w:rsidR="00372DFE">
        <w:t>e sont pas encore généralisées.</w:t>
      </w:r>
    </w:p>
    <w:p w14:paraId="03328D03" w14:textId="77777777" w:rsidR="00075B8A" w:rsidRPr="00E72418" w:rsidRDefault="00075B8A" w:rsidP="00CC4BA8">
      <w:pPr>
        <w:spacing w:line="276" w:lineRule="auto"/>
      </w:pPr>
    </w:p>
    <w:p w14:paraId="31CC0FCD" w14:textId="77777777" w:rsidR="00A02DAE" w:rsidRPr="00E72418" w:rsidRDefault="00A02DAE" w:rsidP="00CC4BA8">
      <w:pPr>
        <w:spacing w:line="276" w:lineRule="auto"/>
      </w:pPr>
    </w:p>
    <w:p w14:paraId="642F951E" w14:textId="01063A7C" w:rsidR="005F6F52" w:rsidRPr="00E72418" w:rsidRDefault="003C32DE" w:rsidP="00CC4BA8">
      <w:pPr>
        <w:pStyle w:val="BB"/>
        <w:spacing w:afterLines="60" w:after="144" w:line="276" w:lineRule="auto"/>
      </w:pPr>
      <w:bookmarkStart w:id="342" w:name="_Toc59280980"/>
      <w:bookmarkStart w:id="343" w:name="_Toc75106109"/>
      <w:bookmarkStart w:id="344" w:name="_Toc84540971"/>
      <w:r w:rsidRPr="00E72418">
        <w:t xml:space="preserve">Titre 2 : </w:t>
      </w:r>
      <w:r w:rsidR="005F6F52" w:rsidRPr="00E72418">
        <w:t>Les solutions directes</w:t>
      </w:r>
      <w:bookmarkEnd w:id="335"/>
      <w:bookmarkEnd w:id="342"/>
      <w:bookmarkEnd w:id="343"/>
      <w:bookmarkEnd w:id="344"/>
    </w:p>
    <w:p w14:paraId="10787D0A" w14:textId="77777777" w:rsidR="00D20A45" w:rsidRPr="00E72418" w:rsidRDefault="00D20A45" w:rsidP="009B2B07"/>
    <w:p w14:paraId="4548EC8A" w14:textId="09F28EB7" w:rsidR="00043932" w:rsidRPr="00E72418" w:rsidRDefault="004469AC" w:rsidP="00CC4BA8">
      <w:pPr>
        <w:spacing w:line="276" w:lineRule="auto"/>
      </w:pPr>
      <w:r w:rsidRPr="00E72418">
        <w:rPr>
          <w:b/>
        </w:rPr>
        <w:t>291</w:t>
      </w:r>
      <w:r w:rsidR="00817D62" w:rsidRPr="00E72418">
        <w:rPr>
          <w:b/>
        </w:rPr>
        <w:t xml:space="preserve">. </w:t>
      </w:r>
      <w:r w:rsidR="00EA0EBD" w:rsidRPr="00E72418">
        <w:rPr>
          <w:b/>
        </w:rPr>
        <w:t>Une solution topique</w:t>
      </w:r>
      <w:r w:rsidR="00EA0EBD" w:rsidRPr="00E72418">
        <w:t xml:space="preserve"> </w:t>
      </w:r>
      <w:r w:rsidR="00EA0EBD" w:rsidRPr="00E72418">
        <w:rPr>
          <w:b/>
        </w:rPr>
        <w:t xml:space="preserve">– </w:t>
      </w:r>
      <w:r w:rsidR="00043932" w:rsidRPr="00E72418">
        <w:t xml:space="preserve">Lors de l’examen que les juges </w:t>
      </w:r>
      <w:r w:rsidR="009C3394" w:rsidRPr="00E72418">
        <w:t>nationaux sont amenés à faire des</w:t>
      </w:r>
      <w:r w:rsidR="00043932" w:rsidRPr="00E72418">
        <w:t xml:space="preserve"> contentieux qui leur </w:t>
      </w:r>
      <w:r w:rsidR="009C3394" w:rsidRPr="00E72418">
        <w:t>sont</w:t>
      </w:r>
      <w:r w:rsidR="00043932" w:rsidRPr="00E72418">
        <w:t xml:space="preserve"> soumis</w:t>
      </w:r>
      <w:r w:rsidR="009C3394" w:rsidRPr="00E72418">
        <w:t xml:space="preserve"> par des fonds spéculatifs et qui ont généralement </w:t>
      </w:r>
      <w:r w:rsidR="00043932" w:rsidRPr="00E72418">
        <w:t xml:space="preserve">trait à </w:t>
      </w:r>
      <w:r w:rsidR="009C3394" w:rsidRPr="00E72418">
        <w:t>des</w:t>
      </w:r>
      <w:r w:rsidR="00043932" w:rsidRPr="00E72418">
        <w:t xml:space="preserve"> restructuration</w:t>
      </w:r>
      <w:r w:rsidR="009C3394" w:rsidRPr="00E72418">
        <w:t>s</w:t>
      </w:r>
      <w:r w:rsidR="00043932" w:rsidRPr="00E72418">
        <w:t xml:space="preserve"> </w:t>
      </w:r>
      <w:r w:rsidR="009C3394" w:rsidRPr="00E72418">
        <w:t>de</w:t>
      </w:r>
      <w:r w:rsidR="00043932" w:rsidRPr="00E72418">
        <w:t xml:space="preserve"> dette</w:t>
      </w:r>
      <w:r w:rsidR="009C3394" w:rsidRPr="00E72418">
        <w:t>s</w:t>
      </w:r>
      <w:r w:rsidR="00043932" w:rsidRPr="00E72418">
        <w:t xml:space="preserve"> souveraine</w:t>
      </w:r>
      <w:r w:rsidR="009C3394" w:rsidRPr="00E72418">
        <w:t>s</w:t>
      </w:r>
      <w:r w:rsidR="00043932" w:rsidRPr="00E72418">
        <w:t xml:space="preserve">, </w:t>
      </w:r>
      <w:r w:rsidR="009C3394" w:rsidRPr="00E72418">
        <w:t>les magistrats</w:t>
      </w:r>
      <w:r w:rsidR="00043932" w:rsidRPr="00E72418">
        <w:t xml:space="preserve"> </w:t>
      </w:r>
      <w:r w:rsidR="009C3394" w:rsidRPr="00E72418">
        <w:t>doivent</w:t>
      </w:r>
      <w:r w:rsidR="00043932" w:rsidRPr="00E72418">
        <w:t xml:space="preserve"> être attentifs à toute une série de normes de nature à baliser leur décision. Parmi celles-ci, l’on retrouve notamment les règles adoptées par l</w:t>
      </w:r>
      <w:r w:rsidR="00FC4E03" w:rsidRPr="00E72418">
        <w:t>’</w:t>
      </w:r>
      <w:r w:rsidR="00FC4E03" w:rsidRPr="00E72418">
        <w:rPr>
          <w:rFonts w:ascii="Times New Roman" w:hAnsi="Times New Roman" w:cs="Times New Roman"/>
          <w:lang w:eastAsia="fr-BE"/>
        </w:rPr>
        <w:t>É</w:t>
      </w:r>
      <w:r w:rsidR="00043932" w:rsidRPr="00E72418">
        <w:t>tat débiteur</w:t>
      </w:r>
      <w:r w:rsidR="009C3394" w:rsidRPr="00E72418">
        <w:t xml:space="preserve"> poursuivi</w:t>
      </w:r>
      <w:r w:rsidR="00043932" w:rsidRPr="00E72418">
        <w:t xml:space="preserve"> visant à permettre la restructuration de sa dette. Ces lois</w:t>
      </w:r>
      <w:r w:rsidR="009C3394" w:rsidRPr="00E72418">
        <w:t>,</w:t>
      </w:r>
      <w:r w:rsidR="00043932" w:rsidRPr="00E72418">
        <w:t xml:space="preserve"> </w:t>
      </w:r>
      <w:r w:rsidR="009C3394" w:rsidRPr="00E72418">
        <w:t>adoptées dans l’</w:t>
      </w:r>
      <w:r w:rsidR="00043932" w:rsidRPr="00E72418">
        <w:t>intérêt général</w:t>
      </w:r>
      <w:r w:rsidR="009C3394" w:rsidRPr="00E72418">
        <w:t>,</w:t>
      </w:r>
      <w:r w:rsidR="00043932" w:rsidRPr="00E72418">
        <w:t xml:space="preserve"> </w:t>
      </w:r>
      <w:r w:rsidR="009C3394" w:rsidRPr="00E72418">
        <w:t xml:space="preserve">se voient généralement reconnaître un caractère </w:t>
      </w:r>
      <w:r w:rsidR="002730DB" w:rsidRPr="00E72418">
        <w:t>impératif</w:t>
      </w:r>
      <w:r w:rsidR="009C3394" w:rsidRPr="00E72418">
        <w:t xml:space="preserve"> notamment en raison de l’applicabilité </w:t>
      </w:r>
      <w:r w:rsidR="0067312A" w:rsidRPr="00E72418">
        <w:t xml:space="preserve">que les </w:t>
      </w:r>
      <w:r w:rsidR="0067312A" w:rsidRPr="00E72418">
        <w:rPr>
          <w:rFonts w:cs="Times New Roman"/>
          <w:szCs w:val="24"/>
        </w:rPr>
        <w:t>É</w:t>
      </w:r>
      <w:r w:rsidR="009C3394" w:rsidRPr="00E72418">
        <w:t>tats débiteurs entendent leur voir donnée</w:t>
      </w:r>
      <w:r w:rsidR="009C3394" w:rsidRPr="00E72418">
        <w:rPr>
          <w:rStyle w:val="Appelnotedebasdep"/>
        </w:rPr>
        <w:footnoteReference w:id="1454"/>
      </w:r>
      <w:r w:rsidR="009C3394" w:rsidRPr="00E72418">
        <w:t xml:space="preserve">. </w:t>
      </w:r>
      <w:r w:rsidR="00767BB0" w:rsidRPr="00E72418">
        <w:t>La présente recherche ne porte pas sur la réception de ces législations lesquelles, généralement, modifient les contrats d’émission, répudient unilatéralement une dette ou imposent un moratoire</w:t>
      </w:r>
      <w:r w:rsidR="00767BB0" w:rsidRPr="00E72418">
        <w:rPr>
          <w:rStyle w:val="Appelnotedebasdep"/>
        </w:rPr>
        <w:footnoteReference w:id="1455"/>
      </w:r>
      <w:r w:rsidR="00767BB0" w:rsidRPr="00E72418">
        <w:t>. Quoique, selon le sort qui leur est réservé par les juges nationaux saisis, il puisse s’en dégager un traitement adap</w:t>
      </w:r>
      <w:r w:rsidR="00FC4E03" w:rsidRPr="00E72418">
        <w:t>té à la crise rencontrée par l’</w:t>
      </w:r>
      <w:r w:rsidR="00FC4E03" w:rsidRPr="00E72418">
        <w:rPr>
          <w:rFonts w:ascii="Times New Roman" w:hAnsi="Times New Roman" w:cs="Times New Roman"/>
          <w:lang w:eastAsia="fr-BE"/>
        </w:rPr>
        <w:t>É</w:t>
      </w:r>
      <w:r w:rsidR="00767BB0" w:rsidRPr="00E72418">
        <w:t xml:space="preserve">tat poursuivi, notre recherche portant sur les activités spéculatives sur les dettes souveraines, nous nous concentrons sur les </w:t>
      </w:r>
      <w:r w:rsidR="00802A9E" w:rsidRPr="00E72418">
        <w:t xml:space="preserve">lois </w:t>
      </w:r>
      <w:r w:rsidR="00464E90" w:rsidRPr="00E72418">
        <w:t>dont l’unique objectif affirmé est celui de</w:t>
      </w:r>
      <w:r w:rsidR="00767BB0" w:rsidRPr="00E72418">
        <w:t xml:space="preserve"> </w:t>
      </w:r>
      <w:r w:rsidR="00D84FB8" w:rsidRPr="00E72418">
        <w:t xml:space="preserve">régler </w:t>
      </w:r>
      <w:r w:rsidR="00767BB0" w:rsidRPr="00E72418">
        <w:t>ces activités</w:t>
      </w:r>
      <w:r w:rsidR="00464E90" w:rsidRPr="00E72418">
        <w:rPr>
          <w:rStyle w:val="Appelnotedebasdep"/>
        </w:rPr>
        <w:footnoteReference w:id="1456"/>
      </w:r>
      <w:r w:rsidR="00767BB0" w:rsidRPr="00E72418">
        <w:t xml:space="preserve">. </w:t>
      </w:r>
      <w:r w:rsidR="00EC4FA9" w:rsidRPr="00E72418">
        <w:t xml:space="preserve">L’utilité de ces </w:t>
      </w:r>
      <w:r w:rsidR="00402CF0" w:rsidRPr="00E72418">
        <w:t>législations</w:t>
      </w:r>
      <w:r w:rsidR="00EC4FA9" w:rsidRPr="00E72418">
        <w:t xml:space="preserve"> interpelle lorsque l’on sait qu’en ce qui concerne les difficultés entourant les dettes souveraines, la </w:t>
      </w:r>
      <w:r w:rsidR="00EC4FA9" w:rsidRPr="00E72418">
        <w:rPr>
          <w:i/>
        </w:rPr>
        <w:t>statutory approach</w:t>
      </w:r>
      <w:r w:rsidR="00EC4FA9" w:rsidRPr="00E72418">
        <w:t xml:space="preserve"> peine à aboutir tandis que la pleine opération de la </w:t>
      </w:r>
      <w:r w:rsidR="00EC4FA9" w:rsidRPr="00E72418">
        <w:rPr>
          <w:i/>
        </w:rPr>
        <w:t>contractual approach</w:t>
      </w:r>
      <w:r w:rsidR="00EC4FA9" w:rsidRPr="00E72418">
        <w:t xml:space="preserve"> prendra du temps. </w:t>
      </w:r>
    </w:p>
    <w:p w14:paraId="23AA57E0" w14:textId="77777777" w:rsidR="00043932" w:rsidRPr="00E72418" w:rsidRDefault="00043932" w:rsidP="009B2B07"/>
    <w:p w14:paraId="796193A3" w14:textId="4AB3F37F" w:rsidR="005B51D3" w:rsidRPr="00E72418" w:rsidRDefault="007F038F" w:rsidP="00CC4BA8">
      <w:pPr>
        <w:spacing w:line="276" w:lineRule="auto"/>
      </w:pPr>
      <w:r w:rsidRPr="00E72418">
        <w:rPr>
          <w:b/>
        </w:rPr>
        <w:t>29</w:t>
      </w:r>
      <w:r w:rsidR="004469AC" w:rsidRPr="00E72418">
        <w:rPr>
          <w:b/>
        </w:rPr>
        <w:t>2</w:t>
      </w:r>
      <w:r w:rsidR="00817D62" w:rsidRPr="00E72418">
        <w:rPr>
          <w:b/>
        </w:rPr>
        <w:t xml:space="preserve">. </w:t>
      </w:r>
      <w:r w:rsidR="005F6F52" w:rsidRPr="00E72418">
        <w:rPr>
          <w:b/>
        </w:rPr>
        <w:t>Les quatre pays retenus –</w:t>
      </w:r>
      <w:r w:rsidR="005F6F52" w:rsidRPr="00E72418">
        <w:t xml:space="preserve"> </w:t>
      </w:r>
      <w:r w:rsidR="00DC0D52" w:rsidRPr="00E72418">
        <w:t xml:space="preserve">Bien que </w:t>
      </w:r>
      <w:r w:rsidR="003E382B" w:rsidRPr="00E72418">
        <w:t xml:space="preserve">les problèmes posés aux </w:t>
      </w:r>
      <w:r w:rsidR="003E382B" w:rsidRPr="00E72418">
        <w:rPr>
          <w:lang w:eastAsia="fr-BE"/>
        </w:rPr>
        <w:t>É</w:t>
      </w:r>
      <w:r w:rsidR="005B51D3" w:rsidRPr="00E72418">
        <w:t xml:space="preserve">tats débiteurs par les fonds spéculatifs </w:t>
      </w:r>
      <w:r w:rsidR="00DC0D52" w:rsidRPr="00E72418">
        <w:t>existent</w:t>
      </w:r>
      <w:r w:rsidR="005B51D3" w:rsidRPr="00E72418">
        <w:t xml:space="preserve"> de longue date</w:t>
      </w:r>
      <w:r w:rsidR="00DC0D52" w:rsidRPr="00E72418">
        <w:t xml:space="preserve"> et qu’une </w:t>
      </w:r>
      <w:r w:rsidR="001E77CE">
        <w:t xml:space="preserve">forme de </w:t>
      </w:r>
      <w:r w:rsidR="00DC0D52" w:rsidRPr="00E72418">
        <w:t xml:space="preserve">résignation quant aux possibilités de s’en </w:t>
      </w:r>
      <w:r w:rsidR="00DC0D52" w:rsidRPr="00E72418">
        <w:lastRenderedPageBreak/>
        <w:t>saisir a longtemps prévalu</w:t>
      </w:r>
      <w:r w:rsidR="005B51D3" w:rsidRPr="00E72418">
        <w:t xml:space="preserve">, </w:t>
      </w:r>
      <w:r w:rsidR="00DC0D52" w:rsidRPr="00E72418">
        <w:t>depuis le début du siècle, des parlements nationaux ont décidé d’appréhender les activités de ces fonds</w:t>
      </w:r>
      <w:r w:rsidR="00F976FA" w:rsidRPr="00E72418">
        <w:rPr>
          <w:rStyle w:val="Appelnotedebasdep"/>
        </w:rPr>
        <w:footnoteReference w:id="1457"/>
      </w:r>
      <w:r w:rsidR="00F976FA" w:rsidRPr="00E72418">
        <w:t>.</w:t>
      </w:r>
      <w:r w:rsidR="00DC0D52" w:rsidRPr="00E72418">
        <w:t xml:space="preserve"> </w:t>
      </w:r>
      <w:r w:rsidR="001E77CE" w:rsidRPr="00E72418">
        <w:t>À</w:t>
      </w:r>
      <w:r w:rsidR="00F976FA" w:rsidRPr="00E72418">
        <w:t xml:space="preserve"> ce jour </w:t>
      </w:r>
      <w:r w:rsidR="003E382B" w:rsidRPr="00E72418">
        <w:t xml:space="preserve">seuls quatre </w:t>
      </w:r>
      <w:r w:rsidR="003E382B" w:rsidRPr="00E72418">
        <w:rPr>
          <w:lang w:eastAsia="fr-BE"/>
        </w:rPr>
        <w:t>É</w:t>
      </w:r>
      <w:r w:rsidR="00BF4AEE" w:rsidRPr="00E72418">
        <w:t>tats s</w:t>
      </w:r>
      <w:r w:rsidR="005B51D3" w:rsidRPr="00E72418">
        <w:t>e sont engagés dans la voie de l</w:t>
      </w:r>
      <w:r w:rsidR="00BF4AEE" w:rsidRPr="00E72418">
        <w:t xml:space="preserve">a </w:t>
      </w:r>
      <w:r w:rsidR="004F7711" w:rsidRPr="00E72418">
        <w:t xml:space="preserve">réglementation </w:t>
      </w:r>
      <w:r w:rsidR="005B51D3" w:rsidRPr="00E72418">
        <w:t xml:space="preserve">de leurs activités </w:t>
      </w:r>
      <w:r w:rsidR="00BF4AEE" w:rsidRPr="00E72418">
        <w:t>par le biais d’une loi</w:t>
      </w:r>
      <w:r w:rsidR="005B51D3" w:rsidRPr="00E72418">
        <w:t xml:space="preserve"> les visant directement</w:t>
      </w:r>
      <w:r w:rsidR="005B51D3" w:rsidRPr="00E72418">
        <w:rPr>
          <w:rStyle w:val="Appelnotedebasdep"/>
        </w:rPr>
        <w:footnoteReference w:id="1458"/>
      </w:r>
      <w:r w:rsidR="00BF4AEE" w:rsidRPr="00E72418">
        <w:t xml:space="preserve">. </w:t>
      </w:r>
      <w:r w:rsidR="009D0802" w:rsidRPr="00E72418">
        <w:t>Alors que les tentatives étatsuniennes de la fin des années 2000 n’aboutirent pas (</w:t>
      </w:r>
      <w:r w:rsidR="009D0802" w:rsidRPr="00E72418">
        <w:rPr>
          <w:b/>
        </w:rPr>
        <w:t>chapitre 1</w:t>
      </w:r>
      <w:r w:rsidR="009D0802" w:rsidRPr="00E72418">
        <w:t xml:space="preserve">), </w:t>
      </w:r>
      <w:r w:rsidR="00BF4AEE" w:rsidRPr="00E72418">
        <w:t xml:space="preserve">le </w:t>
      </w:r>
      <w:r w:rsidR="001D0774" w:rsidRPr="00E72418">
        <w:t>Royaume-Uni (</w:t>
      </w:r>
      <w:r w:rsidR="001D0774" w:rsidRPr="00E72418">
        <w:rPr>
          <w:b/>
        </w:rPr>
        <w:t>chapitre 2</w:t>
      </w:r>
      <w:r w:rsidR="001D0774" w:rsidRPr="00E72418">
        <w:t>)</w:t>
      </w:r>
      <w:r w:rsidR="00BF4AEE" w:rsidRPr="00E72418">
        <w:t xml:space="preserve">, la </w:t>
      </w:r>
      <w:r w:rsidR="001D0774" w:rsidRPr="00E72418">
        <w:t>Belgique (</w:t>
      </w:r>
      <w:r w:rsidR="001D0774" w:rsidRPr="00E72418">
        <w:rPr>
          <w:b/>
        </w:rPr>
        <w:t>chapitre 3</w:t>
      </w:r>
      <w:r w:rsidR="001D0774" w:rsidRPr="00E72418">
        <w:t xml:space="preserve">) </w:t>
      </w:r>
      <w:r w:rsidR="00BF4AEE" w:rsidRPr="00E72418">
        <w:t xml:space="preserve">et la </w:t>
      </w:r>
      <w:r w:rsidR="001D0774" w:rsidRPr="00E72418">
        <w:t>France (</w:t>
      </w:r>
      <w:r w:rsidR="001D0774" w:rsidRPr="00E72418">
        <w:rPr>
          <w:b/>
        </w:rPr>
        <w:t>chapitre 4</w:t>
      </w:r>
      <w:r w:rsidR="001D0774" w:rsidRPr="00E72418">
        <w:t>)</w:t>
      </w:r>
      <w:r w:rsidR="009D0802" w:rsidRPr="00E72418">
        <w:t xml:space="preserve"> se sont</w:t>
      </w:r>
      <w:r w:rsidR="00402CF0" w:rsidRPr="00E72418">
        <w:t>, depuis une dizaine d’années,</w:t>
      </w:r>
      <w:r w:rsidR="009D0802" w:rsidRPr="00E72418">
        <w:t xml:space="preserve"> tour à tour dotés d’une telle législation</w:t>
      </w:r>
      <w:r w:rsidR="00504FDF" w:rsidRPr="00E72418">
        <w:rPr>
          <w:rStyle w:val="Appelnotedebasdep"/>
        </w:rPr>
        <w:footnoteReference w:id="1459"/>
      </w:r>
      <w:r w:rsidR="00BF4AEE" w:rsidRPr="00E72418">
        <w:t>.</w:t>
      </w:r>
      <w:r w:rsidR="005F6F52" w:rsidRPr="00E72418">
        <w:t xml:space="preserve"> </w:t>
      </w:r>
      <w:r w:rsidR="005B51D3" w:rsidRPr="00E72418">
        <w:t xml:space="preserve">Sans doute la localisation de ces </w:t>
      </w:r>
      <w:r w:rsidR="00402CF0" w:rsidRPr="00E72418">
        <w:t xml:space="preserve">lois </w:t>
      </w:r>
      <w:r w:rsidR="005B51D3" w:rsidRPr="00E72418">
        <w:t>abouties</w:t>
      </w:r>
      <w:r w:rsidR="00DC0D52" w:rsidRPr="00E72418">
        <w:t xml:space="preserve"> ou tentée</w:t>
      </w:r>
      <w:r w:rsidR="005B51D3" w:rsidRPr="00E72418">
        <w:t xml:space="preserve"> s’explique-t-elle, d’un</w:t>
      </w:r>
      <w:r w:rsidR="00DC0D52" w:rsidRPr="00E72418">
        <w:t>e</w:t>
      </w:r>
      <w:r w:rsidR="005B51D3" w:rsidRPr="00E72418">
        <w:t xml:space="preserve"> </w:t>
      </w:r>
      <w:r w:rsidR="00DC0D52" w:rsidRPr="00E72418">
        <w:t>part</w:t>
      </w:r>
      <w:r w:rsidR="005B51D3" w:rsidRPr="00E72418">
        <w:t>, par le recours fréquent aux droits étatsunien et britannique en mat</w:t>
      </w:r>
      <w:r w:rsidR="00DC0D52" w:rsidRPr="00E72418">
        <w:t>ière de dettes souveraines, d’autre part,</w:t>
      </w:r>
      <w:r w:rsidR="005B51D3" w:rsidRPr="00E72418">
        <w:t xml:space="preserve"> </w:t>
      </w:r>
      <w:r w:rsidR="005F6F52" w:rsidRPr="00E72418">
        <w:t xml:space="preserve">par l’importante </w:t>
      </w:r>
      <w:r w:rsidR="005B51D3" w:rsidRPr="00E72418">
        <w:t>concentration</w:t>
      </w:r>
      <w:r w:rsidR="005F6F52" w:rsidRPr="00E72418">
        <w:t xml:space="preserve"> des contentieux </w:t>
      </w:r>
      <w:r w:rsidR="003E382B" w:rsidRPr="00E72418">
        <w:t xml:space="preserve">dans ces </w:t>
      </w:r>
      <w:r w:rsidR="003E382B" w:rsidRPr="00E72418">
        <w:rPr>
          <w:lang w:eastAsia="fr-BE"/>
        </w:rPr>
        <w:t>É</w:t>
      </w:r>
      <w:r w:rsidR="005B51D3" w:rsidRPr="00E72418">
        <w:t>tats</w:t>
      </w:r>
      <w:r w:rsidR="00E22B31" w:rsidRPr="00E72418">
        <w:rPr>
          <w:rStyle w:val="Appelnotedebasdep"/>
        </w:rPr>
        <w:footnoteReference w:id="1460"/>
      </w:r>
      <w:r w:rsidR="005B51D3" w:rsidRPr="00E72418">
        <w:t>.</w:t>
      </w:r>
      <w:r w:rsidR="001D0774" w:rsidRPr="00E72418">
        <w:t xml:space="preserve"> Une fois les modalités de ces différentes législations étudiées, il importera de s’interroger sur leur conformité au droit supranational (</w:t>
      </w:r>
      <w:r w:rsidR="001D0774" w:rsidRPr="00E72418">
        <w:rPr>
          <w:b/>
        </w:rPr>
        <w:t>chapitre 5</w:t>
      </w:r>
      <w:r w:rsidR="001D0774" w:rsidRPr="00E72418">
        <w:t>).</w:t>
      </w:r>
      <w:r w:rsidR="00ED313F" w:rsidRPr="00E72418">
        <w:t xml:space="preserve"> L’analyse pratiquée dans le présent titre nous permettra de tirer diverses leçons utiles à notre partie prospective, singulièrement au moment de préciser les traits saillants à retenir et les écueils </w:t>
      </w:r>
      <w:r w:rsidR="00963475" w:rsidRPr="00E72418">
        <w:t>dont se garder</w:t>
      </w:r>
      <w:r w:rsidR="00ED313F" w:rsidRPr="00E72418">
        <w:t xml:space="preserve"> pour notre proposition</w:t>
      </w:r>
      <w:r w:rsidR="00ED313F" w:rsidRPr="00E72418">
        <w:rPr>
          <w:rStyle w:val="Appelnotedebasdep"/>
        </w:rPr>
        <w:footnoteReference w:id="1461"/>
      </w:r>
      <w:r w:rsidR="00ED313F" w:rsidRPr="00E72418">
        <w:t>.</w:t>
      </w:r>
    </w:p>
    <w:p w14:paraId="0B880D4B" w14:textId="77777777" w:rsidR="005F6F52" w:rsidRPr="00E72418" w:rsidRDefault="005F6F52" w:rsidP="009B2B07"/>
    <w:p w14:paraId="0F8D41E8" w14:textId="77777777" w:rsidR="000F20AD" w:rsidRPr="00E72418" w:rsidRDefault="000F20AD">
      <w:pPr>
        <w:jc w:val="left"/>
        <w:rPr>
          <w:rFonts w:eastAsiaTheme="majorEastAsia" w:cstheme="majorBidi"/>
          <w:b/>
          <w:sz w:val="32"/>
          <w:szCs w:val="24"/>
          <w:u w:val="single"/>
        </w:rPr>
      </w:pPr>
      <w:bookmarkStart w:id="345" w:name="_Toc37777378"/>
      <w:bookmarkStart w:id="346" w:name="_Toc59280981"/>
      <w:bookmarkStart w:id="347" w:name="_Toc75106110"/>
      <w:bookmarkStart w:id="348" w:name="_Toc84540972"/>
      <w:r w:rsidRPr="00E72418">
        <w:br w:type="page"/>
      </w:r>
    </w:p>
    <w:p w14:paraId="7D72A11A" w14:textId="7603EC4D" w:rsidR="005F6F52" w:rsidRPr="00E72418" w:rsidRDefault="008665DF" w:rsidP="00CC4BA8">
      <w:pPr>
        <w:pStyle w:val="CC"/>
        <w:spacing w:afterLines="60" w:after="144" w:line="276" w:lineRule="auto"/>
        <w:jc w:val="both"/>
        <w:rPr>
          <w:rStyle w:val="Titre5Car"/>
          <w:rFonts w:ascii="Times" w:hAnsi="Times"/>
          <w:color w:val="auto"/>
        </w:rPr>
      </w:pPr>
      <w:r w:rsidRPr="00E72418">
        <w:lastRenderedPageBreak/>
        <w:t xml:space="preserve">Chapitre 1 : </w:t>
      </w:r>
      <w:r w:rsidR="003E382B" w:rsidRPr="00E72418">
        <w:t>L</w:t>
      </w:r>
      <w:bookmarkEnd w:id="345"/>
      <w:r w:rsidRPr="00E72418">
        <w:t>es</w:t>
      </w:r>
      <w:r w:rsidR="00E261BA" w:rsidRPr="00E72418">
        <w:t xml:space="preserve"> </w:t>
      </w:r>
      <w:r w:rsidR="00E261BA" w:rsidRPr="00E72418">
        <w:rPr>
          <w:rStyle w:val="Titre5Car"/>
          <w:rFonts w:ascii="Times" w:hAnsi="Times"/>
          <w:i/>
          <w:color w:val="auto"/>
        </w:rPr>
        <w:t>bill</w:t>
      </w:r>
      <w:r w:rsidRPr="00E72418">
        <w:rPr>
          <w:rStyle w:val="Titre5Car"/>
          <w:rFonts w:ascii="Times" w:hAnsi="Times"/>
          <w:i/>
          <w:color w:val="auto"/>
        </w:rPr>
        <w:t>s</w:t>
      </w:r>
      <w:r w:rsidR="00E261BA" w:rsidRPr="00E72418">
        <w:rPr>
          <w:rStyle w:val="Titre5Car"/>
          <w:rFonts w:ascii="Times" w:hAnsi="Times"/>
          <w:i/>
          <w:color w:val="auto"/>
        </w:rPr>
        <w:t xml:space="preserve"> to prevent speculation and profiteering in the defaulted debt of certain poor countries</w:t>
      </w:r>
      <w:r w:rsidRPr="00E72418">
        <w:rPr>
          <w:rStyle w:val="Titre5Car"/>
          <w:rFonts w:ascii="Times" w:hAnsi="Times"/>
          <w:color w:val="auto"/>
        </w:rPr>
        <w:t xml:space="preserve"> étatsuniennes</w:t>
      </w:r>
      <w:bookmarkEnd w:id="346"/>
      <w:bookmarkEnd w:id="347"/>
      <w:bookmarkEnd w:id="348"/>
    </w:p>
    <w:p w14:paraId="52AAFE24" w14:textId="77777777" w:rsidR="00664ECC" w:rsidRPr="00E72418" w:rsidRDefault="00664ECC" w:rsidP="00827E6E"/>
    <w:p w14:paraId="59E5854F" w14:textId="6F6A9187" w:rsidR="00827E6E" w:rsidRPr="00E72418" w:rsidRDefault="004469AC" w:rsidP="00827E6E">
      <w:pPr>
        <w:spacing w:line="276" w:lineRule="auto"/>
        <w:rPr>
          <w:rStyle w:val="Titre5Car"/>
          <w:rFonts w:ascii="Times" w:hAnsi="Times"/>
          <w:color w:val="auto"/>
        </w:rPr>
      </w:pPr>
      <w:r w:rsidRPr="00E72418">
        <w:rPr>
          <w:b/>
        </w:rPr>
        <w:t>293</w:t>
      </w:r>
      <w:r w:rsidR="007F038F" w:rsidRPr="00E72418">
        <w:rPr>
          <w:b/>
        </w:rPr>
        <w:t xml:space="preserve">. </w:t>
      </w:r>
      <w:r w:rsidR="00827E6E" w:rsidRPr="00E72418">
        <w:rPr>
          <w:b/>
        </w:rPr>
        <w:t>Du</w:t>
      </w:r>
      <w:r w:rsidR="005A7BA9" w:rsidRPr="00E72418">
        <w:rPr>
          <w:b/>
        </w:rPr>
        <w:t xml:space="preserve"> projet étatsunien avorté à la nouvelle tentative</w:t>
      </w:r>
      <w:r w:rsidR="00827E6E" w:rsidRPr="00E72418">
        <w:rPr>
          <w:b/>
        </w:rPr>
        <w:t xml:space="preserve"> new-yorkais</w:t>
      </w:r>
      <w:r w:rsidR="005A7BA9" w:rsidRPr="00E72418">
        <w:rPr>
          <w:b/>
        </w:rPr>
        <w:t>e</w:t>
      </w:r>
      <w:r w:rsidR="00827E6E" w:rsidRPr="00E72418">
        <w:rPr>
          <w:b/>
        </w:rPr>
        <w:t xml:space="preserve"> </w:t>
      </w:r>
      <w:r w:rsidR="00827E6E" w:rsidRPr="00E72418">
        <w:rPr>
          <w:rFonts w:cs="Times New Roman"/>
          <w:b/>
          <w:szCs w:val="24"/>
        </w:rPr>
        <w:t xml:space="preserve">– </w:t>
      </w:r>
      <w:r w:rsidR="00402CF0" w:rsidRPr="00E72418">
        <w:rPr>
          <w:rFonts w:cs="Times New Roman"/>
          <w:szCs w:val="24"/>
        </w:rPr>
        <w:t>Quoi</w:t>
      </w:r>
      <w:r w:rsidR="00827E6E" w:rsidRPr="00E72418">
        <w:rPr>
          <w:rFonts w:cs="Times New Roman"/>
          <w:szCs w:val="24"/>
        </w:rPr>
        <w:t>qu’une attitude protectrice des droits des créanciers y est s</w:t>
      </w:r>
      <w:r w:rsidR="005F1C94" w:rsidRPr="00E72418">
        <w:rPr>
          <w:rFonts w:cs="Times New Roman"/>
          <w:szCs w:val="24"/>
        </w:rPr>
        <w:t xml:space="preserve">ouvent adoptée, les </w:t>
      </w:r>
      <w:r w:rsidR="005F1C94" w:rsidRPr="00E72418">
        <w:rPr>
          <w:lang w:eastAsia="fr-BE"/>
        </w:rPr>
        <w:t>É</w:t>
      </w:r>
      <w:r w:rsidR="00827E6E" w:rsidRPr="00E72418">
        <w:rPr>
          <w:rFonts w:cs="Times New Roman"/>
          <w:szCs w:val="24"/>
        </w:rPr>
        <w:t xml:space="preserve">tats-Unis furent pionniers dans la poursuite d’une appréhension législative de la spéculation. La contribution étatsunienne la plus remarquée à ce jour s’intitule la </w:t>
      </w:r>
      <w:r w:rsidR="00827E6E" w:rsidRPr="00E72418">
        <w:rPr>
          <w:rStyle w:val="Titre5Car"/>
          <w:rFonts w:ascii="Times" w:hAnsi="Times"/>
          <w:i/>
          <w:color w:val="auto"/>
        </w:rPr>
        <w:t>bill to prevent speculation and profiteering in the defaulted debt of certain poor countries</w:t>
      </w:r>
      <w:r w:rsidR="00827E6E" w:rsidRPr="00E72418">
        <w:rPr>
          <w:rStyle w:val="Titre5Car"/>
          <w:rFonts w:ascii="Times" w:hAnsi="Times"/>
          <w:color w:val="auto"/>
        </w:rPr>
        <w:t xml:space="preserve"> (</w:t>
      </w:r>
      <w:r w:rsidR="00827E6E" w:rsidRPr="00E72418">
        <w:rPr>
          <w:rStyle w:val="Titre5Car"/>
          <w:rFonts w:ascii="Times" w:hAnsi="Times"/>
          <w:b/>
          <w:color w:val="auto"/>
        </w:rPr>
        <w:t>section 1</w:t>
      </w:r>
      <w:r w:rsidR="00827E6E" w:rsidRPr="00E72418">
        <w:rPr>
          <w:rStyle w:val="Titre5Car"/>
          <w:rFonts w:ascii="Times" w:hAnsi="Times"/>
          <w:color w:val="auto"/>
        </w:rPr>
        <w:t>). Il y est proposé un mécanisme original (</w:t>
      </w:r>
      <w:r w:rsidR="00827E6E" w:rsidRPr="00E72418">
        <w:rPr>
          <w:rStyle w:val="Titre5Car"/>
          <w:rFonts w:ascii="Times" w:hAnsi="Times"/>
          <w:b/>
          <w:color w:val="auto"/>
        </w:rPr>
        <w:t>section 2</w:t>
      </w:r>
      <w:r w:rsidR="00827E6E" w:rsidRPr="00E72418">
        <w:rPr>
          <w:rStyle w:val="Titre5Car"/>
          <w:rFonts w:ascii="Times" w:hAnsi="Times"/>
          <w:color w:val="auto"/>
        </w:rPr>
        <w:t>) visant à protéger toute une série de débite</w:t>
      </w:r>
      <w:r w:rsidR="00402CF0" w:rsidRPr="00E72418">
        <w:rPr>
          <w:rStyle w:val="Titre5Car"/>
          <w:rFonts w:ascii="Times" w:hAnsi="Times"/>
          <w:color w:val="auto"/>
        </w:rPr>
        <w:t>urs de l’action de « vulture cre</w:t>
      </w:r>
      <w:r w:rsidR="00827E6E" w:rsidRPr="00E72418">
        <w:rPr>
          <w:rStyle w:val="Titre5Car"/>
          <w:rFonts w:ascii="Times" w:hAnsi="Times"/>
          <w:color w:val="auto"/>
        </w:rPr>
        <w:t xml:space="preserve">ditors » s’adonnant à la </w:t>
      </w:r>
      <w:r w:rsidR="00827E6E" w:rsidRPr="00E72418">
        <w:rPr>
          <w:szCs w:val="24"/>
        </w:rPr>
        <w:t>« sovereign debt profiteering » (</w:t>
      </w:r>
      <w:r w:rsidR="00827E6E" w:rsidRPr="00E72418">
        <w:rPr>
          <w:b/>
          <w:szCs w:val="24"/>
        </w:rPr>
        <w:t>section 3</w:t>
      </w:r>
      <w:r w:rsidR="00827E6E" w:rsidRPr="00E72418">
        <w:rPr>
          <w:szCs w:val="24"/>
        </w:rPr>
        <w:t xml:space="preserve">). </w:t>
      </w:r>
      <w:r w:rsidR="00827E6E" w:rsidRPr="00E72418">
        <w:rPr>
          <w:rStyle w:val="Titre5Car"/>
          <w:rFonts w:ascii="Times" w:hAnsi="Times"/>
          <w:color w:val="auto"/>
        </w:rPr>
        <w:t>Si cette proposition n’a pas abouti, cela ne signifie pas pour autant que la préoccupation liée à la spéculation sur les dettes souveraines a disparu</w:t>
      </w:r>
      <w:r w:rsidR="00BD3CC2" w:rsidRPr="00E72418">
        <w:rPr>
          <w:rStyle w:val="Titre5Car"/>
          <w:rFonts w:ascii="Times" w:hAnsi="Times"/>
          <w:color w:val="auto"/>
        </w:rPr>
        <w:t>. E</w:t>
      </w:r>
      <w:r w:rsidR="00827E6E" w:rsidRPr="00E72418">
        <w:rPr>
          <w:rStyle w:val="Titre5Car"/>
          <w:rFonts w:ascii="Times" w:hAnsi="Times"/>
          <w:color w:val="auto"/>
        </w:rPr>
        <w:t xml:space="preserve">n témoigne le récent texte déposé au Sénat new-yorkais </w:t>
      </w:r>
      <w:r w:rsidR="00BD3CC2" w:rsidRPr="00E72418">
        <w:rPr>
          <w:rStyle w:val="Titre5Car"/>
          <w:rFonts w:ascii="Times" w:hAnsi="Times"/>
          <w:color w:val="auto"/>
        </w:rPr>
        <w:t>qui, en cherchant à faciliter les restructurations des dettes souveraines</w:t>
      </w:r>
      <w:r w:rsidR="00402CF0" w:rsidRPr="00E72418">
        <w:rPr>
          <w:rStyle w:val="Titre5Car"/>
          <w:rFonts w:ascii="Times" w:hAnsi="Times"/>
          <w:color w:val="auto"/>
        </w:rPr>
        <w:t xml:space="preserve"> insoutenables</w:t>
      </w:r>
      <w:r w:rsidR="00BD3CC2" w:rsidRPr="00E72418">
        <w:rPr>
          <w:rStyle w:val="Titre5Car"/>
          <w:rFonts w:ascii="Times" w:hAnsi="Times"/>
          <w:color w:val="auto"/>
        </w:rPr>
        <w:t>, contre de la même manière les actions spéculatives sur celles-ci</w:t>
      </w:r>
      <w:r w:rsidR="005A7BA9" w:rsidRPr="00E72418">
        <w:rPr>
          <w:rStyle w:val="Appelnotedebasdep"/>
          <w:rFonts w:eastAsiaTheme="majorEastAsia" w:cstheme="majorBidi"/>
        </w:rPr>
        <w:footnoteReference w:id="1462"/>
      </w:r>
      <w:r w:rsidR="005A7BA9" w:rsidRPr="00E72418">
        <w:rPr>
          <w:rStyle w:val="Titre5Car"/>
          <w:rFonts w:ascii="Times" w:hAnsi="Times"/>
          <w:color w:val="auto"/>
        </w:rPr>
        <w:t>.</w:t>
      </w:r>
      <w:r w:rsidR="00827E6E" w:rsidRPr="00E72418">
        <w:rPr>
          <w:rStyle w:val="Titre5Car"/>
          <w:rFonts w:ascii="Times" w:hAnsi="Times"/>
          <w:color w:val="auto"/>
        </w:rPr>
        <w:t xml:space="preserve"> </w:t>
      </w:r>
    </w:p>
    <w:p w14:paraId="665DDD87" w14:textId="77777777" w:rsidR="00D9672A" w:rsidRPr="00E72418" w:rsidRDefault="00D9672A" w:rsidP="00827E6E">
      <w:pPr>
        <w:spacing w:line="276" w:lineRule="auto"/>
      </w:pPr>
    </w:p>
    <w:p w14:paraId="6B5A50C9" w14:textId="6E7A9A6F" w:rsidR="005F6F52" w:rsidRPr="00E72418" w:rsidRDefault="002F7FBF" w:rsidP="00CC4BA8">
      <w:pPr>
        <w:pStyle w:val="DD"/>
        <w:spacing w:afterLines="60" w:after="144" w:line="276" w:lineRule="auto"/>
      </w:pPr>
      <w:bookmarkStart w:id="349" w:name="_Toc37777380"/>
      <w:bookmarkStart w:id="350" w:name="_Toc59280982"/>
      <w:bookmarkStart w:id="351" w:name="_Toc84540973"/>
      <w:r w:rsidRPr="00E72418">
        <w:t xml:space="preserve">Section 1 : </w:t>
      </w:r>
      <w:r w:rsidR="005F6F52" w:rsidRPr="00E72418">
        <w:t>Le contexte</w:t>
      </w:r>
      <w:bookmarkEnd w:id="349"/>
      <w:bookmarkEnd w:id="350"/>
      <w:bookmarkEnd w:id="351"/>
    </w:p>
    <w:p w14:paraId="5419BF03" w14:textId="77777777" w:rsidR="004007D2" w:rsidRPr="00E72418" w:rsidRDefault="004007D2" w:rsidP="004007D2"/>
    <w:p w14:paraId="07526F75" w14:textId="277903FD" w:rsidR="005F6F52" w:rsidRPr="00E72418" w:rsidRDefault="004469AC" w:rsidP="00CC4BA8">
      <w:pPr>
        <w:spacing w:line="276" w:lineRule="auto"/>
      </w:pPr>
      <w:r w:rsidRPr="00E72418">
        <w:rPr>
          <w:rFonts w:cs="Times New Roman"/>
          <w:b/>
          <w:szCs w:val="24"/>
        </w:rPr>
        <w:t>294</w:t>
      </w:r>
      <w:r w:rsidR="00817D62" w:rsidRPr="00E72418">
        <w:rPr>
          <w:rFonts w:cs="Times New Roman"/>
          <w:b/>
          <w:szCs w:val="24"/>
        </w:rPr>
        <w:t xml:space="preserve">. </w:t>
      </w:r>
      <w:r w:rsidR="007F63F2" w:rsidRPr="00E72418">
        <w:rPr>
          <w:rFonts w:cs="Times New Roman"/>
          <w:b/>
          <w:szCs w:val="24"/>
        </w:rPr>
        <w:t>La tentative</w:t>
      </w:r>
      <w:r w:rsidR="00E261BA" w:rsidRPr="00E72418">
        <w:rPr>
          <w:rFonts w:cs="Times New Roman"/>
          <w:b/>
          <w:szCs w:val="24"/>
        </w:rPr>
        <w:t xml:space="preserve"> </w:t>
      </w:r>
      <w:r w:rsidR="005F6F52" w:rsidRPr="00E72418">
        <w:rPr>
          <w:rFonts w:cs="Times New Roman"/>
          <w:b/>
          <w:szCs w:val="24"/>
        </w:rPr>
        <w:t>–</w:t>
      </w:r>
      <w:r w:rsidR="005F6F52" w:rsidRPr="00E72418">
        <w:rPr>
          <w:rFonts w:cs="Times New Roman"/>
          <w:szCs w:val="24"/>
        </w:rPr>
        <w:t xml:space="preserve"> En </w:t>
      </w:r>
      <w:r w:rsidR="00E261BA" w:rsidRPr="00E72418">
        <w:rPr>
          <w:rFonts w:cs="Times New Roman"/>
          <w:szCs w:val="24"/>
        </w:rPr>
        <w:t>2009, fu</w:t>
      </w:r>
      <w:r w:rsidR="005F6F52" w:rsidRPr="00E72418">
        <w:rPr>
          <w:rFonts w:cs="Times New Roman"/>
          <w:szCs w:val="24"/>
        </w:rPr>
        <w:t>t i</w:t>
      </w:r>
      <w:r w:rsidR="00E261BA" w:rsidRPr="00E72418">
        <w:rPr>
          <w:rFonts w:cs="Times New Roman"/>
          <w:szCs w:val="24"/>
        </w:rPr>
        <w:t>ntroduite</w:t>
      </w:r>
      <w:r w:rsidR="005F6F52" w:rsidRPr="00E72418">
        <w:rPr>
          <w:rFonts w:cs="Times New Roman"/>
          <w:szCs w:val="24"/>
        </w:rPr>
        <w:t xml:space="preserve"> à la</w:t>
      </w:r>
      <w:r w:rsidR="003E382B" w:rsidRPr="00E72418">
        <w:rPr>
          <w:rFonts w:cs="Times New Roman"/>
          <w:szCs w:val="24"/>
        </w:rPr>
        <w:t xml:space="preserve"> Chambre des représentants des </w:t>
      </w:r>
      <w:r w:rsidR="003E382B" w:rsidRPr="00E72418">
        <w:rPr>
          <w:lang w:eastAsia="fr-BE"/>
        </w:rPr>
        <w:t>É</w:t>
      </w:r>
      <w:r w:rsidR="005F6F52" w:rsidRPr="00E72418">
        <w:rPr>
          <w:rFonts w:cs="Times New Roman"/>
          <w:szCs w:val="24"/>
        </w:rPr>
        <w:t>tats-Unis</w:t>
      </w:r>
      <w:r w:rsidR="00D9672A" w:rsidRPr="00E72418">
        <w:rPr>
          <w:rFonts w:cs="Times New Roman"/>
          <w:szCs w:val="24"/>
        </w:rPr>
        <w:t xml:space="preserve"> par Maxine Waters </w:t>
      </w:r>
      <w:r w:rsidR="00D9672A" w:rsidRPr="00E72418">
        <w:rPr>
          <w:rFonts w:cs="Times New Roman"/>
          <w:i/>
          <w:szCs w:val="24"/>
        </w:rPr>
        <w:t>et al.</w:t>
      </w:r>
      <w:r w:rsidR="005F6F52" w:rsidRPr="00E72418">
        <w:rPr>
          <w:rFonts w:cs="Times New Roman"/>
          <w:szCs w:val="24"/>
        </w:rPr>
        <w:t xml:space="preserve"> </w:t>
      </w:r>
      <w:r w:rsidR="00E261BA" w:rsidRPr="00E72418">
        <w:t>une proposition</w:t>
      </w:r>
      <w:r w:rsidR="005F6F52" w:rsidRPr="00E72418">
        <w:t xml:space="preserve"> de législation visant </w:t>
      </w:r>
      <w:r w:rsidR="00E261BA" w:rsidRPr="00E72418">
        <w:t>à empêcher la spéculation et l’exploitation de</w:t>
      </w:r>
      <w:r w:rsidR="005F6F52" w:rsidRPr="00E72418">
        <w:t xml:space="preserve"> la dette en défaut de certains pays pauvres</w:t>
      </w:r>
      <w:r w:rsidR="00E261BA" w:rsidRPr="00E72418">
        <w:t xml:space="preserve">, précisément </w:t>
      </w:r>
      <w:r w:rsidR="00E261BA" w:rsidRPr="00E72418">
        <w:rPr>
          <w:rStyle w:val="Titre5Car"/>
          <w:rFonts w:ascii="Times" w:eastAsiaTheme="minorHAnsi" w:hAnsi="Times" w:cstheme="minorBidi"/>
          <w:color w:val="auto"/>
        </w:rPr>
        <w:t>« a bill to prevent speculation and profiteering in the defaulted debt of certain poor countries, and for other purposes »</w:t>
      </w:r>
      <w:r w:rsidR="007C39A0" w:rsidRPr="00E72418">
        <w:rPr>
          <w:rStyle w:val="Appelnotedebasdep"/>
        </w:rPr>
        <w:footnoteReference w:id="1463"/>
      </w:r>
      <w:r w:rsidR="005F6F52" w:rsidRPr="00E72418">
        <w:t xml:space="preserve">. </w:t>
      </w:r>
      <w:r w:rsidR="001F2989" w:rsidRPr="00E72418">
        <w:t>La</w:t>
      </w:r>
      <w:r w:rsidR="007C39A0" w:rsidRPr="00E72418">
        <w:t xml:space="preserve"> proposition</w:t>
      </w:r>
      <w:r w:rsidR="00E261BA" w:rsidRPr="00E72418">
        <w:rPr>
          <w:rFonts w:cs="Times New Roman"/>
        </w:rPr>
        <w:t xml:space="preserve"> 111 H.R. 2932</w:t>
      </w:r>
      <w:r w:rsidR="007C39A0" w:rsidRPr="00E72418">
        <w:t xml:space="preserve"> </w:t>
      </w:r>
      <w:r w:rsidR="001F2989" w:rsidRPr="00E72418">
        <w:t>fut soumise</w:t>
      </w:r>
      <w:r w:rsidR="007C39A0" w:rsidRPr="00E72418">
        <w:t xml:space="preserve"> le 18 juin 2009</w:t>
      </w:r>
      <w:r w:rsidR="00E261BA" w:rsidRPr="00E72418">
        <w:t>, d’une part,</w:t>
      </w:r>
      <w:r w:rsidR="007C39A0" w:rsidRPr="00E72418">
        <w:t xml:space="preserve"> au </w:t>
      </w:r>
      <w:r w:rsidR="007C39A0" w:rsidRPr="00E72418">
        <w:rPr>
          <w:i/>
        </w:rPr>
        <w:t>Hous</w:t>
      </w:r>
      <w:r w:rsidR="00E261BA" w:rsidRPr="00E72418">
        <w:rPr>
          <w:i/>
        </w:rPr>
        <w:t>e Committee on the Judiciary</w:t>
      </w:r>
      <w:r w:rsidR="00E261BA" w:rsidRPr="00E72418">
        <w:t xml:space="preserve">, d’autre part, </w:t>
      </w:r>
      <w:r w:rsidR="007C39A0" w:rsidRPr="00E72418">
        <w:t xml:space="preserve">au </w:t>
      </w:r>
      <w:r w:rsidR="007C39A0" w:rsidRPr="00E72418">
        <w:rPr>
          <w:i/>
        </w:rPr>
        <w:t>House Committee on Financial Services</w:t>
      </w:r>
      <w:r w:rsidR="007C39A0" w:rsidRPr="00E72418">
        <w:t>.</w:t>
      </w:r>
      <w:r w:rsidR="00201C14" w:rsidRPr="00E72418">
        <w:rPr>
          <w:rFonts w:cs="Times New Roman"/>
          <w:szCs w:val="24"/>
        </w:rPr>
        <w:t xml:space="preserve"> </w:t>
      </w:r>
      <w:r w:rsidR="001F2989" w:rsidRPr="00E72418">
        <w:rPr>
          <w:rFonts w:cs="Times New Roman"/>
        </w:rPr>
        <w:t>Elle</w:t>
      </w:r>
      <w:r w:rsidR="00E261BA" w:rsidRPr="00E72418">
        <w:rPr>
          <w:rFonts w:cs="Times New Roman"/>
        </w:rPr>
        <w:t xml:space="preserve"> </w:t>
      </w:r>
      <w:r w:rsidR="005F6F52" w:rsidRPr="00E72418">
        <w:rPr>
          <w:rFonts w:cs="Times New Roman"/>
          <w:szCs w:val="24"/>
        </w:rPr>
        <w:t>vis</w:t>
      </w:r>
      <w:r w:rsidR="00880F5E" w:rsidRPr="00E72418">
        <w:rPr>
          <w:rFonts w:cs="Times New Roman"/>
          <w:szCs w:val="24"/>
        </w:rPr>
        <w:t>e</w:t>
      </w:r>
      <w:r w:rsidR="007F63F2" w:rsidRPr="00E72418">
        <w:rPr>
          <w:rFonts w:cs="Times New Roman"/>
          <w:szCs w:val="24"/>
        </w:rPr>
        <w:t xml:space="preserve"> </w:t>
      </w:r>
      <w:r w:rsidR="005F6F52" w:rsidRPr="00E72418">
        <w:rPr>
          <w:rFonts w:cs="Times New Roman"/>
          <w:szCs w:val="24"/>
        </w:rPr>
        <w:t xml:space="preserve">l’adoption d’une législation </w:t>
      </w:r>
      <w:r w:rsidR="00E261BA" w:rsidRPr="00E72418">
        <w:rPr>
          <w:rFonts w:cs="Times New Roman"/>
          <w:szCs w:val="24"/>
        </w:rPr>
        <w:t>ayant pour titre</w:t>
      </w:r>
      <w:r w:rsidR="005F6F52" w:rsidRPr="00E72418">
        <w:rPr>
          <w:rFonts w:cs="Times New Roman"/>
          <w:szCs w:val="24"/>
        </w:rPr>
        <w:t xml:space="preserve"> « Stop Very Unscrupulous Loan Transfers from Underprivileged countries to Rich, Exploitive Funds Act » ou « </w:t>
      </w:r>
      <w:r w:rsidR="00201C14" w:rsidRPr="00E72418">
        <w:rPr>
          <w:rFonts w:cs="Times New Roman"/>
          <w:szCs w:val="24"/>
        </w:rPr>
        <w:t>Stop VULTURE F</w:t>
      </w:r>
      <w:r w:rsidR="005F6F52" w:rsidRPr="00E72418">
        <w:rPr>
          <w:rFonts w:cs="Times New Roman"/>
          <w:szCs w:val="24"/>
        </w:rPr>
        <w:t>unds Act »</w:t>
      </w:r>
      <w:r w:rsidR="005F6F52" w:rsidRPr="00E72418">
        <w:rPr>
          <w:rStyle w:val="Appelnotedebasdep"/>
          <w:rFonts w:cs="Times New Roman"/>
          <w:szCs w:val="24"/>
        </w:rPr>
        <w:footnoteReference w:id="1464"/>
      </w:r>
      <w:r w:rsidR="005F6F52" w:rsidRPr="00E72418">
        <w:rPr>
          <w:rFonts w:cs="Times New Roman"/>
          <w:szCs w:val="24"/>
        </w:rPr>
        <w:t>.</w:t>
      </w:r>
    </w:p>
    <w:p w14:paraId="008A9581" w14:textId="48B14ABA" w:rsidR="00EF4E2A" w:rsidRPr="00E72418" w:rsidRDefault="0012485C" w:rsidP="00CC4BA8">
      <w:pPr>
        <w:spacing w:line="276" w:lineRule="auto"/>
      </w:pPr>
      <w:r w:rsidRPr="00E72418">
        <w:t>À</w:t>
      </w:r>
      <w:r w:rsidR="007F63F2" w:rsidRPr="00E72418">
        <w:rPr>
          <w:rFonts w:cs="Times New Roman"/>
          <w:szCs w:val="24"/>
        </w:rPr>
        <w:t xml:space="preserve"> ce jour, la tentative étatsunienne s’est avérée infructueuse</w:t>
      </w:r>
      <w:r w:rsidR="00EF4E2A" w:rsidRPr="00E72418">
        <w:rPr>
          <w:rFonts w:cs="Times New Roman"/>
          <w:szCs w:val="24"/>
        </w:rPr>
        <w:t xml:space="preserve">, aucune législation n’ayant </w:t>
      </w:r>
      <w:r w:rsidR="007F63F2" w:rsidRPr="00E72418">
        <w:rPr>
          <w:rFonts w:cs="Times New Roman"/>
          <w:szCs w:val="24"/>
        </w:rPr>
        <w:t>abouti</w:t>
      </w:r>
      <w:r w:rsidR="00EF4E2A" w:rsidRPr="00E72418">
        <w:rPr>
          <w:rFonts w:cs="Times New Roman"/>
          <w:szCs w:val="24"/>
        </w:rPr>
        <w:t>. Cette absence de concrétisation s’expliq</w:t>
      </w:r>
      <w:r w:rsidR="00372DFE">
        <w:rPr>
          <w:rFonts w:cs="Times New Roman"/>
          <w:szCs w:val="24"/>
        </w:rPr>
        <w:t>ue</w:t>
      </w:r>
      <w:r w:rsidR="00EF4E2A" w:rsidRPr="00E72418">
        <w:rPr>
          <w:rFonts w:cs="Times New Roman"/>
          <w:szCs w:val="24"/>
        </w:rPr>
        <w:t xml:space="preserve"> peu</w:t>
      </w:r>
      <w:r w:rsidR="003E382B" w:rsidRPr="00E72418">
        <w:rPr>
          <w:rFonts w:cs="Times New Roman"/>
          <w:szCs w:val="24"/>
        </w:rPr>
        <w:t xml:space="preserve">t-être par le fait que les </w:t>
      </w:r>
      <w:r w:rsidR="003E382B" w:rsidRPr="00E72418">
        <w:rPr>
          <w:lang w:eastAsia="fr-BE"/>
        </w:rPr>
        <w:t>É</w:t>
      </w:r>
      <w:r w:rsidR="00EF4E2A" w:rsidRPr="00E72418">
        <w:rPr>
          <w:rFonts w:cs="Times New Roman"/>
          <w:szCs w:val="24"/>
        </w:rPr>
        <w:t>tats-Unis adoptent généralement une attitude protectrice des intérêts des créanciers de sorte qu’il paraît peu envisageable qu’une telle législation soit adoptée</w:t>
      </w:r>
      <w:r w:rsidR="00EF4E2A" w:rsidRPr="00E72418">
        <w:rPr>
          <w:rStyle w:val="Appelnotedebasdep"/>
          <w:rFonts w:cs="Times New Roman"/>
          <w:szCs w:val="24"/>
        </w:rPr>
        <w:footnoteReference w:id="1465"/>
      </w:r>
      <w:r w:rsidR="00EF4E2A" w:rsidRPr="00E72418">
        <w:rPr>
          <w:rFonts w:cs="Times New Roman"/>
          <w:szCs w:val="24"/>
        </w:rPr>
        <w:t>.</w:t>
      </w:r>
      <w:r w:rsidR="00A14440" w:rsidRPr="00E72418">
        <w:rPr>
          <w:rFonts w:cs="Times New Roman"/>
          <w:szCs w:val="24"/>
        </w:rPr>
        <w:t xml:space="preserve"> Qu’à cela ne tienne, le sénateur Gustavo Rivera a introduit en mai 2021 au Sénat de l</w:t>
      </w:r>
      <w:r w:rsidR="005F1C94" w:rsidRPr="00E72418">
        <w:rPr>
          <w:rFonts w:cs="Times New Roman"/>
          <w:szCs w:val="24"/>
        </w:rPr>
        <w:t>’</w:t>
      </w:r>
      <w:r w:rsidR="005F1C94" w:rsidRPr="00E72418">
        <w:rPr>
          <w:lang w:eastAsia="fr-BE"/>
        </w:rPr>
        <w:t>É</w:t>
      </w:r>
      <w:r w:rsidR="00A14440" w:rsidRPr="00E72418">
        <w:rPr>
          <w:rFonts w:cs="Times New Roman"/>
          <w:szCs w:val="24"/>
        </w:rPr>
        <w:t xml:space="preserve">tat de New York une proposition </w:t>
      </w:r>
      <w:r w:rsidR="00402CF0" w:rsidRPr="00E72418">
        <w:rPr>
          <w:rFonts w:cs="Times New Roman"/>
          <w:szCs w:val="24"/>
        </w:rPr>
        <w:t>de loi qui indirectement combat</w:t>
      </w:r>
      <w:r w:rsidR="00A14440" w:rsidRPr="00E72418">
        <w:rPr>
          <w:rFonts w:cs="Times New Roman"/>
          <w:szCs w:val="24"/>
        </w:rPr>
        <w:t xml:space="preserve"> la spéculation sur les dettes</w:t>
      </w:r>
      <w:r w:rsidR="00402CF0" w:rsidRPr="00E72418">
        <w:rPr>
          <w:rFonts w:cs="Times New Roman"/>
          <w:szCs w:val="24"/>
        </w:rPr>
        <w:t xml:space="preserve"> souveraines insoutenables</w:t>
      </w:r>
      <w:r w:rsidR="00A14440" w:rsidRPr="00E72418">
        <w:rPr>
          <w:rStyle w:val="Appelnotedebasdep"/>
          <w:rFonts w:cs="Times New Roman"/>
          <w:szCs w:val="24"/>
        </w:rPr>
        <w:footnoteReference w:id="1466"/>
      </w:r>
      <w:r w:rsidR="00A14440" w:rsidRPr="00E72418">
        <w:rPr>
          <w:rFonts w:cs="Times New Roman"/>
          <w:szCs w:val="24"/>
        </w:rPr>
        <w:t xml:space="preserve">. </w:t>
      </w:r>
    </w:p>
    <w:p w14:paraId="5F963099" w14:textId="77777777" w:rsidR="008846C5" w:rsidRPr="00E72418" w:rsidRDefault="008846C5" w:rsidP="00827E6E"/>
    <w:p w14:paraId="1FD337C1" w14:textId="7F5B4DF5" w:rsidR="00201C14" w:rsidRPr="00E72418" w:rsidRDefault="004469AC" w:rsidP="00CC4BA8">
      <w:pPr>
        <w:spacing w:line="276" w:lineRule="auto"/>
        <w:rPr>
          <w:rFonts w:cs="Times New Roman"/>
          <w:szCs w:val="24"/>
        </w:rPr>
      </w:pPr>
      <w:r w:rsidRPr="00E72418">
        <w:rPr>
          <w:rFonts w:cs="Times New Roman"/>
          <w:b/>
          <w:szCs w:val="24"/>
        </w:rPr>
        <w:lastRenderedPageBreak/>
        <w:t>295</w:t>
      </w:r>
      <w:r w:rsidR="00817D62" w:rsidRPr="00E72418">
        <w:rPr>
          <w:rFonts w:cs="Times New Roman"/>
          <w:b/>
          <w:szCs w:val="24"/>
        </w:rPr>
        <w:t xml:space="preserve">. </w:t>
      </w:r>
      <w:r w:rsidR="008846C5" w:rsidRPr="00E72418">
        <w:rPr>
          <w:rFonts w:cs="Times New Roman"/>
          <w:b/>
          <w:szCs w:val="24"/>
        </w:rPr>
        <w:t xml:space="preserve">Le constat </w:t>
      </w:r>
      <w:r w:rsidR="009C40EB" w:rsidRPr="00E72418">
        <w:rPr>
          <w:rFonts w:cs="Times New Roman"/>
          <w:b/>
          <w:szCs w:val="24"/>
        </w:rPr>
        <w:t>–</w:t>
      </w:r>
      <w:r w:rsidR="008846C5" w:rsidRPr="00E72418">
        <w:rPr>
          <w:rFonts w:cs="Times New Roman"/>
          <w:szCs w:val="24"/>
        </w:rPr>
        <w:t xml:space="preserve"> </w:t>
      </w:r>
      <w:r w:rsidR="001F2989" w:rsidRPr="00E72418">
        <w:rPr>
          <w:rFonts w:cs="Times New Roman"/>
          <w:szCs w:val="24"/>
        </w:rPr>
        <w:t>La proposition</w:t>
      </w:r>
      <w:r w:rsidR="00201C14" w:rsidRPr="00E72418">
        <w:rPr>
          <w:rFonts w:cs="Times New Roman"/>
          <w:szCs w:val="24"/>
        </w:rPr>
        <w:t xml:space="preserve"> </w:t>
      </w:r>
      <w:r w:rsidR="001F2989" w:rsidRPr="00E72418">
        <w:rPr>
          <w:rFonts w:cs="Times New Roman"/>
          <w:szCs w:val="24"/>
        </w:rPr>
        <w:t xml:space="preserve">législative </w:t>
      </w:r>
      <w:r w:rsidR="00880F5E" w:rsidRPr="00E72418">
        <w:rPr>
          <w:rFonts w:cs="Times New Roman"/>
          <w:szCs w:val="24"/>
        </w:rPr>
        <w:t>part</w:t>
      </w:r>
      <w:r w:rsidR="00201C14" w:rsidRPr="00E72418">
        <w:rPr>
          <w:rFonts w:cs="Times New Roman"/>
          <w:szCs w:val="24"/>
        </w:rPr>
        <w:t xml:space="preserve"> </w:t>
      </w:r>
      <w:r w:rsidR="003E382B" w:rsidRPr="00E72418">
        <w:rPr>
          <w:rFonts w:cs="Times New Roman"/>
          <w:szCs w:val="24"/>
        </w:rPr>
        <w:t xml:space="preserve">du constat que des </w:t>
      </w:r>
      <w:r w:rsidR="003E382B" w:rsidRPr="00E72418">
        <w:rPr>
          <w:lang w:eastAsia="fr-BE"/>
        </w:rPr>
        <w:t>É</w:t>
      </w:r>
      <w:r w:rsidR="00880F5E" w:rsidRPr="00E72418">
        <w:rPr>
          <w:rFonts w:cs="Times New Roman"/>
          <w:szCs w:val="24"/>
        </w:rPr>
        <w:t>tats croul</w:t>
      </w:r>
      <w:r w:rsidR="00201C14" w:rsidRPr="00E72418">
        <w:rPr>
          <w:rFonts w:cs="Times New Roman"/>
          <w:szCs w:val="24"/>
        </w:rPr>
        <w:t xml:space="preserve">ent sous le poids des dettes. Relevant l’Initiative Pays Pauvres Très Endettés </w:t>
      </w:r>
      <w:r w:rsidR="00A960A0" w:rsidRPr="00E72418">
        <w:rPr>
          <w:rFonts w:cs="Times New Roman"/>
          <w:szCs w:val="24"/>
        </w:rPr>
        <w:t xml:space="preserve">de la Banque mondiale et du Fonds monétaire international </w:t>
      </w:r>
      <w:r w:rsidR="001F2989" w:rsidRPr="00E72418">
        <w:rPr>
          <w:rFonts w:cs="Times New Roman"/>
          <w:szCs w:val="24"/>
        </w:rPr>
        <w:t>ainsi que</w:t>
      </w:r>
      <w:r w:rsidR="00201C14" w:rsidRPr="00E72418">
        <w:rPr>
          <w:rFonts w:cs="Times New Roman"/>
          <w:szCs w:val="24"/>
        </w:rPr>
        <w:t xml:space="preserve"> l’appui </w:t>
      </w:r>
      <w:r w:rsidR="003E382B" w:rsidRPr="00E72418">
        <w:rPr>
          <w:rFonts w:cs="Times New Roman"/>
          <w:szCs w:val="24"/>
        </w:rPr>
        <w:t xml:space="preserve">des </w:t>
      </w:r>
      <w:r w:rsidR="003E382B" w:rsidRPr="00E72418">
        <w:rPr>
          <w:lang w:eastAsia="fr-BE"/>
        </w:rPr>
        <w:t>É</w:t>
      </w:r>
      <w:r w:rsidR="00F16A29" w:rsidRPr="00E72418">
        <w:rPr>
          <w:rFonts w:cs="Times New Roman"/>
          <w:szCs w:val="24"/>
        </w:rPr>
        <w:t>tats-Unis</w:t>
      </w:r>
      <w:r w:rsidR="00201C14" w:rsidRPr="00E72418">
        <w:rPr>
          <w:rFonts w:cs="Times New Roman"/>
          <w:szCs w:val="24"/>
        </w:rPr>
        <w:t xml:space="preserve"> aux </w:t>
      </w:r>
      <w:r w:rsidR="00330E23" w:rsidRPr="00E72418">
        <w:rPr>
          <w:rFonts w:cs="Times New Roman"/>
          <w:szCs w:val="24"/>
        </w:rPr>
        <w:t>efforts d’allègement de dettes via</w:t>
      </w:r>
      <w:r w:rsidR="00201C14" w:rsidRPr="00E72418">
        <w:rPr>
          <w:rFonts w:cs="Times New Roman"/>
          <w:szCs w:val="24"/>
        </w:rPr>
        <w:t xml:space="preserve"> diverses initiatives </w:t>
      </w:r>
      <w:r w:rsidR="00330E23" w:rsidRPr="00E72418">
        <w:rPr>
          <w:rFonts w:cs="Times New Roman"/>
          <w:szCs w:val="24"/>
        </w:rPr>
        <w:t xml:space="preserve">leur </w:t>
      </w:r>
      <w:r w:rsidR="00201C14" w:rsidRPr="00E72418">
        <w:rPr>
          <w:rFonts w:cs="Times New Roman"/>
          <w:szCs w:val="24"/>
        </w:rPr>
        <w:t xml:space="preserve">bénéficiant, </w:t>
      </w:r>
      <w:r w:rsidR="00330E23" w:rsidRPr="00E72418">
        <w:rPr>
          <w:rFonts w:cs="Times New Roman"/>
          <w:szCs w:val="24"/>
        </w:rPr>
        <w:t xml:space="preserve">d’une part, </w:t>
      </w:r>
      <w:r w:rsidR="00703D8C" w:rsidRPr="00E72418">
        <w:rPr>
          <w:rFonts w:cs="Times New Roman"/>
          <w:szCs w:val="24"/>
        </w:rPr>
        <w:t>via l’annulation totale des prêts bil</w:t>
      </w:r>
      <w:r w:rsidR="001F2989" w:rsidRPr="00E72418">
        <w:rPr>
          <w:rFonts w:cs="Times New Roman"/>
          <w:szCs w:val="24"/>
        </w:rPr>
        <w:t>atéraux concédés à ces pays,</w:t>
      </w:r>
      <w:r w:rsidR="00330E23" w:rsidRPr="00E72418">
        <w:rPr>
          <w:rFonts w:cs="Times New Roman"/>
          <w:szCs w:val="24"/>
        </w:rPr>
        <w:t xml:space="preserve"> d’autre part,</w:t>
      </w:r>
      <w:r w:rsidR="001F2989" w:rsidRPr="00E72418">
        <w:rPr>
          <w:rFonts w:cs="Times New Roman"/>
          <w:szCs w:val="24"/>
        </w:rPr>
        <w:t xml:space="preserve"> la proposition</w:t>
      </w:r>
      <w:r w:rsidR="00880F5E" w:rsidRPr="00E72418">
        <w:rPr>
          <w:rFonts w:cs="Times New Roman"/>
          <w:szCs w:val="24"/>
        </w:rPr>
        <w:t xml:space="preserve"> déplore </w:t>
      </w:r>
      <w:r w:rsidR="00703D8C" w:rsidRPr="00E72418">
        <w:rPr>
          <w:rFonts w:cs="Times New Roman"/>
          <w:szCs w:val="24"/>
        </w:rPr>
        <w:t>le dév</w:t>
      </w:r>
      <w:r w:rsidR="001F2989" w:rsidRPr="00E72418">
        <w:rPr>
          <w:rFonts w:cs="Times New Roman"/>
          <w:szCs w:val="24"/>
        </w:rPr>
        <w:t>eloppement de pratiques visant</w:t>
      </w:r>
      <w:r w:rsidR="00703D8C" w:rsidRPr="00E72418">
        <w:rPr>
          <w:rFonts w:cs="Times New Roman"/>
          <w:szCs w:val="24"/>
        </w:rPr>
        <w:t xml:space="preserve"> à </w:t>
      </w:r>
      <w:r w:rsidR="001F2989" w:rsidRPr="00E72418">
        <w:rPr>
          <w:rFonts w:cs="Times New Roman"/>
          <w:szCs w:val="24"/>
        </w:rPr>
        <w:t>exploiter</w:t>
      </w:r>
      <w:r w:rsidR="003E382B" w:rsidRPr="00E72418">
        <w:rPr>
          <w:rFonts w:cs="Times New Roman"/>
          <w:szCs w:val="24"/>
        </w:rPr>
        <w:t xml:space="preserve"> les dettes </w:t>
      </w:r>
      <w:r w:rsidR="00330E23" w:rsidRPr="00E72418">
        <w:rPr>
          <w:rFonts w:cs="Times New Roman"/>
          <w:szCs w:val="24"/>
        </w:rPr>
        <w:t>souveraines</w:t>
      </w:r>
      <w:r w:rsidR="00703D8C" w:rsidRPr="00E72418">
        <w:rPr>
          <w:rFonts w:cs="Times New Roman"/>
          <w:szCs w:val="24"/>
        </w:rPr>
        <w:t xml:space="preserve"> en difficulté</w:t>
      </w:r>
      <w:r w:rsidR="00B66150" w:rsidRPr="00E72418">
        <w:rPr>
          <w:rFonts w:cs="Times New Roman"/>
          <w:szCs w:val="24"/>
        </w:rPr>
        <w:t>,</w:t>
      </w:r>
      <w:r w:rsidR="00703D8C" w:rsidRPr="00E72418">
        <w:rPr>
          <w:rFonts w:cs="Times New Roman"/>
          <w:szCs w:val="24"/>
        </w:rPr>
        <w:t xml:space="preserve"> et ce, </w:t>
      </w:r>
      <w:r w:rsidR="00330E23" w:rsidRPr="00E72418">
        <w:rPr>
          <w:rFonts w:cs="Times New Roman"/>
          <w:szCs w:val="24"/>
        </w:rPr>
        <w:t xml:space="preserve">tant au détriment des </w:t>
      </w:r>
      <w:r w:rsidR="00703D8C" w:rsidRPr="00E72418">
        <w:rPr>
          <w:rFonts w:cs="Times New Roman"/>
          <w:szCs w:val="24"/>
        </w:rPr>
        <w:t>citoyens</w:t>
      </w:r>
      <w:r w:rsidR="00330E23" w:rsidRPr="00E72418">
        <w:rPr>
          <w:rFonts w:cs="Times New Roman"/>
          <w:szCs w:val="24"/>
        </w:rPr>
        <w:t xml:space="preserve"> des </w:t>
      </w:r>
      <w:r w:rsidR="00330E23" w:rsidRPr="00E72418">
        <w:rPr>
          <w:lang w:eastAsia="fr-BE"/>
        </w:rPr>
        <w:t>É</w:t>
      </w:r>
      <w:r w:rsidR="00330E23" w:rsidRPr="00E72418">
        <w:rPr>
          <w:rFonts w:cs="Times New Roman"/>
          <w:szCs w:val="24"/>
        </w:rPr>
        <w:t>tats débiteurs</w:t>
      </w:r>
      <w:r w:rsidR="00703D8C" w:rsidRPr="00E72418">
        <w:rPr>
          <w:rFonts w:cs="Times New Roman"/>
          <w:szCs w:val="24"/>
        </w:rPr>
        <w:t xml:space="preserve"> qu’à celui des contribuables </w:t>
      </w:r>
      <w:r w:rsidR="003E382B" w:rsidRPr="00E72418">
        <w:rPr>
          <w:rFonts w:cs="Times New Roman"/>
          <w:szCs w:val="24"/>
        </w:rPr>
        <w:t xml:space="preserve">des </w:t>
      </w:r>
      <w:r w:rsidR="003E382B" w:rsidRPr="00E72418">
        <w:rPr>
          <w:lang w:eastAsia="fr-BE"/>
        </w:rPr>
        <w:t>É</w:t>
      </w:r>
      <w:r w:rsidR="001F2989" w:rsidRPr="00E72418">
        <w:rPr>
          <w:rFonts w:cs="Times New Roman"/>
          <w:szCs w:val="24"/>
        </w:rPr>
        <w:t xml:space="preserve">tats créanciers </w:t>
      </w:r>
      <w:r w:rsidR="00703D8C" w:rsidRPr="00E72418">
        <w:rPr>
          <w:rFonts w:cs="Times New Roman"/>
          <w:szCs w:val="24"/>
        </w:rPr>
        <w:t>ayant participé aux efforts d’allègement</w:t>
      </w:r>
      <w:r w:rsidR="00F16A29" w:rsidRPr="00E72418">
        <w:rPr>
          <w:rStyle w:val="Appelnotedebasdep"/>
          <w:rFonts w:cs="Times New Roman"/>
          <w:szCs w:val="24"/>
        </w:rPr>
        <w:footnoteReference w:id="1467"/>
      </w:r>
      <w:r w:rsidR="00703D8C" w:rsidRPr="00E72418">
        <w:rPr>
          <w:rFonts w:cs="Times New Roman"/>
          <w:szCs w:val="24"/>
        </w:rPr>
        <w:t>.</w:t>
      </w:r>
    </w:p>
    <w:p w14:paraId="050E9AD1" w14:textId="499481F2" w:rsidR="006E1C78" w:rsidRPr="00E72418" w:rsidRDefault="001F2989" w:rsidP="00CC4BA8">
      <w:pPr>
        <w:spacing w:line="276" w:lineRule="auto"/>
        <w:rPr>
          <w:rFonts w:cs="Times New Roman"/>
          <w:szCs w:val="24"/>
        </w:rPr>
      </w:pPr>
      <w:r w:rsidRPr="00E72418">
        <w:rPr>
          <w:rFonts w:cs="Times New Roman"/>
          <w:szCs w:val="24"/>
        </w:rPr>
        <w:t>La proposition</w:t>
      </w:r>
      <w:r w:rsidR="00880F5E" w:rsidRPr="00E72418">
        <w:rPr>
          <w:rFonts w:cs="Times New Roman"/>
          <w:szCs w:val="24"/>
        </w:rPr>
        <w:t xml:space="preserve"> vise</w:t>
      </w:r>
      <w:r w:rsidR="00E167AE" w:rsidRPr="00E72418">
        <w:rPr>
          <w:rFonts w:cs="Times New Roman"/>
          <w:szCs w:val="24"/>
        </w:rPr>
        <w:t xml:space="preserve"> précisément les « vulture creditors »</w:t>
      </w:r>
      <w:r w:rsidR="009C40EB" w:rsidRPr="00E72418">
        <w:rPr>
          <w:rFonts w:cs="Times New Roman"/>
          <w:szCs w:val="24"/>
        </w:rPr>
        <w:t>, souvent établis</w:t>
      </w:r>
      <w:r w:rsidR="00E167AE" w:rsidRPr="00E72418">
        <w:rPr>
          <w:rFonts w:cs="Times New Roman"/>
          <w:szCs w:val="24"/>
        </w:rPr>
        <w:t xml:space="preserve"> </w:t>
      </w:r>
      <w:r w:rsidR="009C40EB" w:rsidRPr="00E72418">
        <w:rPr>
          <w:rFonts w:cs="Times New Roman"/>
          <w:szCs w:val="24"/>
        </w:rPr>
        <w:t xml:space="preserve">dans des paradis fiscaux, </w:t>
      </w:r>
      <w:r w:rsidR="00E167AE" w:rsidRPr="00E72418">
        <w:rPr>
          <w:rFonts w:cs="Times New Roman"/>
          <w:szCs w:val="24"/>
        </w:rPr>
        <w:t xml:space="preserve">qui font l’acquisition de dettes </w:t>
      </w:r>
      <w:r w:rsidR="00330E23" w:rsidRPr="00E72418">
        <w:rPr>
          <w:rFonts w:cs="Times New Roman"/>
          <w:szCs w:val="24"/>
        </w:rPr>
        <w:t>ébranlées</w:t>
      </w:r>
      <w:r w:rsidR="00E167AE" w:rsidRPr="00E72418">
        <w:rPr>
          <w:rFonts w:cs="Times New Roman"/>
          <w:szCs w:val="24"/>
        </w:rPr>
        <w:t xml:space="preserve"> à prix réduit par rappo</w:t>
      </w:r>
      <w:r w:rsidR="00B66150" w:rsidRPr="00E72418">
        <w:rPr>
          <w:rFonts w:cs="Times New Roman"/>
          <w:szCs w:val="24"/>
        </w:rPr>
        <w:t xml:space="preserve">rt à leur valeur faciale </w:t>
      </w:r>
      <w:r w:rsidR="00E167AE" w:rsidRPr="00E72418">
        <w:rPr>
          <w:rFonts w:cs="Times New Roman"/>
          <w:szCs w:val="24"/>
        </w:rPr>
        <w:t>dans le seul objectif de rechercher le</w:t>
      </w:r>
      <w:r w:rsidR="00330E23" w:rsidRPr="00E72418">
        <w:rPr>
          <w:rFonts w:cs="Times New Roman"/>
          <w:szCs w:val="24"/>
        </w:rPr>
        <w:t>ur</w:t>
      </w:r>
      <w:r w:rsidR="00E167AE" w:rsidRPr="00E72418">
        <w:rPr>
          <w:rFonts w:cs="Times New Roman"/>
          <w:szCs w:val="24"/>
        </w:rPr>
        <w:t xml:space="preserve"> règlement </w:t>
      </w:r>
      <w:r w:rsidRPr="00E72418">
        <w:rPr>
          <w:rFonts w:cs="Times New Roman"/>
          <w:szCs w:val="24"/>
        </w:rPr>
        <w:t xml:space="preserve">à meilleurs termes </w:t>
      </w:r>
      <w:r w:rsidR="00E167AE" w:rsidRPr="00E72418">
        <w:rPr>
          <w:rFonts w:cs="Times New Roman"/>
          <w:szCs w:val="24"/>
        </w:rPr>
        <w:t xml:space="preserve">sans </w:t>
      </w:r>
      <w:r w:rsidRPr="00E72418">
        <w:rPr>
          <w:rFonts w:cs="Times New Roman"/>
          <w:szCs w:val="24"/>
        </w:rPr>
        <w:t xml:space="preserve">avoir </w:t>
      </w:r>
      <w:r w:rsidR="00E167AE" w:rsidRPr="00E72418">
        <w:rPr>
          <w:rFonts w:cs="Times New Roman"/>
          <w:szCs w:val="24"/>
        </w:rPr>
        <w:t xml:space="preserve">égard à ce que les autres créanciers </w:t>
      </w:r>
      <w:r w:rsidR="00880F5E" w:rsidRPr="00E72418">
        <w:rPr>
          <w:rFonts w:cs="Times New Roman"/>
          <w:szCs w:val="24"/>
        </w:rPr>
        <w:t>pourraient obtenir</w:t>
      </w:r>
      <w:r w:rsidR="00E167AE" w:rsidRPr="00E72418">
        <w:rPr>
          <w:rStyle w:val="Appelnotedebasdep"/>
          <w:rFonts w:cs="Times New Roman"/>
          <w:szCs w:val="24"/>
        </w:rPr>
        <w:footnoteReference w:id="1468"/>
      </w:r>
      <w:r w:rsidR="00E167AE" w:rsidRPr="00E72418">
        <w:rPr>
          <w:rFonts w:cs="Times New Roman"/>
          <w:szCs w:val="24"/>
        </w:rPr>
        <w:t>.</w:t>
      </w:r>
      <w:r w:rsidR="00F7366D" w:rsidRPr="00E72418">
        <w:rPr>
          <w:rFonts w:cs="Times New Roman"/>
          <w:szCs w:val="24"/>
        </w:rPr>
        <w:t xml:space="preserve"> </w:t>
      </w:r>
      <w:r w:rsidR="00EF4E2A" w:rsidRPr="00E72418">
        <w:rPr>
          <w:rFonts w:cs="Times New Roman"/>
          <w:szCs w:val="24"/>
        </w:rPr>
        <w:t>Les</w:t>
      </w:r>
      <w:r w:rsidR="009C40EB" w:rsidRPr="00E72418">
        <w:rPr>
          <w:rFonts w:cs="Times New Roman"/>
          <w:szCs w:val="24"/>
        </w:rPr>
        <w:t xml:space="preserve"> saisines des juridictions étatsuniennes opérées p</w:t>
      </w:r>
      <w:r w:rsidR="00F7366D" w:rsidRPr="00E72418">
        <w:rPr>
          <w:rFonts w:cs="Times New Roman"/>
          <w:szCs w:val="24"/>
        </w:rPr>
        <w:t>ar c</w:t>
      </w:r>
      <w:r w:rsidR="009C40EB" w:rsidRPr="00E72418">
        <w:rPr>
          <w:rFonts w:cs="Times New Roman"/>
          <w:szCs w:val="24"/>
        </w:rPr>
        <w:t xml:space="preserve">es créanciers </w:t>
      </w:r>
      <w:r w:rsidR="00EF4E2A" w:rsidRPr="00E72418">
        <w:rPr>
          <w:rFonts w:cs="Times New Roman"/>
          <w:szCs w:val="24"/>
        </w:rPr>
        <w:t xml:space="preserve">sont remarquées par la proposition qui relève </w:t>
      </w:r>
      <w:r w:rsidR="009C40EB" w:rsidRPr="00E72418">
        <w:rPr>
          <w:rFonts w:cs="Times New Roman"/>
          <w:szCs w:val="24"/>
        </w:rPr>
        <w:t>les conséquences négatives de celles-ci sur les relations étrangères</w:t>
      </w:r>
      <w:r w:rsidR="003E382B" w:rsidRPr="00E72418">
        <w:rPr>
          <w:rFonts w:cs="Times New Roman"/>
          <w:szCs w:val="24"/>
        </w:rPr>
        <w:t xml:space="preserve"> des </w:t>
      </w:r>
      <w:r w:rsidR="003E382B" w:rsidRPr="00E72418">
        <w:rPr>
          <w:lang w:eastAsia="fr-BE"/>
        </w:rPr>
        <w:t>É</w:t>
      </w:r>
      <w:r w:rsidR="006E1C78" w:rsidRPr="00E72418">
        <w:rPr>
          <w:rFonts w:cs="Times New Roman"/>
          <w:szCs w:val="24"/>
        </w:rPr>
        <w:t>tats-Unis</w:t>
      </w:r>
      <w:r w:rsidR="009C40EB" w:rsidRPr="00E72418">
        <w:rPr>
          <w:rStyle w:val="Appelnotedebasdep"/>
          <w:rFonts w:cs="Times New Roman"/>
          <w:szCs w:val="24"/>
        </w:rPr>
        <w:footnoteReference w:id="1469"/>
      </w:r>
      <w:r w:rsidR="00D9672A" w:rsidRPr="00E72418">
        <w:rPr>
          <w:rFonts w:cs="Times New Roman"/>
          <w:szCs w:val="24"/>
        </w:rPr>
        <w:t>.</w:t>
      </w:r>
    </w:p>
    <w:p w14:paraId="6149EA1E" w14:textId="77777777" w:rsidR="00D9672A" w:rsidRPr="00E72418" w:rsidRDefault="00D9672A" w:rsidP="00CC4BA8">
      <w:pPr>
        <w:spacing w:line="276" w:lineRule="auto"/>
        <w:rPr>
          <w:rFonts w:cs="Times New Roman"/>
          <w:szCs w:val="24"/>
        </w:rPr>
      </w:pPr>
    </w:p>
    <w:p w14:paraId="2AE9A61B" w14:textId="2A1E620F" w:rsidR="005F6F52" w:rsidRPr="00E72418" w:rsidRDefault="004469AC" w:rsidP="00CC4BA8">
      <w:pPr>
        <w:spacing w:line="276" w:lineRule="auto"/>
        <w:rPr>
          <w:rFonts w:cs="Times New Roman"/>
          <w:szCs w:val="24"/>
        </w:rPr>
      </w:pPr>
      <w:r w:rsidRPr="00E72418">
        <w:rPr>
          <w:rFonts w:cs="Times New Roman"/>
          <w:b/>
          <w:szCs w:val="24"/>
        </w:rPr>
        <w:t>296</w:t>
      </w:r>
      <w:r w:rsidR="00817D62" w:rsidRPr="00E72418">
        <w:rPr>
          <w:rFonts w:cs="Times New Roman"/>
          <w:b/>
          <w:szCs w:val="24"/>
        </w:rPr>
        <w:t xml:space="preserve">. </w:t>
      </w:r>
      <w:r w:rsidR="005F6F52" w:rsidRPr="00E72418">
        <w:rPr>
          <w:rFonts w:cs="Times New Roman"/>
          <w:b/>
          <w:szCs w:val="24"/>
        </w:rPr>
        <w:t>L’objectif –</w:t>
      </w:r>
      <w:r w:rsidR="00F7366D" w:rsidRPr="00E72418">
        <w:rPr>
          <w:rFonts w:cs="Times New Roman"/>
          <w:b/>
          <w:szCs w:val="24"/>
        </w:rPr>
        <w:t xml:space="preserve"> </w:t>
      </w:r>
      <w:r w:rsidR="00880F5E" w:rsidRPr="00E72418">
        <w:rPr>
          <w:rFonts w:cs="Times New Roman"/>
          <w:szCs w:val="24"/>
        </w:rPr>
        <w:t xml:space="preserve">La proposition de législation </w:t>
      </w:r>
      <w:r w:rsidR="00F7366D" w:rsidRPr="00E72418">
        <w:rPr>
          <w:rFonts w:cs="Times New Roman"/>
          <w:szCs w:val="24"/>
        </w:rPr>
        <w:t>étatsunienne</w:t>
      </w:r>
      <w:r w:rsidR="00880F5E" w:rsidRPr="00E72418">
        <w:rPr>
          <w:rFonts w:cs="Times New Roman"/>
          <w:szCs w:val="24"/>
        </w:rPr>
        <w:t xml:space="preserve"> </w:t>
      </w:r>
      <w:r w:rsidR="00F7366D" w:rsidRPr="00E72418">
        <w:rPr>
          <w:rFonts w:cs="Times New Roman"/>
          <w:szCs w:val="24"/>
        </w:rPr>
        <w:t>vise</w:t>
      </w:r>
      <w:r w:rsidR="006E1C78" w:rsidRPr="00E72418">
        <w:rPr>
          <w:rFonts w:cs="Times New Roman"/>
          <w:szCs w:val="24"/>
        </w:rPr>
        <w:t xml:space="preserve"> à empêcher la spéculation </w:t>
      </w:r>
      <w:r w:rsidR="00584F8E" w:rsidRPr="00E72418">
        <w:rPr>
          <w:rFonts w:cs="Times New Roman"/>
          <w:szCs w:val="24"/>
        </w:rPr>
        <w:t xml:space="preserve">et l’exploitation des </w:t>
      </w:r>
      <w:r w:rsidR="006E1C78" w:rsidRPr="00E72418">
        <w:rPr>
          <w:rFonts w:cs="Times New Roman"/>
          <w:szCs w:val="24"/>
        </w:rPr>
        <w:t xml:space="preserve">dettes souveraines </w:t>
      </w:r>
      <w:r w:rsidR="00B7072C" w:rsidRPr="00E72418">
        <w:rPr>
          <w:rFonts w:cs="Times New Roman"/>
          <w:szCs w:val="24"/>
        </w:rPr>
        <w:t>de pays pauvres</w:t>
      </w:r>
      <w:r w:rsidR="006E1C78" w:rsidRPr="00E72418">
        <w:rPr>
          <w:rFonts w:cs="Times New Roman"/>
          <w:szCs w:val="24"/>
        </w:rPr>
        <w:t xml:space="preserve"> et à</w:t>
      </w:r>
      <w:r w:rsidR="00F7366D" w:rsidRPr="00E72418">
        <w:rPr>
          <w:rFonts w:cs="Times New Roman"/>
          <w:szCs w:val="24"/>
        </w:rPr>
        <w:t xml:space="preserve"> é</w:t>
      </w:r>
      <w:r w:rsidR="003E382B" w:rsidRPr="00E72418">
        <w:rPr>
          <w:rFonts w:cs="Times New Roman"/>
          <w:szCs w:val="24"/>
        </w:rPr>
        <w:t xml:space="preserve">viter que les juridictions des </w:t>
      </w:r>
      <w:r w:rsidR="003E382B" w:rsidRPr="00E72418">
        <w:rPr>
          <w:lang w:eastAsia="fr-BE"/>
        </w:rPr>
        <w:t>É</w:t>
      </w:r>
      <w:r w:rsidR="00F7366D" w:rsidRPr="00E72418">
        <w:rPr>
          <w:rFonts w:cs="Times New Roman"/>
          <w:szCs w:val="24"/>
        </w:rPr>
        <w:t xml:space="preserve">tats-Unis </w:t>
      </w:r>
      <w:r w:rsidR="006E1C78" w:rsidRPr="00E72418">
        <w:rPr>
          <w:rFonts w:cs="Times New Roman"/>
          <w:szCs w:val="24"/>
        </w:rPr>
        <w:t>soient utilisée</w:t>
      </w:r>
      <w:r w:rsidR="00584F8E" w:rsidRPr="00E72418">
        <w:rPr>
          <w:rFonts w:cs="Times New Roman"/>
          <w:szCs w:val="24"/>
        </w:rPr>
        <w:t xml:space="preserve">s </w:t>
      </w:r>
      <w:r w:rsidR="00E9580A" w:rsidRPr="00E72418">
        <w:rPr>
          <w:rFonts w:cs="Times New Roman"/>
          <w:szCs w:val="24"/>
        </w:rPr>
        <w:t>à cette fin</w:t>
      </w:r>
      <w:r w:rsidR="006E1C78" w:rsidRPr="00E72418">
        <w:rPr>
          <w:rStyle w:val="Appelnotedebasdep"/>
          <w:rFonts w:cs="Times New Roman"/>
          <w:szCs w:val="24"/>
        </w:rPr>
        <w:footnoteReference w:id="1470"/>
      </w:r>
      <w:r w:rsidR="006E1C78" w:rsidRPr="00E72418">
        <w:rPr>
          <w:rFonts w:cs="Times New Roman"/>
          <w:szCs w:val="24"/>
        </w:rPr>
        <w:t>. S</w:t>
      </w:r>
      <w:r w:rsidR="005F6F52" w:rsidRPr="00E72418">
        <w:rPr>
          <w:rFonts w:cs="Times New Roman"/>
          <w:szCs w:val="24"/>
        </w:rPr>
        <w:t>elon le résumé de la législation</w:t>
      </w:r>
      <w:r w:rsidR="0013731C" w:rsidRPr="00E72418">
        <w:rPr>
          <w:rFonts w:cs="Times New Roman"/>
          <w:szCs w:val="24"/>
        </w:rPr>
        <w:t xml:space="preserve"> en projet</w:t>
      </w:r>
      <w:r w:rsidR="005F6F52" w:rsidRPr="00E72418">
        <w:rPr>
          <w:rFonts w:cs="Times New Roman"/>
          <w:szCs w:val="24"/>
        </w:rPr>
        <w:t>, celle-ci « prohibits : (1) any U.S. person from engaging in sovereign debt profiteering, or any person at all from engaging in such profiteering in the United States; and (2) any U.S. court from issuing a summons, subpoena, writ, judgment, attachment, or execution in aid of a claim which would further sovereign debt profiteering ».</w:t>
      </w:r>
    </w:p>
    <w:p w14:paraId="60962928" w14:textId="2E887B02" w:rsidR="005F6F52" w:rsidRPr="00E72418" w:rsidRDefault="00F7366D" w:rsidP="00CC4BA8">
      <w:pPr>
        <w:spacing w:line="276" w:lineRule="auto"/>
      </w:pPr>
      <w:r w:rsidRPr="00E72418">
        <w:rPr>
          <w:rFonts w:cs="Times New Roman"/>
          <w:szCs w:val="24"/>
        </w:rPr>
        <w:t>La proposition de 2009 insiste sur l’importance d’une</w:t>
      </w:r>
      <w:r w:rsidR="004A2729" w:rsidRPr="00E72418">
        <w:rPr>
          <w:rFonts w:cs="Times New Roman"/>
          <w:szCs w:val="24"/>
        </w:rPr>
        <w:t xml:space="preserve"> législation nationale visant </w:t>
      </w:r>
      <w:r w:rsidRPr="00E72418">
        <w:rPr>
          <w:rFonts w:cs="Times New Roman"/>
          <w:szCs w:val="24"/>
        </w:rPr>
        <w:t xml:space="preserve">la </w:t>
      </w:r>
      <w:r w:rsidR="004F7711" w:rsidRPr="00E72418">
        <w:rPr>
          <w:rFonts w:cs="Times New Roman"/>
          <w:szCs w:val="24"/>
        </w:rPr>
        <w:t xml:space="preserve">réglementation </w:t>
      </w:r>
      <w:r w:rsidRPr="00E72418">
        <w:rPr>
          <w:rFonts w:cs="Times New Roman"/>
          <w:szCs w:val="24"/>
        </w:rPr>
        <w:t>uniforme dans le pays des pratiques et procédures relatives aux contentieux intentés par les créanciers spéculateurs</w:t>
      </w:r>
      <w:r w:rsidRPr="00E72418">
        <w:rPr>
          <w:rStyle w:val="Appelnotedebasdep"/>
          <w:rFonts w:cs="Times New Roman"/>
          <w:szCs w:val="24"/>
        </w:rPr>
        <w:footnoteReference w:id="1471"/>
      </w:r>
      <w:r w:rsidR="009D5A78" w:rsidRPr="00E72418">
        <w:rPr>
          <w:rFonts w:cs="Times New Roman"/>
          <w:szCs w:val="24"/>
          <w:vertAlign w:val="superscript"/>
        </w:rPr>
        <w:t>,</w:t>
      </w:r>
      <w:r w:rsidR="009269EF" w:rsidRPr="00E72418">
        <w:rPr>
          <w:rStyle w:val="Appelnotedebasdep"/>
          <w:rFonts w:cs="Times New Roman"/>
          <w:szCs w:val="24"/>
        </w:rPr>
        <w:footnoteReference w:id="1472"/>
      </w:r>
      <w:r w:rsidRPr="00E72418">
        <w:rPr>
          <w:rFonts w:cs="Times New Roman"/>
          <w:szCs w:val="24"/>
        </w:rPr>
        <w:t>. V</w:t>
      </w:r>
      <w:r w:rsidRPr="00E72418">
        <w:t>u l’important recours de ces créanciers</w:t>
      </w:r>
      <w:r w:rsidR="005F6F52" w:rsidRPr="00E72418">
        <w:t xml:space="preserve"> aux juridictions étatsuniennes afin d’obtenir des décisions de condamnation</w:t>
      </w:r>
      <w:r w:rsidR="00E9580A" w:rsidRPr="00E72418">
        <w:t xml:space="preserve"> de leurs débiteurs </w:t>
      </w:r>
      <w:r w:rsidR="00E9580A" w:rsidRPr="00E72418">
        <w:lastRenderedPageBreak/>
        <w:t>souverains</w:t>
      </w:r>
      <w:r w:rsidR="005F6F52" w:rsidRPr="00E72418">
        <w:t xml:space="preserve">, </w:t>
      </w:r>
      <w:r w:rsidRPr="00E72418">
        <w:t xml:space="preserve">l’on ne saurait douter de l’impact important de </w:t>
      </w:r>
      <w:r w:rsidR="005F6F52" w:rsidRPr="00E72418">
        <w:t>la législation envisagée sur leurs activités.</w:t>
      </w:r>
    </w:p>
    <w:p w14:paraId="7BB5CB14" w14:textId="77777777" w:rsidR="005F6F52" w:rsidRPr="00E72418" w:rsidRDefault="005F6F52" w:rsidP="00827E6E"/>
    <w:p w14:paraId="083CBF85" w14:textId="19AF50C0" w:rsidR="005F6F52" w:rsidRPr="00E72418" w:rsidRDefault="002F7FBF" w:rsidP="00CC4BA8">
      <w:pPr>
        <w:pStyle w:val="DD"/>
        <w:spacing w:afterLines="60" w:after="144" w:line="276" w:lineRule="auto"/>
      </w:pPr>
      <w:bookmarkStart w:id="352" w:name="_Toc37777381"/>
      <w:bookmarkStart w:id="353" w:name="_Toc59280983"/>
      <w:bookmarkStart w:id="354" w:name="_Toc84540974"/>
      <w:r w:rsidRPr="00E72418">
        <w:t xml:space="preserve">Section 2 : </w:t>
      </w:r>
      <w:r w:rsidR="005F6F52" w:rsidRPr="00E72418">
        <w:t>Le mécanisme</w:t>
      </w:r>
      <w:bookmarkEnd w:id="352"/>
      <w:bookmarkEnd w:id="353"/>
      <w:bookmarkEnd w:id="354"/>
    </w:p>
    <w:p w14:paraId="2119377C" w14:textId="77777777" w:rsidR="004007D2" w:rsidRPr="00E72418" w:rsidRDefault="004007D2" w:rsidP="00827E6E"/>
    <w:p w14:paraId="21895B6F" w14:textId="39712C2D" w:rsidR="003658BE" w:rsidRPr="00E72418" w:rsidRDefault="004469AC" w:rsidP="00CC4BA8">
      <w:pPr>
        <w:spacing w:line="276" w:lineRule="auto"/>
      </w:pPr>
      <w:r w:rsidRPr="00E72418">
        <w:rPr>
          <w:b/>
        </w:rPr>
        <w:t>297</w:t>
      </w:r>
      <w:r w:rsidR="00817D62" w:rsidRPr="00E72418">
        <w:rPr>
          <w:b/>
        </w:rPr>
        <w:t xml:space="preserve">. </w:t>
      </w:r>
      <w:r w:rsidR="00807199" w:rsidRPr="00E72418">
        <w:rPr>
          <w:b/>
        </w:rPr>
        <w:t>L</w:t>
      </w:r>
      <w:r w:rsidR="0085466E" w:rsidRPr="00E72418">
        <w:rPr>
          <w:b/>
        </w:rPr>
        <w:t>’</w:t>
      </w:r>
      <w:r w:rsidR="00807199" w:rsidRPr="00E72418">
        <w:rPr>
          <w:b/>
        </w:rPr>
        <w:t>a</w:t>
      </w:r>
      <w:r w:rsidR="0085466E" w:rsidRPr="00E72418">
        <w:rPr>
          <w:b/>
        </w:rPr>
        <w:t>ctivité d’exploitation de</w:t>
      </w:r>
      <w:r w:rsidR="00F7366D" w:rsidRPr="00E72418">
        <w:rPr>
          <w:b/>
        </w:rPr>
        <w:t>s</w:t>
      </w:r>
      <w:r w:rsidR="0085466E" w:rsidRPr="00E72418">
        <w:rPr>
          <w:b/>
        </w:rPr>
        <w:t xml:space="preserve"> dettes souveraines </w:t>
      </w:r>
      <w:r w:rsidR="00183743" w:rsidRPr="00E72418">
        <w:rPr>
          <w:b/>
        </w:rPr>
        <w:t>–</w:t>
      </w:r>
      <w:r w:rsidR="00807199" w:rsidRPr="00E72418">
        <w:rPr>
          <w:b/>
        </w:rPr>
        <w:t xml:space="preserve"> </w:t>
      </w:r>
      <w:r w:rsidR="00880F5E" w:rsidRPr="00E72418">
        <w:t xml:space="preserve">La proposition </w:t>
      </w:r>
      <w:r w:rsidR="00E9580A" w:rsidRPr="00E72418">
        <w:t xml:space="preserve">étatsunienne </w:t>
      </w:r>
      <w:r w:rsidR="00880F5E" w:rsidRPr="00E72418">
        <w:t>vise</w:t>
      </w:r>
      <w:r w:rsidR="00372DFE">
        <w:t xml:space="preserve"> à lutter contre la</w:t>
      </w:r>
      <w:r w:rsidR="00183743" w:rsidRPr="00E72418">
        <w:t xml:space="preserve"> « soverei</w:t>
      </w:r>
      <w:r w:rsidR="00F7366D" w:rsidRPr="00E72418">
        <w:t>gn debt profiteering » qu’elle définit</w:t>
      </w:r>
      <w:r w:rsidR="00183743" w:rsidRPr="00E72418">
        <w:t xml:space="preserve"> comme </w:t>
      </w:r>
      <w:r w:rsidR="00880840" w:rsidRPr="00E72418">
        <w:t xml:space="preserve">« any act by a vulture creditor seeking, directly or indirectly, the payment of part or all of defaulted sovereign debt of a qualified poor country, in an amount that exceeds the total amount paid by the vulture creditor to acquire the interest of the vulture creditor in the defaulted sovereign debt (excluding any amount paid for attorneys’ fees or other fees and costs associated with collection), plus 6 percent simple interest per year on the total amount, calculated from the date the defaulted </w:t>
      </w:r>
      <w:r w:rsidR="00F7366D" w:rsidRPr="00E72418">
        <w:t>sovereign debt was so acquired […] »</w:t>
      </w:r>
      <w:r w:rsidR="007C7AE6" w:rsidRPr="00E72418">
        <w:rPr>
          <w:rStyle w:val="Appelnotedebasdep"/>
          <w:rFonts w:cs="Times New Roman"/>
          <w:szCs w:val="24"/>
        </w:rPr>
        <w:footnoteReference w:id="1473"/>
      </w:r>
      <w:r w:rsidR="00F7366D" w:rsidRPr="00E72418">
        <w:t xml:space="preserve">. </w:t>
      </w:r>
    </w:p>
    <w:p w14:paraId="2D8580AD" w14:textId="3D65BA5C" w:rsidR="00807199" w:rsidRPr="00E72418" w:rsidRDefault="00F7366D" w:rsidP="00CC4BA8">
      <w:pPr>
        <w:spacing w:line="276" w:lineRule="auto"/>
      </w:pPr>
      <w:r w:rsidRPr="00E72418">
        <w:t>Il est toutefois précisé que « t</w:t>
      </w:r>
      <w:r w:rsidR="00880840" w:rsidRPr="00E72418">
        <w:t>he term does not include the purchase or sale of such a debt, or the acceptance of a payment in satisfaction of the debt obligation, without threat of, or recourse to, litigation »</w:t>
      </w:r>
      <w:r w:rsidR="00880840" w:rsidRPr="00E72418">
        <w:rPr>
          <w:rStyle w:val="Appelnotedebasdep"/>
          <w:rFonts w:cs="Times New Roman"/>
          <w:szCs w:val="24"/>
        </w:rPr>
        <w:footnoteReference w:id="1474"/>
      </w:r>
      <w:r w:rsidR="00183743" w:rsidRPr="00E72418">
        <w:t>.</w:t>
      </w:r>
      <w:r w:rsidR="003658BE" w:rsidRPr="00E72418">
        <w:t xml:space="preserve"> Ainsi, la proposition étatsunienne exclut du mécanisme qu’elle cherche à mettre en place </w:t>
      </w:r>
      <w:r w:rsidR="003E382B" w:rsidRPr="00E72418">
        <w:t xml:space="preserve">les situations où </w:t>
      </w:r>
      <w:r w:rsidR="003E382B" w:rsidRPr="00E72418">
        <w:rPr>
          <w:lang w:eastAsia="fr-BE"/>
        </w:rPr>
        <w:t>É</w:t>
      </w:r>
      <w:r w:rsidR="003658BE" w:rsidRPr="00E72418">
        <w:t>tat</w:t>
      </w:r>
      <w:r w:rsidR="00F25880" w:rsidRPr="00E72418">
        <w:t>s</w:t>
      </w:r>
      <w:r w:rsidR="003658BE" w:rsidRPr="00E72418">
        <w:t xml:space="preserve"> débiteur</w:t>
      </w:r>
      <w:r w:rsidR="00F25880" w:rsidRPr="00E72418">
        <w:t>s</w:t>
      </w:r>
      <w:r w:rsidR="003658BE" w:rsidRPr="00E72418">
        <w:t xml:space="preserve"> et créancier</w:t>
      </w:r>
      <w:r w:rsidR="00F25880" w:rsidRPr="00E72418">
        <w:t>s</w:t>
      </w:r>
      <w:r w:rsidR="003658BE" w:rsidRPr="00E72418">
        <w:t xml:space="preserve"> s’entendent et parviennent à un accord négocié</w:t>
      </w:r>
      <w:r w:rsidR="003658BE" w:rsidRPr="00E72418">
        <w:rPr>
          <w:rStyle w:val="Appelnotedebasdep"/>
          <w:szCs w:val="24"/>
        </w:rPr>
        <w:footnoteReference w:id="1475"/>
      </w:r>
      <w:r w:rsidR="003658BE" w:rsidRPr="00E72418">
        <w:t xml:space="preserve">. Cette exclusion prend ainsi en compte la caractéristique quérulente des fonds spéculatifs dont elle entend </w:t>
      </w:r>
      <w:r w:rsidR="00D84FB8" w:rsidRPr="00E72418">
        <w:t xml:space="preserve">restreindre </w:t>
      </w:r>
      <w:r w:rsidR="003658BE" w:rsidRPr="00E72418">
        <w:t>les activités.</w:t>
      </w:r>
      <w:r w:rsidR="007C7AE6" w:rsidRPr="00E72418">
        <w:t xml:space="preserve"> </w:t>
      </w:r>
      <w:r w:rsidR="00BF33C8" w:rsidRPr="00E72418">
        <w:t>Il ne saurait être question d’exploitation de dettes souveraines lorsqu’aucun contentieux ni menace de contentieux n’a lieu</w:t>
      </w:r>
      <w:r w:rsidR="00485466" w:rsidRPr="00E72418">
        <w:t>.</w:t>
      </w:r>
    </w:p>
    <w:p w14:paraId="75A62E08" w14:textId="77777777" w:rsidR="001A5390" w:rsidRPr="00E72418" w:rsidRDefault="001A5390" w:rsidP="00827E6E"/>
    <w:p w14:paraId="0340EA29" w14:textId="42EABA5D" w:rsidR="003658BE" w:rsidRPr="00E72418" w:rsidRDefault="004469AC" w:rsidP="00CC4BA8">
      <w:pPr>
        <w:spacing w:line="276" w:lineRule="auto"/>
      </w:pPr>
      <w:r w:rsidRPr="00E72418">
        <w:rPr>
          <w:b/>
        </w:rPr>
        <w:t>298</w:t>
      </w:r>
      <w:r w:rsidR="00817D62" w:rsidRPr="00E72418">
        <w:rPr>
          <w:b/>
        </w:rPr>
        <w:t xml:space="preserve">. </w:t>
      </w:r>
      <w:r w:rsidR="0085466E" w:rsidRPr="00E72418">
        <w:rPr>
          <w:b/>
        </w:rPr>
        <w:t>Un montant maximal</w:t>
      </w:r>
      <w:r w:rsidR="007428BD" w:rsidRPr="00E72418">
        <w:rPr>
          <w:b/>
        </w:rPr>
        <w:t xml:space="preserve"> </w:t>
      </w:r>
      <w:r w:rsidR="0085466E" w:rsidRPr="00E72418">
        <w:rPr>
          <w:b/>
        </w:rPr>
        <w:t>–</w:t>
      </w:r>
      <w:r w:rsidR="0085466E" w:rsidRPr="00E72418">
        <w:t xml:space="preserve"> </w:t>
      </w:r>
      <w:r w:rsidR="00880F5E" w:rsidRPr="00E72418">
        <w:t xml:space="preserve">La proposition </w:t>
      </w:r>
      <w:r w:rsidR="007428BD" w:rsidRPr="00E72418">
        <w:t>d</w:t>
      </w:r>
      <w:r w:rsidR="00880F5E" w:rsidRPr="00E72418">
        <w:t xml:space="preserve">e législation </w:t>
      </w:r>
      <w:r w:rsidR="00E9580A" w:rsidRPr="00E72418">
        <w:t>ambitionne d’</w:t>
      </w:r>
      <w:r w:rsidR="0085466E" w:rsidRPr="00E72418">
        <w:t>empêch</w:t>
      </w:r>
      <w:r w:rsidR="007428BD" w:rsidRPr="00E72418">
        <w:t>er l’exploitation des</w:t>
      </w:r>
      <w:r w:rsidR="0085466E" w:rsidRPr="00E72418">
        <w:t xml:space="preserve"> dettes souveraines en limitant le montant recouvrable par les créanciers</w:t>
      </w:r>
      <w:r w:rsidR="007428BD" w:rsidRPr="00E72418">
        <w:t xml:space="preserve"> secondaires </w:t>
      </w:r>
      <w:r w:rsidR="00E9580A" w:rsidRPr="00E72418">
        <w:t>qui en ont</w:t>
      </w:r>
      <w:r w:rsidR="007428BD" w:rsidRPr="00E72418">
        <w:t xml:space="preserve"> fait l’acquisition à un prix réduit par rapport à leur valeur faciale</w:t>
      </w:r>
      <w:r w:rsidR="0085466E" w:rsidRPr="00E72418">
        <w:t xml:space="preserve">. </w:t>
      </w:r>
      <w:r w:rsidR="003658BE" w:rsidRPr="00E72418">
        <w:t>Dans la proposition, i</w:t>
      </w:r>
      <w:r w:rsidR="007428BD" w:rsidRPr="00E72418">
        <w:t xml:space="preserve">l </w:t>
      </w:r>
      <w:r w:rsidR="003658BE" w:rsidRPr="00E72418">
        <w:t>est</w:t>
      </w:r>
      <w:r w:rsidR="007428BD" w:rsidRPr="00E72418">
        <w:t xml:space="preserve"> question d’exploitation </w:t>
      </w:r>
      <w:r w:rsidR="0085466E" w:rsidRPr="00E72418">
        <w:t xml:space="preserve">lorsqu’un créancier cherche à obtenir un montant excédant </w:t>
      </w:r>
      <w:r w:rsidR="003658BE" w:rsidRPr="00E72418">
        <w:t>celui de l’</w:t>
      </w:r>
      <w:r w:rsidR="007428BD" w:rsidRPr="00E72418">
        <w:t xml:space="preserve">acquisition de la dette en défaut </w:t>
      </w:r>
      <w:r w:rsidR="003658BE" w:rsidRPr="00E72418">
        <w:t>majoré</w:t>
      </w:r>
      <w:r w:rsidR="007428BD" w:rsidRPr="00E72418">
        <w:t xml:space="preserve"> d’un inté</w:t>
      </w:r>
      <w:r w:rsidR="0079230B" w:rsidRPr="00E72418">
        <w:t>rêt de six pour cent</w:t>
      </w:r>
      <w:r w:rsidR="007428BD" w:rsidRPr="00E72418">
        <w:t xml:space="preserve"> l’an</w:t>
      </w:r>
      <w:r w:rsidR="001E39D4" w:rsidRPr="00E72418">
        <w:rPr>
          <w:rStyle w:val="Appelnotedebasdep"/>
        </w:rPr>
        <w:footnoteReference w:id="1476"/>
      </w:r>
      <w:r w:rsidR="007428BD" w:rsidRPr="00E72418">
        <w:t>.</w:t>
      </w:r>
      <w:r w:rsidR="003658BE" w:rsidRPr="00E72418">
        <w:t xml:space="preserve"> Le texte en projet prévoit que ne sont pas compris dans le calcul du montant maximal recouvrable les frais d’avocat</w:t>
      </w:r>
      <w:r w:rsidR="00305399" w:rsidRPr="00E72418">
        <w:t>s</w:t>
      </w:r>
      <w:r w:rsidR="003658BE" w:rsidRPr="00E72418">
        <w:t xml:space="preserve"> et autres coûts liés au recouvrement de la dette.</w:t>
      </w:r>
    </w:p>
    <w:p w14:paraId="6C63E71B" w14:textId="13A9EE4D" w:rsidR="0085466E" w:rsidRPr="00E72418" w:rsidRDefault="007428BD" w:rsidP="00CC4BA8">
      <w:pPr>
        <w:spacing w:line="276" w:lineRule="auto"/>
      </w:pPr>
      <w:r w:rsidRPr="00E72418">
        <w:t>La</w:t>
      </w:r>
      <w:r w:rsidR="0085466E" w:rsidRPr="00E72418">
        <w:t xml:space="preserve"> possibilité </w:t>
      </w:r>
      <w:r w:rsidR="003658BE" w:rsidRPr="00E72418">
        <w:t xml:space="preserve">offerte au créancier </w:t>
      </w:r>
      <w:r w:rsidRPr="00E72418">
        <w:t xml:space="preserve">d’obtenir un intérêt </w:t>
      </w:r>
      <w:r w:rsidR="00305399" w:rsidRPr="00E72418">
        <w:t>de six pour</w:t>
      </w:r>
      <w:r w:rsidR="007C22BA" w:rsidRPr="00E72418">
        <w:t xml:space="preserve"> cent</w:t>
      </w:r>
      <w:r w:rsidR="00305399" w:rsidRPr="00E72418">
        <w:t xml:space="preserve"> l’an </w:t>
      </w:r>
      <w:r w:rsidR="007C7AE6" w:rsidRPr="00E72418">
        <w:t xml:space="preserve">sur le montant réglé pour faire l’acquisition de la dette sur le marché secondaire </w:t>
      </w:r>
      <w:r w:rsidR="003658BE" w:rsidRPr="00E72418">
        <w:t>s’inscrit logiquement dans le souci de neutraliser le caractère abusif de l’exercice de</w:t>
      </w:r>
      <w:r w:rsidR="007C7AE6" w:rsidRPr="00E72418">
        <w:t xml:space="preserve"> se</w:t>
      </w:r>
      <w:r w:rsidR="003658BE" w:rsidRPr="00E72418">
        <w:t>s droits</w:t>
      </w:r>
      <w:r w:rsidR="00B66150" w:rsidRPr="00E72418">
        <w:t>,</w:t>
      </w:r>
      <w:r w:rsidR="007C7AE6" w:rsidRPr="00E72418">
        <w:t xml:space="preserve"> et ce</w:t>
      </w:r>
      <w:r w:rsidR="003658BE" w:rsidRPr="00E72418">
        <w:t>, en réduisant sa demande à une prétention normale pour un acteur financier cherchant à faire un bénéfice au moyen de son investissement</w:t>
      </w:r>
      <w:r w:rsidR="003658BE" w:rsidRPr="00E72418">
        <w:rPr>
          <w:rStyle w:val="Appelnotedebasdep"/>
        </w:rPr>
        <w:footnoteReference w:id="1477"/>
      </w:r>
      <w:r w:rsidR="003658BE" w:rsidRPr="00E72418">
        <w:t xml:space="preserve">. </w:t>
      </w:r>
      <w:r w:rsidR="00305399" w:rsidRPr="00E72418">
        <w:t xml:space="preserve">Il </w:t>
      </w:r>
      <w:r w:rsidR="007C7AE6" w:rsidRPr="00E72418">
        <w:t xml:space="preserve">paraît </w:t>
      </w:r>
      <w:r w:rsidR="00305399" w:rsidRPr="00E72418">
        <w:t xml:space="preserve">en effet </w:t>
      </w:r>
      <w:r w:rsidR="007C7AE6" w:rsidRPr="00E72418">
        <w:t xml:space="preserve">difficilement reprochable à un créancier de rechercher à </w:t>
      </w:r>
      <w:r w:rsidR="007C7AE6" w:rsidRPr="00E72418">
        <w:lastRenderedPageBreak/>
        <w:t>obtenir une compensation pour le risque encouru de ne pas récupérer l’argent engagé et pour l’indisponibilité de cet argent</w:t>
      </w:r>
      <w:r w:rsidR="007C7AE6" w:rsidRPr="00E72418">
        <w:rPr>
          <w:rStyle w:val="Appelnotedebasdep"/>
        </w:rPr>
        <w:footnoteReference w:id="1478"/>
      </w:r>
      <w:r w:rsidR="007C7AE6" w:rsidRPr="00E72418">
        <w:t>.</w:t>
      </w:r>
    </w:p>
    <w:p w14:paraId="4FA5EA33" w14:textId="77777777" w:rsidR="001A5390" w:rsidRPr="00E72418" w:rsidRDefault="001A5390" w:rsidP="00827E6E"/>
    <w:p w14:paraId="584373CE" w14:textId="1DE33CCB" w:rsidR="00CA3A06" w:rsidRPr="00E72418" w:rsidRDefault="004469AC" w:rsidP="00CC4BA8">
      <w:pPr>
        <w:spacing w:line="276" w:lineRule="auto"/>
        <w:rPr>
          <w:rFonts w:ascii="Times New Roman" w:hAnsi="Times New Roman"/>
        </w:rPr>
      </w:pPr>
      <w:r w:rsidRPr="00E72418">
        <w:rPr>
          <w:rFonts w:ascii="Times New Roman" w:hAnsi="Times New Roman"/>
          <w:b/>
        </w:rPr>
        <w:t>299</w:t>
      </w:r>
      <w:r w:rsidR="00817D62" w:rsidRPr="00E72418">
        <w:rPr>
          <w:rFonts w:ascii="Times New Roman" w:hAnsi="Times New Roman"/>
          <w:b/>
        </w:rPr>
        <w:t xml:space="preserve">. </w:t>
      </w:r>
      <w:r w:rsidR="003464FE" w:rsidRPr="00E72418">
        <w:rPr>
          <w:rFonts w:ascii="Times New Roman" w:hAnsi="Times New Roman"/>
          <w:b/>
        </w:rPr>
        <w:t>L’interdiction de s’engager dans l’activité d’exploitation de</w:t>
      </w:r>
      <w:r w:rsidR="003643D7" w:rsidRPr="00E72418">
        <w:rPr>
          <w:rFonts w:ascii="Times New Roman" w:hAnsi="Times New Roman"/>
          <w:b/>
        </w:rPr>
        <w:t>s</w:t>
      </w:r>
      <w:r w:rsidR="003464FE" w:rsidRPr="00E72418">
        <w:rPr>
          <w:rFonts w:ascii="Times New Roman" w:hAnsi="Times New Roman"/>
          <w:b/>
        </w:rPr>
        <w:t xml:space="preserve"> dettes souveraines </w:t>
      </w:r>
      <w:r w:rsidR="007225D4" w:rsidRPr="00E72418">
        <w:rPr>
          <w:rFonts w:ascii="Times New Roman" w:hAnsi="Times New Roman"/>
          <w:b/>
        </w:rPr>
        <w:t xml:space="preserve">et sa pénalisation </w:t>
      </w:r>
      <w:r w:rsidR="00DA38E4" w:rsidRPr="00E72418">
        <w:rPr>
          <w:b/>
        </w:rPr>
        <w:t>–</w:t>
      </w:r>
      <w:r w:rsidR="003464FE" w:rsidRPr="00E72418">
        <w:rPr>
          <w:rFonts w:ascii="Times New Roman" w:hAnsi="Times New Roman"/>
          <w:b/>
        </w:rPr>
        <w:t xml:space="preserve"> </w:t>
      </w:r>
      <w:r w:rsidR="00194CAA" w:rsidRPr="00E72418">
        <w:rPr>
          <w:rFonts w:ascii="Times New Roman" w:hAnsi="Times New Roman"/>
        </w:rPr>
        <w:t>La</w:t>
      </w:r>
      <w:r w:rsidR="0085466E" w:rsidRPr="00E72418">
        <w:rPr>
          <w:rFonts w:ascii="Times New Roman" w:hAnsi="Times New Roman"/>
        </w:rPr>
        <w:t xml:space="preserve"> loi en </w:t>
      </w:r>
      <w:r w:rsidR="003643D7" w:rsidRPr="00E72418">
        <w:rPr>
          <w:rFonts w:ascii="Times New Roman" w:hAnsi="Times New Roman"/>
        </w:rPr>
        <w:t>projet pose</w:t>
      </w:r>
      <w:r w:rsidR="0085466E" w:rsidRPr="00E72418">
        <w:rPr>
          <w:rFonts w:ascii="Times New Roman" w:hAnsi="Times New Roman"/>
        </w:rPr>
        <w:t xml:space="preserve"> l’interdiction de s’engager dans l’activité de «</w:t>
      </w:r>
      <w:r w:rsidR="007225D4" w:rsidRPr="00E72418">
        <w:rPr>
          <w:rFonts w:ascii="Times New Roman" w:hAnsi="Times New Roman"/>
        </w:rPr>
        <w:t> sovereign debt</w:t>
      </w:r>
      <w:r w:rsidR="003643D7" w:rsidRPr="00E72418">
        <w:rPr>
          <w:rFonts w:ascii="Times New Roman" w:hAnsi="Times New Roman"/>
        </w:rPr>
        <w:t xml:space="preserve"> profiteering » et la pénalise</w:t>
      </w:r>
      <w:r w:rsidR="00194CAA" w:rsidRPr="00E72418">
        <w:rPr>
          <w:rStyle w:val="Appelnotedebasdep"/>
          <w:rFonts w:ascii="Times New Roman" w:hAnsi="Times New Roman"/>
        </w:rPr>
        <w:footnoteReference w:id="1479"/>
      </w:r>
      <w:r w:rsidR="007225D4" w:rsidRPr="00E72418">
        <w:rPr>
          <w:rFonts w:ascii="Times New Roman" w:hAnsi="Times New Roman"/>
        </w:rPr>
        <w:t>.</w:t>
      </w:r>
      <w:r w:rsidR="00194CAA" w:rsidRPr="00E72418">
        <w:rPr>
          <w:rFonts w:ascii="Times New Roman" w:hAnsi="Times New Roman"/>
        </w:rPr>
        <w:t xml:space="preserve"> </w:t>
      </w:r>
      <w:r w:rsidR="003464FE" w:rsidRPr="00E72418">
        <w:rPr>
          <w:rFonts w:ascii="Times New Roman" w:hAnsi="Times New Roman"/>
        </w:rPr>
        <w:t xml:space="preserve">L’article </w:t>
      </w:r>
      <w:r w:rsidR="0085466E" w:rsidRPr="00E72418">
        <w:rPr>
          <w:rFonts w:ascii="Times New Roman" w:hAnsi="Times New Roman"/>
        </w:rPr>
        <w:t>4(a) de l</w:t>
      </w:r>
      <w:r w:rsidR="003643D7" w:rsidRPr="00E72418">
        <w:rPr>
          <w:rFonts w:ascii="Times New Roman" w:hAnsi="Times New Roman"/>
        </w:rPr>
        <w:t xml:space="preserve">a </w:t>
      </w:r>
      <w:r w:rsidR="00194CAA" w:rsidRPr="00E72418">
        <w:rPr>
          <w:rFonts w:ascii="Times New Roman" w:hAnsi="Times New Roman"/>
        </w:rPr>
        <w:t>proposition</w:t>
      </w:r>
      <w:r w:rsidR="003643D7" w:rsidRPr="00E72418">
        <w:rPr>
          <w:rFonts w:ascii="Times New Roman" w:hAnsi="Times New Roman"/>
        </w:rPr>
        <w:t xml:space="preserve"> dispose</w:t>
      </w:r>
      <w:r w:rsidR="00194CAA" w:rsidRPr="00E72418">
        <w:rPr>
          <w:rFonts w:ascii="Times New Roman" w:hAnsi="Times New Roman"/>
        </w:rPr>
        <w:t xml:space="preserve"> ainsi</w:t>
      </w:r>
      <w:r w:rsidR="0004079A" w:rsidRPr="00E72418">
        <w:rPr>
          <w:rFonts w:ascii="Times New Roman" w:hAnsi="Times New Roman"/>
        </w:rPr>
        <w:t xml:space="preserve"> qu’</w:t>
      </w:r>
      <w:r w:rsidR="003464FE" w:rsidRPr="00E72418">
        <w:rPr>
          <w:rFonts w:ascii="Times New Roman" w:hAnsi="Times New Roman"/>
        </w:rPr>
        <w:t xml:space="preserve"> « </w:t>
      </w:r>
      <w:r w:rsidR="003464FE" w:rsidRPr="00E72418">
        <w:t>[i]</w:t>
      </w:r>
      <w:r w:rsidR="003464FE" w:rsidRPr="00E72418">
        <w:rPr>
          <w:rFonts w:ascii="Times New Roman" w:hAnsi="Times New Roman"/>
        </w:rPr>
        <w:t>t shall be unlawful for any United States person, directly or indirectly, to engage in sovereign debt profiteering, or for any person, directly or indirectly, to engage in sovereign debt profiteering in the United States »</w:t>
      </w:r>
      <w:r w:rsidR="007225D4" w:rsidRPr="00E72418">
        <w:rPr>
          <w:rStyle w:val="Appelnotedebasdep"/>
          <w:rFonts w:ascii="Times New Roman" w:hAnsi="Times New Roman" w:cs="Times New Roman"/>
          <w:szCs w:val="24"/>
        </w:rPr>
        <w:footnoteReference w:id="1480"/>
      </w:r>
      <w:r w:rsidR="003643D7" w:rsidRPr="00E72418">
        <w:rPr>
          <w:rFonts w:ascii="Times New Roman" w:hAnsi="Times New Roman"/>
        </w:rPr>
        <w:t xml:space="preserve">. </w:t>
      </w:r>
      <w:r w:rsidR="003464FE" w:rsidRPr="00E72418">
        <w:rPr>
          <w:rFonts w:ascii="Times New Roman" w:hAnsi="Times New Roman"/>
        </w:rPr>
        <w:t xml:space="preserve">L’idée est donc de rendre illégale pour une personne </w:t>
      </w:r>
      <w:r w:rsidR="003643D7" w:rsidRPr="00E72418">
        <w:rPr>
          <w:rFonts w:ascii="Times New Roman" w:hAnsi="Times New Roman"/>
        </w:rPr>
        <w:t>étatsunienne</w:t>
      </w:r>
      <w:r w:rsidR="003464FE" w:rsidRPr="00E72418">
        <w:rPr>
          <w:rFonts w:ascii="Times New Roman" w:hAnsi="Times New Roman"/>
        </w:rPr>
        <w:t xml:space="preserve"> d’e</w:t>
      </w:r>
      <w:r w:rsidR="003643D7" w:rsidRPr="00E72418">
        <w:rPr>
          <w:rFonts w:ascii="Times New Roman" w:hAnsi="Times New Roman"/>
        </w:rPr>
        <w:t xml:space="preserve">xploiter des dettes souveraines. </w:t>
      </w:r>
      <w:r w:rsidR="00194CAA" w:rsidRPr="00E72418">
        <w:rPr>
          <w:rFonts w:ascii="Times New Roman" w:hAnsi="Times New Roman"/>
        </w:rPr>
        <w:t xml:space="preserve">L’activité d’exploitation est également illégale si elle est pratiquée par une personne qui n’est pas étatsunienne mais qui s’y adonne aux </w:t>
      </w:r>
      <w:r w:rsidR="00194CAA" w:rsidRPr="00E72418">
        <w:rPr>
          <w:lang w:eastAsia="fr-BE"/>
        </w:rPr>
        <w:t>É</w:t>
      </w:r>
      <w:r w:rsidR="00194CAA" w:rsidRPr="00E72418">
        <w:rPr>
          <w:rFonts w:ascii="Times New Roman" w:hAnsi="Times New Roman"/>
        </w:rPr>
        <w:t xml:space="preserve">tats-Unis. </w:t>
      </w:r>
    </w:p>
    <w:p w14:paraId="3A00D195" w14:textId="63224E97" w:rsidR="00CA3A06" w:rsidRPr="00E72418" w:rsidRDefault="00194CAA" w:rsidP="00CC4BA8">
      <w:pPr>
        <w:spacing w:line="276" w:lineRule="auto"/>
        <w:rPr>
          <w:rFonts w:ascii="Times New Roman" w:hAnsi="Times New Roman"/>
        </w:rPr>
      </w:pPr>
      <w:r w:rsidRPr="00E72418">
        <w:rPr>
          <w:rFonts w:ascii="Times New Roman" w:hAnsi="Times New Roman"/>
        </w:rPr>
        <w:t>Plus que la simple interdiction posée, l</w:t>
      </w:r>
      <w:r w:rsidR="0085466E" w:rsidRPr="00E72418">
        <w:rPr>
          <w:rFonts w:ascii="Times New Roman" w:hAnsi="Times New Roman"/>
        </w:rPr>
        <w:t>’article 4</w:t>
      </w:r>
      <w:r w:rsidR="007225D4" w:rsidRPr="00E72418">
        <w:rPr>
          <w:rFonts w:ascii="Times New Roman" w:hAnsi="Times New Roman"/>
        </w:rPr>
        <w:t>(b)</w:t>
      </w:r>
      <w:r w:rsidR="00E2479E" w:rsidRPr="00E72418">
        <w:rPr>
          <w:rFonts w:ascii="Times New Roman" w:hAnsi="Times New Roman"/>
        </w:rPr>
        <w:t xml:space="preserve"> de la proposition</w:t>
      </w:r>
      <w:r w:rsidR="0085466E" w:rsidRPr="00E72418">
        <w:rPr>
          <w:rFonts w:ascii="Times New Roman" w:hAnsi="Times New Roman"/>
        </w:rPr>
        <w:t xml:space="preserve"> de loi </w:t>
      </w:r>
      <w:r w:rsidR="007E4217" w:rsidRPr="00E72418">
        <w:rPr>
          <w:rFonts w:ascii="Times New Roman" w:hAnsi="Times New Roman"/>
        </w:rPr>
        <w:t>pénalise</w:t>
      </w:r>
      <w:r w:rsidR="007225D4" w:rsidRPr="00E72418">
        <w:rPr>
          <w:rFonts w:ascii="Times New Roman" w:hAnsi="Times New Roman"/>
        </w:rPr>
        <w:t xml:space="preserve"> l’exploitation des dettes souveraines en prévoyant que « </w:t>
      </w:r>
      <w:r w:rsidR="007225D4" w:rsidRPr="00E72418">
        <w:t>[w]</w:t>
      </w:r>
      <w:r w:rsidR="007225D4" w:rsidRPr="00E72418">
        <w:rPr>
          <w:rFonts w:ascii="Times New Roman" w:hAnsi="Times New Roman"/>
        </w:rPr>
        <w:t>hoever willfully violates subsection (a) shall be fined an amount equal to the total amount sought by the person through the sovereign debt profiteering »</w:t>
      </w:r>
      <w:r w:rsidR="00CA3A06" w:rsidRPr="00E72418">
        <w:rPr>
          <w:rFonts w:ascii="Times New Roman" w:hAnsi="Times New Roman"/>
        </w:rPr>
        <w:t xml:space="preserve">. </w:t>
      </w:r>
      <w:r w:rsidR="00CA3A06" w:rsidRPr="00E72418">
        <w:t>L’on peut sans doute critiquer l’imprécision induite par l’usage de l’adverbe « willfully » faisant craindre un manque de prévisibilité préjudi</w:t>
      </w:r>
      <w:r w:rsidR="00D9672A" w:rsidRPr="00E72418">
        <w:t>ci</w:t>
      </w:r>
      <w:r w:rsidR="00CA3A06" w:rsidRPr="00E72418">
        <w:t>able au bon</w:t>
      </w:r>
      <w:r w:rsidR="009E4F86" w:rsidRPr="00E72418">
        <w:t xml:space="preserve"> fonctionnement du marché des </w:t>
      </w:r>
      <w:r w:rsidR="00CA3A06" w:rsidRPr="00E72418">
        <w:t>dette</w:t>
      </w:r>
      <w:r w:rsidR="009E4F86" w:rsidRPr="00E72418">
        <w:t>s</w:t>
      </w:r>
      <w:r w:rsidR="00CA3A06" w:rsidRPr="00E72418">
        <w:t xml:space="preserve"> souveraine</w:t>
      </w:r>
      <w:r w:rsidR="009E4F86" w:rsidRPr="00E72418">
        <w:t>s</w:t>
      </w:r>
      <w:r w:rsidR="002730DB" w:rsidRPr="00E72418">
        <w:rPr>
          <w:rStyle w:val="Appelnotedebasdep"/>
          <w:rFonts w:ascii="Times New Roman" w:hAnsi="Times New Roman"/>
        </w:rPr>
        <w:footnoteReference w:id="1481"/>
      </w:r>
      <w:r w:rsidR="007225D4" w:rsidRPr="00E72418">
        <w:rPr>
          <w:rFonts w:ascii="Times New Roman" w:hAnsi="Times New Roman"/>
        </w:rPr>
        <w:t>.</w:t>
      </w:r>
    </w:p>
    <w:p w14:paraId="1B2A5219" w14:textId="0BAAFEE2" w:rsidR="007E4217" w:rsidRPr="00E72418" w:rsidRDefault="007E4217" w:rsidP="00CC4BA8">
      <w:pPr>
        <w:spacing w:line="276" w:lineRule="auto"/>
        <w:rPr>
          <w:rFonts w:ascii="Times New Roman" w:hAnsi="Times New Roman"/>
        </w:rPr>
      </w:pPr>
      <w:r w:rsidRPr="00E72418">
        <w:t xml:space="preserve">L’article 4 en projet pose de nombreuses questions auxquelles </w:t>
      </w:r>
      <w:r w:rsidR="00194CAA" w:rsidRPr="00E72418">
        <w:t>sans doute</w:t>
      </w:r>
      <w:r w:rsidRPr="00E72418">
        <w:t xml:space="preserve"> la discussion du texte aurait permis de répondre. Ainsi, l’on peut raisonnablement penser et s’étonner de ce que dès qu’un créancier secondaire entamerait une démarche menaçante vis-à-vis de</w:t>
      </w:r>
      <w:r w:rsidR="0098290A" w:rsidRPr="00E72418">
        <w:t xml:space="preserve"> son débiteur</w:t>
      </w:r>
      <w:r w:rsidR="00194CAA" w:rsidRPr="00E72418">
        <w:t xml:space="preserve"> souverain</w:t>
      </w:r>
      <w:r w:rsidR="0098290A" w:rsidRPr="00E72418">
        <w:t>, cette démarche fû</w:t>
      </w:r>
      <w:r w:rsidRPr="00E72418">
        <w:t>t-elle posée hors de tout contentieux, ce dernier serait en droit de réclamer la sanction de son créancier au motif que celui-ci s’engagerait dans l’activité d’exploitation de dettes souveraine</w:t>
      </w:r>
      <w:r w:rsidR="00194CAA" w:rsidRPr="00E72418">
        <w:t>s</w:t>
      </w:r>
      <w:r w:rsidRPr="00E72418">
        <w:t>.</w:t>
      </w:r>
    </w:p>
    <w:p w14:paraId="419C3A4F" w14:textId="77777777" w:rsidR="003464FE" w:rsidRPr="00E72418" w:rsidRDefault="003464FE" w:rsidP="00827E6E"/>
    <w:p w14:paraId="2175CF81" w14:textId="5C5832BB" w:rsidR="00E32B4F" w:rsidRPr="00E72418" w:rsidRDefault="004469AC" w:rsidP="00CC4BA8">
      <w:pPr>
        <w:spacing w:line="276" w:lineRule="auto"/>
      </w:pPr>
      <w:r w:rsidRPr="00E72418">
        <w:rPr>
          <w:rFonts w:ascii="Times New Roman" w:hAnsi="Times New Roman"/>
          <w:b/>
        </w:rPr>
        <w:t>300</w:t>
      </w:r>
      <w:r w:rsidR="00817D62" w:rsidRPr="00E72418">
        <w:rPr>
          <w:rFonts w:ascii="Times New Roman" w:hAnsi="Times New Roman"/>
          <w:b/>
        </w:rPr>
        <w:t xml:space="preserve">. </w:t>
      </w:r>
      <w:r w:rsidR="00BF6AEB" w:rsidRPr="00E72418">
        <w:rPr>
          <w:rFonts w:ascii="Times New Roman" w:hAnsi="Times New Roman"/>
          <w:b/>
        </w:rPr>
        <w:t xml:space="preserve">L’impossible </w:t>
      </w:r>
      <w:r w:rsidR="00FE2A99" w:rsidRPr="00E72418">
        <w:rPr>
          <w:rFonts w:ascii="Times New Roman" w:hAnsi="Times New Roman"/>
          <w:b/>
        </w:rPr>
        <w:t>concours des juridictions étatsuniennes</w:t>
      </w:r>
      <w:r w:rsidR="003464FE" w:rsidRPr="00E72418">
        <w:rPr>
          <w:rFonts w:ascii="Times New Roman" w:hAnsi="Times New Roman"/>
          <w:b/>
        </w:rPr>
        <w:t xml:space="preserve"> –</w:t>
      </w:r>
      <w:r w:rsidR="00BF6AEB" w:rsidRPr="00E72418">
        <w:rPr>
          <w:rFonts w:ascii="Times New Roman" w:hAnsi="Times New Roman"/>
        </w:rPr>
        <w:t xml:space="preserve"> </w:t>
      </w:r>
      <w:r w:rsidR="007E4217" w:rsidRPr="00E72418">
        <w:rPr>
          <w:rFonts w:ascii="Times New Roman" w:hAnsi="Times New Roman"/>
        </w:rPr>
        <w:t xml:space="preserve">Si l’interdiction telle que formulée par le seul article 4 </w:t>
      </w:r>
      <w:r w:rsidR="00CA3A06" w:rsidRPr="00E72418">
        <w:rPr>
          <w:rFonts w:ascii="Times New Roman" w:hAnsi="Times New Roman"/>
        </w:rPr>
        <w:t xml:space="preserve">de la proposition </w:t>
      </w:r>
      <w:r w:rsidR="007E4217" w:rsidRPr="00E72418">
        <w:rPr>
          <w:rFonts w:ascii="Times New Roman" w:hAnsi="Times New Roman"/>
        </w:rPr>
        <w:t>est difficilement compréhensible, elle est plus intelligible lorsque le créancier poursuit le débiteur devant les juridictions étatsuniennes. Dans ce cas, l</w:t>
      </w:r>
      <w:r w:rsidR="00FE2A99" w:rsidRPr="00E72418">
        <w:rPr>
          <w:rFonts w:ascii="Times New Roman" w:hAnsi="Times New Roman"/>
        </w:rPr>
        <w:t>a législation</w:t>
      </w:r>
      <w:r w:rsidR="003464FE" w:rsidRPr="00E72418">
        <w:rPr>
          <w:rFonts w:ascii="Times New Roman" w:hAnsi="Times New Roman"/>
        </w:rPr>
        <w:t xml:space="preserve"> en projet </w:t>
      </w:r>
      <w:r w:rsidR="007E4217" w:rsidRPr="00E72418">
        <w:rPr>
          <w:rFonts w:ascii="Times New Roman" w:hAnsi="Times New Roman"/>
        </w:rPr>
        <w:t xml:space="preserve">rend </w:t>
      </w:r>
      <w:r w:rsidR="0085466E" w:rsidRPr="00E72418">
        <w:t>impossib</w:t>
      </w:r>
      <w:r w:rsidR="007E4217" w:rsidRPr="00E72418">
        <w:t>le le</w:t>
      </w:r>
      <w:r w:rsidR="00FE2A99" w:rsidRPr="00E72418">
        <w:t xml:space="preserve"> concours</w:t>
      </w:r>
      <w:r w:rsidR="007E4217" w:rsidRPr="00E72418">
        <w:t xml:space="preserve"> des juridictions étatsuniennes</w:t>
      </w:r>
      <w:r w:rsidR="00FE2A99" w:rsidRPr="00E72418">
        <w:t xml:space="preserve"> à des activités d’exp</w:t>
      </w:r>
      <w:r w:rsidR="00E2479E" w:rsidRPr="00E72418">
        <w:t>loitation de dettes souverain</w:t>
      </w:r>
      <w:r w:rsidR="00E32B4F" w:rsidRPr="00E72418">
        <w:t>e</w:t>
      </w:r>
      <w:r w:rsidR="00B66150" w:rsidRPr="00E72418">
        <w:t>s</w:t>
      </w:r>
      <w:r w:rsidR="00E2479E" w:rsidRPr="00E72418">
        <w:t xml:space="preserve"> </w:t>
      </w:r>
      <w:r w:rsidR="00E2479E" w:rsidRPr="00E72418">
        <w:rPr>
          <w:rFonts w:ascii="Times New Roman" w:hAnsi="Times New Roman"/>
        </w:rPr>
        <w:t>pour toutes actions introduites ou pendantes à partir de la date de l’adoption du texte</w:t>
      </w:r>
      <w:r w:rsidR="00E2479E" w:rsidRPr="00E72418">
        <w:rPr>
          <w:rStyle w:val="Appelnotedebasdep"/>
          <w:rFonts w:ascii="Times New Roman" w:hAnsi="Times New Roman" w:cs="Times New Roman"/>
          <w:szCs w:val="24"/>
        </w:rPr>
        <w:footnoteReference w:id="1482"/>
      </w:r>
      <w:r w:rsidR="00E2479E" w:rsidRPr="00E72418">
        <w:rPr>
          <w:rFonts w:ascii="Times New Roman" w:hAnsi="Times New Roman"/>
        </w:rPr>
        <w:t>. Cette règle s’applique peu importe le droit applicable aux dettes visées.</w:t>
      </w:r>
      <w:r w:rsidR="00E2479E" w:rsidRPr="00E72418">
        <w:t xml:space="preserve"> </w:t>
      </w:r>
    </w:p>
    <w:p w14:paraId="3FA6436E" w14:textId="0490AE51" w:rsidR="007D42F7" w:rsidRPr="00E72418" w:rsidRDefault="00E32B4F" w:rsidP="00CC4BA8">
      <w:pPr>
        <w:spacing w:line="276" w:lineRule="auto"/>
      </w:pPr>
      <w:r w:rsidRPr="00E72418">
        <w:lastRenderedPageBreak/>
        <w:t>L</w:t>
      </w:r>
      <w:r w:rsidR="007E4217" w:rsidRPr="00E72418">
        <w:t>’article 5(a) dispose</w:t>
      </w:r>
      <w:r w:rsidR="00FE2A99" w:rsidRPr="00E72418">
        <w:t xml:space="preserve"> </w:t>
      </w:r>
      <w:r w:rsidR="0004079A" w:rsidRPr="00E72418">
        <w:rPr>
          <w:rFonts w:ascii="Times New Roman" w:hAnsi="Times New Roman"/>
        </w:rPr>
        <w:t>qu’</w:t>
      </w:r>
      <w:r w:rsidR="003464FE" w:rsidRPr="00E72418">
        <w:rPr>
          <w:rFonts w:ascii="Times New Roman" w:hAnsi="Times New Roman"/>
        </w:rPr>
        <w:t xml:space="preserve"> « </w:t>
      </w:r>
      <w:r w:rsidR="003464FE" w:rsidRPr="00E72418">
        <w:t>[a]</w:t>
      </w:r>
      <w:r w:rsidR="003464FE" w:rsidRPr="00E72418">
        <w:rPr>
          <w:rFonts w:ascii="Times New Roman" w:hAnsi="Times New Roman"/>
        </w:rPr>
        <w:t xml:space="preserve"> court in or of the United States may not issue a summons, subpoena, writ, judgment, attachment, or execution, in aid of a claim under any theory of law or equity a purpose of which would be furthering sovereign debt profiteering ».</w:t>
      </w:r>
      <w:r w:rsidRPr="00E72418">
        <w:rPr>
          <w:rFonts w:ascii="Times New Roman" w:hAnsi="Times New Roman"/>
        </w:rPr>
        <w:t xml:space="preserve"> </w:t>
      </w:r>
      <w:r w:rsidR="00E2479E" w:rsidRPr="00E72418">
        <w:t>Si l’on combine cette règle à la définition de « sovereign debt profiteering » donnée à l’article 3(4) de la proposition, l</w:t>
      </w:r>
      <w:r w:rsidR="00FE2A99" w:rsidRPr="00E72418">
        <w:t>’on</w:t>
      </w:r>
      <w:r w:rsidR="00FE2A99" w:rsidRPr="00E72418">
        <w:rPr>
          <w:rFonts w:ascii="Times New Roman" w:hAnsi="Times New Roman"/>
        </w:rPr>
        <w:t xml:space="preserve"> </w:t>
      </w:r>
      <w:r w:rsidR="005E7E77" w:rsidRPr="00E72418">
        <w:rPr>
          <w:rFonts w:ascii="Times New Roman" w:hAnsi="Times New Roman"/>
        </w:rPr>
        <w:t xml:space="preserve">est tenté de </w:t>
      </w:r>
      <w:r w:rsidR="00FE2A99" w:rsidRPr="00E72418">
        <w:rPr>
          <w:rFonts w:ascii="Times New Roman" w:hAnsi="Times New Roman"/>
        </w:rPr>
        <w:t xml:space="preserve">retenir que </w:t>
      </w:r>
      <w:r w:rsidRPr="00E72418">
        <w:rPr>
          <w:rFonts w:ascii="Times New Roman" w:hAnsi="Times New Roman"/>
        </w:rPr>
        <w:t>lorsque</w:t>
      </w:r>
      <w:r w:rsidR="00FE2A99" w:rsidRPr="00E72418">
        <w:rPr>
          <w:rFonts w:ascii="Times New Roman" w:hAnsi="Times New Roman"/>
        </w:rPr>
        <w:t xml:space="preserve"> des juridictions étatsuniennes </w:t>
      </w:r>
      <w:r w:rsidR="00E2479E" w:rsidRPr="00E72418">
        <w:rPr>
          <w:rFonts w:ascii="Times New Roman" w:hAnsi="Times New Roman"/>
        </w:rPr>
        <w:t>sont</w:t>
      </w:r>
      <w:r w:rsidR="00FE2A99" w:rsidRPr="00E72418">
        <w:rPr>
          <w:rFonts w:ascii="Times New Roman" w:hAnsi="Times New Roman"/>
        </w:rPr>
        <w:t xml:space="preserve"> saisies de demandes portant sur un montant supérieur au montant autorisé, elles ne </w:t>
      </w:r>
      <w:r w:rsidR="00E2479E" w:rsidRPr="00E72418">
        <w:rPr>
          <w:rFonts w:ascii="Times New Roman" w:hAnsi="Times New Roman"/>
        </w:rPr>
        <w:t>peuvent</w:t>
      </w:r>
      <w:r w:rsidR="00FE2A99" w:rsidRPr="00E72418">
        <w:rPr>
          <w:rFonts w:ascii="Times New Roman" w:hAnsi="Times New Roman"/>
        </w:rPr>
        <w:t xml:space="preserve"> y répondre favorablement que dans la mesure de ce dernier montant</w:t>
      </w:r>
      <w:r w:rsidR="00E2479E" w:rsidRPr="00E72418">
        <w:rPr>
          <w:rFonts w:ascii="Times New Roman" w:hAnsi="Times New Roman"/>
        </w:rPr>
        <w:t xml:space="preserve">. </w:t>
      </w:r>
      <w:r w:rsidR="00674C1A" w:rsidRPr="00E72418">
        <w:t>À</w:t>
      </w:r>
      <w:r w:rsidR="00E2479E" w:rsidRPr="00E72418">
        <w:t xml:space="preserve"> notre estime, la partie de la réclamation qui dépasserait le montant maximal autorisé permettrait de fixer la hauteur de la pénalité encourue par le créancier en application de l’article 4(b).</w:t>
      </w:r>
      <w:r w:rsidR="00F67A03" w:rsidRPr="00E72418">
        <w:t xml:space="preserve"> </w:t>
      </w:r>
      <w:r w:rsidR="00CA3A06" w:rsidRPr="00E72418">
        <w:t>Ceci devrait conduire les créanciers à faire montre de retenue, laquelle est sans doute souhaitable sachant que</w:t>
      </w:r>
      <w:r w:rsidR="0079230B" w:rsidRPr="00E72418">
        <w:t>,</w:t>
      </w:r>
      <w:r w:rsidR="00CA3A06" w:rsidRPr="00E72418">
        <w:t xml:space="preserve"> souvent</w:t>
      </w:r>
      <w:r w:rsidR="0079230B" w:rsidRPr="00E72418">
        <w:t>,</w:t>
      </w:r>
      <w:r w:rsidR="00CA3A06" w:rsidRPr="00E72418">
        <w:t xml:space="preserve"> les </w:t>
      </w:r>
      <w:r w:rsidR="00F62FD7" w:rsidRPr="00E72418">
        <w:rPr>
          <w:lang w:eastAsia="fr-BE"/>
        </w:rPr>
        <w:t>É</w:t>
      </w:r>
      <w:r w:rsidR="00CA3A06" w:rsidRPr="00E72418">
        <w:t>tats débiteurs sont à ce point affaiblis qu’ils n’opposent pas de défense pugnace aux attaques spéculatives dont ils font l’objet</w:t>
      </w:r>
      <w:r w:rsidR="00CA3A06" w:rsidRPr="00E72418">
        <w:rPr>
          <w:rStyle w:val="Appelnotedebasdep"/>
        </w:rPr>
        <w:footnoteReference w:id="1483"/>
      </w:r>
      <w:r w:rsidR="00CA3A06" w:rsidRPr="00E72418">
        <w:t>.</w:t>
      </w:r>
    </w:p>
    <w:p w14:paraId="6D532A3D" w14:textId="77777777" w:rsidR="005E7E77" w:rsidRPr="00E72418" w:rsidRDefault="00F67A03" w:rsidP="00CC4BA8">
      <w:pPr>
        <w:spacing w:line="276" w:lineRule="auto"/>
      </w:pPr>
      <w:r w:rsidRPr="00E72418">
        <w:t>L’article 5(c) prévoit une sanction radicale dans la situation où les juridictions ne respect</w:t>
      </w:r>
      <w:r w:rsidR="00FE2A99" w:rsidRPr="00E72418">
        <w:t xml:space="preserve">ent pas </w:t>
      </w:r>
      <w:r w:rsidR="007D42F7" w:rsidRPr="00E72418">
        <w:t>la</w:t>
      </w:r>
      <w:r w:rsidR="00FE2A99" w:rsidRPr="00E72418">
        <w:t xml:space="preserve"> limitation </w:t>
      </w:r>
      <w:r w:rsidRPr="00E72418">
        <w:t xml:space="preserve">posée. Dans ce cas, </w:t>
      </w:r>
      <w:r w:rsidR="00FE2A99" w:rsidRPr="00E72418">
        <w:t xml:space="preserve">les mesures </w:t>
      </w:r>
      <w:r w:rsidR="00E32B4F" w:rsidRPr="00E72418">
        <w:t>décidées</w:t>
      </w:r>
      <w:r w:rsidR="00FE2A99" w:rsidRPr="00E72418">
        <w:t xml:space="preserve"> </w:t>
      </w:r>
      <w:r w:rsidRPr="00E72418">
        <w:t>doivent</w:t>
      </w:r>
      <w:r w:rsidR="00FE2A99" w:rsidRPr="00E72418">
        <w:t xml:space="preserve"> être considérées comme nulles. </w:t>
      </w:r>
      <w:r w:rsidR="00FC7121" w:rsidRPr="00E72418">
        <w:t xml:space="preserve">Comme le précise la disposition, </w:t>
      </w:r>
      <w:r w:rsidRPr="00E72418">
        <w:t xml:space="preserve">« [a] summons, subpoena, writ, judgment, attachment, or execution issued in violation of any provision of this section shall be void ». </w:t>
      </w:r>
    </w:p>
    <w:p w14:paraId="7B0C73D7" w14:textId="06A8F8B0" w:rsidR="005E7E77" w:rsidRPr="00E72418" w:rsidRDefault="005660AA" w:rsidP="00CC4BA8">
      <w:pPr>
        <w:spacing w:line="276" w:lineRule="auto"/>
      </w:pPr>
      <w:r w:rsidRPr="00E72418">
        <w:t xml:space="preserve">De la même manière, </w:t>
      </w:r>
      <w:r w:rsidR="00FC7121" w:rsidRPr="00E72418">
        <w:t>l’</w:t>
      </w:r>
      <w:r w:rsidRPr="00E72418">
        <w:t xml:space="preserve">article 5(d) de la proposition </w:t>
      </w:r>
      <w:r w:rsidR="00FC7121" w:rsidRPr="00E72418">
        <w:t>décrète</w:t>
      </w:r>
      <w:r w:rsidR="0004079A" w:rsidRPr="00E72418">
        <w:t xml:space="preserve"> qu’</w:t>
      </w:r>
      <w:r w:rsidRPr="00E72418">
        <w:t xml:space="preserve"> « [i]f it appears</w:t>
      </w:r>
      <w:r w:rsidRPr="00E72418">
        <w:rPr>
          <w:rFonts w:ascii="Times-Roman" w:hAnsi="Times-Roman" w:cs="Times-Roman"/>
        </w:rPr>
        <w:t xml:space="preserve"> </w:t>
      </w:r>
      <w:r w:rsidRPr="00E72418">
        <w:t>to a court in or of the United States that an action</w:t>
      </w:r>
      <w:r w:rsidRPr="00E72418">
        <w:rPr>
          <w:rFonts w:ascii="Times-Roman" w:hAnsi="Times-Roman" w:cs="Times-Roman"/>
        </w:rPr>
        <w:t xml:space="preserve"> </w:t>
      </w:r>
      <w:r w:rsidRPr="00E72418">
        <w:t>brought in the court constitutes, or is in furtherance of,</w:t>
      </w:r>
      <w:r w:rsidRPr="00E72418">
        <w:rPr>
          <w:rFonts w:ascii="Times-Roman" w:hAnsi="Times-Roman" w:cs="Times-Roman"/>
        </w:rPr>
        <w:t xml:space="preserve"> </w:t>
      </w:r>
      <w:r w:rsidRPr="00E72418">
        <w:t>sovereign debt profiteering, the court shall, on its own initiative or at the request of any interested party, promptly dismiss the action ».</w:t>
      </w:r>
      <w:r w:rsidR="005E7E77" w:rsidRPr="00E72418">
        <w:t xml:space="preserve"> L’on conçoit toutefois mal comment cette règle doit se concilier avec celle posée à l’article 5(a) dont il semble pouvoir être déduit que les juridictions étatsuniennes pourraient accorder au créancier le montant maximal en deçà duquel sa prétention ne constituerait pas un</w:t>
      </w:r>
      <w:r w:rsidR="00372DFE">
        <w:t>e</w:t>
      </w:r>
      <w:r w:rsidR="005E7E77" w:rsidRPr="00E72418">
        <w:t xml:space="preserve"> « sovereign debt profiteering ».</w:t>
      </w:r>
    </w:p>
    <w:p w14:paraId="53AF3232" w14:textId="77777777" w:rsidR="0085466E" w:rsidRPr="00E72418" w:rsidRDefault="0085466E" w:rsidP="00827E6E"/>
    <w:p w14:paraId="03259D95" w14:textId="21386B1A" w:rsidR="000227F9" w:rsidRPr="00E72418" w:rsidRDefault="004469AC" w:rsidP="00CC4BA8">
      <w:pPr>
        <w:spacing w:line="276" w:lineRule="auto"/>
      </w:pPr>
      <w:r w:rsidRPr="00E72418">
        <w:rPr>
          <w:b/>
        </w:rPr>
        <w:t>301</w:t>
      </w:r>
      <w:r w:rsidR="00817D62" w:rsidRPr="00E72418">
        <w:rPr>
          <w:b/>
        </w:rPr>
        <w:t xml:space="preserve">. </w:t>
      </w:r>
      <w:r w:rsidR="000C1C9D" w:rsidRPr="00E72418">
        <w:rPr>
          <w:b/>
        </w:rPr>
        <w:t>L’</w:t>
      </w:r>
      <w:r w:rsidR="005F6F52" w:rsidRPr="00E72418">
        <w:rPr>
          <w:b/>
        </w:rPr>
        <w:t>obligation de transparence –</w:t>
      </w:r>
      <w:r w:rsidR="005E7E77" w:rsidRPr="00E72418">
        <w:rPr>
          <w:b/>
        </w:rPr>
        <w:t xml:space="preserve"> </w:t>
      </w:r>
      <w:r w:rsidR="00471ABD" w:rsidRPr="00E72418">
        <w:t>Afin de renforcer l’efficacité du mécanisme et de s’assurer du respect de l’interdiction posée,</w:t>
      </w:r>
      <w:r w:rsidR="00FC7121" w:rsidRPr="00E72418">
        <w:t xml:space="preserve"> la proposition de loi </w:t>
      </w:r>
      <w:r w:rsidR="00025DAE" w:rsidRPr="00E72418">
        <w:t xml:space="preserve">étatsunienne </w:t>
      </w:r>
      <w:r w:rsidR="00FC7121" w:rsidRPr="00E72418">
        <w:t>impose</w:t>
      </w:r>
      <w:r w:rsidR="00471ABD" w:rsidRPr="00E72418">
        <w:t xml:space="preserve">, en son article 5(b), une série de démarches </w:t>
      </w:r>
      <w:r w:rsidR="00025DAE" w:rsidRPr="00E72418">
        <w:rPr>
          <w:rFonts w:ascii="Times New Roman" w:hAnsi="Times New Roman"/>
        </w:rPr>
        <w:t xml:space="preserve">visant la transparence </w:t>
      </w:r>
      <w:r w:rsidR="00471ABD" w:rsidRPr="00E72418">
        <w:t xml:space="preserve">à </w:t>
      </w:r>
      <w:r w:rsidR="00FC7121" w:rsidRPr="00E72418">
        <w:t xml:space="preserve">accomplir par qui s’engage </w:t>
      </w:r>
      <w:r w:rsidR="00471ABD" w:rsidRPr="00E72418">
        <w:t xml:space="preserve">dans la poursuite </w:t>
      </w:r>
      <w:r w:rsidR="00FC7121" w:rsidRPr="00E72418">
        <w:t xml:space="preserve">d’une </w:t>
      </w:r>
      <w:r w:rsidR="00471ABD" w:rsidRPr="00E72418">
        <w:t>d</w:t>
      </w:r>
      <w:r w:rsidR="00FC7121" w:rsidRPr="00E72418">
        <w:t>ette souveraine</w:t>
      </w:r>
      <w:r w:rsidR="00194380" w:rsidRPr="00E72418">
        <w:rPr>
          <w:rStyle w:val="Appelnotedebasdep"/>
          <w:rFonts w:ascii="Times New Roman" w:hAnsi="Times New Roman" w:cs="Times New Roman"/>
          <w:szCs w:val="24"/>
        </w:rPr>
        <w:footnoteReference w:id="1484"/>
      </w:r>
      <w:r w:rsidR="00194380" w:rsidRPr="00E72418">
        <w:rPr>
          <w:rFonts w:ascii="Times New Roman" w:hAnsi="Times New Roman"/>
        </w:rPr>
        <w:t>.</w:t>
      </w:r>
      <w:r w:rsidR="00025DAE" w:rsidRPr="00E72418">
        <w:t xml:space="preserve"> </w:t>
      </w:r>
      <w:r w:rsidR="005F6F52" w:rsidRPr="00E72418">
        <w:t>L</w:t>
      </w:r>
      <w:r w:rsidR="00D9672A" w:rsidRPr="00E72418">
        <w:t xml:space="preserve">es </w:t>
      </w:r>
      <w:r w:rsidR="00FF51BF" w:rsidRPr="00E72418">
        <w:t>auteur</w:t>
      </w:r>
      <w:r w:rsidR="00D9672A" w:rsidRPr="00E72418">
        <w:t>s</w:t>
      </w:r>
      <w:r w:rsidR="00025DAE" w:rsidRPr="00E72418">
        <w:t xml:space="preserve"> de la proposition justifiai</w:t>
      </w:r>
      <w:r w:rsidR="00D9672A" w:rsidRPr="00E72418">
        <w:t>en</w:t>
      </w:r>
      <w:r w:rsidR="00025DAE" w:rsidRPr="00E72418">
        <w:t>t la pertinence de l’obligation de transparence posée en indiquant que</w:t>
      </w:r>
      <w:r w:rsidR="005F6F52" w:rsidRPr="00E72418">
        <w:t xml:space="preserve"> « [t]o be effective and properly regulate the use of judicial forums in an area affecting the foreign relations of the United States, national legislation is required that will mandate the public disclosure of relevant information concerning the acquisition, ownership, and consideration provided by creditors in obtaining their property interests in the defaulted sovereign debt of poor countries »</w:t>
      </w:r>
      <w:r w:rsidR="005F6F52" w:rsidRPr="00E72418">
        <w:rPr>
          <w:rStyle w:val="Appelnotedebasdep"/>
        </w:rPr>
        <w:footnoteReference w:id="1485"/>
      </w:r>
      <w:r w:rsidR="00E03086" w:rsidRPr="00E72418">
        <w:t xml:space="preserve">. </w:t>
      </w:r>
      <w:r w:rsidR="004E24AA" w:rsidRPr="00E72418">
        <w:t>L</w:t>
      </w:r>
      <w:r w:rsidR="000227F9" w:rsidRPr="00E72418">
        <w:t xml:space="preserve">’article 5(b) </w:t>
      </w:r>
      <w:r w:rsidR="00025DAE" w:rsidRPr="00E72418">
        <w:t xml:space="preserve">du projet </w:t>
      </w:r>
      <w:r w:rsidR="000227F9" w:rsidRPr="00E72418">
        <w:t xml:space="preserve">prévoit </w:t>
      </w:r>
      <w:r w:rsidR="00025DAE" w:rsidRPr="00E72418">
        <w:t xml:space="preserve">ainsi </w:t>
      </w:r>
      <w:r w:rsidR="000227F9" w:rsidRPr="00E72418">
        <w:t>qu’avant d’accorder quoi que ce soit à un créancier dans le cadre d’une procédure visant le rè</w:t>
      </w:r>
      <w:r w:rsidR="003E382B" w:rsidRPr="00E72418">
        <w:t xml:space="preserve">glement d’une dette due par un </w:t>
      </w:r>
      <w:r w:rsidR="003E382B" w:rsidRPr="00E72418">
        <w:rPr>
          <w:lang w:eastAsia="fr-BE"/>
        </w:rPr>
        <w:t>É</w:t>
      </w:r>
      <w:r w:rsidR="000227F9" w:rsidRPr="00E72418">
        <w:t xml:space="preserve">tat étranger, les juridictions étatsuniennes doivent requérir de la part de ce créancier qu’il pose différentes démarches et dépose toute une série de </w:t>
      </w:r>
      <w:r w:rsidR="004E24AA" w:rsidRPr="00E72418">
        <w:t xml:space="preserve">documents </w:t>
      </w:r>
      <w:r w:rsidR="000227F9" w:rsidRPr="00E72418">
        <w:t>dont l’importance varie en fonction de la personne du débiteur.</w:t>
      </w:r>
    </w:p>
    <w:p w14:paraId="551B0271" w14:textId="77777777" w:rsidR="00BF0277" w:rsidRPr="00E72418" w:rsidRDefault="004E24AA" w:rsidP="00CC4BA8">
      <w:pPr>
        <w:spacing w:line="276" w:lineRule="auto"/>
      </w:pPr>
      <w:r w:rsidRPr="00E72418">
        <w:lastRenderedPageBreak/>
        <w:t>S</w:t>
      </w:r>
      <w:r w:rsidR="000227F9" w:rsidRPr="00E72418">
        <w:t xml:space="preserve">i </w:t>
      </w:r>
      <w:r w:rsidR="0044093F" w:rsidRPr="00E72418">
        <w:t xml:space="preserve">toute action entreprise </w:t>
      </w:r>
      <w:r w:rsidR="003E382B" w:rsidRPr="00E72418">
        <w:t>à l’encontre de l’</w:t>
      </w:r>
      <w:r w:rsidR="003E382B" w:rsidRPr="00E72418">
        <w:rPr>
          <w:lang w:eastAsia="fr-BE"/>
        </w:rPr>
        <w:t>É</w:t>
      </w:r>
      <w:r w:rsidR="000227F9" w:rsidRPr="00E72418">
        <w:t xml:space="preserve">tat étranger </w:t>
      </w:r>
      <w:r w:rsidR="0044093F" w:rsidRPr="00E72418">
        <w:t xml:space="preserve">doit </w:t>
      </w:r>
      <w:r w:rsidR="0014574F" w:rsidRPr="00E72418">
        <w:t>être notifiée</w:t>
      </w:r>
      <w:r w:rsidR="0044093F" w:rsidRPr="00E72418">
        <w:t xml:space="preserve"> </w:t>
      </w:r>
      <w:r w:rsidR="00194380" w:rsidRPr="00E72418">
        <w:t xml:space="preserve">au </w:t>
      </w:r>
      <w:r w:rsidR="001773D6" w:rsidRPr="00E72418">
        <w:t>Département</w:t>
      </w:r>
      <w:r w:rsidR="0044093F" w:rsidRPr="00E72418">
        <w:t xml:space="preserve"> du Trésor</w:t>
      </w:r>
      <w:r w:rsidR="000227F9" w:rsidRPr="00E72418">
        <w:t xml:space="preserve"> étatsunien</w:t>
      </w:r>
      <w:r w:rsidR="0044093F" w:rsidRPr="00E72418">
        <w:t xml:space="preserve">, </w:t>
      </w:r>
      <w:r w:rsidR="0014574F" w:rsidRPr="00E72418">
        <w:t>différentes</w:t>
      </w:r>
      <w:r w:rsidR="0044093F" w:rsidRPr="00E72418">
        <w:t xml:space="preserve"> déclarations</w:t>
      </w:r>
      <w:r w:rsidR="0014574F" w:rsidRPr="00E72418">
        <w:t xml:space="preserve"> </w:t>
      </w:r>
      <w:r w:rsidR="000227F9" w:rsidRPr="00E72418">
        <w:t xml:space="preserve">doivent </w:t>
      </w:r>
      <w:r w:rsidR="00025DAE" w:rsidRPr="00E72418">
        <w:t>de surcroît</w:t>
      </w:r>
      <w:r w:rsidR="0014574F" w:rsidRPr="00E72418">
        <w:t xml:space="preserve"> être établies</w:t>
      </w:r>
      <w:r w:rsidR="0044093F" w:rsidRPr="00E72418">
        <w:t xml:space="preserve"> lorsque le débiteur poursuivi est un « qualified poor country »</w:t>
      </w:r>
      <w:r w:rsidR="00A75040" w:rsidRPr="00E72418">
        <w:rPr>
          <w:rStyle w:val="Appelnotedebasdep"/>
        </w:rPr>
        <w:footnoteReference w:id="1486"/>
      </w:r>
      <w:r w:rsidR="0044093F" w:rsidRPr="00E72418">
        <w:t xml:space="preserve">. </w:t>
      </w:r>
      <w:r w:rsidR="000227F9" w:rsidRPr="00E72418">
        <w:t>Parmi celles-ci, l’on retrouve notamment la liste des personnes ayant un intérêt dans la de</w:t>
      </w:r>
      <w:r w:rsidRPr="00E72418">
        <w:t>mande introduite ou encore la déclaration qu’aucune personne intéressée n’a don</w:t>
      </w:r>
      <w:r w:rsidR="003E382B" w:rsidRPr="00E72418">
        <w:t>né quelque chose de valeur à l’</w:t>
      </w:r>
      <w:r w:rsidR="003E382B" w:rsidRPr="00E72418">
        <w:rPr>
          <w:lang w:eastAsia="fr-BE"/>
        </w:rPr>
        <w:t>É</w:t>
      </w:r>
      <w:r w:rsidRPr="00E72418">
        <w:t>tat débiteur ou à l’un de ses officiels afin d’obtenir quelque avantage en lien avec la dette poursuivie</w:t>
      </w:r>
      <w:r w:rsidRPr="00E72418">
        <w:rPr>
          <w:rStyle w:val="Appelnotedebasdep"/>
        </w:rPr>
        <w:footnoteReference w:id="1487"/>
      </w:r>
      <w:r w:rsidRPr="00E72418">
        <w:t xml:space="preserve">. </w:t>
      </w:r>
      <w:r w:rsidR="000D1FE2" w:rsidRPr="00E72418">
        <w:t>C</w:t>
      </w:r>
      <w:r w:rsidR="00194380" w:rsidRPr="00E72418">
        <w:t xml:space="preserve">es </w:t>
      </w:r>
      <w:r w:rsidR="000D1FE2" w:rsidRPr="00E72418">
        <w:t xml:space="preserve">différentes </w:t>
      </w:r>
      <w:r w:rsidR="00194380" w:rsidRPr="00E72418">
        <w:t>déclarations</w:t>
      </w:r>
      <w:r w:rsidR="000D1FE2" w:rsidRPr="00E72418">
        <w:t>,</w:t>
      </w:r>
      <w:r w:rsidR="00194380" w:rsidRPr="00E72418">
        <w:t xml:space="preserve"> </w:t>
      </w:r>
      <w:r w:rsidR="000D1FE2" w:rsidRPr="00E72418">
        <w:t xml:space="preserve">qui </w:t>
      </w:r>
      <w:r w:rsidR="0014574F" w:rsidRPr="00E72418">
        <w:t>doivent</w:t>
      </w:r>
      <w:r w:rsidR="00194380" w:rsidRPr="00E72418">
        <w:t xml:space="preserve"> être r</w:t>
      </w:r>
      <w:r w:rsidR="0014574F" w:rsidRPr="00E72418">
        <w:t>emises aux juridictions saisies</w:t>
      </w:r>
      <w:r w:rsidR="00194380" w:rsidRPr="00E72418">
        <w:t xml:space="preserve"> </w:t>
      </w:r>
      <w:r w:rsidR="0014574F" w:rsidRPr="00E72418">
        <w:t>ainsi qu’</w:t>
      </w:r>
      <w:r w:rsidR="00194380" w:rsidRPr="00E72418">
        <w:t xml:space="preserve">au </w:t>
      </w:r>
      <w:r w:rsidR="001773D6" w:rsidRPr="00E72418">
        <w:t>Secrétariat</w:t>
      </w:r>
      <w:r w:rsidR="00194380" w:rsidRPr="00E72418">
        <w:t xml:space="preserve"> du Trésor</w:t>
      </w:r>
      <w:r w:rsidR="0014574F" w:rsidRPr="00E72418">
        <w:t xml:space="preserve"> étatsunien</w:t>
      </w:r>
      <w:r w:rsidR="00194380" w:rsidRPr="00E72418">
        <w:rPr>
          <w:rStyle w:val="Appelnotedebasdep"/>
        </w:rPr>
        <w:footnoteReference w:id="1488"/>
      </w:r>
      <w:r w:rsidR="000D1FE2" w:rsidRPr="00E72418">
        <w:t xml:space="preserve">, </w:t>
      </w:r>
      <w:r w:rsidR="00025DAE" w:rsidRPr="00E72418">
        <w:t xml:space="preserve">visent </w:t>
      </w:r>
      <w:r w:rsidR="0014574F" w:rsidRPr="00E72418">
        <w:t>l’obtention d’</w:t>
      </w:r>
      <w:r w:rsidR="00BF0277" w:rsidRPr="00E72418">
        <w:t>un maximum d’information</w:t>
      </w:r>
      <w:r w:rsidR="0014574F" w:rsidRPr="00E72418">
        <w:t>s tant</w:t>
      </w:r>
      <w:r w:rsidR="00BF0277" w:rsidRPr="00E72418">
        <w:t xml:space="preserve"> sur le créancier </w:t>
      </w:r>
      <w:r w:rsidR="0014574F" w:rsidRPr="00E72418">
        <w:t>que</w:t>
      </w:r>
      <w:r w:rsidR="00BF0277" w:rsidRPr="00E72418">
        <w:t xml:space="preserve"> sur la créance poursuivie. Elles permettent </w:t>
      </w:r>
      <w:r w:rsidR="0014574F" w:rsidRPr="00E72418">
        <w:t xml:space="preserve">ainsi </w:t>
      </w:r>
      <w:r w:rsidR="00BF0277" w:rsidRPr="00E72418">
        <w:t>notamment de s’assurer de la façon dont la créance a été acquise afin d’éviter les abus qui pourraient entourer celle-ci.</w:t>
      </w:r>
      <w:r w:rsidR="00E03086" w:rsidRPr="00E72418">
        <w:t xml:space="preserve"> </w:t>
      </w:r>
      <w:r w:rsidR="00214762" w:rsidRPr="00E72418">
        <w:t xml:space="preserve">Dans </w:t>
      </w:r>
      <w:r w:rsidR="000D1FE2" w:rsidRPr="00E72418">
        <w:t>le même</w:t>
      </w:r>
      <w:r w:rsidR="00214762" w:rsidRPr="00E72418">
        <w:t xml:space="preserve"> souci </w:t>
      </w:r>
      <w:r w:rsidR="000D1FE2" w:rsidRPr="00E72418">
        <w:t>de</w:t>
      </w:r>
      <w:r w:rsidR="00214762" w:rsidRPr="00E72418">
        <w:t xml:space="preserve"> transparence, </w:t>
      </w:r>
      <w:r w:rsidR="000D1FE2" w:rsidRPr="00E72418">
        <w:t>il est encore prévu par la proposition que toute personne visée par les démarches du créancie</w:t>
      </w:r>
      <w:r w:rsidR="008B31DE" w:rsidRPr="00E72418">
        <w:t>rs reç</w:t>
      </w:r>
      <w:r w:rsidR="000D1FE2" w:rsidRPr="00E72418">
        <w:t>oive de la part de celui-ci une copie de la réclamation, une copie des déclarations précitées et une copie de la législation</w:t>
      </w:r>
      <w:r w:rsidR="000D1FE2" w:rsidRPr="00E72418">
        <w:rPr>
          <w:rStyle w:val="Appelnotedebasdep"/>
        </w:rPr>
        <w:footnoteReference w:id="1489"/>
      </w:r>
      <w:r w:rsidR="00214762" w:rsidRPr="00E72418">
        <w:t>.</w:t>
      </w:r>
    </w:p>
    <w:p w14:paraId="0839946E" w14:textId="77777777" w:rsidR="00194380" w:rsidRPr="00E72418" w:rsidRDefault="00BF0277" w:rsidP="00CC4BA8">
      <w:pPr>
        <w:spacing w:line="276" w:lineRule="auto"/>
        <w:rPr>
          <w:rFonts w:ascii="Times New Roman" w:hAnsi="Times New Roman"/>
        </w:rPr>
      </w:pPr>
      <w:r w:rsidRPr="00E72418">
        <w:rPr>
          <w:rFonts w:ascii="Times New Roman" w:hAnsi="Times New Roman"/>
        </w:rPr>
        <w:t xml:space="preserve">Afin de contribuer à ce que les déclarations remises par le créancier coïncident avec la réalité, l’article 5(e) </w:t>
      </w:r>
      <w:r w:rsidR="000D1FE2" w:rsidRPr="00E72418">
        <w:rPr>
          <w:rFonts w:ascii="Times New Roman" w:hAnsi="Times New Roman"/>
        </w:rPr>
        <w:t xml:space="preserve">de la proposition étatsunienne </w:t>
      </w:r>
      <w:r w:rsidR="0004079A" w:rsidRPr="00E72418">
        <w:rPr>
          <w:rFonts w:ascii="Times New Roman" w:hAnsi="Times New Roman"/>
        </w:rPr>
        <w:t>prévoit qu’</w:t>
      </w:r>
      <w:r w:rsidRPr="00E72418">
        <w:rPr>
          <w:rFonts w:ascii="Times New Roman" w:hAnsi="Times New Roman"/>
        </w:rPr>
        <w:t xml:space="preserve"> « [a] party against whom a summons, subpoena, writ, judgment, attachment, or execution is sought in an action brought with respect to collection of sovereign debt of a foreign state, and the foreign state, shall be entitled to discovery to determine the veracity of the matters attested to in any affidavit required by subsection (b) </w:t>
      </w:r>
      <w:r w:rsidRPr="00E72418">
        <w:t>»</w:t>
      </w:r>
      <w:r w:rsidR="00E03086" w:rsidRPr="00E72418">
        <w:rPr>
          <w:rFonts w:ascii="Times New Roman" w:hAnsi="Times New Roman"/>
        </w:rPr>
        <w:t>. R</w:t>
      </w:r>
      <w:r w:rsidR="0014574F" w:rsidRPr="00E72418">
        <w:rPr>
          <w:rFonts w:ascii="Times New Roman" w:hAnsi="Times New Roman"/>
        </w:rPr>
        <w:t xml:space="preserve">emarquons </w:t>
      </w:r>
      <w:r w:rsidR="00E03086" w:rsidRPr="00E72418">
        <w:rPr>
          <w:rFonts w:ascii="Times New Roman" w:hAnsi="Times New Roman"/>
        </w:rPr>
        <w:t xml:space="preserve">encore </w:t>
      </w:r>
      <w:r w:rsidR="0014574F" w:rsidRPr="00E72418">
        <w:rPr>
          <w:rFonts w:ascii="Times New Roman" w:hAnsi="Times New Roman"/>
        </w:rPr>
        <w:t>que l</w:t>
      </w:r>
      <w:r w:rsidR="00194380" w:rsidRPr="00E72418">
        <w:rPr>
          <w:rFonts w:ascii="Times New Roman" w:hAnsi="Times New Roman"/>
        </w:rPr>
        <w:t xml:space="preserve">’absence de respect de l’obligation de transparence </w:t>
      </w:r>
      <w:r w:rsidR="00365A2E" w:rsidRPr="00E72418">
        <w:rPr>
          <w:rFonts w:ascii="Times New Roman" w:hAnsi="Times New Roman"/>
        </w:rPr>
        <w:t xml:space="preserve">et des démarches qu’elle impose </w:t>
      </w:r>
      <w:r w:rsidR="00194380" w:rsidRPr="00E72418">
        <w:rPr>
          <w:rFonts w:ascii="Times New Roman" w:hAnsi="Times New Roman"/>
        </w:rPr>
        <w:t>est lourdement sanctionnée</w:t>
      </w:r>
      <w:r w:rsidR="00E03086" w:rsidRPr="00E72418">
        <w:rPr>
          <w:rFonts w:ascii="Times New Roman" w:hAnsi="Times New Roman"/>
        </w:rPr>
        <w:t xml:space="preserve">, </w:t>
      </w:r>
      <w:r w:rsidR="0014574F" w:rsidRPr="00E72418">
        <w:rPr>
          <w:rFonts w:ascii="Times New Roman" w:hAnsi="Times New Roman"/>
        </w:rPr>
        <w:t>l’</w:t>
      </w:r>
      <w:r w:rsidR="00194380" w:rsidRPr="00E72418">
        <w:t>article 5(c) de la proposition</w:t>
      </w:r>
      <w:r w:rsidR="00E03086" w:rsidRPr="00E72418">
        <w:t xml:space="preserve"> prévoyant qu’</w:t>
      </w:r>
      <w:r w:rsidR="00194380" w:rsidRPr="00E72418">
        <w:t xml:space="preserve"> « [a] summons, subpoena, writ, judgment, attachment, or execution issued in violation of any provision of this section shall be void ». </w:t>
      </w:r>
    </w:p>
    <w:p w14:paraId="23FFEF3E" w14:textId="3213EDD0" w:rsidR="005F6F52" w:rsidRPr="00E72418" w:rsidRDefault="00E03086" w:rsidP="00CC4BA8">
      <w:pPr>
        <w:spacing w:line="276" w:lineRule="auto"/>
      </w:pPr>
      <w:r w:rsidRPr="00E72418">
        <w:t>Bien que</w:t>
      </w:r>
      <w:r w:rsidR="00471ABD" w:rsidRPr="00E72418">
        <w:t xml:space="preserve"> les mesures </w:t>
      </w:r>
      <w:r w:rsidRPr="00E72418">
        <w:t xml:space="preserve">de transparence </w:t>
      </w:r>
      <w:r w:rsidR="0014574F" w:rsidRPr="00E72418">
        <w:t>envisagées par la proposition étatsunienne</w:t>
      </w:r>
      <w:r w:rsidR="00471ABD" w:rsidRPr="00E72418">
        <w:t xml:space="preserve"> répondent à la caractéristique d’opacit</w:t>
      </w:r>
      <w:r w:rsidR="0044093F" w:rsidRPr="00E72418">
        <w:t xml:space="preserve">é des fonds spécialisés dans la </w:t>
      </w:r>
      <w:r w:rsidR="00471ABD" w:rsidRPr="00E72418">
        <w:t>spéculation sur les dettes souveraines</w:t>
      </w:r>
      <w:r w:rsidR="00B215C2" w:rsidRPr="00E72418">
        <w:t>, l’on peut s’interroger sur leur lourdeur et sur leur caractère intrusif</w:t>
      </w:r>
      <w:r w:rsidR="00965497" w:rsidRPr="00E72418">
        <w:rPr>
          <w:rStyle w:val="Appelnotedebasdep"/>
        </w:rPr>
        <w:footnoteReference w:id="1490"/>
      </w:r>
      <w:r w:rsidR="00B215C2" w:rsidRPr="00E72418">
        <w:t xml:space="preserve">. </w:t>
      </w:r>
      <w:r w:rsidR="00B719BE" w:rsidRPr="00E72418">
        <w:t xml:space="preserve">Dès lors que les obligations posées le sont </w:t>
      </w:r>
      <w:r w:rsidRPr="00E72418">
        <w:t>pour toute</w:t>
      </w:r>
      <w:r w:rsidR="00B719BE" w:rsidRPr="00E72418">
        <w:t xml:space="preserve"> démarche entrepri</w:t>
      </w:r>
      <w:r w:rsidRPr="00E72418">
        <w:t>se auprès d’une juridiction visant</w:t>
      </w:r>
      <w:r w:rsidR="00B719BE" w:rsidRPr="00E72418">
        <w:t xml:space="preserve"> le règlement d’une dette souveraine, toutes les fois où d’importants créanciers</w:t>
      </w:r>
      <w:r w:rsidRPr="00E72418">
        <w:t>,</w:t>
      </w:r>
      <w:r w:rsidR="00B719BE" w:rsidRPr="00E72418">
        <w:t xml:space="preserve"> comme </w:t>
      </w:r>
      <w:r w:rsidRPr="00E72418">
        <w:t xml:space="preserve">par exemple </w:t>
      </w:r>
      <w:r w:rsidR="00B719BE" w:rsidRPr="00E72418">
        <w:t>des banques</w:t>
      </w:r>
      <w:r w:rsidRPr="00E72418">
        <w:t>,</w:t>
      </w:r>
      <w:r w:rsidR="00B719BE" w:rsidRPr="00E72418">
        <w:t xml:space="preserve"> poursuivent </w:t>
      </w:r>
      <w:r w:rsidRPr="00E72418">
        <w:t>un tel</w:t>
      </w:r>
      <w:r w:rsidR="00B719BE" w:rsidRPr="00E72418">
        <w:t xml:space="preserve"> règlement en respectant le seuil maximal aut</w:t>
      </w:r>
      <w:r w:rsidRPr="00E72418">
        <w:t xml:space="preserve">orisé, ils auront à transmettre </w:t>
      </w:r>
      <w:r w:rsidR="00B719BE" w:rsidRPr="00E72418">
        <w:t>des informations potentiellement sensibles</w:t>
      </w:r>
      <w:r w:rsidR="00B719BE" w:rsidRPr="00E72418">
        <w:rPr>
          <w:rStyle w:val="Appelnotedebasdep"/>
        </w:rPr>
        <w:footnoteReference w:id="1491"/>
      </w:r>
      <w:r w:rsidR="00B719BE" w:rsidRPr="00E72418">
        <w:t xml:space="preserve">. L’application des articles 5(g) et 6(b) </w:t>
      </w:r>
      <w:r w:rsidRPr="00E72418">
        <w:t xml:space="preserve">de la proposition </w:t>
      </w:r>
      <w:r w:rsidR="00B719BE" w:rsidRPr="00E72418">
        <w:t>conduira</w:t>
      </w:r>
      <w:r w:rsidRPr="00E72418">
        <w:t xml:space="preserve"> par ailleurs</w:t>
      </w:r>
      <w:r w:rsidR="00B719BE" w:rsidRPr="00E72418">
        <w:t xml:space="preserve"> à ce que ces informa</w:t>
      </w:r>
      <w:r w:rsidR="00965497" w:rsidRPr="00E72418">
        <w:t>tions soient rendues publiques.</w:t>
      </w:r>
    </w:p>
    <w:p w14:paraId="2C89E89A" w14:textId="77777777" w:rsidR="005F6F52" w:rsidRPr="00E72418" w:rsidRDefault="005F6F52" w:rsidP="00827E6E">
      <w:pPr>
        <w:rPr>
          <w:highlight w:val="yellow"/>
        </w:rPr>
      </w:pPr>
    </w:p>
    <w:p w14:paraId="41AD35EF" w14:textId="39A1B034" w:rsidR="005F6F52" w:rsidRPr="00E72418" w:rsidRDefault="002F7FBF" w:rsidP="00CC4BA8">
      <w:pPr>
        <w:pStyle w:val="DD"/>
        <w:spacing w:afterLines="60" w:after="144" w:line="276" w:lineRule="auto"/>
      </w:pPr>
      <w:bookmarkStart w:id="355" w:name="_Toc37777382"/>
      <w:bookmarkStart w:id="356" w:name="_Toc59280984"/>
      <w:bookmarkStart w:id="357" w:name="_Toc84540975"/>
      <w:r w:rsidRPr="00E72418">
        <w:lastRenderedPageBreak/>
        <w:t xml:space="preserve">Section 3 : </w:t>
      </w:r>
      <w:r w:rsidR="005F6F52" w:rsidRPr="00E72418">
        <w:t xml:space="preserve">Les </w:t>
      </w:r>
      <w:r w:rsidR="00E91FCE" w:rsidRPr="00E72418">
        <w:t>personnes</w:t>
      </w:r>
      <w:r w:rsidR="00183743" w:rsidRPr="00E72418">
        <w:t xml:space="preserve"> et les dettes</w:t>
      </w:r>
      <w:r w:rsidR="005F6F52" w:rsidRPr="00E72418">
        <w:t xml:space="preserve"> </w:t>
      </w:r>
      <w:bookmarkEnd w:id="355"/>
      <w:r w:rsidR="00E91FCE" w:rsidRPr="00E72418">
        <w:t>concerné</w:t>
      </w:r>
      <w:r w:rsidR="00557FD6" w:rsidRPr="00E72418">
        <w:t>e</w:t>
      </w:r>
      <w:r w:rsidR="00E91FCE" w:rsidRPr="00E72418">
        <w:t>s</w:t>
      </w:r>
      <w:bookmarkEnd w:id="356"/>
      <w:bookmarkEnd w:id="357"/>
    </w:p>
    <w:p w14:paraId="221C79E7" w14:textId="77777777" w:rsidR="004007D2" w:rsidRPr="00E72418" w:rsidRDefault="004007D2" w:rsidP="00827E6E"/>
    <w:p w14:paraId="320D0079" w14:textId="5C9E9760" w:rsidR="00EC75A6" w:rsidRPr="00E72418" w:rsidRDefault="004469AC" w:rsidP="00CC4BA8">
      <w:pPr>
        <w:spacing w:line="276" w:lineRule="auto"/>
        <w:rPr>
          <w:szCs w:val="24"/>
        </w:rPr>
      </w:pPr>
      <w:r w:rsidRPr="00E72418">
        <w:rPr>
          <w:b/>
          <w:szCs w:val="24"/>
        </w:rPr>
        <w:t>302</w:t>
      </w:r>
      <w:r w:rsidR="00817D62" w:rsidRPr="00E72418">
        <w:rPr>
          <w:b/>
          <w:szCs w:val="24"/>
        </w:rPr>
        <w:t xml:space="preserve">. </w:t>
      </w:r>
      <w:r w:rsidR="005F6F52" w:rsidRPr="00E72418">
        <w:rPr>
          <w:b/>
          <w:szCs w:val="24"/>
        </w:rPr>
        <w:t>Les créanciers visés –</w:t>
      </w:r>
      <w:r w:rsidR="005F6F52" w:rsidRPr="00E72418">
        <w:rPr>
          <w:szCs w:val="24"/>
        </w:rPr>
        <w:t xml:space="preserve"> </w:t>
      </w:r>
      <w:r w:rsidR="00EC75A6" w:rsidRPr="00E72418">
        <w:rPr>
          <w:szCs w:val="24"/>
        </w:rPr>
        <w:t xml:space="preserve">Les créanciers visés </w:t>
      </w:r>
      <w:r w:rsidR="00A153A0" w:rsidRPr="00E72418">
        <w:rPr>
          <w:szCs w:val="24"/>
        </w:rPr>
        <w:t xml:space="preserve">par le mécanisme </w:t>
      </w:r>
      <w:r w:rsidR="004B1057" w:rsidRPr="00E72418">
        <w:rPr>
          <w:szCs w:val="24"/>
        </w:rPr>
        <w:t>envisagé dans</w:t>
      </w:r>
      <w:r w:rsidR="00A153A0" w:rsidRPr="00E72418">
        <w:rPr>
          <w:szCs w:val="24"/>
        </w:rPr>
        <w:t xml:space="preserve"> la proposition étatsunienne de 2009 </w:t>
      </w:r>
      <w:r w:rsidR="00EC75A6" w:rsidRPr="00E72418">
        <w:rPr>
          <w:szCs w:val="24"/>
        </w:rPr>
        <w:t xml:space="preserve">le sont sur </w:t>
      </w:r>
      <w:r w:rsidR="00F25880" w:rsidRPr="00E72418">
        <w:rPr>
          <w:szCs w:val="24"/>
        </w:rPr>
        <w:t xml:space="preserve">la </w:t>
      </w:r>
      <w:r w:rsidR="00EC75A6" w:rsidRPr="00E72418">
        <w:rPr>
          <w:szCs w:val="24"/>
        </w:rPr>
        <w:t xml:space="preserve">base de leurs activités. </w:t>
      </w:r>
      <w:r w:rsidR="008839E8" w:rsidRPr="00E72418">
        <w:rPr>
          <w:szCs w:val="24"/>
        </w:rPr>
        <w:t>Ainsi, l’article 3(1) de</w:t>
      </w:r>
      <w:r w:rsidR="00A153A0" w:rsidRPr="00E72418">
        <w:rPr>
          <w:szCs w:val="24"/>
        </w:rPr>
        <w:t xml:space="preserve"> la proposition donne</w:t>
      </w:r>
      <w:r w:rsidR="008839E8" w:rsidRPr="00E72418">
        <w:rPr>
          <w:szCs w:val="24"/>
        </w:rPr>
        <w:t xml:space="preserve"> une définition des « vulture creditors » laquelle </w:t>
      </w:r>
      <w:r w:rsidR="00A153A0" w:rsidRPr="00E72418">
        <w:rPr>
          <w:szCs w:val="24"/>
        </w:rPr>
        <w:t>doit</w:t>
      </w:r>
      <w:r w:rsidR="008839E8" w:rsidRPr="00E72418">
        <w:rPr>
          <w:szCs w:val="24"/>
        </w:rPr>
        <w:t xml:space="preserve"> être lue en </w:t>
      </w:r>
      <w:r w:rsidR="00A153A0" w:rsidRPr="00E72418">
        <w:rPr>
          <w:szCs w:val="24"/>
        </w:rPr>
        <w:t>parallèle</w:t>
      </w:r>
      <w:r w:rsidR="008839E8" w:rsidRPr="00E72418">
        <w:rPr>
          <w:szCs w:val="24"/>
        </w:rPr>
        <w:t xml:space="preserve"> de l’article 3(4) précisant l’activité </w:t>
      </w:r>
      <w:r w:rsidR="00A153A0" w:rsidRPr="00E72418">
        <w:rPr>
          <w:szCs w:val="24"/>
        </w:rPr>
        <w:t xml:space="preserve">de </w:t>
      </w:r>
      <w:r w:rsidR="00EC75A6" w:rsidRPr="00E72418">
        <w:rPr>
          <w:szCs w:val="24"/>
        </w:rPr>
        <w:t>« </w:t>
      </w:r>
      <w:r w:rsidR="008839E8" w:rsidRPr="00E72418">
        <w:rPr>
          <w:szCs w:val="24"/>
        </w:rPr>
        <w:t>sovereign debt profiteering ».</w:t>
      </w:r>
    </w:p>
    <w:p w14:paraId="37D7F0EF" w14:textId="73C15C5B" w:rsidR="00485466" w:rsidRPr="00E72418" w:rsidRDefault="008839E8" w:rsidP="00CC4BA8">
      <w:pPr>
        <w:spacing w:line="276" w:lineRule="auto"/>
        <w:rPr>
          <w:i/>
          <w:szCs w:val="24"/>
        </w:rPr>
      </w:pPr>
      <w:r w:rsidRPr="00E72418">
        <w:rPr>
          <w:szCs w:val="24"/>
        </w:rPr>
        <w:t xml:space="preserve">Les termes « vulture creditors » visent « any person who directly or indirectly acquires defaulted sovereign debt at a discount to the face value of the obligation so acquired ». </w:t>
      </w:r>
      <w:r w:rsidR="004B1057" w:rsidRPr="00E72418">
        <w:rPr>
          <w:szCs w:val="24"/>
        </w:rPr>
        <w:t>L</w:t>
      </w:r>
      <w:r w:rsidR="00A153A0" w:rsidRPr="00E72418">
        <w:rPr>
          <w:szCs w:val="24"/>
        </w:rPr>
        <w:t>es seuls</w:t>
      </w:r>
      <w:r w:rsidR="001A5390" w:rsidRPr="00E72418">
        <w:rPr>
          <w:szCs w:val="24"/>
        </w:rPr>
        <w:t xml:space="preserve"> créanciers secondaires</w:t>
      </w:r>
      <w:r w:rsidR="00A153A0" w:rsidRPr="00E72418">
        <w:rPr>
          <w:szCs w:val="24"/>
        </w:rPr>
        <w:t xml:space="preserve"> sont visés</w:t>
      </w:r>
      <w:r w:rsidR="00A62EB1" w:rsidRPr="00E72418">
        <w:rPr>
          <w:rStyle w:val="Appelnotedebasdep"/>
          <w:rFonts w:cs="Times New Roman"/>
          <w:szCs w:val="24"/>
        </w:rPr>
        <w:footnoteReference w:id="1492"/>
      </w:r>
      <w:r w:rsidR="001A5390" w:rsidRPr="00E72418">
        <w:rPr>
          <w:szCs w:val="24"/>
        </w:rPr>
        <w:t>.</w:t>
      </w:r>
      <w:r w:rsidR="00A62EB1" w:rsidRPr="00E72418">
        <w:rPr>
          <w:szCs w:val="24"/>
        </w:rPr>
        <w:t xml:space="preserve"> </w:t>
      </w:r>
      <w:r w:rsidR="00A153A0" w:rsidRPr="00E72418">
        <w:rPr>
          <w:szCs w:val="24"/>
        </w:rPr>
        <w:t>Il faut par ailleurs que l’acquisition ait eu lieu à un prix inférieur à la valeur faciale de la dette. Si celle-ci a été</w:t>
      </w:r>
      <w:r w:rsidR="00A62EB1" w:rsidRPr="00E72418">
        <w:rPr>
          <w:szCs w:val="24"/>
        </w:rPr>
        <w:t xml:space="preserve"> acquise à sa valeur faciale alors, il n’y a pas lieu d’appliquer le mécanisme </w:t>
      </w:r>
      <w:r w:rsidR="004B1057" w:rsidRPr="00E72418">
        <w:rPr>
          <w:szCs w:val="24"/>
        </w:rPr>
        <w:t>envisagé</w:t>
      </w:r>
      <w:r w:rsidR="00A62EB1" w:rsidRPr="00E72418">
        <w:rPr>
          <w:szCs w:val="24"/>
        </w:rPr>
        <w:t>.</w:t>
      </w:r>
      <w:r w:rsidR="00485466" w:rsidRPr="00E72418">
        <w:rPr>
          <w:szCs w:val="24"/>
        </w:rPr>
        <w:t xml:space="preserve"> L’article 3(1) précise encore que les termes « vulture creditors » n’in</w:t>
      </w:r>
      <w:r w:rsidR="003E382B" w:rsidRPr="00E72418">
        <w:rPr>
          <w:szCs w:val="24"/>
        </w:rPr>
        <w:t xml:space="preserve">cluent pas le Gouvernement des </w:t>
      </w:r>
      <w:r w:rsidR="003E382B" w:rsidRPr="00E72418">
        <w:rPr>
          <w:lang w:eastAsia="fr-BE"/>
        </w:rPr>
        <w:t>É</w:t>
      </w:r>
      <w:r w:rsidR="00485466" w:rsidRPr="00E72418">
        <w:rPr>
          <w:szCs w:val="24"/>
        </w:rPr>
        <w:t>tats-Unis</w:t>
      </w:r>
      <w:r w:rsidR="003E382B" w:rsidRPr="00E72418">
        <w:rPr>
          <w:szCs w:val="24"/>
        </w:rPr>
        <w:t xml:space="preserve"> ni aucune de ses agences, les </w:t>
      </w:r>
      <w:r w:rsidR="003E382B" w:rsidRPr="00E72418">
        <w:rPr>
          <w:lang w:eastAsia="fr-BE"/>
        </w:rPr>
        <w:t>É</w:t>
      </w:r>
      <w:r w:rsidR="00485466" w:rsidRPr="00E72418">
        <w:rPr>
          <w:szCs w:val="24"/>
        </w:rPr>
        <w:t>tats étrangers et les institutions financières internationales définies à l’article 1701(c)(2) de l’</w:t>
      </w:r>
      <w:r w:rsidR="00485466" w:rsidRPr="00E72418">
        <w:rPr>
          <w:i/>
          <w:szCs w:val="24"/>
        </w:rPr>
        <w:t>International Financial Institutions Act.</w:t>
      </w:r>
    </w:p>
    <w:p w14:paraId="7242C588" w14:textId="1F6C62B4" w:rsidR="008839E8" w:rsidRPr="00E72418" w:rsidRDefault="000B29C1" w:rsidP="00CC4BA8">
      <w:pPr>
        <w:spacing w:line="276" w:lineRule="auto"/>
        <w:rPr>
          <w:szCs w:val="24"/>
        </w:rPr>
      </w:pPr>
      <w:r w:rsidRPr="00E72418">
        <w:rPr>
          <w:szCs w:val="24"/>
        </w:rPr>
        <w:t>Il ne suffit toutefois pas d’</w:t>
      </w:r>
      <w:r w:rsidR="00485466" w:rsidRPr="00E72418">
        <w:rPr>
          <w:szCs w:val="24"/>
        </w:rPr>
        <w:t>être un « </w:t>
      </w:r>
      <w:r w:rsidR="00BB3B73">
        <w:rPr>
          <w:szCs w:val="24"/>
        </w:rPr>
        <w:t>vulture creditor</w:t>
      </w:r>
      <w:r w:rsidR="00485466" w:rsidRPr="00E72418">
        <w:rPr>
          <w:szCs w:val="24"/>
        </w:rPr>
        <w:t> » ayant</w:t>
      </w:r>
      <w:r w:rsidRPr="00E72418">
        <w:rPr>
          <w:szCs w:val="24"/>
        </w:rPr>
        <w:t xml:space="preserve"> fait l’acquisition d’une dette souveraine sur le marché secondaire </w:t>
      </w:r>
      <w:r w:rsidR="00564C2C" w:rsidRPr="00E72418">
        <w:rPr>
          <w:szCs w:val="24"/>
        </w:rPr>
        <w:t xml:space="preserve">à prix réduit </w:t>
      </w:r>
      <w:r w:rsidR="00485466" w:rsidRPr="00E72418">
        <w:rPr>
          <w:szCs w:val="24"/>
        </w:rPr>
        <w:t>pour être visé</w:t>
      </w:r>
      <w:r w:rsidRPr="00E72418">
        <w:rPr>
          <w:szCs w:val="24"/>
        </w:rPr>
        <w:t xml:space="preserve"> par la législation</w:t>
      </w:r>
      <w:r w:rsidR="004B1057" w:rsidRPr="00E72418">
        <w:rPr>
          <w:szCs w:val="24"/>
        </w:rPr>
        <w:t xml:space="preserve"> étatsunienne</w:t>
      </w:r>
      <w:r w:rsidRPr="00E72418">
        <w:rPr>
          <w:szCs w:val="24"/>
        </w:rPr>
        <w:t xml:space="preserve"> en projet. En effet, il faut </w:t>
      </w:r>
      <w:r w:rsidR="004B1057" w:rsidRPr="00E72418">
        <w:rPr>
          <w:szCs w:val="24"/>
        </w:rPr>
        <w:t>de surcroît</w:t>
      </w:r>
      <w:r w:rsidRPr="00E72418">
        <w:rPr>
          <w:szCs w:val="24"/>
        </w:rPr>
        <w:t xml:space="preserve"> que cette acquisition ait été faite aux fins de « sovereign debt profiteering »</w:t>
      </w:r>
      <w:r w:rsidR="00C9311A" w:rsidRPr="00E72418">
        <w:rPr>
          <w:szCs w:val="24"/>
        </w:rPr>
        <w:t xml:space="preserve"> et que cette spéculation soit déclinée dans des démarches concrètes</w:t>
      </w:r>
      <w:r w:rsidRPr="00E72418">
        <w:rPr>
          <w:szCs w:val="24"/>
        </w:rPr>
        <w:t xml:space="preserve">. </w:t>
      </w:r>
      <w:r w:rsidR="004B1057" w:rsidRPr="00E72418">
        <w:rPr>
          <w:szCs w:val="24"/>
        </w:rPr>
        <w:t>C</w:t>
      </w:r>
      <w:r w:rsidR="008839E8" w:rsidRPr="00E72418">
        <w:rPr>
          <w:szCs w:val="24"/>
        </w:rPr>
        <w:t xml:space="preserve">es termes s’entendent </w:t>
      </w:r>
      <w:r w:rsidR="00C9311A" w:rsidRPr="00E72418">
        <w:rPr>
          <w:szCs w:val="24"/>
        </w:rPr>
        <w:t xml:space="preserve">en effet </w:t>
      </w:r>
      <w:r w:rsidR="008839E8" w:rsidRPr="00E72418">
        <w:rPr>
          <w:szCs w:val="24"/>
        </w:rPr>
        <w:t xml:space="preserve">de </w:t>
      </w:r>
      <w:r w:rsidR="00564C2C" w:rsidRPr="00E72418">
        <w:rPr>
          <w:szCs w:val="24"/>
        </w:rPr>
        <w:t xml:space="preserve">tout acte posé, en ayant recours ou en menaçant d’avoir recours à une procédure, </w:t>
      </w:r>
      <w:r w:rsidR="004B1057" w:rsidRPr="00E72418">
        <w:rPr>
          <w:szCs w:val="24"/>
        </w:rPr>
        <w:t>qui vise</w:t>
      </w:r>
      <w:r w:rsidR="00564C2C" w:rsidRPr="00E72418">
        <w:rPr>
          <w:szCs w:val="24"/>
        </w:rPr>
        <w:t xml:space="preserve"> </w:t>
      </w:r>
      <w:r w:rsidR="004A2729" w:rsidRPr="00E72418">
        <w:rPr>
          <w:szCs w:val="24"/>
        </w:rPr>
        <w:t>le</w:t>
      </w:r>
      <w:r w:rsidR="00564C2C" w:rsidRPr="00E72418">
        <w:rPr>
          <w:szCs w:val="24"/>
        </w:rPr>
        <w:t xml:space="preserve"> paiement d’une de</w:t>
      </w:r>
      <w:r w:rsidR="003E382B" w:rsidRPr="00E72418">
        <w:rPr>
          <w:szCs w:val="24"/>
        </w:rPr>
        <w:t xml:space="preserve">tte souveraine en défaut d’un </w:t>
      </w:r>
      <w:r w:rsidR="003E382B" w:rsidRPr="00E72418">
        <w:rPr>
          <w:lang w:eastAsia="fr-BE"/>
        </w:rPr>
        <w:t>É</w:t>
      </w:r>
      <w:r w:rsidR="004B1057" w:rsidRPr="00E72418">
        <w:rPr>
          <w:szCs w:val="24"/>
        </w:rPr>
        <w:t>tat faisant partie</w:t>
      </w:r>
      <w:r w:rsidR="00564C2C" w:rsidRPr="00E72418">
        <w:rPr>
          <w:szCs w:val="24"/>
        </w:rPr>
        <w:t xml:space="preserve"> d’une liste </w:t>
      </w:r>
      <w:r w:rsidR="005D2D0D" w:rsidRPr="00E72418">
        <w:rPr>
          <w:szCs w:val="24"/>
        </w:rPr>
        <w:t xml:space="preserve">préétablie </w:t>
      </w:r>
      <w:r w:rsidR="00B66150" w:rsidRPr="00E72418">
        <w:rPr>
          <w:szCs w:val="24"/>
        </w:rPr>
        <w:t>de pays pauvres</w:t>
      </w:r>
      <w:r w:rsidR="00564C2C" w:rsidRPr="00E72418">
        <w:rPr>
          <w:szCs w:val="24"/>
        </w:rPr>
        <w:t xml:space="preserve"> à un </w:t>
      </w:r>
      <w:r w:rsidR="004B1057" w:rsidRPr="00E72418">
        <w:rPr>
          <w:szCs w:val="24"/>
        </w:rPr>
        <w:t>montant</w:t>
      </w:r>
      <w:r w:rsidR="00564C2C" w:rsidRPr="00E72418">
        <w:rPr>
          <w:szCs w:val="24"/>
        </w:rPr>
        <w:t xml:space="preserve"> excédant son prix d’acquisition majoré d’un intérêt de six pour</w:t>
      </w:r>
      <w:r w:rsidR="007C22BA" w:rsidRPr="00E72418">
        <w:rPr>
          <w:szCs w:val="24"/>
        </w:rPr>
        <w:t xml:space="preserve"> cent</w:t>
      </w:r>
      <w:r w:rsidR="00564C2C" w:rsidRPr="00E72418">
        <w:rPr>
          <w:szCs w:val="24"/>
        </w:rPr>
        <w:t xml:space="preserve"> l’an</w:t>
      </w:r>
      <w:r w:rsidR="00485466" w:rsidRPr="00E72418">
        <w:rPr>
          <w:rStyle w:val="Appelnotedebasdep"/>
          <w:szCs w:val="24"/>
        </w:rPr>
        <w:footnoteReference w:id="1493"/>
      </w:r>
      <w:r w:rsidR="00485466" w:rsidRPr="00E72418">
        <w:rPr>
          <w:szCs w:val="24"/>
        </w:rPr>
        <w:t>.</w:t>
      </w:r>
    </w:p>
    <w:p w14:paraId="06A0E1E7" w14:textId="77777777" w:rsidR="00004FDE" w:rsidRPr="00E72418" w:rsidRDefault="00004FDE" w:rsidP="00827E6E"/>
    <w:p w14:paraId="6507192E" w14:textId="07FE5321" w:rsidR="006A6A70" w:rsidRPr="00E72418" w:rsidRDefault="004469AC" w:rsidP="00CC4BA8">
      <w:pPr>
        <w:spacing w:line="276" w:lineRule="auto"/>
      </w:pPr>
      <w:r w:rsidRPr="00E72418">
        <w:rPr>
          <w:b/>
        </w:rPr>
        <w:t>303</w:t>
      </w:r>
      <w:r w:rsidR="00817D62" w:rsidRPr="00E72418">
        <w:rPr>
          <w:b/>
        </w:rPr>
        <w:t xml:space="preserve">. </w:t>
      </w:r>
      <w:r w:rsidR="005F6F52" w:rsidRPr="00E72418">
        <w:rPr>
          <w:b/>
        </w:rPr>
        <w:t xml:space="preserve">Les débiteurs </w:t>
      </w:r>
      <w:r w:rsidR="006A6A70" w:rsidRPr="00E72418">
        <w:rPr>
          <w:b/>
        </w:rPr>
        <w:t xml:space="preserve">et les dettes </w:t>
      </w:r>
      <w:r w:rsidR="005F6F52" w:rsidRPr="00E72418">
        <w:rPr>
          <w:b/>
        </w:rPr>
        <w:t>visés –</w:t>
      </w:r>
      <w:r w:rsidR="005F6F52" w:rsidRPr="00E72418">
        <w:t xml:space="preserve"> </w:t>
      </w:r>
      <w:r w:rsidR="005D2D0D" w:rsidRPr="00E72418">
        <w:t>La notion cardinale</w:t>
      </w:r>
      <w:r w:rsidR="002F0722" w:rsidRPr="00E72418">
        <w:t xml:space="preserve"> de « sovereign debt profiteering » </w:t>
      </w:r>
      <w:r w:rsidR="005D2D0D" w:rsidRPr="00E72418">
        <w:t xml:space="preserve">ne </w:t>
      </w:r>
      <w:r w:rsidR="002F0722" w:rsidRPr="00E72418">
        <w:t xml:space="preserve">se conçoit </w:t>
      </w:r>
      <w:r w:rsidR="005D2D0D" w:rsidRPr="00E72418">
        <w:t>qu’</w:t>
      </w:r>
      <w:r w:rsidR="006A6A70" w:rsidRPr="00E72418">
        <w:t>à l’égard d’une</w:t>
      </w:r>
      <w:r w:rsidR="00AB1E17" w:rsidRPr="00E72418">
        <w:t xml:space="preserve"> </w:t>
      </w:r>
      <w:r w:rsidR="006A6A70" w:rsidRPr="00E72418">
        <w:t>« </w:t>
      </w:r>
      <w:r w:rsidR="006A6A70" w:rsidRPr="00E72418">
        <w:rPr>
          <w:rFonts w:ascii="Times New Roman" w:hAnsi="Times New Roman"/>
        </w:rPr>
        <w:t xml:space="preserve">defaulted sovereign debt » </w:t>
      </w:r>
      <w:r w:rsidR="00C9311A" w:rsidRPr="00E72418">
        <w:rPr>
          <w:rFonts w:ascii="Times New Roman" w:hAnsi="Times New Roman"/>
        </w:rPr>
        <w:t>d’</w:t>
      </w:r>
      <w:r w:rsidR="00AB1E17" w:rsidRPr="00E72418">
        <w:t xml:space="preserve">un « qualified poor country ». </w:t>
      </w:r>
    </w:p>
    <w:p w14:paraId="5C5DF7BD" w14:textId="570572D3" w:rsidR="006A6A70" w:rsidRPr="00E72418" w:rsidRDefault="006A6A70" w:rsidP="00CC4BA8">
      <w:pPr>
        <w:spacing w:line="276" w:lineRule="auto"/>
        <w:rPr>
          <w:rFonts w:ascii="Times New Roman" w:hAnsi="Times New Roman"/>
        </w:rPr>
      </w:pPr>
      <w:r w:rsidRPr="00E72418">
        <w:rPr>
          <w:rFonts w:ascii="Times New Roman" w:hAnsi="Times New Roman"/>
        </w:rPr>
        <w:t>La proposition de législation étatsunienne définit les notions de « sovereign debt » et de « defaulted sovereign debt ». Tandis que les premiers termes visent « a</w:t>
      </w:r>
      <w:r w:rsidRPr="00E72418">
        <w:t xml:space="preserve"> commercial obligation of a foreign state, whether evidenced by a claim, contract, note, negotiable instrument, award, or judgment », les seconds visent « any sovereign debt for which payment has been refused by a foreign state, which is subject to an announced moratorium, upon which an award or judgement has been entered, or upon which a payment of interest or principal has not been paid according to the terms of the debt obligation »</w:t>
      </w:r>
      <w:r w:rsidRPr="00E72418">
        <w:rPr>
          <w:rStyle w:val="Appelnotedebasdep"/>
        </w:rPr>
        <w:footnoteReference w:id="1494"/>
      </w:r>
      <w:r w:rsidRPr="00E72418">
        <w:t xml:space="preserve">. </w:t>
      </w:r>
      <w:r w:rsidR="00752BF1" w:rsidRPr="00E72418">
        <w:t xml:space="preserve">Le </w:t>
      </w:r>
      <w:r w:rsidR="008B31DE" w:rsidRPr="00E72418">
        <w:t>mécan</w:t>
      </w:r>
      <w:r w:rsidRPr="00E72418">
        <w:t>i</w:t>
      </w:r>
      <w:r w:rsidR="008B31DE" w:rsidRPr="00E72418">
        <w:t>s</w:t>
      </w:r>
      <w:r w:rsidRPr="00E72418">
        <w:t xml:space="preserve">me </w:t>
      </w:r>
      <w:r w:rsidR="00752BF1" w:rsidRPr="00E72418">
        <w:t>envisagé ne fait aucune distinction entre les</w:t>
      </w:r>
      <w:r w:rsidRPr="00E72418">
        <w:t xml:space="preserve"> dettes antérieures à l’adoption de la loi</w:t>
      </w:r>
      <w:r w:rsidR="00752BF1" w:rsidRPr="00E72418">
        <w:t xml:space="preserve"> et celles qui lui sont postérieures</w:t>
      </w:r>
      <w:r w:rsidRPr="00E72418">
        <w:rPr>
          <w:rStyle w:val="Appelnotedebasdep"/>
          <w:rFonts w:cs="Times New Roman"/>
          <w:szCs w:val="24"/>
        </w:rPr>
        <w:footnoteReference w:id="1495"/>
      </w:r>
      <w:r w:rsidRPr="00E72418">
        <w:t>.</w:t>
      </w:r>
    </w:p>
    <w:p w14:paraId="1BF5FB6F" w14:textId="27D34D62" w:rsidR="00AB1E17" w:rsidRPr="00E72418" w:rsidRDefault="006A6A70" w:rsidP="00CC4BA8">
      <w:pPr>
        <w:spacing w:line="276" w:lineRule="auto"/>
      </w:pPr>
      <w:r w:rsidRPr="00E72418">
        <w:lastRenderedPageBreak/>
        <w:t>La</w:t>
      </w:r>
      <w:r w:rsidR="00AB1E17" w:rsidRPr="00E72418">
        <w:t xml:space="preserve"> notion </w:t>
      </w:r>
      <w:r w:rsidRPr="00E72418">
        <w:t xml:space="preserve">de « qualified poor country » </w:t>
      </w:r>
      <w:r w:rsidR="00AB1E17" w:rsidRPr="00E72418">
        <w:t>e</w:t>
      </w:r>
      <w:r w:rsidR="005D2D0D" w:rsidRPr="00E72418">
        <w:t>s</w:t>
      </w:r>
      <w:r w:rsidR="00AB1E17" w:rsidRPr="00E72418">
        <w:t xml:space="preserve">t </w:t>
      </w:r>
      <w:r w:rsidR="008B31DE" w:rsidRPr="00E72418">
        <w:t xml:space="preserve">quant à </w:t>
      </w:r>
      <w:r w:rsidRPr="00E72418">
        <w:t xml:space="preserve">elle </w:t>
      </w:r>
      <w:r w:rsidR="00AB1E17" w:rsidRPr="00E72418">
        <w:t xml:space="preserve">précisée à l’article 3(9) </w:t>
      </w:r>
      <w:r w:rsidR="00752BF1" w:rsidRPr="00E72418">
        <w:t xml:space="preserve">de la proposition de texte </w:t>
      </w:r>
      <w:r w:rsidR="005D2D0D" w:rsidRPr="00E72418">
        <w:t xml:space="preserve">où l’on peut lire </w:t>
      </w:r>
      <w:r w:rsidR="00AB1E17" w:rsidRPr="00E72418">
        <w:t xml:space="preserve">qu’il s’agit </w:t>
      </w:r>
      <w:r w:rsidR="003E382B" w:rsidRPr="00E72418">
        <w:t xml:space="preserve">d’un </w:t>
      </w:r>
      <w:r w:rsidR="003E382B" w:rsidRPr="00E72418">
        <w:rPr>
          <w:lang w:eastAsia="fr-BE"/>
        </w:rPr>
        <w:t>É</w:t>
      </w:r>
      <w:r w:rsidR="005D2D0D" w:rsidRPr="00E72418">
        <w:t>tat étranger figurant sur une liste dressé</w:t>
      </w:r>
      <w:r w:rsidR="00752BF1" w:rsidRPr="00E72418">
        <w:t>e</w:t>
      </w:r>
      <w:r w:rsidR="005D2D0D" w:rsidRPr="00E72418">
        <w:t xml:space="preserve"> et maintenue à jour par le Secrétariat du Trésor étatsunien</w:t>
      </w:r>
      <w:r w:rsidR="008274AC" w:rsidRPr="00E72418">
        <w:rPr>
          <w:rStyle w:val="Appelnotedebasdep"/>
        </w:rPr>
        <w:footnoteReference w:id="1496"/>
      </w:r>
      <w:r w:rsidR="008274AC" w:rsidRPr="00E72418">
        <w:t>.</w:t>
      </w:r>
      <w:r w:rsidRPr="00E72418">
        <w:t xml:space="preserve"> </w:t>
      </w:r>
      <w:r w:rsidR="00752BF1" w:rsidRPr="00E72418">
        <w:t>À l’</w:t>
      </w:r>
      <w:r w:rsidR="00A75040" w:rsidRPr="00E72418">
        <w:t xml:space="preserve">analyse </w:t>
      </w:r>
      <w:r w:rsidR="00C90984" w:rsidRPr="00E72418">
        <w:t>des articles 6(a)(1</w:t>
      </w:r>
      <w:r w:rsidR="00A75040" w:rsidRPr="00E72418">
        <w:t>)</w:t>
      </w:r>
      <w:r w:rsidR="00C90984" w:rsidRPr="00E72418">
        <w:t xml:space="preserve"> et 6(a)(2)</w:t>
      </w:r>
      <w:r w:rsidR="00A75040" w:rsidRPr="00E72418">
        <w:t xml:space="preserve">, l’on </w:t>
      </w:r>
      <w:r w:rsidR="008E7C37" w:rsidRPr="00E72418">
        <w:t>retient</w:t>
      </w:r>
      <w:r w:rsidR="00A75040" w:rsidRPr="00E72418">
        <w:t xml:space="preserve"> que les « qualified poor countries » s’entendent des « foreign states that are eligible for financing from the International Development Association but not from the International Bank for Reconstruction and Development »</w:t>
      </w:r>
      <w:r w:rsidRPr="00E72418">
        <w:rPr>
          <w:rStyle w:val="Appelnotedebasdep"/>
        </w:rPr>
        <w:footnoteReference w:id="1497"/>
      </w:r>
      <w:r w:rsidR="00127C09" w:rsidRPr="00E72418">
        <w:rPr>
          <w:vertAlign w:val="superscript"/>
        </w:rPr>
        <w:t>,</w:t>
      </w:r>
      <w:r w:rsidR="001773D6" w:rsidRPr="00E72418">
        <w:rPr>
          <w:rStyle w:val="Appelnotedebasdep"/>
        </w:rPr>
        <w:footnoteReference w:id="1498"/>
      </w:r>
      <w:r w:rsidR="00C90984" w:rsidRPr="00E72418">
        <w:t>,</w:t>
      </w:r>
      <w:r w:rsidR="00752BF1" w:rsidRPr="00E72418">
        <w:t xml:space="preserve"> </w:t>
      </w:r>
      <w:r w:rsidR="00A75040" w:rsidRPr="00E72418">
        <w:t>mais qui toutefois ne font pas partie d’une des catégories de pays bannis</w:t>
      </w:r>
      <w:r w:rsidR="008274AC" w:rsidRPr="00E72418">
        <w:rPr>
          <w:rStyle w:val="Appelnotedebasdep"/>
        </w:rPr>
        <w:footnoteReference w:id="1499"/>
      </w:r>
      <w:r w:rsidR="00A75040" w:rsidRPr="00E72418">
        <w:t xml:space="preserve">. </w:t>
      </w:r>
      <w:r w:rsidR="00C90984" w:rsidRPr="00E72418">
        <w:t>La</w:t>
      </w:r>
      <w:r w:rsidR="00252AEE" w:rsidRPr="00E72418">
        <w:t xml:space="preserve"> proposition refuse que </w:t>
      </w:r>
      <w:r w:rsidR="00D767F3" w:rsidRPr="00E72418">
        <w:t xml:space="preserve">les </w:t>
      </w:r>
      <w:r w:rsidR="00D767F3" w:rsidRPr="00E72418">
        <w:rPr>
          <w:lang w:eastAsia="fr-BE"/>
        </w:rPr>
        <w:t>É</w:t>
      </w:r>
      <w:r w:rsidR="00252AEE" w:rsidRPr="00E72418">
        <w:t>tats m</w:t>
      </w:r>
      <w:r w:rsidR="00D767F3" w:rsidRPr="00E72418">
        <w:t xml:space="preserve">arquant une hostilité pour les </w:t>
      </w:r>
      <w:r w:rsidR="00D767F3" w:rsidRPr="00E72418">
        <w:rPr>
          <w:lang w:eastAsia="fr-BE"/>
        </w:rPr>
        <w:t>É</w:t>
      </w:r>
      <w:r w:rsidR="00252AEE" w:rsidRPr="00E72418">
        <w:t>tats-Unis ou leurs politiques</w:t>
      </w:r>
      <w:r w:rsidR="00C90984" w:rsidRPr="00E72418">
        <w:t xml:space="preserve"> bénéficient du mécanisme protecteur qu’elle met en place</w:t>
      </w:r>
      <w:r w:rsidR="00093FBE" w:rsidRPr="00E72418">
        <w:rPr>
          <w:rStyle w:val="Appelnotedebasdep"/>
        </w:rPr>
        <w:footnoteReference w:id="1500"/>
      </w:r>
      <w:r w:rsidR="00252AEE" w:rsidRPr="00E72418">
        <w:t>.</w:t>
      </w:r>
      <w:r w:rsidR="00C90984" w:rsidRPr="00E72418">
        <w:t xml:space="preserve"> Ainsi, ne sont pas retenus comme « qualified poor countries », les </w:t>
      </w:r>
      <w:r w:rsidR="00C90984" w:rsidRPr="00E72418">
        <w:rPr>
          <w:lang w:eastAsia="fr-BE"/>
        </w:rPr>
        <w:t>É</w:t>
      </w:r>
      <w:r w:rsidR="00C90984" w:rsidRPr="00E72418">
        <w:t xml:space="preserve">tats dont le gouvernement ou toutes forces militaires ou de sécurité se livrent à des violations graves des droits de l’homme, les </w:t>
      </w:r>
      <w:r w:rsidR="00C90984" w:rsidRPr="00E72418">
        <w:rPr>
          <w:lang w:eastAsia="fr-BE"/>
        </w:rPr>
        <w:t>É</w:t>
      </w:r>
      <w:r w:rsidR="00C90984" w:rsidRPr="00E72418">
        <w:t xml:space="preserve">tats dont le gouvernement a un niveau de dépenses militaires excessif, les </w:t>
      </w:r>
      <w:r w:rsidR="00C90984" w:rsidRPr="00E72418">
        <w:rPr>
          <w:lang w:eastAsia="fr-BE"/>
        </w:rPr>
        <w:t>É</w:t>
      </w:r>
      <w:r w:rsidR="00C90984" w:rsidRPr="00E72418">
        <w:t xml:space="preserve">tats dont le gouvernement a offert son support à des actes de terrorisme international ou encore les </w:t>
      </w:r>
      <w:r w:rsidR="00C90984" w:rsidRPr="00E72418">
        <w:rPr>
          <w:lang w:eastAsia="fr-BE"/>
        </w:rPr>
        <w:t>É</w:t>
      </w:r>
      <w:r w:rsidR="00C90984" w:rsidRPr="00E72418">
        <w:t xml:space="preserve">tats dont le gouvernement ne collabore pas avec les </w:t>
      </w:r>
      <w:r w:rsidR="00C90984" w:rsidRPr="00E72418">
        <w:rPr>
          <w:lang w:eastAsia="fr-BE"/>
        </w:rPr>
        <w:t>É</w:t>
      </w:r>
      <w:r w:rsidR="00C90984" w:rsidRPr="00E72418">
        <w:t>tats-Unis en matière de lutte contre le trafic de drogues</w:t>
      </w:r>
      <w:r w:rsidR="00C90984" w:rsidRPr="00E72418">
        <w:rPr>
          <w:rStyle w:val="Appelnotedebasdep"/>
        </w:rPr>
        <w:footnoteReference w:id="1501"/>
      </w:r>
      <w:r w:rsidR="00C90984" w:rsidRPr="00E72418">
        <w:t>.</w:t>
      </w:r>
    </w:p>
    <w:p w14:paraId="46BB88C5" w14:textId="39903E19" w:rsidR="005F6F52" w:rsidRPr="00E72418" w:rsidRDefault="00AB1E17" w:rsidP="00CC4BA8">
      <w:pPr>
        <w:spacing w:line="276" w:lineRule="auto"/>
      </w:pPr>
      <w:r w:rsidRPr="00E72418">
        <w:t xml:space="preserve">Les termes « foreign state » </w:t>
      </w:r>
      <w:r w:rsidR="008E7C37" w:rsidRPr="00E72418">
        <w:t xml:space="preserve">employés pour préciser la notion de « qualified poor country » </w:t>
      </w:r>
      <w:r w:rsidRPr="00E72418">
        <w:t>doi</w:t>
      </w:r>
      <w:r w:rsidR="00252AEE" w:rsidRPr="00E72418">
        <w:t>ven</w:t>
      </w:r>
      <w:r w:rsidRPr="00E72418">
        <w:t>t s’entendre dans un sens large. Ainsi, l’article 3(6) de la législation en projet dispose qu’ils incluent « a political subdivision of a foreign state, or an agency or instrumentality of a foreign state […]</w:t>
      </w:r>
      <w:r w:rsidR="00305399" w:rsidRPr="00E72418">
        <w:t xml:space="preserve"> ». L’on entend par </w:t>
      </w:r>
      <w:r w:rsidRPr="00E72418">
        <w:t>« agency or instrumentality of a foreign state », « an entity (A) which is a separate legal person, corporate or otherwise; (B) which is an organ of a foreign state or political subdivision thereof, or a majority of whose shares or other ownership interest is owned by a foreign state or political subdivision thereof; and (C) which is neither a citizen of a State of the United States (as defined in section 1332(c) and (e) of title 28, United States Code), nor created under the laws of any third country »</w:t>
      </w:r>
      <w:r w:rsidRPr="00E72418">
        <w:rPr>
          <w:rStyle w:val="Appelnotedebasdep"/>
          <w:rFonts w:ascii="Times New Roman" w:hAnsi="Times New Roman" w:cs="Times New Roman"/>
          <w:szCs w:val="24"/>
        </w:rPr>
        <w:footnoteReference w:id="1502"/>
      </w:r>
      <w:r w:rsidR="00173A3B" w:rsidRPr="00E72418">
        <w:t>.</w:t>
      </w:r>
    </w:p>
    <w:p w14:paraId="237AD74B" w14:textId="77777777" w:rsidR="003E5DA4" w:rsidRPr="00E72418" w:rsidRDefault="003E5DA4" w:rsidP="00CC4BA8">
      <w:pPr>
        <w:spacing w:line="276" w:lineRule="auto"/>
        <w:rPr>
          <w:rStyle w:val="SansinterligneCar"/>
          <w:sz w:val="24"/>
          <w:szCs w:val="24"/>
        </w:rPr>
      </w:pPr>
    </w:p>
    <w:p w14:paraId="2C80EECD" w14:textId="77777777" w:rsidR="00075B8A" w:rsidRPr="00E72418" w:rsidRDefault="00075B8A">
      <w:pPr>
        <w:jc w:val="left"/>
        <w:rPr>
          <w:rFonts w:eastAsiaTheme="majorEastAsia" w:cstheme="majorBidi"/>
          <w:b/>
          <w:sz w:val="32"/>
          <w:szCs w:val="24"/>
          <w:u w:val="single"/>
        </w:rPr>
      </w:pPr>
      <w:bookmarkStart w:id="358" w:name="_Toc37777384"/>
      <w:bookmarkStart w:id="359" w:name="_Toc59280985"/>
      <w:bookmarkStart w:id="360" w:name="_Toc75106111"/>
      <w:bookmarkStart w:id="361" w:name="_Toc84540976"/>
      <w:r w:rsidRPr="00E72418">
        <w:br w:type="page"/>
      </w:r>
    </w:p>
    <w:p w14:paraId="3AA21709" w14:textId="33284F8F" w:rsidR="005F6F52" w:rsidRPr="00E72418" w:rsidRDefault="008665DF" w:rsidP="00CC4BA8">
      <w:pPr>
        <w:pStyle w:val="CC"/>
        <w:spacing w:afterLines="60" w:after="144" w:line="276" w:lineRule="auto"/>
      </w:pPr>
      <w:r w:rsidRPr="00E72418">
        <w:lastRenderedPageBreak/>
        <w:t xml:space="preserve">Chapitre 2 : </w:t>
      </w:r>
      <w:bookmarkEnd w:id="358"/>
      <w:r w:rsidR="00CC28E5" w:rsidRPr="00E72418">
        <w:t xml:space="preserve">Le </w:t>
      </w:r>
      <w:r w:rsidR="00CC28E5" w:rsidRPr="00E72418">
        <w:rPr>
          <w:i/>
        </w:rPr>
        <w:t>Debt Relief (Developing Countries) Act</w:t>
      </w:r>
      <w:r w:rsidRPr="00E72418">
        <w:t xml:space="preserve"> britannique</w:t>
      </w:r>
      <w:bookmarkEnd w:id="359"/>
      <w:bookmarkEnd w:id="360"/>
      <w:bookmarkEnd w:id="361"/>
    </w:p>
    <w:p w14:paraId="4C63ABCA" w14:textId="77777777" w:rsidR="008323D7" w:rsidRPr="00E72418" w:rsidRDefault="008323D7" w:rsidP="00CC4BA8">
      <w:pPr>
        <w:spacing w:line="276" w:lineRule="auto"/>
      </w:pPr>
    </w:p>
    <w:p w14:paraId="45D65874" w14:textId="6E4F348B" w:rsidR="0036555A" w:rsidRPr="00E72418" w:rsidRDefault="004469AC" w:rsidP="00CC4BA8">
      <w:pPr>
        <w:spacing w:line="276" w:lineRule="auto"/>
      </w:pPr>
      <w:r w:rsidRPr="00E72418">
        <w:rPr>
          <w:b/>
        </w:rPr>
        <w:t>304</w:t>
      </w:r>
      <w:r w:rsidR="007F038F" w:rsidRPr="00E72418">
        <w:rPr>
          <w:b/>
        </w:rPr>
        <w:t>.</w:t>
      </w:r>
      <w:r w:rsidR="008323D7" w:rsidRPr="00E72418">
        <w:t xml:space="preserve"> </w:t>
      </w:r>
      <w:r w:rsidR="00736F3F" w:rsidRPr="00E72418">
        <w:rPr>
          <w:b/>
        </w:rPr>
        <w:t xml:space="preserve">La poursuite d’un objectif de désendettement </w:t>
      </w:r>
      <w:r w:rsidR="00FD2681" w:rsidRPr="00E72418">
        <w:rPr>
          <w:b/>
        </w:rPr>
        <w:t xml:space="preserve">déjà entamé </w:t>
      </w:r>
      <w:r w:rsidR="00736F3F" w:rsidRPr="00E72418">
        <w:rPr>
          <w:b/>
        </w:rPr>
        <w:t xml:space="preserve">– </w:t>
      </w:r>
      <w:r w:rsidR="00402CF0" w:rsidRPr="00E72418">
        <w:t>L</w:t>
      </w:r>
      <w:r w:rsidR="008323D7" w:rsidRPr="00E72418">
        <w:t>a tentative étatsunienne du début du siècle s’étant avérée infructueus</w:t>
      </w:r>
      <w:r w:rsidR="002F06CB" w:rsidRPr="00E72418">
        <w:t>e</w:t>
      </w:r>
      <w:r w:rsidR="008323D7" w:rsidRPr="00E72418">
        <w:t xml:space="preserve">, la première concrétisation d’une réglementation en matière de spéculation sur les dettes souveraines est britannique. Sans doute </w:t>
      </w:r>
      <w:r w:rsidR="00402CF0" w:rsidRPr="00E72418">
        <w:t xml:space="preserve">l’adoption du </w:t>
      </w:r>
      <w:r w:rsidR="00402CF0" w:rsidRPr="00E72418">
        <w:rPr>
          <w:i/>
        </w:rPr>
        <w:t>Debt Relief (Developing Countries) Act</w:t>
      </w:r>
      <w:r w:rsidR="008323D7" w:rsidRPr="00E72418">
        <w:t xml:space="preserve"> s’explique-t-elle par un contexte favorable résultant de ce qui fut une consternation du grand public </w:t>
      </w:r>
      <w:r w:rsidR="002F06CB" w:rsidRPr="00E72418">
        <w:t>à la suite de</w:t>
      </w:r>
      <w:r w:rsidR="008323D7" w:rsidRPr="00E72418">
        <w:t xml:space="preserve"> la médiatisation de l’affaire </w:t>
      </w:r>
      <w:r w:rsidR="00D016C1" w:rsidRPr="00E72418">
        <w:rPr>
          <w:i/>
          <w:lang w:val="en-US"/>
        </w:rPr>
        <w:t>Donegal International Lt</w:t>
      </w:r>
      <w:r w:rsidR="008323D7" w:rsidRPr="00E72418">
        <w:rPr>
          <w:i/>
          <w:lang w:val="en-US"/>
        </w:rPr>
        <w:t>d</w:t>
      </w:r>
      <w:r w:rsidR="00F621B0" w:rsidRPr="00E72418">
        <w:rPr>
          <w:i/>
          <w:lang w:val="en-US"/>
        </w:rPr>
        <w:t>.</w:t>
      </w:r>
      <w:r w:rsidR="008323D7" w:rsidRPr="00E72418">
        <w:rPr>
          <w:i/>
          <w:lang w:val="en-US"/>
        </w:rPr>
        <w:t xml:space="preserve"> v. Republic of Zambia</w:t>
      </w:r>
      <w:r w:rsidR="008323D7" w:rsidRPr="00E72418">
        <w:t xml:space="preserve"> (</w:t>
      </w:r>
      <w:r w:rsidR="008323D7" w:rsidRPr="00E72418">
        <w:rPr>
          <w:b/>
        </w:rPr>
        <w:t>section 1</w:t>
      </w:r>
      <w:r w:rsidR="008323D7" w:rsidRPr="00E72418">
        <w:t>).</w:t>
      </w:r>
      <w:r w:rsidR="002F06CB" w:rsidRPr="00E72418">
        <w:t xml:space="preserve"> Le législateur britannique s</w:t>
      </w:r>
      <w:r w:rsidR="00402CF0" w:rsidRPr="00E72418">
        <w:t>’en</w:t>
      </w:r>
      <w:r w:rsidR="002F06CB" w:rsidRPr="00E72418">
        <w:t xml:space="preserve"> saisit </w:t>
      </w:r>
      <w:r w:rsidR="00402CF0" w:rsidRPr="00E72418">
        <w:t xml:space="preserve">en </w:t>
      </w:r>
      <w:r w:rsidR="002F06CB" w:rsidRPr="00E72418">
        <w:t>ayant le souci de concourir par son action aux objectifs de l’Initiative Pays Pauvres Très Endettés de la Banque mondiale et du Fonds monétaire</w:t>
      </w:r>
      <w:r w:rsidR="00402CF0" w:rsidRPr="00E72418">
        <w:t xml:space="preserve"> international</w:t>
      </w:r>
      <w:r w:rsidR="002F06CB" w:rsidRPr="00E72418">
        <w:t xml:space="preserve"> (</w:t>
      </w:r>
      <w:r w:rsidR="002F06CB" w:rsidRPr="00E72418">
        <w:rPr>
          <w:b/>
        </w:rPr>
        <w:t>section 2</w:t>
      </w:r>
      <w:r w:rsidR="002F06CB" w:rsidRPr="00E72418">
        <w:t>). Il mit ainsi un frein (</w:t>
      </w:r>
      <w:r w:rsidR="002F06CB" w:rsidRPr="00E72418">
        <w:rPr>
          <w:b/>
        </w:rPr>
        <w:t>section 3</w:t>
      </w:r>
      <w:r w:rsidR="002F06CB" w:rsidRPr="00E72418">
        <w:t xml:space="preserve">) à la spéculation </w:t>
      </w:r>
      <w:r w:rsidR="00402CF0" w:rsidRPr="00E72418">
        <w:t>portant</w:t>
      </w:r>
      <w:r w:rsidR="002F06CB" w:rsidRPr="00E72418">
        <w:t xml:space="preserve"> atteinte à ce que l’Initiative précitée vise précisément à protéger (</w:t>
      </w:r>
      <w:r w:rsidR="002F06CB" w:rsidRPr="00E72418">
        <w:rPr>
          <w:b/>
        </w:rPr>
        <w:t>section 4</w:t>
      </w:r>
      <w:r w:rsidR="002F06CB" w:rsidRPr="00E72418">
        <w:t xml:space="preserve">). Si son souci de ne pas contrevenir au droit international </w:t>
      </w:r>
      <w:r w:rsidR="00BB3B73">
        <w:t>fut</w:t>
      </w:r>
      <w:r w:rsidR="002F06CB" w:rsidRPr="00E72418">
        <w:t xml:space="preserve"> manifesté, le législateur britannique entend</w:t>
      </w:r>
      <w:r w:rsidR="00BB3B73">
        <w:t>it</w:t>
      </w:r>
      <w:r w:rsidR="002F06CB" w:rsidRPr="00E72418">
        <w:t xml:space="preserve"> néanmoins conférer une large portée au mécanisme qu’il</w:t>
      </w:r>
      <w:r w:rsidR="00736F3F" w:rsidRPr="00E72418">
        <w:t xml:space="preserve"> met en place (</w:t>
      </w:r>
      <w:r w:rsidR="00736F3F" w:rsidRPr="00E72418">
        <w:rPr>
          <w:b/>
        </w:rPr>
        <w:t>section 5</w:t>
      </w:r>
      <w:r w:rsidR="00736F3F" w:rsidRPr="00E72418">
        <w:t>).</w:t>
      </w:r>
    </w:p>
    <w:p w14:paraId="4F6091D9" w14:textId="77777777" w:rsidR="008323D7" w:rsidRPr="00E72418" w:rsidRDefault="008323D7" w:rsidP="00CC4BA8">
      <w:pPr>
        <w:spacing w:line="276" w:lineRule="auto"/>
      </w:pPr>
    </w:p>
    <w:p w14:paraId="4B0C2225" w14:textId="43AB29CC" w:rsidR="005F6F52" w:rsidRPr="00E72418" w:rsidRDefault="002F7FBF" w:rsidP="00CC4BA8">
      <w:pPr>
        <w:pStyle w:val="DD"/>
        <w:spacing w:line="276" w:lineRule="auto"/>
      </w:pPr>
      <w:bookmarkStart w:id="362" w:name="_Toc59280986"/>
      <w:bookmarkStart w:id="363" w:name="_Toc84540977"/>
      <w:r w:rsidRPr="00E72418">
        <w:t xml:space="preserve">Section 1 : </w:t>
      </w:r>
      <w:r w:rsidR="005F6F52" w:rsidRPr="00E72418">
        <w:t>Le contexte</w:t>
      </w:r>
      <w:bookmarkEnd w:id="362"/>
      <w:bookmarkEnd w:id="363"/>
    </w:p>
    <w:p w14:paraId="3BC7D0C0" w14:textId="77777777" w:rsidR="004007D2" w:rsidRPr="00E72418" w:rsidRDefault="004007D2" w:rsidP="004007D2"/>
    <w:p w14:paraId="6E9839F8" w14:textId="02FB2389" w:rsidR="001938B4" w:rsidRPr="00E72418" w:rsidRDefault="007F038F" w:rsidP="00CC4BA8">
      <w:pPr>
        <w:spacing w:line="276" w:lineRule="auto"/>
      </w:pPr>
      <w:r w:rsidRPr="00E72418">
        <w:rPr>
          <w:b/>
        </w:rPr>
        <w:t>30</w:t>
      </w:r>
      <w:r w:rsidR="004469AC" w:rsidRPr="00E72418">
        <w:rPr>
          <w:b/>
        </w:rPr>
        <w:t>5</w:t>
      </w:r>
      <w:r w:rsidR="00817D62" w:rsidRPr="00E72418">
        <w:rPr>
          <w:b/>
        </w:rPr>
        <w:t xml:space="preserve">. </w:t>
      </w:r>
      <w:r w:rsidR="005F6F52" w:rsidRPr="00E72418">
        <w:rPr>
          <w:b/>
        </w:rPr>
        <w:t xml:space="preserve">Une large demande – </w:t>
      </w:r>
      <w:r w:rsidR="00A96589" w:rsidRPr="00E72418">
        <w:t>Si le recours aux juridictions britanniques par les fonds spéculatifs est fréquent, c’est indubitablement l</w:t>
      </w:r>
      <w:r w:rsidR="00F11CD8" w:rsidRPr="00E72418">
        <w:t xml:space="preserve">’importante </w:t>
      </w:r>
      <w:r w:rsidR="005F6F52" w:rsidRPr="00E72418">
        <w:t xml:space="preserve">médiatisation de l’affaire </w:t>
      </w:r>
      <w:r w:rsidR="00D016C1" w:rsidRPr="00E72418">
        <w:rPr>
          <w:i/>
          <w:lang w:val="en-US"/>
        </w:rPr>
        <w:t>Donegal International Ltd.</w:t>
      </w:r>
      <w:r w:rsidR="00372ED8" w:rsidRPr="00E72418">
        <w:rPr>
          <w:i/>
          <w:lang w:val="en-US"/>
        </w:rPr>
        <w:t xml:space="preserve"> v. Republic of Zambia </w:t>
      </w:r>
      <w:r w:rsidR="005F6F52" w:rsidRPr="00E72418">
        <w:t xml:space="preserve">poursuivie devant les juridictions britanniques </w:t>
      </w:r>
      <w:r w:rsidR="00A96589" w:rsidRPr="00E72418">
        <w:t xml:space="preserve">qui </w:t>
      </w:r>
      <w:r w:rsidR="005F6F52" w:rsidRPr="00E72418">
        <w:t>donna lieu à une pression populaire visant à ce que le Royaume-Uni se saisisse d</w:t>
      </w:r>
      <w:r w:rsidR="00BB3B73">
        <w:t>u problème de la spéculation</w:t>
      </w:r>
      <w:r w:rsidR="00F11CD8" w:rsidRPr="00E72418">
        <w:t xml:space="preserve"> sur les dettes souveraines</w:t>
      </w:r>
      <w:r w:rsidR="005F6F52" w:rsidRPr="00E72418">
        <w:rPr>
          <w:rStyle w:val="Appelnotedebasdep"/>
        </w:rPr>
        <w:footnoteReference w:id="1503"/>
      </w:r>
      <w:r w:rsidR="005F6F52" w:rsidRPr="00E72418">
        <w:t xml:space="preserve">. </w:t>
      </w:r>
      <w:r w:rsidR="006B0C2E" w:rsidRPr="00E72418">
        <w:t>En mai 2007, à la suite de la décision rendue</w:t>
      </w:r>
      <w:r w:rsidR="00A96589" w:rsidRPr="00E72418">
        <w:t xml:space="preserve"> par la </w:t>
      </w:r>
      <w:r w:rsidR="00A96589" w:rsidRPr="00F1587D">
        <w:t>High Court of Justice</w:t>
      </w:r>
      <w:r w:rsidR="00372ED8" w:rsidRPr="00E72418">
        <w:t xml:space="preserve"> dans cette </w:t>
      </w:r>
      <w:r w:rsidR="00A96589" w:rsidRPr="00E72418">
        <w:t>affaire</w:t>
      </w:r>
      <w:r w:rsidR="006B0C2E" w:rsidRPr="00E72418">
        <w:t>, Gordon Brown</w:t>
      </w:r>
      <w:r w:rsidR="00F11CD8" w:rsidRPr="00E72418">
        <w:t>,</w:t>
      </w:r>
      <w:r w:rsidR="006B0C2E" w:rsidRPr="00E72418">
        <w:t xml:space="preserve"> </w:t>
      </w:r>
      <w:r w:rsidR="008B31DE" w:rsidRPr="00E72418">
        <w:t>alors chanceli</w:t>
      </w:r>
      <w:r w:rsidR="00F11CD8" w:rsidRPr="00E72418">
        <w:t>er de l’Echiquier, annonça</w:t>
      </w:r>
      <w:r w:rsidR="006B0C2E" w:rsidRPr="00E72418">
        <w:t xml:space="preserve"> sa détermination à limiter</w:t>
      </w:r>
      <w:r w:rsidR="00372ED8" w:rsidRPr="00E72418">
        <w:t xml:space="preserve"> les dommages occasionnés par ce</w:t>
      </w:r>
      <w:r w:rsidR="006B0C2E" w:rsidRPr="00E72418">
        <w:t xml:space="preserve">s fonds </w:t>
      </w:r>
      <w:r w:rsidR="00F11CD8" w:rsidRPr="00E72418">
        <w:t xml:space="preserve">et </w:t>
      </w:r>
      <w:r w:rsidR="00FF5E08" w:rsidRPr="00E72418">
        <w:t>indiqua que le G</w:t>
      </w:r>
      <w:r w:rsidR="006B0C2E" w:rsidRPr="00E72418">
        <w:t>ouvernement britannique allait œuvrer contre leurs activités</w:t>
      </w:r>
      <w:r w:rsidR="006B0C2E" w:rsidRPr="00E72418">
        <w:rPr>
          <w:rStyle w:val="Appelnotedebasdep"/>
        </w:rPr>
        <w:footnoteReference w:id="1504"/>
      </w:r>
      <w:r w:rsidR="006B0C2E" w:rsidRPr="00E72418">
        <w:t xml:space="preserve">. </w:t>
      </w:r>
    </w:p>
    <w:p w14:paraId="60F4C73E" w14:textId="3569D7DF" w:rsidR="00D97067" w:rsidRPr="00E72418" w:rsidRDefault="00D97067" w:rsidP="00CC4BA8">
      <w:pPr>
        <w:spacing w:line="276" w:lineRule="auto"/>
        <w:rPr>
          <w:rFonts w:cs="Times New Roman"/>
        </w:rPr>
      </w:pPr>
      <w:r w:rsidRPr="00E72418">
        <w:rPr>
          <w:rFonts w:ascii="Times New Roman" w:hAnsi="Times New Roman" w:cs="Times New Roman"/>
          <w:szCs w:val="24"/>
        </w:rPr>
        <w:t xml:space="preserve">Plus généralement, </w:t>
      </w:r>
      <w:r w:rsidR="003E42D6" w:rsidRPr="00E72418">
        <w:rPr>
          <w:rFonts w:cs="Times New Roman"/>
          <w:szCs w:val="24"/>
        </w:rPr>
        <w:t xml:space="preserve">le recours régulier </w:t>
      </w:r>
      <w:r w:rsidRPr="00E72418">
        <w:rPr>
          <w:rFonts w:cs="Times New Roman"/>
          <w:szCs w:val="24"/>
        </w:rPr>
        <w:t>aux droit</w:t>
      </w:r>
      <w:r w:rsidR="003E42D6" w:rsidRPr="00E72418">
        <w:rPr>
          <w:rFonts w:cs="Times New Roman"/>
          <w:szCs w:val="24"/>
        </w:rPr>
        <w:t xml:space="preserve"> et juridictions britanniques</w:t>
      </w:r>
      <w:r w:rsidRPr="00E72418">
        <w:rPr>
          <w:rFonts w:cs="Times New Roman"/>
          <w:szCs w:val="24"/>
        </w:rPr>
        <w:t xml:space="preserve"> en matière de dettes souveraines rendait encore plus impérieuse l’adoption d’une réglementation des activités des </w:t>
      </w:r>
      <w:r w:rsidRPr="00E72418">
        <w:rPr>
          <w:rFonts w:cs="Times New Roman"/>
          <w:szCs w:val="24"/>
        </w:rPr>
        <w:lastRenderedPageBreak/>
        <w:t>fonds spéculatifs</w:t>
      </w:r>
      <w:r w:rsidR="00BF563A" w:rsidRPr="00E72418">
        <w:rPr>
          <w:rStyle w:val="Appelnotedebasdep"/>
          <w:rFonts w:cs="Times New Roman"/>
          <w:szCs w:val="24"/>
        </w:rPr>
        <w:footnoteReference w:id="1505"/>
      </w:r>
      <w:r w:rsidR="003E42D6" w:rsidRPr="00E72418">
        <w:rPr>
          <w:rFonts w:cs="Times New Roman"/>
          <w:szCs w:val="24"/>
        </w:rPr>
        <w:t>.</w:t>
      </w:r>
      <w:r w:rsidR="00E81995" w:rsidRPr="00E72418">
        <w:rPr>
          <w:rFonts w:cs="Times New Roman"/>
          <w:szCs w:val="24"/>
        </w:rPr>
        <w:t xml:space="preserve"> </w:t>
      </w:r>
      <w:r w:rsidRPr="00E72418">
        <w:rPr>
          <w:rFonts w:cs="Times New Roman"/>
        </w:rPr>
        <w:t>Par ailleurs, le Royaume-Uni a</w:t>
      </w:r>
      <w:r w:rsidR="00722620" w:rsidRPr="00E72418">
        <w:rPr>
          <w:rFonts w:cs="Times New Roman"/>
        </w:rPr>
        <w:t>vait</w:t>
      </w:r>
      <w:r w:rsidRPr="00E72418">
        <w:rPr>
          <w:rFonts w:cs="Times New Roman"/>
        </w:rPr>
        <w:t xml:space="preserve"> </w:t>
      </w:r>
      <w:r w:rsidR="00722620" w:rsidRPr="00E72418">
        <w:rPr>
          <w:rFonts w:cs="Times New Roman"/>
        </w:rPr>
        <w:t>régulièrement</w:t>
      </w:r>
      <w:r w:rsidR="00ED3E20" w:rsidRPr="00E72418">
        <w:rPr>
          <w:rFonts w:cs="Times New Roman"/>
        </w:rPr>
        <w:t xml:space="preserve"> adopté un rôle-</w:t>
      </w:r>
      <w:r w:rsidRPr="00E72418">
        <w:rPr>
          <w:rFonts w:cs="Times New Roman"/>
        </w:rPr>
        <w:t xml:space="preserve">clé dans les </w:t>
      </w:r>
      <w:r w:rsidR="0085400A" w:rsidRPr="00E72418">
        <w:rPr>
          <w:rFonts w:cs="Times New Roman"/>
        </w:rPr>
        <w:t xml:space="preserve">mises en œuvre </w:t>
      </w:r>
      <w:r w:rsidRPr="00E72418">
        <w:rPr>
          <w:rFonts w:cs="Times New Roman"/>
        </w:rPr>
        <w:t xml:space="preserve">d’allègements de dettes internationaux et </w:t>
      </w:r>
      <w:r w:rsidR="00722620" w:rsidRPr="00E72418">
        <w:rPr>
          <w:rFonts w:cs="Times New Roman"/>
        </w:rPr>
        <w:t xml:space="preserve">y </w:t>
      </w:r>
      <w:r w:rsidRPr="00E72418">
        <w:rPr>
          <w:rFonts w:cs="Times New Roman"/>
        </w:rPr>
        <w:t>a</w:t>
      </w:r>
      <w:r w:rsidR="00722620" w:rsidRPr="00E72418">
        <w:rPr>
          <w:rFonts w:cs="Times New Roman"/>
        </w:rPr>
        <w:t xml:space="preserve">vait souvent </w:t>
      </w:r>
      <w:r w:rsidRPr="00E72418">
        <w:rPr>
          <w:rFonts w:cs="Times New Roman"/>
        </w:rPr>
        <w:t xml:space="preserve">accordé </w:t>
      </w:r>
      <w:r w:rsidR="00A31978" w:rsidRPr="00E72418">
        <w:rPr>
          <w:rFonts w:cs="Times New Roman"/>
        </w:rPr>
        <w:t>plus</w:t>
      </w:r>
      <w:r w:rsidRPr="00E72418">
        <w:rPr>
          <w:rFonts w:cs="Times New Roman"/>
        </w:rPr>
        <w:t xml:space="preserve"> que ce à quoi l’obligeaient ses engagements internationaux</w:t>
      </w:r>
      <w:r w:rsidRPr="00E72418">
        <w:rPr>
          <w:rStyle w:val="Appelnotedebasdep"/>
          <w:rFonts w:cs="Times New Roman"/>
        </w:rPr>
        <w:footnoteReference w:id="1506"/>
      </w:r>
      <w:r w:rsidRPr="00E72418">
        <w:rPr>
          <w:rFonts w:cs="Times New Roman"/>
        </w:rPr>
        <w:t>.</w:t>
      </w:r>
    </w:p>
    <w:p w14:paraId="298C81F2" w14:textId="77777777" w:rsidR="00A96589" w:rsidRPr="00E72418" w:rsidRDefault="00A96589" w:rsidP="00CC4BA8">
      <w:pPr>
        <w:spacing w:line="276" w:lineRule="auto"/>
      </w:pPr>
    </w:p>
    <w:p w14:paraId="0E61F463" w14:textId="6E2E1CC5" w:rsidR="00853BE3" w:rsidRPr="00E72418" w:rsidRDefault="004469AC" w:rsidP="00CC4BA8">
      <w:pPr>
        <w:spacing w:line="276" w:lineRule="auto"/>
      </w:pPr>
      <w:r w:rsidRPr="00E72418">
        <w:rPr>
          <w:rFonts w:cs="Times New Roman"/>
          <w:b/>
          <w:szCs w:val="24"/>
        </w:rPr>
        <w:t>306</w:t>
      </w:r>
      <w:r w:rsidR="00817D62" w:rsidRPr="00E72418">
        <w:rPr>
          <w:rFonts w:cs="Times New Roman"/>
          <w:b/>
          <w:szCs w:val="24"/>
        </w:rPr>
        <w:t xml:space="preserve">. </w:t>
      </w:r>
      <w:r w:rsidR="005F6F52" w:rsidRPr="00E72418">
        <w:rPr>
          <w:rFonts w:cs="Times New Roman"/>
          <w:b/>
          <w:szCs w:val="24"/>
        </w:rPr>
        <w:t xml:space="preserve">Un premier texte </w:t>
      </w:r>
      <w:r w:rsidR="00313AF9" w:rsidRPr="00E72418">
        <w:rPr>
          <w:rFonts w:cs="Times New Roman"/>
          <w:b/>
          <w:szCs w:val="24"/>
        </w:rPr>
        <w:t>proposé</w:t>
      </w:r>
      <w:r w:rsidR="00722620" w:rsidRPr="00E72418">
        <w:rPr>
          <w:rFonts w:cs="Times New Roman"/>
          <w:b/>
          <w:szCs w:val="24"/>
        </w:rPr>
        <w:t xml:space="preserve"> </w:t>
      </w:r>
      <w:r w:rsidR="005F6F52" w:rsidRPr="00E72418">
        <w:rPr>
          <w:rFonts w:cs="Times New Roman"/>
          <w:b/>
          <w:szCs w:val="24"/>
        </w:rPr>
        <w:t xml:space="preserve">– </w:t>
      </w:r>
      <w:r w:rsidR="005F6F52" w:rsidRPr="00E72418">
        <w:t xml:space="preserve">Une première initiative </w:t>
      </w:r>
      <w:r w:rsidR="004A2729" w:rsidRPr="00E72418">
        <w:t xml:space="preserve">visant </w:t>
      </w:r>
      <w:r w:rsidR="00D97067" w:rsidRPr="00E72418">
        <w:t xml:space="preserve">l’établissement d’une législation anti-fonds spéculatifs </w:t>
      </w:r>
      <w:r w:rsidR="005F6F52" w:rsidRPr="00E72418">
        <w:t xml:space="preserve">fut prise en mai 2009 avec la </w:t>
      </w:r>
      <w:r w:rsidR="005F6F52" w:rsidRPr="00E72418">
        <w:rPr>
          <w:i/>
        </w:rPr>
        <w:t>Developing C</w:t>
      </w:r>
      <w:r w:rsidR="009745C0" w:rsidRPr="00E72418">
        <w:rPr>
          <w:i/>
        </w:rPr>
        <w:t>ountry Debt (Restriction of Recov</w:t>
      </w:r>
      <w:r w:rsidR="005F6F52" w:rsidRPr="00E72418">
        <w:rPr>
          <w:i/>
        </w:rPr>
        <w:t>ery) Bill</w:t>
      </w:r>
      <w:r w:rsidR="0068582E" w:rsidRPr="00E72418">
        <w:rPr>
          <w:rStyle w:val="Appelnotedebasdep"/>
        </w:rPr>
        <w:footnoteReference w:id="1507"/>
      </w:r>
      <w:r w:rsidR="00F35917" w:rsidRPr="00E72418">
        <w:t>.</w:t>
      </w:r>
      <w:r w:rsidR="005F6F52" w:rsidRPr="00E72418">
        <w:t xml:space="preserve"> </w:t>
      </w:r>
      <w:r w:rsidR="00A31978" w:rsidRPr="00E72418">
        <w:t>P</w:t>
      </w:r>
      <w:r w:rsidR="0068582E" w:rsidRPr="00E72418">
        <w:t xml:space="preserve">lus de deux cents parlementaires de la </w:t>
      </w:r>
      <w:r w:rsidR="0068582E" w:rsidRPr="00E72418">
        <w:rPr>
          <w:i/>
        </w:rPr>
        <w:t>House of Commons</w:t>
      </w:r>
      <w:r w:rsidR="0068582E" w:rsidRPr="00E72418">
        <w:t xml:space="preserve"> </w:t>
      </w:r>
      <w:r w:rsidR="00A31978" w:rsidRPr="00E72418">
        <w:t xml:space="preserve">signèrent une </w:t>
      </w:r>
      <w:r w:rsidR="00A31978" w:rsidRPr="00E72418">
        <w:rPr>
          <w:i/>
        </w:rPr>
        <w:t>Early Day Motion</w:t>
      </w:r>
      <w:r w:rsidR="00A31978" w:rsidRPr="00E72418">
        <w:t xml:space="preserve"> intitulée « Regulation of vulture funds » </w:t>
      </w:r>
      <w:r w:rsidR="0068582E" w:rsidRPr="00E72418">
        <w:t>pour notamment supporter le texte proposé</w:t>
      </w:r>
      <w:r w:rsidR="0068582E" w:rsidRPr="00E72418">
        <w:rPr>
          <w:rStyle w:val="Appelnotedebasdep"/>
        </w:rPr>
        <w:footnoteReference w:id="1508"/>
      </w:r>
      <w:r w:rsidR="0068582E" w:rsidRPr="00E72418">
        <w:t>.</w:t>
      </w:r>
      <w:r w:rsidR="00853BE3" w:rsidRPr="00E72418">
        <w:t xml:space="preserve"> </w:t>
      </w:r>
      <w:r w:rsidR="005F6F52" w:rsidRPr="00E72418">
        <w:t>Le texte</w:t>
      </w:r>
      <w:r w:rsidR="00196270" w:rsidRPr="00E72418">
        <w:t>, qui à divers égards ressemblait à la proposition étatsunienne de 2009</w:t>
      </w:r>
      <w:r w:rsidR="00196270" w:rsidRPr="00E72418">
        <w:rPr>
          <w:rStyle w:val="Appelnotedebasdep"/>
        </w:rPr>
        <w:footnoteReference w:id="1509"/>
      </w:r>
      <w:r w:rsidR="00196270" w:rsidRPr="00E72418">
        <w:t>,</w:t>
      </w:r>
      <w:r w:rsidR="005F6F52" w:rsidRPr="00E72418">
        <w:t xml:space="preserve"> </w:t>
      </w:r>
      <w:r w:rsidR="009745C0" w:rsidRPr="00E72418">
        <w:t>était</w:t>
      </w:r>
      <w:r w:rsidR="005F6F52" w:rsidRPr="00E72418">
        <w:t xml:space="preserve"> axé sur le recouvrement de</w:t>
      </w:r>
      <w:r w:rsidR="00F9266E" w:rsidRPr="00E72418">
        <w:t>s</w:t>
      </w:r>
      <w:r w:rsidR="006A4838" w:rsidRPr="00E72418">
        <w:t xml:space="preserve"> dettes souveraines </w:t>
      </w:r>
      <w:r w:rsidR="005F6F52" w:rsidRPr="00E72418">
        <w:t xml:space="preserve">en défaut et </w:t>
      </w:r>
      <w:r w:rsidR="009745C0" w:rsidRPr="00E72418">
        <w:t>visait</w:t>
      </w:r>
      <w:r w:rsidR="005F6F52" w:rsidRPr="00E72418">
        <w:t xml:space="preserve"> à mettre un terme aux poursuites intentées </w:t>
      </w:r>
      <w:r w:rsidR="00313AF9" w:rsidRPr="00E72418">
        <w:t xml:space="preserve">au Royaume-Uni </w:t>
      </w:r>
      <w:r w:rsidR="005F6F52" w:rsidRPr="00E72418">
        <w:t>par des fonds spéculatifs</w:t>
      </w:r>
      <w:r w:rsidR="004809AD" w:rsidRPr="00E72418">
        <w:rPr>
          <w:rStyle w:val="Appelnotedebasdep"/>
        </w:rPr>
        <w:footnoteReference w:id="1510"/>
      </w:r>
      <w:r w:rsidR="00313AF9" w:rsidRPr="00E72418">
        <w:t>.</w:t>
      </w:r>
      <w:r w:rsidR="009745C0" w:rsidRPr="00E72418">
        <w:t xml:space="preserve"> </w:t>
      </w:r>
    </w:p>
    <w:p w14:paraId="5EE93AC7" w14:textId="5BFF282F" w:rsidR="00196270" w:rsidRPr="00E72418" w:rsidRDefault="009500C3" w:rsidP="00CC4BA8">
      <w:pPr>
        <w:spacing w:line="276" w:lineRule="auto"/>
      </w:pPr>
      <w:r w:rsidRPr="00E72418">
        <w:t xml:space="preserve">La </w:t>
      </w:r>
      <w:r w:rsidRPr="00E72418">
        <w:rPr>
          <w:i/>
        </w:rPr>
        <w:t>Developing Country Debt (Restriction of Recovery) Bill</w:t>
      </w:r>
      <w:r w:rsidRPr="00E72418">
        <w:t xml:space="preserve"> prévoyait </w:t>
      </w:r>
      <w:r w:rsidR="009745C0" w:rsidRPr="00E72418">
        <w:t xml:space="preserve">que toute démarche visant à obtenir le règlement </w:t>
      </w:r>
      <w:r w:rsidRPr="00E72418">
        <w:t>d’une dette souveraine en défaut</w:t>
      </w:r>
      <w:r w:rsidR="009745C0" w:rsidRPr="00E72418">
        <w:t xml:space="preserve"> devait être</w:t>
      </w:r>
      <w:r w:rsidR="00F9266E" w:rsidRPr="00E72418">
        <w:t xml:space="preserve"> précédée d’une demande d’autorisation adressée à</w:t>
      </w:r>
      <w:r w:rsidR="009745C0" w:rsidRPr="00E72418">
        <w:t xml:space="preserve"> une juridiction</w:t>
      </w:r>
      <w:r w:rsidR="009745C0" w:rsidRPr="00E72418">
        <w:rPr>
          <w:rStyle w:val="Appelnotedebasdep"/>
          <w:rFonts w:cs="Times New Roman"/>
          <w:szCs w:val="24"/>
        </w:rPr>
        <w:footnoteReference w:id="1511"/>
      </w:r>
      <w:r w:rsidR="009745C0" w:rsidRPr="00E72418">
        <w:rPr>
          <w:i/>
        </w:rPr>
        <w:t xml:space="preserve">. </w:t>
      </w:r>
      <w:r w:rsidRPr="00E72418">
        <w:t>Le texte</w:t>
      </w:r>
      <w:r w:rsidR="00722620" w:rsidRPr="00E72418">
        <w:rPr>
          <w:rFonts w:ascii="Times New Roman" w:hAnsi="Times New Roman" w:cs="Times New Roman"/>
          <w:szCs w:val="24"/>
        </w:rPr>
        <w:t xml:space="preserve"> </w:t>
      </w:r>
      <w:r w:rsidR="00017278" w:rsidRPr="00E72418">
        <w:rPr>
          <w:rFonts w:ascii="Times New Roman" w:hAnsi="Times New Roman" w:cs="Times New Roman"/>
          <w:szCs w:val="24"/>
        </w:rPr>
        <w:t>poursuivait un obj</w:t>
      </w:r>
      <w:r w:rsidRPr="00E72418">
        <w:rPr>
          <w:rFonts w:ascii="Times New Roman" w:hAnsi="Times New Roman" w:cs="Times New Roman"/>
          <w:szCs w:val="24"/>
        </w:rPr>
        <w:t xml:space="preserve">ectif de transparence et prévoyait en </w:t>
      </w:r>
      <w:r w:rsidR="00722620" w:rsidRPr="00E72418">
        <w:rPr>
          <w:rFonts w:ascii="Times New Roman" w:hAnsi="Times New Roman" w:cs="Times New Roman"/>
          <w:szCs w:val="24"/>
        </w:rPr>
        <w:t xml:space="preserve">son </w:t>
      </w:r>
      <w:r w:rsidR="00017278" w:rsidRPr="00E72418">
        <w:rPr>
          <w:rFonts w:ascii="Times New Roman" w:hAnsi="Times New Roman" w:cs="Times New Roman"/>
          <w:szCs w:val="24"/>
        </w:rPr>
        <w:t xml:space="preserve">article 6 une série de </w:t>
      </w:r>
      <w:r w:rsidR="00196270" w:rsidRPr="00E72418">
        <w:rPr>
          <w:rFonts w:ascii="Times New Roman" w:hAnsi="Times New Roman" w:cs="Times New Roman"/>
          <w:szCs w:val="24"/>
        </w:rPr>
        <w:t>documents</w:t>
      </w:r>
      <w:r w:rsidR="00017278" w:rsidRPr="00E72418">
        <w:rPr>
          <w:rFonts w:ascii="Times New Roman" w:hAnsi="Times New Roman" w:cs="Times New Roman"/>
          <w:szCs w:val="24"/>
        </w:rPr>
        <w:t xml:space="preserve"> que devait inclure le créancier dans sa demande d’autorisation</w:t>
      </w:r>
      <w:r w:rsidR="00196270" w:rsidRPr="00E72418">
        <w:rPr>
          <w:rFonts w:ascii="Times New Roman" w:hAnsi="Times New Roman" w:cs="Times New Roman"/>
          <w:szCs w:val="24"/>
        </w:rPr>
        <w:t xml:space="preserve"> comme notamment la liste des personnes bénéficiaires des démarches de recouvrement</w:t>
      </w:r>
      <w:r w:rsidR="00017278" w:rsidRPr="00E72418">
        <w:rPr>
          <w:rStyle w:val="Appelnotedebasdep"/>
          <w:rFonts w:ascii="Times New Roman" w:hAnsi="Times New Roman" w:cs="Times New Roman"/>
          <w:szCs w:val="24"/>
        </w:rPr>
        <w:footnoteReference w:id="1512"/>
      </w:r>
      <w:r w:rsidR="00017278" w:rsidRPr="00E72418">
        <w:rPr>
          <w:rFonts w:ascii="Times New Roman" w:hAnsi="Times New Roman" w:cs="Times New Roman"/>
          <w:szCs w:val="24"/>
        </w:rPr>
        <w:t xml:space="preserve">. </w:t>
      </w:r>
      <w:r w:rsidR="00196270" w:rsidRPr="00E72418">
        <w:rPr>
          <w:rFonts w:ascii="Times New Roman" w:hAnsi="Times New Roman" w:cs="Times New Roman"/>
          <w:szCs w:val="24"/>
        </w:rPr>
        <w:t>Aussi</w:t>
      </w:r>
      <w:r w:rsidR="00017278" w:rsidRPr="00E72418">
        <w:rPr>
          <w:rFonts w:ascii="Times New Roman" w:hAnsi="Times New Roman" w:cs="Times New Roman"/>
          <w:szCs w:val="24"/>
        </w:rPr>
        <w:t xml:space="preserve">, en vue de lutter contre la corruption, la demande d’autorisation </w:t>
      </w:r>
      <w:r w:rsidR="00017278" w:rsidRPr="00E72418">
        <w:rPr>
          <w:rFonts w:ascii="Times New Roman" w:hAnsi="Times New Roman" w:cs="Times New Roman"/>
          <w:szCs w:val="24"/>
        </w:rPr>
        <w:lastRenderedPageBreak/>
        <w:t>devait inclure</w:t>
      </w:r>
      <w:r w:rsidR="00196270" w:rsidRPr="00E72418">
        <w:rPr>
          <w:rFonts w:ascii="Times New Roman" w:hAnsi="Times New Roman" w:cs="Times New Roman"/>
          <w:szCs w:val="24"/>
        </w:rPr>
        <w:t xml:space="preserve"> une déclaration</w:t>
      </w:r>
      <w:r w:rsidR="00017278" w:rsidRPr="00E72418">
        <w:rPr>
          <w:rFonts w:ascii="Times New Roman" w:hAnsi="Times New Roman" w:cs="Times New Roman"/>
          <w:szCs w:val="24"/>
        </w:rPr>
        <w:t xml:space="preserve"> </w:t>
      </w:r>
      <w:r w:rsidR="00196270" w:rsidRPr="00E72418">
        <w:t>que le créancier n’</w:t>
      </w:r>
      <w:r w:rsidR="00D767F3" w:rsidRPr="00E72418">
        <w:t>avait rien donné de valeur à l’</w:t>
      </w:r>
      <w:r w:rsidR="00D767F3" w:rsidRPr="00E72418">
        <w:rPr>
          <w:lang w:eastAsia="fr-BE"/>
        </w:rPr>
        <w:t>É</w:t>
      </w:r>
      <w:r w:rsidR="00196270" w:rsidRPr="00E72418">
        <w:t>tat débiteur ou à l’un de ses officiels afin d’obtenir quelque avantage en lien avec la dette en défaut poursuivie</w:t>
      </w:r>
      <w:r w:rsidR="00196270" w:rsidRPr="00E72418">
        <w:rPr>
          <w:rFonts w:ascii="Times New Roman" w:hAnsi="Times New Roman" w:cs="Times New Roman"/>
          <w:szCs w:val="24"/>
        </w:rPr>
        <w:t xml:space="preserve">. </w:t>
      </w:r>
      <w:r w:rsidRPr="00E72418">
        <w:t>La méconnaissance des obligations posées par le texte pouvait donner lieu à une interruption des démarches visant le recouvrement</w:t>
      </w:r>
      <w:r w:rsidRPr="00E72418">
        <w:rPr>
          <w:rStyle w:val="Appelnotedebasdep"/>
        </w:rPr>
        <w:footnoteReference w:id="1513"/>
      </w:r>
      <w:r w:rsidRPr="00E72418">
        <w:t>.</w:t>
      </w:r>
    </w:p>
    <w:p w14:paraId="3480C2B4" w14:textId="41454A63" w:rsidR="009745C0" w:rsidRPr="00E72418" w:rsidRDefault="00196270" w:rsidP="00CC4BA8">
      <w:pPr>
        <w:spacing w:line="276" w:lineRule="auto"/>
      </w:pPr>
      <w:r w:rsidRPr="00E72418">
        <w:t>Outre l’autorisation préalable imposée, l</w:t>
      </w:r>
      <w:r w:rsidR="007173F1" w:rsidRPr="00E72418">
        <w:t xml:space="preserve">a </w:t>
      </w:r>
      <w:r w:rsidR="006A4838" w:rsidRPr="00E72418">
        <w:t>législation</w:t>
      </w:r>
      <w:r w:rsidR="007173F1" w:rsidRPr="00E72418">
        <w:t xml:space="preserve"> </w:t>
      </w:r>
      <w:r w:rsidR="00AE71D7" w:rsidRPr="00E72418">
        <w:t xml:space="preserve">britannique </w:t>
      </w:r>
      <w:r w:rsidR="007173F1" w:rsidRPr="00E72418">
        <w:t>en projet limitait</w:t>
      </w:r>
      <w:r w:rsidR="009745C0" w:rsidRPr="00E72418">
        <w:t xml:space="preserve"> le montant recouvrable </w:t>
      </w:r>
      <w:r w:rsidR="00017278" w:rsidRPr="00E72418">
        <w:t xml:space="preserve">au montant déboursé pour </w:t>
      </w:r>
      <w:r w:rsidR="009745C0" w:rsidRPr="00E72418">
        <w:t>acheter</w:t>
      </w:r>
      <w:r w:rsidR="00827D68" w:rsidRPr="00E72418">
        <w:t xml:space="preserve"> la créance poursuivie augmenté</w:t>
      </w:r>
      <w:r w:rsidR="009745C0" w:rsidRPr="00E72418">
        <w:t xml:space="preserve"> des intérêts</w:t>
      </w:r>
      <w:r w:rsidR="00827D68" w:rsidRPr="00E72418">
        <w:t xml:space="preserve"> et </w:t>
      </w:r>
      <w:r w:rsidR="007173F1" w:rsidRPr="00E72418">
        <w:t>déduction faite des éventuelles récupérations déjà obtenues</w:t>
      </w:r>
      <w:r w:rsidR="009745C0" w:rsidRPr="00E72418">
        <w:rPr>
          <w:rStyle w:val="Appelnotedebasdep"/>
          <w:rFonts w:cs="Times New Roman"/>
          <w:szCs w:val="24"/>
        </w:rPr>
        <w:footnoteReference w:id="1514"/>
      </w:r>
      <w:r w:rsidR="009745C0" w:rsidRPr="00E72418">
        <w:t xml:space="preserve">. </w:t>
      </w:r>
      <w:r w:rsidR="007130A5" w:rsidRPr="00E72418">
        <w:t xml:space="preserve">Cette limitation s’imposait </w:t>
      </w:r>
      <w:r w:rsidR="006A4838" w:rsidRPr="00E72418">
        <w:t xml:space="preserve">lors des </w:t>
      </w:r>
      <w:r w:rsidR="007130A5" w:rsidRPr="00E72418">
        <w:t xml:space="preserve">procédures menées au Royaume-Uni en vue d’obtenir une condamnation d’un débiteur mais également </w:t>
      </w:r>
      <w:r w:rsidR="006A4838" w:rsidRPr="00E72418">
        <w:t>lorsque des démarches étaient entreprises en vue de</w:t>
      </w:r>
      <w:r w:rsidR="007130A5" w:rsidRPr="00E72418">
        <w:t xml:space="preserve"> faire exécuter au Royaume-Uni une décision obtenue à l’étranger</w:t>
      </w:r>
      <w:r w:rsidR="007130A5" w:rsidRPr="00E72418">
        <w:rPr>
          <w:rStyle w:val="Appelnotedebasdep"/>
        </w:rPr>
        <w:footnoteReference w:id="1515"/>
      </w:r>
      <w:r w:rsidR="007130A5" w:rsidRPr="00E72418">
        <w:t>.</w:t>
      </w:r>
    </w:p>
    <w:p w14:paraId="4ABA4822" w14:textId="306D86BC" w:rsidR="00017278" w:rsidRPr="00E72418" w:rsidRDefault="00D767F3" w:rsidP="00CC4BA8">
      <w:pPr>
        <w:spacing w:line="276" w:lineRule="auto"/>
      </w:pPr>
      <w:r w:rsidRPr="00E72418">
        <w:t>Si l’ensemble des créanciers d’</w:t>
      </w:r>
      <w:r w:rsidRPr="00E72418">
        <w:rPr>
          <w:lang w:eastAsia="fr-BE"/>
        </w:rPr>
        <w:t>É</w:t>
      </w:r>
      <w:r w:rsidR="00827D68" w:rsidRPr="00E72418">
        <w:t>tats souverains étai</w:t>
      </w:r>
      <w:r w:rsidR="00F25880" w:rsidRPr="00E72418">
        <w:t>ent</w:t>
      </w:r>
      <w:r w:rsidR="00827D68" w:rsidRPr="00E72418">
        <w:t xml:space="preserve"> visé</w:t>
      </w:r>
      <w:r w:rsidR="00F25880" w:rsidRPr="00E72418">
        <w:t>s</w:t>
      </w:r>
      <w:r w:rsidR="00827D68" w:rsidRPr="00E72418">
        <w:t xml:space="preserve"> par les obligations imposées par la législation</w:t>
      </w:r>
      <w:r w:rsidR="00981255" w:rsidRPr="00E72418">
        <w:t xml:space="preserve"> projetée</w:t>
      </w:r>
      <w:r w:rsidR="00827D68" w:rsidRPr="00E72418">
        <w:t>, l</w:t>
      </w:r>
      <w:r w:rsidR="00017278" w:rsidRPr="00E72418">
        <w:t xml:space="preserve">es débiteurs protégés par la limitation envisagée étaient </w:t>
      </w:r>
      <w:r w:rsidR="00827D68" w:rsidRPr="00E72418">
        <w:t xml:space="preserve">quant à eux </w:t>
      </w:r>
      <w:r w:rsidR="00017278" w:rsidRPr="00E72418">
        <w:t xml:space="preserve">les </w:t>
      </w:r>
      <w:r w:rsidR="00827D68" w:rsidRPr="00E72418">
        <w:t xml:space="preserve">seuls </w:t>
      </w:r>
      <w:r w:rsidR="00017278" w:rsidRPr="00E72418">
        <w:t>« Low or Middle Income countries » définis comme « any country whose income group is classified as low income, lower middle income or higher middle income by the International Bank for Reconstruction and Development and the International Development Association »</w:t>
      </w:r>
      <w:r w:rsidR="00017278" w:rsidRPr="00E72418">
        <w:rPr>
          <w:rStyle w:val="Appelnotedebasdep"/>
        </w:rPr>
        <w:footnoteReference w:id="1516"/>
      </w:r>
      <w:r w:rsidR="00017278" w:rsidRPr="00E72418">
        <w:t xml:space="preserve">. </w:t>
      </w:r>
    </w:p>
    <w:p w14:paraId="676E2AE6" w14:textId="77777777" w:rsidR="00F35917" w:rsidRPr="00E72418" w:rsidRDefault="00F35917" w:rsidP="00CC4BA8">
      <w:pPr>
        <w:spacing w:line="276" w:lineRule="auto"/>
        <w:rPr>
          <w:highlight w:val="yellow"/>
        </w:rPr>
      </w:pPr>
    </w:p>
    <w:p w14:paraId="08709EA3" w14:textId="3A45959B" w:rsidR="002F2FC2" w:rsidRPr="00E72418" w:rsidRDefault="004469AC" w:rsidP="00CC4BA8">
      <w:pPr>
        <w:spacing w:line="276" w:lineRule="auto"/>
      </w:pPr>
      <w:r w:rsidRPr="00E72418">
        <w:rPr>
          <w:b/>
        </w:rPr>
        <w:t>307</w:t>
      </w:r>
      <w:r w:rsidR="00817D62" w:rsidRPr="00E72418">
        <w:rPr>
          <w:b/>
        </w:rPr>
        <w:t xml:space="preserve">. </w:t>
      </w:r>
      <w:r w:rsidR="00FF5E08" w:rsidRPr="00E72418">
        <w:rPr>
          <w:b/>
        </w:rPr>
        <w:t>La consultation du G</w:t>
      </w:r>
      <w:r w:rsidR="001938B4" w:rsidRPr="00E72418">
        <w:rPr>
          <w:b/>
        </w:rPr>
        <w:t>ouver</w:t>
      </w:r>
      <w:r w:rsidR="008B31DE" w:rsidRPr="00E72418">
        <w:rPr>
          <w:b/>
        </w:rPr>
        <w:t>n</w:t>
      </w:r>
      <w:r w:rsidR="001938B4" w:rsidRPr="00E72418">
        <w:rPr>
          <w:b/>
        </w:rPr>
        <w:t>ement britannique de juille</w:t>
      </w:r>
      <w:r w:rsidR="000A222A" w:rsidRPr="00E72418">
        <w:rPr>
          <w:b/>
        </w:rPr>
        <w:t>t 200</w:t>
      </w:r>
      <w:r w:rsidR="001938B4" w:rsidRPr="00E72418">
        <w:rPr>
          <w:b/>
        </w:rPr>
        <w:t xml:space="preserve">9 </w:t>
      </w:r>
      <w:r w:rsidR="00260F89" w:rsidRPr="00E72418">
        <w:rPr>
          <w:rFonts w:cs="Times New Roman"/>
          <w:b/>
          <w:szCs w:val="24"/>
        </w:rPr>
        <w:t>–</w:t>
      </w:r>
      <w:r w:rsidR="001938B4" w:rsidRPr="00E72418">
        <w:rPr>
          <w:b/>
        </w:rPr>
        <w:t xml:space="preserve"> </w:t>
      </w:r>
      <w:r w:rsidR="00981255" w:rsidRPr="00E72418">
        <w:t>À</w:t>
      </w:r>
      <w:r w:rsidR="001938B4" w:rsidRPr="00E72418">
        <w:rPr>
          <w:rFonts w:cs="Times New Roman"/>
          <w:szCs w:val="24"/>
        </w:rPr>
        <w:t xml:space="preserve"> la suite </w:t>
      </w:r>
      <w:r w:rsidR="006F30F6" w:rsidRPr="00E72418">
        <w:rPr>
          <w:rFonts w:cs="Times New Roman"/>
          <w:szCs w:val="24"/>
        </w:rPr>
        <w:t xml:space="preserve">de la </w:t>
      </w:r>
      <w:r w:rsidR="006F30F6" w:rsidRPr="00E72418">
        <w:rPr>
          <w:i/>
        </w:rPr>
        <w:t>Developing Country Debt (Restriction of Recovery) Bill</w:t>
      </w:r>
      <w:r w:rsidR="001938B4" w:rsidRPr="00E72418">
        <w:rPr>
          <w:rFonts w:cs="Times New Roman"/>
          <w:szCs w:val="24"/>
        </w:rPr>
        <w:t xml:space="preserve"> proposé</w:t>
      </w:r>
      <w:r w:rsidR="006F30F6" w:rsidRPr="00E72418">
        <w:rPr>
          <w:rFonts w:cs="Times New Roman"/>
          <w:szCs w:val="24"/>
        </w:rPr>
        <w:t>e</w:t>
      </w:r>
      <w:r w:rsidR="00FF5E08" w:rsidRPr="00E72418">
        <w:rPr>
          <w:rFonts w:cs="Times New Roman"/>
          <w:szCs w:val="24"/>
        </w:rPr>
        <w:t>, le G</w:t>
      </w:r>
      <w:r w:rsidR="001938B4" w:rsidRPr="00E72418">
        <w:rPr>
          <w:rFonts w:cs="Times New Roman"/>
          <w:szCs w:val="24"/>
        </w:rPr>
        <w:t xml:space="preserve">ouvernement britannique </w:t>
      </w:r>
      <w:r w:rsidR="001938B4" w:rsidRPr="00E72418">
        <w:rPr>
          <w:rFonts w:cs="Times New Roman"/>
          <w:szCs w:val="24"/>
        </w:rPr>
        <w:lastRenderedPageBreak/>
        <w:t xml:space="preserve">lança en juillet </w:t>
      </w:r>
      <w:r w:rsidR="000A222A" w:rsidRPr="00E72418">
        <w:rPr>
          <w:rFonts w:cs="Times New Roman"/>
          <w:szCs w:val="24"/>
        </w:rPr>
        <w:t>200</w:t>
      </w:r>
      <w:r w:rsidR="001938B4" w:rsidRPr="00E72418">
        <w:rPr>
          <w:rFonts w:cs="Times New Roman"/>
          <w:szCs w:val="24"/>
        </w:rPr>
        <w:t xml:space="preserve">9 une consultation </w:t>
      </w:r>
      <w:r w:rsidR="001C4576" w:rsidRPr="00E72418">
        <w:rPr>
          <w:rFonts w:cs="Times New Roman"/>
          <w:szCs w:val="24"/>
        </w:rPr>
        <w:t>posant différentes questions visant à circonscrire les modalités de la loi à adopter</w:t>
      </w:r>
      <w:r w:rsidR="001938B4" w:rsidRPr="00E72418">
        <w:rPr>
          <w:rFonts w:cs="Times New Roman"/>
          <w:szCs w:val="24"/>
        </w:rPr>
        <w:t>.</w:t>
      </w:r>
      <w:r w:rsidR="002F2FC2" w:rsidRPr="00E72418">
        <w:rPr>
          <w:rFonts w:cs="Times New Roman"/>
          <w:szCs w:val="24"/>
        </w:rPr>
        <w:t xml:space="preserve"> </w:t>
      </w:r>
      <w:r w:rsidR="00FF5E08" w:rsidRPr="00E72418">
        <w:t>Dans sa démarche, le G</w:t>
      </w:r>
      <w:r w:rsidR="002F2FC2" w:rsidRPr="00E72418">
        <w:t xml:space="preserve">ouvernement </w:t>
      </w:r>
      <w:r w:rsidR="00260F89" w:rsidRPr="00E72418">
        <w:t>était</w:t>
      </w:r>
      <w:r w:rsidR="002F2FC2" w:rsidRPr="00E72418">
        <w:t xml:space="preserve"> attentif à ce que l</w:t>
      </w:r>
      <w:r w:rsidR="00D767F3" w:rsidRPr="00E72418">
        <w:t xml:space="preserve">es </w:t>
      </w:r>
      <w:r w:rsidR="00D767F3" w:rsidRPr="00E72418">
        <w:rPr>
          <w:lang w:eastAsia="fr-BE"/>
        </w:rPr>
        <w:t>É</w:t>
      </w:r>
      <w:r w:rsidR="00260F89" w:rsidRPr="00E72418">
        <w:t xml:space="preserve">tats débiteurs </w:t>
      </w:r>
      <w:r w:rsidR="002F2FC2" w:rsidRPr="00E72418">
        <w:t>à p</w:t>
      </w:r>
      <w:r w:rsidR="008B31DE" w:rsidRPr="00E72418">
        <w:t>rotéger ne pâ</w:t>
      </w:r>
      <w:r w:rsidR="00E607DD" w:rsidRPr="00E72418">
        <w:t xml:space="preserve">tissent pas du texte, </w:t>
      </w:r>
      <w:r w:rsidR="002F2FC2" w:rsidRPr="00E72418">
        <w:t>par exemple</w:t>
      </w:r>
      <w:r w:rsidR="00260F89" w:rsidRPr="00E72418">
        <w:t xml:space="preserve"> en subissant </w:t>
      </w:r>
      <w:r w:rsidR="002F2FC2" w:rsidRPr="00E72418">
        <w:t xml:space="preserve">un impact négatif </w:t>
      </w:r>
      <w:r w:rsidR="00260F89" w:rsidRPr="00E72418">
        <w:t xml:space="preserve">au niveau des investissements faits </w:t>
      </w:r>
      <w:r w:rsidR="002F2FC2" w:rsidRPr="00E72418">
        <w:t>dans ces pays</w:t>
      </w:r>
      <w:r w:rsidR="00260F89" w:rsidRPr="00E72418">
        <w:rPr>
          <w:rStyle w:val="Appelnotedebasdep"/>
        </w:rPr>
        <w:footnoteReference w:id="1517"/>
      </w:r>
      <w:r w:rsidR="00260F89" w:rsidRPr="00E72418">
        <w:t xml:space="preserve">. </w:t>
      </w:r>
      <w:r w:rsidR="00FF5E08" w:rsidRPr="00E72418">
        <w:t>Le G</w:t>
      </w:r>
      <w:r w:rsidR="00745AEE" w:rsidRPr="00E72418">
        <w:t>ouvernement soulign</w:t>
      </w:r>
      <w:r w:rsidR="00260F89" w:rsidRPr="00E72418">
        <w:t>a</w:t>
      </w:r>
      <w:r w:rsidR="00745AEE" w:rsidRPr="00E72418">
        <w:t xml:space="preserve"> également son souci qu’il ne soit pas porté atteinte à la place du Royaume-Uni en tant que centre financier</w:t>
      </w:r>
      <w:r w:rsidR="00260F89" w:rsidRPr="00E72418">
        <w:rPr>
          <w:rStyle w:val="Appelnotedebasdep"/>
        </w:rPr>
        <w:footnoteReference w:id="1518"/>
      </w:r>
      <w:r w:rsidR="00260F89" w:rsidRPr="00E72418">
        <w:t>.</w:t>
      </w:r>
    </w:p>
    <w:p w14:paraId="638287F6" w14:textId="77777777" w:rsidR="00D27089" w:rsidRPr="00E72418" w:rsidRDefault="00D27089"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La volonté </w:t>
      </w:r>
      <w:r w:rsidR="00521910" w:rsidRPr="00E72418">
        <w:rPr>
          <w:rFonts w:ascii="Times New Roman" w:hAnsi="Times New Roman" w:cs="Times New Roman"/>
          <w:szCs w:val="24"/>
        </w:rPr>
        <w:t>affichée</w:t>
      </w:r>
      <w:r w:rsidR="000C380F" w:rsidRPr="00E72418">
        <w:rPr>
          <w:rFonts w:ascii="Times New Roman" w:hAnsi="Times New Roman" w:cs="Times New Roman"/>
          <w:szCs w:val="24"/>
        </w:rPr>
        <w:t xml:space="preserve"> </w:t>
      </w:r>
      <w:r w:rsidRPr="00E72418">
        <w:rPr>
          <w:rFonts w:ascii="Times New Roman" w:hAnsi="Times New Roman" w:cs="Times New Roman"/>
          <w:szCs w:val="24"/>
        </w:rPr>
        <w:t xml:space="preserve">était de parvenir à un système qui soit respectueux des droits des créanciers </w:t>
      </w:r>
      <w:r w:rsidR="00521910" w:rsidRPr="00E72418">
        <w:rPr>
          <w:rFonts w:ascii="Times New Roman" w:hAnsi="Times New Roman" w:cs="Times New Roman"/>
          <w:szCs w:val="24"/>
        </w:rPr>
        <w:t>dès lors</w:t>
      </w:r>
      <w:r w:rsidRPr="00E72418">
        <w:rPr>
          <w:rFonts w:ascii="Times New Roman" w:hAnsi="Times New Roman" w:cs="Times New Roman"/>
          <w:szCs w:val="24"/>
        </w:rPr>
        <w:t xml:space="preserve"> que « [t]he potential for litigation is a necessary feature of smoothly functioning markets »</w:t>
      </w:r>
      <w:r w:rsidRPr="00E72418">
        <w:rPr>
          <w:rStyle w:val="Appelnotedebasdep"/>
          <w:rFonts w:ascii="Times New Roman" w:hAnsi="Times New Roman" w:cs="Times New Roman"/>
          <w:szCs w:val="24"/>
        </w:rPr>
        <w:footnoteReference w:id="1519"/>
      </w:r>
      <w:r w:rsidRPr="00E72418">
        <w:rPr>
          <w:rFonts w:ascii="Times New Roman" w:hAnsi="Times New Roman" w:cs="Times New Roman"/>
          <w:szCs w:val="24"/>
        </w:rPr>
        <w:t xml:space="preserve">. Toutefois, </w:t>
      </w:r>
      <w:r w:rsidR="00FF5E08" w:rsidRPr="00E72418">
        <w:rPr>
          <w:rFonts w:ascii="Times New Roman" w:hAnsi="Times New Roman" w:cs="Times New Roman"/>
          <w:szCs w:val="24"/>
        </w:rPr>
        <w:t>le G</w:t>
      </w:r>
      <w:r w:rsidR="00521910" w:rsidRPr="00E72418">
        <w:rPr>
          <w:rFonts w:ascii="Times New Roman" w:hAnsi="Times New Roman" w:cs="Times New Roman"/>
          <w:szCs w:val="24"/>
        </w:rPr>
        <w:t>ouvernement britannique</w:t>
      </w:r>
      <w:r w:rsidRPr="00E72418">
        <w:rPr>
          <w:rFonts w:ascii="Times New Roman" w:hAnsi="Times New Roman" w:cs="Times New Roman"/>
          <w:szCs w:val="24"/>
        </w:rPr>
        <w:t xml:space="preserve"> s’opposait à la pratique des créanciers qui, cherchant à obtenir le paiement de la pleine valeur de leurs créances, refusaient </w:t>
      </w:r>
      <w:r w:rsidR="00290740" w:rsidRPr="00E72418">
        <w:rPr>
          <w:rFonts w:ascii="Times New Roman" w:hAnsi="Times New Roman" w:cs="Times New Roman"/>
          <w:szCs w:val="24"/>
        </w:rPr>
        <w:t>de participer aux efforts d’allè</w:t>
      </w:r>
      <w:r w:rsidRPr="00E72418">
        <w:rPr>
          <w:rFonts w:ascii="Times New Roman" w:hAnsi="Times New Roman" w:cs="Times New Roman"/>
          <w:szCs w:val="24"/>
        </w:rPr>
        <w:t xml:space="preserve">gement prévus par l’Initiative Pays Pauvres Très Endettés </w:t>
      </w:r>
      <w:r w:rsidRPr="00E72418">
        <w:rPr>
          <w:rFonts w:cs="Times New Roman"/>
          <w:szCs w:val="24"/>
        </w:rPr>
        <w:t>de la Banque mondiale et du Fonds monétaire international</w:t>
      </w:r>
      <w:r w:rsidRPr="00E72418">
        <w:rPr>
          <w:rStyle w:val="Appelnotedebasdep"/>
          <w:rFonts w:ascii="Times New Roman" w:hAnsi="Times New Roman" w:cs="Times New Roman"/>
          <w:szCs w:val="24"/>
        </w:rPr>
        <w:footnoteReference w:id="1520"/>
      </w:r>
      <w:r w:rsidR="00FF5E08" w:rsidRPr="00E72418">
        <w:rPr>
          <w:rFonts w:ascii="Times New Roman" w:hAnsi="Times New Roman" w:cs="Times New Roman"/>
          <w:szCs w:val="24"/>
        </w:rPr>
        <w:t>. Ainsi, le G</w:t>
      </w:r>
      <w:r w:rsidRPr="00E72418">
        <w:rPr>
          <w:rFonts w:ascii="Times New Roman" w:hAnsi="Times New Roman" w:cs="Times New Roman"/>
          <w:szCs w:val="24"/>
        </w:rPr>
        <w:t xml:space="preserve">ouvernement avait, d’une part, le souci que </w:t>
      </w:r>
      <w:r w:rsidRPr="00E72418">
        <w:t xml:space="preserve">le développement des Pays Pauvres Très Endettés soit possible en assurant que les </w:t>
      </w:r>
      <w:r w:rsidR="00290740" w:rsidRPr="00E72418">
        <w:t>allè</w:t>
      </w:r>
      <w:r w:rsidRPr="00E72418">
        <w:t>gements de dettes soient opérants, d’autre part, le souci que l’équité entre créanciers soit respectée en évitant que certains profitent des efforts concédés par d’autres</w:t>
      </w:r>
      <w:r w:rsidRPr="00E72418">
        <w:rPr>
          <w:rStyle w:val="Appelnotedebasdep"/>
        </w:rPr>
        <w:footnoteReference w:id="1521"/>
      </w:r>
      <w:r w:rsidRPr="00E72418">
        <w:t>.</w:t>
      </w:r>
    </w:p>
    <w:p w14:paraId="21A6E3C7" w14:textId="77777777" w:rsidR="002F2FC2" w:rsidRPr="00E72418" w:rsidRDefault="000A222A" w:rsidP="00CC4BA8">
      <w:pPr>
        <w:spacing w:line="276" w:lineRule="auto"/>
      </w:pPr>
      <w:r w:rsidRPr="00E72418">
        <w:t>La consul</w:t>
      </w:r>
      <w:r w:rsidR="00FA64CD" w:rsidRPr="00E72418">
        <w:t>t</w:t>
      </w:r>
      <w:r w:rsidR="00B31752" w:rsidRPr="00E72418">
        <w:t>ati</w:t>
      </w:r>
      <w:r w:rsidR="00544592" w:rsidRPr="00E72418">
        <w:t xml:space="preserve">on fut close en octobre 2009 ; </w:t>
      </w:r>
      <w:r w:rsidR="000C380F" w:rsidRPr="00E72418">
        <w:t>vingt-trois</w:t>
      </w:r>
      <w:r w:rsidR="00B31752" w:rsidRPr="00E72418">
        <w:t xml:space="preserve"> réponses écrites furent soumises</w:t>
      </w:r>
      <w:r w:rsidR="00544592" w:rsidRPr="00E72418">
        <w:t xml:space="preserve"> et une pétitio</w:t>
      </w:r>
      <w:r w:rsidR="000C380F" w:rsidRPr="00E72418">
        <w:t>n en ligne ayant recueilli plus d’un millier</w:t>
      </w:r>
      <w:r w:rsidR="00544592" w:rsidRPr="00E72418">
        <w:t xml:space="preserve"> </w:t>
      </w:r>
      <w:r w:rsidR="00521910" w:rsidRPr="00E72418">
        <w:t xml:space="preserve">de </w:t>
      </w:r>
      <w:r w:rsidR="00260F89" w:rsidRPr="00E72418">
        <w:t>signatures</w:t>
      </w:r>
      <w:r w:rsidR="00544592" w:rsidRPr="00E72418">
        <w:t xml:space="preserve"> demandant l’adoption d’une législation fut reçue</w:t>
      </w:r>
      <w:r w:rsidR="00544592" w:rsidRPr="00E72418">
        <w:rPr>
          <w:rStyle w:val="Appelnotedebasdep"/>
        </w:rPr>
        <w:footnoteReference w:id="1522"/>
      </w:r>
      <w:r w:rsidR="00B31752" w:rsidRPr="00E72418">
        <w:t xml:space="preserve">. </w:t>
      </w:r>
      <w:r w:rsidR="006D1243" w:rsidRPr="00E72418">
        <w:t>Tandis que certai</w:t>
      </w:r>
      <w:r w:rsidR="00260F89" w:rsidRPr="00E72418">
        <w:t>ns accueillaient positivement l’adoption d’une législation</w:t>
      </w:r>
      <w:r w:rsidR="006D1243" w:rsidRPr="00E72418">
        <w:t xml:space="preserve"> en souhaitant même qu’elle fut </w:t>
      </w:r>
      <w:r w:rsidR="00260F89" w:rsidRPr="00E72418">
        <w:t>des</w:t>
      </w:r>
      <w:r w:rsidR="006D1243" w:rsidRPr="00E72418">
        <w:t xml:space="preserve"> plus ambitieuse</w:t>
      </w:r>
      <w:r w:rsidR="00260F89" w:rsidRPr="00E72418">
        <w:t>s</w:t>
      </w:r>
      <w:r w:rsidR="006D1243" w:rsidRPr="00E72418">
        <w:t xml:space="preserve">, d’autres </w:t>
      </w:r>
      <w:r w:rsidR="00EA77DB" w:rsidRPr="00E72418">
        <w:t>s’y opposaient</w:t>
      </w:r>
      <w:r w:rsidR="00260F89" w:rsidRPr="00E72418">
        <w:t xml:space="preserve">. Précisément, </w:t>
      </w:r>
      <w:r w:rsidR="00521910" w:rsidRPr="00E72418">
        <w:t xml:space="preserve">il fut relevé que </w:t>
      </w:r>
      <w:r w:rsidR="00260F89" w:rsidRPr="00E72418">
        <w:t>« [p]articipants from the financial services sector were typically opposed to legislation, civil society groups supported action, while responses from lawye</w:t>
      </w:r>
      <w:r w:rsidR="009D57FB" w:rsidRPr="00E72418">
        <w:t>rs included both perspectives »</w:t>
      </w:r>
      <w:r w:rsidR="00511CA5" w:rsidRPr="00E72418">
        <w:rPr>
          <w:rStyle w:val="Appelnotedebasdep"/>
        </w:rPr>
        <w:footnoteReference w:id="1523"/>
      </w:r>
      <w:r w:rsidR="00EA77DB" w:rsidRPr="00E72418">
        <w:t xml:space="preserve">. </w:t>
      </w:r>
      <w:r w:rsidR="00521910" w:rsidRPr="00E72418">
        <w:t>En résumé</w:t>
      </w:r>
      <w:r w:rsidR="005047A9" w:rsidRPr="00E72418">
        <w:t xml:space="preserve">, </w:t>
      </w:r>
      <w:r w:rsidR="00EA77DB" w:rsidRPr="00E72418">
        <w:t xml:space="preserve">les </w:t>
      </w:r>
      <w:r w:rsidR="009D57FB" w:rsidRPr="00E72418">
        <w:t>supporters</w:t>
      </w:r>
      <w:r w:rsidR="00EA77DB" w:rsidRPr="00E72418">
        <w:t xml:space="preserve"> soulignaient l’importance</w:t>
      </w:r>
      <w:r w:rsidR="009D57FB" w:rsidRPr="00E72418">
        <w:t>, d’une part,</w:t>
      </w:r>
      <w:r w:rsidR="00EA77DB" w:rsidRPr="00E72418">
        <w:t xml:space="preserve"> de mettre un terme au comportement par</w:t>
      </w:r>
      <w:r w:rsidR="009D57FB" w:rsidRPr="00E72418">
        <w:t xml:space="preserve">asite de certains créanciers, d’autre part, </w:t>
      </w:r>
      <w:r w:rsidR="00EA77DB" w:rsidRPr="00E72418">
        <w:t xml:space="preserve">de réduire les dettes étatiques à un niveau soutenable. Les </w:t>
      </w:r>
      <w:r w:rsidR="009D57FB" w:rsidRPr="00E72418">
        <w:t>détracteurs</w:t>
      </w:r>
      <w:r w:rsidR="00EA77DB" w:rsidRPr="00E72418">
        <w:t xml:space="preserve"> pointaient</w:t>
      </w:r>
      <w:r w:rsidR="009D57FB" w:rsidRPr="00E72418">
        <w:t xml:space="preserve"> quant à eux</w:t>
      </w:r>
      <w:r w:rsidR="00EA77DB" w:rsidRPr="00E72418">
        <w:t xml:space="preserve"> </w:t>
      </w:r>
      <w:r w:rsidR="00B93ED3" w:rsidRPr="00E72418">
        <w:t xml:space="preserve">l’importance des obligations contractuelles, </w:t>
      </w:r>
      <w:r w:rsidR="0098472E" w:rsidRPr="00E72418">
        <w:t xml:space="preserve">la </w:t>
      </w:r>
      <w:r w:rsidR="009D57FB" w:rsidRPr="00E72418">
        <w:t xml:space="preserve">surestimation et la </w:t>
      </w:r>
      <w:r w:rsidR="0098472E" w:rsidRPr="00E72418">
        <w:t xml:space="preserve">mauvaise appréhension du problème </w:t>
      </w:r>
      <w:r w:rsidR="009D57FB" w:rsidRPr="00E72418">
        <w:t>ou encore</w:t>
      </w:r>
      <w:r w:rsidR="00EA77DB" w:rsidRPr="00E72418">
        <w:t xml:space="preserve"> la sous</w:t>
      </w:r>
      <w:r w:rsidR="008B31DE" w:rsidRPr="00E72418">
        <w:t>-</w:t>
      </w:r>
      <w:r w:rsidR="00EA77DB" w:rsidRPr="00E72418">
        <w:t>estimation des conséquences de la législati</w:t>
      </w:r>
      <w:r w:rsidR="00B93ED3" w:rsidRPr="00E72418">
        <w:t>on envisagée sur les marchés,</w:t>
      </w:r>
      <w:r w:rsidR="003B6C93" w:rsidRPr="00E72418">
        <w:t xml:space="preserve"> sur l’accès et le coût futurs du capital,</w:t>
      </w:r>
      <w:r w:rsidR="00B93ED3" w:rsidRPr="00E72418">
        <w:t xml:space="preserve"> </w:t>
      </w:r>
      <w:r w:rsidR="00EA77DB" w:rsidRPr="00E72418">
        <w:t>sur la place du Royaume-Uni en tant que centre de services financiers</w:t>
      </w:r>
      <w:r w:rsidR="00B93ED3" w:rsidRPr="00E72418">
        <w:t xml:space="preserve"> et sur le recours à sa législation</w:t>
      </w:r>
      <w:r w:rsidR="00EA77DB" w:rsidRPr="00E72418">
        <w:rPr>
          <w:rStyle w:val="Appelnotedebasdep"/>
        </w:rPr>
        <w:footnoteReference w:id="1524"/>
      </w:r>
      <w:r w:rsidR="00EA77DB" w:rsidRPr="00E72418">
        <w:t>.</w:t>
      </w:r>
    </w:p>
    <w:p w14:paraId="4BDEC34B" w14:textId="007D2434" w:rsidR="00FE1596" w:rsidRPr="00E72418" w:rsidRDefault="00521910" w:rsidP="00357CB7">
      <w:pPr>
        <w:spacing w:line="276" w:lineRule="auto"/>
        <w:rPr>
          <w:szCs w:val="24"/>
        </w:rPr>
      </w:pPr>
      <w:r w:rsidRPr="00E72418">
        <w:rPr>
          <w:szCs w:val="24"/>
        </w:rPr>
        <w:lastRenderedPageBreak/>
        <w:t>Alors que, préalablement à s</w:t>
      </w:r>
      <w:r w:rsidR="00D27089" w:rsidRPr="00E72418">
        <w:rPr>
          <w:szCs w:val="24"/>
        </w:rPr>
        <w:t>a consul</w:t>
      </w:r>
      <w:r w:rsidR="00FF5E08" w:rsidRPr="00E72418">
        <w:rPr>
          <w:szCs w:val="24"/>
        </w:rPr>
        <w:t>tation, le G</w:t>
      </w:r>
      <w:r w:rsidR="00D27089" w:rsidRPr="00E72418">
        <w:rPr>
          <w:szCs w:val="24"/>
        </w:rPr>
        <w:t xml:space="preserve">ouvernement </w:t>
      </w:r>
      <w:r w:rsidR="00FF5E08" w:rsidRPr="00E72418">
        <w:rPr>
          <w:szCs w:val="24"/>
        </w:rPr>
        <w:t xml:space="preserve">britannique </w:t>
      </w:r>
      <w:r w:rsidR="00D27089" w:rsidRPr="00E72418">
        <w:rPr>
          <w:szCs w:val="24"/>
        </w:rPr>
        <w:t xml:space="preserve">notait que peu </w:t>
      </w:r>
      <w:r w:rsidR="003E0ACA" w:rsidRPr="00E72418">
        <w:rPr>
          <w:szCs w:val="24"/>
        </w:rPr>
        <w:t>d’</w:t>
      </w:r>
      <w:r w:rsidR="002F2FC2" w:rsidRPr="00E72418">
        <w:rPr>
          <w:szCs w:val="24"/>
        </w:rPr>
        <w:t xml:space="preserve">options lui </w:t>
      </w:r>
      <w:r w:rsidR="00D27089" w:rsidRPr="00E72418">
        <w:rPr>
          <w:szCs w:val="24"/>
        </w:rPr>
        <w:t>étaient</w:t>
      </w:r>
      <w:r w:rsidR="002F2FC2" w:rsidRPr="00E72418">
        <w:rPr>
          <w:szCs w:val="24"/>
        </w:rPr>
        <w:t xml:space="preserve"> </w:t>
      </w:r>
      <w:r w:rsidR="00322148" w:rsidRPr="00E72418">
        <w:rPr>
          <w:szCs w:val="24"/>
        </w:rPr>
        <w:t>offertes</w:t>
      </w:r>
      <w:r w:rsidR="002F2FC2" w:rsidRPr="00E72418">
        <w:rPr>
          <w:szCs w:val="24"/>
        </w:rPr>
        <w:t xml:space="preserve"> afin d’appréhender le problème rencontré</w:t>
      </w:r>
      <w:r w:rsidR="002F2FC2" w:rsidRPr="00E72418">
        <w:rPr>
          <w:rStyle w:val="Appelnotedebasdep"/>
          <w:szCs w:val="24"/>
        </w:rPr>
        <w:footnoteReference w:id="1525"/>
      </w:r>
      <w:r w:rsidR="00D27089" w:rsidRPr="00E72418">
        <w:rPr>
          <w:szCs w:val="24"/>
        </w:rPr>
        <w:t xml:space="preserve">, il fit valoir </w:t>
      </w:r>
      <w:r w:rsidRPr="00E72418">
        <w:rPr>
          <w:szCs w:val="24"/>
        </w:rPr>
        <w:t xml:space="preserve">à la suite de celle-ci </w:t>
      </w:r>
      <w:r w:rsidR="00A36096" w:rsidRPr="00E72418">
        <w:rPr>
          <w:szCs w:val="24"/>
        </w:rPr>
        <w:t>l’importance de légiférer relevant qu’il « remains the Government’s assessment that the case for action</w:t>
      </w:r>
      <w:r w:rsidRPr="00E72418">
        <w:rPr>
          <w:szCs w:val="24"/>
        </w:rPr>
        <w:t xml:space="preserve"> is exceptional and justified ». Il </w:t>
      </w:r>
      <w:r w:rsidR="00322148" w:rsidRPr="00E72418">
        <w:rPr>
          <w:szCs w:val="24"/>
        </w:rPr>
        <w:t>posa</w:t>
      </w:r>
      <w:r w:rsidR="00A36096" w:rsidRPr="00E72418">
        <w:rPr>
          <w:szCs w:val="24"/>
        </w:rPr>
        <w:t xml:space="preserve"> </w:t>
      </w:r>
      <w:r w:rsidRPr="00E72418">
        <w:rPr>
          <w:szCs w:val="24"/>
        </w:rPr>
        <w:t xml:space="preserve">néanmoins le </w:t>
      </w:r>
      <w:r w:rsidR="00A36096" w:rsidRPr="00E72418">
        <w:rPr>
          <w:szCs w:val="24"/>
        </w:rPr>
        <w:t>choix d’une législation mesurée</w:t>
      </w:r>
      <w:r w:rsidR="00514CA0" w:rsidRPr="00E72418">
        <w:rPr>
          <w:szCs w:val="24"/>
        </w:rPr>
        <w:t xml:space="preserve"> </w:t>
      </w:r>
      <w:r w:rsidR="00D27089" w:rsidRPr="00E72418">
        <w:rPr>
          <w:szCs w:val="24"/>
        </w:rPr>
        <w:t xml:space="preserve">notamment </w:t>
      </w:r>
      <w:r w:rsidR="00AB2C0F" w:rsidRPr="00E72418">
        <w:rPr>
          <w:szCs w:val="24"/>
        </w:rPr>
        <w:t xml:space="preserve">quant aux </w:t>
      </w:r>
      <w:r w:rsidR="00D767F3" w:rsidRPr="00E72418">
        <w:rPr>
          <w:lang w:eastAsia="fr-BE"/>
        </w:rPr>
        <w:t>É</w:t>
      </w:r>
      <w:r w:rsidR="00D27089" w:rsidRPr="00E72418">
        <w:rPr>
          <w:szCs w:val="24"/>
        </w:rPr>
        <w:t xml:space="preserve">tats débiteurs et </w:t>
      </w:r>
      <w:r w:rsidR="00322148" w:rsidRPr="00E72418">
        <w:rPr>
          <w:szCs w:val="24"/>
        </w:rPr>
        <w:t>aux</w:t>
      </w:r>
      <w:r w:rsidR="00D27089" w:rsidRPr="00E72418">
        <w:rPr>
          <w:szCs w:val="24"/>
        </w:rPr>
        <w:t xml:space="preserve"> dettes protégés</w:t>
      </w:r>
      <w:r w:rsidR="00A36096" w:rsidRPr="00E72418">
        <w:rPr>
          <w:rStyle w:val="Appelnotedebasdep"/>
          <w:szCs w:val="24"/>
        </w:rPr>
        <w:footnoteReference w:id="1526"/>
      </w:r>
      <w:r w:rsidR="00357CB7" w:rsidRPr="00E72418">
        <w:rPr>
          <w:szCs w:val="24"/>
        </w:rPr>
        <w:t>.</w:t>
      </w:r>
      <w:bookmarkStart w:id="364" w:name="_Toc59280987"/>
    </w:p>
    <w:p w14:paraId="5BE28C12" w14:textId="77777777" w:rsidR="00357CB7" w:rsidRPr="00E72418" w:rsidRDefault="00357CB7" w:rsidP="00357CB7">
      <w:pPr>
        <w:spacing w:line="276" w:lineRule="auto"/>
      </w:pPr>
    </w:p>
    <w:p w14:paraId="1963C97A" w14:textId="12FC80E0" w:rsidR="001938B4" w:rsidRPr="00E72418" w:rsidRDefault="002F7FBF" w:rsidP="00CC4BA8">
      <w:pPr>
        <w:pStyle w:val="DD"/>
        <w:spacing w:line="276" w:lineRule="auto"/>
      </w:pPr>
      <w:bookmarkStart w:id="365" w:name="_Toc84540978"/>
      <w:r w:rsidRPr="00E72418">
        <w:t xml:space="preserve">Section 2 : </w:t>
      </w:r>
      <w:r w:rsidR="00940C22" w:rsidRPr="00E72418">
        <w:t>Le texte retenu</w:t>
      </w:r>
      <w:bookmarkEnd w:id="364"/>
      <w:bookmarkEnd w:id="365"/>
    </w:p>
    <w:p w14:paraId="590728AE" w14:textId="77777777" w:rsidR="004007D2" w:rsidRPr="00E72418" w:rsidRDefault="004007D2" w:rsidP="004007D2"/>
    <w:p w14:paraId="2357C229" w14:textId="366EB27B" w:rsidR="00322148" w:rsidRPr="00E72418" w:rsidRDefault="007F038F" w:rsidP="00CC4BA8">
      <w:pPr>
        <w:spacing w:line="276" w:lineRule="auto"/>
      </w:pPr>
      <w:r w:rsidRPr="00E72418">
        <w:rPr>
          <w:b/>
        </w:rPr>
        <w:t>30</w:t>
      </w:r>
      <w:r w:rsidR="004469AC" w:rsidRPr="00E72418">
        <w:rPr>
          <w:b/>
        </w:rPr>
        <w:t>8</w:t>
      </w:r>
      <w:r w:rsidR="00817D62" w:rsidRPr="00E72418">
        <w:rPr>
          <w:b/>
        </w:rPr>
        <w:t xml:space="preserve">. </w:t>
      </w:r>
      <w:r w:rsidR="00B774C9" w:rsidRPr="00E72418">
        <w:rPr>
          <w:b/>
        </w:rPr>
        <w:t xml:space="preserve">Une loi initialement à durée limitée rendue ensuite permanente – </w:t>
      </w:r>
      <w:r w:rsidR="00B774C9" w:rsidRPr="00E72418">
        <w:t xml:space="preserve">Introduite à la </w:t>
      </w:r>
      <w:r w:rsidR="00B774C9" w:rsidRPr="00E72418">
        <w:rPr>
          <w:i/>
        </w:rPr>
        <w:t>House of Commons</w:t>
      </w:r>
      <w:r w:rsidR="00B774C9" w:rsidRPr="00E72418">
        <w:t xml:space="preserve"> le 16 décembre 2009 par Andrew Gwynne</w:t>
      </w:r>
      <w:r w:rsidR="00B774C9" w:rsidRPr="00E72418">
        <w:rPr>
          <w:rStyle w:val="Appelnotedebasdep"/>
          <w:rFonts w:cs="Times New Roman"/>
          <w:szCs w:val="24"/>
        </w:rPr>
        <w:footnoteReference w:id="1527"/>
      </w:r>
      <w:r w:rsidR="00B774C9" w:rsidRPr="00E72418">
        <w:t xml:space="preserve">, la </w:t>
      </w:r>
      <w:r w:rsidR="00B774C9" w:rsidRPr="00E72418">
        <w:rPr>
          <w:i/>
        </w:rPr>
        <w:t xml:space="preserve">Debt Relief (Developing Countries) Bill </w:t>
      </w:r>
      <w:r w:rsidR="00B774C9" w:rsidRPr="00E72418">
        <w:t xml:space="preserve">est une version restreinte au niveau de sa portée de la </w:t>
      </w:r>
      <w:r w:rsidR="00B774C9" w:rsidRPr="00E72418">
        <w:rPr>
          <w:i/>
        </w:rPr>
        <w:t>Developing Country Debt (Restriction of Recovery) Bill</w:t>
      </w:r>
      <w:r w:rsidR="00B774C9" w:rsidRPr="00E72418">
        <w:t xml:space="preserve">. Le texte proposé reçut un large soutien des parlementaires britanniques dont plus de deux </w:t>
      </w:r>
      <w:r w:rsidR="00322148" w:rsidRPr="00E72418">
        <w:t>cents</w:t>
      </w:r>
      <w:r w:rsidR="00B774C9" w:rsidRPr="00E72418">
        <w:t xml:space="preserve"> furent signataires d’une </w:t>
      </w:r>
      <w:r w:rsidR="00B774C9" w:rsidRPr="00E72418">
        <w:rPr>
          <w:i/>
        </w:rPr>
        <w:t>Early Day Motion</w:t>
      </w:r>
      <w:r w:rsidR="00B774C9" w:rsidRPr="00E72418">
        <w:t xml:space="preserve"> en faveur de la loi</w:t>
      </w:r>
      <w:r w:rsidR="00B774C9" w:rsidRPr="00E72418">
        <w:rPr>
          <w:rStyle w:val="Appelnotedebasdep"/>
        </w:rPr>
        <w:footnoteReference w:id="1528"/>
      </w:r>
      <w:r w:rsidR="00B774C9" w:rsidRPr="00E72418">
        <w:t xml:space="preserve">. Le </w:t>
      </w:r>
      <w:r w:rsidR="00FF5E08" w:rsidRPr="00E72418">
        <w:t>G</w:t>
      </w:r>
      <w:r w:rsidR="00B774C9" w:rsidRPr="00E72418">
        <w:t xml:space="preserve">ouvernement annonça son </w:t>
      </w:r>
      <w:r w:rsidR="008D3546" w:rsidRPr="00E72418">
        <w:t>soutien</w:t>
      </w:r>
      <w:r w:rsidR="00B774C9" w:rsidRPr="00E72418">
        <w:t xml:space="preserve"> au texte</w:t>
      </w:r>
      <w:r w:rsidR="00B774C9" w:rsidRPr="00E72418">
        <w:rPr>
          <w:rStyle w:val="Appelnotedebasdep"/>
        </w:rPr>
        <w:footnoteReference w:id="1529"/>
      </w:r>
      <w:r w:rsidR="00B774C9" w:rsidRPr="00E72418">
        <w:t xml:space="preserve">. La </w:t>
      </w:r>
      <w:r w:rsidR="00B774C9" w:rsidRPr="00E72418">
        <w:rPr>
          <w:i/>
        </w:rPr>
        <w:t>Bill</w:t>
      </w:r>
      <w:r w:rsidR="00B774C9" w:rsidRPr="00E72418">
        <w:t xml:space="preserve"> fut approuvée par les deux chambres du Parlement et devint </w:t>
      </w:r>
      <w:r w:rsidR="00B774C9" w:rsidRPr="00E72418">
        <w:rPr>
          <w:i/>
        </w:rPr>
        <w:t>Act</w:t>
      </w:r>
      <w:r w:rsidR="00B774C9" w:rsidRPr="00E72418">
        <w:t xml:space="preserve"> le 8 avril 2010 après avoir reçu la sanction royale</w:t>
      </w:r>
      <w:r w:rsidR="00B774C9" w:rsidRPr="00E72418">
        <w:rPr>
          <w:rStyle w:val="Appelnotedebasdep"/>
        </w:rPr>
        <w:footnoteReference w:id="1530"/>
      </w:r>
      <w:r w:rsidR="00B774C9" w:rsidRPr="00E72418">
        <w:t xml:space="preserve">. </w:t>
      </w:r>
    </w:p>
    <w:p w14:paraId="78C0549D" w14:textId="379107B9" w:rsidR="00B774C9" w:rsidRPr="00E72418" w:rsidRDefault="00B774C9" w:rsidP="00CC4BA8">
      <w:pPr>
        <w:spacing w:line="276" w:lineRule="auto"/>
      </w:pPr>
      <w:r w:rsidRPr="00E72418">
        <w:t xml:space="preserve">En application de son article 10(1), </w:t>
      </w:r>
      <w:r w:rsidR="000F4A0F" w:rsidRPr="00E72418">
        <w:t xml:space="preserve">le </w:t>
      </w:r>
      <w:r w:rsidR="000F4A0F" w:rsidRPr="00E72418">
        <w:rPr>
          <w:i/>
        </w:rPr>
        <w:t xml:space="preserve">Debt Relief (Developing Countries) Act 2010 </w:t>
      </w:r>
      <w:r w:rsidR="000F4A0F" w:rsidRPr="00E72418">
        <w:t>est entré</w:t>
      </w:r>
      <w:r w:rsidRPr="00E72418">
        <w:t xml:space="preserve"> en vigueur deux mois</w:t>
      </w:r>
      <w:r w:rsidR="00322148" w:rsidRPr="00E72418">
        <w:t xml:space="preserve"> après le jour de son adoption. </w:t>
      </w:r>
      <w:r w:rsidR="000F4A0F" w:rsidRPr="00E72418">
        <w:t>Cette</w:t>
      </w:r>
      <w:r w:rsidRPr="00E72418">
        <w:t xml:space="preserve"> loi fut d’abord adoptée pour une période d’un an à dater de son entrée en vigueur avec possibilité de la prolonger d’un an ou de la rendre permanente</w:t>
      </w:r>
      <w:r w:rsidRPr="00E72418">
        <w:rPr>
          <w:rStyle w:val="Appelnotedebasdep"/>
        </w:rPr>
        <w:footnoteReference w:id="1531"/>
      </w:r>
      <w:r w:rsidRPr="00E72418">
        <w:t xml:space="preserve">. La clause d’expiration, </w:t>
      </w:r>
      <w:r w:rsidRPr="00E72418">
        <w:rPr>
          <w:rFonts w:ascii="Times New Roman" w:hAnsi="Times New Roman"/>
          <w:bCs/>
          <w:shd w:val="clear" w:color="auto" w:fill="FFFFFF"/>
        </w:rPr>
        <w:t>absente de la proposition de loi</w:t>
      </w:r>
      <w:r w:rsidRPr="00E72418">
        <w:t xml:space="preserve">, avait été retenue à l’initiative de </w:t>
      </w:r>
      <w:r w:rsidRPr="00E72418">
        <w:rPr>
          <w:rFonts w:ascii="Times New Roman" w:hAnsi="Times New Roman"/>
          <w:bCs/>
          <w:shd w:val="clear" w:color="auto" w:fill="FFFFFF"/>
        </w:rPr>
        <w:t>David Gauke, un parlementaire conservateur,</w:t>
      </w:r>
      <w:r w:rsidRPr="00E72418">
        <w:t xml:space="preserve"> afin de permettre d’évaluer les </w:t>
      </w:r>
      <w:r w:rsidRPr="00E72418">
        <w:lastRenderedPageBreak/>
        <w:t>effets de la loi et son éventuelle influence négative sur les dettes concernées</w:t>
      </w:r>
      <w:r w:rsidRPr="00E72418">
        <w:rPr>
          <w:rStyle w:val="Appelnotedebasdep"/>
          <w:rFonts w:cs="Times New Roman"/>
        </w:rPr>
        <w:footnoteReference w:id="1532"/>
      </w:r>
      <w:r w:rsidRPr="00E72418">
        <w:t xml:space="preserve">. </w:t>
      </w:r>
      <w:r w:rsidR="000F4A0F" w:rsidRPr="00E72418">
        <w:rPr>
          <w:rFonts w:ascii="Times New Roman" w:hAnsi="Times New Roman"/>
          <w:bCs/>
          <w:shd w:val="clear" w:color="auto" w:fill="FFFFFF"/>
        </w:rPr>
        <w:t>Cette clause</w:t>
      </w:r>
      <w:r w:rsidRPr="00E72418">
        <w:rPr>
          <w:rFonts w:ascii="Times New Roman" w:hAnsi="Times New Roman"/>
          <w:bCs/>
          <w:shd w:val="clear" w:color="auto" w:fill="FFFFFF"/>
        </w:rPr>
        <w:t xml:space="preserve"> devait </w:t>
      </w:r>
      <w:r w:rsidR="000F4A0F" w:rsidRPr="00E72418">
        <w:rPr>
          <w:rFonts w:ascii="Times New Roman" w:hAnsi="Times New Roman"/>
          <w:bCs/>
          <w:shd w:val="clear" w:color="auto" w:fill="FFFFFF"/>
        </w:rPr>
        <w:t>offrir</w:t>
      </w:r>
      <w:r w:rsidRPr="00E72418">
        <w:rPr>
          <w:rFonts w:ascii="Times New Roman" w:hAnsi="Times New Roman"/>
          <w:bCs/>
          <w:shd w:val="clear" w:color="auto" w:fill="FFFFFF"/>
        </w:rPr>
        <w:t xml:space="preserve"> le recul nécessaire à une décision future de prolongation voire de permanence.</w:t>
      </w:r>
      <w:r w:rsidR="000F4A0F" w:rsidRPr="00E72418">
        <w:t xml:space="preserve"> </w:t>
      </w:r>
      <w:r w:rsidRPr="00E72418">
        <w:t>L’évaluation de la législation pratiquée permit de remarquer que celle-ci avait e</w:t>
      </w:r>
      <w:r w:rsidR="00D767F3" w:rsidRPr="00E72418">
        <w:t xml:space="preserve">u des effets positifs pour les </w:t>
      </w:r>
      <w:r w:rsidR="00D767F3" w:rsidRPr="00E72418">
        <w:rPr>
          <w:lang w:eastAsia="fr-BE"/>
        </w:rPr>
        <w:t>É</w:t>
      </w:r>
      <w:r w:rsidRPr="00E72418">
        <w:t>tats protégés et qu’aucun effe</w:t>
      </w:r>
      <w:r w:rsidR="000F4A0F" w:rsidRPr="00E72418">
        <w:t xml:space="preserve">t indésirable n’était apparu </w:t>
      </w:r>
      <w:r w:rsidRPr="00E72418">
        <w:t>concernant la disponi</w:t>
      </w:r>
      <w:r w:rsidR="000F4A0F" w:rsidRPr="00E72418">
        <w:t xml:space="preserve">bilité et le coût du crédit ou encore </w:t>
      </w:r>
      <w:r w:rsidRPr="00E72418">
        <w:t>concernant la place du Royaume-Uni en tant que centre financier et le recours à la loi et aux juridictions britanniques</w:t>
      </w:r>
      <w:r w:rsidRPr="00E72418">
        <w:rPr>
          <w:rStyle w:val="Appelnotedebasdep"/>
        </w:rPr>
        <w:footnoteReference w:id="1533"/>
      </w:r>
      <w:r w:rsidR="000F4A0F" w:rsidRPr="00E72418">
        <w:t xml:space="preserve">. </w:t>
      </w:r>
      <w:r w:rsidR="002D7E78" w:rsidRPr="00E72418">
        <w:t>À</w:t>
      </w:r>
      <w:r w:rsidR="00F16DA9" w:rsidRPr="00E72418">
        <w:t xml:space="preserve"> la suite de</w:t>
      </w:r>
      <w:r w:rsidR="000F4A0F" w:rsidRPr="00E72418">
        <w:t xml:space="preserve"> ces constats, l</w:t>
      </w:r>
      <w:r w:rsidRPr="00E72418">
        <w:t xml:space="preserve">e </w:t>
      </w:r>
      <w:r w:rsidRPr="00E72418">
        <w:rPr>
          <w:i/>
        </w:rPr>
        <w:t>Debt Relief (Developing Countries) Act 2010 (Permanent Effect) Order 2011</w:t>
      </w:r>
      <w:r w:rsidRPr="00E72418">
        <w:t xml:space="preserve"> du 25 mai 2011 </w:t>
      </w:r>
      <w:r w:rsidR="001F560D" w:rsidRPr="00E72418">
        <w:t>rendit</w:t>
      </w:r>
      <w:r w:rsidRPr="00E72418">
        <w:t xml:space="preserve"> permanente la législation qui devait expirer le 7 juin 2011</w:t>
      </w:r>
      <w:r w:rsidRPr="00E72418">
        <w:rPr>
          <w:rStyle w:val="Appelnotedebasdep"/>
        </w:rPr>
        <w:footnoteReference w:id="1534"/>
      </w:r>
      <w:r w:rsidR="007C133C" w:rsidRPr="00E72418">
        <w:rPr>
          <w:vertAlign w:val="superscript"/>
        </w:rPr>
        <w:t>,</w:t>
      </w:r>
      <w:r w:rsidRPr="00E72418">
        <w:rPr>
          <w:rStyle w:val="Appelnotedebasdep"/>
        </w:rPr>
        <w:footnoteReference w:id="1535"/>
      </w:r>
      <w:r w:rsidRPr="00E72418">
        <w:t>.</w:t>
      </w:r>
    </w:p>
    <w:p w14:paraId="057B144F" w14:textId="77777777" w:rsidR="00313AF9" w:rsidRPr="00E72418" w:rsidRDefault="00313AF9" w:rsidP="00CC4BA8">
      <w:pPr>
        <w:spacing w:line="276" w:lineRule="auto"/>
      </w:pPr>
    </w:p>
    <w:p w14:paraId="5DC6C52F" w14:textId="56512708" w:rsidR="00834E4F" w:rsidRPr="00E72418" w:rsidRDefault="004469AC" w:rsidP="00CC4BA8">
      <w:pPr>
        <w:spacing w:line="276" w:lineRule="auto"/>
      </w:pPr>
      <w:r w:rsidRPr="00E72418">
        <w:rPr>
          <w:b/>
        </w:rPr>
        <w:t>309</w:t>
      </w:r>
      <w:r w:rsidR="00817D62" w:rsidRPr="00E72418">
        <w:rPr>
          <w:b/>
        </w:rPr>
        <w:t xml:space="preserve">. </w:t>
      </w:r>
      <w:r w:rsidR="00F522EE" w:rsidRPr="00E72418">
        <w:rPr>
          <w:b/>
        </w:rPr>
        <w:t>L’objectif poursuivi</w:t>
      </w:r>
      <w:r w:rsidR="00573708" w:rsidRPr="00E72418">
        <w:rPr>
          <w:b/>
        </w:rPr>
        <w:t xml:space="preserve"> –</w:t>
      </w:r>
      <w:r w:rsidR="00834E4F" w:rsidRPr="00E72418">
        <w:rPr>
          <w:b/>
        </w:rPr>
        <w:t xml:space="preserve"> </w:t>
      </w:r>
      <w:r w:rsidR="00595E13" w:rsidRPr="00E72418">
        <w:t>Généraleme</w:t>
      </w:r>
      <w:r w:rsidR="0070519A" w:rsidRPr="00E72418">
        <w:t>n</w:t>
      </w:r>
      <w:r w:rsidR="00595E13" w:rsidRPr="00E72418">
        <w:t xml:space="preserve">t, </w:t>
      </w:r>
      <w:r w:rsidR="001F560D" w:rsidRPr="00E72418">
        <w:t xml:space="preserve">le </w:t>
      </w:r>
      <w:r w:rsidR="001F560D" w:rsidRPr="00E72418">
        <w:rPr>
          <w:i/>
        </w:rPr>
        <w:t>Debt Relief (Developing Countries) Act 2010</w:t>
      </w:r>
      <w:r w:rsidR="001F560D" w:rsidRPr="00E72418">
        <w:t xml:space="preserve"> </w:t>
      </w:r>
      <w:r w:rsidR="00F25880" w:rsidRPr="00E72418">
        <w:t>vise</w:t>
      </w:r>
      <w:r w:rsidR="00F25880" w:rsidRPr="00E72418">
        <w:rPr>
          <w:i/>
        </w:rPr>
        <w:t xml:space="preserve"> </w:t>
      </w:r>
      <w:r w:rsidR="0070519A" w:rsidRPr="00E72418">
        <w:t>la bonne réussite des objectifs de l’Initiative Pays Pauvres Très Endettés de la Banque mondiale et du Fonds monétaire international en empêchant</w:t>
      </w:r>
      <w:r w:rsidR="00DE1714" w:rsidRPr="00E72418">
        <w:t xml:space="preserve"> que les juridictions du Royaume-Uni ne rendent ni ne fassent appliquer des décision</w:t>
      </w:r>
      <w:r w:rsidR="00573708" w:rsidRPr="00E72418">
        <w:t>s autorisant le recouvrement de</w:t>
      </w:r>
      <w:r w:rsidR="00DE1714" w:rsidRPr="00E72418">
        <w:t xml:space="preserve"> dettes </w:t>
      </w:r>
      <w:r w:rsidR="00573708" w:rsidRPr="00E72418">
        <w:t xml:space="preserve">souveraines </w:t>
      </w:r>
      <w:r w:rsidR="00DE1714" w:rsidRPr="00E72418">
        <w:t xml:space="preserve">au-delà du montant </w:t>
      </w:r>
      <w:r w:rsidR="00595E13" w:rsidRPr="00E72418">
        <w:t>recouvrable</w:t>
      </w:r>
      <w:r w:rsidR="00DE1714" w:rsidRPr="00E72418">
        <w:t xml:space="preserve"> </w:t>
      </w:r>
      <w:r w:rsidR="00595E13" w:rsidRPr="00E72418">
        <w:t>en application de</w:t>
      </w:r>
      <w:r w:rsidR="0070519A" w:rsidRPr="00E72418">
        <w:t xml:space="preserve"> cette </w:t>
      </w:r>
      <w:r w:rsidR="00DE1714" w:rsidRPr="00E72418">
        <w:t>Initiative</w:t>
      </w:r>
      <w:r w:rsidR="00DE1714" w:rsidRPr="00E72418">
        <w:rPr>
          <w:rStyle w:val="Appelnotedebasdep"/>
          <w:szCs w:val="24"/>
        </w:rPr>
        <w:footnoteReference w:id="1536"/>
      </w:r>
      <w:r w:rsidR="007C133C" w:rsidRPr="00E72418">
        <w:rPr>
          <w:vertAlign w:val="superscript"/>
        </w:rPr>
        <w:t>,</w:t>
      </w:r>
      <w:r w:rsidR="00660210" w:rsidRPr="00E72418">
        <w:rPr>
          <w:rStyle w:val="Appelnotedebasdep"/>
        </w:rPr>
        <w:footnoteReference w:id="1537"/>
      </w:r>
      <w:r w:rsidR="00DE1714" w:rsidRPr="00E72418">
        <w:t>.</w:t>
      </w:r>
      <w:r w:rsidR="005E4A41" w:rsidRPr="00E72418">
        <w:t xml:space="preserve"> </w:t>
      </w:r>
      <w:r w:rsidR="00CA6F05" w:rsidRPr="00E72418">
        <w:t xml:space="preserve">En </w:t>
      </w:r>
      <w:r w:rsidR="00CA6F05" w:rsidRPr="00E72418">
        <w:lastRenderedPageBreak/>
        <w:t xml:space="preserve">limitant le montant pouvant être récupéré par un créancier, </w:t>
      </w:r>
      <w:r w:rsidR="005E4A41" w:rsidRPr="00E72418">
        <w:t xml:space="preserve">l’objectif </w:t>
      </w:r>
      <w:r w:rsidR="0070519A" w:rsidRPr="00E72418">
        <w:t>de la loi</w:t>
      </w:r>
      <w:r w:rsidR="005E4A41" w:rsidRPr="00E72418">
        <w:t xml:space="preserve"> </w:t>
      </w:r>
      <w:r w:rsidR="001F560D" w:rsidRPr="00E72418">
        <w:t xml:space="preserve">britannique </w:t>
      </w:r>
      <w:r w:rsidR="0070519A" w:rsidRPr="00E72418">
        <w:t>est</w:t>
      </w:r>
      <w:r w:rsidR="005E4A41" w:rsidRPr="00E72418">
        <w:t xml:space="preserve"> d’éviter, d’une part, que les montants li</w:t>
      </w:r>
      <w:r w:rsidR="001F560D" w:rsidRPr="00E72418">
        <w:t xml:space="preserve">bérés dans le cadre de l’Initiative </w:t>
      </w:r>
      <w:r w:rsidR="005E4A41" w:rsidRPr="00E72418">
        <w:t>soient utilisés autrement qu’au profit des populations des pays bénéficiaires, d’autr</w:t>
      </w:r>
      <w:r w:rsidR="00595E13" w:rsidRPr="00E72418">
        <w:t>e part, que certains créanciers</w:t>
      </w:r>
      <w:r w:rsidR="005E4A41" w:rsidRPr="00E72418">
        <w:t xml:space="preserve"> </w:t>
      </w:r>
      <w:r w:rsidR="0070519A" w:rsidRPr="00E72418">
        <w:t>profitent des efforts consentis par d’autres</w:t>
      </w:r>
      <w:r w:rsidR="005E4A41" w:rsidRPr="00E72418">
        <w:rPr>
          <w:rStyle w:val="Appelnotedebasdep"/>
        </w:rPr>
        <w:footnoteReference w:id="1538"/>
      </w:r>
      <w:r w:rsidR="005E4A41" w:rsidRPr="00E72418">
        <w:t xml:space="preserve">. </w:t>
      </w:r>
      <w:r w:rsidR="001F3D76" w:rsidRPr="00E72418">
        <w:t>Par ailleurs, la législation est de nature à encourager l</w:t>
      </w:r>
      <w:r w:rsidR="001F560D" w:rsidRPr="00E72418">
        <w:t>es créanciers à participer à ladite I</w:t>
      </w:r>
      <w:r w:rsidR="001F3D76" w:rsidRPr="00E72418">
        <w:t xml:space="preserve">nitiative dès lors qu’ils savent que leur </w:t>
      </w:r>
      <w:r w:rsidR="009D55F5" w:rsidRPr="00E72418">
        <w:t>refus</w:t>
      </w:r>
      <w:r w:rsidR="001F3D76" w:rsidRPr="00E72418">
        <w:t xml:space="preserve"> ne leur permettra pas d’obtenir plus que ce qu’ils peuve</w:t>
      </w:r>
      <w:r w:rsidR="001F560D" w:rsidRPr="00E72418">
        <w:t>nt escompter en application de celle-ci</w:t>
      </w:r>
      <w:r w:rsidR="001F3D76" w:rsidRPr="00E72418">
        <w:rPr>
          <w:rStyle w:val="Appelnotedebasdep"/>
          <w:szCs w:val="24"/>
        </w:rPr>
        <w:footnoteReference w:id="1539"/>
      </w:r>
      <w:r w:rsidR="001F3D76" w:rsidRPr="00E72418">
        <w:t xml:space="preserve">. </w:t>
      </w:r>
    </w:p>
    <w:p w14:paraId="2D87758A" w14:textId="77777777" w:rsidR="002533F1" w:rsidRPr="00E72418" w:rsidRDefault="00CA6F05" w:rsidP="00CC4BA8">
      <w:pPr>
        <w:spacing w:line="276" w:lineRule="auto"/>
        <w:rPr>
          <w:rFonts w:ascii="Times New Roman" w:hAnsi="Times New Roman"/>
          <w:shd w:val="clear" w:color="auto" w:fill="FFFFFF"/>
        </w:rPr>
      </w:pPr>
      <w:r w:rsidRPr="00E72418">
        <w:t>Plus précisément</w:t>
      </w:r>
      <w:r w:rsidR="008A11D0" w:rsidRPr="00E72418">
        <w:t>,</w:t>
      </w:r>
      <w:r w:rsidRPr="00E72418">
        <w:t xml:space="preserve"> et même si le texte de loi ne les </w:t>
      </w:r>
      <w:r w:rsidR="008A11D0" w:rsidRPr="00E72418">
        <w:t>nomme</w:t>
      </w:r>
      <w:r w:rsidRPr="00E72418">
        <w:t xml:space="preserve"> pas directement, </w:t>
      </w:r>
      <w:r w:rsidR="00106187" w:rsidRPr="00E72418">
        <w:t xml:space="preserve">le </w:t>
      </w:r>
      <w:r w:rsidR="00106187" w:rsidRPr="00E72418">
        <w:rPr>
          <w:i/>
        </w:rPr>
        <w:t xml:space="preserve">Debt Relief (Developing Countries) Act 2010 </w:t>
      </w:r>
      <w:r w:rsidR="00106187" w:rsidRPr="00E72418">
        <w:t xml:space="preserve">adopté </w:t>
      </w:r>
      <w:r w:rsidR="001F3D76" w:rsidRPr="00E72418">
        <w:t>vise à apporter une solution aux problèmes</w:t>
      </w:r>
      <w:r w:rsidR="00B41CCF" w:rsidRPr="00E72418">
        <w:t xml:space="preserve"> posés par les fonds spéculant</w:t>
      </w:r>
      <w:r w:rsidR="001F3D76" w:rsidRPr="00E72418">
        <w:t xml:space="preserve"> sur </w:t>
      </w:r>
      <w:r w:rsidR="00106187" w:rsidRPr="00E72418">
        <w:t>certaines</w:t>
      </w:r>
      <w:r w:rsidR="001F3D76" w:rsidRPr="00E72418">
        <w:t xml:space="preserve"> dettes souveraines, à savoir ceux ayant fait l’acquisition à prix réduit de dettes de Pays Pauvres Très Endettés en défaut qui cherchent </w:t>
      </w:r>
      <w:r w:rsidR="008A11D0" w:rsidRPr="00E72418">
        <w:t xml:space="preserve">à en obtenir le paiement au prix plein </w:t>
      </w:r>
      <w:r w:rsidR="001F3D76" w:rsidRPr="00E72418">
        <w:t xml:space="preserve">après que les autres créanciers aient concédé un allègement </w:t>
      </w:r>
      <w:r w:rsidR="00D767F3" w:rsidRPr="00E72418">
        <w:t xml:space="preserve">ayant permis </w:t>
      </w:r>
      <w:r w:rsidR="00106187" w:rsidRPr="00E72418">
        <w:t>aux débiteurs</w:t>
      </w:r>
      <w:r w:rsidR="008A11D0" w:rsidRPr="00E72418">
        <w:t xml:space="preserve"> de revenir à meilleure fortune</w:t>
      </w:r>
      <w:r w:rsidR="008A11D0" w:rsidRPr="00E72418">
        <w:rPr>
          <w:rStyle w:val="Appelnotedebasdep"/>
        </w:rPr>
        <w:footnoteReference w:id="1540"/>
      </w:r>
      <w:r w:rsidR="001F3D76" w:rsidRPr="00E72418">
        <w:t>.</w:t>
      </w:r>
      <w:r w:rsidR="00FB26D7" w:rsidRPr="00E72418">
        <w:t xml:space="preserve"> </w:t>
      </w:r>
      <w:r w:rsidR="00FB26D7" w:rsidRPr="00E72418">
        <w:rPr>
          <w:rFonts w:ascii="Times New Roman" w:hAnsi="Times New Roman"/>
          <w:shd w:val="clear" w:color="auto" w:fill="FFFFFF"/>
        </w:rPr>
        <w:t>Ces fonds so</w:t>
      </w:r>
      <w:r w:rsidR="00FF5E08" w:rsidRPr="00E72418">
        <w:rPr>
          <w:rFonts w:ascii="Times New Roman" w:hAnsi="Times New Roman"/>
          <w:shd w:val="clear" w:color="auto" w:fill="FFFFFF"/>
        </w:rPr>
        <w:t>nt clairement visés lorsque le G</w:t>
      </w:r>
      <w:r w:rsidR="00FB26D7" w:rsidRPr="00E72418">
        <w:rPr>
          <w:rFonts w:ascii="Times New Roman" w:hAnsi="Times New Roman"/>
          <w:shd w:val="clear" w:color="auto" w:fill="FFFFFF"/>
        </w:rPr>
        <w:t>ouvernement britannique caractérise leurs activités de « worst abuses of the debt relief process »</w:t>
      </w:r>
      <w:r w:rsidR="00FB26D7" w:rsidRPr="00E72418">
        <w:rPr>
          <w:rStyle w:val="Appelnotedebasdep"/>
          <w:rFonts w:ascii="Times New Roman" w:hAnsi="Times New Roman" w:cs="Times New Roman"/>
          <w:szCs w:val="24"/>
          <w:shd w:val="clear" w:color="auto" w:fill="FFFFFF"/>
        </w:rPr>
        <w:footnoteReference w:id="1541"/>
      </w:r>
      <w:r w:rsidR="00FB26D7" w:rsidRPr="00E72418">
        <w:rPr>
          <w:rFonts w:ascii="Times New Roman" w:hAnsi="Times New Roman"/>
          <w:shd w:val="clear" w:color="auto" w:fill="FFFFFF"/>
        </w:rPr>
        <w:t xml:space="preserve">. </w:t>
      </w:r>
      <w:r w:rsidR="00106187" w:rsidRPr="00E72418">
        <w:rPr>
          <w:rFonts w:ascii="Times New Roman" w:hAnsi="Times New Roman"/>
          <w:shd w:val="clear" w:color="auto" w:fill="FFFFFF"/>
        </w:rPr>
        <w:t>L</w:t>
      </w:r>
      <w:r w:rsidR="00FB26D7" w:rsidRPr="00E72418">
        <w:rPr>
          <w:rFonts w:ascii="Times New Roman" w:hAnsi="Times New Roman"/>
          <w:shd w:val="clear" w:color="auto" w:fill="FFFFFF"/>
        </w:rPr>
        <w:t xml:space="preserve">es travaux préparatoires de la loi font </w:t>
      </w:r>
      <w:r w:rsidR="00106187" w:rsidRPr="00E72418">
        <w:rPr>
          <w:rFonts w:ascii="Times New Roman" w:hAnsi="Times New Roman"/>
          <w:shd w:val="clear" w:color="auto" w:fill="FFFFFF"/>
        </w:rPr>
        <w:t xml:space="preserve">d’ailleurs </w:t>
      </w:r>
      <w:r w:rsidR="00FB26D7" w:rsidRPr="00E72418">
        <w:rPr>
          <w:rFonts w:ascii="Times New Roman" w:hAnsi="Times New Roman"/>
          <w:shd w:val="clear" w:color="auto" w:fill="FFFFFF"/>
        </w:rPr>
        <w:t>explicitement référence aux « </w:t>
      </w:r>
      <w:r w:rsidR="00106187" w:rsidRPr="00E72418">
        <w:rPr>
          <w:rFonts w:ascii="Times New Roman" w:hAnsi="Times New Roman"/>
          <w:shd w:val="clear" w:color="auto" w:fill="FFFFFF"/>
        </w:rPr>
        <w:t>vulture funds</w:t>
      </w:r>
      <w:r w:rsidR="00FB26D7" w:rsidRPr="00E72418">
        <w:rPr>
          <w:rFonts w:ascii="Times New Roman" w:hAnsi="Times New Roman"/>
          <w:shd w:val="clear" w:color="auto" w:fill="FFFFFF"/>
        </w:rPr>
        <w:t> »</w:t>
      </w:r>
      <w:r w:rsidR="00FB26D7" w:rsidRPr="00E72418">
        <w:rPr>
          <w:rStyle w:val="Appelnotedebasdep"/>
          <w:rFonts w:ascii="Times New Roman" w:hAnsi="Times New Roman" w:cs="Times New Roman"/>
          <w:szCs w:val="24"/>
          <w:shd w:val="clear" w:color="auto" w:fill="FFFFFF"/>
        </w:rPr>
        <w:footnoteReference w:id="1542"/>
      </w:r>
      <w:r w:rsidR="00106187" w:rsidRPr="00E72418">
        <w:rPr>
          <w:rFonts w:ascii="Times New Roman" w:hAnsi="Times New Roman"/>
          <w:shd w:val="clear" w:color="auto" w:fill="FFFFFF"/>
        </w:rPr>
        <w:t xml:space="preserve">. </w:t>
      </w:r>
      <w:r w:rsidR="002533F1" w:rsidRPr="00E72418">
        <w:rPr>
          <w:rFonts w:ascii="Times New Roman" w:hAnsi="Times New Roman"/>
          <w:shd w:val="clear" w:color="auto" w:fill="FFFFFF"/>
        </w:rPr>
        <w:t>L’effet sur les fonds spéculatifs est parfois présenté comme une conséquence indirecte de la loi qui</w:t>
      </w:r>
      <w:r w:rsidR="003E0ACA" w:rsidRPr="00E72418">
        <w:rPr>
          <w:rFonts w:ascii="Times New Roman" w:hAnsi="Times New Roman"/>
          <w:shd w:val="clear" w:color="auto" w:fill="FFFFFF"/>
        </w:rPr>
        <w:t>,</w:t>
      </w:r>
      <w:r w:rsidR="002533F1" w:rsidRPr="00E72418">
        <w:rPr>
          <w:rFonts w:ascii="Times New Roman" w:hAnsi="Times New Roman"/>
          <w:shd w:val="clear" w:color="auto" w:fill="FFFFFF"/>
        </w:rPr>
        <w:t xml:space="preserve"> en s’attaquant au problème des Pays Pauvres Très Endettés</w:t>
      </w:r>
      <w:r w:rsidR="003E0ACA" w:rsidRPr="00E72418">
        <w:rPr>
          <w:rFonts w:ascii="Times New Roman" w:hAnsi="Times New Roman"/>
          <w:shd w:val="clear" w:color="auto" w:fill="FFFFFF"/>
        </w:rPr>
        <w:t>,</w:t>
      </w:r>
      <w:r w:rsidR="002533F1" w:rsidRPr="00E72418">
        <w:rPr>
          <w:rFonts w:ascii="Times New Roman" w:hAnsi="Times New Roman"/>
          <w:shd w:val="clear" w:color="auto" w:fill="FFFFFF"/>
        </w:rPr>
        <w:t xml:space="preserve"> a naturellement un impact sur les activités de ces fonds</w:t>
      </w:r>
      <w:r w:rsidR="002533F1" w:rsidRPr="00E72418">
        <w:rPr>
          <w:rStyle w:val="Appelnotedebasdep"/>
          <w:rFonts w:ascii="Times New Roman" w:hAnsi="Times New Roman" w:cs="Times New Roman"/>
          <w:szCs w:val="24"/>
          <w:shd w:val="clear" w:color="auto" w:fill="FFFFFF"/>
        </w:rPr>
        <w:footnoteReference w:id="1543"/>
      </w:r>
      <w:r w:rsidR="002533F1" w:rsidRPr="00E72418">
        <w:rPr>
          <w:rFonts w:ascii="Times New Roman" w:hAnsi="Times New Roman"/>
          <w:shd w:val="clear" w:color="auto" w:fill="FFFFFF"/>
        </w:rPr>
        <w:t xml:space="preserve">. La limitation posée par </w:t>
      </w:r>
      <w:r w:rsidR="00106187" w:rsidRPr="00E72418">
        <w:rPr>
          <w:rFonts w:ascii="Times New Roman" w:hAnsi="Times New Roman"/>
          <w:shd w:val="clear" w:color="auto" w:fill="FFFFFF"/>
        </w:rPr>
        <w:t xml:space="preserve">le </w:t>
      </w:r>
      <w:r w:rsidR="00106187" w:rsidRPr="00E72418">
        <w:rPr>
          <w:i/>
        </w:rPr>
        <w:t xml:space="preserve">Debt Relief (Developing Countries) Act 2010 </w:t>
      </w:r>
      <w:r w:rsidR="002533F1" w:rsidRPr="00E72418">
        <w:rPr>
          <w:rFonts w:ascii="Times New Roman" w:hAnsi="Times New Roman"/>
          <w:shd w:val="clear" w:color="auto" w:fill="FFFFFF"/>
        </w:rPr>
        <w:t xml:space="preserve">est </w:t>
      </w:r>
      <w:r w:rsidR="00106187" w:rsidRPr="00E72418">
        <w:rPr>
          <w:rFonts w:ascii="Times New Roman" w:hAnsi="Times New Roman"/>
          <w:shd w:val="clear" w:color="auto" w:fill="FFFFFF"/>
        </w:rPr>
        <w:t xml:space="preserve">en effet </w:t>
      </w:r>
      <w:r w:rsidR="002533F1" w:rsidRPr="00E72418">
        <w:rPr>
          <w:rFonts w:ascii="Times New Roman" w:hAnsi="Times New Roman"/>
          <w:shd w:val="clear" w:color="auto" w:fill="FFFFFF"/>
        </w:rPr>
        <w:t>de nature à décourager le comportement spéculatif de certains créanciers</w:t>
      </w:r>
      <w:r w:rsidR="002533F1" w:rsidRPr="00E72418">
        <w:rPr>
          <w:rStyle w:val="Appelnotedebasdep"/>
          <w:rFonts w:ascii="Times New Roman" w:hAnsi="Times New Roman"/>
          <w:shd w:val="clear" w:color="auto" w:fill="FFFFFF"/>
        </w:rPr>
        <w:footnoteReference w:id="1544"/>
      </w:r>
      <w:r w:rsidR="002533F1" w:rsidRPr="00E72418">
        <w:rPr>
          <w:rFonts w:ascii="Times New Roman" w:hAnsi="Times New Roman"/>
          <w:shd w:val="clear" w:color="auto" w:fill="FFFFFF"/>
        </w:rPr>
        <w:t>.</w:t>
      </w:r>
    </w:p>
    <w:p w14:paraId="7B73D225" w14:textId="58B61D91" w:rsidR="00A36096" w:rsidRPr="00E72418" w:rsidRDefault="004469AC" w:rsidP="00CC4BA8">
      <w:pPr>
        <w:spacing w:line="276" w:lineRule="auto"/>
        <w:rPr>
          <w:shd w:val="clear" w:color="auto" w:fill="FFFFFF"/>
        </w:rPr>
      </w:pPr>
      <w:r w:rsidRPr="00E72418">
        <w:rPr>
          <w:b/>
          <w:shd w:val="clear" w:color="auto" w:fill="FFFFFF"/>
        </w:rPr>
        <w:lastRenderedPageBreak/>
        <w:t>310</w:t>
      </w:r>
      <w:r w:rsidR="00817D62" w:rsidRPr="00E72418">
        <w:rPr>
          <w:b/>
          <w:shd w:val="clear" w:color="auto" w:fill="FFFFFF"/>
        </w:rPr>
        <w:t xml:space="preserve">. </w:t>
      </w:r>
      <w:r w:rsidR="00A36096" w:rsidRPr="00E72418">
        <w:rPr>
          <w:b/>
          <w:shd w:val="clear" w:color="auto" w:fill="FFFFFF"/>
        </w:rPr>
        <w:t xml:space="preserve">Une loi </w:t>
      </w:r>
      <w:r w:rsidR="00D052A1" w:rsidRPr="00E72418">
        <w:rPr>
          <w:b/>
          <w:shd w:val="clear" w:color="auto" w:fill="FFFFFF"/>
        </w:rPr>
        <w:t xml:space="preserve">mesurée </w:t>
      </w:r>
      <w:r w:rsidR="00A36096" w:rsidRPr="00E72418">
        <w:rPr>
          <w:b/>
          <w:shd w:val="clear" w:color="auto" w:fill="FFFFFF"/>
        </w:rPr>
        <w:t xml:space="preserve">– </w:t>
      </w:r>
      <w:r w:rsidR="00A36096" w:rsidRPr="00E72418">
        <w:rPr>
          <w:shd w:val="clear" w:color="auto" w:fill="FFFFFF"/>
        </w:rPr>
        <w:t xml:space="preserve">Soucieuse de ne pas avoir de fâcheuses conséquences sur les marchés financiers, la législation britannique, si elle est audacieuse, est également mesurée. Cette mesure se retrouve </w:t>
      </w:r>
      <w:r w:rsidR="00D052A1" w:rsidRPr="00E72418">
        <w:rPr>
          <w:shd w:val="clear" w:color="auto" w:fill="FFFFFF"/>
        </w:rPr>
        <w:t xml:space="preserve">singulièrement </w:t>
      </w:r>
      <w:r w:rsidR="00A36096" w:rsidRPr="00E72418">
        <w:rPr>
          <w:shd w:val="clear" w:color="auto" w:fill="FFFFFF"/>
        </w:rPr>
        <w:t xml:space="preserve">au niveau des dettes </w:t>
      </w:r>
      <w:r w:rsidR="00D052A1" w:rsidRPr="00E72418">
        <w:rPr>
          <w:shd w:val="clear" w:color="auto" w:fill="FFFFFF"/>
        </w:rPr>
        <w:t>qu’elle protège</w:t>
      </w:r>
      <w:r w:rsidR="008027C3" w:rsidRPr="00E72418">
        <w:rPr>
          <w:rStyle w:val="Appelnotedebasdep"/>
          <w:shd w:val="clear" w:color="auto" w:fill="FFFFFF"/>
        </w:rPr>
        <w:footnoteReference w:id="1545"/>
      </w:r>
      <w:r w:rsidR="00A36096" w:rsidRPr="00E72418">
        <w:rPr>
          <w:shd w:val="clear" w:color="auto" w:fill="FFFFFF"/>
        </w:rPr>
        <w:t>.</w:t>
      </w:r>
      <w:r w:rsidR="0009753F" w:rsidRPr="00E72418">
        <w:rPr>
          <w:shd w:val="clear" w:color="auto" w:fill="FFFFFF"/>
        </w:rPr>
        <w:t xml:space="preserve"> </w:t>
      </w:r>
      <w:r w:rsidR="00D052A1" w:rsidRPr="00E72418">
        <w:rPr>
          <w:shd w:val="clear" w:color="auto" w:fill="FFFFFF"/>
        </w:rPr>
        <w:t xml:space="preserve">Comme cela </w:t>
      </w:r>
      <w:r w:rsidR="00BE7C77" w:rsidRPr="00E72418">
        <w:rPr>
          <w:shd w:val="clear" w:color="auto" w:fill="FFFFFF"/>
        </w:rPr>
        <w:t>fut</w:t>
      </w:r>
      <w:r w:rsidR="00D052A1" w:rsidRPr="00E72418">
        <w:rPr>
          <w:shd w:val="clear" w:color="auto" w:fill="FFFFFF"/>
        </w:rPr>
        <w:t xml:space="preserve"> </w:t>
      </w:r>
      <w:r w:rsidR="00C06911" w:rsidRPr="00E72418">
        <w:rPr>
          <w:shd w:val="clear" w:color="auto" w:fill="FFFFFF"/>
        </w:rPr>
        <w:t>indiqué</w:t>
      </w:r>
      <w:r w:rsidR="00D052A1" w:rsidRPr="00E72418">
        <w:rPr>
          <w:shd w:val="clear" w:color="auto" w:fill="FFFFFF"/>
        </w:rPr>
        <w:t xml:space="preserve"> dans les notes explicatives au texte de la proposition de loi « </w:t>
      </w:r>
      <w:r w:rsidR="00D052A1" w:rsidRPr="00E72418">
        <w:t>the government considers that the policy advantages of the Bill outweigh any risk, which is assessed as small, that the Bill might have a negative effect on the availability of new lending to low income countries or to the position of the UK’s financial services and legal sectors, particularly as the Bill is a strictly limited measure designed to apply to historical debt »</w:t>
      </w:r>
      <w:r w:rsidR="00D052A1" w:rsidRPr="00E72418">
        <w:rPr>
          <w:rStyle w:val="Appelnotedebasdep"/>
        </w:rPr>
        <w:footnoteReference w:id="1546"/>
      </w:r>
      <w:r w:rsidR="00D052A1" w:rsidRPr="00E72418">
        <w:t>. Il fut à de nombreuses reprises insisté sur le fait que la législation en projet était limitée à un stock de dettes historiques précis et qu’il n’entrait auc</w:t>
      </w:r>
      <w:r w:rsidR="00FF5E08" w:rsidRPr="00E72418">
        <w:t>unement dans les intentions du G</w:t>
      </w:r>
      <w:r w:rsidR="00D052A1" w:rsidRPr="00E72418">
        <w:t>ouvernement britannique d’étendre ce stock, convaincu qu’une portée qui dépasserait les termes de l’Initiative Pays Pauvres Très Endettés serait injustifiée et préjudiciable</w:t>
      </w:r>
      <w:r w:rsidR="0009753F" w:rsidRPr="00E72418">
        <w:rPr>
          <w:rStyle w:val="Appelnotedebasdep"/>
          <w:szCs w:val="24"/>
          <w:shd w:val="clear" w:color="auto" w:fill="FFFFFF"/>
        </w:rPr>
        <w:footnoteReference w:id="1547"/>
      </w:r>
      <w:r w:rsidR="0009753F" w:rsidRPr="00E72418">
        <w:rPr>
          <w:shd w:val="clear" w:color="auto" w:fill="FFFFFF"/>
        </w:rPr>
        <w:t>.</w:t>
      </w:r>
    </w:p>
    <w:p w14:paraId="2551C829" w14:textId="36379165" w:rsidR="001A1903" w:rsidRPr="00E72418" w:rsidRDefault="00D052A1" w:rsidP="00CC4BA8">
      <w:pPr>
        <w:spacing w:line="276" w:lineRule="auto"/>
      </w:pPr>
      <w:r w:rsidRPr="00E72418">
        <w:t>L’argument de l’aléa moral</w:t>
      </w:r>
      <w:r w:rsidR="001A1903" w:rsidRPr="00E72418">
        <w:t xml:space="preserve"> </w:t>
      </w:r>
      <w:r w:rsidRPr="00E72418">
        <w:t>justifia</w:t>
      </w:r>
      <w:r w:rsidR="001A1903" w:rsidRPr="00E72418">
        <w:t xml:space="preserve"> également la précise circonscription des dettes protégées. Ainsi, co</w:t>
      </w:r>
      <w:r w:rsidR="00573708" w:rsidRPr="00E72418">
        <w:t>mme le notait Sally Keeble : « [t]</w:t>
      </w:r>
      <w:r w:rsidR="001A1903" w:rsidRPr="00E72418">
        <w:t>he moral hazard of letting people off their debts is why it is so important that the legislation is carefully defined with safeguards so that we cannot suddenly extend the list of countries and extend the debt to others »</w:t>
      </w:r>
      <w:r w:rsidR="001A1903" w:rsidRPr="00E72418">
        <w:rPr>
          <w:rStyle w:val="Appelnotedebasdep"/>
          <w:szCs w:val="24"/>
        </w:rPr>
        <w:footnoteReference w:id="1548"/>
      </w:r>
      <w:r w:rsidR="001A1903" w:rsidRPr="00E72418">
        <w:t>.</w:t>
      </w:r>
      <w:r w:rsidR="00E62DEA" w:rsidRPr="00E72418">
        <w:t xml:space="preserve"> </w:t>
      </w:r>
      <w:r w:rsidR="00C06911" w:rsidRPr="00E72418">
        <w:t>Cette considération</w:t>
      </w:r>
      <w:r w:rsidR="00E62DEA" w:rsidRPr="00E72418">
        <w:t xml:space="preserve"> s’explique d’autant plus que les allègements </w:t>
      </w:r>
      <w:r w:rsidR="00C06911" w:rsidRPr="00E72418">
        <w:t xml:space="preserve">de dettes </w:t>
      </w:r>
      <w:r w:rsidR="00E62DEA" w:rsidRPr="00E72418">
        <w:t>octroyés le sont</w:t>
      </w:r>
      <w:r w:rsidR="00B51C8C" w:rsidRPr="00E72418">
        <w:t xml:space="preserve"> généralement</w:t>
      </w:r>
      <w:r w:rsidR="00E62DEA" w:rsidRPr="00E72418">
        <w:t xml:space="preserve"> en </w:t>
      </w:r>
      <w:r w:rsidR="00033C23" w:rsidRPr="00E72418">
        <w:t>contrepartie</w:t>
      </w:r>
      <w:r w:rsidR="00D767F3" w:rsidRPr="00E72418">
        <w:t xml:space="preserve"> d’engagement</w:t>
      </w:r>
      <w:r w:rsidR="00FC4E03" w:rsidRPr="00E72418">
        <w:t>s</w:t>
      </w:r>
      <w:r w:rsidR="00D767F3" w:rsidRPr="00E72418">
        <w:t xml:space="preserve"> des </w:t>
      </w:r>
      <w:r w:rsidR="00D767F3" w:rsidRPr="00E72418">
        <w:rPr>
          <w:lang w:eastAsia="fr-BE"/>
        </w:rPr>
        <w:t>É</w:t>
      </w:r>
      <w:r w:rsidR="00E62DEA" w:rsidRPr="00E72418">
        <w:t>tats débiteurs dans des programmes de gestion de dettes en vue d’</w:t>
      </w:r>
      <w:r w:rsidRPr="00E72418">
        <w:t xml:space="preserve">éviter que les difficultés ne </w:t>
      </w:r>
      <w:r w:rsidR="00E62DEA" w:rsidRPr="00E72418">
        <w:t>surviennent</w:t>
      </w:r>
      <w:r w:rsidRPr="00E72418">
        <w:t xml:space="preserve"> à nouveau</w:t>
      </w:r>
      <w:r w:rsidR="00483E7E" w:rsidRPr="00E72418">
        <w:rPr>
          <w:rStyle w:val="Appelnotedebasdep"/>
          <w:szCs w:val="24"/>
        </w:rPr>
        <w:footnoteReference w:id="1549"/>
      </w:r>
      <w:r w:rsidR="00E62DEA" w:rsidRPr="00E72418">
        <w:t>.</w:t>
      </w:r>
    </w:p>
    <w:p w14:paraId="4D7883F7" w14:textId="77777777" w:rsidR="00E44479" w:rsidRPr="00E72418" w:rsidRDefault="00E44479" w:rsidP="00CC4BA8">
      <w:pPr>
        <w:spacing w:line="276" w:lineRule="auto"/>
      </w:pPr>
    </w:p>
    <w:p w14:paraId="236B87FA" w14:textId="43FB941C" w:rsidR="005A756F" w:rsidRPr="00E72418" w:rsidRDefault="004469AC" w:rsidP="00CC4BA8">
      <w:pPr>
        <w:spacing w:line="276" w:lineRule="auto"/>
        <w:rPr>
          <w:szCs w:val="24"/>
        </w:rPr>
      </w:pPr>
      <w:r w:rsidRPr="00E72418">
        <w:rPr>
          <w:b/>
        </w:rPr>
        <w:t>311</w:t>
      </w:r>
      <w:r w:rsidR="00817D62" w:rsidRPr="00E72418">
        <w:rPr>
          <w:b/>
        </w:rPr>
        <w:t xml:space="preserve">. </w:t>
      </w:r>
      <w:r w:rsidR="005A756F" w:rsidRPr="00E72418">
        <w:rPr>
          <w:b/>
        </w:rPr>
        <w:t>La duplication de la loi –</w:t>
      </w:r>
      <w:r w:rsidR="005A756F" w:rsidRPr="00E72418">
        <w:t xml:space="preserve"> En 2012 et 2013, des législations similaires au </w:t>
      </w:r>
      <w:r w:rsidR="005A756F" w:rsidRPr="00E72418">
        <w:rPr>
          <w:i/>
        </w:rPr>
        <w:t>Debt Relief (Developing Countries) Act</w:t>
      </w:r>
      <w:r w:rsidR="001F560D" w:rsidRPr="00E72418">
        <w:rPr>
          <w:i/>
        </w:rPr>
        <w:t xml:space="preserve"> 2010</w:t>
      </w:r>
      <w:r w:rsidR="005A756F" w:rsidRPr="00E72418">
        <w:t xml:space="preserve"> britannique furent adoptées dans </w:t>
      </w:r>
      <w:r w:rsidR="00C06911" w:rsidRPr="00E72418">
        <w:t>les trois Dépendances de la C</w:t>
      </w:r>
      <w:r w:rsidR="009F6532" w:rsidRPr="00E72418">
        <w:t>ouronne que sont le Bailliage de Guernesey,</w:t>
      </w:r>
      <w:r w:rsidR="00BE1CC3" w:rsidRPr="00E72418">
        <w:t xml:space="preserve"> le Bailliage de Jersey et l’</w:t>
      </w:r>
      <w:r w:rsidR="00BE1CC3" w:rsidRPr="00E72418">
        <w:rPr>
          <w:caps/>
          <w:lang w:val="en-US"/>
        </w:rPr>
        <w:t>î</w:t>
      </w:r>
      <w:r w:rsidR="00BE1CC3" w:rsidRPr="00E72418">
        <w:rPr>
          <w:lang w:val="en-US"/>
        </w:rPr>
        <w:t>le</w:t>
      </w:r>
      <w:r w:rsidR="009F6532" w:rsidRPr="00E72418">
        <w:t xml:space="preserve"> de Man</w:t>
      </w:r>
      <w:r w:rsidR="009F6532" w:rsidRPr="00E72418">
        <w:rPr>
          <w:rStyle w:val="Appelnotedebasdep"/>
        </w:rPr>
        <w:footnoteReference w:id="1550"/>
      </w:r>
      <w:r w:rsidR="007C133C" w:rsidRPr="00E72418">
        <w:rPr>
          <w:vertAlign w:val="superscript"/>
        </w:rPr>
        <w:t>,</w:t>
      </w:r>
      <w:r w:rsidR="00D33D96" w:rsidRPr="00E72418">
        <w:rPr>
          <w:rStyle w:val="Appelnotedebasdep"/>
        </w:rPr>
        <w:footnoteReference w:id="1551"/>
      </w:r>
      <w:r w:rsidR="005A756F" w:rsidRPr="00E72418">
        <w:t xml:space="preserve">. </w:t>
      </w:r>
      <w:r w:rsidR="005A756F" w:rsidRPr="00E72418">
        <w:lastRenderedPageBreak/>
        <w:t>Ai</w:t>
      </w:r>
      <w:r w:rsidR="00BE1CC3" w:rsidRPr="00E72418">
        <w:t>nsi, l’</w:t>
      </w:r>
      <w:r w:rsidR="00BE1CC3" w:rsidRPr="00E72418">
        <w:rPr>
          <w:caps/>
          <w:lang w:val="en-US"/>
        </w:rPr>
        <w:t>î</w:t>
      </w:r>
      <w:r w:rsidR="00BE1CC3" w:rsidRPr="00E72418">
        <w:rPr>
          <w:lang w:val="en-US"/>
        </w:rPr>
        <w:t>le</w:t>
      </w:r>
      <w:r w:rsidR="005A756F" w:rsidRPr="00E72418">
        <w:t xml:space="preserve"> de Man eut son </w:t>
      </w:r>
      <w:r w:rsidR="005A756F" w:rsidRPr="00E72418">
        <w:rPr>
          <w:i/>
        </w:rPr>
        <w:t>Heavily Indebted Poor Countries (Limitation on Debt Recovery) (Isle of Man) Act 2012</w:t>
      </w:r>
      <w:r w:rsidR="005A756F" w:rsidRPr="00E72418">
        <w:t xml:space="preserve">. Jersey eut son </w:t>
      </w:r>
      <w:r w:rsidR="005A756F" w:rsidRPr="00E72418">
        <w:rPr>
          <w:i/>
        </w:rPr>
        <w:t>Debt Relief (Dev</w:t>
      </w:r>
      <w:r w:rsidR="007511DA" w:rsidRPr="00E72418">
        <w:rPr>
          <w:i/>
        </w:rPr>
        <w:t>eloping Countries) (Jersey) Law</w:t>
      </w:r>
      <w:r w:rsidR="005A756F" w:rsidRPr="00E72418">
        <w:rPr>
          <w:i/>
        </w:rPr>
        <w:t xml:space="preserve"> 2013</w:t>
      </w:r>
      <w:r w:rsidR="005A756F" w:rsidRPr="00E72418">
        <w:t xml:space="preserve">. Guernsey et Alderney eurent leur </w:t>
      </w:r>
      <w:r w:rsidR="005A756F" w:rsidRPr="00E72418">
        <w:rPr>
          <w:i/>
        </w:rPr>
        <w:t>Debt Relief (Developing Countr</w:t>
      </w:r>
      <w:r w:rsidR="007511DA" w:rsidRPr="00E72418">
        <w:rPr>
          <w:i/>
        </w:rPr>
        <w:t>ies) (Guernsey and Alderney) Law</w:t>
      </w:r>
      <w:r w:rsidR="005A756F" w:rsidRPr="00E72418">
        <w:rPr>
          <w:i/>
        </w:rPr>
        <w:t xml:space="preserve"> 2013</w:t>
      </w:r>
      <w:r w:rsidR="005A756F" w:rsidRPr="00E72418">
        <w:t>.</w:t>
      </w:r>
      <w:r w:rsidR="009F6532" w:rsidRPr="00E72418">
        <w:rPr>
          <w:szCs w:val="24"/>
        </w:rPr>
        <w:t xml:space="preserve"> </w:t>
      </w:r>
    </w:p>
    <w:p w14:paraId="6F4C5537" w14:textId="77777777" w:rsidR="00E677EE" w:rsidRPr="00E72418" w:rsidRDefault="00E677EE" w:rsidP="00CC4BA8">
      <w:pPr>
        <w:spacing w:line="276" w:lineRule="auto"/>
      </w:pPr>
    </w:p>
    <w:p w14:paraId="5E6DFF30" w14:textId="17A69114" w:rsidR="005F6F52" w:rsidRPr="00E72418" w:rsidRDefault="002F7FBF" w:rsidP="00CC4BA8">
      <w:pPr>
        <w:pStyle w:val="DD"/>
        <w:spacing w:line="276" w:lineRule="auto"/>
      </w:pPr>
      <w:bookmarkStart w:id="366" w:name="_Toc37777387"/>
      <w:bookmarkStart w:id="367" w:name="_Toc59280988"/>
      <w:bookmarkStart w:id="368" w:name="_Toc84540979"/>
      <w:r w:rsidRPr="00E72418">
        <w:t xml:space="preserve">Section 3 : </w:t>
      </w:r>
      <w:r w:rsidR="005F6F52" w:rsidRPr="00E72418">
        <w:t>Le mécanisme</w:t>
      </w:r>
      <w:bookmarkEnd w:id="366"/>
      <w:bookmarkEnd w:id="367"/>
      <w:bookmarkEnd w:id="368"/>
    </w:p>
    <w:p w14:paraId="21D6A9C3" w14:textId="77777777" w:rsidR="004007D2" w:rsidRPr="00E72418" w:rsidRDefault="004007D2" w:rsidP="004007D2"/>
    <w:p w14:paraId="06EF1C78" w14:textId="03B34C97" w:rsidR="00033C23" w:rsidRPr="00E72418" w:rsidRDefault="004469AC" w:rsidP="00CC4BA8">
      <w:pPr>
        <w:spacing w:line="276" w:lineRule="auto"/>
      </w:pPr>
      <w:r w:rsidRPr="00E72418">
        <w:rPr>
          <w:b/>
        </w:rPr>
        <w:t>312</w:t>
      </w:r>
      <w:r w:rsidR="00817D62" w:rsidRPr="00E72418">
        <w:rPr>
          <w:b/>
        </w:rPr>
        <w:t xml:space="preserve">. </w:t>
      </w:r>
      <w:r w:rsidR="00821898" w:rsidRPr="00E72418">
        <w:rPr>
          <w:b/>
        </w:rPr>
        <w:t>La limitation –</w:t>
      </w:r>
      <w:r w:rsidR="005F6F52" w:rsidRPr="00E72418">
        <w:t xml:space="preserve"> Le </w:t>
      </w:r>
      <w:r w:rsidR="005F6F52" w:rsidRPr="00E72418">
        <w:rPr>
          <w:i/>
        </w:rPr>
        <w:t>Debt Relief (Developing Countries) Act</w:t>
      </w:r>
      <w:r w:rsidR="00206531" w:rsidRPr="00E72418">
        <w:rPr>
          <w:i/>
        </w:rPr>
        <w:t xml:space="preserve"> 2010</w:t>
      </w:r>
      <w:r w:rsidR="005F6F52" w:rsidRPr="00E72418">
        <w:t xml:space="preserve"> limite le montant que les créancie</w:t>
      </w:r>
      <w:r w:rsidR="00001D31" w:rsidRPr="00E72418">
        <w:t>rs peuvent recouvrer de certaines dettes de</w:t>
      </w:r>
      <w:r w:rsidR="005F6F52" w:rsidRPr="00E72418">
        <w:t xml:space="preserve"> Pays Pauvres Très Endettés au sens de l’Initiative </w:t>
      </w:r>
      <w:r w:rsidR="00DB631A" w:rsidRPr="00E72418">
        <w:t>de la Banque m</w:t>
      </w:r>
      <w:r w:rsidR="005F6F52" w:rsidRPr="00E72418">
        <w:t>ondiale</w:t>
      </w:r>
      <w:r w:rsidR="00206531" w:rsidRPr="00E72418">
        <w:t xml:space="preserve"> et du Fonds monétaire international</w:t>
      </w:r>
      <w:r w:rsidR="00C374C7" w:rsidRPr="00E72418">
        <w:rPr>
          <w:rStyle w:val="Appelnotedebasdep"/>
        </w:rPr>
        <w:footnoteReference w:id="1552"/>
      </w:r>
      <w:r w:rsidR="005F6F52" w:rsidRPr="00E72418">
        <w:t xml:space="preserve">. </w:t>
      </w:r>
      <w:r w:rsidR="00033C23" w:rsidRPr="00E72418">
        <w:t>Ainsi</w:t>
      </w:r>
      <w:r w:rsidR="005F6F52" w:rsidRPr="00E72418">
        <w:t xml:space="preserve">, la législation empêche les créanciers d’obtenir plus </w:t>
      </w:r>
      <w:r w:rsidR="00372BCA" w:rsidRPr="00E72418">
        <w:t xml:space="preserve">que ce qu’ils auraient pu recevoir en application de </w:t>
      </w:r>
      <w:r w:rsidR="005F6F52" w:rsidRPr="00E72418">
        <w:t>l’Initiative.</w:t>
      </w:r>
      <w:r w:rsidR="00D0597B" w:rsidRPr="00E72418">
        <w:t xml:space="preserve"> </w:t>
      </w:r>
      <w:r w:rsidR="00033C23" w:rsidRPr="00E72418">
        <w:t xml:space="preserve">L’avantage de cette approche </w:t>
      </w:r>
      <w:r w:rsidR="00206531" w:rsidRPr="00E72418">
        <w:t xml:space="preserve">retenue par le législateur britannique </w:t>
      </w:r>
      <w:r w:rsidR="00033C23" w:rsidRPr="00E72418">
        <w:t xml:space="preserve">réside dans l’utilisation qui est faite d’un cadre objectif et largement reconnu visant </w:t>
      </w:r>
      <w:r w:rsidR="004A2729" w:rsidRPr="00E72418">
        <w:t>le</w:t>
      </w:r>
      <w:r w:rsidR="00033C23" w:rsidRPr="00E72418">
        <w:t xml:space="preserve"> retour à la viabilité des dettes </w:t>
      </w:r>
      <w:r w:rsidR="00206531" w:rsidRPr="00E72418">
        <w:t>souveraines</w:t>
      </w:r>
      <w:r w:rsidR="00033C23" w:rsidRPr="00E72418">
        <w:t>, ce cadre permettant la clarté quant au sort réservé aux créanciers qui seront traités équitablement</w:t>
      </w:r>
      <w:r w:rsidR="00033C23" w:rsidRPr="00E72418">
        <w:rPr>
          <w:rStyle w:val="Appelnotedebasdep"/>
          <w:rFonts w:ascii="Times New Roman" w:hAnsi="Times New Roman" w:cs="Times New Roman"/>
          <w:szCs w:val="24"/>
        </w:rPr>
        <w:footnoteReference w:id="1553"/>
      </w:r>
      <w:r w:rsidR="00033C23" w:rsidRPr="00E72418">
        <w:t xml:space="preserve">. </w:t>
      </w:r>
    </w:p>
    <w:p w14:paraId="1E23C8F0" w14:textId="0380CE95" w:rsidR="002D39F3" w:rsidRPr="00E72418" w:rsidRDefault="00F522EE" w:rsidP="00CC4BA8">
      <w:pPr>
        <w:spacing w:line="276" w:lineRule="auto"/>
      </w:pPr>
      <w:r w:rsidRPr="00E72418">
        <w:t>L</w:t>
      </w:r>
      <w:r w:rsidR="005F6F52" w:rsidRPr="00E72418">
        <w:t>’article 3</w:t>
      </w:r>
      <w:r w:rsidR="00206531" w:rsidRPr="00E72418">
        <w:t xml:space="preserve"> du</w:t>
      </w:r>
      <w:r w:rsidR="005F6F52" w:rsidRPr="00E72418">
        <w:t xml:space="preserve"> </w:t>
      </w:r>
      <w:r w:rsidR="00206531" w:rsidRPr="00E72418">
        <w:rPr>
          <w:i/>
        </w:rPr>
        <w:t xml:space="preserve">Debt Relief (Developing Countries) Act </w:t>
      </w:r>
      <w:r w:rsidRPr="00E72418">
        <w:t>pose</w:t>
      </w:r>
      <w:r w:rsidR="009806FB" w:rsidRPr="00E72418">
        <w:t xml:space="preserve"> le </w:t>
      </w:r>
      <w:r w:rsidRPr="00E72418">
        <w:t>principe selon lequel</w:t>
      </w:r>
      <w:r w:rsidR="005F6F52" w:rsidRPr="00E72418">
        <w:t xml:space="preserve"> « [t]he amount recoverable in respect of (a) a qualifying debt, or (b) any cause of action relating to a qualifying debt, is the relevant proportion of the amount that would otherwise be recoverable in respect of the qualifying debt or cause of action »</w:t>
      </w:r>
      <w:r w:rsidR="00821898" w:rsidRPr="00E72418">
        <w:rPr>
          <w:rStyle w:val="Appelnotedebasdep"/>
        </w:rPr>
        <w:footnoteReference w:id="1554"/>
      </w:r>
      <w:r w:rsidR="005F6F52" w:rsidRPr="00E72418">
        <w:t>.</w:t>
      </w:r>
      <w:r w:rsidRPr="00E72418">
        <w:t xml:space="preserve"> </w:t>
      </w:r>
      <w:r w:rsidR="002D39F3" w:rsidRPr="00E72418">
        <w:t>L’article 4 fait</w:t>
      </w:r>
      <w:r w:rsidRPr="00E72418">
        <w:t xml:space="preserve"> quant à lui </w:t>
      </w:r>
      <w:r w:rsidR="002D39F3" w:rsidRPr="00E72418">
        <w:t>le lien avec l’Initiative</w:t>
      </w:r>
      <w:r w:rsidRPr="00E72418">
        <w:t xml:space="preserve"> en précisant que </w:t>
      </w:r>
      <w:r w:rsidR="00D51723" w:rsidRPr="00E72418">
        <w:t>cette</w:t>
      </w:r>
      <w:r w:rsidRPr="00E72418">
        <w:t xml:space="preserve"> « relevant proportion »</w:t>
      </w:r>
      <w:r w:rsidR="002D39F3" w:rsidRPr="00E72418">
        <w:t xml:space="preserve"> équivaut </w:t>
      </w:r>
      <w:r w:rsidR="00D51723" w:rsidRPr="00E72418">
        <w:t>au quotient de</w:t>
      </w:r>
      <w:r w:rsidR="00E77882" w:rsidRPr="00E72418">
        <w:t xml:space="preserve"> la division</w:t>
      </w:r>
      <w:r w:rsidR="002D39F3" w:rsidRPr="00E72418">
        <w:t xml:space="preserve"> du montant tel qu</w:t>
      </w:r>
      <w:r w:rsidR="00E77882" w:rsidRPr="00E72418">
        <w:t>’il serait</w:t>
      </w:r>
      <w:r w:rsidR="002D39F3" w:rsidRPr="00E72418">
        <w:t xml:space="preserve"> réduit en application de l’Initiative par le montant de la dette non </w:t>
      </w:r>
      <w:r w:rsidR="002D39F3" w:rsidRPr="00E72418">
        <w:lastRenderedPageBreak/>
        <w:t>réduite</w:t>
      </w:r>
      <w:r w:rsidR="00CF54F5" w:rsidRPr="00E72418">
        <w:rPr>
          <w:rStyle w:val="Appelnotedebasdep"/>
          <w:rFonts w:cs="Times New Roman"/>
          <w:szCs w:val="24"/>
        </w:rPr>
        <w:footnoteReference w:id="1555"/>
      </w:r>
      <w:r w:rsidR="00AA6908" w:rsidRPr="00E72418">
        <w:rPr>
          <w:vertAlign w:val="superscript"/>
        </w:rPr>
        <w:t>,</w:t>
      </w:r>
      <w:r w:rsidR="00184A16" w:rsidRPr="00E72418">
        <w:rPr>
          <w:rStyle w:val="Appelnotedebasdep"/>
          <w:rFonts w:cs="Times New Roman"/>
          <w:szCs w:val="24"/>
        </w:rPr>
        <w:footnoteReference w:id="1556"/>
      </w:r>
      <w:r w:rsidR="002D39F3" w:rsidRPr="00E72418">
        <w:t>.</w:t>
      </w:r>
      <w:r w:rsidRPr="00E72418">
        <w:t xml:space="preserve"> </w:t>
      </w:r>
      <w:r w:rsidR="002D39F3" w:rsidRPr="00E72418">
        <w:t xml:space="preserve">Dans la situation où </w:t>
      </w:r>
      <w:r w:rsidR="00D51723" w:rsidRPr="00E72418">
        <w:t>il est question des</w:t>
      </w:r>
      <w:r w:rsidR="00D767F3" w:rsidRPr="00E72418">
        <w:t xml:space="preserve"> dettes d’</w:t>
      </w:r>
      <w:r w:rsidR="00D767F3" w:rsidRPr="00E72418">
        <w:rPr>
          <w:lang w:eastAsia="fr-BE"/>
        </w:rPr>
        <w:t>É</w:t>
      </w:r>
      <w:r w:rsidR="002D39F3" w:rsidRPr="00E72418">
        <w:t>tats potentiellement éligibles à l’Initiative, cette proportio</w:t>
      </w:r>
      <w:r w:rsidR="00D51723" w:rsidRPr="00E72418">
        <w:t xml:space="preserve">n est de </w:t>
      </w:r>
      <w:r w:rsidR="00206531" w:rsidRPr="00E72418">
        <w:t>trente-trois</w:t>
      </w:r>
      <w:r w:rsidR="00D51723" w:rsidRPr="00E72418">
        <w:t xml:space="preserve"> pour</w:t>
      </w:r>
      <w:r w:rsidR="007C22BA" w:rsidRPr="00E72418">
        <w:t xml:space="preserve"> cent</w:t>
      </w:r>
      <w:r w:rsidR="00D51723" w:rsidRPr="00E72418">
        <w:t xml:space="preserve"> étant donné que </w:t>
      </w:r>
      <w:r w:rsidR="002D39F3" w:rsidRPr="00E72418">
        <w:t xml:space="preserve">dans ce cas, seul le seuil de réduction classique </w:t>
      </w:r>
      <w:r w:rsidR="00D51723" w:rsidRPr="00E72418">
        <w:t xml:space="preserve">de </w:t>
      </w:r>
      <w:r w:rsidR="00206531" w:rsidRPr="00E72418">
        <w:t>soixante-sept</w:t>
      </w:r>
      <w:r w:rsidR="00D51723" w:rsidRPr="00E72418">
        <w:t xml:space="preserve"> pour</w:t>
      </w:r>
      <w:r w:rsidR="007C22BA" w:rsidRPr="00E72418">
        <w:t xml:space="preserve"> cent</w:t>
      </w:r>
      <w:r w:rsidR="00D51723" w:rsidRPr="00E72418">
        <w:t xml:space="preserve"> </w:t>
      </w:r>
      <w:r w:rsidR="002D39F3" w:rsidRPr="00E72418">
        <w:t>est appliqué</w:t>
      </w:r>
      <w:r w:rsidR="001D3B17" w:rsidRPr="00E72418">
        <w:rPr>
          <w:rStyle w:val="Appelnotedebasdep"/>
          <w:rFonts w:cs="Times New Roman"/>
          <w:szCs w:val="24"/>
        </w:rPr>
        <w:footnoteReference w:id="1557"/>
      </w:r>
      <w:r w:rsidR="001E4C29" w:rsidRPr="00E72418">
        <w:t xml:space="preserve">. </w:t>
      </w:r>
    </w:p>
    <w:p w14:paraId="5DE07282" w14:textId="50B6EADE" w:rsidR="00595E13" w:rsidRPr="00E72418" w:rsidRDefault="00033C23" w:rsidP="00CC4BA8">
      <w:pPr>
        <w:spacing w:line="276" w:lineRule="auto"/>
      </w:pPr>
      <w:r w:rsidRPr="00E72418">
        <w:t>La limitation s’impose aux juridictions britanniques saisies d’une demand</w:t>
      </w:r>
      <w:r w:rsidR="00206531" w:rsidRPr="00E72418">
        <w:t>e sans que ne leur soit octroyé</w:t>
      </w:r>
      <w:r w:rsidRPr="00E72418">
        <w:t xml:space="preserve"> un quelconque pouvoir d’appréciation</w:t>
      </w:r>
      <w:r w:rsidR="00FF5E08" w:rsidRPr="00E72418">
        <w:t>. Le G</w:t>
      </w:r>
      <w:r w:rsidR="00D51723" w:rsidRPr="00E72418">
        <w:t>ouvernement britannique avait po</w:t>
      </w:r>
      <w:r w:rsidR="005E6891" w:rsidRPr="00E72418">
        <w:t xml:space="preserve">urtant un temps suggéré qu’elles </w:t>
      </w:r>
      <w:r w:rsidR="00D51723" w:rsidRPr="00E72418">
        <w:t xml:space="preserve">disposent d’un </w:t>
      </w:r>
      <w:r w:rsidR="005E6891" w:rsidRPr="00E72418">
        <w:t>tel pouvoir</w:t>
      </w:r>
      <w:r w:rsidR="00D51723" w:rsidRPr="00E72418">
        <w:t xml:space="preserve"> quant au montant de la condamnation à octroyer lorsqu’elles l’auraient</w:t>
      </w:r>
      <w:r w:rsidR="00B66150" w:rsidRPr="00E72418">
        <w:t xml:space="preserve"> jugé juste et équitable </w:t>
      </w:r>
      <w:r w:rsidR="00D51723" w:rsidRPr="00E72418">
        <w:t>afin de minimiser les risques d’atteinte au bon fonctionnement des marchés financier</w:t>
      </w:r>
      <w:r w:rsidR="00FF5E08" w:rsidRPr="00E72418">
        <w:t>s. Ainsi, comme le relevait le G</w:t>
      </w:r>
      <w:r w:rsidR="00D51723" w:rsidRPr="00E72418">
        <w:t>ouvernement, « [t]his discretion would ensure that the court is always in a position to strike a fair balance between property rights and the wider public interest »</w:t>
      </w:r>
      <w:r w:rsidRPr="00E72418">
        <w:rPr>
          <w:rStyle w:val="Appelnotedebasdep"/>
          <w:rFonts w:cs="Times New Roman"/>
          <w:szCs w:val="24"/>
        </w:rPr>
        <w:footnoteReference w:id="1558"/>
      </w:r>
      <w:r w:rsidRPr="00E72418">
        <w:t>.</w:t>
      </w:r>
      <w:r w:rsidR="00694BFA" w:rsidRPr="00E72418">
        <w:t xml:space="preserve"> Par la suite,</w:t>
      </w:r>
      <w:r w:rsidR="005E6891" w:rsidRPr="00E72418">
        <w:t xml:space="preserve"> toutefois,</w:t>
      </w:r>
      <w:r w:rsidR="00FF5E08" w:rsidRPr="00E72418">
        <w:t xml:space="preserve"> le G</w:t>
      </w:r>
      <w:r w:rsidR="00694BFA" w:rsidRPr="00E72418">
        <w:t xml:space="preserve">ouvernement </w:t>
      </w:r>
      <w:r w:rsidR="00FF5E08" w:rsidRPr="00E72418">
        <w:t>britannique fit</w:t>
      </w:r>
      <w:r w:rsidR="00694BFA" w:rsidRPr="00E72418">
        <w:t xml:space="preserve"> marche arrière notant le risque de l’atteinte portée à la sécurité juridique et les conséquences négati</w:t>
      </w:r>
      <w:r w:rsidR="00ED6880" w:rsidRPr="00E72418">
        <w:t>ves allant possiblement de pair</w:t>
      </w:r>
      <w:r w:rsidR="00694BFA" w:rsidRPr="00E72418">
        <w:rPr>
          <w:rStyle w:val="Appelnotedebasdep"/>
        </w:rPr>
        <w:footnoteReference w:id="1559"/>
      </w:r>
      <w:r w:rsidR="00694BFA" w:rsidRPr="00E72418">
        <w:t>.</w:t>
      </w:r>
    </w:p>
    <w:p w14:paraId="0695BE78" w14:textId="77777777" w:rsidR="009806FB" w:rsidRPr="00E72418" w:rsidRDefault="009806FB" w:rsidP="00CC4BA8">
      <w:pPr>
        <w:spacing w:line="276" w:lineRule="auto"/>
      </w:pPr>
    </w:p>
    <w:p w14:paraId="39B8C1E2" w14:textId="59D19BC1" w:rsidR="00C14F6D" w:rsidRPr="00E72418" w:rsidRDefault="007F038F" w:rsidP="00CC4BA8">
      <w:pPr>
        <w:spacing w:line="276" w:lineRule="auto"/>
      </w:pPr>
      <w:r w:rsidRPr="00E72418">
        <w:rPr>
          <w:b/>
        </w:rPr>
        <w:t>31</w:t>
      </w:r>
      <w:r w:rsidR="004469AC" w:rsidRPr="00E72418">
        <w:rPr>
          <w:b/>
        </w:rPr>
        <w:t>3</w:t>
      </w:r>
      <w:r w:rsidR="00817D62" w:rsidRPr="00E72418">
        <w:rPr>
          <w:b/>
        </w:rPr>
        <w:t xml:space="preserve">. </w:t>
      </w:r>
      <w:r w:rsidR="00821898" w:rsidRPr="00E72418">
        <w:rPr>
          <w:b/>
        </w:rPr>
        <w:t xml:space="preserve">La </w:t>
      </w:r>
      <w:r w:rsidR="00721496" w:rsidRPr="00E72418">
        <w:rPr>
          <w:b/>
        </w:rPr>
        <w:t>condamnation et l’exécution –</w:t>
      </w:r>
      <w:r w:rsidR="00721496" w:rsidRPr="00E72418">
        <w:t xml:space="preserve"> </w:t>
      </w:r>
      <w:r w:rsidR="00C14F6D" w:rsidRPr="00E72418">
        <w:t>Si l</w:t>
      </w:r>
      <w:r w:rsidR="00721496" w:rsidRPr="00E72418">
        <w:t>a</w:t>
      </w:r>
      <w:r w:rsidR="00821898" w:rsidRPr="00E72418">
        <w:t xml:space="preserve"> limitation mise en place par </w:t>
      </w:r>
      <w:r w:rsidR="005E6891" w:rsidRPr="00E72418">
        <w:t xml:space="preserve">le </w:t>
      </w:r>
      <w:r w:rsidR="005E6891" w:rsidRPr="00E72418">
        <w:rPr>
          <w:i/>
        </w:rPr>
        <w:t>Debt Relief (Developing Countries) Act</w:t>
      </w:r>
      <w:r w:rsidR="00721496" w:rsidRPr="00E72418">
        <w:t xml:space="preserve"> </w:t>
      </w:r>
      <w:r w:rsidR="00821898" w:rsidRPr="00E72418">
        <w:t>est d’application lorsque l</w:t>
      </w:r>
      <w:r w:rsidR="00721496" w:rsidRPr="00E72418">
        <w:t xml:space="preserve">e créancier </w:t>
      </w:r>
      <w:r w:rsidR="00821898" w:rsidRPr="00E72418">
        <w:t xml:space="preserve">recherche la </w:t>
      </w:r>
      <w:r w:rsidR="00721496" w:rsidRPr="00E72418">
        <w:t>condamnation</w:t>
      </w:r>
      <w:r w:rsidR="00D767F3" w:rsidRPr="00E72418">
        <w:t xml:space="preserve"> de l’</w:t>
      </w:r>
      <w:r w:rsidR="00D767F3" w:rsidRPr="00E72418">
        <w:rPr>
          <w:lang w:eastAsia="fr-BE"/>
        </w:rPr>
        <w:t>É</w:t>
      </w:r>
      <w:r w:rsidR="00821898" w:rsidRPr="00E72418">
        <w:t>tat débiteur protégé</w:t>
      </w:r>
      <w:r w:rsidR="00C14F6D" w:rsidRPr="00E72418">
        <w:t xml:space="preserve">, elle l’est également </w:t>
      </w:r>
      <w:r w:rsidR="00821898" w:rsidRPr="00E72418">
        <w:t>lorsqu’il poursuit l’</w:t>
      </w:r>
      <w:r w:rsidR="00721496" w:rsidRPr="00E72418">
        <w:t>exécution</w:t>
      </w:r>
      <w:r w:rsidR="00821898" w:rsidRPr="00E72418">
        <w:t xml:space="preserve"> d’une</w:t>
      </w:r>
      <w:r w:rsidR="00721496" w:rsidRPr="00E72418">
        <w:t xml:space="preserve"> condamnation déjà obtenue.</w:t>
      </w:r>
      <w:r w:rsidR="00C14F6D" w:rsidRPr="00E72418">
        <w:t xml:space="preserve"> </w:t>
      </w:r>
      <w:r w:rsidR="005E6891" w:rsidRPr="00E72418">
        <w:t>Ainsi, a</w:t>
      </w:r>
      <w:r w:rsidR="00C14F6D" w:rsidRPr="00E72418">
        <w:t xml:space="preserve">lors que l’article 3 de la loi </w:t>
      </w:r>
      <w:r w:rsidR="00721496" w:rsidRPr="00E72418">
        <w:t xml:space="preserve">traite précisément de la </w:t>
      </w:r>
      <w:r w:rsidR="00721496" w:rsidRPr="00E72418">
        <w:lastRenderedPageBreak/>
        <w:t>limitation des condamnations pouvant être obtenues devan</w:t>
      </w:r>
      <w:r w:rsidR="00C14F6D" w:rsidRPr="00E72418">
        <w:t>t les juridictions britanniques, l</w:t>
      </w:r>
      <w:r w:rsidR="00721496" w:rsidRPr="00E72418">
        <w:t xml:space="preserve">’article 5(3) précise que « [t]he amount of the judgment or award is to be treated as equal to the amount it would be if the court, tribunal or arbitrator had applied section 3 in relation to the relevant claim ». </w:t>
      </w:r>
    </w:p>
    <w:p w14:paraId="7FF2CF18" w14:textId="0CF6E8E7" w:rsidR="00721496" w:rsidRPr="00E72418" w:rsidRDefault="00C14F6D" w:rsidP="00CC4BA8">
      <w:pPr>
        <w:spacing w:line="276" w:lineRule="auto"/>
      </w:pPr>
      <w:r w:rsidRPr="00E72418">
        <w:t xml:space="preserve">La </w:t>
      </w:r>
      <w:r w:rsidR="00721496" w:rsidRPr="00E72418">
        <w:t xml:space="preserve">limitation </w:t>
      </w:r>
      <w:r w:rsidRPr="00E72418">
        <w:t xml:space="preserve">retenue par la loi </w:t>
      </w:r>
      <w:r w:rsidR="00721496" w:rsidRPr="00E72418">
        <w:t>s’applique aux décisions déjà</w:t>
      </w:r>
      <w:r w:rsidR="00B66150" w:rsidRPr="00E72418">
        <w:t xml:space="preserve"> rendues</w:t>
      </w:r>
      <w:r w:rsidR="00721496" w:rsidRPr="00E72418">
        <w:t xml:space="preserve"> pour autant que le montant de la condamnation</w:t>
      </w:r>
      <w:r w:rsidRPr="00E72418">
        <w:t xml:space="preserve"> ne s’en trouve pas augmenté</w:t>
      </w:r>
      <w:r w:rsidR="00721496" w:rsidRPr="00E72418">
        <w:rPr>
          <w:rStyle w:val="Appelnotedebasdep"/>
          <w:rFonts w:cs="Times New Roman"/>
        </w:rPr>
        <w:footnoteReference w:id="1560"/>
      </w:r>
      <w:r w:rsidR="00721496" w:rsidRPr="00E72418">
        <w:t xml:space="preserve">. </w:t>
      </w:r>
      <w:r w:rsidR="00A2719F" w:rsidRPr="00E72418">
        <w:t>L</w:t>
      </w:r>
      <w:r w:rsidRPr="00E72418">
        <w:t xml:space="preserve">es décisions de condamnation </w:t>
      </w:r>
      <w:r w:rsidRPr="00E72418">
        <w:rPr>
          <w:rFonts w:ascii="Times New Roman" w:hAnsi="Times New Roman"/>
        </w:rPr>
        <w:t>ne pourront ainsi recevoir exécution qu’à hauteur de la limitation à laquelle conduit l’application de la loi</w:t>
      </w:r>
      <w:r w:rsidRPr="00E72418">
        <w:rPr>
          <w:rStyle w:val="Appelnotedebasdep"/>
          <w:rFonts w:ascii="Times New Roman" w:hAnsi="Times New Roman" w:cs="Times New Roman"/>
          <w:szCs w:val="24"/>
        </w:rPr>
        <w:footnoteReference w:id="1561"/>
      </w:r>
      <w:r w:rsidRPr="00E72418">
        <w:t>.</w:t>
      </w:r>
    </w:p>
    <w:p w14:paraId="20FFBD50" w14:textId="75972EED" w:rsidR="006008D8" w:rsidRPr="00E72418" w:rsidRDefault="00721496" w:rsidP="00CC4BA8">
      <w:pPr>
        <w:spacing w:line="276" w:lineRule="auto"/>
        <w:rPr>
          <w:rFonts w:ascii="Times New Roman" w:hAnsi="Times New Roman"/>
        </w:rPr>
      </w:pPr>
      <w:r w:rsidRPr="00E72418">
        <w:t>L’article 5(1)</w:t>
      </w:r>
      <w:r w:rsidR="00A2719F" w:rsidRPr="00E72418">
        <w:t xml:space="preserve"> précise que</w:t>
      </w:r>
      <w:r w:rsidRPr="00E72418">
        <w:t xml:space="preserve"> </w:t>
      </w:r>
      <w:r w:rsidR="00A2719F" w:rsidRPr="00E72418">
        <w:t>font</w:t>
      </w:r>
      <w:r w:rsidRPr="00E72418">
        <w:t xml:space="preserve"> l’ob</w:t>
      </w:r>
      <w:r w:rsidR="00A2719F" w:rsidRPr="00E72418">
        <w:t>jet de la limitation posée les décisions rendues par les juridictions britanniques, les décisions étrangères ainsi que les sentences arbitrales rendues</w:t>
      </w:r>
      <w:r w:rsidR="006008D8" w:rsidRPr="00E72418">
        <w:t xml:space="preserve"> </w:t>
      </w:r>
      <w:r w:rsidR="005E6891" w:rsidRPr="00E72418">
        <w:t>en application de</w:t>
      </w:r>
      <w:r w:rsidR="006008D8" w:rsidRPr="00E72418">
        <w:t xml:space="preserve"> quelque droit que ce soit</w:t>
      </w:r>
      <w:r w:rsidRPr="00E72418">
        <w:rPr>
          <w:rStyle w:val="Appelnotedebasdep"/>
        </w:rPr>
        <w:footnoteReference w:id="1562"/>
      </w:r>
      <w:r w:rsidRPr="00E72418">
        <w:t xml:space="preserve">. </w:t>
      </w:r>
      <w:r w:rsidR="006008D8" w:rsidRPr="00E72418">
        <w:t xml:space="preserve">S’il </w:t>
      </w:r>
      <w:r w:rsidR="00FC4E03" w:rsidRPr="00E72418">
        <w:t xml:space="preserve">est indifférent </w:t>
      </w:r>
      <w:r w:rsidR="006008D8" w:rsidRPr="00E72418">
        <w:t>que les décisions étrangères et les sentences arbitrales aient été rendues avant ou après l’entrée en vigueur de la loi, il n’en est pas de même pour les décisions rendues par les juridictions britanniques dont les seules antérieures à l’entrée en vigueur sont retenues</w:t>
      </w:r>
      <w:r w:rsidRPr="00E72418">
        <w:rPr>
          <w:rFonts w:ascii="Times New Roman" w:hAnsi="Times New Roman"/>
        </w:rPr>
        <w:t xml:space="preserve">. </w:t>
      </w:r>
      <w:r w:rsidR="00221754" w:rsidRPr="00E72418">
        <w:t>Cette restriction s’explique sans doute par le fait que les décisions postérieures seront, par définition, respectueuses de la limitation dans la mesure où les juridictions britanniques n’auront d’autre choix que de l’appliquer au moment de trancher les litiges qui leur seront soumis</w:t>
      </w:r>
      <w:r w:rsidR="00221754" w:rsidRPr="00E72418">
        <w:rPr>
          <w:rStyle w:val="Appelnotedebasdep"/>
          <w:rFonts w:ascii="Times New Roman" w:hAnsi="Times New Roman" w:cs="Times New Roman"/>
          <w:szCs w:val="24"/>
        </w:rPr>
        <w:footnoteReference w:id="1563"/>
      </w:r>
      <w:r w:rsidR="00221754" w:rsidRPr="00E72418">
        <w:t>.</w:t>
      </w:r>
    </w:p>
    <w:p w14:paraId="0E0E67A1" w14:textId="6E8A7336" w:rsidR="00C51EE5" w:rsidRPr="00E72418" w:rsidRDefault="00721496" w:rsidP="00CC4BA8">
      <w:pPr>
        <w:spacing w:line="276" w:lineRule="auto"/>
        <w:rPr>
          <w:rFonts w:ascii="Times New Roman" w:hAnsi="Times New Roman"/>
        </w:rPr>
      </w:pPr>
      <w:r w:rsidRPr="00E72418">
        <w:rPr>
          <w:rFonts w:ascii="Times New Roman" w:hAnsi="Times New Roman"/>
        </w:rPr>
        <w:t xml:space="preserve">L’explication de ce que </w:t>
      </w:r>
      <w:r w:rsidR="006008D8" w:rsidRPr="00E72418">
        <w:rPr>
          <w:rFonts w:ascii="Times New Roman" w:hAnsi="Times New Roman"/>
        </w:rPr>
        <w:t xml:space="preserve">la limitation posée par la loi </w:t>
      </w:r>
      <w:r w:rsidR="009B66EC" w:rsidRPr="00E72418">
        <w:rPr>
          <w:rFonts w:ascii="Times New Roman" w:hAnsi="Times New Roman"/>
        </w:rPr>
        <w:t xml:space="preserve">britannique </w:t>
      </w:r>
      <w:r w:rsidR="006008D8" w:rsidRPr="00E72418">
        <w:rPr>
          <w:rFonts w:ascii="Times New Roman" w:hAnsi="Times New Roman"/>
        </w:rPr>
        <w:t>s’applique à des décisions</w:t>
      </w:r>
      <w:r w:rsidRPr="00E72418">
        <w:rPr>
          <w:rFonts w:ascii="Times New Roman" w:hAnsi="Times New Roman"/>
        </w:rPr>
        <w:t xml:space="preserve"> déjà rendu</w:t>
      </w:r>
      <w:r w:rsidR="006008D8" w:rsidRPr="00E72418">
        <w:rPr>
          <w:rFonts w:ascii="Times New Roman" w:hAnsi="Times New Roman"/>
        </w:rPr>
        <w:t>es réside dans le fait qu’</w:t>
      </w:r>
      <w:r w:rsidRPr="00E72418">
        <w:rPr>
          <w:rFonts w:ascii="Times New Roman" w:hAnsi="Times New Roman"/>
        </w:rPr>
        <w:t>une partie considérable des dettes que la législation entend protéger</w:t>
      </w:r>
      <w:r w:rsidR="006008D8" w:rsidRPr="00E72418">
        <w:rPr>
          <w:rFonts w:ascii="Times New Roman" w:hAnsi="Times New Roman"/>
        </w:rPr>
        <w:t xml:space="preserve"> ont déjà fait l’objet de contentieux ayant </w:t>
      </w:r>
      <w:r w:rsidR="00D767F3" w:rsidRPr="00E72418">
        <w:rPr>
          <w:rFonts w:ascii="Times New Roman" w:hAnsi="Times New Roman"/>
        </w:rPr>
        <w:t xml:space="preserve">donné lieu à </w:t>
      </w:r>
      <w:r w:rsidR="00BB3B73">
        <w:rPr>
          <w:rFonts w:ascii="Times New Roman" w:hAnsi="Times New Roman"/>
        </w:rPr>
        <w:t xml:space="preserve">la </w:t>
      </w:r>
      <w:r w:rsidR="00D767F3" w:rsidRPr="00E72418">
        <w:rPr>
          <w:rFonts w:ascii="Times New Roman" w:hAnsi="Times New Roman"/>
        </w:rPr>
        <w:t>condamnation de l’</w:t>
      </w:r>
      <w:r w:rsidR="00D767F3" w:rsidRPr="00E72418">
        <w:rPr>
          <w:lang w:eastAsia="fr-BE"/>
        </w:rPr>
        <w:t>É</w:t>
      </w:r>
      <w:r w:rsidR="006008D8" w:rsidRPr="00E72418">
        <w:rPr>
          <w:rFonts w:ascii="Times New Roman" w:hAnsi="Times New Roman"/>
        </w:rPr>
        <w:t>tat débiteur</w:t>
      </w:r>
      <w:r w:rsidRPr="00E72418">
        <w:rPr>
          <w:rStyle w:val="Appelnotedebasdep"/>
          <w:rFonts w:ascii="Times New Roman" w:hAnsi="Times New Roman" w:cs="Times New Roman"/>
          <w:szCs w:val="24"/>
        </w:rPr>
        <w:footnoteReference w:id="1564"/>
      </w:r>
      <w:r w:rsidR="000B007B" w:rsidRPr="00E72418">
        <w:rPr>
          <w:rFonts w:ascii="Times New Roman" w:hAnsi="Times New Roman"/>
          <w:vertAlign w:val="superscript"/>
        </w:rPr>
        <w:t>,</w:t>
      </w:r>
      <w:r w:rsidR="00221754" w:rsidRPr="00E72418">
        <w:rPr>
          <w:rStyle w:val="Appelnotedebasdep"/>
          <w:rFonts w:ascii="Times New Roman" w:hAnsi="Times New Roman"/>
        </w:rPr>
        <w:footnoteReference w:id="1565"/>
      </w:r>
      <w:r w:rsidRPr="00E72418">
        <w:rPr>
          <w:rFonts w:ascii="Times New Roman" w:hAnsi="Times New Roman"/>
        </w:rPr>
        <w:t xml:space="preserve">. </w:t>
      </w:r>
      <w:r w:rsidR="009B66EC" w:rsidRPr="00E72418">
        <w:rPr>
          <w:rFonts w:ascii="Times New Roman" w:hAnsi="Times New Roman"/>
        </w:rPr>
        <w:t>Bien que</w:t>
      </w:r>
      <w:r w:rsidR="00221754" w:rsidRPr="00E72418">
        <w:rPr>
          <w:rFonts w:ascii="Times New Roman" w:hAnsi="Times New Roman"/>
        </w:rPr>
        <w:t xml:space="preserve"> </w:t>
      </w:r>
      <w:r w:rsidR="00FF5E08" w:rsidRPr="00E72418">
        <w:rPr>
          <w:rFonts w:ascii="Times New Roman" w:hAnsi="Times New Roman"/>
        </w:rPr>
        <w:t>le G</w:t>
      </w:r>
      <w:r w:rsidRPr="00E72418">
        <w:rPr>
          <w:rFonts w:ascii="Times New Roman" w:hAnsi="Times New Roman"/>
        </w:rPr>
        <w:t xml:space="preserve">ouvernement </w:t>
      </w:r>
      <w:r w:rsidR="009B66EC" w:rsidRPr="00E72418">
        <w:rPr>
          <w:rFonts w:ascii="Times New Roman" w:hAnsi="Times New Roman"/>
        </w:rPr>
        <w:t>reconnu</w:t>
      </w:r>
      <w:r w:rsidR="00221754" w:rsidRPr="00E72418">
        <w:rPr>
          <w:rFonts w:ascii="Times New Roman" w:hAnsi="Times New Roman"/>
        </w:rPr>
        <w:t xml:space="preserve">t qu’il </w:t>
      </w:r>
      <w:r w:rsidR="009B66EC" w:rsidRPr="00E72418">
        <w:rPr>
          <w:rFonts w:ascii="Times New Roman" w:hAnsi="Times New Roman"/>
        </w:rPr>
        <w:t>était</w:t>
      </w:r>
      <w:r w:rsidR="00221754" w:rsidRPr="00E72418">
        <w:rPr>
          <w:rFonts w:ascii="Times New Roman" w:hAnsi="Times New Roman"/>
        </w:rPr>
        <w:t xml:space="preserve"> inhabituel d’intervenir sur les effets de déci</w:t>
      </w:r>
      <w:r w:rsidR="009B66EC" w:rsidRPr="00E72418">
        <w:rPr>
          <w:rFonts w:ascii="Times New Roman" w:hAnsi="Times New Roman"/>
        </w:rPr>
        <w:t>sions déjà rendues, il considéra</w:t>
      </w:r>
      <w:r w:rsidR="00221754" w:rsidRPr="00E72418">
        <w:rPr>
          <w:rFonts w:ascii="Times New Roman" w:hAnsi="Times New Roman"/>
        </w:rPr>
        <w:t xml:space="preserve"> néanmoins que «</w:t>
      </w:r>
      <w:r w:rsidRPr="00E72418">
        <w:rPr>
          <w:rFonts w:ascii="Times New Roman" w:hAnsi="Times New Roman"/>
        </w:rPr>
        <w:t xml:space="preserve"> there are pressing public policy </w:t>
      </w:r>
      <w:r w:rsidRPr="00E72418">
        <w:rPr>
          <w:rFonts w:ascii="Times New Roman" w:hAnsi="Times New Roman"/>
        </w:rPr>
        <w:lastRenderedPageBreak/>
        <w:t>reasons for taking that approach in this case »</w:t>
      </w:r>
      <w:r w:rsidR="00221754" w:rsidRPr="00E72418">
        <w:rPr>
          <w:rFonts w:ascii="Times New Roman" w:hAnsi="Times New Roman"/>
        </w:rPr>
        <w:t xml:space="preserve"> et </w:t>
      </w:r>
      <w:r w:rsidR="009B66EC" w:rsidRPr="00E72418">
        <w:rPr>
          <w:rFonts w:ascii="Times New Roman" w:hAnsi="Times New Roman"/>
        </w:rPr>
        <w:t>en appela</w:t>
      </w:r>
      <w:r w:rsidRPr="00E72418">
        <w:rPr>
          <w:rFonts w:ascii="Times New Roman" w:hAnsi="Times New Roman"/>
        </w:rPr>
        <w:t xml:space="preserve"> également aux « exceptional and tightly limited circumstances »</w:t>
      </w:r>
      <w:r w:rsidR="00221754" w:rsidRPr="00E72418">
        <w:rPr>
          <w:rStyle w:val="Appelnotedebasdep"/>
          <w:rFonts w:ascii="Times New Roman" w:hAnsi="Times New Roman" w:cs="Times New Roman"/>
          <w:szCs w:val="24"/>
        </w:rPr>
        <w:footnoteReference w:id="1566"/>
      </w:r>
      <w:r w:rsidR="002D3282" w:rsidRPr="00E72418">
        <w:rPr>
          <w:rFonts w:ascii="Times New Roman" w:hAnsi="Times New Roman"/>
          <w:vertAlign w:val="superscript"/>
        </w:rPr>
        <w:t>,</w:t>
      </w:r>
      <w:r w:rsidR="002D3282" w:rsidRPr="00E72418">
        <w:rPr>
          <w:rStyle w:val="Appelnotedebasdep"/>
          <w:rFonts w:ascii="Times New Roman" w:hAnsi="Times New Roman"/>
        </w:rPr>
        <w:footnoteReference w:id="1567"/>
      </w:r>
      <w:r w:rsidR="00221754" w:rsidRPr="00E72418">
        <w:rPr>
          <w:rFonts w:ascii="Times New Roman" w:hAnsi="Times New Roman"/>
        </w:rPr>
        <w:t>.</w:t>
      </w:r>
    </w:p>
    <w:p w14:paraId="59AA3C7D" w14:textId="170F76A2" w:rsidR="00CD5B9D" w:rsidRPr="00E72418" w:rsidRDefault="00CD5B9D" w:rsidP="00CC4BA8">
      <w:pPr>
        <w:spacing w:line="276" w:lineRule="auto"/>
        <w:rPr>
          <w:rFonts w:ascii="Times New Roman" w:hAnsi="Times New Roman"/>
          <w:szCs w:val="24"/>
        </w:rPr>
      </w:pPr>
      <w:r w:rsidRPr="00E72418">
        <w:rPr>
          <w:rFonts w:ascii="Times New Roman" w:hAnsi="Times New Roman"/>
          <w:szCs w:val="24"/>
        </w:rPr>
        <w:t xml:space="preserve">Notons finalement qu’en application de son article 8, la loi ne permet </w:t>
      </w:r>
      <w:r w:rsidR="00D767F3" w:rsidRPr="00E72418">
        <w:rPr>
          <w:rFonts w:ascii="Times New Roman" w:hAnsi="Times New Roman"/>
          <w:szCs w:val="24"/>
        </w:rPr>
        <w:t xml:space="preserve">pas à un </w:t>
      </w:r>
      <w:r w:rsidR="00D767F3" w:rsidRPr="00E72418">
        <w:rPr>
          <w:lang w:eastAsia="fr-BE"/>
        </w:rPr>
        <w:t>É</w:t>
      </w:r>
      <w:r w:rsidRPr="00E72418">
        <w:rPr>
          <w:rFonts w:ascii="Times New Roman" w:hAnsi="Times New Roman"/>
          <w:szCs w:val="24"/>
        </w:rPr>
        <w:t>tat débiteur de chercher à récupérer ce qu’il a déjà réglé à un créancier</w:t>
      </w:r>
      <w:r w:rsidRPr="00E72418">
        <w:rPr>
          <w:rStyle w:val="Appelnotedebasdep"/>
          <w:rFonts w:ascii="Times New Roman" w:hAnsi="Times New Roman"/>
          <w:szCs w:val="24"/>
        </w:rPr>
        <w:footnoteReference w:id="1568"/>
      </w:r>
      <w:r w:rsidRPr="00E72418">
        <w:rPr>
          <w:rFonts w:ascii="Times New Roman" w:hAnsi="Times New Roman"/>
          <w:szCs w:val="24"/>
        </w:rPr>
        <w:t>. Si l’on fait le lien avec le fait que la limitation décidée par la loi s’applique aux décisions déjà rendues et que</w:t>
      </w:r>
      <w:r w:rsidR="00C9227A" w:rsidRPr="00E72418">
        <w:rPr>
          <w:rFonts w:ascii="Times New Roman" w:hAnsi="Times New Roman"/>
          <w:szCs w:val="24"/>
        </w:rPr>
        <w:t>,</w:t>
      </w:r>
      <w:r w:rsidRPr="00E72418">
        <w:rPr>
          <w:rFonts w:ascii="Times New Roman" w:hAnsi="Times New Roman"/>
          <w:szCs w:val="24"/>
        </w:rPr>
        <w:t xml:space="preserve"> pour celles-ci, une exécution partielle dépassant la limitation est intervenue, elle </w:t>
      </w:r>
      <w:r w:rsidR="003802AF" w:rsidRPr="00E72418">
        <w:rPr>
          <w:rFonts w:ascii="Times New Roman" w:hAnsi="Times New Roman"/>
          <w:szCs w:val="24"/>
        </w:rPr>
        <w:t>nous semble</w:t>
      </w:r>
      <w:r w:rsidRPr="00E72418">
        <w:rPr>
          <w:rFonts w:ascii="Times New Roman" w:hAnsi="Times New Roman"/>
          <w:szCs w:val="24"/>
        </w:rPr>
        <w:t xml:space="preserve"> acquise. </w:t>
      </w:r>
      <w:r w:rsidR="00D913F2" w:rsidRPr="00E72418">
        <w:rPr>
          <w:rFonts w:ascii="Times New Roman" w:hAnsi="Times New Roman"/>
          <w:szCs w:val="24"/>
        </w:rPr>
        <w:t>T</w:t>
      </w:r>
      <w:r w:rsidR="003802AF" w:rsidRPr="00E72418">
        <w:rPr>
          <w:rFonts w:ascii="Times New Roman" w:hAnsi="Times New Roman"/>
          <w:szCs w:val="24"/>
        </w:rPr>
        <w:t>outefois</w:t>
      </w:r>
      <w:r w:rsidRPr="00E72418">
        <w:rPr>
          <w:rFonts w:ascii="Times New Roman" w:hAnsi="Times New Roman"/>
          <w:szCs w:val="24"/>
        </w:rPr>
        <w:t xml:space="preserve"> </w:t>
      </w:r>
      <w:r w:rsidR="00D913F2" w:rsidRPr="00E72418">
        <w:rPr>
          <w:rFonts w:ascii="Times New Roman" w:hAnsi="Times New Roman"/>
          <w:szCs w:val="24"/>
        </w:rPr>
        <w:t xml:space="preserve">dans la situation où </w:t>
      </w:r>
      <w:r w:rsidRPr="00E72418">
        <w:rPr>
          <w:rFonts w:ascii="Times New Roman" w:hAnsi="Times New Roman"/>
          <w:szCs w:val="24"/>
        </w:rPr>
        <w:t>l’exécution partielle ne dépasse pas le montant maximal permis, le créancier ne pourra plus en poursuivre que la différence</w:t>
      </w:r>
      <w:r w:rsidRPr="00E72418">
        <w:rPr>
          <w:rStyle w:val="Appelnotedebasdep"/>
          <w:rFonts w:ascii="Times New Roman" w:hAnsi="Times New Roman" w:cs="Times New Roman"/>
          <w:szCs w:val="24"/>
        </w:rPr>
        <w:footnoteReference w:id="1569"/>
      </w:r>
      <w:r w:rsidRPr="00E72418">
        <w:rPr>
          <w:rFonts w:ascii="Times New Roman" w:hAnsi="Times New Roman"/>
          <w:szCs w:val="24"/>
        </w:rPr>
        <w:t>.</w:t>
      </w:r>
    </w:p>
    <w:p w14:paraId="72DF7FAB" w14:textId="638C6F78" w:rsidR="00CD5B9D" w:rsidRPr="00E72418" w:rsidRDefault="00CD5B9D" w:rsidP="00CC4BA8">
      <w:pPr>
        <w:spacing w:line="276" w:lineRule="auto"/>
        <w:rPr>
          <w:rFonts w:ascii="Times New Roman" w:hAnsi="Times New Roman"/>
        </w:rPr>
      </w:pPr>
    </w:p>
    <w:p w14:paraId="0331B16B" w14:textId="737C5137" w:rsidR="00721496" w:rsidRPr="00E72418" w:rsidRDefault="004469AC" w:rsidP="00CC4BA8">
      <w:pPr>
        <w:spacing w:line="276" w:lineRule="auto"/>
      </w:pPr>
      <w:r w:rsidRPr="00E72418">
        <w:rPr>
          <w:b/>
        </w:rPr>
        <w:t>314</w:t>
      </w:r>
      <w:r w:rsidR="00817D62" w:rsidRPr="00E72418">
        <w:rPr>
          <w:b/>
        </w:rPr>
        <w:t xml:space="preserve">. </w:t>
      </w:r>
      <w:r w:rsidR="00721496" w:rsidRPr="00E72418">
        <w:rPr>
          <w:b/>
        </w:rPr>
        <w:t xml:space="preserve">Les accords obtenus </w:t>
      </w:r>
      <w:r w:rsidR="00721496" w:rsidRPr="00E72418">
        <w:rPr>
          <w:rFonts w:ascii="Times New Roman" w:hAnsi="Times New Roman"/>
          <w:b/>
        </w:rPr>
        <w:t>–</w:t>
      </w:r>
      <w:r w:rsidR="00721496" w:rsidRPr="00E72418">
        <w:t xml:space="preserve"> </w:t>
      </w:r>
      <w:r w:rsidR="0012029C" w:rsidRPr="00E72418">
        <w:t xml:space="preserve">Il ressort des </w:t>
      </w:r>
      <w:r w:rsidR="00721496" w:rsidRPr="00E72418">
        <w:t>article</w:t>
      </w:r>
      <w:r w:rsidR="0012029C" w:rsidRPr="00E72418">
        <w:t>s</w:t>
      </w:r>
      <w:r w:rsidR="00721496" w:rsidRPr="00E72418">
        <w:t xml:space="preserve"> 3(3)</w:t>
      </w:r>
      <w:r w:rsidR="0012029C" w:rsidRPr="00E72418">
        <w:t xml:space="preserve"> et 3(4)</w:t>
      </w:r>
      <w:r w:rsidR="00721496" w:rsidRPr="00E72418">
        <w:t xml:space="preserve"> </w:t>
      </w:r>
      <w:r w:rsidR="00D913F2" w:rsidRPr="00E72418">
        <w:t xml:space="preserve">du </w:t>
      </w:r>
      <w:r w:rsidR="00D913F2" w:rsidRPr="00E72418">
        <w:rPr>
          <w:i/>
        </w:rPr>
        <w:t>Debt Relief (Developing Countries) Act</w:t>
      </w:r>
      <w:r w:rsidR="00D913F2" w:rsidRPr="00E72418">
        <w:t xml:space="preserve"> </w:t>
      </w:r>
      <w:r w:rsidR="00721496" w:rsidRPr="00E72418">
        <w:t xml:space="preserve">que la limitation à la « relevant proportion » n’est pas applicable </w:t>
      </w:r>
      <w:r w:rsidR="00A543C7" w:rsidRPr="00E72418">
        <w:t>lorsque les part</w:t>
      </w:r>
      <w:r w:rsidR="0012029C" w:rsidRPr="00E72418">
        <w:t xml:space="preserve">ies sont parvenues à un accord </w:t>
      </w:r>
      <w:r w:rsidR="00D913F2" w:rsidRPr="00E72418">
        <w:t xml:space="preserve">hormis </w:t>
      </w:r>
      <w:r w:rsidR="0012029C" w:rsidRPr="00E72418">
        <w:t>le</w:t>
      </w:r>
      <w:r w:rsidR="002541E7" w:rsidRPr="00E72418">
        <w:t>s</w:t>
      </w:r>
      <w:r w:rsidR="0012029C" w:rsidRPr="00E72418">
        <w:t xml:space="preserve"> cas où les termes de </w:t>
      </w:r>
      <w:r w:rsidR="00D767F3" w:rsidRPr="00E72418">
        <w:t>l’accord conduisent à ce que l’</w:t>
      </w:r>
      <w:r w:rsidR="00D767F3" w:rsidRPr="00E72418">
        <w:rPr>
          <w:lang w:eastAsia="fr-BE"/>
        </w:rPr>
        <w:t>É</w:t>
      </w:r>
      <w:r w:rsidR="0012029C" w:rsidRPr="00E72418">
        <w:t xml:space="preserve">tat débiteur soit redevable </w:t>
      </w:r>
      <w:r w:rsidR="001C73C9" w:rsidRPr="00E72418">
        <w:t>d’un</w:t>
      </w:r>
      <w:r w:rsidR="0012029C" w:rsidRPr="00E72418">
        <w:t xml:space="preserve"> montant </w:t>
      </w:r>
      <w:r w:rsidR="001C73C9" w:rsidRPr="00E72418">
        <w:t>supérieur à cette proportion</w:t>
      </w:r>
      <w:r w:rsidR="00721496" w:rsidRPr="00E72418">
        <w:rPr>
          <w:rStyle w:val="Appelnotedebasdep"/>
          <w:rFonts w:cs="Times New Roman"/>
          <w:szCs w:val="24"/>
        </w:rPr>
        <w:footnoteReference w:id="1570"/>
      </w:r>
      <w:r w:rsidR="00721496" w:rsidRPr="00E72418">
        <w:t xml:space="preserve">. </w:t>
      </w:r>
    </w:p>
    <w:p w14:paraId="247017BC" w14:textId="088D4ACC" w:rsidR="00721496" w:rsidRPr="00E72418" w:rsidRDefault="0012029C" w:rsidP="00CC4BA8">
      <w:pPr>
        <w:spacing w:line="276" w:lineRule="auto"/>
      </w:pPr>
      <w:r w:rsidRPr="00E72418">
        <w:t>De la même manière, l</w:t>
      </w:r>
      <w:r w:rsidR="00721496" w:rsidRPr="00E72418">
        <w:t>’article 3(5) prévoit que la limitation à la « relevant proportion » n’est pas applicable aux accords de refinancement qui modifient les termes de remboursement de la dette de manière telle que sa valeur s’en trouve réduite</w:t>
      </w:r>
      <w:r w:rsidR="00721496" w:rsidRPr="00E72418">
        <w:rPr>
          <w:rStyle w:val="Appelnotedebasdep"/>
          <w:rFonts w:cs="Times New Roman"/>
          <w:szCs w:val="24"/>
        </w:rPr>
        <w:footnoteReference w:id="1571"/>
      </w:r>
      <w:r w:rsidR="00721496" w:rsidRPr="00E72418">
        <w:t xml:space="preserve">. Il en est de même pour les accords par lesquels la dette est remplacée par une dette de valeur inférieure. Dans tous les cas, l’article 3(6) précise que le montant récupérable en vertu de ces accords de refinancement ou de </w:t>
      </w:r>
      <w:r w:rsidR="00721496" w:rsidRPr="00E72418">
        <w:lastRenderedPageBreak/>
        <w:t>remplacement est limité au montant qui aurait été recouvrable si de tels accords n’étaient pas intervenus, autrement dit donc à la seule « relevant proportion ».</w:t>
      </w:r>
    </w:p>
    <w:p w14:paraId="7B4B542C" w14:textId="77777777" w:rsidR="0012029C" w:rsidRPr="00E72418" w:rsidRDefault="00E71B36" w:rsidP="00CC4BA8">
      <w:pPr>
        <w:spacing w:line="276" w:lineRule="auto"/>
      </w:pPr>
      <w:r w:rsidRPr="00E72418">
        <w:t>Notons encore</w:t>
      </w:r>
      <w:r w:rsidR="00D913F2" w:rsidRPr="00E72418">
        <w:t xml:space="preserve"> finalement que</w:t>
      </w:r>
      <w:r w:rsidRPr="00E72418">
        <w:t xml:space="preserve"> l</w:t>
      </w:r>
      <w:r w:rsidR="0012029C" w:rsidRPr="00E72418">
        <w:t xml:space="preserve">’article 5(6) </w:t>
      </w:r>
      <w:r w:rsidR="00D913F2" w:rsidRPr="00E72418">
        <w:t>précise</w:t>
      </w:r>
      <w:r w:rsidR="0012029C" w:rsidRPr="00E72418">
        <w:t xml:space="preserve"> que la limitation concerne tout ce qui est de nature à donner effet à un accord qui serait intervenu au sujet d’une demande portant sur une dette qualifiée</w:t>
      </w:r>
      <w:r w:rsidR="0012029C" w:rsidRPr="00E72418">
        <w:rPr>
          <w:rStyle w:val="Appelnotedebasdep"/>
        </w:rPr>
        <w:footnoteReference w:id="1572"/>
      </w:r>
      <w:r w:rsidR="0012029C" w:rsidRPr="00E72418">
        <w:t>.</w:t>
      </w:r>
    </w:p>
    <w:p w14:paraId="13E91AC4" w14:textId="77777777" w:rsidR="00721496" w:rsidRPr="00E72418" w:rsidRDefault="00721496" w:rsidP="00CC4BA8">
      <w:pPr>
        <w:spacing w:line="276" w:lineRule="auto"/>
        <w:rPr>
          <w:b/>
        </w:rPr>
      </w:pPr>
    </w:p>
    <w:p w14:paraId="70B49190" w14:textId="2C19AFA8" w:rsidR="00BF61A6" w:rsidRPr="00E72418" w:rsidRDefault="004469AC" w:rsidP="00CC4BA8">
      <w:pPr>
        <w:spacing w:line="276" w:lineRule="auto"/>
      </w:pPr>
      <w:r w:rsidRPr="00E72418">
        <w:rPr>
          <w:b/>
        </w:rPr>
        <w:t>315</w:t>
      </w:r>
      <w:r w:rsidR="00817D62" w:rsidRPr="00E72418">
        <w:rPr>
          <w:b/>
        </w:rPr>
        <w:t xml:space="preserve">. </w:t>
      </w:r>
      <w:r w:rsidR="00913B73" w:rsidRPr="00E72418">
        <w:rPr>
          <w:b/>
        </w:rPr>
        <w:t>La sanction des débiteurs inactifs –</w:t>
      </w:r>
      <w:r w:rsidR="00913B73" w:rsidRPr="00E72418">
        <w:t xml:space="preserve"> La législation brit</w:t>
      </w:r>
      <w:r w:rsidR="00694BFA" w:rsidRPr="00E72418">
        <w:t>annique cherche à encourager la passation d’</w:t>
      </w:r>
      <w:r w:rsidR="00913B73" w:rsidRPr="00E72418">
        <w:t>accords</w:t>
      </w:r>
      <w:r w:rsidR="00694BFA" w:rsidRPr="00E72418">
        <w:t xml:space="preserve"> entre créanciers et débiteurs souverains</w:t>
      </w:r>
      <w:r w:rsidR="00913B73" w:rsidRPr="00E72418">
        <w:t xml:space="preserve">. </w:t>
      </w:r>
      <w:r w:rsidR="00840012" w:rsidRPr="00E72418">
        <w:t>Pour ce faire</w:t>
      </w:r>
      <w:r w:rsidR="00913B73" w:rsidRPr="00E72418">
        <w:t>, l’article 6 de la loi</w:t>
      </w:r>
      <w:r w:rsidR="00840012" w:rsidRPr="00E72418">
        <w:t xml:space="preserve"> </w:t>
      </w:r>
      <w:r w:rsidR="00913B73" w:rsidRPr="00E72418">
        <w:t>la rend inapplicable dans la situation où le débiteur n’a pas cherché à trouver avec son créancier un accord conforme aux modalités découlant de l’Initiative</w:t>
      </w:r>
      <w:r w:rsidR="00D913F2" w:rsidRPr="00E72418">
        <w:t xml:space="preserve"> Pays Pauvres Très Endettés</w:t>
      </w:r>
      <w:r w:rsidR="00AF6DAD" w:rsidRPr="00E72418">
        <w:rPr>
          <w:rStyle w:val="Appelnotedebasdep"/>
          <w:rFonts w:ascii="Times New Roman" w:hAnsi="Times New Roman" w:cs="Times New Roman"/>
          <w:szCs w:val="24"/>
        </w:rPr>
        <w:footnoteReference w:id="1573"/>
      </w:r>
      <w:r w:rsidR="00913B73" w:rsidRPr="00E72418">
        <w:t>.</w:t>
      </w:r>
      <w:r w:rsidR="00840012" w:rsidRPr="00E72418">
        <w:t xml:space="preserve"> Le risque de ne pas bénéficier de la protection de la</w:t>
      </w:r>
      <w:r w:rsidR="00D767F3" w:rsidRPr="00E72418">
        <w:t xml:space="preserve"> loi est de nature à inciter l’</w:t>
      </w:r>
      <w:r w:rsidR="00D767F3" w:rsidRPr="00E72418">
        <w:rPr>
          <w:lang w:eastAsia="fr-BE"/>
        </w:rPr>
        <w:t>É</w:t>
      </w:r>
      <w:r w:rsidR="00840012" w:rsidRPr="00E72418">
        <w:t xml:space="preserve">tat débiteur à </w:t>
      </w:r>
      <w:r w:rsidR="00D913F2" w:rsidRPr="00E72418">
        <w:t>parvenir à</w:t>
      </w:r>
      <w:r w:rsidR="00840012" w:rsidRPr="00E72418">
        <w:t xml:space="preserve"> un accord avec son créancier.</w:t>
      </w:r>
      <w:r w:rsidR="000C2966" w:rsidRPr="00E72418">
        <w:t xml:space="preserve"> </w:t>
      </w:r>
      <w:r w:rsidR="00BF61A6" w:rsidRPr="00E72418">
        <w:t>L’objectif de la loi est donc clairement que débiteurs et créanciers parviennent à s’entendre avec pour conséquence que le nombre de procès relatifs aux dettes protégées s’en trouve réduit. Comme le soulignent les notes explicatives de la législation, cette règle est de nature à « […]</w:t>
      </w:r>
      <w:r w:rsidR="00BF61A6" w:rsidRPr="00E72418">
        <w:rPr>
          <w:shd w:val="clear" w:color="auto" w:fill="FFFFFF"/>
        </w:rPr>
        <w:t xml:space="preserve"> increase the creditor’s prospects for recovering the amount to which it remains entitled, and </w:t>
      </w:r>
      <w:r w:rsidR="00BF61A6" w:rsidRPr="00E72418">
        <w:t>[…]</w:t>
      </w:r>
      <w:r w:rsidR="00BF61A6" w:rsidRPr="00E72418">
        <w:rPr>
          <w:shd w:val="clear" w:color="auto" w:fill="FFFFFF"/>
        </w:rPr>
        <w:t xml:space="preserve"> encourage the debtor to participate in negotiations to agree settlement of the debt rather than oblige the creditor to recover the debt through the courts</w:t>
      </w:r>
      <w:r w:rsidR="00BF61A6" w:rsidRPr="00E72418">
        <w:t xml:space="preserve"> »</w:t>
      </w:r>
      <w:r w:rsidR="00BF61A6" w:rsidRPr="00E72418">
        <w:rPr>
          <w:rStyle w:val="Appelnotedebasdep"/>
        </w:rPr>
        <w:footnoteReference w:id="1574"/>
      </w:r>
      <w:r w:rsidR="00BF61A6" w:rsidRPr="00E72418">
        <w:t>. La législation britannique protège donc les débiteurs proactifs adoptant un comportement responsable et s’engageant véritablement dans le processus de l’Initiative</w:t>
      </w:r>
      <w:r w:rsidR="00BF61A6" w:rsidRPr="00E72418">
        <w:rPr>
          <w:rStyle w:val="Appelnotedebasdep"/>
        </w:rPr>
        <w:footnoteReference w:id="1575"/>
      </w:r>
      <w:r w:rsidR="00D71D7F" w:rsidRPr="00E72418">
        <w:t>.</w:t>
      </w:r>
    </w:p>
    <w:p w14:paraId="5A4142A3" w14:textId="77777777" w:rsidR="00913B73" w:rsidRPr="00E72418" w:rsidRDefault="000C2966" w:rsidP="00CC4BA8">
      <w:pPr>
        <w:spacing w:line="276" w:lineRule="auto"/>
      </w:pPr>
      <w:r w:rsidRPr="00E72418">
        <w:t>L</w:t>
      </w:r>
      <w:r w:rsidR="00C570C4" w:rsidRPr="00E72418">
        <w:t>’article 6(1) de la loi précise que « [t]his Act does not apply to a relevant claim, a relevant foreign judgment or a relevant arbitration award if (a) proceedings are brought in respect of the relevant claim, foreign judgment or arbitration award, and (b) the debtor does not, before the relevant time, make an offer to compromise the proceedings on comparable Initiative terms ».</w:t>
      </w:r>
      <w:r w:rsidR="00840012" w:rsidRPr="00E72418">
        <w:t xml:space="preserve"> Dès lors que l’article 6(1) vise les « relevant claim », « relevant foreign judgment » et « relevant arbitration award », on peut retenir que la sanction ne concerne pas l’ensemble des dettes du débiteur et s’applique dette par dette.</w:t>
      </w:r>
    </w:p>
    <w:p w14:paraId="14A654D7" w14:textId="77777777" w:rsidR="00913B73" w:rsidRPr="00E72418" w:rsidRDefault="00913B73" w:rsidP="00CC4BA8">
      <w:pPr>
        <w:spacing w:line="276" w:lineRule="auto"/>
      </w:pPr>
      <w:r w:rsidRPr="00E72418">
        <w:t xml:space="preserve">Les modalités découlant de l’Initiative sont précisées à l’article 6(2) qui dispose que « [f]or the purposes of this section an offer is made on “comparable Initiative terms” if the net present value of payments to be made in accordance with the offer is equal to or exceeds the net present </w:t>
      </w:r>
      <w:r w:rsidRPr="00E72418">
        <w:lastRenderedPageBreak/>
        <w:t>value of the payment required to satisfy the relevant claim, foreign judgment or arbitration award (reduced in accordance with this Act) »</w:t>
      </w:r>
      <w:r w:rsidR="00AF6DAD" w:rsidRPr="00E72418">
        <w:rPr>
          <w:rStyle w:val="Appelnotedebasdep"/>
          <w:rFonts w:ascii="Times New Roman" w:hAnsi="Times New Roman" w:cs="Times New Roman"/>
          <w:szCs w:val="24"/>
        </w:rPr>
        <w:footnoteReference w:id="1576"/>
      </w:r>
      <w:r w:rsidRPr="00E72418">
        <w:t>.</w:t>
      </w:r>
    </w:p>
    <w:p w14:paraId="4C11659E" w14:textId="5CE6326F" w:rsidR="00913B73" w:rsidRPr="00E72418" w:rsidRDefault="00A559AD" w:rsidP="00CC4BA8">
      <w:pPr>
        <w:spacing w:line="276" w:lineRule="auto"/>
        <w:rPr>
          <w:sz w:val="23"/>
          <w:szCs w:val="23"/>
        </w:rPr>
      </w:pPr>
      <w:r w:rsidRPr="00E72418">
        <w:t xml:space="preserve">La notion de « proceedings » vise, </w:t>
      </w:r>
      <w:r w:rsidR="00321032" w:rsidRPr="00E72418">
        <w:t>selon</w:t>
      </w:r>
      <w:r w:rsidRPr="00E72418">
        <w:t xml:space="preserve"> l’article 6(3) de la loi, « proceedings in a part of the United Kingdom, and includes proceedings for the registration of a foreign judgment or an arbitration award, or permission to enforce an arbitration award in the same manner as a judgment of the court, but does not include proceedings for the enforcement of a judgment or award ». </w:t>
      </w:r>
      <w:r w:rsidR="00BF61A6" w:rsidRPr="00E72418">
        <w:rPr>
          <w:sz w:val="23"/>
          <w:szCs w:val="23"/>
        </w:rPr>
        <w:t>L</w:t>
      </w:r>
      <w:r w:rsidR="00913B73" w:rsidRPr="00E72418">
        <w:t xml:space="preserve">’article 6(3) de la loi </w:t>
      </w:r>
      <w:r w:rsidR="00BF61A6" w:rsidRPr="00E72418">
        <w:t xml:space="preserve">définit également le cadre temporel en </w:t>
      </w:r>
      <w:r w:rsidR="00C447C3" w:rsidRPr="00E72418">
        <w:t>indiquant</w:t>
      </w:r>
      <w:r w:rsidR="00BF61A6" w:rsidRPr="00E72418">
        <w:t xml:space="preserve"> que </w:t>
      </w:r>
      <w:r w:rsidR="00913B73" w:rsidRPr="00E72418">
        <w:t>le « relevant time » signifie « the time when a court first gives judgment on the relevant claim, the time when the foreign judgment or arbitration award is registered, or (as the case may be) the time when permission is given to enforce the arbitration award in the same manner as a judgment of the court »</w:t>
      </w:r>
      <w:r w:rsidR="00913B73" w:rsidRPr="00E72418">
        <w:rPr>
          <w:rStyle w:val="Appelnotedebasdep"/>
        </w:rPr>
        <w:footnoteReference w:id="1577"/>
      </w:r>
      <w:r w:rsidR="00913B73" w:rsidRPr="00E72418">
        <w:t>.</w:t>
      </w:r>
    </w:p>
    <w:p w14:paraId="52742A00" w14:textId="75D49E9C" w:rsidR="00C570C4" w:rsidRPr="00E72418" w:rsidRDefault="00C570C4" w:rsidP="00CC4BA8">
      <w:pPr>
        <w:spacing w:line="276" w:lineRule="auto"/>
      </w:pPr>
      <w:r w:rsidRPr="00E72418">
        <w:t xml:space="preserve">La sanction prévue à l’article 6 </w:t>
      </w:r>
      <w:r w:rsidR="00C447C3" w:rsidRPr="00E72418">
        <w:t xml:space="preserve">est circonscrite dans le temps. L’article 6(4) prévoit </w:t>
      </w:r>
      <w:r w:rsidR="000C2966" w:rsidRPr="00E72418">
        <w:t xml:space="preserve">ainsi </w:t>
      </w:r>
      <w:r w:rsidR="00913B73" w:rsidRPr="00E72418">
        <w:t>que « [t]his section applies to cases where the proceedings were brought before commencement (as well as cases where they are brought after commencement), but not to cases where the relevant time occurred before commencement »</w:t>
      </w:r>
      <w:r w:rsidR="0004239E" w:rsidRPr="00E72418">
        <w:t>.</w:t>
      </w:r>
    </w:p>
    <w:p w14:paraId="78D5C61F" w14:textId="77777777" w:rsidR="00A02DAE" w:rsidRPr="00E72418" w:rsidRDefault="00A02DAE" w:rsidP="00CC4BA8">
      <w:pPr>
        <w:spacing w:line="276" w:lineRule="auto"/>
      </w:pPr>
    </w:p>
    <w:p w14:paraId="2EDA268B" w14:textId="5CD26A82" w:rsidR="005F6F52" w:rsidRPr="00E72418" w:rsidRDefault="002F7FBF" w:rsidP="00CC4BA8">
      <w:pPr>
        <w:pStyle w:val="DD"/>
        <w:spacing w:line="276" w:lineRule="auto"/>
      </w:pPr>
      <w:bookmarkStart w:id="369" w:name="_Toc37777389"/>
      <w:bookmarkStart w:id="370" w:name="_Toc59280989"/>
      <w:bookmarkStart w:id="371" w:name="_Toc84540980"/>
      <w:r w:rsidRPr="00E72418">
        <w:t xml:space="preserve">Section 4 : </w:t>
      </w:r>
      <w:r w:rsidR="005F6F52" w:rsidRPr="00E72418">
        <w:t xml:space="preserve">Les </w:t>
      </w:r>
      <w:r w:rsidR="009806FB" w:rsidRPr="00E72418">
        <w:t>personnes</w:t>
      </w:r>
      <w:r w:rsidR="005F6F52" w:rsidRPr="00E72418">
        <w:t xml:space="preserve"> </w:t>
      </w:r>
      <w:bookmarkEnd w:id="369"/>
      <w:r w:rsidR="003735D6" w:rsidRPr="00E72418">
        <w:t>et les dettes concerné</w:t>
      </w:r>
      <w:r w:rsidR="00557FD6" w:rsidRPr="00E72418">
        <w:t>e</w:t>
      </w:r>
      <w:r w:rsidR="003735D6" w:rsidRPr="00E72418">
        <w:t>s</w:t>
      </w:r>
      <w:bookmarkEnd w:id="370"/>
      <w:bookmarkEnd w:id="371"/>
    </w:p>
    <w:p w14:paraId="60475E5D" w14:textId="77777777" w:rsidR="004007D2" w:rsidRPr="00E72418" w:rsidRDefault="004007D2" w:rsidP="004007D2"/>
    <w:p w14:paraId="2696EB64" w14:textId="0F22D1EB" w:rsidR="00CB386D" w:rsidRPr="00E72418" w:rsidRDefault="004469AC" w:rsidP="00CC4BA8">
      <w:pPr>
        <w:spacing w:line="276" w:lineRule="auto"/>
      </w:pPr>
      <w:r w:rsidRPr="00E72418">
        <w:rPr>
          <w:b/>
        </w:rPr>
        <w:t>316</w:t>
      </w:r>
      <w:r w:rsidR="00817D62" w:rsidRPr="00E72418">
        <w:rPr>
          <w:b/>
        </w:rPr>
        <w:t xml:space="preserve">. </w:t>
      </w:r>
      <w:r w:rsidR="005F6F52" w:rsidRPr="00E72418">
        <w:rPr>
          <w:b/>
        </w:rPr>
        <w:t>Les débiteurs visés –</w:t>
      </w:r>
      <w:r w:rsidR="00086B86" w:rsidRPr="00E72418">
        <w:rPr>
          <w:b/>
        </w:rPr>
        <w:t xml:space="preserve"> </w:t>
      </w:r>
      <w:r w:rsidR="00CB386D" w:rsidRPr="00E72418">
        <w:t>Les pays dont les</w:t>
      </w:r>
      <w:r w:rsidR="00913B73" w:rsidRPr="00E72418">
        <w:t xml:space="preserve"> dette</w:t>
      </w:r>
      <w:r w:rsidR="00CB386D" w:rsidRPr="00E72418">
        <w:t>s</w:t>
      </w:r>
      <w:r w:rsidR="00913B73" w:rsidRPr="00E72418">
        <w:t xml:space="preserve"> </w:t>
      </w:r>
      <w:r w:rsidR="00CB386D" w:rsidRPr="00E72418">
        <w:t>sont potentiellement</w:t>
      </w:r>
      <w:r w:rsidR="00913B73" w:rsidRPr="00E72418">
        <w:t xml:space="preserve"> protégée</w:t>
      </w:r>
      <w:r w:rsidR="00CB386D" w:rsidRPr="00E72418">
        <w:t>s</w:t>
      </w:r>
      <w:r w:rsidR="00913B73" w:rsidRPr="00E72418">
        <w:t xml:space="preserve"> par </w:t>
      </w:r>
      <w:r w:rsidR="007E6C35" w:rsidRPr="00E72418">
        <w:t xml:space="preserve">le </w:t>
      </w:r>
      <w:r w:rsidR="007E6C35" w:rsidRPr="00E72418">
        <w:rPr>
          <w:i/>
        </w:rPr>
        <w:t>Debt Relief (Developing Countries) Act</w:t>
      </w:r>
      <w:r w:rsidR="00913B73" w:rsidRPr="00E72418">
        <w:t xml:space="preserve"> sont, d’une part, les pays auxquels l’Initiative </w:t>
      </w:r>
      <w:r w:rsidR="00086B86" w:rsidRPr="00E72418">
        <w:t>Pays Pauvres Très Endettés</w:t>
      </w:r>
      <w:r w:rsidR="00913B73" w:rsidRPr="00E72418">
        <w:t xml:space="preserve"> s’applique, d’autre part, les pays qui y sont potentiellement éligibles</w:t>
      </w:r>
      <w:r w:rsidR="00913B73" w:rsidRPr="00E72418">
        <w:rPr>
          <w:rStyle w:val="Appelnotedebasdep"/>
        </w:rPr>
        <w:footnoteReference w:id="1578"/>
      </w:r>
      <w:r w:rsidR="00913B73" w:rsidRPr="00E72418">
        <w:t>.</w:t>
      </w:r>
      <w:r w:rsidR="00CB386D" w:rsidRPr="00E72418">
        <w:t xml:space="preserve"> Dans ce dernier cas, l’article 1(6) précise que </w:t>
      </w:r>
      <w:r w:rsidR="00D767F3" w:rsidRPr="00E72418">
        <w:t xml:space="preserve">sont visés les </w:t>
      </w:r>
      <w:r w:rsidR="00D767F3" w:rsidRPr="00E72418">
        <w:rPr>
          <w:lang w:eastAsia="fr-BE"/>
        </w:rPr>
        <w:t>É</w:t>
      </w:r>
      <w:r w:rsidR="00CB386D" w:rsidRPr="00E72418">
        <w:t xml:space="preserve">tats identifiés par la Banque mondiale </w:t>
      </w:r>
      <w:r w:rsidR="00C24B57" w:rsidRPr="00E72418">
        <w:t xml:space="preserve">et le Fonds monétaire international </w:t>
      </w:r>
      <w:r w:rsidR="00CB386D" w:rsidRPr="00E72418">
        <w:t>comme potentiellement éligibles à un allègement de dette via l’Init</w:t>
      </w:r>
      <w:r w:rsidR="00151659" w:rsidRPr="00E72418">
        <w:t>i</w:t>
      </w:r>
      <w:r w:rsidR="00CB386D" w:rsidRPr="00E72418">
        <w:t>ative et pour lesquels le point de décision n’a pas encore été atteint.</w:t>
      </w:r>
    </w:p>
    <w:p w14:paraId="06D12942" w14:textId="1A41F547" w:rsidR="00280CDD" w:rsidRPr="00E72418" w:rsidRDefault="00FF5E08" w:rsidP="00CC4BA8">
      <w:pPr>
        <w:spacing w:line="276" w:lineRule="auto"/>
      </w:pPr>
      <w:r w:rsidRPr="00E72418">
        <w:t>Le G</w:t>
      </w:r>
      <w:r w:rsidR="00C24B57" w:rsidRPr="00E72418">
        <w:t>ouvernement britannique justifiait</w:t>
      </w:r>
      <w:r w:rsidR="00280CDD" w:rsidRPr="00E72418">
        <w:t xml:space="preserve"> cette limitation par plusieurs arguments, parmi lesquels notamment, l’engagement international clair quant à la réduction des dettes des Pays Pauvres Très Endettés, la conditionnalité de l’octroi du bénéfice de l’Initiative à </w:t>
      </w:r>
      <w:r w:rsidR="0085400A" w:rsidRPr="00E72418">
        <w:t xml:space="preserve">la mise en œuvre </w:t>
      </w:r>
      <w:r w:rsidR="00280CDD" w:rsidRPr="00E72418">
        <w:t>de mesures visant le redressement du pays débiteur, l’appréciation claire de l’effort attendu de la part des créanciers ou encore la fréquente importante réduction attendue rendant la recherche de profit par les fonds spéculatifs démesurée</w:t>
      </w:r>
      <w:r w:rsidR="00280CDD" w:rsidRPr="00E72418">
        <w:rPr>
          <w:rStyle w:val="Appelnotedebasdep"/>
        </w:rPr>
        <w:footnoteReference w:id="1579"/>
      </w:r>
      <w:r w:rsidR="00280CDD" w:rsidRPr="00E72418">
        <w:t xml:space="preserve">. </w:t>
      </w:r>
      <w:r w:rsidR="00DB7642" w:rsidRPr="00E72418">
        <w:t xml:space="preserve">L’argument central </w:t>
      </w:r>
      <w:r w:rsidR="00E73D76" w:rsidRPr="00E72418">
        <w:t xml:space="preserve">de la portée limitée des </w:t>
      </w:r>
      <w:r w:rsidR="00E73D76" w:rsidRPr="00E72418">
        <w:lastRenderedPageBreak/>
        <w:t xml:space="preserve">débiteurs visés </w:t>
      </w:r>
      <w:r w:rsidR="00DB7642" w:rsidRPr="00E72418">
        <w:t xml:space="preserve">est sans doute celui de </w:t>
      </w:r>
      <w:r w:rsidR="00280CDD" w:rsidRPr="00E72418">
        <w:t>l’impact de la législation sur les marchés financiers</w:t>
      </w:r>
      <w:r w:rsidR="00DB7642" w:rsidRPr="00E72418">
        <w:t xml:space="preserve"> et sur le développement international</w:t>
      </w:r>
      <w:r w:rsidR="00DB7642" w:rsidRPr="00E72418">
        <w:rPr>
          <w:rStyle w:val="Appelnotedebasdep"/>
        </w:rPr>
        <w:footnoteReference w:id="1580"/>
      </w:r>
      <w:r w:rsidR="00C24B57" w:rsidRPr="00E72418">
        <w:t>. L</w:t>
      </w:r>
      <w:r w:rsidR="00DB7642" w:rsidRPr="00E72418">
        <w:t>a limitation des</w:t>
      </w:r>
      <w:r w:rsidR="00C24B57" w:rsidRPr="00E72418">
        <w:t xml:space="preserve"> bénéficiaires visés par le mécanisme mis en place </w:t>
      </w:r>
      <w:r w:rsidR="00243D0C" w:rsidRPr="00E72418">
        <w:t xml:space="preserve">réduit ce potentiel impact </w:t>
      </w:r>
      <w:r w:rsidR="00DB7642" w:rsidRPr="00E72418">
        <w:t>en raison de</w:t>
      </w:r>
      <w:r w:rsidR="00280CDD" w:rsidRPr="00E72418">
        <w:t xml:space="preserve"> la faible proportion des dettes concernées par rapport aux flots de capitaux vers l</w:t>
      </w:r>
      <w:r w:rsidR="00DB7642" w:rsidRPr="00E72418">
        <w:t>’ensemble d</w:t>
      </w:r>
      <w:r w:rsidR="00280CDD" w:rsidRPr="00E72418">
        <w:t>es pays en voie de développement</w:t>
      </w:r>
      <w:r w:rsidR="00280CDD" w:rsidRPr="00E72418">
        <w:rPr>
          <w:rStyle w:val="Appelnotedebasdep"/>
        </w:rPr>
        <w:footnoteReference w:id="1581"/>
      </w:r>
      <w:r w:rsidR="00280CDD" w:rsidRPr="00E72418">
        <w:t>.</w:t>
      </w:r>
    </w:p>
    <w:p w14:paraId="21288FDC" w14:textId="54DCB2D1" w:rsidR="006529B3" w:rsidRPr="00E72418" w:rsidRDefault="00131D5F" w:rsidP="00CC4BA8">
      <w:pPr>
        <w:spacing w:line="276" w:lineRule="auto"/>
      </w:pPr>
      <w:r w:rsidRPr="00E72418">
        <w:t>La volonté de circonscrire clairement la législation et sa portée conduisit à ce que soit débattue l</w:t>
      </w:r>
      <w:r w:rsidR="00565D02" w:rsidRPr="00E72418">
        <w:t xml:space="preserve">’inclusion </w:t>
      </w:r>
      <w:r w:rsidR="008048B9" w:rsidRPr="00E72418">
        <w:t>des pays</w:t>
      </w:r>
      <w:r w:rsidR="00243D0C" w:rsidRPr="00E72418">
        <w:t xml:space="preserve"> potentiellement éligibles à l’I</w:t>
      </w:r>
      <w:r w:rsidR="008048B9" w:rsidRPr="00E72418">
        <w:t>nitiative</w:t>
      </w:r>
      <w:r w:rsidRPr="00E72418">
        <w:t>. En effet,</w:t>
      </w:r>
      <w:r w:rsidR="008048B9" w:rsidRPr="00E72418">
        <w:t xml:space="preserve"> des parlementaires craignaient que la formule </w:t>
      </w:r>
      <w:r w:rsidRPr="00E72418">
        <w:t xml:space="preserve">ouverte utilisée </w:t>
      </w:r>
      <w:r w:rsidR="008048B9" w:rsidRPr="00E72418">
        <w:t>permette que des pays bénéficient du mécanisme dans le futur en fonction de l’évolution des critères pris en compte</w:t>
      </w:r>
      <w:r w:rsidR="008048B9" w:rsidRPr="00E72418">
        <w:rPr>
          <w:rStyle w:val="Appelnotedebasdep"/>
        </w:rPr>
        <w:footnoteReference w:id="1582"/>
      </w:r>
      <w:r w:rsidR="008048B9" w:rsidRPr="00E72418">
        <w:t>.</w:t>
      </w:r>
      <w:r w:rsidRPr="00E72418">
        <w:t xml:space="preserve"> Pour éviter cette situation, l’art</w:t>
      </w:r>
      <w:r w:rsidR="0004079A" w:rsidRPr="00E72418">
        <w:t>icle 1(11) de la loi prévoit</w:t>
      </w:r>
      <w:r w:rsidR="000D5118" w:rsidRPr="00E72418">
        <w:t xml:space="preserve"> donc</w:t>
      </w:r>
      <w:r w:rsidR="0004079A" w:rsidRPr="00E72418">
        <w:t xml:space="preserve"> qu’</w:t>
      </w:r>
      <w:r w:rsidRPr="00E72418">
        <w:t xml:space="preserve"> </w:t>
      </w:r>
      <w:r w:rsidRPr="00E72418">
        <w:rPr>
          <w:rFonts w:ascii="Times New Roman" w:hAnsi="Times New Roman"/>
        </w:rPr>
        <w:t>« [i]f the terms of the Initiative are amended after commencement in such a way as to change a relevant eligibility condition, this Act has effect as if they had not been so amended »</w:t>
      </w:r>
      <w:r w:rsidRPr="00E72418">
        <w:rPr>
          <w:rStyle w:val="Appelnotedebasdep"/>
          <w:rFonts w:ascii="Times New Roman" w:hAnsi="Times New Roman"/>
        </w:rPr>
        <w:footnoteReference w:id="1583"/>
      </w:r>
      <w:r w:rsidR="00321032" w:rsidRPr="00E72418">
        <w:rPr>
          <w:rFonts w:ascii="Times New Roman" w:hAnsi="Times New Roman"/>
          <w:vertAlign w:val="superscript"/>
        </w:rPr>
        <w:t>,</w:t>
      </w:r>
      <w:r w:rsidRPr="00E72418">
        <w:rPr>
          <w:rStyle w:val="Appelnotedebasdep"/>
          <w:rFonts w:ascii="Times New Roman" w:hAnsi="Times New Roman" w:cs="Times New Roman"/>
          <w:szCs w:val="24"/>
        </w:rPr>
        <w:footnoteReference w:id="1584"/>
      </w:r>
      <w:r w:rsidRPr="00E72418">
        <w:rPr>
          <w:rFonts w:ascii="Times New Roman" w:hAnsi="Times New Roman"/>
        </w:rPr>
        <w:t>.</w:t>
      </w:r>
    </w:p>
    <w:p w14:paraId="2C23BE52" w14:textId="77777777" w:rsidR="006529B3" w:rsidRPr="00E72418" w:rsidRDefault="006529B3" w:rsidP="00CC4BA8">
      <w:pPr>
        <w:spacing w:line="276" w:lineRule="auto"/>
      </w:pPr>
    </w:p>
    <w:p w14:paraId="724909A2" w14:textId="62AE2192" w:rsidR="006C747E" w:rsidRPr="00E72418" w:rsidRDefault="004469AC" w:rsidP="00CC4BA8">
      <w:pPr>
        <w:spacing w:line="276" w:lineRule="auto"/>
      </w:pPr>
      <w:r w:rsidRPr="00E72418">
        <w:rPr>
          <w:b/>
        </w:rPr>
        <w:t>317</w:t>
      </w:r>
      <w:r w:rsidR="00817D62" w:rsidRPr="00E72418">
        <w:rPr>
          <w:b/>
        </w:rPr>
        <w:t xml:space="preserve">. </w:t>
      </w:r>
      <w:r w:rsidR="006C747E" w:rsidRPr="00E72418">
        <w:rPr>
          <w:b/>
        </w:rPr>
        <w:t xml:space="preserve">La notion de « qualifying debt » </w:t>
      </w:r>
      <w:r w:rsidR="006C747E" w:rsidRPr="00E72418">
        <w:rPr>
          <w:rFonts w:ascii="Times New Roman" w:hAnsi="Times New Roman"/>
          <w:b/>
        </w:rPr>
        <w:t>–</w:t>
      </w:r>
      <w:r w:rsidR="006C747E" w:rsidRPr="00E72418">
        <w:t xml:space="preserve"> </w:t>
      </w:r>
      <w:r w:rsidR="009806FB" w:rsidRPr="00E72418">
        <w:t>Le mécanisme de la législation brita</w:t>
      </w:r>
      <w:r w:rsidR="00E309B1" w:rsidRPr="00E72418">
        <w:t xml:space="preserve">nnique s’applique </w:t>
      </w:r>
      <w:r w:rsidR="00285332" w:rsidRPr="00E72418">
        <w:t xml:space="preserve">à une série de dettes </w:t>
      </w:r>
      <w:r w:rsidR="006C747E" w:rsidRPr="00E72418">
        <w:t xml:space="preserve">qualifiées </w:t>
      </w:r>
      <w:r w:rsidR="00285332" w:rsidRPr="00E72418">
        <w:t xml:space="preserve">bien définie. </w:t>
      </w:r>
      <w:r w:rsidR="0054150E" w:rsidRPr="00E72418">
        <w:t>Il</w:t>
      </w:r>
      <w:r w:rsidR="006C747E" w:rsidRPr="00E72418">
        <w:t xml:space="preserve"> est également applicable dans le cas où l’action diligentée par le créancier se base sur une de ces dettes comme, par exemple, lorsque des « damages claims » sont concerné</w:t>
      </w:r>
      <w:r w:rsidR="003E0ACA" w:rsidRPr="00E72418">
        <w:t>e</w:t>
      </w:r>
      <w:r w:rsidR="006C747E" w:rsidRPr="00E72418">
        <w:t>s</w:t>
      </w:r>
      <w:r w:rsidR="006C747E" w:rsidRPr="00E72418">
        <w:rPr>
          <w:rStyle w:val="Appelnotedebasdep"/>
          <w:rFonts w:cs="Times New Roman"/>
          <w:szCs w:val="24"/>
        </w:rPr>
        <w:footnoteReference w:id="1585"/>
      </w:r>
      <w:r w:rsidR="006C747E" w:rsidRPr="00E72418">
        <w:t>.</w:t>
      </w:r>
    </w:p>
    <w:p w14:paraId="77036E61" w14:textId="77777777" w:rsidR="00916352" w:rsidRPr="00E72418" w:rsidRDefault="00963F14" w:rsidP="00CC4BA8">
      <w:pPr>
        <w:spacing w:line="276" w:lineRule="auto"/>
      </w:pPr>
      <w:r w:rsidRPr="00E72418">
        <w:t>L</w:t>
      </w:r>
      <w:r w:rsidR="009806FB" w:rsidRPr="00E72418">
        <w:t xml:space="preserve">’article 1(3) </w:t>
      </w:r>
      <w:r w:rsidRPr="00E72418">
        <w:t>précise que « “Qualifying debt” means a debt incurred before commencement that is public or publicly guaranteed, is external, is a debt of a country to which the Initiative applies or a potentially eligible Initiative country, and in the case of a debt of a country to which the Initiative applies, is incurred before decision point is reached in respect of the country ».</w:t>
      </w:r>
      <w:r w:rsidR="00285332" w:rsidRPr="00E72418">
        <w:t xml:space="preserve"> </w:t>
      </w:r>
      <w:r w:rsidR="00DC3357" w:rsidRPr="00E72418">
        <w:rPr>
          <w:rFonts w:ascii="Times New Roman" w:hAnsi="Times New Roman"/>
        </w:rPr>
        <w:t>L’article 2 de la loi donne plus de détails sur les notions utilisées pour caractériser la « </w:t>
      </w:r>
      <w:r w:rsidR="008524F0" w:rsidRPr="00E72418">
        <w:rPr>
          <w:rFonts w:ascii="Times New Roman" w:hAnsi="Times New Roman"/>
        </w:rPr>
        <w:t>q</w:t>
      </w:r>
      <w:r w:rsidR="00DC3357" w:rsidRPr="00E72418">
        <w:rPr>
          <w:rFonts w:ascii="Times New Roman" w:hAnsi="Times New Roman"/>
        </w:rPr>
        <w:t xml:space="preserve">ualifying debt ». </w:t>
      </w:r>
      <w:r w:rsidR="00285332" w:rsidRPr="00E72418">
        <w:rPr>
          <w:rFonts w:ascii="Times New Roman" w:hAnsi="Times New Roman"/>
        </w:rPr>
        <w:t>Les définitions sont basées sur celles utilisée</w:t>
      </w:r>
      <w:r w:rsidR="0054150E" w:rsidRPr="00E72418">
        <w:rPr>
          <w:rFonts w:ascii="Times New Roman" w:hAnsi="Times New Roman"/>
        </w:rPr>
        <w:t>s</w:t>
      </w:r>
      <w:r w:rsidR="00285332" w:rsidRPr="00E72418">
        <w:rPr>
          <w:rFonts w:ascii="Times New Roman" w:hAnsi="Times New Roman"/>
        </w:rPr>
        <w:t xml:space="preserve"> par la Banque mondiale et le </w:t>
      </w:r>
      <w:r w:rsidR="00285332" w:rsidRPr="00E72418">
        <w:rPr>
          <w:rFonts w:ascii="Times New Roman" w:hAnsi="Times New Roman"/>
        </w:rPr>
        <w:lastRenderedPageBreak/>
        <w:t>Fonds monétaire international afin de définir quelles dettes sont concernées par l’Initiative Pays Pauvres Très Endettés</w:t>
      </w:r>
      <w:r w:rsidR="008524F0" w:rsidRPr="00E72418">
        <w:rPr>
          <w:rStyle w:val="Appelnotedebasdep"/>
          <w:rFonts w:ascii="Times New Roman" w:hAnsi="Times New Roman" w:cs="Times New Roman"/>
          <w:szCs w:val="24"/>
        </w:rPr>
        <w:footnoteReference w:id="1586"/>
      </w:r>
      <w:r w:rsidR="008524F0" w:rsidRPr="00E72418">
        <w:rPr>
          <w:rFonts w:ascii="Times New Roman" w:hAnsi="Times New Roman"/>
        </w:rPr>
        <w:t>.</w:t>
      </w:r>
    </w:p>
    <w:p w14:paraId="158CED1D" w14:textId="62053170" w:rsidR="00E15FD8" w:rsidRPr="00E72418" w:rsidRDefault="004469AC" w:rsidP="00CC4BA8">
      <w:pPr>
        <w:spacing w:line="276" w:lineRule="auto"/>
        <w:rPr>
          <w:rFonts w:ascii="Times New Roman" w:hAnsi="Times New Roman" w:cs="Times New Roman"/>
          <w:szCs w:val="24"/>
        </w:rPr>
      </w:pPr>
      <w:r w:rsidRPr="00E72418">
        <w:rPr>
          <w:rFonts w:ascii="Times New Roman" w:hAnsi="Times New Roman" w:cs="Times New Roman"/>
          <w:b/>
          <w:szCs w:val="24"/>
        </w:rPr>
        <w:t>318</w:t>
      </w:r>
      <w:r w:rsidR="00817D62" w:rsidRPr="00E72418">
        <w:rPr>
          <w:rFonts w:ascii="Times New Roman" w:hAnsi="Times New Roman" w:cs="Times New Roman"/>
          <w:b/>
          <w:szCs w:val="24"/>
        </w:rPr>
        <w:t xml:space="preserve">. </w:t>
      </w:r>
      <w:r w:rsidR="006C747E" w:rsidRPr="00E72418">
        <w:rPr>
          <w:rFonts w:ascii="Times New Roman" w:hAnsi="Times New Roman" w:cs="Times New Roman"/>
          <w:b/>
          <w:szCs w:val="24"/>
        </w:rPr>
        <w:t>La notion de « qualifying debt » –</w:t>
      </w:r>
      <w:r w:rsidR="006C747E" w:rsidRPr="00E72418">
        <w:rPr>
          <w:rFonts w:ascii="Times New Roman" w:hAnsi="Times New Roman" w:cs="Times New Roman"/>
          <w:szCs w:val="24"/>
        </w:rPr>
        <w:t xml:space="preserve"> </w:t>
      </w:r>
      <w:r w:rsidR="00E74661" w:rsidRPr="00E72418">
        <w:rPr>
          <w:rFonts w:ascii="Times New Roman" w:hAnsi="Times New Roman" w:cs="Times New Roman"/>
          <w:b/>
          <w:szCs w:val="24"/>
        </w:rPr>
        <w:t>Un</w:t>
      </w:r>
      <w:r w:rsidR="001040FD" w:rsidRPr="00E72418">
        <w:rPr>
          <w:rFonts w:ascii="Times New Roman" w:hAnsi="Times New Roman" w:cs="Times New Roman"/>
          <w:b/>
          <w:szCs w:val="24"/>
        </w:rPr>
        <w:t>e</w:t>
      </w:r>
      <w:r w:rsidR="00E74661" w:rsidRPr="00E72418">
        <w:rPr>
          <w:rFonts w:ascii="Times New Roman" w:hAnsi="Times New Roman" w:cs="Times New Roman"/>
          <w:b/>
          <w:szCs w:val="24"/>
        </w:rPr>
        <w:t xml:space="preserve"> dette – </w:t>
      </w:r>
      <w:r w:rsidR="00E15FD8" w:rsidRPr="00E72418">
        <w:rPr>
          <w:rFonts w:ascii="Times New Roman" w:hAnsi="Times New Roman" w:cs="Times New Roman"/>
          <w:szCs w:val="24"/>
        </w:rPr>
        <w:t xml:space="preserve">L’article 2(2) </w:t>
      </w:r>
      <w:r w:rsidR="007E6C35" w:rsidRPr="00E72418">
        <w:rPr>
          <w:rFonts w:ascii="Times New Roman" w:hAnsi="Times New Roman" w:cs="Times New Roman"/>
          <w:szCs w:val="24"/>
        </w:rPr>
        <w:t xml:space="preserve">du </w:t>
      </w:r>
      <w:r w:rsidR="007E6C35" w:rsidRPr="00E72418">
        <w:rPr>
          <w:i/>
        </w:rPr>
        <w:t>Debt Relief (Developing Countries) Act</w:t>
      </w:r>
      <w:r w:rsidR="00E15FD8" w:rsidRPr="00E72418">
        <w:rPr>
          <w:rFonts w:ascii="Times New Roman" w:hAnsi="Times New Roman" w:cs="Times New Roman"/>
          <w:szCs w:val="24"/>
        </w:rPr>
        <w:t xml:space="preserve"> indique ce que la notion de dette inclut</w:t>
      </w:r>
      <w:r w:rsidR="00285332" w:rsidRPr="00E72418">
        <w:rPr>
          <w:rStyle w:val="Appelnotedebasdep"/>
          <w:rFonts w:ascii="Times New Roman" w:hAnsi="Times New Roman" w:cs="Times New Roman"/>
          <w:szCs w:val="24"/>
        </w:rPr>
        <w:footnoteReference w:id="1587"/>
      </w:r>
      <w:r w:rsidR="00E15FD8" w:rsidRPr="00E72418">
        <w:rPr>
          <w:rFonts w:ascii="Times New Roman" w:hAnsi="Times New Roman" w:cs="Times New Roman"/>
          <w:szCs w:val="24"/>
        </w:rPr>
        <w:t>.</w:t>
      </w:r>
      <w:r w:rsidR="00E74661" w:rsidRPr="00E72418">
        <w:rPr>
          <w:rFonts w:ascii="Times New Roman" w:hAnsi="Times New Roman" w:cs="Times New Roman"/>
          <w:szCs w:val="24"/>
        </w:rPr>
        <w:t xml:space="preserve"> </w:t>
      </w:r>
      <w:r w:rsidR="007E6C35" w:rsidRPr="00E72418">
        <w:rPr>
          <w:rFonts w:ascii="Times New Roman" w:hAnsi="Times New Roman" w:cs="Times New Roman"/>
          <w:szCs w:val="24"/>
        </w:rPr>
        <w:t>S</w:t>
      </w:r>
      <w:r w:rsidR="00E15FD8" w:rsidRPr="00E72418">
        <w:rPr>
          <w:rFonts w:ascii="Times New Roman" w:hAnsi="Times New Roman" w:cs="Times New Roman"/>
          <w:szCs w:val="24"/>
        </w:rPr>
        <w:t xml:space="preserve">ont </w:t>
      </w:r>
      <w:r w:rsidR="007E6C35" w:rsidRPr="00E72418">
        <w:rPr>
          <w:rFonts w:ascii="Times New Roman" w:hAnsi="Times New Roman" w:cs="Times New Roman"/>
          <w:szCs w:val="24"/>
        </w:rPr>
        <w:t xml:space="preserve">ainsi </w:t>
      </w:r>
      <w:r w:rsidR="00E15FD8" w:rsidRPr="00E72418">
        <w:rPr>
          <w:rFonts w:ascii="Times New Roman" w:hAnsi="Times New Roman" w:cs="Times New Roman"/>
          <w:szCs w:val="24"/>
        </w:rPr>
        <w:t>visées « (a) a liability that falls to be discharged otherwise than by the making of a payment », « (b) an obligation to repurchase property that arises under an agreement for the sale and repurchase of property (whether or not the same property) » et « (c) a liability of the lessee under a finance lease (except a liability so far as relating to the operation or maintenance of property subject to the lease) ».</w:t>
      </w:r>
      <w:r w:rsidR="007E6C35" w:rsidRPr="00E72418">
        <w:rPr>
          <w:rFonts w:ascii="Times New Roman" w:hAnsi="Times New Roman" w:cs="Times New Roman"/>
          <w:szCs w:val="24"/>
        </w:rPr>
        <w:t xml:space="preserve"> </w:t>
      </w:r>
      <w:r w:rsidR="005E2676" w:rsidRPr="00E72418">
        <w:rPr>
          <w:rFonts w:ascii="Times New Roman" w:hAnsi="Times New Roman" w:cs="Times New Roman"/>
          <w:szCs w:val="24"/>
        </w:rPr>
        <w:t xml:space="preserve">Francis </w:t>
      </w:r>
      <w:r w:rsidR="00E15FD8" w:rsidRPr="00E72418">
        <w:rPr>
          <w:rFonts w:ascii="Times New Roman" w:hAnsi="Times New Roman" w:cs="Times New Roman"/>
          <w:szCs w:val="24"/>
        </w:rPr>
        <w:t>Chukwu note que « [t]he definition of debt under the relevant provision therefore encompasses, to the extent that they are not excluded under subsection (3), all such financial obligations traditionally known to belong to the class of debt instruments such as notes, bonds, and loans as well as liabilities that fall to be discharged otherwise than by making payments, obligations to repurchase property, and liabilities arising out of a finance lease »</w:t>
      </w:r>
      <w:r w:rsidR="00E15FD8" w:rsidRPr="00E72418">
        <w:rPr>
          <w:rStyle w:val="Appelnotedebasdep"/>
          <w:rFonts w:ascii="Times New Roman" w:hAnsi="Times New Roman" w:cs="Times New Roman"/>
          <w:szCs w:val="24"/>
        </w:rPr>
        <w:footnoteReference w:id="1588"/>
      </w:r>
      <w:r w:rsidR="00E15FD8" w:rsidRPr="00E72418">
        <w:rPr>
          <w:rFonts w:ascii="Times New Roman" w:hAnsi="Times New Roman" w:cs="Times New Roman"/>
          <w:szCs w:val="24"/>
        </w:rPr>
        <w:t>.</w:t>
      </w:r>
    </w:p>
    <w:p w14:paraId="5A712157" w14:textId="77777777" w:rsidR="00E15FD8" w:rsidRPr="00E72418" w:rsidRDefault="00E15FD8" w:rsidP="00CC4BA8">
      <w:pPr>
        <w:spacing w:line="276" w:lineRule="auto"/>
        <w:rPr>
          <w:rFonts w:ascii="Times New Roman" w:hAnsi="Times New Roman"/>
        </w:rPr>
      </w:pPr>
      <w:r w:rsidRPr="00E72418">
        <w:rPr>
          <w:rFonts w:ascii="Times New Roman" w:hAnsi="Times New Roman"/>
        </w:rPr>
        <w:t xml:space="preserve">L’article 2(3) de la loi </w:t>
      </w:r>
      <w:r w:rsidR="007E6C35" w:rsidRPr="00E72418">
        <w:rPr>
          <w:rFonts w:ascii="Times New Roman" w:hAnsi="Times New Roman"/>
        </w:rPr>
        <w:t xml:space="preserve">britannique </w:t>
      </w:r>
      <w:r w:rsidRPr="00E72418">
        <w:rPr>
          <w:rFonts w:ascii="Times New Roman" w:hAnsi="Times New Roman"/>
        </w:rPr>
        <w:t xml:space="preserve">indique </w:t>
      </w:r>
      <w:r w:rsidR="007E6C35" w:rsidRPr="00E72418">
        <w:rPr>
          <w:rFonts w:ascii="Times New Roman" w:hAnsi="Times New Roman"/>
        </w:rPr>
        <w:t xml:space="preserve">quant à lui </w:t>
      </w:r>
      <w:r w:rsidRPr="00E72418">
        <w:rPr>
          <w:rFonts w:ascii="Times New Roman" w:hAnsi="Times New Roman"/>
        </w:rPr>
        <w:t xml:space="preserve">ce que la notion de dette n’inclut pas. </w:t>
      </w:r>
      <w:r w:rsidR="00E74661" w:rsidRPr="00E72418">
        <w:rPr>
          <w:rFonts w:ascii="Times New Roman" w:hAnsi="Times New Roman"/>
        </w:rPr>
        <w:t>S</w:t>
      </w:r>
      <w:r w:rsidRPr="00E72418">
        <w:rPr>
          <w:rFonts w:ascii="Times New Roman" w:hAnsi="Times New Roman"/>
        </w:rPr>
        <w:t xml:space="preserve">ont </w:t>
      </w:r>
      <w:r w:rsidR="007E6C35" w:rsidRPr="00E72418">
        <w:rPr>
          <w:rFonts w:ascii="Times New Roman" w:hAnsi="Times New Roman"/>
        </w:rPr>
        <w:t>ainsi exclues</w:t>
      </w:r>
      <w:r w:rsidRPr="00E72418">
        <w:rPr>
          <w:rFonts w:ascii="Times New Roman" w:hAnsi="Times New Roman"/>
        </w:rPr>
        <w:t xml:space="preserve"> « (a) a liability to pay for goods or services that arose on the delivery of the goods or the provision of services », « (b) a liability that falls to be discharged in less than a year from the time it was incurred (“a short-term debt”) unless the short-term debt is within subsection (4) » et « (c) a liability incurred after commencement that replaces anything that was (at the time of the replacement) within paragraph (a) or (b) ».</w:t>
      </w:r>
      <w:r w:rsidR="003E232A" w:rsidRPr="00E72418">
        <w:rPr>
          <w:rFonts w:ascii="Times New Roman" w:hAnsi="Times New Roman"/>
        </w:rPr>
        <w:t xml:space="preserve"> </w:t>
      </w:r>
    </w:p>
    <w:p w14:paraId="4118DC19" w14:textId="408F2C7B" w:rsidR="00E74661" w:rsidRPr="00E72418" w:rsidRDefault="00E74661" w:rsidP="00CC4BA8">
      <w:pPr>
        <w:spacing w:line="276" w:lineRule="auto"/>
        <w:rPr>
          <w:rFonts w:ascii="Times New Roman" w:hAnsi="Times New Roman"/>
        </w:rPr>
      </w:pPr>
      <w:r w:rsidRPr="00E72418">
        <w:rPr>
          <w:rFonts w:ascii="Times New Roman" w:hAnsi="Times New Roman"/>
        </w:rPr>
        <w:t>L’exclusion des dettes visant des biens et des services</w:t>
      </w:r>
      <w:r w:rsidR="00D45744" w:rsidRPr="00E72418">
        <w:rPr>
          <w:rFonts w:ascii="Times New Roman" w:hAnsi="Times New Roman"/>
        </w:rPr>
        <w:t xml:space="preserve"> </w:t>
      </w:r>
      <w:r w:rsidRPr="00E72418">
        <w:rPr>
          <w:rFonts w:ascii="Times New Roman" w:hAnsi="Times New Roman"/>
        </w:rPr>
        <w:t>se justifiait par le fait que si elles étaient incluses alors quasiment l’ensemble des dépenses gouvernementales serait protégé</w:t>
      </w:r>
      <w:r w:rsidR="007E6C35" w:rsidRPr="00E72418">
        <w:rPr>
          <w:rFonts w:ascii="Times New Roman" w:hAnsi="Times New Roman"/>
        </w:rPr>
        <w:t>, laquelle protection</w:t>
      </w:r>
      <w:r w:rsidRPr="00E72418">
        <w:rPr>
          <w:rFonts w:ascii="Times New Roman" w:hAnsi="Times New Roman"/>
        </w:rPr>
        <w:t xml:space="preserve"> serait irréalisable</w:t>
      </w:r>
      <w:r w:rsidRPr="00E72418">
        <w:rPr>
          <w:rStyle w:val="Appelnotedebasdep"/>
          <w:rFonts w:ascii="Times New Roman" w:hAnsi="Times New Roman"/>
        </w:rPr>
        <w:footnoteReference w:id="1589"/>
      </w:r>
      <w:r w:rsidRPr="00E72418">
        <w:rPr>
          <w:rFonts w:ascii="Times New Roman" w:hAnsi="Times New Roman"/>
        </w:rPr>
        <w:t xml:space="preserve">. </w:t>
      </w:r>
      <w:r w:rsidR="003D4BD6" w:rsidRPr="00E72418">
        <w:t xml:space="preserve">De l’exclusion </w:t>
      </w:r>
      <w:r w:rsidR="007E6C35" w:rsidRPr="00E72418">
        <w:t>prévue</w:t>
      </w:r>
      <w:r w:rsidR="003D4BD6" w:rsidRPr="00E72418">
        <w:t xml:space="preserve"> à l’article 2(3)(a)</w:t>
      </w:r>
      <w:r w:rsidR="007E6C35" w:rsidRPr="00E72418">
        <w:t xml:space="preserve"> du </w:t>
      </w:r>
      <w:r w:rsidR="007E6C35" w:rsidRPr="00E72418">
        <w:rPr>
          <w:i/>
        </w:rPr>
        <w:t>Debt Relief (Developing Countries) Act</w:t>
      </w:r>
      <w:r w:rsidR="003D4BD6" w:rsidRPr="00E72418">
        <w:t xml:space="preserve">, </w:t>
      </w:r>
      <w:r w:rsidR="005E2676" w:rsidRPr="00E72418">
        <w:t xml:space="preserve">Francis </w:t>
      </w:r>
      <w:r w:rsidR="003D4BD6" w:rsidRPr="00E72418">
        <w:t xml:space="preserve">Chukwu </w:t>
      </w:r>
      <w:r w:rsidR="007E6C35" w:rsidRPr="00E72418">
        <w:t>explique</w:t>
      </w:r>
      <w:r w:rsidR="003D4BD6" w:rsidRPr="00E72418">
        <w:t xml:space="preserve"> que « debt incurred under oil technical service agreements and joint venture cash calls, debt incurred by reason of sale of infrastructural facilities such as agricultural equipments, industrial machineries, and educational or hospital equipments, liabilities incurred by means of public/private development partnerships and project finance, and liabilities incurred by purchase of military hardware would all be excluded from the definition of debt under the Act »</w:t>
      </w:r>
      <w:r w:rsidR="003D4BD6" w:rsidRPr="00E72418">
        <w:rPr>
          <w:rStyle w:val="Appelnotedebasdep"/>
        </w:rPr>
        <w:footnoteReference w:id="1590"/>
      </w:r>
      <w:r w:rsidR="003D4BD6" w:rsidRPr="00E72418">
        <w:t>.</w:t>
      </w:r>
    </w:p>
    <w:p w14:paraId="71C08E96" w14:textId="26175F7D" w:rsidR="001040FD" w:rsidRPr="00E72418" w:rsidRDefault="003D4BD6" w:rsidP="00CC4BA8">
      <w:pPr>
        <w:spacing w:line="276" w:lineRule="auto"/>
        <w:rPr>
          <w:rFonts w:ascii="Times New Roman" w:hAnsi="Times New Roman"/>
        </w:rPr>
      </w:pPr>
      <w:r w:rsidRPr="00E72418">
        <w:rPr>
          <w:rFonts w:ascii="Times New Roman" w:hAnsi="Times New Roman"/>
        </w:rPr>
        <w:t>Par ailleurs, l</w:t>
      </w:r>
      <w:r w:rsidR="003E232A" w:rsidRPr="00E72418">
        <w:rPr>
          <w:rFonts w:ascii="Times New Roman" w:hAnsi="Times New Roman"/>
        </w:rPr>
        <w:t>a législation britannique</w:t>
      </w:r>
      <w:r w:rsidR="00A33A55" w:rsidRPr="00E72418">
        <w:rPr>
          <w:rFonts w:ascii="Times New Roman" w:hAnsi="Times New Roman"/>
        </w:rPr>
        <w:t xml:space="preserve"> </w:t>
      </w:r>
      <w:r w:rsidR="00F510E4" w:rsidRPr="00E72418">
        <w:rPr>
          <w:rFonts w:ascii="Times New Roman" w:hAnsi="Times New Roman"/>
        </w:rPr>
        <w:t>ne fait</w:t>
      </w:r>
      <w:r w:rsidR="003E232A" w:rsidRPr="00E72418">
        <w:rPr>
          <w:rFonts w:ascii="Times New Roman" w:hAnsi="Times New Roman"/>
        </w:rPr>
        <w:t xml:space="preserve"> pas bénéficier de s</w:t>
      </w:r>
      <w:r w:rsidRPr="00E72418">
        <w:rPr>
          <w:rFonts w:ascii="Times New Roman" w:hAnsi="Times New Roman"/>
        </w:rPr>
        <w:t xml:space="preserve">a protection les </w:t>
      </w:r>
      <w:r w:rsidR="00F510E4" w:rsidRPr="00E72418">
        <w:rPr>
          <w:rFonts w:ascii="Times New Roman" w:hAnsi="Times New Roman"/>
        </w:rPr>
        <w:t xml:space="preserve">courtes </w:t>
      </w:r>
      <w:r w:rsidRPr="00E72418">
        <w:rPr>
          <w:rFonts w:ascii="Times New Roman" w:hAnsi="Times New Roman"/>
        </w:rPr>
        <w:t xml:space="preserve">dettes sauf si </w:t>
      </w:r>
      <w:r w:rsidR="007E6C35" w:rsidRPr="00E72418">
        <w:rPr>
          <w:rFonts w:ascii="Times New Roman" w:hAnsi="Times New Roman"/>
        </w:rPr>
        <w:t>elles</w:t>
      </w:r>
      <w:r w:rsidRPr="00E72418">
        <w:rPr>
          <w:rFonts w:ascii="Times New Roman" w:hAnsi="Times New Roman"/>
        </w:rPr>
        <w:t xml:space="preserve"> « ought to have been discharged more than a year before commencement, and (where decision point has been reached in respect of the country concerned) more than a year before decision point »</w:t>
      </w:r>
      <w:r w:rsidRPr="00E72418">
        <w:rPr>
          <w:rStyle w:val="Appelnotedebasdep"/>
          <w:rFonts w:ascii="Times New Roman" w:hAnsi="Times New Roman"/>
        </w:rPr>
        <w:footnoteReference w:id="1591"/>
      </w:r>
      <w:r w:rsidRPr="00E72418">
        <w:rPr>
          <w:rFonts w:ascii="Times New Roman" w:hAnsi="Times New Roman"/>
        </w:rPr>
        <w:t>.</w:t>
      </w:r>
      <w:r w:rsidR="00F510E4" w:rsidRPr="00E72418">
        <w:rPr>
          <w:rFonts w:ascii="Times New Roman" w:hAnsi="Times New Roman"/>
        </w:rPr>
        <w:t xml:space="preserve"> Si l’exclusion de ces</w:t>
      </w:r>
      <w:r w:rsidR="00BF3A55" w:rsidRPr="00E72418">
        <w:rPr>
          <w:rFonts w:ascii="Times New Roman" w:hAnsi="Times New Roman"/>
        </w:rPr>
        <w:t xml:space="preserve"> dettes peut se comprendre en ce que leur échéance les rend moins enclines à devenir </w:t>
      </w:r>
      <w:r w:rsidR="001040FD" w:rsidRPr="00E72418">
        <w:rPr>
          <w:rFonts w:ascii="Times New Roman" w:hAnsi="Times New Roman"/>
        </w:rPr>
        <w:t xml:space="preserve">non viables, il y aurait sans doute quelque nuance à </w:t>
      </w:r>
      <w:r w:rsidR="001040FD" w:rsidRPr="00E72418">
        <w:rPr>
          <w:rFonts w:ascii="Times New Roman" w:hAnsi="Times New Roman"/>
        </w:rPr>
        <w:lastRenderedPageBreak/>
        <w:t xml:space="preserve">apporter </w:t>
      </w:r>
      <w:r w:rsidR="00F510E4" w:rsidRPr="00E72418">
        <w:rPr>
          <w:rFonts w:ascii="Times New Roman" w:hAnsi="Times New Roman"/>
        </w:rPr>
        <w:t>au constat de ce</w:t>
      </w:r>
      <w:r w:rsidR="001040FD" w:rsidRPr="00E72418">
        <w:rPr>
          <w:rFonts w:ascii="Times New Roman" w:hAnsi="Times New Roman"/>
        </w:rPr>
        <w:t xml:space="preserve"> que le financement à court terme est de</w:t>
      </w:r>
      <w:r w:rsidR="00D767F3" w:rsidRPr="00E72418">
        <w:rPr>
          <w:rFonts w:ascii="Times New Roman" w:hAnsi="Times New Roman"/>
        </w:rPr>
        <w:t xml:space="preserve">venu un outil permettant à des </w:t>
      </w:r>
      <w:r w:rsidR="00D767F3" w:rsidRPr="00E72418">
        <w:rPr>
          <w:lang w:eastAsia="fr-BE"/>
        </w:rPr>
        <w:t>É</w:t>
      </w:r>
      <w:r w:rsidR="001040FD" w:rsidRPr="00E72418">
        <w:rPr>
          <w:rFonts w:ascii="Times New Roman" w:hAnsi="Times New Roman"/>
        </w:rPr>
        <w:t xml:space="preserve">tats confrontés à une crise d’assurer le service de leur dette </w:t>
      </w:r>
      <w:r w:rsidR="00F510E4" w:rsidRPr="00E72418">
        <w:rPr>
          <w:rFonts w:ascii="Times New Roman" w:hAnsi="Times New Roman"/>
        </w:rPr>
        <w:t>en ayant accès à des liquidités</w:t>
      </w:r>
      <w:r w:rsidR="001040FD" w:rsidRPr="00E72418">
        <w:rPr>
          <w:rStyle w:val="Appelnotedebasdep"/>
        </w:rPr>
        <w:footnoteReference w:id="1592"/>
      </w:r>
      <w:r w:rsidR="00D45744" w:rsidRPr="00E72418">
        <w:t>.</w:t>
      </w:r>
    </w:p>
    <w:p w14:paraId="032AF2BA" w14:textId="77777777" w:rsidR="006C0FB6" w:rsidRPr="00E72418" w:rsidRDefault="00BF3A55" w:rsidP="00CC4BA8">
      <w:pPr>
        <w:spacing w:line="276" w:lineRule="auto"/>
      </w:pPr>
      <w:r w:rsidRPr="00E72418">
        <w:rPr>
          <w:rFonts w:ascii="Times New Roman" w:hAnsi="Times New Roman"/>
        </w:rPr>
        <w:t xml:space="preserve">L’exclusion des dettes visant des biens et des services ainsi que des dettes courtes permet de contrer un argument avancé par les fonds spéculatifs </w:t>
      </w:r>
      <w:r w:rsidR="00F510E4" w:rsidRPr="00E72418">
        <w:rPr>
          <w:rFonts w:ascii="Times New Roman" w:hAnsi="Times New Roman"/>
        </w:rPr>
        <w:t>consistant à</w:t>
      </w:r>
      <w:r w:rsidRPr="00E72418">
        <w:rPr>
          <w:rFonts w:ascii="Times New Roman" w:hAnsi="Times New Roman"/>
        </w:rPr>
        <w:t xml:space="preserve"> dire que la réduction voire l’annulation des </w:t>
      </w:r>
      <w:r w:rsidR="00D767F3" w:rsidRPr="00E72418">
        <w:rPr>
          <w:rFonts w:ascii="Times New Roman" w:hAnsi="Times New Roman"/>
        </w:rPr>
        <w:t xml:space="preserve">obligations contractuelles des </w:t>
      </w:r>
      <w:r w:rsidR="00D767F3" w:rsidRPr="00E72418">
        <w:rPr>
          <w:lang w:eastAsia="fr-BE"/>
        </w:rPr>
        <w:t>É</w:t>
      </w:r>
      <w:r w:rsidRPr="00E72418">
        <w:rPr>
          <w:rFonts w:ascii="Times New Roman" w:hAnsi="Times New Roman"/>
        </w:rPr>
        <w:t xml:space="preserve">tats est commercialement inéquitable et encourage </w:t>
      </w:r>
      <w:r w:rsidR="00F510E4" w:rsidRPr="00E72418">
        <w:rPr>
          <w:rFonts w:ascii="Times New Roman" w:hAnsi="Times New Roman"/>
        </w:rPr>
        <w:t>le</w:t>
      </w:r>
      <w:r w:rsidRPr="00E72418">
        <w:rPr>
          <w:rFonts w:ascii="Times New Roman" w:hAnsi="Times New Roman"/>
        </w:rPr>
        <w:t xml:space="preserve"> gaspillage en réduisant la responsabilité des débiteurs</w:t>
      </w:r>
      <w:r w:rsidR="00E15FD8" w:rsidRPr="00E72418">
        <w:rPr>
          <w:rStyle w:val="Appelnotedebasdep"/>
        </w:rPr>
        <w:footnoteReference w:id="1593"/>
      </w:r>
      <w:r w:rsidR="00E15FD8" w:rsidRPr="00E72418">
        <w:t>.</w:t>
      </w:r>
      <w:r w:rsidRPr="00E72418">
        <w:t xml:space="preserve"> </w:t>
      </w:r>
      <w:r w:rsidR="001040FD" w:rsidRPr="00E72418">
        <w:t xml:space="preserve">D’autre part, </w:t>
      </w:r>
      <w:r w:rsidR="00F510E4" w:rsidRPr="00E72418">
        <w:t xml:space="preserve">cette exclusion est de nature à </w:t>
      </w:r>
      <w:r w:rsidRPr="00E72418">
        <w:t>réduire</w:t>
      </w:r>
      <w:r w:rsidR="00F510E4" w:rsidRPr="00E72418">
        <w:t xml:space="preserve"> davantage</w:t>
      </w:r>
      <w:r w:rsidRPr="00E72418">
        <w:t xml:space="preserve"> le potentiel impact de la législation sur les marchés financiers</w:t>
      </w:r>
      <w:r w:rsidRPr="00E72418">
        <w:rPr>
          <w:rStyle w:val="Appelnotedebasdep"/>
        </w:rPr>
        <w:footnoteReference w:id="1594"/>
      </w:r>
      <w:r w:rsidRPr="00E72418">
        <w:t>.</w:t>
      </w:r>
    </w:p>
    <w:p w14:paraId="3EC37E3D" w14:textId="77777777" w:rsidR="00FC097A" w:rsidRPr="00E72418" w:rsidRDefault="00FC097A" w:rsidP="00CC4BA8">
      <w:pPr>
        <w:spacing w:line="276" w:lineRule="auto"/>
        <w:rPr>
          <w:b/>
        </w:rPr>
      </w:pPr>
    </w:p>
    <w:p w14:paraId="6CCECEDD" w14:textId="7E1CC7E7" w:rsidR="0029048D" w:rsidRPr="00E72418" w:rsidRDefault="004469AC" w:rsidP="00CC4BA8">
      <w:pPr>
        <w:spacing w:line="276" w:lineRule="auto"/>
        <w:rPr>
          <w:b/>
        </w:rPr>
      </w:pPr>
      <w:r w:rsidRPr="00E72418">
        <w:rPr>
          <w:b/>
        </w:rPr>
        <w:t>319</w:t>
      </w:r>
      <w:r w:rsidR="00817D62" w:rsidRPr="00E72418">
        <w:rPr>
          <w:b/>
        </w:rPr>
        <w:t xml:space="preserve">. </w:t>
      </w:r>
      <w:r w:rsidR="006C747E" w:rsidRPr="00E72418">
        <w:rPr>
          <w:b/>
        </w:rPr>
        <w:t xml:space="preserve">La notion de « qualifying debt » </w:t>
      </w:r>
      <w:r w:rsidR="006C747E" w:rsidRPr="00E72418">
        <w:rPr>
          <w:rFonts w:ascii="Times New Roman" w:hAnsi="Times New Roman"/>
          <w:b/>
        </w:rPr>
        <w:t>–</w:t>
      </w:r>
      <w:r w:rsidR="006C747E" w:rsidRPr="00E72418">
        <w:t xml:space="preserve"> </w:t>
      </w:r>
      <w:r w:rsidR="000E35F7" w:rsidRPr="00E72418">
        <w:rPr>
          <w:b/>
        </w:rPr>
        <w:t xml:space="preserve">Une dette </w:t>
      </w:r>
      <w:r w:rsidR="00DC180C" w:rsidRPr="00E72418">
        <w:rPr>
          <w:b/>
        </w:rPr>
        <w:t xml:space="preserve">externe </w:t>
      </w:r>
      <w:r w:rsidR="000E35F7" w:rsidRPr="00E72418">
        <w:rPr>
          <w:b/>
        </w:rPr>
        <w:t>publique ou garantie publiquement</w:t>
      </w:r>
      <w:r w:rsidR="00DA38E4" w:rsidRPr="00E72418">
        <w:rPr>
          <w:b/>
        </w:rPr>
        <w:t xml:space="preserve"> </w:t>
      </w:r>
      <w:r w:rsidR="000E35F7" w:rsidRPr="00E72418">
        <w:rPr>
          <w:b/>
        </w:rPr>
        <w:t xml:space="preserve">– </w:t>
      </w:r>
      <w:r w:rsidR="0029048D" w:rsidRPr="00E72418">
        <w:t xml:space="preserve">Pour qu’une dette soit protégée par la loi britannique de 2010, il faut qu’elle soit publique ou garantie publiquement. </w:t>
      </w:r>
      <w:r w:rsidR="00DC180C" w:rsidRPr="00E72418">
        <w:t>Il faut par ailleurs qu’elle soit externe.</w:t>
      </w:r>
    </w:p>
    <w:p w14:paraId="54E2D2EB" w14:textId="77777777" w:rsidR="00EB3DAC" w:rsidRPr="00E72418" w:rsidRDefault="000E35F7" w:rsidP="00CC4BA8">
      <w:pPr>
        <w:spacing w:line="276" w:lineRule="auto"/>
        <w:rPr>
          <w:b/>
        </w:rPr>
      </w:pPr>
      <w:r w:rsidRPr="00E72418">
        <w:t xml:space="preserve">L’article 2(5) </w:t>
      </w:r>
      <w:r w:rsidR="00F510E4" w:rsidRPr="00E72418">
        <w:t>du</w:t>
      </w:r>
      <w:r w:rsidRPr="00E72418">
        <w:t xml:space="preserve"> </w:t>
      </w:r>
      <w:r w:rsidR="00F510E4" w:rsidRPr="00E72418">
        <w:rPr>
          <w:i/>
        </w:rPr>
        <w:t>Debt Relief (Developing Countries) Act</w:t>
      </w:r>
      <w:r w:rsidR="00F510E4" w:rsidRPr="00E72418">
        <w:t xml:space="preserve"> </w:t>
      </w:r>
      <w:r w:rsidRPr="00E72418">
        <w:t>précise le caractère public de la dette. Ainsi, il s’agit d’une dette contractée par le pays</w:t>
      </w:r>
      <w:r w:rsidR="00EB3DAC" w:rsidRPr="00E72418">
        <w:t xml:space="preserve">, le gouvernement ou une de leurs </w:t>
      </w:r>
      <w:r w:rsidRPr="00E72418">
        <w:t>parties</w:t>
      </w:r>
      <w:r w:rsidR="00EB3DAC" w:rsidRPr="00E72418">
        <w:rPr>
          <w:rStyle w:val="Appelnotedebasdep"/>
          <w:rFonts w:cs="Times New Roman"/>
          <w:szCs w:val="24"/>
        </w:rPr>
        <w:footnoteReference w:id="1595"/>
      </w:r>
      <w:r w:rsidRPr="00E72418">
        <w:t>, par sa banque centrale ou toute autre autorité monétaire du pays ou encore par une personne morale dirigée direct</w:t>
      </w:r>
      <w:r w:rsidR="00EB3DAC" w:rsidRPr="00E72418">
        <w:t>ement ou indirectement par eux.</w:t>
      </w:r>
      <w:r w:rsidR="00F510E4" w:rsidRPr="00E72418">
        <w:rPr>
          <w:b/>
        </w:rPr>
        <w:t xml:space="preserve"> </w:t>
      </w:r>
      <w:r w:rsidR="00EB3DAC" w:rsidRPr="00E72418">
        <w:t xml:space="preserve">L’article 2(7) précise </w:t>
      </w:r>
      <w:r w:rsidR="00E7577A" w:rsidRPr="00E72418">
        <w:t xml:space="preserve">lui </w:t>
      </w:r>
      <w:r w:rsidR="0029048D" w:rsidRPr="00E72418">
        <w:t>qu’une dette est garantie publiquement</w:t>
      </w:r>
      <w:r w:rsidR="00EB3DAC" w:rsidRPr="00E72418">
        <w:t xml:space="preserve"> </w:t>
      </w:r>
      <w:r w:rsidR="0029048D" w:rsidRPr="00E72418">
        <w:t>lorsqu</w:t>
      </w:r>
      <w:r w:rsidR="00EB3DAC" w:rsidRPr="00E72418">
        <w:t xml:space="preserve">’une garantie existe </w:t>
      </w:r>
      <w:r w:rsidR="00F510E4" w:rsidRPr="00E72418">
        <w:t xml:space="preserve">et que </w:t>
      </w:r>
      <w:r w:rsidR="0029048D" w:rsidRPr="00E72418">
        <w:t xml:space="preserve">cette garantie </w:t>
      </w:r>
      <w:r w:rsidR="00EB3DAC" w:rsidRPr="00E72418">
        <w:t>a été contractée avant l’entrée en vigueur de la loi et, si le pays a atteint</w:t>
      </w:r>
      <w:r w:rsidR="0029048D" w:rsidRPr="00E72418">
        <w:t xml:space="preserve"> le point de décision, avant qu’il</w:t>
      </w:r>
      <w:r w:rsidR="00EB3DAC" w:rsidRPr="00E72418">
        <w:t xml:space="preserve"> ait été atteint. </w:t>
      </w:r>
      <w:r w:rsidR="0029048D" w:rsidRPr="00E72418">
        <w:t xml:space="preserve">Il faut par ailleurs que la dette </w:t>
      </w:r>
      <w:r w:rsidR="00F510E4" w:rsidRPr="00E72418">
        <w:t>ait été</w:t>
      </w:r>
      <w:r w:rsidR="00EB3DAC" w:rsidRPr="00E72418">
        <w:t xml:space="preserve"> publique si elle av</w:t>
      </w:r>
      <w:r w:rsidR="009A6365" w:rsidRPr="00E72418">
        <w:t xml:space="preserve">ait été encourue par le garant. </w:t>
      </w:r>
      <w:r w:rsidR="0029048D" w:rsidRPr="00E72418">
        <w:t>S</w:t>
      </w:r>
      <w:r w:rsidR="009A6365" w:rsidRPr="00E72418">
        <w:t xml:space="preserve">i les conditions </w:t>
      </w:r>
      <w:r w:rsidR="0029048D" w:rsidRPr="00E72418">
        <w:t>qui précèdent</w:t>
      </w:r>
      <w:r w:rsidR="009A6365" w:rsidRPr="00E72418">
        <w:t xml:space="preserve"> sont uniquement remplies pour u</w:t>
      </w:r>
      <w:r w:rsidR="0029048D" w:rsidRPr="00E72418">
        <w:t>ne partie de la dette concernée, alors seule cette partie est considérée comme garantie publiquement</w:t>
      </w:r>
      <w:r w:rsidR="0029048D" w:rsidRPr="00E72418">
        <w:rPr>
          <w:rStyle w:val="Appelnotedebasdep"/>
        </w:rPr>
        <w:footnoteReference w:id="1596"/>
      </w:r>
      <w:r w:rsidR="0029048D" w:rsidRPr="00E72418">
        <w:t>.</w:t>
      </w:r>
    </w:p>
    <w:p w14:paraId="1CC26B19" w14:textId="77777777" w:rsidR="000E35F7" w:rsidRPr="00E72418" w:rsidRDefault="000E35F7" w:rsidP="00CC4BA8">
      <w:pPr>
        <w:spacing w:line="276" w:lineRule="auto"/>
      </w:pPr>
      <w:r w:rsidRPr="00E72418">
        <w:t xml:space="preserve">Le caractère externe de la dette est </w:t>
      </w:r>
      <w:r w:rsidR="00E7577A" w:rsidRPr="00E72418">
        <w:t xml:space="preserve">quant à lui </w:t>
      </w:r>
      <w:r w:rsidR="00DC180C" w:rsidRPr="00E72418">
        <w:t>visé</w:t>
      </w:r>
      <w:r w:rsidRPr="00E72418">
        <w:t xml:space="preserve"> à l’article 2(9) où l’on peut lire </w:t>
      </w:r>
      <w:r w:rsidR="0004079A" w:rsidRPr="00E72418">
        <w:t>qu’</w:t>
      </w:r>
      <w:r w:rsidR="00DC180C" w:rsidRPr="00E72418">
        <w:t xml:space="preserve"> </w:t>
      </w:r>
      <w:r w:rsidRPr="00E72418">
        <w:t>« [a] public or publicly guaranteed debt of a country is “external” unless the creditor was resident in the country if decision point was reached in respect of the country before commencement, at the time that point was reached, or otherwise, at commencement »</w:t>
      </w:r>
      <w:r w:rsidR="00E62DEA" w:rsidRPr="00E72418">
        <w:rPr>
          <w:rStyle w:val="Appelnotedebasdep"/>
          <w:rFonts w:cs="Times New Roman"/>
          <w:szCs w:val="24"/>
        </w:rPr>
        <w:footnoteReference w:id="1597"/>
      </w:r>
      <w:r w:rsidRPr="00E72418">
        <w:t xml:space="preserve">. </w:t>
      </w:r>
      <w:r w:rsidR="00DC180C" w:rsidRPr="00E72418">
        <w:t>L</w:t>
      </w:r>
      <w:r w:rsidRPr="00E72418">
        <w:t xml:space="preserve">a loi britannique pose une présomption d’externalité </w:t>
      </w:r>
      <w:r w:rsidR="00DC180C" w:rsidRPr="00E72418">
        <w:t>qui</w:t>
      </w:r>
      <w:r w:rsidRPr="00E72418">
        <w:t xml:space="preserve"> peut être renversée</w:t>
      </w:r>
      <w:r w:rsidR="00B7169D" w:rsidRPr="00E72418">
        <w:t xml:space="preserve">. </w:t>
      </w:r>
      <w:r w:rsidR="00B7169D" w:rsidRPr="00E72418">
        <w:rPr>
          <w:szCs w:val="24"/>
        </w:rPr>
        <w:t xml:space="preserve">Ainsi, </w:t>
      </w:r>
      <w:r w:rsidR="00B7169D" w:rsidRPr="00E72418">
        <w:rPr>
          <w:rStyle w:val="SansinterligneCar"/>
          <w:sz w:val="24"/>
          <w:szCs w:val="24"/>
          <w:lang w:val="en-US"/>
        </w:rPr>
        <w:t xml:space="preserve">l’article 2(10) précise qu’ </w:t>
      </w:r>
      <w:r w:rsidR="00B7169D" w:rsidRPr="00E72418">
        <w:rPr>
          <w:szCs w:val="24"/>
          <w:lang w:val="en-US"/>
        </w:rPr>
        <w:t>« [i]f in any proceedings there is an issue as to whether a debt is a qualifying debt, treat the debt as external unless it is proved in those proceedings that it is not external »</w:t>
      </w:r>
      <w:r w:rsidR="00CB386D" w:rsidRPr="00E72418">
        <w:rPr>
          <w:szCs w:val="24"/>
        </w:rPr>
        <w:t>.</w:t>
      </w:r>
      <w:r w:rsidR="00CB386D" w:rsidRPr="00E72418">
        <w:t xml:space="preserve"> </w:t>
      </w:r>
      <w:r w:rsidR="00B7169D" w:rsidRPr="00E72418">
        <w:t>Relevons finalement que l</w:t>
      </w:r>
      <w:r w:rsidR="00CB386D" w:rsidRPr="00E72418">
        <w:t xml:space="preserve">’externalité </w:t>
      </w:r>
      <w:r w:rsidRPr="00E72418">
        <w:t xml:space="preserve">de la dette </w:t>
      </w:r>
      <w:r w:rsidR="00CB386D" w:rsidRPr="00E72418">
        <w:t xml:space="preserve">qui est sujette à débat </w:t>
      </w:r>
      <w:r w:rsidRPr="00E72418">
        <w:t>est déterminé</w:t>
      </w:r>
      <w:r w:rsidR="00CB386D" w:rsidRPr="00E72418">
        <w:t>e</w:t>
      </w:r>
      <w:r w:rsidRPr="00E72418">
        <w:t xml:space="preserve"> sur la seule base de la résidence </w:t>
      </w:r>
      <w:r w:rsidRPr="00E72418">
        <w:lastRenderedPageBreak/>
        <w:t>du créancier laquelle est de nature à changer quand la dette est échangée sur le marché secondaire</w:t>
      </w:r>
      <w:r w:rsidRPr="00E72418">
        <w:rPr>
          <w:rStyle w:val="Appelnotedebasdep"/>
        </w:rPr>
        <w:footnoteReference w:id="1598"/>
      </w:r>
      <w:r w:rsidRPr="00E72418">
        <w:t xml:space="preserve">. </w:t>
      </w:r>
    </w:p>
    <w:p w14:paraId="69935CDF" w14:textId="77777777" w:rsidR="0029048D" w:rsidRPr="00E72418" w:rsidRDefault="0029048D" w:rsidP="00CC4BA8">
      <w:pPr>
        <w:spacing w:line="276" w:lineRule="auto"/>
      </w:pPr>
    </w:p>
    <w:p w14:paraId="555EB918" w14:textId="290CADE5" w:rsidR="0029048D" w:rsidRPr="00E72418" w:rsidRDefault="004469AC" w:rsidP="00CC4BA8">
      <w:pPr>
        <w:spacing w:line="276" w:lineRule="auto"/>
      </w:pPr>
      <w:r w:rsidRPr="00E72418">
        <w:rPr>
          <w:b/>
        </w:rPr>
        <w:t>320</w:t>
      </w:r>
      <w:r w:rsidR="00817D62" w:rsidRPr="00E72418">
        <w:rPr>
          <w:b/>
        </w:rPr>
        <w:t xml:space="preserve">. </w:t>
      </w:r>
      <w:r w:rsidR="0029048D" w:rsidRPr="00E72418">
        <w:rPr>
          <w:b/>
        </w:rPr>
        <w:t xml:space="preserve">La notion de « qualifying debt » </w:t>
      </w:r>
      <w:r w:rsidR="0029048D" w:rsidRPr="00E72418">
        <w:rPr>
          <w:rFonts w:ascii="Times New Roman" w:hAnsi="Times New Roman"/>
          <w:b/>
        </w:rPr>
        <w:t>–</w:t>
      </w:r>
      <w:r w:rsidR="0029048D" w:rsidRPr="00E72418">
        <w:t xml:space="preserve"> </w:t>
      </w:r>
      <w:r w:rsidR="000A2016" w:rsidRPr="00E72418">
        <w:rPr>
          <w:b/>
        </w:rPr>
        <w:t>Les restrictions temporelles</w:t>
      </w:r>
      <w:r w:rsidR="0029048D" w:rsidRPr="00E72418">
        <w:rPr>
          <w:b/>
        </w:rPr>
        <w:t xml:space="preserve"> – </w:t>
      </w:r>
      <w:r w:rsidR="0029048D" w:rsidRPr="00E72418">
        <w:t xml:space="preserve">L’entame de l’article 1(3) du </w:t>
      </w:r>
      <w:r w:rsidR="0029048D" w:rsidRPr="00E72418">
        <w:rPr>
          <w:i/>
        </w:rPr>
        <w:t>Debt Relief (Developing Countries) Act</w:t>
      </w:r>
      <w:r w:rsidR="0029048D" w:rsidRPr="00E72418">
        <w:t xml:space="preserve"> prévoit que pour être qualifiée et donc être protégée, la dette doit avoir été encourue avant l’entrée en vigueur de la loi</w:t>
      </w:r>
      <w:r w:rsidR="000E39D0" w:rsidRPr="00E72418">
        <w:rPr>
          <w:rStyle w:val="Appelnotedebasdep"/>
        </w:rPr>
        <w:footnoteReference w:id="1599"/>
      </w:r>
      <w:r w:rsidR="0029048D" w:rsidRPr="00E72418">
        <w:t>.</w:t>
      </w:r>
      <w:r w:rsidR="000E39D0" w:rsidRPr="00E72418">
        <w:t xml:space="preserve"> </w:t>
      </w:r>
      <w:r w:rsidR="00777342" w:rsidRPr="00E72418">
        <w:t>Bien</w:t>
      </w:r>
      <w:r w:rsidR="0029048D" w:rsidRPr="00E72418">
        <w:t xml:space="preserve"> qu’indubitablement les Pays Pauvres Très Endettés ont continué à </w:t>
      </w:r>
      <w:r w:rsidR="00FF5E08" w:rsidRPr="00E72418">
        <w:t>emprunter après cette date, le G</w:t>
      </w:r>
      <w:r w:rsidR="0029048D" w:rsidRPr="00E72418">
        <w:t xml:space="preserve">ouvernement </w:t>
      </w:r>
      <w:r w:rsidR="00777342" w:rsidRPr="00E72418">
        <w:t>britannique notait</w:t>
      </w:r>
      <w:r w:rsidR="0029048D" w:rsidRPr="00E72418">
        <w:t xml:space="preserve"> que pour </w:t>
      </w:r>
      <w:r w:rsidR="008A5AEB" w:rsidRPr="00E72418">
        <w:t xml:space="preserve">les dettes postérieures à </w:t>
      </w:r>
      <w:r w:rsidR="0029048D" w:rsidRPr="00E72418">
        <w:t>l’entrée en vigueur de la loi, d’autres mécanismes p</w:t>
      </w:r>
      <w:r w:rsidR="00777342" w:rsidRPr="00E72418">
        <w:t>ouvai</w:t>
      </w:r>
      <w:r w:rsidR="00D767F3" w:rsidRPr="00E72418">
        <w:t xml:space="preserve">ent être mis en place </w:t>
      </w:r>
      <w:r w:rsidR="0029048D" w:rsidRPr="00E72418">
        <w:t>afin d’éviter que le problème des créanciers récalcitrants ne se rencontre</w:t>
      </w:r>
      <w:r w:rsidR="0029048D" w:rsidRPr="00E72418">
        <w:rPr>
          <w:rStyle w:val="Appelnotedebasdep"/>
        </w:rPr>
        <w:footnoteReference w:id="1600"/>
      </w:r>
      <w:r w:rsidR="0029048D" w:rsidRPr="00E72418">
        <w:t xml:space="preserve">. </w:t>
      </w:r>
      <w:r w:rsidR="00777342" w:rsidRPr="00E72418">
        <w:t>Cette</w:t>
      </w:r>
      <w:r w:rsidR="0029048D" w:rsidRPr="00E72418">
        <w:t xml:space="preserve"> restriction temporelle vise</w:t>
      </w:r>
      <w:r w:rsidR="00777342" w:rsidRPr="00E72418">
        <w:t>, d’autre part,</w:t>
      </w:r>
      <w:r w:rsidR="0029048D" w:rsidRPr="00E72418">
        <w:t xml:space="preserve"> à éviter les défauts opportunistes</w:t>
      </w:r>
      <w:r w:rsidR="00D767F3" w:rsidRPr="00E72418">
        <w:t xml:space="preserve"> d’</w:t>
      </w:r>
      <w:r w:rsidR="00D767F3" w:rsidRPr="00E72418">
        <w:rPr>
          <w:lang w:eastAsia="fr-BE"/>
        </w:rPr>
        <w:t>É</w:t>
      </w:r>
      <w:r w:rsidR="0029048D" w:rsidRPr="00E72418">
        <w:t xml:space="preserve">tats </w:t>
      </w:r>
      <w:r w:rsidR="00777342" w:rsidRPr="00E72418">
        <w:t xml:space="preserve">débiteurs </w:t>
      </w:r>
      <w:r w:rsidR="0029048D" w:rsidRPr="00E72418">
        <w:t xml:space="preserve">qui chercheraient à profiter d’une protection devenue </w:t>
      </w:r>
      <w:r w:rsidR="00777342" w:rsidRPr="00E72418">
        <w:t xml:space="preserve">possiblement </w:t>
      </w:r>
      <w:r w:rsidR="0029048D" w:rsidRPr="00E72418">
        <w:t>injustifiée</w:t>
      </w:r>
      <w:r w:rsidR="0029048D" w:rsidRPr="00E72418">
        <w:rPr>
          <w:rStyle w:val="Appelnotedebasdep"/>
        </w:rPr>
        <w:footnoteReference w:id="1601"/>
      </w:r>
      <w:r w:rsidR="0029048D" w:rsidRPr="00E72418">
        <w:t xml:space="preserve">. </w:t>
      </w:r>
      <w:r w:rsidR="00777342" w:rsidRPr="00E72418">
        <w:t>L</w:t>
      </w:r>
      <w:r w:rsidR="0029048D" w:rsidRPr="00E72418">
        <w:t>’extension du régime protecteur de la loi aux dettes postérieures à son entrée en vigueur serait de nature à décourager les investisseurs tout autant qu’elle conduirait à ce que des clauses désignent comme applicable un autre droit que le droit britannique et comme compétentes d’autres juridictions que les juridictions britanniques</w:t>
      </w:r>
      <w:r w:rsidR="0029048D" w:rsidRPr="00E72418">
        <w:rPr>
          <w:rStyle w:val="Appelnotedebasdep"/>
          <w:rFonts w:ascii="Times New Roman" w:hAnsi="Times New Roman" w:cs="Times New Roman"/>
        </w:rPr>
        <w:footnoteReference w:id="1602"/>
      </w:r>
      <w:r w:rsidR="0029048D" w:rsidRPr="00E72418">
        <w:t>.</w:t>
      </w:r>
    </w:p>
    <w:p w14:paraId="2DEF9EA5" w14:textId="1F0F8A3A" w:rsidR="00721496" w:rsidRPr="00E72418" w:rsidRDefault="00D04F1E" w:rsidP="00CC4BA8">
      <w:pPr>
        <w:spacing w:line="276" w:lineRule="auto"/>
      </w:pPr>
      <w:r w:rsidRPr="00E72418">
        <w:t xml:space="preserve">Si </w:t>
      </w:r>
      <w:r w:rsidR="00EB340E" w:rsidRPr="00E72418">
        <w:t xml:space="preserve">l’article 1(3) </w:t>
      </w:r>
      <w:r w:rsidR="00777342" w:rsidRPr="00E72418">
        <w:t xml:space="preserve">du </w:t>
      </w:r>
      <w:r w:rsidR="00777342" w:rsidRPr="00E72418">
        <w:rPr>
          <w:i/>
        </w:rPr>
        <w:t>Debt Relief (Developing Countries) Act</w:t>
      </w:r>
      <w:r w:rsidR="00EB340E" w:rsidRPr="00E72418">
        <w:t xml:space="preserve"> prévoit que</w:t>
      </w:r>
      <w:r w:rsidR="000E35F7" w:rsidRPr="00E72418">
        <w:t xml:space="preserve"> les dettes bénéficiant de la </w:t>
      </w:r>
      <w:r w:rsidRPr="00E72418">
        <w:t xml:space="preserve">protection mise en place </w:t>
      </w:r>
      <w:r w:rsidR="000E35F7" w:rsidRPr="00E72418">
        <w:t>sont celles engagées avant</w:t>
      </w:r>
      <w:r w:rsidR="00EB340E" w:rsidRPr="00E72418">
        <w:t xml:space="preserve"> l’entrée en vigueur de la loi, la disposition précise également que </w:t>
      </w:r>
      <w:r w:rsidR="00D767F3" w:rsidRPr="00E72418">
        <w:t xml:space="preserve">pour les </w:t>
      </w:r>
      <w:r w:rsidR="00D767F3" w:rsidRPr="00E72418">
        <w:rPr>
          <w:lang w:eastAsia="fr-BE"/>
        </w:rPr>
        <w:t>É</w:t>
      </w:r>
      <w:r w:rsidR="00E309B1" w:rsidRPr="00E72418">
        <w:t>tats à qui l’Initiative s’applique,</w:t>
      </w:r>
      <w:r w:rsidR="000E35F7" w:rsidRPr="00E72418">
        <w:t xml:space="preserve"> </w:t>
      </w:r>
      <w:r w:rsidR="00EB340E" w:rsidRPr="00E72418">
        <w:t xml:space="preserve">seules les </w:t>
      </w:r>
      <w:r w:rsidR="000E35F7" w:rsidRPr="00E72418">
        <w:t>dettes engagées avant que le pays ait atteint le point de décision</w:t>
      </w:r>
      <w:r w:rsidR="00EB340E" w:rsidRPr="00E72418">
        <w:t xml:space="preserve"> sont protégées</w:t>
      </w:r>
      <w:r w:rsidR="007165A1" w:rsidRPr="00E72418">
        <w:rPr>
          <w:rStyle w:val="Appelnotedebasdep"/>
        </w:rPr>
        <w:footnoteReference w:id="1603"/>
      </w:r>
      <w:r w:rsidR="00FB5C28" w:rsidRPr="00E72418">
        <w:rPr>
          <w:vertAlign w:val="superscript"/>
        </w:rPr>
        <w:t>,</w:t>
      </w:r>
      <w:r w:rsidR="00EB340E" w:rsidRPr="00E72418">
        <w:rPr>
          <w:rStyle w:val="Appelnotedebasdep"/>
        </w:rPr>
        <w:footnoteReference w:id="1604"/>
      </w:r>
      <w:r w:rsidR="00EB340E" w:rsidRPr="00E72418">
        <w:t>.</w:t>
      </w:r>
      <w:r w:rsidR="00777342" w:rsidRPr="00E72418">
        <w:t xml:space="preserve"> </w:t>
      </w:r>
      <w:r w:rsidR="00EB340E" w:rsidRPr="00E72418">
        <w:t xml:space="preserve">Cette </w:t>
      </w:r>
      <w:r w:rsidR="00777342" w:rsidRPr="00E72418">
        <w:t>limitation de la protection offerte</w:t>
      </w:r>
      <w:r w:rsidR="00EB340E" w:rsidRPr="00E72418">
        <w:t xml:space="preserve"> se justifie par le fait qu’une fois le processus d’</w:t>
      </w:r>
      <w:r w:rsidR="00D767F3" w:rsidRPr="00E72418">
        <w:t>allègement de dettes entamé, l’</w:t>
      </w:r>
      <w:r w:rsidR="00D767F3" w:rsidRPr="00E72418">
        <w:rPr>
          <w:lang w:eastAsia="fr-BE"/>
        </w:rPr>
        <w:t>É</w:t>
      </w:r>
      <w:r w:rsidR="00EB340E" w:rsidRPr="00E72418">
        <w:t>tat bénéficiaire se doit de gérer ses nouvelle</w:t>
      </w:r>
      <w:r w:rsidR="00E36691" w:rsidRPr="00E72418">
        <w:t>s dettes de manière responsable</w:t>
      </w:r>
      <w:r w:rsidR="00EB340E" w:rsidRPr="00E72418">
        <w:t xml:space="preserve"> en s’assurant qu’elles soient viables sans s’attendre à ce qu’elles bénéficient de l’Initiative</w:t>
      </w:r>
      <w:r w:rsidR="005262C3" w:rsidRPr="00E72418">
        <w:rPr>
          <w:rStyle w:val="Appelnotedebasdep"/>
          <w:szCs w:val="24"/>
        </w:rPr>
        <w:footnoteReference w:id="1605"/>
      </w:r>
      <w:r w:rsidR="005262C3" w:rsidRPr="00E72418">
        <w:rPr>
          <w:rFonts w:ascii="Humanist777BT-LightB" w:hAnsi="Humanist777BT-LightB" w:cs="Humanist777BT-LightB"/>
          <w:sz w:val="22"/>
        </w:rPr>
        <w:t>.</w:t>
      </w:r>
    </w:p>
    <w:p w14:paraId="5CA5DA02" w14:textId="77777777" w:rsidR="00243D0C" w:rsidRPr="00E72418" w:rsidRDefault="00243D0C" w:rsidP="00CC4BA8">
      <w:pPr>
        <w:spacing w:line="276" w:lineRule="auto"/>
      </w:pPr>
    </w:p>
    <w:p w14:paraId="61A97629" w14:textId="06873076" w:rsidR="00243D0C" w:rsidRPr="00E72418" w:rsidRDefault="004469AC" w:rsidP="00CC4BA8">
      <w:pPr>
        <w:spacing w:line="276" w:lineRule="auto"/>
      </w:pPr>
      <w:r w:rsidRPr="00E72418">
        <w:rPr>
          <w:b/>
        </w:rPr>
        <w:t>321</w:t>
      </w:r>
      <w:r w:rsidR="00817D62" w:rsidRPr="00E72418">
        <w:rPr>
          <w:b/>
        </w:rPr>
        <w:t xml:space="preserve">. </w:t>
      </w:r>
      <w:r w:rsidR="00243D0C" w:rsidRPr="00E72418">
        <w:rPr>
          <w:b/>
        </w:rPr>
        <w:t>Les créanciers visés –</w:t>
      </w:r>
      <w:r w:rsidR="00D813A1" w:rsidRPr="00E72418">
        <w:rPr>
          <w:b/>
        </w:rPr>
        <w:t xml:space="preserve"> </w:t>
      </w:r>
      <w:r w:rsidR="00D813A1" w:rsidRPr="00E72418">
        <w:t>L’application de</w:t>
      </w:r>
      <w:r w:rsidR="00243D0C" w:rsidRPr="00E72418">
        <w:t xml:space="preserve"> la limitation </w:t>
      </w:r>
      <w:r w:rsidR="00E36691" w:rsidRPr="00E72418">
        <w:t xml:space="preserve">mise en place par le </w:t>
      </w:r>
      <w:r w:rsidR="00E36691" w:rsidRPr="00E72418">
        <w:rPr>
          <w:i/>
        </w:rPr>
        <w:t>Debt Relief (Developing Countries) Act</w:t>
      </w:r>
      <w:r w:rsidR="00E36691" w:rsidRPr="00E72418">
        <w:t xml:space="preserve"> </w:t>
      </w:r>
      <w:r w:rsidR="00D813A1" w:rsidRPr="00E72418">
        <w:t>dépend de la dette poursuivie</w:t>
      </w:r>
      <w:r w:rsidR="00243D0C" w:rsidRPr="00E72418">
        <w:t xml:space="preserve">. </w:t>
      </w:r>
      <w:r w:rsidR="00E36691" w:rsidRPr="00E72418">
        <w:t>La personne du créancier est sans incidence quant à l’application du mécanisme britannique. Peu</w:t>
      </w:r>
      <w:r w:rsidR="00243D0C" w:rsidRPr="00E72418">
        <w:t xml:space="preserve"> importe </w:t>
      </w:r>
      <w:r w:rsidR="00E36691" w:rsidRPr="00E72418">
        <w:t xml:space="preserve">donc </w:t>
      </w:r>
      <w:r w:rsidR="00243D0C" w:rsidRPr="00E72418">
        <w:t>que la dette soit entre les mains du créancier originaire ou entre celles d’un créancier l’ayant acquis</w:t>
      </w:r>
      <w:r w:rsidR="007272EC" w:rsidRPr="00E72418">
        <w:t>e</w:t>
      </w:r>
      <w:r w:rsidR="00243D0C" w:rsidRPr="00E72418">
        <w:t xml:space="preserve"> sur le marché secondaire. </w:t>
      </w:r>
      <w:r w:rsidR="00E36691" w:rsidRPr="00E72418">
        <w:t xml:space="preserve">Précisément, le mécanisme </w:t>
      </w:r>
      <w:r w:rsidR="005F762D" w:rsidRPr="00E72418">
        <w:t xml:space="preserve">instauré </w:t>
      </w:r>
      <w:r w:rsidR="00E36691" w:rsidRPr="00E72418">
        <w:t xml:space="preserve">a pour effet de rendre obligatoire pour l’ensemble des créanciers des </w:t>
      </w:r>
      <w:r w:rsidR="00E36691" w:rsidRPr="00E72418">
        <w:rPr>
          <w:lang w:eastAsia="fr-BE"/>
        </w:rPr>
        <w:t>É</w:t>
      </w:r>
      <w:r w:rsidR="00E36691" w:rsidRPr="00E72418">
        <w:t>tats concernés les modalités de l’Initiative Pays Pauvres Très Endettés</w:t>
      </w:r>
      <w:r w:rsidR="005F762D" w:rsidRPr="00E72418">
        <w:t xml:space="preserve"> de la Banque mondiale et du Fonds monétaire international</w:t>
      </w:r>
      <w:r w:rsidR="00FB5C28" w:rsidRPr="00E72418">
        <w:t>.</w:t>
      </w:r>
    </w:p>
    <w:p w14:paraId="3D26F144" w14:textId="77777777" w:rsidR="00243D0C" w:rsidRPr="00E72418" w:rsidRDefault="00243D0C" w:rsidP="00CC4BA8">
      <w:pPr>
        <w:spacing w:line="276" w:lineRule="auto"/>
      </w:pPr>
      <w:r w:rsidRPr="00E72418">
        <w:rPr>
          <w:rFonts w:ascii="Times New Roman" w:hAnsi="Times New Roman"/>
        </w:rPr>
        <w:t>Lors de la consultation su</w:t>
      </w:r>
      <w:r w:rsidR="00FF5E08" w:rsidRPr="00E72418">
        <w:rPr>
          <w:rFonts w:ascii="Times New Roman" w:hAnsi="Times New Roman"/>
        </w:rPr>
        <w:t>r la législation en projet, le G</w:t>
      </w:r>
      <w:r w:rsidRPr="00E72418">
        <w:rPr>
          <w:rFonts w:ascii="Times New Roman" w:hAnsi="Times New Roman"/>
        </w:rPr>
        <w:t>ouvernement britannique avait laissé la question de l’inclusion des créanciers originaires ouverte même s’il notait déjà que « the clearest abuses of the debt relief process arise where buyers of HIPC debt at a low prevailing market price on the secondary market seek speculative reward through forcing repayment of the full value of the debt »</w:t>
      </w:r>
      <w:r w:rsidRPr="00E72418">
        <w:rPr>
          <w:rStyle w:val="Appelnotedebasdep"/>
          <w:rFonts w:ascii="Times New Roman" w:hAnsi="Times New Roman" w:cs="Times New Roman"/>
          <w:szCs w:val="24"/>
        </w:rPr>
        <w:footnoteReference w:id="1606"/>
      </w:r>
      <w:r w:rsidRPr="00E72418">
        <w:rPr>
          <w:rFonts w:ascii="Times New Roman" w:hAnsi="Times New Roman"/>
        </w:rPr>
        <w:t xml:space="preserve">. </w:t>
      </w:r>
      <w:r w:rsidR="00674C1A" w:rsidRPr="00E72418">
        <w:t>À</w:t>
      </w:r>
      <w:r w:rsidRPr="00E72418">
        <w:rPr>
          <w:rFonts w:ascii="Times New Roman" w:hAnsi="Times New Roman"/>
        </w:rPr>
        <w:t xml:space="preserve"> l’issue de la consultation, le parti fut </w:t>
      </w:r>
      <w:r w:rsidR="00E36691" w:rsidRPr="00E72418">
        <w:rPr>
          <w:rFonts w:ascii="Times New Roman" w:hAnsi="Times New Roman"/>
        </w:rPr>
        <w:t xml:space="preserve">pourtant </w:t>
      </w:r>
      <w:r w:rsidRPr="00E72418">
        <w:rPr>
          <w:rFonts w:ascii="Times New Roman" w:hAnsi="Times New Roman"/>
        </w:rPr>
        <w:t>pris de rendre la loi applicable tant aux créanciers primaires qu’aux secondaires au</w:t>
      </w:r>
      <w:r w:rsidR="00E36691" w:rsidRPr="00E72418">
        <w:rPr>
          <w:rFonts w:ascii="Times New Roman" w:hAnsi="Times New Roman"/>
        </w:rPr>
        <w:t>x</w:t>
      </w:r>
      <w:r w:rsidRPr="00E72418">
        <w:rPr>
          <w:rFonts w:ascii="Times New Roman" w:hAnsi="Times New Roman"/>
        </w:rPr>
        <w:t xml:space="preserve"> motif</w:t>
      </w:r>
      <w:r w:rsidR="00E36691" w:rsidRPr="00E72418">
        <w:rPr>
          <w:rFonts w:ascii="Times New Roman" w:hAnsi="Times New Roman"/>
        </w:rPr>
        <w:t>s</w:t>
      </w:r>
      <w:r w:rsidRPr="00E72418">
        <w:rPr>
          <w:rFonts w:ascii="Times New Roman" w:hAnsi="Times New Roman"/>
        </w:rPr>
        <w:t xml:space="preserve"> que « the interests of equity amongst creditors and fully and fairly delivering the legislation’s aim of preventing creditors within the scope of the HIPC Initiative from making excessive recoveries on their debts justify including original creditors within the scope of legislation »</w:t>
      </w:r>
      <w:r w:rsidRPr="00E72418">
        <w:rPr>
          <w:rStyle w:val="Appelnotedebasdep"/>
          <w:rFonts w:ascii="Times New Roman" w:hAnsi="Times New Roman" w:cs="Times New Roman"/>
          <w:szCs w:val="24"/>
        </w:rPr>
        <w:footnoteReference w:id="1607"/>
      </w:r>
      <w:r w:rsidRPr="00E72418">
        <w:rPr>
          <w:rFonts w:ascii="Times New Roman" w:hAnsi="Times New Roman"/>
        </w:rPr>
        <w:t>.</w:t>
      </w:r>
    </w:p>
    <w:p w14:paraId="1A028689" w14:textId="2B2E8AEA" w:rsidR="00243D0C" w:rsidRPr="00E72418" w:rsidRDefault="00243D0C" w:rsidP="00CC4BA8">
      <w:pPr>
        <w:spacing w:line="276" w:lineRule="auto"/>
      </w:pPr>
      <w:r w:rsidRPr="00E72418">
        <w:t xml:space="preserve">Si l’absence d’exclusion des créanciers originaires peut faire craindre que la mesure mise en place </w:t>
      </w:r>
      <w:r w:rsidR="005F762D" w:rsidRPr="00E72418">
        <w:t xml:space="preserve">par le législateur britannique </w:t>
      </w:r>
      <w:r w:rsidRPr="00E72418">
        <w:t>ait</w:t>
      </w:r>
      <w:r w:rsidR="00D767F3" w:rsidRPr="00E72418">
        <w:t xml:space="preserve">, pour les </w:t>
      </w:r>
      <w:r w:rsidR="00D767F3" w:rsidRPr="00E72418">
        <w:rPr>
          <w:lang w:eastAsia="fr-BE"/>
        </w:rPr>
        <w:t>É</w:t>
      </w:r>
      <w:r w:rsidRPr="00E72418">
        <w:t>tats débiteurs, une conséquence importante sur l’accès au capital et sur son coût, le fait que so</w:t>
      </w:r>
      <w:r w:rsidR="00E36691" w:rsidRPr="00E72418">
        <w:t>ie</w:t>
      </w:r>
      <w:r w:rsidRPr="00E72418">
        <w:t>nt uniquement visées certaines dettes antérieures à l’entrée en vigueur de la loi est de nature à réduire ce potentiel impact négatif</w:t>
      </w:r>
      <w:r w:rsidRPr="00E72418">
        <w:rPr>
          <w:rStyle w:val="Appelnotedebasdep"/>
        </w:rPr>
        <w:footnoteReference w:id="1608"/>
      </w:r>
      <w:r w:rsidRPr="00E72418">
        <w:t>.</w:t>
      </w:r>
    </w:p>
    <w:p w14:paraId="33940DBF" w14:textId="77777777" w:rsidR="00A02DAE" w:rsidRPr="00E72418" w:rsidRDefault="00A02DAE" w:rsidP="00CC4BA8">
      <w:pPr>
        <w:spacing w:line="276" w:lineRule="auto"/>
      </w:pPr>
    </w:p>
    <w:p w14:paraId="2B0442D5" w14:textId="17919AB5" w:rsidR="003E42D6" w:rsidRPr="00E72418" w:rsidRDefault="002F7FBF" w:rsidP="00CC4BA8">
      <w:pPr>
        <w:pStyle w:val="DD"/>
        <w:spacing w:line="276" w:lineRule="auto"/>
      </w:pPr>
      <w:bookmarkStart w:id="372" w:name="_Toc59280990"/>
      <w:bookmarkStart w:id="373" w:name="_Toc84540981"/>
      <w:r w:rsidRPr="00E72418">
        <w:t xml:space="preserve">Section 5 : </w:t>
      </w:r>
      <w:r w:rsidR="00CD5B9D" w:rsidRPr="00E72418">
        <w:t xml:space="preserve">La place de la </w:t>
      </w:r>
      <w:bookmarkEnd w:id="372"/>
      <w:r w:rsidR="00D84FB8" w:rsidRPr="00E72418">
        <w:t>loi</w:t>
      </w:r>
      <w:bookmarkEnd w:id="373"/>
    </w:p>
    <w:p w14:paraId="5E573AF4" w14:textId="77777777" w:rsidR="004007D2" w:rsidRPr="00E72418" w:rsidRDefault="004007D2" w:rsidP="004007D2"/>
    <w:p w14:paraId="603F97A3" w14:textId="4093AF03" w:rsidR="005A3EB9" w:rsidRPr="00E72418" w:rsidRDefault="004469AC" w:rsidP="005A3EB9">
      <w:pPr>
        <w:spacing w:line="276" w:lineRule="auto"/>
        <w:rPr>
          <w:szCs w:val="24"/>
        </w:rPr>
      </w:pPr>
      <w:r w:rsidRPr="00E72418">
        <w:rPr>
          <w:rFonts w:cs="Times New Roman"/>
          <w:b/>
        </w:rPr>
        <w:t>322</w:t>
      </w:r>
      <w:r w:rsidR="00817D62" w:rsidRPr="00E72418">
        <w:rPr>
          <w:rFonts w:cs="Times New Roman"/>
          <w:b/>
        </w:rPr>
        <w:t xml:space="preserve">. </w:t>
      </w:r>
      <w:r w:rsidR="0005253E" w:rsidRPr="00E72418">
        <w:rPr>
          <w:rFonts w:cs="Times New Roman"/>
          <w:b/>
        </w:rPr>
        <w:t xml:space="preserve">Une règle d’ordre public </w:t>
      </w:r>
      <w:r w:rsidR="0005253E" w:rsidRPr="00E72418">
        <w:rPr>
          <w:b/>
        </w:rPr>
        <w:t>–</w:t>
      </w:r>
      <w:r w:rsidR="0005253E" w:rsidRPr="00E72418">
        <w:rPr>
          <w:rFonts w:cs="Times New Roman"/>
        </w:rPr>
        <w:t xml:space="preserve"> </w:t>
      </w:r>
      <w:r w:rsidR="005A3EB9" w:rsidRPr="00E72418">
        <w:rPr>
          <w:szCs w:val="24"/>
        </w:rPr>
        <w:t xml:space="preserve">Le </w:t>
      </w:r>
      <w:r w:rsidR="005A3EB9" w:rsidRPr="00E72418">
        <w:rPr>
          <w:i/>
          <w:szCs w:val="24"/>
        </w:rPr>
        <w:t>Debt Relief (Developing Countries) Act</w:t>
      </w:r>
      <w:r w:rsidR="005A3EB9" w:rsidRPr="00E72418">
        <w:rPr>
          <w:szCs w:val="24"/>
        </w:rPr>
        <w:t xml:space="preserve"> dispose en son article 3(9) que la limitation imposée s’applique « even if the law applicable to the qualifying debt, or to any compromise agreement, refinancing agreement or security, is the law of a country outside the United Kingdom »</w:t>
      </w:r>
      <w:r w:rsidR="005A3EB9" w:rsidRPr="00E72418">
        <w:rPr>
          <w:rStyle w:val="Appelnotedebasdep"/>
          <w:szCs w:val="24"/>
        </w:rPr>
        <w:footnoteReference w:id="1609"/>
      </w:r>
      <w:r w:rsidR="005A3EB9" w:rsidRPr="00E72418">
        <w:rPr>
          <w:szCs w:val="24"/>
        </w:rPr>
        <w:t>. Ainsi, les juridictions britanniques devront appliquer le mécanisme protecteur mis en place même si elles ont à appliquer une loi étrangère, comme par exemple la loi new-yorkaise souvent applicable aux contentieux ayant trait aux dettes souveraines.</w:t>
      </w:r>
    </w:p>
    <w:p w14:paraId="45B1BB28" w14:textId="566A01BD" w:rsidR="0005253E" w:rsidRPr="00E72418" w:rsidRDefault="007272EC" w:rsidP="00CC4BA8">
      <w:pPr>
        <w:spacing w:line="276" w:lineRule="auto"/>
      </w:pPr>
      <w:r w:rsidRPr="00E72418">
        <w:t>Comme le relevaient</w:t>
      </w:r>
      <w:r w:rsidR="0005253E" w:rsidRPr="00E72418">
        <w:t xml:space="preserve"> les notes explicatives de la proposition de loi</w:t>
      </w:r>
      <w:r w:rsidR="00BA2E44" w:rsidRPr="00E72418">
        <w:t xml:space="preserve"> britannique</w:t>
      </w:r>
      <w:r w:rsidR="0005253E" w:rsidRPr="00E72418">
        <w:t>, la réduction des dettes visées se justifie par des « compelling public policy reasons », lesquelles tiennent au souci d’empêcher le comportement parasite de certains créanciers et à celui de promouvoir le développement des Pays Pauvres Très Endettés</w:t>
      </w:r>
      <w:r w:rsidR="0005253E" w:rsidRPr="00E72418">
        <w:rPr>
          <w:rStyle w:val="Appelnotedebasdep"/>
        </w:rPr>
        <w:footnoteReference w:id="1610"/>
      </w:r>
      <w:r w:rsidR="00FF5E08" w:rsidRPr="00E72418">
        <w:t>. Le G</w:t>
      </w:r>
      <w:r w:rsidR="0005253E" w:rsidRPr="00E72418">
        <w:t xml:space="preserve">ouvernement britannique insistait sur </w:t>
      </w:r>
      <w:r w:rsidR="0005253E" w:rsidRPr="00E72418">
        <w:lastRenderedPageBreak/>
        <w:t xml:space="preserve">l’intérêt du </w:t>
      </w:r>
      <w:r w:rsidR="00BA2E44" w:rsidRPr="00E72418">
        <w:t>Royaume-Uni,</w:t>
      </w:r>
      <w:r w:rsidR="0005253E" w:rsidRPr="00E72418">
        <w:t xml:space="preserve"> et plus largeme</w:t>
      </w:r>
      <w:r w:rsidR="00BA2E44" w:rsidRPr="00E72418">
        <w:t>nt de la communauté internationale,</w:t>
      </w:r>
      <w:r w:rsidR="0005253E" w:rsidRPr="00E72418">
        <w:t xml:space="preserve"> de s’attaquer aux problèmes</w:t>
      </w:r>
      <w:r w:rsidR="0004079A" w:rsidRPr="00E72418">
        <w:t xml:space="preserve"> de la pauvreté en indiquant qu’</w:t>
      </w:r>
      <w:r w:rsidR="0005253E" w:rsidRPr="00E72418">
        <w:t xml:space="preserve"> « </w:t>
      </w:r>
      <w:r w:rsidR="0005253E" w:rsidRPr="00E72418">
        <w:rPr>
          <w:rFonts w:cs="Times New Roman"/>
        </w:rPr>
        <w:t>[i]</w:t>
      </w:r>
      <w:r w:rsidR="0005253E" w:rsidRPr="00E72418">
        <w:t>n an increasingly interdependent world, international development is vital to global common interests that will profoundly affect the quality of life for all: building international prosperity and security, and addressing the global threat of climate change »</w:t>
      </w:r>
      <w:r w:rsidR="0005253E" w:rsidRPr="00E72418">
        <w:rPr>
          <w:rStyle w:val="Appelnotedebasdep"/>
        </w:rPr>
        <w:footnoteReference w:id="1611"/>
      </w:r>
      <w:r w:rsidR="005A3EB9" w:rsidRPr="00E72418">
        <w:t xml:space="preserve">. </w:t>
      </w:r>
      <w:r w:rsidR="0005253E" w:rsidRPr="00E72418">
        <w:t xml:space="preserve">L’intérêt public en jeu avec le </w:t>
      </w:r>
      <w:r w:rsidR="0005253E" w:rsidRPr="00E72418">
        <w:rPr>
          <w:i/>
        </w:rPr>
        <w:t>Debt Relief (Developing Countries) Act</w:t>
      </w:r>
      <w:r w:rsidR="0005253E" w:rsidRPr="00E72418">
        <w:t xml:space="preserve"> fut encore rappelé lors des travaux préparatoires de la loi lors d</w:t>
      </w:r>
      <w:r w:rsidR="0004079A" w:rsidRPr="00E72418">
        <w:t>esquels Tim Boswell remarqua qu’</w:t>
      </w:r>
      <w:r w:rsidR="0005253E" w:rsidRPr="00E72418">
        <w:t xml:space="preserve"> « [i]t is in our public interest, as well as that of developing countries, to get this issue sorted out in a fair, orderly and equitable manner between the various creditors »</w:t>
      </w:r>
      <w:r w:rsidR="0005253E" w:rsidRPr="00E72418">
        <w:rPr>
          <w:rStyle w:val="Appelnotedebasdep"/>
        </w:rPr>
        <w:footnoteReference w:id="1612"/>
      </w:r>
      <w:r w:rsidR="0005253E" w:rsidRPr="00E72418">
        <w:t>.</w:t>
      </w:r>
      <w:r w:rsidR="00BA2E44" w:rsidRPr="00E72418">
        <w:t xml:space="preserve"> L’on peut ainsi conclure qu’i</w:t>
      </w:r>
      <w:r w:rsidR="0005253E" w:rsidRPr="00E72418">
        <w:t>l ressort tant du texte adopté que de son processus d’adoption qu’est contraire à l’ordre public britannique la poursuite d’une dette dans une mesure qui ne soit pas respectueuse de sa viabilité au sens de l’Initiative Pays Pauvres Très Endettés de la Banque mondiale et du Fonds monétaire international</w:t>
      </w:r>
      <w:r w:rsidR="0005253E" w:rsidRPr="00E72418">
        <w:rPr>
          <w:rStyle w:val="Appelnotedebasdep"/>
        </w:rPr>
        <w:footnoteReference w:id="1613"/>
      </w:r>
      <w:r w:rsidR="0005253E" w:rsidRPr="00E72418">
        <w:t>.</w:t>
      </w:r>
    </w:p>
    <w:p w14:paraId="33D90BF0" w14:textId="77777777" w:rsidR="00C069F9" w:rsidRPr="00E72418" w:rsidRDefault="00C069F9" w:rsidP="00CC4BA8">
      <w:pPr>
        <w:spacing w:line="276" w:lineRule="auto"/>
        <w:rPr>
          <w:szCs w:val="24"/>
        </w:rPr>
      </w:pPr>
    </w:p>
    <w:p w14:paraId="28ABD161" w14:textId="3FF288E2" w:rsidR="00802F36" w:rsidRPr="00E72418" w:rsidRDefault="007F038F" w:rsidP="00CC4BA8">
      <w:pPr>
        <w:spacing w:line="276" w:lineRule="auto"/>
        <w:rPr>
          <w:szCs w:val="24"/>
        </w:rPr>
      </w:pPr>
      <w:r w:rsidRPr="00E72418">
        <w:rPr>
          <w:b/>
        </w:rPr>
        <w:t>32</w:t>
      </w:r>
      <w:r w:rsidR="004469AC" w:rsidRPr="00E72418">
        <w:rPr>
          <w:b/>
        </w:rPr>
        <w:t>3</w:t>
      </w:r>
      <w:r w:rsidR="00817D62" w:rsidRPr="00E72418">
        <w:rPr>
          <w:b/>
        </w:rPr>
        <w:t xml:space="preserve">. </w:t>
      </w:r>
      <w:r w:rsidR="000E55B0" w:rsidRPr="00E72418">
        <w:rPr>
          <w:b/>
        </w:rPr>
        <w:t>La prééminence du droit international –</w:t>
      </w:r>
      <w:r w:rsidR="000E55B0" w:rsidRPr="00E72418">
        <w:rPr>
          <w:szCs w:val="24"/>
        </w:rPr>
        <w:t xml:space="preserve"> </w:t>
      </w:r>
      <w:r w:rsidR="006151A9" w:rsidRPr="00E72418">
        <w:rPr>
          <w:szCs w:val="24"/>
        </w:rPr>
        <w:t>Bien que</w:t>
      </w:r>
      <w:r w:rsidR="00C069F9" w:rsidRPr="00E72418">
        <w:rPr>
          <w:szCs w:val="24"/>
        </w:rPr>
        <w:t xml:space="preserve"> le mécanisme mis en place par </w:t>
      </w:r>
      <w:r w:rsidR="006151A9" w:rsidRPr="00E72418">
        <w:t xml:space="preserve">le </w:t>
      </w:r>
      <w:r w:rsidR="006151A9" w:rsidRPr="00E72418">
        <w:rPr>
          <w:i/>
          <w:szCs w:val="24"/>
        </w:rPr>
        <w:t>Debt Relief (Developing Countries) Act</w:t>
      </w:r>
      <w:r w:rsidR="006151A9" w:rsidRPr="00E72418">
        <w:rPr>
          <w:szCs w:val="24"/>
        </w:rPr>
        <w:t xml:space="preserve"> </w:t>
      </w:r>
      <w:r w:rsidR="00C069F9" w:rsidRPr="00E72418">
        <w:rPr>
          <w:szCs w:val="24"/>
        </w:rPr>
        <w:t xml:space="preserve">s’applique </w:t>
      </w:r>
      <w:r w:rsidR="006128E0" w:rsidRPr="00E72418">
        <w:rPr>
          <w:szCs w:val="24"/>
        </w:rPr>
        <w:t xml:space="preserve">aux décisions étrangères à exécuter au </w:t>
      </w:r>
      <w:r w:rsidR="00802F36" w:rsidRPr="00E72418">
        <w:rPr>
          <w:szCs w:val="24"/>
        </w:rPr>
        <w:t>Royaume-Uni, l’article</w:t>
      </w:r>
      <w:r w:rsidR="00C069F9" w:rsidRPr="00E72418">
        <w:rPr>
          <w:szCs w:val="24"/>
        </w:rPr>
        <w:t xml:space="preserve"> prévoit </w:t>
      </w:r>
      <w:r w:rsidR="00802F36" w:rsidRPr="00E72418">
        <w:rPr>
          <w:szCs w:val="24"/>
        </w:rPr>
        <w:t xml:space="preserve">toutefois </w:t>
      </w:r>
      <w:r w:rsidR="00C069F9" w:rsidRPr="00E72418">
        <w:rPr>
          <w:szCs w:val="24"/>
        </w:rPr>
        <w:t>une exception</w:t>
      </w:r>
      <w:r w:rsidR="00802F36" w:rsidRPr="00E72418">
        <w:rPr>
          <w:szCs w:val="24"/>
        </w:rPr>
        <w:t xml:space="preserve"> à la règle</w:t>
      </w:r>
      <w:r w:rsidR="000E55B0" w:rsidRPr="00E72418">
        <w:rPr>
          <w:szCs w:val="24"/>
        </w:rPr>
        <w:t xml:space="preserve"> </w:t>
      </w:r>
      <w:r w:rsidR="00366C19" w:rsidRPr="00E72418">
        <w:rPr>
          <w:szCs w:val="24"/>
        </w:rPr>
        <w:t>participant</w:t>
      </w:r>
      <w:r w:rsidR="000E55B0" w:rsidRPr="00E72418">
        <w:rPr>
          <w:szCs w:val="24"/>
        </w:rPr>
        <w:t xml:space="preserve"> de la relation qu’entretient le droit britannique avec le droit international</w:t>
      </w:r>
      <w:r w:rsidR="000E55B0" w:rsidRPr="00E72418">
        <w:t xml:space="preserve">. Il est ainsi généralement </w:t>
      </w:r>
      <w:r w:rsidR="00366C19" w:rsidRPr="00E72418">
        <w:t>disposé</w:t>
      </w:r>
      <w:r w:rsidR="00101D64" w:rsidRPr="00E72418">
        <w:t xml:space="preserve"> </w:t>
      </w:r>
      <w:r w:rsidR="00802F36" w:rsidRPr="00E72418">
        <w:t xml:space="preserve">à l’article 7(1) </w:t>
      </w:r>
      <w:r w:rsidR="00101D64" w:rsidRPr="00E72418">
        <w:t>que « [n]othing in this Act applies to a foreign judgment or an arbitration award of a kind required by an international o</w:t>
      </w:r>
      <w:r w:rsidR="0084478E" w:rsidRPr="00E72418">
        <w:t>bligation of the United Kingdom</w:t>
      </w:r>
      <w:r w:rsidR="00101D64" w:rsidRPr="00E72418">
        <w:t xml:space="preserve"> to be enforced in full even in cases where such enforcement is contrary to the public policy of the United Kingdom »</w:t>
      </w:r>
      <w:r w:rsidR="004027C9" w:rsidRPr="00E72418">
        <w:rPr>
          <w:rStyle w:val="Appelnotedebasdep"/>
          <w:szCs w:val="24"/>
        </w:rPr>
        <w:footnoteReference w:id="1614"/>
      </w:r>
      <w:r w:rsidR="00084003" w:rsidRPr="00E72418">
        <w:rPr>
          <w:vertAlign w:val="superscript"/>
        </w:rPr>
        <w:t>,</w:t>
      </w:r>
      <w:r w:rsidR="00084003" w:rsidRPr="00E72418">
        <w:rPr>
          <w:rStyle w:val="Appelnotedebasdep"/>
        </w:rPr>
        <w:footnoteReference w:id="1615"/>
      </w:r>
      <w:r w:rsidR="00802F36" w:rsidRPr="00E72418">
        <w:rPr>
          <w:szCs w:val="24"/>
        </w:rPr>
        <w:t xml:space="preserve">. Dans les situations où le Royaume-Uni est </w:t>
      </w:r>
      <w:r w:rsidR="00137051" w:rsidRPr="00E72418">
        <w:rPr>
          <w:szCs w:val="24"/>
        </w:rPr>
        <w:t xml:space="preserve">toutefois </w:t>
      </w:r>
      <w:r w:rsidR="00802F36" w:rsidRPr="00E72418">
        <w:rPr>
          <w:szCs w:val="24"/>
        </w:rPr>
        <w:t>fondé à refuser une exécution</w:t>
      </w:r>
      <w:r w:rsidR="004027C9" w:rsidRPr="00E72418">
        <w:rPr>
          <w:szCs w:val="24"/>
        </w:rPr>
        <w:t xml:space="preserve"> en raison d’une contrariété à l’ordre public</w:t>
      </w:r>
      <w:r w:rsidR="00802F36" w:rsidRPr="00E72418">
        <w:rPr>
          <w:szCs w:val="24"/>
        </w:rPr>
        <w:t xml:space="preserve">, alors la réduction mise en </w:t>
      </w:r>
      <w:r w:rsidR="00366C19" w:rsidRPr="00E72418">
        <w:rPr>
          <w:szCs w:val="24"/>
        </w:rPr>
        <w:t>place par sa législation trouve</w:t>
      </w:r>
      <w:r w:rsidR="00802F36" w:rsidRPr="00E72418">
        <w:rPr>
          <w:szCs w:val="24"/>
        </w:rPr>
        <w:t xml:space="preserve"> à s’appliquer dans la mesure où</w:t>
      </w:r>
      <w:r w:rsidR="00137051" w:rsidRPr="00E72418">
        <w:rPr>
          <w:szCs w:val="24"/>
        </w:rPr>
        <w:t>, nous l’avons indiqué,</w:t>
      </w:r>
      <w:r w:rsidR="00802F36" w:rsidRPr="00E72418">
        <w:rPr>
          <w:szCs w:val="24"/>
        </w:rPr>
        <w:t xml:space="preserve"> elle participe de </w:t>
      </w:r>
      <w:r w:rsidR="00366C19" w:rsidRPr="00E72418">
        <w:rPr>
          <w:szCs w:val="24"/>
        </w:rPr>
        <w:t xml:space="preserve">cet </w:t>
      </w:r>
      <w:r w:rsidR="004027C9" w:rsidRPr="00E72418">
        <w:rPr>
          <w:szCs w:val="24"/>
        </w:rPr>
        <w:t>ordre</w:t>
      </w:r>
      <w:r w:rsidR="00802F36" w:rsidRPr="00E72418">
        <w:rPr>
          <w:rStyle w:val="Appelnotedebasdep"/>
          <w:szCs w:val="24"/>
        </w:rPr>
        <w:footnoteReference w:id="1616"/>
      </w:r>
      <w:r w:rsidR="00802F36" w:rsidRPr="00E72418">
        <w:rPr>
          <w:szCs w:val="24"/>
        </w:rPr>
        <w:t>.</w:t>
      </w:r>
    </w:p>
    <w:p w14:paraId="628C2BE3" w14:textId="493EE3EC" w:rsidR="00220AF8" w:rsidRPr="00E72418" w:rsidRDefault="00366C19" w:rsidP="00CC4BA8">
      <w:pPr>
        <w:spacing w:line="276" w:lineRule="auto"/>
        <w:rPr>
          <w:szCs w:val="20"/>
        </w:rPr>
      </w:pPr>
      <w:r w:rsidRPr="00E72418">
        <w:lastRenderedPageBreak/>
        <w:t>La prééminence du droit international</w:t>
      </w:r>
      <w:r w:rsidR="00220AF8" w:rsidRPr="00E72418">
        <w:t xml:space="preserve"> est illustrée </w:t>
      </w:r>
      <w:r w:rsidR="006655FE" w:rsidRPr="00E72418">
        <w:t xml:space="preserve">à l’article 7(2) </w:t>
      </w:r>
      <w:r w:rsidR="00220AF8" w:rsidRPr="00E72418">
        <w:t>par l’indication de</w:t>
      </w:r>
      <w:r w:rsidR="002E1192" w:rsidRPr="00E72418">
        <w:t>s</w:t>
      </w:r>
      <w:r w:rsidR="00220AF8" w:rsidRPr="00E72418">
        <w:t xml:space="preserve"> sentence</w:t>
      </w:r>
      <w:r w:rsidR="00467DB3" w:rsidRPr="00E72418">
        <w:t>s arbitrales auxquel</w:t>
      </w:r>
      <w:r w:rsidR="00137051" w:rsidRPr="00E72418">
        <w:t>le</w:t>
      </w:r>
      <w:r w:rsidR="00220AF8" w:rsidRPr="00E72418">
        <w:t xml:space="preserve">s </w:t>
      </w:r>
      <w:r w:rsidR="00467DB3" w:rsidRPr="00E72418">
        <w:t xml:space="preserve">le </w:t>
      </w:r>
      <w:r w:rsidR="00467DB3" w:rsidRPr="00E72418">
        <w:rPr>
          <w:i/>
          <w:szCs w:val="24"/>
        </w:rPr>
        <w:t>Debt Relief (Developing Countries) Act</w:t>
      </w:r>
      <w:r w:rsidR="00467DB3" w:rsidRPr="00E72418">
        <w:t xml:space="preserve"> </w:t>
      </w:r>
      <w:r w:rsidR="00220AF8" w:rsidRPr="00E72418">
        <w:t>ne s’applique pas</w:t>
      </w:r>
      <w:r w:rsidR="002E1192" w:rsidRPr="00E72418">
        <w:rPr>
          <w:rStyle w:val="Appelnotedebasdep"/>
        </w:rPr>
        <w:footnoteReference w:id="1617"/>
      </w:r>
      <w:r w:rsidR="002E1192" w:rsidRPr="00E72418">
        <w:rPr>
          <w:vertAlign w:val="superscript"/>
        </w:rPr>
        <w:t>,</w:t>
      </w:r>
      <w:r w:rsidR="00467DB3" w:rsidRPr="00E72418">
        <w:rPr>
          <w:rStyle w:val="Appelnotedebasdep"/>
        </w:rPr>
        <w:footnoteReference w:id="1618"/>
      </w:r>
      <w:r w:rsidR="00220AF8" w:rsidRPr="00E72418">
        <w:t>. Ainsi, la loi britannique ne s’applique pas aux décisions arbitrales adoptées en vertu de la Convention pour le règlement des différends rela</w:t>
      </w:r>
      <w:r w:rsidR="00D767F3" w:rsidRPr="00E72418">
        <w:t xml:space="preserve">tifs aux investissements entre </w:t>
      </w:r>
      <w:r w:rsidR="00D767F3" w:rsidRPr="00E72418">
        <w:rPr>
          <w:lang w:eastAsia="fr-BE"/>
        </w:rPr>
        <w:t>É</w:t>
      </w:r>
      <w:r w:rsidR="00220AF8" w:rsidRPr="00E72418">
        <w:t>t</w:t>
      </w:r>
      <w:r w:rsidR="00D767F3" w:rsidRPr="00E72418">
        <w:t xml:space="preserve">ats et ressortissants d’autres </w:t>
      </w:r>
      <w:r w:rsidR="00D767F3" w:rsidRPr="00E72418">
        <w:rPr>
          <w:lang w:eastAsia="fr-BE"/>
        </w:rPr>
        <w:t>É</w:t>
      </w:r>
      <w:r w:rsidR="00220AF8" w:rsidRPr="00E72418">
        <w:t>tats</w:t>
      </w:r>
      <w:r w:rsidR="002E1192" w:rsidRPr="00E72418">
        <w:t xml:space="preserve">. </w:t>
      </w:r>
      <w:r w:rsidR="002E1192" w:rsidRPr="00E72418">
        <w:rPr>
          <w:szCs w:val="20"/>
        </w:rPr>
        <w:t>Précisément, l’article 7(2) vise les sentences auxquelles s’applique l’article 1 de l’</w:t>
      </w:r>
      <w:r w:rsidR="002E1192" w:rsidRPr="00E72418">
        <w:rPr>
          <w:i/>
          <w:szCs w:val="20"/>
        </w:rPr>
        <w:t>Arbitration (International Investment Disputes) Act 1966</w:t>
      </w:r>
      <w:r w:rsidR="002E1192" w:rsidRPr="00E72418">
        <w:rPr>
          <w:szCs w:val="20"/>
        </w:rPr>
        <w:t xml:space="preserve"> lequel renvoie à la Convention pour le règlement des différends relatifs aux investissements entre </w:t>
      </w:r>
      <w:r w:rsidR="002E1192" w:rsidRPr="00E72418">
        <w:rPr>
          <w:szCs w:val="20"/>
          <w:lang w:eastAsia="fr-BE"/>
        </w:rPr>
        <w:t>É</w:t>
      </w:r>
      <w:r w:rsidR="002E1192" w:rsidRPr="00E72418">
        <w:rPr>
          <w:szCs w:val="20"/>
        </w:rPr>
        <w:t xml:space="preserve">tats et ressortissants d’autres </w:t>
      </w:r>
      <w:r w:rsidR="002E1192" w:rsidRPr="00E72418">
        <w:rPr>
          <w:szCs w:val="20"/>
          <w:lang w:eastAsia="fr-BE"/>
        </w:rPr>
        <w:t>É</w:t>
      </w:r>
      <w:r w:rsidR="002E1192" w:rsidRPr="00E72418">
        <w:rPr>
          <w:szCs w:val="20"/>
        </w:rPr>
        <w:t xml:space="preserve">tats. Cette exception s’explique à la lecture de l’article 54(1) de la Convention dont il ressort que chaque </w:t>
      </w:r>
      <w:r w:rsidR="002E1192" w:rsidRPr="00E72418">
        <w:rPr>
          <w:szCs w:val="20"/>
          <w:lang w:eastAsia="fr-BE"/>
        </w:rPr>
        <w:t>É</w:t>
      </w:r>
      <w:r w:rsidR="002E1192" w:rsidRPr="00E72418">
        <w:rPr>
          <w:szCs w:val="20"/>
        </w:rPr>
        <w:t>tat contractant reconnaît toute sentence rendue dans le cadre de la présente Convention comme obligatoire et assure l’exécution sur son territoire des obligations pécuniaires que la sentence impose comme s’il s’agissait d’une décision émanant d’une de ses juridictions</w:t>
      </w:r>
      <w:r w:rsidR="002E1192" w:rsidRPr="00E72418">
        <w:rPr>
          <w:rStyle w:val="Appelnotedebasdep"/>
          <w:szCs w:val="20"/>
        </w:rPr>
        <w:footnoteReference w:id="1619"/>
      </w:r>
      <w:r w:rsidR="002E1192" w:rsidRPr="00E72418">
        <w:rPr>
          <w:szCs w:val="20"/>
        </w:rPr>
        <w:t>.</w:t>
      </w:r>
    </w:p>
    <w:p w14:paraId="0CBAC355" w14:textId="77777777" w:rsidR="00A02DAE" w:rsidRPr="00E72418" w:rsidRDefault="00A02DAE" w:rsidP="00CC4BA8">
      <w:pPr>
        <w:spacing w:line="276" w:lineRule="auto"/>
        <w:rPr>
          <w:szCs w:val="20"/>
        </w:rPr>
      </w:pPr>
    </w:p>
    <w:p w14:paraId="18FB1A0F" w14:textId="7353981B" w:rsidR="005F6F52" w:rsidRPr="00E72418" w:rsidRDefault="008665DF" w:rsidP="00CC4BA8">
      <w:pPr>
        <w:pStyle w:val="CC"/>
        <w:spacing w:afterLines="60" w:after="144" w:line="276" w:lineRule="auto"/>
      </w:pPr>
      <w:bookmarkStart w:id="374" w:name="_Toc37777394"/>
      <w:bookmarkStart w:id="375" w:name="_Toc59280991"/>
      <w:bookmarkStart w:id="376" w:name="_Toc75106112"/>
      <w:bookmarkStart w:id="377" w:name="_Toc84540982"/>
      <w:r w:rsidRPr="00E72418">
        <w:t xml:space="preserve">Chapitre 3 : </w:t>
      </w:r>
      <w:r w:rsidR="005F6F52" w:rsidRPr="00E72418">
        <w:t>La</w:t>
      </w:r>
      <w:r w:rsidRPr="00E72418">
        <w:t xml:space="preserve"> loi </w:t>
      </w:r>
      <w:r w:rsidR="008B3194" w:rsidRPr="00E72418">
        <w:t xml:space="preserve">belge </w:t>
      </w:r>
      <w:r w:rsidRPr="00E72418">
        <w:rPr>
          <w:bCs/>
        </w:rPr>
        <w:t>relative à la lutte contre les activités des fonds vautours</w:t>
      </w:r>
      <w:bookmarkEnd w:id="374"/>
      <w:bookmarkEnd w:id="375"/>
      <w:bookmarkEnd w:id="376"/>
      <w:bookmarkEnd w:id="377"/>
    </w:p>
    <w:p w14:paraId="742363CC" w14:textId="77777777" w:rsidR="0036555A" w:rsidRPr="00E72418" w:rsidRDefault="0036555A" w:rsidP="00CC4BA8">
      <w:pPr>
        <w:spacing w:line="276" w:lineRule="auto"/>
      </w:pPr>
    </w:p>
    <w:p w14:paraId="0CB88BB6" w14:textId="001EAFB0" w:rsidR="004959D2" w:rsidRPr="00E72418" w:rsidRDefault="004469AC" w:rsidP="00CC4BA8">
      <w:pPr>
        <w:spacing w:line="276" w:lineRule="auto"/>
      </w:pPr>
      <w:r w:rsidRPr="00E72418">
        <w:rPr>
          <w:b/>
        </w:rPr>
        <w:t>324</w:t>
      </w:r>
      <w:r w:rsidR="00817D62" w:rsidRPr="00E72418">
        <w:rPr>
          <w:b/>
        </w:rPr>
        <w:t xml:space="preserve">. </w:t>
      </w:r>
      <w:r w:rsidR="00697FE0" w:rsidRPr="00E72418">
        <w:rPr>
          <w:b/>
        </w:rPr>
        <w:t>De multiples réalisations –</w:t>
      </w:r>
      <w:r w:rsidR="00697FE0" w:rsidRPr="00E72418">
        <w:t xml:space="preserve"> </w:t>
      </w:r>
      <w:r w:rsidR="00F878A9" w:rsidRPr="00E72418">
        <w:t xml:space="preserve">Si la Belgique se fit remarquer en </w:t>
      </w:r>
      <w:r w:rsidR="00D4697E" w:rsidRPr="00E72418">
        <w:t xml:space="preserve">juillet </w:t>
      </w:r>
      <w:r w:rsidR="00F878A9" w:rsidRPr="00E72418">
        <w:t>2015 en adoptant une loi visant à lutter contre les</w:t>
      </w:r>
      <w:r w:rsidR="00B41CCF" w:rsidRPr="00E72418">
        <w:t xml:space="preserve"> activités des fonds spéculant</w:t>
      </w:r>
      <w:r w:rsidR="00F878A9" w:rsidRPr="00E72418">
        <w:t xml:space="preserve"> sur les dettes souveraines</w:t>
      </w:r>
      <w:r w:rsidR="00B05936" w:rsidRPr="00E72418">
        <w:t xml:space="preserve"> qualifiés de « fonds vautours »</w:t>
      </w:r>
      <w:r w:rsidR="00F878A9" w:rsidRPr="00E72418">
        <w:t xml:space="preserve">, son engagement à s’y attaquer </w:t>
      </w:r>
      <w:r w:rsidR="00B05936" w:rsidRPr="00E72418">
        <w:t>ne s’y réduit pas</w:t>
      </w:r>
      <w:r w:rsidR="00F878A9" w:rsidRPr="00E72418">
        <w:t>.</w:t>
      </w:r>
      <w:r w:rsidR="00630176" w:rsidRPr="00E72418">
        <w:t xml:space="preserve"> E</w:t>
      </w:r>
      <w:r w:rsidR="00D4697E" w:rsidRPr="00E72418">
        <w:t xml:space="preserve">n réaction à quelques-unes de </w:t>
      </w:r>
      <w:r w:rsidR="00B05936" w:rsidRPr="00E72418">
        <w:t>leurs</w:t>
      </w:r>
      <w:r w:rsidR="00D4697E" w:rsidRPr="00E72418">
        <w:t xml:space="preserve"> activités, le législateur belge a</w:t>
      </w:r>
      <w:r w:rsidR="00D42755" w:rsidRPr="00E72418">
        <w:t>vait</w:t>
      </w:r>
      <w:r w:rsidR="00B05936" w:rsidRPr="00E72418">
        <w:t xml:space="preserve"> déjà</w:t>
      </w:r>
      <w:r w:rsidR="00D4697E" w:rsidRPr="00E72418">
        <w:t>, en 2004 et 2008, adopté deux textes visant la réglementation de certaines saisies et voies d’exécution</w:t>
      </w:r>
      <w:r w:rsidR="00736F3F" w:rsidRPr="00E72418">
        <w:t xml:space="preserve"> (</w:t>
      </w:r>
      <w:r w:rsidR="00736F3F" w:rsidRPr="00E72418">
        <w:rPr>
          <w:b/>
        </w:rPr>
        <w:t>section 1</w:t>
      </w:r>
      <w:r w:rsidR="00736F3F" w:rsidRPr="00E72418">
        <w:t>)</w:t>
      </w:r>
      <w:r w:rsidR="00D42755" w:rsidRPr="00E72418">
        <w:rPr>
          <w:rStyle w:val="Appelnotedebasdep"/>
        </w:rPr>
        <w:footnoteReference w:id="1620"/>
      </w:r>
      <w:r w:rsidR="00D4697E" w:rsidRPr="00E72418">
        <w:t xml:space="preserve">. </w:t>
      </w:r>
      <w:r w:rsidR="00630176" w:rsidRPr="00E72418">
        <w:t>Suivant la même méthode d’analyse que celle utilisée pour les tex</w:t>
      </w:r>
      <w:r w:rsidR="00D41378" w:rsidRPr="00E72418">
        <w:t>tes étatsunien</w:t>
      </w:r>
      <w:r w:rsidR="00630176" w:rsidRPr="00E72418">
        <w:t xml:space="preserve"> et britannique, le contexte d’adoption de la loi belge doit être précisé (</w:t>
      </w:r>
      <w:r w:rsidR="00630176" w:rsidRPr="00E72418">
        <w:rPr>
          <w:b/>
        </w:rPr>
        <w:t>section 2</w:t>
      </w:r>
      <w:r w:rsidR="00630176" w:rsidRPr="00E72418">
        <w:t>) de même que le mécanisme qu’elle met en place (</w:t>
      </w:r>
      <w:r w:rsidR="00630176" w:rsidRPr="00E72418">
        <w:rPr>
          <w:b/>
        </w:rPr>
        <w:t>section 3</w:t>
      </w:r>
      <w:r w:rsidR="00630176" w:rsidRPr="00E72418">
        <w:t>). Ce dernier est particulier quant aux critères qu’il mobilise (</w:t>
      </w:r>
      <w:r w:rsidR="00630176" w:rsidRPr="00E72418">
        <w:rPr>
          <w:b/>
        </w:rPr>
        <w:t>section 4</w:t>
      </w:r>
      <w:r w:rsidR="00630176" w:rsidRPr="00E72418">
        <w:t xml:space="preserve">). </w:t>
      </w:r>
      <w:r w:rsidR="00630176" w:rsidRPr="00E72418">
        <w:lastRenderedPageBreak/>
        <w:t xml:space="preserve">Suivant le </w:t>
      </w:r>
      <w:r w:rsidR="00630176" w:rsidRPr="001E77CE">
        <w:rPr>
          <w:i/>
        </w:rPr>
        <w:t>modus operandi</w:t>
      </w:r>
      <w:r w:rsidR="00630176" w:rsidRPr="00E72418">
        <w:t xml:space="preserve"> précédemment emprunté, il importe alors de préciser les personnes et les dettes concernées par la loi (</w:t>
      </w:r>
      <w:r w:rsidR="00630176" w:rsidRPr="00E72418">
        <w:rPr>
          <w:b/>
        </w:rPr>
        <w:t>section 5</w:t>
      </w:r>
      <w:r w:rsidR="00630176" w:rsidRPr="00E72418">
        <w:t xml:space="preserve">) de même qu’il convient de situer </w:t>
      </w:r>
      <w:r w:rsidR="00D41378" w:rsidRPr="00E72418">
        <w:t xml:space="preserve">la portée de </w:t>
      </w:r>
      <w:r w:rsidR="00630176" w:rsidRPr="00E72418">
        <w:t>cette dernière (</w:t>
      </w:r>
      <w:r w:rsidR="00630176" w:rsidRPr="00E72418">
        <w:rPr>
          <w:b/>
        </w:rPr>
        <w:t>section 6</w:t>
      </w:r>
      <w:r w:rsidR="00630176" w:rsidRPr="00E72418">
        <w:t>).</w:t>
      </w:r>
    </w:p>
    <w:p w14:paraId="1ED48FAC" w14:textId="7305E901" w:rsidR="00F878A9" w:rsidRPr="00E72418" w:rsidRDefault="00F878A9" w:rsidP="00630176"/>
    <w:p w14:paraId="5B98890F" w14:textId="1288AC59" w:rsidR="0036555A" w:rsidRPr="00E72418" w:rsidRDefault="008665DF" w:rsidP="00CC4BA8">
      <w:pPr>
        <w:pStyle w:val="DD"/>
        <w:spacing w:line="276" w:lineRule="auto"/>
      </w:pPr>
      <w:bookmarkStart w:id="378" w:name="_Toc59280992"/>
      <w:bookmarkStart w:id="379" w:name="_Toc84540983"/>
      <w:r w:rsidRPr="00E72418">
        <w:t xml:space="preserve">Section 1 : </w:t>
      </w:r>
      <w:r w:rsidR="004959D2" w:rsidRPr="00E72418">
        <w:t>La régl</w:t>
      </w:r>
      <w:r w:rsidR="00B71734" w:rsidRPr="00E72418">
        <w:t>ementation de certaines saisies et</w:t>
      </w:r>
      <w:r w:rsidR="004959D2" w:rsidRPr="00E72418">
        <w:t xml:space="preserve"> voies d’exécution</w:t>
      </w:r>
      <w:bookmarkEnd w:id="378"/>
      <w:bookmarkEnd w:id="379"/>
    </w:p>
    <w:p w14:paraId="4614BB4F" w14:textId="77777777" w:rsidR="00736F3F" w:rsidRPr="00E72418" w:rsidRDefault="00736F3F" w:rsidP="00630176"/>
    <w:p w14:paraId="4E3C01F9" w14:textId="550D1168" w:rsidR="00630176" w:rsidRPr="00E72418" w:rsidRDefault="007F038F" w:rsidP="00630176">
      <w:pPr>
        <w:spacing w:line="276" w:lineRule="auto"/>
      </w:pPr>
      <w:r w:rsidRPr="00E72418">
        <w:rPr>
          <w:b/>
        </w:rPr>
        <w:t>3</w:t>
      </w:r>
      <w:r w:rsidR="004469AC" w:rsidRPr="00E72418">
        <w:rPr>
          <w:b/>
        </w:rPr>
        <w:t>25</w:t>
      </w:r>
      <w:r w:rsidRPr="00E72418">
        <w:rPr>
          <w:b/>
        </w:rPr>
        <w:t xml:space="preserve">. </w:t>
      </w:r>
      <w:r w:rsidR="004B7040" w:rsidRPr="00E72418">
        <w:rPr>
          <w:b/>
        </w:rPr>
        <w:t xml:space="preserve">Diverses protections – </w:t>
      </w:r>
      <w:r w:rsidR="00630176" w:rsidRPr="00E72418">
        <w:t xml:space="preserve">Quelques années avant son homologue britannique, le législateur belge avait </w:t>
      </w:r>
      <w:r w:rsidR="00560C9E" w:rsidRPr="00E72418">
        <w:t>déjà</w:t>
      </w:r>
      <w:r w:rsidR="00630176" w:rsidRPr="00E72418">
        <w:t xml:space="preserve"> été sensible à différentes affaires initiées par des fonds spéculant sur les dettes souveraines</w:t>
      </w:r>
      <w:r w:rsidR="00D41378" w:rsidRPr="00E72418">
        <w:t>. Son interpellation découlait de la nature singulière des biens que ces créanciers avaient visés par leurs actions judiciaires</w:t>
      </w:r>
      <w:r w:rsidR="00560C9E" w:rsidRPr="00E72418">
        <w:t>.</w:t>
      </w:r>
      <w:r w:rsidR="00D41378" w:rsidRPr="00E72418">
        <w:t xml:space="preserve"> Ainsi, la Belgique</w:t>
      </w:r>
      <w:r w:rsidR="00630176" w:rsidRPr="00E72418">
        <w:t xml:space="preserve"> légiféra une première fois en 2004 afin de protéger les comptes de règlement pouvant être </w:t>
      </w:r>
      <w:r w:rsidR="005F1C94" w:rsidRPr="00E72418">
        <w:t>convoités par les créanciers d’</w:t>
      </w:r>
      <w:r w:rsidR="005F1C94" w:rsidRPr="00E72418">
        <w:rPr>
          <w:lang w:eastAsia="fr-BE"/>
        </w:rPr>
        <w:t>É</w:t>
      </w:r>
      <w:r w:rsidR="00630176" w:rsidRPr="00E72418">
        <w:t>tats (</w:t>
      </w:r>
      <w:r w:rsidR="00630176" w:rsidRPr="00E72418">
        <w:rPr>
          <w:b/>
        </w:rPr>
        <w:t>sous-section 1</w:t>
      </w:r>
      <w:r w:rsidR="00630176" w:rsidRPr="00E72418">
        <w:t xml:space="preserve">). Quelques années plus tard et toujours à la suite de poursuites entamées par des spéculateurs, ce sera la Coopération belge au développement </w:t>
      </w:r>
      <w:r w:rsidR="00560C9E" w:rsidRPr="00E72418">
        <w:t>que le législateur belge cherchera à préserver</w:t>
      </w:r>
      <w:r w:rsidR="00630176" w:rsidRPr="00E72418">
        <w:t xml:space="preserve"> (</w:t>
      </w:r>
      <w:r w:rsidR="00630176" w:rsidRPr="00E72418">
        <w:rPr>
          <w:b/>
        </w:rPr>
        <w:t>sous-section 2</w:t>
      </w:r>
      <w:r w:rsidR="00630176" w:rsidRPr="00E72418">
        <w:t xml:space="preserve">). </w:t>
      </w:r>
    </w:p>
    <w:p w14:paraId="0D0F08AD" w14:textId="77777777" w:rsidR="00736F3F" w:rsidRPr="00E72418" w:rsidRDefault="00736F3F" w:rsidP="001D0774"/>
    <w:p w14:paraId="6BA2D505" w14:textId="65DCA566" w:rsidR="005F6F52" w:rsidRPr="00E72418" w:rsidRDefault="008665DF" w:rsidP="00CC4BA8">
      <w:pPr>
        <w:pStyle w:val="EE"/>
        <w:spacing w:line="276" w:lineRule="auto"/>
        <w:jc w:val="left"/>
      </w:pPr>
      <w:bookmarkStart w:id="380" w:name="_Toc37777395"/>
      <w:bookmarkStart w:id="381" w:name="_Toc59280993"/>
      <w:bookmarkStart w:id="382" w:name="_Toc84540984"/>
      <w:r w:rsidRPr="00E72418">
        <w:t xml:space="preserve">Sous-section 1 : </w:t>
      </w:r>
      <w:r w:rsidR="005F6F52" w:rsidRPr="00E72418">
        <w:t>La loi du 19 novembre 2004</w:t>
      </w:r>
      <w:bookmarkEnd w:id="380"/>
      <w:bookmarkEnd w:id="381"/>
      <w:bookmarkEnd w:id="382"/>
    </w:p>
    <w:p w14:paraId="4B41AE14" w14:textId="77777777" w:rsidR="007A12E9" w:rsidRPr="00E72418" w:rsidRDefault="007A12E9" w:rsidP="007A12E9"/>
    <w:p w14:paraId="2C805E89" w14:textId="29D42044" w:rsidR="002625FD" w:rsidRPr="00E72418" w:rsidRDefault="004469AC" w:rsidP="00CC4BA8">
      <w:pPr>
        <w:spacing w:line="276" w:lineRule="auto"/>
      </w:pPr>
      <w:r w:rsidRPr="00E72418">
        <w:rPr>
          <w:b/>
        </w:rPr>
        <w:t>326</w:t>
      </w:r>
      <w:r w:rsidR="00817D62" w:rsidRPr="00E72418">
        <w:rPr>
          <w:b/>
        </w:rPr>
        <w:t xml:space="preserve">. </w:t>
      </w:r>
      <w:r w:rsidR="005F6F52" w:rsidRPr="00E72418">
        <w:rPr>
          <w:b/>
        </w:rPr>
        <w:t>Une réaction à un comportement adopté par un fonds spécul</w:t>
      </w:r>
      <w:r w:rsidR="00DA38E4" w:rsidRPr="00E72418">
        <w:rPr>
          <w:b/>
        </w:rPr>
        <w:t>atif</w:t>
      </w:r>
      <w:r w:rsidR="003E6C54" w:rsidRPr="00E72418">
        <w:rPr>
          <w:b/>
        </w:rPr>
        <w:t xml:space="preserve"> </w:t>
      </w:r>
      <w:r w:rsidR="00DA38E4" w:rsidRPr="00E72418">
        <w:rPr>
          <w:b/>
        </w:rPr>
        <w:t>–</w:t>
      </w:r>
      <w:r w:rsidR="002625FD" w:rsidRPr="00E72418">
        <w:rPr>
          <w:b/>
        </w:rPr>
        <w:t xml:space="preserve"> </w:t>
      </w:r>
      <w:r w:rsidR="002625FD" w:rsidRPr="00E72418">
        <w:t xml:space="preserve">Par la loi du 19 novembre 2004, le législateur </w:t>
      </w:r>
      <w:r w:rsidR="00B1587A" w:rsidRPr="00E72418">
        <w:t>belge décide</w:t>
      </w:r>
      <w:r w:rsidR="002625FD" w:rsidRPr="00E72418">
        <w:t xml:space="preserve"> de protéger les transferts de sommes à porter aux comptes de règlement en les rendant insaisissables</w:t>
      </w:r>
      <w:r w:rsidR="002625FD" w:rsidRPr="00E72418">
        <w:rPr>
          <w:rStyle w:val="Appelnotedebasdep"/>
        </w:rPr>
        <w:footnoteReference w:id="1621"/>
      </w:r>
      <w:r w:rsidR="002625FD" w:rsidRPr="00E72418">
        <w:t xml:space="preserve">. L’exposé des motifs du projet de loi à l’origine de la législation </w:t>
      </w:r>
      <w:r w:rsidR="00B1587A" w:rsidRPr="00E72418">
        <w:t>constate</w:t>
      </w:r>
      <w:r w:rsidR="005F6F52" w:rsidRPr="00E72418">
        <w:t xml:space="preserve"> que certains créanciers d’émetteurs souverains étrangers déposant une partie de leur dette extérieure auprès de systèmes de règlement é</w:t>
      </w:r>
      <w:r w:rsidR="003E6C54" w:rsidRPr="00E72418">
        <w:t>tab</w:t>
      </w:r>
      <w:r w:rsidR="0029641C" w:rsidRPr="00E72418">
        <w:t>lis en Belgique</w:t>
      </w:r>
      <w:r w:rsidR="003E6C54" w:rsidRPr="00E72418">
        <w:t xml:space="preserve"> requièrent </w:t>
      </w:r>
      <w:r w:rsidR="0029641C" w:rsidRPr="00E72418">
        <w:t xml:space="preserve">en justice qu’il soit enjoint aux gestionnaires </w:t>
      </w:r>
      <w:r w:rsidR="00B1587A" w:rsidRPr="00E72418">
        <w:t>de ces</w:t>
      </w:r>
      <w:r w:rsidR="0029641C" w:rsidRPr="00E72418">
        <w:t xml:space="preserve"> systèmes</w:t>
      </w:r>
      <w:r w:rsidR="005F6F52" w:rsidRPr="00E72418">
        <w:t xml:space="preserve"> soit de ne pas recevoir </w:t>
      </w:r>
      <w:r w:rsidR="0029641C" w:rsidRPr="00E72418">
        <w:t xml:space="preserve">de paiements en provenance des </w:t>
      </w:r>
      <w:r w:rsidR="0029641C" w:rsidRPr="00E72418">
        <w:rPr>
          <w:lang w:eastAsia="fr-BE"/>
        </w:rPr>
        <w:t>É</w:t>
      </w:r>
      <w:r w:rsidR="0029641C" w:rsidRPr="00E72418">
        <w:t>tats</w:t>
      </w:r>
      <w:r w:rsidR="005F6F52" w:rsidRPr="00E72418">
        <w:t xml:space="preserve"> émetteurs, soit à tout le moins de les bloquer dès réception afin d’éviter tout crédit en compte dans le</w:t>
      </w:r>
      <w:r w:rsidR="0029641C" w:rsidRPr="00E72418">
        <w:t>s</w:t>
      </w:r>
      <w:r w:rsidR="005F6F52" w:rsidRPr="00E72418">
        <w:t xml:space="preserve"> système</w:t>
      </w:r>
      <w:r w:rsidR="0029641C" w:rsidRPr="00E72418">
        <w:t>s</w:t>
      </w:r>
      <w:r w:rsidR="005F6F52" w:rsidRPr="00E72418">
        <w:t xml:space="preserve"> en question</w:t>
      </w:r>
      <w:r w:rsidR="005F6F52" w:rsidRPr="00E72418">
        <w:rPr>
          <w:rStyle w:val="Appelnotedebasdep"/>
        </w:rPr>
        <w:footnoteReference w:id="1622"/>
      </w:r>
      <w:r w:rsidR="00503122" w:rsidRPr="00E72418">
        <w:t xml:space="preserve">. Via </w:t>
      </w:r>
      <w:r w:rsidR="0029641C" w:rsidRPr="00E72418">
        <w:t>leurs démarches judiciaires,</w:t>
      </w:r>
      <w:r w:rsidR="00503122" w:rsidRPr="00E72418">
        <w:t xml:space="preserve"> </w:t>
      </w:r>
      <w:r w:rsidR="005F6F52" w:rsidRPr="00E72418">
        <w:t xml:space="preserve">les créanciers </w:t>
      </w:r>
      <w:r w:rsidR="00503122" w:rsidRPr="00E72418">
        <w:t>requérants</w:t>
      </w:r>
      <w:r w:rsidR="005F6F52" w:rsidRPr="00E72418">
        <w:t xml:space="preserve"> </w:t>
      </w:r>
      <w:r w:rsidR="00503122" w:rsidRPr="00E72418">
        <w:t xml:space="preserve">cherchent à rendre impossible </w:t>
      </w:r>
      <w:r w:rsidR="005F6F52" w:rsidRPr="00E72418">
        <w:t xml:space="preserve">le paiement d’intérêts dus par </w:t>
      </w:r>
      <w:r w:rsidR="0029641C" w:rsidRPr="00E72418">
        <w:t>leur débiteur</w:t>
      </w:r>
      <w:r w:rsidR="005F6F52" w:rsidRPr="00E72418">
        <w:t xml:space="preserve"> </w:t>
      </w:r>
      <w:r w:rsidR="0029641C" w:rsidRPr="00E72418">
        <w:t xml:space="preserve">souverain </w:t>
      </w:r>
      <w:r w:rsidR="00BB3B73">
        <w:t>à certains</w:t>
      </w:r>
      <w:r w:rsidR="00B66150" w:rsidRPr="00E72418">
        <w:t xml:space="preserve"> investisseurs</w:t>
      </w:r>
      <w:r w:rsidR="00503122" w:rsidRPr="00E72418">
        <w:t xml:space="preserve"> </w:t>
      </w:r>
      <w:r w:rsidR="005F6F52" w:rsidRPr="00E72418">
        <w:t>afin de le pousser à être déclaré en défaut de paiement</w:t>
      </w:r>
      <w:r w:rsidR="00D767F3" w:rsidRPr="00E72418">
        <w:t xml:space="preserve">, sauf pour </w:t>
      </w:r>
      <w:r w:rsidR="0029641C" w:rsidRPr="00E72418">
        <w:t>celui-ci</w:t>
      </w:r>
      <w:r w:rsidR="005F6F52" w:rsidRPr="00E72418">
        <w:t xml:space="preserve"> à </w:t>
      </w:r>
      <w:r w:rsidR="002625FD" w:rsidRPr="00E72418">
        <w:t>désintéresser</w:t>
      </w:r>
      <w:r w:rsidR="005F6F52" w:rsidRPr="00E72418">
        <w:t xml:space="preserve"> les créanciers ayant sollicité la mesure judiciaire</w:t>
      </w:r>
      <w:r w:rsidR="005F6F52" w:rsidRPr="00E72418">
        <w:rPr>
          <w:rStyle w:val="Appelnotedebasdep"/>
        </w:rPr>
        <w:footnoteReference w:id="1623"/>
      </w:r>
      <w:r w:rsidR="002625FD" w:rsidRPr="00E72418">
        <w:t>. L</w:t>
      </w:r>
      <w:r w:rsidR="00B71734" w:rsidRPr="00E72418">
        <w:t>e</w:t>
      </w:r>
      <w:r w:rsidR="005F6F52" w:rsidRPr="00E72418">
        <w:t xml:space="preserve"> projet de loi </w:t>
      </w:r>
      <w:r w:rsidR="002625FD" w:rsidRPr="00E72418">
        <w:t xml:space="preserve">belge illustre son propos </w:t>
      </w:r>
      <w:r w:rsidR="002076E4" w:rsidRPr="00E72418">
        <w:t>par</w:t>
      </w:r>
      <w:r w:rsidR="002625FD" w:rsidRPr="00E72418">
        <w:t xml:space="preserve"> </w:t>
      </w:r>
      <w:r w:rsidR="005F6F52" w:rsidRPr="00E72418">
        <w:t xml:space="preserve">référence à l’affaire </w:t>
      </w:r>
      <w:r w:rsidR="002076E4" w:rsidRPr="00E72418">
        <w:t>tranchée par la Cour d’appel de</w:t>
      </w:r>
      <w:r w:rsidR="005F6F52" w:rsidRPr="00E72418">
        <w:t xml:space="preserve"> Bruxelles en 2000 </w:t>
      </w:r>
      <w:r w:rsidR="002625FD" w:rsidRPr="00E72418">
        <w:t xml:space="preserve">dans le cadre du contentieux ayant opposé le fonds </w:t>
      </w:r>
      <w:r w:rsidR="002625FD" w:rsidRPr="00E72418">
        <w:rPr>
          <w:i/>
        </w:rPr>
        <w:t xml:space="preserve">Elliott </w:t>
      </w:r>
      <w:r w:rsidR="00B1587A" w:rsidRPr="00E72418">
        <w:rPr>
          <w:i/>
        </w:rPr>
        <w:t>Associates</w:t>
      </w:r>
      <w:r w:rsidR="002625FD" w:rsidRPr="00E72418">
        <w:rPr>
          <w:i/>
        </w:rPr>
        <w:t xml:space="preserve"> </w:t>
      </w:r>
      <w:r w:rsidR="002625FD" w:rsidRPr="00E72418">
        <w:t>à la République du Pérou où le créancier</w:t>
      </w:r>
      <w:r w:rsidR="00B1587A" w:rsidRPr="00E72418">
        <w:t xml:space="preserve"> chercha à faire interdire à son débiteur </w:t>
      </w:r>
      <w:r w:rsidR="002076E4" w:rsidRPr="00E72418">
        <w:t xml:space="preserve">souverain </w:t>
      </w:r>
      <w:r w:rsidR="00B1587A" w:rsidRPr="00E72418">
        <w:t xml:space="preserve">le </w:t>
      </w:r>
      <w:r w:rsidR="00B1587A" w:rsidRPr="00E72418">
        <w:lastRenderedPageBreak/>
        <w:t>paiement de ses obligations restructurées sans en faire de même proportionnellement au bénéfice des détenteurs de ses obligations non restructurées</w:t>
      </w:r>
      <w:r w:rsidR="002625FD" w:rsidRPr="00E72418">
        <w:rPr>
          <w:rStyle w:val="Appelnotedebasdep"/>
        </w:rPr>
        <w:footnoteReference w:id="1624"/>
      </w:r>
      <w:r w:rsidR="005F6F52" w:rsidRPr="00E72418">
        <w:t>.</w:t>
      </w:r>
    </w:p>
    <w:p w14:paraId="53B77015" w14:textId="475ABE50" w:rsidR="00B71734" w:rsidRDefault="00B71734" w:rsidP="00CC4BA8">
      <w:pPr>
        <w:spacing w:line="276" w:lineRule="auto"/>
      </w:pPr>
      <w:r w:rsidRPr="00E72418">
        <w:t xml:space="preserve">Avec la loi du 19 novembre 2004 protégeant les sociétés comme </w:t>
      </w:r>
      <w:r w:rsidRPr="00E72418">
        <w:rPr>
          <w:i/>
        </w:rPr>
        <w:t>Euroclear</w:t>
      </w:r>
      <w:r w:rsidRPr="00E72418">
        <w:t xml:space="preserve"> des injonctions qui pourraient leur être </w:t>
      </w:r>
      <w:r w:rsidR="00AE2D72" w:rsidRPr="00E72418">
        <w:t>données</w:t>
      </w:r>
      <w:r w:rsidR="00444645" w:rsidRPr="00E72418">
        <w:rPr>
          <w:rStyle w:val="Appelnotedebasdep"/>
        </w:rPr>
        <w:footnoteReference w:id="1625"/>
      </w:r>
      <w:r w:rsidRPr="00E72418">
        <w:t xml:space="preserve">, le législateur belge vise </w:t>
      </w:r>
      <w:r w:rsidR="00B1587A" w:rsidRPr="00E72418">
        <w:t xml:space="preserve">surtout </w:t>
      </w:r>
      <w:r w:rsidRPr="00E72418">
        <w:t xml:space="preserve">à éviter que ne soit affaiblie la place </w:t>
      </w:r>
      <w:r w:rsidR="002076E4" w:rsidRPr="00E72418">
        <w:t>occupée par l</w:t>
      </w:r>
      <w:r w:rsidRPr="00E72418">
        <w:t>a Belgique dans les marchés financiers mondiaux, elle qui est une « home to a major global clearinghouse »</w:t>
      </w:r>
      <w:r w:rsidRPr="00E72418">
        <w:rPr>
          <w:rStyle w:val="Appelnotedebasdep"/>
        </w:rPr>
        <w:footnoteReference w:id="1626"/>
      </w:r>
      <w:r w:rsidRPr="00E72418">
        <w:t>.</w:t>
      </w:r>
      <w:r w:rsidR="00E76D69" w:rsidRPr="00E72418">
        <w:t xml:space="preserve"> Indirectement, il s’attaque aux</w:t>
      </w:r>
      <w:r w:rsidR="00B41CCF" w:rsidRPr="00E72418">
        <w:t xml:space="preserve"> activités des fonds spéculant</w:t>
      </w:r>
      <w:r w:rsidR="00E76D69" w:rsidRPr="00E72418">
        <w:t xml:space="preserve"> sur les dettes souveraines en mettant à mal une déclinaison de leur stratégie</w:t>
      </w:r>
      <w:r w:rsidR="00B1587A" w:rsidRPr="00E72418">
        <w:rPr>
          <w:rStyle w:val="Appelnotedebasdep"/>
        </w:rPr>
        <w:footnoteReference w:id="1627"/>
      </w:r>
      <w:r w:rsidR="00E76D69" w:rsidRPr="00E72418">
        <w:t>.</w:t>
      </w:r>
    </w:p>
    <w:p w14:paraId="7F43D0D6" w14:textId="77777777" w:rsidR="00165C1D" w:rsidRPr="00E72418" w:rsidRDefault="00165C1D" w:rsidP="00CC4BA8">
      <w:pPr>
        <w:spacing w:line="276" w:lineRule="auto"/>
      </w:pPr>
    </w:p>
    <w:p w14:paraId="071250B2" w14:textId="36A5FD74" w:rsidR="00061BCB" w:rsidRPr="00E72418" w:rsidRDefault="004469AC" w:rsidP="00CC4BA8">
      <w:pPr>
        <w:spacing w:line="276" w:lineRule="auto"/>
      </w:pPr>
      <w:r w:rsidRPr="00E72418">
        <w:rPr>
          <w:b/>
        </w:rPr>
        <w:t>327</w:t>
      </w:r>
      <w:r w:rsidR="00817D62" w:rsidRPr="00E72418">
        <w:rPr>
          <w:b/>
        </w:rPr>
        <w:t xml:space="preserve">. </w:t>
      </w:r>
      <w:r w:rsidR="003E6C54" w:rsidRPr="00E72418">
        <w:rPr>
          <w:b/>
        </w:rPr>
        <w:t xml:space="preserve">Une modification </w:t>
      </w:r>
      <w:r w:rsidR="00B71734" w:rsidRPr="00E72418">
        <w:rPr>
          <w:b/>
        </w:rPr>
        <w:t>apportée</w:t>
      </w:r>
      <w:r w:rsidR="002076E4" w:rsidRPr="00E72418">
        <w:rPr>
          <w:b/>
        </w:rPr>
        <w:t xml:space="preserve"> </w:t>
      </w:r>
      <w:r w:rsidR="003E6C54" w:rsidRPr="00E72418">
        <w:rPr>
          <w:b/>
        </w:rPr>
        <w:t>–</w:t>
      </w:r>
      <w:r w:rsidR="003E6C54" w:rsidRPr="00E72418">
        <w:t xml:space="preserve"> L’article 15 de la loi du 19 novembre 2004 apporta des modifications à l’article 9 de la loi du 28 avril 1999 visant à transposer la Directive 98/26/CE du 19 mai 1998 concernant le caractère définitif du règlement dans les systèmes de paiement et de règlement des opérations sur titres. </w:t>
      </w:r>
      <w:r w:rsidR="00E76D69" w:rsidRPr="00E72418">
        <w:t>En tant que tel</w:t>
      </w:r>
      <w:r w:rsidR="002076E4" w:rsidRPr="00E72418">
        <w:t>,</w:t>
      </w:r>
      <w:r w:rsidR="00E76D69" w:rsidRPr="00E72418">
        <w:t xml:space="preserve"> l’article 9 de la loi du 28 avril 1999 vise à instaurer l’insaisissabilité de tout compt</w:t>
      </w:r>
      <w:r w:rsidR="00B66150" w:rsidRPr="00E72418">
        <w:t>e de règlement qu’il vise</w:t>
      </w:r>
      <w:r w:rsidR="00E76D69" w:rsidRPr="00E72418">
        <w:t xml:space="preserve"> afin d’éviter que le bon fonctionnement d’un système de paiement ou de règlement ne puisse être paralysé ou entravé par suite d’une mesure de saisie, de séquestre ou d’un ordre judiciaire de blocage</w:t>
      </w:r>
      <w:r w:rsidR="00E76D69" w:rsidRPr="00E72418">
        <w:rPr>
          <w:rStyle w:val="Appelnotedebasdep"/>
        </w:rPr>
        <w:footnoteReference w:id="1628"/>
      </w:r>
      <w:r w:rsidR="002C6EF8" w:rsidRPr="00E72418">
        <w:t>. Soucieux</w:t>
      </w:r>
      <w:r w:rsidR="00E76D69" w:rsidRPr="00E72418">
        <w:t xml:space="preserve"> de respecter la logique de</w:t>
      </w:r>
      <w:r w:rsidR="002C6EF8" w:rsidRPr="00E72418">
        <w:t xml:space="preserve"> cet article</w:t>
      </w:r>
      <w:r w:rsidR="00E76D69" w:rsidRPr="00E72418">
        <w:t xml:space="preserve"> qu’est celle de la prote</w:t>
      </w:r>
      <w:r w:rsidR="002C6EF8" w:rsidRPr="00E72418">
        <w:t>ction des comptes de règlement</w:t>
      </w:r>
      <w:r w:rsidR="00E76D69" w:rsidRPr="00E72418">
        <w:t xml:space="preserve">, </w:t>
      </w:r>
      <w:r w:rsidR="002C6EF8" w:rsidRPr="00E72418">
        <w:t>le législateur belge le</w:t>
      </w:r>
      <w:r w:rsidR="002076E4" w:rsidRPr="00E72418">
        <w:t xml:space="preserve"> </w:t>
      </w:r>
      <w:r w:rsidR="00061BCB" w:rsidRPr="00E72418">
        <w:t>modifia</w:t>
      </w:r>
      <w:r w:rsidR="002C6EF8" w:rsidRPr="00E72418">
        <w:t xml:space="preserve"> </w:t>
      </w:r>
      <w:r w:rsidR="00E76D69" w:rsidRPr="00E72418">
        <w:t xml:space="preserve">afin que soient rendus impossibles les blocages de tout transfert de sommes à </w:t>
      </w:r>
      <w:r w:rsidR="002C6EF8" w:rsidRPr="00E72418">
        <w:t xml:space="preserve">y </w:t>
      </w:r>
      <w:r w:rsidR="00E76D69" w:rsidRPr="00E72418">
        <w:t>porter</w:t>
      </w:r>
      <w:r w:rsidR="00E76D69" w:rsidRPr="00E72418">
        <w:rPr>
          <w:rStyle w:val="Appelnotedebasdep"/>
          <w:bCs/>
          <w:szCs w:val="24"/>
        </w:rPr>
        <w:footnoteReference w:id="1629"/>
      </w:r>
      <w:r w:rsidR="002C6EF8" w:rsidRPr="00E72418">
        <w:t>. L’article 9 de la loi du 28 avril 1999 stipulait ainsi après s</w:t>
      </w:r>
      <w:r w:rsidR="00061BCB" w:rsidRPr="00E72418">
        <w:t xml:space="preserve">a modification de 2004 que « [t]out compte de règlement sur espèces auprès d’un organisme gestionnaire ou </w:t>
      </w:r>
      <w:r w:rsidR="00061BCB" w:rsidRPr="00E72418">
        <w:lastRenderedPageBreak/>
        <w:t>d’un agent de règlement d’un système, de même que tout transfert de sommes, via un établissement de crédit de droit belge ou étranger, à porter à un tel compte de règlement sur espèces, ne peut être saisi, mis sous séquestre ou bloqué d’une manière quelconque par un participant autre que l’organisme gestionnaire ou l’agent de règlement, une contrepartie ou un tiers »</w:t>
      </w:r>
      <w:r w:rsidR="00061BCB" w:rsidRPr="00E72418">
        <w:rPr>
          <w:rStyle w:val="Appelnotedebasdep"/>
          <w:rFonts w:cs="Times New Roman"/>
          <w:bCs/>
          <w:szCs w:val="24"/>
        </w:rPr>
        <w:footnoteReference w:id="1630"/>
      </w:r>
      <w:r w:rsidR="00061BCB" w:rsidRPr="00E72418">
        <w:t>.</w:t>
      </w:r>
    </w:p>
    <w:p w14:paraId="64AE61FA" w14:textId="77777777" w:rsidR="0036555A" w:rsidRPr="00E72418" w:rsidRDefault="0036555A" w:rsidP="00CC4BA8">
      <w:pPr>
        <w:spacing w:line="276" w:lineRule="auto"/>
      </w:pPr>
    </w:p>
    <w:p w14:paraId="10F19F32" w14:textId="5350975F" w:rsidR="005F6F52" w:rsidRPr="00E72418" w:rsidRDefault="008665DF" w:rsidP="00CC4BA8">
      <w:pPr>
        <w:pStyle w:val="EE"/>
        <w:spacing w:line="276" w:lineRule="auto"/>
        <w:jc w:val="left"/>
      </w:pPr>
      <w:bookmarkStart w:id="383" w:name="_Toc37777397"/>
      <w:bookmarkStart w:id="384" w:name="_Toc59280994"/>
      <w:bookmarkStart w:id="385" w:name="_Toc84540985"/>
      <w:r w:rsidRPr="00E72418">
        <w:t xml:space="preserve">Sous-section 2 : </w:t>
      </w:r>
      <w:r w:rsidR="005F6F52" w:rsidRPr="00E72418">
        <w:t>La loi du 6 avril 2008</w:t>
      </w:r>
      <w:bookmarkEnd w:id="383"/>
      <w:bookmarkEnd w:id="384"/>
      <w:bookmarkEnd w:id="385"/>
    </w:p>
    <w:p w14:paraId="0E72B23E" w14:textId="77777777" w:rsidR="007A12E9" w:rsidRPr="00E72418" w:rsidRDefault="007A12E9" w:rsidP="007A12E9"/>
    <w:p w14:paraId="438655FB" w14:textId="3709E165" w:rsidR="005F6F52" w:rsidRPr="00E72418" w:rsidRDefault="004469AC" w:rsidP="00CC4BA8">
      <w:pPr>
        <w:spacing w:line="276" w:lineRule="auto"/>
        <w:rPr>
          <w:rFonts w:cs="Times New Roman"/>
          <w:szCs w:val="24"/>
        </w:rPr>
      </w:pPr>
      <w:r w:rsidRPr="00E72418">
        <w:rPr>
          <w:b/>
        </w:rPr>
        <w:t>328</w:t>
      </w:r>
      <w:r w:rsidR="007F038F" w:rsidRPr="00E72418">
        <w:rPr>
          <w:b/>
        </w:rPr>
        <w:t>.</w:t>
      </w:r>
      <w:r w:rsidR="00817D62" w:rsidRPr="00E72418">
        <w:rPr>
          <w:b/>
        </w:rPr>
        <w:t xml:space="preserve"> </w:t>
      </w:r>
      <w:r w:rsidR="005F6F52" w:rsidRPr="00E72418">
        <w:rPr>
          <w:b/>
        </w:rPr>
        <w:t xml:space="preserve">La résolution </w:t>
      </w:r>
      <w:r w:rsidR="00DD5308" w:rsidRPr="00E72418">
        <w:rPr>
          <w:b/>
        </w:rPr>
        <w:t>et la proposition de loi adoptée</w:t>
      </w:r>
      <w:r w:rsidR="003D382F" w:rsidRPr="00E72418">
        <w:rPr>
          <w:b/>
        </w:rPr>
        <w:t>s</w:t>
      </w:r>
      <w:r w:rsidR="00DD5308" w:rsidRPr="00E72418">
        <w:rPr>
          <w:b/>
        </w:rPr>
        <w:t xml:space="preserve"> par le</w:t>
      </w:r>
      <w:r w:rsidR="005F6F52" w:rsidRPr="00E72418">
        <w:rPr>
          <w:b/>
        </w:rPr>
        <w:t xml:space="preserve"> Sénat</w:t>
      </w:r>
      <w:r w:rsidR="00DD5308" w:rsidRPr="00E72418">
        <w:rPr>
          <w:b/>
        </w:rPr>
        <w:t xml:space="preserve"> </w:t>
      </w:r>
      <w:r w:rsidR="005F6F52" w:rsidRPr="00E72418">
        <w:rPr>
          <w:b/>
        </w:rPr>
        <w:t>–</w:t>
      </w:r>
      <w:r w:rsidR="005F6F52" w:rsidRPr="00E72418">
        <w:t xml:space="preserve"> En octobre 2007, une proposition de résolution </w:t>
      </w:r>
      <w:r w:rsidR="005F6F52" w:rsidRPr="00E72418">
        <w:rPr>
          <w:rFonts w:cs="Times New Roman"/>
          <w:szCs w:val="24"/>
        </w:rPr>
        <w:t>visant à limiter l’impact d</w:t>
      </w:r>
      <w:r w:rsidR="00B1406D" w:rsidRPr="00E72418">
        <w:rPr>
          <w:rFonts w:cs="Times New Roman"/>
          <w:szCs w:val="24"/>
        </w:rPr>
        <w:t xml:space="preserve">es </w:t>
      </w:r>
      <w:r w:rsidR="005F6F52" w:rsidRPr="00E72418">
        <w:rPr>
          <w:rFonts w:cs="Times New Roman"/>
          <w:szCs w:val="24"/>
        </w:rPr>
        <w:t xml:space="preserve">fonds </w:t>
      </w:r>
      <w:r w:rsidR="005460AB" w:rsidRPr="00E72418">
        <w:rPr>
          <w:rFonts w:cs="Times New Roman"/>
          <w:szCs w:val="24"/>
        </w:rPr>
        <w:t>spéculatifs</w:t>
      </w:r>
      <w:r w:rsidR="005F6F52" w:rsidRPr="00E72418">
        <w:rPr>
          <w:rFonts w:cs="Times New Roman"/>
          <w:szCs w:val="24"/>
        </w:rPr>
        <w:t xml:space="preserve"> sur l’allègement de la dette des pays du tiers-monde</w:t>
      </w:r>
      <w:r w:rsidR="005460AB" w:rsidRPr="00E72418">
        <w:rPr>
          <w:rFonts w:cs="Times New Roman"/>
          <w:szCs w:val="24"/>
        </w:rPr>
        <w:t xml:space="preserve"> </w:t>
      </w:r>
      <w:r w:rsidR="005460AB" w:rsidRPr="00E72418">
        <w:t>fut déposée au Sénat de Belgique</w:t>
      </w:r>
      <w:r w:rsidR="005F6F52" w:rsidRPr="00E72418">
        <w:rPr>
          <w:rStyle w:val="Appelnotedebasdep"/>
          <w:rFonts w:cs="Times New Roman"/>
          <w:szCs w:val="24"/>
        </w:rPr>
        <w:footnoteReference w:id="1631"/>
      </w:r>
      <w:r w:rsidR="005F6F52" w:rsidRPr="00E72418">
        <w:rPr>
          <w:rFonts w:cs="Times New Roman"/>
          <w:szCs w:val="24"/>
        </w:rPr>
        <w:t xml:space="preserve">. </w:t>
      </w:r>
      <w:r w:rsidR="005F6F52" w:rsidRPr="00E72418">
        <w:t>Les auteurs de la proposition de résolution, après avoir critiqué vertement les f</w:t>
      </w:r>
      <w:r w:rsidR="00B41CCF" w:rsidRPr="00E72418">
        <w:t>onds spéculant</w:t>
      </w:r>
      <w:r w:rsidR="005F6F52" w:rsidRPr="00E72418">
        <w:t xml:space="preserve"> sur les dettes souveraines et leurs activités, prirent en exemple les saisies pratiquées par la société </w:t>
      </w:r>
      <w:r w:rsidR="005F6F52" w:rsidRPr="00E72418">
        <w:rPr>
          <w:i/>
        </w:rPr>
        <w:t>Kensington International</w:t>
      </w:r>
      <w:r w:rsidR="003D382F" w:rsidRPr="00E72418">
        <w:rPr>
          <w:i/>
        </w:rPr>
        <w:t xml:space="preserve"> Ltd.</w:t>
      </w:r>
      <w:r w:rsidR="005460AB" w:rsidRPr="00E72418">
        <w:t>, créancière de la République du Congo</w:t>
      </w:r>
      <w:r w:rsidR="005F6F52" w:rsidRPr="00E72418">
        <w:t xml:space="preserve">, sur des montants concédés </w:t>
      </w:r>
      <w:r w:rsidR="005460AB" w:rsidRPr="00E72418">
        <w:t xml:space="preserve">au pays </w:t>
      </w:r>
      <w:r w:rsidR="005F6F52" w:rsidRPr="00E72418">
        <w:t>par la Belgique au titre de la coopération au développement</w:t>
      </w:r>
      <w:r w:rsidR="005F6F52" w:rsidRPr="00E72418">
        <w:rPr>
          <w:rStyle w:val="Appelnotedebasdep"/>
        </w:rPr>
        <w:footnoteReference w:id="1632"/>
      </w:r>
      <w:r w:rsidR="005F6F52" w:rsidRPr="00E72418">
        <w:t>.</w:t>
      </w:r>
    </w:p>
    <w:p w14:paraId="139D575A" w14:textId="77777777" w:rsidR="005F6F52" w:rsidRPr="00E72418" w:rsidRDefault="00B1406D" w:rsidP="00CC4BA8">
      <w:pPr>
        <w:spacing w:line="276" w:lineRule="auto"/>
      </w:pPr>
      <w:r w:rsidRPr="00E72418">
        <w:t>Le 31 janvier 2008, le Sénat adopta à l’unanimité la résolution</w:t>
      </w:r>
      <w:r w:rsidR="00DD5308" w:rsidRPr="00E72418">
        <w:t xml:space="preserve"> visant à limiter l’impact des « fonds vautours » sur l’allègement de la dette des pays du tiers-monde</w:t>
      </w:r>
      <w:r w:rsidRPr="00E72418">
        <w:rPr>
          <w:rStyle w:val="Appelnotedebasdep"/>
          <w:rFonts w:cs="Times New Roman"/>
          <w:bCs/>
          <w:szCs w:val="24"/>
        </w:rPr>
        <w:footnoteReference w:id="1633"/>
      </w:r>
      <w:r w:rsidRPr="00E72418">
        <w:rPr>
          <w:bCs/>
          <w:szCs w:val="24"/>
        </w:rPr>
        <w:t>.</w:t>
      </w:r>
      <w:r w:rsidR="00043987" w:rsidRPr="00E72418">
        <w:rPr>
          <w:bCs/>
          <w:szCs w:val="24"/>
        </w:rPr>
        <w:t xml:space="preserve"> </w:t>
      </w:r>
      <w:r w:rsidR="00DD5308" w:rsidRPr="00E72418">
        <w:t xml:space="preserve">L’assemblée législative y </w:t>
      </w:r>
      <w:r w:rsidR="00FF5E08" w:rsidRPr="00E72418">
        <w:t>demandait notamment au G</w:t>
      </w:r>
      <w:r w:rsidR="005F6F52" w:rsidRPr="00E72418">
        <w:t>ouvernement belge de tout mettre en œuvre afin d’éviter que les bénéfices des rééchelonnements de dette et des programmes de remise de dette ne puissent tomber dans l’escarcelle des fonds spéculatifs</w:t>
      </w:r>
      <w:r w:rsidR="005F6F52" w:rsidRPr="00E72418">
        <w:rPr>
          <w:rStyle w:val="Appelnotedebasdep"/>
          <w:rFonts w:cs="Times New Roman"/>
          <w:szCs w:val="24"/>
        </w:rPr>
        <w:footnoteReference w:id="1634"/>
      </w:r>
      <w:r w:rsidR="005F6F52" w:rsidRPr="00E72418">
        <w:t xml:space="preserve">, d’assister juridiquement et financièrement les pays partenaires avec lesquels la Belgique collabore dans le cadre de la </w:t>
      </w:r>
      <w:r w:rsidR="005F6F52" w:rsidRPr="00E72418">
        <w:lastRenderedPageBreak/>
        <w:t>coopération au développement lorsque ces pays sont cités devant un tribunal par de te</w:t>
      </w:r>
      <w:r w:rsidR="00043987" w:rsidRPr="00E72418">
        <w:t>l</w:t>
      </w:r>
      <w:r w:rsidR="005F6F52" w:rsidRPr="00E72418">
        <w:t xml:space="preserve">s fonds ou encore d’insister au sein de l’Union européenne pour que soient prises des initiatives concrètes </w:t>
      </w:r>
      <w:r w:rsidR="00043987" w:rsidRPr="00E72418">
        <w:t>en vue d’</w:t>
      </w:r>
      <w:r w:rsidR="005F6F52" w:rsidRPr="00E72418">
        <w:t>éradiquer le phénomène</w:t>
      </w:r>
      <w:r w:rsidR="005F6F52" w:rsidRPr="00E72418">
        <w:rPr>
          <w:rStyle w:val="Appelnotedebasdep"/>
        </w:rPr>
        <w:footnoteReference w:id="1635"/>
      </w:r>
      <w:r w:rsidR="005F6F52" w:rsidRPr="00E72418">
        <w:t>.</w:t>
      </w:r>
    </w:p>
    <w:p w14:paraId="162CD105" w14:textId="77777777" w:rsidR="005F6F52" w:rsidRPr="00E72418" w:rsidRDefault="00DD5308" w:rsidP="00CC4BA8">
      <w:pPr>
        <w:spacing w:line="276" w:lineRule="auto"/>
      </w:pPr>
      <w:r w:rsidRPr="00E72418">
        <w:t>Lors de la même séance du 31 janvier 2008, le Sénat</w:t>
      </w:r>
      <w:r w:rsidR="005F6F52" w:rsidRPr="00E72418">
        <w:t xml:space="preserve"> adopta également à l’unanimité la proposition de loi visant à empêcher la saisie ou la cession des fonds publics destinés à la coopération internationale, notamment par la technique des fonds vautours</w:t>
      </w:r>
      <w:r w:rsidR="003D382F" w:rsidRPr="00E72418">
        <w:t>. Cette proposition f</w:t>
      </w:r>
      <w:r w:rsidR="005F6F52" w:rsidRPr="00E72418">
        <w:t xml:space="preserve">ut ensuite transmise à la Chambre </w:t>
      </w:r>
      <w:r w:rsidR="00CC7E21" w:rsidRPr="00E72418">
        <w:t xml:space="preserve">des représentants </w:t>
      </w:r>
      <w:r w:rsidR="003D382F" w:rsidRPr="00E72418">
        <w:t>qui, s</w:t>
      </w:r>
      <w:r w:rsidR="00CC7E21" w:rsidRPr="00E72418">
        <w:t xml:space="preserve">ans surprise et à l’unanimité, </w:t>
      </w:r>
      <w:r w:rsidR="005F6F52" w:rsidRPr="00E72418">
        <w:t>adopta</w:t>
      </w:r>
      <w:r w:rsidR="00CC7E21" w:rsidRPr="00E72418">
        <w:t xml:space="preserve"> </w:t>
      </w:r>
      <w:r w:rsidR="005F6F52" w:rsidRPr="00E72418">
        <w:rPr>
          <w:bCs/>
          <w:szCs w:val="24"/>
        </w:rPr>
        <w:t>le texte</w:t>
      </w:r>
      <w:r w:rsidR="005F6F52" w:rsidRPr="00E72418">
        <w:rPr>
          <w:rStyle w:val="Appelnotedebasdep"/>
          <w:bCs/>
          <w:szCs w:val="24"/>
        </w:rPr>
        <w:footnoteReference w:id="1636"/>
      </w:r>
      <w:r w:rsidR="005F6F52" w:rsidRPr="00E72418">
        <w:rPr>
          <w:bCs/>
          <w:szCs w:val="24"/>
        </w:rPr>
        <w:t xml:space="preserve">. </w:t>
      </w:r>
      <w:r w:rsidR="003D382F" w:rsidRPr="00E72418">
        <w:rPr>
          <w:bCs/>
          <w:szCs w:val="24"/>
        </w:rPr>
        <w:t>L</w:t>
      </w:r>
      <w:r w:rsidR="005F6F52" w:rsidRPr="00E72418">
        <w:rPr>
          <w:bCs/>
          <w:szCs w:val="24"/>
        </w:rPr>
        <w:t xml:space="preserve">’impulsion parlementaire </w:t>
      </w:r>
      <w:r w:rsidR="003D382F" w:rsidRPr="00E72418">
        <w:rPr>
          <w:bCs/>
          <w:szCs w:val="24"/>
        </w:rPr>
        <w:t>donna</w:t>
      </w:r>
      <w:r w:rsidR="005F6F52" w:rsidRPr="00E72418">
        <w:rPr>
          <w:bCs/>
          <w:szCs w:val="24"/>
        </w:rPr>
        <w:t xml:space="preserve"> </w:t>
      </w:r>
      <w:r w:rsidR="00CC7E21" w:rsidRPr="00E72418">
        <w:rPr>
          <w:bCs/>
          <w:szCs w:val="24"/>
        </w:rPr>
        <w:t>ainsi</w:t>
      </w:r>
      <w:r w:rsidR="005F6F52" w:rsidRPr="00E72418">
        <w:rPr>
          <w:bCs/>
          <w:szCs w:val="24"/>
        </w:rPr>
        <w:t xml:space="preserve"> </w:t>
      </w:r>
      <w:r w:rsidR="003D382F" w:rsidRPr="00E72418">
        <w:rPr>
          <w:bCs/>
          <w:szCs w:val="24"/>
        </w:rPr>
        <w:t xml:space="preserve">lieu à </w:t>
      </w:r>
      <w:r w:rsidR="005F6F52" w:rsidRPr="00E72418">
        <w:rPr>
          <w:bCs/>
          <w:szCs w:val="24"/>
        </w:rPr>
        <w:t xml:space="preserve">la loi du 6 avril 2008 </w:t>
      </w:r>
      <w:r w:rsidR="005F6F52" w:rsidRPr="00E72418">
        <w:t>visant à empêcher la saisie ou la cession des fonds publics destinés à la coopération internationale, notamment par la technique des fonds vautours</w:t>
      </w:r>
      <w:r w:rsidR="005F6F52" w:rsidRPr="00E72418">
        <w:rPr>
          <w:rStyle w:val="Appelnotedebasdep"/>
          <w:bCs/>
          <w:szCs w:val="24"/>
        </w:rPr>
        <w:footnoteReference w:id="1637"/>
      </w:r>
      <w:r w:rsidR="005F6F52" w:rsidRPr="00E72418">
        <w:t>.</w:t>
      </w:r>
    </w:p>
    <w:p w14:paraId="505B5E91" w14:textId="77777777" w:rsidR="005F6F52" w:rsidRPr="00E72418" w:rsidRDefault="005F6F52" w:rsidP="00CC4BA8">
      <w:pPr>
        <w:spacing w:line="276" w:lineRule="auto"/>
      </w:pPr>
    </w:p>
    <w:p w14:paraId="5C47D1E4" w14:textId="699034D9" w:rsidR="005F6F52" w:rsidRPr="00E72418" w:rsidRDefault="004469AC" w:rsidP="00CC4BA8">
      <w:pPr>
        <w:spacing w:line="276" w:lineRule="auto"/>
        <w:rPr>
          <w:szCs w:val="24"/>
        </w:rPr>
      </w:pPr>
      <w:r w:rsidRPr="00E72418">
        <w:rPr>
          <w:b/>
        </w:rPr>
        <w:t>329</w:t>
      </w:r>
      <w:r w:rsidR="00817D62" w:rsidRPr="00E72418">
        <w:rPr>
          <w:b/>
        </w:rPr>
        <w:t xml:space="preserve">. </w:t>
      </w:r>
      <w:r w:rsidR="005F6F52" w:rsidRPr="00E72418">
        <w:rPr>
          <w:b/>
        </w:rPr>
        <w:t xml:space="preserve">L’objectif de la loi </w:t>
      </w:r>
      <w:r w:rsidR="00DA38E4" w:rsidRPr="00E72418">
        <w:rPr>
          <w:b/>
        </w:rPr>
        <w:t>–</w:t>
      </w:r>
      <w:r w:rsidR="005F6F52" w:rsidRPr="00E72418">
        <w:t xml:space="preserve"> </w:t>
      </w:r>
      <w:r w:rsidR="005F6F52" w:rsidRPr="00E72418">
        <w:rPr>
          <w:szCs w:val="24"/>
        </w:rPr>
        <w:t>Les parlementaires ayant déposé la proposition de loi, quoique relevant plus largement les entraves aux restructurations des dettes souveraines que posaient les fonds spéculatifs, insistaient sur l’importance que l</w:t>
      </w:r>
      <w:r w:rsidR="00FF5E08" w:rsidRPr="00E72418">
        <w:rPr>
          <w:szCs w:val="24"/>
        </w:rPr>
        <w:t>e G</w:t>
      </w:r>
      <w:r w:rsidR="005F6F52" w:rsidRPr="00E72418">
        <w:rPr>
          <w:szCs w:val="24"/>
        </w:rPr>
        <w:t>ouvernement prenne des mesures sur-le-champ si la Belgique voulait em</w:t>
      </w:r>
      <w:r w:rsidR="00B41CCF" w:rsidRPr="00E72418">
        <w:rPr>
          <w:szCs w:val="24"/>
        </w:rPr>
        <w:t>pêcher que des fonds spéculant</w:t>
      </w:r>
      <w:r w:rsidR="005F6F52" w:rsidRPr="00E72418">
        <w:rPr>
          <w:szCs w:val="24"/>
        </w:rPr>
        <w:t xml:space="preserve"> sur les dettes souveraines ne saisissent des fonds destinés au développement ou libérés à la suite d’un assainissement de dette</w:t>
      </w:r>
      <w:r w:rsidR="005F6F52" w:rsidRPr="00E72418">
        <w:rPr>
          <w:rStyle w:val="Appelnotedebasdep"/>
          <w:rFonts w:cs="Times New Roman"/>
          <w:szCs w:val="24"/>
        </w:rPr>
        <w:footnoteReference w:id="1638"/>
      </w:r>
      <w:r w:rsidR="005F6F52" w:rsidRPr="00E72418">
        <w:rPr>
          <w:szCs w:val="24"/>
        </w:rPr>
        <w:t>.</w:t>
      </w:r>
    </w:p>
    <w:p w14:paraId="4A4C0346" w14:textId="77777777" w:rsidR="005F6F52" w:rsidRPr="00E72418" w:rsidRDefault="00CC7E21" w:rsidP="00CC4BA8">
      <w:pPr>
        <w:spacing w:line="276" w:lineRule="auto"/>
        <w:rPr>
          <w:szCs w:val="24"/>
        </w:rPr>
      </w:pPr>
      <w:r w:rsidRPr="00E72418">
        <w:rPr>
          <w:szCs w:val="24"/>
        </w:rPr>
        <w:t>La proposition de loi faisait mention</w:t>
      </w:r>
      <w:r w:rsidR="005F6F52" w:rsidRPr="00E72418">
        <w:rPr>
          <w:szCs w:val="24"/>
        </w:rPr>
        <w:t xml:space="preserve"> des actions intentées par les fonds </w:t>
      </w:r>
      <w:r w:rsidRPr="00E72418">
        <w:rPr>
          <w:szCs w:val="24"/>
        </w:rPr>
        <w:t xml:space="preserve">spéculatifs </w:t>
      </w:r>
      <w:r w:rsidR="005F6F52" w:rsidRPr="00E72418">
        <w:rPr>
          <w:szCs w:val="24"/>
        </w:rPr>
        <w:t xml:space="preserve">parmi lesquelles, la saisie </w:t>
      </w:r>
      <w:r w:rsidR="003D382F" w:rsidRPr="00E72418">
        <w:rPr>
          <w:szCs w:val="24"/>
        </w:rPr>
        <w:t>sollicitée</w:t>
      </w:r>
      <w:r w:rsidR="005F6F52" w:rsidRPr="00E72418">
        <w:rPr>
          <w:szCs w:val="24"/>
        </w:rPr>
        <w:t xml:space="preserve"> par la société </w:t>
      </w:r>
      <w:r w:rsidR="005F6F52" w:rsidRPr="00E72418">
        <w:rPr>
          <w:i/>
          <w:szCs w:val="24"/>
        </w:rPr>
        <w:t>Kensington International</w:t>
      </w:r>
      <w:r w:rsidR="003D382F" w:rsidRPr="00E72418">
        <w:rPr>
          <w:i/>
          <w:szCs w:val="24"/>
        </w:rPr>
        <w:t xml:space="preserve"> Ltd.</w:t>
      </w:r>
      <w:r w:rsidR="003D382F" w:rsidRPr="00E72418">
        <w:rPr>
          <w:szCs w:val="24"/>
        </w:rPr>
        <w:t xml:space="preserve"> </w:t>
      </w:r>
      <w:r w:rsidR="005F6F52" w:rsidRPr="00E72418">
        <w:rPr>
          <w:szCs w:val="24"/>
        </w:rPr>
        <w:t>pour un montant réc</w:t>
      </w:r>
      <w:r w:rsidR="003D382F" w:rsidRPr="00E72418">
        <w:rPr>
          <w:szCs w:val="24"/>
        </w:rPr>
        <w:t>lamé à la Belgique de près de nonante</w:t>
      </w:r>
      <w:r w:rsidR="005F6F52" w:rsidRPr="00E72418">
        <w:rPr>
          <w:szCs w:val="24"/>
        </w:rPr>
        <w:t xml:space="preserve"> millions d’euros</w:t>
      </w:r>
      <w:r w:rsidR="005F6F52" w:rsidRPr="00E72418">
        <w:rPr>
          <w:rStyle w:val="Appelnotedebasdep"/>
          <w:szCs w:val="24"/>
        </w:rPr>
        <w:footnoteReference w:id="1639"/>
      </w:r>
      <w:r w:rsidR="005F6F52" w:rsidRPr="00E72418">
        <w:rPr>
          <w:szCs w:val="24"/>
        </w:rPr>
        <w:t xml:space="preserve">. Les fonds visés par la société étaient </w:t>
      </w:r>
      <w:r w:rsidR="005F6F52" w:rsidRPr="00E72418">
        <w:rPr>
          <w:rFonts w:cs="Times New Roman"/>
          <w:szCs w:val="24"/>
        </w:rPr>
        <w:t>issus de la coopération au développement belge</w:t>
      </w:r>
      <w:r w:rsidR="00481E8E" w:rsidRPr="00E72418">
        <w:rPr>
          <w:rFonts w:cs="Times New Roman"/>
          <w:szCs w:val="24"/>
        </w:rPr>
        <w:t xml:space="preserve"> et devaient bénéficier à la République </w:t>
      </w:r>
      <w:r w:rsidR="00481E8E" w:rsidRPr="00E72418">
        <w:rPr>
          <w:rFonts w:cs="Times New Roman"/>
          <w:szCs w:val="24"/>
        </w:rPr>
        <w:lastRenderedPageBreak/>
        <w:t>du Congo</w:t>
      </w:r>
      <w:r w:rsidR="00481E8E" w:rsidRPr="00E72418">
        <w:rPr>
          <w:rStyle w:val="Appelnotedebasdep"/>
          <w:rFonts w:cs="Times New Roman"/>
          <w:szCs w:val="24"/>
        </w:rPr>
        <w:footnoteReference w:id="1640"/>
      </w:r>
      <w:r w:rsidR="000E33CD" w:rsidRPr="00E72418">
        <w:rPr>
          <w:rFonts w:cs="Times New Roman"/>
          <w:szCs w:val="24"/>
        </w:rPr>
        <w:t>. L’objectif</w:t>
      </w:r>
      <w:r w:rsidR="005F6F52" w:rsidRPr="00E72418">
        <w:rPr>
          <w:rFonts w:cs="Times New Roman"/>
          <w:szCs w:val="24"/>
        </w:rPr>
        <w:t xml:space="preserve"> de </w:t>
      </w:r>
      <w:r w:rsidR="00481E8E" w:rsidRPr="00E72418">
        <w:rPr>
          <w:rFonts w:cs="Times New Roman"/>
          <w:szCs w:val="24"/>
        </w:rPr>
        <w:t>la</w:t>
      </w:r>
      <w:r w:rsidR="000E33CD" w:rsidRPr="00E72418">
        <w:rPr>
          <w:rFonts w:cs="Times New Roman"/>
          <w:szCs w:val="24"/>
        </w:rPr>
        <w:t xml:space="preserve"> proposition de loi </w:t>
      </w:r>
      <w:r w:rsidR="005F6F52" w:rsidRPr="00E72418">
        <w:rPr>
          <w:rFonts w:cs="Times New Roman"/>
          <w:szCs w:val="24"/>
        </w:rPr>
        <w:t xml:space="preserve">était donc </w:t>
      </w:r>
      <w:r w:rsidR="00151659" w:rsidRPr="00E72418">
        <w:rPr>
          <w:rFonts w:cs="Times New Roman"/>
          <w:szCs w:val="24"/>
        </w:rPr>
        <w:t>de protéger la coopération au dé</w:t>
      </w:r>
      <w:r w:rsidR="005F6F52" w:rsidRPr="00E72418">
        <w:rPr>
          <w:rFonts w:cs="Times New Roman"/>
          <w:szCs w:val="24"/>
        </w:rPr>
        <w:t>veloppement de la Belgique mise en danger</w:t>
      </w:r>
      <w:r w:rsidR="005F6F52" w:rsidRPr="00E72418">
        <w:rPr>
          <w:rStyle w:val="Appelnotedebasdep"/>
          <w:rFonts w:cs="Times New Roman"/>
          <w:szCs w:val="24"/>
        </w:rPr>
        <w:footnoteReference w:id="1641"/>
      </w:r>
      <w:r w:rsidR="005F6F52" w:rsidRPr="00E72418">
        <w:rPr>
          <w:rFonts w:cs="Times New Roman"/>
          <w:szCs w:val="24"/>
        </w:rPr>
        <w:t>.</w:t>
      </w:r>
    </w:p>
    <w:p w14:paraId="61268066" w14:textId="77777777" w:rsidR="005F6F52" w:rsidRPr="00E72418" w:rsidRDefault="00481E8E" w:rsidP="00CC4BA8">
      <w:pPr>
        <w:spacing w:line="276" w:lineRule="auto"/>
      </w:pPr>
      <w:r w:rsidRPr="00E72418">
        <w:rPr>
          <w:szCs w:val="24"/>
        </w:rPr>
        <w:t>De l’avis des parlementaires à l’initiative de la proposition, l</w:t>
      </w:r>
      <w:r w:rsidR="005F6F52" w:rsidRPr="00E72418">
        <w:rPr>
          <w:szCs w:val="24"/>
        </w:rPr>
        <w:t>es actions menées par les fonds spéculatifs sont de nature à entraver</w:t>
      </w:r>
      <w:r w:rsidR="005F6F52" w:rsidRPr="00E72418">
        <w:rPr>
          <w:rFonts w:cs="Times New Roman"/>
          <w:iCs/>
          <w:szCs w:val="24"/>
        </w:rPr>
        <w:t xml:space="preserve"> de manière extrêmement grave, voire à empêcher la continuité du service public, c’est-à-dire la mise en </w:t>
      </w:r>
      <w:r w:rsidR="00151659" w:rsidRPr="00E72418">
        <w:t>œuvre</w:t>
      </w:r>
      <w:r w:rsidR="00151659" w:rsidRPr="00E72418">
        <w:rPr>
          <w:rFonts w:cs="Times New Roman"/>
          <w:iCs/>
          <w:szCs w:val="24"/>
        </w:rPr>
        <w:t xml:space="preserve"> </w:t>
      </w:r>
      <w:r w:rsidR="005F6F52" w:rsidRPr="00E72418">
        <w:rPr>
          <w:rFonts w:cs="Times New Roman"/>
          <w:iCs/>
          <w:szCs w:val="24"/>
        </w:rPr>
        <w:t>par la Belgique d’une politique de coopération constructive avec divers pays très pauvres</w:t>
      </w:r>
      <w:r w:rsidR="005F6F52" w:rsidRPr="00E72418">
        <w:rPr>
          <w:rStyle w:val="Appelnotedebasdep"/>
          <w:rFonts w:cs="Times New Roman"/>
          <w:iCs/>
          <w:szCs w:val="24"/>
        </w:rPr>
        <w:footnoteReference w:id="1642"/>
      </w:r>
      <w:r w:rsidR="005F6F52" w:rsidRPr="00E72418">
        <w:rPr>
          <w:rFonts w:cs="Times New Roman"/>
          <w:iCs/>
          <w:szCs w:val="24"/>
        </w:rPr>
        <w:t>. L</w:t>
      </w:r>
      <w:r w:rsidR="005F6F52" w:rsidRPr="00E72418">
        <w:t>es activités des fonds visés, que le législateur considère comme contraires à la p</w:t>
      </w:r>
      <w:r w:rsidR="00290740" w:rsidRPr="00E72418">
        <w:t>olitique menée en matière d’allè</w:t>
      </w:r>
      <w:r w:rsidR="005F6F52" w:rsidRPr="00E72418">
        <w:t>gement de dettes souveraines et nocives au développement des pays pauvres, est expressément qualifiée d’immorale et de perverse</w:t>
      </w:r>
      <w:r w:rsidR="005F6F52" w:rsidRPr="00E72418">
        <w:rPr>
          <w:rStyle w:val="Appelnotedebasdep"/>
        </w:rPr>
        <w:footnoteReference w:id="1643"/>
      </w:r>
      <w:r w:rsidR="005F6F52" w:rsidRPr="00E72418">
        <w:t>.</w:t>
      </w:r>
    </w:p>
    <w:p w14:paraId="1D18BF72" w14:textId="77777777" w:rsidR="000C65AC" w:rsidRPr="00E72418" w:rsidRDefault="000C65AC" w:rsidP="00CC4BA8">
      <w:pPr>
        <w:spacing w:line="276" w:lineRule="auto"/>
        <w:rPr>
          <w:rFonts w:cs="Times New Roman"/>
          <w:iCs/>
          <w:szCs w:val="24"/>
        </w:rPr>
      </w:pPr>
    </w:p>
    <w:p w14:paraId="59752B97" w14:textId="0A14AD74" w:rsidR="006C2A3B" w:rsidRPr="00E72418" w:rsidRDefault="004469AC" w:rsidP="00CC4BA8">
      <w:pPr>
        <w:spacing w:line="276" w:lineRule="auto"/>
      </w:pPr>
      <w:r w:rsidRPr="00E72418">
        <w:rPr>
          <w:b/>
        </w:rPr>
        <w:t>330</w:t>
      </w:r>
      <w:r w:rsidR="00817D62" w:rsidRPr="00E72418">
        <w:rPr>
          <w:b/>
        </w:rPr>
        <w:t xml:space="preserve">. </w:t>
      </w:r>
      <w:r w:rsidR="005F6F52" w:rsidRPr="00E72418">
        <w:rPr>
          <w:b/>
        </w:rPr>
        <w:t xml:space="preserve">L’insaisissabilité et l’incessibilité </w:t>
      </w:r>
      <w:r w:rsidR="005C3F3D" w:rsidRPr="00E72418">
        <w:rPr>
          <w:b/>
        </w:rPr>
        <w:t xml:space="preserve">consacrées </w:t>
      </w:r>
      <w:r w:rsidR="005F6F52" w:rsidRPr="00E72418">
        <w:rPr>
          <w:b/>
        </w:rPr>
        <w:t>–</w:t>
      </w:r>
      <w:r w:rsidR="005F6F52" w:rsidRPr="00E72418">
        <w:t xml:space="preserve"> La loi du 6 avril 2008 </w:t>
      </w:r>
      <w:r w:rsidR="00C93658" w:rsidRPr="00E72418">
        <w:t>pose la règle de l’insaisissabilité et l’incessi</w:t>
      </w:r>
      <w:r w:rsidR="005C3F3D" w:rsidRPr="00E72418">
        <w:t>bilité des biens destinés à la Coopération belge au D</w:t>
      </w:r>
      <w:r w:rsidR="00C93658" w:rsidRPr="00E72418">
        <w:t>éveloppement. La règle initialement introduite dans la lo</w:t>
      </w:r>
      <w:r w:rsidR="005C3F3D" w:rsidRPr="00E72418">
        <w:t>i du 25 mai 1999 relative à la C</w:t>
      </w:r>
      <w:r w:rsidR="00C93658" w:rsidRPr="00E72418">
        <w:t>oopération internationale belge est aujourd’hui reprise à l’article 36, alinéa 1</w:t>
      </w:r>
      <w:r w:rsidR="00C93658" w:rsidRPr="00E72418">
        <w:rPr>
          <w:vertAlign w:val="superscript"/>
        </w:rPr>
        <w:t>er</w:t>
      </w:r>
      <w:r w:rsidR="00C93658" w:rsidRPr="00E72418">
        <w:t>, de la loi du 19 mars 2013 rela</w:t>
      </w:r>
      <w:r w:rsidR="005C3F3D" w:rsidRPr="00E72418">
        <w:t>tive à la Coopération belge au D</w:t>
      </w:r>
      <w:r w:rsidR="00C93658" w:rsidRPr="00E72418">
        <w:t>éveloppement qui dispose que « [l]es sommes et les biens destinés à la Coopération belge au Développement sont insaisissables et incessibles »</w:t>
      </w:r>
      <w:r w:rsidR="00C93658" w:rsidRPr="00E72418">
        <w:rPr>
          <w:rStyle w:val="Appelnotedebasdep"/>
        </w:rPr>
        <w:footnoteReference w:id="1644"/>
      </w:r>
      <w:r w:rsidR="005C3F3D" w:rsidRPr="00E72418">
        <w:t xml:space="preserve">. </w:t>
      </w:r>
      <w:r w:rsidR="006C2A3B" w:rsidRPr="00E72418">
        <w:t>La loi</w:t>
      </w:r>
      <w:r w:rsidR="005C3F3D" w:rsidRPr="00E72418">
        <w:t xml:space="preserve"> du 19 mars 2013 relative à la Coopération belge au D</w:t>
      </w:r>
      <w:r w:rsidR="006C2A3B" w:rsidRPr="00E72418">
        <w:t>éveloppement indique</w:t>
      </w:r>
      <w:r w:rsidR="00E1476A" w:rsidRPr="00E72418">
        <w:t xml:space="preserve">, en son article 2, 1°, </w:t>
      </w:r>
      <w:r w:rsidR="006C2A3B" w:rsidRPr="00E72418">
        <w:t>qu’il faut entendre par ces termes</w:t>
      </w:r>
      <w:r w:rsidR="005C3F3D" w:rsidRPr="00E72418">
        <w:t>,</w:t>
      </w:r>
      <w:r w:rsidR="006C2A3B" w:rsidRPr="00E72418">
        <w:t xml:space="preserve"> </w:t>
      </w:r>
      <w:r w:rsidR="006C2A3B" w:rsidRPr="00E72418">
        <w:rPr>
          <w:bCs/>
        </w:rPr>
        <w:t>la politique et les actions fédérales en matière de coopération au développement menées par des canaux gouvernementaux, multilatéraux et non gouvernementaux et au moyen des autres instruments qui sont ou ont été comptabilis</w:t>
      </w:r>
      <w:r w:rsidR="00F17D03" w:rsidRPr="00E72418">
        <w:rPr>
          <w:bCs/>
        </w:rPr>
        <w:t>és comme de l’Aide publique au D</w:t>
      </w:r>
      <w:r w:rsidR="006C2A3B" w:rsidRPr="00E72418">
        <w:rPr>
          <w:bCs/>
        </w:rPr>
        <w:t>évelop</w:t>
      </w:r>
      <w:r w:rsidR="00F17D03" w:rsidRPr="00E72418">
        <w:rPr>
          <w:bCs/>
        </w:rPr>
        <w:t>pement par le Comité d’aide au D</w:t>
      </w:r>
      <w:r w:rsidR="006C2A3B" w:rsidRPr="00E72418">
        <w:rPr>
          <w:bCs/>
        </w:rPr>
        <w:t>éveloppement de l’Organisation de Coopération et de Développement économiques</w:t>
      </w:r>
      <w:r w:rsidR="006C2A3B" w:rsidRPr="00E72418">
        <w:rPr>
          <w:rStyle w:val="Appelnotedebasdep"/>
          <w:bCs/>
          <w:szCs w:val="24"/>
        </w:rPr>
        <w:footnoteReference w:id="1645"/>
      </w:r>
      <w:r w:rsidR="006C2A3B" w:rsidRPr="00E72418">
        <w:rPr>
          <w:bCs/>
        </w:rPr>
        <w:t>.</w:t>
      </w:r>
    </w:p>
    <w:p w14:paraId="7F161C04" w14:textId="7A4EE796" w:rsidR="005F6F52" w:rsidRPr="00E72418" w:rsidRDefault="005F6F52" w:rsidP="00CC4BA8">
      <w:pPr>
        <w:spacing w:line="276" w:lineRule="auto"/>
        <w:rPr>
          <w:rFonts w:cs="Times New Roman"/>
        </w:rPr>
      </w:pPr>
      <w:r w:rsidRPr="00E72418">
        <w:lastRenderedPageBreak/>
        <w:t>Lors des travaux préparatoires de la loi</w:t>
      </w:r>
      <w:r w:rsidR="006C2A3B" w:rsidRPr="00E72418">
        <w:t xml:space="preserve"> du 6 avril 2008</w:t>
      </w:r>
      <w:r w:rsidRPr="00E72418">
        <w:t xml:space="preserve">, il fut précisé que la règle de l’insaisissabilité posée devait être considérée comme une spécification du principe immunitaire </w:t>
      </w:r>
      <w:r w:rsidR="002332F1" w:rsidRPr="00E72418">
        <w:t>général énoncé à l’</w:t>
      </w:r>
      <w:r w:rsidRPr="00E72418">
        <w:t>article 1412</w:t>
      </w:r>
      <w:r w:rsidRPr="00E72418">
        <w:rPr>
          <w:i/>
        </w:rPr>
        <w:t>bis</w:t>
      </w:r>
      <w:r w:rsidR="006D7551" w:rsidRPr="00E72418">
        <w:t>, §</w:t>
      </w:r>
      <w:r w:rsidRPr="00E72418">
        <w:t>1</w:t>
      </w:r>
      <w:r w:rsidRPr="00E72418">
        <w:rPr>
          <w:vertAlign w:val="superscript"/>
        </w:rPr>
        <w:t>er</w:t>
      </w:r>
      <w:r w:rsidRPr="00E72418">
        <w:t>, du Code judiciaire</w:t>
      </w:r>
      <w:r w:rsidRPr="00E72418">
        <w:rPr>
          <w:rStyle w:val="Appelnotedebasdep"/>
          <w:rFonts w:cs="Times New Roman"/>
          <w:bCs/>
          <w:szCs w:val="24"/>
        </w:rPr>
        <w:footnoteReference w:id="1646"/>
      </w:r>
      <w:r w:rsidRPr="00E72418">
        <w:t>. Cette disposition prévoit que</w:t>
      </w:r>
      <w:r w:rsidR="002332F1" w:rsidRPr="00E72418">
        <w:t xml:space="preserve"> les biens appartenant à l’</w:t>
      </w:r>
      <w:r w:rsidRPr="00E72418">
        <w:t xml:space="preserve">État, aux Régions, aux Communautés, aux provinces, aux communes, aux organismes d’intérêt public et généralement à toutes personnes morales de droit public sont </w:t>
      </w:r>
      <w:r w:rsidR="00122393" w:rsidRPr="00E72418">
        <w:t xml:space="preserve">insaisissables. </w:t>
      </w:r>
      <w:r w:rsidR="00F17D03" w:rsidRPr="00E72418">
        <w:t>Lorsqu’</w:t>
      </w:r>
      <w:r w:rsidR="00122393" w:rsidRPr="00E72418">
        <w:t>un bien entre</w:t>
      </w:r>
      <w:r w:rsidRPr="00E72418">
        <w:t xml:space="preserve"> dans le champ d’application de la loi du 6 avril 2008, </w:t>
      </w:r>
      <w:r w:rsidR="00122393" w:rsidRPr="00E72418">
        <w:t>l’on ne saurait utilement invoquer</w:t>
      </w:r>
      <w:r w:rsidRPr="00E72418">
        <w:t xml:space="preserve"> </w:t>
      </w:r>
      <w:r w:rsidR="00122393" w:rsidRPr="00E72418">
        <w:t>à l’appui de sa saisie</w:t>
      </w:r>
      <w:r w:rsidRPr="00E72418">
        <w:t xml:space="preserve"> l’exception visée à l’article 1412</w:t>
      </w:r>
      <w:r w:rsidRPr="00E72418">
        <w:rPr>
          <w:i/>
        </w:rPr>
        <w:t>bis</w:t>
      </w:r>
      <w:r w:rsidR="006D7551" w:rsidRPr="00E72418">
        <w:t>, §</w:t>
      </w:r>
      <w:r w:rsidRPr="00E72418">
        <w:t>2, 2°, du Code judiciaire</w:t>
      </w:r>
      <w:r w:rsidR="00122393" w:rsidRPr="00E72418">
        <w:t xml:space="preserve"> selon laquelle les </w:t>
      </w:r>
      <w:r w:rsidRPr="00E72418">
        <w:rPr>
          <w:bCs/>
        </w:rPr>
        <w:t>biens qui ne sont manifestement pas utiles aux personnes morales de droit public pour l’exercice de leur mission ou pour la continuité du service public peuvent faire l’objet d’une saisie.</w:t>
      </w:r>
    </w:p>
    <w:p w14:paraId="0E3DAF55" w14:textId="77777777" w:rsidR="0012579D" w:rsidRPr="00E72418" w:rsidRDefault="00C93658" w:rsidP="00CC4BA8">
      <w:pPr>
        <w:spacing w:line="276" w:lineRule="auto"/>
        <w:rPr>
          <w:rFonts w:cs="Times New Roman"/>
        </w:rPr>
      </w:pPr>
      <w:r w:rsidRPr="00E72418">
        <w:t>La loi du 6 avril 2008 prévoit les mêmes insaisissabilité et incessibilité des mont</w:t>
      </w:r>
      <w:r w:rsidR="00D767F3" w:rsidRPr="00E72418">
        <w:t xml:space="preserve">ants des prêts consentis à des </w:t>
      </w:r>
      <w:r w:rsidR="00D767F3" w:rsidRPr="00E72418">
        <w:rPr>
          <w:lang w:eastAsia="fr-BE"/>
        </w:rPr>
        <w:t>É</w:t>
      </w:r>
      <w:r w:rsidRPr="00E72418">
        <w:t>tats ou à des organismes étrangers ayant obtenu la garantie de leur gouvernement, de leur banque centrale ou d’une institution qui exécute la politique de développement d’</w:t>
      </w:r>
      <w:r w:rsidR="00D767F3" w:rsidRPr="00E72418">
        <w:t xml:space="preserve">un </w:t>
      </w:r>
      <w:r w:rsidR="00D767F3" w:rsidRPr="00E72418">
        <w:rPr>
          <w:lang w:eastAsia="fr-BE"/>
        </w:rPr>
        <w:t>É</w:t>
      </w:r>
      <w:r w:rsidRPr="00E72418">
        <w:t>tat étranger</w:t>
      </w:r>
      <w:r w:rsidRPr="00E72418">
        <w:rPr>
          <w:rStyle w:val="Appelnotedebasdep"/>
          <w:rFonts w:cs="Times New Roman"/>
          <w:bCs/>
          <w:szCs w:val="24"/>
        </w:rPr>
        <w:footnoteReference w:id="1647"/>
      </w:r>
      <w:r w:rsidRPr="00E72418">
        <w:t xml:space="preserve">. </w:t>
      </w:r>
      <w:r w:rsidR="005F6F52" w:rsidRPr="00E72418">
        <w:rPr>
          <w:rFonts w:cs="Times New Roman"/>
        </w:rPr>
        <w:t>En posant la règle de l’incessibilité à l’endroit de prêts consentis, la loi belge s’inscrit dans une démarche préventive à l’égard des fonds spéculatifs qu’elle entend combattre en évitant que ces derniers puissent simplement faire l’acquisition de créances</w:t>
      </w:r>
      <w:r w:rsidR="005F6F52" w:rsidRPr="00E72418">
        <w:rPr>
          <w:rStyle w:val="Appelnotedebasdep"/>
          <w:rFonts w:cs="Times New Roman"/>
          <w:szCs w:val="24"/>
        </w:rPr>
        <w:footnoteReference w:id="1648"/>
      </w:r>
      <w:r w:rsidR="005F6F52" w:rsidRPr="00E72418">
        <w:rPr>
          <w:rFonts w:cs="Times New Roman"/>
        </w:rPr>
        <w:t>.</w:t>
      </w:r>
    </w:p>
    <w:p w14:paraId="6F7BF651" w14:textId="6F08D682" w:rsidR="0012579D" w:rsidRPr="00E72418" w:rsidRDefault="0012579D" w:rsidP="00CC4BA8">
      <w:pPr>
        <w:spacing w:line="276" w:lineRule="auto"/>
      </w:pPr>
      <w:r w:rsidRPr="00E72418">
        <w:t>La personne du créancier n’est pas prise en compte lors de l’application de la règle posée par la loi du 6</w:t>
      </w:r>
      <w:r w:rsidR="005005AD" w:rsidRPr="00E72418">
        <w:t xml:space="preserve"> avril 2008. Ainsi, comme l’écrit</w:t>
      </w:r>
      <w:r w:rsidRPr="00E72418">
        <w:t xml:space="preserve"> </w:t>
      </w:r>
      <w:r w:rsidR="00CC15FF" w:rsidRPr="00E72418">
        <w:t xml:space="preserve">Patrick </w:t>
      </w:r>
      <w:r w:rsidRPr="00E72418">
        <w:t>Wautelet, « </w:t>
      </w:r>
      <w:r w:rsidRPr="00E72418">
        <w:rPr>
          <w:rFonts w:cs="Times New Roman"/>
        </w:rPr>
        <w:t>[</w:t>
      </w:r>
      <w:r w:rsidRPr="00E72418">
        <w:rPr>
          <w:rFonts w:cs="Times New Roman"/>
          <w:i/>
        </w:rPr>
        <w:t>b</w:t>
      </w:r>
      <w:r w:rsidRPr="00E72418">
        <w:rPr>
          <w:rFonts w:cs="Times New Roman"/>
        </w:rPr>
        <w:t>]</w:t>
      </w:r>
      <w:r w:rsidRPr="00E72418">
        <w:rPr>
          <w:i/>
        </w:rPr>
        <w:t>ona fide</w:t>
      </w:r>
      <w:r w:rsidRPr="00E72418">
        <w:t xml:space="preserve"> creditors </w:t>
      </w:r>
      <w:r w:rsidRPr="00E72418">
        <w:rPr>
          <w:rFonts w:cs="Times New Roman"/>
        </w:rPr>
        <w:t>[…]</w:t>
      </w:r>
      <w:r w:rsidRPr="00E72418">
        <w:t xml:space="preserve"> are therefore barred from attaching these assets, as are vulture funds »</w:t>
      </w:r>
      <w:r w:rsidRPr="00E72418">
        <w:rPr>
          <w:rStyle w:val="Appelnotedebasdep"/>
          <w:szCs w:val="24"/>
        </w:rPr>
        <w:footnoteReference w:id="1649"/>
      </w:r>
      <w:r w:rsidRPr="00E72418">
        <w:t xml:space="preserve">. Déplorant cette situation, </w:t>
      </w:r>
      <w:r w:rsidR="002672B1" w:rsidRPr="00E72418">
        <w:t xml:space="preserve">Alexander </w:t>
      </w:r>
      <w:r w:rsidRPr="00E72418">
        <w:t>Hansebout donne notamment l’exemple d’entreprises ayant livré des biens e</w:t>
      </w:r>
      <w:r w:rsidR="00D767F3" w:rsidRPr="00E72418">
        <w:t xml:space="preserve">t des services à un </w:t>
      </w:r>
      <w:r w:rsidR="00D767F3" w:rsidRPr="00E72418">
        <w:rPr>
          <w:lang w:eastAsia="fr-BE"/>
        </w:rPr>
        <w:t>É</w:t>
      </w:r>
      <w:r w:rsidRPr="00E72418">
        <w:t xml:space="preserve">tat sans que </w:t>
      </w:r>
      <w:r w:rsidR="005005AD" w:rsidRPr="00E72418">
        <w:t>leurs</w:t>
      </w:r>
      <w:r w:rsidRPr="00E72418">
        <w:t xml:space="preserve"> factures ne soient h</w:t>
      </w:r>
      <w:r w:rsidR="005005AD" w:rsidRPr="00E72418">
        <w:t>onorées qui</w:t>
      </w:r>
      <w:r w:rsidRPr="00E72418">
        <w:t xml:space="preserve"> se heurteraient à l’insaisissabilité posée</w:t>
      </w:r>
      <w:r w:rsidRPr="00E72418">
        <w:rPr>
          <w:rStyle w:val="Appelnotedebasdep"/>
          <w:szCs w:val="24"/>
        </w:rPr>
        <w:footnoteReference w:id="1650"/>
      </w:r>
      <w:r w:rsidRPr="00E72418">
        <w:t>.</w:t>
      </w:r>
    </w:p>
    <w:p w14:paraId="01A5623D" w14:textId="77777777" w:rsidR="009E63C4" w:rsidRPr="00E72418" w:rsidRDefault="000C65AC" w:rsidP="00CC4BA8">
      <w:pPr>
        <w:spacing w:line="276" w:lineRule="auto"/>
        <w:rPr>
          <w:rFonts w:cs="Times New Roman"/>
        </w:rPr>
      </w:pPr>
      <w:r w:rsidRPr="00E72418">
        <w:rPr>
          <w:rFonts w:cs="Times New Roman"/>
        </w:rPr>
        <w:lastRenderedPageBreak/>
        <w:t>L</w:t>
      </w:r>
      <w:r w:rsidR="0012579D" w:rsidRPr="00E72418">
        <w:rPr>
          <w:rFonts w:cs="Times New Roman"/>
        </w:rPr>
        <w:t xml:space="preserve">a </w:t>
      </w:r>
      <w:r w:rsidR="009E63C4" w:rsidRPr="00E72418">
        <w:rPr>
          <w:rFonts w:cs="Times New Roman"/>
        </w:rPr>
        <w:t xml:space="preserve">loi </w:t>
      </w:r>
      <w:r w:rsidR="0012579D" w:rsidRPr="00E72418">
        <w:rPr>
          <w:rFonts w:cs="Times New Roman"/>
        </w:rPr>
        <w:t>du 6 avril 2008 ne disant</w:t>
      </w:r>
      <w:r w:rsidR="009E63C4" w:rsidRPr="00E72418">
        <w:rPr>
          <w:rFonts w:cs="Times New Roman"/>
        </w:rPr>
        <w:t xml:space="preserve"> mot de s</w:t>
      </w:r>
      <w:r w:rsidR="0012579D" w:rsidRPr="00E72418">
        <w:rPr>
          <w:rFonts w:cs="Times New Roman"/>
        </w:rPr>
        <w:t xml:space="preserve">on champ d’application temporel, </w:t>
      </w:r>
      <w:r w:rsidR="009E63C4" w:rsidRPr="00E72418">
        <w:rPr>
          <w:rFonts w:cs="Times New Roman"/>
        </w:rPr>
        <w:t xml:space="preserve">l’on retient que les insaisissabilité et incessibilité </w:t>
      </w:r>
      <w:r w:rsidR="0012579D" w:rsidRPr="00E72418">
        <w:rPr>
          <w:rFonts w:cs="Times New Roman"/>
        </w:rPr>
        <w:t xml:space="preserve">posées ne sont d’application qu’aux démarches diligentées </w:t>
      </w:r>
      <w:r w:rsidR="009E63C4" w:rsidRPr="00E72418">
        <w:rPr>
          <w:rFonts w:cs="Times New Roman"/>
        </w:rPr>
        <w:t>postérieurement à son entrée en vigueur</w:t>
      </w:r>
      <w:r w:rsidR="009E63C4" w:rsidRPr="00E72418">
        <w:rPr>
          <w:rStyle w:val="Appelnotedebasdep"/>
          <w:bCs/>
          <w:szCs w:val="24"/>
        </w:rPr>
        <w:footnoteReference w:id="1651"/>
      </w:r>
      <w:r w:rsidR="009E63C4" w:rsidRPr="00E72418">
        <w:rPr>
          <w:rFonts w:cs="Times New Roman"/>
        </w:rPr>
        <w:t>.</w:t>
      </w:r>
    </w:p>
    <w:p w14:paraId="305AE119" w14:textId="77777777" w:rsidR="005F6F52" w:rsidRPr="00E72418" w:rsidRDefault="005F6F52" w:rsidP="00CC4BA8">
      <w:pPr>
        <w:spacing w:line="276" w:lineRule="auto"/>
        <w:rPr>
          <w:rFonts w:cs="Times New Roman"/>
        </w:rPr>
      </w:pPr>
    </w:p>
    <w:p w14:paraId="297A5240" w14:textId="5B063439" w:rsidR="005F6F52" w:rsidRPr="00E72418" w:rsidRDefault="008665DF" w:rsidP="00CC4BA8">
      <w:pPr>
        <w:pStyle w:val="DD"/>
        <w:spacing w:line="276" w:lineRule="auto"/>
      </w:pPr>
      <w:bookmarkStart w:id="386" w:name="_Toc37777399"/>
      <w:bookmarkStart w:id="387" w:name="_Toc59280995"/>
      <w:bookmarkStart w:id="388" w:name="_Toc84540986"/>
      <w:r w:rsidRPr="00E72418">
        <w:t xml:space="preserve">Section 2 : </w:t>
      </w:r>
      <w:r w:rsidR="005F6F52" w:rsidRPr="00E72418">
        <w:t>L</w:t>
      </w:r>
      <w:bookmarkEnd w:id="386"/>
      <w:r w:rsidR="00F86660" w:rsidRPr="00E72418">
        <w:t>e contexte</w:t>
      </w:r>
      <w:bookmarkEnd w:id="387"/>
      <w:bookmarkEnd w:id="388"/>
    </w:p>
    <w:p w14:paraId="40592C70" w14:textId="77777777" w:rsidR="007A12E9" w:rsidRPr="00E72418" w:rsidRDefault="007A12E9" w:rsidP="007A12E9"/>
    <w:p w14:paraId="53EAFA87" w14:textId="74C9DA23" w:rsidR="005F6F52" w:rsidRPr="00E72418" w:rsidRDefault="004469AC" w:rsidP="00CC4BA8">
      <w:pPr>
        <w:spacing w:line="276" w:lineRule="auto"/>
      </w:pPr>
      <w:r w:rsidRPr="00E72418">
        <w:rPr>
          <w:b/>
        </w:rPr>
        <w:t>331</w:t>
      </w:r>
      <w:r w:rsidR="00817D62" w:rsidRPr="00E72418">
        <w:rPr>
          <w:b/>
        </w:rPr>
        <w:t xml:space="preserve">. </w:t>
      </w:r>
      <w:r w:rsidR="005F6F52" w:rsidRPr="00E72418">
        <w:rPr>
          <w:b/>
        </w:rPr>
        <w:t xml:space="preserve">Le changement de perspective par rapport aux lois </w:t>
      </w:r>
      <w:r w:rsidR="00F86660" w:rsidRPr="00E72418">
        <w:rPr>
          <w:b/>
        </w:rPr>
        <w:t>de</w:t>
      </w:r>
      <w:r w:rsidR="005F6F52" w:rsidRPr="00E72418">
        <w:rPr>
          <w:b/>
        </w:rPr>
        <w:t xml:space="preserve"> 2004 et </w:t>
      </w:r>
      <w:r w:rsidR="00F86660" w:rsidRPr="00E72418">
        <w:rPr>
          <w:b/>
        </w:rPr>
        <w:t>de</w:t>
      </w:r>
      <w:r w:rsidR="005F6F52" w:rsidRPr="00E72418">
        <w:rPr>
          <w:b/>
        </w:rPr>
        <w:t xml:space="preserve"> 2008</w:t>
      </w:r>
      <w:r w:rsidR="00F86660" w:rsidRPr="00E72418">
        <w:rPr>
          <w:b/>
        </w:rPr>
        <w:t xml:space="preserve"> </w:t>
      </w:r>
      <w:r w:rsidR="005F6F52" w:rsidRPr="00E72418">
        <w:rPr>
          <w:b/>
        </w:rPr>
        <w:t xml:space="preserve">– </w:t>
      </w:r>
      <w:r w:rsidR="00981255" w:rsidRPr="00E72418">
        <w:t>À</w:t>
      </w:r>
      <w:r w:rsidR="005F6F52" w:rsidRPr="00E72418">
        <w:t xml:space="preserve"> la différence des lois du 19 novembre 2004 et du 6 avril 2008 qui, quoiqu’adoptées en réaction à des actions </w:t>
      </w:r>
      <w:r w:rsidR="00F86660" w:rsidRPr="00E72418">
        <w:t xml:space="preserve">menées par </w:t>
      </w:r>
      <w:r w:rsidR="005F6F52" w:rsidRPr="00E72418">
        <w:t>de</w:t>
      </w:r>
      <w:r w:rsidR="00F86660" w:rsidRPr="00E72418">
        <w:t>s</w:t>
      </w:r>
      <w:r w:rsidR="005F6F52" w:rsidRPr="00E72418">
        <w:t xml:space="preserve"> fonds spéculatifs, ne les visent pas spécifiquement, la loi du 12 juillet 2015 relative à la lutte contre les activités des fonds vautours mentionne explicitement</w:t>
      </w:r>
      <w:r w:rsidR="00570DE4" w:rsidRPr="00E72418">
        <w:t xml:space="preserve"> dans son intitulé les créanciers d’</w:t>
      </w:r>
      <w:r w:rsidR="00570DE4" w:rsidRPr="00E72418">
        <w:rPr>
          <w:lang w:eastAsia="fr-BE"/>
        </w:rPr>
        <w:t>É</w:t>
      </w:r>
      <w:r w:rsidR="00570DE4" w:rsidRPr="00E72418">
        <w:t>tats souverains qu’elle combat</w:t>
      </w:r>
      <w:r w:rsidR="005F6F52" w:rsidRPr="00E72418">
        <w:t xml:space="preserve">. </w:t>
      </w:r>
      <w:r w:rsidR="00F86660" w:rsidRPr="00E72418">
        <w:t xml:space="preserve">Aussi, alors que </w:t>
      </w:r>
      <w:r w:rsidR="005F6F52" w:rsidRPr="00E72418">
        <w:t xml:space="preserve">les lois de 2004 et de 2008 </w:t>
      </w:r>
      <w:r w:rsidR="00F86660" w:rsidRPr="00E72418">
        <w:t>posent des règles générales applicables à tous</w:t>
      </w:r>
      <w:r w:rsidR="005F6F52" w:rsidRPr="00E72418">
        <w:t xml:space="preserve">, la loi de 2015 entreprend </w:t>
      </w:r>
      <w:r w:rsidR="00570DE4" w:rsidRPr="00E72418">
        <w:t xml:space="preserve">quant à elle </w:t>
      </w:r>
      <w:r w:rsidR="005F6F52" w:rsidRPr="00E72418">
        <w:t xml:space="preserve">de lutter contre </w:t>
      </w:r>
      <w:r w:rsidR="00570DE4" w:rsidRPr="00E72418">
        <w:t>une catégorie particulière de créanciers</w:t>
      </w:r>
      <w:r w:rsidR="005F6F52" w:rsidRPr="00E72418">
        <w:t xml:space="preserve"> en mettant </w:t>
      </w:r>
      <w:r w:rsidR="005F6F52" w:rsidRPr="00E72418">
        <w:rPr>
          <w:bCs/>
          <w:szCs w:val="24"/>
        </w:rPr>
        <w:t xml:space="preserve">en place un mécanisme </w:t>
      </w:r>
      <w:r w:rsidR="00570DE4" w:rsidRPr="00E72418">
        <w:rPr>
          <w:bCs/>
          <w:szCs w:val="24"/>
        </w:rPr>
        <w:t>axé sur leurs seules activités.</w:t>
      </w:r>
    </w:p>
    <w:p w14:paraId="7899EF45" w14:textId="2ED52458" w:rsidR="005F6F52" w:rsidRPr="00E72418" w:rsidRDefault="005F6F52" w:rsidP="00CC4BA8">
      <w:pPr>
        <w:spacing w:line="276" w:lineRule="auto"/>
        <w:rPr>
          <w:bCs/>
          <w:szCs w:val="24"/>
        </w:rPr>
      </w:pPr>
      <w:r w:rsidRPr="00E72418">
        <w:rPr>
          <w:bCs/>
          <w:szCs w:val="24"/>
        </w:rPr>
        <w:t xml:space="preserve">Les parlementaires à l’origine de la proposition de loi ayant conduit à la loi du 12 juillet 2015 relative à la lutte contre les activités des fonds vautours épinglèrent les lacunes de la législation de 2008. </w:t>
      </w:r>
      <w:r w:rsidR="00B32BE6" w:rsidRPr="00E72418">
        <w:rPr>
          <w:bCs/>
          <w:szCs w:val="24"/>
        </w:rPr>
        <w:t>Ils considérai</w:t>
      </w:r>
      <w:r w:rsidRPr="00E72418">
        <w:rPr>
          <w:bCs/>
          <w:szCs w:val="24"/>
        </w:rPr>
        <w:t>ent que, quoiqu’elle constitua un bon point de départ, elle</w:t>
      </w:r>
      <w:r w:rsidR="00B32BE6" w:rsidRPr="00E72418">
        <w:rPr>
          <w:bCs/>
          <w:szCs w:val="24"/>
        </w:rPr>
        <w:t xml:space="preserve"> était insuffisante. Ils relevai</w:t>
      </w:r>
      <w:r w:rsidRPr="00E72418">
        <w:rPr>
          <w:bCs/>
          <w:szCs w:val="24"/>
        </w:rPr>
        <w:t xml:space="preserve">ent ainsi que les personnes de droit privé n’ont pas bénéficié de l’immunité </w:t>
      </w:r>
      <w:r w:rsidR="00570DE4" w:rsidRPr="00E72418">
        <w:rPr>
          <w:bCs/>
          <w:szCs w:val="24"/>
        </w:rPr>
        <w:t>reconnue</w:t>
      </w:r>
      <w:r w:rsidRPr="00E72418">
        <w:rPr>
          <w:bCs/>
          <w:szCs w:val="24"/>
        </w:rPr>
        <w:t>, que les sommes non visées par la coopération au développement ne sont pas protégées ou encore que le texte s’applique à tous les créanciers, en ce compris ceux qui poursuivent des buts légitimes</w:t>
      </w:r>
      <w:r w:rsidRPr="00E72418">
        <w:rPr>
          <w:rStyle w:val="Appelnotedebasdep"/>
          <w:rFonts w:cs="Times New Roman"/>
          <w:bCs/>
          <w:szCs w:val="24"/>
        </w:rPr>
        <w:footnoteReference w:id="1652"/>
      </w:r>
      <w:r w:rsidRPr="00E72418">
        <w:rPr>
          <w:bCs/>
          <w:szCs w:val="24"/>
        </w:rPr>
        <w:t>.</w:t>
      </w:r>
    </w:p>
    <w:p w14:paraId="41E01005" w14:textId="77777777" w:rsidR="000F20AD" w:rsidRPr="00E72418" w:rsidRDefault="000F20AD" w:rsidP="00CC4BA8">
      <w:pPr>
        <w:spacing w:line="276" w:lineRule="auto"/>
        <w:rPr>
          <w:bCs/>
          <w:szCs w:val="24"/>
        </w:rPr>
      </w:pPr>
    </w:p>
    <w:p w14:paraId="118C023A" w14:textId="07A8A5E3" w:rsidR="005F6F52" w:rsidRPr="00E72418" w:rsidRDefault="004469AC" w:rsidP="00CC4BA8">
      <w:pPr>
        <w:spacing w:line="276" w:lineRule="auto"/>
      </w:pPr>
      <w:r w:rsidRPr="00E72418">
        <w:rPr>
          <w:b/>
        </w:rPr>
        <w:t>332</w:t>
      </w:r>
      <w:r w:rsidR="00817D62" w:rsidRPr="00E72418">
        <w:rPr>
          <w:b/>
        </w:rPr>
        <w:t xml:space="preserve">. </w:t>
      </w:r>
      <w:r w:rsidR="00DA38E4" w:rsidRPr="00E72418">
        <w:rPr>
          <w:b/>
        </w:rPr>
        <w:t xml:space="preserve">L’objectif – </w:t>
      </w:r>
      <w:r w:rsidR="005F6F52" w:rsidRPr="00E72418">
        <w:t xml:space="preserve">Il ressort des travaux préparatoires de la loi </w:t>
      </w:r>
      <w:r w:rsidR="00013512" w:rsidRPr="00E72418">
        <w:t xml:space="preserve">belge anti-fonds spéculatifs de 2015 </w:t>
      </w:r>
      <w:r w:rsidR="005F6F52" w:rsidRPr="00E72418">
        <w:t xml:space="preserve">que la volonté du législateur </w:t>
      </w:r>
      <w:r w:rsidR="00B32BE6" w:rsidRPr="00E72418">
        <w:t>est</w:t>
      </w:r>
      <w:r w:rsidR="005F6F52" w:rsidRPr="00E72418">
        <w:t xml:space="preserve"> de compléter la législation en offrant aux juridictions belges des moyens plus efficaces de lutte contr</w:t>
      </w:r>
      <w:r w:rsidR="00B41CCF" w:rsidRPr="00E72418">
        <w:t>e l’action des fonds spéculant</w:t>
      </w:r>
      <w:r w:rsidR="005F6F52" w:rsidRPr="00E72418">
        <w:t xml:space="preserve"> sur les dettes souveraines</w:t>
      </w:r>
      <w:r w:rsidR="005F6F52" w:rsidRPr="00E72418">
        <w:rPr>
          <w:rStyle w:val="Appelnotedebasdep"/>
          <w:rFonts w:cs="Times New Roman"/>
          <w:bCs/>
          <w:szCs w:val="24"/>
        </w:rPr>
        <w:footnoteReference w:id="1653"/>
      </w:r>
      <w:r w:rsidR="005F6F52" w:rsidRPr="00E72418">
        <w:t>. L’objectif de la loi est de lim</w:t>
      </w:r>
      <w:r w:rsidR="00E06435" w:rsidRPr="00E72418">
        <w:t>iter la possibilité pour c</w:t>
      </w:r>
      <w:r w:rsidR="005F6F52" w:rsidRPr="00E72418">
        <w:t xml:space="preserve">es fonds d’obtenir en Belgique des décisions judiciaires favorables ou d’y faire exécuter des décisions </w:t>
      </w:r>
      <w:r w:rsidR="00EA73B2" w:rsidRPr="00E72418">
        <w:t xml:space="preserve">judiciaires </w:t>
      </w:r>
      <w:r w:rsidR="005F6F52" w:rsidRPr="00E72418">
        <w:t>et des sentences arbitrales étrangères</w:t>
      </w:r>
      <w:r w:rsidR="005F6F52" w:rsidRPr="00E72418">
        <w:rPr>
          <w:rStyle w:val="Appelnotedebasdep"/>
          <w:szCs w:val="24"/>
        </w:rPr>
        <w:footnoteReference w:id="1654"/>
      </w:r>
      <w:r w:rsidR="005F6F52" w:rsidRPr="00E72418">
        <w:t xml:space="preserve">. </w:t>
      </w:r>
      <w:r w:rsidR="005F6F52" w:rsidRPr="00E72418">
        <w:rPr>
          <w:rFonts w:cs="Times New Roman"/>
        </w:rPr>
        <w:t>Cet objectif s’explique notamment par le fait</w:t>
      </w:r>
      <w:r w:rsidR="00E06435" w:rsidRPr="00E72418">
        <w:rPr>
          <w:rFonts w:cs="Times New Roman"/>
        </w:rPr>
        <w:t xml:space="preserve"> que l</w:t>
      </w:r>
      <w:r w:rsidR="005F6F52" w:rsidRPr="00E72418">
        <w:rPr>
          <w:rFonts w:cs="Times New Roman"/>
        </w:rPr>
        <w:t xml:space="preserve">es </w:t>
      </w:r>
      <w:r w:rsidR="005F6F52" w:rsidRPr="00E72418">
        <w:rPr>
          <w:rFonts w:cs="Times New Roman"/>
        </w:rPr>
        <w:lastRenderedPageBreak/>
        <w:t xml:space="preserve">fonds </w:t>
      </w:r>
      <w:r w:rsidR="00E06435" w:rsidRPr="00E72418">
        <w:rPr>
          <w:rFonts w:cs="Times New Roman"/>
        </w:rPr>
        <w:t xml:space="preserve">combattus </w:t>
      </w:r>
      <w:r w:rsidR="005F6F52" w:rsidRPr="00E72418">
        <w:rPr>
          <w:rFonts w:cs="Times New Roman"/>
        </w:rPr>
        <w:t>spéculent sur l’am</w:t>
      </w:r>
      <w:r w:rsidR="00D767F3" w:rsidRPr="00E72418">
        <w:rPr>
          <w:rFonts w:cs="Times New Roman"/>
        </w:rPr>
        <w:t xml:space="preserve">élioration de la situation des </w:t>
      </w:r>
      <w:r w:rsidR="00D767F3" w:rsidRPr="00E72418">
        <w:rPr>
          <w:lang w:eastAsia="fr-BE"/>
        </w:rPr>
        <w:t>É</w:t>
      </w:r>
      <w:r w:rsidR="005F6F52" w:rsidRPr="00E72418">
        <w:rPr>
          <w:rFonts w:cs="Times New Roman"/>
        </w:rPr>
        <w:t>tats très fortement endettés, sur l’existence d’avoirs saisissable</w:t>
      </w:r>
      <w:r w:rsidR="00D767F3" w:rsidRPr="00E72418">
        <w:rPr>
          <w:rFonts w:cs="Times New Roman"/>
        </w:rPr>
        <w:t xml:space="preserve">s ou encore sur l’octroi à ces </w:t>
      </w:r>
      <w:r w:rsidR="00D767F3" w:rsidRPr="00E72418">
        <w:rPr>
          <w:lang w:eastAsia="fr-BE"/>
        </w:rPr>
        <w:t>É</w:t>
      </w:r>
      <w:r w:rsidR="005F6F52" w:rsidRPr="00E72418">
        <w:rPr>
          <w:rFonts w:cs="Times New Roman"/>
        </w:rPr>
        <w:t>tats d’aides ou d’autres sommes qui pourraient faire l’objet de saisies</w:t>
      </w:r>
      <w:r w:rsidR="005F6F52" w:rsidRPr="00E72418">
        <w:rPr>
          <w:rStyle w:val="Appelnotedebasdep"/>
          <w:rFonts w:cs="Times New Roman"/>
          <w:szCs w:val="24"/>
        </w:rPr>
        <w:footnoteReference w:id="1655"/>
      </w:r>
      <w:r w:rsidR="005F6F52" w:rsidRPr="00E72418">
        <w:rPr>
          <w:rFonts w:cs="Times New Roman"/>
        </w:rPr>
        <w:t>.</w:t>
      </w:r>
    </w:p>
    <w:p w14:paraId="433E2477" w14:textId="6B4B0F35" w:rsidR="005F6F52" w:rsidRPr="00E72418" w:rsidRDefault="005F6F52" w:rsidP="00CC4BA8">
      <w:pPr>
        <w:spacing w:line="276" w:lineRule="auto"/>
      </w:pPr>
      <w:r w:rsidRPr="00E72418">
        <w:t>Les parlementaires ayant déposé la proposition de loi sont</w:t>
      </w:r>
      <w:r w:rsidR="00B32BE6" w:rsidRPr="00E72418">
        <w:t xml:space="preserve"> d’avis que l’action d</w:t>
      </w:r>
      <w:r w:rsidRPr="00E72418">
        <w:t xml:space="preserve">es fonds </w:t>
      </w:r>
      <w:r w:rsidR="00E06435" w:rsidRPr="00E72418">
        <w:t>spéculatifs</w:t>
      </w:r>
      <w:r w:rsidR="00B32BE6" w:rsidRPr="00E72418">
        <w:t xml:space="preserve"> </w:t>
      </w:r>
      <w:r w:rsidRPr="00E72418">
        <w:t xml:space="preserve">est, </w:t>
      </w:r>
      <w:r w:rsidR="00902D91" w:rsidRPr="00E72418">
        <w:t>selon</w:t>
      </w:r>
      <w:r w:rsidRPr="00E72418">
        <w:t xml:space="preserve"> leurs propres termes, immorale</w:t>
      </w:r>
      <w:r w:rsidR="00E06435" w:rsidRPr="00E72418">
        <w:t>. Ces fonds sont d’ailleurs expressément qualifiés de « fonds vautours », le sobriquet illustrant le jugement porté. Leur</w:t>
      </w:r>
      <w:r w:rsidR="00902D91" w:rsidRPr="00E72418">
        <w:t>s</w:t>
      </w:r>
      <w:r w:rsidR="00E06435" w:rsidRPr="00E72418">
        <w:t xml:space="preserve"> action</w:t>
      </w:r>
      <w:r w:rsidR="00902D91" w:rsidRPr="00E72418">
        <w:t>s sont</w:t>
      </w:r>
      <w:r w:rsidR="00E06435" w:rsidRPr="00E72418">
        <w:t xml:space="preserve"> </w:t>
      </w:r>
      <w:r w:rsidR="00F160C7" w:rsidRPr="00E72418">
        <w:t xml:space="preserve">vertement </w:t>
      </w:r>
      <w:r w:rsidR="00E06435" w:rsidRPr="00E72418">
        <w:t>critiquée</w:t>
      </w:r>
      <w:r w:rsidR="00902D91" w:rsidRPr="00E72418">
        <w:t>s</w:t>
      </w:r>
      <w:r w:rsidRPr="00E72418">
        <w:t xml:space="preserve"> notamment </w:t>
      </w:r>
      <w:r w:rsidR="00E06435" w:rsidRPr="00E72418">
        <w:t>en raison du fait qu’</w:t>
      </w:r>
      <w:r w:rsidRPr="00E72418">
        <w:t>elle</w:t>
      </w:r>
      <w:r w:rsidR="00902D91" w:rsidRPr="00E72418">
        <w:t>s</w:t>
      </w:r>
      <w:r w:rsidRPr="00E72418">
        <w:t xml:space="preserve"> compromet</w:t>
      </w:r>
      <w:r w:rsidR="00902D91" w:rsidRPr="00E72418">
        <w:t>tent</w:t>
      </w:r>
      <w:r w:rsidRPr="00E72418">
        <w:t xml:space="preserve"> l’am</w:t>
      </w:r>
      <w:r w:rsidR="00902D91" w:rsidRPr="00E72418">
        <w:t>élioration de la situation d’</w:t>
      </w:r>
      <w:r w:rsidR="00D767F3" w:rsidRPr="00E72418">
        <w:rPr>
          <w:lang w:eastAsia="fr-BE"/>
        </w:rPr>
        <w:t>É</w:t>
      </w:r>
      <w:r w:rsidRPr="00E72418">
        <w:t xml:space="preserve">tats fortement endettés et </w:t>
      </w:r>
      <w:r w:rsidR="00E06435" w:rsidRPr="00E72418">
        <w:t>qu’</w:t>
      </w:r>
      <w:r w:rsidR="00D767F3" w:rsidRPr="00E72418">
        <w:t>elle</w:t>
      </w:r>
      <w:r w:rsidR="00902D91" w:rsidRPr="00E72418">
        <w:t>s</w:t>
      </w:r>
      <w:r w:rsidR="00D767F3" w:rsidRPr="00E72418">
        <w:t xml:space="preserve"> abouti</w:t>
      </w:r>
      <w:r w:rsidR="00902D91" w:rsidRPr="00E72418">
        <w:t>ssen</w:t>
      </w:r>
      <w:r w:rsidR="00D767F3" w:rsidRPr="00E72418">
        <w:t xml:space="preserve">t à priver des </w:t>
      </w:r>
      <w:r w:rsidR="00D767F3" w:rsidRPr="00E72418">
        <w:rPr>
          <w:lang w:eastAsia="fr-BE"/>
        </w:rPr>
        <w:t>É</w:t>
      </w:r>
      <w:r w:rsidRPr="00E72418">
        <w:t>tats en situation financière difficile de sommes nécessaires à leur développement et au bien-être de leur population</w:t>
      </w:r>
      <w:r w:rsidRPr="00E72418">
        <w:rPr>
          <w:rStyle w:val="Appelnotedebasdep"/>
          <w:rFonts w:cs="Times New Roman"/>
          <w:bCs/>
          <w:szCs w:val="24"/>
        </w:rPr>
        <w:footnoteReference w:id="1656"/>
      </w:r>
      <w:r w:rsidRPr="00E72418">
        <w:t xml:space="preserve">. </w:t>
      </w:r>
      <w:r w:rsidR="00902D91" w:rsidRPr="00E72418">
        <w:t>E</w:t>
      </w:r>
      <w:r w:rsidR="00E06435" w:rsidRPr="00E72418">
        <w:t xml:space="preserve">n réponse à ces comportements néfastes est </w:t>
      </w:r>
      <w:r w:rsidR="00902D91" w:rsidRPr="00E72418">
        <w:t xml:space="preserve">par conséquent </w:t>
      </w:r>
      <w:r w:rsidR="00E06435" w:rsidRPr="00E72418">
        <w:t xml:space="preserve">envisagée une loi qui </w:t>
      </w:r>
      <w:r w:rsidRPr="00E72418">
        <w:t>« traduit une certaine conception de la finance qui doit être avant tout une source de financement pour l’économie réelle mais certainement pas une source de désordre</w:t>
      </w:r>
      <w:r w:rsidR="00D767F3" w:rsidRPr="00E72418">
        <w:t xml:space="preserve">s sociaux-économiques dans des </w:t>
      </w:r>
      <w:r w:rsidR="00D767F3" w:rsidRPr="00E72418">
        <w:rPr>
          <w:lang w:eastAsia="fr-BE"/>
        </w:rPr>
        <w:t>É</w:t>
      </w:r>
      <w:r w:rsidRPr="00E72418">
        <w:t>tats en état d’insolvabilité »</w:t>
      </w:r>
      <w:r w:rsidRPr="00E72418">
        <w:rPr>
          <w:rStyle w:val="Appelnotedebasdep"/>
          <w:rFonts w:cs="Times New Roman"/>
          <w:szCs w:val="24"/>
        </w:rPr>
        <w:footnoteReference w:id="1657"/>
      </w:r>
      <w:r w:rsidR="00F160C7" w:rsidRPr="00E72418">
        <w:rPr>
          <w:vertAlign w:val="superscript"/>
        </w:rPr>
        <w:t>,</w:t>
      </w:r>
      <w:r w:rsidRPr="00E72418">
        <w:rPr>
          <w:rStyle w:val="Appelnotedebasdep"/>
          <w:szCs w:val="24"/>
        </w:rPr>
        <w:footnoteReference w:id="1658"/>
      </w:r>
      <w:r w:rsidRPr="00E72418">
        <w:t xml:space="preserve">. </w:t>
      </w:r>
    </w:p>
    <w:p w14:paraId="4209C851" w14:textId="77777777" w:rsidR="005F6F52" w:rsidRPr="00E72418" w:rsidRDefault="005F6F52" w:rsidP="00CC4BA8">
      <w:pPr>
        <w:spacing w:line="276" w:lineRule="auto"/>
      </w:pPr>
    </w:p>
    <w:p w14:paraId="0C569229" w14:textId="4F3B5F4B" w:rsidR="005F6F52" w:rsidRPr="00E72418" w:rsidRDefault="004469AC" w:rsidP="00CC4BA8">
      <w:pPr>
        <w:spacing w:line="276" w:lineRule="auto"/>
      </w:pPr>
      <w:r w:rsidRPr="00E72418">
        <w:rPr>
          <w:b/>
        </w:rPr>
        <w:t>333</w:t>
      </w:r>
      <w:r w:rsidR="00817D62" w:rsidRPr="00E72418">
        <w:rPr>
          <w:b/>
        </w:rPr>
        <w:t xml:space="preserve">. </w:t>
      </w:r>
      <w:r w:rsidR="00DA38E4" w:rsidRPr="00E72418">
        <w:rPr>
          <w:b/>
        </w:rPr>
        <w:t>Une large et rapide majorité –</w:t>
      </w:r>
      <w:r w:rsidR="005F6F52" w:rsidRPr="00E72418">
        <w:t xml:space="preserve"> </w:t>
      </w:r>
      <w:r w:rsidR="00570841" w:rsidRPr="00E72418">
        <w:rPr>
          <w:szCs w:val="24"/>
        </w:rPr>
        <w:t>Ré</w:t>
      </w:r>
      <w:r w:rsidR="00B32BE6" w:rsidRPr="00E72418">
        <w:rPr>
          <w:szCs w:val="24"/>
        </w:rPr>
        <w:t>pond</w:t>
      </w:r>
      <w:r w:rsidR="00570841" w:rsidRPr="00E72418">
        <w:rPr>
          <w:szCs w:val="24"/>
        </w:rPr>
        <w:t>ant</w:t>
      </w:r>
      <w:r w:rsidR="00B32BE6" w:rsidRPr="00E72418">
        <w:rPr>
          <w:szCs w:val="24"/>
        </w:rPr>
        <w:t xml:space="preserve"> à une demand</w:t>
      </w:r>
      <w:r w:rsidR="00570841" w:rsidRPr="00E72418">
        <w:rPr>
          <w:szCs w:val="24"/>
        </w:rPr>
        <w:t>e initiale de la société civile illustrée par l’implication dans son émergence d’</w:t>
      </w:r>
      <w:r w:rsidR="00B32BE6" w:rsidRPr="00E72418">
        <w:rPr>
          <w:szCs w:val="24"/>
        </w:rPr>
        <w:t>associations comme notamment le Comité pour l’Annula</w:t>
      </w:r>
      <w:r w:rsidR="00570841" w:rsidRPr="00E72418">
        <w:rPr>
          <w:szCs w:val="24"/>
        </w:rPr>
        <w:t>tion de la</w:t>
      </w:r>
      <w:r w:rsidR="00902D91" w:rsidRPr="00E72418">
        <w:rPr>
          <w:szCs w:val="24"/>
        </w:rPr>
        <w:t xml:space="preserve"> Dette du Tiers-</w:t>
      </w:r>
      <w:r w:rsidR="00570841" w:rsidRPr="00E72418">
        <w:rPr>
          <w:szCs w:val="24"/>
        </w:rPr>
        <w:t>Monde</w:t>
      </w:r>
      <w:r w:rsidR="00B32BE6" w:rsidRPr="00E72418">
        <w:rPr>
          <w:szCs w:val="24"/>
        </w:rPr>
        <w:t xml:space="preserve"> et le Centre National de Coopération au Développement</w:t>
      </w:r>
      <w:r w:rsidR="00B32BE6" w:rsidRPr="00E72418">
        <w:rPr>
          <w:rStyle w:val="Appelnotedebasdep"/>
          <w:rFonts w:cs="Times New Roman"/>
          <w:bCs/>
          <w:szCs w:val="24"/>
        </w:rPr>
        <w:footnoteReference w:id="1659"/>
      </w:r>
      <w:r w:rsidR="00570841" w:rsidRPr="00E72418">
        <w:rPr>
          <w:szCs w:val="24"/>
        </w:rPr>
        <w:t xml:space="preserve">, </w:t>
      </w:r>
      <w:r w:rsidR="00570841" w:rsidRPr="00E72418">
        <w:t xml:space="preserve">la loi relative à la lutte contre les activités des fonds vautours fut adoptée à la quasi-unanimité. Elle recueillit lors </w:t>
      </w:r>
      <w:r w:rsidR="00902D91" w:rsidRPr="00E72418">
        <w:t>de son vote en séance plénière, cent trente-six voix positives pour deux</w:t>
      </w:r>
      <w:r w:rsidR="00570841" w:rsidRPr="00E72418">
        <w:t xml:space="preserve"> abstentions et aucun</w:t>
      </w:r>
      <w:r w:rsidR="00902D91" w:rsidRPr="00E72418">
        <w:t>e</w:t>
      </w:r>
      <w:r w:rsidR="00570841" w:rsidRPr="00E72418">
        <w:t xml:space="preserve"> </w:t>
      </w:r>
      <w:r w:rsidR="00902D91" w:rsidRPr="00E72418">
        <w:t>voix négative</w:t>
      </w:r>
      <w:r w:rsidR="00570841" w:rsidRPr="00E72418">
        <w:rPr>
          <w:rStyle w:val="Appelnotedebasdep"/>
          <w:rFonts w:cs="Times New Roman"/>
          <w:bCs/>
          <w:szCs w:val="24"/>
        </w:rPr>
        <w:footnoteReference w:id="1660"/>
      </w:r>
      <w:r w:rsidR="00570841" w:rsidRPr="00E72418">
        <w:rPr>
          <w:rFonts w:cs="Times New Roman"/>
        </w:rPr>
        <w:t xml:space="preserve">. </w:t>
      </w:r>
      <w:r w:rsidR="005F6F52" w:rsidRPr="00E72418">
        <w:t xml:space="preserve">La proposition de texte datée du </w:t>
      </w:r>
      <w:r w:rsidR="005F6F52" w:rsidRPr="00E72418">
        <w:lastRenderedPageBreak/>
        <w:t xml:space="preserve">30 avril 2015 </w:t>
      </w:r>
      <w:r w:rsidR="00814E6C" w:rsidRPr="00E72418">
        <w:t>fut promulguée</w:t>
      </w:r>
      <w:r w:rsidR="005F6F52" w:rsidRPr="00E72418">
        <w:t xml:space="preserve"> loi, au terme d’un parcours législatif très rapide, le 12 juillet 2015</w:t>
      </w:r>
      <w:r w:rsidR="005F6F52" w:rsidRPr="00E72418">
        <w:rPr>
          <w:rStyle w:val="Appelnotedebasdep"/>
        </w:rPr>
        <w:footnoteReference w:id="1661"/>
      </w:r>
      <w:r w:rsidR="005F6F52" w:rsidRPr="00E72418">
        <w:t>. Elle entra en vigueur le 21 septembre 2015.</w:t>
      </w:r>
    </w:p>
    <w:p w14:paraId="7031F45A" w14:textId="77777777" w:rsidR="00013512" w:rsidRPr="00E72418" w:rsidRDefault="00013512" w:rsidP="00CC4BA8">
      <w:pPr>
        <w:spacing w:line="276" w:lineRule="auto"/>
      </w:pPr>
    </w:p>
    <w:p w14:paraId="47780925" w14:textId="07EF3DE3" w:rsidR="005F6F52" w:rsidRPr="00E72418" w:rsidRDefault="004469AC" w:rsidP="00CC4BA8">
      <w:pPr>
        <w:spacing w:line="276" w:lineRule="auto"/>
      </w:pPr>
      <w:r w:rsidRPr="00E72418">
        <w:rPr>
          <w:b/>
        </w:rPr>
        <w:t>334</w:t>
      </w:r>
      <w:r w:rsidR="00817D62" w:rsidRPr="00E72418">
        <w:rPr>
          <w:b/>
        </w:rPr>
        <w:t xml:space="preserve">. </w:t>
      </w:r>
      <w:r w:rsidR="00812A03" w:rsidRPr="00E72418">
        <w:rPr>
          <w:b/>
        </w:rPr>
        <w:t xml:space="preserve">La critique devant la Cour constitutionnelle </w:t>
      </w:r>
      <w:r w:rsidR="002F4499" w:rsidRPr="00E72418">
        <w:rPr>
          <w:b/>
        </w:rPr>
        <w:t xml:space="preserve">– </w:t>
      </w:r>
      <w:r w:rsidR="00570841" w:rsidRPr="00E72418">
        <w:t>Si le processus d’él</w:t>
      </w:r>
      <w:r w:rsidR="002D78C7" w:rsidRPr="00E72418">
        <w:t>aboration de la loi ne connut aucune anicroche</w:t>
      </w:r>
      <w:r w:rsidR="00570841" w:rsidRPr="00E72418">
        <w:t xml:space="preserve">, </w:t>
      </w:r>
      <w:r w:rsidR="002D78C7" w:rsidRPr="00E72418">
        <w:t>une fois adoptée, la loi fut</w:t>
      </w:r>
      <w:r w:rsidR="009F09A6" w:rsidRPr="00E72418">
        <w:t xml:space="preserve"> </w:t>
      </w:r>
      <w:r w:rsidR="00570841" w:rsidRPr="00E72418">
        <w:t xml:space="preserve">contestée par le biais d’un recours en annulation introduit devant la Cour constitutionnelle en mars 2016. La partie requérante était la </w:t>
      </w:r>
      <w:r w:rsidR="005F6F52" w:rsidRPr="00E72418">
        <w:rPr>
          <w:bCs/>
          <w:szCs w:val="24"/>
        </w:rPr>
        <w:t xml:space="preserve">société </w:t>
      </w:r>
      <w:r w:rsidR="005F6F52" w:rsidRPr="00E72418">
        <w:rPr>
          <w:i/>
          <w:szCs w:val="24"/>
        </w:rPr>
        <w:t>NML Capital Ltd.</w:t>
      </w:r>
      <w:r w:rsidR="00DE688C" w:rsidRPr="00E72418">
        <w:rPr>
          <w:szCs w:val="24"/>
        </w:rPr>
        <w:t xml:space="preserve"> qui s’était fait </w:t>
      </w:r>
      <w:r w:rsidR="009F09A6" w:rsidRPr="00E72418">
        <w:rPr>
          <w:szCs w:val="24"/>
        </w:rPr>
        <w:t>remarquer</w:t>
      </w:r>
      <w:r w:rsidR="00EA73B2" w:rsidRPr="00E72418">
        <w:rPr>
          <w:szCs w:val="24"/>
        </w:rPr>
        <w:t>, notamment en Belgique,</w:t>
      </w:r>
      <w:r w:rsidR="00DE688C" w:rsidRPr="00E72418">
        <w:rPr>
          <w:szCs w:val="24"/>
        </w:rPr>
        <w:t xml:space="preserve"> dans le cadre du contentieux l’ayant opposée à la République argentine</w:t>
      </w:r>
      <w:r w:rsidR="00DE688C" w:rsidRPr="00E72418">
        <w:rPr>
          <w:rStyle w:val="Appelnotedebasdep"/>
          <w:szCs w:val="24"/>
        </w:rPr>
        <w:footnoteReference w:id="1662"/>
      </w:r>
      <w:r w:rsidR="00915037" w:rsidRPr="00E72418">
        <w:rPr>
          <w:szCs w:val="24"/>
          <w:vertAlign w:val="superscript"/>
        </w:rPr>
        <w:t>,</w:t>
      </w:r>
      <w:r w:rsidR="005F6F52" w:rsidRPr="00E72418">
        <w:rPr>
          <w:rStyle w:val="Appelnotedebasdep"/>
          <w:szCs w:val="24"/>
        </w:rPr>
        <w:footnoteReference w:id="1663"/>
      </w:r>
      <w:r w:rsidR="005F6F52" w:rsidRPr="00E72418">
        <w:rPr>
          <w:szCs w:val="24"/>
        </w:rPr>
        <w:t>.</w:t>
      </w:r>
      <w:r w:rsidR="009F09A6" w:rsidRPr="00E72418">
        <w:rPr>
          <w:szCs w:val="24"/>
        </w:rPr>
        <w:t xml:space="preserve"> </w:t>
      </w:r>
      <w:r w:rsidR="005F6F52" w:rsidRPr="00E72418">
        <w:t xml:space="preserve">Plus de deux ans après l’introduction du recours, la Cour constitutionnelle </w:t>
      </w:r>
      <w:r w:rsidR="00ED6880" w:rsidRPr="00E72418">
        <w:t>le reje</w:t>
      </w:r>
      <w:r w:rsidR="00E86B4D" w:rsidRPr="00E72418">
        <w:t>t</w:t>
      </w:r>
      <w:r w:rsidR="005F6F52" w:rsidRPr="00E72418">
        <w:t xml:space="preserve">a </w:t>
      </w:r>
      <w:r w:rsidR="00E86B4D" w:rsidRPr="00E72418">
        <w:t>par un arrêt</w:t>
      </w:r>
      <w:r w:rsidR="005F6F52" w:rsidRPr="00E72418">
        <w:t xml:space="preserve"> </w:t>
      </w:r>
      <w:r w:rsidR="00E86B4D" w:rsidRPr="00E72418">
        <w:t>du 31 mai 2018</w:t>
      </w:r>
      <w:r w:rsidR="00043C7E" w:rsidRPr="00E72418">
        <w:rPr>
          <w:rStyle w:val="Appelnotedebasdep"/>
        </w:rPr>
        <w:footnoteReference w:id="1664"/>
      </w:r>
      <w:r w:rsidR="00990CB5" w:rsidRPr="00E72418">
        <w:t>,</w:t>
      </w:r>
      <w:r w:rsidR="00D7603A" w:rsidRPr="00E72418">
        <w:t xml:space="preserve"> qualifié par le Comité consultatif du Conseil des droits de l’homme des Nations Unies d’ « historique »</w:t>
      </w:r>
      <w:r w:rsidR="00D7603A" w:rsidRPr="00E72418">
        <w:rPr>
          <w:rStyle w:val="Appelnotedebasdep"/>
        </w:rPr>
        <w:footnoteReference w:id="1665"/>
      </w:r>
      <w:r w:rsidR="00D7603A" w:rsidRPr="00E72418">
        <w:t>.</w:t>
      </w:r>
    </w:p>
    <w:p w14:paraId="6303B25F" w14:textId="77777777" w:rsidR="00812A03" w:rsidRPr="00E72418" w:rsidRDefault="00812A03" w:rsidP="00CC4BA8">
      <w:pPr>
        <w:spacing w:line="276" w:lineRule="auto"/>
      </w:pPr>
    </w:p>
    <w:p w14:paraId="1FDECFDD" w14:textId="191BABF7" w:rsidR="003B2B62" w:rsidRPr="00E72418" w:rsidRDefault="004469AC" w:rsidP="00CC4BA8">
      <w:pPr>
        <w:spacing w:line="276" w:lineRule="auto"/>
        <w:rPr>
          <w:bCs/>
          <w:szCs w:val="24"/>
          <w:shd w:val="clear" w:color="auto" w:fill="FFFFFF"/>
        </w:rPr>
      </w:pPr>
      <w:r w:rsidRPr="00E72418">
        <w:rPr>
          <w:b/>
        </w:rPr>
        <w:t>335</w:t>
      </w:r>
      <w:r w:rsidR="00817D62" w:rsidRPr="00E72418">
        <w:rPr>
          <w:b/>
        </w:rPr>
        <w:t xml:space="preserve">. </w:t>
      </w:r>
      <w:r w:rsidR="003B2B62" w:rsidRPr="00E72418">
        <w:rPr>
          <w:b/>
        </w:rPr>
        <w:t xml:space="preserve">Un </w:t>
      </w:r>
      <w:r w:rsidR="00EA73B2" w:rsidRPr="00E72418">
        <w:rPr>
          <w:b/>
        </w:rPr>
        <w:t xml:space="preserve">modèle </w:t>
      </w:r>
      <w:r w:rsidR="003B2B62" w:rsidRPr="00E72418">
        <w:rPr>
          <w:b/>
        </w:rPr>
        <w:t>du genre –</w:t>
      </w:r>
      <w:r w:rsidR="003B2B62" w:rsidRPr="00E72418">
        <w:t xml:space="preserve"> Le législateur belge est de son propre aveu, comme le font remarquer </w:t>
      </w:r>
      <w:r w:rsidR="00BC1F96" w:rsidRPr="00E72418">
        <w:t xml:space="preserve">Michèle Grégoire </w:t>
      </w:r>
      <w:r w:rsidR="00BC1F96" w:rsidRPr="00E72418">
        <w:rPr>
          <w:i/>
        </w:rPr>
        <w:t>et al.</w:t>
      </w:r>
      <w:r w:rsidR="003B2B62" w:rsidRPr="00E72418">
        <w:t xml:space="preserve">, </w:t>
      </w:r>
      <w:r w:rsidR="008578BD" w:rsidRPr="00E72418">
        <w:t>« </w:t>
      </w:r>
      <w:r w:rsidR="003B2B62" w:rsidRPr="00E72418">
        <w:t xml:space="preserve">conscient du caractère essentiellement symbolique et exemplatif de </w:t>
      </w:r>
      <w:r w:rsidR="008578BD" w:rsidRPr="00E72418">
        <w:rPr>
          <w:szCs w:val="20"/>
          <w:lang w:val="en-US"/>
        </w:rPr>
        <w:t xml:space="preserve">[son] </w:t>
      </w:r>
      <w:r w:rsidR="003B2B62" w:rsidRPr="00E72418">
        <w:t>initiative</w:t>
      </w:r>
      <w:r w:rsidR="008578BD" w:rsidRPr="00E72418">
        <w:t> »</w:t>
      </w:r>
      <w:r w:rsidR="003B2B62" w:rsidRPr="00E72418">
        <w:rPr>
          <w:rStyle w:val="Appelnotedebasdep"/>
          <w:rFonts w:cs="Times New Roman"/>
          <w:bCs/>
          <w:szCs w:val="24"/>
        </w:rPr>
        <w:footnoteReference w:id="1666"/>
      </w:r>
      <w:r w:rsidR="003B2B62" w:rsidRPr="00E72418">
        <w:t xml:space="preserve">. De l’avis du Comité consultatif du Conseil des droits de </w:t>
      </w:r>
      <w:r w:rsidR="003B2B62" w:rsidRPr="00E72418">
        <w:lastRenderedPageBreak/>
        <w:t xml:space="preserve">l’homme des Nations Unies, la législation belge constitue un précieux modèle « dont d’autres </w:t>
      </w:r>
      <w:r w:rsidR="003B2B62" w:rsidRPr="00E72418">
        <w:rPr>
          <w:lang w:eastAsia="fr-BE"/>
        </w:rPr>
        <w:t>É</w:t>
      </w:r>
      <w:r w:rsidR="003B2B62" w:rsidRPr="00E72418">
        <w:t>tats peuvent s’inspirer pour élaborer des lois nationales visant à limiter les pratiques des fonds vautours »</w:t>
      </w:r>
      <w:r w:rsidR="003B2B62" w:rsidRPr="00E72418">
        <w:rPr>
          <w:rStyle w:val="Appelnotedebasdep"/>
        </w:rPr>
        <w:footnoteReference w:id="1667"/>
      </w:r>
      <w:r w:rsidR="003B2B62" w:rsidRPr="00E72418">
        <w:t>.</w:t>
      </w:r>
      <w:r w:rsidR="003B2B62" w:rsidRPr="00E72418">
        <w:rPr>
          <w:rFonts w:cs="Times New Roman"/>
        </w:rPr>
        <w:t xml:space="preserve"> </w:t>
      </w:r>
      <w:r w:rsidR="003B2B62" w:rsidRPr="00E72418">
        <w:rPr>
          <w:szCs w:val="24"/>
        </w:rPr>
        <w:t xml:space="preserve">Dans </w:t>
      </w:r>
      <w:r w:rsidR="00231A17" w:rsidRPr="00E72418">
        <w:rPr>
          <w:szCs w:val="24"/>
        </w:rPr>
        <w:t>sa</w:t>
      </w:r>
      <w:r w:rsidR="003B2B62" w:rsidRPr="00E72418">
        <w:rPr>
          <w:szCs w:val="24"/>
        </w:rPr>
        <w:t xml:space="preserve"> résolution </w:t>
      </w:r>
      <w:r w:rsidR="003B2B62" w:rsidRPr="00E72418">
        <w:rPr>
          <w:bCs/>
          <w:szCs w:val="24"/>
          <w:shd w:val="clear" w:color="auto" w:fill="FFFFFF"/>
        </w:rPr>
        <w:t xml:space="preserve">de 2018 visant à améliorer la soutenabilité de la dette des pays en développement, le Parlement européen </w:t>
      </w:r>
      <w:r w:rsidR="00AB51CE" w:rsidRPr="00E72418">
        <w:rPr>
          <w:bCs/>
          <w:szCs w:val="24"/>
          <w:shd w:val="clear" w:color="auto" w:fill="FFFFFF"/>
        </w:rPr>
        <w:t xml:space="preserve">saluant </w:t>
      </w:r>
      <w:r w:rsidR="003B2B62" w:rsidRPr="00E72418">
        <w:rPr>
          <w:bCs/>
          <w:szCs w:val="24"/>
          <w:shd w:val="clear" w:color="auto" w:fill="FFFFFF"/>
        </w:rPr>
        <w:t xml:space="preserve">la loi belge </w:t>
      </w:r>
      <w:r w:rsidR="00D37272" w:rsidRPr="00E72418">
        <w:rPr>
          <w:szCs w:val="24"/>
        </w:rPr>
        <w:t>demande</w:t>
      </w:r>
      <w:r w:rsidR="003B2B62" w:rsidRPr="00E72418">
        <w:rPr>
          <w:szCs w:val="24"/>
        </w:rPr>
        <w:t xml:space="preserve"> aux </w:t>
      </w:r>
      <w:r w:rsidR="00ED6880" w:rsidRPr="00E72418">
        <w:rPr>
          <w:lang w:eastAsia="fr-BE"/>
        </w:rPr>
        <w:t>É</w:t>
      </w:r>
      <w:r w:rsidR="003B2B62" w:rsidRPr="00E72418">
        <w:rPr>
          <w:szCs w:val="24"/>
        </w:rPr>
        <w:t>tats membres d’adopter, sous l’impulsion de la Commission, un règlement s’en inspirant</w:t>
      </w:r>
      <w:r w:rsidR="003B2B62" w:rsidRPr="00E72418">
        <w:rPr>
          <w:rStyle w:val="Appelnotedebasdep"/>
          <w:rFonts w:cs="Times New Roman"/>
          <w:bCs/>
          <w:szCs w:val="24"/>
          <w:shd w:val="clear" w:color="auto" w:fill="FFFFFF"/>
        </w:rPr>
        <w:footnoteReference w:id="1668"/>
      </w:r>
      <w:r w:rsidR="003B2B62" w:rsidRPr="00E72418">
        <w:rPr>
          <w:bCs/>
          <w:szCs w:val="24"/>
          <w:shd w:val="clear" w:color="auto" w:fill="FFFFFF"/>
        </w:rPr>
        <w:t xml:space="preserve">. </w:t>
      </w:r>
    </w:p>
    <w:p w14:paraId="41D91399" w14:textId="48E6A231" w:rsidR="003B2B62" w:rsidRPr="00E72418" w:rsidRDefault="003B2B62" w:rsidP="00CC4BA8">
      <w:pPr>
        <w:spacing w:line="276" w:lineRule="auto"/>
      </w:pPr>
      <w:r w:rsidRPr="00E72418">
        <w:rPr>
          <w:bCs/>
          <w:szCs w:val="24"/>
          <w:shd w:val="clear" w:color="auto" w:fill="FFFFFF"/>
        </w:rPr>
        <w:t>Si, comme nous le verrons, la législation belge est critiquable pour diverses raisons, elle paraît efficace dans la poursuite de l’objectif de lutte contre les fonds spéculatifs qu’elle s’assigne de sorte que le mécanisme y retenu, s’il devait être</w:t>
      </w:r>
      <w:r w:rsidRPr="00E72418">
        <w:t xml:space="preserve"> généralisé </w:t>
      </w:r>
      <w:r w:rsidR="00231A17" w:rsidRPr="00E72418">
        <w:t>dans d’</w:t>
      </w:r>
      <w:r w:rsidRPr="00E72418">
        <w:t>autres pays, serait susceptible de mettre fin aux activités de ces fonds</w:t>
      </w:r>
      <w:r w:rsidRPr="00E72418">
        <w:rPr>
          <w:rStyle w:val="Appelnotedebasdep"/>
        </w:rPr>
        <w:footnoteReference w:id="1669"/>
      </w:r>
      <w:r w:rsidRPr="00E72418">
        <w:t>.</w:t>
      </w:r>
      <w:r w:rsidR="00231A17" w:rsidRPr="00E72418">
        <w:t xml:space="preserve"> Comme l’écrivent </w:t>
      </w:r>
      <w:r w:rsidR="00EA7FD2" w:rsidRPr="00E72418">
        <w:t xml:space="preserve">Lizzie </w:t>
      </w:r>
      <w:r w:rsidR="00231A17" w:rsidRPr="00E72418">
        <w:t>Meager</w:t>
      </w:r>
      <w:r w:rsidR="00EA7FD2" w:rsidRPr="00E72418">
        <w:t xml:space="preserve"> </w:t>
      </w:r>
      <w:r w:rsidR="00EA7FD2" w:rsidRPr="00E72418">
        <w:rPr>
          <w:i/>
        </w:rPr>
        <w:t>et al.</w:t>
      </w:r>
      <w:r w:rsidR="00EA7FD2" w:rsidRPr="00E72418">
        <w:t xml:space="preserve">, </w:t>
      </w:r>
      <w:r w:rsidR="00231A17" w:rsidRPr="00E72418">
        <w:t>« </w:t>
      </w:r>
      <w:r w:rsidR="00231A17" w:rsidRPr="00E72418">
        <w:rPr>
          <w:lang w:val="en-US"/>
        </w:rPr>
        <w:t>[i]t’s effectively a black mark against the “bad guy” investors who frequently sue governments that have defaulted. And there could be serious ramifications if other governments followed their lead »</w:t>
      </w:r>
      <w:r w:rsidR="00231A17" w:rsidRPr="00E72418">
        <w:rPr>
          <w:rStyle w:val="Appelnotedebasdep"/>
          <w:lang w:val="en-US"/>
        </w:rPr>
        <w:footnoteReference w:id="1670"/>
      </w:r>
      <w:r w:rsidR="00231A17" w:rsidRPr="00E72418">
        <w:rPr>
          <w:lang w:val="en-US"/>
        </w:rPr>
        <w:t>.</w:t>
      </w:r>
    </w:p>
    <w:p w14:paraId="3FD1A4E8" w14:textId="77777777" w:rsidR="00FF2249" w:rsidRPr="00E72418" w:rsidRDefault="00FF2249" w:rsidP="00CC4BA8">
      <w:pPr>
        <w:spacing w:line="276" w:lineRule="auto"/>
      </w:pPr>
    </w:p>
    <w:p w14:paraId="68B02754" w14:textId="55EC7AC5" w:rsidR="005F6F52" w:rsidRPr="00E72418" w:rsidRDefault="008665DF" w:rsidP="00CC4BA8">
      <w:pPr>
        <w:pStyle w:val="DD"/>
        <w:spacing w:line="276" w:lineRule="auto"/>
      </w:pPr>
      <w:bookmarkStart w:id="389" w:name="_Toc37777401"/>
      <w:bookmarkStart w:id="390" w:name="_Toc59280996"/>
      <w:bookmarkStart w:id="391" w:name="_Toc84540987"/>
      <w:r w:rsidRPr="00E72418">
        <w:t xml:space="preserve">Section 3 : </w:t>
      </w:r>
      <w:r w:rsidR="004959D2" w:rsidRPr="00E72418">
        <w:t>Le méc</w:t>
      </w:r>
      <w:r w:rsidR="005F6F52" w:rsidRPr="00E72418">
        <w:t>anisme</w:t>
      </w:r>
      <w:bookmarkEnd w:id="389"/>
      <w:bookmarkEnd w:id="390"/>
      <w:bookmarkEnd w:id="391"/>
    </w:p>
    <w:p w14:paraId="266C5561" w14:textId="77777777" w:rsidR="007A12E9" w:rsidRPr="00E72418" w:rsidRDefault="007A12E9" w:rsidP="007A12E9"/>
    <w:p w14:paraId="15B239F6" w14:textId="56115A8E" w:rsidR="0031548B" w:rsidRPr="00E72418" w:rsidRDefault="004469AC" w:rsidP="00CC4BA8">
      <w:pPr>
        <w:spacing w:line="276" w:lineRule="auto"/>
      </w:pPr>
      <w:r w:rsidRPr="00E72418">
        <w:rPr>
          <w:b/>
        </w:rPr>
        <w:t>336</w:t>
      </w:r>
      <w:r w:rsidR="00817D62" w:rsidRPr="00E72418">
        <w:rPr>
          <w:b/>
        </w:rPr>
        <w:t xml:space="preserve">. </w:t>
      </w:r>
      <w:r w:rsidR="00DA38E4" w:rsidRPr="00E72418">
        <w:rPr>
          <w:b/>
        </w:rPr>
        <w:t>La limitation –</w:t>
      </w:r>
      <w:r w:rsidR="005F6F52" w:rsidRPr="00E72418">
        <w:t xml:space="preserve"> Le mécanisme mis en place par le législateur </w:t>
      </w:r>
      <w:r w:rsidR="00886B54" w:rsidRPr="00E72418">
        <w:t xml:space="preserve">belge </w:t>
      </w:r>
      <w:r w:rsidR="005F6F52" w:rsidRPr="00E72418">
        <w:t>de 2015 est celui de la limitation des droits d’un créancier poursuivant un avantage illégitime par le rachat d’un e</w:t>
      </w:r>
      <w:r w:rsidR="00D767F3" w:rsidRPr="00E72418">
        <w:t xml:space="preserve">mprunt ou d’une créance sur un </w:t>
      </w:r>
      <w:r w:rsidR="00D767F3" w:rsidRPr="00E72418">
        <w:rPr>
          <w:lang w:eastAsia="fr-BE"/>
        </w:rPr>
        <w:t>É</w:t>
      </w:r>
      <w:r w:rsidR="005F6F52" w:rsidRPr="00E72418">
        <w:t>tat</w:t>
      </w:r>
      <w:r w:rsidR="005F6F52" w:rsidRPr="00E72418">
        <w:rPr>
          <w:rStyle w:val="Appelnotedebasdep"/>
          <w:bCs/>
          <w:szCs w:val="24"/>
        </w:rPr>
        <w:footnoteReference w:id="1671"/>
      </w:r>
      <w:r w:rsidR="0031548B" w:rsidRPr="00E72418">
        <w:t>. L</w:t>
      </w:r>
      <w:r w:rsidR="005F6F52" w:rsidRPr="00E72418">
        <w:t>’article 2, alinéa 1</w:t>
      </w:r>
      <w:r w:rsidR="005F6F52" w:rsidRPr="00E72418">
        <w:rPr>
          <w:vertAlign w:val="superscript"/>
        </w:rPr>
        <w:t>er</w:t>
      </w:r>
      <w:r w:rsidR="005F6F52" w:rsidRPr="00E72418">
        <w:t xml:space="preserve">, de la loi du 12 juillet 2015 </w:t>
      </w:r>
      <w:r w:rsidR="005F6F52" w:rsidRPr="00E72418">
        <w:lastRenderedPageBreak/>
        <w:t xml:space="preserve">précise que les droits </w:t>
      </w:r>
      <w:r w:rsidR="00D767F3" w:rsidRPr="00E72418">
        <w:t>de ce créancier à l’égard de l’</w:t>
      </w:r>
      <w:r w:rsidR="00D767F3" w:rsidRPr="00E72418">
        <w:rPr>
          <w:lang w:eastAsia="fr-BE"/>
        </w:rPr>
        <w:t>É</w:t>
      </w:r>
      <w:r w:rsidR="005F6F52" w:rsidRPr="00E72418">
        <w:t>tat débiteur sont limités au prix qu’il a payé pour racheter cet emprunt ou cette créance</w:t>
      </w:r>
      <w:r w:rsidR="00E05BF4" w:rsidRPr="00E72418">
        <w:t xml:space="preserve"> le privant ainsi de quelque bénéfice escompté par l’opération de rachat. </w:t>
      </w:r>
      <w:r w:rsidR="005A2641" w:rsidRPr="00E72418">
        <w:t xml:space="preserve">Avec </w:t>
      </w:r>
      <w:r w:rsidR="00B10007" w:rsidRPr="00E72418">
        <w:t>cette limitation</w:t>
      </w:r>
      <w:r w:rsidR="005A2641" w:rsidRPr="00E72418">
        <w:t xml:space="preserve"> posée</w:t>
      </w:r>
      <w:r w:rsidR="00B10007" w:rsidRPr="00E72418">
        <w:t>,</w:t>
      </w:r>
      <w:r w:rsidR="00E05BF4" w:rsidRPr="00E72418">
        <w:t xml:space="preserve"> le législateur décourage les activités des fonds spéculatifs dont l’objectif est précisément </w:t>
      </w:r>
      <w:r w:rsidR="00ED6880" w:rsidRPr="00E72418">
        <w:t>d’engra</w:t>
      </w:r>
      <w:r w:rsidR="00B10007" w:rsidRPr="00E72418">
        <w:t>nger d’importants gains consistant en la différence entre le prix de rachat de la dette et sa valeur faciale.</w:t>
      </w:r>
    </w:p>
    <w:p w14:paraId="71665101" w14:textId="77777777" w:rsidR="00452DF5" w:rsidRPr="00E72418" w:rsidRDefault="005F6F52" w:rsidP="00CC4BA8">
      <w:pPr>
        <w:spacing w:line="276" w:lineRule="auto"/>
      </w:pPr>
      <w:r w:rsidRPr="00E72418">
        <w:t>L’article 2, alinéa 2, de la loi prévoit que le créancier cherchant à percevoir un paiement en Belgique lui procurant un avantage illégitime ne pourra obtenir en Belgique aucun titre exécutoire en vue de celui-ci. De même, a</w:t>
      </w:r>
      <w:r w:rsidR="002332F1" w:rsidRPr="00E72418">
        <w:t>ucune mesure conservatoire ou d’</w:t>
      </w:r>
      <w:r w:rsidRPr="00E72418">
        <w:t xml:space="preserve">exécution forcée ne peut être prise en Belgique à la demande dudit créancier en vue d’un tel paiement. </w:t>
      </w:r>
      <w:r w:rsidR="00926305" w:rsidRPr="00E72418">
        <w:t xml:space="preserve">La loi belge permet ainsi de limiter </w:t>
      </w:r>
      <w:r w:rsidRPr="00E72418">
        <w:t xml:space="preserve">la possibilité pour les fonds </w:t>
      </w:r>
      <w:r w:rsidR="00926305" w:rsidRPr="00E72418">
        <w:t>spéculatifs, d’une part,</w:t>
      </w:r>
      <w:r w:rsidRPr="00E72418">
        <w:t xml:space="preserve"> d’obtenir en Belgique des déc</w:t>
      </w:r>
      <w:r w:rsidR="00926305" w:rsidRPr="00E72418">
        <w:t>isions judiciaires favorables, d’autre part,</w:t>
      </w:r>
      <w:r w:rsidRPr="00E72418">
        <w:t xml:space="preserve"> d’y </w:t>
      </w:r>
      <w:r w:rsidR="005A2641" w:rsidRPr="00E72418">
        <w:t xml:space="preserve">faire </w:t>
      </w:r>
      <w:r w:rsidRPr="00E72418">
        <w:t>exécuter des décisions ou s</w:t>
      </w:r>
      <w:r w:rsidR="00926305" w:rsidRPr="00E72418">
        <w:t>entences arbitrales étrangères</w:t>
      </w:r>
      <w:r w:rsidRPr="00E72418">
        <w:rPr>
          <w:rStyle w:val="Appelnotedebasdep"/>
          <w:rFonts w:cs="Times New Roman"/>
          <w:bCs/>
          <w:szCs w:val="24"/>
        </w:rPr>
        <w:footnoteReference w:id="1672"/>
      </w:r>
      <w:r w:rsidRPr="00E72418">
        <w:t xml:space="preserve">. </w:t>
      </w:r>
      <w:r w:rsidR="00DB46FB" w:rsidRPr="00E72418">
        <w:t xml:space="preserve">En limitant tant les </w:t>
      </w:r>
      <w:r w:rsidRPr="00E72418">
        <w:rPr>
          <w:rFonts w:cs="Times New Roman"/>
          <w:bCs/>
          <w:szCs w:val="24"/>
        </w:rPr>
        <w:t xml:space="preserve">droits </w:t>
      </w:r>
      <w:r w:rsidR="00DB46FB" w:rsidRPr="00E72418">
        <w:rPr>
          <w:rFonts w:cs="Times New Roman"/>
          <w:bCs/>
          <w:szCs w:val="24"/>
        </w:rPr>
        <w:t>d</w:t>
      </w:r>
      <w:r w:rsidRPr="00E72418">
        <w:rPr>
          <w:rFonts w:cs="Times New Roman"/>
          <w:bCs/>
          <w:szCs w:val="24"/>
        </w:rPr>
        <w:t>es créanciers cherchant à obtenir d’une juridicti</w:t>
      </w:r>
      <w:r w:rsidR="00D767F3" w:rsidRPr="00E72418">
        <w:rPr>
          <w:rFonts w:cs="Times New Roman"/>
          <w:bCs/>
          <w:szCs w:val="24"/>
        </w:rPr>
        <w:t>on belge une condamnation de l’</w:t>
      </w:r>
      <w:r w:rsidR="00D767F3" w:rsidRPr="00E72418">
        <w:rPr>
          <w:lang w:eastAsia="fr-BE"/>
        </w:rPr>
        <w:t>É</w:t>
      </w:r>
      <w:r w:rsidR="005A2641" w:rsidRPr="00E72418">
        <w:rPr>
          <w:rFonts w:cs="Times New Roman"/>
          <w:bCs/>
          <w:szCs w:val="24"/>
        </w:rPr>
        <w:t>tat débiteur à payer</w:t>
      </w:r>
      <w:r w:rsidRPr="00E72418">
        <w:rPr>
          <w:rFonts w:cs="Times New Roman"/>
          <w:bCs/>
          <w:szCs w:val="24"/>
        </w:rPr>
        <w:t xml:space="preserve"> que </w:t>
      </w:r>
      <w:r w:rsidR="00DB46FB" w:rsidRPr="00E72418">
        <w:rPr>
          <w:rFonts w:cs="Times New Roman"/>
          <w:bCs/>
          <w:szCs w:val="24"/>
        </w:rPr>
        <w:t>ceux d</w:t>
      </w:r>
      <w:r w:rsidRPr="00E72418">
        <w:rPr>
          <w:rFonts w:cs="Times New Roman"/>
          <w:bCs/>
          <w:szCs w:val="24"/>
        </w:rPr>
        <w:t xml:space="preserve">es titulaires d’un titre qui chercheraient à le mettre en œuvre par des mesures </w:t>
      </w:r>
      <w:r w:rsidR="005A2641" w:rsidRPr="00E72418">
        <w:rPr>
          <w:rFonts w:cs="Times New Roman"/>
          <w:bCs/>
          <w:szCs w:val="24"/>
        </w:rPr>
        <w:t>de contrainte</w:t>
      </w:r>
      <w:r w:rsidR="00DB46FB" w:rsidRPr="00E72418">
        <w:rPr>
          <w:rFonts w:cs="Times New Roman"/>
          <w:bCs/>
          <w:szCs w:val="24"/>
        </w:rPr>
        <w:t xml:space="preserve">, la loi belge pose </w:t>
      </w:r>
      <w:r w:rsidR="00D62F86" w:rsidRPr="00E72418">
        <w:rPr>
          <w:rFonts w:cs="Times New Roman"/>
          <w:bCs/>
          <w:szCs w:val="24"/>
        </w:rPr>
        <w:t>une</w:t>
      </w:r>
      <w:r w:rsidR="00DB46FB" w:rsidRPr="00E72418">
        <w:rPr>
          <w:rFonts w:cs="Times New Roman"/>
          <w:bCs/>
          <w:szCs w:val="24"/>
        </w:rPr>
        <w:t xml:space="preserve"> règle touchant au fond du droit </w:t>
      </w:r>
      <w:r w:rsidR="00D62F86" w:rsidRPr="00E72418">
        <w:rPr>
          <w:rFonts w:cs="Times New Roman"/>
          <w:bCs/>
          <w:szCs w:val="24"/>
        </w:rPr>
        <w:t>ainsi qu’</w:t>
      </w:r>
      <w:r w:rsidR="00DB46FB" w:rsidRPr="00E72418">
        <w:rPr>
          <w:rFonts w:cs="Times New Roman"/>
          <w:bCs/>
          <w:szCs w:val="24"/>
        </w:rPr>
        <w:t xml:space="preserve">une règle </w:t>
      </w:r>
      <w:r w:rsidR="00DB46FB" w:rsidRPr="00E72418">
        <w:t>concernant les voies d’action judiciaire et d’exécution</w:t>
      </w:r>
      <w:r w:rsidRPr="00E72418">
        <w:rPr>
          <w:rStyle w:val="Appelnotedebasdep"/>
          <w:rFonts w:cs="Times New Roman"/>
          <w:bCs/>
          <w:szCs w:val="24"/>
        </w:rPr>
        <w:footnoteReference w:id="1673"/>
      </w:r>
      <w:r w:rsidRPr="00E72418">
        <w:rPr>
          <w:rFonts w:cs="Times New Roman"/>
          <w:bCs/>
          <w:szCs w:val="24"/>
        </w:rPr>
        <w:t>.</w:t>
      </w:r>
      <w:r w:rsidR="00DB46FB" w:rsidRPr="00E72418">
        <w:rPr>
          <w:rFonts w:cs="Times New Roman"/>
          <w:bCs/>
          <w:szCs w:val="24"/>
        </w:rPr>
        <w:t xml:space="preserve"> Ces règles valent, nous précise </w:t>
      </w:r>
      <w:r w:rsidRPr="00E72418">
        <w:t>l’artic</w:t>
      </w:r>
      <w:r w:rsidR="00D62F86" w:rsidRPr="00E72418">
        <w:t>le 2, alinéa 2, de la loi, « [q]</w:t>
      </w:r>
      <w:r w:rsidRPr="00E72418">
        <w:t>uel que soit le droit applicable à la relation juridique ent</w:t>
      </w:r>
      <w:r w:rsidR="002332F1" w:rsidRPr="00E72418">
        <w:t>re le créancier et l’</w:t>
      </w:r>
      <w:r w:rsidR="00D767F3" w:rsidRPr="00E72418">
        <w:rPr>
          <w:lang w:eastAsia="fr-BE"/>
        </w:rPr>
        <w:t>É</w:t>
      </w:r>
      <w:r w:rsidRPr="00E72418">
        <w:t>tat débiteur »</w:t>
      </w:r>
      <w:r w:rsidRPr="00E72418">
        <w:rPr>
          <w:rStyle w:val="Appelnotedebasdep"/>
        </w:rPr>
        <w:footnoteReference w:id="1674"/>
      </w:r>
      <w:r w:rsidRPr="00E72418">
        <w:t>.</w:t>
      </w:r>
    </w:p>
    <w:p w14:paraId="7D3E8DDE" w14:textId="77777777" w:rsidR="005F6F52" w:rsidRPr="00E72418" w:rsidRDefault="005F6F52" w:rsidP="00CC4BA8">
      <w:pPr>
        <w:spacing w:line="276" w:lineRule="auto"/>
      </w:pPr>
      <w:r w:rsidRPr="00E72418">
        <w:t xml:space="preserve">Le texte du deuxième alinéa de l’article 2 de la loi est inadéquatement rédigé dès lors qu’il laisse penser que le créancier sollicitant un paiement qui lui procurerait </w:t>
      </w:r>
      <w:r w:rsidR="00452DF5" w:rsidRPr="00E72418">
        <w:t>un avantage illégitime ne pourra</w:t>
      </w:r>
      <w:r w:rsidR="00D62F86" w:rsidRPr="00E72418">
        <w:t>it</w:t>
      </w:r>
      <w:r w:rsidRPr="00E72418">
        <w:t xml:space="preserve"> rien obtenir en Belgique</w:t>
      </w:r>
      <w:r w:rsidRPr="00E72418">
        <w:rPr>
          <w:rStyle w:val="Appelnotedebasdep"/>
          <w:rFonts w:cs="Times New Roman"/>
          <w:bCs/>
          <w:szCs w:val="24"/>
        </w:rPr>
        <w:footnoteReference w:id="1675"/>
      </w:r>
      <w:r w:rsidRPr="00E72418">
        <w:t>. Une lecture combinée de cet alinéa avec le premier alinéa du même article et avec les travaux préparatoires de la loi permet de retenir qu’en réalité, ce créancier ne pourra agir qu’</w:t>
      </w:r>
      <w:r w:rsidR="00D62F86" w:rsidRPr="00E72418">
        <w:t>à concurrence du prix</w:t>
      </w:r>
      <w:r w:rsidRPr="00E72418">
        <w:t xml:space="preserve"> payé pour racheter l’emprunt ou la créance sur son débiteur souverain</w:t>
      </w:r>
      <w:r w:rsidRPr="00E72418">
        <w:rPr>
          <w:rStyle w:val="Appelnotedebasdep"/>
          <w:rFonts w:cs="Times New Roman"/>
          <w:bCs/>
          <w:szCs w:val="24"/>
        </w:rPr>
        <w:footnoteReference w:id="1676"/>
      </w:r>
      <w:r w:rsidR="00452DF5" w:rsidRPr="00E72418">
        <w:t>. Concrètement donc, le créancier visé par le mécanisme mis en place n’est pas privé de la possibilité d’engager des procédures de recouvrement mais</w:t>
      </w:r>
      <w:r w:rsidR="00D62F86" w:rsidRPr="00E72418">
        <w:t>, par contre,</w:t>
      </w:r>
      <w:r w:rsidR="00452DF5" w:rsidRPr="00E72418">
        <w:t xml:space="preserve"> ses prétentions sont limitées</w:t>
      </w:r>
      <w:r w:rsidR="00452DF5" w:rsidRPr="00E72418">
        <w:rPr>
          <w:rStyle w:val="Appelnotedebasdep"/>
          <w:rFonts w:cs="Times New Roman"/>
          <w:bCs/>
          <w:szCs w:val="24"/>
        </w:rPr>
        <w:footnoteReference w:id="1677"/>
      </w:r>
      <w:r w:rsidR="00452DF5" w:rsidRPr="00E72418">
        <w:t>.</w:t>
      </w:r>
      <w:r w:rsidR="004C191B" w:rsidRPr="00E72418">
        <w:t xml:space="preserve"> En cas d’ « abus de droit » par un fonds constaté par </w:t>
      </w:r>
      <w:r w:rsidR="004C191B" w:rsidRPr="00E72418">
        <w:lastRenderedPageBreak/>
        <w:t>un juge, ce dernier doit modérer l’exercice disproportionné du droit en le réduisant à un exercice normal, ce qui revient donc, en principe, à limiter la prétention du fonds au prix payé pour racheter l’emprunt ou la créance en cause</w:t>
      </w:r>
      <w:r w:rsidR="004C191B" w:rsidRPr="00E72418">
        <w:rPr>
          <w:rStyle w:val="Appelnotedebasdep"/>
          <w:rFonts w:cs="Times New Roman"/>
          <w:bCs/>
          <w:szCs w:val="24"/>
        </w:rPr>
        <w:footnoteReference w:id="1678"/>
      </w:r>
      <w:r w:rsidR="004C191B" w:rsidRPr="00E72418">
        <w:t>.</w:t>
      </w:r>
    </w:p>
    <w:p w14:paraId="63D57D40" w14:textId="570BEDF8" w:rsidR="005F6F52" w:rsidRPr="00E72418" w:rsidRDefault="005F6F52" w:rsidP="00CC4BA8">
      <w:pPr>
        <w:spacing w:line="276" w:lineRule="auto"/>
      </w:pPr>
      <w:r w:rsidRPr="00E72418">
        <w:t>Dans son arrêt du 31 mai 2018, la Cour constitutionnell</w:t>
      </w:r>
      <w:r w:rsidR="00D62F86" w:rsidRPr="00E72418">
        <w:t>e belge releva</w:t>
      </w:r>
      <w:r w:rsidRPr="00E72418">
        <w:t xml:space="preserve"> que « </w:t>
      </w:r>
      <w:r w:rsidRPr="00E72418">
        <w:rPr>
          <w:rFonts w:cs="Times New Roman"/>
        </w:rPr>
        <w:t>[l</w:t>
      </w:r>
      <w:r w:rsidR="002F747E">
        <w:rPr>
          <w:rFonts w:cs="Times New Roman"/>
        </w:rPr>
        <w:t>’</w:t>
      </w:r>
      <w:r w:rsidRPr="00E72418">
        <w:rPr>
          <w:rFonts w:cs="Times New Roman"/>
        </w:rPr>
        <w:t>]</w:t>
      </w:r>
      <w:r w:rsidRPr="00E72418">
        <w:t xml:space="preserve">article 2, alinéa 2, de la loi du 12 juillet 2015 n’empêche pas le créancier </w:t>
      </w:r>
      <w:r w:rsidRPr="00E72418">
        <w:rPr>
          <w:rFonts w:cs="Times New Roman"/>
        </w:rPr>
        <w:t>[…]</w:t>
      </w:r>
      <w:r w:rsidRPr="00E72418">
        <w:t xml:space="preserve"> de saisir un tribunal belge en vue d’obtenir l’exécution d’un jugement étranger relatif à sa créance »</w:t>
      </w:r>
      <w:r w:rsidRPr="00E72418">
        <w:rPr>
          <w:rStyle w:val="Appelnotedebasdep"/>
          <w:rFonts w:cs="Times New Roman"/>
          <w:szCs w:val="24"/>
        </w:rPr>
        <w:footnoteReference w:id="1679"/>
      </w:r>
      <w:r w:rsidR="00D62F86" w:rsidRPr="00E72418">
        <w:t>. La cour ajouta</w:t>
      </w:r>
      <w:r w:rsidRPr="00E72418">
        <w:t xml:space="preserve"> que « </w:t>
      </w:r>
      <w:r w:rsidRPr="00E72418">
        <w:rPr>
          <w:rFonts w:cs="Times New Roman"/>
        </w:rPr>
        <w:t>[c]</w:t>
      </w:r>
      <w:r w:rsidRPr="00E72418">
        <w:t>ette disposition interdit certes au tribunal saisi de déclarer ce jugement exécutoire en Belgique ou d’autoriser une mesure conservatoire ou une mesure d’exécution forcée » mais que « </w:t>
      </w:r>
      <w:r w:rsidRPr="00E72418">
        <w:rPr>
          <w:rFonts w:cs="Times New Roman"/>
        </w:rPr>
        <w:t>[l]</w:t>
      </w:r>
      <w:r w:rsidRPr="00E72418">
        <w:t>a portée de cette interdiction est cependant limitée, puisqu’elle ne porte que sur la partie de la créance supérieure au prix de rachat »</w:t>
      </w:r>
      <w:r w:rsidRPr="00E72418">
        <w:rPr>
          <w:rStyle w:val="Appelnotedebasdep"/>
        </w:rPr>
        <w:footnoteReference w:id="1680"/>
      </w:r>
      <w:r w:rsidRPr="00E72418">
        <w:t>.</w:t>
      </w:r>
      <w:r w:rsidR="000E574D" w:rsidRPr="00E72418">
        <w:t xml:space="preserve"> Comme l’écrivent </w:t>
      </w:r>
      <w:r w:rsidR="00281C39" w:rsidRPr="00E72418">
        <w:t xml:space="preserve">Olivier </w:t>
      </w:r>
      <w:r w:rsidRPr="00E72418">
        <w:t xml:space="preserve">Creplet et </w:t>
      </w:r>
      <w:r w:rsidR="00281C39" w:rsidRPr="00E72418">
        <w:t xml:space="preserve">Julien </w:t>
      </w:r>
      <w:r w:rsidRPr="00E72418">
        <w:t xml:space="preserve">Courbis, « l’interdiction énoncée par la loi concernant les mesures de mise en œuvre de ses droits en Belgique qui sont entreprises par le créancier vautour doit s’entendre comme applicable </w:t>
      </w:r>
      <w:r w:rsidRPr="00E72418">
        <w:rPr>
          <w:i/>
        </w:rPr>
        <w:t>dans la stricte mesure</w:t>
      </w:r>
      <w:r w:rsidRPr="00E72418">
        <w:t xml:space="preserve"> où ces mesures excèdent la partie des droits du créancier qui peut être tenue pour légitime ». Et ces auteurs d’ajouter, « </w:t>
      </w:r>
      <w:r w:rsidRPr="00E72418">
        <w:rPr>
          <w:rFonts w:cs="Times New Roman"/>
        </w:rPr>
        <w:t>[a]</w:t>
      </w:r>
      <w:r w:rsidRPr="00E72418">
        <w:t>utrement dit, ces mesures demeurent parfaitement valables en tant qu’elles se rapportent à la partie de la créance qui peut être considérée comme légitime »</w:t>
      </w:r>
      <w:r w:rsidRPr="00E72418">
        <w:rPr>
          <w:rStyle w:val="Appelnotedebasdep"/>
          <w:rFonts w:cs="Times New Roman"/>
          <w:bCs/>
          <w:szCs w:val="24"/>
        </w:rPr>
        <w:footnoteReference w:id="1681"/>
      </w:r>
      <w:r w:rsidRPr="00E72418">
        <w:t>.</w:t>
      </w:r>
    </w:p>
    <w:p w14:paraId="1032E6FB" w14:textId="77777777" w:rsidR="0036555A" w:rsidRPr="00E72418" w:rsidRDefault="0036555A" w:rsidP="00CC4BA8">
      <w:pPr>
        <w:spacing w:line="276" w:lineRule="auto"/>
        <w:rPr>
          <w:b/>
        </w:rPr>
      </w:pPr>
    </w:p>
    <w:p w14:paraId="0BD3DFC9" w14:textId="158064CD" w:rsidR="005F6F52" w:rsidRPr="00E72418" w:rsidRDefault="004469AC" w:rsidP="00CC4BA8">
      <w:pPr>
        <w:spacing w:line="276" w:lineRule="auto"/>
      </w:pPr>
      <w:r w:rsidRPr="00E72418">
        <w:rPr>
          <w:b/>
        </w:rPr>
        <w:t>337</w:t>
      </w:r>
      <w:r w:rsidR="00817D62" w:rsidRPr="00E72418">
        <w:rPr>
          <w:b/>
        </w:rPr>
        <w:t xml:space="preserve">. </w:t>
      </w:r>
      <w:r w:rsidR="005F6F52" w:rsidRPr="00E72418">
        <w:rPr>
          <w:b/>
        </w:rPr>
        <w:t xml:space="preserve">L’intervention du pouvoir judiciaire – </w:t>
      </w:r>
      <w:r w:rsidR="005F6F52" w:rsidRPr="00E72418">
        <w:t>Ce n’est qu</w:t>
      </w:r>
      <w:r w:rsidR="009F1CB5" w:rsidRPr="00E72418">
        <w:t xml:space="preserve">’au moment où </w:t>
      </w:r>
      <w:r w:rsidR="00D767F3" w:rsidRPr="00E72418">
        <w:t xml:space="preserve">un créancier d’un </w:t>
      </w:r>
      <w:r w:rsidR="00D767F3" w:rsidRPr="00E72418">
        <w:rPr>
          <w:lang w:eastAsia="fr-BE"/>
        </w:rPr>
        <w:t>É</w:t>
      </w:r>
      <w:r w:rsidR="005F6F52" w:rsidRPr="00E72418">
        <w:t>tat débiteur entrepr</w:t>
      </w:r>
      <w:r w:rsidR="004C191B" w:rsidRPr="00E72418">
        <w:t>end une démarche à son encontre</w:t>
      </w:r>
      <w:r w:rsidR="005F6F52" w:rsidRPr="00E72418">
        <w:t xml:space="preserve"> qu</w:t>
      </w:r>
      <w:r w:rsidR="009F1CB5" w:rsidRPr="00E72418">
        <w:t>’il revient au</w:t>
      </w:r>
      <w:r w:rsidR="005F6F52" w:rsidRPr="00E72418">
        <w:t xml:space="preserve"> juge </w:t>
      </w:r>
      <w:r w:rsidR="009F1CB5" w:rsidRPr="00E72418">
        <w:t>d’</w:t>
      </w:r>
      <w:r w:rsidR="005F6F52" w:rsidRPr="00E72418">
        <w:t>examiner si celle-ci est conforme à la loi</w:t>
      </w:r>
      <w:r w:rsidR="005F6F52" w:rsidRPr="00E72418">
        <w:rPr>
          <w:rStyle w:val="Appelnotedebasdep"/>
        </w:rPr>
        <w:footnoteReference w:id="1682"/>
      </w:r>
      <w:r w:rsidR="009D5A78" w:rsidRPr="00E72418">
        <w:rPr>
          <w:vertAlign w:val="superscript"/>
        </w:rPr>
        <w:t>,</w:t>
      </w:r>
      <w:r w:rsidR="007A77DB" w:rsidRPr="00E72418">
        <w:rPr>
          <w:rStyle w:val="Appelnotedebasdep"/>
        </w:rPr>
        <w:footnoteReference w:id="1683"/>
      </w:r>
      <w:r w:rsidR="005F6F52" w:rsidRPr="00E72418">
        <w:t xml:space="preserve">. Le juge doit, en toute indépendance, apprécier, sur </w:t>
      </w:r>
      <w:r w:rsidR="00F25880" w:rsidRPr="00E72418">
        <w:t xml:space="preserve">la </w:t>
      </w:r>
      <w:r w:rsidR="005F6F52" w:rsidRPr="00E72418">
        <w:t>base de critères légaux</w:t>
      </w:r>
      <w:r w:rsidR="009F1CB5" w:rsidRPr="00E72418">
        <w:t xml:space="preserve"> et en procédant à une analyse des circonstances de fait</w:t>
      </w:r>
      <w:r w:rsidR="00D767F3" w:rsidRPr="00E72418">
        <w:t>, si le créancier de l’</w:t>
      </w:r>
      <w:r w:rsidR="00D767F3" w:rsidRPr="00E72418">
        <w:rPr>
          <w:lang w:eastAsia="fr-BE"/>
        </w:rPr>
        <w:t>É</w:t>
      </w:r>
      <w:r w:rsidR="005F6F52" w:rsidRPr="00E72418">
        <w:t xml:space="preserve">tat débiteur </w:t>
      </w:r>
      <w:r w:rsidR="005F6F52" w:rsidRPr="00E72418">
        <w:lastRenderedPageBreak/>
        <w:t>poursuit ou non un avantage illégitime</w:t>
      </w:r>
      <w:r w:rsidR="005F6F52" w:rsidRPr="00E72418">
        <w:rPr>
          <w:rStyle w:val="Appelnotedebasdep"/>
          <w:rFonts w:cs="Times New Roman"/>
          <w:bCs/>
          <w:szCs w:val="24"/>
        </w:rPr>
        <w:footnoteReference w:id="1684"/>
      </w:r>
      <w:r w:rsidR="005F6F52" w:rsidRPr="00E72418">
        <w:t xml:space="preserve">. </w:t>
      </w:r>
      <w:r w:rsidR="009F1CB5" w:rsidRPr="00E72418">
        <w:t>L’intervention du pouvoir judiciaire permet la flexibilité dans l’appréciation de chaque cas d’espèce</w:t>
      </w:r>
      <w:r w:rsidR="009F1CB5" w:rsidRPr="00E72418">
        <w:rPr>
          <w:rStyle w:val="Appelnotedebasdep"/>
          <w:rFonts w:cs="Times New Roman"/>
          <w:bCs/>
          <w:szCs w:val="24"/>
        </w:rPr>
        <w:footnoteReference w:id="1685"/>
      </w:r>
      <w:r w:rsidR="009F1CB5" w:rsidRPr="00E72418">
        <w:t>.</w:t>
      </w:r>
    </w:p>
    <w:p w14:paraId="5A3CE920" w14:textId="14E881DB" w:rsidR="005F6F52" w:rsidRPr="00E72418" w:rsidRDefault="005F6F52" w:rsidP="00CC4BA8">
      <w:pPr>
        <w:spacing w:line="276" w:lineRule="auto"/>
        <w:rPr>
          <w:rFonts w:ascii="Times New Roman" w:hAnsi="Times New Roman" w:cs="Times New Roman"/>
          <w:szCs w:val="24"/>
          <w:lang w:val="fr-BE"/>
        </w:rPr>
      </w:pPr>
      <w:r w:rsidRPr="00E72418">
        <w:rPr>
          <w:rFonts w:ascii="Times New Roman" w:hAnsi="Times New Roman" w:cs="Times New Roman"/>
          <w:szCs w:val="24"/>
        </w:rPr>
        <w:t xml:space="preserve">Répondant à une inquiétude du ministre </w:t>
      </w:r>
      <w:r w:rsidR="007E4A66" w:rsidRPr="00E72418">
        <w:rPr>
          <w:rFonts w:ascii="Times New Roman" w:hAnsi="Times New Roman" w:cs="Times New Roman"/>
          <w:szCs w:val="24"/>
        </w:rPr>
        <w:t>belge des Finances formulée en C</w:t>
      </w:r>
      <w:r w:rsidRPr="00E72418">
        <w:rPr>
          <w:rFonts w:ascii="Times New Roman" w:hAnsi="Times New Roman" w:cs="Times New Roman"/>
          <w:szCs w:val="24"/>
        </w:rPr>
        <w:t>ommission des finances et du budget, deux des parlementaires à l’origine de la proposition de loi soulignèrent que le mécanisme mis en place n’implique aucune obligation nouvelle pour les banques et les intermédiaires financiers. Ainsi, il ne leur appartient pas de faire une vérification proactive et systématique de la détention de positions dans des titres p</w:t>
      </w:r>
      <w:r w:rsidR="00B41CCF" w:rsidRPr="00E72418">
        <w:rPr>
          <w:rFonts w:ascii="Times New Roman" w:hAnsi="Times New Roman" w:cs="Times New Roman"/>
          <w:szCs w:val="24"/>
        </w:rPr>
        <w:t>ublics par des fonds spéculant</w:t>
      </w:r>
      <w:r w:rsidRPr="00E72418">
        <w:rPr>
          <w:rFonts w:ascii="Times New Roman" w:hAnsi="Times New Roman" w:cs="Times New Roman"/>
          <w:szCs w:val="24"/>
        </w:rPr>
        <w:t xml:space="preserve"> sur les dettes souveraines</w:t>
      </w:r>
      <w:r w:rsidRPr="00E72418">
        <w:rPr>
          <w:rStyle w:val="Appelnotedebasdep"/>
          <w:rFonts w:ascii="Times New Roman" w:hAnsi="Times New Roman" w:cs="Times New Roman"/>
          <w:bCs/>
          <w:szCs w:val="24"/>
        </w:rPr>
        <w:footnoteReference w:id="1686"/>
      </w:r>
      <w:r w:rsidRPr="00E72418">
        <w:rPr>
          <w:rFonts w:ascii="Times New Roman" w:hAnsi="Times New Roman" w:cs="Times New Roman"/>
          <w:szCs w:val="24"/>
        </w:rPr>
        <w:t xml:space="preserve">. </w:t>
      </w:r>
      <w:r w:rsidR="004C191B" w:rsidRPr="00E72418">
        <w:rPr>
          <w:rFonts w:ascii="Times New Roman" w:hAnsi="Times New Roman" w:cs="Times New Roman"/>
          <w:szCs w:val="24"/>
        </w:rPr>
        <w:t xml:space="preserve">Comme </w:t>
      </w:r>
      <w:r w:rsidR="00303E2A" w:rsidRPr="00E72418">
        <w:rPr>
          <w:rFonts w:ascii="Times New Roman" w:hAnsi="Times New Roman" w:cs="Times New Roman"/>
          <w:szCs w:val="24"/>
        </w:rPr>
        <w:t>cela fut expliqué en séance plé</w:t>
      </w:r>
      <w:r w:rsidR="004C191B" w:rsidRPr="00E72418">
        <w:rPr>
          <w:rFonts w:ascii="Times New Roman" w:hAnsi="Times New Roman" w:cs="Times New Roman"/>
          <w:szCs w:val="24"/>
        </w:rPr>
        <w:t xml:space="preserve">nière par </w:t>
      </w:r>
      <w:r w:rsidR="007263A1" w:rsidRPr="00E72418">
        <w:rPr>
          <w:rFonts w:ascii="Times New Roman" w:hAnsi="Times New Roman" w:cs="Times New Roman"/>
          <w:szCs w:val="24"/>
        </w:rPr>
        <w:t>Luk Van Biesen</w:t>
      </w:r>
      <w:r w:rsidR="004C191B" w:rsidRPr="00E72418">
        <w:rPr>
          <w:rFonts w:ascii="Times New Roman" w:hAnsi="Times New Roman" w:cs="Times New Roman"/>
          <w:szCs w:val="24"/>
        </w:rPr>
        <w:t>, « </w:t>
      </w:r>
      <w:r w:rsidR="0032392D" w:rsidRPr="00E72418">
        <w:rPr>
          <w:rFonts w:cs="Times New Roman"/>
        </w:rPr>
        <w:t>[het is]</w:t>
      </w:r>
      <w:r w:rsidR="0032392D" w:rsidRPr="00E72418">
        <w:rPr>
          <w:rFonts w:ascii="Times New Roman" w:hAnsi="Times New Roman" w:cs="Times New Roman"/>
          <w:szCs w:val="24"/>
          <w:lang w:val="fr-BE"/>
        </w:rPr>
        <w:t xml:space="preserve"> niet de bedoeling dat elke financiële transactie in België vanaf nu eerst wordt nagekeken door een rechter om te zien of het niet gaat om een aasgierfondsbeweging </w:t>
      </w:r>
      <w:r w:rsidRPr="00E72418">
        <w:rPr>
          <w:rFonts w:ascii="Times New Roman" w:hAnsi="Times New Roman" w:cs="Times New Roman"/>
          <w:szCs w:val="24"/>
        </w:rPr>
        <w:t>»</w:t>
      </w:r>
      <w:r w:rsidRPr="00E72418">
        <w:rPr>
          <w:rStyle w:val="Appelnotedebasdep"/>
          <w:rFonts w:ascii="Times New Roman" w:hAnsi="Times New Roman" w:cs="Times New Roman"/>
          <w:bCs/>
          <w:szCs w:val="24"/>
        </w:rPr>
        <w:footnoteReference w:id="1687"/>
      </w:r>
      <w:r w:rsidRPr="00E72418">
        <w:rPr>
          <w:rFonts w:ascii="Times New Roman" w:hAnsi="Times New Roman" w:cs="Times New Roman"/>
          <w:szCs w:val="24"/>
        </w:rPr>
        <w:t>.</w:t>
      </w:r>
    </w:p>
    <w:p w14:paraId="6DC858EC" w14:textId="77777777" w:rsidR="005F6F52" w:rsidRPr="00E72418" w:rsidRDefault="005F6F52" w:rsidP="00CC4BA8">
      <w:pPr>
        <w:spacing w:line="276" w:lineRule="auto"/>
      </w:pPr>
      <w:r w:rsidRPr="00E72418">
        <w:rPr>
          <w:rFonts w:cs="Times New Roman"/>
          <w:szCs w:val="24"/>
        </w:rPr>
        <w:t xml:space="preserve">L’on peut se </w:t>
      </w:r>
      <w:r w:rsidR="00022586" w:rsidRPr="00E72418">
        <w:rPr>
          <w:rFonts w:cs="Times New Roman"/>
          <w:szCs w:val="24"/>
        </w:rPr>
        <w:t>demander</w:t>
      </w:r>
      <w:r w:rsidRPr="00E72418">
        <w:rPr>
          <w:rFonts w:cs="Times New Roman"/>
          <w:szCs w:val="24"/>
        </w:rPr>
        <w:t xml:space="preserve"> si</w:t>
      </w:r>
      <w:r w:rsidR="007F635D" w:rsidRPr="00E72418">
        <w:rPr>
          <w:rFonts w:cs="Times New Roman"/>
          <w:szCs w:val="24"/>
        </w:rPr>
        <w:t>,</w:t>
      </w:r>
      <w:r w:rsidRPr="00E72418">
        <w:rPr>
          <w:rFonts w:cs="Times New Roman"/>
          <w:szCs w:val="24"/>
        </w:rPr>
        <w:t xml:space="preserve"> dès lors que les conditions d’une poursuite d’un avantage illégitime sont rencontrées, le juge pourrait prendre le parti de ne pas limiter les prétentions du créancier.</w:t>
      </w:r>
      <w:r w:rsidR="002E0126" w:rsidRPr="00E72418">
        <w:rPr>
          <w:rFonts w:cs="Times New Roman"/>
          <w:szCs w:val="24"/>
        </w:rPr>
        <w:t xml:space="preserve"> </w:t>
      </w:r>
      <w:r w:rsidR="00A574CE" w:rsidRPr="00E72418">
        <w:t>Il nous apparaî</w:t>
      </w:r>
      <w:r w:rsidR="002E0126" w:rsidRPr="00E72418">
        <w:t>t que les termes utilisés par le législateur belge (« </w:t>
      </w:r>
      <w:r w:rsidR="002E0126" w:rsidRPr="00E72418">
        <w:rPr>
          <w:rFonts w:cs="Times New Roman"/>
        </w:rPr>
        <w:t>[l]</w:t>
      </w:r>
      <w:r w:rsidR="002E0126" w:rsidRPr="00E72418">
        <w:t xml:space="preserve">orsqu’un créancier poursuit un avantage illégitime </w:t>
      </w:r>
      <w:r w:rsidR="002E0126" w:rsidRPr="00E72418">
        <w:rPr>
          <w:rFonts w:cs="Times New Roman"/>
        </w:rPr>
        <w:t>[…]</w:t>
      </w:r>
      <w:r w:rsidR="00D767F3" w:rsidRPr="00E72418">
        <w:t xml:space="preserve"> ses droits à l’égard de l’</w:t>
      </w:r>
      <w:r w:rsidR="00D767F3" w:rsidRPr="00E72418">
        <w:rPr>
          <w:lang w:eastAsia="fr-BE"/>
        </w:rPr>
        <w:t>É</w:t>
      </w:r>
      <w:r w:rsidR="002E0126" w:rsidRPr="00E72418">
        <w:t xml:space="preserve">tat débiteur seront limités </w:t>
      </w:r>
      <w:r w:rsidR="002E0126" w:rsidRPr="00E72418">
        <w:rPr>
          <w:rFonts w:cs="Times New Roman"/>
        </w:rPr>
        <w:t>[…]</w:t>
      </w:r>
      <w:r w:rsidR="002E0126" w:rsidRPr="00E72418">
        <w:t> ») n’offrent d’autre choix au juge que de limiter les droits de créancier lorsqu’un avantage illégitime est poursuivi. Si les critères permettant d’arriver à cette conclusion sont, nous le verrons, très difficilement objectivables, il n’en demeure pas moins que si le juge en retient l’existence, al</w:t>
      </w:r>
      <w:r w:rsidR="00022586" w:rsidRPr="00E72418">
        <w:t xml:space="preserve">ors il n’a d’autre choix que d’imposer </w:t>
      </w:r>
      <w:r w:rsidR="002E0126" w:rsidRPr="00E72418">
        <w:t>la limitation prévue par le mécanisme belge</w:t>
      </w:r>
      <w:r w:rsidRPr="00E72418">
        <w:rPr>
          <w:rStyle w:val="Appelnotedebasdep"/>
          <w:rFonts w:cs="Times New Roman"/>
          <w:szCs w:val="24"/>
        </w:rPr>
        <w:footnoteReference w:id="1688"/>
      </w:r>
      <w:r w:rsidRPr="00E72418">
        <w:rPr>
          <w:rFonts w:cs="Times New Roman"/>
          <w:szCs w:val="24"/>
        </w:rPr>
        <w:t>.</w:t>
      </w:r>
    </w:p>
    <w:p w14:paraId="3A084FF1" w14:textId="77777777" w:rsidR="005F6F52" w:rsidRPr="00E72418" w:rsidRDefault="005F6F52" w:rsidP="00CC4BA8">
      <w:pPr>
        <w:spacing w:line="276" w:lineRule="auto"/>
      </w:pPr>
    </w:p>
    <w:p w14:paraId="6BEFB447" w14:textId="4E49D188" w:rsidR="005F6F52" w:rsidRPr="00E72418" w:rsidRDefault="008665DF" w:rsidP="00CC4BA8">
      <w:pPr>
        <w:pStyle w:val="DD"/>
        <w:spacing w:line="276" w:lineRule="auto"/>
      </w:pPr>
      <w:bookmarkStart w:id="392" w:name="_Toc37777402"/>
      <w:bookmarkStart w:id="393" w:name="_Toc59280997"/>
      <w:bookmarkStart w:id="394" w:name="_Toc84540988"/>
      <w:r w:rsidRPr="00E72418">
        <w:t xml:space="preserve">Section 4 : </w:t>
      </w:r>
      <w:r w:rsidR="005F6F52" w:rsidRPr="00E72418">
        <w:t>Les critères</w:t>
      </w:r>
      <w:bookmarkEnd w:id="392"/>
      <w:bookmarkEnd w:id="393"/>
      <w:bookmarkEnd w:id="394"/>
    </w:p>
    <w:p w14:paraId="280670E4" w14:textId="77777777" w:rsidR="007A12E9" w:rsidRPr="00E72418" w:rsidRDefault="007A12E9" w:rsidP="007A12E9"/>
    <w:p w14:paraId="76B7C31B" w14:textId="614323C0" w:rsidR="005F6F52" w:rsidRPr="00E72418" w:rsidRDefault="004469AC" w:rsidP="00CC4BA8">
      <w:pPr>
        <w:spacing w:line="276" w:lineRule="auto"/>
      </w:pPr>
      <w:r w:rsidRPr="00E72418">
        <w:rPr>
          <w:b/>
        </w:rPr>
        <w:t>338</w:t>
      </w:r>
      <w:r w:rsidR="00817D62" w:rsidRPr="00E72418">
        <w:rPr>
          <w:b/>
        </w:rPr>
        <w:t xml:space="preserve">. </w:t>
      </w:r>
      <w:r w:rsidR="005F6F52" w:rsidRPr="00E72418">
        <w:rPr>
          <w:b/>
        </w:rPr>
        <w:t>La notion cardin</w:t>
      </w:r>
      <w:r w:rsidR="00997FC9" w:rsidRPr="00E72418">
        <w:rPr>
          <w:b/>
        </w:rPr>
        <w:t>ale d’</w:t>
      </w:r>
      <w:r w:rsidR="00ED6880" w:rsidRPr="00E72418">
        <w:rPr>
          <w:b/>
        </w:rPr>
        <w:t xml:space="preserve"> </w:t>
      </w:r>
      <w:r w:rsidR="00DA38E4" w:rsidRPr="00E72418">
        <w:rPr>
          <w:b/>
        </w:rPr>
        <w:t>« avantage illégitime » –</w:t>
      </w:r>
      <w:r w:rsidR="005F6F52" w:rsidRPr="00E72418">
        <w:t xml:space="preserve"> La notion cardinale de la loi </w:t>
      </w:r>
      <w:r w:rsidR="00997FC9" w:rsidRPr="00E72418">
        <w:t>du 12 juillet 2015 est celle d’</w:t>
      </w:r>
      <w:r w:rsidR="00074247" w:rsidRPr="00E72418">
        <w:t xml:space="preserve"> </w:t>
      </w:r>
      <w:r w:rsidR="005F6F52" w:rsidRPr="00E72418">
        <w:t>« avanta</w:t>
      </w:r>
      <w:r w:rsidR="002332F1" w:rsidRPr="00E72418">
        <w:t>ge illégitime ». La recherche d’</w:t>
      </w:r>
      <w:r w:rsidR="005F6F52" w:rsidRPr="00E72418">
        <w:t xml:space="preserve">un tel avantage se déduit, </w:t>
      </w:r>
      <w:r w:rsidR="00022586" w:rsidRPr="00E72418">
        <w:t>précise</w:t>
      </w:r>
      <w:r w:rsidR="005F6F52" w:rsidRPr="00E72418">
        <w:t xml:space="preserve"> le troisième alinéa d</w:t>
      </w:r>
      <w:r w:rsidR="00917A0A" w:rsidRPr="00E72418">
        <w:t xml:space="preserve">e l’article 2 de la loi, </w:t>
      </w:r>
      <w:r w:rsidR="002332F1" w:rsidRPr="00E72418">
        <w:t>de l’</w:t>
      </w:r>
      <w:r w:rsidR="005F6F52" w:rsidRPr="00E72418">
        <w:t>ex</w:t>
      </w:r>
      <w:r w:rsidR="002332F1" w:rsidRPr="00E72418">
        <w:t>istence d’</w:t>
      </w:r>
      <w:r w:rsidR="005F6F52" w:rsidRPr="00E72418">
        <w:t>une disproportion manifeste</w:t>
      </w:r>
      <w:r w:rsidR="00917A0A" w:rsidRPr="00E72418">
        <w:t xml:space="preserve"> entre la </w:t>
      </w:r>
      <w:r w:rsidR="00917A0A" w:rsidRPr="00E72418">
        <w:lastRenderedPageBreak/>
        <w:t>valeur de rachat de l’</w:t>
      </w:r>
      <w:r w:rsidR="005F6F52" w:rsidRPr="00E72418">
        <w:t>emprunt ou de la créance par le créa</w:t>
      </w:r>
      <w:r w:rsidR="002332F1" w:rsidRPr="00E72418">
        <w:t>ncier et la valeur faciale de l’</w:t>
      </w:r>
      <w:r w:rsidR="005F6F52" w:rsidRPr="00E72418">
        <w:t>emprunt ou de la créance ou encore</w:t>
      </w:r>
      <w:r w:rsidR="002332F1" w:rsidRPr="00E72418">
        <w:t xml:space="preserve"> entre la valeur de rachat de l’</w:t>
      </w:r>
      <w:r w:rsidR="005F6F52" w:rsidRPr="00E72418">
        <w:t>emprunt ou de la créance par le créancier et les somm</w:t>
      </w:r>
      <w:r w:rsidR="00917A0A" w:rsidRPr="00E72418">
        <w:t>es dont il demande le paiement</w:t>
      </w:r>
      <w:r w:rsidR="001D0774" w:rsidRPr="00E72418">
        <w:t xml:space="preserve"> (</w:t>
      </w:r>
      <w:r w:rsidR="001D0774" w:rsidRPr="00E72418">
        <w:rPr>
          <w:b/>
        </w:rPr>
        <w:t>sous-section 1</w:t>
      </w:r>
      <w:r w:rsidR="001D0774" w:rsidRPr="00E72418">
        <w:t>)</w:t>
      </w:r>
      <w:r w:rsidR="005F6F52" w:rsidRPr="00E72418">
        <w:t xml:space="preserve">. Le quatrième alinéa </w:t>
      </w:r>
      <w:r w:rsidR="00022586" w:rsidRPr="00E72418">
        <w:t xml:space="preserve">de l’article ajoute </w:t>
      </w:r>
      <w:r w:rsidR="005F6F52" w:rsidRPr="00E72418">
        <w:t>que pour qu’il s’agisse d’un avantage illégitime, cette disproportion manifeste doit être complétée par au moins un d</w:t>
      </w:r>
      <w:r w:rsidR="00917A0A" w:rsidRPr="00E72418">
        <w:t>es critères qu’il liste</w:t>
      </w:r>
      <w:r w:rsidR="001D0774" w:rsidRPr="00E72418">
        <w:t xml:space="preserve"> (</w:t>
      </w:r>
      <w:r w:rsidR="001D0774" w:rsidRPr="00E72418">
        <w:rPr>
          <w:b/>
        </w:rPr>
        <w:t>sous-section 2</w:t>
      </w:r>
      <w:r w:rsidR="001D0774" w:rsidRPr="00E72418">
        <w:t>)</w:t>
      </w:r>
      <w:r w:rsidR="005F6F52" w:rsidRPr="00E72418">
        <w:t xml:space="preserve">. </w:t>
      </w:r>
    </w:p>
    <w:p w14:paraId="02C4CA10" w14:textId="50FCDC30" w:rsidR="00C42A20" w:rsidRPr="00E72418" w:rsidRDefault="005F6F52" w:rsidP="00CC4BA8">
      <w:pPr>
        <w:spacing w:line="276" w:lineRule="auto"/>
      </w:pPr>
      <w:r w:rsidRPr="00E72418">
        <w:t xml:space="preserve">Les critères </w:t>
      </w:r>
      <w:r w:rsidR="00AA119B" w:rsidRPr="00E72418">
        <w:t xml:space="preserve">servant à </w:t>
      </w:r>
      <w:r w:rsidRPr="00E72418">
        <w:t xml:space="preserve">identifier un fonds spéculatif visent à guider </w:t>
      </w:r>
      <w:r w:rsidR="00AA119B" w:rsidRPr="00E72418">
        <w:t xml:space="preserve">le juge dans son raisonnement et </w:t>
      </w:r>
      <w:r w:rsidRPr="00E72418">
        <w:t>permettent, selon le législateur</w:t>
      </w:r>
      <w:r w:rsidR="00022586" w:rsidRPr="00E72418">
        <w:t xml:space="preserve"> belge</w:t>
      </w:r>
      <w:r w:rsidRPr="00E72418">
        <w:t>, d’éviter des décisions trop subjectives ou imprévisibles</w:t>
      </w:r>
      <w:r w:rsidRPr="00E72418">
        <w:rPr>
          <w:rStyle w:val="Appelnotedebasdep"/>
          <w:rFonts w:cs="Times New Roman"/>
          <w:bCs/>
          <w:szCs w:val="24"/>
        </w:rPr>
        <w:footnoteReference w:id="1689"/>
      </w:r>
      <w:r w:rsidR="00AA119B" w:rsidRPr="00E72418">
        <w:t xml:space="preserve">. </w:t>
      </w:r>
      <w:r w:rsidRPr="00E72418">
        <w:t>Pourtant</w:t>
      </w:r>
      <w:r w:rsidR="00997FC9" w:rsidRPr="00E72418">
        <w:t xml:space="preserve"> la notion d’</w:t>
      </w:r>
      <w:r w:rsidR="00074247" w:rsidRPr="00E72418">
        <w:t xml:space="preserve"> </w:t>
      </w:r>
      <w:r w:rsidRPr="00E72418">
        <w:t xml:space="preserve">« avantage illégitime » témoigne de ce que l’analyse </w:t>
      </w:r>
      <w:r w:rsidR="00C42A20" w:rsidRPr="00E72418">
        <w:t>qui devrait</w:t>
      </w:r>
      <w:r w:rsidRPr="00E72418">
        <w:t xml:space="preserve"> être </w:t>
      </w:r>
      <w:r w:rsidR="001441FE" w:rsidRPr="00E72418">
        <w:t>pratiquée</w:t>
      </w:r>
      <w:r w:rsidRPr="00E72418">
        <w:t xml:space="preserve"> par le juge se situe dans un champ particulier qu’est celui de la morale ou de l’éthique faisant peser sur lui une responsabilité importante</w:t>
      </w:r>
      <w:r w:rsidRPr="00E72418">
        <w:rPr>
          <w:rStyle w:val="Appelnotedebasdep"/>
          <w:rFonts w:cs="Times New Roman"/>
          <w:bCs/>
          <w:szCs w:val="24"/>
        </w:rPr>
        <w:footnoteReference w:id="1690"/>
      </w:r>
      <w:r w:rsidRPr="00E72418">
        <w:t xml:space="preserve">. </w:t>
      </w:r>
      <w:r w:rsidRPr="00E72418">
        <w:rPr>
          <w:szCs w:val="24"/>
        </w:rPr>
        <w:t>Même si cela n’est pas inscrit dans le texte adopté, le législateur belge est d’avis qu’un créancier ne poursuit un avantage illégitime que s’il a l’inte</w:t>
      </w:r>
      <w:r w:rsidR="00022586" w:rsidRPr="00E72418">
        <w:rPr>
          <w:szCs w:val="24"/>
        </w:rPr>
        <w:t>ntion d’obtenir un tel avantage, ce qu’il précisa</w:t>
      </w:r>
      <w:r w:rsidRPr="00E72418">
        <w:rPr>
          <w:szCs w:val="24"/>
        </w:rPr>
        <w:t xml:space="preserve"> durant le</w:t>
      </w:r>
      <w:r w:rsidR="007272EC" w:rsidRPr="00E72418">
        <w:rPr>
          <w:szCs w:val="24"/>
        </w:rPr>
        <w:t>s</w:t>
      </w:r>
      <w:r w:rsidRPr="00E72418">
        <w:rPr>
          <w:szCs w:val="24"/>
        </w:rPr>
        <w:t xml:space="preserve"> travaux préparatoires : « il doit exister une intention particulière et le juge devra déterminer si cette intention existe ou non »</w:t>
      </w:r>
      <w:r w:rsidRPr="00E72418">
        <w:rPr>
          <w:rStyle w:val="Appelnotedebasdep"/>
          <w:szCs w:val="24"/>
        </w:rPr>
        <w:footnoteReference w:id="1691"/>
      </w:r>
      <w:r w:rsidRPr="00E72418">
        <w:rPr>
          <w:szCs w:val="24"/>
        </w:rPr>
        <w:t xml:space="preserve">. </w:t>
      </w:r>
      <w:r w:rsidR="00C42A20" w:rsidRPr="00E72418">
        <w:t>Telle qu’adoptée toutefois, la loi belge a ceci de positif dans son application que si elle se focalise sur le comportement spéculatif du fonds acquéreur elle s’affranchit de la recherche concrète d’une intention qui serait condamnable. En effet, la poursuite d’un avantage illégitime se déduit d’un seul constat que le juge est à première vue à même de poser objectivement</w:t>
      </w:r>
      <w:r w:rsidR="00C42A20" w:rsidRPr="00E72418">
        <w:rPr>
          <w:rStyle w:val="Appelnotedebasdep"/>
        </w:rPr>
        <w:footnoteReference w:id="1692"/>
      </w:r>
      <w:r w:rsidR="003253C6" w:rsidRPr="00E72418">
        <w:rPr>
          <w:vertAlign w:val="superscript"/>
        </w:rPr>
        <w:t>,</w:t>
      </w:r>
      <w:r w:rsidR="008F7A53" w:rsidRPr="00E72418">
        <w:rPr>
          <w:rStyle w:val="Appelnotedebasdep"/>
        </w:rPr>
        <w:footnoteReference w:id="1693"/>
      </w:r>
      <w:r w:rsidR="003253C6" w:rsidRPr="00E72418">
        <w:t>.</w:t>
      </w:r>
      <w:r w:rsidR="001D0774" w:rsidRPr="00E72418">
        <w:t xml:space="preserve"> Nous apprécierons les critères afin de voir s’ils servent correctement l’objectif que s’est assigné le législateur belge (</w:t>
      </w:r>
      <w:r w:rsidR="001D0774" w:rsidRPr="00E72418">
        <w:rPr>
          <w:b/>
        </w:rPr>
        <w:t>sous-section 3</w:t>
      </w:r>
      <w:r w:rsidR="001D0774" w:rsidRPr="00E72418">
        <w:t>).</w:t>
      </w:r>
    </w:p>
    <w:p w14:paraId="528886FA" w14:textId="77777777" w:rsidR="0036555A" w:rsidRPr="00E72418" w:rsidRDefault="0036555A" w:rsidP="00CC4BA8">
      <w:pPr>
        <w:spacing w:line="276" w:lineRule="auto"/>
      </w:pPr>
    </w:p>
    <w:p w14:paraId="4AC87559" w14:textId="77777777" w:rsidR="00A02DAE" w:rsidRPr="00E72418" w:rsidRDefault="00A02DAE">
      <w:pPr>
        <w:jc w:val="left"/>
        <w:rPr>
          <w:rFonts w:eastAsiaTheme="majorEastAsia" w:cstheme="majorBidi"/>
          <w:b/>
          <w:sz w:val="32"/>
          <w:u w:val="single"/>
        </w:rPr>
      </w:pPr>
      <w:bookmarkStart w:id="395" w:name="_Toc37777403"/>
      <w:bookmarkStart w:id="396" w:name="_Toc59280998"/>
      <w:bookmarkStart w:id="397" w:name="_Toc84540989"/>
      <w:r w:rsidRPr="00E72418">
        <w:br w:type="page"/>
      </w:r>
    </w:p>
    <w:p w14:paraId="5AAF0361" w14:textId="5F2FE09B" w:rsidR="005F6F52" w:rsidRPr="00E72418" w:rsidRDefault="008665DF" w:rsidP="00CC4BA8">
      <w:pPr>
        <w:pStyle w:val="EE"/>
        <w:spacing w:line="276" w:lineRule="auto"/>
        <w:jc w:val="left"/>
      </w:pPr>
      <w:r w:rsidRPr="00E72418">
        <w:lastRenderedPageBreak/>
        <w:t xml:space="preserve">Sous-section 1 : </w:t>
      </w:r>
      <w:r w:rsidR="005F6F52" w:rsidRPr="00E72418">
        <w:t>La disproportion manifeste</w:t>
      </w:r>
      <w:bookmarkEnd w:id="395"/>
      <w:bookmarkEnd w:id="396"/>
      <w:bookmarkEnd w:id="397"/>
    </w:p>
    <w:p w14:paraId="2C140DE3" w14:textId="77777777" w:rsidR="007F038F" w:rsidRPr="00E72418" w:rsidRDefault="007F038F" w:rsidP="007F038F"/>
    <w:p w14:paraId="2F1ACBFA" w14:textId="25BC4B6B" w:rsidR="0014319F" w:rsidRPr="00E72418" w:rsidRDefault="004469AC" w:rsidP="00CC4BA8">
      <w:pPr>
        <w:spacing w:line="276" w:lineRule="auto"/>
      </w:pPr>
      <w:r w:rsidRPr="00E72418">
        <w:rPr>
          <w:b/>
        </w:rPr>
        <w:t>339</w:t>
      </w:r>
      <w:r w:rsidR="00817D62" w:rsidRPr="00E72418">
        <w:rPr>
          <w:b/>
        </w:rPr>
        <w:t xml:space="preserve">. </w:t>
      </w:r>
      <w:r w:rsidR="00DA38E4" w:rsidRPr="00E72418">
        <w:rPr>
          <w:b/>
        </w:rPr>
        <w:t>L’abus de droit –</w:t>
      </w:r>
      <w:r w:rsidR="005F6F52" w:rsidRPr="00E72418">
        <w:t xml:space="preserve"> Le</w:t>
      </w:r>
      <w:r w:rsidR="00310F84" w:rsidRPr="00E72418">
        <w:t>s travaux préparatoires de la loi</w:t>
      </w:r>
      <w:r w:rsidR="006179B1" w:rsidRPr="00E72418">
        <w:t xml:space="preserve"> du 12 juillet 2015 relative à la lutte contre les activités des fonds vautours</w:t>
      </w:r>
      <w:r w:rsidR="00310F84" w:rsidRPr="00E72418">
        <w:t xml:space="preserve"> indiquent que le</w:t>
      </w:r>
      <w:r w:rsidR="005F6F52" w:rsidRPr="00E72418">
        <w:t xml:space="preserve"> critère de base qu’est l’existence d’une d</w:t>
      </w:r>
      <w:r w:rsidR="00310F84" w:rsidRPr="00E72418">
        <w:t xml:space="preserve">isproportion manifeste découle </w:t>
      </w:r>
      <w:r w:rsidR="005F6F52" w:rsidRPr="00E72418">
        <w:t>de la théorie de l’abus de droit telle que développée par la Cour de cassation belge</w:t>
      </w:r>
      <w:r w:rsidR="00310F84" w:rsidRPr="00E72418">
        <w:t>. S</w:t>
      </w:r>
      <w:r w:rsidR="00B10007" w:rsidRPr="00E72418">
        <w:t xml:space="preserve">elon </w:t>
      </w:r>
      <w:r w:rsidR="00310F84" w:rsidRPr="00E72418">
        <w:t>celle-ci,</w:t>
      </w:r>
      <w:r w:rsidR="00B10007" w:rsidRPr="00E72418">
        <w:t xml:space="preserve"> « [l’</w:t>
      </w:r>
      <w:r w:rsidR="00B10007" w:rsidRPr="00E72418">
        <w:rPr>
          <w:rFonts w:cs="Times New Roman"/>
        </w:rPr>
        <w:t>]</w:t>
      </w:r>
      <w:r w:rsidR="005F6F52" w:rsidRPr="00E72418">
        <w:t>abus de droit peut résulter non seulement de l’exercice d’un droit avec la seule intention de nuire, mais aussi de l’exercice de ce droit d’une manière qui dépasse les limites de l’exercice normal de celui-ci par une personne prudente et diligente »</w:t>
      </w:r>
      <w:r w:rsidR="005F6F52" w:rsidRPr="00E72418">
        <w:rPr>
          <w:rStyle w:val="Appelnotedebasdep"/>
          <w:rFonts w:cs="Times New Roman"/>
          <w:bCs/>
          <w:szCs w:val="24"/>
        </w:rPr>
        <w:footnoteReference w:id="1694"/>
      </w:r>
      <w:r w:rsidR="005F6F52" w:rsidRPr="00E72418">
        <w:t xml:space="preserve">. </w:t>
      </w:r>
    </w:p>
    <w:p w14:paraId="320FF61C" w14:textId="77777777" w:rsidR="005F6F52" w:rsidRPr="00E72418" w:rsidRDefault="005F6F52" w:rsidP="00CC4BA8">
      <w:pPr>
        <w:spacing w:line="276" w:lineRule="auto"/>
      </w:pPr>
      <w:r w:rsidRPr="00E72418">
        <w:t xml:space="preserve">L’on retrouve </w:t>
      </w:r>
      <w:r w:rsidR="0014319F" w:rsidRPr="00E72418">
        <w:t>dans la loi belge</w:t>
      </w:r>
      <w:r w:rsidRPr="00E72418">
        <w:t xml:space="preserve"> le critère de proportionnalité que le juge doit appliquer pour déterminer s’il y a exercice disprop</w:t>
      </w:r>
      <w:r w:rsidR="00D767F3" w:rsidRPr="00E72418">
        <w:t>ortionné par le créancier de l’</w:t>
      </w:r>
      <w:r w:rsidR="00D767F3" w:rsidRPr="00E72418">
        <w:rPr>
          <w:lang w:eastAsia="fr-BE"/>
        </w:rPr>
        <w:t>É</w:t>
      </w:r>
      <w:r w:rsidRPr="00E72418">
        <w:t>tat débiteur de son droit</w:t>
      </w:r>
      <w:r w:rsidRPr="00E72418">
        <w:rPr>
          <w:rStyle w:val="Appelnotedebasdep"/>
          <w:rFonts w:cs="Times New Roman"/>
          <w:bCs/>
          <w:szCs w:val="24"/>
        </w:rPr>
        <w:footnoteReference w:id="1695"/>
      </w:r>
      <w:r w:rsidRPr="00E72418">
        <w:t>.</w:t>
      </w:r>
      <w:r w:rsidR="00310F84" w:rsidRPr="00E72418">
        <w:t xml:space="preserve"> L’article 2, alinéa 3, de la loi explique que la disproportion manifeste existe dans deux situations. Ainsi, elle peut résulter de la mise en regard de la valeur de rachat de l’emprunt ou de la créance par le créancier soit avec la valeur faciale de l’emprunt ou de la créance, soit avec les sommes dont il demande le paiement. Le juge peut alternativement prendre en considération </w:t>
      </w:r>
      <w:r w:rsidR="006179B1" w:rsidRPr="00E72418">
        <w:t>la</w:t>
      </w:r>
      <w:r w:rsidR="00310F84" w:rsidRPr="00E72418">
        <w:t xml:space="preserve"> valeur </w:t>
      </w:r>
      <w:r w:rsidR="006179B1" w:rsidRPr="00E72418">
        <w:t>faciale ou l</w:t>
      </w:r>
      <w:r w:rsidR="00310F84" w:rsidRPr="00E72418">
        <w:t>es sommes</w:t>
      </w:r>
      <w:r w:rsidR="006179B1" w:rsidRPr="00E72418">
        <w:t xml:space="preserve"> réclamées</w:t>
      </w:r>
      <w:r w:rsidR="00310F84" w:rsidRPr="00E72418">
        <w:t xml:space="preserve"> pour apprécier l’existence d’une disproportion manifeste.</w:t>
      </w:r>
    </w:p>
    <w:p w14:paraId="2961642B" w14:textId="77777777" w:rsidR="008502EE" w:rsidRPr="00E72418" w:rsidRDefault="008502EE" w:rsidP="00CC4BA8">
      <w:pPr>
        <w:spacing w:line="276" w:lineRule="auto"/>
      </w:pPr>
      <w:r w:rsidRPr="00E72418">
        <w:t xml:space="preserve">La référence faite aux sommes dont le créancier demande le paiement permet de tenir compte des intérêts, frais ou autres amendes qui seraient réclamés par le créancier et qui, dans les contentieux </w:t>
      </w:r>
      <w:r w:rsidR="00B41CCF" w:rsidRPr="00E72418">
        <w:t>impliquant des fonds spéculant</w:t>
      </w:r>
      <w:r w:rsidRPr="00E72418">
        <w:t xml:space="preserve"> sur les dettes souveraines, sont souvent importants. Cette référence est toutefois critiquée par certains auteurs qui relèvent que </w:t>
      </w:r>
      <w:r w:rsidRPr="00E72418">
        <w:rPr>
          <w:rFonts w:cs="Times New Roman"/>
        </w:rPr>
        <w:t>la disproportion manifeste pourrait résulter, non pas de manœuvres spéculatrices, mais du simple écoulement du temps ou de l’engagement de procédures judiciaires tendant à l’e</w:t>
      </w:r>
      <w:r w:rsidR="00D767F3" w:rsidRPr="00E72418">
        <w:rPr>
          <w:rFonts w:cs="Times New Roman"/>
        </w:rPr>
        <w:t>xécution des engagements par l’</w:t>
      </w:r>
      <w:r w:rsidR="00D767F3" w:rsidRPr="00E72418">
        <w:rPr>
          <w:lang w:eastAsia="fr-BE"/>
        </w:rPr>
        <w:t>É</w:t>
      </w:r>
      <w:r w:rsidRPr="00E72418">
        <w:rPr>
          <w:rFonts w:cs="Times New Roman"/>
        </w:rPr>
        <w:t>tat</w:t>
      </w:r>
      <w:r w:rsidRPr="00E72418">
        <w:rPr>
          <w:rStyle w:val="Appelnotedebasdep"/>
          <w:rFonts w:cs="Times New Roman"/>
          <w:bCs/>
          <w:szCs w:val="24"/>
        </w:rPr>
        <w:footnoteReference w:id="1696"/>
      </w:r>
      <w:r w:rsidRPr="00E72418">
        <w:t>.</w:t>
      </w:r>
    </w:p>
    <w:p w14:paraId="184C90DA" w14:textId="77777777" w:rsidR="00277702" w:rsidRPr="00E72418" w:rsidRDefault="00277702" w:rsidP="00CC4BA8">
      <w:pPr>
        <w:spacing w:line="276" w:lineRule="auto"/>
      </w:pPr>
    </w:p>
    <w:p w14:paraId="4C5DBCC2" w14:textId="17458C60" w:rsidR="00277702" w:rsidRPr="00E72418" w:rsidRDefault="004469AC" w:rsidP="00CC4BA8">
      <w:pPr>
        <w:spacing w:line="276" w:lineRule="auto"/>
        <w:rPr>
          <w:rFonts w:cs="Times New Roman"/>
        </w:rPr>
      </w:pPr>
      <w:r w:rsidRPr="00E72418">
        <w:rPr>
          <w:b/>
        </w:rPr>
        <w:t>340</w:t>
      </w:r>
      <w:r w:rsidR="00817D62" w:rsidRPr="00E72418">
        <w:rPr>
          <w:b/>
        </w:rPr>
        <w:t xml:space="preserve">. </w:t>
      </w:r>
      <w:r w:rsidR="00277702" w:rsidRPr="00E72418">
        <w:rPr>
          <w:b/>
        </w:rPr>
        <w:t>L’absence de critère arithmétique –</w:t>
      </w:r>
      <w:r w:rsidR="00277702" w:rsidRPr="00E72418">
        <w:t xml:space="preserve"> Le législateur belge fit le choix, à dessein, de ne retenir aucun critère arithmétique pour caractériser l</w:t>
      </w:r>
      <w:r w:rsidR="00B66150" w:rsidRPr="00E72418">
        <w:t>a disproportion manifeste</w:t>
      </w:r>
      <w:r w:rsidR="00277702" w:rsidRPr="00E72418">
        <w:t xml:space="preserve"> afin d’éviter un </w:t>
      </w:r>
      <w:r w:rsidR="00277702" w:rsidRPr="00E72418">
        <w:lastRenderedPageBreak/>
        <w:t xml:space="preserve">contournement </w:t>
      </w:r>
      <w:r w:rsidR="004B56E0" w:rsidRPr="00E72418">
        <w:t>aisé</w:t>
      </w:r>
      <w:r w:rsidR="00277702" w:rsidRPr="00E72418">
        <w:t xml:space="preserve"> d’une éventuelle proportion déterminée</w:t>
      </w:r>
      <w:r w:rsidR="00277702" w:rsidRPr="00E72418">
        <w:rPr>
          <w:rStyle w:val="Appelnotedebasdep"/>
        </w:rPr>
        <w:footnoteReference w:id="1697"/>
      </w:r>
      <w:r w:rsidR="00277702" w:rsidRPr="00E72418">
        <w:t xml:space="preserve">. </w:t>
      </w:r>
      <w:r w:rsidR="00277702" w:rsidRPr="00E72418">
        <w:rPr>
          <w:rFonts w:cs="Times New Roman"/>
        </w:rPr>
        <w:t>L’absence de critère arithmétique fut vertement critiqué</w:t>
      </w:r>
      <w:r w:rsidR="004B56E0" w:rsidRPr="00E72418">
        <w:rPr>
          <w:rFonts w:cs="Times New Roman"/>
        </w:rPr>
        <w:t>e</w:t>
      </w:r>
      <w:r w:rsidR="00277702" w:rsidRPr="00E72418">
        <w:rPr>
          <w:rFonts w:cs="Times New Roman"/>
        </w:rPr>
        <w:t>, tant durant les travaux préparatoires de la loi qu’ensu</w:t>
      </w:r>
      <w:r w:rsidR="004B56E0" w:rsidRPr="00E72418">
        <w:rPr>
          <w:rFonts w:cs="Times New Roman"/>
        </w:rPr>
        <w:t>ite de son adoption, en ce qu’elle</w:t>
      </w:r>
      <w:r w:rsidR="00277702" w:rsidRPr="00E72418">
        <w:rPr>
          <w:rFonts w:cs="Times New Roman"/>
        </w:rPr>
        <w:t xml:space="preserve"> serait de nature à entamer la sécurité juridique essen</w:t>
      </w:r>
      <w:r w:rsidR="007D0D2B">
        <w:rPr>
          <w:rFonts w:cs="Times New Roman"/>
        </w:rPr>
        <w:t>tielle au bon fonctionnement du</w:t>
      </w:r>
      <w:r w:rsidR="00277702" w:rsidRPr="00E72418">
        <w:rPr>
          <w:rFonts w:cs="Times New Roman"/>
        </w:rPr>
        <w:t xml:space="preserve"> marché des dettes souveraines</w:t>
      </w:r>
      <w:r w:rsidR="00277702" w:rsidRPr="00E72418">
        <w:rPr>
          <w:rStyle w:val="Appelnotedebasdep"/>
          <w:rFonts w:cs="Times New Roman"/>
        </w:rPr>
        <w:footnoteReference w:id="1698"/>
      </w:r>
      <w:r w:rsidR="00277702" w:rsidRPr="00E72418">
        <w:rPr>
          <w:rFonts w:cs="Times New Roman"/>
        </w:rPr>
        <w:t xml:space="preserve">. </w:t>
      </w:r>
    </w:p>
    <w:p w14:paraId="431F35D8" w14:textId="77777777" w:rsidR="00277702" w:rsidRPr="00E72418" w:rsidRDefault="004B56E0" w:rsidP="00CC4BA8">
      <w:pPr>
        <w:spacing w:line="276" w:lineRule="auto"/>
      </w:pPr>
      <w:r w:rsidRPr="00E72418">
        <w:rPr>
          <w:rFonts w:cs="Times New Roman"/>
        </w:rPr>
        <w:t>Quoique</w:t>
      </w:r>
      <w:r w:rsidR="00277702" w:rsidRPr="00E72418">
        <w:rPr>
          <w:rFonts w:cs="Times New Roman"/>
        </w:rPr>
        <w:t xml:space="preserve"> l’argument du législateur</w:t>
      </w:r>
      <w:r w:rsidRPr="00E72418">
        <w:rPr>
          <w:rFonts w:cs="Times New Roman"/>
        </w:rPr>
        <w:t xml:space="preserve"> belge est compréhensible</w:t>
      </w:r>
      <w:r w:rsidR="00277702" w:rsidRPr="00E72418">
        <w:rPr>
          <w:rFonts w:cs="Times New Roman"/>
        </w:rPr>
        <w:t xml:space="preserve">, l’on peut toutefois s’interroger sur l’intérêt d’accorder un tel pouvoir d’appréciation au juge. En effet, il ne lui est pas demandé d’apprécier un ensemble de circonstances pour retenir l’existence de la disproportion manifeste mais uniquement d’estimer </w:t>
      </w:r>
      <w:r w:rsidR="00277702" w:rsidRPr="00E72418">
        <w:t>une proportionnalité purement arithmétique</w:t>
      </w:r>
      <w:r w:rsidR="00277702" w:rsidRPr="00E72418">
        <w:rPr>
          <w:rStyle w:val="Appelnotedebasdep"/>
        </w:rPr>
        <w:footnoteReference w:id="1699"/>
      </w:r>
      <w:r w:rsidR="00277702" w:rsidRPr="00E72418">
        <w:t>.</w:t>
      </w:r>
      <w:r w:rsidR="00277702" w:rsidRPr="00E72418">
        <w:rPr>
          <w:rFonts w:cs="Times New Roman"/>
        </w:rPr>
        <w:t xml:space="preserve"> Ainsi, en fonction de</w:t>
      </w:r>
      <w:r w:rsidR="00277702" w:rsidRPr="00E72418">
        <w:t xml:space="preserve"> la seule sensibilité du juge et du constat qu’elle l’amènera à faire ou non de l’existence d’une disproportion manifeste, pourront être rencontrées des situations où il sera conclu qu’il n’en est pas question permettant à un créancier de </w:t>
      </w:r>
      <w:r w:rsidRPr="00E72418">
        <w:t xml:space="preserve">faire de confortables profits. </w:t>
      </w:r>
      <w:r w:rsidR="00277702" w:rsidRPr="00E72418">
        <w:t xml:space="preserve">Seule une jurisprudence cohérente est de nature à permettre de surmonter la critique de l’insécurité juridique. </w:t>
      </w:r>
      <w:r w:rsidR="00277702" w:rsidRPr="00E72418">
        <w:rPr>
          <w:rFonts w:cs="Times New Roman"/>
        </w:rPr>
        <w:t>Une telle jurisprudence est d’autant plus importante que les critères alternatifs servant à compléter la disproportion manifeste pour qu’il soit conclu à la recherche d’un avantage illégitime sont susceptibles d’interprétations diverses.</w:t>
      </w:r>
    </w:p>
    <w:p w14:paraId="1F61715E" w14:textId="77777777" w:rsidR="005F6F52" w:rsidRPr="00E72418" w:rsidRDefault="005F6F52" w:rsidP="00CC4BA8">
      <w:pPr>
        <w:spacing w:line="276" w:lineRule="auto"/>
        <w:rPr>
          <w:rFonts w:cs="Times New Roman"/>
        </w:rPr>
      </w:pPr>
    </w:p>
    <w:p w14:paraId="7846EB14" w14:textId="682C3FC9" w:rsidR="005F6F52" w:rsidRPr="00E72418" w:rsidRDefault="008665DF" w:rsidP="00CC4BA8">
      <w:pPr>
        <w:pStyle w:val="EE"/>
        <w:spacing w:line="276" w:lineRule="auto"/>
        <w:jc w:val="left"/>
      </w:pPr>
      <w:bookmarkStart w:id="398" w:name="_Toc37777404"/>
      <w:bookmarkStart w:id="399" w:name="_Toc59280999"/>
      <w:bookmarkStart w:id="400" w:name="_Toc84540990"/>
      <w:r w:rsidRPr="00E72418">
        <w:t xml:space="preserve">Sous-section 2 : </w:t>
      </w:r>
      <w:r w:rsidR="005F6F52" w:rsidRPr="00E72418">
        <w:t xml:space="preserve">Les critères </w:t>
      </w:r>
      <w:r w:rsidR="007A4F05" w:rsidRPr="00E72418">
        <w:t xml:space="preserve">complétifs et </w:t>
      </w:r>
      <w:r w:rsidR="005F6F52" w:rsidRPr="00E72418">
        <w:t>alternatifs</w:t>
      </w:r>
      <w:bookmarkEnd w:id="398"/>
      <w:bookmarkEnd w:id="399"/>
      <w:bookmarkEnd w:id="400"/>
    </w:p>
    <w:p w14:paraId="4BFF8AF2" w14:textId="77777777" w:rsidR="007A12E9" w:rsidRPr="00E72418" w:rsidRDefault="007A12E9" w:rsidP="007A12E9"/>
    <w:p w14:paraId="6C5E1CB9" w14:textId="322C06AE" w:rsidR="005F6F52" w:rsidRPr="00E72418" w:rsidRDefault="004469AC" w:rsidP="00CC4BA8">
      <w:pPr>
        <w:spacing w:line="276" w:lineRule="auto"/>
      </w:pPr>
      <w:r w:rsidRPr="00E72418">
        <w:rPr>
          <w:b/>
        </w:rPr>
        <w:t>341</w:t>
      </w:r>
      <w:r w:rsidR="00817D62" w:rsidRPr="00E72418">
        <w:rPr>
          <w:b/>
        </w:rPr>
        <w:t xml:space="preserve">. </w:t>
      </w:r>
      <w:r w:rsidR="00A53DD8" w:rsidRPr="00E72418">
        <w:rPr>
          <w:b/>
        </w:rPr>
        <w:t xml:space="preserve">Un éventail </w:t>
      </w:r>
      <w:r w:rsidR="005B5850" w:rsidRPr="00E72418">
        <w:rPr>
          <w:b/>
        </w:rPr>
        <w:t xml:space="preserve">large mais </w:t>
      </w:r>
      <w:r w:rsidR="00A53DD8" w:rsidRPr="00E72418">
        <w:rPr>
          <w:b/>
        </w:rPr>
        <w:t>fermé</w:t>
      </w:r>
      <w:r w:rsidR="00DA38E4" w:rsidRPr="00E72418">
        <w:rPr>
          <w:b/>
        </w:rPr>
        <w:t xml:space="preserve"> –</w:t>
      </w:r>
      <w:r w:rsidR="005F6F52" w:rsidRPr="00E72418">
        <w:t xml:space="preserve"> Dans le mécanisme mis en place par le législateur belge afin de lutter contre les</w:t>
      </w:r>
      <w:r w:rsidR="00B41CCF" w:rsidRPr="00E72418">
        <w:t xml:space="preserve"> activités des fonds spéculant</w:t>
      </w:r>
      <w:r w:rsidR="005F6F52" w:rsidRPr="00E72418">
        <w:t xml:space="preserve"> sur les dettes souveraines, la seule disproportion manifeste ne suffit pas à conclure à l’existence d’un avantage illégitime poursuivi. Si cette condition doit impérativement être rencontrée, elle doit être complétée d’au </w:t>
      </w:r>
      <w:r w:rsidR="001A115C" w:rsidRPr="00E72418">
        <w:t xml:space="preserve">moins un des six critères que le quatrième </w:t>
      </w:r>
      <w:r w:rsidR="005F6F52" w:rsidRPr="00E72418">
        <w:t>alinéa de l’article 2 de la loi énonce</w:t>
      </w:r>
      <w:r w:rsidR="005F6F52" w:rsidRPr="00E72418">
        <w:rPr>
          <w:rStyle w:val="Appelnotedebasdep"/>
          <w:rFonts w:cs="Times New Roman"/>
          <w:bCs/>
          <w:szCs w:val="24"/>
        </w:rPr>
        <w:footnoteReference w:id="1700"/>
      </w:r>
      <w:r w:rsidR="005F6F52" w:rsidRPr="00E72418">
        <w:t xml:space="preserve">. Les critères repris à </w:t>
      </w:r>
      <w:r w:rsidR="00A25AAD" w:rsidRPr="00E72418">
        <w:t>cette disposition</w:t>
      </w:r>
      <w:r w:rsidR="005F6F52" w:rsidRPr="00E72418">
        <w:t xml:space="preserve"> sont alternatifs de sorte que la rencontre d’un seul d’entre eux en sus du constat d’une disproportion manifeste fait par le juge, conduit à l’application du mécanisme mis en place par la loi</w:t>
      </w:r>
      <w:r w:rsidR="000836AD" w:rsidRPr="00E72418">
        <w:t xml:space="preserve">. Par conséquent, les demandes peuvent assez largement être considérées </w:t>
      </w:r>
      <w:r w:rsidR="000836AD" w:rsidRPr="00E72418">
        <w:lastRenderedPageBreak/>
        <w:t>comme abusives</w:t>
      </w:r>
      <w:r w:rsidR="000836AD" w:rsidRPr="00E72418">
        <w:rPr>
          <w:rStyle w:val="Appelnotedebasdep"/>
          <w:rFonts w:cs="Times New Roman"/>
        </w:rPr>
        <w:footnoteReference w:id="1701"/>
      </w:r>
      <w:r w:rsidR="005F6F52" w:rsidRPr="00E72418">
        <w:t xml:space="preserve">. </w:t>
      </w:r>
      <w:r w:rsidR="000836AD" w:rsidRPr="00E72418">
        <w:t>Même si</w:t>
      </w:r>
      <w:r w:rsidR="00A25AAD" w:rsidRPr="00E72418">
        <w:t xml:space="preserve"> </w:t>
      </w:r>
      <w:r w:rsidR="005F6F52" w:rsidRPr="00E72418">
        <w:t xml:space="preserve">les parlementaires </w:t>
      </w:r>
      <w:r w:rsidR="00A53DD8" w:rsidRPr="00E72418">
        <w:t>instigateurs de la</w:t>
      </w:r>
      <w:r w:rsidR="005F6F52" w:rsidRPr="00E72418">
        <w:t xml:space="preserve"> loi entretinrent l’idée d’une utilisation cumulative des différents critères</w:t>
      </w:r>
      <w:r w:rsidR="00A25AAD" w:rsidRPr="00E72418">
        <w:rPr>
          <w:rStyle w:val="Appelnotedebasdep"/>
        </w:rPr>
        <w:footnoteReference w:id="1702"/>
      </w:r>
      <w:r w:rsidR="005F6F52" w:rsidRPr="00E72418">
        <w:t xml:space="preserve">, le texte de </w:t>
      </w:r>
      <w:r w:rsidR="000836AD" w:rsidRPr="00E72418">
        <w:t>l</w:t>
      </w:r>
      <w:r w:rsidR="005F6F52" w:rsidRPr="00E72418">
        <w:t>oi voté ne permet pas de douter du caractère alternatif des critères (« au moins un des critères suivants »).</w:t>
      </w:r>
    </w:p>
    <w:p w14:paraId="7180D3F3" w14:textId="19B68579" w:rsidR="00877B9C" w:rsidRPr="00E72418" w:rsidRDefault="005F6F52" w:rsidP="00CC4BA8">
      <w:pPr>
        <w:spacing w:line="276" w:lineRule="auto"/>
      </w:pPr>
      <w:r w:rsidRPr="00E72418">
        <w:t xml:space="preserve">Les critères </w:t>
      </w:r>
      <w:r w:rsidR="007A4F05" w:rsidRPr="00E72418">
        <w:t xml:space="preserve">complétifs et </w:t>
      </w:r>
      <w:r w:rsidRPr="00E72418">
        <w:t xml:space="preserve">alternatifs retenus </w:t>
      </w:r>
      <w:r w:rsidR="000836AD" w:rsidRPr="00E72418">
        <w:t>ayant</w:t>
      </w:r>
      <w:r w:rsidRPr="00E72418">
        <w:t xml:space="preserve"> trait, pour</w:t>
      </w:r>
      <w:r w:rsidR="00D767F3" w:rsidRPr="00E72418">
        <w:t xml:space="preserve"> certains, à la situation </w:t>
      </w:r>
      <w:r w:rsidR="000836AD" w:rsidRPr="00E72418">
        <w:t xml:space="preserve">financière </w:t>
      </w:r>
      <w:r w:rsidR="00D767F3" w:rsidRPr="00E72418">
        <w:t>de l’</w:t>
      </w:r>
      <w:r w:rsidR="00D767F3" w:rsidRPr="00E72418">
        <w:rPr>
          <w:lang w:eastAsia="fr-BE"/>
        </w:rPr>
        <w:t>É</w:t>
      </w:r>
      <w:r w:rsidRPr="00E72418">
        <w:t xml:space="preserve">tat débiteur, pour d’autres, à la localisation et au comportement du créancier, ne sont pas hiérarchisés. </w:t>
      </w:r>
      <w:r w:rsidR="000836AD" w:rsidRPr="00E72418">
        <w:t>L</w:t>
      </w:r>
      <w:r w:rsidRPr="00E72418">
        <w:t xml:space="preserve">a disparité des critères témoigne de ce que le législateur </w:t>
      </w:r>
      <w:r w:rsidR="000836AD" w:rsidRPr="00E72418">
        <w:t xml:space="preserve">belge </w:t>
      </w:r>
      <w:r w:rsidRPr="00E72418">
        <w:t>s’est inspiré d’affaires marquantes afin de dresser un portrait type de la figure du créancier spéculant sur les dettes souveraines</w:t>
      </w:r>
      <w:r w:rsidR="00A53DD8" w:rsidRPr="00E72418">
        <w:t xml:space="preserve"> dont il entendait combattre les activités</w:t>
      </w:r>
      <w:r w:rsidRPr="00E72418">
        <w:rPr>
          <w:rStyle w:val="Appelnotedebasdep"/>
        </w:rPr>
        <w:footnoteReference w:id="1703"/>
      </w:r>
      <w:r w:rsidRPr="00E72418">
        <w:t xml:space="preserve">. </w:t>
      </w:r>
      <w:r w:rsidR="00877B9C" w:rsidRPr="00E72418">
        <w:t>Les parlementaires à l’initiative de la législation étaient conscients que les critères retenus pourraient s’avérer insuffisants</w:t>
      </w:r>
      <w:r w:rsidR="000429C7" w:rsidRPr="00E72418">
        <w:rPr>
          <w:rStyle w:val="Appelnotedebasdep"/>
        </w:rPr>
        <w:footnoteReference w:id="1704"/>
      </w:r>
      <w:r w:rsidR="00877B9C" w:rsidRPr="00E72418">
        <w:t xml:space="preserve">. </w:t>
      </w:r>
      <w:r w:rsidR="004748BE" w:rsidRPr="00E72418">
        <w:t>Pourtant, tout large qu’est</w:t>
      </w:r>
      <w:r w:rsidR="00877B9C" w:rsidRPr="00E72418">
        <w:t xml:space="preserve"> l’éventail des critères, il est </w:t>
      </w:r>
      <w:r w:rsidR="004748BE" w:rsidRPr="00E72418">
        <w:t>néanmoins</w:t>
      </w:r>
      <w:r w:rsidR="00877B9C" w:rsidRPr="00E72418">
        <w:t xml:space="preserve"> fermé. Ainsi, les termes du texte</w:t>
      </w:r>
      <w:r w:rsidR="000836AD" w:rsidRPr="00E72418">
        <w:t xml:space="preserve"> de loi</w:t>
      </w:r>
      <w:r w:rsidR="00877B9C" w:rsidRPr="00E72418">
        <w:t xml:space="preserve"> (« au moins un des critères</w:t>
      </w:r>
      <w:r w:rsidR="004748BE" w:rsidRPr="00E72418">
        <w:t xml:space="preserve"> </w:t>
      </w:r>
      <w:r w:rsidR="00877B9C" w:rsidRPr="00E72418">
        <w:t>»), s’ils n’interdisent pas au juge d’avoir égard à d’autres critères, rend ceux de la liste incontournables</w:t>
      </w:r>
      <w:r w:rsidR="00877B9C" w:rsidRPr="00E72418">
        <w:rPr>
          <w:rStyle w:val="Appelnotedebasdep"/>
          <w:rFonts w:cs="Times New Roman"/>
          <w:bCs/>
          <w:szCs w:val="24"/>
        </w:rPr>
        <w:footnoteReference w:id="1705"/>
      </w:r>
      <w:r w:rsidR="00877B9C" w:rsidRPr="00E72418">
        <w:t>.</w:t>
      </w:r>
    </w:p>
    <w:p w14:paraId="764FFD19" w14:textId="77777777" w:rsidR="000A5654" w:rsidRPr="00E72418" w:rsidRDefault="000A5654" w:rsidP="00CC4BA8">
      <w:pPr>
        <w:spacing w:line="276" w:lineRule="auto"/>
      </w:pPr>
    </w:p>
    <w:p w14:paraId="75AD909B" w14:textId="13655560" w:rsidR="005F6F52" w:rsidRPr="00E72418" w:rsidRDefault="007F038F" w:rsidP="00CC4BA8">
      <w:pPr>
        <w:spacing w:line="276" w:lineRule="auto"/>
      </w:pPr>
      <w:r w:rsidRPr="00E72418">
        <w:rPr>
          <w:b/>
        </w:rPr>
        <w:t>34</w:t>
      </w:r>
      <w:r w:rsidR="004469AC" w:rsidRPr="00E72418">
        <w:rPr>
          <w:b/>
        </w:rPr>
        <w:t>2</w:t>
      </w:r>
      <w:r w:rsidR="00817D62" w:rsidRPr="00E72418">
        <w:rPr>
          <w:b/>
        </w:rPr>
        <w:t xml:space="preserve">. </w:t>
      </w:r>
      <w:r w:rsidR="005F6F52" w:rsidRPr="00E72418">
        <w:rPr>
          <w:b/>
        </w:rPr>
        <w:t>L’état d’insolvabilit</w:t>
      </w:r>
      <w:r w:rsidR="00DA38E4" w:rsidRPr="00E72418">
        <w:rPr>
          <w:b/>
        </w:rPr>
        <w:t>é ou de cessation de paiements –</w:t>
      </w:r>
      <w:r w:rsidR="005F6F52" w:rsidRPr="00E72418">
        <w:t xml:space="preserve"> Le premier de</w:t>
      </w:r>
      <w:r w:rsidR="007272EC" w:rsidRPr="00E72418">
        <w:t>s</w:t>
      </w:r>
      <w:r w:rsidR="005F6F52" w:rsidRPr="00E72418">
        <w:t xml:space="preserve"> six crit</w:t>
      </w:r>
      <w:r w:rsidR="002332F1" w:rsidRPr="00E72418">
        <w:t xml:space="preserve">ères </w:t>
      </w:r>
      <w:r w:rsidR="00303E2A" w:rsidRPr="00E72418">
        <w:t xml:space="preserve">complétifs et </w:t>
      </w:r>
      <w:r w:rsidR="002332F1" w:rsidRPr="00E72418">
        <w:t>alternatifs</w:t>
      </w:r>
      <w:r w:rsidR="005B5850" w:rsidRPr="00E72418">
        <w:t xml:space="preserve"> listés à l’artic</w:t>
      </w:r>
      <w:r w:rsidR="00ED6880" w:rsidRPr="00E72418">
        <w:t>l</w:t>
      </w:r>
      <w:r w:rsidR="005B5850" w:rsidRPr="00E72418">
        <w:t>e 2, alinéa 4, de la loi du 12 juillet 2015</w:t>
      </w:r>
      <w:r w:rsidR="002332F1" w:rsidRPr="00E72418">
        <w:t xml:space="preserve"> est celui de l’état d’</w:t>
      </w:r>
      <w:r w:rsidR="005F6F52" w:rsidRPr="00E72418">
        <w:t>insolvabilité ou de cessation de paie</w:t>
      </w:r>
      <w:r w:rsidR="00D767F3" w:rsidRPr="00E72418">
        <w:t>ments avérée ou imminente de l’</w:t>
      </w:r>
      <w:r w:rsidR="00D767F3" w:rsidRPr="00E72418">
        <w:rPr>
          <w:lang w:eastAsia="fr-BE"/>
        </w:rPr>
        <w:t>É</w:t>
      </w:r>
      <w:r w:rsidR="005F6F52" w:rsidRPr="00E72418">
        <w:t>tat débiteur au moment du racha</w:t>
      </w:r>
      <w:r w:rsidR="002332F1" w:rsidRPr="00E72418">
        <w:t>t de l’</w:t>
      </w:r>
      <w:r w:rsidR="005F6F52" w:rsidRPr="00E72418">
        <w:t>emprunt ou de la créance</w:t>
      </w:r>
      <w:r w:rsidR="004748BE" w:rsidRPr="00E72418">
        <w:t xml:space="preserve"> par le créancier poursuivant</w:t>
      </w:r>
      <w:r w:rsidR="005F6F52" w:rsidRPr="00E72418">
        <w:t xml:space="preserve">. </w:t>
      </w:r>
      <w:r w:rsidR="005B5850" w:rsidRPr="00E72418">
        <w:t xml:space="preserve">De l’avis </w:t>
      </w:r>
      <w:r w:rsidR="005F6F52" w:rsidRPr="00E72418">
        <w:t>des parlementaires ayant déposé la proposition de loi, ce critère est révélateur du caractère malsain de l’opération</w:t>
      </w:r>
      <w:r w:rsidR="005B5850" w:rsidRPr="00E72418">
        <w:t xml:space="preserve"> de rachat</w:t>
      </w:r>
      <w:r w:rsidR="005F6F52" w:rsidRPr="00E72418">
        <w:t>. Ils retiennent que, sauf à spéculer sur la faiblesse du débiteur ou sur des artifices procéduraux pour obtenir gain de cause, « on n’achète, en effet, pas de créance sur un insolvable »</w:t>
      </w:r>
      <w:r w:rsidR="005F6F52" w:rsidRPr="00E72418">
        <w:rPr>
          <w:rStyle w:val="Appelnotedebasdep"/>
          <w:rFonts w:cs="Times New Roman"/>
          <w:bCs/>
          <w:szCs w:val="24"/>
        </w:rPr>
        <w:footnoteReference w:id="1706"/>
      </w:r>
      <w:r w:rsidR="005F6F52" w:rsidRPr="00E72418">
        <w:t>.</w:t>
      </w:r>
    </w:p>
    <w:p w14:paraId="1E917323" w14:textId="793D48BB" w:rsidR="005F6F52" w:rsidRPr="00E72418" w:rsidRDefault="005F6F52" w:rsidP="00CC4BA8">
      <w:pPr>
        <w:spacing w:line="276" w:lineRule="auto"/>
      </w:pPr>
      <w:r w:rsidRPr="00E72418">
        <w:t xml:space="preserve">Une critique importante pouvant être </w:t>
      </w:r>
      <w:r w:rsidR="005B5850" w:rsidRPr="00E72418">
        <w:t>formulée à l’encontre de ce</w:t>
      </w:r>
      <w:r w:rsidRPr="00E72418">
        <w:t xml:space="preserve"> critère est celle de son c</w:t>
      </w:r>
      <w:r w:rsidR="004748BE" w:rsidRPr="00E72418">
        <w:t>aractère alternatif. D</w:t>
      </w:r>
      <w:r w:rsidRPr="00E72418">
        <w:t xml:space="preserve">ans un souci de bon fonctionnement des marchés des capitaux, il eût fallu faire de la postérité du rachat à la </w:t>
      </w:r>
      <w:r w:rsidR="00D767F3" w:rsidRPr="00E72418">
        <w:t xml:space="preserve">situation de « faillite » d’un </w:t>
      </w:r>
      <w:r w:rsidR="00D767F3" w:rsidRPr="00E72418">
        <w:rPr>
          <w:lang w:eastAsia="fr-BE"/>
        </w:rPr>
        <w:t>É</w:t>
      </w:r>
      <w:r w:rsidRPr="00E72418">
        <w:t xml:space="preserve">tat un critère non pas alternatif mais bien impératif. </w:t>
      </w:r>
      <w:r w:rsidR="005B5850" w:rsidRPr="00E72418">
        <w:t>En l’état de la législation</w:t>
      </w:r>
      <w:r w:rsidR="004748BE" w:rsidRPr="00E72418">
        <w:t xml:space="preserve"> où le critère n’est pas absolument requis</w:t>
      </w:r>
      <w:r w:rsidR="005B5850" w:rsidRPr="00E72418">
        <w:t>, il se peut que d</w:t>
      </w:r>
      <w:r w:rsidRPr="00E72418">
        <w:t>es créancier</w:t>
      </w:r>
      <w:r w:rsidR="004748BE" w:rsidRPr="00E72418">
        <w:t>s ayant fait l’acquisition d’un</w:t>
      </w:r>
      <w:r w:rsidRPr="00E72418">
        <w:t xml:space="preserve"> </w:t>
      </w:r>
      <w:r w:rsidR="004748BE" w:rsidRPr="00E72418">
        <w:t>titre</w:t>
      </w:r>
      <w:r w:rsidRPr="00E72418">
        <w:t xml:space="preserve"> avant ladite faillite </w:t>
      </w:r>
      <w:r w:rsidR="005B5850" w:rsidRPr="00E72418">
        <w:t>se voient</w:t>
      </w:r>
      <w:r w:rsidRPr="00E72418">
        <w:t xml:space="preserve"> appliquer </w:t>
      </w:r>
      <w:r w:rsidRPr="00E72418">
        <w:lastRenderedPageBreak/>
        <w:t>le mécanisme mis en place.</w:t>
      </w:r>
      <w:r w:rsidR="005B5850" w:rsidRPr="00E72418">
        <w:t xml:space="preserve"> </w:t>
      </w:r>
      <w:r w:rsidRPr="00E72418">
        <w:t xml:space="preserve">Cette situation est de nature à avoir une influence </w:t>
      </w:r>
      <w:r w:rsidR="00860BF0" w:rsidRPr="00E72418">
        <w:t xml:space="preserve">négative </w:t>
      </w:r>
      <w:r w:rsidRPr="00E72418">
        <w:t xml:space="preserve">sur la liquidité du marché secondaire. </w:t>
      </w:r>
      <w:r w:rsidR="00860BF0" w:rsidRPr="00E72418">
        <w:t>En effet, d</w:t>
      </w:r>
      <w:r w:rsidRPr="00E72418">
        <w:t xml:space="preserve">ès lors qu’un risque existe que le montant </w:t>
      </w:r>
      <w:r w:rsidR="00860BF0" w:rsidRPr="00E72418">
        <w:t>d’une</w:t>
      </w:r>
      <w:r w:rsidRPr="00E72418">
        <w:t xml:space="preserve"> prétention </w:t>
      </w:r>
      <w:r w:rsidR="00860BF0" w:rsidRPr="00E72418">
        <w:t>soit</w:t>
      </w:r>
      <w:r w:rsidRPr="00E72418">
        <w:t xml:space="preserve"> limité alors </w:t>
      </w:r>
      <w:r w:rsidR="00860BF0" w:rsidRPr="00E72418">
        <w:t>même qu’au mo</w:t>
      </w:r>
      <w:r w:rsidR="00D767F3" w:rsidRPr="00E72418">
        <w:t xml:space="preserve">ment du rachat </w:t>
      </w:r>
      <w:r w:rsidR="00321A09" w:rsidRPr="00E72418">
        <w:t xml:space="preserve">du titre fondant celle-ci </w:t>
      </w:r>
      <w:r w:rsidR="00D767F3" w:rsidRPr="00E72418">
        <w:t>l’</w:t>
      </w:r>
      <w:r w:rsidR="00D767F3" w:rsidRPr="00E72418">
        <w:rPr>
          <w:lang w:eastAsia="fr-BE"/>
        </w:rPr>
        <w:t>É</w:t>
      </w:r>
      <w:r w:rsidR="00860BF0" w:rsidRPr="00E72418">
        <w:t xml:space="preserve">tat débiteur </w:t>
      </w:r>
      <w:r w:rsidRPr="00E72418">
        <w:t xml:space="preserve">n’est pas « en état de faillite », </w:t>
      </w:r>
      <w:r w:rsidR="00860BF0" w:rsidRPr="00E72418">
        <w:t>l</w:t>
      </w:r>
      <w:r w:rsidR="005B5850" w:rsidRPr="00E72418">
        <w:t>es investisseurs</w:t>
      </w:r>
      <w:r w:rsidR="00321A09" w:rsidRPr="00E72418">
        <w:t xml:space="preserve"> s’en trouveront découragés</w:t>
      </w:r>
      <w:r w:rsidRPr="00E72418">
        <w:rPr>
          <w:rStyle w:val="Appelnotedebasdep"/>
          <w:szCs w:val="24"/>
        </w:rPr>
        <w:footnoteReference w:id="1707"/>
      </w:r>
      <w:r w:rsidR="001A115C" w:rsidRPr="00E72418">
        <w:t>.</w:t>
      </w:r>
    </w:p>
    <w:p w14:paraId="4CFABDB0" w14:textId="7475FCD4" w:rsidR="005F6F52" w:rsidRPr="00E72418" w:rsidRDefault="00321A09" w:rsidP="00CC4BA8">
      <w:pPr>
        <w:spacing w:line="276" w:lineRule="auto"/>
      </w:pPr>
      <w:r w:rsidRPr="00E72418">
        <w:t>À</w:t>
      </w:r>
      <w:r w:rsidR="005F6F52" w:rsidRPr="00E72418">
        <w:t xml:space="preserve"> notre estime, rendre le critère </w:t>
      </w:r>
      <w:r w:rsidRPr="00E72418">
        <w:t xml:space="preserve">de l’état d’insolvabilité ou de cessation de paiements avérée ou imminente </w:t>
      </w:r>
      <w:r w:rsidR="005F6F52" w:rsidRPr="00E72418">
        <w:t xml:space="preserve">impératif ne </w:t>
      </w:r>
      <w:r w:rsidR="000100DC" w:rsidRPr="00E72418">
        <w:t xml:space="preserve">suffirait </w:t>
      </w:r>
      <w:r w:rsidR="005F6F52" w:rsidRPr="00E72418">
        <w:t xml:space="preserve">pas. Le fait de faire dépendre l’application du mécanisme mis en place d’un état de cessation de paiements « imminente », la loi ne s’appliquant qu’aux </w:t>
      </w:r>
      <w:r w:rsidR="00860BF0" w:rsidRPr="00E72418">
        <w:t>r</w:t>
      </w:r>
      <w:r w:rsidR="005F6F52" w:rsidRPr="00E72418">
        <w:t>achats effectués postérieurement à ce moment, est également de nature à dissuader les investisseurs d’acheter des cré</w:t>
      </w:r>
      <w:r w:rsidR="00860BF0" w:rsidRPr="00E72418">
        <w:t xml:space="preserve">ances sur le marché secondaire. </w:t>
      </w:r>
      <w:r w:rsidRPr="00E72418">
        <w:t>Un important aléa existe en effet à l’endroit de l’</w:t>
      </w:r>
      <w:r w:rsidR="005F6F52" w:rsidRPr="00E72418">
        <w:t>appréciation par un juge d’une notion d’imminence difficilement prévisible</w:t>
      </w:r>
      <w:r w:rsidR="005F6F52" w:rsidRPr="00E72418">
        <w:rPr>
          <w:rStyle w:val="Appelnotedebasdep"/>
        </w:rPr>
        <w:footnoteReference w:id="1708"/>
      </w:r>
      <w:r w:rsidR="005F6F52" w:rsidRPr="00E72418">
        <w:t>.</w:t>
      </w:r>
    </w:p>
    <w:p w14:paraId="4A4BD6B6" w14:textId="77777777" w:rsidR="005F6F52" w:rsidRPr="00E72418" w:rsidRDefault="005F6F52" w:rsidP="00CC4BA8">
      <w:pPr>
        <w:spacing w:line="276" w:lineRule="auto"/>
      </w:pPr>
    </w:p>
    <w:p w14:paraId="5A78F2C9" w14:textId="6DC90521" w:rsidR="005F6F52" w:rsidRPr="00E72418" w:rsidRDefault="004469AC" w:rsidP="00CC4BA8">
      <w:pPr>
        <w:spacing w:line="276" w:lineRule="auto"/>
      </w:pPr>
      <w:r w:rsidRPr="00E72418">
        <w:rPr>
          <w:b/>
        </w:rPr>
        <w:t>343</w:t>
      </w:r>
      <w:r w:rsidR="00817D62" w:rsidRPr="00E72418">
        <w:rPr>
          <w:b/>
        </w:rPr>
        <w:t xml:space="preserve">. </w:t>
      </w:r>
      <w:r w:rsidR="00DA38E4" w:rsidRPr="00E72418">
        <w:rPr>
          <w:b/>
        </w:rPr>
        <w:t>Le siège du créancier –</w:t>
      </w:r>
      <w:r w:rsidR="005F6F52" w:rsidRPr="00E72418">
        <w:t xml:space="preserve"> Le siège du créancier dans un paradis fiscal ou bancaire est un autre critère permettant, s’il est rencontré concomitamment à la présence d’une disproportion manifeste, de conclure à l’existence d’un avantage illégitime. Ce critère a été retenu dans la mesure où il ressort de la pratique que les fonds </w:t>
      </w:r>
      <w:r w:rsidR="00B41CCF" w:rsidRPr="00E72418">
        <w:t>spéculant</w:t>
      </w:r>
      <w:r w:rsidR="00B74844" w:rsidRPr="00E72418">
        <w:t xml:space="preserve"> sur les dettes souveraines</w:t>
      </w:r>
      <w:r w:rsidR="005F6F52" w:rsidRPr="00E72418">
        <w:t xml:space="preserve"> ont </w:t>
      </w:r>
      <w:r w:rsidR="00FB0D7A">
        <w:t>souvent</w:t>
      </w:r>
      <w:r w:rsidR="005F6F52" w:rsidRPr="00E72418">
        <w:t xml:space="preserve"> leur siège dans de tels </w:t>
      </w:r>
      <w:r w:rsidR="00B74844" w:rsidRPr="00E72418">
        <w:t>endroits</w:t>
      </w:r>
      <w:r w:rsidR="005F6F52" w:rsidRPr="00E72418">
        <w:t>, ce qui contribue à l’opacité de leurs activités</w:t>
      </w:r>
      <w:r w:rsidR="005F6F52" w:rsidRPr="00E72418">
        <w:rPr>
          <w:rStyle w:val="Appelnotedebasdep"/>
        </w:rPr>
        <w:footnoteReference w:id="1709"/>
      </w:r>
      <w:r w:rsidR="001A115C" w:rsidRPr="00E72418">
        <w:rPr>
          <w:vertAlign w:val="superscript"/>
        </w:rPr>
        <w:t>,</w:t>
      </w:r>
      <w:r w:rsidR="002E57E0" w:rsidRPr="00E72418">
        <w:rPr>
          <w:rStyle w:val="Appelnotedebasdep"/>
        </w:rPr>
        <w:footnoteReference w:id="1710"/>
      </w:r>
      <w:r w:rsidR="005F6F52" w:rsidRPr="00E72418">
        <w:t>.</w:t>
      </w:r>
    </w:p>
    <w:p w14:paraId="6D06EDB9" w14:textId="42F7168C" w:rsidR="005F6F52" w:rsidRPr="00E72418" w:rsidRDefault="005F6F52" w:rsidP="00CC4BA8">
      <w:pPr>
        <w:spacing w:line="276" w:lineRule="auto"/>
      </w:pPr>
      <w:r w:rsidRPr="00E72418">
        <w:t>Le critère du siège du créancier, s’il se comprend par la casuistique, nous paraît juridiquement difficile</w:t>
      </w:r>
      <w:r w:rsidR="00EA73B2" w:rsidRPr="00E72418">
        <w:t>ment</w:t>
      </w:r>
      <w:r w:rsidRPr="00E72418">
        <w:t xml:space="preserve"> admissible</w:t>
      </w:r>
      <w:r w:rsidRPr="00E72418">
        <w:rPr>
          <w:rStyle w:val="Appelnotedebasdep"/>
        </w:rPr>
        <w:footnoteReference w:id="1711"/>
      </w:r>
      <w:r w:rsidR="00656902" w:rsidRPr="00E72418">
        <w:rPr>
          <w:vertAlign w:val="superscript"/>
        </w:rPr>
        <w:t>,</w:t>
      </w:r>
      <w:r w:rsidR="00656902" w:rsidRPr="00E72418">
        <w:rPr>
          <w:rStyle w:val="Appelnotedebasdep"/>
        </w:rPr>
        <w:footnoteReference w:id="1712"/>
      </w:r>
      <w:r w:rsidRPr="00E72418">
        <w:t xml:space="preserve">. En effet, l’on peut se demander comment une action </w:t>
      </w:r>
      <w:r w:rsidRPr="00E72418">
        <w:lastRenderedPageBreak/>
        <w:t xml:space="preserve">deviendrait illégitime </w:t>
      </w:r>
      <w:r w:rsidR="00EA73B2" w:rsidRPr="00E72418">
        <w:t>en raison</w:t>
      </w:r>
      <w:r w:rsidR="000100DC" w:rsidRPr="00E72418">
        <w:t>, pour partie,</w:t>
      </w:r>
      <w:r w:rsidR="00EA73B2" w:rsidRPr="00E72418">
        <w:t xml:space="preserve"> de l’enregistrement de </w:t>
      </w:r>
      <w:r w:rsidRPr="00E72418">
        <w:t>son instigateur à un endroit particulier alors que cet endroit n’emporte aucune conséquence sur l’action menée</w:t>
      </w:r>
      <w:r w:rsidRPr="00E72418">
        <w:rPr>
          <w:rStyle w:val="Appelnotedebasdep"/>
        </w:rPr>
        <w:footnoteReference w:id="1713"/>
      </w:r>
      <w:r w:rsidRPr="00E72418">
        <w:t>.</w:t>
      </w:r>
    </w:p>
    <w:p w14:paraId="3DDAB0D8" w14:textId="77777777" w:rsidR="005F6F52" w:rsidRPr="00E72418" w:rsidRDefault="005F6F52" w:rsidP="00CC4BA8">
      <w:pPr>
        <w:spacing w:line="276" w:lineRule="auto"/>
      </w:pPr>
    </w:p>
    <w:p w14:paraId="09BF11D5" w14:textId="090C41BC" w:rsidR="0046245D" w:rsidRPr="00E72418" w:rsidRDefault="004469AC" w:rsidP="00CC4BA8">
      <w:pPr>
        <w:spacing w:line="276" w:lineRule="auto"/>
      </w:pPr>
      <w:r w:rsidRPr="00E72418">
        <w:rPr>
          <w:b/>
        </w:rPr>
        <w:t>344</w:t>
      </w:r>
      <w:r w:rsidR="00817D62" w:rsidRPr="00E72418">
        <w:rPr>
          <w:b/>
        </w:rPr>
        <w:t xml:space="preserve">. </w:t>
      </w:r>
      <w:r w:rsidR="005F6F52" w:rsidRPr="00E72418">
        <w:rPr>
          <w:b/>
        </w:rPr>
        <w:t>L’usage systémat</w:t>
      </w:r>
      <w:r w:rsidR="00DA38E4" w:rsidRPr="00E72418">
        <w:rPr>
          <w:b/>
        </w:rPr>
        <w:t>ique de procédures judiciaires –</w:t>
      </w:r>
      <w:r w:rsidR="005F6F52" w:rsidRPr="00E72418">
        <w:t xml:space="preserve"> Selon le législateur belge, l’usage systématique par </w:t>
      </w:r>
      <w:r w:rsidR="00684030" w:rsidRPr="00E72418">
        <w:t>un</w:t>
      </w:r>
      <w:r w:rsidR="005F6F52" w:rsidRPr="00E72418">
        <w:t xml:space="preserve"> créancier de procédures judiciaires pour obtenir le remboursement de </w:t>
      </w:r>
      <w:r w:rsidR="002332F1" w:rsidRPr="00E72418">
        <w:t>l’</w:t>
      </w:r>
      <w:r w:rsidR="005F6F52" w:rsidRPr="00E72418">
        <w:t>emprunt ou des emprunts qu’il a déjà précédemment rachetés est également un critère permettant de conclure à l’exis</w:t>
      </w:r>
      <w:r w:rsidR="009232C4" w:rsidRPr="00E72418">
        <w:t>tence d’un avantage illégitime.</w:t>
      </w:r>
      <w:r w:rsidR="001977AD" w:rsidRPr="00E72418">
        <w:t xml:space="preserve"> La formulation du critère </w:t>
      </w:r>
      <w:r w:rsidR="00FB0D7A">
        <w:t xml:space="preserve">visé </w:t>
      </w:r>
      <w:r w:rsidR="00FB0D7A" w:rsidRPr="00E72418">
        <w:t>à l’article 2, alinéa 4, 3</w:t>
      </w:r>
      <w:r w:rsidR="00FB0D7A" w:rsidRPr="00E72418">
        <w:rPr>
          <w:vertAlign w:val="superscript"/>
        </w:rPr>
        <w:t>e</w:t>
      </w:r>
      <w:r w:rsidR="00FB0D7A" w:rsidRPr="00E72418">
        <w:t xml:space="preserve"> tiret, de la loi </w:t>
      </w:r>
      <w:r w:rsidR="001977AD" w:rsidRPr="00E72418">
        <w:t>permet de retenir qu’il peut s’agir de procédures judiciaires introduites contre l’</w:t>
      </w:r>
      <w:r w:rsidR="001977AD" w:rsidRPr="00E72418">
        <w:rPr>
          <w:lang w:eastAsia="fr-BE"/>
        </w:rPr>
        <w:t>É</w:t>
      </w:r>
      <w:r w:rsidR="001977AD" w:rsidRPr="00E72418">
        <w:t xml:space="preserve">tat débiteur concerné mais aussi contre d’autres </w:t>
      </w:r>
      <w:r w:rsidR="001977AD" w:rsidRPr="00E72418">
        <w:rPr>
          <w:lang w:eastAsia="fr-BE"/>
        </w:rPr>
        <w:t>É</w:t>
      </w:r>
      <w:r w:rsidR="001977AD" w:rsidRPr="00E72418">
        <w:t>tats</w:t>
      </w:r>
      <w:r w:rsidR="001977AD" w:rsidRPr="00E72418">
        <w:rPr>
          <w:rStyle w:val="Appelnotedebasdep"/>
          <w:rFonts w:cs="Times New Roman"/>
          <w:bCs/>
          <w:szCs w:val="24"/>
        </w:rPr>
        <w:footnoteReference w:id="1714"/>
      </w:r>
      <w:r w:rsidR="001977AD" w:rsidRPr="00E72418">
        <w:t>.</w:t>
      </w:r>
    </w:p>
    <w:p w14:paraId="021BD72C" w14:textId="5A133496" w:rsidR="005F6F52" w:rsidRPr="00E72418" w:rsidRDefault="0046245D" w:rsidP="00CC4BA8">
      <w:pPr>
        <w:spacing w:line="276" w:lineRule="auto"/>
      </w:pPr>
      <w:r w:rsidRPr="00E72418">
        <w:t>Ce critère</w:t>
      </w:r>
      <w:r w:rsidR="001977AD" w:rsidRPr="00E72418">
        <w:t>, quoi</w:t>
      </w:r>
      <w:r w:rsidR="00F11D0B" w:rsidRPr="00E72418">
        <w:t>qu’</w:t>
      </w:r>
      <w:r w:rsidR="005F6F52" w:rsidRPr="00E72418">
        <w:t xml:space="preserve">en lien avec la dénomination de « créanciers procéduriers » qui est souvent donnée aux fonds spéculatifs </w:t>
      </w:r>
      <w:r w:rsidR="00F11D0B" w:rsidRPr="00E72418">
        <w:t>que le législateur belge cherche à combattre, pourrait ne pas être rencontré</w:t>
      </w:r>
      <w:r w:rsidR="001977AD" w:rsidRPr="00E72418">
        <w:t xml:space="preserve"> </w:t>
      </w:r>
      <w:r w:rsidR="00FF6A0A" w:rsidRPr="00E72418">
        <w:t>puisqu’</w:t>
      </w:r>
      <w:r w:rsidR="001977AD" w:rsidRPr="00E72418">
        <w:t>il est alternatif</w:t>
      </w:r>
      <w:r w:rsidR="00F11D0B" w:rsidRPr="00E72418">
        <w:t>. Ainsi, il n’est pas impossible qu’un créancier s’étant limité à engager une unique procédure, sans multiplier les passes d’armes, voit ses droits réduits en application de la loi du 12 juillet 2015</w:t>
      </w:r>
      <w:r w:rsidR="00F11D0B" w:rsidRPr="00E72418">
        <w:rPr>
          <w:rStyle w:val="Appelnotedebasdep"/>
          <w:rFonts w:cs="Times New Roman"/>
          <w:bCs/>
          <w:szCs w:val="24"/>
        </w:rPr>
        <w:footnoteReference w:id="1715"/>
      </w:r>
      <w:r w:rsidR="00F11D0B" w:rsidRPr="00E72418">
        <w:t>.</w:t>
      </w:r>
      <w:r w:rsidR="009232C4" w:rsidRPr="00E72418">
        <w:t xml:space="preserve"> </w:t>
      </w:r>
    </w:p>
    <w:p w14:paraId="011A6EB5" w14:textId="09CA8426" w:rsidR="005F6F52" w:rsidRPr="00E72418" w:rsidRDefault="005F6F52" w:rsidP="00CC4BA8">
      <w:pPr>
        <w:spacing w:line="276" w:lineRule="auto"/>
      </w:pPr>
      <w:r w:rsidRPr="00E72418">
        <w:t>Là où la Banqu</w:t>
      </w:r>
      <w:r w:rsidR="00F11D0B" w:rsidRPr="00E72418">
        <w:t>e nationale de Belgique critiquait</w:t>
      </w:r>
      <w:r w:rsidRPr="00E72418">
        <w:t xml:space="preserve"> le critère en raison du fait que l’usage systématique de procédures judiciaires par un créancier pour obtenir le remboursement de sa créance est un droit qui lui appartient</w:t>
      </w:r>
      <w:r w:rsidRPr="00E72418">
        <w:rPr>
          <w:rStyle w:val="Appelnotedebasdep"/>
          <w:rFonts w:cs="Times New Roman"/>
          <w:bCs/>
          <w:szCs w:val="24"/>
        </w:rPr>
        <w:footnoteReference w:id="1716"/>
      </w:r>
      <w:r w:rsidRPr="00E72418">
        <w:t>, à notre sens, la critique essentielle réside dans l’imprécision du terme « systém</w:t>
      </w:r>
      <w:r w:rsidR="000B4E6A" w:rsidRPr="00E72418">
        <w:t>atique ».</w:t>
      </w:r>
      <w:r w:rsidR="000100DC" w:rsidRPr="00E72418">
        <w:t xml:space="preserve"> L’on sait en effet que les fonds spéculatifs</w:t>
      </w:r>
      <w:r w:rsidR="00C04077" w:rsidRPr="00E72418">
        <w:t xml:space="preserve"> combattus par le législateur belge</w:t>
      </w:r>
      <w:r w:rsidR="000100DC" w:rsidRPr="00E72418">
        <w:t xml:space="preserve">, s’ils font certes un usage fréquent des procédures judiciaires pour tenter </w:t>
      </w:r>
      <w:r w:rsidR="000100DC" w:rsidRPr="00E72418">
        <w:lastRenderedPageBreak/>
        <w:t>de parvenir à leurs fins, mobilisent également d’autres ressources pour faire pression sur leurs débiteurs</w:t>
      </w:r>
      <w:r w:rsidR="00C04077" w:rsidRPr="00E72418">
        <w:rPr>
          <w:rStyle w:val="Appelnotedebasdep"/>
        </w:rPr>
        <w:footnoteReference w:id="1717"/>
      </w:r>
      <w:r w:rsidR="000100DC" w:rsidRPr="00E72418">
        <w:t>.</w:t>
      </w:r>
    </w:p>
    <w:p w14:paraId="6E15C050" w14:textId="77777777" w:rsidR="005F6F52" w:rsidRPr="00E72418" w:rsidRDefault="005F6F52" w:rsidP="00CC4BA8">
      <w:pPr>
        <w:spacing w:line="276" w:lineRule="auto"/>
      </w:pPr>
    </w:p>
    <w:p w14:paraId="537FB47E" w14:textId="7BF52F74" w:rsidR="005F6F52" w:rsidRPr="00E72418" w:rsidRDefault="004469AC" w:rsidP="00CC4BA8">
      <w:pPr>
        <w:spacing w:line="276" w:lineRule="auto"/>
      </w:pPr>
      <w:r w:rsidRPr="00E72418">
        <w:rPr>
          <w:b/>
        </w:rPr>
        <w:t>345</w:t>
      </w:r>
      <w:r w:rsidR="00817D62" w:rsidRPr="00E72418">
        <w:rPr>
          <w:b/>
        </w:rPr>
        <w:t xml:space="preserve">. </w:t>
      </w:r>
      <w:r w:rsidR="005F6F52" w:rsidRPr="00E72418">
        <w:rPr>
          <w:b/>
        </w:rPr>
        <w:t xml:space="preserve">Le refus de participation </w:t>
      </w:r>
      <w:r w:rsidR="00DA38E4" w:rsidRPr="00E72418">
        <w:rPr>
          <w:b/>
        </w:rPr>
        <w:t>aux mesures de restructuration –</w:t>
      </w:r>
      <w:r w:rsidR="005F6F52" w:rsidRPr="00E72418">
        <w:t xml:space="preserve"> Le quatrième critère énoncé à l’article 2, alinéa 4, de la loi du 12 juillet 2015 est celui du refus de participation du créancier aux mesures de restructuration de la dette dont a fait l’objet l’</w:t>
      </w:r>
      <w:r w:rsidR="003E382B" w:rsidRPr="00E72418">
        <w:rPr>
          <w:lang w:eastAsia="fr-BE"/>
        </w:rPr>
        <w:t>É</w:t>
      </w:r>
      <w:r w:rsidR="005F6F52" w:rsidRPr="00E72418">
        <w:t>tat débiteur. Sans que cela ne ressorte des travaux préparatoires de la loi, ce critère</w:t>
      </w:r>
      <w:r w:rsidR="00DE1B2A" w:rsidRPr="00E72418">
        <w:t xml:space="preserve"> </w:t>
      </w:r>
      <w:r w:rsidR="001D0C61" w:rsidRPr="00E72418">
        <w:t>s’explique par</w:t>
      </w:r>
      <w:r w:rsidR="00DE1B2A" w:rsidRPr="00E72418">
        <w:t xml:space="preserve"> l’inexistence d’une</w:t>
      </w:r>
      <w:r w:rsidR="005F6F52" w:rsidRPr="00E72418">
        <w:t xml:space="preserve"> procédure d’insolvabilité </w:t>
      </w:r>
      <w:r w:rsidR="00DE1B2A" w:rsidRPr="00E72418">
        <w:t>dont peuvent bénéficier les débiteurs souverains</w:t>
      </w:r>
      <w:r w:rsidR="001D0C61" w:rsidRPr="00E72418">
        <w:t>,</w:t>
      </w:r>
      <w:r w:rsidR="00DE1B2A" w:rsidRPr="00E72418">
        <w:t xml:space="preserve"> faisant de la solution négociée avec le</w:t>
      </w:r>
      <w:r w:rsidR="001D0C61" w:rsidRPr="00E72418">
        <w:t>ur</w:t>
      </w:r>
      <w:r w:rsidR="00DE1B2A" w:rsidRPr="00E72418">
        <w:t>s créanciers le seul espoir</w:t>
      </w:r>
      <w:r w:rsidR="001D0C61" w:rsidRPr="00E72418">
        <w:t xml:space="preserve"> de sortie des difficultés</w:t>
      </w:r>
      <w:r w:rsidR="00DE1B2A" w:rsidRPr="00E72418">
        <w:rPr>
          <w:rStyle w:val="Appelnotedebasdep"/>
        </w:rPr>
        <w:footnoteReference w:id="1718"/>
      </w:r>
      <w:r w:rsidR="005F6F52" w:rsidRPr="00E72418">
        <w:t xml:space="preserve">. </w:t>
      </w:r>
    </w:p>
    <w:p w14:paraId="653C211C" w14:textId="1BDD2D9D" w:rsidR="005F6F52" w:rsidRPr="00E72418" w:rsidRDefault="00DE1B2A" w:rsidP="00CC4BA8">
      <w:pPr>
        <w:spacing w:line="276" w:lineRule="auto"/>
      </w:pPr>
      <w:r w:rsidRPr="00E72418">
        <w:t xml:space="preserve">Là où la Banque nationale de Belgique est critique à l’égard du critère en ce que le refus de participation </w:t>
      </w:r>
      <w:r w:rsidR="001D0C61" w:rsidRPr="00E72418">
        <w:t xml:space="preserve">à des mesures de restructuration </w:t>
      </w:r>
      <w:r w:rsidRPr="00E72418">
        <w:t>est un droit du créancier qui lui est propre</w:t>
      </w:r>
      <w:r w:rsidRPr="00E72418">
        <w:rPr>
          <w:rStyle w:val="Appelnotedebasdep"/>
        </w:rPr>
        <w:footnoteReference w:id="1719"/>
      </w:r>
      <w:r w:rsidRPr="00E72418">
        <w:t xml:space="preserve">, </w:t>
      </w:r>
      <w:r w:rsidR="000B4E6A" w:rsidRPr="00E72418">
        <w:t xml:space="preserve">à notre estime, c’est son affûtage qui est insatisfaisant en ce qu’il ne tient pas compte des possibles situations de défaut opportuniste. Ainsi, </w:t>
      </w:r>
      <w:r w:rsidR="003E382B" w:rsidRPr="00E72418">
        <w:t>l’</w:t>
      </w:r>
      <w:r w:rsidR="003E382B" w:rsidRPr="00E72418">
        <w:rPr>
          <w:lang w:eastAsia="fr-BE"/>
        </w:rPr>
        <w:t>É</w:t>
      </w:r>
      <w:r w:rsidR="005F6F52" w:rsidRPr="00E72418">
        <w:t xml:space="preserve">tat débiteur pourrait </w:t>
      </w:r>
      <w:r w:rsidR="000B4E6A" w:rsidRPr="00E72418">
        <w:t>avoir proposé</w:t>
      </w:r>
      <w:r w:rsidR="005F6F52" w:rsidRPr="00E72418">
        <w:t xml:space="preserve"> des termes de restructuration totalement déraiso</w:t>
      </w:r>
      <w:r w:rsidR="000B4E6A" w:rsidRPr="00E72418">
        <w:t xml:space="preserve">nnables </w:t>
      </w:r>
      <w:r w:rsidR="005F6F52" w:rsidRPr="00E72418">
        <w:t xml:space="preserve">pour ensuite tirer parti du refus </w:t>
      </w:r>
      <w:r w:rsidR="000B4E6A" w:rsidRPr="00E72418">
        <w:t>de participation du créancier</w:t>
      </w:r>
      <w:r w:rsidR="005F6F52" w:rsidRPr="00E72418">
        <w:rPr>
          <w:rStyle w:val="Appelnotedebasdep"/>
          <w:rFonts w:cs="Times New Roman"/>
          <w:bCs/>
          <w:szCs w:val="24"/>
        </w:rPr>
        <w:footnoteReference w:id="1720"/>
      </w:r>
      <w:r w:rsidR="005F6F52" w:rsidRPr="00E72418">
        <w:t>. L’on peut ainsi se demander dans quelle mesure le juge amené à appliquer la loi belge serait à même d’évaluer le</w:t>
      </w:r>
      <w:r w:rsidR="00693074" w:rsidRPr="00E72418">
        <w:t>s termes d’une restructuration.</w:t>
      </w:r>
    </w:p>
    <w:p w14:paraId="4ECF191F" w14:textId="77777777" w:rsidR="005F6F52" w:rsidRPr="00E72418" w:rsidRDefault="005F6F52" w:rsidP="00CC4BA8">
      <w:pPr>
        <w:spacing w:line="276" w:lineRule="auto"/>
      </w:pPr>
    </w:p>
    <w:p w14:paraId="7A038DF4" w14:textId="01F53EB9" w:rsidR="005F6F52" w:rsidRPr="00E72418" w:rsidRDefault="004469AC" w:rsidP="00CC4BA8">
      <w:pPr>
        <w:spacing w:line="276" w:lineRule="auto"/>
      </w:pPr>
      <w:r w:rsidRPr="00E72418">
        <w:rPr>
          <w:b/>
        </w:rPr>
        <w:t>346</w:t>
      </w:r>
      <w:r w:rsidR="00817D62" w:rsidRPr="00E72418">
        <w:rPr>
          <w:b/>
        </w:rPr>
        <w:t xml:space="preserve">. </w:t>
      </w:r>
      <w:r w:rsidR="00DA38E4" w:rsidRPr="00E72418">
        <w:rPr>
          <w:b/>
        </w:rPr>
        <w:t>L’abus de faiblesse –</w:t>
      </w:r>
      <w:r w:rsidR="005F6F52" w:rsidRPr="00E72418">
        <w:t xml:space="preserve"> Au rang des critères </w:t>
      </w:r>
      <w:r w:rsidR="001D0C61" w:rsidRPr="00E72418">
        <w:t>retenus</w:t>
      </w:r>
      <w:r w:rsidR="005F6F52" w:rsidRPr="00E72418">
        <w:t xml:space="preserve"> par le législateur belge pour conclure à l’existence d’un avantage illégitime, l’on retrouve l’abus par le créancier de</w:t>
      </w:r>
      <w:r w:rsidR="00AD5421" w:rsidRPr="00E72418">
        <w:t xml:space="preserve"> la situation de faiblesse de l’</w:t>
      </w:r>
      <w:r w:rsidR="0038426E" w:rsidRPr="00E72418">
        <w:rPr>
          <w:lang w:eastAsia="fr-BE"/>
        </w:rPr>
        <w:t>É</w:t>
      </w:r>
      <w:r w:rsidR="005F6F52" w:rsidRPr="00E72418">
        <w:t>tat débiteur pour négocier un accord de rembourseme</w:t>
      </w:r>
      <w:r w:rsidR="00A304EA" w:rsidRPr="00E72418">
        <w:t xml:space="preserve">nt manifestement déséquilibré. </w:t>
      </w:r>
      <w:r w:rsidR="005F6F52" w:rsidRPr="00E72418">
        <w:t>Les parlementaires à l’origine de la proposition de loi</w:t>
      </w:r>
      <w:r w:rsidR="00A304EA" w:rsidRPr="00E72418">
        <w:t xml:space="preserve"> entendaie</w:t>
      </w:r>
      <w:r w:rsidR="005F6F52" w:rsidRPr="00E72418">
        <w:t>nt retenir co</w:t>
      </w:r>
      <w:r w:rsidR="00997FC9" w:rsidRPr="00E72418">
        <w:t>mme critère de qualification d’</w:t>
      </w:r>
      <w:r w:rsidR="00074247" w:rsidRPr="00E72418">
        <w:t xml:space="preserve"> </w:t>
      </w:r>
      <w:r w:rsidR="005F6F52" w:rsidRPr="00E72418">
        <w:t>« avantage illégitime », les avantages procéduraux ou contractuels obtenus par un créancier par l’usage de sa position de force</w:t>
      </w:r>
      <w:r w:rsidR="005F6F52" w:rsidRPr="00E72418">
        <w:rPr>
          <w:rStyle w:val="Appelnotedebasdep"/>
          <w:rFonts w:cs="Times New Roman"/>
          <w:bCs/>
          <w:szCs w:val="24"/>
        </w:rPr>
        <w:footnoteReference w:id="1721"/>
      </w:r>
      <w:r w:rsidR="005F6F52" w:rsidRPr="00E72418">
        <w:t xml:space="preserve">. </w:t>
      </w:r>
    </w:p>
    <w:p w14:paraId="7569C5B8" w14:textId="77777777" w:rsidR="005F6F52" w:rsidRPr="00E72418" w:rsidRDefault="005F6F52" w:rsidP="00CC4BA8">
      <w:pPr>
        <w:spacing w:line="276" w:lineRule="auto"/>
      </w:pPr>
      <w:r w:rsidRPr="00E72418">
        <w:t xml:space="preserve">Le critère de l’abus de faiblesse s’apparente à celui retenu par le mécanisme de la lésion qualifiée traditionnellement </w:t>
      </w:r>
      <w:r w:rsidR="00AD5421" w:rsidRPr="00E72418">
        <w:t>retenue</w:t>
      </w:r>
      <w:r w:rsidRPr="00E72418">
        <w:t xml:space="preserve"> en droit civil lorsqu’il est abusé de la situation de faiblesse d’une partie</w:t>
      </w:r>
      <w:r w:rsidRPr="00E72418">
        <w:rPr>
          <w:rStyle w:val="Appelnotedebasdep"/>
          <w:rFonts w:cs="Times New Roman"/>
          <w:bCs/>
          <w:szCs w:val="24"/>
        </w:rPr>
        <w:footnoteReference w:id="1722"/>
      </w:r>
      <w:r w:rsidRPr="00E72418">
        <w:t xml:space="preserve">. </w:t>
      </w:r>
      <w:r w:rsidR="00CC3EE2" w:rsidRPr="00E72418">
        <w:t xml:space="preserve">L’on peut </w:t>
      </w:r>
      <w:r w:rsidR="001D0C61" w:rsidRPr="00E72418">
        <w:t xml:space="preserve">cependant </w:t>
      </w:r>
      <w:r w:rsidR="00AD5421" w:rsidRPr="00E72418">
        <w:t xml:space="preserve">s’interroger sur la difficile application du critère de l’abus </w:t>
      </w:r>
      <w:r w:rsidR="00AD5421" w:rsidRPr="00E72418">
        <w:lastRenderedPageBreak/>
        <w:t>de la situation de faiblesse du dé</w:t>
      </w:r>
      <w:r w:rsidR="0038426E" w:rsidRPr="00E72418">
        <w:t xml:space="preserve">biteur quand ce dernier est un </w:t>
      </w:r>
      <w:r w:rsidR="0038426E" w:rsidRPr="00E72418">
        <w:rPr>
          <w:lang w:eastAsia="fr-BE"/>
        </w:rPr>
        <w:t>É</w:t>
      </w:r>
      <w:r w:rsidR="00AD5421" w:rsidRPr="00E72418">
        <w:t>tat et sur le risque d’arbitraire qui découle de son application</w:t>
      </w:r>
      <w:r w:rsidR="00AD5421" w:rsidRPr="00E72418">
        <w:rPr>
          <w:rStyle w:val="Appelnotedebasdep"/>
          <w:rFonts w:cs="Times New Roman"/>
          <w:bCs/>
          <w:szCs w:val="24"/>
        </w:rPr>
        <w:footnoteReference w:id="1723"/>
      </w:r>
      <w:r w:rsidR="00AD5421" w:rsidRPr="00E72418">
        <w:t>.</w:t>
      </w:r>
    </w:p>
    <w:p w14:paraId="75D31C40" w14:textId="77777777" w:rsidR="005F6F52" w:rsidRPr="00E72418" w:rsidRDefault="005F6F52" w:rsidP="00CC4BA8">
      <w:pPr>
        <w:spacing w:line="276" w:lineRule="auto"/>
      </w:pPr>
    </w:p>
    <w:p w14:paraId="3EEFBF8E" w14:textId="7C82BDFB" w:rsidR="005F6F52" w:rsidRPr="00E72418" w:rsidRDefault="007F038F" w:rsidP="00CC4BA8">
      <w:pPr>
        <w:spacing w:line="276" w:lineRule="auto"/>
      </w:pPr>
      <w:r w:rsidRPr="00E72418">
        <w:rPr>
          <w:b/>
          <w:szCs w:val="24"/>
        </w:rPr>
        <w:t>34</w:t>
      </w:r>
      <w:r w:rsidR="004469AC" w:rsidRPr="00E72418">
        <w:rPr>
          <w:b/>
          <w:szCs w:val="24"/>
        </w:rPr>
        <w:t>7</w:t>
      </w:r>
      <w:r w:rsidR="00817D62" w:rsidRPr="00E72418">
        <w:rPr>
          <w:b/>
          <w:szCs w:val="24"/>
        </w:rPr>
        <w:t xml:space="preserve">. </w:t>
      </w:r>
      <w:r w:rsidR="005F6F52" w:rsidRPr="00E72418">
        <w:rPr>
          <w:b/>
          <w:szCs w:val="24"/>
        </w:rPr>
        <w:t>L’impac</w:t>
      </w:r>
      <w:r w:rsidR="00DA38E4" w:rsidRPr="00E72418">
        <w:rPr>
          <w:b/>
          <w:szCs w:val="24"/>
        </w:rPr>
        <w:t xml:space="preserve">t défavorable du remboursement </w:t>
      </w:r>
      <w:r w:rsidR="00DA38E4" w:rsidRPr="00E72418">
        <w:rPr>
          <w:b/>
        </w:rPr>
        <w:t>–</w:t>
      </w:r>
      <w:r w:rsidR="005F6F52" w:rsidRPr="00E72418">
        <w:rPr>
          <w:szCs w:val="24"/>
        </w:rPr>
        <w:t xml:space="preserve"> Le sixième et dernier critère </w:t>
      </w:r>
      <w:r w:rsidR="007A4F05" w:rsidRPr="00E72418">
        <w:rPr>
          <w:szCs w:val="24"/>
        </w:rPr>
        <w:t xml:space="preserve">complétif et </w:t>
      </w:r>
      <w:r w:rsidR="005F6F52" w:rsidRPr="00E72418">
        <w:rPr>
          <w:szCs w:val="24"/>
        </w:rPr>
        <w:t xml:space="preserve">alternatif retenu </w:t>
      </w:r>
      <w:r w:rsidR="00252042" w:rsidRPr="00E72418">
        <w:rPr>
          <w:szCs w:val="24"/>
        </w:rPr>
        <w:t>dans la loi belge de 2015</w:t>
      </w:r>
      <w:r w:rsidR="005F6F52" w:rsidRPr="00E72418">
        <w:rPr>
          <w:szCs w:val="24"/>
        </w:rPr>
        <w:t xml:space="preserve"> est celui de l’impact défavorable </w:t>
      </w:r>
      <w:r w:rsidR="0040291E" w:rsidRPr="00E72418">
        <w:rPr>
          <w:szCs w:val="24"/>
        </w:rPr>
        <w:t>sur les finances publiques de l’</w:t>
      </w:r>
      <w:r w:rsidR="003E382B" w:rsidRPr="00E72418">
        <w:rPr>
          <w:lang w:eastAsia="fr-BE"/>
        </w:rPr>
        <w:t>É</w:t>
      </w:r>
      <w:r w:rsidR="005F6F52" w:rsidRPr="00E72418">
        <w:rPr>
          <w:szCs w:val="24"/>
        </w:rPr>
        <w:t>tat débiteur qu’aurait le remboursement intégral des sommes réclamées par le créancier et le fait que ce remboursement serait susceptible de compromettre le développement socio-écon</w:t>
      </w:r>
      <w:r w:rsidR="003E382B" w:rsidRPr="00E72418">
        <w:rPr>
          <w:szCs w:val="24"/>
        </w:rPr>
        <w:t xml:space="preserve">omique de la population de cet </w:t>
      </w:r>
      <w:r w:rsidR="003E382B" w:rsidRPr="00E72418">
        <w:rPr>
          <w:lang w:eastAsia="fr-BE"/>
        </w:rPr>
        <w:t>É</w:t>
      </w:r>
      <w:r w:rsidR="005F6F52" w:rsidRPr="00E72418">
        <w:rPr>
          <w:szCs w:val="24"/>
        </w:rPr>
        <w:t>tat.</w:t>
      </w:r>
      <w:r w:rsidR="0040291E" w:rsidRPr="00E72418">
        <w:rPr>
          <w:szCs w:val="24"/>
        </w:rPr>
        <w:t xml:space="preserve"> </w:t>
      </w:r>
      <w:r w:rsidR="0040291E" w:rsidRPr="00E72418">
        <w:t>Avec ce critère, le législateur belge intègre dans le droit positif belge le concept de soutenabilité de la dette aujourd’hui considéré comme un principe de droit international public « soft »</w:t>
      </w:r>
      <w:r w:rsidR="0040291E" w:rsidRPr="00E72418">
        <w:rPr>
          <w:rStyle w:val="Appelnotedebasdep"/>
        </w:rPr>
        <w:footnoteReference w:id="1724"/>
      </w:r>
      <w:r w:rsidR="0040291E" w:rsidRPr="00E72418">
        <w:t xml:space="preserve">. </w:t>
      </w:r>
    </w:p>
    <w:p w14:paraId="0E94919E" w14:textId="77777777" w:rsidR="005F6F52" w:rsidRPr="00E72418" w:rsidRDefault="005F6F52" w:rsidP="00CC4BA8">
      <w:pPr>
        <w:spacing w:line="276" w:lineRule="auto"/>
      </w:pPr>
      <w:r w:rsidRPr="00E72418">
        <w:t>Le critère de l’impact défavorable du remboursement est complexe à appréhender dans la mesure où, par définition, un remboursement est doulo</w:t>
      </w:r>
      <w:r w:rsidR="00ED6880" w:rsidRPr="00E72418">
        <w:t xml:space="preserve">ureux pour un </w:t>
      </w:r>
      <w:r w:rsidR="00ED6880" w:rsidRPr="00E72418">
        <w:rPr>
          <w:lang w:eastAsia="fr-BE"/>
        </w:rPr>
        <w:t>É</w:t>
      </w:r>
      <w:r w:rsidRPr="00E72418">
        <w:t>tat en proie à des difficultés financières</w:t>
      </w:r>
      <w:r w:rsidRPr="00E72418">
        <w:rPr>
          <w:rStyle w:val="Appelnotedebasdep"/>
        </w:rPr>
        <w:footnoteReference w:id="1725"/>
      </w:r>
      <w:r w:rsidRPr="00E72418">
        <w:t>. Le texte de loi précise tant bien que mal le critère en prévoyant que l’impact défavorable du remboursement soit « identifiable »</w:t>
      </w:r>
      <w:r w:rsidRPr="00E72418">
        <w:rPr>
          <w:rStyle w:val="Appelnotedebasdep"/>
        </w:rPr>
        <w:footnoteReference w:id="1726"/>
      </w:r>
      <w:r w:rsidR="00252042" w:rsidRPr="00E72418">
        <w:t> ;</w:t>
      </w:r>
      <w:r w:rsidRPr="00E72418">
        <w:t xml:space="preserve"> il doit donc présenter un certain degré de gravité</w:t>
      </w:r>
      <w:r w:rsidRPr="00E72418">
        <w:rPr>
          <w:rStyle w:val="Appelnotedebasdep"/>
        </w:rPr>
        <w:footnoteReference w:id="1727"/>
      </w:r>
      <w:r w:rsidRPr="00E72418">
        <w:t>.</w:t>
      </w:r>
      <w:r w:rsidR="0040291E" w:rsidRPr="00E72418">
        <w:t xml:space="preserve"> </w:t>
      </w:r>
      <w:r w:rsidR="00142B39" w:rsidRPr="00E72418">
        <w:t>Même s’a</w:t>
      </w:r>
      <w:r w:rsidR="003E382B" w:rsidRPr="00E72418">
        <w:t xml:space="preserve">gissant d’un </w:t>
      </w:r>
      <w:r w:rsidR="003E382B" w:rsidRPr="00E72418">
        <w:rPr>
          <w:lang w:eastAsia="fr-BE"/>
        </w:rPr>
        <w:t>É</w:t>
      </w:r>
      <w:r w:rsidR="00142B39" w:rsidRPr="00E72418">
        <w:t xml:space="preserve">tat dont le niveau de développement est </w:t>
      </w:r>
      <w:r w:rsidR="00142B39" w:rsidRPr="00E72418">
        <w:lastRenderedPageBreak/>
        <w:t>extrêmement faible, encore faut-il tenir compte de l’importance du montant réclamé par le créancier</w:t>
      </w:r>
      <w:r w:rsidR="00142B39" w:rsidRPr="00E72418">
        <w:rPr>
          <w:rStyle w:val="Appelnotedebasdep"/>
          <w:rFonts w:cs="Times New Roman"/>
          <w:bCs/>
          <w:szCs w:val="24"/>
        </w:rPr>
        <w:footnoteReference w:id="1728"/>
      </w:r>
      <w:r w:rsidR="00142B39" w:rsidRPr="00E72418">
        <w:t xml:space="preserve">. </w:t>
      </w:r>
      <w:r w:rsidR="0040291E" w:rsidRPr="00E72418">
        <w:t xml:space="preserve">Les travaux préparatoires de la loi donnent par ailleurs quelques indications de ce qui peut être considéré comme </w:t>
      </w:r>
      <w:r w:rsidR="00322973" w:rsidRPr="00E72418">
        <w:t>représentant</w:t>
      </w:r>
      <w:r w:rsidR="003E382B" w:rsidRPr="00E72418">
        <w:t xml:space="preserve"> des tâches essentielles d’un </w:t>
      </w:r>
      <w:r w:rsidR="003E382B" w:rsidRPr="00E72418">
        <w:rPr>
          <w:lang w:eastAsia="fr-BE"/>
        </w:rPr>
        <w:t>É</w:t>
      </w:r>
      <w:r w:rsidR="0040291E" w:rsidRPr="00E72418">
        <w:t xml:space="preserve">tat : </w:t>
      </w:r>
      <w:r w:rsidR="00322973" w:rsidRPr="00E72418">
        <w:t>« </w:t>
      </w:r>
      <w:r w:rsidR="0040291E" w:rsidRPr="00E72418">
        <w:t xml:space="preserve">assurer une vie décente à tous </w:t>
      </w:r>
      <w:r w:rsidR="00322973" w:rsidRPr="00E72418">
        <w:t xml:space="preserve">[les] </w:t>
      </w:r>
      <w:r w:rsidR="0040291E" w:rsidRPr="00E72418">
        <w:t>concitoyens, organiser un enseignement de qualité, assurer la sécurité, contribuer à un développement économique durable, rendre les soins de santé accessibles à tous ou encore créer une prospérité à partager</w:t>
      </w:r>
      <w:r w:rsidR="00322973" w:rsidRPr="00E72418">
        <w:t> »</w:t>
      </w:r>
      <w:r w:rsidR="0040291E" w:rsidRPr="00E72418">
        <w:rPr>
          <w:rStyle w:val="Appelnotedebasdep"/>
          <w:rFonts w:cs="Times New Roman"/>
          <w:bCs/>
          <w:szCs w:val="24"/>
        </w:rPr>
        <w:footnoteReference w:id="1729"/>
      </w:r>
      <w:r w:rsidR="0040291E" w:rsidRPr="00E72418">
        <w:t>.</w:t>
      </w:r>
    </w:p>
    <w:p w14:paraId="74A30481" w14:textId="69680BC3" w:rsidR="005F6F52" w:rsidRPr="00E72418" w:rsidRDefault="00142B39" w:rsidP="00CC4BA8">
      <w:pPr>
        <w:spacing w:line="276" w:lineRule="auto"/>
      </w:pPr>
      <w:r w:rsidRPr="00E72418">
        <w:t xml:space="preserve">Si l’intention législative était de protéger les pays pauvres de l’action de certains de leurs créanciers, le texte </w:t>
      </w:r>
      <w:r w:rsidR="00AE75E6" w:rsidRPr="00E72418">
        <w:t xml:space="preserve">de la loi du 12 juillet 2015 relative à la lutte contre les activités des fonds vautours </w:t>
      </w:r>
      <w:r w:rsidRPr="00E72418">
        <w:t xml:space="preserve">est </w:t>
      </w:r>
      <w:r w:rsidR="00322973" w:rsidRPr="00E72418">
        <w:t xml:space="preserve">toutefois </w:t>
      </w:r>
      <w:r w:rsidRPr="00E72418">
        <w:t>susceptible de donner lieu à une application extensive de cette protection. En effet, u</w:t>
      </w:r>
      <w:r w:rsidR="003E382B" w:rsidRPr="00E72418">
        <w:t xml:space="preserve">n </w:t>
      </w:r>
      <w:r w:rsidR="003E382B" w:rsidRPr="00E72418">
        <w:rPr>
          <w:lang w:eastAsia="fr-BE"/>
        </w:rPr>
        <w:t>É</w:t>
      </w:r>
      <w:r w:rsidR="005F6F52" w:rsidRPr="00E72418">
        <w:t>tat dont la population ne connaît pas un développement socio</w:t>
      </w:r>
      <w:r w:rsidR="003E382B" w:rsidRPr="00E72418">
        <w:t xml:space="preserve">-économique précaire, voire un </w:t>
      </w:r>
      <w:r w:rsidR="003E382B" w:rsidRPr="00E72418">
        <w:rPr>
          <w:lang w:eastAsia="fr-BE"/>
        </w:rPr>
        <w:t>É</w:t>
      </w:r>
      <w:r w:rsidR="005F6F52" w:rsidRPr="00E72418">
        <w:t xml:space="preserve">tat jouissant d’un niveau de développement élevé, pourrait, dans certains cas, se prévaloir de l’article 2 de </w:t>
      </w:r>
      <w:r w:rsidR="00AE75E6" w:rsidRPr="00E72418">
        <w:t>la loi</w:t>
      </w:r>
      <w:r w:rsidR="005F6F52" w:rsidRPr="00E72418">
        <w:t xml:space="preserve"> dès lors que l’impact défavorable sur les finances publiques de l’</w:t>
      </w:r>
      <w:r w:rsidR="003E382B" w:rsidRPr="00E72418">
        <w:rPr>
          <w:lang w:eastAsia="fr-BE"/>
        </w:rPr>
        <w:t>É</w:t>
      </w:r>
      <w:r w:rsidR="005F6F52" w:rsidRPr="00E72418">
        <w:t>tat débiteur qu’aurait le remboursement intégral des sommes réclamées par le créancier n’est qu’un des critères alternatifs devant compléter la condition d’existence d’une disproportion manifeste</w:t>
      </w:r>
      <w:r w:rsidRPr="00E72418">
        <w:rPr>
          <w:rStyle w:val="Appelnotedebasdep"/>
        </w:rPr>
        <w:footnoteReference w:id="1730"/>
      </w:r>
      <w:r w:rsidR="005F6F52" w:rsidRPr="00E72418">
        <w:t>.</w:t>
      </w:r>
    </w:p>
    <w:p w14:paraId="57983378" w14:textId="77777777" w:rsidR="00A02DAE" w:rsidRPr="00E72418" w:rsidRDefault="00A02DAE" w:rsidP="00CC4BA8">
      <w:pPr>
        <w:spacing w:line="276" w:lineRule="auto"/>
      </w:pPr>
    </w:p>
    <w:p w14:paraId="53933780" w14:textId="64361738" w:rsidR="00AD3A44" w:rsidRPr="00E72418" w:rsidRDefault="008665DF" w:rsidP="00CC4BA8">
      <w:pPr>
        <w:pStyle w:val="EE"/>
        <w:spacing w:line="276" w:lineRule="auto"/>
        <w:jc w:val="left"/>
      </w:pPr>
      <w:bookmarkStart w:id="401" w:name="_Toc37777405"/>
      <w:bookmarkStart w:id="402" w:name="_Toc59281000"/>
      <w:bookmarkStart w:id="403" w:name="_Toc84540991"/>
      <w:r w:rsidRPr="00E72418">
        <w:t xml:space="preserve">Sous-section 3 : </w:t>
      </w:r>
      <w:r w:rsidR="00AD3A44" w:rsidRPr="00E72418">
        <w:t>L’appréciation des critères</w:t>
      </w:r>
      <w:bookmarkEnd w:id="401"/>
      <w:bookmarkEnd w:id="402"/>
      <w:bookmarkEnd w:id="403"/>
    </w:p>
    <w:p w14:paraId="39823EBE" w14:textId="77777777" w:rsidR="00C23E32" w:rsidRPr="00E72418" w:rsidRDefault="00C23E32" w:rsidP="00C23E32"/>
    <w:p w14:paraId="0E1DF248" w14:textId="387060EB" w:rsidR="00AD3A44" w:rsidRPr="00E72418" w:rsidRDefault="004469AC" w:rsidP="00CC4BA8">
      <w:pPr>
        <w:spacing w:line="276" w:lineRule="auto"/>
      </w:pPr>
      <w:r w:rsidRPr="00E72418">
        <w:rPr>
          <w:b/>
        </w:rPr>
        <w:t>348</w:t>
      </w:r>
      <w:r w:rsidR="00817D62" w:rsidRPr="00E72418">
        <w:rPr>
          <w:b/>
        </w:rPr>
        <w:t xml:space="preserve">. </w:t>
      </w:r>
      <w:r w:rsidR="00AD3A44" w:rsidRPr="00E72418">
        <w:rPr>
          <w:b/>
        </w:rPr>
        <w:t>Des critères à façonner –</w:t>
      </w:r>
      <w:r w:rsidR="00AD3A44" w:rsidRPr="00E72418">
        <w:t xml:space="preserve"> </w:t>
      </w:r>
      <w:r w:rsidR="00981255" w:rsidRPr="00E72418">
        <w:t>À</w:t>
      </w:r>
      <w:r w:rsidR="00AD3A44" w:rsidRPr="00E72418">
        <w:t xml:space="preserve"> la lecture des critères permettant de conclure à l’existence d’un avantage illégitime, force est de constater que le vocable utilisé par le législateur belge est susceptible de donner lieu à d’importantes discussions dont le</w:t>
      </w:r>
      <w:r w:rsidR="00B41CCF" w:rsidRPr="00E72418">
        <w:rPr>
          <w:rFonts w:cs="Times New Roman"/>
        </w:rPr>
        <w:t>s fonds spéculant</w:t>
      </w:r>
      <w:r w:rsidR="00AD3A44" w:rsidRPr="00E72418">
        <w:rPr>
          <w:rFonts w:cs="Times New Roman"/>
        </w:rPr>
        <w:t xml:space="preserve"> sur les dettes souveraines pourraient tirer profit pour échapper à la loi</w:t>
      </w:r>
      <w:r w:rsidR="00AD3A44" w:rsidRPr="00E72418">
        <w:rPr>
          <w:rStyle w:val="Appelnotedebasdep"/>
          <w:rFonts w:cs="Times New Roman"/>
        </w:rPr>
        <w:footnoteReference w:id="1731"/>
      </w:r>
      <w:r w:rsidR="0069039F" w:rsidRPr="00E72418">
        <w:rPr>
          <w:rFonts w:cs="Times New Roman"/>
        </w:rPr>
        <w:t>.</w:t>
      </w:r>
    </w:p>
    <w:p w14:paraId="2DE4672F" w14:textId="5B13F9D5" w:rsidR="00AD3A44" w:rsidRPr="00E72418" w:rsidRDefault="0069039F" w:rsidP="00CC4BA8">
      <w:pPr>
        <w:spacing w:line="276" w:lineRule="auto"/>
      </w:pPr>
      <w:r w:rsidRPr="00E72418">
        <w:t xml:space="preserve">Les </w:t>
      </w:r>
      <w:r w:rsidR="00C0739B" w:rsidRPr="00E72418">
        <w:t xml:space="preserve">interrogations </w:t>
      </w:r>
      <w:r w:rsidRPr="00E72418">
        <w:t xml:space="preserve">générées par l’imprécision de certains critères </w:t>
      </w:r>
      <w:r w:rsidR="00C0739B" w:rsidRPr="00E72418">
        <w:t xml:space="preserve">nous conduisent à ne pas partager </w:t>
      </w:r>
      <w:r w:rsidR="00AD3A44" w:rsidRPr="00E72418">
        <w:t>les propos de certains parlementaires qui se félicitent d’</w:t>
      </w:r>
      <w:r w:rsidR="00074247" w:rsidRPr="00E72418">
        <w:t xml:space="preserve"> </w:t>
      </w:r>
      <w:r w:rsidR="00AD3A44" w:rsidRPr="00E72418">
        <w:t>« </w:t>
      </w:r>
      <w:r w:rsidR="00AD3A44" w:rsidRPr="00E72418">
        <w:rPr>
          <w:rFonts w:cs="Times New Roman"/>
        </w:rPr>
        <w:t>[un]</w:t>
      </w:r>
      <w:r w:rsidR="00AD3A44" w:rsidRPr="00E72418">
        <w:t xml:space="preserve"> dispositif </w:t>
      </w:r>
      <w:r w:rsidR="00AD3A44" w:rsidRPr="00E72418">
        <w:rPr>
          <w:rFonts w:cs="Times New Roman"/>
        </w:rPr>
        <w:t xml:space="preserve">[qui] </w:t>
      </w:r>
      <w:r w:rsidR="00AD3A44" w:rsidRPr="00E72418">
        <w:t xml:space="preserve">est </w:t>
      </w:r>
      <w:r w:rsidR="00AD3A44" w:rsidRPr="00E72418">
        <w:lastRenderedPageBreak/>
        <w:t>appréciable car il est simple et lisible sans être simpliste »</w:t>
      </w:r>
      <w:r w:rsidR="00AD3A44" w:rsidRPr="00E72418">
        <w:rPr>
          <w:rStyle w:val="Appelnotedebasdep"/>
          <w:rFonts w:cs="Times New Roman"/>
          <w:bCs/>
          <w:szCs w:val="24"/>
        </w:rPr>
        <w:footnoteReference w:id="1732"/>
      </w:r>
      <w:r w:rsidR="00AD3A44" w:rsidRPr="00E72418">
        <w:t xml:space="preserve"> ou encore d’</w:t>
      </w:r>
      <w:r w:rsidR="00074247" w:rsidRPr="00E72418">
        <w:t xml:space="preserve"> </w:t>
      </w:r>
      <w:r w:rsidR="00AD3A44" w:rsidRPr="00E72418">
        <w:t>« un dispositif original, à la fois précis et souple »</w:t>
      </w:r>
      <w:r w:rsidR="00AD3A44" w:rsidRPr="00E72418">
        <w:rPr>
          <w:rStyle w:val="Appelnotedebasdep"/>
        </w:rPr>
        <w:footnoteReference w:id="1733"/>
      </w:r>
      <w:r w:rsidR="00AD3A44" w:rsidRPr="00E72418">
        <w:t xml:space="preserve">. Il nous apparaît plutôt, comme cela fut admis par </w:t>
      </w:r>
      <w:r w:rsidR="00C23E32" w:rsidRPr="00E72418">
        <w:t xml:space="preserve">Georges Gilkinet, </w:t>
      </w:r>
      <w:r w:rsidR="00AD3A44" w:rsidRPr="00E72418">
        <w:t>l’un des parlementaires à l’origine de la proposition de loi, qu’</w:t>
      </w:r>
      <w:r w:rsidR="009950CC" w:rsidRPr="00E72418">
        <w:t xml:space="preserve"> </w:t>
      </w:r>
      <w:r w:rsidR="00AD3A44" w:rsidRPr="00E72418">
        <w:t>« </w:t>
      </w:r>
      <w:r w:rsidR="00AD3A44" w:rsidRPr="00E72418">
        <w:rPr>
          <w:rFonts w:cs="Times New Roman"/>
        </w:rPr>
        <w:t>[i]</w:t>
      </w:r>
      <w:r w:rsidR="00AD3A44" w:rsidRPr="00E72418">
        <w:t>l faudra l’évaluer, sans doute l’ajuster » et qu’</w:t>
      </w:r>
      <w:r w:rsidR="009950CC" w:rsidRPr="00E72418">
        <w:t xml:space="preserve"> </w:t>
      </w:r>
      <w:r w:rsidR="00AD3A44" w:rsidRPr="00E72418">
        <w:t>« </w:t>
      </w:r>
      <w:r w:rsidR="00AD3A44" w:rsidRPr="00E72418">
        <w:rPr>
          <w:rFonts w:cs="Times New Roman"/>
        </w:rPr>
        <w:t>[i]</w:t>
      </w:r>
      <w:r w:rsidR="00AD3A44" w:rsidRPr="00E72418">
        <w:t>l faudra qu’elle soit appliquée sur le terrain par les juges »</w:t>
      </w:r>
      <w:r w:rsidR="00AD3A44" w:rsidRPr="00E72418">
        <w:rPr>
          <w:rStyle w:val="Appelnotedebasdep"/>
          <w:rFonts w:cs="Times New Roman"/>
          <w:szCs w:val="24"/>
        </w:rPr>
        <w:footnoteReference w:id="1734"/>
      </w:r>
      <w:r w:rsidR="00AD3A44" w:rsidRPr="00E72418">
        <w:t>. La jurisprudence a ici indéniablement un rôle de premier plan à jouer. Si l’imprécision des critères utilisés dans la loi est de nature à laisser aux juges une très grande liberté dans leur appréciation, le problème ne réside-t-il pas plus largement dans le manque d’expertise des juges amenés à appliquer la loi belge dans le domaine singulier des dettes souveraines</w:t>
      </w:r>
      <w:r w:rsidR="001F2523" w:rsidRPr="00E72418">
        <w:rPr>
          <w:rStyle w:val="Appelnotedebasdep"/>
        </w:rPr>
        <w:footnoteReference w:id="1735"/>
      </w:r>
      <w:r w:rsidR="00AD3A44" w:rsidRPr="00E72418">
        <w:t xml:space="preserve">. Ainsi, souvent, les questions que les contentieux relatifs à ces dettes posent dépassent la seule analyse juridique et </w:t>
      </w:r>
      <w:r w:rsidR="00C0739B" w:rsidRPr="00E72418">
        <w:t xml:space="preserve">englobent des enjeux </w:t>
      </w:r>
      <w:r w:rsidR="00AD3A44" w:rsidRPr="00E72418">
        <w:t>économiques, sociologiques, politiques ou encore diplomatiques</w:t>
      </w:r>
      <w:r w:rsidRPr="00E72418">
        <w:rPr>
          <w:rStyle w:val="Appelnotedebasdep"/>
        </w:rPr>
        <w:footnoteReference w:id="1736"/>
      </w:r>
      <w:r w:rsidR="00AD3A44" w:rsidRPr="00E72418">
        <w:t>.</w:t>
      </w:r>
    </w:p>
    <w:p w14:paraId="2CC04E0C" w14:textId="77777777" w:rsidR="00DB6EAC" w:rsidRPr="00E72418" w:rsidRDefault="00DB6EAC" w:rsidP="00DB6EAC">
      <w:pPr>
        <w:spacing w:line="276" w:lineRule="auto"/>
      </w:pPr>
      <w:r w:rsidRPr="00E72418">
        <w:t xml:space="preserve">Un des moyens avancés par la société </w:t>
      </w:r>
      <w:r w:rsidRPr="00E72418">
        <w:rPr>
          <w:i/>
        </w:rPr>
        <w:t>NML Capital Ltd.</w:t>
      </w:r>
      <w:r w:rsidRPr="00E72418">
        <w:t xml:space="preserve"> dans son recours contre la loi introduit devant la Cour constitutionnelle reprenait notamment la critique de termes utilisés qui, à son estime, manquaient de précision. La société requérante critiquait ainsi la référence faite à la « disproportion manifeste », à l’ « état d’insolvabilité », au fait d’avoir « abusé de la situation de faiblesse de l’</w:t>
      </w:r>
      <w:r w:rsidRPr="00E72418">
        <w:rPr>
          <w:lang w:eastAsia="fr-BE"/>
        </w:rPr>
        <w:t>É</w:t>
      </w:r>
      <w:r w:rsidRPr="00E72418">
        <w:t>tat débiteur pour négocier un accord de remboursement manifestement déséquilibré » ou encore au remboursement « susceptible de compromettre le développement socio-économique ». Ce manque de précision portait, selon la société requérante, une atteinte excessive au principe de la sécurité juridique et au droit de propriété en raison du manque de prévisibilité de l’ingérence dans ce droit</w:t>
      </w:r>
      <w:r w:rsidRPr="00E72418">
        <w:rPr>
          <w:rStyle w:val="Appelnotedebasdep"/>
        </w:rPr>
        <w:footnoteReference w:id="1737"/>
      </w:r>
      <w:r w:rsidRPr="00E72418">
        <w:t xml:space="preserve">. </w:t>
      </w:r>
    </w:p>
    <w:p w14:paraId="687EFAC6" w14:textId="4DAAC336" w:rsidR="00DB6EAC" w:rsidRPr="00E72418" w:rsidRDefault="00DB6EAC" w:rsidP="00DB6EAC">
      <w:pPr>
        <w:spacing w:line="276" w:lineRule="auto"/>
      </w:pPr>
      <w:r w:rsidRPr="00E72418">
        <w:t xml:space="preserve">La Cour constitutionnelle releva que si l’usage de termes imprécis, comme une « disproportion manifeste », contribue à rendre incertaine la situation des personnes qui ont racheté ou qui rachètent une créance sur un </w:t>
      </w:r>
      <w:r w:rsidRPr="00E72418">
        <w:rPr>
          <w:lang w:eastAsia="fr-BE"/>
        </w:rPr>
        <w:t>É</w:t>
      </w:r>
      <w:r w:rsidRPr="00E72418">
        <w:t>tat, l’usage d’un critère arithmétique précis permettrait aisément au créancier de contourner la règle en jouant sur les montants</w:t>
      </w:r>
      <w:r w:rsidRPr="00E72418">
        <w:rPr>
          <w:rStyle w:val="Appelnotedebasdep"/>
        </w:rPr>
        <w:footnoteReference w:id="1738"/>
      </w:r>
      <w:r w:rsidRPr="00E72418">
        <w:t xml:space="preserve">. De l’avis de la Cour, les autres termes critiqués par la société </w:t>
      </w:r>
      <w:r w:rsidRPr="00E72418">
        <w:rPr>
          <w:i/>
        </w:rPr>
        <w:t>NML Capital Ltd.</w:t>
      </w:r>
      <w:r w:rsidRPr="00E72418">
        <w:t xml:space="preserve"> sont suffisamment précis pour permettre aux créanciers auxquels s’appliquent les alinéas 3 et 4 de l’article 2 de la loi de 2015 de raisonnablement prévoir les conséquences des actes qu’ils posent</w:t>
      </w:r>
      <w:r w:rsidRPr="00E72418">
        <w:rPr>
          <w:rStyle w:val="Appelnotedebasdep"/>
        </w:rPr>
        <w:footnoteReference w:id="1739"/>
      </w:r>
      <w:r w:rsidRPr="00E72418">
        <w:t>.</w:t>
      </w:r>
    </w:p>
    <w:p w14:paraId="2E57444D" w14:textId="56D5D604" w:rsidR="00AD3A44" w:rsidRPr="00E72418" w:rsidRDefault="00AD3A44" w:rsidP="00CC4BA8">
      <w:pPr>
        <w:spacing w:line="276" w:lineRule="auto"/>
        <w:rPr>
          <w:rFonts w:cs="Times New Roman"/>
          <w:szCs w:val="24"/>
        </w:rPr>
      </w:pPr>
    </w:p>
    <w:p w14:paraId="64E409B9" w14:textId="7A4FB0DC" w:rsidR="00AD3A44" w:rsidRPr="00E72418" w:rsidRDefault="004469AC" w:rsidP="00CC4BA8">
      <w:pPr>
        <w:spacing w:line="276" w:lineRule="auto"/>
      </w:pPr>
      <w:r w:rsidRPr="00E72418">
        <w:rPr>
          <w:b/>
        </w:rPr>
        <w:t>349</w:t>
      </w:r>
      <w:r w:rsidR="00817D62" w:rsidRPr="00E72418">
        <w:rPr>
          <w:b/>
        </w:rPr>
        <w:t xml:space="preserve">. </w:t>
      </w:r>
      <w:r w:rsidR="00AD3A44" w:rsidRPr="00E72418">
        <w:rPr>
          <w:b/>
        </w:rPr>
        <w:t xml:space="preserve">Les possibles conséquences sur le fonctionnement du marché </w:t>
      </w:r>
      <w:r w:rsidR="00C0739B" w:rsidRPr="00E72418">
        <w:rPr>
          <w:b/>
        </w:rPr>
        <w:t xml:space="preserve">des </w:t>
      </w:r>
      <w:r w:rsidR="00AD3A44" w:rsidRPr="00E72418">
        <w:rPr>
          <w:b/>
        </w:rPr>
        <w:t>dette</w:t>
      </w:r>
      <w:r w:rsidR="00C0739B" w:rsidRPr="00E72418">
        <w:rPr>
          <w:b/>
        </w:rPr>
        <w:t>s</w:t>
      </w:r>
      <w:r w:rsidR="00AD3A44" w:rsidRPr="00E72418">
        <w:rPr>
          <w:b/>
        </w:rPr>
        <w:t xml:space="preserve"> souveraine</w:t>
      </w:r>
      <w:r w:rsidR="00C0739B" w:rsidRPr="00E72418">
        <w:rPr>
          <w:b/>
        </w:rPr>
        <w:t>s</w:t>
      </w:r>
      <w:r w:rsidR="00AD3A44" w:rsidRPr="00E72418">
        <w:rPr>
          <w:b/>
        </w:rPr>
        <w:t xml:space="preserve"> – </w:t>
      </w:r>
      <w:r w:rsidR="00AD3A44" w:rsidRPr="00E72418">
        <w:t xml:space="preserve">Le manque de précision des critères retenus dans la loi </w:t>
      </w:r>
      <w:r w:rsidR="00C0739B" w:rsidRPr="00E72418">
        <w:t>belge</w:t>
      </w:r>
      <w:r w:rsidR="00AD3A44" w:rsidRPr="00E72418">
        <w:t xml:space="preserve"> et leur importante subjectivité </w:t>
      </w:r>
      <w:r w:rsidR="00AD3A44" w:rsidRPr="00E72418">
        <w:lastRenderedPageBreak/>
        <w:t>sont de nature à entamer la sécurité juridique</w:t>
      </w:r>
      <w:r w:rsidR="00AD3A44" w:rsidRPr="00E72418">
        <w:rPr>
          <w:rStyle w:val="Appelnotedebasdep"/>
          <w:rFonts w:cs="Times New Roman"/>
          <w:bCs/>
          <w:szCs w:val="24"/>
        </w:rPr>
        <w:footnoteReference w:id="1740"/>
      </w:r>
      <w:r w:rsidR="00AD3A44" w:rsidRPr="00E72418">
        <w:t xml:space="preserve">. </w:t>
      </w:r>
      <w:r w:rsidR="00AD3A44" w:rsidRPr="00E72418">
        <w:rPr>
          <w:rFonts w:cs="Times New Roman"/>
        </w:rPr>
        <w:t>Maladroitement selon n</w:t>
      </w:r>
      <w:r w:rsidR="007578CC" w:rsidRPr="00E72418">
        <w:rPr>
          <w:rFonts w:cs="Times New Roman"/>
        </w:rPr>
        <w:t xml:space="preserve">ous, </w:t>
      </w:r>
      <w:r w:rsidR="00947A0A" w:rsidRPr="00E72418">
        <w:rPr>
          <w:rFonts w:cs="Times New Roman"/>
        </w:rPr>
        <w:t xml:space="preserve">Veerle Wouters </w:t>
      </w:r>
      <w:r w:rsidR="007578CC" w:rsidRPr="00E72418">
        <w:rPr>
          <w:rFonts w:cs="Times New Roman"/>
        </w:rPr>
        <w:t>rétorqua</w:t>
      </w:r>
      <w:r w:rsidR="00AD3A44" w:rsidRPr="00E72418">
        <w:rPr>
          <w:rFonts w:cs="Times New Roman"/>
        </w:rPr>
        <w:t xml:space="preserve"> à cette critique en indiquant que sont utilisés les critères classiques de la forme juridique de l’abus de droit lesquels sont bien connus des juristes et se retrouvent dans une jurisprudence constante de la Cour de cassation</w:t>
      </w:r>
      <w:r w:rsidR="00AD3A44" w:rsidRPr="00E72418">
        <w:rPr>
          <w:rStyle w:val="Appelnotedebasdep"/>
          <w:rFonts w:cs="Times New Roman"/>
        </w:rPr>
        <w:footnoteReference w:id="1741"/>
      </w:r>
      <w:r w:rsidR="00AD3A44" w:rsidRPr="00E72418">
        <w:rPr>
          <w:rFonts w:cs="Times New Roman"/>
        </w:rPr>
        <w:t xml:space="preserve">. En réalité, il n’apparaît pas que le renvoi à la figure de l’abus de droit permette d’apporter des précisions à tous les critères retenus </w:t>
      </w:r>
      <w:r w:rsidR="007578CC" w:rsidRPr="00E72418">
        <w:rPr>
          <w:rFonts w:cs="Times New Roman"/>
        </w:rPr>
        <w:t>par</w:t>
      </w:r>
      <w:r w:rsidR="00AD3A44" w:rsidRPr="00E72418">
        <w:rPr>
          <w:rFonts w:cs="Times New Roman"/>
        </w:rPr>
        <w:t xml:space="preserve"> la loi du 12 juillet 2015.</w:t>
      </w:r>
    </w:p>
    <w:p w14:paraId="1B55F08D" w14:textId="36141B87" w:rsidR="00AD3A44" w:rsidRPr="00E72418" w:rsidRDefault="00AD3A44" w:rsidP="00CC4BA8">
      <w:pPr>
        <w:spacing w:line="276" w:lineRule="auto"/>
        <w:rPr>
          <w:rFonts w:cs="Times New Roman"/>
        </w:rPr>
      </w:pPr>
      <w:r w:rsidRPr="00E72418">
        <w:t>Le caractère souvent vague et subjectif des critères utilisés, s’il est de nature à entamer la sécurité juridique, fait également craindre des conséquences négatives sur le</w:t>
      </w:r>
      <w:r w:rsidR="007578CC" w:rsidRPr="00E72418">
        <w:t xml:space="preserve"> fonctionnement du marché des </w:t>
      </w:r>
      <w:r w:rsidRPr="00E72418">
        <w:t>dette</w:t>
      </w:r>
      <w:r w:rsidR="007578CC" w:rsidRPr="00E72418">
        <w:t>s</w:t>
      </w:r>
      <w:r w:rsidRPr="00E72418">
        <w:t xml:space="preserve"> souveraine</w:t>
      </w:r>
      <w:r w:rsidR="007578CC" w:rsidRPr="00E72418">
        <w:t>s</w:t>
      </w:r>
      <w:r w:rsidRPr="00E72418">
        <w:rPr>
          <w:rStyle w:val="Appelnotedebasdep"/>
        </w:rPr>
        <w:footnoteReference w:id="1742"/>
      </w:r>
      <w:r w:rsidRPr="00E72418">
        <w:t xml:space="preserve">. Pourtant, le souci de préserver le bon fonctionnement du marché secondaire de la dette souveraine avait été formulé dans la proposition de loi à l’origine de la législation. Ahmed Laaouej relevait ainsi avoir veillé à ne pas perturber le fonctionnement ordinaire du marché secondaire en prévoyant un dispositif juridique qui repose sur un champ </w:t>
      </w:r>
      <w:r w:rsidRPr="00E72418">
        <w:rPr>
          <w:i/>
        </w:rPr>
        <w:t>rationae materiae</w:t>
      </w:r>
      <w:r w:rsidRPr="00E72418">
        <w:t xml:space="preserve"> et </w:t>
      </w:r>
      <w:r w:rsidRPr="00E72418">
        <w:rPr>
          <w:i/>
        </w:rPr>
        <w:t>personae</w:t>
      </w:r>
      <w:r w:rsidRPr="00E72418">
        <w:t xml:space="preserve"> bien précis en passant par le concours d’une juridiction</w:t>
      </w:r>
      <w:r w:rsidRPr="00E72418">
        <w:rPr>
          <w:rStyle w:val="Appelnotedebasdep"/>
        </w:rPr>
        <w:footnoteReference w:id="1743"/>
      </w:r>
      <w:r w:rsidRPr="00E72418">
        <w:t xml:space="preserve">. Si </w:t>
      </w:r>
      <w:r w:rsidRPr="00E72418">
        <w:lastRenderedPageBreak/>
        <w:t xml:space="preserve">cette intention doit être saluée, l’on peut </w:t>
      </w:r>
      <w:r w:rsidR="007578CC" w:rsidRPr="00E72418">
        <w:t xml:space="preserve">toutefois </w:t>
      </w:r>
      <w:r w:rsidRPr="00E72418">
        <w:t xml:space="preserve">douter de sa bonne déclinaison </w:t>
      </w:r>
      <w:r w:rsidR="007578CC" w:rsidRPr="00E72418">
        <w:t xml:space="preserve">au constat, </w:t>
      </w:r>
      <w:r w:rsidRPr="00E72418">
        <w:t>dans une autre partie des travaux préparatoires</w:t>
      </w:r>
      <w:r w:rsidR="007578CC" w:rsidRPr="00E72418">
        <w:t>,</w:t>
      </w:r>
      <w:r w:rsidRPr="00E72418">
        <w:t xml:space="preserve"> </w:t>
      </w:r>
      <w:r w:rsidR="007578CC" w:rsidRPr="00E72418">
        <w:t xml:space="preserve">de </w:t>
      </w:r>
      <w:r w:rsidR="007578CC" w:rsidRPr="00E72418">
        <w:rPr>
          <w:rFonts w:cs="Times New Roman"/>
        </w:rPr>
        <w:t xml:space="preserve">la volonté </w:t>
      </w:r>
      <w:r w:rsidR="007C7511" w:rsidRPr="00E72418">
        <w:rPr>
          <w:rFonts w:cs="Times New Roman"/>
        </w:rPr>
        <w:t xml:space="preserve">affirmée </w:t>
      </w:r>
      <w:r w:rsidR="007578CC" w:rsidRPr="00E72418">
        <w:rPr>
          <w:rFonts w:cs="Times New Roman"/>
        </w:rPr>
        <w:t>d’établir des</w:t>
      </w:r>
      <w:r w:rsidR="00074247" w:rsidRPr="00E72418">
        <w:rPr>
          <w:rFonts w:cs="Times New Roman"/>
        </w:rPr>
        <w:t xml:space="preserve"> </w:t>
      </w:r>
      <w:r w:rsidRPr="00E72418">
        <w:rPr>
          <w:rFonts w:cs="Times New Roman"/>
        </w:rPr>
        <w:t>« critères suffisamment larges pour éviter un contournement aisé de la loi par les fonds vautours »</w:t>
      </w:r>
      <w:r w:rsidRPr="00E72418">
        <w:rPr>
          <w:rStyle w:val="Appelnotedebasdep"/>
          <w:rFonts w:cs="Times New Roman"/>
        </w:rPr>
        <w:footnoteReference w:id="1744"/>
      </w:r>
      <w:r w:rsidRPr="00E72418">
        <w:rPr>
          <w:rFonts w:cs="Times New Roman"/>
        </w:rPr>
        <w:t>.</w:t>
      </w:r>
    </w:p>
    <w:p w14:paraId="3C70CADB" w14:textId="12936F39" w:rsidR="003A1B32" w:rsidRPr="00E72418" w:rsidRDefault="003A1B32" w:rsidP="00CC4BA8">
      <w:pPr>
        <w:spacing w:line="276" w:lineRule="auto"/>
      </w:pPr>
      <w:r w:rsidRPr="00E72418">
        <w:t>De l’aveu même des parlementaires ayant déposé la proposition de loi, les critères y repris n’ont pas la précision des critères utilisés dans le mécanisme de la cession de droit litigieux ou encore dans celui de la rescision pour lésion dans les ventes immobilières les ayant inspirés. Ils s’en expliquent en soulignant que « les activités des fonds vautours ne peuvent […] se décrire de manière purement arithmétique ou sur la base d’un seul critère simple »</w:t>
      </w:r>
      <w:r w:rsidRPr="00E72418">
        <w:rPr>
          <w:rStyle w:val="Appelnotedebasdep"/>
          <w:rFonts w:cs="Times New Roman"/>
          <w:bCs/>
          <w:szCs w:val="24"/>
        </w:rPr>
        <w:footnoteReference w:id="1745"/>
      </w:r>
      <w:r w:rsidRPr="00E72418">
        <w:t>. Relativement à la rescision pour lésion, l’article 1674 du Code civil belge prévoit que « [s]i le vendeur a été lésé de plus de sept douzièmes dans le prix d’un immeuble, il a le droit de demander la rescision de la vente, quand même il aurait expressément renoncé dans le contrat à la faculté de demander cette rescision, et qu’il aurait déclaré donner la plus-value ». L’on retrouve, dans ce mécanisme, la précision d’un critère arithmétique. En ce qui concerne le mécanisme de la cession de droit litigieux, l’article 1699 du Code civil belge prévoit que « [c]elui contre lequel on a cédé un droit litigieux peut s’en faire tenir quitte par le cessionnaire, en lui remboursant le prix réel de la cession avec les frais et loyaux coûts, et avec les intérêts à compter du jour où le cessionnaire a payé le prix de la cession à lui faite ». Le critère objectif retenu ici est celui de « droit litigieux », autrement dit, il faut, pour que ce mécanisme puisse opérer, que la créance rachetée ait été préalablement contestée en justice, ce qui n’est pas le cas dans la loi du 12 juillet 2015</w:t>
      </w:r>
      <w:r w:rsidRPr="00E72418">
        <w:rPr>
          <w:rStyle w:val="Appelnotedebasdep"/>
        </w:rPr>
        <w:footnoteReference w:id="1746"/>
      </w:r>
      <w:r w:rsidRPr="00E72418">
        <w:t>. Aussi, cette dernière limite les droits du créancier au seul prix qu’il a payé pour racheter la créance là où, avec le mécanisme de la cession de droit litigieux, le cessionnaire obtient, en sus du prix de la cession, les frais et loyaux coûts ainsi que les intérêts</w:t>
      </w:r>
      <w:r w:rsidRPr="00E72418">
        <w:rPr>
          <w:rStyle w:val="Appelnotedebasdep"/>
        </w:rPr>
        <w:footnoteReference w:id="1747"/>
      </w:r>
      <w:r w:rsidRPr="00E72418">
        <w:t>. Comme pour le mécanisme de la cession de droit litigieux ou encore celui de la rescision pour lésion dans les ventes immobilières, la loi anti-fonds spéculatifs s’inscrit dans une logique de protection de la valeur réelle des droits plus que spéculative</w:t>
      </w:r>
      <w:r w:rsidRPr="00E72418">
        <w:rPr>
          <w:rStyle w:val="Appelnotedebasdep"/>
        </w:rPr>
        <w:footnoteReference w:id="1748"/>
      </w:r>
      <w:r w:rsidRPr="00E72418">
        <w:t>.</w:t>
      </w:r>
    </w:p>
    <w:p w14:paraId="4AFA0BBE" w14:textId="77777777" w:rsidR="00AD3A44" w:rsidRPr="00E72418" w:rsidRDefault="00AD3A44" w:rsidP="00CC4BA8">
      <w:pPr>
        <w:spacing w:line="276" w:lineRule="auto"/>
      </w:pPr>
    </w:p>
    <w:p w14:paraId="2A09A373" w14:textId="06F4D729" w:rsidR="00672558" w:rsidRPr="00E72418" w:rsidRDefault="004469AC" w:rsidP="00672558">
      <w:pPr>
        <w:spacing w:line="276" w:lineRule="auto"/>
      </w:pPr>
      <w:r w:rsidRPr="00E72418">
        <w:rPr>
          <w:b/>
        </w:rPr>
        <w:t>350</w:t>
      </w:r>
      <w:r w:rsidR="00817D62" w:rsidRPr="00E72418">
        <w:rPr>
          <w:b/>
        </w:rPr>
        <w:t xml:space="preserve">. </w:t>
      </w:r>
      <w:r w:rsidR="00DB6EAC" w:rsidRPr="00E72418">
        <w:rPr>
          <w:b/>
        </w:rPr>
        <w:t xml:space="preserve">Un champ trop large </w:t>
      </w:r>
      <w:r w:rsidR="00AD3A44" w:rsidRPr="00E72418">
        <w:rPr>
          <w:b/>
        </w:rPr>
        <w:t xml:space="preserve">– </w:t>
      </w:r>
      <w:r w:rsidR="00672558" w:rsidRPr="00E72418">
        <w:t xml:space="preserve">Comme </w:t>
      </w:r>
      <w:r w:rsidR="001B3B74" w:rsidRPr="00E72418">
        <w:t xml:space="preserve">Patrick </w:t>
      </w:r>
      <w:r w:rsidR="00672558" w:rsidRPr="00E72418">
        <w:t>Wautelet, l’on peut être critique à l’égard du large champ d’application de la loi belge permis par le caractère alternatif des critères mobilisés</w:t>
      </w:r>
      <w:r w:rsidR="000100DC" w:rsidRPr="00E72418">
        <w:t xml:space="preserve"> et l’on </w:t>
      </w:r>
      <w:r w:rsidR="00FB0D7A">
        <w:t>pourrait éventuellement</w:t>
      </w:r>
      <w:r w:rsidR="000100DC" w:rsidRPr="00E72418">
        <w:t xml:space="preserve"> souhaiter qu’il en soit fait une application cumulative</w:t>
      </w:r>
      <w:r w:rsidR="00672558" w:rsidRPr="00E72418">
        <w:t xml:space="preserve">. Pour l’auteur, </w:t>
      </w:r>
      <w:r w:rsidR="00672558" w:rsidRPr="00E72418">
        <w:rPr>
          <w:szCs w:val="24"/>
        </w:rPr>
        <w:t xml:space="preserve">le traitement particulier réservé aux créanciers d’un État peut se justifier lorsque le mécanisme de l’avantage illégitime est utilisé pour contrer l’action d’un créancier s’attaquant à un État souffrant d’un déficit manifeste de développement et que l’ampleur du montant qu’il </w:t>
      </w:r>
      <w:r w:rsidR="00672558" w:rsidRPr="00E72418">
        <w:rPr>
          <w:szCs w:val="24"/>
        </w:rPr>
        <w:lastRenderedPageBreak/>
        <w:t xml:space="preserve">réclame est de nature à faire peser une lourde hypothèque sur la possibilité pour l’État débiteur de satisfaire à certaines de ses obligations les plus vitales à l’égard de ses citoyens. Toutefois, avec la portée très large conférée à la loi en raison du caractère alternatif des critères de catégorisation d’ « avantage illégitime », aucun tri entre les États souverains et entre les situations dans lesquelles ils peuvent se retrouver n’est opéré alors que, dans certaines hypothèses, les objectifs avancés par le législateur belge ne suffisent pas à </w:t>
      </w:r>
      <w:r w:rsidR="00777674">
        <w:rPr>
          <w:szCs w:val="24"/>
        </w:rPr>
        <w:t>justifier</w:t>
      </w:r>
      <w:r w:rsidR="00672558" w:rsidRPr="00E72418">
        <w:rPr>
          <w:szCs w:val="24"/>
        </w:rPr>
        <w:t xml:space="preserve"> le sort particulier réservé à la demande d’un créancier d’un État</w:t>
      </w:r>
      <w:r w:rsidR="00672558" w:rsidRPr="00E72418">
        <w:rPr>
          <w:rStyle w:val="Appelnotedebasdep"/>
          <w:rFonts w:cs="Times New Roman"/>
          <w:bCs/>
          <w:szCs w:val="24"/>
        </w:rPr>
        <w:footnoteReference w:id="1749"/>
      </w:r>
      <w:r w:rsidR="00672558" w:rsidRPr="00E72418">
        <w:rPr>
          <w:szCs w:val="24"/>
        </w:rPr>
        <w:t>. Plus encore, il pourrait être des cas</w:t>
      </w:r>
      <w:r w:rsidR="00672558" w:rsidRPr="00E72418">
        <w:t xml:space="preserve"> où la notion cardinale d’ « avantage illégitime » conduit à ce que le mécanisme protecteur mis en place par la loi belge trouve à s’appliquer à des situations n’impliquant pas </w:t>
      </w:r>
      <w:r w:rsidR="00FB0D7A">
        <w:t xml:space="preserve">du tout </w:t>
      </w:r>
      <w:r w:rsidR="00672558" w:rsidRPr="00E72418">
        <w:t>les fonds spéculatifs combattus</w:t>
      </w:r>
      <w:r w:rsidR="00672558" w:rsidRPr="00E72418">
        <w:rPr>
          <w:rStyle w:val="Appelnotedebasdep"/>
        </w:rPr>
        <w:footnoteReference w:id="1750"/>
      </w:r>
      <w:r w:rsidR="00672558" w:rsidRPr="00E72418">
        <w:t>. L’on peut ainsi penser à la situation où le critère de la disproportion manifeste est couplé au critère du refus de participation aux mesures de restructuration, refus qui découlerait de l’opportunisme du défaut déclaré qui serait relevé par le créancier</w:t>
      </w:r>
      <w:r w:rsidR="00672558" w:rsidRPr="00E72418">
        <w:rPr>
          <w:rStyle w:val="Appelnotedebasdep"/>
        </w:rPr>
        <w:footnoteReference w:id="1751"/>
      </w:r>
      <w:r w:rsidR="00672558" w:rsidRPr="00E72418">
        <w:t>.</w:t>
      </w:r>
    </w:p>
    <w:p w14:paraId="51B65E73" w14:textId="77777777" w:rsidR="000F2F62" w:rsidRPr="00E72418" w:rsidRDefault="000F2F62" w:rsidP="002948B0">
      <w:pPr>
        <w:spacing w:line="276" w:lineRule="auto"/>
      </w:pPr>
    </w:p>
    <w:p w14:paraId="0640AF99" w14:textId="410C6EAC" w:rsidR="002948B0" w:rsidRPr="00E72418" w:rsidRDefault="000F2F62" w:rsidP="002948B0">
      <w:pPr>
        <w:spacing w:line="276" w:lineRule="auto"/>
      </w:pPr>
      <w:r w:rsidRPr="00E72418">
        <w:rPr>
          <w:b/>
        </w:rPr>
        <w:t>3</w:t>
      </w:r>
      <w:r w:rsidR="004469AC" w:rsidRPr="00E72418">
        <w:rPr>
          <w:b/>
        </w:rPr>
        <w:t>51</w:t>
      </w:r>
      <w:r w:rsidRPr="00E72418">
        <w:rPr>
          <w:b/>
        </w:rPr>
        <w:t>. Le satisfecit de la Cour constitutionnelle –</w:t>
      </w:r>
      <w:r w:rsidRPr="00E72418">
        <w:t xml:space="preserve"> Dans le cadre de son recours en annulation de la loi du 12 juillet 2015 relative à la lutte contre les activités des fonds vautours</w:t>
      </w:r>
      <w:r w:rsidR="002948B0" w:rsidRPr="00E72418">
        <w:t xml:space="preserve">, la société </w:t>
      </w:r>
      <w:r w:rsidR="002948B0" w:rsidRPr="00E72418">
        <w:rPr>
          <w:i/>
        </w:rPr>
        <w:t>NML Capital Ltd.</w:t>
      </w:r>
      <w:r w:rsidR="002948B0" w:rsidRPr="00E72418">
        <w:t xml:space="preserve"> reprochait à</w:t>
      </w:r>
      <w:r w:rsidRPr="00E72418">
        <w:t xml:space="preserve"> celle-ci </w:t>
      </w:r>
      <w:r w:rsidR="002948B0" w:rsidRPr="00E72418">
        <w:t xml:space="preserve">de méconnaître le principe d’égalité et de non-discrimination en s’appliquant à toute créance dont le débiteur est un </w:t>
      </w:r>
      <w:r w:rsidR="002948B0" w:rsidRPr="00E72418">
        <w:rPr>
          <w:rFonts w:cs="Times New Roman"/>
          <w:shd w:val="clear" w:color="auto" w:fill="FFFFFF"/>
        </w:rPr>
        <w:t>É</w:t>
      </w:r>
      <w:r w:rsidR="002948B0" w:rsidRPr="00E72418">
        <w:t>tat, indépendamment de la situation de celui-ci, de la situation de sa population et de l’incidence du remboursement intégral de sa dette. La société déplorait que soient traités de la même façon tous les créanciers, que leurs débiteurs furent ou non en état d’insolvabilité ou de cessation de paiement avérée ou imminente au moment du rachat. L’identité de traitement, indépendamment du fait que le remboursement intégral des sommes réclamées ait ou non une incidence défavorable identifiable sur les finances publiques du débiteur ou compromette ou non le développement socio-économique de sa population, était également dénoncée</w:t>
      </w:r>
      <w:r w:rsidR="002948B0" w:rsidRPr="00E72418">
        <w:rPr>
          <w:rStyle w:val="Appelnotedebasdep"/>
          <w:rFonts w:cs="Times New Roman"/>
          <w:szCs w:val="24"/>
        </w:rPr>
        <w:footnoteReference w:id="1752"/>
      </w:r>
      <w:r w:rsidR="002948B0" w:rsidRPr="00E72418">
        <w:t>.</w:t>
      </w:r>
    </w:p>
    <w:p w14:paraId="0AC2BDD2" w14:textId="180896EB" w:rsidR="00224FDF" w:rsidRPr="00E72418" w:rsidRDefault="00DB6EAC" w:rsidP="00CC4BA8">
      <w:pPr>
        <w:spacing w:line="276" w:lineRule="auto"/>
      </w:pPr>
      <w:r w:rsidRPr="00E72418">
        <w:rPr>
          <w:rFonts w:cs="Times New Roman"/>
          <w:lang w:eastAsia="fr-BE"/>
        </w:rPr>
        <w:t>À</w:t>
      </w:r>
      <w:r w:rsidRPr="00E72418">
        <w:t xml:space="preserve"> </w:t>
      </w:r>
      <w:r w:rsidR="002948B0" w:rsidRPr="00E72418">
        <w:t xml:space="preserve">ces critiques, la Cour constitutionnelle répondit que les créanciers ne sont pas traités de la même manière dès lors que, pour les acquéreurs d’une créance sur un </w:t>
      </w:r>
      <w:r w:rsidR="002948B0" w:rsidRPr="00E72418">
        <w:rPr>
          <w:rFonts w:cs="Times New Roman"/>
          <w:shd w:val="clear" w:color="auto" w:fill="FFFFFF"/>
        </w:rPr>
        <w:t>É</w:t>
      </w:r>
      <w:r w:rsidR="002948B0" w:rsidRPr="00E72418">
        <w:t xml:space="preserve">tat n’étant pas au moment du rachat en état d’insolvabilité ou de cessation de paiement avérée ou imminente qui réclament ensuite à leur débiteur le paiement de sommes dont le remboursement intégral serait sans incidence défavorable identifiable sur ses finances publiques et ne pourrait compromettre le développement socio-économique de sa population, l’application des règles de la loi de 2015 est conditionnée par la rencontre, d’une part, d’une disproportion manifeste décrite à l’alinéa 3 de l’article 2, d’autre part, d’un des critères </w:t>
      </w:r>
      <w:r w:rsidR="00BB3DB9" w:rsidRPr="00E72418">
        <w:t xml:space="preserve">complétifs et </w:t>
      </w:r>
      <w:r w:rsidR="002948B0" w:rsidRPr="00E72418">
        <w:t>alternatifs listés à l’alinéa 4</w:t>
      </w:r>
      <w:r w:rsidR="002948B0" w:rsidRPr="00E72418">
        <w:rPr>
          <w:rStyle w:val="Appelnotedebasdep"/>
        </w:rPr>
        <w:footnoteReference w:id="1753"/>
      </w:r>
      <w:r w:rsidR="002948B0" w:rsidRPr="00E72418">
        <w:t xml:space="preserve">. </w:t>
      </w:r>
      <w:bookmarkStart w:id="404" w:name="_Toc37777400"/>
      <w:bookmarkStart w:id="405" w:name="_Toc37777406"/>
    </w:p>
    <w:p w14:paraId="1C927E0E" w14:textId="77777777" w:rsidR="000F2F62" w:rsidRPr="00E72418" w:rsidRDefault="000F2F62" w:rsidP="00CC4BA8">
      <w:pPr>
        <w:spacing w:line="276" w:lineRule="auto"/>
      </w:pPr>
    </w:p>
    <w:p w14:paraId="6BF8CC72" w14:textId="4A91597F" w:rsidR="005D3812" w:rsidRPr="00E72418" w:rsidRDefault="008665DF" w:rsidP="00CC4BA8">
      <w:pPr>
        <w:pStyle w:val="DD"/>
        <w:spacing w:line="276" w:lineRule="auto"/>
      </w:pPr>
      <w:bookmarkStart w:id="406" w:name="_Toc59281001"/>
      <w:bookmarkStart w:id="407" w:name="_Toc84540992"/>
      <w:r w:rsidRPr="00E72418">
        <w:lastRenderedPageBreak/>
        <w:t xml:space="preserve">Section 5 : </w:t>
      </w:r>
      <w:r w:rsidR="005D3812" w:rsidRPr="00E72418">
        <w:t>Les personnes et les dettes concerné</w:t>
      </w:r>
      <w:r w:rsidR="00557FD6" w:rsidRPr="00E72418">
        <w:t>e</w:t>
      </w:r>
      <w:r w:rsidR="005D3812" w:rsidRPr="00E72418">
        <w:t>s</w:t>
      </w:r>
      <w:bookmarkEnd w:id="404"/>
      <w:bookmarkEnd w:id="406"/>
      <w:bookmarkEnd w:id="407"/>
    </w:p>
    <w:p w14:paraId="45234104" w14:textId="77777777" w:rsidR="000F2F62" w:rsidRPr="00E72418" w:rsidRDefault="000F2F62" w:rsidP="000F2F62"/>
    <w:p w14:paraId="12FC64FB" w14:textId="0BA5AF9C" w:rsidR="005D3812" w:rsidRPr="00E72418" w:rsidRDefault="004469AC" w:rsidP="00CC4BA8">
      <w:pPr>
        <w:spacing w:line="276" w:lineRule="auto"/>
        <w:rPr>
          <w:szCs w:val="24"/>
        </w:rPr>
      </w:pPr>
      <w:r w:rsidRPr="00E72418">
        <w:rPr>
          <w:b/>
        </w:rPr>
        <w:t>352</w:t>
      </w:r>
      <w:r w:rsidR="00817D62" w:rsidRPr="00E72418">
        <w:rPr>
          <w:b/>
        </w:rPr>
        <w:t xml:space="preserve">. </w:t>
      </w:r>
      <w:r w:rsidR="005D3812" w:rsidRPr="00E72418">
        <w:rPr>
          <w:b/>
        </w:rPr>
        <w:t>Les créanciers concernés –</w:t>
      </w:r>
      <w:r w:rsidR="005D3812" w:rsidRPr="00E72418">
        <w:t xml:space="preserve"> Il ressort de l’article 2 de la loi du 12 juillet 2015 que les créanciers originaires </w:t>
      </w:r>
      <w:r w:rsidR="00B36472" w:rsidRPr="00E72418">
        <w:t xml:space="preserve">qui ont acquis leur titre lors de son </w:t>
      </w:r>
      <w:r w:rsidR="005D3812" w:rsidRPr="00E72418">
        <w:t xml:space="preserve">émission </w:t>
      </w:r>
      <w:r w:rsidR="00B36472" w:rsidRPr="00E72418">
        <w:t xml:space="preserve">et </w:t>
      </w:r>
      <w:r w:rsidR="005D3812" w:rsidRPr="00E72418">
        <w:t>qui cherchent à en obtenir le paiement ne sont pas concernés par le mécanisme mis en place</w:t>
      </w:r>
      <w:r w:rsidR="005D3812" w:rsidRPr="00E72418">
        <w:rPr>
          <w:rStyle w:val="Appelnotedebasdep"/>
          <w:rFonts w:cs="Times New Roman"/>
          <w:bCs/>
          <w:szCs w:val="24"/>
        </w:rPr>
        <w:footnoteReference w:id="1754"/>
      </w:r>
      <w:r w:rsidR="005D3812" w:rsidRPr="00E72418">
        <w:t>. Ainsi, les</w:t>
      </w:r>
      <w:r w:rsidR="00B36472" w:rsidRPr="00E72418">
        <w:t xml:space="preserve"> seuls</w:t>
      </w:r>
      <w:r w:rsidR="005D3812" w:rsidRPr="00E72418">
        <w:t xml:space="preserve"> créanciers visés sont les créanciers secondaires ayant racheté un emprunt ou une créance sur un </w:t>
      </w:r>
      <w:r w:rsidR="005D3812" w:rsidRPr="00E72418">
        <w:rPr>
          <w:lang w:eastAsia="fr-BE"/>
        </w:rPr>
        <w:t>É</w:t>
      </w:r>
      <w:r w:rsidR="005D3812" w:rsidRPr="00E72418">
        <w:t xml:space="preserve">tat. Toutefois, il ne suffit pas d’être un créancier </w:t>
      </w:r>
      <w:r w:rsidR="00B36472" w:rsidRPr="00E72418">
        <w:t>secondaire pour se voir appliquer</w:t>
      </w:r>
      <w:r w:rsidR="005D3812" w:rsidRPr="00E72418">
        <w:t xml:space="preserve"> l</w:t>
      </w:r>
      <w:r w:rsidR="005D3812" w:rsidRPr="00E72418">
        <w:rPr>
          <w:szCs w:val="24"/>
        </w:rPr>
        <w:t>e mécanisme, encore faut-il poursuivre un avantage illégitime</w:t>
      </w:r>
      <w:r w:rsidR="005D3812" w:rsidRPr="00E72418">
        <w:rPr>
          <w:rStyle w:val="Appelnotedebasdep"/>
          <w:szCs w:val="24"/>
        </w:rPr>
        <w:footnoteReference w:id="1755"/>
      </w:r>
      <w:r w:rsidR="005D3812" w:rsidRPr="00E72418">
        <w:rPr>
          <w:szCs w:val="24"/>
        </w:rPr>
        <w:t>. C’est parce qu’un créancier recherche un avantage illégitime qu’il est juridiquement qualifié de « fonds vautour » au sens de la loi du 12 juillet 2015</w:t>
      </w:r>
      <w:r w:rsidR="005D3812" w:rsidRPr="00E72418">
        <w:rPr>
          <w:rStyle w:val="Appelnotedebasdep"/>
          <w:rFonts w:cs="Times New Roman"/>
          <w:bCs/>
          <w:szCs w:val="24"/>
        </w:rPr>
        <w:footnoteReference w:id="1756"/>
      </w:r>
      <w:r w:rsidR="005D3812" w:rsidRPr="00E72418">
        <w:rPr>
          <w:szCs w:val="24"/>
        </w:rPr>
        <w:t xml:space="preserve">. </w:t>
      </w:r>
    </w:p>
    <w:p w14:paraId="77BA9CCA" w14:textId="13EB2E78" w:rsidR="005D3812" w:rsidRPr="00E72418" w:rsidRDefault="005D3812" w:rsidP="00CC4BA8">
      <w:pPr>
        <w:spacing w:line="276" w:lineRule="auto"/>
      </w:pPr>
      <w:r w:rsidRPr="00E72418">
        <w:t>Ce champ d’application restreint aux seuls créanciers secondaires mus par la volonté de profiter de la situation difficile d’</w:t>
      </w:r>
      <w:r w:rsidRPr="00E72418">
        <w:rPr>
          <w:lang w:eastAsia="fr-BE"/>
        </w:rPr>
        <w:t>É</w:t>
      </w:r>
      <w:r w:rsidR="00545255" w:rsidRPr="00E72418">
        <w:t>tats fortement endettés permi</w:t>
      </w:r>
      <w:r w:rsidRPr="00E72418">
        <w:t xml:space="preserve">t au législateur </w:t>
      </w:r>
      <w:r w:rsidR="00545255" w:rsidRPr="00E72418">
        <w:t xml:space="preserve">belge </w:t>
      </w:r>
      <w:r w:rsidRPr="00E72418">
        <w:t xml:space="preserve">de surmonter la critique acerbe de </w:t>
      </w:r>
      <w:r w:rsidR="00545255" w:rsidRPr="00E72418">
        <w:t>la nuisance à l’efficience du marché des</w:t>
      </w:r>
      <w:r w:rsidRPr="00E72418">
        <w:t xml:space="preserve"> dette</w:t>
      </w:r>
      <w:r w:rsidR="00545255" w:rsidRPr="00E72418">
        <w:t>s</w:t>
      </w:r>
      <w:r w:rsidRPr="00E72418">
        <w:t xml:space="preserve"> souveraine</w:t>
      </w:r>
      <w:r w:rsidR="00545255" w:rsidRPr="00E72418">
        <w:t>s</w:t>
      </w:r>
      <w:r w:rsidRPr="00E72418">
        <w:t xml:space="preserve"> avancée par certains</w:t>
      </w:r>
      <w:r w:rsidRPr="00E72418">
        <w:rPr>
          <w:rStyle w:val="Appelnotedebasdep"/>
          <w:rFonts w:cs="Times New Roman"/>
          <w:bCs/>
          <w:szCs w:val="24"/>
        </w:rPr>
        <w:footnoteReference w:id="1757"/>
      </w:r>
      <w:r w:rsidRPr="00E72418">
        <w:t>. Comme cela fut expliqué lors de la discussion du texte de loi en séance plénière à la Chambre des représentants</w:t>
      </w:r>
      <w:r w:rsidRPr="00E72418">
        <w:rPr>
          <w:rFonts w:ascii="Times New Roman" w:hAnsi="Times New Roman" w:cs="Times New Roman"/>
          <w:szCs w:val="24"/>
        </w:rPr>
        <w:t>,</w:t>
      </w:r>
      <w:r w:rsidR="004E3031" w:rsidRPr="00E72418">
        <w:rPr>
          <w:rFonts w:ascii="Times New Roman" w:hAnsi="Times New Roman" w:cs="Times New Roman"/>
          <w:szCs w:val="24"/>
        </w:rPr>
        <w:t xml:space="preserve"> « [</w:t>
      </w:r>
      <w:r w:rsidR="004E3031" w:rsidRPr="00E72418">
        <w:rPr>
          <w:rFonts w:ascii="Times New Roman" w:hAnsi="Times New Roman" w:cs="Times New Roman"/>
          <w:szCs w:val="24"/>
          <w:lang w:val="fr-BE"/>
        </w:rPr>
        <w:t>de nieuwe wet</w:t>
      </w:r>
      <w:r w:rsidR="004E3031" w:rsidRPr="00E72418">
        <w:rPr>
          <w:rFonts w:ascii="Times New Roman" w:hAnsi="Times New Roman" w:cs="Times New Roman"/>
          <w:szCs w:val="24"/>
        </w:rPr>
        <w:t>]</w:t>
      </w:r>
      <w:r w:rsidR="004E3031" w:rsidRPr="00E72418">
        <w:rPr>
          <w:rFonts w:ascii="Times New Roman" w:hAnsi="Times New Roman" w:cs="Times New Roman"/>
          <w:szCs w:val="24"/>
          <w:lang w:val="fr-BE"/>
        </w:rPr>
        <w:t xml:space="preserve"> beoogt wel degelijk aasgierfondsen. Die willen wij aan banden leggen. Het is ons niet te doen om normale transacties, noch willen wij secundaire markten belemmeren of bemoeilijken. Dat is absoluut niet de bedoeling </w:t>
      </w:r>
      <w:r w:rsidRPr="00E72418">
        <w:rPr>
          <w:rFonts w:ascii="Times New Roman" w:hAnsi="Times New Roman" w:cs="Times New Roman"/>
          <w:szCs w:val="24"/>
        </w:rPr>
        <w:t>»</w:t>
      </w:r>
      <w:r w:rsidRPr="00E72418">
        <w:rPr>
          <w:rStyle w:val="Appelnotedebasdep"/>
          <w:rFonts w:ascii="Times New Roman" w:hAnsi="Times New Roman" w:cs="Times New Roman"/>
          <w:bCs/>
          <w:szCs w:val="24"/>
        </w:rPr>
        <w:footnoteReference w:id="1758"/>
      </w:r>
      <w:r w:rsidRPr="00E72418">
        <w:rPr>
          <w:rFonts w:ascii="Times New Roman" w:hAnsi="Times New Roman" w:cs="Times New Roman"/>
          <w:szCs w:val="24"/>
        </w:rPr>
        <w:t xml:space="preserve">. </w:t>
      </w:r>
      <w:r w:rsidRPr="00E72418">
        <w:t xml:space="preserve">Il y </w:t>
      </w:r>
      <w:r w:rsidRPr="00E72418">
        <w:lastRenderedPageBreak/>
        <w:t>fut également indiqué qu’</w:t>
      </w:r>
      <w:r w:rsidR="00ED6880" w:rsidRPr="00E72418">
        <w:t xml:space="preserve"> </w:t>
      </w:r>
      <w:r w:rsidRPr="00E72418">
        <w:t>« </w:t>
      </w:r>
      <w:r w:rsidRPr="00E72418">
        <w:rPr>
          <w:rFonts w:cs="Times New Roman"/>
        </w:rPr>
        <w:t>[i]</w:t>
      </w:r>
      <w:r w:rsidRPr="00E72418">
        <w:t xml:space="preserve">l importe que le marché secondaire des dettes souveraines ne soit pas perturbé, afin d’assurer aux </w:t>
      </w:r>
      <w:r w:rsidRPr="00E72418">
        <w:rPr>
          <w:lang w:eastAsia="fr-BE"/>
        </w:rPr>
        <w:t>É</w:t>
      </w:r>
      <w:r w:rsidRPr="00E72418">
        <w:t xml:space="preserve">tats emprunteurs une véritable capacité à emprunter. Les créanciers classiques doivent pouvoir continuer à être rémunérés en fonction de leur prise de risque. Cette capacité est vitale pour les </w:t>
      </w:r>
      <w:r w:rsidRPr="00E72418">
        <w:rPr>
          <w:lang w:eastAsia="fr-BE"/>
        </w:rPr>
        <w:t>É</w:t>
      </w:r>
      <w:r w:rsidRPr="00E72418">
        <w:t>tats emprunteurs. En effet, sans créanciers, pas de financement de dette »</w:t>
      </w:r>
      <w:r w:rsidRPr="00E72418">
        <w:rPr>
          <w:rStyle w:val="Appelnotedebasdep"/>
          <w:rFonts w:cs="Times New Roman"/>
          <w:szCs w:val="24"/>
        </w:rPr>
        <w:footnoteReference w:id="1759"/>
      </w:r>
      <w:r w:rsidR="0096094A" w:rsidRPr="00E72418">
        <w:t>.</w:t>
      </w:r>
    </w:p>
    <w:p w14:paraId="4D1DE6A5" w14:textId="77777777" w:rsidR="005D3812" w:rsidRPr="00E72418" w:rsidRDefault="005D3812" w:rsidP="00CC4BA8">
      <w:pPr>
        <w:spacing w:line="276" w:lineRule="auto"/>
      </w:pPr>
    </w:p>
    <w:p w14:paraId="0F262C20" w14:textId="2740E6EB" w:rsidR="005D3812" w:rsidRPr="00E72418" w:rsidRDefault="004469AC" w:rsidP="00CC4BA8">
      <w:pPr>
        <w:spacing w:line="276" w:lineRule="auto"/>
      </w:pPr>
      <w:r w:rsidRPr="00E72418">
        <w:rPr>
          <w:b/>
        </w:rPr>
        <w:t>353</w:t>
      </w:r>
      <w:r w:rsidR="00817D62" w:rsidRPr="00E72418">
        <w:rPr>
          <w:b/>
        </w:rPr>
        <w:t xml:space="preserve">. </w:t>
      </w:r>
      <w:r w:rsidR="005D3812" w:rsidRPr="00E72418">
        <w:rPr>
          <w:b/>
        </w:rPr>
        <w:t xml:space="preserve">Les débiteurs concernés – </w:t>
      </w:r>
      <w:r w:rsidR="005D3812" w:rsidRPr="00E72418">
        <w:t xml:space="preserve">La loi relative à la lutte contre les activités des fonds vautours vise le rachat d’un emprunt ou d’une créance sur un </w:t>
      </w:r>
      <w:r w:rsidR="005D3812" w:rsidRPr="00E72418">
        <w:rPr>
          <w:lang w:eastAsia="fr-BE"/>
        </w:rPr>
        <w:t>É</w:t>
      </w:r>
      <w:r w:rsidR="005D3812" w:rsidRPr="00E72418">
        <w:t xml:space="preserve">tat sans donner de précisions quant à la personne du débiteur. Ainsi, </w:t>
      </w:r>
      <w:r w:rsidR="005D3812" w:rsidRPr="00E72418">
        <w:rPr>
          <w:i/>
        </w:rPr>
        <w:t>a priori</w:t>
      </w:r>
      <w:r w:rsidR="005D3812" w:rsidRPr="00E72418">
        <w:t xml:space="preserve">, tous les </w:t>
      </w:r>
      <w:r w:rsidR="005D3812" w:rsidRPr="00E72418">
        <w:rPr>
          <w:lang w:eastAsia="fr-BE"/>
        </w:rPr>
        <w:t>É</w:t>
      </w:r>
      <w:r w:rsidR="005D3812" w:rsidRPr="00E72418">
        <w:t>tats débiteurs peuvent être amenés à bénéficier du mécanisme protecteur institué</w:t>
      </w:r>
      <w:r w:rsidR="005D3812" w:rsidRPr="00E72418">
        <w:rPr>
          <w:rStyle w:val="Appelnotedebasdep"/>
        </w:rPr>
        <w:footnoteReference w:id="1760"/>
      </w:r>
      <w:r w:rsidR="005D3812" w:rsidRPr="00E72418">
        <w:t xml:space="preserve">. Le législateur belge n’a pas réservé l’application de son mécanisme aux seuls </w:t>
      </w:r>
      <w:r w:rsidR="005D3812" w:rsidRPr="00E72418">
        <w:rPr>
          <w:lang w:eastAsia="fr-BE"/>
        </w:rPr>
        <w:t>É</w:t>
      </w:r>
      <w:r w:rsidR="005D3812" w:rsidRPr="00E72418">
        <w:t>tats les plus pauvres ou à ceux en proie à des difficultés financières. En effet, les références faites à la précarité de l’</w:t>
      </w:r>
      <w:r w:rsidR="005D3812" w:rsidRPr="00E72418">
        <w:rPr>
          <w:lang w:eastAsia="fr-BE"/>
        </w:rPr>
        <w:t>É</w:t>
      </w:r>
      <w:r w:rsidR="005D3812" w:rsidRPr="00E72418">
        <w:t xml:space="preserve">tat étranger débiteur le sont uniquement dans certains des critères </w:t>
      </w:r>
      <w:r w:rsidR="00BB3DB9" w:rsidRPr="00E72418">
        <w:t xml:space="preserve">complétifs et </w:t>
      </w:r>
      <w:r w:rsidR="001F7424" w:rsidRPr="00E72418">
        <w:t xml:space="preserve">alternatifs </w:t>
      </w:r>
      <w:r w:rsidR="005D3812" w:rsidRPr="00E72418">
        <w:t>permettant de retenir qu’il y a avantage illégitime</w:t>
      </w:r>
      <w:r w:rsidR="005D3812" w:rsidRPr="00E72418">
        <w:rPr>
          <w:rStyle w:val="Appelnotedebasdep"/>
          <w:rFonts w:cs="Times New Roman"/>
          <w:bCs/>
          <w:szCs w:val="24"/>
        </w:rPr>
        <w:footnoteReference w:id="1761"/>
      </w:r>
      <w:r w:rsidR="005D3812" w:rsidRPr="00E72418">
        <w:t xml:space="preserve">. </w:t>
      </w:r>
      <w:r w:rsidR="001F7424" w:rsidRPr="00E72418">
        <w:t>Ainsi, dès lors qu’ils</w:t>
      </w:r>
      <w:r w:rsidR="005D3812" w:rsidRPr="00E72418">
        <w:t xml:space="preserve"> sont alternatifs et que certains d’entre eux n’ont pas de lien avec la situation financière de l’</w:t>
      </w:r>
      <w:r w:rsidR="005D3812" w:rsidRPr="00E72418">
        <w:rPr>
          <w:lang w:eastAsia="fr-BE"/>
        </w:rPr>
        <w:t>É</w:t>
      </w:r>
      <w:r w:rsidR="005D3812" w:rsidRPr="00E72418">
        <w:t xml:space="preserve">tat débiteur, l’on doit conclure que le mécanisme mis en place n’est pas réservé aux seuls </w:t>
      </w:r>
      <w:r w:rsidR="005D3812" w:rsidRPr="00E72418">
        <w:rPr>
          <w:lang w:eastAsia="fr-BE"/>
        </w:rPr>
        <w:t>É</w:t>
      </w:r>
      <w:r w:rsidR="005D3812" w:rsidRPr="00E72418">
        <w:t>tats les plus pauvres</w:t>
      </w:r>
      <w:r w:rsidR="005D3812" w:rsidRPr="00E72418">
        <w:rPr>
          <w:rStyle w:val="Appelnotedebasdep"/>
        </w:rPr>
        <w:footnoteReference w:id="1762"/>
      </w:r>
      <w:r w:rsidR="005D3812" w:rsidRPr="00E72418">
        <w:t>.</w:t>
      </w:r>
    </w:p>
    <w:p w14:paraId="4677757B" w14:textId="5674CB4B" w:rsidR="005D3812" w:rsidRPr="00E72418" w:rsidRDefault="006A6169" w:rsidP="00CC4BA8">
      <w:pPr>
        <w:spacing w:line="276" w:lineRule="auto"/>
      </w:pPr>
      <w:r w:rsidRPr="00E72418">
        <w:t>Bien que</w:t>
      </w:r>
      <w:r w:rsidR="005D3812" w:rsidRPr="00E72418">
        <w:t xml:space="preserve"> le champ d’application de la loi belge est large, relevons toutefois que seuls les </w:t>
      </w:r>
      <w:r w:rsidR="005D3812" w:rsidRPr="00E72418">
        <w:rPr>
          <w:lang w:eastAsia="fr-BE"/>
        </w:rPr>
        <w:t>É</w:t>
      </w:r>
      <w:r w:rsidR="005D3812" w:rsidRPr="00E72418">
        <w:t xml:space="preserve">tats étrangers peuvent se trouver protégés. Autrement dit, le texte de loi ne permet pas d’appliquer le mécanisme aux emprunts ou aux créances </w:t>
      </w:r>
      <w:r w:rsidRPr="00E72418">
        <w:t xml:space="preserve">rachetés </w:t>
      </w:r>
      <w:r w:rsidR="005D3812" w:rsidRPr="00E72418">
        <w:t xml:space="preserve">sur des entités </w:t>
      </w:r>
      <w:r w:rsidR="00F84DE0" w:rsidRPr="00E72418">
        <w:t>infra-étatiques</w:t>
      </w:r>
      <w:r w:rsidR="005D3812" w:rsidRPr="00E72418">
        <w:t>.</w:t>
      </w:r>
    </w:p>
    <w:p w14:paraId="6FE2CFD0" w14:textId="77777777" w:rsidR="005D3812" w:rsidRPr="00E72418" w:rsidRDefault="005D3812" w:rsidP="00CC4BA8">
      <w:pPr>
        <w:spacing w:line="276" w:lineRule="auto"/>
      </w:pPr>
    </w:p>
    <w:p w14:paraId="6B4B607C" w14:textId="249AE464" w:rsidR="005D3812" w:rsidRPr="00E72418" w:rsidRDefault="007F038F" w:rsidP="00CC4BA8">
      <w:pPr>
        <w:spacing w:line="276" w:lineRule="auto"/>
      </w:pPr>
      <w:r w:rsidRPr="00E72418">
        <w:rPr>
          <w:b/>
        </w:rPr>
        <w:t>35</w:t>
      </w:r>
      <w:r w:rsidR="004469AC" w:rsidRPr="00E72418">
        <w:rPr>
          <w:b/>
        </w:rPr>
        <w:t>4</w:t>
      </w:r>
      <w:r w:rsidR="00817D62" w:rsidRPr="00E72418">
        <w:rPr>
          <w:b/>
        </w:rPr>
        <w:t xml:space="preserve">. </w:t>
      </w:r>
      <w:r w:rsidR="005D3812" w:rsidRPr="00E72418">
        <w:rPr>
          <w:b/>
        </w:rPr>
        <w:t>Les dettes concernées –</w:t>
      </w:r>
      <w:r w:rsidR="005D3812" w:rsidRPr="00E72418">
        <w:t xml:space="preserve"> Quoique la dette souveraine puisse revêtir des formes diverses, à défaut d’indications plus précises que les termes « emprunt ou créance sur un </w:t>
      </w:r>
      <w:r w:rsidR="005D3812" w:rsidRPr="00E72418">
        <w:rPr>
          <w:lang w:eastAsia="fr-BE"/>
        </w:rPr>
        <w:t>É</w:t>
      </w:r>
      <w:r w:rsidR="005D3812" w:rsidRPr="00E72418">
        <w:t xml:space="preserve">tat » dans le texte de loi, il faut comprendre que l’ensemble des engagements que peut souscrire un </w:t>
      </w:r>
      <w:r w:rsidR="005D3812" w:rsidRPr="00E72418">
        <w:rPr>
          <w:lang w:eastAsia="fr-BE"/>
        </w:rPr>
        <w:t>É</w:t>
      </w:r>
      <w:r w:rsidR="005D3812" w:rsidRPr="00E72418">
        <w:t xml:space="preserve">tat sont </w:t>
      </w:r>
      <w:r w:rsidR="005D3812" w:rsidRPr="00E72418">
        <w:lastRenderedPageBreak/>
        <w:t>visés par la législation belge</w:t>
      </w:r>
      <w:r w:rsidR="005D3812" w:rsidRPr="00E72418">
        <w:rPr>
          <w:rStyle w:val="Appelnotedebasdep"/>
          <w:rFonts w:cs="Times New Roman"/>
          <w:bCs/>
          <w:szCs w:val="24"/>
        </w:rPr>
        <w:footnoteReference w:id="1763"/>
      </w:r>
      <w:r w:rsidR="005D3812" w:rsidRPr="00E72418">
        <w:t xml:space="preserve">. Il peut ainsi </w:t>
      </w:r>
      <w:r w:rsidR="005D3812" w:rsidRPr="00E72418">
        <w:rPr>
          <w:i/>
        </w:rPr>
        <w:t>a priori</w:t>
      </w:r>
      <w:r w:rsidR="00F84DE0" w:rsidRPr="00E72418">
        <w:t xml:space="preserve"> s’agir de toute dette de somme</w:t>
      </w:r>
      <w:r w:rsidR="005D3812" w:rsidRPr="00E72418">
        <w:t>, quelle qu’elle soit pour autant qu’elle soit transférable</w:t>
      </w:r>
      <w:r w:rsidR="005D3812" w:rsidRPr="00E72418">
        <w:rPr>
          <w:rStyle w:val="Appelnotedebasdep"/>
          <w:rFonts w:cs="Times New Roman"/>
          <w:bCs/>
          <w:szCs w:val="24"/>
        </w:rPr>
        <w:footnoteReference w:id="1764"/>
      </w:r>
      <w:r w:rsidR="005D3812" w:rsidRPr="00E72418">
        <w:t xml:space="preserve">. Notons encore que si le transfert </w:t>
      </w:r>
      <w:r w:rsidR="00F84DE0" w:rsidRPr="00E72418">
        <w:t>du titre</w:t>
      </w:r>
      <w:r w:rsidR="005D3812" w:rsidRPr="00E72418">
        <w:t xml:space="preserve"> est une condition d’application cardinale du mécanisme </w:t>
      </w:r>
      <w:r w:rsidR="00224FDF" w:rsidRPr="00E72418">
        <w:t>créé</w:t>
      </w:r>
      <w:r w:rsidR="005D3812" w:rsidRPr="00E72418">
        <w:t>, la législation belge ne précise toutefois pas spécifiquement le moment auquel le rachat de l’emprunt ou de la créance doit avoir eu lieu. En effet, le seul critère temporel contenu dans la loi</w:t>
      </w:r>
      <w:r w:rsidR="00F84DE0" w:rsidRPr="00E72418">
        <w:t>,</w:t>
      </w:r>
      <w:r w:rsidR="005D3812" w:rsidRPr="00E72418">
        <w:t xml:space="preserve"> à savoir que « l’</w:t>
      </w:r>
      <w:r w:rsidR="005D3812" w:rsidRPr="00E72418">
        <w:rPr>
          <w:lang w:eastAsia="fr-BE"/>
        </w:rPr>
        <w:t>É</w:t>
      </w:r>
      <w:r w:rsidR="005D3812" w:rsidRPr="00E72418">
        <w:t>tat débiteur était en état d’insolvabilité ou de cessation de paiements avérée ou imminente au moment du rachat de l’emprunt ou de la créance », ne doit pas être impérativement rencontré</w:t>
      </w:r>
      <w:r w:rsidR="005D3812" w:rsidRPr="00E72418">
        <w:rPr>
          <w:rStyle w:val="Appelnotedebasdep"/>
        </w:rPr>
        <w:footnoteReference w:id="1765"/>
      </w:r>
      <w:r w:rsidR="005D3812" w:rsidRPr="00E72418">
        <w:t>.</w:t>
      </w:r>
    </w:p>
    <w:p w14:paraId="298DEC11" w14:textId="77777777" w:rsidR="005D3812" w:rsidRPr="00E72418" w:rsidRDefault="005D3812" w:rsidP="00CC4BA8">
      <w:pPr>
        <w:spacing w:line="276" w:lineRule="auto"/>
      </w:pPr>
    </w:p>
    <w:p w14:paraId="44A61DBE" w14:textId="3ADC8A5C" w:rsidR="005D3812" w:rsidRPr="00E72418" w:rsidRDefault="008665DF" w:rsidP="00CC4BA8">
      <w:pPr>
        <w:pStyle w:val="DD"/>
        <w:spacing w:line="276" w:lineRule="auto"/>
      </w:pPr>
      <w:bookmarkStart w:id="408" w:name="_Toc59281002"/>
      <w:bookmarkStart w:id="409" w:name="_Toc84540993"/>
      <w:bookmarkEnd w:id="405"/>
      <w:r w:rsidRPr="00E72418">
        <w:t xml:space="preserve">Section 6 : </w:t>
      </w:r>
      <w:r w:rsidR="002D46F3" w:rsidRPr="00E72418">
        <w:t xml:space="preserve">La place de la </w:t>
      </w:r>
      <w:bookmarkEnd w:id="408"/>
      <w:r w:rsidR="00D84FB8" w:rsidRPr="00E72418">
        <w:t>loi</w:t>
      </w:r>
      <w:bookmarkEnd w:id="409"/>
    </w:p>
    <w:p w14:paraId="0D57520E" w14:textId="77777777" w:rsidR="007A12E9" w:rsidRPr="00E72418" w:rsidRDefault="007A12E9" w:rsidP="007A12E9"/>
    <w:p w14:paraId="754D2A1E" w14:textId="67379061" w:rsidR="005A51FC" w:rsidRPr="00E72418" w:rsidRDefault="004469AC" w:rsidP="00CC4BA8">
      <w:pPr>
        <w:spacing w:line="276" w:lineRule="auto"/>
      </w:pPr>
      <w:r w:rsidRPr="00E72418">
        <w:rPr>
          <w:b/>
        </w:rPr>
        <w:t>355</w:t>
      </w:r>
      <w:r w:rsidR="00817D62" w:rsidRPr="00E72418">
        <w:rPr>
          <w:b/>
        </w:rPr>
        <w:t xml:space="preserve">. </w:t>
      </w:r>
      <w:r w:rsidR="005D3812" w:rsidRPr="00E72418">
        <w:rPr>
          <w:b/>
        </w:rPr>
        <w:t>L’application temporelle –</w:t>
      </w:r>
      <w:r w:rsidR="00F84DE0" w:rsidRPr="00E72418">
        <w:t xml:space="preserve"> L</w:t>
      </w:r>
      <w:r w:rsidR="005D3812" w:rsidRPr="00E72418">
        <w:t xml:space="preserve">e moment de l’introduction </w:t>
      </w:r>
      <w:r w:rsidR="00ED6880" w:rsidRPr="00E72418">
        <w:t xml:space="preserve">de la demande détermine si </w:t>
      </w:r>
      <w:r w:rsidR="005D3812" w:rsidRPr="00E72418">
        <w:t xml:space="preserve">la loi belge trouve à s’appliquer </w:t>
      </w:r>
      <w:r w:rsidR="00F84DE0" w:rsidRPr="00E72418">
        <w:t>au titre concerné</w:t>
      </w:r>
      <w:r w:rsidR="005D3812" w:rsidRPr="00E72418">
        <w:t xml:space="preserve">. La loi s’applique </w:t>
      </w:r>
      <w:r w:rsidR="00125AFE" w:rsidRPr="00E72418">
        <w:t>ainsi</w:t>
      </w:r>
      <w:r w:rsidR="005D3812" w:rsidRPr="00E72418">
        <w:t xml:space="preserve"> aux procédures introduites postérieurement à son entrée en vigueur sans qu’il faille s’arrêter à la date de rachat </w:t>
      </w:r>
      <w:r w:rsidR="00F84DE0" w:rsidRPr="00E72418">
        <w:t>du titre</w:t>
      </w:r>
      <w:r w:rsidR="005D3812" w:rsidRPr="00E72418">
        <w:rPr>
          <w:rStyle w:val="Appelnotedebasdep"/>
          <w:rFonts w:cs="Times New Roman"/>
          <w:sz w:val="20"/>
          <w:szCs w:val="20"/>
        </w:rPr>
        <w:footnoteReference w:id="1766"/>
      </w:r>
      <w:r w:rsidR="005D3812" w:rsidRPr="00E72418">
        <w:t>.</w:t>
      </w:r>
      <w:r w:rsidR="00125AFE" w:rsidRPr="00E72418">
        <w:t xml:space="preserve"> </w:t>
      </w:r>
      <w:r w:rsidR="005A51FC" w:rsidRPr="00E72418">
        <w:t xml:space="preserve">Devant la Cour constitutionnelle belge, la société </w:t>
      </w:r>
      <w:r w:rsidR="005A51FC" w:rsidRPr="00E72418">
        <w:rPr>
          <w:i/>
        </w:rPr>
        <w:t>NML Capital Ltd</w:t>
      </w:r>
      <w:r w:rsidR="005A51FC" w:rsidRPr="00E72418">
        <w:t xml:space="preserve">. reprocha l’absence de régime transitoire pour les rachats de </w:t>
      </w:r>
      <w:r w:rsidR="00F84DE0" w:rsidRPr="00E72418">
        <w:t>titres</w:t>
      </w:r>
      <w:r w:rsidR="005A51FC" w:rsidRPr="00E72418">
        <w:t xml:space="preserve"> sur un </w:t>
      </w:r>
      <w:r w:rsidR="005A51FC" w:rsidRPr="00E72418">
        <w:rPr>
          <w:rFonts w:cs="Times New Roman"/>
          <w:shd w:val="clear" w:color="auto" w:fill="FFFFFF"/>
        </w:rPr>
        <w:t>É</w:t>
      </w:r>
      <w:r w:rsidR="005A51FC" w:rsidRPr="00E72418">
        <w:t>tat opérés avant l’entrée en vigueur de la loi</w:t>
      </w:r>
      <w:r w:rsidR="005A51FC" w:rsidRPr="00E72418">
        <w:rPr>
          <w:rStyle w:val="Appelnotedebasdep"/>
          <w:rFonts w:cs="Times New Roman"/>
          <w:szCs w:val="24"/>
        </w:rPr>
        <w:footnoteReference w:id="1767"/>
      </w:r>
      <w:r w:rsidR="005A51FC" w:rsidRPr="00E72418">
        <w:t xml:space="preserve">. </w:t>
      </w:r>
      <w:r w:rsidR="00125AFE" w:rsidRPr="00E72418">
        <w:rPr>
          <w:rFonts w:cs="Times New Roman"/>
          <w:szCs w:val="24"/>
        </w:rPr>
        <w:t>La loi s’applique en effet aux emprunts et créances rachetés tant avant qu’après son entrée en vigueur</w:t>
      </w:r>
      <w:r w:rsidR="00125AFE" w:rsidRPr="00E72418">
        <w:rPr>
          <w:rStyle w:val="Appelnotedebasdep"/>
          <w:rFonts w:cs="Times New Roman"/>
        </w:rPr>
        <w:footnoteReference w:id="1768"/>
      </w:r>
      <w:r w:rsidR="00125AFE" w:rsidRPr="00E72418">
        <w:rPr>
          <w:rFonts w:cs="Times New Roman"/>
          <w:szCs w:val="24"/>
        </w:rPr>
        <w:t xml:space="preserve">. </w:t>
      </w:r>
      <w:r w:rsidR="005A51FC" w:rsidRPr="00E72418">
        <w:t>Après avoir rappelé que les articles 10 et 11 de la Constitution ne sont violés que si l’absence de mesure transitoire entraîne une différence de traitement qui n’est pas susceptible de justification raisonnable ou s’il est porté une atteinte excessive au principe de la confiance légitime lié au principe de la sécurité juridique, la Cour constitutionnelle expliqua que l’objectif poursuivi par l’article 2 de la loi de 2015 justifie raisonnablement son application au</w:t>
      </w:r>
      <w:r w:rsidR="00F84DE0" w:rsidRPr="00E72418">
        <w:t xml:space="preserve">x personnes qui ont racheté un titre </w:t>
      </w:r>
      <w:r w:rsidR="005A51FC" w:rsidRPr="00E72418">
        <w:t xml:space="preserve">sur un </w:t>
      </w:r>
      <w:r w:rsidR="005A51FC" w:rsidRPr="00E72418">
        <w:rPr>
          <w:rFonts w:cs="Times New Roman"/>
          <w:shd w:val="clear" w:color="auto" w:fill="FFFFFF"/>
        </w:rPr>
        <w:t>É</w:t>
      </w:r>
      <w:r w:rsidR="005A51FC" w:rsidRPr="00E72418">
        <w:t>tat avant l’entrée en vigueur de la loi et qu’il n’est, au surplus, pas porté d’atteinte disproportion</w:t>
      </w:r>
      <w:r w:rsidR="00F84DE0" w:rsidRPr="00E72418">
        <w:t>née aux droits de ces personnes</w:t>
      </w:r>
      <w:r w:rsidR="005A51FC" w:rsidRPr="00E72418">
        <w:rPr>
          <w:rStyle w:val="Appelnotedebasdep"/>
        </w:rPr>
        <w:footnoteReference w:id="1769"/>
      </w:r>
      <w:r w:rsidR="005A51FC" w:rsidRPr="00E72418">
        <w:t>.</w:t>
      </w:r>
    </w:p>
    <w:p w14:paraId="2C55BBEF" w14:textId="77777777" w:rsidR="005D3812" w:rsidRPr="00E72418" w:rsidRDefault="005D3812" w:rsidP="00CC4BA8">
      <w:pPr>
        <w:spacing w:line="276" w:lineRule="auto"/>
      </w:pPr>
    </w:p>
    <w:p w14:paraId="70177D30" w14:textId="35E4B8C5" w:rsidR="005D3812" w:rsidRPr="00E72418" w:rsidRDefault="004469AC" w:rsidP="00CC4BA8">
      <w:pPr>
        <w:spacing w:line="276" w:lineRule="auto"/>
      </w:pPr>
      <w:r w:rsidRPr="00E72418">
        <w:rPr>
          <w:b/>
        </w:rPr>
        <w:lastRenderedPageBreak/>
        <w:t>356</w:t>
      </w:r>
      <w:r w:rsidR="00817D62" w:rsidRPr="00E72418">
        <w:rPr>
          <w:b/>
        </w:rPr>
        <w:t xml:space="preserve">. </w:t>
      </w:r>
      <w:r w:rsidR="005D3812" w:rsidRPr="00E72418">
        <w:rPr>
          <w:b/>
        </w:rPr>
        <w:t>Le seul territoire belge –</w:t>
      </w:r>
      <w:r w:rsidR="005D3812" w:rsidRPr="00E72418">
        <w:t xml:space="preserve"> Il ressort du deuxième alinéa de l’article 2 de la loi du 12 juillet 2015 que le mécanisme mis en place est limité au seul territoire belge. Ainsi, aucun titre exécutoire ne pourra y être obtenu de même qu’aucune mesure conservatoire ou d’exécution forc</w:t>
      </w:r>
      <w:r w:rsidR="00B66150" w:rsidRPr="00E72418">
        <w:t>ée ne pourra y être prise</w:t>
      </w:r>
      <w:r w:rsidR="005D3812" w:rsidRPr="00E72418">
        <w:t xml:space="preserve"> en vue d’un paiement à percevoir en Belgique. Comme cela fut indiqué lors des débats en séance plénière à la Chambre des représentants, la loi vise des situations purement belges</w:t>
      </w:r>
      <w:r w:rsidR="005D3812" w:rsidRPr="00E72418">
        <w:rPr>
          <w:rStyle w:val="Appelnotedebasdep"/>
          <w:rFonts w:cs="Times New Roman"/>
          <w:szCs w:val="24"/>
        </w:rPr>
        <w:footnoteReference w:id="1770"/>
      </w:r>
      <w:r w:rsidR="005D3812" w:rsidRPr="00E72418">
        <w:t xml:space="preserve">. Si la </w:t>
      </w:r>
      <w:r w:rsidR="002D46F3" w:rsidRPr="00E72418">
        <w:t>probabilité</w:t>
      </w:r>
      <w:r w:rsidR="005D3812" w:rsidRPr="00E72418">
        <w:t xml:space="preserve"> que des fonds spéculatifs saisissent les juridictions belges afin de poursuivre la condamnation d’</w:t>
      </w:r>
      <w:r w:rsidR="005D3812" w:rsidRPr="00E72418">
        <w:rPr>
          <w:lang w:eastAsia="fr-BE"/>
        </w:rPr>
        <w:t>É</w:t>
      </w:r>
      <w:r w:rsidR="005D3812" w:rsidRPr="00E72418">
        <w:t xml:space="preserve">tats débiteurs paraît </w:t>
      </w:r>
      <w:r w:rsidR="002D46F3" w:rsidRPr="00E72418">
        <w:t>faible en pratique,</w:t>
      </w:r>
      <w:r w:rsidR="005D3812" w:rsidRPr="00E72418">
        <w:t xml:space="preserve"> pour ne pas dire inexistante, au regard des fréquentes clauses de juridiction insérées dans les contrats de dettes désignant comme compétentes d’autres juridictions que les juridictions belges,</w:t>
      </w:r>
      <w:r w:rsidR="002D46F3" w:rsidRPr="00E72418">
        <w:t xml:space="preserve"> il n’en est pas de même pour</w:t>
      </w:r>
      <w:r w:rsidR="005D3812" w:rsidRPr="00E72418">
        <w:t xml:space="preserve"> les mesures conservatoires ou d’exécution forcée </w:t>
      </w:r>
      <w:r w:rsidR="002D46F3" w:rsidRPr="00E72418">
        <w:t xml:space="preserve">qui </w:t>
      </w:r>
      <w:r w:rsidR="005D3812" w:rsidRPr="00E72418">
        <w:t>paraissent elles moins hypothétiques</w:t>
      </w:r>
      <w:r w:rsidR="005D3812" w:rsidRPr="00E72418">
        <w:rPr>
          <w:rStyle w:val="Appelnotedebasdep"/>
        </w:rPr>
        <w:footnoteReference w:id="1771"/>
      </w:r>
      <w:r w:rsidR="005D3812" w:rsidRPr="00E72418">
        <w:t xml:space="preserve">. </w:t>
      </w:r>
      <w:r w:rsidR="002D46F3" w:rsidRPr="00E72418">
        <w:t xml:space="preserve">On </w:t>
      </w:r>
      <w:r w:rsidR="00FA0DCF" w:rsidRPr="00E72418">
        <w:t>sait en effet que la</w:t>
      </w:r>
      <w:r w:rsidR="002D46F3" w:rsidRPr="00E72418">
        <w:t xml:space="preserve"> stratégie d’exécution des fonds spéculatifs ne conna</w:t>
      </w:r>
      <w:r w:rsidR="00FA0DCF" w:rsidRPr="00E72418">
        <w:t>î</w:t>
      </w:r>
      <w:r w:rsidR="002D46F3" w:rsidRPr="00E72418">
        <w:t>t aucune fro</w:t>
      </w:r>
      <w:r w:rsidR="003E382B" w:rsidRPr="00E72418">
        <w:t>ntière, chaque bien de l’</w:t>
      </w:r>
      <w:r w:rsidR="003E382B" w:rsidRPr="00E72418">
        <w:rPr>
          <w:lang w:eastAsia="fr-BE"/>
        </w:rPr>
        <w:t>É</w:t>
      </w:r>
      <w:r w:rsidR="002D46F3" w:rsidRPr="00E72418">
        <w:t>tat débiteur étant susceptible de les désintéresser ou à tout le moins de leur servir de moyen de pression</w:t>
      </w:r>
      <w:r w:rsidR="002D46F3" w:rsidRPr="00E72418">
        <w:rPr>
          <w:rStyle w:val="Appelnotedebasdep"/>
        </w:rPr>
        <w:footnoteReference w:id="1772"/>
      </w:r>
      <w:r w:rsidR="002D46F3" w:rsidRPr="00E72418">
        <w:t>.</w:t>
      </w:r>
    </w:p>
    <w:p w14:paraId="502A9193" w14:textId="77777777" w:rsidR="00741720" w:rsidRPr="00E72418" w:rsidRDefault="00741720" w:rsidP="00CC4BA8">
      <w:pPr>
        <w:spacing w:line="276" w:lineRule="auto"/>
      </w:pPr>
    </w:p>
    <w:p w14:paraId="0C1F870D" w14:textId="4C45848C" w:rsidR="00741720" w:rsidRPr="00E72418" w:rsidRDefault="004469AC" w:rsidP="00CC4BA8">
      <w:pPr>
        <w:spacing w:line="276" w:lineRule="auto"/>
      </w:pPr>
      <w:r w:rsidRPr="00E72418">
        <w:rPr>
          <w:b/>
        </w:rPr>
        <w:t>357</w:t>
      </w:r>
      <w:r w:rsidR="00817D62" w:rsidRPr="00E72418">
        <w:rPr>
          <w:b/>
        </w:rPr>
        <w:t xml:space="preserve">. </w:t>
      </w:r>
      <w:r w:rsidR="00741720" w:rsidRPr="00E72418">
        <w:rPr>
          <w:b/>
        </w:rPr>
        <w:t xml:space="preserve">Une règle </w:t>
      </w:r>
      <w:r w:rsidR="001737E0" w:rsidRPr="00E72418">
        <w:rPr>
          <w:b/>
        </w:rPr>
        <w:t>incontournable</w:t>
      </w:r>
      <w:r w:rsidR="00741720" w:rsidRPr="00E72418">
        <w:rPr>
          <w:b/>
        </w:rPr>
        <w:t xml:space="preserve"> –</w:t>
      </w:r>
      <w:r w:rsidR="00741720" w:rsidRPr="00E72418">
        <w:t xml:space="preserve"> </w:t>
      </w:r>
      <w:r w:rsidR="00741720" w:rsidRPr="00E72418">
        <w:rPr>
          <w:szCs w:val="24"/>
        </w:rPr>
        <w:t>L’entame de l’alinéa 2 de l’article 2 de la loi prévoit que la limitation vaut « </w:t>
      </w:r>
      <w:r w:rsidR="00D62F86" w:rsidRPr="00E72418">
        <w:t>[q]</w:t>
      </w:r>
      <w:r w:rsidR="00741720" w:rsidRPr="00E72418">
        <w:rPr>
          <w:bCs/>
          <w:szCs w:val="24"/>
        </w:rPr>
        <w:t>uel que soit le droit applicable à la relation juridique entre le créancier et l’</w:t>
      </w:r>
      <w:r w:rsidR="00741720" w:rsidRPr="00E72418">
        <w:rPr>
          <w:lang w:eastAsia="fr-BE"/>
        </w:rPr>
        <w:t>É</w:t>
      </w:r>
      <w:r w:rsidR="00741720" w:rsidRPr="00E72418">
        <w:rPr>
          <w:bCs/>
          <w:szCs w:val="24"/>
        </w:rPr>
        <w:t>tat débiteur »</w:t>
      </w:r>
      <w:r w:rsidR="00741720" w:rsidRPr="00E72418">
        <w:rPr>
          <w:rStyle w:val="Appelnotedebasdep"/>
          <w:bCs/>
          <w:szCs w:val="24"/>
        </w:rPr>
        <w:footnoteReference w:id="1773"/>
      </w:r>
      <w:r w:rsidR="00741720" w:rsidRPr="00E72418">
        <w:rPr>
          <w:bCs/>
          <w:szCs w:val="24"/>
        </w:rPr>
        <w:t xml:space="preserve">. </w:t>
      </w:r>
      <w:r w:rsidR="00741720" w:rsidRPr="00E72418">
        <w:t>Outre l</w:t>
      </w:r>
      <w:r w:rsidR="00A1647B" w:rsidRPr="00E72418">
        <w:t>e fait que la loi belge trouve</w:t>
      </w:r>
      <w:r w:rsidR="00741720" w:rsidRPr="00E72418">
        <w:t xml:space="preserve"> à s’appliquer aux relations entre créanciers et débiteurs soumise</w:t>
      </w:r>
      <w:r w:rsidR="00A1647B" w:rsidRPr="00E72418">
        <w:t>s</w:t>
      </w:r>
      <w:r w:rsidR="00741720" w:rsidRPr="00E72418">
        <w:t xml:space="preserve"> à la loi belge</w:t>
      </w:r>
      <w:r w:rsidR="00B66150" w:rsidRPr="00E72418">
        <w:t>,</w:t>
      </w:r>
      <w:r w:rsidR="00741720" w:rsidRPr="00E72418">
        <w:t xml:space="preserve"> et ce, même s’ils devaient avoir fait choix de l’écarter, ses termes permettent de retenir qu’elle reprend plus largement une règle </w:t>
      </w:r>
      <w:r w:rsidR="001737E0" w:rsidRPr="00E72418">
        <w:t>incontournable</w:t>
      </w:r>
      <w:r w:rsidR="00741720" w:rsidRPr="00E72418">
        <w:rPr>
          <w:rStyle w:val="Appelnotedebasdep"/>
        </w:rPr>
        <w:footnoteReference w:id="1774"/>
      </w:r>
      <w:r w:rsidR="00741720" w:rsidRPr="00E72418">
        <w:t>.</w:t>
      </w:r>
    </w:p>
    <w:p w14:paraId="22794C0D" w14:textId="77777777" w:rsidR="002D46F3" w:rsidRPr="00E72418" w:rsidRDefault="002D46F3" w:rsidP="00CC4BA8">
      <w:pPr>
        <w:spacing w:line="276" w:lineRule="auto"/>
      </w:pPr>
    </w:p>
    <w:p w14:paraId="22675F59" w14:textId="29853182" w:rsidR="00D11ACD" w:rsidRDefault="004469AC" w:rsidP="00CC4BA8">
      <w:pPr>
        <w:spacing w:line="276" w:lineRule="auto"/>
      </w:pPr>
      <w:r w:rsidRPr="00E72418">
        <w:rPr>
          <w:b/>
        </w:rPr>
        <w:t>358</w:t>
      </w:r>
      <w:r w:rsidR="00817D62" w:rsidRPr="00E72418">
        <w:rPr>
          <w:b/>
        </w:rPr>
        <w:t xml:space="preserve">. </w:t>
      </w:r>
      <w:r w:rsidR="002D46F3" w:rsidRPr="00E72418">
        <w:rPr>
          <w:b/>
        </w:rPr>
        <w:t xml:space="preserve">Le respect du droit supranational </w:t>
      </w:r>
      <w:r w:rsidR="005D3812" w:rsidRPr="00E72418">
        <w:rPr>
          <w:b/>
        </w:rPr>
        <w:t xml:space="preserve">– </w:t>
      </w:r>
      <w:r w:rsidR="005D3812" w:rsidRPr="00E72418">
        <w:t xml:space="preserve">La loi du 12 juillet 2015 précise en son article 3 qu’elle </w:t>
      </w:r>
      <w:r w:rsidR="005D3812" w:rsidRPr="00E72418">
        <w:rPr>
          <w:lang w:eastAsia="fr-FR"/>
        </w:rPr>
        <w:t>s’applique « sous réserve de l’application de traités internationaux, du droit de l’Union europée</w:t>
      </w:r>
      <w:r w:rsidR="00797C28" w:rsidRPr="00E72418">
        <w:rPr>
          <w:lang w:eastAsia="fr-FR"/>
        </w:rPr>
        <w:t xml:space="preserve">nne ou de traités bilatéraux ». </w:t>
      </w:r>
      <w:r w:rsidR="005D3812" w:rsidRPr="00E72418">
        <w:rPr>
          <w:szCs w:val="24"/>
        </w:rPr>
        <w:t xml:space="preserve">Cette réserve traduit la règle de la primauté du droit international ayant effet direct sur le droit national, telle que consacrée par l’arrêt </w:t>
      </w:r>
      <w:r w:rsidR="005D3812" w:rsidRPr="00E72418">
        <w:rPr>
          <w:i/>
          <w:szCs w:val="24"/>
        </w:rPr>
        <w:t>Le Ski</w:t>
      </w:r>
      <w:r w:rsidR="005D3812" w:rsidRPr="00E72418">
        <w:rPr>
          <w:szCs w:val="24"/>
        </w:rPr>
        <w:t xml:space="preserve"> de la Cour de cassation belge du 27 mai 1971</w:t>
      </w:r>
      <w:r w:rsidR="005D3812" w:rsidRPr="00E72418">
        <w:rPr>
          <w:rStyle w:val="Appelnotedebasdep"/>
          <w:szCs w:val="24"/>
        </w:rPr>
        <w:footnoteReference w:id="1775"/>
      </w:r>
      <w:r w:rsidR="005D3812" w:rsidRPr="00E72418">
        <w:rPr>
          <w:szCs w:val="24"/>
        </w:rPr>
        <w:t xml:space="preserve">. </w:t>
      </w:r>
      <w:r w:rsidR="00D11ACD" w:rsidRPr="00E72418">
        <w:rPr>
          <w:szCs w:val="24"/>
        </w:rPr>
        <w:t>Ainsi, si le mécanisme restrictif retenu dans la loi belge ne pose pas de difficulté en ce qu’il n’existe pas en droit international une obligation générale de reconnaissance des décisions étrangères, la disposition commentée permet d’assurer que cette obligation soit respectée dans les situations où une règle particulière la pose</w:t>
      </w:r>
      <w:r w:rsidR="005D3812" w:rsidRPr="00E72418">
        <w:rPr>
          <w:rStyle w:val="Appelnotedebasdep"/>
          <w:szCs w:val="24"/>
        </w:rPr>
        <w:footnoteReference w:id="1776"/>
      </w:r>
      <w:r w:rsidR="005D3812" w:rsidRPr="00E72418">
        <w:t>.</w:t>
      </w:r>
      <w:r w:rsidR="006F2FFD" w:rsidRPr="00E72418">
        <w:t xml:space="preserve"> </w:t>
      </w:r>
      <w:r w:rsidR="00C53D4D" w:rsidRPr="00E72418">
        <w:t>Dans les cas où</w:t>
      </w:r>
      <w:r w:rsidR="006F2FFD" w:rsidRPr="00E72418">
        <w:t xml:space="preserve"> les règles </w:t>
      </w:r>
      <w:r w:rsidR="003E382B" w:rsidRPr="00E72418">
        <w:t xml:space="preserve">internationales permettent aux </w:t>
      </w:r>
      <w:r w:rsidR="003E382B" w:rsidRPr="00E72418">
        <w:rPr>
          <w:lang w:eastAsia="fr-BE"/>
        </w:rPr>
        <w:t>É</w:t>
      </w:r>
      <w:r w:rsidR="006F2FFD" w:rsidRPr="00E72418">
        <w:t>tats une marge de manœuvre, le mé</w:t>
      </w:r>
      <w:r w:rsidR="009B4B0E" w:rsidRPr="00E72418">
        <w:t>canisme de la loi belge trouve</w:t>
      </w:r>
      <w:r w:rsidR="006F2FFD" w:rsidRPr="00E72418">
        <w:t xml:space="preserve"> à s’appliquer.</w:t>
      </w:r>
    </w:p>
    <w:p w14:paraId="75C90451" w14:textId="77777777" w:rsidR="001F120A" w:rsidRPr="00E72418" w:rsidRDefault="001F120A" w:rsidP="00CC4BA8">
      <w:pPr>
        <w:spacing w:line="276" w:lineRule="auto"/>
        <w:rPr>
          <w:highlight w:val="magenta"/>
          <w:lang w:eastAsia="fr-FR"/>
        </w:rPr>
      </w:pPr>
    </w:p>
    <w:p w14:paraId="24E83DA0" w14:textId="42F4CBE6" w:rsidR="005F6F52" w:rsidRPr="00E72418" w:rsidRDefault="008665DF" w:rsidP="00CC4BA8">
      <w:pPr>
        <w:pStyle w:val="CC"/>
        <w:spacing w:afterLines="60" w:after="144" w:line="276" w:lineRule="auto"/>
        <w:rPr>
          <w:i/>
        </w:rPr>
      </w:pPr>
      <w:bookmarkStart w:id="410" w:name="_Toc37777412"/>
      <w:bookmarkStart w:id="411" w:name="_Toc59281003"/>
      <w:bookmarkStart w:id="412" w:name="_Toc75106113"/>
      <w:bookmarkStart w:id="413" w:name="_Toc84540994"/>
      <w:r w:rsidRPr="00E72418">
        <w:t xml:space="preserve">Chapitre 4 : </w:t>
      </w:r>
      <w:r w:rsidR="005F6F52" w:rsidRPr="00E72418">
        <w:t>L</w:t>
      </w:r>
      <w:bookmarkStart w:id="414" w:name="_Toc37777414"/>
      <w:bookmarkEnd w:id="410"/>
      <w:r w:rsidRPr="00E72418">
        <w:t>’a</w:t>
      </w:r>
      <w:r w:rsidR="005F6F52" w:rsidRPr="00E72418">
        <w:t xml:space="preserve">rticle 60 de la </w:t>
      </w:r>
      <w:bookmarkEnd w:id="411"/>
      <w:bookmarkEnd w:id="414"/>
      <w:r w:rsidR="00934391" w:rsidRPr="00E72418">
        <w:t xml:space="preserve">loi </w:t>
      </w:r>
      <w:r w:rsidR="00954877" w:rsidRPr="00E72418">
        <w:t xml:space="preserve">française n° 2016-1691 dite </w:t>
      </w:r>
      <w:r w:rsidR="001904A4" w:rsidRPr="00E72418">
        <w:t>« </w:t>
      </w:r>
      <w:r w:rsidR="00934391" w:rsidRPr="00E72418">
        <w:t>loi Sapin II</w:t>
      </w:r>
      <w:bookmarkEnd w:id="412"/>
      <w:r w:rsidR="001904A4" w:rsidRPr="00E72418">
        <w:t> »</w:t>
      </w:r>
      <w:bookmarkEnd w:id="413"/>
    </w:p>
    <w:p w14:paraId="4575A62A" w14:textId="77777777" w:rsidR="00FD2681" w:rsidRPr="00E72418" w:rsidRDefault="00FD2681" w:rsidP="00FD2681"/>
    <w:p w14:paraId="7C90E19D" w14:textId="70CF6A91" w:rsidR="005F6F52" w:rsidRPr="00E72418" w:rsidRDefault="004469AC" w:rsidP="00CC4BA8">
      <w:pPr>
        <w:spacing w:afterLines="60" w:after="144" w:line="276" w:lineRule="auto"/>
      </w:pPr>
      <w:r w:rsidRPr="00E72418">
        <w:rPr>
          <w:b/>
        </w:rPr>
        <w:t>359</w:t>
      </w:r>
      <w:r w:rsidR="007F038F" w:rsidRPr="00E72418">
        <w:rPr>
          <w:b/>
        </w:rPr>
        <w:t xml:space="preserve">. </w:t>
      </w:r>
      <w:r w:rsidR="00FD2681" w:rsidRPr="00E72418">
        <w:rPr>
          <w:b/>
        </w:rPr>
        <w:t xml:space="preserve">La dernière concrétisation en date – </w:t>
      </w:r>
      <w:r w:rsidR="00560C9E" w:rsidRPr="00E72418">
        <w:t>Avant que n’advienne</w:t>
      </w:r>
      <w:r w:rsidR="00FD2681" w:rsidRPr="00E72418">
        <w:t xml:space="preserve"> en droit français</w:t>
      </w:r>
      <w:r w:rsidR="00560C9E" w:rsidRPr="00E72418">
        <w:t xml:space="preserve"> la réglementation de la spéculation sur les dettes souveraines par l’adoption de la loi dite </w:t>
      </w:r>
      <w:r w:rsidR="001904A4" w:rsidRPr="00E72418">
        <w:t>« </w:t>
      </w:r>
      <w:r w:rsidR="00560C9E" w:rsidRPr="00E72418">
        <w:t xml:space="preserve">Sapin </w:t>
      </w:r>
      <w:r w:rsidR="00560C9E" w:rsidRPr="00E72418">
        <w:lastRenderedPageBreak/>
        <w:t>II</w:t>
      </w:r>
      <w:r w:rsidR="001904A4" w:rsidRPr="00E72418">
        <w:t> »</w:t>
      </w:r>
      <w:r w:rsidR="00560C9E" w:rsidRPr="00E72418">
        <w:t xml:space="preserve"> de 2016, une proposition avait déjà été faite</w:t>
      </w:r>
      <w:r w:rsidR="0026087B" w:rsidRPr="00E72418">
        <w:t xml:space="preserve"> </w:t>
      </w:r>
      <w:r w:rsidR="00560C9E" w:rsidRPr="00E72418">
        <w:t xml:space="preserve">afin </w:t>
      </w:r>
      <w:r w:rsidR="0026087B" w:rsidRPr="00E72418">
        <w:t>de circonscrire</w:t>
      </w:r>
      <w:r w:rsidR="00560C9E" w:rsidRPr="00E72418">
        <w:t xml:space="preserve"> le phénomène (</w:t>
      </w:r>
      <w:r w:rsidR="00560C9E" w:rsidRPr="00E72418">
        <w:rPr>
          <w:b/>
        </w:rPr>
        <w:t>section 1</w:t>
      </w:r>
      <w:r w:rsidR="00560C9E" w:rsidRPr="00E72418">
        <w:t>). Cette tentative n’</w:t>
      </w:r>
      <w:r w:rsidR="00FD2681" w:rsidRPr="00E72418">
        <w:t>ayant pas abouti</w:t>
      </w:r>
      <w:r w:rsidR="00560C9E" w:rsidRPr="00E72418">
        <w:t xml:space="preserve">, les activités spéculatives ont </w:t>
      </w:r>
      <w:r w:rsidR="00FD2681" w:rsidRPr="00E72418">
        <w:t xml:space="preserve">finalement </w:t>
      </w:r>
      <w:r w:rsidR="00560C9E" w:rsidRPr="00E72418">
        <w:t>été réglées par le législateur français</w:t>
      </w:r>
      <w:r w:rsidR="00FD2681" w:rsidRPr="00E72418">
        <w:t xml:space="preserve"> une dizaine d’années plus tard. De la même manière que nous l’avons fait pour les concrétisations britannique et belge l’ayant précédée, il importe, après avoir présenté le contexte d’adoption de la réglementation française (</w:t>
      </w:r>
      <w:r w:rsidR="00FD2681" w:rsidRPr="00E72418">
        <w:rPr>
          <w:b/>
        </w:rPr>
        <w:t>section 2</w:t>
      </w:r>
      <w:r w:rsidR="00FD2681" w:rsidRPr="00E72418">
        <w:t>), de préciser le mécanisme qui y est mis en place (</w:t>
      </w:r>
      <w:r w:rsidR="00FD2681" w:rsidRPr="00E72418">
        <w:rPr>
          <w:b/>
        </w:rPr>
        <w:t>section 3</w:t>
      </w:r>
      <w:r w:rsidR="0026087B" w:rsidRPr="00E72418">
        <w:t>). L</w:t>
      </w:r>
      <w:r w:rsidR="00FD2681" w:rsidRPr="00E72418">
        <w:t xml:space="preserve">es personnes et </w:t>
      </w:r>
      <w:r w:rsidR="0026087B" w:rsidRPr="00E72418">
        <w:t>les</w:t>
      </w:r>
      <w:r w:rsidR="00FD2681" w:rsidRPr="00E72418">
        <w:t xml:space="preserve"> dettes concernées</w:t>
      </w:r>
      <w:r w:rsidR="0026087B" w:rsidRPr="00E72418">
        <w:t xml:space="preserve"> sont ensuite étudiées</w:t>
      </w:r>
      <w:r w:rsidR="00FD2681" w:rsidRPr="00E72418">
        <w:t xml:space="preserve"> (</w:t>
      </w:r>
      <w:r w:rsidR="00FD2681" w:rsidRPr="00E72418">
        <w:rPr>
          <w:b/>
        </w:rPr>
        <w:t>section 4</w:t>
      </w:r>
      <w:r w:rsidR="00FD2681" w:rsidRPr="00E72418">
        <w:t xml:space="preserve">), avant </w:t>
      </w:r>
      <w:r w:rsidR="0026087B" w:rsidRPr="00E72418">
        <w:t>que ne soit f</w:t>
      </w:r>
      <w:r w:rsidR="00FD2681" w:rsidRPr="00E72418">
        <w:t xml:space="preserve">inalement </w:t>
      </w:r>
      <w:r w:rsidR="0026087B" w:rsidRPr="00E72418">
        <w:t>déterminée la place de la législation, spécialement</w:t>
      </w:r>
      <w:r w:rsidR="00FD2681" w:rsidRPr="00E72418">
        <w:t xml:space="preserve"> son application temporelle et territoriale (</w:t>
      </w:r>
      <w:r w:rsidR="00FD2681" w:rsidRPr="00E72418">
        <w:rPr>
          <w:b/>
        </w:rPr>
        <w:t>section 5</w:t>
      </w:r>
      <w:r w:rsidR="00FD2681" w:rsidRPr="00E72418">
        <w:t>).</w:t>
      </w:r>
    </w:p>
    <w:p w14:paraId="5DE60049" w14:textId="77777777" w:rsidR="00FD2681" w:rsidRPr="00E72418" w:rsidRDefault="00FD2681" w:rsidP="00FD2681"/>
    <w:p w14:paraId="5D2C309B" w14:textId="05C2335D" w:rsidR="005F6F52" w:rsidRPr="00E72418" w:rsidRDefault="008665DF" w:rsidP="00CC4BA8">
      <w:pPr>
        <w:pStyle w:val="DD"/>
        <w:spacing w:afterLines="60" w:after="144" w:line="276" w:lineRule="auto"/>
        <w:rPr>
          <w:i w:val="0"/>
        </w:rPr>
      </w:pPr>
      <w:bookmarkStart w:id="415" w:name="_Toc37777413"/>
      <w:bookmarkStart w:id="416" w:name="_Toc59281004"/>
      <w:bookmarkStart w:id="417" w:name="_Toc84540995"/>
      <w:r w:rsidRPr="00E72418">
        <w:t xml:space="preserve">Section 1 : </w:t>
      </w:r>
      <w:r w:rsidR="009769C6" w:rsidRPr="00E72418">
        <w:t>La proposition</w:t>
      </w:r>
      <w:r w:rsidR="005F6F52" w:rsidRPr="00E72418">
        <w:t xml:space="preserve"> de loi visant à lutter contre l’action des fonds financiers dits « fonds vautours »</w:t>
      </w:r>
      <w:bookmarkEnd w:id="415"/>
      <w:bookmarkEnd w:id="416"/>
      <w:bookmarkEnd w:id="417"/>
    </w:p>
    <w:p w14:paraId="5C2289B4" w14:textId="77777777" w:rsidR="007A12E9" w:rsidRPr="00E72418" w:rsidRDefault="007A12E9" w:rsidP="007A12E9"/>
    <w:p w14:paraId="6A6CAA48" w14:textId="2EF78F93" w:rsidR="005F6F52" w:rsidRDefault="00817D62" w:rsidP="00CC4BA8">
      <w:pPr>
        <w:spacing w:line="276" w:lineRule="auto"/>
      </w:pPr>
      <w:r w:rsidRPr="00E72418">
        <w:rPr>
          <w:b/>
        </w:rPr>
        <w:t>3</w:t>
      </w:r>
      <w:r w:rsidR="004469AC" w:rsidRPr="00E72418">
        <w:rPr>
          <w:b/>
        </w:rPr>
        <w:t>60</w:t>
      </w:r>
      <w:r w:rsidRPr="00E72418">
        <w:rPr>
          <w:b/>
        </w:rPr>
        <w:t xml:space="preserve">. </w:t>
      </w:r>
      <w:r w:rsidR="005F6F52" w:rsidRPr="00E72418">
        <w:rPr>
          <w:b/>
        </w:rPr>
        <w:t>L</w:t>
      </w:r>
      <w:r w:rsidR="009769C6" w:rsidRPr="00E72418">
        <w:rPr>
          <w:b/>
        </w:rPr>
        <w:t>’objectif poursuivi</w:t>
      </w:r>
      <w:r w:rsidR="00DA38E4" w:rsidRPr="00E72418">
        <w:rPr>
          <w:b/>
        </w:rPr>
        <w:t xml:space="preserve"> –</w:t>
      </w:r>
      <w:r w:rsidR="005F6F52" w:rsidRPr="00E72418">
        <w:t xml:space="preserve"> </w:t>
      </w:r>
      <w:r w:rsidR="001725C9" w:rsidRPr="00E72418">
        <w:t xml:space="preserve">Sans qu’il semble qu’étaient spécifiquement visés les fonds spéculant sur les dettes souveraines lors de son adoption, </w:t>
      </w:r>
      <w:r w:rsidR="001725C9" w:rsidRPr="00E72418">
        <w:rPr>
          <w:rFonts w:cs="Times New Roman"/>
          <w:szCs w:val="24"/>
        </w:rPr>
        <w:t>l’article 87 de la loi n° 2003-1312 du 30 décembre 2003 portant loi de Finances rectificative pour 2003 protège l’aide au développement française de leurs actions en prévoyant que « </w:t>
      </w:r>
      <w:r w:rsidR="001725C9" w:rsidRPr="00E72418">
        <w:t>[l]</w:t>
      </w:r>
      <w:r w:rsidR="001725C9" w:rsidRPr="00E72418">
        <w:rPr>
          <w:rFonts w:cs="Times New Roman"/>
          <w:szCs w:val="24"/>
          <w:shd w:val="clear" w:color="auto" w:fill="FFFFFF"/>
        </w:rPr>
        <w:t>es créances nées des concours financiers accordés par l’Agence française de développement ne peuvent faire l’objet de saisies entre ses mains »</w:t>
      </w:r>
      <w:r w:rsidR="001725C9" w:rsidRPr="00E72418">
        <w:rPr>
          <w:rStyle w:val="Appelnotedebasdep"/>
          <w:rFonts w:cs="Times New Roman"/>
          <w:szCs w:val="24"/>
          <w:shd w:val="clear" w:color="auto" w:fill="FFFFFF"/>
        </w:rPr>
        <w:footnoteReference w:id="1777"/>
      </w:r>
      <w:r w:rsidR="001725C9" w:rsidRPr="00E72418">
        <w:rPr>
          <w:rFonts w:cs="Times New Roman"/>
          <w:szCs w:val="24"/>
          <w:shd w:val="clear" w:color="auto" w:fill="FFFFFF"/>
        </w:rPr>
        <w:t xml:space="preserve">. </w:t>
      </w:r>
      <w:r w:rsidR="001725C9" w:rsidRPr="00E72418">
        <w:t xml:space="preserve"> Quelques années plus tard, </w:t>
      </w:r>
      <w:r w:rsidR="00572017" w:rsidRPr="00E72418">
        <w:t xml:space="preserve">en 2007, </w:t>
      </w:r>
      <w:r w:rsidR="001725C9" w:rsidRPr="00E72418">
        <w:t>u</w:t>
      </w:r>
      <w:r w:rsidR="009769C6" w:rsidRPr="00E72418">
        <w:t>ne</w:t>
      </w:r>
      <w:r w:rsidR="005F6F52" w:rsidRPr="00E72418">
        <w:t xml:space="preserve"> proposition de loi visant </w:t>
      </w:r>
      <w:r w:rsidR="001725C9" w:rsidRPr="00E72418">
        <w:t xml:space="preserve">spécifiquement </w:t>
      </w:r>
      <w:r w:rsidR="005F6F52" w:rsidRPr="00E72418">
        <w:t>à lutter contre l’action des fonds financiers</w:t>
      </w:r>
      <w:r w:rsidR="00763960" w:rsidRPr="00E72418">
        <w:t xml:space="preserve"> dits « fonds vautours » fut déposée</w:t>
      </w:r>
      <w:r w:rsidR="005F6F52" w:rsidRPr="00E72418">
        <w:t xml:space="preserve"> à l’Assemblée nationale</w:t>
      </w:r>
      <w:r w:rsidR="009769C6" w:rsidRPr="00E72418">
        <w:t xml:space="preserve"> française</w:t>
      </w:r>
      <w:r w:rsidR="005F6F52" w:rsidRPr="00E72418">
        <w:rPr>
          <w:rStyle w:val="Appelnotedebasdep"/>
          <w:rFonts w:cs="Times New Roman"/>
          <w:szCs w:val="24"/>
        </w:rPr>
        <w:footnoteReference w:id="1778"/>
      </w:r>
      <w:r w:rsidR="005F6F52" w:rsidRPr="00E72418">
        <w:t>. Les parlementaires à la manœuvre épinglaient les profits tirés par ces fonds des efforts consentis par les autres créanciers des</w:t>
      </w:r>
      <w:r w:rsidR="003E382B" w:rsidRPr="00E72418">
        <w:t xml:space="preserve"> </w:t>
      </w:r>
      <w:r w:rsidR="003E382B" w:rsidRPr="00E72418">
        <w:rPr>
          <w:lang w:eastAsia="fr-BE"/>
        </w:rPr>
        <w:t>É</w:t>
      </w:r>
      <w:r w:rsidR="009769C6" w:rsidRPr="00E72418">
        <w:t xml:space="preserve">tats en difficulté. </w:t>
      </w:r>
      <w:r w:rsidR="005F6F52" w:rsidRPr="00E72418">
        <w:t xml:space="preserve">Relevant l’impossibilité de traiter des défauts souverains via une procédure collective internationale, la proposition de loi visait à permettre aux juridictions françaises de ne </w:t>
      </w:r>
      <w:r w:rsidR="00ED6880" w:rsidRPr="00E72418">
        <w:t>pas faire droit aux demandes ex</w:t>
      </w:r>
      <w:r w:rsidR="005F6F52" w:rsidRPr="00E72418">
        <w:t xml:space="preserve">orbitantes </w:t>
      </w:r>
      <w:r w:rsidR="009769C6" w:rsidRPr="00E72418">
        <w:t>soumises</w:t>
      </w:r>
      <w:r w:rsidR="00B41CCF" w:rsidRPr="00E72418">
        <w:t xml:space="preserve"> par des fonds spéculant</w:t>
      </w:r>
      <w:r w:rsidR="009769C6" w:rsidRPr="00E72418">
        <w:t xml:space="preserve"> sur les dettes souveraines</w:t>
      </w:r>
      <w:r w:rsidR="0061620F" w:rsidRPr="00E72418">
        <w:rPr>
          <w:rStyle w:val="Appelnotedebasdep"/>
        </w:rPr>
        <w:footnoteReference w:id="1779"/>
      </w:r>
      <w:r w:rsidR="009769C6" w:rsidRPr="00E72418">
        <w:t xml:space="preserve">. </w:t>
      </w:r>
      <w:r w:rsidR="00E65E69" w:rsidRPr="00E72418">
        <w:t>La proposition de texte ne</w:t>
      </w:r>
      <w:r w:rsidR="00572017" w:rsidRPr="00E72418">
        <w:t xml:space="preserve"> fut finalement jamais adoptée.</w:t>
      </w:r>
    </w:p>
    <w:p w14:paraId="6A4BD464" w14:textId="77777777" w:rsidR="001F120A" w:rsidRPr="00E72418" w:rsidRDefault="001F120A" w:rsidP="00CC4BA8">
      <w:pPr>
        <w:spacing w:line="276" w:lineRule="auto"/>
      </w:pPr>
    </w:p>
    <w:p w14:paraId="19BC8C08" w14:textId="14458A35" w:rsidR="005F6F52" w:rsidRPr="00E72418" w:rsidRDefault="004469AC" w:rsidP="00CC4BA8">
      <w:pPr>
        <w:spacing w:line="276" w:lineRule="auto"/>
      </w:pPr>
      <w:r w:rsidRPr="00E72418">
        <w:rPr>
          <w:b/>
        </w:rPr>
        <w:t>361</w:t>
      </w:r>
      <w:r w:rsidR="007F038F" w:rsidRPr="00E72418">
        <w:rPr>
          <w:b/>
        </w:rPr>
        <w:t>.</w:t>
      </w:r>
      <w:r w:rsidR="00817D62" w:rsidRPr="00E72418">
        <w:rPr>
          <w:b/>
        </w:rPr>
        <w:t xml:space="preserve"> </w:t>
      </w:r>
      <w:r w:rsidR="005F6F52" w:rsidRPr="00E72418">
        <w:rPr>
          <w:b/>
        </w:rPr>
        <w:t>Le</w:t>
      </w:r>
      <w:r w:rsidR="00763960" w:rsidRPr="00E72418">
        <w:rPr>
          <w:b/>
        </w:rPr>
        <w:t>s règles envisagées</w:t>
      </w:r>
      <w:r w:rsidR="005F6F52" w:rsidRPr="00E72418">
        <w:rPr>
          <w:b/>
        </w:rPr>
        <w:t xml:space="preserve"> –</w:t>
      </w:r>
      <w:r w:rsidR="005F6F52" w:rsidRPr="00E72418">
        <w:t xml:space="preserve"> </w:t>
      </w:r>
      <w:r w:rsidR="001C3191" w:rsidRPr="00E72418">
        <w:t xml:space="preserve">La proposition de loi </w:t>
      </w:r>
      <w:r w:rsidR="00947A08">
        <w:t xml:space="preserve">de 2007 </w:t>
      </w:r>
      <w:r w:rsidR="00763960" w:rsidRPr="00E72418">
        <w:t>envisageait</w:t>
      </w:r>
      <w:r w:rsidR="005F6F52" w:rsidRPr="00E72418">
        <w:t xml:space="preserve"> l’insertion dans le Code civil français d’un article 1701-1. </w:t>
      </w:r>
      <w:r w:rsidR="001C3191" w:rsidRPr="00E72418">
        <w:t>Le premier alinéa de</w:t>
      </w:r>
      <w:r w:rsidR="00CA132E" w:rsidRPr="00E72418">
        <w:t xml:space="preserve"> cet article en projet </w:t>
      </w:r>
      <w:r w:rsidR="00763960" w:rsidRPr="00E72418">
        <w:t>prévoyait</w:t>
      </w:r>
      <w:r w:rsidR="001C3191" w:rsidRPr="00E72418">
        <w:t xml:space="preserve"> que lorsque le cessionnaire d’une créance sur un État souverain bénéficiant d’une aide fina</w:t>
      </w:r>
      <w:r w:rsidR="003E382B" w:rsidRPr="00E72418">
        <w:t>ncière consentie par l’</w:t>
      </w:r>
      <w:r w:rsidR="003E382B" w:rsidRPr="00E72418">
        <w:rPr>
          <w:lang w:eastAsia="fr-BE"/>
        </w:rPr>
        <w:t>É</w:t>
      </w:r>
      <w:r w:rsidR="001C3191" w:rsidRPr="00E72418">
        <w:t>tat français</w:t>
      </w:r>
      <w:r w:rsidR="00CA132E" w:rsidRPr="00E72418">
        <w:t xml:space="preserve"> en poursuit le recouvrement devant une juridiction française, alors cette dernière n’y fait droit que dans la limite qu’elle estime satisfaisante</w:t>
      </w:r>
      <w:r w:rsidR="00B66150" w:rsidRPr="00E72418">
        <w:t>,</w:t>
      </w:r>
      <w:r w:rsidR="00CA132E" w:rsidRPr="00E72418">
        <w:t xml:space="preserve"> </w:t>
      </w:r>
      <w:r w:rsidR="00E65E69" w:rsidRPr="00E72418">
        <w:t xml:space="preserve">et ce, </w:t>
      </w:r>
      <w:r w:rsidR="00CA132E" w:rsidRPr="00E72418">
        <w:t xml:space="preserve">en ayant égard à l’aide consentie par la collectivité publique, aux efforts des autres créanciers et aux facultés du débiteur. Le second alinéa </w:t>
      </w:r>
      <w:r w:rsidR="00716D63" w:rsidRPr="00E72418">
        <w:t xml:space="preserve">de l’article en projet </w:t>
      </w:r>
      <w:r w:rsidR="00CA132E" w:rsidRPr="00E72418">
        <w:t xml:space="preserve">prévoyait que lorsque l’acquisition d’une </w:t>
      </w:r>
      <w:r w:rsidR="00CA132E" w:rsidRPr="00E72418">
        <w:lastRenderedPageBreak/>
        <w:t>créance procède d’une spéculation sur les procédures suscepti</w:t>
      </w:r>
      <w:r w:rsidR="003E382B" w:rsidRPr="00E72418">
        <w:t>bles d’être intentées contre l’</w:t>
      </w:r>
      <w:r w:rsidR="003E382B" w:rsidRPr="00E72418">
        <w:rPr>
          <w:lang w:eastAsia="fr-BE"/>
        </w:rPr>
        <w:t>É</w:t>
      </w:r>
      <w:r w:rsidR="00CA132E" w:rsidRPr="00E72418">
        <w:t xml:space="preserve">tat débiteur et les tiers </w:t>
      </w:r>
      <w:r w:rsidR="00763960" w:rsidRPr="00E72418">
        <w:t>plutôt que</w:t>
      </w:r>
      <w:r w:rsidR="00CA132E" w:rsidRPr="00E72418">
        <w:t xml:space="preserve"> sur la valeur de marché de la créance et son évolution, alors </w:t>
      </w:r>
      <w:r w:rsidR="00763960" w:rsidRPr="00E72418">
        <w:t>ni</w:t>
      </w:r>
      <w:r w:rsidR="00CA132E" w:rsidRPr="00E72418">
        <w:t xml:space="preserve"> condamnation ni mesure d’exécution n</w:t>
      </w:r>
      <w:r w:rsidR="00763960" w:rsidRPr="00E72418">
        <w:t>e sont</w:t>
      </w:r>
      <w:r w:rsidR="00CA132E" w:rsidRPr="00E72418">
        <w:t xml:space="preserve"> possibles</w:t>
      </w:r>
      <w:r w:rsidR="00CA132E" w:rsidRPr="00E72418">
        <w:rPr>
          <w:rStyle w:val="Appelnotedebasdep"/>
        </w:rPr>
        <w:footnoteReference w:id="1780"/>
      </w:r>
      <w:r w:rsidR="0036555A" w:rsidRPr="00E72418">
        <w:t xml:space="preserve">. </w:t>
      </w:r>
    </w:p>
    <w:p w14:paraId="7154C3A7" w14:textId="776EF63B" w:rsidR="005F6F52" w:rsidRDefault="00D90BEC" w:rsidP="00CC4BA8">
      <w:pPr>
        <w:spacing w:line="276" w:lineRule="auto"/>
      </w:pPr>
      <w:r w:rsidRPr="00E72418">
        <w:t>Marc Le Fur, l</w:t>
      </w:r>
      <w:r w:rsidR="005F6F52" w:rsidRPr="00E72418">
        <w:t>e</w:t>
      </w:r>
      <w:r w:rsidR="00E37960" w:rsidRPr="00E72418">
        <w:t xml:space="preserve"> parlementaire à l’origine de la proposition législative</w:t>
      </w:r>
      <w:r w:rsidR="00947A08">
        <w:t>,</w:t>
      </w:r>
      <w:r w:rsidR="00E37960" w:rsidRPr="00E72418">
        <w:t xml:space="preserve"> notait que le</w:t>
      </w:r>
      <w:r w:rsidR="005F6F52" w:rsidRPr="00E72418">
        <w:t xml:space="preserve"> premier a</w:t>
      </w:r>
      <w:r w:rsidR="00763960" w:rsidRPr="00E72418">
        <w:t>linéa du texte proposé s’inspirait</w:t>
      </w:r>
      <w:r w:rsidR="005F6F52" w:rsidRPr="00E72418">
        <w:t xml:space="preserve"> du mécanisme du retrait de droits litigieux</w:t>
      </w:r>
      <w:r w:rsidR="005F6F52" w:rsidRPr="00E72418">
        <w:rPr>
          <w:rStyle w:val="Appelnotedebasdep"/>
          <w:rFonts w:cs="Times New Roman"/>
          <w:szCs w:val="24"/>
        </w:rPr>
        <w:footnoteReference w:id="1781"/>
      </w:r>
      <w:r w:rsidR="007A197A" w:rsidRPr="00E72418">
        <w:t xml:space="preserve">. </w:t>
      </w:r>
      <w:r w:rsidR="00674C1A" w:rsidRPr="00E72418">
        <w:t>À</w:t>
      </w:r>
      <w:r w:rsidR="005F6F52" w:rsidRPr="00E72418">
        <w:t xml:space="preserve"> la différence d</w:t>
      </w:r>
      <w:r w:rsidR="00763960" w:rsidRPr="00E72418">
        <w:t>e ce dernier q</w:t>
      </w:r>
      <w:r w:rsidR="005F6F52" w:rsidRPr="00E72418">
        <w:t xml:space="preserve">ui ne vise que la situation où, comme le précise l’article 1701 de Code civil français, </w:t>
      </w:r>
      <w:r w:rsidR="005F6F52" w:rsidRPr="00E72418">
        <w:rPr>
          <w:shd w:val="clear" w:color="auto" w:fill="FFFFFF"/>
        </w:rPr>
        <w:t>il y a procès et contestation sur le fond du droit, la disposition anti-fonds</w:t>
      </w:r>
      <w:r w:rsidR="00763960" w:rsidRPr="00E72418">
        <w:rPr>
          <w:shd w:val="clear" w:color="auto" w:fill="FFFFFF"/>
        </w:rPr>
        <w:t xml:space="preserve"> spéculatifs en projet ne retenai</w:t>
      </w:r>
      <w:r w:rsidR="005F6F52" w:rsidRPr="00E72418">
        <w:rPr>
          <w:shd w:val="clear" w:color="auto" w:fill="FFFFFF"/>
        </w:rPr>
        <w:t xml:space="preserve">t pas le besoin que </w:t>
      </w:r>
      <w:r w:rsidR="005F6F52" w:rsidRPr="00E72418">
        <w:t>la créance cédée soit contestée par le débiteur.</w:t>
      </w:r>
      <w:r w:rsidR="005F6F52" w:rsidRPr="00E72418">
        <w:rPr>
          <w:b/>
        </w:rPr>
        <w:t xml:space="preserve"> </w:t>
      </w:r>
      <w:r w:rsidR="00763960" w:rsidRPr="00E72418">
        <w:t>Le juge français se voyait</w:t>
      </w:r>
      <w:r w:rsidR="005F6F52" w:rsidRPr="00E72418">
        <w:t xml:space="preserve"> </w:t>
      </w:r>
      <w:r w:rsidR="00E37960" w:rsidRPr="00E72418">
        <w:t xml:space="preserve">par ailleurs </w:t>
      </w:r>
      <w:r w:rsidR="005F6F52" w:rsidRPr="00E72418">
        <w:t xml:space="preserve">confier un pouvoir </w:t>
      </w:r>
      <w:r w:rsidR="00763960" w:rsidRPr="00E72418">
        <w:t>d’équité</w:t>
      </w:r>
      <w:r w:rsidR="005F6F52" w:rsidRPr="00E72418">
        <w:t xml:space="preserve"> lui permettant de limiter le paiement poursuivi pa</w:t>
      </w:r>
      <w:r w:rsidR="003E382B" w:rsidRPr="00E72418">
        <w:t xml:space="preserve">r un créancier secondaire d’un </w:t>
      </w:r>
      <w:r w:rsidR="003E382B" w:rsidRPr="00E72418">
        <w:rPr>
          <w:lang w:eastAsia="fr-BE"/>
        </w:rPr>
        <w:t>É</w:t>
      </w:r>
      <w:r w:rsidR="005F6F52" w:rsidRPr="00E72418">
        <w:t xml:space="preserve">tat souverain. </w:t>
      </w:r>
      <w:r w:rsidR="00716D63" w:rsidRPr="00E72418">
        <w:t>Il</w:t>
      </w:r>
      <w:r w:rsidR="00763960" w:rsidRPr="00E72418">
        <w:t xml:space="preserve"> lui </w:t>
      </w:r>
      <w:r w:rsidR="00716D63" w:rsidRPr="00E72418">
        <w:t>était permis</w:t>
      </w:r>
      <w:r w:rsidR="00763960" w:rsidRPr="00E72418">
        <w:t xml:space="preserve"> </w:t>
      </w:r>
      <w:r w:rsidR="00716D63" w:rsidRPr="00E72418">
        <w:t>de</w:t>
      </w:r>
      <w:r w:rsidR="00763960" w:rsidRPr="00E72418">
        <w:t xml:space="preserve"> faire comme si la discipline collective de la faillite existait </w:t>
      </w:r>
      <w:r w:rsidR="00716D63" w:rsidRPr="00E72418">
        <w:t xml:space="preserve">et il lui </w:t>
      </w:r>
      <w:r w:rsidR="00E37960" w:rsidRPr="00E72418">
        <w:t xml:space="preserve">était possible </w:t>
      </w:r>
      <w:r w:rsidR="00716D63" w:rsidRPr="00E72418">
        <w:t>de poser</w:t>
      </w:r>
      <w:r w:rsidR="00763960" w:rsidRPr="00E72418">
        <w:t xml:space="preserve"> </w:t>
      </w:r>
      <w:r w:rsidR="005F6F52" w:rsidRPr="00E72418">
        <w:t>la limite en fonction de l’aide consentie par la collectivité publique, de</w:t>
      </w:r>
      <w:r w:rsidR="00947A08">
        <w:t>s efforts des autres créanciers</w:t>
      </w:r>
      <w:r w:rsidR="005F6F52" w:rsidRPr="00E72418">
        <w:t xml:space="preserve"> et de la situation économique du pays débiteur</w:t>
      </w:r>
      <w:r w:rsidR="005F6F52" w:rsidRPr="00E72418">
        <w:rPr>
          <w:rStyle w:val="Appelnotedebasdep"/>
          <w:rFonts w:cs="Times New Roman"/>
          <w:szCs w:val="24"/>
        </w:rPr>
        <w:footnoteReference w:id="1782"/>
      </w:r>
      <w:r w:rsidR="005F6F52" w:rsidRPr="00E72418">
        <w:t>.</w:t>
      </w:r>
      <w:r w:rsidR="009A0450" w:rsidRPr="00E72418">
        <w:rPr>
          <w:b/>
        </w:rPr>
        <w:t xml:space="preserve"> </w:t>
      </w:r>
      <w:r w:rsidR="005F6F52" w:rsidRPr="00E72418">
        <w:t>Le second</w:t>
      </w:r>
      <w:r w:rsidR="009A0450" w:rsidRPr="00E72418">
        <w:t xml:space="preserve"> alinéa du texte proposé se faisait</w:t>
      </w:r>
      <w:r w:rsidR="005F6F52" w:rsidRPr="00E72418">
        <w:t xml:space="preserve"> l’écho de la </w:t>
      </w:r>
      <w:r w:rsidR="00FB381E" w:rsidRPr="00E72418">
        <w:t>règle</w:t>
      </w:r>
      <w:r w:rsidR="005F6F52" w:rsidRPr="00E72418">
        <w:t xml:space="preserve"> de </w:t>
      </w:r>
      <w:r w:rsidR="00FB381E" w:rsidRPr="00E72418">
        <w:t xml:space="preserve">la </w:t>
      </w:r>
      <w:r w:rsidR="005F6F52" w:rsidRPr="00E72418">
        <w:rPr>
          <w:i/>
          <w:iCs/>
        </w:rPr>
        <w:t>champerty</w:t>
      </w:r>
      <w:r w:rsidR="005F6F52" w:rsidRPr="00E72418">
        <w:rPr>
          <w:rStyle w:val="Appelnotedebasdep"/>
          <w:rFonts w:cs="Times New Roman"/>
          <w:szCs w:val="24"/>
        </w:rPr>
        <w:footnoteReference w:id="1783"/>
      </w:r>
      <w:r w:rsidR="005F6F52" w:rsidRPr="00E72418">
        <w:t xml:space="preserve">. </w:t>
      </w:r>
      <w:r w:rsidR="009A0450" w:rsidRPr="00E72418">
        <w:t>Ainsi, c</w:t>
      </w:r>
      <w:r w:rsidR="005F6F52" w:rsidRPr="00E72418">
        <w:t>omme l’expliqu</w:t>
      </w:r>
      <w:r w:rsidR="00947A08">
        <w:t>ait le</w:t>
      </w:r>
      <w:r w:rsidR="009A0450" w:rsidRPr="00E72418">
        <w:t xml:space="preserve"> </w:t>
      </w:r>
      <w:r w:rsidR="00947A08">
        <w:t>parlementaire</w:t>
      </w:r>
      <w:r w:rsidR="005F6F52" w:rsidRPr="00E72418">
        <w:t xml:space="preserve"> à l’origine de la proposition, </w:t>
      </w:r>
      <w:r w:rsidR="009A0450" w:rsidRPr="00E72418">
        <w:t xml:space="preserve">le texte entendait lutter contre les cessions qui avaient </w:t>
      </w:r>
      <w:r w:rsidR="009A0450" w:rsidRPr="00E72418">
        <w:rPr>
          <w:rFonts w:ascii="TimesNewRoman" w:hAnsi="TimesNewRoman" w:cs="TimesNewRoman"/>
          <w:szCs w:val="24"/>
        </w:rPr>
        <w:t xml:space="preserve">pour objet réel la perspective d’engager des actions en justice afin de contraindre le débiteur cédé à payer et qui </w:t>
      </w:r>
      <w:r w:rsidR="009A0450" w:rsidRPr="00E72418">
        <w:t>n’étaient donc pas</w:t>
      </w:r>
      <w:r w:rsidR="00FB381E" w:rsidRPr="00E72418">
        <w:t>,</w:t>
      </w:r>
      <w:r w:rsidR="009A0450" w:rsidRPr="00E72418">
        <w:t xml:space="preserve"> pour leur cessionnaire</w:t>
      </w:r>
      <w:r w:rsidR="00FB381E" w:rsidRPr="00E72418">
        <w:t>,</w:t>
      </w:r>
      <w:r w:rsidR="009A0450" w:rsidRPr="00E72418">
        <w:t xml:space="preserve"> de véritables opérations financières consistant à faire un pari raisonné sur l’évolution économique du débiteur et les perspectives du marché</w:t>
      </w:r>
      <w:r w:rsidR="005F6F52" w:rsidRPr="00E72418">
        <w:rPr>
          <w:rStyle w:val="Appelnotedebasdep"/>
          <w:rFonts w:cs="Times New Roman"/>
          <w:szCs w:val="24"/>
        </w:rPr>
        <w:footnoteReference w:id="1784"/>
      </w:r>
      <w:r w:rsidR="005F6F52" w:rsidRPr="00E72418">
        <w:t>.</w:t>
      </w:r>
    </w:p>
    <w:p w14:paraId="041C1254" w14:textId="77777777" w:rsidR="00787D6A" w:rsidRPr="00E72418" w:rsidRDefault="00787D6A" w:rsidP="00CC4BA8">
      <w:pPr>
        <w:spacing w:line="276" w:lineRule="auto"/>
        <w:rPr>
          <w:rFonts w:ascii="TimesNewRoman" w:hAnsi="TimesNewRoman" w:cs="TimesNewRoman"/>
          <w:szCs w:val="24"/>
        </w:rPr>
      </w:pPr>
    </w:p>
    <w:p w14:paraId="28AE8E09" w14:textId="7BA6D0BC" w:rsidR="00451D52" w:rsidRPr="00E72418" w:rsidRDefault="004469AC" w:rsidP="00CC4BA8">
      <w:pPr>
        <w:spacing w:line="276" w:lineRule="auto"/>
      </w:pPr>
      <w:r w:rsidRPr="00E72418">
        <w:rPr>
          <w:b/>
        </w:rPr>
        <w:t>362</w:t>
      </w:r>
      <w:r w:rsidR="00817D62" w:rsidRPr="00E72418">
        <w:rPr>
          <w:b/>
        </w:rPr>
        <w:t xml:space="preserve">. </w:t>
      </w:r>
      <w:r w:rsidR="005F6F52" w:rsidRPr="00E72418">
        <w:rPr>
          <w:b/>
        </w:rPr>
        <w:t>L’imprécision –</w:t>
      </w:r>
      <w:r w:rsidR="00E37960" w:rsidRPr="00E72418">
        <w:rPr>
          <w:b/>
        </w:rPr>
        <w:t xml:space="preserve"> </w:t>
      </w:r>
      <w:r w:rsidR="005F6F52" w:rsidRPr="00E72418">
        <w:t xml:space="preserve">La critique majeure du texte en projet </w:t>
      </w:r>
      <w:r w:rsidR="00E37960" w:rsidRPr="00E72418">
        <w:t xml:space="preserve">en 2007 </w:t>
      </w:r>
      <w:r w:rsidR="005F6F52" w:rsidRPr="00E72418">
        <w:t>réside dans l’imprécision des critères et conséquences retenus, laquelle imprécision</w:t>
      </w:r>
      <w:r w:rsidR="00451D52" w:rsidRPr="00E72418">
        <w:t xml:space="preserve"> fait craindre que le texte crée plus de problèmes qu’il n’en solutionne</w:t>
      </w:r>
      <w:r w:rsidR="005F6F52" w:rsidRPr="00E72418">
        <w:rPr>
          <w:rStyle w:val="Appelnotedebasdep"/>
          <w:rFonts w:cs="Times New Roman"/>
          <w:szCs w:val="24"/>
        </w:rPr>
        <w:footnoteReference w:id="1785"/>
      </w:r>
      <w:r w:rsidR="00451D52" w:rsidRPr="00E72418">
        <w:t>.  L</w:t>
      </w:r>
      <w:r w:rsidR="005F6F52" w:rsidRPr="00E72418">
        <w:t>e texte proposé consent un large pouvoir d’appréciation au juge français quant à la mesure dont il entend faire droi</w:t>
      </w:r>
      <w:r w:rsidR="00451D52" w:rsidRPr="00E72418">
        <w:t xml:space="preserve">t à une demande de recouvrement. </w:t>
      </w:r>
      <w:r w:rsidR="00451D52" w:rsidRPr="00E72418">
        <w:lastRenderedPageBreak/>
        <w:t xml:space="preserve">La même imprécision se retrouve dans la caractérisation des </w:t>
      </w:r>
      <w:r w:rsidR="005F6F52" w:rsidRPr="00E72418">
        <w:t xml:space="preserve">éléments dont </w:t>
      </w:r>
      <w:r w:rsidR="00451D52" w:rsidRPr="00E72418">
        <w:t xml:space="preserve">il a à </w:t>
      </w:r>
      <w:r w:rsidR="005F6F52" w:rsidRPr="00E72418">
        <w:t xml:space="preserve">tenir compte </w:t>
      </w:r>
      <w:r w:rsidR="00451D52" w:rsidRPr="00E72418">
        <w:t xml:space="preserve">pour façonner son appréciation. Aussi, le texte envisagé donne au juge la mission de juger d’une éventuelle spéculation du créancier sans réellement le guider dans cette tâche. </w:t>
      </w:r>
      <w:r w:rsidR="00C71F4C" w:rsidRPr="00E72418">
        <w:t xml:space="preserve">Cette caractérisation de l’intention étant éminemment subjective, elle se concilie mal avec la </w:t>
      </w:r>
      <w:r w:rsidR="00451D52" w:rsidRPr="00E72418">
        <w:t>sécurité juridique</w:t>
      </w:r>
      <w:r w:rsidR="00C71F4C" w:rsidRPr="00E72418">
        <w:t xml:space="preserve"> raisonnablement attendue </w:t>
      </w:r>
      <w:r w:rsidR="00FB381E" w:rsidRPr="00E72418">
        <w:t>par les</w:t>
      </w:r>
      <w:r w:rsidR="00C71F4C" w:rsidRPr="00E72418">
        <w:t xml:space="preserve"> acteurs du marché des dettes souveraines</w:t>
      </w:r>
      <w:r w:rsidR="00E37960" w:rsidRPr="00E72418">
        <w:rPr>
          <w:rStyle w:val="Appelnotedebasdep"/>
        </w:rPr>
        <w:footnoteReference w:id="1786"/>
      </w:r>
      <w:r w:rsidR="00C71F4C" w:rsidRPr="00E72418">
        <w:t>.</w:t>
      </w:r>
    </w:p>
    <w:p w14:paraId="4B8BCAD5" w14:textId="77777777" w:rsidR="00C71F4C" w:rsidRPr="00E72418" w:rsidRDefault="00C71F4C" w:rsidP="00CC4BA8">
      <w:pPr>
        <w:spacing w:line="276" w:lineRule="auto"/>
      </w:pPr>
      <w:bookmarkStart w:id="418" w:name="_Toc37777415"/>
    </w:p>
    <w:p w14:paraId="4CF125DE" w14:textId="58F8545D" w:rsidR="005F6F52" w:rsidRPr="00E72418" w:rsidRDefault="008665DF" w:rsidP="00CC4BA8">
      <w:pPr>
        <w:pStyle w:val="DD"/>
        <w:spacing w:afterLines="60" w:after="144" w:line="276" w:lineRule="auto"/>
      </w:pPr>
      <w:bookmarkStart w:id="419" w:name="_Toc59281005"/>
      <w:bookmarkStart w:id="420" w:name="_Toc84540996"/>
      <w:r w:rsidRPr="00E72418">
        <w:t xml:space="preserve">Section 2 : </w:t>
      </w:r>
      <w:r w:rsidR="005F6F52" w:rsidRPr="00E72418">
        <w:t>Le contexte</w:t>
      </w:r>
      <w:bookmarkEnd w:id="418"/>
      <w:bookmarkEnd w:id="419"/>
      <w:bookmarkEnd w:id="420"/>
    </w:p>
    <w:p w14:paraId="77AAF01A" w14:textId="77777777" w:rsidR="007A12E9" w:rsidRPr="00E72418" w:rsidRDefault="007A12E9" w:rsidP="007A12E9"/>
    <w:p w14:paraId="62F53DCF" w14:textId="1B50CA62" w:rsidR="005F6F52" w:rsidRPr="00E72418" w:rsidRDefault="004469AC" w:rsidP="00CC4BA8">
      <w:pPr>
        <w:spacing w:line="276" w:lineRule="auto"/>
      </w:pPr>
      <w:r w:rsidRPr="00E72418">
        <w:rPr>
          <w:b/>
        </w:rPr>
        <w:t>363</w:t>
      </w:r>
      <w:r w:rsidR="00817D62" w:rsidRPr="00E72418">
        <w:rPr>
          <w:b/>
        </w:rPr>
        <w:t xml:space="preserve">. </w:t>
      </w:r>
      <w:r w:rsidR="005F6F52" w:rsidRPr="00E72418">
        <w:rPr>
          <w:b/>
        </w:rPr>
        <w:t>U</w:t>
      </w:r>
      <w:r w:rsidR="00DA38E4" w:rsidRPr="00E72418">
        <w:rPr>
          <w:b/>
        </w:rPr>
        <w:t xml:space="preserve">n article </w:t>
      </w:r>
      <w:r w:rsidR="00F800FC" w:rsidRPr="00E72418">
        <w:rPr>
          <w:b/>
        </w:rPr>
        <w:t>partiellement</w:t>
      </w:r>
      <w:r w:rsidR="00DA38E4" w:rsidRPr="00E72418">
        <w:rPr>
          <w:b/>
        </w:rPr>
        <w:t xml:space="preserve"> isolé –</w:t>
      </w:r>
      <w:r w:rsidR="005F6F52" w:rsidRPr="00E72418">
        <w:t xml:space="preserve"> </w:t>
      </w:r>
      <w:r w:rsidR="007F73B9" w:rsidRPr="00E72418">
        <w:t xml:space="preserve">L’initiative législative </w:t>
      </w:r>
      <w:r w:rsidR="00B71CAB" w:rsidRPr="00E72418">
        <w:t xml:space="preserve">française </w:t>
      </w:r>
      <w:r w:rsidR="007F73B9" w:rsidRPr="00E72418">
        <w:t>des années 2000 n’ayant débouché sur a</w:t>
      </w:r>
      <w:r w:rsidR="00FB381E" w:rsidRPr="00E72418">
        <w:t>ucun résultat concret, il fallut</w:t>
      </w:r>
      <w:r w:rsidR="007F73B9" w:rsidRPr="00E72418">
        <w:t xml:space="preserve"> attendre une dizaine d’années avant que les</w:t>
      </w:r>
      <w:r w:rsidR="00B41CCF" w:rsidRPr="00E72418">
        <w:t xml:space="preserve"> activités des fonds spéculant</w:t>
      </w:r>
      <w:r w:rsidR="007F73B9" w:rsidRPr="00E72418">
        <w:t xml:space="preserve"> sur les dettes souveraines soient </w:t>
      </w:r>
      <w:r w:rsidR="00FB381E" w:rsidRPr="00E72418">
        <w:t xml:space="preserve">à nouveau </w:t>
      </w:r>
      <w:r w:rsidR="007F73B9" w:rsidRPr="00E72418">
        <w:t>appréhendées</w:t>
      </w:r>
      <w:r w:rsidR="004971F3" w:rsidRPr="00E72418">
        <w:t xml:space="preserve"> </w:t>
      </w:r>
      <w:r w:rsidR="007F73B9" w:rsidRPr="00E72418">
        <w:t xml:space="preserve">par le </w:t>
      </w:r>
      <w:r w:rsidR="004971F3" w:rsidRPr="00E72418">
        <w:t>législateur</w:t>
      </w:r>
      <w:r w:rsidR="007F73B9" w:rsidRPr="00E72418">
        <w:t xml:space="preserve"> français. </w:t>
      </w:r>
      <w:r w:rsidR="000813A1" w:rsidRPr="00E72418">
        <w:t xml:space="preserve">Ce </w:t>
      </w:r>
      <w:r w:rsidR="00FB381E" w:rsidRPr="00E72418">
        <w:t>fut</w:t>
      </w:r>
      <w:r w:rsidR="000813A1" w:rsidRPr="00E72418">
        <w:t xml:space="preserve"> chose faite avec l</w:t>
      </w:r>
      <w:r w:rsidR="004971F3" w:rsidRPr="00E72418">
        <w:t>’article 60 de la loi française n° 2016-1691 du 9 décembre 2016 relative à la transparence, à la lutte contre la corruption et à la modernisation de la vie économique</w:t>
      </w:r>
      <w:r w:rsidR="004971F3" w:rsidRPr="00E72418">
        <w:rPr>
          <w:rStyle w:val="Appelnotedebasdep"/>
          <w:szCs w:val="24"/>
        </w:rPr>
        <w:footnoteReference w:id="1787"/>
      </w:r>
      <w:r w:rsidR="004971F3" w:rsidRPr="00E72418">
        <w:t xml:space="preserve">, dite la « loi Sapin II », </w:t>
      </w:r>
      <w:r w:rsidR="000813A1" w:rsidRPr="00E72418">
        <w:t xml:space="preserve">qui </w:t>
      </w:r>
      <w:r w:rsidR="004971F3" w:rsidRPr="00E72418">
        <w:t xml:space="preserve">limite les possibilités de mise en œuvre de mesures conservatoires ou de mesures d’exécution forcée lorsqu’elles sont en lien avec des dettes souveraines </w:t>
      </w:r>
      <w:r w:rsidR="003E382B" w:rsidRPr="00E72418">
        <w:t>d’</w:t>
      </w:r>
      <w:r w:rsidR="003E382B" w:rsidRPr="00E72418">
        <w:rPr>
          <w:lang w:eastAsia="fr-BE"/>
        </w:rPr>
        <w:t>É</w:t>
      </w:r>
      <w:r w:rsidR="006905CB" w:rsidRPr="00E72418">
        <w:t>tats en difficulté financière</w:t>
      </w:r>
      <w:r w:rsidR="000813A1" w:rsidRPr="00E72418">
        <w:t xml:space="preserve">. Avec cette limitation, le législateur français s’engage dans la lutte </w:t>
      </w:r>
      <w:r w:rsidR="004971F3" w:rsidRPr="00E72418">
        <w:t>contre les activités de certains créanciers spéculant sur ces dettes</w:t>
      </w:r>
      <w:r w:rsidR="00B65A0D" w:rsidRPr="00E72418">
        <w:t>. Pl</w:t>
      </w:r>
      <w:r w:rsidR="00FB381E" w:rsidRPr="00E72418">
        <w:t xml:space="preserve">us généralement, </w:t>
      </w:r>
      <w:r w:rsidR="00947A08">
        <w:t xml:space="preserve">avant cette limitation, </w:t>
      </w:r>
      <w:r w:rsidR="00FB381E" w:rsidRPr="00E72418">
        <w:t xml:space="preserve">la loi </w:t>
      </w:r>
      <w:r w:rsidR="001B7AB7" w:rsidRPr="00E72418">
        <w:t xml:space="preserve">Sapin II </w:t>
      </w:r>
      <w:r w:rsidR="00B65A0D" w:rsidRPr="00E72418">
        <w:t xml:space="preserve">traite </w:t>
      </w:r>
      <w:r w:rsidR="00FB381E" w:rsidRPr="00E72418">
        <w:t xml:space="preserve">en son article 59 </w:t>
      </w:r>
      <w:r w:rsidR="00B65A0D" w:rsidRPr="00E72418">
        <w:t>de l’immunité d’exécution étatique en réglant la façon dont des mesures de contrainte sur les biens appartenant à des États étrangers peuvent être mises en œuvre</w:t>
      </w:r>
      <w:r w:rsidR="004971F3" w:rsidRPr="00E72418">
        <w:rPr>
          <w:rStyle w:val="Appelnotedebasdep"/>
        </w:rPr>
        <w:footnoteReference w:id="1788"/>
      </w:r>
      <w:r w:rsidR="004971F3" w:rsidRPr="00E72418">
        <w:t>.</w:t>
      </w:r>
    </w:p>
    <w:p w14:paraId="75511C0B" w14:textId="22E167EA" w:rsidR="005F6F52" w:rsidRDefault="005F6F52" w:rsidP="00CC4BA8">
      <w:pPr>
        <w:spacing w:line="276" w:lineRule="auto"/>
      </w:pPr>
      <w:r w:rsidRPr="00E72418">
        <w:t>L’a</w:t>
      </w:r>
      <w:r w:rsidR="004A1C1D" w:rsidRPr="00E72418">
        <w:t>rticle 60 de la loi Sapin II comportant</w:t>
      </w:r>
      <w:r w:rsidRPr="00E72418">
        <w:t xml:space="preserve"> neuf dispositions a une existence propre en ce qu’il ne vise pas à introduire des dispositions dans l’un ou l’autre code. La logique est différente de celle de l’article 59 de la loi qui </w:t>
      </w:r>
      <w:r w:rsidR="004A1C1D" w:rsidRPr="00E72418">
        <w:t>insère dans le C</w:t>
      </w:r>
      <w:r w:rsidRPr="00E72418">
        <w:t xml:space="preserve">ode des procédures civiles d’exécution français trois articles, précisément les articles </w:t>
      </w:r>
      <w:r w:rsidRPr="00E72418">
        <w:rPr>
          <w:rFonts w:eastAsia="Times New Roman" w:cs="Times New Roman"/>
          <w:lang w:eastAsia="fr-BE"/>
        </w:rPr>
        <w:t>L. 111-1-1, L. 111-1-2 et L. 111-1-3,</w:t>
      </w:r>
      <w:r w:rsidRPr="00E72418">
        <w:t xml:space="preserve"> visant à régler les modalités de mise en œuvre des mesures conservatoires et des mesures d’exécution forcée sur les biens appartenant à des </w:t>
      </w:r>
      <w:r w:rsidRPr="00E72418">
        <w:rPr>
          <w:rFonts w:cs="Times New Roman"/>
          <w:shd w:val="clear" w:color="auto" w:fill="FFFFFF"/>
        </w:rPr>
        <w:t>É</w:t>
      </w:r>
      <w:r w:rsidR="00B65A0D" w:rsidRPr="00E72418">
        <w:t xml:space="preserve">tats étrangers. </w:t>
      </w:r>
      <w:r w:rsidRPr="00E72418">
        <w:t xml:space="preserve">Les mesures que le juge français permettrait en application de l’article 60 </w:t>
      </w:r>
      <w:r w:rsidR="00B65A0D" w:rsidRPr="00E72418">
        <w:t>doivent r</w:t>
      </w:r>
      <w:r w:rsidRPr="00E72418">
        <w:t>especter les modalités précisées aux articles</w:t>
      </w:r>
      <w:r w:rsidR="004A1C1D" w:rsidRPr="00E72418">
        <w:t xml:space="preserve"> précités du C</w:t>
      </w:r>
      <w:r w:rsidRPr="00E72418">
        <w:t>ode des procédures civiles d’exécution</w:t>
      </w:r>
      <w:r w:rsidRPr="00E72418">
        <w:rPr>
          <w:rStyle w:val="Appelnotedebasdep"/>
        </w:rPr>
        <w:footnoteReference w:id="1789"/>
      </w:r>
      <w:r w:rsidRPr="00E72418">
        <w:t>.</w:t>
      </w:r>
    </w:p>
    <w:p w14:paraId="3C5C4D4E" w14:textId="77777777" w:rsidR="00787D6A" w:rsidRPr="00E72418" w:rsidRDefault="00787D6A" w:rsidP="00CC4BA8">
      <w:pPr>
        <w:spacing w:line="276" w:lineRule="auto"/>
      </w:pPr>
    </w:p>
    <w:p w14:paraId="7A49AF9B" w14:textId="5812AC56" w:rsidR="005F6F52" w:rsidRPr="00E72418" w:rsidRDefault="004469AC" w:rsidP="00CC4BA8">
      <w:pPr>
        <w:spacing w:line="276" w:lineRule="auto"/>
        <w:rPr>
          <w:rFonts w:cs="Times New Roman"/>
          <w:szCs w:val="24"/>
          <w:shd w:val="clear" w:color="auto" w:fill="FFFFFF"/>
        </w:rPr>
      </w:pPr>
      <w:r w:rsidRPr="00E72418">
        <w:rPr>
          <w:b/>
        </w:rPr>
        <w:t>364</w:t>
      </w:r>
      <w:r w:rsidR="00817D62" w:rsidRPr="00E72418">
        <w:rPr>
          <w:b/>
        </w:rPr>
        <w:t xml:space="preserve">. </w:t>
      </w:r>
      <w:r w:rsidR="00DA38E4" w:rsidRPr="00E72418">
        <w:rPr>
          <w:b/>
        </w:rPr>
        <w:t>La visée législative –</w:t>
      </w:r>
      <w:r w:rsidR="005F6F52" w:rsidRPr="00E72418">
        <w:rPr>
          <w:rFonts w:cs="Times New Roman"/>
          <w:b/>
        </w:rPr>
        <w:t xml:space="preserve"> </w:t>
      </w:r>
      <w:r w:rsidR="00B65A0D" w:rsidRPr="00E72418">
        <w:t>Le parlementaire Dominique</w:t>
      </w:r>
      <w:r w:rsidR="005F6F52" w:rsidRPr="00E72418">
        <w:t xml:space="preserve"> Potier,</w:t>
      </w:r>
      <w:r w:rsidR="005F6F52" w:rsidRPr="00E72418">
        <w:rPr>
          <w:szCs w:val="24"/>
        </w:rPr>
        <w:t xml:space="preserve"> </w:t>
      </w:r>
      <w:r w:rsidR="005F6F52" w:rsidRPr="00E72418">
        <w:t xml:space="preserve">commentant l’article du projet de loi visant à régler généralement les immunités d’exécution des </w:t>
      </w:r>
      <w:r w:rsidR="005F6F52" w:rsidRPr="00E72418">
        <w:rPr>
          <w:rFonts w:cs="Times New Roman"/>
          <w:szCs w:val="24"/>
          <w:shd w:val="clear" w:color="auto" w:fill="FFFFFF"/>
        </w:rPr>
        <w:t>É</w:t>
      </w:r>
      <w:r w:rsidR="005F6F52" w:rsidRPr="00E72418">
        <w:t>tats étrangers, indiqua que « </w:t>
      </w:r>
      <w:r w:rsidR="005F6F52" w:rsidRPr="00E72418">
        <w:rPr>
          <w:rFonts w:cs="Times New Roman"/>
        </w:rPr>
        <w:t>[n]</w:t>
      </w:r>
      <w:r w:rsidR="005F6F52" w:rsidRPr="00E72418">
        <w:t xml:space="preserve">ous devons prendre des mesures de protection des biens acquis par des pays tiers sur notre sol et concourir à débarrasser l’économie de ces fonds vautours qui sont souvent les mêmes que l’on retrouve dans les </w:t>
      </w:r>
      <w:r w:rsidR="005F6F52" w:rsidRPr="00E72418">
        <w:rPr>
          <w:i/>
        </w:rPr>
        <w:t>Panama Papers</w:t>
      </w:r>
      <w:r w:rsidR="005F6F52" w:rsidRPr="00E72418">
        <w:t>, acteurs d’une économie de la fraude et de la triche qui désespère le peuple et fabrique de la misère au bout du monde comme au bout de la rue »</w:t>
      </w:r>
      <w:r w:rsidR="005F6F52" w:rsidRPr="00E72418">
        <w:rPr>
          <w:rStyle w:val="Appelnotedebasdep"/>
        </w:rPr>
        <w:footnoteReference w:id="1790"/>
      </w:r>
      <w:r w:rsidR="00A66B05" w:rsidRPr="00E72418">
        <w:t xml:space="preserve">. </w:t>
      </w:r>
      <w:r w:rsidR="005F6F52" w:rsidRPr="00E72418">
        <w:t>Lors des débats à l’Assemblée nationale, l’éthique poursuivie par le projet de loi, et singulièrement par l’article anti-fonds spéculatif</w:t>
      </w:r>
      <w:r w:rsidR="00533D9C" w:rsidRPr="00E72418">
        <w:t>s envisagé, fut soulignée par Sébastien</w:t>
      </w:r>
      <w:r w:rsidR="005F6F52" w:rsidRPr="00E72418">
        <w:t xml:space="preserve"> Denaja. Ce député indiqua que la législation s’inscrivait dans le mouvement « de la lutte contre la finance dévoyée », « </w:t>
      </w:r>
      <w:r w:rsidR="005F6F52" w:rsidRPr="00E72418">
        <w:rPr>
          <w:rFonts w:cs="Times New Roman"/>
        </w:rPr>
        <w:t>[n]</w:t>
      </w:r>
      <w:r w:rsidR="005F6F52" w:rsidRPr="00E72418">
        <w:t xml:space="preserve">on pas </w:t>
      </w:r>
      <w:r w:rsidR="00A66B05" w:rsidRPr="00E72418">
        <w:rPr>
          <w:rFonts w:cs="Times New Roman"/>
        </w:rPr>
        <w:t>[</w:t>
      </w:r>
      <w:r w:rsidR="005F6F52" w:rsidRPr="00E72418">
        <w:rPr>
          <w:rFonts w:cs="Times New Roman"/>
        </w:rPr>
        <w:t>la f</w:t>
      </w:r>
      <w:r w:rsidR="00A66B05" w:rsidRPr="00E72418">
        <w:rPr>
          <w:rFonts w:cs="Times New Roman"/>
        </w:rPr>
        <w:t>inance]</w:t>
      </w:r>
      <w:r w:rsidR="005F6F52" w:rsidRPr="00E72418">
        <w:rPr>
          <w:rFonts w:cs="Times New Roman"/>
        </w:rPr>
        <w:t xml:space="preserve"> qui participe au développement de l’économie réelle mais celle, toute puissante, vorace, dont le seul but est de créer de la richesse non pas pour les peuples mais afin de l’accaparer, tels ces fonds va</w:t>
      </w:r>
      <w:r w:rsidR="00A66B05" w:rsidRPr="00E72418">
        <w:rPr>
          <w:rFonts w:cs="Times New Roman"/>
        </w:rPr>
        <w:t>utours à la rapacité mortifère</w:t>
      </w:r>
      <w:r w:rsidR="005F6F52" w:rsidRPr="00E72418">
        <w:rPr>
          <w:rFonts w:cs="Times New Roman"/>
        </w:rPr>
        <w:t> »</w:t>
      </w:r>
      <w:r w:rsidR="005F6F52" w:rsidRPr="00E72418">
        <w:rPr>
          <w:rStyle w:val="Appelnotedebasdep"/>
          <w:rFonts w:cs="Times New Roman"/>
        </w:rPr>
        <w:footnoteReference w:id="1791"/>
      </w:r>
      <w:r w:rsidR="00B65A0D" w:rsidRPr="00E72418">
        <w:rPr>
          <w:rFonts w:cs="Times New Roman"/>
        </w:rPr>
        <w:t>. Et Dominique</w:t>
      </w:r>
      <w:r w:rsidR="005F6F52" w:rsidRPr="00E72418">
        <w:rPr>
          <w:rFonts w:cs="Times New Roman"/>
        </w:rPr>
        <w:t xml:space="preserve"> Potier de se féliciter que « la France se dote enfin d’un dispositif de lutte contre les fonds vautours, symbole de cette finance que nous voulons condamner et mettre à terre »</w:t>
      </w:r>
      <w:r w:rsidR="005F6F52" w:rsidRPr="00E72418">
        <w:rPr>
          <w:rStyle w:val="Appelnotedebasdep"/>
          <w:rFonts w:cs="Times New Roman"/>
        </w:rPr>
        <w:footnoteReference w:id="1792"/>
      </w:r>
      <w:r w:rsidR="005F6F52" w:rsidRPr="00E72418">
        <w:rPr>
          <w:rFonts w:cs="Times New Roman"/>
        </w:rPr>
        <w:t xml:space="preserve">. </w:t>
      </w:r>
      <w:r w:rsidR="00533D9C" w:rsidRPr="00E72418">
        <w:t>Sandrine</w:t>
      </w:r>
      <w:r w:rsidR="005F6F52" w:rsidRPr="00E72418">
        <w:t xml:space="preserve"> Mazetier parla, quant à elle, d’une « bataille </w:t>
      </w:r>
      <w:r w:rsidR="005F6F52" w:rsidRPr="00E72418">
        <w:rPr>
          <w:rFonts w:cs="Times New Roman"/>
        </w:rPr>
        <w:t>[…]</w:t>
      </w:r>
      <w:r w:rsidR="005F6F52" w:rsidRPr="00E72418">
        <w:t xml:space="preserve"> contre les fonds vautours </w:t>
      </w:r>
      <w:r w:rsidR="005F6F52" w:rsidRPr="00E72418">
        <w:rPr>
          <w:rFonts w:cs="Times New Roman"/>
        </w:rPr>
        <w:t>[…]</w:t>
      </w:r>
      <w:r w:rsidR="005F6F52" w:rsidRPr="00E72418">
        <w:t xml:space="preserve"> afin de mettre de l’éthique dans la mondialisation »</w:t>
      </w:r>
      <w:r w:rsidR="005F6F52" w:rsidRPr="00E72418">
        <w:rPr>
          <w:rStyle w:val="Appelnotedebasdep"/>
        </w:rPr>
        <w:footnoteReference w:id="1793"/>
      </w:r>
      <w:r w:rsidR="005F6F52" w:rsidRPr="00E72418">
        <w:t xml:space="preserve">. </w:t>
      </w:r>
      <w:r w:rsidR="00533D9C" w:rsidRPr="00E72418">
        <w:rPr>
          <w:rFonts w:cs="Times New Roman"/>
          <w:szCs w:val="24"/>
          <w:shd w:val="clear" w:color="auto" w:fill="FFFFFF"/>
        </w:rPr>
        <w:t>De ces fonds, Marie-Noëlle</w:t>
      </w:r>
      <w:r w:rsidR="005F6F52" w:rsidRPr="00E72418">
        <w:rPr>
          <w:rFonts w:cs="Times New Roman"/>
          <w:szCs w:val="24"/>
          <w:shd w:val="clear" w:color="auto" w:fill="FFFFFF"/>
        </w:rPr>
        <w:t xml:space="preserve"> Lienemann dit qu’ils sont « les prédateurs des États et de l’intérêt général », que « </w:t>
      </w:r>
      <w:r w:rsidR="005F6F52" w:rsidRPr="00E72418">
        <w:rPr>
          <w:rFonts w:cs="Times New Roman"/>
        </w:rPr>
        <w:t>[c]</w:t>
      </w:r>
      <w:r w:rsidR="005F6F52" w:rsidRPr="00E72418">
        <w:rPr>
          <w:rFonts w:cs="Times New Roman"/>
          <w:szCs w:val="24"/>
          <w:shd w:val="clear" w:color="auto" w:fill="FFFFFF"/>
        </w:rPr>
        <w:t>ela est d’autant plus vrai que cela touche parfois des pay</w:t>
      </w:r>
      <w:r w:rsidR="00B10007" w:rsidRPr="00E72418">
        <w:rPr>
          <w:rFonts w:cs="Times New Roman"/>
          <w:szCs w:val="24"/>
          <w:shd w:val="clear" w:color="auto" w:fill="FFFFFF"/>
        </w:rPr>
        <w:t>s du tiers-monde » et que « </w:t>
      </w:r>
      <w:r w:rsidR="00B10007" w:rsidRPr="00E72418">
        <w:rPr>
          <w:rFonts w:cs="Times New Roman"/>
        </w:rPr>
        <w:t>[</w:t>
      </w:r>
      <w:r w:rsidR="00B10007" w:rsidRPr="00E72418">
        <w:rPr>
          <w:rFonts w:cs="Times New Roman"/>
          <w:szCs w:val="24"/>
          <w:shd w:val="clear" w:color="auto" w:fill="FFFFFF"/>
        </w:rPr>
        <w:t>l’</w:t>
      </w:r>
      <w:r w:rsidR="00B10007" w:rsidRPr="00E72418">
        <w:rPr>
          <w:rFonts w:cs="Times New Roman"/>
        </w:rPr>
        <w:t>]</w:t>
      </w:r>
      <w:r w:rsidR="005F6F52" w:rsidRPr="00E72418">
        <w:rPr>
          <w:rFonts w:cs="Times New Roman"/>
          <w:szCs w:val="24"/>
          <w:shd w:val="clear" w:color="auto" w:fill="FFFFFF"/>
        </w:rPr>
        <w:t xml:space="preserve">aide publique au développement que ces derniers reçoivent se retrouve parfois </w:t>
      </w:r>
      <w:r w:rsidR="00256887" w:rsidRPr="00E72418">
        <w:rPr>
          <w:rFonts w:cs="Times New Roman"/>
          <w:szCs w:val="24"/>
          <w:shd w:val="clear" w:color="auto" w:fill="FFFFFF"/>
        </w:rPr>
        <w:t>concernée par ces fonds ». Et le sénateur</w:t>
      </w:r>
      <w:r w:rsidR="002E0126" w:rsidRPr="00E72418">
        <w:rPr>
          <w:rFonts w:cs="Times New Roman"/>
          <w:szCs w:val="24"/>
          <w:shd w:val="clear" w:color="auto" w:fill="FFFFFF"/>
        </w:rPr>
        <w:t xml:space="preserve"> de conclure qu’</w:t>
      </w:r>
      <w:r w:rsidR="009950CC" w:rsidRPr="00E72418">
        <w:rPr>
          <w:rFonts w:cs="Times New Roman"/>
          <w:szCs w:val="24"/>
          <w:shd w:val="clear" w:color="auto" w:fill="FFFFFF"/>
        </w:rPr>
        <w:t xml:space="preserve"> </w:t>
      </w:r>
      <w:r w:rsidR="005F6F52" w:rsidRPr="00E72418">
        <w:rPr>
          <w:rFonts w:cs="Times New Roman"/>
          <w:szCs w:val="24"/>
          <w:shd w:val="clear" w:color="auto" w:fill="FFFFFF"/>
        </w:rPr>
        <w:t>« </w:t>
      </w:r>
      <w:r w:rsidR="005F6F52" w:rsidRPr="00E72418">
        <w:rPr>
          <w:rFonts w:cs="Times New Roman"/>
        </w:rPr>
        <w:t>[i]</w:t>
      </w:r>
      <w:r w:rsidR="005F6F52" w:rsidRPr="00E72418">
        <w:rPr>
          <w:rFonts w:cs="Times New Roman"/>
          <w:szCs w:val="24"/>
          <w:shd w:val="clear" w:color="auto" w:fill="FFFFFF"/>
        </w:rPr>
        <w:t>l faut donc leur mener un combat sans merci » et que « </w:t>
      </w:r>
      <w:r w:rsidR="005F6F52" w:rsidRPr="00E72418">
        <w:rPr>
          <w:rFonts w:cs="Times New Roman"/>
        </w:rPr>
        <w:t>[n]</w:t>
      </w:r>
      <w:r w:rsidR="005F6F52" w:rsidRPr="00E72418">
        <w:rPr>
          <w:rFonts w:cs="Times New Roman"/>
          <w:szCs w:val="24"/>
          <w:shd w:val="clear" w:color="auto" w:fill="FFFFFF"/>
        </w:rPr>
        <w:t>otre pays s’honorerait à adopter la position que le gouvernement propose »</w:t>
      </w:r>
      <w:r w:rsidR="005F6F52" w:rsidRPr="00E72418">
        <w:rPr>
          <w:rStyle w:val="Appelnotedebasdep"/>
          <w:rFonts w:cs="Times New Roman"/>
          <w:szCs w:val="24"/>
          <w:shd w:val="clear" w:color="auto" w:fill="FFFFFF"/>
        </w:rPr>
        <w:footnoteReference w:id="1794"/>
      </w:r>
      <w:r w:rsidR="005F6F52" w:rsidRPr="00E72418">
        <w:rPr>
          <w:rFonts w:cs="Times New Roman"/>
          <w:szCs w:val="24"/>
          <w:shd w:val="clear" w:color="auto" w:fill="FFFFFF"/>
        </w:rPr>
        <w:t>.</w:t>
      </w:r>
      <w:r w:rsidR="006662C9" w:rsidRPr="00E72418">
        <w:rPr>
          <w:rFonts w:cs="Times New Roman"/>
          <w:szCs w:val="24"/>
          <w:shd w:val="clear" w:color="auto" w:fill="FFFFFF"/>
        </w:rPr>
        <w:t xml:space="preserve"> Ce combat sur le terrain du droit semb</w:t>
      </w:r>
      <w:r w:rsidR="00947A08">
        <w:rPr>
          <w:rFonts w:cs="Times New Roman"/>
          <w:szCs w:val="24"/>
          <w:shd w:val="clear" w:color="auto" w:fill="FFFFFF"/>
        </w:rPr>
        <w:t xml:space="preserve">lait s’imposer d’autant plus que le sénateur </w:t>
      </w:r>
      <w:r w:rsidR="006662C9" w:rsidRPr="00E72418">
        <w:rPr>
          <w:szCs w:val="24"/>
        </w:rPr>
        <w:t xml:space="preserve">Alain Anziani avait fait valoir au sujet </w:t>
      </w:r>
      <w:r w:rsidR="006662C9" w:rsidRPr="00E72418">
        <w:rPr>
          <w:szCs w:val="24"/>
        </w:rPr>
        <w:lastRenderedPageBreak/>
        <w:t>de système français qu’il était « très favorable aux créanciers d’États endettés, par exemple des fonds spéculatifs, qui viennent saisir les biens de ces États sur notre territoire, par facilité »</w:t>
      </w:r>
      <w:r w:rsidR="006662C9" w:rsidRPr="00E72418">
        <w:rPr>
          <w:rStyle w:val="Appelnotedebasdep"/>
          <w:szCs w:val="24"/>
        </w:rPr>
        <w:footnoteReference w:id="1795"/>
      </w:r>
      <w:r w:rsidR="006662C9" w:rsidRPr="00E72418">
        <w:rPr>
          <w:szCs w:val="24"/>
        </w:rPr>
        <w:t>.</w:t>
      </w:r>
    </w:p>
    <w:p w14:paraId="77E2B9CD" w14:textId="77777777" w:rsidR="00A66B05" w:rsidRPr="00E72418" w:rsidRDefault="00256887" w:rsidP="00CC4BA8">
      <w:pPr>
        <w:spacing w:line="276" w:lineRule="auto"/>
      </w:pPr>
      <w:r w:rsidRPr="00E72418">
        <w:rPr>
          <w:rFonts w:cs="Times New Roman"/>
        </w:rPr>
        <w:t>Même s</w:t>
      </w:r>
      <w:r w:rsidR="00A66B05" w:rsidRPr="00E72418">
        <w:rPr>
          <w:rFonts w:cs="Times New Roman"/>
        </w:rPr>
        <w:t xml:space="preserve">i </w:t>
      </w:r>
      <w:r w:rsidR="00A66B05" w:rsidRPr="00E72418">
        <w:t xml:space="preserve">le sobriquet fut utilisé à maintes reprises lors des travaux préparatoires de la loi Sapin II, </w:t>
      </w:r>
      <w:r w:rsidR="00A66B05" w:rsidRPr="00E72418">
        <w:rPr>
          <w:rFonts w:cs="Times New Roman"/>
        </w:rPr>
        <w:t xml:space="preserve">les termes </w:t>
      </w:r>
      <w:r w:rsidR="00A66B05" w:rsidRPr="00E72418">
        <w:t xml:space="preserve">« fonds vautours » ne furent </w:t>
      </w:r>
      <w:r w:rsidRPr="00E72418">
        <w:t xml:space="preserve">toutefois </w:t>
      </w:r>
      <w:r w:rsidR="00A66B05" w:rsidRPr="00E72418">
        <w:t>pas retenus dans le texte de loi français</w:t>
      </w:r>
      <w:r w:rsidR="00A66B05" w:rsidRPr="00E72418">
        <w:rPr>
          <w:rStyle w:val="Appelnotedebasdep"/>
        </w:rPr>
        <w:footnoteReference w:id="1796"/>
      </w:r>
      <w:r w:rsidR="00A66B05" w:rsidRPr="00E72418">
        <w:t xml:space="preserve">. Quoique les parlementaires français ayant présenté l’amendement à l’origine de l’article 60 de la loi Sapin II admirent s’être inspirés des législations </w:t>
      </w:r>
      <w:r w:rsidR="00EC5216" w:rsidRPr="00E72418">
        <w:t>britannique</w:t>
      </w:r>
      <w:r w:rsidR="00A66B05" w:rsidRPr="00E72418">
        <w:t xml:space="preserve"> et </w:t>
      </w:r>
      <w:r w:rsidR="00EC5216" w:rsidRPr="00E72418">
        <w:t>belge</w:t>
      </w:r>
      <w:r w:rsidR="00A66B05" w:rsidRPr="00E72418">
        <w:rPr>
          <w:rStyle w:val="Appelnotedebasdep"/>
        </w:rPr>
        <w:footnoteReference w:id="1797"/>
      </w:r>
      <w:r w:rsidR="00A66B05" w:rsidRPr="00E72418">
        <w:t>, Michel Sapin indiqua, au Sénat, que l’article novateur pour lutter contre les pratiques prédatrices des fonds spéculatifs « placera la France à la pointe de ce combat, avec un bon équilibre entre efficacité et constitutionnalité »</w:t>
      </w:r>
      <w:r w:rsidR="00A66B05" w:rsidRPr="00E72418">
        <w:rPr>
          <w:rStyle w:val="Appelnotedebasdep"/>
        </w:rPr>
        <w:footnoteReference w:id="1798"/>
      </w:r>
      <w:r w:rsidR="00A66B05" w:rsidRPr="00E72418">
        <w:t>. C’est dans le même ordre d’idée</w:t>
      </w:r>
      <w:r w:rsidRPr="00E72418">
        <w:t>s</w:t>
      </w:r>
      <w:r w:rsidR="00A66B05" w:rsidRPr="00E72418">
        <w:t xml:space="preserve"> que Dominique Potier, </w:t>
      </w:r>
      <w:r w:rsidR="00A66B05" w:rsidRPr="00E72418">
        <w:rPr>
          <w:szCs w:val="24"/>
        </w:rPr>
        <w:t>un des fers de lance de la lutte contre les</w:t>
      </w:r>
      <w:r w:rsidR="00B41CCF" w:rsidRPr="00E72418">
        <w:rPr>
          <w:szCs w:val="24"/>
        </w:rPr>
        <w:t xml:space="preserve"> activités des fonds spéculant</w:t>
      </w:r>
      <w:r w:rsidR="00A66B05" w:rsidRPr="00E72418">
        <w:rPr>
          <w:szCs w:val="24"/>
        </w:rPr>
        <w:t xml:space="preserve"> sur les dettes souveraines</w:t>
      </w:r>
      <w:r w:rsidR="00A66B05" w:rsidRPr="00E72418">
        <w:t>, affirma, sans ambages, avoir initié le combat contre les fonds vautours a</w:t>
      </w:r>
      <w:r w:rsidR="007C3F2D" w:rsidRPr="00E72418">
        <w:t>u moyen d’une législation qui fera école en Europe</w:t>
      </w:r>
      <w:r w:rsidR="00A66B05" w:rsidRPr="00E72418">
        <w:rPr>
          <w:rStyle w:val="Appelnotedebasdep"/>
        </w:rPr>
        <w:footnoteReference w:id="1799"/>
      </w:r>
      <w:r w:rsidR="00A66B05" w:rsidRPr="00E72418">
        <w:t>.</w:t>
      </w:r>
    </w:p>
    <w:p w14:paraId="4FFEEE46" w14:textId="77777777" w:rsidR="005F6F52" w:rsidRPr="00E72418" w:rsidRDefault="005F6F52" w:rsidP="00CC4BA8">
      <w:pPr>
        <w:spacing w:line="276" w:lineRule="auto"/>
        <w:rPr>
          <w:rFonts w:cs="Times New Roman"/>
          <w:szCs w:val="24"/>
          <w:shd w:val="clear" w:color="auto" w:fill="FFFFFF"/>
        </w:rPr>
      </w:pPr>
    </w:p>
    <w:p w14:paraId="0207D690" w14:textId="04766B23" w:rsidR="005F6F52" w:rsidRPr="00E72418" w:rsidRDefault="004469AC" w:rsidP="00CC4BA8">
      <w:pPr>
        <w:spacing w:line="276" w:lineRule="auto"/>
        <w:rPr>
          <w:rFonts w:cs="Times New Roman"/>
          <w:shd w:val="clear" w:color="auto" w:fill="FFFFFF"/>
        </w:rPr>
      </w:pPr>
      <w:r w:rsidRPr="00E72418">
        <w:rPr>
          <w:b/>
        </w:rPr>
        <w:t>365</w:t>
      </w:r>
      <w:r w:rsidR="00817D62" w:rsidRPr="00E72418">
        <w:rPr>
          <w:b/>
        </w:rPr>
        <w:t xml:space="preserve">. </w:t>
      </w:r>
      <w:r w:rsidR="005F6F52" w:rsidRPr="00E72418">
        <w:rPr>
          <w:b/>
        </w:rPr>
        <w:t>Les iniquités que la loi entend contrer –</w:t>
      </w:r>
      <w:r w:rsidR="005F6F52" w:rsidRPr="00E72418">
        <w:t xml:space="preserve"> Lors des travaux préparatoires de la loi française, le député D</w:t>
      </w:r>
      <w:r w:rsidR="00B65A0D" w:rsidRPr="00E72418">
        <w:t>ominique</w:t>
      </w:r>
      <w:r w:rsidR="005F6F52" w:rsidRPr="00E72418">
        <w:t xml:space="preserve"> Potier souligna l’importance de « mettre fin aux pratiques de ces fonds procéduriers qui rachètent à vil prix les dettes des États en situation de défaut de paiement aussi bien sur le marché obligataire que dans des opérations de gré à gré, épuisant ainsi les ressources du pays en confisquant ses biens publics, ses ressources – par exemple, le produit des impôts payés par une société française ou même l’accaparement du remboursement des dettes organisé par les créanciers – mais également en captant l’aide publique au développement »</w:t>
      </w:r>
      <w:r w:rsidR="007C3F2D" w:rsidRPr="00E72418">
        <w:rPr>
          <w:rStyle w:val="Appelnotedebasdep"/>
          <w:szCs w:val="24"/>
        </w:rPr>
        <w:footnoteReference w:id="1800"/>
      </w:r>
      <w:r w:rsidR="005F6F52" w:rsidRPr="00E72418">
        <w:t xml:space="preserve">. </w:t>
      </w:r>
      <w:r w:rsidR="007C3F2D" w:rsidRPr="00E72418">
        <w:t>Le parlementaire</w:t>
      </w:r>
      <w:r w:rsidR="002E0126" w:rsidRPr="00E72418">
        <w:t xml:space="preserve"> ajouta</w:t>
      </w:r>
      <w:r w:rsidR="007C3F2D" w:rsidRPr="00E72418">
        <w:t>it que ces fonds</w:t>
      </w:r>
      <w:r w:rsidR="005F6F52" w:rsidRPr="00E72418">
        <w:t xml:space="preserve"> épuisent </w:t>
      </w:r>
      <w:r w:rsidR="007C3F2D" w:rsidRPr="00E72418">
        <w:t>des</w:t>
      </w:r>
      <w:r w:rsidR="005F6F52" w:rsidRPr="00E72418">
        <w:t xml:space="preserve"> État</w:t>
      </w:r>
      <w:r w:rsidR="007C3F2D" w:rsidRPr="00E72418">
        <w:t>s</w:t>
      </w:r>
      <w:r w:rsidR="005F6F52" w:rsidRPr="00E72418">
        <w:t xml:space="preserve"> en situation de fragilité et, par ailleurs, em</w:t>
      </w:r>
      <w:r w:rsidR="007C3F2D" w:rsidRPr="00E72418">
        <w:t>pêchent la restructuration de leurs</w:t>
      </w:r>
      <w:r w:rsidR="005F6F52" w:rsidRPr="00E72418">
        <w:t xml:space="preserve"> dette</w:t>
      </w:r>
      <w:r w:rsidR="007C3F2D" w:rsidRPr="00E72418">
        <w:t xml:space="preserve">s laquelle </w:t>
      </w:r>
      <w:r w:rsidR="00BF4F26" w:rsidRPr="00E72418">
        <w:t>représente</w:t>
      </w:r>
      <w:r w:rsidR="007C3F2D" w:rsidRPr="00E72418">
        <w:t xml:space="preserve"> </w:t>
      </w:r>
      <w:r w:rsidR="005F6F52" w:rsidRPr="00E72418">
        <w:t>souv</w:t>
      </w:r>
      <w:r w:rsidR="007C3F2D" w:rsidRPr="00E72418">
        <w:t>ent la seule sortie de crise</w:t>
      </w:r>
      <w:r w:rsidR="005F6F52" w:rsidRPr="00E72418">
        <w:rPr>
          <w:rStyle w:val="Appelnotedebasdep"/>
          <w:szCs w:val="24"/>
        </w:rPr>
        <w:footnoteReference w:id="1801"/>
      </w:r>
      <w:r w:rsidR="005F6F52" w:rsidRPr="00E72418">
        <w:t xml:space="preserve">. </w:t>
      </w:r>
      <w:r w:rsidR="005F6F52" w:rsidRPr="00E72418">
        <w:rPr>
          <w:rFonts w:cs="Times New Roman"/>
        </w:rPr>
        <w:t>Ce constat fait, l’exposé sommaire de l’amendement</w:t>
      </w:r>
      <w:r w:rsidR="002E0126" w:rsidRPr="00E72418">
        <w:rPr>
          <w:rFonts w:cs="Times New Roman"/>
        </w:rPr>
        <w:t xml:space="preserve"> « </w:t>
      </w:r>
      <w:r w:rsidR="0027020B" w:rsidRPr="00E72418">
        <w:rPr>
          <w:rFonts w:cs="Times New Roman"/>
        </w:rPr>
        <w:t>anti-</w:t>
      </w:r>
      <w:r w:rsidR="002E0126" w:rsidRPr="00E72418">
        <w:rPr>
          <w:rFonts w:cs="Times New Roman"/>
        </w:rPr>
        <w:t>fonds vauto</w:t>
      </w:r>
      <w:r w:rsidR="007C3F2D" w:rsidRPr="00E72418">
        <w:rPr>
          <w:rFonts w:cs="Times New Roman"/>
        </w:rPr>
        <w:t xml:space="preserve">urs » précisait que le </w:t>
      </w:r>
      <w:r w:rsidR="005F6F52" w:rsidRPr="00E72418">
        <w:rPr>
          <w:rFonts w:cs="Times New Roman"/>
          <w:shd w:val="clear" w:color="auto" w:fill="FFFFFF"/>
        </w:rPr>
        <w:t xml:space="preserve">développement des actions des fonds dits </w:t>
      </w:r>
      <w:r w:rsidR="00BF4F26" w:rsidRPr="00E72418">
        <w:t>« </w:t>
      </w:r>
      <w:r w:rsidR="005F6F52" w:rsidRPr="00E72418">
        <w:rPr>
          <w:rFonts w:cs="Times New Roman"/>
          <w:shd w:val="clear" w:color="auto" w:fill="FFFFFF"/>
        </w:rPr>
        <w:t>procéduriers</w:t>
      </w:r>
      <w:r w:rsidR="00BF4F26" w:rsidRPr="00E72418">
        <w:t> »</w:t>
      </w:r>
      <w:r w:rsidR="005F6F52" w:rsidRPr="00E72418">
        <w:rPr>
          <w:rFonts w:cs="Times New Roman"/>
          <w:shd w:val="clear" w:color="auto" w:fill="FFFFFF"/>
        </w:rPr>
        <w:t xml:space="preserve"> ou </w:t>
      </w:r>
      <w:r w:rsidR="00BF4F26" w:rsidRPr="00E72418">
        <w:lastRenderedPageBreak/>
        <w:t>« </w:t>
      </w:r>
      <w:r w:rsidR="005F6F52" w:rsidRPr="00E72418">
        <w:rPr>
          <w:rFonts w:cs="Times New Roman"/>
          <w:shd w:val="clear" w:color="auto" w:fill="FFFFFF"/>
        </w:rPr>
        <w:t>vautours</w:t>
      </w:r>
      <w:r w:rsidR="00BF4F26" w:rsidRPr="00E72418">
        <w:t> »</w:t>
      </w:r>
      <w:r w:rsidR="005F6F52" w:rsidRPr="00E72418">
        <w:rPr>
          <w:rFonts w:cs="Times New Roman"/>
          <w:shd w:val="clear" w:color="auto" w:fill="FFFFFF"/>
        </w:rPr>
        <w:t xml:space="preserve"> et </w:t>
      </w:r>
      <w:r w:rsidR="007C3F2D" w:rsidRPr="00E72418">
        <w:rPr>
          <w:rFonts w:cs="Times New Roman"/>
          <w:shd w:val="clear" w:color="auto" w:fill="FFFFFF"/>
        </w:rPr>
        <w:t>leurs</w:t>
      </w:r>
      <w:r w:rsidR="005F6F52" w:rsidRPr="00E72418">
        <w:rPr>
          <w:rFonts w:cs="Times New Roman"/>
          <w:shd w:val="clear" w:color="auto" w:fill="FFFFFF"/>
        </w:rPr>
        <w:t xml:space="preserve"> effets néfastes sur les restructurat</w:t>
      </w:r>
      <w:r w:rsidR="007C3F2D" w:rsidRPr="00E72418">
        <w:rPr>
          <w:rFonts w:cs="Times New Roman"/>
          <w:shd w:val="clear" w:color="auto" w:fill="FFFFFF"/>
        </w:rPr>
        <w:t>ions de dette</w:t>
      </w:r>
      <w:r w:rsidR="00BF4F26" w:rsidRPr="00E72418">
        <w:rPr>
          <w:rFonts w:cs="Times New Roman"/>
          <w:shd w:val="clear" w:color="auto" w:fill="FFFFFF"/>
        </w:rPr>
        <w:t>s</w:t>
      </w:r>
      <w:r w:rsidR="007C3F2D" w:rsidRPr="00E72418">
        <w:rPr>
          <w:rFonts w:cs="Times New Roman"/>
          <w:shd w:val="clear" w:color="auto" w:fill="FFFFFF"/>
        </w:rPr>
        <w:t xml:space="preserve"> des pays endettés rendaient</w:t>
      </w:r>
      <w:r w:rsidR="005F6F52" w:rsidRPr="00E72418">
        <w:rPr>
          <w:rFonts w:cs="Times New Roman"/>
          <w:shd w:val="clear" w:color="auto" w:fill="FFFFFF"/>
        </w:rPr>
        <w:t xml:space="preserve"> la mise en place d’un dispositif spécifique </w:t>
      </w:r>
      <w:r w:rsidR="007C3F2D" w:rsidRPr="00E72418">
        <w:rPr>
          <w:rFonts w:cs="Times New Roman"/>
          <w:shd w:val="clear" w:color="auto" w:fill="FFFFFF"/>
        </w:rPr>
        <w:t>nécessaire</w:t>
      </w:r>
      <w:r w:rsidR="005F6F52" w:rsidRPr="00E72418">
        <w:rPr>
          <w:rStyle w:val="Appelnotedebasdep"/>
          <w:rFonts w:cs="Times New Roman"/>
          <w:szCs w:val="24"/>
          <w:shd w:val="clear" w:color="auto" w:fill="FFFFFF"/>
        </w:rPr>
        <w:footnoteReference w:id="1802"/>
      </w:r>
      <w:r w:rsidR="005F6F52" w:rsidRPr="00E72418">
        <w:rPr>
          <w:rFonts w:cs="Times New Roman"/>
          <w:shd w:val="clear" w:color="auto" w:fill="FFFFFF"/>
        </w:rPr>
        <w:t xml:space="preserve">. </w:t>
      </w:r>
    </w:p>
    <w:p w14:paraId="01BF11B5" w14:textId="1E2F64DE" w:rsidR="005F6F52" w:rsidRPr="00E72418" w:rsidRDefault="005F6F52" w:rsidP="00CC4BA8">
      <w:pPr>
        <w:spacing w:line="276" w:lineRule="auto"/>
      </w:pPr>
      <w:r w:rsidRPr="00E72418">
        <w:rPr>
          <w:rFonts w:cs="Times New Roman"/>
          <w:shd w:val="clear" w:color="auto" w:fill="FFFFFF"/>
        </w:rPr>
        <w:t xml:space="preserve">Et nombreuses sont les doléances formulées par les pères et mères de l’amendement à </w:t>
      </w:r>
      <w:r w:rsidR="00B41CCF" w:rsidRPr="00E72418">
        <w:rPr>
          <w:rFonts w:cs="Times New Roman"/>
          <w:shd w:val="clear" w:color="auto" w:fill="FFFFFF"/>
        </w:rPr>
        <w:t>l’encontre des fonds spéculant</w:t>
      </w:r>
      <w:r w:rsidRPr="00E72418">
        <w:rPr>
          <w:rFonts w:cs="Times New Roman"/>
          <w:shd w:val="clear" w:color="auto" w:fill="FFFFFF"/>
        </w:rPr>
        <w:t xml:space="preserve"> sur les dettes souveraines qu’ils accusent de profiter de la situation difficile d’États fortement endettées pour réaliser des profits démesurés</w:t>
      </w:r>
      <w:r w:rsidRPr="00E72418">
        <w:rPr>
          <w:rStyle w:val="Appelnotedebasdep"/>
          <w:rFonts w:cs="Times New Roman"/>
          <w:szCs w:val="24"/>
          <w:shd w:val="clear" w:color="auto" w:fill="FFFFFF"/>
        </w:rPr>
        <w:footnoteReference w:id="1803"/>
      </w:r>
      <w:r w:rsidRPr="00E72418">
        <w:rPr>
          <w:rFonts w:cs="Times New Roman"/>
          <w:shd w:val="clear" w:color="auto" w:fill="FFFFFF"/>
        </w:rPr>
        <w:t>.</w:t>
      </w:r>
      <w:r w:rsidRPr="00E72418">
        <w:t xml:space="preserve"> </w:t>
      </w:r>
      <w:r w:rsidRPr="00E72418">
        <w:rPr>
          <w:rFonts w:cs="Times New Roman"/>
          <w:shd w:val="clear" w:color="auto" w:fill="FFFFFF"/>
        </w:rPr>
        <w:t>Ces fonds privent les États en situation difficile de sommes nécessaires à leur développement et au bien-être de leurs populations, pouvant ainsi rendre insoluble une situation de surendettement</w:t>
      </w:r>
      <w:r w:rsidR="001E514B" w:rsidRPr="00E72418">
        <w:rPr>
          <w:rStyle w:val="Appelnotedebasdep"/>
          <w:rFonts w:cs="Times New Roman"/>
          <w:shd w:val="clear" w:color="auto" w:fill="FFFFFF"/>
        </w:rPr>
        <w:footnoteReference w:id="1804"/>
      </w:r>
      <w:r w:rsidRPr="00E72418">
        <w:rPr>
          <w:rFonts w:cs="Times New Roman"/>
          <w:shd w:val="clear" w:color="auto" w:fill="FFFFFF"/>
        </w:rPr>
        <w:t>. Les parlementaires rap</w:t>
      </w:r>
      <w:r w:rsidR="00ED6880" w:rsidRPr="00E72418">
        <w:rPr>
          <w:rFonts w:cs="Times New Roman"/>
          <w:shd w:val="clear" w:color="auto" w:fill="FFFFFF"/>
        </w:rPr>
        <w:t>pel</w:t>
      </w:r>
      <w:r w:rsidR="004A5CA6" w:rsidRPr="00E72418">
        <w:rPr>
          <w:rFonts w:cs="Times New Roman"/>
          <w:shd w:val="clear" w:color="auto" w:fill="FFFFFF"/>
        </w:rPr>
        <w:t>ai</w:t>
      </w:r>
      <w:r w:rsidRPr="00E72418">
        <w:rPr>
          <w:rFonts w:cs="Times New Roman"/>
          <w:shd w:val="clear" w:color="auto" w:fill="FFFFFF"/>
        </w:rPr>
        <w:t>ent qu’</w:t>
      </w:r>
      <w:r w:rsidR="0027020B" w:rsidRPr="00E72418">
        <w:rPr>
          <w:rFonts w:cs="Times New Roman"/>
          <w:shd w:val="clear" w:color="auto" w:fill="FFFFFF"/>
        </w:rPr>
        <w:t>à de nombreuses occasions, les</w:t>
      </w:r>
      <w:r w:rsidRPr="00E72418">
        <w:rPr>
          <w:rFonts w:cs="Times New Roman"/>
          <w:shd w:val="clear" w:color="auto" w:fill="FFFFFF"/>
        </w:rPr>
        <w:t xml:space="preserve"> recours </w:t>
      </w:r>
      <w:r w:rsidR="0027020B" w:rsidRPr="00E72418">
        <w:rPr>
          <w:rFonts w:cs="Times New Roman"/>
          <w:shd w:val="clear" w:color="auto" w:fill="FFFFFF"/>
        </w:rPr>
        <w:t xml:space="preserve">des fonds spéculatifs </w:t>
      </w:r>
      <w:r w:rsidR="004A5CA6" w:rsidRPr="00E72418">
        <w:rPr>
          <w:rFonts w:cs="Times New Roman"/>
          <w:shd w:val="clear" w:color="auto" w:fill="FFFFFF"/>
        </w:rPr>
        <w:t>avaient</w:t>
      </w:r>
      <w:r w:rsidRPr="00E72418">
        <w:rPr>
          <w:rFonts w:cs="Times New Roman"/>
          <w:shd w:val="clear" w:color="auto" w:fill="FFFFFF"/>
        </w:rPr>
        <w:t xml:space="preserve"> porté sur des </w:t>
      </w:r>
      <w:r w:rsidR="0027020B" w:rsidRPr="00E72418">
        <w:rPr>
          <w:rFonts w:cs="Times New Roman"/>
          <w:shd w:val="clear" w:color="auto" w:fill="FFFFFF"/>
        </w:rPr>
        <w:t>montants</w:t>
      </w:r>
      <w:r w:rsidRPr="00E72418">
        <w:rPr>
          <w:rFonts w:cs="Times New Roman"/>
          <w:shd w:val="clear" w:color="auto" w:fill="FFFFFF"/>
        </w:rPr>
        <w:t xml:space="preserve"> provenant de l’aide au</w:t>
      </w:r>
      <w:r w:rsidR="0027020B" w:rsidRPr="00E72418">
        <w:rPr>
          <w:rFonts w:cs="Times New Roman"/>
          <w:shd w:val="clear" w:color="auto" w:fill="FFFFFF"/>
        </w:rPr>
        <w:t>x</w:t>
      </w:r>
      <w:r w:rsidRPr="00E72418">
        <w:rPr>
          <w:rFonts w:cs="Times New Roman"/>
          <w:shd w:val="clear" w:color="auto" w:fill="FFFFFF"/>
        </w:rPr>
        <w:t xml:space="preserve"> pays en développement, aggravant ainsi les difficultés des États en situation financière difficile, qui n’ont souvent pas les moyens matériels et humains d’assurer leur défense devant les tribunaux où ils sont attraits</w:t>
      </w:r>
      <w:r w:rsidR="001E514B" w:rsidRPr="00E72418">
        <w:rPr>
          <w:rStyle w:val="Appelnotedebasdep"/>
          <w:rFonts w:cs="Times New Roman"/>
          <w:shd w:val="clear" w:color="auto" w:fill="FFFFFF"/>
        </w:rPr>
        <w:footnoteReference w:id="1805"/>
      </w:r>
      <w:r w:rsidRPr="00E72418">
        <w:rPr>
          <w:rFonts w:cs="Times New Roman"/>
          <w:shd w:val="clear" w:color="auto" w:fill="FFFFFF"/>
        </w:rPr>
        <w:t>.</w:t>
      </w:r>
      <w:r w:rsidR="00036FC5" w:rsidRPr="00E72418">
        <w:t xml:space="preserve"> </w:t>
      </w:r>
      <w:r w:rsidRPr="00E72418">
        <w:rPr>
          <w:rFonts w:cs="Times New Roman"/>
          <w:shd w:val="clear" w:color="auto" w:fill="FFFFFF"/>
        </w:rPr>
        <w:t xml:space="preserve">Une autre critique formulée à l’encontre des fonds </w:t>
      </w:r>
      <w:r w:rsidR="0027020B" w:rsidRPr="00E72418">
        <w:rPr>
          <w:rFonts w:cs="Times New Roman"/>
          <w:shd w:val="clear" w:color="auto" w:fill="FFFFFF"/>
        </w:rPr>
        <w:t>spéculant sur les dettes souveraines</w:t>
      </w:r>
      <w:r w:rsidRPr="00E72418">
        <w:rPr>
          <w:rFonts w:cs="Times New Roman"/>
          <w:shd w:val="clear" w:color="auto" w:fill="FFFFFF"/>
        </w:rPr>
        <w:t xml:space="preserve"> lors de l’élaborat</w:t>
      </w:r>
      <w:r w:rsidR="004A5CA6" w:rsidRPr="00E72418">
        <w:rPr>
          <w:rFonts w:cs="Times New Roman"/>
          <w:shd w:val="clear" w:color="auto" w:fill="FFFFFF"/>
        </w:rPr>
        <w:t>ion de la loi française concernait</w:t>
      </w:r>
      <w:r w:rsidRPr="00E72418">
        <w:rPr>
          <w:rFonts w:cs="Times New Roman"/>
          <w:shd w:val="clear" w:color="auto" w:fill="FFFFFF"/>
        </w:rPr>
        <w:t xml:space="preserve"> la stratégie du passager clandestin qu’ils adoptent souvent</w:t>
      </w:r>
      <w:r w:rsidRPr="00E72418">
        <w:rPr>
          <w:rStyle w:val="Appelnotedebasdep"/>
          <w:rFonts w:cs="Times New Roman"/>
          <w:szCs w:val="24"/>
          <w:shd w:val="clear" w:color="auto" w:fill="FFFFFF"/>
        </w:rPr>
        <w:footnoteReference w:id="1806"/>
      </w:r>
      <w:r w:rsidRPr="00E72418">
        <w:rPr>
          <w:rFonts w:cs="Times New Roman"/>
          <w:shd w:val="clear" w:color="auto" w:fill="FFFFFF"/>
        </w:rPr>
        <w:t xml:space="preserve">. Cette stratégie préjudicie les autres créanciers, notamment les créanciers publics, et par conséquent les contribuables. Les fonds </w:t>
      </w:r>
      <w:r w:rsidR="0027020B" w:rsidRPr="00E72418">
        <w:rPr>
          <w:rFonts w:cs="Times New Roman"/>
          <w:shd w:val="clear" w:color="auto" w:fill="FFFFFF"/>
        </w:rPr>
        <w:t>spéculatifs</w:t>
      </w:r>
      <w:r w:rsidRPr="00E72418">
        <w:rPr>
          <w:rFonts w:cs="Times New Roman"/>
          <w:shd w:val="clear" w:color="auto" w:fill="FFFFFF"/>
        </w:rPr>
        <w:t xml:space="preserve"> viennent accroître la charge financière supportée par les autres créanciers. </w:t>
      </w:r>
      <w:r w:rsidRPr="00E72418">
        <w:rPr>
          <w:rFonts w:cs="Times New Roman"/>
          <w:lang w:eastAsia="fr-BE"/>
        </w:rPr>
        <w:t>À</w:t>
      </w:r>
      <w:r w:rsidRPr="00E72418">
        <w:rPr>
          <w:rFonts w:cs="Times New Roman"/>
          <w:shd w:val="clear" w:color="auto" w:fill="FFFFFF"/>
        </w:rPr>
        <w:t xml:space="preserve"> cette charge, s’ajoutent les recouvrements prioritaires qu’ils parviennent parfois à obtenir au préjudice </w:t>
      </w:r>
      <w:r w:rsidR="0027020B" w:rsidRPr="00E72418">
        <w:rPr>
          <w:rFonts w:cs="Times New Roman"/>
          <w:shd w:val="clear" w:color="auto" w:fill="FFFFFF"/>
        </w:rPr>
        <w:t>de ceux</w:t>
      </w:r>
      <w:r w:rsidRPr="00E72418">
        <w:rPr>
          <w:rFonts w:cs="Times New Roman"/>
          <w:shd w:val="clear" w:color="auto" w:fill="FFFFFF"/>
        </w:rPr>
        <w:t xml:space="preserve"> ayant accepté de participer à la restructuration, dissuadant parfois </w:t>
      </w:r>
      <w:r w:rsidR="004A5CA6" w:rsidRPr="00E72418">
        <w:rPr>
          <w:rFonts w:cs="Times New Roman"/>
          <w:shd w:val="clear" w:color="auto" w:fill="FFFFFF"/>
        </w:rPr>
        <w:t>ainsi</w:t>
      </w:r>
      <w:r w:rsidRPr="00E72418">
        <w:rPr>
          <w:rFonts w:cs="Times New Roman"/>
          <w:shd w:val="clear" w:color="auto" w:fill="FFFFFF"/>
        </w:rPr>
        <w:t xml:space="preserve"> d’autres créanciers à participer à une restructuration</w:t>
      </w:r>
      <w:r w:rsidRPr="00E72418">
        <w:rPr>
          <w:rStyle w:val="Appelnotedebasdep"/>
          <w:rFonts w:cs="Times New Roman"/>
          <w:shd w:val="clear" w:color="auto" w:fill="FFFFFF"/>
        </w:rPr>
        <w:footnoteReference w:id="1807"/>
      </w:r>
      <w:r w:rsidRPr="00E72418">
        <w:rPr>
          <w:rFonts w:cs="Times New Roman"/>
          <w:shd w:val="clear" w:color="auto" w:fill="FFFFFF"/>
        </w:rPr>
        <w:t xml:space="preserve">. </w:t>
      </w:r>
      <w:r w:rsidRPr="00E72418">
        <w:lastRenderedPageBreak/>
        <w:t>Finalement, l</w:t>
      </w:r>
      <w:r w:rsidR="00036FC5" w:rsidRPr="00E72418">
        <w:rPr>
          <w:rFonts w:cs="Times New Roman"/>
          <w:shd w:val="clear" w:color="auto" w:fill="FFFFFF"/>
        </w:rPr>
        <w:t xml:space="preserve">’exposé de l’amendement </w:t>
      </w:r>
      <w:r w:rsidR="0027020B" w:rsidRPr="00E72418">
        <w:rPr>
          <w:rFonts w:cs="Times New Roman"/>
        </w:rPr>
        <w:t xml:space="preserve">« anti-fonds vautours » </w:t>
      </w:r>
      <w:r w:rsidR="00AB51CE" w:rsidRPr="00E72418">
        <w:rPr>
          <w:rFonts w:cs="Times New Roman"/>
          <w:shd w:val="clear" w:color="auto" w:fill="FFFFFF"/>
        </w:rPr>
        <w:t xml:space="preserve">note </w:t>
      </w:r>
      <w:r w:rsidRPr="00E72418">
        <w:rPr>
          <w:rFonts w:cs="Times New Roman"/>
          <w:shd w:val="clear" w:color="auto" w:fill="FFFFFF"/>
        </w:rPr>
        <w:t xml:space="preserve">la menace que l’activité des fonds spéculatifs représente pour le fonctionnement des marchés obligataires, menace pouvant dissuader les autres créanciers de financer les États en développement, et notamment les créanciers </w:t>
      </w:r>
      <w:r w:rsidR="0027020B" w:rsidRPr="00E72418">
        <w:rPr>
          <w:rFonts w:cs="Times New Roman"/>
          <w:shd w:val="clear" w:color="auto" w:fill="FFFFFF"/>
        </w:rPr>
        <w:t>étatiques</w:t>
      </w:r>
      <w:r w:rsidRPr="00E72418">
        <w:rPr>
          <w:rFonts w:cs="Times New Roman"/>
          <w:shd w:val="clear" w:color="auto" w:fill="FFFFFF"/>
        </w:rPr>
        <w:t xml:space="preserve"> comme la France. Il y </w:t>
      </w:r>
      <w:r w:rsidR="00AF6B20" w:rsidRPr="00E72418">
        <w:rPr>
          <w:rFonts w:cs="Times New Roman"/>
          <w:shd w:val="clear" w:color="auto" w:fill="FFFFFF"/>
        </w:rPr>
        <w:t xml:space="preserve">est </w:t>
      </w:r>
      <w:r w:rsidRPr="00E72418">
        <w:rPr>
          <w:rFonts w:cs="Times New Roman"/>
          <w:shd w:val="clear" w:color="auto" w:fill="FFFFFF"/>
        </w:rPr>
        <w:t>encore relevé qu’en opérant des saisies sur les flux financiers entre les États en développement et leurs partenaires économiques, ces fonds peuvent affecter les relations bilatérales entre l’État français et ces États en développement.</w:t>
      </w:r>
      <w:r w:rsidRPr="00E72418">
        <w:t xml:space="preserve"> </w:t>
      </w:r>
    </w:p>
    <w:p w14:paraId="1A16F37F" w14:textId="4AE9A36A" w:rsidR="005F6F52" w:rsidRPr="00E72418" w:rsidRDefault="004A0552" w:rsidP="00CC4BA8">
      <w:pPr>
        <w:spacing w:line="276" w:lineRule="auto"/>
      </w:pPr>
      <w:r w:rsidRPr="00E72418">
        <w:rPr>
          <w:rFonts w:cs="Times New Roman"/>
          <w:shd w:val="clear" w:color="auto" w:fill="FFFFFF"/>
        </w:rPr>
        <w:t>Bien que</w:t>
      </w:r>
      <w:r w:rsidR="00947A08">
        <w:rPr>
          <w:rFonts w:cs="Times New Roman"/>
          <w:shd w:val="clear" w:color="auto" w:fill="FFFFFF"/>
        </w:rPr>
        <w:t xml:space="preserve"> l’amendement </w:t>
      </w:r>
      <w:r w:rsidR="0027020B" w:rsidRPr="00E72418">
        <w:rPr>
          <w:rFonts w:cs="Times New Roman"/>
          <w:shd w:val="clear" w:color="auto" w:fill="FFFFFF"/>
        </w:rPr>
        <w:t>anti-</w:t>
      </w:r>
      <w:r w:rsidR="00947A08">
        <w:rPr>
          <w:rFonts w:cs="Times New Roman"/>
          <w:shd w:val="clear" w:color="auto" w:fill="FFFFFF"/>
        </w:rPr>
        <w:t>fonds spéculatifs</w:t>
      </w:r>
      <w:r w:rsidR="005F6F52" w:rsidRPr="00E72418">
        <w:rPr>
          <w:rFonts w:cs="Times New Roman"/>
          <w:shd w:val="clear" w:color="auto" w:fill="FFFFFF"/>
        </w:rPr>
        <w:t xml:space="preserve"> permet « de sanctuariser les fonds destinés à l’aide au développement, et </w:t>
      </w:r>
      <w:r w:rsidRPr="00E72418">
        <w:t xml:space="preserve">[…] </w:t>
      </w:r>
      <w:r w:rsidR="005F6F52" w:rsidRPr="00E72418">
        <w:rPr>
          <w:rFonts w:cs="Times New Roman"/>
          <w:shd w:val="clear" w:color="auto" w:fill="FFFFFF"/>
        </w:rPr>
        <w:t>surtout de protéger les États en bénéficiant lorsqu’ils traversent des crises financières justifiant une procédure raisonnée de renégociation de leurs dettes », vise « à rendre plus difficiles les comportements de prédation financière » et, plus globalement, participe « de l’effort de nombreux pays pour mieux régu</w:t>
      </w:r>
      <w:r w:rsidR="00BA649E" w:rsidRPr="00E72418">
        <w:rPr>
          <w:rFonts w:cs="Times New Roman"/>
          <w:shd w:val="clear" w:color="auto" w:fill="FFFFFF"/>
        </w:rPr>
        <w:t xml:space="preserve">ler la finance internationale », </w:t>
      </w:r>
      <w:r w:rsidR="005F6F52" w:rsidRPr="00E72418">
        <w:rPr>
          <w:rFonts w:cs="Times New Roman"/>
          <w:shd w:val="clear" w:color="auto" w:fill="FFFFFF"/>
        </w:rPr>
        <w:t xml:space="preserve">l’importance des iniquités à contrer ne doit </w:t>
      </w:r>
      <w:r w:rsidRPr="00E72418">
        <w:rPr>
          <w:rFonts w:cs="Times New Roman"/>
          <w:shd w:val="clear" w:color="auto" w:fill="FFFFFF"/>
        </w:rPr>
        <w:t xml:space="preserve">toutefois </w:t>
      </w:r>
      <w:r w:rsidR="005F6F52" w:rsidRPr="00E72418">
        <w:rPr>
          <w:rFonts w:cs="Times New Roman"/>
          <w:shd w:val="clear" w:color="auto" w:fill="FFFFFF"/>
        </w:rPr>
        <w:t xml:space="preserve">pas conduire à la démesure du mécanisme </w:t>
      </w:r>
      <w:r w:rsidR="00BA649E" w:rsidRPr="00E72418">
        <w:rPr>
          <w:rFonts w:cs="Times New Roman"/>
          <w:shd w:val="clear" w:color="auto" w:fill="FFFFFF"/>
        </w:rPr>
        <w:t>envisagé.</w:t>
      </w:r>
      <w:r w:rsidR="005F6F52" w:rsidRPr="00E72418">
        <w:rPr>
          <w:rFonts w:cs="Times New Roman"/>
          <w:shd w:val="clear" w:color="auto" w:fill="FFFFFF"/>
        </w:rPr>
        <w:t xml:space="preserve"> Les parlementai</w:t>
      </w:r>
      <w:r w:rsidR="00BA649E" w:rsidRPr="00E72418">
        <w:rPr>
          <w:rFonts w:cs="Times New Roman"/>
          <w:shd w:val="clear" w:color="auto" w:fill="FFFFFF"/>
        </w:rPr>
        <w:t>res à l’origine de l’amendement</w:t>
      </w:r>
      <w:r w:rsidR="005F6F52" w:rsidRPr="00E72418">
        <w:rPr>
          <w:rFonts w:cs="Times New Roman"/>
          <w:shd w:val="clear" w:color="auto" w:fill="FFFFFF"/>
        </w:rPr>
        <w:t xml:space="preserve"> </w:t>
      </w:r>
      <w:r w:rsidR="00036FC5" w:rsidRPr="00E72418">
        <w:rPr>
          <w:rFonts w:cs="Times New Roman"/>
          <w:shd w:val="clear" w:color="auto" w:fill="FFFFFF"/>
        </w:rPr>
        <w:t>étaient</w:t>
      </w:r>
      <w:r w:rsidR="005F6F52" w:rsidRPr="00E72418">
        <w:rPr>
          <w:rFonts w:cs="Times New Roman"/>
          <w:shd w:val="clear" w:color="auto" w:fill="FFFFFF"/>
        </w:rPr>
        <w:t xml:space="preserve"> clairs ; l</w:t>
      </w:r>
      <w:r w:rsidR="00BA649E" w:rsidRPr="00E72418">
        <w:rPr>
          <w:rFonts w:cs="Times New Roman"/>
          <w:shd w:val="clear" w:color="auto" w:fill="FFFFFF"/>
        </w:rPr>
        <w:t>a mesure que le texte en projet</w:t>
      </w:r>
      <w:r w:rsidR="005F6F52" w:rsidRPr="00E72418">
        <w:rPr>
          <w:rFonts w:cs="Times New Roman"/>
          <w:shd w:val="clear" w:color="auto" w:fill="FFFFFF"/>
        </w:rPr>
        <w:t xml:space="preserve"> entend mettre en place ne vise pas à exonérer les États débiteurs de leurs obligations de rembourser leurs </w:t>
      </w:r>
      <w:r w:rsidRPr="00E72418">
        <w:rPr>
          <w:rFonts w:cs="Times New Roman"/>
          <w:shd w:val="clear" w:color="auto" w:fill="FFFFFF"/>
        </w:rPr>
        <w:t>dettes</w:t>
      </w:r>
      <w:r w:rsidR="005F6F52" w:rsidRPr="00E72418">
        <w:rPr>
          <w:rFonts w:cs="Times New Roman"/>
          <w:shd w:val="clear" w:color="auto" w:fill="FFFFFF"/>
        </w:rPr>
        <w:t>, ce qui dissuaderait les créanciers de ces États de continuer à les financer. Ainsi, ils insist</w:t>
      </w:r>
      <w:r w:rsidR="00BA649E" w:rsidRPr="00E72418">
        <w:rPr>
          <w:rFonts w:cs="Times New Roman"/>
          <w:shd w:val="clear" w:color="auto" w:fill="FFFFFF"/>
        </w:rPr>
        <w:t>ai</w:t>
      </w:r>
      <w:r w:rsidR="005F6F52" w:rsidRPr="00E72418">
        <w:rPr>
          <w:rFonts w:cs="Times New Roman"/>
          <w:shd w:val="clear" w:color="auto" w:fill="FFFFFF"/>
        </w:rPr>
        <w:t>ent, la mesure envisagée doit « être circonscrite et protéger les droits des créanciers usuels, y compris lorsque ceux-ci rachètent la dette d’un État en difficulté financière mais encore en mesure d’assurer le service de sa dette, pour éviter de précipiter des situations de défaut de paiement »</w:t>
      </w:r>
      <w:r w:rsidR="005F6F52" w:rsidRPr="00E72418">
        <w:rPr>
          <w:rStyle w:val="Appelnotedebasdep"/>
          <w:rFonts w:cs="Times New Roman"/>
          <w:szCs w:val="24"/>
          <w:shd w:val="clear" w:color="auto" w:fill="FFFFFF"/>
        </w:rPr>
        <w:footnoteReference w:id="1808"/>
      </w:r>
      <w:r w:rsidR="005F6F52" w:rsidRPr="00E72418">
        <w:rPr>
          <w:rFonts w:cs="Times New Roman"/>
          <w:shd w:val="clear" w:color="auto" w:fill="FFFFFF"/>
        </w:rPr>
        <w:t>.</w:t>
      </w:r>
    </w:p>
    <w:p w14:paraId="7D881616" w14:textId="77777777" w:rsidR="005F6F52" w:rsidRPr="00E72418" w:rsidRDefault="005F6F52" w:rsidP="00CC4BA8">
      <w:pPr>
        <w:spacing w:line="276" w:lineRule="auto"/>
        <w:rPr>
          <w:rFonts w:cs="Times New Roman"/>
          <w:shd w:val="clear" w:color="auto" w:fill="FFFFFF"/>
        </w:rPr>
      </w:pPr>
    </w:p>
    <w:p w14:paraId="68C44318" w14:textId="566FEC84" w:rsidR="005F6F52" w:rsidRPr="00E72418" w:rsidRDefault="004469AC" w:rsidP="00CC4BA8">
      <w:pPr>
        <w:spacing w:line="276" w:lineRule="auto"/>
      </w:pPr>
      <w:r w:rsidRPr="00E72418">
        <w:rPr>
          <w:b/>
        </w:rPr>
        <w:t>366</w:t>
      </w:r>
      <w:r w:rsidR="00817D62" w:rsidRPr="00E72418">
        <w:rPr>
          <w:b/>
        </w:rPr>
        <w:t xml:space="preserve">. </w:t>
      </w:r>
      <w:r w:rsidR="00DA38E4" w:rsidRPr="00E72418">
        <w:rPr>
          <w:b/>
        </w:rPr>
        <w:t>Une adoption discutée –</w:t>
      </w:r>
      <w:r w:rsidR="005F6F52" w:rsidRPr="00E72418">
        <w:t xml:space="preserve"> Toute importante qu’ait été qualifiée la lutte contre les</w:t>
      </w:r>
      <w:r w:rsidR="00B41CCF" w:rsidRPr="00E72418">
        <w:t xml:space="preserve"> activités des fonds spéculant</w:t>
      </w:r>
      <w:r w:rsidR="005F6F52" w:rsidRPr="00E72418">
        <w:t xml:space="preserve"> sur les dettes souverain</w:t>
      </w:r>
      <w:r w:rsidR="004A0552" w:rsidRPr="00E72418">
        <w:t>e</w:t>
      </w:r>
      <w:r w:rsidR="005F6F52" w:rsidRPr="00E72418">
        <w:t>s, il est à noter que l’article visant à les combattre ne se trouvait pas dans le projet de loi initial et que l</w:t>
      </w:r>
      <w:r w:rsidR="005F6F52" w:rsidRPr="00E72418">
        <w:rPr>
          <w:rFonts w:cs="Times New Roman"/>
          <w:szCs w:val="24"/>
        </w:rPr>
        <w:t xml:space="preserve">’instauration d’une réglementation en la matière </w:t>
      </w:r>
      <w:r w:rsidR="005F6F52" w:rsidRPr="00E72418">
        <w:t>fut, nous le verrons, âprement débattue tant à l’Assemblée nationale qu’au Sénat</w:t>
      </w:r>
      <w:r w:rsidR="005F6F52" w:rsidRPr="00E72418">
        <w:rPr>
          <w:rStyle w:val="Appelnotedebasdep"/>
        </w:rPr>
        <w:footnoteReference w:id="1809"/>
      </w:r>
      <w:r w:rsidR="005F6F52" w:rsidRPr="00E72418">
        <w:t xml:space="preserve">. </w:t>
      </w:r>
    </w:p>
    <w:p w14:paraId="4C4ED625" w14:textId="4A069113" w:rsidR="005F6F52" w:rsidRPr="00E72418" w:rsidRDefault="005F6F52" w:rsidP="00CC4BA8">
      <w:pPr>
        <w:spacing w:line="276" w:lineRule="auto"/>
      </w:pPr>
      <w:r w:rsidRPr="00E72418">
        <w:t>L’article 60 de la loi Sapin II résulte d’un amendement n° 1405 faisant l’objet de plusieurs sous-amendements, tous présentés sur le texte n° 3785 adopté par</w:t>
      </w:r>
      <w:r w:rsidR="00ED3AF9" w:rsidRPr="00E72418">
        <w:t xml:space="preserve"> la C</w:t>
      </w:r>
      <w:r w:rsidRPr="00E72418">
        <w:t>ommission des lois constitutionnelles, de la législation et de l’administration générale de la République</w:t>
      </w:r>
      <w:r w:rsidRPr="00E72418">
        <w:rPr>
          <w:rStyle w:val="Appelnotedebasdep"/>
        </w:rPr>
        <w:footnoteReference w:id="1810"/>
      </w:r>
      <w:r w:rsidR="00AF6B20" w:rsidRPr="00E72418">
        <w:rPr>
          <w:vertAlign w:val="superscript"/>
        </w:rPr>
        <w:t>,</w:t>
      </w:r>
      <w:r w:rsidRPr="00E72418">
        <w:rPr>
          <w:rStyle w:val="Appelnotedebasdep"/>
        </w:rPr>
        <w:footnoteReference w:id="1811"/>
      </w:r>
      <w:r w:rsidRPr="00E72418">
        <w:t xml:space="preserve">. </w:t>
      </w:r>
      <w:r w:rsidRPr="00E72418">
        <w:rPr>
          <w:rFonts w:cs="Times New Roman"/>
        </w:rPr>
        <w:t>La réglementation fut ainsi prise à l’article 24</w:t>
      </w:r>
      <w:r w:rsidRPr="00E72418">
        <w:rPr>
          <w:rFonts w:cs="Times New Roman"/>
          <w:i/>
        </w:rPr>
        <w:t>bis</w:t>
      </w:r>
      <w:r w:rsidRPr="00E72418">
        <w:rPr>
          <w:rFonts w:cs="Times New Roman"/>
        </w:rPr>
        <w:t xml:space="preserve"> du texte de projet de loi adopté par l’Assemblée nationale en première lecture sous le titre </w:t>
      </w:r>
      <w:r w:rsidRPr="00E72418">
        <w:t>portant précisément sur le « renforcement de la régulation financière »</w:t>
      </w:r>
      <w:r w:rsidRPr="00E72418">
        <w:rPr>
          <w:rStyle w:val="Appelnotedebasdep"/>
          <w:rFonts w:cs="Times New Roman"/>
        </w:rPr>
        <w:footnoteReference w:id="1812"/>
      </w:r>
      <w:r w:rsidR="00581C71" w:rsidRPr="00E72418">
        <w:t>.</w:t>
      </w:r>
    </w:p>
    <w:p w14:paraId="077A2EE6" w14:textId="77777777" w:rsidR="005F6F52" w:rsidRPr="00E72418" w:rsidRDefault="00BF4F26" w:rsidP="00CC4BA8">
      <w:pPr>
        <w:spacing w:line="276" w:lineRule="auto"/>
        <w:rPr>
          <w:rFonts w:cs="Times New Roman"/>
          <w:szCs w:val="24"/>
        </w:rPr>
      </w:pPr>
      <w:r w:rsidRPr="00E72418">
        <w:rPr>
          <w:rFonts w:cs="Times New Roman"/>
          <w:szCs w:val="24"/>
        </w:rPr>
        <w:lastRenderedPageBreak/>
        <w:t>Par la suite, devant la C</w:t>
      </w:r>
      <w:r w:rsidR="005F6F52" w:rsidRPr="00E72418">
        <w:rPr>
          <w:rFonts w:cs="Times New Roman"/>
          <w:szCs w:val="24"/>
        </w:rPr>
        <w:t>ommission des lois constitutionnelles, de législation, du suffrage universel, du règlement et d’administration générale du Sénat, l’article 24</w:t>
      </w:r>
      <w:r w:rsidR="005F6F52" w:rsidRPr="00E72418">
        <w:rPr>
          <w:rFonts w:cs="Times New Roman"/>
          <w:i/>
          <w:szCs w:val="24"/>
        </w:rPr>
        <w:t>bis</w:t>
      </w:r>
      <w:r w:rsidR="005F6F52" w:rsidRPr="00E72418">
        <w:rPr>
          <w:rFonts w:cs="Times New Roman"/>
          <w:szCs w:val="24"/>
        </w:rPr>
        <w:t xml:space="preserve"> fut supprimé</w:t>
      </w:r>
      <w:r w:rsidR="005F6F52" w:rsidRPr="00E72418">
        <w:rPr>
          <w:rStyle w:val="Appelnotedebasdep"/>
          <w:rFonts w:cs="Times New Roman"/>
          <w:szCs w:val="24"/>
        </w:rPr>
        <w:footnoteReference w:id="1813"/>
      </w:r>
      <w:r w:rsidR="005F6F52" w:rsidRPr="00E72418">
        <w:rPr>
          <w:rFonts w:cs="Times New Roman"/>
          <w:szCs w:val="24"/>
        </w:rPr>
        <w:t>. La suppression suivit l’amend</w:t>
      </w:r>
      <w:r w:rsidR="004A0552" w:rsidRPr="00E72418">
        <w:rPr>
          <w:rFonts w:cs="Times New Roman"/>
          <w:szCs w:val="24"/>
        </w:rPr>
        <w:t>ement n° COM-232 présenté par François</w:t>
      </w:r>
      <w:r w:rsidR="005F6F52" w:rsidRPr="00E72418">
        <w:rPr>
          <w:rFonts w:cs="Times New Roman"/>
          <w:szCs w:val="24"/>
        </w:rPr>
        <w:t xml:space="preserve"> Pillet qui relevait de « nombreuses difficultés et controverses » suscitées par l’article et en souhaitait par conséquent la suppression à titre conservatoire. L’article 24</w:t>
      </w:r>
      <w:r w:rsidR="005F6F52" w:rsidRPr="00E72418">
        <w:rPr>
          <w:rFonts w:cs="Times New Roman"/>
          <w:i/>
          <w:szCs w:val="24"/>
        </w:rPr>
        <w:t>bis</w:t>
      </w:r>
      <w:r w:rsidR="005F6F52" w:rsidRPr="00E72418">
        <w:rPr>
          <w:rFonts w:cs="Times New Roman"/>
          <w:szCs w:val="24"/>
        </w:rPr>
        <w:t xml:space="preserve"> ne pouvait, à son estime, être adopté dans sa rédaction reprise dans le projet de loi adopté en première lecture par l’Assemblée nationale, le sénateur faisant notamment valoir que la rédaction de l’article, qui priverait les créanciers de l’exécution d’une décision définitive, pourrait engager la responsabilité sans faute de l’</w:t>
      </w:r>
      <w:r w:rsidR="005F6F52" w:rsidRPr="00E72418">
        <w:rPr>
          <w:rFonts w:cs="Times New Roman"/>
          <w:szCs w:val="24"/>
          <w:shd w:val="clear" w:color="auto" w:fill="FFFFFF"/>
        </w:rPr>
        <w:t>É</w:t>
      </w:r>
      <w:r w:rsidR="005F6F52" w:rsidRPr="00E72418">
        <w:rPr>
          <w:rFonts w:cs="Times New Roman"/>
          <w:szCs w:val="24"/>
        </w:rPr>
        <w:t>tat</w:t>
      </w:r>
      <w:r w:rsidR="005F6F52" w:rsidRPr="00E72418">
        <w:rPr>
          <w:rStyle w:val="Appelnotedebasdep"/>
          <w:rFonts w:cs="Times New Roman"/>
          <w:szCs w:val="24"/>
        </w:rPr>
        <w:footnoteReference w:id="1814"/>
      </w:r>
      <w:r w:rsidR="005F6F52" w:rsidRPr="00E72418">
        <w:rPr>
          <w:rFonts w:cs="Times New Roman"/>
          <w:szCs w:val="24"/>
        </w:rPr>
        <w:t>. Dans</w:t>
      </w:r>
      <w:r w:rsidRPr="00E72418">
        <w:rPr>
          <w:rFonts w:cs="Times New Roman"/>
          <w:szCs w:val="24"/>
        </w:rPr>
        <w:t xml:space="preserve"> son rapport fait au nom de la C</w:t>
      </w:r>
      <w:r w:rsidR="005F6F52" w:rsidRPr="00E72418">
        <w:rPr>
          <w:rFonts w:cs="Times New Roman"/>
          <w:szCs w:val="24"/>
        </w:rPr>
        <w:t>ommission des lois constitutionnelles, de législation, du suffrage universel, du Règlement et d’adminis</w:t>
      </w:r>
      <w:r w:rsidR="004A0552" w:rsidRPr="00E72418">
        <w:rPr>
          <w:rFonts w:cs="Times New Roman"/>
          <w:szCs w:val="24"/>
        </w:rPr>
        <w:t xml:space="preserve">tration générale, le sénateur </w:t>
      </w:r>
      <w:r w:rsidR="005F6F52" w:rsidRPr="00E72418">
        <w:rPr>
          <w:rFonts w:cs="Times New Roman"/>
          <w:szCs w:val="24"/>
        </w:rPr>
        <w:t>Pillet remarqua que l’article 24</w:t>
      </w:r>
      <w:r w:rsidR="005F6F52" w:rsidRPr="00E72418">
        <w:rPr>
          <w:rFonts w:cs="Times New Roman"/>
          <w:i/>
          <w:szCs w:val="24"/>
        </w:rPr>
        <w:t>bis</w:t>
      </w:r>
      <w:r w:rsidR="005F6F52" w:rsidRPr="00E72418">
        <w:rPr>
          <w:rFonts w:cs="Times New Roman"/>
          <w:szCs w:val="24"/>
        </w:rPr>
        <w:t>, destiné à faire échec aux saisies de bien</w:t>
      </w:r>
      <w:r w:rsidR="00581C71" w:rsidRPr="00E72418">
        <w:rPr>
          <w:rFonts w:cs="Times New Roman"/>
          <w:szCs w:val="24"/>
        </w:rPr>
        <w:t>s</w:t>
      </w:r>
      <w:r w:rsidR="005F6F52" w:rsidRPr="00E72418">
        <w:rPr>
          <w:rFonts w:cs="Times New Roman"/>
          <w:szCs w:val="24"/>
        </w:rPr>
        <w:t xml:space="preserve"> d’un </w:t>
      </w:r>
      <w:r w:rsidR="005F6F52" w:rsidRPr="00E72418">
        <w:rPr>
          <w:rFonts w:cs="Times New Roman"/>
          <w:szCs w:val="24"/>
          <w:shd w:val="clear" w:color="auto" w:fill="FFFFFF"/>
        </w:rPr>
        <w:t>É</w:t>
      </w:r>
      <w:r w:rsidR="005F6F52" w:rsidRPr="00E72418">
        <w:rPr>
          <w:rFonts w:cs="Times New Roman"/>
          <w:szCs w:val="24"/>
        </w:rPr>
        <w:t xml:space="preserve">tat étranger par des fonds </w:t>
      </w:r>
      <w:r w:rsidR="004A0552" w:rsidRPr="00E72418">
        <w:rPr>
          <w:rFonts w:cs="Times New Roman"/>
          <w:szCs w:val="24"/>
        </w:rPr>
        <w:t>spéculatifs</w:t>
      </w:r>
      <w:r w:rsidR="005F6F52" w:rsidRPr="00E72418">
        <w:rPr>
          <w:rFonts w:cs="Times New Roman"/>
          <w:szCs w:val="24"/>
        </w:rPr>
        <w:t>, « vise à sanctuariser les fonds destinés à l’aide au développement, et permet surtout de protéger les États en crise financière en instaurant une autorisation préalable du juge par ordonnance avant toute mesure conservatoire ou d’exécution forcée d’une décision »</w:t>
      </w:r>
      <w:r w:rsidR="005F6F52" w:rsidRPr="00E72418">
        <w:rPr>
          <w:rStyle w:val="Appelnotedebasdep"/>
          <w:rFonts w:cs="Times New Roman"/>
          <w:szCs w:val="24"/>
        </w:rPr>
        <w:footnoteReference w:id="1815"/>
      </w:r>
      <w:r w:rsidR="005F6F52" w:rsidRPr="00E72418">
        <w:rPr>
          <w:rFonts w:cs="Times New Roman"/>
          <w:szCs w:val="24"/>
        </w:rPr>
        <w:t>. Il remarqua</w:t>
      </w:r>
      <w:r w:rsidR="00581C71" w:rsidRPr="00E72418">
        <w:rPr>
          <w:rFonts w:cs="Times New Roman"/>
          <w:szCs w:val="24"/>
        </w:rPr>
        <w:t>it</w:t>
      </w:r>
      <w:r w:rsidR="005F6F52" w:rsidRPr="00E72418">
        <w:rPr>
          <w:rFonts w:cs="Times New Roman"/>
          <w:szCs w:val="24"/>
        </w:rPr>
        <w:t xml:space="preserve"> </w:t>
      </w:r>
      <w:r w:rsidR="00581C71" w:rsidRPr="00E72418">
        <w:rPr>
          <w:rFonts w:cs="Times New Roman"/>
          <w:szCs w:val="24"/>
        </w:rPr>
        <w:t>notamment que l’article présentait</w:t>
      </w:r>
      <w:r w:rsidR="005F6F52" w:rsidRPr="00E72418">
        <w:rPr>
          <w:rFonts w:cs="Times New Roman"/>
          <w:szCs w:val="24"/>
        </w:rPr>
        <w:t xml:space="preserve"> des difficultés au regard de l’obligation d’obtenir une autorisation préalable du juge pour exécuter une créance, di</w:t>
      </w:r>
      <w:r w:rsidR="00ED6880" w:rsidRPr="00E72418">
        <w:rPr>
          <w:rFonts w:cs="Times New Roman"/>
          <w:szCs w:val="24"/>
        </w:rPr>
        <w:t>fficultés que le sénateur adme</w:t>
      </w:r>
      <w:r w:rsidR="00581C71" w:rsidRPr="00E72418">
        <w:rPr>
          <w:rFonts w:cs="Times New Roman"/>
          <w:szCs w:val="24"/>
        </w:rPr>
        <w:t xml:space="preserve">ttait </w:t>
      </w:r>
      <w:r w:rsidR="005F6F52" w:rsidRPr="00E72418">
        <w:rPr>
          <w:rFonts w:cs="Times New Roman"/>
          <w:szCs w:val="24"/>
        </w:rPr>
        <w:t xml:space="preserve">ne pas être en mesure de surmonter par une amélioration du texte faute de temps. Tout ceci conduisit donc à ce qu’une suite favorable soit réservée à son amendement n° COM-232 poursuivant la suppression de l’article, l’idée restant de parvenir à une meilleure rédaction. </w:t>
      </w:r>
    </w:p>
    <w:p w14:paraId="7565DEC8" w14:textId="77777777" w:rsidR="005F6F52" w:rsidRPr="00E72418" w:rsidRDefault="005F6F52" w:rsidP="00CC4BA8">
      <w:pPr>
        <w:spacing w:line="276" w:lineRule="auto"/>
        <w:rPr>
          <w:rFonts w:cs="Times New Roman"/>
          <w:szCs w:val="24"/>
        </w:rPr>
      </w:pPr>
      <w:r w:rsidRPr="00E72418">
        <w:rPr>
          <w:rFonts w:cs="Times New Roman"/>
          <w:szCs w:val="24"/>
        </w:rPr>
        <w:t>Ce fut chose faite avec l’amendement n° 634 présenté par le Gouvernement</w:t>
      </w:r>
      <w:r w:rsidR="0061192A" w:rsidRPr="00E72418">
        <w:rPr>
          <w:rFonts w:cs="Times New Roman"/>
          <w:szCs w:val="24"/>
        </w:rPr>
        <w:t xml:space="preserve"> français</w:t>
      </w:r>
      <w:r w:rsidRPr="00E72418">
        <w:rPr>
          <w:rStyle w:val="Appelnotedebasdep"/>
          <w:rFonts w:cs="Times New Roman"/>
          <w:szCs w:val="24"/>
        </w:rPr>
        <w:footnoteReference w:id="1816"/>
      </w:r>
      <w:r w:rsidRPr="00E72418">
        <w:rPr>
          <w:rFonts w:cs="Times New Roman"/>
          <w:szCs w:val="24"/>
        </w:rPr>
        <w:t>. L’article 24</w:t>
      </w:r>
      <w:r w:rsidRPr="00E72418">
        <w:rPr>
          <w:rFonts w:cs="Times New Roman"/>
          <w:i/>
          <w:szCs w:val="24"/>
        </w:rPr>
        <w:t>bis</w:t>
      </w:r>
      <w:r w:rsidRPr="00E72418">
        <w:rPr>
          <w:rFonts w:cs="Times New Roman"/>
          <w:szCs w:val="24"/>
        </w:rPr>
        <w:t xml:space="preserve"> anti-fonds spéculatifs fut ainsi rétabli lors de la séance du Sénat du 7 juillet 2016</w:t>
      </w:r>
      <w:r w:rsidRPr="00E72418">
        <w:rPr>
          <w:rStyle w:val="Appelnotedebasdep"/>
          <w:rFonts w:cs="Times New Roman"/>
          <w:szCs w:val="24"/>
        </w:rPr>
        <w:footnoteReference w:id="1817"/>
      </w:r>
      <w:r w:rsidRPr="00E72418">
        <w:rPr>
          <w:rFonts w:cs="Times New Roman"/>
          <w:szCs w:val="24"/>
        </w:rPr>
        <w:t xml:space="preserve">. Cet article se maintint dans la suite des travaux préparatoires pour finalement se </w:t>
      </w:r>
      <w:r w:rsidRPr="00E72418">
        <w:rPr>
          <w:rFonts w:cs="Times New Roman"/>
          <w:szCs w:val="24"/>
        </w:rPr>
        <w:lastRenderedPageBreak/>
        <w:t xml:space="preserve">retrouver dans le texte adopté définitivement par l’Assemblée nationale le 8 novembre 2016. L’article anti-fonds spéculatifs, devenu l’article 60 du texte adopté, fit l’objet d’une ultime contestation devant le Conseil constitutionnel qui </w:t>
      </w:r>
      <w:r w:rsidR="0061192A" w:rsidRPr="00E72418">
        <w:rPr>
          <w:rFonts w:cs="Times New Roman"/>
          <w:szCs w:val="24"/>
        </w:rPr>
        <w:t>retint</w:t>
      </w:r>
      <w:r w:rsidRPr="00E72418">
        <w:rPr>
          <w:rFonts w:cs="Times New Roman"/>
          <w:szCs w:val="24"/>
        </w:rPr>
        <w:t xml:space="preserve">, dans une décision n° 2016-741 du 8 décembre 2016, </w:t>
      </w:r>
      <w:r w:rsidR="0061192A" w:rsidRPr="00E72418">
        <w:rPr>
          <w:rFonts w:cs="Times New Roman"/>
          <w:szCs w:val="24"/>
        </w:rPr>
        <w:t>sa conformité</w:t>
      </w:r>
      <w:r w:rsidRPr="00E72418">
        <w:rPr>
          <w:rFonts w:cs="Times New Roman"/>
          <w:szCs w:val="24"/>
        </w:rPr>
        <w:t xml:space="preserve"> à la Constitution française</w:t>
      </w:r>
      <w:r w:rsidRPr="00E72418">
        <w:rPr>
          <w:rStyle w:val="Appelnotedebasdep"/>
          <w:rFonts w:cs="Times New Roman"/>
          <w:szCs w:val="24"/>
        </w:rPr>
        <w:footnoteReference w:id="1818"/>
      </w:r>
      <w:r w:rsidRPr="00E72418">
        <w:rPr>
          <w:rFonts w:cs="Times New Roman"/>
          <w:szCs w:val="24"/>
        </w:rPr>
        <w:t>.</w:t>
      </w:r>
    </w:p>
    <w:p w14:paraId="60208575" w14:textId="77777777" w:rsidR="00DA38E4" w:rsidRPr="00E72418" w:rsidRDefault="00DA38E4" w:rsidP="00CC4BA8">
      <w:pPr>
        <w:spacing w:line="276" w:lineRule="auto"/>
        <w:rPr>
          <w:rFonts w:cs="Times New Roman"/>
          <w:szCs w:val="24"/>
        </w:rPr>
      </w:pPr>
    </w:p>
    <w:p w14:paraId="3BB6AFF8" w14:textId="290B6C5C" w:rsidR="00892E4B" w:rsidRPr="00E72418" w:rsidRDefault="008665DF" w:rsidP="00BE4D26">
      <w:pPr>
        <w:pStyle w:val="DD"/>
        <w:spacing w:afterLines="60" w:after="144" w:line="276" w:lineRule="auto"/>
      </w:pPr>
      <w:bookmarkStart w:id="421" w:name="_Toc37777416"/>
      <w:bookmarkStart w:id="422" w:name="_Toc59281006"/>
      <w:bookmarkStart w:id="423" w:name="_Toc84540997"/>
      <w:r w:rsidRPr="00E72418">
        <w:t xml:space="preserve">Section 3 : </w:t>
      </w:r>
      <w:r w:rsidR="005F6F52" w:rsidRPr="00E72418">
        <w:t>Le mécanisme</w:t>
      </w:r>
      <w:bookmarkEnd w:id="421"/>
      <w:bookmarkEnd w:id="422"/>
      <w:bookmarkEnd w:id="423"/>
    </w:p>
    <w:p w14:paraId="57327FDE" w14:textId="77777777" w:rsidR="007A12E9" w:rsidRPr="00E72418" w:rsidRDefault="007A12E9" w:rsidP="007A12E9"/>
    <w:p w14:paraId="1432012A" w14:textId="6CED3875" w:rsidR="004959D2" w:rsidRPr="00E72418" w:rsidRDefault="004469AC" w:rsidP="00CC4BA8">
      <w:pPr>
        <w:spacing w:line="276" w:lineRule="auto"/>
      </w:pPr>
      <w:r w:rsidRPr="00E72418">
        <w:rPr>
          <w:b/>
        </w:rPr>
        <w:t>367</w:t>
      </w:r>
      <w:r w:rsidR="00817D62" w:rsidRPr="00E72418">
        <w:rPr>
          <w:b/>
        </w:rPr>
        <w:t xml:space="preserve">. </w:t>
      </w:r>
      <w:r w:rsidR="005F6F52" w:rsidRPr="00E72418">
        <w:rPr>
          <w:b/>
        </w:rPr>
        <w:t xml:space="preserve">Le principe de l’interdiction de mise en </w:t>
      </w:r>
      <w:r w:rsidR="00DA38E4" w:rsidRPr="00E72418">
        <w:rPr>
          <w:b/>
        </w:rPr>
        <w:t>œuvre de mesures de contrainte –</w:t>
      </w:r>
      <w:r w:rsidR="005F6F52" w:rsidRPr="00E72418">
        <w:t xml:space="preserve"> L’article 60 de la loi Sapin II vise à lutter contre les</w:t>
      </w:r>
      <w:r w:rsidR="00B41CCF" w:rsidRPr="00E72418">
        <w:t xml:space="preserve"> activités des fonds spéculant</w:t>
      </w:r>
      <w:r w:rsidR="005F6F52" w:rsidRPr="00E72418">
        <w:t xml:space="preserve"> sur les dettes souveraines en rendant impossibles les mesures conservatoires et les mesures d’exécution forcée qu’ils chercheraient à mettre en œuvre sur des biens situés en France appartenant à des </w:t>
      </w:r>
      <w:r w:rsidR="005F6F52" w:rsidRPr="00E72418">
        <w:rPr>
          <w:rFonts w:cs="Times New Roman"/>
          <w:shd w:val="clear" w:color="auto" w:fill="FFFFFF"/>
        </w:rPr>
        <w:t>É</w:t>
      </w:r>
      <w:r w:rsidR="005F6F52" w:rsidRPr="00E72418">
        <w:t>tats étrangers</w:t>
      </w:r>
      <w:r w:rsidR="005F6F52" w:rsidRPr="00E72418">
        <w:rPr>
          <w:rStyle w:val="Appelnotedebasdep"/>
          <w:szCs w:val="24"/>
        </w:rPr>
        <w:footnoteReference w:id="1819"/>
      </w:r>
      <w:r w:rsidR="005F6F52" w:rsidRPr="00E72418">
        <w:t>. En règle, les mesures de contrainte sur les biens d’</w:t>
      </w:r>
      <w:r w:rsidR="005F6F52" w:rsidRPr="00E72418">
        <w:rPr>
          <w:shd w:val="clear" w:color="auto" w:fill="FFFFFF"/>
        </w:rPr>
        <w:t>É</w:t>
      </w:r>
      <w:r w:rsidR="005F6F52" w:rsidRPr="00E72418">
        <w:t xml:space="preserve">tats étrangers devant être préalablement autorisées par le juge </w:t>
      </w:r>
      <w:r w:rsidR="00C452CF" w:rsidRPr="00E72418">
        <w:rPr>
          <w:shd w:val="clear" w:color="auto" w:fill="FFFFFF"/>
        </w:rPr>
        <w:t>dans le cadre de l’</w:t>
      </w:r>
      <w:r w:rsidR="005F6F52" w:rsidRPr="00E72418">
        <w:rPr>
          <w:shd w:val="clear" w:color="auto" w:fill="FFFFFF"/>
        </w:rPr>
        <w:t>article L. 111-1-1 d</w:t>
      </w:r>
      <w:r w:rsidR="004A1C1D" w:rsidRPr="00E72418">
        <w:rPr>
          <w:shd w:val="clear" w:color="auto" w:fill="FFFFFF"/>
        </w:rPr>
        <w:t>u C</w:t>
      </w:r>
      <w:r w:rsidR="00111E73" w:rsidRPr="00E72418">
        <w:rPr>
          <w:shd w:val="clear" w:color="auto" w:fill="FFFFFF"/>
        </w:rPr>
        <w:t>ode des procédures civiles d’</w:t>
      </w:r>
      <w:r w:rsidR="005F6F52" w:rsidRPr="00E72418">
        <w:rPr>
          <w:shd w:val="clear" w:color="auto" w:fill="FFFFFF"/>
        </w:rPr>
        <w:t>exécution</w:t>
      </w:r>
      <w:r w:rsidR="005F6F52" w:rsidRPr="00E72418">
        <w:rPr>
          <w:rStyle w:val="Appelnotedebasdep"/>
          <w:rFonts w:cs="Times New Roman"/>
          <w:szCs w:val="24"/>
          <w:shd w:val="clear" w:color="auto" w:fill="FFFFFF"/>
        </w:rPr>
        <w:footnoteReference w:id="1820"/>
      </w:r>
      <w:r w:rsidR="005F6F52" w:rsidRPr="00E72418">
        <w:rPr>
          <w:shd w:val="clear" w:color="auto" w:fill="FFFFFF"/>
        </w:rPr>
        <w:t>, le législateur français lui interdit de donner cette autorisation lorsque différentes conditions illustratives d’un comportement « vautour » sont rencontrées</w:t>
      </w:r>
      <w:r w:rsidR="005F6F52" w:rsidRPr="00E72418">
        <w:rPr>
          <w:rStyle w:val="Appelnotedebasdep"/>
        </w:rPr>
        <w:footnoteReference w:id="1821"/>
      </w:r>
      <w:r w:rsidR="00D60365" w:rsidRPr="00E72418">
        <w:rPr>
          <w:shd w:val="clear" w:color="auto" w:fill="FFFFFF"/>
          <w:vertAlign w:val="superscript"/>
        </w:rPr>
        <w:t>,</w:t>
      </w:r>
      <w:r w:rsidR="00D60365" w:rsidRPr="00E72418">
        <w:rPr>
          <w:rStyle w:val="Appelnotedebasdep"/>
          <w:shd w:val="clear" w:color="auto" w:fill="FFFFFF"/>
        </w:rPr>
        <w:footnoteReference w:id="1822"/>
      </w:r>
      <w:r w:rsidR="005F6F52" w:rsidRPr="00E72418">
        <w:t>.</w:t>
      </w:r>
      <w:r w:rsidR="00A73796" w:rsidRPr="00E72418">
        <w:t xml:space="preserve"> </w:t>
      </w:r>
      <w:r w:rsidR="005F6F52" w:rsidRPr="00E72418">
        <w:rPr>
          <w:szCs w:val="24"/>
          <w:shd w:val="clear" w:color="auto" w:fill="FFFFFF"/>
        </w:rPr>
        <w:t>Et l’interdiction faite au juge est stricte ;</w:t>
      </w:r>
      <w:r w:rsidR="005F6F52" w:rsidRPr="00E72418">
        <w:t xml:space="preserve"> le juge doit refuser d’autoriser quelque mesure de contrainte sollicitée sur un bien étatique lorsque les conditions visées à </w:t>
      </w:r>
      <w:r w:rsidR="005F6F52" w:rsidRPr="00E72418">
        <w:lastRenderedPageBreak/>
        <w:t>l’article 60 sont rencontrées</w:t>
      </w:r>
      <w:r w:rsidR="00D126BA" w:rsidRPr="00E72418">
        <w:t xml:space="preserve">. L’adjectif </w:t>
      </w:r>
      <w:r w:rsidR="00542B7F" w:rsidRPr="00E72418">
        <w:t>« aucune » repris à</w:t>
      </w:r>
      <w:r w:rsidR="00D126BA" w:rsidRPr="00E72418">
        <w:t xml:space="preserve"> l’entame de l’article perme</w:t>
      </w:r>
      <w:r w:rsidR="00542B7F" w:rsidRPr="00E72418">
        <w:t>t de retenir que l’interdiction est stricte et qu’aucun pouvoir d’appréciation de l</w:t>
      </w:r>
      <w:r w:rsidR="00947A08">
        <w:t>a demande n’est accordé au juge</w:t>
      </w:r>
      <w:r w:rsidR="005F6F52" w:rsidRPr="00E72418">
        <w:rPr>
          <w:rStyle w:val="Appelnotedebasdep"/>
        </w:rPr>
        <w:footnoteReference w:id="1823"/>
      </w:r>
      <w:r w:rsidR="005F6F52" w:rsidRPr="00E72418">
        <w:t>.</w:t>
      </w:r>
    </w:p>
    <w:p w14:paraId="5D635237" w14:textId="77777777" w:rsidR="000A07C9" w:rsidRPr="00E72418" w:rsidRDefault="000A07C9" w:rsidP="00CC4BA8">
      <w:pPr>
        <w:spacing w:line="276" w:lineRule="auto"/>
      </w:pPr>
    </w:p>
    <w:p w14:paraId="4655FD65" w14:textId="3294B896" w:rsidR="005F6F52" w:rsidRPr="00E72418" w:rsidRDefault="004469AC" w:rsidP="00CC4BA8">
      <w:pPr>
        <w:spacing w:line="276" w:lineRule="auto"/>
      </w:pPr>
      <w:r w:rsidRPr="00E72418">
        <w:rPr>
          <w:b/>
        </w:rPr>
        <w:t>368</w:t>
      </w:r>
      <w:r w:rsidR="00817D62" w:rsidRPr="00E72418">
        <w:rPr>
          <w:b/>
        </w:rPr>
        <w:t xml:space="preserve">. </w:t>
      </w:r>
      <w:r w:rsidR="00DA38E4" w:rsidRPr="00E72418">
        <w:rPr>
          <w:b/>
        </w:rPr>
        <w:t>L’exception à l’interdiction –</w:t>
      </w:r>
      <w:r w:rsidR="005F6F52" w:rsidRPr="00E72418">
        <w:t xml:space="preserve"> La disposition IV de l’article 60 prévoit une exception à l’interdiction faite au juge d’autoriser des mesures de contrainte sur les biens d’un </w:t>
      </w:r>
      <w:r w:rsidR="005F6F52" w:rsidRPr="00E72418">
        <w:rPr>
          <w:rFonts w:cs="Times New Roman"/>
          <w:szCs w:val="24"/>
          <w:shd w:val="clear" w:color="auto" w:fill="FFFFFF"/>
        </w:rPr>
        <w:t>É</w:t>
      </w:r>
      <w:r w:rsidR="005F6F52" w:rsidRPr="00E72418">
        <w:t>tat étranger alors que les co</w:t>
      </w:r>
      <w:r w:rsidR="00D126BA" w:rsidRPr="00E72418">
        <w:t xml:space="preserve">nditions </w:t>
      </w:r>
      <w:r w:rsidR="005F6F52" w:rsidRPr="00E72418">
        <w:t xml:space="preserve">à l’application du mécanisme mis en place sont remplies. </w:t>
      </w:r>
      <w:r w:rsidR="00A73796" w:rsidRPr="00E72418">
        <w:t>Le juge peut autoriser des mesures</w:t>
      </w:r>
      <w:r w:rsidR="005F6F52" w:rsidRPr="00E72418">
        <w:t xml:space="preserve"> </w:t>
      </w:r>
      <w:r w:rsidR="005F6F52" w:rsidRPr="00E72418">
        <w:rPr>
          <w:rFonts w:cs="Times New Roman"/>
          <w:szCs w:val="24"/>
          <w:shd w:val="clear" w:color="auto" w:fill="FFFFFF"/>
        </w:rPr>
        <w:t xml:space="preserve">lorsque le créancier de l’État étranger fait montre d’une certaine </w:t>
      </w:r>
      <w:r w:rsidR="00A73796" w:rsidRPr="00E72418">
        <w:rPr>
          <w:rFonts w:cs="Times New Roman"/>
          <w:szCs w:val="24"/>
          <w:shd w:val="clear" w:color="auto" w:fill="FFFFFF"/>
        </w:rPr>
        <w:t>retenue</w:t>
      </w:r>
      <w:r w:rsidR="005F6F52" w:rsidRPr="00E72418">
        <w:rPr>
          <w:rStyle w:val="Appelnotedebasdep"/>
          <w:rFonts w:cs="Times New Roman"/>
          <w:szCs w:val="24"/>
          <w:shd w:val="clear" w:color="auto" w:fill="FFFFFF"/>
        </w:rPr>
        <w:footnoteReference w:id="1824"/>
      </w:r>
      <w:r w:rsidR="005F6F52" w:rsidRPr="00E72418">
        <w:rPr>
          <w:rFonts w:cs="Times New Roman"/>
          <w:szCs w:val="24"/>
          <w:shd w:val="clear" w:color="auto" w:fill="FFFFFF"/>
        </w:rPr>
        <w:t>.</w:t>
      </w:r>
      <w:r w:rsidR="00A73796" w:rsidRPr="00E72418">
        <w:t xml:space="preserve"> </w:t>
      </w:r>
      <w:r w:rsidR="005F6F52" w:rsidRPr="00E72418">
        <w:t xml:space="preserve">Ainsi, </w:t>
      </w:r>
      <w:r w:rsidR="00A73796" w:rsidRPr="00E72418">
        <w:t>la disposition visée précise q</w:t>
      </w:r>
      <w:r w:rsidR="005F6F52" w:rsidRPr="00E72418">
        <w:t xml:space="preserve">ue </w:t>
      </w:r>
      <w:r w:rsidR="005F6F52" w:rsidRPr="00E72418">
        <w:rPr>
          <w:rFonts w:cs="Times New Roman"/>
          <w:szCs w:val="24"/>
        </w:rPr>
        <w:t>« </w:t>
      </w:r>
      <w:r w:rsidR="005F6F52" w:rsidRPr="00E72418">
        <w:rPr>
          <w:rFonts w:cs="Times New Roman"/>
        </w:rPr>
        <w:t>[l]</w:t>
      </w:r>
      <w:r w:rsidR="005F6F52" w:rsidRPr="00E72418">
        <w:rPr>
          <w:rFonts w:cs="Times New Roman"/>
          <w:szCs w:val="24"/>
          <w:shd w:val="clear" w:color="auto" w:fill="FFFFFF"/>
        </w:rPr>
        <w:t>es mesures conservatoires et les mesures d’exécution forcée visant un bien appartenant à un État étranger peuvent êtr</w:t>
      </w:r>
      <w:r w:rsidR="00C452CF" w:rsidRPr="00E72418">
        <w:rPr>
          <w:rFonts w:cs="Times New Roman"/>
          <w:szCs w:val="24"/>
          <w:shd w:val="clear" w:color="auto" w:fill="FFFFFF"/>
        </w:rPr>
        <w:t>e autorisées par le juge lorsqu’</w:t>
      </w:r>
      <w:r w:rsidR="005F6F52" w:rsidRPr="00E72418">
        <w:rPr>
          <w:rFonts w:cs="Times New Roman"/>
          <w:szCs w:val="24"/>
          <w:shd w:val="clear" w:color="auto" w:fill="FFFFFF"/>
        </w:rPr>
        <w:t>une proposition de modif</w:t>
      </w:r>
      <w:r w:rsidR="00C452CF" w:rsidRPr="00E72418">
        <w:rPr>
          <w:rFonts w:cs="Times New Roman"/>
          <w:szCs w:val="24"/>
          <w:shd w:val="clear" w:color="auto" w:fill="FFFFFF"/>
        </w:rPr>
        <w:t>ication des termes du contrat d’</w:t>
      </w:r>
      <w:r w:rsidR="005F6F52" w:rsidRPr="00E72418">
        <w:rPr>
          <w:rFonts w:cs="Times New Roman"/>
          <w:szCs w:val="24"/>
          <w:shd w:val="clear" w:color="auto" w:fill="FFFFFF"/>
        </w:rPr>
        <w:t>émission, applicable au titre de créance détenu par le créancier, a été acceptée par des créan</w:t>
      </w:r>
      <w:r w:rsidR="006637ED" w:rsidRPr="00E72418">
        <w:rPr>
          <w:rFonts w:cs="Times New Roman"/>
          <w:szCs w:val="24"/>
          <w:shd w:val="clear" w:color="auto" w:fill="FFFFFF"/>
        </w:rPr>
        <w:t>ciers représentant au moins 66 pourcents</w:t>
      </w:r>
      <w:r w:rsidR="005F6F52" w:rsidRPr="00E72418">
        <w:rPr>
          <w:rFonts w:cs="Times New Roman"/>
          <w:szCs w:val="24"/>
          <w:shd w:val="clear" w:color="auto" w:fill="FFFFFF"/>
        </w:rPr>
        <w:t xml:space="preserve"> du montant en principal des créances éligibles et est entrée en vigueur, et que le détenteur du titre de créance a sollicité la mise en œuvre d’</w:t>
      </w:r>
      <w:r w:rsidR="00C452CF" w:rsidRPr="00E72418">
        <w:rPr>
          <w:rFonts w:cs="Times New Roman"/>
          <w:szCs w:val="24"/>
          <w:shd w:val="clear" w:color="auto" w:fill="FFFFFF"/>
        </w:rPr>
        <w:t>une ou plusieurs mesures d’</w:t>
      </w:r>
      <w:r w:rsidR="005F6F52" w:rsidRPr="00E72418">
        <w:rPr>
          <w:rFonts w:cs="Times New Roman"/>
          <w:szCs w:val="24"/>
          <w:shd w:val="clear" w:color="auto" w:fill="FFFFFF"/>
        </w:rPr>
        <w:t>exécution forcée ou mesures conservatoires pour des sommes dont le montant total est inférieur ou égal au montant qu’il aurait obtenu s’il avait accepté ladite proposition ».</w:t>
      </w:r>
    </w:p>
    <w:p w14:paraId="6BE6D75E" w14:textId="77777777" w:rsidR="005F6F52" w:rsidRPr="00E72418" w:rsidRDefault="005F6F52" w:rsidP="00CC4BA8">
      <w:pPr>
        <w:spacing w:line="276" w:lineRule="auto"/>
      </w:pPr>
      <w:r w:rsidRPr="00E72418">
        <w:t xml:space="preserve">Les mesures de contrainte peuvent donc être autorisées si le créancier se limite dans ses prétentions à ce qu’il aurait obtenu s’il avait suivi l’effort de </w:t>
      </w:r>
      <w:r w:rsidR="00A73796" w:rsidRPr="00E72418">
        <w:t>restructuration</w:t>
      </w:r>
      <w:r w:rsidRPr="00E72418">
        <w:t xml:space="preserve"> de la dette. L’objectif du législateur français est ainsi de favoriser les restructurations et d’empêcher</w:t>
      </w:r>
      <w:r w:rsidR="00542B7F" w:rsidRPr="00E72418">
        <w:t xml:space="preserve"> les créanciers d’adopter un comportement clandestin</w:t>
      </w:r>
      <w:r w:rsidRPr="00E72418">
        <w:rPr>
          <w:rStyle w:val="Appelnotedebasdep"/>
        </w:rPr>
        <w:footnoteReference w:id="1825"/>
      </w:r>
      <w:r w:rsidR="00A73796" w:rsidRPr="00E72418">
        <w:t>. A</w:t>
      </w:r>
      <w:r w:rsidRPr="00E72418">
        <w:t xml:space="preserve">vec cette exception, le législateur impose </w:t>
      </w:r>
      <w:r w:rsidR="003E382B" w:rsidRPr="00E72418">
        <w:t>indirectement aux créanciers d’</w:t>
      </w:r>
      <w:r w:rsidR="003E382B" w:rsidRPr="00E72418">
        <w:rPr>
          <w:lang w:eastAsia="fr-BE"/>
        </w:rPr>
        <w:t>É</w:t>
      </w:r>
      <w:r w:rsidRPr="00E72418">
        <w:t>tats souverains une clause d’action collective</w:t>
      </w:r>
      <w:r w:rsidRPr="00E72418">
        <w:rPr>
          <w:rStyle w:val="Appelnotedebasdep"/>
        </w:rPr>
        <w:footnoteReference w:id="1826"/>
      </w:r>
      <w:r w:rsidRPr="00E72418">
        <w:t xml:space="preserve">. </w:t>
      </w:r>
    </w:p>
    <w:p w14:paraId="11E11C86" w14:textId="51FC2BB6" w:rsidR="005F6F52" w:rsidRPr="00E72418" w:rsidRDefault="00D801A6" w:rsidP="00CC4BA8">
      <w:pPr>
        <w:spacing w:line="276" w:lineRule="auto"/>
      </w:pPr>
      <w:r w:rsidRPr="00E72418">
        <w:t xml:space="preserve">Paul </w:t>
      </w:r>
      <w:r w:rsidR="005F6F52" w:rsidRPr="00E72418">
        <w:t xml:space="preserve">Giraud met en lumière un intéressant problème découlant de la règle contenue à la disposition IV de l’article 60 en indiquant que le créancier pourrait en profiter pour poursuivre en France une partie de sa créance sur des </w:t>
      </w:r>
      <w:r w:rsidR="00B66150" w:rsidRPr="00E72418">
        <w:t>biens étatiques étrangers</w:t>
      </w:r>
      <w:r w:rsidR="005F6F52" w:rsidRPr="00E72418">
        <w:t xml:space="preserve"> dans la proportion rendue possible par la disposition, tandis qu’il chercherait à en obtenir le reliquat à l’étranger. Pour l’auteur, dans la situation inverse où le créancier viendrait en France pour obtenir ce qu’il n’a pas pu obtenir à l’étranger alors, « l’esprit du texte va dans le sens d’une autorisation judiciaire </w:t>
      </w:r>
      <w:r w:rsidR="005F6F52" w:rsidRPr="00E72418">
        <w:lastRenderedPageBreak/>
        <w:t>limitée au reliquat entre le montant qu’il aurait obtenu s’il avait accepté ladite proposition et le montant déjà perçu à l’étranger »</w:t>
      </w:r>
      <w:r w:rsidR="005F6F52" w:rsidRPr="00E72418">
        <w:rPr>
          <w:rStyle w:val="Appelnotedebasdep"/>
        </w:rPr>
        <w:footnoteReference w:id="1827"/>
      </w:r>
      <w:r w:rsidR="005F6F52" w:rsidRPr="00E72418">
        <w:t>.</w:t>
      </w:r>
    </w:p>
    <w:p w14:paraId="040FFF66" w14:textId="77777777" w:rsidR="000A07C9" w:rsidRPr="00E72418" w:rsidRDefault="000A07C9" w:rsidP="00CC4BA8">
      <w:pPr>
        <w:spacing w:line="276" w:lineRule="auto"/>
      </w:pPr>
    </w:p>
    <w:p w14:paraId="74C5A0CD" w14:textId="2E482964" w:rsidR="000A07C9" w:rsidRPr="00E72418" w:rsidRDefault="004469AC" w:rsidP="00CC4BA8">
      <w:pPr>
        <w:spacing w:line="276" w:lineRule="auto"/>
        <w:rPr>
          <w:b/>
        </w:rPr>
      </w:pPr>
      <w:r w:rsidRPr="00E72418">
        <w:rPr>
          <w:b/>
        </w:rPr>
        <w:t>369</w:t>
      </w:r>
      <w:r w:rsidR="00817D62" w:rsidRPr="00E72418">
        <w:rPr>
          <w:b/>
        </w:rPr>
        <w:t xml:space="preserve">. </w:t>
      </w:r>
      <w:r w:rsidR="000A07C9" w:rsidRPr="00E72418">
        <w:rPr>
          <w:b/>
        </w:rPr>
        <w:t xml:space="preserve">Les </w:t>
      </w:r>
      <w:r w:rsidR="000A07C9" w:rsidRPr="00E72418">
        <w:rPr>
          <w:b/>
          <w:shd w:val="clear" w:color="auto" w:fill="FFFFFF"/>
        </w:rPr>
        <w:t xml:space="preserve">conditions d’application illustratives d’un comportement « vautour » </w:t>
      </w:r>
      <w:r w:rsidR="000A07C9" w:rsidRPr="00E72418">
        <w:rPr>
          <w:b/>
        </w:rPr>
        <w:t>–</w:t>
      </w:r>
      <w:r w:rsidR="000A07C9" w:rsidRPr="00E72418">
        <w:rPr>
          <w:b/>
          <w:shd w:val="clear" w:color="auto" w:fill="FFFFFF"/>
        </w:rPr>
        <w:t xml:space="preserve"> </w:t>
      </w:r>
      <w:r w:rsidR="000A07C9" w:rsidRPr="00E72418">
        <w:rPr>
          <w:szCs w:val="24"/>
        </w:rPr>
        <w:t>Si la loi française n’use pas des termes « fonds vautours », l’analyse du mécanisme qu’elle met en place ne permet pas de douter de ce qu</w:t>
      </w:r>
      <w:r w:rsidR="00111E73" w:rsidRPr="00E72418">
        <w:rPr>
          <w:szCs w:val="24"/>
        </w:rPr>
        <w:t>e ce sont c</w:t>
      </w:r>
      <w:r w:rsidR="00B41CCF" w:rsidRPr="00E72418">
        <w:rPr>
          <w:szCs w:val="24"/>
        </w:rPr>
        <w:t>es fonds spéculant</w:t>
      </w:r>
      <w:r w:rsidR="000A07C9" w:rsidRPr="00E72418">
        <w:rPr>
          <w:szCs w:val="24"/>
        </w:rPr>
        <w:t xml:space="preserve"> sur les dettes souveraines contre lesquels e</w:t>
      </w:r>
      <w:r w:rsidR="00A9693B" w:rsidRPr="00E72418">
        <w:rPr>
          <w:szCs w:val="24"/>
        </w:rPr>
        <w:t>lle entend précisément lutter. L</w:t>
      </w:r>
      <w:r w:rsidR="000A07C9" w:rsidRPr="00E72418">
        <w:rPr>
          <w:szCs w:val="24"/>
        </w:rPr>
        <w:t xml:space="preserve">e mécanisme trouve </w:t>
      </w:r>
      <w:r w:rsidR="00A9693B" w:rsidRPr="00E72418">
        <w:rPr>
          <w:szCs w:val="24"/>
        </w:rPr>
        <w:t xml:space="preserve">uniquement </w:t>
      </w:r>
      <w:r w:rsidR="000A07C9" w:rsidRPr="00E72418">
        <w:rPr>
          <w:szCs w:val="24"/>
        </w:rPr>
        <w:t xml:space="preserve">à s’appliquer lorsque différentes conditions reprises aux points 1° à 3° de l’article 60.I. </w:t>
      </w:r>
      <w:r w:rsidR="00A9693B" w:rsidRPr="00E72418">
        <w:rPr>
          <w:szCs w:val="24"/>
        </w:rPr>
        <w:t xml:space="preserve">et </w:t>
      </w:r>
      <w:r w:rsidR="000A07C9" w:rsidRPr="00E72418">
        <w:rPr>
          <w:szCs w:val="24"/>
        </w:rPr>
        <w:t>relatives à la situation financière de l’</w:t>
      </w:r>
      <w:r w:rsidR="000A07C9" w:rsidRPr="00E72418">
        <w:rPr>
          <w:rFonts w:cs="Times New Roman"/>
          <w:szCs w:val="24"/>
          <w:shd w:val="clear" w:color="auto" w:fill="FFFFFF"/>
        </w:rPr>
        <w:t>É</w:t>
      </w:r>
      <w:r w:rsidR="000A07C9" w:rsidRPr="00E72418">
        <w:rPr>
          <w:szCs w:val="24"/>
        </w:rPr>
        <w:t xml:space="preserve">tat débiteur et aux modalités d’acquisition de la créance sont remplies. </w:t>
      </w:r>
    </w:p>
    <w:p w14:paraId="5CB6D3E1" w14:textId="1CAA8D00" w:rsidR="000A07C9" w:rsidRPr="00E72418" w:rsidRDefault="000A07C9" w:rsidP="00CC4BA8">
      <w:pPr>
        <w:spacing w:line="276" w:lineRule="auto"/>
        <w:rPr>
          <w:rFonts w:cs="Times New Roman"/>
          <w:szCs w:val="24"/>
          <w:shd w:val="clear" w:color="auto" w:fill="FFFFFF"/>
        </w:rPr>
      </w:pPr>
      <w:r w:rsidRPr="00E72418">
        <w:t>La première condition visée à l’article 60.I.1°. est que l</w:t>
      </w:r>
      <w:r w:rsidRPr="00E72418">
        <w:rPr>
          <w:rFonts w:cs="Times New Roman"/>
          <w:szCs w:val="24"/>
          <w:shd w:val="clear" w:color="auto" w:fill="FFFFFF"/>
        </w:rPr>
        <w:t>’État étranger figurait sur la liste des bénéficiaires de l’aide publique a</w:t>
      </w:r>
      <w:r w:rsidR="00162729" w:rsidRPr="00E72418">
        <w:rPr>
          <w:rFonts w:cs="Times New Roman"/>
          <w:szCs w:val="24"/>
          <w:shd w:val="clear" w:color="auto" w:fill="FFFFFF"/>
        </w:rPr>
        <w:t>u développement établie par le C</w:t>
      </w:r>
      <w:r w:rsidRPr="00E72418">
        <w:rPr>
          <w:rFonts w:cs="Times New Roman"/>
          <w:szCs w:val="24"/>
          <w:shd w:val="clear" w:color="auto" w:fill="FFFFFF"/>
        </w:rPr>
        <w:t>omité de l’aide au développement de l’Organisation de coopération et de développement économiques lorsqu’il a émis le titre de créance</w:t>
      </w:r>
      <w:r w:rsidRPr="00E72418">
        <w:rPr>
          <w:rStyle w:val="Appelnotedebasdep"/>
          <w:rFonts w:cs="Times New Roman"/>
          <w:szCs w:val="24"/>
          <w:shd w:val="clear" w:color="auto" w:fill="FFFFFF"/>
        </w:rPr>
        <w:footnoteReference w:id="1828"/>
      </w:r>
      <w:r w:rsidR="00AA45A7" w:rsidRPr="00E72418">
        <w:rPr>
          <w:rFonts w:cs="Times New Roman"/>
          <w:szCs w:val="24"/>
          <w:shd w:val="clear" w:color="auto" w:fill="FFFFFF"/>
          <w:vertAlign w:val="superscript"/>
        </w:rPr>
        <w:t>,</w:t>
      </w:r>
      <w:r w:rsidRPr="00E72418">
        <w:rPr>
          <w:rStyle w:val="Appelnotedebasdep"/>
          <w:rFonts w:cs="Times New Roman"/>
          <w:szCs w:val="24"/>
          <w:shd w:val="clear" w:color="auto" w:fill="FFFFFF"/>
        </w:rPr>
        <w:footnoteReference w:id="1829"/>
      </w:r>
      <w:r w:rsidRPr="00E72418">
        <w:rPr>
          <w:rFonts w:cs="Times New Roman"/>
          <w:szCs w:val="24"/>
          <w:shd w:val="clear" w:color="auto" w:fill="FFFFFF"/>
        </w:rPr>
        <w:t xml:space="preserve">. Le juge </w:t>
      </w:r>
      <w:r w:rsidR="00111E73" w:rsidRPr="00E72418">
        <w:rPr>
          <w:rFonts w:cs="Times New Roman"/>
          <w:szCs w:val="24"/>
          <w:shd w:val="clear" w:color="auto" w:fill="FFFFFF"/>
        </w:rPr>
        <w:t>doit</w:t>
      </w:r>
      <w:r w:rsidRPr="00E72418">
        <w:rPr>
          <w:rFonts w:cs="Times New Roman"/>
          <w:szCs w:val="24"/>
          <w:shd w:val="clear" w:color="auto" w:fill="FFFFFF"/>
        </w:rPr>
        <w:t xml:space="preserve"> donc avoir égard à la situation de l’État débiteur au moment de l’émission du titre concerné</w:t>
      </w:r>
      <w:r w:rsidR="00111E73" w:rsidRPr="00E72418">
        <w:rPr>
          <w:rFonts w:cs="Times New Roman"/>
          <w:szCs w:val="24"/>
          <w:shd w:val="clear" w:color="auto" w:fill="FFFFFF"/>
        </w:rPr>
        <w:t xml:space="preserve"> par les poursuites du créancier</w:t>
      </w:r>
      <w:r w:rsidRPr="00E72418">
        <w:rPr>
          <w:rFonts w:cs="Times New Roman"/>
          <w:szCs w:val="24"/>
          <w:shd w:val="clear" w:color="auto" w:fill="FFFFFF"/>
        </w:rPr>
        <w:t xml:space="preserve">. </w:t>
      </w:r>
      <w:r w:rsidR="00111E73" w:rsidRPr="00E72418">
        <w:rPr>
          <w:rFonts w:cs="Times New Roman"/>
          <w:szCs w:val="24"/>
          <w:shd w:val="clear" w:color="auto" w:fill="FFFFFF"/>
        </w:rPr>
        <w:t>La condition temporelle</w:t>
      </w:r>
      <w:r w:rsidRPr="00E72418">
        <w:rPr>
          <w:rFonts w:cs="Times New Roman"/>
          <w:szCs w:val="24"/>
          <w:shd w:val="clear" w:color="auto" w:fill="FFFFFF"/>
        </w:rPr>
        <w:t xml:space="preserve"> retenue est discutable dans la mesure où c’est surtout au moment où le créancier cherche à obtenir le paiement de son titre que le caractère abusif de sa demande peut s’avérer dommageable pour </w:t>
      </w:r>
      <w:r w:rsidR="00111E73" w:rsidRPr="00E72418">
        <w:rPr>
          <w:rFonts w:cs="Times New Roman"/>
          <w:szCs w:val="24"/>
          <w:shd w:val="clear" w:color="auto" w:fill="FFFFFF"/>
        </w:rPr>
        <w:t>le</w:t>
      </w:r>
      <w:r w:rsidRPr="00E72418">
        <w:rPr>
          <w:rFonts w:cs="Times New Roman"/>
          <w:szCs w:val="24"/>
          <w:shd w:val="clear" w:color="auto" w:fill="FFFFFF"/>
        </w:rPr>
        <w:t xml:space="preserve"> débiteur</w:t>
      </w:r>
      <w:r w:rsidRPr="00E72418">
        <w:rPr>
          <w:rStyle w:val="Appelnotedebasdep"/>
          <w:rFonts w:cs="Times New Roman"/>
          <w:szCs w:val="24"/>
          <w:shd w:val="clear" w:color="auto" w:fill="FFFFFF"/>
        </w:rPr>
        <w:footnoteReference w:id="1830"/>
      </w:r>
      <w:r w:rsidRPr="00E72418">
        <w:rPr>
          <w:rFonts w:cs="Times New Roman"/>
          <w:szCs w:val="24"/>
          <w:shd w:val="clear" w:color="auto" w:fill="FFFFFF"/>
        </w:rPr>
        <w:t xml:space="preserve">. </w:t>
      </w:r>
      <w:r w:rsidR="00A9693B" w:rsidRPr="00E72418">
        <w:rPr>
          <w:rFonts w:cs="Times New Roman"/>
          <w:szCs w:val="24"/>
          <w:shd w:val="clear" w:color="auto" w:fill="FFFFFF"/>
        </w:rPr>
        <w:t>Aussi, dès lors que la situation financière de l’État peut évoluer, si l’objectif est de protéger les fonds liés au développement alors le moment de la demande d’exécution à l’encontre de l’État débiteur pourrait remplacer le moment de l’émission du titre de créance</w:t>
      </w:r>
      <w:r w:rsidR="00A9693B" w:rsidRPr="00E72418">
        <w:rPr>
          <w:rStyle w:val="Appelnotedebasdep"/>
          <w:rFonts w:cs="Times New Roman"/>
          <w:szCs w:val="24"/>
          <w:shd w:val="clear" w:color="auto" w:fill="FFFFFF"/>
        </w:rPr>
        <w:footnoteReference w:id="1831"/>
      </w:r>
      <w:r w:rsidR="00A9693B" w:rsidRPr="00E72418">
        <w:rPr>
          <w:rFonts w:cs="Times New Roman"/>
          <w:szCs w:val="24"/>
          <w:shd w:val="clear" w:color="auto" w:fill="FFFFFF"/>
        </w:rPr>
        <w:t>.</w:t>
      </w:r>
    </w:p>
    <w:p w14:paraId="6CEB3EDE" w14:textId="16983F3D" w:rsidR="000A07C9" w:rsidRPr="00E72418" w:rsidRDefault="000A07C9" w:rsidP="00CC4BA8">
      <w:pPr>
        <w:spacing w:line="276" w:lineRule="auto"/>
        <w:rPr>
          <w:rFonts w:cs="Times New Roman"/>
          <w:szCs w:val="24"/>
          <w:shd w:val="clear" w:color="auto" w:fill="FFFFFF"/>
        </w:rPr>
      </w:pPr>
      <w:r w:rsidRPr="00E72418">
        <w:rPr>
          <w:rFonts w:cs="Times New Roman"/>
          <w:szCs w:val="24"/>
        </w:rPr>
        <w:lastRenderedPageBreak/>
        <w:t xml:space="preserve">La </w:t>
      </w:r>
      <w:r w:rsidR="00111E73" w:rsidRPr="00E72418">
        <w:rPr>
          <w:rFonts w:cs="Times New Roman"/>
          <w:szCs w:val="24"/>
        </w:rPr>
        <w:t xml:space="preserve">deuxième </w:t>
      </w:r>
      <w:r w:rsidRPr="00E72418">
        <w:rPr>
          <w:rFonts w:cs="Times New Roman"/>
          <w:szCs w:val="24"/>
        </w:rPr>
        <w:t>condition reprise au point 2° de l’article 60.I. précise la situation qu’était celle de l’</w:t>
      </w:r>
      <w:r w:rsidRPr="00E72418">
        <w:rPr>
          <w:rFonts w:cs="Times New Roman"/>
          <w:szCs w:val="24"/>
          <w:shd w:val="clear" w:color="auto" w:fill="FFFFFF"/>
        </w:rPr>
        <w:t>É</w:t>
      </w:r>
      <w:r w:rsidRPr="00E72418">
        <w:rPr>
          <w:rFonts w:cs="Times New Roman"/>
          <w:szCs w:val="24"/>
        </w:rPr>
        <w:t xml:space="preserve">tat débiteur au moment de l’acquisition du titre </w:t>
      </w:r>
      <w:r w:rsidR="00162729" w:rsidRPr="00E72418">
        <w:rPr>
          <w:rFonts w:cs="Times New Roman"/>
          <w:szCs w:val="24"/>
        </w:rPr>
        <w:t>par le créancier poursuivant</w:t>
      </w:r>
      <w:r w:rsidRPr="00E72418">
        <w:rPr>
          <w:rFonts w:cs="Times New Roman"/>
          <w:szCs w:val="24"/>
        </w:rPr>
        <w:t>. Ainsi, la condition est</w:t>
      </w:r>
      <w:r w:rsidR="00111E73" w:rsidRPr="00E72418">
        <w:rPr>
          <w:rFonts w:cs="Times New Roman"/>
          <w:szCs w:val="24"/>
        </w:rPr>
        <w:t xml:space="preserve"> que l</w:t>
      </w:r>
      <w:r w:rsidRPr="00E72418">
        <w:rPr>
          <w:rFonts w:cs="Times New Roman"/>
          <w:szCs w:val="24"/>
          <w:shd w:val="clear" w:color="auto" w:fill="FFFFFF"/>
        </w:rPr>
        <w:t xml:space="preserve">e détenteur du titre de créance a acquis ce titre alors que l’État étranger se trouvait en situation de défaut sur ce titre de créance ou </w:t>
      </w:r>
      <w:r w:rsidRPr="00E72418">
        <w:t>avait proposé une modification</w:t>
      </w:r>
      <w:r w:rsidR="00111E73" w:rsidRPr="00E72418">
        <w:t xml:space="preserve"> des termes du titre de créance</w:t>
      </w:r>
      <w:r w:rsidRPr="00E72418">
        <w:rPr>
          <w:rFonts w:cs="Times New Roman"/>
          <w:szCs w:val="24"/>
          <w:shd w:val="clear" w:color="auto" w:fill="FFFFFF"/>
        </w:rPr>
        <w:t>.</w:t>
      </w:r>
      <w:r w:rsidR="00EE7C16" w:rsidRPr="00E72418">
        <w:rPr>
          <w:rFonts w:cs="Times New Roman"/>
          <w:szCs w:val="24"/>
          <w:shd w:val="clear" w:color="auto" w:fill="FFFFFF"/>
        </w:rPr>
        <w:t xml:space="preserve"> </w:t>
      </w:r>
      <w:r w:rsidRPr="00E72418">
        <w:rPr>
          <w:rFonts w:cs="Times New Roman"/>
          <w:szCs w:val="24"/>
          <w:shd w:val="clear" w:color="auto" w:fill="FFFFFF"/>
        </w:rPr>
        <w:t>La disposition III de l’article 60 donne plus de précisions sur la situation d</w:t>
      </w:r>
      <w:r w:rsidR="00EE7C16" w:rsidRPr="00E72418">
        <w:rPr>
          <w:rFonts w:cs="Times New Roman"/>
          <w:szCs w:val="24"/>
          <w:shd w:val="clear" w:color="auto" w:fill="FFFFFF"/>
        </w:rPr>
        <w:t xml:space="preserve">e défaut en indiquant qu’elle </w:t>
      </w:r>
      <w:r w:rsidRPr="00E72418">
        <w:rPr>
          <w:rFonts w:cs="Times New Roman"/>
          <w:szCs w:val="24"/>
          <w:shd w:val="clear" w:color="auto" w:fill="FFFFFF"/>
        </w:rPr>
        <w:t>est définie conformément aux clauses prévues dans le contrat d’émission ou, en l’absence de telles clauses, par un manquement à l’échéance initiale prévue dans le contrat d’</w:t>
      </w:r>
      <w:r w:rsidR="00EE7C16" w:rsidRPr="00E72418">
        <w:rPr>
          <w:rFonts w:cs="Times New Roman"/>
          <w:szCs w:val="24"/>
          <w:shd w:val="clear" w:color="auto" w:fill="FFFFFF"/>
        </w:rPr>
        <w:t>émission</w:t>
      </w:r>
      <w:r w:rsidR="007031D0" w:rsidRPr="00E72418">
        <w:rPr>
          <w:rStyle w:val="Appelnotedebasdep"/>
          <w:rFonts w:cs="Times New Roman"/>
          <w:szCs w:val="24"/>
          <w:shd w:val="clear" w:color="auto" w:fill="FFFFFF"/>
        </w:rPr>
        <w:footnoteReference w:id="1832"/>
      </w:r>
      <w:r w:rsidRPr="00E72418">
        <w:rPr>
          <w:rFonts w:cs="Times New Roman"/>
          <w:szCs w:val="24"/>
          <w:shd w:val="clear" w:color="auto" w:fill="FFFFFF"/>
        </w:rPr>
        <w:t>.</w:t>
      </w:r>
      <w:r w:rsidR="00EE7C16" w:rsidRPr="00E72418">
        <w:rPr>
          <w:rFonts w:cs="Times New Roman"/>
          <w:szCs w:val="24"/>
          <w:shd w:val="clear" w:color="auto" w:fill="FFFFFF"/>
        </w:rPr>
        <w:t xml:space="preserve"> L’on peut regretter que</w:t>
      </w:r>
      <w:r w:rsidRPr="00E72418">
        <w:rPr>
          <w:rFonts w:cs="Times New Roman"/>
          <w:szCs w:val="24"/>
          <w:shd w:val="clear" w:color="auto" w:fill="FFFFFF"/>
        </w:rPr>
        <w:t xml:space="preserve"> le législateur </w:t>
      </w:r>
      <w:r w:rsidR="00EE7C16" w:rsidRPr="00E72418">
        <w:rPr>
          <w:rFonts w:cs="Times New Roman"/>
          <w:szCs w:val="24"/>
          <w:shd w:val="clear" w:color="auto" w:fill="FFFFFF"/>
        </w:rPr>
        <w:t>français n’ait pas été au bout de sa démarche en précisant</w:t>
      </w:r>
      <w:r w:rsidRPr="00E72418">
        <w:rPr>
          <w:rFonts w:cs="Times New Roman"/>
          <w:szCs w:val="24"/>
          <w:shd w:val="clear" w:color="auto" w:fill="FFFFFF"/>
        </w:rPr>
        <w:t xml:space="preserve"> l’importance de la modification </w:t>
      </w:r>
      <w:r w:rsidR="00EE7C16" w:rsidRPr="00E72418">
        <w:rPr>
          <w:rFonts w:cs="Times New Roman"/>
          <w:szCs w:val="24"/>
          <w:shd w:val="clear" w:color="auto" w:fill="FFFFFF"/>
        </w:rPr>
        <w:t xml:space="preserve">et </w:t>
      </w:r>
      <w:r w:rsidRPr="00E72418">
        <w:rPr>
          <w:rFonts w:cs="Times New Roman"/>
          <w:szCs w:val="24"/>
          <w:shd w:val="clear" w:color="auto" w:fill="FFFFFF"/>
        </w:rPr>
        <w:t>les termes du titre de créance visés</w:t>
      </w:r>
      <w:r w:rsidR="00EE7C16" w:rsidRPr="00E72418">
        <w:rPr>
          <w:rFonts w:cs="Times New Roman"/>
          <w:szCs w:val="24"/>
          <w:shd w:val="clear" w:color="auto" w:fill="FFFFFF"/>
        </w:rPr>
        <w:t>, laquelle précision permettant de</w:t>
      </w:r>
      <w:r w:rsidRPr="00E72418">
        <w:rPr>
          <w:rFonts w:cs="Times New Roman"/>
          <w:szCs w:val="24"/>
          <w:shd w:val="clear" w:color="auto" w:fill="FFFFFF"/>
        </w:rPr>
        <w:t xml:space="preserve"> retenir une distinction selon qu’il en va</w:t>
      </w:r>
      <w:r w:rsidR="00162729" w:rsidRPr="00E72418">
        <w:rPr>
          <w:rFonts w:cs="Times New Roman"/>
          <w:szCs w:val="24"/>
          <w:shd w:val="clear" w:color="auto" w:fill="FFFFFF"/>
        </w:rPr>
        <w:t>, d’une part,</w:t>
      </w:r>
      <w:r w:rsidRPr="00E72418">
        <w:rPr>
          <w:rFonts w:cs="Times New Roman"/>
          <w:szCs w:val="24"/>
          <w:shd w:val="clear" w:color="auto" w:fill="FFFFFF"/>
        </w:rPr>
        <w:t xml:space="preserve"> d’une modification substantielle ou non</w:t>
      </w:r>
      <w:r w:rsidR="00162729" w:rsidRPr="00E72418">
        <w:rPr>
          <w:rFonts w:cs="Times New Roman"/>
          <w:szCs w:val="24"/>
          <w:shd w:val="clear" w:color="auto" w:fill="FFFFFF"/>
        </w:rPr>
        <w:t xml:space="preserve">, d’autre part, </w:t>
      </w:r>
      <w:r w:rsidRPr="00E72418">
        <w:rPr>
          <w:rFonts w:cs="Times New Roman"/>
          <w:szCs w:val="24"/>
          <w:shd w:val="clear" w:color="auto" w:fill="FFFFFF"/>
        </w:rPr>
        <w:t>de termes fondamentaux ou non</w:t>
      </w:r>
      <w:r w:rsidRPr="00E72418">
        <w:rPr>
          <w:rStyle w:val="Appelnotedebasdep"/>
          <w:rFonts w:cs="Times New Roman"/>
          <w:szCs w:val="24"/>
          <w:shd w:val="clear" w:color="auto" w:fill="FFFFFF"/>
        </w:rPr>
        <w:footnoteReference w:id="1833"/>
      </w:r>
      <w:r w:rsidRPr="00E72418">
        <w:rPr>
          <w:rFonts w:cs="Times New Roman"/>
          <w:szCs w:val="24"/>
          <w:shd w:val="clear" w:color="auto" w:fill="FFFFFF"/>
        </w:rPr>
        <w:t>.</w:t>
      </w:r>
    </w:p>
    <w:p w14:paraId="0AE8CABC" w14:textId="41EACB52" w:rsidR="00B5557E" w:rsidRPr="00E72418" w:rsidRDefault="000A07C9" w:rsidP="00CC4BA8">
      <w:pPr>
        <w:spacing w:line="276" w:lineRule="auto"/>
        <w:rPr>
          <w:rFonts w:cs="Times New Roman"/>
          <w:szCs w:val="24"/>
          <w:shd w:val="clear" w:color="auto" w:fill="FFFFFF"/>
        </w:rPr>
      </w:pPr>
      <w:r w:rsidRPr="00E72418">
        <w:rPr>
          <w:szCs w:val="24"/>
        </w:rPr>
        <w:t>L’article 60.I.3°. de la loi Sapin II reprend la troisième condition à l’application du mécanisme mis en place par le législateur français</w:t>
      </w:r>
      <w:r w:rsidR="00EE7C16" w:rsidRPr="00E72418">
        <w:rPr>
          <w:szCs w:val="24"/>
        </w:rPr>
        <w:t>. Il</w:t>
      </w:r>
      <w:r w:rsidRPr="00E72418">
        <w:rPr>
          <w:szCs w:val="24"/>
        </w:rPr>
        <w:t xml:space="preserve"> dispose que </w:t>
      </w:r>
      <w:r w:rsidRPr="00E72418">
        <w:rPr>
          <w:rFonts w:cs="Times New Roman"/>
          <w:szCs w:val="24"/>
          <w:shd w:val="clear" w:color="auto" w:fill="FFFFFF"/>
        </w:rPr>
        <w:t>« </w:t>
      </w:r>
      <w:r w:rsidRPr="00E72418">
        <w:rPr>
          <w:rFonts w:cs="Times New Roman"/>
        </w:rPr>
        <w:t>[l]</w:t>
      </w:r>
      <w:r w:rsidRPr="00E72418">
        <w:rPr>
          <w:rFonts w:cs="Times New Roman"/>
          <w:szCs w:val="24"/>
          <w:shd w:val="clear" w:color="auto" w:fill="FFFFFF"/>
        </w:rPr>
        <w:t xml:space="preserve">a situation de défaut sur le titre de créance date de moins de quarante-huit mois au moment où le détenteur du titre de créance sollicite du juge une ordonnance sur requête l’autorisant à pratiquer une mesure d’exécution forcée ou une mesure conservatoire, </w:t>
      </w:r>
      <w:r w:rsidRPr="00E72418">
        <w:rPr>
          <w:rFonts w:cs="Times New Roman"/>
          <w:i/>
          <w:szCs w:val="24"/>
          <w:shd w:val="clear" w:color="auto" w:fill="FFFFFF"/>
        </w:rPr>
        <w:t>ou</w:t>
      </w:r>
      <w:r w:rsidRPr="00E72418">
        <w:rPr>
          <w:rFonts w:cs="Times New Roman"/>
          <w:szCs w:val="24"/>
          <w:shd w:val="clear" w:color="auto" w:fill="FFFFFF"/>
        </w:rPr>
        <w:t xml:space="preserve"> la première proposition de modification des termes du titre de créance date de moins de quarante-huit mois au moment où le détenteur du titre de créance sollicite du juge une ordonnance sur requête l’autorisant à pratiquer une mesure d’exécution forcée ou une mesure conservatoire, </w:t>
      </w:r>
      <w:r w:rsidRPr="00E72418">
        <w:rPr>
          <w:rFonts w:cs="Times New Roman"/>
          <w:i/>
          <w:szCs w:val="24"/>
          <w:shd w:val="clear" w:color="auto" w:fill="FFFFFF"/>
        </w:rPr>
        <w:t>ou</w:t>
      </w:r>
      <w:r w:rsidRPr="00E72418">
        <w:rPr>
          <w:rFonts w:cs="Times New Roman"/>
          <w:szCs w:val="24"/>
          <w:shd w:val="clear" w:color="auto" w:fill="FFFFFF"/>
        </w:rPr>
        <w:t xml:space="preserve"> </w:t>
      </w:r>
      <w:r w:rsidRPr="00E72418">
        <w:rPr>
          <w:szCs w:val="24"/>
        </w:rPr>
        <w:t>une proposition de modification, applicable au titre de créance, a été acceptée par des créan</w:t>
      </w:r>
      <w:r w:rsidR="006637ED" w:rsidRPr="00E72418">
        <w:rPr>
          <w:szCs w:val="24"/>
        </w:rPr>
        <w:t>ciers représentant au moins 66 pourcents</w:t>
      </w:r>
      <w:r w:rsidRPr="00E72418">
        <w:rPr>
          <w:szCs w:val="24"/>
        </w:rPr>
        <w:t xml:space="preserve"> du montant en principal des créances éligibles, indépendamment du seuil requis, le cas échéant, pour l’entrée en vigueur</w:t>
      </w:r>
      <w:r w:rsidRPr="00E72418">
        <w:rPr>
          <w:rFonts w:cs="Times New Roman"/>
          <w:szCs w:val="24"/>
          <w:shd w:val="clear" w:color="auto" w:fill="FFFFFF"/>
        </w:rPr>
        <w:t> »</w:t>
      </w:r>
      <w:r w:rsidRPr="00E72418">
        <w:rPr>
          <w:rStyle w:val="Appelnotedebasdep"/>
          <w:rFonts w:cs="Times New Roman"/>
          <w:szCs w:val="24"/>
          <w:shd w:val="clear" w:color="auto" w:fill="FFFFFF"/>
        </w:rPr>
        <w:footnoteReference w:id="1834"/>
      </w:r>
      <w:r w:rsidR="00D04C6A" w:rsidRPr="00E72418">
        <w:rPr>
          <w:rFonts w:cs="Times New Roman"/>
          <w:szCs w:val="24"/>
          <w:shd w:val="clear" w:color="auto" w:fill="FFFFFF"/>
        </w:rPr>
        <w:t>. L’article 60.II. de la loi Sapin II prévoit que les deux limites de délai de quarante-huit mois peuvent être portées par le juge à soixante-douze mois en cas de « comportement manifestement abusif du détenteur du titre de créance »</w:t>
      </w:r>
      <w:r w:rsidR="00D04C6A" w:rsidRPr="00E72418">
        <w:rPr>
          <w:rStyle w:val="Appelnotedebasdep"/>
          <w:rFonts w:cs="Times New Roman"/>
          <w:szCs w:val="24"/>
          <w:shd w:val="clear" w:color="auto" w:fill="FFFFFF"/>
        </w:rPr>
        <w:footnoteReference w:id="1835"/>
      </w:r>
      <w:r w:rsidR="007031D0" w:rsidRPr="00E72418">
        <w:rPr>
          <w:rFonts w:cs="Times New Roman"/>
          <w:szCs w:val="24"/>
          <w:shd w:val="clear" w:color="auto" w:fill="FFFFFF"/>
          <w:vertAlign w:val="superscript"/>
        </w:rPr>
        <w:t>,</w:t>
      </w:r>
      <w:r w:rsidR="00D04C6A" w:rsidRPr="00E72418">
        <w:rPr>
          <w:rStyle w:val="Appelnotedebasdep"/>
          <w:rFonts w:cs="Times New Roman"/>
          <w:szCs w:val="24"/>
          <w:shd w:val="clear" w:color="auto" w:fill="FFFFFF"/>
        </w:rPr>
        <w:footnoteReference w:id="1836"/>
      </w:r>
      <w:r w:rsidR="00D04C6A" w:rsidRPr="00E72418">
        <w:rPr>
          <w:rFonts w:cs="Times New Roman"/>
          <w:szCs w:val="24"/>
          <w:shd w:val="clear" w:color="auto" w:fill="FFFFFF"/>
        </w:rPr>
        <w:t>.</w:t>
      </w:r>
      <w:r w:rsidR="00ED6880" w:rsidRPr="00E72418">
        <w:rPr>
          <w:rFonts w:cs="Times New Roman"/>
          <w:szCs w:val="24"/>
          <w:shd w:val="clear" w:color="auto" w:fill="FFFFFF"/>
        </w:rPr>
        <w:t xml:space="preserve"> </w:t>
      </w:r>
      <w:r w:rsidRPr="00E72418">
        <w:rPr>
          <w:rFonts w:cs="Times New Roman"/>
          <w:szCs w:val="24"/>
          <w:shd w:val="clear" w:color="auto" w:fill="FFFFFF"/>
        </w:rPr>
        <w:t xml:space="preserve">La condition de la date de la situation de défaut posée par l’article 60.I.3°., </w:t>
      </w:r>
      <w:r w:rsidRPr="00E72418">
        <w:rPr>
          <w:rFonts w:cs="Times New Roman"/>
          <w:i/>
          <w:szCs w:val="24"/>
          <w:shd w:val="clear" w:color="auto" w:fill="FFFFFF"/>
        </w:rPr>
        <w:t>in limine</w:t>
      </w:r>
      <w:r w:rsidRPr="00E72418">
        <w:rPr>
          <w:rFonts w:cs="Times New Roman"/>
          <w:szCs w:val="24"/>
          <w:shd w:val="clear" w:color="auto" w:fill="FFFFFF"/>
        </w:rPr>
        <w:t xml:space="preserve">, vise à lutter contre l’objectif de rapidité du retour sur investissement du fonds créancier tandis que la condition temporelle de la première proposition de modification des termes du titre de créance vise à donner à l’État débiteur du temps pour conduire une négociation en vue de restructurer sa </w:t>
      </w:r>
      <w:r w:rsidRPr="00E72418">
        <w:rPr>
          <w:rFonts w:cs="Times New Roman"/>
          <w:szCs w:val="24"/>
          <w:shd w:val="clear" w:color="auto" w:fill="FFFFFF"/>
        </w:rPr>
        <w:lastRenderedPageBreak/>
        <w:t>dette</w:t>
      </w:r>
      <w:r w:rsidRPr="00E72418">
        <w:rPr>
          <w:rStyle w:val="Appelnotedebasdep"/>
          <w:rFonts w:cs="Times New Roman"/>
          <w:szCs w:val="24"/>
          <w:shd w:val="clear" w:color="auto" w:fill="FFFFFF"/>
        </w:rPr>
        <w:footnoteReference w:id="1837"/>
      </w:r>
      <w:r w:rsidR="00092741" w:rsidRPr="00E72418">
        <w:rPr>
          <w:rFonts w:cs="Times New Roman"/>
          <w:szCs w:val="24"/>
          <w:shd w:val="clear" w:color="auto" w:fill="FFFFFF"/>
          <w:vertAlign w:val="superscript"/>
        </w:rPr>
        <w:t>,</w:t>
      </w:r>
      <w:r w:rsidR="00573D6D" w:rsidRPr="00E72418">
        <w:rPr>
          <w:rStyle w:val="Appelnotedebasdep"/>
          <w:rFonts w:cs="Times New Roman"/>
          <w:szCs w:val="24"/>
          <w:shd w:val="clear" w:color="auto" w:fill="FFFFFF"/>
        </w:rPr>
        <w:footnoteReference w:id="1838"/>
      </w:r>
      <w:r w:rsidRPr="00E72418">
        <w:rPr>
          <w:rFonts w:cs="Times New Roman"/>
          <w:szCs w:val="24"/>
          <w:shd w:val="clear" w:color="auto" w:fill="FFFFFF"/>
        </w:rPr>
        <w:t>. Avec la condition, prévue à l</w:t>
      </w:r>
      <w:r w:rsidRPr="00E72418">
        <w:rPr>
          <w:szCs w:val="24"/>
        </w:rPr>
        <w:t xml:space="preserve">’article 60.I.3°., </w:t>
      </w:r>
      <w:r w:rsidRPr="00E72418">
        <w:rPr>
          <w:i/>
          <w:szCs w:val="24"/>
        </w:rPr>
        <w:t>in fine</w:t>
      </w:r>
      <w:r w:rsidRPr="00E72418">
        <w:rPr>
          <w:szCs w:val="24"/>
        </w:rPr>
        <w:t>,</w:t>
      </w:r>
      <w:r w:rsidRPr="00E72418">
        <w:rPr>
          <w:rFonts w:cs="Times New Roman"/>
          <w:szCs w:val="24"/>
          <w:shd w:val="clear" w:color="auto" w:fill="FFFFFF"/>
        </w:rPr>
        <w:t xml:space="preserve"> de la situation où une proposition de modification applicable au titre de créance a été acceptée par des créa</w:t>
      </w:r>
      <w:r w:rsidR="00221608" w:rsidRPr="00E72418">
        <w:rPr>
          <w:rFonts w:cs="Times New Roman"/>
          <w:szCs w:val="24"/>
          <w:shd w:val="clear" w:color="auto" w:fill="FFFFFF"/>
        </w:rPr>
        <w:t>nciers représentant au moins soixante-six</w:t>
      </w:r>
      <w:r w:rsidR="006637ED" w:rsidRPr="00E72418">
        <w:rPr>
          <w:rFonts w:cs="Times New Roman"/>
          <w:szCs w:val="24"/>
          <w:shd w:val="clear" w:color="auto" w:fill="FFFFFF"/>
        </w:rPr>
        <w:t xml:space="preserve"> pour</w:t>
      </w:r>
      <w:r w:rsidR="007C22BA" w:rsidRPr="00E72418">
        <w:rPr>
          <w:rFonts w:cs="Times New Roman"/>
          <w:szCs w:val="24"/>
          <w:shd w:val="clear" w:color="auto" w:fill="FFFFFF"/>
        </w:rPr>
        <w:t xml:space="preserve"> </w:t>
      </w:r>
      <w:r w:rsidR="006637ED" w:rsidRPr="00E72418">
        <w:rPr>
          <w:rFonts w:cs="Times New Roman"/>
          <w:szCs w:val="24"/>
          <w:shd w:val="clear" w:color="auto" w:fill="FFFFFF"/>
        </w:rPr>
        <w:t>cen</w:t>
      </w:r>
      <w:r w:rsidR="007C22BA" w:rsidRPr="00E72418">
        <w:rPr>
          <w:rFonts w:cs="Times New Roman"/>
          <w:szCs w:val="24"/>
          <w:shd w:val="clear" w:color="auto" w:fill="FFFFFF"/>
        </w:rPr>
        <w:t>t</w:t>
      </w:r>
      <w:r w:rsidRPr="00E72418">
        <w:rPr>
          <w:rFonts w:cs="Times New Roman"/>
          <w:szCs w:val="24"/>
          <w:shd w:val="clear" w:color="auto" w:fill="FFFFFF"/>
        </w:rPr>
        <w:t xml:space="preserve"> du montant en principal des créances éligibles</w:t>
      </w:r>
      <w:r w:rsidR="00E7089C" w:rsidRPr="00E72418">
        <w:rPr>
          <w:rFonts w:cs="Times New Roman"/>
          <w:szCs w:val="24"/>
          <w:shd w:val="clear" w:color="auto" w:fill="FFFFFF"/>
        </w:rPr>
        <w:t>, peu importe en réalité qu’elle soit entrée en vigueur</w:t>
      </w:r>
      <w:r w:rsidRPr="00E72418">
        <w:rPr>
          <w:szCs w:val="24"/>
        </w:rPr>
        <w:t xml:space="preserve">, </w:t>
      </w:r>
      <w:r w:rsidRPr="00E72418">
        <w:rPr>
          <w:rFonts w:cs="Times New Roman"/>
          <w:szCs w:val="24"/>
          <w:shd w:val="clear" w:color="auto" w:fill="FFFFFF"/>
        </w:rPr>
        <w:t>le législateur français entend lutter contre la stratégie du passager clandestin que pratiquerait le fonds créancier</w:t>
      </w:r>
      <w:r w:rsidRPr="00E72418">
        <w:rPr>
          <w:rStyle w:val="Appelnotedebasdep"/>
          <w:rFonts w:cs="Times New Roman"/>
          <w:szCs w:val="24"/>
          <w:shd w:val="clear" w:color="auto" w:fill="FFFFFF"/>
        </w:rPr>
        <w:footnoteReference w:id="1839"/>
      </w:r>
      <w:r w:rsidRPr="00E72418">
        <w:rPr>
          <w:rFonts w:cs="Times New Roman"/>
          <w:szCs w:val="24"/>
          <w:shd w:val="clear" w:color="auto" w:fill="FFFFFF"/>
        </w:rPr>
        <w:t xml:space="preserve">. Comme cela fut </w:t>
      </w:r>
      <w:r w:rsidR="00AB51CE" w:rsidRPr="00E72418">
        <w:rPr>
          <w:rFonts w:cs="Times New Roman"/>
          <w:szCs w:val="24"/>
          <w:shd w:val="clear" w:color="auto" w:fill="FFFFFF"/>
        </w:rPr>
        <w:t xml:space="preserve">souligné </w:t>
      </w:r>
      <w:r w:rsidRPr="00E72418">
        <w:rPr>
          <w:rFonts w:cs="Times New Roman"/>
          <w:szCs w:val="24"/>
          <w:shd w:val="clear" w:color="auto" w:fill="FFFFFF"/>
        </w:rPr>
        <w:t>à l’Assemblée nationale par Dominique Potier parlant d’</w:t>
      </w:r>
      <w:r w:rsidR="00074247" w:rsidRPr="00E72418">
        <w:rPr>
          <w:rFonts w:cs="Times New Roman"/>
          <w:szCs w:val="24"/>
          <w:shd w:val="clear" w:color="auto" w:fill="FFFFFF"/>
        </w:rPr>
        <w:t xml:space="preserve"> </w:t>
      </w:r>
      <w:r w:rsidRPr="00E72418">
        <w:rPr>
          <w:rFonts w:cs="Times New Roman"/>
          <w:szCs w:val="24"/>
          <w:shd w:val="clear" w:color="auto" w:fill="FFFFFF"/>
        </w:rPr>
        <w:t>« innovation française », « dès lors qu’au moins deux tiers des créanciers s’organisent pour mettre en œuvre une restructuration de la dette, leur solution s’imposera aux fonds vautours, mettant ainsi fin à leurs pratiques rapaces »</w:t>
      </w:r>
      <w:r w:rsidRPr="00E72418">
        <w:rPr>
          <w:rStyle w:val="Appelnotedebasdep"/>
          <w:rFonts w:cs="Times New Roman"/>
          <w:szCs w:val="24"/>
          <w:shd w:val="clear" w:color="auto" w:fill="FFFFFF"/>
        </w:rPr>
        <w:footnoteReference w:id="1840"/>
      </w:r>
      <w:r w:rsidR="00B15148" w:rsidRPr="00E72418">
        <w:rPr>
          <w:rFonts w:cs="Times New Roman"/>
          <w:szCs w:val="24"/>
          <w:shd w:val="clear" w:color="auto" w:fill="FFFFFF"/>
          <w:vertAlign w:val="superscript"/>
        </w:rPr>
        <w:t>,</w:t>
      </w:r>
      <w:r w:rsidRPr="00E72418">
        <w:rPr>
          <w:rStyle w:val="Appelnotedebasdep"/>
          <w:rFonts w:cs="Times New Roman"/>
          <w:szCs w:val="24"/>
          <w:shd w:val="clear" w:color="auto" w:fill="FFFFFF"/>
        </w:rPr>
        <w:footnoteReference w:id="1841"/>
      </w:r>
      <w:r w:rsidRPr="00E72418">
        <w:rPr>
          <w:rFonts w:cs="Times New Roman"/>
          <w:szCs w:val="24"/>
          <w:shd w:val="clear" w:color="auto" w:fill="FFFFFF"/>
        </w:rPr>
        <w:t>.</w:t>
      </w:r>
    </w:p>
    <w:p w14:paraId="3DF6C8E7" w14:textId="77777777" w:rsidR="00413D5A" w:rsidRPr="00E72418" w:rsidRDefault="00413D5A" w:rsidP="00CC4BA8">
      <w:pPr>
        <w:spacing w:line="276" w:lineRule="auto"/>
        <w:rPr>
          <w:rFonts w:cs="Times New Roman"/>
          <w:szCs w:val="24"/>
          <w:shd w:val="clear" w:color="auto" w:fill="FFFFFF"/>
        </w:rPr>
      </w:pPr>
    </w:p>
    <w:p w14:paraId="092CE0B6" w14:textId="0A45556B" w:rsidR="0047277A" w:rsidRPr="00E72418" w:rsidRDefault="004469AC" w:rsidP="00CC4BA8">
      <w:pPr>
        <w:spacing w:line="276" w:lineRule="auto"/>
        <w:rPr>
          <w:shd w:val="clear" w:color="auto" w:fill="FFFFFF"/>
        </w:rPr>
      </w:pPr>
      <w:bookmarkStart w:id="424" w:name="_Toc37777417"/>
      <w:r w:rsidRPr="00E72418">
        <w:rPr>
          <w:b/>
          <w:shd w:val="clear" w:color="auto" w:fill="FFFFFF"/>
        </w:rPr>
        <w:t>370</w:t>
      </w:r>
      <w:r w:rsidR="00817D62" w:rsidRPr="00E72418">
        <w:rPr>
          <w:b/>
          <w:shd w:val="clear" w:color="auto" w:fill="FFFFFF"/>
        </w:rPr>
        <w:t xml:space="preserve">. </w:t>
      </w:r>
      <w:r w:rsidR="005F6F52" w:rsidRPr="00E72418">
        <w:rPr>
          <w:b/>
          <w:shd w:val="clear" w:color="auto" w:fill="FFFFFF"/>
        </w:rPr>
        <w:t>L’autorisation judiciaire préalable</w:t>
      </w:r>
      <w:bookmarkEnd w:id="424"/>
      <w:r w:rsidR="004959D2" w:rsidRPr="00E72418">
        <w:rPr>
          <w:b/>
          <w:shd w:val="clear" w:color="auto" w:fill="FFFFFF"/>
        </w:rPr>
        <w:t xml:space="preserve"> </w:t>
      </w:r>
      <w:r w:rsidR="00DA38E4" w:rsidRPr="00E72418">
        <w:rPr>
          <w:b/>
        </w:rPr>
        <w:t>–</w:t>
      </w:r>
      <w:r w:rsidR="005F6F52" w:rsidRPr="00E72418">
        <w:t xml:space="preserve"> </w:t>
      </w:r>
      <w:r w:rsidR="005F6F52" w:rsidRPr="00E72418">
        <w:rPr>
          <w:shd w:val="clear" w:color="auto" w:fill="FFFFFF"/>
        </w:rPr>
        <w:t xml:space="preserve">L’article 60 </w:t>
      </w:r>
      <w:r w:rsidR="00FD180B" w:rsidRPr="00E72418">
        <w:rPr>
          <w:shd w:val="clear" w:color="auto" w:fill="FFFFFF"/>
        </w:rPr>
        <w:t xml:space="preserve">de la loi </w:t>
      </w:r>
      <w:r w:rsidR="00FD180B" w:rsidRPr="00E72418">
        <w:t>du 9 décembre 2016 relative à la transparence, à la lutte contre la corruption et à la modernisation de la vie économique</w:t>
      </w:r>
      <w:r w:rsidR="00FD180B" w:rsidRPr="00E72418">
        <w:rPr>
          <w:shd w:val="clear" w:color="auto" w:fill="FFFFFF"/>
        </w:rPr>
        <w:t xml:space="preserve"> </w:t>
      </w:r>
      <w:r w:rsidR="005F6F52" w:rsidRPr="00E72418">
        <w:rPr>
          <w:shd w:val="clear" w:color="auto" w:fill="FFFFFF"/>
        </w:rPr>
        <w:t>ren</w:t>
      </w:r>
      <w:r w:rsidR="004A1C1D" w:rsidRPr="00E72418">
        <w:rPr>
          <w:shd w:val="clear" w:color="auto" w:fill="FFFFFF"/>
        </w:rPr>
        <w:t>voie à l’article L. 111-1-1 du C</w:t>
      </w:r>
      <w:r w:rsidR="005F6F52" w:rsidRPr="00E72418">
        <w:rPr>
          <w:shd w:val="clear" w:color="auto" w:fill="FFFFFF"/>
        </w:rPr>
        <w:t xml:space="preserve">ode des procédures civiles d’exécution </w:t>
      </w:r>
      <w:r w:rsidR="005F6F52" w:rsidRPr="00E72418">
        <w:t>qui dispose que « [d]</w:t>
      </w:r>
      <w:r w:rsidR="005F6F52" w:rsidRPr="00E72418">
        <w:rPr>
          <w:shd w:val="clear" w:color="auto" w:fill="FFFFFF"/>
        </w:rPr>
        <w:t xml:space="preserve">es mesures </w:t>
      </w:r>
      <w:r w:rsidR="00197328" w:rsidRPr="00E72418">
        <w:rPr>
          <w:shd w:val="clear" w:color="auto" w:fill="FFFFFF"/>
        </w:rPr>
        <w:t>conservatoires ou des mesures d’</w:t>
      </w:r>
      <w:r w:rsidR="005F6F52" w:rsidRPr="00E72418">
        <w:rPr>
          <w:shd w:val="clear" w:color="auto" w:fill="FFFFFF"/>
        </w:rPr>
        <w:t xml:space="preserve">exécution forcée ne peuvent être mises en </w:t>
      </w:r>
      <w:r w:rsidR="005F6F52" w:rsidRPr="00E72418">
        <w:rPr>
          <w:shd w:val="clear" w:color="auto" w:fill="FFFFFF"/>
        </w:rPr>
        <w:lastRenderedPageBreak/>
        <w:t>œuvre sur un bien appartenant à un État étranger que sur autorisation préalable du juge par ordonnance rendue sur requête »</w:t>
      </w:r>
      <w:r w:rsidR="005F6F52" w:rsidRPr="00E72418">
        <w:t>.</w:t>
      </w:r>
      <w:r w:rsidR="00CE4045" w:rsidRPr="00E72418">
        <w:rPr>
          <w:shd w:val="clear" w:color="auto" w:fill="FFFFFF"/>
        </w:rPr>
        <w:t xml:space="preserve"> L</w:t>
      </w:r>
      <w:r w:rsidR="005F6F52" w:rsidRPr="00E72418">
        <w:rPr>
          <w:shd w:val="clear" w:color="auto" w:fill="FFFFFF"/>
        </w:rPr>
        <w:t>’autorisation préalable du juge par ordonnance rendue sur requête</w:t>
      </w:r>
      <w:r w:rsidR="00433A00" w:rsidRPr="00E72418">
        <w:rPr>
          <w:shd w:val="clear" w:color="auto" w:fill="FFFFFF"/>
        </w:rPr>
        <w:t>, qui n’est pas prévue par le droit international,</w:t>
      </w:r>
      <w:r w:rsidR="005F6F52" w:rsidRPr="00E72418">
        <w:rPr>
          <w:shd w:val="clear" w:color="auto" w:fill="FFFFFF"/>
        </w:rPr>
        <w:t xml:space="preserve"> vise à introduire un filtre aux demandes des créanciers afin de limiter les saisies abusives</w:t>
      </w:r>
      <w:r w:rsidR="00433A00" w:rsidRPr="00E72418">
        <w:rPr>
          <w:rStyle w:val="Appelnotedebasdep"/>
          <w:shd w:val="clear" w:color="auto" w:fill="FFFFFF"/>
        </w:rPr>
        <w:footnoteReference w:id="1842"/>
      </w:r>
      <w:r w:rsidR="00880AE0" w:rsidRPr="00E72418">
        <w:rPr>
          <w:shd w:val="clear" w:color="auto" w:fill="FFFFFF"/>
        </w:rPr>
        <w:t>.</w:t>
      </w:r>
    </w:p>
    <w:p w14:paraId="75F48A4D" w14:textId="157AE2AF" w:rsidR="00925915" w:rsidRPr="00E72418" w:rsidRDefault="00925915" w:rsidP="00CC4BA8">
      <w:pPr>
        <w:spacing w:line="276" w:lineRule="auto"/>
        <w:rPr>
          <w:shd w:val="clear" w:color="auto" w:fill="FFFFFF"/>
        </w:rPr>
      </w:pPr>
      <w:r w:rsidRPr="00E72418">
        <w:rPr>
          <w:shd w:val="clear" w:color="auto" w:fill="FFFFFF"/>
        </w:rPr>
        <w:t>Le juge est amené à prendre sa décision à l’issue d’une procédure non contradictoire dont l’État débiteur est absent</w:t>
      </w:r>
      <w:r w:rsidRPr="00E72418">
        <w:rPr>
          <w:rStyle w:val="Appelnotedebasdep"/>
          <w:shd w:val="clear" w:color="auto" w:fill="FFFFFF"/>
        </w:rPr>
        <w:footnoteReference w:id="1843"/>
      </w:r>
      <w:r w:rsidRPr="00E72418">
        <w:rPr>
          <w:shd w:val="clear" w:color="auto" w:fill="FFFFFF"/>
        </w:rPr>
        <w:t>. Le juge de l’exécution est saisi sur r</w:t>
      </w:r>
      <w:r w:rsidR="00197328" w:rsidRPr="00E72418">
        <w:rPr>
          <w:shd w:val="clear" w:color="auto" w:fill="FFFFFF"/>
        </w:rPr>
        <w:t xml:space="preserve">equête du créancier poursuivant, créancier </w:t>
      </w:r>
      <w:r w:rsidRPr="00E72418">
        <w:t>à qui il semble revenir d’identifier le bien sur lequel il souhaite que soient mises en œuvre les mesures de contrainte</w:t>
      </w:r>
      <w:r w:rsidRPr="00E72418">
        <w:rPr>
          <w:rStyle w:val="Appelnotedebasdep"/>
          <w:rFonts w:cs="Times New Roman"/>
          <w:szCs w:val="24"/>
        </w:rPr>
        <w:footnoteReference w:id="1844"/>
      </w:r>
      <w:r w:rsidRPr="00E72418">
        <w:rPr>
          <w:shd w:val="clear" w:color="auto" w:fill="FFFFFF"/>
        </w:rPr>
        <w:t xml:space="preserve">. La décision du juge de l’exécution est rendue non contradictoirement par application du régime de droit commun de l’ordonnance sur </w:t>
      </w:r>
      <w:r w:rsidRPr="00E72418">
        <w:rPr>
          <w:shd w:val="clear" w:color="auto" w:fill="FFFFFF"/>
        </w:rPr>
        <w:lastRenderedPageBreak/>
        <w:t>requête</w:t>
      </w:r>
      <w:r w:rsidRPr="00E72418">
        <w:rPr>
          <w:rStyle w:val="Appelnotedebasdep"/>
          <w:shd w:val="clear" w:color="auto" w:fill="FFFFFF"/>
        </w:rPr>
        <w:footnoteReference w:id="1845"/>
      </w:r>
      <w:r w:rsidR="00413D5A" w:rsidRPr="00E72418">
        <w:rPr>
          <w:shd w:val="clear" w:color="auto" w:fill="FFFFFF"/>
          <w:vertAlign w:val="superscript"/>
        </w:rPr>
        <w:t>,</w:t>
      </w:r>
      <w:r w:rsidRPr="00E72418">
        <w:rPr>
          <w:rStyle w:val="Appelnotedebasdep"/>
          <w:shd w:val="clear" w:color="auto" w:fill="FFFFFF"/>
        </w:rPr>
        <w:footnoteReference w:id="1846"/>
      </w:r>
      <w:r w:rsidRPr="00E72418">
        <w:rPr>
          <w:shd w:val="clear" w:color="auto" w:fill="FFFFFF"/>
        </w:rPr>
        <w:t xml:space="preserve">. </w:t>
      </w:r>
      <w:r w:rsidRPr="00E72418">
        <w:t>L’</w:t>
      </w:r>
      <w:r w:rsidRPr="00E72418">
        <w:rPr>
          <w:shd w:val="clear" w:color="auto" w:fill="FFFFFF"/>
        </w:rPr>
        <w:t>É</w:t>
      </w:r>
      <w:r w:rsidRPr="00E72418">
        <w:t>tat débiteur à l’encontre duquel une mesure de contrainte a été autorisée peut exercer un recours contradictoire contre l’ordonnance rendue sur requête. L’ali</w:t>
      </w:r>
      <w:r w:rsidR="004A1C1D" w:rsidRPr="00E72418">
        <w:t>néa 2 de l’article R. 111-6 du C</w:t>
      </w:r>
      <w:r w:rsidRPr="00E72418">
        <w:t xml:space="preserve">ode des procédures civiles d’exécution dispose ainsi que </w:t>
      </w:r>
      <w:r w:rsidRPr="00E72418">
        <w:rPr>
          <w:shd w:val="clear" w:color="auto" w:fill="FFFFFF"/>
        </w:rPr>
        <w:t>s’il est fait droit à la requête, tout intéressé peut en référer au juge qui a rendu l’ordonnance, lequel peut modifier ou rétracter celle-ci. Notons finalement qu’i</w:t>
      </w:r>
      <w:r w:rsidRPr="00E72418">
        <w:t>l re</w:t>
      </w:r>
      <w:r w:rsidR="004A1C1D" w:rsidRPr="00E72418">
        <w:t xml:space="preserve">ssort de l’article R. 111-1 du </w:t>
      </w:r>
      <w:r w:rsidR="000C73D1" w:rsidRPr="00E72418">
        <w:t>même c</w:t>
      </w:r>
      <w:r w:rsidRPr="00E72418">
        <w:t>ode que l</w:t>
      </w:r>
      <w:r w:rsidRPr="00E72418">
        <w:rPr>
          <w:shd w:val="clear" w:color="auto" w:fill="FFFFFF"/>
        </w:rPr>
        <w:t xml:space="preserve">e juge de l’exécution du tribunal </w:t>
      </w:r>
      <w:r w:rsidR="000C73D1" w:rsidRPr="00E72418">
        <w:rPr>
          <w:shd w:val="clear" w:color="auto" w:fill="FFFFFF"/>
        </w:rPr>
        <w:t>judiciaire</w:t>
      </w:r>
      <w:r w:rsidRPr="00E72418">
        <w:rPr>
          <w:shd w:val="clear" w:color="auto" w:fill="FFFFFF"/>
        </w:rPr>
        <w:t xml:space="preserve"> de Paris est seul compétent pour statuer sur la demande d’autorisation prévue à l’article L. 111-1-1</w:t>
      </w:r>
      <w:r w:rsidRPr="00E72418">
        <w:rPr>
          <w:rStyle w:val="Appelnotedebasdep"/>
          <w:rFonts w:cs="Times New Roman"/>
          <w:szCs w:val="24"/>
          <w:shd w:val="clear" w:color="auto" w:fill="FFFFFF"/>
        </w:rPr>
        <w:footnoteReference w:id="1847"/>
      </w:r>
      <w:r w:rsidRPr="00E72418">
        <w:rPr>
          <w:shd w:val="clear" w:color="auto" w:fill="FFFFFF"/>
        </w:rPr>
        <w:t xml:space="preserve">. Sans doute, la centralisation </w:t>
      </w:r>
      <w:r w:rsidR="000C73D1" w:rsidRPr="00E72418">
        <w:rPr>
          <w:shd w:val="clear" w:color="auto" w:fill="FFFFFF"/>
        </w:rPr>
        <w:t>de l’exécution à l’égard des États étrangers</w:t>
      </w:r>
      <w:r w:rsidRPr="00E72418">
        <w:rPr>
          <w:shd w:val="clear" w:color="auto" w:fill="FFFFFF"/>
        </w:rPr>
        <w:t xml:space="preserve"> auprès d’une </w:t>
      </w:r>
      <w:r w:rsidR="000C73D1" w:rsidRPr="00E72418">
        <w:rPr>
          <w:shd w:val="clear" w:color="auto" w:fill="FFFFFF"/>
        </w:rPr>
        <w:t xml:space="preserve">seule et </w:t>
      </w:r>
      <w:r w:rsidRPr="00E72418">
        <w:rPr>
          <w:shd w:val="clear" w:color="auto" w:fill="FFFFFF"/>
        </w:rPr>
        <w:t xml:space="preserve">unique juridiction l’est dans un souci d’assurer l’uniformité de la jurisprudence et la spécialisation des juges amenés à trancher le contentieux </w:t>
      </w:r>
      <w:r w:rsidR="000C73D1" w:rsidRPr="00E72418">
        <w:rPr>
          <w:shd w:val="clear" w:color="auto" w:fill="FFFFFF"/>
        </w:rPr>
        <w:t>singulier</w:t>
      </w:r>
      <w:r w:rsidRPr="00E72418">
        <w:rPr>
          <w:rStyle w:val="Appelnotedebasdep"/>
          <w:rFonts w:cs="Times New Roman"/>
          <w:szCs w:val="24"/>
          <w:shd w:val="clear" w:color="auto" w:fill="FFFFFF"/>
        </w:rPr>
        <w:footnoteReference w:id="1848"/>
      </w:r>
      <w:r w:rsidRPr="00E72418">
        <w:rPr>
          <w:shd w:val="clear" w:color="auto" w:fill="FFFFFF"/>
        </w:rPr>
        <w:t>.</w:t>
      </w:r>
      <w:r w:rsidR="00DF61A2" w:rsidRPr="00E72418">
        <w:rPr>
          <w:shd w:val="clear" w:color="auto" w:fill="FFFFFF"/>
        </w:rPr>
        <w:t xml:space="preserve"> L’objectif de prévisibilité est également avancé</w:t>
      </w:r>
      <w:r w:rsidR="00DF61A2" w:rsidRPr="00E72418">
        <w:rPr>
          <w:rStyle w:val="Appelnotedebasdep"/>
          <w:shd w:val="clear" w:color="auto" w:fill="FFFFFF"/>
        </w:rPr>
        <w:footnoteReference w:id="1849"/>
      </w:r>
      <w:r w:rsidR="00DF61A2" w:rsidRPr="00E72418">
        <w:rPr>
          <w:shd w:val="clear" w:color="auto" w:fill="FFFFFF"/>
        </w:rPr>
        <w:t>.</w:t>
      </w:r>
    </w:p>
    <w:p w14:paraId="416A9A91" w14:textId="0597D073" w:rsidR="005F6F52" w:rsidRPr="00E72418" w:rsidRDefault="005F6F52" w:rsidP="00CC4BA8">
      <w:pPr>
        <w:spacing w:line="276" w:lineRule="auto"/>
      </w:pPr>
      <w:r w:rsidRPr="00E72418">
        <w:t>L’exigence du passage par le juge, préalable à la mise en œuvre de toute mesure de contrainte, fut une importante pierre d’achoppement lors des travaux préparatoires de la loi Sapin II</w:t>
      </w:r>
      <w:r w:rsidR="00410B0F" w:rsidRPr="00E72418">
        <w:rPr>
          <w:rStyle w:val="Appelnotedebasdep"/>
        </w:rPr>
        <w:footnoteReference w:id="1850"/>
      </w:r>
      <w:r w:rsidRPr="00E72418">
        <w:t xml:space="preserve">. </w:t>
      </w:r>
      <w:r w:rsidR="00F60681" w:rsidRPr="00E72418">
        <w:t>D’une part, d</w:t>
      </w:r>
      <w:r w:rsidR="00077A41" w:rsidRPr="00E72418">
        <w:rPr>
          <w:iCs/>
        </w:rPr>
        <w:t xml:space="preserve">u côté des détracteurs, </w:t>
      </w:r>
      <w:r w:rsidR="00CE4045" w:rsidRPr="00E72418">
        <w:rPr>
          <w:iCs/>
        </w:rPr>
        <w:t xml:space="preserve">cette autorisation </w:t>
      </w:r>
      <w:r w:rsidR="00077A41" w:rsidRPr="00E72418">
        <w:rPr>
          <w:iCs/>
        </w:rPr>
        <w:t xml:space="preserve">était jugée comme </w:t>
      </w:r>
      <w:r w:rsidR="00CA430D" w:rsidRPr="00E72418">
        <w:rPr>
          <w:iCs/>
        </w:rPr>
        <w:t xml:space="preserve">portant </w:t>
      </w:r>
      <w:r w:rsidR="00077A41" w:rsidRPr="00E72418">
        <w:rPr>
          <w:iCs/>
        </w:rPr>
        <w:t xml:space="preserve">une </w:t>
      </w:r>
      <w:r w:rsidR="00CE4045" w:rsidRPr="00E72418">
        <w:rPr>
          <w:iCs/>
        </w:rPr>
        <w:t>atteinte</w:t>
      </w:r>
      <w:r w:rsidRPr="00E72418">
        <w:rPr>
          <w:iCs/>
        </w:rPr>
        <w:t xml:space="preserve"> manifestement excessive </w:t>
      </w:r>
      <w:r w:rsidR="00CE4045" w:rsidRPr="00E72418">
        <w:rPr>
          <w:iCs/>
        </w:rPr>
        <w:t xml:space="preserve">au droit des créanciers </w:t>
      </w:r>
      <w:r w:rsidRPr="00E72418">
        <w:rPr>
          <w:iCs/>
        </w:rPr>
        <w:t>ainsi qu’au droit d’obtenir l’exécution des décisions juridictionnelles</w:t>
      </w:r>
      <w:r w:rsidRPr="00E72418">
        <w:rPr>
          <w:rStyle w:val="Appelnotedebasdep"/>
          <w:rFonts w:cs="Times New Roman"/>
          <w:szCs w:val="24"/>
        </w:rPr>
        <w:footnoteReference w:id="1851"/>
      </w:r>
      <w:r w:rsidR="00077A41" w:rsidRPr="00E72418">
        <w:rPr>
          <w:iCs/>
        </w:rPr>
        <w:t>.</w:t>
      </w:r>
      <w:r w:rsidR="00CE4045" w:rsidRPr="00E72418">
        <w:rPr>
          <w:iCs/>
        </w:rPr>
        <w:t xml:space="preserve"> </w:t>
      </w:r>
      <w:r w:rsidR="00077A41" w:rsidRPr="00E72418">
        <w:rPr>
          <w:iCs/>
        </w:rPr>
        <w:t xml:space="preserve">Certains critiquaient ainsi une contrariété à la Constitution </w:t>
      </w:r>
      <w:r w:rsidR="00077A41" w:rsidRPr="00E72418">
        <w:rPr>
          <w:iCs/>
        </w:rPr>
        <w:lastRenderedPageBreak/>
        <w:t>française</w:t>
      </w:r>
      <w:r w:rsidR="00077A41" w:rsidRPr="00E72418">
        <w:rPr>
          <w:rStyle w:val="Appelnotedebasdep"/>
        </w:rPr>
        <w:footnoteReference w:id="1852"/>
      </w:r>
      <w:r w:rsidR="00077A41" w:rsidRPr="00E72418">
        <w:rPr>
          <w:iCs/>
        </w:rPr>
        <w:t>, d</w:t>
      </w:r>
      <w:r w:rsidRPr="00E72418">
        <w:rPr>
          <w:shd w:val="clear" w:color="auto" w:fill="FFFFFF"/>
        </w:rPr>
        <w:t xml:space="preserve">’autres faisaient valoir que </w:t>
      </w:r>
      <w:r w:rsidRPr="00E72418">
        <w:rPr>
          <w:rFonts w:eastAsia="Times New Roman"/>
          <w:lang w:eastAsia="fr-BE"/>
        </w:rPr>
        <w:t xml:space="preserve">l’article envisagé semblait en contradiction avec la Convention des Nations Unies du 2 décembre 2004 </w:t>
      </w:r>
      <w:r w:rsidRPr="00E72418">
        <w:rPr>
          <w:shd w:val="clear" w:color="auto" w:fill="FFFFFF"/>
        </w:rPr>
        <w:t>sur l</w:t>
      </w:r>
      <w:r w:rsidR="00C452CF" w:rsidRPr="00E72418">
        <w:rPr>
          <w:shd w:val="clear" w:color="auto" w:fill="FFFFFF"/>
        </w:rPr>
        <w:t>’</w:t>
      </w:r>
      <w:r w:rsidRPr="00E72418">
        <w:rPr>
          <w:shd w:val="clear" w:color="auto" w:fill="FFFFFF"/>
        </w:rPr>
        <w:t>immunité juridictionnelle des États et de leurs biens</w:t>
      </w:r>
      <w:r w:rsidRPr="00E72418">
        <w:rPr>
          <w:rStyle w:val="Appelnotedebasdep"/>
          <w:rFonts w:eastAsia="Times New Roman" w:cs="Times New Roman"/>
          <w:szCs w:val="24"/>
          <w:lang w:eastAsia="fr-BE"/>
        </w:rPr>
        <w:footnoteReference w:id="1853"/>
      </w:r>
      <w:r w:rsidRPr="00E72418">
        <w:rPr>
          <w:rFonts w:eastAsia="Times New Roman"/>
          <w:lang w:eastAsia="fr-BE"/>
        </w:rPr>
        <w:t xml:space="preserve">. </w:t>
      </w:r>
      <w:r w:rsidRPr="00E72418">
        <w:t>Du côté de ceux s’opposant à l’autorisation préalable</w:t>
      </w:r>
      <w:r w:rsidR="00F60681" w:rsidRPr="00E72418">
        <w:t xml:space="preserve"> toujours</w:t>
      </w:r>
      <w:r w:rsidRPr="00E72418">
        <w:t>, on argumentait encore qu’elle était</w:t>
      </w:r>
      <w:r w:rsidRPr="00E72418">
        <w:rPr>
          <w:shd w:val="clear" w:color="auto" w:fill="FFFFFF"/>
        </w:rPr>
        <w:t xml:space="preserve"> incompatible avec la mise en œuvre de mesures d’exécution urgentes</w:t>
      </w:r>
      <w:r w:rsidRPr="00E72418">
        <w:rPr>
          <w:rStyle w:val="Appelnotedebasdep"/>
          <w:rFonts w:cs="Times New Roman"/>
          <w:shd w:val="clear" w:color="auto" w:fill="FFFFFF"/>
        </w:rPr>
        <w:footnoteReference w:id="1854"/>
      </w:r>
      <w:r w:rsidRPr="00E72418">
        <w:rPr>
          <w:shd w:val="clear" w:color="auto" w:fill="FFFFFF"/>
        </w:rPr>
        <w:t xml:space="preserve">. </w:t>
      </w:r>
      <w:r w:rsidR="00077A41" w:rsidRPr="00E72418">
        <w:rPr>
          <w:shd w:val="clear" w:color="auto" w:fill="FFFFFF"/>
        </w:rPr>
        <w:t xml:space="preserve">L’argument se justifiait par le fait qu’en pratique, </w:t>
      </w:r>
      <w:r w:rsidR="00077A41" w:rsidRPr="00E72418">
        <w:t xml:space="preserve">le créancier doit formuler, en vue de l’autorisation, </w:t>
      </w:r>
      <w:r w:rsidRPr="00E72418">
        <w:t>une demande étayée qui</w:t>
      </w:r>
      <w:r w:rsidR="00077A41" w:rsidRPr="00E72418">
        <w:t xml:space="preserve"> prend</w:t>
      </w:r>
      <w:r w:rsidRPr="00E72418">
        <w:t xml:space="preserve"> du temps à êtr</w:t>
      </w:r>
      <w:r w:rsidR="00077A41" w:rsidRPr="00E72418">
        <w:t>e bâtie et examinée par le juge</w:t>
      </w:r>
      <w:r w:rsidRPr="00E72418">
        <w:rPr>
          <w:rStyle w:val="Appelnotedebasdep"/>
        </w:rPr>
        <w:footnoteReference w:id="1855"/>
      </w:r>
      <w:r w:rsidRPr="00E72418">
        <w:t xml:space="preserve">. </w:t>
      </w:r>
      <w:r w:rsidRPr="00E72418">
        <w:rPr>
          <w:shd w:val="clear" w:color="auto" w:fill="FFFFFF"/>
        </w:rPr>
        <w:t xml:space="preserve">La critique </w:t>
      </w:r>
      <w:r w:rsidR="006908EB" w:rsidRPr="00E72418">
        <w:rPr>
          <w:shd w:val="clear" w:color="auto" w:fill="FFFFFF"/>
        </w:rPr>
        <w:t xml:space="preserve">de l’autorisation </w:t>
      </w:r>
      <w:r w:rsidR="00576C93" w:rsidRPr="00E72418">
        <w:rPr>
          <w:shd w:val="clear" w:color="auto" w:fill="FFFFFF"/>
        </w:rPr>
        <w:t xml:space="preserve">judiciaire préalable </w:t>
      </w:r>
      <w:r w:rsidRPr="00E72418">
        <w:rPr>
          <w:shd w:val="clear" w:color="auto" w:fill="FFFFFF"/>
        </w:rPr>
        <w:t xml:space="preserve">portait finalement sur le fait que la </w:t>
      </w:r>
      <w:r w:rsidRPr="00E72418">
        <w:rPr>
          <w:shd w:val="clear" w:color="auto" w:fill="FFFFFF"/>
        </w:rPr>
        <w:lastRenderedPageBreak/>
        <w:t xml:space="preserve">contrainte imposée au créancier permettrait aux États débiteurs d’aménager, à leur convenance, la gestion de leurs actifs, </w:t>
      </w:r>
      <w:r w:rsidR="0090174B" w:rsidRPr="00E72418">
        <w:rPr>
          <w:shd w:val="clear" w:color="auto" w:fill="FFFFFF"/>
        </w:rPr>
        <w:t>afin de</w:t>
      </w:r>
      <w:r w:rsidRPr="00E72418">
        <w:rPr>
          <w:shd w:val="clear" w:color="auto" w:fill="FFFFFF"/>
        </w:rPr>
        <w:t xml:space="preserve"> faire échapper ces </w:t>
      </w:r>
      <w:r w:rsidR="00722A05" w:rsidRPr="00E72418">
        <w:rPr>
          <w:shd w:val="clear" w:color="auto" w:fill="FFFFFF"/>
        </w:rPr>
        <w:t xml:space="preserve">derniers </w:t>
      </w:r>
      <w:r w:rsidRPr="00E72418">
        <w:rPr>
          <w:shd w:val="clear" w:color="auto" w:fill="FFFFFF"/>
        </w:rPr>
        <w:t>à toute saisie</w:t>
      </w:r>
      <w:r w:rsidRPr="00E72418">
        <w:rPr>
          <w:rStyle w:val="Appelnotedebasdep"/>
          <w:rFonts w:cs="Times New Roman"/>
          <w:shd w:val="clear" w:color="auto" w:fill="FFFFFF"/>
        </w:rPr>
        <w:footnoteReference w:id="1856"/>
      </w:r>
      <w:r w:rsidR="00E27FE2" w:rsidRPr="00E72418">
        <w:rPr>
          <w:shd w:val="clear" w:color="auto" w:fill="FFFFFF"/>
        </w:rPr>
        <w:t>.</w:t>
      </w:r>
      <w:r w:rsidR="00880AE0" w:rsidRPr="00E72418">
        <w:rPr>
          <w:rFonts w:eastAsia="Times New Roman"/>
          <w:lang w:eastAsia="fr-BE"/>
        </w:rPr>
        <w:t xml:space="preserve"> </w:t>
      </w:r>
      <w:r w:rsidRPr="00E72418">
        <w:t>D’autre part, d</w:t>
      </w:r>
      <w:r w:rsidRPr="00E72418">
        <w:rPr>
          <w:rFonts w:eastAsia="Times New Roman"/>
          <w:lang w:eastAsia="fr-BE"/>
        </w:rPr>
        <w:t>u côté de ceux soutenant l’autorisation judiciaire préalable, outre les arguments ayant conduit à poser originairement cette exigen</w:t>
      </w:r>
      <w:r w:rsidR="00F60681" w:rsidRPr="00E72418">
        <w:rPr>
          <w:rFonts w:eastAsia="Times New Roman"/>
          <w:lang w:eastAsia="fr-BE"/>
        </w:rPr>
        <w:t xml:space="preserve">ce, on faisait valoir qu’ </w:t>
      </w:r>
      <w:r w:rsidRPr="00E72418">
        <w:t xml:space="preserve">« [a]fin d’éviter les contentieux, coûteux pour toutes les parties impliquées, les mesures conservatoires ou les mesures d’exécution </w:t>
      </w:r>
      <w:r w:rsidR="00F60681" w:rsidRPr="00E72418">
        <w:t>[</w:t>
      </w:r>
      <w:r w:rsidR="00F60681" w:rsidRPr="00E72418">
        <w:rPr>
          <w:shd w:val="clear" w:color="auto" w:fill="FFFFFF"/>
        </w:rPr>
        <w:t>forcée</w:t>
      </w:r>
      <w:r w:rsidR="00F60681" w:rsidRPr="00E72418">
        <w:t>]</w:t>
      </w:r>
      <w:r w:rsidRPr="00E72418">
        <w:t xml:space="preserve"> ne pourront être mises en œuvre que sur autorisation préalable du juge de l’exécution, saisi sur requête, qui vérifiera que les conditions […] sont réunies […] »</w:t>
      </w:r>
      <w:r w:rsidRPr="00E72418">
        <w:rPr>
          <w:rStyle w:val="Appelnotedebasdep"/>
          <w:rFonts w:cs="Times New Roman"/>
          <w:szCs w:val="24"/>
        </w:rPr>
        <w:footnoteReference w:id="1857"/>
      </w:r>
      <w:r w:rsidRPr="00E72418">
        <w:t>.</w:t>
      </w:r>
      <w:r w:rsidR="00880AE0" w:rsidRPr="00E72418">
        <w:rPr>
          <w:rFonts w:eastAsia="Times New Roman"/>
          <w:lang w:eastAsia="fr-BE"/>
        </w:rPr>
        <w:t xml:space="preserve"> </w:t>
      </w:r>
      <w:r w:rsidRPr="00E72418">
        <w:t>Lors des disc</w:t>
      </w:r>
      <w:r w:rsidR="00533D9C" w:rsidRPr="00E72418">
        <w:t>ussions au Sénat, le ministre Michel</w:t>
      </w:r>
      <w:r w:rsidRPr="00E72418">
        <w:t xml:space="preserve"> Sapin argumenta en faveur de l’autorisation judiciaire préalable en indiquant que « [l]e problème est celui de l’efficacité. Aujourd’hui, certains créanciers qui savent que leur demande n’est pas forcement tout à fait légitime ou solide la mettent néanmoins en œuvre par le biais d’huissiers ne connaissant pas forcément l’ensemble des subtilités du droit international. Au bout du compte, plusieurs mois après, ils sont déboutés. Mais, entre le moment où ils font fermer tel ou tel consulat ou saisir tel ou tel bien et celui où la justice remet les choses en ordre, le créancier s’est trouvé en situation de force pour discuter avec l’État concerné. Cela ne nous paraît pas être une bonne chose. Pour des raisons d’efficacité, il nous semble préférable d’avoir un contrôle préalable du juge, qui dira s’il lui paraît ou non légitime de faire jouer les dispositions permettant de protéger les biens diplomatiques ». Le ministre releva ensuite, lors de l’échange avec ses contradicteurs, que « [n]ous avons la volonté d’essayer d’être efficaces et d’éviter des situations extrêmement dommageables au bon fonctionnement d’un certain nombre d’États dans leur présence sur notre territoire »</w:t>
      </w:r>
      <w:r w:rsidRPr="00E72418">
        <w:rPr>
          <w:rStyle w:val="Appelnotedebasdep"/>
          <w:rFonts w:cs="Times New Roman"/>
          <w:szCs w:val="24"/>
        </w:rPr>
        <w:footnoteReference w:id="1858"/>
      </w:r>
      <w:r w:rsidRPr="00E72418">
        <w:t xml:space="preserve">. </w:t>
      </w:r>
    </w:p>
    <w:p w14:paraId="31B88A6A" w14:textId="77777777" w:rsidR="00925915" w:rsidRPr="00E72418" w:rsidRDefault="00925915" w:rsidP="00CC4BA8">
      <w:pPr>
        <w:spacing w:line="276" w:lineRule="auto"/>
      </w:pPr>
    </w:p>
    <w:p w14:paraId="0FA2C0E7" w14:textId="38E39508" w:rsidR="004324D0" w:rsidRPr="00E72418" w:rsidRDefault="00817D62" w:rsidP="00CC4BA8">
      <w:pPr>
        <w:spacing w:line="276" w:lineRule="auto"/>
        <w:rPr>
          <w:shd w:val="clear" w:color="auto" w:fill="FFFFFF"/>
        </w:rPr>
      </w:pPr>
      <w:r w:rsidRPr="00E72418">
        <w:rPr>
          <w:b/>
        </w:rPr>
        <w:t>3</w:t>
      </w:r>
      <w:r w:rsidR="004469AC" w:rsidRPr="00E72418">
        <w:rPr>
          <w:b/>
        </w:rPr>
        <w:t>71</w:t>
      </w:r>
      <w:r w:rsidR="00712571" w:rsidRPr="00E72418">
        <w:rPr>
          <w:b/>
        </w:rPr>
        <w:t>.</w:t>
      </w:r>
      <w:r w:rsidRPr="00E72418">
        <w:rPr>
          <w:b/>
        </w:rPr>
        <w:t xml:space="preserve"> </w:t>
      </w:r>
      <w:r w:rsidR="00925915" w:rsidRPr="00E72418">
        <w:rPr>
          <w:b/>
        </w:rPr>
        <w:t>L’obligation de transparence –</w:t>
      </w:r>
      <w:r w:rsidR="004324D0" w:rsidRPr="00E72418">
        <w:t xml:space="preserve"> Aux fins de</w:t>
      </w:r>
      <w:r w:rsidR="00925915" w:rsidRPr="00E72418">
        <w:t xml:space="preserve"> bonne information du juge ayant à donner son autorisation aux mesures de contrainte</w:t>
      </w:r>
      <w:r w:rsidR="004324D0" w:rsidRPr="00E72418">
        <w:t xml:space="preserve"> sollicitées par le créancier</w:t>
      </w:r>
      <w:r w:rsidR="00925915" w:rsidRPr="00E72418">
        <w:t>, la dernière disposition de l’article 6</w:t>
      </w:r>
      <w:r w:rsidR="004324D0" w:rsidRPr="00E72418">
        <w:t xml:space="preserve">0 de la loi Sapin II prévoit qu’il revient à ce créancier, </w:t>
      </w:r>
      <w:r w:rsidR="00925915" w:rsidRPr="00E72418">
        <w:rPr>
          <w:shd w:val="clear" w:color="auto" w:fill="FFFFFF"/>
        </w:rPr>
        <w:t>détenteur du titre de créance</w:t>
      </w:r>
      <w:r w:rsidR="004324D0" w:rsidRPr="00E72418">
        <w:rPr>
          <w:shd w:val="clear" w:color="auto" w:fill="FFFFFF"/>
        </w:rPr>
        <w:t>, de</w:t>
      </w:r>
      <w:r w:rsidR="00925915" w:rsidRPr="00E72418">
        <w:rPr>
          <w:shd w:val="clear" w:color="auto" w:fill="FFFFFF"/>
        </w:rPr>
        <w:t xml:space="preserve"> communique</w:t>
      </w:r>
      <w:r w:rsidR="004324D0" w:rsidRPr="00E72418">
        <w:rPr>
          <w:shd w:val="clear" w:color="auto" w:fill="FFFFFF"/>
        </w:rPr>
        <w:t xml:space="preserve">r </w:t>
      </w:r>
      <w:r w:rsidR="00925915" w:rsidRPr="00E72418">
        <w:rPr>
          <w:shd w:val="clear" w:color="auto" w:fill="FFFFFF"/>
        </w:rPr>
        <w:t>l’acte par lequel il a acquis la créance à raison de laquelle il demande une mesur</w:t>
      </w:r>
      <w:r w:rsidR="004324D0" w:rsidRPr="00E72418">
        <w:rPr>
          <w:shd w:val="clear" w:color="auto" w:fill="FFFFFF"/>
        </w:rPr>
        <w:t xml:space="preserve">e </w:t>
      </w:r>
      <w:r w:rsidR="00925915" w:rsidRPr="00E72418">
        <w:rPr>
          <w:shd w:val="clear" w:color="auto" w:fill="FFFFFF"/>
        </w:rPr>
        <w:t xml:space="preserve">et </w:t>
      </w:r>
      <w:r w:rsidR="004324D0" w:rsidRPr="00E72418">
        <w:rPr>
          <w:shd w:val="clear" w:color="auto" w:fill="FFFFFF"/>
        </w:rPr>
        <w:t>de faire</w:t>
      </w:r>
      <w:r w:rsidR="00925915" w:rsidRPr="00E72418">
        <w:rPr>
          <w:shd w:val="clear" w:color="auto" w:fill="FFFFFF"/>
        </w:rPr>
        <w:t xml:space="preserve"> connaître la date et l’intégralité des conditions financières de l’acquisition</w:t>
      </w:r>
      <w:r w:rsidR="004324D0" w:rsidRPr="00E72418">
        <w:rPr>
          <w:shd w:val="clear" w:color="auto" w:fill="FFFFFF"/>
        </w:rPr>
        <w:t>. Ces documents et données doivent être fournis à peine d’irrecevabilité</w:t>
      </w:r>
      <w:r w:rsidR="00925915" w:rsidRPr="00E72418">
        <w:rPr>
          <w:shd w:val="clear" w:color="auto" w:fill="FFFFFF"/>
        </w:rPr>
        <w:t> </w:t>
      </w:r>
      <w:r w:rsidR="004324D0" w:rsidRPr="00E72418">
        <w:rPr>
          <w:shd w:val="clear" w:color="auto" w:fill="FFFFFF"/>
        </w:rPr>
        <w:t>de la demande. La disposition prévoit encore que c</w:t>
      </w:r>
      <w:r w:rsidR="00925915" w:rsidRPr="00E72418">
        <w:rPr>
          <w:shd w:val="clear" w:color="auto" w:fill="FFFFFF"/>
        </w:rPr>
        <w:t xml:space="preserve">es informations </w:t>
      </w:r>
      <w:r w:rsidR="004324D0" w:rsidRPr="00E72418">
        <w:rPr>
          <w:shd w:val="clear" w:color="auto" w:fill="FFFFFF"/>
        </w:rPr>
        <w:t>doivent être</w:t>
      </w:r>
      <w:r w:rsidR="00925915" w:rsidRPr="00E72418">
        <w:rPr>
          <w:shd w:val="clear" w:color="auto" w:fill="FFFFFF"/>
        </w:rPr>
        <w:t xml:space="preserve"> certifiées pa</w:t>
      </w:r>
      <w:r w:rsidR="004324D0" w:rsidRPr="00E72418">
        <w:rPr>
          <w:shd w:val="clear" w:color="auto" w:fill="FFFFFF"/>
        </w:rPr>
        <w:t>r un commissaire aux comptes</w:t>
      </w:r>
      <w:r w:rsidR="00925915" w:rsidRPr="00E72418">
        <w:rPr>
          <w:shd w:val="clear" w:color="auto" w:fill="FFFFFF"/>
        </w:rPr>
        <w:t xml:space="preserve">. </w:t>
      </w:r>
    </w:p>
    <w:p w14:paraId="3F2FD6DC" w14:textId="5393BC67" w:rsidR="00FE1596" w:rsidRPr="00E72418" w:rsidRDefault="00925915" w:rsidP="00712571">
      <w:pPr>
        <w:spacing w:line="276" w:lineRule="auto"/>
        <w:rPr>
          <w:shd w:val="clear" w:color="auto" w:fill="FFFFFF"/>
        </w:rPr>
      </w:pPr>
      <w:r w:rsidRPr="00E72418">
        <w:rPr>
          <w:shd w:val="clear" w:color="auto" w:fill="FFFFFF"/>
        </w:rPr>
        <w:t>L’on comprend, à l’analyse des travaux préparatoires de la loi Sapin II</w:t>
      </w:r>
      <w:r w:rsidRPr="00E72418">
        <w:rPr>
          <w:lang w:eastAsia="fr-BE"/>
        </w:rPr>
        <w:t>,</w:t>
      </w:r>
      <w:r w:rsidRPr="00E72418">
        <w:rPr>
          <w:shd w:val="clear" w:color="auto" w:fill="FFFFFF"/>
        </w:rPr>
        <w:t xml:space="preserve"> que cette exigence imposée au créancier de verser aux débats les documents par lesquels il a acquis ses droits contre l’État étranger vise à améliorer la transparence des opérations et à permettre au juge d’apprécier la nature du comportement du créancier et de mesurer le gain qu’il recherche</w:t>
      </w:r>
      <w:r w:rsidRPr="00E72418">
        <w:rPr>
          <w:rStyle w:val="Appelnotedebasdep"/>
          <w:szCs w:val="24"/>
          <w:shd w:val="clear" w:color="auto" w:fill="FFFFFF"/>
        </w:rPr>
        <w:footnoteReference w:id="1859"/>
      </w:r>
      <w:r w:rsidRPr="00E72418">
        <w:rPr>
          <w:shd w:val="clear" w:color="auto" w:fill="FFFFFF"/>
        </w:rPr>
        <w:t>.</w:t>
      </w:r>
      <w:bookmarkStart w:id="425" w:name="_Toc37777418"/>
      <w:bookmarkStart w:id="426" w:name="_Toc59281007"/>
    </w:p>
    <w:p w14:paraId="4144FBA7" w14:textId="73B7E60C" w:rsidR="005F6F52" w:rsidRPr="00E72418" w:rsidRDefault="008665DF" w:rsidP="00CC4BA8">
      <w:pPr>
        <w:pStyle w:val="DD"/>
        <w:spacing w:afterLines="60" w:after="144" w:line="276" w:lineRule="auto"/>
        <w:rPr>
          <w:shd w:val="clear" w:color="auto" w:fill="FFFFFF"/>
        </w:rPr>
      </w:pPr>
      <w:bookmarkStart w:id="427" w:name="_Toc84540998"/>
      <w:r w:rsidRPr="00E72418">
        <w:rPr>
          <w:shd w:val="clear" w:color="auto" w:fill="FFFFFF"/>
        </w:rPr>
        <w:lastRenderedPageBreak/>
        <w:t xml:space="preserve">Section 4 : </w:t>
      </w:r>
      <w:r w:rsidR="005F6F52" w:rsidRPr="00E72418">
        <w:rPr>
          <w:shd w:val="clear" w:color="auto" w:fill="FFFFFF"/>
        </w:rPr>
        <w:t xml:space="preserve">Les </w:t>
      </w:r>
      <w:r w:rsidR="0031548B" w:rsidRPr="00E72418">
        <w:rPr>
          <w:shd w:val="clear" w:color="auto" w:fill="FFFFFF"/>
        </w:rPr>
        <w:t>personnes</w:t>
      </w:r>
      <w:r w:rsidR="005F6F52" w:rsidRPr="00E72418">
        <w:rPr>
          <w:shd w:val="clear" w:color="auto" w:fill="FFFFFF"/>
        </w:rPr>
        <w:t xml:space="preserve"> </w:t>
      </w:r>
      <w:r w:rsidR="00557FD6" w:rsidRPr="00E72418">
        <w:rPr>
          <w:shd w:val="clear" w:color="auto" w:fill="FFFFFF"/>
        </w:rPr>
        <w:t xml:space="preserve">et les dettes </w:t>
      </w:r>
      <w:r w:rsidR="005F6F52" w:rsidRPr="00E72418">
        <w:rPr>
          <w:shd w:val="clear" w:color="auto" w:fill="FFFFFF"/>
        </w:rPr>
        <w:t>concerné</w:t>
      </w:r>
      <w:r w:rsidR="0031548B" w:rsidRPr="00E72418">
        <w:rPr>
          <w:shd w:val="clear" w:color="auto" w:fill="FFFFFF"/>
        </w:rPr>
        <w:t>e</w:t>
      </w:r>
      <w:r w:rsidR="005F6F52" w:rsidRPr="00E72418">
        <w:rPr>
          <w:shd w:val="clear" w:color="auto" w:fill="FFFFFF"/>
        </w:rPr>
        <w:t>s</w:t>
      </w:r>
      <w:bookmarkEnd w:id="425"/>
      <w:bookmarkEnd w:id="426"/>
      <w:bookmarkEnd w:id="427"/>
    </w:p>
    <w:p w14:paraId="0E770459" w14:textId="77777777" w:rsidR="0036555A" w:rsidRPr="00E72418" w:rsidRDefault="0036555A" w:rsidP="00CC4BA8">
      <w:pPr>
        <w:spacing w:line="276" w:lineRule="auto"/>
        <w:rPr>
          <w:shd w:val="clear" w:color="auto" w:fill="FFFFFF"/>
        </w:rPr>
      </w:pPr>
    </w:p>
    <w:p w14:paraId="06EE732C" w14:textId="53C501C2" w:rsidR="000A07C9" w:rsidRPr="00E72418" w:rsidRDefault="004469AC" w:rsidP="00CC4BA8">
      <w:pPr>
        <w:spacing w:line="276" w:lineRule="auto"/>
      </w:pPr>
      <w:r w:rsidRPr="00E72418">
        <w:rPr>
          <w:b/>
        </w:rPr>
        <w:t>372</w:t>
      </w:r>
      <w:r w:rsidR="00817D62" w:rsidRPr="00E72418">
        <w:rPr>
          <w:b/>
        </w:rPr>
        <w:t xml:space="preserve">. </w:t>
      </w:r>
      <w:r w:rsidR="00DA38E4" w:rsidRPr="00E72418">
        <w:rPr>
          <w:b/>
        </w:rPr>
        <w:t xml:space="preserve">Les débiteurs </w:t>
      </w:r>
      <w:r w:rsidR="00580319" w:rsidRPr="00E72418">
        <w:rPr>
          <w:b/>
        </w:rPr>
        <w:t xml:space="preserve">et les créanciers </w:t>
      </w:r>
      <w:r w:rsidR="00DA38E4" w:rsidRPr="00E72418">
        <w:rPr>
          <w:b/>
        </w:rPr>
        <w:t>concernés –</w:t>
      </w:r>
      <w:r w:rsidR="001828E7" w:rsidRPr="00E72418">
        <w:rPr>
          <w:szCs w:val="24"/>
        </w:rPr>
        <w:t xml:space="preserve"> </w:t>
      </w:r>
      <w:r w:rsidR="006B76EF" w:rsidRPr="00E72418">
        <w:rPr>
          <w:szCs w:val="24"/>
        </w:rPr>
        <w:t>La</w:t>
      </w:r>
      <w:r w:rsidR="000A07C9" w:rsidRPr="00E72418">
        <w:t xml:space="preserve"> caractérisation des activités prédatrices de</w:t>
      </w:r>
      <w:r w:rsidR="001828E7" w:rsidRPr="00E72418">
        <w:t>s</w:t>
      </w:r>
      <w:r w:rsidR="000A07C9" w:rsidRPr="00E72418">
        <w:t xml:space="preserve"> fonds spéculatifs que le législateur français entend contrer se fait essentiellement à l’endroit de la précision des débiteurs protégés par le mécanisme mis en place</w:t>
      </w:r>
      <w:r w:rsidR="006B76EF" w:rsidRPr="00E72418">
        <w:t xml:space="preserve"> par la loi Sapin II</w:t>
      </w:r>
      <w:r w:rsidR="000A07C9" w:rsidRPr="00E72418">
        <w:t>.</w:t>
      </w:r>
      <w:r w:rsidR="001828E7" w:rsidRPr="00E72418">
        <w:t xml:space="preserve"> </w:t>
      </w:r>
      <w:r w:rsidR="001828E7" w:rsidRPr="00E72418">
        <w:rPr>
          <w:szCs w:val="24"/>
        </w:rPr>
        <w:t>Ainsi, la condition reprise au 1° de la première disposition de l’article 60 est que l</w:t>
      </w:r>
      <w:r w:rsidR="001828E7" w:rsidRPr="00E72418">
        <w:rPr>
          <w:rFonts w:cs="Times New Roman"/>
          <w:szCs w:val="24"/>
          <w:shd w:val="clear" w:color="auto" w:fill="FFFFFF"/>
        </w:rPr>
        <w:t>’</w:t>
      </w:r>
      <w:r w:rsidR="001828E7" w:rsidRPr="00E72418">
        <w:rPr>
          <w:rFonts w:cs="Times New Roman"/>
          <w:shd w:val="clear" w:color="auto" w:fill="FFFFFF"/>
        </w:rPr>
        <w:t>É</w:t>
      </w:r>
      <w:r w:rsidR="001828E7" w:rsidRPr="00E72418">
        <w:rPr>
          <w:rFonts w:cs="Times New Roman"/>
          <w:szCs w:val="24"/>
          <w:shd w:val="clear" w:color="auto" w:fill="FFFFFF"/>
        </w:rPr>
        <w:t>tat étranger figurait sur la liste des bénéficiaires de l’aide publique a</w:t>
      </w:r>
      <w:r w:rsidR="00162729" w:rsidRPr="00E72418">
        <w:rPr>
          <w:rFonts w:cs="Times New Roman"/>
          <w:szCs w:val="24"/>
          <w:shd w:val="clear" w:color="auto" w:fill="FFFFFF"/>
        </w:rPr>
        <w:t>u développement établie par le C</w:t>
      </w:r>
      <w:r w:rsidR="001828E7" w:rsidRPr="00E72418">
        <w:rPr>
          <w:rFonts w:cs="Times New Roman"/>
          <w:szCs w:val="24"/>
          <w:shd w:val="clear" w:color="auto" w:fill="FFFFFF"/>
        </w:rPr>
        <w:t xml:space="preserve">omité de l’aide au développement de l’Organisation de coopération et de développement économiques lorsqu’il a émis le titre de créance. </w:t>
      </w:r>
      <w:r w:rsidR="009A5537" w:rsidRPr="00E72418">
        <w:rPr>
          <w:rFonts w:cs="Times New Roman"/>
          <w:szCs w:val="24"/>
        </w:rPr>
        <w:t>Le point 2° de l’article 60.I. précise</w:t>
      </w:r>
      <w:r w:rsidR="001828E7" w:rsidRPr="00E72418">
        <w:rPr>
          <w:rFonts w:cs="Times New Roman"/>
          <w:szCs w:val="24"/>
        </w:rPr>
        <w:t xml:space="preserve"> </w:t>
      </w:r>
      <w:r w:rsidR="009A5537" w:rsidRPr="00E72418">
        <w:rPr>
          <w:rFonts w:cs="Times New Roman"/>
          <w:szCs w:val="24"/>
        </w:rPr>
        <w:t>quant à lui</w:t>
      </w:r>
      <w:r w:rsidR="001828E7" w:rsidRPr="00E72418">
        <w:rPr>
          <w:rFonts w:cs="Times New Roman"/>
          <w:szCs w:val="24"/>
        </w:rPr>
        <w:t xml:space="preserve"> la situation qu’était celle de l’</w:t>
      </w:r>
      <w:r w:rsidR="001828E7" w:rsidRPr="00E72418">
        <w:rPr>
          <w:rFonts w:cs="Times New Roman"/>
          <w:szCs w:val="24"/>
          <w:shd w:val="clear" w:color="auto" w:fill="FFFFFF"/>
        </w:rPr>
        <w:t>É</w:t>
      </w:r>
      <w:r w:rsidR="001828E7" w:rsidRPr="00E72418">
        <w:rPr>
          <w:rFonts w:cs="Times New Roman"/>
          <w:szCs w:val="24"/>
        </w:rPr>
        <w:t>tat débiteur au moment de l</w:t>
      </w:r>
      <w:r w:rsidR="006B76EF" w:rsidRPr="00E72418">
        <w:rPr>
          <w:rFonts w:cs="Times New Roman"/>
          <w:szCs w:val="24"/>
        </w:rPr>
        <w:t>’acquisition du titre par le créancier poursuivant</w:t>
      </w:r>
      <w:r w:rsidR="001828E7" w:rsidRPr="00E72418">
        <w:rPr>
          <w:rStyle w:val="Appelnotedebasdep"/>
          <w:rFonts w:cs="Times New Roman"/>
          <w:szCs w:val="24"/>
        </w:rPr>
        <w:footnoteReference w:id="1860"/>
      </w:r>
      <w:r w:rsidR="001828E7" w:rsidRPr="00E72418">
        <w:rPr>
          <w:rFonts w:cs="Times New Roman"/>
          <w:szCs w:val="24"/>
        </w:rPr>
        <w:t>.</w:t>
      </w:r>
      <w:r w:rsidR="006B76EF" w:rsidRPr="00E72418">
        <w:rPr>
          <w:rFonts w:cs="Times New Roman"/>
          <w:szCs w:val="24"/>
        </w:rPr>
        <w:t xml:space="preserve"> Au vu des conditions posées, l</w:t>
      </w:r>
      <w:r w:rsidR="006B76EF" w:rsidRPr="00E72418">
        <w:rPr>
          <w:szCs w:val="24"/>
        </w:rPr>
        <w:t xml:space="preserve">’ensemble des </w:t>
      </w:r>
      <w:r w:rsidR="006B76EF" w:rsidRPr="00E72418">
        <w:rPr>
          <w:rFonts w:cs="Times New Roman"/>
          <w:szCs w:val="24"/>
          <w:shd w:val="clear" w:color="auto" w:fill="FFFFFF"/>
        </w:rPr>
        <w:t>É</w:t>
      </w:r>
      <w:r w:rsidR="006B76EF" w:rsidRPr="00E72418">
        <w:rPr>
          <w:szCs w:val="24"/>
        </w:rPr>
        <w:t xml:space="preserve">tats étrangers ne bénéficie donc pas du mécanisme protecteur mis en place par la loi </w:t>
      </w:r>
      <w:r w:rsidR="006B76EF" w:rsidRPr="00E72418">
        <w:t>n° 2016-1691 du 9 décembre 2016 relative à la transparence, à la lutte contre la corruption et à la modernisation de la vie économique</w:t>
      </w:r>
      <w:r w:rsidR="00580319" w:rsidRPr="00E72418">
        <w:t xml:space="preserve">. </w:t>
      </w:r>
      <w:r w:rsidR="005F6F52" w:rsidRPr="00E72418">
        <w:t xml:space="preserve">La disposition V de l’article 60 prévoit </w:t>
      </w:r>
      <w:r w:rsidR="00557FD6" w:rsidRPr="00E72418">
        <w:t xml:space="preserve">que </w:t>
      </w:r>
      <w:r w:rsidR="005F6F52" w:rsidRPr="00E72418">
        <w:t>sont assimilés à l’</w:t>
      </w:r>
      <w:r w:rsidR="005F6F52" w:rsidRPr="00E72418">
        <w:rPr>
          <w:rFonts w:cs="Times New Roman"/>
          <w:szCs w:val="24"/>
          <w:shd w:val="clear" w:color="auto" w:fill="FFFFFF"/>
        </w:rPr>
        <w:t>É</w:t>
      </w:r>
      <w:r w:rsidR="005F6F52" w:rsidRPr="00E72418">
        <w:t>tat étranger, l’</w:t>
      </w:r>
      <w:r w:rsidR="005F6F52" w:rsidRPr="00E72418">
        <w:rPr>
          <w:rFonts w:cs="Times New Roman"/>
          <w:szCs w:val="24"/>
          <w:shd w:val="clear" w:color="auto" w:fill="FFFFFF"/>
        </w:rPr>
        <w:t>É</w:t>
      </w:r>
      <w:r w:rsidR="005F6F52" w:rsidRPr="00E72418">
        <w:t xml:space="preserve">tat central, les </w:t>
      </w:r>
      <w:r w:rsidR="005F6F52" w:rsidRPr="00E72418">
        <w:rPr>
          <w:rFonts w:cs="Times New Roman"/>
          <w:szCs w:val="24"/>
          <w:shd w:val="clear" w:color="auto" w:fill="FFFFFF"/>
        </w:rPr>
        <w:t>É</w:t>
      </w:r>
      <w:r w:rsidR="005F6F52" w:rsidRPr="00E72418">
        <w:t>tats fédérés et leurs établissements publics</w:t>
      </w:r>
      <w:r w:rsidR="006B76EF" w:rsidRPr="00E72418">
        <w:rPr>
          <w:rStyle w:val="Appelnotedebasdep"/>
        </w:rPr>
        <w:footnoteReference w:id="1861"/>
      </w:r>
      <w:r w:rsidR="005F6F52" w:rsidRPr="00E72418">
        <w:t>.</w:t>
      </w:r>
      <w:r w:rsidR="001828E7" w:rsidRPr="00E72418">
        <w:t xml:space="preserve"> Cette extension </w:t>
      </w:r>
      <w:r w:rsidR="006B76EF" w:rsidRPr="00E72418">
        <w:t>p</w:t>
      </w:r>
      <w:r w:rsidR="001828E7" w:rsidRPr="00E72418">
        <w:t xml:space="preserve">ermet de renforcer l’efficacité du mécanisme anti-fonds spéculatifs dès lors que le contentieux de l’exécution </w:t>
      </w:r>
      <w:r w:rsidR="006B76EF" w:rsidRPr="00E72418">
        <w:t>peut impliquer d</w:t>
      </w:r>
      <w:r w:rsidR="003E382B" w:rsidRPr="00E72418">
        <w:t>es émanations de l’</w:t>
      </w:r>
      <w:r w:rsidR="003E382B" w:rsidRPr="00E72418">
        <w:rPr>
          <w:lang w:eastAsia="fr-BE"/>
        </w:rPr>
        <w:t>É</w:t>
      </w:r>
      <w:r w:rsidR="001828E7" w:rsidRPr="00E72418">
        <w:t>tat</w:t>
      </w:r>
      <w:r w:rsidR="001828E7" w:rsidRPr="00E72418">
        <w:rPr>
          <w:rStyle w:val="Appelnotedebasdep"/>
        </w:rPr>
        <w:footnoteReference w:id="1862"/>
      </w:r>
      <w:r w:rsidR="001828E7" w:rsidRPr="00E72418">
        <w:t>.</w:t>
      </w:r>
    </w:p>
    <w:p w14:paraId="04C5123D" w14:textId="5D84C911" w:rsidR="00C16511" w:rsidRPr="00E72418" w:rsidRDefault="00C16511" w:rsidP="00CC4BA8">
      <w:pPr>
        <w:spacing w:line="276" w:lineRule="auto"/>
      </w:pPr>
      <w:r w:rsidRPr="00E72418">
        <w:t xml:space="preserve">L’article 60 de la loi Sapin II vise à </w:t>
      </w:r>
      <w:r w:rsidR="00D84FB8" w:rsidRPr="00E72418">
        <w:t xml:space="preserve">régler </w:t>
      </w:r>
      <w:r w:rsidR="001828E7" w:rsidRPr="00E72418">
        <w:t>les actions posées par l</w:t>
      </w:r>
      <w:r w:rsidRPr="00E72418">
        <w:t xml:space="preserve">es </w:t>
      </w:r>
      <w:r w:rsidR="001828E7" w:rsidRPr="00E72418">
        <w:t xml:space="preserve">seuls </w:t>
      </w:r>
      <w:r w:rsidRPr="00E72418">
        <w:t>créanciers secondaires de dettes souveraines. Cela ressort clairement de la deuxième condition à l’application du mécanisme mis en place contenue au point I. 2° de l’article laquelle vise l</w:t>
      </w:r>
      <w:r w:rsidRPr="00E72418">
        <w:rPr>
          <w:rFonts w:cs="Times New Roman"/>
          <w:shd w:val="clear" w:color="auto" w:fill="FFFFFF"/>
        </w:rPr>
        <w:t>e détenteur du titre de créance ayant acquis ce titre alors que l’État étranger se trouvait en situation de défaut sur ce titre de créance ou avait proposé une modification des termes du titre.</w:t>
      </w:r>
      <w:r w:rsidR="003E382B" w:rsidRPr="00E72418">
        <w:t xml:space="preserve"> Dès lors que logiquement un </w:t>
      </w:r>
      <w:r w:rsidR="003E382B" w:rsidRPr="00E72418">
        <w:rPr>
          <w:lang w:eastAsia="fr-BE"/>
        </w:rPr>
        <w:t>É</w:t>
      </w:r>
      <w:r w:rsidRPr="00E72418">
        <w:t>tat</w:t>
      </w:r>
      <w:r w:rsidR="00580319" w:rsidRPr="00E72418">
        <w:t xml:space="preserve"> débiteur</w:t>
      </w:r>
      <w:r w:rsidRPr="00E72418">
        <w:t xml:space="preserve"> ne saurait être en défaut sur un titre ou en proposer la modification des termes dès son émission, l’on peut logiquement conclure que le créancier originaire n’es</w:t>
      </w:r>
      <w:r w:rsidR="00580319" w:rsidRPr="00E72418">
        <w:t>t pas visé par la règle anti-fonds spéculatifs française.</w:t>
      </w:r>
    </w:p>
    <w:p w14:paraId="17596AEE" w14:textId="77777777" w:rsidR="00C16511" w:rsidRPr="00E72418" w:rsidRDefault="00C16511" w:rsidP="00CC4BA8">
      <w:pPr>
        <w:spacing w:line="276" w:lineRule="auto"/>
      </w:pPr>
    </w:p>
    <w:p w14:paraId="5C67EBD9" w14:textId="70F35D9C" w:rsidR="00C16511" w:rsidRPr="00E72418" w:rsidRDefault="004469AC" w:rsidP="00CC4BA8">
      <w:pPr>
        <w:spacing w:line="276" w:lineRule="auto"/>
      </w:pPr>
      <w:r w:rsidRPr="00E72418">
        <w:rPr>
          <w:b/>
        </w:rPr>
        <w:t>373</w:t>
      </w:r>
      <w:r w:rsidR="00817D62" w:rsidRPr="00E72418">
        <w:rPr>
          <w:b/>
        </w:rPr>
        <w:t xml:space="preserve">. </w:t>
      </w:r>
      <w:r w:rsidR="00C16511" w:rsidRPr="00E72418">
        <w:rPr>
          <w:b/>
        </w:rPr>
        <w:t xml:space="preserve">Les dettes concernées – </w:t>
      </w:r>
      <w:r w:rsidR="00C16511" w:rsidRPr="00E72418">
        <w:t>Les types de créance</w:t>
      </w:r>
      <w:r w:rsidR="00450D4C" w:rsidRPr="00E72418">
        <w:t>s</w:t>
      </w:r>
      <w:r w:rsidR="00C16511" w:rsidRPr="00E72418">
        <w:t xml:space="preserve"> visés par le mécanisme mis en place sont nombreux. </w:t>
      </w:r>
      <w:r w:rsidR="00450D4C" w:rsidRPr="00E72418">
        <w:t>L’article 60.I.</w:t>
      </w:r>
      <w:r w:rsidR="00C16511" w:rsidRPr="00E72418">
        <w:t xml:space="preserve"> vise</w:t>
      </w:r>
      <w:r w:rsidR="00450D4C" w:rsidRPr="00E72418">
        <w:t xml:space="preserve"> </w:t>
      </w:r>
      <w:r w:rsidR="00C16511" w:rsidRPr="00E72418">
        <w:t>les « titre</w:t>
      </w:r>
      <w:r w:rsidR="00C16511" w:rsidRPr="00E72418">
        <w:rPr>
          <w:rFonts w:cs="Times New Roman"/>
        </w:rPr>
        <w:t>[s]</w:t>
      </w:r>
      <w:r w:rsidR="00C16511" w:rsidRPr="00E72418">
        <w:t xml:space="preserve"> de créance mentionné</w:t>
      </w:r>
      <w:r w:rsidR="00C16511" w:rsidRPr="00E72418">
        <w:rPr>
          <w:rFonts w:cs="Times New Roman"/>
        </w:rPr>
        <w:t>[s]</w:t>
      </w:r>
      <w:r w:rsidR="004A1C1D" w:rsidRPr="00E72418">
        <w:t xml:space="preserve"> à l’article </w:t>
      </w:r>
      <w:r w:rsidR="00580319" w:rsidRPr="00E72418">
        <w:t xml:space="preserve">L. </w:t>
      </w:r>
      <w:r w:rsidR="004A1C1D" w:rsidRPr="00E72418">
        <w:t>213-1 A du C</w:t>
      </w:r>
      <w:r w:rsidR="00C16511" w:rsidRPr="00E72418">
        <w:t>ode monétaire et financier »</w:t>
      </w:r>
      <w:r w:rsidR="00C16511" w:rsidRPr="00E72418">
        <w:rPr>
          <w:rStyle w:val="Appelnotedebasdep"/>
        </w:rPr>
        <w:footnoteReference w:id="1863"/>
      </w:r>
      <w:r w:rsidR="00450D4C" w:rsidRPr="00E72418">
        <w:t xml:space="preserve">. Au regard de la place de cet article dans un chapitre III intitulé </w:t>
      </w:r>
      <w:r w:rsidR="00450D4C" w:rsidRPr="00E72418">
        <w:lastRenderedPageBreak/>
        <w:t>« Des titres de créance »</w:t>
      </w:r>
      <w:r w:rsidR="00580319" w:rsidRPr="00E72418">
        <w:t xml:space="preserve"> du code précité</w:t>
      </w:r>
      <w:r w:rsidR="00450D4C" w:rsidRPr="00E72418">
        <w:t>, lequel englobe les titres de créances négociables, les obligations, les titres émis par l’</w:t>
      </w:r>
      <w:r w:rsidR="00450D4C" w:rsidRPr="00E72418">
        <w:rPr>
          <w:shd w:val="clear" w:color="auto" w:fill="FFFFFF"/>
        </w:rPr>
        <w:t>É</w:t>
      </w:r>
      <w:r w:rsidR="00450D4C" w:rsidRPr="00E72418">
        <w:t>tat et les titres participatifs, il peut être considéré que le législateur français a entendu conférer à l’article 60 un large champ d’application recouvrant tant des valeurs mobilières issues de la titrisation que des</w:t>
      </w:r>
      <w:r w:rsidR="003E382B" w:rsidRPr="00E72418">
        <w:t xml:space="preserve"> obligations ou des emprunts d’</w:t>
      </w:r>
      <w:r w:rsidR="003E382B" w:rsidRPr="00E72418">
        <w:rPr>
          <w:lang w:eastAsia="fr-BE"/>
        </w:rPr>
        <w:t>É</w:t>
      </w:r>
      <w:r w:rsidR="00450D4C" w:rsidRPr="00E72418">
        <w:t>tat et bons du trésor</w:t>
      </w:r>
      <w:r w:rsidR="00450D4C" w:rsidRPr="00E72418">
        <w:rPr>
          <w:rStyle w:val="Appelnotedebasdep"/>
          <w:shd w:val="clear" w:color="auto" w:fill="FFFFFF"/>
        </w:rPr>
        <w:footnoteReference w:id="1864"/>
      </w:r>
      <w:r w:rsidR="00450D4C" w:rsidRPr="00E72418">
        <w:t>. L’article 60.I. vis</w:t>
      </w:r>
      <w:r w:rsidR="00580319" w:rsidRPr="00E72418">
        <w:t>e</w:t>
      </w:r>
      <w:r w:rsidR="00450D4C" w:rsidRPr="00E72418">
        <w:t xml:space="preserve"> également</w:t>
      </w:r>
      <w:r w:rsidR="00C16511" w:rsidRPr="00E72418">
        <w:t xml:space="preserve"> « tout instrument ou droit mentionné à l’article </w:t>
      </w:r>
      <w:r w:rsidR="00580319" w:rsidRPr="00E72418">
        <w:t xml:space="preserve">L. </w:t>
      </w:r>
      <w:r w:rsidR="00C16511" w:rsidRPr="00E72418">
        <w:t xml:space="preserve">211-41 du </w:t>
      </w:r>
      <w:r w:rsidR="00450D4C" w:rsidRPr="00E72418">
        <w:rPr>
          <w:rFonts w:cs="Times New Roman"/>
        </w:rPr>
        <w:t>[</w:t>
      </w:r>
      <w:r w:rsidR="004A1C1D" w:rsidRPr="00E72418">
        <w:t>C</w:t>
      </w:r>
      <w:r w:rsidR="00450D4C" w:rsidRPr="00E72418">
        <w:t>ode monétaire et financier</w:t>
      </w:r>
      <w:r w:rsidR="00450D4C" w:rsidRPr="00E72418">
        <w:rPr>
          <w:rFonts w:cs="Times New Roman"/>
        </w:rPr>
        <w:t xml:space="preserve">] </w:t>
      </w:r>
      <w:r w:rsidR="00C16511" w:rsidRPr="00E72418">
        <w:t>présentant des caractéristiques analogues à un titre de créance »</w:t>
      </w:r>
      <w:r w:rsidR="00A0109E" w:rsidRPr="00E72418">
        <w:t>, cet article du code visé précisant que « </w:t>
      </w:r>
      <w:r w:rsidR="00A0109E" w:rsidRPr="00E72418">
        <w:rPr>
          <w:rFonts w:cs="Times New Roman"/>
        </w:rPr>
        <w:t>[s</w:t>
      </w:r>
      <w:r w:rsidR="00A0109E" w:rsidRPr="00E72418">
        <w:rPr>
          <w:rFonts w:ascii="Times New Roman" w:hAnsi="Times New Roman" w:cs="Times New Roman"/>
        </w:rPr>
        <w:t>]</w:t>
      </w:r>
      <w:r w:rsidR="00A0109E" w:rsidRPr="00E72418">
        <w:t>ont assimilés aux titres financiers mentionnés à </w:t>
      </w:r>
      <w:hyperlink r:id="rId49" w:history="1">
        <w:r w:rsidR="00A0109E" w:rsidRPr="00E72418">
          <w:rPr>
            <w:rStyle w:val="Lienhypertexte"/>
            <w:color w:val="auto"/>
            <w:u w:val="none"/>
          </w:rPr>
          <w:t>l’article L. 211-1</w:t>
        </w:r>
      </w:hyperlink>
      <w:r w:rsidR="00A0109E" w:rsidRPr="00E72418">
        <w:t> tous les instruments équivalents ou droits représentatifs d’un placement financier dans une entité émis sur le fondement de droits étrangers »</w:t>
      </w:r>
      <w:r w:rsidR="00C16511" w:rsidRPr="00E72418">
        <w:t xml:space="preserve">. </w:t>
      </w:r>
      <w:r w:rsidR="00580319" w:rsidRPr="00E72418">
        <w:t>S</w:t>
      </w:r>
      <w:r w:rsidR="00450D4C" w:rsidRPr="00E72418">
        <w:rPr>
          <w:shd w:val="clear" w:color="auto" w:fill="FFFFFF"/>
        </w:rPr>
        <w:t xml:space="preserve">ont vraisemblablement visés </w:t>
      </w:r>
      <w:r w:rsidR="00580319" w:rsidRPr="00E72418">
        <w:rPr>
          <w:shd w:val="clear" w:color="auto" w:fill="FFFFFF"/>
        </w:rPr>
        <w:t>les</w:t>
      </w:r>
      <w:r w:rsidR="00450D4C" w:rsidRPr="00E72418">
        <w:rPr>
          <w:shd w:val="clear" w:color="auto" w:fill="FFFFFF"/>
        </w:rPr>
        <w:t xml:space="preserve"> instrument</w:t>
      </w:r>
      <w:r w:rsidR="00580319" w:rsidRPr="00E72418">
        <w:rPr>
          <w:shd w:val="clear" w:color="auto" w:fill="FFFFFF"/>
        </w:rPr>
        <w:t>s et droits</w:t>
      </w:r>
      <w:r w:rsidR="00450D4C" w:rsidRPr="00E72418">
        <w:rPr>
          <w:shd w:val="clear" w:color="auto" w:fill="FFFFFF"/>
        </w:rPr>
        <w:t xml:space="preserve"> qui s’apparentent à un titre de créance, même s’ils sont émis sur le fondement d’un droit étranger</w:t>
      </w:r>
      <w:r w:rsidR="00450D4C" w:rsidRPr="00E72418">
        <w:rPr>
          <w:rStyle w:val="Appelnotedebasdep"/>
          <w:shd w:val="clear" w:color="auto" w:fill="FFFFFF"/>
        </w:rPr>
        <w:footnoteReference w:id="1865"/>
      </w:r>
      <w:r w:rsidR="00450D4C" w:rsidRPr="00E72418">
        <w:rPr>
          <w:shd w:val="clear" w:color="auto" w:fill="FFFFFF"/>
        </w:rPr>
        <w:t xml:space="preserve">. </w:t>
      </w:r>
      <w:r w:rsidR="00450D4C" w:rsidRPr="00E72418">
        <w:t xml:space="preserve">Notons finalement l’article 60.VIII. de la loi de 2016 qui dispose </w:t>
      </w:r>
      <w:r w:rsidR="00C16511" w:rsidRPr="00E72418">
        <w:t>que « </w:t>
      </w:r>
      <w:r w:rsidR="00C16511" w:rsidRPr="00E72418">
        <w:rPr>
          <w:rFonts w:cs="Times New Roman"/>
        </w:rPr>
        <w:t>[p]</w:t>
      </w:r>
      <w:r w:rsidR="00C16511" w:rsidRPr="00E72418">
        <w:t>our l’application du présent article, sont assimilées aux titres de créance les créances nées d’une opération de crédit ment</w:t>
      </w:r>
      <w:r w:rsidR="004A1C1D" w:rsidRPr="00E72418">
        <w:t>ionnée à l’article L. 311-1 du C</w:t>
      </w:r>
      <w:r w:rsidR="00C16511" w:rsidRPr="00E72418">
        <w:t>ode monétaire et financier »</w:t>
      </w:r>
      <w:r w:rsidR="00C16511" w:rsidRPr="00E72418">
        <w:rPr>
          <w:rStyle w:val="Appelnotedebasdep"/>
        </w:rPr>
        <w:footnoteReference w:id="1866"/>
      </w:r>
      <w:r w:rsidR="00C16511" w:rsidRPr="00E72418">
        <w:t>.</w:t>
      </w:r>
    </w:p>
    <w:p w14:paraId="19CFD74D" w14:textId="77777777" w:rsidR="00C16511" w:rsidRPr="00E72418" w:rsidRDefault="00C16511" w:rsidP="00CC4BA8">
      <w:pPr>
        <w:spacing w:line="276" w:lineRule="auto"/>
        <w:rPr>
          <w:rFonts w:cs="Times New Roman"/>
          <w:szCs w:val="24"/>
          <w:shd w:val="clear" w:color="auto" w:fill="FFFFFF"/>
        </w:rPr>
      </w:pPr>
    </w:p>
    <w:p w14:paraId="558354ED" w14:textId="1A0370E2" w:rsidR="005F6F52" w:rsidRPr="00E72418" w:rsidRDefault="008665DF" w:rsidP="00CC4BA8">
      <w:pPr>
        <w:pStyle w:val="DD"/>
        <w:spacing w:afterLines="60" w:after="144" w:line="276" w:lineRule="auto"/>
        <w:rPr>
          <w:shd w:val="clear" w:color="auto" w:fill="FFFFFF"/>
        </w:rPr>
      </w:pPr>
      <w:bookmarkStart w:id="428" w:name="_Toc37777419"/>
      <w:bookmarkStart w:id="429" w:name="_Toc59281008"/>
      <w:bookmarkStart w:id="430" w:name="_Toc84540999"/>
      <w:r w:rsidRPr="00E72418">
        <w:rPr>
          <w:shd w:val="clear" w:color="auto" w:fill="FFFFFF"/>
        </w:rPr>
        <w:t xml:space="preserve">Section 5 : </w:t>
      </w:r>
      <w:r w:rsidR="00124DD0">
        <w:rPr>
          <w:shd w:val="clear" w:color="auto" w:fill="FFFFFF"/>
        </w:rPr>
        <w:t xml:space="preserve">Les </w:t>
      </w:r>
      <w:r w:rsidR="005F6F52" w:rsidRPr="00E72418">
        <w:rPr>
          <w:shd w:val="clear" w:color="auto" w:fill="FFFFFF"/>
        </w:rPr>
        <w:t>application</w:t>
      </w:r>
      <w:r w:rsidR="00124DD0">
        <w:rPr>
          <w:shd w:val="clear" w:color="auto" w:fill="FFFFFF"/>
        </w:rPr>
        <w:t>s</w:t>
      </w:r>
      <w:r w:rsidR="005F6F52" w:rsidRPr="00E72418">
        <w:rPr>
          <w:shd w:val="clear" w:color="auto" w:fill="FFFFFF"/>
        </w:rPr>
        <w:t xml:space="preserve"> temporelle et territoriale</w:t>
      </w:r>
      <w:bookmarkEnd w:id="428"/>
      <w:bookmarkEnd w:id="429"/>
      <w:bookmarkEnd w:id="430"/>
    </w:p>
    <w:p w14:paraId="1C363EDB" w14:textId="77777777" w:rsidR="007A12E9" w:rsidRPr="00E72418" w:rsidRDefault="007A12E9" w:rsidP="007A12E9">
      <w:pPr>
        <w:rPr>
          <w:shd w:val="clear" w:color="auto" w:fill="FFFFFF"/>
        </w:rPr>
      </w:pPr>
    </w:p>
    <w:p w14:paraId="7021754E" w14:textId="28AF87BC" w:rsidR="005F6F52" w:rsidRPr="00E72418" w:rsidRDefault="004469AC" w:rsidP="00CC4BA8">
      <w:pPr>
        <w:spacing w:line="276" w:lineRule="auto"/>
        <w:rPr>
          <w:rFonts w:cs="Times New Roman"/>
          <w:szCs w:val="24"/>
          <w:shd w:val="clear" w:color="auto" w:fill="FFFFFF"/>
        </w:rPr>
      </w:pPr>
      <w:r w:rsidRPr="00E72418">
        <w:rPr>
          <w:b/>
        </w:rPr>
        <w:t>374</w:t>
      </w:r>
      <w:r w:rsidR="00817D62" w:rsidRPr="00E72418">
        <w:rPr>
          <w:b/>
        </w:rPr>
        <w:t xml:space="preserve">. </w:t>
      </w:r>
      <w:r w:rsidR="000A0D7E" w:rsidRPr="00E72418">
        <w:rPr>
          <w:b/>
        </w:rPr>
        <w:t xml:space="preserve">Un souci de prévisibilité exprimé </w:t>
      </w:r>
      <w:r w:rsidR="000A0D7E" w:rsidRPr="00E72418">
        <w:rPr>
          <w:rFonts w:cs="Times New Roman"/>
          <w:b/>
          <w:szCs w:val="24"/>
          <w:shd w:val="clear" w:color="auto" w:fill="FFFFFF"/>
        </w:rPr>
        <w:t>–</w:t>
      </w:r>
      <w:r w:rsidR="000A0D7E" w:rsidRPr="00E72418">
        <w:rPr>
          <w:rFonts w:cs="Times New Roman"/>
          <w:szCs w:val="24"/>
          <w:shd w:val="clear" w:color="auto" w:fill="FFFFFF"/>
        </w:rPr>
        <w:t xml:space="preserve"> </w:t>
      </w:r>
      <w:r w:rsidR="00607C5C" w:rsidRPr="00E72418">
        <w:rPr>
          <w:rFonts w:cs="Times New Roman"/>
          <w:szCs w:val="24"/>
          <w:shd w:val="clear" w:color="auto" w:fill="FFFFFF"/>
        </w:rPr>
        <w:t xml:space="preserve">Temporellement, </w:t>
      </w:r>
      <w:r w:rsidR="00607C5C" w:rsidRPr="00E72418">
        <w:t>l</w:t>
      </w:r>
      <w:r w:rsidR="005F6F52" w:rsidRPr="00E72418">
        <w:t>a disposition VI de l’article 60 de la loi Sapin II dispose qu’il s’applique aux titres de créance acquis à co</w:t>
      </w:r>
      <w:r w:rsidR="00125EFF" w:rsidRPr="00E72418">
        <w:t>mpter de son entrée en vigueur</w:t>
      </w:r>
      <w:r w:rsidR="005F6F52" w:rsidRPr="00E72418">
        <w:t xml:space="preserve">. </w:t>
      </w:r>
      <w:r w:rsidR="00630121" w:rsidRPr="00E72418">
        <w:t>L</w:t>
      </w:r>
      <w:r w:rsidR="005F6F52" w:rsidRPr="00E72418">
        <w:t xml:space="preserve">es travaux préparatoires de la loi </w:t>
      </w:r>
      <w:r w:rsidR="00630121" w:rsidRPr="00E72418">
        <w:t>justifient de cette limita</w:t>
      </w:r>
      <w:r w:rsidR="00ED6880" w:rsidRPr="00E72418">
        <w:t>t</w:t>
      </w:r>
      <w:r w:rsidR="00630121" w:rsidRPr="00E72418">
        <w:t xml:space="preserve">ion temporelle par le fait qu’il importe, dans un souci de proportionnalité du mécanisme mis en place, que les créanciers en soient informés </w:t>
      </w:r>
      <w:r w:rsidR="005F6F52" w:rsidRPr="00E72418">
        <w:rPr>
          <w:rFonts w:cs="Times New Roman"/>
          <w:szCs w:val="24"/>
          <w:shd w:val="clear" w:color="auto" w:fill="FFFFFF"/>
        </w:rPr>
        <w:t>au moment de l’acquisition du titre de créance</w:t>
      </w:r>
      <w:r w:rsidR="005F6F52" w:rsidRPr="00E72418">
        <w:rPr>
          <w:rStyle w:val="Appelnotedebasdep"/>
          <w:rFonts w:cs="Times New Roman"/>
          <w:szCs w:val="24"/>
          <w:shd w:val="clear" w:color="auto" w:fill="FFFFFF"/>
        </w:rPr>
        <w:footnoteReference w:id="1867"/>
      </w:r>
      <w:r w:rsidR="005F6F52" w:rsidRPr="00E72418">
        <w:rPr>
          <w:rFonts w:cs="Times New Roman"/>
          <w:szCs w:val="24"/>
          <w:shd w:val="clear" w:color="auto" w:fill="FFFFFF"/>
        </w:rPr>
        <w:t xml:space="preserve">. Si la limitation se </w:t>
      </w:r>
      <w:r w:rsidR="005F6F52" w:rsidRPr="00E72418">
        <w:rPr>
          <w:rFonts w:cs="Times New Roman"/>
          <w:szCs w:val="24"/>
          <w:shd w:val="clear" w:color="auto" w:fill="FFFFFF"/>
        </w:rPr>
        <w:lastRenderedPageBreak/>
        <w:t xml:space="preserve">comprend au regard de l’argument de la sécurité juridique et de la prévisibilité, il reste que de nombreuses dettes ne sont </w:t>
      </w:r>
      <w:r w:rsidR="00A0109E" w:rsidRPr="00E72418">
        <w:rPr>
          <w:rFonts w:cs="Times New Roman"/>
          <w:szCs w:val="24"/>
          <w:shd w:val="clear" w:color="auto" w:fill="FFFFFF"/>
        </w:rPr>
        <w:t xml:space="preserve">ainsi </w:t>
      </w:r>
      <w:r w:rsidR="005F6F52" w:rsidRPr="00E72418">
        <w:rPr>
          <w:rFonts w:cs="Times New Roman"/>
          <w:szCs w:val="24"/>
          <w:shd w:val="clear" w:color="auto" w:fill="FFFFFF"/>
        </w:rPr>
        <w:t>pas protégées par le mécanisme français</w:t>
      </w:r>
      <w:r w:rsidR="005F6F52" w:rsidRPr="00E72418">
        <w:rPr>
          <w:rStyle w:val="Appelnotedebasdep"/>
          <w:rFonts w:cs="Times New Roman"/>
          <w:szCs w:val="24"/>
          <w:shd w:val="clear" w:color="auto" w:fill="FFFFFF"/>
        </w:rPr>
        <w:footnoteReference w:id="1868"/>
      </w:r>
      <w:r w:rsidR="00607C5C" w:rsidRPr="00E72418">
        <w:rPr>
          <w:rFonts w:cs="Times New Roman"/>
          <w:szCs w:val="24"/>
          <w:shd w:val="clear" w:color="auto" w:fill="FFFFFF"/>
        </w:rPr>
        <w:t>.</w:t>
      </w:r>
    </w:p>
    <w:p w14:paraId="4E9E1451" w14:textId="6A359B17" w:rsidR="005F6F52" w:rsidRPr="00E72418" w:rsidRDefault="00607C5C" w:rsidP="00CC4BA8">
      <w:pPr>
        <w:spacing w:line="276" w:lineRule="auto"/>
        <w:rPr>
          <w:rFonts w:cs="Times New Roman"/>
          <w:szCs w:val="24"/>
          <w:shd w:val="clear" w:color="auto" w:fill="FFFFFF"/>
        </w:rPr>
      </w:pPr>
      <w:r w:rsidRPr="00E72418">
        <w:rPr>
          <w:szCs w:val="24"/>
        </w:rPr>
        <w:t>Territorialement, l</w:t>
      </w:r>
      <w:r w:rsidR="005F6F52" w:rsidRPr="00E72418">
        <w:rPr>
          <w:szCs w:val="24"/>
        </w:rPr>
        <w:t>a septième disposition de l’article 60 de la loi Sapin II prévoit qu’il est « </w:t>
      </w:r>
      <w:r w:rsidR="005F6F52" w:rsidRPr="00E72418">
        <w:rPr>
          <w:rFonts w:cs="Times New Roman"/>
          <w:szCs w:val="24"/>
          <w:shd w:val="clear" w:color="auto" w:fill="FFFFFF"/>
        </w:rPr>
        <w:t xml:space="preserve">applicable sur tout le territoire de la République française, sous réserve, pour son application en Nouvelle-Calédonie et en Polynésie française, </w:t>
      </w:r>
      <w:r w:rsidR="004A1C1D" w:rsidRPr="00E72418">
        <w:rPr>
          <w:rFonts w:cs="Times New Roman"/>
          <w:szCs w:val="24"/>
          <w:shd w:val="clear" w:color="auto" w:fill="FFFFFF"/>
        </w:rPr>
        <w:t>de remplacer les références au C</w:t>
      </w:r>
      <w:r w:rsidR="00090BDA" w:rsidRPr="00E72418">
        <w:rPr>
          <w:rFonts w:cs="Times New Roman"/>
          <w:szCs w:val="24"/>
          <w:shd w:val="clear" w:color="auto" w:fill="FFFFFF"/>
        </w:rPr>
        <w:t>ode des procédures civiles d’</w:t>
      </w:r>
      <w:r w:rsidR="005F6F52" w:rsidRPr="00E72418">
        <w:rPr>
          <w:rFonts w:cs="Times New Roman"/>
          <w:szCs w:val="24"/>
          <w:shd w:val="clear" w:color="auto" w:fill="FFFFFF"/>
        </w:rPr>
        <w:t>exécution par les dispositions applicables localement ayant le même effet »</w:t>
      </w:r>
      <w:r w:rsidR="005F6F52" w:rsidRPr="00E72418">
        <w:rPr>
          <w:rStyle w:val="Appelnotedebasdep"/>
          <w:rFonts w:cs="Times New Roman"/>
          <w:szCs w:val="24"/>
          <w:shd w:val="clear" w:color="auto" w:fill="FFFFFF"/>
        </w:rPr>
        <w:footnoteReference w:id="1869"/>
      </w:r>
      <w:r w:rsidR="005F6F52" w:rsidRPr="00E72418">
        <w:rPr>
          <w:rFonts w:cs="Times New Roman"/>
          <w:szCs w:val="24"/>
          <w:shd w:val="clear" w:color="auto" w:fill="FFFFFF"/>
        </w:rPr>
        <w:t>.</w:t>
      </w:r>
    </w:p>
    <w:p w14:paraId="217E3F52" w14:textId="77777777" w:rsidR="005656FA" w:rsidRPr="00E72418" w:rsidRDefault="005656FA" w:rsidP="00CC4BA8">
      <w:pPr>
        <w:spacing w:line="276" w:lineRule="auto"/>
        <w:rPr>
          <w:rFonts w:cs="Times New Roman"/>
          <w:szCs w:val="24"/>
          <w:shd w:val="clear" w:color="auto" w:fill="FFFFFF"/>
        </w:rPr>
      </w:pPr>
    </w:p>
    <w:p w14:paraId="034FE2BE" w14:textId="1D0B5152" w:rsidR="005656FA" w:rsidRPr="00E72418" w:rsidRDefault="008665DF" w:rsidP="00CC4BA8">
      <w:pPr>
        <w:pStyle w:val="CC"/>
        <w:spacing w:line="276" w:lineRule="auto"/>
      </w:pPr>
      <w:bookmarkStart w:id="431" w:name="_Toc59281009"/>
      <w:bookmarkStart w:id="432" w:name="_Toc75106114"/>
      <w:bookmarkStart w:id="433" w:name="_Toc84541000"/>
      <w:r w:rsidRPr="00E72418">
        <w:t xml:space="preserve">Chapitre 5 : </w:t>
      </w:r>
      <w:r w:rsidR="005656FA" w:rsidRPr="00E72418">
        <w:t xml:space="preserve">La conformité des </w:t>
      </w:r>
      <w:r w:rsidR="00560C9E" w:rsidRPr="00E72418">
        <w:t xml:space="preserve">lois </w:t>
      </w:r>
      <w:r w:rsidR="005656FA" w:rsidRPr="00E72418">
        <w:t>nationales au droit supranational</w:t>
      </w:r>
      <w:bookmarkEnd w:id="431"/>
      <w:bookmarkEnd w:id="432"/>
      <w:bookmarkEnd w:id="433"/>
    </w:p>
    <w:p w14:paraId="2ABA3E1C" w14:textId="77777777" w:rsidR="005656FA" w:rsidRPr="00E72418" w:rsidRDefault="005656FA" w:rsidP="00CC4BA8">
      <w:pPr>
        <w:spacing w:afterLines="60" w:after="144" w:line="276" w:lineRule="auto"/>
      </w:pPr>
    </w:p>
    <w:p w14:paraId="45ED7CA9" w14:textId="5C2820E3" w:rsidR="005656FA" w:rsidRPr="00E72418" w:rsidRDefault="004469AC" w:rsidP="00CC4BA8">
      <w:pPr>
        <w:spacing w:line="276" w:lineRule="auto"/>
      </w:pPr>
      <w:r w:rsidRPr="00E72418">
        <w:rPr>
          <w:b/>
        </w:rPr>
        <w:t>375</w:t>
      </w:r>
      <w:r w:rsidR="00817D62" w:rsidRPr="00E72418">
        <w:rPr>
          <w:b/>
        </w:rPr>
        <w:t xml:space="preserve">. </w:t>
      </w:r>
      <w:r w:rsidR="005656FA" w:rsidRPr="00E72418">
        <w:rPr>
          <w:b/>
        </w:rPr>
        <w:t xml:space="preserve">L’obligation de respecter le droit supranational et la possible contravention </w:t>
      </w:r>
      <w:r w:rsidR="005656FA" w:rsidRPr="00E72418">
        <w:rPr>
          <w:rFonts w:cs="Times New Roman"/>
          <w:b/>
          <w:szCs w:val="24"/>
          <w:shd w:val="clear" w:color="auto" w:fill="FFFFFF"/>
        </w:rPr>
        <w:t>–</w:t>
      </w:r>
      <w:r w:rsidR="005656FA" w:rsidRPr="00E72418">
        <w:t xml:space="preserve"> L’article 27 de la Convention de Vienne sur le droit des traités dispose qu’une partie ne peut invoquer les dispositions de son droit interne comme justifiant la non-exécution d’un traité. L’on peut ainsi se poser la question du respect </w:t>
      </w:r>
      <w:r w:rsidR="007A7FE2" w:rsidRPr="00E72418">
        <w:t xml:space="preserve">du droit supranational </w:t>
      </w:r>
      <w:r w:rsidR="005656FA" w:rsidRPr="00E72418">
        <w:t>par les législations britannique, belge et française adoptées</w:t>
      </w:r>
      <w:r w:rsidR="007A7FE2" w:rsidRPr="00E72418">
        <w:t>. À première vue,</w:t>
      </w:r>
      <w:r w:rsidR="005656FA" w:rsidRPr="00E72418">
        <w:t xml:space="preserve"> les législations étudiées pourraient </w:t>
      </w:r>
      <w:r w:rsidR="007A7FE2" w:rsidRPr="00E72418">
        <w:t>être</w:t>
      </w:r>
      <w:r w:rsidR="005656FA" w:rsidRPr="00E72418">
        <w:t xml:space="preserve"> irrespectueuse</w:t>
      </w:r>
      <w:r w:rsidR="007A7FE2" w:rsidRPr="00E72418">
        <w:t>s</w:t>
      </w:r>
      <w:r w:rsidR="005656FA" w:rsidRPr="00E72418">
        <w:t xml:space="preserve"> de deux dispositions supranationales consacrant la protection de la propriété </w:t>
      </w:r>
      <w:r w:rsidR="00667D0D" w:rsidRPr="00E72418">
        <w:t>(</w:t>
      </w:r>
      <w:r w:rsidR="00667D0D" w:rsidRPr="00E72418">
        <w:rPr>
          <w:b/>
        </w:rPr>
        <w:t>section 1</w:t>
      </w:r>
      <w:r w:rsidR="00667D0D" w:rsidRPr="00E72418">
        <w:t>)</w:t>
      </w:r>
      <w:r w:rsidR="0026087B" w:rsidRPr="00E72418">
        <w:t xml:space="preserve"> </w:t>
      </w:r>
      <w:r w:rsidR="005656FA" w:rsidRPr="00E72418">
        <w:t>et le droit à un procès équitable</w:t>
      </w:r>
      <w:r w:rsidR="0026087B" w:rsidRPr="00E72418">
        <w:t xml:space="preserve"> </w:t>
      </w:r>
      <w:r w:rsidR="00667D0D" w:rsidRPr="00E72418">
        <w:t>(</w:t>
      </w:r>
      <w:r w:rsidR="00667D0D" w:rsidRPr="00E72418">
        <w:rPr>
          <w:b/>
        </w:rPr>
        <w:t>section 2</w:t>
      </w:r>
      <w:r w:rsidR="00667D0D" w:rsidRPr="00E72418">
        <w:t>)</w:t>
      </w:r>
      <w:r w:rsidR="005656FA" w:rsidRPr="00E72418">
        <w:t xml:space="preserve">. La première protection est inscrite à l’article premier du Premier Protocole additionnel à la Convention européenne des droits de l’homme tandis que le droit à un procès équitable est consacré à l’article 6 de cette convention. Tant la Convention européenne des droits de l’homme que son Premier Protocole additionnel sont des traités ratifiés par le Royaume-Uni, la Belgique et la France, trois pays dont les législations nationales anti-fonds spéculatifs </w:t>
      </w:r>
      <w:r w:rsidR="007A7FE2" w:rsidRPr="00E72418">
        <w:t xml:space="preserve">adoptées </w:t>
      </w:r>
      <w:r w:rsidR="005656FA" w:rsidRPr="00E72418">
        <w:t>pourraient ainsi méconnaître leurs engagements internationaux</w:t>
      </w:r>
      <w:r w:rsidR="005656FA" w:rsidRPr="00E72418">
        <w:rPr>
          <w:rStyle w:val="Appelnotedebasdep"/>
        </w:rPr>
        <w:footnoteReference w:id="1870"/>
      </w:r>
      <w:r w:rsidR="007A7FE2" w:rsidRPr="00E72418">
        <w:t>.</w:t>
      </w:r>
    </w:p>
    <w:p w14:paraId="42D42A9F" w14:textId="77777777" w:rsidR="00971F14" w:rsidRPr="00E72418" w:rsidRDefault="00971F14" w:rsidP="00CC4BA8">
      <w:pPr>
        <w:spacing w:line="276" w:lineRule="auto"/>
      </w:pPr>
    </w:p>
    <w:p w14:paraId="6073FDB0" w14:textId="6A52949F" w:rsidR="00971F14" w:rsidRPr="00E72418" w:rsidRDefault="004469AC" w:rsidP="00CC4BA8">
      <w:pPr>
        <w:spacing w:line="276" w:lineRule="auto"/>
      </w:pPr>
      <w:r w:rsidRPr="00E72418">
        <w:rPr>
          <w:rFonts w:cs="Times New Roman"/>
          <w:b/>
          <w:szCs w:val="24"/>
          <w:shd w:val="clear" w:color="auto" w:fill="FFFFFF"/>
        </w:rPr>
        <w:t>376</w:t>
      </w:r>
      <w:r w:rsidR="00817D62" w:rsidRPr="00E72418">
        <w:rPr>
          <w:rFonts w:cs="Times New Roman"/>
          <w:b/>
          <w:szCs w:val="24"/>
          <w:shd w:val="clear" w:color="auto" w:fill="FFFFFF"/>
        </w:rPr>
        <w:t xml:space="preserve">. </w:t>
      </w:r>
      <w:r w:rsidR="00971F14" w:rsidRPr="00E72418">
        <w:rPr>
          <w:rFonts w:cs="Times New Roman"/>
          <w:b/>
          <w:szCs w:val="24"/>
          <w:shd w:val="clear" w:color="auto" w:fill="FFFFFF"/>
        </w:rPr>
        <w:t xml:space="preserve">L’impossible invocation de la Convention européenne des droits de l’homme ? </w:t>
      </w:r>
      <w:r w:rsidR="00971F14" w:rsidRPr="00E72418">
        <w:rPr>
          <w:b/>
        </w:rPr>
        <w:t xml:space="preserve">– </w:t>
      </w:r>
      <w:r w:rsidR="00971F14" w:rsidRPr="00E72418">
        <w:t>L’article 17 de la Convention européenne des droits de l’homme</w:t>
      </w:r>
      <w:r w:rsidR="00971F14" w:rsidRPr="00E72418">
        <w:rPr>
          <w:bCs/>
          <w:szCs w:val="24"/>
        </w:rPr>
        <w:t xml:space="preserve"> </w:t>
      </w:r>
      <w:r w:rsidR="00971F14" w:rsidRPr="00E72418">
        <w:t xml:space="preserve">interdit l’abus de droit en prévoyant qu’aucune des dispositions de la Convention ne peut être interprétée comme </w:t>
      </w:r>
      <w:r w:rsidR="00971F14" w:rsidRPr="00E72418">
        <w:lastRenderedPageBreak/>
        <w:t xml:space="preserve">impliquant un droit quelconque de se livrer à une activité ou d’accomplir un acte visant la destruction des droits ou libertés reconnus dans la Convention ou des limitations plus amples de ces droits et libertés que celles prévues par la Convention. L’on </w:t>
      </w:r>
      <w:r w:rsidR="00FF6A0A" w:rsidRPr="00E72418">
        <w:t xml:space="preserve">est ainsi allé jusqu’à </w:t>
      </w:r>
      <w:r w:rsidR="00971F14" w:rsidRPr="00E72418">
        <w:t xml:space="preserve">se demander si, dès lors que les activités </w:t>
      </w:r>
      <w:r w:rsidR="00A5571A" w:rsidRPr="00E72418">
        <w:t>visa</w:t>
      </w:r>
      <w:r w:rsidR="00971F14" w:rsidRPr="00E72418">
        <w:t xml:space="preserve">nt à méconnaître ou à restreindre les droits d’autrui ne sont pas protégées par la Convention, les fonds spéculatifs peuvent utilement </w:t>
      </w:r>
      <w:r w:rsidR="00FF6A0A" w:rsidRPr="00E72418">
        <w:t>revendiquer le bénéfice des</w:t>
      </w:r>
      <w:r w:rsidR="00971F14" w:rsidRPr="00E72418">
        <w:t xml:space="preserve"> protections conférées par la Convention européenne des droits de l’homme</w:t>
      </w:r>
      <w:r w:rsidR="00971F14" w:rsidRPr="00E72418">
        <w:rPr>
          <w:rStyle w:val="Appelnotedebasdep"/>
          <w:rFonts w:cs="Times New Roman"/>
          <w:bCs/>
          <w:szCs w:val="24"/>
        </w:rPr>
        <w:footnoteReference w:id="1871"/>
      </w:r>
      <w:r w:rsidR="00A5571A" w:rsidRPr="00E72418">
        <w:t>.</w:t>
      </w:r>
      <w:r w:rsidR="00B3030C" w:rsidRPr="00E72418">
        <w:t xml:space="preserve"> Qu’à cela ne tienne, la bonne réception </w:t>
      </w:r>
      <w:r w:rsidR="00947A08">
        <w:t>des</w:t>
      </w:r>
      <w:r w:rsidR="00B3030C" w:rsidRPr="00E72418">
        <w:t xml:space="preserve"> législations anti-spéculation passe par leur conformité à d’autres importants principes sociétaux cardinaux </w:t>
      </w:r>
      <w:r w:rsidR="002F1AA5" w:rsidRPr="00E72418">
        <w:t>de sorte qu’il importe de la vérifier.</w:t>
      </w:r>
    </w:p>
    <w:p w14:paraId="5CD8204D" w14:textId="77777777" w:rsidR="005656FA" w:rsidRPr="00E72418" w:rsidRDefault="005656FA" w:rsidP="00CC4BA8">
      <w:pPr>
        <w:spacing w:afterLines="60" w:after="144" w:line="276" w:lineRule="auto"/>
      </w:pPr>
    </w:p>
    <w:p w14:paraId="6A5C223B" w14:textId="6351FB6E" w:rsidR="005656FA" w:rsidRPr="00E72418" w:rsidRDefault="008665DF" w:rsidP="00CC4BA8">
      <w:pPr>
        <w:pStyle w:val="DD"/>
        <w:spacing w:line="276" w:lineRule="auto"/>
      </w:pPr>
      <w:bookmarkStart w:id="434" w:name="_Toc37777421"/>
      <w:bookmarkStart w:id="435" w:name="_Toc59281010"/>
      <w:bookmarkStart w:id="436" w:name="_Toc84541001"/>
      <w:r w:rsidRPr="00E72418">
        <w:t xml:space="preserve">Section 1 : </w:t>
      </w:r>
      <w:r w:rsidR="005656FA" w:rsidRPr="00E72418">
        <w:t>L’article premier du Premier Protocole additionnel à la Convention européenne des droits de l’homme</w:t>
      </w:r>
      <w:bookmarkEnd w:id="434"/>
      <w:bookmarkEnd w:id="435"/>
      <w:bookmarkEnd w:id="436"/>
    </w:p>
    <w:p w14:paraId="49A67F6E" w14:textId="77777777" w:rsidR="007A12E9" w:rsidRPr="00E72418" w:rsidRDefault="007A12E9" w:rsidP="007A12E9"/>
    <w:p w14:paraId="12C00ACC" w14:textId="4C3A1677" w:rsidR="007E4A66" w:rsidRPr="00E72418" w:rsidRDefault="004469AC" w:rsidP="00CC4BA8">
      <w:pPr>
        <w:spacing w:line="276" w:lineRule="auto"/>
        <w:rPr>
          <w:rFonts w:cs="Times New Roman"/>
          <w:szCs w:val="24"/>
          <w:shd w:val="clear" w:color="auto" w:fill="FFFFFF"/>
        </w:rPr>
      </w:pPr>
      <w:r w:rsidRPr="00E72418">
        <w:rPr>
          <w:rFonts w:cs="Times New Roman"/>
          <w:b/>
          <w:szCs w:val="24"/>
          <w:shd w:val="clear" w:color="auto" w:fill="FFFFFF"/>
        </w:rPr>
        <w:t>377</w:t>
      </w:r>
      <w:r w:rsidR="00817D62" w:rsidRPr="00E72418">
        <w:rPr>
          <w:rFonts w:cs="Times New Roman"/>
          <w:b/>
          <w:szCs w:val="24"/>
          <w:shd w:val="clear" w:color="auto" w:fill="FFFFFF"/>
        </w:rPr>
        <w:t xml:space="preserve">. </w:t>
      </w:r>
      <w:r w:rsidR="005656FA" w:rsidRPr="00E72418">
        <w:rPr>
          <w:rFonts w:cs="Times New Roman"/>
          <w:b/>
          <w:szCs w:val="24"/>
          <w:shd w:val="clear" w:color="auto" w:fill="FFFFFF"/>
        </w:rPr>
        <w:t xml:space="preserve">Un souci </w:t>
      </w:r>
      <w:r w:rsidR="00EC4394" w:rsidRPr="00E72418">
        <w:rPr>
          <w:rFonts w:cs="Times New Roman"/>
          <w:b/>
          <w:szCs w:val="24"/>
          <w:shd w:val="clear" w:color="auto" w:fill="FFFFFF"/>
        </w:rPr>
        <w:t xml:space="preserve">affiché </w:t>
      </w:r>
      <w:r w:rsidR="005656FA" w:rsidRPr="00E72418">
        <w:rPr>
          <w:rFonts w:cs="Times New Roman"/>
          <w:b/>
          <w:szCs w:val="24"/>
          <w:shd w:val="clear" w:color="auto" w:fill="FFFFFF"/>
        </w:rPr>
        <w:t xml:space="preserve">des législateurs – </w:t>
      </w:r>
      <w:r w:rsidR="005656FA" w:rsidRPr="00E72418">
        <w:rPr>
          <w:rFonts w:cs="Times New Roman"/>
          <w:szCs w:val="24"/>
          <w:shd w:val="clear" w:color="auto" w:fill="FFFFFF"/>
        </w:rPr>
        <w:t xml:space="preserve">Les trois instigateurs des législations </w:t>
      </w:r>
      <w:r w:rsidR="00B45564" w:rsidRPr="00E72418">
        <w:rPr>
          <w:rFonts w:cs="Times New Roman"/>
          <w:szCs w:val="24"/>
          <w:shd w:val="clear" w:color="auto" w:fill="FFFFFF"/>
        </w:rPr>
        <w:t xml:space="preserve">anti-fonds spéculatifs adoptées </w:t>
      </w:r>
      <w:r w:rsidR="005656FA" w:rsidRPr="00E72418">
        <w:rPr>
          <w:rFonts w:cs="Times New Roman"/>
          <w:szCs w:val="24"/>
          <w:shd w:val="clear" w:color="auto" w:fill="FFFFFF"/>
        </w:rPr>
        <w:t xml:space="preserve">ont, à un moment du processus d’adoption de celles-ci, assuré de leur souci qu’elles respectent le droit de propriété tel que consacré par l’article premier du Premier Protocole additionnel à la Convention européenne des droits de l’homme. </w:t>
      </w:r>
    </w:p>
    <w:p w14:paraId="6C6B010F" w14:textId="77777777" w:rsidR="005656FA" w:rsidRPr="00E72418" w:rsidRDefault="005656FA" w:rsidP="00CC4BA8">
      <w:pPr>
        <w:spacing w:line="276" w:lineRule="auto"/>
      </w:pPr>
      <w:r w:rsidRPr="00E72418">
        <w:t>Le Gouvernement britannique était d’avis que la législation</w:t>
      </w:r>
      <w:r w:rsidR="007E4A66" w:rsidRPr="00E72418">
        <w:t xml:space="preserve"> envisagée</w:t>
      </w:r>
      <w:r w:rsidRPr="00E72418">
        <w:t xml:space="preserve"> </w:t>
      </w:r>
      <w:r w:rsidR="007E4A66" w:rsidRPr="00E72418">
        <w:t>était</w:t>
      </w:r>
      <w:r w:rsidRPr="00E72418">
        <w:t xml:space="preserve"> compatible avec le </w:t>
      </w:r>
      <w:r w:rsidRPr="00E72418">
        <w:rPr>
          <w:i/>
        </w:rPr>
        <w:t>Human Rights Act</w:t>
      </w:r>
      <w:r w:rsidRPr="00E72418">
        <w:rPr>
          <w:rStyle w:val="Appelnotedebasdep"/>
        </w:rPr>
        <w:footnoteReference w:id="1872"/>
      </w:r>
      <w:r w:rsidRPr="00E72418">
        <w:t>. Cette réglementation britannique incorpore la Convention européenne des droits de l’homme dans le droit britannique et l’article premier du Premier Protocol</w:t>
      </w:r>
      <w:r w:rsidR="002E150B" w:rsidRPr="00E72418">
        <w:t>e</w:t>
      </w:r>
      <w:r w:rsidRPr="00E72418">
        <w:t xml:space="preserve"> additionnel à cette réglementation reprend le texte de l’article premier du Premier Protocol</w:t>
      </w:r>
      <w:r w:rsidR="002E150B" w:rsidRPr="00E72418">
        <w:t>e</w:t>
      </w:r>
      <w:r w:rsidRPr="00E72418">
        <w:t xml:space="preserve"> additionnel à la Convention européenne des droits de l’homme.</w:t>
      </w:r>
    </w:p>
    <w:p w14:paraId="60148B31" w14:textId="77777777" w:rsidR="005656FA" w:rsidRPr="00E72418" w:rsidRDefault="005656FA" w:rsidP="00CC4BA8">
      <w:pPr>
        <w:spacing w:line="276" w:lineRule="auto"/>
      </w:pPr>
      <w:r w:rsidRPr="00E72418">
        <w:t>En Belgique, la critique de la violation des droits de propriété fondamentaux des investis</w:t>
      </w:r>
      <w:r w:rsidR="007E4A66" w:rsidRPr="00E72418">
        <w:t>seurs privés avait été soulevée</w:t>
      </w:r>
      <w:r w:rsidRPr="00E72418">
        <w:t xml:space="preserve"> lors des travau</w:t>
      </w:r>
      <w:r w:rsidR="007E4A66" w:rsidRPr="00E72418">
        <w:t>x préparatoires de la loi belge</w:t>
      </w:r>
      <w:r w:rsidRPr="00E72418">
        <w:t xml:space="preserve"> par l’</w:t>
      </w:r>
      <w:r w:rsidRPr="00E72418">
        <w:rPr>
          <w:i/>
        </w:rPr>
        <w:t>Institute of International Finance</w:t>
      </w:r>
      <w:r w:rsidRPr="00E72418">
        <w:rPr>
          <w:rFonts w:cs="Times New Roman"/>
          <w:szCs w:val="24"/>
        </w:rPr>
        <w:t xml:space="preserve">. </w:t>
      </w:r>
      <w:r w:rsidRPr="00E72418">
        <w:t>L’Institut était d’avis que le texte en projet</w:t>
      </w:r>
      <w:r w:rsidR="002E150B" w:rsidRPr="00E72418">
        <w:t>,</w:t>
      </w:r>
      <w:r w:rsidRPr="00E72418">
        <w:t xml:space="preserve"> en limitant les droits contractuels de créanciers privés en vue de résoudre l</w:t>
      </w:r>
      <w:r w:rsidR="007E4A66" w:rsidRPr="00E72418">
        <w:t>e problème perçu des fonds spéculatifs</w:t>
      </w:r>
      <w:r w:rsidR="002E150B" w:rsidRPr="00E72418">
        <w:t>,</w:t>
      </w:r>
      <w:r w:rsidRPr="00E72418">
        <w:t xml:space="preserve"> semblait violer les droits de propriété fondamentaux des investisseurs privés auxquels un recours légal offre la seule protection contre un traitement inéquitable ou discriminatoire des créanciers par le débiteur souverain</w:t>
      </w:r>
      <w:r w:rsidRPr="00E72418">
        <w:rPr>
          <w:rStyle w:val="Appelnotedebasdep"/>
        </w:rPr>
        <w:footnoteReference w:id="1873"/>
      </w:r>
      <w:r w:rsidRPr="00E72418">
        <w:t xml:space="preserve">. </w:t>
      </w:r>
      <w:r w:rsidR="007E4A66" w:rsidRPr="00E72418">
        <w:t xml:space="preserve">Le député </w:t>
      </w:r>
      <w:r w:rsidRPr="00E72418">
        <w:t xml:space="preserve">Roel Deseyn </w:t>
      </w:r>
      <w:r w:rsidR="007E4A66" w:rsidRPr="00E72418">
        <w:t>expliqua en C</w:t>
      </w:r>
      <w:r w:rsidRPr="00E72418">
        <w:t xml:space="preserve">ommission des finances et du budget que des spécialistes avaient été consultés lesquels avaient confirmé que </w:t>
      </w:r>
      <w:r w:rsidRPr="00E72418">
        <w:lastRenderedPageBreak/>
        <w:t>le dispositif retenu dans la loi du 12 juillet 2015 ne violait pas l’article premier du Premier Protocole additionnel</w:t>
      </w:r>
      <w:r w:rsidRPr="00E72418">
        <w:rPr>
          <w:rStyle w:val="Appelnotedebasdep"/>
          <w:rFonts w:cs="Times New Roman"/>
          <w:bCs/>
          <w:szCs w:val="24"/>
        </w:rPr>
        <w:footnoteReference w:id="1874"/>
      </w:r>
      <w:r w:rsidRPr="00E72418">
        <w:t>.</w:t>
      </w:r>
    </w:p>
    <w:p w14:paraId="0F2CC2A0" w14:textId="75731AE6" w:rsidR="005656FA" w:rsidRPr="00E72418" w:rsidRDefault="005656FA" w:rsidP="00CC4BA8">
      <w:pPr>
        <w:spacing w:line="276" w:lineRule="auto"/>
      </w:pPr>
      <w:r w:rsidRPr="00E72418">
        <w:t xml:space="preserve">En France, le souci du respect du droit de propriété avait </w:t>
      </w:r>
      <w:r w:rsidR="00FE7A9B" w:rsidRPr="00E72418">
        <w:t xml:space="preserve">également </w:t>
      </w:r>
      <w:r w:rsidRPr="00E72418">
        <w:t xml:space="preserve">été formulé lors des travaux préparatoires de la loi. </w:t>
      </w:r>
      <w:r w:rsidRPr="00E72418">
        <w:rPr>
          <w:szCs w:val="24"/>
        </w:rPr>
        <w:t>Les parlementaires présentant l’amendement n° 1405 à l’origine de l’article 60 de la loi Sapin II précisaient que « </w:t>
      </w:r>
      <w:r w:rsidRPr="00E72418">
        <w:rPr>
          <w:rFonts w:cs="Times New Roman"/>
        </w:rPr>
        <w:t>[d]</w:t>
      </w:r>
      <w:r w:rsidRPr="00E72418">
        <w:rPr>
          <w:szCs w:val="24"/>
        </w:rPr>
        <w:t>ans la mesure notamment où les créanciers concernés par cet amendement ne sont pas privés de tout droit à obtenir le remboursement de leurs créances, le critère de proportionnalité entre l’objectif d’intérêt général visé et les limites apportées aux droit</w:t>
      </w:r>
      <w:r w:rsidR="002E150B" w:rsidRPr="00E72418">
        <w:rPr>
          <w:szCs w:val="24"/>
        </w:rPr>
        <w:t>s</w:t>
      </w:r>
      <w:r w:rsidRPr="00E72418">
        <w:rPr>
          <w:szCs w:val="24"/>
        </w:rPr>
        <w:t xml:space="preserve"> des créanciers est rempli »</w:t>
      </w:r>
      <w:r w:rsidRPr="00E72418">
        <w:rPr>
          <w:rStyle w:val="Appelnotedebasdep"/>
          <w:szCs w:val="24"/>
        </w:rPr>
        <w:footnoteReference w:id="1875"/>
      </w:r>
      <w:r w:rsidR="00844259" w:rsidRPr="00E72418">
        <w:rPr>
          <w:szCs w:val="24"/>
          <w:vertAlign w:val="superscript"/>
        </w:rPr>
        <w:t>,</w:t>
      </w:r>
      <w:r w:rsidR="00945D0E" w:rsidRPr="00E72418">
        <w:rPr>
          <w:rStyle w:val="Appelnotedebasdep"/>
          <w:szCs w:val="24"/>
        </w:rPr>
        <w:footnoteReference w:id="1876"/>
      </w:r>
      <w:r w:rsidRPr="00E72418">
        <w:rPr>
          <w:szCs w:val="24"/>
        </w:rPr>
        <w:t>.</w:t>
      </w:r>
      <w:r w:rsidR="00945D0E" w:rsidRPr="00E72418">
        <w:t xml:space="preserve"> </w:t>
      </w:r>
      <w:r w:rsidRPr="00E72418">
        <w:t>De l’avis du Gouvernement français, « </w:t>
      </w:r>
      <w:r w:rsidRPr="00E72418">
        <w:rPr>
          <w:rFonts w:cs="Times New Roman"/>
        </w:rPr>
        <w:t>[l]</w:t>
      </w:r>
      <w:r w:rsidRPr="00E72418">
        <w:t>e dispositif retenu est strictement proportionné à cet objectif [de lutte contre les pratiques spéculatives de certains fonds] et ne porte aucune atteinte aux droits des créanciers de bonne foi »</w:t>
      </w:r>
      <w:r w:rsidRPr="00E72418">
        <w:rPr>
          <w:rStyle w:val="Appelnotedebasdep"/>
        </w:rPr>
        <w:footnoteReference w:id="1877"/>
      </w:r>
      <w:r w:rsidRPr="00E72418">
        <w:t>.</w:t>
      </w:r>
    </w:p>
    <w:p w14:paraId="43333636" w14:textId="77777777" w:rsidR="005656FA" w:rsidRPr="00E72418" w:rsidRDefault="005656FA" w:rsidP="00CC4BA8">
      <w:pPr>
        <w:spacing w:line="276" w:lineRule="auto"/>
        <w:rPr>
          <w:shd w:val="clear" w:color="auto" w:fill="FFFFFF"/>
        </w:rPr>
      </w:pPr>
    </w:p>
    <w:p w14:paraId="1EB39767" w14:textId="066CBAEF" w:rsidR="005656FA" w:rsidRPr="00E72418" w:rsidRDefault="004469AC" w:rsidP="00CC4BA8">
      <w:pPr>
        <w:spacing w:line="276" w:lineRule="auto"/>
      </w:pPr>
      <w:r w:rsidRPr="00E72418">
        <w:rPr>
          <w:rFonts w:cs="Times New Roman"/>
          <w:b/>
          <w:szCs w:val="24"/>
          <w:shd w:val="clear" w:color="auto" w:fill="FFFFFF"/>
        </w:rPr>
        <w:t>378</w:t>
      </w:r>
      <w:r w:rsidR="00817D62" w:rsidRPr="00E72418">
        <w:rPr>
          <w:rFonts w:cs="Times New Roman"/>
          <w:b/>
          <w:szCs w:val="24"/>
          <w:shd w:val="clear" w:color="auto" w:fill="FFFFFF"/>
        </w:rPr>
        <w:t xml:space="preserve">. </w:t>
      </w:r>
      <w:r w:rsidR="005656FA" w:rsidRPr="00E72418">
        <w:rPr>
          <w:rFonts w:cs="Times New Roman"/>
          <w:b/>
          <w:szCs w:val="24"/>
          <w:shd w:val="clear" w:color="auto" w:fill="FFFFFF"/>
        </w:rPr>
        <w:t xml:space="preserve">La possible atteinte </w:t>
      </w:r>
      <w:r w:rsidR="005656FA" w:rsidRPr="00E72418">
        <w:rPr>
          <w:b/>
        </w:rPr>
        <w:t xml:space="preserve">– </w:t>
      </w:r>
      <w:r w:rsidR="005656FA" w:rsidRPr="00E72418">
        <w:t>L’article premier du premier Prot</w:t>
      </w:r>
      <w:r w:rsidR="00EC4394" w:rsidRPr="00E72418">
        <w:t>ocole additionnel dispose que </w:t>
      </w:r>
      <w:r w:rsidR="005656FA" w:rsidRPr="00E72418">
        <w:t>« </w:t>
      </w:r>
      <w:r w:rsidR="005656FA" w:rsidRPr="00E72418">
        <w:rPr>
          <w:rFonts w:cs="Times New Roman"/>
        </w:rPr>
        <w:t>[t]</w:t>
      </w:r>
      <w:r w:rsidR="005656FA" w:rsidRPr="00E72418">
        <w:t>oute personne physique ou morale a droit au respect de ses biens. Nul ne peut être privé de sa propriété que pour cause d’utilité publique et dans les conditions prévues par la loi et les principes généraux du droit international</w:t>
      </w:r>
      <w:r w:rsidR="00EC4394" w:rsidRPr="00E72418">
        <w:t> » et que « </w:t>
      </w:r>
      <w:r w:rsidR="00EC4394" w:rsidRPr="00E72418">
        <w:rPr>
          <w:rFonts w:cs="Times New Roman"/>
        </w:rPr>
        <w:t>[l]</w:t>
      </w:r>
      <w:r w:rsidR="005656FA" w:rsidRPr="00E72418">
        <w:t xml:space="preserve">es dispositions précédentes ne portent pas atteinte au droit que possèdent les </w:t>
      </w:r>
      <w:r w:rsidR="005656FA" w:rsidRPr="00E72418">
        <w:rPr>
          <w:rFonts w:cs="Times New Roman"/>
          <w:szCs w:val="24"/>
        </w:rPr>
        <w:t>É</w:t>
      </w:r>
      <w:r w:rsidR="005656FA" w:rsidRPr="00E72418">
        <w:t>tats de mettre en vigueur les lois qu’ils jugent nécessaires pour réglementer l’usage des biens conformément à l’intérêt général ou pour assurer le paiement des impôts ou d’autres contributions ou des amendes ».</w:t>
      </w:r>
    </w:p>
    <w:p w14:paraId="6AC3FF77" w14:textId="5778C9EB" w:rsidR="005656FA" w:rsidRPr="00E72418" w:rsidRDefault="00F11897" w:rsidP="00CC4BA8">
      <w:pPr>
        <w:spacing w:line="276" w:lineRule="auto"/>
        <w:rPr>
          <w:rStyle w:val="sb8d990e2"/>
          <w:rFonts w:cs="Times New Roman"/>
          <w:shd w:val="clear" w:color="auto" w:fill="FFFFFF"/>
        </w:rPr>
      </w:pPr>
      <w:r w:rsidRPr="00E72418">
        <w:rPr>
          <w:rFonts w:cs="Times New Roman"/>
        </w:rPr>
        <w:t xml:space="preserve">Si l’on pense intuitivement à l’atteinte potentiellement portée </w:t>
      </w:r>
      <w:r w:rsidR="00844259" w:rsidRPr="00E72418">
        <w:rPr>
          <w:rFonts w:cs="Times New Roman"/>
        </w:rPr>
        <w:t xml:space="preserve">au droit à la protection de la propriété consacré </w:t>
      </w:r>
      <w:r w:rsidRPr="00E72418">
        <w:rPr>
          <w:rFonts w:cs="Times New Roman"/>
        </w:rPr>
        <w:t>en raison d’une impossibilité d’obtenir la condamnation de son débiteur, les activités des fonds spéculant sur les dettes souveraines sont également axées sur l’exécution de décisions de condamnation dont la limitation pose la question d’une autre possible atteinte à leur droit de propriété</w:t>
      </w:r>
      <w:r w:rsidRPr="00E72418">
        <w:rPr>
          <w:rStyle w:val="Appelnotedebasdep"/>
          <w:rFonts w:cs="Times New Roman"/>
        </w:rPr>
        <w:footnoteReference w:id="1878"/>
      </w:r>
      <w:r w:rsidRPr="00E72418">
        <w:rPr>
          <w:rFonts w:cs="Times New Roman"/>
        </w:rPr>
        <w:t xml:space="preserve">. </w:t>
      </w:r>
      <w:r w:rsidR="00844259" w:rsidRPr="00E72418">
        <w:rPr>
          <w:rFonts w:cs="Times New Roman"/>
        </w:rPr>
        <w:t>Ainsi, d</w:t>
      </w:r>
      <w:r w:rsidR="005656FA" w:rsidRPr="00E72418">
        <w:rPr>
          <w:rFonts w:cs="Times New Roman"/>
        </w:rPr>
        <w:t xml:space="preserve">ans son arrêt </w:t>
      </w:r>
      <w:r w:rsidR="005656FA" w:rsidRPr="00E72418">
        <w:rPr>
          <w:rFonts w:cs="Times New Roman"/>
          <w:i/>
        </w:rPr>
        <w:t>Krstic c. Serbie</w:t>
      </w:r>
      <w:r w:rsidR="005656FA" w:rsidRPr="00E72418">
        <w:rPr>
          <w:rFonts w:cs="Times New Roman"/>
        </w:rPr>
        <w:t xml:space="preserve"> de 2013, la Cour européenne des droits de l’homme a eu l’occasion d</w:t>
      </w:r>
      <w:r w:rsidR="003E7828" w:rsidRPr="00E72418">
        <w:rPr>
          <w:rFonts w:cs="Times New Roman"/>
        </w:rPr>
        <w:t>’indiquer</w:t>
      </w:r>
      <w:r w:rsidR="005656FA" w:rsidRPr="00E72418">
        <w:rPr>
          <w:rFonts w:cs="Times New Roman"/>
        </w:rPr>
        <w:t xml:space="preserve"> que « t</w:t>
      </w:r>
      <w:r w:rsidR="005656FA" w:rsidRPr="00E72418">
        <w:rPr>
          <w:rStyle w:val="sb8d990e2"/>
          <w:rFonts w:cs="Times New Roman"/>
          <w:shd w:val="clear" w:color="auto" w:fill="FFFFFF"/>
        </w:rPr>
        <w:t xml:space="preserve">he inability for a successful litigant to have a judgment or a final administrative decision rendered in his favour fully enforced, if that situation persists for a relatively long period of time, may constitute an interference with his </w:t>
      </w:r>
      <w:r w:rsidR="005656FA" w:rsidRPr="00E72418">
        <w:rPr>
          <w:rStyle w:val="sb8d990e2"/>
          <w:rFonts w:cs="Times New Roman"/>
          <w:shd w:val="clear" w:color="auto" w:fill="FFFFFF"/>
        </w:rPr>
        <w:lastRenderedPageBreak/>
        <w:t xml:space="preserve">right to the peaceful enjoyment of his possessions, in the sense of the first sentence of the first paragraph of Article 1 of Protocol No. 1 </w:t>
      </w:r>
      <w:r w:rsidR="005656FA" w:rsidRPr="00E72418">
        <w:t>»</w:t>
      </w:r>
      <w:r w:rsidR="0004079A" w:rsidRPr="00E72418">
        <w:rPr>
          <w:rStyle w:val="sb8d990e2"/>
          <w:rFonts w:cs="Times New Roman"/>
          <w:shd w:val="clear" w:color="auto" w:fill="FFFFFF"/>
        </w:rPr>
        <w:t xml:space="preserve"> et qu’</w:t>
      </w:r>
      <w:r w:rsidR="005656FA" w:rsidRPr="00E72418">
        <w:rPr>
          <w:rStyle w:val="sb8d990e2"/>
          <w:rFonts w:cs="Times New Roman"/>
          <w:shd w:val="clear" w:color="auto" w:fill="FFFFFF"/>
        </w:rPr>
        <w:t xml:space="preserve"> </w:t>
      </w:r>
      <w:r w:rsidR="005656FA" w:rsidRPr="00E72418">
        <w:t>«</w:t>
      </w:r>
      <w:r w:rsidR="005656FA" w:rsidRPr="00E72418">
        <w:rPr>
          <w:rStyle w:val="sb8d990e2"/>
          <w:rFonts w:cs="Times New Roman"/>
          <w:shd w:val="clear" w:color="auto" w:fill="FFFFFF"/>
        </w:rPr>
        <w:t xml:space="preserve"> </w:t>
      </w:r>
      <w:r w:rsidR="005656FA" w:rsidRPr="00E72418">
        <w:rPr>
          <w:rFonts w:cs="Times New Roman"/>
        </w:rPr>
        <w:t>[a]</w:t>
      </w:r>
      <w:r w:rsidR="005656FA" w:rsidRPr="00E72418">
        <w:rPr>
          <w:rStyle w:val="sb8d990e2"/>
          <w:rFonts w:cs="Times New Roman"/>
          <w:shd w:val="clear" w:color="auto" w:fill="FFFFFF"/>
        </w:rPr>
        <w:t xml:space="preserve">ny such interference by a public authority should be lawful </w:t>
      </w:r>
      <w:r w:rsidR="005656FA" w:rsidRPr="00E72418">
        <w:rPr>
          <w:rFonts w:cs="Times New Roman"/>
        </w:rPr>
        <w:t>[…]</w:t>
      </w:r>
      <w:r w:rsidR="005656FA" w:rsidRPr="00E72418">
        <w:rPr>
          <w:rStyle w:val="sb8d990e2"/>
          <w:rFonts w:cs="Times New Roman"/>
          <w:shd w:val="clear" w:color="auto" w:fill="FFFFFF"/>
        </w:rPr>
        <w:t xml:space="preserve">, should pursue a legitimate aim “in the public interest” and must also be reasonably proportionate to the aim sought to be realised </w:t>
      </w:r>
      <w:r w:rsidR="005656FA" w:rsidRPr="00E72418">
        <w:t>»</w:t>
      </w:r>
      <w:r w:rsidR="005656FA" w:rsidRPr="00E72418">
        <w:rPr>
          <w:rStyle w:val="Appelnotedebasdep"/>
          <w:rFonts w:cs="Times New Roman"/>
          <w:shd w:val="clear" w:color="auto" w:fill="FFFFFF"/>
        </w:rPr>
        <w:footnoteReference w:id="1879"/>
      </w:r>
      <w:r w:rsidR="005656FA" w:rsidRPr="00E72418">
        <w:rPr>
          <w:rStyle w:val="sb8d990e2"/>
          <w:rFonts w:cs="Times New Roman"/>
          <w:shd w:val="clear" w:color="auto" w:fill="FFFFFF"/>
        </w:rPr>
        <w:t>.</w:t>
      </w:r>
    </w:p>
    <w:p w14:paraId="7C2C6925" w14:textId="007F15E2" w:rsidR="005656FA" w:rsidRPr="00E72418" w:rsidRDefault="005656FA" w:rsidP="00CC4BA8">
      <w:pPr>
        <w:spacing w:line="276" w:lineRule="auto"/>
      </w:pPr>
      <w:r w:rsidRPr="00E72418">
        <w:rPr>
          <w:rFonts w:cs="Times New Roman"/>
          <w:szCs w:val="24"/>
          <w:shd w:val="clear" w:color="auto" w:fill="FFFFFF"/>
        </w:rPr>
        <w:t>Dès lors que les lég</w:t>
      </w:r>
      <w:r w:rsidR="002E150B" w:rsidRPr="00E72418">
        <w:rPr>
          <w:rFonts w:cs="Times New Roman"/>
          <w:szCs w:val="24"/>
          <w:shd w:val="clear" w:color="auto" w:fill="FFFFFF"/>
        </w:rPr>
        <w:t>islations anti-fonds spéculatif</w:t>
      </w:r>
      <w:r w:rsidRPr="00E72418">
        <w:rPr>
          <w:rFonts w:cs="Times New Roman"/>
          <w:szCs w:val="24"/>
          <w:shd w:val="clear" w:color="auto" w:fill="FFFFFF"/>
        </w:rPr>
        <w:t>s interfèrent</w:t>
      </w:r>
      <w:r w:rsidR="000C1B64" w:rsidRPr="00E72418">
        <w:rPr>
          <w:rFonts w:cs="Times New Roman"/>
          <w:szCs w:val="24"/>
          <w:shd w:val="clear" w:color="auto" w:fill="FFFFFF"/>
        </w:rPr>
        <w:t>, dans les conditions qu’elles précisent,</w:t>
      </w:r>
      <w:r w:rsidRPr="00E72418">
        <w:rPr>
          <w:rFonts w:cs="Times New Roman"/>
          <w:szCs w:val="24"/>
          <w:shd w:val="clear" w:color="auto" w:fill="FFFFFF"/>
        </w:rPr>
        <w:t xml:space="preserve"> avec l’exercice du droit de propriété de</w:t>
      </w:r>
      <w:r w:rsidR="000C1B64" w:rsidRPr="00E72418">
        <w:rPr>
          <w:rFonts w:cs="Times New Roman"/>
          <w:szCs w:val="24"/>
          <w:shd w:val="clear" w:color="auto" w:fill="FFFFFF"/>
        </w:rPr>
        <w:t>s</w:t>
      </w:r>
      <w:r w:rsidRPr="00E72418">
        <w:rPr>
          <w:rFonts w:cs="Times New Roman"/>
          <w:szCs w:val="24"/>
          <w:shd w:val="clear" w:color="auto" w:fill="FFFFFF"/>
        </w:rPr>
        <w:t xml:space="preserve"> créanciers d’</w:t>
      </w:r>
      <w:r w:rsidRPr="00E72418">
        <w:rPr>
          <w:rFonts w:cs="Times New Roman"/>
          <w:szCs w:val="24"/>
        </w:rPr>
        <w:t>É</w:t>
      </w:r>
      <w:r w:rsidR="000C1B64" w:rsidRPr="00E72418">
        <w:rPr>
          <w:rFonts w:cs="Times New Roman"/>
          <w:szCs w:val="24"/>
          <w:shd w:val="clear" w:color="auto" w:fill="FFFFFF"/>
        </w:rPr>
        <w:t>tats débiteurs</w:t>
      </w:r>
      <w:r w:rsidR="00F11897" w:rsidRPr="00E72418">
        <w:rPr>
          <w:rFonts w:cs="Times New Roman"/>
          <w:szCs w:val="24"/>
          <w:shd w:val="clear" w:color="auto" w:fill="FFFFFF"/>
        </w:rPr>
        <w:t xml:space="preserve"> que ce soit au niveau d’une condamnation sollicitée ou au niveau de l’exécution d’une décision déjà obtenue</w:t>
      </w:r>
      <w:r w:rsidR="000C1B64" w:rsidRPr="00E72418">
        <w:rPr>
          <w:rFonts w:cs="Times New Roman"/>
          <w:szCs w:val="24"/>
          <w:shd w:val="clear" w:color="auto" w:fill="FFFFFF"/>
        </w:rPr>
        <w:t>, l’on peut s’interroger sur le respect</w:t>
      </w:r>
      <w:r w:rsidRPr="00E72418">
        <w:rPr>
          <w:rFonts w:cs="Times New Roman"/>
          <w:szCs w:val="24"/>
          <w:shd w:val="clear" w:color="auto" w:fill="FFFFFF"/>
        </w:rPr>
        <w:t xml:space="preserve"> par celles-ci de </w:t>
      </w:r>
      <w:r w:rsidRPr="00E72418">
        <w:t>l’article premier du Premier Protocole additionnel à la Convention européenne des droits de l’homme</w:t>
      </w:r>
      <w:r w:rsidR="00B07ECA" w:rsidRPr="00E72418">
        <w:rPr>
          <w:rStyle w:val="Appelnotedebasdep"/>
        </w:rPr>
        <w:footnoteReference w:id="1880"/>
      </w:r>
      <w:r w:rsidRPr="00E72418">
        <w:rPr>
          <w:rFonts w:cs="Times New Roman"/>
          <w:szCs w:val="24"/>
          <w:shd w:val="clear" w:color="auto" w:fill="FFFFFF"/>
        </w:rPr>
        <w:t>.</w:t>
      </w:r>
      <w:r w:rsidR="0069357B" w:rsidRPr="00E72418">
        <w:rPr>
          <w:rFonts w:cs="Times New Roman"/>
          <w:szCs w:val="24"/>
          <w:shd w:val="clear" w:color="auto" w:fill="FFFFFF"/>
        </w:rPr>
        <w:t xml:space="preserve"> </w:t>
      </w:r>
      <w:r w:rsidRPr="00E72418">
        <w:rPr>
          <w:rFonts w:cs="Times New Roman"/>
          <w:szCs w:val="24"/>
          <w:shd w:val="clear" w:color="auto" w:fill="FFFFFF"/>
        </w:rPr>
        <w:t>S’il convient, dans u</w:t>
      </w:r>
      <w:r w:rsidR="0069357B" w:rsidRPr="00E72418">
        <w:rPr>
          <w:rFonts w:cs="Times New Roman"/>
          <w:szCs w:val="24"/>
          <w:shd w:val="clear" w:color="auto" w:fill="FFFFFF"/>
        </w:rPr>
        <w:t>n premier temps, d’analyser si c</w:t>
      </w:r>
      <w:r w:rsidRPr="00E72418">
        <w:rPr>
          <w:rFonts w:cs="Times New Roman"/>
          <w:szCs w:val="24"/>
          <w:shd w:val="clear" w:color="auto" w:fill="FFFFFF"/>
        </w:rPr>
        <w:t xml:space="preserve">es législations </w:t>
      </w:r>
      <w:r w:rsidR="00844259" w:rsidRPr="00E72418">
        <w:rPr>
          <w:rFonts w:cs="Times New Roman"/>
          <w:szCs w:val="24"/>
          <w:shd w:val="clear" w:color="auto" w:fill="FFFFFF"/>
        </w:rPr>
        <w:t>visent</w:t>
      </w:r>
      <w:r w:rsidRPr="00E72418">
        <w:rPr>
          <w:rFonts w:cs="Times New Roman"/>
          <w:szCs w:val="24"/>
          <w:shd w:val="clear" w:color="auto" w:fill="FFFFFF"/>
        </w:rPr>
        <w:t xml:space="preserve"> des « biens » au sens de la disposition</w:t>
      </w:r>
      <w:r w:rsidR="00667D0D" w:rsidRPr="00E72418">
        <w:rPr>
          <w:rFonts w:cs="Times New Roman"/>
          <w:szCs w:val="24"/>
          <w:shd w:val="clear" w:color="auto" w:fill="FFFFFF"/>
        </w:rPr>
        <w:t xml:space="preserve"> (</w:t>
      </w:r>
      <w:r w:rsidR="00667D0D" w:rsidRPr="00E72418">
        <w:rPr>
          <w:rFonts w:cs="Times New Roman"/>
          <w:b/>
          <w:szCs w:val="24"/>
          <w:shd w:val="clear" w:color="auto" w:fill="FFFFFF"/>
        </w:rPr>
        <w:t>sous-section 1</w:t>
      </w:r>
      <w:r w:rsidR="00667D0D" w:rsidRPr="00E72418">
        <w:rPr>
          <w:rFonts w:cs="Times New Roman"/>
          <w:szCs w:val="24"/>
          <w:shd w:val="clear" w:color="auto" w:fill="FFFFFF"/>
        </w:rPr>
        <w:t>)</w:t>
      </w:r>
      <w:r w:rsidRPr="00E72418">
        <w:rPr>
          <w:rFonts w:cs="Times New Roman"/>
          <w:szCs w:val="24"/>
          <w:shd w:val="clear" w:color="auto" w:fill="FFFFFF"/>
        </w:rPr>
        <w:t xml:space="preserve">, il faut ensuite se demander, d’une part, si l’atteinte légalisée </w:t>
      </w:r>
      <w:r w:rsidR="00667D0D" w:rsidRPr="00E72418">
        <w:rPr>
          <w:rFonts w:cs="Times New Roman"/>
          <w:szCs w:val="24"/>
          <w:shd w:val="clear" w:color="auto" w:fill="FFFFFF"/>
        </w:rPr>
        <w:t>(</w:t>
      </w:r>
      <w:r w:rsidR="00667D0D" w:rsidRPr="00E72418">
        <w:rPr>
          <w:rFonts w:cs="Times New Roman"/>
          <w:b/>
          <w:szCs w:val="24"/>
          <w:shd w:val="clear" w:color="auto" w:fill="FFFFFF"/>
        </w:rPr>
        <w:t>sous-section 2</w:t>
      </w:r>
      <w:r w:rsidR="00667D0D" w:rsidRPr="00E72418">
        <w:rPr>
          <w:rFonts w:cs="Times New Roman"/>
          <w:szCs w:val="24"/>
          <w:shd w:val="clear" w:color="auto" w:fill="FFFFFF"/>
        </w:rPr>
        <w:t xml:space="preserve">) </w:t>
      </w:r>
      <w:r w:rsidRPr="00E72418">
        <w:rPr>
          <w:rFonts w:cs="Times New Roman"/>
          <w:szCs w:val="24"/>
          <w:shd w:val="clear" w:color="auto" w:fill="FFFFFF"/>
        </w:rPr>
        <w:t>s’inscrit dans la poursuite de l’utilité publique et l’intérêt général</w:t>
      </w:r>
      <w:r w:rsidR="00667D0D" w:rsidRPr="00E72418">
        <w:rPr>
          <w:rFonts w:cs="Times New Roman"/>
          <w:szCs w:val="24"/>
          <w:shd w:val="clear" w:color="auto" w:fill="FFFFFF"/>
        </w:rPr>
        <w:t xml:space="preserve"> (</w:t>
      </w:r>
      <w:r w:rsidR="00667D0D" w:rsidRPr="00E72418">
        <w:rPr>
          <w:rFonts w:cs="Times New Roman"/>
          <w:b/>
          <w:szCs w:val="24"/>
          <w:shd w:val="clear" w:color="auto" w:fill="FFFFFF"/>
        </w:rPr>
        <w:t>sous-section 3</w:t>
      </w:r>
      <w:r w:rsidR="00667D0D" w:rsidRPr="00E72418">
        <w:rPr>
          <w:rFonts w:cs="Times New Roman"/>
          <w:szCs w:val="24"/>
          <w:shd w:val="clear" w:color="auto" w:fill="FFFFFF"/>
        </w:rPr>
        <w:t>)</w:t>
      </w:r>
      <w:r w:rsidRPr="00E72418">
        <w:rPr>
          <w:rFonts w:cs="Times New Roman"/>
          <w:szCs w:val="24"/>
          <w:shd w:val="clear" w:color="auto" w:fill="FFFFFF"/>
        </w:rPr>
        <w:t>, d’autre part, si elle y est proportionnée</w:t>
      </w:r>
      <w:r w:rsidR="00667D0D" w:rsidRPr="00E72418">
        <w:rPr>
          <w:rFonts w:cs="Times New Roman"/>
          <w:szCs w:val="24"/>
          <w:shd w:val="clear" w:color="auto" w:fill="FFFFFF"/>
        </w:rPr>
        <w:t xml:space="preserve"> (</w:t>
      </w:r>
      <w:r w:rsidR="00667D0D" w:rsidRPr="00E72418">
        <w:rPr>
          <w:rFonts w:cs="Times New Roman"/>
          <w:b/>
          <w:szCs w:val="24"/>
          <w:shd w:val="clear" w:color="auto" w:fill="FFFFFF"/>
        </w:rPr>
        <w:t>sous-section 4</w:t>
      </w:r>
      <w:r w:rsidR="00667D0D" w:rsidRPr="00E72418">
        <w:rPr>
          <w:rFonts w:cs="Times New Roman"/>
          <w:szCs w:val="24"/>
          <w:shd w:val="clear" w:color="auto" w:fill="FFFFFF"/>
        </w:rPr>
        <w:t>)</w:t>
      </w:r>
      <w:r w:rsidRPr="00E72418">
        <w:rPr>
          <w:rFonts w:cs="Times New Roman"/>
          <w:szCs w:val="24"/>
          <w:shd w:val="clear" w:color="auto" w:fill="FFFFFF"/>
        </w:rPr>
        <w:t xml:space="preserve">. </w:t>
      </w:r>
    </w:p>
    <w:p w14:paraId="57D52425" w14:textId="77777777" w:rsidR="005656FA" w:rsidRPr="00E72418" w:rsidRDefault="005656FA" w:rsidP="00CC4BA8">
      <w:pPr>
        <w:spacing w:line="276" w:lineRule="auto"/>
      </w:pPr>
    </w:p>
    <w:p w14:paraId="26D87ED4" w14:textId="5EB2D396" w:rsidR="005656FA" w:rsidRPr="00E72418" w:rsidRDefault="008665DF" w:rsidP="00CC4BA8">
      <w:pPr>
        <w:pStyle w:val="EE"/>
        <w:spacing w:line="276" w:lineRule="auto"/>
        <w:jc w:val="left"/>
      </w:pPr>
      <w:bookmarkStart w:id="437" w:name="_Toc59281011"/>
      <w:bookmarkStart w:id="438" w:name="_Toc84541002"/>
      <w:r w:rsidRPr="00E72418">
        <w:t xml:space="preserve">Sous-section 1 : </w:t>
      </w:r>
      <w:r w:rsidR="005656FA" w:rsidRPr="00E72418">
        <w:t>La notion de « biens »</w:t>
      </w:r>
      <w:bookmarkEnd w:id="437"/>
      <w:bookmarkEnd w:id="438"/>
    </w:p>
    <w:p w14:paraId="72E97F6F" w14:textId="77777777" w:rsidR="007A12E9" w:rsidRPr="00E72418" w:rsidRDefault="007A12E9" w:rsidP="007A12E9"/>
    <w:p w14:paraId="6C688A50" w14:textId="78844D41" w:rsidR="005656FA" w:rsidRPr="00E72418" w:rsidRDefault="004469AC" w:rsidP="00CC4BA8">
      <w:pPr>
        <w:spacing w:line="276" w:lineRule="auto"/>
        <w:rPr>
          <w:rFonts w:cs="Times New Roman"/>
        </w:rPr>
      </w:pPr>
      <w:r w:rsidRPr="00E72418">
        <w:rPr>
          <w:b/>
        </w:rPr>
        <w:t>379</w:t>
      </w:r>
      <w:r w:rsidR="00817D62" w:rsidRPr="00E72418">
        <w:rPr>
          <w:b/>
        </w:rPr>
        <w:t xml:space="preserve">. </w:t>
      </w:r>
      <w:r w:rsidR="00844259" w:rsidRPr="00E72418">
        <w:rPr>
          <w:b/>
        </w:rPr>
        <w:t>D</w:t>
      </w:r>
      <w:r w:rsidR="005656FA" w:rsidRPr="00E72418">
        <w:rPr>
          <w:b/>
        </w:rPr>
        <w:t>es créances –</w:t>
      </w:r>
      <w:r w:rsidR="005656FA" w:rsidRPr="00E72418">
        <w:rPr>
          <w:rFonts w:cs="Times New Roman"/>
        </w:rPr>
        <w:t xml:space="preserve"> Dès lors que les législations nationales étudiées ambitionnent de régler la façon dont des créanciers peuvent poursuivre leurs créances détenues à l’encontre d’</w:t>
      </w:r>
      <w:r w:rsidR="005656FA" w:rsidRPr="00E72418">
        <w:rPr>
          <w:rFonts w:cs="Times New Roman"/>
          <w:szCs w:val="24"/>
        </w:rPr>
        <w:t>É</w:t>
      </w:r>
      <w:r w:rsidR="005656FA" w:rsidRPr="00E72418">
        <w:rPr>
          <w:rFonts w:cs="Times New Roman"/>
        </w:rPr>
        <w:t xml:space="preserve">tats débiteurs, l’on peut se demander si ces créances </w:t>
      </w:r>
      <w:r w:rsidR="008D3546" w:rsidRPr="00E72418">
        <w:rPr>
          <w:rFonts w:cs="Times New Roman"/>
        </w:rPr>
        <w:t>doivent être reconnues comme étant</w:t>
      </w:r>
      <w:r w:rsidR="005656FA" w:rsidRPr="00E72418">
        <w:rPr>
          <w:rFonts w:cs="Times New Roman"/>
        </w:rPr>
        <w:t xml:space="preserve"> des « biens » au sens de l’article premier du Premier Protocole additionnel</w:t>
      </w:r>
      <w:r w:rsidR="00FA4EA3" w:rsidRPr="00E72418">
        <w:rPr>
          <w:rStyle w:val="Appelnotedebasdep"/>
          <w:rFonts w:cs="Times New Roman"/>
        </w:rPr>
        <w:footnoteReference w:id="1881"/>
      </w:r>
      <w:r w:rsidR="005656FA" w:rsidRPr="00E72418">
        <w:rPr>
          <w:rFonts w:cs="Times New Roman"/>
        </w:rPr>
        <w:t>.</w:t>
      </w:r>
    </w:p>
    <w:p w14:paraId="018F0904" w14:textId="4DDEE295" w:rsidR="005656FA" w:rsidRPr="00E72418" w:rsidRDefault="008D3546" w:rsidP="00CC4BA8">
      <w:pPr>
        <w:spacing w:line="276" w:lineRule="auto"/>
      </w:pPr>
      <w:r w:rsidRPr="00E72418">
        <w:rPr>
          <w:rFonts w:cs="Times New Roman"/>
        </w:rPr>
        <w:t xml:space="preserve">La jurisprudence de la Cour européenne </w:t>
      </w:r>
      <w:r w:rsidR="00431812" w:rsidRPr="00E72418">
        <w:rPr>
          <w:rFonts w:cs="Times New Roman"/>
        </w:rPr>
        <w:t xml:space="preserve">des droits de l’homme </w:t>
      </w:r>
      <w:r w:rsidRPr="00E72418">
        <w:rPr>
          <w:rFonts w:cs="Times New Roman"/>
        </w:rPr>
        <w:t xml:space="preserve">permet de répondre positivement à cette question. </w:t>
      </w:r>
      <w:r w:rsidR="005656FA" w:rsidRPr="00E72418">
        <w:rPr>
          <w:rFonts w:cs="Times New Roman"/>
        </w:rPr>
        <w:t xml:space="preserve">Dans son arrêt </w:t>
      </w:r>
      <w:r w:rsidR="005656FA" w:rsidRPr="00E72418">
        <w:rPr>
          <w:rStyle w:val="s7d2086b4"/>
          <w:i/>
        </w:rPr>
        <w:t>Staibano et autres c. Italie</w:t>
      </w:r>
      <w:r w:rsidR="005656FA" w:rsidRPr="00E72418">
        <w:rPr>
          <w:rStyle w:val="s7d2086b4"/>
        </w:rPr>
        <w:t xml:space="preserve"> de 2014,</w:t>
      </w:r>
      <w:r w:rsidR="005656FA" w:rsidRPr="00E72418">
        <w:rPr>
          <w:rFonts w:cs="Times New Roman"/>
        </w:rPr>
        <w:t xml:space="preserve"> la Cour décida</w:t>
      </w:r>
      <w:r w:rsidR="00A91CD9" w:rsidRPr="00E72418">
        <w:rPr>
          <w:rFonts w:cs="Times New Roman"/>
        </w:rPr>
        <w:t xml:space="preserve"> en effet</w:t>
      </w:r>
      <w:r w:rsidR="005656FA" w:rsidRPr="00E72418">
        <w:rPr>
          <w:rFonts w:cs="Times New Roman"/>
        </w:rPr>
        <w:t xml:space="preserve"> que la notion de </w:t>
      </w:r>
      <w:r w:rsidR="000B4CBA" w:rsidRPr="00E72418">
        <w:rPr>
          <w:rFonts w:cs="Times New Roman"/>
        </w:rPr>
        <w:t>« </w:t>
      </w:r>
      <w:r w:rsidR="005656FA" w:rsidRPr="00E72418">
        <w:rPr>
          <w:rFonts w:cs="Times New Roman"/>
        </w:rPr>
        <w:t>biens</w:t>
      </w:r>
      <w:r w:rsidR="000B4CBA" w:rsidRPr="00E72418">
        <w:rPr>
          <w:rFonts w:cs="Times New Roman"/>
        </w:rPr>
        <w:t> »</w:t>
      </w:r>
      <w:r w:rsidR="005656FA" w:rsidRPr="00E72418">
        <w:rPr>
          <w:rFonts w:cs="Times New Roman"/>
        </w:rPr>
        <w:t xml:space="preserve"> telle que visée à l’article </w:t>
      </w:r>
      <w:r w:rsidR="005656FA" w:rsidRPr="00E72418">
        <w:t>premier du Premier Protocole additionnel</w:t>
      </w:r>
      <w:r w:rsidR="005656FA" w:rsidRPr="00E72418">
        <w:rPr>
          <w:rStyle w:val="sb8d990e2"/>
          <w:rFonts w:cs="Times New Roman"/>
          <w:shd w:val="clear" w:color="auto" w:fill="FFFFFF"/>
        </w:rPr>
        <w:t xml:space="preserve"> peut recouvrir </w:t>
      </w:r>
      <w:r w:rsidR="005656FA" w:rsidRPr="00E72418">
        <w:rPr>
          <w:rFonts w:cs="Times New Roman"/>
          <w:shd w:val="clear" w:color="auto" w:fill="FFFFFF"/>
        </w:rPr>
        <w:t xml:space="preserve">des valeurs patrimoniales que sont </w:t>
      </w:r>
      <w:r w:rsidR="005656FA" w:rsidRPr="00E72418">
        <w:rPr>
          <w:rStyle w:val="sb8d990e2"/>
          <w:rFonts w:cs="Times New Roman"/>
          <w:shd w:val="clear" w:color="auto" w:fill="FFFFFF"/>
        </w:rPr>
        <w:t>des créances pour autant que leur titulaire démontre que celles-ci ont une base suffisante en droit interne</w:t>
      </w:r>
      <w:r w:rsidR="005656FA" w:rsidRPr="00E72418">
        <w:rPr>
          <w:rStyle w:val="Appelnotedebasdep"/>
          <w:rFonts w:cs="Times New Roman"/>
          <w:shd w:val="clear" w:color="auto" w:fill="FFFFFF"/>
        </w:rPr>
        <w:footnoteReference w:id="1882"/>
      </w:r>
      <w:r w:rsidR="005656FA" w:rsidRPr="00E72418">
        <w:rPr>
          <w:rStyle w:val="sb8d990e2"/>
          <w:rFonts w:cs="Times New Roman"/>
          <w:shd w:val="clear" w:color="auto" w:fill="FFFFFF"/>
        </w:rPr>
        <w:t>. Ce peut être</w:t>
      </w:r>
      <w:r w:rsidR="00A91CD9" w:rsidRPr="00E72418">
        <w:rPr>
          <w:rStyle w:val="sb8d990e2"/>
          <w:rFonts w:cs="Times New Roman"/>
          <w:shd w:val="clear" w:color="auto" w:fill="FFFFFF"/>
        </w:rPr>
        <w:t xml:space="preserve"> </w:t>
      </w:r>
      <w:r w:rsidR="005656FA" w:rsidRPr="00E72418">
        <w:rPr>
          <w:rStyle w:val="sb8d990e2"/>
          <w:rFonts w:cs="Times New Roman"/>
          <w:shd w:val="clear" w:color="auto" w:fill="FFFFFF"/>
        </w:rPr>
        <w:t>le cas</w:t>
      </w:r>
      <w:r w:rsidR="00A91CD9" w:rsidRPr="00E72418">
        <w:rPr>
          <w:rStyle w:val="sb8d990e2"/>
          <w:rFonts w:cs="Times New Roman"/>
          <w:shd w:val="clear" w:color="auto" w:fill="FFFFFF"/>
        </w:rPr>
        <w:t>, par exemple,</w:t>
      </w:r>
      <w:r w:rsidR="00FA4EA3" w:rsidRPr="00E72418">
        <w:rPr>
          <w:rStyle w:val="sb8d990e2"/>
          <w:rFonts w:cs="Times New Roman"/>
          <w:shd w:val="clear" w:color="auto" w:fill="FFFFFF"/>
        </w:rPr>
        <w:t xml:space="preserve"> </w:t>
      </w:r>
      <w:r w:rsidR="005656FA" w:rsidRPr="00E72418">
        <w:rPr>
          <w:rStyle w:val="sb8d990e2"/>
          <w:rFonts w:cs="Times New Roman"/>
          <w:shd w:val="clear" w:color="auto" w:fill="FFFFFF"/>
        </w:rPr>
        <w:t>lorsque ces créances sont confirmées par une jurisprudence bien établie des tribunaux</w:t>
      </w:r>
      <w:r w:rsidR="005656FA" w:rsidRPr="00E72418">
        <w:rPr>
          <w:rStyle w:val="Appelnotedebasdep"/>
          <w:rFonts w:cs="Times New Roman"/>
          <w:shd w:val="clear" w:color="auto" w:fill="FFFFFF"/>
        </w:rPr>
        <w:footnoteReference w:id="1883"/>
      </w:r>
      <w:r w:rsidR="005656FA" w:rsidRPr="00E72418">
        <w:rPr>
          <w:rStyle w:val="sb8d990e2"/>
          <w:rFonts w:cs="Times New Roman"/>
          <w:shd w:val="clear" w:color="auto" w:fill="FFFFFF"/>
        </w:rPr>
        <w:t>.</w:t>
      </w:r>
      <w:r w:rsidRPr="00E72418">
        <w:rPr>
          <w:rStyle w:val="s7d2086b4"/>
          <w:rFonts w:cs="Times New Roman"/>
          <w:bCs/>
          <w:shd w:val="clear" w:color="auto" w:fill="FFFFFF"/>
        </w:rPr>
        <w:t xml:space="preserve"> </w:t>
      </w:r>
      <w:r w:rsidR="009855CE" w:rsidRPr="00E72418">
        <w:t xml:space="preserve">Dans l’arrêt </w:t>
      </w:r>
      <w:r w:rsidR="009855CE" w:rsidRPr="00E72418">
        <w:rPr>
          <w:i/>
        </w:rPr>
        <w:t>Malysh et autres c. Russie</w:t>
      </w:r>
      <w:r w:rsidR="009855CE" w:rsidRPr="00E72418">
        <w:t xml:space="preserve">, la Cour européenne a spécifiquement </w:t>
      </w:r>
      <w:r w:rsidR="009855CE" w:rsidRPr="00E72418">
        <w:lastRenderedPageBreak/>
        <w:t>retenu au sujet d’obligations émises par la Russie que « the applicants’</w:t>
      </w:r>
      <w:r w:rsidR="0044014E" w:rsidRPr="00E72418">
        <w:t> right to</w:t>
      </w:r>
      <w:r w:rsidR="009855CE" w:rsidRPr="00E72418">
        <w:t> obtain redemption of the debt arising out of the </w:t>
      </w:r>
      <w:r w:rsidR="009855CE" w:rsidRPr="00E72418">
        <w:rPr>
          <w:i/>
        </w:rPr>
        <w:t>Urozhay-90</w:t>
      </w:r>
      <w:r w:rsidR="009855CE" w:rsidRPr="00E72418">
        <w:t> bonds constitutes a “possession” within the meaning of that Convention provision »</w:t>
      </w:r>
      <w:r w:rsidR="009855CE" w:rsidRPr="00E72418">
        <w:rPr>
          <w:rStyle w:val="Appelnotedebasdep"/>
        </w:rPr>
        <w:footnoteReference w:id="1884"/>
      </w:r>
      <w:r w:rsidR="009855CE" w:rsidRPr="00E72418">
        <w:t xml:space="preserve">. </w:t>
      </w:r>
      <w:r w:rsidR="005656FA" w:rsidRPr="00E72418">
        <w:rPr>
          <w:rStyle w:val="s7d2086b4"/>
          <w:rFonts w:cs="Times New Roman"/>
          <w:bCs/>
          <w:shd w:val="clear" w:color="auto" w:fill="FFFFFF"/>
        </w:rPr>
        <w:t xml:space="preserve">Dans son arrêt </w:t>
      </w:r>
      <w:r w:rsidR="005656FA" w:rsidRPr="00E72418">
        <w:rPr>
          <w:rStyle w:val="s7d2086b4"/>
          <w:i/>
        </w:rPr>
        <w:t>Mamatas et autres c. Grèce</w:t>
      </w:r>
      <w:r w:rsidR="005656FA" w:rsidRPr="00E72418">
        <w:rPr>
          <w:rStyle w:val="s7d2086b4"/>
        </w:rPr>
        <w:t xml:space="preserve"> </w:t>
      </w:r>
      <w:r w:rsidR="009855CE" w:rsidRPr="00E72418">
        <w:rPr>
          <w:rStyle w:val="s7d2086b4"/>
        </w:rPr>
        <w:t xml:space="preserve">très remarqué </w:t>
      </w:r>
      <w:r w:rsidR="005656FA" w:rsidRPr="00E72418">
        <w:rPr>
          <w:rStyle w:val="s7d2086b4"/>
        </w:rPr>
        <w:t>de 2016</w:t>
      </w:r>
      <w:r w:rsidRPr="00E72418">
        <w:rPr>
          <w:rStyle w:val="s7d2086b4"/>
          <w:rFonts w:cs="Times New Roman"/>
          <w:bCs/>
          <w:shd w:val="clear" w:color="auto" w:fill="FFFFFF"/>
        </w:rPr>
        <w:t>, la Cour</w:t>
      </w:r>
      <w:r w:rsidR="009855CE" w:rsidRPr="00E72418">
        <w:rPr>
          <w:rStyle w:val="s7d2086b4"/>
          <w:rFonts w:cs="Times New Roman"/>
          <w:bCs/>
          <w:shd w:val="clear" w:color="auto" w:fill="FFFFFF"/>
        </w:rPr>
        <w:t>, saisie par d</w:t>
      </w:r>
      <w:r w:rsidR="00FC4E03" w:rsidRPr="00E72418">
        <w:rPr>
          <w:rStyle w:val="s7d2086b4"/>
          <w:rFonts w:cs="Times New Roman"/>
          <w:bCs/>
          <w:shd w:val="clear" w:color="auto" w:fill="FFFFFF"/>
        </w:rPr>
        <w:t>es porteurs d’obligations de l’</w:t>
      </w:r>
      <w:r w:rsidR="00FC4E03" w:rsidRPr="00E72418">
        <w:rPr>
          <w:rFonts w:ascii="Times New Roman" w:hAnsi="Times New Roman" w:cs="Times New Roman"/>
          <w:lang w:eastAsia="fr-BE"/>
        </w:rPr>
        <w:t>É</w:t>
      </w:r>
      <w:r w:rsidR="009855CE" w:rsidRPr="00E72418">
        <w:rPr>
          <w:rStyle w:val="s7d2086b4"/>
          <w:rFonts w:cs="Times New Roman"/>
          <w:bCs/>
          <w:shd w:val="clear" w:color="auto" w:fill="FFFFFF"/>
        </w:rPr>
        <w:t>tat grec,</w:t>
      </w:r>
      <w:r w:rsidRPr="00E72418">
        <w:rPr>
          <w:rStyle w:val="s7d2086b4"/>
          <w:rFonts w:cs="Times New Roman"/>
          <w:bCs/>
          <w:shd w:val="clear" w:color="auto" w:fill="FFFFFF"/>
        </w:rPr>
        <w:t xml:space="preserve"> jugea</w:t>
      </w:r>
      <w:r w:rsidR="005656FA" w:rsidRPr="00E72418">
        <w:rPr>
          <w:rStyle w:val="s7d2086b4"/>
          <w:rFonts w:cs="Times New Roman"/>
          <w:bCs/>
          <w:shd w:val="clear" w:color="auto" w:fill="FFFFFF"/>
        </w:rPr>
        <w:t xml:space="preserve"> qu’un titre de créance à rembourser à échéance est un bien au sens de l’article étudié</w:t>
      </w:r>
      <w:r w:rsidR="005656FA" w:rsidRPr="00E72418">
        <w:rPr>
          <w:rStyle w:val="Appelnotedebasdep"/>
          <w:rFonts w:cs="Times New Roman"/>
          <w:bCs/>
          <w:shd w:val="clear" w:color="auto" w:fill="FFFFFF"/>
        </w:rPr>
        <w:footnoteReference w:id="1885"/>
      </w:r>
      <w:r w:rsidRPr="00E72418">
        <w:rPr>
          <w:rStyle w:val="s7d2086b4"/>
          <w:rFonts w:cs="Times New Roman"/>
          <w:bCs/>
          <w:shd w:val="clear" w:color="auto" w:fill="FFFFFF"/>
        </w:rPr>
        <w:t>. Finalement, d</w:t>
      </w:r>
      <w:r w:rsidR="00A91CD9" w:rsidRPr="00E72418">
        <w:t>ans s</w:t>
      </w:r>
      <w:r w:rsidR="005656FA" w:rsidRPr="00E72418">
        <w:t xml:space="preserve">a décision </w:t>
      </w:r>
      <w:r w:rsidR="005656FA" w:rsidRPr="00E72418">
        <w:rPr>
          <w:i/>
        </w:rPr>
        <w:t>Nosov c. Russie</w:t>
      </w:r>
      <w:r w:rsidR="005656FA" w:rsidRPr="00E72418">
        <w:t>, la Cour européenne d</w:t>
      </w:r>
      <w:r w:rsidR="0004079A" w:rsidRPr="00E72418">
        <w:t>es droits de l’homme indiqua qu’</w:t>
      </w:r>
      <w:r w:rsidR="005656FA" w:rsidRPr="00E72418">
        <w:t xml:space="preserve"> « an assignment of a debt is capable in principle of amounting to such a “possession” »</w:t>
      </w:r>
      <w:r w:rsidR="005656FA" w:rsidRPr="00E72418">
        <w:rPr>
          <w:rStyle w:val="Appelnotedebasdep"/>
        </w:rPr>
        <w:footnoteReference w:id="1886"/>
      </w:r>
      <w:r w:rsidR="005656FA" w:rsidRPr="00E72418">
        <w:t>.</w:t>
      </w:r>
    </w:p>
    <w:p w14:paraId="7AA75F68" w14:textId="371A1327" w:rsidR="007B5C7C" w:rsidRPr="00E72418" w:rsidRDefault="007B5C7C" w:rsidP="00CC4BA8">
      <w:pPr>
        <w:spacing w:line="276" w:lineRule="auto"/>
        <w:rPr>
          <w:rFonts w:cs="Times New Roman"/>
          <w:bCs/>
          <w:shd w:val="clear" w:color="auto" w:fill="FFFFFF"/>
        </w:rPr>
      </w:pPr>
      <w:r w:rsidRPr="00E72418">
        <w:rPr>
          <w:rFonts w:cs="Times New Roman"/>
          <w:bCs/>
          <w:shd w:val="clear" w:color="auto" w:fill="FFFFFF"/>
        </w:rPr>
        <w:t>Comme l’a relevé Patrick Wautelet, il n’apparaît pas que le fait qu’un créancier ait acquis la dette qu’il détient sur la marché secondaire à prix réduit, comme cela est caractéristique du modèle économique des fonds spéculant sur les dette souveraines</w:t>
      </w:r>
      <w:r w:rsidRPr="00E72418">
        <w:rPr>
          <w:rStyle w:val="Appelnotedebasdep"/>
          <w:rFonts w:cs="Times New Roman"/>
          <w:bCs/>
          <w:shd w:val="clear" w:color="auto" w:fill="FFFFFF"/>
        </w:rPr>
        <w:footnoteReference w:id="1887"/>
      </w:r>
      <w:r w:rsidRPr="00E72418">
        <w:rPr>
          <w:rFonts w:cs="Times New Roman"/>
          <w:bCs/>
          <w:shd w:val="clear" w:color="auto" w:fill="FFFFFF"/>
        </w:rPr>
        <w:t>, soit de nature à faire échapper cette dette à la protection reprise à l’article premi</w:t>
      </w:r>
      <w:r w:rsidR="00A02DAE" w:rsidRPr="00E72418">
        <w:rPr>
          <w:rFonts w:cs="Times New Roman"/>
          <w:bCs/>
          <w:shd w:val="clear" w:color="auto" w:fill="FFFFFF"/>
        </w:rPr>
        <w:t>er</w:t>
      </w:r>
      <w:r w:rsidRPr="00E72418">
        <w:rPr>
          <w:rFonts w:cs="Times New Roman"/>
          <w:bCs/>
          <w:shd w:val="clear" w:color="auto" w:fill="FFFFFF"/>
        </w:rPr>
        <w:t xml:space="preserve"> du </w:t>
      </w:r>
      <w:r w:rsidRPr="00E72418">
        <w:rPr>
          <w:rFonts w:cs="Times New Roman"/>
        </w:rPr>
        <w:t>Premier Protocole additionnel</w:t>
      </w:r>
      <w:r w:rsidRPr="00E72418">
        <w:rPr>
          <w:rStyle w:val="Appelnotedebasdep"/>
          <w:rFonts w:cs="Times New Roman"/>
        </w:rPr>
        <w:footnoteReference w:id="1888"/>
      </w:r>
      <w:r w:rsidRPr="00E72418">
        <w:rPr>
          <w:rFonts w:cs="Times New Roman"/>
        </w:rPr>
        <w:t>.</w:t>
      </w:r>
      <w:r w:rsidR="00B07ECA" w:rsidRPr="00E72418">
        <w:rPr>
          <w:rFonts w:cs="Times New Roman"/>
        </w:rPr>
        <w:t xml:space="preserve"> L’auteur précise d’ailleurs que « [n]either it is relevant that the bondholder may be an investment fund established in a tax paradise – or that its activities remain shrouded in secrecy »</w:t>
      </w:r>
      <w:r w:rsidR="00B07ECA" w:rsidRPr="00E72418">
        <w:rPr>
          <w:rStyle w:val="Appelnotedebasdep"/>
          <w:rFonts w:cs="Times New Roman"/>
        </w:rPr>
        <w:footnoteReference w:id="1889"/>
      </w:r>
      <w:r w:rsidR="00B07ECA" w:rsidRPr="00E72418">
        <w:rPr>
          <w:rFonts w:cs="Times New Roman"/>
        </w:rPr>
        <w:t>.</w:t>
      </w:r>
    </w:p>
    <w:p w14:paraId="67598BEF" w14:textId="0F16E6A2" w:rsidR="005656FA" w:rsidRPr="00E72418" w:rsidRDefault="005656FA" w:rsidP="00CC4BA8">
      <w:pPr>
        <w:spacing w:line="276" w:lineRule="auto"/>
      </w:pPr>
      <w:r w:rsidRPr="00E72418">
        <w:rPr>
          <w:rStyle w:val="s7d2086b4"/>
          <w:rFonts w:cs="Times New Roman"/>
          <w:bCs/>
          <w:shd w:val="clear" w:color="auto" w:fill="FFFFFF"/>
        </w:rPr>
        <w:t xml:space="preserve">Si la notion de </w:t>
      </w:r>
      <w:r w:rsidR="008D3546" w:rsidRPr="00E72418">
        <w:rPr>
          <w:rStyle w:val="s7d2086b4"/>
          <w:rFonts w:cs="Times New Roman"/>
          <w:bCs/>
          <w:shd w:val="clear" w:color="auto" w:fill="FFFFFF"/>
        </w:rPr>
        <w:t>« </w:t>
      </w:r>
      <w:r w:rsidRPr="00E72418">
        <w:rPr>
          <w:rStyle w:val="s7d2086b4"/>
          <w:rFonts w:cs="Times New Roman"/>
          <w:bCs/>
          <w:shd w:val="clear" w:color="auto" w:fill="FFFFFF"/>
        </w:rPr>
        <w:t>biens</w:t>
      </w:r>
      <w:r w:rsidR="008D3546" w:rsidRPr="00E72418">
        <w:rPr>
          <w:rStyle w:val="s7d2086b4"/>
          <w:rFonts w:cs="Times New Roman"/>
          <w:bCs/>
          <w:shd w:val="clear" w:color="auto" w:fill="FFFFFF"/>
        </w:rPr>
        <w:t> »</w:t>
      </w:r>
      <w:r w:rsidRPr="00E72418">
        <w:rPr>
          <w:rStyle w:val="s7d2086b4"/>
          <w:rFonts w:cs="Times New Roman"/>
          <w:bCs/>
          <w:shd w:val="clear" w:color="auto" w:fill="FFFFFF"/>
        </w:rPr>
        <w:t xml:space="preserve"> </w:t>
      </w:r>
      <w:r w:rsidRPr="00E72418">
        <w:rPr>
          <w:rStyle w:val="sb8d990e2"/>
          <w:rFonts w:cs="Times New Roman"/>
          <w:shd w:val="clear" w:color="auto" w:fill="FFFFFF"/>
        </w:rPr>
        <w:t xml:space="preserve">peut recouvrir des valeurs patrimoniales, y compris des créances, il faut encore, </w:t>
      </w:r>
      <w:r w:rsidR="008D3546" w:rsidRPr="00E72418">
        <w:rPr>
          <w:rStyle w:val="sb8d990e2"/>
          <w:rFonts w:cs="Times New Roman"/>
          <w:shd w:val="clear" w:color="auto" w:fill="FFFFFF"/>
        </w:rPr>
        <w:t xml:space="preserve">l’affirme </w:t>
      </w:r>
      <w:r w:rsidRPr="00E72418">
        <w:rPr>
          <w:rStyle w:val="sb8d990e2"/>
          <w:rFonts w:cs="Times New Roman"/>
          <w:shd w:val="clear" w:color="auto" w:fill="FFFFFF"/>
        </w:rPr>
        <w:t xml:space="preserve">la Cour européenne des droits de l’homme dans son arrêt </w:t>
      </w:r>
      <w:r w:rsidRPr="00E72418">
        <w:rPr>
          <w:i/>
        </w:rPr>
        <w:t>Kopecky c. Slovaquie</w:t>
      </w:r>
      <w:r w:rsidRPr="00E72418">
        <w:t>,</w:t>
      </w:r>
      <w:r w:rsidRPr="00E72418">
        <w:rPr>
          <w:rStyle w:val="sb8d990e2"/>
          <w:rFonts w:cs="Times New Roman"/>
          <w:shd w:val="clear" w:color="auto" w:fill="FFFFFF"/>
        </w:rPr>
        <w:t xml:space="preserve"> que le requérant puisse prétendre avoir au moins une </w:t>
      </w:r>
      <w:r w:rsidRPr="00E72418">
        <w:rPr>
          <w:rFonts w:cs="Times New Roman"/>
          <w:shd w:val="clear" w:color="auto" w:fill="FFFFFF"/>
        </w:rPr>
        <w:t xml:space="preserve">« </w:t>
      </w:r>
      <w:r w:rsidRPr="00E72418">
        <w:rPr>
          <w:rStyle w:val="sb8d990e2"/>
          <w:rFonts w:cs="Times New Roman"/>
          <w:shd w:val="clear" w:color="auto" w:fill="FFFFFF"/>
        </w:rPr>
        <w:t>espérance légitime »</w:t>
      </w:r>
      <w:r w:rsidRPr="00E72418">
        <w:t xml:space="preserve"> </w:t>
      </w:r>
      <w:r w:rsidRPr="00E72418">
        <w:rPr>
          <w:rStyle w:val="sb8d990e2"/>
          <w:rFonts w:cs="Times New Roman"/>
          <w:shd w:val="clear" w:color="auto" w:fill="FFFFFF"/>
        </w:rPr>
        <w:t>d’obtenir la jouissance effective d’un droit de propriété</w:t>
      </w:r>
      <w:r w:rsidRPr="00E72418">
        <w:rPr>
          <w:rStyle w:val="Appelnotedebasdep"/>
          <w:rFonts w:cs="Times New Roman"/>
          <w:shd w:val="clear" w:color="auto" w:fill="FFFFFF"/>
        </w:rPr>
        <w:footnoteReference w:id="1890"/>
      </w:r>
      <w:r w:rsidRPr="00E72418">
        <w:rPr>
          <w:rStyle w:val="sb8d990e2"/>
          <w:rFonts w:cs="Times New Roman"/>
          <w:shd w:val="clear" w:color="auto" w:fill="FFFFFF"/>
        </w:rPr>
        <w:t xml:space="preserve">. </w:t>
      </w:r>
      <w:r w:rsidR="00A91CD9" w:rsidRPr="00E72418">
        <w:rPr>
          <w:rStyle w:val="sb8d990e2"/>
          <w:rFonts w:cs="Times New Roman"/>
          <w:shd w:val="clear" w:color="auto" w:fill="FFFFFF"/>
        </w:rPr>
        <w:t>Suivant la Cour toujours, l</w:t>
      </w:r>
      <w:r w:rsidRPr="00E72418">
        <w:rPr>
          <w:rStyle w:val="sb8d990e2"/>
          <w:rFonts w:cs="Times New Roman"/>
          <w:shd w:val="clear" w:color="auto" w:fill="FFFFFF"/>
        </w:rPr>
        <w:t xml:space="preserve">’espoir de voir reconnaître un droit de propriété que l’on est dans l’impossibilité d’exercer effectivement ne peut être considéré comme un </w:t>
      </w:r>
      <w:r w:rsidRPr="00E72418">
        <w:rPr>
          <w:rFonts w:cs="Times New Roman"/>
          <w:iCs/>
          <w:szCs w:val="24"/>
        </w:rPr>
        <w:t xml:space="preserve">bien </w:t>
      </w:r>
      <w:r w:rsidRPr="00E72418">
        <w:rPr>
          <w:rStyle w:val="sb8d990e2"/>
          <w:rFonts w:cs="Times New Roman"/>
          <w:shd w:val="clear" w:color="auto" w:fill="FFFFFF"/>
        </w:rPr>
        <w:t>au sens de l’article premier du Premier Protocole additionnel</w:t>
      </w:r>
      <w:r w:rsidRPr="00E72418">
        <w:rPr>
          <w:rStyle w:val="Appelnotedebasdep"/>
          <w:rFonts w:cs="Times New Roman"/>
          <w:bCs/>
          <w:shd w:val="clear" w:color="auto" w:fill="FFFFFF"/>
        </w:rPr>
        <w:footnoteReference w:id="1891"/>
      </w:r>
      <w:r w:rsidR="00B05FA9" w:rsidRPr="00E72418">
        <w:rPr>
          <w:rFonts w:cs="Times New Roman"/>
        </w:rPr>
        <w:t>.</w:t>
      </w:r>
    </w:p>
    <w:p w14:paraId="715A337A" w14:textId="77777777" w:rsidR="00B05FA9" w:rsidRPr="00E72418" w:rsidRDefault="00B05FA9" w:rsidP="00CC4BA8">
      <w:pPr>
        <w:spacing w:line="276" w:lineRule="auto"/>
      </w:pPr>
      <w:bookmarkStart w:id="440" w:name="_Toc59281012"/>
    </w:p>
    <w:p w14:paraId="23DEBAF9" w14:textId="77777777" w:rsidR="00075B8A" w:rsidRPr="00E72418" w:rsidRDefault="00075B8A">
      <w:pPr>
        <w:jc w:val="left"/>
        <w:rPr>
          <w:rFonts w:eastAsiaTheme="majorEastAsia" w:cstheme="majorBidi"/>
          <w:b/>
          <w:sz w:val="26"/>
          <w:u w:val="single"/>
        </w:rPr>
      </w:pPr>
      <w:bookmarkStart w:id="441" w:name="_Toc84541003"/>
      <w:r w:rsidRPr="00E72418">
        <w:br w:type="page"/>
      </w:r>
    </w:p>
    <w:p w14:paraId="2C75CAF4" w14:textId="596F74BF" w:rsidR="005656FA" w:rsidRPr="00E72418" w:rsidRDefault="008665DF" w:rsidP="00CC4BA8">
      <w:pPr>
        <w:pStyle w:val="EE"/>
        <w:spacing w:line="276" w:lineRule="auto"/>
        <w:jc w:val="left"/>
      </w:pPr>
      <w:r w:rsidRPr="00E72418">
        <w:lastRenderedPageBreak/>
        <w:t xml:space="preserve">Sous-section 2 : </w:t>
      </w:r>
      <w:r w:rsidR="005656FA" w:rsidRPr="00E72418">
        <w:t>La légalité de l’atteinte</w:t>
      </w:r>
      <w:bookmarkEnd w:id="440"/>
      <w:bookmarkEnd w:id="441"/>
    </w:p>
    <w:p w14:paraId="6F30CE38" w14:textId="77777777" w:rsidR="007A12E9" w:rsidRPr="00E72418" w:rsidRDefault="007A12E9" w:rsidP="007A12E9"/>
    <w:p w14:paraId="2D35735E" w14:textId="48BBB27F" w:rsidR="000478B7" w:rsidRPr="00E72418" w:rsidRDefault="004469AC" w:rsidP="00CC4BA8">
      <w:pPr>
        <w:spacing w:line="276" w:lineRule="auto"/>
        <w:rPr>
          <w:b/>
        </w:rPr>
      </w:pPr>
      <w:bookmarkStart w:id="442" w:name="_Toc59281013"/>
      <w:r w:rsidRPr="00E72418">
        <w:rPr>
          <w:b/>
        </w:rPr>
        <w:t>380</w:t>
      </w:r>
      <w:r w:rsidR="00817D62" w:rsidRPr="00E72418">
        <w:rPr>
          <w:b/>
        </w:rPr>
        <w:t xml:space="preserve">. </w:t>
      </w:r>
      <w:r w:rsidR="000478B7" w:rsidRPr="00E72418">
        <w:rPr>
          <w:b/>
        </w:rPr>
        <w:t xml:space="preserve">Un impératif </w:t>
      </w:r>
      <w:r w:rsidR="00ED26D2" w:rsidRPr="00E72418">
        <w:rPr>
          <w:b/>
        </w:rPr>
        <w:t xml:space="preserve">– </w:t>
      </w:r>
      <w:r w:rsidR="00ED26D2" w:rsidRPr="00E72418">
        <w:t>Toute atteinte portée au droit de propriété, qu’elle consiste en une privation de propriété ou en une réglementation de l’usage de biens, doit être prévue par la loi. La Cour européenne des droits de l’homme insiste sur cet impératif relevant que la légalité constitue une condition primordiale de la compatibilité avec l’article premier du Premier Protocole additionnel d’une ingérence dans un droit protégé par cette disposition</w:t>
      </w:r>
      <w:r w:rsidR="00ED26D2" w:rsidRPr="00E72418">
        <w:rPr>
          <w:rStyle w:val="Appelnotedebasdep"/>
        </w:rPr>
        <w:footnoteReference w:id="1892"/>
      </w:r>
      <w:r w:rsidR="00ED26D2" w:rsidRPr="00E72418">
        <w:t>.</w:t>
      </w:r>
      <w:r w:rsidR="006B17F5" w:rsidRPr="00E72418">
        <w:t xml:space="preserve"> Comme le note la Cour, l’impératif de légalité s’inscrit dans l’affirmation de ce que la prééminence du droit </w:t>
      </w:r>
      <w:r w:rsidR="009E31EB" w:rsidRPr="00E72418">
        <w:t>en tant que</w:t>
      </w:r>
      <w:r w:rsidR="006B17F5" w:rsidRPr="00E72418">
        <w:t xml:space="preserve"> principe fondamental d’une société démocratique est inhérente à l’ensemble des articles de la Convention</w:t>
      </w:r>
      <w:r w:rsidR="006B17F5" w:rsidRPr="00E72418">
        <w:rPr>
          <w:rStyle w:val="Appelnotedebasdep"/>
        </w:rPr>
        <w:footnoteReference w:id="1893"/>
      </w:r>
      <w:r w:rsidR="006B17F5" w:rsidRPr="00E72418">
        <w:t xml:space="preserve">. </w:t>
      </w:r>
    </w:p>
    <w:bookmarkEnd w:id="442"/>
    <w:p w14:paraId="64C2EF7E" w14:textId="2757DB31" w:rsidR="005656FA" w:rsidRPr="00E72418" w:rsidRDefault="005656FA" w:rsidP="00CC4BA8">
      <w:pPr>
        <w:spacing w:line="276" w:lineRule="auto"/>
        <w:rPr>
          <w:rFonts w:cs="Times New Roman"/>
          <w:b/>
          <w:szCs w:val="24"/>
        </w:rPr>
      </w:pPr>
      <w:r w:rsidRPr="00E72418">
        <w:t xml:space="preserve">Lors de la consultation </w:t>
      </w:r>
      <w:r w:rsidR="00AE1E51" w:rsidRPr="00E72418">
        <w:t>relative à</w:t>
      </w:r>
      <w:r w:rsidRPr="00E72418">
        <w:t xml:space="preserve"> la législation britannique envisagée, certaines voix se firent entendre soulignant le risque de contravention à l’article premier du Premier Protocole additionnel</w:t>
      </w:r>
      <w:r w:rsidRPr="00E72418">
        <w:rPr>
          <w:rStyle w:val="Appelnotedebasdep"/>
          <w:rFonts w:ascii="Times New Roman" w:hAnsi="Times New Roman" w:cs="Times New Roman"/>
          <w:szCs w:val="24"/>
        </w:rPr>
        <w:footnoteReference w:id="1894"/>
      </w:r>
      <w:r w:rsidR="002E39BC" w:rsidRPr="00E72418">
        <w:t xml:space="preserve">. </w:t>
      </w:r>
      <w:r w:rsidR="00BA2E44" w:rsidRPr="00E72418">
        <w:t>Les notes explicatives de la proposition de législation</w:t>
      </w:r>
      <w:r w:rsidRPr="00E72418">
        <w:t xml:space="preserve"> </w:t>
      </w:r>
      <w:r w:rsidR="002E39BC" w:rsidRPr="00E72418">
        <w:t>qui suivirent y répondirent en visa</w:t>
      </w:r>
      <w:r w:rsidRPr="00E72418">
        <w:t xml:space="preserve">nt l’arrêt </w:t>
      </w:r>
      <w:r w:rsidRPr="00E72418">
        <w:rPr>
          <w:i/>
        </w:rPr>
        <w:t>Scordino c. Italie (n° 1)</w:t>
      </w:r>
      <w:r w:rsidRPr="00E72418">
        <w:t xml:space="preserve"> de la Cour européenne des droits de l’homme pour justifier du fait que des mesures rétroactives sont en principe envisageables </w:t>
      </w:r>
      <w:r w:rsidRPr="00E72418">
        <w:rPr>
          <w:shd w:val="clear" w:color="auto" w:fill="FFFFFF"/>
        </w:rPr>
        <w:t>lorsqu’un intérêt général évident et impérieux existe</w:t>
      </w:r>
      <w:r w:rsidRPr="00E72418">
        <w:rPr>
          <w:rStyle w:val="Appelnotedebasdep"/>
          <w:shd w:val="clear" w:color="auto" w:fill="FFFFFF"/>
        </w:rPr>
        <w:footnoteReference w:id="1895"/>
      </w:r>
      <w:r w:rsidRPr="00E72418">
        <w:rPr>
          <w:shd w:val="clear" w:color="auto" w:fill="FFFFFF"/>
        </w:rPr>
        <w:t xml:space="preserve">. </w:t>
      </w:r>
      <w:r w:rsidR="002E39BC" w:rsidRPr="00E72418">
        <w:rPr>
          <w:rFonts w:cs="Times New Roman"/>
          <w:shd w:val="clear" w:color="auto" w:fill="FFFFFF"/>
        </w:rPr>
        <w:t>L</w:t>
      </w:r>
      <w:r w:rsidRPr="00E72418">
        <w:rPr>
          <w:rFonts w:cs="Times New Roman"/>
          <w:shd w:val="clear" w:color="auto" w:fill="FFFFFF"/>
        </w:rPr>
        <w:t xml:space="preserve">es notes </w:t>
      </w:r>
      <w:r w:rsidR="002E39BC" w:rsidRPr="00E72418">
        <w:rPr>
          <w:rFonts w:cs="Times New Roman"/>
          <w:shd w:val="clear" w:color="auto" w:fill="FFFFFF"/>
        </w:rPr>
        <w:t xml:space="preserve">expliquaient </w:t>
      </w:r>
      <w:r w:rsidRPr="00E72418">
        <w:rPr>
          <w:rFonts w:cs="Times New Roman"/>
          <w:shd w:val="clear" w:color="auto" w:fill="FFFFFF"/>
        </w:rPr>
        <w:t xml:space="preserve">qu’un tel </w:t>
      </w:r>
      <w:r w:rsidRPr="00E72418">
        <w:rPr>
          <w:shd w:val="clear" w:color="auto" w:fill="FFFFFF"/>
        </w:rPr>
        <w:t xml:space="preserve">« </w:t>
      </w:r>
      <w:r w:rsidRPr="00E72418">
        <w:t xml:space="preserve">obvious and compelling public interest » </w:t>
      </w:r>
      <w:r w:rsidRPr="00E72418">
        <w:rPr>
          <w:rFonts w:cs="Times New Roman"/>
          <w:shd w:val="clear" w:color="auto" w:fill="FFFFFF"/>
        </w:rPr>
        <w:t xml:space="preserve">existe à l’endroit de la rétroactivité de la loi dans la mesure où </w:t>
      </w:r>
      <w:r w:rsidR="002E39BC" w:rsidRPr="00E72418">
        <w:rPr>
          <w:rFonts w:cs="Times New Roman"/>
          <w:shd w:val="clear" w:color="auto" w:fill="FFFFFF"/>
        </w:rPr>
        <w:t>celle-ci</w:t>
      </w:r>
      <w:r w:rsidRPr="00E72418">
        <w:rPr>
          <w:rFonts w:cs="Times New Roman"/>
          <w:shd w:val="clear" w:color="auto" w:fill="FFFFFF"/>
        </w:rPr>
        <w:t xml:space="preserve"> vise les dettes historiques des Pays Pauvres Très Endettés</w:t>
      </w:r>
      <w:r w:rsidRPr="00E72418">
        <w:rPr>
          <w:rStyle w:val="Appelnotedebasdep"/>
          <w:shd w:val="clear" w:color="auto" w:fill="FFFFFF"/>
        </w:rPr>
        <w:footnoteReference w:id="1896"/>
      </w:r>
      <w:r w:rsidR="00A800A9" w:rsidRPr="00E72418">
        <w:rPr>
          <w:rFonts w:cs="Times New Roman"/>
          <w:shd w:val="clear" w:color="auto" w:fill="FFFFFF"/>
          <w:vertAlign w:val="superscript"/>
        </w:rPr>
        <w:t>,</w:t>
      </w:r>
      <w:r w:rsidR="00A800A9" w:rsidRPr="00E72418">
        <w:rPr>
          <w:rStyle w:val="Appelnotedebasdep"/>
          <w:rFonts w:cs="Times New Roman"/>
          <w:shd w:val="clear" w:color="auto" w:fill="FFFFFF"/>
        </w:rPr>
        <w:footnoteReference w:id="1897"/>
      </w:r>
      <w:r w:rsidRPr="00E72418">
        <w:rPr>
          <w:rFonts w:cs="Times New Roman"/>
          <w:shd w:val="clear" w:color="auto" w:fill="FFFFFF"/>
        </w:rPr>
        <w:t xml:space="preserve">. </w:t>
      </w:r>
      <w:r w:rsidRPr="00E72418">
        <w:rPr>
          <w:shd w:val="clear" w:color="auto" w:fill="FFFFFF"/>
        </w:rPr>
        <w:t>Les circonstances entourant ces dettes sont exceptionnelles et justifient le cara</w:t>
      </w:r>
      <w:r w:rsidR="002E39BC" w:rsidRPr="00E72418">
        <w:rPr>
          <w:shd w:val="clear" w:color="auto" w:fill="FFFFFF"/>
        </w:rPr>
        <w:t xml:space="preserve">ctère rétroactif de leur </w:t>
      </w:r>
      <w:r w:rsidRPr="00E72418">
        <w:rPr>
          <w:shd w:val="clear" w:color="auto" w:fill="FFFFFF"/>
        </w:rPr>
        <w:t>réduction visant l’égalité des créanciers et permettant de tendre à une amélioration de l’efficacité économique</w:t>
      </w:r>
      <w:r w:rsidRPr="00E72418">
        <w:rPr>
          <w:rStyle w:val="Appelnotedebasdep"/>
          <w:bCs/>
        </w:rPr>
        <w:footnoteReference w:id="1898"/>
      </w:r>
      <w:r w:rsidRPr="00E72418">
        <w:rPr>
          <w:shd w:val="clear" w:color="auto" w:fill="FFFFFF"/>
        </w:rPr>
        <w:t>. Aussi, le stock de dettes concernées est à ce point limité que la portée de la rétroactivité</w:t>
      </w:r>
      <w:r w:rsidR="002E39BC" w:rsidRPr="00E72418">
        <w:rPr>
          <w:shd w:val="clear" w:color="auto" w:fill="FFFFFF"/>
        </w:rPr>
        <w:t xml:space="preserve"> est réduite</w:t>
      </w:r>
      <w:r w:rsidRPr="00E72418">
        <w:rPr>
          <w:rStyle w:val="Appelnotedebasdep"/>
          <w:bCs/>
        </w:rPr>
        <w:footnoteReference w:id="1899"/>
      </w:r>
      <w:r w:rsidRPr="00E72418">
        <w:rPr>
          <w:shd w:val="clear" w:color="auto" w:fill="FFFFFF"/>
        </w:rPr>
        <w:t>.</w:t>
      </w:r>
    </w:p>
    <w:p w14:paraId="0906F3FF" w14:textId="1606F2E2" w:rsidR="005656FA" w:rsidRPr="00E72418" w:rsidRDefault="005656FA" w:rsidP="00CC4BA8">
      <w:pPr>
        <w:spacing w:line="276" w:lineRule="auto"/>
        <w:rPr>
          <w:shd w:val="clear" w:color="auto" w:fill="FFFFFF"/>
        </w:rPr>
      </w:pPr>
      <w:r w:rsidRPr="00E72418">
        <w:lastRenderedPageBreak/>
        <w:t xml:space="preserve">Relevant les exigences de légalité et de prévisibilité en cas d’ingérence dans le droit de propriété, </w:t>
      </w:r>
      <w:r w:rsidR="00CC15FF" w:rsidRPr="00E72418">
        <w:t xml:space="preserve">Patrick </w:t>
      </w:r>
      <w:r w:rsidRPr="00E72418">
        <w:t xml:space="preserve">Wautelet explique que celles-ci n’ont pas pour objectif d’exclure tout pouvoir d’appréciation dans le chef des autorités et ajoute, en visant spécifiquement la loi du 12 juillet 2015, que « [c]e pouvoir étant encadré par l’existence d’une liste fermée de critères, il est possible </w:t>
      </w:r>
      <w:r w:rsidR="0082719C" w:rsidRPr="00E72418">
        <w:t xml:space="preserve">[…] </w:t>
      </w:r>
      <w:r w:rsidRPr="00E72418">
        <w:t>de considérer que l’adoption d’un cadre légal laissant subsister une marge de manœuvre importante dans le chef du juge n’énerve pas l’exigence que l’ingérence dans le droit de propriété soit prévue par des normes suffisamment accessibles, précises et prévisibles »</w:t>
      </w:r>
      <w:r w:rsidRPr="00E72418">
        <w:rPr>
          <w:rStyle w:val="Appelnotedebasdep"/>
          <w:rFonts w:cs="Times New Roman"/>
          <w:szCs w:val="24"/>
        </w:rPr>
        <w:footnoteReference w:id="1900"/>
      </w:r>
      <w:r w:rsidRPr="00E72418">
        <w:t xml:space="preserve">. </w:t>
      </w:r>
    </w:p>
    <w:p w14:paraId="1169E8BA" w14:textId="1FD48D2F" w:rsidR="005656FA" w:rsidRPr="00E72418" w:rsidRDefault="005656FA" w:rsidP="00CC4BA8">
      <w:pPr>
        <w:spacing w:line="276" w:lineRule="auto"/>
        <w:rPr>
          <w:b/>
        </w:rPr>
      </w:pPr>
      <w:r w:rsidRPr="00E72418">
        <w:t>Le Conseil constitutionnel français avança différents arguments pour conclure que les dispositions contestées ne méconnaissaient pas le droit de propriété et qu’elles étaient</w:t>
      </w:r>
      <w:r w:rsidR="0082719C" w:rsidRPr="00E72418">
        <w:t xml:space="preserve">, par conséquent, </w:t>
      </w:r>
      <w:r w:rsidRPr="00E72418">
        <w:t>conformes à la Constitution française</w:t>
      </w:r>
      <w:r w:rsidRPr="00E72418">
        <w:rPr>
          <w:rStyle w:val="Appelnotedebasdep"/>
        </w:rPr>
        <w:footnoteReference w:id="1901"/>
      </w:r>
      <w:r w:rsidRPr="00E72418">
        <w:t xml:space="preserve">. </w:t>
      </w:r>
      <w:r w:rsidRPr="00E72418">
        <w:rPr>
          <w:szCs w:val="24"/>
        </w:rPr>
        <w:t xml:space="preserve">Il fit ainsi valoir que </w:t>
      </w:r>
      <w:r w:rsidRPr="00E72418">
        <w:t xml:space="preserve">les créanciers d’un État </w:t>
      </w:r>
      <w:r w:rsidRPr="00E72418">
        <w:rPr>
          <w:szCs w:val="24"/>
        </w:rPr>
        <w:t>figurant sur la liste des bénéficiaires de l’aide publique au développement ne sont privés de la possibilité d’obtenir la mise en œuvre de mesures de contrainte que dans « des conditions strictement définies »</w:t>
      </w:r>
      <w:r w:rsidRPr="00E72418">
        <w:rPr>
          <w:rStyle w:val="Appelnotedebasdep"/>
          <w:szCs w:val="24"/>
        </w:rPr>
        <w:footnoteReference w:id="1902"/>
      </w:r>
      <w:r w:rsidRPr="00E72418">
        <w:rPr>
          <w:szCs w:val="24"/>
        </w:rPr>
        <w:t xml:space="preserve">. </w:t>
      </w:r>
      <w:r w:rsidRPr="00E72418">
        <w:t>Le Conseil constitutionnel remarqua également que</w:t>
      </w:r>
      <w:r w:rsidR="0082719C" w:rsidRPr="00E72418">
        <w:t>,</w:t>
      </w:r>
      <w:r w:rsidRPr="00E72418">
        <w:t xml:space="preserve"> l’autorisation préalable exigée étant accordée par</w:t>
      </w:r>
      <w:r w:rsidR="0082719C" w:rsidRPr="00E72418">
        <w:t xml:space="preserve"> une</w:t>
      </w:r>
      <w:r w:rsidRPr="00E72418">
        <w:t xml:space="preserve"> décision rendue non contradictoirement</w:t>
      </w:r>
      <w:r w:rsidR="0082719C" w:rsidRPr="00E72418">
        <w:t xml:space="preserve"> dans laquelle le juge s’assure uniquement que les conditions légales de la mesure sollicitée sont remplies</w:t>
      </w:r>
      <w:r w:rsidRPr="00E72418">
        <w:t xml:space="preserve">, les créanciers sont </w:t>
      </w:r>
      <w:r w:rsidR="0082719C" w:rsidRPr="00E72418">
        <w:t>protégés</w:t>
      </w:r>
      <w:r w:rsidRPr="00E72418">
        <w:t xml:space="preserve"> d’un déplacement des biens visés par </w:t>
      </w:r>
      <w:r w:rsidR="0082719C" w:rsidRPr="00E72418">
        <w:t>cette</w:t>
      </w:r>
      <w:r w:rsidRPr="00E72418">
        <w:t xml:space="preserve"> mesure</w:t>
      </w:r>
      <w:r w:rsidRPr="00E72418">
        <w:rPr>
          <w:rStyle w:val="Appelnotedebasdep"/>
          <w:szCs w:val="24"/>
        </w:rPr>
        <w:footnoteReference w:id="1903"/>
      </w:r>
      <w:r w:rsidRPr="00E72418">
        <w:rPr>
          <w:szCs w:val="24"/>
        </w:rPr>
        <w:t xml:space="preserve">. </w:t>
      </w:r>
    </w:p>
    <w:p w14:paraId="2711D98D" w14:textId="77777777" w:rsidR="005656FA" w:rsidRPr="00E72418" w:rsidRDefault="005656FA" w:rsidP="00CC4BA8">
      <w:pPr>
        <w:spacing w:line="276" w:lineRule="auto"/>
      </w:pPr>
    </w:p>
    <w:p w14:paraId="72D3AF9D" w14:textId="7C111D41" w:rsidR="005656FA" w:rsidRPr="00E72418" w:rsidRDefault="008665DF" w:rsidP="00CC4BA8">
      <w:pPr>
        <w:pStyle w:val="EE"/>
        <w:spacing w:line="276" w:lineRule="auto"/>
        <w:jc w:val="left"/>
      </w:pPr>
      <w:bookmarkStart w:id="443" w:name="_Toc59281016"/>
      <w:bookmarkStart w:id="444" w:name="_Toc84541004"/>
      <w:r w:rsidRPr="00E72418">
        <w:t xml:space="preserve">Sous-section 3 : </w:t>
      </w:r>
      <w:r w:rsidR="005656FA" w:rsidRPr="00E72418">
        <w:t>L’utilité publique et l’intérêt général</w:t>
      </w:r>
      <w:bookmarkEnd w:id="443"/>
      <w:bookmarkEnd w:id="444"/>
    </w:p>
    <w:p w14:paraId="59AAA6D2" w14:textId="77777777" w:rsidR="005B2127" w:rsidRPr="00E72418" w:rsidRDefault="005B2127" w:rsidP="00BA0D9D">
      <w:pPr>
        <w:spacing w:line="276" w:lineRule="auto"/>
        <w:rPr>
          <w:szCs w:val="20"/>
        </w:rPr>
      </w:pPr>
    </w:p>
    <w:p w14:paraId="0DB92861" w14:textId="76BA06FA" w:rsidR="00660C53" w:rsidRPr="00E72418" w:rsidRDefault="004469AC" w:rsidP="00BA0D9D">
      <w:pPr>
        <w:spacing w:line="276" w:lineRule="auto"/>
        <w:rPr>
          <w:rFonts w:ascii="Times New Roman" w:hAnsi="Times New Roman" w:cs="Times New Roman"/>
        </w:rPr>
      </w:pPr>
      <w:r w:rsidRPr="00E72418">
        <w:rPr>
          <w:rFonts w:ascii="Times New Roman" w:hAnsi="Times New Roman" w:cs="Times New Roman"/>
          <w:b/>
        </w:rPr>
        <w:t>381</w:t>
      </w:r>
      <w:r w:rsidR="00817D62" w:rsidRPr="00E72418">
        <w:rPr>
          <w:rFonts w:ascii="Times New Roman" w:hAnsi="Times New Roman" w:cs="Times New Roman"/>
          <w:b/>
        </w:rPr>
        <w:t xml:space="preserve">. </w:t>
      </w:r>
      <w:r w:rsidR="008F1C5A" w:rsidRPr="00E72418">
        <w:rPr>
          <w:rFonts w:ascii="Times New Roman" w:hAnsi="Times New Roman" w:cs="Times New Roman"/>
          <w:b/>
        </w:rPr>
        <w:t xml:space="preserve">L’indifférence de la qualification de l’atteinte – </w:t>
      </w:r>
      <w:r w:rsidR="005656FA" w:rsidRPr="00E72418">
        <w:rPr>
          <w:rFonts w:ascii="Times New Roman" w:hAnsi="Times New Roman" w:cs="Times New Roman"/>
        </w:rPr>
        <w:t xml:space="preserve">Le texte de l’article premier </w:t>
      </w:r>
      <w:r w:rsidR="0082719C" w:rsidRPr="00E72418">
        <w:rPr>
          <w:rFonts w:ascii="Times New Roman" w:hAnsi="Times New Roman" w:cs="Times New Roman"/>
        </w:rPr>
        <w:t xml:space="preserve">du Premier Protocole additionnel </w:t>
      </w:r>
      <w:r w:rsidR="00FE79EF" w:rsidRPr="00E72418">
        <w:rPr>
          <w:rFonts w:ascii="Times New Roman" w:hAnsi="Times New Roman" w:cs="Times New Roman"/>
        </w:rPr>
        <w:t>exprime</w:t>
      </w:r>
      <w:r w:rsidR="005656FA" w:rsidRPr="00E72418">
        <w:rPr>
          <w:rFonts w:ascii="Times New Roman" w:hAnsi="Times New Roman" w:cs="Times New Roman"/>
        </w:rPr>
        <w:t xml:space="preserve"> que la privation de propriété peut </w:t>
      </w:r>
      <w:r w:rsidR="00FE79EF" w:rsidRPr="00E72418">
        <w:rPr>
          <w:rFonts w:ascii="Times New Roman" w:hAnsi="Times New Roman" w:cs="Times New Roman"/>
        </w:rPr>
        <w:t xml:space="preserve">uniquement </w:t>
      </w:r>
      <w:r w:rsidR="005656FA" w:rsidRPr="00E72418">
        <w:rPr>
          <w:rFonts w:ascii="Times New Roman" w:hAnsi="Times New Roman" w:cs="Times New Roman"/>
        </w:rPr>
        <w:t>se justifier pour cause d’utilité publique tandis que la réglementation de l’usage des biens doit s’inscrire dans la poursuite de l’intérêt général.</w:t>
      </w:r>
      <w:r w:rsidR="004149EA" w:rsidRPr="00E72418">
        <w:rPr>
          <w:rFonts w:ascii="Times New Roman" w:hAnsi="Times New Roman" w:cs="Times New Roman"/>
        </w:rPr>
        <w:t xml:space="preserve"> </w:t>
      </w:r>
      <w:r w:rsidR="002E58FD" w:rsidRPr="00E72418">
        <w:rPr>
          <w:rFonts w:ascii="Times New Roman" w:hAnsi="Times New Roman" w:cs="Times New Roman"/>
        </w:rPr>
        <w:t>L’on peut ainsi généralement retenir qu’une ingérence de la puissance publique dans la jouissance du droit au respect des biens ne peut se justifier que si elle sert un intérêt public légitime</w:t>
      </w:r>
      <w:r w:rsidR="002E58FD" w:rsidRPr="00E72418">
        <w:rPr>
          <w:rStyle w:val="Appelnotedebasdep"/>
          <w:rFonts w:ascii="Times New Roman" w:hAnsi="Times New Roman" w:cs="Times New Roman"/>
        </w:rPr>
        <w:footnoteReference w:id="1904"/>
      </w:r>
      <w:r w:rsidR="002E58FD" w:rsidRPr="00E72418">
        <w:rPr>
          <w:rFonts w:ascii="Times New Roman" w:hAnsi="Times New Roman" w:cs="Times New Roman"/>
        </w:rPr>
        <w:t xml:space="preserve">. </w:t>
      </w:r>
      <w:r w:rsidR="002C441A" w:rsidRPr="00E72418">
        <w:rPr>
          <w:szCs w:val="20"/>
        </w:rPr>
        <w:t>La qualification de réglementation de la propriété ou de privation de la propriété n’apparaît pas constituer le réel enjeu</w:t>
      </w:r>
      <w:r w:rsidR="008349FA" w:rsidRPr="00E72418">
        <w:rPr>
          <w:szCs w:val="20"/>
        </w:rPr>
        <w:t xml:space="preserve"> ainsi que </w:t>
      </w:r>
      <w:r w:rsidR="002C441A" w:rsidRPr="00E72418">
        <w:rPr>
          <w:szCs w:val="20"/>
        </w:rPr>
        <w:t xml:space="preserve">le relèvent </w:t>
      </w:r>
      <w:r w:rsidR="009125E0" w:rsidRPr="00E72418">
        <w:rPr>
          <w:szCs w:val="20"/>
        </w:rPr>
        <w:t xml:space="preserve">David </w:t>
      </w:r>
      <w:r w:rsidR="002C441A" w:rsidRPr="00E72418">
        <w:rPr>
          <w:szCs w:val="20"/>
        </w:rPr>
        <w:t>Harris</w:t>
      </w:r>
      <w:r w:rsidR="00DE775E" w:rsidRPr="00E72418">
        <w:rPr>
          <w:szCs w:val="20"/>
        </w:rPr>
        <w:t xml:space="preserve"> </w:t>
      </w:r>
      <w:r w:rsidR="00DE775E" w:rsidRPr="00E72418">
        <w:rPr>
          <w:i/>
          <w:szCs w:val="20"/>
        </w:rPr>
        <w:t>et al.</w:t>
      </w:r>
      <w:r w:rsidR="00DE775E" w:rsidRPr="00E72418">
        <w:rPr>
          <w:szCs w:val="20"/>
        </w:rPr>
        <w:t xml:space="preserve"> </w:t>
      </w:r>
      <w:r w:rsidR="008349FA" w:rsidRPr="00E72418">
        <w:rPr>
          <w:szCs w:val="20"/>
        </w:rPr>
        <w:t>en indiquant que</w:t>
      </w:r>
      <w:r w:rsidR="002C441A" w:rsidRPr="00E72418">
        <w:rPr>
          <w:szCs w:val="20"/>
        </w:rPr>
        <w:t xml:space="preserve"> « the identification of the type of interference is less important to the outcome of a case than is the process involved in the application of the “fair balance” test »</w:t>
      </w:r>
      <w:r w:rsidR="000478B7" w:rsidRPr="00E72418">
        <w:rPr>
          <w:rStyle w:val="Appelnotedebasdep"/>
          <w:rFonts w:ascii="Times New Roman" w:hAnsi="Times New Roman" w:cs="Times New Roman"/>
        </w:rPr>
        <w:footnoteReference w:id="1905"/>
      </w:r>
      <w:r w:rsidR="000478B7" w:rsidRPr="00E72418">
        <w:rPr>
          <w:szCs w:val="20"/>
        </w:rPr>
        <w:t>.</w:t>
      </w:r>
      <w:r w:rsidR="00F978DD" w:rsidRPr="00E72418">
        <w:rPr>
          <w:szCs w:val="20"/>
        </w:rPr>
        <w:t xml:space="preserve"> La Cour européenne des droits de l’homme exposait ainsi dans son arrêt </w:t>
      </w:r>
      <w:r w:rsidR="00F978DD" w:rsidRPr="00E72418">
        <w:rPr>
          <w:i/>
        </w:rPr>
        <w:t>Broniowski c. Pologne</w:t>
      </w:r>
      <w:r w:rsidR="00F978DD" w:rsidRPr="00E72418">
        <w:rPr>
          <w:szCs w:val="20"/>
        </w:rPr>
        <w:t xml:space="preserve"> qu’ « </w:t>
      </w:r>
      <w:r w:rsidR="00F978DD" w:rsidRPr="00E72418">
        <w:rPr>
          <w:sz w:val="23"/>
          <w:szCs w:val="23"/>
        </w:rPr>
        <w:t>il convient de rappeler que les différentes règles incorporées dans l’article 1 ne sont pas dépourvues de rapport entre elles et que la deuxième et la troisième ne sont que des cas particuliers d’atteintes au droit au respect des biens » et qu’ « </w:t>
      </w:r>
      <w:r w:rsidR="00F978DD" w:rsidRPr="00E72418">
        <w:t>[i]l</w:t>
      </w:r>
      <w:r w:rsidR="00F978DD" w:rsidRPr="00E72418">
        <w:rPr>
          <w:sz w:val="23"/>
          <w:szCs w:val="23"/>
        </w:rPr>
        <w:t xml:space="preserve"> en découle notamment que l’existence d’une </w:t>
      </w:r>
      <w:r w:rsidR="00F978DD" w:rsidRPr="00E72418">
        <w:rPr>
          <w:szCs w:val="20"/>
        </w:rPr>
        <w:t>“</w:t>
      </w:r>
      <w:r w:rsidR="00F978DD" w:rsidRPr="00E72418">
        <w:rPr>
          <w:sz w:val="23"/>
          <w:szCs w:val="23"/>
        </w:rPr>
        <w:t>cause d’utilité publique</w:t>
      </w:r>
      <w:r w:rsidR="00F978DD" w:rsidRPr="00E72418">
        <w:rPr>
          <w:szCs w:val="20"/>
        </w:rPr>
        <w:t>”</w:t>
      </w:r>
      <w:r w:rsidR="00F978DD" w:rsidRPr="00E72418">
        <w:rPr>
          <w:sz w:val="23"/>
          <w:szCs w:val="23"/>
        </w:rPr>
        <w:t xml:space="preserve"> exigée en vertu de la deuxième phrase, ou encore </w:t>
      </w:r>
      <w:r w:rsidR="00F978DD" w:rsidRPr="00E72418">
        <w:rPr>
          <w:szCs w:val="20"/>
        </w:rPr>
        <w:t>“</w:t>
      </w:r>
      <w:r w:rsidR="00F978DD" w:rsidRPr="00E72418">
        <w:rPr>
          <w:sz w:val="23"/>
          <w:szCs w:val="23"/>
        </w:rPr>
        <w:t>l’intérêt général</w:t>
      </w:r>
      <w:r w:rsidR="00F978DD" w:rsidRPr="00E72418">
        <w:rPr>
          <w:szCs w:val="20"/>
        </w:rPr>
        <w:t>”</w:t>
      </w:r>
      <w:r w:rsidR="00F978DD" w:rsidRPr="00E72418">
        <w:rPr>
          <w:sz w:val="23"/>
          <w:szCs w:val="23"/>
        </w:rPr>
        <w:t xml:space="preserve"> </w:t>
      </w:r>
      <w:r w:rsidR="00F978DD" w:rsidRPr="00E72418">
        <w:rPr>
          <w:sz w:val="23"/>
          <w:szCs w:val="23"/>
        </w:rPr>
        <w:lastRenderedPageBreak/>
        <w:t>mentionné dans le second alinéa, constituent en fait des corollaires du principe énoncé à la première phrase »</w:t>
      </w:r>
      <w:r w:rsidR="00F978DD" w:rsidRPr="00E72418">
        <w:rPr>
          <w:rStyle w:val="Appelnotedebasdep"/>
          <w:sz w:val="23"/>
          <w:szCs w:val="23"/>
        </w:rPr>
        <w:footnoteReference w:id="1906"/>
      </w:r>
      <w:r w:rsidR="00F978DD" w:rsidRPr="00E72418">
        <w:rPr>
          <w:sz w:val="23"/>
          <w:szCs w:val="23"/>
        </w:rPr>
        <w:t>.</w:t>
      </w:r>
    </w:p>
    <w:p w14:paraId="79166EFB" w14:textId="77777777" w:rsidR="008F1C5A" w:rsidRPr="00E72418" w:rsidRDefault="00BA2E44" w:rsidP="00CC4BA8">
      <w:pPr>
        <w:spacing w:line="276" w:lineRule="auto"/>
        <w:rPr>
          <w:rFonts w:ascii="Times New Roman" w:hAnsi="Times New Roman" w:cs="Times New Roman"/>
        </w:rPr>
      </w:pPr>
      <w:r w:rsidRPr="00E72418">
        <w:t>Les notes explicatives de la proposition législative</w:t>
      </w:r>
      <w:r w:rsidR="0082719C" w:rsidRPr="00E72418">
        <w:t xml:space="preserve"> britannique indiquaie</w:t>
      </w:r>
      <w:r w:rsidR="005656FA" w:rsidRPr="00E72418">
        <w:t>nt que la réduction du recouvrement des dettes et des jugements sur celles-ci « is more likely to be a “control of use”, rather than a “deprivation” of possessions »</w:t>
      </w:r>
      <w:r w:rsidR="005656FA" w:rsidRPr="00E72418">
        <w:rPr>
          <w:rStyle w:val="Appelnotedebasdep"/>
          <w:rFonts w:cs="Times New Roman"/>
          <w:szCs w:val="24"/>
        </w:rPr>
        <w:footnoteReference w:id="1907"/>
      </w:r>
      <w:r w:rsidR="005656FA" w:rsidRPr="00E72418">
        <w:t xml:space="preserve">. </w:t>
      </w:r>
      <w:r w:rsidR="004A1053" w:rsidRPr="00E72418">
        <w:t>Dans le même sens, d</w:t>
      </w:r>
      <w:r w:rsidR="005656FA" w:rsidRPr="00E72418">
        <w:t xml:space="preserve">es parlementaires belges indiquèrent que la loi relève du second alinéa de l’article premier du Premier Protocole additionnel qui habilite les </w:t>
      </w:r>
      <w:r w:rsidR="005656FA" w:rsidRPr="00E72418">
        <w:rPr>
          <w:szCs w:val="24"/>
        </w:rPr>
        <w:t>É</w:t>
      </w:r>
      <w:r w:rsidR="005656FA" w:rsidRPr="00E72418">
        <w:t xml:space="preserve">tats à règlementer l’usage des biens conformément à l’intérêt général, précisant que </w:t>
      </w:r>
      <w:r w:rsidR="004A1053" w:rsidRPr="00E72418">
        <w:t>le premier ali</w:t>
      </w:r>
      <w:r w:rsidR="005656FA" w:rsidRPr="00E72418">
        <w:t>n</w:t>
      </w:r>
      <w:r w:rsidR="004A1053" w:rsidRPr="00E72418">
        <w:t>é</w:t>
      </w:r>
      <w:r w:rsidR="005656FA" w:rsidRPr="00E72418">
        <w:t>a de l’article n’est pas concerné dès lors qu’il ne s’agit pas d’une expropriation</w:t>
      </w:r>
      <w:r w:rsidR="005656FA" w:rsidRPr="00E72418">
        <w:rPr>
          <w:rStyle w:val="Appelnotedebasdep"/>
          <w:rFonts w:cs="Times New Roman"/>
          <w:bCs/>
          <w:szCs w:val="24"/>
        </w:rPr>
        <w:footnoteReference w:id="1908"/>
      </w:r>
      <w:r w:rsidR="005656FA" w:rsidRPr="00E72418">
        <w:t>.</w:t>
      </w:r>
      <w:r w:rsidR="00996407" w:rsidRPr="00E72418">
        <w:t xml:space="preserve"> </w:t>
      </w:r>
      <w:r w:rsidR="005656FA" w:rsidRPr="00E72418">
        <w:rPr>
          <w:rFonts w:ascii="Times New Roman" w:hAnsi="Times New Roman" w:cs="Times New Roman"/>
        </w:rPr>
        <w:t xml:space="preserve">Il fut </w:t>
      </w:r>
      <w:r w:rsidR="004A1053" w:rsidRPr="00E72418">
        <w:rPr>
          <w:rFonts w:ascii="Times New Roman" w:hAnsi="Times New Roman" w:cs="Times New Roman"/>
        </w:rPr>
        <w:t xml:space="preserve">toutefois </w:t>
      </w:r>
      <w:r w:rsidR="005656FA" w:rsidRPr="00E72418">
        <w:rPr>
          <w:rFonts w:ascii="Times New Roman" w:hAnsi="Times New Roman" w:cs="Times New Roman"/>
        </w:rPr>
        <w:t>parfois avancé que les mécanismes adoptés conduisaient à des privations de propriété</w:t>
      </w:r>
      <w:r w:rsidR="005656FA" w:rsidRPr="00E72418">
        <w:rPr>
          <w:rStyle w:val="Appelnotedebasdep"/>
          <w:rFonts w:ascii="Times New Roman" w:hAnsi="Times New Roman" w:cs="Times New Roman"/>
          <w:szCs w:val="24"/>
        </w:rPr>
        <w:footnoteReference w:id="1909"/>
      </w:r>
      <w:r w:rsidR="005656FA" w:rsidRPr="00E72418">
        <w:rPr>
          <w:rFonts w:ascii="Times New Roman" w:hAnsi="Times New Roman" w:cs="Times New Roman"/>
        </w:rPr>
        <w:t xml:space="preserve">.  </w:t>
      </w:r>
    </w:p>
    <w:p w14:paraId="551BE253" w14:textId="21FFA116" w:rsidR="008F1C5A" w:rsidRPr="00E72418" w:rsidRDefault="008F1C5A" w:rsidP="00CC4BA8">
      <w:pPr>
        <w:spacing w:line="276" w:lineRule="auto"/>
        <w:rPr>
          <w:rStyle w:val="sb8d990e2"/>
          <w:rFonts w:cs="Times New Roman"/>
          <w:shd w:val="clear" w:color="auto" w:fill="FFFFFF"/>
        </w:rPr>
      </w:pPr>
    </w:p>
    <w:p w14:paraId="24EBCEDB" w14:textId="66DD079A" w:rsidR="008F1C5A" w:rsidRPr="00E72418" w:rsidRDefault="004469AC" w:rsidP="008F1C5A">
      <w:pPr>
        <w:spacing w:line="276" w:lineRule="auto"/>
        <w:rPr>
          <w:rFonts w:ascii="Times New Roman" w:hAnsi="Times New Roman" w:cs="Times New Roman"/>
          <w:szCs w:val="24"/>
          <w:lang w:val="fr-BE"/>
        </w:rPr>
      </w:pPr>
      <w:r w:rsidRPr="00E72418">
        <w:rPr>
          <w:rFonts w:ascii="Times New Roman" w:hAnsi="Times New Roman" w:cs="Times New Roman"/>
          <w:b/>
        </w:rPr>
        <w:t>382</w:t>
      </w:r>
      <w:r w:rsidR="00817D62" w:rsidRPr="00E72418">
        <w:rPr>
          <w:rFonts w:ascii="Times New Roman" w:hAnsi="Times New Roman" w:cs="Times New Roman"/>
          <w:b/>
        </w:rPr>
        <w:t xml:space="preserve">. </w:t>
      </w:r>
      <w:r w:rsidR="008F1C5A" w:rsidRPr="00E72418">
        <w:rPr>
          <w:rFonts w:ascii="Times New Roman" w:hAnsi="Times New Roman" w:cs="Times New Roman"/>
          <w:b/>
        </w:rPr>
        <w:t>Le service d’un intérêt public légitime –</w:t>
      </w:r>
      <w:r w:rsidR="008F1C5A" w:rsidRPr="00E72418">
        <w:rPr>
          <w:rFonts w:ascii="Times New Roman" w:hAnsi="Times New Roman" w:cs="Times New Roman"/>
        </w:rPr>
        <w:t xml:space="preserve"> Dans la mesure où les législations étudiées visent généralement à protéger des </w:t>
      </w:r>
      <w:r w:rsidR="0044014E" w:rsidRPr="00E72418">
        <w:rPr>
          <w:rFonts w:cs="Times New Roman"/>
          <w:szCs w:val="24"/>
        </w:rPr>
        <w:t>É</w:t>
      </w:r>
      <w:r w:rsidR="008F1C5A" w:rsidRPr="00E72418">
        <w:rPr>
          <w:rFonts w:ascii="Times New Roman" w:hAnsi="Times New Roman" w:cs="Times New Roman"/>
        </w:rPr>
        <w:t>tats pauvres attaqués par des fonds spéculatifs, l’on peut se demander si les limitations qu</w:t>
      </w:r>
      <w:r w:rsidR="0044014E" w:rsidRPr="00E72418">
        <w:rPr>
          <w:rFonts w:ascii="Times New Roman" w:hAnsi="Times New Roman" w:cs="Times New Roman"/>
        </w:rPr>
        <w:t>’elles posent aux prétentio</w:t>
      </w:r>
      <w:r w:rsidR="008F1C5A" w:rsidRPr="00E72418">
        <w:rPr>
          <w:rFonts w:ascii="Times New Roman" w:hAnsi="Times New Roman" w:cs="Times New Roman"/>
        </w:rPr>
        <w:t xml:space="preserve">ns de ces derniers ne sauraient être justifiées par l’argument d’un intérêt public légitime poursuivi. Dans son arrêt </w:t>
      </w:r>
      <w:r w:rsidR="008F1C5A" w:rsidRPr="00E72418">
        <w:rPr>
          <w:rFonts w:ascii="Times New Roman" w:hAnsi="Times New Roman" w:cs="Times New Roman"/>
          <w:i/>
        </w:rPr>
        <w:t xml:space="preserve">Malysh et autres c. Russie, </w:t>
      </w:r>
      <w:r w:rsidR="008F1C5A" w:rsidRPr="00E72418">
        <w:rPr>
          <w:rFonts w:ascii="Times New Roman" w:hAnsi="Times New Roman" w:cs="Times New Roman"/>
        </w:rPr>
        <w:t>la Cour européenne des droits de l’homme a retenu que « </w:t>
      </w:r>
      <w:r w:rsidR="008F1C5A" w:rsidRPr="00E72418">
        <w:rPr>
          <w:rFonts w:ascii="Times New Roman" w:hAnsi="Times New Roman" w:cs="Times New Roman"/>
          <w:szCs w:val="24"/>
          <w:lang w:val="fr-BE"/>
        </w:rPr>
        <w:t xml:space="preserve">defining budgetary priorities in terms of favouring expenditure on pressing social issues to the detriment of claims with a purely pecuniary nature was a legitimate aim in the public interest </w:t>
      </w:r>
      <w:r w:rsidR="008F1C5A" w:rsidRPr="00E72418">
        <w:rPr>
          <w:rFonts w:ascii="Times New Roman" w:hAnsi="Times New Roman" w:cs="Times New Roman"/>
        </w:rPr>
        <w:t>»</w:t>
      </w:r>
      <w:r w:rsidR="008F1C5A" w:rsidRPr="00E72418">
        <w:rPr>
          <w:rStyle w:val="Appelnotedebasdep"/>
          <w:rFonts w:ascii="Times New Roman" w:hAnsi="Times New Roman" w:cs="Times New Roman"/>
        </w:rPr>
        <w:footnoteReference w:id="1910"/>
      </w:r>
      <w:r w:rsidR="008F1C5A" w:rsidRPr="00E72418">
        <w:rPr>
          <w:rFonts w:ascii="Times New Roman" w:hAnsi="Times New Roman" w:cs="Times New Roman"/>
        </w:rPr>
        <w:t xml:space="preserve">. Dans l’arrêt </w:t>
      </w:r>
      <w:r w:rsidR="008F1C5A" w:rsidRPr="00E72418">
        <w:rPr>
          <w:rStyle w:val="s7d2086b4"/>
          <w:i/>
          <w:szCs w:val="20"/>
        </w:rPr>
        <w:t>Mamatas et autres c. Grèce</w:t>
      </w:r>
      <w:r w:rsidR="008F1C5A" w:rsidRPr="00E72418">
        <w:rPr>
          <w:rStyle w:val="s7d2086b4"/>
          <w:szCs w:val="20"/>
        </w:rPr>
        <w:t xml:space="preserve">, la Cour européenne fut attentive à la gravité des crises politiques, économiques et sociales que peuvent rencontrer les </w:t>
      </w:r>
      <w:r w:rsidR="008F1C5A" w:rsidRPr="00E72418">
        <w:rPr>
          <w:rFonts w:cs="Times New Roman"/>
          <w:szCs w:val="24"/>
        </w:rPr>
        <w:t>É</w:t>
      </w:r>
      <w:r w:rsidR="008F1C5A" w:rsidRPr="00E72418">
        <w:rPr>
          <w:rStyle w:val="s7d2086b4"/>
          <w:szCs w:val="20"/>
        </w:rPr>
        <w:t>tats et jugea, pour ce qui est de la crise hellénique, que l’</w:t>
      </w:r>
      <w:r w:rsidR="008F1C5A" w:rsidRPr="00E72418">
        <w:rPr>
          <w:rFonts w:ascii="Times New Roman" w:hAnsi="Times New Roman" w:cs="Times New Roman"/>
          <w:lang w:eastAsia="fr-BE"/>
        </w:rPr>
        <w:t>É</w:t>
      </w:r>
      <w:r w:rsidR="008F1C5A" w:rsidRPr="00E72418">
        <w:rPr>
          <w:rStyle w:val="s7d2086b4"/>
          <w:szCs w:val="20"/>
        </w:rPr>
        <w:t>tat grec pouvait légitimement prendre des mesures en vue d’atteindre les buts de maintien de la stabilité économique et de restructuration de la dette</w:t>
      </w:r>
      <w:r w:rsidR="00B66150" w:rsidRPr="00E72418">
        <w:rPr>
          <w:rStyle w:val="s7d2086b4"/>
          <w:szCs w:val="20"/>
        </w:rPr>
        <w:t>,</w:t>
      </w:r>
      <w:r w:rsidR="008F1C5A" w:rsidRPr="00E72418">
        <w:rPr>
          <w:rStyle w:val="s7d2086b4"/>
          <w:szCs w:val="20"/>
        </w:rPr>
        <w:t xml:space="preserve"> et ce, « dans l’intérêt général de la communauté »</w:t>
      </w:r>
      <w:r w:rsidR="008F1C5A" w:rsidRPr="00E72418">
        <w:rPr>
          <w:rStyle w:val="Appelnotedebasdep"/>
          <w:rFonts w:ascii="Times New Roman" w:hAnsi="Times New Roman" w:cs="Times New Roman"/>
        </w:rPr>
        <w:footnoteReference w:id="1911"/>
      </w:r>
      <w:r w:rsidR="008F1C5A" w:rsidRPr="00E72418">
        <w:rPr>
          <w:rStyle w:val="s7d2086b4"/>
          <w:szCs w:val="20"/>
        </w:rPr>
        <w:t xml:space="preserve">. Par ailleurs, </w:t>
      </w:r>
      <w:r w:rsidR="008F1C5A" w:rsidRPr="00E72418">
        <w:rPr>
          <w:rFonts w:ascii="Times New Roman" w:hAnsi="Times New Roman" w:cs="Times New Roman"/>
        </w:rPr>
        <w:t>d</w:t>
      </w:r>
      <w:r w:rsidR="008F1C5A" w:rsidRPr="00E72418">
        <w:rPr>
          <w:rFonts w:ascii="Times New Roman" w:hAnsi="Times New Roman" w:cs="Times New Roman"/>
          <w:szCs w:val="24"/>
        </w:rPr>
        <w:t xml:space="preserve">ans l’affaire </w:t>
      </w:r>
      <w:r w:rsidR="008F1C5A" w:rsidRPr="00E72418">
        <w:rPr>
          <w:rFonts w:ascii="Times New Roman" w:hAnsi="Times New Roman" w:cs="Times New Roman"/>
          <w:i/>
          <w:szCs w:val="24"/>
        </w:rPr>
        <w:t xml:space="preserve">Kalogeropoulou e.a. c. Grèce et </w:t>
      </w:r>
      <w:r w:rsidR="008F1C5A" w:rsidRPr="00E72418">
        <w:rPr>
          <w:rFonts w:ascii="Times New Roman" w:hAnsi="Times New Roman" w:cs="Times New Roman"/>
          <w:i/>
          <w:szCs w:val="24"/>
        </w:rPr>
        <w:lastRenderedPageBreak/>
        <w:t>Allemagne</w:t>
      </w:r>
      <w:r w:rsidR="008F1C5A" w:rsidRPr="00E72418">
        <w:rPr>
          <w:rFonts w:ascii="Times New Roman" w:hAnsi="Times New Roman" w:cs="Times New Roman"/>
          <w:szCs w:val="24"/>
        </w:rPr>
        <w:t xml:space="preserve">, la Cour européenne des droits de l’homme a retenu que le but d’éviter des troubles dans les relations entre deux </w:t>
      </w:r>
      <w:r w:rsidR="008F1C5A" w:rsidRPr="00E72418">
        <w:rPr>
          <w:rFonts w:ascii="Times New Roman" w:hAnsi="Times New Roman" w:cs="Times New Roman"/>
          <w:szCs w:val="24"/>
          <w:lang w:eastAsia="fr-BE"/>
        </w:rPr>
        <w:t>É</w:t>
      </w:r>
      <w:r w:rsidR="008F1C5A" w:rsidRPr="00E72418">
        <w:rPr>
          <w:rFonts w:ascii="Times New Roman" w:hAnsi="Times New Roman" w:cs="Times New Roman"/>
          <w:szCs w:val="24"/>
        </w:rPr>
        <w:t>tats est une « cause d’utilité publique » au sens de l’article 1</w:t>
      </w:r>
      <w:r w:rsidR="008F1C5A" w:rsidRPr="00E72418">
        <w:rPr>
          <w:rFonts w:ascii="Times New Roman" w:hAnsi="Times New Roman" w:cs="Times New Roman"/>
          <w:szCs w:val="24"/>
          <w:vertAlign w:val="superscript"/>
        </w:rPr>
        <w:t>er</w:t>
      </w:r>
      <w:r w:rsidR="008F1C5A" w:rsidRPr="00E72418">
        <w:rPr>
          <w:rFonts w:ascii="Times New Roman" w:hAnsi="Times New Roman" w:cs="Times New Roman"/>
          <w:szCs w:val="24"/>
        </w:rPr>
        <w:t>, alinéa 1</w:t>
      </w:r>
      <w:r w:rsidR="008F1C5A" w:rsidRPr="00E72418">
        <w:rPr>
          <w:rFonts w:ascii="Times New Roman" w:hAnsi="Times New Roman" w:cs="Times New Roman"/>
          <w:szCs w:val="24"/>
          <w:vertAlign w:val="superscript"/>
        </w:rPr>
        <w:t>er</w:t>
      </w:r>
      <w:r w:rsidR="008F1C5A" w:rsidRPr="00E72418">
        <w:rPr>
          <w:rFonts w:ascii="Times New Roman" w:hAnsi="Times New Roman" w:cs="Times New Roman"/>
          <w:szCs w:val="24"/>
        </w:rPr>
        <w:t xml:space="preserve">, du Premier Protocole additionnel et que le refus de pratiquer une saisie immobilière de certains biens appartenant à un </w:t>
      </w:r>
      <w:r w:rsidR="008F1C5A" w:rsidRPr="00E72418">
        <w:rPr>
          <w:rFonts w:ascii="Times New Roman" w:hAnsi="Times New Roman" w:cs="Times New Roman"/>
          <w:szCs w:val="24"/>
          <w:lang w:eastAsia="fr-BE"/>
        </w:rPr>
        <w:t>É</w:t>
      </w:r>
      <w:r w:rsidR="008F1C5A" w:rsidRPr="00E72418">
        <w:rPr>
          <w:rFonts w:ascii="Times New Roman" w:hAnsi="Times New Roman" w:cs="Times New Roman"/>
          <w:szCs w:val="24"/>
        </w:rPr>
        <w:t>tat étranger sert une telle cause de sorte que but légitime il y a</w:t>
      </w:r>
      <w:r w:rsidR="008F1C5A" w:rsidRPr="00E72418">
        <w:rPr>
          <w:rStyle w:val="Appelnotedebasdep"/>
          <w:rFonts w:ascii="Times New Roman" w:hAnsi="Times New Roman" w:cs="Times New Roman"/>
          <w:szCs w:val="24"/>
        </w:rPr>
        <w:footnoteReference w:id="1912"/>
      </w:r>
      <w:r w:rsidR="008F1C5A" w:rsidRPr="00E72418">
        <w:rPr>
          <w:rFonts w:ascii="Times New Roman" w:hAnsi="Times New Roman" w:cs="Times New Roman"/>
          <w:szCs w:val="24"/>
        </w:rPr>
        <w:t>.</w:t>
      </w:r>
      <w:r w:rsidR="00934202" w:rsidRPr="00E72418">
        <w:rPr>
          <w:rFonts w:ascii="Times New Roman" w:hAnsi="Times New Roman" w:cs="Times New Roman"/>
          <w:szCs w:val="24"/>
        </w:rPr>
        <w:t xml:space="preserve"> </w:t>
      </w:r>
      <w:r w:rsidR="00934202" w:rsidRPr="00E72418">
        <w:rPr>
          <w:shd w:val="clear" w:color="auto" w:fill="FFFFFF"/>
        </w:rPr>
        <w:t>Aussi, d</w:t>
      </w:r>
      <w:r w:rsidR="00934202" w:rsidRPr="00E72418">
        <w:rPr>
          <w:rFonts w:ascii="Times New Roman" w:hAnsi="Times New Roman"/>
        </w:rPr>
        <w:t>ès lors que le comportement opportuniste des fonds spéculatifs est de nature à mettre à mal le droit de propriété des créanciers coopérants, il peut être argumenté que la protection de ces derniers participe de l’utilité publique et de l’intérêt général</w:t>
      </w:r>
      <w:r w:rsidR="00934202" w:rsidRPr="00E72418">
        <w:rPr>
          <w:rStyle w:val="Appelnotedebasdep"/>
          <w:rFonts w:ascii="Times New Roman" w:hAnsi="Times New Roman" w:cs="Times New Roman"/>
        </w:rPr>
        <w:footnoteReference w:id="1913"/>
      </w:r>
      <w:r w:rsidR="00934202" w:rsidRPr="00E72418">
        <w:rPr>
          <w:rFonts w:ascii="Times New Roman" w:hAnsi="Times New Roman"/>
        </w:rPr>
        <w:t>. Finalement, ces utilité et intérêt se retrouvent encore dans le souci de préserver d</w:t>
      </w:r>
      <w:r w:rsidR="00934202" w:rsidRPr="00E72418">
        <w:rPr>
          <w:rFonts w:ascii="Times New Roman" w:hAnsi="Times New Roman"/>
          <w:szCs w:val="24"/>
        </w:rPr>
        <w:t xml:space="preserve">es montants concédés par les autres créanciers et les contribuables des </w:t>
      </w:r>
      <w:r w:rsidR="00934202" w:rsidRPr="00E72418">
        <w:rPr>
          <w:shd w:val="clear" w:color="auto" w:fill="FFFFFF"/>
        </w:rPr>
        <w:t>É</w:t>
      </w:r>
      <w:r w:rsidR="00934202" w:rsidRPr="00E72418">
        <w:rPr>
          <w:rFonts w:ascii="Times New Roman" w:hAnsi="Times New Roman"/>
          <w:szCs w:val="24"/>
        </w:rPr>
        <w:t>tats créanciers</w:t>
      </w:r>
      <w:r w:rsidR="00934202" w:rsidRPr="00E72418">
        <w:rPr>
          <w:rStyle w:val="Appelnotedebasdep"/>
          <w:rFonts w:ascii="Times New Roman" w:hAnsi="Times New Roman" w:cs="Times New Roman"/>
          <w:szCs w:val="24"/>
        </w:rPr>
        <w:footnoteReference w:id="1914"/>
      </w:r>
      <w:r w:rsidR="00934202" w:rsidRPr="00E72418">
        <w:rPr>
          <w:rFonts w:ascii="Times New Roman" w:hAnsi="Times New Roman"/>
          <w:szCs w:val="24"/>
        </w:rPr>
        <w:t>.</w:t>
      </w:r>
    </w:p>
    <w:p w14:paraId="41747988" w14:textId="77777777" w:rsidR="0020386F" w:rsidRPr="00E72418" w:rsidRDefault="0020386F" w:rsidP="00CC4BA8">
      <w:pPr>
        <w:spacing w:line="276" w:lineRule="auto"/>
      </w:pPr>
    </w:p>
    <w:p w14:paraId="425AF3F7" w14:textId="0BCD7158" w:rsidR="002E58FD" w:rsidRPr="00E72418" w:rsidRDefault="004469AC" w:rsidP="00CC4BA8">
      <w:pPr>
        <w:spacing w:line="276" w:lineRule="auto"/>
      </w:pPr>
      <w:r w:rsidRPr="00E72418">
        <w:rPr>
          <w:b/>
        </w:rPr>
        <w:t>383</w:t>
      </w:r>
      <w:r w:rsidR="00817D62" w:rsidRPr="00E72418">
        <w:rPr>
          <w:b/>
        </w:rPr>
        <w:t xml:space="preserve">. </w:t>
      </w:r>
      <w:r w:rsidR="005656FA" w:rsidRPr="00E72418">
        <w:rPr>
          <w:b/>
        </w:rPr>
        <w:t>La confiance accordée aux législateurs nationaux –</w:t>
      </w:r>
      <w:r w:rsidR="001A064F" w:rsidRPr="00E72418">
        <w:t xml:space="preserve"> </w:t>
      </w:r>
      <w:r w:rsidR="001A064F" w:rsidRPr="00E72418">
        <w:rPr>
          <w:szCs w:val="20"/>
        </w:rPr>
        <w:t xml:space="preserve">Dans son </w:t>
      </w:r>
      <w:r w:rsidR="002E58FD" w:rsidRPr="00E72418">
        <w:rPr>
          <w:szCs w:val="20"/>
        </w:rPr>
        <w:t xml:space="preserve">arrêt </w:t>
      </w:r>
      <w:r w:rsidR="002E58FD" w:rsidRPr="00E72418">
        <w:rPr>
          <w:i/>
          <w:szCs w:val="20"/>
        </w:rPr>
        <w:t>Broniowski c. Pologne</w:t>
      </w:r>
      <w:r w:rsidR="002E58FD" w:rsidRPr="00E72418">
        <w:rPr>
          <w:szCs w:val="20"/>
        </w:rPr>
        <w:t>, la Cour européenne des droits de l’homme indiquait qu’ « [e]stimant normal que le législateur dispose d’une grande latitude pour mener une politique économique et sociale », elle respectait « la manière dont il conçoit les impératifs de l’“utilité publique”, sauf si son jugement se révèle manifestement dépourvu de base raisonnable »</w:t>
      </w:r>
      <w:r w:rsidR="002E58FD" w:rsidRPr="00E72418">
        <w:rPr>
          <w:rStyle w:val="Appelnotedebasdep"/>
          <w:szCs w:val="20"/>
        </w:rPr>
        <w:footnoteReference w:id="1915"/>
      </w:r>
      <w:r w:rsidR="002E58FD" w:rsidRPr="00E72418">
        <w:rPr>
          <w:szCs w:val="20"/>
        </w:rPr>
        <w:t xml:space="preserve">. </w:t>
      </w:r>
    </w:p>
    <w:p w14:paraId="2C672E4C" w14:textId="067B46E2" w:rsidR="005656FA" w:rsidRPr="00E72418" w:rsidRDefault="00C44DE1" w:rsidP="00CC4BA8">
      <w:pPr>
        <w:spacing w:line="276" w:lineRule="auto"/>
        <w:rPr>
          <w:b/>
        </w:rPr>
      </w:pPr>
      <w:r w:rsidRPr="00E72418">
        <w:t>Ainsi, d</w:t>
      </w:r>
      <w:r w:rsidR="005656FA" w:rsidRPr="00E72418">
        <w:t>ès</w:t>
      </w:r>
      <w:r w:rsidR="00B521A0" w:rsidRPr="00E72418">
        <w:t xml:space="preserve"> lors que les législateurs nationaux</w:t>
      </w:r>
      <w:r w:rsidR="005656FA" w:rsidRPr="00E72418">
        <w:t xml:space="preserve"> dispose</w:t>
      </w:r>
      <w:r w:rsidR="00B521A0" w:rsidRPr="00E72418">
        <w:t>nt</w:t>
      </w:r>
      <w:r w:rsidR="005656FA" w:rsidRPr="00E72418">
        <w:t xml:space="preserve"> d’une marge d’appréciation relativement large, il paraît difficile de </w:t>
      </w:r>
      <w:r w:rsidR="00B521A0" w:rsidRPr="00E72418">
        <w:t xml:space="preserve">leur </w:t>
      </w:r>
      <w:r w:rsidR="005656FA" w:rsidRPr="00E72418">
        <w:t xml:space="preserve">reprocher leur souhait </w:t>
      </w:r>
      <w:r w:rsidR="00B521A0" w:rsidRPr="00E72418">
        <w:t xml:space="preserve">d’assurer la soutenabilité des dettes souveraines et </w:t>
      </w:r>
      <w:r w:rsidR="005656FA" w:rsidRPr="00E72418">
        <w:t xml:space="preserve">de limiter la spéculation sur </w:t>
      </w:r>
      <w:r w:rsidR="00B521A0" w:rsidRPr="00E72418">
        <w:t>l</w:t>
      </w:r>
      <w:r w:rsidR="005656FA" w:rsidRPr="00E72418">
        <w:t xml:space="preserve">es </w:t>
      </w:r>
      <w:r w:rsidR="005656FA" w:rsidRPr="00E72418">
        <w:rPr>
          <w:szCs w:val="24"/>
        </w:rPr>
        <w:t>É</w:t>
      </w:r>
      <w:r w:rsidR="005656FA" w:rsidRPr="00E72418">
        <w:t xml:space="preserve">tats </w:t>
      </w:r>
      <w:r w:rsidR="00B521A0" w:rsidRPr="00E72418">
        <w:t>en difficulté</w:t>
      </w:r>
      <w:r w:rsidR="005656FA" w:rsidRPr="00E72418">
        <w:t xml:space="preserve"> qu’ils cherchent à protéger de même que leur</w:t>
      </w:r>
      <w:r w:rsidRPr="00E72418">
        <w:t>s</w:t>
      </w:r>
      <w:r w:rsidR="005656FA" w:rsidRPr="00E72418">
        <w:t xml:space="preserve"> population</w:t>
      </w:r>
      <w:r w:rsidRPr="00E72418">
        <w:t>s</w:t>
      </w:r>
      <w:r w:rsidR="005656FA" w:rsidRPr="00E72418">
        <w:rPr>
          <w:rStyle w:val="Appelnotedebasdep"/>
          <w:rFonts w:cs="Times New Roman"/>
          <w:szCs w:val="24"/>
        </w:rPr>
        <w:footnoteReference w:id="1916"/>
      </w:r>
      <w:r w:rsidR="00B521A0" w:rsidRPr="00E72418">
        <w:t>.</w:t>
      </w:r>
    </w:p>
    <w:p w14:paraId="0D67F5ED" w14:textId="0DB2DDDE" w:rsidR="005656FA" w:rsidRPr="00E72418" w:rsidRDefault="005656FA" w:rsidP="00CC4BA8">
      <w:pPr>
        <w:spacing w:line="276" w:lineRule="auto"/>
        <w:rPr>
          <w:shd w:val="clear" w:color="auto" w:fill="FFFFFF"/>
        </w:rPr>
      </w:pPr>
      <w:r w:rsidRPr="00E72418">
        <w:t xml:space="preserve">Dans son arrêt </w:t>
      </w:r>
      <w:r w:rsidRPr="00E72418">
        <w:rPr>
          <w:i/>
        </w:rPr>
        <w:t>James et autres c. Royaume-Uni</w:t>
      </w:r>
      <w:r w:rsidRPr="00E72418">
        <w:t>, la Cour a retenu que d</w:t>
      </w:r>
      <w:r w:rsidRPr="00E72418">
        <w:rPr>
          <w:shd w:val="clear" w:color="auto" w:fill="FFFFFF"/>
        </w:rPr>
        <w:t xml:space="preserve">es objectifs légitimes « d’utilité publique », tels qu’en poursuivent des mesures de réforme économique ou de justice </w:t>
      </w:r>
      <w:r w:rsidRPr="00E72418">
        <w:rPr>
          <w:shd w:val="clear" w:color="auto" w:fill="FFFFFF"/>
        </w:rPr>
        <w:lastRenderedPageBreak/>
        <w:t>sociale, peuvent militer pour un remboursement inférieur à la pleine valeur marchande d’un bien</w:t>
      </w:r>
      <w:r w:rsidRPr="00E72418">
        <w:rPr>
          <w:rStyle w:val="Appelnotedebasdep"/>
          <w:rFonts w:cs="Times New Roman"/>
          <w:shd w:val="clear" w:color="auto" w:fill="FFFFFF"/>
        </w:rPr>
        <w:footnoteReference w:id="1917"/>
      </w:r>
      <w:r w:rsidRPr="00E72418">
        <w:rPr>
          <w:shd w:val="clear" w:color="auto" w:fill="FFFFFF"/>
        </w:rPr>
        <w:t xml:space="preserve">. </w:t>
      </w:r>
      <w:r w:rsidR="00F46A17" w:rsidRPr="00E72418">
        <w:rPr>
          <w:rFonts w:ascii="Times New Roman" w:hAnsi="Times New Roman"/>
        </w:rPr>
        <w:t xml:space="preserve">Dans son arrêt </w:t>
      </w:r>
      <w:r w:rsidR="00F46A17" w:rsidRPr="00E72418">
        <w:rPr>
          <w:rFonts w:ascii="Times New Roman" w:hAnsi="Times New Roman"/>
          <w:i/>
        </w:rPr>
        <w:t>Kozacioglu c. Turquie</w:t>
      </w:r>
      <w:r w:rsidR="00F46A17" w:rsidRPr="00E72418">
        <w:rPr>
          <w:rFonts w:ascii="Times New Roman" w:hAnsi="Times New Roman"/>
        </w:rPr>
        <w:t xml:space="preserve">, la Cour européenne des droits de l’homme retenait encore qu’en règle, </w:t>
      </w:r>
      <w:r w:rsidR="00F46A17" w:rsidRPr="00E72418">
        <w:rPr>
          <w:rStyle w:val="sb8d990e2"/>
          <w:rFonts w:cs="Times New Roman"/>
          <w:shd w:val="clear" w:color="auto" w:fill="FFFFFF"/>
        </w:rPr>
        <w:t xml:space="preserve">une privation de propriété constitue une atteinte excessive </w:t>
      </w:r>
      <w:r w:rsidR="00F46A17" w:rsidRPr="00E72418">
        <w:rPr>
          <w:rFonts w:ascii="Times New Roman" w:hAnsi="Times New Roman"/>
          <w:shd w:val="clear" w:color="auto" w:fill="FFFFFF"/>
        </w:rPr>
        <w:t xml:space="preserve">au droit au respect des biens </w:t>
      </w:r>
      <w:r w:rsidR="00F46A17" w:rsidRPr="00E72418">
        <w:rPr>
          <w:rStyle w:val="sb8d990e2"/>
          <w:rFonts w:cs="Times New Roman"/>
          <w:shd w:val="clear" w:color="auto" w:fill="FFFFFF"/>
        </w:rPr>
        <w:t>si elle ne s’accompagne pas d’un versement d’une somme raisonnablement en rapport avec la valeur du bien mais que l’article premier du Premier Protocole additionnel ne garantit cependant pas dans tous les cas le droit à une réparation intégrale. La Cour précisait ainsi que des objectifs légitimes d’utilité publique peuvent militer pour un remboursement inférieur à la pleine valeur des biens expropriés</w:t>
      </w:r>
      <w:r w:rsidR="00F46A17" w:rsidRPr="00E72418">
        <w:rPr>
          <w:rStyle w:val="Appelnotedebasdep"/>
          <w:rFonts w:cs="Times New Roman"/>
          <w:shd w:val="clear" w:color="auto" w:fill="FFFFFF"/>
        </w:rPr>
        <w:footnoteReference w:id="1918"/>
      </w:r>
      <w:r w:rsidR="00F46A17" w:rsidRPr="00E72418">
        <w:rPr>
          <w:rStyle w:val="sb8d990e2"/>
          <w:rFonts w:cs="Times New Roman"/>
          <w:shd w:val="clear" w:color="auto" w:fill="FFFFFF"/>
        </w:rPr>
        <w:t>.</w:t>
      </w:r>
    </w:p>
    <w:p w14:paraId="6852302E" w14:textId="77777777" w:rsidR="005656FA" w:rsidRPr="00E72418" w:rsidRDefault="005656FA" w:rsidP="00CC4BA8">
      <w:pPr>
        <w:spacing w:line="276" w:lineRule="auto"/>
        <w:rPr>
          <w:shd w:val="clear" w:color="auto" w:fill="FFFFFF"/>
        </w:rPr>
      </w:pPr>
    </w:p>
    <w:p w14:paraId="340F3F8F" w14:textId="7DF66670" w:rsidR="005656FA" w:rsidRPr="00E72418" w:rsidRDefault="004469AC" w:rsidP="00CC4BA8">
      <w:pPr>
        <w:spacing w:line="276" w:lineRule="auto"/>
        <w:rPr>
          <w:rFonts w:cs="Times New Roman"/>
          <w:szCs w:val="24"/>
        </w:rPr>
      </w:pPr>
      <w:bookmarkStart w:id="445" w:name="_Toc59281017"/>
      <w:r w:rsidRPr="00E72418">
        <w:rPr>
          <w:b/>
        </w:rPr>
        <w:t>384</w:t>
      </w:r>
      <w:r w:rsidR="00817D62" w:rsidRPr="00E72418">
        <w:rPr>
          <w:b/>
        </w:rPr>
        <w:t xml:space="preserve">. </w:t>
      </w:r>
      <w:r w:rsidR="00F46A17" w:rsidRPr="00E72418">
        <w:rPr>
          <w:b/>
        </w:rPr>
        <w:t xml:space="preserve">Les objectifs précisément défendus </w:t>
      </w:r>
      <w:bookmarkEnd w:id="445"/>
      <w:r w:rsidR="005656FA" w:rsidRPr="00E72418">
        <w:rPr>
          <w:b/>
        </w:rPr>
        <w:t>–</w:t>
      </w:r>
      <w:r w:rsidR="005656FA" w:rsidRPr="00E72418">
        <w:t xml:space="preserve"> Le Gouvernement britannique considérait </w:t>
      </w:r>
      <w:r w:rsidR="00AA5F94" w:rsidRPr="00E72418">
        <w:t xml:space="preserve">que </w:t>
      </w:r>
      <w:r w:rsidR="005656FA" w:rsidRPr="00E72418">
        <w:t>la proposition de te</w:t>
      </w:r>
      <w:r w:rsidR="00354DD0" w:rsidRPr="00E72418">
        <w:t xml:space="preserve">xte à l’origine du </w:t>
      </w:r>
      <w:r w:rsidR="00354DD0" w:rsidRPr="00E72418">
        <w:rPr>
          <w:i/>
        </w:rPr>
        <w:t>Debt Relief (Developing Countries) Act</w:t>
      </w:r>
      <w:r w:rsidR="00354DD0" w:rsidRPr="00E72418">
        <w:t xml:space="preserve"> </w:t>
      </w:r>
      <w:r w:rsidR="005656FA" w:rsidRPr="00E72418">
        <w:t xml:space="preserve">entrait dans la marge d’appréciation concédée aux </w:t>
      </w:r>
      <w:r w:rsidR="005656FA" w:rsidRPr="00E72418">
        <w:rPr>
          <w:rFonts w:cs="Times New Roman"/>
          <w:shd w:val="clear" w:color="auto" w:fill="FFFFFF"/>
        </w:rPr>
        <w:t>É</w:t>
      </w:r>
      <w:r w:rsidR="005656FA" w:rsidRPr="00E72418">
        <w:t xml:space="preserve">tats. Relevant que « </w:t>
      </w:r>
      <w:r w:rsidR="005656FA" w:rsidRPr="00E72418">
        <w:rPr>
          <w:rFonts w:cs="Times New Roman"/>
        </w:rPr>
        <w:t>[p]</w:t>
      </w:r>
      <w:r w:rsidR="005656FA" w:rsidRPr="00E72418">
        <w:t xml:space="preserve">olicy in relation to third world debt involves consideration of political, economic and social issues </w:t>
      </w:r>
      <w:r w:rsidR="005656FA" w:rsidRPr="00E72418">
        <w:rPr>
          <w:shd w:val="clear" w:color="auto" w:fill="FFFFFF"/>
        </w:rPr>
        <w:t>»</w:t>
      </w:r>
      <w:r w:rsidR="0004079A" w:rsidRPr="00E72418">
        <w:t xml:space="preserve">, </w:t>
      </w:r>
      <w:r w:rsidR="00354DD0" w:rsidRPr="00E72418">
        <w:t>il</w:t>
      </w:r>
      <w:r w:rsidR="0004079A" w:rsidRPr="00E72418">
        <w:t xml:space="preserve"> remarquait qu’</w:t>
      </w:r>
      <w:r w:rsidR="005656FA" w:rsidRPr="00E72418">
        <w:t xml:space="preserve"> « </w:t>
      </w:r>
      <w:r w:rsidR="005656FA" w:rsidRPr="00E72418">
        <w:rPr>
          <w:rFonts w:cs="Times New Roman"/>
        </w:rPr>
        <w:t>[i]</w:t>
      </w:r>
      <w:r w:rsidR="005656FA" w:rsidRPr="00E72418">
        <w:t xml:space="preserve">n such matters of “high social policy”, states are entitled to a wide margin of appreciation </w:t>
      </w:r>
      <w:r w:rsidR="005656FA" w:rsidRPr="00E72418">
        <w:rPr>
          <w:shd w:val="clear" w:color="auto" w:fill="FFFFFF"/>
        </w:rPr>
        <w:t>»</w:t>
      </w:r>
      <w:r w:rsidR="005656FA" w:rsidRPr="00E72418">
        <w:rPr>
          <w:rStyle w:val="Appelnotedebasdep"/>
          <w:shd w:val="clear" w:color="auto" w:fill="FFFFFF"/>
        </w:rPr>
        <w:footnoteReference w:id="1919"/>
      </w:r>
      <w:r w:rsidR="00354DD0" w:rsidRPr="00E72418">
        <w:t>. Même si I</w:t>
      </w:r>
      <w:r w:rsidR="005656FA" w:rsidRPr="00E72418">
        <w:t>an Pearson était convaincu que le respect des droits des créanciers est essentiel au bon fonctionnement du marché et que ces droits ne sauraient être altérés qu’en présence de circonstances exceptionnelles</w:t>
      </w:r>
      <w:r w:rsidR="00354DD0" w:rsidRPr="00E72418">
        <w:t xml:space="preserve">, il retenait que l’interférence avec les droits contractuels des créanciers était « morally and economically justified » et que « there </w:t>
      </w:r>
      <w:r w:rsidR="00354DD0" w:rsidRPr="00E72418">
        <w:rPr>
          <w:rFonts w:cs="Times New Roman"/>
        </w:rPr>
        <w:t xml:space="preserve">[was] </w:t>
      </w:r>
      <w:r w:rsidR="00354DD0" w:rsidRPr="00E72418">
        <w:t>a compelling public policy case for doing so »</w:t>
      </w:r>
      <w:r w:rsidR="00354DD0" w:rsidRPr="00E72418">
        <w:rPr>
          <w:rStyle w:val="Appelnotedebasdep"/>
          <w:rFonts w:ascii="Times New Roman" w:hAnsi="Times New Roman" w:cs="Times New Roman"/>
          <w:szCs w:val="24"/>
        </w:rPr>
        <w:footnoteReference w:id="1920"/>
      </w:r>
      <w:r w:rsidR="00354DD0" w:rsidRPr="00E72418">
        <w:t xml:space="preserve">. </w:t>
      </w:r>
      <w:r w:rsidR="005656FA" w:rsidRPr="00E72418">
        <w:t xml:space="preserve">Pour </w:t>
      </w:r>
      <w:r w:rsidR="00354DD0" w:rsidRPr="00E72418">
        <w:t>Pearson</w:t>
      </w:r>
      <w:r w:rsidR="005656FA" w:rsidRPr="00E72418">
        <w:t>, les circonstances exceptionnelles se retrouvent dans le fait qu’il y a un consensus international quant à l’opportunité d’accorder des réductions de dettes et que la seule nature volontaire de la démarche de réduction est insuffisante</w:t>
      </w:r>
      <w:r w:rsidR="005656FA" w:rsidRPr="00E72418">
        <w:rPr>
          <w:rStyle w:val="Appelnotedebasdep"/>
          <w:rFonts w:ascii="Times New Roman" w:hAnsi="Times New Roman" w:cs="Times New Roman"/>
          <w:szCs w:val="24"/>
        </w:rPr>
        <w:footnoteReference w:id="1921"/>
      </w:r>
      <w:r w:rsidR="005656FA" w:rsidRPr="00E72418">
        <w:t xml:space="preserve">. Précisément, la législation britannique vise à faire en sorte que les Pays Pauvres Très Endettés au sens de l’Initiative de la Banque mondiale </w:t>
      </w:r>
      <w:r w:rsidR="00172D95" w:rsidRPr="00E72418">
        <w:t xml:space="preserve">et du Fonds monétaire international </w:t>
      </w:r>
      <w:r w:rsidR="005656FA" w:rsidRPr="00E72418">
        <w:t>soient protégés</w:t>
      </w:r>
      <w:r w:rsidR="00172D95" w:rsidRPr="00E72418">
        <w:t>,</w:t>
      </w:r>
      <w:r w:rsidR="005656FA" w:rsidRPr="00E72418">
        <w:t xml:space="preserve"> laquelle protection participe de l’intérêt général</w:t>
      </w:r>
      <w:r w:rsidR="005656FA" w:rsidRPr="00E72418">
        <w:rPr>
          <w:rStyle w:val="Appelnotedebasdep"/>
        </w:rPr>
        <w:footnoteReference w:id="1922"/>
      </w:r>
      <w:r w:rsidR="005656FA" w:rsidRPr="00E72418">
        <w:t xml:space="preserve">. </w:t>
      </w:r>
      <w:r w:rsidR="005A3EB9" w:rsidRPr="00E72418">
        <w:t>Le Gourvernement britannique notait ainsi notamment qu’ « </w:t>
      </w:r>
      <w:r w:rsidR="005A3EB9" w:rsidRPr="00E72418">
        <w:rPr>
          <w:rFonts w:cs="Times New Roman"/>
        </w:rPr>
        <w:t>[i]</w:t>
      </w:r>
      <w:r w:rsidR="005A3EB9" w:rsidRPr="00E72418">
        <w:t>n an increasingly interdependent world, international development is vital to global common interests that will profoundly affect the quality of life for all »</w:t>
      </w:r>
      <w:r w:rsidR="005A3EB9" w:rsidRPr="00E72418">
        <w:rPr>
          <w:rStyle w:val="Appelnotedebasdep"/>
        </w:rPr>
        <w:footnoteReference w:id="1923"/>
      </w:r>
      <w:r w:rsidR="005A3EB9" w:rsidRPr="00E72418">
        <w:t>.</w:t>
      </w:r>
    </w:p>
    <w:p w14:paraId="6D330392" w14:textId="1F543B1B" w:rsidR="005656FA" w:rsidRPr="00E72418" w:rsidRDefault="005656FA" w:rsidP="00CC4BA8">
      <w:pPr>
        <w:spacing w:line="276" w:lineRule="auto"/>
      </w:pPr>
      <w:bookmarkStart w:id="446" w:name="_Toc59281018"/>
      <w:r w:rsidRPr="00E72418">
        <w:t>La loi belge du 12 juillet 2015</w:t>
      </w:r>
      <w:bookmarkEnd w:id="446"/>
      <w:r w:rsidR="00125FC0" w:rsidRPr="00E72418">
        <w:t xml:space="preserve"> relative à la lutte contre</w:t>
      </w:r>
      <w:r w:rsidR="008742A7" w:rsidRPr="00E72418">
        <w:t xml:space="preserve"> les activités des fonds vautours </w:t>
      </w:r>
      <w:r w:rsidR="00F46A17" w:rsidRPr="00E72418">
        <w:t xml:space="preserve">fut critiquée par certains </w:t>
      </w:r>
      <w:r w:rsidR="008742A7" w:rsidRPr="00E72418">
        <w:t>en raison d</w:t>
      </w:r>
      <w:r w:rsidR="0044014E" w:rsidRPr="00E72418">
        <w:t xml:space="preserve">’une </w:t>
      </w:r>
      <w:r w:rsidR="00F46A17" w:rsidRPr="00E72418">
        <w:t xml:space="preserve">atteinte </w:t>
      </w:r>
      <w:r w:rsidR="008742A7" w:rsidRPr="00E72418">
        <w:t xml:space="preserve">injustifiée </w:t>
      </w:r>
      <w:r w:rsidR="0044014E" w:rsidRPr="00E72418">
        <w:t>portée</w:t>
      </w:r>
      <w:r w:rsidR="00F46A17" w:rsidRPr="00E72418">
        <w:t xml:space="preserve"> au droit de propriété</w:t>
      </w:r>
      <w:r w:rsidR="00F51E67" w:rsidRPr="00E72418">
        <w:rPr>
          <w:rStyle w:val="Appelnotedebasdep"/>
        </w:rPr>
        <w:footnoteReference w:id="1924"/>
      </w:r>
      <w:r w:rsidR="008742A7" w:rsidRPr="00E72418">
        <w:t xml:space="preserve">. </w:t>
      </w:r>
      <w:r w:rsidR="00172D95" w:rsidRPr="00E72418">
        <w:t xml:space="preserve">De </w:t>
      </w:r>
      <w:r w:rsidR="00172D95" w:rsidRPr="00E72418">
        <w:lastRenderedPageBreak/>
        <w:t>l’avis</w:t>
      </w:r>
      <w:r w:rsidRPr="00E72418">
        <w:t xml:space="preserve"> de la société </w:t>
      </w:r>
      <w:r w:rsidRPr="00E72418">
        <w:rPr>
          <w:i/>
        </w:rPr>
        <w:t>NML Capital Ltd.</w:t>
      </w:r>
      <w:r w:rsidRPr="00E72418">
        <w:t xml:space="preserve"> qui introduisit</w:t>
      </w:r>
      <w:r w:rsidR="00172D95" w:rsidRPr="00E72418">
        <w:t xml:space="preserve"> devant la Cour constitutionnelle belge</w:t>
      </w:r>
      <w:r w:rsidRPr="00E72418">
        <w:t xml:space="preserve"> un recours en annulation contre la loi, </w:t>
      </w:r>
      <w:r w:rsidR="00172D95" w:rsidRPr="00E72418">
        <w:t>cette dernière</w:t>
      </w:r>
      <w:r w:rsidRPr="00E72418">
        <w:t xml:space="preserve"> prive des créanciers de leur propriété ou constitue à tout le moins une ingérence dans leur droit au respect de leurs biens, cette atteinte n’étant ni raisonnablement justifiée ni proportionnée à l’objectif poursuivi</w:t>
      </w:r>
      <w:r w:rsidRPr="00E72418">
        <w:rPr>
          <w:rStyle w:val="Appelnotedebasdep"/>
          <w:rFonts w:cs="Times New Roman"/>
          <w:szCs w:val="24"/>
        </w:rPr>
        <w:footnoteReference w:id="1925"/>
      </w:r>
      <w:r w:rsidRPr="00E72418">
        <w:t>.</w:t>
      </w:r>
      <w:r w:rsidR="008742A7" w:rsidRPr="00E72418">
        <w:t xml:space="preserve"> </w:t>
      </w:r>
      <w:r w:rsidRPr="00E72418">
        <w:t>Après avoir rappelé</w:t>
      </w:r>
      <w:r w:rsidR="00172D95" w:rsidRPr="00E72418">
        <w:t>, d’une part,</w:t>
      </w:r>
      <w:r w:rsidRPr="00E72418">
        <w:t xml:space="preserve"> que toute ingérence dans le droit de propriété doit réaliser un juste équilibre entre les impératifs de l’intérêt général et ceux de la protection du droit au respect des biens</w:t>
      </w:r>
      <w:r w:rsidR="00172D95" w:rsidRPr="00E72418">
        <w:t>, d’autre part,</w:t>
      </w:r>
      <w:r w:rsidRPr="00E72418">
        <w:t xml:space="preserve"> qu’il faut qu’un rapport raisonnable de proportionnalité existe entre les moyens employés et le but poursu</w:t>
      </w:r>
      <w:r w:rsidR="00172D95" w:rsidRPr="00E72418">
        <w:t>ivi, la Cour constitutionnelle releva</w:t>
      </w:r>
      <w:r w:rsidRPr="00E72418">
        <w:t xml:space="preserve"> que la règle énoncée à l’alinéa 1</w:t>
      </w:r>
      <w:r w:rsidRPr="00E72418">
        <w:rPr>
          <w:vertAlign w:val="superscript"/>
        </w:rPr>
        <w:t>er</w:t>
      </w:r>
      <w:r w:rsidRPr="00E72418">
        <w:t xml:space="preserve"> de l’article 2 de la loi du 12 juillet 2015 constitue une ingérence dans le droit de propriété des créanciers qu’il vise mais que la loi poursuit un objectif légitime d’utilité publique</w:t>
      </w:r>
      <w:r w:rsidRPr="00E72418">
        <w:rPr>
          <w:rStyle w:val="Appelnotedebasdep"/>
        </w:rPr>
        <w:footnoteReference w:id="1926"/>
      </w:r>
      <w:r w:rsidR="008742A7" w:rsidRPr="00E72418">
        <w:t xml:space="preserve">. </w:t>
      </w:r>
      <w:r w:rsidRPr="00E72418">
        <w:t xml:space="preserve">S’appuyant, d’une part, sur la connaissance que le créancier doit avoir du fait qu’un rachat d’une dette sur un </w:t>
      </w:r>
      <w:r w:rsidRPr="00E72418">
        <w:rPr>
          <w:szCs w:val="24"/>
        </w:rPr>
        <w:t>É</w:t>
      </w:r>
      <w:r w:rsidRPr="00E72418">
        <w:t>tat présente un certain risque financier et sur le fait que le mécanisme de la loi trouve à s’appliquer dans des situations correspondant à des circonstances dans lesquelles l’action du créancier contre son débiteur constitue une spéculation malsaine et dangereuse pour ce dernier et rappelant, d’autre part, que la règle de la loi du 12 juillet 2015 n’ôte pas au cessionnaire de la créance sur l’</w:t>
      </w:r>
      <w:r w:rsidRPr="00E72418">
        <w:rPr>
          <w:szCs w:val="24"/>
        </w:rPr>
        <w:t>É</w:t>
      </w:r>
      <w:r w:rsidRPr="00E72418">
        <w:t>tat le droit d’obtenir de son débiteur le paiement d</w:t>
      </w:r>
      <w:r w:rsidR="00172D95" w:rsidRPr="00E72418">
        <w:t>e la somme qu’il a payée pour la racheter</w:t>
      </w:r>
      <w:r w:rsidRPr="00E72418">
        <w:t>, la Cour conclut que la règle de l’article 2, alinéa 1</w:t>
      </w:r>
      <w:r w:rsidRPr="00E72418">
        <w:rPr>
          <w:vertAlign w:val="superscript"/>
        </w:rPr>
        <w:t>er</w:t>
      </w:r>
      <w:r w:rsidRPr="00E72418">
        <w:t>, de la loi ménage un juste équilibre entre les exigences de l’intérêt général et le droit de propriété du créancier qu’elle vise</w:t>
      </w:r>
      <w:r w:rsidRPr="00E72418">
        <w:rPr>
          <w:rStyle w:val="Appelnotedebasdep"/>
        </w:rPr>
        <w:footnoteReference w:id="1927"/>
      </w:r>
      <w:r w:rsidR="008742A7" w:rsidRPr="00E72418">
        <w:rPr>
          <w:vertAlign w:val="superscript"/>
        </w:rPr>
        <w:t>,</w:t>
      </w:r>
      <w:r w:rsidR="008742A7" w:rsidRPr="00E72418">
        <w:rPr>
          <w:rStyle w:val="Appelnotedebasdep"/>
        </w:rPr>
        <w:footnoteReference w:id="1928"/>
      </w:r>
      <w:r w:rsidR="007B769E" w:rsidRPr="00E72418">
        <w:t>.</w:t>
      </w:r>
    </w:p>
    <w:p w14:paraId="45C88727" w14:textId="12436183" w:rsidR="005656FA" w:rsidRPr="00E72418" w:rsidRDefault="005656FA" w:rsidP="00CC4BA8">
      <w:pPr>
        <w:spacing w:line="276" w:lineRule="auto"/>
      </w:pPr>
      <w:r w:rsidRPr="00E72418">
        <w:t xml:space="preserve">Parmi les différents arguments avancés par le Conseil constitutionnel français pour conclure que l’article 60 de </w:t>
      </w:r>
      <w:r w:rsidR="00BE440A" w:rsidRPr="00E72418">
        <w:t>la loi Sapin II ne méconnaît</w:t>
      </w:r>
      <w:r w:rsidRPr="00E72418">
        <w:t xml:space="preserve"> pas le droit de propriété, le Conseil </w:t>
      </w:r>
      <w:r w:rsidRPr="00E72418">
        <w:rPr>
          <w:szCs w:val="24"/>
        </w:rPr>
        <w:t>souligna que le législateur a poursuivi un objectif d’intérêt général en cherchant à protéger</w:t>
      </w:r>
      <w:r w:rsidR="00083F44" w:rsidRPr="00E72418">
        <w:rPr>
          <w:szCs w:val="24"/>
        </w:rPr>
        <w:t>, d’une part,</w:t>
      </w:r>
      <w:r w:rsidRPr="00E72418">
        <w:rPr>
          <w:szCs w:val="24"/>
        </w:rPr>
        <w:t xml:space="preserve"> les biens des </w:t>
      </w:r>
      <w:r w:rsidRPr="00E72418">
        <w:rPr>
          <w:rFonts w:cs="Times New Roman"/>
          <w:szCs w:val="24"/>
          <w:shd w:val="clear" w:color="auto" w:fill="FFFFFF"/>
        </w:rPr>
        <w:t>É</w:t>
      </w:r>
      <w:r w:rsidRPr="00E72418">
        <w:rPr>
          <w:szCs w:val="24"/>
        </w:rPr>
        <w:t>tats bénéficiant de l’aide publique au développement exposés à des difficultés financières</w:t>
      </w:r>
      <w:r w:rsidR="00083F44" w:rsidRPr="00E72418">
        <w:rPr>
          <w:szCs w:val="24"/>
        </w:rPr>
        <w:t>, d’autre part et plus généralement, la propriété des personnes publiques étrangères par un contrôle judiciaire renforcé des mesures de contrainte</w:t>
      </w:r>
      <w:r w:rsidRPr="00E72418">
        <w:rPr>
          <w:rStyle w:val="Appelnotedebasdep"/>
          <w:szCs w:val="24"/>
        </w:rPr>
        <w:footnoteReference w:id="1929"/>
      </w:r>
      <w:r w:rsidRPr="00E72418">
        <w:rPr>
          <w:szCs w:val="24"/>
        </w:rPr>
        <w:t>. De l’avis du Conseil</w:t>
      </w:r>
      <w:r w:rsidR="00083F44" w:rsidRPr="00E72418">
        <w:rPr>
          <w:szCs w:val="24"/>
        </w:rPr>
        <w:t xml:space="preserve"> constitutionnel, même si la disposition contestée</w:t>
      </w:r>
      <w:r w:rsidRPr="00E72418">
        <w:rPr>
          <w:szCs w:val="24"/>
        </w:rPr>
        <w:t xml:space="preserve"> portent atteinte au droit de propriété e</w:t>
      </w:r>
      <w:r w:rsidRPr="00E72418">
        <w:rPr>
          <w:shd w:val="clear" w:color="auto" w:fill="FFFFFF"/>
        </w:rPr>
        <w:t xml:space="preserve">n ce </w:t>
      </w:r>
      <w:r w:rsidRPr="00E72418">
        <w:rPr>
          <w:shd w:val="clear" w:color="auto" w:fill="FFFFFF"/>
        </w:rPr>
        <w:lastRenderedPageBreak/>
        <w:t>qu’elles limitent la possibilité pour le créancier d’un État étrange</w:t>
      </w:r>
      <w:r w:rsidR="00083F44" w:rsidRPr="00E72418">
        <w:rPr>
          <w:shd w:val="clear" w:color="auto" w:fill="FFFFFF"/>
        </w:rPr>
        <w:t>r d’obtenir la mise en œuvre de</w:t>
      </w:r>
      <w:r w:rsidRPr="00E72418">
        <w:rPr>
          <w:shd w:val="clear" w:color="auto" w:fill="FFFFFF"/>
        </w:rPr>
        <w:t xml:space="preserve"> mesures conservatoires ou d’exécution forcée sur un bien appartenant à cet État</w:t>
      </w:r>
      <w:r w:rsidRPr="00E72418">
        <w:rPr>
          <w:szCs w:val="24"/>
        </w:rPr>
        <w:t xml:space="preserve">, </w:t>
      </w:r>
      <w:r w:rsidRPr="00E72418">
        <w:t>elles n’en demeurent pas moins conforme</w:t>
      </w:r>
      <w:r w:rsidR="00AA5F94" w:rsidRPr="00E72418">
        <w:t>s</w:t>
      </w:r>
      <w:r w:rsidRPr="00E72418">
        <w:t xml:space="preserve"> à la Constitution</w:t>
      </w:r>
      <w:r w:rsidRPr="00E72418">
        <w:rPr>
          <w:rStyle w:val="Appelnotedebasdep"/>
        </w:rPr>
        <w:footnoteReference w:id="1930"/>
      </w:r>
      <w:r w:rsidRPr="00E72418">
        <w:t>.</w:t>
      </w:r>
    </w:p>
    <w:p w14:paraId="78835A53" w14:textId="28FDCE2F" w:rsidR="006A6239" w:rsidRPr="00E72418" w:rsidRDefault="006A6239" w:rsidP="00731FD7">
      <w:bookmarkStart w:id="447" w:name="_Toc59281020"/>
    </w:p>
    <w:p w14:paraId="45893119" w14:textId="396C16EC" w:rsidR="005656FA" w:rsidRPr="00E72418" w:rsidRDefault="008665DF" w:rsidP="00CC4BA8">
      <w:pPr>
        <w:pStyle w:val="EE"/>
        <w:spacing w:line="276" w:lineRule="auto"/>
        <w:jc w:val="left"/>
      </w:pPr>
      <w:bookmarkStart w:id="448" w:name="_Toc84541005"/>
      <w:r w:rsidRPr="00E72418">
        <w:t xml:space="preserve">Sous-section 4 : </w:t>
      </w:r>
      <w:r w:rsidR="005656FA" w:rsidRPr="00E72418">
        <w:t>La proportionnalité</w:t>
      </w:r>
      <w:bookmarkEnd w:id="447"/>
      <w:bookmarkEnd w:id="448"/>
    </w:p>
    <w:p w14:paraId="78DF4040" w14:textId="77777777" w:rsidR="007A12E9" w:rsidRPr="00E72418" w:rsidRDefault="007A12E9" w:rsidP="007A12E9"/>
    <w:p w14:paraId="74CF1D73" w14:textId="52FF2736" w:rsidR="00BE0D9B" w:rsidRPr="00E72418" w:rsidRDefault="004469AC" w:rsidP="00CC4BA8">
      <w:pPr>
        <w:spacing w:line="276" w:lineRule="auto"/>
        <w:rPr>
          <w:rFonts w:cs="Times New Roman"/>
          <w:shd w:val="clear" w:color="auto" w:fill="FFFFFF"/>
        </w:rPr>
      </w:pPr>
      <w:r w:rsidRPr="00E72418">
        <w:rPr>
          <w:rFonts w:cs="Times New Roman"/>
          <w:b/>
          <w:shd w:val="clear" w:color="auto" w:fill="FFFFFF"/>
        </w:rPr>
        <w:t>385</w:t>
      </w:r>
      <w:r w:rsidR="00817D62" w:rsidRPr="00E72418">
        <w:rPr>
          <w:rFonts w:cs="Times New Roman"/>
          <w:b/>
          <w:shd w:val="clear" w:color="auto" w:fill="FFFFFF"/>
        </w:rPr>
        <w:t xml:space="preserve">. </w:t>
      </w:r>
      <w:r w:rsidR="005656FA" w:rsidRPr="00E72418">
        <w:rPr>
          <w:rFonts w:cs="Times New Roman"/>
          <w:b/>
          <w:shd w:val="clear" w:color="auto" w:fill="FFFFFF"/>
        </w:rPr>
        <w:t xml:space="preserve">L’acceptation du risque – </w:t>
      </w:r>
      <w:r w:rsidR="00BE0D9B" w:rsidRPr="00E72418">
        <w:rPr>
          <w:rFonts w:cs="Times New Roman"/>
          <w:shd w:val="clear" w:color="auto" w:fill="FFFFFF"/>
        </w:rPr>
        <w:t xml:space="preserve">Il ne peut être porté atteinte au droit au respect des biens que </w:t>
      </w:r>
      <w:r w:rsidR="00DA0227" w:rsidRPr="00E72418">
        <w:rPr>
          <w:rFonts w:cs="Times New Roman"/>
          <w:shd w:val="clear" w:color="auto" w:fill="FFFFFF"/>
        </w:rPr>
        <w:t>si un juste équilibre est</w:t>
      </w:r>
      <w:r w:rsidR="00BE0D9B" w:rsidRPr="00E72418">
        <w:rPr>
          <w:rFonts w:cs="Times New Roman"/>
          <w:shd w:val="clear" w:color="auto" w:fill="FFFFFF"/>
        </w:rPr>
        <w:t xml:space="preserve"> maintenu entre les exigences de l’intérêt général de la communauté et les impératifs de sauvegarde des droits fondamentaux de l’individu</w:t>
      </w:r>
      <w:r w:rsidR="00DA0227" w:rsidRPr="00E72418">
        <w:rPr>
          <w:rFonts w:cs="Times New Roman"/>
          <w:shd w:val="clear" w:color="auto" w:fill="FFFFFF"/>
        </w:rPr>
        <w:t xml:space="preserve"> dit la Cour européenne des droits de l’homme</w:t>
      </w:r>
      <w:r w:rsidR="00BE0D9B" w:rsidRPr="00E72418">
        <w:rPr>
          <w:rStyle w:val="Appelnotedebasdep"/>
          <w:rFonts w:cs="Times New Roman"/>
          <w:shd w:val="clear" w:color="auto" w:fill="FFFFFF"/>
        </w:rPr>
        <w:footnoteReference w:id="1931"/>
      </w:r>
      <w:r w:rsidR="00BE0D9B" w:rsidRPr="00E72418">
        <w:rPr>
          <w:rFonts w:cs="Times New Roman"/>
          <w:shd w:val="clear" w:color="auto" w:fill="FFFFFF"/>
        </w:rPr>
        <w:t>.</w:t>
      </w:r>
      <w:r w:rsidR="00C77EE7" w:rsidRPr="00E72418">
        <w:rPr>
          <w:rFonts w:cs="Times New Roman"/>
          <w:shd w:val="clear" w:color="auto" w:fill="FFFFFF"/>
        </w:rPr>
        <w:t xml:space="preserve"> </w:t>
      </w:r>
      <w:r w:rsidR="00C77EE7" w:rsidRPr="00E72418">
        <w:t>À</w:t>
      </w:r>
      <w:r w:rsidR="00C77EE7" w:rsidRPr="00E72418">
        <w:rPr>
          <w:rFonts w:cs="Times New Roman"/>
          <w:shd w:val="clear" w:color="auto" w:fill="FFFFFF"/>
        </w:rPr>
        <w:t xml:space="preserve"> la différence du contrôle pratiqué par </w:t>
      </w:r>
      <w:r w:rsidR="00DA0227" w:rsidRPr="00E72418">
        <w:rPr>
          <w:rFonts w:cs="Times New Roman"/>
          <w:shd w:val="clear" w:color="auto" w:fill="FFFFFF"/>
        </w:rPr>
        <w:t>cette</w:t>
      </w:r>
      <w:r w:rsidR="00C77EE7" w:rsidRPr="00E72418">
        <w:rPr>
          <w:rFonts w:cs="Times New Roman"/>
          <w:shd w:val="clear" w:color="auto" w:fill="FFFFFF"/>
        </w:rPr>
        <w:t xml:space="preserve"> </w:t>
      </w:r>
      <w:r w:rsidR="00DA0227" w:rsidRPr="00E72418">
        <w:rPr>
          <w:rFonts w:cs="Times New Roman"/>
          <w:shd w:val="clear" w:color="auto" w:fill="FFFFFF"/>
        </w:rPr>
        <w:t>juridiction</w:t>
      </w:r>
      <w:r w:rsidR="00C77EE7" w:rsidRPr="00E72418">
        <w:rPr>
          <w:rFonts w:cs="Times New Roman"/>
          <w:shd w:val="clear" w:color="auto" w:fill="FFFFFF"/>
        </w:rPr>
        <w:t xml:space="preserve"> européenne de la justification de l’</w:t>
      </w:r>
      <w:r w:rsidR="00C77EE7" w:rsidRPr="00E72418">
        <w:rPr>
          <w:rFonts w:ascii="Times New Roman" w:hAnsi="Times New Roman" w:cs="Times New Roman"/>
        </w:rPr>
        <w:t>intérêt public légitime poursuivi qui est marginal</w:t>
      </w:r>
      <w:r w:rsidR="00C77EE7" w:rsidRPr="00E72418">
        <w:rPr>
          <w:rStyle w:val="Appelnotedebasdep"/>
          <w:rFonts w:ascii="Times New Roman" w:hAnsi="Times New Roman" w:cs="Times New Roman"/>
        </w:rPr>
        <w:footnoteReference w:id="1932"/>
      </w:r>
      <w:r w:rsidR="00C77EE7" w:rsidRPr="00E72418">
        <w:rPr>
          <w:rFonts w:ascii="Times New Roman" w:hAnsi="Times New Roman" w:cs="Times New Roman"/>
        </w:rPr>
        <w:t>, la question du juste équilibre est plus décisive, la Cour se livrant à une analyse approfondie de l’exigence de proportionnalité</w:t>
      </w:r>
      <w:r w:rsidR="00C77EE7" w:rsidRPr="00E72418">
        <w:rPr>
          <w:rStyle w:val="Appelnotedebasdep"/>
          <w:rFonts w:ascii="Times New Roman" w:hAnsi="Times New Roman" w:cs="Times New Roman"/>
        </w:rPr>
        <w:footnoteReference w:id="1933"/>
      </w:r>
      <w:r w:rsidR="00C77EE7" w:rsidRPr="00E72418">
        <w:rPr>
          <w:rFonts w:ascii="Times New Roman" w:hAnsi="Times New Roman" w:cs="Times New Roman"/>
        </w:rPr>
        <w:t>.</w:t>
      </w:r>
    </w:p>
    <w:p w14:paraId="184492DC" w14:textId="5DFF9FE3" w:rsidR="00F67EE8" w:rsidRPr="00E72418" w:rsidRDefault="00FA682C" w:rsidP="00CC4BA8">
      <w:pPr>
        <w:spacing w:line="276" w:lineRule="auto"/>
      </w:pPr>
      <w:r w:rsidRPr="00E72418">
        <w:rPr>
          <w:rFonts w:cs="Times New Roman"/>
        </w:rPr>
        <w:t>Tout investissement et t</w:t>
      </w:r>
      <w:r w:rsidR="005656FA" w:rsidRPr="00E72418">
        <w:rPr>
          <w:rFonts w:cs="Times New Roman"/>
        </w:rPr>
        <w:t>out</w:t>
      </w:r>
      <w:r w:rsidR="005656FA" w:rsidRPr="00E72418">
        <w:t xml:space="preserve"> rachat de dettes souveraines </w:t>
      </w:r>
      <w:r w:rsidRPr="00E72418">
        <w:t>sont</w:t>
      </w:r>
      <w:r w:rsidR="005656FA" w:rsidRPr="00E72418">
        <w:t xml:space="preserve"> </w:t>
      </w:r>
      <w:r w:rsidRPr="00E72418">
        <w:t>des</w:t>
      </w:r>
      <w:r w:rsidR="005656FA" w:rsidRPr="00E72418">
        <w:t xml:space="preserve"> activité</w:t>
      </w:r>
      <w:r w:rsidRPr="00E72418">
        <w:t>s</w:t>
      </w:r>
      <w:r w:rsidR="005656FA" w:rsidRPr="00E72418">
        <w:t xml:space="preserve"> comprenant un certain risque</w:t>
      </w:r>
      <w:r w:rsidRPr="00E72418">
        <w:rPr>
          <w:rStyle w:val="Appelnotedebasdep"/>
        </w:rPr>
        <w:footnoteReference w:id="1934"/>
      </w:r>
      <w:r w:rsidR="005656FA" w:rsidRPr="00E72418">
        <w:t>. D</w:t>
      </w:r>
      <w:r w:rsidR="005656FA" w:rsidRPr="00E72418">
        <w:rPr>
          <w:rFonts w:cs="Times New Roman"/>
        </w:rPr>
        <w:t xml:space="preserve">ans l’affaire </w:t>
      </w:r>
      <w:r w:rsidR="005656FA" w:rsidRPr="00E72418">
        <w:rPr>
          <w:i/>
          <w:shd w:val="clear" w:color="auto" w:fill="FFFFFF"/>
        </w:rPr>
        <w:t>Alessandro Accorinti e.a. c. Banque centrale européenne</w:t>
      </w:r>
      <w:r w:rsidR="005656FA" w:rsidRPr="00E72418">
        <w:rPr>
          <w:rFonts w:cs="Times New Roman"/>
        </w:rPr>
        <w:t>, le Tribuna</w:t>
      </w:r>
      <w:r w:rsidR="00083F44" w:rsidRPr="00E72418">
        <w:rPr>
          <w:rFonts w:cs="Times New Roman"/>
        </w:rPr>
        <w:t>l de l’Union européenne remarqua</w:t>
      </w:r>
      <w:r w:rsidR="005656FA" w:rsidRPr="00E72418">
        <w:rPr>
          <w:rFonts w:cs="Times New Roman"/>
        </w:rPr>
        <w:t xml:space="preserve"> que </w:t>
      </w:r>
      <w:r w:rsidR="005656FA" w:rsidRPr="00E72418">
        <w:rPr>
          <w:rFonts w:cs="Times New Roman"/>
          <w:szCs w:val="24"/>
        </w:rPr>
        <w:t>l’achat par un investisseur de titres de créance d’État constitue une transaction comportant un certain risque financier, parce que soumis aux aléas de l’évolution des marchés des capitaux</w:t>
      </w:r>
      <w:r w:rsidR="005656FA" w:rsidRPr="00E72418">
        <w:rPr>
          <w:rStyle w:val="Appelnotedebasdep"/>
          <w:rFonts w:cs="Times New Roman"/>
        </w:rPr>
        <w:footnoteReference w:id="1935"/>
      </w:r>
      <w:r w:rsidR="0066708D" w:rsidRPr="00E72418">
        <w:rPr>
          <w:rFonts w:cs="Times New Roman"/>
        </w:rPr>
        <w:t xml:space="preserve">. </w:t>
      </w:r>
      <w:r w:rsidR="00DA0227" w:rsidRPr="00E72418">
        <w:rPr>
          <w:rFonts w:cs="Times New Roman"/>
        </w:rPr>
        <w:t>Le tribunal européen</w:t>
      </w:r>
      <w:r w:rsidR="006A6239" w:rsidRPr="00E72418">
        <w:rPr>
          <w:rFonts w:cs="Times New Roman"/>
        </w:rPr>
        <w:t xml:space="preserve"> rappelle ainsi le « principe général selon lequel tout créancier doit supporter le risque d’insolvabilité de son débiteur »</w:t>
      </w:r>
      <w:r w:rsidR="006A6239" w:rsidRPr="00E72418">
        <w:rPr>
          <w:rStyle w:val="Appelnotedebasdep"/>
          <w:rFonts w:cs="Times New Roman"/>
        </w:rPr>
        <w:footnoteReference w:id="1936"/>
      </w:r>
      <w:r w:rsidR="006A6239" w:rsidRPr="00E72418">
        <w:rPr>
          <w:rFonts w:cs="Times New Roman"/>
        </w:rPr>
        <w:t xml:space="preserve">. </w:t>
      </w:r>
      <w:r w:rsidR="005656FA" w:rsidRPr="00E72418">
        <w:rPr>
          <w:rFonts w:cs="Times New Roman"/>
        </w:rPr>
        <w:t xml:space="preserve">Il ressort </w:t>
      </w:r>
      <w:r w:rsidR="0066708D" w:rsidRPr="00E72418">
        <w:rPr>
          <w:rFonts w:cs="Times New Roman"/>
        </w:rPr>
        <w:t xml:space="preserve">par ailleurs </w:t>
      </w:r>
      <w:r w:rsidR="005656FA" w:rsidRPr="00E72418">
        <w:rPr>
          <w:rFonts w:cs="Times New Roman"/>
        </w:rPr>
        <w:t xml:space="preserve">de la jurisprudence de la Cour européenne des droits de l’homme, et notamment de son arrêt </w:t>
      </w:r>
      <w:r w:rsidR="00083F44" w:rsidRPr="00E72418">
        <w:rPr>
          <w:rFonts w:cs="Times New Roman"/>
          <w:i/>
        </w:rPr>
        <w:t>H</w:t>
      </w:r>
      <w:r w:rsidR="00083F44" w:rsidRPr="00E72418">
        <w:rPr>
          <w:i/>
        </w:rPr>
        <w:t>å</w:t>
      </w:r>
      <w:r w:rsidR="005656FA" w:rsidRPr="00E72418">
        <w:rPr>
          <w:rFonts w:cs="Times New Roman"/>
          <w:i/>
        </w:rPr>
        <w:t>kansson et Sturesson c. Suède</w:t>
      </w:r>
      <w:r w:rsidR="0066708D" w:rsidRPr="00E72418">
        <w:rPr>
          <w:rFonts w:cs="Times New Roman"/>
        </w:rPr>
        <w:t xml:space="preserve">, que le risque </w:t>
      </w:r>
      <w:r w:rsidR="00DA0227" w:rsidRPr="00E72418">
        <w:rPr>
          <w:rFonts w:cs="Times New Roman"/>
        </w:rPr>
        <w:t xml:space="preserve">pris </w:t>
      </w:r>
      <w:r w:rsidR="0066708D" w:rsidRPr="00E72418">
        <w:rPr>
          <w:rFonts w:cs="Times New Roman"/>
        </w:rPr>
        <w:t xml:space="preserve">par le créancier </w:t>
      </w:r>
      <w:r w:rsidR="00DA0227" w:rsidRPr="00E72418">
        <w:rPr>
          <w:rFonts w:cs="Times New Roman"/>
        </w:rPr>
        <w:t>entre</w:t>
      </w:r>
      <w:r w:rsidR="005656FA" w:rsidRPr="00E72418">
        <w:rPr>
          <w:rFonts w:cs="Times New Roman"/>
        </w:rPr>
        <w:t xml:space="preserve"> en considération lors de l’évaluation de la proportionnalité </w:t>
      </w:r>
      <w:r w:rsidR="00DA0227" w:rsidRPr="00E72418">
        <w:rPr>
          <w:rFonts w:cs="Times New Roman"/>
        </w:rPr>
        <w:t>de l’atteinte à</w:t>
      </w:r>
      <w:r w:rsidR="0066708D" w:rsidRPr="00E72418">
        <w:rPr>
          <w:rFonts w:cs="Times New Roman"/>
        </w:rPr>
        <w:t xml:space="preserve"> ses droits</w:t>
      </w:r>
      <w:r w:rsidR="00DA0227" w:rsidRPr="00E72418">
        <w:rPr>
          <w:rStyle w:val="Appelnotedebasdep"/>
          <w:rFonts w:cs="Times New Roman"/>
        </w:rPr>
        <w:footnoteReference w:id="1937"/>
      </w:r>
      <w:r w:rsidR="005656FA" w:rsidRPr="00E72418">
        <w:rPr>
          <w:rFonts w:cs="Times New Roman"/>
        </w:rPr>
        <w:t xml:space="preserve">. Dans le cas des créanciers secondaires faisant l’acquisition de </w:t>
      </w:r>
      <w:r w:rsidR="00AA5F94" w:rsidRPr="00E72418">
        <w:rPr>
          <w:rFonts w:cs="Times New Roman"/>
        </w:rPr>
        <w:t>dettes souveraines à prix bradé</w:t>
      </w:r>
      <w:r w:rsidR="005656FA" w:rsidRPr="00E72418">
        <w:rPr>
          <w:rFonts w:cs="Times New Roman"/>
        </w:rPr>
        <w:t>s, il est indubitable que le risque est majeur</w:t>
      </w:r>
      <w:r w:rsidR="00C36BA6" w:rsidRPr="00E72418">
        <w:rPr>
          <w:rFonts w:cs="Times New Roman"/>
        </w:rPr>
        <w:t xml:space="preserve"> et que les investisseurs doivent soigneusement le </w:t>
      </w:r>
      <w:r w:rsidR="00C36BA6" w:rsidRPr="00E72418">
        <w:rPr>
          <w:rFonts w:cs="Times New Roman"/>
        </w:rPr>
        <w:lastRenderedPageBreak/>
        <w:t>prendre en compte</w:t>
      </w:r>
      <w:r w:rsidR="00C36BA6" w:rsidRPr="00E72418">
        <w:rPr>
          <w:rStyle w:val="Appelnotedebasdep"/>
          <w:rFonts w:cs="Times New Roman"/>
        </w:rPr>
        <w:footnoteReference w:id="1938"/>
      </w:r>
      <w:r w:rsidR="005656FA" w:rsidRPr="00E72418">
        <w:rPr>
          <w:rFonts w:cs="Times New Roman"/>
        </w:rPr>
        <w:t>. Il l’est d’autant plus qu’il est, par essence, proportionnel à la réduction du prix de la créance sur le marché secondaire</w:t>
      </w:r>
      <w:r w:rsidR="006C28B7" w:rsidRPr="00E72418">
        <w:rPr>
          <w:rStyle w:val="Appelnotedebasdep"/>
          <w:rFonts w:cs="Times New Roman"/>
        </w:rPr>
        <w:footnoteReference w:id="1939"/>
      </w:r>
      <w:r w:rsidR="005656FA" w:rsidRPr="00E72418">
        <w:rPr>
          <w:rFonts w:cs="Times New Roman"/>
        </w:rPr>
        <w:t>.</w:t>
      </w:r>
      <w:r w:rsidR="0066708D" w:rsidRPr="00E72418">
        <w:rPr>
          <w:rFonts w:cs="Times New Roman"/>
        </w:rPr>
        <w:t xml:space="preserve"> </w:t>
      </w:r>
      <w:r w:rsidR="005656FA" w:rsidRPr="00E72418">
        <w:t>Le risque est logiquement pris en compte dans la valeur de marché d’une dette de sorte que la valeur réelle de la dette n’est pas sa valeur faciale</w:t>
      </w:r>
      <w:r w:rsidR="005656FA" w:rsidRPr="00E72418">
        <w:rPr>
          <w:rStyle w:val="Appelnotedebasdep"/>
        </w:rPr>
        <w:footnoteReference w:id="1940"/>
      </w:r>
      <w:r w:rsidR="005656FA" w:rsidRPr="00E72418">
        <w:t xml:space="preserve">. </w:t>
      </w:r>
      <w:r w:rsidR="007B769E" w:rsidRPr="00E72418">
        <w:t>À</w:t>
      </w:r>
      <w:r w:rsidR="00E23316" w:rsidRPr="00E72418">
        <w:t xml:space="preserve"> ce sujet, pour ce qui est de l’appréciation du juste équilibre entre les exigences de l’intérêt général de la communauté et les impératifs de sauvegarde des droits fondamentaux de l’individu concerné, la Cour retient qu’en matière d’expropriation, cet équilibre est en règle générale atteint lorsque l’exproprié perçoit une indemnité « raisonnablement en rapport » avec la valeur vénale du bien</w:t>
      </w:r>
      <w:r w:rsidR="00E23316" w:rsidRPr="00E72418">
        <w:rPr>
          <w:vertAlign w:val="superscript"/>
        </w:rPr>
        <w:footnoteReference w:id="1941"/>
      </w:r>
      <w:r w:rsidR="00E23316" w:rsidRPr="00E72418">
        <w:t>.</w:t>
      </w:r>
    </w:p>
    <w:p w14:paraId="56293B30" w14:textId="3EE86947" w:rsidR="000478B7" w:rsidRPr="00E72418" w:rsidRDefault="005656FA" w:rsidP="00CC4BA8">
      <w:pPr>
        <w:spacing w:line="276" w:lineRule="auto"/>
        <w:rPr>
          <w:rFonts w:cs="Times New Roman"/>
        </w:rPr>
      </w:pPr>
      <w:r w:rsidRPr="00E72418">
        <w:rPr>
          <w:rFonts w:cs="Times New Roman"/>
          <w:shd w:val="clear" w:color="auto" w:fill="FFFFFF"/>
        </w:rPr>
        <w:t xml:space="preserve">Dans l’affaire </w:t>
      </w:r>
      <w:r w:rsidRPr="00E72418">
        <w:rPr>
          <w:rStyle w:val="s7d2086b4"/>
          <w:i/>
        </w:rPr>
        <w:t>Mamatas et autres c. Grèce</w:t>
      </w:r>
      <w:r w:rsidRPr="00E72418">
        <w:rPr>
          <w:rFonts w:cs="Times New Roman"/>
          <w:shd w:val="clear" w:color="auto" w:fill="FFFFFF"/>
        </w:rPr>
        <w:t xml:space="preserve">, la Cour européenne des droits de l’homme a retenu que </w:t>
      </w:r>
      <w:r w:rsidRPr="00E72418">
        <w:t xml:space="preserve">le point de référence pour apprécier le degré de la perte subie par des créanciers ne saurait être le montant que ceux-ci espéraient percevoir au moment de l’arrivée à maturité de leurs obligations. En effet, si la valeur nominale d’une obligation reflète la mesure de la créance de son détenteur à la date de l’arrivée à maturité, elle ne représente pas la véritable valeur marchande à un autre moment et notamment </w:t>
      </w:r>
      <w:r w:rsidRPr="00E72418">
        <w:rPr>
          <w:i/>
        </w:rPr>
        <w:t>in casu</w:t>
      </w:r>
      <w:r w:rsidRPr="00E72418">
        <w:t>, à la date à laquelle l’État a</w:t>
      </w:r>
      <w:r w:rsidR="0066708D" w:rsidRPr="00E72418">
        <w:t>vait</w:t>
      </w:r>
      <w:r w:rsidRPr="00E72418">
        <w:t xml:space="preserve"> adopté </w:t>
      </w:r>
      <w:r w:rsidR="0066708D" w:rsidRPr="00E72418">
        <w:t>une</w:t>
      </w:r>
      <w:r w:rsidRPr="00E72418">
        <w:t xml:space="preserve"> réglementation litigieuse</w:t>
      </w:r>
      <w:r w:rsidRPr="00E72418">
        <w:rPr>
          <w:rStyle w:val="Appelnotedebasdep"/>
          <w:rFonts w:cs="Times New Roman"/>
        </w:rPr>
        <w:footnoteReference w:id="1942"/>
      </w:r>
      <w:r w:rsidRPr="00E72418">
        <w:rPr>
          <w:rFonts w:cs="Times New Roman"/>
        </w:rPr>
        <w:t>.</w:t>
      </w:r>
      <w:r w:rsidR="000478B7" w:rsidRPr="00E72418">
        <w:rPr>
          <w:rFonts w:cs="Times New Roman"/>
        </w:rPr>
        <w:t xml:space="preserve"> </w:t>
      </w:r>
      <w:r w:rsidR="000478B7" w:rsidRPr="00E72418">
        <w:t>La cour insiste également sur le risque inhérent à l’investissement en obligations en ce que « entre l’émission d’un tel titre et son arrivée à maturité, il s’écoule en principe un laps de temps assez long pendant lequel se produisent des événements imprévisibles pouvant avoir pour effet de réduire considérablement la solvabilité de leur émetteur, même si</w:t>
      </w:r>
      <w:r w:rsidR="00730B63" w:rsidRPr="00E72418">
        <w:t xml:space="preserve"> celui-ci est un </w:t>
      </w:r>
      <w:r w:rsidR="00730B63" w:rsidRPr="00E72418">
        <w:rPr>
          <w:rFonts w:ascii="Times New Roman" w:hAnsi="Times New Roman" w:cs="Times New Roman"/>
          <w:lang w:eastAsia="fr-BE"/>
        </w:rPr>
        <w:t>É</w:t>
      </w:r>
      <w:r w:rsidR="00BF4615" w:rsidRPr="00E72418">
        <w:t xml:space="preserve">tat, et donc d’entraîner une perte patrimoniale subséquente pour le créancier </w:t>
      </w:r>
      <w:r w:rsidR="000478B7" w:rsidRPr="00E72418">
        <w:t>»</w:t>
      </w:r>
      <w:r w:rsidR="000478B7" w:rsidRPr="00E72418">
        <w:rPr>
          <w:vertAlign w:val="superscript"/>
        </w:rPr>
        <w:footnoteReference w:id="1943"/>
      </w:r>
      <w:r w:rsidR="000478B7" w:rsidRPr="00E72418">
        <w:t>.</w:t>
      </w:r>
    </w:p>
    <w:p w14:paraId="1C9BB4D7" w14:textId="77777777" w:rsidR="00FF73DF" w:rsidRPr="00E72418" w:rsidRDefault="005656FA" w:rsidP="00CC4BA8">
      <w:pPr>
        <w:spacing w:line="276" w:lineRule="auto"/>
        <w:rPr>
          <w:shd w:val="clear" w:color="auto" w:fill="FFFFFF"/>
        </w:rPr>
      </w:pPr>
      <w:r w:rsidRPr="00E72418">
        <w:rPr>
          <w:rFonts w:ascii="Times New Roman" w:hAnsi="Times New Roman" w:cs="Times New Roman"/>
        </w:rPr>
        <w:t xml:space="preserve">Dans l’affaire </w:t>
      </w:r>
      <w:r w:rsidR="00683487" w:rsidRPr="00E72418">
        <w:rPr>
          <w:rFonts w:ascii="Times New Roman" w:hAnsi="Times New Roman" w:cs="Times New Roman"/>
          <w:bCs/>
          <w:i/>
          <w:shd w:val="clear" w:color="auto" w:fill="FFFFFF"/>
        </w:rPr>
        <w:t>ex-R</w:t>
      </w:r>
      <w:r w:rsidRPr="00E72418">
        <w:rPr>
          <w:rFonts w:ascii="Times New Roman" w:hAnsi="Times New Roman" w:cs="Times New Roman"/>
          <w:bCs/>
          <w:i/>
          <w:shd w:val="clear" w:color="auto" w:fill="FFFFFF"/>
        </w:rPr>
        <w:t>oi de Grèce et autres c. Grèce</w:t>
      </w:r>
      <w:r w:rsidRPr="00E72418">
        <w:rPr>
          <w:rFonts w:ascii="Times New Roman" w:hAnsi="Times New Roman" w:cs="Times New Roman"/>
        </w:rPr>
        <w:t>, la Cour europé</w:t>
      </w:r>
      <w:r w:rsidR="0066708D" w:rsidRPr="00E72418">
        <w:rPr>
          <w:rFonts w:ascii="Times New Roman" w:hAnsi="Times New Roman" w:cs="Times New Roman"/>
        </w:rPr>
        <w:t>enne des droits de l’homme reti</w:t>
      </w:r>
      <w:r w:rsidRPr="00E72418">
        <w:rPr>
          <w:rFonts w:ascii="Times New Roman" w:hAnsi="Times New Roman" w:cs="Times New Roman"/>
        </w:rPr>
        <w:t>nt l’argument selon lequel les circonstances d’acquisition d’un bien peuvent entrer en ligne de compte au moment de fixer un niveau de réparation</w:t>
      </w:r>
      <w:r w:rsidRPr="00E72418">
        <w:rPr>
          <w:rStyle w:val="Appelnotedebasdep"/>
          <w:rFonts w:ascii="Times New Roman" w:hAnsi="Times New Roman" w:cs="Times New Roman"/>
        </w:rPr>
        <w:footnoteReference w:id="1944"/>
      </w:r>
      <w:r w:rsidRPr="00E72418">
        <w:rPr>
          <w:rFonts w:ascii="Times New Roman" w:hAnsi="Times New Roman" w:cs="Times New Roman"/>
        </w:rPr>
        <w:t xml:space="preserve">. Si l’on retient que </w:t>
      </w:r>
      <w:r w:rsidR="0066708D" w:rsidRPr="00E72418">
        <w:rPr>
          <w:shd w:val="clear" w:color="auto" w:fill="FFFFFF"/>
        </w:rPr>
        <w:t>la propriété</w:t>
      </w:r>
      <w:r w:rsidRPr="00E72418">
        <w:rPr>
          <w:shd w:val="clear" w:color="auto" w:fill="FFFFFF"/>
        </w:rPr>
        <w:t xml:space="preserve"> mérite moins de protection </w:t>
      </w:r>
      <w:r w:rsidR="0066708D" w:rsidRPr="00E72418">
        <w:rPr>
          <w:shd w:val="clear" w:color="auto" w:fill="FFFFFF"/>
        </w:rPr>
        <w:t>lorsqu’</w:t>
      </w:r>
      <w:r w:rsidRPr="00E72418">
        <w:rPr>
          <w:shd w:val="clear" w:color="auto" w:fill="FFFFFF"/>
        </w:rPr>
        <w:t xml:space="preserve">elle est acquise dans des circonstances atypiques d’un point de vue économique, on peut </w:t>
      </w:r>
      <w:r w:rsidR="00AB51CE" w:rsidRPr="00E72418">
        <w:rPr>
          <w:shd w:val="clear" w:color="auto" w:fill="FFFFFF"/>
        </w:rPr>
        <w:t xml:space="preserve">relever </w:t>
      </w:r>
      <w:r w:rsidRPr="00E72418">
        <w:rPr>
          <w:shd w:val="clear" w:color="auto" w:fill="FFFFFF"/>
        </w:rPr>
        <w:t>ces circonstances po</w:t>
      </w:r>
      <w:r w:rsidR="0066708D" w:rsidRPr="00E72418">
        <w:rPr>
          <w:shd w:val="clear" w:color="auto" w:fill="FFFFFF"/>
        </w:rPr>
        <w:t>uvant entourer l’acquisition de</w:t>
      </w:r>
      <w:r w:rsidRPr="00E72418">
        <w:rPr>
          <w:shd w:val="clear" w:color="auto" w:fill="FFFFFF"/>
        </w:rPr>
        <w:t xml:space="preserve"> dettes souveraines sur le marché secondaire et l’espoir de l’investisseur spéc</w:t>
      </w:r>
      <w:r w:rsidR="00ED6880" w:rsidRPr="00E72418">
        <w:rPr>
          <w:shd w:val="clear" w:color="auto" w:fill="FFFFFF"/>
        </w:rPr>
        <w:t>ulatif de tirer un rendement ex</w:t>
      </w:r>
      <w:r w:rsidRPr="00E72418">
        <w:rPr>
          <w:shd w:val="clear" w:color="auto" w:fill="FFFFFF"/>
        </w:rPr>
        <w:t>orbitant de son investissement</w:t>
      </w:r>
      <w:r w:rsidRPr="00E72418">
        <w:rPr>
          <w:rStyle w:val="Appelnotedebasdep"/>
          <w:shd w:val="clear" w:color="auto" w:fill="FFFFFF"/>
        </w:rPr>
        <w:footnoteReference w:id="1945"/>
      </w:r>
      <w:r w:rsidRPr="00E72418">
        <w:rPr>
          <w:shd w:val="clear" w:color="auto" w:fill="FFFFFF"/>
        </w:rPr>
        <w:t>.</w:t>
      </w:r>
    </w:p>
    <w:p w14:paraId="602052A8" w14:textId="6DA1A42E" w:rsidR="005656FA" w:rsidRPr="00E72418" w:rsidRDefault="005656FA" w:rsidP="00CC4BA8">
      <w:pPr>
        <w:spacing w:line="276" w:lineRule="auto"/>
        <w:rPr>
          <w:shd w:val="clear" w:color="auto" w:fill="FFFFFF"/>
        </w:rPr>
      </w:pPr>
    </w:p>
    <w:p w14:paraId="533C60C2" w14:textId="3E73814C" w:rsidR="007F5A94" w:rsidRPr="00E72418" w:rsidRDefault="004469AC" w:rsidP="00CC4BA8">
      <w:pPr>
        <w:spacing w:line="276" w:lineRule="auto"/>
      </w:pPr>
      <w:r w:rsidRPr="00E72418">
        <w:rPr>
          <w:b/>
        </w:rPr>
        <w:t>386</w:t>
      </w:r>
      <w:r w:rsidR="00817D62" w:rsidRPr="00E72418">
        <w:rPr>
          <w:b/>
        </w:rPr>
        <w:t xml:space="preserve">. </w:t>
      </w:r>
      <w:r w:rsidR="008F719D" w:rsidRPr="00E72418">
        <w:rPr>
          <w:b/>
        </w:rPr>
        <w:t xml:space="preserve">La déclinaison pratique </w:t>
      </w:r>
      <w:r w:rsidR="008F719D" w:rsidRPr="00E72418">
        <w:rPr>
          <w:rFonts w:cs="Times New Roman"/>
          <w:b/>
          <w:shd w:val="clear" w:color="auto" w:fill="FFFFFF"/>
        </w:rPr>
        <w:t xml:space="preserve">– </w:t>
      </w:r>
      <w:r w:rsidR="008F719D" w:rsidRPr="00E72418">
        <w:t>L</w:t>
      </w:r>
      <w:r w:rsidR="005656FA" w:rsidRPr="00E72418">
        <w:t>a proportionnalité de la législation britannique</w:t>
      </w:r>
      <w:r w:rsidR="008F719D" w:rsidRPr="00E72418">
        <w:t>, dont le Gouvernement insista sur la poursuite</w:t>
      </w:r>
      <w:r w:rsidR="008F719D" w:rsidRPr="00E72418">
        <w:rPr>
          <w:rStyle w:val="Appelnotedebasdep"/>
        </w:rPr>
        <w:footnoteReference w:id="1946"/>
      </w:r>
      <w:r w:rsidR="008F719D" w:rsidRPr="00E72418">
        <w:t>,</w:t>
      </w:r>
      <w:r w:rsidR="005656FA" w:rsidRPr="00E72418">
        <w:t xml:space="preserve"> est justifiée par le fait que la réduction des droits des </w:t>
      </w:r>
      <w:r w:rsidR="005656FA" w:rsidRPr="00E72418">
        <w:lastRenderedPageBreak/>
        <w:t>créanciers appliquée résulte d’un cadre accepté internationalement</w:t>
      </w:r>
      <w:r w:rsidR="005656FA" w:rsidRPr="00E72418">
        <w:rPr>
          <w:rStyle w:val="Appelnotedebasdep"/>
        </w:rPr>
        <w:footnoteReference w:id="1947"/>
      </w:r>
      <w:r w:rsidR="008A6229" w:rsidRPr="00E72418">
        <w:rPr>
          <w:vertAlign w:val="superscript"/>
        </w:rPr>
        <w:t>,</w:t>
      </w:r>
      <w:r w:rsidR="005656FA" w:rsidRPr="00E72418">
        <w:rPr>
          <w:rStyle w:val="Appelnotedebasdep"/>
        </w:rPr>
        <w:footnoteReference w:id="1948"/>
      </w:r>
      <w:r w:rsidR="008A6229" w:rsidRPr="00E72418">
        <w:t>. Le</w:t>
      </w:r>
      <w:r w:rsidR="005656FA" w:rsidRPr="00E72418">
        <w:t xml:space="preserve"> </w:t>
      </w:r>
      <w:r w:rsidR="008A6229" w:rsidRPr="00E72418">
        <w:t>mécanisme mis en place</w:t>
      </w:r>
      <w:r w:rsidR="005656FA" w:rsidRPr="00E72418">
        <w:t xml:space="preserve"> n’interdit pas en tant que telle la poursuite des dettes qu’elle vise mais la limite à un niveau jugé soutenable par la Banque mondiale et le Fonds monétaire international</w:t>
      </w:r>
      <w:r w:rsidR="005656FA" w:rsidRPr="00E72418">
        <w:rPr>
          <w:rStyle w:val="Appelnotedebasdep"/>
          <w:rFonts w:cs="Times New Roman"/>
          <w:bCs/>
        </w:rPr>
        <w:footnoteReference w:id="1949"/>
      </w:r>
      <w:r w:rsidR="005656FA" w:rsidRPr="00E72418">
        <w:rPr>
          <w:bCs/>
        </w:rPr>
        <w:t xml:space="preserve">. Les créanciers ne se trouvent </w:t>
      </w:r>
      <w:r w:rsidR="002E4D31" w:rsidRPr="00E72418">
        <w:rPr>
          <w:bCs/>
        </w:rPr>
        <w:t xml:space="preserve">donc </w:t>
      </w:r>
      <w:r w:rsidR="005656FA" w:rsidRPr="00E72418">
        <w:rPr>
          <w:bCs/>
        </w:rPr>
        <w:t>pas totalement privés de leur droit</w:t>
      </w:r>
      <w:r w:rsidR="002E4D31" w:rsidRPr="00E72418">
        <w:rPr>
          <w:bCs/>
        </w:rPr>
        <w:t xml:space="preserve"> de</w:t>
      </w:r>
      <w:r w:rsidR="005656FA" w:rsidRPr="00E72418">
        <w:rPr>
          <w:bCs/>
        </w:rPr>
        <w:t xml:space="preserve"> propriété, leur créance conservant une valeur économique</w:t>
      </w:r>
      <w:r w:rsidR="002E4D31" w:rsidRPr="00E72418">
        <w:rPr>
          <w:rStyle w:val="Appelnotedebasdep"/>
          <w:bCs/>
        </w:rPr>
        <w:footnoteReference w:id="1950"/>
      </w:r>
      <w:r w:rsidR="005656FA" w:rsidRPr="00E72418">
        <w:t>. Cette valeur économique peut s’avérer proche du montant déboursé par les créanciers afin de faire l’acquisition de la créance sur le marché secondaire</w:t>
      </w:r>
      <w:r w:rsidR="008A6229" w:rsidRPr="00E72418">
        <w:rPr>
          <w:rStyle w:val="Appelnotedebasdep"/>
        </w:rPr>
        <w:footnoteReference w:id="1951"/>
      </w:r>
      <w:r w:rsidR="005656FA" w:rsidRPr="00E72418">
        <w:t xml:space="preserve">. </w:t>
      </w:r>
      <w:r w:rsidR="002E4D31" w:rsidRPr="00E72418">
        <w:t>Sachant</w:t>
      </w:r>
      <w:r w:rsidR="005656FA" w:rsidRPr="00E72418">
        <w:t xml:space="preserve"> que les fonds spéculatifs achètent les dettes </w:t>
      </w:r>
      <w:r w:rsidR="002E4D31" w:rsidRPr="00E72418">
        <w:t>souveraines</w:t>
      </w:r>
      <w:r w:rsidR="005656FA" w:rsidRPr="00E72418">
        <w:t xml:space="preserve"> sur le marché secondaire à prix bradé, la réduction opérée par la législation britannique paraît raisonnable au regard du prix réglé pour </w:t>
      </w:r>
      <w:r w:rsidR="002E4D31" w:rsidRPr="00E72418">
        <w:t xml:space="preserve">les </w:t>
      </w:r>
      <w:r w:rsidR="005656FA" w:rsidRPr="00E72418">
        <w:t xml:space="preserve">acquérir. Il est même des cas où la limite posée par la législation </w:t>
      </w:r>
      <w:r w:rsidR="002E4D31" w:rsidRPr="00E72418">
        <w:t>peut se trouver</w:t>
      </w:r>
      <w:r w:rsidR="005656FA" w:rsidRPr="00E72418">
        <w:t xml:space="preserve"> supérieure au prix déboursé pour faire </w:t>
      </w:r>
      <w:r w:rsidR="002E4D31" w:rsidRPr="00E72418">
        <w:t>l’</w:t>
      </w:r>
      <w:r w:rsidR="005656FA" w:rsidRPr="00E72418">
        <w:t>acquisiti</w:t>
      </w:r>
      <w:r w:rsidR="002E4D31" w:rsidRPr="00E72418">
        <w:t>on de la créance de sorte que les investisseurs</w:t>
      </w:r>
      <w:r w:rsidR="005656FA" w:rsidRPr="00E72418">
        <w:t xml:space="preserve"> en tireront un profit</w:t>
      </w:r>
      <w:r w:rsidR="005656FA" w:rsidRPr="00E72418">
        <w:rPr>
          <w:rStyle w:val="Appelnotedebasdep"/>
        </w:rPr>
        <w:footnoteReference w:id="1952"/>
      </w:r>
      <w:r w:rsidR="005656FA" w:rsidRPr="00E72418">
        <w:t xml:space="preserve">. </w:t>
      </w:r>
      <w:bookmarkStart w:id="449" w:name="_Toc59281022"/>
    </w:p>
    <w:bookmarkEnd w:id="449"/>
    <w:p w14:paraId="31CF1A12" w14:textId="17994276" w:rsidR="00331059" w:rsidRPr="00E72418" w:rsidRDefault="008A6229" w:rsidP="00CC4BA8">
      <w:pPr>
        <w:spacing w:line="276" w:lineRule="auto"/>
      </w:pPr>
      <w:r w:rsidRPr="00E72418">
        <w:t>Au</w:t>
      </w:r>
      <w:r w:rsidR="002E4D31" w:rsidRPr="00E72418">
        <w:t xml:space="preserve"> sujet du</w:t>
      </w:r>
      <w:r w:rsidR="005656FA" w:rsidRPr="00E72418">
        <w:t xml:space="preserve"> respect du juste équilibre entre la limitation mise en place par la loi </w:t>
      </w:r>
      <w:r w:rsidR="002E4D31" w:rsidRPr="00E72418">
        <w:t xml:space="preserve">belge </w:t>
      </w:r>
      <w:r w:rsidRPr="00E72418">
        <w:t xml:space="preserve">du 12 juillet 2015 </w:t>
      </w:r>
      <w:r w:rsidR="005656FA" w:rsidRPr="00E72418">
        <w:t xml:space="preserve">et le respect du droit de propriété des créanciers, </w:t>
      </w:r>
      <w:r w:rsidR="00CC15FF" w:rsidRPr="00E72418">
        <w:t xml:space="preserve">Patrick </w:t>
      </w:r>
      <w:r w:rsidR="005656FA" w:rsidRPr="00E72418">
        <w:t>Wautelet indique que la protection de ce dernier peut ne s’étendre qu’à une partie du montant d’une dette et que</w:t>
      </w:r>
      <w:r w:rsidR="002E4D31" w:rsidRPr="00E72418">
        <w:t>,</w:t>
      </w:r>
      <w:r w:rsidR="005656FA" w:rsidRPr="00E72418">
        <w:t xml:space="preserve"> dès lors que le juge estime que la démarche du créancier trahit le souhait d’obtenir un avantage illégitime, la privation de son droit d’obtenir le paiement intégral de sa créance peut être justifié</w:t>
      </w:r>
      <w:r w:rsidR="002E4D31" w:rsidRPr="00E72418">
        <w:t>e</w:t>
      </w:r>
      <w:r w:rsidR="005656FA" w:rsidRPr="00E72418">
        <w:t xml:space="preserve"> par l’aléa qui pèse sur celle-ci. L’auteur ajoute que « [d]u point de vue de la protection du droit de propriété, l’application du mécanisme de l’avantage illégitime peut dès lors se </w:t>
      </w:r>
      <w:r w:rsidR="005656FA" w:rsidRPr="00E72418">
        <w:lastRenderedPageBreak/>
        <w:t>justifier eu égard à l’incertitude qui pèse sur la dette émise par l’</w:t>
      </w:r>
      <w:r w:rsidR="005656FA" w:rsidRPr="00E72418">
        <w:rPr>
          <w:szCs w:val="24"/>
        </w:rPr>
        <w:t>É</w:t>
      </w:r>
      <w:r w:rsidR="005656FA" w:rsidRPr="00E72418">
        <w:t>tat »</w:t>
      </w:r>
      <w:r w:rsidR="005656FA" w:rsidRPr="00E72418">
        <w:rPr>
          <w:rStyle w:val="Appelnotedebasdep"/>
          <w:rFonts w:cs="Times New Roman"/>
          <w:szCs w:val="24"/>
        </w:rPr>
        <w:footnoteReference w:id="1953"/>
      </w:r>
      <w:r w:rsidR="005656FA" w:rsidRPr="00E72418">
        <w:t>.</w:t>
      </w:r>
      <w:r w:rsidR="00331059" w:rsidRPr="00E72418">
        <w:t xml:space="preserve"> La Cour constitutionnelle belge saisie du recours contre la loi avait relevé que </w:t>
      </w:r>
      <w:r w:rsidR="00331059" w:rsidRPr="00E72418">
        <w:rPr>
          <w:lang w:val="fr-BE"/>
        </w:rPr>
        <w:t>la règle n’ôtait pas au ces</w:t>
      </w:r>
      <w:r w:rsidR="007429E8" w:rsidRPr="00E72418">
        <w:rPr>
          <w:lang w:val="fr-BE"/>
        </w:rPr>
        <w:t>sionnaire de la créance sur l’</w:t>
      </w:r>
      <w:r w:rsidR="007429E8" w:rsidRPr="00E72418">
        <w:rPr>
          <w:rFonts w:cs="Times New Roman"/>
          <w:szCs w:val="20"/>
        </w:rPr>
        <w:t>Ét</w:t>
      </w:r>
      <w:r w:rsidR="00331059" w:rsidRPr="00E72418">
        <w:rPr>
          <w:lang w:val="fr-BE"/>
        </w:rPr>
        <w:t>at le droit d’obtenir de ce dernier le paiement de la somme payée pour son rachat</w:t>
      </w:r>
      <w:r w:rsidR="00331059" w:rsidRPr="00E72418">
        <w:rPr>
          <w:rStyle w:val="Appelnotedebasdep"/>
          <w:lang w:val="fr-BE"/>
        </w:rPr>
        <w:footnoteReference w:id="1954"/>
      </w:r>
      <w:r w:rsidR="00331059" w:rsidRPr="00E72418">
        <w:rPr>
          <w:lang w:val="fr-BE"/>
        </w:rPr>
        <w:t>.</w:t>
      </w:r>
    </w:p>
    <w:p w14:paraId="30EC55C8" w14:textId="6F7987CC" w:rsidR="005656FA" w:rsidRPr="00E72418" w:rsidRDefault="008A6229" w:rsidP="00CC4BA8">
      <w:pPr>
        <w:spacing w:line="276" w:lineRule="auto"/>
      </w:pPr>
      <w:bookmarkStart w:id="450" w:name="_Toc59281023"/>
      <w:r w:rsidRPr="00E72418">
        <w:t>S’agissant de l</w:t>
      </w:r>
      <w:r w:rsidR="005656FA" w:rsidRPr="00E72418">
        <w:t>’article 60 de la loi Sapin II française</w:t>
      </w:r>
      <w:bookmarkEnd w:id="450"/>
      <w:r w:rsidRPr="00E72418">
        <w:t>, l</w:t>
      </w:r>
      <w:r w:rsidR="005656FA" w:rsidRPr="00E72418">
        <w:t xml:space="preserve">e Conseil constitutionnel est d’avis que le mécanisme </w:t>
      </w:r>
      <w:r w:rsidR="007F5A94" w:rsidRPr="00E72418">
        <w:t xml:space="preserve">anti-fonds spéculatifs </w:t>
      </w:r>
      <w:r w:rsidR="005656FA" w:rsidRPr="00E72418">
        <w:t>respecte le droit de propriété tel que consacré à l’article premier du Premier Protocole additionnel.</w:t>
      </w:r>
      <w:r w:rsidR="007F5A94" w:rsidRPr="00E72418">
        <w:t xml:space="preserve"> I</w:t>
      </w:r>
      <w:r w:rsidR="005656FA" w:rsidRPr="00E72418">
        <w:t xml:space="preserve">l </w:t>
      </w:r>
      <w:r w:rsidR="007F5A94" w:rsidRPr="00E72418">
        <w:t>tire notamment</w:t>
      </w:r>
      <w:r w:rsidR="005656FA" w:rsidRPr="00E72418">
        <w:t xml:space="preserve"> argument du fait que dans la situation où </w:t>
      </w:r>
      <w:r w:rsidR="005656FA" w:rsidRPr="00E72418">
        <w:rPr>
          <w:shd w:val="clear" w:color="auto" w:fill="FFFFFF"/>
        </w:rPr>
        <w:t xml:space="preserve">une proposition de modification applicable au titre de créance a été acceptée par les deux tiers des créanciers, le créancier </w:t>
      </w:r>
      <w:r w:rsidR="007F5A94" w:rsidRPr="00E72418">
        <w:rPr>
          <w:shd w:val="clear" w:color="auto" w:fill="FFFFFF"/>
        </w:rPr>
        <w:t xml:space="preserve">poursuivant </w:t>
      </w:r>
      <w:r w:rsidR="005656FA" w:rsidRPr="00E72418">
        <w:rPr>
          <w:shd w:val="clear" w:color="auto" w:fill="FFFFFF"/>
        </w:rPr>
        <w:t>peut toujours bénéficier d’une mesure conservatoire ou d’exécution forcée pour un montant équivalent à celui qu’il aurait obtenu s’il avait accepté la proposition</w:t>
      </w:r>
      <w:r w:rsidR="005656FA" w:rsidRPr="00E72418">
        <w:rPr>
          <w:rStyle w:val="Appelnotedebasdep"/>
          <w:shd w:val="clear" w:color="auto" w:fill="FFFFFF"/>
        </w:rPr>
        <w:footnoteReference w:id="1955"/>
      </w:r>
      <w:r w:rsidR="005656FA" w:rsidRPr="00E72418">
        <w:rPr>
          <w:shd w:val="clear" w:color="auto" w:fill="FFFFFF"/>
        </w:rPr>
        <w:t>.</w:t>
      </w:r>
      <w:r w:rsidR="007F5A94" w:rsidRPr="00E72418">
        <w:rPr>
          <w:shd w:val="clear" w:color="auto" w:fill="FFFFFF"/>
        </w:rPr>
        <w:t xml:space="preserve"> La proportionnalité du mécanisme mis en place se </w:t>
      </w:r>
      <w:r w:rsidR="004A3676" w:rsidRPr="00E72418">
        <w:rPr>
          <w:shd w:val="clear" w:color="auto" w:fill="FFFFFF"/>
        </w:rPr>
        <w:t>décline</w:t>
      </w:r>
      <w:r w:rsidR="007F5A94" w:rsidRPr="00E72418">
        <w:rPr>
          <w:shd w:val="clear" w:color="auto" w:fill="FFFFFF"/>
        </w:rPr>
        <w:t xml:space="preserve"> également dans la limitation de son bénéfice aux </w:t>
      </w:r>
      <w:r w:rsidR="007F5A94" w:rsidRPr="00E72418">
        <w:t>débiteurs souverains en situation financière difficile. Par ailleurs, les contraintes temporelles nécessaires à la mise en branle du mécanisme plaident également en faveur de sa proportionnalité</w:t>
      </w:r>
      <w:r w:rsidR="007F5A94" w:rsidRPr="00E72418">
        <w:rPr>
          <w:rStyle w:val="Appelnotedebasdep"/>
        </w:rPr>
        <w:footnoteReference w:id="1956"/>
      </w:r>
      <w:r w:rsidR="007F5A94" w:rsidRPr="00E72418">
        <w:t>.</w:t>
      </w:r>
    </w:p>
    <w:p w14:paraId="75A3B1C5" w14:textId="77777777" w:rsidR="005656FA" w:rsidRPr="00E72418" w:rsidRDefault="005656FA" w:rsidP="00CC4BA8">
      <w:pPr>
        <w:spacing w:line="276" w:lineRule="auto"/>
      </w:pPr>
      <w:bookmarkStart w:id="451" w:name="_Toc37777428"/>
    </w:p>
    <w:p w14:paraId="0A8E53E2" w14:textId="76A9A848" w:rsidR="00667D0D" w:rsidRPr="00E72418" w:rsidRDefault="008665DF" w:rsidP="00CC4BA8">
      <w:pPr>
        <w:pStyle w:val="DD"/>
        <w:spacing w:line="276" w:lineRule="auto"/>
      </w:pPr>
      <w:bookmarkStart w:id="452" w:name="_Toc59281024"/>
      <w:bookmarkStart w:id="453" w:name="_Toc84541006"/>
      <w:r w:rsidRPr="00E72418">
        <w:t xml:space="preserve">Section 2 : </w:t>
      </w:r>
      <w:r w:rsidR="005656FA" w:rsidRPr="00E72418">
        <w:t>L’article 6 de la Convention européenne des droits de l’homme</w:t>
      </w:r>
      <w:bookmarkEnd w:id="451"/>
      <w:bookmarkEnd w:id="452"/>
      <w:bookmarkEnd w:id="453"/>
    </w:p>
    <w:p w14:paraId="23E7C3C9" w14:textId="0FD423F4" w:rsidR="005656FA" w:rsidRPr="00E72418" w:rsidRDefault="005656FA" w:rsidP="00667D0D"/>
    <w:p w14:paraId="587410FF" w14:textId="31A67C6B" w:rsidR="003A0596" w:rsidRPr="00E72418" w:rsidRDefault="004469AC" w:rsidP="003A0596">
      <w:pPr>
        <w:spacing w:line="276" w:lineRule="auto"/>
      </w:pPr>
      <w:r w:rsidRPr="00E72418">
        <w:rPr>
          <w:b/>
        </w:rPr>
        <w:t>387</w:t>
      </w:r>
      <w:r w:rsidR="00712571" w:rsidRPr="00E72418">
        <w:rPr>
          <w:b/>
        </w:rPr>
        <w:t xml:space="preserve">. </w:t>
      </w:r>
      <w:r w:rsidR="003A0596" w:rsidRPr="00E72418">
        <w:rPr>
          <w:b/>
        </w:rPr>
        <w:t>Le droit à un procès équitable –</w:t>
      </w:r>
      <w:r w:rsidR="003A0596" w:rsidRPr="00E72418">
        <w:t xml:space="preserve"> Après avoir questionné la conformité des lois</w:t>
      </w:r>
      <w:r w:rsidR="00ED4C9C" w:rsidRPr="00E72418">
        <w:t xml:space="preserve"> anti-spéculation</w:t>
      </w:r>
      <w:r w:rsidR="003A0596" w:rsidRPr="00E72418">
        <w:t xml:space="preserve"> nationales au principe de la protection de la propriété, il est une autre question à se poser qu’est celle de leur respect du droit à un procès équitable. Ensuite d’avoir démontré qu’</w:t>
      </w:r>
      <w:r w:rsidR="00ED4C9C" w:rsidRPr="00E72418">
        <w:t>il peut être porté atteinte à cette</w:t>
      </w:r>
      <w:r w:rsidR="003A0596" w:rsidRPr="00E72418">
        <w:t xml:space="preserve"> protection consacrée à l’article 6 de la Convention européenne des droits de l’homme (</w:t>
      </w:r>
      <w:r w:rsidR="003A0596" w:rsidRPr="00E72418">
        <w:rPr>
          <w:b/>
        </w:rPr>
        <w:t>sous-section 1</w:t>
      </w:r>
      <w:r w:rsidR="003A0596" w:rsidRPr="00E72418">
        <w:t xml:space="preserve">), nous nous intéresserons à trois particularités des lois britannique, belge et française </w:t>
      </w:r>
      <w:r w:rsidR="00ED4C9C" w:rsidRPr="00E72418">
        <w:t>en nous demandant si elles n’entament pas</w:t>
      </w:r>
      <w:r w:rsidR="003A0596" w:rsidRPr="00E72418">
        <w:t xml:space="preserve"> le droit à un procès équitable (</w:t>
      </w:r>
      <w:r w:rsidR="003A0596" w:rsidRPr="00E72418">
        <w:rPr>
          <w:b/>
        </w:rPr>
        <w:t>sous-section 2</w:t>
      </w:r>
      <w:r w:rsidR="003A0596" w:rsidRPr="00E72418">
        <w:t>).</w:t>
      </w:r>
    </w:p>
    <w:p w14:paraId="24270775" w14:textId="77777777" w:rsidR="003A0596" w:rsidRPr="00E72418" w:rsidRDefault="003A0596" w:rsidP="00667D0D"/>
    <w:p w14:paraId="57605978" w14:textId="1A70543B" w:rsidR="0025346E" w:rsidRPr="00E72418" w:rsidRDefault="0025346E" w:rsidP="0025346E">
      <w:pPr>
        <w:pStyle w:val="EE"/>
        <w:spacing w:line="276" w:lineRule="auto"/>
        <w:jc w:val="left"/>
      </w:pPr>
      <w:bookmarkStart w:id="454" w:name="_Toc84541007"/>
      <w:r w:rsidRPr="00E72418">
        <w:t>Sous-section 1 : L’acceptable atteinte</w:t>
      </w:r>
      <w:bookmarkEnd w:id="454"/>
    </w:p>
    <w:p w14:paraId="3CF99C96" w14:textId="77777777" w:rsidR="007A12E9" w:rsidRPr="00E72418" w:rsidRDefault="007A12E9" w:rsidP="007A12E9"/>
    <w:p w14:paraId="1B1EFA8E" w14:textId="5F9B5DAC" w:rsidR="00E43978" w:rsidRPr="00E72418" w:rsidRDefault="004469AC" w:rsidP="00CC4BA8">
      <w:pPr>
        <w:spacing w:line="276" w:lineRule="auto"/>
      </w:pPr>
      <w:r w:rsidRPr="00E72418">
        <w:rPr>
          <w:b/>
        </w:rPr>
        <w:t>388</w:t>
      </w:r>
      <w:r w:rsidR="00817D62" w:rsidRPr="00E72418">
        <w:rPr>
          <w:b/>
        </w:rPr>
        <w:t xml:space="preserve">. </w:t>
      </w:r>
      <w:r w:rsidR="00135AC5" w:rsidRPr="00E72418">
        <w:rPr>
          <w:b/>
        </w:rPr>
        <w:t xml:space="preserve">Le droit à l’exécution </w:t>
      </w:r>
      <w:r w:rsidR="005656FA" w:rsidRPr="00E72418">
        <w:rPr>
          <w:b/>
        </w:rPr>
        <w:t>–</w:t>
      </w:r>
      <w:r w:rsidR="005656FA" w:rsidRPr="00E72418">
        <w:t xml:space="preserve"> L’article 6, alinéa premier, de la Convention européenne des droits de l’homme dispose</w:t>
      </w:r>
      <w:r w:rsidR="004A3676" w:rsidRPr="00E72418">
        <w:t xml:space="preserve"> notamment</w:t>
      </w:r>
      <w:r w:rsidR="005656FA" w:rsidRPr="00E72418">
        <w:t xml:space="preserve"> que « </w:t>
      </w:r>
      <w:r w:rsidR="005656FA" w:rsidRPr="00E72418">
        <w:rPr>
          <w:rFonts w:cs="Times New Roman"/>
        </w:rPr>
        <w:t>[t]</w:t>
      </w:r>
      <w:r w:rsidR="005656FA" w:rsidRPr="00E72418">
        <w:t xml:space="preserve">oute personne a droit à ce que sa cause soit entendue équitablement, publiquement et dans un délai raisonnable, par un tribunal indépendant et impartial, établi par la loi, </w:t>
      </w:r>
      <w:r w:rsidR="0074699D" w:rsidRPr="00E72418">
        <w:t xml:space="preserve">[…] </w:t>
      </w:r>
      <w:r w:rsidR="005656FA" w:rsidRPr="00E72418">
        <w:t>»</w:t>
      </w:r>
      <w:r w:rsidR="005656FA" w:rsidRPr="00E72418">
        <w:rPr>
          <w:rStyle w:val="Appelnotedebasdep"/>
        </w:rPr>
        <w:footnoteReference w:id="1957"/>
      </w:r>
      <w:r w:rsidR="005656FA" w:rsidRPr="00E72418">
        <w:t>.</w:t>
      </w:r>
      <w:r w:rsidR="00DB0A6C" w:rsidRPr="00E72418">
        <w:t xml:space="preserve"> </w:t>
      </w:r>
      <w:r w:rsidR="0074699D" w:rsidRPr="00E72418">
        <w:t>Cet article</w:t>
      </w:r>
      <w:r w:rsidR="005656FA" w:rsidRPr="00E72418">
        <w:t xml:space="preserve"> garantit le droit à un procès équitable dont </w:t>
      </w:r>
      <w:r w:rsidR="005656FA" w:rsidRPr="00E72418">
        <w:lastRenderedPageBreak/>
        <w:t>fait partie le droit à l’exécution des décisions de justice</w:t>
      </w:r>
      <w:r w:rsidR="005700B2" w:rsidRPr="00E72418">
        <w:rPr>
          <w:rStyle w:val="Appelnotedebasdep"/>
        </w:rPr>
        <w:footnoteReference w:id="1958"/>
      </w:r>
      <w:r w:rsidR="005656FA" w:rsidRPr="00E72418">
        <w:t xml:space="preserve">. Ainsi, dans son arrêt </w:t>
      </w:r>
      <w:r w:rsidR="005656FA" w:rsidRPr="00E72418">
        <w:rPr>
          <w:rFonts w:cs="Times New Roman"/>
          <w:i/>
        </w:rPr>
        <w:t>Hornsby c. Grèce</w:t>
      </w:r>
      <w:r w:rsidR="005656FA" w:rsidRPr="00E72418">
        <w:t>, la Cour européenne des droits de l’homme retint que l</w:t>
      </w:r>
      <w:r w:rsidR="00DB0A6C" w:rsidRPr="00E72418">
        <w:rPr>
          <w:rFonts w:cs="Times New Roman"/>
        </w:rPr>
        <w:t>’exécution d’une décision</w:t>
      </w:r>
      <w:r w:rsidR="005656FA" w:rsidRPr="00E72418">
        <w:rPr>
          <w:rFonts w:cs="Times New Roman"/>
        </w:rPr>
        <w:t xml:space="preserve">, de quelque juridiction que ce soit, doit être considérée comme faisant partie intégrante du </w:t>
      </w:r>
      <w:r w:rsidR="005656FA" w:rsidRPr="00E72418">
        <w:t xml:space="preserve">« procès </w:t>
      </w:r>
      <w:r w:rsidR="005656FA" w:rsidRPr="00E72418">
        <w:rPr>
          <w:rFonts w:cs="Times New Roman"/>
        </w:rPr>
        <w:t>» au sens de l’article 6</w:t>
      </w:r>
      <w:r w:rsidR="005656FA" w:rsidRPr="00E72418">
        <w:rPr>
          <w:rStyle w:val="Appelnotedebasdep"/>
          <w:szCs w:val="24"/>
        </w:rPr>
        <w:footnoteReference w:id="1959"/>
      </w:r>
      <w:r w:rsidR="005656FA" w:rsidRPr="00E72418">
        <w:t xml:space="preserve">. </w:t>
      </w:r>
      <w:r w:rsidR="00EB4042" w:rsidRPr="00E72418">
        <w:t xml:space="preserve">Dans son arrêt </w:t>
      </w:r>
      <w:r w:rsidR="00EB4042" w:rsidRPr="00E72418">
        <w:rPr>
          <w:i/>
        </w:rPr>
        <w:t>Avotiņš c. Lettonie</w:t>
      </w:r>
      <w:r w:rsidR="00EB4042" w:rsidRPr="00E72418">
        <w:t>, la Cour a par ailleurs précisé que l’article</w:t>
      </w:r>
      <w:r w:rsidR="00C556BC" w:rsidRPr="00E72418">
        <w:t xml:space="preserve"> 6</w:t>
      </w:r>
      <w:r w:rsidR="00EB4042" w:rsidRPr="00E72418">
        <w:t>, alinéa 1</w:t>
      </w:r>
      <w:r w:rsidR="00EB4042" w:rsidRPr="00E72418">
        <w:rPr>
          <w:vertAlign w:val="superscript"/>
        </w:rPr>
        <w:t>er</w:t>
      </w:r>
      <w:r w:rsidR="00EB4042" w:rsidRPr="00E72418">
        <w:t>, de la Convention s’applique à l’exécution des décisions de justice étrangères définitives</w:t>
      </w:r>
      <w:r w:rsidR="008F462A" w:rsidRPr="00E72418">
        <w:rPr>
          <w:vertAlign w:val="superscript"/>
        </w:rPr>
        <w:footnoteReference w:id="1960"/>
      </w:r>
      <w:r w:rsidR="0025346E" w:rsidRPr="00E72418">
        <w:t xml:space="preserve"> et, </w:t>
      </w:r>
      <w:r w:rsidR="00C556BC" w:rsidRPr="00E72418">
        <w:t xml:space="preserve">dans son arrêt </w:t>
      </w:r>
      <w:r w:rsidR="00C556BC" w:rsidRPr="00E72418">
        <w:rPr>
          <w:rFonts w:ascii="Times New Roman" w:hAnsi="Times New Roman" w:cs="Times New Roman"/>
          <w:i/>
          <w:iCs/>
          <w:szCs w:val="24"/>
        </w:rPr>
        <w:t xml:space="preserve">Flores Quiros </w:t>
      </w:r>
      <w:r w:rsidR="00C556BC" w:rsidRPr="00E72418">
        <w:rPr>
          <w:rFonts w:ascii="Times New Roman" w:hAnsi="Times New Roman" w:cs="Times New Roman"/>
          <w:i/>
          <w:szCs w:val="24"/>
        </w:rPr>
        <w:t>c. Espagne</w:t>
      </w:r>
      <w:r w:rsidR="00C556BC" w:rsidRPr="00E72418">
        <w:rPr>
          <w:rFonts w:ascii="Times New Roman" w:hAnsi="Times New Roman" w:cs="Times New Roman"/>
          <w:szCs w:val="24"/>
        </w:rPr>
        <w:t xml:space="preserve">, la </w:t>
      </w:r>
      <w:r w:rsidR="0025346E" w:rsidRPr="00E72418">
        <w:rPr>
          <w:rFonts w:ascii="Times New Roman" w:hAnsi="Times New Roman" w:cs="Times New Roman"/>
          <w:szCs w:val="24"/>
        </w:rPr>
        <w:t>juridiction</w:t>
      </w:r>
      <w:r w:rsidR="00C556BC" w:rsidRPr="00E72418">
        <w:rPr>
          <w:rFonts w:ascii="Times New Roman" w:hAnsi="Times New Roman" w:cs="Times New Roman"/>
          <w:szCs w:val="24"/>
        </w:rPr>
        <w:t xml:space="preserve"> européenne a </w:t>
      </w:r>
      <w:r w:rsidR="002D5DFC" w:rsidRPr="00E72418">
        <w:rPr>
          <w:rFonts w:ascii="Times New Roman" w:hAnsi="Times New Roman" w:cs="Times New Roman"/>
          <w:szCs w:val="24"/>
        </w:rPr>
        <w:t>jugé</w:t>
      </w:r>
      <w:r w:rsidR="00C556BC" w:rsidRPr="00E72418">
        <w:rPr>
          <w:rFonts w:ascii="Times New Roman" w:hAnsi="Times New Roman" w:cs="Times New Roman"/>
          <w:szCs w:val="24"/>
        </w:rPr>
        <w:t xml:space="preserve"> que </w:t>
      </w:r>
      <w:r w:rsidR="00C556BC" w:rsidRPr="00E72418">
        <w:t>« [l</w:t>
      </w:r>
      <w:r w:rsidR="002F747E">
        <w:t>’]</w:t>
      </w:r>
      <w:r w:rsidR="00C556BC" w:rsidRPr="00E72418">
        <w:t>exécution doit […] être complète, parfaite et non partielle »</w:t>
      </w:r>
      <w:r w:rsidR="00C556BC" w:rsidRPr="00E72418">
        <w:rPr>
          <w:rStyle w:val="Appelnotedebasdep"/>
          <w:rFonts w:ascii="Times New Roman" w:hAnsi="Times New Roman" w:cs="Times New Roman"/>
          <w:szCs w:val="24"/>
        </w:rPr>
        <w:footnoteReference w:id="1961"/>
      </w:r>
      <w:r w:rsidR="00EB4042" w:rsidRPr="00E72418">
        <w:t xml:space="preserve">. </w:t>
      </w:r>
      <w:r w:rsidR="005656FA" w:rsidRPr="00E72418">
        <w:t xml:space="preserve">Les législations britannique, belge et française étant de nature à interférer avec l’exécution de décisions rendues </w:t>
      </w:r>
      <w:r w:rsidR="008F462A" w:rsidRPr="00E72418">
        <w:t xml:space="preserve">à l’étranger </w:t>
      </w:r>
      <w:r w:rsidR="005656FA" w:rsidRPr="00E72418">
        <w:t>au profit de créanciers d’</w:t>
      </w:r>
      <w:r w:rsidR="005656FA" w:rsidRPr="00E72418">
        <w:rPr>
          <w:rFonts w:cs="Times New Roman"/>
          <w:shd w:val="clear" w:color="auto" w:fill="FFFFFF"/>
        </w:rPr>
        <w:t>É</w:t>
      </w:r>
      <w:r w:rsidR="005656FA" w:rsidRPr="00E72418">
        <w:t>tats, leur respect de la règle européenne mérite d’être interrogé</w:t>
      </w:r>
      <w:r w:rsidR="00EB4042" w:rsidRPr="00E72418">
        <w:rPr>
          <w:rStyle w:val="Appelnotedebasdep"/>
        </w:rPr>
        <w:footnoteReference w:id="1962"/>
      </w:r>
      <w:r w:rsidR="005656FA" w:rsidRPr="00E72418">
        <w:t>.</w:t>
      </w:r>
    </w:p>
    <w:p w14:paraId="756502C8" w14:textId="6170C274" w:rsidR="008D56B4" w:rsidRPr="00E72418" w:rsidRDefault="008D56B4" w:rsidP="00CC4BA8">
      <w:pPr>
        <w:spacing w:line="276" w:lineRule="auto"/>
        <w:rPr>
          <w:rFonts w:cs="Times"/>
          <w:szCs w:val="24"/>
        </w:rPr>
      </w:pPr>
      <w:r w:rsidRPr="00E72418">
        <w:rPr>
          <w:rFonts w:cs="Times"/>
        </w:rPr>
        <w:t>Tout fondamental qu’est le droit consacré à l’article 6, alinéa premier, de la Convention européenne des droits de l’homme, il n’est toutefois pas absolu et peut par conséquent faire l’objet de limitations</w:t>
      </w:r>
      <w:r w:rsidR="002218D0" w:rsidRPr="00E72418">
        <w:rPr>
          <w:rStyle w:val="Appelnotedebasdep"/>
          <w:rFonts w:cs="Times"/>
        </w:rPr>
        <w:footnoteReference w:id="1963"/>
      </w:r>
      <w:r w:rsidRPr="00E72418">
        <w:rPr>
          <w:rFonts w:cs="Times"/>
        </w:rPr>
        <w:t xml:space="preserve">. </w:t>
      </w:r>
      <w:r w:rsidR="00A50A7E" w:rsidRPr="00E72418">
        <w:rPr>
          <w:rFonts w:cs="Times"/>
          <w:szCs w:val="24"/>
        </w:rPr>
        <w:t xml:space="preserve">Les </w:t>
      </w:r>
      <w:r w:rsidR="00A50A7E" w:rsidRPr="00E72418">
        <w:rPr>
          <w:lang w:eastAsia="fr-BE"/>
        </w:rPr>
        <w:t>É</w:t>
      </w:r>
      <w:r w:rsidRPr="00E72418">
        <w:rPr>
          <w:rFonts w:cs="Times"/>
          <w:szCs w:val="24"/>
        </w:rPr>
        <w:t xml:space="preserve">tats peuvent ainsi </w:t>
      </w:r>
      <w:r w:rsidR="00DB0A6C" w:rsidRPr="00E72418">
        <w:rPr>
          <w:rFonts w:cs="Times"/>
          <w:szCs w:val="24"/>
        </w:rPr>
        <w:t xml:space="preserve">y </w:t>
      </w:r>
      <w:r w:rsidRPr="00E72418">
        <w:rPr>
          <w:rFonts w:cs="Times"/>
          <w:szCs w:val="24"/>
        </w:rPr>
        <w:t>poser des réserves pour autant que ces dernières ne restreignent pas l’accès au juge d’une manière ou à un point tels que le droit s’en trouve atteint dans sa substance même</w:t>
      </w:r>
      <w:r w:rsidR="00510741" w:rsidRPr="00E72418">
        <w:rPr>
          <w:rStyle w:val="Appelnotedebasdep"/>
          <w:rFonts w:cs="Times"/>
          <w:szCs w:val="24"/>
        </w:rPr>
        <w:footnoteReference w:id="1964"/>
      </w:r>
      <w:r w:rsidRPr="00E72418">
        <w:rPr>
          <w:rFonts w:cs="Times"/>
          <w:szCs w:val="24"/>
        </w:rPr>
        <w:t>. De telles limitations sont conciliables avec l’article 6, alinéa premie</w:t>
      </w:r>
      <w:r w:rsidR="00287029" w:rsidRPr="00E72418">
        <w:rPr>
          <w:rFonts w:cs="Times"/>
          <w:szCs w:val="24"/>
        </w:rPr>
        <w:t>r</w:t>
      </w:r>
      <w:r w:rsidRPr="00E72418">
        <w:rPr>
          <w:rFonts w:cs="Times"/>
          <w:szCs w:val="24"/>
        </w:rPr>
        <w:t>, si, d’une part, elles tendent à un but légitime, d’autre part, il existe un rapport raisonnable de proportionnalité entre les moyens employés et le but visé</w:t>
      </w:r>
      <w:r w:rsidR="000A180B" w:rsidRPr="00E72418">
        <w:rPr>
          <w:rStyle w:val="Appelnotedebasdep"/>
          <w:rFonts w:cs="Times"/>
          <w:szCs w:val="24"/>
        </w:rPr>
        <w:footnoteReference w:id="1965"/>
      </w:r>
      <w:r w:rsidRPr="00E72418">
        <w:rPr>
          <w:rFonts w:cs="Times"/>
          <w:szCs w:val="24"/>
        </w:rPr>
        <w:t>.</w:t>
      </w:r>
      <w:r w:rsidR="0025346E" w:rsidRPr="00E72418">
        <w:rPr>
          <w:rFonts w:cs="Times"/>
          <w:szCs w:val="24"/>
        </w:rPr>
        <w:t xml:space="preserve"> L’on peut ainsi se demander si les mécanismes anti-spéculation mis en place par le Royaume-Uni, la Belgique et la France respectent ces balises à l’atteinte acceptable au droit à un procès équitable.</w:t>
      </w:r>
    </w:p>
    <w:p w14:paraId="00A5AFAE" w14:textId="1866233D" w:rsidR="005656FA" w:rsidRPr="00E72418" w:rsidRDefault="005656FA" w:rsidP="00CC4BA8">
      <w:pPr>
        <w:spacing w:afterLines="60" w:after="144" w:line="276" w:lineRule="auto"/>
      </w:pPr>
    </w:p>
    <w:p w14:paraId="440A27F5" w14:textId="3C0AC168" w:rsidR="009F26EF" w:rsidRPr="00E72418" w:rsidRDefault="004469AC" w:rsidP="009F26EF">
      <w:pPr>
        <w:spacing w:line="276" w:lineRule="auto"/>
        <w:rPr>
          <w:rFonts w:ascii="Times New Roman" w:hAnsi="Times New Roman" w:cs="Times New Roman"/>
          <w:szCs w:val="24"/>
        </w:rPr>
      </w:pPr>
      <w:r w:rsidRPr="00E72418">
        <w:rPr>
          <w:b/>
          <w:szCs w:val="24"/>
        </w:rPr>
        <w:t>389</w:t>
      </w:r>
      <w:r w:rsidR="00817D62" w:rsidRPr="00E72418">
        <w:rPr>
          <w:b/>
          <w:szCs w:val="24"/>
        </w:rPr>
        <w:t xml:space="preserve">. </w:t>
      </w:r>
      <w:r w:rsidR="0075359C" w:rsidRPr="00E72418">
        <w:rPr>
          <w:b/>
          <w:szCs w:val="24"/>
        </w:rPr>
        <w:t xml:space="preserve">La transposition de la valide atteinte immunitaire </w:t>
      </w:r>
      <w:r w:rsidR="0075359C" w:rsidRPr="00E72418">
        <w:rPr>
          <w:b/>
        </w:rPr>
        <w:t xml:space="preserve">– </w:t>
      </w:r>
      <w:r w:rsidR="009F26EF" w:rsidRPr="00E72418">
        <w:rPr>
          <w:rFonts w:ascii="Times New Roman" w:hAnsi="Times New Roman" w:cs="Times New Roman"/>
          <w:szCs w:val="24"/>
        </w:rPr>
        <w:t>Il ressort de la jurisprudence de la Cour européenne des droits de l’homme que l’immunité étatique n’est pas inconciliable avec le droit d’accès au juge. Ainsi, dans trois arrêts du 21 novemb</w:t>
      </w:r>
      <w:r w:rsidR="007B769E" w:rsidRPr="00E72418">
        <w:rPr>
          <w:rFonts w:ascii="Times New Roman" w:hAnsi="Times New Roman" w:cs="Times New Roman"/>
          <w:szCs w:val="24"/>
        </w:rPr>
        <w:t>re 2001, la Cour a estimé dans d</w:t>
      </w:r>
      <w:r w:rsidR="009F26EF" w:rsidRPr="00E72418">
        <w:rPr>
          <w:rFonts w:ascii="Times New Roman" w:hAnsi="Times New Roman" w:cs="Times New Roman"/>
          <w:szCs w:val="24"/>
        </w:rPr>
        <w:t xml:space="preserve">es termes très similaires que « l’octroi de l’immunité à un </w:t>
      </w:r>
      <w:r w:rsidR="009F26EF" w:rsidRPr="00E72418">
        <w:rPr>
          <w:rFonts w:ascii="Times New Roman" w:hAnsi="Times New Roman" w:cs="Times New Roman"/>
          <w:szCs w:val="24"/>
          <w:lang w:eastAsia="fr-BE"/>
        </w:rPr>
        <w:t>É</w:t>
      </w:r>
      <w:r w:rsidR="009F26EF" w:rsidRPr="00E72418">
        <w:rPr>
          <w:rFonts w:ascii="Times New Roman" w:hAnsi="Times New Roman" w:cs="Times New Roman"/>
          <w:szCs w:val="24"/>
        </w:rPr>
        <w:t xml:space="preserve">tat dans une procédure civile poursuit le but légitime d’observer le droit international afin de favoriser la courtoisie et les bonnes relations entre </w:t>
      </w:r>
      <w:r w:rsidR="009F26EF" w:rsidRPr="00E72418">
        <w:rPr>
          <w:rFonts w:ascii="Times New Roman" w:hAnsi="Times New Roman" w:cs="Times New Roman"/>
          <w:szCs w:val="24"/>
          <w:lang w:eastAsia="fr-BE"/>
        </w:rPr>
        <w:t>É</w:t>
      </w:r>
      <w:r w:rsidR="009F26EF" w:rsidRPr="00E72418">
        <w:rPr>
          <w:rFonts w:ascii="Times New Roman" w:hAnsi="Times New Roman" w:cs="Times New Roman"/>
          <w:szCs w:val="24"/>
        </w:rPr>
        <w:t>tats »</w:t>
      </w:r>
      <w:r w:rsidR="009F26EF" w:rsidRPr="00E72418">
        <w:rPr>
          <w:rStyle w:val="Appelnotedebasdep"/>
          <w:rFonts w:ascii="Times New Roman" w:hAnsi="Times New Roman" w:cs="Times New Roman"/>
          <w:szCs w:val="24"/>
        </w:rPr>
        <w:footnoteReference w:id="1966"/>
      </w:r>
      <w:r w:rsidR="009F26EF" w:rsidRPr="00E72418">
        <w:rPr>
          <w:rFonts w:ascii="Times New Roman" w:hAnsi="Times New Roman" w:cs="Times New Roman"/>
          <w:szCs w:val="24"/>
        </w:rPr>
        <w:t>. Dans ces mêmes arrêts, la juridiction européenne a répondu à la question de la proportionnalité de la restriction au but poursuivi en indiquant que « </w:t>
      </w:r>
      <w:r w:rsidR="009E44DE" w:rsidRPr="00E72418">
        <w:rPr>
          <w:rFonts w:cs="Times New Roman"/>
        </w:rPr>
        <w:t>[l]</w:t>
      </w:r>
      <w:r w:rsidR="009F26EF" w:rsidRPr="00E72418">
        <w:rPr>
          <w:rFonts w:ascii="Times New Roman" w:hAnsi="Times New Roman" w:cs="Times New Roman"/>
          <w:szCs w:val="24"/>
        </w:rPr>
        <w:t xml:space="preserve">a Convention doit autant que faire se peut s’interpréter de manière à se concilier avec les autres règles de droit international, dont elle fait partie intégrante, y compris celles relatives à l’octroi </w:t>
      </w:r>
      <w:r w:rsidR="009F26EF" w:rsidRPr="00E72418">
        <w:rPr>
          <w:rFonts w:ascii="Times New Roman" w:hAnsi="Times New Roman" w:cs="Times New Roman"/>
          <w:szCs w:val="24"/>
        </w:rPr>
        <w:lastRenderedPageBreak/>
        <w:t xml:space="preserve">de l’immunité aux </w:t>
      </w:r>
      <w:r w:rsidR="009F26EF" w:rsidRPr="00E72418">
        <w:rPr>
          <w:rFonts w:ascii="Times New Roman" w:hAnsi="Times New Roman" w:cs="Times New Roman"/>
          <w:szCs w:val="24"/>
          <w:lang w:eastAsia="fr-BE"/>
        </w:rPr>
        <w:t>É</w:t>
      </w:r>
      <w:r w:rsidR="009E44DE" w:rsidRPr="00E72418">
        <w:rPr>
          <w:rFonts w:ascii="Times New Roman" w:hAnsi="Times New Roman" w:cs="Times New Roman"/>
          <w:szCs w:val="24"/>
        </w:rPr>
        <w:t>tats », et qu’ « </w:t>
      </w:r>
      <w:r w:rsidR="009E44DE" w:rsidRPr="00E72418">
        <w:rPr>
          <w:rFonts w:cs="Times New Roman"/>
        </w:rPr>
        <w:t>[o]</w:t>
      </w:r>
      <w:r w:rsidR="009F26EF" w:rsidRPr="00E72418">
        <w:rPr>
          <w:rFonts w:ascii="Times New Roman" w:hAnsi="Times New Roman" w:cs="Times New Roman"/>
          <w:szCs w:val="24"/>
        </w:rPr>
        <w:t xml:space="preserve">n ne peut dès lors en règle générale considérer comme une restriction disproportionnée au droit d’accès à un tribunal tel que le consacre l’article 6 §1 des mesures prises par une Haute Partie contractante qui reflètent des principes de droit international généralement reconnus en matière d’immunité des </w:t>
      </w:r>
      <w:r w:rsidR="009F26EF" w:rsidRPr="00E72418">
        <w:rPr>
          <w:rFonts w:ascii="Times New Roman" w:hAnsi="Times New Roman" w:cs="Times New Roman"/>
          <w:szCs w:val="24"/>
          <w:lang w:eastAsia="fr-BE"/>
        </w:rPr>
        <w:t>É</w:t>
      </w:r>
      <w:r w:rsidR="009F26EF" w:rsidRPr="00E72418">
        <w:rPr>
          <w:rFonts w:ascii="Times New Roman" w:hAnsi="Times New Roman" w:cs="Times New Roman"/>
          <w:szCs w:val="24"/>
        </w:rPr>
        <w:t>tats »</w:t>
      </w:r>
      <w:r w:rsidR="009F26EF" w:rsidRPr="00E72418">
        <w:rPr>
          <w:rStyle w:val="Appelnotedebasdep"/>
          <w:rFonts w:ascii="Times New Roman" w:hAnsi="Times New Roman" w:cs="Times New Roman"/>
          <w:szCs w:val="24"/>
        </w:rPr>
        <w:footnoteReference w:id="1967"/>
      </w:r>
      <w:r w:rsidR="009F26EF" w:rsidRPr="00E72418">
        <w:rPr>
          <w:rFonts w:ascii="Times New Roman" w:hAnsi="Times New Roman" w:cs="Times New Roman"/>
          <w:szCs w:val="24"/>
        </w:rPr>
        <w:t>. Selon la Cour européenne</w:t>
      </w:r>
      <w:r w:rsidR="0025346E" w:rsidRPr="00E72418">
        <w:rPr>
          <w:rFonts w:ascii="Times New Roman" w:hAnsi="Times New Roman" w:cs="Times New Roman"/>
          <w:szCs w:val="24"/>
        </w:rPr>
        <w:t xml:space="preserve"> des droits de l’homme</w:t>
      </w:r>
      <w:r w:rsidR="009F26EF" w:rsidRPr="00E72418">
        <w:rPr>
          <w:rFonts w:ascii="Times New Roman" w:hAnsi="Times New Roman" w:cs="Times New Roman"/>
          <w:szCs w:val="24"/>
        </w:rPr>
        <w:t xml:space="preserve">, « les limitations généralement admises par la communauté des nations comme relevant de la doctrine de l’immunité des </w:t>
      </w:r>
      <w:r w:rsidR="009F26EF" w:rsidRPr="00E72418">
        <w:rPr>
          <w:rFonts w:ascii="Times New Roman" w:hAnsi="Times New Roman" w:cs="Times New Roman"/>
          <w:szCs w:val="24"/>
          <w:lang w:eastAsia="fr-BE"/>
        </w:rPr>
        <w:t>É</w:t>
      </w:r>
      <w:r w:rsidR="009F26EF" w:rsidRPr="00E72418">
        <w:rPr>
          <w:rFonts w:ascii="Times New Roman" w:hAnsi="Times New Roman" w:cs="Times New Roman"/>
          <w:szCs w:val="24"/>
        </w:rPr>
        <w:t>tats » sont des restrictions inhérentes au droit d’accès à un tribunal</w:t>
      </w:r>
      <w:r w:rsidR="009F26EF" w:rsidRPr="00E72418">
        <w:rPr>
          <w:rStyle w:val="Appelnotedebasdep"/>
          <w:rFonts w:ascii="Times New Roman" w:hAnsi="Times New Roman" w:cs="Times New Roman"/>
          <w:szCs w:val="24"/>
        </w:rPr>
        <w:footnoteReference w:id="1968"/>
      </w:r>
      <w:r w:rsidR="009F26EF" w:rsidRPr="00E72418">
        <w:rPr>
          <w:rFonts w:ascii="Times New Roman" w:hAnsi="Times New Roman" w:cs="Times New Roman"/>
          <w:szCs w:val="24"/>
          <w:vertAlign w:val="superscript"/>
        </w:rPr>
        <w:t>,</w:t>
      </w:r>
      <w:r w:rsidR="009F26EF" w:rsidRPr="00E72418">
        <w:rPr>
          <w:rStyle w:val="Appelnotedebasdep"/>
          <w:rFonts w:ascii="Times New Roman" w:hAnsi="Times New Roman" w:cs="Times New Roman"/>
          <w:szCs w:val="24"/>
        </w:rPr>
        <w:footnoteReference w:id="1969"/>
      </w:r>
      <w:r w:rsidR="009F26EF" w:rsidRPr="00E72418">
        <w:rPr>
          <w:rFonts w:ascii="Times New Roman" w:hAnsi="Times New Roman" w:cs="Times New Roman"/>
          <w:szCs w:val="24"/>
        </w:rPr>
        <w:t xml:space="preserve">. </w:t>
      </w:r>
    </w:p>
    <w:p w14:paraId="752087DB" w14:textId="3BFC160C" w:rsidR="009F26EF" w:rsidRPr="00E72418" w:rsidRDefault="004149EA" w:rsidP="009F26EF">
      <w:pPr>
        <w:spacing w:line="276" w:lineRule="auto"/>
        <w:rPr>
          <w:rStyle w:val="Titre1Car"/>
          <w:rFonts w:ascii="Times New Roman" w:hAnsi="Times New Roman" w:cs="Times New Roman"/>
          <w:color w:val="auto"/>
          <w:szCs w:val="24"/>
        </w:rPr>
      </w:pPr>
      <w:r w:rsidRPr="00E72418">
        <w:rPr>
          <w:rFonts w:ascii="Times New Roman" w:hAnsi="Times New Roman" w:cs="Times New Roman"/>
          <w:szCs w:val="24"/>
        </w:rPr>
        <w:t>L</w:t>
      </w:r>
      <w:r w:rsidR="009F26EF" w:rsidRPr="00E72418">
        <w:rPr>
          <w:rFonts w:ascii="Times New Roman" w:hAnsi="Times New Roman" w:cs="Times New Roman"/>
          <w:szCs w:val="24"/>
        </w:rPr>
        <w:t xml:space="preserve">’on pourrait transposer cette jurisprudence à la limitation du droit d’accès au juge qui serait induite par l’application des législations anti-spéculation. Ainsi, il pourrait être retenu que ces </w:t>
      </w:r>
      <w:r w:rsidR="00967343" w:rsidRPr="00E72418">
        <w:rPr>
          <w:rFonts w:ascii="Times New Roman" w:hAnsi="Times New Roman" w:cs="Times New Roman"/>
          <w:szCs w:val="24"/>
        </w:rPr>
        <w:t>dernières</w:t>
      </w:r>
      <w:r w:rsidR="009F26EF" w:rsidRPr="00E72418">
        <w:rPr>
          <w:rFonts w:ascii="Times New Roman" w:hAnsi="Times New Roman" w:cs="Times New Roman"/>
          <w:szCs w:val="24"/>
        </w:rPr>
        <w:t xml:space="preserve"> participent de l’existence d’une règle suivant laquelle il convient de limiter la spéculation sur les dettes souveraines lorsqu’elle se fait au détriment des populations des </w:t>
      </w:r>
      <w:r w:rsidR="00F62FD7" w:rsidRPr="00E72418">
        <w:rPr>
          <w:lang w:eastAsia="fr-BE"/>
        </w:rPr>
        <w:t>É</w:t>
      </w:r>
      <w:r w:rsidR="009F26EF" w:rsidRPr="00E72418">
        <w:rPr>
          <w:rFonts w:ascii="Times New Roman" w:hAnsi="Times New Roman" w:cs="Times New Roman"/>
          <w:szCs w:val="24"/>
        </w:rPr>
        <w:t>tats débiteurs. Rappelons que</w:t>
      </w:r>
      <w:r w:rsidR="00967343" w:rsidRPr="00E72418">
        <w:rPr>
          <w:rFonts w:ascii="Times New Roman" w:hAnsi="Times New Roman" w:cs="Times New Roman"/>
          <w:szCs w:val="24"/>
        </w:rPr>
        <w:t>,</w:t>
      </w:r>
      <w:r w:rsidR="009F26EF" w:rsidRPr="00E72418">
        <w:rPr>
          <w:rFonts w:ascii="Times New Roman" w:hAnsi="Times New Roman" w:cs="Times New Roman"/>
          <w:szCs w:val="24"/>
        </w:rPr>
        <w:t xml:space="preserve"> de l’avis de la Conférence des Nations Unies sur le commerce et le développement, le principe de la soutenabilité de la dette impliquant qu’une dette est viable si elle peut être honorée sans mettre à mal le développement social et économique de l’</w:t>
      </w:r>
      <w:r w:rsidR="009F26EF" w:rsidRPr="00E72418">
        <w:rPr>
          <w:rFonts w:ascii="Times New Roman" w:hAnsi="Times New Roman" w:cs="Times New Roman"/>
          <w:szCs w:val="24"/>
          <w:lang w:eastAsia="fr-BE"/>
        </w:rPr>
        <w:t>É</w:t>
      </w:r>
      <w:r w:rsidR="009F26EF" w:rsidRPr="00E72418">
        <w:rPr>
          <w:rFonts w:ascii="Times New Roman" w:hAnsi="Times New Roman" w:cs="Times New Roman"/>
          <w:szCs w:val="24"/>
        </w:rPr>
        <w:t>tat débiteur est un principe général de droit, à tout le moins émergent</w:t>
      </w:r>
      <w:r w:rsidR="009F26EF" w:rsidRPr="00E72418">
        <w:rPr>
          <w:rStyle w:val="Appelnotedebasdep"/>
          <w:rFonts w:ascii="Times New Roman" w:hAnsi="Times New Roman" w:cs="Times New Roman"/>
          <w:szCs w:val="24"/>
        </w:rPr>
        <w:footnoteReference w:id="1970"/>
      </w:r>
      <w:r w:rsidR="009F26EF" w:rsidRPr="00E72418">
        <w:rPr>
          <w:rFonts w:ascii="Times New Roman" w:hAnsi="Times New Roman" w:cs="Times New Roman"/>
          <w:szCs w:val="24"/>
        </w:rPr>
        <w:t>. Aussi, argument</w:t>
      </w:r>
      <w:r w:rsidR="00967343" w:rsidRPr="00E72418">
        <w:rPr>
          <w:rFonts w:ascii="Times New Roman" w:hAnsi="Times New Roman" w:cs="Times New Roman"/>
          <w:szCs w:val="24"/>
        </w:rPr>
        <w:t xml:space="preserve"> peut être tiré</w:t>
      </w:r>
      <w:r w:rsidR="009F26EF" w:rsidRPr="00E72418">
        <w:rPr>
          <w:rFonts w:ascii="Times New Roman" w:hAnsi="Times New Roman" w:cs="Times New Roman"/>
          <w:szCs w:val="24"/>
        </w:rPr>
        <w:t xml:space="preserve"> de l’arrêt </w:t>
      </w:r>
      <w:r w:rsidR="009F26EF" w:rsidRPr="00E72418">
        <w:rPr>
          <w:rFonts w:ascii="Times New Roman" w:hAnsi="Times New Roman" w:cs="Times New Roman"/>
          <w:i/>
          <w:szCs w:val="24"/>
        </w:rPr>
        <w:t>Naït-Liman c. Suisse</w:t>
      </w:r>
      <w:r w:rsidR="009F26EF" w:rsidRPr="00E72418">
        <w:rPr>
          <w:rFonts w:ascii="Times New Roman" w:hAnsi="Times New Roman" w:cs="Times New Roman"/>
          <w:szCs w:val="24"/>
        </w:rPr>
        <w:t xml:space="preserve"> de la Cour européenne des droits de l’homme où, après avoir rappelé que </w:t>
      </w:r>
      <w:r w:rsidR="009F26EF" w:rsidRPr="00E72418">
        <w:rPr>
          <w:rStyle w:val="sb8d990e2"/>
          <w:rFonts w:ascii="Times New Roman" w:hAnsi="Times New Roman" w:cs="Times New Roman"/>
          <w:szCs w:val="24"/>
          <w:shd w:val="clear" w:color="auto" w:fill="FFFFFF"/>
        </w:rPr>
        <w:t xml:space="preserve">les dispositions de la Convention ne peuvent s’interpréter et s’appliquer en dehors du contexte général dans lequel elles s’inscrivent, la juridiction note que « dans des affaires qui touchent à des sujets qui sont en constante évolution dans les États membres du Conseil de l’Europe, la Cour peut se pencher sur la situation qui prévaut dans d’autres pays membres relativement aux questions soulevées en l’espèce pour évaluer s’il existe un </w:t>
      </w:r>
      <w:r w:rsidR="009F26EF" w:rsidRPr="00E72418">
        <w:rPr>
          <w:rFonts w:ascii="Times New Roman" w:hAnsi="Times New Roman" w:cs="Times New Roman"/>
          <w:szCs w:val="24"/>
          <w:lang w:val="en-US"/>
        </w:rPr>
        <w:t>“</w:t>
      </w:r>
      <w:r w:rsidR="009F26EF" w:rsidRPr="00E72418">
        <w:rPr>
          <w:rStyle w:val="sb8d990e2"/>
          <w:rFonts w:ascii="Times New Roman" w:hAnsi="Times New Roman" w:cs="Times New Roman"/>
          <w:szCs w:val="24"/>
          <w:shd w:val="clear" w:color="auto" w:fill="FFFFFF"/>
        </w:rPr>
        <w:t>consensus européen</w:t>
      </w:r>
      <w:r w:rsidR="009F26EF" w:rsidRPr="00E72418">
        <w:rPr>
          <w:rFonts w:ascii="Times New Roman" w:hAnsi="Times New Roman" w:cs="Times New Roman"/>
          <w:szCs w:val="24"/>
          <w:lang w:val="en-US"/>
        </w:rPr>
        <w:t>”</w:t>
      </w:r>
      <w:r w:rsidR="009F26EF" w:rsidRPr="00E72418">
        <w:rPr>
          <w:rStyle w:val="sb8d990e2"/>
          <w:rFonts w:ascii="Times New Roman" w:hAnsi="Times New Roman" w:cs="Times New Roman"/>
          <w:szCs w:val="24"/>
          <w:shd w:val="clear" w:color="auto" w:fill="FFFFFF"/>
        </w:rPr>
        <w:t xml:space="preserve"> ou au moins une certaine tendance parmi les États membres »</w:t>
      </w:r>
      <w:r w:rsidR="009F26EF" w:rsidRPr="00E72418">
        <w:rPr>
          <w:rStyle w:val="Appelnotedebasdep"/>
          <w:rFonts w:ascii="Times New Roman" w:hAnsi="Times New Roman" w:cs="Times New Roman"/>
          <w:szCs w:val="24"/>
          <w:shd w:val="clear" w:color="auto" w:fill="FFFFFF"/>
        </w:rPr>
        <w:footnoteReference w:id="1971"/>
      </w:r>
      <w:r w:rsidR="009F26EF" w:rsidRPr="00E72418">
        <w:rPr>
          <w:rStyle w:val="sb8d990e2"/>
          <w:rFonts w:ascii="Times New Roman" w:hAnsi="Times New Roman" w:cs="Times New Roman"/>
          <w:szCs w:val="24"/>
          <w:shd w:val="clear" w:color="auto" w:fill="FFFFFF"/>
        </w:rPr>
        <w:t xml:space="preserve">. Sans confondre Conseil de l’Europe et Union européenne, on peut relever que, dans sa </w:t>
      </w:r>
      <w:r w:rsidR="009F26EF" w:rsidRPr="00E72418">
        <w:rPr>
          <w:rFonts w:ascii="Times New Roman" w:hAnsi="Times New Roman" w:cs="Times New Roman"/>
          <w:szCs w:val="24"/>
        </w:rPr>
        <w:t>résolution</w:t>
      </w:r>
      <w:r w:rsidR="009F26EF" w:rsidRPr="00E72418">
        <w:rPr>
          <w:rStyle w:val="Titre1Car"/>
          <w:rFonts w:ascii="Times New Roman" w:eastAsiaTheme="minorHAnsi" w:hAnsi="Times New Roman" w:cs="Times New Roman"/>
          <w:color w:val="auto"/>
          <w:sz w:val="24"/>
          <w:szCs w:val="24"/>
        </w:rPr>
        <w:t xml:space="preserve"> sur l’amélioration de la viabilité de la dette des pays en développement</w:t>
      </w:r>
      <w:r w:rsidR="009F26EF" w:rsidRPr="00E72418">
        <w:rPr>
          <w:rStyle w:val="Titre1Car"/>
          <w:rFonts w:ascii="Times New Roman" w:hAnsi="Times New Roman" w:cs="Times New Roman"/>
          <w:color w:val="auto"/>
          <w:sz w:val="24"/>
          <w:szCs w:val="24"/>
        </w:rPr>
        <w:t xml:space="preserve"> de 2018, le </w:t>
      </w:r>
      <w:r w:rsidR="00F62FD7" w:rsidRPr="00E72418">
        <w:rPr>
          <w:rStyle w:val="Titre1Car"/>
          <w:rFonts w:ascii="Times New Roman" w:hAnsi="Times New Roman" w:cs="Times New Roman"/>
          <w:color w:val="auto"/>
          <w:sz w:val="24"/>
          <w:szCs w:val="24"/>
        </w:rPr>
        <w:t xml:space="preserve">Parlement européen demande aux </w:t>
      </w:r>
      <w:r w:rsidR="00F62FD7" w:rsidRPr="00E72418">
        <w:rPr>
          <w:lang w:eastAsia="fr-BE"/>
        </w:rPr>
        <w:t>É</w:t>
      </w:r>
      <w:r w:rsidR="009F26EF" w:rsidRPr="00E72418">
        <w:rPr>
          <w:rStyle w:val="Titre1Car"/>
          <w:rFonts w:ascii="Times New Roman" w:hAnsi="Times New Roman" w:cs="Times New Roman"/>
          <w:color w:val="auto"/>
          <w:sz w:val="24"/>
          <w:szCs w:val="24"/>
        </w:rPr>
        <w:t>tats membres de se saisir de la question des fonds spéculant sur les dettes souveraines et de lutter contre la spéculation</w:t>
      </w:r>
      <w:r w:rsidR="009F26EF" w:rsidRPr="00E72418">
        <w:rPr>
          <w:rStyle w:val="Appelnotedebasdep"/>
          <w:rFonts w:ascii="Times New Roman" w:hAnsi="Times New Roman" w:cs="Times New Roman"/>
          <w:szCs w:val="24"/>
          <w:shd w:val="clear" w:color="auto" w:fill="FFFFFF"/>
        </w:rPr>
        <w:footnoteReference w:id="1972"/>
      </w:r>
      <w:r w:rsidR="009F26EF" w:rsidRPr="00E72418">
        <w:rPr>
          <w:rStyle w:val="Titre1Car"/>
          <w:rFonts w:ascii="Times New Roman" w:hAnsi="Times New Roman" w:cs="Times New Roman"/>
          <w:color w:val="auto"/>
          <w:sz w:val="24"/>
          <w:szCs w:val="24"/>
        </w:rPr>
        <w:t>.</w:t>
      </w:r>
    </w:p>
    <w:p w14:paraId="64604E8A" w14:textId="73F93A22" w:rsidR="0075359C" w:rsidRPr="00E72418" w:rsidRDefault="0075359C" w:rsidP="00CC4BA8">
      <w:pPr>
        <w:spacing w:afterLines="60" w:after="144" w:line="276" w:lineRule="auto"/>
        <w:rPr>
          <w:szCs w:val="24"/>
        </w:rPr>
      </w:pPr>
    </w:p>
    <w:p w14:paraId="5F76DE1A" w14:textId="77777777" w:rsidR="00A02DAE" w:rsidRPr="00E72418" w:rsidRDefault="00A02DAE">
      <w:pPr>
        <w:jc w:val="left"/>
        <w:rPr>
          <w:rFonts w:eastAsiaTheme="majorEastAsia" w:cstheme="majorBidi"/>
          <w:b/>
          <w:sz w:val="32"/>
          <w:u w:val="single"/>
        </w:rPr>
      </w:pPr>
      <w:bookmarkStart w:id="455" w:name="_Toc59281025"/>
      <w:bookmarkStart w:id="456" w:name="_Toc84541008"/>
      <w:r w:rsidRPr="00E72418">
        <w:br w:type="page"/>
      </w:r>
    </w:p>
    <w:p w14:paraId="6F515D95" w14:textId="34C40815" w:rsidR="005656FA" w:rsidRPr="00E72418" w:rsidRDefault="008665DF" w:rsidP="00CC4BA8">
      <w:pPr>
        <w:pStyle w:val="EE"/>
        <w:spacing w:line="276" w:lineRule="auto"/>
        <w:jc w:val="left"/>
      </w:pPr>
      <w:r w:rsidRPr="00E72418">
        <w:lastRenderedPageBreak/>
        <w:t xml:space="preserve">Sous-section </w:t>
      </w:r>
      <w:r w:rsidR="0025346E" w:rsidRPr="00E72418">
        <w:t>2</w:t>
      </w:r>
      <w:r w:rsidRPr="00E72418">
        <w:t xml:space="preserve"> : </w:t>
      </w:r>
      <w:bookmarkEnd w:id="455"/>
      <w:r w:rsidR="00967343" w:rsidRPr="00E72418">
        <w:t>Un triple satisfecit</w:t>
      </w:r>
      <w:bookmarkEnd w:id="456"/>
    </w:p>
    <w:p w14:paraId="53F4A0A2" w14:textId="77777777" w:rsidR="007A12E9" w:rsidRPr="00E72418" w:rsidRDefault="007A12E9" w:rsidP="007A12E9"/>
    <w:p w14:paraId="0C8875EB" w14:textId="5C6BCC98" w:rsidR="005656FA" w:rsidRPr="00E72418" w:rsidRDefault="004469AC" w:rsidP="00CC4BA8">
      <w:pPr>
        <w:spacing w:line="276" w:lineRule="auto"/>
      </w:pPr>
      <w:r w:rsidRPr="00E72418">
        <w:rPr>
          <w:b/>
        </w:rPr>
        <w:t>390</w:t>
      </w:r>
      <w:r w:rsidR="00817D62" w:rsidRPr="00E72418">
        <w:rPr>
          <w:b/>
        </w:rPr>
        <w:t xml:space="preserve">. </w:t>
      </w:r>
      <w:r w:rsidR="005656FA" w:rsidRPr="00E72418">
        <w:rPr>
          <w:b/>
        </w:rPr>
        <w:t>L’intervention sur des décisions déjà rendues –</w:t>
      </w:r>
      <w:r w:rsidR="00F1633A" w:rsidRPr="00E72418">
        <w:t xml:space="preserve"> L’</w:t>
      </w:r>
      <w:r w:rsidR="005656FA" w:rsidRPr="00E72418">
        <w:t xml:space="preserve">incidence </w:t>
      </w:r>
      <w:r w:rsidR="00F1633A" w:rsidRPr="00E72418">
        <w:t xml:space="preserve">du </w:t>
      </w:r>
      <w:r w:rsidR="00F1633A" w:rsidRPr="00E72418">
        <w:rPr>
          <w:i/>
        </w:rPr>
        <w:t>Debt Relief (Developing Countries) Act</w:t>
      </w:r>
      <w:r w:rsidR="00F1633A" w:rsidRPr="00E72418">
        <w:rPr>
          <w:b/>
        </w:rPr>
        <w:t xml:space="preserve"> </w:t>
      </w:r>
      <w:r w:rsidR="00967343" w:rsidRPr="00E72418">
        <w:t xml:space="preserve">britannique </w:t>
      </w:r>
      <w:r w:rsidR="005656FA" w:rsidRPr="00E72418">
        <w:t xml:space="preserve">sur </w:t>
      </w:r>
      <w:r w:rsidR="00F1633A" w:rsidRPr="00E72418">
        <w:t>la possible exécution</w:t>
      </w:r>
      <w:r w:rsidR="005656FA" w:rsidRPr="00E72418">
        <w:t xml:space="preserve"> de décisions rendues</w:t>
      </w:r>
      <w:r w:rsidR="00F1633A" w:rsidRPr="00E72418">
        <w:t xml:space="preserve"> pose la question de sa compatibilité avec le droit à un procès équitable</w:t>
      </w:r>
      <w:r w:rsidR="005656FA" w:rsidRPr="00E72418">
        <w:t xml:space="preserve">. </w:t>
      </w:r>
      <w:r w:rsidR="00F1633A" w:rsidRPr="00E72418">
        <w:t>Si l</w:t>
      </w:r>
      <w:r w:rsidR="005656FA" w:rsidRPr="00E72418">
        <w:t>a limitation mise en place par la loi britanni</w:t>
      </w:r>
      <w:r w:rsidR="00F1633A" w:rsidRPr="00E72418">
        <w:t>que est d’application lorsqu’un</w:t>
      </w:r>
      <w:r w:rsidR="005656FA" w:rsidRPr="00E72418">
        <w:t xml:space="preserve"> créancier</w:t>
      </w:r>
      <w:r w:rsidR="00F1633A" w:rsidRPr="00E72418">
        <w:t xml:space="preserve"> recherche la condamnation d’un </w:t>
      </w:r>
      <w:r w:rsidR="005656FA" w:rsidRPr="00E72418">
        <w:rPr>
          <w:rFonts w:cs="Times New Roman"/>
          <w:shd w:val="clear" w:color="auto" w:fill="FFFFFF"/>
        </w:rPr>
        <w:t>É</w:t>
      </w:r>
      <w:r w:rsidR="00F1633A" w:rsidRPr="00E72418">
        <w:t xml:space="preserve">tat débiteur protégé, elle l’est </w:t>
      </w:r>
      <w:r w:rsidR="005656FA" w:rsidRPr="00E72418">
        <w:t xml:space="preserve">également lorsqu’il poursuit l’exécution d’une condamnation déjà obtenue. Ainsi, en application de l’article 5(3) </w:t>
      </w:r>
      <w:r w:rsidR="00967343" w:rsidRPr="00E72418">
        <w:t>de la loi britannique</w:t>
      </w:r>
      <w:r w:rsidR="005656FA" w:rsidRPr="00E72418">
        <w:t xml:space="preserve">, les décisions de condamnation </w:t>
      </w:r>
      <w:r w:rsidR="005656FA" w:rsidRPr="00E72418">
        <w:rPr>
          <w:rFonts w:ascii="Times New Roman" w:hAnsi="Times New Roman"/>
        </w:rPr>
        <w:t>ne peuvent recevoir exécution qu’à hauteur de la limitation à laquelle conduit l’application de la loi</w:t>
      </w:r>
      <w:r w:rsidR="005656FA" w:rsidRPr="00E72418">
        <w:rPr>
          <w:rStyle w:val="Appelnotedebasdep"/>
          <w:rFonts w:ascii="Times New Roman" w:hAnsi="Times New Roman" w:cs="Times New Roman"/>
          <w:szCs w:val="24"/>
        </w:rPr>
        <w:footnoteReference w:id="1973"/>
      </w:r>
      <w:r w:rsidR="005656FA" w:rsidRPr="00E72418">
        <w:t>.</w:t>
      </w:r>
    </w:p>
    <w:p w14:paraId="6A2072AA" w14:textId="77777777" w:rsidR="005656FA" w:rsidRPr="00E72418" w:rsidRDefault="005656FA" w:rsidP="00CC4BA8">
      <w:pPr>
        <w:spacing w:line="276" w:lineRule="auto"/>
      </w:pPr>
      <w:r w:rsidRPr="00E72418">
        <w:t xml:space="preserve">L’analyse des travaux préparatoires de la loi permet de déceler trois arguments au régime mis en place </w:t>
      </w:r>
      <w:r w:rsidR="00F1633A" w:rsidRPr="00E72418">
        <w:t xml:space="preserve">par la législation britannique. </w:t>
      </w:r>
      <w:r w:rsidRPr="00E72418">
        <w:t>Premièrement, la justification de ce que la limitation prévue s’applique à des décisions déjà rendues est celle de l’effectivité de la loi. En effet, le législateur britannique fit le constat que certain</w:t>
      </w:r>
      <w:r w:rsidR="00AA5F94" w:rsidRPr="00E72418">
        <w:t>e</w:t>
      </w:r>
      <w:r w:rsidRPr="00E72418">
        <w:t>s des dettes qu’il entend</w:t>
      </w:r>
      <w:r w:rsidR="00F1633A" w:rsidRPr="00E72418">
        <w:t>ait</w:t>
      </w:r>
      <w:r w:rsidRPr="00E72418">
        <w:t xml:space="preserve"> protéger avaient déjà donné lieu à des contentieux et, par conséquent, à des décisions</w:t>
      </w:r>
      <w:r w:rsidRPr="00E72418">
        <w:rPr>
          <w:rStyle w:val="Appelnotedebasdep"/>
        </w:rPr>
        <w:footnoteReference w:id="1974"/>
      </w:r>
      <w:r w:rsidR="00F1633A" w:rsidRPr="00E72418">
        <w:t xml:space="preserve">. </w:t>
      </w:r>
      <w:r w:rsidRPr="00E72418">
        <w:t xml:space="preserve">Deuxièmement, l’on retrouve dans les notes explicatives de la proposition de loi britannique l’argument justifiant de ce que les créanciers ayant déjà obtenu une condamnation d’un </w:t>
      </w:r>
      <w:r w:rsidRPr="00E72418">
        <w:rPr>
          <w:rFonts w:cs="Times New Roman"/>
          <w:shd w:val="clear" w:color="auto" w:fill="FFFFFF"/>
        </w:rPr>
        <w:t>É</w:t>
      </w:r>
      <w:r w:rsidRPr="00E72418">
        <w:t xml:space="preserve">tat débiteur doivent être traités de la même manière que les créanciers ne s’étant pas engagés dans la voie contentieuse. Comme il y est expliqué, </w:t>
      </w:r>
      <w:r w:rsidRPr="00E72418">
        <w:rPr>
          <w:rFonts w:cs="Times New Roman"/>
        </w:rPr>
        <w:t>« [w]</w:t>
      </w:r>
      <w:r w:rsidRPr="00E72418">
        <w:rPr>
          <w:rFonts w:ascii="Times New Roman" w:hAnsi="Times New Roman" w:cs="Times New Roman"/>
          <w:szCs w:val="24"/>
        </w:rPr>
        <w:t xml:space="preserve">hether or not creditors have gone through the court process, which may have been no more than a formality, is not a robust basis for distinguishing between creditors </w:t>
      </w:r>
      <w:r w:rsidRPr="00E72418">
        <w:rPr>
          <w:rFonts w:cs="Times New Roman"/>
        </w:rPr>
        <w:t>»</w:t>
      </w:r>
      <w:r w:rsidRPr="00E72418">
        <w:rPr>
          <w:rStyle w:val="Appelnotedebasdep"/>
        </w:rPr>
        <w:footnoteReference w:id="1975"/>
      </w:r>
      <w:r w:rsidRPr="00E72418">
        <w:rPr>
          <w:rFonts w:cs="Times New Roman"/>
        </w:rPr>
        <w:t>.</w:t>
      </w:r>
      <w:r w:rsidR="00F1633A" w:rsidRPr="00E72418">
        <w:t xml:space="preserve"> </w:t>
      </w:r>
      <w:r w:rsidR="00F1633A" w:rsidRPr="00E72418">
        <w:rPr>
          <w:rFonts w:cs="Times New Roman"/>
        </w:rPr>
        <w:t>Troisièmement et finalement,</w:t>
      </w:r>
      <w:r w:rsidRPr="00E72418">
        <w:rPr>
          <w:rFonts w:cs="Times New Roman"/>
        </w:rPr>
        <w:t xml:space="preserve"> l</w:t>
      </w:r>
      <w:r w:rsidR="00F1633A" w:rsidRPr="00E72418">
        <w:t>e législateur britannique justifia</w:t>
      </w:r>
      <w:r w:rsidRPr="00E72418">
        <w:t xml:space="preserve"> de </w:t>
      </w:r>
      <w:r w:rsidR="00F1633A" w:rsidRPr="00E72418">
        <w:t>sa mesure</w:t>
      </w:r>
      <w:r w:rsidRPr="00E72418">
        <w:t xml:space="preserve"> par la marge d’appréciation qui lui était concédée. Ainsi, les notes explicatives de la pr</w:t>
      </w:r>
      <w:r w:rsidR="0004079A" w:rsidRPr="00E72418">
        <w:t>oposition de loi indiquaient qu’</w:t>
      </w:r>
      <w:r w:rsidRPr="00E72418">
        <w:t xml:space="preserve"> «</w:t>
      </w:r>
      <w:r w:rsidRPr="00E72418">
        <w:rPr>
          <w:rFonts w:ascii="Times New Roman" w:hAnsi="Times New Roman" w:cs="Times New Roman"/>
          <w:szCs w:val="24"/>
        </w:rPr>
        <w:t xml:space="preserve"> </w:t>
      </w:r>
      <w:r w:rsidRPr="00E72418">
        <w:rPr>
          <w:rFonts w:cs="Times New Roman"/>
        </w:rPr>
        <w:t>[i]</w:t>
      </w:r>
      <w:r w:rsidRPr="00E72418">
        <w:rPr>
          <w:rFonts w:ascii="Times New Roman" w:hAnsi="Times New Roman" w:cs="Times New Roman"/>
          <w:szCs w:val="24"/>
        </w:rPr>
        <w:t>t would be inconsistent for the state to</w:t>
      </w:r>
      <w:r w:rsidRPr="00E72418">
        <w:t xml:space="preserve"> </w:t>
      </w:r>
      <w:r w:rsidRPr="00E72418">
        <w:rPr>
          <w:rFonts w:ascii="Times New Roman" w:hAnsi="Times New Roman" w:cs="Times New Roman"/>
          <w:szCs w:val="24"/>
        </w:rPr>
        <w:t xml:space="preserve">be given a wide margin of appreciation in relation to </w:t>
      </w:r>
      <w:r w:rsidRPr="00E72418">
        <w:rPr>
          <w:rFonts w:cs="Times New Roman"/>
        </w:rPr>
        <w:t>[</w:t>
      </w:r>
      <w:r w:rsidRPr="00E72418">
        <w:rPr>
          <w:rFonts w:ascii="Times New Roman" w:hAnsi="Times New Roman" w:cs="Times New Roman"/>
          <w:szCs w:val="24"/>
        </w:rPr>
        <w:t>Article 1 of the First Protocol to the Convention</w:t>
      </w:r>
      <w:r w:rsidRPr="00E72418">
        <w:rPr>
          <w:rFonts w:cs="Times New Roman"/>
        </w:rPr>
        <w:t>]</w:t>
      </w:r>
      <w:r w:rsidRPr="00E72418">
        <w:rPr>
          <w:rFonts w:ascii="Times New Roman" w:hAnsi="Times New Roman" w:cs="Times New Roman"/>
          <w:szCs w:val="24"/>
        </w:rPr>
        <w:t xml:space="preserve"> for judgment debts, but to</w:t>
      </w:r>
      <w:r w:rsidRPr="00E72418">
        <w:t xml:space="preserve"> </w:t>
      </w:r>
      <w:r w:rsidRPr="00E72418">
        <w:rPr>
          <w:rFonts w:ascii="Times New Roman" w:hAnsi="Times New Roman" w:cs="Times New Roman"/>
          <w:szCs w:val="24"/>
        </w:rPr>
        <w:t>be subject to an absolute prohibition when controlling the use of judgment debts by the</w:t>
      </w:r>
      <w:r w:rsidRPr="00E72418">
        <w:t xml:space="preserve"> </w:t>
      </w:r>
      <w:r w:rsidRPr="00E72418">
        <w:rPr>
          <w:rFonts w:ascii="Times New Roman" w:hAnsi="Times New Roman" w:cs="Times New Roman"/>
          <w:szCs w:val="24"/>
        </w:rPr>
        <w:t xml:space="preserve">terms of Article 6 </w:t>
      </w:r>
      <w:r w:rsidRPr="00E72418">
        <w:rPr>
          <w:rFonts w:cs="Times New Roman"/>
        </w:rPr>
        <w:t>»</w:t>
      </w:r>
      <w:r w:rsidRPr="00E72418">
        <w:rPr>
          <w:rStyle w:val="Appelnotedebasdep"/>
        </w:rPr>
        <w:footnoteReference w:id="1976"/>
      </w:r>
      <w:r w:rsidRPr="00E72418">
        <w:rPr>
          <w:rFonts w:cs="Times New Roman"/>
        </w:rPr>
        <w:t>.</w:t>
      </w:r>
    </w:p>
    <w:p w14:paraId="790C6149" w14:textId="77777777" w:rsidR="0020386F" w:rsidRPr="00E72418" w:rsidRDefault="0020386F" w:rsidP="00CC4BA8">
      <w:pPr>
        <w:spacing w:line="276" w:lineRule="auto"/>
      </w:pPr>
    </w:p>
    <w:p w14:paraId="6AFD3882" w14:textId="3051C05A" w:rsidR="005656FA" w:rsidRPr="00E72418" w:rsidRDefault="004469AC" w:rsidP="00CC4BA8">
      <w:pPr>
        <w:spacing w:line="276" w:lineRule="auto"/>
      </w:pPr>
      <w:r w:rsidRPr="00E72418">
        <w:rPr>
          <w:b/>
        </w:rPr>
        <w:t>391</w:t>
      </w:r>
      <w:r w:rsidR="00817D62" w:rsidRPr="00E72418">
        <w:rPr>
          <w:b/>
        </w:rPr>
        <w:t xml:space="preserve">. </w:t>
      </w:r>
      <w:r w:rsidR="005656FA" w:rsidRPr="00E72418">
        <w:rPr>
          <w:b/>
        </w:rPr>
        <w:t xml:space="preserve">La limitation légitime de la prétention – </w:t>
      </w:r>
      <w:r w:rsidR="005656FA" w:rsidRPr="00E72418">
        <w:t>Dans son recours introduit à l’encontre de la loi</w:t>
      </w:r>
      <w:r w:rsidR="00F1633A" w:rsidRPr="00E72418">
        <w:t xml:space="preserve"> anti-fonds spéculatifs</w:t>
      </w:r>
      <w:r w:rsidR="005656FA" w:rsidRPr="00E72418">
        <w:t xml:space="preserve"> belge du 12 juillet 2015, la société </w:t>
      </w:r>
      <w:r w:rsidR="005656FA" w:rsidRPr="00E72418">
        <w:rPr>
          <w:i/>
        </w:rPr>
        <w:t>NML Capital Ltd.</w:t>
      </w:r>
      <w:r w:rsidR="005656FA" w:rsidRPr="00E72418">
        <w:t xml:space="preserve"> soulevait la violation </w:t>
      </w:r>
      <w:r w:rsidR="00F1633A" w:rsidRPr="00E72418">
        <w:t>de l’article 6, §1</w:t>
      </w:r>
      <w:r w:rsidR="00F1633A" w:rsidRPr="00E72418">
        <w:rPr>
          <w:vertAlign w:val="superscript"/>
        </w:rPr>
        <w:t>er</w:t>
      </w:r>
      <w:r w:rsidR="00F1633A" w:rsidRPr="00E72418">
        <w:t xml:space="preserve">, de la Convention européenne des droits de l’homme </w:t>
      </w:r>
      <w:r w:rsidR="005656FA" w:rsidRPr="00E72418">
        <w:t>par l’article 2, alinéa 2, de l</w:t>
      </w:r>
      <w:r w:rsidR="006D7551" w:rsidRPr="00E72418">
        <w:t xml:space="preserve">a loi </w:t>
      </w:r>
      <w:r w:rsidR="00F1633A" w:rsidRPr="00E72418">
        <w:t>au motif que ce dernier</w:t>
      </w:r>
      <w:r w:rsidR="005656FA" w:rsidRPr="00E72418">
        <w:t xml:space="preserve"> empêcherait celui </w:t>
      </w:r>
      <w:r w:rsidR="00F1633A" w:rsidRPr="00E72418">
        <w:t>ayant</w:t>
      </w:r>
      <w:r w:rsidR="005656FA" w:rsidRPr="00E72418">
        <w:t xml:space="preserve"> racheté une créance sur un </w:t>
      </w:r>
      <w:r w:rsidR="005656FA" w:rsidRPr="00E72418">
        <w:rPr>
          <w:rFonts w:cs="Times New Roman"/>
          <w:szCs w:val="24"/>
        </w:rPr>
        <w:t>É</w:t>
      </w:r>
      <w:r w:rsidR="005656FA" w:rsidRPr="00E72418">
        <w:t xml:space="preserve">tat </w:t>
      </w:r>
      <w:r w:rsidR="005656FA" w:rsidRPr="00E72418">
        <w:lastRenderedPageBreak/>
        <w:t>d’obtenir d’un tribunal belge l’exécution d’un jugement prononcé à l’étranger à propos de cette créance</w:t>
      </w:r>
      <w:r w:rsidR="005656FA" w:rsidRPr="00E72418">
        <w:rPr>
          <w:rStyle w:val="Appelnotedebasdep"/>
          <w:rFonts w:cs="Times New Roman"/>
          <w:szCs w:val="24"/>
        </w:rPr>
        <w:footnoteReference w:id="1977"/>
      </w:r>
      <w:r w:rsidR="005656FA" w:rsidRPr="00E72418">
        <w:t>.</w:t>
      </w:r>
    </w:p>
    <w:p w14:paraId="0F6DD156" w14:textId="239A2E96" w:rsidR="005656FA" w:rsidRPr="00E72418" w:rsidRDefault="00F1633A" w:rsidP="00CC4BA8">
      <w:pPr>
        <w:spacing w:line="276" w:lineRule="auto"/>
      </w:pPr>
      <w:r w:rsidRPr="00E72418">
        <w:t>Dans son arrêt du 31 mai 2018, l</w:t>
      </w:r>
      <w:r w:rsidR="005656FA" w:rsidRPr="00E72418">
        <w:t xml:space="preserve">a Cour </w:t>
      </w:r>
      <w:r w:rsidRPr="00E72418">
        <w:t xml:space="preserve">constitutionnelle saisie du recours </w:t>
      </w:r>
      <w:r w:rsidR="005656FA" w:rsidRPr="00E72418">
        <w:t xml:space="preserve">ne fit pas droit à l’argument de la société requérante retenant que la disposition </w:t>
      </w:r>
      <w:r w:rsidRPr="00E72418">
        <w:t xml:space="preserve">européenne </w:t>
      </w:r>
      <w:r w:rsidR="005656FA" w:rsidRPr="00E72418">
        <w:t xml:space="preserve">n’était pas violée. La Cour rappela que le droit d’accès à un tribunal qui protège le droit d’accès à une procédure d’exécution n’est pas absolu et qu’il peut faire l’objet de limitations. La Cour </w:t>
      </w:r>
      <w:r w:rsidRPr="00E72418">
        <w:t>poursuivit en indiquant</w:t>
      </w:r>
      <w:r w:rsidR="005656FA" w:rsidRPr="00E72418">
        <w:t xml:space="preserve"> que l’article 2, alinéa 2, de la loi critiquée n’empêche pas le créancier qui a racheté une créance sur un </w:t>
      </w:r>
      <w:r w:rsidR="005656FA" w:rsidRPr="00E72418">
        <w:rPr>
          <w:rFonts w:cs="Times New Roman"/>
          <w:szCs w:val="24"/>
        </w:rPr>
        <w:t>É</w:t>
      </w:r>
      <w:r w:rsidR="005656FA" w:rsidRPr="00E72418">
        <w:t xml:space="preserve">tat autre que la Belgique de saisir un tribunal belge en vue d’obtenir l’exécution d’un jugement étranger relatif à </w:t>
      </w:r>
      <w:r w:rsidR="00466CAE" w:rsidRPr="00E72418">
        <w:t>celle-ci</w:t>
      </w:r>
      <w:r w:rsidR="005656FA" w:rsidRPr="00E72418">
        <w:t xml:space="preserve"> </w:t>
      </w:r>
      <w:r w:rsidR="00466CAE" w:rsidRPr="00E72418">
        <w:t>mais que la disposition limite s</w:t>
      </w:r>
      <w:r w:rsidR="005656FA" w:rsidRPr="00E72418">
        <w:t xml:space="preserve">a prétention </w:t>
      </w:r>
      <w:r w:rsidR="00466CAE" w:rsidRPr="00E72418">
        <w:t>à son</w:t>
      </w:r>
      <w:r w:rsidR="005656FA" w:rsidRPr="00E72418">
        <w:t xml:space="preserve"> prix de rachat de sorte qu’elle interdit au tribunal de déclarer un jugement exécutoire en Belgique ou d’autoriser une mesure </w:t>
      </w:r>
      <w:r w:rsidR="00466CAE" w:rsidRPr="00E72418">
        <w:t>de contrainte</w:t>
      </w:r>
      <w:r w:rsidR="005656FA" w:rsidRPr="00E72418">
        <w:t xml:space="preserve"> sur la partie supérieure au prix d</w:t>
      </w:r>
      <w:r w:rsidR="00466CAE" w:rsidRPr="00E72418">
        <w:t>e rachat</w:t>
      </w:r>
      <w:r w:rsidR="00B66150" w:rsidRPr="00E72418">
        <w:t>,</w:t>
      </w:r>
      <w:r w:rsidR="00466CAE" w:rsidRPr="00E72418">
        <w:t xml:space="preserve"> et ce, pour celui qui </w:t>
      </w:r>
      <w:r w:rsidR="005656FA" w:rsidRPr="00E72418">
        <w:t>recherche un avantage illégitime. De l’avis de la Cour constitutionnelle</w:t>
      </w:r>
      <w:r w:rsidR="00466CAE" w:rsidRPr="00E72418">
        <w:t xml:space="preserve"> belge</w:t>
      </w:r>
      <w:r w:rsidR="005656FA" w:rsidRPr="00E72418">
        <w:t xml:space="preserve">, </w:t>
      </w:r>
      <w:r w:rsidR="00466CAE" w:rsidRPr="00E72418">
        <w:t>la</w:t>
      </w:r>
      <w:r w:rsidR="005656FA" w:rsidRPr="00E72418">
        <w:t xml:space="preserve"> restriction</w:t>
      </w:r>
      <w:r w:rsidR="00466CAE" w:rsidRPr="00E72418">
        <w:t xml:space="preserve"> posée par la loi du 12 juillet 2015 relative à la lutte contre les activités des fonds vautours</w:t>
      </w:r>
      <w:r w:rsidR="005656FA" w:rsidRPr="00E72418">
        <w:t xml:space="preserve"> est dans un rapport raisonnable de proportionnalité avec l’objectif de lutte contre les activités de certains fonds d’investissement qui rachètent à bas prix des créances ou des obligations dont les débiteurs sont des </w:t>
      </w:r>
      <w:r w:rsidR="005656FA" w:rsidRPr="00E72418">
        <w:rPr>
          <w:rFonts w:cs="Times New Roman"/>
          <w:szCs w:val="24"/>
        </w:rPr>
        <w:t>É</w:t>
      </w:r>
      <w:r w:rsidR="005656FA" w:rsidRPr="00E72418">
        <w:t>tats en difficulté pour ensuite en poursuivre le remboursement à leur valeur nominale majorée le cas échéant d’intérêts ou de pénalités en spéculant sur un mieux-être à venir</w:t>
      </w:r>
      <w:r w:rsidR="005656FA" w:rsidRPr="00E72418">
        <w:rPr>
          <w:rStyle w:val="Appelnotedebasdep"/>
        </w:rPr>
        <w:footnoteReference w:id="1978"/>
      </w:r>
      <w:r w:rsidR="005656FA" w:rsidRPr="00E72418">
        <w:t>.</w:t>
      </w:r>
    </w:p>
    <w:p w14:paraId="0EF57834" w14:textId="77777777" w:rsidR="005656FA" w:rsidRPr="00E72418" w:rsidRDefault="005656FA" w:rsidP="00CC4BA8">
      <w:pPr>
        <w:spacing w:line="276" w:lineRule="auto"/>
      </w:pPr>
    </w:p>
    <w:p w14:paraId="7A1128DF" w14:textId="570C231A" w:rsidR="00C15BF1" w:rsidRPr="00E72418" w:rsidRDefault="00712571" w:rsidP="00CC4BA8">
      <w:pPr>
        <w:spacing w:line="276" w:lineRule="auto"/>
      </w:pPr>
      <w:r w:rsidRPr="00E72418">
        <w:rPr>
          <w:b/>
        </w:rPr>
        <w:t>39</w:t>
      </w:r>
      <w:r w:rsidR="004469AC" w:rsidRPr="00E72418">
        <w:rPr>
          <w:b/>
        </w:rPr>
        <w:t>2</w:t>
      </w:r>
      <w:r w:rsidR="00817D62" w:rsidRPr="00E72418">
        <w:rPr>
          <w:b/>
        </w:rPr>
        <w:t xml:space="preserve">. </w:t>
      </w:r>
      <w:r w:rsidR="005656FA" w:rsidRPr="00E72418">
        <w:rPr>
          <w:b/>
        </w:rPr>
        <w:t>L’utile autorisation judiciaire préalable –</w:t>
      </w:r>
      <w:r w:rsidR="005656FA" w:rsidRPr="00E72418">
        <w:t xml:space="preserve"> </w:t>
      </w:r>
      <w:r w:rsidR="0084770B" w:rsidRPr="00E72418">
        <w:t xml:space="preserve">Dans l’exposé des motifs du projet de loi à l’origine de la loi </w:t>
      </w:r>
      <w:r w:rsidR="00C15BF1" w:rsidRPr="00E72418">
        <w:t>Sapin II</w:t>
      </w:r>
      <w:r w:rsidR="00886646" w:rsidRPr="00E72418">
        <w:t xml:space="preserve"> française</w:t>
      </w:r>
      <w:r w:rsidR="0084770B" w:rsidRPr="00E72418">
        <w:t xml:space="preserve">, </w:t>
      </w:r>
      <w:r w:rsidR="00C15BF1" w:rsidRPr="00E72418">
        <w:t xml:space="preserve">il était relevé </w:t>
      </w:r>
      <w:r w:rsidR="0084770B" w:rsidRPr="00E72418">
        <w:t>l’importance du respect de « l’équilibre résultant de la Convention européenne des droits de l’homme, qui voit dans l’exécution</w:t>
      </w:r>
      <w:r w:rsidR="0084770B" w:rsidRPr="00E72418">
        <w:rPr>
          <w:rFonts w:cs="Times New Roman"/>
        </w:rPr>
        <w:t xml:space="preserve"> des décisions de justice une composante du procès équitable, dont les restrictions doivent rester légitimes et proportionnées à l’objectif poursuivi de respect du droit international »</w:t>
      </w:r>
      <w:r w:rsidR="0084770B" w:rsidRPr="00E72418">
        <w:rPr>
          <w:rStyle w:val="Appelnotedebasdep"/>
          <w:szCs w:val="24"/>
        </w:rPr>
        <w:footnoteReference w:id="1979"/>
      </w:r>
      <w:r w:rsidR="0084770B" w:rsidRPr="00E72418">
        <w:t xml:space="preserve">. </w:t>
      </w:r>
    </w:p>
    <w:p w14:paraId="7F59E5E0" w14:textId="0F2D975B" w:rsidR="005656FA" w:rsidRPr="00E72418" w:rsidRDefault="005656FA" w:rsidP="00CC4BA8">
      <w:pPr>
        <w:spacing w:line="276" w:lineRule="auto"/>
      </w:pPr>
      <w:r w:rsidRPr="00E72418">
        <w:t>Dès lors qu’en matière</w:t>
      </w:r>
      <w:r w:rsidR="00C15BF1" w:rsidRPr="00E72418">
        <w:t xml:space="preserve"> d’immunités étatiques</w:t>
      </w:r>
      <w:r w:rsidRPr="00E72418">
        <w:t xml:space="preserve">, la Convention des Nations Unies sur les immunités juridictionnelles des </w:t>
      </w:r>
      <w:r w:rsidRPr="00E72418">
        <w:rPr>
          <w:rFonts w:cs="Times New Roman"/>
          <w:shd w:val="clear" w:color="auto" w:fill="FFFFFF"/>
        </w:rPr>
        <w:t>É</w:t>
      </w:r>
      <w:r w:rsidRPr="00E72418">
        <w:t xml:space="preserve">tats et de leurs biens du 2 décembre 2004 est censée traduire les règles de droit international généralement reconnues, l’on peut s’interroger sur l’exigence de l’autorisation judiciaire préalable </w:t>
      </w:r>
      <w:r w:rsidR="00C15BF1" w:rsidRPr="00E72418">
        <w:t>retenue par la loi Sapin II,</w:t>
      </w:r>
      <w:r w:rsidRPr="00E72418">
        <w:t xml:space="preserve"> laquelle </w:t>
      </w:r>
      <w:r w:rsidR="00C15BF1" w:rsidRPr="00E72418">
        <w:t xml:space="preserve">autorisation est pourtant absente de </w:t>
      </w:r>
      <w:r w:rsidRPr="00E72418">
        <w:t>la Convention</w:t>
      </w:r>
      <w:r w:rsidRPr="00E72418">
        <w:rPr>
          <w:rStyle w:val="Appelnotedebasdep"/>
        </w:rPr>
        <w:footnoteReference w:id="1980"/>
      </w:r>
      <w:r w:rsidR="00674C1A" w:rsidRPr="00E72418">
        <w:t>.</w:t>
      </w:r>
      <w:r w:rsidR="00C15BF1" w:rsidRPr="00E72418">
        <w:t xml:space="preserve"> </w:t>
      </w:r>
      <w:r w:rsidRPr="00E72418">
        <w:t xml:space="preserve">Des sénateurs français déférèrent la loi votée au Conseil constitutionnel soutenant que ses articles 59 et 60 méconnaissent le droit à obtenir l’exécution des décisions juridictionnelles, dans la mesure où ils imposent une autorisation judiciaire </w:t>
      </w:r>
      <w:r w:rsidRPr="00E72418">
        <w:lastRenderedPageBreak/>
        <w:t>préalable à la mise en œuvre de toute mesure conservatoire ou d’exécution forcée</w:t>
      </w:r>
      <w:r w:rsidRPr="00E72418">
        <w:rPr>
          <w:rStyle w:val="Appelnotedebasdep"/>
        </w:rPr>
        <w:footnoteReference w:id="1981"/>
      </w:r>
      <w:r w:rsidRPr="00E72418">
        <w:t>. Le Conseil constitutionnel avança différents arguments pour conclure que les dispositions contestées ne méconnaissent pas ce droit et qu’elles sont par conséquent conformes à la Constitution française</w:t>
      </w:r>
      <w:r w:rsidRPr="00E72418">
        <w:rPr>
          <w:rStyle w:val="Appelnotedebasdep"/>
        </w:rPr>
        <w:footnoteReference w:id="1982"/>
      </w:r>
      <w:r w:rsidRPr="00E72418">
        <w:t xml:space="preserve">. D’abord, le Conseil constitutionnel souligna que le législateur a poursuivi un objectif d’intérêt général en cherchant à protéger la propriété des personnes publiques étrangères, singulièrement </w:t>
      </w:r>
      <w:r w:rsidRPr="00E72418">
        <w:rPr>
          <w:shd w:val="clear" w:color="auto" w:fill="FFFFFF"/>
        </w:rPr>
        <w:t>les b</w:t>
      </w:r>
      <w:r w:rsidR="0084770B" w:rsidRPr="00E72418">
        <w:rPr>
          <w:shd w:val="clear" w:color="auto" w:fill="FFFFFF"/>
        </w:rPr>
        <w:t>iens des États bénéficiant de l’</w:t>
      </w:r>
      <w:r w:rsidRPr="00E72418">
        <w:rPr>
          <w:shd w:val="clear" w:color="auto" w:fill="FFFFFF"/>
        </w:rPr>
        <w:t>aide publique au développement et exposés à des difficultés financières,</w:t>
      </w:r>
      <w:r w:rsidR="00C15BF1" w:rsidRPr="00E72418">
        <w:t xml:space="preserve"> par un contrôle judiciaire renforcé</w:t>
      </w:r>
      <w:r w:rsidRPr="00E72418">
        <w:t xml:space="preserve"> sur les mesures de contrainte. Ensuite, le Conseil fit valoir, d’une part, que les dispositions contestées permettent à certaines conditions la mise en œuvre de mesures de contrainte, d’aut</w:t>
      </w:r>
      <w:r w:rsidR="00C15BF1" w:rsidRPr="00E72418">
        <w:t>re part, que les créanciers des</w:t>
      </w:r>
      <w:r w:rsidRPr="00E72418">
        <w:t xml:space="preserve"> État</w:t>
      </w:r>
      <w:r w:rsidR="00C15BF1" w:rsidRPr="00E72418">
        <w:t>s</w:t>
      </w:r>
      <w:r w:rsidRPr="00E72418">
        <w:t xml:space="preserve"> figurant sur la liste des bénéficiaires de l’aide publique au développement ne sont privés de la possibilité d’obtenir la mise en œuvre de telles mesures que dans « des conditions strictement définies ». En troisième lieu, il fut relevé que l’autorisation préalable judiciaire exigée étant accordée par décision rendue non contradictoirement, les créanciers </w:t>
      </w:r>
      <w:r w:rsidR="0084770B" w:rsidRPr="00E72418">
        <w:t>sont</w:t>
      </w:r>
      <w:r w:rsidRPr="00E72418">
        <w:t xml:space="preserve"> préservés d’un déplacement des biens visés par la mesure sollicitée. Finalement, le Conseil constitutionnel releva que le juge chargé d’autoriser la mesure s’assure uniquement que les conditions lég</w:t>
      </w:r>
      <w:r w:rsidR="007A7FE2" w:rsidRPr="00E72418">
        <w:t>ales de celle-ci sont remplies.</w:t>
      </w:r>
    </w:p>
    <w:p w14:paraId="63143A86" w14:textId="77777777" w:rsidR="00934A9E" w:rsidRPr="00E72418" w:rsidRDefault="00934A9E" w:rsidP="00CC4BA8">
      <w:pPr>
        <w:spacing w:line="276" w:lineRule="auto"/>
      </w:pPr>
    </w:p>
    <w:p w14:paraId="181A5D78" w14:textId="100F2561" w:rsidR="005656FA" w:rsidRPr="00E72418" w:rsidRDefault="005656FA" w:rsidP="00CC4BA8">
      <w:pPr>
        <w:pStyle w:val="BB"/>
        <w:spacing w:line="276" w:lineRule="auto"/>
      </w:pPr>
      <w:bookmarkStart w:id="457" w:name="_Toc37777431"/>
      <w:bookmarkStart w:id="458" w:name="_Toc59281030"/>
      <w:bookmarkStart w:id="459" w:name="_Toc75106115"/>
      <w:bookmarkStart w:id="460" w:name="_Toc84541009"/>
      <w:r w:rsidRPr="00E72418">
        <w:t xml:space="preserve">Conclusion de la </w:t>
      </w:r>
      <w:bookmarkEnd w:id="457"/>
      <w:r w:rsidR="00F10F7D" w:rsidRPr="00E72418">
        <w:t>partie II</w:t>
      </w:r>
      <w:r w:rsidR="00287754" w:rsidRPr="00E72418">
        <w:t xml:space="preserve"> – </w:t>
      </w:r>
      <w:r w:rsidR="00F10F7D" w:rsidRPr="00E72418">
        <w:t>sous-partie</w:t>
      </w:r>
      <w:r w:rsidR="00287754" w:rsidRPr="00E72418">
        <w:t xml:space="preserve"> 1</w:t>
      </w:r>
      <w:bookmarkEnd w:id="458"/>
      <w:bookmarkEnd w:id="459"/>
      <w:bookmarkEnd w:id="460"/>
    </w:p>
    <w:p w14:paraId="46807958" w14:textId="77777777" w:rsidR="005656FA" w:rsidRPr="00E72418" w:rsidRDefault="005656FA" w:rsidP="00CC4BA8">
      <w:pPr>
        <w:spacing w:line="276" w:lineRule="auto"/>
      </w:pPr>
    </w:p>
    <w:p w14:paraId="49BBFA03" w14:textId="68C59272" w:rsidR="00D54005" w:rsidRPr="00E72418" w:rsidRDefault="004469AC" w:rsidP="00CC4BA8">
      <w:pPr>
        <w:spacing w:line="276" w:lineRule="auto"/>
        <w:rPr>
          <w:rFonts w:ascii="Times New Roman" w:hAnsi="Times New Roman" w:cs="Times New Roman"/>
          <w:szCs w:val="24"/>
        </w:rPr>
      </w:pPr>
      <w:r w:rsidRPr="00E72418">
        <w:rPr>
          <w:rFonts w:ascii="Times New Roman" w:hAnsi="Times New Roman" w:cs="Times New Roman"/>
          <w:b/>
          <w:szCs w:val="24"/>
        </w:rPr>
        <w:t>393</w:t>
      </w:r>
      <w:r w:rsidR="00817D62" w:rsidRPr="00E72418">
        <w:rPr>
          <w:rFonts w:ascii="Times New Roman" w:hAnsi="Times New Roman" w:cs="Times New Roman"/>
          <w:b/>
          <w:szCs w:val="24"/>
        </w:rPr>
        <w:t xml:space="preserve">. </w:t>
      </w:r>
      <w:r w:rsidR="006E1BBD" w:rsidRPr="00E72418">
        <w:rPr>
          <w:rFonts w:ascii="Times New Roman" w:hAnsi="Times New Roman" w:cs="Times New Roman"/>
          <w:b/>
          <w:szCs w:val="20"/>
        </w:rPr>
        <w:t xml:space="preserve">« L’émergence d’un “ordre public de la dette souveraine” » </w:t>
      </w:r>
      <w:r w:rsidR="00D767F3" w:rsidRPr="00E72418">
        <w:rPr>
          <w:rFonts w:ascii="Times New Roman" w:hAnsi="Times New Roman" w:cs="Times New Roman"/>
          <w:b/>
          <w:szCs w:val="24"/>
        </w:rPr>
        <w:t>–</w:t>
      </w:r>
      <w:r w:rsidR="00FF6A0A" w:rsidRPr="00E72418">
        <w:rPr>
          <w:rFonts w:ascii="Times New Roman" w:hAnsi="Times New Roman" w:cs="Times New Roman"/>
          <w:szCs w:val="24"/>
        </w:rPr>
        <w:t xml:space="preserve"> Dans l’attente d’une </w:t>
      </w:r>
      <w:r w:rsidR="004F151F" w:rsidRPr="00E72418">
        <w:rPr>
          <w:rFonts w:ascii="Times New Roman" w:hAnsi="Times New Roman" w:cs="Times New Roman"/>
          <w:szCs w:val="24"/>
        </w:rPr>
        <w:t xml:space="preserve">complète </w:t>
      </w:r>
      <w:r w:rsidR="004F7711" w:rsidRPr="00E72418">
        <w:rPr>
          <w:rFonts w:ascii="Times New Roman" w:hAnsi="Times New Roman" w:cs="Times New Roman"/>
          <w:szCs w:val="24"/>
        </w:rPr>
        <w:t xml:space="preserve">appréhension </w:t>
      </w:r>
      <w:r w:rsidR="004F151F" w:rsidRPr="00E72418">
        <w:rPr>
          <w:rFonts w:ascii="Times New Roman" w:hAnsi="Times New Roman" w:cs="Times New Roman"/>
          <w:szCs w:val="24"/>
        </w:rPr>
        <w:t xml:space="preserve">des activités spéculatives sur les dettes souveraines via des solutions indirectes telles l’adoption d’un mécanisme régulant les restructurations </w:t>
      </w:r>
      <w:r w:rsidR="00153288" w:rsidRPr="00E72418">
        <w:rPr>
          <w:rFonts w:ascii="Times New Roman" w:hAnsi="Times New Roman" w:cs="Times New Roman"/>
          <w:szCs w:val="24"/>
        </w:rPr>
        <w:t>ou</w:t>
      </w:r>
      <w:r w:rsidR="00792223">
        <w:rPr>
          <w:rFonts w:ascii="Times New Roman" w:hAnsi="Times New Roman" w:cs="Times New Roman"/>
          <w:szCs w:val="24"/>
        </w:rPr>
        <w:t xml:space="preserve"> la pleine </w:t>
      </w:r>
      <w:r w:rsidR="004F151F" w:rsidRPr="00E72418">
        <w:rPr>
          <w:rFonts w:ascii="Times New Roman" w:hAnsi="Times New Roman" w:cs="Times New Roman"/>
          <w:szCs w:val="24"/>
        </w:rPr>
        <w:t>adaptation des contrats</w:t>
      </w:r>
      <w:r w:rsidR="00153288" w:rsidRPr="00E72418">
        <w:rPr>
          <w:rFonts w:ascii="Times New Roman" w:hAnsi="Times New Roman" w:cs="Times New Roman"/>
          <w:szCs w:val="24"/>
        </w:rPr>
        <w:t xml:space="preserve"> matérialisant ces dettes</w:t>
      </w:r>
      <w:r w:rsidR="004F151F" w:rsidRPr="00E72418">
        <w:rPr>
          <w:rFonts w:ascii="Times New Roman" w:hAnsi="Times New Roman" w:cs="Times New Roman"/>
          <w:szCs w:val="24"/>
        </w:rPr>
        <w:t>, des législa</w:t>
      </w:r>
      <w:r w:rsidR="00153288" w:rsidRPr="00E72418">
        <w:rPr>
          <w:rFonts w:ascii="Times New Roman" w:hAnsi="Times New Roman" w:cs="Times New Roman"/>
          <w:szCs w:val="24"/>
        </w:rPr>
        <w:t xml:space="preserve">teurs nationaux se sont engagés, </w:t>
      </w:r>
      <w:r w:rsidR="004F151F" w:rsidRPr="00E72418">
        <w:rPr>
          <w:rFonts w:ascii="Times New Roman" w:hAnsi="Times New Roman" w:cs="Times New Roman"/>
          <w:szCs w:val="24"/>
        </w:rPr>
        <w:t>depuis une dizaine d’années</w:t>
      </w:r>
      <w:r w:rsidR="00153288" w:rsidRPr="00E72418">
        <w:rPr>
          <w:rFonts w:ascii="Times New Roman" w:hAnsi="Times New Roman" w:cs="Times New Roman"/>
          <w:szCs w:val="24"/>
        </w:rPr>
        <w:t>,</w:t>
      </w:r>
      <w:r w:rsidR="004F151F" w:rsidRPr="00E72418">
        <w:rPr>
          <w:rFonts w:ascii="Times New Roman" w:hAnsi="Times New Roman" w:cs="Times New Roman"/>
          <w:szCs w:val="24"/>
        </w:rPr>
        <w:t xml:space="preserve"> dans la voie d’une </w:t>
      </w:r>
      <w:r w:rsidR="004F7711" w:rsidRPr="00E72418">
        <w:rPr>
          <w:rFonts w:ascii="Times New Roman" w:hAnsi="Times New Roman" w:cs="Times New Roman"/>
          <w:szCs w:val="24"/>
        </w:rPr>
        <w:t xml:space="preserve">réglementation </w:t>
      </w:r>
      <w:r w:rsidR="004F151F" w:rsidRPr="00E72418">
        <w:rPr>
          <w:rFonts w:ascii="Times New Roman" w:hAnsi="Times New Roman" w:cs="Times New Roman"/>
          <w:szCs w:val="24"/>
        </w:rPr>
        <w:t xml:space="preserve">directe en adoptant des </w:t>
      </w:r>
      <w:r w:rsidR="00153288" w:rsidRPr="00E72418">
        <w:rPr>
          <w:rFonts w:ascii="Times New Roman" w:hAnsi="Times New Roman" w:cs="Times New Roman"/>
          <w:szCs w:val="24"/>
        </w:rPr>
        <w:t>mécanismes</w:t>
      </w:r>
      <w:r w:rsidR="004F151F" w:rsidRPr="00E72418">
        <w:rPr>
          <w:rFonts w:ascii="Times New Roman" w:hAnsi="Times New Roman" w:cs="Times New Roman"/>
          <w:szCs w:val="24"/>
        </w:rPr>
        <w:t xml:space="preserve"> anti-fonds spéculatifs. </w:t>
      </w:r>
      <w:r w:rsidR="00D54005" w:rsidRPr="00E72418">
        <w:rPr>
          <w:rFonts w:ascii="Times New Roman" w:hAnsi="Times New Roman" w:cs="Times New Roman"/>
          <w:szCs w:val="24"/>
        </w:rPr>
        <w:t xml:space="preserve">S’il n’apparaît pas que </w:t>
      </w:r>
      <w:r w:rsidR="00240EEF" w:rsidRPr="00E72418">
        <w:rPr>
          <w:rFonts w:ascii="Times New Roman" w:hAnsi="Times New Roman" w:cs="Times New Roman"/>
          <w:szCs w:val="24"/>
        </w:rPr>
        <w:t>les législations nationales étudiées</w:t>
      </w:r>
      <w:r w:rsidR="00D54005" w:rsidRPr="00E72418">
        <w:rPr>
          <w:rFonts w:ascii="Times New Roman" w:hAnsi="Times New Roman" w:cs="Times New Roman"/>
          <w:szCs w:val="24"/>
        </w:rPr>
        <w:t xml:space="preserve"> ont déjà été mobilisées dans le cadre de contentieux</w:t>
      </w:r>
      <w:r w:rsidR="00F71F7A" w:rsidRPr="00E72418">
        <w:rPr>
          <w:rFonts w:ascii="Times New Roman" w:hAnsi="Times New Roman" w:cs="Times New Roman"/>
          <w:szCs w:val="24"/>
        </w:rPr>
        <w:t xml:space="preserve"> subjectifs</w:t>
      </w:r>
      <w:r w:rsidR="00D54005" w:rsidRPr="00E72418">
        <w:rPr>
          <w:rFonts w:ascii="Times New Roman" w:hAnsi="Times New Roman" w:cs="Times New Roman"/>
          <w:szCs w:val="24"/>
        </w:rPr>
        <w:t xml:space="preserve"> de sorte qu’il est impossible de juger </w:t>
      </w:r>
      <w:r w:rsidR="0098049D" w:rsidRPr="00E72418">
        <w:rPr>
          <w:rFonts w:ascii="Times New Roman" w:hAnsi="Times New Roman" w:cs="Times New Roman"/>
          <w:szCs w:val="24"/>
        </w:rPr>
        <w:t xml:space="preserve">pleinement </w:t>
      </w:r>
      <w:r w:rsidR="00D54005" w:rsidRPr="00E72418">
        <w:rPr>
          <w:rFonts w:ascii="Times New Roman" w:hAnsi="Times New Roman" w:cs="Times New Roman"/>
          <w:szCs w:val="24"/>
        </w:rPr>
        <w:t>de leur efficacité</w:t>
      </w:r>
      <w:r w:rsidR="00D54005" w:rsidRPr="00E72418">
        <w:rPr>
          <w:rStyle w:val="Appelnotedebasdep"/>
          <w:rFonts w:ascii="Times New Roman" w:hAnsi="Times New Roman" w:cs="Times New Roman"/>
          <w:szCs w:val="24"/>
        </w:rPr>
        <w:footnoteReference w:id="1983"/>
      </w:r>
      <w:r w:rsidR="00992BCE" w:rsidRPr="00E72418">
        <w:rPr>
          <w:rFonts w:ascii="Times New Roman" w:hAnsi="Times New Roman" w:cs="Times New Roman"/>
          <w:szCs w:val="24"/>
        </w:rPr>
        <w:t xml:space="preserve"> </w:t>
      </w:r>
      <w:r w:rsidR="00992BCE" w:rsidRPr="00E72418">
        <w:rPr>
          <w:rFonts w:ascii="Times New Roman" w:hAnsi="Times New Roman" w:cs="Times New Roman"/>
          <w:b/>
          <w:szCs w:val="24"/>
        </w:rPr>
        <w:t>–</w:t>
      </w:r>
      <w:r w:rsidR="00992BCE" w:rsidRPr="00E72418">
        <w:rPr>
          <w:rFonts w:ascii="Times New Roman" w:hAnsi="Times New Roman" w:cs="Times New Roman"/>
          <w:szCs w:val="24"/>
        </w:rPr>
        <w:t xml:space="preserve"> sauf à retenir qu’elles sont efficaces précisément car l’on ne relève pas de contentieux</w:t>
      </w:r>
      <w:r w:rsidR="00992BCE" w:rsidRPr="00E72418">
        <w:rPr>
          <w:rStyle w:val="Appelnotedebasdep"/>
          <w:rFonts w:ascii="Times New Roman" w:hAnsi="Times New Roman" w:cs="Times New Roman"/>
          <w:szCs w:val="24"/>
        </w:rPr>
        <w:footnoteReference w:id="1984"/>
      </w:r>
      <w:r w:rsidR="00992BCE" w:rsidRPr="00E72418">
        <w:rPr>
          <w:rFonts w:ascii="Times New Roman" w:hAnsi="Times New Roman" w:cs="Times New Roman"/>
          <w:szCs w:val="24"/>
        </w:rPr>
        <w:t xml:space="preserve"> </w:t>
      </w:r>
      <w:r w:rsidR="00992BCE" w:rsidRPr="00E72418">
        <w:rPr>
          <w:rFonts w:ascii="Times New Roman" w:hAnsi="Times New Roman" w:cs="Times New Roman"/>
          <w:b/>
          <w:szCs w:val="24"/>
        </w:rPr>
        <w:t>–</w:t>
      </w:r>
      <w:r w:rsidR="00D54005" w:rsidRPr="00E72418">
        <w:rPr>
          <w:rFonts w:ascii="Times New Roman" w:hAnsi="Times New Roman" w:cs="Times New Roman"/>
          <w:szCs w:val="24"/>
        </w:rPr>
        <w:t xml:space="preserve">, l’on peut voir dans leur diverse adoption la traduction d’une </w:t>
      </w:r>
      <w:r w:rsidR="00D54005" w:rsidRPr="00E72418">
        <w:rPr>
          <w:rFonts w:ascii="Times New Roman" w:hAnsi="Times New Roman" w:cs="Times New Roman"/>
          <w:szCs w:val="24"/>
        </w:rPr>
        <w:lastRenderedPageBreak/>
        <w:t>tendance concrétisée à lutter contre les activités des fonds spéculatifs en limitant légalement les profits q</w:t>
      </w:r>
      <w:r w:rsidR="00F71F7A" w:rsidRPr="00E72418">
        <w:rPr>
          <w:rFonts w:ascii="Times New Roman" w:hAnsi="Times New Roman" w:cs="Times New Roman"/>
          <w:szCs w:val="24"/>
        </w:rPr>
        <w:t>u’ils peuvent</w:t>
      </w:r>
      <w:r w:rsidR="00D54005" w:rsidRPr="00E72418">
        <w:rPr>
          <w:rFonts w:ascii="Times New Roman" w:hAnsi="Times New Roman" w:cs="Times New Roman"/>
          <w:szCs w:val="24"/>
        </w:rPr>
        <w:t xml:space="preserve"> espérer tirer de celles-ci.</w:t>
      </w:r>
    </w:p>
    <w:p w14:paraId="4B732526" w14:textId="2261B6B0" w:rsidR="005656FA" w:rsidRPr="00E72418" w:rsidRDefault="005656FA" w:rsidP="00CC4BA8">
      <w:pPr>
        <w:spacing w:line="276" w:lineRule="auto"/>
        <w:rPr>
          <w:rFonts w:ascii="Times New Roman" w:hAnsi="Times New Roman" w:cs="Times New Roman"/>
          <w:szCs w:val="24"/>
        </w:rPr>
      </w:pPr>
      <w:r w:rsidRPr="00E72418">
        <w:rPr>
          <w:rFonts w:ascii="Times New Roman" w:hAnsi="Times New Roman" w:cs="Times New Roman"/>
          <w:szCs w:val="24"/>
        </w:rPr>
        <w:t xml:space="preserve">Dans un article de 2012, </w:t>
      </w:r>
      <w:r w:rsidR="00201853" w:rsidRPr="00E72418">
        <w:rPr>
          <w:rFonts w:ascii="Times New Roman" w:hAnsi="Times New Roman" w:cs="Times New Roman"/>
          <w:szCs w:val="24"/>
        </w:rPr>
        <w:t xml:space="preserve">Régis </w:t>
      </w:r>
      <w:r w:rsidRPr="00E72418">
        <w:rPr>
          <w:rFonts w:ascii="Times New Roman" w:hAnsi="Times New Roman" w:cs="Times New Roman"/>
          <w:szCs w:val="24"/>
        </w:rPr>
        <w:t>Bismuth</w:t>
      </w:r>
      <w:r w:rsidR="002F1135" w:rsidRPr="00E72418">
        <w:rPr>
          <w:rFonts w:ascii="Times New Roman" w:hAnsi="Times New Roman" w:cs="Times New Roman"/>
          <w:szCs w:val="24"/>
        </w:rPr>
        <w:t>,</w:t>
      </w:r>
      <w:r w:rsidRPr="00E72418">
        <w:rPr>
          <w:rFonts w:ascii="Times New Roman" w:hAnsi="Times New Roman" w:cs="Times New Roman"/>
          <w:szCs w:val="24"/>
        </w:rPr>
        <w:t xml:space="preserve"> </w:t>
      </w:r>
      <w:r w:rsidR="00AB51CE" w:rsidRPr="00E72418">
        <w:rPr>
          <w:rFonts w:ascii="Times New Roman" w:hAnsi="Times New Roman" w:cs="Times New Roman"/>
          <w:szCs w:val="24"/>
        </w:rPr>
        <w:t xml:space="preserve">notant </w:t>
      </w:r>
      <w:r w:rsidRPr="00E72418">
        <w:rPr>
          <w:rFonts w:ascii="Times New Roman" w:hAnsi="Times New Roman" w:cs="Times New Roman"/>
          <w:szCs w:val="24"/>
        </w:rPr>
        <w:t>les différentes législations et tentatives de législations</w:t>
      </w:r>
      <w:r w:rsidR="00886646" w:rsidRPr="00E72418">
        <w:rPr>
          <w:rFonts w:ascii="Times New Roman" w:hAnsi="Times New Roman" w:cs="Times New Roman"/>
          <w:szCs w:val="24"/>
        </w:rPr>
        <w:t xml:space="preserve"> de l’époque</w:t>
      </w:r>
      <w:r w:rsidR="002F1135" w:rsidRPr="00E72418">
        <w:rPr>
          <w:rFonts w:ascii="Times New Roman" w:hAnsi="Times New Roman" w:cs="Times New Roman"/>
          <w:szCs w:val="24"/>
        </w:rPr>
        <w:t>,</w:t>
      </w:r>
      <w:r w:rsidRPr="00E72418">
        <w:rPr>
          <w:rFonts w:ascii="Times New Roman" w:hAnsi="Times New Roman" w:cs="Times New Roman"/>
          <w:szCs w:val="24"/>
        </w:rPr>
        <w:t xml:space="preserve"> évoquait que </w:t>
      </w:r>
      <w:r w:rsidR="00C15BF1" w:rsidRPr="00E72418">
        <w:rPr>
          <w:rFonts w:ascii="Times New Roman" w:hAnsi="Times New Roman" w:cs="Times New Roman"/>
          <w:szCs w:val="24"/>
        </w:rPr>
        <w:t>celles-ci</w:t>
      </w:r>
      <w:r w:rsidRPr="00E72418">
        <w:rPr>
          <w:rFonts w:ascii="Times New Roman" w:hAnsi="Times New Roman" w:cs="Times New Roman"/>
          <w:szCs w:val="24"/>
        </w:rPr>
        <w:t xml:space="preserve"> </w:t>
      </w:r>
      <w:r w:rsidR="002F1135" w:rsidRPr="00E72418">
        <w:rPr>
          <w:rFonts w:ascii="Times New Roman" w:hAnsi="Times New Roman" w:cs="Times New Roman"/>
          <w:szCs w:val="24"/>
        </w:rPr>
        <w:t>pouvaient</w:t>
      </w:r>
      <w:r w:rsidRPr="00E72418">
        <w:rPr>
          <w:rFonts w:ascii="Times New Roman" w:hAnsi="Times New Roman" w:cs="Times New Roman"/>
          <w:szCs w:val="24"/>
        </w:rPr>
        <w:t xml:space="preserve"> révéler l’émergence d’une forme d’</w:t>
      </w:r>
      <w:r w:rsidR="00074247" w:rsidRPr="00E72418">
        <w:rPr>
          <w:rFonts w:ascii="Times New Roman" w:hAnsi="Times New Roman" w:cs="Times New Roman"/>
          <w:szCs w:val="24"/>
        </w:rPr>
        <w:t xml:space="preserve"> </w:t>
      </w:r>
      <w:r w:rsidRPr="00E72418">
        <w:rPr>
          <w:rFonts w:ascii="Times New Roman" w:hAnsi="Times New Roman" w:cs="Times New Roman"/>
          <w:szCs w:val="24"/>
        </w:rPr>
        <w:t>« ordre public de la dette souveraine »</w:t>
      </w:r>
      <w:r w:rsidRPr="00E72418">
        <w:rPr>
          <w:rStyle w:val="Appelnotedebasdep"/>
          <w:rFonts w:ascii="Times New Roman" w:hAnsi="Times New Roman" w:cs="Times New Roman"/>
          <w:szCs w:val="24"/>
        </w:rPr>
        <w:footnoteReference w:id="1985"/>
      </w:r>
      <w:r w:rsidRPr="00E72418">
        <w:rPr>
          <w:rFonts w:ascii="Times New Roman" w:hAnsi="Times New Roman" w:cs="Times New Roman"/>
          <w:szCs w:val="24"/>
        </w:rPr>
        <w:t>. L’auteur faisait néanmoins valoir qu’il était sans doute inopportun de donner à cet ordre public une dimension réellement internationale en ce que</w:t>
      </w:r>
      <w:r w:rsidR="00AA5F94" w:rsidRPr="00E72418">
        <w:rPr>
          <w:rFonts w:ascii="Times New Roman" w:hAnsi="Times New Roman" w:cs="Times New Roman"/>
          <w:szCs w:val="24"/>
        </w:rPr>
        <w:t>, d’une part,</w:t>
      </w:r>
      <w:r w:rsidRPr="00E72418">
        <w:rPr>
          <w:rFonts w:ascii="Times New Roman" w:hAnsi="Times New Roman" w:cs="Times New Roman"/>
          <w:szCs w:val="24"/>
        </w:rPr>
        <w:t xml:space="preserve"> </w:t>
      </w:r>
      <w:r w:rsidR="004A135C" w:rsidRPr="00E72418">
        <w:rPr>
          <w:rFonts w:ascii="Times New Roman" w:hAnsi="Times New Roman" w:cs="Times New Roman"/>
          <w:szCs w:val="24"/>
        </w:rPr>
        <w:t>la portée de la protection ne serait pas précisément circonscrite</w:t>
      </w:r>
      <w:r w:rsidR="00AA5F94" w:rsidRPr="00E72418">
        <w:rPr>
          <w:rFonts w:ascii="Times New Roman" w:hAnsi="Times New Roman" w:cs="Times New Roman"/>
          <w:szCs w:val="24"/>
        </w:rPr>
        <w:t xml:space="preserve">, d’autre part, </w:t>
      </w:r>
      <w:r w:rsidRPr="00E72418">
        <w:rPr>
          <w:rFonts w:ascii="Times New Roman" w:hAnsi="Times New Roman" w:cs="Times New Roman"/>
          <w:szCs w:val="24"/>
        </w:rPr>
        <w:t>les institutions internationales n’avaient pas encore élaboré de doctrine claire en la matière</w:t>
      </w:r>
      <w:r w:rsidRPr="00E72418">
        <w:rPr>
          <w:rStyle w:val="Appelnotedebasdep"/>
          <w:rFonts w:ascii="Times New Roman" w:hAnsi="Times New Roman" w:cs="Times New Roman"/>
          <w:szCs w:val="24"/>
        </w:rPr>
        <w:footnoteReference w:id="1986"/>
      </w:r>
      <w:r w:rsidRPr="00E72418">
        <w:rPr>
          <w:rFonts w:ascii="Times New Roman" w:hAnsi="Times New Roman" w:cs="Times New Roman"/>
          <w:szCs w:val="24"/>
        </w:rPr>
        <w:t xml:space="preserve">. </w:t>
      </w:r>
      <w:r w:rsidR="00494D68" w:rsidRPr="00E72418">
        <w:rPr>
          <w:rFonts w:ascii="Times New Roman" w:hAnsi="Times New Roman" w:cs="Times New Roman"/>
          <w:szCs w:val="24"/>
          <w:lang w:val="en-US"/>
        </w:rPr>
        <w:t>Dans un article de 2015, antérieur aux législations belge</w:t>
      </w:r>
      <w:r w:rsidR="008479F9" w:rsidRPr="00E72418">
        <w:rPr>
          <w:rFonts w:ascii="Times New Roman" w:hAnsi="Times New Roman" w:cs="Times New Roman"/>
          <w:szCs w:val="24"/>
          <w:lang w:val="en-US"/>
        </w:rPr>
        <w:t xml:space="preserve"> et française</w:t>
      </w:r>
      <w:r w:rsidR="00494D68" w:rsidRPr="00E72418">
        <w:rPr>
          <w:rFonts w:ascii="Times New Roman" w:hAnsi="Times New Roman" w:cs="Times New Roman"/>
          <w:szCs w:val="24"/>
          <w:lang w:val="en-US"/>
        </w:rPr>
        <w:t xml:space="preserve"> anti-fonds spéculatifs, </w:t>
      </w:r>
      <w:r w:rsidR="00423C96" w:rsidRPr="00E72418">
        <w:rPr>
          <w:rFonts w:ascii="Times New Roman" w:hAnsi="Times New Roman" w:cs="Times New Roman"/>
          <w:szCs w:val="24"/>
          <w:lang w:val="en-US"/>
        </w:rPr>
        <w:t xml:space="preserve">Mauro </w:t>
      </w:r>
      <w:r w:rsidR="00494D68" w:rsidRPr="00E72418">
        <w:rPr>
          <w:rFonts w:ascii="Times New Roman" w:hAnsi="Times New Roman" w:cs="Times New Roman"/>
          <w:szCs w:val="24"/>
          <w:lang w:val="en-US"/>
        </w:rPr>
        <w:t>Megliani relevait quant à lui qu’ « [a]ll these pieces of national legislation, both passed and aborted, are too few, too limited, and too controversial in scope to indicate the emergence of a norm of truly international public policy capable of blocking the enforcement of loan agreements or related foreign judgments and awards in national fora »</w:t>
      </w:r>
      <w:r w:rsidR="00494D68" w:rsidRPr="00E72418">
        <w:rPr>
          <w:rStyle w:val="Appelnotedebasdep"/>
          <w:rFonts w:ascii="Times New Roman" w:hAnsi="Times New Roman" w:cs="Times New Roman"/>
          <w:szCs w:val="24"/>
          <w:lang w:val="en-US"/>
        </w:rPr>
        <w:footnoteReference w:id="1987"/>
      </w:r>
      <w:r w:rsidR="00494D68" w:rsidRPr="00E72418">
        <w:rPr>
          <w:rFonts w:ascii="Times New Roman" w:hAnsi="Times New Roman" w:cs="Times New Roman"/>
          <w:szCs w:val="24"/>
          <w:lang w:val="en-US"/>
        </w:rPr>
        <w:t>.</w:t>
      </w:r>
    </w:p>
    <w:p w14:paraId="1B64F767" w14:textId="40FFA8E1" w:rsidR="005656FA" w:rsidRPr="00E72418" w:rsidRDefault="005656FA" w:rsidP="00CC4BA8">
      <w:pPr>
        <w:spacing w:line="276" w:lineRule="auto"/>
        <w:rPr>
          <w:rStyle w:val="Titre5Car"/>
          <w:rFonts w:ascii="Times New Roman" w:eastAsiaTheme="minorHAnsi" w:hAnsi="Times New Roman" w:cs="Times New Roman"/>
          <w:color w:val="auto"/>
          <w:szCs w:val="24"/>
        </w:rPr>
      </w:pPr>
      <w:r w:rsidRPr="00E72418">
        <w:rPr>
          <w:rFonts w:ascii="Times New Roman" w:hAnsi="Times New Roman" w:cs="Times New Roman"/>
          <w:szCs w:val="24"/>
        </w:rPr>
        <w:t xml:space="preserve">Depuis </w:t>
      </w:r>
      <w:r w:rsidR="00494D68" w:rsidRPr="00E72418">
        <w:rPr>
          <w:rFonts w:ascii="Times New Roman" w:hAnsi="Times New Roman" w:cs="Times New Roman"/>
          <w:szCs w:val="24"/>
        </w:rPr>
        <w:t>ces</w:t>
      </w:r>
      <w:r w:rsidR="004F151F" w:rsidRPr="00E72418">
        <w:rPr>
          <w:rFonts w:ascii="Times New Roman" w:hAnsi="Times New Roman" w:cs="Times New Roman"/>
          <w:szCs w:val="24"/>
        </w:rPr>
        <w:t xml:space="preserve"> réflexion</w:t>
      </w:r>
      <w:r w:rsidR="00494D68" w:rsidRPr="00E72418">
        <w:rPr>
          <w:rFonts w:ascii="Times New Roman" w:hAnsi="Times New Roman" w:cs="Times New Roman"/>
          <w:szCs w:val="24"/>
        </w:rPr>
        <w:t>s sur l’émergence d’un ordre public</w:t>
      </w:r>
      <w:r w:rsidRPr="00E72418">
        <w:rPr>
          <w:rFonts w:ascii="Times New Roman" w:hAnsi="Times New Roman" w:cs="Times New Roman"/>
          <w:szCs w:val="24"/>
        </w:rPr>
        <w:t>,</w:t>
      </w:r>
      <w:r w:rsidR="0098049D" w:rsidRPr="00E72418">
        <w:rPr>
          <w:rFonts w:ascii="Times New Roman" w:hAnsi="Times New Roman" w:cs="Times New Roman"/>
          <w:szCs w:val="24"/>
        </w:rPr>
        <w:t xml:space="preserve"> la tendance à la réglementation de la spéculation sur les dettes souveraines est allée croissant. Ainsi,</w:t>
      </w:r>
      <w:r w:rsidRPr="00E72418">
        <w:rPr>
          <w:rFonts w:ascii="Times New Roman" w:hAnsi="Times New Roman" w:cs="Times New Roman"/>
          <w:szCs w:val="24"/>
        </w:rPr>
        <w:t xml:space="preserve"> tant la Belgique que la France se sont dotées de législation</w:t>
      </w:r>
      <w:r w:rsidR="00FF6A0A" w:rsidRPr="00E72418">
        <w:rPr>
          <w:rFonts w:ascii="Times New Roman" w:hAnsi="Times New Roman" w:cs="Times New Roman"/>
          <w:szCs w:val="24"/>
        </w:rPr>
        <w:t>s</w:t>
      </w:r>
      <w:r w:rsidRPr="00E72418">
        <w:rPr>
          <w:rFonts w:ascii="Times New Roman" w:hAnsi="Times New Roman" w:cs="Times New Roman"/>
          <w:szCs w:val="24"/>
        </w:rPr>
        <w:t xml:space="preserve"> spécifique</w:t>
      </w:r>
      <w:r w:rsidR="00FF6A0A" w:rsidRPr="00E72418">
        <w:rPr>
          <w:rFonts w:ascii="Times New Roman" w:hAnsi="Times New Roman" w:cs="Times New Roman"/>
          <w:szCs w:val="24"/>
        </w:rPr>
        <w:t>s</w:t>
      </w:r>
      <w:r w:rsidRPr="00E72418">
        <w:rPr>
          <w:rFonts w:ascii="Times New Roman" w:hAnsi="Times New Roman" w:cs="Times New Roman"/>
          <w:szCs w:val="24"/>
        </w:rPr>
        <w:t xml:space="preserve"> visant à appréhender les activités des</w:t>
      </w:r>
      <w:r w:rsidR="00B41CCF" w:rsidRPr="00E72418">
        <w:rPr>
          <w:rFonts w:ascii="Times New Roman" w:hAnsi="Times New Roman" w:cs="Times New Roman"/>
          <w:szCs w:val="24"/>
        </w:rPr>
        <w:t xml:space="preserve"> fonds </w:t>
      </w:r>
      <w:r w:rsidR="0098049D" w:rsidRPr="00E72418">
        <w:rPr>
          <w:rFonts w:ascii="Times New Roman" w:hAnsi="Times New Roman" w:cs="Times New Roman"/>
          <w:szCs w:val="24"/>
        </w:rPr>
        <w:t>spéculatifs</w:t>
      </w:r>
      <w:r w:rsidRPr="00E72418">
        <w:rPr>
          <w:rFonts w:ascii="Times New Roman" w:hAnsi="Times New Roman" w:cs="Times New Roman"/>
          <w:szCs w:val="24"/>
        </w:rPr>
        <w:t>. Ces deux législations, étudiées en parallèle de la concrétisation britannique et de la tentative étatsunienne, permettent de déga</w:t>
      </w:r>
      <w:r w:rsidR="002F1135" w:rsidRPr="00E72418">
        <w:rPr>
          <w:rFonts w:ascii="Times New Roman" w:hAnsi="Times New Roman" w:cs="Times New Roman"/>
          <w:szCs w:val="24"/>
        </w:rPr>
        <w:t>ger différentes lignes de force</w:t>
      </w:r>
      <w:r w:rsidRPr="00E72418">
        <w:rPr>
          <w:rFonts w:ascii="Times New Roman" w:hAnsi="Times New Roman" w:cs="Times New Roman"/>
          <w:szCs w:val="24"/>
        </w:rPr>
        <w:t xml:space="preserve"> d’une doctrine en la matière et d’en tracer les contours</w:t>
      </w:r>
      <w:r w:rsidR="00AD2A2F" w:rsidRPr="00E72418">
        <w:rPr>
          <w:rStyle w:val="Appelnotedebasdep"/>
          <w:rFonts w:ascii="Times New Roman" w:hAnsi="Times New Roman" w:cs="Times New Roman"/>
          <w:szCs w:val="24"/>
        </w:rPr>
        <w:footnoteReference w:id="1988"/>
      </w:r>
      <w:r w:rsidRPr="00E72418">
        <w:rPr>
          <w:rFonts w:ascii="Times New Roman" w:hAnsi="Times New Roman" w:cs="Times New Roman"/>
          <w:szCs w:val="24"/>
        </w:rPr>
        <w:t xml:space="preserve">. </w:t>
      </w:r>
      <w:r w:rsidR="004F151F" w:rsidRPr="00E72418">
        <w:rPr>
          <w:rFonts w:ascii="Times New Roman" w:hAnsi="Times New Roman" w:cs="Times New Roman"/>
          <w:szCs w:val="24"/>
        </w:rPr>
        <w:t xml:space="preserve">Le mouvement anti-fonds spéculatifs amorcé il y a une dizaine d’années </w:t>
      </w:r>
      <w:r w:rsidR="008479F9" w:rsidRPr="00E72418">
        <w:rPr>
          <w:rFonts w:ascii="Times New Roman" w:hAnsi="Times New Roman" w:cs="Times New Roman"/>
          <w:szCs w:val="24"/>
        </w:rPr>
        <w:t xml:space="preserve">et </w:t>
      </w:r>
      <w:r w:rsidR="004F151F" w:rsidRPr="00E72418">
        <w:rPr>
          <w:rFonts w:ascii="Times New Roman" w:hAnsi="Times New Roman" w:cs="Times New Roman"/>
          <w:szCs w:val="24"/>
        </w:rPr>
        <w:t xml:space="preserve">renforcé à mesure du temps </w:t>
      </w:r>
      <w:r w:rsidR="008479F9" w:rsidRPr="00E72418">
        <w:rPr>
          <w:rFonts w:ascii="Times New Roman" w:hAnsi="Times New Roman" w:cs="Times New Roman"/>
          <w:szCs w:val="24"/>
        </w:rPr>
        <w:t>convainc</w:t>
      </w:r>
      <w:r w:rsidR="004F151F" w:rsidRPr="00E72418">
        <w:rPr>
          <w:rFonts w:ascii="Times New Roman" w:hAnsi="Times New Roman" w:cs="Times New Roman"/>
          <w:szCs w:val="24"/>
        </w:rPr>
        <w:t xml:space="preserve"> de l’émergence d’un ordre public, si pas de la dette souveraine, à tout le moins de la spéculation sur celle-ci. Cette conclusion se trouve </w:t>
      </w:r>
      <w:r w:rsidR="008479F9" w:rsidRPr="00E72418">
        <w:rPr>
          <w:rFonts w:ascii="Times New Roman" w:hAnsi="Times New Roman" w:cs="Times New Roman"/>
          <w:szCs w:val="24"/>
        </w:rPr>
        <w:t>corroborée</w:t>
      </w:r>
      <w:r w:rsidRPr="00E72418">
        <w:rPr>
          <w:rFonts w:ascii="Times New Roman" w:hAnsi="Times New Roman" w:cs="Times New Roman"/>
          <w:szCs w:val="24"/>
        </w:rPr>
        <w:t xml:space="preserve"> </w:t>
      </w:r>
      <w:r w:rsidR="008479F9" w:rsidRPr="00E72418">
        <w:rPr>
          <w:rFonts w:ascii="Times New Roman" w:hAnsi="Times New Roman" w:cs="Times New Roman"/>
          <w:szCs w:val="24"/>
        </w:rPr>
        <w:t>par l’adoption de textes</w:t>
      </w:r>
      <w:r w:rsidR="00EB6BA8" w:rsidRPr="00E72418">
        <w:rPr>
          <w:rFonts w:ascii="Times New Roman" w:hAnsi="Times New Roman" w:cs="Times New Roman"/>
          <w:szCs w:val="24"/>
        </w:rPr>
        <w:t xml:space="preserve"> supra</w:t>
      </w:r>
      <w:r w:rsidRPr="00E72418">
        <w:rPr>
          <w:rFonts w:ascii="Times New Roman" w:hAnsi="Times New Roman" w:cs="Times New Roman"/>
          <w:szCs w:val="24"/>
        </w:rPr>
        <w:t xml:space="preserve">nationaux comme la résolution du Parlement européen </w:t>
      </w:r>
      <w:r w:rsidRPr="00E72418">
        <w:rPr>
          <w:rFonts w:ascii="Times New Roman" w:hAnsi="Times New Roman" w:cs="Times New Roman"/>
          <w:bCs/>
          <w:szCs w:val="24"/>
        </w:rPr>
        <w:t xml:space="preserve">du 17 avril 2018 </w:t>
      </w:r>
      <w:r w:rsidRPr="00E72418">
        <w:rPr>
          <w:rStyle w:val="Titre5Car"/>
          <w:rFonts w:ascii="Times New Roman" w:eastAsiaTheme="minorHAnsi" w:hAnsi="Times New Roman" w:cs="Times New Roman"/>
          <w:color w:val="auto"/>
          <w:szCs w:val="24"/>
        </w:rPr>
        <w:t xml:space="preserve">sur l’amélioration de la viabilité de la </w:t>
      </w:r>
      <w:r w:rsidR="004F151F" w:rsidRPr="00E72418">
        <w:rPr>
          <w:rStyle w:val="Titre5Car"/>
          <w:rFonts w:ascii="Times New Roman" w:eastAsiaTheme="minorHAnsi" w:hAnsi="Times New Roman" w:cs="Times New Roman"/>
          <w:color w:val="auto"/>
          <w:szCs w:val="24"/>
        </w:rPr>
        <w:t>dette des pays en développement encourageant la lutte contre les fonds spéculatifs.</w:t>
      </w:r>
      <w:r w:rsidR="00886646" w:rsidRPr="00E72418">
        <w:rPr>
          <w:rStyle w:val="Titre5Car"/>
          <w:rFonts w:ascii="Times New Roman" w:eastAsiaTheme="minorHAnsi" w:hAnsi="Times New Roman" w:cs="Times New Roman"/>
          <w:color w:val="auto"/>
          <w:szCs w:val="24"/>
        </w:rPr>
        <w:t xml:space="preserve"> </w:t>
      </w:r>
      <w:r w:rsidR="00565A49" w:rsidRPr="00E72418">
        <w:rPr>
          <w:rStyle w:val="Titre5Car"/>
          <w:rFonts w:ascii="Times New Roman" w:eastAsiaTheme="minorHAnsi" w:hAnsi="Times New Roman" w:cs="Times New Roman"/>
          <w:color w:val="auto"/>
          <w:szCs w:val="24"/>
        </w:rPr>
        <w:t>L’émergence constatée</w:t>
      </w:r>
      <w:r w:rsidR="00886646" w:rsidRPr="00E72418">
        <w:rPr>
          <w:rStyle w:val="Titre5Car"/>
          <w:rFonts w:ascii="Times New Roman" w:eastAsiaTheme="minorHAnsi" w:hAnsi="Times New Roman" w:cs="Times New Roman"/>
          <w:color w:val="auto"/>
          <w:szCs w:val="24"/>
        </w:rPr>
        <w:t xml:space="preserve"> convainc de l’opportunité de réfléchir, dans le dernier temps de notre recherche, à une proposition faisant la convergence </w:t>
      </w:r>
      <w:r w:rsidR="00565A49" w:rsidRPr="00E72418">
        <w:rPr>
          <w:rStyle w:val="Titre5Car"/>
          <w:rFonts w:ascii="Times New Roman" w:eastAsiaTheme="minorHAnsi" w:hAnsi="Times New Roman" w:cs="Times New Roman"/>
          <w:color w:val="auto"/>
          <w:szCs w:val="24"/>
        </w:rPr>
        <w:t xml:space="preserve">des qualités des législations </w:t>
      </w:r>
      <w:r w:rsidR="00E8718C" w:rsidRPr="00E72418">
        <w:rPr>
          <w:rStyle w:val="Titre5Car"/>
          <w:rFonts w:ascii="Times New Roman" w:eastAsiaTheme="minorHAnsi" w:hAnsi="Times New Roman" w:cs="Times New Roman"/>
          <w:color w:val="auto"/>
          <w:szCs w:val="24"/>
        </w:rPr>
        <w:t>qui viennent d’être étudiées</w:t>
      </w:r>
      <w:r w:rsidR="00565A49" w:rsidRPr="00E72418">
        <w:rPr>
          <w:rStyle w:val="Titre5Car"/>
          <w:rFonts w:ascii="Times New Roman" w:eastAsiaTheme="minorHAnsi" w:hAnsi="Times New Roman" w:cs="Times New Roman"/>
          <w:color w:val="auto"/>
          <w:szCs w:val="24"/>
        </w:rPr>
        <w:t xml:space="preserve"> et s’affranchissant de leurs lacunes.</w:t>
      </w:r>
    </w:p>
    <w:p w14:paraId="0B73E0AB" w14:textId="77777777" w:rsidR="00494D68" w:rsidRPr="00E72418" w:rsidRDefault="00494D68" w:rsidP="00357400"/>
    <w:p w14:paraId="777EC713" w14:textId="794312CA" w:rsidR="005F6F52" w:rsidRPr="00E72418" w:rsidRDefault="00B852A5" w:rsidP="00CC4BA8">
      <w:pPr>
        <w:pStyle w:val="AA"/>
        <w:spacing w:afterLines="60" w:after="144" w:line="276" w:lineRule="auto"/>
      </w:pPr>
      <w:bookmarkStart w:id="461" w:name="_Toc37777432"/>
      <w:bookmarkStart w:id="462" w:name="_Toc59281031"/>
      <w:bookmarkStart w:id="463" w:name="_Toc75106116"/>
      <w:bookmarkStart w:id="464" w:name="_Toc84541010"/>
      <w:r w:rsidRPr="00E72418">
        <w:lastRenderedPageBreak/>
        <w:t>Partie II – S</w:t>
      </w:r>
      <w:r w:rsidR="00F10F7D" w:rsidRPr="00E72418">
        <w:t>ous-partie</w:t>
      </w:r>
      <w:r w:rsidR="005F6F52" w:rsidRPr="00E72418">
        <w:t xml:space="preserve"> 2 : </w:t>
      </w:r>
      <w:bookmarkEnd w:id="461"/>
      <w:r w:rsidR="00B566B1" w:rsidRPr="00E72418">
        <w:t>Une proposition</w:t>
      </w:r>
      <w:bookmarkEnd w:id="462"/>
      <w:bookmarkEnd w:id="463"/>
      <w:bookmarkEnd w:id="464"/>
    </w:p>
    <w:p w14:paraId="55A824A1" w14:textId="77777777" w:rsidR="00C61ECB" w:rsidRPr="00E72418" w:rsidRDefault="00C61ECB" w:rsidP="00CC4BA8">
      <w:pPr>
        <w:spacing w:line="276" w:lineRule="auto"/>
      </w:pPr>
      <w:bookmarkStart w:id="465" w:name="_Toc37777433"/>
      <w:bookmarkStart w:id="466" w:name="_Toc59281032"/>
    </w:p>
    <w:p w14:paraId="2E9210BA" w14:textId="436C28B2" w:rsidR="005F6F52" w:rsidRPr="00E72418" w:rsidRDefault="005F6F52" w:rsidP="00CC4BA8">
      <w:pPr>
        <w:pStyle w:val="BB"/>
        <w:spacing w:line="276" w:lineRule="auto"/>
      </w:pPr>
      <w:bookmarkStart w:id="467" w:name="_Toc75106117"/>
      <w:bookmarkStart w:id="468" w:name="_Toc84541011"/>
      <w:r w:rsidRPr="00E72418">
        <w:t xml:space="preserve">Introduction de la </w:t>
      </w:r>
      <w:bookmarkEnd w:id="465"/>
      <w:r w:rsidR="00F10F7D" w:rsidRPr="00E72418">
        <w:t>partie II</w:t>
      </w:r>
      <w:r w:rsidR="00287754" w:rsidRPr="00E72418">
        <w:t xml:space="preserve"> – </w:t>
      </w:r>
      <w:r w:rsidR="00F10F7D" w:rsidRPr="00E72418">
        <w:t>sous-partie</w:t>
      </w:r>
      <w:r w:rsidR="00287754" w:rsidRPr="00E72418">
        <w:t xml:space="preserve"> 2</w:t>
      </w:r>
      <w:bookmarkEnd w:id="466"/>
      <w:bookmarkEnd w:id="467"/>
      <w:bookmarkEnd w:id="468"/>
      <w:r w:rsidRPr="00E72418">
        <w:t> </w:t>
      </w:r>
    </w:p>
    <w:p w14:paraId="34987A0D" w14:textId="77777777" w:rsidR="00BF541A" w:rsidRPr="00E72418" w:rsidRDefault="00BF541A" w:rsidP="00CC4BA8">
      <w:pPr>
        <w:spacing w:line="276" w:lineRule="auto"/>
        <w:rPr>
          <w:rFonts w:ascii="Times New Roman" w:hAnsi="Times New Roman" w:cs="Times New Roman"/>
          <w:szCs w:val="24"/>
        </w:rPr>
      </w:pPr>
    </w:p>
    <w:p w14:paraId="588F0D54" w14:textId="57A687BA" w:rsidR="004106B1" w:rsidRPr="00E72418" w:rsidRDefault="004469AC" w:rsidP="00CC4BA8">
      <w:pPr>
        <w:spacing w:line="276" w:lineRule="auto"/>
      </w:pPr>
      <w:r w:rsidRPr="00E72418">
        <w:rPr>
          <w:b/>
        </w:rPr>
        <w:t>394</w:t>
      </w:r>
      <w:r w:rsidR="00817D62" w:rsidRPr="00E72418">
        <w:rPr>
          <w:b/>
        </w:rPr>
        <w:t xml:space="preserve">. </w:t>
      </w:r>
      <w:r w:rsidR="004106B1" w:rsidRPr="00E72418">
        <w:rPr>
          <w:b/>
        </w:rPr>
        <w:t xml:space="preserve">Des lignes de force et des contours – </w:t>
      </w:r>
      <w:r w:rsidR="004106B1" w:rsidRPr="00E72418">
        <w:t xml:space="preserve">Les différentes initiatives nationales entreprises </w:t>
      </w:r>
      <w:r w:rsidR="00A212AF" w:rsidRPr="00E72418">
        <w:t>afin de</w:t>
      </w:r>
      <w:r w:rsidR="004106B1" w:rsidRPr="00E72418">
        <w:t xml:space="preserve"> juguler les activités des fonds spéculant sur les dettes souveraines laissent entrevoir un souci de protection des États en difficulté financière</w:t>
      </w:r>
      <w:r w:rsidR="001614B7" w:rsidRPr="00E72418">
        <w:t>, lequel souci peut être vu comme une cause d’utilité publique</w:t>
      </w:r>
      <w:r w:rsidR="001614B7" w:rsidRPr="00E72418">
        <w:rPr>
          <w:rStyle w:val="Appelnotedebasdep"/>
        </w:rPr>
        <w:footnoteReference w:id="1989"/>
      </w:r>
      <w:r w:rsidR="004106B1" w:rsidRPr="00E72418">
        <w:t xml:space="preserve">. </w:t>
      </w:r>
      <w:r w:rsidR="00A212AF" w:rsidRPr="00E72418">
        <w:t>L’on peut penser que c</w:t>
      </w:r>
      <w:r w:rsidR="004106B1" w:rsidRPr="00E72418">
        <w:t xml:space="preserve">es ambitions nationales </w:t>
      </w:r>
      <w:r w:rsidR="00A212AF" w:rsidRPr="00E72418">
        <w:t xml:space="preserve">visent à </w:t>
      </w:r>
      <w:r w:rsidR="004106B1" w:rsidRPr="00E72418">
        <w:t>assurer que les dettes souveraines soient soutenables de sorte que leur service n’entame pas la capacité de leur débiteur à assurer ses missions étatiques essentielles.</w:t>
      </w:r>
    </w:p>
    <w:p w14:paraId="02FF29BC" w14:textId="564FE565" w:rsidR="004106B1" w:rsidRPr="00E72418" w:rsidRDefault="00A212AF" w:rsidP="00CC4BA8">
      <w:pPr>
        <w:spacing w:line="276" w:lineRule="auto"/>
      </w:pPr>
      <w:r w:rsidRPr="00E72418">
        <w:t>Les législations sont s</w:t>
      </w:r>
      <w:r w:rsidR="004106B1" w:rsidRPr="00E72418">
        <w:t>ouvent adoptées en réaction à un contentieux remarqué et appelées de ses vœux par la société civile interpell</w:t>
      </w:r>
      <w:r w:rsidRPr="00E72418">
        <w:t>ée par les dérives spéculatives</w:t>
      </w:r>
      <w:r w:rsidR="00C252E8" w:rsidRPr="00E72418">
        <w:rPr>
          <w:rStyle w:val="Appelnotedebasdep"/>
        </w:rPr>
        <w:footnoteReference w:id="1990"/>
      </w:r>
      <w:r w:rsidRPr="00E72418">
        <w:t>. Elles</w:t>
      </w:r>
      <w:r w:rsidR="004106B1" w:rsidRPr="00E72418">
        <w:t xml:space="preserve"> semblent </w:t>
      </w:r>
      <w:r w:rsidR="0056074C" w:rsidRPr="00E72418">
        <w:t xml:space="preserve">malheureusement </w:t>
      </w:r>
      <w:r w:rsidR="004106B1" w:rsidRPr="00E72418">
        <w:t xml:space="preserve">avoir quelque peine à dépasser l’approche </w:t>
      </w:r>
      <w:r w:rsidR="003459BA" w:rsidRPr="00E72418">
        <w:t xml:space="preserve">manichéenne </w:t>
      </w:r>
      <w:r w:rsidR="004106B1" w:rsidRPr="00E72418">
        <w:t xml:space="preserve">du phénomène </w:t>
      </w:r>
      <w:r w:rsidR="00826548" w:rsidRPr="00E72418">
        <w:t>de la spéculation</w:t>
      </w:r>
      <w:r w:rsidR="004106B1" w:rsidRPr="00E72418">
        <w:t xml:space="preserve"> sur les dettes souveraines privilégiant une approche souvent peu nuancée</w:t>
      </w:r>
      <w:r w:rsidR="00C252E8" w:rsidRPr="00E72418">
        <w:rPr>
          <w:rStyle w:val="Appelnotedebasdep"/>
        </w:rPr>
        <w:footnoteReference w:id="1991"/>
      </w:r>
      <w:r w:rsidR="004106B1" w:rsidRPr="00E72418">
        <w:t>. Ce simplisme a pour conséquence qu</w:t>
      </w:r>
      <w:r w:rsidR="0056074C" w:rsidRPr="00E72418">
        <w:t>’elles</w:t>
      </w:r>
      <w:r w:rsidR="004106B1" w:rsidRPr="00E72418">
        <w:t xml:space="preserve"> offrent des réponses</w:t>
      </w:r>
      <w:r w:rsidR="0056074C" w:rsidRPr="00E72418">
        <w:t xml:space="preserve"> qui paraissent</w:t>
      </w:r>
      <w:r w:rsidR="004106B1" w:rsidRPr="00E72418">
        <w:t xml:space="preserve"> </w:t>
      </w:r>
      <w:r w:rsidR="00992BCE" w:rsidRPr="00E72418">
        <w:t>perfectibles</w:t>
      </w:r>
      <w:r w:rsidR="004106B1" w:rsidRPr="00E72418">
        <w:t xml:space="preserve">. </w:t>
      </w:r>
      <w:r w:rsidR="000A7DB4" w:rsidRPr="00E72418">
        <w:t>Ce constat est partagé par le Fonds monétaire international qui relève au sujet des législations anti-fonds spéculatifs que « depending on their design, these options can raise important legal and policy issues and would need to be carefully tailored to accomplish their objectives »</w:t>
      </w:r>
      <w:r w:rsidR="000A7DB4" w:rsidRPr="00E72418">
        <w:rPr>
          <w:rStyle w:val="Appelnotedebasdep"/>
        </w:rPr>
        <w:footnoteReference w:id="1992"/>
      </w:r>
      <w:r w:rsidR="000A7DB4" w:rsidRPr="00E72418">
        <w:t>.</w:t>
      </w:r>
    </w:p>
    <w:p w14:paraId="5BD38360" w14:textId="56916CD8" w:rsidR="00B54FC9" w:rsidRPr="00E72418" w:rsidRDefault="004106B1" w:rsidP="00826548">
      <w:pPr>
        <w:spacing w:line="276" w:lineRule="auto"/>
        <w:rPr>
          <w:rFonts w:ascii="Times New Roman" w:hAnsi="Times New Roman" w:cs="Times New Roman"/>
          <w:szCs w:val="24"/>
        </w:rPr>
      </w:pPr>
      <w:r w:rsidRPr="00E72418">
        <w:rPr>
          <w:rFonts w:ascii="Times New Roman" w:hAnsi="Times New Roman" w:cs="Times New Roman"/>
          <w:szCs w:val="24"/>
        </w:rPr>
        <w:t xml:space="preserve">Fort de ce constat, </w:t>
      </w:r>
      <w:r w:rsidR="0056074C" w:rsidRPr="00E72418">
        <w:rPr>
          <w:rFonts w:ascii="Times New Roman" w:hAnsi="Times New Roman" w:cs="Times New Roman"/>
          <w:szCs w:val="24"/>
        </w:rPr>
        <w:t xml:space="preserve">la </w:t>
      </w:r>
      <w:r w:rsidRPr="00E72418">
        <w:rPr>
          <w:rFonts w:ascii="Times New Roman" w:hAnsi="Times New Roman" w:cs="Times New Roman"/>
          <w:szCs w:val="24"/>
        </w:rPr>
        <w:t xml:space="preserve">modeste ambition </w:t>
      </w:r>
      <w:r w:rsidR="0056074C" w:rsidRPr="00E72418">
        <w:rPr>
          <w:rFonts w:ascii="Times New Roman" w:hAnsi="Times New Roman" w:cs="Times New Roman"/>
          <w:szCs w:val="24"/>
        </w:rPr>
        <w:t xml:space="preserve">de notre recherche </w:t>
      </w:r>
      <w:r w:rsidRPr="00E72418">
        <w:rPr>
          <w:rFonts w:ascii="Times New Roman" w:hAnsi="Times New Roman" w:cs="Times New Roman"/>
          <w:szCs w:val="24"/>
        </w:rPr>
        <w:t xml:space="preserve">est de parvenir dans les pages qui suivent à dégager les lignes de force et les contours d’une réponse juridique mesurée qui puisse être </w:t>
      </w:r>
      <w:r w:rsidR="00826548" w:rsidRPr="00E72418">
        <w:rPr>
          <w:rFonts w:ascii="Times New Roman" w:hAnsi="Times New Roman" w:cs="Times New Roman"/>
          <w:szCs w:val="24"/>
        </w:rPr>
        <w:t xml:space="preserve">mise en œuvre </w:t>
      </w:r>
      <w:r w:rsidRPr="00E72418">
        <w:rPr>
          <w:rFonts w:ascii="Times New Roman" w:hAnsi="Times New Roman" w:cs="Times New Roman"/>
          <w:szCs w:val="24"/>
        </w:rPr>
        <w:t>via d’autres initiatives législatives nationales voire supranationales.</w:t>
      </w:r>
      <w:r w:rsidR="002B0B3A" w:rsidRPr="00E72418">
        <w:rPr>
          <w:rFonts w:ascii="Times New Roman" w:hAnsi="Times New Roman" w:cs="Times New Roman"/>
          <w:szCs w:val="24"/>
        </w:rPr>
        <w:t xml:space="preserve"> </w:t>
      </w:r>
      <w:r w:rsidR="00826548" w:rsidRPr="00E72418">
        <w:rPr>
          <w:rFonts w:ascii="Times New Roman" w:hAnsi="Times New Roman" w:cs="Times New Roman"/>
          <w:szCs w:val="24"/>
        </w:rPr>
        <w:t>Ce n’est pas là une sinécure tant, le relève Alexia Autenne après avoir souligné différents enjeux entourant les activités des fonds spéculatifs, « [d]</w:t>
      </w:r>
      <w:r w:rsidR="00826548" w:rsidRPr="00E72418">
        <w:rPr>
          <w:rFonts w:ascii="Times New Roman" w:hAnsi="Times New Roman" w:cs="Times New Roman"/>
          <w:szCs w:val="24"/>
          <w:shd w:val="clear" w:color="auto" w:fill="FFFFFF"/>
        </w:rPr>
        <w:t xml:space="preserve">épartager ces conflits de valeurs et édicter des règles générales n’est </w:t>
      </w:r>
      <w:r w:rsidR="00826548" w:rsidRPr="00E72418">
        <w:rPr>
          <w:rFonts w:ascii="Times New Roman" w:hAnsi="Times New Roman" w:cs="Times New Roman"/>
          <w:szCs w:val="24"/>
        </w:rPr>
        <w:t xml:space="preserve">[…] </w:t>
      </w:r>
      <w:r w:rsidR="00826548" w:rsidRPr="00E72418">
        <w:rPr>
          <w:rFonts w:ascii="Times New Roman" w:hAnsi="Times New Roman" w:cs="Times New Roman"/>
          <w:szCs w:val="24"/>
          <w:shd w:val="clear" w:color="auto" w:fill="FFFFFF"/>
        </w:rPr>
        <w:t>pas chose aisée »</w:t>
      </w:r>
      <w:r w:rsidR="00826548" w:rsidRPr="00E72418">
        <w:rPr>
          <w:rStyle w:val="Appelnotedebasdep"/>
          <w:rFonts w:ascii="Times New Roman" w:hAnsi="Times New Roman" w:cs="Times New Roman"/>
          <w:szCs w:val="24"/>
          <w:shd w:val="clear" w:color="auto" w:fill="FFFFFF"/>
        </w:rPr>
        <w:footnoteReference w:id="1993"/>
      </w:r>
      <w:r w:rsidR="00826548" w:rsidRPr="00E72418">
        <w:rPr>
          <w:rFonts w:ascii="Times New Roman" w:hAnsi="Times New Roman" w:cs="Times New Roman"/>
          <w:szCs w:val="24"/>
          <w:shd w:val="clear" w:color="auto" w:fill="FFFFFF"/>
        </w:rPr>
        <w:t>. Aussi, la difficulté réside dans le fait qu’il est des choses positives apportées par les fonds investissant sur le marché secondaire des dettes souveraines dont il serait absurde de se priver parce qu’obnubilé par les critiques, certes justifiées (du moins pour partie), envers les spéculateurs.</w:t>
      </w:r>
      <w:r w:rsidR="00745DF2" w:rsidRPr="00E72418">
        <w:rPr>
          <w:rFonts w:ascii="Times New Roman" w:hAnsi="Times New Roman" w:cs="Times New Roman"/>
          <w:szCs w:val="24"/>
          <w:shd w:val="clear" w:color="auto" w:fill="FFFFFF"/>
        </w:rPr>
        <w:t xml:space="preserve"> Face à ces considérations diverses, il importe de s’entendre sur la philosophie devant présider une appréhension utile du phénomène </w:t>
      </w:r>
      <w:r w:rsidR="00745DF2" w:rsidRPr="00E72418">
        <w:rPr>
          <w:rFonts w:ascii="Times New Roman" w:hAnsi="Times New Roman" w:cs="Times New Roman"/>
          <w:szCs w:val="24"/>
          <w:shd w:val="clear" w:color="auto" w:fill="FFFFFF"/>
        </w:rPr>
        <w:lastRenderedPageBreak/>
        <w:t>spéculatif (</w:t>
      </w:r>
      <w:r w:rsidR="00745DF2" w:rsidRPr="00E72418">
        <w:rPr>
          <w:rFonts w:ascii="Times New Roman" w:hAnsi="Times New Roman" w:cs="Times New Roman"/>
          <w:b/>
          <w:szCs w:val="24"/>
          <w:shd w:val="clear" w:color="auto" w:fill="FFFFFF"/>
        </w:rPr>
        <w:t>titre 1</w:t>
      </w:r>
      <w:r w:rsidR="00ED4C9C" w:rsidRPr="00E72418">
        <w:rPr>
          <w:rFonts w:ascii="Times New Roman" w:hAnsi="Times New Roman" w:cs="Times New Roman"/>
          <w:szCs w:val="24"/>
          <w:shd w:val="clear" w:color="auto" w:fill="FFFFFF"/>
        </w:rPr>
        <w:t>). Ce n’est qu’une fois</w:t>
      </w:r>
      <w:r w:rsidR="00745DF2" w:rsidRPr="00E72418">
        <w:rPr>
          <w:rFonts w:ascii="Times New Roman" w:hAnsi="Times New Roman" w:cs="Times New Roman"/>
          <w:szCs w:val="24"/>
          <w:shd w:val="clear" w:color="auto" w:fill="FFFFFF"/>
        </w:rPr>
        <w:t xml:space="preserve"> celle-ci tracée que l’on peut </w:t>
      </w:r>
      <w:r w:rsidR="0056074C" w:rsidRPr="00E72418">
        <w:rPr>
          <w:rFonts w:ascii="Times New Roman" w:hAnsi="Times New Roman" w:cs="Times New Roman"/>
          <w:szCs w:val="24"/>
          <w:shd w:val="clear" w:color="auto" w:fill="FFFFFF"/>
        </w:rPr>
        <w:t xml:space="preserve">ensuite </w:t>
      </w:r>
      <w:r w:rsidR="00745DF2" w:rsidRPr="00E72418">
        <w:rPr>
          <w:rFonts w:ascii="Times New Roman" w:hAnsi="Times New Roman" w:cs="Times New Roman"/>
          <w:szCs w:val="24"/>
          <w:shd w:val="clear" w:color="auto" w:fill="FFFFFF"/>
        </w:rPr>
        <w:t>s’engager dans la technicité de notre proposition (</w:t>
      </w:r>
      <w:r w:rsidR="00745DF2" w:rsidRPr="00E72418">
        <w:rPr>
          <w:rFonts w:ascii="Times New Roman" w:hAnsi="Times New Roman" w:cs="Times New Roman"/>
          <w:b/>
          <w:szCs w:val="24"/>
          <w:shd w:val="clear" w:color="auto" w:fill="FFFFFF"/>
        </w:rPr>
        <w:t>titre 2</w:t>
      </w:r>
      <w:r w:rsidR="00745DF2" w:rsidRPr="00E72418">
        <w:rPr>
          <w:rFonts w:ascii="Times New Roman" w:hAnsi="Times New Roman" w:cs="Times New Roman"/>
          <w:szCs w:val="24"/>
          <w:shd w:val="clear" w:color="auto" w:fill="FFFFFF"/>
        </w:rPr>
        <w:t>).</w:t>
      </w:r>
    </w:p>
    <w:p w14:paraId="775188D0" w14:textId="4E769F2A" w:rsidR="00667D0D" w:rsidRPr="00E72418" w:rsidRDefault="00EB6BA8" w:rsidP="00CC4BA8">
      <w:pPr>
        <w:spacing w:line="276" w:lineRule="auto"/>
      </w:pPr>
      <w:r w:rsidRPr="00E72418">
        <w:t>Cette</w:t>
      </w:r>
      <w:r w:rsidR="002B0B3A" w:rsidRPr="00E72418">
        <w:t xml:space="preserve"> proposition porte en elle sa propre limite dès lors que, quoiqu’elle vise à équiper les juges saisis de</w:t>
      </w:r>
      <w:r w:rsidR="00826548" w:rsidRPr="00E72418">
        <w:t>s</w:t>
      </w:r>
      <w:r w:rsidR="002B0B3A" w:rsidRPr="00E72418">
        <w:t xml:space="preserve"> demandes de fonds spéculatifs</w:t>
      </w:r>
      <w:r w:rsidR="00485F3A" w:rsidRPr="00E72418">
        <w:t xml:space="preserve"> en leur indiquant la mesure à y réserver</w:t>
      </w:r>
      <w:r w:rsidR="00507B7F" w:rsidRPr="00E72418">
        <w:rPr>
          <w:rStyle w:val="Appelnotedebasdep"/>
        </w:rPr>
        <w:footnoteReference w:id="1994"/>
      </w:r>
      <w:r w:rsidR="002B0B3A" w:rsidRPr="00E72418">
        <w:t>, il reste que le pouvoir judiciaire n’</w:t>
      </w:r>
      <w:r w:rsidR="0056074C" w:rsidRPr="00E72418">
        <w:t xml:space="preserve">apparaît pas être </w:t>
      </w:r>
      <w:r w:rsidR="002B0B3A" w:rsidRPr="00E72418">
        <w:t>le régulateur ido</w:t>
      </w:r>
      <w:r w:rsidR="00747FFE" w:rsidRPr="00E72418">
        <w:t>ine</w:t>
      </w:r>
      <w:r w:rsidR="0056074C" w:rsidRPr="00E72418">
        <w:t>. En effet, les</w:t>
      </w:r>
      <w:r w:rsidR="00747FFE" w:rsidRPr="00E72418">
        <w:t xml:space="preserve"> larges enjeux qui entourent les </w:t>
      </w:r>
      <w:r w:rsidR="0056074C" w:rsidRPr="00E72418">
        <w:t xml:space="preserve">crises de dettes souveraines </w:t>
      </w:r>
      <w:r w:rsidR="00747FFE" w:rsidRPr="00E72418">
        <w:t>dépassent souvent la sphère de compétence du pouvoir qui est pourtant saisi</w:t>
      </w:r>
      <w:r w:rsidR="00747FFE" w:rsidRPr="00E72418">
        <w:rPr>
          <w:rStyle w:val="Appelnotedebasdep"/>
        </w:rPr>
        <w:footnoteReference w:id="1995"/>
      </w:r>
      <w:r w:rsidR="00747FFE" w:rsidRPr="00E72418">
        <w:t>.</w:t>
      </w:r>
    </w:p>
    <w:p w14:paraId="37C4DB82" w14:textId="77777777" w:rsidR="00765936" w:rsidRPr="00E72418" w:rsidRDefault="00765936" w:rsidP="00CC4BA8">
      <w:pPr>
        <w:spacing w:line="276" w:lineRule="auto"/>
      </w:pPr>
    </w:p>
    <w:p w14:paraId="1BCF3825" w14:textId="77777777" w:rsidR="003D085E" w:rsidRPr="00E72418" w:rsidRDefault="003D085E" w:rsidP="0044558C"/>
    <w:p w14:paraId="27F6CA65" w14:textId="69C05324" w:rsidR="004106B1" w:rsidRPr="00E72418" w:rsidRDefault="004106B1" w:rsidP="00CC4BA8">
      <w:pPr>
        <w:pStyle w:val="BB"/>
        <w:spacing w:line="276" w:lineRule="auto"/>
      </w:pPr>
      <w:bookmarkStart w:id="469" w:name="_Toc59281033"/>
      <w:bookmarkStart w:id="470" w:name="_Toc75106118"/>
      <w:bookmarkStart w:id="471" w:name="_Toc84541012"/>
      <w:r w:rsidRPr="00E72418">
        <w:t>Titre 1 : La philosophie</w:t>
      </w:r>
      <w:bookmarkEnd w:id="469"/>
      <w:bookmarkEnd w:id="470"/>
      <w:bookmarkEnd w:id="471"/>
    </w:p>
    <w:p w14:paraId="63014ED9" w14:textId="77777777" w:rsidR="0044558C" w:rsidRPr="00E72418" w:rsidRDefault="0044558C" w:rsidP="0044558C"/>
    <w:p w14:paraId="50B1E92A" w14:textId="0ED88AC3" w:rsidR="0044558C" w:rsidRPr="00E72418" w:rsidRDefault="004469AC" w:rsidP="0044558C">
      <w:pPr>
        <w:spacing w:line="276" w:lineRule="auto"/>
      </w:pPr>
      <w:r w:rsidRPr="00E72418">
        <w:rPr>
          <w:b/>
        </w:rPr>
        <w:t>395</w:t>
      </w:r>
      <w:r w:rsidR="00712571" w:rsidRPr="00E72418">
        <w:rPr>
          <w:b/>
        </w:rPr>
        <w:t xml:space="preserve">. </w:t>
      </w:r>
      <w:r w:rsidR="0044558C" w:rsidRPr="00E72418">
        <w:rPr>
          <w:b/>
        </w:rPr>
        <w:t xml:space="preserve">Une demande engageante – </w:t>
      </w:r>
      <w:r w:rsidR="0044558C" w:rsidRPr="00E72418">
        <w:t>Les activités spéculatives sur les dettes souveraines reçoivent de longue date une attention importante</w:t>
      </w:r>
      <w:r w:rsidR="0056074C" w:rsidRPr="00E72418">
        <w:t>. Celle-ci</w:t>
      </w:r>
      <w:r w:rsidR="0044558C" w:rsidRPr="00E72418">
        <w:t xml:space="preserve"> va sans doute se trouver </w:t>
      </w:r>
      <w:r w:rsidR="00ED4C9C" w:rsidRPr="00E72418">
        <w:t>exacerbée</w:t>
      </w:r>
      <w:r w:rsidR="0056074C" w:rsidRPr="00E72418">
        <w:t xml:space="preserve"> par l’</w:t>
      </w:r>
      <w:r w:rsidR="0044558C" w:rsidRPr="00E72418">
        <w:t xml:space="preserve">accroissement </w:t>
      </w:r>
      <w:r w:rsidR="0056074C" w:rsidRPr="00E72418">
        <w:t xml:space="preserve">des endettements souverains </w:t>
      </w:r>
      <w:r w:rsidR="0044558C" w:rsidRPr="00E72418">
        <w:t xml:space="preserve">causé par la pandémie mondiale de coronavirus. Nombreux sont les acteurs ayant ainsi fait état de leur préoccupation et demandant que ladite spéculation soit </w:t>
      </w:r>
      <w:r w:rsidR="0056074C" w:rsidRPr="00E72418">
        <w:t>jugulée</w:t>
      </w:r>
      <w:r w:rsidR="0044558C" w:rsidRPr="00E72418">
        <w:t xml:space="preserve"> (</w:t>
      </w:r>
      <w:r w:rsidR="0044558C" w:rsidRPr="00E72418">
        <w:rPr>
          <w:b/>
        </w:rPr>
        <w:t>chapitre 1</w:t>
      </w:r>
      <w:r w:rsidR="0044558C" w:rsidRPr="00E72418">
        <w:t xml:space="preserve">). Ne pouvant rester </w:t>
      </w:r>
      <w:r w:rsidR="00ED4C9C" w:rsidRPr="00E72418">
        <w:t>insensible</w:t>
      </w:r>
      <w:r w:rsidR="0044558C" w:rsidRPr="00E72418">
        <w:t xml:space="preserve"> à ces demandes, il importe de démontrer la pertinence d’une réglementation sur mesure du phénomène (</w:t>
      </w:r>
      <w:r w:rsidR="0044558C" w:rsidRPr="00E72418">
        <w:rPr>
          <w:b/>
        </w:rPr>
        <w:t>chapitre 2</w:t>
      </w:r>
      <w:r w:rsidR="0044558C" w:rsidRPr="00E72418">
        <w:t xml:space="preserve">). Cette démonstration apportée, il convient </w:t>
      </w:r>
      <w:r w:rsidR="006B6302">
        <w:t xml:space="preserve">ensuite </w:t>
      </w:r>
      <w:r w:rsidR="0044558C" w:rsidRPr="00E72418">
        <w:t xml:space="preserve">de justifier de la limitation que l’on entend mettre en place. </w:t>
      </w:r>
      <w:r w:rsidR="00242481" w:rsidRPr="00E72418">
        <w:t>À</w:t>
      </w:r>
      <w:r w:rsidR="0044558C" w:rsidRPr="00E72418">
        <w:t xml:space="preserve"> cette fin, l’argument de la soutenabilité des dettes souveraines nous paraît </w:t>
      </w:r>
      <w:r w:rsidR="00ED4C9C" w:rsidRPr="00E72418">
        <w:t>offrir l’</w:t>
      </w:r>
      <w:r w:rsidR="0044558C" w:rsidRPr="00E72418">
        <w:t>assise valable (</w:t>
      </w:r>
      <w:r w:rsidR="0044558C" w:rsidRPr="00E72418">
        <w:rPr>
          <w:b/>
        </w:rPr>
        <w:t>chapitre 3</w:t>
      </w:r>
      <w:r w:rsidR="0044558C" w:rsidRPr="00E72418">
        <w:t>). Il reste finalement à préciser la teneur de l’engagement (</w:t>
      </w:r>
      <w:r w:rsidR="0044558C" w:rsidRPr="00E72418">
        <w:rPr>
          <w:b/>
        </w:rPr>
        <w:t>chapitre 4</w:t>
      </w:r>
      <w:r w:rsidR="0044558C" w:rsidRPr="00E72418">
        <w:t>).</w:t>
      </w:r>
    </w:p>
    <w:p w14:paraId="3080FCCA" w14:textId="77777777" w:rsidR="00826548" w:rsidRPr="00E72418" w:rsidRDefault="00826548" w:rsidP="0044558C"/>
    <w:p w14:paraId="653E5D37" w14:textId="52D252B1" w:rsidR="004106B1" w:rsidRPr="00E72418" w:rsidRDefault="004106B1" w:rsidP="00CC4BA8">
      <w:pPr>
        <w:pStyle w:val="CC"/>
        <w:spacing w:line="276" w:lineRule="auto"/>
      </w:pPr>
      <w:bookmarkStart w:id="472" w:name="_Toc59281034"/>
      <w:bookmarkStart w:id="473" w:name="_Toc75106119"/>
      <w:bookmarkStart w:id="474" w:name="_Toc84541013"/>
      <w:r w:rsidRPr="00E72418">
        <w:t>Chapitre 1 : Une demande à entendre</w:t>
      </w:r>
      <w:bookmarkEnd w:id="472"/>
      <w:bookmarkEnd w:id="473"/>
      <w:bookmarkEnd w:id="474"/>
    </w:p>
    <w:p w14:paraId="26D52E9A" w14:textId="77777777" w:rsidR="00A55A97" w:rsidRPr="00E72418" w:rsidRDefault="00A55A97" w:rsidP="00CC4BA8">
      <w:pPr>
        <w:spacing w:line="276" w:lineRule="auto"/>
      </w:pPr>
    </w:p>
    <w:p w14:paraId="01524DC6" w14:textId="6E454EF7" w:rsidR="004106B1" w:rsidRPr="00E72418" w:rsidRDefault="004469AC" w:rsidP="00CC4BA8">
      <w:pPr>
        <w:spacing w:line="276" w:lineRule="auto"/>
      </w:pPr>
      <w:r w:rsidRPr="00E72418">
        <w:rPr>
          <w:b/>
        </w:rPr>
        <w:t>396</w:t>
      </w:r>
      <w:r w:rsidR="00817D62" w:rsidRPr="00E72418">
        <w:rPr>
          <w:b/>
        </w:rPr>
        <w:t xml:space="preserve">. </w:t>
      </w:r>
      <w:r w:rsidR="004106B1" w:rsidRPr="00E72418">
        <w:rPr>
          <w:b/>
        </w:rPr>
        <w:t>Une demande expresse et répétée des Nations Unies –</w:t>
      </w:r>
      <w:r w:rsidR="004106B1" w:rsidRPr="00E72418">
        <w:t xml:space="preserve"> Ayant affirmé leur</w:t>
      </w:r>
      <w:r w:rsidR="00485F3A" w:rsidRPr="00E72418">
        <w:t>s</w:t>
      </w:r>
      <w:r w:rsidR="004106B1" w:rsidRPr="00E72418">
        <w:t xml:space="preserve"> préoccupation</w:t>
      </w:r>
      <w:r w:rsidR="00485F3A" w:rsidRPr="00E72418">
        <w:t>s</w:t>
      </w:r>
      <w:r w:rsidR="004106B1" w:rsidRPr="00E72418">
        <w:t xml:space="preserve"> née</w:t>
      </w:r>
      <w:r w:rsidR="00485F3A" w:rsidRPr="00E72418">
        <w:t>s</w:t>
      </w:r>
      <w:r w:rsidR="004106B1" w:rsidRPr="00E72418">
        <w:t xml:space="preserve"> du constat des activités spéculatives sur les dettes souveraines et de leurs effets négatifs, différents organes des Nations Unies appellent depuis de nombreuses années à ce que le phénomène soit appréhendé via l’adoption de législations locales </w:t>
      </w:r>
      <w:r w:rsidR="00290A92" w:rsidRPr="00E72418">
        <w:t>permettant de l’</w:t>
      </w:r>
      <w:r w:rsidR="00485F3A" w:rsidRPr="00E72418">
        <w:t>encadrer</w:t>
      </w:r>
      <w:r w:rsidR="004106B1" w:rsidRPr="00E72418">
        <w:rPr>
          <w:rStyle w:val="Appelnotedebasdep"/>
        </w:rPr>
        <w:footnoteReference w:id="1996"/>
      </w:r>
      <w:r w:rsidR="004106B1" w:rsidRPr="00E72418">
        <w:t>.</w:t>
      </w:r>
    </w:p>
    <w:p w14:paraId="4D7E47EC" w14:textId="77F7FFB5" w:rsidR="004106B1" w:rsidRPr="00E72418" w:rsidRDefault="004106B1" w:rsidP="00CC4BA8">
      <w:pPr>
        <w:spacing w:line="276" w:lineRule="auto"/>
      </w:pPr>
      <w:r w:rsidRPr="00E72418">
        <w:lastRenderedPageBreak/>
        <w:t>Dans sa résolution de 2014 sur les effets de la dette extérieure et des obligations financières internationales connexes des États sur le plein exercice de tous les droits de l’homme, en particulier des droits économiques, sociaux et culturels et, particulièrement, sur les activités des fonds qualifiés de « rapaces », le Conseil des droits de l’homme des Nations Unies « engage les États à envisager la mise en place de cadres juridiques afin de restreindre les activités prédatrices des fonds rapaces dans leur juridiction »</w:t>
      </w:r>
      <w:r w:rsidRPr="00E72418">
        <w:rPr>
          <w:rStyle w:val="Appelnotedebasdep"/>
          <w:rFonts w:cs="Times New Roman"/>
          <w:szCs w:val="24"/>
        </w:rPr>
        <w:footnoteReference w:id="1997"/>
      </w:r>
      <w:r w:rsidR="004A358F" w:rsidRPr="00E72418">
        <w:rPr>
          <w:vertAlign w:val="superscript"/>
        </w:rPr>
        <w:t>,</w:t>
      </w:r>
      <w:r w:rsidR="004A358F" w:rsidRPr="00E72418">
        <w:rPr>
          <w:rStyle w:val="Appelnotedebasdep"/>
        </w:rPr>
        <w:footnoteReference w:id="1998"/>
      </w:r>
      <w:r w:rsidRPr="00E72418">
        <w:t>.</w:t>
      </w:r>
    </w:p>
    <w:p w14:paraId="0099FBE9" w14:textId="77777777" w:rsidR="004106B1" w:rsidRPr="00E72418" w:rsidRDefault="004106B1" w:rsidP="00CC4BA8">
      <w:pPr>
        <w:spacing w:line="276" w:lineRule="auto"/>
        <w:rPr>
          <w:bCs/>
        </w:rPr>
      </w:pPr>
      <w:r w:rsidRPr="00E72418">
        <w:t xml:space="preserve">La Conférence des Nations Unies sur le commerce et le développement indique dans ses </w:t>
      </w:r>
      <w:r w:rsidRPr="00E72418">
        <w:rPr>
          <w:i/>
        </w:rPr>
        <w:t>Roadmap and Guide on Sovereign Debt Workouts</w:t>
      </w:r>
      <w:r w:rsidRPr="00E72418">
        <w:rPr>
          <w:bCs/>
          <w:i/>
        </w:rPr>
        <w:t xml:space="preserve"> </w:t>
      </w:r>
      <w:r w:rsidRPr="00E72418">
        <w:rPr>
          <w:rFonts w:cs="Times New Roman"/>
        </w:rPr>
        <w:t>de 2015</w:t>
      </w:r>
      <w:r w:rsidRPr="00E72418">
        <w:t xml:space="preserve"> que </w:t>
      </w:r>
      <w:r w:rsidRPr="00E72418">
        <w:rPr>
          <w:bCs/>
        </w:rPr>
        <w:t>« States</w:t>
      </w:r>
      <w:r w:rsidRPr="00E72418">
        <w:t xml:space="preserve">, especially the main jurisdictions which host the issuance of sovereign bonds or whose law is governing other sovereign debt instruments, should consider adopting legislation that bars litigation by uncooperative creditors to the extent that their claims exceed what they would have received had they participated in a workout </w:t>
      </w:r>
      <w:r w:rsidRPr="00E72418">
        <w:rPr>
          <w:bCs/>
        </w:rPr>
        <w:t>»</w:t>
      </w:r>
      <w:r w:rsidRPr="00E72418">
        <w:rPr>
          <w:rStyle w:val="Appelnotedebasdep"/>
          <w:bCs/>
        </w:rPr>
        <w:footnoteReference w:id="1999"/>
      </w:r>
      <w:r w:rsidRPr="00E72418">
        <w:rPr>
          <w:bCs/>
        </w:rPr>
        <w:t xml:space="preserve">. De la même manière, la Conférence fait encore valoir qu’ </w:t>
      </w:r>
      <w:r w:rsidRPr="00E72418">
        <w:rPr>
          <w:szCs w:val="24"/>
        </w:rPr>
        <w:t xml:space="preserve">« </w:t>
      </w:r>
      <w:r w:rsidRPr="00E72418">
        <w:rPr>
          <w:rFonts w:cs="Times New Roman"/>
        </w:rPr>
        <w:t>[a]</w:t>
      </w:r>
      <w:r w:rsidRPr="00E72418">
        <w:t xml:space="preserve"> growing consensus has emerged on the need to tackle the activities of vulture funds </w:t>
      </w:r>
      <w:r w:rsidRPr="00E72418">
        <w:rPr>
          <w:szCs w:val="24"/>
        </w:rPr>
        <w:t>»</w:t>
      </w:r>
      <w:r w:rsidRPr="00E72418">
        <w:rPr>
          <w:rStyle w:val="Appelnotedebasdep"/>
          <w:szCs w:val="24"/>
        </w:rPr>
        <w:footnoteReference w:id="2000"/>
      </w:r>
      <w:r w:rsidRPr="00E72418">
        <w:rPr>
          <w:szCs w:val="24"/>
        </w:rPr>
        <w:t>.</w:t>
      </w:r>
    </w:p>
    <w:p w14:paraId="2E61CA0D" w14:textId="77777777" w:rsidR="004106B1" w:rsidRPr="00E72418" w:rsidRDefault="004106B1" w:rsidP="00CC4BA8">
      <w:pPr>
        <w:spacing w:line="276" w:lineRule="auto"/>
        <w:rPr>
          <w:rFonts w:cs="Times New Roman"/>
        </w:rPr>
      </w:pPr>
      <w:r w:rsidRPr="00E72418">
        <w:t>En 2015, l’Assemblée générale des Nations Unies a adopté le programme d’action d’Addis-Abeba issu de la troisième Conférence internationale sur le financement du développement. Les participants, après avoir indiqué être « </w:t>
      </w:r>
      <w:r w:rsidRPr="00E72418">
        <w:rPr>
          <w:rFonts w:cs="Times New Roman"/>
        </w:rPr>
        <w:t>préoccupés par le fait que certains porteurs d’obligations minoritaires peu enclins à coopérer ont les moyens de contrarier la volonté des porteurs majoritaires qui acceptent de restructurer les obligations d’un pays traversant une crise de la dette », encouragent « tous les gouvernements à prendre les mesures qui s’imposent »</w:t>
      </w:r>
      <w:r w:rsidRPr="00E72418">
        <w:rPr>
          <w:rStyle w:val="Appelnotedebasdep"/>
          <w:rFonts w:cs="Times New Roman"/>
        </w:rPr>
        <w:footnoteReference w:id="2001"/>
      </w:r>
      <w:r w:rsidRPr="00E72418">
        <w:rPr>
          <w:rFonts w:cs="Times New Roman"/>
        </w:rPr>
        <w:t>.</w:t>
      </w:r>
    </w:p>
    <w:p w14:paraId="7891153C" w14:textId="6E69F494" w:rsidR="004106B1" w:rsidRPr="00E72418" w:rsidRDefault="004106B1" w:rsidP="00CC4BA8">
      <w:pPr>
        <w:spacing w:line="276" w:lineRule="auto"/>
        <w:rPr>
          <w:rFonts w:cs="Times New Roman"/>
          <w:szCs w:val="24"/>
        </w:rPr>
      </w:pPr>
      <w:r w:rsidRPr="00E72418">
        <w:rPr>
          <w:szCs w:val="24"/>
        </w:rPr>
        <w:t>Dans son rapport final de 2019 sur les activités des fonds vautours et leurs incidences sur les droits de l’homme, le Comité consultatif du Conseil des droits de l’homme retient qu’au niveau national, « </w:t>
      </w:r>
      <w:r w:rsidRPr="00E72418">
        <w:rPr>
          <w:rFonts w:cs="Times New Roman"/>
          <w:szCs w:val="24"/>
        </w:rPr>
        <w:t>[l]</w:t>
      </w:r>
      <w:r w:rsidRPr="00E72418">
        <w:rPr>
          <w:szCs w:val="24"/>
        </w:rPr>
        <w:t>es États devraient prendre des mesures concrètes pour réglementer les procédures judiciaires préjudiciables liées aux dettes souveraines qui sont engagées par les fonds vautours</w:t>
      </w:r>
      <w:r w:rsidR="006B6302">
        <w:rPr>
          <w:szCs w:val="24"/>
        </w:rPr>
        <w:t xml:space="preserve"> </w:t>
      </w:r>
      <w:r w:rsidRPr="00E72418">
        <w:rPr>
          <w:szCs w:val="24"/>
        </w:rPr>
        <w:lastRenderedPageBreak/>
        <w:t xml:space="preserve">». </w:t>
      </w:r>
      <w:r w:rsidRPr="00E72418">
        <w:rPr>
          <w:rFonts w:cs="Times New Roman"/>
          <w:szCs w:val="24"/>
        </w:rPr>
        <w:t xml:space="preserve">Le Comité consultatif des droits de l’homme recommande ainsi aux </w:t>
      </w:r>
      <w:r w:rsidRPr="00E72418">
        <w:rPr>
          <w:rFonts w:cs="Times New Roman"/>
          <w:szCs w:val="24"/>
          <w:shd w:val="clear" w:color="auto" w:fill="FFFFFF"/>
        </w:rPr>
        <w:t>É</w:t>
      </w:r>
      <w:r w:rsidRPr="00E72418">
        <w:rPr>
          <w:rFonts w:cs="Times New Roman"/>
          <w:szCs w:val="24"/>
        </w:rPr>
        <w:t xml:space="preserve">tats d’ « </w:t>
      </w:r>
      <w:r w:rsidRPr="00E72418">
        <w:rPr>
          <w:bCs/>
          <w:szCs w:val="24"/>
        </w:rPr>
        <w:t>adopter des lois qui visent à restreindre les activités prédatrices des fonds vautours sur leur territoire</w:t>
      </w:r>
      <w:r w:rsidRPr="00E72418">
        <w:rPr>
          <w:rFonts w:cs="Times New Roman"/>
          <w:szCs w:val="24"/>
        </w:rPr>
        <w:t> »</w:t>
      </w:r>
      <w:r w:rsidRPr="00E72418">
        <w:rPr>
          <w:rStyle w:val="Appelnotedebasdep"/>
          <w:rFonts w:cs="Times New Roman"/>
          <w:szCs w:val="24"/>
        </w:rPr>
        <w:footnoteReference w:id="2002"/>
      </w:r>
      <w:r w:rsidRPr="00E72418">
        <w:rPr>
          <w:rFonts w:cs="Times New Roman"/>
          <w:szCs w:val="24"/>
        </w:rPr>
        <w:t>.</w:t>
      </w:r>
      <w:r w:rsidR="00992BCE" w:rsidRPr="00E72418">
        <w:rPr>
          <w:rFonts w:cs="Times New Roman"/>
          <w:szCs w:val="24"/>
        </w:rPr>
        <w:t xml:space="preserve"> </w:t>
      </w:r>
      <w:r w:rsidR="00801C3E" w:rsidRPr="00E72418">
        <w:rPr>
          <w:rFonts w:cs="Times New Roman"/>
          <w:szCs w:val="24"/>
        </w:rPr>
        <w:t>Et le Comité de noter que « </w:t>
      </w:r>
      <w:r w:rsidR="00801C3E" w:rsidRPr="00E72418">
        <w:rPr>
          <w:rFonts w:cs="Times New Roman"/>
        </w:rPr>
        <w:t>[l]</w:t>
      </w:r>
      <w:r w:rsidR="00801C3E" w:rsidRPr="00E72418">
        <w:rPr>
          <w:szCs w:val="24"/>
        </w:rPr>
        <w:t>es</w:t>
      </w:r>
      <w:r w:rsidR="00801C3E" w:rsidRPr="00E72418">
        <w:rPr>
          <w:bCs/>
          <w:szCs w:val="24"/>
        </w:rPr>
        <w:t xml:space="preserve"> législations belge et britannique sont de précieux modèles dont d’autres États peuvent s’inspirer pour élaborer des lois nationales visant à limiter les pratiques des fonds vautours </w:t>
      </w:r>
      <w:r w:rsidR="00801C3E" w:rsidRPr="00E72418">
        <w:rPr>
          <w:rFonts w:cs="Times New Roman"/>
          <w:szCs w:val="24"/>
        </w:rPr>
        <w:t>»</w:t>
      </w:r>
      <w:r w:rsidR="00801C3E" w:rsidRPr="00E72418">
        <w:rPr>
          <w:rStyle w:val="Appelnotedebasdep"/>
          <w:rFonts w:cs="Times New Roman"/>
          <w:szCs w:val="24"/>
        </w:rPr>
        <w:footnoteReference w:id="2003"/>
      </w:r>
      <w:r w:rsidR="002B685E" w:rsidRPr="00E72418">
        <w:rPr>
          <w:rFonts w:cs="Times New Roman"/>
          <w:szCs w:val="24"/>
          <w:vertAlign w:val="superscript"/>
        </w:rPr>
        <w:t>,</w:t>
      </w:r>
      <w:r w:rsidR="002B685E" w:rsidRPr="00E72418">
        <w:rPr>
          <w:rStyle w:val="Appelnotedebasdep"/>
          <w:rFonts w:cs="Times New Roman"/>
          <w:szCs w:val="24"/>
        </w:rPr>
        <w:footnoteReference w:id="2004"/>
      </w:r>
      <w:r w:rsidR="00801C3E" w:rsidRPr="00E72418">
        <w:rPr>
          <w:rFonts w:cs="Times New Roman"/>
          <w:szCs w:val="24"/>
        </w:rPr>
        <w:t xml:space="preserve">. </w:t>
      </w:r>
    </w:p>
    <w:p w14:paraId="617057A9" w14:textId="77777777" w:rsidR="002B0B3A" w:rsidRPr="00E72418" w:rsidRDefault="002B0B3A" w:rsidP="00CC4BA8">
      <w:pPr>
        <w:spacing w:line="276" w:lineRule="auto"/>
        <w:rPr>
          <w:rFonts w:cs="Times New Roman"/>
          <w:szCs w:val="24"/>
        </w:rPr>
      </w:pPr>
    </w:p>
    <w:p w14:paraId="5D3772F0" w14:textId="7BE2A1B1" w:rsidR="00A55A97" w:rsidRPr="00E72418" w:rsidRDefault="004469AC" w:rsidP="00A55A97">
      <w:pPr>
        <w:spacing w:line="276" w:lineRule="auto"/>
        <w:rPr>
          <w:szCs w:val="24"/>
        </w:rPr>
      </w:pPr>
      <w:r w:rsidRPr="00E72418">
        <w:rPr>
          <w:b/>
          <w:szCs w:val="24"/>
        </w:rPr>
        <w:t>397</w:t>
      </w:r>
      <w:r w:rsidR="00817D62" w:rsidRPr="00E72418">
        <w:rPr>
          <w:b/>
          <w:szCs w:val="24"/>
        </w:rPr>
        <w:t xml:space="preserve">. </w:t>
      </w:r>
      <w:r w:rsidR="00A55A97" w:rsidRPr="00E72418">
        <w:rPr>
          <w:b/>
          <w:szCs w:val="24"/>
        </w:rPr>
        <w:t>Une piste envisagée par le Fonds monétaire international</w:t>
      </w:r>
      <w:r w:rsidR="00A55A97" w:rsidRPr="00E72418">
        <w:rPr>
          <w:szCs w:val="24"/>
        </w:rPr>
        <w:t xml:space="preserve"> – Sans y voir une solution miracle, le Fonds monétaire international n’est pas insensible aux mérites, dans le projet plus large d’une résolution des problèmes liés aux dettes souveraines détenues par des créanciers privés, d’une solution aux problèmes posés par les fonds spéculatifs passant par l’adoption de législations limitant leurs activités. Ainsi, il juge que « </w:t>
      </w:r>
      <w:r w:rsidR="00A55A97" w:rsidRPr="00E72418">
        <w:rPr>
          <w:rFonts w:cs="Times New Roman"/>
        </w:rPr>
        <w:t>[t]</w:t>
      </w:r>
      <w:r w:rsidR="00A55A97" w:rsidRPr="00E72418">
        <w:rPr>
          <w:szCs w:val="24"/>
        </w:rPr>
        <w:t>he desirability of wider application of targeted statutory tools of the kind already in place in a few countries to complement the contractual approach (</w:t>
      </w:r>
      <w:r w:rsidR="00A55A97" w:rsidRPr="00E72418">
        <w:rPr>
          <w:i/>
          <w:szCs w:val="24"/>
        </w:rPr>
        <w:t>i.e.</w:t>
      </w:r>
      <w:r w:rsidR="00A55A97" w:rsidRPr="00E72418">
        <w:rPr>
          <w:szCs w:val="24"/>
        </w:rPr>
        <w:t xml:space="preserve">, “anti-vulture fund” legislation) could be further explored to limit holdout creditor recovery in specified circumstances ». </w:t>
      </w:r>
      <w:r w:rsidR="002B685E" w:rsidRPr="00E72418">
        <w:rPr>
          <w:szCs w:val="24"/>
        </w:rPr>
        <w:t>Le F</w:t>
      </w:r>
      <w:r w:rsidR="00A55A97" w:rsidRPr="00E72418">
        <w:rPr>
          <w:szCs w:val="24"/>
        </w:rPr>
        <w:t>onds note toutefois que « they should be carefully designed to limit the impact on creditors’ rights and avoid undermining the secondary market »</w:t>
      </w:r>
      <w:r w:rsidR="00A55A97" w:rsidRPr="00E72418">
        <w:rPr>
          <w:rStyle w:val="Appelnotedebasdep"/>
          <w:szCs w:val="24"/>
        </w:rPr>
        <w:footnoteReference w:id="2005"/>
      </w:r>
      <w:r w:rsidR="00A55A97" w:rsidRPr="00E72418">
        <w:rPr>
          <w:szCs w:val="24"/>
        </w:rPr>
        <w:t>.</w:t>
      </w:r>
    </w:p>
    <w:p w14:paraId="2563D915" w14:textId="77777777" w:rsidR="004106B1" w:rsidRPr="00E72418" w:rsidRDefault="004106B1" w:rsidP="00CC4BA8">
      <w:pPr>
        <w:spacing w:line="276" w:lineRule="auto"/>
        <w:rPr>
          <w:rFonts w:cs="Times New Roman"/>
          <w:szCs w:val="24"/>
        </w:rPr>
      </w:pPr>
    </w:p>
    <w:p w14:paraId="028BAE1C" w14:textId="4AE78DB1" w:rsidR="004106B1" w:rsidRPr="00E72418" w:rsidRDefault="004469AC" w:rsidP="00CC4BA8">
      <w:pPr>
        <w:spacing w:line="276" w:lineRule="auto"/>
      </w:pPr>
      <w:r w:rsidRPr="00E72418">
        <w:rPr>
          <w:b/>
        </w:rPr>
        <w:t>398</w:t>
      </w:r>
      <w:r w:rsidR="00817D62" w:rsidRPr="00E72418">
        <w:rPr>
          <w:b/>
        </w:rPr>
        <w:t xml:space="preserve">. </w:t>
      </w:r>
      <w:r w:rsidR="004106B1" w:rsidRPr="00E72418">
        <w:rPr>
          <w:b/>
        </w:rPr>
        <w:t>Une demande européen</w:t>
      </w:r>
      <w:r w:rsidR="00A55A97" w:rsidRPr="00E72418">
        <w:rPr>
          <w:b/>
        </w:rPr>
        <w:t>ne</w:t>
      </w:r>
      <w:r w:rsidR="004106B1" w:rsidRPr="00E72418">
        <w:rPr>
          <w:b/>
        </w:rPr>
        <w:t xml:space="preserve"> – </w:t>
      </w:r>
      <w:r w:rsidR="004106B1" w:rsidRPr="00E72418">
        <w:t>Dans une recommandation de 2009 visant dans son intitulé les « fonds vautours », l’Assemblée parlementaire du Conseil de l’Europe condamne fermement l’action des fonds spéculant sur les dettes souveraines</w:t>
      </w:r>
      <w:r w:rsidR="004106B1" w:rsidRPr="00E72418">
        <w:rPr>
          <w:rStyle w:val="Appelnotedebasdep"/>
          <w:rFonts w:cs="Times New Roman"/>
          <w:szCs w:val="24"/>
        </w:rPr>
        <w:footnoteReference w:id="2006"/>
      </w:r>
      <w:r w:rsidR="004106B1" w:rsidRPr="00E72418">
        <w:t xml:space="preserve">. Elle y demande notamment aux gouvernements des </w:t>
      </w:r>
      <w:r w:rsidR="004106B1" w:rsidRPr="00E72418">
        <w:rPr>
          <w:lang w:eastAsia="fr-BE"/>
        </w:rPr>
        <w:t>É</w:t>
      </w:r>
      <w:r w:rsidR="004106B1" w:rsidRPr="00E72418">
        <w:t>tats membres du Conseil de l’Europe, qu’au niveau national, l’arsenal juridique soit renforcé pour limite</w:t>
      </w:r>
      <w:r w:rsidR="00DB4F5C" w:rsidRPr="00E72418">
        <w:t>r l’action de ces</w:t>
      </w:r>
      <w:r w:rsidR="004106B1" w:rsidRPr="00E72418">
        <w:t xml:space="preserve"> fonds et donne l’exemple du refus de donner effet à un jugement étranger ou du refus de procéder à une voie d’exécution de jugement lorsque la créance émane d’une spéculation</w:t>
      </w:r>
      <w:r w:rsidR="00DB4F5C" w:rsidRPr="00E72418">
        <w:t xml:space="preserve"> que l’Assemblée qualifie de « </w:t>
      </w:r>
      <w:r w:rsidR="004106B1" w:rsidRPr="00E72418">
        <w:t>véreuse</w:t>
      </w:r>
      <w:r w:rsidR="00DB4F5C" w:rsidRPr="00E72418">
        <w:t> »</w:t>
      </w:r>
      <w:r w:rsidR="004106B1" w:rsidRPr="00E72418">
        <w:rPr>
          <w:rStyle w:val="Appelnotedebasdep"/>
          <w:rFonts w:cs="Times New Roman"/>
          <w:szCs w:val="24"/>
        </w:rPr>
        <w:footnoteReference w:id="2007"/>
      </w:r>
      <w:r w:rsidR="004106B1" w:rsidRPr="00E72418">
        <w:t>.</w:t>
      </w:r>
    </w:p>
    <w:p w14:paraId="43A3137B" w14:textId="5EA0848F" w:rsidR="004106B1" w:rsidRPr="00E72418" w:rsidRDefault="004106B1" w:rsidP="00CC4BA8">
      <w:pPr>
        <w:spacing w:line="276" w:lineRule="auto"/>
      </w:pPr>
      <w:r w:rsidRPr="00E72418">
        <w:t xml:space="preserve">Le Parlement européen se veut plus concret dans sa résolution </w:t>
      </w:r>
      <w:r w:rsidRPr="00E72418">
        <w:rPr>
          <w:bCs/>
        </w:rPr>
        <w:t xml:space="preserve">sur l’amélioration de la viabilité de la dette des pays en développement de 2018. Il y demande aux </w:t>
      </w:r>
      <w:r w:rsidRPr="00E72418">
        <w:rPr>
          <w:rFonts w:cs="Times New Roman"/>
          <w:shd w:val="clear" w:color="auto" w:fill="FFFFFF"/>
        </w:rPr>
        <w:t>É</w:t>
      </w:r>
      <w:r w:rsidRPr="00E72418">
        <w:rPr>
          <w:bCs/>
        </w:rPr>
        <w:t>tats membres « </w:t>
      </w:r>
      <w:r w:rsidRPr="00E72418">
        <w:t xml:space="preserve">d’adopter, </w:t>
      </w:r>
      <w:r w:rsidRPr="00E72418">
        <w:lastRenderedPageBreak/>
        <w:t>sous l’impulsion de la Commission, un règlement s’inspirant de la loi belge portant sur la lutte contre la spéculation des fonds vautours sur la dette »</w:t>
      </w:r>
      <w:r w:rsidRPr="00E72418">
        <w:rPr>
          <w:rStyle w:val="Appelnotedebasdep"/>
          <w:rFonts w:cs="Times New Roman"/>
          <w:szCs w:val="24"/>
        </w:rPr>
        <w:footnoteReference w:id="2008"/>
      </w:r>
      <w:r w:rsidRPr="00E72418">
        <w:t>.</w:t>
      </w:r>
      <w:r w:rsidRPr="00E72418">
        <w:rPr>
          <w:b/>
        </w:rPr>
        <w:t xml:space="preserve"> </w:t>
      </w:r>
      <w:r w:rsidRPr="00E72418">
        <w:t xml:space="preserve">L’assemblée européenne est d’avis que les </w:t>
      </w:r>
      <w:bookmarkStart w:id="475" w:name="_Toc15985986"/>
      <w:bookmarkStart w:id="476" w:name="_Toc18328269"/>
      <w:r w:rsidRPr="00E72418">
        <w:t>fonds spéculatifs ciblant des débiteurs en détresse et interférant avec des processus de restructuration de leurs dettes ne doivent pas bénéficier d’appui</w:t>
      </w:r>
      <w:r w:rsidR="00A55A97" w:rsidRPr="00E72418">
        <w:t>s</w:t>
      </w:r>
      <w:r w:rsidRPr="00E72418">
        <w:t xml:space="preserve"> légal et judiciaire pour leurs activités</w:t>
      </w:r>
      <w:r w:rsidRPr="00E72418">
        <w:rPr>
          <w:rStyle w:val="Appelnotedebasdep"/>
          <w:rFonts w:cs="Times New Roman"/>
          <w:szCs w:val="24"/>
        </w:rPr>
        <w:footnoteReference w:id="2009"/>
      </w:r>
      <w:r w:rsidRPr="00E72418">
        <w:t>.</w:t>
      </w:r>
      <w:bookmarkEnd w:id="475"/>
      <w:bookmarkEnd w:id="476"/>
    </w:p>
    <w:p w14:paraId="622F2F13" w14:textId="77777777" w:rsidR="004106B1" w:rsidRPr="00E72418" w:rsidRDefault="004106B1" w:rsidP="00CC4BA8">
      <w:pPr>
        <w:spacing w:line="276" w:lineRule="auto"/>
      </w:pPr>
    </w:p>
    <w:p w14:paraId="472DD121" w14:textId="7D1B46A2" w:rsidR="004106B1" w:rsidRPr="00E72418" w:rsidRDefault="004469AC" w:rsidP="00A55A97">
      <w:pPr>
        <w:spacing w:line="276" w:lineRule="auto"/>
        <w:rPr>
          <w:rFonts w:ascii="Times New Roman" w:hAnsi="Times New Roman" w:cs="Times New Roman"/>
          <w:szCs w:val="24"/>
        </w:rPr>
      </w:pPr>
      <w:r w:rsidRPr="00E72418">
        <w:rPr>
          <w:rFonts w:ascii="Times New Roman" w:hAnsi="Times New Roman" w:cs="Times New Roman"/>
          <w:b/>
          <w:szCs w:val="24"/>
        </w:rPr>
        <w:t>399</w:t>
      </w:r>
      <w:r w:rsidR="00817D62" w:rsidRPr="00E72418">
        <w:rPr>
          <w:rFonts w:ascii="Times New Roman" w:hAnsi="Times New Roman" w:cs="Times New Roman"/>
          <w:b/>
          <w:szCs w:val="24"/>
        </w:rPr>
        <w:t xml:space="preserve">. </w:t>
      </w:r>
      <w:r w:rsidR="004106B1" w:rsidRPr="00E72418">
        <w:rPr>
          <w:rFonts w:ascii="Times New Roman" w:hAnsi="Times New Roman" w:cs="Times New Roman"/>
          <w:b/>
          <w:szCs w:val="24"/>
        </w:rPr>
        <w:t>Une demande</w:t>
      </w:r>
      <w:r w:rsidR="0011443E" w:rsidRPr="00E72418">
        <w:rPr>
          <w:rFonts w:ascii="Times New Roman" w:hAnsi="Times New Roman" w:cs="Times New Roman"/>
          <w:b/>
          <w:szCs w:val="24"/>
        </w:rPr>
        <w:t xml:space="preserve"> de la société civile</w:t>
      </w:r>
      <w:r w:rsidR="004106B1" w:rsidRPr="00E72418">
        <w:rPr>
          <w:rFonts w:ascii="Times New Roman" w:hAnsi="Times New Roman" w:cs="Times New Roman"/>
          <w:b/>
          <w:szCs w:val="24"/>
        </w:rPr>
        <w:t xml:space="preserve"> – </w:t>
      </w:r>
      <w:r w:rsidR="004106B1" w:rsidRPr="00E72418">
        <w:rPr>
          <w:rFonts w:ascii="Times New Roman" w:hAnsi="Times New Roman" w:cs="Times New Roman"/>
          <w:szCs w:val="24"/>
        </w:rPr>
        <w:t xml:space="preserve">La mobilisation de la société civile a très souvent été forte lors des contentieux intentés par les fonds spéculatifs mais également lorsque des parlements nationaux se sont engagés dans la voie de la </w:t>
      </w:r>
      <w:r w:rsidR="004F7711" w:rsidRPr="00E72418">
        <w:rPr>
          <w:rFonts w:ascii="Times New Roman" w:hAnsi="Times New Roman" w:cs="Times New Roman"/>
          <w:szCs w:val="24"/>
        </w:rPr>
        <w:t xml:space="preserve">réglementation </w:t>
      </w:r>
      <w:r w:rsidR="004106B1" w:rsidRPr="00E72418">
        <w:rPr>
          <w:rFonts w:ascii="Times New Roman" w:hAnsi="Times New Roman" w:cs="Times New Roman"/>
          <w:szCs w:val="24"/>
        </w:rPr>
        <w:t>de leurs activités</w:t>
      </w:r>
      <w:r w:rsidR="004106B1" w:rsidRPr="00E72418">
        <w:rPr>
          <w:rStyle w:val="Appelnotedebasdep"/>
          <w:rFonts w:ascii="Times New Roman" w:hAnsi="Times New Roman" w:cs="Times New Roman"/>
          <w:szCs w:val="24"/>
        </w:rPr>
        <w:footnoteReference w:id="2010"/>
      </w:r>
      <w:r w:rsidR="004106B1" w:rsidRPr="00E72418">
        <w:rPr>
          <w:rFonts w:ascii="Times New Roman" w:hAnsi="Times New Roman" w:cs="Times New Roman"/>
          <w:szCs w:val="24"/>
        </w:rPr>
        <w:t xml:space="preserve">. Parallèlement à cette implication, les activités </w:t>
      </w:r>
      <w:r w:rsidR="00DB4F5C" w:rsidRPr="00E72418">
        <w:rPr>
          <w:rFonts w:ascii="Times New Roman" w:hAnsi="Times New Roman" w:cs="Times New Roman"/>
          <w:szCs w:val="24"/>
        </w:rPr>
        <w:t xml:space="preserve">spéculatives </w:t>
      </w:r>
      <w:r w:rsidR="004106B1" w:rsidRPr="00E72418">
        <w:rPr>
          <w:rFonts w:ascii="Times New Roman" w:hAnsi="Times New Roman" w:cs="Times New Roman"/>
          <w:szCs w:val="24"/>
        </w:rPr>
        <w:t>sont critiquées par une importante partie de la doctrine juridique et économique formulant le souhait de l’appréhension de celles-ci</w:t>
      </w:r>
      <w:r w:rsidR="004106B1" w:rsidRPr="00E72418">
        <w:rPr>
          <w:rStyle w:val="Appelnotedebasdep"/>
          <w:rFonts w:ascii="Times New Roman" w:hAnsi="Times New Roman" w:cs="Times New Roman"/>
          <w:szCs w:val="24"/>
        </w:rPr>
        <w:footnoteReference w:id="2011"/>
      </w:r>
      <w:r w:rsidR="004106B1" w:rsidRPr="00E72418">
        <w:rPr>
          <w:rFonts w:ascii="Times New Roman" w:hAnsi="Times New Roman" w:cs="Times New Roman"/>
          <w:szCs w:val="24"/>
        </w:rPr>
        <w:t xml:space="preserve">. </w:t>
      </w:r>
      <w:r w:rsidR="0014720F" w:rsidRPr="00E72418">
        <w:rPr>
          <w:rFonts w:ascii="Times New Roman" w:hAnsi="Times New Roman" w:cs="Times New Roman"/>
          <w:szCs w:val="24"/>
        </w:rPr>
        <w:t xml:space="preserve">Les médias se font également </w:t>
      </w:r>
      <w:r w:rsidR="00646A4C" w:rsidRPr="00E72418">
        <w:rPr>
          <w:rFonts w:ascii="Times New Roman" w:hAnsi="Times New Roman" w:cs="Times New Roman"/>
          <w:szCs w:val="24"/>
        </w:rPr>
        <w:t xml:space="preserve">l’écho d’une demande de </w:t>
      </w:r>
      <w:r w:rsidR="004F7711" w:rsidRPr="00E72418">
        <w:rPr>
          <w:rFonts w:ascii="Times New Roman" w:hAnsi="Times New Roman" w:cs="Times New Roman"/>
          <w:szCs w:val="24"/>
        </w:rPr>
        <w:t>réglementation</w:t>
      </w:r>
      <w:r w:rsidR="00646A4C" w:rsidRPr="00E72418">
        <w:rPr>
          <w:rFonts w:ascii="Times New Roman" w:hAnsi="Times New Roman" w:cs="Times New Roman"/>
          <w:szCs w:val="24"/>
        </w:rPr>
        <w:t xml:space="preserve"> passant par l’adoption de législations sur mesure. Ainsi, très récemment, la revue </w:t>
      </w:r>
      <w:r w:rsidR="00646A4C" w:rsidRPr="00E72418">
        <w:rPr>
          <w:rFonts w:ascii="Times New Roman" w:hAnsi="Times New Roman" w:cs="Times New Roman"/>
          <w:i/>
          <w:szCs w:val="24"/>
        </w:rPr>
        <w:t>The Economist</w:t>
      </w:r>
      <w:r w:rsidR="00646A4C" w:rsidRPr="00E72418">
        <w:rPr>
          <w:rFonts w:ascii="Times New Roman" w:hAnsi="Times New Roman" w:cs="Times New Roman"/>
          <w:szCs w:val="24"/>
        </w:rPr>
        <w:t xml:space="preserve">, après </w:t>
      </w:r>
      <w:r w:rsidR="00F71F7A" w:rsidRPr="00E72418">
        <w:rPr>
          <w:rFonts w:ascii="Times New Roman" w:hAnsi="Times New Roman" w:cs="Times New Roman"/>
          <w:szCs w:val="24"/>
        </w:rPr>
        <w:t xml:space="preserve">avoir </w:t>
      </w:r>
      <w:r w:rsidR="00646A4C" w:rsidRPr="00E72418">
        <w:rPr>
          <w:rFonts w:ascii="Times New Roman" w:hAnsi="Times New Roman" w:cs="Times New Roman"/>
          <w:szCs w:val="24"/>
        </w:rPr>
        <w:t>relevé six défauts intervenus sur la seule année 2020 et l’importance des réductions des dettes souveraines, avançait que « if private creditors resist doing their share and pursue full payment in the courts, G20 governments should pass additional legislation to cap the gains that vulture funds can obtain from litigation »</w:t>
      </w:r>
      <w:r w:rsidR="00646A4C" w:rsidRPr="00E72418">
        <w:rPr>
          <w:rStyle w:val="Appelnotedebasdep"/>
          <w:rFonts w:ascii="Times New Roman" w:hAnsi="Times New Roman" w:cs="Times New Roman"/>
          <w:szCs w:val="24"/>
        </w:rPr>
        <w:footnoteReference w:id="2012"/>
      </w:r>
      <w:r w:rsidR="00646A4C" w:rsidRPr="00E72418">
        <w:rPr>
          <w:rFonts w:ascii="Times New Roman" w:hAnsi="Times New Roman" w:cs="Times New Roman"/>
          <w:szCs w:val="24"/>
        </w:rPr>
        <w:t>.</w:t>
      </w:r>
    </w:p>
    <w:p w14:paraId="3C52F46F" w14:textId="77777777" w:rsidR="004106B1" w:rsidRPr="00E72418" w:rsidRDefault="004106B1" w:rsidP="00CC4BA8">
      <w:pPr>
        <w:spacing w:line="276" w:lineRule="auto"/>
      </w:pPr>
    </w:p>
    <w:p w14:paraId="55782721" w14:textId="72C9DD23" w:rsidR="004106B1" w:rsidRPr="00E72418" w:rsidRDefault="004106B1" w:rsidP="00CC4BA8">
      <w:pPr>
        <w:pStyle w:val="CC"/>
        <w:spacing w:line="276" w:lineRule="auto"/>
      </w:pPr>
      <w:bookmarkStart w:id="477" w:name="_Toc37777435"/>
      <w:bookmarkStart w:id="478" w:name="_Toc47442964"/>
      <w:bookmarkStart w:id="479" w:name="_Toc59281035"/>
      <w:bookmarkStart w:id="480" w:name="_Toc75106120"/>
      <w:bookmarkStart w:id="481" w:name="_Toc84541014"/>
      <w:r w:rsidRPr="00E72418">
        <w:t xml:space="preserve">Chapitre 2 : La pertinence d’une </w:t>
      </w:r>
      <w:bookmarkEnd w:id="477"/>
      <w:bookmarkEnd w:id="478"/>
      <w:r w:rsidR="00F079F4" w:rsidRPr="00E72418">
        <w:t xml:space="preserve">réglementation </w:t>
      </w:r>
      <w:r w:rsidRPr="00E72418">
        <w:t>sur mesure</w:t>
      </w:r>
      <w:bookmarkEnd w:id="479"/>
      <w:bookmarkEnd w:id="480"/>
      <w:bookmarkEnd w:id="481"/>
    </w:p>
    <w:p w14:paraId="7D8210E6" w14:textId="77777777" w:rsidR="004106B1" w:rsidRPr="00E72418" w:rsidRDefault="004106B1" w:rsidP="00CC4BA8">
      <w:pPr>
        <w:spacing w:line="276" w:lineRule="auto"/>
      </w:pPr>
    </w:p>
    <w:p w14:paraId="01CF47B0" w14:textId="0AF83438" w:rsidR="004106B1" w:rsidRPr="00E72418" w:rsidRDefault="004469AC" w:rsidP="00CC4BA8">
      <w:pPr>
        <w:spacing w:line="276" w:lineRule="auto"/>
      </w:pPr>
      <w:r w:rsidRPr="00E72418">
        <w:rPr>
          <w:b/>
          <w:szCs w:val="24"/>
        </w:rPr>
        <w:t>400</w:t>
      </w:r>
      <w:r w:rsidR="00817D62" w:rsidRPr="00E72418">
        <w:rPr>
          <w:b/>
          <w:szCs w:val="24"/>
        </w:rPr>
        <w:t xml:space="preserve">. </w:t>
      </w:r>
      <w:r w:rsidR="00875281" w:rsidRPr="00E72418">
        <w:rPr>
          <w:b/>
          <w:szCs w:val="24"/>
        </w:rPr>
        <w:t xml:space="preserve">L’utile </w:t>
      </w:r>
      <w:r w:rsidR="004106B1" w:rsidRPr="00E72418">
        <w:rPr>
          <w:b/>
          <w:szCs w:val="24"/>
        </w:rPr>
        <w:t>réglementation –</w:t>
      </w:r>
      <w:r w:rsidR="00485F3A" w:rsidRPr="00E72418">
        <w:rPr>
          <w:b/>
          <w:szCs w:val="24"/>
        </w:rPr>
        <w:t xml:space="preserve"> </w:t>
      </w:r>
      <w:r w:rsidR="00875281" w:rsidRPr="00E72418">
        <w:rPr>
          <w:szCs w:val="24"/>
        </w:rPr>
        <w:t>La demande de réglementation des activités spéculatives entendue, l</w:t>
      </w:r>
      <w:r w:rsidR="004106B1" w:rsidRPr="00E72418">
        <w:t xml:space="preserve">’on peut </w:t>
      </w:r>
      <w:r w:rsidR="009D58B6" w:rsidRPr="00E72418">
        <w:t xml:space="preserve">toutefois </w:t>
      </w:r>
      <w:r w:rsidR="004106B1" w:rsidRPr="00E72418">
        <w:t>se demander dans quelle mesure l’appréhension des activités des fonds spéculatifs via l’adoption de législations les visant spécifiquement, constitue un moyen efficace de trancher le nœud gordien</w:t>
      </w:r>
      <w:r w:rsidR="004106B1" w:rsidRPr="00E72418">
        <w:rPr>
          <w:rStyle w:val="Appelnotedebasdep"/>
        </w:rPr>
        <w:footnoteReference w:id="2013"/>
      </w:r>
      <w:r w:rsidR="004106B1" w:rsidRPr="00E72418">
        <w:t xml:space="preserve">. </w:t>
      </w:r>
      <w:r w:rsidR="00485F3A" w:rsidRPr="00E72418">
        <w:t>L</w:t>
      </w:r>
      <w:r w:rsidR="004106B1" w:rsidRPr="00E72418">
        <w:rPr>
          <w:szCs w:val="24"/>
        </w:rPr>
        <w:t xml:space="preserve">e Comité consultatif des droits de l’homme des </w:t>
      </w:r>
      <w:r w:rsidR="004106B1" w:rsidRPr="00E72418">
        <w:rPr>
          <w:szCs w:val="24"/>
        </w:rPr>
        <w:lastRenderedPageBreak/>
        <w:t>Nations Unies</w:t>
      </w:r>
      <w:r w:rsidR="00593A24" w:rsidRPr="00E72418">
        <w:rPr>
          <w:szCs w:val="24"/>
        </w:rPr>
        <w:t>,</w:t>
      </w:r>
      <w:r w:rsidR="004106B1" w:rsidRPr="00E72418">
        <w:rPr>
          <w:szCs w:val="24"/>
        </w:rPr>
        <w:t xml:space="preserve"> ayant posé des règles balisant les activités des fonds spéculatifs</w:t>
      </w:r>
      <w:r w:rsidR="00593A24" w:rsidRPr="00E72418">
        <w:rPr>
          <w:szCs w:val="24"/>
        </w:rPr>
        <w:t>,</w:t>
      </w:r>
      <w:r w:rsidR="004106B1" w:rsidRPr="00E72418">
        <w:rPr>
          <w:szCs w:val="24"/>
        </w:rPr>
        <w:t xml:space="preserve"> relève qu’il ne s’attend pas à ce que ces fonds modifient leur comportement pour s’y conformer et indique qu’il est nécessaire de disposer d’une réglementation adéquate aux niveaux national et international</w:t>
      </w:r>
      <w:r w:rsidR="004106B1" w:rsidRPr="00E72418">
        <w:rPr>
          <w:rStyle w:val="Appelnotedebasdep"/>
          <w:szCs w:val="24"/>
        </w:rPr>
        <w:footnoteReference w:id="2014"/>
      </w:r>
      <w:r w:rsidR="004106B1" w:rsidRPr="00E72418">
        <w:rPr>
          <w:szCs w:val="24"/>
        </w:rPr>
        <w:t xml:space="preserve">. Cette même conviction est reprise tant par les législateurs nationaux que par la doctrine. Ainsi, par exemple, Ian Pearson fit valoir lors des travaux préparatoires du </w:t>
      </w:r>
      <w:r w:rsidR="004106B1" w:rsidRPr="00E72418">
        <w:rPr>
          <w:i/>
        </w:rPr>
        <w:t xml:space="preserve">Debt Relief (Developing Countries) Act </w:t>
      </w:r>
      <w:r w:rsidR="004106B1" w:rsidRPr="00E72418">
        <w:t xml:space="preserve">britannique que « </w:t>
      </w:r>
      <w:r w:rsidR="004106B1" w:rsidRPr="00E72418">
        <w:rPr>
          <w:rFonts w:cs="Times New Roman"/>
        </w:rPr>
        <w:t>[t]</w:t>
      </w:r>
      <w:r w:rsidR="004106B1" w:rsidRPr="00E72418">
        <w:rPr>
          <w:shd w:val="clear" w:color="auto" w:fill="FFFFFF"/>
        </w:rPr>
        <w:t xml:space="preserve">he problem of vulture funds can be fully tackled only through legislation that restricts commercial creditors from recovering more than a fair amount of the debts of the world’s poorest </w:t>
      </w:r>
      <w:r w:rsidR="004106B1" w:rsidRPr="00E72418">
        <w:rPr>
          <w:rFonts w:cs="Times New Roman"/>
        </w:rPr>
        <w:t>»</w:t>
      </w:r>
      <w:r w:rsidR="004106B1" w:rsidRPr="00E72418">
        <w:rPr>
          <w:rStyle w:val="Appelnotedebasdep"/>
          <w:rFonts w:cs="Times New Roman"/>
        </w:rPr>
        <w:footnoteReference w:id="2015"/>
      </w:r>
      <w:r w:rsidR="004106B1" w:rsidRPr="00E72418">
        <w:rPr>
          <w:rFonts w:cs="Times New Roman"/>
        </w:rPr>
        <w:t>. Par ailleurs, d</w:t>
      </w:r>
      <w:r w:rsidR="004106B1" w:rsidRPr="00E72418">
        <w:t xml:space="preserve">e l’avis de </w:t>
      </w:r>
      <w:r w:rsidR="00423C96" w:rsidRPr="00E72418">
        <w:t xml:space="preserve">Devi </w:t>
      </w:r>
      <w:r w:rsidR="004106B1" w:rsidRPr="00E72418">
        <w:t>Sookun repris dans la conclusion de son ouvrage consacré aux fonds spéculant sur les dettes souveraines, « </w:t>
      </w:r>
      <w:r w:rsidR="004106B1" w:rsidRPr="00E72418">
        <w:rPr>
          <w:rFonts w:cs="Times New Roman"/>
        </w:rPr>
        <w:t>[t]</w:t>
      </w:r>
      <w:r w:rsidR="004106B1" w:rsidRPr="00E72418">
        <w:t>he only way in which vulture funds can be tackled is by legislation such as that passed by Belgium and the UK and under consideration in the USA »</w:t>
      </w:r>
      <w:r w:rsidR="004106B1" w:rsidRPr="00E72418">
        <w:rPr>
          <w:rStyle w:val="Appelnotedebasdep"/>
        </w:rPr>
        <w:footnoteReference w:id="2016"/>
      </w:r>
      <w:r w:rsidR="004106B1" w:rsidRPr="00E72418">
        <w:t>.</w:t>
      </w:r>
      <w:r w:rsidR="00515CD3" w:rsidRPr="00E72418">
        <w:t xml:space="preserve"> L’on peut ainsi retenir qu’apparaît </w:t>
      </w:r>
      <w:r w:rsidR="00875281" w:rsidRPr="00E72418">
        <w:t>indiquée</w:t>
      </w:r>
      <w:r w:rsidR="00515CD3" w:rsidRPr="00E72418">
        <w:t xml:space="preserve"> une réglementation législative de leurs activités.</w:t>
      </w:r>
    </w:p>
    <w:p w14:paraId="07FDCF6E" w14:textId="0F92A16E" w:rsidR="004106B1" w:rsidRPr="00E72418" w:rsidRDefault="004106B1" w:rsidP="00CC4BA8">
      <w:pPr>
        <w:spacing w:line="276" w:lineRule="auto"/>
      </w:pPr>
      <w:r w:rsidRPr="00E72418">
        <w:t>La pertinence du recours à une législation visant spécifiquement les fonds spéculatifs se justifie</w:t>
      </w:r>
      <w:r w:rsidR="00515CD3" w:rsidRPr="00E72418">
        <w:t xml:space="preserve"> d’autant plus</w:t>
      </w:r>
      <w:r w:rsidRPr="00E72418">
        <w:t xml:space="preserve"> au constat de l’inadéquation et de l’insuffisance des arguments de défense traditionnels offerts aux </w:t>
      </w:r>
      <w:r w:rsidRPr="00E72418">
        <w:rPr>
          <w:szCs w:val="24"/>
        </w:rPr>
        <w:t>É</w:t>
      </w:r>
      <w:r w:rsidRPr="00E72418">
        <w:t>tats débiteurs</w:t>
      </w:r>
      <w:r w:rsidR="00F749B0" w:rsidRPr="00E72418">
        <w:rPr>
          <w:rStyle w:val="Appelnotedebasdep"/>
        </w:rPr>
        <w:footnoteReference w:id="2017"/>
      </w:r>
      <w:r w:rsidRPr="00E72418">
        <w:t xml:space="preserve">. Pour </w:t>
      </w:r>
      <w:r w:rsidR="00CC15FF" w:rsidRPr="00E72418">
        <w:t xml:space="preserve">Horatia </w:t>
      </w:r>
      <w:r w:rsidRPr="00E72418">
        <w:t>Muir Watt, « [l]e régime de droit privé, morcelé et largement déterminé par la mobilisation d’une stratégie contentieuse implacable, est clairement inadéquat pour répondre aux problèmes structurels que pose la relation entre les marchés financiers et l’économie globale »</w:t>
      </w:r>
      <w:r w:rsidRPr="00E72418">
        <w:rPr>
          <w:rStyle w:val="Appelnotedebasdep"/>
          <w:rFonts w:cs="Times New Roman"/>
          <w:szCs w:val="24"/>
        </w:rPr>
        <w:footnoteReference w:id="2018"/>
      </w:r>
      <w:r w:rsidRPr="00E72418">
        <w:t xml:space="preserve">. Pour ne prendre qu’un exemple, </w:t>
      </w:r>
      <w:r w:rsidRPr="00E72418">
        <w:rPr>
          <w:szCs w:val="24"/>
        </w:rPr>
        <w:t xml:space="preserve">la solution la plus intuitive au problème des fonds spéculatifs passant par le développement et le façonnage du régime des immunités étatiques est inadéquate dans la mesure où, ce régime s’appliquant par définition à l’ensemble des personnes cherchant à poursuivre les </w:t>
      </w:r>
      <w:r w:rsidRPr="00E72418">
        <w:rPr>
          <w:lang w:eastAsia="fr-BE"/>
        </w:rPr>
        <w:t>É</w:t>
      </w:r>
      <w:r w:rsidRPr="00E72418">
        <w:rPr>
          <w:szCs w:val="24"/>
        </w:rPr>
        <w:t>tats, il ne saurait viser spécifiquement les fonds spéculatifs et em</w:t>
      </w:r>
      <w:r w:rsidR="00D73EC1" w:rsidRPr="00E72418">
        <w:rPr>
          <w:szCs w:val="24"/>
        </w:rPr>
        <w:t>porterait ainsi d’indésirables</w:t>
      </w:r>
      <w:r w:rsidRPr="00E72418">
        <w:rPr>
          <w:szCs w:val="24"/>
        </w:rPr>
        <w:t xml:space="preserve"> plus larges conséquences</w:t>
      </w:r>
      <w:r w:rsidRPr="00E72418">
        <w:rPr>
          <w:rStyle w:val="Appelnotedebasdep"/>
          <w:szCs w:val="24"/>
        </w:rPr>
        <w:footnoteReference w:id="2019"/>
      </w:r>
      <w:r w:rsidR="00F749B0" w:rsidRPr="00E72418">
        <w:rPr>
          <w:szCs w:val="24"/>
          <w:vertAlign w:val="superscript"/>
        </w:rPr>
        <w:t>,</w:t>
      </w:r>
      <w:r w:rsidR="00011E05" w:rsidRPr="00E72418">
        <w:rPr>
          <w:rStyle w:val="Appelnotedebasdep"/>
          <w:szCs w:val="24"/>
        </w:rPr>
        <w:footnoteReference w:id="2020"/>
      </w:r>
      <w:r w:rsidRPr="00E72418">
        <w:rPr>
          <w:szCs w:val="24"/>
        </w:rPr>
        <w:t>.</w:t>
      </w:r>
    </w:p>
    <w:p w14:paraId="656FCCF6" w14:textId="4A0DFFBC" w:rsidR="004106B1" w:rsidRPr="00E72418" w:rsidRDefault="004469AC" w:rsidP="00CC4BA8">
      <w:pPr>
        <w:spacing w:line="276" w:lineRule="auto"/>
        <w:rPr>
          <w:b/>
        </w:rPr>
      </w:pPr>
      <w:r w:rsidRPr="00E72418">
        <w:rPr>
          <w:b/>
        </w:rPr>
        <w:lastRenderedPageBreak/>
        <w:t>401</w:t>
      </w:r>
      <w:r w:rsidR="00817D62" w:rsidRPr="00E72418">
        <w:rPr>
          <w:b/>
        </w:rPr>
        <w:t xml:space="preserve">. </w:t>
      </w:r>
      <w:r w:rsidR="004106B1" w:rsidRPr="00E72418">
        <w:rPr>
          <w:b/>
        </w:rPr>
        <w:t xml:space="preserve">L’utopie d’une appréhension globale des problèmes relatifs aux dettes souveraines – </w:t>
      </w:r>
      <w:r w:rsidR="004106B1" w:rsidRPr="00E72418">
        <w:t>Le fait que les activités des fonds spéculant sur les dettes souveraines soient rendues possibles par l’absence d’une appréhension globale des problèmes relatifs aux dette</w:t>
      </w:r>
      <w:r w:rsidR="00485F3A" w:rsidRPr="00E72418">
        <w:t xml:space="preserve">s souveraines fait souhaiter qu’une telle </w:t>
      </w:r>
      <w:r w:rsidR="00290A92" w:rsidRPr="00E72418">
        <w:t>mesure</w:t>
      </w:r>
      <w:r w:rsidR="00485F3A" w:rsidRPr="00E72418">
        <w:t xml:space="preserve"> puisse advenir</w:t>
      </w:r>
      <w:r w:rsidR="004106B1" w:rsidRPr="00E72418">
        <w:t xml:space="preserve">. Par ailleurs, la mobilité </w:t>
      </w:r>
      <w:r w:rsidR="007F582B">
        <w:t xml:space="preserve">caractéristique </w:t>
      </w:r>
      <w:r w:rsidR="004106B1" w:rsidRPr="00E72418">
        <w:t xml:space="preserve">des fonds spéculatifs renforce la conviction de la pertinence d’une </w:t>
      </w:r>
      <w:r w:rsidR="00C34FC7" w:rsidRPr="00E72418">
        <w:t xml:space="preserve">solution </w:t>
      </w:r>
      <w:r w:rsidR="00485F3A" w:rsidRPr="00E72418">
        <w:t>qui soit internationale</w:t>
      </w:r>
      <w:r w:rsidR="004106B1" w:rsidRPr="00E72418">
        <w:rPr>
          <w:rStyle w:val="Appelnotedebasdep"/>
        </w:rPr>
        <w:footnoteReference w:id="2021"/>
      </w:r>
      <w:r w:rsidR="004106B1" w:rsidRPr="00E72418">
        <w:t>.</w:t>
      </w:r>
      <w:r w:rsidR="004106B1" w:rsidRPr="00E72418">
        <w:rPr>
          <w:b/>
        </w:rPr>
        <w:t xml:space="preserve"> </w:t>
      </w:r>
      <w:r w:rsidR="004106B1" w:rsidRPr="00E72418">
        <w:t xml:space="preserve">Malheureusement, l’absence de consensus sur la façon </w:t>
      </w:r>
      <w:r w:rsidR="00C34FC7" w:rsidRPr="00E72418">
        <w:t xml:space="preserve">d’aborder </w:t>
      </w:r>
      <w:r w:rsidR="004106B1" w:rsidRPr="00E72418">
        <w:t xml:space="preserve">les difficultés financières des </w:t>
      </w:r>
      <w:r w:rsidR="004106B1" w:rsidRPr="00E72418">
        <w:rPr>
          <w:rFonts w:cs="Times New Roman"/>
          <w:szCs w:val="24"/>
        </w:rPr>
        <w:t>Ét</w:t>
      </w:r>
      <w:r w:rsidR="004106B1" w:rsidRPr="00E72418">
        <w:t>ats débiteurs, illustré</w:t>
      </w:r>
      <w:r w:rsidR="00F749B0" w:rsidRPr="00E72418">
        <w:t>e</w:t>
      </w:r>
      <w:r w:rsidR="004106B1" w:rsidRPr="00E72418">
        <w:t xml:space="preserve"> notamment par l’échec du </w:t>
      </w:r>
      <w:r w:rsidR="004106B1" w:rsidRPr="00E72418">
        <w:rPr>
          <w:i/>
        </w:rPr>
        <w:t>Sovereign Debt Restructuring Mechanism</w:t>
      </w:r>
      <w:r w:rsidR="0011443E" w:rsidRPr="00E72418">
        <w:rPr>
          <w:rStyle w:val="Appelnotedebasdep"/>
        </w:rPr>
        <w:footnoteReference w:id="2022"/>
      </w:r>
      <w:r w:rsidR="004106B1" w:rsidRPr="00E72418">
        <w:t xml:space="preserve">, rend utopique la </w:t>
      </w:r>
      <w:r w:rsidR="004F7711" w:rsidRPr="00E72418">
        <w:t xml:space="preserve">mesure </w:t>
      </w:r>
      <w:r w:rsidR="004106B1" w:rsidRPr="00E72418">
        <w:t xml:space="preserve">du phénomène des fonds spéculatifs par le biais d’une appréhension </w:t>
      </w:r>
      <w:r w:rsidR="00705B32" w:rsidRPr="00E72418">
        <w:t>complète</w:t>
      </w:r>
      <w:r w:rsidR="004106B1" w:rsidRPr="00E72418">
        <w:t xml:space="preserve"> des problèmes </w:t>
      </w:r>
      <w:r w:rsidR="00705B32" w:rsidRPr="00E72418">
        <w:t>liés</w:t>
      </w:r>
      <w:r w:rsidR="004106B1" w:rsidRPr="00E72418">
        <w:t xml:space="preserve"> aux dettes souveraines</w:t>
      </w:r>
      <w:r w:rsidR="004106B1" w:rsidRPr="00E72418">
        <w:rPr>
          <w:rStyle w:val="Appelnotedebasdep"/>
        </w:rPr>
        <w:footnoteReference w:id="2023"/>
      </w:r>
      <w:r w:rsidR="004106B1" w:rsidRPr="00E72418">
        <w:t>. Dès lors que « </w:t>
      </w:r>
      <w:r w:rsidR="004106B1" w:rsidRPr="00E72418">
        <w:rPr>
          <w:rFonts w:cs="Times New Roman"/>
        </w:rPr>
        <w:t>[w]</w:t>
      </w:r>
      <w:r w:rsidR="004106B1" w:rsidRPr="00E72418">
        <w:t xml:space="preserve">aiting for an international consensus is like waiting for Godot </w:t>
      </w:r>
      <w:r w:rsidR="004106B1" w:rsidRPr="00E72418">
        <w:rPr>
          <w:rFonts w:cs="Times New Roman"/>
        </w:rPr>
        <w:t>»</w:t>
      </w:r>
      <w:r w:rsidR="004106B1" w:rsidRPr="00E72418">
        <w:t xml:space="preserve">, </w:t>
      </w:r>
      <w:r w:rsidR="00875281" w:rsidRPr="00E72418">
        <w:t xml:space="preserve">Leentje </w:t>
      </w:r>
      <w:r w:rsidR="004106B1" w:rsidRPr="00E72418">
        <w:t xml:space="preserve">Sourbron et </w:t>
      </w:r>
      <w:r w:rsidR="00875281" w:rsidRPr="00E72418">
        <w:t xml:space="preserve">Lode </w:t>
      </w:r>
      <w:r w:rsidR="004106B1" w:rsidRPr="00E72418">
        <w:t xml:space="preserve">Vereeck sont d’avis qu’ </w:t>
      </w:r>
      <w:r w:rsidR="004106B1" w:rsidRPr="00E72418">
        <w:rPr>
          <w:rFonts w:cs="Times New Roman"/>
        </w:rPr>
        <w:t xml:space="preserve">« </w:t>
      </w:r>
      <w:r w:rsidR="004106B1" w:rsidRPr="00E72418">
        <w:t xml:space="preserve">a combination of contractual, international, and national solutions would actually be the most promising way forward in the short run, absent a treaty solution that might change practice in the long run </w:t>
      </w:r>
      <w:r w:rsidR="004106B1" w:rsidRPr="00E72418">
        <w:rPr>
          <w:rFonts w:cs="Times New Roman"/>
        </w:rPr>
        <w:t>»</w:t>
      </w:r>
      <w:r w:rsidR="004106B1" w:rsidRPr="00E72418">
        <w:rPr>
          <w:rStyle w:val="Appelnotedebasdep"/>
          <w:rFonts w:cs="Times New Roman"/>
        </w:rPr>
        <w:footnoteReference w:id="2024"/>
      </w:r>
      <w:r w:rsidR="004106B1" w:rsidRPr="00E72418">
        <w:rPr>
          <w:rFonts w:cs="Times New Roman"/>
        </w:rPr>
        <w:t>.</w:t>
      </w:r>
    </w:p>
    <w:p w14:paraId="0D16D771" w14:textId="77777777" w:rsidR="004106B1" w:rsidRPr="00E72418" w:rsidRDefault="004106B1" w:rsidP="00CC4BA8">
      <w:pPr>
        <w:spacing w:line="276" w:lineRule="auto"/>
      </w:pPr>
    </w:p>
    <w:p w14:paraId="0D0F3809" w14:textId="64D7BE83" w:rsidR="00F50600" w:rsidRPr="00E72418" w:rsidRDefault="004469AC" w:rsidP="00CC4BA8">
      <w:pPr>
        <w:spacing w:line="276" w:lineRule="auto"/>
        <w:rPr>
          <w:szCs w:val="24"/>
        </w:rPr>
      </w:pPr>
      <w:r w:rsidRPr="00E72418">
        <w:rPr>
          <w:b/>
        </w:rPr>
        <w:t>402</w:t>
      </w:r>
      <w:r w:rsidR="00817D62" w:rsidRPr="00E72418">
        <w:rPr>
          <w:b/>
        </w:rPr>
        <w:t xml:space="preserve">. </w:t>
      </w:r>
      <w:r w:rsidR="004106B1" w:rsidRPr="00E72418">
        <w:rPr>
          <w:b/>
        </w:rPr>
        <w:t>L’intérêt de la multiplication d’initiatives étatiques locales –</w:t>
      </w:r>
      <w:r w:rsidR="004106B1" w:rsidRPr="00E72418">
        <w:t xml:space="preserve"> La difficile, pour ne pas dire l’impossible, émergence d’une appréhension globale du phénomène des fonds spéculatifs ne saurait servir à justifier que les problèmes posés par leurs activités ne soient pas abordés. Ceci est d’autant plus vrai que, bien qu’une telle appréhension présenterait indubitablement l’avantage de la force de frappe et </w:t>
      </w:r>
      <w:r w:rsidR="00705B32" w:rsidRPr="00E72418">
        <w:t xml:space="preserve">de </w:t>
      </w:r>
      <w:r w:rsidR="004106B1" w:rsidRPr="00E72418">
        <w:t>la cohérence, i</w:t>
      </w:r>
      <w:r w:rsidR="004106B1" w:rsidRPr="00E72418">
        <w:rPr>
          <w:szCs w:val="24"/>
        </w:rPr>
        <w:t xml:space="preserve">l n’en reste pas moins que les initiatives </w:t>
      </w:r>
      <w:r w:rsidR="004106B1" w:rsidRPr="00E72418">
        <w:rPr>
          <w:szCs w:val="24"/>
        </w:rPr>
        <w:lastRenderedPageBreak/>
        <w:t>étatiques locales sont de nature à avoir un effet concret sur les activités spéculatives</w:t>
      </w:r>
      <w:r w:rsidR="004106B1" w:rsidRPr="00E72418">
        <w:rPr>
          <w:rStyle w:val="Appelnotedebasdep"/>
          <w:szCs w:val="24"/>
        </w:rPr>
        <w:footnoteReference w:id="2025"/>
      </w:r>
      <w:r w:rsidR="0011443E" w:rsidRPr="00E72418">
        <w:rPr>
          <w:szCs w:val="24"/>
          <w:vertAlign w:val="superscript"/>
        </w:rPr>
        <w:t>,</w:t>
      </w:r>
      <w:r w:rsidR="004106B1" w:rsidRPr="00E72418">
        <w:rPr>
          <w:rStyle w:val="Appelnotedebasdep"/>
          <w:szCs w:val="24"/>
        </w:rPr>
        <w:footnoteReference w:id="2026"/>
      </w:r>
      <w:r w:rsidR="004106B1" w:rsidRPr="00E72418">
        <w:rPr>
          <w:szCs w:val="24"/>
        </w:rPr>
        <w:t>.</w:t>
      </w:r>
      <w:r w:rsidR="00F50600" w:rsidRPr="00E72418">
        <w:rPr>
          <w:szCs w:val="24"/>
        </w:rPr>
        <w:t xml:space="preserve"> Ainsi, comme l’explique </w:t>
      </w:r>
      <w:r w:rsidR="00290A92" w:rsidRPr="00E72418">
        <w:rPr>
          <w:szCs w:val="24"/>
        </w:rPr>
        <w:t xml:space="preserve">Jeff </w:t>
      </w:r>
      <w:r w:rsidR="00F50600" w:rsidRPr="00E72418">
        <w:rPr>
          <w:szCs w:val="24"/>
        </w:rPr>
        <w:t>King</w:t>
      </w:r>
      <w:r w:rsidR="00410AA1">
        <w:rPr>
          <w:szCs w:val="24"/>
        </w:rPr>
        <w:t xml:space="preserve"> plus largement au sujet des créanciers récalcitrants</w:t>
      </w:r>
      <w:r w:rsidR="00F50600" w:rsidRPr="00E72418">
        <w:rPr>
          <w:szCs w:val="24"/>
        </w:rPr>
        <w:t>, « </w:t>
      </w:r>
      <w:r w:rsidR="00F50600" w:rsidRPr="00E72418">
        <w:rPr>
          <w:szCs w:val="20"/>
        </w:rPr>
        <w:t xml:space="preserve">[a]nother approach to addressing the problem of holdout creditors is a legislative model run in an ad hoc form at the national level, whereby important jurisdictions would create a statutory framework for limiting what creditors could obtain </w:t>
      </w:r>
      <w:r w:rsidR="00F50600" w:rsidRPr="00E72418">
        <w:rPr>
          <w:szCs w:val="24"/>
        </w:rPr>
        <w:t>»</w:t>
      </w:r>
      <w:r w:rsidR="00F50600" w:rsidRPr="00E72418">
        <w:rPr>
          <w:rStyle w:val="Appelnotedebasdep"/>
          <w:szCs w:val="24"/>
        </w:rPr>
        <w:footnoteReference w:id="2027"/>
      </w:r>
      <w:r w:rsidR="00F50600" w:rsidRPr="00E72418">
        <w:rPr>
          <w:szCs w:val="24"/>
        </w:rPr>
        <w:t>.</w:t>
      </w:r>
    </w:p>
    <w:p w14:paraId="4053D295" w14:textId="7614D292" w:rsidR="004106B1" w:rsidRPr="00E72418" w:rsidRDefault="004106B1" w:rsidP="00CC4BA8">
      <w:pPr>
        <w:spacing w:line="276" w:lineRule="auto"/>
        <w:rPr>
          <w:szCs w:val="24"/>
        </w:rPr>
      </w:pPr>
      <w:r w:rsidRPr="00E72418">
        <w:rPr>
          <w:szCs w:val="24"/>
        </w:rPr>
        <w:t>L</w:t>
      </w:r>
      <w:r w:rsidR="00F50600" w:rsidRPr="00E72418">
        <w:rPr>
          <w:szCs w:val="24"/>
        </w:rPr>
        <w:t>a</w:t>
      </w:r>
      <w:r w:rsidRPr="00E72418">
        <w:rPr>
          <w:szCs w:val="24"/>
        </w:rPr>
        <w:t xml:space="preserve"> multiplication </w:t>
      </w:r>
      <w:r w:rsidR="00F50600" w:rsidRPr="00E72418">
        <w:rPr>
          <w:szCs w:val="24"/>
        </w:rPr>
        <w:t xml:space="preserve">des initiatives étatiques locales </w:t>
      </w:r>
      <w:r w:rsidRPr="00E72418">
        <w:rPr>
          <w:szCs w:val="24"/>
        </w:rPr>
        <w:t>augmente leurs possibles effets positifs</w:t>
      </w:r>
      <w:r w:rsidRPr="00E72418">
        <w:rPr>
          <w:rStyle w:val="Appelnotedebasdep"/>
          <w:szCs w:val="24"/>
        </w:rPr>
        <w:footnoteReference w:id="2028"/>
      </w:r>
      <w:r w:rsidRPr="00E72418">
        <w:rPr>
          <w:szCs w:val="24"/>
        </w:rPr>
        <w:t>, d’une part, conduit à un effet d’entraînement, d’autre part</w:t>
      </w:r>
      <w:r w:rsidRPr="00E72418">
        <w:rPr>
          <w:rStyle w:val="Appelnotedebasdep"/>
          <w:szCs w:val="24"/>
        </w:rPr>
        <w:footnoteReference w:id="2029"/>
      </w:r>
      <w:r w:rsidRPr="00E72418">
        <w:rPr>
          <w:szCs w:val="24"/>
        </w:rPr>
        <w:t xml:space="preserve">. </w:t>
      </w:r>
      <w:r w:rsidR="007C2F80" w:rsidRPr="00E72418">
        <w:rPr>
          <w:szCs w:val="24"/>
        </w:rPr>
        <w:t xml:space="preserve">Plus encore, la particularité des dettes souveraines souvent déclinées en une multitude de contrats soumis à des droits différents et justiciables de diverses juridictions finit de convaincre de </w:t>
      </w:r>
      <w:r w:rsidR="007C2F80" w:rsidRPr="00E72418">
        <w:t>l’intérêt de la multiplication d’initiatives étatiques locales</w:t>
      </w:r>
      <w:r w:rsidR="007C2F80" w:rsidRPr="00E72418">
        <w:rPr>
          <w:szCs w:val="24"/>
        </w:rPr>
        <w:t>.</w:t>
      </w:r>
      <w:r w:rsidR="00CA5D75" w:rsidRPr="00E72418">
        <w:rPr>
          <w:szCs w:val="24"/>
        </w:rPr>
        <w:t xml:space="preserve"> </w:t>
      </w:r>
      <w:r w:rsidR="007B6ACF" w:rsidRPr="00E72418">
        <w:rPr>
          <w:szCs w:val="24"/>
        </w:rPr>
        <w:t>L’on pourrait ainsi craindre que l’expertise des fonds spéculatifs le</w:t>
      </w:r>
      <w:r w:rsidR="0011443E" w:rsidRPr="00E72418">
        <w:rPr>
          <w:szCs w:val="24"/>
        </w:rPr>
        <w:t>s</w:t>
      </w:r>
      <w:r w:rsidR="007B6ACF" w:rsidRPr="00E72418">
        <w:rPr>
          <w:szCs w:val="24"/>
        </w:rPr>
        <w:t xml:space="preserve"> conduise à identifier les </w:t>
      </w:r>
      <w:r w:rsidR="00074730" w:rsidRPr="00E72418">
        <w:rPr>
          <w:szCs w:val="24"/>
        </w:rPr>
        <w:t>dettes</w:t>
      </w:r>
      <w:r w:rsidR="007B6ACF" w:rsidRPr="00E72418">
        <w:rPr>
          <w:szCs w:val="24"/>
        </w:rPr>
        <w:t xml:space="preserve"> soumises à des lois </w:t>
      </w:r>
      <w:r w:rsidR="007F582B">
        <w:rPr>
          <w:szCs w:val="24"/>
        </w:rPr>
        <w:t xml:space="preserve">et à des juridictions </w:t>
      </w:r>
      <w:r w:rsidR="007B6ACF" w:rsidRPr="00E72418">
        <w:rPr>
          <w:szCs w:val="24"/>
        </w:rPr>
        <w:t>ne limitant pas leurs prétentions et à spéculer sur celles-ci.</w:t>
      </w:r>
      <w:r w:rsidR="00FC4E03" w:rsidRPr="00E72418">
        <w:rPr>
          <w:szCs w:val="24"/>
        </w:rPr>
        <w:t xml:space="preserve"> De la même manière, l’</w:t>
      </w:r>
      <w:r w:rsidR="00FC4E03" w:rsidRPr="00E72418">
        <w:rPr>
          <w:rFonts w:ascii="Times New Roman" w:hAnsi="Times New Roman" w:cs="Times New Roman"/>
          <w:lang w:eastAsia="fr-BE"/>
        </w:rPr>
        <w:t>É</w:t>
      </w:r>
      <w:r w:rsidR="007B6ACF" w:rsidRPr="00E72418">
        <w:rPr>
          <w:szCs w:val="24"/>
        </w:rPr>
        <w:t xml:space="preserve">tat débiteur devrait préférer identifier comme droits applicables à ses </w:t>
      </w:r>
      <w:r w:rsidR="00074730" w:rsidRPr="00E72418">
        <w:rPr>
          <w:szCs w:val="24"/>
        </w:rPr>
        <w:t>dettes</w:t>
      </w:r>
      <w:r w:rsidR="007B6ACF" w:rsidRPr="00E72418">
        <w:rPr>
          <w:szCs w:val="24"/>
        </w:rPr>
        <w:t xml:space="preserve"> ceux contenant des mesures anti-spéculation.</w:t>
      </w:r>
      <w:r w:rsidR="00F80A11" w:rsidRPr="00E72418">
        <w:rPr>
          <w:szCs w:val="24"/>
        </w:rPr>
        <w:t xml:space="preserve"> L</w:t>
      </w:r>
      <w:r w:rsidR="00F80A11" w:rsidRPr="00E72418">
        <w:rPr>
          <w:rFonts w:ascii="Times New Roman" w:hAnsi="Times New Roman" w:cs="Times New Roman"/>
        </w:rPr>
        <w:t xml:space="preserve">es initiatives locales ont d’autant plus d’importance qu’elles sont adoptées dans des </w:t>
      </w:r>
      <w:r w:rsidR="00F80A11" w:rsidRPr="00E72418">
        <w:rPr>
          <w:rFonts w:cs="Times New Roman"/>
        </w:rPr>
        <w:t>É</w:t>
      </w:r>
      <w:r w:rsidR="00F80A11" w:rsidRPr="00E72418">
        <w:rPr>
          <w:rFonts w:ascii="Times New Roman" w:hAnsi="Times New Roman" w:cs="Times New Roman"/>
        </w:rPr>
        <w:t>tats dont la législation compte en matière de dettes souveraines</w:t>
      </w:r>
      <w:r w:rsidR="00F80A11" w:rsidRPr="00E72418">
        <w:rPr>
          <w:rStyle w:val="Appelnotedebasdep"/>
          <w:rFonts w:ascii="Times New Roman" w:hAnsi="Times New Roman" w:cs="Times New Roman"/>
          <w:szCs w:val="24"/>
        </w:rPr>
        <w:footnoteReference w:id="2030"/>
      </w:r>
      <w:r w:rsidR="00F80A11" w:rsidRPr="00E72418">
        <w:rPr>
          <w:rFonts w:ascii="Times New Roman" w:hAnsi="Times New Roman" w:cs="Times New Roman"/>
        </w:rPr>
        <w:t>.</w:t>
      </w:r>
      <w:r w:rsidR="00FE73A8" w:rsidRPr="00E72418">
        <w:rPr>
          <w:rFonts w:ascii="Times New Roman" w:hAnsi="Times New Roman" w:cs="Times New Roman"/>
        </w:rPr>
        <w:t xml:space="preserve"> Aussi, la multiplication d’initiatives </w:t>
      </w:r>
      <w:r w:rsidR="00FE73A8" w:rsidRPr="00E72418">
        <w:rPr>
          <w:rFonts w:ascii="Times New Roman" w:hAnsi="Times New Roman" w:cs="Times New Roman"/>
        </w:rPr>
        <w:lastRenderedPageBreak/>
        <w:t>étatiques locales permet de réduire les juridictions auxquelles les fonds spéculatifs pourraient souhaiter s’adresser afin de faire valoir leurs prétentions dès lors que l’on retiendra que la réglementation envisagée devrait être reprise dans une loi que les juridictions n’auraient d’autre choix que d’appliquer</w:t>
      </w:r>
      <w:r w:rsidR="00FE73A8" w:rsidRPr="00E72418">
        <w:rPr>
          <w:rStyle w:val="Appelnotedebasdep"/>
          <w:rFonts w:ascii="Times New Roman" w:hAnsi="Times New Roman" w:cs="Times New Roman"/>
        </w:rPr>
        <w:footnoteReference w:id="2031"/>
      </w:r>
      <w:r w:rsidR="00FE73A8" w:rsidRPr="00E72418">
        <w:rPr>
          <w:rFonts w:ascii="Times New Roman" w:hAnsi="Times New Roman" w:cs="Times New Roman"/>
        </w:rPr>
        <w:t>.</w:t>
      </w:r>
    </w:p>
    <w:p w14:paraId="6AC2715F" w14:textId="312DCB71" w:rsidR="004106B1" w:rsidRPr="00E72418" w:rsidRDefault="004106B1" w:rsidP="00CC4BA8">
      <w:pPr>
        <w:spacing w:line="276" w:lineRule="auto"/>
        <w:rPr>
          <w:rFonts w:ascii="Times New Roman" w:hAnsi="Times New Roman" w:cs="Times New Roman"/>
        </w:rPr>
      </w:pPr>
      <w:r w:rsidRPr="00E72418">
        <w:rPr>
          <w:szCs w:val="24"/>
        </w:rPr>
        <w:t>Le constat d’efficacité locale</w:t>
      </w:r>
      <w:r w:rsidR="0011443E" w:rsidRPr="00E72418">
        <w:rPr>
          <w:szCs w:val="24"/>
        </w:rPr>
        <w:t xml:space="preserve"> conduit</w:t>
      </w:r>
      <w:r w:rsidRPr="00E72418">
        <w:rPr>
          <w:szCs w:val="24"/>
        </w:rPr>
        <w:t>, nous l’avons vu, à ce que les appels à adoption de législations anti-fonds spéculatifs nationales se fassent récurrents</w:t>
      </w:r>
      <w:r w:rsidRPr="00E72418">
        <w:rPr>
          <w:rStyle w:val="Appelnotedebasdep"/>
          <w:szCs w:val="24"/>
        </w:rPr>
        <w:footnoteReference w:id="2032"/>
      </w:r>
      <w:r w:rsidRPr="00E72418">
        <w:rPr>
          <w:szCs w:val="24"/>
        </w:rPr>
        <w:t xml:space="preserve">. Alors que la solution passant par de telles </w:t>
      </w:r>
      <w:r w:rsidR="006A4307" w:rsidRPr="00E72418">
        <w:rPr>
          <w:szCs w:val="24"/>
        </w:rPr>
        <w:t>lois</w:t>
      </w:r>
      <w:r w:rsidRPr="00E72418">
        <w:rPr>
          <w:szCs w:val="24"/>
        </w:rPr>
        <w:t xml:space="preserve"> permet de contourner l’obstacle de l’impossible consensus international, elle présente également le double avantage de la rapidité du processus d’élaboration et de la faculté de façonnage offerte aux </w:t>
      </w:r>
      <w:r w:rsidRPr="00E72418">
        <w:rPr>
          <w:rFonts w:cs="Times New Roman"/>
          <w:szCs w:val="24"/>
        </w:rPr>
        <w:t>É</w:t>
      </w:r>
      <w:r w:rsidRPr="00E72418">
        <w:rPr>
          <w:szCs w:val="24"/>
        </w:rPr>
        <w:t>tats légiférant</w:t>
      </w:r>
      <w:r w:rsidRPr="00E72418">
        <w:rPr>
          <w:rStyle w:val="Appelnotedebasdep"/>
          <w:szCs w:val="24"/>
        </w:rPr>
        <w:footnoteReference w:id="2033"/>
      </w:r>
      <w:r w:rsidRPr="00E72418">
        <w:rPr>
          <w:szCs w:val="24"/>
        </w:rPr>
        <w:t xml:space="preserve">. </w:t>
      </w:r>
      <w:r w:rsidR="00F80A11" w:rsidRPr="00E72418">
        <w:rPr>
          <w:szCs w:val="24"/>
        </w:rPr>
        <w:t xml:space="preserve">Aussi, comme le notent </w:t>
      </w:r>
      <w:r w:rsidR="00922858" w:rsidRPr="00E72418">
        <w:t xml:space="preserve">Juan Pablo </w:t>
      </w:r>
      <w:r w:rsidR="00F80A11" w:rsidRPr="00E72418">
        <w:rPr>
          <w:rFonts w:cs="Times New Roman"/>
          <w:szCs w:val="24"/>
        </w:rPr>
        <w:t xml:space="preserve">Bohoslavsky et </w:t>
      </w:r>
      <w:r w:rsidR="00B86471" w:rsidRPr="00E72418">
        <w:rPr>
          <w:rFonts w:cs="Times New Roman"/>
          <w:szCs w:val="24"/>
        </w:rPr>
        <w:t xml:space="preserve">Matthias </w:t>
      </w:r>
      <w:r w:rsidR="00F80A11" w:rsidRPr="00E72418">
        <w:rPr>
          <w:rFonts w:cs="Times New Roman"/>
          <w:szCs w:val="24"/>
        </w:rPr>
        <w:t>Goldmann, « </w:t>
      </w:r>
      <w:r w:rsidR="00F80A11" w:rsidRPr="00E72418">
        <w:rPr>
          <w:szCs w:val="20"/>
          <w:lang w:val="en-US"/>
        </w:rPr>
        <w:t>[i]n the long run, such domestic legislation might corroborate the respective principles of international law through the incremental formation of corresponding general principles of law</w:t>
      </w:r>
      <w:r w:rsidR="00F80A11" w:rsidRPr="00E72418">
        <w:rPr>
          <w:rStyle w:val="Appelnotedebasdep"/>
          <w:szCs w:val="24"/>
        </w:rPr>
        <w:t xml:space="preserve"> </w:t>
      </w:r>
      <w:r w:rsidR="00F80A11" w:rsidRPr="00E72418">
        <w:rPr>
          <w:szCs w:val="20"/>
          <w:lang w:val="en-US"/>
        </w:rPr>
        <w:t>»</w:t>
      </w:r>
      <w:r w:rsidR="00F80A11" w:rsidRPr="00E72418">
        <w:rPr>
          <w:rStyle w:val="Appelnotedebasdep"/>
          <w:szCs w:val="24"/>
        </w:rPr>
        <w:footnoteReference w:id="2034"/>
      </w:r>
      <w:r w:rsidR="00F80A11" w:rsidRPr="00E72418">
        <w:rPr>
          <w:szCs w:val="24"/>
        </w:rPr>
        <w:t>.</w:t>
      </w:r>
    </w:p>
    <w:p w14:paraId="40844226" w14:textId="77777777" w:rsidR="004106B1" w:rsidRPr="00E72418" w:rsidRDefault="004106B1" w:rsidP="00CC4BA8">
      <w:pPr>
        <w:spacing w:line="276" w:lineRule="auto"/>
        <w:rPr>
          <w:rFonts w:ascii="Times New Roman" w:hAnsi="Times New Roman" w:cs="Times New Roman"/>
        </w:rPr>
      </w:pPr>
    </w:p>
    <w:p w14:paraId="2CEA7037" w14:textId="1CB3563F" w:rsidR="00B24398" w:rsidRPr="00E72418" w:rsidRDefault="004469AC" w:rsidP="00CC4BA8">
      <w:pPr>
        <w:spacing w:line="276" w:lineRule="auto"/>
        <w:rPr>
          <w:szCs w:val="24"/>
        </w:rPr>
      </w:pPr>
      <w:r w:rsidRPr="00E72418">
        <w:rPr>
          <w:rFonts w:ascii="Times New Roman" w:hAnsi="Times New Roman" w:cs="Times New Roman"/>
          <w:b/>
        </w:rPr>
        <w:t>403</w:t>
      </w:r>
      <w:r w:rsidR="00817D62" w:rsidRPr="00E72418">
        <w:rPr>
          <w:rFonts w:ascii="Times New Roman" w:hAnsi="Times New Roman" w:cs="Times New Roman"/>
          <w:b/>
        </w:rPr>
        <w:t xml:space="preserve">. </w:t>
      </w:r>
      <w:r w:rsidR="004106B1" w:rsidRPr="00E72418">
        <w:rPr>
          <w:rFonts w:ascii="Times New Roman" w:hAnsi="Times New Roman" w:cs="Times New Roman"/>
          <w:b/>
        </w:rPr>
        <w:t xml:space="preserve">Les nécessaires généralisation et uniformisation </w:t>
      </w:r>
      <w:r w:rsidR="004106B1" w:rsidRPr="00E72418">
        <w:rPr>
          <w:b/>
        </w:rPr>
        <w:t xml:space="preserve">– </w:t>
      </w:r>
      <w:r w:rsidR="004106B1" w:rsidRPr="00E72418">
        <w:rPr>
          <w:rFonts w:ascii="Times New Roman" w:hAnsi="Times New Roman" w:cs="Times New Roman"/>
        </w:rPr>
        <w:t xml:space="preserve">Le souci d’éviter que les fonds spéculant sur les dettes souveraines ne s’adonnent à un véritable </w:t>
      </w:r>
      <w:r w:rsidR="004106B1" w:rsidRPr="00E72418">
        <w:rPr>
          <w:rFonts w:ascii="Times New Roman" w:hAnsi="Times New Roman" w:cs="Times New Roman"/>
          <w:i/>
        </w:rPr>
        <w:t>forum shopping</w:t>
      </w:r>
      <w:r w:rsidR="004106B1" w:rsidRPr="00E72418">
        <w:rPr>
          <w:rFonts w:ascii="Times New Roman" w:hAnsi="Times New Roman" w:cs="Times New Roman"/>
        </w:rPr>
        <w:t xml:space="preserve"> </w:t>
      </w:r>
      <w:r w:rsidR="00515CD3" w:rsidRPr="00E72418">
        <w:rPr>
          <w:rFonts w:ascii="Times New Roman" w:hAnsi="Times New Roman" w:cs="Times New Roman"/>
        </w:rPr>
        <w:t>à l’exercice duquel ils sont rompus</w:t>
      </w:r>
      <w:r w:rsidR="00515CD3" w:rsidRPr="00E72418">
        <w:rPr>
          <w:rStyle w:val="Appelnotedebasdep"/>
          <w:rFonts w:ascii="Times New Roman" w:hAnsi="Times New Roman" w:cs="Times New Roman"/>
        </w:rPr>
        <w:footnoteReference w:id="2035"/>
      </w:r>
      <w:r w:rsidR="00515CD3" w:rsidRPr="00E72418">
        <w:rPr>
          <w:rFonts w:ascii="Times New Roman" w:hAnsi="Times New Roman" w:cs="Times New Roman"/>
        </w:rPr>
        <w:t xml:space="preserve">, </w:t>
      </w:r>
      <w:r w:rsidR="004106B1" w:rsidRPr="00E72418">
        <w:rPr>
          <w:rFonts w:ascii="Times New Roman" w:hAnsi="Times New Roman" w:cs="Times New Roman"/>
        </w:rPr>
        <w:t xml:space="preserve">plaide </w:t>
      </w:r>
      <w:r w:rsidR="0096290C" w:rsidRPr="00E72418">
        <w:rPr>
          <w:rFonts w:ascii="Times New Roman" w:hAnsi="Times New Roman" w:cs="Times New Roman"/>
        </w:rPr>
        <w:t xml:space="preserve">plus encore </w:t>
      </w:r>
      <w:r w:rsidR="004106B1" w:rsidRPr="00E72418">
        <w:rPr>
          <w:rFonts w:ascii="Times New Roman" w:hAnsi="Times New Roman" w:cs="Times New Roman"/>
        </w:rPr>
        <w:t xml:space="preserve">en faveur de la généralisation de la solution législative. L’évitement de cette pratique est important du point de vue de l’efficacité de la </w:t>
      </w:r>
      <w:r w:rsidR="004F7711" w:rsidRPr="00E72418">
        <w:rPr>
          <w:rFonts w:ascii="Times New Roman" w:hAnsi="Times New Roman" w:cs="Times New Roman"/>
        </w:rPr>
        <w:t xml:space="preserve">réglementation </w:t>
      </w:r>
      <w:r w:rsidR="004106B1" w:rsidRPr="00E72418">
        <w:rPr>
          <w:rFonts w:ascii="Times New Roman" w:hAnsi="Times New Roman" w:cs="Times New Roman"/>
        </w:rPr>
        <w:t xml:space="preserve">des activités spéculatives tant la </w:t>
      </w:r>
      <w:r w:rsidR="004106B1" w:rsidRPr="00E72418">
        <w:rPr>
          <w:szCs w:val="24"/>
        </w:rPr>
        <w:t>mobilité caractéristique des fonds leur permet, s’ils devaient se trouver contrariés par des législations isolées, de déplacer leur contentieux devant des juridictions plus enclines à suivre leur demande puisque non soumises à pareilles législations</w:t>
      </w:r>
      <w:r w:rsidR="004106B1" w:rsidRPr="00E72418">
        <w:rPr>
          <w:rStyle w:val="Appelnotedebasdep"/>
          <w:szCs w:val="24"/>
        </w:rPr>
        <w:footnoteReference w:id="2036"/>
      </w:r>
      <w:r w:rsidR="004106B1" w:rsidRPr="00E72418">
        <w:rPr>
          <w:szCs w:val="24"/>
        </w:rPr>
        <w:t xml:space="preserve">. </w:t>
      </w:r>
      <w:r w:rsidR="00B24398" w:rsidRPr="00E72418">
        <w:rPr>
          <w:szCs w:val="24"/>
        </w:rPr>
        <w:t xml:space="preserve">Notons toutefois que </w:t>
      </w:r>
      <w:r w:rsidR="00B24398" w:rsidRPr="00E72418">
        <w:rPr>
          <w:szCs w:val="20"/>
        </w:rPr>
        <w:t xml:space="preserve">les États débiteurs pourraient malgré tout tirer profit </w:t>
      </w:r>
      <w:r w:rsidR="00B24398" w:rsidRPr="00E72418">
        <w:rPr>
          <w:szCs w:val="20"/>
        </w:rPr>
        <w:lastRenderedPageBreak/>
        <w:t xml:space="preserve">d’initiatives législatives isolées </w:t>
      </w:r>
      <w:r w:rsidR="0096290C" w:rsidRPr="00E72418">
        <w:rPr>
          <w:szCs w:val="20"/>
        </w:rPr>
        <w:t xml:space="preserve">afin de </w:t>
      </w:r>
      <w:r w:rsidR="00B24398" w:rsidRPr="00E72418">
        <w:rPr>
          <w:szCs w:val="20"/>
        </w:rPr>
        <w:t xml:space="preserve">se protéger. </w:t>
      </w:r>
      <w:r w:rsidR="00B24398" w:rsidRPr="00E72418">
        <w:rPr>
          <w:szCs w:val="20"/>
          <w:lang w:val="en-US"/>
        </w:rPr>
        <w:t xml:space="preserve">Comme le relève </w:t>
      </w:r>
      <w:r w:rsidR="00F621B0" w:rsidRPr="00E72418">
        <w:rPr>
          <w:szCs w:val="20"/>
          <w:lang w:val="en-US"/>
        </w:rPr>
        <w:t>Georgios</w:t>
      </w:r>
      <w:r w:rsidR="0096290C" w:rsidRPr="00E72418">
        <w:rPr>
          <w:szCs w:val="20"/>
          <w:lang w:val="en-US"/>
        </w:rPr>
        <w:t xml:space="preserve"> </w:t>
      </w:r>
      <w:r w:rsidR="00B24398" w:rsidRPr="00E72418">
        <w:rPr>
          <w:szCs w:val="20"/>
          <w:lang w:val="en-US"/>
        </w:rPr>
        <w:t>Pavlidis, « an increase of successful anti-vulture initiatives in other jurisdictions could influence the strategy of sovereign debtors for shielding their assets » étant donné qu’ « [i]n this scenario, sovereign assets would be safer in countries with anti-vulture laws in force »</w:t>
      </w:r>
      <w:r w:rsidR="00B24398" w:rsidRPr="00E72418">
        <w:rPr>
          <w:rStyle w:val="Appelnotedebasdep"/>
          <w:szCs w:val="20"/>
          <w:lang w:val="en-US"/>
        </w:rPr>
        <w:footnoteReference w:id="2037"/>
      </w:r>
      <w:r w:rsidR="00B24398" w:rsidRPr="00E72418">
        <w:rPr>
          <w:szCs w:val="20"/>
          <w:lang w:val="en-US"/>
        </w:rPr>
        <w:t>.</w:t>
      </w:r>
    </w:p>
    <w:p w14:paraId="38DFC19A" w14:textId="22104484" w:rsidR="004106B1" w:rsidRPr="00E72418" w:rsidRDefault="004106B1" w:rsidP="00CC4BA8">
      <w:pPr>
        <w:spacing w:line="276" w:lineRule="auto"/>
        <w:rPr>
          <w:rFonts w:ascii="Times New Roman" w:hAnsi="Times New Roman" w:cs="Times New Roman"/>
        </w:rPr>
      </w:pPr>
      <w:r w:rsidRPr="00E72418">
        <w:rPr>
          <w:rFonts w:ascii="Times New Roman" w:hAnsi="Times New Roman" w:cs="Times New Roman"/>
        </w:rPr>
        <w:t xml:space="preserve">Outre l’argument de l’efficacité, la généralisation de la solution législative est souhaitable afin d’éviter que les seuls </w:t>
      </w:r>
      <w:r w:rsidRPr="00E72418">
        <w:rPr>
          <w:rFonts w:cs="Times New Roman"/>
          <w:szCs w:val="24"/>
        </w:rPr>
        <w:t>É</w:t>
      </w:r>
      <w:r w:rsidRPr="00E72418">
        <w:rPr>
          <w:rFonts w:cs="Times New Roman"/>
        </w:rPr>
        <w:t xml:space="preserve">tats engagés dans la voie de la </w:t>
      </w:r>
      <w:r w:rsidR="004F7711" w:rsidRPr="00E72418">
        <w:rPr>
          <w:rFonts w:cs="Times New Roman"/>
        </w:rPr>
        <w:t xml:space="preserve">réglementation </w:t>
      </w:r>
      <w:r w:rsidRPr="00E72418">
        <w:rPr>
          <w:rFonts w:cs="Times New Roman"/>
        </w:rPr>
        <w:t xml:space="preserve">soient pénalisés en ce qu’ils verraient une activité économique </w:t>
      </w:r>
      <w:r w:rsidR="00EE5151">
        <w:rPr>
          <w:rFonts w:cs="Times New Roman"/>
        </w:rPr>
        <w:t xml:space="preserve">potentiellement </w:t>
      </w:r>
      <w:r w:rsidRPr="00E72418">
        <w:rPr>
          <w:rFonts w:cs="Times New Roman"/>
        </w:rPr>
        <w:t xml:space="preserve">leur échapper. </w:t>
      </w:r>
      <w:r w:rsidRPr="00E72418">
        <w:t>L’</w:t>
      </w:r>
      <w:r w:rsidRPr="00E72418">
        <w:rPr>
          <w:i/>
        </w:rPr>
        <w:t>Institute of International Finance</w:t>
      </w:r>
      <w:r w:rsidRPr="00E72418">
        <w:t xml:space="preserve"> faisait ainsi par exemple valoir que </w:t>
      </w:r>
      <w:r w:rsidRPr="00E72418">
        <w:rPr>
          <w:rFonts w:cs="Times New Roman"/>
        </w:rPr>
        <w:t>la mise en œuvre de la législation anti-fonds spéculatifs belge était susceptible d’entacher la réputation du système légal belge en tant que lieu fiable pour le règlement de différends internationaux</w:t>
      </w:r>
      <w:r w:rsidRPr="00E72418">
        <w:rPr>
          <w:rStyle w:val="Appelnotedebasdep"/>
          <w:rFonts w:cs="Times New Roman"/>
        </w:rPr>
        <w:footnoteReference w:id="2038"/>
      </w:r>
      <w:r w:rsidRPr="00E72418">
        <w:rPr>
          <w:rFonts w:cs="Times New Roman"/>
        </w:rPr>
        <w:t>.</w:t>
      </w:r>
      <w:r w:rsidR="007F7216" w:rsidRPr="00E72418">
        <w:rPr>
          <w:rFonts w:cs="Times New Roman"/>
        </w:rPr>
        <w:t xml:space="preserve"> </w:t>
      </w:r>
      <w:r w:rsidR="00462CD0" w:rsidRPr="00E72418">
        <w:rPr>
          <w:rFonts w:cs="Times New Roman"/>
        </w:rPr>
        <w:t>Toutefois, l</w:t>
      </w:r>
      <w:r w:rsidR="007F7216" w:rsidRPr="00E72418">
        <w:rPr>
          <w:rFonts w:cs="Times New Roman"/>
        </w:rPr>
        <w:t xml:space="preserve">’argument </w:t>
      </w:r>
      <w:r w:rsidR="00373B28" w:rsidRPr="00E72418">
        <w:rPr>
          <w:rFonts w:cs="Times New Roman"/>
        </w:rPr>
        <w:t xml:space="preserve">doit sans doute être nuancé puisqu’il </w:t>
      </w:r>
      <w:r w:rsidR="007F7216" w:rsidRPr="00E72418">
        <w:rPr>
          <w:rFonts w:cs="Times New Roman"/>
        </w:rPr>
        <w:t xml:space="preserve">pourrait valoir en miroir en ce que des </w:t>
      </w:r>
      <w:r w:rsidR="0067312A" w:rsidRPr="00E72418">
        <w:rPr>
          <w:rFonts w:cs="Times New Roman"/>
          <w:szCs w:val="24"/>
        </w:rPr>
        <w:t>É</w:t>
      </w:r>
      <w:r w:rsidR="007F7216" w:rsidRPr="00E72418">
        <w:rPr>
          <w:rFonts w:cs="Times New Roman"/>
        </w:rPr>
        <w:t>tats chercheraient à regrouper leurs avoirs dans des pays où des législations anti-</w:t>
      </w:r>
      <w:r w:rsidR="00EE5151">
        <w:rPr>
          <w:rFonts w:cs="Times New Roman"/>
        </w:rPr>
        <w:t>spéculation</w:t>
      </w:r>
      <w:r w:rsidR="007F7216" w:rsidRPr="00E72418">
        <w:rPr>
          <w:rFonts w:cs="Times New Roman"/>
        </w:rPr>
        <w:t xml:space="preserve"> existent de sorte à les protéger</w:t>
      </w:r>
      <w:r w:rsidR="007F7216" w:rsidRPr="00E72418">
        <w:rPr>
          <w:rStyle w:val="Appelnotedebasdep"/>
          <w:rFonts w:cs="Times New Roman"/>
        </w:rPr>
        <w:footnoteReference w:id="2039"/>
      </w:r>
      <w:r w:rsidR="007F7216" w:rsidRPr="00E72418">
        <w:rPr>
          <w:rFonts w:cs="Times New Roman"/>
        </w:rPr>
        <w:t>.</w:t>
      </w:r>
    </w:p>
    <w:p w14:paraId="7B12FFB1" w14:textId="170ADC3F" w:rsidR="004106B1" w:rsidRPr="00E72418" w:rsidRDefault="004106B1" w:rsidP="00CC4BA8">
      <w:pPr>
        <w:spacing w:line="276" w:lineRule="auto"/>
        <w:rPr>
          <w:rFonts w:ascii="Times New Roman" w:hAnsi="Times New Roman" w:cs="Times New Roman"/>
          <w:szCs w:val="24"/>
        </w:rPr>
      </w:pPr>
      <w:r w:rsidRPr="00E72418">
        <w:rPr>
          <w:rFonts w:ascii="Times New Roman" w:hAnsi="Times New Roman" w:cs="Times New Roman"/>
        </w:rPr>
        <w:t xml:space="preserve">Si la généralisation de la solution législative aux problèmes posés par les activités des fonds spéculant sur les dettes souveraines est souhaitable, l’on peut également désirer que soient adoptées des </w:t>
      </w:r>
      <w:r w:rsidRPr="00E72418">
        <w:rPr>
          <w:rFonts w:cs="Times New Roman"/>
        </w:rPr>
        <w:t>législations aussi uniformes que possible</w:t>
      </w:r>
      <w:r w:rsidR="00373B28" w:rsidRPr="00E72418">
        <w:rPr>
          <w:rFonts w:cs="Times New Roman"/>
        </w:rPr>
        <w:t>, et</w:t>
      </w:r>
      <w:r w:rsidRPr="00E72418">
        <w:rPr>
          <w:rFonts w:cs="Times New Roman"/>
        </w:rPr>
        <w:t xml:space="preserve"> ce, afin que les réponses y apportées soient cohérentes</w:t>
      </w:r>
      <w:r w:rsidRPr="00E72418">
        <w:rPr>
          <w:rStyle w:val="Appelnotedebasdep"/>
          <w:rFonts w:cs="Times New Roman"/>
          <w:szCs w:val="24"/>
        </w:rPr>
        <w:footnoteReference w:id="2040"/>
      </w:r>
      <w:r w:rsidRPr="00E72418">
        <w:rPr>
          <w:rFonts w:cs="Times New Roman"/>
          <w:szCs w:val="24"/>
        </w:rPr>
        <w:t xml:space="preserve">. </w:t>
      </w:r>
      <w:r w:rsidRPr="00E72418">
        <w:t>À</w:t>
      </w:r>
      <w:r w:rsidRPr="00E72418">
        <w:rPr>
          <w:rFonts w:cs="Times New Roman"/>
        </w:rPr>
        <w:t xml:space="preserve"> l’heure actuelle, l’importance des différences entre les législations adoptées et en projet fait souhaiter que la solution locale généralisée soit </w:t>
      </w:r>
      <w:r w:rsidR="00462CD0" w:rsidRPr="00E72418">
        <w:rPr>
          <w:rFonts w:cs="Times New Roman"/>
        </w:rPr>
        <w:t xml:space="preserve">la plus </w:t>
      </w:r>
      <w:r w:rsidRPr="00E72418">
        <w:rPr>
          <w:rFonts w:cs="Times New Roman"/>
        </w:rPr>
        <w:t>uniforme possible dans les règles qu’elle pose</w:t>
      </w:r>
      <w:r w:rsidRPr="00E72418">
        <w:rPr>
          <w:rStyle w:val="Appelnotedebasdep"/>
          <w:rFonts w:cs="Times New Roman"/>
        </w:rPr>
        <w:footnoteReference w:id="2041"/>
      </w:r>
      <w:r w:rsidRPr="00E72418">
        <w:rPr>
          <w:rFonts w:cs="Times New Roman"/>
        </w:rPr>
        <w:t xml:space="preserve">. </w:t>
      </w:r>
      <w:r w:rsidRPr="00E72418">
        <w:t>Retenons ainsi, comme</w:t>
      </w:r>
      <w:r w:rsidR="00E07CB3" w:rsidRPr="00E72418">
        <w:t xml:space="preserve"> </w:t>
      </w:r>
      <w:r w:rsidR="00373B28" w:rsidRPr="00E72418">
        <w:t xml:space="preserve">Steven </w:t>
      </w:r>
      <w:r w:rsidR="00E07CB3" w:rsidRPr="00E72418">
        <w:t>Schwarc</w:t>
      </w:r>
      <w:r w:rsidRPr="00E72418">
        <w:t>z, que « </w:t>
      </w:r>
      <w:r w:rsidRPr="00E72418">
        <w:rPr>
          <w:rFonts w:cs="Times New Roman"/>
        </w:rPr>
        <w:t>[t]</w:t>
      </w:r>
      <w:r w:rsidRPr="00E72418">
        <w:t>o facilitate cross jurisdictional (sometimes called cross-border) legal comparability, each government enacting a model law should, ideally, enact the same legislative text »</w:t>
      </w:r>
      <w:r w:rsidRPr="00E72418">
        <w:rPr>
          <w:rStyle w:val="Appelnotedebasdep"/>
          <w:rFonts w:ascii="Times New Roman" w:hAnsi="Times New Roman" w:cs="Times New Roman"/>
          <w:szCs w:val="24"/>
        </w:rPr>
        <w:footnoteReference w:id="2042"/>
      </w:r>
      <w:r w:rsidRPr="00E72418">
        <w:rPr>
          <w:rFonts w:ascii="Times New Roman" w:hAnsi="Times New Roman" w:cs="Times New Roman"/>
          <w:szCs w:val="24"/>
        </w:rPr>
        <w:t>.</w:t>
      </w:r>
    </w:p>
    <w:p w14:paraId="22E825D5" w14:textId="77777777" w:rsidR="004106B1" w:rsidRPr="00E72418" w:rsidRDefault="004106B1" w:rsidP="00CC4BA8">
      <w:pPr>
        <w:spacing w:line="276" w:lineRule="auto"/>
      </w:pPr>
    </w:p>
    <w:p w14:paraId="1D8DAF37" w14:textId="5053BED6" w:rsidR="006F7F89" w:rsidRPr="00E72418" w:rsidRDefault="004469AC" w:rsidP="006F7F89">
      <w:pPr>
        <w:spacing w:line="276" w:lineRule="auto"/>
      </w:pPr>
      <w:r w:rsidRPr="00E72418">
        <w:rPr>
          <w:b/>
        </w:rPr>
        <w:t>404</w:t>
      </w:r>
      <w:r w:rsidR="00817D62" w:rsidRPr="00E72418">
        <w:rPr>
          <w:b/>
        </w:rPr>
        <w:t xml:space="preserve">. </w:t>
      </w:r>
      <w:r w:rsidR="004106B1" w:rsidRPr="00E72418">
        <w:rPr>
          <w:b/>
        </w:rPr>
        <w:t>L’utile équipement des juridictions nationales –</w:t>
      </w:r>
      <w:r w:rsidR="004106B1" w:rsidRPr="00E72418">
        <w:t xml:space="preserve"> </w:t>
      </w:r>
      <w:r w:rsidR="00A34386" w:rsidRPr="00E72418">
        <w:t>En l’absence d’un mécanisme spécifique et d’une autorité constituée destinés à traiter des difficultés financières</w:t>
      </w:r>
      <w:r w:rsidR="0067312A" w:rsidRPr="00E72418">
        <w:t xml:space="preserve"> rencontrées par les </w:t>
      </w:r>
      <w:r w:rsidR="0067312A" w:rsidRPr="00E72418">
        <w:rPr>
          <w:rFonts w:cs="Times New Roman"/>
          <w:szCs w:val="24"/>
        </w:rPr>
        <w:t>É</w:t>
      </w:r>
      <w:r w:rsidR="00A34386" w:rsidRPr="00E72418">
        <w:t>tats débiteurs à honorer leur</w:t>
      </w:r>
      <w:r w:rsidR="00462CD0" w:rsidRPr="00E72418">
        <w:t>s</w:t>
      </w:r>
      <w:r w:rsidR="00A34386" w:rsidRPr="00E72418">
        <w:t xml:space="preserve"> dette</w:t>
      </w:r>
      <w:r w:rsidR="00462CD0" w:rsidRPr="00E72418">
        <w:t>s</w:t>
      </w:r>
      <w:r w:rsidR="00A34386" w:rsidRPr="00E72418">
        <w:t xml:space="preserve">, les contentieux y relatifs sont généralement soumis </w:t>
      </w:r>
      <w:r w:rsidR="00A34386" w:rsidRPr="00E72418">
        <w:lastRenderedPageBreak/>
        <w:t xml:space="preserve">aux juges judiciaires nationaux à qui il échoit </w:t>
      </w:r>
      <w:r w:rsidR="00EE5151">
        <w:t xml:space="preserve">alors </w:t>
      </w:r>
      <w:r w:rsidR="00A34386" w:rsidRPr="00E72418">
        <w:t>d’y appliquer, lorsque des titres obligataires sont concernés, les modalités reprises dans leur contrat d’émission</w:t>
      </w:r>
      <w:r w:rsidR="00A34386" w:rsidRPr="00E72418">
        <w:rPr>
          <w:rStyle w:val="Appelnotedebasdep"/>
        </w:rPr>
        <w:footnoteReference w:id="2043"/>
      </w:r>
      <w:r w:rsidR="00A34386" w:rsidRPr="00E72418">
        <w:t>.</w:t>
      </w:r>
    </w:p>
    <w:p w14:paraId="3F003206" w14:textId="15CC53CC" w:rsidR="004106B1" w:rsidRPr="00E72418" w:rsidRDefault="004106B1" w:rsidP="00CC4BA8">
      <w:pPr>
        <w:spacing w:line="276" w:lineRule="auto"/>
      </w:pPr>
      <w:r w:rsidRPr="00E72418">
        <w:t>L’analyse des contentieux ayant opposé des fonds spéculatifs à leurs débiteurs souverains a permis de mettre en lumière la tâche ardue des juridictions nationales qui en sont saisies</w:t>
      </w:r>
      <w:r w:rsidR="00CD1613" w:rsidRPr="00E72418">
        <w:rPr>
          <w:rStyle w:val="Appelnotedebasdep"/>
        </w:rPr>
        <w:footnoteReference w:id="2044"/>
      </w:r>
      <w:r w:rsidRPr="00E72418">
        <w:t xml:space="preserve">. </w:t>
      </w:r>
      <w:r w:rsidR="00C34FC7" w:rsidRPr="00E72418">
        <w:t>En pratique, il</w:t>
      </w:r>
      <w:r w:rsidRPr="00E72418">
        <w:t xml:space="preserve"> est difficile</w:t>
      </w:r>
      <w:r w:rsidR="00462CD0" w:rsidRPr="00E72418">
        <w:t>,</w:t>
      </w:r>
      <w:r w:rsidRPr="00E72418">
        <w:t xml:space="preserve"> voire impossible</w:t>
      </w:r>
      <w:r w:rsidR="00462CD0" w:rsidRPr="00E72418">
        <w:t>,</w:t>
      </w:r>
      <w:r w:rsidRPr="00E72418">
        <w:t xml:space="preserve"> </w:t>
      </w:r>
      <w:r w:rsidR="00AD1ABE" w:rsidRPr="00E72418">
        <w:t xml:space="preserve">pour les juges </w:t>
      </w:r>
      <w:r w:rsidRPr="00E72418">
        <w:t>de dépasser</w:t>
      </w:r>
      <w:r w:rsidR="00290A92" w:rsidRPr="00E72418">
        <w:t>, en matière de dettes souveraines,</w:t>
      </w:r>
      <w:r w:rsidRPr="00E72418">
        <w:t xml:space="preserve"> la simple application du droit</w:t>
      </w:r>
      <w:r w:rsidR="00C34FC7" w:rsidRPr="00E72418">
        <w:t xml:space="preserve"> et d’avoir une vision d’ensemble des problème</w:t>
      </w:r>
      <w:r w:rsidR="00AD1ABE" w:rsidRPr="00E72418">
        <w:t>s</w:t>
      </w:r>
      <w:r w:rsidR="00C34FC7" w:rsidRPr="00E72418">
        <w:t xml:space="preserve"> dont ils sont saisis</w:t>
      </w:r>
      <w:r w:rsidRPr="00E72418">
        <w:t xml:space="preserve">. </w:t>
      </w:r>
      <w:r w:rsidR="00373B28" w:rsidRPr="00E72418">
        <w:t xml:space="preserve">John </w:t>
      </w:r>
      <w:r w:rsidRPr="00E72418">
        <w:rPr>
          <w:rFonts w:cs="Times New Roman"/>
        </w:rPr>
        <w:t>Pottow explique ainsi que « [f]or those jurisdictions without specialized insolvency or business tribunals, confronting sovereign-debt problems in the posture of a general civil action for breach of contract is especially awkward »</w:t>
      </w:r>
      <w:r w:rsidRPr="00E72418">
        <w:rPr>
          <w:rStyle w:val="Appelnotedebasdep"/>
          <w:rFonts w:cs="Times New Roman"/>
          <w:szCs w:val="24"/>
        </w:rPr>
        <w:footnoteReference w:id="2045"/>
      </w:r>
      <w:r w:rsidRPr="00E72418">
        <w:rPr>
          <w:rFonts w:cs="Times New Roman"/>
        </w:rPr>
        <w:t xml:space="preserve">. </w:t>
      </w:r>
      <w:r w:rsidRPr="00E72418">
        <w:t>Plus encore, les juridictions nationales saisies des contentieux sont souvent peu à même de percevoir les répercussions de leurs décisions</w:t>
      </w:r>
      <w:r w:rsidRPr="00E72418">
        <w:rPr>
          <w:rStyle w:val="Appelnotedebasdep"/>
        </w:rPr>
        <w:footnoteReference w:id="2046"/>
      </w:r>
      <w:r w:rsidRPr="00E72418">
        <w:t xml:space="preserve">. </w:t>
      </w:r>
      <w:r w:rsidR="00462CD0" w:rsidRPr="00E72418">
        <w:t>Et qu</w:t>
      </w:r>
      <w:r w:rsidRPr="00E72418">
        <w:t>and bien même elles en seraient conscientes, il n’est pas certain que cela devrait connoter leur décision</w:t>
      </w:r>
      <w:r w:rsidRPr="00E72418">
        <w:rPr>
          <w:rStyle w:val="Appelnotedebasdep"/>
        </w:rPr>
        <w:footnoteReference w:id="2047"/>
      </w:r>
      <w:r w:rsidRPr="00E72418">
        <w:t xml:space="preserve">. </w:t>
      </w:r>
    </w:p>
    <w:p w14:paraId="723D0D0E" w14:textId="5D1536BC" w:rsidR="00FE631D" w:rsidRPr="00E72418" w:rsidRDefault="004106B1" w:rsidP="00CC4BA8">
      <w:pPr>
        <w:spacing w:line="276" w:lineRule="auto"/>
        <w:rPr>
          <w:szCs w:val="24"/>
        </w:rPr>
      </w:pPr>
      <w:r w:rsidRPr="00E72418">
        <w:t xml:space="preserve">Face à ce constat, la solution consistant en l’adoption de législations </w:t>
      </w:r>
      <w:r w:rsidRPr="00E72418">
        <w:rPr>
          <w:szCs w:val="24"/>
        </w:rPr>
        <w:t xml:space="preserve">visant </w:t>
      </w:r>
      <w:r w:rsidR="00B277E2">
        <w:rPr>
          <w:szCs w:val="24"/>
        </w:rPr>
        <w:t>spécifiquement</w:t>
      </w:r>
      <w:r w:rsidRPr="00E72418">
        <w:rPr>
          <w:szCs w:val="24"/>
        </w:rPr>
        <w:t xml:space="preserve"> le phénomène des fonds spéculatifs apparaît intéressante dans la mesure où elle permet d’équiper </w:t>
      </w:r>
      <w:r w:rsidRPr="00E72418">
        <w:rPr>
          <w:szCs w:val="24"/>
        </w:rPr>
        <w:lastRenderedPageBreak/>
        <w:t xml:space="preserve">juridiquement les </w:t>
      </w:r>
      <w:r w:rsidR="008C6C2A" w:rsidRPr="00E72418">
        <w:rPr>
          <w:szCs w:val="24"/>
        </w:rPr>
        <w:t xml:space="preserve">juges </w:t>
      </w:r>
      <w:r w:rsidRPr="00E72418">
        <w:rPr>
          <w:szCs w:val="24"/>
        </w:rPr>
        <w:t>et d’ainsi en faciliter la tâche</w:t>
      </w:r>
      <w:r w:rsidR="003623D5" w:rsidRPr="00E72418">
        <w:rPr>
          <w:szCs w:val="24"/>
        </w:rPr>
        <w:t xml:space="preserve"> en leur indiquant la voie à suivre</w:t>
      </w:r>
      <w:r w:rsidRPr="00E72418">
        <w:rPr>
          <w:rStyle w:val="Appelnotedebasdep"/>
          <w:szCs w:val="24"/>
        </w:rPr>
        <w:footnoteReference w:id="2048"/>
      </w:r>
      <w:r w:rsidRPr="00E72418">
        <w:rPr>
          <w:szCs w:val="24"/>
        </w:rPr>
        <w:t xml:space="preserve">. </w:t>
      </w:r>
      <w:r w:rsidR="00FE631D" w:rsidRPr="00E72418">
        <w:rPr>
          <w:szCs w:val="24"/>
        </w:rPr>
        <w:t>Plus encore, elle permet de surmonter la critique suivant laquelle il ne revient pas aux juges de s’engager dans des considérations dépassant le cadre des contrats sur lesquels se tissent les contentieux dont ils sont saisis</w:t>
      </w:r>
      <w:r w:rsidR="00FE631D" w:rsidRPr="00E72418">
        <w:rPr>
          <w:rStyle w:val="Appelnotedebasdep"/>
          <w:szCs w:val="24"/>
        </w:rPr>
        <w:footnoteReference w:id="2049"/>
      </w:r>
      <w:r w:rsidR="00FE631D" w:rsidRPr="00E72418">
        <w:rPr>
          <w:szCs w:val="24"/>
        </w:rPr>
        <w:t>.</w:t>
      </w:r>
    </w:p>
    <w:p w14:paraId="058BDB43" w14:textId="19552D7F" w:rsidR="004106B1" w:rsidRPr="00E72418" w:rsidRDefault="004106B1" w:rsidP="00CC4BA8">
      <w:pPr>
        <w:spacing w:line="276" w:lineRule="auto"/>
      </w:pPr>
      <w:r w:rsidRPr="00E72418">
        <w:rPr>
          <w:szCs w:val="24"/>
        </w:rPr>
        <w:t>Outre l’équipement procuré, la</w:t>
      </w:r>
      <w:r w:rsidR="00AD1ABE" w:rsidRPr="00E72418">
        <w:rPr>
          <w:szCs w:val="24"/>
        </w:rPr>
        <w:t xml:space="preserve"> </w:t>
      </w:r>
      <w:r w:rsidR="004F7711" w:rsidRPr="00E72418">
        <w:rPr>
          <w:szCs w:val="24"/>
        </w:rPr>
        <w:t>réglementation</w:t>
      </w:r>
      <w:r w:rsidR="00AD1ABE" w:rsidRPr="00E72418">
        <w:rPr>
          <w:szCs w:val="24"/>
        </w:rPr>
        <w:t xml:space="preserve"> des actions judiciaires </w:t>
      </w:r>
      <w:r w:rsidRPr="00E72418">
        <w:rPr>
          <w:szCs w:val="24"/>
        </w:rPr>
        <w:t>permet plus largement d’éviter que les fonds spéculant sur les dettes souveraines</w:t>
      </w:r>
      <w:r w:rsidR="00AD1ABE" w:rsidRPr="00E72418">
        <w:rPr>
          <w:szCs w:val="24"/>
        </w:rPr>
        <w:t xml:space="preserve"> puissent se servir </w:t>
      </w:r>
      <w:r w:rsidR="00B277E2">
        <w:rPr>
          <w:szCs w:val="24"/>
        </w:rPr>
        <w:t xml:space="preserve">sans limite </w:t>
      </w:r>
      <w:r w:rsidR="00AD1ABE" w:rsidRPr="00E72418">
        <w:rPr>
          <w:szCs w:val="24"/>
        </w:rPr>
        <w:t xml:space="preserve">des juridictions nationales </w:t>
      </w:r>
      <w:r w:rsidRPr="00E72418">
        <w:rPr>
          <w:szCs w:val="24"/>
        </w:rPr>
        <w:t xml:space="preserve">afin de parvenir à leurs fins. </w:t>
      </w:r>
      <w:r w:rsidRPr="00E72418">
        <w:t xml:space="preserve">William Teare le notait durant les travaux préparatoires du </w:t>
      </w:r>
      <w:r w:rsidRPr="00E72418">
        <w:rPr>
          <w:i/>
        </w:rPr>
        <w:t>Heavily Indebted Poor Countries (Limitation on Debt Recovery) Act 2012</w:t>
      </w:r>
      <w:r w:rsidRPr="00E72418">
        <w:t> mannois :</w:t>
      </w:r>
      <w:r w:rsidRPr="00E72418">
        <w:rPr>
          <w:i/>
        </w:rPr>
        <w:t xml:space="preserve"> </w:t>
      </w:r>
      <w:r w:rsidRPr="00E72418">
        <w:rPr>
          <w:rFonts w:cs="Times New Roman"/>
        </w:rPr>
        <w:t>« [t]</w:t>
      </w:r>
      <w:r w:rsidRPr="00E72418">
        <w:t xml:space="preserve">he Bill, when enacted, will ensure that the Isle of Man will continue to act as a responsible world citizen and that the jurisdiction cannot be used to further morally questionable practices </w:t>
      </w:r>
      <w:r w:rsidRPr="00E72418">
        <w:rPr>
          <w:rFonts w:cs="Times New Roman"/>
        </w:rPr>
        <w:t>»</w:t>
      </w:r>
      <w:r w:rsidRPr="00E72418">
        <w:rPr>
          <w:rStyle w:val="Appelnotedebasdep"/>
        </w:rPr>
        <w:footnoteReference w:id="2050"/>
      </w:r>
      <w:r w:rsidRPr="00E72418">
        <w:t>.</w:t>
      </w:r>
    </w:p>
    <w:p w14:paraId="1671AD76" w14:textId="32B2D6CB" w:rsidR="00CF30AC" w:rsidRPr="00E72418" w:rsidRDefault="008C6C2A" w:rsidP="00CC4BA8">
      <w:pPr>
        <w:spacing w:line="276" w:lineRule="auto"/>
      </w:pPr>
      <w:r w:rsidRPr="00E72418">
        <w:t>Et d</w:t>
      </w:r>
      <w:r w:rsidR="00CF30AC" w:rsidRPr="00E72418">
        <w:t>ans l’hypothèse où les fonds spécula</w:t>
      </w:r>
      <w:r w:rsidR="00B277E2">
        <w:t>tifs recourraient à l’arbitrage</w:t>
      </w:r>
      <w:r w:rsidR="00CF30AC" w:rsidRPr="00E72418">
        <w:t xml:space="preserve"> afin de </w:t>
      </w:r>
      <w:r w:rsidR="00E07CB3" w:rsidRPr="00E72418">
        <w:t xml:space="preserve">chercher à </w:t>
      </w:r>
      <w:r w:rsidR="00CF30AC" w:rsidRPr="00E72418">
        <w:t>faire condamner leurs débiteurs souverains</w:t>
      </w:r>
      <w:r w:rsidR="00CF30AC" w:rsidRPr="00E72418">
        <w:rPr>
          <w:rStyle w:val="Appelnotedebasdep"/>
        </w:rPr>
        <w:footnoteReference w:id="2051"/>
      </w:r>
      <w:r w:rsidR="00CF30AC" w:rsidRPr="00E72418">
        <w:t>, les juridictions judiciaires seraient selon toute vraisemblance ensuite amenées à intervenir à l’endroit de</w:t>
      </w:r>
      <w:r w:rsidR="00645CCD" w:rsidRPr="00E72418">
        <w:t xml:space="preserve"> la reconnaissance et de</w:t>
      </w:r>
      <w:r w:rsidR="00CF30AC" w:rsidRPr="00E72418">
        <w:t xml:space="preserve"> l’exécution des sentences de sorte que l’équipement projeté </w:t>
      </w:r>
      <w:r w:rsidR="00B277E2">
        <w:t xml:space="preserve">pourrait </w:t>
      </w:r>
      <w:r w:rsidR="00CF30AC" w:rsidRPr="00E72418">
        <w:t xml:space="preserve">leur y </w:t>
      </w:r>
      <w:r w:rsidR="00B277E2">
        <w:t>être</w:t>
      </w:r>
      <w:r w:rsidR="00CF30AC" w:rsidRPr="00E72418">
        <w:t xml:space="preserve"> également utile</w:t>
      </w:r>
      <w:r w:rsidR="00645CCD" w:rsidRPr="00E72418">
        <w:rPr>
          <w:rStyle w:val="Appelnotedebasdep"/>
        </w:rPr>
        <w:footnoteReference w:id="2052"/>
      </w:r>
      <w:r w:rsidR="00CF30AC" w:rsidRPr="00E72418">
        <w:t xml:space="preserve">. </w:t>
      </w:r>
    </w:p>
    <w:p w14:paraId="6F890C41" w14:textId="1917CF32" w:rsidR="006D63A9" w:rsidRPr="00E72418" w:rsidRDefault="006D63A9" w:rsidP="00CC4BA8">
      <w:pPr>
        <w:spacing w:line="276" w:lineRule="auto"/>
      </w:pPr>
    </w:p>
    <w:p w14:paraId="4174664A" w14:textId="400B90BF" w:rsidR="006D63A9" w:rsidRPr="00E72418" w:rsidRDefault="004469AC" w:rsidP="00CC4BA8">
      <w:pPr>
        <w:spacing w:line="276" w:lineRule="auto"/>
      </w:pPr>
      <w:r w:rsidRPr="00E72418">
        <w:rPr>
          <w:b/>
        </w:rPr>
        <w:t>405</w:t>
      </w:r>
      <w:r w:rsidR="00817D62" w:rsidRPr="00E72418">
        <w:rPr>
          <w:b/>
        </w:rPr>
        <w:t xml:space="preserve">. </w:t>
      </w:r>
      <w:r w:rsidR="006D63A9" w:rsidRPr="00E72418">
        <w:rPr>
          <w:b/>
        </w:rPr>
        <w:t xml:space="preserve">L’insuffisance de la </w:t>
      </w:r>
      <w:r w:rsidR="006D63A9" w:rsidRPr="00E72418">
        <w:rPr>
          <w:b/>
          <w:i/>
        </w:rPr>
        <w:t>soft law</w:t>
      </w:r>
      <w:r w:rsidR="006D63A9" w:rsidRPr="00E72418">
        <w:rPr>
          <w:b/>
        </w:rPr>
        <w:t xml:space="preserve"> </w:t>
      </w:r>
      <w:r w:rsidR="006D63A9" w:rsidRPr="00E72418">
        <w:rPr>
          <w:rFonts w:cs="Times New Roman"/>
          <w:b/>
        </w:rPr>
        <w:t>–</w:t>
      </w:r>
      <w:r w:rsidR="006D63A9" w:rsidRPr="00E72418">
        <w:rPr>
          <w:b/>
        </w:rPr>
        <w:t xml:space="preserve"> </w:t>
      </w:r>
      <w:r w:rsidR="00E46363" w:rsidRPr="00E72418">
        <w:t>Bien qu</w:t>
      </w:r>
      <w:r w:rsidR="00A67829" w:rsidRPr="00E72418">
        <w:t xml:space="preserve">e ces dernières années </w:t>
      </w:r>
      <w:r w:rsidR="00E46363" w:rsidRPr="00E72418">
        <w:t>un développement de règles de conduite entourant les dettes souveraines</w:t>
      </w:r>
      <w:r w:rsidR="00A67829" w:rsidRPr="00E72418">
        <w:t xml:space="preserve"> puisse être constaté</w:t>
      </w:r>
      <w:r w:rsidR="00E46363" w:rsidRPr="00E72418">
        <w:t>,</w:t>
      </w:r>
      <w:r w:rsidR="00A67829" w:rsidRPr="00E72418">
        <w:t xml:space="preserve"> comme par exemple à travers l’importante </w:t>
      </w:r>
      <w:r w:rsidR="00A67829" w:rsidRPr="00E72418">
        <w:rPr>
          <w:rFonts w:cs="Times New Roman"/>
          <w:szCs w:val="24"/>
        </w:rPr>
        <w:t>résolution sur les principes fondamentaux des opérations de restructuration de la dette souveraine</w:t>
      </w:r>
      <w:r w:rsidR="00E46363" w:rsidRPr="00E72418">
        <w:t xml:space="preserve"> </w:t>
      </w:r>
      <w:r w:rsidR="00A67829" w:rsidRPr="00E72418">
        <w:t>des Nations Unies de 2015</w:t>
      </w:r>
      <w:r w:rsidR="00A67829" w:rsidRPr="00E72418">
        <w:rPr>
          <w:rStyle w:val="Appelnotedebasdep"/>
        </w:rPr>
        <w:footnoteReference w:id="2053"/>
      </w:r>
      <w:r w:rsidR="00A67829" w:rsidRPr="00E72418">
        <w:t xml:space="preserve">, </w:t>
      </w:r>
      <w:r w:rsidR="00E46363" w:rsidRPr="00E72418">
        <w:t xml:space="preserve">il échet de remarquer que celles-ci sont généralement reprises dans des instruments de </w:t>
      </w:r>
      <w:r w:rsidR="00E46363" w:rsidRPr="00E72418">
        <w:rPr>
          <w:i/>
        </w:rPr>
        <w:t>soft law</w:t>
      </w:r>
      <w:r w:rsidR="00A67829" w:rsidRPr="00E72418">
        <w:rPr>
          <w:rStyle w:val="Appelnotedebasdep"/>
        </w:rPr>
        <w:footnoteReference w:id="2054"/>
      </w:r>
      <w:r w:rsidR="00A67829" w:rsidRPr="00E72418">
        <w:t>.</w:t>
      </w:r>
      <w:r w:rsidR="00A67829" w:rsidRPr="00E72418">
        <w:rPr>
          <w:b/>
        </w:rPr>
        <w:t xml:space="preserve"> </w:t>
      </w:r>
      <w:r w:rsidR="008C6C2A" w:rsidRPr="00E72418">
        <w:t>Tout</w:t>
      </w:r>
      <w:r w:rsidR="006D63A9" w:rsidRPr="00E72418">
        <w:t xml:space="preserve"> enthousiasmant que peu paraître le recours </w:t>
      </w:r>
      <w:r w:rsidR="00460A98" w:rsidRPr="00E72418">
        <w:t>au droit souple</w:t>
      </w:r>
      <w:r w:rsidR="002730DB" w:rsidRPr="00E72418">
        <w:t xml:space="preserve"> </w:t>
      </w:r>
      <w:r w:rsidR="006D63A9" w:rsidRPr="00E72418">
        <w:t>passant notamment pa</w:t>
      </w:r>
      <w:r w:rsidR="00A67829" w:rsidRPr="00E72418">
        <w:t>r</w:t>
      </w:r>
      <w:r w:rsidR="006D63A9" w:rsidRPr="00E72418">
        <w:t xml:space="preserve"> l’adoption de codes de conduite</w:t>
      </w:r>
      <w:r w:rsidR="00CF76E1" w:rsidRPr="00E72418">
        <w:t>, et</w:t>
      </w:r>
      <w:r w:rsidR="002730DB" w:rsidRPr="00E72418">
        <w:t xml:space="preserve"> ce</w:t>
      </w:r>
      <w:r w:rsidR="006D63A9" w:rsidRPr="00E72418">
        <w:t>, afin de tendre à une meilleure gestion des d</w:t>
      </w:r>
      <w:r w:rsidR="0067312A" w:rsidRPr="00E72418">
        <w:t xml:space="preserve">ifficultés rencontrées par les </w:t>
      </w:r>
      <w:r w:rsidR="0067312A" w:rsidRPr="00E72418">
        <w:rPr>
          <w:rFonts w:cs="Times New Roman"/>
          <w:szCs w:val="24"/>
        </w:rPr>
        <w:t>É</w:t>
      </w:r>
      <w:r w:rsidR="006D63A9" w:rsidRPr="00E72418">
        <w:t xml:space="preserve">tats souverains au </w:t>
      </w:r>
      <w:r w:rsidR="006D63A9" w:rsidRPr="00E72418">
        <w:lastRenderedPageBreak/>
        <w:t>sujet de leur</w:t>
      </w:r>
      <w:r w:rsidR="008C6C2A" w:rsidRPr="00E72418">
        <w:t>s</w:t>
      </w:r>
      <w:r w:rsidR="006D63A9" w:rsidRPr="00E72418">
        <w:t xml:space="preserve"> dette</w:t>
      </w:r>
      <w:r w:rsidR="008C6C2A" w:rsidRPr="00E72418">
        <w:t>s</w:t>
      </w:r>
      <w:r w:rsidR="006D63A9" w:rsidRPr="00E72418">
        <w:t>, l</w:t>
      </w:r>
      <w:r w:rsidR="00E07CB3" w:rsidRPr="00E72418">
        <w:t>’on peut craindre qu’un tel recours</w:t>
      </w:r>
      <w:r w:rsidR="006D63A9" w:rsidRPr="00E72418">
        <w:t xml:space="preserve"> est insuffisant afin de protéger les débiteurs des </w:t>
      </w:r>
      <w:r w:rsidR="008C6C2A" w:rsidRPr="00E72418">
        <w:t xml:space="preserve">activités des fonds spéculatifs. </w:t>
      </w:r>
      <w:r w:rsidR="006D63A9" w:rsidRPr="00E72418">
        <w:t xml:space="preserve">Comme le note </w:t>
      </w:r>
      <w:r w:rsidR="00865D15" w:rsidRPr="00E72418">
        <w:t xml:space="preserve">Charlotte </w:t>
      </w:r>
      <w:r w:rsidR="006D63A9" w:rsidRPr="00E72418">
        <w:t>Rault, la faiblesse réside dans l’absence de mécanisme</w:t>
      </w:r>
      <w:r w:rsidR="0067312A" w:rsidRPr="00E72418">
        <w:t xml:space="preserve"> permettant de contraindre les </w:t>
      </w:r>
      <w:r w:rsidR="0067312A" w:rsidRPr="00E72418">
        <w:rPr>
          <w:rFonts w:cs="Times New Roman"/>
          <w:szCs w:val="24"/>
        </w:rPr>
        <w:t>É</w:t>
      </w:r>
      <w:r w:rsidR="006D63A9" w:rsidRPr="00E72418">
        <w:t xml:space="preserve">tats et les créanciers à respecter cette </w:t>
      </w:r>
      <w:r w:rsidR="006D63A9" w:rsidRPr="00E72418">
        <w:rPr>
          <w:i/>
        </w:rPr>
        <w:t>soft law</w:t>
      </w:r>
      <w:r w:rsidR="006D63A9" w:rsidRPr="00E72418">
        <w:t xml:space="preserve"> et, plus encore, de sanctionner les comportements</w:t>
      </w:r>
      <w:r w:rsidR="00630213" w:rsidRPr="00E72418">
        <w:t xml:space="preserve"> non conformes</w:t>
      </w:r>
      <w:r w:rsidR="006D63A9" w:rsidRPr="00E72418">
        <w:rPr>
          <w:rStyle w:val="Appelnotedebasdep"/>
        </w:rPr>
        <w:footnoteReference w:id="2055"/>
      </w:r>
      <w:r w:rsidR="006D63A9" w:rsidRPr="00E72418">
        <w:t>.</w:t>
      </w:r>
      <w:r w:rsidR="00AD1ABE" w:rsidRPr="00E72418">
        <w:t xml:space="preserve"> Cette insuffisance finit de nous convaincre de la pertinence de proposer une réglementation sur mesure des activités spéculatives sur les dettes souveraines</w:t>
      </w:r>
      <w:r w:rsidR="00CF76E1" w:rsidRPr="00E72418">
        <w:t xml:space="preserve"> qui soit reprise dans une législation contraignante</w:t>
      </w:r>
      <w:r w:rsidR="00AD1ABE" w:rsidRPr="00E72418">
        <w:t>.</w:t>
      </w:r>
    </w:p>
    <w:p w14:paraId="61674CF7" w14:textId="77777777" w:rsidR="004106B1" w:rsidRPr="00E72418" w:rsidRDefault="004106B1" w:rsidP="00CC4BA8">
      <w:pPr>
        <w:spacing w:line="276" w:lineRule="auto"/>
      </w:pPr>
    </w:p>
    <w:p w14:paraId="53007F57" w14:textId="66EDDA6B" w:rsidR="004106B1" w:rsidRPr="00E72418" w:rsidRDefault="004106B1" w:rsidP="00CC4BA8">
      <w:pPr>
        <w:pStyle w:val="CC"/>
        <w:spacing w:line="276" w:lineRule="auto"/>
      </w:pPr>
      <w:bookmarkStart w:id="482" w:name="_Toc47442876"/>
      <w:bookmarkStart w:id="483" w:name="_Toc59281036"/>
      <w:bookmarkStart w:id="484" w:name="_Toc75106121"/>
      <w:bookmarkStart w:id="485" w:name="_Toc84541015"/>
      <w:r w:rsidRPr="00E72418">
        <w:t>Chapitre 3 : L’argument cardinal de la soutenabilité de</w:t>
      </w:r>
      <w:r w:rsidR="00D148B6" w:rsidRPr="00E72418">
        <w:t xml:space="preserve">s </w:t>
      </w:r>
      <w:r w:rsidRPr="00E72418">
        <w:t>dette</w:t>
      </w:r>
      <w:bookmarkEnd w:id="482"/>
      <w:bookmarkEnd w:id="483"/>
      <w:bookmarkEnd w:id="484"/>
      <w:bookmarkEnd w:id="485"/>
      <w:r w:rsidR="00D148B6" w:rsidRPr="00E72418">
        <w:t>s souveraines</w:t>
      </w:r>
    </w:p>
    <w:p w14:paraId="5521FDC0" w14:textId="77777777" w:rsidR="004106B1" w:rsidRPr="00E72418" w:rsidRDefault="004106B1" w:rsidP="00CC4BA8">
      <w:pPr>
        <w:spacing w:line="276" w:lineRule="auto"/>
      </w:pPr>
    </w:p>
    <w:p w14:paraId="4A69EFAC" w14:textId="772BCA8B" w:rsidR="00984EA5" w:rsidRPr="00E72418" w:rsidRDefault="004469AC" w:rsidP="00FC3399">
      <w:pPr>
        <w:spacing w:line="276" w:lineRule="auto"/>
        <w:rPr>
          <w:rFonts w:cs="Times New Roman"/>
        </w:rPr>
      </w:pPr>
      <w:r w:rsidRPr="00E72418">
        <w:rPr>
          <w:b/>
        </w:rPr>
        <w:t>406</w:t>
      </w:r>
      <w:r w:rsidR="00817D62" w:rsidRPr="00E72418">
        <w:rPr>
          <w:b/>
        </w:rPr>
        <w:t xml:space="preserve">. </w:t>
      </w:r>
      <w:r w:rsidR="004106B1" w:rsidRPr="00E72418">
        <w:rPr>
          <w:b/>
        </w:rPr>
        <w:t xml:space="preserve">La prééminence des droits de l’homme </w:t>
      </w:r>
      <w:r w:rsidR="004106B1" w:rsidRPr="00E72418">
        <w:rPr>
          <w:rFonts w:cs="Times New Roman"/>
          <w:b/>
        </w:rPr>
        <w:t xml:space="preserve">– </w:t>
      </w:r>
      <w:r w:rsidR="008C6C2A" w:rsidRPr="00E72418">
        <w:rPr>
          <w:rFonts w:cs="Times New Roman"/>
        </w:rPr>
        <w:t xml:space="preserve">Convaincu de la pertinence de proposer de la </w:t>
      </w:r>
      <w:r w:rsidR="008C6C2A" w:rsidRPr="00E72418">
        <w:rPr>
          <w:rFonts w:cs="Times New Roman"/>
          <w:i/>
        </w:rPr>
        <w:t>hard law</w:t>
      </w:r>
      <w:r w:rsidR="008C6C2A" w:rsidRPr="00E72418">
        <w:rPr>
          <w:rFonts w:cs="Times New Roman"/>
        </w:rPr>
        <w:t xml:space="preserve"> sur mesure, il reste à déterminer l’étalon à l’aune duquel la </w:t>
      </w:r>
      <w:r w:rsidR="004F7711" w:rsidRPr="00E72418">
        <w:rPr>
          <w:rFonts w:cs="Times New Roman"/>
        </w:rPr>
        <w:t xml:space="preserve">réglementation </w:t>
      </w:r>
      <w:r w:rsidR="00125FC0" w:rsidRPr="00E72418">
        <w:rPr>
          <w:rFonts w:cs="Times New Roman"/>
        </w:rPr>
        <w:t>des activi</w:t>
      </w:r>
      <w:r w:rsidR="00D70EAD" w:rsidRPr="00E72418">
        <w:rPr>
          <w:rFonts w:cs="Times New Roman"/>
        </w:rPr>
        <w:t>tés des fonds spéculatifs doi</w:t>
      </w:r>
      <w:r w:rsidR="008C6C2A" w:rsidRPr="00E72418">
        <w:rPr>
          <w:rFonts w:cs="Times New Roman"/>
        </w:rPr>
        <w:t xml:space="preserve">t </w:t>
      </w:r>
      <w:r w:rsidR="00D70EAD" w:rsidRPr="00E72418">
        <w:rPr>
          <w:rFonts w:cs="Times New Roman"/>
        </w:rPr>
        <w:t>être appréciée</w:t>
      </w:r>
      <w:r w:rsidR="008C6C2A" w:rsidRPr="00E72418">
        <w:rPr>
          <w:rFonts w:cs="Times New Roman"/>
        </w:rPr>
        <w:t>.</w:t>
      </w:r>
      <w:r w:rsidR="00984EA5" w:rsidRPr="00E72418">
        <w:rPr>
          <w:rFonts w:cs="Times New Roman"/>
          <w:b/>
        </w:rPr>
        <w:t xml:space="preserve"> </w:t>
      </w:r>
      <w:r w:rsidR="00984EA5" w:rsidRPr="00E72418">
        <w:rPr>
          <w:rFonts w:cs="Times New Roman"/>
        </w:rPr>
        <w:t xml:space="preserve">Le critère de la soutenabilité de la dette souveraine nous apparaît être </w:t>
      </w:r>
      <w:r w:rsidR="00D70EAD" w:rsidRPr="00E72418">
        <w:rPr>
          <w:rFonts w:cs="Times New Roman"/>
        </w:rPr>
        <w:t>celui permettant la pondération des divers intérêts en présence.</w:t>
      </w:r>
      <w:r w:rsidR="009F4DF3" w:rsidRPr="00E72418">
        <w:rPr>
          <w:rFonts w:cs="Times New Roman"/>
        </w:rPr>
        <w:t xml:space="preserve"> Le recours à ce critère nous apparaît d’autant plus opportun qu’il bénéficie d’une solide assise</w:t>
      </w:r>
      <w:r w:rsidR="009F4DF3" w:rsidRPr="00E72418">
        <w:rPr>
          <w:rStyle w:val="Appelnotedebasdep"/>
          <w:rFonts w:cs="Times New Roman"/>
        </w:rPr>
        <w:footnoteReference w:id="2056"/>
      </w:r>
      <w:r w:rsidR="009F4DF3" w:rsidRPr="00E72418">
        <w:rPr>
          <w:rFonts w:cs="Times New Roman"/>
        </w:rPr>
        <w:t xml:space="preserve">. Après avoir étudié historiquement l’émergence du principe, </w:t>
      </w:r>
      <w:r w:rsidR="00922858" w:rsidRPr="00E72418">
        <w:t xml:space="preserve">Juan Pablo </w:t>
      </w:r>
      <w:r w:rsidR="00922858" w:rsidRPr="00E72418">
        <w:rPr>
          <w:rFonts w:cs="Times New Roman"/>
          <w:szCs w:val="24"/>
        </w:rPr>
        <w:t>Bohoslavsky et Matthias Goldmann</w:t>
      </w:r>
      <w:r w:rsidR="009F4DF3" w:rsidRPr="00E72418">
        <w:rPr>
          <w:rFonts w:cs="Times New Roman"/>
          <w:szCs w:val="24"/>
        </w:rPr>
        <w:t xml:space="preserve"> </w:t>
      </w:r>
      <w:r w:rsidR="009E4F86" w:rsidRPr="00E72418">
        <w:rPr>
          <w:rFonts w:cs="Times New Roman"/>
        </w:rPr>
        <w:t>notent ainsi qu’</w:t>
      </w:r>
      <w:r w:rsidR="009F4DF3" w:rsidRPr="00E72418">
        <w:rPr>
          <w:rFonts w:cs="Times New Roman"/>
        </w:rPr>
        <w:t xml:space="preserve"> « </w:t>
      </w:r>
      <w:r w:rsidR="009F4DF3" w:rsidRPr="00E72418">
        <w:rPr>
          <w:rFonts w:ascii="Times New Roman" w:hAnsi="Times New Roman" w:cs="Times New Roman"/>
        </w:rPr>
        <w:t xml:space="preserve">[i]n a fairly consistent pattern, debt sustainability is today reflected in international legal practice and may be considered a principle of public international law </w:t>
      </w:r>
      <w:r w:rsidR="009F4DF3" w:rsidRPr="00E72418">
        <w:rPr>
          <w:rFonts w:cs="Times New Roman"/>
        </w:rPr>
        <w:t>»</w:t>
      </w:r>
      <w:r w:rsidR="009F4DF3" w:rsidRPr="00E72418">
        <w:rPr>
          <w:rStyle w:val="Appelnotedebasdep"/>
          <w:rFonts w:cs="Times New Roman"/>
        </w:rPr>
        <w:footnoteReference w:id="2057"/>
      </w:r>
      <w:r w:rsidR="009F4DF3" w:rsidRPr="00E72418">
        <w:rPr>
          <w:rFonts w:cs="Times New Roman"/>
        </w:rPr>
        <w:t>.</w:t>
      </w:r>
      <w:r w:rsidR="008679F5" w:rsidRPr="00E72418">
        <w:rPr>
          <w:rFonts w:cs="Times New Roman"/>
        </w:rPr>
        <w:t xml:space="preserve"> Les auteurs relèvent notamment le « shift in sovereign debt restructuring practice away from an almost exclusive focus on creditors’ rights towards a global public interest in both the financial well being of a debtor state, and in mitigating </w:t>
      </w:r>
      <w:r w:rsidR="007C7EA8" w:rsidRPr="00E72418">
        <w:rPr>
          <w:rFonts w:cs="Times New Roman"/>
        </w:rPr>
        <w:t>the impact of</w:t>
      </w:r>
      <w:r w:rsidR="008679F5" w:rsidRPr="00E72418">
        <w:rPr>
          <w:rFonts w:cs="Times New Roman"/>
        </w:rPr>
        <w:t xml:space="preserve"> debt crises on the broader economic, social and human rights situation in the country »</w:t>
      </w:r>
      <w:r w:rsidR="008679F5" w:rsidRPr="00E72418">
        <w:rPr>
          <w:rStyle w:val="Appelnotedebasdep"/>
          <w:rFonts w:cs="Times New Roman"/>
        </w:rPr>
        <w:footnoteReference w:id="2058"/>
      </w:r>
      <w:r w:rsidR="008679F5" w:rsidRPr="00E72418">
        <w:rPr>
          <w:rFonts w:cs="Times New Roman"/>
        </w:rPr>
        <w:t>.</w:t>
      </w:r>
    </w:p>
    <w:p w14:paraId="374A8106" w14:textId="3E275E76" w:rsidR="00984EA5" w:rsidRPr="00E72418" w:rsidRDefault="004106B1" w:rsidP="00FC3399">
      <w:pPr>
        <w:spacing w:line="276" w:lineRule="auto"/>
        <w:rPr>
          <w:rFonts w:ascii="Times New Roman" w:hAnsi="Times New Roman" w:cs="Times New Roman"/>
        </w:rPr>
      </w:pPr>
      <w:r w:rsidRPr="00E72418">
        <w:t xml:space="preserve">Nous avons déjà relevé que la dette d’un </w:t>
      </w:r>
      <w:r w:rsidRPr="00E72418">
        <w:rPr>
          <w:rFonts w:cs="Times New Roman"/>
          <w:szCs w:val="24"/>
        </w:rPr>
        <w:t>É</w:t>
      </w:r>
      <w:r w:rsidRPr="00E72418">
        <w:t>tat est jugée soutenable si son service n’est pas synonyme de sacrifices incompatibles avec le bien-être de sa population, s’il n’entraîne pas de violations des droits économiques et sociaux et, finalement, s’il ne fait pas obstacle à la réalisation des objectifs internationaux en matière de développement</w:t>
      </w:r>
      <w:r w:rsidRPr="00E72418">
        <w:rPr>
          <w:rStyle w:val="Appelnotedebasdep"/>
          <w:rFonts w:cs="Times New Roman"/>
          <w:smallCaps/>
          <w:szCs w:val="24"/>
        </w:rPr>
        <w:footnoteReference w:id="2059"/>
      </w:r>
      <w:r w:rsidR="00793C99" w:rsidRPr="00E72418">
        <w:rPr>
          <w:vertAlign w:val="superscript"/>
        </w:rPr>
        <w:t>,</w:t>
      </w:r>
      <w:r w:rsidR="00793C99" w:rsidRPr="00E72418">
        <w:rPr>
          <w:rStyle w:val="Appelnotedebasdep"/>
        </w:rPr>
        <w:footnoteReference w:id="2060"/>
      </w:r>
      <w:r w:rsidRPr="00E72418">
        <w:t xml:space="preserve">. Partant de ce principe de la soutenabilité de la dette souveraine, </w:t>
      </w:r>
      <w:r w:rsidR="002A3665" w:rsidRPr="00E72418">
        <w:t xml:space="preserve">Gaston </w:t>
      </w:r>
      <w:r w:rsidRPr="00E72418">
        <w:rPr>
          <w:rFonts w:cs="Times New Roman"/>
        </w:rPr>
        <w:t xml:space="preserve">Jèze faisait valoir en 1935 à </w:t>
      </w:r>
      <w:r w:rsidRPr="00E72418">
        <w:lastRenderedPageBreak/>
        <w:t>l’Académie de Droit International de La Haye</w:t>
      </w:r>
      <w:r w:rsidRPr="00E72418">
        <w:rPr>
          <w:rFonts w:cs="Times New Roman"/>
        </w:rPr>
        <w:t xml:space="preserve"> qu’ « </w:t>
      </w:r>
      <w:r w:rsidRPr="00E72418">
        <w:rPr>
          <w:rFonts w:ascii="Times New Roman" w:hAnsi="Times New Roman" w:cs="Times New Roman"/>
        </w:rPr>
        <w:t>[u]</w:t>
      </w:r>
      <w:r w:rsidRPr="00E72418">
        <w:rPr>
          <w:rFonts w:cs="Times New Roman"/>
        </w:rPr>
        <w:t xml:space="preserve">n gouvernement est fondé à suspendre ou réduire le service de sa dette publique </w:t>
      </w:r>
      <w:r w:rsidRPr="00E72418">
        <w:rPr>
          <w:rFonts w:cs="Times New Roman"/>
          <w:i/>
        </w:rPr>
        <w:t>toutes les fois que les services publics essentiels seraient compromis ou négligés pour assurer le service de la dette</w:t>
      </w:r>
      <w:r w:rsidRPr="00E72418">
        <w:rPr>
          <w:rFonts w:cs="Times New Roman"/>
        </w:rPr>
        <w:t> »</w:t>
      </w:r>
      <w:r w:rsidR="00A13BFE" w:rsidRPr="00E72418">
        <w:rPr>
          <w:rFonts w:cs="Times New Roman"/>
        </w:rPr>
        <w:t xml:space="preserve"> et qu’ « </w:t>
      </w:r>
      <w:r w:rsidR="00A13BFE" w:rsidRPr="00E72418">
        <w:rPr>
          <w:rFonts w:ascii="Times New Roman" w:hAnsi="Times New Roman" w:cs="Times New Roman"/>
        </w:rPr>
        <w:t xml:space="preserve">[e]n d’autres termes, la dette publique n’est pas le premier service public à satisfaire </w:t>
      </w:r>
      <w:r w:rsidR="00A13BFE" w:rsidRPr="00E72418">
        <w:rPr>
          <w:rFonts w:cs="Times New Roman"/>
        </w:rPr>
        <w:t>»</w:t>
      </w:r>
      <w:r w:rsidRPr="00E72418">
        <w:rPr>
          <w:rStyle w:val="Appelnotedebasdep"/>
          <w:rFonts w:cs="Times New Roman"/>
        </w:rPr>
        <w:footnoteReference w:id="2061"/>
      </w:r>
      <w:r w:rsidRPr="00E72418">
        <w:rPr>
          <w:rFonts w:cs="Times New Roman"/>
        </w:rPr>
        <w:t xml:space="preserve">. </w:t>
      </w:r>
      <w:r w:rsidR="00C46093" w:rsidRPr="00E72418">
        <w:rPr>
          <w:rFonts w:cs="Times New Roman"/>
        </w:rPr>
        <w:t xml:space="preserve">Dans le prolongement de cette idée, </w:t>
      </w:r>
      <w:r w:rsidR="002A3665" w:rsidRPr="00E72418">
        <w:rPr>
          <w:rFonts w:cs="Times New Roman"/>
        </w:rPr>
        <w:t xml:space="preserve">Edwin </w:t>
      </w:r>
      <w:r w:rsidR="00FF129B" w:rsidRPr="00E72418">
        <w:t>Borchard</w:t>
      </w:r>
      <w:r w:rsidR="00FF129B" w:rsidRPr="00E72418">
        <w:rPr>
          <w:rFonts w:cs="Times New Roman"/>
        </w:rPr>
        <w:t xml:space="preserve"> </w:t>
      </w:r>
      <w:r w:rsidR="00C46093" w:rsidRPr="00E72418">
        <w:rPr>
          <w:rFonts w:cs="Times New Roman"/>
        </w:rPr>
        <w:t>notait que</w:t>
      </w:r>
      <w:r w:rsidR="00D70EAD" w:rsidRPr="00E72418">
        <w:rPr>
          <w:rFonts w:cs="Times New Roman"/>
        </w:rPr>
        <w:t>,</w:t>
      </w:r>
      <w:r w:rsidR="00C46093" w:rsidRPr="00E72418">
        <w:rPr>
          <w:rFonts w:cs="Times New Roman"/>
        </w:rPr>
        <w:t xml:space="preserve"> quoiqu’ « </w:t>
      </w:r>
      <w:r w:rsidR="00C46093" w:rsidRPr="00E72418">
        <w:rPr>
          <w:rFonts w:ascii="Times New Roman" w:hAnsi="Times New Roman" w:cs="Times New Roman"/>
        </w:rPr>
        <w:t>[a]</w:t>
      </w:r>
      <w:r w:rsidR="00C46093" w:rsidRPr="00E72418">
        <w:rPr>
          <w:rFonts w:cs="Times New Roman"/>
        </w:rPr>
        <w:t xml:space="preserve"> State is, like a private debtor, liable for the fulfillment of its debts with all its assets and revenues, present and future », ce débiteur particulier «</w:t>
      </w:r>
      <w:r w:rsidR="00C46093" w:rsidRPr="00E72418">
        <w:rPr>
          <w:rFonts w:ascii="Times New Roman" w:hAnsi="Times New Roman" w:cs="Times New Roman"/>
        </w:rPr>
        <w:t xml:space="preserve"> also enjoys the so-called </w:t>
      </w:r>
      <w:r w:rsidR="00C46093" w:rsidRPr="00E72418">
        <w:rPr>
          <w:rFonts w:ascii="Times New Roman" w:hAnsi="Times New Roman" w:cs="Times New Roman"/>
          <w:i/>
        </w:rPr>
        <w:t>beneficium competentiae</w:t>
      </w:r>
      <w:r w:rsidR="00A73A26" w:rsidRPr="00E72418">
        <w:rPr>
          <w:rFonts w:ascii="Times New Roman" w:hAnsi="Times New Roman" w:cs="Times New Roman"/>
        </w:rPr>
        <w:t xml:space="preserve"> w</w:t>
      </w:r>
      <w:r w:rsidR="00125FC0" w:rsidRPr="00E72418">
        <w:rPr>
          <w:rFonts w:ascii="Times New Roman" w:hAnsi="Times New Roman" w:cs="Times New Roman"/>
        </w:rPr>
        <w:t>h</w:t>
      </w:r>
      <w:r w:rsidR="00A73A26" w:rsidRPr="00E72418">
        <w:rPr>
          <w:rFonts w:ascii="Times New Roman" w:hAnsi="Times New Roman" w:cs="Times New Roman"/>
        </w:rPr>
        <w:t>ich assures the debtor’s continued existence by exempting the necessaries of life from seizure by its creditors »</w:t>
      </w:r>
      <w:r w:rsidR="00A73A26" w:rsidRPr="00E72418">
        <w:rPr>
          <w:rStyle w:val="Appelnotedebasdep"/>
          <w:rFonts w:ascii="Times New Roman" w:hAnsi="Times New Roman" w:cs="Times New Roman"/>
        </w:rPr>
        <w:footnoteReference w:id="2062"/>
      </w:r>
      <w:r w:rsidR="00A73A26" w:rsidRPr="00E72418">
        <w:rPr>
          <w:rFonts w:ascii="Times New Roman" w:hAnsi="Times New Roman" w:cs="Times New Roman"/>
        </w:rPr>
        <w:t>.</w:t>
      </w:r>
      <w:r w:rsidR="00FF129B" w:rsidRPr="00E72418">
        <w:rPr>
          <w:rFonts w:ascii="Times New Roman" w:hAnsi="Times New Roman" w:cs="Times New Roman"/>
        </w:rPr>
        <w:t xml:space="preserve"> </w:t>
      </w:r>
    </w:p>
    <w:p w14:paraId="5D73CB10" w14:textId="038A3B1C" w:rsidR="004106B1" w:rsidRPr="00E72418" w:rsidRDefault="004106B1" w:rsidP="00FC3399">
      <w:pPr>
        <w:spacing w:line="276" w:lineRule="auto"/>
        <w:rPr>
          <w:rFonts w:ascii="Times New Roman" w:hAnsi="Times New Roman" w:cs="Times New Roman"/>
          <w:szCs w:val="24"/>
          <w:lang w:val="fr-BE"/>
        </w:rPr>
      </w:pPr>
      <w:r w:rsidRPr="00E72418">
        <w:rPr>
          <w:rFonts w:ascii="Times New Roman" w:hAnsi="Times New Roman" w:cs="Times New Roman"/>
        </w:rPr>
        <w:t xml:space="preserve">Relevant que les fonds spéculant sur les dettes souveraines tirent parti de la réglementation insuffisante d’un système financier reposant sur des intérêts purement commerciaux </w:t>
      </w:r>
      <w:r w:rsidR="002A3665" w:rsidRPr="00E72418">
        <w:rPr>
          <w:rFonts w:ascii="Times New Roman" w:hAnsi="Times New Roman" w:cs="Times New Roman"/>
        </w:rPr>
        <w:t>qui est</w:t>
      </w:r>
      <w:r w:rsidRPr="00E72418">
        <w:rPr>
          <w:rFonts w:ascii="Times New Roman" w:hAnsi="Times New Roman" w:cs="Times New Roman"/>
        </w:rPr>
        <w:t xml:space="preserve"> insensible aux approches fondées sur les droits de l’homme et aux considérations liées à ces droits, le Comité consultatif du Conseil des droits de l’homme des Nations Unies fait valoir que ces droits fondamentaux devraient faire l’objet d’une attention plus soutenue dans les situations de crise de la dette</w:t>
      </w:r>
      <w:r w:rsidRPr="00E72418">
        <w:rPr>
          <w:rStyle w:val="Appelnotedebasdep"/>
          <w:rFonts w:ascii="Times New Roman" w:hAnsi="Times New Roman" w:cs="Times New Roman"/>
        </w:rPr>
        <w:footnoteReference w:id="2063"/>
      </w:r>
      <w:r w:rsidRPr="00E72418">
        <w:rPr>
          <w:rFonts w:ascii="Times New Roman" w:hAnsi="Times New Roman" w:cs="Times New Roman"/>
        </w:rPr>
        <w:t>. S’arrêtant sur le</w:t>
      </w:r>
      <w:r w:rsidR="00151083" w:rsidRPr="00E72418">
        <w:rPr>
          <w:rFonts w:ascii="Times New Roman" w:hAnsi="Times New Roman" w:cs="Times New Roman"/>
        </w:rPr>
        <w:t xml:space="preserve"> contenu des</w:t>
      </w:r>
      <w:r w:rsidRPr="00E72418">
        <w:rPr>
          <w:rFonts w:ascii="Times New Roman" w:hAnsi="Times New Roman" w:cs="Times New Roman"/>
        </w:rPr>
        <w:t xml:space="preserve"> législations britannique, belge et française,</w:t>
      </w:r>
      <w:r w:rsidRPr="00E72418">
        <w:rPr>
          <w:rFonts w:ascii="Times New Roman" w:hAnsi="Times New Roman" w:cs="Times New Roman"/>
          <w:szCs w:val="24"/>
        </w:rPr>
        <w:t xml:space="preserve"> le </w:t>
      </w:r>
      <w:r w:rsidRPr="00E72418">
        <w:rPr>
          <w:rFonts w:ascii="Times New Roman" w:hAnsi="Times New Roman" w:cs="Times New Roman"/>
        </w:rPr>
        <w:t xml:space="preserve">Comité </w:t>
      </w:r>
      <w:r w:rsidR="00151083" w:rsidRPr="00E72418">
        <w:rPr>
          <w:rFonts w:ascii="Times New Roman" w:hAnsi="Times New Roman" w:cs="Times New Roman"/>
        </w:rPr>
        <w:t xml:space="preserve">en </w:t>
      </w:r>
      <w:r w:rsidRPr="00E72418">
        <w:rPr>
          <w:rFonts w:ascii="Times New Roman" w:hAnsi="Times New Roman" w:cs="Times New Roman"/>
          <w:szCs w:val="24"/>
        </w:rPr>
        <w:t xml:space="preserve">retient comme enseignement utile que </w:t>
      </w:r>
      <w:r w:rsidRPr="00E72418">
        <w:rPr>
          <w:rFonts w:ascii="Times New Roman" w:hAnsi="Times New Roman" w:cs="Times New Roman"/>
        </w:rPr>
        <w:t>« les préoccupations suscitées par la situation socioéconomique de l’État débiteur et le bien-être de sa population devraient être dûment prises en compte »</w:t>
      </w:r>
      <w:r w:rsidRPr="00E72418">
        <w:rPr>
          <w:rStyle w:val="Appelnotedebasdep"/>
          <w:rFonts w:ascii="Times New Roman" w:hAnsi="Times New Roman" w:cs="Times New Roman"/>
        </w:rPr>
        <w:footnoteReference w:id="2064"/>
      </w:r>
      <w:r w:rsidRPr="00E72418">
        <w:rPr>
          <w:rFonts w:ascii="Times New Roman" w:hAnsi="Times New Roman" w:cs="Times New Roman"/>
        </w:rPr>
        <w:t>. C’est dans ce même ordre d’idées que le Comité sur le développement du Parlement européen recommande de faire en sorte que « the right of citizens of developing countries to development takes precedence over debt recovery »</w:t>
      </w:r>
      <w:r w:rsidRPr="00E72418">
        <w:rPr>
          <w:rStyle w:val="Appelnotedebasdep"/>
          <w:rFonts w:ascii="Times New Roman" w:hAnsi="Times New Roman" w:cs="Times New Roman"/>
        </w:rPr>
        <w:footnoteReference w:id="2065"/>
      </w:r>
      <w:r w:rsidRPr="00E72418">
        <w:rPr>
          <w:rFonts w:ascii="Times New Roman" w:hAnsi="Times New Roman" w:cs="Times New Roman"/>
        </w:rPr>
        <w:t>.</w:t>
      </w:r>
      <w:r w:rsidR="00FC3399" w:rsidRPr="00E72418">
        <w:rPr>
          <w:rFonts w:ascii="Times New Roman" w:hAnsi="Times New Roman" w:cs="Times New Roman"/>
        </w:rPr>
        <w:t xml:space="preserve"> </w:t>
      </w:r>
      <w:r w:rsidR="0028497D" w:rsidRPr="00E72418">
        <w:rPr>
          <w:rFonts w:ascii="Times New Roman" w:hAnsi="Times New Roman" w:cs="Times New Roman"/>
        </w:rPr>
        <w:t>L’on se convainc davantage de l’importance de donner priorité aux droits de l’homme à l’examen de l’</w:t>
      </w:r>
      <w:r w:rsidR="00FC3399" w:rsidRPr="00E72418">
        <w:rPr>
          <w:rFonts w:ascii="Times New Roman" w:hAnsi="Times New Roman" w:cs="Times New Roman"/>
        </w:rPr>
        <w:t xml:space="preserve">arrêt </w:t>
      </w:r>
      <w:r w:rsidR="00FC3399" w:rsidRPr="00E72418">
        <w:rPr>
          <w:rFonts w:ascii="Times New Roman" w:hAnsi="Times New Roman" w:cs="Times New Roman"/>
          <w:i/>
        </w:rPr>
        <w:t>Malysh et autres c. Russie</w:t>
      </w:r>
      <w:r w:rsidR="0028497D" w:rsidRPr="00E72418">
        <w:rPr>
          <w:rFonts w:ascii="Times New Roman" w:hAnsi="Times New Roman" w:cs="Times New Roman"/>
        </w:rPr>
        <w:t xml:space="preserve"> de</w:t>
      </w:r>
      <w:r w:rsidR="00FC3399" w:rsidRPr="00E72418">
        <w:rPr>
          <w:rFonts w:ascii="Times New Roman" w:hAnsi="Times New Roman" w:cs="Times New Roman"/>
        </w:rPr>
        <w:t xml:space="preserve"> la Cour européenne des droits de l’homme</w:t>
      </w:r>
      <w:r w:rsidR="0028497D" w:rsidRPr="00E72418">
        <w:rPr>
          <w:rFonts w:ascii="Times New Roman" w:hAnsi="Times New Roman" w:cs="Times New Roman"/>
        </w:rPr>
        <w:t xml:space="preserve"> dans lequel la juridiction retient </w:t>
      </w:r>
      <w:r w:rsidR="00FC3399" w:rsidRPr="00E72418">
        <w:rPr>
          <w:rFonts w:ascii="Times New Roman" w:hAnsi="Times New Roman" w:cs="Times New Roman"/>
        </w:rPr>
        <w:t>que « </w:t>
      </w:r>
      <w:r w:rsidR="00FC3399" w:rsidRPr="00E72418">
        <w:rPr>
          <w:rFonts w:ascii="Times New Roman" w:hAnsi="Times New Roman" w:cs="Times New Roman"/>
          <w:szCs w:val="24"/>
          <w:lang w:val="fr-BE"/>
        </w:rPr>
        <w:t xml:space="preserve">defining budgetary priorities in terms of favouring expenditure on pressing social issues to the detriment of claims with a purely pecuniary nature was a legitimate aim in the public interest </w:t>
      </w:r>
      <w:r w:rsidR="00FC3399" w:rsidRPr="00E72418">
        <w:rPr>
          <w:rFonts w:ascii="Times New Roman" w:hAnsi="Times New Roman" w:cs="Times New Roman"/>
        </w:rPr>
        <w:t>»</w:t>
      </w:r>
      <w:r w:rsidR="00FC3399" w:rsidRPr="00E72418">
        <w:rPr>
          <w:rStyle w:val="Appelnotedebasdep"/>
          <w:rFonts w:ascii="Times New Roman" w:hAnsi="Times New Roman" w:cs="Times New Roman"/>
        </w:rPr>
        <w:footnoteReference w:id="2066"/>
      </w:r>
      <w:r w:rsidR="00FC3399" w:rsidRPr="00E72418">
        <w:rPr>
          <w:rFonts w:ascii="Times New Roman" w:hAnsi="Times New Roman" w:cs="Times New Roman"/>
        </w:rPr>
        <w:t>.</w:t>
      </w:r>
    </w:p>
    <w:p w14:paraId="3E42144E" w14:textId="77777777" w:rsidR="004106B1" w:rsidRPr="00E72418" w:rsidRDefault="004106B1" w:rsidP="00CC4BA8">
      <w:pPr>
        <w:spacing w:line="276" w:lineRule="auto"/>
        <w:rPr>
          <w:rFonts w:cs="Times New Roman"/>
        </w:rPr>
      </w:pPr>
    </w:p>
    <w:p w14:paraId="7CD93062" w14:textId="11740D3C" w:rsidR="001B386D" w:rsidRPr="00E72418" w:rsidRDefault="004469AC" w:rsidP="001B386D">
      <w:pPr>
        <w:spacing w:line="276" w:lineRule="auto"/>
        <w:rPr>
          <w:rFonts w:cs="Times New Roman"/>
        </w:rPr>
      </w:pPr>
      <w:r w:rsidRPr="00E72418">
        <w:rPr>
          <w:rFonts w:cs="Times New Roman"/>
          <w:b/>
        </w:rPr>
        <w:t>407</w:t>
      </w:r>
      <w:r w:rsidR="00817D62" w:rsidRPr="00E72418">
        <w:rPr>
          <w:rFonts w:cs="Times New Roman"/>
          <w:b/>
        </w:rPr>
        <w:t xml:space="preserve">. </w:t>
      </w:r>
      <w:r w:rsidR="004106B1" w:rsidRPr="00E72418">
        <w:rPr>
          <w:rFonts w:cs="Times New Roman"/>
          <w:b/>
        </w:rPr>
        <w:t xml:space="preserve">Des activités particulièrement </w:t>
      </w:r>
      <w:r w:rsidR="0033545A" w:rsidRPr="00E72418">
        <w:rPr>
          <w:rFonts w:cs="Times New Roman"/>
          <w:b/>
        </w:rPr>
        <w:t xml:space="preserve">percutantes </w:t>
      </w:r>
      <w:r w:rsidR="004106B1" w:rsidRPr="00E72418">
        <w:rPr>
          <w:rFonts w:cs="Times New Roman"/>
          <w:b/>
        </w:rPr>
        <w:t xml:space="preserve">– </w:t>
      </w:r>
      <w:r w:rsidR="004106B1" w:rsidRPr="00E72418">
        <w:rPr>
          <w:rFonts w:cs="Times New Roman"/>
        </w:rPr>
        <w:t xml:space="preserve">Si l’argument de la soutenabilité peut être invoqué à l’endroit du service de la dette souveraine pour justifier de sa suspension ou de sa </w:t>
      </w:r>
      <w:r w:rsidR="004106B1" w:rsidRPr="00E72418">
        <w:rPr>
          <w:rFonts w:cs="Times New Roman"/>
        </w:rPr>
        <w:lastRenderedPageBreak/>
        <w:t>réduction</w:t>
      </w:r>
      <w:r w:rsidR="00D70EAD" w:rsidRPr="00E72418">
        <w:rPr>
          <w:rStyle w:val="Appelnotedebasdep"/>
          <w:rFonts w:cs="Times New Roman"/>
        </w:rPr>
        <w:footnoteReference w:id="2067"/>
      </w:r>
      <w:r w:rsidR="004106B1" w:rsidRPr="00E72418">
        <w:rPr>
          <w:rFonts w:cs="Times New Roman"/>
        </w:rPr>
        <w:t xml:space="preserve">, il </w:t>
      </w:r>
      <w:r w:rsidR="0028497D" w:rsidRPr="00E72418">
        <w:rPr>
          <w:rFonts w:cs="Times New Roman"/>
        </w:rPr>
        <w:t>nous semble pouvoir</w:t>
      </w:r>
      <w:r w:rsidR="004106B1" w:rsidRPr="00E72418">
        <w:rPr>
          <w:rFonts w:cs="Times New Roman"/>
        </w:rPr>
        <w:t xml:space="preserve">, à plus forte raison, servir à légitimer la lutte contre les activités des fonds spéculatifs. En effet, le modèle </w:t>
      </w:r>
      <w:r w:rsidR="00377E0C" w:rsidRPr="00E72418">
        <w:rPr>
          <w:rFonts w:cs="Times New Roman"/>
        </w:rPr>
        <w:t xml:space="preserve">économique </w:t>
      </w:r>
      <w:r w:rsidR="004106B1" w:rsidRPr="00E72418">
        <w:rPr>
          <w:rFonts w:cs="Times New Roman"/>
        </w:rPr>
        <w:t>de ces fonds est axé sur les débiteurs à la situation économique affaiblie et, par conséquent, dont le respect des droits fondamentaux de la population est malmené</w:t>
      </w:r>
      <w:r w:rsidR="00D70EAD" w:rsidRPr="00E72418">
        <w:rPr>
          <w:rStyle w:val="Appelnotedebasdep"/>
          <w:rFonts w:cs="Times New Roman"/>
        </w:rPr>
        <w:footnoteReference w:id="2068"/>
      </w:r>
      <w:r w:rsidR="004106B1" w:rsidRPr="00E72418">
        <w:rPr>
          <w:rFonts w:cs="Times New Roman"/>
        </w:rPr>
        <w:t>. La soutenabilité de</w:t>
      </w:r>
      <w:r w:rsidR="0028497D" w:rsidRPr="00E72418">
        <w:rPr>
          <w:rFonts w:cs="Times New Roman"/>
        </w:rPr>
        <w:t>s</w:t>
      </w:r>
      <w:r w:rsidR="004106B1" w:rsidRPr="00E72418">
        <w:rPr>
          <w:rFonts w:cs="Times New Roman"/>
        </w:rPr>
        <w:t xml:space="preserve"> dette</w:t>
      </w:r>
      <w:r w:rsidR="0028497D" w:rsidRPr="00E72418">
        <w:rPr>
          <w:rFonts w:cs="Times New Roman"/>
        </w:rPr>
        <w:t>s souveraines</w:t>
      </w:r>
      <w:r w:rsidR="004106B1" w:rsidRPr="00E72418">
        <w:rPr>
          <w:rFonts w:cs="Times New Roman"/>
        </w:rPr>
        <w:t xml:space="preserve"> impliquant que celle</w:t>
      </w:r>
      <w:r w:rsidR="0028497D" w:rsidRPr="00E72418">
        <w:rPr>
          <w:rFonts w:cs="Times New Roman"/>
        </w:rPr>
        <w:t>s</w:t>
      </w:r>
      <w:r w:rsidR="004106B1" w:rsidRPr="00E72418">
        <w:rPr>
          <w:rFonts w:cs="Times New Roman"/>
        </w:rPr>
        <w:t>-ci puisse</w:t>
      </w:r>
      <w:r w:rsidR="0028497D" w:rsidRPr="00E72418">
        <w:rPr>
          <w:rFonts w:cs="Times New Roman"/>
        </w:rPr>
        <w:t>nt</w:t>
      </w:r>
      <w:r w:rsidR="004106B1" w:rsidRPr="00E72418">
        <w:rPr>
          <w:rFonts w:cs="Times New Roman"/>
        </w:rPr>
        <w:t xml:space="preserve"> être honorée</w:t>
      </w:r>
      <w:r w:rsidR="0028497D" w:rsidRPr="00E72418">
        <w:rPr>
          <w:rFonts w:cs="Times New Roman"/>
        </w:rPr>
        <w:t>s</w:t>
      </w:r>
      <w:r w:rsidR="004106B1" w:rsidRPr="00E72418">
        <w:rPr>
          <w:rFonts w:cs="Times New Roman"/>
        </w:rPr>
        <w:t xml:space="preserve"> sans que ce ne le soit au détriment des missions </w:t>
      </w:r>
      <w:r w:rsidR="0028497D" w:rsidRPr="00E72418">
        <w:rPr>
          <w:rFonts w:cs="Times New Roman"/>
        </w:rPr>
        <w:t xml:space="preserve">étatiques </w:t>
      </w:r>
      <w:r w:rsidR="004106B1" w:rsidRPr="00E72418">
        <w:rPr>
          <w:rFonts w:cs="Times New Roman"/>
        </w:rPr>
        <w:t>essentielles, l’action des fonds spéculatifs l</w:t>
      </w:r>
      <w:r w:rsidR="0028497D" w:rsidRPr="00E72418">
        <w:rPr>
          <w:rFonts w:cs="Times New Roman"/>
        </w:rPr>
        <w:t>es</w:t>
      </w:r>
      <w:r w:rsidR="004106B1" w:rsidRPr="00E72418">
        <w:rPr>
          <w:rFonts w:cs="Times New Roman"/>
        </w:rPr>
        <w:t xml:space="preserve"> met à mal lorsque l’exécution des créances poursuivies est de nature à affecter substantiellement les ressources d</w:t>
      </w:r>
      <w:r w:rsidR="0028497D" w:rsidRPr="00E72418">
        <w:rPr>
          <w:rFonts w:cs="Times New Roman"/>
        </w:rPr>
        <w:t xml:space="preserve">es </w:t>
      </w:r>
      <w:r w:rsidR="0028497D" w:rsidRPr="00E72418">
        <w:rPr>
          <w:lang w:eastAsia="fr-BE"/>
        </w:rPr>
        <w:t>É</w:t>
      </w:r>
      <w:r w:rsidR="0028497D" w:rsidRPr="00E72418">
        <w:rPr>
          <w:rFonts w:cs="Times New Roman"/>
        </w:rPr>
        <w:t xml:space="preserve">tats </w:t>
      </w:r>
      <w:r w:rsidR="004106B1" w:rsidRPr="00E72418">
        <w:rPr>
          <w:rFonts w:cs="Times New Roman"/>
        </w:rPr>
        <w:t>débiteur</w:t>
      </w:r>
      <w:r w:rsidR="0028497D" w:rsidRPr="00E72418">
        <w:rPr>
          <w:rFonts w:cs="Times New Roman"/>
        </w:rPr>
        <w:t>s</w:t>
      </w:r>
      <w:r w:rsidR="004106B1" w:rsidRPr="00E72418">
        <w:rPr>
          <w:rStyle w:val="Appelnotedebasdep"/>
          <w:rFonts w:cs="Times New Roman"/>
        </w:rPr>
        <w:footnoteReference w:id="2069"/>
      </w:r>
      <w:r w:rsidR="004106B1" w:rsidRPr="00E72418">
        <w:rPr>
          <w:rFonts w:cs="Times New Roman"/>
        </w:rPr>
        <w:t xml:space="preserve">. </w:t>
      </w:r>
      <w:r w:rsidR="001B386D" w:rsidRPr="00E72418">
        <w:rPr>
          <w:rFonts w:cs="Times New Roman"/>
        </w:rPr>
        <w:t xml:space="preserve">Comme le note </w:t>
      </w:r>
      <w:r w:rsidR="00865D15" w:rsidRPr="00E72418">
        <w:rPr>
          <w:rFonts w:cs="Times New Roman"/>
        </w:rPr>
        <w:t xml:space="preserve">Cephas </w:t>
      </w:r>
      <w:r w:rsidR="001B386D" w:rsidRPr="00E72418">
        <w:rPr>
          <w:rFonts w:cs="Times New Roman"/>
        </w:rPr>
        <w:t>Lumina, « </w:t>
      </w:r>
      <w:r w:rsidR="001B386D" w:rsidRPr="00E72418">
        <w:rPr>
          <w:szCs w:val="20"/>
          <w:lang w:val="en-US"/>
        </w:rPr>
        <w:t>[d]</w:t>
      </w:r>
      <w:r w:rsidR="001B386D" w:rsidRPr="00E72418">
        <w:rPr>
          <w:lang w:val="fr-BE"/>
        </w:rPr>
        <w:t xml:space="preserve">u point de vue des droits de l’homme, le règlement par des pays pauvres ayant des niveaux d’endettement insoutenables de montants excessifs réclamés par les fonds vautours a des répercussions négatives directes sur la capacité des gouvernements de ces pays à remplir leurs obligations dans le domaine des droits de l’homme, en particulier les droits économiques, sociaux et culturels </w:t>
      </w:r>
      <w:r w:rsidR="001B386D" w:rsidRPr="00E72418">
        <w:rPr>
          <w:rFonts w:cs="Times New Roman"/>
        </w:rPr>
        <w:t>»</w:t>
      </w:r>
      <w:r w:rsidR="001B386D" w:rsidRPr="00E72418">
        <w:rPr>
          <w:rStyle w:val="Appelnotedebasdep"/>
          <w:rFonts w:cs="Times New Roman"/>
        </w:rPr>
        <w:footnoteReference w:id="2070"/>
      </w:r>
      <w:r w:rsidR="001B386D" w:rsidRPr="00E72418">
        <w:rPr>
          <w:rFonts w:cs="Times New Roman"/>
        </w:rPr>
        <w:t>.</w:t>
      </w:r>
    </w:p>
    <w:p w14:paraId="0811D8F8" w14:textId="4707446F" w:rsidR="004106B1" w:rsidRPr="00E72418" w:rsidRDefault="004106B1" w:rsidP="00CC4BA8">
      <w:pPr>
        <w:spacing w:line="276" w:lineRule="auto"/>
        <w:rPr>
          <w:rFonts w:cs="Times New Roman"/>
        </w:rPr>
      </w:pPr>
      <w:r w:rsidRPr="00E72418">
        <w:rPr>
          <w:rFonts w:cs="Times New Roman"/>
        </w:rPr>
        <w:t xml:space="preserve">Ainsi, </w:t>
      </w:r>
      <w:r w:rsidRPr="00E72418">
        <w:t xml:space="preserve">si l’on retient que la règle de la soutenabilité de la dette d’un </w:t>
      </w:r>
      <w:r w:rsidRPr="00E72418">
        <w:rPr>
          <w:lang w:eastAsia="fr-BE"/>
        </w:rPr>
        <w:t>É</w:t>
      </w:r>
      <w:r w:rsidRPr="00E72418">
        <w:t>tat implique que celle-ci soit réglée pour autant que n’en souffrent pas les services essentiels à sa population, le corollaire est que cette dette peut uniquement être exécutée quand et dans la mesure où l’exécution n’affecte pas négativement ces services</w:t>
      </w:r>
      <w:r w:rsidRPr="00E72418">
        <w:rPr>
          <w:rStyle w:val="Appelnotedebasdep"/>
        </w:rPr>
        <w:footnoteReference w:id="2071"/>
      </w:r>
      <w:r w:rsidRPr="00E72418">
        <w:t>. Les activités des fonds spéculant sur les dettes souveraines ayant généralement pour incidence de mettre à mal les finances d’</w:t>
      </w:r>
      <w:r w:rsidRPr="00E72418">
        <w:rPr>
          <w:rFonts w:cs="Times New Roman"/>
          <w:szCs w:val="24"/>
        </w:rPr>
        <w:t>É</w:t>
      </w:r>
      <w:r w:rsidRPr="00E72418">
        <w:t xml:space="preserve">tats déjà affaiblis, l’objectif de la soutenabilité de la dette conduit à ce que ces activités soient régulées afin qu’elle ne s’en trouve pas entamée. </w:t>
      </w:r>
    </w:p>
    <w:p w14:paraId="391DFA6E" w14:textId="6601D4FD" w:rsidR="00C826EA" w:rsidRPr="00E72418" w:rsidRDefault="004106B1" w:rsidP="00CC4BA8">
      <w:pPr>
        <w:spacing w:line="276" w:lineRule="auto"/>
        <w:rPr>
          <w:rFonts w:cs="Times New Roman"/>
          <w:szCs w:val="24"/>
        </w:rPr>
      </w:pPr>
      <w:r w:rsidRPr="00E72418">
        <w:rPr>
          <w:rFonts w:cs="Times New Roman"/>
          <w:szCs w:val="24"/>
        </w:rPr>
        <w:t>Les conséquences induites par le principe de la soutenabilité des dettes souveraines touchent l’ensemble des parties prenantes de celles-ci</w:t>
      </w:r>
      <w:r w:rsidR="00EC5671" w:rsidRPr="00E72418">
        <w:rPr>
          <w:rStyle w:val="Appelnotedebasdep"/>
          <w:rFonts w:cs="Times New Roman"/>
          <w:szCs w:val="24"/>
        </w:rPr>
        <w:footnoteReference w:id="2072"/>
      </w:r>
      <w:r w:rsidRPr="00E72418">
        <w:rPr>
          <w:rFonts w:cs="Times New Roman"/>
          <w:szCs w:val="24"/>
        </w:rPr>
        <w:t xml:space="preserve">. </w:t>
      </w:r>
      <w:r w:rsidR="009506DE" w:rsidRPr="00E72418">
        <w:rPr>
          <w:rFonts w:cs="Times New Roman"/>
          <w:szCs w:val="24"/>
        </w:rPr>
        <w:t>Les fonds spéculatifs ne sauraient ainsi</w:t>
      </w:r>
      <w:r w:rsidR="00F15189" w:rsidRPr="00E72418">
        <w:rPr>
          <w:rFonts w:cs="Times New Roman"/>
          <w:szCs w:val="24"/>
        </w:rPr>
        <w:t>,</w:t>
      </w:r>
      <w:r w:rsidR="009506DE" w:rsidRPr="00E72418">
        <w:rPr>
          <w:rFonts w:cs="Times New Roman"/>
          <w:szCs w:val="24"/>
        </w:rPr>
        <w:t xml:space="preserve"> d’aucune manière</w:t>
      </w:r>
      <w:r w:rsidR="00F15189" w:rsidRPr="00E72418">
        <w:rPr>
          <w:rFonts w:cs="Times New Roman"/>
          <w:szCs w:val="24"/>
        </w:rPr>
        <w:t>,</w:t>
      </w:r>
      <w:r w:rsidR="009506DE" w:rsidRPr="00E72418">
        <w:rPr>
          <w:rFonts w:cs="Times New Roman"/>
          <w:szCs w:val="24"/>
        </w:rPr>
        <w:t xml:space="preserve"> candidement avancer l’argument selon lequel ils n’auraient à subir aucune conséquence de cette </w:t>
      </w:r>
      <w:r w:rsidR="0033545A" w:rsidRPr="00E72418">
        <w:rPr>
          <w:rFonts w:cs="Times New Roman"/>
          <w:szCs w:val="24"/>
        </w:rPr>
        <w:t xml:space="preserve">recherche </w:t>
      </w:r>
      <w:r w:rsidR="009506DE" w:rsidRPr="00E72418">
        <w:rPr>
          <w:rFonts w:cs="Times New Roman"/>
          <w:szCs w:val="24"/>
        </w:rPr>
        <w:t xml:space="preserve">de soutenabilité. </w:t>
      </w:r>
      <w:r w:rsidRPr="00E72418">
        <w:rPr>
          <w:rFonts w:cs="Times New Roman"/>
          <w:shd w:val="clear" w:color="auto" w:fill="FFFFFF"/>
        </w:rPr>
        <w:t xml:space="preserve">Comme le note </w:t>
      </w:r>
      <w:r w:rsidR="005C18A8" w:rsidRPr="00E72418">
        <w:rPr>
          <w:rFonts w:cs="Times New Roman"/>
          <w:shd w:val="clear" w:color="auto" w:fill="FFFFFF"/>
        </w:rPr>
        <w:t xml:space="preserve">Nicola </w:t>
      </w:r>
      <w:r w:rsidRPr="00E72418">
        <w:rPr>
          <w:rFonts w:cs="Times New Roman"/>
          <w:shd w:val="clear" w:color="auto" w:fill="FFFFFF"/>
        </w:rPr>
        <w:t xml:space="preserve">Jagers, « the conclusion can be drawn that the orthodox view that international human rights law is exclusively applicable to states is being permeated by developments pointing towards the applicability of </w:t>
      </w:r>
      <w:r w:rsidRPr="00E72418">
        <w:rPr>
          <w:rFonts w:cs="Times New Roman"/>
          <w:shd w:val="clear" w:color="auto" w:fill="FFFFFF"/>
        </w:rPr>
        <w:lastRenderedPageBreak/>
        <w:t>human rights norms to corporations »</w:t>
      </w:r>
      <w:r w:rsidRPr="00E72418">
        <w:rPr>
          <w:rStyle w:val="Appelnotedebasdep"/>
          <w:rFonts w:cs="Times New Roman"/>
          <w:shd w:val="clear" w:color="auto" w:fill="FFFFFF"/>
        </w:rPr>
        <w:footnoteReference w:id="2073"/>
      </w:r>
      <w:r w:rsidRPr="00E72418">
        <w:rPr>
          <w:rFonts w:cs="Times New Roman"/>
          <w:shd w:val="clear" w:color="auto" w:fill="FFFFFF"/>
        </w:rPr>
        <w:t xml:space="preserve">. Et l’auteur d’ajouter que </w:t>
      </w:r>
      <w:r w:rsidRPr="00E72418">
        <w:rPr>
          <w:szCs w:val="24"/>
        </w:rPr>
        <w:t>« private creditors share an active responsibility to address the negative impact that their financing to sovereigns may have on the enjoyment of human rights »</w:t>
      </w:r>
      <w:r w:rsidRPr="00E72418">
        <w:rPr>
          <w:rStyle w:val="Appelnotedebasdep"/>
          <w:szCs w:val="24"/>
        </w:rPr>
        <w:footnoteReference w:id="2074"/>
      </w:r>
      <w:r w:rsidRPr="00E72418">
        <w:rPr>
          <w:szCs w:val="24"/>
        </w:rPr>
        <w:t xml:space="preserve">. Cette responsabilité, justifiée par le fait que les fonds spéculatifs sont des créanciers secondaires conscients des particularités des dettes sur lesquelles ils décident d’investir, conduit à retenir qu’il est parfaitement légitime d’appliquer l’argument de la soutenabilité afin de déterminer la </w:t>
      </w:r>
      <w:r w:rsidR="004F7711" w:rsidRPr="00E72418">
        <w:rPr>
          <w:szCs w:val="24"/>
        </w:rPr>
        <w:t xml:space="preserve">réglementation </w:t>
      </w:r>
      <w:r w:rsidRPr="00E72418">
        <w:rPr>
          <w:szCs w:val="24"/>
        </w:rPr>
        <w:t>qu’il convient d’imposer à leurs activités.</w:t>
      </w:r>
      <w:r w:rsidRPr="00E72418">
        <w:rPr>
          <w:rFonts w:cs="Times New Roman"/>
          <w:szCs w:val="24"/>
        </w:rPr>
        <w:t xml:space="preserve"> </w:t>
      </w:r>
    </w:p>
    <w:p w14:paraId="7233D57B" w14:textId="3190B10C" w:rsidR="00C826EA" w:rsidRPr="00E72418" w:rsidRDefault="00852BE9" w:rsidP="00C826EA">
      <w:pPr>
        <w:spacing w:line="276" w:lineRule="auto"/>
        <w:rPr>
          <w:rFonts w:ascii="Times New Roman" w:hAnsi="Times New Roman" w:cs="Times New Roman"/>
        </w:rPr>
      </w:pPr>
      <w:r w:rsidRPr="00E72418">
        <w:rPr>
          <w:rFonts w:cs="Times New Roman"/>
          <w:szCs w:val="24"/>
        </w:rPr>
        <w:t xml:space="preserve">Plus qu’une possibilité, il en va même d’un devoir des </w:t>
      </w:r>
      <w:r w:rsidRPr="00E72418">
        <w:t>É</w:t>
      </w:r>
      <w:r w:rsidRPr="00E72418">
        <w:rPr>
          <w:rFonts w:cs="Times New Roman"/>
          <w:szCs w:val="24"/>
        </w:rPr>
        <w:t xml:space="preserve">tats d’empêcher les atteintes portées aux droits de l’homme suivant </w:t>
      </w:r>
      <w:r w:rsidRPr="00E72418">
        <w:rPr>
          <w:rFonts w:ascii="Times New Roman" w:hAnsi="Times New Roman" w:cs="Times New Roman"/>
        </w:rPr>
        <w:t>les principes directeurs relatifs aux entreprises et aux droits de l’homme pensés au sein du Conseil des droits de l’homme des Nations Unies</w:t>
      </w:r>
      <w:r w:rsidR="000B23A9" w:rsidRPr="00E72418">
        <w:rPr>
          <w:rStyle w:val="Appelnotedebasdep"/>
          <w:rFonts w:ascii="Times New Roman" w:hAnsi="Times New Roman" w:cs="Times New Roman"/>
        </w:rPr>
        <w:footnoteReference w:id="2075"/>
      </w:r>
      <w:r w:rsidR="000B23A9" w:rsidRPr="00E72418">
        <w:rPr>
          <w:rFonts w:ascii="Times New Roman" w:hAnsi="Times New Roman" w:cs="Times New Roman"/>
        </w:rPr>
        <w:t>. U</w:t>
      </w:r>
      <w:r w:rsidRPr="00E72418">
        <w:rPr>
          <w:rFonts w:ascii="Times New Roman" w:hAnsi="Times New Roman" w:cs="Times New Roman"/>
        </w:rPr>
        <w:t xml:space="preserve">n des principes fondateurs est </w:t>
      </w:r>
      <w:r w:rsidR="000B23A9" w:rsidRPr="00E72418">
        <w:rPr>
          <w:rFonts w:ascii="Times New Roman" w:hAnsi="Times New Roman" w:cs="Times New Roman"/>
        </w:rPr>
        <w:t xml:space="preserve">en effet </w:t>
      </w:r>
      <w:r w:rsidRPr="00E72418">
        <w:rPr>
          <w:rFonts w:ascii="Times New Roman" w:hAnsi="Times New Roman" w:cs="Times New Roman"/>
        </w:rPr>
        <w:t>que « </w:t>
      </w:r>
      <w:r w:rsidRPr="00E72418">
        <w:rPr>
          <w:szCs w:val="24"/>
          <w:lang w:val="en-US"/>
        </w:rPr>
        <w:t>[l]</w:t>
      </w:r>
      <w:r w:rsidRPr="00E72418">
        <w:t xml:space="preserve">es États ont l’obligation de protéger lorsque des tiers, y compris des entreprises, portent atteinte aux droits de l’homme sur leur territoire et/ou sous leur juridiction » et que « </w:t>
      </w:r>
      <w:r w:rsidRPr="00E72418">
        <w:rPr>
          <w:szCs w:val="24"/>
          <w:lang w:val="en-US"/>
        </w:rPr>
        <w:t>[c]</w:t>
      </w:r>
      <w:r w:rsidRPr="00E72418">
        <w:t xml:space="preserve">ela exige l’adoption de mesures appropriées pour empêcher ces atteintes </w:t>
      </w:r>
      <w:r w:rsidRPr="00E72418">
        <w:rPr>
          <w:szCs w:val="24"/>
          <w:lang w:val="en-US"/>
        </w:rPr>
        <w:t xml:space="preserve">[…] </w:t>
      </w:r>
      <w:r w:rsidRPr="00E72418">
        <w:rPr>
          <w:rFonts w:ascii="Times New Roman" w:hAnsi="Times New Roman" w:cs="Times New Roman"/>
        </w:rPr>
        <w:t>».</w:t>
      </w:r>
      <w:r w:rsidR="00C826EA" w:rsidRPr="00E72418">
        <w:rPr>
          <w:rFonts w:ascii="Times New Roman" w:hAnsi="Times New Roman" w:cs="Times New Roman"/>
        </w:rPr>
        <w:t xml:space="preserve"> Ce principe ramené à la problématique qui nous occupe, le Conseil des droits de l’homme des Nations Unies affirme que « </w:t>
      </w:r>
      <w:r w:rsidR="00C826EA" w:rsidRPr="00E72418">
        <w:rPr>
          <w:lang w:val="fr-BE"/>
        </w:rPr>
        <w:t xml:space="preserve">du point de vue des droits de l’homme, le règlement des créances de fonds rapaces a une incidence négative directe sur la capacité qu’ont les gouvernements de s’acquitter de leurs obligations en matière de droits de l’homme, surtout en ce qui concerne les droits économiques, sociaux et culturels » et, par conséquent, engage les </w:t>
      </w:r>
      <w:r w:rsidR="00C826EA" w:rsidRPr="00E72418">
        <w:t>États à prendre des mesures pour lutter contre ces fonds</w:t>
      </w:r>
      <w:r w:rsidR="00C826EA" w:rsidRPr="00E72418">
        <w:rPr>
          <w:rStyle w:val="Appelnotedebasdep"/>
        </w:rPr>
        <w:footnoteReference w:id="2076"/>
      </w:r>
      <w:r w:rsidR="00C826EA" w:rsidRPr="00E72418">
        <w:t>.</w:t>
      </w:r>
    </w:p>
    <w:p w14:paraId="0D353777" w14:textId="3A222FAF" w:rsidR="004106B1" w:rsidRPr="00E72418" w:rsidRDefault="00C826EA" w:rsidP="00CC4BA8">
      <w:pPr>
        <w:spacing w:line="276" w:lineRule="auto"/>
      </w:pPr>
      <w:r w:rsidRPr="00E72418">
        <w:rPr>
          <w:rFonts w:ascii="Times New Roman" w:hAnsi="Times New Roman" w:cs="Times New Roman"/>
        </w:rPr>
        <w:t xml:space="preserve"> </w:t>
      </w:r>
    </w:p>
    <w:p w14:paraId="5CA1ED4D" w14:textId="33D565E4" w:rsidR="004C6F8E" w:rsidRPr="00E72418" w:rsidRDefault="004469AC" w:rsidP="00CC4BA8">
      <w:pPr>
        <w:spacing w:line="276" w:lineRule="auto"/>
        <w:rPr>
          <w:rFonts w:cs="Times New Roman"/>
          <w:b/>
        </w:rPr>
      </w:pPr>
      <w:r w:rsidRPr="00E72418">
        <w:rPr>
          <w:b/>
        </w:rPr>
        <w:t>408</w:t>
      </w:r>
      <w:r w:rsidR="00817D62" w:rsidRPr="00E72418">
        <w:rPr>
          <w:b/>
        </w:rPr>
        <w:t xml:space="preserve">. </w:t>
      </w:r>
      <w:r w:rsidR="004106B1" w:rsidRPr="00E72418">
        <w:rPr>
          <w:b/>
        </w:rPr>
        <w:t xml:space="preserve">L’utile boussole </w:t>
      </w:r>
      <w:r w:rsidR="004106B1" w:rsidRPr="00E72418">
        <w:rPr>
          <w:rFonts w:cs="Times New Roman"/>
          <w:b/>
        </w:rPr>
        <w:t xml:space="preserve">– </w:t>
      </w:r>
      <w:r w:rsidR="004C6F8E" w:rsidRPr="00E72418">
        <w:rPr>
          <w:rFonts w:cs="Times New Roman"/>
          <w:szCs w:val="24"/>
        </w:rPr>
        <w:t xml:space="preserve">Si les problèmes posés par les activités des fonds spéculatifs doivent être appréhendés pour ce qu’ils sont, à savoir des problèmes découlant d’actes privés internationalisés </w:t>
      </w:r>
      <w:r w:rsidR="0067312A" w:rsidRPr="00E72418">
        <w:rPr>
          <w:rFonts w:cs="Times New Roman"/>
          <w:szCs w:val="24"/>
        </w:rPr>
        <w:t>passés par des É</w:t>
      </w:r>
      <w:r w:rsidR="004C6F8E" w:rsidRPr="00E72418">
        <w:rPr>
          <w:rFonts w:cs="Times New Roman"/>
          <w:szCs w:val="24"/>
        </w:rPr>
        <w:t xml:space="preserve">tats souverains, cela ne signifie pas pour autant que les considérations issues du droit international se voient privées de tout effet. </w:t>
      </w:r>
      <w:r w:rsidR="00BF335B" w:rsidRPr="00E72418">
        <w:rPr>
          <w:rStyle w:val="SansinterligneCar"/>
          <w:sz w:val="24"/>
          <w:szCs w:val="24"/>
        </w:rPr>
        <w:t xml:space="preserve">Lors d’un cours </w:t>
      </w:r>
      <w:r w:rsidR="00BF335B" w:rsidRPr="00E72418">
        <w:rPr>
          <w:rStyle w:val="SansinterligneCar"/>
          <w:sz w:val="24"/>
          <w:szCs w:val="24"/>
        </w:rPr>
        <w:lastRenderedPageBreak/>
        <w:t>donné à l’Académie de droit international de La Haye</w:t>
      </w:r>
      <w:r w:rsidR="006B214A" w:rsidRPr="00E72418">
        <w:rPr>
          <w:rStyle w:val="SansinterligneCar"/>
          <w:sz w:val="24"/>
          <w:szCs w:val="24"/>
        </w:rPr>
        <w:t>,</w:t>
      </w:r>
      <w:r w:rsidR="00BF335B" w:rsidRPr="00E72418">
        <w:rPr>
          <w:rStyle w:val="SansinterligneCar"/>
          <w:sz w:val="24"/>
          <w:szCs w:val="24"/>
        </w:rPr>
        <w:t xml:space="preserve"> </w:t>
      </w:r>
      <w:r w:rsidR="006B214A" w:rsidRPr="00E72418">
        <w:rPr>
          <w:rStyle w:val="SansinterligneCar"/>
          <w:sz w:val="24"/>
          <w:szCs w:val="24"/>
        </w:rPr>
        <w:t xml:space="preserve">Prosper </w:t>
      </w:r>
      <w:r w:rsidR="00BF335B" w:rsidRPr="00E72418">
        <w:rPr>
          <w:rFonts w:cs="Times New Roman"/>
          <w:szCs w:val="24"/>
        </w:rPr>
        <w:t xml:space="preserve">Weil </w:t>
      </w:r>
      <w:r w:rsidR="006A3836" w:rsidRPr="00E72418">
        <w:rPr>
          <w:rFonts w:cs="Times New Roman"/>
          <w:szCs w:val="24"/>
        </w:rPr>
        <w:t xml:space="preserve">notait </w:t>
      </w:r>
      <w:r w:rsidR="00BF335B" w:rsidRPr="00E72418">
        <w:rPr>
          <w:rFonts w:cs="Times New Roman"/>
          <w:szCs w:val="24"/>
        </w:rPr>
        <w:t>que</w:t>
      </w:r>
      <w:r w:rsidR="004C6F8E" w:rsidRPr="00E72418">
        <w:rPr>
          <w:rFonts w:cs="Times New Roman"/>
          <w:szCs w:val="24"/>
        </w:rPr>
        <w:t xml:space="preserve"> « </w:t>
      </w:r>
      <w:r w:rsidR="004C6F8E" w:rsidRPr="00E72418">
        <w:rPr>
          <w:szCs w:val="24"/>
          <w:lang w:val="en-US"/>
        </w:rPr>
        <w:t>[l]</w:t>
      </w:r>
      <w:r w:rsidR="004C6F8E" w:rsidRPr="00E72418">
        <w:rPr>
          <w:rFonts w:cs="Times New Roman"/>
          <w:szCs w:val="24"/>
        </w:rPr>
        <w:t>e contrat internationalisé n’est pas assimilable à un traité, il est simplement un acte international d’un type nouveau » </w:t>
      </w:r>
      <w:r w:rsidR="00BF335B" w:rsidRPr="00E72418">
        <w:rPr>
          <w:rFonts w:cs="Times New Roman"/>
          <w:szCs w:val="24"/>
        </w:rPr>
        <w:t>et que</w:t>
      </w:r>
      <w:r w:rsidR="004C6F8E" w:rsidRPr="00E72418">
        <w:rPr>
          <w:rFonts w:cs="Times New Roman"/>
          <w:szCs w:val="24"/>
        </w:rPr>
        <w:t xml:space="preserve"> « rien n’interdit de penser </w:t>
      </w:r>
      <w:r w:rsidR="004C6F8E" w:rsidRPr="00E72418">
        <w:rPr>
          <w:szCs w:val="24"/>
          <w:lang w:val="en-US"/>
        </w:rPr>
        <w:t>[…] que des principes empruntés au droit international général</w:t>
      </w:r>
      <w:r w:rsidR="00BF335B" w:rsidRPr="00E72418">
        <w:rPr>
          <w:szCs w:val="24"/>
          <w:lang w:val="en-US"/>
        </w:rPr>
        <w:t xml:space="preserve"> […] puissent recevoir un contenu concret spécifique en matière contractuelle </w:t>
      </w:r>
      <w:r w:rsidR="00BF335B" w:rsidRPr="00E72418">
        <w:rPr>
          <w:rFonts w:cs="Times New Roman"/>
          <w:szCs w:val="24"/>
        </w:rPr>
        <w:t>»</w:t>
      </w:r>
      <w:r w:rsidR="00BF335B" w:rsidRPr="00E72418">
        <w:rPr>
          <w:rStyle w:val="Appelnotedebasdep"/>
          <w:rFonts w:cs="Times New Roman"/>
          <w:szCs w:val="24"/>
        </w:rPr>
        <w:footnoteReference w:id="2077"/>
      </w:r>
      <w:r w:rsidR="00BF335B" w:rsidRPr="00E72418">
        <w:rPr>
          <w:rFonts w:cs="Times New Roman"/>
          <w:szCs w:val="24"/>
        </w:rPr>
        <w:t>.</w:t>
      </w:r>
    </w:p>
    <w:p w14:paraId="4D9D87AD" w14:textId="27E022C0" w:rsidR="004106B1" w:rsidRPr="00E72418" w:rsidRDefault="004106B1" w:rsidP="00CC4BA8">
      <w:pPr>
        <w:spacing w:line="276" w:lineRule="auto"/>
        <w:rPr>
          <w:szCs w:val="24"/>
        </w:rPr>
      </w:pPr>
      <w:r w:rsidRPr="00E72418">
        <w:t xml:space="preserve">Convaincus de la pertinence de l’argument de la soutenabilité pour appréhender le phénomène des fonds spéculatifs, </w:t>
      </w:r>
      <w:r w:rsidRPr="00E72418">
        <w:rPr>
          <w:rFonts w:cs="Times New Roman"/>
          <w:szCs w:val="24"/>
          <w:shd w:val="clear" w:color="auto" w:fill="FFFFFF"/>
        </w:rPr>
        <w:t xml:space="preserve">les </w:t>
      </w:r>
      <w:r w:rsidRPr="00E72418">
        <w:t>chefs d’État et de gouvernement du Groupe des 77</w:t>
      </w:r>
      <w:r w:rsidRPr="00E72418">
        <w:rPr>
          <w:rFonts w:cs="Times New Roman"/>
          <w:szCs w:val="24"/>
          <w:shd w:val="clear" w:color="auto" w:fill="FFFFFF"/>
        </w:rPr>
        <w:t xml:space="preserve"> insistent </w:t>
      </w:r>
      <w:r w:rsidRPr="00E72418">
        <w:t>sur « l’importance de ne pas laisser ces fonds paralyser les efforts de réaménagement de la dette des pays en développement et sur le fait qu’ils ne doivent en aucun cas supplanter le droit de tout État de protéger son peuple en vertu du droit international »</w:t>
      </w:r>
      <w:r w:rsidRPr="00E72418">
        <w:rPr>
          <w:rStyle w:val="Appelnotedebasdep"/>
        </w:rPr>
        <w:footnoteReference w:id="2078"/>
      </w:r>
      <w:r w:rsidRPr="00E72418">
        <w:t xml:space="preserve">. </w:t>
      </w:r>
      <w:r w:rsidRPr="00E72418">
        <w:rPr>
          <w:rFonts w:cs="Times New Roman"/>
          <w:szCs w:val="24"/>
          <w:shd w:val="clear" w:color="auto" w:fill="FFFFFF"/>
        </w:rPr>
        <w:t xml:space="preserve">Pour le Comité </w:t>
      </w:r>
      <w:r w:rsidRPr="00E72418">
        <w:rPr>
          <w:rFonts w:cs="Times New Roman"/>
          <w:szCs w:val="24"/>
        </w:rPr>
        <w:t>consultatif du Conseil des droits de l’homme des Nations Unies</w:t>
      </w:r>
      <w:r w:rsidRPr="00E72418">
        <w:rPr>
          <w:rFonts w:cs="Times New Roman"/>
          <w:szCs w:val="24"/>
          <w:shd w:val="clear" w:color="auto" w:fill="FFFFFF"/>
        </w:rPr>
        <w:t xml:space="preserve">, </w:t>
      </w:r>
      <w:r w:rsidRPr="00E72418">
        <w:rPr>
          <w:szCs w:val="24"/>
        </w:rPr>
        <w:t>l’obligation qui incombe aux États de garantir l’exercice des droits économiques et sociaux les plus élémentaires devrait l’emporter sur les obligations qui leur reviennent au titre du service de leur dette, à plus forte raison lorsque les créanciers poursuivant ce service sont des fonds spéculatifs</w:t>
      </w:r>
      <w:r w:rsidRPr="00E72418">
        <w:rPr>
          <w:rStyle w:val="Appelnotedebasdep"/>
          <w:szCs w:val="24"/>
        </w:rPr>
        <w:footnoteReference w:id="2079"/>
      </w:r>
      <w:r w:rsidRPr="00E72418">
        <w:rPr>
          <w:szCs w:val="24"/>
        </w:rPr>
        <w:t>.</w:t>
      </w:r>
    </w:p>
    <w:p w14:paraId="298B7491" w14:textId="221FAD8D" w:rsidR="00F079F4" w:rsidRPr="00E72418" w:rsidRDefault="004106B1" w:rsidP="00CC4BA8">
      <w:pPr>
        <w:spacing w:line="276" w:lineRule="auto"/>
        <w:rPr>
          <w:rFonts w:cs="Times"/>
        </w:rPr>
      </w:pPr>
      <w:r w:rsidRPr="00E72418">
        <w:t xml:space="preserve">Alors que l’imparfaite </w:t>
      </w:r>
      <w:r w:rsidRPr="00E72418">
        <w:rPr>
          <w:rFonts w:cs="Times"/>
        </w:rPr>
        <w:t xml:space="preserve">assise juridique de l’argument de la soutenabilité souvent repris dans des instruments de </w:t>
      </w:r>
      <w:r w:rsidRPr="00E72418">
        <w:rPr>
          <w:rFonts w:cs="Times"/>
          <w:i/>
        </w:rPr>
        <w:t>soft law</w:t>
      </w:r>
      <w:r w:rsidRPr="00E72418">
        <w:rPr>
          <w:rFonts w:cs="Times"/>
        </w:rPr>
        <w:t xml:space="preserve"> empêche sans doute les </w:t>
      </w:r>
      <w:r w:rsidRPr="00E72418">
        <w:rPr>
          <w:rFonts w:cs="Times New Roman"/>
          <w:szCs w:val="24"/>
        </w:rPr>
        <w:t>É</w:t>
      </w:r>
      <w:r w:rsidRPr="00E72418">
        <w:rPr>
          <w:rFonts w:cs="Times"/>
        </w:rPr>
        <w:t>tats de le plaider utilement dans les contentieux qui leur sont faits</w:t>
      </w:r>
      <w:r w:rsidRPr="00E72418">
        <w:rPr>
          <w:rStyle w:val="Appelnotedebasdep"/>
          <w:rFonts w:cs="Times"/>
          <w:szCs w:val="24"/>
        </w:rPr>
        <w:footnoteReference w:id="2080"/>
      </w:r>
      <w:r w:rsidRPr="00E72418">
        <w:rPr>
          <w:rFonts w:cs="Times"/>
        </w:rPr>
        <w:t>, cette faiblesse</w:t>
      </w:r>
      <w:r w:rsidR="006B214A" w:rsidRPr="00E72418">
        <w:rPr>
          <w:rFonts w:cs="Times"/>
        </w:rPr>
        <w:t>,</w:t>
      </w:r>
      <w:r w:rsidRPr="00E72418">
        <w:rPr>
          <w:rFonts w:cs="Times"/>
        </w:rPr>
        <w:t xml:space="preserve"> que l’on ne saurait retenir comme étant péremptoire</w:t>
      </w:r>
      <w:r w:rsidR="006B214A" w:rsidRPr="00E72418">
        <w:rPr>
          <w:rFonts w:cs="Times"/>
        </w:rPr>
        <w:t>,</w:t>
      </w:r>
      <w:r w:rsidRPr="00E72418">
        <w:rPr>
          <w:rFonts w:cs="Times"/>
        </w:rPr>
        <w:t xml:space="preserve"> ne le rend pas pour autant inopérant. La mobilisation de l’argument de la soutenabilité et du respect des droits de l’homme afin, d’une part, de justifier de l’adoption de législations visant la </w:t>
      </w:r>
      <w:r w:rsidR="004F7711" w:rsidRPr="00E72418">
        <w:rPr>
          <w:rFonts w:cs="Times"/>
        </w:rPr>
        <w:t xml:space="preserve">réglementation </w:t>
      </w:r>
      <w:r w:rsidRPr="00E72418">
        <w:rPr>
          <w:rFonts w:cs="Times"/>
        </w:rPr>
        <w:t>des activités des fonds spéculatifs, d’autre part, d’en déterminer la mesure nous paraît opportune</w:t>
      </w:r>
      <w:r w:rsidR="000325E9" w:rsidRPr="00E72418">
        <w:rPr>
          <w:rStyle w:val="Appelnotedebasdep"/>
          <w:rFonts w:cs="Times"/>
        </w:rPr>
        <w:footnoteReference w:id="2081"/>
      </w:r>
      <w:r w:rsidRPr="00E72418">
        <w:rPr>
          <w:rFonts w:cs="Times"/>
        </w:rPr>
        <w:t xml:space="preserve">. Nous pouvons en effet relever, comme l’ont fait </w:t>
      </w:r>
      <w:r w:rsidR="00922858" w:rsidRPr="00E72418">
        <w:t xml:space="preserve">Juan Pablo </w:t>
      </w:r>
      <w:r w:rsidRPr="00E72418">
        <w:rPr>
          <w:rFonts w:cs="Times"/>
        </w:rPr>
        <w:t xml:space="preserve">Bohoslavsky </w:t>
      </w:r>
      <w:r w:rsidRPr="00E72418">
        <w:rPr>
          <w:rFonts w:cs="Times"/>
        </w:rPr>
        <w:lastRenderedPageBreak/>
        <w:t xml:space="preserve">et </w:t>
      </w:r>
      <w:r w:rsidR="00922858" w:rsidRPr="00E72418">
        <w:rPr>
          <w:rFonts w:cs="Times"/>
        </w:rPr>
        <w:t xml:space="preserve">Jernej </w:t>
      </w:r>
      <w:r w:rsidRPr="00E72418">
        <w:rPr>
          <w:rFonts w:cs="Times"/>
        </w:rPr>
        <w:t>Cernic, l’intérêt de la justification à deux niveaux : « first, that the human rights law helps to understand, unravel, denounce and recompose asymmetric power relations that operate underneath sovereign debts that produce and reproduce human suffering; and second, that human rights law applies and offers solutions in sovereign debt contexts and can prevent human rights abuses and provide judicial and/or non judicial relief to victims »</w:t>
      </w:r>
      <w:r w:rsidRPr="00E72418">
        <w:rPr>
          <w:rStyle w:val="Appelnotedebasdep"/>
          <w:rFonts w:cs="Times"/>
          <w:szCs w:val="24"/>
        </w:rPr>
        <w:footnoteReference w:id="2082"/>
      </w:r>
      <w:r w:rsidRPr="00E72418">
        <w:rPr>
          <w:rFonts w:cs="Times"/>
        </w:rPr>
        <w:t>.</w:t>
      </w:r>
      <w:r w:rsidR="00C92D3D" w:rsidRPr="00E72418">
        <w:rPr>
          <w:rFonts w:cs="Times"/>
        </w:rPr>
        <w:t xml:space="preserve"> </w:t>
      </w:r>
    </w:p>
    <w:p w14:paraId="2F6AE193" w14:textId="4C896D5B" w:rsidR="004106B1" w:rsidRPr="00E72418" w:rsidRDefault="00C92D3D" w:rsidP="00CC4BA8">
      <w:pPr>
        <w:spacing w:line="276" w:lineRule="auto"/>
        <w:rPr>
          <w:shd w:val="clear" w:color="auto" w:fill="FFFFFF"/>
          <w:lang w:val="fr-BE" w:eastAsia="fr-BE"/>
        </w:rPr>
      </w:pPr>
      <w:r w:rsidRPr="00E72418">
        <w:rPr>
          <w:rFonts w:cs="Times"/>
        </w:rPr>
        <w:t xml:space="preserve">La prééminence de la soutenabilité des dettes souveraines en raison du respect des droits de l’homme qui en est tributaire justifie la </w:t>
      </w:r>
      <w:r w:rsidR="004F7711" w:rsidRPr="00E72418">
        <w:rPr>
          <w:rFonts w:cs="Times"/>
        </w:rPr>
        <w:t xml:space="preserve">réglementation </w:t>
      </w:r>
      <w:r w:rsidRPr="00E72418">
        <w:rPr>
          <w:rFonts w:cs="Times"/>
        </w:rPr>
        <w:t>des activités des fonds spéculatifs passant par la limitation de leurs réclamations</w:t>
      </w:r>
      <w:r w:rsidR="0041018E" w:rsidRPr="00E72418">
        <w:rPr>
          <w:rStyle w:val="Appelnotedebasdep"/>
          <w:rFonts w:cs="Times"/>
        </w:rPr>
        <w:footnoteReference w:id="2083"/>
      </w:r>
      <w:r w:rsidRPr="00E72418">
        <w:rPr>
          <w:rFonts w:cs="Times"/>
        </w:rPr>
        <w:t xml:space="preserve">. L’on peut ici </w:t>
      </w:r>
      <w:r w:rsidR="006D1163" w:rsidRPr="00E72418">
        <w:rPr>
          <w:rFonts w:cs="Times"/>
        </w:rPr>
        <w:t xml:space="preserve">notamment </w:t>
      </w:r>
      <w:r w:rsidRPr="00E72418">
        <w:rPr>
          <w:rFonts w:cs="Times"/>
        </w:rPr>
        <w:t xml:space="preserve">s’inspirer de l’arrêt </w:t>
      </w:r>
      <w:r w:rsidRPr="00E72418">
        <w:rPr>
          <w:rFonts w:cs="Times"/>
          <w:i/>
        </w:rPr>
        <w:t>Manigault c. Springs</w:t>
      </w:r>
      <w:r w:rsidR="006D1163" w:rsidRPr="00E72418">
        <w:rPr>
          <w:rFonts w:cs="Times"/>
        </w:rPr>
        <w:t xml:space="preserve"> </w:t>
      </w:r>
      <w:r w:rsidRPr="00E72418">
        <w:rPr>
          <w:rFonts w:cs="Times"/>
        </w:rPr>
        <w:t xml:space="preserve">de la Cour suprême étatsunienne dont il ressort que </w:t>
      </w:r>
      <w:r w:rsidRPr="00E72418">
        <w:rPr>
          <w:shd w:val="clear" w:color="auto" w:fill="FFFFFF"/>
          <w:lang w:val="fr-BE" w:eastAsia="fr-BE"/>
        </w:rPr>
        <w:t>« the interdiction of statutes impairing the obligation of contracts does not prevent the state from exercising such powers as are vested in it for the promotion of the common weal, or are necessary for the general good of the public, though contracts previously entered into between individuals may thereby be affected ». Et la Cour d’ajouter que « </w:t>
      </w:r>
      <w:r w:rsidRPr="00E72418">
        <w:rPr>
          <w:szCs w:val="24"/>
          <w:lang w:val="en-US"/>
        </w:rPr>
        <w:t>[t]</w:t>
      </w:r>
      <w:r w:rsidRPr="00E72418">
        <w:rPr>
          <w:shd w:val="clear" w:color="auto" w:fill="FFFFFF"/>
          <w:lang w:val="fr-BE" w:eastAsia="fr-BE"/>
        </w:rPr>
        <w:t>his power, which, in its various ramifications, is known as the police power, is an exercise of the sovereign right of the government to protect the lives, health, morals, comfort, and general welfare of the people, and is paramount to any rights under contracts between individuals »</w:t>
      </w:r>
      <w:r w:rsidRPr="00E72418">
        <w:rPr>
          <w:rStyle w:val="Appelnotedebasdep"/>
          <w:shd w:val="clear" w:color="auto" w:fill="FFFFFF"/>
          <w:lang w:val="fr-BE" w:eastAsia="fr-BE"/>
        </w:rPr>
        <w:footnoteReference w:id="2084"/>
      </w:r>
      <w:r w:rsidRPr="00E72418">
        <w:rPr>
          <w:shd w:val="clear" w:color="auto" w:fill="FFFFFF"/>
          <w:lang w:val="fr-BE" w:eastAsia="fr-BE"/>
        </w:rPr>
        <w:t>.</w:t>
      </w:r>
      <w:r w:rsidR="00570C78" w:rsidRPr="00E72418">
        <w:rPr>
          <w:shd w:val="clear" w:color="auto" w:fill="FFFFFF"/>
          <w:lang w:val="fr-BE" w:eastAsia="fr-BE"/>
        </w:rPr>
        <w:t xml:space="preserve"> La </w:t>
      </w:r>
      <w:r w:rsidR="004F7711" w:rsidRPr="00E72418">
        <w:rPr>
          <w:shd w:val="clear" w:color="auto" w:fill="FFFFFF"/>
          <w:lang w:val="fr-BE" w:eastAsia="fr-BE"/>
        </w:rPr>
        <w:t>réglementation</w:t>
      </w:r>
      <w:r w:rsidR="00570C78" w:rsidRPr="00E72418">
        <w:rPr>
          <w:shd w:val="clear" w:color="auto" w:fill="FFFFFF"/>
          <w:lang w:val="fr-BE" w:eastAsia="fr-BE"/>
        </w:rPr>
        <w:t xml:space="preserve"> souhaitée peut se justifier puisqu’elle est notamment, le souligne Marie-Anne Frison-Roche, « </w:t>
      </w:r>
      <w:r w:rsidR="00570C78" w:rsidRPr="00E72418">
        <w:t xml:space="preserve">une construction politique qui prétend par exemple protéger les populations contre des puissances qui ne se justifient pas ou défendre quelques principes, comme le service public </w:t>
      </w:r>
      <w:r w:rsidR="00570C78" w:rsidRPr="00E72418">
        <w:rPr>
          <w:shd w:val="clear" w:color="auto" w:fill="FFFFFF"/>
          <w:lang w:val="fr-BE" w:eastAsia="fr-BE"/>
        </w:rPr>
        <w:t>»</w:t>
      </w:r>
      <w:r w:rsidR="00570C78" w:rsidRPr="00E72418">
        <w:rPr>
          <w:rStyle w:val="Appelnotedebasdep"/>
          <w:shd w:val="clear" w:color="auto" w:fill="FFFFFF"/>
          <w:lang w:val="fr-BE" w:eastAsia="fr-BE"/>
        </w:rPr>
        <w:footnoteReference w:id="2085"/>
      </w:r>
      <w:r w:rsidR="00570C78" w:rsidRPr="00E72418">
        <w:rPr>
          <w:shd w:val="clear" w:color="auto" w:fill="FFFFFF"/>
          <w:lang w:val="fr-BE" w:eastAsia="fr-BE"/>
        </w:rPr>
        <w:t>.</w:t>
      </w:r>
    </w:p>
    <w:p w14:paraId="4845397D" w14:textId="24EFD293" w:rsidR="00B16172" w:rsidRPr="00E72418" w:rsidRDefault="00B16172" w:rsidP="00CC4BA8">
      <w:pPr>
        <w:spacing w:line="276" w:lineRule="auto"/>
        <w:rPr>
          <w:shd w:val="clear" w:color="auto" w:fill="FFFFFF"/>
          <w:lang w:val="fr-BE" w:eastAsia="fr-BE"/>
        </w:rPr>
      </w:pPr>
    </w:p>
    <w:p w14:paraId="64271E81" w14:textId="1598B254" w:rsidR="007B73CD" w:rsidRPr="00E72418" w:rsidRDefault="004469AC" w:rsidP="002B34B9">
      <w:pPr>
        <w:spacing w:line="276" w:lineRule="auto"/>
        <w:rPr>
          <w:rFonts w:cs="Times New Roman"/>
        </w:rPr>
      </w:pPr>
      <w:r w:rsidRPr="00E72418">
        <w:rPr>
          <w:b/>
          <w:shd w:val="clear" w:color="auto" w:fill="FFFFFF"/>
          <w:lang w:val="fr-BE" w:eastAsia="fr-BE"/>
        </w:rPr>
        <w:t>409</w:t>
      </w:r>
      <w:r w:rsidR="00817D62" w:rsidRPr="00E72418">
        <w:rPr>
          <w:b/>
          <w:shd w:val="clear" w:color="auto" w:fill="FFFFFF"/>
          <w:lang w:val="fr-BE" w:eastAsia="fr-BE"/>
        </w:rPr>
        <w:t xml:space="preserve">. </w:t>
      </w:r>
      <w:r w:rsidR="007B73CD" w:rsidRPr="00E72418">
        <w:rPr>
          <w:b/>
          <w:shd w:val="clear" w:color="auto" w:fill="FFFFFF"/>
          <w:lang w:val="fr-BE" w:eastAsia="fr-BE"/>
        </w:rPr>
        <w:t xml:space="preserve">La conventionnalité </w:t>
      </w:r>
      <w:r w:rsidR="00B16172" w:rsidRPr="00E72418">
        <w:rPr>
          <w:rFonts w:cs="Times New Roman"/>
          <w:b/>
        </w:rPr>
        <w:t xml:space="preserve">– </w:t>
      </w:r>
      <w:r w:rsidR="006D51B8" w:rsidRPr="00E72418">
        <w:rPr>
          <w:rFonts w:cs="Times New Roman"/>
        </w:rPr>
        <w:t>De la même manière que nous avons indiqué que les législations anti-spéculation nationales n’étaient pas incompatibles avec le droit de propriété et le droit d’accès au juge, respectivement consacrés</w:t>
      </w:r>
      <w:r w:rsidR="002330A9">
        <w:rPr>
          <w:rFonts w:cs="Times New Roman"/>
        </w:rPr>
        <w:t>, si l’on réfléchit depuis l’Europe,</w:t>
      </w:r>
      <w:r w:rsidR="006D51B8" w:rsidRPr="00E72418">
        <w:rPr>
          <w:rFonts w:cs="Times New Roman"/>
        </w:rPr>
        <w:t xml:space="preserve"> à l’article premier du Premier Protocole additionnel à la Convention européenne des droits de l’homme et à l’article 6 de cette convention</w:t>
      </w:r>
      <w:r w:rsidR="002B34B9" w:rsidRPr="00E72418">
        <w:rPr>
          <w:rStyle w:val="Appelnotedebasdep"/>
          <w:rFonts w:cs="Times New Roman"/>
        </w:rPr>
        <w:footnoteReference w:id="2086"/>
      </w:r>
      <w:r w:rsidR="006D51B8" w:rsidRPr="00E72418">
        <w:rPr>
          <w:rFonts w:cs="Times New Roman"/>
        </w:rPr>
        <w:t xml:space="preserve">, </w:t>
      </w:r>
      <w:r w:rsidR="002B34B9" w:rsidRPr="00E72418">
        <w:rPr>
          <w:rFonts w:cs="Times New Roman"/>
        </w:rPr>
        <w:t>i</w:t>
      </w:r>
      <w:r w:rsidR="00B16172" w:rsidRPr="00E72418">
        <w:rPr>
          <w:rFonts w:cs="Times New Roman"/>
        </w:rPr>
        <w:t>l ne nous semble pas qu</w:t>
      </w:r>
      <w:r w:rsidR="002B34B9" w:rsidRPr="00E72418">
        <w:rPr>
          <w:rFonts w:cs="Times New Roman"/>
        </w:rPr>
        <w:t>e notre proposition construite sur l’argument cardinal de la soutenabilité de</w:t>
      </w:r>
      <w:r w:rsidR="00D148B6" w:rsidRPr="00E72418">
        <w:rPr>
          <w:rFonts w:cs="Times New Roman"/>
        </w:rPr>
        <w:t xml:space="preserve">s </w:t>
      </w:r>
      <w:r w:rsidR="002B34B9" w:rsidRPr="00E72418">
        <w:rPr>
          <w:rFonts w:cs="Times New Roman"/>
        </w:rPr>
        <w:t>dette</w:t>
      </w:r>
      <w:r w:rsidR="00D148B6" w:rsidRPr="00E72418">
        <w:rPr>
          <w:rFonts w:cs="Times New Roman"/>
        </w:rPr>
        <w:t>s souveraines</w:t>
      </w:r>
      <w:r w:rsidR="002B34B9" w:rsidRPr="00E72418">
        <w:rPr>
          <w:rFonts w:cs="Times New Roman"/>
        </w:rPr>
        <w:t xml:space="preserve"> puisse être utilement attaquée par des créanciers brandissant l’étendard de la conventionnalité. Outre que les deux articles ne protègent aucun droit de manière absolue</w:t>
      </w:r>
      <w:r w:rsidR="005A3F12" w:rsidRPr="00E72418">
        <w:rPr>
          <w:rFonts w:cs="Times New Roman"/>
        </w:rPr>
        <w:t xml:space="preserve">, notre projet est construit avec une attention portée aux éléments, parfois de détail, qui pourraient entamer </w:t>
      </w:r>
      <w:r w:rsidR="00F15189" w:rsidRPr="00E72418">
        <w:rPr>
          <w:rFonts w:cs="Times New Roman"/>
        </w:rPr>
        <w:t>son respect du droit de propriét</w:t>
      </w:r>
      <w:r w:rsidR="005A3F12" w:rsidRPr="00E72418">
        <w:rPr>
          <w:rFonts w:cs="Times New Roman"/>
        </w:rPr>
        <w:t xml:space="preserve">é et du </w:t>
      </w:r>
      <w:r w:rsidR="005A3F12" w:rsidRPr="00E72418">
        <w:rPr>
          <w:rFonts w:cs="Times New Roman"/>
        </w:rPr>
        <w:lastRenderedPageBreak/>
        <w:t xml:space="preserve">droit d’accès au juge. Le mécanisme envisagé est en effet construit sur l’idée d’une limitation des réclamations pouvant être </w:t>
      </w:r>
      <w:r w:rsidR="00F15189" w:rsidRPr="00E72418">
        <w:rPr>
          <w:rFonts w:cs="Times New Roman"/>
        </w:rPr>
        <w:t>conc</w:t>
      </w:r>
      <w:r w:rsidR="005A3F12" w:rsidRPr="00E72418">
        <w:rPr>
          <w:rFonts w:cs="Times New Roman"/>
        </w:rPr>
        <w:t>rètement poursuivies judiciairement plutôt que sur celle de leur interdiction.</w:t>
      </w:r>
    </w:p>
    <w:p w14:paraId="325C8332" w14:textId="77777777" w:rsidR="004106B1" w:rsidRPr="00E72418" w:rsidRDefault="004106B1" w:rsidP="00CC4BA8">
      <w:pPr>
        <w:spacing w:line="276" w:lineRule="auto"/>
        <w:rPr>
          <w:rFonts w:cs="Times"/>
        </w:rPr>
      </w:pPr>
    </w:p>
    <w:p w14:paraId="2221D0E2" w14:textId="03A9D50B" w:rsidR="004106B1" w:rsidRPr="00E72418" w:rsidRDefault="004106B1" w:rsidP="00CC4BA8">
      <w:pPr>
        <w:pStyle w:val="CC"/>
        <w:spacing w:line="276" w:lineRule="auto"/>
      </w:pPr>
      <w:bookmarkStart w:id="486" w:name="_Toc59281037"/>
      <w:bookmarkStart w:id="487" w:name="_Toc75106122"/>
      <w:bookmarkStart w:id="488" w:name="_Toc84541016"/>
      <w:r w:rsidRPr="00E72418">
        <w:t>Chapitre 4 : L’engagement</w:t>
      </w:r>
      <w:bookmarkEnd w:id="486"/>
      <w:bookmarkEnd w:id="487"/>
      <w:bookmarkEnd w:id="488"/>
    </w:p>
    <w:p w14:paraId="06573F07" w14:textId="77777777" w:rsidR="004106B1" w:rsidRPr="00E72418" w:rsidRDefault="004106B1" w:rsidP="00CC4BA8">
      <w:pPr>
        <w:spacing w:line="276" w:lineRule="auto"/>
        <w:rPr>
          <w:b/>
        </w:rPr>
      </w:pPr>
    </w:p>
    <w:p w14:paraId="74D970DE" w14:textId="48431164" w:rsidR="00F079F4" w:rsidRPr="00E72418" w:rsidRDefault="004469AC" w:rsidP="00CC4BA8">
      <w:pPr>
        <w:spacing w:line="276" w:lineRule="auto"/>
        <w:rPr>
          <w:szCs w:val="24"/>
        </w:rPr>
      </w:pPr>
      <w:r w:rsidRPr="00E72418">
        <w:rPr>
          <w:b/>
          <w:szCs w:val="24"/>
        </w:rPr>
        <w:t>410</w:t>
      </w:r>
      <w:r w:rsidR="00817D62" w:rsidRPr="00E72418">
        <w:rPr>
          <w:b/>
          <w:szCs w:val="24"/>
        </w:rPr>
        <w:t xml:space="preserve">. </w:t>
      </w:r>
      <w:r w:rsidR="004106B1" w:rsidRPr="00E72418">
        <w:rPr>
          <w:b/>
          <w:szCs w:val="24"/>
        </w:rPr>
        <w:t xml:space="preserve">Une </w:t>
      </w:r>
      <w:r w:rsidR="004F7711" w:rsidRPr="00E72418">
        <w:rPr>
          <w:b/>
          <w:szCs w:val="24"/>
        </w:rPr>
        <w:t xml:space="preserve">limitation </w:t>
      </w:r>
      <w:r w:rsidR="004106B1" w:rsidRPr="00E72418">
        <w:rPr>
          <w:b/>
          <w:szCs w:val="24"/>
        </w:rPr>
        <w:t xml:space="preserve">plutôt qu’une lutte – </w:t>
      </w:r>
      <w:r w:rsidR="00F079F4" w:rsidRPr="00E72418">
        <w:rPr>
          <w:szCs w:val="24"/>
        </w:rPr>
        <w:t xml:space="preserve">S’il est une demande </w:t>
      </w:r>
      <w:r w:rsidR="00007230" w:rsidRPr="00E72418">
        <w:rPr>
          <w:szCs w:val="24"/>
        </w:rPr>
        <w:t xml:space="preserve">de réglementation des activités spéculatives </w:t>
      </w:r>
      <w:r w:rsidR="00F079F4" w:rsidRPr="00E72418">
        <w:rPr>
          <w:szCs w:val="24"/>
        </w:rPr>
        <w:t xml:space="preserve">à entendre et à traduire dans une </w:t>
      </w:r>
      <w:r w:rsidR="00007230" w:rsidRPr="00E72418">
        <w:rPr>
          <w:szCs w:val="24"/>
        </w:rPr>
        <w:t>législation</w:t>
      </w:r>
      <w:r w:rsidR="00277D7D" w:rsidRPr="00E72418">
        <w:rPr>
          <w:szCs w:val="24"/>
        </w:rPr>
        <w:t xml:space="preserve">, </w:t>
      </w:r>
      <w:r w:rsidR="00F079F4" w:rsidRPr="00E72418">
        <w:rPr>
          <w:szCs w:val="24"/>
        </w:rPr>
        <w:t>laquelle se trouve justifiée par l’argument de la soutenabilité des dettes souveraines, il reste à nous inté</w:t>
      </w:r>
      <w:r w:rsidR="002330A9">
        <w:rPr>
          <w:szCs w:val="24"/>
        </w:rPr>
        <w:t>resser à l’engagement que doi</w:t>
      </w:r>
      <w:r w:rsidR="00F079F4" w:rsidRPr="00E72418">
        <w:rPr>
          <w:szCs w:val="24"/>
        </w:rPr>
        <w:t>t se donner à poursuivre le</w:t>
      </w:r>
      <w:r w:rsidR="00007230" w:rsidRPr="00E72418">
        <w:rPr>
          <w:szCs w:val="24"/>
        </w:rPr>
        <w:t xml:space="preserve"> législateur concerné</w:t>
      </w:r>
      <w:r w:rsidR="00F079F4" w:rsidRPr="00E72418">
        <w:rPr>
          <w:szCs w:val="24"/>
        </w:rPr>
        <w:t>.</w:t>
      </w:r>
      <w:r w:rsidR="00F079F4" w:rsidRPr="00E72418">
        <w:rPr>
          <w:b/>
          <w:szCs w:val="24"/>
        </w:rPr>
        <w:t xml:space="preserve"> </w:t>
      </w:r>
      <w:r w:rsidR="00277D7D" w:rsidRPr="00E72418">
        <w:rPr>
          <w:szCs w:val="24"/>
        </w:rPr>
        <w:t xml:space="preserve">Les particularités du phénomène étudié nous convainquent de l’opportunité d’un engagement dans la voie de la </w:t>
      </w:r>
      <w:r w:rsidR="004F7711" w:rsidRPr="00E72418">
        <w:rPr>
          <w:szCs w:val="24"/>
        </w:rPr>
        <w:t xml:space="preserve">limitation </w:t>
      </w:r>
      <w:r w:rsidR="00277D7D" w:rsidRPr="00E72418">
        <w:rPr>
          <w:szCs w:val="24"/>
        </w:rPr>
        <w:t>plutôt que dans celle de la lutte.</w:t>
      </w:r>
    </w:p>
    <w:p w14:paraId="5C19A99C" w14:textId="2AFA1BD8" w:rsidR="004106B1" w:rsidRPr="00E72418" w:rsidRDefault="00007230" w:rsidP="00CC4BA8">
      <w:pPr>
        <w:spacing w:line="276" w:lineRule="auto"/>
        <w:rPr>
          <w:rFonts w:cs="Times New Roman"/>
          <w:szCs w:val="24"/>
        </w:rPr>
      </w:pPr>
      <w:r w:rsidRPr="00E72418">
        <w:rPr>
          <w:rFonts w:cs="Times New Roman"/>
          <w:szCs w:val="24"/>
        </w:rPr>
        <w:t xml:space="preserve">Notre proposition </w:t>
      </w:r>
      <w:r w:rsidR="00277D7D" w:rsidRPr="00E72418">
        <w:rPr>
          <w:rFonts w:cs="Times New Roman"/>
          <w:szCs w:val="24"/>
        </w:rPr>
        <w:t>législati</w:t>
      </w:r>
      <w:r w:rsidRPr="00E72418">
        <w:rPr>
          <w:rFonts w:cs="Times New Roman"/>
          <w:szCs w:val="24"/>
        </w:rPr>
        <w:t>ve</w:t>
      </w:r>
      <w:r w:rsidR="00277D7D" w:rsidRPr="00E72418">
        <w:rPr>
          <w:rFonts w:cs="Times New Roman"/>
          <w:szCs w:val="24"/>
        </w:rPr>
        <w:t xml:space="preserve"> visant spécifiquement les activités des fonds spéculatifs ne saurait être manichéenne tant les éléments en présence doivent être équilibrés dans l’intérêt de l’ensemble des parties prenantes</w:t>
      </w:r>
      <w:r w:rsidR="00277D7D" w:rsidRPr="00E72418">
        <w:rPr>
          <w:rStyle w:val="Appelnotedebasdep"/>
          <w:rFonts w:cs="Times New Roman"/>
          <w:szCs w:val="24"/>
        </w:rPr>
        <w:footnoteReference w:id="2087"/>
      </w:r>
      <w:r w:rsidR="00277D7D" w:rsidRPr="00E72418">
        <w:rPr>
          <w:rFonts w:cs="Times New Roman"/>
          <w:szCs w:val="24"/>
        </w:rPr>
        <w:t>. Aussi, l’adoption de mesures anti-fonds spéculatifs doit se faire avec prudence en ayant égard à l’ensemble des caractéristiques propres aux dettes souveraines et à leurs marchés</w:t>
      </w:r>
      <w:r w:rsidR="00277D7D" w:rsidRPr="00E72418">
        <w:rPr>
          <w:rStyle w:val="Appelnotedebasdep"/>
          <w:rFonts w:cs="Times New Roman"/>
          <w:szCs w:val="24"/>
        </w:rPr>
        <w:footnoteReference w:id="2088"/>
      </w:r>
      <w:r w:rsidR="00277D7D" w:rsidRPr="00E72418">
        <w:rPr>
          <w:rFonts w:cs="Times New Roman"/>
          <w:szCs w:val="24"/>
        </w:rPr>
        <w:t xml:space="preserve">. </w:t>
      </w:r>
      <w:r w:rsidR="004106B1" w:rsidRPr="00E72418">
        <w:rPr>
          <w:rFonts w:cs="Times New Roman"/>
          <w:szCs w:val="24"/>
        </w:rPr>
        <w:t xml:space="preserve">Dès lors que les activités des fonds spéculant sur les dettes souveraines sont légales en ce que leurs revendications reposent sur des droits qu’ils détiennent, </w:t>
      </w:r>
      <w:r w:rsidR="006F5D81" w:rsidRPr="00E72418">
        <w:rPr>
          <w:rFonts w:cs="Times New Roman"/>
          <w:szCs w:val="24"/>
        </w:rPr>
        <w:t xml:space="preserve">James </w:t>
      </w:r>
      <w:r w:rsidR="004106B1" w:rsidRPr="00E72418">
        <w:rPr>
          <w:rFonts w:cs="Times New Roman"/>
          <w:szCs w:val="24"/>
        </w:rPr>
        <w:t xml:space="preserve">Bai relève que « </w:t>
      </w:r>
      <w:r w:rsidR="004106B1" w:rsidRPr="00E72418">
        <w:rPr>
          <w:rFonts w:ascii="Times New Roman" w:hAnsi="Times New Roman" w:cs="Times New Roman"/>
        </w:rPr>
        <w:t>[v]</w:t>
      </w:r>
      <w:r w:rsidR="004106B1" w:rsidRPr="00E72418">
        <w:rPr>
          <w:rFonts w:cs="Times New Roman"/>
          <w:szCs w:val="24"/>
        </w:rPr>
        <w:t>ulture funds are an especial problem because their legal activities do not manipulate statutory loopholes, which can be closed, or precedents, which can be overruled »</w:t>
      </w:r>
      <w:r w:rsidR="004106B1" w:rsidRPr="00E72418">
        <w:rPr>
          <w:rStyle w:val="Appelnotedebasdep"/>
          <w:rFonts w:cs="Times New Roman"/>
          <w:szCs w:val="24"/>
        </w:rPr>
        <w:footnoteReference w:id="2089"/>
      </w:r>
      <w:r w:rsidR="004106B1" w:rsidRPr="00E72418">
        <w:rPr>
          <w:rFonts w:cs="Times New Roman"/>
          <w:szCs w:val="24"/>
        </w:rPr>
        <w:t>. Plus encore, o</w:t>
      </w:r>
      <w:r w:rsidR="004106B1" w:rsidRPr="00E72418">
        <w:rPr>
          <w:szCs w:val="24"/>
        </w:rPr>
        <w:t xml:space="preserve">utre le fait que ces activités s’inscrivent généralement dans la simple poursuite d’un contrat, l’on a pu en souligner quelques </w:t>
      </w:r>
      <w:r w:rsidRPr="00E72418">
        <w:rPr>
          <w:szCs w:val="24"/>
        </w:rPr>
        <w:t>mérites</w:t>
      </w:r>
      <w:r w:rsidR="004106B1" w:rsidRPr="00E72418">
        <w:rPr>
          <w:rStyle w:val="Appelnotedebasdep"/>
          <w:szCs w:val="24"/>
        </w:rPr>
        <w:footnoteReference w:id="2090"/>
      </w:r>
      <w:r w:rsidR="004106B1" w:rsidRPr="00E72418">
        <w:rPr>
          <w:szCs w:val="24"/>
        </w:rPr>
        <w:t xml:space="preserve">. </w:t>
      </w:r>
    </w:p>
    <w:p w14:paraId="5F8CBD1B" w14:textId="4CCC3CAE" w:rsidR="004106B1" w:rsidRPr="00E72418" w:rsidRDefault="002672B1" w:rsidP="00CC4BA8">
      <w:pPr>
        <w:spacing w:line="276" w:lineRule="auto"/>
        <w:rPr>
          <w:szCs w:val="24"/>
        </w:rPr>
      </w:pPr>
      <w:r w:rsidRPr="00E72418">
        <w:t xml:space="preserve">Jonathan </w:t>
      </w:r>
      <w:r w:rsidR="004106B1" w:rsidRPr="00E72418">
        <w:t>Goren</w:t>
      </w:r>
      <w:r w:rsidR="00B6695D" w:rsidRPr="00E72418">
        <w:t xml:space="preserve"> explique clairement l’enjeu :</w:t>
      </w:r>
      <w:r w:rsidR="004106B1" w:rsidRPr="00E72418">
        <w:t xml:space="preserve"> «</w:t>
      </w:r>
      <w:r w:rsidR="004106B1" w:rsidRPr="00E72418">
        <w:rPr>
          <w:rFonts w:ascii="Times New Roman" w:hAnsi="Times New Roman" w:cs="Times New Roman"/>
        </w:rPr>
        <w:t xml:space="preserve"> </w:t>
      </w:r>
      <w:r w:rsidR="004106B1" w:rsidRPr="00E72418">
        <w:t>a proposed solution that tries to do too much is doomed to fail. For instance, if vulture fund suits were categorically banned or it became illegal to sell sovereign debt on the secondary market, credit to the developing world would become prohibitively expensive or dry up</w:t>
      </w:r>
      <w:r w:rsidR="00B6695D" w:rsidRPr="00E72418">
        <w:t xml:space="preserve"> </w:t>
      </w:r>
      <w:r w:rsidR="00B6695D" w:rsidRPr="00E72418">
        <w:rPr>
          <w:szCs w:val="24"/>
        </w:rPr>
        <w:t>»</w:t>
      </w:r>
      <w:r w:rsidR="00B6695D" w:rsidRPr="00E72418">
        <w:t xml:space="preserve"> mais « [a]</w:t>
      </w:r>
      <w:r w:rsidR="004106B1" w:rsidRPr="00E72418">
        <w:t xml:space="preserve">t the same time, if the status quo remains or it becomes easier to sue a sovereign for breaking its promise to pay back a debt, it would </w:t>
      </w:r>
      <w:r w:rsidR="004106B1" w:rsidRPr="00E72418">
        <w:lastRenderedPageBreak/>
        <w:t xml:space="preserve">incentivize a rush to the courthouse and it would become impossible for a country that really could not pay to undertake legitimate debt restructuring efforts </w:t>
      </w:r>
      <w:r w:rsidR="004106B1" w:rsidRPr="00E72418">
        <w:rPr>
          <w:szCs w:val="24"/>
        </w:rPr>
        <w:t>»</w:t>
      </w:r>
      <w:r w:rsidR="004106B1" w:rsidRPr="00E72418">
        <w:rPr>
          <w:rStyle w:val="Appelnotedebasdep"/>
          <w:szCs w:val="24"/>
        </w:rPr>
        <w:footnoteReference w:id="2091"/>
      </w:r>
      <w:r w:rsidR="004106B1" w:rsidRPr="00E72418">
        <w:rPr>
          <w:szCs w:val="24"/>
        </w:rPr>
        <w:t>.</w:t>
      </w:r>
    </w:p>
    <w:p w14:paraId="353FA32E" w14:textId="14E36E19" w:rsidR="004106B1" w:rsidRPr="00E72418" w:rsidRDefault="004106B1" w:rsidP="00CC4BA8">
      <w:pPr>
        <w:spacing w:line="276" w:lineRule="auto"/>
      </w:pPr>
      <w:r w:rsidRPr="00E72418">
        <w:rPr>
          <w:szCs w:val="24"/>
        </w:rPr>
        <w:t xml:space="preserve">Il apparaît de ce qui précède que le paradigme de départ doit être modifié dans la mesure où l’action des parlements se saisissant du phénomène spéculatif ne saurait se réduire à une simple lutte contre </w:t>
      </w:r>
      <w:r w:rsidR="00B10CAA" w:rsidRPr="00E72418">
        <w:rPr>
          <w:szCs w:val="24"/>
        </w:rPr>
        <w:t>celui</w:t>
      </w:r>
      <w:r w:rsidRPr="00E72418">
        <w:rPr>
          <w:szCs w:val="24"/>
        </w:rPr>
        <w:t xml:space="preserve">-ci mais devrait plutôt s’inscrire dans une logique de </w:t>
      </w:r>
      <w:r w:rsidR="004F7711" w:rsidRPr="00E72418">
        <w:rPr>
          <w:szCs w:val="24"/>
        </w:rPr>
        <w:t>limitation</w:t>
      </w:r>
      <w:r w:rsidRPr="00E72418">
        <w:rPr>
          <w:szCs w:val="24"/>
        </w:rPr>
        <w:t>.</w:t>
      </w:r>
      <w:r w:rsidRPr="00E72418">
        <w:rPr>
          <w:rFonts w:cs="Times New Roman"/>
          <w:szCs w:val="24"/>
        </w:rPr>
        <w:t xml:space="preserve"> </w:t>
      </w:r>
      <w:r w:rsidRPr="00E72418">
        <w:t xml:space="preserve">Comme le note </w:t>
      </w:r>
      <w:r w:rsidR="005C18A8" w:rsidRPr="00E72418">
        <w:t xml:space="preserve">Eloy </w:t>
      </w:r>
      <w:r w:rsidRPr="00E72418">
        <w:t xml:space="preserve">Peral, « [a]nti-vulture fund legislation that is not carefully calibrated to advance the goals of debt relief while minimizing the adverse effects that may result from tampering with credit markets, such as a reduction in liquidity, will be counter-productive </w:t>
      </w:r>
      <w:r w:rsidRPr="00E72418">
        <w:rPr>
          <w:szCs w:val="24"/>
        </w:rPr>
        <w:t>»</w:t>
      </w:r>
      <w:r w:rsidRPr="00E72418">
        <w:rPr>
          <w:rStyle w:val="Appelnotedebasdep"/>
          <w:szCs w:val="24"/>
        </w:rPr>
        <w:footnoteReference w:id="2092"/>
      </w:r>
      <w:r w:rsidRPr="00E72418">
        <w:t>.</w:t>
      </w:r>
    </w:p>
    <w:p w14:paraId="37C7EA83" w14:textId="17B737EC" w:rsidR="005D6FCD" w:rsidRPr="00E72418" w:rsidRDefault="005D6FCD" w:rsidP="00CC4BA8">
      <w:pPr>
        <w:spacing w:line="276" w:lineRule="auto"/>
        <w:rPr>
          <w:szCs w:val="24"/>
        </w:rPr>
      </w:pPr>
      <w:r w:rsidRPr="00E72418">
        <w:rPr>
          <w:szCs w:val="24"/>
        </w:rPr>
        <w:t xml:space="preserve">L’engagement dans la voie de la </w:t>
      </w:r>
      <w:r w:rsidR="004F7711" w:rsidRPr="00E72418">
        <w:rPr>
          <w:szCs w:val="24"/>
        </w:rPr>
        <w:t xml:space="preserve">limitation </w:t>
      </w:r>
      <w:r w:rsidRPr="00E72418">
        <w:rPr>
          <w:szCs w:val="24"/>
        </w:rPr>
        <w:t>plutôt que dans celle de la lutte permet que l’outil anti-spéculatif envisagé se concilie avec les exigences du respect du droit de propriété et du droit d’accès au juge</w:t>
      </w:r>
      <w:r w:rsidRPr="00E72418">
        <w:rPr>
          <w:rStyle w:val="Appelnotedebasdep"/>
          <w:szCs w:val="24"/>
        </w:rPr>
        <w:footnoteReference w:id="2093"/>
      </w:r>
      <w:r w:rsidRPr="00E72418">
        <w:rPr>
          <w:szCs w:val="24"/>
        </w:rPr>
        <w:t>.</w:t>
      </w:r>
    </w:p>
    <w:p w14:paraId="6563E48A" w14:textId="77777777" w:rsidR="004106B1" w:rsidRPr="00E72418" w:rsidRDefault="004106B1" w:rsidP="00CC4BA8">
      <w:pPr>
        <w:spacing w:line="276" w:lineRule="auto"/>
        <w:rPr>
          <w:szCs w:val="24"/>
        </w:rPr>
      </w:pPr>
    </w:p>
    <w:p w14:paraId="28CEB83A" w14:textId="61E84C30" w:rsidR="00B6695D" w:rsidRPr="00E72418" w:rsidRDefault="004469AC" w:rsidP="00CC4BA8">
      <w:pPr>
        <w:spacing w:line="276" w:lineRule="auto"/>
      </w:pPr>
      <w:r w:rsidRPr="00E72418">
        <w:rPr>
          <w:b/>
          <w:szCs w:val="24"/>
        </w:rPr>
        <w:t>411</w:t>
      </w:r>
      <w:r w:rsidR="00817D62" w:rsidRPr="00E72418">
        <w:rPr>
          <w:b/>
          <w:szCs w:val="24"/>
        </w:rPr>
        <w:t xml:space="preserve">. </w:t>
      </w:r>
      <w:r w:rsidR="004106B1" w:rsidRPr="00E72418">
        <w:rPr>
          <w:b/>
          <w:szCs w:val="24"/>
        </w:rPr>
        <w:t>L’inspiration de la pratique et des autres initiatives –</w:t>
      </w:r>
      <w:r w:rsidR="004106B1" w:rsidRPr="00E72418">
        <w:rPr>
          <w:szCs w:val="24"/>
        </w:rPr>
        <w:t xml:space="preserve"> Les législations visant à </w:t>
      </w:r>
      <w:r w:rsidR="00884550">
        <w:rPr>
          <w:szCs w:val="24"/>
        </w:rPr>
        <w:t>se saisir des</w:t>
      </w:r>
      <w:r w:rsidR="004106B1" w:rsidRPr="00E72418">
        <w:rPr>
          <w:szCs w:val="24"/>
        </w:rPr>
        <w:t xml:space="preserve"> activités des fonds spéculatifs doivent se construire sur l’expérience de la pratique. Ceci est d’autant plus vrai que les fonds ont toujours démontré leur ingéniosité juridique</w:t>
      </w:r>
      <w:r w:rsidR="004106B1" w:rsidRPr="00E72418">
        <w:rPr>
          <w:rStyle w:val="Appelnotedebasdep"/>
          <w:rFonts w:cs="Times New Roman"/>
          <w:szCs w:val="24"/>
        </w:rPr>
        <w:footnoteReference w:id="2094"/>
      </w:r>
      <w:r w:rsidR="004106B1" w:rsidRPr="00E72418">
        <w:rPr>
          <w:szCs w:val="24"/>
        </w:rPr>
        <w:t xml:space="preserve">. Si l’inspiration de la pratique est souhaitable, le projet législatif ne doit toutefois pas s’y limiter. L’on peut ainsi regretter que les législations adoptées jusqu’ici </w:t>
      </w:r>
      <w:r w:rsidR="004106B1" w:rsidRPr="00E72418">
        <w:t>l’ont très souvent été en réaction à des actions décriées conduisant à des solutions mal taillées</w:t>
      </w:r>
      <w:r w:rsidR="004106B1" w:rsidRPr="00E72418">
        <w:rPr>
          <w:rStyle w:val="Appelnotedebasdep"/>
        </w:rPr>
        <w:footnoteReference w:id="2095"/>
      </w:r>
      <w:r w:rsidR="004106B1" w:rsidRPr="00E72418">
        <w:t xml:space="preserve">. </w:t>
      </w:r>
      <w:r w:rsidR="007429E8" w:rsidRPr="00E72418">
        <w:t>L’on ne saurait se satisfaire du seul constat de l’absence de contentieux relevé</w:t>
      </w:r>
      <w:r w:rsidR="0013563F" w:rsidRPr="00E72418">
        <w:t>e</w:t>
      </w:r>
      <w:r w:rsidR="007429E8" w:rsidRPr="00E72418">
        <w:t xml:space="preserve"> depuis l’adoption de ces législations pour retenir qu’elles seraient exemptes de critiques et qu’</w:t>
      </w:r>
      <w:r w:rsidR="0013563F" w:rsidRPr="00E72418">
        <w:t xml:space="preserve">il </w:t>
      </w:r>
      <w:r w:rsidR="000B23A9" w:rsidRPr="00E72418">
        <w:t>serait</w:t>
      </w:r>
      <w:r w:rsidR="0013563F" w:rsidRPr="00E72418">
        <w:t xml:space="preserve"> </w:t>
      </w:r>
      <w:r w:rsidR="00007230" w:rsidRPr="00E72418">
        <w:t xml:space="preserve">par conséquent </w:t>
      </w:r>
      <w:r w:rsidR="0013563F" w:rsidRPr="00E72418">
        <w:t xml:space="preserve">inutile de </w:t>
      </w:r>
      <w:r w:rsidR="007429E8" w:rsidRPr="00E72418">
        <w:t xml:space="preserve">chercher à </w:t>
      </w:r>
      <w:r w:rsidR="0013563F" w:rsidRPr="00E72418">
        <w:t xml:space="preserve">proposer une solution </w:t>
      </w:r>
      <w:r w:rsidR="00884550">
        <w:t>plus nuancée</w:t>
      </w:r>
      <w:r w:rsidR="0013563F" w:rsidRPr="00E72418">
        <w:t>.</w:t>
      </w:r>
    </w:p>
    <w:p w14:paraId="44437140" w14:textId="77D4A541" w:rsidR="004106B1" w:rsidRPr="00E72418" w:rsidRDefault="00B6695D" w:rsidP="00CC4BA8">
      <w:pPr>
        <w:spacing w:line="276" w:lineRule="auto"/>
        <w:rPr>
          <w:szCs w:val="24"/>
        </w:rPr>
      </w:pPr>
      <w:r w:rsidRPr="00E72418">
        <w:t>Aussi, s</w:t>
      </w:r>
      <w:r w:rsidR="004106B1" w:rsidRPr="00E72418">
        <w:rPr>
          <w:szCs w:val="24"/>
        </w:rPr>
        <w:t xml:space="preserve">’il importe d’être attentif aux affaires au moment de légiférer, sans toutefois s’y limiter, la complexité juridique </w:t>
      </w:r>
      <w:r w:rsidRPr="00E72418">
        <w:rPr>
          <w:szCs w:val="24"/>
        </w:rPr>
        <w:t xml:space="preserve">et </w:t>
      </w:r>
      <w:r w:rsidR="00620A06" w:rsidRPr="00E72418">
        <w:rPr>
          <w:szCs w:val="24"/>
        </w:rPr>
        <w:t>l’imprévisibilité</w:t>
      </w:r>
      <w:r w:rsidRPr="00E72418">
        <w:rPr>
          <w:szCs w:val="24"/>
        </w:rPr>
        <w:t xml:space="preserve"> </w:t>
      </w:r>
      <w:r w:rsidR="004106B1" w:rsidRPr="00E72418">
        <w:rPr>
          <w:szCs w:val="24"/>
        </w:rPr>
        <w:t>du phénomène des fonds spéculant sur les dettes souveraines doi</w:t>
      </w:r>
      <w:r w:rsidR="00620A06" w:rsidRPr="00E72418">
        <w:rPr>
          <w:szCs w:val="24"/>
        </w:rPr>
        <w:t>vent</w:t>
      </w:r>
      <w:r w:rsidR="004106B1" w:rsidRPr="00E72418">
        <w:rPr>
          <w:szCs w:val="24"/>
        </w:rPr>
        <w:t xml:space="preserve"> conduire les législateurs à une réactivité au moment de faire évoluer leur solution</w:t>
      </w:r>
      <w:r w:rsidRPr="00E72418">
        <w:rPr>
          <w:szCs w:val="24"/>
        </w:rPr>
        <w:t xml:space="preserve"> afin de la mettre en phase avec </w:t>
      </w:r>
      <w:r w:rsidR="00007230" w:rsidRPr="00E72418">
        <w:rPr>
          <w:szCs w:val="24"/>
        </w:rPr>
        <w:t>la problématique qu’ils cherchent à juguler</w:t>
      </w:r>
      <w:r w:rsidR="004106B1" w:rsidRPr="00E72418">
        <w:rPr>
          <w:rStyle w:val="Appelnotedebasdep"/>
          <w:rFonts w:cs="Times New Roman"/>
          <w:szCs w:val="24"/>
        </w:rPr>
        <w:footnoteReference w:id="2096"/>
      </w:r>
      <w:r w:rsidR="004106B1" w:rsidRPr="00E72418">
        <w:rPr>
          <w:szCs w:val="24"/>
        </w:rPr>
        <w:t>.</w:t>
      </w:r>
    </w:p>
    <w:p w14:paraId="2D740B52" w14:textId="4FDAFB83" w:rsidR="0004131E" w:rsidRPr="00E72418" w:rsidRDefault="0004131E" w:rsidP="00CC4BA8">
      <w:pPr>
        <w:spacing w:line="276" w:lineRule="auto"/>
      </w:pPr>
      <w:r w:rsidRPr="00E72418">
        <w:t>Par ailleurs,</w:t>
      </w:r>
      <w:r w:rsidR="00884550">
        <w:t xml:space="preserve"> puisque le sujet est délicat,</w:t>
      </w:r>
      <w:r w:rsidRPr="00E72418">
        <w:t xml:space="preserve"> il semble assez logique de consulter </w:t>
      </w:r>
      <w:r w:rsidR="00884550">
        <w:t xml:space="preserve">plus largement </w:t>
      </w:r>
      <w:r w:rsidRPr="00E72418">
        <w:t xml:space="preserve">l’ensemble des parties généralement impliquées dans les questions ayant trait aux dettes souveraines et à leur gestion. Il est certain que la sensibilité de ces questions fait souhaiter que </w:t>
      </w:r>
      <w:r w:rsidRPr="00E72418">
        <w:lastRenderedPageBreak/>
        <w:t xml:space="preserve">le processus législatif puisse être mené d’une manière contradictoire </w:t>
      </w:r>
      <w:r w:rsidR="0017725C" w:rsidRPr="00E72418">
        <w:t>afin de permettre</w:t>
      </w:r>
      <w:r w:rsidRPr="00E72418">
        <w:t xml:space="preserve"> aux divers intérêts en présence d’être manifestés</w:t>
      </w:r>
      <w:r w:rsidR="005B3204" w:rsidRPr="00E72418">
        <w:rPr>
          <w:rStyle w:val="Appelnotedebasdep"/>
        </w:rPr>
        <w:footnoteReference w:id="2097"/>
      </w:r>
      <w:r w:rsidRPr="00E72418">
        <w:t xml:space="preserve">. S’il est des traits saillants à retenir et des écueils </w:t>
      </w:r>
      <w:r w:rsidR="00963475" w:rsidRPr="00E72418">
        <w:t>dont se garder</w:t>
      </w:r>
      <w:r w:rsidRPr="00E72418">
        <w:t xml:space="preserve"> que nous serons en mesure de proposer à l’issue de notre recherche</w:t>
      </w:r>
      <w:r w:rsidRPr="00E72418">
        <w:rPr>
          <w:rStyle w:val="Appelnotedebasdep"/>
        </w:rPr>
        <w:footnoteReference w:id="2098"/>
      </w:r>
      <w:r w:rsidRPr="00E72418">
        <w:t xml:space="preserve">, il reste que les consultations envisagées </w:t>
      </w:r>
      <w:r w:rsidR="00884550">
        <w:t xml:space="preserve">demeurent utiles puisqu’elles </w:t>
      </w:r>
      <w:r w:rsidRPr="00E72418">
        <w:t>permettent le</w:t>
      </w:r>
      <w:r w:rsidR="00F55334" w:rsidRPr="00E72418">
        <w:t>s</w:t>
      </w:r>
      <w:r w:rsidRPr="00E72418">
        <w:t xml:space="preserve"> débat</w:t>
      </w:r>
      <w:r w:rsidR="00F55334" w:rsidRPr="00E72418">
        <w:t>s</w:t>
      </w:r>
      <w:r w:rsidRPr="00E72418">
        <w:t xml:space="preserve"> utile</w:t>
      </w:r>
      <w:r w:rsidR="00F55334" w:rsidRPr="00E72418">
        <w:t>s</w:t>
      </w:r>
      <w:r w:rsidRPr="00E72418">
        <w:t xml:space="preserve"> à la nuance.</w:t>
      </w:r>
    </w:p>
    <w:p w14:paraId="6A5C8C66" w14:textId="1D026B42" w:rsidR="004106B1" w:rsidRPr="00E72418" w:rsidRDefault="0004131E" w:rsidP="00CC4BA8">
      <w:pPr>
        <w:spacing w:line="276" w:lineRule="auto"/>
      </w:pPr>
      <w:r w:rsidRPr="00E72418">
        <w:rPr>
          <w:szCs w:val="24"/>
        </w:rPr>
        <w:t>Finalement</w:t>
      </w:r>
      <w:r w:rsidR="00B6695D" w:rsidRPr="00E72418">
        <w:rPr>
          <w:szCs w:val="24"/>
        </w:rPr>
        <w:t>, l</w:t>
      </w:r>
      <w:r w:rsidR="004106B1" w:rsidRPr="00E72418">
        <w:rPr>
          <w:szCs w:val="24"/>
        </w:rPr>
        <w:t>es législations anti-fonds spéculatifs n’existant pas de manière isolée, il importe d’avoir égard au contexte dans lequel elles prennent place de manière à les faire s’accorder.</w:t>
      </w:r>
      <w:r w:rsidR="004106B1" w:rsidRPr="00E72418">
        <w:t xml:space="preserve"> </w:t>
      </w:r>
      <w:r w:rsidR="00BF66B5" w:rsidRPr="00E72418">
        <w:t>C</w:t>
      </w:r>
      <w:r w:rsidR="004106B1" w:rsidRPr="00E72418">
        <w:t xml:space="preserve">es </w:t>
      </w:r>
      <w:r w:rsidR="00BF66B5" w:rsidRPr="00E72418">
        <w:t xml:space="preserve">lois </w:t>
      </w:r>
      <w:r w:rsidR="00620A06" w:rsidRPr="00E72418">
        <w:t>ont ainsi</w:t>
      </w:r>
      <w:r w:rsidR="004106B1" w:rsidRPr="00E72418">
        <w:t xml:space="preserve"> </w:t>
      </w:r>
      <w:r w:rsidR="00620A06" w:rsidRPr="00E72418">
        <w:t xml:space="preserve">à être </w:t>
      </w:r>
      <w:r w:rsidR="004106B1" w:rsidRPr="00E72418">
        <w:t>concili</w:t>
      </w:r>
      <w:r w:rsidR="00620A06" w:rsidRPr="00E72418">
        <w:t>ées</w:t>
      </w:r>
      <w:r w:rsidR="004106B1" w:rsidRPr="00E72418">
        <w:t xml:space="preserve"> avec les autres réalisations et échecs d’initiatives visant la poursuite d’un mieux-être des </w:t>
      </w:r>
      <w:r w:rsidR="004106B1" w:rsidRPr="00E72418">
        <w:rPr>
          <w:lang w:eastAsia="fr-BE"/>
        </w:rPr>
        <w:t>É</w:t>
      </w:r>
      <w:r w:rsidR="004106B1" w:rsidRPr="00E72418">
        <w:t>tats en difficulté financière, singulièrement, de la soutenabilité de leur dette</w:t>
      </w:r>
      <w:r w:rsidR="004106B1" w:rsidRPr="00E72418">
        <w:rPr>
          <w:rStyle w:val="Appelnotedebasdep"/>
        </w:rPr>
        <w:footnoteReference w:id="2099"/>
      </w:r>
      <w:r w:rsidR="004106B1" w:rsidRPr="00E72418">
        <w:t>.</w:t>
      </w:r>
      <w:r w:rsidR="007F2750" w:rsidRPr="00E72418">
        <w:t xml:space="preserve"> </w:t>
      </w:r>
      <w:r w:rsidR="00F55334" w:rsidRPr="00E72418">
        <w:t xml:space="preserve">C’est ainsi </w:t>
      </w:r>
      <w:r w:rsidR="00884550">
        <w:t xml:space="preserve">notamment </w:t>
      </w:r>
      <w:r w:rsidR="00F55334" w:rsidRPr="00E72418">
        <w:t>que l</w:t>
      </w:r>
      <w:r w:rsidR="007F2750" w:rsidRPr="00E72418">
        <w:t xml:space="preserve">e Fonds monétaire international note que ces législations </w:t>
      </w:r>
      <w:r w:rsidR="00483BE2" w:rsidRPr="00E72418">
        <w:t>peuvent venir</w:t>
      </w:r>
      <w:r w:rsidR="007F2750" w:rsidRPr="00E72418">
        <w:t xml:space="preserve"> compléter l’approche contractuelle des restructurations de dettes souveraines</w:t>
      </w:r>
      <w:r w:rsidR="007F2750" w:rsidRPr="00E72418">
        <w:rPr>
          <w:rStyle w:val="Appelnotedebasdep"/>
        </w:rPr>
        <w:footnoteReference w:id="2100"/>
      </w:r>
      <w:r w:rsidR="007F2750" w:rsidRPr="00E72418">
        <w:t>.</w:t>
      </w:r>
    </w:p>
    <w:p w14:paraId="7B831153" w14:textId="49565D78" w:rsidR="00693777" w:rsidRPr="00E72418" w:rsidRDefault="00693777" w:rsidP="00CC4BA8">
      <w:pPr>
        <w:spacing w:line="276" w:lineRule="auto"/>
      </w:pPr>
    </w:p>
    <w:p w14:paraId="114C90CD" w14:textId="77777777" w:rsidR="00765936" w:rsidRPr="00E72418" w:rsidRDefault="00765936" w:rsidP="00CC4BA8">
      <w:pPr>
        <w:spacing w:line="276" w:lineRule="auto"/>
      </w:pPr>
    </w:p>
    <w:p w14:paraId="4E02CFE2" w14:textId="7B2EE9AC" w:rsidR="00544C82" w:rsidRPr="00E72418" w:rsidRDefault="00544C82" w:rsidP="00CC4BA8">
      <w:pPr>
        <w:pStyle w:val="BB"/>
        <w:spacing w:line="276" w:lineRule="auto"/>
      </w:pPr>
      <w:bookmarkStart w:id="489" w:name="_Toc59281038"/>
      <w:bookmarkStart w:id="490" w:name="_Toc59789209"/>
      <w:bookmarkStart w:id="491" w:name="_Toc75106123"/>
      <w:bookmarkStart w:id="492" w:name="_Toc84541017"/>
      <w:r w:rsidRPr="00E72418">
        <w:t xml:space="preserve">Titre 2 : Les traits saillants à retenir et les écueils </w:t>
      </w:r>
      <w:r w:rsidR="004D56A8" w:rsidRPr="00E72418">
        <w:t>dont se garder</w:t>
      </w:r>
      <w:bookmarkEnd w:id="489"/>
      <w:bookmarkEnd w:id="490"/>
      <w:bookmarkEnd w:id="491"/>
      <w:bookmarkEnd w:id="492"/>
    </w:p>
    <w:p w14:paraId="5CEDF2CE" w14:textId="77777777" w:rsidR="00544C82" w:rsidRPr="00E72418" w:rsidRDefault="00544C82" w:rsidP="00CC4BA8">
      <w:pPr>
        <w:spacing w:line="276" w:lineRule="auto"/>
        <w:rPr>
          <w:b/>
        </w:rPr>
      </w:pPr>
    </w:p>
    <w:p w14:paraId="0F2F400E" w14:textId="61962F24" w:rsidR="009D4779" w:rsidRPr="00E72418" w:rsidRDefault="004469AC" w:rsidP="009D4779">
      <w:pPr>
        <w:spacing w:line="276" w:lineRule="auto"/>
        <w:rPr>
          <w:szCs w:val="24"/>
        </w:rPr>
      </w:pPr>
      <w:r w:rsidRPr="00E72418">
        <w:rPr>
          <w:b/>
        </w:rPr>
        <w:t>412</w:t>
      </w:r>
      <w:r w:rsidR="00817D62" w:rsidRPr="00E72418">
        <w:rPr>
          <w:b/>
        </w:rPr>
        <w:t xml:space="preserve">. </w:t>
      </w:r>
      <w:r w:rsidR="009D6179" w:rsidRPr="00E72418">
        <w:rPr>
          <w:b/>
        </w:rPr>
        <w:t xml:space="preserve">Un outil à facettes </w:t>
      </w:r>
      <w:r w:rsidR="009D6179" w:rsidRPr="00E72418">
        <w:rPr>
          <w:b/>
          <w:szCs w:val="24"/>
        </w:rPr>
        <w:t>–</w:t>
      </w:r>
      <w:r w:rsidR="009D6179" w:rsidRPr="00E72418">
        <w:rPr>
          <w:b/>
        </w:rPr>
        <w:t xml:space="preserve"> </w:t>
      </w:r>
      <w:r w:rsidR="00716904" w:rsidRPr="00E72418">
        <w:t xml:space="preserve">Ayant démontré l’opportunité de légiférer afin de maîtriser les activités spéculatives sur les dettes souveraines, il convient de préciser maintenant la </w:t>
      </w:r>
      <w:r w:rsidR="002F6C07" w:rsidRPr="00E72418">
        <w:t xml:space="preserve">teneur de la </w:t>
      </w:r>
      <w:r w:rsidR="00716904" w:rsidRPr="00E72418">
        <w:t xml:space="preserve">législation souhaitée. La nuance qu’appellent les particularités du phénomène étudié exige que la réglementation en projet soit caractérisée le plus précisément possible tant il est nécessaire de respecter les divers intérêts en jeu. Ainsi, </w:t>
      </w:r>
      <w:r w:rsidR="008A236B" w:rsidRPr="00E72418">
        <w:t xml:space="preserve">dans la poursuite de notre dessein régulateur, </w:t>
      </w:r>
      <w:r w:rsidR="00716904" w:rsidRPr="00E72418">
        <w:t>il est divers traits saillant</w:t>
      </w:r>
      <w:r w:rsidR="00B16E25" w:rsidRPr="00E72418">
        <w:t>s</w:t>
      </w:r>
      <w:r w:rsidR="00716904" w:rsidRPr="00E72418">
        <w:t xml:space="preserve"> à retenir tandis que certains écueils doivent être éviter.</w:t>
      </w:r>
      <w:r w:rsidR="008A236B" w:rsidRPr="00E72418">
        <w:t xml:space="preserve"> La nécessaire précision du mécanisme envisagé oblige à en définir son objet, son </w:t>
      </w:r>
      <w:r w:rsidR="008A236B" w:rsidRPr="00E72418">
        <w:rPr>
          <w:i/>
        </w:rPr>
        <w:t>modus operandi</w:t>
      </w:r>
      <w:r w:rsidR="009D4779" w:rsidRPr="00E72418">
        <w:t>,</w:t>
      </w:r>
      <w:r w:rsidR="009D4779" w:rsidRPr="00E72418">
        <w:rPr>
          <w:i/>
        </w:rPr>
        <w:t xml:space="preserve"> </w:t>
      </w:r>
      <w:r w:rsidR="009D4779" w:rsidRPr="00E72418">
        <w:t>ses destinataires</w:t>
      </w:r>
      <w:r w:rsidR="008A236B" w:rsidRPr="00E72418">
        <w:t xml:space="preserve"> et sa portée</w:t>
      </w:r>
      <w:r w:rsidR="009D4779" w:rsidRPr="00E72418">
        <w:t>. Cette précision passe par diverses limitations ayant trait notamment à la portée de la réclamation, aux acteurs concernés ou encore aux objets pouvant servir le désintéressement</w:t>
      </w:r>
      <w:r w:rsidR="00F15189" w:rsidRPr="00E72418">
        <w:t xml:space="preserve"> des créanciers.</w:t>
      </w:r>
    </w:p>
    <w:p w14:paraId="2C2814DD" w14:textId="37392DD3" w:rsidR="00667D0D" w:rsidRPr="00E72418" w:rsidRDefault="001914F1" w:rsidP="009D6179">
      <w:pPr>
        <w:spacing w:line="276" w:lineRule="auto"/>
      </w:pPr>
      <w:r w:rsidRPr="00E72418">
        <w:lastRenderedPageBreak/>
        <w:t xml:space="preserve">Si la tâche </w:t>
      </w:r>
      <w:r w:rsidR="009D4779" w:rsidRPr="00E72418">
        <w:t xml:space="preserve">prospective </w:t>
      </w:r>
      <w:r w:rsidRPr="00E72418">
        <w:t xml:space="preserve">est complexe, nous savons gré aux législateurs nationaux d’avoir </w:t>
      </w:r>
      <w:r w:rsidR="00766EF8" w:rsidRPr="00E72418">
        <w:t>nourri la réflexion par leurs tentative</w:t>
      </w:r>
      <w:r w:rsidR="00242481" w:rsidRPr="00E72418">
        <w:t>s</w:t>
      </w:r>
      <w:r w:rsidR="00766EF8" w:rsidRPr="00E72418">
        <w:t xml:space="preserve"> et concrétisations</w:t>
      </w:r>
      <w:r w:rsidR="00F04748" w:rsidRPr="00E72418">
        <w:rPr>
          <w:rStyle w:val="Appelnotedebasdep"/>
        </w:rPr>
        <w:footnoteReference w:id="2101"/>
      </w:r>
      <w:r w:rsidR="00766EF8" w:rsidRPr="00E72418">
        <w:t xml:space="preserve">. Ainsi, notre proposition se construit sur </w:t>
      </w:r>
      <w:r w:rsidR="008452F0" w:rsidRPr="00E72418">
        <w:t xml:space="preserve">la </w:t>
      </w:r>
      <w:r w:rsidR="00766EF8" w:rsidRPr="00E72418">
        <w:t>base d’éléments intéressants des législations étatsunienne, britannique, belge et française tandis qu’elle s’affranchit de ce qui nous paraît y poser problème.</w:t>
      </w:r>
      <w:r w:rsidR="004C4A8B" w:rsidRPr="00E72418">
        <w:t xml:space="preserve"> </w:t>
      </w:r>
      <w:r w:rsidR="00242481" w:rsidRPr="00E72418">
        <w:t>S’il est une chose qui est certaine, c’est que la nuance qu’impose la complexité de la question doit prévaloir (</w:t>
      </w:r>
      <w:r w:rsidR="00242481" w:rsidRPr="00E72418">
        <w:rPr>
          <w:b/>
        </w:rPr>
        <w:t>chapitre 1</w:t>
      </w:r>
      <w:r w:rsidR="00242481" w:rsidRPr="00E72418">
        <w:t>). Cette mesure convainc de l’opportunité de prévoir la limitation des réclamations formées par les fonds spéculatifs</w:t>
      </w:r>
      <w:r w:rsidR="002F6C07" w:rsidRPr="00E72418">
        <w:t>,</w:t>
      </w:r>
      <w:r w:rsidR="00242481" w:rsidRPr="00E72418">
        <w:t xml:space="preserve"> laquelle </w:t>
      </w:r>
      <w:r w:rsidR="002F6C07" w:rsidRPr="00E72418">
        <w:t xml:space="preserve">limitation </w:t>
      </w:r>
      <w:r w:rsidR="00242481" w:rsidRPr="00E72418">
        <w:t>doit être précisément calibrée (</w:t>
      </w:r>
      <w:r w:rsidR="00242481" w:rsidRPr="00E72418">
        <w:rPr>
          <w:b/>
        </w:rPr>
        <w:t>chapitre 2</w:t>
      </w:r>
      <w:r w:rsidR="00242481" w:rsidRPr="00E72418">
        <w:t xml:space="preserve">). Dès lors que </w:t>
      </w:r>
      <w:r w:rsidR="002F6C07" w:rsidRPr="00E72418">
        <w:t>cette dernière</w:t>
      </w:r>
      <w:r w:rsidR="00242481" w:rsidRPr="00E72418">
        <w:t xml:space="preserve"> vise à assurer que la spéculation ne se fasse pas au prix de la soutenabilité des dettes souveraines, il importe de préciser les acteurs et les dettes qui s</w:t>
      </w:r>
      <w:r w:rsidR="000B23A9" w:rsidRPr="00E72418">
        <w:t>’</w:t>
      </w:r>
      <w:r w:rsidR="00242481" w:rsidRPr="00E72418">
        <w:t>e</w:t>
      </w:r>
      <w:r w:rsidR="000B23A9" w:rsidRPr="00E72418">
        <w:t>n</w:t>
      </w:r>
      <w:r w:rsidR="00242481" w:rsidRPr="00E72418">
        <w:t xml:space="preserve"> trouvent concernés (</w:t>
      </w:r>
      <w:r w:rsidR="00242481" w:rsidRPr="00E72418">
        <w:rPr>
          <w:b/>
        </w:rPr>
        <w:t>chapitre 3</w:t>
      </w:r>
      <w:r w:rsidR="00242481" w:rsidRPr="00E72418">
        <w:t xml:space="preserve">). </w:t>
      </w:r>
      <w:r w:rsidR="004C4A8B" w:rsidRPr="00E72418">
        <w:t xml:space="preserve">Outre la </w:t>
      </w:r>
      <w:r w:rsidR="00242481" w:rsidRPr="00E72418">
        <w:t>réglementation</w:t>
      </w:r>
      <w:r w:rsidR="004C4A8B" w:rsidRPr="00E72418">
        <w:t xml:space="preserve"> des démarches visant la condamnation ou l’exécution d’une condamnation découlant d’un titre de dette souveraine, le contexte dans lequel ces démarches interviennent nous paraît pouvoir être amélior</w:t>
      </w:r>
      <w:r w:rsidR="00F15189" w:rsidRPr="00E72418">
        <w:t>é</w:t>
      </w:r>
      <w:r w:rsidR="004C4A8B" w:rsidRPr="00E72418">
        <w:t xml:space="preserve"> à certains égards que nous </w:t>
      </w:r>
      <w:r w:rsidR="00B96969">
        <w:t>présenterons</w:t>
      </w:r>
      <w:r w:rsidR="00242481" w:rsidRPr="00E72418">
        <w:t xml:space="preserve"> (</w:t>
      </w:r>
      <w:r w:rsidR="00242481" w:rsidRPr="00E72418">
        <w:rPr>
          <w:b/>
        </w:rPr>
        <w:t>chapitre 4</w:t>
      </w:r>
      <w:r w:rsidR="00242481" w:rsidRPr="00E72418">
        <w:t>)</w:t>
      </w:r>
      <w:r w:rsidR="004C4A8B" w:rsidRPr="00E72418">
        <w:t>.</w:t>
      </w:r>
    </w:p>
    <w:p w14:paraId="7B72E20A" w14:textId="77777777" w:rsidR="009D6179" w:rsidRPr="00E72418" w:rsidRDefault="009D6179" w:rsidP="00242481"/>
    <w:p w14:paraId="486C1721" w14:textId="33F80118" w:rsidR="009D6179" w:rsidRPr="00E72418" w:rsidRDefault="009D6179" w:rsidP="009D6179">
      <w:pPr>
        <w:pStyle w:val="CC"/>
        <w:spacing w:line="276" w:lineRule="auto"/>
      </w:pPr>
      <w:bookmarkStart w:id="493" w:name="_Toc75106124"/>
      <w:bookmarkStart w:id="494" w:name="_Toc84541018"/>
      <w:r w:rsidRPr="00E72418">
        <w:t>Chapitre 1 : Une appréhension de la nuance</w:t>
      </w:r>
      <w:bookmarkEnd w:id="493"/>
      <w:bookmarkEnd w:id="494"/>
      <w:r w:rsidRPr="00E72418">
        <w:t xml:space="preserve"> </w:t>
      </w:r>
    </w:p>
    <w:p w14:paraId="3C27EA41" w14:textId="77777777" w:rsidR="009D6179" w:rsidRPr="00E72418" w:rsidRDefault="009D6179" w:rsidP="00242481"/>
    <w:p w14:paraId="2F88C3A5" w14:textId="0867475C" w:rsidR="00544C82" w:rsidRPr="00E72418" w:rsidRDefault="004469AC" w:rsidP="00CC4BA8">
      <w:pPr>
        <w:spacing w:line="276" w:lineRule="auto"/>
      </w:pPr>
      <w:r w:rsidRPr="00E72418">
        <w:rPr>
          <w:b/>
        </w:rPr>
        <w:t>413</w:t>
      </w:r>
      <w:r w:rsidR="00817D62" w:rsidRPr="00E72418">
        <w:rPr>
          <w:b/>
        </w:rPr>
        <w:t xml:space="preserve">. </w:t>
      </w:r>
      <w:r w:rsidR="00FF6A0A" w:rsidRPr="00E72418">
        <w:rPr>
          <w:b/>
        </w:rPr>
        <w:t xml:space="preserve">Un impératif de </w:t>
      </w:r>
      <w:r w:rsidR="00544C82" w:rsidRPr="00E72418">
        <w:rPr>
          <w:b/>
        </w:rPr>
        <w:t xml:space="preserve">précision – </w:t>
      </w:r>
      <w:r w:rsidR="00544C82" w:rsidRPr="00E72418">
        <w:t xml:space="preserve">Quelles que soient les caractéristiques retenues comme utiles à la nécessaire </w:t>
      </w:r>
      <w:r w:rsidR="004F7711" w:rsidRPr="00E72418">
        <w:t xml:space="preserve">réglementation </w:t>
      </w:r>
      <w:r w:rsidR="00544C82" w:rsidRPr="00E72418">
        <w:t xml:space="preserve">des activités des fonds spéculant sur les dettes souveraines, il est une priorité fondamentale qu’est celle de la précision de celles-ci. S’il est important que la </w:t>
      </w:r>
      <w:r w:rsidR="004F7711" w:rsidRPr="00E72418">
        <w:t xml:space="preserve">réglementation </w:t>
      </w:r>
      <w:r w:rsidR="00544C82" w:rsidRPr="00E72418">
        <w:t xml:space="preserve">proposée soit correctement </w:t>
      </w:r>
      <w:r w:rsidR="00410AA1">
        <w:t>définie</w:t>
      </w:r>
      <w:r w:rsidR="00544C82" w:rsidRPr="00E72418">
        <w:t xml:space="preserve"> </w:t>
      </w:r>
      <w:r w:rsidR="00B96969">
        <w:t>afin d’éviter que l</w:t>
      </w:r>
      <w:r w:rsidR="00544C82" w:rsidRPr="00E72418">
        <w:t xml:space="preserve">es fonds </w:t>
      </w:r>
      <w:r w:rsidR="00B96969">
        <w:t xml:space="preserve">spéculatifs </w:t>
      </w:r>
      <w:r w:rsidR="00544C82" w:rsidRPr="00E72418">
        <w:t xml:space="preserve">à l’importante expertise reconnue ne puissent tirer profit de </w:t>
      </w:r>
      <w:r w:rsidR="002F6C07" w:rsidRPr="00E72418">
        <w:t>failles</w:t>
      </w:r>
      <w:r w:rsidR="00544C82" w:rsidRPr="00E72418">
        <w:t xml:space="preserve"> qu’ils y trouveraient</w:t>
      </w:r>
      <w:r w:rsidR="008C527E" w:rsidRPr="00E72418">
        <w:rPr>
          <w:rStyle w:val="Appelnotedebasdep"/>
        </w:rPr>
        <w:footnoteReference w:id="2102"/>
      </w:r>
      <w:r w:rsidR="00544C82" w:rsidRPr="00E72418">
        <w:t>, la précision des règles permet également d’assurer leur prévisibilité nécessaire au respect des droits des créanciers concernés</w:t>
      </w:r>
      <w:r w:rsidR="00544C82" w:rsidRPr="00E72418">
        <w:rPr>
          <w:rStyle w:val="Appelnotedebasdep"/>
        </w:rPr>
        <w:footnoteReference w:id="2103"/>
      </w:r>
      <w:r w:rsidR="00544C82" w:rsidRPr="00E72418">
        <w:t>.</w:t>
      </w:r>
      <w:r w:rsidR="006501BB" w:rsidRPr="00E72418">
        <w:t xml:space="preserve"> Dans son arrêt </w:t>
      </w:r>
      <w:r w:rsidR="006501BB" w:rsidRPr="00E72418">
        <w:rPr>
          <w:i/>
        </w:rPr>
        <w:t>Broniowski c. Pologne</w:t>
      </w:r>
      <w:r w:rsidR="006501BB" w:rsidRPr="00E72418">
        <w:t xml:space="preserve">, la Cour européenne </w:t>
      </w:r>
      <w:r w:rsidR="006501BB" w:rsidRPr="00E72418">
        <w:lastRenderedPageBreak/>
        <w:t xml:space="preserve">des droits de l’homme a ainsi </w:t>
      </w:r>
      <w:r w:rsidR="00A71494" w:rsidRPr="00E72418">
        <w:t>retenu qu’une ingérence de l’</w:t>
      </w:r>
      <w:r w:rsidR="006501BB" w:rsidRPr="00E72418">
        <w:t xml:space="preserve">autorité publique dans la jouissance du droit au respect des biens doit être légale et que le principe de légalité </w:t>
      </w:r>
      <w:r w:rsidR="00A71494" w:rsidRPr="00E72418">
        <w:t>présuppose l’</w:t>
      </w:r>
      <w:r w:rsidR="006501BB" w:rsidRPr="00E72418">
        <w:t>existence de normes suffisamment accessibles, précises et prévisibles dans leur application</w:t>
      </w:r>
      <w:r w:rsidR="006501BB" w:rsidRPr="00E72418">
        <w:rPr>
          <w:rStyle w:val="Appelnotedebasdep"/>
        </w:rPr>
        <w:footnoteReference w:id="2104"/>
      </w:r>
      <w:r w:rsidR="006501BB" w:rsidRPr="00E72418">
        <w:t>.</w:t>
      </w:r>
    </w:p>
    <w:p w14:paraId="41607E33" w14:textId="7FC49D80" w:rsidR="009D6179" w:rsidRPr="00E72418" w:rsidRDefault="009D6179" w:rsidP="00242481"/>
    <w:p w14:paraId="42FD871B" w14:textId="58FBA404" w:rsidR="00A66254" w:rsidRPr="00E72418" w:rsidRDefault="004469AC" w:rsidP="00E059D2">
      <w:pPr>
        <w:spacing w:line="276" w:lineRule="auto"/>
      </w:pPr>
      <w:r w:rsidRPr="00E72418">
        <w:rPr>
          <w:b/>
        </w:rPr>
        <w:t>414</w:t>
      </w:r>
      <w:r w:rsidR="00817D62" w:rsidRPr="00E72418">
        <w:rPr>
          <w:b/>
        </w:rPr>
        <w:t xml:space="preserve">. </w:t>
      </w:r>
      <w:r w:rsidR="00E059D2" w:rsidRPr="00E72418">
        <w:rPr>
          <w:b/>
        </w:rPr>
        <w:t xml:space="preserve">Une validation judiciaire préalable </w:t>
      </w:r>
      <w:r w:rsidR="00E059D2" w:rsidRPr="00E72418">
        <w:rPr>
          <w:b/>
          <w:szCs w:val="24"/>
        </w:rPr>
        <w:t xml:space="preserve">– </w:t>
      </w:r>
      <w:r w:rsidR="00E059D2" w:rsidRPr="00E72418">
        <w:t>L’importance des enjeux entourant les dettes souveraines et la s</w:t>
      </w:r>
      <w:r w:rsidR="00B96969">
        <w:t>péculation sur celles-ci convainc</w:t>
      </w:r>
      <w:r w:rsidR="00E059D2" w:rsidRPr="00E72418">
        <w:t xml:space="preserve"> de l’opportunité </w:t>
      </w:r>
      <w:r w:rsidR="00B1638C" w:rsidRPr="00E72418">
        <w:t>d’un passage par le juge judiciaire afin f</w:t>
      </w:r>
      <w:r w:rsidR="00E059D2" w:rsidRPr="00E72418">
        <w:t xml:space="preserve">aire valider </w:t>
      </w:r>
      <w:r w:rsidR="00B1638C" w:rsidRPr="00E72418">
        <w:t xml:space="preserve">préalablement </w:t>
      </w:r>
      <w:r w:rsidR="00E059D2" w:rsidRPr="00E72418">
        <w:t>toute démarche visant</w:t>
      </w:r>
      <w:r w:rsidR="00C17CDE" w:rsidRPr="00E72418">
        <w:t xml:space="preserve"> la condamnation ou l’exécution</w:t>
      </w:r>
      <w:r w:rsidR="00E059D2" w:rsidRPr="00E72418">
        <w:t xml:space="preserve"> d’une condamnation découlant d’un titre de dette. L’exigence d’une validation judiciaire préalable à toute action permet d’assurer une prise en compte des particularités de l’affaire.</w:t>
      </w:r>
      <w:r w:rsidR="00917E0A" w:rsidRPr="00E72418">
        <w:t xml:space="preserve"> Aussi, afin d’assurer la cohérence de la jurisprudence et la parfaite expertise des magistrats saisis de cette matière complexe, il nous paraît indiqué de concentrer les litiges devant une juridiction spécialement désignée</w:t>
      </w:r>
      <w:r w:rsidR="00917E0A" w:rsidRPr="00E72418">
        <w:rPr>
          <w:rStyle w:val="Appelnotedebasdep"/>
        </w:rPr>
        <w:footnoteReference w:id="2105"/>
      </w:r>
      <w:r w:rsidR="00917E0A" w:rsidRPr="00E72418">
        <w:t>.</w:t>
      </w:r>
    </w:p>
    <w:p w14:paraId="27CF006B" w14:textId="14DF4C08" w:rsidR="00D823D3" w:rsidRPr="00E72418" w:rsidRDefault="00B1638C" w:rsidP="00E059D2">
      <w:pPr>
        <w:spacing w:line="276" w:lineRule="auto"/>
      </w:pPr>
      <w:r w:rsidRPr="00E72418">
        <w:t>Nous sommes d’avis que la procédure judiciaire doit</w:t>
      </w:r>
      <w:r w:rsidR="00232E41" w:rsidRPr="00E72418">
        <w:t>,</w:t>
      </w:r>
      <w:r w:rsidRPr="00E72418">
        <w:t xml:space="preserve"> </w:t>
      </w:r>
      <w:r w:rsidRPr="00E72418">
        <w:rPr>
          <w:i/>
        </w:rPr>
        <w:t>a priori</w:t>
      </w:r>
      <w:r w:rsidRPr="00E72418">
        <w:t xml:space="preserve"> et par principe</w:t>
      </w:r>
      <w:r w:rsidR="00232E41" w:rsidRPr="00E72418">
        <w:t>,</w:t>
      </w:r>
      <w:r w:rsidRPr="00E72418">
        <w:t xml:space="preserve"> être menée de manière </w:t>
      </w:r>
      <w:r w:rsidR="00232E41" w:rsidRPr="00E72418">
        <w:t>contradictoire</w:t>
      </w:r>
      <w:r w:rsidRPr="00E72418">
        <w:t xml:space="preserve"> sauf cas particulier où le créancier pourrait justifier le recours à une procédure sur requête unilatérale. </w:t>
      </w:r>
      <w:r w:rsidR="00D823D3" w:rsidRPr="00E72418">
        <w:t>Les arguments de la rapidité et de l’</w:t>
      </w:r>
      <w:r w:rsidR="00D823D3" w:rsidRPr="00E72418">
        <w:rPr>
          <w:szCs w:val="20"/>
        </w:rPr>
        <w:t>effet de surprise</w:t>
      </w:r>
      <w:r w:rsidR="003A3824" w:rsidRPr="00E72418">
        <w:rPr>
          <w:szCs w:val="20"/>
        </w:rPr>
        <w:t xml:space="preserve"> avancés par le législateur français à l’appui de son recours à une</w:t>
      </w:r>
      <w:r w:rsidR="00D823D3" w:rsidRPr="00E72418">
        <w:t xml:space="preserve"> « </w:t>
      </w:r>
      <w:r w:rsidR="00D823D3" w:rsidRPr="00E72418">
        <w:rPr>
          <w:shd w:val="clear" w:color="auto" w:fill="FFFFFF"/>
        </w:rPr>
        <w:t>autorisation préalable du juge par ordonnance rendue sur requête »</w:t>
      </w:r>
      <w:r w:rsidR="003A3824" w:rsidRPr="00E72418">
        <w:rPr>
          <w:rStyle w:val="Appelnotedebasdep"/>
        </w:rPr>
        <w:footnoteReference w:id="2106"/>
      </w:r>
      <w:r w:rsidR="00D823D3" w:rsidRPr="00E72418">
        <w:rPr>
          <w:shd w:val="clear" w:color="auto" w:fill="FFFFFF"/>
        </w:rPr>
        <w:t xml:space="preserve"> </w:t>
      </w:r>
      <w:r w:rsidR="00D823D3" w:rsidRPr="00E72418">
        <w:t>ne nous paraissent pas justifier une entorse au principe du contradictoire qui vaille dans tous les cas. D’autres arguments tels</w:t>
      </w:r>
      <w:r w:rsidR="00232E41" w:rsidRPr="00E72418">
        <w:t xml:space="preserve"> que</w:t>
      </w:r>
      <w:r w:rsidR="00D823D3" w:rsidRPr="00E72418">
        <w:t xml:space="preserve"> la crédibilité du débiteur souverain ou la déférence qu’il porte à l’égard des juridictions de l’</w:t>
      </w:r>
      <w:r w:rsidR="003A3824" w:rsidRPr="00E72418">
        <w:rPr>
          <w:lang w:eastAsia="fr-BE"/>
        </w:rPr>
        <w:t>É</w:t>
      </w:r>
      <w:r w:rsidR="00D823D3" w:rsidRPr="00E72418">
        <w:t xml:space="preserve">tat du for peuvent assurer qu’il ne cherchera pas à soustraire ses biens à une condamnation </w:t>
      </w:r>
      <w:r w:rsidR="003A3824" w:rsidRPr="00E72418">
        <w:t>potentielle</w:t>
      </w:r>
      <w:r w:rsidR="00D823D3" w:rsidRPr="00E72418">
        <w:t xml:space="preserve">. </w:t>
      </w:r>
      <w:r w:rsidR="003A3824" w:rsidRPr="00E72418">
        <w:rPr>
          <w:lang w:eastAsia="fr-BE"/>
        </w:rPr>
        <w:t>É</w:t>
      </w:r>
      <w:r w:rsidR="00D823D3" w:rsidRPr="00E72418">
        <w:t xml:space="preserve">videmment, si le créancier </w:t>
      </w:r>
      <w:r w:rsidR="003A3824" w:rsidRPr="00E72418">
        <w:t>est en mesure de</w:t>
      </w:r>
      <w:r w:rsidR="00D823D3" w:rsidRPr="00E72418">
        <w:t xml:space="preserve"> démontrer qu’une telle assurance n’est pas acquise</w:t>
      </w:r>
      <w:r w:rsidR="003A3824" w:rsidRPr="00E72418">
        <w:t xml:space="preserve"> ou qu’une autre</w:t>
      </w:r>
      <w:r w:rsidR="00232E41" w:rsidRPr="00E72418">
        <w:t xml:space="preserve"> cause d’</w:t>
      </w:r>
      <w:r w:rsidR="003A3824" w:rsidRPr="00E72418">
        <w:t>absolue nécessité existe</w:t>
      </w:r>
      <w:r w:rsidR="00D823D3" w:rsidRPr="00E72418">
        <w:t xml:space="preserve">, </w:t>
      </w:r>
      <w:r w:rsidR="00232E41" w:rsidRPr="00E72418">
        <w:t>il ne pourrait être empêché</w:t>
      </w:r>
      <w:r w:rsidR="00D823D3" w:rsidRPr="00E72418">
        <w:t xml:space="preserve"> de recourir à une procédure unilatérale.</w:t>
      </w:r>
    </w:p>
    <w:p w14:paraId="2211FFA0" w14:textId="52BBA807" w:rsidR="007938BE" w:rsidRPr="00E72418" w:rsidRDefault="00A66254" w:rsidP="00E059D2">
      <w:pPr>
        <w:spacing w:line="276" w:lineRule="auto"/>
      </w:pPr>
      <w:r w:rsidRPr="00E72418">
        <w:t>Dès lors que, nous l’a</w:t>
      </w:r>
      <w:r w:rsidR="00F62FD7" w:rsidRPr="00E72418">
        <w:t xml:space="preserve">vons vu, les </w:t>
      </w:r>
      <w:r w:rsidR="00F62FD7" w:rsidRPr="00E72418">
        <w:rPr>
          <w:lang w:eastAsia="fr-BE"/>
        </w:rPr>
        <w:t>É</w:t>
      </w:r>
      <w:r w:rsidRPr="00E72418">
        <w:t>tats débiteurs ne disposent pas toujours des ressources leur permettant une réactivité aux actions judiciaire</w:t>
      </w:r>
      <w:r w:rsidR="00557743" w:rsidRPr="00E72418">
        <w:t>s</w:t>
      </w:r>
      <w:r w:rsidRPr="00E72418">
        <w:t xml:space="preserve"> entamées à leur encontre, il apparaît utile de prévoir, comme ce fut le cas dans la proposition de législation ayant précédé le </w:t>
      </w:r>
      <w:r w:rsidRPr="00E72418">
        <w:rPr>
          <w:i/>
        </w:rPr>
        <w:t>Debt Relief (Developing Countries) Act</w:t>
      </w:r>
      <w:r w:rsidRPr="00E72418">
        <w:t xml:space="preserve"> britannique, que </w:t>
      </w:r>
      <w:r w:rsidRPr="00E72418">
        <w:rPr>
          <w:szCs w:val="20"/>
        </w:rPr>
        <w:t xml:space="preserve">des copies de la demande </w:t>
      </w:r>
      <w:r w:rsidR="006910C5" w:rsidRPr="00E72418">
        <w:rPr>
          <w:szCs w:val="20"/>
        </w:rPr>
        <w:t>de validation judiciaire</w:t>
      </w:r>
      <w:r w:rsidRPr="00E72418">
        <w:rPr>
          <w:szCs w:val="20"/>
        </w:rPr>
        <w:t xml:space="preserve"> </w:t>
      </w:r>
      <w:r w:rsidR="00CF4231" w:rsidRPr="00E72418">
        <w:rPr>
          <w:szCs w:val="20"/>
        </w:rPr>
        <w:t>soient</w:t>
      </w:r>
      <w:r w:rsidRPr="00E72418">
        <w:rPr>
          <w:szCs w:val="20"/>
        </w:rPr>
        <w:t xml:space="preserve"> envoyées par le créancier à l’agent diplomatique de l’</w:t>
      </w:r>
      <w:r w:rsidRPr="00E72418">
        <w:rPr>
          <w:szCs w:val="20"/>
          <w:lang w:eastAsia="fr-BE"/>
        </w:rPr>
        <w:t>É</w:t>
      </w:r>
      <w:r w:rsidRPr="00E72418">
        <w:rPr>
          <w:szCs w:val="20"/>
        </w:rPr>
        <w:t>tat débiteur dans le pays où les démarches sont entamées</w:t>
      </w:r>
      <w:r w:rsidRPr="00E72418">
        <w:rPr>
          <w:rStyle w:val="Appelnotedebasdep"/>
          <w:szCs w:val="20"/>
        </w:rPr>
        <w:footnoteReference w:id="2107"/>
      </w:r>
      <w:r w:rsidRPr="00E72418">
        <w:rPr>
          <w:szCs w:val="20"/>
        </w:rPr>
        <w:t>.</w:t>
      </w:r>
      <w:r w:rsidR="006910C5" w:rsidRPr="00E72418">
        <w:rPr>
          <w:szCs w:val="20"/>
        </w:rPr>
        <w:t xml:space="preserve"> Pour la parfaite information du débiteur souverain, il est utile d’également prévoir qu’une copie de la </w:t>
      </w:r>
      <w:r w:rsidR="00B96969">
        <w:rPr>
          <w:szCs w:val="20"/>
        </w:rPr>
        <w:t>réglementation envisagée</w:t>
      </w:r>
      <w:r w:rsidR="006910C5" w:rsidRPr="00E72418">
        <w:rPr>
          <w:szCs w:val="20"/>
        </w:rPr>
        <w:t xml:space="preserve"> y soit jointe.</w:t>
      </w:r>
    </w:p>
    <w:p w14:paraId="7A6BC3AB" w14:textId="593E1E88" w:rsidR="005F6B5A" w:rsidRPr="00E72418" w:rsidRDefault="005F6B5A" w:rsidP="00242481"/>
    <w:p w14:paraId="514EFF99" w14:textId="40C936B9" w:rsidR="00544C82" w:rsidRPr="00E72418" w:rsidRDefault="00544C82" w:rsidP="00CC4BA8">
      <w:pPr>
        <w:pStyle w:val="CC"/>
        <w:spacing w:line="276" w:lineRule="auto"/>
      </w:pPr>
      <w:bookmarkStart w:id="495" w:name="_Toc59281044"/>
      <w:bookmarkStart w:id="496" w:name="_Toc59789210"/>
      <w:bookmarkStart w:id="497" w:name="_Toc75106125"/>
      <w:bookmarkStart w:id="498" w:name="_Toc84541019"/>
      <w:r w:rsidRPr="00E72418">
        <w:t>C</w:t>
      </w:r>
      <w:r w:rsidR="009D6179" w:rsidRPr="00E72418">
        <w:t>hapitre 2</w:t>
      </w:r>
      <w:r w:rsidRPr="00E72418">
        <w:t> : La limitation des réclamations</w:t>
      </w:r>
      <w:bookmarkEnd w:id="495"/>
      <w:bookmarkEnd w:id="496"/>
      <w:bookmarkEnd w:id="497"/>
      <w:bookmarkEnd w:id="498"/>
      <w:r w:rsidRPr="00E72418">
        <w:t xml:space="preserve"> </w:t>
      </w:r>
    </w:p>
    <w:p w14:paraId="5EB06A32" w14:textId="77777777" w:rsidR="00544C82" w:rsidRPr="00E72418" w:rsidRDefault="00544C82" w:rsidP="00242481"/>
    <w:p w14:paraId="547A2C4E" w14:textId="12F7EC3A" w:rsidR="00D32C54" w:rsidRPr="00E72418" w:rsidRDefault="00573FA9" w:rsidP="00CC4BA8">
      <w:pPr>
        <w:spacing w:line="276" w:lineRule="auto"/>
        <w:rPr>
          <w:szCs w:val="24"/>
        </w:rPr>
      </w:pPr>
      <w:r>
        <w:rPr>
          <w:b/>
          <w:szCs w:val="24"/>
        </w:rPr>
        <w:t>415</w:t>
      </w:r>
      <w:r w:rsidR="00817D62" w:rsidRPr="00E72418">
        <w:rPr>
          <w:b/>
          <w:szCs w:val="24"/>
        </w:rPr>
        <w:t xml:space="preserve">. </w:t>
      </w:r>
      <w:r w:rsidR="00544C82" w:rsidRPr="00E72418">
        <w:rPr>
          <w:b/>
          <w:szCs w:val="24"/>
        </w:rPr>
        <w:t>La limitation plutôt que l’interdiction –</w:t>
      </w:r>
      <w:r w:rsidR="00544C82" w:rsidRPr="00E72418">
        <w:rPr>
          <w:szCs w:val="24"/>
        </w:rPr>
        <w:t xml:space="preserve"> Sans restriction</w:t>
      </w:r>
      <w:r w:rsidR="004E0951" w:rsidRPr="00E72418">
        <w:rPr>
          <w:szCs w:val="24"/>
        </w:rPr>
        <w:t>s</w:t>
      </w:r>
      <w:r w:rsidR="00544C82" w:rsidRPr="00E72418">
        <w:rPr>
          <w:szCs w:val="24"/>
        </w:rPr>
        <w:t xml:space="preserve"> posée</w:t>
      </w:r>
      <w:r w:rsidR="004E0951" w:rsidRPr="00E72418">
        <w:rPr>
          <w:szCs w:val="24"/>
        </w:rPr>
        <w:t>s</w:t>
      </w:r>
      <w:r w:rsidR="00544C82" w:rsidRPr="00E72418">
        <w:rPr>
          <w:szCs w:val="24"/>
        </w:rPr>
        <w:t xml:space="preserve"> aux réclamations des fonds spéculant sur les dettes souveraines</w:t>
      </w:r>
      <w:r w:rsidR="00A71494" w:rsidRPr="00E72418">
        <w:rPr>
          <w:szCs w:val="24"/>
        </w:rPr>
        <w:t xml:space="preserve"> portées en justice</w:t>
      </w:r>
      <w:r w:rsidR="00544C82" w:rsidRPr="00E72418">
        <w:rPr>
          <w:szCs w:val="24"/>
        </w:rPr>
        <w:t xml:space="preserve">, l’on constate que les </w:t>
      </w:r>
      <w:r w:rsidR="00544C82" w:rsidRPr="00E72418">
        <w:rPr>
          <w:szCs w:val="24"/>
        </w:rPr>
        <w:lastRenderedPageBreak/>
        <w:t xml:space="preserve">condamnations intervenant dans les contentieux les impliquant ont tendance à être </w:t>
      </w:r>
      <w:r w:rsidR="00077C2C" w:rsidRPr="00E72418">
        <w:rPr>
          <w:szCs w:val="24"/>
        </w:rPr>
        <w:t xml:space="preserve">fort </w:t>
      </w:r>
      <w:r w:rsidR="00544C82" w:rsidRPr="00E72418">
        <w:rPr>
          <w:szCs w:val="24"/>
        </w:rPr>
        <w:t>importantes au regard du montant initialement investi par ces fonds</w:t>
      </w:r>
      <w:r w:rsidR="00544C82" w:rsidRPr="00E72418">
        <w:rPr>
          <w:rStyle w:val="Appelnotedebasdep"/>
          <w:rFonts w:cs="Times New Roman"/>
          <w:szCs w:val="24"/>
        </w:rPr>
        <w:footnoteReference w:id="2108"/>
      </w:r>
      <w:r w:rsidR="00544C82" w:rsidRPr="00E72418">
        <w:rPr>
          <w:szCs w:val="24"/>
        </w:rPr>
        <w:t xml:space="preserve">. Il </w:t>
      </w:r>
      <w:r w:rsidR="00A71494" w:rsidRPr="00E72418">
        <w:rPr>
          <w:szCs w:val="24"/>
        </w:rPr>
        <w:t xml:space="preserve">nous </w:t>
      </w:r>
      <w:r w:rsidR="00544C82" w:rsidRPr="00E72418">
        <w:rPr>
          <w:szCs w:val="24"/>
        </w:rPr>
        <w:t>apparaît ainsi opportun que l</w:t>
      </w:r>
      <w:r w:rsidR="00A71494" w:rsidRPr="00E72418">
        <w:rPr>
          <w:szCs w:val="24"/>
        </w:rPr>
        <w:t>a</w:t>
      </w:r>
      <w:r w:rsidR="00544C82" w:rsidRPr="00E72418">
        <w:rPr>
          <w:szCs w:val="24"/>
        </w:rPr>
        <w:t xml:space="preserve"> </w:t>
      </w:r>
      <w:r w:rsidR="00D84FB8" w:rsidRPr="00E72418">
        <w:rPr>
          <w:szCs w:val="24"/>
        </w:rPr>
        <w:t xml:space="preserve">loi </w:t>
      </w:r>
      <w:r w:rsidR="00557743" w:rsidRPr="00E72418">
        <w:rPr>
          <w:szCs w:val="24"/>
        </w:rPr>
        <w:t>envisagée</w:t>
      </w:r>
      <w:r w:rsidR="00544C82" w:rsidRPr="00E72418">
        <w:rPr>
          <w:szCs w:val="24"/>
        </w:rPr>
        <w:t xml:space="preserve"> </w:t>
      </w:r>
      <w:r w:rsidR="00A71494" w:rsidRPr="00E72418">
        <w:rPr>
          <w:szCs w:val="24"/>
        </w:rPr>
        <w:t xml:space="preserve">modère </w:t>
      </w:r>
      <w:r w:rsidR="00544C82" w:rsidRPr="00E72418">
        <w:rPr>
          <w:szCs w:val="24"/>
        </w:rPr>
        <w:t xml:space="preserve">leurs </w:t>
      </w:r>
      <w:r w:rsidR="00D32C54" w:rsidRPr="00E72418">
        <w:rPr>
          <w:szCs w:val="24"/>
        </w:rPr>
        <w:t>ardeurs</w:t>
      </w:r>
      <w:r w:rsidR="00544C82" w:rsidRPr="00E72418">
        <w:rPr>
          <w:szCs w:val="24"/>
        </w:rPr>
        <w:t xml:space="preserve">. </w:t>
      </w:r>
    </w:p>
    <w:p w14:paraId="24AA9A00" w14:textId="13695897" w:rsidR="00544C82" w:rsidRPr="00E72418" w:rsidRDefault="00557743" w:rsidP="00CC4BA8">
      <w:pPr>
        <w:spacing w:line="276" w:lineRule="auto"/>
      </w:pPr>
      <w:r w:rsidRPr="00E72418">
        <w:t>La voie de la modération doit être préférée à celle de l’interdiction puisqu’e</w:t>
      </w:r>
      <w:r w:rsidR="00544C82" w:rsidRPr="00E72418">
        <w:t xml:space="preserve">n retirant </w:t>
      </w:r>
      <w:r w:rsidR="00E2175A" w:rsidRPr="00E72418">
        <w:t xml:space="preserve">complètement </w:t>
      </w:r>
      <w:r w:rsidR="00544C82" w:rsidRPr="00E72418">
        <w:t>la possibilité pour les créanciers de poursuivre l</w:t>
      </w:r>
      <w:r w:rsidR="00410AA1">
        <w:t>e paiement des titres qu’ils détiennent</w:t>
      </w:r>
      <w:r w:rsidR="00544C82" w:rsidRPr="00E72418">
        <w:t xml:space="preserve">, </w:t>
      </w:r>
      <w:r w:rsidR="00E2175A" w:rsidRPr="00E72418">
        <w:t>le risque est considérable de</w:t>
      </w:r>
      <w:r w:rsidR="00544C82" w:rsidRPr="00E72418">
        <w:t xml:space="preserve"> perturber le marché des dettes souveraines dès lors que les créanciers secondaires seront moins enclins à s’y engager</w:t>
      </w:r>
      <w:r w:rsidR="00544C82" w:rsidRPr="00E72418">
        <w:rPr>
          <w:rStyle w:val="Appelnotedebasdep"/>
          <w:rFonts w:cs="Times New Roman"/>
          <w:szCs w:val="24"/>
        </w:rPr>
        <w:footnoteReference w:id="2109"/>
      </w:r>
      <w:r w:rsidR="00544C82" w:rsidRPr="00E72418">
        <w:t>. Pourtant, il n’est pas souhaitable que ceux-ci</w:t>
      </w:r>
      <w:r w:rsidR="00B86FA7" w:rsidRPr="00E72418">
        <w:t xml:space="preserve"> </w:t>
      </w:r>
      <w:r w:rsidR="008F42F8">
        <w:t>s’en dégagent</w:t>
      </w:r>
      <w:r w:rsidR="00544C82" w:rsidRPr="00E72418">
        <w:t xml:space="preserve"> purement et simplement </w:t>
      </w:r>
      <w:r w:rsidRPr="00E72418">
        <w:t>quan</w:t>
      </w:r>
      <w:r w:rsidR="009E4F86" w:rsidRPr="00E72418">
        <w:t xml:space="preserve">d on sait le besoin qu’ont les </w:t>
      </w:r>
      <w:r w:rsidR="009E4F86" w:rsidRPr="00E72418">
        <w:rPr>
          <w:lang w:eastAsia="fr-BE"/>
        </w:rPr>
        <w:t>É</w:t>
      </w:r>
      <w:r w:rsidRPr="00E72418">
        <w:t xml:space="preserve">tats </w:t>
      </w:r>
      <w:r w:rsidR="00410AA1">
        <w:t>d’avoir recours aux</w:t>
      </w:r>
      <w:r w:rsidRPr="00E72418">
        <w:t xml:space="preserve"> marchés financiers</w:t>
      </w:r>
      <w:r w:rsidRPr="00E72418">
        <w:rPr>
          <w:rStyle w:val="Appelnotedebasdep"/>
        </w:rPr>
        <w:footnoteReference w:id="2110"/>
      </w:r>
      <w:r w:rsidRPr="00E72418">
        <w:t xml:space="preserve">. </w:t>
      </w:r>
      <w:r w:rsidR="00B86FA7" w:rsidRPr="00E72418">
        <w:t xml:space="preserve">L’on ne saurait davantage souhaiter la disparition des investisseurs sur le marché secondaire de la dette et, à plus forte raison, les spéculateurs </w:t>
      </w:r>
      <w:r w:rsidR="00544C82" w:rsidRPr="00E72418">
        <w:t xml:space="preserve">tant </w:t>
      </w:r>
      <w:r w:rsidR="00620D80" w:rsidRPr="00E72418">
        <w:t xml:space="preserve">on ne </w:t>
      </w:r>
      <w:r w:rsidR="00B86FA7" w:rsidRPr="00E72418">
        <w:t xml:space="preserve">peut </w:t>
      </w:r>
      <w:r w:rsidR="00620D80" w:rsidRPr="00E72418">
        <w:t>négliger la liquidité, et par conséquent la réduction du coût du capital, qu’ils permettent, d’une part</w:t>
      </w:r>
      <w:r w:rsidR="00620D80" w:rsidRPr="00E72418">
        <w:rPr>
          <w:rStyle w:val="Appelnotedebasdep"/>
        </w:rPr>
        <w:footnoteReference w:id="2111"/>
      </w:r>
      <w:r w:rsidR="00620D80" w:rsidRPr="00E72418">
        <w:t>, la surveillance des débiteurs souverains qu’ils assurent, d’autre part</w:t>
      </w:r>
      <w:r w:rsidR="00620D80" w:rsidRPr="00E72418">
        <w:rPr>
          <w:rStyle w:val="Appelnotedebasdep"/>
        </w:rPr>
        <w:footnoteReference w:id="2112"/>
      </w:r>
      <w:r w:rsidR="00544C82" w:rsidRPr="00E72418">
        <w:t>.</w:t>
      </w:r>
      <w:r w:rsidR="00B86FA7" w:rsidRPr="00E72418">
        <w:t xml:space="preserve"> Par ailleurs</w:t>
      </w:r>
      <w:r w:rsidR="00544C82" w:rsidRPr="00E72418">
        <w:rPr>
          <w:bCs/>
          <w:szCs w:val="24"/>
        </w:rPr>
        <w:t xml:space="preserve">, la préférence de la limitation à l’interdiction se concilie mieux avec le respect dû au droit de propriété des créanciers. </w:t>
      </w:r>
    </w:p>
    <w:p w14:paraId="38A5C4CB" w14:textId="0A9521B1" w:rsidR="00620D80" w:rsidRPr="00E72418" w:rsidRDefault="00B86FA7" w:rsidP="00CC4BA8">
      <w:pPr>
        <w:spacing w:line="276" w:lineRule="auto"/>
      </w:pPr>
      <w:r w:rsidRPr="00E72418">
        <w:rPr>
          <w:szCs w:val="24"/>
        </w:rPr>
        <w:t>Pour toutes ces raisons, n</w:t>
      </w:r>
      <w:r w:rsidR="00544C82" w:rsidRPr="00E72418">
        <w:rPr>
          <w:szCs w:val="24"/>
        </w:rPr>
        <w:t xml:space="preserve">ous ne partageons pas l’avis du Comité consultatif du Conseil des droits de l’homme qui recommande que </w:t>
      </w:r>
      <w:r w:rsidR="00544C82" w:rsidRPr="00E72418">
        <w:rPr>
          <w:bCs/>
          <w:szCs w:val="24"/>
        </w:rPr>
        <w:t>les réclamations dont le montant est manifestement disproportionné par rapport au montant déboursé pour racheter des titres de dette souveraine ne soient pas examinées</w:t>
      </w:r>
      <w:r w:rsidRPr="00E72418">
        <w:rPr>
          <w:bCs/>
          <w:szCs w:val="24"/>
        </w:rPr>
        <w:t xml:space="preserve">, ni qu’effet soit donné à des décisions </w:t>
      </w:r>
      <w:r w:rsidR="00401048" w:rsidRPr="00E72418">
        <w:rPr>
          <w:bCs/>
          <w:szCs w:val="24"/>
        </w:rPr>
        <w:t>rendues</w:t>
      </w:r>
      <w:r w:rsidRPr="00E72418">
        <w:rPr>
          <w:bCs/>
          <w:szCs w:val="24"/>
        </w:rPr>
        <w:t xml:space="preserve"> dans ce sens</w:t>
      </w:r>
      <w:r w:rsidR="00544C82" w:rsidRPr="00E72418">
        <w:rPr>
          <w:rStyle w:val="Appelnotedebasdep"/>
          <w:bCs/>
          <w:szCs w:val="24"/>
        </w:rPr>
        <w:footnoteReference w:id="2113"/>
      </w:r>
      <w:r w:rsidR="00544C82" w:rsidRPr="00E72418">
        <w:t xml:space="preserve">. </w:t>
      </w:r>
    </w:p>
    <w:p w14:paraId="33126EAF" w14:textId="77777777" w:rsidR="00217231" w:rsidRPr="00E72418" w:rsidRDefault="00217231" w:rsidP="00CC4BA8">
      <w:pPr>
        <w:spacing w:line="276" w:lineRule="auto"/>
      </w:pPr>
    </w:p>
    <w:p w14:paraId="586EE522" w14:textId="6488BC13" w:rsidR="00BE7756" w:rsidRPr="00E72418" w:rsidRDefault="00712571" w:rsidP="00CC4BA8">
      <w:pPr>
        <w:spacing w:line="276" w:lineRule="auto"/>
      </w:pPr>
      <w:r w:rsidRPr="00E72418">
        <w:rPr>
          <w:b/>
        </w:rPr>
        <w:t>41</w:t>
      </w:r>
      <w:r w:rsidR="00573FA9">
        <w:rPr>
          <w:b/>
        </w:rPr>
        <w:t>6</w:t>
      </w:r>
      <w:r w:rsidR="00817D62" w:rsidRPr="00E72418">
        <w:rPr>
          <w:b/>
        </w:rPr>
        <w:t xml:space="preserve">. </w:t>
      </w:r>
      <w:r w:rsidR="00217231" w:rsidRPr="00E72418">
        <w:rPr>
          <w:b/>
        </w:rPr>
        <w:t>La condamnation et l’exécution</w:t>
      </w:r>
      <w:r w:rsidR="003D1D05" w:rsidRPr="00E72418">
        <w:rPr>
          <w:b/>
        </w:rPr>
        <w:t xml:space="preserve"> contestées</w:t>
      </w:r>
      <w:r w:rsidR="00217231" w:rsidRPr="00E72418">
        <w:rPr>
          <w:b/>
        </w:rPr>
        <w:t xml:space="preserve"> – </w:t>
      </w:r>
      <w:r w:rsidR="00544C82" w:rsidRPr="00E72418">
        <w:t xml:space="preserve">À notre </w:t>
      </w:r>
      <w:r w:rsidR="00620D80" w:rsidRPr="00E72418">
        <w:t>estime</w:t>
      </w:r>
      <w:r w:rsidR="00544C82" w:rsidRPr="00E72418">
        <w:t xml:space="preserve">, la limitation des prétentions doit valoir </w:t>
      </w:r>
      <w:r w:rsidR="00FF6A0A" w:rsidRPr="00E72418">
        <w:t>tant dans la situation où</w:t>
      </w:r>
      <w:r w:rsidR="00544C82" w:rsidRPr="00E72418">
        <w:t xml:space="preserve"> la </w:t>
      </w:r>
      <w:r w:rsidR="00FF6A0A" w:rsidRPr="00E72418">
        <w:t>saisine des juridictions l’est</w:t>
      </w:r>
      <w:r w:rsidR="00544C82" w:rsidRPr="00E72418">
        <w:t xml:space="preserve"> aux fins de condamnation </w:t>
      </w:r>
      <w:r w:rsidR="00FF6A0A" w:rsidRPr="00E72418">
        <w:t xml:space="preserve">que dans la situation où elle l’est </w:t>
      </w:r>
      <w:r w:rsidR="006A173A">
        <w:t xml:space="preserve">afin de faire exécuter </w:t>
      </w:r>
      <w:r w:rsidR="00544C82" w:rsidRPr="00E72418">
        <w:t xml:space="preserve">une </w:t>
      </w:r>
      <w:r w:rsidR="000B007B" w:rsidRPr="00E72418">
        <w:t>condamnation</w:t>
      </w:r>
      <w:r w:rsidR="006A173A">
        <w:t xml:space="preserve"> déjà obtenue</w:t>
      </w:r>
      <w:r w:rsidR="000B007B" w:rsidRPr="00E72418">
        <w:t>, qu’il s’agisse d’une décision judiciaire ou d’une sentence arbitrale</w:t>
      </w:r>
      <w:r w:rsidR="00AA6908" w:rsidRPr="00E72418">
        <w:rPr>
          <w:rStyle w:val="Appelnotedebasdep"/>
        </w:rPr>
        <w:footnoteReference w:id="2114"/>
      </w:r>
      <w:r w:rsidR="00AA6908" w:rsidRPr="00E72418">
        <w:t>.</w:t>
      </w:r>
      <w:r w:rsidR="006C40A5" w:rsidRPr="00E72418">
        <w:t xml:space="preserve"> </w:t>
      </w:r>
      <w:r w:rsidR="00544C82" w:rsidRPr="00E72418">
        <w:t xml:space="preserve">Cette mesure est importante sachant que la généralisation de la </w:t>
      </w:r>
      <w:r w:rsidR="004F7711" w:rsidRPr="00E72418">
        <w:t xml:space="preserve">réglementation </w:t>
      </w:r>
      <w:r w:rsidR="00544C82" w:rsidRPr="00E72418">
        <w:t xml:space="preserve">de la spéculation est utopique et que, sans doute, des juridictions continueront à condamner des </w:t>
      </w:r>
      <w:r w:rsidR="00544C82" w:rsidRPr="00E72418">
        <w:rPr>
          <w:rFonts w:cs="Times New Roman"/>
        </w:rPr>
        <w:t>É</w:t>
      </w:r>
      <w:r w:rsidR="00544C82" w:rsidRPr="00E72418">
        <w:t>tats débiteurs aux pleins montants réclamés par leurs créanciers spéculatifs.</w:t>
      </w:r>
      <w:r w:rsidR="00CF4231" w:rsidRPr="00E72418">
        <w:t xml:space="preserve"> </w:t>
      </w:r>
      <w:r w:rsidR="00BE7756" w:rsidRPr="00E72418">
        <w:t>L’on n’est guère convaincu par la limitation française qui ne vise que l’exécution d’une condamnation obtenue et n’envisage pas la situation de la poursuite d’une condamnation devant les juridictions françaises</w:t>
      </w:r>
      <w:r w:rsidR="00BE4D26" w:rsidRPr="00E72418">
        <w:rPr>
          <w:rStyle w:val="Appelnotedebasdep"/>
        </w:rPr>
        <w:footnoteReference w:id="2115"/>
      </w:r>
      <w:r w:rsidR="00BE7756" w:rsidRPr="00E72418">
        <w:t>.</w:t>
      </w:r>
    </w:p>
    <w:p w14:paraId="75F58FA6" w14:textId="135AD8C3" w:rsidR="00FA2EAF" w:rsidRPr="00E72418" w:rsidRDefault="00FA2EAF" w:rsidP="00CC4BA8">
      <w:pPr>
        <w:spacing w:line="276" w:lineRule="auto"/>
      </w:pPr>
      <w:r w:rsidRPr="00E72418">
        <w:lastRenderedPageBreak/>
        <w:t>L’activisme des fonds spéculatif</w:t>
      </w:r>
      <w:r w:rsidR="003D1D05" w:rsidRPr="00E72418">
        <w:t>s</w:t>
      </w:r>
      <w:r w:rsidRPr="00E72418">
        <w:t xml:space="preserve"> se déclinant souvent dans de nombreuses actions entreprises à travers le monde, il importe que notre proposition reprenne la considération suivant laquelle tout montant qui aurait déjà été obtenu en lien avec la dette pou</w:t>
      </w:r>
      <w:r w:rsidR="003D1D05" w:rsidRPr="00E72418">
        <w:t>rsuivie doit</w:t>
      </w:r>
      <w:r w:rsidRPr="00E72418">
        <w:t xml:space="preserve"> venir en déduction du montant pouvant être poursuivi</w:t>
      </w:r>
      <w:r w:rsidRPr="00E72418">
        <w:rPr>
          <w:rStyle w:val="Appelnotedebasdep"/>
        </w:rPr>
        <w:footnoteReference w:id="2116"/>
      </w:r>
      <w:r w:rsidRPr="00E72418">
        <w:t xml:space="preserve">. </w:t>
      </w:r>
    </w:p>
    <w:p w14:paraId="6B6C3A24" w14:textId="2D31C78E" w:rsidR="0012485C" w:rsidRPr="00E72418" w:rsidRDefault="0012485C" w:rsidP="00CC4BA8">
      <w:pPr>
        <w:spacing w:line="276" w:lineRule="auto"/>
      </w:pPr>
      <w:r w:rsidRPr="00E72418">
        <w:t xml:space="preserve">La limitation envisagée n’est pertinente que dans la mesure où créancier et débiteur s’opposent </w:t>
      </w:r>
      <w:r w:rsidR="00994D25" w:rsidRPr="00E72418">
        <w:t>au sujet du</w:t>
      </w:r>
      <w:r w:rsidRPr="00E72418">
        <w:t xml:space="preserve"> paiement de la dette poursuivie</w:t>
      </w:r>
      <w:r w:rsidR="00994D25" w:rsidRPr="00E72418">
        <w:t xml:space="preserve"> et que les autorités judiciaires sont saisies de la difficulté</w:t>
      </w:r>
      <w:r w:rsidRPr="00E72418">
        <w:t xml:space="preserve">. Ainsi, </w:t>
      </w:r>
      <w:r w:rsidR="00410AA1">
        <w:t>d’une</w:t>
      </w:r>
      <w:r w:rsidRPr="00E72418">
        <w:t xml:space="preserve"> manière que</w:t>
      </w:r>
      <w:r w:rsidR="00410AA1">
        <w:t>lque peu similaire à</w:t>
      </w:r>
      <w:r w:rsidRPr="00E72418">
        <w:t xml:space="preserve"> la proposition étatsunienne </w:t>
      </w:r>
      <w:r w:rsidR="00410AA1">
        <w:t xml:space="preserve">qui </w:t>
      </w:r>
      <w:r w:rsidRPr="00E72418">
        <w:t>combat uniquement l</w:t>
      </w:r>
      <w:r w:rsidR="00372DFE">
        <w:t>a</w:t>
      </w:r>
      <w:r w:rsidRPr="00E72418">
        <w:t xml:space="preserve"> </w:t>
      </w:r>
      <w:r w:rsidR="00994D25" w:rsidRPr="00E72418">
        <w:t>« sovereign debt profiteering » qu’elle précise ne pas inclure « </w:t>
      </w:r>
      <w:r w:rsidRPr="00E72418">
        <w:t>the purchase or sale of such a debt, or the acceptance of a payment in satisfaction of the debt obligation, without threat of, or recourse to, litigation »</w:t>
      </w:r>
      <w:r w:rsidRPr="00E72418">
        <w:rPr>
          <w:rStyle w:val="Appelnotedebasdep"/>
          <w:rFonts w:cs="Times New Roman"/>
          <w:szCs w:val="24"/>
        </w:rPr>
        <w:footnoteReference w:id="2117"/>
      </w:r>
      <w:r w:rsidR="00994D25" w:rsidRPr="00E72418">
        <w:t>, rien ne nous paraît justifier une limitation à la volonté qu’aurait un débiteur souverain d’honorer une dette, fusse-t-elle détenue par un spéculateur.</w:t>
      </w:r>
    </w:p>
    <w:p w14:paraId="78CA1EC2" w14:textId="2E0DFE71" w:rsidR="00544C82" w:rsidRPr="00E72418" w:rsidRDefault="00544C82" w:rsidP="00242481"/>
    <w:p w14:paraId="61E0584E" w14:textId="3F0CA734" w:rsidR="00FB3C94" w:rsidRPr="00E72418" w:rsidRDefault="00573FA9" w:rsidP="00CC4BA8">
      <w:pPr>
        <w:spacing w:line="276" w:lineRule="auto"/>
      </w:pPr>
      <w:r>
        <w:rPr>
          <w:b/>
          <w:szCs w:val="24"/>
        </w:rPr>
        <w:t>417</w:t>
      </w:r>
      <w:r w:rsidR="00817D62" w:rsidRPr="00E72418">
        <w:rPr>
          <w:b/>
          <w:szCs w:val="24"/>
        </w:rPr>
        <w:t xml:space="preserve">. </w:t>
      </w:r>
      <w:r w:rsidR="00544C82" w:rsidRPr="00E72418">
        <w:rPr>
          <w:b/>
          <w:szCs w:val="24"/>
        </w:rPr>
        <w:t xml:space="preserve">Le prix payé </w:t>
      </w:r>
      <w:r w:rsidR="00544C82" w:rsidRPr="00E72418">
        <w:rPr>
          <w:b/>
        </w:rPr>
        <w:t xml:space="preserve">– </w:t>
      </w:r>
      <w:r w:rsidR="005F2007" w:rsidRPr="00E72418">
        <w:t xml:space="preserve">Après avoir </w:t>
      </w:r>
      <w:r w:rsidR="003D1D05" w:rsidRPr="00E72418">
        <w:t xml:space="preserve">démontré que </w:t>
      </w:r>
      <w:r w:rsidR="005F2007" w:rsidRPr="00E72418">
        <w:t xml:space="preserve">le choix de la limitation </w:t>
      </w:r>
      <w:r w:rsidR="003D1D05" w:rsidRPr="00E72418">
        <w:t>doit être préféré à</w:t>
      </w:r>
      <w:r w:rsidR="005F2007" w:rsidRPr="00E72418">
        <w:t xml:space="preserve"> celui de l’interdiction, il convient de déterminer la mesure de </w:t>
      </w:r>
      <w:r w:rsidR="00CF4231" w:rsidRPr="00E72418">
        <w:t>cette</w:t>
      </w:r>
      <w:r w:rsidR="005F2007" w:rsidRPr="00E72418">
        <w:t xml:space="preserve"> limitation posée</w:t>
      </w:r>
      <w:r w:rsidR="0062420A" w:rsidRPr="00E72418">
        <w:rPr>
          <w:bCs/>
          <w:szCs w:val="24"/>
        </w:rPr>
        <w:t xml:space="preserve"> aux prétentions des</w:t>
      </w:r>
      <w:r w:rsidR="005F2007" w:rsidRPr="00E72418">
        <w:rPr>
          <w:bCs/>
          <w:szCs w:val="24"/>
        </w:rPr>
        <w:t xml:space="preserve"> fonds spéculatif</w:t>
      </w:r>
      <w:r w:rsidR="0062420A" w:rsidRPr="00E72418">
        <w:rPr>
          <w:bCs/>
          <w:szCs w:val="24"/>
        </w:rPr>
        <w:t>s</w:t>
      </w:r>
      <w:r w:rsidR="005F2007" w:rsidRPr="00E72418">
        <w:t>.</w:t>
      </w:r>
      <w:r w:rsidR="005F2007" w:rsidRPr="00E72418">
        <w:rPr>
          <w:b/>
        </w:rPr>
        <w:t xml:space="preserve"> </w:t>
      </w:r>
      <w:r w:rsidR="004E0951" w:rsidRPr="00E72418">
        <w:rPr>
          <w:i/>
        </w:rPr>
        <w:t>De lege feranda</w:t>
      </w:r>
      <w:r w:rsidR="004E0951" w:rsidRPr="00E72418">
        <w:t>,</w:t>
      </w:r>
      <w:r w:rsidR="004E0951" w:rsidRPr="00E72418">
        <w:rPr>
          <w:b/>
        </w:rPr>
        <w:t xml:space="preserve"> </w:t>
      </w:r>
      <w:r w:rsidR="004E0951" w:rsidRPr="00E72418">
        <w:rPr>
          <w:bCs/>
          <w:szCs w:val="24"/>
        </w:rPr>
        <w:t>i</w:t>
      </w:r>
      <w:r w:rsidR="00544C82" w:rsidRPr="00E72418">
        <w:rPr>
          <w:bCs/>
          <w:szCs w:val="24"/>
        </w:rPr>
        <w:t xml:space="preserve">l nous apparaît que la mesure doit être celle du montant déboursé par </w:t>
      </w:r>
      <w:r w:rsidR="00CF4231" w:rsidRPr="00E72418">
        <w:rPr>
          <w:bCs/>
          <w:szCs w:val="24"/>
        </w:rPr>
        <w:t xml:space="preserve">le créancier </w:t>
      </w:r>
      <w:r w:rsidR="00544C82" w:rsidRPr="00E72418">
        <w:rPr>
          <w:bCs/>
          <w:szCs w:val="24"/>
        </w:rPr>
        <w:t>afin de faire l’acquisition sur le marché secondaire de la créance poursuivie</w:t>
      </w:r>
      <w:r w:rsidR="00B406FE" w:rsidRPr="00E72418">
        <w:rPr>
          <w:rStyle w:val="Appelnotedebasdep"/>
          <w:bCs/>
          <w:szCs w:val="24"/>
        </w:rPr>
        <w:footnoteReference w:id="2118"/>
      </w:r>
      <w:r w:rsidR="00544C82" w:rsidRPr="00E72418">
        <w:rPr>
          <w:bCs/>
          <w:szCs w:val="24"/>
        </w:rPr>
        <w:t>. Cette solution</w:t>
      </w:r>
      <w:r w:rsidR="0062420A" w:rsidRPr="00E72418">
        <w:rPr>
          <w:bCs/>
          <w:szCs w:val="24"/>
        </w:rPr>
        <w:t>, retenue dans les législations étatsunienne et belge</w:t>
      </w:r>
      <w:r w:rsidR="0062420A" w:rsidRPr="00E72418">
        <w:rPr>
          <w:rStyle w:val="Appelnotedebasdep"/>
          <w:bCs/>
          <w:szCs w:val="24"/>
        </w:rPr>
        <w:footnoteReference w:id="2119"/>
      </w:r>
      <w:r w:rsidR="0062420A" w:rsidRPr="00E72418">
        <w:rPr>
          <w:bCs/>
          <w:szCs w:val="24"/>
        </w:rPr>
        <w:t>,</w:t>
      </w:r>
      <w:r w:rsidR="00544C82" w:rsidRPr="00E72418">
        <w:rPr>
          <w:bCs/>
          <w:szCs w:val="24"/>
        </w:rPr>
        <w:t xml:space="preserve"> s’inspire </w:t>
      </w:r>
      <w:r w:rsidR="00A81302" w:rsidRPr="00E72418">
        <w:rPr>
          <w:bCs/>
          <w:szCs w:val="24"/>
        </w:rPr>
        <w:t>du mécanisme du retrait litigieux, véritable « arme anti-spéculative »</w:t>
      </w:r>
      <w:r w:rsidR="00A81302" w:rsidRPr="00E72418">
        <w:rPr>
          <w:rStyle w:val="Appelnotedebasdep"/>
          <w:bCs/>
          <w:szCs w:val="24"/>
        </w:rPr>
        <w:footnoteReference w:id="2120"/>
      </w:r>
      <w:r w:rsidR="00A81302" w:rsidRPr="00E72418">
        <w:rPr>
          <w:bCs/>
          <w:szCs w:val="24"/>
        </w:rPr>
        <w:t>,</w:t>
      </w:r>
      <w:r w:rsidR="00544C82" w:rsidRPr="00E72418">
        <w:rPr>
          <w:szCs w:val="24"/>
        </w:rPr>
        <w:t xml:space="preserve"> </w:t>
      </w:r>
      <w:r w:rsidR="00A81302" w:rsidRPr="00E72418">
        <w:rPr>
          <w:szCs w:val="24"/>
        </w:rPr>
        <w:t>lui-même inspiré</w:t>
      </w:r>
      <w:r w:rsidR="00544C82" w:rsidRPr="00E72418">
        <w:rPr>
          <w:szCs w:val="24"/>
        </w:rPr>
        <w:t xml:space="preserve"> de la </w:t>
      </w:r>
      <w:r w:rsidR="00544C82" w:rsidRPr="00E72418">
        <w:rPr>
          <w:i/>
          <w:szCs w:val="24"/>
        </w:rPr>
        <w:t>Lex Anastasiana</w:t>
      </w:r>
      <w:r w:rsidR="00544C82" w:rsidRPr="00E72418">
        <w:rPr>
          <w:szCs w:val="24"/>
        </w:rPr>
        <w:t xml:space="preserve"> prévoyant notamment que le cessionnaire d’une créance ne peut demander </w:t>
      </w:r>
      <w:r w:rsidR="00544C82" w:rsidRPr="00E72418">
        <w:rPr>
          <w:szCs w:val="24"/>
        </w:rPr>
        <w:lastRenderedPageBreak/>
        <w:t>au débiteur plus que ce qu’il a payé au cédant</w:t>
      </w:r>
      <w:r w:rsidR="00544C82" w:rsidRPr="00E72418">
        <w:rPr>
          <w:rStyle w:val="Appelnotedebasdep"/>
          <w:szCs w:val="24"/>
        </w:rPr>
        <w:footnoteReference w:id="2121"/>
      </w:r>
      <w:r w:rsidR="00544C82" w:rsidRPr="00E72418">
        <w:rPr>
          <w:szCs w:val="24"/>
        </w:rPr>
        <w:t xml:space="preserve">. Pour </w:t>
      </w:r>
      <w:r w:rsidR="000D05F9" w:rsidRPr="00E72418">
        <w:rPr>
          <w:szCs w:val="24"/>
        </w:rPr>
        <w:t xml:space="preserve">Matthias </w:t>
      </w:r>
      <w:r w:rsidR="00544C82" w:rsidRPr="00E72418">
        <w:rPr>
          <w:szCs w:val="24"/>
        </w:rPr>
        <w:t>Storme, il y a là « </w:t>
      </w:r>
      <w:r w:rsidR="00544C82" w:rsidRPr="00E72418">
        <w:t>a powerful rule to protect good faith debtors and creditors and only them »</w:t>
      </w:r>
      <w:r w:rsidR="00544C82" w:rsidRPr="00E72418">
        <w:rPr>
          <w:rStyle w:val="Appelnotedebasdep"/>
        </w:rPr>
        <w:footnoteReference w:id="2122"/>
      </w:r>
      <w:r w:rsidR="00AA6908" w:rsidRPr="00E72418">
        <w:rPr>
          <w:vertAlign w:val="superscript"/>
        </w:rPr>
        <w:t>,</w:t>
      </w:r>
      <w:r w:rsidR="00544C82" w:rsidRPr="00E72418">
        <w:rPr>
          <w:rStyle w:val="Appelnotedebasdep"/>
        </w:rPr>
        <w:footnoteReference w:id="2123"/>
      </w:r>
      <w:r w:rsidR="00544C82" w:rsidRPr="00E72418">
        <w:t>.</w:t>
      </w:r>
    </w:p>
    <w:p w14:paraId="13EBBC47" w14:textId="77777777" w:rsidR="00FB3C94" w:rsidRPr="00E72418" w:rsidRDefault="00A4124B" w:rsidP="00CC4BA8">
      <w:pPr>
        <w:spacing w:line="276" w:lineRule="auto"/>
      </w:pPr>
      <w:r w:rsidRPr="00E72418">
        <w:t xml:space="preserve">L’on peut trouver dans la jurisprudence de la Cour de cassation française une validation du choix que nous posons. Ainsi, dans un arrêt du 14 juin 2017 concernant le mécanisme de retrait litigieux, elle a décidé, dans des termes faisant penser au </w:t>
      </w:r>
      <w:r w:rsidR="00364CEE" w:rsidRPr="00E72418">
        <w:t>phénomène que nous étudions,</w:t>
      </w:r>
      <w:r w:rsidRPr="00E72418">
        <w:t xml:space="preserve"> qu’ « étant à la fois justifié par des motifs d’intérêt général, en ce qu’il permet d’éviter </w:t>
      </w:r>
      <w:r w:rsidR="00364CEE" w:rsidRPr="00E72418">
        <w:t xml:space="preserve">la spéculation sur les créances </w:t>
      </w:r>
      <w:r w:rsidRPr="00E72418">
        <w:t>litigieuses et d’abréger les instances engagées en vue de leur paiement, et</w:t>
      </w:r>
      <w:r w:rsidR="00364CEE" w:rsidRPr="00E72418">
        <w:t xml:space="preserve"> </w:t>
      </w:r>
      <w:r w:rsidRPr="00E72418">
        <w:t>proportionné à ce double objectif, puisque le retrayé reçoit la somme à laquelle il a lui-même évalué la créance après avoir mesuré les coûts associés à son recouvrement, la chance d’obtenir tout ou partie de son montant nominal et le risque d’exercice du retrait par le débiteur cédé, le droit de retrait litigieux ne constitue pas une atteinte disproportionnée au droit du cessionnaire retrayé au respect de ses biens garanti par l’article 1</w:t>
      </w:r>
      <w:r w:rsidRPr="00E72418">
        <w:rPr>
          <w:vertAlign w:val="superscript"/>
        </w:rPr>
        <w:t>er</w:t>
      </w:r>
      <w:r w:rsidRPr="00E72418">
        <w:t xml:space="preserve"> du protocole additionnel à la Convention de sauvegarde des droits de l’homme et des libertés fondamentales »</w:t>
      </w:r>
      <w:r w:rsidRPr="00E72418">
        <w:rPr>
          <w:vertAlign w:val="superscript"/>
        </w:rPr>
        <w:footnoteReference w:id="2124"/>
      </w:r>
      <w:r w:rsidRPr="00E72418">
        <w:t>.</w:t>
      </w:r>
    </w:p>
    <w:p w14:paraId="10A8A9F0" w14:textId="6B3EA4F6" w:rsidR="001C5011" w:rsidRPr="00E72418" w:rsidRDefault="001C5011" w:rsidP="00CC4BA8">
      <w:pPr>
        <w:spacing w:line="276" w:lineRule="auto"/>
      </w:pPr>
      <w:r w:rsidRPr="00E72418">
        <w:lastRenderedPageBreak/>
        <w:t>Malik Laazouzi explique que le caractère litigieux de la créance porte en germe le risque pour le cessionnaire de subir les conséquence d’une décision défavorable et que ce risque est pris en compte dans la décote que subit la créance au niveau de son prix d’acquisition</w:t>
      </w:r>
      <w:r w:rsidRPr="00E72418">
        <w:rPr>
          <w:rStyle w:val="Appelnotedebasdep"/>
        </w:rPr>
        <w:footnoteReference w:id="2125"/>
      </w:r>
      <w:r w:rsidRPr="00E72418">
        <w:t xml:space="preserve">. Cette </w:t>
      </w:r>
      <w:r w:rsidR="00FB3C94" w:rsidRPr="00E72418">
        <w:t>explication</w:t>
      </w:r>
      <w:r w:rsidRPr="00E72418">
        <w:t xml:space="preserve"> permet encore de justifier de la limitation que nous proposons des prétentions des fonds spéculatifs puisqu</w:t>
      </w:r>
      <w:r w:rsidR="00FB3C94" w:rsidRPr="00E72418">
        <w:t>e le risque que l’</w:t>
      </w:r>
      <w:r w:rsidR="00FB3C94" w:rsidRPr="00E72418">
        <w:rPr>
          <w:lang w:eastAsia="fr-BE"/>
        </w:rPr>
        <w:t>É</w:t>
      </w:r>
      <w:r w:rsidRPr="00E72418">
        <w:t xml:space="preserve">tat souverain se trouve devoir être protégé par le mécanisme </w:t>
      </w:r>
      <w:r w:rsidR="00FB3C94" w:rsidRPr="00E72418">
        <w:t>envisagé</w:t>
      </w:r>
      <w:r w:rsidRPr="00E72418">
        <w:t xml:space="preserve"> sera pris en compte dans le prix auquel ils acquerront les créances sur le marché secondaire.</w:t>
      </w:r>
      <w:r w:rsidR="00635955" w:rsidRPr="00E72418">
        <w:t xml:space="preserve"> L’auteur ajoute, dans un sens </w:t>
      </w:r>
      <w:r w:rsidR="00FB3C94" w:rsidRPr="00E72418">
        <w:t>favorable à la limitation</w:t>
      </w:r>
      <w:r w:rsidR="00635955" w:rsidRPr="00E72418">
        <w:t>, que l’exercice du retrait ne porte pas atteinte au patrimoine du cessionnaire mais affecte ses prévisions quant à l’enrichissement attendu</w:t>
      </w:r>
      <w:r w:rsidR="00635955" w:rsidRPr="00E72418">
        <w:rPr>
          <w:rStyle w:val="Appelnotedebasdep"/>
        </w:rPr>
        <w:footnoteReference w:id="2126"/>
      </w:r>
      <w:r w:rsidR="00635955" w:rsidRPr="00E72418">
        <w:t>.</w:t>
      </w:r>
    </w:p>
    <w:p w14:paraId="1FA12D34" w14:textId="743BEB1D" w:rsidR="002A59A7" w:rsidRPr="00E72418" w:rsidRDefault="00635955" w:rsidP="00CC4BA8">
      <w:pPr>
        <w:spacing w:line="276" w:lineRule="auto"/>
        <w:rPr>
          <w:szCs w:val="24"/>
        </w:rPr>
      </w:pPr>
      <w:r w:rsidRPr="00E72418">
        <w:rPr>
          <w:szCs w:val="24"/>
        </w:rPr>
        <w:t>Ainsi, o</w:t>
      </w:r>
      <w:r w:rsidR="00385EFF" w:rsidRPr="00E72418">
        <w:rPr>
          <w:szCs w:val="24"/>
        </w:rPr>
        <w:t xml:space="preserve">utre la justification pouvant être tirée de la règle de droit positif entourant la cession de droits litigieux, l’entorse à la stricte application de la règle </w:t>
      </w:r>
      <w:r w:rsidR="00385EFF" w:rsidRPr="00E72418">
        <w:rPr>
          <w:i/>
          <w:szCs w:val="24"/>
        </w:rPr>
        <w:t>pacta sunt servanda</w:t>
      </w:r>
      <w:r w:rsidR="00385EFF" w:rsidRPr="00E72418">
        <w:rPr>
          <w:szCs w:val="24"/>
        </w:rPr>
        <w:t xml:space="preserve"> </w:t>
      </w:r>
      <w:r w:rsidR="005F2007" w:rsidRPr="00E72418">
        <w:rPr>
          <w:szCs w:val="24"/>
        </w:rPr>
        <w:t>peut être</w:t>
      </w:r>
      <w:r w:rsidR="00385EFF" w:rsidRPr="00E72418">
        <w:rPr>
          <w:szCs w:val="24"/>
        </w:rPr>
        <w:t xml:space="preserve"> </w:t>
      </w:r>
      <w:r w:rsidR="005F2007" w:rsidRPr="00E72418">
        <w:rPr>
          <w:szCs w:val="24"/>
        </w:rPr>
        <w:t>logiquement</w:t>
      </w:r>
      <w:r w:rsidR="00385EFF" w:rsidRPr="00E72418">
        <w:rPr>
          <w:szCs w:val="24"/>
        </w:rPr>
        <w:t xml:space="preserve"> justifié</w:t>
      </w:r>
      <w:r w:rsidR="00DA7F5F" w:rsidRPr="00E72418">
        <w:rPr>
          <w:szCs w:val="24"/>
        </w:rPr>
        <w:t>e</w:t>
      </w:r>
      <w:r w:rsidR="00F86021" w:rsidRPr="00E72418">
        <w:rPr>
          <w:szCs w:val="24"/>
        </w:rPr>
        <w:t xml:space="preserve">. </w:t>
      </w:r>
      <w:r w:rsidR="002A59A7" w:rsidRPr="00E72418">
        <w:rPr>
          <w:szCs w:val="24"/>
        </w:rPr>
        <w:t>Horatia Muir Wa</w:t>
      </w:r>
      <w:r w:rsidR="00FB3C94" w:rsidRPr="00E72418">
        <w:rPr>
          <w:szCs w:val="24"/>
        </w:rPr>
        <w:t>tt relève ainsi que, quoique l’</w:t>
      </w:r>
      <w:r w:rsidR="00FB3C94" w:rsidRPr="00E72418">
        <w:rPr>
          <w:lang w:eastAsia="fr-BE"/>
        </w:rPr>
        <w:t>É</w:t>
      </w:r>
      <w:r w:rsidR="002A59A7" w:rsidRPr="00E72418">
        <w:rPr>
          <w:szCs w:val="24"/>
        </w:rPr>
        <w:t>tat débiteur s’est engagé juridiquement au paiement des sommes ensuite exigées par les spéculateurs, « </w:t>
      </w:r>
      <w:r w:rsidR="002A59A7" w:rsidRPr="00E72418">
        <w:t xml:space="preserve">il importe tout de même de souligner que cet engagement n’a pas été pris en faveur de celui qui rachète la créance au rabais </w:t>
      </w:r>
      <w:r w:rsidR="002A59A7" w:rsidRPr="00E72418">
        <w:rPr>
          <w:szCs w:val="24"/>
        </w:rPr>
        <w:t>»</w:t>
      </w:r>
      <w:r w:rsidR="002A59A7" w:rsidRPr="00E72418">
        <w:rPr>
          <w:rStyle w:val="Appelnotedebasdep"/>
          <w:szCs w:val="24"/>
        </w:rPr>
        <w:footnoteReference w:id="2127"/>
      </w:r>
      <w:r w:rsidR="002A59A7" w:rsidRPr="00E72418">
        <w:rPr>
          <w:szCs w:val="24"/>
        </w:rPr>
        <w:t>.</w:t>
      </w:r>
    </w:p>
    <w:p w14:paraId="04FAD951" w14:textId="7B1C1694" w:rsidR="000E6BB7" w:rsidRPr="00E72418" w:rsidRDefault="00F86021" w:rsidP="00CC4BA8">
      <w:pPr>
        <w:spacing w:line="276" w:lineRule="auto"/>
        <w:rPr>
          <w:szCs w:val="24"/>
        </w:rPr>
      </w:pPr>
      <w:r w:rsidRPr="00E72418">
        <w:rPr>
          <w:szCs w:val="24"/>
        </w:rPr>
        <w:t>D</w:t>
      </w:r>
      <w:r w:rsidR="00385EFF" w:rsidRPr="00E72418">
        <w:rPr>
          <w:szCs w:val="24"/>
        </w:rPr>
        <w:t>ès lors que les fonds spéculatifs n</w:t>
      </w:r>
      <w:r w:rsidRPr="00E72418">
        <w:rPr>
          <w:szCs w:val="24"/>
        </w:rPr>
        <w:t>e sont</w:t>
      </w:r>
      <w:r w:rsidR="00385EFF" w:rsidRPr="00E72418">
        <w:rPr>
          <w:szCs w:val="24"/>
        </w:rPr>
        <w:t xml:space="preserve"> pas partie au</w:t>
      </w:r>
      <w:r w:rsidR="00C40CD7" w:rsidRPr="00E72418">
        <w:rPr>
          <w:szCs w:val="24"/>
        </w:rPr>
        <w:t>x</w:t>
      </w:r>
      <w:r w:rsidR="00385EFF" w:rsidRPr="00E72418">
        <w:rPr>
          <w:szCs w:val="24"/>
        </w:rPr>
        <w:t xml:space="preserve"> contrat</w:t>
      </w:r>
      <w:r w:rsidR="00C40CD7" w:rsidRPr="00E72418">
        <w:rPr>
          <w:szCs w:val="24"/>
        </w:rPr>
        <w:t>s</w:t>
      </w:r>
      <w:r w:rsidR="00385EFF" w:rsidRPr="00E72418">
        <w:rPr>
          <w:szCs w:val="24"/>
        </w:rPr>
        <w:t xml:space="preserve"> originaire</w:t>
      </w:r>
      <w:r w:rsidR="00C40CD7" w:rsidRPr="00E72418">
        <w:rPr>
          <w:szCs w:val="24"/>
        </w:rPr>
        <w:t>s</w:t>
      </w:r>
      <w:r w:rsidR="00385EFF" w:rsidRPr="00E72418">
        <w:rPr>
          <w:szCs w:val="24"/>
        </w:rPr>
        <w:t xml:space="preserve"> qu’ils poursuivent, l’on peut </w:t>
      </w:r>
      <w:r w:rsidR="00DA7F5F" w:rsidRPr="00E72418">
        <w:rPr>
          <w:szCs w:val="24"/>
        </w:rPr>
        <w:t>envisager, sans qu’une atteinte majeure ne soit portée à leurs droits</w:t>
      </w:r>
      <w:r w:rsidR="00D46AE5" w:rsidRPr="00E72418">
        <w:rPr>
          <w:szCs w:val="24"/>
        </w:rPr>
        <w:t xml:space="preserve"> de propriété</w:t>
      </w:r>
      <w:r w:rsidR="00DA7F5F" w:rsidRPr="00E72418">
        <w:rPr>
          <w:szCs w:val="24"/>
        </w:rPr>
        <w:t xml:space="preserve">, de </w:t>
      </w:r>
      <w:r w:rsidR="00C40CD7" w:rsidRPr="00E72418">
        <w:rPr>
          <w:szCs w:val="24"/>
        </w:rPr>
        <w:t>limiter leur prétention à ce qui représente pour eux l’enjeu réel</w:t>
      </w:r>
      <w:r w:rsidR="00CF4231" w:rsidRPr="00E72418">
        <w:rPr>
          <w:szCs w:val="24"/>
        </w:rPr>
        <w:t>,</w:t>
      </w:r>
      <w:r w:rsidR="00D46AE5" w:rsidRPr="00E72418">
        <w:rPr>
          <w:szCs w:val="24"/>
        </w:rPr>
        <w:t xml:space="preserve"> lequel seul ferait l’objet d’une espérance légitime de recouvrement</w:t>
      </w:r>
      <w:r w:rsidR="004063A5" w:rsidRPr="00E72418">
        <w:rPr>
          <w:szCs w:val="24"/>
        </w:rPr>
        <w:t xml:space="preserve"> </w:t>
      </w:r>
      <w:r w:rsidR="00B55498">
        <w:rPr>
          <w:szCs w:val="24"/>
        </w:rPr>
        <w:t>lorsqu’</w:t>
      </w:r>
      <w:r w:rsidR="00217231" w:rsidRPr="00E72418">
        <w:rPr>
          <w:szCs w:val="24"/>
        </w:rPr>
        <w:t>un paiement à la valeur faciale heurterait le principe de la soutenabilité de la dette souveraine</w:t>
      </w:r>
      <w:r w:rsidR="006B6B61" w:rsidRPr="00E72418">
        <w:rPr>
          <w:rStyle w:val="Appelnotedebasdep"/>
          <w:szCs w:val="24"/>
        </w:rPr>
        <w:footnoteReference w:id="2128"/>
      </w:r>
      <w:r w:rsidR="00D46AE5" w:rsidRPr="00E72418">
        <w:rPr>
          <w:szCs w:val="24"/>
        </w:rPr>
        <w:t xml:space="preserve">. </w:t>
      </w:r>
      <w:r w:rsidRPr="00E72418">
        <w:rPr>
          <w:rFonts w:cs="Times New Roman"/>
          <w:szCs w:val="24"/>
        </w:rPr>
        <w:t xml:space="preserve">La </w:t>
      </w:r>
      <w:r w:rsidR="000E6BB7" w:rsidRPr="00E72418">
        <w:rPr>
          <w:rFonts w:cs="Times New Roman"/>
          <w:szCs w:val="24"/>
        </w:rPr>
        <w:t xml:space="preserve">limitation </w:t>
      </w:r>
      <w:r w:rsidRPr="00E72418">
        <w:rPr>
          <w:rFonts w:cs="Times New Roman"/>
          <w:szCs w:val="24"/>
        </w:rPr>
        <w:t xml:space="preserve">envisagée </w:t>
      </w:r>
      <w:r w:rsidR="000E6BB7" w:rsidRPr="00E72418">
        <w:rPr>
          <w:rFonts w:cs="Times New Roman"/>
          <w:szCs w:val="24"/>
        </w:rPr>
        <w:t xml:space="preserve">est d’autant plus justifiée que, comme l’a conclu </w:t>
      </w:r>
      <w:r w:rsidR="000E6BB7" w:rsidRPr="00E72418">
        <w:rPr>
          <w:bCs/>
          <w:szCs w:val="24"/>
        </w:rPr>
        <w:t xml:space="preserve">le </w:t>
      </w:r>
      <w:r w:rsidR="000E6BB7" w:rsidRPr="00E72418">
        <w:rPr>
          <w:rFonts w:cs="Times New Roman"/>
          <w:szCs w:val="24"/>
        </w:rPr>
        <w:t>Comité consultatif du Conseil des droits de l’homme des Nations Unies</w:t>
      </w:r>
      <w:r w:rsidR="000E6BB7" w:rsidRPr="00E72418">
        <w:rPr>
          <w:bCs/>
          <w:szCs w:val="24"/>
        </w:rPr>
        <w:t xml:space="preserve">, « le fait de chercher à obtenir le remboursement intégral d’une dette souveraine auprès </w:t>
      </w:r>
      <w:r w:rsidR="000E6BB7" w:rsidRPr="00E72418">
        <w:rPr>
          <w:bCs/>
          <w:szCs w:val="24"/>
        </w:rPr>
        <w:lastRenderedPageBreak/>
        <w:t>d’un pays qui a déjà fait défaut sur sa dette ou qui est proche du défaut de paiement est un objectif illégitime »</w:t>
      </w:r>
      <w:r w:rsidR="000E6BB7" w:rsidRPr="00E72418">
        <w:rPr>
          <w:rStyle w:val="Appelnotedebasdep"/>
          <w:bCs/>
        </w:rPr>
        <w:footnoteReference w:id="2129"/>
      </w:r>
      <w:r w:rsidR="003F0194" w:rsidRPr="00E72418">
        <w:rPr>
          <w:bCs/>
          <w:szCs w:val="24"/>
          <w:vertAlign w:val="superscript"/>
        </w:rPr>
        <w:t>,</w:t>
      </w:r>
      <w:r w:rsidR="003F0194" w:rsidRPr="00E72418">
        <w:rPr>
          <w:rStyle w:val="Appelnotedebasdep"/>
          <w:bCs/>
          <w:szCs w:val="24"/>
        </w:rPr>
        <w:footnoteReference w:id="2130"/>
      </w:r>
      <w:r w:rsidR="000E6BB7" w:rsidRPr="00E72418">
        <w:rPr>
          <w:bCs/>
          <w:szCs w:val="24"/>
        </w:rPr>
        <w:t>.</w:t>
      </w:r>
    </w:p>
    <w:p w14:paraId="5B6021CE" w14:textId="2DAA1178" w:rsidR="001178DB" w:rsidRPr="00E72418" w:rsidRDefault="00217231" w:rsidP="00CC4BA8">
      <w:pPr>
        <w:spacing w:line="276" w:lineRule="auto"/>
        <w:rPr>
          <w:szCs w:val="24"/>
        </w:rPr>
      </w:pPr>
      <w:r w:rsidRPr="00E72418">
        <w:rPr>
          <w:szCs w:val="24"/>
        </w:rPr>
        <w:t>Ce retenant, l</w:t>
      </w:r>
      <w:r w:rsidR="00D46AE5" w:rsidRPr="00E72418">
        <w:rPr>
          <w:szCs w:val="24"/>
        </w:rPr>
        <w:t>a limitation posée est pleinement en phase avec la jurisprudence de la Cour européenne des droits de l’homme déjà évoquée suivant laquelle « </w:t>
      </w:r>
      <w:r w:rsidR="00D46AE5" w:rsidRPr="00E72418">
        <w:rPr>
          <w:rFonts w:cs="Times New Roman"/>
          <w:szCs w:val="20"/>
        </w:rPr>
        <w:t>[l]</w:t>
      </w:r>
      <w:r w:rsidR="00D46AE5" w:rsidRPr="00E72418">
        <w:rPr>
          <w:szCs w:val="24"/>
        </w:rPr>
        <w:t xml:space="preserve">a notion de </w:t>
      </w:r>
      <w:r w:rsidR="00D46AE5" w:rsidRPr="00E72418">
        <w:rPr>
          <w:rFonts w:cs="Times New Roman"/>
          <w:szCs w:val="24"/>
          <w:lang w:val="en-US"/>
        </w:rPr>
        <w:t>“</w:t>
      </w:r>
      <w:r w:rsidR="00D46AE5" w:rsidRPr="00E72418">
        <w:rPr>
          <w:szCs w:val="24"/>
        </w:rPr>
        <w:t>biens</w:t>
      </w:r>
      <w:r w:rsidR="00D46AE5" w:rsidRPr="00E72418">
        <w:rPr>
          <w:rFonts w:cs="Times New Roman"/>
          <w:szCs w:val="24"/>
          <w:lang w:val="en-US"/>
        </w:rPr>
        <w:t>”</w:t>
      </w:r>
      <w:r w:rsidR="00D46AE5" w:rsidRPr="00E72418">
        <w:rPr>
          <w:szCs w:val="24"/>
        </w:rPr>
        <w:t xml:space="preserve"> peut recouvrir tant des </w:t>
      </w:r>
      <w:r w:rsidR="00D46AE5" w:rsidRPr="00E72418">
        <w:rPr>
          <w:rFonts w:cs="Times New Roman"/>
          <w:szCs w:val="24"/>
          <w:lang w:val="en-US"/>
        </w:rPr>
        <w:t>“</w:t>
      </w:r>
      <w:r w:rsidR="00D46AE5" w:rsidRPr="00E72418">
        <w:rPr>
          <w:szCs w:val="24"/>
        </w:rPr>
        <w:t>biens actuels</w:t>
      </w:r>
      <w:r w:rsidR="00D46AE5" w:rsidRPr="00E72418">
        <w:rPr>
          <w:rFonts w:cs="Times New Roman"/>
          <w:szCs w:val="24"/>
          <w:lang w:val="en-US"/>
        </w:rPr>
        <w:t>”</w:t>
      </w:r>
      <w:r w:rsidR="00D46AE5" w:rsidRPr="00E72418">
        <w:rPr>
          <w:szCs w:val="24"/>
        </w:rPr>
        <w:t xml:space="preserve"> que des valeurs patrimoniales, y compris des créances, en vertu desquelles le requérant peut prétendre avoir au moins une </w:t>
      </w:r>
      <w:r w:rsidR="00D46AE5" w:rsidRPr="00E72418">
        <w:rPr>
          <w:rFonts w:cs="Times New Roman"/>
          <w:szCs w:val="24"/>
          <w:lang w:val="en-US"/>
        </w:rPr>
        <w:t>“</w:t>
      </w:r>
      <w:r w:rsidR="00D46AE5" w:rsidRPr="00E72418">
        <w:rPr>
          <w:szCs w:val="24"/>
        </w:rPr>
        <w:t>espérance légitime</w:t>
      </w:r>
      <w:r w:rsidR="00D46AE5" w:rsidRPr="00E72418">
        <w:rPr>
          <w:rFonts w:cs="Times New Roman"/>
          <w:szCs w:val="24"/>
          <w:lang w:val="en-US"/>
        </w:rPr>
        <w:t>”</w:t>
      </w:r>
      <w:r w:rsidR="00D46AE5" w:rsidRPr="00E72418">
        <w:rPr>
          <w:szCs w:val="24"/>
        </w:rPr>
        <w:t xml:space="preserve"> d’obtenir la jouissance effective d’un droit de propriété »</w:t>
      </w:r>
      <w:r w:rsidR="00D46AE5" w:rsidRPr="00E72418">
        <w:rPr>
          <w:rStyle w:val="Appelnotedebasdep"/>
          <w:szCs w:val="24"/>
        </w:rPr>
        <w:footnoteReference w:id="2131"/>
      </w:r>
      <w:r w:rsidR="00D46AE5" w:rsidRPr="00E72418">
        <w:rPr>
          <w:szCs w:val="24"/>
        </w:rPr>
        <w:t>.</w:t>
      </w:r>
      <w:r w:rsidRPr="00E72418">
        <w:rPr>
          <w:szCs w:val="24"/>
        </w:rPr>
        <w:t xml:space="preserve"> La limitation retenue se justifie également à l’aune de la jurisprudence de la Cour de cassation belge qui, après avoir rappelé qu’en application de l’article 17 du Code judiciaire l’action ne peut être admise si le demandeur n’a pas qualité et intérêt pour la former, note que « </w:t>
      </w:r>
      <w:r w:rsidRPr="00E72418">
        <w:rPr>
          <w:rFonts w:cs="Times New Roman"/>
          <w:szCs w:val="24"/>
        </w:rPr>
        <w:t>[l]</w:t>
      </w:r>
      <w:r w:rsidRPr="00E72418">
        <w:rPr>
          <w:szCs w:val="24"/>
          <w:shd w:val="clear" w:color="auto" w:fill="FFFFFF"/>
        </w:rPr>
        <w:t xml:space="preserve">a violation d’un intérêt ne peut donner lieu à une action que s’il s’agit d’un intérêt légitime </w:t>
      </w:r>
      <w:r w:rsidRPr="00E72418">
        <w:rPr>
          <w:szCs w:val="24"/>
        </w:rPr>
        <w:t xml:space="preserve">» et que « </w:t>
      </w:r>
      <w:r w:rsidRPr="00E72418">
        <w:rPr>
          <w:rFonts w:cs="Times New Roman"/>
          <w:szCs w:val="24"/>
        </w:rPr>
        <w:t>[c]</w:t>
      </w:r>
      <w:r w:rsidRPr="00E72418">
        <w:rPr>
          <w:szCs w:val="24"/>
          <w:shd w:val="clear" w:color="auto" w:fill="FFFFFF"/>
        </w:rPr>
        <w:t>elui qui ne vise que le maintien d’une situation contraire à l’ordre public ou d’un avantage illicite n’a pas d’intérêt légitime</w:t>
      </w:r>
      <w:r w:rsidRPr="00E72418">
        <w:rPr>
          <w:szCs w:val="24"/>
        </w:rPr>
        <w:t> »</w:t>
      </w:r>
      <w:r w:rsidRPr="00E72418">
        <w:rPr>
          <w:rStyle w:val="Appelnotedebasdep"/>
          <w:szCs w:val="24"/>
        </w:rPr>
        <w:footnoteReference w:id="2132"/>
      </w:r>
      <w:r w:rsidRPr="00E72418">
        <w:rPr>
          <w:szCs w:val="24"/>
        </w:rPr>
        <w:t>.</w:t>
      </w:r>
      <w:r w:rsidR="00AD4160" w:rsidRPr="00E72418">
        <w:rPr>
          <w:szCs w:val="24"/>
        </w:rPr>
        <w:t xml:space="preserve"> </w:t>
      </w:r>
      <w:r w:rsidR="00EB1901" w:rsidRPr="00E72418">
        <w:rPr>
          <w:szCs w:val="24"/>
        </w:rPr>
        <w:t>En droit français</w:t>
      </w:r>
      <w:r w:rsidR="00C53B9F" w:rsidRPr="00E72418">
        <w:rPr>
          <w:szCs w:val="24"/>
        </w:rPr>
        <w:t xml:space="preserve">, </w:t>
      </w:r>
      <w:r w:rsidR="00EB1901" w:rsidRPr="00E72418">
        <w:rPr>
          <w:szCs w:val="24"/>
        </w:rPr>
        <w:t xml:space="preserve">l’article 31 du Code de procédure civile </w:t>
      </w:r>
      <w:r w:rsidR="00C53B9F" w:rsidRPr="00E72418">
        <w:t xml:space="preserve">précise notamment que « </w:t>
      </w:r>
      <w:r w:rsidR="00C53B9F" w:rsidRPr="00E72418">
        <w:rPr>
          <w:rFonts w:ascii="Times New Roman" w:hAnsi="Times New Roman"/>
        </w:rPr>
        <w:t xml:space="preserve">[l’]action </w:t>
      </w:r>
      <w:r w:rsidR="00C53B9F" w:rsidRPr="00E72418">
        <w:t>est ouverte à tous ceux qui ont un intérêt légitime au succès ou au rejet d’une prétention ».</w:t>
      </w:r>
      <w:r w:rsidR="00C53B9F" w:rsidRPr="00E72418">
        <w:rPr>
          <w:szCs w:val="24"/>
        </w:rPr>
        <w:t xml:space="preserve"> Commentant la disposition, </w:t>
      </w:r>
      <w:r w:rsidR="00AD4160" w:rsidRPr="00E72418">
        <w:rPr>
          <w:szCs w:val="24"/>
        </w:rPr>
        <w:t xml:space="preserve">Loïc Cadiet et Emmanuel Jeuland relèvent que « l’exigence d’un intérêt légitime pourrait </w:t>
      </w:r>
      <w:r w:rsidR="00AD4160" w:rsidRPr="00E72418">
        <w:rPr>
          <w:rFonts w:cs="Times New Roman"/>
          <w:szCs w:val="24"/>
        </w:rPr>
        <w:t xml:space="preserve">[…] </w:t>
      </w:r>
      <w:r w:rsidR="00AD4160" w:rsidRPr="00E72418">
        <w:rPr>
          <w:szCs w:val="24"/>
        </w:rPr>
        <w:t>bien être justifiée par la nécessité de vérifier que l’avantage poursuivi par l’action n’est pas immoral ou inopportun »</w:t>
      </w:r>
      <w:r w:rsidR="00AD4160" w:rsidRPr="00E72418">
        <w:rPr>
          <w:rStyle w:val="Appelnotedebasdep"/>
          <w:szCs w:val="24"/>
        </w:rPr>
        <w:footnoteReference w:id="2133"/>
      </w:r>
      <w:r w:rsidR="00AD4160" w:rsidRPr="00E72418">
        <w:rPr>
          <w:szCs w:val="24"/>
        </w:rPr>
        <w:t>.</w:t>
      </w:r>
      <w:r w:rsidR="00D11928" w:rsidRPr="00E72418">
        <w:rPr>
          <w:szCs w:val="24"/>
        </w:rPr>
        <w:t xml:space="preserve"> </w:t>
      </w:r>
      <w:r w:rsidR="00D11928" w:rsidRPr="00E72418">
        <w:t xml:space="preserve">Cécile Chainais </w:t>
      </w:r>
      <w:r w:rsidR="00D11928" w:rsidRPr="00E72418">
        <w:rPr>
          <w:i/>
        </w:rPr>
        <w:t>et al.</w:t>
      </w:r>
      <w:r w:rsidR="00D11928" w:rsidRPr="00E72418">
        <w:t xml:space="preserve"> critiquent l’idée de légitimité de l’intérêt à l’endroit de la recevabilité de l’action notant qu’ « </w:t>
      </w:r>
      <w:r w:rsidR="00D11928" w:rsidRPr="00E72418">
        <w:rPr>
          <w:szCs w:val="20"/>
          <w:lang w:val="en-US"/>
        </w:rPr>
        <w:t xml:space="preserve">[e]nvisager la légitimité de l’intérêt – vérifier que cet intérêt est fondé sur un droit qui ne peut être reconnu que pour protéger une situation légitime –, c’est déjà se placer sur le terrain du bien-fondé de la prétention, donc du droit substantiel, bien au-delà de la simple recevabilité de la demande </w:t>
      </w:r>
      <w:r w:rsidR="00D11928" w:rsidRPr="00E72418">
        <w:t>»</w:t>
      </w:r>
      <w:r w:rsidR="00D11928" w:rsidRPr="00E72418">
        <w:rPr>
          <w:rStyle w:val="Appelnotedebasdep"/>
        </w:rPr>
        <w:footnoteReference w:id="2134"/>
      </w:r>
      <w:r w:rsidR="00D11928" w:rsidRPr="00E72418">
        <w:t xml:space="preserve">. Pour la situation qui nous occupe, la question de la légitimité s’apprécie après </w:t>
      </w:r>
      <w:r w:rsidR="00D11928" w:rsidRPr="00E72418">
        <w:lastRenderedPageBreak/>
        <w:t>l’examen de la recevabilité de l’action dans la mesure où nous ne sommes pas d’avis que les actions judiciaires menées par les fonds spéculatifs devraient être déclarées irrecevables. L’illégitimité pour contrariété d’une situation à l’ordre public sert uniquement à justifier la limitation posée à leurs prétentions.</w:t>
      </w:r>
    </w:p>
    <w:p w14:paraId="3C994812" w14:textId="1A7E2DE6" w:rsidR="00863C20" w:rsidRPr="00E72418" w:rsidRDefault="00863C20" w:rsidP="00CC4BA8">
      <w:pPr>
        <w:spacing w:line="276" w:lineRule="auto"/>
        <w:rPr>
          <w:szCs w:val="24"/>
        </w:rPr>
      </w:pPr>
      <w:r w:rsidRPr="00E72418">
        <w:t xml:space="preserve">Dès lors que toute démarche visant la condamnation ou l’exécution d’une condamnation découlant d’un titre de dette </w:t>
      </w:r>
      <w:r w:rsidR="00F86021" w:rsidRPr="00E72418">
        <w:t xml:space="preserve">souveraine </w:t>
      </w:r>
      <w:r w:rsidRPr="00E72418">
        <w:t>devra faire l’objet d’une validation judiciaire préalable, il sera attendu de la part du créancier qu’il fasse montre d’une transparence totale relativement aux conditions dans lesquelles la créance poursuivie a été acquise</w:t>
      </w:r>
      <w:r w:rsidR="00F05AE6" w:rsidRPr="00E72418">
        <w:rPr>
          <w:rStyle w:val="Appelnotedebasdep"/>
        </w:rPr>
        <w:footnoteReference w:id="2135"/>
      </w:r>
      <w:r w:rsidRPr="00E72418">
        <w:t>. L</w:t>
      </w:r>
      <w:r w:rsidRPr="00E72418">
        <w:rPr>
          <w:bCs/>
          <w:szCs w:val="24"/>
        </w:rPr>
        <w:t xml:space="preserve">’accent sur cette transparence est d’ailleurs mis par le Comité </w:t>
      </w:r>
      <w:r w:rsidRPr="00E72418">
        <w:rPr>
          <w:szCs w:val="20"/>
        </w:rPr>
        <w:t>consultatif du Conseil des droits de l’homme des Nations Unies</w:t>
      </w:r>
      <w:r w:rsidRPr="00E72418">
        <w:rPr>
          <w:bCs/>
          <w:szCs w:val="24"/>
        </w:rPr>
        <w:t xml:space="preserve"> en ce qu’elle permet </w:t>
      </w:r>
      <w:r w:rsidR="00F86021" w:rsidRPr="00E72418">
        <w:rPr>
          <w:bCs/>
          <w:szCs w:val="24"/>
        </w:rPr>
        <w:t>aux</w:t>
      </w:r>
      <w:r w:rsidRPr="00E72418">
        <w:rPr>
          <w:bCs/>
          <w:szCs w:val="24"/>
        </w:rPr>
        <w:t xml:space="preserve"> juridictions saisies de poursuites </w:t>
      </w:r>
      <w:r w:rsidR="00F86021" w:rsidRPr="00E72418">
        <w:rPr>
          <w:bCs/>
          <w:szCs w:val="24"/>
        </w:rPr>
        <w:t xml:space="preserve">d’avoir </w:t>
      </w:r>
      <w:r w:rsidRPr="00E72418">
        <w:rPr>
          <w:bCs/>
          <w:szCs w:val="24"/>
        </w:rPr>
        <w:t>accès à tous les documents et renseignements pertinents relatifs aux montants des transactions et à l’identité des créanciers</w:t>
      </w:r>
      <w:r w:rsidRPr="00E72418">
        <w:rPr>
          <w:rStyle w:val="Appelnotedebasdep"/>
          <w:szCs w:val="24"/>
        </w:rPr>
        <w:footnoteReference w:id="2136"/>
      </w:r>
      <w:r w:rsidRPr="00E72418">
        <w:rPr>
          <w:bCs/>
          <w:szCs w:val="24"/>
        </w:rPr>
        <w:t>.</w:t>
      </w:r>
      <w:r w:rsidR="00965497" w:rsidRPr="00E72418">
        <w:rPr>
          <w:bCs/>
          <w:szCs w:val="24"/>
        </w:rPr>
        <w:t xml:space="preserve"> En réalité, ce sera essentiellement l’information relative au montant déboursé pour faire l’acquisition de la créance poursuivie qui devra être fournie au magistrat dès lors que nous préconisons de centrer notre </w:t>
      </w:r>
      <w:r w:rsidR="004F7711" w:rsidRPr="00E72418">
        <w:rPr>
          <w:bCs/>
          <w:szCs w:val="24"/>
        </w:rPr>
        <w:t xml:space="preserve">réglementation </w:t>
      </w:r>
      <w:r w:rsidR="00965497" w:rsidRPr="00E72418">
        <w:rPr>
          <w:bCs/>
          <w:szCs w:val="24"/>
        </w:rPr>
        <w:t>sur ce montant</w:t>
      </w:r>
      <w:r w:rsidR="00965497" w:rsidRPr="00E72418">
        <w:rPr>
          <w:rStyle w:val="Appelnotedebasdep"/>
          <w:bCs/>
          <w:szCs w:val="24"/>
        </w:rPr>
        <w:footnoteReference w:id="2137"/>
      </w:r>
      <w:r w:rsidR="00965497" w:rsidRPr="00E72418">
        <w:rPr>
          <w:bCs/>
          <w:szCs w:val="24"/>
        </w:rPr>
        <w:t>.</w:t>
      </w:r>
    </w:p>
    <w:p w14:paraId="4CD26268" w14:textId="77777777" w:rsidR="00D46AE5" w:rsidRPr="00E72418" w:rsidRDefault="00D46AE5" w:rsidP="00CC4BA8">
      <w:pPr>
        <w:spacing w:line="276" w:lineRule="auto"/>
        <w:rPr>
          <w:szCs w:val="24"/>
        </w:rPr>
      </w:pPr>
    </w:p>
    <w:p w14:paraId="0BCCD26F" w14:textId="7930687C" w:rsidR="00DA7F5F" w:rsidRPr="00E72418" w:rsidRDefault="00573FA9" w:rsidP="00CC4BA8">
      <w:pPr>
        <w:spacing w:line="276" w:lineRule="auto"/>
      </w:pPr>
      <w:r>
        <w:rPr>
          <w:b/>
          <w:szCs w:val="24"/>
        </w:rPr>
        <w:t>418</w:t>
      </w:r>
      <w:r w:rsidR="00817D62" w:rsidRPr="00E72418">
        <w:rPr>
          <w:b/>
          <w:szCs w:val="24"/>
        </w:rPr>
        <w:t xml:space="preserve">. </w:t>
      </w:r>
      <w:r w:rsidR="00D46AE5" w:rsidRPr="00E72418">
        <w:rPr>
          <w:b/>
          <w:szCs w:val="24"/>
        </w:rPr>
        <w:t xml:space="preserve">Les intérêts </w:t>
      </w:r>
      <w:r w:rsidR="00D46AE5" w:rsidRPr="00E72418">
        <w:rPr>
          <w:b/>
        </w:rPr>
        <w:t xml:space="preserve">– </w:t>
      </w:r>
      <w:r w:rsidR="00544C82" w:rsidRPr="00E72418">
        <w:t>La limitation des actions</w:t>
      </w:r>
      <w:r w:rsidR="00D46AE5" w:rsidRPr="00E72418">
        <w:t xml:space="preserve"> spéculatives</w:t>
      </w:r>
      <w:r w:rsidR="00544C82" w:rsidRPr="00E72418">
        <w:t xml:space="preserve">, même si elle est moins perturbante que leur interdiction, n’est toutefois pas sans impact sur les marchés financiers dans la mesure où elle conduit à ce </w:t>
      </w:r>
      <w:r w:rsidR="00DA7F5F" w:rsidRPr="00E72418">
        <w:t xml:space="preserve">que </w:t>
      </w:r>
      <w:r w:rsidR="00544C82" w:rsidRPr="00E72418">
        <w:t xml:space="preserve">les créances y soient vendues à moindre prix </w:t>
      </w:r>
      <w:r w:rsidR="00636B94">
        <w:t>en raison du fait qu’il se pourrait que la poursuite de leur valeur nominale soit limitée</w:t>
      </w:r>
      <w:r w:rsidR="00544C82" w:rsidRPr="00E72418">
        <w:rPr>
          <w:rStyle w:val="Appelnotedebasdep"/>
        </w:rPr>
        <w:footnoteReference w:id="2138"/>
      </w:r>
      <w:r w:rsidR="00544C82" w:rsidRPr="00E72418">
        <w:t xml:space="preserve">. Afin de maintenir des incitants </w:t>
      </w:r>
      <w:r w:rsidR="006C1CFA" w:rsidRPr="00E72418">
        <w:t xml:space="preserve">à </w:t>
      </w:r>
      <w:r w:rsidR="00544C82" w:rsidRPr="00E72418">
        <w:t>investir dans le marché secondaire des dettes souveraines, il nous apparaît nécessaire que ceux</w:t>
      </w:r>
      <w:r w:rsidR="006C1CFA" w:rsidRPr="00E72418">
        <w:t xml:space="preserve"> qui s’y engagent</w:t>
      </w:r>
      <w:r w:rsidR="00544C82" w:rsidRPr="00E72418">
        <w:t xml:space="preserve"> soient en mesure de tirer un profit de leur investissement</w:t>
      </w:r>
      <w:r w:rsidR="004063A5" w:rsidRPr="00E72418">
        <w:t xml:space="preserve"> tel que cela était envisagé dans la </w:t>
      </w:r>
      <w:r w:rsidR="005E7E77" w:rsidRPr="00E72418">
        <w:t>proposition</w:t>
      </w:r>
      <w:r w:rsidR="004063A5" w:rsidRPr="00E72418">
        <w:t xml:space="preserve"> étatsunienne</w:t>
      </w:r>
      <w:r w:rsidR="004063A5" w:rsidRPr="00E72418">
        <w:rPr>
          <w:rStyle w:val="Appelnotedebasdep"/>
        </w:rPr>
        <w:footnoteReference w:id="2139"/>
      </w:r>
      <w:r w:rsidR="006910C5" w:rsidRPr="00E72418">
        <w:t xml:space="preserve"> ainsi que dans la </w:t>
      </w:r>
      <w:r w:rsidR="006910C5" w:rsidRPr="00E72418">
        <w:rPr>
          <w:i/>
        </w:rPr>
        <w:t>Developing Country Debt (Restriction of Recovery) Bill</w:t>
      </w:r>
      <w:r w:rsidR="00FA2EAF" w:rsidRPr="00E72418">
        <w:rPr>
          <w:i/>
        </w:rPr>
        <w:t xml:space="preserve"> </w:t>
      </w:r>
      <w:r w:rsidR="00FA2EAF" w:rsidRPr="00E72418">
        <w:t>britannique</w:t>
      </w:r>
      <w:r w:rsidR="006910C5" w:rsidRPr="00E72418">
        <w:t xml:space="preserve"> non concrétisée</w:t>
      </w:r>
      <w:r w:rsidR="006910C5" w:rsidRPr="00E72418">
        <w:rPr>
          <w:rStyle w:val="Appelnotedebasdep"/>
        </w:rPr>
        <w:footnoteReference w:id="2140"/>
      </w:r>
      <w:r w:rsidR="00544C82" w:rsidRPr="00E72418">
        <w:t xml:space="preserve">. </w:t>
      </w:r>
    </w:p>
    <w:p w14:paraId="2A62EC68" w14:textId="4A9971F6" w:rsidR="00544C82" w:rsidRPr="00E72418" w:rsidRDefault="00544C82" w:rsidP="00CC4BA8">
      <w:pPr>
        <w:spacing w:line="276" w:lineRule="auto"/>
        <w:rPr>
          <w:szCs w:val="24"/>
        </w:rPr>
      </w:pPr>
      <w:r w:rsidRPr="00E72418">
        <w:t>La possibilité offerte au</w:t>
      </w:r>
      <w:r w:rsidR="004063A5" w:rsidRPr="00E72418">
        <w:t>x</w:t>
      </w:r>
      <w:r w:rsidRPr="00E72418">
        <w:t xml:space="preserve"> créancier</w:t>
      </w:r>
      <w:r w:rsidR="004063A5" w:rsidRPr="00E72418">
        <w:t>s</w:t>
      </w:r>
      <w:r w:rsidRPr="00E72418">
        <w:t xml:space="preserve"> d’obtenir un intérêt sur le montant réglé pour faire l’acquisition de la dette sur le marché secondaire s’inscrit logiquement dans le souci de neutraliser le caractère abusif de l’exercice de </w:t>
      </w:r>
      <w:r w:rsidR="004063A5" w:rsidRPr="00E72418">
        <w:t xml:space="preserve">leurs </w:t>
      </w:r>
      <w:r w:rsidR="00B66150" w:rsidRPr="00E72418">
        <w:t>droits</w:t>
      </w:r>
      <w:r w:rsidRPr="00E72418">
        <w:t xml:space="preserve"> en réduisant </w:t>
      </w:r>
      <w:r w:rsidR="004063A5" w:rsidRPr="00E72418">
        <w:t>leur</w:t>
      </w:r>
      <w:r w:rsidRPr="00E72418">
        <w:t xml:space="preserve"> demande à une prétention normale pour un acteur financier cherchant à faire un bénéfice à travers son </w:t>
      </w:r>
      <w:r w:rsidRPr="00E72418">
        <w:lastRenderedPageBreak/>
        <w:t>investissement</w:t>
      </w:r>
      <w:r w:rsidRPr="00E72418">
        <w:rPr>
          <w:rStyle w:val="Appelnotedebasdep"/>
        </w:rPr>
        <w:footnoteReference w:id="2141"/>
      </w:r>
      <w:r w:rsidRPr="00E72418">
        <w:t xml:space="preserve">. </w:t>
      </w:r>
      <w:r w:rsidR="00DA7F5F" w:rsidRPr="00E72418">
        <w:rPr>
          <w:szCs w:val="24"/>
        </w:rPr>
        <w:t>Il importe par conséquent de permettre au</w:t>
      </w:r>
      <w:r w:rsidR="004063A5" w:rsidRPr="00E72418">
        <w:rPr>
          <w:szCs w:val="24"/>
        </w:rPr>
        <w:t>x</w:t>
      </w:r>
      <w:r w:rsidR="00DA7F5F" w:rsidRPr="00E72418">
        <w:rPr>
          <w:szCs w:val="24"/>
        </w:rPr>
        <w:t xml:space="preserve"> créancier</w:t>
      </w:r>
      <w:r w:rsidR="004063A5" w:rsidRPr="00E72418">
        <w:rPr>
          <w:szCs w:val="24"/>
        </w:rPr>
        <w:t>s</w:t>
      </w:r>
      <w:r w:rsidR="00DA7F5F" w:rsidRPr="00E72418">
        <w:rPr>
          <w:szCs w:val="24"/>
        </w:rPr>
        <w:t xml:space="preserve"> de ne pas voir </w:t>
      </w:r>
      <w:r w:rsidR="004063A5" w:rsidRPr="00E72418">
        <w:rPr>
          <w:szCs w:val="24"/>
        </w:rPr>
        <w:t>leur</w:t>
      </w:r>
      <w:r w:rsidR="00DA7F5F" w:rsidRPr="00E72418">
        <w:rPr>
          <w:szCs w:val="24"/>
        </w:rPr>
        <w:t xml:space="preserve"> prétention limitée au seul montant déboursé afin de faire l’acquisition du titre sur le marché secondaire au risque que la liquidité de ce dernier s’en trouve affectée de manière trop importante</w:t>
      </w:r>
      <w:r w:rsidR="00C81D3F" w:rsidRPr="00E72418">
        <w:rPr>
          <w:rStyle w:val="Appelnotedebasdep"/>
          <w:szCs w:val="24"/>
        </w:rPr>
        <w:footnoteReference w:id="2142"/>
      </w:r>
      <w:r w:rsidR="00DA7F5F" w:rsidRPr="00E72418">
        <w:rPr>
          <w:szCs w:val="24"/>
        </w:rPr>
        <w:t xml:space="preserve">. </w:t>
      </w:r>
      <w:r w:rsidR="004063A5" w:rsidRPr="00E72418">
        <w:t xml:space="preserve">La compensation que doivent </w:t>
      </w:r>
      <w:r w:rsidR="00C81D3F" w:rsidRPr="00E72418">
        <w:t>pouvoir obtenir le</w:t>
      </w:r>
      <w:r w:rsidR="004063A5" w:rsidRPr="00E72418">
        <w:t>s</w:t>
      </w:r>
      <w:r w:rsidR="00C81D3F" w:rsidRPr="00E72418">
        <w:t xml:space="preserve"> créancier</w:t>
      </w:r>
      <w:r w:rsidR="004063A5" w:rsidRPr="00E72418">
        <w:t>s</w:t>
      </w:r>
      <w:r w:rsidR="00C81D3F" w:rsidRPr="00E72418">
        <w:t xml:space="preserve"> par l’octroi d’un intérêt doit couvrir, d’une part, </w:t>
      </w:r>
      <w:r w:rsidRPr="00E72418">
        <w:t>le risque encouru de ne pas récupérer l’argent engagé</w:t>
      </w:r>
      <w:r w:rsidR="00C81D3F" w:rsidRPr="00E72418">
        <w:t>, d’autre</w:t>
      </w:r>
      <w:r w:rsidR="00DA7F5F" w:rsidRPr="00E72418">
        <w:t xml:space="preserve"> part,</w:t>
      </w:r>
      <w:r w:rsidRPr="00E72418">
        <w:t xml:space="preserve"> </w:t>
      </w:r>
      <w:r w:rsidR="00C81D3F" w:rsidRPr="00E72418">
        <w:t xml:space="preserve">le coût de </w:t>
      </w:r>
      <w:r w:rsidRPr="00E72418">
        <w:t>l’indisponibilité de cet argent</w:t>
      </w:r>
      <w:r w:rsidRPr="00E72418">
        <w:rPr>
          <w:rStyle w:val="Appelnotedebasdep"/>
        </w:rPr>
        <w:footnoteReference w:id="2143"/>
      </w:r>
      <w:r w:rsidRPr="00E72418">
        <w:t xml:space="preserve">. </w:t>
      </w:r>
    </w:p>
    <w:p w14:paraId="79D2DEF5" w14:textId="2695D83A" w:rsidR="00DA7F5F" w:rsidRPr="00E72418" w:rsidRDefault="004E0951" w:rsidP="00CC4BA8">
      <w:pPr>
        <w:spacing w:line="276" w:lineRule="auto"/>
        <w:rPr>
          <w:szCs w:val="24"/>
        </w:rPr>
      </w:pPr>
      <w:r w:rsidRPr="00E72418">
        <w:rPr>
          <w:szCs w:val="24"/>
        </w:rPr>
        <w:t>La possibilité d’engranger un intérêt représentant le risque encouru nous apparaît comme dev</w:t>
      </w:r>
      <w:r w:rsidR="00DA7F5F" w:rsidRPr="00E72418">
        <w:rPr>
          <w:szCs w:val="24"/>
        </w:rPr>
        <w:t>ant être impérativement reprise</w:t>
      </w:r>
      <w:r w:rsidRPr="00E72418">
        <w:rPr>
          <w:szCs w:val="24"/>
        </w:rPr>
        <w:t xml:space="preserve"> dans la législation souhaitée</w:t>
      </w:r>
      <w:r w:rsidR="002D6CEC" w:rsidRPr="00E72418">
        <w:rPr>
          <w:rStyle w:val="Appelnotedebasdep"/>
          <w:szCs w:val="24"/>
        </w:rPr>
        <w:footnoteReference w:id="2144"/>
      </w:r>
      <w:r w:rsidRPr="00E72418">
        <w:rPr>
          <w:szCs w:val="24"/>
        </w:rPr>
        <w:t>.</w:t>
      </w:r>
      <w:r w:rsidR="00980020" w:rsidRPr="00E72418">
        <w:rPr>
          <w:szCs w:val="24"/>
        </w:rPr>
        <w:t xml:space="preserve"> </w:t>
      </w:r>
      <w:r w:rsidR="00544C82" w:rsidRPr="00E72418">
        <w:rPr>
          <w:rFonts w:cs="Times New Roman"/>
          <w:szCs w:val="24"/>
        </w:rPr>
        <w:t xml:space="preserve">L’investissement sur le marché secondaire étant risqué, les investisseurs sont conscients des risques. </w:t>
      </w:r>
      <w:r w:rsidR="004063A5" w:rsidRPr="00E72418">
        <w:t>Ce</w:t>
      </w:r>
      <w:r w:rsidR="00CF4231" w:rsidRPr="00E72418">
        <w:t>s</w:t>
      </w:r>
      <w:r w:rsidR="004063A5" w:rsidRPr="00E72418">
        <w:t xml:space="preserve"> risque</w:t>
      </w:r>
      <w:r w:rsidR="00CF4231" w:rsidRPr="00E72418">
        <w:t>s</w:t>
      </w:r>
      <w:r w:rsidR="004063A5" w:rsidRPr="00E72418">
        <w:t xml:space="preserve"> doi</w:t>
      </w:r>
      <w:r w:rsidR="00CF4231" w:rsidRPr="00E72418">
        <w:t>ven</w:t>
      </w:r>
      <w:r w:rsidR="004063A5" w:rsidRPr="00E72418">
        <w:t>t</w:t>
      </w:r>
      <w:r w:rsidR="00544C82" w:rsidRPr="00E72418">
        <w:t xml:space="preserve"> </w:t>
      </w:r>
      <w:r w:rsidR="00CF4231" w:rsidRPr="00E72418">
        <w:t xml:space="preserve">toutefois </w:t>
      </w:r>
      <w:r w:rsidR="00544C82" w:rsidRPr="00E72418">
        <w:t>pouvoir être calculé</w:t>
      </w:r>
      <w:r w:rsidR="00CF4231" w:rsidRPr="00E72418">
        <w:t>s</w:t>
      </w:r>
      <w:r w:rsidR="00544C82" w:rsidRPr="00E72418">
        <w:t xml:space="preserve"> afin que certains soient prêts à le</w:t>
      </w:r>
      <w:r w:rsidR="00CF4231" w:rsidRPr="00E72418">
        <w:t>s</w:t>
      </w:r>
      <w:r w:rsidR="00544C82" w:rsidRPr="00E72418">
        <w:t xml:space="preserve"> prendre</w:t>
      </w:r>
      <w:r w:rsidR="005659FD" w:rsidRPr="00E72418">
        <w:t>. Le risque est</w:t>
      </w:r>
      <w:r w:rsidR="004063A5" w:rsidRPr="00E72418">
        <w:t>,</w:t>
      </w:r>
      <w:r w:rsidR="005659FD" w:rsidRPr="00E72418">
        <w:t xml:space="preserve"> par exemple et surtout</w:t>
      </w:r>
      <w:r w:rsidR="004063A5" w:rsidRPr="00E72418">
        <w:t>,</w:t>
      </w:r>
      <w:r w:rsidR="005659FD" w:rsidRPr="00E72418">
        <w:t xml:space="preserve"> que restructuration de la dette il y ait et, par conséquent, que la dette s’en trouve réduite</w:t>
      </w:r>
      <w:r w:rsidR="004063A5" w:rsidRPr="00E72418">
        <w:rPr>
          <w:rStyle w:val="Appelnotedebasdep"/>
        </w:rPr>
        <w:footnoteReference w:id="2145"/>
      </w:r>
      <w:r w:rsidR="005659FD" w:rsidRPr="00E72418">
        <w:t>.</w:t>
      </w:r>
      <w:r w:rsidR="00F112B8" w:rsidRPr="00E72418">
        <w:t xml:space="preserve"> </w:t>
      </w:r>
      <w:r w:rsidR="00C81D3F" w:rsidRPr="00E72418">
        <w:rPr>
          <w:szCs w:val="24"/>
        </w:rPr>
        <w:t xml:space="preserve">L’indisponibilité de l’argent engagé dans le rachat d’une dette souveraine doit pouvoir être également compensée par un intérêt. </w:t>
      </w:r>
      <w:r w:rsidR="00DA7F5F" w:rsidRPr="00E72418">
        <w:rPr>
          <w:szCs w:val="24"/>
        </w:rPr>
        <w:t>Il y a là une mesure à avoir sachant qu’il est des cas dans lesquels les pénalités de retard réclamés dépassent, parfois largement, l’investissement initial</w:t>
      </w:r>
      <w:r w:rsidR="00DA7F5F" w:rsidRPr="00E72418">
        <w:rPr>
          <w:rStyle w:val="Appelnotedebasdep"/>
          <w:szCs w:val="24"/>
        </w:rPr>
        <w:footnoteReference w:id="2146"/>
      </w:r>
      <w:r w:rsidR="00DA7F5F" w:rsidRPr="00E72418">
        <w:rPr>
          <w:szCs w:val="24"/>
        </w:rPr>
        <w:t>.</w:t>
      </w:r>
    </w:p>
    <w:p w14:paraId="2B24DE83" w14:textId="77777777" w:rsidR="00C374C7" w:rsidRPr="00E72418" w:rsidRDefault="00C374C7" w:rsidP="00CC4BA8">
      <w:pPr>
        <w:spacing w:line="276" w:lineRule="auto"/>
      </w:pPr>
    </w:p>
    <w:p w14:paraId="60F348E4" w14:textId="7848905A" w:rsidR="00612E6E" w:rsidRPr="00E72418" w:rsidRDefault="00573FA9" w:rsidP="00CC4BA8">
      <w:pPr>
        <w:spacing w:line="276" w:lineRule="auto"/>
      </w:pPr>
      <w:r>
        <w:rPr>
          <w:b/>
        </w:rPr>
        <w:t>419</w:t>
      </w:r>
      <w:r w:rsidR="00817D62" w:rsidRPr="00E72418">
        <w:rPr>
          <w:b/>
        </w:rPr>
        <w:t xml:space="preserve">. </w:t>
      </w:r>
      <w:r w:rsidR="00217231" w:rsidRPr="00E72418">
        <w:rPr>
          <w:b/>
        </w:rPr>
        <w:t>Les frais</w:t>
      </w:r>
      <w:r w:rsidR="00612E6E" w:rsidRPr="00E72418">
        <w:rPr>
          <w:b/>
        </w:rPr>
        <w:t xml:space="preserve"> </w:t>
      </w:r>
      <w:r w:rsidR="002D6CEC" w:rsidRPr="00E72418">
        <w:rPr>
          <w:b/>
        </w:rPr>
        <w:t xml:space="preserve">– </w:t>
      </w:r>
      <w:r w:rsidR="002D6CEC" w:rsidRPr="00E72418">
        <w:t xml:space="preserve">Dès lors qu’un créancier aurait à saisir les juridictions afin d’obtenir le paiement de sa créance dans la mesure prévue par la législation attendue, il ne nous paraît </w:t>
      </w:r>
      <w:r w:rsidR="00123F80" w:rsidRPr="00E72418">
        <w:t xml:space="preserve">pas </w:t>
      </w:r>
      <w:r w:rsidR="002D6CEC" w:rsidRPr="00E72418">
        <w:t xml:space="preserve">qu’il faille lui refuser de récupérer, dans une juste mesure, les frais </w:t>
      </w:r>
      <w:r w:rsidR="00612E6E" w:rsidRPr="00E72418">
        <w:t>engagés</w:t>
      </w:r>
      <w:r w:rsidR="002D6CEC" w:rsidRPr="00E72418">
        <w:t xml:space="preserve"> afin d’obtenir son désintéressement. </w:t>
      </w:r>
    </w:p>
    <w:p w14:paraId="08761D9D" w14:textId="7D386C49" w:rsidR="00E762FA" w:rsidRPr="00E72418" w:rsidRDefault="002D6CEC" w:rsidP="00CC4BA8">
      <w:pPr>
        <w:spacing w:line="276" w:lineRule="auto"/>
      </w:pPr>
      <w:r w:rsidRPr="00E72418">
        <w:t xml:space="preserve">Le système de l’indemnité de procédure belge dont le montant est lié à l’importance de la somme réclamée nous semble adéquat en ce qu’il paraît offrir la juste mesure entre des frais </w:t>
      </w:r>
      <w:r w:rsidR="00125FC0" w:rsidRPr="00E72418">
        <w:t>ex</w:t>
      </w:r>
      <w:r w:rsidRPr="00E72418">
        <w:t>orbitants qui seraient réclamés et le refus d’une récupération des frais.</w:t>
      </w:r>
      <w:r w:rsidR="009B1445" w:rsidRPr="00E72418">
        <w:t xml:space="preserve"> L’alinéa premier de l’article 1022 du Code judiciaire belge précise ainsi que l’indemnité de procédure est une intervention forfaitaire dans les frais et honoraires d’avocat de la partie ayant obtenu gain de cause. </w:t>
      </w:r>
      <w:r w:rsidR="00E762FA" w:rsidRPr="00E72418">
        <w:t>Au moment de sa détermination, i</w:t>
      </w:r>
      <w:r w:rsidR="009B1445" w:rsidRPr="00E72418">
        <w:t>l revient au juge de se référer aux montants de base, minima et maxima de l’indemnité de procédure fixé par le Roi, en fonction notamment de la nature de l’</w:t>
      </w:r>
      <w:r w:rsidR="00E762FA" w:rsidRPr="00E72418">
        <w:t>affaire et de l’</w:t>
      </w:r>
      <w:r w:rsidR="009B1445" w:rsidRPr="00E72418">
        <w:t xml:space="preserve">importance du litige. </w:t>
      </w:r>
    </w:p>
    <w:p w14:paraId="68D017C3" w14:textId="7907967A" w:rsidR="002D6CEC" w:rsidRPr="00E72418" w:rsidRDefault="009B1445" w:rsidP="00CC4BA8">
      <w:pPr>
        <w:spacing w:line="276" w:lineRule="auto"/>
      </w:pPr>
      <w:r w:rsidRPr="00E72418">
        <w:t xml:space="preserve">En plus de la mesure des réclamations </w:t>
      </w:r>
      <w:r w:rsidR="00F112B8" w:rsidRPr="00E72418">
        <w:t>permise par</w:t>
      </w:r>
      <w:r w:rsidRPr="00E72418">
        <w:t xml:space="preserve"> le système mis en place par le législateur</w:t>
      </w:r>
      <w:r w:rsidR="00F87704" w:rsidRPr="00E72418">
        <w:t xml:space="preserve"> belge</w:t>
      </w:r>
      <w:r w:rsidRPr="00E72418">
        <w:t xml:space="preserve">, </w:t>
      </w:r>
      <w:r w:rsidR="00F87704" w:rsidRPr="00E72418">
        <w:t>cette solution</w:t>
      </w:r>
      <w:r w:rsidRPr="00E72418">
        <w:t xml:space="preserve"> nous apparaît d’autant plus attrayant</w:t>
      </w:r>
      <w:r w:rsidR="00F87704" w:rsidRPr="00E72418">
        <w:t>e</w:t>
      </w:r>
      <w:r w:rsidRPr="00E72418">
        <w:t xml:space="preserve"> qu</w:t>
      </w:r>
      <w:r w:rsidR="00F87704" w:rsidRPr="00E72418">
        <w:t>’elle</w:t>
      </w:r>
      <w:r w:rsidRPr="00E72418">
        <w:t xml:space="preserve"> permet au juge </w:t>
      </w:r>
      <w:r w:rsidR="00E762FA" w:rsidRPr="00E72418">
        <w:t xml:space="preserve">de faire varier le montant de l’indemnité pour autant qu’il reste dans la fourchette imposée. Dans son appréciation faite à la demande des parties, il tient ainsi notamment compte de la capacité </w:t>
      </w:r>
      <w:r w:rsidR="00E762FA" w:rsidRPr="00E72418">
        <w:lastRenderedPageBreak/>
        <w:t xml:space="preserve">financière de la partie </w:t>
      </w:r>
      <w:r w:rsidR="00125FC0" w:rsidRPr="00E72418">
        <w:t>qui succombe</w:t>
      </w:r>
      <w:r w:rsidR="00E762FA" w:rsidRPr="00E72418">
        <w:t>, en l’occurrence, pour diminuer le montant de l’indemnité</w:t>
      </w:r>
      <w:r w:rsidR="00E762FA" w:rsidRPr="00E72418">
        <w:rPr>
          <w:rStyle w:val="Appelnotedebasdep"/>
        </w:rPr>
        <w:footnoteReference w:id="2147"/>
      </w:r>
      <w:r w:rsidR="00E762FA" w:rsidRPr="00E72418">
        <w:t>.</w:t>
      </w:r>
    </w:p>
    <w:p w14:paraId="33491A8E" w14:textId="058016E9" w:rsidR="00E01F90" w:rsidRPr="00E72418" w:rsidRDefault="00E01F90" w:rsidP="0004621F"/>
    <w:p w14:paraId="74575C88" w14:textId="1926F212" w:rsidR="00264450" w:rsidRPr="00E72418" w:rsidRDefault="00573FA9" w:rsidP="00264450">
      <w:pPr>
        <w:spacing w:line="276" w:lineRule="auto"/>
        <w:rPr>
          <w:szCs w:val="24"/>
        </w:rPr>
      </w:pPr>
      <w:r>
        <w:rPr>
          <w:b/>
          <w:szCs w:val="24"/>
        </w:rPr>
        <w:t>420</w:t>
      </w:r>
      <w:r w:rsidR="00817D62" w:rsidRPr="00E72418">
        <w:rPr>
          <w:b/>
          <w:szCs w:val="24"/>
        </w:rPr>
        <w:t xml:space="preserve">. </w:t>
      </w:r>
      <w:r w:rsidR="00264450" w:rsidRPr="00E72418">
        <w:rPr>
          <w:b/>
          <w:szCs w:val="24"/>
        </w:rPr>
        <w:t xml:space="preserve">L’application des termes d’une restructuration </w:t>
      </w:r>
      <w:r w:rsidR="00264450" w:rsidRPr="00E72418">
        <w:rPr>
          <w:b/>
        </w:rPr>
        <w:t xml:space="preserve">– </w:t>
      </w:r>
      <w:r w:rsidR="00264450" w:rsidRPr="00E72418">
        <w:rPr>
          <w:szCs w:val="24"/>
        </w:rPr>
        <w:t>Les termes d’une restructuration</w:t>
      </w:r>
      <w:r w:rsidR="00BE0FB2" w:rsidRPr="00E72418">
        <w:rPr>
          <w:szCs w:val="24"/>
        </w:rPr>
        <w:t>,</w:t>
      </w:r>
      <w:r w:rsidR="00264450" w:rsidRPr="00E72418">
        <w:rPr>
          <w:szCs w:val="24"/>
        </w:rPr>
        <w:t xml:space="preserve"> qu’ils découlent d’une démarche unilatérale du débiteur souverain ou d’une négoc</w:t>
      </w:r>
      <w:r w:rsidR="00125FC0" w:rsidRPr="00E72418">
        <w:rPr>
          <w:szCs w:val="24"/>
        </w:rPr>
        <w:t>i</w:t>
      </w:r>
      <w:r w:rsidR="00264450" w:rsidRPr="00E72418">
        <w:rPr>
          <w:szCs w:val="24"/>
        </w:rPr>
        <w:t>ation avec les créanciers</w:t>
      </w:r>
      <w:r w:rsidR="00BE0FB2" w:rsidRPr="00E72418">
        <w:rPr>
          <w:szCs w:val="24"/>
        </w:rPr>
        <w:t>,</w:t>
      </w:r>
      <w:r w:rsidR="00264450" w:rsidRPr="00E72418">
        <w:rPr>
          <w:szCs w:val="24"/>
        </w:rPr>
        <w:t xml:space="preserve"> coïncident par principe avec un service de la dette qui soit crédible</w:t>
      </w:r>
      <w:r w:rsidR="00DD660A" w:rsidRPr="00E72418">
        <w:rPr>
          <w:szCs w:val="24"/>
        </w:rPr>
        <w:t xml:space="preserve"> et, on peut </w:t>
      </w:r>
      <w:r w:rsidR="00BE0FB2" w:rsidRPr="00E72418">
        <w:rPr>
          <w:szCs w:val="24"/>
        </w:rPr>
        <w:t>l’attendre</w:t>
      </w:r>
      <w:r w:rsidR="00DD660A" w:rsidRPr="00E72418">
        <w:rPr>
          <w:szCs w:val="24"/>
        </w:rPr>
        <w:t>, soutenable</w:t>
      </w:r>
      <w:r w:rsidR="00264450" w:rsidRPr="00E72418">
        <w:rPr>
          <w:szCs w:val="24"/>
        </w:rPr>
        <w:t xml:space="preserve">. </w:t>
      </w:r>
      <w:r w:rsidR="002556A3" w:rsidRPr="00E72418">
        <w:rPr>
          <w:szCs w:val="24"/>
        </w:rPr>
        <w:t xml:space="preserve">Par conséquent, </w:t>
      </w:r>
      <w:r w:rsidR="00BE0FB2" w:rsidRPr="00E72418">
        <w:rPr>
          <w:szCs w:val="24"/>
        </w:rPr>
        <w:t>ces termes devraient</w:t>
      </w:r>
      <w:r w:rsidR="002556A3" w:rsidRPr="00E72418">
        <w:rPr>
          <w:szCs w:val="24"/>
        </w:rPr>
        <w:t xml:space="preserve"> trouve</w:t>
      </w:r>
      <w:r w:rsidR="00BE0FB2" w:rsidRPr="00E72418">
        <w:rPr>
          <w:szCs w:val="24"/>
        </w:rPr>
        <w:t>r</w:t>
      </w:r>
      <w:r w:rsidR="002556A3" w:rsidRPr="00E72418">
        <w:rPr>
          <w:szCs w:val="24"/>
        </w:rPr>
        <w:t xml:space="preserve"> à s’appliquer aux prétentions des spéculateurs</w:t>
      </w:r>
      <w:r w:rsidR="00BE0FB2" w:rsidRPr="00E72418">
        <w:rPr>
          <w:szCs w:val="24"/>
        </w:rPr>
        <w:t xml:space="preserve">, rien ne justifiant </w:t>
      </w:r>
      <w:r w:rsidR="00BE0FB2" w:rsidRPr="00E72418">
        <w:rPr>
          <w:i/>
          <w:szCs w:val="24"/>
        </w:rPr>
        <w:t>a priori</w:t>
      </w:r>
      <w:r w:rsidR="00BE0FB2" w:rsidRPr="00E72418">
        <w:rPr>
          <w:szCs w:val="24"/>
        </w:rPr>
        <w:t xml:space="preserve"> que les titres rachetés sur le marché secondaire en soient exclus</w:t>
      </w:r>
      <w:r w:rsidR="002556A3" w:rsidRPr="00E72418">
        <w:rPr>
          <w:szCs w:val="24"/>
        </w:rPr>
        <w:t>.</w:t>
      </w:r>
    </w:p>
    <w:p w14:paraId="5685B721" w14:textId="2D79FB98" w:rsidR="00264450" w:rsidRPr="00E72418" w:rsidRDefault="00264450" w:rsidP="00264450">
      <w:pPr>
        <w:spacing w:line="276" w:lineRule="auto"/>
        <w:rPr>
          <w:szCs w:val="24"/>
        </w:rPr>
      </w:pPr>
      <w:r w:rsidRPr="00E72418">
        <w:rPr>
          <w:szCs w:val="24"/>
        </w:rPr>
        <w:t xml:space="preserve">Dans l’hypothèse où les termes </w:t>
      </w:r>
      <w:r w:rsidR="00BE0FB2" w:rsidRPr="00E72418">
        <w:rPr>
          <w:szCs w:val="24"/>
        </w:rPr>
        <w:t xml:space="preserve">de la restructuration </w:t>
      </w:r>
      <w:r w:rsidRPr="00E72418">
        <w:rPr>
          <w:szCs w:val="24"/>
        </w:rPr>
        <w:t xml:space="preserve">induisent une perte pour les fonds spéculatifs puisqu’ils seraient inférieurs au montant déboursé pour faire l’acquisition des titres sur le marché secondaire, leur application </w:t>
      </w:r>
      <w:r w:rsidR="00BE0FB2" w:rsidRPr="00E72418">
        <w:rPr>
          <w:szCs w:val="24"/>
        </w:rPr>
        <w:t xml:space="preserve">s’explique </w:t>
      </w:r>
      <w:r w:rsidRPr="00E72418">
        <w:rPr>
          <w:szCs w:val="24"/>
        </w:rPr>
        <w:t>par un souci d’égalité entre les div</w:t>
      </w:r>
      <w:r w:rsidR="00DD660A" w:rsidRPr="00E72418">
        <w:rPr>
          <w:szCs w:val="24"/>
        </w:rPr>
        <w:t>ers créanciers</w:t>
      </w:r>
      <w:r w:rsidR="00123F80" w:rsidRPr="00E72418">
        <w:rPr>
          <w:szCs w:val="24"/>
        </w:rPr>
        <w:t xml:space="preserve"> impliqués</w:t>
      </w:r>
      <w:r w:rsidR="00DD660A" w:rsidRPr="00E72418">
        <w:rPr>
          <w:szCs w:val="24"/>
        </w:rPr>
        <w:t xml:space="preserve">. Rien </w:t>
      </w:r>
      <w:r w:rsidR="00BE0FB2" w:rsidRPr="00E72418">
        <w:rPr>
          <w:szCs w:val="24"/>
        </w:rPr>
        <w:t xml:space="preserve">ne justifierait </w:t>
      </w:r>
      <w:r w:rsidRPr="00E72418">
        <w:rPr>
          <w:szCs w:val="24"/>
        </w:rPr>
        <w:t>que les fonds spéculatifs puissent bénéficier d</w:t>
      </w:r>
      <w:r w:rsidR="00B66150" w:rsidRPr="00E72418">
        <w:rPr>
          <w:szCs w:val="24"/>
        </w:rPr>
        <w:t>e termes plus favorables</w:t>
      </w:r>
      <w:r w:rsidR="00BE0FB2" w:rsidRPr="00E72418">
        <w:rPr>
          <w:szCs w:val="24"/>
        </w:rPr>
        <w:t>, et ce,</w:t>
      </w:r>
      <w:r w:rsidR="00B66150" w:rsidRPr="00E72418">
        <w:rPr>
          <w:szCs w:val="24"/>
        </w:rPr>
        <w:t xml:space="preserve"> </w:t>
      </w:r>
      <w:r w:rsidRPr="00E72418">
        <w:rPr>
          <w:szCs w:val="24"/>
        </w:rPr>
        <w:t xml:space="preserve">quand bien même auraient-ils accepté de s’engager à un moment où le débiteur souverain faisait déjà face à des difficultés financières. Nous l’avons déjà indiqué, ce risque </w:t>
      </w:r>
      <w:r w:rsidR="00BE0FB2" w:rsidRPr="00E72418">
        <w:rPr>
          <w:szCs w:val="24"/>
        </w:rPr>
        <w:t>est en principe</w:t>
      </w:r>
      <w:r w:rsidRPr="00E72418">
        <w:rPr>
          <w:szCs w:val="24"/>
        </w:rPr>
        <w:t xml:space="preserve"> calculé et pris en compte dans l’intérêt que les investisseurs doivent pouvoir tirer de leur rachat de dettes souveraines sur le marché secondaire</w:t>
      </w:r>
      <w:r w:rsidR="004E40E6" w:rsidRPr="00E72418">
        <w:rPr>
          <w:rStyle w:val="Appelnotedebasdep"/>
          <w:szCs w:val="24"/>
        </w:rPr>
        <w:footnoteReference w:id="2148"/>
      </w:r>
      <w:r w:rsidRPr="00E72418">
        <w:rPr>
          <w:szCs w:val="24"/>
        </w:rPr>
        <w:t>.</w:t>
      </w:r>
    </w:p>
    <w:p w14:paraId="3B97F4D4" w14:textId="3015D971" w:rsidR="005B2127" w:rsidRPr="00E72418" w:rsidRDefault="00264450" w:rsidP="00264450">
      <w:pPr>
        <w:spacing w:line="276" w:lineRule="auto"/>
      </w:pPr>
      <w:r w:rsidRPr="00E72418">
        <w:t>Aucune objection ne nous paraît justifier de refuser aux fonds spéculatifs de tirer profit des termes d’une restructuration. L’on sait que</w:t>
      </w:r>
      <w:r w:rsidR="00123F80" w:rsidRPr="00E72418">
        <w:t>,</w:t>
      </w:r>
      <w:r w:rsidRPr="00E72418">
        <w:t xml:space="preserve"> dans certains cas, le rachat de titres peut se faire à un montant inférieur à celui auquel ceux-ci seront valorisés à l’issue d’une restructuration</w:t>
      </w:r>
      <w:r w:rsidRPr="00E72418">
        <w:rPr>
          <w:rStyle w:val="Appelnotedebasdep"/>
          <w:szCs w:val="24"/>
        </w:rPr>
        <w:footnoteReference w:id="2149"/>
      </w:r>
      <w:r w:rsidRPr="00E72418">
        <w:t xml:space="preserve">. Puisque </w:t>
      </w:r>
      <w:r w:rsidR="00DD660A" w:rsidRPr="00E72418">
        <w:t xml:space="preserve">le rejet de </w:t>
      </w:r>
      <w:r w:rsidRPr="00E72418">
        <w:t>la spéculation sur les dettes souveraines se justifie</w:t>
      </w:r>
      <w:r w:rsidR="00BE0FB2" w:rsidRPr="00E72418">
        <w:t xml:space="preserve"> dans notre modèle</w:t>
      </w:r>
      <w:r w:rsidRPr="00E72418">
        <w:t xml:space="preserve"> par le souci de leur soutenabilité, rien ne nous paraît s’opposer à ce que des termes jugés viables par le débiteur souverain s’appliquent </w:t>
      </w:r>
      <w:r w:rsidR="00BE0FB2" w:rsidRPr="00E72418">
        <w:t>aux</w:t>
      </w:r>
      <w:r w:rsidRPr="00E72418">
        <w:t xml:space="preserve"> spéculateurs</w:t>
      </w:r>
      <w:r w:rsidR="00BE0FB2" w:rsidRPr="00E72418">
        <w:t xml:space="preserve">, le gain qu’ils en tireraient </w:t>
      </w:r>
      <w:r w:rsidR="00DD660A" w:rsidRPr="00E72418">
        <w:t>fût-il important</w:t>
      </w:r>
      <w:r w:rsidRPr="00E72418">
        <w:t xml:space="preserve">. </w:t>
      </w:r>
      <w:r w:rsidR="00DD660A" w:rsidRPr="00E72418">
        <w:t>Cette co</w:t>
      </w:r>
      <w:r w:rsidR="00125FC0" w:rsidRPr="00E72418">
        <w:t>nsidération est de nature à pére</w:t>
      </w:r>
      <w:r w:rsidR="00DD660A" w:rsidRPr="00E72418">
        <w:t xml:space="preserve">nniser le rôle de surveillant salué des </w:t>
      </w:r>
      <w:r w:rsidR="00BE0FB2" w:rsidRPr="00E72418">
        <w:t xml:space="preserve">fonds spéculatifs </w:t>
      </w:r>
      <w:r w:rsidR="00DD660A" w:rsidRPr="00E72418">
        <w:t>dans la mesure où ces derniers seront enclins à chercher à s’assurer que les débiteurs souverains ne s’engagent pas dans des mesures opportunistes</w:t>
      </w:r>
      <w:r w:rsidR="002556A3" w:rsidRPr="00E72418">
        <w:rPr>
          <w:rStyle w:val="Appelnotedebasdep"/>
        </w:rPr>
        <w:footnoteReference w:id="2150"/>
      </w:r>
      <w:r w:rsidR="002556A3" w:rsidRPr="00E72418">
        <w:t>.</w:t>
      </w:r>
    </w:p>
    <w:p w14:paraId="24980F27" w14:textId="77777777" w:rsidR="00FB3C94" w:rsidRPr="00E72418" w:rsidRDefault="00FB3C94" w:rsidP="00264450">
      <w:pPr>
        <w:spacing w:line="276" w:lineRule="auto"/>
      </w:pPr>
    </w:p>
    <w:p w14:paraId="1F15C014" w14:textId="3DCDA76A" w:rsidR="00544C82" w:rsidRPr="00E72418" w:rsidRDefault="00544C82" w:rsidP="00CC4BA8">
      <w:pPr>
        <w:pStyle w:val="CC"/>
        <w:spacing w:line="276" w:lineRule="auto"/>
      </w:pPr>
      <w:bookmarkStart w:id="499" w:name="_Toc59281040"/>
      <w:bookmarkStart w:id="500" w:name="_Toc59789211"/>
      <w:bookmarkStart w:id="501" w:name="_Toc75106126"/>
      <w:bookmarkStart w:id="502" w:name="_Toc84541020"/>
      <w:r w:rsidRPr="00E72418">
        <w:t xml:space="preserve">Chapitre </w:t>
      </w:r>
      <w:r w:rsidR="009D6179" w:rsidRPr="00E72418">
        <w:t>3</w:t>
      </w:r>
      <w:r w:rsidRPr="00E72418">
        <w:t xml:space="preserve"> : </w:t>
      </w:r>
      <w:bookmarkEnd w:id="499"/>
      <w:r w:rsidRPr="00E72418">
        <w:t>Les acteurs</w:t>
      </w:r>
      <w:r w:rsidR="001825B4" w:rsidRPr="00E72418">
        <w:t xml:space="preserve"> et </w:t>
      </w:r>
      <w:r w:rsidR="005F6B5A" w:rsidRPr="00E72418">
        <w:t xml:space="preserve">les dettes </w:t>
      </w:r>
      <w:r w:rsidRPr="00E72418">
        <w:t>concernés</w:t>
      </w:r>
      <w:bookmarkEnd w:id="500"/>
      <w:bookmarkEnd w:id="501"/>
      <w:bookmarkEnd w:id="502"/>
      <w:r w:rsidRPr="00E72418">
        <w:t xml:space="preserve"> </w:t>
      </w:r>
    </w:p>
    <w:p w14:paraId="207691B0" w14:textId="77777777" w:rsidR="00544C82" w:rsidRPr="00E72418" w:rsidRDefault="00544C82" w:rsidP="00CC4BA8">
      <w:pPr>
        <w:spacing w:line="276" w:lineRule="auto"/>
        <w:rPr>
          <w:rFonts w:cs="Times New Roman"/>
          <w:b/>
          <w:szCs w:val="24"/>
        </w:rPr>
      </w:pPr>
    </w:p>
    <w:p w14:paraId="4CA57545" w14:textId="757CAEC5" w:rsidR="00EC48A9" w:rsidRPr="00E72418" w:rsidRDefault="00573FA9" w:rsidP="00B3200D">
      <w:pPr>
        <w:spacing w:line="276" w:lineRule="auto"/>
      </w:pPr>
      <w:r>
        <w:rPr>
          <w:rFonts w:cs="Times New Roman"/>
          <w:b/>
        </w:rPr>
        <w:t>421</w:t>
      </w:r>
      <w:r w:rsidR="00817D62" w:rsidRPr="00E72418">
        <w:rPr>
          <w:rFonts w:cs="Times New Roman"/>
          <w:b/>
        </w:rPr>
        <w:t xml:space="preserve">. </w:t>
      </w:r>
      <w:r w:rsidR="00544C82" w:rsidRPr="00E72418">
        <w:rPr>
          <w:rFonts w:cs="Times New Roman"/>
          <w:b/>
        </w:rPr>
        <w:t xml:space="preserve">L’absence de prise en compte de l’intention et d’autres notions </w:t>
      </w:r>
      <w:r w:rsidR="001F3496" w:rsidRPr="00E72418">
        <w:rPr>
          <w:rFonts w:cs="Times New Roman"/>
          <w:b/>
        </w:rPr>
        <w:t xml:space="preserve">fuyantes </w:t>
      </w:r>
      <w:r w:rsidR="00544C82" w:rsidRPr="00E72418">
        <w:rPr>
          <w:b/>
        </w:rPr>
        <w:t xml:space="preserve">– </w:t>
      </w:r>
      <w:r w:rsidR="00E73434" w:rsidRPr="00E72418">
        <w:t>Alors même</w:t>
      </w:r>
      <w:r w:rsidR="00EC48A9" w:rsidRPr="00E72418">
        <w:t xml:space="preserve"> que</w:t>
      </w:r>
      <w:r w:rsidR="001F3496" w:rsidRPr="00E72418">
        <w:t>,</w:t>
      </w:r>
      <w:r w:rsidR="00EC48A9" w:rsidRPr="00E72418">
        <w:t xml:space="preserve"> comme le note Alexia Autenne, « [l]a relation qu’entretient un </w:t>
      </w:r>
      <w:r w:rsidR="00EC48A9" w:rsidRPr="00E72418">
        <w:rPr>
          <w:rFonts w:ascii="Times New Roman" w:hAnsi="Times New Roman" w:cs="Times New Roman"/>
          <w:lang w:eastAsia="fr-BE"/>
        </w:rPr>
        <w:t>É</w:t>
      </w:r>
      <w:r w:rsidR="00EC48A9" w:rsidRPr="00E72418">
        <w:t>tat avec son créancier souverain n’est pas toujours réductible à une lutte inégale entre le “méchant” prédateur et la “gentille” puissance publique au service de l’intérêt général »</w:t>
      </w:r>
      <w:r w:rsidR="00EC48A9" w:rsidRPr="00E72418">
        <w:rPr>
          <w:rStyle w:val="Appelnotedebasdep"/>
        </w:rPr>
        <w:footnoteReference w:id="2151"/>
      </w:r>
      <w:r w:rsidR="00EC48A9" w:rsidRPr="00E72418">
        <w:t>, souvent</w:t>
      </w:r>
      <w:r w:rsidR="000951C3" w:rsidRPr="00E72418">
        <w:t>,</w:t>
      </w:r>
      <w:r w:rsidR="00EC48A9" w:rsidRPr="00E72418">
        <w:t xml:space="preserve"> les contentieux opposant des créanciers spéculateurs à leurs débiteurs souverains sont réduits à cette dichotomie </w:t>
      </w:r>
      <w:r w:rsidR="00EC48A9" w:rsidRPr="00E72418">
        <w:lastRenderedPageBreak/>
        <w:t>simplif</w:t>
      </w:r>
      <w:r w:rsidR="00697640">
        <w:t>i</w:t>
      </w:r>
      <w:r w:rsidR="00EC48A9" w:rsidRPr="00E72418">
        <w:t xml:space="preserve">ée. </w:t>
      </w:r>
      <w:r w:rsidR="00EC48A9" w:rsidRPr="00E72418">
        <w:rPr>
          <w:rFonts w:cs="Times New Roman"/>
        </w:rPr>
        <w:t xml:space="preserve">Les multiples enjeux que l’on retrouve derrière ces affaires </w:t>
      </w:r>
      <w:r w:rsidR="000951C3" w:rsidRPr="00E72418">
        <w:rPr>
          <w:rFonts w:cs="Times New Roman"/>
        </w:rPr>
        <w:t>généralement</w:t>
      </w:r>
      <w:r w:rsidR="00EC48A9" w:rsidRPr="00E72418">
        <w:rPr>
          <w:rFonts w:cs="Times New Roman"/>
        </w:rPr>
        <w:t xml:space="preserve"> </w:t>
      </w:r>
      <w:r w:rsidR="004E40E6" w:rsidRPr="00E72418">
        <w:rPr>
          <w:rFonts w:cs="Times New Roman"/>
        </w:rPr>
        <w:t xml:space="preserve">très </w:t>
      </w:r>
      <w:r w:rsidR="00EC48A9" w:rsidRPr="00E72418">
        <w:rPr>
          <w:rFonts w:cs="Times New Roman"/>
        </w:rPr>
        <w:t xml:space="preserve">médiatisées imposent que la spéculation sur les dettes souveraines </w:t>
      </w:r>
      <w:r w:rsidR="006741B6" w:rsidRPr="00E72418">
        <w:rPr>
          <w:rFonts w:cs="Times New Roman"/>
        </w:rPr>
        <w:t>fass</w:t>
      </w:r>
      <w:r w:rsidR="00EC48A9" w:rsidRPr="00E72418">
        <w:rPr>
          <w:rFonts w:cs="Times New Roman"/>
        </w:rPr>
        <w:t xml:space="preserve">e l’objet d’une approche objective dépassant le regard moral et stigmatisant suivant lequel </w:t>
      </w:r>
      <w:r w:rsidR="006741B6" w:rsidRPr="00E72418">
        <w:rPr>
          <w:rFonts w:cs="Times New Roman"/>
        </w:rPr>
        <w:t xml:space="preserve">l’investissement sur le marché secondaire </w:t>
      </w:r>
      <w:r w:rsidR="00EC48A9" w:rsidRPr="00E72418">
        <w:rPr>
          <w:rFonts w:cs="Times New Roman"/>
        </w:rPr>
        <w:t>est généralement abordé, singulièrement lors</w:t>
      </w:r>
      <w:r w:rsidR="004E40E6" w:rsidRPr="00E72418">
        <w:rPr>
          <w:rFonts w:cs="Times New Roman"/>
        </w:rPr>
        <w:t xml:space="preserve">que l’on entreprend </w:t>
      </w:r>
      <w:r w:rsidR="00EC48A9" w:rsidRPr="00E72418">
        <w:rPr>
          <w:rFonts w:cs="Times New Roman"/>
        </w:rPr>
        <w:t>de légiférer en la matière</w:t>
      </w:r>
      <w:r w:rsidR="00EC48A9" w:rsidRPr="00E72418">
        <w:rPr>
          <w:rStyle w:val="Appelnotedebasdep"/>
          <w:rFonts w:cs="Times New Roman"/>
        </w:rPr>
        <w:footnoteReference w:id="2152"/>
      </w:r>
      <w:r w:rsidR="00EC48A9" w:rsidRPr="00E72418">
        <w:rPr>
          <w:rFonts w:cs="Times New Roman"/>
        </w:rPr>
        <w:t>.</w:t>
      </w:r>
      <w:r w:rsidR="001F3496" w:rsidRPr="00E72418">
        <w:rPr>
          <w:rFonts w:cs="Times New Roman"/>
        </w:rPr>
        <w:t xml:space="preserve"> Il importe par conséquent d’affranchir le mécanisme mis en place de considérations morales et de notions souvent fuyantes les traduisant</w:t>
      </w:r>
      <w:r w:rsidR="004E40E6" w:rsidRPr="00E72418">
        <w:rPr>
          <w:rFonts w:cs="Times New Roman"/>
        </w:rPr>
        <w:t>, et</w:t>
      </w:r>
      <w:r w:rsidR="001F3496" w:rsidRPr="00E72418">
        <w:rPr>
          <w:rFonts w:cs="Times New Roman"/>
        </w:rPr>
        <w:t xml:space="preserve"> ce, dans un </w:t>
      </w:r>
      <w:r w:rsidR="00B92EDB" w:rsidRPr="00E72418">
        <w:rPr>
          <w:rFonts w:cs="Times New Roman"/>
        </w:rPr>
        <w:t>souci</w:t>
      </w:r>
      <w:r w:rsidR="001F3496" w:rsidRPr="00E72418">
        <w:rPr>
          <w:rFonts w:cs="Times New Roman"/>
        </w:rPr>
        <w:t xml:space="preserve"> d’objectivisation et de sécurité juridique qu’appelle la sensibilité du phénomène.</w:t>
      </w:r>
    </w:p>
    <w:p w14:paraId="7FBFDF48" w14:textId="465C45A4" w:rsidR="00544C82" w:rsidRPr="00E72418" w:rsidRDefault="00544C82" w:rsidP="00B3200D">
      <w:pPr>
        <w:spacing w:line="276" w:lineRule="auto"/>
      </w:pPr>
      <w:r w:rsidRPr="00E72418">
        <w:t xml:space="preserve">Bien que, comme le notent </w:t>
      </w:r>
      <w:r w:rsidR="005C18A8" w:rsidRPr="00E72418">
        <w:t xml:space="preserve">Lee </w:t>
      </w:r>
      <w:r w:rsidRPr="00E72418">
        <w:t xml:space="preserve">Buchheit et </w:t>
      </w:r>
      <w:r w:rsidR="005C18A8" w:rsidRPr="00E72418">
        <w:t xml:space="preserve">Mitu </w:t>
      </w:r>
      <w:r w:rsidRPr="00E72418">
        <w:t xml:space="preserve">Gulati, « </w:t>
      </w:r>
      <w:r w:rsidRPr="00E72418">
        <w:rPr>
          <w:rFonts w:cs="Times New Roman"/>
        </w:rPr>
        <w:t>[m]</w:t>
      </w:r>
      <w:r w:rsidRPr="00E72418">
        <w:t>alice aforethought is an essential trait of the genuine vulture creditor »</w:t>
      </w:r>
      <w:r w:rsidRPr="00E72418">
        <w:rPr>
          <w:rStyle w:val="Appelnotedebasdep"/>
          <w:szCs w:val="24"/>
        </w:rPr>
        <w:footnoteReference w:id="2153"/>
      </w:r>
      <w:r w:rsidRPr="00E72418">
        <w:t xml:space="preserve">, la </w:t>
      </w:r>
      <w:r w:rsidR="004F7711" w:rsidRPr="00E72418">
        <w:t xml:space="preserve">limitation </w:t>
      </w:r>
      <w:r w:rsidRPr="00E72418">
        <w:t xml:space="preserve">des activités des fonds spéculant sur les dettes souveraines ne saurait être conditionnée au constat d’une quelconque intention du créancier poursuivant un </w:t>
      </w:r>
      <w:r w:rsidRPr="00E72418">
        <w:rPr>
          <w:rFonts w:cs="Times New Roman"/>
        </w:rPr>
        <w:t>É</w:t>
      </w:r>
      <w:r w:rsidRPr="00E72418">
        <w:t>tat débiteur. L’approche consistant à faire apprécier une telle intention par les juridictions saisies est de nature à générer davantage de contentieux</w:t>
      </w:r>
      <w:r w:rsidRPr="00E72418">
        <w:rPr>
          <w:rStyle w:val="Appelnotedebasdep"/>
        </w:rPr>
        <w:footnoteReference w:id="2154"/>
      </w:r>
      <w:r w:rsidRPr="00E72418">
        <w:t xml:space="preserve">. En effet, cette appréciation d’une notion aussi évanescente confiée au juge est par essence subjective et, partant, peu conciliable avec la sécurité juridique nécessaire au bon fonctionnement du marché des dettes souveraines. </w:t>
      </w:r>
      <w:r w:rsidR="008300AB" w:rsidRPr="00E72418">
        <w:t xml:space="preserve">Le Gouvernement britannique refusait ainsi </w:t>
      </w:r>
      <w:r w:rsidR="00F46F08" w:rsidRPr="00E72418">
        <w:t>que l’intention des</w:t>
      </w:r>
      <w:r w:rsidR="008300AB" w:rsidRPr="00E72418">
        <w:t xml:space="preserve"> créancier</w:t>
      </w:r>
      <w:r w:rsidR="00F46F08" w:rsidRPr="00E72418">
        <w:t>s</w:t>
      </w:r>
      <w:r w:rsidR="008300AB" w:rsidRPr="00E72418">
        <w:t xml:space="preserve"> justifie le traitement à </w:t>
      </w:r>
      <w:r w:rsidR="00F46F08" w:rsidRPr="00E72418">
        <w:t>leur</w:t>
      </w:r>
      <w:r w:rsidR="008300AB" w:rsidRPr="00E72418">
        <w:t xml:space="preserve"> réserver </w:t>
      </w:r>
      <w:r w:rsidR="00F46F08" w:rsidRPr="00E72418">
        <w:t>notant qu’il</w:t>
      </w:r>
      <w:r w:rsidR="008300AB" w:rsidRPr="00E72418">
        <w:t xml:space="preserve"> </w:t>
      </w:r>
      <w:r w:rsidR="00F46F08" w:rsidRPr="00E72418">
        <w:t xml:space="preserve">ne considérait pas que </w:t>
      </w:r>
      <w:r w:rsidR="008300AB" w:rsidRPr="00E72418">
        <w:t>«</w:t>
      </w:r>
      <w:r w:rsidR="00F46F08" w:rsidRPr="00E72418">
        <w:rPr>
          <w:rFonts w:cs="Humanist 77 7 BT"/>
        </w:rPr>
        <w:t xml:space="preserve"> </w:t>
      </w:r>
      <w:r w:rsidR="008300AB" w:rsidRPr="00E72418">
        <w:rPr>
          <w:rFonts w:cs="Humanist 77 7 BT"/>
        </w:rPr>
        <w:t xml:space="preserve">differences perceived by some participants in motive between or amongst creditors provide a basis to determine differential treatments in law </w:t>
      </w:r>
      <w:r w:rsidR="008300AB" w:rsidRPr="00E72418">
        <w:t>»</w:t>
      </w:r>
      <w:r w:rsidR="008300AB" w:rsidRPr="00E72418">
        <w:rPr>
          <w:rStyle w:val="Appelnotedebasdep"/>
          <w:szCs w:val="24"/>
        </w:rPr>
        <w:footnoteReference w:id="2155"/>
      </w:r>
      <w:r w:rsidR="008300AB" w:rsidRPr="00E72418">
        <w:t>.</w:t>
      </w:r>
    </w:p>
    <w:p w14:paraId="704AA223" w14:textId="75C2ED11" w:rsidR="00A44E35" w:rsidRPr="00E72418" w:rsidRDefault="00A44E35" w:rsidP="00B3200D">
      <w:pPr>
        <w:spacing w:line="276" w:lineRule="auto"/>
      </w:pPr>
      <w:r w:rsidRPr="00E72418">
        <w:t>De la même manière, la prise en compte de l’attitude du débiteur souverain ne saurait davantage être justifié</w:t>
      </w:r>
      <w:r w:rsidR="00EC48A9" w:rsidRPr="00E72418">
        <w:t>e</w:t>
      </w:r>
      <w:r w:rsidR="00F46F08" w:rsidRPr="00E72418">
        <w:t xml:space="preserve">. On se souvient notamment que, dans le cadre du contentieux argentin, la République débitrice avait été jugée </w:t>
      </w:r>
      <w:r w:rsidR="00697640">
        <w:t xml:space="preserve">d’ </w:t>
      </w:r>
      <w:r w:rsidR="001F60D0" w:rsidRPr="00E72418">
        <w:t>« uniquely recalcitrant </w:t>
      </w:r>
      <w:r w:rsidR="00F46F08" w:rsidRPr="00E72418">
        <w:t xml:space="preserve">debtor </w:t>
      </w:r>
      <w:r w:rsidR="001F60D0" w:rsidRPr="00E72418">
        <w:t>»</w:t>
      </w:r>
      <w:r w:rsidR="00F46F08" w:rsidRPr="00E72418">
        <w:rPr>
          <w:rStyle w:val="Appelnotedebasdep"/>
        </w:rPr>
        <w:footnoteReference w:id="2156"/>
      </w:r>
      <w:r w:rsidR="001F60D0" w:rsidRPr="00E72418">
        <w:t>.</w:t>
      </w:r>
      <w:r w:rsidR="00F46F08" w:rsidRPr="00E72418">
        <w:rPr>
          <w:szCs w:val="20"/>
        </w:rPr>
        <w:t xml:space="preserve"> L’argument subjectif de l’intention avait encore été repris par le juge </w:t>
      </w:r>
      <w:r w:rsidR="006361CE" w:rsidRPr="00E72418">
        <w:rPr>
          <w:szCs w:val="20"/>
        </w:rPr>
        <w:t xml:space="preserve">Thomas </w:t>
      </w:r>
      <w:r w:rsidR="00F46F08" w:rsidRPr="00E72418">
        <w:rPr>
          <w:szCs w:val="20"/>
        </w:rPr>
        <w:t xml:space="preserve">Griesa </w:t>
      </w:r>
      <w:r w:rsidR="00B55498">
        <w:rPr>
          <w:szCs w:val="20"/>
        </w:rPr>
        <w:t xml:space="preserve">afin d’affiner sa perception de l’affaire </w:t>
      </w:r>
      <w:r w:rsidR="00F46F08" w:rsidRPr="00E72418">
        <w:rPr>
          <w:szCs w:val="20"/>
        </w:rPr>
        <w:t>en faisant</w:t>
      </w:r>
      <w:r w:rsidR="00F46F08" w:rsidRPr="00E72418">
        <w:rPr>
          <w:szCs w:val="20"/>
          <w:lang w:val="en-US"/>
        </w:rPr>
        <w:t xml:space="preserve"> valoir au moment du changement de présidence de 2015 que « [p]ut simply, President Macri’s election changed everything » et que « [m]ost importantly, the Republic has shown a good-faith willingness to negotiate with the holdouts »</w:t>
      </w:r>
      <w:r w:rsidR="00F46F08" w:rsidRPr="00E72418">
        <w:rPr>
          <w:rStyle w:val="Appelnotedebasdep"/>
          <w:szCs w:val="20"/>
          <w:lang w:val="en-US"/>
        </w:rPr>
        <w:footnoteReference w:id="2157"/>
      </w:r>
      <w:r w:rsidR="00F46F08" w:rsidRPr="00E72418">
        <w:rPr>
          <w:szCs w:val="20"/>
          <w:lang w:val="en-US"/>
        </w:rPr>
        <w:t>.</w:t>
      </w:r>
    </w:p>
    <w:p w14:paraId="7EE5BEE5" w14:textId="64D9F0DA" w:rsidR="00544C82" w:rsidRPr="00E72418" w:rsidRDefault="00544C82" w:rsidP="00CC4BA8">
      <w:pPr>
        <w:spacing w:line="276" w:lineRule="auto"/>
      </w:pPr>
      <w:r w:rsidRPr="00E72418">
        <w:t xml:space="preserve">Plus largement, la </w:t>
      </w:r>
      <w:r w:rsidR="004F7711" w:rsidRPr="00E72418">
        <w:t xml:space="preserve">réglementation </w:t>
      </w:r>
      <w:r w:rsidRPr="00E72418">
        <w:t xml:space="preserve">des activités des fonds spéculatifs ne saurait s’ancrer sur d’autres notions évanescentes telles par exemple celle </w:t>
      </w:r>
      <w:r w:rsidR="00F46F08" w:rsidRPr="00E72418">
        <w:t>de disproportion manifeste mobilisée dans la loi belge de 2015</w:t>
      </w:r>
      <w:r w:rsidR="00F46F08" w:rsidRPr="00E72418">
        <w:rPr>
          <w:rStyle w:val="Appelnotedebasdep"/>
        </w:rPr>
        <w:footnoteReference w:id="2158"/>
      </w:r>
      <w:r w:rsidRPr="00E72418">
        <w:t xml:space="preserve">. Les questions posées par la Conférence des Nations Unies sur le commerce et le développement illustrent l’impossible caractérisation d’une poursuite déraisonnable engagée par un créancier secondaire : </w:t>
      </w:r>
      <w:r w:rsidRPr="00697640">
        <w:rPr>
          <w:bCs/>
          <w:szCs w:val="24"/>
        </w:rPr>
        <w:t>«</w:t>
      </w:r>
      <w:r w:rsidRPr="00E72418">
        <w:rPr>
          <w:b/>
          <w:bCs/>
          <w:sz w:val="20"/>
          <w:szCs w:val="20"/>
        </w:rPr>
        <w:t> </w:t>
      </w:r>
      <w:r w:rsidRPr="00E72418">
        <w:t xml:space="preserve">from which point onwards does a commercial creditor, buying discounted sovereign debt instruments with a view to recover its full face value, become a “vulture” investor? Put differently, is there an “acceptable” discount </w:t>
      </w:r>
      <w:r w:rsidRPr="00E72418">
        <w:lastRenderedPageBreak/>
        <w:t>threshold or not? What, in law, makes a creditor who obtains a 90% discount different from a creditor who has purchased a sovereign debt instrument at a 10% discount? »</w:t>
      </w:r>
      <w:r w:rsidRPr="00E72418">
        <w:rPr>
          <w:rStyle w:val="Appelnotedebasdep"/>
          <w:szCs w:val="24"/>
        </w:rPr>
        <w:footnoteReference w:id="2159"/>
      </w:r>
      <w:r w:rsidRPr="00E72418">
        <w:t>.</w:t>
      </w:r>
    </w:p>
    <w:p w14:paraId="4ED94D34" w14:textId="77777777" w:rsidR="00544C82" w:rsidRPr="00E72418" w:rsidRDefault="00544C82" w:rsidP="00CC4BA8">
      <w:pPr>
        <w:spacing w:line="276" w:lineRule="auto"/>
        <w:rPr>
          <w:rFonts w:cs="Times New Roman"/>
          <w:b/>
          <w:szCs w:val="24"/>
        </w:rPr>
      </w:pPr>
    </w:p>
    <w:p w14:paraId="1EBDE998" w14:textId="2BC319B9" w:rsidR="00E73434" w:rsidRPr="00E72418" w:rsidRDefault="00817D62" w:rsidP="00CC4BA8">
      <w:pPr>
        <w:spacing w:line="276" w:lineRule="auto"/>
        <w:rPr>
          <w:rFonts w:cs="Times New Roman"/>
          <w:szCs w:val="24"/>
        </w:rPr>
      </w:pPr>
      <w:r w:rsidRPr="00E72418">
        <w:rPr>
          <w:rFonts w:cs="Times New Roman"/>
          <w:b/>
          <w:szCs w:val="24"/>
        </w:rPr>
        <w:t>4</w:t>
      </w:r>
      <w:r w:rsidR="00573FA9">
        <w:rPr>
          <w:rFonts w:cs="Times New Roman"/>
          <w:b/>
          <w:szCs w:val="24"/>
        </w:rPr>
        <w:t>22</w:t>
      </w:r>
      <w:r w:rsidRPr="00E72418">
        <w:rPr>
          <w:rFonts w:cs="Times New Roman"/>
          <w:b/>
          <w:szCs w:val="24"/>
        </w:rPr>
        <w:t xml:space="preserve">. </w:t>
      </w:r>
      <w:r w:rsidR="00544C82" w:rsidRPr="00E72418">
        <w:rPr>
          <w:rFonts w:cs="Times New Roman"/>
          <w:b/>
          <w:szCs w:val="24"/>
        </w:rPr>
        <w:t xml:space="preserve">Les acteurs maîtrisés – </w:t>
      </w:r>
      <w:r w:rsidR="00E73434" w:rsidRPr="00E72418">
        <w:rPr>
          <w:rFonts w:cs="Times New Roman"/>
          <w:szCs w:val="24"/>
        </w:rPr>
        <w:t>Tous les acteurs participant au financement d</w:t>
      </w:r>
      <w:r w:rsidR="00F62FD7" w:rsidRPr="00E72418">
        <w:rPr>
          <w:rFonts w:cs="Times New Roman"/>
          <w:szCs w:val="24"/>
        </w:rPr>
        <w:t>’</w:t>
      </w:r>
      <w:r w:rsidR="00F62FD7" w:rsidRPr="00E72418">
        <w:rPr>
          <w:lang w:eastAsia="fr-BE"/>
        </w:rPr>
        <w:t>É</w:t>
      </w:r>
      <w:r w:rsidR="00E73434" w:rsidRPr="00E72418">
        <w:rPr>
          <w:rFonts w:cs="Times New Roman"/>
          <w:szCs w:val="24"/>
        </w:rPr>
        <w:t xml:space="preserve">tats souverains ne s’inscrivent pas forcément dans la logique spéculative que notre proposition tente modestement de </w:t>
      </w:r>
      <w:r w:rsidR="00D84FB8" w:rsidRPr="00E72418">
        <w:rPr>
          <w:rFonts w:cs="Times New Roman"/>
          <w:szCs w:val="24"/>
        </w:rPr>
        <w:t>limiter</w:t>
      </w:r>
      <w:r w:rsidR="00E73434" w:rsidRPr="00E72418">
        <w:rPr>
          <w:rFonts w:cs="Times New Roman"/>
          <w:szCs w:val="24"/>
        </w:rPr>
        <w:t>. L’on a pu identifier que les difficultés posées par les créanciers l’étaient généralement au moment où la crise financière du débiteur est telle que sa résolution passe par une restructuration des titres de sa dette. Alors que</w:t>
      </w:r>
      <w:r w:rsidR="006361CE" w:rsidRPr="00E72418">
        <w:rPr>
          <w:rFonts w:cs="Times New Roman"/>
          <w:szCs w:val="24"/>
        </w:rPr>
        <w:t>,</w:t>
      </w:r>
      <w:r w:rsidR="00E73434" w:rsidRPr="00E72418">
        <w:rPr>
          <w:rFonts w:cs="Times New Roman"/>
          <w:szCs w:val="24"/>
        </w:rPr>
        <w:t xml:space="preserve"> généralement</w:t>
      </w:r>
      <w:r w:rsidR="006361CE" w:rsidRPr="00E72418">
        <w:rPr>
          <w:rFonts w:cs="Times New Roman"/>
          <w:szCs w:val="24"/>
        </w:rPr>
        <w:t>,</w:t>
      </w:r>
      <w:r w:rsidR="00E73434" w:rsidRPr="00E72418">
        <w:rPr>
          <w:rFonts w:cs="Times New Roman"/>
          <w:szCs w:val="24"/>
        </w:rPr>
        <w:t xml:space="preserve"> nombre de créanciers acceptent de renoncer à certaines des prérogatives tirées de la créance qu’ils détiennent, il en est d’autres </w:t>
      </w:r>
      <w:r w:rsidR="000E6BB7" w:rsidRPr="00E72418">
        <w:rPr>
          <w:rFonts w:cs="Times New Roman"/>
          <w:szCs w:val="24"/>
        </w:rPr>
        <w:t xml:space="preserve">récalcitrants </w:t>
      </w:r>
      <w:r w:rsidR="00E73434" w:rsidRPr="00E72418">
        <w:rPr>
          <w:rFonts w:cs="Times New Roman"/>
          <w:szCs w:val="24"/>
        </w:rPr>
        <w:t>qui refusent de participer à l’effort de restructuration et s’obstinent à exiger du débiteur défaillant qu’il honore les termes des créances détenues</w:t>
      </w:r>
      <w:r w:rsidR="001406E1" w:rsidRPr="00E72418">
        <w:rPr>
          <w:rStyle w:val="Appelnotedebasdep"/>
          <w:rFonts w:cs="Times New Roman"/>
          <w:szCs w:val="24"/>
        </w:rPr>
        <w:footnoteReference w:id="2160"/>
      </w:r>
      <w:r w:rsidR="00E73434" w:rsidRPr="00E72418">
        <w:rPr>
          <w:rFonts w:cs="Times New Roman"/>
          <w:szCs w:val="24"/>
        </w:rPr>
        <w:t>.</w:t>
      </w:r>
    </w:p>
    <w:p w14:paraId="0173A108" w14:textId="1D71FE7F" w:rsidR="00544C82" w:rsidRPr="00E72418" w:rsidRDefault="00E73434" w:rsidP="00CC4BA8">
      <w:pPr>
        <w:spacing w:line="276" w:lineRule="auto"/>
        <w:rPr>
          <w:rFonts w:cs="Times New Roman"/>
          <w:szCs w:val="24"/>
        </w:rPr>
      </w:pPr>
      <w:r w:rsidRPr="00E72418">
        <w:rPr>
          <w:rFonts w:cs="Times New Roman"/>
          <w:szCs w:val="24"/>
        </w:rPr>
        <w:t>Les créanciers récalcitrants ne sont pas tou</w:t>
      </w:r>
      <w:r w:rsidR="000951C3" w:rsidRPr="00E72418">
        <w:rPr>
          <w:rFonts w:cs="Times New Roman"/>
          <w:szCs w:val="24"/>
        </w:rPr>
        <w:t>s des fonds spéculatifs ayant aperçu</w:t>
      </w:r>
      <w:r w:rsidRPr="00E72418">
        <w:rPr>
          <w:rFonts w:cs="Times New Roman"/>
          <w:szCs w:val="24"/>
        </w:rPr>
        <w:t xml:space="preserve"> dans les difficultés financières rencontrées par des débiteurs souverains des opportunités à saisir</w:t>
      </w:r>
      <w:r w:rsidR="006361CE" w:rsidRPr="00E72418">
        <w:rPr>
          <w:rFonts w:cs="Times New Roman"/>
          <w:szCs w:val="24"/>
        </w:rPr>
        <w:t xml:space="preserve">, et ce, </w:t>
      </w:r>
      <w:r w:rsidRPr="00E72418">
        <w:rPr>
          <w:rFonts w:cs="Times New Roman"/>
          <w:szCs w:val="24"/>
        </w:rPr>
        <w:t xml:space="preserve">quand </w:t>
      </w:r>
      <w:r w:rsidR="000951C3" w:rsidRPr="00E72418">
        <w:rPr>
          <w:rFonts w:cs="Times New Roman"/>
          <w:szCs w:val="24"/>
        </w:rPr>
        <w:t xml:space="preserve">bien </w:t>
      </w:r>
      <w:r w:rsidRPr="00E72418">
        <w:rPr>
          <w:rFonts w:cs="Times New Roman"/>
          <w:szCs w:val="24"/>
        </w:rPr>
        <w:t xml:space="preserve">même le seraient-elles au détriment des populations de ces débiteurs. </w:t>
      </w:r>
      <w:r w:rsidR="00544C82" w:rsidRPr="00E72418">
        <w:rPr>
          <w:rFonts w:cs="Times New Roman"/>
          <w:szCs w:val="24"/>
        </w:rPr>
        <w:t xml:space="preserve">Il est </w:t>
      </w:r>
      <w:r w:rsidRPr="00E72418">
        <w:rPr>
          <w:rFonts w:cs="Times New Roman"/>
          <w:szCs w:val="24"/>
        </w:rPr>
        <w:t xml:space="preserve">ainsi par exemple </w:t>
      </w:r>
      <w:r w:rsidR="00544C82" w:rsidRPr="00E72418">
        <w:rPr>
          <w:rFonts w:cs="Times New Roman"/>
          <w:szCs w:val="24"/>
        </w:rPr>
        <w:t xml:space="preserve">des cas où les dettes d’États sont détenues par des épargnants qui comptent sur celles-ci pour leur assurer des revenus les conduisant à refuser leur réduction et à en chercher le paiement à leur valeur </w:t>
      </w:r>
      <w:r w:rsidR="006361CE" w:rsidRPr="00E72418">
        <w:rPr>
          <w:rFonts w:cs="Times New Roman"/>
          <w:szCs w:val="24"/>
        </w:rPr>
        <w:t>nominale</w:t>
      </w:r>
      <w:r w:rsidR="00544C82" w:rsidRPr="00E72418">
        <w:rPr>
          <w:rStyle w:val="Appelnotedebasdep"/>
          <w:rFonts w:cs="Times New Roman"/>
          <w:szCs w:val="24"/>
        </w:rPr>
        <w:footnoteReference w:id="2161"/>
      </w:r>
      <w:r w:rsidR="00544C82" w:rsidRPr="00E72418">
        <w:rPr>
          <w:rFonts w:cs="Times New Roman"/>
          <w:szCs w:val="24"/>
        </w:rPr>
        <w:t xml:space="preserve">. </w:t>
      </w:r>
      <w:r w:rsidR="002F54C2" w:rsidRPr="00E72418">
        <w:rPr>
          <w:rFonts w:cs="Times New Roman"/>
          <w:szCs w:val="24"/>
        </w:rPr>
        <w:t>Il pourrait encore être des cas où un créancier est à ce point exposé financièrement que la restructuration ne pourrait être une option viable</w:t>
      </w:r>
      <w:r w:rsidR="002F54C2" w:rsidRPr="00E72418">
        <w:rPr>
          <w:rStyle w:val="Appelnotedebasdep"/>
          <w:rFonts w:cs="Times New Roman"/>
          <w:szCs w:val="24"/>
        </w:rPr>
        <w:footnoteReference w:id="2162"/>
      </w:r>
      <w:r w:rsidR="002F54C2" w:rsidRPr="00E72418">
        <w:rPr>
          <w:rFonts w:cs="Times New Roman"/>
          <w:szCs w:val="24"/>
        </w:rPr>
        <w:t xml:space="preserve">. </w:t>
      </w:r>
      <w:r w:rsidR="00544C82" w:rsidRPr="00E72418">
        <w:rPr>
          <w:rFonts w:cs="Times New Roman"/>
          <w:szCs w:val="24"/>
        </w:rPr>
        <w:t xml:space="preserve">S’il peut être nécessaire que cette poursuite soit modérée dans la perspective d’une résolution d’une crise passant par </w:t>
      </w:r>
      <w:r w:rsidR="0085400A" w:rsidRPr="00E72418">
        <w:rPr>
          <w:rFonts w:cs="Times New Roman"/>
          <w:szCs w:val="24"/>
        </w:rPr>
        <w:t xml:space="preserve">la mise en œuvre </w:t>
      </w:r>
      <w:r w:rsidR="00544C82" w:rsidRPr="00E72418">
        <w:rPr>
          <w:rFonts w:cs="Times New Roman"/>
          <w:szCs w:val="24"/>
        </w:rPr>
        <w:t xml:space="preserve">d’une restructuration, il ne nous apparaît toutefois pas que la résolution de ce problème ait sa place dans </w:t>
      </w:r>
      <w:r w:rsidR="000E6BB7" w:rsidRPr="00E72418">
        <w:rPr>
          <w:rFonts w:cs="Times New Roman"/>
          <w:szCs w:val="24"/>
        </w:rPr>
        <w:t xml:space="preserve">la </w:t>
      </w:r>
      <w:r w:rsidR="00544C82" w:rsidRPr="00E72418">
        <w:rPr>
          <w:rFonts w:cs="Times New Roman"/>
          <w:szCs w:val="24"/>
        </w:rPr>
        <w:t>législation anti-</w:t>
      </w:r>
      <w:r w:rsidR="00B92EDB" w:rsidRPr="00E72418">
        <w:rPr>
          <w:rFonts w:cs="Times New Roman"/>
          <w:szCs w:val="24"/>
        </w:rPr>
        <w:t>spéculation</w:t>
      </w:r>
      <w:r w:rsidR="000951C3" w:rsidRPr="00E72418">
        <w:rPr>
          <w:rFonts w:cs="Times New Roman"/>
          <w:szCs w:val="24"/>
        </w:rPr>
        <w:t xml:space="preserve"> envisagée laquelle </w:t>
      </w:r>
      <w:r w:rsidR="000E6BB7" w:rsidRPr="00E72418">
        <w:rPr>
          <w:rFonts w:cs="Times New Roman"/>
          <w:szCs w:val="24"/>
        </w:rPr>
        <w:t xml:space="preserve">a pour </w:t>
      </w:r>
      <w:r w:rsidR="000951C3" w:rsidRPr="00E72418">
        <w:rPr>
          <w:rFonts w:cs="Times New Roman"/>
          <w:szCs w:val="24"/>
        </w:rPr>
        <w:t xml:space="preserve">unique </w:t>
      </w:r>
      <w:r w:rsidR="000E6BB7" w:rsidRPr="00E72418">
        <w:rPr>
          <w:rFonts w:cs="Times New Roman"/>
          <w:szCs w:val="24"/>
        </w:rPr>
        <w:t xml:space="preserve">ambition de </w:t>
      </w:r>
      <w:r w:rsidR="00D84FB8" w:rsidRPr="00E72418">
        <w:rPr>
          <w:rFonts w:cs="Times New Roman"/>
          <w:szCs w:val="24"/>
        </w:rPr>
        <w:t xml:space="preserve">limiter </w:t>
      </w:r>
      <w:r w:rsidR="00697640">
        <w:rPr>
          <w:rFonts w:cs="Times New Roman"/>
          <w:szCs w:val="24"/>
        </w:rPr>
        <w:t>la spéculation</w:t>
      </w:r>
      <w:r w:rsidR="00544C82" w:rsidRPr="00E72418">
        <w:rPr>
          <w:rFonts w:cs="Times New Roman"/>
          <w:szCs w:val="24"/>
        </w:rPr>
        <w:t>. Les problèmes doivent être distingués en ce que ceux posés par les créanciers récalcitrants ne sauraient se confondre avec ceux</w:t>
      </w:r>
      <w:r w:rsidR="006361CE" w:rsidRPr="00E72418">
        <w:rPr>
          <w:rFonts w:cs="Times New Roman"/>
          <w:szCs w:val="24"/>
        </w:rPr>
        <w:t xml:space="preserve"> posés par les fonds spéculant</w:t>
      </w:r>
      <w:r w:rsidR="00544C82" w:rsidRPr="00E72418">
        <w:rPr>
          <w:rFonts w:cs="Times New Roman"/>
          <w:szCs w:val="24"/>
        </w:rPr>
        <w:t xml:space="preserve"> sur les dettes souveraines.</w:t>
      </w:r>
    </w:p>
    <w:p w14:paraId="5970E2E5" w14:textId="195E6E9A" w:rsidR="004250CC" w:rsidRPr="00E72418" w:rsidRDefault="00194451" w:rsidP="00194451">
      <w:pPr>
        <w:spacing w:line="276" w:lineRule="auto"/>
        <w:rPr>
          <w:rFonts w:cs="Times New Roman"/>
          <w:szCs w:val="24"/>
        </w:rPr>
      </w:pPr>
      <w:r w:rsidRPr="00E72418">
        <w:rPr>
          <w:rFonts w:cs="Times New Roman"/>
          <w:szCs w:val="24"/>
        </w:rPr>
        <w:t>Renonçant à la mobilisation d’arguments moraux afin de justifier du sort à réserver au</w:t>
      </w:r>
      <w:r w:rsidR="00F62FD7" w:rsidRPr="00E72418">
        <w:rPr>
          <w:rFonts w:cs="Times New Roman"/>
          <w:szCs w:val="24"/>
        </w:rPr>
        <w:t>x prétentions des créanciers d’</w:t>
      </w:r>
      <w:r w:rsidR="00F62FD7" w:rsidRPr="00E72418">
        <w:rPr>
          <w:lang w:eastAsia="fr-BE"/>
        </w:rPr>
        <w:t>É</w:t>
      </w:r>
      <w:r w:rsidRPr="00E72418">
        <w:rPr>
          <w:rFonts w:cs="Times New Roman"/>
          <w:szCs w:val="24"/>
        </w:rPr>
        <w:t>tats souverains, la limitation des réclamations au montant payé afin de faire l’acquisition de la créance poursuivie permet d’éviter qu’il soit nécessaire de caractériser les créanciers auxquels on entend appliquer le mécanisme protecteur mis en place</w:t>
      </w:r>
      <w:r w:rsidR="00F54C31" w:rsidRPr="00E72418">
        <w:rPr>
          <w:rStyle w:val="Appelnotedebasdep"/>
          <w:rFonts w:cs="Times New Roman"/>
          <w:szCs w:val="24"/>
        </w:rPr>
        <w:footnoteReference w:id="2163"/>
      </w:r>
      <w:r w:rsidRPr="00E72418">
        <w:rPr>
          <w:rFonts w:cs="Times New Roman"/>
          <w:szCs w:val="24"/>
        </w:rPr>
        <w:t xml:space="preserve">. </w:t>
      </w:r>
      <w:r w:rsidR="00544C82" w:rsidRPr="00E72418">
        <w:rPr>
          <w:rFonts w:cs="Times New Roman"/>
          <w:szCs w:val="24"/>
        </w:rPr>
        <w:t xml:space="preserve">Avec la règle consistant à retenir que les créanciers sont uniquement fondés à </w:t>
      </w:r>
      <w:r w:rsidR="00544C82" w:rsidRPr="00E72418">
        <w:rPr>
          <w:rFonts w:cs="Times New Roman"/>
          <w:szCs w:val="24"/>
        </w:rPr>
        <w:lastRenderedPageBreak/>
        <w:t>réclamer à leurs débiteurs souverains le montant qu’ils ont réglé pour faire l’acquisition de la créance poursuivie augmenté d’un intérêt, seuls les créanciers secondaires voient leurs prétentions potentiellement limitées</w:t>
      </w:r>
      <w:r w:rsidRPr="00E72418">
        <w:rPr>
          <w:rStyle w:val="Appelnotedebasdep"/>
          <w:rFonts w:cs="Times New Roman"/>
          <w:szCs w:val="24"/>
        </w:rPr>
        <w:footnoteReference w:id="2164"/>
      </w:r>
      <w:r w:rsidR="00544C82" w:rsidRPr="00E72418">
        <w:rPr>
          <w:rFonts w:cs="Times New Roman"/>
          <w:szCs w:val="24"/>
        </w:rPr>
        <w:t>.</w:t>
      </w:r>
      <w:r w:rsidR="004250CC" w:rsidRPr="00E72418">
        <w:rPr>
          <w:rFonts w:cs="Times New Roman"/>
          <w:szCs w:val="24"/>
        </w:rPr>
        <w:t xml:space="preserve"> Ici, faute d’une </w:t>
      </w:r>
      <w:r w:rsidR="00802A9E" w:rsidRPr="00E72418">
        <w:rPr>
          <w:rFonts w:cs="Times New Roman"/>
          <w:szCs w:val="24"/>
        </w:rPr>
        <w:t xml:space="preserve">appréhension </w:t>
      </w:r>
      <w:r w:rsidR="004250CC" w:rsidRPr="00E72418">
        <w:rPr>
          <w:rFonts w:cs="Times New Roman"/>
          <w:szCs w:val="24"/>
        </w:rPr>
        <w:t>globale des difficultés financières souveraines</w:t>
      </w:r>
      <w:r w:rsidR="004250CC" w:rsidRPr="00E72418">
        <w:rPr>
          <w:rStyle w:val="Appelnotedebasdep"/>
          <w:rFonts w:cs="Times New Roman"/>
          <w:szCs w:val="24"/>
        </w:rPr>
        <w:footnoteReference w:id="2165"/>
      </w:r>
      <w:r w:rsidR="004250CC" w:rsidRPr="00E72418">
        <w:rPr>
          <w:rFonts w:cs="Times New Roman"/>
          <w:szCs w:val="24"/>
        </w:rPr>
        <w:t xml:space="preserve">, le système proposé ne pourra être qu’imparfait puisque rien ne nous paraît empêcher que </w:t>
      </w:r>
      <w:r w:rsidR="004250CC" w:rsidRPr="00E72418">
        <w:t xml:space="preserve">des créanciers primaires et des fonds spéculatifs s’entendent afin que ces derniers financent, moyennant contrepartie, les démarches procédurales des premiers de sorte que la </w:t>
      </w:r>
      <w:r w:rsidR="00802A9E" w:rsidRPr="00E72418">
        <w:t xml:space="preserve">réglementation </w:t>
      </w:r>
      <w:r w:rsidR="004250CC" w:rsidRPr="00E72418">
        <w:t>de la spéculation envisagée ne s’y applique pas</w:t>
      </w:r>
      <w:r w:rsidR="004250CC" w:rsidRPr="00E72418">
        <w:rPr>
          <w:rStyle w:val="Appelnotedebasdep"/>
        </w:rPr>
        <w:footnoteReference w:id="2166"/>
      </w:r>
      <w:r w:rsidR="004250CC" w:rsidRPr="00E72418">
        <w:t>.</w:t>
      </w:r>
    </w:p>
    <w:p w14:paraId="1EADA6E4" w14:textId="77777777" w:rsidR="00544C82" w:rsidRPr="00E72418" w:rsidRDefault="00544C82" w:rsidP="00CC4BA8">
      <w:pPr>
        <w:spacing w:line="276" w:lineRule="auto"/>
      </w:pPr>
    </w:p>
    <w:p w14:paraId="4AD02D09" w14:textId="37D2F21D" w:rsidR="00F34550" w:rsidRPr="00E72418" w:rsidRDefault="00712571" w:rsidP="00CC4BA8">
      <w:pPr>
        <w:spacing w:line="276" w:lineRule="auto"/>
      </w:pPr>
      <w:r w:rsidRPr="00E72418">
        <w:rPr>
          <w:b/>
        </w:rPr>
        <w:t>42</w:t>
      </w:r>
      <w:r w:rsidR="00573FA9">
        <w:rPr>
          <w:b/>
        </w:rPr>
        <w:t>3</w:t>
      </w:r>
      <w:r w:rsidR="00817D62" w:rsidRPr="00E72418">
        <w:rPr>
          <w:b/>
        </w:rPr>
        <w:t xml:space="preserve">. </w:t>
      </w:r>
      <w:r w:rsidR="00544C82" w:rsidRPr="00E72418">
        <w:rPr>
          <w:b/>
        </w:rPr>
        <w:t xml:space="preserve">Les acteurs protégés – </w:t>
      </w:r>
      <w:r w:rsidR="004250CC" w:rsidRPr="00E72418">
        <w:t>L’entorse faite au sacro-saint principe de la convention-loi</w:t>
      </w:r>
      <w:r w:rsidR="00F34550" w:rsidRPr="00E72418">
        <w:t xml:space="preserve"> découlant de ce que, dans la </w:t>
      </w:r>
      <w:r w:rsidR="00802A9E" w:rsidRPr="00E72418">
        <w:t xml:space="preserve">réglementation </w:t>
      </w:r>
      <w:r w:rsidR="00F34550" w:rsidRPr="00E72418">
        <w:t xml:space="preserve">envisagée, les créanciers spéculateurs ne seront pas en mesure de poursuivre la valeur nominale des titres détenus pose logiquement la question des bénéficiaires de cette protection contre la spéculation. Dès lors que la justification de la </w:t>
      </w:r>
      <w:r w:rsidR="00802A9E" w:rsidRPr="00E72418">
        <w:t xml:space="preserve">limitation </w:t>
      </w:r>
      <w:r w:rsidR="00F34550" w:rsidRPr="00E72418">
        <w:t xml:space="preserve">est à trouver dans l’argument cardinal de la soutenabilité des dettes souveraines, on ne saurait simplement retenir que tous </w:t>
      </w:r>
      <w:r w:rsidR="00F62FD7" w:rsidRPr="00E72418">
        <w:t xml:space="preserve">les </w:t>
      </w:r>
      <w:r w:rsidR="00F62FD7" w:rsidRPr="00E72418">
        <w:rPr>
          <w:lang w:eastAsia="fr-BE"/>
        </w:rPr>
        <w:t>É</w:t>
      </w:r>
      <w:r w:rsidR="00FB66A8" w:rsidRPr="00E72418">
        <w:t>tats doivent être protégés, peu importe leur état de fortune.</w:t>
      </w:r>
    </w:p>
    <w:p w14:paraId="06E83CA4" w14:textId="0A96F882" w:rsidR="00544C82" w:rsidRPr="00E72418" w:rsidRDefault="00FB66A8" w:rsidP="00CC4BA8">
      <w:pPr>
        <w:spacing w:line="276" w:lineRule="auto"/>
      </w:pPr>
      <w:r w:rsidRPr="00E72418">
        <w:t>De la même manière que</w:t>
      </w:r>
      <w:r w:rsidR="00F34550" w:rsidRPr="00E72418">
        <w:t xml:space="preserve"> le législateur britannique, l’on pourrait chercher dans </w:t>
      </w:r>
      <w:r w:rsidR="003244B5" w:rsidRPr="00E72418">
        <w:t xml:space="preserve">une initiative internationale poursuivant la soutenabilité des dettes souveraines, telle </w:t>
      </w:r>
      <w:r w:rsidR="00F34550" w:rsidRPr="00E72418">
        <w:t>l’Initiative Pays Pauvres Très Endettés de la Banque mondiale et du Fonds monétaire international</w:t>
      </w:r>
      <w:r w:rsidR="003244B5" w:rsidRPr="00E72418">
        <w:t>,</w:t>
      </w:r>
      <w:r w:rsidR="00F34550" w:rsidRPr="00E72418">
        <w:t xml:space="preserve"> un moyen de préciser les acteurs protégés par </w:t>
      </w:r>
      <w:r w:rsidR="000951C3" w:rsidRPr="00E72418">
        <w:t>la</w:t>
      </w:r>
      <w:r w:rsidR="00F34550" w:rsidRPr="00E72418">
        <w:t xml:space="preserve"> </w:t>
      </w:r>
      <w:r w:rsidR="00802A9E" w:rsidRPr="00E72418">
        <w:t xml:space="preserve">réglementation </w:t>
      </w:r>
      <w:r w:rsidR="00F34550" w:rsidRPr="00E72418">
        <w:t xml:space="preserve">envisagée. Comme le relève </w:t>
      </w:r>
      <w:r w:rsidR="00201853" w:rsidRPr="00E72418">
        <w:t xml:space="preserve">Régis </w:t>
      </w:r>
      <w:r w:rsidR="00F34550" w:rsidRPr="00E72418">
        <w:t>Bismuth, l</w:t>
      </w:r>
      <w:r w:rsidR="00F34550" w:rsidRPr="00E72418">
        <w:rPr>
          <w:szCs w:val="20"/>
        </w:rPr>
        <w:t>a limitation de la protection à ces seuls pays a le mérite d’assurer une proportionnalité de la législation assurant que les limites posées au droit de propriété des créanciers sont justifiées en raison de la situation financière extrêmement dégradé</w:t>
      </w:r>
      <w:r w:rsidR="000951C3" w:rsidRPr="00E72418">
        <w:rPr>
          <w:szCs w:val="20"/>
        </w:rPr>
        <w:t>e</w:t>
      </w:r>
      <w:r w:rsidR="00F34550" w:rsidRPr="00E72418">
        <w:rPr>
          <w:szCs w:val="20"/>
        </w:rPr>
        <w:t xml:space="preserve"> de l’</w:t>
      </w:r>
      <w:r w:rsidR="00F34550" w:rsidRPr="00E72418">
        <w:rPr>
          <w:rFonts w:cs="Times New Roman"/>
          <w:szCs w:val="20"/>
        </w:rPr>
        <w:t>É</w:t>
      </w:r>
      <w:r w:rsidR="00F34550" w:rsidRPr="00E72418">
        <w:rPr>
          <w:szCs w:val="20"/>
        </w:rPr>
        <w:t>tat débiteur</w:t>
      </w:r>
      <w:r w:rsidR="00F34550" w:rsidRPr="00E72418">
        <w:rPr>
          <w:rStyle w:val="Appelnotedebasdep"/>
          <w:szCs w:val="20"/>
        </w:rPr>
        <w:footnoteReference w:id="2167"/>
      </w:r>
      <w:r w:rsidR="00F34550" w:rsidRPr="00E72418">
        <w:rPr>
          <w:szCs w:val="20"/>
        </w:rPr>
        <w:t>. Pour l’auteur, l’éligibilité à l’Initiative Pays Pauvres Très Endettés étant évaluée de façon centralisée au sein de la Banque mondiale et du Fonds monétaire international, le critère du bénéfice de l’Initiative garantit un « certain degré d’objectivité »</w:t>
      </w:r>
      <w:r w:rsidR="00F34550" w:rsidRPr="00E72418">
        <w:rPr>
          <w:rStyle w:val="Appelnotedebasdep"/>
          <w:szCs w:val="20"/>
        </w:rPr>
        <w:footnoteReference w:id="2168"/>
      </w:r>
      <w:r w:rsidR="00F34550" w:rsidRPr="00E72418">
        <w:rPr>
          <w:szCs w:val="20"/>
        </w:rPr>
        <w:t>.</w:t>
      </w:r>
      <w:r w:rsidR="00F34550" w:rsidRPr="00E72418">
        <w:t xml:space="preserve"> </w:t>
      </w:r>
      <w:r w:rsidRPr="00E72418">
        <w:t>Malheureusement,</w:t>
      </w:r>
      <w:r w:rsidR="00F34550" w:rsidRPr="00E72418">
        <w:t xml:space="preserve"> l</w:t>
      </w:r>
      <w:r w:rsidR="002A320D" w:rsidRPr="00E72418">
        <w:t>a</w:t>
      </w:r>
      <w:r w:rsidR="00544C82" w:rsidRPr="00E72418">
        <w:t xml:space="preserve"> limitation </w:t>
      </w:r>
      <w:r w:rsidR="003244B5" w:rsidRPr="00E72418">
        <w:t xml:space="preserve">de la protection envisagée </w:t>
      </w:r>
      <w:r w:rsidR="002A320D" w:rsidRPr="00E72418">
        <w:t xml:space="preserve">aux seuls Pays Pauvres Très Endettés </w:t>
      </w:r>
      <w:r w:rsidR="00F34550" w:rsidRPr="00E72418">
        <w:t>est insuffisante à deux égards</w:t>
      </w:r>
      <w:r w:rsidR="00544C82" w:rsidRPr="00E72418">
        <w:t>. D’une part, les activités des fonds spéculatifs ne se limitent pas à ces pays, d’autre part, les termes de cette Initiative sont définis dans un espace-temps</w:t>
      </w:r>
      <w:r w:rsidRPr="00E72418">
        <w:t xml:space="preserve"> précis</w:t>
      </w:r>
      <w:r w:rsidR="00544C82" w:rsidRPr="00E72418">
        <w:t xml:space="preserve"> alors que les difficultés encourues par les </w:t>
      </w:r>
      <w:r w:rsidR="00544C82" w:rsidRPr="00E72418">
        <w:rPr>
          <w:rFonts w:cs="Times New Roman"/>
        </w:rPr>
        <w:t>É</w:t>
      </w:r>
      <w:r w:rsidR="00544C82" w:rsidRPr="00E72418">
        <w:t>tats débiteurs sont évolutives</w:t>
      </w:r>
      <w:r w:rsidR="00F04748" w:rsidRPr="00E72418">
        <w:rPr>
          <w:rStyle w:val="Appelnotedebasdep"/>
        </w:rPr>
        <w:footnoteReference w:id="2169"/>
      </w:r>
      <w:r w:rsidR="00544C82" w:rsidRPr="00E72418">
        <w:t>.</w:t>
      </w:r>
      <w:r w:rsidR="00935051" w:rsidRPr="00E72418">
        <w:t xml:space="preserve"> Rien ne nous paraît non plus justifier qu’il faille, pour être </w:t>
      </w:r>
      <w:r w:rsidR="00935051" w:rsidRPr="00E72418">
        <w:lastRenderedPageBreak/>
        <w:t>protégé, que l’</w:t>
      </w:r>
      <w:r w:rsidR="00B94999" w:rsidRPr="00E72418">
        <w:rPr>
          <w:rFonts w:cs="Times New Roman"/>
        </w:rPr>
        <w:t>É</w:t>
      </w:r>
      <w:r w:rsidR="00935051" w:rsidRPr="00E72418">
        <w:t>tat ait fait défaut sur sa dette ou qu’il en ait proposé des mesures de restructuration</w:t>
      </w:r>
      <w:r w:rsidR="00935051" w:rsidRPr="00E72418">
        <w:rPr>
          <w:rStyle w:val="Appelnotedebasdep"/>
        </w:rPr>
        <w:footnoteReference w:id="2170"/>
      </w:r>
      <w:r w:rsidR="00935051" w:rsidRPr="00E72418">
        <w:t>.</w:t>
      </w:r>
    </w:p>
    <w:p w14:paraId="05C7B765" w14:textId="03F030A5" w:rsidR="007D68C3" w:rsidRPr="00E72418" w:rsidRDefault="006D53F6" w:rsidP="006D53F6">
      <w:pPr>
        <w:spacing w:line="276" w:lineRule="auto"/>
      </w:pPr>
      <w:r w:rsidRPr="00E72418">
        <w:t>Par opposition, l</w:t>
      </w:r>
      <w:r w:rsidR="00544C82" w:rsidRPr="00E72418">
        <w:t xml:space="preserve">’on ne saurait retenir que l’ensemble des </w:t>
      </w:r>
      <w:r w:rsidR="00544C82" w:rsidRPr="00E72418">
        <w:rPr>
          <w:rFonts w:cs="Times New Roman"/>
        </w:rPr>
        <w:t>É</w:t>
      </w:r>
      <w:r w:rsidR="00544C82" w:rsidRPr="00E72418">
        <w:t>tats débiteurs doit bénéficier d’une protection</w:t>
      </w:r>
      <w:r w:rsidRPr="00E72418">
        <w:t xml:space="preserve"> </w:t>
      </w:r>
      <w:r w:rsidR="003244B5" w:rsidRPr="00E72418">
        <w:t xml:space="preserve">contre la spéculation </w:t>
      </w:r>
      <w:r w:rsidRPr="00E72418">
        <w:t xml:space="preserve">au risque de ne pas pouvoir justifier de notre </w:t>
      </w:r>
      <w:r w:rsidR="00802A9E" w:rsidRPr="00E72418">
        <w:t xml:space="preserve">réglementation </w:t>
      </w:r>
      <w:r w:rsidRPr="00E72418">
        <w:t>en mobilisant l’argument de la soutenabilité de la dette</w:t>
      </w:r>
      <w:r w:rsidR="00544C82" w:rsidRPr="00E72418">
        <w:t xml:space="preserve">. </w:t>
      </w:r>
      <w:r w:rsidRPr="00E72418">
        <w:t>Plus encore, u</w:t>
      </w:r>
      <w:r w:rsidR="00544C82" w:rsidRPr="00E72418">
        <w:t xml:space="preserve">n champ d’application trop large de la législation anti-fonds spéculatifs envisagée est de nature </w:t>
      </w:r>
      <w:r w:rsidR="007D0D2B">
        <w:t>à avoir un effet négatif sur le</w:t>
      </w:r>
      <w:r w:rsidR="00544C82" w:rsidRPr="00E72418">
        <w:t xml:space="preserve"> m</w:t>
      </w:r>
      <w:r w:rsidR="007D0D2B">
        <w:t>arché</w:t>
      </w:r>
      <w:r w:rsidR="00544C82" w:rsidRPr="00E72418">
        <w:t xml:space="preserve"> des dettes souveraines. À notre sens, le seul baromètre justifié et justifiable est</w:t>
      </w:r>
      <w:r w:rsidR="000951C3" w:rsidRPr="00E72418">
        <w:t>, comme nous l’avons déjà précisé,</w:t>
      </w:r>
      <w:r w:rsidR="00544C82" w:rsidRPr="00E72418">
        <w:t xml:space="preserve"> celui de la soutenabilité de la dette</w:t>
      </w:r>
      <w:r w:rsidR="007D68C3" w:rsidRPr="00E72418">
        <w:rPr>
          <w:rStyle w:val="Appelnotedebasdep"/>
        </w:rPr>
        <w:footnoteReference w:id="2171"/>
      </w:r>
      <w:r w:rsidR="00544C82" w:rsidRPr="00E72418">
        <w:t xml:space="preserve">. </w:t>
      </w:r>
    </w:p>
    <w:p w14:paraId="0271BD76" w14:textId="4D0812E1" w:rsidR="00AA45A7" w:rsidRPr="00E72418" w:rsidRDefault="006D53F6" w:rsidP="0085537F">
      <w:pPr>
        <w:spacing w:line="276" w:lineRule="auto"/>
      </w:pPr>
      <w:r w:rsidRPr="00E72418">
        <w:t xml:space="preserve">Réfléchissant aux activités des fonds spéculatifs et à leurs incidences sur les droits de l’homme et s’arrêtant sur les législations anti-fonds spéculatifs adoptées jusqu’alors, le Comité consultatif du Conseil des droits de l’homme des Nations Unies fait valoir que </w:t>
      </w:r>
      <w:r w:rsidR="00FB66A8" w:rsidRPr="00E72418">
        <w:t>« </w:t>
      </w:r>
      <w:r w:rsidRPr="00E72418">
        <w:t xml:space="preserve">les mesures de protection devraient s’appliquer à </w:t>
      </w:r>
      <w:r w:rsidR="00FB66A8" w:rsidRPr="00E72418">
        <w:t>tous les</w:t>
      </w:r>
      <w:r w:rsidRPr="00E72418">
        <w:t xml:space="preserve"> pays surendettés</w:t>
      </w:r>
      <w:r w:rsidR="00FB66A8" w:rsidRPr="00E72418">
        <w:t> »</w:t>
      </w:r>
      <w:r w:rsidRPr="00E72418">
        <w:rPr>
          <w:rStyle w:val="Appelnotedebasdep"/>
          <w:szCs w:val="24"/>
        </w:rPr>
        <w:footnoteReference w:id="2172"/>
      </w:r>
      <w:r w:rsidRPr="00E72418">
        <w:t>.</w:t>
      </w:r>
      <w:r w:rsidR="007D68C3" w:rsidRPr="00E72418">
        <w:t xml:space="preserve"> </w:t>
      </w:r>
      <w:r w:rsidRPr="00E72418">
        <w:rPr>
          <w:rFonts w:ascii="Times New Roman" w:hAnsi="Times New Roman" w:cs="Times New Roman"/>
          <w:szCs w:val="24"/>
        </w:rPr>
        <w:t>Il ne suffit pourtant pas d’assener que les pays surendettés doivent être protégés, encore faut-il parvenir à les identifier précisément</w:t>
      </w:r>
      <w:r w:rsidR="00EF654D" w:rsidRPr="00E72418">
        <w:rPr>
          <w:rFonts w:ascii="Times New Roman" w:hAnsi="Times New Roman" w:cs="Times New Roman"/>
          <w:szCs w:val="24"/>
        </w:rPr>
        <w:t xml:space="preserve"> afin d</w:t>
      </w:r>
      <w:r w:rsidR="00F62FD7" w:rsidRPr="00E72418">
        <w:rPr>
          <w:rFonts w:ascii="Times New Roman" w:hAnsi="Times New Roman" w:cs="Times New Roman"/>
          <w:szCs w:val="24"/>
        </w:rPr>
        <w:t xml:space="preserve">’éviter que des </w:t>
      </w:r>
      <w:r w:rsidR="00F62FD7" w:rsidRPr="00E72418">
        <w:rPr>
          <w:lang w:eastAsia="fr-BE"/>
        </w:rPr>
        <w:t>É</w:t>
      </w:r>
      <w:r w:rsidR="00EF654D" w:rsidRPr="00E72418">
        <w:rPr>
          <w:rFonts w:ascii="Times New Roman" w:hAnsi="Times New Roman" w:cs="Times New Roman"/>
          <w:szCs w:val="24"/>
        </w:rPr>
        <w:t>tats dont la dette est soutenable puissent bénéficier du mécanisme mis en place</w:t>
      </w:r>
      <w:r w:rsidR="00EF654D" w:rsidRPr="00E72418">
        <w:rPr>
          <w:rStyle w:val="Appelnotedebasdep"/>
          <w:rFonts w:ascii="Times New Roman" w:hAnsi="Times New Roman" w:cs="Times New Roman"/>
          <w:szCs w:val="24"/>
        </w:rPr>
        <w:footnoteReference w:id="2173"/>
      </w:r>
      <w:r w:rsidR="00EF654D" w:rsidRPr="00E72418">
        <w:rPr>
          <w:rFonts w:ascii="Times New Roman" w:hAnsi="Times New Roman" w:cs="Times New Roman"/>
          <w:szCs w:val="24"/>
        </w:rPr>
        <w:t xml:space="preserve">. </w:t>
      </w:r>
      <w:r w:rsidR="00AA45A7" w:rsidRPr="00E72418">
        <w:rPr>
          <w:rFonts w:ascii="Times New Roman" w:hAnsi="Times New Roman" w:cs="Times New Roman"/>
          <w:szCs w:val="24"/>
        </w:rPr>
        <w:t>Afin de facil</w:t>
      </w:r>
      <w:r w:rsidR="00F62FD7" w:rsidRPr="00E72418">
        <w:rPr>
          <w:rFonts w:ascii="Times New Roman" w:hAnsi="Times New Roman" w:cs="Times New Roman"/>
          <w:szCs w:val="24"/>
        </w:rPr>
        <w:t xml:space="preserve">iter la tâche des juges et des </w:t>
      </w:r>
      <w:r w:rsidR="00F62FD7" w:rsidRPr="00E72418">
        <w:rPr>
          <w:lang w:eastAsia="fr-BE"/>
        </w:rPr>
        <w:t>É</w:t>
      </w:r>
      <w:r w:rsidR="00AA45A7" w:rsidRPr="00E72418">
        <w:rPr>
          <w:rFonts w:ascii="Times New Roman" w:hAnsi="Times New Roman" w:cs="Times New Roman"/>
          <w:szCs w:val="24"/>
        </w:rPr>
        <w:t>tats les plus en difficulté, il apparaît op</w:t>
      </w:r>
      <w:r w:rsidR="00F62FD7" w:rsidRPr="00E72418">
        <w:rPr>
          <w:rFonts w:ascii="Times New Roman" w:hAnsi="Times New Roman" w:cs="Times New Roman"/>
          <w:szCs w:val="24"/>
        </w:rPr>
        <w:t xml:space="preserve">portun de retenir que certains </w:t>
      </w:r>
      <w:r w:rsidR="00F62FD7" w:rsidRPr="00E72418">
        <w:rPr>
          <w:lang w:eastAsia="fr-BE"/>
        </w:rPr>
        <w:t>É</w:t>
      </w:r>
      <w:r w:rsidR="00AA45A7" w:rsidRPr="00E72418">
        <w:rPr>
          <w:rFonts w:ascii="Times New Roman" w:hAnsi="Times New Roman" w:cs="Times New Roman"/>
          <w:szCs w:val="24"/>
        </w:rPr>
        <w:t>tats sont d’office protégés sans qu’il soit attendu de leur part qu’ils fassent la démonstration de leur impécuniosité</w:t>
      </w:r>
      <w:r w:rsidR="00555FC2" w:rsidRPr="00E72418">
        <w:rPr>
          <w:rStyle w:val="Appelnotedebasdep"/>
          <w:rFonts w:ascii="Times New Roman" w:hAnsi="Times New Roman" w:cs="Times New Roman"/>
          <w:szCs w:val="24"/>
        </w:rPr>
        <w:footnoteReference w:id="2174"/>
      </w:r>
      <w:r w:rsidR="00AA45A7" w:rsidRPr="00E72418">
        <w:rPr>
          <w:rFonts w:ascii="Times New Roman" w:hAnsi="Times New Roman" w:cs="Times New Roman"/>
          <w:szCs w:val="24"/>
        </w:rPr>
        <w:t xml:space="preserve">. L’on pourrait ici </w:t>
      </w:r>
      <w:r w:rsidR="00D1515A" w:rsidRPr="00E72418">
        <w:rPr>
          <w:rFonts w:ascii="Times New Roman" w:hAnsi="Times New Roman" w:cs="Times New Roman"/>
          <w:szCs w:val="24"/>
        </w:rPr>
        <w:t>mobiliser</w:t>
      </w:r>
      <w:r w:rsidR="00AA45A7" w:rsidRPr="00E72418">
        <w:rPr>
          <w:rFonts w:ascii="Times New Roman" w:hAnsi="Times New Roman" w:cs="Times New Roman"/>
          <w:szCs w:val="24"/>
        </w:rPr>
        <w:t xml:space="preserve"> l</w:t>
      </w:r>
      <w:r w:rsidR="00D1515A" w:rsidRPr="00E72418">
        <w:rPr>
          <w:rFonts w:ascii="Times New Roman" w:hAnsi="Times New Roman" w:cs="Times New Roman"/>
          <w:szCs w:val="24"/>
        </w:rPr>
        <w:t xml:space="preserve">a liste utilisée dans </w:t>
      </w:r>
      <w:r w:rsidR="00AA45A7" w:rsidRPr="00E72418">
        <w:rPr>
          <w:rFonts w:ascii="Times New Roman" w:hAnsi="Times New Roman" w:cs="Times New Roman"/>
          <w:szCs w:val="24"/>
        </w:rPr>
        <w:t xml:space="preserve">la loi française </w:t>
      </w:r>
      <w:r w:rsidR="00F62FD7" w:rsidRPr="00E72418">
        <w:rPr>
          <w:rFonts w:ascii="Times New Roman" w:hAnsi="Times New Roman" w:cs="Times New Roman"/>
          <w:szCs w:val="24"/>
        </w:rPr>
        <w:t>et retenir que l’</w:t>
      </w:r>
      <w:r w:rsidR="00F62FD7" w:rsidRPr="00E72418">
        <w:rPr>
          <w:lang w:eastAsia="fr-BE"/>
        </w:rPr>
        <w:t>É</w:t>
      </w:r>
      <w:r w:rsidR="00D1515A" w:rsidRPr="00E72418">
        <w:rPr>
          <w:rFonts w:ascii="Times New Roman" w:hAnsi="Times New Roman" w:cs="Times New Roman"/>
          <w:szCs w:val="24"/>
        </w:rPr>
        <w:t xml:space="preserve">tat </w:t>
      </w:r>
      <w:r w:rsidR="006E0EEA" w:rsidRPr="00E72418">
        <w:rPr>
          <w:rFonts w:ascii="Times New Roman" w:hAnsi="Times New Roman" w:cs="Times New Roman"/>
          <w:szCs w:val="24"/>
          <w:shd w:val="clear" w:color="auto" w:fill="FFFFFF"/>
        </w:rPr>
        <w:t>étranger débiteur figure</w:t>
      </w:r>
      <w:r w:rsidR="00AA45A7" w:rsidRPr="00E72418">
        <w:rPr>
          <w:rFonts w:ascii="Times New Roman" w:hAnsi="Times New Roman" w:cs="Times New Roman"/>
          <w:szCs w:val="24"/>
          <w:shd w:val="clear" w:color="auto" w:fill="FFFFFF"/>
        </w:rPr>
        <w:t xml:space="preserve"> sur la liste des bénéficiaires de l’aide publique au développement établie par le comité de l’aide au développement de l’Organisation de coopération et de développement économiques lorsque le titre de créance </w:t>
      </w:r>
      <w:r w:rsidR="00624CDE" w:rsidRPr="00E72418">
        <w:rPr>
          <w:rFonts w:ascii="Times New Roman" w:hAnsi="Times New Roman" w:cs="Times New Roman"/>
          <w:szCs w:val="24"/>
          <w:shd w:val="clear" w:color="auto" w:fill="FFFFFF"/>
        </w:rPr>
        <w:t>est poursuivi</w:t>
      </w:r>
      <w:r w:rsidR="00D1515A" w:rsidRPr="00E72418">
        <w:rPr>
          <w:rStyle w:val="Appelnotedebasdep"/>
          <w:rFonts w:ascii="Times New Roman" w:hAnsi="Times New Roman" w:cs="Times New Roman"/>
          <w:szCs w:val="24"/>
          <w:shd w:val="clear" w:color="auto" w:fill="FFFFFF"/>
        </w:rPr>
        <w:footnoteReference w:id="2175"/>
      </w:r>
      <w:r w:rsidR="00AA45A7" w:rsidRPr="00E72418">
        <w:rPr>
          <w:rFonts w:ascii="Times New Roman" w:hAnsi="Times New Roman" w:cs="Times New Roman"/>
          <w:szCs w:val="24"/>
          <w:shd w:val="clear" w:color="auto" w:fill="FFFFFF"/>
        </w:rPr>
        <w:t>.</w:t>
      </w:r>
      <w:r w:rsidR="00D1515A" w:rsidRPr="00E72418">
        <w:rPr>
          <w:rFonts w:ascii="Times New Roman" w:hAnsi="Times New Roman" w:cs="Times New Roman"/>
          <w:szCs w:val="24"/>
          <w:shd w:val="clear" w:color="auto" w:fill="FFFFFF"/>
        </w:rPr>
        <w:t xml:space="preserve"> </w:t>
      </w:r>
    </w:p>
    <w:p w14:paraId="3A0E5E9D" w14:textId="110C26AF" w:rsidR="002A3FDD" w:rsidRPr="00E72418" w:rsidRDefault="007D68C3" w:rsidP="0085537F">
      <w:pPr>
        <w:spacing w:line="276" w:lineRule="auto"/>
      </w:pPr>
      <w:r w:rsidRPr="00E72418">
        <w:lastRenderedPageBreak/>
        <w:t>Dans l’hypothèse où l’</w:t>
      </w:r>
      <w:r w:rsidRPr="00E72418">
        <w:rPr>
          <w:lang w:eastAsia="fr-BE"/>
        </w:rPr>
        <w:t>É</w:t>
      </w:r>
      <w:r w:rsidRPr="00E72418">
        <w:t xml:space="preserve">tat visé par la spéculation ne figure pas sur la liste établie, la protection mise en place ne lui est pas pour autant inaccessible. </w:t>
      </w:r>
      <w:r w:rsidR="00C8381D" w:rsidRPr="00E72418">
        <w:t>D</w:t>
      </w:r>
      <w:r w:rsidR="00EF654D" w:rsidRPr="00E72418">
        <w:t xml:space="preserve">ès lors que </w:t>
      </w:r>
      <w:r w:rsidR="00C17CDE" w:rsidRPr="00E72418">
        <w:t>nous prévoyons que toute démarche visant la condamnation ou l’exécution d’une condamnation découlant d’un titre de dette reçoive une autorisation judiciaire préalable</w:t>
      </w:r>
      <w:r w:rsidR="00C17CDE" w:rsidRPr="00E72418">
        <w:rPr>
          <w:rStyle w:val="Appelnotedebasdep"/>
        </w:rPr>
        <w:footnoteReference w:id="2176"/>
      </w:r>
      <w:r w:rsidR="00C17CDE" w:rsidRPr="00E72418">
        <w:t xml:space="preserve">, et puisque la limitation mise en place n’heurte pas les espérances légitimes du créancier en ce qu’il pourra toujours minimalement récupérer sa mise, </w:t>
      </w:r>
      <w:r w:rsidR="00F62FD7" w:rsidRPr="00E72418">
        <w:t>l’on peut attendre de l’</w:t>
      </w:r>
      <w:r w:rsidR="00F62FD7" w:rsidRPr="00E72418">
        <w:rPr>
          <w:lang w:eastAsia="fr-BE"/>
        </w:rPr>
        <w:t>É</w:t>
      </w:r>
      <w:r w:rsidR="00C8381D" w:rsidRPr="00E72418">
        <w:t>tat débiteur</w:t>
      </w:r>
      <w:r w:rsidR="00C17CDE" w:rsidRPr="00E72418">
        <w:t xml:space="preserve">, lorsque des démarches sont entreprises à son encontre par un créancier, </w:t>
      </w:r>
      <w:r w:rsidR="00C8381D" w:rsidRPr="00E72418">
        <w:t>qu’il démontre</w:t>
      </w:r>
      <w:r w:rsidR="00C17CDE" w:rsidRPr="00E72418">
        <w:t xml:space="preserve"> que la satisfaction qui serait donnée à </w:t>
      </w:r>
      <w:r w:rsidR="00C8381D" w:rsidRPr="00E72418">
        <w:t>son créancier</w:t>
      </w:r>
      <w:r w:rsidR="00C17CDE" w:rsidRPr="00E72418">
        <w:t xml:space="preserve"> entamerait </w:t>
      </w:r>
      <w:r w:rsidR="00C8381D" w:rsidRPr="00E72418">
        <w:t>concrètement et spécialement s</w:t>
      </w:r>
      <w:r w:rsidR="00C17CDE" w:rsidRPr="00E72418">
        <w:t>es facultés d’assurer les missions qui sont les siennes et qui ont trait aux droits fondamentaux de sa population</w:t>
      </w:r>
      <w:r w:rsidR="002A3FDD" w:rsidRPr="00E72418">
        <w:t xml:space="preserve">. </w:t>
      </w:r>
      <w:r w:rsidR="00FE7BE9" w:rsidRPr="00E72418">
        <w:t xml:space="preserve">Hayk </w:t>
      </w:r>
      <w:r w:rsidR="002A3FDD" w:rsidRPr="00E72418">
        <w:t>Kupelyants insiste ici sur l’utilité de faire appel à des experts puisque « </w:t>
      </w:r>
      <w:r w:rsidR="002A3FDD" w:rsidRPr="00E72418">
        <w:rPr>
          <w:szCs w:val="20"/>
        </w:rPr>
        <w:t>[t]</w:t>
      </w:r>
      <w:r w:rsidR="002A3FDD" w:rsidRPr="00E72418">
        <w:t xml:space="preserve">he concept of debt </w:t>
      </w:r>
      <w:r w:rsidR="002A3FDD" w:rsidRPr="00E72418">
        <w:rPr>
          <w:szCs w:val="20"/>
          <w:lang w:val="en-US"/>
        </w:rPr>
        <w:t xml:space="preserve">“overhang” </w:t>
      </w:r>
      <w:r w:rsidR="002A3FDD" w:rsidRPr="00E72418">
        <w:t>does not have the requisite legal precision to be susceptible to straightforward application in judicial proceedings »</w:t>
      </w:r>
      <w:r w:rsidR="00D90096" w:rsidRPr="00E72418">
        <w:rPr>
          <w:rStyle w:val="Appelnotedebasdep"/>
        </w:rPr>
        <w:footnoteReference w:id="2177"/>
      </w:r>
      <w:r w:rsidR="002A3FDD" w:rsidRPr="00E72418">
        <w:t xml:space="preserve">. </w:t>
      </w:r>
    </w:p>
    <w:p w14:paraId="12CF0C8F" w14:textId="49FF9D5B" w:rsidR="00EF654D" w:rsidRPr="00E72418" w:rsidRDefault="002A3FDD" w:rsidP="0085537F">
      <w:pPr>
        <w:spacing w:line="276" w:lineRule="auto"/>
      </w:pPr>
      <w:r w:rsidRPr="00E72418">
        <w:t>Quoique</w:t>
      </w:r>
      <w:r w:rsidR="00555FC2" w:rsidRPr="00E72418">
        <w:t xml:space="preserve"> la possibilité soit sans doute essentiellement théorique, rien ne nous paraît empêcher un créancier de chercher à démontrer que le paiement qu’il sollicite ne saurait d’aucune manière entamer la soutenabilité de la dette souveraine de son débiteur. Cette démonstration, même si elle sera </w:t>
      </w:r>
      <w:r w:rsidR="007D68C3" w:rsidRPr="00E72418">
        <w:t>vraisemblablement</w:t>
      </w:r>
      <w:r w:rsidR="00555FC2" w:rsidRPr="00E72418">
        <w:t xml:space="preserve"> difficile à apporter</w:t>
      </w:r>
      <w:r w:rsidR="007D68C3" w:rsidRPr="00E72418">
        <w:t xml:space="preserve"> en pratique</w:t>
      </w:r>
      <w:r w:rsidR="00555FC2" w:rsidRPr="00E72418">
        <w:t>, permet d’é</w:t>
      </w:r>
      <w:r w:rsidR="00F62FD7" w:rsidRPr="00E72418">
        <w:t xml:space="preserve">viter que soient protégés des </w:t>
      </w:r>
      <w:r w:rsidR="00F62FD7" w:rsidRPr="00E72418">
        <w:rPr>
          <w:lang w:eastAsia="fr-BE"/>
        </w:rPr>
        <w:t>Ét</w:t>
      </w:r>
      <w:r w:rsidR="00555FC2" w:rsidRPr="00E72418">
        <w:t>ats dont la situation financière était mauvaise au moment où le titre de créance a été acquis mais se serait améliorée dans l’intervalle</w:t>
      </w:r>
      <w:r w:rsidR="00555FC2" w:rsidRPr="00E72418">
        <w:rPr>
          <w:rStyle w:val="Appelnotedebasdep"/>
        </w:rPr>
        <w:footnoteReference w:id="2178"/>
      </w:r>
      <w:r w:rsidR="00555FC2" w:rsidRPr="00E72418">
        <w:t>.</w:t>
      </w:r>
    </w:p>
    <w:p w14:paraId="0334CD4D" w14:textId="0C53ABEA" w:rsidR="009A72FE" w:rsidRPr="00E72418" w:rsidRDefault="009A72FE" w:rsidP="009A72FE">
      <w:pPr>
        <w:spacing w:line="276" w:lineRule="auto"/>
      </w:pPr>
      <w:r w:rsidRPr="00E72418">
        <w:t xml:space="preserve">L’on pourrait finalement se demander si des comportements adoptés par un </w:t>
      </w:r>
      <w:r w:rsidRPr="00E72418">
        <w:rPr>
          <w:rFonts w:ascii="Times New Roman" w:hAnsi="Times New Roman" w:cs="Times New Roman"/>
          <w:lang w:eastAsia="fr-BE"/>
        </w:rPr>
        <w:t>É</w:t>
      </w:r>
      <w:r w:rsidRPr="00E72418">
        <w:t xml:space="preserve">tat </w:t>
      </w:r>
      <w:r w:rsidR="00624CDE" w:rsidRPr="00E72418">
        <w:t>devraient</w:t>
      </w:r>
      <w:r w:rsidRPr="00E72418">
        <w:t xml:space="preserve"> </w:t>
      </w:r>
      <w:r w:rsidR="00FB66A8" w:rsidRPr="00E72418">
        <w:t>conduire</w:t>
      </w:r>
      <w:r w:rsidR="00C8381D" w:rsidRPr="00E72418">
        <w:t xml:space="preserve"> à</w:t>
      </w:r>
      <w:r w:rsidRPr="00E72418">
        <w:t xml:space="preserve"> lui refuser le bénéfice du mécanisme protecteur envisagé. Ainsi, la législation étatsunienne en projet exclu</w:t>
      </w:r>
      <w:r w:rsidR="00B47EC2" w:rsidRPr="00E72418">
        <w:t>ai</w:t>
      </w:r>
      <w:r w:rsidRPr="00E72418">
        <w:t>t de sa protection toute une série de pays bannis pour diverses raisons parmi lesquelles des violations graves des droits de l’homme, le support à des actes de terrorisme ou encore une absence de collaboration dans la lutte contre le narcotrafic</w:t>
      </w:r>
      <w:r w:rsidRPr="00E72418">
        <w:rPr>
          <w:rStyle w:val="Appelnotedebasdep"/>
        </w:rPr>
        <w:footnoteReference w:id="2179"/>
      </w:r>
      <w:r w:rsidRPr="00E72418">
        <w:t xml:space="preserve">. Outre </w:t>
      </w:r>
      <w:r w:rsidR="00B47EC2" w:rsidRPr="00E72418">
        <w:t xml:space="preserve">le fait </w:t>
      </w:r>
      <w:r w:rsidRPr="00E72418">
        <w:t xml:space="preserve">que cette détermination </w:t>
      </w:r>
      <w:r w:rsidR="00624CDE" w:rsidRPr="00E72418">
        <w:t xml:space="preserve">nous semble </w:t>
      </w:r>
      <w:r w:rsidRPr="00E72418">
        <w:t>participe</w:t>
      </w:r>
      <w:r w:rsidR="00624CDE" w:rsidRPr="00E72418">
        <w:t>r</w:t>
      </w:r>
      <w:r w:rsidRPr="00E72418">
        <w:t xml:space="preserve"> d’une forme d’hégémonie des pays riches</w:t>
      </w:r>
      <w:r w:rsidR="00624CDE" w:rsidRPr="00E72418">
        <w:t xml:space="preserve"> sans doute malvenue vu la concentration des activités spéculatives sur les pays pauvres</w:t>
      </w:r>
      <w:r w:rsidRPr="00E72418">
        <w:t xml:space="preserve">, elle ne nous paraît </w:t>
      </w:r>
      <w:r w:rsidR="00624CDE" w:rsidRPr="00E72418">
        <w:t xml:space="preserve">pas </w:t>
      </w:r>
      <w:r w:rsidRPr="00E72418">
        <w:t xml:space="preserve">s’inscrire dans la justification de la soutenabilité donnée à la </w:t>
      </w:r>
      <w:r w:rsidR="00802A9E" w:rsidRPr="00E72418">
        <w:t xml:space="preserve">limitation </w:t>
      </w:r>
      <w:r w:rsidRPr="00E72418">
        <w:t>envisagée.</w:t>
      </w:r>
    </w:p>
    <w:p w14:paraId="439959A1" w14:textId="77777777" w:rsidR="003D5CA4" w:rsidRPr="00E72418" w:rsidRDefault="003D5CA4" w:rsidP="009A72FE">
      <w:pPr>
        <w:spacing w:line="276" w:lineRule="auto"/>
      </w:pPr>
    </w:p>
    <w:p w14:paraId="39EDB364" w14:textId="4965DBC1" w:rsidR="00607C5C" w:rsidRPr="00E72418" w:rsidRDefault="00712571" w:rsidP="00F32926">
      <w:pPr>
        <w:spacing w:line="276" w:lineRule="auto"/>
        <w:rPr>
          <w:rFonts w:ascii="Times New Roman" w:hAnsi="Times New Roman" w:cs="Times New Roman"/>
          <w:b/>
        </w:rPr>
      </w:pPr>
      <w:r w:rsidRPr="00E72418">
        <w:rPr>
          <w:rFonts w:ascii="Times New Roman" w:hAnsi="Times New Roman" w:cs="Times New Roman"/>
          <w:b/>
        </w:rPr>
        <w:t>42</w:t>
      </w:r>
      <w:r w:rsidR="00573FA9">
        <w:rPr>
          <w:rFonts w:ascii="Times New Roman" w:hAnsi="Times New Roman" w:cs="Times New Roman"/>
          <w:b/>
        </w:rPr>
        <w:t>4</w:t>
      </w:r>
      <w:r w:rsidRPr="00E72418">
        <w:rPr>
          <w:rFonts w:ascii="Times New Roman" w:hAnsi="Times New Roman" w:cs="Times New Roman"/>
          <w:b/>
        </w:rPr>
        <w:t>.</w:t>
      </w:r>
      <w:r w:rsidR="00817D62" w:rsidRPr="00E72418">
        <w:rPr>
          <w:rFonts w:ascii="Times New Roman" w:hAnsi="Times New Roman" w:cs="Times New Roman"/>
          <w:b/>
        </w:rPr>
        <w:t xml:space="preserve"> </w:t>
      </w:r>
      <w:r w:rsidR="00D45744" w:rsidRPr="00E72418">
        <w:rPr>
          <w:rFonts w:ascii="Times New Roman" w:hAnsi="Times New Roman" w:cs="Times New Roman"/>
          <w:b/>
        </w:rPr>
        <w:t>Les dettes concernées</w:t>
      </w:r>
      <w:r w:rsidR="00F32926" w:rsidRPr="00E72418">
        <w:rPr>
          <w:rFonts w:ascii="Times New Roman" w:hAnsi="Times New Roman" w:cs="Times New Roman"/>
          <w:b/>
        </w:rPr>
        <w:t xml:space="preserve"> – </w:t>
      </w:r>
      <w:r w:rsidR="00607C5C" w:rsidRPr="00E72418">
        <w:rPr>
          <w:rFonts w:ascii="Times New Roman" w:hAnsi="Times New Roman" w:cs="Times New Roman"/>
        </w:rPr>
        <w:t xml:space="preserve">La précision des dettes protégées de la spéculation peut se faire au niveau de leur forme juridique mais également au niveau de la temporalité de leur conclusion. S’il nous apparaît qu’une précision du premier ordre n’est pas souhaitable en raison du risque que la créativité connue des fonds spéculatifs leur permette d’échafauder des </w:t>
      </w:r>
      <w:r w:rsidR="00607C5C" w:rsidRPr="00E72418">
        <w:rPr>
          <w:rFonts w:ascii="Times New Roman" w:hAnsi="Times New Roman" w:cs="Times New Roman"/>
        </w:rPr>
        <w:lastRenderedPageBreak/>
        <w:t>constructions juridiques utiles au contournement du mécanisme anti-spéculation mis en place</w:t>
      </w:r>
      <w:r w:rsidR="00607C5C" w:rsidRPr="00E72418">
        <w:rPr>
          <w:rStyle w:val="Appelnotedebasdep"/>
          <w:rFonts w:ascii="Times New Roman" w:hAnsi="Times New Roman" w:cs="Times New Roman"/>
        </w:rPr>
        <w:footnoteReference w:id="2180"/>
      </w:r>
      <w:r w:rsidR="00607C5C" w:rsidRPr="00E72418">
        <w:rPr>
          <w:rFonts w:ascii="Times New Roman" w:hAnsi="Times New Roman" w:cs="Times New Roman"/>
        </w:rPr>
        <w:t xml:space="preserve">, la précision au niveau </w:t>
      </w:r>
      <w:r w:rsidR="00FB7B1F" w:rsidRPr="00E72418">
        <w:rPr>
          <w:rFonts w:ascii="Times New Roman" w:hAnsi="Times New Roman" w:cs="Times New Roman"/>
        </w:rPr>
        <w:t>du moment où les dettes ont été encourues doit faire l’objet d’une réflexion.</w:t>
      </w:r>
    </w:p>
    <w:p w14:paraId="5291DB46" w14:textId="2C9F50F4" w:rsidR="00F32926" w:rsidRPr="00E72418" w:rsidRDefault="00F32926" w:rsidP="00F32926">
      <w:pPr>
        <w:spacing w:line="276" w:lineRule="auto"/>
        <w:rPr>
          <w:rFonts w:ascii="Times New Roman" w:hAnsi="Times New Roman" w:cs="Times New Roman"/>
        </w:rPr>
      </w:pPr>
      <w:r w:rsidRPr="00E72418">
        <w:rPr>
          <w:rFonts w:ascii="Times New Roman" w:hAnsi="Times New Roman" w:cs="Times New Roman"/>
        </w:rPr>
        <w:t xml:space="preserve">Une législation, comme la britannique, qui se limite à protéger les dettes </w:t>
      </w:r>
      <w:r w:rsidR="00FB7B1F" w:rsidRPr="00E72418">
        <w:rPr>
          <w:rFonts w:ascii="Times New Roman" w:hAnsi="Times New Roman" w:cs="Times New Roman"/>
        </w:rPr>
        <w:t>contractées</w:t>
      </w:r>
      <w:r w:rsidRPr="00E72418">
        <w:rPr>
          <w:rFonts w:ascii="Times New Roman" w:hAnsi="Times New Roman" w:cs="Times New Roman"/>
        </w:rPr>
        <w:t xml:space="preserve"> avant son entrée en vigueur ne nous paraît pas souhaitable dans la mesure où les </w:t>
      </w:r>
      <w:r w:rsidRPr="00E72418">
        <w:rPr>
          <w:rFonts w:ascii="Times New Roman" w:hAnsi="Times New Roman" w:cs="Times New Roman"/>
          <w:lang w:eastAsia="fr-BE"/>
        </w:rPr>
        <w:t>É</w:t>
      </w:r>
      <w:r w:rsidRPr="00E72418">
        <w:rPr>
          <w:rFonts w:ascii="Times New Roman" w:hAnsi="Times New Roman" w:cs="Times New Roman"/>
        </w:rPr>
        <w:t>tats qui ont bénéficié de mesures d’allègement vont continuer à emprunter de l’argent alors que</w:t>
      </w:r>
      <w:r w:rsidR="00783E2D">
        <w:rPr>
          <w:rFonts w:ascii="Times New Roman" w:hAnsi="Times New Roman" w:cs="Times New Roman"/>
        </w:rPr>
        <w:t>,</w:t>
      </w:r>
      <w:r w:rsidRPr="00E72418">
        <w:rPr>
          <w:rFonts w:ascii="Times New Roman" w:hAnsi="Times New Roman" w:cs="Times New Roman"/>
        </w:rPr>
        <w:t xml:space="preserve"> précisément</w:t>
      </w:r>
      <w:r w:rsidR="00783E2D">
        <w:rPr>
          <w:rFonts w:ascii="Times New Roman" w:hAnsi="Times New Roman" w:cs="Times New Roman"/>
        </w:rPr>
        <w:t>,</w:t>
      </w:r>
      <w:r w:rsidRPr="00E72418">
        <w:rPr>
          <w:rFonts w:ascii="Times New Roman" w:hAnsi="Times New Roman" w:cs="Times New Roman"/>
        </w:rPr>
        <w:t xml:space="preserve"> leur propension à rencontrer des difficultés n’a pas </w:t>
      </w:r>
      <w:r w:rsidR="00624CDE" w:rsidRPr="00E72418">
        <w:rPr>
          <w:rFonts w:ascii="Times New Roman" w:hAnsi="Times New Roman" w:cs="Times New Roman"/>
        </w:rPr>
        <w:t xml:space="preserve">forcément </w:t>
      </w:r>
      <w:r w:rsidRPr="00E72418">
        <w:rPr>
          <w:rFonts w:ascii="Times New Roman" w:hAnsi="Times New Roman" w:cs="Times New Roman"/>
        </w:rPr>
        <w:t>disparu</w:t>
      </w:r>
      <w:r w:rsidR="000A0D7E" w:rsidRPr="00E72418">
        <w:rPr>
          <w:rStyle w:val="Appelnotedebasdep"/>
          <w:rFonts w:ascii="Times New Roman" w:hAnsi="Times New Roman" w:cs="Times New Roman"/>
        </w:rPr>
        <w:footnoteReference w:id="2181"/>
      </w:r>
      <w:r w:rsidRPr="00E72418">
        <w:rPr>
          <w:rFonts w:ascii="Times New Roman" w:hAnsi="Times New Roman" w:cs="Times New Roman"/>
        </w:rPr>
        <w:t xml:space="preserve">. </w:t>
      </w:r>
      <w:r w:rsidR="000B007B" w:rsidRPr="00E72418">
        <w:rPr>
          <w:rFonts w:ascii="Times New Roman" w:hAnsi="Times New Roman" w:cs="Times New Roman"/>
        </w:rPr>
        <w:t xml:space="preserve">De la même manière, une législation, comme la française, qui se limite à protéger les dettes </w:t>
      </w:r>
      <w:r w:rsidR="00FB7B1F" w:rsidRPr="00E72418">
        <w:rPr>
          <w:rFonts w:ascii="Times New Roman" w:hAnsi="Times New Roman" w:cs="Times New Roman"/>
        </w:rPr>
        <w:t>acquises à compter de</w:t>
      </w:r>
      <w:r w:rsidR="000B007B" w:rsidRPr="00E72418">
        <w:rPr>
          <w:rFonts w:ascii="Times New Roman" w:hAnsi="Times New Roman" w:cs="Times New Roman"/>
        </w:rPr>
        <w:t xml:space="preserve"> son entrée en vigueur ne nous paraît pas souhaitable dans la mesure où la longévité des dettes souveraines fait qu’</w:t>
      </w:r>
      <w:r w:rsidR="000A0D7E" w:rsidRPr="00E72418">
        <w:rPr>
          <w:rFonts w:ascii="Times New Roman" w:hAnsi="Times New Roman" w:cs="Times New Roman"/>
        </w:rPr>
        <w:t>il en est beaucoup qui doivent être protégées si l’on se soucie d’</w:t>
      </w:r>
      <w:r w:rsidR="00B55498">
        <w:rPr>
          <w:rFonts w:ascii="Times New Roman" w:hAnsi="Times New Roman" w:cs="Times New Roman"/>
        </w:rPr>
        <w:t xml:space="preserve">en </w:t>
      </w:r>
      <w:r w:rsidR="000A0D7E" w:rsidRPr="00E72418">
        <w:rPr>
          <w:rFonts w:ascii="Times New Roman" w:hAnsi="Times New Roman" w:cs="Times New Roman"/>
        </w:rPr>
        <w:t xml:space="preserve">assurer </w:t>
      </w:r>
      <w:r w:rsidR="00B55498">
        <w:rPr>
          <w:rFonts w:ascii="Times New Roman" w:hAnsi="Times New Roman" w:cs="Times New Roman"/>
        </w:rPr>
        <w:t>la</w:t>
      </w:r>
      <w:r w:rsidR="000A0D7E" w:rsidRPr="00E72418">
        <w:rPr>
          <w:rFonts w:ascii="Times New Roman" w:hAnsi="Times New Roman" w:cs="Times New Roman"/>
        </w:rPr>
        <w:t xml:space="preserve"> soutenabilité</w:t>
      </w:r>
      <w:r w:rsidR="000A0D7E" w:rsidRPr="00E72418">
        <w:rPr>
          <w:rStyle w:val="Appelnotedebasdep"/>
          <w:rFonts w:ascii="Times New Roman" w:hAnsi="Times New Roman" w:cs="Times New Roman"/>
        </w:rPr>
        <w:footnoteReference w:id="2182"/>
      </w:r>
      <w:r w:rsidR="000A0D7E" w:rsidRPr="00E72418">
        <w:rPr>
          <w:rFonts w:ascii="Times New Roman" w:hAnsi="Times New Roman" w:cs="Times New Roman"/>
        </w:rPr>
        <w:t>.</w:t>
      </w:r>
      <w:r w:rsidR="000B007B" w:rsidRPr="00E72418">
        <w:rPr>
          <w:rFonts w:ascii="Times New Roman" w:hAnsi="Times New Roman" w:cs="Times New Roman"/>
        </w:rPr>
        <w:t xml:space="preserve"> </w:t>
      </w:r>
      <w:r w:rsidRPr="00E72418">
        <w:rPr>
          <w:rFonts w:ascii="Times New Roman" w:hAnsi="Times New Roman" w:cs="Times New Roman"/>
        </w:rPr>
        <w:t xml:space="preserve">La limitation mise en place, pour qu’elle permette que soit </w:t>
      </w:r>
      <w:r w:rsidR="006F3D84" w:rsidRPr="00E72418">
        <w:rPr>
          <w:rFonts w:ascii="Times New Roman" w:hAnsi="Times New Roman" w:cs="Times New Roman"/>
        </w:rPr>
        <w:t>concrétisée</w:t>
      </w:r>
      <w:r w:rsidRPr="00E72418">
        <w:rPr>
          <w:rFonts w:ascii="Times New Roman" w:hAnsi="Times New Roman" w:cs="Times New Roman"/>
        </w:rPr>
        <w:t xml:space="preserve"> </w:t>
      </w:r>
      <w:r w:rsidR="00B47EC2" w:rsidRPr="00E72418">
        <w:rPr>
          <w:rFonts w:ascii="Times New Roman" w:hAnsi="Times New Roman" w:cs="Times New Roman"/>
        </w:rPr>
        <w:t xml:space="preserve">la poursuite de </w:t>
      </w:r>
      <w:r w:rsidRPr="00E72418">
        <w:rPr>
          <w:rFonts w:ascii="Times New Roman" w:hAnsi="Times New Roman" w:cs="Times New Roman"/>
        </w:rPr>
        <w:t>la soutenabilité des dettes souveraines, doit viser toutes les dettes</w:t>
      </w:r>
      <w:r w:rsidR="00B47EC2" w:rsidRPr="00E72418">
        <w:rPr>
          <w:rFonts w:ascii="Times New Roman" w:hAnsi="Times New Roman" w:cs="Times New Roman"/>
        </w:rPr>
        <w:t xml:space="preserve">, et ce, </w:t>
      </w:r>
      <w:r w:rsidRPr="00E72418">
        <w:rPr>
          <w:rFonts w:ascii="Times New Roman" w:hAnsi="Times New Roman" w:cs="Times New Roman"/>
        </w:rPr>
        <w:t xml:space="preserve">qu’elles aient été contractées </w:t>
      </w:r>
      <w:r w:rsidR="00FB7B1F" w:rsidRPr="00E72418">
        <w:rPr>
          <w:rFonts w:ascii="Times New Roman" w:hAnsi="Times New Roman" w:cs="Times New Roman"/>
        </w:rPr>
        <w:t xml:space="preserve">et, le cas échéant, rachetées </w:t>
      </w:r>
      <w:r w:rsidRPr="00E72418">
        <w:rPr>
          <w:rFonts w:ascii="Times New Roman" w:hAnsi="Times New Roman" w:cs="Times New Roman"/>
        </w:rPr>
        <w:t xml:space="preserve">avant ou après l’adoption de la loi. </w:t>
      </w:r>
    </w:p>
    <w:p w14:paraId="05ABD4EC" w14:textId="21082752" w:rsidR="00F32926" w:rsidRPr="00E72418" w:rsidRDefault="00F32926" w:rsidP="00F32926">
      <w:pPr>
        <w:spacing w:line="276" w:lineRule="auto"/>
        <w:rPr>
          <w:rFonts w:ascii="Times New Roman" w:hAnsi="Times New Roman" w:cs="Times New Roman"/>
          <w:shd w:val="clear" w:color="auto" w:fill="FFFFFF"/>
        </w:rPr>
      </w:pPr>
      <w:r w:rsidRPr="00E72418">
        <w:rPr>
          <w:rFonts w:ascii="Times New Roman" w:hAnsi="Times New Roman" w:cs="Times New Roman"/>
        </w:rPr>
        <w:t>Dès lors que les droits fondamentaux des créanciers ne se trouvent aucunement entamés par la limitation mise en place</w:t>
      </w:r>
      <w:r w:rsidR="00B47EC2" w:rsidRPr="00E72418">
        <w:rPr>
          <w:rFonts w:ascii="Times New Roman" w:hAnsi="Times New Roman" w:cs="Times New Roman"/>
        </w:rPr>
        <w:t xml:space="preserve"> qui s’inscrit dans la poursuite de l’intérêt premier de la soutenabilité</w:t>
      </w:r>
      <w:r w:rsidRPr="00E72418">
        <w:rPr>
          <w:rFonts w:ascii="Times New Roman" w:hAnsi="Times New Roman" w:cs="Times New Roman"/>
        </w:rPr>
        <w:t>, rien ne nous semble s’opposer à cette rétroactivité</w:t>
      </w:r>
      <w:r w:rsidR="00FA0DCF" w:rsidRPr="00E72418">
        <w:rPr>
          <w:rStyle w:val="Appelnotedebasdep"/>
          <w:rFonts w:ascii="Times New Roman" w:hAnsi="Times New Roman" w:cs="Times New Roman"/>
        </w:rPr>
        <w:footnoteReference w:id="2183"/>
      </w:r>
      <w:r w:rsidR="00B47EC2" w:rsidRPr="00E72418">
        <w:rPr>
          <w:rFonts w:ascii="Times New Roman" w:hAnsi="Times New Roman" w:cs="Times New Roman"/>
        </w:rPr>
        <w:t>. L</w:t>
      </w:r>
      <w:r w:rsidRPr="00E72418">
        <w:rPr>
          <w:rFonts w:ascii="Times New Roman" w:hAnsi="Times New Roman" w:cs="Times New Roman"/>
        </w:rPr>
        <w:t xml:space="preserve">a Cour européenne des droits de l’homme a déjà eu l’occasion d’observer dans son arrêt </w:t>
      </w:r>
      <w:r w:rsidRPr="00E72418">
        <w:rPr>
          <w:rFonts w:ascii="Times New Roman" w:hAnsi="Times New Roman" w:cs="Times New Roman"/>
          <w:i/>
        </w:rPr>
        <w:t>Bäck c. Finlande</w:t>
      </w:r>
      <w:r w:rsidRPr="00E72418">
        <w:rPr>
          <w:rFonts w:ascii="Times New Roman" w:hAnsi="Times New Roman" w:cs="Times New Roman"/>
        </w:rPr>
        <w:t xml:space="preserve"> que ni la Convention ni ses Protocoles n’empêchent qu’un législateur s’ingère dans des contrats existants pour autant que l’ingérence soit spécialement justifiée par des motifs particuliers suffisamment important</w:t>
      </w:r>
      <w:r w:rsidR="001406E1" w:rsidRPr="00E72418">
        <w:rPr>
          <w:rFonts w:ascii="Times New Roman" w:hAnsi="Times New Roman" w:cs="Times New Roman"/>
        </w:rPr>
        <w:t>s</w:t>
      </w:r>
      <w:r w:rsidR="00D11BCC" w:rsidRPr="00E72418">
        <w:rPr>
          <w:rFonts w:ascii="Times New Roman" w:hAnsi="Times New Roman" w:cs="Times New Roman"/>
        </w:rPr>
        <w:t>. Ces</w:t>
      </w:r>
      <w:r w:rsidRPr="00E72418">
        <w:rPr>
          <w:rFonts w:ascii="Times New Roman" w:hAnsi="Times New Roman" w:cs="Times New Roman"/>
        </w:rPr>
        <w:t xml:space="preserve"> motifs visent</w:t>
      </w:r>
      <w:r w:rsidR="00D11BCC" w:rsidRPr="00E72418">
        <w:rPr>
          <w:rFonts w:ascii="Times New Roman" w:hAnsi="Times New Roman" w:cs="Times New Roman"/>
        </w:rPr>
        <w:t xml:space="preserve"> donc</w:t>
      </w:r>
      <w:r w:rsidRPr="00E72418">
        <w:rPr>
          <w:rFonts w:ascii="Times New Roman" w:hAnsi="Times New Roman" w:cs="Times New Roman"/>
        </w:rPr>
        <w:t xml:space="preserve">, dans notre </w:t>
      </w:r>
      <w:r w:rsidR="00802A9E" w:rsidRPr="00E72418">
        <w:rPr>
          <w:rFonts w:ascii="Times New Roman" w:hAnsi="Times New Roman" w:cs="Times New Roman"/>
        </w:rPr>
        <w:t xml:space="preserve">réglementation </w:t>
      </w:r>
      <w:r w:rsidRPr="00E72418">
        <w:rPr>
          <w:rFonts w:ascii="Times New Roman" w:hAnsi="Times New Roman" w:cs="Times New Roman"/>
        </w:rPr>
        <w:t xml:space="preserve">de la spéculation souhaitée, le souci d’assurer la soutenabilité des dettes souveraines. Dans ce même arrêt qui avait trait à une problématique d’aménagement de dette, la juridiction européenne avait retenu que </w:t>
      </w:r>
      <w:r w:rsidRPr="00E72418">
        <w:rPr>
          <w:rStyle w:val="sb8d990e2"/>
          <w:rFonts w:ascii="Times New Roman" w:hAnsi="Times New Roman" w:cs="Times New Roman"/>
          <w:shd w:val="clear" w:color="auto" w:fill="FFFFFF"/>
        </w:rPr>
        <w:t>« le législateur doit pouvoir, pour atteindre le but visé par la politique adoptée, prendre des mesures ayant un effet sur l’exécution future de contrats déjà conclus »</w:t>
      </w:r>
      <w:r w:rsidRPr="00E72418">
        <w:rPr>
          <w:rStyle w:val="Appelnotedebasdep"/>
          <w:rFonts w:ascii="Times New Roman" w:hAnsi="Times New Roman" w:cs="Times New Roman"/>
          <w:shd w:val="clear" w:color="auto" w:fill="FFFFFF"/>
        </w:rPr>
        <w:footnoteReference w:id="2184"/>
      </w:r>
      <w:r w:rsidRPr="00E72418">
        <w:rPr>
          <w:rFonts w:ascii="Times New Roman" w:hAnsi="Times New Roman" w:cs="Times New Roman"/>
          <w:shd w:val="clear" w:color="auto" w:fill="FFFFFF"/>
        </w:rPr>
        <w:t>.</w:t>
      </w:r>
    </w:p>
    <w:p w14:paraId="17814FC4" w14:textId="7AEA21B3" w:rsidR="00D45744" w:rsidRPr="00E72418" w:rsidRDefault="00D45744" w:rsidP="00F32926">
      <w:pPr>
        <w:spacing w:line="276" w:lineRule="auto"/>
        <w:rPr>
          <w:rStyle w:val="sb8d990e2"/>
          <w:rFonts w:ascii="Times New Roman" w:hAnsi="Times New Roman" w:cs="Times New Roman"/>
          <w:shd w:val="clear" w:color="auto" w:fill="FFFFFF"/>
        </w:rPr>
      </w:pPr>
      <w:r w:rsidRPr="00E72418">
        <w:rPr>
          <w:rFonts w:ascii="Times New Roman" w:hAnsi="Times New Roman" w:cs="Times New Roman"/>
          <w:shd w:val="clear" w:color="auto" w:fill="FFFFFF"/>
        </w:rPr>
        <w:lastRenderedPageBreak/>
        <w:t>Par simplicité par rapport à la catégorisation des dettes que le mécanisme britannique appelle</w:t>
      </w:r>
      <w:r w:rsidRPr="00E72418">
        <w:rPr>
          <w:rStyle w:val="Appelnotedebasdep"/>
          <w:rFonts w:ascii="Times New Roman" w:hAnsi="Times New Roman" w:cs="Times New Roman"/>
          <w:shd w:val="clear" w:color="auto" w:fill="FFFFFF"/>
        </w:rPr>
        <w:footnoteReference w:id="2185"/>
      </w:r>
      <w:r w:rsidRPr="00E72418">
        <w:rPr>
          <w:rFonts w:ascii="Times New Roman" w:hAnsi="Times New Roman" w:cs="Times New Roman"/>
          <w:shd w:val="clear" w:color="auto" w:fill="FFFFFF"/>
        </w:rPr>
        <w:t xml:space="preserve">, le recours au montant payé pour faire l’acquisition de la créance permet d’éviter qu’il faille préciser les dettes pouvant bénéficier du mécanisme mis en place et celles ne le pouvant pas. </w:t>
      </w:r>
      <w:r w:rsidR="00CF0507" w:rsidRPr="00E72418">
        <w:rPr>
          <w:rFonts w:ascii="Times New Roman" w:hAnsi="Times New Roman"/>
        </w:rPr>
        <w:t>L’exclusion des dettes visant des biens et des services ainsi que des courtes dettes, si elle se justifie avec le mécanisme britanniqu</w:t>
      </w:r>
      <w:r w:rsidR="00D11BCC" w:rsidRPr="00E72418">
        <w:rPr>
          <w:rFonts w:ascii="Times New Roman" w:hAnsi="Times New Roman"/>
        </w:rPr>
        <w:t>e qui ne saurait contraindre leurs</w:t>
      </w:r>
      <w:r w:rsidR="00CF0507" w:rsidRPr="00E72418">
        <w:rPr>
          <w:rFonts w:ascii="Times New Roman" w:hAnsi="Times New Roman"/>
        </w:rPr>
        <w:t xml:space="preserve"> </w:t>
      </w:r>
      <w:r w:rsidR="00D11BCC" w:rsidRPr="00E72418">
        <w:rPr>
          <w:rFonts w:ascii="Times New Roman" w:hAnsi="Times New Roman"/>
        </w:rPr>
        <w:t>détenteurs</w:t>
      </w:r>
      <w:r w:rsidR="00CF0507" w:rsidRPr="00E72418">
        <w:rPr>
          <w:rFonts w:ascii="Times New Roman" w:hAnsi="Times New Roman"/>
        </w:rPr>
        <w:t xml:space="preserve"> à une réduction de leur dette au risque sinon de torpiller le fonctionnement étatique, n’est pas nécessaire lorsqu’il est prévu que, dans tous les cas, le créancier pourra récupérer sa mise. Si l’objectif de la réduction des dettes souveraines est souvent louable, il ne saurait ici être confondu avec l’objectif poursuivi par une législation anti-spéculation.</w:t>
      </w:r>
      <w:r w:rsidR="00F822C4" w:rsidRPr="00E72418">
        <w:rPr>
          <w:rFonts w:ascii="Times New Roman" w:hAnsi="Times New Roman"/>
        </w:rPr>
        <w:t xml:space="preserve"> Plus encore, l’on peut tout à fait imaginer que les dettes exclues du mécanisme britannique servent d’outils de spéculation.</w:t>
      </w:r>
    </w:p>
    <w:p w14:paraId="26FD1848" w14:textId="77777777" w:rsidR="00544C82" w:rsidRPr="00E72418" w:rsidRDefault="00544C82" w:rsidP="00CC4BA8">
      <w:pPr>
        <w:spacing w:line="276" w:lineRule="auto"/>
      </w:pPr>
    </w:p>
    <w:p w14:paraId="56995553" w14:textId="7D21CB35" w:rsidR="00544C82" w:rsidRPr="00E72418" w:rsidRDefault="002F1AA5" w:rsidP="00CC4BA8">
      <w:pPr>
        <w:pStyle w:val="CC"/>
        <w:spacing w:line="276" w:lineRule="auto"/>
      </w:pPr>
      <w:bookmarkStart w:id="503" w:name="_Toc59281042"/>
      <w:bookmarkStart w:id="504" w:name="_Toc59789212"/>
      <w:bookmarkStart w:id="505" w:name="_Toc75106127"/>
      <w:bookmarkStart w:id="506" w:name="_Toc84541021"/>
      <w:r w:rsidRPr="00E72418">
        <w:t>Chapitre 4 : L</w:t>
      </w:r>
      <w:r w:rsidR="001825B4" w:rsidRPr="00E72418">
        <w:t>’amélioration du contexte</w:t>
      </w:r>
      <w:bookmarkEnd w:id="503"/>
      <w:bookmarkEnd w:id="504"/>
      <w:bookmarkEnd w:id="505"/>
      <w:bookmarkEnd w:id="506"/>
    </w:p>
    <w:p w14:paraId="58FC922C" w14:textId="4D6526DC" w:rsidR="004B2F06" w:rsidRPr="00E72418" w:rsidRDefault="004B2F06" w:rsidP="00C2183F">
      <w:pPr>
        <w:spacing w:line="276" w:lineRule="auto"/>
        <w:rPr>
          <w:rFonts w:ascii="TimesNewRoman" w:hAnsi="TimesNewRoman" w:cs="TimesNewRoman"/>
          <w:sz w:val="20"/>
          <w:szCs w:val="20"/>
          <w:lang w:val="fr-BE"/>
        </w:rPr>
      </w:pPr>
    </w:p>
    <w:p w14:paraId="3B120A4F" w14:textId="61E07382" w:rsidR="004C4A8B" w:rsidRPr="00E72418" w:rsidRDefault="004469AC" w:rsidP="004B2F06">
      <w:pPr>
        <w:spacing w:line="276" w:lineRule="auto"/>
      </w:pPr>
      <w:r w:rsidRPr="00E72418">
        <w:rPr>
          <w:b/>
        </w:rPr>
        <w:t>42</w:t>
      </w:r>
      <w:r w:rsidR="00573FA9">
        <w:rPr>
          <w:b/>
        </w:rPr>
        <w:t>5</w:t>
      </w:r>
      <w:r w:rsidR="00817D62" w:rsidRPr="00E72418">
        <w:rPr>
          <w:b/>
        </w:rPr>
        <w:t xml:space="preserve">. </w:t>
      </w:r>
      <w:r w:rsidR="004C4A8B" w:rsidRPr="00E72418">
        <w:rPr>
          <w:b/>
        </w:rPr>
        <w:t xml:space="preserve">Une attention portée à l’entour </w:t>
      </w:r>
      <w:r w:rsidR="004C4A8B" w:rsidRPr="00E72418">
        <w:rPr>
          <w:rFonts w:cs="Times New Roman"/>
          <w:b/>
          <w:szCs w:val="24"/>
        </w:rPr>
        <w:t>–</w:t>
      </w:r>
      <w:r w:rsidR="004C4A8B" w:rsidRPr="00E72418">
        <w:rPr>
          <w:rFonts w:cs="Times New Roman"/>
          <w:szCs w:val="24"/>
        </w:rPr>
        <w:t xml:space="preserve"> Les activités des fonds spéculatifs étant permises par l’existence d’un marché secondaire sur lequel les titres de dettes souveraines sont négociables, la réglementation des cessions de créances permet en amont d’influer sur ces activités. Aussi, </w:t>
      </w:r>
      <w:r w:rsidR="00AA28F5" w:rsidRPr="00E72418">
        <w:rPr>
          <w:rFonts w:cs="Times New Roman"/>
          <w:szCs w:val="24"/>
        </w:rPr>
        <w:t>le souci de</w:t>
      </w:r>
      <w:r w:rsidR="004C4A8B" w:rsidRPr="00E72418">
        <w:rPr>
          <w:rFonts w:cs="Times New Roman"/>
          <w:szCs w:val="24"/>
        </w:rPr>
        <w:t xml:space="preserve"> la soutenabilité des dettes souverain</w:t>
      </w:r>
      <w:r w:rsidR="007602F1" w:rsidRPr="00E72418">
        <w:rPr>
          <w:rFonts w:cs="Times New Roman"/>
          <w:szCs w:val="24"/>
        </w:rPr>
        <w:t>e</w:t>
      </w:r>
      <w:r w:rsidR="004C4A8B" w:rsidRPr="00E72418">
        <w:rPr>
          <w:rFonts w:cs="Times New Roman"/>
          <w:szCs w:val="24"/>
        </w:rPr>
        <w:t xml:space="preserve">s sous-tendant notre </w:t>
      </w:r>
      <w:r w:rsidR="00AA28F5" w:rsidRPr="00E72418">
        <w:rPr>
          <w:rFonts w:cs="Times New Roman"/>
          <w:szCs w:val="24"/>
        </w:rPr>
        <w:t xml:space="preserve">réglementation convainc de l’opportunité de préserver les biens concourant </w:t>
      </w:r>
      <w:r w:rsidR="00AA28F5" w:rsidRPr="00E72418">
        <w:t>au respect des droits fondamentaux des populations des débiteurs souverains</w:t>
      </w:r>
      <w:r w:rsidR="00AA28F5" w:rsidRPr="00E72418">
        <w:rPr>
          <w:rFonts w:cs="Times New Roman"/>
          <w:szCs w:val="24"/>
        </w:rPr>
        <w:t>.</w:t>
      </w:r>
      <w:r w:rsidR="004C4A8B" w:rsidRPr="00E72418">
        <w:rPr>
          <w:rFonts w:cs="Times New Roman"/>
          <w:szCs w:val="24"/>
        </w:rPr>
        <w:t xml:space="preserve"> On constate ainsi qu’en plus d’une solution portant sur les démarches </w:t>
      </w:r>
      <w:r w:rsidR="004C4A8B" w:rsidRPr="00E72418">
        <w:t>visant la condamnation ou l’exécution d’une condamnation découlant d’un titre de dette, il est quelques légers ajustements pouvant être pratiqués sur leur entour qui s’inscrivent dans la même logique régulatrice poursuivie.</w:t>
      </w:r>
    </w:p>
    <w:p w14:paraId="04610FF0" w14:textId="77777777" w:rsidR="004C4A8B" w:rsidRPr="00E72418" w:rsidRDefault="004C4A8B" w:rsidP="004B2F06">
      <w:pPr>
        <w:spacing w:line="276" w:lineRule="auto"/>
        <w:rPr>
          <w:b/>
        </w:rPr>
      </w:pPr>
    </w:p>
    <w:p w14:paraId="063984BA" w14:textId="413F6CAD" w:rsidR="004B2F06" w:rsidRPr="00E72418" w:rsidRDefault="004469AC" w:rsidP="004B2F06">
      <w:pPr>
        <w:spacing w:line="276" w:lineRule="auto"/>
        <w:rPr>
          <w:rFonts w:cs="Times New Roman"/>
          <w:szCs w:val="24"/>
        </w:rPr>
      </w:pPr>
      <w:r w:rsidRPr="00E72418">
        <w:rPr>
          <w:b/>
        </w:rPr>
        <w:t>42</w:t>
      </w:r>
      <w:r w:rsidR="00573FA9">
        <w:rPr>
          <w:b/>
        </w:rPr>
        <w:t>6</w:t>
      </w:r>
      <w:r w:rsidR="00817D62" w:rsidRPr="00E72418">
        <w:rPr>
          <w:b/>
        </w:rPr>
        <w:t xml:space="preserve">. </w:t>
      </w:r>
      <w:r w:rsidR="004B2F06" w:rsidRPr="00E72418">
        <w:rPr>
          <w:b/>
        </w:rPr>
        <w:t xml:space="preserve">La réglementation des cessions de créance </w:t>
      </w:r>
      <w:r w:rsidR="004B2F06" w:rsidRPr="00E72418">
        <w:rPr>
          <w:rFonts w:cs="Times New Roman"/>
          <w:b/>
          <w:szCs w:val="24"/>
        </w:rPr>
        <w:t xml:space="preserve">– </w:t>
      </w:r>
      <w:r w:rsidR="004B2F06" w:rsidRPr="00E72418">
        <w:rPr>
          <w:rFonts w:cs="Times New Roman"/>
          <w:szCs w:val="24"/>
        </w:rPr>
        <w:t xml:space="preserve">Les législations nationales anti-fonds spéculatifs s’inscrivent généralement dans la seule logique de résolution de problèmes existants posés par les activités de ces fonds. En sus de cette approche curative, il nous apparaît utile, dans une logique préventive, d’également </w:t>
      </w:r>
      <w:r w:rsidR="00D84FB8" w:rsidRPr="00E72418">
        <w:rPr>
          <w:rFonts w:cs="Times New Roman"/>
          <w:szCs w:val="24"/>
        </w:rPr>
        <w:t xml:space="preserve">réglementer </w:t>
      </w:r>
      <w:r w:rsidR="004B2F06" w:rsidRPr="00E72418">
        <w:rPr>
          <w:rFonts w:cs="Times New Roman"/>
          <w:szCs w:val="24"/>
        </w:rPr>
        <w:t>les cessions de créance qui permettent ces activités</w:t>
      </w:r>
      <w:r w:rsidR="004B2F06" w:rsidRPr="00E72418">
        <w:rPr>
          <w:rStyle w:val="Appelnotedebasdep"/>
          <w:rFonts w:cs="Times New Roman"/>
          <w:szCs w:val="24"/>
        </w:rPr>
        <w:footnoteReference w:id="2186"/>
      </w:r>
      <w:r w:rsidR="004B2F06" w:rsidRPr="00E72418">
        <w:rPr>
          <w:rFonts w:cs="Times New Roman"/>
          <w:szCs w:val="24"/>
        </w:rPr>
        <w:t>.</w:t>
      </w:r>
    </w:p>
    <w:p w14:paraId="67A5895E" w14:textId="5A5F6831" w:rsidR="004B2F06" w:rsidRPr="00E72418" w:rsidRDefault="004B2F06" w:rsidP="004B2F06">
      <w:pPr>
        <w:spacing w:line="276" w:lineRule="auto"/>
      </w:pPr>
      <w:r w:rsidRPr="00E72418">
        <w:t xml:space="preserve">Les rachats effectués par les fonds spéculant sur les dettes souveraines conduisent à des cessions de créances dont ils mobilisent les différentes modalités contractuelles originaires. Alors que nombre de contrats ne contiennent aucune clause régulant la cession des créances qu’ils </w:t>
      </w:r>
      <w:r w:rsidRPr="00E72418">
        <w:lastRenderedPageBreak/>
        <w:t>régissent</w:t>
      </w:r>
      <w:r w:rsidRPr="00E72418">
        <w:rPr>
          <w:rStyle w:val="Appelnotedebasdep"/>
        </w:rPr>
        <w:footnoteReference w:id="2187"/>
      </w:r>
      <w:r w:rsidRPr="00E72418">
        <w:t xml:space="preserve">, doter ceux-ci d’une telle clause peut s’avérer être un moyen d’éviter la spéculation sur ces créances ou, à tout le moins, de la </w:t>
      </w:r>
      <w:r w:rsidR="00D84FB8" w:rsidRPr="00E72418">
        <w:t>limiter</w:t>
      </w:r>
      <w:r w:rsidRPr="00E72418">
        <w:rPr>
          <w:rStyle w:val="Appelnotedebasdep"/>
        </w:rPr>
        <w:footnoteReference w:id="2188"/>
      </w:r>
      <w:r w:rsidRPr="00E72418">
        <w:t>.</w:t>
      </w:r>
    </w:p>
    <w:p w14:paraId="5493C505" w14:textId="655F4D7B" w:rsidR="004B2F06" w:rsidRPr="00E72418" w:rsidRDefault="004B2F06" w:rsidP="004B2F06">
      <w:pPr>
        <w:spacing w:line="276" w:lineRule="auto"/>
      </w:pPr>
      <w:r w:rsidRPr="00E72418">
        <w:t>Dans cet ordre d’idées,</w:t>
      </w:r>
      <w:r w:rsidR="000C6A36" w:rsidRPr="00E72418">
        <w:t xml:space="preserve"> comme le conseilla </w:t>
      </w:r>
      <w:r w:rsidR="00922858" w:rsidRPr="00E72418">
        <w:rPr>
          <w:rFonts w:cs="Times New Roman"/>
        </w:rPr>
        <w:t xml:space="preserve">Cephas </w:t>
      </w:r>
      <w:r w:rsidR="000C6A36" w:rsidRPr="00E72418">
        <w:t xml:space="preserve">Lumina en tant qu’expert indépendant désigné par le Conseil des droits de l’homme des Nations Unies pour travailler sur la thématique des fonds spéculatifs, il pourrait être prévu </w:t>
      </w:r>
      <w:r w:rsidR="000C6A36" w:rsidRPr="00E72418">
        <w:rPr>
          <w:szCs w:val="24"/>
        </w:rPr>
        <w:t xml:space="preserve">que </w:t>
      </w:r>
      <w:r w:rsidR="000C6A36" w:rsidRPr="00E72418">
        <w:rPr>
          <w:rFonts w:cs="Times New Roman"/>
        </w:rPr>
        <w:t>l</w:t>
      </w:r>
      <w:r w:rsidR="000C6A36" w:rsidRPr="00E72418">
        <w:t>es titres de créance imposent des restrictions expresses à leur vente ou leur cession à des tiers en l’absence du consentement préalable, donné en connaissance de cause, de l’État emprunteur</w:t>
      </w:r>
      <w:r w:rsidRPr="00E72418">
        <w:rPr>
          <w:rStyle w:val="Appelnotedebasdep"/>
        </w:rPr>
        <w:footnoteReference w:id="2189"/>
      </w:r>
      <w:r w:rsidRPr="00E72418">
        <w:t xml:space="preserve">. </w:t>
      </w:r>
      <w:r w:rsidRPr="00783E2D">
        <w:rPr>
          <w:i/>
        </w:rPr>
        <w:t>A minima</w:t>
      </w:r>
      <w:r w:rsidRPr="00E72418">
        <w:t>, sans aller jusqu’à requérir l’accord du débiteur sur la cession même, il pourrait être recouru à des clauses prévoyant que l’</w:t>
      </w:r>
      <w:r w:rsidRPr="00E72418">
        <w:rPr>
          <w:lang w:eastAsia="fr-BE"/>
        </w:rPr>
        <w:t>É</w:t>
      </w:r>
      <w:r w:rsidRPr="00E72418">
        <w:t>tat débiteur doit être avisé lorsqu’une cession intervient</w:t>
      </w:r>
      <w:r w:rsidRPr="00E72418">
        <w:rPr>
          <w:rStyle w:val="Appelnotedebasdep"/>
        </w:rPr>
        <w:footnoteReference w:id="2190"/>
      </w:r>
      <w:r w:rsidRPr="00E72418">
        <w:t>. Il pourrait y être également prévu une option de rachat de la créance par celui qui en est redevable ou, à tout le moins, son accord sur la personne du créancier secondaire. La clause de cession pourrait encore prévoir que la créance ne peut être cédée qu’à un type particulier de créancier</w:t>
      </w:r>
      <w:r w:rsidR="007602F1" w:rsidRPr="00E72418">
        <w:t>s</w:t>
      </w:r>
      <w:r w:rsidRPr="00E72418">
        <w:t xml:space="preserve"> comme par exemple un créancier bilatéral</w:t>
      </w:r>
      <w:r w:rsidRPr="00E72418">
        <w:rPr>
          <w:rStyle w:val="Appelnotedebasdep"/>
        </w:rPr>
        <w:footnoteReference w:id="2191"/>
      </w:r>
      <w:r w:rsidRPr="00E72418">
        <w:t>.</w:t>
      </w:r>
    </w:p>
    <w:p w14:paraId="0C17FD91" w14:textId="55FAC588" w:rsidR="001825B4" w:rsidRPr="00E72418" w:rsidRDefault="001825B4" w:rsidP="004B2F06">
      <w:pPr>
        <w:spacing w:line="276" w:lineRule="auto"/>
      </w:pPr>
    </w:p>
    <w:p w14:paraId="256EB4B5" w14:textId="548A9FC1" w:rsidR="001825B4" w:rsidRPr="00E72418" w:rsidRDefault="004469AC" w:rsidP="001825B4">
      <w:pPr>
        <w:spacing w:line="276" w:lineRule="auto"/>
        <w:rPr>
          <w:szCs w:val="24"/>
        </w:rPr>
      </w:pPr>
      <w:r w:rsidRPr="00E72418">
        <w:rPr>
          <w:rFonts w:cs="Times New Roman"/>
          <w:b/>
          <w:szCs w:val="24"/>
        </w:rPr>
        <w:t>42</w:t>
      </w:r>
      <w:r w:rsidR="00573FA9">
        <w:rPr>
          <w:rFonts w:cs="Times New Roman"/>
          <w:b/>
          <w:szCs w:val="24"/>
        </w:rPr>
        <w:t>7</w:t>
      </w:r>
      <w:r w:rsidR="00817D62" w:rsidRPr="00E72418">
        <w:rPr>
          <w:rFonts w:cs="Times New Roman"/>
          <w:b/>
          <w:szCs w:val="24"/>
        </w:rPr>
        <w:t xml:space="preserve">. </w:t>
      </w:r>
      <w:r w:rsidR="001825B4" w:rsidRPr="00E72418">
        <w:rPr>
          <w:rFonts w:cs="Times New Roman"/>
          <w:b/>
          <w:szCs w:val="24"/>
        </w:rPr>
        <w:t xml:space="preserve">Des biens totalement protégés </w:t>
      </w:r>
      <w:r w:rsidR="001825B4" w:rsidRPr="00E72418">
        <w:rPr>
          <w:b/>
        </w:rPr>
        <w:t xml:space="preserve">– </w:t>
      </w:r>
      <w:r w:rsidR="001825B4" w:rsidRPr="00E72418">
        <w:t xml:space="preserve">Les </w:t>
      </w:r>
      <w:r w:rsidR="001825B4" w:rsidRPr="00E72418">
        <w:rPr>
          <w:rFonts w:ascii="Times New Roman" w:hAnsi="Times New Roman" w:cs="Times New Roman"/>
          <w:lang w:eastAsia="fr-BE"/>
        </w:rPr>
        <w:t>É</w:t>
      </w:r>
      <w:r w:rsidR="001825B4" w:rsidRPr="00E72418">
        <w:t xml:space="preserve">tats légiférant afin de </w:t>
      </w:r>
      <w:r w:rsidR="00783E2D">
        <w:t>limiter</w:t>
      </w:r>
      <w:r w:rsidR="001825B4" w:rsidRPr="00E72418">
        <w:t xml:space="preserve"> la spéculation sur les dettes souveraines devraient, dans le même temps, aux fins du même objectif de la préservation de la soutenabilité des dettes, prévoir la protection de certains biens qui ne font que concourir, par leur esprit ou par leur nature, au respect des droits fondamentaux des populations. De l’avis du Comité consultatif du Conseil des droits de l’homme des Nations Unies</w:t>
      </w:r>
      <w:r w:rsidR="001825B4" w:rsidRPr="00E72418">
        <w:rPr>
          <w:szCs w:val="24"/>
        </w:rPr>
        <w:t>, les législations nationales devraient exclure expressément la possibilité de saisir des fonds reçus au titre de la coopération pour le développement</w:t>
      </w:r>
      <w:r w:rsidR="001825B4" w:rsidRPr="00E72418">
        <w:rPr>
          <w:rStyle w:val="Appelnotedebasdep"/>
          <w:szCs w:val="24"/>
        </w:rPr>
        <w:footnoteReference w:id="2192"/>
      </w:r>
      <w:r w:rsidR="001825B4" w:rsidRPr="00E72418">
        <w:rPr>
          <w:szCs w:val="24"/>
        </w:rPr>
        <w:t xml:space="preserve">. De la même manière, les biens autres que financiers </w:t>
      </w:r>
      <w:r w:rsidR="001825B4" w:rsidRPr="00E72418">
        <w:rPr>
          <w:szCs w:val="24"/>
        </w:rPr>
        <w:lastRenderedPageBreak/>
        <w:t xml:space="preserve">octroyés dans un objectif concret d’aide aux </w:t>
      </w:r>
      <w:r w:rsidR="001825B4" w:rsidRPr="00E72418">
        <w:rPr>
          <w:rFonts w:ascii="Times New Roman" w:hAnsi="Times New Roman" w:cs="Times New Roman"/>
          <w:lang w:eastAsia="fr-BE"/>
        </w:rPr>
        <w:t>É</w:t>
      </w:r>
      <w:r w:rsidR="001825B4" w:rsidRPr="00E72418">
        <w:rPr>
          <w:szCs w:val="24"/>
        </w:rPr>
        <w:t xml:space="preserve">tats et à leur population ne </w:t>
      </w:r>
      <w:r w:rsidR="007602F1" w:rsidRPr="00E72418">
        <w:rPr>
          <w:szCs w:val="24"/>
        </w:rPr>
        <w:t>devraient pouvoir</w:t>
      </w:r>
      <w:r w:rsidR="001825B4" w:rsidRPr="00E72418">
        <w:rPr>
          <w:szCs w:val="24"/>
        </w:rPr>
        <w:t xml:space="preserve"> faire l’objet de saisies. L’on peut ici reprendre à titre d’exemple l</w:t>
      </w:r>
      <w:r w:rsidR="001825B4" w:rsidRPr="00E72418">
        <w:t xml:space="preserve">a loi </w:t>
      </w:r>
      <w:r w:rsidR="00D80EE3" w:rsidRPr="00E72418">
        <w:t xml:space="preserve">belge </w:t>
      </w:r>
      <w:r w:rsidR="001825B4" w:rsidRPr="00E72418">
        <w:t>du 6 avril 2008 posant la règle de l’insaisissabilité et l’incessibilité des biens destinés à la Coopération belge au Développement</w:t>
      </w:r>
      <w:r w:rsidR="001825B4" w:rsidRPr="00E72418">
        <w:rPr>
          <w:rStyle w:val="Appelnotedebasdep"/>
          <w:szCs w:val="24"/>
        </w:rPr>
        <w:footnoteReference w:id="2193"/>
      </w:r>
      <w:r w:rsidR="001825B4" w:rsidRPr="00E72418">
        <w:rPr>
          <w:szCs w:val="24"/>
        </w:rPr>
        <w:t>.</w:t>
      </w:r>
    </w:p>
    <w:p w14:paraId="23173AE7" w14:textId="7544BEDD" w:rsidR="001825B4" w:rsidRPr="00E72418" w:rsidRDefault="001825B4" w:rsidP="001825B4">
      <w:pPr>
        <w:spacing w:line="276" w:lineRule="auto"/>
      </w:pPr>
      <w:r w:rsidRPr="00E72418">
        <w:rPr>
          <w:szCs w:val="24"/>
        </w:rPr>
        <w:t>Conscient de la détermination des spéculateurs sur les dettes souveraines à parvenir à leurs fins, il nous paraît souhaitable de prévoir</w:t>
      </w:r>
      <w:r w:rsidR="00792223">
        <w:rPr>
          <w:szCs w:val="24"/>
        </w:rPr>
        <w:t>, si ce n’est déjà fait,</w:t>
      </w:r>
      <w:r w:rsidRPr="00E72418">
        <w:rPr>
          <w:szCs w:val="24"/>
        </w:rPr>
        <w:t xml:space="preserve"> que des biens concourant au bon fonctionnement de secteurs essentiels au fonctionnement de l’</w:t>
      </w:r>
      <w:r w:rsidRPr="00E72418">
        <w:rPr>
          <w:rFonts w:ascii="Times New Roman" w:hAnsi="Times New Roman" w:cs="Times New Roman"/>
          <w:lang w:eastAsia="fr-BE"/>
        </w:rPr>
        <w:t>É</w:t>
      </w:r>
      <w:r w:rsidRPr="00E72418">
        <w:rPr>
          <w:szCs w:val="24"/>
        </w:rPr>
        <w:t>tat, comme l’éducation, la santé ou encore les prestations sociales, ne puissent servir à désintéresser des fonds spéculatifs</w:t>
      </w:r>
      <w:r w:rsidRPr="00E72418">
        <w:rPr>
          <w:rStyle w:val="Appelnotedebasdep"/>
          <w:szCs w:val="24"/>
        </w:rPr>
        <w:footnoteReference w:id="2194"/>
      </w:r>
      <w:r w:rsidR="00D80EE3" w:rsidRPr="00E72418">
        <w:rPr>
          <w:szCs w:val="24"/>
          <w:vertAlign w:val="superscript"/>
        </w:rPr>
        <w:t>,</w:t>
      </w:r>
      <w:r w:rsidR="00D80EE3" w:rsidRPr="00E72418">
        <w:rPr>
          <w:rStyle w:val="Appelnotedebasdep"/>
          <w:szCs w:val="24"/>
        </w:rPr>
        <w:footnoteReference w:id="2195"/>
      </w:r>
      <w:r w:rsidRPr="00E72418">
        <w:rPr>
          <w:szCs w:val="24"/>
        </w:rPr>
        <w:t>.</w:t>
      </w:r>
    </w:p>
    <w:p w14:paraId="55AF207C" w14:textId="2C836D39" w:rsidR="005F6F52" w:rsidRPr="00E72418" w:rsidRDefault="001825B4" w:rsidP="00CC4BA8">
      <w:pPr>
        <w:spacing w:afterLines="60" w:after="144" w:line="276" w:lineRule="auto"/>
        <w:rPr>
          <w:strike/>
          <w:szCs w:val="24"/>
        </w:rPr>
      </w:pPr>
      <w:r w:rsidRPr="00E72418">
        <w:t xml:space="preserve">Face à la difficulté de </w:t>
      </w:r>
      <w:r w:rsidR="000C6A36" w:rsidRPr="00E72418">
        <w:t>désigner</w:t>
      </w:r>
      <w:r w:rsidRPr="00E72418">
        <w:t xml:space="preserve"> de manière précise les biens dont il serait justifié de prévoir une protection en raison de leur concours à des missions étatiques essentielles aux populations, </w:t>
      </w:r>
      <w:r w:rsidR="00D80EE3" w:rsidRPr="00E72418">
        <w:t xml:space="preserve">l’on </w:t>
      </w:r>
      <w:r w:rsidR="00222E60">
        <w:t>conçoit</w:t>
      </w:r>
      <w:r w:rsidR="00D80EE3" w:rsidRPr="00E72418">
        <w:t xml:space="preserve"> </w:t>
      </w:r>
      <w:r w:rsidRPr="00E72418">
        <w:t>l’éd</w:t>
      </w:r>
      <w:r w:rsidR="00222E60">
        <w:t xml:space="preserve">iction d’une règle générale prévoyant </w:t>
      </w:r>
      <w:r w:rsidRPr="00E72418">
        <w:t xml:space="preserve">que le débiteur souverain attaqué par un créancier poursuivant l’exécution d’une dette souveraine </w:t>
      </w:r>
      <w:r w:rsidR="00222E60">
        <w:t>puisse</w:t>
      </w:r>
      <w:r w:rsidRPr="00E72418">
        <w:t xml:space="preserve"> faire valoir que certains biens ne pourraient </w:t>
      </w:r>
      <w:r w:rsidR="00D80EE3" w:rsidRPr="00E72418">
        <w:t xml:space="preserve">jamais </w:t>
      </w:r>
      <w:r w:rsidRPr="00E72418">
        <w:t>servir à son désintéressement en raison de leur utilité</w:t>
      </w:r>
      <w:r w:rsidR="00222E60">
        <w:t xml:space="preserve"> quand bien même y aurait-il eu une renonciation au bénéfice immunitaire qui aurait pu s’y appliquer</w:t>
      </w:r>
      <w:r w:rsidR="007602F1" w:rsidRPr="00E72418">
        <w:rPr>
          <w:rStyle w:val="Appelnotedebasdep"/>
        </w:rPr>
        <w:footnoteReference w:id="2196"/>
      </w:r>
      <w:r w:rsidR="00F768FD">
        <w:t>.</w:t>
      </w:r>
    </w:p>
    <w:p w14:paraId="3A7E1195" w14:textId="77777777" w:rsidR="005F6F52" w:rsidRPr="00E72418" w:rsidRDefault="005F6F52" w:rsidP="00CC4BA8">
      <w:pPr>
        <w:spacing w:afterLines="60" w:after="144" w:line="276" w:lineRule="auto"/>
        <w:rPr>
          <w:strike/>
          <w:szCs w:val="24"/>
        </w:rPr>
      </w:pPr>
    </w:p>
    <w:p w14:paraId="1DBA144F" w14:textId="56363408" w:rsidR="005F6F52" w:rsidRPr="00E72418" w:rsidRDefault="005F6F52" w:rsidP="00CC4BA8">
      <w:pPr>
        <w:pStyle w:val="BB"/>
        <w:spacing w:line="276" w:lineRule="auto"/>
      </w:pPr>
      <w:bookmarkStart w:id="507" w:name="_Toc37777439"/>
      <w:bookmarkStart w:id="508" w:name="_Toc59281050"/>
      <w:bookmarkStart w:id="509" w:name="_Toc75106128"/>
      <w:bookmarkStart w:id="510" w:name="_Toc84541022"/>
      <w:r w:rsidRPr="00E72418">
        <w:t xml:space="preserve">Conclusion de la </w:t>
      </w:r>
      <w:bookmarkEnd w:id="507"/>
      <w:r w:rsidR="00F10F7D" w:rsidRPr="00E72418">
        <w:t>partie II</w:t>
      </w:r>
      <w:r w:rsidR="00287754" w:rsidRPr="00E72418">
        <w:t xml:space="preserve"> – </w:t>
      </w:r>
      <w:r w:rsidR="00F10F7D" w:rsidRPr="00E72418">
        <w:t>sous-partie</w:t>
      </w:r>
      <w:r w:rsidR="00287754" w:rsidRPr="00E72418">
        <w:t xml:space="preserve"> 2</w:t>
      </w:r>
      <w:bookmarkEnd w:id="508"/>
      <w:bookmarkEnd w:id="509"/>
      <w:bookmarkEnd w:id="510"/>
      <w:r w:rsidRPr="00E72418">
        <w:t> </w:t>
      </w:r>
    </w:p>
    <w:p w14:paraId="41D77386" w14:textId="77777777" w:rsidR="00AA28F5" w:rsidRPr="00E72418" w:rsidRDefault="00AA28F5" w:rsidP="009D6179">
      <w:pPr>
        <w:spacing w:line="276" w:lineRule="auto"/>
        <w:rPr>
          <w:b/>
        </w:rPr>
      </w:pPr>
    </w:p>
    <w:p w14:paraId="63CE4BF4" w14:textId="7B4FE9B7" w:rsidR="00B57918" w:rsidRPr="00E72418" w:rsidRDefault="004469AC" w:rsidP="009D6179">
      <w:pPr>
        <w:spacing w:line="276" w:lineRule="auto"/>
      </w:pPr>
      <w:r w:rsidRPr="00E72418">
        <w:rPr>
          <w:b/>
        </w:rPr>
        <w:t>42</w:t>
      </w:r>
      <w:r w:rsidR="00573FA9">
        <w:rPr>
          <w:b/>
        </w:rPr>
        <w:t>8</w:t>
      </w:r>
      <w:r w:rsidR="00817D62" w:rsidRPr="00E72418">
        <w:rPr>
          <w:b/>
        </w:rPr>
        <w:t xml:space="preserve">. </w:t>
      </w:r>
      <w:r w:rsidR="00AD2A2F" w:rsidRPr="00E72418">
        <w:rPr>
          <w:b/>
        </w:rPr>
        <w:t xml:space="preserve">Une incontournable application </w:t>
      </w:r>
      <w:r w:rsidR="009D6179" w:rsidRPr="00E72418">
        <w:rPr>
          <w:b/>
        </w:rPr>
        <w:t xml:space="preserve">– </w:t>
      </w:r>
      <w:r w:rsidR="00B57918" w:rsidRPr="00E72418">
        <w:t xml:space="preserve">Les éléments de la proposition </w:t>
      </w:r>
      <w:r w:rsidR="00D80EE3" w:rsidRPr="00E72418">
        <w:t>qui viennent d’être présentés</w:t>
      </w:r>
      <w:r w:rsidR="00B57918" w:rsidRPr="00E72418">
        <w:t xml:space="preserve"> doivent être repris dans des </w:t>
      </w:r>
      <w:r w:rsidR="00192E61" w:rsidRPr="00E72418">
        <w:t xml:space="preserve">lois </w:t>
      </w:r>
      <w:r w:rsidR="0033545A" w:rsidRPr="00E72418">
        <w:t>à l’application incontournable</w:t>
      </w:r>
      <w:r w:rsidR="00B66150" w:rsidRPr="00E72418">
        <w:t xml:space="preserve"> </w:t>
      </w:r>
      <w:r w:rsidR="00B57918" w:rsidRPr="00E72418">
        <w:t xml:space="preserve">au risque de rendre le mécanisme anti-spéculation inopérant. Cette portée de la </w:t>
      </w:r>
      <w:r w:rsidR="00192E61" w:rsidRPr="00E72418">
        <w:t xml:space="preserve">réglementation </w:t>
      </w:r>
      <w:r w:rsidR="00B57918" w:rsidRPr="00E72418">
        <w:t>envisagée est rendue nécessaire par la régulière disparité de moyens entre les protagonistes, les fonds spéculatifs ayant généralement à leur disposition d’important</w:t>
      </w:r>
      <w:r w:rsidR="00D80EE3" w:rsidRPr="00E72418">
        <w:t>es ressources</w:t>
      </w:r>
      <w:r w:rsidR="00B57918" w:rsidRPr="00E72418">
        <w:t xml:space="preserve"> afin de fourbir leurs armes là où les débiteurs souverains poursuivis manquent souvent d’expertise et de financement pour se défendre</w:t>
      </w:r>
      <w:r w:rsidR="00B57918" w:rsidRPr="00E72418">
        <w:rPr>
          <w:rStyle w:val="Appelnotedebasdep"/>
        </w:rPr>
        <w:footnoteReference w:id="2197"/>
      </w:r>
      <w:r w:rsidR="00B57918" w:rsidRPr="00E72418">
        <w:t>.</w:t>
      </w:r>
    </w:p>
    <w:p w14:paraId="2F71E8B4" w14:textId="312EF9F0" w:rsidR="00192E61" w:rsidRPr="00E72418" w:rsidRDefault="00B57918" w:rsidP="000843AD">
      <w:pPr>
        <w:spacing w:line="276" w:lineRule="auto"/>
      </w:pPr>
      <w:r w:rsidRPr="00E72418">
        <w:t xml:space="preserve">De la même manière que les </w:t>
      </w:r>
      <w:r w:rsidR="00192E61" w:rsidRPr="00E72418">
        <w:t xml:space="preserve">lois </w:t>
      </w:r>
      <w:r w:rsidRPr="00E72418">
        <w:t xml:space="preserve">britannique, belge et française visant à lutter contre la spéculation sur les dettes souveraines sont généralement considérées comme étant </w:t>
      </w:r>
      <w:r w:rsidR="000843AD" w:rsidRPr="00E72418">
        <w:t>des lois de police</w:t>
      </w:r>
      <w:r w:rsidR="000843AD" w:rsidRPr="00E72418">
        <w:rPr>
          <w:rStyle w:val="Appelnotedebasdep"/>
        </w:rPr>
        <w:footnoteReference w:id="2198"/>
      </w:r>
      <w:r w:rsidR="000843AD" w:rsidRPr="00E72418">
        <w:t xml:space="preserve">, il importe que la </w:t>
      </w:r>
      <w:r w:rsidR="00192E61" w:rsidRPr="00E72418">
        <w:t xml:space="preserve">réglementation </w:t>
      </w:r>
      <w:r w:rsidR="000843AD" w:rsidRPr="00E72418">
        <w:t>proposée reçoive un large champ d’application</w:t>
      </w:r>
      <w:r w:rsidR="002D2C4A" w:rsidRPr="00E72418">
        <w:t xml:space="preserve"> en raison de l’objectif de soutenabilité des dettes souveraines qu’elle poursuit</w:t>
      </w:r>
      <w:r w:rsidR="000843AD" w:rsidRPr="00E72418">
        <w:t xml:space="preserve">. </w:t>
      </w:r>
    </w:p>
    <w:p w14:paraId="34E19509" w14:textId="2137C007" w:rsidR="00192E61" w:rsidRPr="00E72418" w:rsidRDefault="000843AD" w:rsidP="000843AD">
      <w:pPr>
        <w:spacing w:line="276" w:lineRule="auto"/>
      </w:pPr>
      <w:r w:rsidRPr="00E72418">
        <w:lastRenderedPageBreak/>
        <w:t>L’on souhaite ainsi qu’elle soit appliquée par le juge saisi d’une demande visant la condamnation ou l’exécution d’une condamnation découlant d’un titre de dette</w:t>
      </w:r>
      <w:r w:rsidR="0033545A" w:rsidRPr="00E72418">
        <w:t>,</w:t>
      </w:r>
      <w:r w:rsidRPr="00E72418">
        <w:t xml:space="preserve"> et ce, </w:t>
      </w:r>
      <w:r w:rsidR="00192E61" w:rsidRPr="00E72418">
        <w:t xml:space="preserve">quel que soit le droit applicable au rapport juridique qui lui est soumis. </w:t>
      </w:r>
      <w:r w:rsidR="00EB66A4" w:rsidRPr="00E72418">
        <w:t>Considérer</w:t>
      </w:r>
      <w:r w:rsidR="00DA1873" w:rsidRPr="00E72418">
        <w:t xml:space="preserve"> la loi anti-spéculation </w:t>
      </w:r>
      <w:r w:rsidR="00EB66A4" w:rsidRPr="00E72418">
        <w:t>comme étant</w:t>
      </w:r>
      <w:r w:rsidR="00DA1873" w:rsidRPr="00E72418">
        <w:t xml:space="preserve"> une loi de police conduit à retenir, pour reprendre la justification de Pierre Mayer </w:t>
      </w:r>
      <w:r w:rsidR="00DA1873" w:rsidRPr="00E72418">
        <w:rPr>
          <w:i/>
        </w:rPr>
        <w:t>et al.</w:t>
      </w:r>
      <w:r w:rsidR="00DA1873" w:rsidRPr="00E72418">
        <w:t>, que « l’intérêt précis qui s’attache, selon l’ordre juridique du for, à son application en l’espèce, l’emporte certainement sur l’intérêt, peu pressant, d’une localisation objective de la question du droit »</w:t>
      </w:r>
      <w:r w:rsidR="00DA1873" w:rsidRPr="00E72418">
        <w:rPr>
          <w:rStyle w:val="Appelnotedebasdep"/>
        </w:rPr>
        <w:footnoteReference w:id="2199"/>
      </w:r>
      <w:r w:rsidR="00DA1873" w:rsidRPr="00E72418">
        <w:t xml:space="preserve">. </w:t>
      </w:r>
      <w:r w:rsidR="00192E61" w:rsidRPr="00E72418">
        <w:t xml:space="preserve">Cette </w:t>
      </w:r>
      <w:r w:rsidR="00EB66A4" w:rsidRPr="00E72418">
        <w:t>précision</w:t>
      </w:r>
      <w:r w:rsidR="00192E61" w:rsidRPr="00E72418">
        <w:t xml:space="preserve"> est importante </w:t>
      </w:r>
      <w:r w:rsidR="00EB66A4" w:rsidRPr="00E72418">
        <w:t>connaissant</w:t>
      </w:r>
      <w:r w:rsidR="00192E61" w:rsidRPr="00E72418">
        <w:t xml:space="preserve"> l’importance des clauses de droit applicable dans les contrats de dette</w:t>
      </w:r>
      <w:r w:rsidR="009E4F86" w:rsidRPr="00E72418">
        <w:t>s</w:t>
      </w:r>
      <w:r w:rsidR="00192E61" w:rsidRPr="00E72418">
        <w:t xml:space="preserve"> souveraine</w:t>
      </w:r>
      <w:r w:rsidR="009E4F86" w:rsidRPr="00E72418">
        <w:t>s</w:t>
      </w:r>
      <w:r w:rsidR="00710CA2" w:rsidRPr="00E72418">
        <w:t xml:space="preserve">. </w:t>
      </w:r>
      <w:r w:rsidRPr="00E72418">
        <w:t>Il importe</w:t>
      </w:r>
      <w:r w:rsidR="00EB66A4" w:rsidRPr="00E72418">
        <w:t xml:space="preserve"> ainsi</w:t>
      </w:r>
      <w:r w:rsidRPr="00E72418">
        <w:t xml:space="preserve"> </w:t>
      </w:r>
      <w:r w:rsidR="00F62FD7" w:rsidRPr="00E72418">
        <w:t xml:space="preserve">de protéger les </w:t>
      </w:r>
      <w:r w:rsidR="00F62FD7" w:rsidRPr="00E72418">
        <w:rPr>
          <w:lang w:eastAsia="fr-BE"/>
        </w:rPr>
        <w:t>É</w:t>
      </w:r>
      <w:r w:rsidRPr="00E72418">
        <w:t>tats débiteurs contre eux-mêmes dans la mesure où, nous l’avons constaté, leur besoin de liquidités peut les conduire</w:t>
      </w:r>
      <w:r w:rsidR="00DA1873" w:rsidRPr="00E72418">
        <w:t>,</w:t>
      </w:r>
      <w:r w:rsidRPr="00E72418">
        <w:t xml:space="preserve"> au moment de l’émission de créances</w:t>
      </w:r>
      <w:r w:rsidR="00DA1873" w:rsidRPr="00E72418">
        <w:t>, à poser des c</w:t>
      </w:r>
      <w:r w:rsidR="00EB6BA8" w:rsidRPr="00E72418">
        <w:t>hoix attestant de leur crédit ainsi qu’</w:t>
      </w:r>
      <w:r w:rsidRPr="00E72418">
        <w:t xml:space="preserve">à renoncer à tout ce qui </w:t>
      </w:r>
      <w:r w:rsidR="00EB6BA8" w:rsidRPr="00E72418">
        <w:t>serait</w:t>
      </w:r>
      <w:r w:rsidRPr="00E72418">
        <w:t xml:space="preserve"> de nature à </w:t>
      </w:r>
      <w:r w:rsidR="00EB320D" w:rsidRPr="00E72418">
        <w:t xml:space="preserve">les </w:t>
      </w:r>
      <w:r w:rsidRPr="00E72418">
        <w:t xml:space="preserve">faire </w:t>
      </w:r>
      <w:r w:rsidR="00EB320D" w:rsidRPr="00E72418">
        <w:t>passer pour d</w:t>
      </w:r>
      <w:r w:rsidRPr="00E72418">
        <w:t xml:space="preserve">e piètres contractants. </w:t>
      </w:r>
    </w:p>
    <w:p w14:paraId="6793C442" w14:textId="4AE04286" w:rsidR="005F6F52" w:rsidRPr="00E72418" w:rsidRDefault="00192E61" w:rsidP="00357400">
      <w:pPr>
        <w:spacing w:line="276" w:lineRule="auto"/>
      </w:pPr>
      <w:r w:rsidRPr="00E72418">
        <w:t xml:space="preserve">La </w:t>
      </w:r>
      <w:r w:rsidR="00EB66A4" w:rsidRPr="00E72418">
        <w:t>réglementation</w:t>
      </w:r>
      <w:r w:rsidRPr="00E72418">
        <w:t xml:space="preserve"> envisagée doit également trouver à s’appliquer que</w:t>
      </w:r>
      <w:r w:rsidR="00F87704" w:rsidRPr="00E72418">
        <w:t>lle que</w:t>
      </w:r>
      <w:r w:rsidRPr="00E72418">
        <w:t xml:space="preserve"> soit l’attitude adoptée par l’</w:t>
      </w:r>
      <w:r w:rsidRPr="00E72418">
        <w:rPr>
          <w:lang w:eastAsia="fr-BE"/>
        </w:rPr>
        <w:t>É</w:t>
      </w:r>
      <w:r w:rsidRPr="00E72418">
        <w:t>tat défendeur.</w:t>
      </w:r>
      <w:r w:rsidR="00F62FD7" w:rsidRPr="00E72418">
        <w:t xml:space="preserve"> </w:t>
      </w:r>
      <w:r w:rsidRPr="00E72418">
        <w:t>L</w:t>
      </w:r>
      <w:r w:rsidR="00F62FD7" w:rsidRPr="00E72418">
        <w:t xml:space="preserve">es </w:t>
      </w:r>
      <w:r w:rsidR="00F62FD7" w:rsidRPr="00E72418">
        <w:rPr>
          <w:lang w:eastAsia="fr-BE"/>
        </w:rPr>
        <w:t>É</w:t>
      </w:r>
      <w:r w:rsidR="000843AD" w:rsidRPr="00E72418">
        <w:t xml:space="preserve">tats doivent être protégés de la spéculation </w:t>
      </w:r>
      <w:r w:rsidR="00365505" w:rsidRPr="00E72418">
        <w:t>peu importe leur conduite une fois</w:t>
      </w:r>
      <w:r w:rsidR="00EB66A4" w:rsidRPr="00E72418">
        <w:t xml:space="preserve"> qu’ils se trouvent</w:t>
      </w:r>
      <w:r w:rsidR="00365505" w:rsidRPr="00E72418">
        <w:t xml:space="preserve"> attaqués par leurs créanciers. Nous avons également constaté que les situations de faiblesse dans lesquelles les débiteurs souverains peuvent se trouver les empêchent</w:t>
      </w:r>
      <w:r w:rsidR="00EB66A4" w:rsidRPr="00E72418">
        <w:t xml:space="preserve"> parfois</w:t>
      </w:r>
      <w:r w:rsidR="00365505" w:rsidRPr="00E72418">
        <w:t xml:space="preserve"> d’adopter une attitude consistante alors que des démarches judiciaires sont entamées à leur encontre.</w:t>
      </w:r>
    </w:p>
    <w:p w14:paraId="7BD84E8F" w14:textId="16544011" w:rsidR="00357400" w:rsidRPr="00E72418" w:rsidRDefault="00357400" w:rsidP="00357400">
      <w:pPr>
        <w:spacing w:line="276" w:lineRule="auto"/>
      </w:pPr>
    </w:p>
    <w:p w14:paraId="2ADCF9E9" w14:textId="12B2881B" w:rsidR="005F6F52" w:rsidRPr="00E72418" w:rsidRDefault="005F6F52" w:rsidP="00CC4BA8">
      <w:pPr>
        <w:pStyle w:val="AA"/>
        <w:spacing w:afterLines="60" w:after="144" w:line="276" w:lineRule="auto"/>
      </w:pPr>
      <w:bookmarkStart w:id="511" w:name="_Toc37777440"/>
      <w:bookmarkStart w:id="512" w:name="_Toc59281051"/>
      <w:bookmarkStart w:id="513" w:name="_Toc75106129"/>
      <w:bookmarkStart w:id="514" w:name="_Toc84541023"/>
      <w:r w:rsidRPr="00E72418">
        <w:t>Conclusion de</w:t>
      </w:r>
      <w:r w:rsidR="00F10F7D" w:rsidRPr="00E72418">
        <w:t xml:space="preserve"> la partie II</w:t>
      </w:r>
      <w:bookmarkEnd w:id="511"/>
      <w:bookmarkEnd w:id="512"/>
      <w:bookmarkEnd w:id="513"/>
      <w:bookmarkEnd w:id="514"/>
    </w:p>
    <w:p w14:paraId="481E5BE1" w14:textId="16640BA0" w:rsidR="006D51B8" w:rsidRPr="00E72418" w:rsidRDefault="006D51B8" w:rsidP="006D51B8">
      <w:pPr>
        <w:spacing w:line="276" w:lineRule="auto"/>
        <w:rPr>
          <w:b/>
        </w:rPr>
      </w:pPr>
    </w:p>
    <w:p w14:paraId="0A812038" w14:textId="14FA4F5A" w:rsidR="006D51B8" w:rsidRPr="00E72418" w:rsidRDefault="004469AC" w:rsidP="006D51B8">
      <w:pPr>
        <w:spacing w:line="276" w:lineRule="auto"/>
        <w:rPr>
          <w:rFonts w:cs="Times New Roman"/>
          <w:szCs w:val="24"/>
        </w:rPr>
      </w:pPr>
      <w:r w:rsidRPr="00E72418">
        <w:rPr>
          <w:b/>
        </w:rPr>
        <w:t>4</w:t>
      </w:r>
      <w:r w:rsidR="00573FA9">
        <w:rPr>
          <w:b/>
        </w:rPr>
        <w:t>29</w:t>
      </w:r>
      <w:r w:rsidR="00817D62" w:rsidRPr="00E72418">
        <w:rPr>
          <w:b/>
        </w:rPr>
        <w:t xml:space="preserve">. </w:t>
      </w:r>
      <w:r w:rsidR="006D51B8" w:rsidRPr="00E72418">
        <w:rPr>
          <w:b/>
        </w:rPr>
        <w:t xml:space="preserve">Des insuffisances, des tentatives et des perspectives – </w:t>
      </w:r>
      <w:r w:rsidR="006D51B8" w:rsidRPr="00E72418">
        <w:rPr>
          <w:lang w:val="fr-BE"/>
        </w:rPr>
        <w:t>Nous le concluions dans la première partie de notre recherche</w:t>
      </w:r>
      <w:r w:rsidR="006D51B8" w:rsidRPr="00E72418">
        <w:rPr>
          <w:rStyle w:val="Appelnotedebasdep"/>
          <w:lang w:val="fr-BE"/>
        </w:rPr>
        <w:footnoteReference w:id="2200"/>
      </w:r>
      <w:r w:rsidR="006D51B8" w:rsidRPr="00E72418">
        <w:rPr>
          <w:lang w:val="fr-BE"/>
        </w:rPr>
        <w:t xml:space="preserve">, quoique la demande de </w:t>
      </w:r>
      <w:r w:rsidR="00802A9E" w:rsidRPr="00E72418">
        <w:rPr>
          <w:lang w:val="fr-BE"/>
        </w:rPr>
        <w:t xml:space="preserve">réglementation </w:t>
      </w:r>
      <w:r w:rsidR="006D51B8" w:rsidRPr="00E72418">
        <w:rPr>
          <w:lang w:val="fr-BE"/>
        </w:rPr>
        <w:t xml:space="preserve">des activités spéculatives sur les dettes souveraines se fait de plus en plus forte, ces activités doivent être appréhendées d’une façon qui ne soit pas uniquement </w:t>
      </w:r>
      <w:r w:rsidR="00E466E8" w:rsidRPr="00E72418">
        <w:rPr>
          <w:lang w:val="fr-BE"/>
        </w:rPr>
        <w:t>guidée par une réactivité épiderm</w:t>
      </w:r>
      <w:r w:rsidR="006D51B8" w:rsidRPr="00E72418">
        <w:rPr>
          <w:lang w:val="fr-BE"/>
        </w:rPr>
        <w:t xml:space="preserve">ique dictée par une casuistique décriée. Si nous ne contestons pas l’opportunité que les régulateurs se saisissent de la question </w:t>
      </w:r>
      <w:r w:rsidR="00EB66A4" w:rsidRPr="00E72418">
        <w:rPr>
          <w:b/>
        </w:rPr>
        <w:t>–</w:t>
      </w:r>
      <w:r w:rsidR="00EB66A4" w:rsidRPr="00E72418">
        <w:rPr>
          <w:lang w:val="fr-BE"/>
        </w:rPr>
        <w:t xml:space="preserve"> </w:t>
      </w:r>
      <w:r w:rsidR="006D51B8" w:rsidRPr="00E72418">
        <w:rPr>
          <w:lang w:val="fr-BE"/>
        </w:rPr>
        <w:t>nous l’encourageons même</w:t>
      </w:r>
      <w:r w:rsidR="00EB66A4" w:rsidRPr="00E72418">
        <w:rPr>
          <w:lang w:val="fr-BE"/>
        </w:rPr>
        <w:t xml:space="preserve"> </w:t>
      </w:r>
      <w:r w:rsidR="00EB66A4" w:rsidRPr="00E72418">
        <w:rPr>
          <w:b/>
        </w:rPr>
        <w:t>–</w:t>
      </w:r>
      <w:r w:rsidR="006D51B8" w:rsidRPr="00E72418">
        <w:rPr>
          <w:lang w:val="fr-BE"/>
        </w:rPr>
        <w:t>, il demeure que, le sujet étant sensible au vu de la multitu</w:t>
      </w:r>
      <w:r w:rsidR="00EB66A4" w:rsidRPr="00E72418">
        <w:rPr>
          <w:lang w:val="fr-BE"/>
        </w:rPr>
        <w:t xml:space="preserve">de des intérêts en jeu et de l’importance </w:t>
      </w:r>
      <w:r w:rsidR="006D51B8" w:rsidRPr="00E72418">
        <w:rPr>
          <w:lang w:val="fr-BE"/>
        </w:rPr>
        <w:t>du marché des dettes souveraines, la mesure est essentielle. Nous appelions ainsi de nos vœux, à l’entame de cette deuxième partie</w:t>
      </w:r>
      <w:r w:rsidR="006D51B8" w:rsidRPr="00E72418">
        <w:rPr>
          <w:rStyle w:val="Appelnotedebasdep"/>
          <w:lang w:val="fr-BE"/>
        </w:rPr>
        <w:footnoteReference w:id="2201"/>
      </w:r>
      <w:r w:rsidR="006D51B8" w:rsidRPr="00E72418">
        <w:rPr>
          <w:lang w:val="fr-BE"/>
        </w:rPr>
        <w:t xml:space="preserve">, une approche qui soit </w:t>
      </w:r>
      <w:r w:rsidR="006D51B8" w:rsidRPr="00E72418">
        <w:rPr>
          <w:rFonts w:cs="Times New Roman"/>
          <w:szCs w:val="24"/>
        </w:rPr>
        <w:t>équilibrée, nuancée et justifiée.</w:t>
      </w:r>
    </w:p>
    <w:p w14:paraId="16BDB367" w14:textId="05012E14" w:rsidR="006D51B8" w:rsidRPr="00E72418" w:rsidRDefault="006D51B8" w:rsidP="006D51B8">
      <w:pPr>
        <w:spacing w:line="276" w:lineRule="auto"/>
        <w:rPr>
          <w:rFonts w:cs="Times New Roman"/>
          <w:szCs w:val="24"/>
        </w:rPr>
      </w:pPr>
      <w:r w:rsidRPr="00E72418">
        <w:rPr>
          <w:rFonts w:cs="Times New Roman"/>
          <w:szCs w:val="24"/>
        </w:rPr>
        <w:t>Le traitement réservé aux activités des fonds spéculatifs peut être de deux ordres, soit il est indirect, soit il est direct. Dans le premier cas, nous l’avons analysé</w:t>
      </w:r>
      <w:r w:rsidRPr="00E72418">
        <w:rPr>
          <w:rStyle w:val="Appelnotedebasdep"/>
          <w:rFonts w:cs="Times New Roman"/>
          <w:szCs w:val="24"/>
        </w:rPr>
        <w:footnoteReference w:id="2202"/>
      </w:r>
      <w:r w:rsidRPr="00E72418">
        <w:rPr>
          <w:rFonts w:cs="Times New Roman"/>
          <w:szCs w:val="24"/>
        </w:rPr>
        <w:t xml:space="preserve">, la spéculation sur les dettes souveraines peut se trouver appréhendée par le biais </w:t>
      </w:r>
      <w:r w:rsidR="00BC2872" w:rsidRPr="00E72418">
        <w:rPr>
          <w:rFonts w:cs="Times New Roman"/>
          <w:szCs w:val="24"/>
        </w:rPr>
        <w:t xml:space="preserve">d’un </w:t>
      </w:r>
      <w:r w:rsidRPr="00E72418">
        <w:t>mécanisme de restructuration des dettes souveraines</w:t>
      </w:r>
      <w:r w:rsidRPr="00E72418">
        <w:rPr>
          <w:rFonts w:cs="Times New Roman"/>
          <w:szCs w:val="24"/>
        </w:rPr>
        <w:t xml:space="preserve"> qui serait mis en place. Une autre réponse indirecte est celle de la </w:t>
      </w:r>
      <w:r w:rsidRPr="00E72418">
        <w:rPr>
          <w:rFonts w:cs="Times New Roman"/>
          <w:szCs w:val="24"/>
        </w:rPr>
        <w:lastRenderedPageBreak/>
        <w:t>modification contractuelle des contrats de dettes de sorte à éviter que des comportements réfractaires aux rest</w:t>
      </w:r>
      <w:r w:rsidR="00EB66A4" w:rsidRPr="00E72418">
        <w:rPr>
          <w:rFonts w:cs="Times New Roman"/>
          <w:szCs w:val="24"/>
        </w:rPr>
        <w:t>ructurations soient possibles. C</w:t>
      </w:r>
      <w:r w:rsidRPr="00E72418">
        <w:rPr>
          <w:rFonts w:cs="Times New Roman"/>
          <w:szCs w:val="24"/>
        </w:rPr>
        <w:t xml:space="preserve">es solutions indirectes que sont la </w:t>
      </w:r>
      <w:r w:rsidRPr="00E72418">
        <w:rPr>
          <w:rFonts w:cs="Times New Roman"/>
          <w:i/>
          <w:szCs w:val="24"/>
        </w:rPr>
        <w:t>statutory approach</w:t>
      </w:r>
      <w:r w:rsidRPr="00E72418">
        <w:rPr>
          <w:rFonts w:cs="Times New Roman"/>
          <w:szCs w:val="24"/>
        </w:rPr>
        <w:t xml:space="preserve"> et la </w:t>
      </w:r>
      <w:r w:rsidRPr="00E72418">
        <w:rPr>
          <w:rFonts w:cs="Times New Roman"/>
          <w:i/>
          <w:szCs w:val="24"/>
        </w:rPr>
        <w:t>contractual approach</w:t>
      </w:r>
      <w:r w:rsidRPr="00E72418">
        <w:rPr>
          <w:rFonts w:cs="Times New Roman"/>
          <w:szCs w:val="24"/>
        </w:rPr>
        <w:t xml:space="preserve"> ne sont pas la panacée dans la mesure où la première peine à être mise en place tandis que des stratégies permettent de contourner la seconde pour autant encore que les contrats soient dotés de clauses d’action collective</w:t>
      </w:r>
      <w:r w:rsidR="00F87704" w:rsidRPr="00E72418">
        <w:rPr>
          <w:rFonts w:cs="Times New Roman"/>
          <w:szCs w:val="24"/>
        </w:rPr>
        <w:t>, ce qu’ils ne sont pas tous</w:t>
      </w:r>
      <w:r w:rsidRPr="00E72418">
        <w:rPr>
          <w:rFonts w:cs="Times New Roman"/>
          <w:szCs w:val="24"/>
        </w:rPr>
        <w:t>. Face à l’insuffisance d’une appréhension indirecte du phénomène des fonds spéculatifs, les activités de ces derniers ont, depuis une dizaine d’années, fait l’objet de réglementation</w:t>
      </w:r>
      <w:r w:rsidR="00EB66A4" w:rsidRPr="00E72418">
        <w:rPr>
          <w:rFonts w:cs="Times New Roman"/>
          <w:szCs w:val="24"/>
        </w:rPr>
        <w:t>s</w:t>
      </w:r>
      <w:r w:rsidRPr="00E72418">
        <w:rPr>
          <w:rFonts w:cs="Times New Roman"/>
          <w:szCs w:val="24"/>
        </w:rPr>
        <w:t xml:space="preserve"> </w:t>
      </w:r>
      <w:r w:rsidRPr="00E72418">
        <w:rPr>
          <w:rFonts w:cs="Times New Roman"/>
          <w:i/>
          <w:szCs w:val="24"/>
        </w:rPr>
        <w:t>ad hoc</w:t>
      </w:r>
      <w:r w:rsidRPr="00E72418">
        <w:rPr>
          <w:rFonts w:cs="Times New Roman"/>
          <w:szCs w:val="24"/>
        </w:rPr>
        <w:t>. Le Royaume-Uni, la Belgique et la France se sont ainsi dotés de législations « anti-fonds vautours » tandis que la tentative étatsunienne n’a guère trouvé concrétisation</w:t>
      </w:r>
      <w:r w:rsidRPr="00E72418">
        <w:rPr>
          <w:rStyle w:val="Appelnotedebasdep"/>
          <w:rFonts w:cs="Times New Roman"/>
          <w:szCs w:val="24"/>
        </w:rPr>
        <w:footnoteReference w:id="2203"/>
      </w:r>
      <w:r w:rsidRPr="00E72418">
        <w:rPr>
          <w:rFonts w:cs="Times New Roman"/>
          <w:szCs w:val="24"/>
        </w:rPr>
        <w:t>.</w:t>
      </w:r>
    </w:p>
    <w:p w14:paraId="06982C98" w14:textId="1F0F2FE8" w:rsidR="006D51B8" w:rsidRPr="00E72418" w:rsidRDefault="006D51B8" w:rsidP="006D51B8">
      <w:pPr>
        <w:spacing w:line="276" w:lineRule="auto"/>
      </w:pPr>
      <w:r w:rsidRPr="00E72418">
        <w:t>Face aux lacunes épinglées des solutions directes au phénomène des fonds spéculatifs, nous avons entrepris de formuler une proposition qui tire le meilleur de ce qui a déjà été proposé tout en étant construite sur une réflexion compréhensive différente des législations so</w:t>
      </w:r>
      <w:r w:rsidR="00165C1D">
        <w:t>uvent adoptées en réaction à un contentieux remarqué</w:t>
      </w:r>
      <w:r w:rsidRPr="00E72418">
        <w:t xml:space="preserve">. Nous l’avons déjà noté et le répétons, il nous apparaît que c’est particulièrement le paradigme législatif de départ qui doit être revu </w:t>
      </w:r>
      <w:r w:rsidR="00BC2872" w:rsidRPr="00E72418">
        <w:t>afin de</w:t>
      </w:r>
      <w:r w:rsidRPr="00E72418">
        <w:t xml:space="preserve"> dépasser l’approche manichéenne du phénomène de la spéculation sur les dettes souveraines.</w:t>
      </w:r>
    </w:p>
    <w:p w14:paraId="16F38336" w14:textId="550C4C68" w:rsidR="006D51B8" w:rsidRPr="00E72418" w:rsidRDefault="00BC2872" w:rsidP="006D51B8">
      <w:pPr>
        <w:spacing w:line="276" w:lineRule="auto"/>
      </w:pPr>
      <w:r w:rsidRPr="00E72418">
        <w:t>S’il est inconcevable de</w:t>
      </w:r>
      <w:r w:rsidR="006D51B8" w:rsidRPr="00E72418">
        <w:t xml:space="preserve"> rester sourd à la demande d’une </w:t>
      </w:r>
      <w:r w:rsidRPr="00E72418">
        <w:t>régleme</w:t>
      </w:r>
      <w:r w:rsidR="006D51B8" w:rsidRPr="00E72418">
        <w:t>ntation des activités spéculatives</w:t>
      </w:r>
      <w:r w:rsidRPr="00E72418">
        <w:t xml:space="preserve"> tant elle devient pressante</w:t>
      </w:r>
      <w:r w:rsidR="006D51B8" w:rsidRPr="00E72418">
        <w:t xml:space="preserve">, nous avons démontré que cette supplique formulée par de nombreuses instances internationales ainsi que par la société civile est </w:t>
      </w:r>
      <w:r w:rsidRPr="00E72418">
        <w:t xml:space="preserve">pleinement </w:t>
      </w:r>
      <w:r w:rsidR="006D51B8" w:rsidRPr="00E72418">
        <w:t xml:space="preserve">justifiée. Face à l’utopie d’une appréhension globale des problèmes relatifs aux dettes souveraines et à l’insuffisance de la </w:t>
      </w:r>
      <w:r w:rsidR="006D51B8" w:rsidRPr="00E72418">
        <w:rPr>
          <w:i/>
        </w:rPr>
        <w:t>soft law</w:t>
      </w:r>
      <w:r w:rsidR="006D51B8" w:rsidRPr="00E72418">
        <w:t xml:space="preserve"> en la matière, la multiplication d’initiatives étatiques locales est souhaitable pour autant que les réglementations qu’elles portent soient uniformes. L’adoption de législations locales se justifie d’autant plus que les instances judiciaires nationales sont souvent saisies de demandes de fonds spéculant sur les dettes souveraines. </w:t>
      </w:r>
    </w:p>
    <w:p w14:paraId="16FD66BE" w14:textId="72DC8822" w:rsidR="006D51B8" w:rsidRPr="00E72418" w:rsidRDefault="006D51B8" w:rsidP="006D51B8">
      <w:pPr>
        <w:spacing w:line="276" w:lineRule="auto"/>
      </w:pPr>
      <w:r w:rsidRPr="00E72418">
        <w:t xml:space="preserve">Si le principe de la </w:t>
      </w:r>
      <w:r w:rsidR="00802A9E" w:rsidRPr="00E72418">
        <w:t xml:space="preserve">réglementation </w:t>
      </w:r>
      <w:r w:rsidRPr="00E72418">
        <w:t xml:space="preserve">est acquis, encore faut-il qu’il s’appuie sur une solide justification de l’entame des droits des créanciers. Ici, l’argument de la soutenabilité des dettes souveraines est à-propos. En effet, les activités particulièrement </w:t>
      </w:r>
      <w:r w:rsidR="00127043" w:rsidRPr="00E72418">
        <w:t>marquantes</w:t>
      </w:r>
      <w:r w:rsidRPr="00E72418">
        <w:t xml:space="preserve"> des fonds spéculatifs ne sauraient se décliner au détriment des droits fo</w:t>
      </w:r>
      <w:r w:rsidR="00F62FD7" w:rsidRPr="00E72418">
        <w:t xml:space="preserve">ndamentaux des populations des </w:t>
      </w:r>
      <w:r w:rsidR="00F62FD7" w:rsidRPr="00E72418">
        <w:rPr>
          <w:lang w:eastAsia="fr-BE"/>
        </w:rPr>
        <w:t>É</w:t>
      </w:r>
      <w:r w:rsidRPr="00E72418">
        <w:t>tats débiteurs poursuivis. Il importe par conséquent de penser une réglementation de ces activités qui se concilie avec leurs enjeux contractuels lesquels s’in</w:t>
      </w:r>
      <w:r w:rsidR="00BC2872" w:rsidRPr="00E72418">
        <w:t xml:space="preserve">scrivent plus largement dans le bon fonctionnement </w:t>
      </w:r>
      <w:r w:rsidR="00F62FD7" w:rsidRPr="00E72418">
        <w:t>du marché de</w:t>
      </w:r>
      <w:r w:rsidR="009E4F86" w:rsidRPr="00E72418">
        <w:t xml:space="preserve">s </w:t>
      </w:r>
      <w:r w:rsidR="00F62FD7" w:rsidRPr="00E72418">
        <w:t>dette</w:t>
      </w:r>
      <w:r w:rsidR="009E4F86" w:rsidRPr="00E72418">
        <w:t>s</w:t>
      </w:r>
      <w:r w:rsidR="00F62FD7" w:rsidRPr="00E72418">
        <w:t xml:space="preserve"> </w:t>
      </w:r>
      <w:r w:rsidR="00BC2872" w:rsidRPr="00E72418">
        <w:t>souveraine</w:t>
      </w:r>
      <w:r w:rsidR="009E4F86" w:rsidRPr="00E72418">
        <w:t>s</w:t>
      </w:r>
      <w:r w:rsidR="00BC2872" w:rsidRPr="00E72418">
        <w:t xml:space="preserve"> </w:t>
      </w:r>
      <w:r w:rsidR="00F62FD7" w:rsidRPr="00E72418">
        <w:t xml:space="preserve">dont les </w:t>
      </w:r>
      <w:r w:rsidR="00F62FD7" w:rsidRPr="00E72418">
        <w:rPr>
          <w:lang w:eastAsia="fr-BE"/>
        </w:rPr>
        <w:t>É</w:t>
      </w:r>
      <w:r w:rsidRPr="00E72418">
        <w:t>tats ne s</w:t>
      </w:r>
      <w:r w:rsidR="00B87DAD" w:rsidRPr="00E72418">
        <w:t xml:space="preserve">auraient, en l’état actuel des </w:t>
      </w:r>
      <w:r w:rsidRPr="00E72418">
        <w:t>endettement</w:t>
      </w:r>
      <w:r w:rsidR="00B87DAD" w:rsidRPr="00E72418">
        <w:t>s nationaux</w:t>
      </w:r>
      <w:r w:rsidRPr="00E72418">
        <w:t>, s’affranchir.</w:t>
      </w:r>
      <w:r w:rsidR="00B87DAD" w:rsidRPr="00E72418">
        <w:t xml:space="preserve"> Il est alors essentiel de prévoir des règles qui soient précises. Ces règles viseront à limiter directement la spéculation attentatoire aux droits de l’homme mais également à en empêcher l’émergence et les conséquences.</w:t>
      </w:r>
    </w:p>
    <w:p w14:paraId="39667797" w14:textId="77777777" w:rsidR="00395F92" w:rsidRPr="00E72418" w:rsidRDefault="00395F92" w:rsidP="006D51B8">
      <w:pPr>
        <w:rPr>
          <w:lang w:val="fr-BE"/>
        </w:rPr>
      </w:pPr>
    </w:p>
    <w:p w14:paraId="2179632A" w14:textId="77777777" w:rsidR="005F6F52" w:rsidRPr="00E72418" w:rsidRDefault="005F6F52" w:rsidP="00CC4BA8">
      <w:pPr>
        <w:spacing w:afterLines="60" w:after="144" w:line="276" w:lineRule="auto"/>
      </w:pPr>
      <w:r w:rsidRPr="00E72418">
        <w:br w:type="page"/>
      </w:r>
    </w:p>
    <w:p w14:paraId="48DE12A8" w14:textId="03CBECBB" w:rsidR="005F6F52" w:rsidRPr="00E72418" w:rsidRDefault="00C92835" w:rsidP="00CC4BA8">
      <w:pPr>
        <w:pStyle w:val="AA"/>
        <w:spacing w:afterLines="60" w:after="144" w:line="276" w:lineRule="auto"/>
      </w:pPr>
      <w:bookmarkStart w:id="515" w:name="_Toc75106130"/>
      <w:bookmarkStart w:id="516" w:name="_Toc84541024"/>
      <w:r w:rsidRPr="00E72418">
        <w:lastRenderedPageBreak/>
        <w:t>Conclusions générales</w:t>
      </w:r>
      <w:bookmarkEnd w:id="515"/>
      <w:bookmarkEnd w:id="516"/>
    </w:p>
    <w:p w14:paraId="41456227" w14:textId="77777777" w:rsidR="001A0A8B" w:rsidRPr="00E72418" w:rsidRDefault="001A0A8B" w:rsidP="001A0A8B"/>
    <w:p w14:paraId="48F089F0" w14:textId="2A2B8DB6" w:rsidR="001A0A8B" w:rsidRPr="00E72418" w:rsidRDefault="00573FA9" w:rsidP="001A0A8B">
      <w:pPr>
        <w:spacing w:line="276" w:lineRule="auto"/>
        <w:rPr>
          <w:rFonts w:ascii="Times New Roman" w:hAnsi="Times New Roman" w:cs="Times New Roman"/>
          <w:szCs w:val="24"/>
        </w:rPr>
      </w:pPr>
      <w:r>
        <w:rPr>
          <w:rFonts w:ascii="Times New Roman" w:hAnsi="Times New Roman" w:cs="Times New Roman"/>
          <w:b/>
          <w:szCs w:val="24"/>
        </w:rPr>
        <w:t>430</w:t>
      </w:r>
      <w:r w:rsidR="001A0A8B" w:rsidRPr="00E72418">
        <w:rPr>
          <w:rFonts w:ascii="Times New Roman" w:hAnsi="Times New Roman" w:cs="Times New Roman"/>
          <w:b/>
          <w:szCs w:val="24"/>
        </w:rPr>
        <w:t xml:space="preserve">. Le constat d’un problème – </w:t>
      </w:r>
      <w:r w:rsidR="001A0A8B" w:rsidRPr="00E72418">
        <w:rPr>
          <w:rFonts w:ascii="Times New Roman" w:hAnsi="Times New Roman" w:cs="Times New Roman"/>
          <w:szCs w:val="24"/>
        </w:rPr>
        <w:t>S’il est une réalité qu’est celle de l’endettement souverain important, le constat de celle-ci étant renforcé par l’explosion des dettes souveraines ayant suivi la pandémie mondiale de coronavirus, il en est une autre qu’est celle de la spéculation que l’absence de règles l’entourant permet. Ces constats tirés, l’objectif de la présente recherche fut d’analyser les actions judiciaires intentées par les spéculateurs sur ces dettes visant à faire condamner leur débiteur souverain à les honorer</w:t>
      </w:r>
      <w:r w:rsidR="00271BCA" w:rsidRPr="00E72418">
        <w:rPr>
          <w:rFonts w:ascii="Times New Roman" w:hAnsi="Times New Roman" w:cs="Times New Roman"/>
          <w:szCs w:val="24"/>
        </w:rPr>
        <w:t>, fussent-elles insoutenables,</w:t>
      </w:r>
      <w:r w:rsidR="001A0A8B" w:rsidRPr="00E72418">
        <w:rPr>
          <w:rFonts w:ascii="Times New Roman" w:hAnsi="Times New Roman" w:cs="Times New Roman"/>
          <w:szCs w:val="24"/>
        </w:rPr>
        <w:t xml:space="preserve"> et de déterminer si ces actions devaient être réglementées.</w:t>
      </w:r>
    </w:p>
    <w:p w14:paraId="4EE89594" w14:textId="6EC23604"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L’analyse de la spéculation sur les dettes souveraines est compliquée par l’appréhension des notions qui y sont mobilisé</w:t>
      </w:r>
      <w:r w:rsidR="00B55498">
        <w:rPr>
          <w:rFonts w:ascii="Times New Roman" w:hAnsi="Times New Roman" w:cs="Times New Roman"/>
          <w:szCs w:val="24"/>
        </w:rPr>
        <w:t>e</w:t>
      </w:r>
      <w:r w:rsidRPr="00E72418">
        <w:rPr>
          <w:rFonts w:ascii="Times New Roman" w:hAnsi="Times New Roman" w:cs="Times New Roman"/>
          <w:szCs w:val="24"/>
        </w:rPr>
        <w:t xml:space="preserve">s. Ainsi, il nous fallut dans un premier </w:t>
      </w:r>
      <w:r w:rsidR="00D9672A" w:rsidRPr="00E72418">
        <w:rPr>
          <w:rFonts w:ascii="Times New Roman" w:hAnsi="Times New Roman" w:cs="Times New Roman"/>
          <w:szCs w:val="24"/>
        </w:rPr>
        <w:t xml:space="preserve">temps </w:t>
      </w:r>
      <w:r w:rsidRPr="00E72418">
        <w:rPr>
          <w:rFonts w:ascii="Times New Roman" w:hAnsi="Times New Roman" w:cs="Times New Roman"/>
          <w:szCs w:val="24"/>
        </w:rPr>
        <w:t>préciser la portée de notre recherche en définissant les notions de dette souveraine, de défaut, de restructuration et, finalement</w:t>
      </w:r>
      <w:r w:rsidR="005B45A4" w:rsidRPr="00E72418">
        <w:rPr>
          <w:rFonts w:ascii="Times New Roman" w:hAnsi="Times New Roman" w:cs="Times New Roman"/>
          <w:szCs w:val="24"/>
        </w:rPr>
        <w:t>,</w:t>
      </w:r>
      <w:r w:rsidRPr="00E72418">
        <w:rPr>
          <w:rFonts w:ascii="Times New Roman" w:hAnsi="Times New Roman" w:cs="Times New Roman"/>
          <w:szCs w:val="24"/>
        </w:rPr>
        <w:t xml:space="preserve"> de créanciers récalcitrants. En effet, nous l’avons </w:t>
      </w:r>
      <w:r w:rsidR="00303E2A" w:rsidRPr="00E72418">
        <w:rPr>
          <w:rFonts w:ascii="Times New Roman" w:hAnsi="Times New Roman" w:cs="Times New Roman"/>
          <w:szCs w:val="24"/>
        </w:rPr>
        <w:t>indiqué</w:t>
      </w:r>
      <w:r w:rsidRPr="00E72418">
        <w:rPr>
          <w:rFonts w:ascii="Times New Roman" w:hAnsi="Times New Roman" w:cs="Times New Roman"/>
          <w:szCs w:val="24"/>
        </w:rPr>
        <w:t xml:space="preserve">, le schéma simplifié de la spéculation étudiée consiste en </w:t>
      </w:r>
      <w:r w:rsidRPr="00E72418">
        <w:t xml:space="preserve">un </w:t>
      </w:r>
      <w:r w:rsidR="00271BCA" w:rsidRPr="00E72418">
        <w:t>investisseur</w:t>
      </w:r>
      <w:r w:rsidRPr="00E72418">
        <w:t xml:space="preserve"> ayant fait </w:t>
      </w:r>
      <w:r w:rsidR="00271BCA" w:rsidRPr="00E72418">
        <w:t>l’</w:t>
      </w:r>
      <w:r w:rsidRPr="00E72418">
        <w:t xml:space="preserve">acquisition sur le marché secondaire d’une dette d’un </w:t>
      </w:r>
      <w:r w:rsidRPr="00E72418">
        <w:rPr>
          <w:lang w:eastAsia="fr-BE"/>
        </w:rPr>
        <w:t>É</w:t>
      </w:r>
      <w:r w:rsidR="00271BCA" w:rsidRPr="00E72418">
        <w:t>tat en peine de l’honorer et dont</w:t>
      </w:r>
      <w:r w:rsidRPr="00E72418">
        <w:t xml:space="preserve"> une restructuration est </w:t>
      </w:r>
      <w:r w:rsidR="00271BCA" w:rsidRPr="00E72418">
        <w:t xml:space="preserve">ainsi </w:t>
      </w:r>
      <w:r w:rsidR="00B55498">
        <w:t xml:space="preserve">souvent </w:t>
      </w:r>
      <w:r w:rsidRPr="00E72418">
        <w:t xml:space="preserve">envisagée, restructuration à laquelle </w:t>
      </w:r>
      <w:r w:rsidR="00271BCA" w:rsidRPr="00E72418">
        <w:t>il</w:t>
      </w:r>
      <w:r w:rsidRPr="00E72418">
        <w:t xml:space="preserve"> sera récalcitrant à participer. Ce </w:t>
      </w:r>
      <w:r w:rsidR="00271BCA" w:rsidRPr="00E72418">
        <w:t>spéculateur</w:t>
      </w:r>
      <w:r w:rsidRPr="00E72418">
        <w:t xml:space="preserve"> sollicitera ensuite du pouvoir judiciaire qu’il condamne son débiteur à régler le montant nominal de la dette poursuivie, eût-elle été acquise à prix </w:t>
      </w:r>
      <w:r w:rsidR="00271BCA" w:rsidRPr="00E72418">
        <w:t xml:space="preserve">très </w:t>
      </w:r>
      <w:r w:rsidRPr="00E72418">
        <w:t>réduit sur le marché secondaire.</w:t>
      </w:r>
    </w:p>
    <w:p w14:paraId="4BBF2874" w14:textId="1FEA0EE5"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 xml:space="preserve">Si la spéculation sur les dettes souveraines déclinée dans des actions judiciaires visant à faire condamner leur débiteur </w:t>
      </w:r>
      <w:r w:rsidR="00271BCA" w:rsidRPr="00E72418">
        <w:rPr>
          <w:rFonts w:ascii="Times New Roman" w:hAnsi="Times New Roman" w:cs="Times New Roman"/>
          <w:szCs w:val="24"/>
        </w:rPr>
        <w:t>fut</w:t>
      </w:r>
      <w:r w:rsidRPr="00E72418">
        <w:rPr>
          <w:rFonts w:ascii="Times New Roman" w:hAnsi="Times New Roman" w:cs="Times New Roman"/>
          <w:szCs w:val="24"/>
        </w:rPr>
        <w:t xml:space="preserve"> fortement remarquée à l’occasion du contentieux tissé entre la République argentine et le fonds </w:t>
      </w:r>
      <w:r w:rsidRPr="00E72418">
        <w:rPr>
          <w:rFonts w:ascii="Times New Roman" w:hAnsi="Times New Roman" w:cs="Times New Roman"/>
          <w:i/>
          <w:szCs w:val="24"/>
        </w:rPr>
        <w:t>NML Capital Ltd.</w:t>
      </w:r>
      <w:r w:rsidRPr="00E72418">
        <w:rPr>
          <w:rFonts w:ascii="Times New Roman" w:hAnsi="Times New Roman" w:cs="Times New Roman"/>
          <w:szCs w:val="24"/>
        </w:rPr>
        <w:t>, cet exemple n’est pas unique. Ainsi, l</w:t>
      </w:r>
      <w:r w:rsidR="00F618EA" w:rsidRPr="00E72418">
        <w:rPr>
          <w:rFonts w:ascii="Times New Roman" w:hAnsi="Times New Roman" w:cs="Times New Roman"/>
          <w:szCs w:val="24"/>
        </w:rPr>
        <w:t xml:space="preserve">’on a pu noter que de nombreux </w:t>
      </w:r>
      <w:r w:rsidR="00F618EA" w:rsidRPr="00E72418">
        <w:rPr>
          <w:rFonts w:cs="Times New Roman"/>
          <w:szCs w:val="24"/>
        </w:rPr>
        <w:t>É</w:t>
      </w:r>
      <w:r w:rsidRPr="00E72418">
        <w:rPr>
          <w:rFonts w:ascii="Times New Roman" w:hAnsi="Times New Roman" w:cs="Times New Roman"/>
          <w:szCs w:val="24"/>
        </w:rPr>
        <w:t>tats avaient fait l’objet de telles attaques et que, souvent, les débiteurs souverains attaqués étaient des pays pauvres, voire très pauvres.</w:t>
      </w:r>
    </w:p>
    <w:p w14:paraId="7F7FD43C" w14:textId="7535B3B5"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Le modèle économique des fonds spéculatifs décrit à travers l’analyse de quelques contentieux emblématiques, il importait ensuite de nous concentrer sur plusieurs principes juridiques mobilisés lors des actions judiciaires visant la con</w:t>
      </w:r>
      <w:r w:rsidR="00F618EA" w:rsidRPr="00E72418">
        <w:rPr>
          <w:rFonts w:ascii="Times New Roman" w:hAnsi="Times New Roman" w:cs="Times New Roman"/>
          <w:szCs w:val="24"/>
        </w:rPr>
        <w:t>damnation d’</w:t>
      </w:r>
      <w:r w:rsidR="00F618EA" w:rsidRPr="00E72418">
        <w:rPr>
          <w:rFonts w:cs="Times New Roman"/>
          <w:szCs w:val="24"/>
        </w:rPr>
        <w:t>É</w:t>
      </w:r>
      <w:r w:rsidRPr="00E72418">
        <w:rPr>
          <w:rFonts w:ascii="Times New Roman" w:hAnsi="Times New Roman" w:cs="Times New Roman"/>
          <w:szCs w:val="24"/>
        </w:rPr>
        <w:t>tats souverains en lien avec leur dette. Nous avons constaté que la technicité des contentieux impliquant des fonds spéculatifs enclins à mobiliser l’amplitude des moyens juridiques à leur portée rend le traitement de la question complexe</w:t>
      </w:r>
      <w:r w:rsidR="00271BCA" w:rsidRPr="00E72418">
        <w:rPr>
          <w:rFonts w:ascii="Times New Roman" w:hAnsi="Times New Roman" w:cs="Times New Roman"/>
          <w:szCs w:val="24"/>
        </w:rPr>
        <w:t>, cett</w:t>
      </w:r>
      <w:r w:rsidR="00303E2A" w:rsidRPr="00E72418">
        <w:rPr>
          <w:rFonts w:ascii="Times New Roman" w:hAnsi="Times New Roman" w:cs="Times New Roman"/>
          <w:szCs w:val="24"/>
        </w:rPr>
        <w:t>e dernière étant par ailleurs mâ</w:t>
      </w:r>
      <w:r w:rsidR="00271BCA" w:rsidRPr="00E72418">
        <w:rPr>
          <w:rFonts w:ascii="Times New Roman" w:hAnsi="Times New Roman" w:cs="Times New Roman"/>
          <w:szCs w:val="24"/>
        </w:rPr>
        <w:t xml:space="preserve">tinée de considérations économiques, d’enjeux politiques et de </w:t>
      </w:r>
      <w:r w:rsidR="00B55498">
        <w:rPr>
          <w:rFonts w:ascii="Times New Roman" w:hAnsi="Times New Roman" w:cs="Times New Roman"/>
          <w:szCs w:val="24"/>
        </w:rPr>
        <w:t>questionnements moraux</w:t>
      </w:r>
      <w:r w:rsidRPr="00E72418">
        <w:rPr>
          <w:rFonts w:ascii="Times New Roman" w:hAnsi="Times New Roman" w:cs="Times New Roman"/>
          <w:szCs w:val="24"/>
        </w:rPr>
        <w:t>. Aussi, la cacophonie po</w:t>
      </w:r>
      <w:r w:rsidR="00271BCA" w:rsidRPr="00E72418">
        <w:rPr>
          <w:rFonts w:ascii="Times New Roman" w:hAnsi="Times New Roman" w:cs="Times New Roman"/>
          <w:szCs w:val="24"/>
        </w:rPr>
        <w:t xml:space="preserve">uvant suivre la mobilisation des </w:t>
      </w:r>
      <w:r w:rsidRPr="00E72418">
        <w:rPr>
          <w:rFonts w:ascii="Times New Roman" w:hAnsi="Times New Roman" w:cs="Times New Roman"/>
          <w:szCs w:val="24"/>
        </w:rPr>
        <w:t>arguments</w:t>
      </w:r>
      <w:r w:rsidR="00271BCA" w:rsidRPr="00E72418">
        <w:rPr>
          <w:rFonts w:ascii="Times New Roman" w:hAnsi="Times New Roman" w:cs="Times New Roman"/>
          <w:szCs w:val="24"/>
        </w:rPr>
        <w:t xml:space="preserve"> juridiques</w:t>
      </w:r>
      <w:r w:rsidR="00C7296F" w:rsidRPr="00E72418">
        <w:rPr>
          <w:rFonts w:ascii="Times New Roman" w:hAnsi="Times New Roman" w:cs="Times New Roman"/>
          <w:szCs w:val="24"/>
        </w:rPr>
        <w:t>,</w:t>
      </w:r>
      <w:r w:rsidR="00271BCA" w:rsidRPr="00E72418">
        <w:rPr>
          <w:rFonts w:ascii="Times New Roman" w:hAnsi="Times New Roman" w:cs="Times New Roman"/>
          <w:szCs w:val="24"/>
        </w:rPr>
        <w:t xml:space="preserve"> qui ne sauraient être </w:t>
      </w:r>
      <w:r w:rsidR="00C7296F" w:rsidRPr="00E72418">
        <w:rPr>
          <w:rFonts w:ascii="Times New Roman" w:hAnsi="Times New Roman" w:cs="Times New Roman"/>
          <w:szCs w:val="24"/>
        </w:rPr>
        <w:t>pleinement affranchis du contexte plus large dans lequel ils prennent place,</w:t>
      </w:r>
      <w:r w:rsidRPr="00E72418">
        <w:rPr>
          <w:rFonts w:ascii="Times New Roman" w:hAnsi="Times New Roman" w:cs="Times New Roman"/>
          <w:szCs w:val="24"/>
        </w:rPr>
        <w:t xml:space="preserve"> nous a conduit à nous interroger sur la façon d’appréhender la spéculation envisagée.</w:t>
      </w:r>
    </w:p>
    <w:p w14:paraId="65FE09CA" w14:textId="576FD393"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A l’issue de la première partie de notre recherche, nous fûmes en mesure de constater le problème que posait la spéculation sur les dettes souveraines si bien que nous souhaitâmes ensuite chercher à y proposer une solution. La difficulté de la recherche de cette solution résidait dans la variété des égards qu’il convenait d’y avoir puisque, nous l’avons démontré, il importait de dépasser le traitement manichéen souvent réservé</w:t>
      </w:r>
      <w:r w:rsidR="00C7296F" w:rsidRPr="00E72418">
        <w:rPr>
          <w:rFonts w:ascii="Times New Roman" w:hAnsi="Times New Roman" w:cs="Times New Roman"/>
          <w:szCs w:val="24"/>
        </w:rPr>
        <w:t xml:space="preserve"> au phénomène spéculatif étudié puisqu’il présente certains mérites.</w:t>
      </w:r>
    </w:p>
    <w:p w14:paraId="5DCA7E4C" w14:textId="77777777" w:rsidR="001A0A8B" w:rsidRPr="00E72418" w:rsidRDefault="001A0A8B" w:rsidP="001A0A8B">
      <w:pPr>
        <w:spacing w:line="276" w:lineRule="auto"/>
        <w:rPr>
          <w:rFonts w:ascii="Times New Roman" w:hAnsi="Times New Roman" w:cs="Times New Roman"/>
          <w:szCs w:val="24"/>
        </w:rPr>
      </w:pPr>
    </w:p>
    <w:p w14:paraId="3C5C0360" w14:textId="238A5497" w:rsidR="001A0A8B" w:rsidRPr="00E72418" w:rsidRDefault="00573FA9" w:rsidP="001A0A8B">
      <w:pPr>
        <w:spacing w:line="276" w:lineRule="auto"/>
        <w:rPr>
          <w:rFonts w:ascii="Times New Roman" w:hAnsi="Times New Roman" w:cs="Times New Roman"/>
          <w:szCs w:val="24"/>
        </w:rPr>
      </w:pPr>
      <w:r>
        <w:rPr>
          <w:rFonts w:ascii="Times New Roman" w:hAnsi="Times New Roman" w:cs="Times New Roman"/>
          <w:b/>
          <w:szCs w:val="24"/>
        </w:rPr>
        <w:lastRenderedPageBreak/>
        <w:t>431</w:t>
      </w:r>
      <w:r w:rsidR="001A0A8B" w:rsidRPr="00E72418">
        <w:rPr>
          <w:rFonts w:ascii="Times New Roman" w:hAnsi="Times New Roman" w:cs="Times New Roman"/>
          <w:b/>
          <w:szCs w:val="24"/>
        </w:rPr>
        <w:t xml:space="preserve">. La recherche d’une solution mesurée et sur mesure – </w:t>
      </w:r>
      <w:r w:rsidR="00C7296F" w:rsidRPr="00E72418">
        <w:t>À</w:t>
      </w:r>
      <w:r w:rsidR="00C7296F" w:rsidRPr="00E72418">
        <w:rPr>
          <w:rFonts w:ascii="Times New Roman" w:hAnsi="Times New Roman" w:cs="Times New Roman"/>
          <w:szCs w:val="24"/>
        </w:rPr>
        <w:t xml:space="preserve"> la</w:t>
      </w:r>
      <w:r w:rsidR="001A0A8B" w:rsidRPr="00E72418">
        <w:rPr>
          <w:rFonts w:ascii="Times New Roman" w:hAnsi="Times New Roman" w:cs="Times New Roman"/>
          <w:szCs w:val="24"/>
        </w:rPr>
        <w:t xml:space="preserve"> recherche d’une solution au problème que nous avions constaté dans la première partie de notre étude, il nous fallait </w:t>
      </w:r>
      <w:r w:rsidR="00C7296F" w:rsidRPr="00E72418">
        <w:rPr>
          <w:rFonts w:ascii="Times New Roman" w:hAnsi="Times New Roman" w:cs="Times New Roman"/>
          <w:szCs w:val="24"/>
        </w:rPr>
        <w:t>d’abord</w:t>
      </w:r>
      <w:r w:rsidR="001A0A8B" w:rsidRPr="00E72418">
        <w:rPr>
          <w:rFonts w:ascii="Times New Roman" w:hAnsi="Times New Roman" w:cs="Times New Roman"/>
          <w:szCs w:val="24"/>
        </w:rPr>
        <w:t xml:space="preserve"> faire l’état des lieux des </w:t>
      </w:r>
      <w:r w:rsidR="00303E2A" w:rsidRPr="00E72418">
        <w:rPr>
          <w:rFonts w:ascii="Times New Roman" w:hAnsi="Times New Roman" w:cs="Times New Roman"/>
          <w:szCs w:val="24"/>
        </w:rPr>
        <w:t>possibilités</w:t>
      </w:r>
      <w:r w:rsidR="001A0A8B" w:rsidRPr="00E72418">
        <w:rPr>
          <w:rFonts w:ascii="Times New Roman" w:hAnsi="Times New Roman" w:cs="Times New Roman"/>
          <w:szCs w:val="24"/>
        </w:rPr>
        <w:t xml:space="preserve"> existantes. Ainsi, nous constatâmes que des solutions juridiques indirectes et directes au phénomène spéculatif étudié existaient déjà, concrètement ou conceptuellement. Si ces réponses nous appar</w:t>
      </w:r>
      <w:r w:rsidR="00C7296F" w:rsidRPr="00E72418">
        <w:rPr>
          <w:rFonts w:ascii="Times New Roman" w:hAnsi="Times New Roman" w:cs="Times New Roman"/>
          <w:szCs w:val="24"/>
        </w:rPr>
        <w:t>urent</w:t>
      </w:r>
      <w:r w:rsidR="001A0A8B" w:rsidRPr="00E72418">
        <w:rPr>
          <w:rFonts w:ascii="Times New Roman" w:hAnsi="Times New Roman" w:cs="Times New Roman"/>
          <w:szCs w:val="24"/>
        </w:rPr>
        <w:t xml:space="preserve"> intéressantes à maints égards, nous pûmes remarquer lors de leur analyse qu’elles présentaient</w:t>
      </w:r>
      <w:r w:rsidR="00C7296F" w:rsidRPr="00E72418">
        <w:rPr>
          <w:rFonts w:ascii="Times New Roman" w:hAnsi="Times New Roman" w:cs="Times New Roman"/>
          <w:szCs w:val="24"/>
        </w:rPr>
        <w:t xml:space="preserve"> cependant quelques</w:t>
      </w:r>
      <w:r w:rsidR="001A0A8B" w:rsidRPr="00E72418">
        <w:rPr>
          <w:rFonts w:ascii="Times New Roman" w:hAnsi="Times New Roman" w:cs="Times New Roman"/>
          <w:szCs w:val="24"/>
        </w:rPr>
        <w:t xml:space="preserve"> lacunes. Ce constat nous engagea dans la voie de la recherche et de la proposition d’une solution sur mesure. </w:t>
      </w:r>
      <w:r w:rsidR="00C7296F" w:rsidRPr="00E72418">
        <w:t>À</w:t>
      </w:r>
      <w:r w:rsidR="00C7296F" w:rsidRPr="00E72418">
        <w:rPr>
          <w:rFonts w:ascii="Times New Roman" w:hAnsi="Times New Roman" w:cs="Times New Roman"/>
          <w:szCs w:val="24"/>
        </w:rPr>
        <w:t xml:space="preserve"> cette fin, l</w:t>
      </w:r>
      <w:r w:rsidR="001A0A8B" w:rsidRPr="00E72418">
        <w:rPr>
          <w:rFonts w:ascii="Times New Roman" w:hAnsi="Times New Roman" w:cs="Times New Roman"/>
          <w:szCs w:val="24"/>
        </w:rPr>
        <w:t>es lois anti-fonds spéculatifs nous offrirent de précieux points d’analyse.</w:t>
      </w:r>
    </w:p>
    <w:p w14:paraId="30FA4494" w14:textId="188FCAFE" w:rsidR="001A0A8B" w:rsidRPr="00E72418" w:rsidRDefault="005B45A4" w:rsidP="001A0A8B">
      <w:pPr>
        <w:spacing w:line="276" w:lineRule="auto"/>
        <w:rPr>
          <w:rFonts w:ascii="Times New Roman" w:hAnsi="Times New Roman" w:cs="Times New Roman"/>
          <w:szCs w:val="24"/>
        </w:rPr>
      </w:pPr>
      <w:r w:rsidRPr="00E72418">
        <w:rPr>
          <w:rFonts w:ascii="Times New Roman" w:hAnsi="Times New Roman" w:cs="Times New Roman"/>
          <w:szCs w:val="24"/>
        </w:rPr>
        <w:t>L’intuition que nous av</w:t>
      </w:r>
      <w:r w:rsidR="00BE216B" w:rsidRPr="00E72418">
        <w:rPr>
          <w:rFonts w:ascii="Times New Roman" w:hAnsi="Times New Roman" w:cs="Times New Roman"/>
          <w:szCs w:val="24"/>
        </w:rPr>
        <w:t>i</w:t>
      </w:r>
      <w:r w:rsidRPr="00E72418">
        <w:rPr>
          <w:rFonts w:ascii="Times New Roman" w:hAnsi="Times New Roman" w:cs="Times New Roman"/>
          <w:szCs w:val="24"/>
        </w:rPr>
        <w:t xml:space="preserve">ons </w:t>
      </w:r>
      <w:r w:rsidR="00B55498">
        <w:rPr>
          <w:rFonts w:ascii="Times New Roman" w:hAnsi="Times New Roman" w:cs="Times New Roman"/>
          <w:szCs w:val="24"/>
        </w:rPr>
        <w:t>à l’entame</w:t>
      </w:r>
      <w:r w:rsidRPr="00E72418">
        <w:rPr>
          <w:rFonts w:ascii="Times New Roman" w:hAnsi="Times New Roman" w:cs="Times New Roman"/>
          <w:szCs w:val="24"/>
        </w:rPr>
        <w:t xml:space="preserve"> de notre recherche était sans doute bonne. </w:t>
      </w:r>
      <w:r w:rsidR="001A0A8B" w:rsidRPr="00E72418">
        <w:rPr>
          <w:rFonts w:ascii="Times New Roman" w:hAnsi="Times New Roman" w:cs="Times New Roman"/>
          <w:szCs w:val="24"/>
        </w:rPr>
        <w:t>En conclusion de l’un de ses rapports de 2020, le Fonds monétaire international notait que « the desirability of wider application of targeted statutory tools of the kind already in place in a few countries to complement the contractual approach (i.e., “anti-vulture fund” legislation) could be further explored to limit holdout creditor recovery in specified circumstances, though they should be carefully designed to limit the impact on creditors’ rights and avoid undermining the secondary market »</w:t>
      </w:r>
      <w:r w:rsidR="001A0A8B" w:rsidRPr="00E72418">
        <w:rPr>
          <w:rStyle w:val="Appelnotedebasdep"/>
          <w:rFonts w:ascii="Times New Roman" w:hAnsi="Times New Roman" w:cs="Times New Roman"/>
          <w:szCs w:val="24"/>
        </w:rPr>
        <w:footnoteReference w:id="2204"/>
      </w:r>
      <w:r w:rsidR="001A0A8B" w:rsidRPr="00E72418">
        <w:rPr>
          <w:rFonts w:ascii="Times New Roman" w:hAnsi="Times New Roman" w:cs="Times New Roman"/>
          <w:szCs w:val="24"/>
        </w:rPr>
        <w:t xml:space="preserve">. Cette conclusion reprend en filigrane les deux éléments cardinaux de la thèse que nous défendons à l’issue de nos recherches. Ainsi, nous sommes convaincu de la pertinence de réglementer, par l’adoption d’un texte législatif les visant spécifiquement, les activités spéculatives sur les dettes tout autant que nous sommes persuadé que cette réglementation doit être </w:t>
      </w:r>
      <w:r w:rsidR="00C7296F" w:rsidRPr="00E72418">
        <w:rPr>
          <w:rFonts w:ascii="Times New Roman" w:hAnsi="Times New Roman" w:cs="Times New Roman"/>
          <w:szCs w:val="24"/>
        </w:rPr>
        <w:t>charpentée avec circonspection</w:t>
      </w:r>
      <w:r w:rsidR="001A0A8B" w:rsidRPr="00E72418">
        <w:rPr>
          <w:rFonts w:ascii="Times New Roman" w:hAnsi="Times New Roman" w:cs="Times New Roman"/>
          <w:szCs w:val="24"/>
        </w:rPr>
        <w:t xml:space="preserve">. </w:t>
      </w:r>
    </w:p>
    <w:p w14:paraId="0C25BF48" w14:textId="65B0A0E5"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 xml:space="preserve">La considération </w:t>
      </w:r>
      <w:r w:rsidR="00303E2A" w:rsidRPr="00E72418">
        <w:rPr>
          <w:rFonts w:ascii="Times New Roman" w:hAnsi="Times New Roman" w:cs="Times New Roman"/>
          <w:szCs w:val="24"/>
        </w:rPr>
        <w:t>fondam</w:t>
      </w:r>
      <w:r w:rsidRPr="00E72418">
        <w:rPr>
          <w:rFonts w:ascii="Times New Roman" w:hAnsi="Times New Roman" w:cs="Times New Roman"/>
          <w:szCs w:val="24"/>
        </w:rPr>
        <w:t>e</w:t>
      </w:r>
      <w:r w:rsidR="00303E2A" w:rsidRPr="00E72418">
        <w:rPr>
          <w:rFonts w:ascii="Times New Roman" w:hAnsi="Times New Roman" w:cs="Times New Roman"/>
          <w:szCs w:val="24"/>
        </w:rPr>
        <w:t>n</w:t>
      </w:r>
      <w:r w:rsidRPr="00E72418">
        <w:rPr>
          <w:rFonts w:ascii="Times New Roman" w:hAnsi="Times New Roman" w:cs="Times New Roman"/>
          <w:szCs w:val="24"/>
        </w:rPr>
        <w:t>tale de notre thèse est celle de la soutenabilité des dettes souveraines. Il importe en effet que le règlement de ces dettes ne se fasse pas au détri</w:t>
      </w:r>
      <w:r w:rsidR="00C7296F" w:rsidRPr="00E72418">
        <w:rPr>
          <w:rFonts w:ascii="Times New Roman" w:hAnsi="Times New Roman" w:cs="Times New Roman"/>
          <w:szCs w:val="24"/>
        </w:rPr>
        <w:t>ment des droits fondamentaux de la population</w:t>
      </w:r>
      <w:r w:rsidRPr="00E72418">
        <w:rPr>
          <w:rFonts w:ascii="Times New Roman" w:hAnsi="Times New Roman" w:cs="Times New Roman"/>
          <w:szCs w:val="24"/>
        </w:rPr>
        <w:t xml:space="preserve"> </w:t>
      </w:r>
      <w:r w:rsidR="00F618EA" w:rsidRPr="00E72418">
        <w:rPr>
          <w:rFonts w:ascii="Times New Roman" w:hAnsi="Times New Roman" w:cs="Times New Roman"/>
          <w:szCs w:val="24"/>
        </w:rPr>
        <w:t xml:space="preserve">des </w:t>
      </w:r>
      <w:r w:rsidR="00F618EA" w:rsidRPr="00E72418">
        <w:rPr>
          <w:rFonts w:cs="Times New Roman"/>
          <w:szCs w:val="24"/>
        </w:rPr>
        <w:t>É</w:t>
      </w:r>
      <w:r w:rsidRPr="00E72418">
        <w:rPr>
          <w:rFonts w:ascii="Times New Roman" w:hAnsi="Times New Roman" w:cs="Times New Roman"/>
          <w:szCs w:val="24"/>
        </w:rPr>
        <w:t xml:space="preserve">tats débiteurs. L’idée suivant laquelle un créancier ne pourrait </w:t>
      </w:r>
      <w:r w:rsidR="00BE216B" w:rsidRPr="00E72418">
        <w:rPr>
          <w:rFonts w:ascii="Times New Roman" w:hAnsi="Times New Roman" w:cs="Times New Roman"/>
          <w:szCs w:val="24"/>
        </w:rPr>
        <w:t xml:space="preserve">pas </w:t>
      </w:r>
      <w:r w:rsidRPr="00E72418">
        <w:rPr>
          <w:rFonts w:ascii="Times New Roman" w:hAnsi="Times New Roman" w:cs="Times New Roman"/>
          <w:szCs w:val="24"/>
        </w:rPr>
        <w:t xml:space="preserve">obtenir de son débiteur souverain dont la dette est insoutenable plus que ce qu’il a investi pour en faire l’acquisition permet de concilier </w:t>
      </w:r>
      <w:r w:rsidR="00BE216B" w:rsidRPr="00E72418">
        <w:rPr>
          <w:rFonts w:ascii="Times New Roman" w:hAnsi="Times New Roman" w:cs="Times New Roman"/>
          <w:szCs w:val="24"/>
        </w:rPr>
        <w:t>le</w:t>
      </w:r>
      <w:r w:rsidRPr="00E72418">
        <w:rPr>
          <w:rFonts w:ascii="Times New Roman" w:hAnsi="Times New Roman" w:cs="Times New Roman"/>
          <w:szCs w:val="24"/>
        </w:rPr>
        <w:t xml:space="preserve"> droit de propriété</w:t>
      </w:r>
      <w:r w:rsidR="00BE216B" w:rsidRPr="00E72418">
        <w:rPr>
          <w:rFonts w:ascii="Times New Roman" w:hAnsi="Times New Roman" w:cs="Times New Roman"/>
          <w:szCs w:val="24"/>
        </w:rPr>
        <w:t xml:space="preserve"> du premier</w:t>
      </w:r>
      <w:r w:rsidRPr="00E72418">
        <w:rPr>
          <w:rFonts w:ascii="Times New Roman" w:hAnsi="Times New Roman" w:cs="Times New Roman"/>
          <w:szCs w:val="24"/>
        </w:rPr>
        <w:t xml:space="preserve"> avec les droits fondamentaux </w:t>
      </w:r>
      <w:r w:rsidR="00BE216B" w:rsidRPr="00E72418">
        <w:rPr>
          <w:rFonts w:ascii="Times New Roman" w:hAnsi="Times New Roman" w:cs="Times New Roman"/>
          <w:szCs w:val="24"/>
        </w:rPr>
        <w:t>de l</w:t>
      </w:r>
      <w:r w:rsidR="00C7296F" w:rsidRPr="00E72418">
        <w:rPr>
          <w:rFonts w:ascii="Times New Roman" w:hAnsi="Times New Roman" w:cs="Times New Roman"/>
          <w:szCs w:val="24"/>
        </w:rPr>
        <w:t>a population</w:t>
      </w:r>
      <w:r w:rsidR="00BE216B" w:rsidRPr="00E72418">
        <w:rPr>
          <w:rFonts w:ascii="Times New Roman" w:hAnsi="Times New Roman" w:cs="Times New Roman"/>
          <w:szCs w:val="24"/>
        </w:rPr>
        <w:t xml:space="preserve"> du second</w:t>
      </w:r>
      <w:r w:rsidRPr="00E72418">
        <w:rPr>
          <w:rFonts w:ascii="Times New Roman" w:hAnsi="Times New Roman" w:cs="Times New Roman"/>
          <w:szCs w:val="24"/>
        </w:rPr>
        <w:t>. Puisque cette limitation pourrait conduire à détourner les investisseurs du marché des dettes souveraines, il est essentiel d’en maintenir un incitant que serait celui de leur permettre de tirer un intérêt de leur investissement</w:t>
      </w:r>
      <w:r w:rsidR="00C7296F" w:rsidRPr="00E72418">
        <w:rPr>
          <w:rFonts w:ascii="Times New Roman" w:hAnsi="Times New Roman" w:cs="Times New Roman"/>
          <w:szCs w:val="24"/>
        </w:rPr>
        <w:t>, lequel intérêt devrait pouvoir être objectivement fixé.</w:t>
      </w:r>
    </w:p>
    <w:p w14:paraId="1F27D4A5" w14:textId="5F92DA52" w:rsidR="001A0A8B" w:rsidRPr="00E72418" w:rsidRDefault="001A0A8B" w:rsidP="001A0A8B">
      <w:pPr>
        <w:spacing w:line="276" w:lineRule="auto"/>
        <w:rPr>
          <w:rFonts w:ascii="Times New Roman" w:hAnsi="Times New Roman" w:cs="Times New Roman"/>
          <w:szCs w:val="24"/>
        </w:rPr>
      </w:pPr>
      <w:r w:rsidRPr="00E72418">
        <w:rPr>
          <w:rFonts w:ascii="Times New Roman" w:hAnsi="Times New Roman" w:cs="Times New Roman"/>
          <w:szCs w:val="24"/>
        </w:rPr>
        <w:t xml:space="preserve">La mise en place de cette solution </w:t>
      </w:r>
      <w:r w:rsidR="009D4137" w:rsidRPr="00E72418">
        <w:rPr>
          <w:rFonts w:ascii="Times New Roman" w:hAnsi="Times New Roman" w:cs="Times New Roman"/>
          <w:szCs w:val="24"/>
        </w:rPr>
        <w:t xml:space="preserve">passant par la limitation des prétentions des créanciers dont le débiteur fait face à une dette insoutenable </w:t>
      </w:r>
      <w:r w:rsidRPr="00E72418">
        <w:rPr>
          <w:rFonts w:ascii="Times New Roman" w:hAnsi="Times New Roman" w:cs="Times New Roman"/>
          <w:szCs w:val="24"/>
        </w:rPr>
        <w:t>doit se faire précautionneusement afin que la poursuite de la soutenabilité des dettes souveraines voulue ne puisse être travestie, d’une part, par des créanciers qui trouveraient moyen de contourner la réglementation mise en place, d’autre part, par des débiteurs souverains qui parviendraient à tirer profit du mécanisme protecteur envisagé quoique leur dette ne puisse</w:t>
      </w:r>
      <w:r w:rsidR="009D4137" w:rsidRPr="00E72418">
        <w:rPr>
          <w:rFonts w:ascii="Times New Roman" w:hAnsi="Times New Roman" w:cs="Times New Roman"/>
          <w:szCs w:val="24"/>
        </w:rPr>
        <w:t xml:space="preserve"> pourtant</w:t>
      </w:r>
      <w:r w:rsidRPr="00E72418">
        <w:rPr>
          <w:rFonts w:ascii="Times New Roman" w:hAnsi="Times New Roman" w:cs="Times New Roman"/>
          <w:szCs w:val="24"/>
        </w:rPr>
        <w:t xml:space="preserve"> être tenue pour insoutenable. Fort de l’étude pratiquée des principes juridiques souvent mobilisés lors des actions judiciaires étudiées, d’une part, des lois anti-spéculation, d’autre part, nous fûmes en mesure d’identifier les traits saillants à retenir et les écueils dont se garder lors de l’adoption de la réglementation des activités spéculatives souhaitée</w:t>
      </w:r>
      <w:r w:rsidR="009D4137" w:rsidRPr="00E72418">
        <w:rPr>
          <w:rFonts w:ascii="Times New Roman" w:hAnsi="Times New Roman" w:cs="Times New Roman"/>
          <w:szCs w:val="24"/>
        </w:rPr>
        <w:t>, et ce, afin que plein écho soit donné à la considération fondamentale de notre thèse.</w:t>
      </w:r>
    </w:p>
    <w:p w14:paraId="56158D37" w14:textId="77777777" w:rsidR="001A0A8B" w:rsidRPr="00E72418" w:rsidRDefault="001A0A8B" w:rsidP="001A0A8B">
      <w:pPr>
        <w:spacing w:line="276" w:lineRule="auto"/>
        <w:rPr>
          <w:rFonts w:ascii="Times New Roman" w:hAnsi="Times New Roman" w:cs="Times New Roman"/>
          <w:szCs w:val="24"/>
        </w:rPr>
      </w:pPr>
    </w:p>
    <w:p w14:paraId="13D75791" w14:textId="297F1708" w:rsidR="001A0A8B" w:rsidRPr="00E72418" w:rsidRDefault="00573FA9" w:rsidP="001A0A8B">
      <w:pPr>
        <w:spacing w:line="276" w:lineRule="auto"/>
        <w:rPr>
          <w:rFonts w:ascii="Times New Roman" w:hAnsi="Times New Roman" w:cs="Times New Roman"/>
          <w:b/>
          <w:szCs w:val="24"/>
        </w:rPr>
      </w:pPr>
      <w:r>
        <w:rPr>
          <w:rFonts w:ascii="Times New Roman" w:hAnsi="Times New Roman" w:cs="Times New Roman"/>
          <w:b/>
          <w:szCs w:val="24"/>
        </w:rPr>
        <w:lastRenderedPageBreak/>
        <w:t>432</w:t>
      </w:r>
      <w:r w:rsidR="001A0A8B" w:rsidRPr="00E72418">
        <w:rPr>
          <w:rFonts w:ascii="Times New Roman" w:hAnsi="Times New Roman" w:cs="Times New Roman"/>
          <w:b/>
          <w:szCs w:val="24"/>
        </w:rPr>
        <w:t xml:space="preserve">. Des perspectives d’avenir – </w:t>
      </w:r>
      <w:r w:rsidR="001A0A8B" w:rsidRPr="00E72418">
        <w:rPr>
          <w:rFonts w:ascii="Times New Roman" w:hAnsi="Times New Roman" w:cs="Times New Roman"/>
          <w:szCs w:val="24"/>
        </w:rPr>
        <w:t xml:space="preserve">Le surendettement souverain et la spéculation sur celui-ci étant deux phénomènes endémiques, nous pensons avec optimisme que les modalités de la réglementation envisagée dans la partie </w:t>
      </w:r>
      <w:r w:rsidR="009D4137" w:rsidRPr="00E72418">
        <w:rPr>
          <w:rFonts w:ascii="Times New Roman" w:hAnsi="Times New Roman" w:cs="Times New Roman"/>
          <w:szCs w:val="24"/>
        </w:rPr>
        <w:t xml:space="preserve">prospective </w:t>
      </w:r>
      <w:r w:rsidR="001A0A8B" w:rsidRPr="00E72418">
        <w:rPr>
          <w:rFonts w:ascii="Times New Roman" w:hAnsi="Times New Roman" w:cs="Times New Roman"/>
          <w:szCs w:val="24"/>
        </w:rPr>
        <w:t xml:space="preserve">de notre recherche pourraient recevoir une utilité concrète. C’est d’ailleurs </w:t>
      </w:r>
      <w:r w:rsidR="009D4137" w:rsidRPr="00E72418">
        <w:rPr>
          <w:rFonts w:ascii="Times New Roman" w:hAnsi="Times New Roman" w:cs="Times New Roman"/>
          <w:szCs w:val="24"/>
        </w:rPr>
        <w:t>une</w:t>
      </w:r>
      <w:r w:rsidR="001A0A8B" w:rsidRPr="00E72418">
        <w:rPr>
          <w:rFonts w:ascii="Times New Roman" w:hAnsi="Times New Roman" w:cs="Times New Roman"/>
          <w:szCs w:val="24"/>
        </w:rPr>
        <w:t xml:space="preserve"> perspective </w:t>
      </w:r>
      <w:r w:rsidR="00303E2A" w:rsidRPr="00E72418">
        <w:rPr>
          <w:rFonts w:ascii="Times New Roman" w:hAnsi="Times New Roman" w:cs="Times New Roman"/>
          <w:szCs w:val="24"/>
        </w:rPr>
        <w:t xml:space="preserve">résolument </w:t>
      </w:r>
      <w:r w:rsidR="009D4137" w:rsidRPr="00E72418">
        <w:rPr>
          <w:rFonts w:ascii="Times New Roman" w:hAnsi="Times New Roman" w:cs="Times New Roman"/>
          <w:szCs w:val="24"/>
        </w:rPr>
        <w:t xml:space="preserve">orientée vers l’avenir </w:t>
      </w:r>
      <w:r w:rsidR="001A0A8B" w:rsidRPr="00E72418">
        <w:rPr>
          <w:rFonts w:ascii="Times New Roman" w:hAnsi="Times New Roman" w:cs="Times New Roman"/>
          <w:szCs w:val="24"/>
        </w:rPr>
        <w:t>que nous avons modestement souhaité donner à nos travaux.</w:t>
      </w:r>
    </w:p>
    <w:p w14:paraId="139E282E" w14:textId="1C5C902D" w:rsidR="002268ED" w:rsidRPr="00E72418" w:rsidRDefault="001A0A8B" w:rsidP="00C9049D">
      <w:pPr>
        <w:spacing w:line="276" w:lineRule="auto"/>
        <w:rPr>
          <w:rFonts w:ascii="Times New Roman" w:hAnsi="Times New Roman" w:cs="Times New Roman"/>
          <w:szCs w:val="24"/>
        </w:rPr>
      </w:pPr>
      <w:r w:rsidRPr="00E72418">
        <w:rPr>
          <w:rFonts w:ascii="Times New Roman" w:hAnsi="Times New Roman" w:cs="Times New Roman"/>
          <w:szCs w:val="24"/>
        </w:rPr>
        <w:t xml:space="preserve">La traduction des résultats de notre recherche dans des </w:t>
      </w:r>
      <w:r w:rsidR="009D4137" w:rsidRPr="00E72418">
        <w:rPr>
          <w:rFonts w:ascii="Times New Roman" w:hAnsi="Times New Roman" w:cs="Times New Roman"/>
          <w:szCs w:val="24"/>
        </w:rPr>
        <w:t xml:space="preserve">textes concrets </w:t>
      </w:r>
      <w:r w:rsidRPr="00E72418">
        <w:rPr>
          <w:rFonts w:ascii="Times New Roman" w:hAnsi="Times New Roman" w:cs="Times New Roman"/>
          <w:szCs w:val="24"/>
        </w:rPr>
        <w:t xml:space="preserve">qui puissent être discutés et adoptés par des législateurs concernés offre de belles perspectives d’avenir. Ces dernières gagnent encore </w:t>
      </w:r>
      <w:r w:rsidR="00B212D1" w:rsidRPr="00E72418">
        <w:rPr>
          <w:rFonts w:ascii="Times New Roman" w:hAnsi="Times New Roman" w:cs="Times New Roman"/>
          <w:szCs w:val="24"/>
        </w:rPr>
        <w:t>en importan</w:t>
      </w:r>
      <w:r w:rsidR="00125FC0" w:rsidRPr="00E72418">
        <w:rPr>
          <w:rFonts w:ascii="Times New Roman" w:hAnsi="Times New Roman" w:cs="Times New Roman"/>
          <w:szCs w:val="24"/>
        </w:rPr>
        <w:t>c</w:t>
      </w:r>
      <w:r w:rsidR="00B212D1" w:rsidRPr="00E72418">
        <w:rPr>
          <w:rFonts w:ascii="Times New Roman" w:hAnsi="Times New Roman" w:cs="Times New Roman"/>
          <w:szCs w:val="24"/>
        </w:rPr>
        <w:t>e</w:t>
      </w:r>
      <w:r w:rsidRPr="00E72418">
        <w:rPr>
          <w:rFonts w:ascii="Times New Roman" w:hAnsi="Times New Roman" w:cs="Times New Roman"/>
          <w:szCs w:val="24"/>
        </w:rPr>
        <w:t xml:space="preserve"> au constat de l’explosion des dettes souveraines que laisse derrière elle la pandémie mondiale dont les dettes souveraines ont notamment souffert.</w:t>
      </w:r>
    </w:p>
    <w:p w14:paraId="0D23BE65" w14:textId="1E5FB698" w:rsidR="00A91208" w:rsidRPr="00E72418" w:rsidRDefault="00A91208" w:rsidP="00CC4BA8">
      <w:pPr>
        <w:spacing w:line="276" w:lineRule="auto"/>
      </w:pPr>
      <w:r w:rsidRPr="00E72418">
        <w:br w:type="page"/>
      </w:r>
    </w:p>
    <w:p w14:paraId="142E332C" w14:textId="563B5D00" w:rsidR="00A91208" w:rsidRPr="00E72418" w:rsidRDefault="00A91208" w:rsidP="00A91208">
      <w:pPr>
        <w:pStyle w:val="AA"/>
      </w:pPr>
      <w:bookmarkStart w:id="517" w:name="_Toc84541025"/>
      <w:r w:rsidRPr="00E72418">
        <w:lastRenderedPageBreak/>
        <w:t>Bibliographie</w:t>
      </w:r>
      <w:bookmarkEnd w:id="517"/>
      <w:r w:rsidR="00B03198">
        <w:t xml:space="preserve"> sélective</w:t>
      </w:r>
      <w:r w:rsidR="00921BB5" w:rsidRPr="00573FA9">
        <w:rPr>
          <w:rStyle w:val="Appelnotedebasdep"/>
          <w:b w:val="0"/>
          <w:color w:val="FFFFFF" w:themeColor="background1"/>
        </w:rPr>
        <w:footnoteReference w:id="2205"/>
      </w:r>
    </w:p>
    <w:p w14:paraId="3B7FA442" w14:textId="7C77C6B7" w:rsidR="00E849E0" w:rsidRPr="00E72418" w:rsidRDefault="00E849E0" w:rsidP="00A91208">
      <w:pPr>
        <w:rPr>
          <w:rFonts w:ascii="Times New Roman" w:hAnsi="Times New Roman" w:cs="Times New Roman"/>
          <w:sz w:val="36"/>
          <w:szCs w:val="36"/>
        </w:rPr>
      </w:pPr>
    </w:p>
    <w:p w14:paraId="46A5F62B" w14:textId="342692EB" w:rsidR="00025A8C" w:rsidRPr="00E72418" w:rsidRDefault="00B76E0D" w:rsidP="00025A8C">
      <w:pPr>
        <w:pStyle w:val="BB"/>
        <w:rPr>
          <w:szCs w:val="36"/>
        </w:rPr>
      </w:pPr>
      <w:r w:rsidRPr="00E72418">
        <w:rPr>
          <w:szCs w:val="36"/>
        </w:rPr>
        <w:t>Documents législatifs</w:t>
      </w:r>
    </w:p>
    <w:p w14:paraId="6F0EE433" w14:textId="46E82F1C" w:rsidR="00025A8C" w:rsidRPr="00E72418" w:rsidRDefault="00025A8C" w:rsidP="000F20AD">
      <w:pPr>
        <w:rPr>
          <w:sz w:val="32"/>
          <w:szCs w:val="32"/>
        </w:rPr>
      </w:pPr>
      <w:bookmarkStart w:id="518" w:name="_Toc84541027"/>
    </w:p>
    <w:p w14:paraId="1456FD13" w14:textId="3C63228D" w:rsidR="00935CBA" w:rsidRPr="00E72418" w:rsidRDefault="00A91208" w:rsidP="00BD3A60">
      <w:pPr>
        <w:pStyle w:val="CC"/>
      </w:pPr>
      <w:r w:rsidRPr="00E72418">
        <w:t>Nations Unies</w:t>
      </w:r>
      <w:bookmarkEnd w:id="518"/>
    </w:p>
    <w:p w14:paraId="5741586F" w14:textId="582C8515" w:rsidR="00BD3A60" w:rsidRPr="00E72418" w:rsidRDefault="00BD3A60" w:rsidP="000F20AD"/>
    <w:p w14:paraId="2CCB0459" w14:textId="6CFCE540" w:rsidR="00BD3A60" w:rsidRPr="00E72418" w:rsidRDefault="00324D7C" w:rsidP="00BD3A60">
      <w:pPr>
        <w:jc w:val="center"/>
        <w:rPr>
          <w:i/>
          <w:sz w:val="28"/>
          <w:szCs w:val="28"/>
        </w:rPr>
      </w:pPr>
      <w:r w:rsidRPr="00E72418">
        <w:rPr>
          <w:i/>
          <w:sz w:val="28"/>
          <w:szCs w:val="28"/>
        </w:rPr>
        <w:t>Assem</w:t>
      </w:r>
      <w:r w:rsidR="00BD3A60" w:rsidRPr="00E72418">
        <w:rPr>
          <w:i/>
          <w:sz w:val="28"/>
          <w:szCs w:val="28"/>
        </w:rPr>
        <w:t>blée générale des Nations Unies</w:t>
      </w:r>
    </w:p>
    <w:p w14:paraId="771F9A3C" w14:textId="77777777" w:rsidR="00BD3A60" w:rsidRPr="00E72418" w:rsidRDefault="00BD3A60" w:rsidP="00BD3A60">
      <w:pPr>
        <w:pStyle w:val="Paragraphedeliste"/>
        <w:spacing w:after="0"/>
        <w:rPr>
          <w:rFonts w:ascii="Times New Roman" w:hAnsi="Times New Roman" w:cs="Times New Roman"/>
          <w:szCs w:val="24"/>
        </w:rPr>
      </w:pPr>
    </w:p>
    <w:p w14:paraId="7A81A714" w14:textId="095403BA" w:rsidR="00A91208" w:rsidRPr="00E72418" w:rsidRDefault="00A91208" w:rsidP="008D1D7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Transformer notre monde : le Programme de développement durable à l’horizon 2030</w:t>
      </w:r>
      <w:r w:rsidRPr="00E72418">
        <w:rPr>
          <w:rFonts w:ascii="Times New Roman" w:hAnsi="Times New Roman" w:cs="Times New Roman"/>
          <w:szCs w:val="24"/>
        </w:rPr>
        <w:t>, 25 septembre 2015, A/RES/70/1</w:t>
      </w:r>
    </w:p>
    <w:p w14:paraId="5AF3A7B2" w14:textId="77777777" w:rsidR="00A91208" w:rsidRPr="00E72418" w:rsidRDefault="00A91208" w:rsidP="00A91208">
      <w:pPr>
        <w:pStyle w:val="Paragraphedeliste"/>
        <w:rPr>
          <w:rFonts w:ascii="Times New Roman" w:hAnsi="Times New Roman" w:cs="Times New Roman"/>
          <w:sz w:val="14"/>
          <w:szCs w:val="14"/>
        </w:rPr>
      </w:pPr>
    </w:p>
    <w:p w14:paraId="52C1BA0B" w14:textId="77777777" w:rsidR="00935CBA" w:rsidRPr="00E72418" w:rsidRDefault="0035681C" w:rsidP="007D7D59">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P</w:t>
      </w:r>
      <w:r w:rsidR="00A91208" w:rsidRPr="00E72418">
        <w:rPr>
          <w:rFonts w:ascii="Times New Roman" w:hAnsi="Times New Roman" w:cs="Times New Roman"/>
          <w:i/>
          <w:szCs w:val="24"/>
        </w:rPr>
        <w:t>rincipes fondamentaux des opérations de restructuration de la dette souveraine</w:t>
      </w:r>
      <w:r w:rsidR="00A91208" w:rsidRPr="00E72418">
        <w:rPr>
          <w:rFonts w:ascii="Times New Roman" w:hAnsi="Times New Roman" w:cs="Times New Roman"/>
          <w:szCs w:val="24"/>
        </w:rPr>
        <w:t>, 10 septembre 2015, A/RES/69/319</w:t>
      </w:r>
    </w:p>
    <w:p w14:paraId="549D9B6B" w14:textId="77777777" w:rsidR="00935CBA" w:rsidRPr="00E72418" w:rsidRDefault="00935CBA" w:rsidP="00935CBA">
      <w:pPr>
        <w:pStyle w:val="Paragraphedeliste"/>
        <w:rPr>
          <w:rFonts w:ascii="Times New Roman" w:hAnsi="Times New Roman" w:cs="Times New Roman"/>
          <w:i/>
          <w:sz w:val="14"/>
          <w:szCs w:val="14"/>
        </w:rPr>
      </w:pPr>
    </w:p>
    <w:p w14:paraId="6E2AE94C" w14:textId="525645D4" w:rsidR="00A91208" w:rsidRPr="00E72418" w:rsidRDefault="00A91208" w:rsidP="007D7D59">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Programme d’action d’Addis-Abeba issu de la troisième Conférence internationale sur le financement du développement (programme d’action d’Addis-Abeba)</w:t>
      </w:r>
      <w:r w:rsidRPr="00E72418">
        <w:rPr>
          <w:rFonts w:ascii="Times New Roman" w:hAnsi="Times New Roman" w:cs="Times New Roman"/>
          <w:szCs w:val="24"/>
        </w:rPr>
        <w:t>, 17 août 2015, A/RES/69/313</w:t>
      </w:r>
    </w:p>
    <w:p w14:paraId="7F44EE0F" w14:textId="77777777" w:rsidR="00A91208" w:rsidRPr="00E72418" w:rsidRDefault="00A91208" w:rsidP="00A91208">
      <w:pPr>
        <w:pStyle w:val="Paragraphedeliste"/>
        <w:rPr>
          <w:rFonts w:ascii="Times New Roman" w:hAnsi="Times New Roman" w:cs="Times New Roman"/>
          <w:sz w:val="14"/>
          <w:szCs w:val="14"/>
        </w:rPr>
      </w:pPr>
    </w:p>
    <w:p w14:paraId="126DB38F" w14:textId="4B834ADE" w:rsidR="00A91208" w:rsidRPr="00E72418" w:rsidRDefault="0035681C" w:rsidP="008D1D7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M</w:t>
      </w:r>
      <w:r w:rsidR="00A91208" w:rsidRPr="00E72418">
        <w:rPr>
          <w:rFonts w:ascii="Times New Roman" w:hAnsi="Times New Roman" w:cs="Times New Roman"/>
          <w:i/>
          <w:szCs w:val="24"/>
        </w:rPr>
        <w:t>odalités d’application de la résolution 68/304</w:t>
      </w:r>
      <w:r w:rsidRPr="00E72418">
        <w:rPr>
          <w:rFonts w:ascii="Times New Roman" w:hAnsi="Times New Roman" w:cs="Times New Roman"/>
          <w:i/>
          <w:szCs w:val="24"/>
        </w:rPr>
        <w:t>,</w:t>
      </w:r>
      <w:r w:rsidR="00A91208" w:rsidRPr="00E72418">
        <w:rPr>
          <w:rFonts w:ascii="Times New Roman" w:hAnsi="Times New Roman" w:cs="Times New Roman"/>
          <w:i/>
          <w:szCs w:val="24"/>
        </w:rPr>
        <w:t xml:space="preserve"> intitulée « Établissement d’un cadre juridique multilatéral applicable aux opérations de restructuration de la dette souveraine »</w:t>
      </w:r>
      <w:r w:rsidR="00A91208" w:rsidRPr="00E72418">
        <w:rPr>
          <w:rFonts w:ascii="Times New Roman" w:hAnsi="Times New Roman" w:cs="Times New Roman"/>
          <w:szCs w:val="24"/>
        </w:rPr>
        <w:t>, 29 décembre 2014, A/RES/69/247</w:t>
      </w:r>
    </w:p>
    <w:p w14:paraId="158E1D0A" w14:textId="77777777" w:rsidR="00A91208" w:rsidRPr="00E72418" w:rsidRDefault="00A91208" w:rsidP="00A91208">
      <w:pPr>
        <w:pStyle w:val="Paragraphedeliste"/>
        <w:rPr>
          <w:rFonts w:ascii="Times New Roman" w:hAnsi="Times New Roman" w:cs="Times New Roman"/>
          <w:sz w:val="14"/>
          <w:szCs w:val="14"/>
        </w:rPr>
      </w:pPr>
    </w:p>
    <w:p w14:paraId="3D2CF9B1" w14:textId="77777777" w:rsidR="00BD3A60" w:rsidRPr="00E72418" w:rsidRDefault="0035681C" w:rsidP="007D7D59">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É</w:t>
      </w:r>
      <w:r w:rsidR="00A91208" w:rsidRPr="00E72418">
        <w:rPr>
          <w:rFonts w:ascii="Times New Roman" w:hAnsi="Times New Roman" w:cs="Times New Roman"/>
          <w:i/>
          <w:szCs w:val="24"/>
        </w:rPr>
        <w:t>tablissement d’un cadre juridique multilatéral applicable aux opérations de restructuration de la dette souveraine</w:t>
      </w:r>
      <w:r w:rsidR="00A91208" w:rsidRPr="00E72418">
        <w:rPr>
          <w:rFonts w:ascii="Times New Roman" w:hAnsi="Times New Roman" w:cs="Times New Roman"/>
          <w:szCs w:val="24"/>
        </w:rPr>
        <w:t>, 9 septembre 2014, A/RES/68/304</w:t>
      </w:r>
    </w:p>
    <w:p w14:paraId="5D9A5CA0" w14:textId="77777777" w:rsidR="00BD3A60" w:rsidRPr="00E72418" w:rsidRDefault="00BD3A60" w:rsidP="00BD3A60">
      <w:pPr>
        <w:pStyle w:val="Paragraphedeliste"/>
        <w:rPr>
          <w:i/>
          <w:sz w:val="14"/>
          <w:szCs w:val="14"/>
        </w:rPr>
      </w:pPr>
    </w:p>
    <w:p w14:paraId="78474A98" w14:textId="121B5232" w:rsidR="00A91208" w:rsidRPr="00E72418" w:rsidRDefault="00EC0920" w:rsidP="007D7D59">
      <w:pPr>
        <w:pStyle w:val="Paragraphedeliste"/>
        <w:numPr>
          <w:ilvl w:val="0"/>
          <w:numId w:val="5"/>
        </w:numPr>
        <w:spacing w:after="0"/>
        <w:rPr>
          <w:rFonts w:ascii="Times New Roman" w:hAnsi="Times New Roman" w:cs="Times New Roman"/>
          <w:szCs w:val="24"/>
        </w:rPr>
      </w:pPr>
      <w:r w:rsidRPr="00E72418">
        <w:rPr>
          <w:i/>
        </w:rPr>
        <w:t>Soutenabilité de la dette extérieure et le développement</w:t>
      </w:r>
      <w:r w:rsidRPr="00E72418">
        <w:t>, 21 décembre 2012, A/RES/67/198</w:t>
      </w:r>
    </w:p>
    <w:p w14:paraId="0FDC7391" w14:textId="77777777" w:rsidR="00A91208" w:rsidRPr="00E72418" w:rsidRDefault="00A91208" w:rsidP="00A91208">
      <w:pPr>
        <w:pStyle w:val="Paragraphedeliste"/>
        <w:rPr>
          <w:rFonts w:ascii="Times New Roman" w:hAnsi="Times New Roman" w:cs="Times New Roman"/>
          <w:sz w:val="14"/>
          <w:szCs w:val="14"/>
        </w:rPr>
      </w:pPr>
    </w:p>
    <w:p w14:paraId="174A34C8" w14:textId="1A0FF346" w:rsidR="00A91208" w:rsidRPr="00E72418" w:rsidRDefault="00EC0920" w:rsidP="008D1D7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D</w:t>
      </w:r>
      <w:r w:rsidR="00A91208" w:rsidRPr="00E72418">
        <w:rPr>
          <w:rFonts w:ascii="Times New Roman" w:hAnsi="Times New Roman" w:cs="Times New Roman"/>
          <w:i/>
          <w:szCs w:val="24"/>
        </w:rPr>
        <w:t>éclaration de Doha sur le financement du développement : document final de la Conférence internationale de suivi sur le financement du développement, chargée d’examiner la mise en œuvre du Consensus de Monterrey</w:t>
      </w:r>
      <w:r w:rsidR="00A91208" w:rsidRPr="00E72418">
        <w:rPr>
          <w:rFonts w:ascii="Times New Roman" w:hAnsi="Times New Roman" w:cs="Times New Roman"/>
          <w:szCs w:val="24"/>
        </w:rPr>
        <w:t>, 24 décembre 2008, A/RES/63/239</w:t>
      </w:r>
    </w:p>
    <w:p w14:paraId="14D78B7D" w14:textId="77777777" w:rsidR="00A91208" w:rsidRPr="00E72418" w:rsidRDefault="00A91208" w:rsidP="00A91208">
      <w:pPr>
        <w:pStyle w:val="Paragraphedeliste"/>
        <w:rPr>
          <w:rFonts w:ascii="Times New Roman" w:hAnsi="Times New Roman" w:cs="Times New Roman"/>
          <w:sz w:val="14"/>
          <w:szCs w:val="14"/>
        </w:rPr>
      </w:pPr>
    </w:p>
    <w:p w14:paraId="378A7FF6" w14:textId="54BA3C27" w:rsidR="00E849E0" w:rsidRPr="00E72418" w:rsidRDefault="00A91208" w:rsidP="00E849E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 xml:space="preserve">Convention sur les immunités juridictionnelles des </w:t>
      </w:r>
      <w:r w:rsidRPr="00E72418">
        <w:rPr>
          <w:rFonts w:ascii="Times New Roman" w:hAnsi="Times New Roman" w:cs="Times New Roman"/>
          <w:i/>
          <w:szCs w:val="24"/>
          <w:lang w:eastAsia="fr-BE"/>
        </w:rPr>
        <w:t>É</w:t>
      </w:r>
      <w:r w:rsidRPr="00E72418">
        <w:rPr>
          <w:rFonts w:ascii="Times New Roman" w:hAnsi="Times New Roman" w:cs="Times New Roman"/>
          <w:i/>
          <w:szCs w:val="24"/>
        </w:rPr>
        <w:t>tats et de leurs biens</w:t>
      </w:r>
      <w:r w:rsidRPr="00E72418">
        <w:rPr>
          <w:rFonts w:ascii="Times New Roman" w:hAnsi="Times New Roman" w:cs="Times New Roman"/>
          <w:szCs w:val="24"/>
        </w:rPr>
        <w:t>, 2 décembre 2004, A/RES/59/38</w:t>
      </w:r>
    </w:p>
    <w:p w14:paraId="4690EFF2" w14:textId="77777777" w:rsidR="00E849E0" w:rsidRPr="00E72418" w:rsidRDefault="00E849E0" w:rsidP="00E849E0">
      <w:pPr>
        <w:pStyle w:val="Paragraphedeliste"/>
        <w:rPr>
          <w:rFonts w:ascii="Times New Roman" w:hAnsi="Times New Roman" w:cs="Times New Roman"/>
          <w:sz w:val="14"/>
          <w:szCs w:val="14"/>
        </w:rPr>
      </w:pPr>
    </w:p>
    <w:p w14:paraId="6A4D9CF6" w14:textId="3EF3E44B" w:rsidR="00A91208" w:rsidRPr="00E72418" w:rsidRDefault="00EC0920" w:rsidP="00E849E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D</w:t>
      </w:r>
      <w:r w:rsidR="00A91208" w:rsidRPr="00E72418">
        <w:rPr>
          <w:rFonts w:ascii="Times New Roman" w:hAnsi="Times New Roman" w:cs="Times New Roman"/>
          <w:i/>
          <w:szCs w:val="24"/>
        </w:rPr>
        <w:t>éclaration du Millénaire</w:t>
      </w:r>
      <w:r w:rsidR="00A91208" w:rsidRPr="00E72418">
        <w:rPr>
          <w:rFonts w:ascii="Times New Roman" w:hAnsi="Times New Roman" w:cs="Times New Roman"/>
          <w:szCs w:val="24"/>
        </w:rPr>
        <w:t>, 8 septembre 2000, A/RES/55/2</w:t>
      </w:r>
    </w:p>
    <w:p w14:paraId="7053E96C" w14:textId="77777777" w:rsidR="00E849E0" w:rsidRPr="00E72418" w:rsidRDefault="00E849E0" w:rsidP="00E849E0">
      <w:pPr>
        <w:pStyle w:val="Paragraphedeliste"/>
        <w:rPr>
          <w:rFonts w:ascii="Times New Roman" w:hAnsi="Times New Roman" w:cs="Times New Roman"/>
          <w:sz w:val="14"/>
          <w:szCs w:val="14"/>
        </w:rPr>
      </w:pPr>
    </w:p>
    <w:p w14:paraId="23EF8F60" w14:textId="77777777" w:rsidR="00BD3A60" w:rsidRPr="00E72418" w:rsidRDefault="00E849E0" w:rsidP="007D7D59">
      <w:pPr>
        <w:pStyle w:val="Paragraphedeliste"/>
        <w:numPr>
          <w:ilvl w:val="0"/>
          <w:numId w:val="5"/>
        </w:numPr>
        <w:spacing w:after="0"/>
        <w:rPr>
          <w:i/>
          <w:sz w:val="28"/>
          <w:szCs w:val="28"/>
        </w:rPr>
      </w:pPr>
      <w:r w:rsidRPr="00E72418">
        <w:rPr>
          <w:rFonts w:ascii="Times New Roman" w:hAnsi="Times New Roman" w:cs="Times New Roman"/>
          <w:i/>
          <w:szCs w:val="24"/>
        </w:rPr>
        <w:t>Pacte international relatif aux droits économiques, sociaux et culturels</w:t>
      </w:r>
      <w:r w:rsidRPr="00E72418">
        <w:rPr>
          <w:rFonts w:ascii="Times New Roman" w:hAnsi="Times New Roman" w:cs="Times New Roman"/>
          <w:szCs w:val="24"/>
        </w:rPr>
        <w:t xml:space="preserve">, 16 décembre 1966, </w:t>
      </w:r>
      <w:r w:rsidR="00F55A6C" w:rsidRPr="00E72418">
        <w:rPr>
          <w:rFonts w:ascii="Times New Roman" w:hAnsi="Times New Roman" w:cs="Times New Roman"/>
          <w:szCs w:val="24"/>
        </w:rPr>
        <w:t>A/RES/2200</w:t>
      </w:r>
      <w:r w:rsidRPr="00E72418">
        <w:rPr>
          <w:rFonts w:ascii="Times New Roman" w:hAnsi="Times New Roman" w:cs="Times New Roman"/>
          <w:szCs w:val="24"/>
        </w:rPr>
        <w:t>(XXI)</w:t>
      </w:r>
    </w:p>
    <w:p w14:paraId="53388922" w14:textId="77777777" w:rsidR="00BD3A60" w:rsidRPr="00E72418" w:rsidRDefault="00BD3A60" w:rsidP="00BD3A60">
      <w:pPr>
        <w:pStyle w:val="Paragraphedeliste"/>
        <w:rPr>
          <w:rFonts w:ascii="Times New Roman" w:hAnsi="Times New Roman" w:cs="Times New Roman"/>
          <w:i/>
          <w:sz w:val="14"/>
          <w:szCs w:val="14"/>
        </w:rPr>
      </w:pPr>
    </w:p>
    <w:p w14:paraId="4A0FF6A7" w14:textId="60775D8E" w:rsidR="00BE216B" w:rsidRPr="00E72418" w:rsidRDefault="00E849E0" w:rsidP="00BE216B">
      <w:pPr>
        <w:pStyle w:val="Paragraphedeliste"/>
        <w:numPr>
          <w:ilvl w:val="0"/>
          <w:numId w:val="5"/>
        </w:numPr>
        <w:spacing w:after="0"/>
        <w:rPr>
          <w:i/>
          <w:sz w:val="28"/>
          <w:szCs w:val="28"/>
        </w:rPr>
      </w:pPr>
      <w:r w:rsidRPr="00E72418">
        <w:rPr>
          <w:rFonts w:ascii="Times New Roman" w:hAnsi="Times New Roman" w:cs="Times New Roman"/>
          <w:i/>
          <w:szCs w:val="24"/>
        </w:rPr>
        <w:t xml:space="preserve">Pacte international </w:t>
      </w:r>
      <w:r w:rsidR="00BE216B" w:rsidRPr="00E72418">
        <w:rPr>
          <w:rFonts w:ascii="Times New Roman" w:hAnsi="Times New Roman" w:cs="Times New Roman"/>
          <w:i/>
          <w:szCs w:val="24"/>
        </w:rPr>
        <w:t>relatif aux</w:t>
      </w:r>
      <w:r w:rsidRPr="00E72418">
        <w:rPr>
          <w:rFonts w:ascii="Times New Roman" w:hAnsi="Times New Roman" w:cs="Times New Roman"/>
          <w:i/>
          <w:szCs w:val="24"/>
        </w:rPr>
        <w:t xml:space="preserve"> droits civils et politiques</w:t>
      </w:r>
      <w:r w:rsidRPr="00E72418">
        <w:rPr>
          <w:rFonts w:ascii="Times New Roman" w:hAnsi="Times New Roman" w:cs="Times New Roman"/>
          <w:szCs w:val="24"/>
        </w:rPr>
        <w:t>, 16 décembre 1966</w:t>
      </w:r>
      <w:r w:rsidR="00F55A6C" w:rsidRPr="00E72418">
        <w:rPr>
          <w:rFonts w:ascii="Times New Roman" w:hAnsi="Times New Roman" w:cs="Times New Roman"/>
          <w:szCs w:val="24"/>
        </w:rPr>
        <w:t>, A/RES/2200(XXI)</w:t>
      </w:r>
    </w:p>
    <w:p w14:paraId="6C395020" w14:textId="77777777" w:rsidR="00BE216B" w:rsidRPr="00E72418" w:rsidRDefault="00BE216B" w:rsidP="00BE216B">
      <w:pPr>
        <w:pStyle w:val="Paragraphedeliste"/>
        <w:rPr>
          <w:rFonts w:ascii="Times New Roman" w:hAnsi="Times New Roman" w:cs="Times New Roman"/>
          <w:i/>
          <w:sz w:val="14"/>
          <w:szCs w:val="14"/>
        </w:rPr>
      </w:pPr>
    </w:p>
    <w:p w14:paraId="24244EF7" w14:textId="75E76B65" w:rsidR="00BD3A60" w:rsidRPr="00E72418" w:rsidRDefault="00E849E0" w:rsidP="00BE216B">
      <w:pPr>
        <w:pStyle w:val="Paragraphedeliste"/>
        <w:numPr>
          <w:ilvl w:val="0"/>
          <w:numId w:val="5"/>
        </w:numPr>
        <w:spacing w:after="0"/>
        <w:rPr>
          <w:i/>
          <w:sz w:val="28"/>
          <w:szCs w:val="28"/>
        </w:rPr>
      </w:pPr>
      <w:r w:rsidRPr="00E72418">
        <w:rPr>
          <w:rFonts w:ascii="Times New Roman" w:hAnsi="Times New Roman" w:cs="Times New Roman"/>
          <w:i/>
          <w:szCs w:val="24"/>
        </w:rPr>
        <w:t>Déclaration universelle des droits de l’homme</w:t>
      </w:r>
      <w:r w:rsidR="00F55A6C" w:rsidRPr="00E72418">
        <w:rPr>
          <w:rFonts w:ascii="Times New Roman" w:hAnsi="Times New Roman" w:cs="Times New Roman"/>
          <w:szCs w:val="24"/>
        </w:rPr>
        <w:t>, 10 décembre 1948, A/RES/217(III)</w:t>
      </w:r>
    </w:p>
    <w:p w14:paraId="51C9E9A4" w14:textId="77777777" w:rsidR="00BD3A60" w:rsidRPr="00E72418" w:rsidRDefault="00BD3A60" w:rsidP="00BD3A60">
      <w:pPr>
        <w:pStyle w:val="Paragraphedeliste"/>
        <w:rPr>
          <w:i/>
          <w:sz w:val="28"/>
          <w:szCs w:val="28"/>
        </w:rPr>
      </w:pPr>
    </w:p>
    <w:p w14:paraId="3F5A477D" w14:textId="60CC995C" w:rsidR="00B76E0D" w:rsidRPr="00E72418" w:rsidRDefault="00B76E0D" w:rsidP="006A6339">
      <w:pPr>
        <w:pStyle w:val="Paragraphedeliste"/>
        <w:spacing w:after="0"/>
        <w:ind w:firstLine="696"/>
        <w:jc w:val="center"/>
        <w:rPr>
          <w:i/>
          <w:sz w:val="28"/>
          <w:szCs w:val="28"/>
        </w:rPr>
      </w:pPr>
      <w:r w:rsidRPr="00E72418">
        <w:rPr>
          <w:i/>
          <w:sz w:val="28"/>
          <w:szCs w:val="28"/>
        </w:rPr>
        <w:t>Conseil des droi</w:t>
      </w:r>
      <w:r w:rsidR="00BD3A60" w:rsidRPr="00E72418">
        <w:rPr>
          <w:i/>
          <w:sz w:val="28"/>
          <w:szCs w:val="28"/>
        </w:rPr>
        <w:t>ts de l’homme des Nations Unies</w:t>
      </w:r>
    </w:p>
    <w:p w14:paraId="2BEC7F47" w14:textId="77777777" w:rsidR="00BD3A60" w:rsidRPr="00E72418" w:rsidRDefault="00BD3A60" w:rsidP="00BD3A60">
      <w:pPr>
        <w:pStyle w:val="Paragraphedeliste"/>
        <w:spacing w:after="0"/>
        <w:rPr>
          <w:rFonts w:ascii="Times New Roman" w:hAnsi="Times New Roman" w:cs="Times New Roman"/>
          <w:szCs w:val="24"/>
        </w:rPr>
      </w:pPr>
    </w:p>
    <w:p w14:paraId="27C403B0" w14:textId="5EC0F7BA" w:rsidR="00B76E0D" w:rsidRPr="00E72418" w:rsidRDefault="001C2888" w:rsidP="00B76E0D">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Mandat de l’E</w:t>
      </w:r>
      <w:r w:rsidR="00B76E0D" w:rsidRPr="00E72418">
        <w:rPr>
          <w:rFonts w:ascii="Times New Roman" w:hAnsi="Times New Roman" w:cs="Times New Roman"/>
          <w:i/>
          <w:szCs w:val="24"/>
        </w:rPr>
        <w:t>xpert indépendant chargé d’examiner les effets de la dette extérieure et des obligations financières internationales connexes des États sur le plein exercice de tous les droits de l’homme, en particulier des droits économiques, sociaux et culturels</w:t>
      </w:r>
      <w:r w:rsidR="00B76E0D" w:rsidRPr="00E72418">
        <w:rPr>
          <w:rFonts w:ascii="Times New Roman" w:hAnsi="Times New Roman" w:cs="Times New Roman"/>
          <w:szCs w:val="24"/>
        </w:rPr>
        <w:t>, 23 mars 2017, A/HRC/RES/34/3</w:t>
      </w:r>
    </w:p>
    <w:p w14:paraId="25CE48B0" w14:textId="77777777" w:rsidR="00B76E0D" w:rsidRPr="00E72418" w:rsidRDefault="00B76E0D" w:rsidP="00B76E0D">
      <w:pPr>
        <w:pStyle w:val="Paragraphedeliste"/>
        <w:rPr>
          <w:rFonts w:ascii="Times New Roman" w:hAnsi="Times New Roman" w:cs="Times New Roman"/>
          <w:sz w:val="14"/>
          <w:szCs w:val="14"/>
        </w:rPr>
      </w:pPr>
    </w:p>
    <w:p w14:paraId="75C741EE" w14:textId="7CFC8236" w:rsidR="00B76E0D" w:rsidRPr="00E72418" w:rsidRDefault="001C2888" w:rsidP="00B76E0D">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E</w:t>
      </w:r>
      <w:r w:rsidR="00B76E0D" w:rsidRPr="00E72418">
        <w:rPr>
          <w:rFonts w:ascii="Times New Roman" w:hAnsi="Times New Roman" w:cs="Times New Roman"/>
          <w:i/>
          <w:szCs w:val="24"/>
        </w:rPr>
        <w:t>ffets de la dette extérieure et des obligations financières internationales connexes des États sur le plein exercice de tous les droits de l’homme, en particulier des droits économiques, sociaux et culturels : activités des fonds rapaces</w:t>
      </w:r>
      <w:r w:rsidR="00B76E0D" w:rsidRPr="00E72418">
        <w:rPr>
          <w:rFonts w:ascii="Times New Roman" w:hAnsi="Times New Roman" w:cs="Times New Roman"/>
          <w:szCs w:val="24"/>
        </w:rPr>
        <w:t xml:space="preserve">, </w:t>
      </w:r>
      <w:r w:rsidRPr="00E72418">
        <w:rPr>
          <w:rFonts w:ascii="Times New Roman" w:hAnsi="Times New Roman" w:cs="Times New Roman"/>
          <w:szCs w:val="24"/>
        </w:rPr>
        <w:t xml:space="preserve">26 septembre </w:t>
      </w:r>
      <w:r w:rsidR="00B76E0D" w:rsidRPr="00E72418">
        <w:rPr>
          <w:rFonts w:ascii="Times New Roman" w:hAnsi="Times New Roman" w:cs="Times New Roman"/>
          <w:szCs w:val="24"/>
        </w:rPr>
        <w:t>2014, A/HRC/RES/27/30</w:t>
      </w:r>
    </w:p>
    <w:p w14:paraId="783937ED" w14:textId="77777777" w:rsidR="00B76E0D" w:rsidRPr="00E72418" w:rsidRDefault="00B76E0D" w:rsidP="00B76E0D">
      <w:pPr>
        <w:pStyle w:val="Paragraphedeliste"/>
        <w:rPr>
          <w:rFonts w:ascii="Times New Roman" w:hAnsi="Times New Roman" w:cs="Times New Roman"/>
          <w:sz w:val="14"/>
          <w:szCs w:val="14"/>
        </w:rPr>
      </w:pPr>
    </w:p>
    <w:p w14:paraId="32CCABEF" w14:textId="77777777" w:rsidR="00BD3A60" w:rsidRPr="00E72418" w:rsidRDefault="001C2888" w:rsidP="00BD3A60">
      <w:pPr>
        <w:pStyle w:val="Paragraphedeliste"/>
        <w:numPr>
          <w:ilvl w:val="0"/>
          <w:numId w:val="5"/>
        </w:numPr>
        <w:spacing w:after="0"/>
        <w:rPr>
          <w:i/>
          <w:sz w:val="28"/>
          <w:szCs w:val="28"/>
        </w:rPr>
      </w:pPr>
      <w:r w:rsidRPr="00E72418">
        <w:rPr>
          <w:rFonts w:ascii="Times New Roman" w:hAnsi="Times New Roman" w:cs="Times New Roman"/>
          <w:i/>
          <w:szCs w:val="24"/>
        </w:rPr>
        <w:t>L</w:t>
      </w:r>
      <w:r w:rsidR="00B76E0D" w:rsidRPr="00E72418">
        <w:rPr>
          <w:rFonts w:ascii="Times New Roman" w:hAnsi="Times New Roman" w:cs="Times New Roman"/>
          <w:i/>
          <w:szCs w:val="24"/>
        </w:rPr>
        <w:t>es effets de la dette extérieure et des obligations financières internationales connexes des États sur le plein exercice de tous les droits de l’homme, particulièrement des droits économiques, sociaux et culturels</w:t>
      </w:r>
      <w:r w:rsidR="00B76E0D" w:rsidRPr="00E72418">
        <w:rPr>
          <w:rFonts w:ascii="Times New Roman" w:hAnsi="Times New Roman" w:cs="Times New Roman"/>
          <w:szCs w:val="24"/>
        </w:rPr>
        <w:t xml:space="preserve">, </w:t>
      </w:r>
      <w:r w:rsidRPr="00E72418">
        <w:rPr>
          <w:rFonts w:ascii="Times New Roman" w:hAnsi="Times New Roman" w:cs="Times New Roman"/>
          <w:szCs w:val="24"/>
        </w:rPr>
        <w:t>5</w:t>
      </w:r>
      <w:r w:rsidR="00B76E0D" w:rsidRPr="00E72418">
        <w:rPr>
          <w:rFonts w:ascii="Times New Roman" w:hAnsi="Times New Roman" w:cs="Times New Roman"/>
          <w:szCs w:val="24"/>
        </w:rPr>
        <w:t xml:space="preserve"> juillet 2012, A/HRC/RES/20/10</w:t>
      </w:r>
    </w:p>
    <w:p w14:paraId="70ECAD30" w14:textId="77777777" w:rsidR="00BD3A60" w:rsidRPr="00E72418" w:rsidRDefault="00BD3A60" w:rsidP="00BD3A60">
      <w:pPr>
        <w:pStyle w:val="Paragraphedeliste"/>
        <w:rPr>
          <w:i/>
          <w:sz w:val="28"/>
          <w:szCs w:val="28"/>
        </w:rPr>
      </w:pPr>
    </w:p>
    <w:p w14:paraId="11D40721" w14:textId="08A4BBFE" w:rsidR="00B76E0D" w:rsidRPr="00E72418" w:rsidRDefault="00A91208" w:rsidP="006A6339">
      <w:pPr>
        <w:pStyle w:val="Paragraphedeliste"/>
        <w:spacing w:after="0"/>
        <w:jc w:val="center"/>
        <w:rPr>
          <w:i/>
          <w:sz w:val="28"/>
          <w:szCs w:val="28"/>
        </w:rPr>
      </w:pPr>
      <w:r w:rsidRPr="00E72418">
        <w:rPr>
          <w:i/>
          <w:sz w:val="28"/>
          <w:szCs w:val="28"/>
        </w:rPr>
        <w:t>Conférence des Nations Unies sur l</w:t>
      </w:r>
      <w:r w:rsidR="00BD3A60" w:rsidRPr="00E72418">
        <w:rPr>
          <w:i/>
          <w:sz w:val="28"/>
          <w:szCs w:val="28"/>
        </w:rPr>
        <w:t>e commerce et le développement</w:t>
      </w:r>
    </w:p>
    <w:p w14:paraId="72578E0A" w14:textId="77777777" w:rsidR="00BD3A60" w:rsidRPr="00E72418" w:rsidRDefault="00BD3A60" w:rsidP="00BD3A60">
      <w:pPr>
        <w:pStyle w:val="Paragraphedeliste"/>
        <w:spacing w:after="0"/>
        <w:rPr>
          <w:rFonts w:ascii="Times New Roman" w:hAnsi="Times New Roman" w:cs="Times New Roman"/>
          <w:szCs w:val="24"/>
        </w:rPr>
      </w:pPr>
    </w:p>
    <w:p w14:paraId="06AE5FCE" w14:textId="3D43EFE9" w:rsidR="00A91208" w:rsidRPr="00E72418" w:rsidRDefault="00A91208" w:rsidP="008D1D70">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Roadmap and Guide on Sovereign Debt Workouts</w:t>
      </w:r>
      <w:r w:rsidRPr="00E72418">
        <w:rPr>
          <w:rFonts w:ascii="Times New Roman" w:hAnsi="Times New Roman" w:cs="Times New Roman"/>
          <w:szCs w:val="24"/>
        </w:rPr>
        <w:t>, avril 2015</w:t>
      </w:r>
    </w:p>
    <w:p w14:paraId="6A9E2066" w14:textId="77777777" w:rsidR="00A91208" w:rsidRPr="00E72418" w:rsidRDefault="00A91208" w:rsidP="00A91208">
      <w:pPr>
        <w:pStyle w:val="Paragraphedeliste"/>
        <w:rPr>
          <w:rFonts w:ascii="Times New Roman" w:hAnsi="Times New Roman" w:cs="Times New Roman"/>
          <w:sz w:val="14"/>
          <w:szCs w:val="14"/>
        </w:rPr>
      </w:pPr>
    </w:p>
    <w:p w14:paraId="0F011FFC" w14:textId="398F90D0" w:rsidR="00A91208" w:rsidRPr="00E72418" w:rsidRDefault="00A91208" w:rsidP="00935CBA">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i/>
          <w:szCs w:val="24"/>
        </w:rPr>
        <w:t>Principes pour l’octroi de prêts et la souscription d’emprunts souverains responsables</w:t>
      </w:r>
      <w:r w:rsidR="00B76E0D" w:rsidRPr="00E72418">
        <w:rPr>
          <w:rFonts w:ascii="Times New Roman" w:hAnsi="Times New Roman" w:cs="Times New Roman"/>
          <w:szCs w:val="24"/>
        </w:rPr>
        <w:t xml:space="preserve">, </w:t>
      </w:r>
      <w:r w:rsidRPr="00E72418">
        <w:rPr>
          <w:rFonts w:ascii="Times New Roman" w:hAnsi="Times New Roman" w:cs="Times New Roman"/>
          <w:szCs w:val="24"/>
        </w:rPr>
        <w:t>janvier 2012</w:t>
      </w:r>
    </w:p>
    <w:p w14:paraId="6BDF0689" w14:textId="77777777" w:rsidR="00BD3A60" w:rsidRPr="00E72418" w:rsidRDefault="00BD3A60" w:rsidP="00BD3A60">
      <w:pPr>
        <w:pStyle w:val="Paragraphedeliste"/>
        <w:rPr>
          <w:rFonts w:ascii="Times New Roman" w:hAnsi="Times New Roman" w:cs="Times New Roman"/>
          <w:szCs w:val="24"/>
        </w:rPr>
      </w:pPr>
    </w:p>
    <w:p w14:paraId="53B3509B" w14:textId="77777777" w:rsidR="00BD3A60" w:rsidRPr="00E72418" w:rsidRDefault="00BD3A60" w:rsidP="00BD3A60">
      <w:pPr>
        <w:pStyle w:val="Paragraphedeliste"/>
        <w:spacing w:after="0"/>
        <w:rPr>
          <w:rFonts w:ascii="Times New Roman" w:hAnsi="Times New Roman" w:cs="Times New Roman"/>
          <w:szCs w:val="24"/>
        </w:rPr>
      </w:pPr>
    </w:p>
    <w:p w14:paraId="7C2E8B1B" w14:textId="5539E637" w:rsidR="00A91208" w:rsidRPr="00E72418" w:rsidRDefault="00A91208" w:rsidP="00BD3A60">
      <w:pPr>
        <w:pStyle w:val="CC"/>
      </w:pPr>
      <w:bookmarkStart w:id="519" w:name="_Toc84541028"/>
      <w:r w:rsidRPr="00E72418">
        <w:t>Europe</w:t>
      </w:r>
      <w:bookmarkEnd w:id="519"/>
    </w:p>
    <w:p w14:paraId="4AC30D59" w14:textId="77777777" w:rsidR="00BD3A60" w:rsidRPr="00E72418" w:rsidRDefault="00BD3A60" w:rsidP="00BD3A60">
      <w:pPr>
        <w:pStyle w:val="Paragraphedeliste"/>
        <w:spacing w:after="0"/>
        <w:rPr>
          <w:rFonts w:ascii="Times New Roman" w:hAnsi="Times New Roman" w:cs="Times New Roman"/>
          <w:sz w:val="28"/>
          <w:szCs w:val="28"/>
        </w:rPr>
      </w:pPr>
    </w:p>
    <w:p w14:paraId="3DA15660" w14:textId="1E01EBE2" w:rsidR="00935CBA" w:rsidRPr="00E72418" w:rsidRDefault="00A91208" w:rsidP="00935CBA">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szCs w:val="24"/>
        </w:rPr>
        <w:t xml:space="preserve">Assemblée parlementaire du Conseil de l’Europe, </w:t>
      </w:r>
      <w:r w:rsidRPr="00E72418">
        <w:rPr>
          <w:rFonts w:ascii="Times New Roman" w:hAnsi="Times New Roman" w:cs="Times New Roman"/>
          <w:i/>
          <w:szCs w:val="24"/>
        </w:rPr>
        <w:t>Recommandation sur la protection de l’aide financière des États membres du Conseil de l’Europe aux pays pauvres contre les fonds financiers dits « fonds vautours »</w:t>
      </w:r>
      <w:r w:rsidRPr="00E72418">
        <w:rPr>
          <w:rFonts w:ascii="Times New Roman" w:hAnsi="Times New Roman" w:cs="Times New Roman"/>
          <w:szCs w:val="24"/>
        </w:rPr>
        <w:t>, 29 mai 2009, 1870 (2009)</w:t>
      </w:r>
    </w:p>
    <w:p w14:paraId="717B6967" w14:textId="77777777" w:rsidR="00935CBA" w:rsidRPr="00E72418" w:rsidRDefault="00935CBA" w:rsidP="00935CBA">
      <w:pPr>
        <w:pStyle w:val="Paragraphedeliste"/>
        <w:rPr>
          <w:rFonts w:ascii="Times New Roman" w:hAnsi="Times New Roman" w:cs="Times New Roman"/>
          <w:sz w:val="14"/>
          <w:szCs w:val="14"/>
        </w:rPr>
      </w:pPr>
    </w:p>
    <w:p w14:paraId="40BE930F" w14:textId="1B4B6416" w:rsidR="00935CBA" w:rsidRPr="00E72418" w:rsidRDefault="00935CBA" w:rsidP="00935CBA">
      <w:pPr>
        <w:pStyle w:val="Paragraphedeliste"/>
        <w:numPr>
          <w:ilvl w:val="0"/>
          <w:numId w:val="5"/>
        </w:numPr>
        <w:spacing w:after="0"/>
        <w:rPr>
          <w:rStyle w:val="SansinterligneCar"/>
          <w:rFonts w:ascii="Times New Roman" w:hAnsi="Times New Roman" w:cs="Times New Roman"/>
          <w:sz w:val="24"/>
          <w:szCs w:val="24"/>
        </w:rPr>
      </w:pPr>
      <w:r w:rsidRPr="00E72418">
        <w:rPr>
          <w:rFonts w:ascii="Times New Roman" w:hAnsi="Times New Roman" w:cs="Times New Roman"/>
          <w:szCs w:val="24"/>
        </w:rPr>
        <w:t xml:space="preserve">Conseil de l’Europe, </w:t>
      </w:r>
      <w:r w:rsidRPr="00E72418">
        <w:rPr>
          <w:rFonts w:ascii="Times New Roman" w:hAnsi="Times New Roman" w:cs="Times New Roman"/>
          <w:i/>
          <w:szCs w:val="24"/>
        </w:rPr>
        <w:t xml:space="preserve">Convention européenne sur les immunités des </w:t>
      </w:r>
      <w:r w:rsidRPr="00E72418">
        <w:rPr>
          <w:rFonts w:ascii="Times New Roman" w:hAnsi="Times New Roman" w:cs="Times New Roman"/>
          <w:i/>
          <w:szCs w:val="24"/>
          <w:lang w:eastAsia="fr-BE"/>
        </w:rPr>
        <w:t>É</w:t>
      </w:r>
      <w:r w:rsidRPr="00E72418">
        <w:rPr>
          <w:rFonts w:ascii="Times New Roman" w:hAnsi="Times New Roman" w:cs="Times New Roman"/>
          <w:i/>
          <w:szCs w:val="24"/>
        </w:rPr>
        <w:t>tats</w:t>
      </w:r>
      <w:r w:rsidRPr="00E72418">
        <w:rPr>
          <w:rFonts w:ascii="Times New Roman" w:hAnsi="Times New Roman" w:cs="Times New Roman"/>
          <w:szCs w:val="24"/>
        </w:rPr>
        <w:t xml:space="preserve">, </w:t>
      </w:r>
      <w:r w:rsidRPr="00E72418">
        <w:rPr>
          <w:rStyle w:val="SansinterligneCar"/>
          <w:rFonts w:ascii="Times New Roman" w:hAnsi="Times New Roman" w:cs="Times New Roman"/>
          <w:sz w:val="24"/>
          <w:szCs w:val="24"/>
        </w:rPr>
        <w:t>16 mai 1972</w:t>
      </w:r>
    </w:p>
    <w:p w14:paraId="49CFAE3E" w14:textId="77777777" w:rsidR="007E3E41" w:rsidRPr="00E72418" w:rsidRDefault="007E3E41" w:rsidP="007E3E41">
      <w:pPr>
        <w:pStyle w:val="Paragraphedeliste"/>
        <w:rPr>
          <w:rStyle w:val="SansinterligneCar"/>
          <w:rFonts w:ascii="Times New Roman" w:hAnsi="Times New Roman" w:cs="Times New Roman"/>
          <w:sz w:val="14"/>
          <w:szCs w:val="14"/>
        </w:rPr>
      </w:pPr>
    </w:p>
    <w:p w14:paraId="018FE490" w14:textId="3CC1B2F4" w:rsidR="007E3E41" w:rsidRPr="00E72418" w:rsidRDefault="007E3E41" w:rsidP="007E3E41">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szCs w:val="24"/>
        </w:rPr>
        <w:t xml:space="preserve">Conseil de l’Europe, </w:t>
      </w:r>
      <w:r w:rsidRPr="00E72418">
        <w:rPr>
          <w:rFonts w:ascii="Times New Roman" w:hAnsi="Times New Roman" w:cs="Times New Roman"/>
          <w:i/>
          <w:szCs w:val="24"/>
        </w:rPr>
        <w:t>Convention de sauvegarde des droits de l’homme et des libertés fondamentales</w:t>
      </w:r>
      <w:r w:rsidRPr="00E72418">
        <w:rPr>
          <w:rFonts w:ascii="Times New Roman" w:hAnsi="Times New Roman" w:cs="Times New Roman"/>
          <w:szCs w:val="24"/>
        </w:rPr>
        <w:t>, 4 novembre 1950</w:t>
      </w:r>
    </w:p>
    <w:p w14:paraId="08401FEA" w14:textId="77777777" w:rsidR="007E3E41" w:rsidRPr="00E72418" w:rsidRDefault="007E3E41" w:rsidP="007E3E41">
      <w:pPr>
        <w:pStyle w:val="Paragraphedeliste"/>
        <w:rPr>
          <w:rFonts w:ascii="Times New Roman" w:hAnsi="Times New Roman" w:cs="Times New Roman"/>
          <w:sz w:val="14"/>
          <w:szCs w:val="14"/>
        </w:rPr>
      </w:pPr>
    </w:p>
    <w:p w14:paraId="16DCB158" w14:textId="77777777" w:rsidR="00BD3A60" w:rsidRPr="00E72418" w:rsidRDefault="007E3E41" w:rsidP="007D7D59">
      <w:pPr>
        <w:pStyle w:val="Paragraphedeliste"/>
        <w:numPr>
          <w:ilvl w:val="0"/>
          <w:numId w:val="5"/>
        </w:numPr>
        <w:spacing w:after="0"/>
        <w:rPr>
          <w:rFonts w:ascii="Times New Roman" w:eastAsiaTheme="majorEastAsia" w:hAnsi="Times New Roman" w:cs="Times New Roman"/>
          <w:szCs w:val="24"/>
        </w:rPr>
      </w:pPr>
      <w:r w:rsidRPr="00E72418">
        <w:rPr>
          <w:rFonts w:ascii="Times New Roman" w:hAnsi="Times New Roman" w:cs="Times New Roman"/>
          <w:szCs w:val="24"/>
        </w:rPr>
        <w:t xml:space="preserve">Conseil de l’Europe, </w:t>
      </w:r>
      <w:r w:rsidRPr="00E72418">
        <w:rPr>
          <w:rFonts w:ascii="Times New Roman" w:hAnsi="Times New Roman" w:cs="Times New Roman"/>
          <w:i/>
          <w:szCs w:val="24"/>
        </w:rPr>
        <w:t>Premier Protocole additionnel à la Convention de sauvegarde des droits de l’homme et des libertés fondamentales</w:t>
      </w:r>
      <w:r w:rsidRPr="00E72418">
        <w:rPr>
          <w:rFonts w:ascii="Times New Roman" w:hAnsi="Times New Roman" w:cs="Times New Roman"/>
          <w:szCs w:val="24"/>
        </w:rPr>
        <w:t xml:space="preserve">, 20 mars 1952 </w:t>
      </w:r>
      <w:bookmarkStart w:id="520" w:name="_Toc84541029"/>
    </w:p>
    <w:p w14:paraId="132AD55A" w14:textId="56625A2B" w:rsidR="00BD3A60" w:rsidRPr="00E72418" w:rsidRDefault="00BD3A60" w:rsidP="00BD3A60">
      <w:pPr>
        <w:pStyle w:val="Paragraphedeliste"/>
        <w:rPr>
          <w:rStyle w:val="Titre5Car"/>
          <w:rFonts w:ascii="Times New Roman" w:hAnsi="Times New Roman" w:cs="Times New Roman"/>
          <w:color w:val="auto"/>
          <w:sz w:val="14"/>
          <w:szCs w:val="14"/>
        </w:rPr>
      </w:pPr>
    </w:p>
    <w:p w14:paraId="162A17C3" w14:textId="77777777" w:rsidR="00BD3A60" w:rsidRPr="00E72418" w:rsidRDefault="00BD3A60" w:rsidP="00BD3A60">
      <w:pPr>
        <w:pStyle w:val="Paragraphedeliste"/>
        <w:rPr>
          <w:rStyle w:val="Titre5Car"/>
          <w:rFonts w:ascii="Times New Roman" w:hAnsi="Times New Roman" w:cs="Times New Roman"/>
          <w:color w:val="auto"/>
          <w:sz w:val="14"/>
          <w:szCs w:val="14"/>
        </w:rPr>
      </w:pPr>
    </w:p>
    <w:p w14:paraId="7D0B3C53" w14:textId="72B6355F" w:rsidR="00BD3A60" w:rsidRPr="00E72418" w:rsidRDefault="007E3E41" w:rsidP="00BE216B">
      <w:pPr>
        <w:pStyle w:val="Paragraphedeliste"/>
        <w:numPr>
          <w:ilvl w:val="0"/>
          <w:numId w:val="5"/>
        </w:numPr>
        <w:spacing w:after="0"/>
        <w:rPr>
          <w:rFonts w:ascii="Times New Roman" w:eastAsiaTheme="majorEastAsia" w:hAnsi="Times New Roman" w:cs="Times New Roman"/>
          <w:szCs w:val="24"/>
        </w:rPr>
      </w:pPr>
      <w:r w:rsidRPr="00E72418">
        <w:rPr>
          <w:rStyle w:val="Titre5Car"/>
          <w:rFonts w:ascii="Times New Roman" w:hAnsi="Times New Roman" w:cs="Times New Roman"/>
          <w:color w:val="auto"/>
          <w:szCs w:val="24"/>
        </w:rPr>
        <w:t>Parlement européen,</w:t>
      </w:r>
      <w:bookmarkEnd w:id="520"/>
      <w:r w:rsidRPr="00E72418">
        <w:rPr>
          <w:rStyle w:val="Titre5Car"/>
          <w:rFonts w:ascii="Times New Roman" w:hAnsi="Times New Roman" w:cs="Times New Roman"/>
          <w:color w:val="auto"/>
          <w:szCs w:val="24"/>
        </w:rPr>
        <w:t xml:space="preserve"> </w:t>
      </w:r>
      <w:r w:rsidRPr="00E72418">
        <w:rPr>
          <w:rFonts w:ascii="Times New Roman" w:hAnsi="Times New Roman" w:cs="Times New Roman"/>
          <w:i/>
          <w:szCs w:val="24"/>
        </w:rPr>
        <w:t>Résolution</w:t>
      </w:r>
      <w:r w:rsidRPr="00E72418">
        <w:rPr>
          <w:rStyle w:val="Titre5Car"/>
          <w:rFonts w:ascii="Times New Roman" w:hAnsi="Times New Roman" w:cs="Times New Roman"/>
          <w:i/>
          <w:color w:val="auto"/>
          <w:szCs w:val="24"/>
        </w:rPr>
        <w:t xml:space="preserve"> sur l’amélioration de la viabilité de la dette des pays en développement</w:t>
      </w:r>
      <w:r w:rsidRPr="00E72418">
        <w:rPr>
          <w:rStyle w:val="Titre5Car"/>
          <w:rFonts w:ascii="Times New Roman" w:hAnsi="Times New Roman" w:cs="Times New Roman"/>
          <w:color w:val="auto"/>
          <w:szCs w:val="24"/>
        </w:rPr>
        <w:t>, 17 avril 2018, 2016/2241(INI)</w:t>
      </w:r>
    </w:p>
    <w:p w14:paraId="57F206F4" w14:textId="402E5940" w:rsidR="00BD3A60" w:rsidRPr="00E72418" w:rsidRDefault="00BD3A60" w:rsidP="00BD3A60">
      <w:pPr>
        <w:pStyle w:val="Paragraphedeliste"/>
        <w:rPr>
          <w:rFonts w:ascii="Times New Roman" w:hAnsi="Times New Roman" w:cs="Times New Roman"/>
          <w:sz w:val="14"/>
          <w:szCs w:val="14"/>
        </w:rPr>
      </w:pPr>
    </w:p>
    <w:p w14:paraId="4D22B9A7" w14:textId="77777777" w:rsidR="00BE216B" w:rsidRPr="00E72418" w:rsidRDefault="00BE216B" w:rsidP="00BD3A60">
      <w:pPr>
        <w:pStyle w:val="Paragraphedeliste"/>
        <w:rPr>
          <w:rFonts w:ascii="Times New Roman" w:hAnsi="Times New Roman" w:cs="Times New Roman"/>
          <w:sz w:val="14"/>
          <w:szCs w:val="14"/>
        </w:rPr>
      </w:pPr>
    </w:p>
    <w:p w14:paraId="33DE4B0E" w14:textId="53251A96" w:rsidR="00A91208" w:rsidRDefault="00A91208" w:rsidP="00B03198">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szCs w:val="24"/>
        </w:rPr>
        <w:lastRenderedPageBreak/>
        <w:t xml:space="preserve">Règlement n° 1215/2012 du 12 décembre 2012 concernant la compétence judiciaire, la reconnaissance et l’exécution des décisions en matière civile et commerciale, dit </w:t>
      </w:r>
      <w:r w:rsidR="00324D7C" w:rsidRPr="00E72418">
        <w:rPr>
          <w:rFonts w:ascii="Times New Roman" w:hAnsi="Times New Roman" w:cs="Times New Roman"/>
          <w:szCs w:val="24"/>
        </w:rPr>
        <w:t>« </w:t>
      </w:r>
      <w:r w:rsidRPr="00E72418">
        <w:rPr>
          <w:rFonts w:ascii="Times New Roman" w:hAnsi="Times New Roman" w:cs="Times New Roman"/>
          <w:szCs w:val="24"/>
        </w:rPr>
        <w:t>règlement Bruxelles I</w:t>
      </w:r>
      <w:r w:rsidRPr="00E72418">
        <w:rPr>
          <w:rFonts w:ascii="Times New Roman" w:hAnsi="Times New Roman" w:cs="Times New Roman"/>
          <w:i/>
          <w:szCs w:val="24"/>
        </w:rPr>
        <w:t>bis</w:t>
      </w:r>
      <w:r w:rsidR="00324D7C" w:rsidRPr="00E72418">
        <w:rPr>
          <w:rFonts w:ascii="Times New Roman" w:hAnsi="Times New Roman" w:cs="Times New Roman"/>
          <w:szCs w:val="24"/>
        </w:rPr>
        <w:t> »</w:t>
      </w:r>
    </w:p>
    <w:p w14:paraId="5179CAD3" w14:textId="77777777" w:rsidR="00B03198" w:rsidRPr="00B03198" w:rsidRDefault="00B03198" w:rsidP="00B03198">
      <w:pPr>
        <w:pStyle w:val="Paragraphedeliste"/>
        <w:spacing w:after="0"/>
        <w:rPr>
          <w:rFonts w:ascii="Times New Roman" w:hAnsi="Times New Roman" w:cs="Times New Roman"/>
          <w:sz w:val="14"/>
          <w:szCs w:val="14"/>
        </w:rPr>
      </w:pPr>
    </w:p>
    <w:p w14:paraId="6BF4E2AA" w14:textId="1E55CE9B" w:rsidR="007E3E41" w:rsidRDefault="00A91208" w:rsidP="00B03198">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szCs w:val="24"/>
        </w:rPr>
        <w:t xml:space="preserve">Règlement n° 593/2008 du 17 juin 2008 sur la loi applicable aux obligations contractuelles, dit </w:t>
      </w:r>
      <w:r w:rsidR="00324D7C" w:rsidRPr="00E72418">
        <w:rPr>
          <w:rFonts w:ascii="Times New Roman" w:hAnsi="Times New Roman" w:cs="Times New Roman"/>
          <w:szCs w:val="24"/>
        </w:rPr>
        <w:t>« </w:t>
      </w:r>
      <w:r w:rsidRPr="00E72418">
        <w:rPr>
          <w:rFonts w:ascii="Times New Roman" w:hAnsi="Times New Roman" w:cs="Times New Roman"/>
          <w:szCs w:val="24"/>
        </w:rPr>
        <w:t>règlement Rome I</w:t>
      </w:r>
      <w:r w:rsidR="00324D7C" w:rsidRPr="00E72418">
        <w:rPr>
          <w:rFonts w:ascii="Times New Roman" w:hAnsi="Times New Roman" w:cs="Times New Roman"/>
          <w:szCs w:val="24"/>
        </w:rPr>
        <w:t> »</w:t>
      </w:r>
    </w:p>
    <w:p w14:paraId="5CE3D850" w14:textId="0ED2C21D" w:rsidR="00B03198" w:rsidRDefault="00B03198" w:rsidP="00B03198">
      <w:pPr>
        <w:spacing w:after="0"/>
        <w:rPr>
          <w:rFonts w:ascii="Times New Roman" w:hAnsi="Times New Roman" w:cs="Times New Roman"/>
          <w:sz w:val="14"/>
          <w:szCs w:val="14"/>
        </w:rPr>
      </w:pPr>
    </w:p>
    <w:p w14:paraId="466D8869" w14:textId="77777777" w:rsidR="00B03198" w:rsidRPr="00B03198" w:rsidRDefault="00B03198" w:rsidP="00B03198">
      <w:pPr>
        <w:spacing w:after="0"/>
        <w:rPr>
          <w:rFonts w:ascii="Times New Roman" w:hAnsi="Times New Roman" w:cs="Times New Roman"/>
          <w:sz w:val="14"/>
          <w:szCs w:val="14"/>
        </w:rPr>
      </w:pPr>
    </w:p>
    <w:p w14:paraId="6E855050" w14:textId="7876E248" w:rsidR="00A91208" w:rsidRPr="00E72418" w:rsidRDefault="00A91208" w:rsidP="007E3E41">
      <w:pPr>
        <w:pStyle w:val="Paragraphedeliste"/>
        <w:numPr>
          <w:ilvl w:val="0"/>
          <w:numId w:val="5"/>
        </w:numPr>
        <w:spacing w:after="0"/>
        <w:rPr>
          <w:rFonts w:ascii="Times New Roman" w:hAnsi="Times New Roman" w:cs="Times New Roman"/>
          <w:szCs w:val="24"/>
        </w:rPr>
      </w:pPr>
      <w:r w:rsidRPr="00E72418">
        <w:rPr>
          <w:rFonts w:ascii="Times New Roman" w:hAnsi="Times New Roman" w:cs="Times New Roman"/>
          <w:szCs w:val="24"/>
        </w:rPr>
        <w:t>Charte des droits fondamentaux de l’Union européenne</w:t>
      </w:r>
      <w:r w:rsidR="00935CBA" w:rsidRPr="00E72418">
        <w:rPr>
          <w:rFonts w:ascii="Times New Roman" w:hAnsi="Times New Roman" w:cs="Times New Roman"/>
          <w:szCs w:val="24"/>
        </w:rPr>
        <w:t xml:space="preserve">, </w:t>
      </w:r>
      <w:r w:rsidR="007E3E41" w:rsidRPr="00E72418">
        <w:rPr>
          <w:rFonts w:ascii="Times New Roman" w:hAnsi="Times New Roman" w:cs="Times New Roman"/>
          <w:szCs w:val="24"/>
        </w:rPr>
        <w:t>7 décembre 2000</w:t>
      </w:r>
      <w:r w:rsidR="00935CBA" w:rsidRPr="00E72418">
        <w:rPr>
          <w:rFonts w:ascii="Times New Roman" w:hAnsi="Times New Roman" w:cs="Times New Roman"/>
          <w:szCs w:val="24"/>
        </w:rPr>
        <w:t>, 2012/C 326/02</w:t>
      </w:r>
    </w:p>
    <w:p w14:paraId="0B670660" w14:textId="356BE76B" w:rsidR="00A91208" w:rsidRPr="00E72418" w:rsidRDefault="00A91208" w:rsidP="00A91208">
      <w:pPr>
        <w:pStyle w:val="Paragraphedeliste"/>
        <w:rPr>
          <w:rFonts w:ascii="Times New Roman" w:hAnsi="Times New Roman" w:cs="Times New Roman"/>
          <w:szCs w:val="24"/>
          <w:highlight w:val="magenta"/>
        </w:rPr>
      </w:pPr>
    </w:p>
    <w:p w14:paraId="0799C240" w14:textId="77777777" w:rsidR="00AA100C" w:rsidRPr="00E72418" w:rsidRDefault="00AA100C" w:rsidP="00A91208">
      <w:pPr>
        <w:pStyle w:val="Paragraphedeliste"/>
        <w:rPr>
          <w:rFonts w:ascii="Times New Roman" w:hAnsi="Times New Roman" w:cs="Times New Roman"/>
          <w:szCs w:val="24"/>
          <w:highlight w:val="magenta"/>
        </w:rPr>
      </w:pPr>
    </w:p>
    <w:p w14:paraId="1F3EB6AB" w14:textId="311BF4EC" w:rsidR="00BD3A60" w:rsidRPr="00E72418" w:rsidRDefault="00BD3A60" w:rsidP="00BD3A60">
      <w:pPr>
        <w:pStyle w:val="CC"/>
      </w:pPr>
      <w:r w:rsidRPr="00E72418">
        <w:t>Belgique</w:t>
      </w:r>
    </w:p>
    <w:p w14:paraId="39754DB9" w14:textId="77777777" w:rsidR="00BD3A60" w:rsidRPr="00E72418" w:rsidRDefault="00BD3A60" w:rsidP="00BD3A60">
      <w:pPr>
        <w:pStyle w:val="Paragraphedeliste"/>
        <w:spacing w:after="0"/>
        <w:rPr>
          <w:rFonts w:ascii="Times New Roman" w:hAnsi="Times New Roman" w:cs="Times New Roman"/>
          <w:sz w:val="28"/>
          <w:szCs w:val="28"/>
        </w:rPr>
      </w:pPr>
    </w:p>
    <w:p w14:paraId="1AA50F3E" w14:textId="7E2DADE6"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bCs/>
          <w:szCs w:val="24"/>
        </w:rPr>
        <w:t>Loi du 23 août 2015 insérant dans le Code judiciaire un article 1412</w:t>
      </w:r>
      <w:r w:rsidRPr="00E72418">
        <w:rPr>
          <w:rFonts w:ascii="Times New Roman" w:hAnsi="Times New Roman" w:cs="Times New Roman"/>
          <w:bCs/>
          <w:i/>
          <w:szCs w:val="24"/>
        </w:rPr>
        <w:t>quinquies</w:t>
      </w:r>
      <w:r w:rsidRPr="00E72418">
        <w:rPr>
          <w:rFonts w:ascii="Times New Roman" w:hAnsi="Times New Roman" w:cs="Times New Roman"/>
          <w:bCs/>
          <w:szCs w:val="24"/>
        </w:rPr>
        <w:t xml:space="preserve"> régissant la saisie de biens appartenant à une puissance étrangère ou à une organisation supranationale ou internationale de droit public</w:t>
      </w:r>
    </w:p>
    <w:p w14:paraId="49468D79" w14:textId="77777777" w:rsidR="00AA100C" w:rsidRPr="00E72418" w:rsidRDefault="00AA100C" w:rsidP="00AA100C">
      <w:pPr>
        <w:pStyle w:val="Paragraphedeliste"/>
        <w:rPr>
          <w:rFonts w:ascii="Times New Roman" w:hAnsi="Times New Roman" w:cs="Times New Roman"/>
          <w:sz w:val="14"/>
          <w:szCs w:val="14"/>
        </w:rPr>
      </w:pPr>
    </w:p>
    <w:p w14:paraId="32AE2D87"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t>Loi du 12 juillet 2015 relative à la lutte contre les activités des fonds vautours</w:t>
      </w:r>
    </w:p>
    <w:p w14:paraId="5F157453" w14:textId="77777777" w:rsidR="00AA100C" w:rsidRPr="00E72418" w:rsidRDefault="00AA100C" w:rsidP="00AA100C">
      <w:pPr>
        <w:pStyle w:val="Paragraphedeliste"/>
        <w:rPr>
          <w:rFonts w:ascii="Times New Roman" w:hAnsi="Times New Roman" w:cs="Times New Roman"/>
          <w:sz w:val="14"/>
          <w:szCs w:val="14"/>
        </w:rPr>
      </w:pPr>
    </w:p>
    <w:p w14:paraId="551C7DA7"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Loi du 19 mars 2013 relative à la Coopération belge au Développement</w:t>
      </w:r>
    </w:p>
    <w:p w14:paraId="410D3FEB" w14:textId="77777777" w:rsidR="00AA100C" w:rsidRPr="00E72418" w:rsidRDefault="00AA100C" w:rsidP="00AA100C">
      <w:pPr>
        <w:pStyle w:val="Paragraphedeliste"/>
        <w:rPr>
          <w:rFonts w:ascii="Times New Roman" w:hAnsi="Times New Roman" w:cs="Times New Roman"/>
          <w:sz w:val="14"/>
          <w:szCs w:val="14"/>
        </w:rPr>
      </w:pPr>
    </w:p>
    <w:p w14:paraId="3459E274"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Loi du 24 juillet 2008 modifiant le Code judiciaire en vue d’instituer une immunité d’exécution à l’égard des avoirs de banques centrales étrangères et d’autorités monétaires internationales</w:t>
      </w:r>
    </w:p>
    <w:p w14:paraId="77514BF0" w14:textId="77777777" w:rsidR="00AA100C" w:rsidRPr="00E72418" w:rsidRDefault="00AA100C" w:rsidP="00AA100C">
      <w:pPr>
        <w:pStyle w:val="Paragraphedeliste"/>
        <w:rPr>
          <w:rFonts w:ascii="Times New Roman" w:hAnsi="Times New Roman" w:cs="Times New Roman"/>
          <w:sz w:val="14"/>
          <w:szCs w:val="14"/>
        </w:rPr>
      </w:pPr>
    </w:p>
    <w:p w14:paraId="04DB2130"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Loi du 6 avril 2008 visant à empêcher la saisie ou la cession des fonds publics destinés à la coopération internationale, notamment par la technique des fonds vautours</w:t>
      </w:r>
    </w:p>
    <w:p w14:paraId="6594F099" w14:textId="77777777" w:rsidR="00AA100C" w:rsidRPr="00E72418" w:rsidRDefault="00AA100C" w:rsidP="00AA100C">
      <w:pPr>
        <w:pStyle w:val="Paragraphedeliste"/>
        <w:rPr>
          <w:rFonts w:ascii="Times New Roman" w:hAnsi="Times New Roman" w:cs="Times New Roman"/>
          <w:sz w:val="14"/>
          <w:szCs w:val="14"/>
        </w:rPr>
      </w:pPr>
    </w:p>
    <w:p w14:paraId="1DDF0656"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Loi du 19 novembre 2004 modifiant la loi du 22 mars 1993 relative au statut et au contrôle des établissements de crédit, la loi du 9 juillet 1975 relative au contrôle des entreprises d’assurances, la loi du 2 août 2002 relative à la surveillance du secteur financier et aux services financiers et la loi du 28 avril 1999 visant à transposer la Directive 98/26/CE du 19 mai 1998 concernant le caractère définitif du règlement dans les systèmes de paiement et de règlement des opérations sur titres</w:t>
      </w:r>
    </w:p>
    <w:p w14:paraId="1002C22C" w14:textId="77777777" w:rsidR="00AA100C" w:rsidRPr="00E72418" w:rsidRDefault="00AA100C" w:rsidP="00AA100C">
      <w:pPr>
        <w:pStyle w:val="Paragraphedeliste"/>
        <w:rPr>
          <w:rFonts w:ascii="Times New Roman" w:hAnsi="Times New Roman" w:cs="Times New Roman"/>
          <w:sz w:val="14"/>
          <w:szCs w:val="14"/>
        </w:rPr>
      </w:pPr>
    </w:p>
    <w:p w14:paraId="54DFDCE9"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Loi du 14 juin 2004 modifiant le Code judiciaire en vue d’instituer une immunité d’exécution à l’égard des biens culturels étrangers exposés publiquement en Belgique</w:t>
      </w:r>
    </w:p>
    <w:p w14:paraId="2B2AC910" w14:textId="77777777" w:rsidR="00AA100C" w:rsidRPr="00E72418" w:rsidRDefault="00AA100C" w:rsidP="00AA100C">
      <w:pPr>
        <w:pStyle w:val="Paragraphedeliste"/>
        <w:rPr>
          <w:rFonts w:ascii="Times New Roman" w:hAnsi="Times New Roman" w:cs="Times New Roman"/>
          <w:sz w:val="14"/>
          <w:szCs w:val="14"/>
        </w:rPr>
      </w:pPr>
    </w:p>
    <w:p w14:paraId="23702C4D" w14:textId="77777777" w:rsidR="00AA100C" w:rsidRPr="00E72418" w:rsidRDefault="00AA100C"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 xml:space="preserve">Loi du 3 juin 1964 modifiant l’arrêté royal n° 42 du 31 août 1939 réorganisant l’Office national du Ducroire et autorisant le Ministre des Finances et le Ministre qui a les relations commerciales extérieures dans ses attributions, à consentir des prêts à des </w:t>
      </w:r>
      <w:r w:rsidRPr="00E72418">
        <w:rPr>
          <w:rFonts w:ascii="Times New Roman" w:hAnsi="Times New Roman" w:cs="Times New Roman"/>
          <w:szCs w:val="24"/>
          <w:lang w:eastAsia="fr-BE"/>
        </w:rPr>
        <w:t>É</w:t>
      </w:r>
      <w:r w:rsidRPr="00E72418">
        <w:rPr>
          <w:rFonts w:ascii="Times New Roman" w:hAnsi="Times New Roman" w:cs="Times New Roman"/>
          <w:szCs w:val="24"/>
        </w:rPr>
        <w:t>tats ou à des organismes étrangers</w:t>
      </w:r>
    </w:p>
    <w:p w14:paraId="6A5748BA" w14:textId="400BAA45" w:rsidR="00AA100C" w:rsidRPr="00E72418" w:rsidRDefault="00AA100C" w:rsidP="00A91208">
      <w:pPr>
        <w:pStyle w:val="Paragraphedeliste"/>
        <w:rPr>
          <w:rFonts w:ascii="Times New Roman" w:hAnsi="Times New Roman" w:cs="Times New Roman"/>
          <w:szCs w:val="24"/>
          <w:highlight w:val="magenta"/>
        </w:rPr>
      </w:pPr>
    </w:p>
    <w:p w14:paraId="435914A3" w14:textId="10C46EB7" w:rsidR="00BF7DBF" w:rsidRPr="00E72418" w:rsidRDefault="00324D7C" w:rsidP="00BD3A60">
      <w:pPr>
        <w:pStyle w:val="CC"/>
        <w:rPr>
          <w:rStyle w:val="Titre5Car"/>
          <w:rFonts w:ascii="Times" w:hAnsi="Times"/>
          <w:color w:val="auto"/>
        </w:rPr>
      </w:pPr>
      <w:r w:rsidRPr="00E72418">
        <w:rPr>
          <w:rStyle w:val="Titre5Car"/>
          <w:rFonts w:ascii="Times" w:hAnsi="Times"/>
          <w:color w:val="auto"/>
        </w:rPr>
        <w:t>Royaume-Uni et dépendances</w:t>
      </w:r>
    </w:p>
    <w:p w14:paraId="6C7F4411" w14:textId="77777777" w:rsidR="00BD3A60" w:rsidRPr="00E72418" w:rsidRDefault="00BD3A60" w:rsidP="00BD3A60">
      <w:pPr>
        <w:pStyle w:val="Paragraphedeliste"/>
        <w:spacing w:after="0"/>
        <w:rPr>
          <w:rFonts w:ascii="Times New Roman" w:hAnsi="Times New Roman" w:cs="Times New Roman"/>
          <w:i/>
          <w:sz w:val="28"/>
          <w:szCs w:val="28"/>
          <w:lang w:val="en-US"/>
        </w:rPr>
      </w:pPr>
    </w:p>
    <w:p w14:paraId="644B643C" w14:textId="77777777" w:rsidR="00BF7DBF" w:rsidRPr="00E72418" w:rsidRDefault="00BF7DBF" w:rsidP="00BF7DBF">
      <w:pPr>
        <w:pStyle w:val="Paragraphedeliste"/>
        <w:numPr>
          <w:ilvl w:val="0"/>
          <w:numId w:val="6"/>
        </w:numPr>
        <w:spacing w:after="0"/>
        <w:rPr>
          <w:rFonts w:ascii="Times New Roman" w:hAnsi="Times New Roman" w:cs="Times New Roman"/>
          <w:i/>
          <w:szCs w:val="24"/>
          <w:lang w:val="en-US"/>
        </w:rPr>
      </w:pPr>
      <w:r w:rsidRPr="00E72418">
        <w:rPr>
          <w:i/>
        </w:rPr>
        <w:t>Debt Relief (Developing Countries) (Jersey) Law 2013</w:t>
      </w:r>
    </w:p>
    <w:p w14:paraId="09657D47" w14:textId="77777777" w:rsidR="00BF7DBF" w:rsidRPr="00E72418" w:rsidRDefault="00BF7DBF" w:rsidP="00BF7DBF">
      <w:pPr>
        <w:pStyle w:val="Paragraphedeliste"/>
        <w:rPr>
          <w:i/>
          <w:sz w:val="14"/>
          <w:szCs w:val="14"/>
        </w:rPr>
      </w:pPr>
    </w:p>
    <w:p w14:paraId="6CD8D0A0" w14:textId="71F1CCD1" w:rsidR="00BF7DBF" w:rsidRPr="00E72418" w:rsidRDefault="00BF7DBF" w:rsidP="00BF7DBF">
      <w:pPr>
        <w:pStyle w:val="Paragraphedeliste"/>
        <w:numPr>
          <w:ilvl w:val="0"/>
          <w:numId w:val="6"/>
        </w:numPr>
        <w:spacing w:after="0"/>
        <w:rPr>
          <w:rFonts w:ascii="Times New Roman" w:hAnsi="Times New Roman" w:cs="Times New Roman"/>
          <w:i/>
          <w:szCs w:val="24"/>
          <w:lang w:val="en-US"/>
        </w:rPr>
      </w:pPr>
      <w:r w:rsidRPr="00E72418">
        <w:rPr>
          <w:i/>
        </w:rPr>
        <w:t>Debt Relief (Developing Countries) (Guernsey and Alderney) Law 2013</w:t>
      </w:r>
    </w:p>
    <w:p w14:paraId="0ED60230" w14:textId="77777777" w:rsidR="00BF7DBF" w:rsidRPr="00E72418" w:rsidRDefault="00BF7DBF" w:rsidP="00BF7DBF">
      <w:pPr>
        <w:pStyle w:val="Paragraphedeliste"/>
        <w:spacing w:line="276" w:lineRule="auto"/>
        <w:rPr>
          <w:sz w:val="14"/>
          <w:szCs w:val="14"/>
        </w:rPr>
      </w:pPr>
    </w:p>
    <w:p w14:paraId="0CE268C1" w14:textId="77777777" w:rsidR="00BF7DBF" w:rsidRPr="00E72418" w:rsidRDefault="00BF7DBF" w:rsidP="00BF7DBF">
      <w:pPr>
        <w:pStyle w:val="Paragraphedeliste"/>
        <w:numPr>
          <w:ilvl w:val="0"/>
          <w:numId w:val="6"/>
        </w:numPr>
        <w:spacing w:line="276" w:lineRule="auto"/>
      </w:pPr>
      <w:r w:rsidRPr="00E72418">
        <w:rPr>
          <w:i/>
        </w:rPr>
        <w:t>Heavily Indebted Poor Countries (Limitation on Debt Recovery) (Isle of Man) Act 2012</w:t>
      </w:r>
    </w:p>
    <w:p w14:paraId="4E3ECA9B" w14:textId="77777777" w:rsidR="00BF7DBF" w:rsidRPr="00E72418" w:rsidRDefault="00BF7DBF" w:rsidP="00BF7DBF">
      <w:pPr>
        <w:pStyle w:val="Paragraphedeliste"/>
        <w:rPr>
          <w:rFonts w:ascii="Times New Roman" w:hAnsi="Times New Roman" w:cs="Times New Roman"/>
          <w:i/>
          <w:sz w:val="14"/>
          <w:szCs w:val="14"/>
          <w:lang w:val="en-US"/>
        </w:rPr>
      </w:pPr>
    </w:p>
    <w:p w14:paraId="5261ADD6" w14:textId="77777777" w:rsidR="00BF7DBF" w:rsidRPr="00E72418" w:rsidRDefault="00A91208" w:rsidP="007D7D59">
      <w:pPr>
        <w:pStyle w:val="Paragraphedeliste"/>
        <w:numPr>
          <w:ilvl w:val="0"/>
          <w:numId w:val="6"/>
        </w:numPr>
        <w:spacing w:after="0" w:line="276" w:lineRule="auto"/>
        <w:rPr>
          <w:rFonts w:ascii="Times New Roman" w:hAnsi="Times New Roman" w:cs="Times New Roman"/>
          <w:szCs w:val="24"/>
        </w:rPr>
      </w:pPr>
      <w:r w:rsidRPr="00E72418">
        <w:rPr>
          <w:rFonts w:ascii="Times New Roman" w:hAnsi="Times New Roman" w:cs="Times New Roman"/>
          <w:i/>
          <w:szCs w:val="24"/>
          <w:lang w:val="en-US"/>
        </w:rPr>
        <w:t>Debt Relief (Developing Countries) Act 2010 (Permanent Effect) Order 2011</w:t>
      </w:r>
    </w:p>
    <w:p w14:paraId="2DD38ABF" w14:textId="77777777" w:rsidR="00BF7DBF" w:rsidRPr="00E72418" w:rsidRDefault="00BF7DBF" w:rsidP="00BF7DBF">
      <w:pPr>
        <w:pStyle w:val="Paragraphedeliste"/>
        <w:rPr>
          <w:rFonts w:ascii="Times New Roman" w:hAnsi="Times New Roman" w:cs="Times New Roman"/>
          <w:i/>
          <w:sz w:val="14"/>
          <w:szCs w:val="14"/>
          <w:lang w:val="en-US"/>
        </w:rPr>
      </w:pPr>
    </w:p>
    <w:p w14:paraId="24C81424" w14:textId="7C834101" w:rsidR="00BF7DBF" w:rsidRPr="00E72418" w:rsidRDefault="00BF7DBF" w:rsidP="007D7D59">
      <w:pPr>
        <w:pStyle w:val="Paragraphedeliste"/>
        <w:numPr>
          <w:ilvl w:val="0"/>
          <w:numId w:val="6"/>
        </w:numPr>
        <w:spacing w:after="0" w:line="276" w:lineRule="auto"/>
        <w:rPr>
          <w:rFonts w:ascii="Times New Roman" w:hAnsi="Times New Roman" w:cs="Times New Roman"/>
          <w:szCs w:val="24"/>
        </w:rPr>
      </w:pPr>
      <w:r w:rsidRPr="00E72418">
        <w:rPr>
          <w:rFonts w:ascii="Times New Roman" w:hAnsi="Times New Roman" w:cs="Times New Roman"/>
          <w:i/>
          <w:szCs w:val="24"/>
          <w:lang w:val="en-US"/>
        </w:rPr>
        <w:lastRenderedPageBreak/>
        <w:t>Debt Relief (Developing Countries) Act 2010</w:t>
      </w:r>
    </w:p>
    <w:p w14:paraId="06214307" w14:textId="77777777" w:rsidR="00BF7DBF" w:rsidRPr="00E72418" w:rsidRDefault="00BF7DBF" w:rsidP="00BF7DBF">
      <w:pPr>
        <w:pStyle w:val="Paragraphedeliste"/>
        <w:rPr>
          <w:rFonts w:ascii="Times New Roman" w:hAnsi="Times New Roman" w:cs="Times New Roman"/>
          <w:sz w:val="14"/>
          <w:szCs w:val="14"/>
        </w:rPr>
      </w:pPr>
    </w:p>
    <w:p w14:paraId="3C36B635" w14:textId="23DC9B08" w:rsidR="00BF7DBF" w:rsidRPr="00636B94" w:rsidRDefault="00BF7DBF" w:rsidP="00636B94">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i/>
          <w:szCs w:val="24"/>
        </w:rPr>
        <w:t>State Immunity Act</w:t>
      </w:r>
      <w:r w:rsidRPr="00E72418">
        <w:rPr>
          <w:rFonts w:ascii="Times New Roman" w:hAnsi="Times New Roman" w:cs="Times New Roman"/>
          <w:szCs w:val="24"/>
        </w:rPr>
        <w:t xml:space="preserve">, </w:t>
      </w:r>
      <w:r w:rsidRPr="00E72418">
        <w:rPr>
          <w:rFonts w:ascii="Times New Roman" w:hAnsi="Times New Roman" w:cs="Times New Roman"/>
          <w:szCs w:val="24"/>
          <w:lang w:val="en-US"/>
        </w:rPr>
        <w:t>20 juillet 1978</w:t>
      </w:r>
    </w:p>
    <w:p w14:paraId="79CDCC6E" w14:textId="75D274B4" w:rsidR="00A91208" w:rsidRPr="00E72418" w:rsidRDefault="00A91208" w:rsidP="00A91208">
      <w:pPr>
        <w:pStyle w:val="Paragraphedeliste"/>
        <w:rPr>
          <w:rFonts w:ascii="Times New Roman" w:hAnsi="Times New Roman" w:cs="Times New Roman"/>
          <w:sz w:val="14"/>
          <w:szCs w:val="14"/>
          <w:lang w:val="en-US"/>
        </w:rPr>
      </w:pPr>
    </w:p>
    <w:p w14:paraId="25D424B7" w14:textId="77777777" w:rsidR="00BF7DBF" w:rsidRPr="00E72418" w:rsidRDefault="00BF7DBF" w:rsidP="00A91208">
      <w:pPr>
        <w:pStyle w:val="Paragraphedeliste"/>
        <w:rPr>
          <w:rFonts w:ascii="Times New Roman" w:hAnsi="Times New Roman" w:cs="Times New Roman"/>
          <w:sz w:val="14"/>
          <w:szCs w:val="14"/>
          <w:lang w:val="en-US"/>
        </w:rPr>
      </w:pPr>
    </w:p>
    <w:p w14:paraId="67289CF5" w14:textId="55055E22" w:rsidR="00A91208" w:rsidRPr="00E72418" w:rsidRDefault="00A91208" w:rsidP="008D1D70">
      <w:pPr>
        <w:pStyle w:val="Paragraphedeliste"/>
        <w:numPr>
          <w:ilvl w:val="0"/>
          <w:numId w:val="6"/>
        </w:numPr>
        <w:spacing w:after="0"/>
        <w:rPr>
          <w:rFonts w:ascii="Times New Roman" w:hAnsi="Times New Roman" w:cs="Times New Roman"/>
          <w:szCs w:val="24"/>
          <w:lang w:val="nl-NL"/>
        </w:rPr>
      </w:pPr>
      <w:r w:rsidRPr="00E72418">
        <w:rPr>
          <w:rFonts w:ascii="Times New Roman" w:hAnsi="Times New Roman" w:cs="Times New Roman"/>
          <w:i/>
          <w:szCs w:val="24"/>
          <w:lang w:val="en-US"/>
        </w:rPr>
        <w:t>Early Day Motion</w:t>
      </w:r>
      <w:r w:rsidRPr="00E72418">
        <w:rPr>
          <w:rFonts w:ascii="Times New Roman" w:hAnsi="Times New Roman" w:cs="Times New Roman"/>
          <w:szCs w:val="24"/>
          <w:lang w:val="en-US"/>
        </w:rPr>
        <w:t xml:space="preserve"> n° 618, 14 janvier 2010, </w:t>
      </w:r>
      <w:r w:rsidRPr="00E72418">
        <w:rPr>
          <w:rFonts w:ascii="Times New Roman" w:hAnsi="Times New Roman" w:cs="Times New Roman"/>
          <w:i/>
          <w:szCs w:val="24"/>
          <w:lang w:val="en-US"/>
        </w:rPr>
        <w:t>Vulture Funds</w:t>
      </w:r>
      <w:r w:rsidRPr="00E72418">
        <w:rPr>
          <w:rFonts w:ascii="Times New Roman" w:hAnsi="Times New Roman" w:cs="Times New Roman"/>
          <w:szCs w:val="24"/>
          <w:lang w:val="en-US"/>
        </w:rPr>
        <w:t>, session 2009-2010</w:t>
      </w:r>
    </w:p>
    <w:p w14:paraId="49F91F62" w14:textId="77777777" w:rsidR="00BF7DBF" w:rsidRPr="00E72418" w:rsidRDefault="00BF7DBF" w:rsidP="00BF7DBF">
      <w:pPr>
        <w:pStyle w:val="Paragraphedeliste"/>
        <w:spacing w:after="0"/>
        <w:rPr>
          <w:rFonts w:ascii="Times New Roman" w:hAnsi="Times New Roman" w:cs="Times New Roman"/>
          <w:sz w:val="14"/>
          <w:szCs w:val="14"/>
          <w:lang w:val="nl-NL"/>
        </w:rPr>
      </w:pPr>
    </w:p>
    <w:p w14:paraId="1A2D3C57" w14:textId="77777777" w:rsidR="00BD3A60" w:rsidRPr="00E72418" w:rsidRDefault="00BF7DBF" w:rsidP="007D7D59">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i/>
          <w:szCs w:val="24"/>
        </w:rPr>
        <w:t>Early Day Motion</w:t>
      </w:r>
      <w:r w:rsidRPr="00E72418">
        <w:rPr>
          <w:rFonts w:ascii="Times New Roman" w:hAnsi="Times New Roman" w:cs="Times New Roman"/>
          <w:szCs w:val="24"/>
        </w:rPr>
        <w:t xml:space="preserve"> n° 1440, 6 mai 2009, </w:t>
      </w:r>
      <w:r w:rsidRPr="00E72418">
        <w:rPr>
          <w:rFonts w:ascii="Times New Roman" w:hAnsi="Times New Roman" w:cs="Times New Roman"/>
          <w:i/>
          <w:szCs w:val="24"/>
        </w:rPr>
        <w:t>Regulation of vulture funds</w:t>
      </w:r>
      <w:r w:rsidRPr="00E72418">
        <w:rPr>
          <w:rFonts w:ascii="Times New Roman" w:hAnsi="Times New Roman" w:cs="Times New Roman"/>
          <w:szCs w:val="24"/>
        </w:rPr>
        <w:t>, session 2008-2009</w:t>
      </w:r>
    </w:p>
    <w:p w14:paraId="54709212" w14:textId="77777777" w:rsidR="00BD3A60" w:rsidRPr="00E72418" w:rsidRDefault="00BD3A60" w:rsidP="00BD3A60">
      <w:pPr>
        <w:pStyle w:val="Paragraphedeliste"/>
        <w:rPr>
          <w:rFonts w:ascii="Times New Roman" w:hAnsi="Times New Roman" w:cs="Times New Roman"/>
          <w:sz w:val="14"/>
          <w:szCs w:val="14"/>
        </w:rPr>
      </w:pPr>
    </w:p>
    <w:p w14:paraId="685095FE" w14:textId="52296C51" w:rsidR="00BF7DBF" w:rsidRPr="00E72418" w:rsidRDefault="00BF7DBF" w:rsidP="007D7D59">
      <w:pPr>
        <w:pStyle w:val="Paragraphedeliste"/>
        <w:numPr>
          <w:ilvl w:val="0"/>
          <w:numId w:val="6"/>
        </w:numPr>
        <w:spacing w:after="0"/>
        <w:rPr>
          <w:rStyle w:val="Lienhypertexte"/>
          <w:rFonts w:ascii="Times New Roman" w:hAnsi="Times New Roman" w:cs="Times New Roman"/>
          <w:color w:val="auto"/>
          <w:szCs w:val="24"/>
          <w:u w:val="none"/>
        </w:rPr>
      </w:pPr>
      <w:r w:rsidRPr="00E72418">
        <w:rPr>
          <w:rFonts w:ascii="Times New Roman" w:hAnsi="Times New Roman" w:cs="Times New Roman"/>
          <w:i/>
          <w:szCs w:val="24"/>
        </w:rPr>
        <w:t>Early Day Motion</w:t>
      </w:r>
      <w:r w:rsidRPr="00E72418">
        <w:rPr>
          <w:rFonts w:ascii="Times New Roman" w:hAnsi="Times New Roman" w:cs="Times New Roman"/>
          <w:szCs w:val="24"/>
        </w:rPr>
        <w:t xml:space="preserve"> n° 1016, 1</w:t>
      </w:r>
      <w:r w:rsidRPr="00E72418">
        <w:rPr>
          <w:rFonts w:ascii="Times New Roman" w:hAnsi="Times New Roman" w:cs="Times New Roman"/>
          <w:szCs w:val="24"/>
          <w:vertAlign w:val="superscript"/>
        </w:rPr>
        <w:t>er</w:t>
      </w:r>
      <w:r w:rsidRPr="00E72418">
        <w:rPr>
          <w:rFonts w:ascii="Times New Roman" w:hAnsi="Times New Roman" w:cs="Times New Roman"/>
          <w:szCs w:val="24"/>
        </w:rPr>
        <w:t xml:space="preserve"> mars 2007, </w:t>
      </w:r>
      <w:r w:rsidRPr="00E72418">
        <w:rPr>
          <w:rFonts w:ascii="Times New Roman" w:hAnsi="Times New Roman" w:cs="Times New Roman"/>
          <w:i/>
          <w:szCs w:val="24"/>
        </w:rPr>
        <w:t>Vulture fund debt claim against Zambia</w:t>
      </w:r>
      <w:r w:rsidRPr="00E72418">
        <w:rPr>
          <w:rFonts w:ascii="Times New Roman" w:hAnsi="Times New Roman" w:cs="Times New Roman"/>
          <w:szCs w:val="24"/>
        </w:rPr>
        <w:t>, session 2006-2007</w:t>
      </w:r>
    </w:p>
    <w:p w14:paraId="1C1A4CBB" w14:textId="3D9DA28E" w:rsidR="00A91208" w:rsidRPr="00E72418" w:rsidRDefault="00A91208" w:rsidP="00A91208">
      <w:pPr>
        <w:pStyle w:val="Paragraphedeliste"/>
        <w:rPr>
          <w:rFonts w:ascii="Times New Roman" w:hAnsi="Times New Roman" w:cs="Times New Roman"/>
          <w:sz w:val="14"/>
          <w:szCs w:val="14"/>
        </w:rPr>
      </w:pPr>
    </w:p>
    <w:p w14:paraId="6372083C" w14:textId="77777777" w:rsidR="00BF7DBF" w:rsidRPr="00E72418" w:rsidRDefault="00BF7DBF" w:rsidP="00A91208">
      <w:pPr>
        <w:pStyle w:val="Paragraphedeliste"/>
        <w:rPr>
          <w:rFonts w:ascii="Times New Roman" w:hAnsi="Times New Roman" w:cs="Times New Roman"/>
          <w:sz w:val="14"/>
          <w:szCs w:val="14"/>
        </w:rPr>
      </w:pPr>
    </w:p>
    <w:p w14:paraId="646D3D44" w14:textId="41C12738" w:rsidR="00A91208" w:rsidRPr="00E72418" w:rsidRDefault="00067C09" w:rsidP="00BF7DBF">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lang w:val="en-US"/>
        </w:rPr>
        <w:t>HM</w:t>
      </w:r>
      <w:r w:rsidR="00A91208" w:rsidRPr="00E72418">
        <w:rPr>
          <w:rFonts w:ascii="Times New Roman" w:hAnsi="Times New Roman" w:cs="Times New Roman"/>
          <w:szCs w:val="24"/>
          <w:lang w:val="en-US"/>
        </w:rPr>
        <w:t xml:space="preserve"> </w:t>
      </w:r>
      <w:r w:rsidR="00A91208" w:rsidRPr="00E72418">
        <w:rPr>
          <w:rFonts w:ascii="Times New Roman" w:hAnsi="Times New Roman" w:cs="Times New Roman"/>
          <w:smallCaps/>
          <w:szCs w:val="24"/>
          <w:lang w:val="en-US"/>
        </w:rPr>
        <w:t>Treasury</w:t>
      </w:r>
      <w:r w:rsidR="00A91208" w:rsidRPr="00E72418">
        <w:rPr>
          <w:rFonts w:ascii="Times New Roman" w:hAnsi="Times New Roman" w:cs="Times New Roman"/>
          <w:szCs w:val="24"/>
          <w:lang w:val="en-US"/>
        </w:rPr>
        <w:t xml:space="preserve">, </w:t>
      </w:r>
      <w:r w:rsidR="00A91208" w:rsidRPr="00E72418">
        <w:rPr>
          <w:rFonts w:ascii="Times New Roman" w:hAnsi="Times New Roman" w:cs="Times New Roman"/>
          <w:i/>
          <w:szCs w:val="24"/>
          <w:lang w:val="en-US"/>
        </w:rPr>
        <w:t>Ensuring effective debt relief for poor countries: a response to consultation</w:t>
      </w:r>
      <w:r w:rsidR="00A91208" w:rsidRPr="00E72418">
        <w:rPr>
          <w:rFonts w:ascii="Times New Roman" w:hAnsi="Times New Roman" w:cs="Times New Roman"/>
          <w:szCs w:val="24"/>
          <w:lang w:val="en-US"/>
        </w:rPr>
        <w:t>, 2010</w:t>
      </w:r>
    </w:p>
    <w:p w14:paraId="65399A15" w14:textId="77777777" w:rsidR="00A91208" w:rsidRPr="00E72418" w:rsidRDefault="00A91208" w:rsidP="00A91208">
      <w:pPr>
        <w:pStyle w:val="Paragraphedeliste"/>
        <w:rPr>
          <w:rFonts w:ascii="Times New Roman" w:hAnsi="Times New Roman" w:cs="Times New Roman"/>
          <w:sz w:val="14"/>
          <w:szCs w:val="14"/>
        </w:rPr>
      </w:pPr>
    </w:p>
    <w:p w14:paraId="4F1EA4F4" w14:textId="1DB15B3D" w:rsidR="00BF7DBF" w:rsidRPr="00E72418" w:rsidRDefault="00067C09" w:rsidP="00A91208">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rPr>
        <w:t>HM</w:t>
      </w:r>
      <w:r w:rsidR="00A91208" w:rsidRPr="00E72418">
        <w:rPr>
          <w:rFonts w:ascii="Times New Roman" w:hAnsi="Times New Roman" w:cs="Times New Roman"/>
          <w:szCs w:val="24"/>
        </w:rPr>
        <w:t xml:space="preserve"> </w:t>
      </w:r>
      <w:r w:rsidR="00A91208" w:rsidRPr="00E72418">
        <w:rPr>
          <w:rFonts w:ascii="Times New Roman" w:hAnsi="Times New Roman" w:cs="Times New Roman"/>
          <w:smallCaps/>
          <w:szCs w:val="24"/>
        </w:rPr>
        <w:t>Treasury</w:t>
      </w:r>
      <w:r w:rsidR="00A91208" w:rsidRPr="00E72418">
        <w:rPr>
          <w:rFonts w:ascii="Times New Roman" w:hAnsi="Times New Roman" w:cs="Times New Roman"/>
          <w:szCs w:val="24"/>
        </w:rPr>
        <w:t xml:space="preserve">, </w:t>
      </w:r>
      <w:r w:rsidR="00A91208" w:rsidRPr="00E72418">
        <w:rPr>
          <w:rFonts w:ascii="Times New Roman" w:hAnsi="Times New Roman" w:cs="Times New Roman"/>
          <w:i/>
          <w:szCs w:val="24"/>
        </w:rPr>
        <w:t>Ensuring effective debt relief for poor countries: a consultation on legislation</w:t>
      </w:r>
      <w:r w:rsidR="00A91208" w:rsidRPr="00E72418">
        <w:rPr>
          <w:rFonts w:ascii="Times New Roman" w:hAnsi="Times New Roman" w:cs="Times New Roman"/>
          <w:szCs w:val="24"/>
        </w:rPr>
        <w:t>, 2009</w:t>
      </w:r>
    </w:p>
    <w:p w14:paraId="1FD1FE73" w14:textId="77777777" w:rsidR="00BD3A60" w:rsidRPr="00E72418" w:rsidRDefault="00BD3A60" w:rsidP="00BD3A60">
      <w:pPr>
        <w:pStyle w:val="Paragraphedeliste"/>
        <w:rPr>
          <w:rFonts w:ascii="Times New Roman" w:hAnsi="Times New Roman" w:cs="Times New Roman"/>
          <w:szCs w:val="24"/>
        </w:rPr>
      </w:pPr>
    </w:p>
    <w:p w14:paraId="3805FEFD" w14:textId="77777777" w:rsidR="00BD3A60" w:rsidRPr="00E72418" w:rsidRDefault="00BD3A60" w:rsidP="00BD3A60">
      <w:pPr>
        <w:pStyle w:val="Paragraphedeliste"/>
        <w:spacing w:after="0"/>
        <w:rPr>
          <w:rFonts w:ascii="Times New Roman" w:hAnsi="Times New Roman" w:cs="Times New Roman"/>
          <w:szCs w:val="24"/>
        </w:rPr>
      </w:pPr>
    </w:p>
    <w:p w14:paraId="499A3009" w14:textId="7F8E7A4C" w:rsidR="00A91208" w:rsidRPr="00E72418" w:rsidRDefault="00FB3C94" w:rsidP="00BD3A60">
      <w:pPr>
        <w:pStyle w:val="CC"/>
      </w:pPr>
      <w:r w:rsidRPr="00E72418">
        <w:rPr>
          <w:lang w:eastAsia="fr-BE"/>
        </w:rPr>
        <w:t>É</w:t>
      </w:r>
      <w:r w:rsidR="006620BF" w:rsidRPr="00E72418">
        <w:t>tats-Unis d’Amérique</w:t>
      </w:r>
    </w:p>
    <w:p w14:paraId="7F2B1E85" w14:textId="77777777" w:rsidR="00BD3A60" w:rsidRPr="00E72418" w:rsidRDefault="00BD3A60" w:rsidP="00BD3A60">
      <w:pPr>
        <w:pStyle w:val="Paragraphedeliste"/>
        <w:spacing w:after="0"/>
        <w:rPr>
          <w:rFonts w:ascii="Times New Roman" w:hAnsi="Times New Roman" w:cs="Times New Roman"/>
          <w:i/>
          <w:sz w:val="28"/>
          <w:szCs w:val="28"/>
        </w:rPr>
      </w:pPr>
    </w:p>
    <w:p w14:paraId="3B31A9B4" w14:textId="11518369" w:rsidR="00A91208" w:rsidRPr="00E72418" w:rsidRDefault="00A91208" w:rsidP="008D1D70">
      <w:pPr>
        <w:pStyle w:val="Paragraphedeliste"/>
        <w:numPr>
          <w:ilvl w:val="0"/>
          <w:numId w:val="6"/>
        </w:numPr>
        <w:spacing w:after="0"/>
        <w:rPr>
          <w:rFonts w:ascii="Times New Roman" w:hAnsi="Times New Roman" w:cs="Times New Roman"/>
          <w:i/>
          <w:szCs w:val="24"/>
        </w:rPr>
      </w:pPr>
      <w:r w:rsidRPr="00E72418">
        <w:rPr>
          <w:rFonts w:ascii="Times New Roman" w:hAnsi="Times New Roman" w:cs="Times New Roman"/>
          <w:i/>
          <w:szCs w:val="24"/>
        </w:rPr>
        <w:t>Foreign Sovereign Immunities Act</w:t>
      </w:r>
      <w:r w:rsidR="00AA100C" w:rsidRPr="00E72418">
        <w:rPr>
          <w:rFonts w:ascii="Times New Roman" w:hAnsi="Times New Roman" w:cs="Times New Roman"/>
          <w:szCs w:val="24"/>
        </w:rPr>
        <w:t>, 21 octobre 1976</w:t>
      </w:r>
    </w:p>
    <w:p w14:paraId="194C2BAD" w14:textId="0ED863B8" w:rsidR="00AA100C" w:rsidRPr="00E72418" w:rsidRDefault="00AA100C" w:rsidP="00AA100C">
      <w:pPr>
        <w:pStyle w:val="Paragraphedeliste"/>
        <w:spacing w:after="0"/>
        <w:rPr>
          <w:rFonts w:ascii="Times New Roman" w:hAnsi="Times New Roman" w:cs="Times New Roman"/>
          <w:i/>
          <w:sz w:val="14"/>
          <w:szCs w:val="14"/>
        </w:rPr>
      </w:pPr>
    </w:p>
    <w:p w14:paraId="1E76317C" w14:textId="77777777" w:rsidR="00AA100C" w:rsidRPr="00E72418" w:rsidRDefault="00AA100C" w:rsidP="00AA100C">
      <w:pPr>
        <w:pStyle w:val="Paragraphedeliste"/>
        <w:spacing w:after="0"/>
        <w:rPr>
          <w:rFonts w:ascii="Times New Roman" w:hAnsi="Times New Roman" w:cs="Times New Roman"/>
          <w:i/>
          <w:sz w:val="14"/>
          <w:szCs w:val="14"/>
        </w:rPr>
      </w:pPr>
    </w:p>
    <w:p w14:paraId="05C65420" w14:textId="77777777" w:rsidR="00AA100C" w:rsidRPr="00E72418" w:rsidRDefault="00AA100C" w:rsidP="00AA100C">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lang w:val="en-US"/>
        </w:rPr>
        <w:t xml:space="preserve">House of Representatives, </w:t>
      </w:r>
      <w:r w:rsidRPr="00E72418">
        <w:rPr>
          <w:rFonts w:ascii="Times New Roman" w:hAnsi="Times New Roman" w:cs="Times New Roman"/>
          <w:i/>
          <w:szCs w:val="24"/>
          <w:lang w:val="en-US"/>
        </w:rPr>
        <w:t>Bill to prevent foreign states that do business, issue securities, or borrow money in the United States, and then fail to satisfy United States court judgments totaling $100,000,000 or more based on such activities, from inflicting further economic injuries in the United States, from undermining the integrity of United States courts, and from discouraging responsible lending to poor and developing nations by undermining the secondary and primary markets for sovereign debt</w:t>
      </w:r>
      <w:r w:rsidRPr="00E72418">
        <w:rPr>
          <w:rFonts w:ascii="Times New Roman" w:hAnsi="Times New Roman" w:cs="Times New Roman"/>
          <w:szCs w:val="24"/>
          <w:lang w:val="en-US"/>
        </w:rPr>
        <w:t>, 6 mai 2011, 112 H.R. 1798</w:t>
      </w:r>
    </w:p>
    <w:p w14:paraId="2496105D" w14:textId="77777777" w:rsidR="00AA100C" w:rsidRPr="00E72418" w:rsidRDefault="00AA100C" w:rsidP="00AA100C">
      <w:pPr>
        <w:pStyle w:val="Paragraphedeliste"/>
        <w:rPr>
          <w:rFonts w:ascii="Times New Roman" w:hAnsi="Times New Roman" w:cs="Times New Roman"/>
          <w:sz w:val="14"/>
          <w:szCs w:val="14"/>
        </w:rPr>
      </w:pPr>
    </w:p>
    <w:p w14:paraId="2BFE973A" w14:textId="77777777" w:rsidR="00AA100C" w:rsidRPr="00E72418" w:rsidRDefault="00AA100C" w:rsidP="00AA100C">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lang w:val="en-US"/>
        </w:rPr>
        <w:t xml:space="preserve">House of Representatives, </w:t>
      </w:r>
      <w:r w:rsidRPr="00E72418">
        <w:rPr>
          <w:rFonts w:ascii="Times New Roman" w:hAnsi="Times New Roman" w:cs="Times New Roman"/>
          <w:i/>
          <w:szCs w:val="24"/>
          <w:lang w:val="en-US"/>
        </w:rPr>
        <w:t>Bill to prevent speculation and profiteering in the defaulted debt of certain poor countries, and for other purposes</w:t>
      </w:r>
      <w:r w:rsidRPr="00E72418">
        <w:rPr>
          <w:rFonts w:ascii="Times New Roman" w:hAnsi="Times New Roman" w:cs="Times New Roman"/>
          <w:szCs w:val="24"/>
          <w:lang w:val="en-US"/>
        </w:rPr>
        <w:t>, 18 juin 2009, H.R. 2932</w:t>
      </w:r>
    </w:p>
    <w:p w14:paraId="60FC64EF" w14:textId="77777777" w:rsidR="00AA100C" w:rsidRPr="00E72418" w:rsidRDefault="00AA100C" w:rsidP="00AA100C">
      <w:pPr>
        <w:pStyle w:val="Paragraphedeliste"/>
        <w:rPr>
          <w:rFonts w:ascii="Times New Roman" w:hAnsi="Times New Roman" w:cs="Times New Roman"/>
          <w:sz w:val="14"/>
          <w:szCs w:val="14"/>
        </w:rPr>
      </w:pPr>
    </w:p>
    <w:p w14:paraId="38C2018F" w14:textId="77777777" w:rsidR="00BD3A60" w:rsidRPr="00E72418" w:rsidRDefault="00AA100C" w:rsidP="007D7D59">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lang w:val="en-US"/>
        </w:rPr>
        <w:t xml:space="preserve">House of Representatives, </w:t>
      </w:r>
      <w:r w:rsidRPr="00E72418">
        <w:rPr>
          <w:rFonts w:ascii="Times New Roman" w:hAnsi="Times New Roman" w:cs="Times New Roman"/>
          <w:i/>
          <w:szCs w:val="24"/>
          <w:lang w:val="en-US"/>
        </w:rPr>
        <w:t>Bill to prevent speculation and profiteering in the defaulted debt of certain poor countries, and for other purposes</w:t>
      </w:r>
      <w:r w:rsidRPr="00E72418">
        <w:rPr>
          <w:rFonts w:ascii="Times New Roman" w:hAnsi="Times New Roman" w:cs="Times New Roman"/>
          <w:szCs w:val="24"/>
          <w:lang w:val="en-US"/>
        </w:rPr>
        <w:t>, 1</w:t>
      </w:r>
      <w:r w:rsidRPr="00E72418">
        <w:rPr>
          <w:rFonts w:ascii="Times New Roman" w:hAnsi="Times New Roman" w:cs="Times New Roman"/>
          <w:szCs w:val="24"/>
          <w:vertAlign w:val="superscript"/>
          <w:lang w:val="en-US"/>
        </w:rPr>
        <w:t>er</w:t>
      </w:r>
      <w:r w:rsidRPr="00E72418">
        <w:rPr>
          <w:rFonts w:ascii="Times New Roman" w:hAnsi="Times New Roman" w:cs="Times New Roman"/>
          <w:szCs w:val="24"/>
          <w:lang w:val="en-US"/>
        </w:rPr>
        <w:t xml:space="preserve"> août 2008, H.R. 6796</w:t>
      </w:r>
    </w:p>
    <w:p w14:paraId="221BD057" w14:textId="17648C2B" w:rsidR="00BD3A60" w:rsidRPr="00E72418" w:rsidRDefault="00BD3A60" w:rsidP="00BD3A60">
      <w:pPr>
        <w:pStyle w:val="Paragraphedeliste"/>
        <w:rPr>
          <w:rFonts w:ascii="Times New Roman" w:hAnsi="Times New Roman" w:cs="Times New Roman"/>
          <w:sz w:val="14"/>
          <w:szCs w:val="14"/>
        </w:rPr>
      </w:pPr>
    </w:p>
    <w:p w14:paraId="0761FC9B" w14:textId="77777777" w:rsidR="00BD3A60" w:rsidRPr="00E72418" w:rsidRDefault="00BD3A60" w:rsidP="00BD3A60">
      <w:pPr>
        <w:pStyle w:val="Paragraphedeliste"/>
        <w:rPr>
          <w:rFonts w:ascii="Times New Roman" w:hAnsi="Times New Roman" w:cs="Times New Roman"/>
          <w:sz w:val="14"/>
          <w:szCs w:val="14"/>
        </w:rPr>
      </w:pPr>
    </w:p>
    <w:p w14:paraId="5A1755F2" w14:textId="057370FB" w:rsidR="006620BF" w:rsidRPr="00E72418" w:rsidRDefault="006620BF" w:rsidP="007D7D59">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rPr>
        <w:t xml:space="preserve">New York State Senate, </w:t>
      </w:r>
      <w:r w:rsidRPr="00E72418">
        <w:rPr>
          <w:i/>
        </w:rPr>
        <w:t>An act to amend the banking law, in relation to restructuring unsustainable sovereign and subnational debt</w:t>
      </w:r>
      <w:r w:rsidR="00996011" w:rsidRPr="00E72418">
        <w:t>, bill n° S6627</w:t>
      </w:r>
    </w:p>
    <w:p w14:paraId="4764CB3B" w14:textId="77777777" w:rsidR="007D45E0" w:rsidRPr="00E72418" w:rsidRDefault="007D45E0" w:rsidP="007D45E0">
      <w:pPr>
        <w:pStyle w:val="Paragraphedeliste"/>
        <w:spacing w:after="0"/>
        <w:rPr>
          <w:rFonts w:ascii="Times New Roman" w:hAnsi="Times New Roman" w:cs="Times New Roman"/>
          <w:sz w:val="14"/>
          <w:szCs w:val="14"/>
        </w:rPr>
      </w:pPr>
    </w:p>
    <w:p w14:paraId="521FA9F9" w14:textId="12756AB5" w:rsidR="00A91208" w:rsidRPr="00E72418" w:rsidRDefault="007D45E0" w:rsidP="00A91208">
      <w:pPr>
        <w:pStyle w:val="Paragraphedeliste"/>
        <w:numPr>
          <w:ilvl w:val="0"/>
          <w:numId w:val="6"/>
        </w:numPr>
        <w:spacing w:after="0"/>
        <w:rPr>
          <w:rFonts w:ascii="Times New Roman" w:hAnsi="Times New Roman" w:cs="Times New Roman"/>
          <w:szCs w:val="24"/>
        </w:rPr>
      </w:pPr>
      <w:r w:rsidRPr="00E72418">
        <w:rPr>
          <w:rFonts w:ascii="Times New Roman" w:hAnsi="Times New Roman" w:cs="Times New Roman"/>
          <w:szCs w:val="24"/>
          <w:lang w:val="en-US"/>
        </w:rPr>
        <w:t xml:space="preserve">New York State Assembly, </w:t>
      </w:r>
      <w:r w:rsidRPr="00E72418">
        <w:rPr>
          <w:rFonts w:ascii="Times New Roman" w:hAnsi="Times New Roman" w:cs="Times New Roman"/>
          <w:i/>
          <w:szCs w:val="24"/>
          <w:lang w:val="en-US"/>
        </w:rPr>
        <w:t>An act to amend the judiciary law, in relation to the purchase of claims for valuable consideration</w:t>
      </w:r>
      <w:r w:rsidRPr="00E72418">
        <w:rPr>
          <w:rFonts w:ascii="Times New Roman" w:hAnsi="Times New Roman" w:cs="Times New Roman"/>
          <w:szCs w:val="24"/>
          <w:lang w:val="en-US"/>
        </w:rPr>
        <w:t>, bill n° 7244C</w:t>
      </w:r>
    </w:p>
    <w:p w14:paraId="59C39256" w14:textId="77777777" w:rsidR="00BD3A60" w:rsidRPr="00E72418" w:rsidRDefault="00BD3A60" w:rsidP="00BD3A60">
      <w:pPr>
        <w:pStyle w:val="Paragraphedeliste"/>
        <w:rPr>
          <w:rFonts w:ascii="Times New Roman" w:hAnsi="Times New Roman" w:cs="Times New Roman"/>
          <w:szCs w:val="24"/>
        </w:rPr>
      </w:pPr>
    </w:p>
    <w:p w14:paraId="2AC6D968" w14:textId="77777777" w:rsidR="00BD3A60" w:rsidRPr="00E72418" w:rsidRDefault="00BD3A60" w:rsidP="00BD3A60">
      <w:pPr>
        <w:pStyle w:val="Paragraphedeliste"/>
        <w:spacing w:after="0"/>
        <w:rPr>
          <w:rFonts w:ascii="Times New Roman" w:hAnsi="Times New Roman" w:cs="Times New Roman"/>
          <w:szCs w:val="24"/>
        </w:rPr>
      </w:pPr>
    </w:p>
    <w:p w14:paraId="01A4CC36" w14:textId="63E67B30" w:rsidR="00AA100C" w:rsidRPr="00E72418" w:rsidRDefault="00BD3A60" w:rsidP="00BD3A60">
      <w:pPr>
        <w:pStyle w:val="CC"/>
      </w:pPr>
      <w:r w:rsidRPr="00E72418">
        <w:t>France</w:t>
      </w:r>
    </w:p>
    <w:p w14:paraId="43089769" w14:textId="77777777" w:rsidR="00BD3A60" w:rsidRPr="00E72418" w:rsidRDefault="00BD3A60" w:rsidP="00BD3A60">
      <w:pPr>
        <w:pStyle w:val="Paragraphedeliste"/>
        <w:spacing w:after="0"/>
        <w:rPr>
          <w:rFonts w:ascii="Times New Roman" w:hAnsi="Times New Roman" w:cs="Times New Roman"/>
          <w:sz w:val="28"/>
          <w:szCs w:val="28"/>
        </w:rPr>
      </w:pPr>
    </w:p>
    <w:p w14:paraId="6DE17D51" w14:textId="1EAF381E" w:rsidR="00BD3A60" w:rsidRPr="00E72418" w:rsidRDefault="00A91208" w:rsidP="007D7D59">
      <w:pPr>
        <w:pStyle w:val="Paragraphedeliste"/>
        <w:numPr>
          <w:ilvl w:val="0"/>
          <w:numId w:val="8"/>
        </w:numPr>
        <w:spacing w:after="0"/>
        <w:rPr>
          <w:rFonts w:ascii="Times New Roman" w:hAnsi="Times New Roman" w:cs="Times New Roman"/>
          <w:b/>
          <w:szCs w:val="24"/>
        </w:rPr>
      </w:pPr>
      <w:r w:rsidRPr="00E72418">
        <w:rPr>
          <w:rFonts w:ascii="Times New Roman" w:hAnsi="Times New Roman" w:cs="Times New Roman"/>
          <w:szCs w:val="24"/>
        </w:rPr>
        <w:t>Loi n° 2016-1691 du 9 décembre 2016 relative à la transparence, à la lutte contre la corruption et à la modernisation de la vie économique, dite « loi Sapin II »</w:t>
      </w:r>
    </w:p>
    <w:p w14:paraId="7B302D81" w14:textId="4E3DC06F" w:rsidR="00BD3A60" w:rsidRPr="00E72418" w:rsidRDefault="00BD3A60" w:rsidP="00BD3A60">
      <w:pPr>
        <w:pStyle w:val="Paragraphedeliste"/>
        <w:spacing w:after="0"/>
        <w:rPr>
          <w:rFonts w:ascii="Times New Roman" w:hAnsi="Times New Roman" w:cs="Times New Roman"/>
          <w:b/>
          <w:sz w:val="14"/>
          <w:szCs w:val="14"/>
        </w:rPr>
      </w:pPr>
    </w:p>
    <w:p w14:paraId="320C4E4C" w14:textId="77777777" w:rsidR="00BD3A60" w:rsidRPr="00E72418" w:rsidRDefault="00BD3A60" w:rsidP="00BD3A60">
      <w:pPr>
        <w:pStyle w:val="Paragraphedeliste"/>
        <w:spacing w:after="0"/>
        <w:rPr>
          <w:rFonts w:ascii="Times New Roman" w:hAnsi="Times New Roman" w:cs="Times New Roman"/>
          <w:b/>
          <w:sz w:val="14"/>
          <w:szCs w:val="14"/>
        </w:rPr>
      </w:pPr>
    </w:p>
    <w:p w14:paraId="4B4CA735" w14:textId="0261C0DA" w:rsidR="00A91208" w:rsidRPr="00E72418" w:rsidRDefault="00A91208" w:rsidP="007D7D59">
      <w:pPr>
        <w:pStyle w:val="Paragraphedeliste"/>
        <w:numPr>
          <w:ilvl w:val="0"/>
          <w:numId w:val="8"/>
        </w:numPr>
        <w:spacing w:after="0"/>
        <w:rPr>
          <w:rFonts w:ascii="Times New Roman" w:hAnsi="Times New Roman" w:cs="Times New Roman"/>
          <w:b/>
          <w:szCs w:val="24"/>
        </w:rPr>
      </w:pPr>
      <w:r w:rsidRPr="00E72418">
        <w:rPr>
          <w:rFonts w:ascii="Times New Roman" w:hAnsi="Times New Roman" w:cs="Times New Roman"/>
          <w:szCs w:val="24"/>
        </w:rPr>
        <w:t xml:space="preserve">Proposition de loi visant à lutter contre l’action des fonds financiers dits « fonds vautours », </w:t>
      </w:r>
      <w:r w:rsidR="00996011" w:rsidRPr="00E72418">
        <w:rPr>
          <w:rFonts w:ascii="Times New Roman" w:hAnsi="Times New Roman" w:cs="Times New Roman"/>
          <w:szCs w:val="24"/>
        </w:rPr>
        <w:t xml:space="preserve">Assemblée nationale, </w:t>
      </w:r>
      <w:r w:rsidRPr="00E72418">
        <w:rPr>
          <w:rFonts w:ascii="Times New Roman" w:hAnsi="Times New Roman" w:cs="Times New Roman"/>
          <w:szCs w:val="24"/>
        </w:rPr>
        <w:t>2 août 2007, n° 131</w:t>
      </w:r>
    </w:p>
    <w:p w14:paraId="56B7836E" w14:textId="77777777" w:rsidR="00A91208" w:rsidRPr="00E72418" w:rsidRDefault="00A91208" w:rsidP="00A91208">
      <w:pPr>
        <w:pStyle w:val="Paragraphedeliste"/>
        <w:rPr>
          <w:rFonts w:ascii="Times New Roman" w:hAnsi="Times New Roman" w:cs="Times New Roman"/>
          <w:sz w:val="14"/>
          <w:szCs w:val="14"/>
        </w:rPr>
      </w:pPr>
    </w:p>
    <w:p w14:paraId="5939F15F" w14:textId="60C988C7" w:rsidR="00A91208" w:rsidRPr="00E72418" w:rsidRDefault="00A91208" w:rsidP="008D1D70">
      <w:pPr>
        <w:pStyle w:val="Paragraphedeliste"/>
        <w:numPr>
          <w:ilvl w:val="0"/>
          <w:numId w:val="8"/>
        </w:numPr>
        <w:spacing w:after="0"/>
        <w:rPr>
          <w:rFonts w:ascii="Times New Roman" w:hAnsi="Times New Roman" w:cs="Times New Roman"/>
          <w:szCs w:val="24"/>
        </w:rPr>
      </w:pPr>
      <w:r w:rsidRPr="00E72418">
        <w:rPr>
          <w:rFonts w:ascii="Times New Roman" w:hAnsi="Times New Roman" w:cs="Times New Roman"/>
          <w:szCs w:val="24"/>
        </w:rPr>
        <w:lastRenderedPageBreak/>
        <w:t xml:space="preserve">Proposition de loi visant à lutter contre l’action des fonds financiers dits « fonds vautours », </w:t>
      </w:r>
      <w:r w:rsidR="00996011" w:rsidRPr="00E72418">
        <w:rPr>
          <w:rFonts w:ascii="Times New Roman" w:hAnsi="Times New Roman" w:cs="Times New Roman"/>
          <w:szCs w:val="24"/>
        </w:rPr>
        <w:t xml:space="preserve">Assemblée nationale, </w:t>
      </w:r>
      <w:r w:rsidRPr="00E72418">
        <w:rPr>
          <w:rFonts w:ascii="Times New Roman" w:hAnsi="Times New Roman" w:cs="Times New Roman"/>
          <w:szCs w:val="24"/>
        </w:rPr>
        <w:t>28 juin 2006, n° 3214</w:t>
      </w:r>
    </w:p>
    <w:p w14:paraId="7AF40CAA" w14:textId="77777777" w:rsidR="00BD3A60" w:rsidRPr="00E72418" w:rsidRDefault="00BD3A60" w:rsidP="00BD3A60">
      <w:pPr>
        <w:pStyle w:val="Paragraphedeliste"/>
        <w:rPr>
          <w:rFonts w:ascii="Times New Roman" w:hAnsi="Times New Roman" w:cs="Times New Roman"/>
          <w:szCs w:val="24"/>
        </w:rPr>
      </w:pPr>
    </w:p>
    <w:p w14:paraId="2E9133D4" w14:textId="77777777" w:rsidR="00BD3A60" w:rsidRPr="00E72418" w:rsidRDefault="00BD3A60" w:rsidP="00BD3A60">
      <w:pPr>
        <w:pStyle w:val="Paragraphedeliste"/>
        <w:spacing w:after="0"/>
        <w:rPr>
          <w:rFonts w:ascii="Times New Roman" w:hAnsi="Times New Roman" w:cs="Times New Roman"/>
          <w:szCs w:val="24"/>
        </w:rPr>
      </w:pPr>
    </w:p>
    <w:p w14:paraId="6D05D42C" w14:textId="2E31BFE9" w:rsidR="00AA100C" w:rsidRPr="00E72418" w:rsidRDefault="00A91208" w:rsidP="00BD3A60">
      <w:pPr>
        <w:pStyle w:val="CC"/>
      </w:pPr>
      <w:bookmarkStart w:id="521" w:name="_Toc84541035"/>
      <w:r w:rsidRPr="00E72418">
        <w:t>Autres</w:t>
      </w:r>
      <w:bookmarkEnd w:id="521"/>
    </w:p>
    <w:p w14:paraId="0840892C" w14:textId="77777777" w:rsidR="00BD3A60" w:rsidRPr="00E72418" w:rsidRDefault="00BD3A60" w:rsidP="00BD3A60">
      <w:pPr>
        <w:pStyle w:val="Paragraphedeliste"/>
        <w:spacing w:after="0"/>
        <w:rPr>
          <w:rFonts w:ascii="Times New Roman" w:hAnsi="Times New Roman" w:cs="Times New Roman"/>
          <w:sz w:val="28"/>
          <w:szCs w:val="28"/>
        </w:rPr>
      </w:pPr>
    </w:p>
    <w:p w14:paraId="264883FC" w14:textId="5DB1C788" w:rsidR="00E849E0" w:rsidRPr="00E72418" w:rsidRDefault="00E849E0" w:rsidP="00AA100C">
      <w:pPr>
        <w:pStyle w:val="Paragraphedeliste"/>
        <w:numPr>
          <w:ilvl w:val="0"/>
          <w:numId w:val="7"/>
        </w:numPr>
        <w:spacing w:after="0"/>
        <w:rPr>
          <w:rFonts w:ascii="Times New Roman" w:hAnsi="Times New Roman" w:cs="Times New Roman"/>
          <w:szCs w:val="24"/>
        </w:rPr>
      </w:pPr>
      <w:r w:rsidRPr="00E72418">
        <w:rPr>
          <w:rFonts w:ascii="Times New Roman" w:hAnsi="Times New Roman" w:cs="Times New Roman"/>
          <w:szCs w:val="24"/>
        </w:rPr>
        <w:t xml:space="preserve">Convention </w:t>
      </w:r>
      <w:hyperlink r:id="rId50" w:tgtFrame="_top" w:history="1">
        <w:r w:rsidRPr="00E72418">
          <w:rPr>
            <w:rStyle w:val="Lienhypertexte"/>
            <w:rFonts w:ascii="Times New Roman" w:hAnsi="Times New Roman" w:cs="Times New Roman"/>
            <w:color w:val="auto"/>
            <w:szCs w:val="24"/>
            <w:u w:val="none"/>
          </w:rPr>
          <w:t>pour le règlement des différends</w:t>
        </w:r>
      </w:hyperlink>
      <w:r w:rsidRPr="00E72418">
        <w:rPr>
          <w:rFonts w:ascii="Times New Roman" w:hAnsi="Times New Roman" w:cs="Times New Roman"/>
          <w:szCs w:val="24"/>
        </w:rPr>
        <w:t xml:space="preserve"> </w:t>
      </w:r>
      <w:hyperlink r:id="rId51" w:tgtFrame="_top" w:history="1">
        <w:r w:rsidRPr="00E72418">
          <w:rPr>
            <w:rStyle w:val="Lienhypertexte"/>
            <w:rFonts w:ascii="Times New Roman" w:hAnsi="Times New Roman" w:cs="Times New Roman"/>
            <w:color w:val="auto"/>
            <w:szCs w:val="24"/>
            <w:u w:val="none"/>
          </w:rPr>
          <w:t>relatifs aux investissements entre États et</w:t>
        </w:r>
      </w:hyperlink>
      <w:r w:rsidRPr="00E72418">
        <w:rPr>
          <w:rFonts w:ascii="Times New Roman" w:hAnsi="Times New Roman" w:cs="Times New Roman"/>
          <w:szCs w:val="24"/>
        </w:rPr>
        <w:t xml:space="preserve"> </w:t>
      </w:r>
      <w:hyperlink r:id="rId52" w:tgtFrame="_top" w:history="1">
        <w:r w:rsidRPr="00E72418">
          <w:rPr>
            <w:rStyle w:val="Lienhypertexte"/>
            <w:rFonts w:ascii="Times New Roman" w:hAnsi="Times New Roman" w:cs="Times New Roman"/>
            <w:color w:val="auto"/>
            <w:szCs w:val="24"/>
            <w:u w:val="none"/>
          </w:rPr>
          <w:t>ressortissants d’autres États</w:t>
        </w:r>
      </w:hyperlink>
      <w:r w:rsidRPr="00E72418">
        <w:rPr>
          <w:rStyle w:val="Lienhypertexte"/>
          <w:rFonts w:ascii="Times New Roman" w:hAnsi="Times New Roman" w:cs="Times New Roman"/>
          <w:color w:val="auto"/>
          <w:szCs w:val="24"/>
          <w:u w:val="none"/>
        </w:rPr>
        <w:t>, 18 mars 1965</w:t>
      </w:r>
    </w:p>
    <w:p w14:paraId="53199B28" w14:textId="1EE7AF09" w:rsidR="00E849E0" w:rsidRPr="00E72418" w:rsidRDefault="00E849E0" w:rsidP="00E849E0">
      <w:pPr>
        <w:pStyle w:val="Paragraphedeliste"/>
        <w:spacing w:after="0"/>
        <w:rPr>
          <w:rFonts w:ascii="Times New Roman" w:hAnsi="Times New Roman" w:cs="Times New Roman"/>
          <w:b/>
          <w:sz w:val="14"/>
          <w:szCs w:val="14"/>
        </w:rPr>
      </w:pPr>
    </w:p>
    <w:p w14:paraId="3932A90A" w14:textId="77777777" w:rsidR="00BD3A60" w:rsidRPr="00E72418" w:rsidRDefault="00BD3A60" w:rsidP="00E849E0">
      <w:pPr>
        <w:pStyle w:val="Paragraphedeliste"/>
        <w:spacing w:after="0"/>
        <w:rPr>
          <w:rFonts w:ascii="Times New Roman" w:hAnsi="Times New Roman" w:cs="Times New Roman"/>
          <w:b/>
          <w:sz w:val="14"/>
          <w:szCs w:val="14"/>
        </w:rPr>
      </w:pPr>
    </w:p>
    <w:p w14:paraId="496579EE" w14:textId="62576D7F" w:rsidR="00A91208" w:rsidRPr="00E72418" w:rsidRDefault="00A91208" w:rsidP="008D1D70">
      <w:pPr>
        <w:pStyle w:val="Paragraphedeliste"/>
        <w:numPr>
          <w:ilvl w:val="0"/>
          <w:numId w:val="7"/>
        </w:numPr>
        <w:spacing w:after="0"/>
        <w:rPr>
          <w:rFonts w:ascii="Times New Roman" w:hAnsi="Times New Roman" w:cs="Times New Roman"/>
          <w:b/>
          <w:szCs w:val="24"/>
        </w:rPr>
      </w:pPr>
      <w:r w:rsidRPr="00E72418">
        <w:rPr>
          <w:rFonts w:ascii="Times New Roman" w:hAnsi="Times New Roman" w:cs="Times New Roman"/>
          <w:szCs w:val="24"/>
        </w:rPr>
        <w:t xml:space="preserve">Loi argentine n° 26.984 </w:t>
      </w:r>
      <w:r w:rsidR="005C61D6" w:rsidRPr="00E72418">
        <w:rPr>
          <w:rFonts w:ascii="Times New Roman" w:hAnsi="Times New Roman" w:cs="Times New Roman"/>
          <w:szCs w:val="24"/>
        </w:rPr>
        <w:t>du 11</w:t>
      </w:r>
      <w:r w:rsidRPr="00E72418">
        <w:rPr>
          <w:rFonts w:ascii="Times New Roman" w:hAnsi="Times New Roman" w:cs="Times New Roman"/>
          <w:szCs w:val="24"/>
        </w:rPr>
        <w:t xml:space="preserve"> septembre 2014, dite la « sovereign payment law »</w:t>
      </w:r>
    </w:p>
    <w:p w14:paraId="4F1080BF" w14:textId="77777777" w:rsidR="00E849E0" w:rsidRPr="00E72418" w:rsidRDefault="00E849E0" w:rsidP="00E849E0">
      <w:pPr>
        <w:pStyle w:val="Paragraphedeliste"/>
        <w:spacing w:after="0"/>
        <w:rPr>
          <w:rFonts w:ascii="Times New Roman" w:hAnsi="Times New Roman" w:cs="Times New Roman"/>
          <w:b/>
          <w:sz w:val="14"/>
          <w:szCs w:val="14"/>
        </w:rPr>
      </w:pPr>
    </w:p>
    <w:p w14:paraId="2FDC8E49" w14:textId="77777777" w:rsidR="00BD3A60" w:rsidRPr="00E72418" w:rsidRDefault="00E849E0" w:rsidP="007D7D59">
      <w:pPr>
        <w:pStyle w:val="Paragraphedeliste"/>
        <w:numPr>
          <w:ilvl w:val="0"/>
          <w:numId w:val="7"/>
        </w:numPr>
        <w:spacing w:after="0"/>
        <w:rPr>
          <w:rFonts w:ascii="Times New Roman" w:hAnsi="Times New Roman" w:cs="Times New Roman"/>
          <w:b/>
          <w:szCs w:val="24"/>
        </w:rPr>
      </w:pPr>
      <w:r w:rsidRPr="00E72418">
        <w:rPr>
          <w:rFonts w:ascii="Times New Roman" w:hAnsi="Times New Roman" w:cs="Times New Roman"/>
          <w:szCs w:val="24"/>
        </w:rPr>
        <w:t>Loi argentine n° 23.928 du 27 mars 1991, dite la « convertibility law »</w:t>
      </w:r>
    </w:p>
    <w:p w14:paraId="6EB50050" w14:textId="77777777" w:rsidR="00BD3A60" w:rsidRPr="00E72418" w:rsidRDefault="00BD3A60" w:rsidP="00BD3A60">
      <w:pPr>
        <w:pStyle w:val="Paragraphedeliste"/>
        <w:rPr>
          <w:rFonts w:ascii="Times New Roman" w:hAnsi="Times New Roman" w:cs="Times New Roman"/>
          <w:sz w:val="14"/>
          <w:szCs w:val="14"/>
        </w:rPr>
      </w:pPr>
    </w:p>
    <w:p w14:paraId="58B3D63B" w14:textId="38910E40" w:rsidR="00A91208" w:rsidRPr="00E72418" w:rsidRDefault="00A91208" w:rsidP="007D7D59">
      <w:pPr>
        <w:pStyle w:val="Paragraphedeliste"/>
        <w:numPr>
          <w:ilvl w:val="0"/>
          <w:numId w:val="7"/>
        </w:numPr>
        <w:spacing w:after="0"/>
        <w:rPr>
          <w:rFonts w:ascii="Times New Roman" w:hAnsi="Times New Roman" w:cs="Times New Roman"/>
          <w:b/>
          <w:szCs w:val="24"/>
        </w:rPr>
      </w:pPr>
      <w:r w:rsidRPr="00E72418">
        <w:rPr>
          <w:rFonts w:ascii="Times New Roman" w:hAnsi="Times New Roman" w:cs="Times New Roman"/>
          <w:szCs w:val="24"/>
        </w:rPr>
        <w:t>Décret argentin n° 1570/01 du 1</w:t>
      </w:r>
      <w:r w:rsidRPr="00E72418">
        <w:rPr>
          <w:rFonts w:ascii="Times New Roman" w:hAnsi="Times New Roman" w:cs="Times New Roman"/>
          <w:szCs w:val="24"/>
          <w:vertAlign w:val="superscript"/>
        </w:rPr>
        <w:t>er</w:t>
      </w:r>
      <w:r w:rsidRPr="00E72418">
        <w:rPr>
          <w:rFonts w:ascii="Times New Roman" w:hAnsi="Times New Roman" w:cs="Times New Roman"/>
          <w:szCs w:val="24"/>
        </w:rPr>
        <w:t xml:space="preserve"> décembre 2001, </w:t>
      </w:r>
      <w:r w:rsidR="005C61D6" w:rsidRPr="00E72418">
        <w:rPr>
          <w:rFonts w:ascii="Times New Roman" w:hAnsi="Times New Roman" w:cs="Times New Roman"/>
          <w:szCs w:val="24"/>
        </w:rPr>
        <w:t>dit le</w:t>
      </w:r>
      <w:r w:rsidRPr="00E72418">
        <w:rPr>
          <w:rFonts w:ascii="Times New Roman" w:hAnsi="Times New Roman" w:cs="Times New Roman"/>
          <w:szCs w:val="24"/>
        </w:rPr>
        <w:t xml:space="preserve"> « Corralito ».</w:t>
      </w:r>
    </w:p>
    <w:p w14:paraId="35EF0437" w14:textId="4F8275BE" w:rsidR="005C61D6" w:rsidRPr="00E72418" w:rsidRDefault="005C61D6" w:rsidP="005C61D6">
      <w:pPr>
        <w:pStyle w:val="Paragraphedeliste"/>
        <w:spacing w:after="0"/>
        <w:rPr>
          <w:rFonts w:ascii="Times New Roman" w:hAnsi="Times New Roman" w:cs="Times New Roman"/>
          <w:b/>
          <w:sz w:val="14"/>
          <w:szCs w:val="14"/>
        </w:rPr>
      </w:pPr>
    </w:p>
    <w:p w14:paraId="5AEBD236" w14:textId="77777777" w:rsidR="00BD3A60" w:rsidRPr="00E72418" w:rsidRDefault="00BD3A60" w:rsidP="005C61D6">
      <w:pPr>
        <w:pStyle w:val="Paragraphedeliste"/>
        <w:spacing w:after="0"/>
        <w:rPr>
          <w:rFonts w:ascii="Times New Roman" w:hAnsi="Times New Roman" w:cs="Times New Roman"/>
          <w:b/>
          <w:sz w:val="14"/>
          <w:szCs w:val="14"/>
        </w:rPr>
      </w:pPr>
    </w:p>
    <w:p w14:paraId="0EDF3293" w14:textId="5FF273E2" w:rsidR="00A91208" w:rsidRPr="00E72418" w:rsidRDefault="00A91208" w:rsidP="001C2888">
      <w:pPr>
        <w:pStyle w:val="Paragraphedeliste"/>
        <w:numPr>
          <w:ilvl w:val="0"/>
          <w:numId w:val="9"/>
        </w:numPr>
        <w:spacing w:after="0"/>
        <w:rPr>
          <w:rFonts w:ascii="Times New Roman" w:hAnsi="Times New Roman" w:cs="Times New Roman"/>
          <w:b/>
          <w:szCs w:val="24"/>
        </w:rPr>
      </w:pPr>
      <w:r w:rsidRPr="00E72418">
        <w:rPr>
          <w:rFonts w:ascii="Times New Roman" w:hAnsi="Times New Roman" w:cs="Times New Roman"/>
          <w:szCs w:val="24"/>
        </w:rPr>
        <w:t>Loi grecque n° 4050/2012 du 23 février 2012, intitulée « Règles relatives à la modification des titres émis ou garantis par l’État grec avec l’accord des porteurs d’obligations »</w:t>
      </w:r>
    </w:p>
    <w:p w14:paraId="01BCF2BF" w14:textId="4EA03F64" w:rsidR="00996011" w:rsidRPr="00E72418" w:rsidRDefault="00996011" w:rsidP="005C61D6">
      <w:pPr>
        <w:pStyle w:val="Paragraphedeliste"/>
        <w:spacing w:after="0"/>
        <w:rPr>
          <w:rFonts w:ascii="Times New Roman" w:hAnsi="Times New Roman" w:cs="Times New Roman"/>
          <w:szCs w:val="24"/>
        </w:rPr>
      </w:pPr>
    </w:p>
    <w:p w14:paraId="74ACBBDD" w14:textId="78908833" w:rsidR="00B91DB7" w:rsidRPr="00E72418" w:rsidRDefault="00B91DB7">
      <w:pPr>
        <w:jc w:val="left"/>
        <w:rPr>
          <w:rFonts w:ascii="Times New Roman" w:hAnsi="Times New Roman" w:cs="Times New Roman"/>
          <w:szCs w:val="24"/>
        </w:rPr>
      </w:pPr>
      <w:r w:rsidRPr="00E72418">
        <w:rPr>
          <w:rFonts w:ascii="Times New Roman" w:hAnsi="Times New Roman" w:cs="Times New Roman"/>
          <w:szCs w:val="24"/>
        </w:rPr>
        <w:br w:type="page"/>
      </w:r>
    </w:p>
    <w:p w14:paraId="10D444B3" w14:textId="77777777" w:rsidR="00A91208" w:rsidRPr="00E72418" w:rsidRDefault="00A91208" w:rsidP="00A91208">
      <w:pPr>
        <w:pStyle w:val="BB"/>
        <w:rPr>
          <w:szCs w:val="36"/>
        </w:rPr>
      </w:pPr>
      <w:bookmarkStart w:id="522" w:name="_Toc84541036"/>
      <w:r w:rsidRPr="00E72418">
        <w:rPr>
          <w:szCs w:val="36"/>
        </w:rPr>
        <w:lastRenderedPageBreak/>
        <w:t>Jurisprudence</w:t>
      </w:r>
      <w:bookmarkEnd w:id="522"/>
      <w:r w:rsidRPr="00E72418">
        <w:rPr>
          <w:szCs w:val="36"/>
        </w:rPr>
        <w:t xml:space="preserve"> </w:t>
      </w:r>
    </w:p>
    <w:p w14:paraId="3A5C4BE3" w14:textId="77777777" w:rsidR="00A91208" w:rsidRPr="00E72418" w:rsidRDefault="00A91208" w:rsidP="00A91208">
      <w:pPr>
        <w:rPr>
          <w:rFonts w:ascii="Times New Roman" w:hAnsi="Times New Roman" w:cs="Times New Roman"/>
          <w:sz w:val="32"/>
          <w:szCs w:val="32"/>
        </w:rPr>
      </w:pPr>
    </w:p>
    <w:p w14:paraId="4915963E" w14:textId="5E251849" w:rsidR="004645F3" w:rsidRPr="00E72418" w:rsidRDefault="004645F3" w:rsidP="00BD3A60">
      <w:pPr>
        <w:pStyle w:val="CC"/>
      </w:pPr>
      <w:r w:rsidRPr="00E72418">
        <w:t>Cour international</w:t>
      </w:r>
      <w:r w:rsidR="007A654B" w:rsidRPr="00E72418">
        <w:t>e</w:t>
      </w:r>
      <w:r w:rsidRPr="00E72418">
        <w:t xml:space="preserve"> de Justice</w:t>
      </w:r>
    </w:p>
    <w:p w14:paraId="56F48B69" w14:textId="77777777" w:rsidR="00BD3A60" w:rsidRPr="00E72418" w:rsidRDefault="00BD3A60" w:rsidP="00BD3A60">
      <w:pPr>
        <w:pStyle w:val="Paragraphedeliste"/>
        <w:spacing w:after="0"/>
        <w:rPr>
          <w:rFonts w:ascii="Times New Roman" w:hAnsi="Times New Roman" w:cs="Times New Roman"/>
          <w:sz w:val="28"/>
          <w:szCs w:val="28"/>
        </w:rPr>
      </w:pPr>
    </w:p>
    <w:p w14:paraId="0B8D3DA1" w14:textId="62119100" w:rsidR="00A91208" w:rsidRPr="00E72418" w:rsidRDefault="00A91208" w:rsidP="00067C0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3 février 2012, </w:t>
      </w:r>
      <w:r w:rsidRPr="00E72418">
        <w:rPr>
          <w:rFonts w:ascii="Times New Roman" w:hAnsi="Times New Roman" w:cs="Times New Roman"/>
          <w:i/>
          <w:szCs w:val="24"/>
        </w:rPr>
        <w:t>Immunités juridictionnelles de l’État (Allemagne c. Italie ; Grèce (intervenant))</w:t>
      </w:r>
      <w:r w:rsidR="006107B9" w:rsidRPr="00E72418">
        <w:rPr>
          <w:rFonts w:ascii="Times New Roman" w:hAnsi="Times New Roman" w:cs="Times New Roman"/>
          <w:szCs w:val="24"/>
        </w:rPr>
        <w:t>, arrêt</w:t>
      </w:r>
    </w:p>
    <w:p w14:paraId="40880DD6" w14:textId="77777777" w:rsidR="006107B9" w:rsidRPr="00E72418" w:rsidRDefault="006107B9" w:rsidP="006107B9">
      <w:pPr>
        <w:pStyle w:val="Paragraphedeliste"/>
        <w:spacing w:after="0"/>
        <w:rPr>
          <w:rFonts w:ascii="Times New Roman" w:hAnsi="Times New Roman" w:cs="Times New Roman"/>
          <w:sz w:val="14"/>
          <w:szCs w:val="14"/>
        </w:rPr>
      </w:pPr>
    </w:p>
    <w:p w14:paraId="0A73FFAE" w14:textId="77777777" w:rsidR="00BD3A60" w:rsidRPr="00E72418" w:rsidRDefault="00A91208" w:rsidP="007D7D59">
      <w:pPr>
        <w:pStyle w:val="Paragraphedeliste"/>
        <w:numPr>
          <w:ilvl w:val="0"/>
          <w:numId w:val="10"/>
        </w:numPr>
        <w:spacing w:after="0"/>
      </w:pPr>
      <w:r w:rsidRPr="00E72418">
        <w:rPr>
          <w:rFonts w:ascii="Times New Roman" w:hAnsi="Times New Roman" w:cs="Times New Roman"/>
          <w:szCs w:val="24"/>
        </w:rPr>
        <w:t xml:space="preserve">14 février 2002, </w:t>
      </w:r>
      <w:r w:rsidRPr="00E72418">
        <w:rPr>
          <w:rFonts w:ascii="Times New Roman" w:hAnsi="Times New Roman" w:cs="Times New Roman"/>
          <w:i/>
          <w:szCs w:val="24"/>
        </w:rPr>
        <w:t>République démocratique du Congo c. Royaume de Belgique (affaire relative au mandat d’arrêt du 11 avril 2000)</w:t>
      </w:r>
      <w:r w:rsidRPr="00E72418">
        <w:rPr>
          <w:rFonts w:ascii="Times New Roman" w:hAnsi="Times New Roman" w:cs="Times New Roman"/>
          <w:szCs w:val="24"/>
        </w:rPr>
        <w:t>, arrêt</w:t>
      </w:r>
    </w:p>
    <w:p w14:paraId="1F2463D8" w14:textId="77777777" w:rsidR="00BD3A60" w:rsidRPr="00E72418" w:rsidRDefault="00BD3A60" w:rsidP="00BD3A60">
      <w:pPr>
        <w:pStyle w:val="Paragraphedeliste"/>
        <w:rPr>
          <w:rFonts w:ascii="Times New Roman" w:hAnsi="Times New Roman" w:cs="Times New Roman"/>
          <w:sz w:val="14"/>
          <w:szCs w:val="14"/>
        </w:rPr>
      </w:pPr>
    </w:p>
    <w:p w14:paraId="354BB9EA" w14:textId="6B612FCF" w:rsidR="00BD3A60" w:rsidRPr="00E72418" w:rsidRDefault="00A91208" w:rsidP="007D7D59">
      <w:pPr>
        <w:pStyle w:val="Paragraphedeliste"/>
        <w:numPr>
          <w:ilvl w:val="0"/>
          <w:numId w:val="10"/>
        </w:numPr>
        <w:spacing w:after="0"/>
      </w:pPr>
      <w:r w:rsidRPr="00E72418">
        <w:rPr>
          <w:rFonts w:ascii="Times New Roman" w:hAnsi="Times New Roman" w:cs="Times New Roman"/>
          <w:szCs w:val="24"/>
        </w:rPr>
        <w:t xml:space="preserve">12 juillet 1929, </w:t>
      </w:r>
      <w:r w:rsidRPr="00E72418">
        <w:rPr>
          <w:rFonts w:ascii="Times New Roman" w:hAnsi="Times New Roman" w:cs="Times New Roman"/>
          <w:i/>
          <w:szCs w:val="24"/>
        </w:rPr>
        <w:t>Affaire concernant le paiement de divers emprunts serbes émis en France et affaire relative au paiement, en or, des emprunts fédéraux brésiliens émis en France</w:t>
      </w:r>
      <w:r w:rsidR="006107B9" w:rsidRPr="00E72418">
        <w:rPr>
          <w:rFonts w:ascii="Times New Roman" w:hAnsi="Times New Roman" w:cs="Times New Roman"/>
          <w:szCs w:val="24"/>
        </w:rPr>
        <w:t>, arrêt</w:t>
      </w:r>
      <w:bookmarkStart w:id="523" w:name="_Toc84541038"/>
    </w:p>
    <w:p w14:paraId="35280EFD" w14:textId="64B79D07" w:rsidR="00BD3A60" w:rsidRPr="00E72418" w:rsidRDefault="00BD3A60" w:rsidP="00BD3A60">
      <w:pPr>
        <w:pStyle w:val="Paragraphedeliste"/>
      </w:pPr>
    </w:p>
    <w:p w14:paraId="73100509" w14:textId="77777777" w:rsidR="00BD3A60" w:rsidRPr="00E72418" w:rsidRDefault="00BD3A60" w:rsidP="00BD3A60">
      <w:pPr>
        <w:pStyle w:val="Paragraphedeliste"/>
      </w:pPr>
    </w:p>
    <w:p w14:paraId="57947D04" w14:textId="3F99A1D9" w:rsidR="00BD3A60" w:rsidRPr="00E72418" w:rsidRDefault="00A91208" w:rsidP="00BD3A60">
      <w:pPr>
        <w:pStyle w:val="CC"/>
      </w:pPr>
      <w:r w:rsidRPr="00E72418">
        <w:t>Cour eu</w:t>
      </w:r>
      <w:bookmarkEnd w:id="523"/>
      <w:r w:rsidR="004645F3" w:rsidRPr="00E72418">
        <w:t>ropéenne des droits de l’homme</w:t>
      </w:r>
    </w:p>
    <w:p w14:paraId="602C126D" w14:textId="77777777" w:rsidR="00BD3A60" w:rsidRPr="00E72418" w:rsidRDefault="00BD3A60" w:rsidP="00BD3A60">
      <w:pPr>
        <w:pStyle w:val="Paragraphedeliste"/>
        <w:spacing w:after="0"/>
        <w:rPr>
          <w:rFonts w:ascii="Times New Roman" w:hAnsi="Times New Roman" w:cs="Times New Roman"/>
          <w:sz w:val="28"/>
          <w:szCs w:val="28"/>
        </w:rPr>
      </w:pPr>
    </w:p>
    <w:p w14:paraId="0636DBE1" w14:textId="3A5EC158" w:rsidR="00A91208" w:rsidRPr="00E72418" w:rsidRDefault="00A91208" w:rsidP="007D45E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11 décembre 2018, </w:t>
      </w:r>
      <w:r w:rsidRPr="00E72418">
        <w:rPr>
          <w:rFonts w:ascii="Times New Roman" w:hAnsi="Times New Roman" w:cs="Times New Roman"/>
          <w:i/>
          <w:szCs w:val="24"/>
        </w:rPr>
        <w:t>Lekic c. Slovénie</w:t>
      </w:r>
      <w:r w:rsidRPr="00E72418">
        <w:rPr>
          <w:rFonts w:ascii="Times New Roman" w:hAnsi="Times New Roman" w:cs="Times New Roman"/>
          <w:szCs w:val="24"/>
        </w:rPr>
        <w:t>, arrêt, requête n° 36480/07</w:t>
      </w:r>
    </w:p>
    <w:p w14:paraId="019E07DB" w14:textId="77777777" w:rsidR="00A91208" w:rsidRPr="00E72418" w:rsidRDefault="00A91208" w:rsidP="00A91208">
      <w:pPr>
        <w:pStyle w:val="Paragraphedeliste"/>
        <w:rPr>
          <w:rFonts w:ascii="Times New Roman" w:hAnsi="Times New Roman" w:cs="Times New Roman"/>
          <w:sz w:val="14"/>
          <w:szCs w:val="14"/>
        </w:rPr>
      </w:pPr>
    </w:p>
    <w:p w14:paraId="26A0159D" w14:textId="1FD0A335"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15 mars 2018, </w:t>
      </w:r>
      <w:r w:rsidRPr="00E72418">
        <w:rPr>
          <w:rFonts w:ascii="Times New Roman" w:hAnsi="Times New Roman" w:cs="Times New Roman"/>
          <w:i/>
          <w:szCs w:val="24"/>
        </w:rPr>
        <w:t>Naït-Liman c. Suisse</w:t>
      </w:r>
      <w:r w:rsidRPr="00E72418">
        <w:rPr>
          <w:rFonts w:ascii="Times New Roman" w:hAnsi="Times New Roman" w:cs="Times New Roman"/>
          <w:szCs w:val="24"/>
        </w:rPr>
        <w:t>, arrêt, requête n° 51357/07</w:t>
      </w:r>
    </w:p>
    <w:p w14:paraId="6669F350" w14:textId="77777777" w:rsidR="00A91208" w:rsidRPr="00E72418" w:rsidRDefault="00A91208" w:rsidP="00A91208">
      <w:pPr>
        <w:pStyle w:val="Paragraphedeliste"/>
        <w:rPr>
          <w:rFonts w:ascii="Times New Roman" w:hAnsi="Times New Roman" w:cs="Times New Roman"/>
          <w:sz w:val="14"/>
          <w:szCs w:val="14"/>
        </w:rPr>
      </w:pPr>
    </w:p>
    <w:p w14:paraId="09A83EB0" w14:textId="18471177"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13 décembre 2016, </w:t>
      </w:r>
      <w:r w:rsidRPr="00E72418">
        <w:rPr>
          <w:rFonts w:ascii="Times New Roman" w:hAnsi="Times New Roman" w:cs="Times New Roman"/>
          <w:i/>
          <w:szCs w:val="24"/>
        </w:rPr>
        <w:t>Béláné Nagy c. Hongrie</w:t>
      </w:r>
      <w:r w:rsidRPr="00E72418">
        <w:rPr>
          <w:rFonts w:ascii="Times New Roman" w:hAnsi="Times New Roman" w:cs="Times New Roman"/>
          <w:szCs w:val="24"/>
        </w:rPr>
        <w:t>, arrêt, requête n° 30877/02</w:t>
      </w:r>
    </w:p>
    <w:p w14:paraId="5D13F6BA" w14:textId="77777777" w:rsidR="00BA1A7F" w:rsidRPr="00E72418" w:rsidRDefault="00BA1A7F" w:rsidP="00BA1A7F">
      <w:pPr>
        <w:pStyle w:val="Paragraphedeliste"/>
        <w:rPr>
          <w:rFonts w:ascii="Times New Roman" w:hAnsi="Times New Roman" w:cs="Times New Roman"/>
          <w:sz w:val="14"/>
          <w:szCs w:val="14"/>
        </w:rPr>
      </w:pPr>
    </w:p>
    <w:p w14:paraId="5EEA8207" w14:textId="518AC19C" w:rsidR="00BA1A7F" w:rsidRPr="00E72418" w:rsidRDefault="00BA1A7F" w:rsidP="008D1D70">
      <w:pPr>
        <w:pStyle w:val="Paragraphedeliste"/>
        <w:numPr>
          <w:ilvl w:val="0"/>
          <w:numId w:val="11"/>
        </w:numPr>
        <w:spacing w:after="0"/>
        <w:rPr>
          <w:rFonts w:ascii="Times New Roman" w:hAnsi="Times New Roman" w:cs="Times New Roman"/>
          <w:szCs w:val="24"/>
        </w:rPr>
      </w:pPr>
      <w:r w:rsidRPr="00E72418">
        <w:t xml:space="preserve">13 septembre 2016, </w:t>
      </w:r>
      <w:r w:rsidRPr="00E72418">
        <w:rPr>
          <w:i/>
        </w:rPr>
        <w:t>NML Capital Ltd. et EM Limited contre la Suisse</w:t>
      </w:r>
      <w:r w:rsidRPr="00E72418">
        <w:t>, décision, requête n° 7633/11</w:t>
      </w:r>
    </w:p>
    <w:p w14:paraId="1679900D" w14:textId="77777777" w:rsidR="00A91208" w:rsidRPr="00E72418" w:rsidRDefault="00A91208" w:rsidP="00A91208">
      <w:pPr>
        <w:pStyle w:val="Paragraphedeliste"/>
        <w:rPr>
          <w:rStyle w:val="s7d2086b4"/>
          <w:rFonts w:ascii="Times New Roman" w:hAnsi="Times New Roman" w:cs="Times New Roman"/>
          <w:sz w:val="14"/>
          <w:szCs w:val="14"/>
        </w:rPr>
      </w:pPr>
    </w:p>
    <w:p w14:paraId="5097F958" w14:textId="4E9D8306"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Style w:val="s7d2086b4"/>
          <w:rFonts w:ascii="Times New Roman" w:hAnsi="Times New Roman" w:cs="Times New Roman"/>
          <w:szCs w:val="24"/>
        </w:rPr>
        <w:t xml:space="preserve">21 juillet 2016, </w:t>
      </w:r>
      <w:r w:rsidRPr="00E72418">
        <w:rPr>
          <w:rStyle w:val="s7d2086b4"/>
          <w:rFonts w:ascii="Times New Roman" w:hAnsi="Times New Roman" w:cs="Times New Roman"/>
          <w:i/>
          <w:szCs w:val="24"/>
        </w:rPr>
        <w:t>Mamatas et autres c. Grèce</w:t>
      </w:r>
      <w:r w:rsidRPr="00E72418">
        <w:rPr>
          <w:rStyle w:val="s7d2086b4"/>
          <w:rFonts w:ascii="Times New Roman" w:hAnsi="Times New Roman" w:cs="Times New Roman"/>
          <w:szCs w:val="24"/>
        </w:rPr>
        <w:t xml:space="preserve">, arrêt, </w:t>
      </w:r>
      <w:r w:rsidRPr="00E72418">
        <w:rPr>
          <w:rFonts w:ascii="Times New Roman" w:hAnsi="Times New Roman" w:cs="Times New Roman"/>
          <w:szCs w:val="24"/>
        </w:rPr>
        <w:t>requêtes n</w:t>
      </w:r>
      <w:r w:rsidRPr="00E72418">
        <w:rPr>
          <w:rFonts w:ascii="Times New Roman" w:hAnsi="Times New Roman" w:cs="Times New Roman"/>
          <w:szCs w:val="24"/>
          <w:vertAlign w:val="superscript"/>
        </w:rPr>
        <w:t>os</w:t>
      </w:r>
      <w:r w:rsidRPr="00E72418">
        <w:rPr>
          <w:rFonts w:ascii="Times New Roman" w:hAnsi="Times New Roman" w:cs="Times New Roman"/>
          <w:szCs w:val="24"/>
        </w:rPr>
        <w:t xml:space="preserve"> 63066/14, 64297/14 et 66106/14</w:t>
      </w:r>
    </w:p>
    <w:p w14:paraId="71458EC4" w14:textId="77777777" w:rsidR="00A91208" w:rsidRPr="00E72418" w:rsidRDefault="00A91208" w:rsidP="00A91208">
      <w:pPr>
        <w:pStyle w:val="Paragraphedeliste"/>
        <w:rPr>
          <w:rFonts w:ascii="Times New Roman" w:hAnsi="Times New Roman" w:cs="Times New Roman"/>
          <w:sz w:val="14"/>
          <w:szCs w:val="14"/>
        </w:rPr>
      </w:pPr>
    </w:p>
    <w:p w14:paraId="1482E154" w14:textId="599D40DB"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19 juillet 2016, </w:t>
      </w:r>
      <w:r w:rsidRPr="00E72418">
        <w:rPr>
          <w:rFonts w:ascii="Times New Roman" w:hAnsi="Times New Roman" w:cs="Times New Roman"/>
          <w:i/>
          <w:iCs/>
          <w:szCs w:val="24"/>
        </w:rPr>
        <w:t xml:space="preserve">Flores Quiros </w:t>
      </w:r>
      <w:r w:rsidRPr="00E72418">
        <w:rPr>
          <w:rFonts w:ascii="Times New Roman" w:hAnsi="Times New Roman" w:cs="Times New Roman"/>
          <w:i/>
          <w:szCs w:val="24"/>
        </w:rPr>
        <w:t>c. Espagne</w:t>
      </w:r>
      <w:r w:rsidRPr="00E72418">
        <w:rPr>
          <w:rFonts w:ascii="Times New Roman" w:hAnsi="Times New Roman" w:cs="Times New Roman"/>
          <w:szCs w:val="24"/>
        </w:rPr>
        <w:t xml:space="preserve">, arrêt, </w:t>
      </w:r>
      <w:r w:rsidRPr="00E72418">
        <w:rPr>
          <w:rStyle w:val="s6b621b36"/>
          <w:rFonts w:ascii="Times New Roman" w:hAnsi="Times New Roman" w:cs="Times New Roman"/>
          <w:szCs w:val="24"/>
        </w:rPr>
        <w:t>r</w:t>
      </w:r>
      <w:r w:rsidRPr="00E72418">
        <w:rPr>
          <w:rFonts w:ascii="Times New Roman" w:hAnsi="Times New Roman" w:cs="Times New Roman"/>
          <w:szCs w:val="24"/>
        </w:rPr>
        <w:t>equête n</w:t>
      </w:r>
      <w:r w:rsidRPr="00E72418">
        <w:rPr>
          <w:rStyle w:val="sf1c7242d"/>
          <w:rFonts w:ascii="Times New Roman" w:hAnsi="Times New Roman" w:cs="Times New Roman"/>
          <w:szCs w:val="24"/>
        </w:rPr>
        <w:t xml:space="preserve">° </w:t>
      </w:r>
      <w:r w:rsidRPr="00E72418">
        <w:rPr>
          <w:rFonts w:ascii="Times New Roman" w:hAnsi="Times New Roman" w:cs="Times New Roman"/>
          <w:szCs w:val="24"/>
        </w:rPr>
        <w:t>75183/10</w:t>
      </w:r>
    </w:p>
    <w:p w14:paraId="7C0B0B2F" w14:textId="77777777" w:rsidR="00A91208" w:rsidRPr="00E72418" w:rsidRDefault="00A91208" w:rsidP="00A91208">
      <w:pPr>
        <w:pStyle w:val="Paragraphedeliste"/>
        <w:rPr>
          <w:rFonts w:ascii="Times New Roman" w:hAnsi="Times New Roman" w:cs="Times New Roman"/>
          <w:sz w:val="14"/>
          <w:szCs w:val="14"/>
        </w:rPr>
      </w:pPr>
    </w:p>
    <w:p w14:paraId="13B3CC7E" w14:textId="77777777" w:rsidR="004645F3" w:rsidRPr="00E72418" w:rsidRDefault="00A91208" w:rsidP="007D7D59">
      <w:pPr>
        <w:pStyle w:val="Paragraphedeliste"/>
        <w:numPr>
          <w:ilvl w:val="0"/>
          <w:numId w:val="11"/>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rPr>
        <w:t xml:space="preserve">23 mai 2016, </w:t>
      </w:r>
      <w:r w:rsidRPr="00E72418">
        <w:rPr>
          <w:rFonts w:ascii="Times New Roman" w:hAnsi="Times New Roman" w:cs="Times New Roman"/>
          <w:i/>
          <w:szCs w:val="24"/>
        </w:rPr>
        <w:t>Avotiņš c. Lettonie</w:t>
      </w:r>
      <w:r w:rsidRPr="00E72418">
        <w:rPr>
          <w:rFonts w:ascii="Times New Roman" w:hAnsi="Times New Roman" w:cs="Times New Roman"/>
          <w:szCs w:val="24"/>
        </w:rPr>
        <w:t xml:space="preserve">, arrêt, </w:t>
      </w:r>
      <w:r w:rsidRPr="00E72418">
        <w:rPr>
          <w:rStyle w:val="s6b621b36"/>
          <w:rFonts w:ascii="Times New Roman" w:hAnsi="Times New Roman" w:cs="Times New Roman"/>
          <w:szCs w:val="24"/>
        </w:rPr>
        <w:t>r</w:t>
      </w:r>
      <w:r w:rsidRPr="00E72418">
        <w:rPr>
          <w:rFonts w:ascii="Times New Roman" w:hAnsi="Times New Roman" w:cs="Times New Roman"/>
          <w:szCs w:val="24"/>
        </w:rPr>
        <w:t>equête n</w:t>
      </w:r>
      <w:r w:rsidRPr="00E72418">
        <w:rPr>
          <w:rStyle w:val="sf1c7242d"/>
          <w:rFonts w:ascii="Times New Roman" w:hAnsi="Times New Roman" w:cs="Times New Roman"/>
          <w:szCs w:val="24"/>
        </w:rPr>
        <w:t xml:space="preserve">° </w:t>
      </w:r>
      <w:hyperlink r:id="rId53" w:anchor="{%22appno%22:[%2218357/91%22]}" w:tgtFrame="_blank" w:history="1">
        <w:r w:rsidRPr="00E72418">
          <w:rPr>
            <w:rStyle w:val="Lienhypertexte"/>
            <w:rFonts w:ascii="Times New Roman" w:hAnsi="Times New Roman" w:cs="Times New Roman"/>
            <w:color w:val="auto"/>
            <w:szCs w:val="24"/>
            <w:u w:val="none"/>
          </w:rPr>
          <w:t>17502/07</w:t>
        </w:r>
      </w:hyperlink>
    </w:p>
    <w:p w14:paraId="7BB74A35" w14:textId="77777777" w:rsidR="004645F3" w:rsidRPr="00E72418" w:rsidRDefault="004645F3" w:rsidP="004645F3">
      <w:pPr>
        <w:pStyle w:val="Paragraphedeliste"/>
        <w:rPr>
          <w:rFonts w:ascii="Times New Roman" w:hAnsi="Times New Roman" w:cs="Times New Roman"/>
          <w:sz w:val="14"/>
          <w:szCs w:val="14"/>
        </w:rPr>
      </w:pPr>
    </w:p>
    <w:p w14:paraId="173A7BC0" w14:textId="687F0D82" w:rsidR="00A91208" w:rsidRPr="00E72418" w:rsidRDefault="00A91208" w:rsidP="007D7D59">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13 janvier 2015, </w:t>
      </w:r>
      <w:r w:rsidRPr="00E72418">
        <w:rPr>
          <w:rFonts w:ascii="Times New Roman" w:hAnsi="Times New Roman" w:cs="Times New Roman"/>
          <w:i/>
          <w:szCs w:val="24"/>
        </w:rPr>
        <w:t>NML Capital Ltd. c. France</w:t>
      </w:r>
      <w:r w:rsidRPr="00E72418">
        <w:rPr>
          <w:rFonts w:ascii="Times New Roman" w:hAnsi="Times New Roman" w:cs="Times New Roman"/>
          <w:szCs w:val="24"/>
        </w:rPr>
        <w:t>, décision, requête n° 23242/12</w:t>
      </w:r>
    </w:p>
    <w:p w14:paraId="39AA3F28" w14:textId="77777777" w:rsidR="00A91208" w:rsidRPr="00E72418" w:rsidRDefault="00A91208" w:rsidP="00A91208">
      <w:pPr>
        <w:pStyle w:val="Paragraphedeliste"/>
        <w:rPr>
          <w:rFonts w:ascii="Times New Roman" w:hAnsi="Times New Roman" w:cs="Times New Roman"/>
          <w:sz w:val="14"/>
          <w:szCs w:val="14"/>
        </w:rPr>
      </w:pPr>
    </w:p>
    <w:p w14:paraId="5345A32B" w14:textId="4D795813"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Style w:val="s7d2086b4"/>
          <w:rFonts w:ascii="Times New Roman" w:hAnsi="Times New Roman" w:cs="Times New Roman"/>
          <w:szCs w:val="24"/>
        </w:rPr>
        <w:t xml:space="preserve">4 février 2014, </w:t>
      </w:r>
      <w:r w:rsidRPr="00E72418">
        <w:rPr>
          <w:rStyle w:val="s7d2086b4"/>
          <w:rFonts w:ascii="Times New Roman" w:hAnsi="Times New Roman" w:cs="Times New Roman"/>
          <w:i/>
          <w:szCs w:val="24"/>
        </w:rPr>
        <w:t>Staibano et autres c. Italie</w:t>
      </w:r>
      <w:r w:rsidRPr="00E72418">
        <w:rPr>
          <w:rStyle w:val="s7d2086b4"/>
          <w:rFonts w:ascii="Times New Roman" w:hAnsi="Times New Roman" w:cs="Times New Roman"/>
          <w:szCs w:val="24"/>
        </w:rPr>
        <w:t xml:space="preserve">, arrêt, </w:t>
      </w:r>
      <w:r w:rsidRPr="00E72418">
        <w:rPr>
          <w:rFonts w:ascii="Times New Roman" w:hAnsi="Times New Roman" w:cs="Times New Roman"/>
          <w:szCs w:val="24"/>
        </w:rPr>
        <w:t>requête n° 29907/07</w:t>
      </w:r>
    </w:p>
    <w:p w14:paraId="319186F5" w14:textId="77777777" w:rsidR="00A91208" w:rsidRPr="00E72418" w:rsidRDefault="00A91208" w:rsidP="00A91208">
      <w:pPr>
        <w:pStyle w:val="Paragraphedeliste"/>
        <w:rPr>
          <w:rFonts w:ascii="Times New Roman" w:hAnsi="Times New Roman" w:cs="Times New Roman"/>
          <w:sz w:val="14"/>
          <w:szCs w:val="14"/>
        </w:rPr>
      </w:pPr>
    </w:p>
    <w:p w14:paraId="36F332C8" w14:textId="6A5522EA"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10 décembre 2013, </w:t>
      </w:r>
      <w:r w:rsidRPr="00E72418">
        <w:rPr>
          <w:rFonts w:ascii="Times New Roman" w:hAnsi="Times New Roman" w:cs="Times New Roman"/>
          <w:i/>
          <w:szCs w:val="24"/>
        </w:rPr>
        <w:t>Krstic c. Serbie</w:t>
      </w:r>
      <w:r w:rsidRPr="00E72418">
        <w:rPr>
          <w:rFonts w:ascii="Times New Roman" w:hAnsi="Times New Roman" w:cs="Times New Roman"/>
          <w:szCs w:val="24"/>
        </w:rPr>
        <w:t>, arrêt, requête n° 45394/06</w:t>
      </w:r>
    </w:p>
    <w:p w14:paraId="2AEFEAF7" w14:textId="77777777" w:rsidR="00A91208" w:rsidRPr="00E72418" w:rsidRDefault="00A91208" w:rsidP="00A91208">
      <w:pPr>
        <w:pStyle w:val="Paragraphedeliste"/>
        <w:rPr>
          <w:rFonts w:ascii="Times New Roman" w:hAnsi="Times New Roman" w:cs="Times New Roman"/>
          <w:sz w:val="14"/>
          <w:szCs w:val="14"/>
        </w:rPr>
      </w:pPr>
    </w:p>
    <w:p w14:paraId="5115C412" w14:textId="6F698005"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17 juillet 2012, </w:t>
      </w:r>
      <w:r w:rsidRPr="00E72418">
        <w:rPr>
          <w:rFonts w:ascii="Times New Roman" w:hAnsi="Times New Roman" w:cs="Times New Roman"/>
          <w:i/>
          <w:szCs w:val="24"/>
        </w:rPr>
        <w:t>Wallishauser c. Autriche</w:t>
      </w:r>
      <w:r w:rsidRPr="00E72418">
        <w:rPr>
          <w:rFonts w:ascii="Times New Roman" w:hAnsi="Times New Roman" w:cs="Times New Roman"/>
          <w:szCs w:val="24"/>
        </w:rPr>
        <w:t>, arrêt, requête n° 156/04</w:t>
      </w:r>
    </w:p>
    <w:p w14:paraId="4B0FC52C" w14:textId="77777777" w:rsidR="00A91208" w:rsidRPr="00E72418" w:rsidRDefault="00A91208" w:rsidP="00A91208">
      <w:pPr>
        <w:pStyle w:val="Paragraphedeliste"/>
        <w:rPr>
          <w:rFonts w:ascii="Times New Roman" w:hAnsi="Times New Roman" w:cs="Times New Roman"/>
          <w:sz w:val="14"/>
          <w:szCs w:val="14"/>
        </w:rPr>
      </w:pPr>
    </w:p>
    <w:p w14:paraId="370C12A2" w14:textId="16DF59FC"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10 février 2010, </w:t>
      </w:r>
      <w:r w:rsidRPr="00E72418">
        <w:rPr>
          <w:rFonts w:ascii="Times New Roman" w:hAnsi="Times New Roman" w:cs="Times New Roman"/>
          <w:i/>
          <w:szCs w:val="24"/>
        </w:rPr>
        <w:t>Malysh et autres c. Russie</w:t>
      </w:r>
      <w:r w:rsidRPr="00E72418">
        <w:rPr>
          <w:rFonts w:ascii="Times New Roman" w:hAnsi="Times New Roman" w:cs="Times New Roman"/>
          <w:szCs w:val="24"/>
        </w:rPr>
        <w:t>, arrêt, requête n° 30280/03</w:t>
      </w:r>
    </w:p>
    <w:p w14:paraId="6533AF09" w14:textId="77777777" w:rsidR="00A91208" w:rsidRPr="00E72418" w:rsidRDefault="00A91208" w:rsidP="00A91208">
      <w:pPr>
        <w:pStyle w:val="Paragraphedeliste"/>
        <w:rPr>
          <w:rFonts w:ascii="Times New Roman" w:hAnsi="Times New Roman" w:cs="Times New Roman"/>
          <w:sz w:val="14"/>
          <w:szCs w:val="14"/>
        </w:rPr>
      </w:pPr>
    </w:p>
    <w:p w14:paraId="0ACED27A" w14:textId="08F71157"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19 février 2009, </w:t>
      </w:r>
      <w:r w:rsidRPr="00E72418">
        <w:rPr>
          <w:rFonts w:ascii="Times New Roman" w:hAnsi="Times New Roman" w:cs="Times New Roman"/>
          <w:i/>
          <w:szCs w:val="24"/>
        </w:rPr>
        <w:t>Kozacioglu c. Turquie</w:t>
      </w:r>
      <w:r w:rsidRPr="00E72418">
        <w:rPr>
          <w:rFonts w:ascii="Times New Roman" w:hAnsi="Times New Roman" w:cs="Times New Roman"/>
          <w:szCs w:val="24"/>
        </w:rPr>
        <w:t>, arrêt, requête n° 2334/03</w:t>
      </w:r>
    </w:p>
    <w:p w14:paraId="3B6D3C81" w14:textId="77777777" w:rsidR="00A91208" w:rsidRPr="00E72418" w:rsidRDefault="00A91208" w:rsidP="00A91208">
      <w:pPr>
        <w:pStyle w:val="Paragraphedeliste"/>
        <w:rPr>
          <w:rFonts w:ascii="Times New Roman" w:hAnsi="Times New Roman" w:cs="Times New Roman"/>
          <w:sz w:val="14"/>
          <w:szCs w:val="14"/>
        </w:rPr>
      </w:pPr>
    </w:p>
    <w:p w14:paraId="68B704D1" w14:textId="7FE88E6E"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29 mars 2006, </w:t>
      </w:r>
      <w:r w:rsidRPr="00E72418">
        <w:rPr>
          <w:rFonts w:ascii="Times New Roman" w:hAnsi="Times New Roman" w:cs="Times New Roman"/>
          <w:i/>
          <w:szCs w:val="24"/>
        </w:rPr>
        <w:t>Scordino c. Italie (n° 1)</w:t>
      </w:r>
      <w:r w:rsidRPr="00E72418">
        <w:rPr>
          <w:rFonts w:ascii="Times New Roman" w:hAnsi="Times New Roman" w:cs="Times New Roman"/>
          <w:szCs w:val="24"/>
        </w:rPr>
        <w:t>, arrêt, requête n° 36813/97</w:t>
      </w:r>
    </w:p>
    <w:p w14:paraId="5040AB9A" w14:textId="77777777" w:rsidR="00A91208" w:rsidRPr="00E72418" w:rsidRDefault="00A91208" w:rsidP="00A91208">
      <w:pPr>
        <w:pStyle w:val="Paragraphedeliste"/>
        <w:rPr>
          <w:rFonts w:ascii="Times New Roman" w:hAnsi="Times New Roman" w:cs="Times New Roman"/>
          <w:sz w:val="14"/>
          <w:szCs w:val="14"/>
        </w:rPr>
      </w:pPr>
    </w:p>
    <w:p w14:paraId="5C041F71" w14:textId="3883B82D"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20 octobre 2005, </w:t>
      </w:r>
      <w:r w:rsidRPr="00E72418">
        <w:rPr>
          <w:rFonts w:ascii="Times New Roman" w:hAnsi="Times New Roman" w:cs="Times New Roman"/>
          <w:i/>
          <w:szCs w:val="24"/>
        </w:rPr>
        <w:t>Nosov c. Russie</w:t>
      </w:r>
      <w:r w:rsidRPr="00E72418">
        <w:rPr>
          <w:rFonts w:ascii="Times New Roman" w:hAnsi="Times New Roman" w:cs="Times New Roman"/>
          <w:szCs w:val="24"/>
        </w:rPr>
        <w:t>, décision, requête n° 30877/02</w:t>
      </w:r>
    </w:p>
    <w:p w14:paraId="25370C7E" w14:textId="77777777" w:rsidR="00A91208" w:rsidRPr="00E72418" w:rsidRDefault="00A91208" w:rsidP="00A91208">
      <w:pPr>
        <w:pStyle w:val="Paragraphedeliste"/>
        <w:rPr>
          <w:rFonts w:ascii="Times New Roman" w:hAnsi="Times New Roman" w:cs="Times New Roman"/>
          <w:sz w:val="14"/>
          <w:szCs w:val="14"/>
        </w:rPr>
      </w:pPr>
    </w:p>
    <w:p w14:paraId="4BE6FA77" w14:textId="1562EA71"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Style w:val="s7d2086b4"/>
          <w:rFonts w:ascii="Times New Roman" w:hAnsi="Times New Roman" w:cs="Times New Roman"/>
          <w:szCs w:val="24"/>
        </w:rPr>
        <w:t xml:space="preserve">6 octobre 2005, </w:t>
      </w:r>
      <w:r w:rsidRPr="00E72418">
        <w:rPr>
          <w:rFonts w:ascii="Times New Roman" w:hAnsi="Times New Roman" w:cs="Times New Roman"/>
          <w:i/>
          <w:szCs w:val="24"/>
        </w:rPr>
        <w:t>Maurice c. France</w:t>
      </w:r>
      <w:r w:rsidRPr="00E72418">
        <w:rPr>
          <w:rStyle w:val="s7d2086b4"/>
          <w:rFonts w:ascii="Times New Roman" w:hAnsi="Times New Roman" w:cs="Times New Roman"/>
          <w:szCs w:val="24"/>
        </w:rPr>
        <w:t xml:space="preserve">, arrêt, </w:t>
      </w:r>
      <w:r w:rsidRPr="00E72418">
        <w:rPr>
          <w:rFonts w:ascii="Times New Roman" w:hAnsi="Times New Roman" w:cs="Times New Roman"/>
          <w:szCs w:val="24"/>
        </w:rPr>
        <w:t>requête n° 11810/03</w:t>
      </w:r>
    </w:p>
    <w:p w14:paraId="77238603" w14:textId="77777777" w:rsidR="00A91208" w:rsidRPr="00E72418" w:rsidRDefault="00A91208" w:rsidP="00A91208">
      <w:pPr>
        <w:pStyle w:val="Paragraphedeliste"/>
        <w:rPr>
          <w:rFonts w:ascii="Times New Roman" w:hAnsi="Times New Roman" w:cs="Times New Roman"/>
          <w:sz w:val="14"/>
          <w:szCs w:val="14"/>
        </w:rPr>
      </w:pPr>
    </w:p>
    <w:p w14:paraId="28D918AD" w14:textId="3BAAC740"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28 septembre 2004, </w:t>
      </w:r>
      <w:r w:rsidRPr="00E72418">
        <w:rPr>
          <w:rFonts w:ascii="Times New Roman" w:hAnsi="Times New Roman" w:cs="Times New Roman"/>
          <w:i/>
          <w:szCs w:val="24"/>
        </w:rPr>
        <w:t>Kopecky c. Slovaquie</w:t>
      </w:r>
      <w:r w:rsidRPr="00E72418">
        <w:rPr>
          <w:rFonts w:ascii="Times New Roman" w:hAnsi="Times New Roman" w:cs="Times New Roman"/>
          <w:szCs w:val="24"/>
        </w:rPr>
        <w:t>, arrêt, requête n° 44912/98</w:t>
      </w:r>
    </w:p>
    <w:p w14:paraId="2B947ACB" w14:textId="77777777" w:rsidR="00A91208" w:rsidRPr="00E72418" w:rsidRDefault="00A91208" w:rsidP="00A91208">
      <w:pPr>
        <w:pStyle w:val="Paragraphedeliste"/>
        <w:rPr>
          <w:rFonts w:ascii="Times New Roman" w:hAnsi="Times New Roman" w:cs="Times New Roman"/>
          <w:sz w:val="14"/>
          <w:szCs w:val="14"/>
        </w:rPr>
      </w:pPr>
    </w:p>
    <w:p w14:paraId="7A377E55" w14:textId="2F7DBEBC"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Style w:val="s7d2086b4"/>
          <w:rFonts w:ascii="Times New Roman" w:hAnsi="Times New Roman" w:cs="Times New Roman"/>
          <w:szCs w:val="24"/>
        </w:rPr>
        <w:t xml:space="preserve">20 juillet 2004, </w:t>
      </w:r>
      <w:r w:rsidRPr="00E72418">
        <w:rPr>
          <w:rFonts w:ascii="Times New Roman" w:hAnsi="Times New Roman" w:cs="Times New Roman"/>
          <w:i/>
          <w:szCs w:val="24"/>
        </w:rPr>
        <w:t>Bäck c. Finlande</w:t>
      </w:r>
      <w:r w:rsidRPr="00E72418">
        <w:rPr>
          <w:rStyle w:val="s7d2086b4"/>
          <w:rFonts w:ascii="Times New Roman" w:hAnsi="Times New Roman" w:cs="Times New Roman"/>
          <w:szCs w:val="24"/>
        </w:rPr>
        <w:t xml:space="preserve">, arrêt, </w:t>
      </w:r>
      <w:r w:rsidRPr="00E72418">
        <w:rPr>
          <w:rFonts w:ascii="Times New Roman" w:hAnsi="Times New Roman" w:cs="Times New Roman"/>
          <w:szCs w:val="24"/>
        </w:rPr>
        <w:t>requête n° 37598/97</w:t>
      </w:r>
    </w:p>
    <w:p w14:paraId="3DF672BF" w14:textId="77777777" w:rsidR="00A91208" w:rsidRPr="00E72418" w:rsidRDefault="00A91208" w:rsidP="00A91208">
      <w:pPr>
        <w:pStyle w:val="Paragraphedeliste"/>
        <w:rPr>
          <w:rFonts w:ascii="Times New Roman" w:hAnsi="Times New Roman" w:cs="Times New Roman"/>
          <w:sz w:val="14"/>
          <w:szCs w:val="14"/>
        </w:rPr>
      </w:pPr>
    </w:p>
    <w:p w14:paraId="329CEA92" w14:textId="379667A9"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lastRenderedPageBreak/>
        <w:t xml:space="preserve">22 juin 2004, </w:t>
      </w:r>
      <w:r w:rsidRPr="00E72418">
        <w:rPr>
          <w:rFonts w:ascii="Times New Roman" w:hAnsi="Times New Roman" w:cs="Times New Roman"/>
          <w:i/>
          <w:szCs w:val="24"/>
        </w:rPr>
        <w:t>Broniowski c. Pologne</w:t>
      </w:r>
      <w:r w:rsidRPr="00E72418">
        <w:rPr>
          <w:rFonts w:ascii="Times New Roman" w:hAnsi="Times New Roman" w:cs="Times New Roman"/>
          <w:szCs w:val="24"/>
        </w:rPr>
        <w:t>, arrêt, requête n° 31443/96</w:t>
      </w:r>
    </w:p>
    <w:p w14:paraId="48DFAD11" w14:textId="77777777" w:rsidR="00A91208" w:rsidRPr="00E72418" w:rsidRDefault="00A91208" w:rsidP="00A91208">
      <w:pPr>
        <w:pStyle w:val="Paragraphedeliste"/>
        <w:rPr>
          <w:rFonts w:ascii="Times New Roman" w:hAnsi="Times New Roman" w:cs="Times New Roman"/>
          <w:sz w:val="14"/>
          <w:szCs w:val="14"/>
        </w:rPr>
      </w:pPr>
    </w:p>
    <w:p w14:paraId="47FF50B3" w14:textId="0FEC1AEC"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12 décembre 2002, </w:t>
      </w:r>
      <w:r w:rsidRPr="00E72418">
        <w:rPr>
          <w:rFonts w:ascii="Times New Roman" w:hAnsi="Times New Roman" w:cs="Times New Roman"/>
          <w:i/>
          <w:szCs w:val="24"/>
        </w:rPr>
        <w:t>Kalogeropoulou e.a. c. Grèce et Allemagne</w:t>
      </w:r>
      <w:r w:rsidRPr="00E72418">
        <w:rPr>
          <w:rFonts w:ascii="Times New Roman" w:hAnsi="Times New Roman" w:cs="Times New Roman"/>
          <w:szCs w:val="24"/>
        </w:rPr>
        <w:t>, décision, requête n° 59021/00</w:t>
      </w:r>
    </w:p>
    <w:p w14:paraId="28C7AF9B" w14:textId="77777777" w:rsidR="00A91208" w:rsidRPr="00E72418" w:rsidRDefault="00A91208" w:rsidP="00A91208">
      <w:pPr>
        <w:pStyle w:val="Paragraphedeliste"/>
        <w:rPr>
          <w:rFonts w:ascii="Times New Roman" w:hAnsi="Times New Roman" w:cs="Times New Roman"/>
          <w:sz w:val="14"/>
          <w:szCs w:val="14"/>
        </w:rPr>
      </w:pPr>
    </w:p>
    <w:p w14:paraId="0FA89937" w14:textId="5434AA44"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28 novembre 2002, </w:t>
      </w:r>
      <w:r w:rsidRPr="00E72418">
        <w:rPr>
          <w:rFonts w:ascii="Times New Roman" w:hAnsi="Times New Roman" w:cs="Times New Roman"/>
          <w:i/>
          <w:szCs w:val="24"/>
        </w:rPr>
        <w:t>ex-Roi de Grèce et autres c. Grèce</w:t>
      </w:r>
      <w:r w:rsidRPr="00E72418">
        <w:rPr>
          <w:rFonts w:ascii="Times New Roman" w:hAnsi="Times New Roman" w:cs="Times New Roman"/>
          <w:szCs w:val="24"/>
        </w:rPr>
        <w:t>, arrêt, requête n° 25701/94</w:t>
      </w:r>
    </w:p>
    <w:p w14:paraId="520A8688" w14:textId="77777777" w:rsidR="00A91208" w:rsidRPr="00E72418" w:rsidRDefault="00A91208" w:rsidP="00A91208">
      <w:pPr>
        <w:pStyle w:val="Paragraphedeliste"/>
        <w:rPr>
          <w:rFonts w:ascii="Times New Roman" w:hAnsi="Times New Roman" w:cs="Times New Roman"/>
          <w:sz w:val="14"/>
          <w:szCs w:val="14"/>
        </w:rPr>
      </w:pPr>
    </w:p>
    <w:p w14:paraId="78D7E80B" w14:textId="40CE4665"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4 septembre 2002, </w:t>
      </w:r>
      <w:r w:rsidRPr="00E72418">
        <w:rPr>
          <w:rFonts w:ascii="Times New Roman" w:hAnsi="Times New Roman" w:cs="Times New Roman"/>
          <w:i/>
          <w:szCs w:val="24"/>
        </w:rPr>
        <w:t>Bourdov. c. Russie</w:t>
      </w:r>
      <w:r w:rsidRPr="00E72418">
        <w:rPr>
          <w:rFonts w:ascii="Times New Roman" w:hAnsi="Times New Roman" w:cs="Times New Roman"/>
          <w:szCs w:val="24"/>
        </w:rPr>
        <w:t>, arrêt, requête n° 59498/00</w:t>
      </w:r>
    </w:p>
    <w:p w14:paraId="0DEDE9A2" w14:textId="77777777" w:rsidR="00A91208" w:rsidRPr="00E72418" w:rsidRDefault="00A91208" w:rsidP="00A91208">
      <w:pPr>
        <w:pStyle w:val="Paragraphedeliste"/>
        <w:rPr>
          <w:rFonts w:ascii="Times New Roman" w:hAnsi="Times New Roman" w:cs="Times New Roman"/>
          <w:sz w:val="14"/>
          <w:szCs w:val="14"/>
        </w:rPr>
      </w:pPr>
    </w:p>
    <w:p w14:paraId="7B28943C" w14:textId="45B5D398" w:rsidR="00A91208" w:rsidRPr="00E72418" w:rsidRDefault="00A91208" w:rsidP="008D1D70">
      <w:pPr>
        <w:pStyle w:val="Paragraphedeliste"/>
        <w:numPr>
          <w:ilvl w:val="0"/>
          <w:numId w:val="11"/>
        </w:numPr>
        <w:spacing w:after="0"/>
        <w:rPr>
          <w:rStyle w:val="s7d2086b4"/>
          <w:rFonts w:ascii="Times New Roman" w:hAnsi="Times New Roman" w:cs="Times New Roman"/>
          <w:szCs w:val="24"/>
        </w:rPr>
      </w:pPr>
      <w:r w:rsidRPr="00E72418">
        <w:rPr>
          <w:rStyle w:val="s7d2086b4"/>
          <w:rFonts w:ascii="Times New Roman" w:hAnsi="Times New Roman" w:cs="Times New Roman"/>
          <w:szCs w:val="24"/>
        </w:rPr>
        <w:t xml:space="preserve">11 avril 2002, </w:t>
      </w:r>
      <w:r w:rsidRPr="00E72418">
        <w:rPr>
          <w:rStyle w:val="s7d2086b4"/>
          <w:rFonts w:ascii="Times New Roman" w:hAnsi="Times New Roman" w:cs="Times New Roman"/>
          <w:i/>
          <w:szCs w:val="24"/>
        </w:rPr>
        <w:t>Lallement c. France</w:t>
      </w:r>
      <w:r w:rsidRPr="00E72418">
        <w:rPr>
          <w:rStyle w:val="s7d2086b4"/>
          <w:rFonts w:ascii="Times New Roman" w:hAnsi="Times New Roman" w:cs="Times New Roman"/>
          <w:szCs w:val="24"/>
        </w:rPr>
        <w:t>, arrêt, requête n° 46044/99</w:t>
      </w:r>
    </w:p>
    <w:p w14:paraId="5ECBBE53" w14:textId="77777777" w:rsidR="00A91208" w:rsidRPr="00E72418" w:rsidRDefault="00A91208" w:rsidP="00A91208">
      <w:pPr>
        <w:pStyle w:val="Paragraphedeliste"/>
        <w:rPr>
          <w:rFonts w:ascii="Times New Roman" w:hAnsi="Times New Roman" w:cs="Times New Roman"/>
          <w:sz w:val="14"/>
          <w:szCs w:val="14"/>
        </w:rPr>
      </w:pPr>
    </w:p>
    <w:p w14:paraId="49517229" w14:textId="1A0172C9"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novembre 2001, </w:t>
      </w:r>
      <w:r w:rsidRPr="00E72418">
        <w:rPr>
          <w:rFonts w:ascii="Times New Roman" w:hAnsi="Times New Roman" w:cs="Times New Roman"/>
          <w:i/>
          <w:szCs w:val="24"/>
        </w:rPr>
        <w:t>McElhinney c. Irlande</w:t>
      </w:r>
      <w:r w:rsidRPr="00E72418">
        <w:rPr>
          <w:rFonts w:ascii="Times New Roman" w:hAnsi="Times New Roman" w:cs="Times New Roman"/>
          <w:szCs w:val="24"/>
        </w:rPr>
        <w:t>, arrêt, requête n° 31253/96</w:t>
      </w:r>
    </w:p>
    <w:p w14:paraId="549559F9" w14:textId="77777777" w:rsidR="00A91208" w:rsidRPr="00E72418" w:rsidRDefault="00A91208" w:rsidP="00A91208">
      <w:pPr>
        <w:pStyle w:val="Paragraphedeliste"/>
        <w:rPr>
          <w:rFonts w:ascii="Times New Roman" w:hAnsi="Times New Roman" w:cs="Times New Roman"/>
          <w:sz w:val="14"/>
          <w:szCs w:val="14"/>
        </w:rPr>
      </w:pPr>
    </w:p>
    <w:p w14:paraId="00A97F73" w14:textId="59C06F25"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novembre 2001, </w:t>
      </w:r>
      <w:r w:rsidRPr="00E72418">
        <w:rPr>
          <w:rFonts w:ascii="Times New Roman" w:hAnsi="Times New Roman" w:cs="Times New Roman"/>
          <w:i/>
          <w:szCs w:val="24"/>
        </w:rPr>
        <w:t>Al Adsany c. Royaume-Uni</w:t>
      </w:r>
      <w:r w:rsidRPr="00E72418">
        <w:rPr>
          <w:rFonts w:ascii="Times New Roman" w:hAnsi="Times New Roman" w:cs="Times New Roman"/>
          <w:szCs w:val="24"/>
        </w:rPr>
        <w:t>, arrêt, requête n° 35763/97</w:t>
      </w:r>
    </w:p>
    <w:p w14:paraId="018B1807" w14:textId="77777777" w:rsidR="00A91208" w:rsidRPr="00E72418" w:rsidRDefault="00A91208" w:rsidP="00A91208">
      <w:pPr>
        <w:pStyle w:val="Paragraphedeliste"/>
        <w:rPr>
          <w:rFonts w:ascii="Times New Roman" w:hAnsi="Times New Roman" w:cs="Times New Roman"/>
          <w:sz w:val="14"/>
          <w:szCs w:val="14"/>
        </w:rPr>
      </w:pPr>
    </w:p>
    <w:p w14:paraId="50256F54" w14:textId="785A2667"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novembre 2001, </w:t>
      </w:r>
      <w:r w:rsidRPr="00E72418">
        <w:rPr>
          <w:rFonts w:ascii="Times New Roman" w:hAnsi="Times New Roman" w:cs="Times New Roman"/>
          <w:i/>
          <w:szCs w:val="24"/>
        </w:rPr>
        <w:t>Fogarty c. Royaume-Uni</w:t>
      </w:r>
      <w:r w:rsidRPr="00E72418">
        <w:rPr>
          <w:rFonts w:ascii="Times New Roman" w:hAnsi="Times New Roman" w:cs="Times New Roman"/>
          <w:szCs w:val="24"/>
        </w:rPr>
        <w:t>, arrêt, requête n° 37112/97</w:t>
      </w:r>
    </w:p>
    <w:p w14:paraId="472CC3FD" w14:textId="77777777" w:rsidR="00A91208" w:rsidRPr="00E72418" w:rsidRDefault="00A91208" w:rsidP="00A91208">
      <w:pPr>
        <w:pStyle w:val="Paragraphedeliste"/>
        <w:rPr>
          <w:rFonts w:ascii="Times New Roman" w:hAnsi="Times New Roman" w:cs="Times New Roman"/>
          <w:sz w:val="14"/>
          <w:szCs w:val="14"/>
        </w:rPr>
      </w:pPr>
    </w:p>
    <w:p w14:paraId="1B67A3AB" w14:textId="3C1EBC6F"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25 mars 1999, </w:t>
      </w:r>
      <w:r w:rsidRPr="00E72418">
        <w:rPr>
          <w:rFonts w:ascii="Times New Roman" w:hAnsi="Times New Roman" w:cs="Times New Roman"/>
          <w:i/>
          <w:szCs w:val="24"/>
        </w:rPr>
        <w:t>Iatridis c. Grèce</w:t>
      </w:r>
      <w:r w:rsidRPr="00E72418">
        <w:rPr>
          <w:rFonts w:ascii="Times New Roman" w:hAnsi="Times New Roman" w:cs="Times New Roman"/>
          <w:szCs w:val="24"/>
        </w:rPr>
        <w:t>, arrêt, requête n° 31107/96</w:t>
      </w:r>
    </w:p>
    <w:p w14:paraId="71FE9A08" w14:textId="77777777" w:rsidR="00A91208" w:rsidRPr="00E72418" w:rsidRDefault="00A91208" w:rsidP="00A91208">
      <w:pPr>
        <w:pStyle w:val="Paragraphedeliste"/>
        <w:rPr>
          <w:rFonts w:ascii="Times New Roman" w:hAnsi="Times New Roman" w:cs="Times New Roman"/>
          <w:sz w:val="14"/>
          <w:szCs w:val="14"/>
        </w:rPr>
      </w:pPr>
    </w:p>
    <w:p w14:paraId="4F68069D" w14:textId="6E4F0EF7"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19 mars 1997, </w:t>
      </w:r>
      <w:r w:rsidRPr="00E72418">
        <w:rPr>
          <w:rFonts w:ascii="Times New Roman" w:hAnsi="Times New Roman" w:cs="Times New Roman"/>
          <w:i/>
          <w:szCs w:val="24"/>
        </w:rPr>
        <w:t>Hornsby c. Grèce</w:t>
      </w:r>
      <w:r w:rsidRPr="00E72418">
        <w:rPr>
          <w:rFonts w:ascii="Times New Roman" w:hAnsi="Times New Roman" w:cs="Times New Roman"/>
          <w:szCs w:val="24"/>
        </w:rPr>
        <w:t xml:space="preserve">, arrêt, </w:t>
      </w:r>
      <w:r w:rsidRPr="00E72418">
        <w:rPr>
          <w:rStyle w:val="s6b621b36"/>
          <w:rFonts w:ascii="Times New Roman" w:hAnsi="Times New Roman" w:cs="Times New Roman"/>
          <w:szCs w:val="24"/>
        </w:rPr>
        <w:t>r</w:t>
      </w:r>
      <w:r w:rsidRPr="00E72418">
        <w:rPr>
          <w:rFonts w:ascii="Times New Roman" w:hAnsi="Times New Roman" w:cs="Times New Roman"/>
          <w:szCs w:val="24"/>
        </w:rPr>
        <w:t>equête n</w:t>
      </w:r>
      <w:r w:rsidRPr="00E72418">
        <w:rPr>
          <w:rStyle w:val="sf1c7242d"/>
          <w:rFonts w:ascii="Times New Roman" w:hAnsi="Times New Roman" w:cs="Times New Roman"/>
          <w:szCs w:val="24"/>
        </w:rPr>
        <w:t xml:space="preserve">° </w:t>
      </w:r>
      <w:hyperlink r:id="rId54" w:anchor="{%22appno%22:[%2218357/91%22]}" w:tgtFrame="_blank" w:history="1">
        <w:r w:rsidRPr="00E72418">
          <w:rPr>
            <w:rStyle w:val="Lienhypertexte"/>
            <w:rFonts w:ascii="Times New Roman" w:hAnsi="Times New Roman" w:cs="Times New Roman"/>
            <w:color w:val="auto"/>
            <w:szCs w:val="24"/>
            <w:u w:val="none"/>
          </w:rPr>
          <w:t>18357/91</w:t>
        </w:r>
      </w:hyperlink>
    </w:p>
    <w:p w14:paraId="656C1B20" w14:textId="77777777" w:rsidR="007D45E0" w:rsidRPr="00E72418" w:rsidRDefault="007D45E0" w:rsidP="00A91208">
      <w:pPr>
        <w:pStyle w:val="Paragraphedeliste"/>
        <w:rPr>
          <w:rFonts w:ascii="Times New Roman" w:hAnsi="Times New Roman" w:cs="Times New Roman"/>
          <w:sz w:val="14"/>
          <w:szCs w:val="14"/>
        </w:rPr>
      </w:pPr>
    </w:p>
    <w:p w14:paraId="7BF1025B" w14:textId="188B0FE7"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9 décembre 1994, </w:t>
      </w:r>
      <w:r w:rsidRPr="00E72418">
        <w:rPr>
          <w:rFonts w:ascii="Times New Roman" w:hAnsi="Times New Roman" w:cs="Times New Roman"/>
          <w:i/>
          <w:szCs w:val="24"/>
        </w:rPr>
        <w:t>Raffineries grecques Stran et Stratis Andreadis c. Grèce</w:t>
      </w:r>
      <w:r w:rsidRPr="00E72418">
        <w:rPr>
          <w:rFonts w:ascii="Times New Roman" w:hAnsi="Times New Roman" w:cs="Times New Roman"/>
          <w:szCs w:val="24"/>
        </w:rPr>
        <w:t>, arrêt, requête n° 13427/87</w:t>
      </w:r>
    </w:p>
    <w:p w14:paraId="67F4529E" w14:textId="77777777" w:rsidR="00A91208" w:rsidRPr="00E72418" w:rsidRDefault="00A91208" w:rsidP="00A91208">
      <w:pPr>
        <w:pStyle w:val="Paragraphedeliste"/>
        <w:rPr>
          <w:rFonts w:ascii="Times New Roman" w:hAnsi="Times New Roman" w:cs="Times New Roman"/>
          <w:sz w:val="14"/>
          <w:szCs w:val="14"/>
        </w:rPr>
      </w:pPr>
    </w:p>
    <w:p w14:paraId="23127774" w14:textId="39E6C32B"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lang w:val="en-US"/>
        </w:rPr>
        <w:t xml:space="preserve">18 février 1991, </w:t>
      </w:r>
      <w:r w:rsidRPr="00E72418">
        <w:rPr>
          <w:rFonts w:ascii="Times New Roman" w:hAnsi="Times New Roman" w:cs="Times New Roman"/>
          <w:i/>
          <w:szCs w:val="24"/>
          <w:lang w:val="en-US"/>
        </w:rPr>
        <w:t>Fredin contre Suède (n° 1)</w:t>
      </w:r>
      <w:r w:rsidRPr="00E72418">
        <w:rPr>
          <w:rFonts w:ascii="Times New Roman" w:hAnsi="Times New Roman" w:cs="Times New Roman"/>
          <w:szCs w:val="24"/>
          <w:lang w:val="en-US"/>
        </w:rPr>
        <w:t xml:space="preserve">, arrêt, requête n° </w:t>
      </w:r>
      <w:hyperlink r:id="rId55" w:anchor="{%22appno%22:[%2212033/86%22]}" w:tgtFrame="_blank" w:history="1">
        <w:r w:rsidRPr="00E72418">
          <w:rPr>
            <w:rStyle w:val="Lienhypertexte"/>
            <w:rFonts w:ascii="Times New Roman" w:hAnsi="Times New Roman" w:cs="Times New Roman"/>
            <w:color w:val="auto"/>
            <w:szCs w:val="24"/>
            <w:u w:val="none"/>
            <w:lang w:val="en-US"/>
          </w:rPr>
          <w:t>12033/86</w:t>
        </w:r>
      </w:hyperlink>
    </w:p>
    <w:p w14:paraId="167D60E1" w14:textId="77777777" w:rsidR="00A91208" w:rsidRPr="00E72418" w:rsidRDefault="00A91208" w:rsidP="00A91208">
      <w:pPr>
        <w:pStyle w:val="Paragraphedeliste"/>
        <w:rPr>
          <w:rFonts w:ascii="Times New Roman" w:hAnsi="Times New Roman" w:cs="Times New Roman"/>
          <w:sz w:val="14"/>
          <w:szCs w:val="14"/>
        </w:rPr>
      </w:pPr>
    </w:p>
    <w:p w14:paraId="62FA5301" w14:textId="77B02B66"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février 1990, </w:t>
      </w:r>
      <w:r w:rsidRPr="00E72418">
        <w:rPr>
          <w:rFonts w:ascii="Times New Roman" w:hAnsi="Times New Roman" w:cs="Times New Roman"/>
          <w:i/>
          <w:szCs w:val="24"/>
        </w:rPr>
        <w:t>Håkansson et Sturesson c. Suède</w:t>
      </w:r>
      <w:r w:rsidRPr="00E72418">
        <w:rPr>
          <w:rFonts w:ascii="Times New Roman" w:hAnsi="Times New Roman" w:cs="Times New Roman"/>
          <w:szCs w:val="24"/>
        </w:rPr>
        <w:t>, arrêt, requête n° 11855/85</w:t>
      </w:r>
    </w:p>
    <w:p w14:paraId="384F4134" w14:textId="77777777" w:rsidR="00A91208" w:rsidRPr="00E72418" w:rsidRDefault="00A91208" w:rsidP="00A91208">
      <w:pPr>
        <w:pStyle w:val="Paragraphedeliste"/>
        <w:rPr>
          <w:rFonts w:ascii="Times New Roman" w:hAnsi="Times New Roman" w:cs="Times New Roman"/>
          <w:sz w:val="14"/>
          <w:szCs w:val="14"/>
        </w:rPr>
      </w:pPr>
    </w:p>
    <w:p w14:paraId="53853AAF" w14:textId="79775592"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8 juillet 1986, </w:t>
      </w:r>
      <w:r w:rsidRPr="00E72418">
        <w:rPr>
          <w:rFonts w:ascii="Times New Roman" w:hAnsi="Times New Roman" w:cs="Times New Roman"/>
          <w:i/>
          <w:szCs w:val="24"/>
        </w:rPr>
        <w:t>Lithgow et autres c. Royaume-Uni</w:t>
      </w:r>
      <w:r w:rsidRPr="00E72418">
        <w:rPr>
          <w:rFonts w:ascii="Times New Roman" w:hAnsi="Times New Roman" w:cs="Times New Roman"/>
          <w:szCs w:val="24"/>
        </w:rPr>
        <w:t>, arrêt, requêtes n</w:t>
      </w:r>
      <w:r w:rsidRPr="00E72418">
        <w:rPr>
          <w:rFonts w:ascii="Times New Roman" w:hAnsi="Times New Roman" w:cs="Times New Roman"/>
          <w:szCs w:val="24"/>
          <w:vertAlign w:val="superscript"/>
        </w:rPr>
        <w:t>os</w:t>
      </w:r>
      <w:r w:rsidRPr="00E72418">
        <w:rPr>
          <w:rFonts w:ascii="Times New Roman" w:hAnsi="Times New Roman" w:cs="Times New Roman"/>
          <w:szCs w:val="24"/>
        </w:rPr>
        <w:t xml:space="preserve"> 9006/80 </w:t>
      </w:r>
      <w:r w:rsidRPr="00E72418">
        <w:rPr>
          <w:rFonts w:ascii="Times New Roman" w:hAnsi="Times New Roman" w:cs="Times New Roman"/>
          <w:i/>
          <w:szCs w:val="24"/>
        </w:rPr>
        <w:t>et al.</w:t>
      </w:r>
    </w:p>
    <w:p w14:paraId="392940C3" w14:textId="77777777" w:rsidR="00A91208" w:rsidRPr="00E72418" w:rsidRDefault="00A91208" w:rsidP="00A91208">
      <w:pPr>
        <w:pStyle w:val="Paragraphedeliste"/>
        <w:rPr>
          <w:rFonts w:ascii="Times New Roman" w:hAnsi="Times New Roman" w:cs="Times New Roman"/>
          <w:sz w:val="14"/>
          <w:szCs w:val="14"/>
        </w:rPr>
      </w:pPr>
    </w:p>
    <w:p w14:paraId="7EA655F9" w14:textId="210E7E3D"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février 1986, </w:t>
      </w:r>
      <w:r w:rsidRPr="00E72418">
        <w:rPr>
          <w:rFonts w:ascii="Times New Roman" w:hAnsi="Times New Roman" w:cs="Times New Roman"/>
          <w:i/>
          <w:szCs w:val="24"/>
        </w:rPr>
        <w:t>James et autres c. Royaume-Uni</w:t>
      </w:r>
      <w:r w:rsidRPr="00E72418">
        <w:rPr>
          <w:rFonts w:ascii="Times New Roman" w:hAnsi="Times New Roman" w:cs="Times New Roman"/>
          <w:szCs w:val="24"/>
        </w:rPr>
        <w:t>, arrêt, requête n° 8793/79</w:t>
      </w:r>
    </w:p>
    <w:p w14:paraId="4E3D2931" w14:textId="77777777" w:rsidR="00A91208" w:rsidRPr="00E72418" w:rsidRDefault="00A91208" w:rsidP="00A91208">
      <w:pPr>
        <w:pStyle w:val="Paragraphedeliste"/>
        <w:rPr>
          <w:rFonts w:ascii="Times New Roman" w:hAnsi="Times New Roman" w:cs="Times New Roman"/>
          <w:sz w:val="14"/>
          <w:szCs w:val="14"/>
        </w:rPr>
      </w:pPr>
    </w:p>
    <w:p w14:paraId="1B6220D5" w14:textId="10AE219D"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28 mai 1985, </w:t>
      </w:r>
      <w:r w:rsidRPr="00E72418">
        <w:rPr>
          <w:rFonts w:ascii="Times New Roman" w:hAnsi="Times New Roman" w:cs="Times New Roman"/>
          <w:i/>
          <w:szCs w:val="24"/>
        </w:rPr>
        <w:t>Ashingdane c. Royaume-Uni</w:t>
      </w:r>
      <w:r w:rsidRPr="00E72418">
        <w:rPr>
          <w:rFonts w:ascii="Times New Roman" w:hAnsi="Times New Roman" w:cs="Times New Roman"/>
          <w:szCs w:val="24"/>
        </w:rPr>
        <w:t>, arrêt, requête n° 8225/78</w:t>
      </w:r>
    </w:p>
    <w:p w14:paraId="1E9251AA" w14:textId="77777777" w:rsidR="00A91208" w:rsidRPr="00E72418" w:rsidRDefault="00A91208" w:rsidP="00A91208">
      <w:pPr>
        <w:pStyle w:val="Paragraphedeliste"/>
        <w:rPr>
          <w:rFonts w:ascii="Times New Roman" w:hAnsi="Times New Roman" w:cs="Times New Roman"/>
          <w:sz w:val="14"/>
          <w:szCs w:val="14"/>
        </w:rPr>
      </w:pPr>
    </w:p>
    <w:p w14:paraId="6E53A8C4" w14:textId="67C4FF3E" w:rsidR="00A91208" w:rsidRPr="00E72418" w:rsidRDefault="00A91208" w:rsidP="008D1D70">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23 septembre 1982, </w:t>
      </w:r>
      <w:r w:rsidRPr="00E72418">
        <w:rPr>
          <w:rFonts w:ascii="Times New Roman" w:hAnsi="Times New Roman" w:cs="Times New Roman"/>
          <w:i/>
          <w:szCs w:val="24"/>
        </w:rPr>
        <w:t>Sporrong et Lönnroth c. Suède</w:t>
      </w:r>
      <w:r w:rsidRPr="00E72418">
        <w:rPr>
          <w:rFonts w:ascii="Times New Roman" w:hAnsi="Times New Roman" w:cs="Times New Roman"/>
          <w:szCs w:val="24"/>
        </w:rPr>
        <w:t>, arrêt, requêtes n</w:t>
      </w:r>
      <w:r w:rsidRPr="00E72418">
        <w:rPr>
          <w:rFonts w:ascii="Times New Roman" w:hAnsi="Times New Roman" w:cs="Times New Roman"/>
          <w:szCs w:val="24"/>
          <w:vertAlign w:val="superscript"/>
        </w:rPr>
        <w:t>os</w:t>
      </w:r>
      <w:r w:rsidRPr="00E72418">
        <w:rPr>
          <w:rFonts w:ascii="Times New Roman" w:hAnsi="Times New Roman" w:cs="Times New Roman"/>
          <w:szCs w:val="24"/>
        </w:rPr>
        <w:t xml:space="preserve"> 7151/75 et 7152/75</w:t>
      </w:r>
    </w:p>
    <w:p w14:paraId="1A7E6862" w14:textId="77777777" w:rsidR="00A91208" w:rsidRPr="00E72418" w:rsidRDefault="00A91208" w:rsidP="00A91208">
      <w:pPr>
        <w:pStyle w:val="Paragraphedeliste"/>
        <w:rPr>
          <w:rFonts w:ascii="Times New Roman" w:hAnsi="Times New Roman" w:cs="Times New Roman"/>
          <w:sz w:val="14"/>
          <w:szCs w:val="14"/>
        </w:rPr>
      </w:pPr>
    </w:p>
    <w:p w14:paraId="5204EC7D" w14:textId="1AF8F7FD" w:rsidR="00B67641" w:rsidRPr="00E72418" w:rsidRDefault="00A91208" w:rsidP="004645F3">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21 février 1975, </w:t>
      </w:r>
      <w:r w:rsidRPr="00E72418">
        <w:rPr>
          <w:rFonts w:ascii="Times New Roman" w:hAnsi="Times New Roman" w:cs="Times New Roman"/>
          <w:i/>
          <w:szCs w:val="24"/>
        </w:rPr>
        <w:t>Golder c. Royaume-Uni</w:t>
      </w:r>
      <w:r w:rsidRPr="00E72418">
        <w:rPr>
          <w:rFonts w:ascii="Times New Roman" w:hAnsi="Times New Roman" w:cs="Times New Roman"/>
          <w:szCs w:val="24"/>
        </w:rPr>
        <w:t>, arrêt, requête n° 4451/70</w:t>
      </w:r>
    </w:p>
    <w:p w14:paraId="58A9E8F4" w14:textId="77777777" w:rsidR="004645F3" w:rsidRPr="00E72418" w:rsidRDefault="004645F3" w:rsidP="004645F3">
      <w:pPr>
        <w:pStyle w:val="Paragraphedeliste"/>
        <w:rPr>
          <w:rFonts w:ascii="Times New Roman" w:hAnsi="Times New Roman" w:cs="Times New Roman"/>
          <w:szCs w:val="24"/>
        </w:rPr>
      </w:pPr>
    </w:p>
    <w:p w14:paraId="5C4E5AC8" w14:textId="77777777" w:rsidR="004645F3" w:rsidRPr="00E72418" w:rsidRDefault="004645F3" w:rsidP="00BD3A60">
      <w:pPr>
        <w:pStyle w:val="Paragraphedeliste"/>
        <w:spacing w:after="0"/>
        <w:rPr>
          <w:rFonts w:ascii="Times New Roman" w:hAnsi="Times New Roman" w:cs="Times New Roman"/>
          <w:szCs w:val="24"/>
        </w:rPr>
      </w:pPr>
    </w:p>
    <w:p w14:paraId="549141FF" w14:textId="3E6DDCCF" w:rsidR="004645F3" w:rsidRPr="00E72418" w:rsidRDefault="004645F3" w:rsidP="004645F3">
      <w:pPr>
        <w:pStyle w:val="CC"/>
        <w:rPr>
          <w:rFonts w:ascii="Times New Roman" w:hAnsi="Times New Roman" w:cs="Times New Roman"/>
          <w:sz w:val="14"/>
          <w:szCs w:val="14"/>
        </w:rPr>
      </w:pPr>
      <w:r w:rsidRPr="00E72418">
        <w:t>Cour de justice de l’Union européenne et Tribunal</w:t>
      </w:r>
    </w:p>
    <w:p w14:paraId="39B412AD" w14:textId="77777777" w:rsidR="00B67641" w:rsidRPr="00E72418" w:rsidRDefault="00B67641" w:rsidP="00B67641">
      <w:pPr>
        <w:pStyle w:val="Paragraphedeliste"/>
        <w:rPr>
          <w:rFonts w:ascii="Times New Roman" w:hAnsi="Times New Roman" w:cs="Times New Roman"/>
          <w:sz w:val="28"/>
          <w:szCs w:val="28"/>
        </w:rPr>
      </w:pPr>
    </w:p>
    <w:p w14:paraId="2AC1B002" w14:textId="1A6DDE3E" w:rsidR="00B67641" w:rsidRPr="00E72418" w:rsidRDefault="00B67641" w:rsidP="00B67641">
      <w:pPr>
        <w:pStyle w:val="Paragraphedeliste"/>
        <w:numPr>
          <w:ilvl w:val="0"/>
          <w:numId w:val="11"/>
        </w:numPr>
        <w:spacing w:after="0"/>
        <w:rPr>
          <w:rFonts w:ascii="Times New Roman" w:hAnsi="Times New Roman" w:cs="Times New Roman"/>
          <w:szCs w:val="24"/>
        </w:rPr>
      </w:pPr>
      <w:r w:rsidRPr="00E72418">
        <w:rPr>
          <w:rFonts w:ascii="Times New Roman" w:hAnsi="Times New Roman" w:cs="Times New Roman"/>
          <w:szCs w:val="24"/>
        </w:rPr>
        <w:t xml:space="preserve">C.J.U.E., 15 novembre 2018, </w:t>
      </w:r>
      <w:r w:rsidRPr="00E72418">
        <w:rPr>
          <w:rFonts w:ascii="Times New Roman" w:hAnsi="Times New Roman" w:cs="Times New Roman"/>
          <w:i/>
          <w:szCs w:val="24"/>
        </w:rPr>
        <w:t>Hellenische Republik contre Leo Kuhn</w:t>
      </w:r>
      <w:r w:rsidRPr="00E72418">
        <w:rPr>
          <w:rFonts w:ascii="Times New Roman" w:hAnsi="Times New Roman" w:cs="Times New Roman"/>
          <w:szCs w:val="24"/>
        </w:rPr>
        <w:t>, arrêt, n° C-308/17</w:t>
      </w:r>
    </w:p>
    <w:p w14:paraId="4E7FAC19" w14:textId="77777777" w:rsidR="007D45E0" w:rsidRPr="00E72418" w:rsidRDefault="007D45E0" w:rsidP="007D45E0">
      <w:pPr>
        <w:pStyle w:val="Paragraphedeliste"/>
        <w:rPr>
          <w:rFonts w:ascii="Times New Roman" w:hAnsi="Times New Roman" w:cs="Times New Roman"/>
          <w:sz w:val="14"/>
          <w:szCs w:val="14"/>
        </w:rPr>
      </w:pPr>
    </w:p>
    <w:p w14:paraId="0BA48CAE" w14:textId="74F952CC" w:rsidR="00B67641" w:rsidRPr="00E72418" w:rsidRDefault="007D45E0" w:rsidP="007D7D59">
      <w:pPr>
        <w:pStyle w:val="Paragraphedeliste"/>
        <w:numPr>
          <w:ilvl w:val="0"/>
          <w:numId w:val="11"/>
        </w:numPr>
        <w:spacing w:after="0"/>
        <w:rPr>
          <w:rFonts w:ascii="Times New Roman" w:hAnsi="Times New Roman" w:cs="Times New Roman"/>
          <w:sz w:val="14"/>
          <w:szCs w:val="14"/>
        </w:rPr>
      </w:pPr>
      <w:r w:rsidRPr="00E72418">
        <w:rPr>
          <w:rFonts w:ascii="Times New Roman" w:hAnsi="Times New Roman" w:cs="Times New Roman"/>
          <w:szCs w:val="24"/>
        </w:rPr>
        <w:t xml:space="preserve">C.J.U.E., 11 juin 2015, </w:t>
      </w:r>
      <w:r w:rsidRPr="00E72418">
        <w:rPr>
          <w:rFonts w:ascii="Times New Roman" w:hAnsi="Times New Roman" w:cs="Times New Roman"/>
          <w:i/>
          <w:szCs w:val="24"/>
        </w:rPr>
        <w:t>Fahnenbrock c. République hellénique</w:t>
      </w:r>
      <w:r w:rsidRPr="00E72418">
        <w:rPr>
          <w:rFonts w:ascii="Times New Roman" w:hAnsi="Times New Roman" w:cs="Times New Roman"/>
          <w:szCs w:val="24"/>
        </w:rPr>
        <w:t>, arrêt, affaires jointes n</w:t>
      </w:r>
      <w:r w:rsidRPr="00E72418">
        <w:rPr>
          <w:rFonts w:ascii="Times New Roman" w:hAnsi="Times New Roman" w:cs="Times New Roman"/>
          <w:szCs w:val="24"/>
          <w:vertAlign w:val="superscript"/>
        </w:rPr>
        <w:t>os</w:t>
      </w:r>
      <w:r w:rsidRPr="00E72418">
        <w:rPr>
          <w:rFonts w:ascii="Times New Roman" w:hAnsi="Times New Roman" w:cs="Times New Roman"/>
          <w:szCs w:val="24"/>
        </w:rPr>
        <w:t xml:space="preserve"> C-226/13, C-245/13, 247/13 et 578/13</w:t>
      </w:r>
    </w:p>
    <w:p w14:paraId="17C8B14B" w14:textId="77777777" w:rsidR="00072604" w:rsidRPr="00E72418" w:rsidRDefault="00072604" w:rsidP="00072604">
      <w:pPr>
        <w:pStyle w:val="Paragraphedeliste"/>
        <w:rPr>
          <w:rFonts w:ascii="Times New Roman" w:hAnsi="Times New Roman" w:cs="Times New Roman"/>
          <w:sz w:val="14"/>
          <w:szCs w:val="14"/>
        </w:rPr>
      </w:pPr>
    </w:p>
    <w:p w14:paraId="1BEA539F" w14:textId="77777777" w:rsidR="00072604" w:rsidRPr="00E72418" w:rsidRDefault="00072604" w:rsidP="00072604">
      <w:pPr>
        <w:pStyle w:val="Paragraphedeliste"/>
        <w:spacing w:after="0"/>
        <w:rPr>
          <w:rFonts w:ascii="Times New Roman" w:hAnsi="Times New Roman" w:cs="Times New Roman"/>
          <w:sz w:val="14"/>
          <w:szCs w:val="14"/>
        </w:rPr>
      </w:pPr>
    </w:p>
    <w:p w14:paraId="5022C593" w14:textId="37727EA0" w:rsidR="00BD3A60" w:rsidRPr="00E72418" w:rsidRDefault="007D45E0" w:rsidP="007D7D59">
      <w:pPr>
        <w:pStyle w:val="Paragraphedeliste"/>
        <w:numPr>
          <w:ilvl w:val="0"/>
          <w:numId w:val="11"/>
        </w:numPr>
        <w:spacing w:after="0"/>
      </w:pPr>
      <w:r w:rsidRPr="00E72418">
        <w:rPr>
          <w:rFonts w:ascii="Times New Roman" w:hAnsi="Times New Roman" w:cs="Times New Roman"/>
          <w:szCs w:val="24"/>
        </w:rPr>
        <w:t xml:space="preserve">Tribunal U.E., 7 octobre 2015, </w:t>
      </w:r>
      <w:r w:rsidRPr="00E72418">
        <w:rPr>
          <w:rFonts w:ascii="Times New Roman" w:hAnsi="Times New Roman" w:cs="Times New Roman"/>
          <w:i/>
          <w:szCs w:val="24"/>
        </w:rPr>
        <w:t>Alessandro Accorinti e.a. c. Banque centrale européenne</w:t>
      </w:r>
      <w:r w:rsidRPr="00E72418">
        <w:rPr>
          <w:rFonts w:ascii="Times New Roman" w:hAnsi="Times New Roman" w:cs="Times New Roman"/>
          <w:szCs w:val="24"/>
        </w:rPr>
        <w:t>, arrêt, n° T-79/13</w:t>
      </w:r>
    </w:p>
    <w:p w14:paraId="3E708B81" w14:textId="793B0D0D" w:rsidR="00BD3A60" w:rsidRPr="00E72418" w:rsidRDefault="00BD3A60" w:rsidP="00BD3A60">
      <w:pPr>
        <w:pStyle w:val="Paragraphedeliste"/>
        <w:spacing w:after="0"/>
      </w:pPr>
    </w:p>
    <w:p w14:paraId="6970ADCC" w14:textId="77777777" w:rsidR="00BD3A60" w:rsidRPr="00E72418" w:rsidRDefault="00BD3A60" w:rsidP="00BD3A60">
      <w:pPr>
        <w:pStyle w:val="Paragraphedeliste"/>
        <w:spacing w:after="0"/>
      </w:pPr>
    </w:p>
    <w:p w14:paraId="575EEF77" w14:textId="77777777" w:rsidR="00B91DB7" w:rsidRPr="00E72418" w:rsidRDefault="00B91DB7">
      <w:pPr>
        <w:jc w:val="left"/>
        <w:rPr>
          <w:rFonts w:eastAsiaTheme="majorEastAsia" w:cstheme="majorBidi"/>
          <w:b/>
          <w:sz w:val="32"/>
          <w:szCs w:val="24"/>
          <w:u w:val="single"/>
          <w:lang w:eastAsia="fr-BE"/>
        </w:rPr>
      </w:pPr>
      <w:r w:rsidRPr="00E72418">
        <w:rPr>
          <w:lang w:eastAsia="fr-BE"/>
        </w:rPr>
        <w:br w:type="page"/>
      </w:r>
    </w:p>
    <w:p w14:paraId="5FCD100F" w14:textId="6BEBFD3D" w:rsidR="004645F3" w:rsidRPr="00E72418" w:rsidRDefault="00FB3C94" w:rsidP="00BD3A60">
      <w:pPr>
        <w:pStyle w:val="CC"/>
      </w:pPr>
      <w:r w:rsidRPr="00E72418">
        <w:rPr>
          <w:lang w:eastAsia="fr-BE"/>
        </w:rPr>
        <w:lastRenderedPageBreak/>
        <w:t>É</w:t>
      </w:r>
      <w:r w:rsidR="00D6087D" w:rsidRPr="00E72418">
        <w:t>tats-Unis d’Amérique</w:t>
      </w:r>
    </w:p>
    <w:p w14:paraId="2B069340" w14:textId="77777777" w:rsidR="00BD3A60" w:rsidRPr="00E72418" w:rsidRDefault="00BD3A60" w:rsidP="00594AC2">
      <w:pPr>
        <w:rPr>
          <w:sz w:val="28"/>
          <w:szCs w:val="28"/>
        </w:rPr>
      </w:pPr>
    </w:p>
    <w:p w14:paraId="7CDBBC9E" w14:textId="59B1CA1E" w:rsidR="004645F3" w:rsidRPr="00E72418" w:rsidRDefault="007D45E0" w:rsidP="007A654B">
      <w:pPr>
        <w:jc w:val="center"/>
        <w:rPr>
          <w:i/>
          <w:sz w:val="28"/>
          <w:szCs w:val="28"/>
          <w:lang w:val="en-US"/>
        </w:rPr>
      </w:pPr>
      <w:r w:rsidRPr="00E72418">
        <w:rPr>
          <w:i/>
          <w:sz w:val="28"/>
          <w:szCs w:val="28"/>
          <w:lang w:val="en-US"/>
        </w:rPr>
        <w:t>Sup</w:t>
      </w:r>
      <w:r w:rsidR="004645F3" w:rsidRPr="00E72418">
        <w:rPr>
          <w:i/>
          <w:sz w:val="28"/>
          <w:szCs w:val="28"/>
          <w:lang w:val="en-US"/>
        </w:rPr>
        <w:t>reme Court of the United States</w:t>
      </w:r>
    </w:p>
    <w:p w14:paraId="14A3C9A7" w14:textId="77777777" w:rsidR="00BD3A60" w:rsidRPr="00E72418" w:rsidRDefault="00BD3A60" w:rsidP="00BD3A60">
      <w:pPr>
        <w:jc w:val="center"/>
        <w:rPr>
          <w:i/>
          <w:szCs w:val="24"/>
          <w:lang w:val="en-US"/>
        </w:rPr>
      </w:pPr>
    </w:p>
    <w:p w14:paraId="4F0314B3" w14:textId="5EB7D5A3" w:rsidR="007D45E0" w:rsidRPr="00E72418" w:rsidRDefault="007D45E0" w:rsidP="007D45E0">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16 juin 2014, </w:t>
      </w:r>
      <w:r w:rsidRPr="00E72418">
        <w:rPr>
          <w:rFonts w:ascii="Times New Roman" w:hAnsi="Times New Roman" w:cs="Times New Roman"/>
          <w:i/>
          <w:szCs w:val="24"/>
          <w:lang w:val="en-US"/>
        </w:rPr>
        <w:t>Republic of Argentina v. NML Capital Ltd</w:t>
      </w:r>
      <w:r w:rsidRPr="00E72418">
        <w:rPr>
          <w:rFonts w:ascii="Times New Roman" w:hAnsi="Times New Roman" w:cs="Times New Roman"/>
          <w:szCs w:val="24"/>
          <w:lang w:val="en-US"/>
        </w:rPr>
        <w:t>., 134 S. Ct. 2250</w:t>
      </w:r>
    </w:p>
    <w:p w14:paraId="443E02D9" w14:textId="77777777" w:rsidR="007D45E0" w:rsidRPr="00E72418" w:rsidRDefault="007D45E0" w:rsidP="007D45E0">
      <w:pPr>
        <w:pStyle w:val="Paragraphedeliste"/>
        <w:rPr>
          <w:rFonts w:ascii="Times New Roman" w:hAnsi="Times New Roman" w:cs="Times New Roman"/>
          <w:sz w:val="14"/>
          <w:szCs w:val="14"/>
        </w:rPr>
      </w:pPr>
    </w:p>
    <w:p w14:paraId="1A002749" w14:textId="1E70AFD7" w:rsidR="007D45E0" w:rsidRPr="00E72418" w:rsidRDefault="007D45E0" w:rsidP="007D45E0">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16 juin 2014, </w:t>
      </w:r>
      <w:r w:rsidRPr="00E72418">
        <w:rPr>
          <w:rFonts w:ascii="Times New Roman" w:hAnsi="Times New Roman" w:cs="Times New Roman"/>
          <w:i/>
          <w:szCs w:val="24"/>
          <w:lang w:val="en-US"/>
        </w:rPr>
        <w:t>Republic of Argentina v. NML Capital Ltd.</w:t>
      </w:r>
      <w:r w:rsidRPr="00E72418">
        <w:rPr>
          <w:rFonts w:ascii="Times New Roman" w:hAnsi="Times New Roman" w:cs="Times New Roman"/>
          <w:szCs w:val="24"/>
          <w:lang w:val="en-US"/>
        </w:rPr>
        <w:t>, 134 S. Ct. 2819</w:t>
      </w:r>
    </w:p>
    <w:p w14:paraId="12EFD6F1" w14:textId="77777777" w:rsidR="007D45E0" w:rsidRPr="00E72418" w:rsidRDefault="007D45E0" w:rsidP="007D45E0">
      <w:pPr>
        <w:pStyle w:val="Paragraphedeliste"/>
        <w:rPr>
          <w:rFonts w:ascii="Times New Roman" w:hAnsi="Times New Roman" w:cs="Times New Roman"/>
          <w:sz w:val="14"/>
          <w:szCs w:val="14"/>
          <w:lang w:val="en-US"/>
        </w:rPr>
      </w:pPr>
    </w:p>
    <w:p w14:paraId="1615909A" w14:textId="326E7DEA" w:rsidR="007D45E0" w:rsidRPr="00E72418" w:rsidRDefault="007D45E0" w:rsidP="007D45E0">
      <w:pPr>
        <w:pStyle w:val="Paragraphedeliste"/>
        <w:numPr>
          <w:ilvl w:val="0"/>
          <w:numId w:val="10"/>
        </w:numPr>
        <w:spacing w:after="0"/>
        <w:rPr>
          <w:rFonts w:ascii="Times New Roman" w:hAnsi="Times New Roman" w:cs="Times New Roman"/>
          <w:szCs w:val="24"/>
          <w:lang w:val="nl-NL"/>
        </w:rPr>
      </w:pPr>
      <w:r w:rsidRPr="00E72418">
        <w:rPr>
          <w:rFonts w:ascii="Times New Roman" w:hAnsi="Times New Roman" w:cs="Times New Roman"/>
          <w:szCs w:val="24"/>
          <w:lang w:val="en-US"/>
        </w:rPr>
        <w:t xml:space="preserve">16 juin 2014, </w:t>
      </w:r>
      <w:r w:rsidRPr="00E72418">
        <w:rPr>
          <w:rFonts w:ascii="Times New Roman" w:hAnsi="Times New Roman" w:cs="Times New Roman"/>
          <w:i/>
          <w:szCs w:val="24"/>
          <w:lang w:val="en-US"/>
        </w:rPr>
        <w:t xml:space="preserve">Exch. </w:t>
      </w:r>
      <w:r w:rsidRPr="00E72418">
        <w:rPr>
          <w:rFonts w:ascii="Times New Roman" w:hAnsi="Times New Roman" w:cs="Times New Roman"/>
          <w:i/>
          <w:szCs w:val="24"/>
        </w:rPr>
        <w:t>Bondholder Group v. NML Capital Ltd.</w:t>
      </w:r>
      <w:r w:rsidRPr="00E72418">
        <w:rPr>
          <w:rFonts w:ascii="Times New Roman" w:hAnsi="Times New Roman" w:cs="Times New Roman"/>
          <w:szCs w:val="24"/>
        </w:rPr>
        <w:t>, 134 S. Ct. 2819</w:t>
      </w:r>
    </w:p>
    <w:p w14:paraId="2F69AF15" w14:textId="77777777" w:rsidR="00B67641" w:rsidRPr="00E72418" w:rsidRDefault="00B67641" w:rsidP="00B67641">
      <w:pPr>
        <w:pStyle w:val="Paragraphedeliste"/>
        <w:rPr>
          <w:rFonts w:ascii="Times New Roman" w:hAnsi="Times New Roman" w:cs="Times New Roman"/>
          <w:sz w:val="14"/>
          <w:szCs w:val="14"/>
          <w:lang w:val="nl-NL"/>
        </w:rPr>
      </w:pPr>
    </w:p>
    <w:p w14:paraId="360C755E" w14:textId="287950BB" w:rsidR="00B67641" w:rsidRPr="00E72418" w:rsidRDefault="00B67641" w:rsidP="00B676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7 octobre 2013, </w:t>
      </w:r>
      <w:r w:rsidRPr="00E72418">
        <w:rPr>
          <w:rFonts w:ascii="Times New Roman" w:hAnsi="Times New Roman" w:cs="Times New Roman"/>
          <w:i/>
          <w:szCs w:val="24"/>
        </w:rPr>
        <w:t>Republic of Arg. v. NML Capital Ltd.</w:t>
      </w:r>
      <w:r w:rsidRPr="00E72418">
        <w:rPr>
          <w:rStyle w:val="Appelnotedebasdep"/>
          <w:rFonts w:ascii="Times New Roman" w:hAnsi="Times New Roman" w:cs="Times New Roman"/>
          <w:szCs w:val="24"/>
        </w:rPr>
        <w:t xml:space="preserve">, </w:t>
      </w:r>
      <w:r w:rsidRPr="00E72418">
        <w:rPr>
          <w:rFonts w:ascii="Times New Roman" w:hAnsi="Times New Roman" w:cs="Times New Roman"/>
          <w:szCs w:val="24"/>
          <w:lang w:val="en-US"/>
        </w:rPr>
        <w:t>134 S. Ct. 201</w:t>
      </w:r>
    </w:p>
    <w:p w14:paraId="31100F66" w14:textId="77777777" w:rsidR="00B67641" w:rsidRPr="00E72418" w:rsidRDefault="00B67641" w:rsidP="00B67641">
      <w:pPr>
        <w:pStyle w:val="Paragraphedeliste"/>
        <w:rPr>
          <w:rFonts w:ascii="Times New Roman" w:hAnsi="Times New Roman" w:cs="Times New Roman"/>
          <w:sz w:val="14"/>
          <w:szCs w:val="14"/>
        </w:rPr>
      </w:pPr>
    </w:p>
    <w:p w14:paraId="32F6C655" w14:textId="77777777" w:rsidR="00072604" w:rsidRPr="00E72418" w:rsidRDefault="00B67641"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12 juin 1992, </w:t>
      </w:r>
      <w:r w:rsidRPr="00E72418">
        <w:rPr>
          <w:rFonts w:ascii="Times New Roman" w:hAnsi="Times New Roman" w:cs="Times New Roman"/>
          <w:i/>
          <w:szCs w:val="24"/>
          <w:lang w:val="en-US"/>
        </w:rPr>
        <w:t>Republic of Argentina v. Weltover, Inc.</w:t>
      </w:r>
      <w:r w:rsidRPr="00E72418">
        <w:rPr>
          <w:rFonts w:ascii="Times New Roman" w:hAnsi="Times New Roman" w:cs="Times New Roman"/>
          <w:szCs w:val="24"/>
          <w:lang w:val="en-US"/>
        </w:rPr>
        <w:t>, 504 U.S. 607</w:t>
      </w:r>
    </w:p>
    <w:p w14:paraId="5EB4A3D3" w14:textId="77777777" w:rsidR="00072604" w:rsidRPr="00E72418" w:rsidRDefault="00072604" w:rsidP="00072604">
      <w:pPr>
        <w:pStyle w:val="Paragraphedeliste"/>
        <w:rPr>
          <w:rStyle w:val="injectednode"/>
          <w:rFonts w:ascii="Times New Roman" w:hAnsi="Times New Roman" w:cs="Times New Roman"/>
          <w:sz w:val="14"/>
          <w:szCs w:val="14"/>
          <w:lang w:val="en-US"/>
        </w:rPr>
      </w:pPr>
    </w:p>
    <w:p w14:paraId="67FF4CF1" w14:textId="5FEA1A10" w:rsidR="00B67641" w:rsidRPr="00E72418" w:rsidRDefault="00B67641" w:rsidP="007D7D59">
      <w:pPr>
        <w:pStyle w:val="Paragraphedeliste"/>
        <w:numPr>
          <w:ilvl w:val="0"/>
          <w:numId w:val="10"/>
        </w:numPr>
        <w:spacing w:after="0"/>
        <w:rPr>
          <w:rStyle w:val="injectednode"/>
          <w:rFonts w:ascii="Times New Roman" w:hAnsi="Times New Roman" w:cs="Times New Roman"/>
          <w:szCs w:val="24"/>
        </w:rPr>
      </w:pPr>
      <w:r w:rsidRPr="00E72418">
        <w:rPr>
          <w:rStyle w:val="injectednode"/>
          <w:rFonts w:ascii="Times New Roman" w:hAnsi="Times New Roman" w:cs="Times New Roman"/>
          <w:szCs w:val="24"/>
          <w:lang w:val="en-US"/>
        </w:rPr>
        <w:t xml:space="preserve">23 janvier 1989, </w:t>
      </w:r>
      <w:r w:rsidRPr="00E72418">
        <w:rPr>
          <w:rFonts w:ascii="Times New Roman" w:hAnsi="Times New Roman" w:cs="Times New Roman"/>
          <w:i/>
          <w:szCs w:val="24"/>
          <w:lang w:val="en-US"/>
        </w:rPr>
        <w:t>Argentine Republic v. Amerada Hess Shipping Corp.</w:t>
      </w:r>
      <w:r w:rsidRPr="00E72418">
        <w:rPr>
          <w:rStyle w:val="injectednode"/>
          <w:rFonts w:ascii="Times New Roman" w:hAnsi="Times New Roman" w:cs="Times New Roman"/>
          <w:szCs w:val="24"/>
          <w:lang w:val="en-US"/>
        </w:rPr>
        <w:t>, 488 U.S. 428</w:t>
      </w:r>
    </w:p>
    <w:p w14:paraId="1CAFF2C1" w14:textId="77777777" w:rsidR="00B67641" w:rsidRPr="00E72418" w:rsidRDefault="00B67641" w:rsidP="00B67641">
      <w:pPr>
        <w:pStyle w:val="Paragraphedeliste"/>
        <w:rPr>
          <w:rStyle w:val="injectednode"/>
          <w:rFonts w:ascii="Times New Roman" w:hAnsi="Times New Roman" w:cs="Times New Roman"/>
          <w:sz w:val="14"/>
          <w:szCs w:val="14"/>
        </w:rPr>
      </w:pPr>
    </w:p>
    <w:p w14:paraId="6048D7C8" w14:textId="63B45A2A" w:rsidR="00B67641" w:rsidRPr="00E72418" w:rsidRDefault="00B67641" w:rsidP="00B676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23 mars 1964, </w:t>
      </w:r>
      <w:r w:rsidRPr="00E72418">
        <w:rPr>
          <w:rFonts w:ascii="Times New Roman" w:hAnsi="Times New Roman" w:cs="Times New Roman"/>
          <w:i/>
          <w:szCs w:val="24"/>
          <w:lang w:val="en-US"/>
        </w:rPr>
        <w:t>Banco Nacional de Cuba v. Sabbatino</w:t>
      </w:r>
      <w:r w:rsidRPr="00E72418">
        <w:rPr>
          <w:rFonts w:ascii="Times New Roman" w:hAnsi="Times New Roman" w:cs="Times New Roman"/>
          <w:szCs w:val="24"/>
          <w:lang w:val="en-US"/>
        </w:rPr>
        <w:t>, 376 U.S. 398</w:t>
      </w:r>
    </w:p>
    <w:p w14:paraId="658B082B" w14:textId="77777777" w:rsidR="00B67641" w:rsidRPr="00E72418" w:rsidRDefault="00B67641" w:rsidP="00B67641">
      <w:pPr>
        <w:pStyle w:val="Paragraphedeliste"/>
        <w:rPr>
          <w:rStyle w:val="injectednode"/>
          <w:rFonts w:ascii="Times New Roman" w:hAnsi="Times New Roman" w:cs="Times New Roman"/>
          <w:sz w:val="14"/>
          <w:szCs w:val="14"/>
        </w:rPr>
      </w:pPr>
    </w:p>
    <w:p w14:paraId="22C8BD73" w14:textId="24BB6C0D" w:rsidR="00B67641" w:rsidRPr="00E72418" w:rsidRDefault="00B67641" w:rsidP="00051F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4 décembre 1905, </w:t>
      </w:r>
      <w:r w:rsidRPr="00E72418">
        <w:rPr>
          <w:rFonts w:ascii="Times New Roman" w:hAnsi="Times New Roman" w:cs="Times New Roman"/>
          <w:i/>
          <w:szCs w:val="24"/>
        </w:rPr>
        <w:t>Manigault c. Springs</w:t>
      </w:r>
      <w:r w:rsidRPr="00E72418">
        <w:rPr>
          <w:rFonts w:ascii="Times New Roman" w:hAnsi="Times New Roman" w:cs="Times New Roman"/>
          <w:szCs w:val="24"/>
        </w:rPr>
        <w:t>, 26 S. Ct. 127</w:t>
      </w:r>
    </w:p>
    <w:p w14:paraId="7C1F6BC1" w14:textId="77777777" w:rsidR="00B67641" w:rsidRPr="00E72418" w:rsidRDefault="00B67641" w:rsidP="00B67641">
      <w:pPr>
        <w:pStyle w:val="Paragraphedeliste"/>
        <w:rPr>
          <w:rFonts w:ascii="Times New Roman" w:hAnsi="Times New Roman" w:cs="Times New Roman"/>
          <w:sz w:val="14"/>
          <w:szCs w:val="14"/>
          <w:lang w:val="en-US"/>
        </w:rPr>
      </w:pPr>
    </w:p>
    <w:p w14:paraId="1AFAD4DA" w14:textId="0C8F483C" w:rsidR="00B67641" w:rsidRPr="00E72418" w:rsidRDefault="00B67641" w:rsidP="00051F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29 novembre 1897, </w:t>
      </w:r>
      <w:r w:rsidRPr="00E72418">
        <w:rPr>
          <w:rFonts w:ascii="Times New Roman" w:hAnsi="Times New Roman" w:cs="Times New Roman"/>
          <w:i/>
          <w:szCs w:val="24"/>
          <w:lang w:val="en-US"/>
        </w:rPr>
        <w:t>Underhill v. Hernandez</w:t>
      </w:r>
      <w:r w:rsidRPr="00E72418">
        <w:rPr>
          <w:rFonts w:ascii="Times New Roman" w:hAnsi="Times New Roman" w:cs="Times New Roman"/>
          <w:szCs w:val="24"/>
          <w:lang w:val="en-US"/>
        </w:rPr>
        <w:t>, 168 U.S. 250</w:t>
      </w:r>
    </w:p>
    <w:p w14:paraId="407129C1" w14:textId="77777777" w:rsidR="00B67641" w:rsidRPr="00E72418" w:rsidRDefault="00B67641" w:rsidP="00B67641">
      <w:pPr>
        <w:pStyle w:val="Paragraphedeliste"/>
        <w:rPr>
          <w:rFonts w:ascii="Times New Roman" w:hAnsi="Times New Roman" w:cs="Times New Roman"/>
          <w:sz w:val="14"/>
          <w:szCs w:val="14"/>
          <w:lang w:val="en-US"/>
        </w:rPr>
      </w:pPr>
    </w:p>
    <w:p w14:paraId="050A6592" w14:textId="2103CB2C" w:rsidR="00B67641" w:rsidRPr="00E72418" w:rsidRDefault="00B67641" w:rsidP="00051F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3 juin 1895, </w:t>
      </w:r>
      <w:r w:rsidRPr="00E72418">
        <w:rPr>
          <w:rFonts w:ascii="Times New Roman" w:hAnsi="Times New Roman" w:cs="Times New Roman"/>
          <w:i/>
          <w:szCs w:val="24"/>
          <w:lang w:val="en-US"/>
        </w:rPr>
        <w:t>Hilton v. Guyot</w:t>
      </w:r>
      <w:r w:rsidRPr="00E72418">
        <w:rPr>
          <w:rFonts w:ascii="Times New Roman" w:hAnsi="Times New Roman" w:cs="Times New Roman"/>
          <w:szCs w:val="24"/>
          <w:lang w:val="en-US"/>
        </w:rPr>
        <w:t>, 159 U.S. 113</w:t>
      </w:r>
    </w:p>
    <w:p w14:paraId="10A1EE0D" w14:textId="77777777" w:rsidR="00B67641" w:rsidRPr="00E72418" w:rsidRDefault="00B67641" w:rsidP="00B67641">
      <w:pPr>
        <w:pStyle w:val="Paragraphedeliste"/>
        <w:rPr>
          <w:rFonts w:ascii="Times New Roman" w:hAnsi="Times New Roman" w:cs="Times New Roman"/>
          <w:sz w:val="14"/>
          <w:szCs w:val="14"/>
          <w:lang w:val="en-US"/>
        </w:rPr>
      </w:pPr>
    </w:p>
    <w:p w14:paraId="17FC0C4A" w14:textId="458CF0B0" w:rsidR="00B67641" w:rsidRPr="00E72418" w:rsidRDefault="00B67641" w:rsidP="00051F41">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23 mai 1983, </w:t>
      </w:r>
      <w:r w:rsidRPr="00E72418">
        <w:rPr>
          <w:rFonts w:ascii="Times New Roman" w:hAnsi="Times New Roman" w:cs="Times New Roman"/>
          <w:i/>
          <w:szCs w:val="24"/>
          <w:lang w:val="en-US"/>
        </w:rPr>
        <w:t>Verlinden BV v. Central Bank of Nigeria</w:t>
      </w:r>
      <w:r w:rsidRPr="00E72418">
        <w:rPr>
          <w:rFonts w:ascii="Times New Roman" w:hAnsi="Times New Roman" w:cs="Times New Roman"/>
          <w:szCs w:val="24"/>
          <w:lang w:val="en-US"/>
        </w:rPr>
        <w:t>, 461 U.S. 480</w:t>
      </w:r>
    </w:p>
    <w:p w14:paraId="7CBF4B87" w14:textId="77777777" w:rsidR="00B67641" w:rsidRPr="00E72418" w:rsidRDefault="00B67641" w:rsidP="00B67641">
      <w:pPr>
        <w:pStyle w:val="Paragraphedeliste"/>
        <w:rPr>
          <w:rFonts w:ascii="Times New Roman" w:hAnsi="Times New Roman" w:cs="Times New Roman"/>
          <w:sz w:val="14"/>
          <w:szCs w:val="14"/>
        </w:rPr>
      </w:pPr>
    </w:p>
    <w:p w14:paraId="510AF061" w14:textId="1B3AD3DE" w:rsidR="00B67641" w:rsidRPr="00E72418" w:rsidRDefault="00B67641" w:rsidP="00B2646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2 mars 1812, </w:t>
      </w:r>
      <w:r w:rsidRPr="00E72418">
        <w:rPr>
          <w:rFonts w:ascii="Times New Roman" w:hAnsi="Times New Roman" w:cs="Times New Roman"/>
          <w:i/>
          <w:szCs w:val="24"/>
        </w:rPr>
        <w:t>Schooner Exchange v. McFaddon</w:t>
      </w:r>
      <w:r w:rsidRPr="00E72418">
        <w:rPr>
          <w:rFonts w:ascii="Times New Roman" w:hAnsi="Times New Roman" w:cs="Times New Roman"/>
          <w:szCs w:val="24"/>
        </w:rPr>
        <w:t>, 11 U.S. 116</w:t>
      </w:r>
    </w:p>
    <w:p w14:paraId="5F39F3B1" w14:textId="77777777" w:rsidR="00025A8C" w:rsidRPr="00E72418" w:rsidRDefault="00025A8C" w:rsidP="00025A8C">
      <w:pPr>
        <w:pStyle w:val="Paragraphedeliste"/>
        <w:rPr>
          <w:rFonts w:ascii="Times New Roman" w:hAnsi="Times New Roman" w:cs="Times New Roman"/>
          <w:sz w:val="28"/>
          <w:szCs w:val="28"/>
        </w:rPr>
      </w:pPr>
    </w:p>
    <w:p w14:paraId="3C19A3ED" w14:textId="71361D13" w:rsidR="00025A8C" w:rsidRPr="00E72418" w:rsidRDefault="00B26469" w:rsidP="007A654B">
      <w:pPr>
        <w:pStyle w:val="Paragraphedeliste"/>
        <w:spacing w:after="0"/>
        <w:jc w:val="center"/>
        <w:rPr>
          <w:rFonts w:ascii="Times New Roman" w:hAnsi="Times New Roman" w:cs="Times New Roman"/>
          <w:i/>
          <w:sz w:val="28"/>
          <w:szCs w:val="28"/>
        </w:rPr>
      </w:pPr>
      <w:r w:rsidRPr="00E72418">
        <w:rPr>
          <w:rFonts w:ascii="Times New Roman" w:hAnsi="Times New Roman" w:cs="Times New Roman"/>
          <w:i/>
          <w:sz w:val="28"/>
          <w:szCs w:val="28"/>
          <w:lang w:val="en-US"/>
        </w:rPr>
        <w:t>United States Courts of Appeals</w:t>
      </w:r>
    </w:p>
    <w:p w14:paraId="2ACDEC74" w14:textId="77777777" w:rsidR="00025A8C" w:rsidRPr="00E72418" w:rsidRDefault="00025A8C" w:rsidP="00025A8C">
      <w:pPr>
        <w:pStyle w:val="Paragraphedeliste"/>
        <w:rPr>
          <w:rFonts w:ascii="Times New Roman" w:hAnsi="Times New Roman" w:cs="Times New Roman"/>
          <w:i/>
          <w:szCs w:val="24"/>
        </w:rPr>
      </w:pPr>
    </w:p>
    <w:p w14:paraId="453ABE6A" w14:textId="6C849316" w:rsidR="00B67641" w:rsidRPr="00E72418" w:rsidRDefault="00B26469" w:rsidP="00051F41">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Style w:val="injectednode"/>
          <w:rFonts w:ascii="Times New Roman" w:hAnsi="Times New Roman" w:cs="Times New Roman"/>
          <w:szCs w:val="24"/>
          <w:lang w:val="en-US"/>
        </w:rPr>
        <w:t xml:space="preserve">, </w:t>
      </w:r>
      <w:r w:rsidR="007D45E0" w:rsidRPr="00E72418">
        <w:rPr>
          <w:rStyle w:val="injectednode"/>
          <w:rFonts w:ascii="Times New Roman" w:hAnsi="Times New Roman" w:cs="Times New Roman"/>
          <w:szCs w:val="24"/>
          <w:lang w:val="en-US"/>
        </w:rPr>
        <w:t>31 août 2015,</w:t>
      </w:r>
      <w:r w:rsidR="007D45E0" w:rsidRPr="00E72418">
        <w:rPr>
          <w:rFonts w:ascii="Times New Roman" w:hAnsi="Times New Roman" w:cs="Times New Roman"/>
          <w:szCs w:val="24"/>
          <w:lang w:val="en-US"/>
        </w:rPr>
        <w:t xml:space="preserve"> </w:t>
      </w:r>
      <w:r w:rsidR="007D45E0" w:rsidRPr="00E72418">
        <w:rPr>
          <w:rFonts w:ascii="Times New Roman" w:hAnsi="Times New Roman" w:cs="Times New Roman"/>
          <w:i/>
          <w:szCs w:val="24"/>
          <w:lang w:val="en-US"/>
        </w:rPr>
        <w:t>EM Ltd. v. Banco Central de la Republica Argentina</w:t>
      </w:r>
      <w:r w:rsidR="007D45E0" w:rsidRPr="00E72418">
        <w:rPr>
          <w:rStyle w:val="injectednode"/>
          <w:rFonts w:ascii="Times New Roman" w:hAnsi="Times New Roman" w:cs="Times New Roman"/>
          <w:szCs w:val="24"/>
          <w:lang w:val="en-US"/>
        </w:rPr>
        <w:t>, 800 F.3d 78</w:t>
      </w:r>
    </w:p>
    <w:p w14:paraId="47DC79E8" w14:textId="77777777" w:rsidR="00B67641" w:rsidRPr="00E72418" w:rsidRDefault="00B67641" w:rsidP="00B67641">
      <w:pPr>
        <w:pStyle w:val="Paragraphedeliste"/>
        <w:spacing w:after="0"/>
        <w:rPr>
          <w:rStyle w:val="injectednode"/>
          <w:rFonts w:ascii="Times New Roman" w:hAnsi="Times New Roman" w:cs="Times New Roman"/>
          <w:sz w:val="14"/>
          <w:szCs w:val="14"/>
        </w:rPr>
      </w:pPr>
    </w:p>
    <w:p w14:paraId="1B381C9A" w14:textId="77777777" w:rsidR="00072604"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Style w:val="injectednode"/>
          <w:rFonts w:ascii="Times New Roman" w:hAnsi="Times New Roman" w:cs="Times New Roman"/>
          <w:szCs w:val="24"/>
          <w:lang w:val="en-US"/>
        </w:rPr>
        <w:t xml:space="preserve">, </w:t>
      </w:r>
      <w:r w:rsidR="00B67641" w:rsidRPr="00E72418">
        <w:rPr>
          <w:rStyle w:val="injectednode"/>
          <w:rFonts w:ascii="Times New Roman" w:hAnsi="Times New Roman" w:cs="Times New Roman"/>
          <w:szCs w:val="24"/>
          <w:lang w:val="en-US"/>
        </w:rPr>
        <w:t xml:space="preserve">23 août 2013, </w:t>
      </w:r>
      <w:r w:rsidR="00B67641" w:rsidRPr="00E72418">
        <w:rPr>
          <w:rFonts w:ascii="Times New Roman" w:hAnsi="Times New Roman" w:cs="Times New Roman"/>
          <w:i/>
          <w:szCs w:val="24"/>
          <w:lang w:val="en-US"/>
        </w:rPr>
        <w:t>NML Capital Ltd. v. Republic of Arg.</w:t>
      </w:r>
      <w:r w:rsidR="00B67641" w:rsidRPr="00E72418">
        <w:rPr>
          <w:rStyle w:val="injectednode"/>
          <w:rFonts w:ascii="Times New Roman" w:hAnsi="Times New Roman" w:cs="Times New Roman"/>
          <w:szCs w:val="24"/>
          <w:lang w:val="en-US"/>
        </w:rPr>
        <w:t>, 727 F.3d 230</w:t>
      </w:r>
    </w:p>
    <w:p w14:paraId="52AE07BA" w14:textId="77777777" w:rsidR="00072604" w:rsidRPr="00E72418" w:rsidRDefault="00072604" w:rsidP="00072604">
      <w:pPr>
        <w:pStyle w:val="Paragraphedeliste"/>
        <w:rPr>
          <w:rFonts w:ascii="Times New Roman" w:hAnsi="Times New Roman" w:cs="Times New Roman"/>
          <w:sz w:val="14"/>
          <w:szCs w:val="14"/>
          <w:shd w:val="clear" w:color="auto" w:fill="FFFFFF"/>
        </w:rPr>
      </w:pPr>
    </w:p>
    <w:p w14:paraId="4DF59C10" w14:textId="77777777" w:rsidR="00072604"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Fonts w:ascii="Times New Roman" w:hAnsi="Times New Roman" w:cs="Times New Roman"/>
          <w:szCs w:val="24"/>
          <w:lang w:val="en-US"/>
        </w:rPr>
        <w:t xml:space="preserve">, </w:t>
      </w:r>
      <w:r w:rsidR="00B67641" w:rsidRPr="00E72418">
        <w:rPr>
          <w:rFonts w:ascii="Times New Roman" w:hAnsi="Times New Roman" w:cs="Times New Roman"/>
          <w:szCs w:val="24"/>
          <w:lang w:val="en-US"/>
        </w:rPr>
        <w:t xml:space="preserve">26 octobre 2012, </w:t>
      </w:r>
      <w:r w:rsidR="00B67641" w:rsidRPr="00E72418">
        <w:rPr>
          <w:rFonts w:ascii="Times New Roman" w:hAnsi="Times New Roman" w:cs="Times New Roman"/>
          <w:i/>
          <w:szCs w:val="24"/>
          <w:lang w:val="en-US"/>
        </w:rPr>
        <w:t>NML Capital Ltd. and others c. Republic of Argentina</w:t>
      </w:r>
      <w:r w:rsidR="00B67641" w:rsidRPr="00E72418">
        <w:rPr>
          <w:rFonts w:ascii="Times New Roman" w:hAnsi="Times New Roman" w:cs="Times New Roman"/>
          <w:szCs w:val="24"/>
          <w:lang w:val="en-US"/>
        </w:rPr>
        <w:t xml:space="preserve">, </w:t>
      </w:r>
      <w:r w:rsidR="00B67641" w:rsidRPr="00E72418">
        <w:rPr>
          <w:rStyle w:val="injectednode"/>
          <w:rFonts w:ascii="Times New Roman" w:hAnsi="Times New Roman" w:cs="Times New Roman"/>
          <w:szCs w:val="24"/>
          <w:lang w:val="en-US"/>
        </w:rPr>
        <w:t>699 F.3d 246</w:t>
      </w:r>
    </w:p>
    <w:p w14:paraId="6270FB29" w14:textId="77777777" w:rsidR="00072604" w:rsidRPr="00E72418" w:rsidRDefault="00072604" w:rsidP="00072604">
      <w:pPr>
        <w:pStyle w:val="Paragraphedeliste"/>
        <w:rPr>
          <w:rFonts w:ascii="Times New Roman" w:hAnsi="Times New Roman" w:cs="Times New Roman"/>
          <w:sz w:val="14"/>
          <w:szCs w:val="14"/>
          <w:shd w:val="clear" w:color="auto" w:fill="FFFFFF"/>
        </w:rPr>
      </w:pPr>
    </w:p>
    <w:p w14:paraId="549C1EB0" w14:textId="77777777" w:rsidR="00072604"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Style w:val="injectednode"/>
          <w:rFonts w:ascii="Times New Roman" w:hAnsi="Times New Roman" w:cs="Times New Roman"/>
          <w:szCs w:val="24"/>
          <w:lang w:val="en-US"/>
        </w:rPr>
        <w:t xml:space="preserve">, </w:t>
      </w:r>
      <w:r w:rsidR="00B67641" w:rsidRPr="00E72418">
        <w:rPr>
          <w:rStyle w:val="injectednode"/>
          <w:rFonts w:ascii="Times New Roman" w:hAnsi="Times New Roman" w:cs="Times New Roman"/>
          <w:szCs w:val="24"/>
          <w:lang w:val="en-US"/>
        </w:rPr>
        <w:t xml:space="preserve">20 août 2012, </w:t>
      </w:r>
      <w:r w:rsidR="00B67641" w:rsidRPr="00E72418">
        <w:rPr>
          <w:rFonts w:ascii="Times New Roman" w:hAnsi="Times New Roman" w:cs="Times New Roman"/>
          <w:i/>
          <w:szCs w:val="24"/>
          <w:lang w:val="en-US"/>
        </w:rPr>
        <w:t>EM Ltd. v. Republic of Argentina</w:t>
      </w:r>
      <w:r w:rsidR="00B67641" w:rsidRPr="00E72418">
        <w:rPr>
          <w:rStyle w:val="injectednode"/>
          <w:rFonts w:ascii="Times New Roman" w:hAnsi="Times New Roman" w:cs="Times New Roman"/>
          <w:szCs w:val="24"/>
          <w:lang w:val="en-US"/>
        </w:rPr>
        <w:t>, 695 F.3d 201</w:t>
      </w:r>
    </w:p>
    <w:p w14:paraId="04521717" w14:textId="77777777" w:rsidR="00072604" w:rsidRPr="00E72418" w:rsidRDefault="00072604" w:rsidP="00072604">
      <w:pPr>
        <w:pStyle w:val="Paragraphedeliste"/>
        <w:rPr>
          <w:rFonts w:ascii="Times New Roman" w:hAnsi="Times New Roman" w:cs="Times New Roman"/>
          <w:sz w:val="14"/>
          <w:szCs w:val="14"/>
          <w:shd w:val="clear" w:color="auto" w:fill="FFFFFF"/>
        </w:rPr>
      </w:pPr>
    </w:p>
    <w:p w14:paraId="4F316CCA" w14:textId="2C1FA225" w:rsidR="00B26469" w:rsidRPr="00E72418" w:rsidRDefault="00B26469" w:rsidP="007D7D59">
      <w:pPr>
        <w:pStyle w:val="Paragraphedeliste"/>
        <w:numPr>
          <w:ilvl w:val="0"/>
          <w:numId w:val="10"/>
        </w:numPr>
        <w:spacing w:after="0"/>
        <w:rPr>
          <w:rStyle w:val="SansinterligneCar"/>
          <w:rFonts w:ascii="Times New Roman" w:hAnsi="Times New Roman" w:cs="Times New Roman"/>
          <w:sz w:val="24"/>
          <w:szCs w:val="24"/>
        </w:rPr>
      </w:pPr>
      <w:r w:rsidRPr="00E72418">
        <w:rPr>
          <w:rFonts w:ascii="Times New Roman" w:hAnsi="Times New Roman" w:cs="Times New Roman"/>
          <w:szCs w:val="24"/>
          <w:shd w:val="clear" w:color="auto" w:fill="FFFFFF"/>
        </w:rPr>
        <w:t>Court of Appeals for the Second Circuit</w:t>
      </w:r>
      <w:r w:rsidRPr="00E72418">
        <w:rPr>
          <w:rStyle w:val="SansinterligneCar"/>
          <w:rFonts w:ascii="Times New Roman" w:hAnsi="Times New Roman" w:cs="Times New Roman"/>
          <w:sz w:val="24"/>
          <w:szCs w:val="24"/>
        </w:rPr>
        <w:t xml:space="preserve">, </w:t>
      </w:r>
      <w:r w:rsidR="00B67641" w:rsidRPr="00E72418">
        <w:rPr>
          <w:rStyle w:val="SansinterligneCar"/>
          <w:rFonts w:ascii="Times New Roman" w:hAnsi="Times New Roman" w:cs="Times New Roman"/>
          <w:sz w:val="24"/>
          <w:szCs w:val="24"/>
        </w:rPr>
        <w:t xml:space="preserve">5 juillet 2011, </w:t>
      </w:r>
      <w:r w:rsidR="00B67641" w:rsidRPr="00E72418">
        <w:rPr>
          <w:rStyle w:val="SansinterligneCar"/>
          <w:rFonts w:ascii="Times New Roman" w:hAnsi="Times New Roman" w:cs="Times New Roman"/>
          <w:i/>
          <w:sz w:val="24"/>
          <w:szCs w:val="24"/>
        </w:rPr>
        <w:t>NML Capital Ltd. v. Banco Cent. De La Republica Arg.</w:t>
      </w:r>
      <w:r w:rsidR="00B67641" w:rsidRPr="00E72418">
        <w:rPr>
          <w:rStyle w:val="SansinterligneCar"/>
          <w:rFonts w:ascii="Times New Roman" w:hAnsi="Times New Roman" w:cs="Times New Roman"/>
          <w:sz w:val="24"/>
          <w:szCs w:val="24"/>
        </w:rPr>
        <w:t>, 652 F.3d 172</w:t>
      </w:r>
    </w:p>
    <w:p w14:paraId="362752D5" w14:textId="77777777" w:rsidR="00B26469" w:rsidRPr="00E72418" w:rsidRDefault="00B26469" w:rsidP="00B26469">
      <w:pPr>
        <w:pStyle w:val="Paragraphedeliste"/>
        <w:rPr>
          <w:rStyle w:val="injectednode"/>
          <w:rFonts w:ascii="Times New Roman" w:hAnsi="Times New Roman" w:cs="Times New Roman"/>
          <w:sz w:val="14"/>
          <w:szCs w:val="14"/>
          <w:bdr w:val="none" w:sz="0" w:space="0" w:color="auto" w:frame="1"/>
        </w:rPr>
      </w:pPr>
    </w:p>
    <w:p w14:paraId="17CAB9BB" w14:textId="77777777" w:rsidR="00072604"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Style w:val="injectednode"/>
          <w:rFonts w:ascii="Times New Roman" w:hAnsi="Times New Roman" w:cs="Times New Roman"/>
          <w:szCs w:val="24"/>
          <w:bdr w:val="none" w:sz="0" w:space="0" w:color="auto" w:frame="1"/>
        </w:rPr>
        <w:t xml:space="preserve">, </w:t>
      </w:r>
      <w:r w:rsidR="00B67641" w:rsidRPr="00E72418">
        <w:rPr>
          <w:rStyle w:val="injectednode"/>
          <w:rFonts w:ascii="Times New Roman" w:hAnsi="Times New Roman" w:cs="Times New Roman"/>
          <w:szCs w:val="24"/>
          <w:bdr w:val="none" w:sz="0" w:space="0" w:color="auto" w:frame="1"/>
        </w:rPr>
        <w:t xml:space="preserve">15 octobre 2009, </w:t>
      </w:r>
      <w:r w:rsidR="00B67641" w:rsidRPr="00E72418">
        <w:rPr>
          <w:rFonts w:ascii="Times New Roman" w:hAnsi="Times New Roman" w:cs="Times New Roman"/>
          <w:i/>
          <w:szCs w:val="24"/>
        </w:rPr>
        <w:t>Aurelius Capital Partners, LP v. Republic of Arg.</w:t>
      </w:r>
      <w:r w:rsidR="00B67641" w:rsidRPr="00E72418">
        <w:rPr>
          <w:rStyle w:val="injectednode"/>
          <w:rFonts w:ascii="Times New Roman" w:hAnsi="Times New Roman" w:cs="Times New Roman"/>
          <w:szCs w:val="24"/>
          <w:bdr w:val="none" w:sz="0" w:space="0" w:color="auto" w:frame="1"/>
        </w:rPr>
        <w:t>, 584 F.3d 120</w:t>
      </w:r>
    </w:p>
    <w:p w14:paraId="5743FB5F" w14:textId="77777777" w:rsidR="00072604" w:rsidRPr="00E72418" w:rsidRDefault="00072604" w:rsidP="00072604">
      <w:pPr>
        <w:pStyle w:val="Paragraphedeliste"/>
        <w:rPr>
          <w:rFonts w:ascii="Times New Roman" w:hAnsi="Times New Roman" w:cs="Times New Roman"/>
          <w:sz w:val="14"/>
          <w:szCs w:val="14"/>
          <w:shd w:val="clear" w:color="auto" w:fill="FFFFFF"/>
        </w:rPr>
      </w:pPr>
    </w:p>
    <w:p w14:paraId="7CF588C3" w14:textId="67B4A27E" w:rsidR="00B67641"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rPr>
        <w:t>Court of Appeals for the Second Circuit</w:t>
      </w:r>
      <w:r w:rsidRPr="00E72418">
        <w:rPr>
          <w:rFonts w:ascii="Times New Roman" w:hAnsi="Times New Roman" w:cs="Times New Roman"/>
          <w:szCs w:val="24"/>
          <w:lang w:val="en-US"/>
        </w:rPr>
        <w:t xml:space="preserve">, </w:t>
      </w:r>
      <w:r w:rsidR="00B67641" w:rsidRPr="00E72418">
        <w:rPr>
          <w:rFonts w:ascii="Times New Roman" w:hAnsi="Times New Roman" w:cs="Times New Roman"/>
          <w:szCs w:val="24"/>
          <w:lang w:val="en-US"/>
        </w:rPr>
        <w:t xml:space="preserve">5 janvier 2007, </w:t>
      </w:r>
      <w:r w:rsidR="00B67641" w:rsidRPr="00E72418">
        <w:rPr>
          <w:rFonts w:ascii="Times New Roman" w:hAnsi="Times New Roman" w:cs="Times New Roman"/>
          <w:i/>
          <w:szCs w:val="24"/>
          <w:lang w:val="en-US"/>
        </w:rPr>
        <w:t>EM Ltd. v. Republic of Arg.</w:t>
      </w:r>
      <w:r w:rsidR="00B67641" w:rsidRPr="00E72418">
        <w:rPr>
          <w:rStyle w:val="injectednode"/>
          <w:rFonts w:ascii="Times New Roman" w:hAnsi="Times New Roman" w:cs="Times New Roman"/>
          <w:szCs w:val="24"/>
          <w:lang w:val="en-US"/>
        </w:rPr>
        <w:t>, 473 F.3d 463</w:t>
      </w:r>
    </w:p>
    <w:p w14:paraId="522287C3" w14:textId="77777777" w:rsidR="00B26469" w:rsidRPr="00E72418" w:rsidRDefault="00B26469" w:rsidP="00B26469">
      <w:pPr>
        <w:pStyle w:val="Paragraphedeliste"/>
        <w:rPr>
          <w:rStyle w:val="injectednode"/>
          <w:rFonts w:ascii="Times New Roman" w:hAnsi="Times New Roman" w:cs="Times New Roman"/>
          <w:sz w:val="14"/>
          <w:szCs w:val="14"/>
        </w:rPr>
      </w:pPr>
    </w:p>
    <w:p w14:paraId="6E0E7CF4" w14:textId="09ED6127" w:rsidR="00B26469" w:rsidRPr="00E72418" w:rsidRDefault="00B26469" w:rsidP="00B2646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Court of Appeals for the Second Circuit, 13 mai 2005, </w:t>
      </w:r>
      <w:r w:rsidRPr="00E72418">
        <w:rPr>
          <w:rFonts w:ascii="Times New Roman" w:hAnsi="Times New Roman" w:cs="Times New Roman"/>
          <w:i/>
          <w:szCs w:val="24"/>
          <w:lang w:val="en-US"/>
        </w:rPr>
        <w:t>EM Ltd. v. Republic of Arg.</w:t>
      </w:r>
      <w:r w:rsidRPr="00E72418">
        <w:rPr>
          <w:rStyle w:val="injectednode"/>
          <w:rFonts w:ascii="Times New Roman" w:hAnsi="Times New Roman" w:cs="Times New Roman"/>
          <w:szCs w:val="24"/>
          <w:lang w:val="en-US"/>
        </w:rPr>
        <w:t>, 131 Fed. Appx. 745</w:t>
      </w:r>
    </w:p>
    <w:p w14:paraId="3CDC8B16" w14:textId="77777777" w:rsidR="00B26469" w:rsidRPr="00E72418" w:rsidRDefault="00B26469" w:rsidP="00B26469">
      <w:pPr>
        <w:pStyle w:val="Paragraphedeliste"/>
        <w:rPr>
          <w:rFonts w:ascii="Times New Roman" w:hAnsi="Times New Roman" w:cs="Times New Roman"/>
          <w:sz w:val="14"/>
          <w:szCs w:val="14"/>
          <w:shd w:val="clear" w:color="auto" w:fill="FFFFFF"/>
        </w:rPr>
      </w:pPr>
    </w:p>
    <w:p w14:paraId="73D09AF0" w14:textId="6AF41378" w:rsidR="00B26469" w:rsidRPr="00E72418" w:rsidRDefault="00B26469" w:rsidP="00B2646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shd w:val="clear" w:color="auto" w:fill="FFFFFF"/>
        </w:rPr>
        <w:t xml:space="preserve">Court of Appeals for the Second Circuit, 20 septembre 2000, </w:t>
      </w:r>
      <w:r w:rsidRPr="00E72418">
        <w:rPr>
          <w:rFonts w:ascii="Times New Roman" w:hAnsi="Times New Roman" w:cs="Times New Roman"/>
          <w:i/>
          <w:szCs w:val="24"/>
        </w:rPr>
        <w:t>LNC Investments, Inc. v. Banco central de Nicaragua</w:t>
      </w:r>
      <w:r w:rsidRPr="00E72418">
        <w:rPr>
          <w:rFonts w:ascii="Times New Roman" w:hAnsi="Times New Roman" w:cs="Times New Roman"/>
          <w:szCs w:val="24"/>
        </w:rPr>
        <w:t>, 228 F.3d 423</w:t>
      </w:r>
    </w:p>
    <w:p w14:paraId="24D4E220" w14:textId="77777777" w:rsidR="00B26469" w:rsidRPr="00E72418" w:rsidRDefault="00B26469" w:rsidP="00B26469">
      <w:pPr>
        <w:pStyle w:val="Paragraphedeliste"/>
        <w:rPr>
          <w:rFonts w:ascii="Times New Roman" w:hAnsi="Times New Roman" w:cs="Times New Roman"/>
          <w:sz w:val="14"/>
          <w:szCs w:val="14"/>
          <w:lang w:val="en-US"/>
        </w:rPr>
      </w:pPr>
    </w:p>
    <w:p w14:paraId="4E683EAC" w14:textId="77777777" w:rsidR="00072604" w:rsidRPr="00E72418" w:rsidRDefault="00B26469"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Court of Appeals for the Second Circuit, 20 octobre 1999, </w:t>
      </w:r>
      <w:r w:rsidRPr="00E72418">
        <w:rPr>
          <w:rFonts w:ascii="Times New Roman" w:hAnsi="Times New Roman" w:cs="Times New Roman"/>
          <w:i/>
          <w:szCs w:val="24"/>
          <w:lang w:val="en-US"/>
        </w:rPr>
        <w:t>Elliott Associates LP v. Banco de la Nacion</w:t>
      </w:r>
      <w:r w:rsidRPr="00E72418">
        <w:rPr>
          <w:rFonts w:ascii="Times New Roman" w:hAnsi="Times New Roman" w:cs="Times New Roman"/>
          <w:szCs w:val="24"/>
          <w:lang w:val="en-US"/>
        </w:rPr>
        <w:t>, 194 F.3d 363</w:t>
      </w:r>
    </w:p>
    <w:p w14:paraId="00FDEE8F" w14:textId="77777777" w:rsidR="00072604" w:rsidRPr="00E72418" w:rsidRDefault="00072604" w:rsidP="00072604">
      <w:pPr>
        <w:pStyle w:val="Paragraphedeliste"/>
        <w:rPr>
          <w:rFonts w:ascii="Times New Roman" w:hAnsi="Times New Roman" w:cs="Times New Roman"/>
          <w:sz w:val="14"/>
          <w:szCs w:val="14"/>
          <w:lang w:val="en-US"/>
        </w:rPr>
      </w:pPr>
    </w:p>
    <w:p w14:paraId="0F42E2BD" w14:textId="6C4779B9"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Court of Appeals for the Second Circuit, 25 mars 1997, </w:t>
      </w:r>
      <w:r w:rsidRPr="00E72418">
        <w:rPr>
          <w:rFonts w:ascii="Times New Roman" w:hAnsi="Times New Roman" w:cs="Times New Roman"/>
          <w:i/>
          <w:szCs w:val="24"/>
          <w:lang w:val="en-US"/>
        </w:rPr>
        <w:t>Pravin Banker Associates Ltd. v. Banco Popular del Peru and the Republic of Peru</w:t>
      </w:r>
      <w:r w:rsidRPr="00E72418">
        <w:rPr>
          <w:rFonts w:ascii="Times New Roman" w:hAnsi="Times New Roman" w:cs="Times New Roman"/>
          <w:szCs w:val="24"/>
          <w:lang w:val="en-US"/>
        </w:rPr>
        <w:t>, 109 F.3d 850</w:t>
      </w:r>
    </w:p>
    <w:p w14:paraId="42AFBE79" w14:textId="77777777" w:rsidR="00072604" w:rsidRPr="00E72418" w:rsidRDefault="00072604" w:rsidP="00072604">
      <w:pPr>
        <w:pStyle w:val="Paragraphedeliste"/>
        <w:rPr>
          <w:rFonts w:ascii="Times New Roman" w:hAnsi="Times New Roman" w:cs="Times New Roman"/>
          <w:sz w:val="14"/>
          <w:szCs w:val="14"/>
        </w:rPr>
      </w:pPr>
    </w:p>
    <w:p w14:paraId="0EBA5AAB" w14:textId="50F7BD3A" w:rsidR="00B26469" w:rsidRPr="00E72418" w:rsidRDefault="00B26469"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Court of Appeals for the Second Circuit, 18 mars 1985, </w:t>
      </w:r>
      <w:r w:rsidRPr="00E72418">
        <w:rPr>
          <w:rFonts w:ascii="Times New Roman" w:hAnsi="Times New Roman" w:cs="Times New Roman"/>
          <w:i/>
          <w:szCs w:val="24"/>
        </w:rPr>
        <w:t>Allied Bank International v. Banco Credito Agricola de Cartago</w:t>
      </w:r>
      <w:r w:rsidRPr="00E72418">
        <w:rPr>
          <w:rStyle w:val="injectednode"/>
          <w:rFonts w:ascii="Times New Roman" w:hAnsi="Times New Roman" w:cs="Times New Roman"/>
          <w:szCs w:val="24"/>
        </w:rPr>
        <w:t>, 757 F.2d 516</w:t>
      </w:r>
    </w:p>
    <w:p w14:paraId="1E351AF4" w14:textId="77777777" w:rsidR="00B26469" w:rsidRPr="00E72418" w:rsidRDefault="00B26469" w:rsidP="00B26469">
      <w:pPr>
        <w:pStyle w:val="Paragraphedeliste"/>
        <w:rPr>
          <w:rStyle w:val="injectednode"/>
          <w:rFonts w:ascii="Times New Roman" w:hAnsi="Times New Roman" w:cs="Times New Roman"/>
          <w:sz w:val="14"/>
          <w:szCs w:val="14"/>
        </w:rPr>
      </w:pPr>
    </w:p>
    <w:p w14:paraId="7657CB65" w14:textId="721FD10E" w:rsidR="00B26469" w:rsidRPr="00E72418" w:rsidRDefault="00B26469" w:rsidP="00B26469">
      <w:pPr>
        <w:pStyle w:val="Paragraphedeliste"/>
        <w:numPr>
          <w:ilvl w:val="0"/>
          <w:numId w:val="10"/>
        </w:numPr>
        <w:spacing w:after="0"/>
        <w:rPr>
          <w:rStyle w:val="Titre5Car"/>
          <w:rFonts w:ascii="Times New Roman" w:eastAsiaTheme="minorHAnsi" w:hAnsi="Times New Roman" w:cs="Times New Roman"/>
          <w:color w:val="auto"/>
          <w:szCs w:val="24"/>
        </w:rPr>
      </w:pPr>
      <w:r w:rsidRPr="00E72418">
        <w:rPr>
          <w:rFonts w:ascii="Times New Roman" w:hAnsi="Times New Roman" w:cs="Times New Roman"/>
          <w:szCs w:val="24"/>
          <w:lang w:val="en-US"/>
        </w:rPr>
        <w:t xml:space="preserve">Court of Appeals for the Second Circuit, 23 avril 1984, </w:t>
      </w:r>
      <w:r w:rsidRPr="00E72418">
        <w:rPr>
          <w:rFonts w:ascii="Times New Roman" w:hAnsi="Times New Roman" w:cs="Times New Roman"/>
          <w:i/>
          <w:szCs w:val="24"/>
          <w:lang w:val="en-US"/>
        </w:rPr>
        <w:t>Allied Bank Int’l v. Banco Credito Agricola de Cartago</w:t>
      </w:r>
      <w:r w:rsidRPr="00E72418">
        <w:rPr>
          <w:rStyle w:val="Titre5Car"/>
          <w:rFonts w:ascii="Times New Roman" w:hAnsi="Times New Roman" w:cs="Times New Roman"/>
          <w:color w:val="auto"/>
          <w:szCs w:val="24"/>
          <w:lang w:val="en-US"/>
        </w:rPr>
        <w:t>, 733 F.2d 23</w:t>
      </w:r>
    </w:p>
    <w:p w14:paraId="2122C9D8" w14:textId="77777777" w:rsidR="00B26469" w:rsidRPr="00E72418" w:rsidRDefault="00B26469" w:rsidP="00B26469">
      <w:pPr>
        <w:pStyle w:val="Paragraphedeliste"/>
        <w:rPr>
          <w:rStyle w:val="injectednode"/>
          <w:rFonts w:ascii="Times New Roman" w:hAnsi="Times New Roman" w:cs="Times New Roman"/>
          <w:sz w:val="14"/>
          <w:szCs w:val="14"/>
        </w:rPr>
      </w:pPr>
    </w:p>
    <w:p w14:paraId="3F321188" w14:textId="77777777" w:rsidR="00B26469" w:rsidRPr="00E72418" w:rsidRDefault="00B26469"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Court of Appeals for the Second Circuit, 28 septembre 1982, </w:t>
      </w:r>
      <w:r w:rsidRPr="00E72418">
        <w:rPr>
          <w:rFonts w:ascii="Times New Roman" w:hAnsi="Times New Roman" w:cs="Times New Roman"/>
          <w:i/>
          <w:szCs w:val="24"/>
          <w:lang w:val="en-US"/>
        </w:rPr>
        <w:t>Sharon Steel Corp. v. Chase Manhattan Bank, N.A.</w:t>
      </w:r>
      <w:r w:rsidRPr="00E72418">
        <w:rPr>
          <w:rStyle w:val="Appelnotedebasdep"/>
          <w:rFonts w:ascii="Times New Roman" w:hAnsi="Times New Roman" w:cs="Times New Roman"/>
          <w:szCs w:val="24"/>
          <w:vertAlign w:val="baseline"/>
          <w:lang w:val="en-US"/>
        </w:rPr>
        <w:t>, 691 F.2d 1039</w:t>
      </w:r>
    </w:p>
    <w:p w14:paraId="387CA6F6" w14:textId="40FD413D" w:rsidR="00B26469" w:rsidRPr="00E72418" w:rsidRDefault="00B26469" w:rsidP="00B26469">
      <w:pPr>
        <w:pStyle w:val="Paragraphedeliste"/>
        <w:rPr>
          <w:rFonts w:ascii="Times New Roman" w:hAnsi="Times New Roman" w:cs="Times New Roman"/>
          <w:sz w:val="14"/>
          <w:szCs w:val="14"/>
        </w:rPr>
      </w:pPr>
    </w:p>
    <w:p w14:paraId="4EBCA471" w14:textId="77777777" w:rsidR="00B26469" w:rsidRPr="00E72418" w:rsidRDefault="00B26469" w:rsidP="00B26469">
      <w:pPr>
        <w:pStyle w:val="Paragraphedeliste"/>
        <w:rPr>
          <w:rFonts w:ascii="Times New Roman" w:hAnsi="Times New Roman" w:cs="Times New Roman"/>
          <w:sz w:val="14"/>
          <w:szCs w:val="14"/>
        </w:rPr>
      </w:pPr>
    </w:p>
    <w:p w14:paraId="691228EC" w14:textId="2889110E" w:rsidR="00072604" w:rsidRPr="00E72418" w:rsidRDefault="00F1587D" w:rsidP="007D7D59">
      <w:pPr>
        <w:pStyle w:val="Paragraphedeliste"/>
        <w:numPr>
          <w:ilvl w:val="0"/>
          <w:numId w:val="10"/>
        </w:numPr>
        <w:spacing w:after="0"/>
        <w:rPr>
          <w:rFonts w:ascii="Times New Roman" w:hAnsi="Times New Roman" w:cs="Times New Roman"/>
          <w:szCs w:val="24"/>
        </w:rPr>
      </w:pPr>
      <w:r>
        <w:rPr>
          <w:rFonts w:ascii="Times New Roman" w:hAnsi="Times New Roman" w:cs="Times New Roman"/>
          <w:szCs w:val="24"/>
        </w:rPr>
        <w:t>Court</w:t>
      </w:r>
      <w:r w:rsidR="00B660E3" w:rsidRPr="00E72418">
        <w:rPr>
          <w:rFonts w:ascii="Times New Roman" w:hAnsi="Times New Roman" w:cs="Times New Roman"/>
          <w:szCs w:val="24"/>
        </w:rPr>
        <w:t xml:space="preserve"> of Appeal</w:t>
      </w:r>
      <w:r>
        <w:rPr>
          <w:rFonts w:ascii="Times New Roman" w:hAnsi="Times New Roman" w:cs="Times New Roman"/>
          <w:szCs w:val="24"/>
        </w:rPr>
        <w:t>s</w:t>
      </w:r>
      <w:r w:rsidR="00B660E3" w:rsidRPr="00E72418">
        <w:rPr>
          <w:rFonts w:ascii="Times New Roman" w:hAnsi="Times New Roman" w:cs="Times New Roman"/>
          <w:szCs w:val="24"/>
        </w:rPr>
        <w:t xml:space="preserve"> for the Fif</w:t>
      </w:r>
      <w:r w:rsidR="00B67641" w:rsidRPr="00E72418">
        <w:rPr>
          <w:rFonts w:ascii="Times New Roman" w:hAnsi="Times New Roman" w:cs="Times New Roman"/>
          <w:szCs w:val="24"/>
        </w:rPr>
        <w:t>t</w:t>
      </w:r>
      <w:r w:rsidR="00B660E3" w:rsidRPr="00E72418">
        <w:rPr>
          <w:rFonts w:ascii="Times New Roman" w:hAnsi="Times New Roman" w:cs="Times New Roman"/>
          <w:szCs w:val="24"/>
        </w:rPr>
        <w:t>h</w:t>
      </w:r>
      <w:r w:rsidR="00B67641" w:rsidRPr="00E72418">
        <w:rPr>
          <w:rFonts w:ascii="Times New Roman" w:hAnsi="Times New Roman" w:cs="Times New Roman"/>
          <w:szCs w:val="24"/>
        </w:rPr>
        <w:t xml:space="preserve"> Circuit, 23 août 2006, </w:t>
      </w:r>
      <w:r w:rsidR="00B67641" w:rsidRPr="00E72418">
        <w:rPr>
          <w:rFonts w:ascii="Times New Roman" w:hAnsi="Times New Roman" w:cs="Times New Roman"/>
          <w:i/>
          <w:szCs w:val="24"/>
        </w:rPr>
        <w:t>Af-Cap, Inc., v. The Republic of Congo et al.</w:t>
      </w:r>
      <w:r w:rsidR="00B67641" w:rsidRPr="00E72418">
        <w:rPr>
          <w:rFonts w:ascii="Times New Roman" w:hAnsi="Times New Roman" w:cs="Times New Roman"/>
          <w:szCs w:val="24"/>
        </w:rPr>
        <w:t>, 462 F.3d 417</w:t>
      </w:r>
    </w:p>
    <w:p w14:paraId="319F672D" w14:textId="77777777" w:rsidR="00072604" w:rsidRPr="00E72418" w:rsidRDefault="00072604" w:rsidP="00072604">
      <w:pPr>
        <w:pStyle w:val="Paragraphedeliste"/>
        <w:spacing w:after="0"/>
        <w:rPr>
          <w:rFonts w:ascii="Times New Roman" w:hAnsi="Times New Roman" w:cs="Times New Roman"/>
          <w:sz w:val="14"/>
          <w:szCs w:val="14"/>
        </w:rPr>
      </w:pPr>
    </w:p>
    <w:p w14:paraId="1E97A14F" w14:textId="333FCCC5" w:rsidR="00B26469" w:rsidRPr="00E72418" w:rsidRDefault="00B67641"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Court of Appeals for the Fifth Circuit, </w:t>
      </w:r>
      <w:r w:rsidRPr="00E72418">
        <w:rPr>
          <w:rStyle w:val="injectednode"/>
          <w:rFonts w:ascii="Times New Roman" w:hAnsi="Times New Roman" w:cs="Times New Roman"/>
          <w:szCs w:val="24"/>
        </w:rPr>
        <w:t>10 juillet 2006,</w:t>
      </w:r>
      <w:r w:rsidRPr="00E72418">
        <w:rPr>
          <w:rFonts w:ascii="Times New Roman" w:hAnsi="Times New Roman" w:cs="Times New Roman"/>
          <w:szCs w:val="24"/>
        </w:rPr>
        <w:t xml:space="preserve"> </w:t>
      </w:r>
      <w:r w:rsidRPr="00E72418">
        <w:rPr>
          <w:rFonts w:ascii="Times New Roman" w:hAnsi="Times New Roman" w:cs="Times New Roman"/>
          <w:i/>
          <w:szCs w:val="24"/>
        </w:rPr>
        <w:t>FG Hemisphere Assocs. v. Republique du Congo</w:t>
      </w:r>
      <w:r w:rsidRPr="00E72418">
        <w:rPr>
          <w:rStyle w:val="injectednode"/>
          <w:rFonts w:ascii="Times New Roman" w:hAnsi="Times New Roman" w:cs="Times New Roman"/>
          <w:szCs w:val="24"/>
        </w:rPr>
        <w:t>, 455 F.3d 575</w:t>
      </w:r>
    </w:p>
    <w:p w14:paraId="79A85BC8" w14:textId="51CB8F07" w:rsidR="00B26469" w:rsidRPr="00E72418" w:rsidRDefault="00B26469" w:rsidP="00B26469">
      <w:pPr>
        <w:pStyle w:val="Paragraphedeliste"/>
        <w:rPr>
          <w:rStyle w:val="injectednode"/>
          <w:rFonts w:ascii="Times New Roman" w:hAnsi="Times New Roman" w:cs="Times New Roman"/>
          <w:sz w:val="14"/>
          <w:szCs w:val="14"/>
        </w:rPr>
      </w:pPr>
    </w:p>
    <w:p w14:paraId="093AEA78" w14:textId="77777777" w:rsidR="00B26469" w:rsidRPr="00E72418" w:rsidRDefault="00B26469" w:rsidP="00B26469">
      <w:pPr>
        <w:pStyle w:val="Paragraphedeliste"/>
        <w:rPr>
          <w:rStyle w:val="injectednode"/>
          <w:rFonts w:ascii="Times New Roman" w:hAnsi="Times New Roman" w:cs="Times New Roman"/>
          <w:sz w:val="14"/>
          <w:szCs w:val="14"/>
        </w:rPr>
      </w:pPr>
    </w:p>
    <w:p w14:paraId="7505863F" w14:textId="63E335C7" w:rsidR="00B26469" w:rsidRPr="00E72418" w:rsidRDefault="00B26469" w:rsidP="007D7D59">
      <w:pPr>
        <w:pStyle w:val="Paragraphedeliste"/>
        <w:numPr>
          <w:ilvl w:val="0"/>
          <w:numId w:val="10"/>
        </w:numPr>
        <w:spacing w:after="0"/>
        <w:rPr>
          <w:rFonts w:ascii="Times New Roman" w:hAnsi="Times New Roman" w:cs="Times New Roman"/>
          <w:sz w:val="14"/>
          <w:szCs w:val="14"/>
        </w:rPr>
      </w:pPr>
      <w:r w:rsidRPr="00E72418">
        <w:rPr>
          <w:rFonts w:ascii="Times New Roman" w:hAnsi="Times New Roman" w:cs="Times New Roman"/>
          <w:szCs w:val="24"/>
        </w:rPr>
        <w:t xml:space="preserve">Court of Appeals for the District of Columbia Circuit, 15 mars 2011, </w:t>
      </w:r>
      <w:r w:rsidRPr="00E72418">
        <w:rPr>
          <w:rFonts w:ascii="Times New Roman" w:hAnsi="Times New Roman" w:cs="Times New Roman"/>
          <w:i/>
          <w:szCs w:val="24"/>
        </w:rPr>
        <w:t>FG Hemisphere Associates LLC v. Democratic Republic of Congo</w:t>
      </w:r>
      <w:r w:rsidRPr="00E72418">
        <w:rPr>
          <w:rFonts w:ascii="Times New Roman" w:hAnsi="Times New Roman" w:cs="Times New Roman"/>
          <w:szCs w:val="24"/>
        </w:rPr>
        <w:t>, 637 F.3d 373</w:t>
      </w:r>
    </w:p>
    <w:p w14:paraId="4211D4B6" w14:textId="77777777" w:rsidR="00B26469" w:rsidRPr="00E72418" w:rsidRDefault="00B26469" w:rsidP="00B26469">
      <w:pPr>
        <w:pStyle w:val="Paragraphedeliste"/>
        <w:rPr>
          <w:rFonts w:ascii="Times New Roman" w:hAnsi="Times New Roman" w:cs="Times New Roman"/>
          <w:sz w:val="14"/>
          <w:szCs w:val="14"/>
        </w:rPr>
      </w:pPr>
    </w:p>
    <w:p w14:paraId="6EFA24EE" w14:textId="1DF84B8E" w:rsidR="00B26469" w:rsidRPr="00E72418" w:rsidRDefault="00B67641" w:rsidP="00072604">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Court of Appeals for the District of Columbia Circuit, 19 mai 2006, </w:t>
      </w:r>
      <w:r w:rsidRPr="00E72418">
        <w:rPr>
          <w:rFonts w:ascii="Times New Roman" w:hAnsi="Times New Roman" w:cs="Times New Roman"/>
          <w:i/>
          <w:szCs w:val="24"/>
        </w:rPr>
        <w:t>FG Hemisphere Assocs. v. Democratic Republic of Congo</w:t>
      </w:r>
      <w:r w:rsidRPr="00E72418">
        <w:rPr>
          <w:rStyle w:val="injectednode"/>
          <w:rFonts w:ascii="Times New Roman" w:hAnsi="Times New Roman" w:cs="Times New Roman"/>
          <w:szCs w:val="24"/>
        </w:rPr>
        <w:t>, 447 F.3d 835</w:t>
      </w:r>
    </w:p>
    <w:p w14:paraId="30782080" w14:textId="5A103670" w:rsidR="007D45E0" w:rsidRPr="00E72418" w:rsidRDefault="007D45E0" w:rsidP="00B67641">
      <w:pPr>
        <w:pStyle w:val="Paragraphedeliste"/>
        <w:spacing w:after="0"/>
        <w:rPr>
          <w:rFonts w:ascii="Times New Roman" w:hAnsi="Times New Roman" w:cs="Times New Roman"/>
          <w:sz w:val="28"/>
          <w:szCs w:val="28"/>
        </w:rPr>
      </w:pPr>
    </w:p>
    <w:p w14:paraId="08497D97" w14:textId="1C68A6D3" w:rsidR="00B26469" w:rsidRPr="00E72418" w:rsidRDefault="00B26469" w:rsidP="007A654B">
      <w:pPr>
        <w:pStyle w:val="Paragraphedeliste"/>
        <w:spacing w:after="0"/>
        <w:jc w:val="center"/>
        <w:rPr>
          <w:rFonts w:ascii="Times New Roman" w:hAnsi="Times New Roman" w:cs="Times New Roman"/>
          <w:i/>
          <w:sz w:val="28"/>
          <w:szCs w:val="28"/>
        </w:rPr>
      </w:pPr>
      <w:r w:rsidRPr="00E72418">
        <w:rPr>
          <w:rFonts w:ascii="Times New Roman" w:hAnsi="Times New Roman" w:cs="Times New Roman"/>
          <w:i/>
          <w:sz w:val="28"/>
          <w:szCs w:val="28"/>
          <w:lang w:val="en-US"/>
        </w:rPr>
        <w:t>United States District Courts</w:t>
      </w:r>
    </w:p>
    <w:p w14:paraId="50330427" w14:textId="77777777" w:rsidR="00B67641" w:rsidRPr="00E72418" w:rsidRDefault="00B67641" w:rsidP="00B67641">
      <w:pPr>
        <w:pStyle w:val="Paragraphedeliste"/>
        <w:spacing w:after="0"/>
        <w:rPr>
          <w:rFonts w:ascii="Times New Roman" w:hAnsi="Times New Roman" w:cs="Times New Roman"/>
          <w:szCs w:val="24"/>
        </w:rPr>
      </w:pPr>
    </w:p>
    <w:p w14:paraId="29C76588" w14:textId="5FE8B24A" w:rsidR="00A91208" w:rsidRPr="00E72418" w:rsidRDefault="00A91208" w:rsidP="008D1D70">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22 décembre 2016, </w:t>
      </w:r>
      <w:r w:rsidRPr="00E72418">
        <w:rPr>
          <w:rStyle w:val="injectednode"/>
          <w:rFonts w:ascii="Times New Roman" w:hAnsi="Times New Roman" w:cs="Times New Roman"/>
          <w:i/>
          <w:szCs w:val="24"/>
          <w:lang w:val="en-US"/>
        </w:rPr>
        <w:t>White Hawthorne LLC et al v. The Republic of Argentina</w:t>
      </w:r>
      <w:r w:rsidRPr="00E72418">
        <w:rPr>
          <w:rStyle w:val="injectednode"/>
          <w:rFonts w:ascii="Times New Roman" w:hAnsi="Times New Roman" w:cs="Times New Roman"/>
          <w:szCs w:val="24"/>
          <w:lang w:val="en-US"/>
        </w:rPr>
        <w:t xml:space="preserve">, </w:t>
      </w:r>
      <w:r w:rsidRPr="00E72418">
        <w:rPr>
          <w:rFonts w:ascii="Times New Roman" w:hAnsi="Times New Roman" w:cs="Times New Roman"/>
          <w:szCs w:val="24"/>
          <w:lang w:val="en-US"/>
        </w:rPr>
        <w:t>2016 WL 74416997</w:t>
      </w:r>
    </w:p>
    <w:p w14:paraId="618EE187" w14:textId="77777777" w:rsidR="00A91208" w:rsidRPr="00E72418" w:rsidRDefault="00A91208" w:rsidP="00A91208">
      <w:pPr>
        <w:pStyle w:val="Paragraphedeliste"/>
        <w:rPr>
          <w:rFonts w:ascii="Times New Roman" w:hAnsi="Times New Roman" w:cs="Times New Roman"/>
          <w:sz w:val="14"/>
          <w:szCs w:val="14"/>
        </w:rPr>
      </w:pPr>
    </w:p>
    <w:p w14:paraId="416EF10D" w14:textId="2FCDAB8C" w:rsidR="00A91208" w:rsidRPr="00E72418" w:rsidRDefault="00A91208" w:rsidP="008D1D70">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22 avril 2016, </w:t>
      </w:r>
      <w:r w:rsidRPr="00E72418">
        <w:rPr>
          <w:rFonts w:ascii="Times New Roman" w:hAnsi="Times New Roman" w:cs="Times New Roman"/>
          <w:i/>
          <w:szCs w:val="24"/>
        </w:rPr>
        <w:t>NML Capital Ltd. v. Republic of Argentina</w:t>
      </w:r>
      <w:r w:rsidRPr="00E72418">
        <w:rPr>
          <w:rFonts w:ascii="Times New Roman" w:hAnsi="Times New Roman" w:cs="Times New Roman"/>
          <w:szCs w:val="24"/>
        </w:rPr>
        <w:t>, 08-cv-6978 (TPG) e.a., document 937</w:t>
      </w:r>
      <w:r w:rsidR="00D6087D" w:rsidRPr="00E72418">
        <w:rPr>
          <w:rFonts w:ascii="Times New Roman" w:hAnsi="Times New Roman" w:cs="Times New Roman"/>
          <w:szCs w:val="24"/>
        </w:rPr>
        <w:t>, inédit</w:t>
      </w:r>
    </w:p>
    <w:p w14:paraId="582266F9" w14:textId="77777777" w:rsidR="00A91208" w:rsidRPr="00E72418" w:rsidRDefault="00A91208" w:rsidP="00A91208">
      <w:pPr>
        <w:pStyle w:val="Paragraphedeliste"/>
        <w:rPr>
          <w:rFonts w:ascii="Times New Roman" w:hAnsi="Times New Roman" w:cs="Times New Roman"/>
          <w:sz w:val="14"/>
          <w:szCs w:val="14"/>
        </w:rPr>
      </w:pPr>
    </w:p>
    <w:p w14:paraId="3AD543D6" w14:textId="4C02873A" w:rsidR="00A91208" w:rsidRPr="00E72418" w:rsidRDefault="00A91208" w:rsidP="008D1D70">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w:t>
      </w:r>
      <w:r w:rsidRPr="00E72418">
        <w:rPr>
          <w:rStyle w:val="injectednode"/>
          <w:rFonts w:ascii="Times New Roman" w:hAnsi="Times New Roman" w:cs="Times New Roman"/>
          <w:szCs w:val="24"/>
        </w:rPr>
        <w:t xml:space="preserve">2 mars 2016, </w:t>
      </w:r>
      <w:r w:rsidRPr="00E72418">
        <w:rPr>
          <w:rFonts w:ascii="Times New Roman" w:hAnsi="Times New Roman" w:cs="Times New Roman"/>
          <w:i/>
          <w:szCs w:val="24"/>
        </w:rPr>
        <w:t>NML Capital Ltd. v. Republic of Arg.</w:t>
      </w:r>
      <w:r w:rsidRPr="00E72418">
        <w:rPr>
          <w:rStyle w:val="injectednode"/>
          <w:rFonts w:ascii="Times New Roman" w:hAnsi="Times New Roman" w:cs="Times New Roman"/>
          <w:szCs w:val="24"/>
        </w:rPr>
        <w:t>, 2016 U.S. Dist. LEXIS 26355</w:t>
      </w:r>
    </w:p>
    <w:p w14:paraId="2298395E" w14:textId="77777777" w:rsidR="00A91208" w:rsidRPr="00E72418" w:rsidRDefault="00A91208" w:rsidP="00A91208">
      <w:pPr>
        <w:pStyle w:val="Paragraphedeliste"/>
        <w:rPr>
          <w:rStyle w:val="injectednode"/>
          <w:rFonts w:ascii="Times New Roman" w:hAnsi="Times New Roman" w:cs="Times New Roman"/>
          <w:sz w:val="14"/>
          <w:szCs w:val="14"/>
        </w:rPr>
      </w:pPr>
    </w:p>
    <w:p w14:paraId="3500583B" w14:textId="77777777" w:rsidR="00B26469"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District Court for th</w:t>
      </w:r>
      <w:r w:rsidR="00D6087D" w:rsidRPr="00E72418">
        <w:rPr>
          <w:rFonts w:ascii="Times New Roman" w:hAnsi="Times New Roman" w:cs="Times New Roman"/>
          <w:szCs w:val="24"/>
        </w:rPr>
        <w:t>e Southern District of New York</w:t>
      </w:r>
      <w:r w:rsidRPr="00E72418">
        <w:rPr>
          <w:rFonts w:ascii="Times New Roman" w:hAnsi="Times New Roman" w:cs="Times New Roman"/>
          <w:szCs w:val="24"/>
        </w:rPr>
        <w:t xml:space="preserve">, 30 octobre 2015, </w:t>
      </w:r>
      <w:r w:rsidRPr="00E72418">
        <w:rPr>
          <w:rFonts w:ascii="Times New Roman" w:hAnsi="Times New Roman" w:cs="Times New Roman"/>
          <w:i/>
          <w:szCs w:val="24"/>
        </w:rPr>
        <w:t>NML Capital Ltd. v. Republic of Argentina</w:t>
      </w:r>
      <w:r w:rsidRPr="00E72418">
        <w:rPr>
          <w:rFonts w:ascii="Times New Roman" w:hAnsi="Times New Roman" w:cs="Times New Roman"/>
          <w:szCs w:val="24"/>
        </w:rPr>
        <w:t>, 144 F. Supp.3d 513</w:t>
      </w:r>
    </w:p>
    <w:p w14:paraId="35231B87" w14:textId="77777777" w:rsidR="00B26469" w:rsidRPr="00E72418" w:rsidRDefault="00B26469" w:rsidP="00B26469">
      <w:pPr>
        <w:pStyle w:val="Paragraphedeliste"/>
        <w:rPr>
          <w:rFonts w:ascii="Times New Roman" w:hAnsi="Times New Roman" w:cs="Times New Roman"/>
          <w:sz w:val="14"/>
          <w:szCs w:val="14"/>
        </w:rPr>
      </w:pPr>
    </w:p>
    <w:p w14:paraId="025AF676" w14:textId="0A18315F" w:rsidR="00A91208"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3 octobre 2014, </w:t>
      </w:r>
      <w:r w:rsidRPr="00E72418">
        <w:rPr>
          <w:rFonts w:ascii="Times New Roman" w:hAnsi="Times New Roman" w:cs="Times New Roman"/>
          <w:i/>
          <w:szCs w:val="24"/>
        </w:rPr>
        <w:t>NML Capital Ltd. v. Republic of Argentina</w:t>
      </w:r>
      <w:r w:rsidRPr="00E72418">
        <w:rPr>
          <w:rFonts w:ascii="Times New Roman" w:hAnsi="Times New Roman" w:cs="Times New Roman"/>
          <w:szCs w:val="24"/>
        </w:rPr>
        <w:t>, 08 Civ. 6978 (TPG) e.a., document 693</w:t>
      </w:r>
      <w:r w:rsidR="00D6087D" w:rsidRPr="00E72418">
        <w:rPr>
          <w:rFonts w:ascii="Times New Roman" w:hAnsi="Times New Roman" w:cs="Times New Roman"/>
          <w:szCs w:val="24"/>
        </w:rPr>
        <w:t>, inédit</w:t>
      </w:r>
    </w:p>
    <w:p w14:paraId="76ADBE18" w14:textId="77777777" w:rsidR="00A91208" w:rsidRPr="00E72418" w:rsidRDefault="00A91208" w:rsidP="00A91208">
      <w:pPr>
        <w:pStyle w:val="Paragraphedeliste"/>
        <w:rPr>
          <w:rFonts w:ascii="Times New Roman" w:hAnsi="Times New Roman" w:cs="Times New Roman"/>
          <w:sz w:val="14"/>
          <w:szCs w:val="14"/>
        </w:rPr>
      </w:pPr>
    </w:p>
    <w:p w14:paraId="02628587" w14:textId="66C48721" w:rsidR="00A91208" w:rsidRPr="00E72418" w:rsidRDefault="00A91208" w:rsidP="008D1D70">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29 septembre 2014, </w:t>
      </w:r>
      <w:r w:rsidRPr="00E72418">
        <w:rPr>
          <w:rFonts w:ascii="Times New Roman" w:hAnsi="Times New Roman" w:cs="Times New Roman"/>
          <w:i/>
          <w:szCs w:val="24"/>
        </w:rPr>
        <w:t>NML Capital Ltd. v. Republic of Argentina</w:t>
      </w:r>
      <w:r w:rsidRPr="00E72418">
        <w:rPr>
          <w:rFonts w:ascii="Times New Roman" w:hAnsi="Times New Roman" w:cs="Times New Roman"/>
          <w:szCs w:val="24"/>
        </w:rPr>
        <w:t>, 08 Civ. 6978 (TPG) e.a., document 687</w:t>
      </w:r>
      <w:r w:rsidR="00D6087D" w:rsidRPr="00E72418">
        <w:rPr>
          <w:rFonts w:ascii="Times New Roman" w:hAnsi="Times New Roman" w:cs="Times New Roman"/>
          <w:szCs w:val="24"/>
        </w:rPr>
        <w:t>, inédit</w:t>
      </w:r>
    </w:p>
    <w:p w14:paraId="18A93854" w14:textId="77777777" w:rsidR="00A91208" w:rsidRPr="00E72418" w:rsidRDefault="00A91208" w:rsidP="00A91208">
      <w:pPr>
        <w:pStyle w:val="Paragraphedeliste"/>
        <w:rPr>
          <w:rFonts w:ascii="Times New Roman" w:hAnsi="Times New Roman" w:cs="Times New Roman"/>
          <w:sz w:val="14"/>
          <w:szCs w:val="14"/>
        </w:rPr>
      </w:pPr>
    </w:p>
    <w:p w14:paraId="44972F22" w14:textId="77777777" w:rsidR="00B26469"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9 juillet 2014, </w:t>
      </w:r>
      <w:r w:rsidRPr="00E72418">
        <w:rPr>
          <w:rFonts w:ascii="Times New Roman" w:hAnsi="Times New Roman" w:cs="Times New Roman"/>
          <w:i/>
          <w:szCs w:val="24"/>
          <w:lang w:val="en-US"/>
        </w:rPr>
        <w:t>Themis Capital LLC and Des Moines Investments Ltd. v. Democratic Republic of Congo and Central Bank of the Democratic Republic of Congo</w:t>
      </w:r>
      <w:r w:rsidRPr="00E72418">
        <w:rPr>
          <w:rFonts w:ascii="Times New Roman" w:hAnsi="Times New Roman" w:cs="Times New Roman"/>
          <w:szCs w:val="24"/>
          <w:lang w:val="en-US"/>
        </w:rPr>
        <w:t>, 35 F. Supp. 3d 457</w:t>
      </w:r>
    </w:p>
    <w:p w14:paraId="42D8D43D" w14:textId="77777777" w:rsidR="00B26469" w:rsidRPr="00E72418" w:rsidRDefault="00B26469" w:rsidP="00B26469">
      <w:pPr>
        <w:pStyle w:val="Paragraphedeliste"/>
        <w:rPr>
          <w:rFonts w:ascii="Times New Roman" w:hAnsi="Times New Roman" w:cs="Times New Roman"/>
          <w:sz w:val="14"/>
          <w:szCs w:val="14"/>
          <w:lang w:val="en-US"/>
        </w:rPr>
      </w:pPr>
    </w:p>
    <w:p w14:paraId="1DC2C549" w14:textId="4EC1235F" w:rsidR="00A91208"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21 novembre 2012, </w:t>
      </w:r>
      <w:r w:rsidRPr="00E72418">
        <w:rPr>
          <w:rFonts w:ascii="Times New Roman" w:hAnsi="Times New Roman" w:cs="Times New Roman"/>
          <w:i/>
          <w:szCs w:val="24"/>
          <w:lang w:val="en-US"/>
        </w:rPr>
        <w:t>NML Capital v. Republic of Argentina</w:t>
      </w:r>
      <w:r w:rsidRPr="00E72418">
        <w:rPr>
          <w:rFonts w:ascii="Times New Roman" w:hAnsi="Times New Roman" w:cs="Times New Roman"/>
          <w:szCs w:val="24"/>
          <w:lang w:val="en-US"/>
        </w:rPr>
        <w:t>, 2012 WL 5895786</w:t>
      </w:r>
    </w:p>
    <w:p w14:paraId="541755D0" w14:textId="77777777" w:rsidR="00A91208" w:rsidRPr="00E72418" w:rsidRDefault="00A91208" w:rsidP="00A91208">
      <w:pPr>
        <w:pStyle w:val="Paragraphedeliste"/>
        <w:rPr>
          <w:rFonts w:ascii="Times New Roman" w:hAnsi="Times New Roman" w:cs="Times New Roman"/>
          <w:sz w:val="14"/>
          <w:szCs w:val="14"/>
        </w:rPr>
      </w:pPr>
    </w:p>
    <w:p w14:paraId="1E43F3AB" w14:textId="5649186C" w:rsidR="00A91208" w:rsidRPr="00E72418" w:rsidRDefault="00A91208" w:rsidP="008D1D70">
      <w:pPr>
        <w:pStyle w:val="Paragraphedeliste"/>
        <w:numPr>
          <w:ilvl w:val="0"/>
          <w:numId w:val="10"/>
        </w:numPr>
        <w:spacing w:after="0"/>
        <w:rPr>
          <w:rStyle w:val="Titre3Car"/>
          <w:rFonts w:ascii="Times New Roman" w:hAnsi="Times New Roman" w:cs="Times New Roman"/>
          <w:color w:val="auto"/>
        </w:rPr>
      </w:pPr>
      <w:bookmarkStart w:id="524" w:name="_Toc84541041"/>
      <w:r w:rsidRPr="00E72418">
        <w:rPr>
          <w:rStyle w:val="Titre3Car"/>
          <w:rFonts w:ascii="Times New Roman" w:hAnsi="Times New Roman" w:cs="Times New Roman"/>
          <w:color w:val="auto"/>
          <w:lang w:val="en-US"/>
        </w:rPr>
        <w:lastRenderedPageBreak/>
        <w:t xml:space="preserve">District Court for the Southern District of New York, 21 novembre 2012, </w:t>
      </w:r>
      <w:r w:rsidRPr="00E72418">
        <w:rPr>
          <w:rStyle w:val="Titre3Car"/>
          <w:rFonts w:ascii="Times New Roman" w:hAnsi="Times New Roman" w:cs="Times New Roman"/>
          <w:i/>
          <w:color w:val="auto"/>
          <w:lang w:val="en-US"/>
        </w:rPr>
        <w:t>NML Capital v. Republic of Argentina</w:t>
      </w:r>
      <w:r w:rsidRPr="00E72418">
        <w:rPr>
          <w:rStyle w:val="Titre3Car"/>
          <w:rFonts w:ascii="Times New Roman" w:hAnsi="Times New Roman" w:cs="Times New Roman"/>
          <w:color w:val="auto"/>
          <w:lang w:val="en-US"/>
        </w:rPr>
        <w:t>, “Amended February 23, 2012 Order”, 2012 WL 5895784</w:t>
      </w:r>
      <w:bookmarkEnd w:id="524"/>
    </w:p>
    <w:p w14:paraId="2FE79833" w14:textId="77777777" w:rsidR="00A91208" w:rsidRPr="00E72418" w:rsidRDefault="00A91208" w:rsidP="00A91208">
      <w:pPr>
        <w:pStyle w:val="Paragraphedeliste"/>
        <w:rPr>
          <w:rFonts w:ascii="Times New Roman" w:hAnsi="Times New Roman" w:cs="Times New Roman"/>
          <w:sz w:val="14"/>
          <w:szCs w:val="14"/>
        </w:rPr>
      </w:pPr>
    </w:p>
    <w:p w14:paraId="6E246B8B" w14:textId="77777777" w:rsidR="00072604"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21 novembre 2012, </w:t>
      </w:r>
      <w:r w:rsidRPr="00E72418">
        <w:rPr>
          <w:rFonts w:ascii="Times New Roman" w:hAnsi="Times New Roman" w:cs="Times New Roman"/>
          <w:i/>
          <w:szCs w:val="24"/>
        </w:rPr>
        <w:t>NML Capital, Ltd. v. Republic of Argentina</w:t>
      </w:r>
      <w:r w:rsidRPr="00E72418">
        <w:rPr>
          <w:rFonts w:ascii="Times New Roman" w:hAnsi="Times New Roman" w:cs="Times New Roman"/>
          <w:szCs w:val="24"/>
        </w:rPr>
        <w:t>, 2012 WL 5895650</w:t>
      </w:r>
    </w:p>
    <w:p w14:paraId="3AE36D3B" w14:textId="77777777" w:rsidR="00072604" w:rsidRPr="00E72418" w:rsidRDefault="00072604" w:rsidP="00072604">
      <w:pPr>
        <w:pStyle w:val="Paragraphedeliste"/>
        <w:rPr>
          <w:rFonts w:ascii="Times New Roman" w:hAnsi="Times New Roman" w:cs="Times New Roman"/>
          <w:sz w:val="14"/>
          <w:szCs w:val="14"/>
          <w:lang w:val="en-US"/>
        </w:rPr>
      </w:pPr>
    </w:p>
    <w:p w14:paraId="512181C2" w14:textId="310A2B1B" w:rsidR="00B67641"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2 septembre 2011, </w:t>
      </w:r>
      <w:r w:rsidRPr="00E72418">
        <w:rPr>
          <w:rFonts w:ascii="Times New Roman" w:hAnsi="Times New Roman" w:cs="Times New Roman"/>
          <w:i/>
          <w:szCs w:val="24"/>
          <w:lang w:val="en-US"/>
        </w:rPr>
        <w:t>NML Capital Ltd. v. Republic of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rPr>
        <w:t>2011 WL 3897828</w:t>
      </w:r>
    </w:p>
    <w:p w14:paraId="0D3C5602" w14:textId="77777777" w:rsidR="00B67641" w:rsidRPr="00E72418" w:rsidRDefault="00B67641" w:rsidP="00B67641">
      <w:pPr>
        <w:pStyle w:val="Paragraphedeliste"/>
        <w:rPr>
          <w:rFonts w:ascii="Times New Roman" w:hAnsi="Times New Roman" w:cs="Times New Roman"/>
          <w:sz w:val="14"/>
          <w:szCs w:val="14"/>
        </w:rPr>
      </w:pPr>
    </w:p>
    <w:p w14:paraId="66C324DD" w14:textId="77777777" w:rsidR="00072604"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23 février 2012, </w:t>
      </w:r>
      <w:r w:rsidRPr="00E72418">
        <w:rPr>
          <w:rFonts w:ascii="Times New Roman" w:hAnsi="Times New Roman" w:cs="Times New Roman"/>
          <w:i/>
          <w:szCs w:val="24"/>
          <w:lang w:val="en-US"/>
        </w:rPr>
        <w:t>NML Capital Ltd. v. Republic of Argentina</w:t>
      </w:r>
      <w:r w:rsidRPr="00E72418">
        <w:rPr>
          <w:rFonts w:ascii="Times New Roman" w:hAnsi="Times New Roman" w:cs="Times New Roman"/>
          <w:szCs w:val="24"/>
          <w:lang w:val="en-US"/>
        </w:rPr>
        <w:t>, 08 Civ. 6978 (TPG) e.a., document 371</w:t>
      </w:r>
      <w:r w:rsidR="00B67641" w:rsidRPr="00E72418">
        <w:rPr>
          <w:rFonts w:ascii="Times New Roman" w:hAnsi="Times New Roman" w:cs="Times New Roman"/>
          <w:szCs w:val="24"/>
          <w:lang w:val="en-US"/>
        </w:rPr>
        <w:t>, inédit</w:t>
      </w:r>
    </w:p>
    <w:p w14:paraId="1C0EA07E" w14:textId="77777777" w:rsidR="00072604" w:rsidRPr="00E72418" w:rsidRDefault="00072604" w:rsidP="00072604">
      <w:pPr>
        <w:pStyle w:val="Paragraphedeliste"/>
        <w:rPr>
          <w:rFonts w:ascii="Times New Roman" w:hAnsi="Times New Roman" w:cs="Times New Roman"/>
          <w:sz w:val="14"/>
          <w:szCs w:val="14"/>
          <w:lang w:val="en-US"/>
        </w:rPr>
      </w:pPr>
    </w:p>
    <w:p w14:paraId="4CC0585A" w14:textId="3794E933" w:rsidR="00B26469" w:rsidRPr="00E72418" w:rsidRDefault="00A91208"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7 décembre 2011, </w:t>
      </w:r>
      <w:r w:rsidRPr="00E72418">
        <w:rPr>
          <w:rFonts w:ascii="Times New Roman" w:hAnsi="Times New Roman" w:cs="Times New Roman"/>
          <w:i/>
          <w:szCs w:val="24"/>
          <w:lang w:val="en-US"/>
        </w:rPr>
        <w:t>NML Capital Ltd. v. Republic of Argentina</w:t>
      </w:r>
      <w:r w:rsidRPr="00E72418">
        <w:rPr>
          <w:rFonts w:ascii="Times New Roman" w:hAnsi="Times New Roman" w:cs="Times New Roman"/>
          <w:szCs w:val="24"/>
          <w:lang w:val="en-US"/>
        </w:rPr>
        <w:t xml:space="preserve">, </w:t>
      </w:r>
      <w:r w:rsidRPr="00E72418">
        <w:rPr>
          <w:rStyle w:val="injectednode"/>
          <w:rFonts w:ascii="Times New Roman" w:hAnsi="Times New Roman" w:cs="Times New Roman"/>
          <w:szCs w:val="24"/>
          <w:lang w:val="en-US"/>
        </w:rPr>
        <w:t>2011 U.S. Dist. LEXIS 158860</w:t>
      </w:r>
    </w:p>
    <w:p w14:paraId="5DA15B62" w14:textId="77777777" w:rsidR="00B26469" w:rsidRPr="00E72418" w:rsidRDefault="00B26469" w:rsidP="00B26469">
      <w:pPr>
        <w:pStyle w:val="Paragraphedeliste"/>
        <w:rPr>
          <w:rStyle w:val="SansinterligneCar"/>
          <w:rFonts w:ascii="Times New Roman" w:hAnsi="Times New Roman" w:cs="Times New Roman"/>
          <w:sz w:val="14"/>
          <w:szCs w:val="14"/>
          <w:lang w:val="en-US"/>
        </w:rPr>
      </w:pPr>
    </w:p>
    <w:p w14:paraId="589A7CA9" w14:textId="75F47592" w:rsidR="00B26469" w:rsidRPr="00E72418" w:rsidRDefault="00B26469" w:rsidP="007D7D59">
      <w:pPr>
        <w:pStyle w:val="Paragraphedeliste"/>
        <w:numPr>
          <w:ilvl w:val="0"/>
          <w:numId w:val="10"/>
        </w:numPr>
        <w:spacing w:after="0"/>
        <w:rPr>
          <w:rStyle w:val="SansinterligneCar"/>
          <w:rFonts w:ascii="Times New Roman" w:hAnsi="Times New Roman" w:cs="Times New Roman"/>
          <w:sz w:val="24"/>
          <w:szCs w:val="24"/>
        </w:rPr>
      </w:pPr>
      <w:r w:rsidRPr="00E72418">
        <w:rPr>
          <w:rStyle w:val="SansinterligneCar"/>
          <w:rFonts w:ascii="Times New Roman" w:hAnsi="Times New Roman" w:cs="Times New Roman"/>
          <w:sz w:val="24"/>
          <w:szCs w:val="24"/>
          <w:lang w:val="en-US"/>
        </w:rPr>
        <w:t xml:space="preserve">District Court for the Southern District of New York, 7 avril 2010, </w:t>
      </w:r>
      <w:r w:rsidRPr="00E72418">
        <w:rPr>
          <w:rStyle w:val="SansinterligneCar"/>
          <w:rFonts w:ascii="Times New Roman" w:hAnsi="Times New Roman" w:cs="Times New Roman"/>
          <w:i/>
          <w:sz w:val="24"/>
          <w:szCs w:val="24"/>
          <w:lang w:val="en-US"/>
        </w:rPr>
        <w:t>EM Ltd. v. The Republic of Argentina</w:t>
      </w:r>
      <w:r w:rsidRPr="00E72418">
        <w:rPr>
          <w:rStyle w:val="SansinterligneCar"/>
          <w:rFonts w:ascii="Times New Roman" w:hAnsi="Times New Roman" w:cs="Times New Roman"/>
          <w:sz w:val="24"/>
          <w:szCs w:val="24"/>
          <w:lang w:val="en-US"/>
        </w:rPr>
        <w:t>, 720 F. Supp. 2d 273</w:t>
      </w:r>
    </w:p>
    <w:p w14:paraId="3AE079CA" w14:textId="77777777" w:rsidR="00072604" w:rsidRPr="00E72418" w:rsidRDefault="00072604" w:rsidP="00072604">
      <w:pPr>
        <w:pStyle w:val="Paragraphedeliste"/>
        <w:rPr>
          <w:rStyle w:val="SansinterligneCar"/>
          <w:rFonts w:ascii="Times New Roman" w:hAnsi="Times New Roman" w:cs="Times New Roman"/>
          <w:sz w:val="14"/>
          <w:szCs w:val="14"/>
        </w:rPr>
      </w:pPr>
    </w:p>
    <w:p w14:paraId="3CBA4CBD" w14:textId="77777777" w:rsidR="00072604" w:rsidRPr="00E72418" w:rsidRDefault="00072604"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18 mars 2009, </w:t>
      </w:r>
      <w:r w:rsidRPr="00E72418">
        <w:rPr>
          <w:rFonts w:ascii="Times New Roman" w:hAnsi="Times New Roman" w:cs="Times New Roman"/>
          <w:i/>
          <w:szCs w:val="24"/>
          <w:lang w:val="en-US"/>
        </w:rPr>
        <w:t>NML Capital Ltd. v. Republic of Argentina</w:t>
      </w:r>
      <w:r w:rsidRPr="00E72418">
        <w:rPr>
          <w:rStyle w:val="injectednode"/>
          <w:rFonts w:ascii="Times New Roman" w:hAnsi="Times New Roman" w:cs="Times New Roman"/>
          <w:szCs w:val="24"/>
          <w:lang w:val="en-US"/>
        </w:rPr>
        <w:t>, 2009 U.S. Dist. LEXIS 21530</w:t>
      </w:r>
    </w:p>
    <w:p w14:paraId="70C310B5" w14:textId="77777777" w:rsidR="00072604" w:rsidRPr="00E72418" w:rsidRDefault="00072604" w:rsidP="00072604">
      <w:pPr>
        <w:pStyle w:val="Paragraphedeliste"/>
        <w:rPr>
          <w:rFonts w:ascii="Times New Roman" w:hAnsi="Times New Roman" w:cs="Times New Roman"/>
          <w:sz w:val="14"/>
          <w:szCs w:val="14"/>
          <w:lang w:val="en-US"/>
        </w:rPr>
      </w:pPr>
    </w:p>
    <w:p w14:paraId="537B5C95" w14:textId="27D39ECD"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30 mars 2007, </w:t>
      </w:r>
      <w:r w:rsidRPr="00E72418">
        <w:rPr>
          <w:rFonts w:ascii="Times New Roman" w:hAnsi="Times New Roman" w:cs="Times New Roman"/>
          <w:i/>
          <w:szCs w:val="24"/>
          <w:lang w:val="en-US"/>
        </w:rPr>
        <w:t>Kensington Intern. Ltd. v. Republic of Congo</w:t>
      </w:r>
      <w:r w:rsidRPr="00E72418">
        <w:rPr>
          <w:rFonts w:ascii="Times New Roman" w:hAnsi="Times New Roman" w:cs="Times New Roman"/>
          <w:szCs w:val="24"/>
          <w:lang w:val="en-US"/>
        </w:rPr>
        <w:t>, 2007 WL 1032269</w:t>
      </w:r>
    </w:p>
    <w:p w14:paraId="3E9BA6C8" w14:textId="77777777" w:rsidR="00072604" w:rsidRPr="00E72418" w:rsidRDefault="00072604" w:rsidP="00072604">
      <w:pPr>
        <w:pStyle w:val="Paragraphedeliste"/>
        <w:rPr>
          <w:rStyle w:val="injectednode"/>
          <w:rFonts w:ascii="Times New Roman" w:hAnsi="Times New Roman" w:cs="Times New Roman"/>
          <w:sz w:val="14"/>
          <w:szCs w:val="14"/>
        </w:rPr>
      </w:pPr>
    </w:p>
    <w:p w14:paraId="3D2BBD62" w14:textId="77777777"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31 mars 2006, </w:t>
      </w:r>
      <w:r w:rsidRPr="00E72418">
        <w:rPr>
          <w:rFonts w:ascii="Times New Roman" w:hAnsi="Times New Roman" w:cs="Times New Roman"/>
          <w:i/>
          <w:szCs w:val="24"/>
        </w:rPr>
        <w:t>Kensington Intern. Ltd. v. Société Nationale Des Pétroles Du Congo</w:t>
      </w:r>
      <w:r w:rsidRPr="00E72418">
        <w:rPr>
          <w:rFonts w:ascii="Times New Roman" w:hAnsi="Times New Roman" w:cs="Times New Roman"/>
          <w:szCs w:val="24"/>
        </w:rPr>
        <w:t>, 2006 WL 846351</w:t>
      </w:r>
    </w:p>
    <w:p w14:paraId="520D1BD0" w14:textId="77777777" w:rsidR="00072604" w:rsidRPr="00E72418" w:rsidRDefault="00072604" w:rsidP="00072604">
      <w:pPr>
        <w:pStyle w:val="Paragraphedeliste"/>
        <w:rPr>
          <w:rFonts w:ascii="Times New Roman" w:hAnsi="Times New Roman" w:cs="Times New Roman"/>
          <w:sz w:val="14"/>
          <w:szCs w:val="14"/>
          <w:lang w:val="en-US"/>
        </w:rPr>
      </w:pPr>
    </w:p>
    <w:p w14:paraId="061EBD31" w14:textId="5D8B1EDC" w:rsidR="00072604" w:rsidRPr="00E72418" w:rsidRDefault="00072604"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17 février 2004, </w:t>
      </w:r>
      <w:r w:rsidRPr="00E72418">
        <w:rPr>
          <w:rFonts w:ascii="Times New Roman" w:hAnsi="Times New Roman" w:cs="Times New Roman"/>
          <w:i/>
          <w:szCs w:val="24"/>
          <w:lang w:val="en-US"/>
        </w:rPr>
        <w:t>H.W. Urban GmBH v. Republic of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shd w:val="clear" w:color="auto" w:fill="FFFFFF"/>
        </w:rPr>
        <w:t xml:space="preserve">2004 WL </w:t>
      </w:r>
      <w:r w:rsidRPr="00E72418">
        <w:rPr>
          <w:rFonts w:ascii="Times New Roman" w:hAnsi="Times New Roman" w:cs="Times New Roman"/>
          <w:szCs w:val="24"/>
        </w:rPr>
        <w:t>307293</w:t>
      </w:r>
    </w:p>
    <w:p w14:paraId="644CAD9B" w14:textId="77777777" w:rsidR="00072604" w:rsidRPr="00E72418" w:rsidRDefault="00072604" w:rsidP="00072604">
      <w:pPr>
        <w:pStyle w:val="Paragraphedeliste"/>
        <w:rPr>
          <w:rFonts w:ascii="Times New Roman" w:hAnsi="Times New Roman" w:cs="Times New Roman"/>
          <w:sz w:val="14"/>
          <w:szCs w:val="14"/>
        </w:rPr>
      </w:pPr>
    </w:p>
    <w:p w14:paraId="6CAD04F9"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12 septembre 2003, </w:t>
      </w:r>
      <w:r w:rsidRPr="00E72418">
        <w:rPr>
          <w:rFonts w:ascii="Times New Roman" w:hAnsi="Times New Roman" w:cs="Times New Roman"/>
          <w:i/>
          <w:szCs w:val="24"/>
          <w:lang w:val="en-US"/>
        </w:rPr>
        <w:t>EM Ltd. v. Republic of Arg.</w:t>
      </w:r>
      <w:r w:rsidRPr="00E72418">
        <w:rPr>
          <w:rFonts w:ascii="Times New Roman" w:hAnsi="Times New Roman" w:cs="Times New Roman"/>
          <w:szCs w:val="24"/>
          <w:lang w:val="en-US"/>
        </w:rPr>
        <w:t>, 2003 WL 22120745</w:t>
      </w:r>
    </w:p>
    <w:p w14:paraId="44A4B35A" w14:textId="77777777" w:rsidR="00072604" w:rsidRPr="00E72418" w:rsidRDefault="00072604" w:rsidP="00072604">
      <w:pPr>
        <w:pStyle w:val="Paragraphedeliste"/>
        <w:rPr>
          <w:rFonts w:ascii="Times New Roman" w:hAnsi="Times New Roman" w:cs="Times New Roman"/>
          <w:sz w:val="14"/>
          <w:szCs w:val="14"/>
        </w:rPr>
      </w:pPr>
    </w:p>
    <w:p w14:paraId="7D8156F0"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shd w:val="clear" w:color="auto" w:fill="FFFFFF"/>
          <w:lang w:val="en-US"/>
        </w:rPr>
        <w:t>District Court for the Southern District of New York, 12 mai 2003,</w:t>
      </w:r>
      <w:r w:rsidRPr="00E72418">
        <w:rPr>
          <w:rFonts w:ascii="Times New Roman" w:hAnsi="Times New Roman" w:cs="Times New Roman"/>
          <w:i/>
          <w:szCs w:val="24"/>
          <w:shd w:val="clear" w:color="auto" w:fill="FFFFFF"/>
          <w:lang w:val="en-US"/>
        </w:rPr>
        <w:t xml:space="preserve"> </w:t>
      </w:r>
      <w:r w:rsidRPr="00E72418">
        <w:rPr>
          <w:rFonts w:ascii="Times New Roman" w:hAnsi="Times New Roman" w:cs="Times New Roman"/>
          <w:i/>
          <w:szCs w:val="24"/>
          <w:lang w:val="en-US"/>
        </w:rPr>
        <w:t>Allan Applestein TTEE FBO D.C.A. Grantor Trust</w:t>
      </w:r>
      <w:r w:rsidRPr="00E72418">
        <w:rPr>
          <w:rFonts w:ascii="Times New Roman" w:hAnsi="Times New Roman" w:cs="Times New Roman"/>
          <w:i/>
          <w:szCs w:val="24"/>
        </w:rPr>
        <w:t xml:space="preserve"> and Pedro Kalbermann v. The Republic of Argentina</w:t>
      </w:r>
      <w:r w:rsidRPr="00E72418">
        <w:rPr>
          <w:rFonts w:ascii="Times New Roman" w:hAnsi="Times New Roman" w:cs="Times New Roman"/>
          <w:szCs w:val="24"/>
        </w:rPr>
        <w:t>, 2003 WL 21058248</w:t>
      </w:r>
    </w:p>
    <w:p w14:paraId="65F12DD2" w14:textId="77777777" w:rsidR="00072604" w:rsidRPr="00E72418" w:rsidRDefault="00072604" w:rsidP="00072604">
      <w:pPr>
        <w:pStyle w:val="Paragraphedeliste"/>
        <w:rPr>
          <w:rFonts w:ascii="Times New Roman" w:hAnsi="Times New Roman" w:cs="Times New Roman"/>
          <w:sz w:val="14"/>
          <w:szCs w:val="14"/>
        </w:rPr>
      </w:pPr>
    </w:p>
    <w:p w14:paraId="7077BC36"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12 mai 2003, </w:t>
      </w:r>
      <w:r w:rsidRPr="00E72418">
        <w:rPr>
          <w:rFonts w:ascii="Times New Roman" w:hAnsi="Times New Roman" w:cs="Times New Roman"/>
          <w:i/>
          <w:szCs w:val="24"/>
          <w:lang w:val="en-US"/>
        </w:rPr>
        <w:t>H.W. Urban GmBH v. Republic of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shd w:val="clear" w:color="auto" w:fill="FFFFFF"/>
        </w:rPr>
        <w:t>02 Civ. 5699 (TPG), inédit</w:t>
      </w:r>
    </w:p>
    <w:p w14:paraId="3C7C452D" w14:textId="77777777" w:rsidR="00072604" w:rsidRPr="00E72418" w:rsidRDefault="00072604" w:rsidP="00072604">
      <w:pPr>
        <w:pStyle w:val="Paragraphedeliste"/>
        <w:rPr>
          <w:rFonts w:ascii="Times New Roman" w:hAnsi="Times New Roman" w:cs="Times New Roman"/>
          <w:sz w:val="14"/>
          <w:szCs w:val="14"/>
          <w:lang w:val="en-US"/>
        </w:rPr>
      </w:pPr>
    </w:p>
    <w:p w14:paraId="06769602" w14:textId="77777777" w:rsidR="00072604" w:rsidRPr="00E72418" w:rsidRDefault="00072604" w:rsidP="00072604">
      <w:pPr>
        <w:pStyle w:val="Paragraphedeliste"/>
        <w:numPr>
          <w:ilvl w:val="0"/>
          <w:numId w:val="10"/>
        </w:numPr>
        <w:spacing w:after="0"/>
        <w:rPr>
          <w:rStyle w:val="injectednode"/>
          <w:rFonts w:ascii="Times New Roman" w:hAnsi="Times New Roman" w:cs="Times New Roman"/>
          <w:szCs w:val="24"/>
          <w:lang w:val="nl-NL"/>
        </w:rPr>
      </w:pPr>
      <w:r w:rsidRPr="00E72418">
        <w:rPr>
          <w:rFonts w:ascii="Times New Roman" w:hAnsi="Times New Roman" w:cs="Times New Roman"/>
          <w:szCs w:val="24"/>
          <w:lang w:val="en-US"/>
        </w:rPr>
        <w:t xml:space="preserve">District Court for the Southern District of New York, 25 avril 2003, </w:t>
      </w:r>
      <w:r w:rsidRPr="00E72418">
        <w:rPr>
          <w:rFonts w:ascii="Times New Roman" w:hAnsi="Times New Roman" w:cs="Times New Roman"/>
          <w:i/>
          <w:szCs w:val="24"/>
          <w:lang w:val="en-US"/>
        </w:rPr>
        <w:t>Allan Applestein TTEE FBO D.C.A. Grantor Trust v. Province of Buenos Aires</w:t>
      </w:r>
      <w:r w:rsidRPr="00E72418">
        <w:rPr>
          <w:rStyle w:val="injectednode"/>
          <w:rFonts w:ascii="Times New Roman" w:hAnsi="Times New Roman" w:cs="Times New Roman"/>
          <w:szCs w:val="24"/>
          <w:lang w:val="en-US"/>
        </w:rPr>
        <w:t>, 2003 WL 1990206</w:t>
      </w:r>
    </w:p>
    <w:p w14:paraId="0E658938" w14:textId="77777777" w:rsidR="00072604" w:rsidRPr="00E72418" w:rsidRDefault="00072604" w:rsidP="00072604">
      <w:pPr>
        <w:pStyle w:val="Paragraphedeliste"/>
        <w:rPr>
          <w:rFonts w:ascii="Times New Roman" w:hAnsi="Times New Roman" w:cs="Times New Roman"/>
          <w:sz w:val="14"/>
          <w:szCs w:val="14"/>
        </w:rPr>
      </w:pPr>
    </w:p>
    <w:p w14:paraId="265B4525" w14:textId="70FB4F40"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14 avril 2003, </w:t>
      </w:r>
      <w:r w:rsidRPr="00E72418">
        <w:rPr>
          <w:rFonts w:ascii="Times New Roman" w:hAnsi="Times New Roman" w:cs="Times New Roman"/>
          <w:i/>
          <w:szCs w:val="24"/>
        </w:rPr>
        <w:t>Lightwater Corp. v. Republic of Argentina</w:t>
      </w:r>
      <w:r w:rsidRPr="00E72418">
        <w:rPr>
          <w:rFonts w:ascii="Times New Roman" w:hAnsi="Times New Roman" w:cs="Times New Roman"/>
          <w:szCs w:val="24"/>
        </w:rPr>
        <w:t>, 2003 WL 1878420</w:t>
      </w:r>
    </w:p>
    <w:p w14:paraId="788A021D" w14:textId="77777777" w:rsidR="00072604" w:rsidRPr="00E72418" w:rsidRDefault="00072604" w:rsidP="00072604">
      <w:pPr>
        <w:pStyle w:val="Paragraphedeliste"/>
        <w:rPr>
          <w:rFonts w:ascii="Times New Roman" w:hAnsi="Times New Roman" w:cs="Times New Roman"/>
          <w:sz w:val="14"/>
          <w:szCs w:val="14"/>
        </w:rPr>
      </w:pPr>
    </w:p>
    <w:p w14:paraId="004F0A6B"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w:t>
      </w:r>
      <w:r w:rsidRPr="00E72418">
        <w:rPr>
          <w:rFonts w:ascii="Times New Roman" w:hAnsi="Times New Roman" w:cs="Times New Roman"/>
          <w:szCs w:val="24"/>
        </w:rPr>
        <w:t>29 septembre</w:t>
      </w:r>
      <w:r w:rsidRPr="00E72418">
        <w:rPr>
          <w:rFonts w:ascii="Times New Roman" w:hAnsi="Times New Roman" w:cs="Times New Roman"/>
          <w:szCs w:val="24"/>
          <w:lang w:val="en-US"/>
        </w:rPr>
        <w:t xml:space="preserve"> 2000, </w:t>
      </w:r>
      <w:r w:rsidRPr="00E72418">
        <w:rPr>
          <w:rFonts w:ascii="Times New Roman" w:hAnsi="Times New Roman" w:cs="Times New Roman"/>
          <w:i/>
          <w:szCs w:val="24"/>
          <w:lang w:val="en-US"/>
        </w:rPr>
        <w:t>Elliott Associates L.P. v. Banco de la Nacion</w:t>
      </w:r>
      <w:r w:rsidRPr="00E72418">
        <w:rPr>
          <w:rFonts w:ascii="Times New Roman" w:hAnsi="Times New Roman" w:cs="Times New Roman"/>
          <w:szCs w:val="24"/>
          <w:lang w:val="en-US"/>
        </w:rPr>
        <w:t xml:space="preserve">, </w:t>
      </w:r>
      <w:r w:rsidRPr="00E72418">
        <w:rPr>
          <w:rFonts w:ascii="Times New Roman" w:hAnsi="Times New Roman" w:cs="Times New Roman"/>
          <w:szCs w:val="24"/>
        </w:rPr>
        <w:t>2000 WL 1449862</w:t>
      </w:r>
    </w:p>
    <w:p w14:paraId="734F6ADB" w14:textId="77777777" w:rsidR="00072604" w:rsidRPr="00E72418" w:rsidRDefault="00072604" w:rsidP="00072604">
      <w:pPr>
        <w:pStyle w:val="Paragraphedeliste"/>
        <w:rPr>
          <w:rFonts w:ascii="Times New Roman" w:hAnsi="Times New Roman" w:cs="Times New Roman"/>
          <w:sz w:val="14"/>
          <w:szCs w:val="14"/>
          <w:lang w:val="en-US"/>
        </w:rPr>
      </w:pPr>
    </w:p>
    <w:p w14:paraId="48C35868"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8 juin 2000, </w:t>
      </w:r>
      <w:r w:rsidRPr="00E72418">
        <w:rPr>
          <w:rFonts w:ascii="Times New Roman" w:hAnsi="Times New Roman" w:cs="Times New Roman"/>
          <w:i/>
          <w:szCs w:val="24"/>
          <w:lang w:val="en-US"/>
        </w:rPr>
        <w:t>LNC Investments., Inc. v. The Republic of Nicaragua</w:t>
      </w:r>
      <w:r w:rsidRPr="00E72418">
        <w:rPr>
          <w:rStyle w:val="injectednode"/>
          <w:rFonts w:ascii="Times New Roman" w:hAnsi="Times New Roman" w:cs="Times New Roman"/>
          <w:szCs w:val="24"/>
          <w:lang w:val="en-US"/>
        </w:rPr>
        <w:t xml:space="preserve">, </w:t>
      </w:r>
      <w:r w:rsidRPr="00E72418">
        <w:rPr>
          <w:rFonts w:ascii="Times New Roman" w:hAnsi="Times New Roman" w:cs="Times New Roman"/>
          <w:szCs w:val="24"/>
          <w:lang w:val="en-US"/>
        </w:rPr>
        <w:t>2000 WL 745550</w:t>
      </w:r>
    </w:p>
    <w:p w14:paraId="092377F5" w14:textId="77777777" w:rsidR="00072604" w:rsidRPr="00E72418" w:rsidRDefault="00072604" w:rsidP="00072604">
      <w:pPr>
        <w:pStyle w:val="Paragraphedeliste"/>
        <w:rPr>
          <w:rFonts w:ascii="Times New Roman" w:hAnsi="Times New Roman" w:cs="Times New Roman"/>
          <w:sz w:val="14"/>
          <w:szCs w:val="14"/>
        </w:rPr>
      </w:pPr>
    </w:p>
    <w:p w14:paraId="30BDB43E"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w:t>
      </w:r>
      <w:r w:rsidRPr="00E72418">
        <w:rPr>
          <w:rFonts w:ascii="Times New Roman" w:hAnsi="Times New Roman" w:cs="Times New Roman"/>
          <w:szCs w:val="24"/>
        </w:rPr>
        <w:t>1</w:t>
      </w:r>
      <w:r w:rsidRPr="00E72418">
        <w:rPr>
          <w:rFonts w:ascii="Times New Roman" w:hAnsi="Times New Roman" w:cs="Times New Roman"/>
          <w:szCs w:val="24"/>
          <w:vertAlign w:val="superscript"/>
        </w:rPr>
        <w:t>er</w:t>
      </w:r>
      <w:r w:rsidRPr="00E72418">
        <w:rPr>
          <w:rFonts w:ascii="Times New Roman" w:hAnsi="Times New Roman" w:cs="Times New Roman"/>
          <w:szCs w:val="24"/>
          <w:lang w:val="en-US"/>
        </w:rPr>
        <w:t xml:space="preserve"> juin 2000, </w:t>
      </w:r>
      <w:r w:rsidRPr="00E72418">
        <w:rPr>
          <w:rFonts w:ascii="Times New Roman" w:hAnsi="Times New Roman" w:cs="Times New Roman"/>
          <w:i/>
          <w:szCs w:val="24"/>
          <w:lang w:val="en-US"/>
        </w:rPr>
        <w:t>Elliott Assocs. L.P. v. Banco de la Nacion</w:t>
      </w:r>
      <w:r w:rsidRPr="00E72418">
        <w:rPr>
          <w:rFonts w:ascii="Times New Roman" w:hAnsi="Times New Roman" w:cs="Times New Roman"/>
          <w:szCs w:val="24"/>
          <w:lang w:val="en-US"/>
        </w:rPr>
        <w:t>, 194 F.R.D. 116</w:t>
      </w:r>
    </w:p>
    <w:p w14:paraId="78B877E0" w14:textId="77777777" w:rsidR="00072604" w:rsidRPr="00E72418" w:rsidRDefault="00072604" w:rsidP="00072604">
      <w:pPr>
        <w:pStyle w:val="Paragraphedeliste"/>
        <w:rPr>
          <w:rFonts w:ascii="Times New Roman" w:hAnsi="Times New Roman" w:cs="Times New Roman"/>
          <w:sz w:val="14"/>
          <w:szCs w:val="14"/>
        </w:rPr>
      </w:pPr>
    </w:p>
    <w:p w14:paraId="5CA83341" w14:textId="77777777"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26 avril 2000, </w:t>
      </w:r>
      <w:r w:rsidRPr="00E72418">
        <w:rPr>
          <w:rFonts w:ascii="Times New Roman" w:hAnsi="Times New Roman" w:cs="Times New Roman"/>
          <w:i/>
          <w:szCs w:val="24"/>
        </w:rPr>
        <w:t>LNC Investments Inc. v. Republic of Nicaragua,</w:t>
      </w:r>
      <w:r w:rsidRPr="00E72418">
        <w:rPr>
          <w:rFonts w:ascii="Times New Roman" w:hAnsi="Times New Roman" w:cs="Times New Roman"/>
          <w:szCs w:val="24"/>
        </w:rPr>
        <w:t xml:space="preserve"> 115 F. Supp. 2d 358</w:t>
      </w:r>
    </w:p>
    <w:p w14:paraId="3BC33F59" w14:textId="77777777" w:rsidR="00072604" w:rsidRPr="00E72418" w:rsidRDefault="00072604" w:rsidP="00072604">
      <w:pPr>
        <w:pStyle w:val="Paragraphedeliste"/>
        <w:rPr>
          <w:rFonts w:ascii="Times New Roman" w:hAnsi="Times New Roman" w:cs="Times New Roman"/>
          <w:sz w:val="14"/>
          <w:szCs w:val="14"/>
          <w:lang w:val="en-US"/>
        </w:rPr>
      </w:pPr>
    </w:p>
    <w:p w14:paraId="4768608D" w14:textId="1FCED403"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lastRenderedPageBreak/>
        <w:t xml:space="preserve">District Court for the Southern District of New York, 19 février 1999, </w:t>
      </w:r>
      <w:r w:rsidRPr="00E72418">
        <w:rPr>
          <w:rFonts w:ascii="Times New Roman" w:hAnsi="Times New Roman" w:cs="Times New Roman"/>
          <w:i/>
          <w:szCs w:val="24"/>
          <w:lang w:val="en-US"/>
        </w:rPr>
        <w:t>LNC</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Investments Inc. v. Republic of Nicaragua</w:t>
      </w:r>
      <w:r w:rsidRPr="00E72418">
        <w:rPr>
          <w:rStyle w:val="injectednode"/>
          <w:rFonts w:ascii="Times New Roman" w:hAnsi="Times New Roman" w:cs="Times New Roman"/>
          <w:szCs w:val="24"/>
          <w:lang w:val="en-US"/>
        </w:rPr>
        <w:t>, 1999 WL 92603</w:t>
      </w:r>
    </w:p>
    <w:p w14:paraId="0A4CCC3B" w14:textId="77777777" w:rsidR="00072604" w:rsidRPr="00E72418" w:rsidRDefault="00072604" w:rsidP="00072604">
      <w:pPr>
        <w:pStyle w:val="Paragraphedeliste"/>
        <w:rPr>
          <w:rFonts w:ascii="Times New Roman" w:hAnsi="Times New Roman" w:cs="Times New Roman"/>
          <w:sz w:val="14"/>
          <w:szCs w:val="14"/>
        </w:rPr>
      </w:pPr>
    </w:p>
    <w:p w14:paraId="3F43A017" w14:textId="77777777" w:rsidR="00072604" w:rsidRPr="00E72418" w:rsidRDefault="00072604" w:rsidP="00072604">
      <w:pPr>
        <w:pStyle w:val="Paragraphedeliste"/>
        <w:numPr>
          <w:ilvl w:val="0"/>
          <w:numId w:val="10"/>
        </w:numPr>
        <w:spacing w:after="0"/>
        <w:rPr>
          <w:rStyle w:val="Titre5Car"/>
          <w:rFonts w:ascii="Times New Roman" w:hAnsi="Times New Roman" w:cs="Times New Roman"/>
          <w:color w:val="auto"/>
          <w:szCs w:val="24"/>
        </w:rPr>
      </w:pPr>
      <w:r w:rsidRPr="00E72418">
        <w:rPr>
          <w:rFonts w:ascii="Times New Roman" w:hAnsi="Times New Roman" w:cs="Times New Roman"/>
          <w:szCs w:val="24"/>
          <w:lang w:val="en-US"/>
        </w:rPr>
        <w:t xml:space="preserve">District Court for the Southern District of New York, </w:t>
      </w:r>
      <w:r w:rsidRPr="00E72418">
        <w:rPr>
          <w:rStyle w:val="Titre5Car"/>
          <w:rFonts w:ascii="Times New Roman" w:hAnsi="Times New Roman" w:cs="Times New Roman"/>
          <w:color w:val="auto"/>
          <w:szCs w:val="24"/>
          <w:lang w:val="en-US"/>
        </w:rPr>
        <w:t xml:space="preserve">6 août 1998, </w:t>
      </w:r>
      <w:r w:rsidRPr="00E72418">
        <w:rPr>
          <w:rFonts w:ascii="Times New Roman" w:hAnsi="Times New Roman" w:cs="Times New Roman"/>
          <w:i/>
          <w:szCs w:val="24"/>
          <w:lang w:val="en-US"/>
        </w:rPr>
        <w:t>Elliott Assocs. L.P. v. Republic of Peru</w:t>
      </w:r>
      <w:r w:rsidRPr="00E72418">
        <w:rPr>
          <w:rStyle w:val="Titre5Car"/>
          <w:rFonts w:ascii="Times New Roman" w:hAnsi="Times New Roman" w:cs="Times New Roman"/>
          <w:color w:val="auto"/>
          <w:szCs w:val="24"/>
          <w:lang w:val="en-US"/>
        </w:rPr>
        <w:t>, 12 F. Supp. 2d 328</w:t>
      </w:r>
    </w:p>
    <w:p w14:paraId="20617616" w14:textId="77777777" w:rsidR="00072604" w:rsidRPr="00E72418" w:rsidRDefault="00072604" w:rsidP="00072604">
      <w:pPr>
        <w:pStyle w:val="Paragraphedeliste"/>
        <w:rPr>
          <w:rStyle w:val="Titre5Car"/>
          <w:rFonts w:ascii="Times New Roman" w:hAnsi="Times New Roman" w:cs="Times New Roman"/>
          <w:color w:val="auto"/>
          <w:sz w:val="14"/>
          <w:szCs w:val="14"/>
        </w:rPr>
      </w:pPr>
    </w:p>
    <w:p w14:paraId="55FBFAC4" w14:textId="77777777" w:rsidR="00072604" w:rsidRPr="00E72418" w:rsidRDefault="00072604" w:rsidP="00072604">
      <w:pPr>
        <w:pStyle w:val="Paragraphedeliste"/>
        <w:numPr>
          <w:ilvl w:val="0"/>
          <w:numId w:val="10"/>
        </w:numPr>
        <w:spacing w:after="0"/>
        <w:rPr>
          <w:rStyle w:val="SansinterligneCar"/>
          <w:rFonts w:ascii="Times New Roman" w:hAnsi="Times New Roman" w:cs="Times New Roman"/>
          <w:sz w:val="24"/>
          <w:szCs w:val="24"/>
          <w:lang w:val="nl-NL"/>
        </w:rPr>
      </w:pPr>
      <w:r w:rsidRPr="00E72418">
        <w:rPr>
          <w:rStyle w:val="SansinterligneCar"/>
          <w:rFonts w:ascii="Times New Roman" w:hAnsi="Times New Roman" w:cs="Times New Roman"/>
          <w:sz w:val="24"/>
          <w:szCs w:val="24"/>
        </w:rPr>
        <w:t xml:space="preserve">District Court for the Southern District of New York, 10 septembre 1997, </w:t>
      </w:r>
      <w:r w:rsidRPr="00E72418">
        <w:rPr>
          <w:rStyle w:val="SansinterligneCar"/>
          <w:rFonts w:ascii="Times New Roman" w:hAnsi="Times New Roman" w:cs="Times New Roman"/>
          <w:i/>
          <w:sz w:val="24"/>
          <w:szCs w:val="24"/>
        </w:rPr>
        <w:t>Elliott Assocs. L.P. v. Republic of Panama</w:t>
      </w:r>
      <w:r w:rsidRPr="00E72418">
        <w:rPr>
          <w:rStyle w:val="SansinterligneCar"/>
          <w:rFonts w:ascii="Times New Roman" w:hAnsi="Times New Roman" w:cs="Times New Roman"/>
          <w:sz w:val="24"/>
          <w:szCs w:val="24"/>
        </w:rPr>
        <w:t>, 975 F. Supp. 332</w:t>
      </w:r>
    </w:p>
    <w:p w14:paraId="3ED003B3" w14:textId="77777777" w:rsidR="00072604" w:rsidRPr="00E72418" w:rsidRDefault="00072604" w:rsidP="00072604">
      <w:pPr>
        <w:pStyle w:val="Paragraphedeliste"/>
        <w:rPr>
          <w:rStyle w:val="Titre5Car"/>
          <w:rFonts w:ascii="Times New Roman" w:hAnsi="Times New Roman" w:cs="Times New Roman"/>
          <w:color w:val="auto"/>
          <w:sz w:val="14"/>
          <w:szCs w:val="14"/>
        </w:rPr>
      </w:pPr>
    </w:p>
    <w:p w14:paraId="4D2AC357" w14:textId="6F4BBC46" w:rsidR="00072604" w:rsidRPr="00E72418" w:rsidRDefault="00072604" w:rsidP="00072604">
      <w:pPr>
        <w:pStyle w:val="Paragraphedeliste"/>
        <w:numPr>
          <w:ilvl w:val="0"/>
          <w:numId w:val="10"/>
        </w:numPr>
        <w:spacing w:after="0"/>
        <w:rPr>
          <w:rStyle w:val="injectednode"/>
          <w:rFonts w:ascii="Times New Roman" w:hAnsi="Times New Roman" w:cs="Times New Roman"/>
          <w:szCs w:val="24"/>
          <w:lang w:val="nl-NL"/>
        </w:rPr>
      </w:pPr>
      <w:r w:rsidRPr="00E72418">
        <w:rPr>
          <w:rFonts w:ascii="Times New Roman" w:hAnsi="Times New Roman" w:cs="Times New Roman"/>
          <w:szCs w:val="24"/>
        </w:rPr>
        <w:t xml:space="preserve">District Court for the Southern District of New York, </w:t>
      </w:r>
      <w:r w:rsidRPr="00E72418">
        <w:rPr>
          <w:rStyle w:val="injectednode"/>
          <w:rFonts w:ascii="Times New Roman" w:hAnsi="Times New Roman" w:cs="Times New Roman"/>
          <w:szCs w:val="24"/>
        </w:rPr>
        <w:t xml:space="preserve">28 avril 1997, </w:t>
      </w:r>
      <w:r w:rsidRPr="00E72418">
        <w:rPr>
          <w:rFonts w:ascii="Times New Roman" w:hAnsi="Times New Roman" w:cs="Times New Roman"/>
          <w:i/>
          <w:szCs w:val="24"/>
        </w:rPr>
        <w:t>Elliott Associates. L.P. v. The Republic of Peru</w:t>
      </w:r>
      <w:r w:rsidRPr="00E72418">
        <w:rPr>
          <w:rStyle w:val="injectednode"/>
          <w:rFonts w:ascii="Times New Roman" w:hAnsi="Times New Roman" w:cs="Times New Roman"/>
          <w:szCs w:val="24"/>
        </w:rPr>
        <w:t>, 961 F. Supp. 83</w:t>
      </w:r>
    </w:p>
    <w:p w14:paraId="165AC721" w14:textId="77777777" w:rsidR="00072604" w:rsidRPr="00E72418" w:rsidRDefault="00072604" w:rsidP="00072604">
      <w:pPr>
        <w:pStyle w:val="Paragraphedeliste"/>
        <w:rPr>
          <w:rStyle w:val="injectednode"/>
          <w:rFonts w:ascii="Times New Roman" w:hAnsi="Times New Roman" w:cs="Times New Roman"/>
          <w:sz w:val="14"/>
          <w:szCs w:val="14"/>
          <w:lang w:val="nl-NL"/>
        </w:rPr>
      </w:pPr>
    </w:p>
    <w:p w14:paraId="66BC88DB" w14:textId="77777777" w:rsidR="00072604" w:rsidRPr="00E72418" w:rsidRDefault="00072604" w:rsidP="00072604">
      <w:pPr>
        <w:pStyle w:val="Paragraphedeliste"/>
        <w:numPr>
          <w:ilvl w:val="0"/>
          <w:numId w:val="10"/>
        </w:numPr>
        <w:spacing w:after="0"/>
        <w:rPr>
          <w:rStyle w:val="Titre5Car"/>
          <w:rFonts w:ascii="Times New Roman" w:hAnsi="Times New Roman" w:cs="Times New Roman"/>
          <w:color w:val="auto"/>
          <w:szCs w:val="24"/>
        </w:rPr>
      </w:pPr>
      <w:r w:rsidRPr="00E72418">
        <w:rPr>
          <w:rFonts w:ascii="Times New Roman" w:hAnsi="Times New Roman" w:cs="Times New Roman"/>
          <w:szCs w:val="24"/>
        </w:rPr>
        <w:t xml:space="preserve">District Court for the Southern District of New York, 24 août 1995, </w:t>
      </w:r>
      <w:r w:rsidRPr="00E72418">
        <w:rPr>
          <w:rFonts w:ascii="Times New Roman" w:hAnsi="Times New Roman" w:cs="Times New Roman"/>
          <w:i/>
          <w:szCs w:val="24"/>
        </w:rPr>
        <w:t>Pravin Banker Assocs. v. Banco Popular Del Peru</w:t>
      </w:r>
      <w:r w:rsidRPr="00E72418">
        <w:rPr>
          <w:rFonts w:ascii="Times New Roman" w:hAnsi="Times New Roman" w:cs="Times New Roman"/>
          <w:szCs w:val="24"/>
        </w:rPr>
        <w:t>, 895 F. Supp. 660</w:t>
      </w:r>
    </w:p>
    <w:p w14:paraId="69DB2DC5" w14:textId="77777777" w:rsidR="00072604" w:rsidRPr="00E72418" w:rsidRDefault="00072604" w:rsidP="00072604">
      <w:pPr>
        <w:pStyle w:val="Paragraphedeliste"/>
        <w:rPr>
          <w:rFonts w:ascii="Times New Roman" w:hAnsi="Times New Roman" w:cs="Times New Roman"/>
          <w:sz w:val="14"/>
          <w:szCs w:val="14"/>
          <w:lang w:val="nl-NL"/>
        </w:rPr>
      </w:pPr>
    </w:p>
    <w:p w14:paraId="1877D435"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9 mai 1995, </w:t>
      </w:r>
      <w:r w:rsidRPr="00E72418">
        <w:rPr>
          <w:rFonts w:ascii="Times New Roman" w:hAnsi="Times New Roman" w:cs="Times New Roman"/>
          <w:i/>
          <w:szCs w:val="24"/>
        </w:rPr>
        <w:t>CIBC Bank &amp; Trust Co. v. Banco Cent. do Brazil</w:t>
      </w:r>
      <w:r w:rsidRPr="00E72418">
        <w:rPr>
          <w:rFonts w:ascii="Times New Roman" w:hAnsi="Times New Roman" w:cs="Times New Roman"/>
          <w:szCs w:val="24"/>
        </w:rPr>
        <w:t>, 886 F. Supp. 1105</w:t>
      </w:r>
    </w:p>
    <w:p w14:paraId="4814AF79" w14:textId="77777777" w:rsidR="00072604" w:rsidRPr="00E72418" w:rsidRDefault="00072604" w:rsidP="00072604">
      <w:pPr>
        <w:pStyle w:val="Paragraphedeliste"/>
        <w:rPr>
          <w:rFonts w:ascii="Times New Roman" w:hAnsi="Times New Roman" w:cs="Times New Roman"/>
          <w:sz w:val="14"/>
          <w:szCs w:val="14"/>
        </w:rPr>
      </w:pPr>
    </w:p>
    <w:p w14:paraId="5C9C93F7" w14:textId="77777777"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8 mars 1995, </w:t>
      </w:r>
      <w:r w:rsidRPr="00E72418">
        <w:rPr>
          <w:rFonts w:ascii="Times New Roman" w:hAnsi="Times New Roman" w:cs="Times New Roman"/>
          <w:i/>
          <w:szCs w:val="24"/>
          <w:lang w:val="en-US"/>
        </w:rPr>
        <w:t>Pravin Banker Associates Ltd. v. Banco Popular del Peru and the Republic of Peru</w:t>
      </w:r>
      <w:r w:rsidRPr="00E72418">
        <w:rPr>
          <w:rStyle w:val="Titre5Car"/>
          <w:rFonts w:ascii="Times New Roman" w:hAnsi="Times New Roman" w:cs="Times New Roman"/>
          <w:color w:val="auto"/>
          <w:szCs w:val="24"/>
          <w:lang w:val="en-US"/>
        </w:rPr>
        <w:t>, 1995 WL 102840</w:t>
      </w:r>
    </w:p>
    <w:p w14:paraId="7DE550DB" w14:textId="77777777" w:rsidR="00072604" w:rsidRPr="00E72418" w:rsidRDefault="00072604" w:rsidP="00072604">
      <w:pPr>
        <w:pStyle w:val="Paragraphedeliste"/>
        <w:rPr>
          <w:rFonts w:ascii="Times New Roman" w:hAnsi="Times New Roman" w:cs="Times New Roman"/>
          <w:sz w:val="14"/>
          <w:szCs w:val="14"/>
        </w:rPr>
      </w:pPr>
    </w:p>
    <w:p w14:paraId="01C78826" w14:textId="77777777"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8 février 1995, </w:t>
      </w:r>
      <w:r w:rsidRPr="00E72418">
        <w:rPr>
          <w:rFonts w:ascii="Times New Roman" w:hAnsi="Times New Roman" w:cs="Times New Roman"/>
          <w:i/>
          <w:szCs w:val="24"/>
          <w:lang w:val="en-US"/>
        </w:rPr>
        <w:t>Water Street Bank &amp; Trust Ltd. v. Republic of Panama</w:t>
      </w:r>
      <w:r w:rsidRPr="00E72418">
        <w:rPr>
          <w:rFonts w:ascii="Times New Roman" w:hAnsi="Times New Roman" w:cs="Times New Roman"/>
          <w:szCs w:val="24"/>
          <w:lang w:val="en-US"/>
        </w:rPr>
        <w:t>, 1995 WL 51160</w:t>
      </w:r>
    </w:p>
    <w:p w14:paraId="67AC43DC" w14:textId="77777777" w:rsidR="00072604" w:rsidRPr="00E72418" w:rsidRDefault="00072604" w:rsidP="00072604">
      <w:pPr>
        <w:pStyle w:val="Paragraphedeliste"/>
        <w:rPr>
          <w:rStyle w:val="SansinterligneCar"/>
          <w:rFonts w:ascii="Times New Roman" w:hAnsi="Times New Roman" w:cs="Times New Roman"/>
          <w:sz w:val="14"/>
          <w:szCs w:val="14"/>
        </w:rPr>
      </w:pPr>
    </w:p>
    <w:p w14:paraId="6278C372" w14:textId="5838454D" w:rsidR="00072604" w:rsidRPr="00E72418" w:rsidRDefault="00072604" w:rsidP="007D7D59">
      <w:pPr>
        <w:pStyle w:val="Paragraphedeliste"/>
        <w:numPr>
          <w:ilvl w:val="0"/>
          <w:numId w:val="10"/>
        </w:numPr>
        <w:spacing w:after="0"/>
        <w:rPr>
          <w:rStyle w:val="SansinterligneCar"/>
          <w:rFonts w:ascii="Times New Roman" w:hAnsi="Times New Roman" w:cs="Times New Roman"/>
          <w:sz w:val="24"/>
          <w:szCs w:val="24"/>
        </w:rPr>
      </w:pPr>
      <w:r w:rsidRPr="00E72418">
        <w:rPr>
          <w:rStyle w:val="SansinterligneCar"/>
          <w:rFonts w:ascii="Times New Roman" w:hAnsi="Times New Roman" w:cs="Times New Roman"/>
          <w:sz w:val="24"/>
          <w:szCs w:val="24"/>
        </w:rPr>
        <w:t xml:space="preserve">District Court for the Southern District of New York, 24 février 1994, </w:t>
      </w:r>
      <w:r w:rsidRPr="00E72418">
        <w:rPr>
          <w:rStyle w:val="SansinterligneCar"/>
          <w:rFonts w:ascii="Times New Roman" w:hAnsi="Times New Roman" w:cs="Times New Roman"/>
          <w:i/>
          <w:sz w:val="24"/>
          <w:szCs w:val="24"/>
        </w:rPr>
        <w:t>Pravin Banker Assocs. v. Banco Popular del Peru</w:t>
      </w:r>
      <w:r w:rsidRPr="00E72418">
        <w:rPr>
          <w:rStyle w:val="SansinterligneCar"/>
          <w:rFonts w:ascii="Times New Roman" w:hAnsi="Times New Roman" w:cs="Times New Roman"/>
          <w:sz w:val="24"/>
          <w:szCs w:val="24"/>
        </w:rPr>
        <w:t>, 165 B.R. 379</w:t>
      </w:r>
    </w:p>
    <w:p w14:paraId="4DEED430" w14:textId="77777777" w:rsidR="00072604" w:rsidRPr="00E72418" w:rsidRDefault="00072604" w:rsidP="00072604">
      <w:pPr>
        <w:pStyle w:val="Paragraphedeliste"/>
        <w:rPr>
          <w:rFonts w:ascii="Times New Roman" w:hAnsi="Times New Roman" w:cs="Times New Roman"/>
          <w:sz w:val="14"/>
          <w:szCs w:val="14"/>
        </w:rPr>
      </w:pPr>
    </w:p>
    <w:p w14:paraId="075CEA2B" w14:textId="77777777" w:rsidR="00072604" w:rsidRPr="00E72418" w:rsidRDefault="00072604"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w:t>
      </w:r>
      <w:r w:rsidRPr="00E72418">
        <w:rPr>
          <w:rStyle w:val="injectednode"/>
          <w:rFonts w:ascii="Times New Roman" w:hAnsi="Times New Roman" w:cs="Times New Roman"/>
          <w:szCs w:val="24"/>
        </w:rPr>
        <w:t xml:space="preserve">24 février 1992, </w:t>
      </w:r>
      <w:r w:rsidRPr="00E72418">
        <w:rPr>
          <w:rFonts w:ascii="Times New Roman" w:hAnsi="Times New Roman" w:cs="Times New Roman"/>
          <w:i/>
          <w:szCs w:val="24"/>
        </w:rPr>
        <w:t>Banque de Gestion Privée-Sib v. La Republica de Paraguay</w:t>
      </w:r>
      <w:r w:rsidRPr="00E72418">
        <w:rPr>
          <w:rStyle w:val="injectednode"/>
          <w:rFonts w:ascii="Times New Roman" w:hAnsi="Times New Roman" w:cs="Times New Roman"/>
          <w:szCs w:val="24"/>
        </w:rPr>
        <w:t>, 787 F. Supp. 53</w:t>
      </w:r>
    </w:p>
    <w:p w14:paraId="260F7511" w14:textId="77777777" w:rsidR="00072604" w:rsidRPr="00E72418" w:rsidRDefault="00072604" w:rsidP="00072604">
      <w:pPr>
        <w:pStyle w:val="Paragraphedeliste"/>
        <w:rPr>
          <w:rFonts w:ascii="Times New Roman" w:hAnsi="Times New Roman" w:cs="Times New Roman"/>
          <w:sz w:val="14"/>
          <w:szCs w:val="14"/>
          <w:lang w:val="en-US"/>
        </w:rPr>
      </w:pPr>
    </w:p>
    <w:p w14:paraId="3FBF2896" w14:textId="4C482915" w:rsidR="00072604" w:rsidRPr="00E72418" w:rsidRDefault="00072604" w:rsidP="007D7D59">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22 décembre 1989, </w:t>
      </w:r>
      <w:r w:rsidRPr="00E72418">
        <w:rPr>
          <w:rFonts w:ascii="Times New Roman" w:hAnsi="Times New Roman" w:cs="Times New Roman"/>
          <w:i/>
          <w:szCs w:val="24"/>
          <w:lang w:val="en-US"/>
        </w:rPr>
        <w:t>National Union Fire Ins. Co. v. People’s Republic of Congo</w:t>
      </w:r>
      <w:r w:rsidRPr="00E72418">
        <w:rPr>
          <w:rStyle w:val="injectednode"/>
          <w:rFonts w:ascii="Times New Roman" w:hAnsi="Times New Roman" w:cs="Times New Roman"/>
          <w:szCs w:val="24"/>
          <w:lang w:val="en-US"/>
        </w:rPr>
        <w:t>, 729 F. Supp. 936</w:t>
      </w:r>
    </w:p>
    <w:p w14:paraId="2384CB66" w14:textId="77777777" w:rsidR="00072604" w:rsidRPr="00E72418" w:rsidRDefault="00072604" w:rsidP="00072604">
      <w:pPr>
        <w:pStyle w:val="Paragraphedeliste"/>
        <w:rPr>
          <w:rStyle w:val="injectednode"/>
          <w:rFonts w:ascii="Times New Roman" w:hAnsi="Times New Roman" w:cs="Times New Roman"/>
          <w:sz w:val="14"/>
          <w:szCs w:val="14"/>
        </w:rPr>
      </w:pPr>
    </w:p>
    <w:p w14:paraId="387BD7C7" w14:textId="7868F3CD" w:rsidR="00072604" w:rsidRPr="00E72418" w:rsidRDefault="00072604" w:rsidP="00072604">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lang w:val="en-US"/>
        </w:rPr>
        <w:t xml:space="preserve">District Court for the Southern District of New York, 12 octobre 1989, </w:t>
      </w:r>
      <w:r w:rsidRPr="00E72418">
        <w:rPr>
          <w:rFonts w:ascii="Times New Roman" w:hAnsi="Times New Roman" w:cs="Times New Roman"/>
          <w:i/>
          <w:szCs w:val="24"/>
          <w:lang w:val="en-US"/>
        </w:rPr>
        <w:t>Hartford</w:t>
      </w:r>
      <w:r w:rsidR="007A654B" w:rsidRPr="00E72418">
        <w:rPr>
          <w:rFonts w:ascii="Times New Roman" w:hAnsi="Times New Roman" w:cs="Times New Roman"/>
          <w:i/>
          <w:szCs w:val="24"/>
          <w:lang w:val="en-US"/>
        </w:rPr>
        <w:t xml:space="preserve"> Fire Ins. Co. v. Federated Dep’</w:t>
      </w:r>
      <w:r w:rsidRPr="00E72418">
        <w:rPr>
          <w:rFonts w:ascii="Times New Roman" w:hAnsi="Times New Roman" w:cs="Times New Roman"/>
          <w:i/>
          <w:szCs w:val="24"/>
          <w:lang w:val="en-US"/>
        </w:rPr>
        <w:t>t Stores, Inc.</w:t>
      </w:r>
      <w:r w:rsidRPr="00E72418">
        <w:rPr>
          <w:rStyle w:val="injectednode"/>
          <w:rFonts w:ascii="Times New Roman" w:hAnsi="Times New Roman" w:cs="Times New Roman"/>
          <w:szCs w:val="24"/>
          <w:lang w:val="en-US"/>
        </w:rPr>
        <w:t>, 723 F. Supp. 976</w:t>
      </w:r>
    </w:p>
    <w:p w14:paraId="0211D154" w14:textId="77777777" w:rsidR="00072604" w:rsidRPr="00E72418" w:rsidRDefault="00072604" w:rsidP="00072604">
      <w:pPr>
        <w:pStyle w:val="Paragraphedeliste"/>
        <w:rPr>
          <w:rStyle w:val="injectednode"/>
          <w:rFonts w:ascii="Times New Roman" w:hAnsi="Times New Roman" w:cs="Times New Roman"/>
          <w:sz w:val="14"/>
          <w:szCs w:val="14"/>
        </w:rPr>
      </w:pPr>
    </w:p>
    <w:p w14:paraId="00982370" w14:textId="77777777" w:rsidR="00072604" w:rsidRPr="00E72418" w:rsidRDefault="00072604" w:rsidP="00072604">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District Court for the Southern District of New York, 20 août 1987, </w:t>
      </w:r>
      <w:r w:rsidRPr="00E72418">
        <w:rPr>
          <w:rFonts w:ascii="Times New Roman" w:hAnsi="Times New Roman" w:cs="Times New Roman"/>
          <w:i/>
          <w:szCs w:val="24"/>
        </w:rPr>
        <w:t>A.I. Credit Corp. v.  The government of Jamaica</w:t>
      </w:r>
      <w:r w:rsidRPr="00E72418">
        <w:rPr>
          <w:rFonts w:ascii="Times New Roman" w:hAnsi="Times New Roman" w:cs="Times New Roman"/>
          <w:szCs w:val="24"/>
        </w:rPr>
        <w:t>, 666 F. Supp. 629</w:t>
      </w:r>
    </w:p>
    <w:p w14:paraId="679441B3" w14:textId="77777777" w:rsidR="00072604" w:rsidRPr="00E72418" w:rsidRDefault="00072604" w:rsidP="00072604">
      <w:pPr>
        <w:pStyle w:val="Paragraphedeliste"/>
        <w:rPr>
          <w:rStyle w:val="injectednode"/>
          <w:rFonts w:ascii="Times New Roman" w:hAnsi="Times New Roman" w:cs="Times New Roman"/>
          <w:sz w:val="14"/>
          <w:szCs w:val="14"/>
        </w:rPr>
      </w:pPr>
    </w:p>
    <w:p w14:paraId="4782BB65" w14:textId="0DC5CBFB" w:rsidR="00072604" w:rsidRPr="00E72418" w:rsidRDefault="00072604" w:rsidP="00072604">
      <w:pPr>
        <w:pStyle w:val="Paragraphedeliste"/>
        <w:numPr>
          <w:ilvl w:val="0"/>
          <w:numId w:val="10"/>
        </w:numPr>
        <w:spacing w:after="0"/>
        <w:rPr>
          <w:rStyle w:val="injectednode"/>
          <w:rFonts w:ascii="Times New Roman" w:eastAsiaTheme="majorEastAsia" w:hAnsi="Times New Roman" w:cs="Times New Roman"/>
          <w:szCs w:val="24"/>
        </w:rPr>
      </w:pPr>
      <w:r w:rsidRPr="00E72418">
        <w:rPr>
          <w:rFonts w:ascii="Times New Roman" w:hAnsi="Times New Roman" w:cs="Times New Roman"/>
          <w:szCs w:val="24"/>
          <w:lang w:val="en-US"/>
        </w:rPr>
        <w:t xml:space="preserve">District Court for the Southern District of New York, 8 juillet 1983, </w:t>
      </w:r>
      <w:r w:rsidRPr="00E72418">
        <w:rPr>
          <w:rFonts w:ascii="Times New Roman" w:hAnsi="Times New Roman" w:cs="Times New Roman"/>
          <w:i/>
          <w:szCs w:val="24"/>
          <w:lang w:val="en-US"/>
        </w:rPr>
        <w:t>Allied Bank International v. Banco Credito Agricola de Cartago</w:t>
      </w:r>
      <w:r w:rsidRPr="00E72418">
        <w:rPr>
          <w:rStyle w:val="Titre5Car"/>
          <w:rFonts w:ascii="Times New Roman" w:hAnsi="Times New Roman" w:cs="Times New Roman"/>
          <w:color w:val="auto"/>
          <w:szCs w:val="24"/>
          <w:lang w:val="en-US"/>
        </w:rPr>
        <w:t>, 566 F. Supp. 1440</w:t>
      </w:r>
    </w:p>
    <w:p w14:paraId="16786473" w14:textId="42A68BBD" w:rsidR="00072604" w:rsidRPr="00E72418" w:rsidRDefault="00072604" w:rsidP="00072604">
      <w:pPr>
        <w:pStyle w:val="Paragraphedeliste"/>
        <w:rPr>
          <w:rFonts w:ascii="Times New Roman" w:hAnsi="Times New Roman" w:cs="Times New Roman"/>
          <w:sz w:val="14"/>
          <w:szCs w:val="14"/>
          <w:shd w:val="clear" w:color="auto" w:fill="FFFFFF"/>
          <w:lang w:val="en-US"/>
        </w:rPr>
      </w:pPr>
    </w:p>
    <w:p w14:paraId="0A4BA92E" w14:textId="77777777" w:rsidR="00072604" w:rsidRPr="00E72418" w:rsidRDefault="00072604" w:rsidP="00072604">
      <w:pPr>
        <w:pStyle w:val="Paragraphedeliste"/>
        <w:rPr>
          <w:rFonts w:ascii="Times New Roman" w:hAnsi="Times New Roman" w:cs="Times New Roman"/>
          <w:sz w:val="14"/>
          <w:szCs w:val="14"/>
          <w:shd w:val="clear" w:color="auto" w:fill="FFFFFF"/>
          <w:lang w:val="en-US"/>
        </w:rPr>
      </w:pPr>
    </w:p>
    <w:p w14:paraId="0BB78163" w14:textId="2BE3C3C5" w:rsidR="00072604" w:rsidRPr="00E72418" w:rsidRDefault="00A91208" w:rsidP="00072604">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shd w:val="clear" w:color="auto" w:fill="FFFFFF"/>
          <w:lang w:val="en-US"/>
        </w:rPr>
        <w:t xml:space="preserve">District Court for the Central District of California, </w:t>
      </w:r>
      <w:r w:rsidRPr="00E72418">
        <w:rPr>
          <w:rStyle w:val="injectednode"/>
          <w:rFonts w:ascii="Times New Roman" w:hAnsi="Times New Roman" w:cs="Times New Roman"/>
          <w:szCs w:val="24"/>
          <w:bdr w:val="none" w:sz="0" w:space="0" w:color="auto" w:frame="1"/>
          <w:lang w:val="en-US"/>
        </w:rPr>
        <w:t>25 mai 2011,</w:t>
      </w:r>
      <w:r w:rsidRPr="00E72418">
        <w:rPr>
          <w:rFonts w:ascii="Times New Roman" w:hAnsi="Times New Roman" w:cs="Times New Roman"/>
          <w:szCs w:val="24"/>
          <w:shd w:val="clear" w:color="auto" w:fill="FFFFFF"/>
          <w:lang w:val="en-US"/>
        </w:rPr>
        <w:t xml:space="preserve"> </w:t>
      </w:r>
      <w:r w:rsidRPr="00E72418">
        <w:rPr>
          <w:rFonts w:ascii="Times New Roman" w:hAnsi="Times New Roman" w:cs="Times New Roman"/>
          <w:i/>
          <w:szCs w:val="24"/>
          <w:lang w:val="en-US"/>
        </w:rPr>
        <w:t xml:space="preserve">NML Capital, Ltd. v. Spaceport Sys. </w:t>
      </w:r>
      <w:r w:rsidRPr="00E72418">
        <w:rPr>
          <w:rFonts w:ascii="Times New Roman" w:hAnsi="Times New Roman" w:cs="Times New Roman"/>
          <w:i/>
          <w:szCs w:val="24"/>
        </w:rPr>
        <w:t>Int’l, L.P.</w:t>
      </w:r>
      <w:r w:rsidRPr="00E72418">
        <w:rPr>
          <w:rStyle w:val="injectednode"/>
          <w:rFonts w:ascii="Times New Roman" w:hAnsi="Times New Roman" w:cs="Times New Roman"/>
          <w:szCs w:val="24"/>
          <w:bdr w:val="none" w:sz="0" w:space="0" w:color="auto" w:frame="1"/>
        </w:rPr>
        <w:t>, 788 F. Supp. 2d 1111</w:t>
      </w:r>
    </w:p>
    <w:p w14:paraId="5BDA24F2" w14:textId="77777777" w:rsidR="00072604" w:rsidRPr="00E72418" w:rsidRDefault="00072604" w:rsidP="00072604">
      <w:pPr>
        <w:pStyle w:val="Paragraphedeliste"/>
        <w:spacing w:after="0"/>
        <w:rPr>
          <w:rStyle w:val="injectednode"/>
          <w:rFonts w:ascii="Times New Roman" w:hAnsi="Times New Roman" w:cs="Times New Roman"/>
          <w:sz w:val="14"/>
          <w:szCs w:val="14"/>
        </w:rPr>
      </w:pPr>
    </w:p>
    <w:p w14:paraId="51074032" w14:textId="6F723711" w:rsidR="00072604" w:rsidRPr="00E72418" w:rsidRDefault="00072604" w:rsidP="00072604">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shd w:val="clear" w:color="auto" w:fill="FFFFFF"/>
          <w:lang w:val="en-US"/>
        </w:rPr>
        <w:t>District Court for the Northern District of California</w:t>
      </w:r>
      <w:r w:rsidRPr="00E72418">
        <w:rPr>
          <w:rFonts w:ascii="Times New Roman" w:hAnsi="Times New Roman" w:cs="Times New Roman"/>
          <w:szCs w:val="24"/>
          <w:lang w:val="en-US"/>
        </w:rPr>
        <w:t xml:space="preserve">, 29 mai 2007, </w:t>
      </w:r>
      <w:r w:rsidRPr="00E72418">
        <w:rPr>
          <w:rFonts w:ascii="Times New Roman" w:hAnsi="Times New Roman" w:cs="Times New Roman"/>
          <w:i/>
          <w:szCs w:val="24"/>
          <w:lang w:val="en-US"/>
        </w:rPr>
        <w:t>Colella v. Republic of Arg.</w:t>
      </w:r>
      <w:r w:rsidRPr="00E72418">
        <w:rPr>
          <w:rStyle w:val="injectednode"/>
          <w:rFonts w:ascii="Times New Roman" w:hAnsi="Times New Roman" w:cs="Times New Roman"/>
          <w:szCs w:val="24"/>
          <w:bdr w:val="none" w:sz="0" w:space="0" w:color="auto" w:frame="1"/>
          <w:lang w:val="en-US"/>
        </w:rPr>
        <w:t xml:space="preserve">, </w:t>
      </w:r>
      <w:r w:rsidRPr="00E72418">
        <w:rPr>
          <w:rFonts w:ascii="Times New Roman" w:hAnsi="Times New Roman" w:cs="Times New Roman"/>
          <w:szCs w:val="24"/>
          <w:lang w:val="en-US"/>
        </w:rPr>
        <w:t>2007 WL 1545204</w:t>
      </w:r>
    </w:p>
    <w:p w14:paraId="1E36AE69" w14:textId="18A7951C" w:rsidR="00072604" w:rsidRPr="00E72418" w:rsidRDefault="00072604" w:rsidP="00072604">
      <w:pPr>
        <w:pStyle w:val="Paragraphedeliste"/>
        <w:rPr>
          <w:rFonts w:ascii="Times New Roman" w:hAnsi="Times New Roman" w:cs="Times New Roman"/>
          <w:sz w:val="14"/>
          <w:szCs w:val="14"/>
          <w:lang w:val="en-US"/>
        </w:rPr>
      </w:pPr>
    </w:p>
    <w:p w14:paraId="700FFFAD" w14:textId="77777777" w:rsidR="00072604" w:rsidRPr="00E72418" w:rsidRDefault="00072604" w:rsidP="00072604">
      <w:pPr>
        <w:pStyle w:val="Paragraphedeliste"/>
        <w:rPr>
          <w:rFonts w:ascii="Times New Roman" w:hAnsi="Times New Roman" w:cs="Times New Roman"/>
          <w:sz w:val="14"/>
          <w:szCs w:val="14"/>
          <w:lang w:val="en-US"/>
        </w:rPr>
      </w:pPr>
    </w:p>
    <w:p w14:paraId="793E15DD" w14:textId="057638B6" w:rsidR="00072604" w:rsidRPr="00E72418" w:rsidRDefault="00A91208"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District of Columbia, 19 mars 2009, </w:t>
      </w:r>
      <w:r w:rsidRPr="00E72418">
        <w:rPr>
          <w:rFonts w:ascii="Times New Roman" w:hAnsi="Times New Roman" w:cs="Times New Roman"/>
          <w:i/>
          <w:szCs w:val="24"/>
          <w:lang w:val="en-US"/>
        </w:rPr>
        <w:t>FG Hemisphere Assocs. LLC v. Democratic Rep. of Congo</w:t>
      </w:r>
      <w:r w:rsidRPr="00E72418">
        <w:rPr>
          <w:rFonts w:ascii="Times New Roman" w:hAnsi="Times New Roman" w:cs="Times New Roman"/>
          <w:szCs w:val="24"/>
          <w:lang w:val="en-US"/>
        </w:rPr>
        <w:t>, 603 F. Supp. 2d 1</w:t>
      </w:r>
    </w:p>
    <w:p w14:paraId="65A5A1D5" w14:textId="77777777" w:rsidR="00072604" w:rsidRPr="00E72418" w:rsidRDefault="00072604" w:rsidP="00072604">
      <w:pPr>
        <w:pStyle w:val="Paragraphedeliste"/>
        <w:spacing w:after="0"/>
        <w:rPr>
          <w:rFonts w:ascii="Times New Roman" w:hAnsi="Times New Roman" w:cs="Times New Roman"/>
          <w:sz w:val="14"/>
          <w:szCs w:val="14"/>
        </w:rPr>
      </w:pPr>
    </w:p>
    <w:p w14:paraId="3B81E83D" w14:textId="402C9B7F" w:rsidR="00072604" w:rsidRPr="00E72418" w:rsidRDefault="00072604" w:rsidP="007D7D59">
      <w:pPr>
        <w:pStyle w:val="Paragraphedeliste"/>
        <w:numPr>
          <w:ilvl w:val="0"/>
          <w:numId w:val="10"/>
        </w:numPr>
        <w:spacing w:after="0"/>
        <w:rPr>
          <w:rFonts w:ascii="Times New Roman" w:hAnsi="Times New Roman" w:cs="Times New Roman"/>
          <w:szCs w:val="24"/>
        </w:rPr>
      </w:pPr>
      <w:r w:rsidRPr="00E72418">
        <w:rPr>
          <w:rFonts w:ascii="Times New Roman" w:hAnsi="Times New Roman" w:cs="Times New Roman"/>
          <w:szCs w:val="24"/>
          <w:lang w:val="en-US"/>
        </w:rPr>
        <w:t xml:space="preserve">District Court for the District of Columbia, 19 septembre 2004, </w:t>
      </w:r>
      <w:r w:rsidRPr="00E72418">
        <w:rPr>
          <w:rFonts w:ascii="Times New Roman" w:hAnsi="Times New Roman" w:cs="Times New Roman"/>
          <w:i/>
          <w:szCs w:val="24"/>
          <w:lang w:val="en-US"/>
        </w:rPr>
        <w:t>Energoinvest DD. v Democratic Republic of Congo and Société Nationale d’Életricité</w:t>
      </w:r>
      <w:r w:rsidRPr="00E72418">
        <w:rPr>
          <w:rFonts w:ascii="Times New Roman" w:hAnsi="Times New Roman" w:cs="Times New Roman"/>
          <w:szCs w:val="24"/>
          <w:lang w:val="en-US"/>
        </w:rPr>
        <w:t>, 355 F. Supp. 2d 9</w:t>
      </w:r>
    </w:p>
    <w:p w14:paraId="33890977" w14:textId="77777777" w:rsidR="00A91208" w:rsidRPr="00E72418" w:rsidRDefault="00A91208" w:rsidP="00A91208">
      <w:pPr>
        <w:pStyle w:val="Paragraphedeliste"/>
        <w:rPr>
          <w:rFonts w:ascii="Times New Roman" w:hAnsi="Times New Roman" w:cs="Times New Roman"/>
          <w:sz w:val="14"/>
          <w:szCs w:val="14"/>
        </w:rPr>
      </w:pPr>
    </w:p>
    <w:p w14:paraId="61BB69FE" w14:textId="0F27A44A" w:rsidR="00B67641" w:rsidRPr="00E72418" w:rsidRDefault="00A91208" w:rsidP="00051F41">
      <w:pPr>
        <w:pStyle w:val="Paragraphedeliste"/>
        <w:numPr>
          <w:ilvl w:val="0"/>
          <w:numId w:val="10"/>
        </w:numPr>
        <w:spacing w:after="0"/>
        <w:rPr>
          <w:rStyle w:val="injectednode"/>
          <w:rFonts w:ascii="Times New Roman" w:hAnsi="Times New Roman" w:cs="Times New Roman"/>
          <w:szCs w:val="24"/>
        </w:rPr>
      </w:pPr>
      <w:r w:rsidRPr="00E72418">
        <w:rPr>
          <w:rFonts w:ascii="Times New Roman" w:hAnsi="Times New Roman" w:cs="Times New Roman"/>
          <w:szCs w:val="24"/>
        </w:rPr>
        <w:t xml:space="preserve">District Court for the District of Columbia, </w:t>
      </w:r>
      <w:r w:rsidRPr="00E72418">
        <w:rPr>
          <w:rStyle w:val="injectednode"/>
          <w:rFonts w:ascii="Times New Roman" w:hAnsi="Times New Roman" w:cs="Times New Roman"/>
          <w:szCs w:val="24"/>
        </w:rPr>
        <w:t xml:space="preserve">28 mars 2002, </w:t>
      </w:r>
      <w:r w:rsidRPr="00E72418">
        <w:rPr>
          <w:rFonts w:ascii="Times New Roman" w:hAnsi="Times New Roman" w:cs="Times New Roman"/>
          <w:i/>
          <w:szCs w:val="24"/>
        </w:rPr>
        <w:t>Turkmani v. Republic of Bol.</w:t>
      </w:r>
      <w:r w:rsidRPr="00E72418">
        <w:rPr>
          <w:rStyle w:val="injectednode"/>
          <w:rFonts w:ascii="Times New Roman" w:hAnsi="Times New Roman" w:cs="Times New Roman"/>
          <w:szCs w:val="24"/>
        </w:rPr>
        <w:t>, 193 F. Supp. 2d 165</w:t>
      </w:r>
    </w:p>
    <w:p w14:paraId="0FD90C7B" w14:textId="77777777" w:rsidR="00072604" w:rsidRPr="00E72418" w:rsidRDefault="00072604" w:rsidP="00072604">
      <w:pPr>
        <w:pStyle w:val="Paragraphedeliste"/>
        <w:rPr>
          <w:rStyle w:val="injectednode"/>
          <w:rFonts w:ascii="Times New Roman" w:hAnsi="Times New Roman" w:cs="Times New Roman"/>
          <w:szCs w:val="24"/>
        </w:rPr>
      </w:pPr>
    </w:p>
    <w:p w14:paraId="684D6024" w14:textId="752EFD65" w:rsidR="00A91208" w:rsidRPr="00E72418" w:rsidRDefault="00025A8C" w:rsidP="00025A8C">
      <w:pPr>
        <w:pStyle w:val="CC"/>
      </w:pPr>
      <w:r w:rsidRPr="00E72418">
        <w:lastRenderedPageBreak/>
        <w:t>Belgique</w:t>
      </w:r>
    </w:p>
    <w:p w14:paraId="06FD5940" w14:textId="77777777" w:rsidR="00025A8C" w:rsidRPr="00E72418" w:rsidRDefault="00025A8C" w:rsidP="00594AC2">
      <w:pPr>
        <w:rPr>
          <w:sz w:val="28"/>
          <w:szCs w:val="28"/>
        </w:rPr>
      </w:pPr>
    </w:p>
    <w:p w14:paraId="7B6E3B63" w14:textId="02C74C2A" w:rsidR="00A91208" w:rsidRPr="00E72418" w:rsidRDefault="00A91208" w:rsidP="008D1D70">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Cour const., 31 mai 2018, n° 61/2018</w:t>
      </w:r>
    </w:p>
    <w:p w14:paraId="32C19291" w14:textId="77777777" w:rsidR="00263A84" w:rsidRPr="00E72418" w:rsidRDefault="00263A84" w:rsidP="00263A84">
      <w:pPr>
        <w:pStyle w:val="Paragraphedeliste"/>
        <w:spacing w:after="0"/>
        <w:rPr>
          <w:rFonts w:ascii="Times New Roman" w:hAnsi="Times New Roman" w:cs="Times New Roman"/>
          <w:sz w:val="14"/>
          <w:szCs w:val="14"/>
        </w:rPr>
      </w:pPr>
    </w:p>
    <w:p w14:paraId="72640FA0" w14:textId="77777777" w:rsidR="00072604" w:rsidRPr="00E72418" w:rsidRDefault="00A91208"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Cour const., 27 avril 2017, n° 48/2017</w:t>
      </w:r>
    </w:p>
    <w:p w14:paraId="08972588" w14:textId="48BEAAE3" w:rsidR="00072604" w:rsidRPr="00E72418" w:rsidRDefault="00072604" w:rsidP="00072604">
      <w:pPr>
        <w:pStyle w:val="Paragraphedeliste"/>
        <w:rPr>
          <w:rFonts w:ascii="Times New Roman" w:hAnsi="Times New Roman" w:cs="Times New Roman"/>
          <w:sz w:val="14"/>
          <w:szCs w:val="14"/>
        </w:rPr>
      </w:pPr>
    </w:p>
    <w:p w14:paraId="55AEAC71" w14:textId="77777777" w:rsidR="00072604" w:rsidRPr="00E72418" w:rsidRDefault="00072604" w:rsidP="00072604">
      <w:pPr>
        <w:pStyle w:val="Paragraphedeliste"/>
        <w:rPr>
          <w:rFonts w:ascii="Times New Roman" w:hAnsi="Times New Roman" w:cs="Times New Roman"/>
          <w:sz w:val="14"/>
          <w:szCs w:val="14"/>
        </w:rPr>
      </w:pPr>
    </w:p>
    <w:p w14:paraId="3EA057DE" w14:textId="77777777" w:rsidR="00072604"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4A113E" w:rsidRPr="00E72418">
        <w:rPr>
          <w:rFonts w:ascii="Times New Roman" w:hAnsi="Times New Roman" w:cs="Times New Roman"/>
          <w:szCs w:val="24"/>
        </w:rPr>
        <w:t xml:space="preserve">, 13 décembre 2016, arrêt n° </w:t>
      </w:r>
      <w:r w:rsidR="004A113E" w:rsidRPr="00E72418">
        <w:t>P.16.0421.N</w:t>
      </w:r>
      <w:r w:rsidR="004A113E" w:rsidRPr="00E72418">
        <w:rPr>
          <w:rFonts w:ascii="Times New Roman" w:hAnsi="Times New Roman" w:cs="Times New Roman"/>
          <w:szCs w:val="24"/>
        </w:rPr>
        <w:t xml:space="preserve">, </w:t>
      </w:r>
      <w:r w:rsidR="004A113E" w:rsidRPr="00E72418">
        <w:rPr>
          <w:rFonts w:ascii="Times New Roman" w:hAnsi="Times New Roman" w:cs="Times New Roman"/>
          <w:i/>
          <w:iCs/>
          <w:szCs w:val="24"/>
        </w:rPr>
        <w:t>Pas</w:t>
      </w:r>
      <w:r w:rsidR="004A113E" w:rsidRPr="00E72418">
        <w:rPr>
          <w:rFonts w:ascii="Times New Roman" w:hAnsi="Times New Roman" w:cs="Times New Roman"/>
          <w:i/>
          <w:szCs w:val="24"/>
        </w:rPr>
        <w:t>icrisie</w:t>
      </w:r>
      <w:r w:rsidR="004A113E" w:rsidRPr="00E72418">
        <w:rPr>
          <w:rFonts w:ascii="Times New Roman" w:hAnsi="Times New Roman" w:cs="Times New Roman"/>
          <w:szCs w:val="24"/>
        </w:rPr>
        <w:t xml:space="preserve">, </w:t>
      </w:r>
      <w:r w:rsidR="00D46CB9" w:rsidRPr="00E72418">
        <w:rPr>
          <w:rFonts w:ascii="Times New Roman" w:hAnsi="Times New Roman" w:cs="Times New Roman"/>
          <w:szCs w:val="24"/>
        </w:rPr>
        <w:t>p. 2484</w:t>
      </w:r>
    </w:p>
    <w:p w14:paraId="6E36CD9D" w14:textId="77777777" w:rsidR="00072604" w:rsidRPr="00E72418" w:rsidRDefault="00072604" w:rsidP="00072604">
      <w:pPr>
        <w:pStyle w:val="Paragraphedeliste"/>
        <w:spacing w:after="0"/>
        <w:rPr>
          <w:rFonts w:ascii="Times New Roman" w:hAnsi="Times New Roman" w:cs="Times New Roman"/>
          <w:sz w:val="14"/>
          <w:szCs w:val="14"/>
        </w:rPr>
      </w:pPr>
    </w:p>
    <w:p w14:paraId="422B08B5" w14:textId="77777777" w:rsidR="00072604"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11 décembre 2014, </w:t>
      </w:r>
      <w:r w:rsidR="00DA73A6" w:rsidRPr="00E72418">
        <w:rPr>
          <w:rFonts w:ascii="Times New Roman" w:hAnsi="Times New Roman" w:cs="Times New Roman"/>
          <w:szCs w:val="24"/>
        </w:rPr>
        <w:t xml:space="preserve">arrêt n° </w:t>
      </w:r>
      <w:r w:rsidR="00A91208" w:rsidRPr="00E72418">
        <w:rPr>
          <w:rFonts w:ascii="Times New Roman" w:hAnsi="Times New Roman" w:cs="Times New Roman"/>
          <w:szCs w:val="24"/>
        </w:rPr>
        <w:t xml:space="preserve">C.13.0537.F, </w:t>
      </w:r>
      <w:r w:rsidR="00A91208" w:rsidRPr="00E72418">
        <w:rPr>
          <w:rFonts w:ascii="Times New Roman" w:hAnsi="Times New Roman" w:cs="Times New Roman"/>
          <w:i/>
          <w:iCs/>
          <w:szCs w:val="24"/>
        </w:rPr>
        <w:t>Pas</w:t>
      </w:r>
      <w:r w:rsidR="00A91208" w:rsidRPr="00E72418">
        <w:rPr>
          <w:rFonts w:ascii="Times New Roman" w:hAnsi="Times New Roman" w:cs="Times New Roman"/>
          <w:i/>
          <w:szCs w:val="24"/>
        </w:rPr>
        <w:t>icrisie</w:t>
      </w:r>
      <w:r w:rsidR="00A91208" w:rsidRPr="00E72418">
        <w:rPr>
          <w:rFonts w:ascii="Times New Roman" w:hAnsi="Times New Roman" w:cs="Times New Roman"/>
          <w:szCs w:val="24"/>
        </w:rPr>
        <w:t xml:space="preserve">, </w:t>
      </w:r>
      <w:r w:rsidR="00347964" w:rsidRPr="00E72418">
        <w:rPr>
          <w:rFonts w:ascii="Times New Roman" w:hAnsi="Times New Roman" w:cs="Times New Roman"/>
          <w:szCs w:val="24"/>
        </w:rPr>
        <w:t>2014, p. 2860</w:t>
      </w:r>
    </w:p>
    <w:p w14:paraId="64977579" w14:textId="77777777" w:rsidR="00072604" w:rsidRPr="00E72418" w:rsidRDefault="00072604" w:rsidP="00072604">
      <w:pPr>
        <w:pStyle w:val="Paragraphedeliste"/>
        <w:rPr>
          <w:rFonts w:ascii="Times New Roman" w:hAnsi="Times New Roman" w:cs="Times New Roman"/>
          <w:sz w:val="14"/>
          <w:szCs w:val="14"/>
        </w:rPr>
      </w:pPr>
    </w:p>
    <w:p w14:paraId="09B1C7A6" w14:textId="77777777" w:rsidR="00072604" w:rsidRPr="00E72418" w:rsidRDefault="002506EC" w:rsidP="00072604">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10 octobre 2013, arrêt n° C.12.0274.N, </w:t>
      </w:r>
      <w:r w:rsidR="00A91208" w:rsidRPr="00E72418">
        <w:rPr>
          <w:rFonts w:ascii="Times New Roman" w:hAnsi="Times New Roman" w:cs="Times New Roman"/>
          <w:i/>
          <w:szCs w:val="24"/>
        </w:rPr>
        <w:t>Pasicrisie</w:t>
      </w:r>
      <w:r w:rsidR="00A91208" w:rsidRPr="00E72418">
        <w:rPr>
          <w:rFonts w:ascii="Times New Roman" w:hAnsi="Times New Roman" w:cs="Times New Roman"/>
          <w:szCs w:val="24"/>
        </w:rPr>
        <w:t>, 2013, p. 1906</w:t>
      </w:r>
    </w:p>
    <w:p w14:paraId="552A51FA" w14:textId="77777777" w:rsidR="00072604" w:rsidRPr="00E72418" w:rsidRDefault="00072604" w:rsidP="00072604">
      <w:pPr>
        <w:pStyle w:val="Paragraphedeliste"/>
        <w:rPr>
          <w:rFonts w:ascii="Times New Roman" w:hAnsi="Times New Roman" w:cs="Times New Roman"/>
          <w:sz w:val="14"/>
          <w:szCs w:val="14"/>
        </w:rPr>
      </w:pPr>
    </w:p>
    <w:p w14:paraId="7510B6DE" w14:textId="77777777" w:rsidR="00072604"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22 novembre 2012, </w:t>
      </w:r>
      <w:r w:rsidR="00DA73A6" w:rsidRPr="00E72418">
        <w:rPr>
          <w:rFonts w:ascii="Times New Roman" w:hAnsi="Times New Roman" w:cs="Times New Roman"/>
          <w:szCs w:val="24"/>
        </w:rPr>
        <w:t xml:space="preserve">arrêt n° </w:t>
      </w:r>
      <w:r w:rsidR="00A91208" w:rsidRPr="00E72418">
        <w:rPr>
          <w:rFonts w:ascii="Times New Roman" w:hAnsi="Times New Roman" w:cs="Times New Roman"/>
          <w:szCs w:val="24"/>
        </w:rPr>
        <w:t xml:space="preserve">C.11.0688.F, </w:t>
      </w:r>
      <w:r w:rsidR="00A91208" w:rsidRPr="00E72418">
        <w:rPr>
          <w:rFonts w:ascii="Times New Roman" w:hAnsi="Times New Roman" w:cs="Times New Roman"/>
          <w:i/>
          <w:iCs/>
          <w:szCs w:val="24"/>
        </w:rPr>
        <w:t>Pas</w:t>
      </w:r>
      <w:r w:rsidR="00A91208" w:rsidRPr="00E72418">
        <w:rPr>
          <w:rFonts w:ascii="Times New Roman" w:hAnsi="Times New Roman" w:cs="Times New Roman"/>
          <w:i/>
          <w:szCs w:val="24"/>
        </w:rPr>
        <w:t>icrisie</w:t>
      </w:r>
      <w:r w:rsidR="00A91208" w:rsidRPr="00E72418">
        <w:rPr>
          <w:rFonts w:ascii="Times New Roman" w:hAnsi="Times New Roman" w:cs="Times New Roman"/>
          <w:szCs w:val="24"/>
        </w:rPr>
        <w:t xml:space="preserve">, </w:t>
      </w:r>
      <w:r w:rsidR="00347964" w:rsidRPr="00E72418">
        <w:rPr>
          <w:rFonts w:ascii="Times New Roman" w:hAnsi="Times New Roman" w:cs="Times New Roman"/>
          <w:szCs w:val="24"/>
        </w:rPr>
        <w:t>2012, p</w:t>
      </w:r>
      <w:r w:rsidR="00A91208" w:rsidRPr="00E72418">
        <w:rPr>
          <w:rFonts w:ascii="Times New Roman" w:hAnsi="Times New Roman" w:cs="Times New Roman"/>
          <w:szCs w:val="24"/>
        </w:rPr>
        <w:t>. 2290</w:t>
      </w:r>
    </w:p>
    <w:p w14:paraId="0F1A4CA5" w14:textId="77777777" w:rsidR="00072604" w:rsidRPr="00E72418" w:rsidRDefault="00072604" w:rsidP="00072604">
      <w:pPr>
        <w:pStyle w:val="Paragraphedeliste"/>
        <w:rPr>
          <w:rFonts w:ascii="Times New Roman" w:hAnsi="Times New Roman" w:cs="Times New Roman"/>
          <w:sz w:val="14"/>
          <w:szCs w:val="14"/>
        </w:rPr>
      </w:pPr>
    </w:p>
    <w:p w14:paraId="12D43AAF" w14:textId="77777777" w:rsidR="00072604" w:rsidRPr="00E72418" w:rsidRDefault="002506EC" w:rsidP="00072604">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9 novembre 2012, arrêt n° C.12.0051.N, </w:t>
      </w:r>
      <w:r w:rsidR="00A91208" w:rsidRPr="00E72418">
        <w:rPr>
          <w:rFonts w:ascii="Times New Roman" w:hAnsi="Times New Roman" w:cs="Times New Roman"/>
          <w:i/>
          <w:szCs w:val="24"/>
        </w:rPr>
        <w:t>Pasicrisie</w:t>
      </w:r>
      <w:r w:rsidR="00347964" w:rsidRPr="00E72418">
        <w:rPr>
          <w:rFonts w:ascii="Times New Roman" w:hAnsi="Times New Roman" w:cs="Times New Roman"/>
          <w:szCs w:val="24"/>
        </w:rPr>
        <w:t xml:space="preserve">, 2012, </w:t>
      </w:r>
      <w:r w:rsidR="00A91208" w:rsidRPr="00E72418">
        <w:rPr>
          <w:rFonts w:ascii="Times New Roman" w:hAnsi="Times New Roman" w:cs="Times New Roman"/>
          <w:szCs w:val="24"/>
        </w:rPr>
        <w:t>p. 2178</w:t>
      </w:r>
    </w:p>
    <w:p w14:paraId="72DBF502" w14:textId="77777777" w:rsidR="00072604" w:rsidRPr="00E72418" w:rsidRDefault="00072604" w:rsidP="00072604">
      <w:pPr>
        <w:pStyle w:val="Paragraphedeliste"/>
        <w:rPr>
          <w:rFonts w:ascii="Times New Roman" w:hAnsi="Times New Roman" w:cs="Times New Roman"/>
          <w:sz w:val="14"/>
          <w:szCs w:val="14"/>
        </w:rPr>
      </w:pPr>
    </w:p>
    <w:p w14:paraId="349E732E" w14:textId="77777777" w:rsidR="00072604"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12 mars 2001, </w:t>
      </w:r>
      <w:r w:rsidR="00E906B4" w:rsidRPr="00E72418">
        <w:rPr>
          <w:szCs w:val="20"/>
        </w:rPr>
        <w:t xml:space="preserve">arrêt n° S.99.0103.F, </w:t>
      </w:r>
      <w:r w:rsidR="00E906B4" w:rsidRPr="00E72418">
        <w:rPr>
          <w:i/>
          <w:szCs w:val="20"/>
        </w:rPr>
        <w:t>Pasicrisie</w:t>
      </w:r>
      <w:r w:rsidR="00E906B4" w:rsidRPr="00E72418">
        <w:rPr>
          <w:szCs w:val="20"/>
        </w:rPr>
        <w:t>, 2001, p. 390</w:t>
      </w:r>
    </w:p>
    <w:p w14:paraId="0EF18F94" w14:textId="77777777" w:rsidR="00072604" w:rsidRPr="00E72418" w:rsidRDefault="00072604" w:rsidP="00072604">
      <w:pPr>
        <w:pStyle w:val="Paragraphedeliste"/>
        <w:rPr>
          <w:sz w:val="14"/>
          <w:szCs w:val="14"/>
        </w:rPr>
      </w:pPr>
    </w:p>
    <w:p w14:paraId="176845E3" w14:textId="77777777" w:rsidR="00072604" w:rsidRPr="00E72418" w:rsidRDefault="000D6BA6" w:rsidP="007D7D59">
      <w:pPr>
        <w:pStyle w:val="Paragraphedeliste"/>
        <w:numPr>
          <w:ilvl w:val="0"/>
          <w:numId w:val="12"/>
        </w:numPr>
        <w:spacing w:after="0"/>
        <w:rPr>
          <w:rFonts w:ascii="Times New Roman" w:hAnsi="Times New Roman" w:cs="Times New Roman"/>
          <w:szCs w:val="24"/>
        </w:rPr>
      </w:pPr>
      <w:r w:rsidRPr="00E72418">
        <w:t>C</w:t>
      </w:r>
      <w:r w:rsidR="002506EC" w:rsidRPr="00E72418">
        <w:t>ass.</w:t>
      </w:r>
      <w:r w:rsidRPr="00E72418">
        <w:t xml:space="preserve">, 18 février 1988, </w:t>
      </w:r>
      <w:r w:rsidR="003B66B4" w:rsidRPr="00E72418">
        <w:t xml:space="preserve">arrêt n° RG 7965, </w:t>
      </w:r>
      <w:r w:rsidRPr="00E72418">
        <w:rPr>
          <w:i/>
        </w:rPr>
        <w:t>Pasicrisie</w:t>
      </w:r>
      <w:r w:rsidRPr="00E72418">
        <w:t>, 1988, I, p. 729</w:t>
      </w:r>
    </w:p>
    <w:p w14:paraId="164DD83B" w14:textId="77777777" w:rsidR="00072604" w:rsidRPr="00E72418" w:rsidRDefault="00072604" w:rsidP="00072604">
      <w:pPr>
        <w:pStyle w:val="Paragraphedeliste"/>
        <w:rPr>
          <w:rFonts w:ascii="Times New Roman" w:hAnsi="Times New Roman" w:cs="Times New Roman"/>
          <w:sz w:val="14"/>
          <w:szCs w:val="14"/>
        </w:rPr>
      </w:pPr>
    </w:p>
    <w:p w14:paraId="482A592D" w14:textId="77777777" w:rsidR="00072604"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27 mai 1971, </w:t>
      </w:r>
      <w:r w:rsidR="00A91208" w:rsidRPr="00E72418">
        <w:rPr>
          <w:rFonts w:ascii="Times New Roman" w:hAnsi="Times New Roman" w:cs="Times New Roman"/>
          <w:i/>
          <w:szCs w:val="24"/>
        </w:rPr>
        <w:t>Pasicrisie</w:t>
      </w:r>
      <w:r w:rsidR="00A91208" w:rsidRPr="00E72418">
        <w:rPr>
          <w:rFonts w:ascii="Times New Roman" w:hAnsi="Times New Roman" w:cs="Times New Roman"/>
          <w:szCs w:val="24"/>
        </w:rPr>
        <w:t>, 1971, I, p. 886</w:t>
      </w:r>
    </w:p>
    <w:p w14:paraId="1BABED7D" w14:textId="77777777" w:rsidR="00072604" w:rsidRPr="00E72418" w:rsidRDefault="00072604" w:rsidP="00072604">
      <w:pPr>
        <w:pStyle w:val="Paragraphedeliste"/>
        <w:rPr>
          <w:rFonts w:ascii="Times New Roman" w:hAnsi="Times New Roman" w:cs="Times New Roman"/>
          <w:sz w:val="14"/>
          <w:szCs w:val="14"/>
        </w:rPr>
      </w:pPr>
    </w:p>
    <w:p w14:paraId="337E10C2" w14:textId="764174CA" w:rsidR="00A91208"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xml:space="preserve">, 10 septembre 1971, </w:t>
      </w:r>
      <w:r w:rsidR="00A91208" w:rsidRPr="00E72418">
        <w:rPr>
          <w:rFonts w:ascii="Times New Roman" w:hAnsi="Times New Roman" w:cs="Times New Roman"/>
          <w:i/>
          <w:szCs w:val="24"/>
        </w:rPr>
        <w:t>Pasicrisie</w:t>
      </w:r>
      <w:r w:rsidR="003B66B4" w:rsidRPr="00E72418">
        <w:rPr>
          <w:rFonts w:ascii="Times New Roman" w:hAnsi="Times New Roman" w:cs="Times New Roman"/>
          <w:szCs w:val="24"/>
        </w:rPr>
        <w:t xml:space="preserve">, 1972, I, </w:t>
      </w:r>
      <w:r w:rsidR="00A91208" w:rsidRPr="00E72418">
        <w:rPr>
          <w:rFonts w:ascii="Times New Roman" w:hAnsi="Times New Roman" w:cs="Times New Roman"/>
          <w:szCs w:val="24"/>
        </w:rPr>
        <w:t>p. 28</w:t>
      </w:r>
    </w:p>
    <w:p w14:paraId="2CB93CF0" w14:textId="704AE043" w:rsidR="003C1EF4" w:rsidRPr="00E72418" w:rsidRDefault="003C1EF4" w:rsidP="003C1EF4">
      <w:pPr>
        <w:pStyle w:val="Paragraphedeliste"/>
        <w:rPr>
          <w:rFonts w:ascii="Times New Roman" w:hAnsi="Times New Roman" w:cs="Times New Roman"/>
          <w:sz w:val="14"/>
          <w:szCs w:val="14"/>
        </w:rPr>
      </w:pPr>
    </w:p>
    <w:p w14:paraId="0595DCC8" w14:textId="77777777" w:rsidR="003C1EF4" w:rsidRPr="00E72418" w:rsidRDefault="003C1EF4" w:rsidP="003C1EF4">
      <w:pPr>
        <w:pStyle w:val="Paragraphedeliste"/>
        <w:rPr>
          <w:rFonts w:ascii="Times New Roman" w:hAnsi="Times New Roman" w:cs="Times New Roman"/>
          <w:sz w:val="14"/>
          <w:szCs w:val="14"/>
        </w:rPr>
      </w:pPr>
    </w:p>
    <w:p w14:paraId="7DE6333C" w14:textId="71E80C39" w:rsidR="003C1EF4" w:rsidRPr="00E72418" w:rsidRDefault="003C1EF4" w:rsidP="003C1EF4">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 xml:space="preserve">Bruxelles, 19 mars 2004, </w:t>
      </w:r>
      <w:r w:rsidRPr="00E72418">
        <w:rPr>
          <w:rFonts w:ascii="Times New Roman" w:hAnsi="Times New Roman" w:cs="Times New Roman"/>
          <w:i/>
          <w:szCs w:val="24"/>
          <w:lang w:val="en-US"/>
        </w:rPr>
        <w:t>Revue de droit commercial belge</w:t>
      </w:r>
      <w:r w:rsidRPr="00E72418">
        <w:rPr>
          <w:rFonts w:ascii="Times New Roman" w:hAnsi="Times New Roman" w:cs="Times New Roman"/>
          <w:szCs w:val="24"/>
          <w:lang w:val="en-US"/>
        </w:rPr>
        <w:t>, 2006, p. 99</w:t>
      </w:r>
    </w:p>
    <w:p w14:paraId="31B6676A" w14:textId="77777777" w:rsidR="003C1EF4" w:rsidRPr="00E72418" w:rsidRDefault="003C1EF4" w:rsidP="003C1EF4">
      <w:pPr>
        <w:pStyle w:val="Paragraphedeliste"/>
        <w:rPr>
          <w:rFonts w:ascii="Times New Roman" w:hAnsi="Times New Roman" w:cs="Times New Roman"/>
          <w:sz w:val="14"/>
          <w:szCs w:val="14"/>
        </w:rPr>
      </w:pPr>
    </w:p>
    <w:p w14:paraId="3E3A32B6" w14:textId="77777777" w:rsidR="00072604" w:rsidRPr="00E72418" w:rsidRDefault="003C1EF4"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Bruxelles, 26 septembre 2000, arrêt n° 2000/QR/92, inédit</w:t>
      </w:r>
    </w:p>
    <w:p w14:paraId="59B83679" w14:textId="12A3F88D" w:rsidR="00072604" w:rsidRPr="00E72418" w:rsidRDefault="00072604" w:rsidP="00072604">
      <w:pPr>
        <w:pStyle w:val="Paragraphedeliste"/>
        <w:rPr>
          <w:rFonts w:ascii="Times New Roman" w:hAnsi="Times New Roman" w:cs="Times New Roman"/>
          <w:sz w:val="14"/>
          <w:szCs w:val="14"/>
        </w:rPr>
      </w:pPr>
    </w:p>
    <w:p w14:paraId="3782F40B" w14:textId="77777777" w:rsidR="00072604" w:rsidRPr="00E72418" w:rsidRDefault="00072604" w:rsidP="00072604">
      <w:pPr>
        <w:pStyle w:val="Paragraphedeliste"/>
        <w:rPr>
          <w:rFonts w:ascii="Times New Roman" w:hAnsi="Times New Roman" w:cs="Times New Roman"/>
          <w:sz w:val="14"/>
          <w:szCs w:val="14"/>
        </w:rPr>
      </w:pPr>
    </w:p>
    <w:p w14:paraId="0FB059D3" w14:textId="4762718A" w:rsidR="00072604" w:rsidRPr="00E72418" w:rsidRDefault="003C1EF4"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Tribunal de commerce de Bruxelles, 11 septembre 2003, R.K. 204/03, inédit</w:t>
      </w:r>
    </w:p>
    <w:p w14:paraId="26AA8F47" w14:textId="77777777" w:rsidR="00072604" w:rsidRPr="00E72418" w:rsidRDefault="00072604" w:rsidP="00072604">
      <w:pPr>
        <w:pStyle w:val="Paragraphedeliste"/>
        <w:spacing w:after="0"/>
        <w:rPr>
          <w:rFonts w:ascii="Times New Roman" w:hAnsi="Times New Roman" w:cs="Times New Roman"/>
          <w:sz w:val="14"/>
          <w:szCs w:val="14"/>
        </w:rPr>
      </w:pPr>
    </w:p>
    <w:p w14:paraId="79A127B7" w14:textId="2D96DD31" w:rsidR="003C1EF4" w:rsidRPr="00E72418" w:rsidRDefault="003C1EF4"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lang w:val="en-US"/>
        </w:rPr>
        <w:t>Tribunal de commerce de Bruxelles, 7 septembre 2015</w:t>
      </w:r>
      <w:r w:rsidRPr="00E72418">
        <w:rPr>
          <w:rFonts w:ascii="Times New Roman" w:hAnsi="Times New Roman" w:cs="Times New Roman"/>
          <w:i/>
          <w:szCs w:val="24"/>
          <w:lang w:val="en-US"/>
        </w:rPr>
        <w:t>, Droit bancaire et financier</w:t>
      </w:r>
      <w:r w:rsidRPr="00E72418">
        <w:rPr>
          <w:rFonts w:ascii="Times New Roman" w:hAnsi="Times New Roman" w:cs="Times New Roman"/>
          <w:szCs w:val="24"/>
          <w:lang w:val="en-US"/>
        </w:rPr>
        <w:t>, 2016, p. 176</w:t>
      </w:r>
    </w:p>
    <w:p w14:paraId="45ACFF3F" w14:textId="77777777" w:rsidR="003C1EF4" w:rsidRPr="00E72418" w:rsidRDefault="003C1EF4" w:rsidP="003C1EF4">
      <w:pPr>
        <w:pStyle w:val="Paragraphedeliste"/>
        <w:rPr>
          <w:rFonts w:ascii="Times New Roman" w:hAnsi="Times New Roman" w:cs="Times New Roman"/>
          <w:sz w:val="14"/>
          <w:szCs w:val="14"/>
        </w:rPr>
      </w:pPr>
    </w:p>
    <w:p w14:paraId="232118EE" w14:textId="74B97D82" w:rsidR="00BD3A60" w:rsidRPr="00E72418" w:rsidRDefault="003C1EF4" w:rsidP="00025A8C">
      <w:pPr>
        <w:pStyle w:val="Paragraphedeliste"/>
        <w:numPr>
          <w:ilvl w:val="0"/>
          <w:numId w:val="12"/>
        </w:numPr>
        <w:spacing w:after="0"/>
      </w:pPr>
      <w:r w:rsidRPr="00E72418">
        <w:rPr>
          <w:rFonts w:ascii="Times New Roman" w:hAnsi="Times New Roman" w:cs="Times New Roman"/>
          <w:szCs w:val="24"/>
        </w:rPr>
        <w:t xml:space="preserve">Civ. Bruxelles, 21 mars 1997, </w:t>
      </w:r>
      <w:r w:rsidRPr="00E72418">
        <w:rPr>
          <w:rFonts w:ascii="Times New Roman" w:hAnsi="Times New Roman" w:cs="Times New Roman"/>
          <w:i/>
          <w:szCs w:val="24"/>
        </w:rPr>
        <w:t>Jurisprudence Liège, Mons et Bruxelles</w:t>
      </w:r>
      <w:r w:rsidRPr="00E72418">
        <w:rPr>
          <w:rFonts w:ascii="Times New Roman" w:hAnsi="Times New Roman" w:cs="Times New Roman"/>
          <w:szCs w:val="24"/>
        </w:rPr>
        <w:t>, 1997, p. 809</w:t>
      </w:r>
      <w:bookmarkStart w:id="525" w:name="_Toc84541043"/>
    </w:p>
    <w:p w14:paraId="165DA047" w14:textId="77777777" w:rsidR="00025A8C" w:rsidRPr="00E72418" w:rsidRDefault="00025A8C" w:rsidP="00025A8C">
      <w:pPr>
        <w:pStyle w:val="Paragraphedeliste"/>
      </w:pPr>
    </w:p>
    <w:p w14:paraId="0B10DEE3" w14:textId="77777777" w:rsidR="00025A8C" w:rsidRPr="00E72418" w:rsidRDefault="00025A8C" w:rsidP="00025A8C">
      <w:pPr>
        <w:pStyle w:val="Paragraphedeliste"/>
        <w:spacing w:after="0"/>
      </w:pPr>
    </w:p>
    <w:p w14:paraId="741BC0A7" w14:textId="11DB1709" w:rsidR="00025A8C" w:rsidRPr="00E72418" w:rsidRDefault="00025A8C" w:rsidP="00025A8C">
      <w:pPr>
        <w:pStyle w:val="CC"/>
      </w:pPr>
      <w:r w:rsidRPr="00E72418">
        <w:t>France</w:t>
      </w:r>
      <w:bookmarkEnd w:id="525"/>
    </w:p>
    <w:p w14:paraId="0352482A" w14:textId="77777777" w:rsidR="00025A8C" w:rsidRPr="00E72418" w:rsidRDefault="00025A8C" w:rsidP="00025A8C">
      <w:pPr>
        <w:pStyle w:val="Paragraphedeliste"/>
        <w:spacing w:after="0"/>
        <w:rPr>
          <w:rFonts w:ascii="Times New Roman" w:hAnsi="Times New Roman" w:cs="Times New Roman"/>
          <w:sz w:val="28"/>
          <w:szCs w:val="28"/>
        </w:rPr>
      </w:pPr>
    </w:p>
    <w:p w14:paraId="7358BDDE" w14:textId="224C0BF8" w:rsidR="003C1EF4" w:rsidRPr="00E72418" w:rsidRDefault="003C1EF4" w:rsidP="003C1EF4">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 xml:space="preserve">Conseil constitutionnel, </w:t>
      </w:r>
      <w:r w:rsidR="007A654B" w:rsidRPr="00E72418">
        <w:rPr>
          <w:rFonts w:ascii="Times New Roman" w:hAnsi="Times New Roman" w:cs="Times New Roman"/>
          <w:szCs w:val="24"/>
        </w:rPr>
        <w:t xml:space="preserve">8 décembre 2016, </w:t>
      </w:r>
      <w:r w:rsidRPr="00E72418">
        <w:rPr>
          <w:rFonts w:ascii="Times New Roman" w:hAnsi="Times New Roman" w:cs="Times New Roman"/>
          <w:szCs w:val="24"/>
        </w:rPr>
        <w:t>décision n° 2016-741 DC</w:t>
      </w:r>
    </w:p>
    <w:p w14:paraId="324B0D9B" w14:textId="3AAFCE42" w:rsidR="003C1EF4" w:rsidRPr="00E72418" w:rsidRDefault="003C1EF4" w:rsidP="003C1EF4">
      <w:pPr>
        <w:pStyle w:val="Paragraphedeliste"/>
        <w:spacing w:after="0"/>
        <w:rPr>
          <w:rFonts w:ascii="Times New Roman" w:hAnsi="Times New Roman" w:cs="Times New Roman"/>
          <w:sz w:val="14"/>
          <w:szCs w:val="14"/>
        </w:rPr>
      </w:pPr>
    </w:p>
    <w:p w14:paraId="56B4DAE1" w14:textId="17432CA9" w:rsidR="003C1EF4" w:rsidRPr="00E72418" w:rsidRDefault="003C1EF4" w:rsidP="003C1EF4">
      <w:pPr>
        <w:pStyle w:val="Paragraphedeliste"/>
        <w:spacing w:after="0"/>
        <w:rPr>
          <w:rFonts w:ascii="Times New Roman" w:hAnsi="Times New Roman" w:cs="Times New Roman"/>
          <w:sz w:val="14"/>
          <w:szCs w:val="14"/>
        </w:rPr>
      </w:pPr>
    </w:p>
    <w:p w14:paraId="10B97BA2" w14:textId="6451BD27" w:rsidR="00BD3A60" w:rsidRPr="00E72418" w:rsidRDefault="002506EC" w:rsidP="007D7D59">
      <w:pPr>
        <w:pStyle w:val="Paragraphedeliste"/>
        <w:numPr>
          <w:ilvl w:val="0"/>
          <w:numId w:val="12"/>
        </w:numPr>
        <w:spacing w:after="0"/>
        <w:rPr>
          <w:rFonts w:ascii="Times New Roman" w:hAnsi="Times New Roman" w:cs="Times New Roman"/>
          <w:szCs w:val="24"/>
        </w:rPr>
      </w:pPr>
      <w:r w:rsidRPr="00E72418">
        <w:rPr>
          <w:lang w:val="fr-BE"/>
        </w:rPr>
        <w:t>Cass.</w:t>
      </w:r>
      <w:r w:rsidR="00CC77AE" w:rsidRPr="00E72418">
        <w:rPr>
          <w:lang w:val="fr-BE"/>
        </w:rPr>
        <w:t>, 12 mai 2021, pourvoi n° 19</w:t>
      </w:r>
      <w:r w:rsidR="00B51A82" w:rsidRPr="00E72418">
        <w:rPr>
          <w:lang w:val="fr-BE"/>
        </w:rPr>
        <w:t>-</w:t>
      </w:r>
      <w:r w:rsidR="00CC77AE" w:rsidRPr="00E72418">
        <w:rPr>
          <w:lang w:val="fr-BE"/>
        </w:rPr>
        <w:t>13.853</w:t>
      </w:r>
      <w:bookmarkStart w:id="526" w:name="_Toc84541044"/>
    </w:p>
    <w:p w14:paraId="2ED272C3" w14:textId="77777777" w:rsidR="00BD3A60" w:rsidRPr="00E72418" w:rsidRDefault="00BD3A60" w:rsidP="00BD3A60">
      <w:pPr>
        <w:pStyle w:val="Paragraphedeliste"/>
        <w:spacing w:after="0"/>
        <w:rPr>
          <w:rFonts w:ascii="Times New Roman" w:hAnsi="Times New Roman" w:cs="Times New Roman"/>
          <w:sz w:val="14"/>
          <w:szCs w:val="14"/>
        </w:rPr>
      </w:pPr>
    </w:p>
    <w:p w14:paraId="229D6538" w14:textId="77777777" w:rsidR="00BD3A60" w:rsidRPr="00E72418" w:rsidRDefault="002506EC" w:rsidP="007D7D59">
      <w:pPr>
        <w:pStyle w:val="Paragraphedeliste"/>
        <w:numPr>
          <w:ilvl w:val="0"/>
          <w:numId w:val="12"/>
        </w:numPr>
        <w:spacing w:after="0"/>
        <w:rPr>
          <w:rStyle w:val="Titre6Car"/>
          <w:rFonts w:ascii="Times New Roman" w:eastAsiaTheme="minorHAnsi" w:hAnsi="Times New Roman" w:cs="Times New Roman"/>
          <w:color w:val="auto"/>
          <w:szCs w:val="24"/>
        </w:rPr>
      </w:pPr>
      <w:r w:rsidRPr="00E72418">
        <w:rPr>
          <w:rStyle w:val="Titre6Car"/>
          <w:rFonts w:ascii="Times" w:eastAsiaTheme="minorHAnsi" w:hAnsi="Times" w:cstheme="minorBidi"/>
          <w:color w:val="auto"/>
          <w:szCs w:val="20"/>
        </w:rPr>
        <w:t>Cass.</w:t>
      </w:r>
      <w:r w:rsidR="00062360" w:rsidRPr="00E72418">
        <w:rPr>
          <w:rStyle w:val="Titre6Car"/>
          <w:rFonts w:ascii="Times" w:eastAsiaTheme="minorHAnsi" w:hAnsi="Times" w:cstheme="minorBidi"/>
          <w:color w:val="auto"/>
          <w:szCs w:val="20"/>
        </w:rPr>
        <w:t>, 28 février 2018, pourvoi n° 16-22.126</w:t>
      </w:r>
      <w:bookmarkEnd w:id="526"/>
    </w:p>
    <w:p w14:paraId="0B40DD34" w14:textId="77777777" w:rsidR="00BD3A60" w:rsidRPr="00E72418" w:rsidRDefault="00BD3A60" w:rsidP="00BD3A60">
      <w:pPr>
        <w:pStyle w:val="Paragraphedeliste"/>
        <w:rPr>
          <w:rStyle w:val="apple-converted-space"/>
          <w:rFonts w:ascii="Times New Roman" w:hAnsi="Times New Roman" w:cs="Times New Roman"/>
          <w:sz w:val="14"/>
          <w:szCs w:val="14"/>
        </w:rPr>
      </w:pPr>
    </w:p>
    <w:p w14:paraId="7228C4DA" w14:textId="77777777" w:rsidR="00BD3A60" w:rsidRPr="00E72418" w:rsidRDefault="002506EC" w:rsidP="007D7D59">
      <w:pPr>
        <w:pStyle w:val="Paragraphedeliste"/>
        <w:numPr>
          <w:ilvl w:val="0"/>
          <w:numId w:val="12"/>
        </w:numPr>
        <w:spacing w:after="0"/>
        <w:rPr>
          <w:rStyle w:val="apple-converted-space"/>
          <w:rFonts w:ascii="Times New Roman" w:hAnsi="Times New Roman" w:cs="Times New Roman"/>
          <w:szCs w:val="24"/>
        </w:rPr>
      </w:pPr>
      <w:r w:rsidRPr="00E72418">
        <w:rPr>
          <w:rStyle w:val="apple-converted-space"/>
          <w:rFonts w:ascii="Times New Roman" w:hAnsi="Times New Roman" w:cs="Times New Roman"/>
          <w:szCs w:val="24"/>
        </w:rPr>
        <w:t>Cass.</w:t>
      </w:r>
      <w:r w:rsidR="00A91208" w:rsidRPr="00E72418">
        <w:rPr>
          <w:rStyle w:val="apple-converted-space"/>
          <w:rFonts w:ascii="Times New Roman" w:hAnsi="Times New Roman" w:cs="Times New Roman"/>
          <w:szCs w:val="24"/>
        </w:rPr>
        <w:t>, 28 février 2018, pourvoi n° 16-22</w:t>
      </w:r>
      <w:r w:rsidR="00B51A82" w:rsidRPr="00E72418">
        <w:rPr>
          <w:rStyle w:val="apple-converted-space"/>
          <w:rFonts w:ascii="Times New Roman" w:hAnsi="Times New Roman" w:cs="Times New Roman"/>
          <w:szCs w:val="24"/>
        </w:rPr>
        <w:t>.</w:t>
      </w:r>
      <w:r w:rsidR="00A91208" w:rsidRPr="00E72418">
        <w:rPr>
          <w:rStyle w:val="apple-converted-space"/>
          <w:rFonts w:ascii="Times New Roman" w:hAnsi="Times New Roman" w:cs="Times New Roman"/>
          <w:szCs w:val="24"/>
        </w:rPr>
        <w:t>112</w:t>
      </w:r>
    </w:p>
    <w:p w14:paraId="2114D62F" w14:textId="77777777" w:rsidR="00BD3A60" w:rsidRPr="00E72418" w:rsidRDefault="00BD3A60" w:rsidP="00BD3A60">
      <w:pPr>
        <w:pStyle w:val="Paragraphedeliste"/>
        <w:rPr>
          <w:rFonts w:ascii="Times New Roman" w:hAnsi="Times New Roman" w:cs="Times New Roman"/>
          <w:sz w:val="14"/>
          <w:szCs w:val="14"/>
        </w:rPr>
      </w:pPr>
    </w:p>
    <w:p w14:paraId="224E5D01" w14:textId="77777777" w:rsidR="00BD3A60"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24 janvier 2018, pourvoi n° 16-16</w:t>
      </w:r>
      <w:r w:rsidR="00B51A82" w:rsidRPr="00E72418">
        <w:rPr>
          <w:rFonts w:ascii="Times New Roman" w:hAnsi="Times New Roman" w:cs="Times New Roman"/>
          <w:szCs w:val="24"/>
        </w:rPr>
        <w:t>.</w:t>
      </w:r>
      <w:r w:rsidR="00A91208" w:rsidRPr="00E72418">
        <w:rPr>
          <w:rFonts w:ascii="Times New Roman" w:hAnsi="Times New Roman" w:cs="Times New Roman"/>
          <w:szCs w:val="24"/>
        </w:rPr>
        <w:t>511</w:t>
      </w:r>
    </w:p>
    <w:p w14:paraId="3352A52A" w14:textId="77777777" w:rsidR="00BD3A60" w:rsidRPr="00E72418" w:rsidRDefault="00BD3A60" w:rsidP="00BD3A60">
      <w:pPr>
        <w:pStyle w:val="Paragraphedeliste"/>
        <w:rPr>
          <w:rFonts w:ascii="Times New Roman" w:hAnsi="Times New Roman" w:cs="Times New Roman"/>
          <w:sz w:val="14"/>
          <w:szCs w:val="14"/>
        </w:rPr>
      </w:pPr>
    </w:p>
    <w:p w14:paraId="329974DE" w14:textId="77777777" w:rsidR="00BD3A60"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10 janvier 2018, pourvoi n° 16-22</w:t>
      </w:r>
      <w:r w:rsidR="00B51A82" w:rsidRPr="00E72418">
        <w:rPr>
          <w:rFonts w:ascii="Times New Roman" w:hAnsi="Times New Roman" w:cs="Times New Roman"/>
          <w:szCs w:val="24"/>
        </w:rPr>
        <w:t>.</w:t>
      </w:r>
      <w:r w:rsidR="00A91208" w:rsidRPr="00E72418">
        <w:rPr>
          <w:rFonts w:ascii="Times New Roman" w:hAnsi="Times New Roman" w:cs="Times New Roman"/>
          <w:szCs w:val="24"/>
        </w:rPr>
        <w:t>494</w:t>
      </w:r>
    </w:p>
    <w:p w14:paraId="44253EE4" w14:textId="77777777" w:rsidR="00BD3A60" w:rsidRPr="00E72418" w:rsidRDefault="00BD3A60" w:rsidP="00BD3A60">
      <w:pPr>
        <w:pStyle w:val="Paragraphedeliste"/>
        <w:rPr>
          <w:rStyle w:val="apple-converted-space"/>
          <w:rFonts w:ascii="Times New Roman" w:hAnsi="Times New Roman" w:cs="Times New Roman"/>
          <w:sz w:val="14"/>
          <w:szCs w:val="14"/>
        </w:rPr>
      </w:pPr>
    </w:p>
    <w:p w14:paraId="70A44907" w14:textId="77777777" w:rsidR="00BD3A60" w:rsidRPr="00E72418" w:rsidRDefault="002506EC" w:rsidP="007D7D59">
      <w:pPr>
        <w:pStyle w:val="Paragraphedeliste"/>
        <w:numPr>
          <w:ilvl w:val="0"/>
          <w:numId w:val="12"/>
        </w:numPr>
        <w:spacing w:after="0"/>
        <w:rPr>
          <w:rStyle w:val="apple-converted-space"/>
          <w:rFonts w:ascii="Times New Roman" w:hAnsi="Times New Roman" w:cs="Times New Roman"/>
          <w:szCs w:val="24"/>
        </w:rPr>
      </w:pPr>
      <w:r w:rsidRPr="00E72418">
        <w:rPr>
          <w:rStyle w:val="apple-converted-space"/>
          <w:rFonts w:ascii="Times New Roman" w:hAnsi="Times New Roman" w:cs="Times New Roman"/>
          <w:szCs w:val="24"/>
        </w:rPr>
        <w:t>Cass.</w:t>
      </w:r>
      <w:r w:rsidR="00A91208" w:rsidRPr="00E72418">
        <w:rPr>
          <w:rStyle w:val="apple-converted-space"/>
          <w:rFonts w:ascii="Times New Roman" w:hAnsi="Times New Roman" w:cs="Times New Roman"/>
          <w:szCs w:val="24"/>
        </w:rPr>
        <w:t>, 13 mai 2015, pourvoi n° 13-17</w:t>
      </w:r>
      <w:r w:rsidR="00B51A82" w:rsidRPr="00E72418">
        <w:rPr>
          <w:rStyle w:val="apple-converted-space"/>
          <w:rFonts w:ascii="Times New Roman" w:hAnsi="Times New Roman" w:cs="Times New Roman"/>
          <w:szCs w:val="24"/>
        </w:rPr>
        <w:t>.</w:t>
      </w:r>
      <w:r w:rsidR="00A91208" w:rsidRPr="00E72418">
        <w:rPr>
          <w:rStyle w:val="apple-converted-space"/>
          <w:rFonts w:ascii="Times New Roman" w:hAnsi="Times New Roman" w:cs="Times New Roman"/>
          <w:szCs w:val="24"/>
        </w:rPr>
        <w:t>751</w:t>
      </w:r>
    </w:p>
    <w:p w14:paraId="69928202" w14:textId="77777777" w:rsidR="00BD3A60" w:rsidRPr="00E72418" w:rsidRDefault="00BD3A60" w:rsidP="00BD3A60">
      <w:pPr>
        <w:pStyle w:val="Paragraphedeliste"/>
        <w:rPr>
          <w:rFonts w:ascii="Times New Roman" w:hAnsi="Times New Roman" w:cs="Times New Roman"/>
          <w:sz w:val="14"/>
          <w:szCs w:val="14"/>
        </w:rPr>
      </w:pPr>
    </w:p>
    <w:p w14:paraId="55043EF3" w14:textId="5825E331" w:rsidR="00BD3A60" w:rsidRPr="00E72418" w:rsidRDefault="002506EC" w:rsidP="007D7D59">
      <w:pPr>
        <w:pStyle w:val="Paragraphedeliste"/>
        <w:numPr>
          <w:ilvl w:val="0"/>
          <w:numId w:val="12"/>
        </w:numPr>
        <w:spacing w:after="0"/>
        <w:rPr>
          <w:rStyle w:val="apple-converted-space"/>
          <w:rFonts w:ascii="Times New Roman" w:hAnsi="Times New Roman" w:cs="Times New Roman"/>
          <w:szCs w:val="24"/>
        </w:rPr>
      </w:pPr>
      <w:r w:rsidRPr="00E72418">
        <w:rPr>
          <w:rFonts w:ascii="Times New Roman" w:hAnsi="Times New Roman" w:cs="Times New Roman"/>
          <w:szCs w:val="24"/>
        </w:rPr>
        <w:t>Cass.</w:t>
      </w:r>
      <w:r w:rsidR="007A654B" w:rsidRPr="00E72418">
        <w:rPr>
          <w:rFonts w:ascii="Times New Roman" w:hAnsi="Times New Roman" w:cs="Times New Roman"/>
          <w:szCs w:val="24"/>
        </w:rPr>
        <w:t>, 28 mars 2013, pourvois n</w:t>
      </w:r>
      <w:r w:rsidR="007A654B" w:rsidRPr="00E72418">
        <w:rPr>
          <w:rFonts w:ascii="Times New Roman" w:hAnsi="Times New Roman" w:cs="Times New Roman"/>
          <w:szCs w:val="24"/>
          <w:vertAlign w:val="superscript"/>
        </w:rPr>
        <w:t>os</w:t>
      </w:r>
      <w:r w:rsidR="00A91208" w:rsidRPr="00E72418">
        <w:rPr>
          <w:rFonts w:ascii="Times New Roman" w:hAnsi="Times New Roman" w:cs="Times New Roman"/>
          <w:szCs w:val="24"/>
        </w:rPr>
        <w:t xml:space="preserve"> 10-25</w:t>
      </w:r>
      <w:r w:rsidR="00B51A82" w:rsidRPr="00E72418">
        <w:rPr>
          <w:rFonts w:ascii="Times New Roman" w:hAnsi="Times New Roman" w:cs="Times New Roman"/>
          <w:szCs w:val="24"/>
        </w:rPr>
        <w:t>.</w:t>
      </w:r>
      <w:r w:rsidR="007A654B" w:rsidRPr="00E72418">
        <w:rPr>
          <w:rFonts w:ascii="Times New Roman" w:hAnsi="Times New Roman" w:cs="Times New Roman"/>
          <w:szCs w:val="24"/>
        </w:rPr>
        <w:t xml:space="preserve">938, </w:t>
      </w:r>
      <w:r w:rsidR="00A91208" w:rsidRPr="00E72418">
        <w:rPr>
          <w:rFonts w:ascii="Times New Roman" w:hAnsi="Times New Roman" w:cs="Times New Roman"/>
          <w:szCs w:val="24"/>
        </w:rPr>
        <w:t>11-10</w:t>
      </w:r>
      <w:r w:rsidR="00B51A82" w:rsidRPr="00E72418">
        <w:rPr>
          <w:rFonts w:ascii="Times New Roman" w:hAnsi="Times New Roman" w:cs="Times New Roman"/>
          <w:szCs w:val="24"/>
        </w:rPr>
        <w:t>.</w:t>
      </w:r>
      <w:r w:rsidR="00A91208" w:rsidRPr="00E72418">
        <w:rPr>
          <w:rFonts w:ascii="Times New Roman" w:hAnsi="Times New Roman" w:cs="Times New Roman"/>
          <w:szCs w:val="24"/>
        </w:rPr>
        <w:t>450</w:t>
      </w:r>
      <w:r w:rsidR="007A654B" w:rsidRPr="00E72418">
        <w:rPr>
          <w:rStyle w:val="apple-converted-space"/>
          <w:rFonts w:ascii="Times New Roman" w:hAnsi="Times New Roman" w:cs="Times New Roman"/>
          <w:szCs w:val="24"/>
        </w:rPr>
        <w:t xml:space="preserve"> et </w:t>
      </w:r>
      <w:r w:rsidR="00A91208" w:rsidRPr="00E72418">
        <w:rPr>
          <w:rStyle w:val="apple-converted-space"/>
          <w:rFonts w:ascii="Times New Roman" w:hAnsi="Times New Roman" w:cs="Times New Roman"/>
          <w:szCs w:val="24"/>
        </w:rPr>
        <w:t>11-13</w:t>
      </w:r>
      <w:r w:rsidR="00B51A82" w:rsidRPr="00E72418">
        <w:rPr>
          <w:rStyle w:val="apple-converted-space"/>
          <w:rFonts w:ascii="Times New Roman" w:hAnsi="Times New Roman" w:cs="Times New Roman"/>
          <w:szCs w:val="24"/>
        </w:rPr>
        <w:t>.</w:t>
      </w:r>
      <w:r w:rsidR="00A91208" w:rsidRPr="00E72418">
        <w:rPr>
          <w:rStyle w:val="apple-converted-space"/>
          <w:rFonts w:ascii="Times New Roman" w:hAnsi="Times New Roman" w:cs="Times New Roman"/>
          <w:szCs w:val="24"/>
        </w:rPr>
        <w:t>323</w:t>
      </w:r>
    </w:p>
    <w:p w14:paraId="1EEFD44F" w14:textId="77777777" w:rsidR="00BD3A60" w:rsidRPr="00E72418" w:rsidRDefault="00BD3A60" w:rsidP="00BD3A60">
      <w:pPr>
        <w:pStyle w:val="Paragraphedeliste"/>
        <w:rPr>
          <w:rFonts w:ascii="Times New Roman" w:hAnsi="Times New Roman" w:cs="Times New Roman"/>
          <w:sz w:val="14"/>
          <w:szCs w:val="14"/>
        </w:rPr>
      </w:pPr>
    </w:p>
    <w:p w14:paraId="64090A9E" w14:textId="24CC8482" w:rsidR="00A91208" w:rsidRPr="00E72418" w:rsidRDefault="002506EC" w:rsidP="007D7D59">
      <w:pPr>
        <w:pStyle w:val="Paragraphedeliste"/>
        <w:numPr>
          <w:ilvl w:val="0"/>
          <w:numId w:val="12"/>
        </w:numPr>
        <w:spacing w:after="0"/>
        <w:rPr>
          <w:rFonts w:ascii="Times New Roman" w:hAnsi="Times New Roman" w:cs="Times New Roman"/>
          <w:szCs w:val="24"/>
        </w:rPr>
      </w:pPr>
      <w:r w:rsidRPr="00E72418">
        <w:rPr>
          <w:rFonts w:ascii="Times New Roman" w:hAnsi="Times New Roman" w:cs="Times New Roman"/>
          <w:szCs w:val="24"/>
        </w:rPr>
        <w:t>Cass.</w:t>
      </w:r>
      <w:r w:rsidR="00A91208" w:rsidRPr="00E72418">
        <w:rPr>
          <w:rFonts w:ascii="Times New Roman" w:hAnsi="Times New Roman" w:cs="Times New Roman"/>
          <w:szCs w:val="24"/>
        </w:rPr>
        <w:t>, 28 septembre 2011, pourvoi n° 09-72</w:t>
      </w:r>
      <w:r w:rsidR="00B51A82" w:rsidRPr="00E72418">
        <w:rPr>
          <w:rFonts w:ascii="Times New Roman" w:hAnsi="Times New Roman" w:cs="Times New Roman"/>
          <w:szCs w:val="24"/>
        </w:rPr>
        <w:t>.</w:t>
      </w:r>
      <w:r w:rsidR="00263A84" w:rsidRPr="00E72418">
        <w:rPr>
          <w:rFonts w:ascii="Times New Roman" w:hAnsi="Times New Roman" w:cs="Times New Roman"/>
          <w:szCs w:val="24"/>
        </w:rPr>
        <w:t>057</w:t>
      </w:r>
    </w:p>
    <w:p w14:paraId="05D54C17" w14:textId="269734CC" w:rsidR="00263A84" w:rsidRPr="00E72418" w:rsidRDefault="00263A84" w:rsidP="00025A8C">
      <w:pPr>
        <w:pStyle w:val="CC"/>
      </w:pPr>
      <w:bookmarkStart w:id="527" w:name="_Toc84541039"/>
      <w:r w:rsidRPr="00E72418">
        <w:lastRenderedPageBreak/>
        <w:t xml:space="preserve">Royaume-Uni et </w:t>
      </w:r>
      <w:bookmarkEnd w:id="527"/>
      <w:r w:rsidRPr="00E72418">
        <w:t>dépendances</w:t>
      </w:r>
    </w:p>
    <w:p w14:paraId="3F28DB5D" w14:textId="77777777" w:rsidR="00025A8C" w:rsidRPr="00E72418" w:rsidRDefault="00025A8C" w:rsidP="00025A8C">
      <w:pPr>
        <w:pStyle w:val="Paragraphedeliste"/>
        <w:spacing w:after="0"/>
        <w:rPr>
          <w:rFonts w:ascii="Times New Roman" w:hAnsi="Times New Roman" w:cs="Times New Roman"/>
          <w:sz w:val="28"/>
          <w:szCs w:val="28"/>
          <w:lang w:val="en-US"/>
        </w:rPr>
      </w:pPr>
    </w:p>
    <w:p w14:paraId="1F865416" w14:textId="2C0EAE97" w:rsidR="00051F41" w:rsidRPr="00E72418" w:rsidRDefault="00263A84" w:rsidP="007D7D59">
      <w:pPr>
        <w:pStyle w:val="Paragraphedeliste"/>
        <w:numPr>
          <w:ilvl w:val="0"/>
          <w:numId w:val="10"/>
        </w:numPr>
        <w:spacing w:after="0"/>
        <w:rPr>
          <w:rFonts w:ascii="Times New Roman" w:hAnsi="Times New Roman" w:cs="Times New Roman"/>
          <w:sz w:val="14"/>
          <w:szCs w:val="14"/>
          <w:lang w:val="en-US"/>
        </w:rPr>
      </w:pPr>
      <w:r w:rsidRPr="00E72418">
        <w:rPr>
          <w:rFonts w:ascii="Times New Roman" w:hAnsi="Times New Roman" w:cs="Times New Roman"/>
          <w:szCs w:val="24"/>
        </w:rPr>
        <w:t xml:space="preserve">Supreme Court (RU), 6 juillet 2011, </w:t>
      </w:r>
      <w:r w:rsidRPr="00E72418">
        <w:rPr>
          <w:rFonts w:ascii="Times New Roman" w:hAnsi="Times New Roman" w:cs="Times New Roman"/>
          <w:i/>
          <w:szCs w:val="24"/>
        </w:rPr>
        <w:t>NML Capital Limited v. Republic of Argentina</w:t>
      </w:r>
      <w:r w:rsidRPr="00E72418">
        <w:rPr>
          <w:rFonts w:ascii="Times New Roman" w:hAnsi="Times New Roman" w:cs="Times New Roman"/>
          <w:szCs w:val="24"/>
        </w:rPr>
        <w:t>, [2011] UKSC 31</w:t>
      </w:r>
    </w:p>
    <w:p w14:paraId="4A4CA60E" w14:textId="34496739" w:rsidR="00025A8C" w:rsidRPr="00E72418" w:rsidRDefault="00025A8C" w:rsidP="00025A8C">
      <w:pPr>
        <w:pStyle w:val="Paragraphedeliste"/>
        <w:spacing w:after="0"/>
        <w:rPr>
          <w:rFonts w:ascii="Times New Roman" w:hAnsi="Times New Roman" w:cs="Times New Roman"/>
          <w:sz w:val="14"/>
          <w:szCs w:val="14"/>
        </w:rPr>
      </w:pPr>
    </w:p>
    <w:p w14:paraId="7F09D7DC" w14:textId="77777777" w:rsidR="00025A8C" w:rsidRPr="00E72418" w:rsidRDefault="00025A8C" w:rsidP="00025A8C">
      <w:pPr>
        <w:pStyle w:val="Paragraphedeliste"/>
        <w:spacing w:after="0"/>
        <w:rPr>
          <w:rFonts w:ascii="Times New Roman" w:hAnsi="Times New Roman" w:cs="Times New Roman"/>
          <w:sz w:val="14"/>
          <w:szCs w:val="14"/>
          <w:lang w:val="en-US"/>
        </w:rPr>
      </w:pPr>
    </w:p>
    <w:p w14:paraId="4EEEC77C" w14:textId="77777777" w:rsidR="00051F41" w:rsidRPr="00E72418" w:rsidRDefault="00051F41"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Court of Appeal (RU),</w:t>
      </w:r>
      <w:r w:rsidRPr="00E72418">
        <w:rPr>
          <w:rFonts w:ascii="Times New Roman" w:hAnsi="Times New Roman" w:cs="Times New Roman"/>
          <w:i/>
          <w:szCs w:val="24"/>
        </w:rPr>
        <w:t xml:space="preserve"> </w:t>
      </w:r>
      <w:r w:rsidRPr="00E72418">
        <w:rPr>
          <w:rFonts w:ascii="Times New Roman" w:hAnsi="Times New Roman" w:cs="Times New Roman"/>
          <w:szCs w:val="24"/>
        </w:rPr>
        <w:t xml:space="preserve">27 février 2007, </w:t>
      </w:r>
      <w:r w:rsidRPr="00E72418">
        <w:rPr>
          <w:rFonts w:ascii="Times New Roman" w:hAnsi="Times New Roman" w:cs="Times New Roman"/>
          <w:i/>
          <w:szCs w:val="24"/>
        </w:rPr>
        <w:t>Barbados Trust Company Ltd. v. Bank of Zambia and Anr.</w:t>
      </w:r>
      <w:r w:rsidRPr="00E72418">
        <w:rPr>
          <w:rFonts w:ascii="Times New Roman" w:hAnsi="Times New Roman" w:cs="Times New Roman"/>
          <w:szCs w:val="24"/>
        </w:rPr>
        <w:t>, [2007] EWCA Civ 148</w:t>
      </w:r>
    </w:p>
    <w:p w14:paraId="3967CB1F" w14:textId="77777777" w:rsidR="00051F41" w:rsidRPr="00E72418" w:rsidRDefault="00051F41" w:rsidP="00051F41">
      <w:pPr>
        <w:pStyle w:val="Paragraphedeliste"/>
        <w:rPr>
          <w:rFonts w:ascii="Times New Roman" w:hAnsi="Times New Roman" w:cs="Times New Roman"/>
          <w:sz w:val="14"/>
          <w:szCs w:val="14"/>
          <w:lang w:val="en-US"/>
        </w:rPr>
      </w:pPr>
    </w:p>
    <w:p w14:paraId="5DE82D64" w14:textId="77777777" w:rsidR="00051F41" w:rsidRPr="00E72418" w:rsidRDefault="00051F41"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Court of Appeal (RU), 13 mai 2003, </w:t>
      </w:r>
      <w:r w:rsidRPr="00E72418">
        <w:rPr>
          <w:rFonts w:ascii="Times New Roman" w:hAnsi="Times New Roman" w:cs="Times New Roman"/>
          <w:i/>
          <w:szCs w:val="24"/>
        </w:rPr>
        <w:t>Kensington International Ltd. v Republic of the Congo</w:t>
      </w:r>
      <w:r w:rsidRPr="00E72418">
        <w:rPr>
          <w:rFonts w:ascii="Times New Roman" w:hAnsi="Times New Roman" w:cs="Times New Roman"/>
          <w:szCs w:val="24"/>
        </w:rPr>
        <w:t>, [2003] EWCA Civ 709</w:t>
      </w:r>
    </w:p>
    <w:p w14:paraId="2F2239F5" w14:textId="77777777" w:rsidR="00051F41" w:rsidRPr="00E72418" w:rsidRDefault="00051F41" w:rsidP="00051F41">
      <w:pPr>
        <w:pStyle w:val="Paragraphedeliste"/>
        <w:rPr>
          <w:rFonts w:ascii="Times New Roman" w:hAnsi="Times New Roman" w:cs="Times New Roman"/>
          <w:sz w:val="14"/>
          <w:szCs w:val="14"/>
          <w:lang w:val="en-US"/>
        </w:rPr>
      </w:pPr>
    </w:p>
    <w:p w14:paraId="702034AB" w14:textId="77777777" w:rsidR="00051F41" w:rsidRPr="00E72418" w:rsidRDefault="00051F41"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Court of Appeal (RU), 3 avril 1996, </w:t>
      </w:r>
      <w:r w:rsidRPr="00E72418">
        <w:rPr>
          <w:rFonts w:ascii="Times New Roman" w:hAnsi="Times New Roman" w:cs="Times New Roman"/>
          <w:i/>
          <w:szCs w:val="24"/>
        </w:rPr>
        <w:t>Camdex International Ltd. v Bank of Zambia &amp; Anor</w:t>
      </w:r>
      <w:r w:rsidRPr="00E72418">
        <w:rPr>
          <w:rFonts w:ascii="Times New Roman" w:hAnsi="Times New Roman" w:cs="Times New Roman"/>
          <w:szCs w:val="24"/>
        </w:rPr>
        <w:t>,</w:t>
      </w:r>
      <w:r w:rsidRPr="00E72418">
        <w:rPr>
          <w:rFonts w:ascii="Times New Roman" w:hAnsi="Times New Roman" w:cs="Times New Roman"/>
          <w:i/>
          <w:szCs w:val="24"/>
        </w:rPr>
        <w:t xml:space="preserve"> </w:t>
      </w:r>
      <w:r w:rsidRPr="00E72418">
        <w:rPr>
          <w:rFonts w:ascii="Times New Roman" w:hAnsi="Times New Roman" w:cs="Times New Roman"/>
          <w:szCs w:val="24"/>
          <w:shd w:val="clear" w:color="auto" w:fill="FFFFFF"/>
        </w:rPr>
        <w:t>[1996] EWCA Civ 1356</w:t>
      </w:r>
    </w:p>
    <w:p w14:paraId="54294E6B" w14:textId="4136D5A6" w:rsidR="00051F41" w:rsidRPr="00E72418" w:rsidRDefault="00051F41" w:rsidP="00051F41">
      <w:pPr>
        <w:pStyle w:val="Paragraphedeliste"/>
        <w:rPr>
          <w:rFonts w:ascii="Times New Roman" w:hAnsi="Times New Roman" w:cs="Times New Roman"/>
          <w:sz w:val="14"/>
          <w:szCs w:val="14"/>
        </w:rPr>
      </w:pPr>
    </w:p>
    <w:p w14:paraId="7D2544D5" w14:textId="742B4AFD" w:rsidR="00051F41" w:rsidRPr="00E72418" w:rsidRDefault="00051F41" w:rsidP="00051F41">
      <w:pPr>
        <w:pStyle w:val="Paragraphedeliste"/>
        <w:rPr>
          <w:rFonts w:ascii="Times New Roman" w:hAnsi="Times New Roman" w:cs="Times New Roman"/>
          <w:sz w:val="14"/>
          <w:szCs w:val="14"/>
        </w:rPr>
      </w:pPr>
    </w:p>
    <w:p w14:paraId="425C0492" w14:textId="4C41D12E" w:rsidR="00051F41" w:rsidRPr="00E72418" w:rsidRDefault="00263A84"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High Court of Justice (RU), 26 novembre 2009, </w:t>
      </w:r>
      <w:r w:rsidRPr="00E72418">
        <w:rPr>
          <w:rFonts w:ascii="Times New Roman" w:hAnsi="Times New Roman" w:cs="Times New Roman"/>
          <w:i/>
          <w:szCs w:val="24"/>
        </w:rPr>
        <w:t>Hamsah Investments Ltd. &amp; Anor v. The Republic of Liberia</w:t>
      </w:r>
      <w:r w:rsidRPr="00E72418">
        <w:rPr>
          <w:rFonts w:ascii="Times New Roman" w:hAnsi="Times New Roman" w:cs="Times New Roman"/>
          <w:szCs w:val="24"/>
        </w:rPr>
        <w:t>, case n° 2008/587, inédit</w:t>
      </w:r>
    </w:p>
    <w:p w14:paraId="1402B1A0" w14:textId="77777777" w:rsidR="00051F41" w:rsidRPr="00E72418" w:rsidRDefault="00051F41" w:rsidP="00051F41">
      <w:pPr>
        <w:pStyle w:val="Paragraphedeliste"/>
        <w:spacing w:after="0"/>
        <w:rPr>
          <w:rFonts w:ascii="Times New Roman" w:hAnsi="Times New Roman" w:cs="Times New Roman"/>
          <w:sz w:val="14"/>
          <w:szCs w:val="14"/>
          <w:lang w:val="en-US"/>
        </w:rPr>
      </w:pPr>
    </w:p>
    <w:p w14:paraId="222DB5A6" w14:textId="77777777" w:rsidR="00051F41" w:rsidRPr="00E72418" w:rsidRDefault="00263A84"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High Court of Justice (RU), </w:t>
      </w:r>
      <w:r w:rsidRPr="00E72418">
        <w:rPr>
          <w:szCs w:val="20"/>
          <w:lang w:val="en-US"/>
        </w:rPr>
        <w:t>Queen’s Bench Division, Commercial Court</w:t>
      </w:r>
      <w:r w:rsidRPr="00E72418">
        <w:rPr>
          <w:rFonts w:ascii="Times New Roman" w:hAnsi="Times New Roman" w:cs="Times New Roman"/>
          <w:szCs w:val="24"/>
          <w:lang w:val="en-US"/>
        </w:rPr>
        <w:t xml:space="preserve">, 15 février 2007, </w:t>
      </w:r>
      <w:r w:rsidRPr="00E72418">
        <w:rPr>
          <w:rFonts w:ascii="Times New Roman" w:hAnsi="Times New Roman" w:cs="Times New Roman"/>
          <w:i/>
          <w:szCs w:val="24"/>
          <w:lang w:val="en-US"/>
        </w:rPr>
        <w:t>Donegal International Limited v. Republic of Zambia and Anr.</w:t>
      </w:r>
      <w:r w:rsidRPr="00E72418">
        <w:rPr>
          <w:rFonts w:ascii="Times New Roman" w:hAnsi="Times New Roman" w:cs="Times New Roman"/>
          <w:szCs w:val="24"/>
          <w:lang w:val="en-US"/>
        </w:rPr>
        <w:t>, [2007] EWHC 197 (Comm.)</w:t>
      </w:r>
    </w:p>
    <w:p w14:paraId="00EC63AF" w14:textId="77777777" w:rsidR="00051F41" w:rsidRPr="00E72418" w:rsidRDefault="00051F41" w:rsidP="00051F41">
      <w:pPr>
        <w:pStyle w:val="Paragraphedeliste"/>
        <w:rPr>
          <w:rFonts w:ascii="Times New Roman" w:hAnsi="Times New Roman" w:cs="Times New Roman"/>
          <w:sz w:val="14"/>
          <w:szCs w:val="14"/>
        </w:rPr>
      </w:pPr>
    </w:p>
    <w:p w14:paraId="622531DC" w14:textId="4C9C9568" w:rsidR="00263A84" w:rsidRPr="00E72418" w:rsidRDefault="00263A84"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High Court of Justice (RU), </w:t>
      </w:r>
      <w:r w:rsidRPr="00E72418">
        <w:rPr>
          <w:szCs w:val="20"/>
          <w:lang w:val="en-US"/>
        </w:rPr>
        <w:t>Queen’s Bench Division, Commercial Court</w:t>
      </w:r>
      <w:r w:rsidRPr="00E72418">
        <w:rPr>
          <w:rFonts w:ascii="Times New Roman" w:hAnsi="Times New Roman" w:cs="Times New Roman"/>
          <w:szCs w:val="24"/>
        </w:rPr>
        <w:t xml:space="preserve">, 28 novembre 2005, </w:t>
      </w:r>
      <w:r w:rsidRPr="00E72418">
        <w:rPr>
          <w:rFonts w:ascii="Times New Roman" w:hAnsi="Times New Roman" w:cs="Times New Roman"/>
          <w:i/>
          <w:szCs w:val="24"/>
        </w:rPr>
        <w:t>Kensington International Ltd. v. Republic of the Congo</w:t>
      </w:r>
      <w:r w:rsidRPr="00E72418">
        <w:rPr>
          <w:rFonts w:ascii="Times New Roman" w:hAnsi="Times New Roman" w:cs="Times New Roman"/>
          <w:szCs w:val="24"/>
        </w:rPr>
        <w:t>, [2005] EWHC 2684 (Comm)</w:t>
      </w:r>
    </w:p>
    <w:p w14:paraId="56CB760D" w14:textId="1659EB3B" w:rsidR="00051F41" w:rsidRPr="00E72418" w:rsidRDefault="00051F41" w:rsidP="00051F41">
      <w:pPr>
        <w:pStyle w:val="Paragraphedeliste"/>
        <w:rPr>
          <w:rStyle w:val="apple-converted-space"/>
          <w:rFonts w:ascii="Times New Roman" w:hAnsi="Times New Roman" w:cs="Times New Roman"/>
          <w:sz w:val="14"/>
          <w:szCs w:val="14"/>
          <w:lang w:val="en-US"/>
        </w:rPr>
      </w:pPr>
    </w:p>
    <w:p w14:paraId="2B57948D" w14:textId="33CED346" w:rsidR="00051F41" w:rsidRPr="00E72418" w:rsidRDefault="00051F41" w:rsidP="00051F41">
      <w:pPr>
        <w:pStyle w:val="Paragraphedeliste"/>
        <w:rPr>
          <w:rStyle w:val="apple-converted-space"/>
          <w:rFonts w:ascii="Times New Roman" w:hAnsi="Times New Roman" w:cs="Times New Roman"/>
          <w:sz w:val="14"/>
          <w:szCs w:val="14"/>
          <w:lang w:val="en-US"/>
        </w:rPr>
      </w:pPr>
    </w:p>
    <w:p w14:paraId="2E166483" w14:textId="77777777" w:rsidR="00051F41" w:rsidRPr="00E72418" w:rsidRDefault="00051F41"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Privy Council (Jersey), 17 juillet 2012, </w:t>
      </w:r>
      <w:r w:rsidRPr="00E72418">
        <w:rPr>
          <w:rFonts w:ascii="Times New Roman" w:hAnsi="Times New Roman" w:cs="Times New Roman"/>
          <w:i/>
          <w:szCs w:val="24"/>
        </w:rPr>
        <w:t>La Générale des Carrières et des Mines v. FG Hemisphere Associates LLC</w:t>
      </w:r>
      <w:r w:rsidRPr="00E72418">
        <w:rPr>
          <w:rFonts w:ascii="Times New Roman" w:hAnsi="Times New Roman" w:cs="Times New Roman"/>
          <w:szCs w:val="24"/>
        </w:rPr>
        <w:t>, [2012] UKPC 27</w:t>
      </w:r>
    </w:p>
    <w:p w14:paraId="2C1AC816" w14:textId="77777777" w:rsidR="00051F41" w:rsidRPr="00E72418" w:rsidRDefault="00051F41" w:rsidP="00051F41">
      <w:pPr>
        <w:pStyle w:val="Paragraphedeliste"/>
        <w:rPr>
          <w:rFonts w:ascii="Times New Roman" w:hAnsi="Times New Roman" w:cs="Times New Roman"/>
          <w:sz w:val="14"/>
          <w:szCs w:val="14"/>
          <w:lang w:val="en-US"/>
        </w:rPr>
      </w:pPr>
    </w:p>
    <w:p w14:paraId="1A7ACD4F" w14:textId="77777777" w:rsidR="00051F41" w:rsidRPr="00E72418" w:rsidRDefault="00051F41" w:rsidP="00051F41">
      <w:pPr>
        <w:pStyle w:val="Paragraphedeliste"/>
        <w:numPr>
          <w:ilvl w:val="0"/>
          <w:numId w:val="10"/>
        </w:numPr>
        <w:spacing w:after="0"/>
        <w:rPr>
          <w:rFonts w:ascii="Times New Roman" w:hAnsi="Times New Roman" w:cs="Times New Roman"/>
          <w:szCs w:val="24"/>
          <w:lang w:val="en-US"/>
        </w:rPr>
      </w:pPr>
      <w:r w:rsidRPr="00E72418">
        <w:rPr>
          <w:rFonts w:ascii="Times New Roman" w:hAnsi="Times New Roman" w:cs="Times New Roman"/>
          <w:szCs w:val="24"/>
        </w:rPr>
        <w:t xml:space="preserve">Court of Appeal (Jersey), 14 juillet 2011, </w:t>
      </w:r>
      <w:r w:rsidRPr="00E72418">
        <w:rPr>
          <w:rFonts w:ascii="Times New Roman" w:hAnsi="Times New Roman" w:cs="Times New Roman"/>
          <w:i/>
          <w:szCs w:val="24"/>
        </w:rPr>
        <w:t>FG Hemisphere Associates LLC v. The Democratic Republic of the Congo, La Générale des Carrières et des Mines and Groupement pour le Traitement du Terril de Lubumbashi Ltd.</w:t>
      </w:r>
      <w:r w:rsidRPr="00E72418">
        <w:rPr>
          <w:rFonts w:ascii="Times New Roman" w:hAnsi="Times New Roman" w:cs="Times New Roman"/>
          <w:szCs w:val="24"/>
        </w:rPr>
        <w:t>, [2011] JCA 141</w:t>
      </w:r>
    </w:p>
    <w:p w14:paraId="742316F4" w14:textId="77777777" w:rsidR="00051F41" w:rsidRPr="00E72418" w:rsidRDefault="00051F41" w:rsidP="00051F41">
      <w:pPr>
        <w:pStyle w:val="Paragraphedeliste"/>
        <w:rPr>
          <w:rFonts w:ascii="Times New Roman" w:hAnsi="Times New Roman" w:cs="Times New Roman"/>
          <w:sz w:val="14"/>
          <w:szCs w:val="14"/>
          <w:lang w:val="en-US"/>
        </w:rPr>
      </w:pPr>
    </w:p>
    <w:p w14:paraId="22ED549B" w14:textId="77777777" w:rsidR="00025A8C" w:rsidRPr="00E72418" w:rsidRDefault="00051F41" w:rsidP="007D7D59">
      <w:pPr>
        <w:pStyle w:val="Paragraphedeliste"/>
        <w:numPr>
          <w:ilvl w:val="0"/>
          <w:numId w:val="10"/>
        </w:numPr>
        <w:spacing w:after="0"/>
      </w:pPr>
      <w:r w:rsidRPr="00E72418">
        <w:rPr>
          <w:rFonts w:ascii="Times New Roman" w:hAnsi="Times New Roman" w:cs="Times New Roman"/>
          <w:szCs w:val="24"/>
        </w:rPr>
        <w:t xml:space="preserve">Royal Court (Jersey), 27 octobre 2010, </w:t>
      </w:r>
      <w:r w:rsidRPr="00E72418">
        <w:rPr>
          <w:rFonts w:ascii="Times New Roman" w:hAnsi="Times New Roman" w:cs="Times New Roman"/>
          <w:i/>
          <w:szCs w:val="24"/>
        </w:rPr>
        <w:t>FG Hemisphere Associates LLC v. The Democratic Republic of Congo and La Générale des Carrières et des Mines</w:t>
      </w:r>
      <w:r w:rsidRPr="00E72418">
        <w:rPr>
          <w:rFonts w:ascii="Times New Roman" w:hAnsi="Times New Roman" w:cs="Times New Roman"/>
          <w:szCs w:val="24"/>
        </w:rPr>
        <w:t>, [2010] JRC 195</w:t>
      </w:r>
      <w:bookmarkStart w:id="528" w:name="_Toc84541046"/>
    </w:p>
    <w:p w14:paraId="4714C115" w14:textId="77777777" w:rsidR="00025A8C" w:rsidRPr="00E72418" w:rsidRDefault="00025A8C" w:rsidP="00025A8C">
      <w:pPr>
        <w:pStyle w:val="Paragraphedeliste"/>
      </w:pPr>
    </w:p>
    <w:p w14:paraId="4745E2A9" w14:textId="77777777" w:rsidR="00025A8C" w:rsidRPr="00E72418" w:rsidRDefault="00025A8C" w:rsidP="00025A8C">
      <w:pPr>
        <w:pStyle w:val="Paragraphedeliste"/>
      </w:pPr>
    </w:p>
    <w:p w14:paraId="69D363ED" w14:textId="4157E709" w:rsidR="00A91208" w:rsidRPr="00E72418" w:rsidRDefault="00A91208" w:rsidP="00025A8C">
      <w:pPr>
        <w:pStyle w:val="CC"/>
      </w:pPr>
      <w:r w:rsidRPr="00E72418">
        <w:t>C</w:t>
      </w:r>
      <w:r w:rsidR="007D5A6E" w:rsidRPr="00E72418">
        <w:t>entre international pour le règlement des différends relatifs aux investissements</w:t>
      </w:r>
      <w:bookmarkEnd w:id="528"/>
    </w:p>
    <w:p w14:paraId="266AB2B4" w14:textId="77777777" w:rsidR="00A91208" w:rsidRPr="00E72418" w:rsidRDefault="00A91208" w:rsidP="00A91208">
      <w:pPr>
        <w:pStyle w:val="Paragraphedeliste"/>
        <w:rPr>
          <w:rStyle w:val="Lienhypertexte"/>
          <w:rFonts w:ascii="Times New Roman" w:hAnsi="Times New Roman" w:cs="Times New Roman"/>
          <w:color w:val="auto"/>
          <w:sz w:val="28"/>
          <w:szCs w:val="28"/>
          <w:u w:val="none"/>
        </w:rPr>
      </w:pPr>
    </w:p>
    <w:p w14:paraId="66567596" w14:textId="47F874C3"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9 avril 2015, </w:t>
      </w:r>
      <w:r w:rsidRPr="00E72418">
        <w:rPr>
          <w:rFonts w:ascii="Times New Roman" w:hAnsi="Times New Roman" w:cs="Times New Roman"/>
          <w:i/>
          <w:szCs w:val="24"/>
        </w:rPr>
        <w:t>Poštová Banka, A.S. et Istrokapital SE c. la République hellénique</w:t>
      </w:r>
      <w:r w:rsidRPr="00E72418">
        <w:rPr>
          <w:rFonts w:ascii="Times New Roman" w:hAnsi="Times New Roman" w:cs="Times New Roman"/>
          <w:szCs w:val="24"/>
        </w:rPr>
        <w:t>, case n° ARB/13/8, award</w:t>
      </w:r>
    </w:p>
    <w:p w14:paraId="1DE9DF4D" w14:textId="77777777" w:rsidR="00A91208" w:rsidRPr="00E72418" w:rsidRDefault="00A91208" w:rsidP="00A91208">
      <w:pPr>
        <w:pStyle w:val="Paragraphedeliste"/>
        <w:rPr>
          <w:rFonts w:ascii="Times New Roman" w:hAnsi="Times New Roman" w:cs="Times New Roman"/>
          <w:sz w:val="14"/>
          <w:szCs w:val="14"/>
        </w:rPr>
      </w:pPr>
    </w:p>
    <w:p w14:paraId="30283E5A" w14:textId="4F964B2F"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4 août 2011, </w:t>
      </w:r>
      <w:r w:rsidRPr="00E72418">
        <w:rPr>
          <w:rFonts w:ascii="Times New Roman" w:hAnsi="Times New Roman" w:cs="Times New Roman"/>
          <w:i/>
          <w:szCs w:val="24"/>
        </w:rPr>
        <w:t>Abaclat et al. c. la République argentine</w:t>
      </w:r>
      <w:r w:rsidRPr="00E72418">
        <w:rPr>
          <w:rFonts w:ascii="Times New Roman" w:hAnsi="Times New Roman" w:cs="Times New Roman"/>
          <w:szCs w:val="24"/>
        </w:rPr>
        <w:t>, case n° ARB/07/5, decision on jurisdiction and admissibility</w:t>
      </w:r>
    </w:p>
    <w:p w14:paraId="12ECD113" w14:textId="77777777" w:rsidR="00A91208" w:rsidRPr="00E72418" w:rsidRDefault="00A91208" w:rsidP="00A91208">
      <w:pPr>
        <w:pStyle w:val="Paragraphedeliste"/>
        <w:rPr>
          <w:rFonts w:ascii="Times New Roman" w:hAnsi="Times New Roman" w:cs="Times New Roman"/>
          <w:sz w:val="14"/>
          <w:szCs w:val="14"/>
        </w:rPr>
      </w:pPr>
    </w:p>
    <w:p w14:paraId="221D793B" w14:textId="4523E59E"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5 septembre 2008, </w:t>
      </w:r>
      <w:r w:rsidRPr="00E72418">
        <w:rPr>
          <w:rFonts w:ascii="Times New Roman" w:hAnsi="Times New Roman" w:cs="Times New Roman"/>
          <w:i/>
          <w:szCs w:val="24"/>
        </w:rPr>
        <w:t>Continental Casualty Company v. Argentine Republic</w:t>
      </w:r>
      <w:r w:rsidRPr="00E72418">
        <w:rPr>
          <w:rFonts w:ascii="Times New Roman" w:hAnsi="Times New Roman" w:cs="Times New Roman"/>
          <w:szCs w:val="24"/>
        </w:rPr>
        <w:t>, case n° ARB/03/9, award</w:t>
      </w:r>
    </w:p>
    <w:p w14:paraId="5FC0902B" w14:textId="77777777" w:rsidR="00A91208" w:rsidRPr="00E72418" w:rsidRDefault="00A91208" w:rsidP="00A91208">
      <w:pPr>
        <w:pStyle w:val="Paragraphedeliste"/>
        <w:rPr>
          <w:rFonts w:ascii="Times New Roman" w:hAnsi="Times New Roman" w:cs="Times New Roman"/>
          <w:sz w:val="14"/>
          <w:szCs w:val="14"/>
        </w:rPr>
      </w:pPr>
    </w:p>
    <w:p w14:paraId="7967A340" w14:textId="5C5F4085" w:rsidR="00A91208" w:rsidRPr="00E72418" w:rsidRDefault="00A91208" w:rsidP="008D1D70">
      <w:pPr>
        <w:pStyle w:val="Paragraphedeliste"/>
        <w:numPr>
          <w:ilvl w:val="0"/>
          <w:numId w:val="14"/>
        </w:numPr>
        <w:spacing w:after="0"/>
        <w:rPr>
          <w:rFonts w:ascii="Times New Roman" w:hAnsi="Times New Roman" w:cs="Times New Roman"/>
          <w:szCs w:val="24"/>
          <w:lang w:val="fr-BE"/>
        </w:rPr>
      </w:pPr>
      <w:r w:rsidRPr="00E72418">
        <w:rPr>
          <w:rFonts w:ascii="Times New Roman" w:hAnsi="Times New Roman" w:cs="Times New Roman"/>
          <w:szCs w:val="24"/>
        </w:rPr>
        <w:t xml:space="preserve">28 septembre 2007, </w:t>
      </w:r>
      <w:r w:rsidRPr="00E72418">
        <w:rPr>
          <w:rFonts w:ascii="Times New Roman" w:hAnsi="Times New Roman" w:cs="Times New Roman"/>
          <w:i/>
          <w:szCs w:val="24"/>
        </w:rPr>
        <w:t>Sempra Energy International v. The Argentine Republic</w:t>
      </w:r>
      <w:r w:rsidRPr="00E72418">
        <w:rPr>
          <w:rFonts w:ascii="Times New Roman" w:hAnsi="Times New Roman" w:cs="Times New Roman"/>
          <w:szCs w:val="24"/>
          <w:lang w:val="en-US"/>
        </w:rPr>
        <w:t xml:space="preserve">, </w:t>
      </w:r>
      <w:r w:rsidRPr="00E72418">
        <w:rPr>
          <w:rFonts w:ascii="Times New Roman" w:hAnsi="Times New Roman" w:cs="Times New Roman"/>
          <w:szCs w:val="24"/>
        </w:rPr>
        <w:t>case n° ARB/02/16, award</w:t>
      </w:r>
    </w:p>
    <w:p w14:paraId="17EEC218" w14:textId="77777777" w:rsidR="00A91208" w:rsidRPr="00E72418" w:rsidRDefault="00A91208" w:rsidP="00A91208">
      <w:pPr>
        <w:pStyle w:val="Paragraphedeliste"/>
        <w:rPr>
          <w:rFonts w:ascii="Times New Roman" w:hAnsi="Times New Roman" w:cs="Times New Roman"/>
          <w:sz w:val="14"/>
          <w:szCs w:val="14"/>
          <w:lang w:val="fr-BE"/>
        </w:rPr>
      </w:pPr>
    </w:p>
    <w:p w14:paraId="3D98BF4D" w14:textId="17B9F821" w:rsidR="00A91208" w:rsidRPr="00E72418" w:rsidRDefault="00A91208" w:rsidP="008D1D70">
      <w:pPr>
        <w:pStyle w:val="Paragraphedeliste"/>
        <w:numPr>
          <w:ilvl w:val="0"/>
          <w:numId w:val="14"/>
        </w:numPr>
        <w:spacing w:after="0"/>
        <w:rPr>
          <w:rFonts w:ascii="Times New Roman" w:hAnsi="Times New Roman" w:cs="Times New Roman"/>
          <w:szCs w:val="24"/>
          <w:lang w:val="nl-NL"/>
        </w:rPr>
      </w:pPr>
      <w:r w:rsidRPr="00E72418">
        <w:rPr>
          <w:rFonts w:ascii="Times New Roman" w:hAnsi="Times New Roman" w:cs="Times New Roman"/>
          <w:szCs w:val="24"/>
        </w:rPr>
        <w:lastRenderedPageBreak/>
        <w:t xml:space="preserve">25 juillet 2007, </w:t>
      </w:r>
      <w:r w:rsidRPr="00E72418">
        <w:rPr>
          <w:rFonts w:ascii="Times New Roman" w:hAnsi="Times New Roman" w:cs="Times New Roman"/>
          <w:i/>
          <w:szCs w:val="24"/>
        </w:rPr>
        <w:t>LG&amp;E Energy Corp., LG&amp;E Capital Corp., and LG&amp;E International, Inc.v. Argentine Republic</w:t>
      </w:r>
      <w:r w:rsidRPr="00E72418">
        <w:rPr>
          <w:rFonts w:ascii="Times New Roman" w:hAnsi="Times New Roman" w:cs="Times New Roman"/>
          <w:szCs w:val="24"/>
          <w:lang w:val="en-US"/>
        </w:rPr>
        <w:t xml:space="preserve">, </w:t>
      </w:r>
      <w:r w:rsidRPr="00E72418">
        <w:rPr>
          <w:rFonts w:ascii="Times New Roman" w:hAnsi="Times New Roman" w:cs="Times New Roman"/>
          <w:szCs w:val="24"/>
        </w:rPr>
        <w:t>case n° ARB/02/1, award</w:t>
      </w:r>
    </w:p>
    <w:p w14:paraId="27EFC9BC" w14:textId="77777777" w:rsidR="00A91208" w:rsidRPr="00E72418" w:rsidRDefault="00A91208" w:rsidP="00A91208">
      <w:pPr>
        <w:pStyle w:val="Paragraphedeliste"/>
        <w:rPr>
          <w:rFonts w:ascii="Times New Roman" w:hAnsi="Times New Roman" w:cs="Times New Roman"/>
          <w:sz w:val="14"/>
          <w:szCs w:val="14"/>
        </w:rPr>
      </w:pPr>
    </w:p>
    <w:p w14:paraId="351B0631" w14:textId="41898CC7"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lang w:val="en-US"/>
        </w:rPr>
        <w:t xml:space="preserve">3 octobre 2006, </w:t>
      </w:r>
      <w:r w:rsidRPr="00E72418">
        <w:rPr>
          <w:rFonts w:ascii="Times New Roman" w:hAnsi="Times New Roman" w:cs="Times New Roman"/>
          <w:i/>
          <w:szCs w:val="24"/>
          <w:lang w:val="en-US"/>
        </w:rPr>
        <w:t>LG&amp;E Energy Corp., LG&amp;E Capital Corp. and LG&amp;E International Inc. v. Argentine Republic</w:t>
      </w:r>
      <w:r w:rsidRPr="00E72418">
        <w:rPr>
          <w:rFonts w:ascii="Times New Roman" w:hAnsi="Times New Roman" w:cs="Times New Roman"/>
          <w:szCs w:val="24"/>
          <w:lang w:val="en-US"/>
        </w:rPr>
        <w:t>, case nº ARB/02/1, decision on liability</w:t>
      </w:r>
    </w:p>
    <w:p w14:paraId="68C957EC" w14:textId="77777777" w:rsidR="00A91208" w:rsidRPr="00E72418" w:rsidRDefault="00A91208" w:rsidP="00A91208">
      <w:pPr>
        <w:pStyle w:val="Paragraphedeliste"/>
        <w:rPr>
          <w:rFonts w:ascii="Times New Roman" w:hAnsi="Times New Roman" w:cs="Times New Roman"/>
          <w:sz w:val="14"/>
          <w:szCs w:val="14"/>
        </w:rPr>
      </w:pPr>
    </w:p>
    <w:p w14:paraId="0F3ED593" w14:textId="1142C57D"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12 mai 2005, </w:t>
      </w:r>
      <w:r w:rsidRPr="00E72418">
        <w:rPr>
          <w:rFonts w:ascii="Times New Roman" w:hAnsi="Times New Roman" w:cs="Times New Roman"/>
          <w:i/>
          <w:szCs w:val="24"/>
          <w:lang w:val="fr-BE" w:eastAsia="fr-BE"/>
        </w:rPr>
        <w:t>CMS Gas Transmission Company v. The Republic of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rPr>
        <w:t>case n° ARB/01/8, award</w:t>
      </w:r>
    </w:p>
    <w:p w14:paraId="78941DE6" w14:textId="77777777" w:rsidR="00A91208" w:rsidRPr="00E72418" w:rsidRDefault="00A91208" w:rsidP="00A91208">
      <w:pPr>
        <w:pStyle w:val="Paragraphedeliste"/>
        <w:rPr>
          <w:rFonts w:ascii="Times New Roman" w:hAnsi="Times New Roman" w:cs="Times New Roman"/>
          <w:sz w:val="14"/>
          <w:szCs w:val="14"/>
        </w:rPr>
      </w:pPr>
    </w:p>
    <w:p w14:paraId="654BF4EB" w14:textId="00242489"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lang w:eastAsia="fr-BE"/>
        </w:rPr>
        <w:t xml:space="preserve">31 juillet 2001, </w:t>
      </w:r>
      <w:r w:rsidRPr="00E72418">
        <w:rPr>
          <w:rFonts w:ascii="Times New Roman" w:hAnsi="Times New Roman" w:cs="Times New Roman"/>
          <w:i/>
          <w:szCs w:val="24"/>
          <w:lang w:eastAsia="fr-BE"/>
        </w:rPr>
        <w:t>Salini Costruttori S.p.A. and Italstrade S.p.A. c. le Royaume du Maroc</w:t>
      </w:r>
      <w:r w:rsidRPr="00E72418">
        <w:rPr>
          <w:rFonts w:ascii="Times New Roman" w:hAnsi="Times New Roman" w:cs="Times New Roman"/>
          <w:szCs w:val="24"/>
          <w:lang w:eastAsia="fr-BE"/>
        </w:rPr>
        <w:t xml:space="preserve">, case n° ARB/00/4, </w:t>
      </w:r>
      <w:r w:rsidRPr="00E72418">
        <w:rPr>
          <w:rFonts w:ascii="Times New Roman" w:hAnsi="Times New Roman" w:cs="Times New Roman"/>
          <w:szCs w:val="24"/>
        </w:rPr>
        <w:t>decision on jurisdiction</w:t>
      </w:r>
    </w:p>
    <w:p w14:paraId="2DFFB8A9" w14:textId="77777777" w:rsidR="00A91208" w:rsidRPr="00E72418" w:rsidRDefault="00A91208" w:rsidP="00A91208">
      <w:pPr>
        <w:pStyle w:val="Paragraphedeliste"/>
        <w:rPr>
          <w:rFonts w:ascii="Times New Roman" w:hAnsi="Times New Roman" w:cs="Times New Roman"/>
          <w:sz w:val="14"/>
          <w:szCs w:val="14"/>
        </w:rPr>
      </w:pPr>
    </w:p>
    <w:p w14:paraId="4E53B93E" w14:textId="32634DB3" w:rsidR="00A91208" w:rsidRPr="00E72418" w:rsidRDefault="00A91208" w:rsidP="00A91208">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24 mai 1999, </w:t>
      </w:r>
      <w:r w:rsidRPr="00E72418">
        <w:rPr>
          <w:rFonts w:ascii="Times New Roman" w:hAnsi="Times New Roman" w:cs="Times New Roman"/>
          <w:i/>
          <w:szCs w:val="24"/>
        </w:rPr>
        <w:t>Ceskoslovenska Obchodni Banka a.s. c. la République slovaque</w:t>
      </w:r>
      <w:r w:rsidRPr="00E72418">
        <w:rPr>
          <w:rFonts w:ascii="Times New Roman" w:hAnsi="Times New Roman" w:cs="Times New Roman"/>
          <w:szCs w:val="24"/>
        </w:rPr>
        <w:t>, case n° ARB/97/4, decision on objections to jurisdiction</w:t>
      </w:r>
    </w:p>
    <w:p w14:paraId="10AA932E" w14:textId="77777777" w:rsidR="00025A8C" w:rsidRPr="00E72418" w:rsidRDefault="00025A8C" w:rsidP="00025A8C">
      <w:pPr>
        <w:pStyle w:val="Paragraphedeliste"/>
        <w:spacing w:after="0"/>
        <w:rPr>
          <w:rFonts w:ascii="Times New Roman" w:hAnsi="Times New Roman" w:cs="Times New Roman"/>
          <w:sz w:val="14"/>
          <w:szCs w:val="14"/>
        </w:rPr>
      </w:pPr>
    </w:p>
    <w:p w14:paraId="7CF65EFB" w14:textId="08ED3F85" w:rsidR="00A91208" w:rsidRPr="00E72418" w:rsidRDefault="00A91208" w:rsidP="008D1D70">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11 juillet 1997, </w:t>
      </w:r>
      <w:r w:rsidRPr="00E72418">
        <w:rPr>
          <w:rFonts w:ascii="Times New Roman" w:hAnsi="Times New Roman" w:cs="Times New Roman"/>
          <w:i/>
          <w:szCs w:val="24"/>
        </w:rPr>
        <w:t>Fedax N.V. c. la République bolivarienne du Venezuela</w:t>
      </w:r>
      <w:r w:rsidRPr="00E72418">
        <w:rPr>
          <w:rFonts w:ascii="Times New Roman" w:hAnsi="Times New Roman" w:cs="Times New Roman"/>
          <w:szCs w:val="24"/>
        </w:rPr>
        <w:t>, case n° ARB/96/3, decision on objections to jurisdiction</w:t>
      </w:r>
    </w:p>
    <w:p w14:paraId="7DA7A80D" w14:textId="77777777" w:rsidR="007D5A6E" w:rsidRPr="00E72418" w:rsidRDefault="007D5A6E" w:rsidP="007D5A6E">
      <w:pPr>
        <w:pStyle w:val="Paragraphedeliste"/>
        <w:rPr>
          <w:rFonts w:ascii="Times New Roman" w:hAnsi="Times New Roman" w:cs="Times New Roman"/>
          <w:sz w:val="14"/>
          <w:szCs w:val="14"/>
        </w:rPr>
      </w:pPr>
    </w:p>
    <w:p w14:paraId="41AA393E" w14:textId="2389D752"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i/>
          <w:szCs w:val="24"/>
        </w:rPr>
        <w:t>Gramercy Funds Management LLC and Gramercy Peru Holdings LLC v. Republic of Peru</w:t>
      </w:r>
      <w:r w:rsidRPr="00E72418">
        <w:rPr>
          <w:rFonts w:ascii="Times New Roman" w:hAnsi="Times New Roman" w:cs="Times New Roman"/>
          <w:szCs w:val="24"/>
        </w:rPr>
        <w:t xml:space="preserve">, case n° UNCT/18/2, documents relatifs à l’affaire en cours disponibles à l’adresse </w:t>
      </w:r>
      <w:hyperlink r:id="rId56" w:history="1">
        <w:r w:rsidRPr="00E72418">
          <w:rPr>
            <w:rStyle w:val="Lienhypertexte"/>
            <w:rFonts w:ascii="Times New Roman" w:hAnsi="Times New Roman" w:cs="Times New Roman"/>
            <w:color w:val="auto"/>
            <w:szCs w:val="24"/>
            <w:u w:val="none"/>
          </w:rPr>
          <w:t>www.italaw.com/cases/3879</w:t>
        </w:r>
      </w:hyperlink>
    </w:p>
    <w:p w14:paraId="5F22EE60" w14:textId="38054CE7" w:rsidR="007D5A6E" w:rsidRPr="00E72418" w:rsidRDefault="007D5A6E" w:rsidP="007D5A6E">
      <w:pPr>
        <w:pStyle w:val="Paragraphedeliste"/>
        <w:rPr>
          <w:rFonts w:ascii="Times New Roman" w:hAnsi="Times New Roman" w:cs="Times New Roman"/>
          <w:szCs w:val="24"/>
        </w:rPr>
      </w:pPr>
    </w:p>
    <w:p w14:paraId="3E63FF60" w14:textId="77777777" w:rsidR="00025A8C" w:rsidRPr="00E72418" w:rsidRDefault="00025A8C" w:rsidP="007D5A6E">
      <w:pPr>
        <w:pStyle w:val="Paragraphedeliste"/>
        <w:rPr>
          <w:rFonts w:ascii="Times New Roman" w:hAnsi="Times New Roman" w:cs="Times New Roman"/>
          <w:szCs w:val="24"/>
        </w:rPr>
      </w:pPr>
    </w:p>
    <w:p w14:paraId="05FD4934" w14:textId="77777777" w:rsidR="007D5A6E" w:rsidRPr="00E72418" w:rsidRDefault="007D5A6E" w:rsidP="007D5A6E">
      <w:pPr>
        <w:pStyle w:val="CC"/>
      </w:pPr>
      <w:bookmarkStart w:id="529" w:name="_Toc84541045"/>
      <w:r w:rsidRPr="00E72418">
        <w:t>Autres</w:t>
      </w:r>
      <w:bookmarkEnd w:id="529"/>
    </w:p>
    <w:p w14:paraId="418C3713" w14:textId="77777777" w:rsidR="00025A8C" w:rsidRPr="00E72418" w:rsidRDefault="00025A8C" w:rsidP="00025A8C">
      <w:pPr>
        <w:pStyle w:val="Paragraphedeliste"/>
        <w:spacing w:after="0"/>
        <w:rPr>
          <w:rFonts w:ascii="Times New Roman" w:hAnsi="Times New Roman" w:cs="Times New Roman"/>
          <w:sz w:val="28"/>
          <w:szCs w:val="28"/>
        </w:rPr>
      </w:pPr>
    </w:p>
    <w:p w14:paraId="259C837A" w14:textId="4D39E828"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Court of final appeal of the Hong Kong Special administrative Region, 8 juin 2011, </w:t>
      </w:r>
      <w:r w:rsidRPr="00E72418">
        <w:rPr>
          <w:rFonts w:ascii="Times New Roman" w:hAnsi="Times New Roman" w:cs="Times New Roman"/>
          <w:i/>
          <w:szCs w:val="24"/>
        </w:rPr>
        <w:t>Democratic Republic of the Congo and others v. FG Hemisphere Associates LLC</w:t>
      </w:r>
      <w:r w:rsidRPr="00E72418">
        <w:rPr>
          <w:rFonts w:ascii="Times New Roman" w:hAnsi="Times New Roman" w:cs="Times New Roman"/>
          <w:szCs w:val="24"/>
        </w:rPr>
        <w:t>, final appeal 5, 6 &amp; 7 of 2010</w:t>
      </w:r>
    </w:p>
    <w:p w14:paraId="006CB39E" w14:textId="3E6C7657" w:rsidR="007D5A6E" w:rsidRPr="00E72418" w:rsidRDefault="007D5A6E" w:rsidP="007D5A6E">
      <w:pPr>
        <w:pStyle w:val="Paragraphedeliste"/>
        <w:rPr>
          <w:rFonts w:ascii="Times New Roman" w:hAnsi="Times New Roman" w:cs="Times New Roman"/>
          <w:sz w:val="14"/>
          <w:szCs w:val="14"/>
        </w:rPr>
      </w:pPr>
    </w:p>
    <w:p w14:paraId="6204AB90" w14:textId="77777777" w:rsidR="00025A8C" w:rsidRPr="00E72418" w:rsidRDefault="00025A8C" w:rsidP="007D5A6E">
      <w:pPr>
        <w:pStyle w:val="Paragraphedeliste"/>
        <w:rPr>
          <w:rFonts w:ascii="Times New Roman" w:hAnsi="Times New Roman" w:cs="Times New Roman"/>
          <w:sz w:val="14"/>
          <w:szCs w:val="14"/>
        </w:rPr>
      </w:pPr>
    </w:p>
    <w:p w14:paraId="5DB0BDDC" w14:textId="08F19CF2"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High Court of the Hong Kong, Special Administrative Region Court of Appeal, 10 février 2010, </w:t>
      </w:r>
      <w:r w:rsidRPr="00E72418">
        <w:rPr>
          <w:rFonts w:ascii="Times New Roman" w:hAnsi="Times New Roman" w:cs="Times New Roman"/>
          <w:i/>
          <w:szCs w:val="24"/>
        </w:rPr>
        <w:t>FG Hemisphere Associates LLC v. Democratic Republic of the Congo, China Railway Group (Hong Kong) Limited and others</w:t>
      </w:r>
      <w:r w:rsidRPr="00E72418">
        <w:rPr>
          <w:rFonts w:ascii="Times New Roman" w:hAnsi="Times New Roman" w:cs="Times New Roman"/>
          <w:szCs w:val="24"/>
        </w:rPr>
        <w:t>, CACV 373/2008 et CACV 43/2009</w:t>
      </w:r>
    </w:p>
    <w:p w14:paraId="381EAB55" w14:textId="66BB7A46" w:rsidR="00025A8C" w:rsidRPr="00E72418" w:rsidRDefault="00025A8C" w:rsidP="00025A8C">
      <w:pPr>
        <w:pStyle w:val="Paragraphedeliste"/>
        <w:spacing w:after="0"/>
        <w:rPr>
          <w:rFonts w:ascii="Times New Roman" w:hAnsi="Times New Roman" w:cs="Times New Roman"/>
          <w:sz w:val="14"/>
          <w:szCs w:val="14"/>
        </w:rPr>
      </w:pPr>
    </w:p>
    <w:p w14:paraId="414EC6A4" w14:textId="77777777" w:rsidR="00025A8C" w:rsidRPr="00E72418" w:rsidRDefault="00025A8C" w:rsidP="00025A8C">
      <w:pPr>
        <w:pStyle w:val="Paragraphedeliste"/>
        <w:spacing w:after="0"/>
        <w:rPr>
          <w:rFonts w:ascii="Times New Roman" w:hAnsi="Times New Roman" w:cs="Times New Roman"/>
          <w:sz w:val="14"/>
          <w:szCs w:val="14"/>
        </w:rPr>
      </w:pPr>
    </w:p>
    <w:p w14:paraId="40AF76E4" w14:textId="2891A54D" w:rsidR="00025A8C" w:rsidRPr="00E72418" w:rsidRDefault="00025A8C" w:rsidP="00025A8C">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New South Wales Supreme Court, 1</w:t>
      </w:r>
      <w:r w:rsidRPr="00E72418">
        <w:rPr>
          <w:rFonts w:ascii="Times New Roman" w:hAnsi="Times New Roman" w:cs="Times New Roman"/>
          <w:szCs w:val="24"/>
          <w:vertAlign w:val="superscript"/>
        </w:rPr>
        <w:t>er</w:t>
      </w:r>
      <w:r w:rsidRPr="00E72418">
        <w:rPr>
          <w:rFonts w:ascii="Times New Roman" w:hAnsi="Times New Roman" w:cs="Times New Roman"/>
          <w:szCs w:val="24"/>
        </w:rPr>
        <w:t xml:space="preserve"> novembre 2010, </w:t>
      </w:r>
      <w:r w:rsidRPr="00E72418">
        <w:rPr>
          <w:rFonts w:ascii="Times New Roman" w:hAnsi="Times New Roman" w:cs="Times New Roman"/>
          <w:i/>
          <w:szCs w:val="24"/>
        </w:rPr>
        <w:t>FG Hemisphere Associates LLC v. Democratic Republic of Congo</w:t>
      </w:r>
      <w:r w:rsidRPr="00E72418">
        <w:rPr>
          <w:rFonts w:ascii="Times New Roman" w:hAnsi="Times New Roman" w:cs="Times New Roman"/>
          <w:szCs w:val="24"/>
        </w:rPr>
        <w:t>, [2010] NSWSC 1394</w:t>
      </w:r>
    </w:p>
    <w:p w14:paraId="60708314" w14:textId="706FC5C0" w:rsidR="007D5A6E" w:rsidRPr="00E72418" w:rsidRDefault="007D5A6E" w:rsidP="007D5A6E">
      <w:pPr>
        <w:pStyle w:val="Paragraphedeliste"/>
        <w:rPr>
          <w:rFonts w:ascii="Times New Roman" w:hAnsi="Times New Roman" w:cs="Times New Roman"/>
          <w:sz w:val="14"/>
          <w:szCs w:val="14"/>
        </w:rPr>
      </w:pPr>
    </w:p>
    <w:p w14:paraId="0B024CEA" w14:textId="77777777" w:rsidR="00025A8C" w:rsidRPr="00E72418" w:rsidRDefault="00025A8C" w:rsidP="007D5A6E">
      <w:pPr>
        <w:pStyle w:val="Paragraphedeliste"/>
        <w:rPr>
          <w:rFonts w:ascii="Times New Roman" w:hAnsi="Times New Roman" w:cs="Times New Roman"/>
          <w:sz w:val="14"/>
          <w:szCs w:val="14"/>
        </w:rPr>
      </w:pPr>
    </w:p>
    <w:p w14:paraId="57618529" w14:textId="0A179C20"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lang w:eastAsia="fr-BE"/>
        </w:rPr>
        <w:t>Cass. (I</w:t>
      </w:r>
      <w:r w:rsidR="00CD5C6F" w:rsidRPr="00E72418">
        <w:rPr>
          <w:rFonts w:ascii="Times New Roman" w:hAnsi="Times New Roman" w:cs="Times New Roman"/>
          <w:szCs w:val="24"/>
          <w:lang w:eastAsia="fr-BE"/>
        </w:rPr>
        <w:t>t.</w:t>
      </w:r>
      <w:r w:rsidRPr="00E72418">
        <w:rPr>
          <w:rFonts w:ascii="Times New Roman" w:hAnsi="Times New Roman" w:cs="Times New Roman"/>
          <w:szCs w:val="24"/>
          <w:lang w:eastAsia="fr-BE"/>
        </w:rPr>
        <w:t>), 27 mai 2005, décision n</w:t>
      </w:r>
      <w:r w:rsidRPr="00E72418">
        <w:rPr>
          <w:rStyle w:val="CORPUSanyCharacter"/>
          <w:rFonts w:ascii="Times New Roman" w:hAnsi="Times New Roman" w:cs="Times New Roman"/>
          <w:color w:val="auto"/>
          <w:szCs w:val="24"/>
          <w:vertAlign w:val="superscript"/>
          <w:lang w:eastAsia="fr-BE"/>
        </w:rPr>
        <w:t>o</w:t>
      </w:r>
      <w:r w:rsidRPr="00E72418">
        <w:rPr>
          <w:rFonts w:ascii="Times New Roman" w:hAnsi="Times New Roman" w:cs="Times New Roman"/>
          <w:szCs w:val="24"/>
          <w:lang w:eastAsia="fr-BE"/>
        </w:rPr>
        <w:t> </w:t>
      </w:r>
      <w:r w:rsidRPr="00E72418">
        <w:rPr>
          <w:rStyle w:val="CORPUSanyCharacter"/>
          <w:rFonts w:ascii="Times New Roman" w:hAnsi="Times New Roman" w:cs="Times New Roman"/>
          <w:color w:val="auto"/>
          <w:szCs w:val="24"/>
          <w:lang w:eastAsia="fr-BE"/>
        </w:rPr>
        <w:t>11225</w:t>
      </w:r>
      <w:r w:rsidRPr="00E72418">
        <w:rPr>
          <w:rFonts w:ascii="Times New Roman" w:hAnsi="Times New Roman" w:cs="Times New Roman"/>
          <w:szCs w:val="24"/>
          <w:lang w:eastAsia="fr-BE"/>
        </w:rPr>
        <w:t xml:space="preserve">, </w:t>
      </w:r>
      <w:r w:rsidRPr="00E72418">
        <w:rPr>
          <w:rFonts w:ascii="Times New Roman" w:hAnsi="Times New Roman" w:cs="Times New Roman"/>
          <w:i/>
          <w:szCs w:val="24"/>
          <w:shd w:val="clear" w:color="auto" w:fill="FFFFFF"/>
        </w:rPr>
        <w:t>Rivista di diritto internazionale privato e processuale</w:t>
      </w:r>
      <w:r w:rsidRPr="00E72418">
        <w:rPr>
          <w:rFonts w:ascii="Times New Roman" w:hAnsi="Times New Roman" w:cs="Times New Roman"/>
          <w:szCs w:val="24"/>
          <w:lang w:eastAsia="fr-BE"/>
        </w:rPr>
        <w:t xml:space="preserve">, 2005, </w:t>
      </w:r>
      <w:r w:rsidRPr="00E72418">
        <w:rPr>
          <w:rFonts w:ascii="Times New Roman" w:hAnsi="Times New Roman" w:cs="Times New Roman"/>
          <w:szCs w:val="24"/>
        </w:rPr>
        <w:t>p. 1091</w:t>
      </w:r>
    </w:p>
    <w:p w14:paraId="533E4924" w14:textId="714FD8BA" w:rsidR="007D5A6E" w:rsidRPr="00E72418" w:rsidRDefault="007D5A6E" w:rsidP="007D5A6E">
      <w:pPr>
        <w:pStyle w:val="Paragraphedeliste"/>
        <w:rPr>
          <w:rFonts w:ascii="Times New Roman" w:hAnsi="Times New Roman" w:cs="Times New Roman"/>
          <w:sz w:val="14"/>
          <w:szCs w:val="14"/>
        </w:rPr>
      </w:pPr>
    </w:p>
    <w:p w14:paraId="1F3A5DEB" w14:textId="77777777" w:rsidR="00025A8C" w:rsidRPr="00E72418" w:rsidRDefault="00025A8C" w:rsidP="007D5A6E">
      <w:pPr>
        <w:pStyle w:val="Paragraphedeliste"/>
        <w:rPr>
          <w:rFonts w:ascii="Times New Roman" w:hAnsi="Times New Roman" w:cs="Times New Roman"/>
          <w:sz w:val="14"/>
          <w:szCs w:val="14"/>
        </w:rPr>
      </w:pPr>
    </w:p>
    <w:p w14:paraId="1788BC5A" w14:textId="77777777"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Cour suprême de justice de la Nation (Arg.), 6 mars 2014, </w:t>
      </w:r>
      <w:r w:rsidRPr="00E72418">
        <w:rPr>
          <w:rFonts w:ascii="Times New Roman" w:hAnsi="Times New Roman" w:cs="Times New Roman"/>
          <w:i/>
          <w:szCs w:val="24"/>
        </w:rPr>
        <w:t>Claren Corporation c/ Estado Nacional</w:t>
      </w:r>
    </w:p>
    <w:p w14:paraId="73AE8D1A" w14:textId="77777777" w:rsidR="007D5A6E" w:rsidRPr="00E72418" w:rsidRDefault="007D5A6E" w:rsidP="007D5A6E">
      <w:pPr>
        <w:pStyle w:val="Paragraphedeliste"/>
        <w:rPr>
          <w:rFonts w:ascii="Times New Roman" w:hAnsi="Times New Roman" w:cs="Times New Roman"/>
          <w:sz w:val="14"/>
          <w:szCs w:val="14"/>
        </w:rPr>
      </w:pPr>
    </w:p>
    <w:p w14:paraId="0A68186F" w14:textId="77777777"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 xml:space="preserve">Cour suprême de justice de la Nation (Arg.), 11 novembre 2014, </w:t>
      </w:r>
      <w:r w:rsidRPr="00E72418">
        <w:rPr>
          <w:rFonts w:ascii="Times New Roman" w:hAnsi="Times New Roman" w:cs="Times New Roman"/>
          <w:i/>
          <w:szCs w:val="24"/>
        </w:rPr>
        <w:t xml:space="preserve">Crostelli, Fernando y otros c. EN </w:t>
      </w:r>
      <w:r w:rsidRPr="00E72418">
        <w:rPr>
          <w:rFonts w:ascii="Times New Roman" w:hAnsi="Times New Roman" w:cs="Times New Roman"/>
          <w:b/>
          <w:i/>
          <w:szCs w:val="24"/>
        </w:rPr>
        <w:t xml:space="preserve">– </w:t>
      </w:r>
      <w:r w:rsidRPr="00E72418">
        <w:rPr>
          <w:rFonts w:ascii="Times New Roman" w:hAnsi="Times New Roman" w:cs="Times New Roman"/>
          <w:i/>
          <w:szCs w:val="24"/>
        </w:rPr>
        <w:t>M. Economía</w:t>
      </w:r>
    </w:p>
    <w:p w14:paraId="567E02B6" w14:textId="206A4EE8" w:rsidR="007D5A6E" w:rsidRPr="00E72418" w:rsidRDefault="007D5A6E" w:rsidP="007D5A6E">
      <w:pPr>
        <w:pStyle w:val="Paragraphedeliste"/>
        <w:rPr>
          <w:rFonts w:ascii="Times New Roman" w:hAnsi="Times New Roman" w:cs="Times New Roman"/>
          <w:sz w:val="14"/>
          <w:szCs w:val="14"/>
        </w:rPr>
      </w:pPr>
    </w:p>
    <w:p w14:paraId="2961EE6D" w14:textId="77777777" w:rsidR="00025A8C" w:rsidRPr="00E72418" w:rsidRDefault="00025A8C" w:rsidP="007D5A6E">
      <w:pPr>
        <w:pStyle w:val="Paragraphedeliste"/>
        <w:rPr>
          <w:rFonts w:ascii="Times New Roman" w:hAnsi="Times New Roman" w:cs="Times New Roman"/>
          <w:sz w:val="14"/>
          <w:szCs w:val="14"/>
        </w:rPr>
      </w:pPr>
    </w:p>
    <w:p w14:paraId="3B3AD649" w14:textId="3D1AF673"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lang w:val="en-US"/>
        </w:rPr>
        <w:t>Hoge Raad (P</w:t>
      </w:r>
      <w:r w:rsidR="00706787">
        <w:rPr>
          <w:rFonts w:ascii="Times New Roman" w:hAnsi="Times New Roman" w:cs="Times New Roman"/>
          <w:szCs w:val="24"/>
          <w:lang w:val="en-US"/>
        </w:rPr>
        <w:t>.</w:t>
      </w:r>
      <w:r w:rsidRPr="00E72418">
        <w:rPr>
          <w:rFonts w:ascii="Times New Roman" w:hAnsi="Times New Roman" w:cs="Times New Roman"/>
          <w:szCs w:val="24"/>
          <w:lang w:val="en-US"/>
        </w:rPr>
        <w:t>-B</w:t>
      </w:r>
      <w:r w:rsidR="00706787">
        <w:rPr>
          <w:rFonts w:ascii="Times New Roman" w:hAnsi="Times New Roman" w:cs="Times New Roman"/>
          <w:szCs w:val="24"/>
          <w:lang w:val="en-US"/>
        </w:rPr>
        <w:t>.</w:t>
      </w:r>
      <w:r w:rsidRPr="00E72418">
        <w:rPr>
          <w:rFonts w:ascii="Times New Roman" w:hAnsi="Times New Roman" w:cs="Times New Roman"/>
          <w:szCs w:val="24"/>
          <w:lang w:val="en-US"/>
        </w:rPr>
        <w:t xml:space="preserve">), 3 mai 1985, </w:t>
      </w:r>
      <w:r w:rsidRPr="00E72418">
        <w:rPr>
          <w:rFonts w:ascii="Times New Roman" w:hAnsi="Times New Roman" w:cs="Times New Roman"/>
          <w:i/>
          <w:szCs w:val="24"/>
          <w:lang w:val="en-US"/>
        </w:rPr>
        <w:t>Vriesde v. The State of the Netherlands and the National Bank for Developing Countries</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Netherland Yearbook of International Law</w:t>
      </w:r>
      <w:r w:rsidRPr="00E72418">
        <w:rPr>
          <w:rFonts w:ascii="Times New Roman" w:hAnsi="Times New Roman" w:cs="Times New Roman"/>
          <w:szCs w:val="24"/>
          <w:lang w:val="en-US"/>
        </w:rPr>
        <w:t>, 1986</w:t>
      </w:r>
    </w:p>
    <w:p w14:paraId="5B3B8403" w14:textId="4D007FB3" w:rsidR="007D5A6E" w:rsidRPr="00E72418" w:rsidRDefault="007D5A6E" w:rsidP="007D5A6E">
      <w:pPr>
        <w:pStyle w:val="Paragraphedeliste"/>
        <w:rPr>
          <w:rFonts w:ascii="Times New Roman" w:hAnsi="Times New Roman" w:cs="Times New Roman"/>
          <w:sz w:val="14"/>
          <w:szCs w:val="14"/>
        </w:rPr>
      </w:pPr>
    </w:p>
    <w:p w14:paraId="272FE18D" w14:textId="77777777" w:rsidR="00025A8C" w:rsidRPr="00E72418" w:rsidRDefault="00025A8C" w:rsidP="007D5A6E">
      <w:pPr>
        <w:pStyle w:val="Paragraphedeliste"/>
        <w:rPr>
          <w:rFonts w:ascii="Times New Roman" w:hAnsi="Times New Roman" w:cs="Times New Roman"/>
          <w:sz w:val="14"/>
          <w:szCs w:val="14"/>
        </w:rPr>
      </w:pPr>
    </w:p>
    <w:p w14:paraId="15444A99" w14:textId="77777777"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lang w:val="en-US"/>
        </w:rPr>
        <w:t>Bundesverfassungsgericht (All.)</w:t>
      </w:r>
      <w:r w:rsidRPr="00E72418">
        <w:rPr>
          <w:rFonts w:ascii="Times New Roman" w:hAnsi="Times New Roman" w:cs="Times New Roman"/>
          <w:szCs w:val="24"/>
        </w:rPr>
        <w:t xml:space="preserve">, </w:t>
      </w:r>
      <w:r w:rsidRPr="00E72418">
        <w:rPr>
          <w:rFonts w:ascii="Times New Roman" w:hAnsi="Times New Roman" w:cs="Times New Roman"/>
          <w:szCs w:val="24"/>
          <w:lang w:eastAsia="fr-BE"/>
        </w:rPr>
        <w:t>8 mai 2007, 2 BvM 1-5/03, 1, 2/06, sommaire</w:t>
      </w:r>
    </w:p>
    <w:p w14:paraId="77EE8B72" w14:textId="77777777" w:rsidR="007D5A6E" w:rsidRPr="00E72418" w:rsidRDefault="007D5A6E" w:rsidP="007D5A6E">
      <w:pPr>
        <w:pStyle w:val="Paragraphedeliste"/>
        <w:rPr>
          <w:rFonts w:ascii="Times New Roman" w:hAnsi="Times New Roman" w:cs="Times New Roman"/>
          <w:sz w:val="14"/>
          <w:szCs w:val="14"/>
        </w:rPr>
      </w:pPr>
    </w:p>
    <w:p w14:paraId="156899A4" w14:textId="77777777"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lastRenderedPageBreak/>
        <w:t>Bundesgerichtshof (All.), 24 février 2015, XI ZR 47/14</w:t>
      </w:r>
    </w:p>
    <w:p w14:paraId="68DADA8E" w14:textId="77777777" w:rsidR="007D5A6E" w:rsidRPr="00E72418" w:rsidRDefault="007D5A6E" w:rsidP="007D5A6E">
      <w:pPr>
        <w:pStyle w:val="Paragraphedeliste"/>
        <w:rPr>
          <w:rFonts w:ascii="Times New Roman" w:hAnsi="Times New Roman" w:cs="Times New Roman"/>
          <w:sz w:val="14"/>
          <w:szCs w:val="14"/>
        </w:rPr>
      </w:pPr>
    </w:p>
    <w:p w14:paraId="2EFF5958" w14:textId="77777777" w:rsidR="007D5A6E" w:rsidRPr="00E72418" w:rsidRDefault="007D5A6E" w:rsidP="007D5A6E">
      <w:pPr>
        <w:pStyle w:val="Paragraphedeliste"/>
        <w:numPr>
          <w:ilvl w:val="0"/>
          <w:numId w:val="14"/>
        </w:numPr>
        <w:spacing w:after="0"/>
        <w:rPr>
          <w:rFonts w:ascii="Times New Roman" w:hAnsi="Times New Roman" w:cs="Times New Roman"/>
          <w:szCs w:val="24"/>
        </w:rPr>
      </w:pPr>
      <w:r w:rsidRPr="00E72418">
        <w:rPr>
          <w:rFonts w:ascii="Times New Roman" w:hAnsi="Times New Roman" w:cs="Times New Roman"/>
          <w:szCs w:val="24"/>
        </w:rPr>
        <w:t>Bundesgerichtshof (All.), 24 février 2015, XI ZR 193/14</w:t>
      </w:r>
    </w:p>
    <w:p w14:paraId="745C53BA" w14:textId="77777777" w:rsidR="007D5A6E" w:rsidRPr="00E72418" w:rsidRDefault="007D5A6E" w:rsidP="00025A8C">
      <w:pPr>
        <w:pStyle w:val="Paragraphedeliste"/>
        <w:spacing w:after="0"/>
        <w:rPr>
          <w:rFonts w:ascii="Times New Roman" w:hAnsi="Times New Roman" w:cs="Times New Roman"/>
          <w:sz w:val="36"/>
          <w:szCs w:val="36"/>
        </w:rPr>
      </w:pPr>
    </w:p>
    <w:p w14:paraId="589085F3" w14:textId="77777777" w:rsidR="00B91DB7" w:rsidRPr="00E72418" w:rsidRDefault="00B91DB7">
      <w:pPr>
        <w:jc w:val="left"/>
        <w:rPr>
          <w:rFonts w:ascii="Times New Roman" w:eastAsiaTheme="majorEastAsia" w:hAnsi="Times New Roman" w:cstheme="majorBidi"/>
          <w:i/>
          <w:sz w:val="36"/>
          <w:szCs w:val="36"/>
        </w:rPr>
      </w:pPr>
      <w:bookmarkStart w:id="530" w:name="_Toc84541047"/>
      <w:r w:rsidRPr="00E72418">
        <w:rPr>
          <w:szCs w:val="36"/>
        </w:rPr>
        <w:br w:type="page"/>
      </w:r>
    </w:p>
    <w:p w14:paraId="37D3017F" w14:textId="0BB2771F" w:rsidR="00A91208" w:rsidRPr="00E72418" w:rsidRDefault="00A91208" w:rsidP="00A91208">
      <w:pPr>
        <w:pStyle w:val="BB"/>
        <w:rPr>
          <w:szCs w:val="36"/>
        </w:rPr>
      </w:pPr>
      <w:r w:rsidRPr="00E72418">
        <w:rPr>
          <w:szCs w:val="36"/>
        </w:rPr>
        <w:lastRenderedPageBreak/>
        <w:t>Doctrine</w:t>
      </w:r>
      <w:bookmarkEnd w:id="530"/>
    </w:p>
    <w:p w14:paraId="1730928F" w14:textId="77777777" w:rsidR="00025A8C" w:rsidRPr="00E72418" w:rsidRDefault="00025A8C" w:rsidP="00594AC2">
      <w:pPr>
        <w:rPr>
          <w:sz w:val="32"/>
          <w:szCs w:val="32"/>
        </w:rPr>
      </w:pPr>
    </w:p>
    <w:p w14:paraId="0A84E64B" w14:textId="1421C429" w:rsidR="00A91208" w:rsidRPr="00E72418" w:rsidRDefault="00263A84" w:rsidP="00025A8C">
      <w:pPr>
        <w:pStyle w:val="CC"/>
      </w:pPr>
      <w:r w:rsidRPr="00E72418">
        <w:t>Ouvrages</w:t>
      </w:r>
    </w:p>
    <w:p w14:paraId="6E6F02A1" w14:textId="77777777" w:rsidR="00025A8C" w:rsidRPr="00E72418" w:rsidRDefault="00025A8C" w:rsidP="00594AC2">
      <w:pPr>
        <w:rPr>
          <w:sz w:val="28"/>
          <w:szCs w:val="28"/>
        </w:rPr>
      </w:pPr>
    </w:p>
    <w:p w14:paraId="27837548"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Berger</w:t>
      </w:r>
      <w:r w:rsidRPr="00E72418">
        <w:rPr>
          <w:rFonts w:ascii="Times New Roman" w:hAnsi="Times New Roman" w:cs="Times New Roman"/>
          <w:szCs w:val="24"/>
        </w:rPr>
        <w:t xml:space="preserve">, A., </w:t>
      </w:r>
      <w:r w:rsidRPr="00E72418">
        <w:rPr>
          <w:rFonts w:ascii="Times New Roman" w:hAnsi="Times New Roman" w:cs="Times New Roman"/>
          <w:i/>
          <w:szCs w:val="24"/>
        </w:rPr>
        <w:t>Encyclopedic Dictionary of Roman Law</w:t>
      </w:r>
      <w:r w:rsidRPr="00E72418">
        <w:rPr>
          <w:rFonts w:ascii="Times New Roman" w:hAnsi="Times New Roman" w:cs="Times New Roman"/>
          <w:szCs w:val="24"/>
        </w:rPr>
        <w:t>, The American Philosophical Society, 1953</w:t>
      </w:r>
    </w:p>
    <w:p w14:paraId="7937212C" w14:textId="77777777" w:rsidR="00A91208" w:rsidRPr="00E72418" w:rsidRDefault="00A91208" w:rsidP="00A91208">
      <w:pPr>
        <w:pStyle w:val="Paragraphedeliste"/>
        <w:rPr>
          <w:rFonts w:ascii="Times New Roman" w:hAnsi="Times New Roman" w:cs="Times New Roman"/>
          <w:sz w:val="14"/>
          <w:szCs w:val="14"/>
          <w:lang w:val="en-US"/>
        </w:rPr>
      </w:pPr>
    </w:p>
    <w:p w14:paraId="530082E7" w14:textId="57944903"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Birdsall</w:t>
      </w:r>
      <w:r w:rsidRPr="00E72418">
        <w:rPr>
          <w:rFonts w:ascii="Times New Roman" w:hAnsi="Times New Roman" w:cs="Times New Roman"/>
          <w:szCs w:val="24"/>
        </w:rPr>
        <w:t xml:space="preserve">, N., </w:t>
      </w:r>
      <w:r w:rsidRPr="00E72418">
        <w:rPr>
          <w:rFonts w:ascii="Times New Roman" w:hAnsi="Times New Roman" w:cs="Times New Roman"/>
          <w:smallCaps/>
          <w:szCs w:val="24"/>
        </w:rPr>
        <w:t>Williamson, J.</w:t>
      </w:r>
      <w:r w:rsidRPr="00E72418">
        <w:rPr>
          <w:rFonts w:ascii="Times New Roman" w:hAnsi="Times New Roman" w:cs="Times New Roman"/>
          <w:szCs w:val="24"/>
        </w:rPr>
        <w:t xml:space="preserve"> et </w:t>
      </w:r>
      <w:r w:rsidRPr="00E72418">
        <w:rPr>
          <w:rFonts w:ascii="Times New Roman" w:hAnsi="Times New Roman" w:cs="Times New Roman"/>
          <w:smallCaps/>
          <w:szCs w:val="24"/>
        </w:rPr>
        <w:t>Deese</w:t>
      </w:r>
      <w:r w:rsidRPr="00E72418">
        <w:rPr>
          <w:rFonts w:ascii="Times New Roman" w:hAnsi="Times New Roman" w:cs="Times New Roman"/>
          <w:szCs w:val="24"/>
        </w:rPr>
        <w:t xml:space="preserve">, B., </w:t>
      </w:r>
      <w:r w:rsidRPr="00E72418">
        <w:rPr>
          <w:rFonts w:ascii="Times New Roman" w:hAnsi="Times New Roman" w:cs="Times New Roman"/>
          <w:i/>
          <w:szCs w:val="24"/>
        </w:rPr>
        <w:t>Deliver</w:t>
      </w:r>
      <w:r w:rsidR="00CD5C6F" w:rsidRPr="00E72418">
        <w:rPr>
          <w:rFonts w:ascii="Times New Roman" w:hAnsi="Times New Roman" w:cs="Times New Roman"/>
          <w:i/>
          <w:szCs w:val="24"/>
        </w:rPr>
        <w:t>ing on Debt Relief –</w:t>
      </w:r>
      <w:r w:rsidRPr="00E72418">
        <w:rPr>
          <w:rFonts w:ascii="Times New Roman" w:hAnsi="Times New Roman" w:cs="Times New Roman"/>
          <w:i/>
          <w:szCs w:val="24"/>
        </w:rPr>
        <w:t xml:space="preserve"> From IMF Gold to a New Aid Architecture</w:t>
      </w:r>
      <w:r w:rsidRPr="00E72418">
        <w:rPr>
          <w:rFonts w:ascii="Times New Roman" w:hAnsi="Times New Roman" w:cs="Times New Roman"/>
          <w:szCs w:val="24"/>
        </w:rPr>
        <w:t>, Center for Global Development and the Institute for International Economics, 2002</w:t>
      </w:r>
    </w:p>
    <w:p w14:paraId="55AAC3BD" w14:textId="77777777" w:rsidR="00A91208" w:rsidRPr="00E72418" w:rsidRDefault="00A91208" w:rsidP="00A91208">
      <w:pPr>
        <w:pStyle w:val="Paragraphedeliste"/>
        <w:rPr>
          <w:rFonts w:ascii="Times New Roman" w:hAnsi="Times New Roman" w:cs="Times New Roman"/>
          <w:sz w:val="14"/>
          <w:szCs w:val="14"/>
          <w:lang w:val="en-US"/>
        </w:rPr>
      </w:pPr>
    </w:p>
    <w:p w14:paraId="1324121D" w14:textId="10169EB4"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Borchard, E</w:t>
      </w:r>
      <w:r w:rsidRPr="00E72418">
        <w:rPr>
          <w:rFonts w:ascii="Times New Roman" w:hAnsi="Times New Roman" w:cs="Times New Roman"/>
          <w:szCs w:val="24"/>
        </w:rPr>
        <w:t xml:space="preserve">., </w:t>
      </w:r>
      <w:r w:rsidRPr="00E72418">
        <w:rPr>
          <w:rFonts w:ascii="Times New Roman" w:hAnsi="Times New Roman" w:cs="Times New Roman"/>
          <w:i/>
          <w:szCs w:val="24"/>
        </w:rPr>
        <w:t>State Insolvency and Foreign Bondholders – General Principles</w:t>
      </w:r>
      <w:r w:rsidRPr="00E72418">
        <w:rPr>
          <w:rFonts w:ascii="Times New Roman" w:hAnsi="Times New Roman" w:cs="Times New Roman"/>
          <w:szCs w:val="24"/>
        </w:rPr>
        <w:t>, Yale University Press, 1951</w:t>
      </w:r>
    </w:p>
    <w:p w14:paraId="11B4733C" w14:textId="77777777" w:rsidR="00953562" w:rsidRPr="00E72418" w:rsidRDefault="00953562" w:rsidP="00953562">
      <w:pPr>
        <w:pStyle w:val="Paragraphedeliste"/>
        <w:rPr>
          <w:rFonts w:ascii="Times New Roman" w:hAnsi="Times New Roman" w:cs="Times New Roman"/>
          <w:sz w:val="14"/>
          <w:szCs w:val="14"/>
          <w:lang w:val="en-US"/>
        </w:rPr>
      </w:pPr>
    </w:p>
    <w:p w14:paraId="4ED307B4" w14:textId="7C9F0162" w:rsidR="00953562" w:rsidRPr="00E72418" w:rsidRDefault="00953562" w:rsidP="00953562">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Bureau</w:t>
      </w:r>
      <w:r w:rsidRPr="00E72418">
        <w:rPr>
          <w:rFonts w:ascii="Times New Roman" w:hAnsi="Times New Roman" w:cs="Times New Roman"/>
          <w:szCs w:val="24"/>
          <w:lang w:val="en-US"/>
        </w:rPr>
        <w:t xml:space="preserve">, D. et </w:t>
      </w:r>
      <w:r w:rsidRPr="00E72418">
        <w:rPr>
          <w:rFonts w:ascii="Times New Roman" w:hAnsi="Times New Roman" w:cs="Times New Roman"/>
          <w:smallCaps/>
          <w:szCs w:val="24"/>
          <w:lang w:val="en-US"/>
        </w:rPr>
        <w:t>Muir Watt</w:t>
      </w:r>
      <w:r w:rsidRPr="00E72418">
        <w:rPr>
          <w:rFonts w:ascii="Times New Roman" w:hAnsi="Times New Roman" w:cs="Times New Roman"/>
          <w:szCs w:val="24"/>
          <w:lang w:val="en-US"/>
        </w:rPr>
        <w:t xml:space="preserve">, H., </w:t>
      </w:r>
      <w:r w:rsidRPr="00E72418">
        <w:rPr>
          <w:rFonts w:ascii="Times New Roman" w:hAnsi="Times New Roman" w:cs="Times New Roman"/>
          <w:i/>
          <w:szCs w:val="24"/>
          <w:lang w:val="en-US"/>
        </w:rPr>
        <w:t>Droit international privé – Tome I – Partie générale</w:t>
      </w:r>
      <w:r w:rsidRPr="00E72418">
        <w:rPr>
          <w:rFonts w:ascii="Times New Roman" w:hAnsi="Times New Roman" w:cs="Times New Roman"/>
          <w:szCs w:val="24"/>
          <w:lang w:val="en-US"/>
        </w:rPr>
        <w:t>, 4</w:t>
      </w:r>
      <w:r w:rsidRPr="00E72418">
        <w:rPr>
          <w:rFonts w:ascii="Times New Roman" w:hAnsi="Times New Roman" w:cs="Times New Roman"/>
          <w:szCs w:val="24"/>
          <w:vertAlign w:val="superscript"/>
          <w:lang w:val="en-US"/>
        </w:rPr>
        <w:t xml:space="preserve">e </w:t>
      </w:r>
      <w:r w:rsidRPr="00E72418">
        <w:rPr>
          <w:rFonts w:ascii="Times New Roman" w:hAnsi="Times New Roman" w:cs="Times New Roman"/>
          <w:szCs w:val="24"/>
          <w:lang w:val="en-US"/>
        </w:rPr>
        <w:t>éd., Presses Universitaires de France, 2017</w:t>
      </w:r>
    </w:p>
    <w:p w14:paraId="285D3F61" w14:textId="77777777" w:rsidR="00AD4160" w:rsidRPr="00E72418" w:rsidRDefault="00AD4160" w:rsidP="00AD4160">
      <w:pPr>
        <w:pStyle w:val="Paragraphedeliste"/>
        <w:rPr>
          <w:rFonts w:ascii="Times New Roman" w:hAnsi="Times New Roman" w:cs="Times New Roman"/>
          <w:sz w:val="14"/>
          <w:szCs w:val="14"/>
          <w:lang w:val="en-US"/>
        </w:rPr>
      </w:pPr>
    </w:p>
    <w:p w14:paraId="4F96A7AB" w14:textId="5C931642" w:rsidR="006A67A3" w:rsidRPr="00E72418" w:rsidRDefault="00AD4160" w:rsidP="004D77C4">
      <w:pPr>
        <w:pStyle w:val="Paragraphedeliste"/>
        <w:numPr>
          <w:ilvl w:val="0"/>
          <w:numId w:val="15"/>
        </w:numPr>
        <w:spacing w:after="0"/>
        <w:rPr>
          <w:rFonts w:ascii="Times New Roman" w:hAnsi="Times New Roman" w:cs="Times New Roman"/>
          <w:szCs w:val="24"/>
          <w:lang w:val="en-US"/>
        </w:rPr>
      </w:pPr>
      <w:r w:rsidRPr="00E72418">
        <w:t>C</w:t>
      </w:r>
      <w:r w:rsidRPr="00E72418">
        <w:rPr>
          <w:smallCaps/>
        </w:rPr>
        <w:t>adiet, L.</w:t>
      </w:r>
      <w:r w:rsidRPr="00E72418">
        <w:t xml:space="preserve"> et </w:t>
      </w:r>
      <w:r w:rsidRPr="00E72418">
        <w:rPr>
          <w:smallCaps/>
        </w:rPr>
        <w:t>Jeuland</w:t>
      </w:r>
      <w:r w:rsidRPr="00E72418">
        <w:t xml:space="preserve">, E., </w:t>
      </w:r>
      <w:r w:rsidRPr="00E72418">
        <w:rPr>
          <w:i/>
        </w:rPr>
        <w:t>Droit judiciaire privé</w:t>
      </w:r>
      <w:r w:rsidRPr="00E72418">
        <w:t>, 11</w:t>
      </w:r>
      <w:r w:rsidRPr="00E72418">
        <w:rPr>
          <w:vertAlign w:val="superscript"/>
        </w:rPr>
        <w:t>e</w:t>
      </w:r>
      <w:r w:rsidRPr="00E72418">
        <w:t xml:space="preserve"> éd., LexisNexis, 2020</w:t>
      </w:r>
    </w:p>
    <w:p w14:paraId="14568A1C" w14:textId="77777777" w:rsidR="006A67A3" w:rsidRPr="00E72418" w:rsidRDefault="006A67A3" w:rsidP="006A67A3">
      <w:pPr>
        <w:pStyle w:val="Paragraphedeliste"/>
        <w:rPr>
          <w:smallCaps/>
          <w:sz w:val="14"/>
          <w:szCs w:val="14"/>
        </w:rPr>
      </w:pPr>
    </w:p>
    <w:p w14:paraId="3C57CF8E" w14:textId="7EBDB97A" w:rsidR="00EB1901" w:rsidRPr="00E72418" w:rsidRDefault="00EB1901" w:rsidP="004D77C4">
      <w:pPr>
        <w:pStyle w:val="Paragraphedeliste"/>
        <w:numPr>
          <w:ilvl w:val="0"/>
          <w:numId w:val="15"/>
        </w:numPr>
        <w:spacing w:after="0"/>
        <w:rPr>
          <w:rFonts w:ascii="Times New Roman" w:hAnsi="Times New Roman" w:cs="Times New Roman"/>
          <w:szCs w:val="24"/>
          <w:lang w:val="en-US"/>
        </w:rPr>
      </w:pPr>
      <w:r w:rsidRPr="00E72418">
        <w:rPr>
          <w:smallCaps/>
        </w:rPr>
        <w:t>Chainais</w:t>
      </w:r>
      <w:r w:rsidRPr="00E72418">
        <w:t xml:space="preserve">, C., </w:t>
      </w:r>
      <w:r w:rsidRPr="00E72418">
        <w:rPr>
          <w:smallCaps/>
        </w:rPr>
        <w:t>Ferrand</w:t>
      </w:r>
      <w:r w:rsidRPr="00E72418">
        <w:t xml:space="preserve">, F., </w:t>
      </w:r>
      <w:r w:rsidRPr="00E72418">
        <w:rPr>
          <w:smallCaps/>
        </w:rPr>
        <w:t>Mayer, L.</w:t>
      </w:r>
      <w:r w:rsidRPr="00E72418">
        <w:t xml:space="preserve"> et </w:t>
      </w:r>
      <w:r w:rsidRPr="00E72418">
        <w:rPr>
          <w:smallCaps/>
        </w:rPr>
        <w:t>Guinchard</w:t>
      </w:r>
      <w:r w:rsidRPr="00E72418">
        <w:t xml:space="preserve">, S., </w:t>
      </w:r>
      <w:r w:rsidRPr="00E72418">
        <w:rPr>
          <w:i/>
        </w:rPr>
        <w:t>Procédure civile – Droit commun et spécial du procès civil, MARD et arbitrage</w:t>
      </w:r>
      <w:r w:rsidRPr="00E72418">
        <w:t>, 35</w:t>
      </w:r>
      <w:r w:rsidRPr="00E72418">
        <w:rPr>
          <w:vertAlign w:val="superscript"/>
        </w:rPr>
        <w:t>e</w:t>
      </w:r>
      <w:r w:rsidRPr="00E72418">
        <w:t xml:space="preserve"> éd., Dalloz, 2020</w:t>
      </w:r>
    </w:p>
    <w:p w14:paraId="69D79DF3" w14:textId="77777777" w:rsidR="00A91208" w:rsidRPr="00E72418" w:rsidRDefault="00A91208" w:rsidP="00A91208">
      <w:pPr>
        <w:pStyle w:val="Paragraphedeliste"/>
        <w:rPr>
          <w:rFonts w:ascii="Times New Roman" w:hAnsi="Times New Roman" w:cs="Times New Roman"/>
          <w:sz w:val="14"/>
          <w:szCs w:val="14"/>
          <w:lang w:val="en-US"/>
        </w:rPr>
      </w:pPr>
    </w:p>
    <w:p w14:paraId="0FD3750E"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Delaume</w:t>
      </w:r>
      <w:r w:rsidRPr="00E72418">
        <w:rPr>
          <w:rFonts w:ascii="Times New Roman" w:hAnsi="Times New Roman" w:cs="Times New Roman"/>
          <w:szCs w:val="24"/>
        </w:rPr>
        <w:t xml:space="preserve">, G., </w:t>
      </w:r>
      <w:r w:rsidRPr="00E72418">
        <w:rPr>
          <w:rFonts w:ascii="Times New Roman" w:hAnsi="Times New Roman" w:cs="Times New Roman"/>
          <w:i/>
          <w:szCs w:val="24"/>
        </w:rPr>
        <w:t>Legal Aspects of International Lending and Economic Development Financing</w:t>
      </w:r>
      <w:r w:rsidRPr="00E72418">
        <w:rPr>
          <w:rFonts w:ascii="Times New Roman" w:hAnsi="Times New Roman" w:cs="Times New Roman"/>
          <w:szCs w:val="24"/>
        </w:rPr>
        <w:t>, Oceana Publications, 1967</w:t>
      </w:r>
    </w:p>
    <w:p w14:paraId="3E3E64A4" w14:textId="77777777" w:rsidR="00A91208" w:rsidRPr="00E72418" w:rsidRDefault="00A91208" w:rsidP="00A91208">
      <w:pPr>
        <w:pStyle w:val="Paragraphedeliste"/>
        <w:rPr>
          <w:rFonts w:ascii="Times New Roman" w:hAnsi="Times New Roman" w:cs="Times New Roman"/>
          <w:sz w:val="14"/>
          <w:szCs w:val="14"/>
          <w:lang w:val="en-US"/>
        </w:rPr>
      </w:pPr>
    </w:p>
    <w:p w14:paraId="7AA7B726" w14:textId="5EF0E65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De Page, H.,</w:t>
      </w:r>
      <w:r w:rsidRPr="00E72418">
        <w:rPr>
          <w:rFonts w:ascii="Times New Roman" w:hAnsi="Times New Roman" w:cs="Times New Roman"/>
          <w:i/>
          <w:szCs w:val="24"/>
        </w:rPr>
        <w:t xml:space="preserve"> Traité élémentaire de droit civil belge – Tome quatrième – Les principaux contrats (première partie)</w:t>
      </w:r>
      <w:r w:rsidRPr="00E72418">
        <w:rPr>
          <w:rFonts w:ascii="Times New Roman" w:hAnsi="Times New Roman" w:cs="Times New Roman"/>
          <w:szCs w:val="24"/>
        </w:rPr>
        <w:t>, vol. 1, 4</w:t>
      </w:r>
      <w:r w:rsidRPr="00E72418">
        <w:rPr>
          <w:rFonts w:ascii="Times New Roman" w:hAnsi="Times New Roman" w:cs="Times New Roman"/>
          <w:szCs w:val="24"/>
          <w:vertAlign w:val="superscript"/>
        </w:rPr>
        <w:t>e</w:t>
      </w:r>
      <w:r w:rsidRPr="00E72418">
        <w:rPr>
          <w:rFonts w:ascii="Times New Roman" w:hAnsi="Times New Roman" w:cs="Times New Roman"/>
          <w:szCs w:val="24"/>
        </w:rPr>
        <w:t xml:space="preserve"> éd. complétée et mise à jour par A. </w:t>
      </w:r>
      <w:r w:rsidRPr="00E72418">
        <w:rPr>
          <w:rFonts w:ascii="Times New Roman" w:hAnsi="Times New Roman" w:cs="Times New Roman"/>
          <w:smallCaps/>
          <w:szCs w:val="24"/>
        </w:rPr>
        <w:t>Meinertzhagen-Limpens</w:t>
      </w:r>
      <w:r w:rsidRPr="00E72418">
        <w:rPr>
          <w:rFonts w:ascii="Times New Roman" w:hAnsi="Times New Roman" w:cs="Times New Roman"/>
          <w:szCs w:val="24"/>
        </w:rPr>
        <w:t>, Bruylant, 1997</w:t>
      </w:r>
    </w:p>
    <w:p w14:paraId="0F2A2944" w14:textId="77777777" w:rsidR="00A91208" w:rsidRPr="00E72418" w:rsidRDefault="00A91208" w:rsidP="00A91208">
      <w:pPr>
        <w:pStyle w:val="Paragraphedeliste"/>
        <w:rPr>
          <w:rFonts w:ascii="Times New Roman" w:hAnsi="Times New Roman" w:cs="Times New Roman"/>
          <w:sz w:val="14"/>
          <w:szCs w:val="14"/>
          <w:lang w:val="en-US"/>
        </w:rPr>
      </w:pPr>
    </w:p>
    <w:p w14:paraId="5F7DBDF0"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Deschamp-Moulin</w:t>
      </w:r>
      <w:r w:rsidRPr="00E72418">
        <w:rPr>
          <w:rFonts w:ascii="Times New Roman" w:hAnsi="Times New Roman" w:cs="Times New Roman"/>
          <w:szCs w:val="24"/>
        </w:rPr>
        <w:t xml:space="preserve">, C., </w:t>
      </w:r>
      <w:r w:rsidRPr="00E72418">
        <w:rPr>
          <w:rFonts w:ascii="Times New Roman" w:hAnsi="Times New Roman" w:cs="Times New Roman"/>
          <w:i/>
          <w:szCs w:val="24"/>
        </w:rPr>
        <w:t>La cause du paiement</w:t>
      </w:r>
      <w:r w:rsidRPr="00E72418">
        <w:rPr>
          <w:rFonts w:ascii="Times New Roman" w:hAnsi="Times New Roman" w:cs="Times New Roman"/>
          <w:szCs w:val="24"/>
        </w:rPr>
        <w:t>, Larcier, 2010</w:t>
      </w:r>
    </w:p>
    <w:p w14:paraId="75EC8EC7" w14:textId="77777777" w:rsidR="00A91208" w:rsidRPr="00E72418" w:rsidRDefault="00A91208" w:rsidP="00A91208">
      <w:pPr>
        <w:pStyle w:val="Paragraphedeliste"/>
        <w:rPr>
          <w:rFonts w:ascii="Times New Roman" w:hAnsi="Times New Roman" w:cs="Times New Roman"/>
          <w:sz w:val="14"/>
          <w:szCs w:val="14"/>
          <w:lang w:val="en-US"/>
        </w:rPr>
      </w:pPr>
    </w:p>
    <w:p w14:paraId="0F2E6C65" w14:textId="33C6FA8F" w:rsidR="00A91208" w:rsidRPr="00E72418" w:rsidRDefault="0030147D" w:rsidP="008D1D70">
      <w:pPr>
        <w:pStyle w:val="Paragraphedeliste"/>
        <w:numPr>
          <w:ilvl w:val="0"/>
          <w:numId w:val="15"/>
        </w:numPr>
        <w:spacing w:after="0"/>
        <w:rPr>
          <w:rFonts w:ascii="Times New Roman" w:hAnsi="Times New Roman" w:cs="Times New Roman"/>
          <w:szCs w:val="24"/>
          <w:lang w:val="en-US"/>
        </w:rPr>
      </w:pPr>
      <w:hyperlink r:id="rId57" w:history="1">
        <w:r w:rsidR="00A91208" w:rsidRPr="00E72418">
          <w:rPr>
            <w:rStyle w:val="Lienhypertexte"/>
            <w:rFonts w:ascii="Times New Roman" w:hAnsi="Times New Roman" w:cs="Times New Roman"/>
            <w:smallCaps/>
            <w:color w:val="auto"/>
            <w:szCs w:val="24"/>
            <w:u w:val="none"/>
            <w:lang w:val="en-US" w:eastAsia="fr-BE"/>
          </w:rPr>
          <w:t>Eichengreen</w:t>
        </w:r>
      </w:hyperlink>
      <w:r w:rsidR="00A91208" w:rsidRPr="00E72418">
        <w:rPr>
          <w:rFonts w:ascii="Times New Roman" w:hAnsi="Times New Roman" w:cs="Times New Roman"/>
          <w:szCs w:val="24"/>
          <w:lang w:val="en-US" w:eastAsia="fr-BE"/>
        </w:rPr>
        <w:t xml:space="preserve">, B., </w:t>
      </w:r>
      <w:r w:rsidR="003C6CB1" w:rsidRPr="00E72418">
        <w:rPr>
          <w:i/>
          <w:szCs w:val="20"/>
          <w:lang w:val="en-US"/>
        </w:rPr>
        <w:t>Financial Crises and What to Do About Them</w:t>
      </w:r>
      <w:r w:rsidR="00A91208" w:rsidRPr="00E72418">
        <w:rPr>
          <w:rFonts w:ascii="Times New Roman" w:hAnsi="Times New Roman" w:cs="Times New Roman"/>
          <w:szCs w:val="24"/>
          <w:lang w:val="en-US" w:eastAsia="fr-BE"/>
        </w:rPr>
        <w:t>, Oxford University Press, 2002</w:t>
      </w:r>
    </w:p>
    <w:p w14:paraId="03011B2A" w14:textId="77777777" w:rsidR="00A91208" w:rsidRPr="00E72418" w:rsidRDefault="00A91208" w:rsidP="00A91208">
      <w:pPr>
        <w:pStyle w:val="Paragraphedeliste"/>
        <w:rPr>
          <w:rFonts w:ascii="Times New Roman" w:hAnsi="Times New Roman" w:cs="Times New Roman"/>
          <w:sz w:val="14"/>
          <w:szCs w:val="14"/>
          <w:lang w:val="en-US"/>
        </w:rPr>
      </w:pPr>
    </w:p>
    <w:p w14:paraId="5C7BBDC6" w14:textId="69F83C0D"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Fox, H.</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Webb</w:t>
      </w:r>
      <w:r w:rsidRPr="00E72418">
        <w:rPr>
          <w:rFonts w:ascii="Times New Roman" w:hAnsi="Times New Roman" w:cs="Times New Roman"/>
          <w:szCs w:val="24"/>
          <w:lang w:val="en-US"/>
        </w:rPr>
        <w:t xml:space="preserve">, P., </w:t>
      </w:r>
      <w:r w:rsidRPr="00E72418">
        <w:rPr>
          <w:rFonts w:ascii="Times New Roman" w:hAnsi="Times New Roman" w:cs="Times New Roman"/>
          <w:i/>
          <w:szCs w:val="24"/>
          <w:lang w:val="en-US"/>
        </w:rPr>
        <w:t>The Law of State Immunity</w:t>
      </w:r>
      <w:r w:rsidRPr="00E72418">
        <w:rPr>
          <w:rFonts w:ascii="Times New Roman" w:hAnsi="Times New Roman" w:cs="Times New Roman"/>
          <w:szCs w:val="24"/>
          <w:lang w:val="en-US"/>
        </w:rPr>
        <w:t xml:space="preserve">, </w:t>
      </w:r>
      <w:r w:rsidRPr="00E72418">
        <w:rPr>
          <w:rFonts w:ascii="Times New Roman" w:hAnsi="Times New Roman" w:cs="Times New Roman"/>
          <w:szCs w:val="24"/>
        </w:rPr>
        <w:t>3</w:t>
      </w:r>
      <w:r w:rsidRPr="00E72418">
        <w:rPr>
          <w:rFonts w:ascii="Times New Roman" w:hAnsi="Times New Roman" w:cs="Times New Roman"/>
          <w:szCs w:val="24"/>
          <w:vertAlign w:val="superscript"/>
        </w:rPr>
        <w:t>e</w:t>
      </w:r>
      <w:r w:rsidRPr="00E72418">
        <w:rPr>
          <w:rFonts w:ascii="Times New Roman" w:hAnsi="Times New Roman" w:cs="Times New Roman"/>
          <w:szCs w:val="24"/>
          <w:lang w:val="en-US"/>
        </w:rPr>
        <w:t xml:space="preserve"> éd., Oxford University Press, 2015</w:t>
      </w:r>
    </w:p>
    <w:p w14:paraId="122C3285" w14:textId="77777777" w:rsidR="00A91208" w:rsidRPr="00E72418" w:rsidRDefault="00A91208" w:rsidP="00A91208">
      <w:pPr>
        <w:pStyle w:val="Paragraphedeliste"/>
        <w:rPr>
          <w:rFonts w:ascii="Times New Roman" w:hAnsi="Times New Roman" w:cs="Times New Roman"/>
          <w:sz w:val="14"/>
          <w:szCs w:val="14"/>
          <w:lang w:val="en-US"/>
        </w:rPr>
      </w:pPr>
    </w:p>
    <w:p w14:paraId="449ADDC6"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rPr>
        <w:t>Giansetto</w:t>
      </w:r>
      <w:r w:rsidRPr="00E72418">
        <w:rPr>
          <w:rFonts w:ascii="Times New Roman" w:hAnsi="Times New Roman" w:cs="Times New Roman"/>
          <w:szCs w:val="24"/>
          <w:shd w:val="clear" w:color="auto" w:fill="FFFFFF"/>
        </w:rPr>
        <w:t xml:space="preserve">, F., </w:t>
      </w:r>
      <w:r w:rsidRPr="00E72418">
        <w:rPr>
          <w:rFonts w:ascii="Times New Roman" w:hAnsi="Times New Roman" w:cs="Times New Roman"/>
          <w:i/>
          <w:szCs w:val="24"/>
          <w:shd w:val="clear" w:color="auto" w:fill="FFFFFF"/>
        </w:rPr>
        <w:t>Le traitement juridictionnel de l’insolvabilité de l’</w:t>
      </w:r>
      <w:r w:rsidRPr="00E72418">
        <w:rPr>
          <w:rFonts w:ascii="Times New Roman" w:hAnsi="Times New Roman" w:cs="Times New Roman"/>
          <w:i/>
          <w:szCs w:val="24"/>
          <w:lang w:eastAsia="fr-BE"/>
        </w:rPr>
        <w:t>É</w:t>
      </w:r>
      <w:r w:rsidRPr="00E72418">
        <w:rPr>
          <w:rFonts w:ascii="Times New Roman" w:hAnsi="Times New Roman" w:cs="Times New Roman"/>
          <w:i/>
          <w:szCs w:val="24"/>
          <w:shd w:val="clear" w:color="auto" w:fill="FFFFFF"/>
        </w:rPr>
        <w:t>tat</w:t>
      </w:r>
      <w:r w:rsidRPr="00E72418">
        <w:rPr>
          <w:rFonts w:ascii="Times New Roman" w:hAnsi="Times New Roman" w:cs="Times New Roman"/>
          <w:szCs w:val="24"/>
          <w:shd w:val="clear" w:color="auto" w:fill="FFFFFF"/>
        </w:rPr>
        <w:t>, L.G.D.J., 2017</w:t>
      </w:r>
    </w:p>
    <w:p w14:paraId="043ADD62" w14:textId="77777777" w:rsidR="00A91208" w:rsidRPr="00E72418" w:rsidRDefault="00A91208" w:rsidP="00A91208">
      <w:pPr>
        <w:pStyle w:val="Paragraphedeliste"/>
        <w:rPr>
          <w:rFonts w:ascii="Times New Roman" w:hAnsi="Times New Roman" w:cs="Times New Roman"/>
          <w:sz w:val="14"/>
          <w:szCs w:val="14"/>
          <w:lang w:val="en-US"/>
        </w:rPr>
      </w:pPr>
    </w:p>
    <w:p w14:paraId="614BB405" w14:textId="5D6F25B3"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 xml:space="preserve">Guder, L., </w:t>
      </w:r>
      <w:r w:rsidRPr="00E72418">
        <w:rPr>
          <w:rFonts w:ascii="Times New Roman" w:hAnsi="Times New Roman" w:cs="Times New Roman"/>
          <w:i/>
          <w:szCs w:val="24"/>
          <w:shd w:val="clear" w:color="auto" w:fill="FFFFFF"/>
          <w:lang w:val="en-US"/>
        </w:rPr>
        <w:t>The Administration of Debt Relief by the Intern</w:t>
      </w:r>
      <w:r w:rsidR="00CD5C6F" w:rsidRPr="00E72418">
        <w:rPr>
          <w:rFonts w:ascii="Times New Roman" w:hAnsi="Times New Roman" w:cs="Times New Roman"/>
          <w:i/>
          <w:szCs w:val="24"/>
          <w:shd w:val="clear" w:color="auto" w:fill="FFFFFF"/>
          <w:lang w:val="en-US"/>
        </w:rPr>
        <w:t xml:space="preserve">ational Financial Institutions </w:t>
      </w:r>
      <w:r w:rsidR="00CD5C6F" w:rsidRPr="00E72418">
        <w:rPr>
          <w:rFonts w:ascii="Times New Roman" w:hAnsi="Times New Roman" w:cs="Times New Roman"/>
          <w:i/>
          <w:szCs w:val="24"/>
        </w:rPr>
        <w:t>–</w:t>
      </w:r>
      <w:r w:rsidRPr="00E72418">
        <w:rPr>
          <w:rFonts w:ascii="Times New Roman" w:hAnsi="Times New Roman" w:cs="Times New Roman"/>
          <w:i/>
          <w:szCs w:val="24"/>
          <w:shd w:val="clear" w:color="auto" w:fill="FFFFFF"/>
          <w:lang w:val="en-US"/>
        </w:rPr>
        <w:t xml:space="preserve"> A Legal Reconstruction of the HIPC Initiative</w:t>
      </w:r>
      <w:r w:rsidRPr="00E72418">
        <w:rPr>
          <w:rFonts w:ascii="Times New Roman" w:hAnsi="Times New Roman" w:cs="Times New Roman"/>
          <w:smallCaps/>
          <w:szCs w:val="24"/>
          <w:shd w:val="clear" w:color="auto" w:fill="FFFFFF"/>
          <w:lang w:val="en-US"/>
        </w:rPr>
        <w:t xml:space="preserve">, </w:t>
      </w:r>
      <w:r w:rsidRPr="00E72418">
        <w:rPr>
          <w:rFonts w:ascii="Times New Roman" w:hAnsi="Times New Roman" w:cs="Times New Roman"/>
          <w:szCs w:val="24"/>
          <w:shd w:val="clear" w:color="auto" w:fill="FFFFFF"/>
          <w:lang w:val="en-US"/>
        </w:rPr>
        <w:t>Springer</w:t>
      </w:r>
      <w:r w:rsidRPr="00E72418">
        <w:rPr>
          <w:rFonts w:ascii="Times New Roman" w:hAnsi="Times New Roman" w:cs="Times New Roman"/>
          <w:smallCaps/>
          <w:szCs w:val="24"/>
          <w:shd w:val="clear" w:color="auto" w:fill="FFFFFF"/>
          <w:lang w:val="en-US"/>
        </w:rPr>
        <w:t>, 2009</w:t>
      </w:r>
    </w:p>
    <w:p w14:paraId="3045FF3B" w14:textId="77777777" w:rsidR="00A91208" w:rsidRPr="00E72418" w:rsidRDefault="00A91208" w:rsidP="00A91208">
      <w:pPr>
        <w:pStyle w:val="Paragraphedeliste"/>
        <w:rPr>
          <w:rFonts w:ascii="Times New Roman" w:hAnsi="Times New Roman" w:cs="Times New Roman"/>
          <w:sz w:val="14"/>
          <w:szCs w:val="14"/>
          <w:lang w:val="en-US"/>
        </w:rPr>
      </w:pPr>
    </w:p>
    <w:p w14:paraId="085D44FE" w14:textId="632B91CC"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Harris</w:t>
      </w:r>
      <w:r w:rsidRPr="00E72418">
        <w:rPr>
          <w:rFonts w:ascii="Times New Roman" w:hAnsi="Times New Roman" w:cs="Times New Roman"/>
          <w:szCs w:val="24"/>
          <w:lang w:val="en-US"/>
        </w:rPr>
        <w:t xml:space="preserve">, D., </w:t>
      </w:r>
      <w:r w:rsidRPr="00E72418">
        <w:rPr>
          <w:rFonts w:ascii="Times New Roman" w:hAnsi="Times New Roman" w:cs="Times New Roman"/>
          <w:smallCaps/>
          <w:szCs w:val="24"/>
          <w:lang w:val="en-US"/>
        </w:rPr>
        <w:t>O’Boyle</w:t>
      </w:r>
      <w:r w:rsidRPr="00E72418">
        <w:rPr>
          <w:rFonts w:ascii="Times New Roman" w:hAnsi="Times New Roman" w:cs="Times New Roman"/>
          <w:szCs w:val="24"/>
          <w:lang w:val="en-US"/>
        </w:rPr>
        <w:t xml:space="preserve">, M., </w:t>
      </w:r>
      <w:r w:rsidRPr="00E72418">
        <w:rPr>
          <w:rFonts w:ascii="Times New Roman" w:hAnsi="Times New Roman" w:cs="Times New Roman"/>
          <w:smallCaps/>
          <w:szCs w:val="24"/>
          <w:lang w:val="en-US"/>
        </w:rPr>
        <w:t>Bates, E.</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 xml:space="preserve">Buckley, C.,  </w:t>
      </w:r>
      <w:r w:rsidRPr="00E72418">
        <w:rPr>
          <w:rFonts w:ascii="Times New Roman" w:hAnsi="Times New Roman" w:cs="Times New Roman"/>
          <w:i/>
          <w:szCs w:val="24"/>
          <w:lang w:val="en-US"/>
        </w:rPr>
        <w:t>Law of the European Convention on Human Rights</w:t>
      </w:r>
      <w:r w:rsidRPr="00E72418">
        <w:rPr>
          <w:rFonts w:ascii="Times New Roman" w:hAnsi="Times New Roman" w:cs="Times New Roman"/>
          <w:szCs w:val="24"/>
          <w:lang w:val="en-US"/>
        </w:rPr>
        <w:t>, 3</w:t>
      </w:r>
      <w:r w:rsidRPr="00E72418">
        <w:rPr>
          <w:rFonts w:ascii="Times New Roman" w:hAnsi="Times New Roman" w:cs="Times New Roman"/>
          <w:szCs w:val="24"/>
          <w:vertAlign w:val="superscript"/>
          <w:lang w:val="en-US"/>
        </w:rPr>
        <w:t>e</w:t>
      </w:r>
      <w:r w:rsidR="00B660E3" w:rsidRPr="00E72418">
        <w:rPr>
          <w:rFonts w:ascii="Times New Roman" w:hAnsi="Times New Roman" w:cs="Times New Roman"/>
          <w:szCs w:val="24"/>
          <w:lang w:val="en-US"/>
        </w:rPr>
        <w:t xml:space="preserve"> éd.</w:t>
      </w:r>
      <w:r w:rsidR="007F39DB" w:rsidRPr="00E72418">
        <w:rPr>
          <w:rFonts w:ascii="Times New Roman" w:hAnsi="Times New Roman" w:cs="Times New Roman"/>
          <w:szCs w:val="24"/>
          <w:lang w:val="en-US"/>
        </w:rPr>
        <w:t>, Oxford University Press, 2014</w:t>
      </w:r>
    </w:p>
    <w:p w14:paraId="7D2C6D7B" w14:textId="77777777" w:rsidR="00A91208" w:rsidRPr="00E72418" w:rsidRDefault="00A91208" w:rsidP="00A91208">
      <w:pPr>
        <w:pStyle w:val="Paragraphedeliste"/>
        <w:rPr>
          <w:rFonts w:ascii="Times New Roman" w:hAnsi="Times New Roman" w:cs="Times New Roman"/>
          <w:sz w:val="14"/>
          <w:szCs w:val="14"/>
          <w:lang w:val="en-US"/>
        </w:rPr>
      </w:pPr>
    </w:p>
    <w:p w14:paraId="2C710424" w14:textId="31C13685"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Kleiner</w:t>
      </w:r>
      <w:r w:rsidRPr="00E72418">
        <w:rPr>
          <w:rFonts w:ascii="Times New Roman" w:hAnsi="Times New Roman" w:cs="Times New Roman"/>
          <w:szCs w:val="24"/>
        </w:rPr>
        <w:t xml:space="preserve">, C., </w:t>
      </w:r>
      <w:r w:rsidRPr="00E72418">
        <w:rPr>
          <w:rFonts w:ascii="Times New Roman" w:hAnsi="Times New Roman" w:cs="Times New Roman"/>
          <w:i/>
          <w:szCs w:val="24"/>
        </w:rPr>
        <w:t>La monnaie dans les relations privées internationales</w:t>
      </w:r>
      <w:r w:rsidRPr="00E72418">
        <w:rPr>
          <w:rFonts w:ascii="Times New Roman" w:hAnsi="Times New Roman" w:cs="Times New Roman"/>
          <w:szCs w:val="24"/>
        </w:rPr>
        <w:t>, L.G.D.J., 2010</w:t>
      </w:r>
    </w:p>
    <w:p w14:paraId="3FF234E2" w14:textId="77777777" w:rsidR="009B3FBC" w:rsidRPr="00E72418" w:rsidRDefault="009B3FBC" w:rsidP="009B3FBC">
      <w:pPr>
        <w:pStyle w:val="Paragraphedeliste"/>
        <w:rPr>
          <w:rFonts w:ascii="Times New Roman" w:hAnsi="Times New Roman" w:cs="Times New Roman"/>
          <w:sz w:val="14"/>
          <w:szCs w:val="14"/>
          <w:lang w:val="en-US"/>
        </w:rPr>
      </w:pPr>
    </w:p>
    <w:p w14:paraId="5C556B66" w14:textId="671B5183" w:rsidR="009B3FBC" w:rsidRPr="00E72418" w:rsidRDefault="009B3FBC" w:rsidP="008D1D70">
      <w:pPr>
        <w:pStyle w:val="Paragraphedeliste"/>
        <w:numPr>
          <w:ilvl w:val="0"/>
          <w:numId w:val="15"/>
        </w:numPr>
        <w:spacing w:after="0"/>
        <w:rPr>
          <w:rFonts w:ascii="Times New Roman" w:hAnsi="Times New Roman" w:cs="Times New Roman"/>
          <w:szCs w:val="24"/>
          <w:lang w:val="en-US"/>
        </w:rPr>
      </w:pPr>
      <w:r w:rsidRPr="00E72418">
        <w:rPr>
          <w:smallCaps/>
        </w:rPr>
        <w:t xml:space="preserve">Kupelyants, H., </w:t>
      </w:r>
      <w:r w:rsidRPr="00E72418">
        <w:rPr>
          <w:i/>
        </w:rPr>
        <w:t>Sovereign Defaults before Domestic Courts</w:t>
      </w:r>
      <w:r w:rsidRPr="00E72418">
        <w:t>, Oxford University Press, 2018</w:t>
      </w:r>
    </w:p>
    <w:p w14:paraId="06B8A7AF" w14:textId="77777777" w:rsidR="00A91208" w:rsidRPr="00E72418" w:rsidRDefault="00A91208" w:rsidP="00A91208">
      <w:pPr>
        <w:pStyle w:val="Paragraphedeliste"/>
        <w:rPr>
          <w:rFonts w:ascii="Times New Roman" w:hAnsi="Times New Roman" w:cs="Times New Roman"/>
          <w:sz w:val="14"/>
          <w:szCs w:val="14"/>
          <w:lang w:val="en-US"/>
        </w:rPr>
      </w:pPr>
    </w:p>
    <w:p w14:paraId="75058670" w14:textId="24D713F4" w:rsidR="00A91208" w:rsidRPr="00E72418" w:rsidRDefault="00A91208" w:rsidP="008D1D70">
      <w:pPr>
        <w:pStyle w:val="Paragraphedeliste"/>
        <w:numPr>
          <w:ilvl w:val="0"/>
          <w:numId w:val="15"/>
        </w:numPr>
        <w:autoSpaceDE w:val="0"/>
        <w:autoSpaceDN w:val="0"/>
        <w:adjustRightInd w:val="0"/>
        <w:spacing w:after="0"/>
        <w:rPr>
          <w:rFonts w:ascii="Times New Roman" w:hAnsi="Times New Roman" w:cs="Times New Roman"/>
          <w:szCs w:val="24"/>
          <w:lang w:val="en-US"/>
        </w:rPr>
      </w:pP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xml:space="preserve">, R., </w:t>
      </w:r>
      <w:r w:rsidRPr="00E72418">
        <w:rPr>
          <w:rFonts w:ascii="Times New Roman" w:hAnsi="Times New Roman" w:cs="Times New Roman"/>
          <w:i/>
          <w:szCs w:val="24"/>
          <w:lang w:val="en-US"/>
        </w:rPr>
        <w:t>International Financial and Monetary Law</w:t>
      </w:r>
      <w:r w:rsidRPr="00E72418">
        <w:rPr>
          <w:rFonts w:ascii="Times New Roman" w:hAnsi="Times New Roman" w:cs="Times New Roman"/>
          <w:szCs w:val="24"/>
          <w:lang w:val="en-US"/>
        </w:rPr>
        <w:t>, 2</w:t>
      </w:r>
      <w:r w:rsidR="0005101F">
        <w:rPr>
          <w:rFonts w:ascii="Times New Roman" w:hAnsi="Times New Roman" w:cs="Times New Roman"/>
          <w:szCs w:val="24"/>
          <w:vertAlign w:val="superscript"/>
          <w:lang w:val="en-US"/>
        </w:rPr>
        <w:t>e</w:t>
      </w:r>
      <w:r w:rsidRPr="00E72418">
        <w:rPr>
          <w:rFonts w:ascii="Times New Roman" w:hAnsi="Times New Roman" w:cs="Times New Roman"/>
          <w:szCs w:val="24"/>
          <w:lang w:val="en-US"/>
        </w:rPr>
        <w:t xml:space="preserve"> éd., Oxford University Press, 2015</w:t>
      </w:r>
    </w:p>
    <w:p w14:paraId="70037AC9" w14:textId="77777777" w:rsidR="00A91208" w:rsidRPr="00E72418" w:rsidRDefault="00A91208" w:rsidP="00A91208">
      <w:pPr>
        <w:pStyle w:val="Paragraphedeliste"/>
        <w:rPr>
          <w:rFonts w:ascii="Times New Roman" w:hAnsi="Times New Roman" w:cs="Times New Roman"/>
          <w:sz w:val="14"/>
          <w:szCs w:val="14"/>
          <w:lang w:val="en-US"/>
        </w:rPr>
      </w:pPr>
    </w:p>
    <w:p w14:paraId="508A53D9" w14:textId="5C920ECC" w:rsidR="00A91208" w:rsidRPr="00E72418" w:rsidRDefault="00A91208" w:rsidP="008D1D70">
      <w:pPr>
        <w:pStyle w:val="Paragraphedeliste"/>
        <w:numPr>
          <w:ilvl w:val="0"/>
          <w:numId w:val="15"/>
        </w:numPr>
        <w:autoSpaceDE w:val="0"/>
        <w:autoSpaceDN w:val="0"/>
        <w:adjustRightInd w:val="0"/>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rPr>
        <w:t>Lequesne-Roth</w:t>
      </w:r>
      <w:r w:rsidRPr="00E72418">
        <w:rPr>
          <w:rFonts w:ascii="Times New Roman" w:hAnsi="Times New Roman" w:cs="Times New Roman"/>
          <w:szCs w:val="24"/>
          <w:shd w:val="clear" w:color="auto" w:fill="FFFFFF"/>
        </w:rPr>
        <w:t>, C.</w:t>
      </w:r>
      <w:r w:rsidRPr="00E72418">
        <w:rPr>
          <w:rStyle w:val="apple-converted-space"/>
          <w:rFonts w:ascii="Times New Roman" w:hAnsi="Times New Roman" w:cs="Times New Roman"/>
          <w:szCs w:val="24"/>
          <w:shd w:val="clear" w:color="auto" w:fill="FFFFFF"/>
        </w:rPr>
        <w:t xml:space="preserve">, </w:t>
      </w:r>
      <w:r w:rsidRPr="00E72418">
        <w:rPr>
          <w:rFonts w:ascii="Times New Roman" w:hAnsi="Times New Roman" w:cs="Times New Roman"/>
          <w:i/>
          <w:szCs w:val="24"/>
        </w:rPr>
        <w:t>Le régime contractuel de défaut des États débiteurs européens</w:t>
      </w:r>
      <w:r w:rsidRPr="00E72418">
        <w:rPr>
          <w:rFonts w:ascii="Times New Roman" w:hAnsi="Times New Roman" w:cs="Times New Roman"/>
          <w:szCs w:val="24"/>
        </w:rPr>
        <w:t>, L.G.D.J., 2018</w:t>
      </w:r>
    </w:p>
    <w:p w14:paraId="1ACBCB24" w14:textId="77777777" w:rsidR="000F6E8F" w:rsidRPr="00E72418" w:rsidRDefault="000F6E8F" w:rsidP="000F6E8F">
      <w:pPr>
        <w:pStyle w:val="Paragraphedeliste"/>
        <w:rPr>
          <w:rFonts w:ascii="Times New Roman" w:hAnsi="Times New Roman" w:cs="Times New Roman"/>
          <w:sz w:val="14"/>
          <w:szCs w:val="14"/>
          <w:lang w:val="en-US"/>
        </w:rPr>
      </w:pPr>
    </w:p>
    <w:p w14:paraId="6A4E876A" w14:textId="33AD1D8B" w:rsidR="000F6E8F" w:rsidRPr="00E72418" w:rsidRDefault="000F6E8F" w:rsidP="008D1D70">
      <w:pPr>
        <w:pStyle w:val="Paragraphedeliste"/>
        <w:numPr>
          <w:ilvl w:val="0"/>
          <w:numId w:val="15"/>
        </w:numPr>
        <w:autoSpaceDE w:val="0"/>
        <w:autoSpaceDN w:val="0"/>
        <w:adjustRightInd w:val="0"/>
        <w:spacing w:after="0"/>
        <w:rPr>
          <w:rFonts w:ascii="Times New Roman" w:hAnsi="Times New Roman" w:cs="Times New Roman"/>
          <w:szCs w:val="24"/>
          <w:lang w:val="en-US"/>
        </w:rPr>
      </w:pPr>
      <w:r w:rsidRPr="00E72418">
        <w:rPr>
          <w:rFonts w:cs="Times New Roman"/>
          <w:smallCaps/>
          <w:szCs w:val="24"/>
          <w:shd w:val="clear" w:color="auto" w:fill="FFFFFF"/>
          <w:lang w:val="en-US"/>
        </w:rPr>
        <w:lastRenderedPageBreak/>
        <w:t xml:space="preserve">Lienau, O., </w:t>
      </w:r>
      <w:r w:rsidRPr="00E72418">
        <w:rPr>
          <w:rFonts w:cs="Times New Roman"/>
          <w:i/>
          <w:szCs w:val="24"/>
          <w:lang w:val="en-US"/>
        </w:rPr>
        <w:t xml:space="preserve">Rethinking Sovereign Debt </w:t>
      </w:r>
      <w:r w:rsidRPr="00E72418">
        <w:rPr>
          <w:b/>
          <w:i/>
          <w:szCs w:val="20"/>
        </w:rPr>
        <w:t>–</w:t>
      </w:r>
      <w:r w:rsidRPr="00E72418">
        <w:rPr>
          <w:rFonts w:cs="Times New Roman"/>
          <w:i/>
          <w:szCs w:val="24"/>
          <w:lang w:val="en-US"/>
        </w:rPr>
        <w:t xml:space="preserve"> Politics, Reputation, and Legitimacy in Modern Finance</w:t>
      </w:r>
      <w:r w:rsidRPr="00E72418">
        <w:rPr>
          <w:rFonts w:cs="Times New Roman"/>
          <w:szCs w:val="24"/>
          <w:lang w:val="en-US"/>
        </w:rPr>
        <w:t xml:space="preserve">, </w:t>
      </w:r>
      <w:r w:rsidRPr="00E72418">
        <w:rPr>
          <w:rFonts w:cs="Times New Roman"/>
          <w:szCs w:val="24"/>
          <w:shd w:val="clear" w:color="auto" w:fill="FFFFFF"/>
          <w:lang w:val="en-US"/>
        </w:rPr>
        <w:t>Harvard University Press, 2014</w:t>
      </w:r>
    </w:p>
    <w:p w14:paraId="65BF9C26" w14:textId="77777777" w:rsidR="00A91208" w:rsidRPr="00E72418" w:rsidRDefault="00A91208" w:rsidP="00A91208">
      <w:pPr>
        <w:pStyle w:val="Paragraphedeliste"/>
        <w:rPr>
          <w:rFonts w:ascii="Times New Roman" w:hAnsi="Times New Roman" w:cs="Times New Roman"/>
          <w:smallCaps/>
          <w:sz w:val="14"/>
          <w:szCs w:val="14"/>
          <w:shd w:val="clear" w:color="auto" w:fill="FFFFFF"/>
          <w:lang w:val="en-US"/>
        </w:rPr>
      </w:pPr>
    </w:p>
    <w:p w14:paraId="02D6425D" w14:textId="5B18F147" w:rsidR="00A91208" w:rsidRPr="00E72418" w:rsidRDefault="00A91208" w:rsidP="008D1D70">
      <w:pPr>
        <w:pStyle w:val="Paragraphedeliste"/>
        <w:numPr>
          <w:ilvl w:val="0"/>
          <w:numId w:val="15"/>
        </w:numPr>
        <w:autoSpaceDE w:val="0"/>
        <w:autoSpaceDN w:val="0"/>
        <w:adjustRightInd w:val="0"/>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 xml:space="preserve">Malaurie, P., Aynès, L. </w:t>
      </w:r>
      <w:r w:rsidRPr="00E72418">
        <w:rPr>
          <w:rFonts w:ascii="Times New Roman" w:hAnsi="Times New Roman" w:cs="Times New Roman"/>
          <w:szCs w:val="24"/>
          <w:shd w:val="clear" w:color="auto" w:fill="FFFFFF"/>
          <w:lang w:val="en-US"/>
        </w:rPr>
        <w:t xml:space="preserve">et </w:t>
      </w:r>
      <w:r w:rsidRPr="00E72418">
        <w:rPr>
          <w:rFonts w:ascii="Times New Roman" w:hAnsi="Times New Roman" w:cs="Times New Roman"/>
          <w:smallCaps/>
          <w:szCs w:val="24"/>
          <w:shd w:val="clear" w:color="auto" w:fill="FFFFFF"/>
          <w:lang w:val="en-US"/>
        </w:rPr>
        <w:t xml:space="preserve">Stoffel-Munck, P., </w:t>
      </w:r>
      <w:r w:rsidRPr="00E72418">
        <w:rPr>
          <w:rFonts w:ascii="Times New Roman" w:hAnsi="Times New Roman" w:cs="Times New Roman"/>
          <w:i/>
          <w:smallCaps/>
          <w:szCs w:val="24"/>
          <w:shd w:val="clear" w:color="auto" w:fill="FFFFFF"/>
          <w:lang w:val="en-US"/>
        </w:rPr>
        <w:t>D</w:t>
      </w:r>
      <w:r w:rsidRPr="00E72418">
        <w:rPr>
          <w:rFonts w:ascii="Times New Roman" w:hAnsi="Times New Roman" w:cs="Times New Roman"/>
          <w:i/>
          <w:szCs w:val="24"/>
          <w:shd w:val="clear" w:color="auto" w:fill="FFFFFF"/>
          <w:lang w:val="en-US"/>
        </w:rPr>
        <w:t>roit des obligations</w:t>
      </w:r>
      <w:r w:rsidRPr="00E72418">
        <w:rPr>
          <w:rFonts w:ascii="Times New Roman" w:hAnsi="Times New Roman" w:cs="Times New Roman"/>
          <w:szCs w:val="24"/>
          <w:shd w:val="clear" w:color="auto" w:fill="FFFFFF"/>
          <w:lang w:val="en-US"/>
        </w:rPr>
        <w:t>, L.G.D.J., 2020</w:t>
      </w:r>
    </w:p>
    <w:p w14:paraId="279D239A" w14:textId="77777777" w:rsidR="007344C5" w:rsidRPr="00E72418" w:rsidRDefault="007344C5" w:rsidP="007344C5">
      <w:pPr>
        <w:pStyle w:val="Paragraphedeliste"/>
        <w:rPr>
          <w:rFonts w:ascii="Times New Roman" w:hAnsi="Times New Roman" w:cs="Times New Roman"/>
          <w:sz w:val="14"/>
          <w:szCs w:val="14"/>
          <w:lang w:val="en-US"/>
        </w:rPr>
      </w:pPr>
    </w:p>
    <w:p w14:paraId="66ED1E7C" w14:textId="0762EF5B" w:rsidR="007344C5" w:rsidRPr="00E72418" w:rsidRDefault="007344C5" w:rsidP="008D1D70">
      <w:pPr>
        <w:pStyle w:val="Paragraphedeliste"/>
        <w:numPr>
          <w:ilvl w:val="0"/>
          <w:numId w:val="15"/>
        </w:numPr>
        <w:autoSpaceDE w:val="0"/>
        <w:autoSpaceDN w:val="0"/>
        <w:adjustRightInd w:val="0"/>
        <w:spacing w:after="0"/>
        <w:rPr>
          <w:rFonts w:ascii="Times New Roman" w:hAnsi="Times New Roman" w:cs="Times New Roman"/>
          <w:szCs w:val="24"/>
          <w:lang w:val="en-US"/>
        </w:rPr>
      </w:pPr>
      <w:r w:rsidRPr="00E72418">
        <w:rPr>
          <w:smallCaps/>
          <w:szCs w:val="18"/>
        </w:rPr>
        <w:t>Mayer</w:t>
      </w:r>
      <w:r w:rsidRPr="00E72418">
        <w:rPr>
          <w:szCs w:val="18"/>
        </w:rPr>
        <w:t xml:space="preserve">, P., </w:t>
      </w:r>
      <w:r w:rsidRPr="00E72418">
        <w:rPr>
          <w:smallCaps/>
          <w:szCs w:val="18"/>
        </w:rPr>
        <w:t>Heuz</w:t>
      </w:r>
      <w:r w:rsidR="00547C2A" w:rsidRPr="00E72418">
        <w:rPr>
          <w:smallCaps/>
          <w:szCs w:val="18"/>
        </w:rPr>
        <w:t>e</w:t>
      </w:r>
      <w:r w:rsidRPr="00E72418">
        <w:rPr>
          <w:smallCaps/>
          <w:szCs w:val="18"/>
        </w:rPr>
        <w:t>, V.</w:t>
      </w:r>
      <w:r w:rsidRPr="00E72418">
        <w:rPr>
          <w:szCs w:val="18"/>
        </w:rPr>
        <w:t xml:space="preserve"> et </w:t>
      </w:r>
      <w:r w:rsidRPr="00E72418">
        <w:rPr>
          <w:smallCaps/>
          <w:szCs w:val="18"/>
        </w:rPr>
        <w:t>Remy</w:t>
      </w:r>
      <w:r w:rsidRPr="00E72418">
        <w:rPr>
          <w:szCs w:val="18"/>
        </w:rPr>
        <w:t xml:space="preserve">, B., </w:t>
      </w:r>
      <w:r w:rsidRPr="00E72418">
        <w:rPr>
          <w:i/>
          <w:szCs w:val="18"/>
        </w:rPr>
        <w:t>Droit international privé</w:t>
      </w:r>
      <w:r w:rsidRPr="00E72418">
        <w:rPr>
          <w:szCs w:val="18"/>
        </w:rPr>
        <w:t>, 12</w:t>
      </w:r>
      <w:r w:rsidR="0005101F">
        <w:rPr>
          <w:szCs w:val="18"/>
          <w:vertAlign w:val="superscript"/>
        </w:rPr>
        <w:t>e</w:t>
      </w:r>
      <w:r w:rsidRPr="00E72418">
        <w:rPr>
          <w:szCs w:val="18"/>
        </w:rPr>
        <w:t xml:space="preserve"> éd., L.G.D.J., 2020</w:t>
      </w:r>
    </w:p>
    <w:p w14:paraId="70BC941E" w14:textId="77777777" w:rsidR="00A91208" w:rsidRPr="00E72418" w:rsidRDefault="00A91208" w:rsidP="00A91208">
      <w:pPr>
        <w:pStyle w:val="Paragraphedeliste"/>
        <w:rPr>
          <w:rFonts w:ascii="Times New Roman" w:hAnsi="Times New Roman" w:cs="Times New Roman"/>
          <w:sz w:val="14"/>
          <w:szCs w:val="14"/>
          <w:lang w:val="en-US"/>
        </w:rPr>
      </w:pPr>
    </w:p>
    <w:p w14:paraId="0D8B34CC" w14:textId="0AD823D3"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 xml:space="preserve">Megliani, M., </w:t>
      </w:r>
      <w:r w:rsidRPr="00E72418">
        <w:rPr>
          <w:rFonts w:ascii="Times New Roman" w:hAnsi="Times New Roman" w:cs="Times New Roman"/>
          <w:i/>
          <w:szCs w:val="24"/>
          <w:shd w:val="clear" w:color="auto" w:fill="FFFFFF"/>
          <w:lang w:val="en-US"/>
        </w:rPr>
        <w:t>Sovereign Debt: Genesis, Restructuring, litigation</w:t>
      </w:r>
      <w:r w:rsidRPr="00E72418">
        <w:rPr>
          <w:rFonts w:ascii="Times New Roman" w:hAnsi="Times New Roman" w:cs="Times New Roman"/>
          <w:szCs w:val="24"/>
          <w:shd w:val="clear" w:color="auto" w:fill="FFFFFF"/>
          <w:lang w:val="en-US"/>
        </w:rPr>
        <w:t>, Springer, 2015</w:t>
      </w:r>
    </w:p>
    <w:p w14:paraId="30751DE6" w14:textId="77777777" w:rsidR="00A91208" w:rsidRPr="00E72418" w:rsidRDefault="00A91208" w:rsidP="00A91208">
      <w:pPr>
        <w:pStyle w:val="Paragraphedeliste"/>
        <w:rPr>
          <w:rFonts w:ascii="Times New Roman" w:hAnsi="Times New Roman" w:cs="Times New Roman"/>
          <w:sz w:val="14"/>
          <w:szCs w:val="14"/>
          <w:lang w:val="en-US"/>
        </w:rPr>
      </w:pPr>
    </w:p>
    <w:p w14:paraId="1808C557" w14:textId="53B7A512"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Montesquieu</w:t>
      </w:r>
      <w:r w:rsidRPr="00E72418">
        <w:rPr>
          <w:rFonts w:ascii="Times New Roman" w:hAnsi="Times New Roman" w:cs="Times New Roman"/>
          <w:szCs w:val="24"/>
          <w:lang w:val="en-US"/>
        </w:rPr>
        <w:t xml:space="preserve">, </w:t>
      </w:r>
      <w:r w:rsidR="000147B8" w:rsidRPr="00E72418">
        <w:rPr>
          <w:i/>
        </w:rPr>
        <w:t>L’Esprit des Lois</w:t>
      </w:r>
      <w:r w:rsidR="000147B8" w:rsidRPr="00E72418">
        <w:t>, Belin, 1817 (publication originale : 1748)</w:t>
      </w:r>
    </w:p>
    <w:p w14:paraId="23876AB5" w14:textId="77777777" w:rsidR="00A91208" w:rsidRPr="00E72418" w:rsidRDefault="00A91208" w:rsidP="00A91208">
      <w:pPr>
        <w:pStyle w:val="Paragraphedeliste"/>
        <w:rPr>
          <w:rFonts w:ascii="Times New Roman" w:hAnsi="Times New Roman" w:cs="Times New Roman"/>
          <w:sz w:val="14"/>
          <w:szCs w:val="14"/>
          <w:lang w:val="en-US"/>
        </w:rPr>
      </w:pPr>
    </w:p>
    <w:p w14:paraId="1D155BE7" w14:textId="6BBBBDB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Newcombe</w:t>
      </w:r>
      <w:r w:rsidR="00423C96" w:rsidRPr="00E72418">
        <w:rPr>
          <w:rFonts w:ascii="Times New Roman" w:hAnsi="Times New Roman" w:cs="Times New Roman"/>
          <w:smallCaps/>
          <w:szCs w:val="24"/>
        </w:rPr>
        <w:t>,</w:t>
      </w:r>
      <w:r w:rsidRPr="00E72418">
        <w:rPr>
          <w:rFonts w:ascii="Times New Roman" w:hAnsi="Times New Roman" w:cs="Times New Roman"/>
          <w:smallCaps/>
          <w:szCs w:val="24"/>
        </w:rPr>
        <w:t xml:space="preserve"> A.</w:t>
      </w:r>
      <w:r w:rsidRPr="00E72418">
        <w:rPr>
          <w:rFonts w:ascii="Times New Roman" w:hAnsi="Times New Roman" w:cs="Times New Roman"/>
          <w:szCs w:val="24"/>
        </w:rPr>
        <w:t xml:space="preserve"> et </w:t>
      </w:r>
      <w:r w:rsidRPr="00E72418">
        <w:rPr>
          <w:rFonts w:ascii="Times New Roman" w:hAnsi="Times New Roman" w:cs="Times New Roman"/>
          <w:smallCaps/>
          <w:szCs w:val="24"/>
        </w:rPr>
        <w:t>Paradell</w:t>
      </w:r>
      <w:r w:rsidRPr="00E72418">
        <w:rPr>
          <w:rFonts w:ascii="Times New Roman" w:hAnsi="Times New Roman" w:cs="Times New Roman"/>
          <w:szCs w:val="24"/>
        </w:rPr>
        <w:t xml:space="preserve">, L., </w:t>
      </w:r>
      <w:r w:rsidRPr="00E72418">
        <w:rPr>
          <w:rFonts w:ascii="Times New Roman" w:hAnsi="Times New Roman" w:cs="Times New Roman"/>
          <w:i/>
          <w:szCs w:val="24"/>
        </w:rPr>
        <w:t>Law and Practice of Investment Treaties</w:t>
      </w:r>
      <w:r w:rsidRPr="00E72418">
        <w:rPr>
          <w:rFonts w:ascii="Times New Roman" w:hAnsi="Times New Roman" w:cs="Times New Roman"/>
          <w:szCs w:val="24"/>
        </w:rPr>
        <w:t>, Kluwer, 2009</w:t>
      </w:r>
    </w:p>
    <w:p w14:paraId="6E9D25B3" w14:textId="77777777" w:rsidR="00373207" w:rsidRPr="00E72418" w:rsidRDefault="00373207" w:rsidP="00373207">
      <w:pPr>
        <w:pStyle w:val="Paragraphedeliste"/>
        <w:rPr>
          <w:rFonts w:ascii="Times New Roman" w:hAnsi="Times New Roman" w:cs="Times New Roman"/>
          <w:sz w:val="14"/>
          <w:szCs w:val="14"/>
          <w:lang w:val="en-US"/>
        </w:rPr>
      </w:pPr>
    </w:p>
    <w:p w14:paraId="1167FBD1" w14:textId="5A81E89A" w:rsidR="00373207" w:rsidRPr="00E72418" w:rsidRDefault="00373207" w:rsidP="008D1D70">
      <w:pPr>
        <w:pStyle w:val="Paragraphedeliste"/>
        <w:numPr>
          <w:ilvl w:val="0"/>
          <w:numId w:val="15"/>
        </w:numPr>
        <w:spacing w:after="0"/>
        <w:rPr>
          <w:rFonts w:ascii="Times New Roman" w:hAnsi="Times New Roman" w:cs="Times New Roman"/>
          <w:szCs w:val="24"/>
          <w:lang w:val="en-US"/>
        </w:rPr>
      </w:pPr>
      <w:r w:rsidRPr="00E72418">
        <w:rPr>
          <w:smallCaps/>
        </w:rPr>
        <w:t>Ost</w:t>
      </w:r>
      <w:r w:rsidRPr="00E72418">
        <w:t xml:space="preserve">, F., </w:t>
      </w:r>
      <w:r w:rsidRPr="00E72418">
        <w:rPr>
          <w:rFonts w:cs="Times New Roman"/>
          <w:i/>
          <w:lang w:eastAsia="fr-BE"/>
        </w:rPr>
        <w:t>À</w:t>
      </w:r>
      <w:r w:rsidRPr="00E72418">
        <w:rPr>
          <w:i/>
        </w:rPr>
        <w:t xml:space="preserve"> quoi sert le droit ? </w:t>
      </w:r>
      <w:r w:rsidRPr="00E72418">
        <w:rPr>
          <w:rFonts w:ascii="Times New Roman" w:hAnsi="Times New Roman" w:cs="Times New Roman"/>
          <w:b/>
          <w:i/>
          <w:szCs w:val="24"/>
        </w:rPr>
        <w:t>–</w:t>
      </w:r>
      <w:r w:rsidRPr="00E72418">
        <w:rPr>
          <w:i/>
        </w:rPr>
        <w:t xml:space="preserve"> Usage, fonction, finalité</w:t>
      </w:r>
      <w:r w:rsidRPr="00E72418">
        <w:t>, Larcier, 2016</w:t>
      </w:r>
    </w:p>
    <w:p w14:paraId="57735E98" w14:textId="77777777" w:rsidR="00A91208" w:rsidRPr="00E72418" w:rsidRDefault="00A91208" w:rsidP="00A91208">
      <w:pPr>
        <w:pStyle w:val="Paragraphedeliste"/>
        <w:rPr>
          <w:rFonts w:ascii="Times New Roman" w:hAnsi="Times New Roman" w:cs="Times New Roman"/>
          <w:sz w:val="14"/>
          <w:szCs w:val="14"/>
          <w:lang w:val="en-US"/>
        </w:rPr>
      </w:pPr>
    </w:p>
    <w:p w14:paraId="0000D779"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Pettis</w:t>
      </w:r>
      <w:r w:rsidRPr="00E72418">
        <w:rPr>
          <w:rFonts w:ascii="Times New Roman" w:hAnsi="Times New Roman" w:cs="Times New Roman"/>
          <w:szCs w:val="24"/>
          <w:lang w:val="en-US"/>
        </w:rPr>
        <w:t xml:space="preserve">, M., </w:t>
      </w:r>
      <w:r w:rsidRPr="00E72418">
        <w:rPr>
          <w:rFonts w:ascii="Times New Roman" w:hAnsi="Times New Roman" w:cs="Times New Roman"/>
          <w:i/>
          <w:szCs w:val="24"/>
          <w:lang w:val="en-US"/>
        </w:rPr>
        <w:t>The Volatility Machine: Emerging Economies and the Threat of Financial Collapse</w:t>
      </w:r>
      <w:r w:rsidRPr="00E72418">
        <w:rPr>
          <w:rFonts w:ascii="Times New Roman" w:hAnsi="Times New Roman" w:cs="Times New Roman"/>
          <w:szCs w:val="24"/>
          <w:lang w:val="en-US"/>
        </w:rPr>
        <w:t>, Oxford University Press, 2001</w:t>
      </w:r>
    </w:p>
    <w:p w14:paraId="3B56DFCD" w14:textId="77777777" w:rsidR="00A91208" w:rsidRPr="00E72418" w:rsidRDefault="00A91208" w:rsidP="00A91208">
      <w:pPr>
        <w:pStyle w:val="Paragraphedeliste"/>
        <w:rPr>
          <w:rFonts w:ascii="Times New Roman" w:hAnsi="Times New Roman" w:cs="Times New Roman"/>
          <w:sz w:val="14"/>
          <w:szCs w:val="14"/>
          <w:lang w:val="en-US"/>
        </w:rPr>
      </w:pPr>
    </w:p>
    <w:p w14:paraId="0ED480B6"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Rault, C., </w:t>
      </w:r>
      <w:r w:rsidRPr="00E72418">
        <w:rPr>
          <w:rFonts w:ascii="Times New Roman" w:hAnsi="Times New Roman" w:cs="Times New Roman"/>
          <w:i/>
          <w:szCs w:val="24"/>
          <w:lang w:val="en-US"/>
        </w:rPr>
        <w:t>The Legal Framework of Sovereign Debt Management</w:t>
      </w:r>
      <w:r w:rsidRPr="00E72418">
        <w:rPr>
          <w:rFonts w:ascii="Times New Roman" w:hAnsi="Times New Roman" w:cs="Times New Roman"/>
          <w:szCs w:val="24"/>
          <w:lang w:val="en-US"/>
        </w:rPr>
        <w:t>, Nomos, 2017</w:t>
      </w:r>
    </w:p>
    <w:p w14:paraId="095A8117" w14:textId="77777777" w:rsidR="00A91208" w:rsidRPr="00E72418" w:rsidRDefault="00A91208" w:rsidP="00A91208">
      <w:pPr>
        <w:pStyle w:val="Paragraphedeliste"/>
        <w:rPr>
          <w:rFonts w:ascii="Times New Roman" w:hAnsi="Times New Roman" w:cs="Times New Roman"/>
          <w:sz w:val="14"/>
          <w:szCs w:val="14"/>
          <w:lang w:val="en-US"/>
        </w:rPr>
      </w:pPr>
    </w:p>
    <w:p w14:paraId="701700F5" w14:textId="655C58BE"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Reinhart</w:t>
      </w:r>
      <w:r w:rsidRPr="00E72418">
        <w:rPr>
          <w:rFonts w:ascii="Times New Roman" w:hAnsi="Times New Roman" w:cs="Times New Roman"/>
          <w:szCs w:val="24"/>
          <w:lang w:val="en-US"/>
        </w:rPr>
        <w:t xml:space="preserve">, C. et </w:t>
      </w:r>
      <w:r w:rsidRPr="00E72418">
        <w:rPr>
          <w:rFonts w:ascii="Times New Roman" w:hAnsi="Times New Roman" w:cs="Times New Roman"/>
          <w:smallCaps/>
          <w:szCs w:val="24"/>
          <w:lang w:val="en-US"/>
        </w:rPr>
        <w:t>Rogoff</w:t>
      </w:r>
      <w:r w:rsidRPr="00E72418">
        <w:rPr>
          <w:rFonts w:ascii="Times New Roman" w:hAnsi="Times New Roman" w:cs="Times New Roman"/>
          <w:szCs w:val="24"/>
          <w:lang w:val="en-US"/>
        </w:rPr>
        <w:t>, K., </w:t>
      </w:r>
      <w:r w:rsidR="00E47569" w:rsidRPr="00E72418">
        <w:rPr>
          <w:rFonts w:ascii="Times New Roman" w:hAnsi="Times New Roman" w:cs="Times New Roman"/>
          <w:i/>
          <w:szCs w:val="24"/>
          <w:lang w:val="en-US"/>
        </w:rPr>
        <w:t>This Time is D</w:t>
      </w:r>
      <w:r w:rsidRPr="00E72418">
        <w:rPr>
          <w:rFonts w:ascii="Times New Roman" w:hAnsi="Times New Roman" w:cs="Times New Roman"/>
          <w:i/>
          <w:szCs w:val="24"/>
          <w:lang w:val="en-US"/>
        </w:rPr>
        <w:t>ifferent – Eight Centuries of Financial Folly</w:t>
      </w:r>
      <w:r w:rsidRPr="00E72418">
        <w:rPr>
          <w:rFonts w:ascii="Times New Roman" w:hAnsi="Times New Roman" w:cs="Times New Roman"/>
          <w:szCs w:val="24"/>
          <w:lang w:val="en-US"/>
        </w:rPr>
        <w:t>, Princeton University Press, 2009</w:t>
      </w:r>
    </w:p>
    <w:p w14:paraId="3D8C9A49" w14:textId="77777777" w:rsidR="00A91208" w:rsidRPr="00E72418" w:rsidRDefault="00A91208" w:rsidP="00A91208">
      <w:pPr>
        <w:pStyle w:val="Paragraphedeliste"/>
        <w:rPr>
          <w:rFonts w:ascii="Times New Roman" w:hAnsi="Times New Roman" w:cs="Times New Roman"/>
          <w:sz w:val="14"/>
          <w:szCs w:val="14"/>
          <w:lang w:val="en-US"/>
        </w:rPr>
      </w:pPr>
    </w:p>
    <w:p w14:paraId="5607AFEB" w14:textId="6425210D"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Rigaux, F.</w:t>
      </w:r>
      <w:r w:rsidRPr="00E72418">
        <w:rPr>
          <w:rFonts w:ascii="Times New Roman" w:hAnsi="Times New Roman" w:cs="Times New Roman"/>
          <w:szCs w:val="24"/>
        </w:rPr>
        <w:t xml:space="preserve"> et </w:t>
      </w:r>
      <w:r w:rsidRPr="00E72418">
        <w:rPr>
          <w:rFonts w:ascii="Times New Roman" w:hAnsi="Times New Roman" w:cs="Times New Roman"/>
          <w:smallCaps/>
          <w:szCs w:val="24"/>
        </w:rPr>
        <w:t>Fallon</w:t>
      </w:r>
      <w:r w:rsidRPr="00E72418">
        <w:rPr>
          <w:rFonts w:ascii="Times New Roman" w:hAnsi="Times New Roman" w:cs="Times New Roman"/>
          <w:szCs w:val="24"/>
        </w:rPr>
        <w:t xml:space="preserve">, M., </w:t>
      </w:r>
      <w:r w:rsidRPr="00E72418">
        <w:rPr>
          <w:rFonts w:ascii="Times New Roman" w:hAnsi="Times New Roman" w:cs="Times New Roman"/>
          <w:i/>
          <w:szCs w:val="24"/>
        </w:rPr>
        <w:t>Droit international privé</w:t>
      </w:r>
      <w:r w:rsidRPr="00E72418">
        <w:rPr>
          <w:rFonts w:ascii="Times New Roman" w:hAnsi="Times New Roman" w:cs="Times New Roman"/>
          <w:szCs w:val="24"/>
        </w:rPr>
        <w:t>, 3</w:t>
      </w:r>
      <w:r w:rsidRPr="00E72418">
        <w:rPr>
          <w:rFonts w:ascii="Times New Roman" w:hAnsi="Times New Roman" w:cs="Times New Roman"/>
          <w:szCs w:val="24"/>
          <w:vertAlign w:val="superscript"/>
        </w:rPr>
        <w:t>e</w:t>
      </w:r>
      <w:r w:rsidR="00B660E3" w:rsidRPr="00E72418">
        <w:rPr>
          <w:rFonts w:ascii="Times New Roman" w:hAnsi="Times New Roman" w:cs="Times New Roman"/>
          <w:szCs w:val="24"/>
        </w:rPr>
        <w:t xml:space="preserve"> éd.</w:t>
      </w:r>
      <w:r w:rsidRPr="00E72418">
        <w:rPr>
          <w:rFonts w:ascii="Times New Roman" w:hAnsi="Times New Roman" w:cs="Times New Roman"/>
          <w:szCs w:val="24"/>
        </w:rPr>
        <w:t>, Larcier, 2005</w:t>
      </w:r>
    </w:p>
    <w:p w14:paraId="7FF4BC8F" w14:textId="77777777" w:rsidR="00A91208" w:rsidRPr="00E72418" w:rsidRDefault="00A91208" w:rsidP="00A91208">
      <w:pPr>
        <w:pStyle w:val="Paragraphedeliste"/>
        <w:rPr>
          <w:rFonts w:ascii="Times New Roman" w:hAnsi="Times New Roman" w:cs="Times New Roman"/>
          <w:sz w:val="14"/>
          <w:szCs w:val="14"/>
          <w:lang w:val="en-US"/>
        </w:rPr>
      </w:pPr>
    </w:p>
    <w:p w14:paraId="6AF2B341" w14:textId="55FB995B"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rPr>
        <w:t xml:space="preserve">Sack, A., </w:t>
      </w:r>
      <w:r w:rsidRPr="00E72418">
        <w:rPr>
          <w:rFonts w:ascii="Times New Roman" w:hAnsi="Times New Roman" w:cs="Times New Roman"/>
          <w:i/>
          <w:szCs w:val="24"/>
        </w:rPr>
        <w:t xml:space="preserve">Les effets des transformations des </w:t>
      </w:r>
      <w:r w:rsidRPr="00E72418">
        <w:rPr>
          <w:rFonts w:ascii="Times New Roman" w:hAnsi="Times New Roman" w:cs="Times New Roman"/>
          <w:i/>
          <w:szCs w:val="24"/>
          <w:lang w:eastAsia="fr-BE"/>
        </w:rPr>
        <w:t>É</w:t>
      </w:r>
      <w:r w:rsidRPr="00E72418">
        <w:rPr>
          <w:rFonts w:ascii="Times New Roman" w:hAnsi="Times New Roman" w:cs="Times New Roman"/>
          <w:i/>
          <w:szCs w:val="24"/>
        </w:rPr>
        <w:t>tats sur leurs dettes publiques et autres obligations financières</w:t>
      </w:r>
      <w:r w:rsidRPr="00E72418">
        <w:rPr>
          <w:rFonts w:ascii="Times New Roman" w:hAnsi="Times New Roman" w:cs="Times New Roman"/>
          <w:szCs w:val="24"/>
        </w:rPr>
        <w:t>, Sirey, 1927</w:t>
      </w:r>
    </w:p>
    <w:p w14:paraId="618629DB" w14:textId="77777777" w:rsidR="00A17224" w:rsidRPr="00E72418" w:rsidRDefault="00A17224" w:rsidP="00A17224">
      <w:pPr>
        <w:pStyle w:val="Paragraphedeliste"/>
        <w:rPr>
          <w:rFonts w:ascii="Times New Roman" w:hAnsi="Times New Roman" w:cs="Times New Roman"/>
          <w:sz w:val="14"/>
          <w:szCs w:val="14"/>
          <w:lang w:val="en-US"/>
        </w:rPr>
      </w:pPr>
    </w:p>
    <w:p w14:paraId="30370E4E" w14:textId="79157EC2" w:rsidR="00A17224" w:rsidRPr="00E72418" w:rsidRDefault="00A17224" w:rsidP="008D1D70">
      <w:pPr>
        <w:pStyle w:val="Paragraphedeliste"/>
        <w:numPr>
          <w:ilvl w:val="0"/>
          <w:numId w:val="15"/>
        </w:numPr>
        <w:spacing w:after="0"/>
        <w:rPr>
          <w:rFonts w:ascii="Times New Roman" w:hAnsi="Times New Roman" w:cs="Times New Roman"/>
          <w:szCs w:val="24"/>
          <w:lang w:val="en-US"/>
        </w:rPr>
      </w:pPr>
      <w:r w:rsidRPr="00E72418">
        <w:rPr>
          <w:smallCaps/>
        </w:rPr>
        <w:t>Salmon</w:t>
      </w:r>
      <w:r w:rsidRPr="00E72418">
        <w:t>, J.</w:t>
      </w:r>
      <w:r w:rsidR="00F928DE" w:rsidRPr="00E72418">
        <w:t xml:space="preserve"> (dir.)</w:t>
      </w:r>
      <w:r w:rsidRPr="00E72418">
        <w:t xml:space="preserve">, </w:t>
      </w:r>
      <w:r w:rsidRPr="00E72418">
        <w:rPr>
          <w:i/>
        </w:rPr>
        <w:t>Dictionnaire de droit international public</w:t>
      </w:r>
      <w:r w:rsidR="00886A73" w:rsidRPr="00E72418">
        <w:t>, Bruylant, 2001</w:t>
      </w:r>
    </w:p>
    <w:p w14:paraId="7BD3C7CF" w14:textId="77777777" w:rsidR="00A91208" w:rsidRPr="00E72418" w:rsidRDefault="00A91208" w:rsidP="00A91208">
      <w:pPr>
        <w:pStyle w:val="Paragraphedeliste"/>
        <w:rPr>
          <w:rFonts w:ascii="Times New Roman" w:hAnsi="Times New Roman" w:cs="Times New Roman"/>
          <w:sz w:val="14"/>
          <w:szCs w:val="14"/>
          <w:lang w:val="en-US"/>
        </w:rPr>
      </w:pPr>
    </w:p>
    <w:p w14:paraId="06A55281" w14:textId="77777777"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Smith</w:t>
      </w:r>
      <w:r w:rsidRPr="00E72418">
        <w:rPr>
          <w:rFonts w:ascii="Times New Roman" w:hAnsi="Times New Roman" w:cs="Times New Roman"/>
          <w:szCs w:val="24"/>
          <w:lang w:val="en-US"/>
        </w:rPr>
        <w:t xml:space="preserve">, A., </w:t>
      </w:r>
      <w:r w:rsidRPr="00E72418">
        <w:rPr>
          <w:rFonts w:ascii="Times New Roman" w:hAnsi="Times New Roman" w:cs="Times New Roman"/>
          <w:i/>
          <w:szCs w:val="24"/>
          <w:lang w:val="en-US"/>
        </w:rPr>
        <w:t>An Inquiry into the Nature and Causes of the Wealth of Nations</w:t>
      </w:r>
      <w:r w:rsidRPr="00E72418">
        <w:rPr>
          <w:rFonts w:ascii="Times New Roman" w:hAnsi="Times New Roman" w:cs="Times New Roman"/>
          <w:szCs w:val="24"/>
          <w:lang w:val="en-US"/>
        </w:rPr>
        <w:t>, 1776</w:t>
      </w:r>
    </w:p>
    <w:p w14:paraId="0F5ACD8C" w14:textId="77777777" w:rsidR="00A91208" w:rsidRPr="00E72418" w:rsidRDefault="00A91208" w:rsidP="00A91208">
      <w:pPr>
        <w:pStyle w:val="Paragraphedeliste"/>
        <w:rPr>
          <w:rFonts w:ascii="Times New Roman" w:hAnsi="Times New Roman" w:cs="Times New Roman"/>
          <w:sz w:val="14"/>
          <w:szCs w:val="14"/>
          <w:lang w:val="en-US"/>
        </w:rPr>
      </w:pPr>
    </w:p>
    <w:p w14:paraId="298C2D8E" w14:textId="46DF9521" w:rsidR="00A91208" w:rsidRPr="00E72418" w:rsidRDefault="00A91208" w:rsidP="008D1D70">
      <w:pPr>
        <w:pStyle w:val="Paragraphedeliste"/>
        <w:numPr>
          <w:ilvl w:val="0"/>
          <w:numId w:val="15"/>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Sookun</w:t>
      </w:r>
      <w:r w:rsidRPr="00E72418">
        <w:rPr>
          <w:rFonts w:ascii="Times New Roman" w:hAnsi="Times New Roman" w:cs="Times New Roman"/>
          <w:szCs w:val="24"/>
          <w:lang w:val="en-GB"/>
        </w:rPr>
        <w:t xml:space="preserve">, D., </w:t>
      </w:r>
      <w:r w:rsidRPr="00E72418">
        <w:rPr>
          <w:rFonts w:ascii="Times New Roman" w:hAnsi="Times New Roman" w:cs="Times New Roman"/>
          <w:i/>
          <w:szCs w:val="24"/>
          <w:lang w:val="en-GB"/>
        </w:rPr>
        <w:t>Stop Vulture Fund Lawsuits: a Handbook</w:t>
      </w:r>
      <w:r w:rsidRPr="00E72418">
        <w:rPr>
          <w:rFonts w:ascii="Times New Roman" w:hAnsi="Times New Roman" w:cs="Times New Roman"/>
          <w:szCs w:val="24"/>
          <w:lang w:val="en-GB"/>
        </w:rPr>
        <w:t>, Commonwealth Secretariat, 2010</w:t>
      </w:r>
    </w:p>
    <w:p w14:paraId="3CBCD4BE" w14:textId="77777777" w:rsidR="00C25E4D" w:rsidRPr="00E72418" w:rsidRDefault="00C25E4D" w:rsidP="00C25E4D">
      <w:pPr>
        <w:pStyle w:val="Paragraphedeliste"/>
        <w:rPr>
          <w:rFonts w:ascii="Times New Roman" w:hAnsi="Times New Roman" w:cs="Times New Roman"/>
          <w:sz w:val="14"/>
          <w:szCs w:val="14"/>
          <w:lang w:val="en-US"/>
        </w:rPr>
      </w:pPr>
    </w:p>
    <w:p w14:paraId="0A68F393" w14:textId="6623DFC6" w:rsidR="00C25E4D" w:rsidRPr="00E72418" w:rsidRDefault="00C25E4D" w:rsidP="008D1D70">
      <w:pPr>
        <w:pStyle w:val="Paragraphedeliste"/>
        <w:numPr>
          <w:ilvl w:val="0"/>
          <w:numId w:val="15"/>
        </w:numPr>
        <w:spacing w:after="0"/>
        <w:rPr>
          <w:rFonts w:ascii="Times New Roman" w:hAnsi="Times New Roman" w:cs="Times New Roman"/>
          <w:szCs w:val="24"/>
          <w:lang w:val="en-US"/>
        </w:rPr>
      </w:pPr>
      <w:r w:rsidRPr="00E72418">
        <w:rPr>
          <w:smallCaps/>
        </w:rPr>
        <w:t>Strickler, Y.</w:t>
      </w:r>
      <w:r w:rsidRPr="00E72418">
        <w:t xml:space="preserve"> et </w:t>
      </w:r>
      <w:r w:rsidRPr="00E72418">
        <w:rPr>
          <w:smallCaps/>
        </w:rPr>
        <w:t>Varnek</w:t>
      </w:r>
      <w:r w:rsidRPr="00E72418">
        <w:t xml:space="preserve">, A., </w:t>
      </w:r>
      <w:r w:rsidRPr="00E72418">
        <w:rPr>
          <w:i/>
        </w:rPr>
        <w:t>Procédure civile</w:t>
      </w:r>
      <w:r w:rsidRPr="00E72418">
        <w:t>, 11</w:t>
      </w:r>
      <w:r w:rsidRPr="00E72418">
        <w:rPr>
          <w:vertAlign w:val="superscript"/>
        </w:rPr>
        <w:t xml:space="preserve">e </w:t>
      </w:r>
      <w:r w:rsidRPr="00E72418">
        <w:t>éd., Bruylant, 2021</w:t>
      </w:r>
    </w:p>
    <w:p w14:paraId="01BC752F" w14:textId="77777777" w:rsidR="00A91208" w:rsidRPr="00E72418" w:rsidRDefault="00A91208" w:rsidP="00A91208">
      <w:pPr>
        <w:pStyle w:val="Paragraphedeliste"/>
        <w:rPr>
          <w:rFonts w:ascii="Times New Roman" w:hAnsi="Times New Roman" w:cs="Times New Roman"/>
          <w:sz w:val="14"/>
          <w:szCs w:val="14"/>
          <w:lang w:val="en-US"/>
        </w:rPr>
      </w:pPr>
    </w:p>
    <w:p w14:paraId="35E84253" w14:textId="77777777"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lang w:val="en-GB"/>
        </w:rPr>
        <w:t xml:space="preserve">Sturzenegger, F. </w:t>
      </w:r>
      <w:r w:rsidRPr="00E72418">
        <w:rPr>
          <w:rFonts w:ascii="Times New Roman" w:hAnsi="Times New Roman" w:cs="Times New Roman"/>
          <w:szCs w:val="24"/>
          <w:lang w:val="en-GB"/>
        </w:rPr>
        <w:t xml:space="preserve">et </w:t>
      </w:r>
      <w:r w:rsidRPr="00E72418">
        <w:rPr>
          <w:rFonts w:ascii="Times New Roman" w:hAnsi="Times New Roman" w:cs="Times New Roman"/>
          <w:smallCaps/>
          <w:szCs w:val="24"/>
          <w:lang w:val="en-GB"/>
        </w:rPr>
        <w:t xml:space="preserve">Zettelmeyer, J., </w:t>
      </w:r>
      <w:r w:rsidRPr="00E72418">
        <w:rPr>
          <w:rFonts w:ascii="Times New Roman" w:hAnsi="Times New Roman" w:cs="Times New Roman"/>
          <w:i/>
          <w:szCs w:val="24"/>
          <w:lang w:val="en-GB"/>
        </w:rPr>
        <w:t>Debt Defaults and Lessons from a Decade of Crises</w:t>
      </w:r>
      <w:r w:rsidRPr="00E72418">
        <w:rPr>
          <w:rFonts w:ascii="Times New Roman" w:hAnsi="Times New Roman" w:cs="Times New Roman"/>
          <w:smallCaps/>
          <w:szCs w:val="24"/>
          <w:lang w:val="en-GB"/>
        </w:rPr>
        <w:t xml:space="preserve">, </w:t>
      </w:r>
      <w:r w:rsidRPr="00E72418">
        <w:rPr>
          <w:rFonts w:ascii="Times New Roman" w:hAnsi="Times New Roman" w:cs="Times New Roman"/>
          <w:szCs w:val="24"/>
          <w:lang w:val="en-GB"/>
        </w:rPr>
        <w:t>The MIT Press</w:t>
      </w:r>
      <w:r w:rsidRPr="00E72418">
        <w:rPr>
          <w:rFonts w:ascii="Times New Roman" w:hAnsi="Times New Roman" w:cs="Times New Roman"/>
          <w:smallCaps/>
          <w:szCs w:val="24"/>
          <w:lang w:val="en-GB"/>
        </w:rPr>
        <w:t>, 2006</w:t>
      </w:r>
    </w:p>
    <w:p w14:paraId="2A45311D" w14:textId="77777777" w:rsidR="00A91208" w:rsidRPr="00E72418" w:rsidRDefault="00A91208" w:rsidP="00A91208">
      <w:pPr>
        <w:pStyle w:val="Paragraphedeliste"/>
        <w:rPr>
          <w:rFonts w:ascii="Times New Roman" w:hAnsi="Times New Roman" w:cs="Times New Roman"/>
          <w:smallCaps/>
          <w:sz w:val="14"/>
          <w:szCs w:val="14"/>
          <w:lang w:val="en-GB"/>
        </w:rPr>
      </w:pPr>
    </w:p>
    <w:p w14:paraId="3B79F08A" w14:textId="77777777"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lang w:val="en-US"/>
        </w:rPr>
        <w:t>Taffet, J.</w:t>
      </w:r>
      <w:r w:rsidRPr="00E72418">
        <w:rPr>
          <w:rFonts w:ascii="Times New Roman" w:hAnsi="Times New Roman" w:cs="Times New Roman"/>
          <w:szCs w:val="24"/>
          <w:lang w:val="en-US"/>
        </w:rPr>
        <w:t xml:space="preserve"> et D. </w:t>
      </w:r>
      <w:r w:rsidRPr="00E72418">
        <w:rPr>
          <w:rFonts w:ascii="Times New Roman" w:hAnsi="Times New Roman" w:cs="Times New Roman"/>
          <w:smallCaps/>
          <w:szCs w:val="24"/>
          <w:lang w:val="en-US"/>
        </w:rPr>
        <w:t>Walcher</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The United States and Latin America : A History with Documents</w:t>
      </w:r>
      <w:r w:rsidRPr="00E72418">
        <w:rPr>
          <w:rFonts w:ascii="Times New Roman" w:hAnsi="Times New Roman" w:cs="Times New Roman"/>
          <w:szCs w:val="24"/>
          <w:lang w:val="en-US"/>
        </w:rPr>
        <w:t>, Routledge, 2017</w:t>
      </w:r>
    </w:p>
    <w:p w14:paraId="500DB127" w14:textId="77777777" w:rsidR="00A91208" w:rsidRPr="00E72418" w:rsidRDefault="00A91208" w:rsidP="00A91208">
      <w:pPr>
        <w:pStyle w:val="Paragraphedeliste"/>
        <w:rPr>
          <w:rFonts w:ascii="Times New Roman" w:hAnsi="Times New Roman" w:cs="Times New Roman"/>
          <w:smallCaps/>
          <w:sz w:val="14"/>
          <w:szCs w:val="14"/>
          <w:lang w:val="en-GB"/>
        </w:rPr>
      </w:pPr>
    </w:p>
    <w:p w14:paraId="385208E6" w14:textId="77777777"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lang w:val="en-GB"/>
        </w:rPr>
        <w:t xml:space="preserve">Tomz, M., </w:t>
      </w:r>
      <w:r w:rsidRPr="00E72418">
        <w:rPr>
          <w:rFonts w:ascii="Times New Roman" w:hAnsi="Times New Roman" w:cs="Times New Roman"/>
          <w:i/>
          <w:szCs w:val="24"/>
          <w:lang w:val="en-GB"/>
        </w:rPr>
        <w:t>Reputation and International Cooperation: Sovereign Debt across Three Centuries</w:t>
      </w:r>
      <w:r w:rsidRPr="00E72418">
        <w:rPr>
          <w:rFonts w:ascii="Times New Roman" w:hAnsi="Times New Roman" w:cs="Times New Roman"/>
          <w:szCs w:val="24"/>
          <w:lang w:val="en-GB"/>
        </w:rPr>
        <w:t>, Princetown University Press, 2007</w:t>
      </w:r>
    </w:p>
    <w:p w14:paraId="3E2C3054" w14:textId="77777777" w:rsidR="00A91208" w:rsidRPr="00E72418" w:rsidRDefault="00A91208" w:rsidP="00A91208">
      <w:pPr>
        <w:pStyle w:val="Paragraphedeliste"/>
        <w:rPr>
          <w:rFonts w:ascii="Times New Roman" w:hAnsi="Times New Roman" w:cs="Times New Roman"/>
          <w:smallCaps/>
          <w:sz w:val="14"/>
          <w:szCs w:val="14"/>
          <w:lang w:val="en-GB"/>
        </w:rPr>
      </w:pPr>
    </w:p>
    <w:p w14:paraId="4046D903" w14:textId="5D83070B"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rPr>
        <w:t>Van Hecke</w:t>
      </w:r>
      <w:r w:rsidRPr="00E72418">
        <w:rPr>
          <w:rFonts w:ascii="Times New Roman" w:hAnsi="Times New Roman" w:cs="Times New Roman"/>
          <w:szCs w:val="24"/>
        </w:rPr>
        <w:t xml:space="preserve">, G., </w:t>
      </w:r>
      <w:r w:rsidRPr="00E72418">
        <w:rPr>
          <w:rFonts w:ascii="Times New Roman" w:hAnsi="Times New Roman" w:cs="Times New Roman"/>
          <w:i/>
          <w:szCs w:val="24"/>
        </w:rPr>
        <w:t>Problèmes juridiques des emprunts internationaux</w:t>
      </w:r>
      <w:r w:rsidRPr="00E72418">
        <w:rPr>
          <w:rFonts w:ascii="Times New Roman" w:hAnsi="Times New Roman" w:cs="Times New Roman"/>
          <w:szCs w:val="24"/>
        </w:rPr>
        <w:t>, 2</w:t>
      </w:r>
      <w:r w:rsidR="0005101F">
        <w:rPr>
          <w:rFonts w:ascii="Times New Roman" w:hAnsi="Times New Roman" w:cs="Times New Roman"/>
          <w:szCs w:val="24"/>
          <w:vertAlign w:val="superscript"/>
        </w:rPr>
        <w:t>e</w:t>
      </w:r>
      <w:r w:rsidRPr="00E72418">
        <w:rPr>
          <w:rFonts w:ascii="Times New Roman" w:hAnsi="Times New Roman" w:cs="Times New Roman"/>
          <w:szCs w:val="24"/>
        </w:rPr>
        <w:t xml:space="preserve"> éd., Brill, 1964</w:t>
      </w:r>
    </w:p>
    <w:p w14:paraId="79002167" w14:textId="77777777" w:rsidR="00A91208" w:rsidRPr="00E72418" w:rsidRDefault="00A91208" w:rsidP="00A91208">
      <w:pPr>
        <w:pStyle w:val="Paragraphedeliste"/>
        <w:rPr>
          <w:rFonts w:ascii="Times New Roman" w:hAnsi="Times New Roman" w:cs="Times New Roman"/>
          <w:smallCaps/>
          <w:sz w:val="14"/>
          <w:szCs w:val="14"/>
          <w:shd w:val="clear" w:color="auto" w:fill="FFFFFF"/>
          <w:lang w:val="en-GB"/>
        </w:rPr>
      </w:pPr>
    </w:p>
    <w:p w14:paraId="150E5A0A" w14:textId="77777777"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shd w:val="clear" w:color="auto" w:fill="FFFFFF"/>
          <w:lang w:val="en-GB"/>
        </w:rPr>
        <w:t>Waibel</w:t>
      </w:r>
      <w:r w:rsidRPr="00E72418">
        <w:rPr>
          <w:rFonts w:ascii="Times New Roman" w:hAnsi="Times New Roman" w:cs="Times New Roman"/>
          <w:szCs w:val="24"/>
          <w:shd w:val="clear" w:color="auto" w:fill="FFFFFF"/>
          <w:lang w:val="en-GB"/>
        </w:rPr>
        <w:t xml:space="preserve">, M., </w:t>
      </w:r>
      <w:r w:rsidRPr="00E72418">
        <w:rPr>
          <w:rFonts w:ascii="Times New Roman" w:hAnsi="Times New Roman" w:cs="Times New Roman"/>
          <w:i/>
          <w:szCs w:val="24"/>
          <w:shd w:val="clear" w:color="auto" w:fill="FFFFFF"/>
          <w:lang w:val="en-GB"/>
        </w:rPr>
        <w:t>Sovereign Defaults before International Courts and Tribunals</w:t>
      </w:r>
      <w:r w:rsidRPr="00E72418">
        <w:rPr>
          <w:rFonts w:ascii="Times New Roman" w:hAnsi="Times New Roman" w:cs="Times New Roman"/>
          <w:szCs w:val="24"/>
          <w:shd w:val="clear" w:color="auto" w:fill="FFFFFF"/>
          <w:lang w:val="en-GB"/>
        </w:rPr>
        <w:t>, Cambridge University Press, 2011</w:t>
      </w:r>
    </w:p>
    <w:p w14:paraId="62A10194" w14:textId="77777777" w:rsidR="00A91208" w:rsidRPr="00E72418" w:rsidRDefault="00A91208" w:rsidP="00A91208">
      <w:pPr>
        <w:pStyle w:val="Paragraphedeliste"/>
        <w:rPr>
          <w:rFonts w:ascii="Times New Roman" w:hAnsi="Times New Roman" w:cs="Times New Roman"/>
          <w:smallCaps/>
          <w:sz w:val="14"/>
          <w:szCs w:val="14"/>
          <w:lang w:val="en-GB"/>
        </w:rPr>
      </w:pPr>
    </w:p>
    <w:p w14:paraId="55C683B3" w14:textId="77777777" w:rsidR="00A91208" w:rsidRPr="00E72418" w:rsidRDefault="00A91208" w:rsidP="008D1D70">
      <w:pPr>
        <w:pStyle w:val="Paragraphedeliste"/>
        <w:numPr>
          <w:ilvl w:val="0"/>
          <w:numId w:val="15"/>
        </w:numPr>
        <w:spacing w:after="120"/>
        <w:rPr>
          <w:rFonts w:ascii="Times New Roman" w:hAnsi="Times New Roman" w:cs="Times New Roman"/>
          <w:smallCaps/>
          <w:szCs w:val="24"/>
          <w:lang w:val="en-GB"/>
        </w:rPr>
      </w:pPr>
      <w:r w:rsidRPr="00E72418">
        <w:rPr>
          <w:rFonts w:ascii="Times New Roman" w:hAnsi="Times New Roman" w:cs="Times New Roman"/>
          <w:smallCaps/>
          <w:szCs w:val="24"/>
          <w:lang w:val="en-US"/>
        </w:rPr>
        <w:t>Wong</w:t>
      </w:r>
      <w:r w:rsidRPr="00E72418">
        <w:rPr>
          <w:rFonts w:ascii="Times New Roman" w:hAnsi="Times New Roman" w:cs="Times New Roman"/>
          <w:szCs w:val="24"/>
          <w:lang w:val="en-US"/>
        </w:rPr>
        <w:t>, Y.,</w:t>
      </w:r>
      <w:r w:rsidRPr="00E72418">
        <w:rPr>
          <w:rFonts w:ascii="Times New Roman" w:hAnsi="Times New Roman" w:cs="Times New Roman"/>
          <w:i/>
          <w:szCs w:val="24"/>
          <w:lang w:val="en-US"/>
        </w:rPr>
        <w:t xml:space="preserve"> Sovereign Finance and the Poverty of Nations </w:t>
      </w:r>
      <w:r w:rsidRPr="00E72418">
        <w:rPr>
          <w:rFonts w:ascii="Times New Roman" w:hAnsi="Times New Roman" w:cs="Times New Roman"/>
          <w:b/>
          <w:i/>
          <w:szCs w:val="24"/>
        </w:rPr>
        <w:t xml:space="preserve">– </w:t>
      </w:r>
      <w:r w:rsidRPr="00E72418">
        <w:rPr>
          <w:rFonts w:ascii="Times New Roman" w:hAnsi="Times New Roman" w:cs="Times New Roman"/>
          <w:i/>
          <w:szCs w:val="24"/>
          <w:lang w:val="en-US"/>
        </w:rPr>
        <w:t>Odious Debt in International Law</w:t>
      </w:r>
      <w:r w:rsidRPr="00E72418">
        <w:rPr>
          <w:rFonts w:ascii="Times New Roman" w:hAnsi="Times New Roman" w:cs="Times New Roman"/>
          <w:szCs w:val="24"/>
          <w:lang w:val="en-US"/>
        </w:rPr>
        <w:t>, Eward Elgar Publishing, 2012</w:t>
      </w:r>
    </w:p>
    <w:p w14:paraId="3BB74A50" w14:textId="77777777" w:rsidR="00A91208" w:rsidRPr="00E72418" w:rsidRDefault="00A91208" w:rsidP="00A91208">
      <w:pPr>
        <w:pStyle w:val="Paragraphedeliste"/>
        <w:rPr>
          <w:rFonts w:ascii="Times New Roman" w:hAnsi="Times New Roman" w:cs="Times New Roman"/>
          <w:smallCaps/>
          <w:sz w:val="14"/>
          <w:szCs w:val="14"/>
          <w:lang w:val="en-GB"/>
        </w:rPr>
      </w:pPr>
    </w:p>
    <w:p w14:paraId="0EB82282" w14:textId="77777777" w:rsidR="00025A8C" w:rsidRPr="00E72418" w:rsidRDefault="00A91208" w:rsidP="007D7D59">
      <w:pPr>
        <w:pStyle w:val="Paragraphedeliste"/>
        <w:numPr>
          <w:ilvl w:val="0"/>
          <w:numId w:val="15"/>
        </w:numPr>
        <w:spacing w:after="120"/>
      </w:pPr>
      <w:r w:rsidRPr="00E72418">
        <w:rPr>
          <w:rFonts w:ascii="Times New Roman" w:hAnsi="Times New Roman" w:cs="Times New Roman"/>
          <w:smallCaps/>
          <w:szCs w:val="24"/>
        </w:rPr>
        <w:t>Yang</w:t>
      </w:r>
      <w:r w:rsidRPr="00E72418">
        <w:rPr>
          <w:rFonts w:ascii="Times New Roman" w:hAnsi="Times New Roman" w:cs="Times New Roman"/>
          <w:szCs w:val="24"/>
        </w:rPr>
        <w:t xml:space="preserve">, X., </w:t>
      </w:r>
      <w:r w:rsidRPr="00E72418">
        <w:rPr>
          <w:rFonts w:ascii="Times New Roman" w:hAnsi="Times New Roman" w:cs="Times New Roman"/>
          <w:i/>
          <w:szCs w:val="24"/>
        </w:rPr>
        <w:t>State Immunity in International Law</w:t>
      </w:r>
      <w:r w:rsidRPr="00E72418">
        <w:rPr>
          <w:rFonts w:ascii="Times New Roman" w:hAnsi="Times New Roman" w:cs="Times New Roman"/>
          <w:szCs w:val="24"/>
        </w:rPr>
        <w:t>, Cambridge University Press, 2012</w:t>
      </w:r>
      <w:bookmarkStart w:id="531" w:name="_Toc84541049"/>
    </w:p>
    <w:p w14:paraId="581A1158" w14:textId="039DC615" w:rsidR="00025A8C" w:rsidRPr="00E72418" w:rsidRDefault="00025A8C" w:rsidP="00025A8C">
      <w:pPr>
        <w:pStyle w:val="Paragraphedeliste"/>
      </w:pPr>
    </w:p>
    <w:p w14:paraId="56C4C41B" w14:textId="77777777" w:rsidR="00025A8C" w:rsidRPr="00E72418" w:rsidRDefault="00025A8C" w:rsidP="00025A8C">
      <w:pPr>
        <w:pStyle w:val="Paragraphedeliste"/>
      </w:pPr>
    </w:p>
    <w:p w14:paraId="2163F061" w14:textId="14334A5A" w:rsidR="00A91208" w:rsidRPr="00E72418" w:rsidRDefault="00A91208" w:rsidP="00025A8C">
      <w:pPr>
        <w:pStyle w:val="CC"/>
      </w:pPr>
      <w:r w:rsidRPr="00E72418">
        <w:lastRenderedPageBreak/>
        <w:t>Chapitres d’ouvrage</w:t>
      </w:r>
      <w:bookmarkEnd w:id="531"/>
    </w:p>
    <w:p w14:paraId="531B4E6B" w14:textId="77777777" w:rsidR="00025A8C" w:rsidRPr="00E72418" w:rsidRDefault="00025A8C" w:rsidP="00025A8C">
      <w:pPr>
        <w:pStyle w:val="Paragraphedeliste"/>
        <w:spacing w:after="0"/>
        <w:rPr>
          <w:rFonts w:ascii="Times New Roman" w:hAnsi="Times New Roman" w:cs="Times New Roman"/>
          <w:sz w:val="28"/>
          <w:szCs w:val="28"/>
        </w:rPr>
      </w:pPr>
    </w:p>
    <w:p w14:paraId="7E1CD3C4" w14:textId="0D0B59EA" w:rsidR="00051F41" w:rsidRPr="00E72418" w:rsidRDefault="00A91208" w:rsidP="00051F41">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Akin-Olugbade, A., </w:t>
      </w:r>
      <w:r w:rsidRPr="00E72418">
        <w:rPr>
          <w:rFonts w:ascii="Times New Roman" w:hAnsi="Times New Roman" w:cs="Times New Roman"/>
          <w:szCs w:val="24"/>
          <w:lang w:val="en-US"/>
        </w:rPr>
        <w:t xml:space="preserve">« The </w:t>
      </w:r>
      <w:r w:rsidRPr="00E72418">
        <w:rPr>
          <w:rFonts w:ascii="Times New Roman" w:hAnsi="Times New Roman" w:cs="Times New Roman"/>
          <w:i/>
          <w:szCs w:val="24"/>
          <w:lang w:val="en-US"/>
        </w:rPr>
        <w:t>Donegal</w:t>
      </w:r>
      <w:r w:rsidRPr="00E72418">
        <w:rPr>
          <w:rFonts w:ascii="Times New Roman" w:hAnsi="Times New Roman" w:cs="Times New Roman"/>
          <w:szCs w:val="24"/>
          <w:lang w:val="en-US"/>
        </w:rPr>
        <w:t xml:space="preserve"> Case and the African Legal Support Facility </w:t>
      </w:r>
      <w:r w:rsidRPr="00E72418">
        <w:rPr>
          <w:rFonts w:ascii="Times New Roman" w:hAnsi="Times New Roman" w:cs="Times New Roman"/>
          <w:szCs w:val="24"/>
          <w:lang w:val="en-GB"/>
        </w:rPr>
        <w:t xml:space="preserve">», in </w:t>
      </w:r>
      <w:r w:rsidRPr="00E72418">
        <w:rPr>
          <w:rFonts w:ascii="Times New Roman" w:hAnsi="Times New Roman" w:cs="Times New Roman"/>
          <w:smallCaps/>
          <w:szCs w:val="24"/>
          <w:lang w:val="en-GB"/>
        </w:rPr>
        <w:t>Giovanoli</w:t>
      </w:r>
      <w:r w:rsidRPr="00E72418">
        <w:rPr>
          <w:rFonts w:ascii="Times New Roman" w:hAnsi="Times New Roman" w:cs="Times New Roman"/>
          <w:szCs w:val="24"/>
          <w:lang w:val="en-GB"/>
        </w:rPr>
        <w:t xml:space="preserve">, M. et </w:t>
      </w:r>
      <w:r w:rsidRPr="00E72418">
        <w:rPr>
          <w:rFonts w:ascii="Times New Roman" w:hAnsi="Times New Roman" w:cs="Times New Roman"/>
          <w:smallCaps/>
          <w:szCs w:val="24"/>
          <w:lang w:val="en-GB"/>
        </w:rPr>
        <w:t>Devos</w:t>
      </w:r>
      <w:r w:rsidRPr="00E72418">
        <w:rPr>
          <w:rFonts w:ascii="Times New Roman" w:hAnsi="Times New Roman" w:cs="Times New Roman"/>
          <w:szCs w:val="24"/>
          <w:lang w:val="en-GB"/>
        </w:rPr>
        <w:t xml:space="preserve">, D. (éd.), </w:t>
      </w:r>
      <w:r w:rsidRPr="00E72418">
        <w:rPr>
          <w:rFonts w:ascii="Times New Roman" w:hAnsi="Times New Roman" w:cs="Times New Roman"/>
          <w:i/>
          <w:szCs w:val="24"/>
          <w:lang w:val="en-GB"/>
        </w:rPr>
        <w:t>International Monetary and Financial Law: The Global Crisis</w:t>
      </w:r>
      <w:r w:rsidRPr="00E72418">
        <w:rPr>
          <w:rFonts w:ascii="Times New Roman" w:hAnsi="Times New Roman" w:cs="Times New Roman"/>
          <w:szCs w:val="24"/>
          <w:lang w:val="en-GB"/>
        </w:rPr>
        <w:t>, Oxford University Press, 2010, pp. 410-417</w:t>
      </w:r>
    </w:p>
    <w:p w14:paraId="07850D93" w14:textId="77777777" w:rsidR="00025A8C" w:rsidRPr="00E72418" w:rsidRDefault="00025A8C" w:rsidP="00025A8C">
      <w:pPr>
        <w:pStyle w:val="Paragraphedeliste"/>
        <w:spacing w:after="0"/>
        <w:rPr>
          <w:rFonts w:ascii="Times New Roman" w:hAnsi="Times New Roman" w:cs="Times New Roman"/>
          <w:sz w:val="14"/>
          <w:szCs w:val="14"/>
        </w:rPr>
      </w:pPr>
    </w:p>
    <w:p w14:paraId="24F7083D" w14:textId="25A64D7E" w:rsidR="00263A84" w:rsidRPr="00E72418" w:rsidRDefault="00263A84" w:rsidP="007D7D59">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Argent (d</w:t>
      </w:r>
      <w:r w:rsidRPr="00E72418">
        <w:rPr>
          <w:rFonts w:ascii="Times New Roman" w:hAnsi="Times New Roman" w:cs="Times New Roman"/>
          <w:szCs w:val="24"/>
        </w:rPr>
        <w:t>’</w:t>
      </w:r>
      <w:r w:rsidRPr="00E72418">
        <w:rPr>
          <w:rFonts w:ascii="Times New Roman" w:hAnsi="Times New Roman" w:cs="Times New Roman"/>
          <w:smallCaps/>
          <w:szCs w:val="24"/>
        </w:rPr>
        <w:t>)</w:t>
      </w:r>
      <w:r w:rsidRPr="00E72418">
        <w:rPr>
          <w:rFonts w:ascii="Times New Roman" w:hAnsi="Times New Roman" w:cs="Times New Roman"/>
          <w:szCs w:val="24"/>
        </w:rPr>
        <w:t xml:space="preserve">, P., </w:t>
      </w:r>
    </w:p>
    <w:p w14:paraId="3EC634F5"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2FF2A2CF" w14:textId="77777777" w:rsidR="007D7D59" w:rsidRPr="00E72418" w:rsidRDefault="00263A84"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Sources and the Legality and Validity of International Law : What Makes Law </w:t>
      </w:r>
      <w:r w:rsidRPr="00E72418">
        <w:rPr>
          <w:rFonts w:ascii="Times New Roman" w:hAnsi="Times New Roman" w:cs="Times New Roman"/>
          <w:szCs w:val="24"/>
          <w:lang w:val="en-US"/>
        </w:rPr>
        <w:t>“</w:t>
      </w:r>
      <w:r w:rsidRPr="00E72418">
        <w:rPr>
          <w:rFonts w:ascii="Times New Roman" w:hAnsi="Times New Roman" w:cs="Times New Roman"/>
          <w:szCs w:val="24"/>
        </w:rPr>
        <w:t>International</w:t>
      </w:r>
      <w:r w:rsidRPr="00E72418">
        <w:rPr>
          <w:rFonts w:ascii="Times New Roman" w:hAnsi="Times New Roman" w:cs="Times New Roman"/>
          <w:szCs w:val="24"/>
          <w:lang w:val="en-US"/>
        </w:rPr>
        <w:t>”</w:t>
      </w:r>
      <w:r w:rsidRPr="00E72418">
        <w:rPr>
          <w:rFonts w:ascii="Times New Roman" w:hAnsi="Times New Roman" w:cs="Times New Roman"/>
          <w:szCs w:val="24"/>
        </w:rPr>
        <w:t xml:space="preserve"> ? » in </w:t>
      </w:r>
      <w:r w:rsidRPr="00E72418">
        <w:rPr>
          <w:rFonts w:ascii="Times New Roman" w:hAnsi="Times New Roman" w:cs="Times New Roman"/>
          <w:smallCaps/>
          <w:szCs w:val="24"/>
        </w:rPr>
        <w:t>Besson, S.</w:t>
      </w:r>
      <w:r w:rsidRPr="00E72418">
        <w:rPr>
          <w:rFonts w:ascii="Times New Roman" w:hAnsi="Times New Roman" w:cs="Times New Roman"/>
          <w:szCs w:val="24"/>
        </w:rPr>
        <w:t xml:space="preserve"> et </w:t>
      </w:r>
      <w:r w:rsidRPr="00E72418">
        <w:rPr>
          <w:rFonts w:ascii="Times New Roman" w:hAnsi="Times New Roman" w:cs="Times New Roman"/>
          <w:smallCaps/>
          <w:szCs w:val="24"/>
        </w:rPr>
        <w:t>d’Aspremont, J.</w:t>
      </w:r>
      <w:r w:rsidRPr="00E72418">
        <w:rPr>
          <w:rFonts w:ascii="Times New Roman" w:hAnsi="Times New Roman" w:cs="Times New Roman"/>
          <w:szCs w:val="24"/>
        </w:rPr>
        <w:t xml:space="preserve"> (éd.), </w:t>
      </w:r>
      <w:r w:rsidRPr="00E72418">
        <w:rPr>
          <w:rFonts w:ascii="Times New Roman" w:hAnsi="Times New Roman" w:cs="Times New Roman"/>
          <w:i/>
          <w:szCs w:val="24"/>
        </w:rPr>
        <w:t>The Oxford Handbook on the Sources of International Law</w:t>
      </w:r>
      <w:r w:rsidRPr="00E72418">
        <w:rPr>
          <w:rFonts w:ascii="Times New Roman" w:hAnsi="Times New Roman" w:cs="Times New Roman"/>
          <w:szCs w:val="24"/>
        </w:rPr>
        <w:t>, Oxford University Press, 2017, pp. 541-561</w:t>
      </w:r>
    </w:p>
    <w:p w14:paraId="15D70175"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7C573DEF" w14:textId="77777777" w:rsidR="007D7D59" w:rsidRPr="00E72418" w:rsidRDefault="00263A84"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Introduction » in </w:t>
      </w:r>
      <w:r w:rsidRPr="00E72418">
        <w:rPr>
          <w:rFonts w:ascii="Times New Roman" w:hAnsi="Times New Roman" w:cs="Times New Roman"/>
          <w:smallCaps/>
          <w:szCs w:val="24"/>
        </w:rPr>
        <w:t>Gazzini, T.</w:t>
      </w:r>
      <w:r w:rsidRPr="00E72418">
        <w:rPr>
          <w:rFonts w:ascii="Times New Roman" w:hAnsi="Times New Roman" w:cs="Times New Roman"/>
          <w:szCs w:val="24"/>
        </w:rPr>
        <w:t xml:space="preserve"> et </w:t>
      </w:r>
      <w:r w:rsidRPr="00E72418">
        <w:rPr>
          <w:rFonts w:ascii="Times New Roman" w:hAnsi="Times New Roman" w:cs="Times New Roman"/>
          <w:smallCaps/>
          <w:szCs w:val="24"/>
        </w:rPr>
        <w:t>De Brabandere, E.</w:t>
      </w:r>
      <w:r w:rsidRPr="00E72418">
        <w:rPr>
          <w:rFonts w:ascii="Times New Roman" w:hAnsi="Times New Roman" w:cs="Times New Roman"/>
          <w:szCs w:val="24"/>
        </w:rPr>
        <w:t xml:space="preserve"> (éd.), </w:t>
      </w:r>
      <w:r w:rsidRPr="00E72418">
        <w:rPr>
          <w:rFonts w:ascii="Times New Roman" w:hAnsi="Times New Roman" w:cs="Times New Roman"/>
          <w:i/>
          <w:szCs w:val="24"/>
        </w:rPr>
        <w:t xml:space="preserve">International Investment Law </w:t>
      </w:r>
      <w:r w:rsidRPr="00E72418">
        <w:rPr>
          <w:rFonts w:ascii="Times New Roman" w:hAnsi="Times New Roman" w:cs="Times New Roman"/>
          <w:szCs w:val="24"/>
        </w:rPr>
        <w:t>–</w:t>
      </w:r>
      <w:r w:rsidRPr="00E72418">
        <w:rPr>
          <w:rFonts w:ascii="Times New Roman" w:hAnsi="Times New Roman" w:cs="Times New Roman"/>
          <w:i/>
          <w:szCs w:val="24"/>
        </w:rPr>
        <w:t xml:space="preserve"> The Sources of Rights and Obligations</w:t>
      </w:r>
      <w:r w:rsidRPr="00E72418">
        <w:rPr>
          <w:rFonts w:ascii="Times New Roman" w:hAnsi="Times New Roman" w:cs="Times New Roman"/>
          <w:szCs w:val="24"/>
        </w:rPr>
        <w:t>, Martinus Nijhoff</w:t>
      </w:r>
      <w:r w:rsidRPr="00E72418">
        <w:rPr>
          <w:rFonts w:ascii="Times New Roman" w:hAnsi="Times New Roman" w:cs="Times New Roman"/>
          <w:i/>
          <w:iCs/>
          <w:szCs w:val="24"/>
        </w:rPr>
        <w:t xml:space="preserve"> </w:t>
      </w:r>
      <w:r w:rsidRPr="00E72418">
        <w:rPr>
          <w:rFonts w:ascii="Times New Roman" w:hAnsi="Times New Roman" w:cs="Times New Roman"/>
          <w:szCs w:val="24"/>
        </w:rPr>
        <w:t>Publishers, 2012, pp. 1-3</w:t>
      </w:r>
    </w:p>
    <w:p w14:paraId="4E26301B"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BD42164" w14:textId="7D129D37" w:rsidR="00A91208" w:rsidRPr="00E72418" w:rsidRDefault="00263A84"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Puissance et responsabilité ; autorité, ordre et violence. Quelques brèves remarques impertinentes », in </w:t>
      </w:r>
      <w:r w:rsidRPr="00E72418">
        <w:rPr>
          <w:rFonts w:ascii="Times New Roman" w:hAnsi="Times New Roman" w:cs="Times New Roman"/>
          <w:smallCaps/>
          <w:szCs w:val="24"/>
        </w:rPr>
        <w:t>Dumoulin, M.</w:t>
      </w:r>
      <w:r w:rsidRPr="00E72418">
        <w:rPr>
          <w:rFonts w:ascii="Times New Roman" w:hAnsi="Times New Roman" w:cs="Times New Roman"/>
          <w:szCs w:val="24"/>
        </w:rPr>
        <w:t xml:space="preserve"> et </w:t>
      </w:r>
      <w:r w:rsidRPr="00E72418">
        <w:rPr>
          <w:rFonts w:ascii="Times New Roman" w:hAnsi="Times New Roman" w:cs="Times New Roman"/>
          <w:smallCaps/>
          <w:szCs w:val="24"/>
        </w:rPr>
        <w:t>Duchenne, G.</w:t>
      </w:r>
      <w:r w:rsidRPr="00E72418">
        <w:rPr>
          <w:rFonts w:ascii="Times New Roman" w:hAnsi="Times New Roman" w:cs="Times New Roman"/>
          <w:szCs w:val="24"/>
        </w:rPr>
        <w:t xml:space="preserve"> (éd.), </w:t>
      </w:r>
      <w:r w:rsidRPr="00E72418">
        <w:rPr>
          <w:rFonts w:ascii="Times New Roman" w:hAnsi="Times New Roman" w:cs="Times New Roman"/>
          <w:i/>
          <w:szCs w:val="24"/>
        </w:rPr>
        <w:t xml:space="preserve">L’Union européenne et les </w:t>
      </w:r>
      <w:r w:rsidRPr="00E72418">
        <w:rPr>
          <w:rFonts w:ascii="Times New Roman" w:hAnsi="Times New Roman" w:cs="Times New Roman"/>
          <w:i/>
          <w:szCs w:val="24"/>
          <w:lang w:eastAsia="fr-BE"/>
        </w:rPr>
        <w:t>É</w:t>
      </w:r>
      <w:r w:rsidRPr="00E72418">
        <w:rPr>
          <w:rFonts w:ascii="Times New Roman" w:hAnsi="Times New Roman" w:cs="Times New Roman"/>
          <w:i/>
          <w:szCs w:val="24"/>
        </w:rPr>
        <w:t xml:space="preserve">tats-Unis </w:t>
      </w:r>
      <w:r w:rsidRPr="00E72418">
        <w:rPr>
          <w:rFonts w:ascii="Times New Roman" w:hAnsi="Times New Roman" w:cs="Times New Roman"/>
          <w:b/>
          <w:szCs w:val="24"/>
        </w:rPr>
        <w:t>–</w:t>
      </w:r>
      <w:r w:rsidRPr="00E72418">
        <w:rPr>
          <w:rFonts w:ascii="Times New Roman" w:hAnsi="Times New Roman" w:cs="Times New Roman"/>
          <w:i/>
          <w:szCs w:val="24"/>
        </w:rPr>
        <w:t xml:space="preserve"> Actes de la VIII</w:t>
      </w:r>
      <w:r w:rsidRPr="00E72418">
        <w:rPr>
          <w:rFonts w:ascii="Times New Roman" w:hAnsi="Times New Roman" w:cs="Times New Roman"/>
          <w:i/>
          <w:szCs w:val="24"/>
          <w:vertAlign w:val="superscript"/>
        </w:rPr>
        <w:t>e</w:t>
      </w:r>
      <w:r w:rsidRPr="00E72418">
        <w:rPr>
          <w:rFonts w:ascii="Times New Roman" w:hAnsi="Times New Roman" w:cs="Times New Roman"/>
          <w:i/>
          <w:szCs w:val="24"/>
        </w:rPr>
        <w:t xml:space="preserve"> Chaire Glaverbel d’études européennes 2002-2003</w:t>
      </w:r>
      <w:r w:rsidRPr="00E72418">
        <w:rPr>
          <w:rFonts w:ascii="Times New Roman" w:hAnsi="Times New Roman" w:cs="Times New Roman"/>
          <w:szCs w:val="24"/>
        </w:rPr>
        <w:t>, Presses Interuniversitaires Européennes, 2003, pp. 415-420</w:t>
      </w:r>
    </w:p>
    <w:p w14:paraId="344B2334" w14:textId="77777777" w:rsidR="00025A8C" w:rsidRPr="00E72418" w:rsidRDefault="00025A8C" w:rsidP="00025A8C">
      <w:pPr>
        <w:pStyle w:val="Paragraphedeliste"/>
        <w:spacing w:after="0"/>
        <w:rPr>
          <w:rFonts w:ascii="Times New Roman" w:hAnsi="Times New Roman" w:cs="Times New Roman"/>
          <w:sz w:val="14"/>
          <w:szCs w:val="14"/>
        </w:rPr>
      </w:pPr>
    </w:p>
    <w:p w14:paraId="6FA9AAA9" w14:textId="290D66B5" w:rsidR="00263A84" w:rsidRPr="00E72418" w:rsidRDefault="00A91208" w:rsidP="007D7D59">
      <w:pPr>
        <w:pStyle w:val="Paragraphedeliste"/>
        <w:numPr>
          <w:ilvl w:val="0"/>
          <w:numId w:val="16"/>
        </w:numPr>
        <w:spacing w:after="0"/>
        <w:rPr>
          <w:rFonts w:ascii="Times New Roman" w:hAnsi="Times New Roman" w:cs="Times New Roman"/>
          <w:szCs w:val="24"/>
        </w:rPr>
      </w:pPr>
      <w:r w:rsidRPr="00E72418">
        <w:rPr>
          <w:rFonts w:ascii="Times New Roman" w:eastAsia="Times New Roman" w:hAnsi="Times New Roman" w:cs="Times New Roman"/>
          <w:smallCaps/>
          <w:szCs w:val="24"/>
          <w:lang w:eastAsia="fr-BE"/>
        </w:rPr>
        <w:t>Audit</w:t>
      </w:r>
      <w:r w:rsidRPr="00E72418">
        <w:rPr>
          <w:rFonts w:ascii="Times New Roman" w:eastAsia="Times New Roman" w:hAnsi="Times New Roman" w:cs="Times New Roman"/>
          <w:szCs w:val="24"/>
          <w:lang w:eastAsia="fr-BE"/>
        </w:rPr>
        <w:t xml:space="preserve">, M., </w:t>
      </w:r>
    </w:p>
    <w:p w14:paraId="3191EB3A"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0F07CC90" w14:textId="30A12840" w:rsidR="00263A84" w:rsidRPr="00E72418" w:rsidRDefault="00A91208" w:rsidP="00263A84">
      <w:pPr>
        <w:pStyle w:val="Paragraphedeliste"/>
        <w:numPr>
          <w:ilvl w:val="1"/>
          <w:numId w:val="16"/>
        </w:numPr>
        <w:spacing w:after="0"/>
        <w:rPr>
          <w:rFonts w:ascii="Times New Roman" w:hAnsi="Times New Roman" w:cs="Times New Roman"/>
          <w:szCs w:val="24"/>
        </w:rPr>
      </w:pPr>
      <w:r w:rsidRPr="00E72418">
        <w:rPr>
          <w:rFonts w:ascii="Times New Roman" w:eastAsia="Times New Roman" w:hAnsi="Times New Roman" w:cs="Times New Roman"/>
          <w:szCs w:val="24"/>
          <w:lang w:eastAsia="fr-BE"/>
        </w:rPr>
        <w:t xml:space="preserve">« </w:t>
      </w:r>
      <w:r w:rsidRPr="00E72418">
        <w:rPr>
          <w:rFonts w:ascii="Times New Roman" w:eastAsia="Times New Roman" w:hAnsi="Times New Roman" w:cs="Times New Roman"/>
          <w:i/>
          <w:szCs w:val="24"/>
          <w:lang w:eastAsia="fr-BE"/>
        </w:rPr>
        <w:t>Pari passu</w:t>
      </w:r>
      <w:r w:rsidRPr="00E72418">
        <w:rPr>
          <w:rFonts w:ascii="Times New Roman" w:eastAsia="Times New Roman" w:hAnsi="Times New Roman" w:cs="Times New Roman"/>
          <w:szCs w:val="24"/>
          <w:lang w:eastAsia="fr-BE"/>
        </w:rPr>
        <w:t xml:space="preserve"> est-il exportable ? Ou comment le contentieux de la dette argentine renouvelle l’exécution transnationale des jugements condamnant un État », in </w:t>
      </w:r>
      <w:r w:rsidRPr="00E72418">
        <w:rPr>
          <w:rFonts w:ascii="Times New Roman" w:hAnsi="Times New Roman" w:cs="Times New Roman"/>
          <w:smallCaps/>
          <w:szCs w:val="24"/>
        </w:rPr>
        <w:t>Morel-Maroger</w:t>
      </w:r>
      <w:r w:rsidRPr="00E72418">
        <w:rPr>
          <w:rFonts w:ascii="Times New Roman" w:hAnsi="Times New Roman" w:cs="Times New Roman"/>
          <w:szCs w:val="24"/>
        </w:rPr>
        <w:t xml:space="preserve">, J., </w:t>
      </w:r>
      <w:r w:rsidRPr="00E72418">
        <w:rPr>
          <w:rFonts w:ascii="Times New Roman" w:hAnsi="Times New Roman" w:cs="Times New Roman"/>
          <w:smallCaps/>
          <w:szCs w:val="24"/>
        </w:rPr>
        <w:t>Kirat, T.</w:t>
      </w:r>
      <w:r w:rsidRPr="00E72418">
        <w:rPr>
          <w:rFonts w:ascii="Times New Roman" w:hAnsi="Times New Roman" w:cs="Times New Roman"/>
          <w:szCs w:val="24"/>
        </w:rPr>
        <w:t xml:space="preserve"> et </w:t>
      </w:r>
      <w:r w:rsidRPr="00E72418">
        <w:rPr>
          <w:rFonts w:ascii="Times New Roman" w:hAnsi="Times New Roman" w:cs="Times New Roman"/>
          <w:smallCaps/>
          <w:szCs w:val="24"/>
        </w:rPr>
        <w:t>Boiteau, C.</w:t>
      </w:r>
      <w:r w:rsidRPr="00E72418">
        <w:rPr>
          <w:rFonts w:ascii="Times New Roman" w:hAnsi="Times New Roman" w:cs="Times New Roman"/>
          <w:szCs w:val="24"/>
        </w:rPr>
        <w:t xml:space="preserve"> (dir.), </w:t>
      </w:r>
      <w:r w:rsidRPr="00E72418">
        <w:rPr>
          <w:rFonts w:ascii="Times New Roman" w:eastAsia="Times New Roman" w:hAnsi="Times New Roman" w:cs="Times New Roman"/>
          <w:i/>
          <w:szCs w:val="24"/>
          <w:lang w:eastAsia="fr-BE"/>
        </w:rPr>
        <w:t>Droit et crise financière</w:t>
      </w:r>
      <w:r w:rsidRPr="00E72418">
        <w:rPr>
          <w:rFonts w:ascii="Times New Roman" w:eastAsia="Times New Roman" w:hAnsi="Times New Roman" w:cs="Times New Roman"/>
          <w:szCs w:val="24"/>
          <w:lang w:eastAsia="fr-BE"/>
        </w:rPr>
        <w:t>, Bruylant, 2015, pp. 311-322</w:t>
      </w:r>
    </w:p>
    <w:p w14:paraId="3135536E" w14:textId="77777777" w:rsidR="00263A84" w:rsidRPr="00E72418" w:rsidRDefault="00263A84" w:rsidP="00263A84">
      <w:pPr>
        <w:pStyle w:val="Paragraphedeliste"/>
        <w:spacing w:after="0"/>
        <w:ind w:left="1440"/>
        <w:rPr>
          <w:rFonts w:ascii="Times New Roman" w:hAnsi="Times New Roman" w:cs="Times New Roman"/>
          <w:sz w:val="10"/>
          <w:szCs w:val="10"/>
        </w:rPr>
      </w:pPr>
    </w:p>
    <w:p w14:paraId="40107C08" w14:textId="2EFC0660" w:rsidR="00263A84" w:rsidRPr="00E72418" w:rsidRDefault="00A91208" w:rsidP="00025A8C">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lang w:val="en-US"/>
        </w:rPr>
        <w:t>« A Debt Restructuring Mechanism for European Sovereigns: An Emerging Idea  »</w:t>
      </w:r>
      <w:r w:rsidRPr="00E72418">
        <w:rPr>
          <w:rFonts w:ascii="Times New Roman" w:hAnsi="Times New Roman" w:cs="Times New Roman"/>
          <w:szCs w:val="24"/>
          <w:shd w:val="clear" w:color="auto" w:fill="FFFFFF"/>
          <w:lang w:val="en-GB"/>
        </w:rPr>
        <w:t xml:space="preserve">, in </w:t>
      </w:r>
      <w:r w:rsidRPr="00E72418">
        <w:rPr>
          <w:rFonts w:ascii="Times New Roman" w:hAnsi="Times New Roman" w:cs="Times New Roman"/>
          <w:smallCaps/>
          <w:szCs w:val="24"/>
          <w:shd w:val="clear" w:color="auto" w:fill="FFFFFF"/>
          <w:lang w:val="en-GB"/>
        </w:rPr>
        <w:t>Paulus, C. (</w:t>
      </w:r>
      <w:r w:rsidRPr="00E72418">
        <w:rPr>
          <w:rFonts w:ascii="Times New Roman" w:hAnsi="Times New Roman" w:cs="Times New Roman"/>
          <w:szCs w:val="24"/>
          <w:shd w:val="clear" w:color="auto" w:fill="FFFFFF"/>
          <w:lang w:val="en-GB"/>
        </w:rPr>
        <w:t xml:space="preserve">éd.), </w:t>
      </w:r>
      <w:r w:rsidRPr="00E72418">
        <w:rPr>
          <w:rFonts w:ascii="Times New Roman" w:hAnsi="Times New Roman" w:cs="Times New Roman"/>
          <w:i/>
          <w:szCs w:val="24"/>
          <w:lang w:val="en-US"/>
        </w:rPr>
        <w:t xml:space="preserve">A Debt Restructuring Mechanism for Sovereigns </w:t>
      </w:r>
      <w:r w:rsidRPr="00E72418">
        <w:rPr>
          <w:rFonts w:ascii="Times New Roman" w:hAnsi="Times New Roman" w:cs="Times New Roman"/>
          <w:szCs w:val="24"/>
        </w:rPr>
        <w:t xml:space="preserve">– </w:t>
      </w:r>
      <w:r w:rsidRPr="00E72418">
        <w:rPr>
          <w:rFonts w:ascii="Times New Roman" w:hAnsi="Times New Roman" w:cs="Times New Roman"/>
          <w:i/>
          <w:szCs w:val="24"/>
          <w:lang w:val="en-US"/>
        </w:rPr>
        <w:t>Do We Need a Legal Procedure?</w:t>
      </w:r>
      <w:r w:rsidRPr="00E72418">
        <w:rPr>
          <w:rFonts w:ascii="Times New Roman" w:hAnsi="Times New Roman" w:cs="Times New Roman"/>
          <w:szCs w:val="24"/>
          <w:shd w:val="clear" w:color="auto" w:fill="FFFFFF"/>
          <w:lang w:val="en-US"/>
        </w:rPr>
        <w:t>, Beck.Hart.Nomos, 2014, pp. 213-222</w:t>
      </w:r>
    </w:p>
    <w:p w14:paraId="7A2144CB" w14:textId="77777777" w:rsidR="00025A8C" w:rsidRPr="00E72418" w:rsidRDefault="00025A8C" w:rsidP="00025A8C">
      <w:pPr>
        <w:pStyle w:val="Paragraphedeliste"/>
        <w:spacing w:after="0"/>
        <w:ind w:left="1440"/>
        <w:rPr>
          <w:rFonts w:ascii="Times New Roman" w:hAnsi="Times New Roman" w:cs="Times New Roman"/>
          <w:sz w:val="10"/>
          <w:szCs w:val="10"/>
        </w:rPr>
      </w:pPr>
    </w:p>
    <w:p w14:paraId="5F697D31" w14:textId="3D7A75A4" w:rsidR="00912454" w:rsidRPr="00E72418" w:rsidRDefault="00A91208" w:rsidP="00025A8C">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Dissection du défaut souverain », in </w:t>
      </w:r>
      <w:r w:rsidRPr="00E72418">
        <w:rPr>
          <w:rFonts w:ascii="Times New Roman" w:hAnsi="Times New Roman" w:cs="Times New Roman"/>
          <w:smallCaps/>
          <w:szCs w:val="24"/>
        </w:rPr>
        <w:t>Audit</w:t>
      </w:r>
      <w:r w:rsidRPr="00E72418">
        <w:rPr>
          <w:rFonts w:ascii="Times New Roman" w:hAnsi="Times New Roman" w:cs="Times New Roman"/>
          <w:szCs w:val="24"/>
        </w:rPr>
        <w:t>, M. (dir.),</w:t>
      </w:r>
      <w:r w:rsidRPr="00E72418">
        <w:rPr>
          <w:rFonts w:ascii="Times New Roman" w:hAnsi="Times New Roman" w:cs="Times New Roman"/>
          <w:i/>
          <w:szCs w:val="24"/>
        </w:rPr>
        <w:t xml:space="preserve"> Insolvabilité des États et dettes souveraines</w:t>
      </w:r>
      <w:r w:rsidRPr="00E72418">
        <w:rPr>
          <w:rFonts w:ascii="Times New Roman" w:hAnsi="Times New Roman" w:cs="Times New Roman"/>
          <w:szCs w:val="24"/>
        </w:rPr>
        <w:t>, L.G.D.J., 2011, pp. 1-22</w:t>
      </w:r>
    </w:p>
    <w:p w14:paraId="54C3B3FB" w14:textId="77777777" w:rsidR="00025A8C" w:rsidRPr="00E72418" w:rsidRDefault="00025A8C" w:rsidP="00025A8C">
      <w:pPr>
        <w:pStyle w:val="Paragraphedeliste"/>
        <w:spacing w:after="0"/>
        <w:ind w:left="1440"/>
        <w:rPr>
          <w:rFonts w:ascii="Times New Roman" w:hAnsi="Times New Roman" w:cs="Times New Roman"/>
          <w:sz w:val="10"/>
          <w:szCs w:val="10"/>
        </w:rPr>
      </w:pPr>
    </w:p>
    <w:p w14:paraId="18E7E23A" w14:textId="532F32FB" w:rsidR="00A91208" w:rsidRPr="00E72418" w:rsidRDefault="00A91208" w:rsidP="00912454">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La dette souveraine appelle-t-elle un statut juridique particulier ? », in </w:t>
      </w:r>
      <w:r w:rsidRPr="00E72418">
        <w:rPr>
          <w:rFonts w:ascii="Times New Roman" w:hAnsi="Times New Roman" w:cs="Times New Roman"/>
          <w:smallCaps/>
          <w:szCs w:val="24"/>
        </w:rPr>
        <w:t>Audit</w:t>
      </w:r>
      <w:r w:rsidRPr="00E72418">
        <w:rPr>
          <w:rFonts w:ascii="Times New Roman" w:hAnsi="Times New Roman" w:cs="Times New Roman"/>
          <w:szCs w:val="24"/>
        </w:rPr>
        <w:t>, M. (dir.),</w:t>
      </w:r>
      <w:r w:rsidRPr="00E72418">
        <w:rPr>
          <w:rFonts w:ascii="Times New Roman" w:hAnsi="Times New Roman" w:cs="Times New Roman"/>
          <w:i/>
          <w:szCs w:val="24"/>
        </w:rPr>
        <w:t xml:space="preserve"> Insolvabilité des États et dettes souveraines</w:t>
      </w:r>
      <w:r w:rsidRPr="00E72418">
        <w:rPr>
          <w:rFonts w:ascii="Times New Roman" w:hAnsi="Times New Roman" w:cs="Times New Roman"/>
          <w:szCs w:val="24"/>
        </w:rPr>
        <w:t>, L.G.D.J., 2011, pp. 67-87</w:t>
      </w:r>
    </w:p>
    <w:p w14:paraId="70CC75F0" w14:textId="77777777" w:rsidR="00E762FA" w:rsidRPr="00E72418" w:rsidRDefault="00E762FA" w:rsidP="00E762FA">
      <w:pPr>
        <w:pStyle w:val="Paragraphedeliste"/>
        <w:rPr>
          <w:rFonts w:ascii="Times New Roman" w:hAnsi="Times New Roman" w:cs="Times New Roman"/>
          <w:sz w:val="14"/>
          <w:szCs w:val="14"/>
        </w:rPr>
      </w:pPr>
    </w:p>
    <w:p w14:paraId="2D5B3A76" w14:textId="6A2D039F" w:rsidR="00E762FA" w:rsidRPr="00E72418" w:rsidRDefault="00E762FA" w:rsidP="008D1D70">
      <w:pPr>
        <w:pStyle w:val="Paragraphedeliste"/>
        <w:numPr>
          <w:ilvl w:val="0"/>
          <w:numId w:val="16"/>
        </w:numPr>
        <w:spacing w:after="0"/>
        <w:rPr>
          <w:rFonts w:ascii="Times New Roman" w:hAnsi="Times New Roman" w:cs="Times New Roman"/>
          <w:szCs w:val="24"/>
        </w:rPr>
      </w:pPr>
      <w:r w:rsidRPr="00E72418">
        <w:rPr>
          <w:smallCaps/>
        </w:rPr>
        <w:t>Biemar</w:t>
      </w:r>
      <w:r w:rsidRPr="00E72418">
        <w:t xml:space="preserve">, B., « L’accès économique à la justice », </w:t>
      </w:r>
      <w:r w:rsidR="00972404" w:rsidRPr="00E72418">
        <w:t xml:space="preserve">in </w:t>
      </w:r>
      <w:r w:rsidR="00972404" w:rsidRPr="00E72418">
        <w:rPr>
          <w:smallCaps/>
        </w:rPr>
        <w:t>de Leval, G.</w:t>
      </w:r>
      <w:r w:rsidR="00972404" w:rsidRPr="00E72418">
        <w:t xml:space="preserve"> (dir.), </w:t>
      </w:r>
      <w:r w:rsidR="00972404" w:rsidRPr="00E72418">
        <w:rPr>
          <w:i/>
        </w:rPr>
        <w:t>Droit judiciaire – Tome 2 :  Procédure civile – Volume 1 : Principes directeurs du procès civil, Compétence-Action-Instance-Jugement</w:t>
      </w:r>
      <w:r w:rsidR="00972404" w:rsidRPr="00E72418">
        <w:t>, 2</w:t>
      </w:r>
      <w:r w:rsidR="00972404" w:rsidRPr="00E72418">
        <w:rPr>
          <w:vertAlign w:val="superscript"/>
        </w:rPr>
        <w:t>e</w:t>
      </w:r>
      <w:r w:rsidR="00972404" w:rsidRPr="00E72418">
        <w:t xml:space="preserve"> éd., Larcier, 2021, </w:t>
      </w:r>
      <w:r w:rsidRPr="00E72418">
        <w:t xml:space="preserve">pp. </w:t>
      </w:r>
      <w:r w:rsidR="00972404" w:rsidRPr="00E72418">
        <w:t>433-497</w:t>
      </w:r>
    </w:p>
    <w:p w14:paraId="12DE8D89" w14:textId="77777777" w:rsidR="00A91208" w:rsidRPr="00E72418" w:rsidRDefault="00A91208" w:rsidP="00A91208">
      <w:pPr>
        <w:pStyle w:val="Paragraphedeliste"/>
        <w:rPr>
          <w:rFonts w:ascii="Times New Roman" w:hAnsi="Times New Roman" w:cs="Times New Roman"/>
          <w:sz w:val="14"/>
          <w:szCs w:val="14"/>
        </w:rPr>
      </w:pPr>
    </w:p>
    <w:p w14:paraId="7EE878AA" w14:textId="5E2451C3"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Bismuth, R., « </w:t>
      </w:r>
      <w:r w:rsidRPr="00E72418">
        <w:rPr>
          <w:rFonts w:ascii="Times New Roman" w:hAnsi="Times New Roman" w:cs="Times New Roman"/>
          <w:szCs w:val="24"/>
        </w:rPr>
        <w:t>Observations sous Cass., 28 septembre 2011, pourvoi n° 09-72057 et Cass., 28 mars 2013, pourvois n° 10-25938, n° 11-10450</w:t>
      </w:r>
      <w:r w:rsidR="00201853" w:rsidRPr="00E72418">
        <w:rPr>
          <w:rStyle w:val="apple-converted-space"/>
          <w:rFonts w:ascii="Times New Roman" w:hAnsi="Times New Roman" w:cs="Times New Roman"/>
          <w:szCs w:val="24"/>
        </w:rPr>
        <w:t> et n°</w:t>
      </w:r>
      <w:r w:rsidR="00D016C1" w:rsidRPr="00E72418">
        <w:rPr>
          <w:rStyle w:val="apple-converted-space"/>
          <w:rFonts w:ascii="Times New Roman" w:hAnsi="Times New Roman" w:cs="Times New Roman"/>
          <w:szCs w:val="24"/>
        </w:rPr>
        <w:t xml:space="preserve"> </w:t>
      </w:r>
      <w:r w:rsidR="00201853" w:rsidRPr="00E72418">
        <w:rPr>
          <w:rStyle w:val="apple-converted-space"/>
          <w:rFonts w:ascii="Times New Roman" w:hAnsi="Times New Roman" w:cs="Times New Roman"/>
          <w:szCs w:val="24"/>
        </w:rPr>
        <w:t xml:space="preserve">11-13323 », in </w:t>
      </w:r>
      <w:r w:rsidRPr="00E72418">
        <w:rPr>
          <w:rFonts w:ascii="Times New Roman" w:hAnsi="Times New Roman" w:cs="Times New Roman"/>
          <w:smallCaps/>
          <w:szCs w:val="24"/>
        </w:rPr>
        <w:t>Miron</w:t>
      </w:r>
      <w:r w:rsidR="00201853" w:rsidRPr="00E72418">
        <w:rPr>
          <w:rFonts w:ascii="Times New Roman" w:hAnsi="Times New Roman" w:cs="Times New Roman"/>
          <w:smallCaps/>
          <w:szCs w:val="24"/>
        </w:rPr>
        <w:t>, A.</w:t>
      </w:r>
      <w:r w:rsidR="00201853" w:rsidRPr="00E72418">
        <w:rPr>
          <w:rFonts w:ascii="Times New Roman" w:hAnsi="Times New Roman" w:cs="Times New Roman"/>
          <w:szCs w:val="24"/>
        </w:rPr>
        <w:t xml:space="preserve"> et </w:t>
      </w:r>
      <w:r w:rsidRPr="00E72418">
        <w:rPr>
          <w:rFonts w:ascii="Times New Roman" w:hAnsi="Times New Roman" w:cs="Times New Roman"/>
          <w:smallCaps/>
          <w:szCs w:val="24"/>
        </w:rPr>
        <w:t>Pellet</w:t>
      </w:r>
      <w:r w:rsidR="00201853" w:rsidRPr="00E72418">
        <w:rPr>
          <w:rFonts w:ascii="Times New Roman" w:hAnsi="Times New Roman" w:cs="Times New Roman"/>
          <w:smallCaps/>
          <w:szCs w:val="24"/>
        </w:rPr>
        <w:t>, A.</w:t>
      </w:r>
      <w:r w:rsidRPr="00E72418">
        <w:rPr>
          <w:rFonts w:ascii="Times New Roman" w:hAnsi="Times New Roman" w:cs="Times New Roman"/>
          <w:szCs w:val="24"/>
        </w:rPr>
        <w:t xml:space="preserve"> (dir.), </w:t>
      </w:r>
      <w:r w:rsidRPr="00E72418">
        <w:rPr>
          <w:rFonts w:ascii="Times New Roman" w:hAnsi="Times New Roman" w:cs="Times New Roman"/>
          <w:i/>
          <w:szCs w:val="24"/>
        </w:rPr>
        <w:t>Les grandes décisions de la jurisprudence française de droit international public</w:t>
      </w:r>
      <w:r w:rsidRPr="00E72418">
        <w:rPr>
          <w:rFonts w:ascii="Times New Roman" w:hAnsi="Times New Roman" w:cs="Times New Roman"/>
          <w:szCs w:val="24"/>
        </w:rPr>
        <w:t>, Dalloz, 2015, pp. 633-650</w:t>
      </w:r>
    </w:p>
    <w:p w14:paraId="3769FEEE" w14:textId="77777777" w:rsidR="00A91208" w:rsidRPr="00E72418" w:rsidRDefault="00A91208" w:rsidP="00A91208">
      <w:pPr>
        <w:pStyle w:val="Paragraphedeliste"/>
        <w:rPr>
          <w:rFonts w:ascii="Times New Roman" w:hAnsi="Times New Roman" w:cs="Times New Roman"/>
          <w:sz w:val="14"/>
          <w:szCs w:val="14"/>
        </w:rPr>
      </w:pPr>
    </w:p>
    <w:p w14:paraId="49529721" w14:textId="077C7F8B" w:rsidR="00025A8C" w:rsidRPr="00E72418" w:rsidRDefault="00A91208" w:rsidP="007D7D59">
      <w:pPr>
        <w:pStyle w:val="Paragraphedeliste"/>
        <w:numPr>
          <w:ilvl w:val="0"/>
          <w:numId w:val="17"/>
        </w:numPr>
        <w:spacing w:after="0"/>
        <w:rPr>
          <w:rFonts w:ascii="Times New Roman" w:hAnsi="Times New Roman" w:cs="Times New Roman"/>
          <w:szCs w:val="24"/>
        </w:rPr>
      </w:pPr>
      <w:r w:rsidRPr="00E72418">
        <w:rPr>
          <w:rFonts w:ascii="Times New Roman" w:hAnsi="Times New Roman" w:cs="Times New Roman"/>
          <w:smallCaps/>
          <w:szCs w:val="24"/>
          <w:lang w:val="en-US"/>
        </w:rPr>
        <w:t>Boccuzzi</w:t>
      </w:r>
      <w:r w:rsidRPr="00E72418">
        <w:rPr>
          <w:rFonts w:ascii="Times New Roman" w:hAnsi="Times New Roman" w:cs="Times New Roman"/>
          <w:szCs w:val="24"/>
          <w:lang w:val="en-US"/>
        </w:rPr>
        <w:t xml:space="preserve">, C., </w:t>
      </w:r>
      <w:r w:rsidRPr="00E72418">
        <w:rPr>
          <w:rFonts w:ascii="Times New Roman" w:hAnsi="Times New Roman" w:cs="Times New Roman"/>
          <w:smallCaps/>
          <w:szCs w:val="24"/>
          <w:lang w:val="en-US"/>
        </w:rPr>
        <w:t>Brennan</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Johnston</w:t>
      </w:r>
      <w:r w:rsidRPr="00E72418">
        <w:rPr>
          <w:rFonts w:ascii="Times New Roman" w:hAnsi="Times New Roman" w:cs="Times New Roman"/>
          <w:szCs w:val="24"/>
          <w:lang w:val="en-US"/>
        </w:rPr>
        <w:t xml:space="preserve">, J., « Defences », 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xml:space="preserve">, R. (éd.),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103-115</w:t>
      </w:r>
    </w:p>
    <w:p w14:paraId="4E35ABB8" w14:textId="77777777" w:rsidR="00025A8C" w:rsidRPr="00E72418" w:rsidRDefault="00025A8C" w:rsidP="00025A8C">
      <w:pPr>
        <w:pStyle w:val="Paragraphedeliste"/>
        <w:spacing w:after="0"/>
        <w:rPr>
          <w:rFonts w:ascii="Times New Roman" w:hAnsi="Times New Roman" w:cs="Times New Roman"/>
          <w:sz w:val="14"/>
          <w:szCs w:val="14"/>
        </w:rPr>
      </w:pPr>
    </w:p>
    <w:p w14:paraId="16600714" w14:textId="1B1680A9" w:rsidR="0082727A" w:rsidRPr="00E72418" w:rsidRDefault="00A91208" w:rsidP="007D7D59">
      <w:pPr>
        <w:pStyle w:val="Paragraphedeliste"/>
        <w:numPr>
          <w:ilvl w:val="0"/>
          <w:numId w:val="17"/>
        </w:numPr>
        <w:spacing w:after="0"/>
        <w:rPr>
          <w:rFonts w:ascii="Times New Roman" w:hAnsi="Times New Roman" w:cs="Times New Roman"/>
          <w:szCs w:val="24"/>
        </w:rPr>
      </w:pPr>
      <w:r w:rsidRPr="00E72418">
        <w:rPr>
          <w:rFonts w:ascii="Times New Roman" w:hAnsi="Times New Roman" w:cs="Times New Roman"/>
          <w:smallCaps/>
          <w:szCs w:val="24"/>
          <w:lang w:val="en-US"/>
        </w:rPr>
        <w:lastRenderedPageBreak/>
        <w:t>Bohoslavsky</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Cernic</w:t>
      </w:r>
      <w:r w:rsidRPr="00E72418">
        <w:rPr>
          <w:rFonts w:ascii="Times New Roman" w:hAnsi="Times New Roman" w:cs="Times New Roman"/>
          <w:szCs w:val="24"/>
          <w:lang w:val="en-US"/>
        </w:rPr>
        <w:t xml:space="preserve">, J., « Placing Human Rights at the Centre of Sovereign Financing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Bohoslavsky</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Cernic</w:t>
      </w:r>
      <w:r w:rsidRPr="00E72418">
        <w:rPr>
          <w:rFonts w:ascii="Times New Roman" w:hAnsi="Times New Roman" w:cs="Times New Roman"/>
          <w:szCs w:val="24"/>
          <w:lang w:val="en-US"/>
        </w:rPr>
        <w:t xml:space="preserve">, J. (éd.), </w:t>
      </w:r>
      <w:r w:rsidRPr="00E72418">
        <w:rPr>
          <w:rFonts w:ascii="Times New Roman" w:hAnsi="Times New Roman" w:cs="Times New Roman"/>
          <w:i/>
          <w:szCs w:val="24"/>
          <w:lang w:val="en-US"/>
        </w:rPr>
        <w:t>Making Sovereign Financing and Human Rights Work</w:t>
      </w:r>
      <w:r w:rsidRPr="00E72418">
        <w:rPr>
          <w:rFonts w:ascii="Times New Roman" w:hAnsi="Times New Roman" w:cs="Times New Roman"/>
          <w:szCs w:val="24"/>
          <w:lang w:val="en-US"/>
        </w:rPr>
        <w:t>, Hart Publishing, 2014, pp. 1-14</w:t>
      </w:r>
    </w:p>
    <w:p w14:paraId="45254946" w14:textId="77777777" w:rsidR="0082727A" w:rsidRPr="00E72418" w:rsidRDefault="0082727A" w:rsidP="0082727A">
      <w:pPr>
        <w:pStyle w:val="Paragraphedeliste"/>
        <w:spacing w:after="0"/>
        <w:rPr>
          <w:rFonts w:ascii="Times New Roman" w:hAnsi="Times New Roman" w:cs="Times New Roman"/>
          <w:sz w:val="14"/>
          <w:szCs w:val="14"/>
        </w:rPr>
      </w:pPr>
    </w:p>
    <w:p w14:paraId="47C8E07B" w14:textId="7BCCE7AB" w:rsidR="0082727A" w:rsidRPr="00E72418" w:rsidRDefault="0082727A" w:rsidP="0082727A">
      <w:pPr>
        <w:pStyle w:val="Paragraphedeliste"/>
        <w:numPr>
          <w:ilvl w:val="0"/>
          <w:numId w:val="17"/>
        </w:numPr>
        <w:spacing w:after="0"/>
        <w:rPr>
          <w:rFonts w:ascii="Times New Roman" w:hAnsi="Times New Roman" w:cs="Times New Roman"/>
          <w:szCs w:val="24"/>
        </w:rPr>
      </w:pPr>
      <w:r w:rsidRPr="00E72418">
        <w:rPr>
          <w:rFonts w:eastAsia="Times New Roman" w:cs="Times New Roman"/>
          <w:smallCaps/>
          <w:szCs w:val="24"/>
          <w:lang w:val="en-US" w:eastAsia="fr-BE"/>
        </w:rPr>
        <w:t>Boularbah</w:t>
      </w:r>
      <w:r w:rsidRPr="00E72418">
        <w:rPr>
          <w:rFonts w:eastAsia="Times New Roman" w:cs="Times New Roman"/>
          <w:szCs w:val="24"/>
          <w:lang w:val="en-US" w:eastAsia="fr-BE"/>
        </w:rPr>
        <w:t>, H., « Successfully enforcing an arbitral award », in </w:t>
      </w:r>
      <w:r w:rsidRPr="00E72418">
        <w:rPr>
          <w:rFonts w:eastAsia="Times New Roman" w:cs="Times New Roman"/>
          <w:smallCaps/>
          <w:szCs w:val="24"/>
          <w:lang w:val="en-US" w:eastAsia="fr-BE"/>
        </w:rPr>
        <w:t>Foncke</w:t>
      </w:r>
      <w:r w:rsidRPr="00E72418">
        <w:rPr>
          <w:rFonts w:eastAsia="Times New Roman" w:cs="Times New Roman"/>
          <w:szCs w:val="24"/>
          <w:lang w:val="en-US" w:eastAsia="fr-BE"/>
        </w:rPr>
        <w:t xml:space="preserve">, V. et </w:t>
      </w:r>
      <w:r w:rsidRPr="00E72418">
        <w:rPr>
          <w:rFonts w:eastAsia="Times New Roman" w:cs="Times New Roman"/>
          <w:smallCaps/>
          <w:szCs w:val="24"/>
          <w:lang w:val="en-US" w:eastAsia="fr-BE"/>
        </w:rPr>
        <w:t>Kohl</w:t>
      </w:r>
      <w:r w:rsidRPr="00E72418">
        <w:rPr>
          <w:rFonts w:eastAsia="Times New Roman" w:cs="Times New Roman"/>
          <w:szCs w:val="24"/>
          <w:lang w:val="en-US" w:eastAsia="fr-BE"/>
        </w:rPr>
        <w:t xml:space="preserve">, B. (éd.), </w:t>
      </w:r>
      <w:r w:rsidRPr="00E72418">
        <w:rPr>
          <w:rFonts w:eastAsia="Times New Roman" w:cs="Times New Roman"/>
          <w:i/>
          <w:szCs w:val="24"/>
          <w:lang w:val="en-US" w:eastAsia="fr-BE"/>
        </w:rPr>
        <w:t>What Counsel in Arbitration can do, must do or must not do?</w:t>
      </w:r>
      <w:r w:rsidRPr="00E72418">
        <w:rPr>
          <w:rFonts w:eastAsia="Times New Roman" w:cs="Times New Roman"/>
          <w:szCs w:val="24"/>
          <w:lang w:val="en-US" w:eastAsia="fr-BE"/>
        </w:rPr>
        <w:t>, Bruylant, 2015, pp. 91-123</w:t>
      </w:r>
    </w:p>
    <w:p w14:paraId="449D9316" w14:textId="77777777" w:rsidR="00A91208" w:rsidRPr="00E72418" w:rsidRDefault="00A91208" w:rsidP="00A91208">
      <w:pPr>
        <w:pStyle w:val="Paragraphedeliste"/>
        <w:rPr>
          <w:rFonts w:ascii="Times New Roman" w:hAnsi="Times New Roman" w:cs="Times New Roman"/>
          <w:sz w:val="14"/>
          <w:szCs w:val="14"/>
        </w:rPr>
      </w:pPr>
    </w:p>
    <w:p w14:paraId="6C2092C0" w14:textId="1D75DABA" w:rsidR="00A91208" w:rsidRPr="00E72418" w:rsidRDefault="00A91208" w:rsidP="008D1D70">
      <w:pPr>
        <w:pStyle w:val="Paragraphedeliste"/>
        <w:numPr>
          <w:ilvl w:val="0"/>
          <w:numId w:val="17"/>
        </w:numPr>
        <w:spacing w:after="0"/>
        <w:rPr>
          <w:rFonts w:ascii="Times New Roman" w:hAnsi="Times New Roman" w:cs="Times New Roman"/>
          <w:szCs w:val="24"/>
        </w:rPr>
      </w:pPr>
      <w:r w:rsidRPr="00E72418">
        <w:rPr>
          <w:rFonts w:ascii="Times New Roman" w:hAnsi="Times New Roman" w:cs="Times New Roman"/>
          <w:smallCaps/>
          <w:szCs w:val="24"/>
          <w:shd w:val="clear" w:color="auto" w:fill="FFFFFF"/>
          <w:lang w:val="en-GB"/>
        </w:rPr>
        <w:t>Br</w:t>
      </w:r>
      <w:r w:rsidR="006A67A3" w:rsidRPr="00E72418">
        <w:rPr>
          <w:rFonts w:ascii="Times New Roman" w:hAnsi="Times New Roman" w:cs="Times New Roman"/>
          <w:smallCaps/>
          <w:szCs w:val="24"/>
          <w:shd w:val="clear" w:color="auto" w:fill="FFFFFF"/>
          <w:lang w:val="en-GB"/>
        </w:rPr>
        <w:t>o</w:t>
      </w:r>
      <w:r w:rsidRPr="00E72418">
        <w:rPr>
          <w:rFonts w:ascii="Times New Roman" w:hAnsi="Times New Roman" w:cs="Times New Roman"/>
          <w:smallCaps/>
          <w:szCs w:val="24"/>
          <w:shd w:val="clear" w:color="auto" w:fill="FFFFFF"/>
          <w:lang w:val="en-GB"/>
        </w:rPr>
        <w:t>hmer</w:t>
      </w:r>
      <w:r w:rsidRPr="00E72418">
        <w:rPr>
          <w:rFonts w:ascii="Times New Roman" w:hAnsi="Times New Roman" w:cs="Times New Roman"/>
          <w:szCs w:val="24"/>
          <w:shd w:val="clear" w:color="auto" w:fill="FFFFFF"/>
          <w:lang w:val="en-GB"/>
        </w:rPr>
        <w:t xml:space="preserve">, J., </w:t>
      </w:r>
      <w:r w:rsidRPr="00E72418">
        <w:rPr>
          <w:rFonts w:ascii="Times New Roman" w:hAnsi="Times New Roman" w:cs="Times New Roman"/>
          <w:szCs w:val="24"/>
        </w:rPr>
        <w:t xml:space="preserve">« State Immunity and Sovereign Bonds », </w:t>
      </w:r>
      <w:r w:rsidRPr="00E72418">
        <w:rPr>
          <w:rFonts w:ascii="Times New Roman" w:hAnsi="Times New Roman" w:cs="Times New Roman"/>
          <w:szCs w:val="24"/>
          <w:shd w:val="clear" w:color="auto" w:fill="FFFFFF"/>
          <w:lang w:val="en-GB"/>
        </w:rPr>
        <w:t xml:space="preserve">in </w:t>
      </w:r>
      <w:r w:rsidRPr="00E72418">
        <w:rPr>
          <w:rFonts w:ascii="Times New Roman" w:hAnsi="Times New Roman" w:cs="Times New Roman"/>
          <w:smallCaps/>
          <w:szCs w:val="24"/>
          <w:shd w:val="clear" w:color="auto" w:fill="FFFFFF"/>
          <w:lang w:val="en-GB"/>
        </w:rPr>
        <w:t>Peters</w:t>
      </w:r>
      <w:r w:rsidRPr="00E72418">
        <w:rPr>
          <w:rFonts w:ascii="Times New Roman" w:hAnsi="Times New Roman" w:cs="Times New Roman"/>
          <w:szCs w:val="24"/>
          <w:shd w:val="clear" w:color="auto" w:fill="FFFFFF"/>
          <w:lang w:val="en-GB"/>
        </w:rPr>
        <w:t xml:space="preserve">, A., </w:t>
      </w:r>
      <w:r w:rsidRPr="00E72418">
        <w:rPr>
          <w:rFonts w:ascii="Times New Roman" w:hAnsi="Times New Roman" w:cs="Times New Roman"/>
          <w:smallCaps/>
          <w:szCs w:val="24"/>
          <w:shd w:val="clear" w:color="auto" w:fill="FFFFFF"/>
          <w:lang w:val="en-GB"/>
        </w:rPr>
        <w:t>Lagrange</w:t>
      </w:r>
      <w:r w:rsidRPr="00E72418">
        <w:rPr>
          <w:rFonts w:ascii="Times New Roman" w:hAnsi="Times New Roman" w:cs="Times New Roman"/>
          <w:szCs w:val="24"/>
          <w:shd w:val="clear" w:color="auto" w:fill="FFFFFF"/>
          <w:lang w:val="en-GB"/>
        </w:rPr>
        <w:t xml:space="preserve">, E., </w:t>
      </w:r>
      <w:r w:rsidRPr="00E72418">
        <w:rPr>
          <w:rFonts w:ascii="Times New Roman" w:hAnsi="Times New Roman" w:cs="Times New Roman"/>
          <w:smallCaps/>
          <w:szCs w:val="24"/>
          <w:shd w:val="clear" w:color="auto" w:fill="FFFFFF"/>
          <w:lang w:val="en-GB"/>
        </w:rPr>
        <w:t>Oeter,</w:t>
      </w:r>
      <w:r w:rsidRPr="00E72418">
        <w:rPr>
          <w:rFonts w:ascii="Times New Roman" w:hAnsi="Times New Roman" w:cs="Times New Roman"/>
          <w:szCs w:val="24"/>
          <w:shd w:val="clear" w:color="auto" w:fill="FFFFFF"/>
          <w:lang w:val="en-GB"/>
        </w:rPr>
        <w:t xml:space="preserve"> S. et </w:t>
      </w:r>
      <w:r w:rsidRPr="00E72418">
        <w:rPr>
          <w:rFonts w:ascii="Times New Roman" w:hAnsi="Times New Roman" w:cs="Times New Roman"/>
          <w:smallCaps/>
          <w:szCs w:val="24"/>
          <w:shd w:val="clear" w:color="auto" w:fill="FFFFFF"/>
          <w:lang w:val="en-GB"/>
        </w:rPr>
        <w:t>Tomuschat</w:t>
      </w:r>
      <w:r w:rsidRPr="00E72418">
        <w:rPr>
          <w:rFonts w:ascii="Times New Roman" w:hAnsi="Times New Roman" w:cs="Times New Roman"/>
          <w:szCs w:val="24"/>
          <w:shd w:val="clear" w:color="auto" w:fill="FFFFFF"/>
          <w:lang w:val="en-GB"/>
        </w:rPr>
        <w:t xml:space="preserve">, C. (éd.), </w:t>
      </w:r>
      <w:r w:rsidRPr="00E72418">
        <w:rPr>
          <w:rStyle w:val="fn"/>
          <w:rFonts w:ascii="Times New Roman" w:hAnsi="Times New Roman" w:cs="Times New Roman"/>
          <w:i/>
          <w:szCs w:val="24"/>
          <w:lang w:val="en-GB"/>
        </w:rPr>
        <w:t>Immunities in the Age of Global Constitutionalism</w:t>
      </w:r>
      <w:r w:rsidR="00671E17" w:rsidRPr="00E72418">
        <w:rPr>
          <w:rStyle w:val="fn"/>
          <w:rFonts w:ascii="Times New Roman" w:hAnsi="Times New Roman" w:cs="Times New Roman"/>
          <w:szCs w:val="24"/>
          <w:lang w:val="en-GB"/>
        </w:rPr>
        <w:t>, Brill</w:t>
      </w:r>
      <w:r w:rsidRPr="00E72418">
        <w:rPr>
          <w:rStyle w:val="fn"/>
          <w:rFonts w:ascii="Times New Roman" w:hAnsi="Times New Roman" w:cs="Times New Roman"/>
          <w:szCs w:val="24"/>
          <w:lang w:val="en-GB"/>
        </w:rPr>
        <w:t>-Nijhoff, 2014, pp. 182-208</w:t>
      </w:r>
    </w:p>
    <w:p w14:paraId="38AAAED6" w14:textId="77777777" w:rsidR="00A91208" w:rsidRPr="00E72418" w:rsidRDefault="00A91208" w:rsidP="00A91208">
      <w:pPr>
        <w:pStyle w:val="Paragraphedeliste"/>
        <w:rPr>
          <w:rFonts w:ascii="Times New Roman" w:hAnsi="Times New Roman" w:cs="Times New Roman"/>
          <w:sz w:val="14"/>
          <w:szCs w:val="14"/>
        </w:rPr>
      </w:pPr>
    </w:p>
    <w:p w14:paraId="6D05FD48" w14:textId="55B02A8A" w:rsidR="00263A84" w:rsidRPr="00E72418" w:rsidRDefault="00A91208" w:rsidP="007D7D59">
      <w:pPr>
        <w:pStyle w:val="Paragraphedeliste"/>
        <w:numPr>
          <w:ilvl w:val="0"/>
          <w:numId w:val="17"/>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Bruno, E, </w:t>
      </w:r>
    </w:p>
    <w:p w14:paraId="1EABAE03"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50A7B104" w14:textId="497167E6" w:rsidR="00263A84" w:rsidRPr="00E72418" w:rsidRDefault="00A91208" w:rsidP="00263A84">
      <w:pPr>
        <w:pStyle w:val="Paragraphedeliste"/>
        <w:numPr>
          <w:ilvl w:val="1"/>
          <w:numId w:val="17"/>
        </w:numPr>
        <w:spacing w:after="0"/>
        <w:rPr>
          <w:rFonts w:ascii="Times New Roman" w:hAnsi="Times New Roman" w:cs="Times New Roman"/>
          <w:szCs w:val="24"/>
        </w:rPr>
      </w:pPr>
      <w:r w:rsidRPr="00E72418">
        <w:rPr>
          <w:rFonts w:ascii="Times New Roman" w:hAnsi="Times New Roman" w:cs="Times New Roman"/>
          <w:szCs w:val="24"/>
          <w:lang w:val="en-US"/>
        </w:rPr>
        <w:t xml:space="preserve">« Fundamentals of sovereign debt </w:t>
      </w:r>
      <w:r w:rsidRPr="00E72418">
        <w:rPr>
          <w:rFonts w:ascii="Times New Roman" w:hAnsi="Times New Roman" w:cs="Times New Roman"/>
          <w:szCs w:val="24"/>
          <w:lang w:val="en-GB"/>
        </w:rPr>
        <w:t>»</w:t>
      </w:r>
      <w:r w:rsidRPr="00E72418">
        <w:rPr>
          <w:rFonts w:ascii="Times New Roman" w:hAnsi="Times New Roman" w:cs="Times New Roman"/>
          <w:szCs w:val="24"/>
          <w:lang w:val="en-US"/>
        </w:rPr>
        <w:t>,</w:t>
      </w:r>
      <w:r w:rsidRPr="00E72418">
        <w:rPr>
          <w:rFonts w:ascii="Times New Roman" w:hAnsi="Times New Roman" w:cs="Times New Roman"/>
          <w:smallCaps/>
          <w:szCs w:val="24"/>
          <w:lang w:val="en-US"/>
        </w:rPr>
        <w:t xml:space="preserve"> </w:t>
      </w:r>
      <w:r w:rsidRPr="00E72418">
        <w:rPr>
          <w:rFonts w:ascii="Times New Roman" w:hAnsi="Times New Roman" w:cs="Times New Roman"/>
          <w:szCs w:val="24"/>
          <w:lang w:val="en-US"/>
        </w:rPr>
        <w:t>in</w:t>
      </w:r>
      <w:r w:rsidRPr="00E72418">
        <w:rPr>
          <w:rFonts w:ascii="Times New Roman" w:hAnsi="Times New Roman" w:cs="Times New Roman"/>
          <w:smallCaps/>
          <w:szCs w:val="24"/>
          <w:lang w:val="en-US"/>
        </w:rPr>
        <w:t xml:space="preserve"> Bruno, E.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Sovereign Debt and Debt Restructuring – Legal, Financial and Regulatory Aspects</w:t>
      </w:r>
      <w:r w:rsidRPr="00E72418">
        <w:rPr>
          <w:rFonts w:ascii="Times New Roman" w:hAnsi="Times New Roman" w:cs="Times New Roman"/>
          <w:szCs w:val="24"/>
          <w:lang w:val="en-US"/>
        </w:rPr>
        <w:t>, Globe Law and Business, 2013, pp. 5-10</w:t>
      </w:r>
    </w:p>
    <w:p w14:paraId="034AB353" w14:textId="77777777" w:rsidR="00263A84" w:rsidRPr="00E72418" w:rsidRDefault="00263A84" w:rsidP="00263A84">
      <w:pPr>
        <w:pStyle w:val="Paragraphedeliste"/>
        <w:spacing w:after="0"/>
        <w:ind w:left="1440"/>
        <w:rPr>
          <w:rFonts w:ascii="Times New Roman" w:hAnsi="Times New Roman" w:cs="Times New Roman"/>
          <w:sz w:val="10"/>
          <w:szCs w:val="10"/>
        </w:rPr>
      </w:pPr>
    </w:p>
    <w:p w14:paraId="6562C658" w14:textId="77777777" w:rsidR="00025A8C" w:rsidRPr="00E72418" w:rsidRDefault="00A91208" w:rsidP="007D7D59">
      <w:pPr>
        <w:pStyle w:val="Paragraphedeliste"/>
        <w:numPr>
          <w:ilvl w:val="1"/>
          <w:numId w:val="17"/>
        </w:numPr>
        <w:spacing w:after="0"/>
        <w:rPr>
          <w:rFonts w:ascii="Times New Roman" w:hAnsi="Times New Roman" w:cs="Times New Roman"/>
          <w:szCs w:val="24"/>
        </w:rPr>
      </w:pPr>
      <w:r w:rsidRPr="00E72418">
        <w:rPr>
          <w:rFonts w:ascii="Times New Roman" w:hAnsi="Times New Roman" w:cs="Times New Roman"/>
          <w:szCs w:val="24"/>
          <w:lang w:val="en-US"/>
        </w:rPr>
        <w:t xml:space="preserve">« Judicial cases against sovereign countries before the Argentina case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Bruno, E.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Sovereign Debt and Debt Restructuring – Legal, Financial and Regulatory Aspects</w:t>
      </w:r>
      <w:r w:rsidRPr="00E72418">
        <w:rPr>
          <w:rFonts w:ascii="Times New Roman" w:hAnsi="Times New Roman" w:cs="Times New Roman"/>
          <w:szCs w:val="24"/>
          <w:lang w:val="en-US"/>
        </w:rPr>
        <w:t>, Globe Law and Business, 2013, pp. 79-87</w:t>
      </w:r>
    </w:p>
    <w:p w14:paraId="4E444915" w14:textId="77777777" w:rsidR="00025A8C" w:rsidRPr="00E72418" w:rsidRDefault="00025A8C" w:rsidP="00025A8C">
      <w:pPr>
        <w:pStyle w:val="Paragraphedeliste"/>
        <w:spacing w:after="0"/>
        <w:ind w:left="1440"/>
        <w:rPr>
          <w:rFonts w:ascii="Times New Roman" w:hAnsi="Times New Roman" w:cs="Times New Roman"/>
          <w:sz w:val="10"/>
          <w:szCs w:val="10"/>
        </w:rPr>
      </w:pPr>
    </w:p>
    <w:p w14:paraId="56C1587B" w14:textId="78C3329A" w:rsidR="00025A8C" w:rsidRPr="00E72418" w:rsidRDefault="00A91208" w:rsidP="00025A8C">
      <w:pPr>
        <w:pStyle w:val="Paragraphedeliste"/>
        <w:numPr>
          <w:ilvl w:val="1"/>
          <w:numId w:val="17"/>
        </w:numPr>
        <w:spacing w:after="0"/>
        <w:rPr>
          <w:rFonts w:ascii="Times New Roman" w:hAnsi="Times New Roman" w:cs="Times New Roman"/>
          <w:szCs w:val="24"/>
        </w:rPr>
      </w:pPr>
      <w:r w:rsidRPr="00E72418">
        <w:rPr>
          <w:rFonts w:ascii="Times New Roman" w:hAnsi="Times New Roman" w:cs="Times New Roman"/>
          <w:szCs w:val="24"/>
          <w:lang w:val="en-US"/>
        </w:rPr>
        <w:t xml:space="preserve">« Lessons from history: structuring, defaulting, restructuring and the emerging markets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Bruno, E.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Sovereign Debt and Debt Restructuring – Legal, Financial and Regulatory Aspects</w:t>
      </w:r>
      <w:r w:rsidRPr="00E72418">
        <w:rPr>
          <w:rFonts w:ascii="Times New Roman" w:hAnsi="Times New Roman" w:cs="Times New Roman"/>
          <w:szCs w:val="24"/>
          <w:lang w:val="en-US"/>
        </w:rPr>
        <w:t>, Globe Law and Business, 2013, pp. 181-192</w:t>
      </w:r>
    </w:p>
    <w:p w14:paraId="7F4B1B6F" w14:textId="77777777" w:rsidR="00025A8C" w:rsidRPr="00E72418" w:rsidRDefault="00025A8C" w:rsidP="00025A8C">
      <w:pPr>
        <w:pStyle w:val="Paragraphedeliste"/>
        <w:spacing w:after="0"/>
        <w:ind w:left="1440"/>
        <w:rPr>
          <w:rFonts w:ascii="Times New Roman" w:hAnsi="Times New Roman" w:cs="Times New Roman"/>
          <w:sz w:val="10"/>
          <w:szCs w:val="10"/>
        </w:rPr>
      </w:pPr>
    </w:p>
    <w:p w14:paraId="7D5FB4C1" w14:textId="09CFADCC" w:rsidR="00A91208" w:rsidRPr="00E72418" w:rsidRDefault="00A91208" w:rsidP="00263A84">
      <w:pPr>
        <w:pStyle w:val="Paragraphedeliste"/>
        <w:numPr>
          <w:ilvl w:val="1"/>
          <w:numId w:val="17"/>
        </w:numPr>
        <w:spacing w:after="0"/>
        <w:rPr>
          <w:rFonts w:ascii="Times New Roman" w:hAnsi="Times New Roman" w:cs="Times New Roman"/>
          <w:szCs w:val="24"/>
        </w:rPr>
      </w:pPr>
      <w:r w:rsidRPr="00E72418">
        <w:rPr>
          <w:rFonts w:ascii="Times New Roman" w:hAnsi="Times New Roman" w:cs="Times New Roman"/>
          <w:szCs w:val="24"/>
          <w:lang w:val="en-US"/>
        </w:rPr>
        <w:t xml:space="preserve">« Lessons from the most recent restructurings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Bruno, E.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Sovereign Debt and Debt Restructuring – Legal, Financial and Regulatory Aspects</w:t>
      </w:r>
      <w:r w:rsidRPr="00E72418">
        <w:rPr>
          <w:rFonts w:ascii="Times New Roman" w:hAnsi="Times New Roman" w:cs="Times New Roman"/>
          <w:szCs w:val="24"/>
          <w:lang w:val="en-US"/>
        </w:rPr>
        <w:t>, Globe Law and Business, 2013, pp. 193-199</w:t>
      </w:r>
    </w:p>
    <w:p w14:paraId="5BA654BC" w14:textId="77777777" w:rsidR="00A91208" w:rsidRPr="00E72418" w:rsidRDefault="00A91208" w:rsidP="00A91208">
      <w:pPr>
        <w:pStyle w:val="Paragraphedeliste"/>
        <w:rPr>
          <w:rFonts w:ascii="Times New Roman" w:hAnsi="Times New Roman" w:cs="Times New Roman"/>
          <w:sz w:val="14"/>
          <w:szCs w:val="14"/>
        </w:rPr>
      </w:pPr>
    </w:p>
    <w:p w14:paraId="2B1B4945" w14:textId="50D8F125" w:rsidR="00263A84" w:rsidRPr="00E72418" w:rsidRDefault="00A91208" w:rsidP="007D7D59">
      <w:pPr>
        <w:pStyle w:val="Paragraphedeliste"/>
        <w:numPr>
          <w:ilvl w:val="0"/>
          <w:numId w:val="16"/>
        </w:numPr>
        <w:spacing w:after="0"/>
        <w:rPr>
          <w:rFonts w:ascii="Times New Roman" w:hAnsi="Times New Roman" w:cs="Times New Roman"/>
          <w:szCs w:val="24"/>
        </w:rPr>
      </w:pPr>
      <w:r w:rsidRPr="00E72418">
        <w:rPr>
          <w:rFonts w:ascii="Times New Roman" w:eastAsia="Times New Roman" w:hAnsi="Times New Roman" w:cs="Times New Roman"/>
          <w:smallCaps/>
          <w:szCs w:val="24"/>
          <w:lang w:val="en-US" w:eastAsia="fr-BE"/>
        </w:rPr>
        <w:t xml:space="preserve">Buchheit, L. </w:t>
      </w:r>
      <w:r w:rsidRPr="00E72418">
        <w:rPr>
          <w:rFonts w:ascii="Times New Roman" w:eastAsia="Times New Roman" w:hAnsi="Times New Roman" w:cs="Times New Roman"/>
          <w:szCs w:val="24"/>
          <w:lang w:val="en-US" w:eastAsia="fr-BE"/>
        </w:rPr>
        <w:t xml:space="preserve">et </w:t>
      </w:r>
      <w:r w:rsidRPr="00E72418">
        <w:rPr>
          <w:rFonts w:ascii="Times New Roman" w:eastAsia="Times New Roman" w:hAnsi="Times New Roman" w:cs="Times New Roman"/>
          <w:smallCaps/>
          <w:szCs w:val="24"/>
          <w:lang w:val="en-US" w:eastAsia="fr-BE"/>
        </w:rPr>
        <w:t xml:space="preserve">Daly, E., </w:t>
      </w:r>
    </w:p>
    <w:p w14:paraId="3680DD5B"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39EAE5AD" w14:textId="77777777" w:rsidR="007D7D59" w:rsidRPr="00E72418" w:rsidRDefault="00A91208" w:rsidP="007D7D59">
      <w:pPr>
        <w:pStyle w:val="Paragraphedeliste"/>
        <w:numPr>
          <w:ilvl w:val="1"/>
          <w:numId w:val="16"/>
        </w:numPr>
        <w:spacing w:after="0"/>
        <w:rPr>
          <w:rFonts w:ascii="Times New Roman" w:hAnsi="Times New Roman" w:cs="Times New Roman"/>
          <w:szCs w:val="24"/>
        </w:rPr>
      </w:pPr>
      <w:r w:rsidRPr="00E72418">
        <w:rPr>
          <w:rFonts w:ascii="Times New Roman" w:eastAsia="Times New Roman" w:hAnsi="Times New Roman" w:cs="Times New Roman"/>
          <w:smallCaps/>
          <w:szCs w:val="24"/>
          <w:lang w:val="en-US" w:eastAsia="fr-BE"/>
        </w:rPr>
        <w:t>« </w:t>
      </w:r>
      <w:r w:rsidRPr="00E72418">
        <w:rPr>
          <w:rFonts w:ascii="Times New Roman" w:eastAsia="Times New Roman" w:hAnsi="Times New Roman" w:cs="Times New Roman"/>
          <w:szCs w:val="24"/>
          <w:lang w:val="en-US" w:eastAsia="fr-BE"/>
        </w:rPr>
        <w:t>Minimizing Holdout Creditors – Carrots »</w:t>
      </w:r>
      <w:r w:rsidRPr="00E72418">
        <w:rPr>
          <w:rFonts w:ascii="Times New Roman" w:eastAsia="Times New Roman" w:hAnsi="Times New Roman" w:cs="Times New Roman"/>
          <w:smallCaps/>
          <w:szCs w:val="24"/>
          <w:lang w:val="en-US" w:eastAsia="fr-BE"/>
        </w:rPr>
        <w:t xml:space="preserve">, </w:t>
      </w:r>
      <w:r w:rsidRPr="00E72418">
        <w:rPr>
          <w:rFonts w:ascii="Times New Roman" w:hAnsi="Times New Roman" w:cs="Times New Roman"/>
          <w:szCs w:val="24"/>
          <w:lang w:val="en-US"/>
        </w:rPr>
        <w:t xml:space="preserve">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001430E5" w:rsidRPr="00E72418">
        <w:rPr>
          <w:rFonts w:ascii="Times New Roman" w:hAnsi="Times New Roman" w:cs="Times New Roman"/>
          <w:szCs w:val="24"/>
          <w:lang w:val="en-US"/>
        </w:rPr>
        <w:t>, R. (é</w:t>
      </w:r>
      <w:r w:rsidRPr="00E72418">
        <w:rPr>
          <w:rFonts w:ascii="Times New Roman" w:hAnsi="Times New Roman" w:cs="Times New Roman"/>
          <w:szCs w:val="24"/>
          <w:lang w:val="en-US"/>
        </w:rPr>
        <w:t>d</w:t>
      </w:r>
      <w:r w:rsidR="001430E5" w:rsidRPr="00E72418">
        <w:rPr>
          <w:rFonts w:ascii="Times New Roman" w:hAnsi="Times New Roman" w:cs="Times New Roman"/>
          <w:szCs w:val="24"/>
          <w:lang w:val="en-US"/>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3-13</w:t>
      </w:r>
    </w:p>
    <w:p w14:paraId="39F35F41"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2D1264EE" w14:textId="3D8888C2" w:rsidR="00A91208" w:rsidRPr="00E72418" w:rsidRDefault="00A91208" w:rsidP="007D7D59">
      <w:pPr>
        <w:pStyle w:val="Paragraphedeliste"/>
        <w:numPr>
          <w:ilvl w:val="1"/>
          <w:numId w:val="16"/>
        </w:numPr>
        <w:spacing w:after="0"/>
        <w:rPr>
          <w:rFonts w:ascii="Times New Roman" w:hAnsi="Times New Roman" w:cs="Times New Roman"/>
          <w:szCs w:val="24"/>
        </w:rPr>
      </w:pPr>
      <w:r w:rsidRPr="00E72418">
        <w:rPr>
          <w:rFonts w:ascii="Times New Roman" w:eastAsia="Times New Roman" w:hAnsi="Times New Roman" w:cs="Times New Roman"/>
          <w:smallCaps/>
          <w:szCs w:val="24"/>
          <w:lang w:val="en-US" w:eastAsia="fr-BE"/>
        </w:rPr>
        <w:t>« </w:t>
      </w:r>
      <w:r w:rsidRPr="00E72418">
        <w:rPr>
          <w:rFonts w:ascii="Times New Roman" w:eastAsia="Times New Roman" w:hAnsi="Times New Roman" w:cs="Times New Roman"/>
          <w:szCs w:val="24"/>
          <w:lang w:val="en-US" w:eastAsia="fr-BE"/>
        </w:rPr>
        <w:t>Minimizing Holdout Creditors – Sticks »</w:t>
      </w:r>
      <w:r w:rsidRPr="00E72418">
        <w:rPr>
          <w:rFonts w:ascii="Times New Roman" w:eastAsia="Times New Roman" w:hAnsi="Times New Roman" w:cs="Times New Roman"/>
          <w:smallCaps/>
          <w:szCs w:val="24"/>
          <w:lang w:val="en-US" w:eastAsia="fr-BE"/>
        </w:rPr>
        <w:t xml:space="preserve">, </w:t>
      </w:r>
      <w:r w:rsidRPr="00E72418">
        <w:rPr>
          <w:rFonts w:ascii="Times New Roman" w:hAnsi="Times New Roman" w:cs="Times New Roman"/>
          <w:szCs w:val="24"/>
          <w:lang w:val="en-US"/>
        </w:rPr>
        <w:t xml:space="preserve">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R. (éd</w:t>
      </w:r>
      <w:r w:rsidR="001430E5" w:rsidRPr="00E72418">
        <w:rPr>
          <w:rFonts w:ascii="Times New Roman" w:hAnsi="Times New Roman" w:cs="Times New Roman"/>
          <w:szCs w:val="24"/>
          <w:lang w:val="en-US"/>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15-23</w:t>
      </w:r>
    </w:p>
    <w:p w14:paraId="4F3954EE" w14:textId="77777777" w:rsidR="00263A84" w:rsidRPr="00E72418" w:rsidRDefault="00263A84" w:rsidP="00263A84">
      <w:pPr>
        <w:pStyle w:val="Paragraphedeliste"/>
        <w:rPr>
          <w:rFonts w:ascii="Times New Roman" w:hAnsi="Times New Roman" w:cs="Times New Roman"/>
          <w:sz w:val="14"/>
          <w:szCs w:val="14"/>
        </w:rPr>
      </w:pPr>
    </w:p>
    <w:p w14:paraId="7DA0830F" w14:textId="381AFEE2" w:rsidR="00263A84" w:rsidRPr="00E72418" w:rsidRDefault="00263A84" w:rsidP="008D1D70">
      <w:pPr>
        <w:pStyle w:val="Paragraphedeliste"/>
        <w:numPr>
          <w:ilvl w:val="0"/>
          <w:numId w:val="16"/>
        </w:numPr>
        <w:spacing w:after="0"/>
        <w:rPr>
          <w:rFonts w:ascii="Times New Roman" w:hAnsi="Times New Roman" w:cs="Times New Roman"/>
          <w:szCs w:val="24"/>
        </w:rPr>
      </w:pPr>
      <w:r w:rsidRPr="00E72418">
        <w:rPr>
          <w:rFonts w:ascii="Times New Roman" w:eastAsia="Times New Roman" w:hAnsi="Times New Roman" w:cs="Times New Roman"/>
          <w:smallCaps/>
          <w:szCs w:val="24"/>
          <w:lang w:val="en-US" w:eastAsia="fr-BE"/>
        </w:rPr>
        <w:t>Buchheit, L., « </w:t>
      </w:r>
      <w:r w:rsidRPr="00E72418">
        <w:rPr>
          <w:rFonts w:ascii="Times New Roman" w:eastAsia="Times New Roman" w:hAnsi="Times New Roman" w:cs="Times New Roman"/>
          <w:szCs w:val="24"/>
          <w:lang w:val="en-US" w:eastAsia="fr-BE"/>
        </w:rPr>
        <w:t>Sovereign Debt in the Light of Eternity »</w:t>
      </w:r>
      <w:r w:rsidRPr="00E72418">
        <w:rPr>
          <w:rFonts w:ascii="Times New Roman" w:eastAsia="Times New Roman" w:hAnsi="Times New Roman" w:cs="Times New Roman"/>
          <w:smallCaps/>
          <w:szCs w:val="24"/>
          <w:lang w:val="en-US" w:eastAsia="fr-BE"/>
        </w:rPr>
        <w:t xml:space="preserve">, </w:t>
      </w:r>
      <w:r w:rsidRPr="00E72418">
        <w:rPr>
          <w:rFonts w:ascii="Times New Roman" w:hAnsi="Times New Roman" w:cs="Times New Roman"/>
          <w:szCs w:val="24"/>
          <w:lang w:val="en-US"/>
        </w:rPr>
        <w:t xml:space="preserve">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xml:space="preserve">, R. (éd.),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463-469</w:t>
      </w:r>
    </w:p>
    <w:p w14:paraId="35B6BB01" w14:textId="77777777" w:rsidR="00A91208" w:rsidRPr="00E72418" w:rsidRDefault="00A91208" w:rsidP="00A91208">
      <w:pPr>
        <w:pStyle w:val="Paragraphedeliste"/>
        <w:rPr>
          <w:rFonts w:ascii="Times New Roman" w:hAnsi="Times New Roman" w:cs="Times New Roman"/>
          <w:sz w:val="14"/>
          <w:szCs w:val="14"/>
        </w:rPr>
      </w:pPr>
    </w:p>
    <w:p w14:paraId="3E30F499"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Charlier</w:t>
      </w:r>
      <w:r w:rsidRPr="00E72418">
        <w:rPr>
          <w:rFonts w:ascii="Times New Roman" w:hAnsi="Times New Roman" w:cs="Times New Roman"/>
          <w:szCs w:val="24"/>
        </w:rPr>
        <w:t xml:space="preserve">, M., « Le retrait de droits litigieux », in </w:t>
      </w:r>
      <w:r w:rsidRPr="00E72418">
        <w:rPr>
          <w:rFonts w:ascii="Times New Roman" w:hAnsi="Times New Roman" w:cs="Times New Roman"/>
          <w:i/>
          <w:szCs w:val="24"/>
        </w:rPr>
        <w:t>Liber Amicorum Marc Châtel</w:t>
      </w:r>
      <w:r w:rsidRPr="00E72418">
        <w:rPr>
          <w:rFonts w:ascii="Times New Roman" w:hAnsi="Times New Roman" w:cs="Times New Roman"/>
          <w:szCs w:val="24"/>
        </w:rPr>
        <w:t>, Kluwer, 1991, pp. 47-54</w:t>
      </w:r>
    </w:p>
    <w:p w14:paraId="7724663F" w14:textId="77777777" w:rsidR="00A91208" w:rsidRPr="00E72418" w:rsidRDefault="00A91208" w:rsidP="00A91208">
      <w:pPr>
        <w:pStyle w:val="Paragraphedeliste"/>
        <w:rPr>
          <w:rFonts w:ascii="Times New Roman" w:hAnsi="Times New Roman" w:cs="Times New Roman"/>
          <w:sz w:val="14"/>
          <w:szCs w:val="14"/>
        </w:rPr>
      </w:pPr>
    </w:p>
    <w:p w14:paraId="4A7388D4" w14:textId="30AEFE2C"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Cross, K., </w:t>
      </w:r>
      <w:r w:rsidRPr="00E72418">
        <w:rPr>
          <w:rFonts w:ascii="Times New Roman" w:hAnsi="Times New Roman" w:cs="Times New Roman"/>
          <w:szCs w:val="24"/>
          <w:lang w:val="en-US"/>
        </w:rPr>
        <w:t xml:space="preserve">« Sovereign Arbitration », 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R. (éd</w:t>
      </w:r>
      <w:r w:rsidR="001430E5" w:rsidRPr="00E72418">
        <w:rPr>
          <w:rFonts w:ascii="Times New Roman" w:hAnsi="Times New Roman" w:cs="Times New Roman"/>
          <w:szCs w:val="24"/>
          <w:lang w:val="en-US"/>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151-173</w:t>
      </w:r>
    </w:p>
    <w:p w14:paraId="568985F9" w14:textId="77777777" w:rsidR="00FF0614" w:rsidRPr="00E72418" w:rsidRDefault="00FF0614" w:rsidP="00FF0614">
      <w:pPr>
        <w:pStyle w:val="Paragraphedeliste"/>
        <w:rPr>
          <w:rFonts w:ascii="Times New Roman" w:hAnsi="Times New Roman" w:cs="Times New Roman"/>
          <w:sz w:val="14"/>
          <w:szCs w:val="14"/>
        </w:rPr>
      </w:pPr>
    </w:p>
    <w:p w14:paraId="49B9173B" w14:textId="02FA6093" w:rsidR="00A91208" w:rsidRPr="00E72418" w:rsidRDefault="00FF0614" w:rsidP="00263A84">
      <w:pPr>
        <w:pStyle w:val="Paragraphedeliste"/>
        <w:numPr>
          <w:ilvl w:val="0"/>
          <w:numId w:val="16"/>
        </w:numPr>
        <w:spacing w:after="0"/>
        <w:rPr>
          <w:rFonts w:ascii="Times New Roman" w:hAnsi="Times New Roman" w:cs="Times New Roman"/>
          <w:szCs w:val="24"/>
        </w:rPr>
      </w:pPr>
      <w:r w:rsidRPr="00E72418">
        <w:rPr>
          <w:smallCaps/>
        </w:rPr>
        <w:t>de Leval, G.</w:t>
      </w:r>
      <w:r w:rsidRPr="00E72418">
        <w:t xml:space="preserve"> et </w:t>
      </w:r>
      <w:r w:rsidRPr="00E72418">
        <w:rPr>
          <w:smallCaps/>
        </w:rPr>
        <w:t>Boularbah</w:t>
      </w:r>
      <w:r w:rsidRPr="00E72418">
        <w:t xml:space="preserve">, H., « L’action en justice », in </w:t>
      </w:r>
      <w:r w:rsidRPr="00E72418">
        <w:rPr>
          <w:smallCaps/>
        </w:rPr>
        <w:t>de Leval, G.</w:t>
      </w:r>
      <w:r w:rsidRPr="00E72418">
        <w:t xml:space="preserve"> (dir.), </w:t>
      </w:r>
      <w:r w:rsidRPr="00E72418">
        <w:rPr>
          <w:i/>
        </w:rPr>
        <w:t>Droit judiciaire – Tome 2 :  Procédure civile – Volume 1 : Principes directeurs du procès civil, Compétence-Action-Instance-Jugement</w:t>
      </w:r>
      <w:r w:rsidRPr="00E72418">
        <w:t>, 2</w:t>
      </w:r>
      <w:r w:rsidRPr="00E72418">
        <w:rPr>
          <w:vertAlign w:val="superscript"/>
        </w:rPr>
        <w:t>e</w:t>
      </w:r>
      <w:r w:rsidRPr="00E72418">
        <w:t xml:space="preserve"> éd., Larcier, 2021, pp. 235-281</w:t>
      </w:r>
    </w:p>
    <w:p w14:paraId="70858D7C" w14:textId="77777777" w:rsidR="007D7D59" w:rsidRPr="00E72418" w:rsidRDefault="007D7D59" w:rsidP="007D7D59">
      <w:pPr>
        <w:pStyle w:val="Paragraphedeliste"/>
        <w:spacing w:after="0"/>
        <w:rPr>
          <w:rFonts w:ascii="Times New Roman" w:hAnsi="Times New Roman" w:cs="Times New Roman"/>
          <w:sz w:val="14"/>
          <w:szCs w:val="14"/>
        </w:rPr>
      </w:pPr>
    </w:p>
    <w:p w14:paraId="5CBD1902"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Da ros</w:t>
      </w:r>
      <w:r w:rsidRPr="00E72418">
        <w:rPr>
          <w:rFonts w:ascii="Times New Roman" w:hAnsi="Times New Roman" w:cs="Times New Roman"/>
          <w:szCs w:val="24"/>
        </w:rPr>
        <w:t xml:space="preserve">, J., « Les </w:t>
      </w:r>
      <w:r w:rsidRPr="00E72418">
        <w:rPr>
          <w:rFonts w:ascii="Times New Roman" w:hAnsi="Times New Roman" w:cs="Times New Roman"/>
          <w:i/>
          <w:szCs w:val="24"/>
        </w:rPr>
        <w:t>Credit Default Swaps</w:t>
      </w:r>
      <w:r w:rsidRPr="00E72418">
        <w:rPr>
          <w:rFonts w:ascii="Times New Roman" w:hAnsi="Times New Roman" w:cs="Times New Roman"/>
          <w:szCs w:val="24"/>
        </w:rPr>
        <w:t xml:space="preserve"> – Incidence des </w:t>
      </w:r>
      <w:r w:rsidRPr="00E72418">
        <w:rPr>
          <w:rFonts w:ascii="Times New Roman" w:hAnsi="Times New Roman" w:cs="Times New Roman"/>
          <w:i/>
          <w:szCs w:val="24"/>
        </w:rPr>
        <w:t xml:space="preserve">Credit Default Swaps </w:t>
      </w:r>
      <w:r w:rsidRPr="00E72418">
        <w:rPr>
          <w:rFonts w:ascii="Times New Roman" w:hAnsi="Times New Roman" w:cs="Times New Roman"/>
          <w:szCs w:val="24"/>
        </w:rPr>
        <w:t xml:space="preserve">sur les dettes des États : bilan et prospective », in </w:t>
      </w:r>
      <w:r w:rsidRPr="00E72418">
        <w:rPr>
          <w:rFonts w:ascii="Times New Roman" w:hAnsi="Times New Roman" w:cs="Times New Roman"/>
          <w:smallCaps/>
          <w:szCs w:val="24"/>
        </w:rPr>
        <w:t>Audit</w:t>
      </w:r>
      <w:r w:rsidRPr="00E72418">
        <w:rPr>
          <w:rFonts w:ascii="Times New Roman" w:hAnsi="Times New Roman" w:cs="Times New Roman"/>
          <w:szCs w:val="24"/>
        </w:rPr>
        <w:t>, M. (dir.),</w:t>
      </w:r>
      <w:r w:rsidRPr="00E72418">
        <w:rPr>
          <w:rFonts w:ascii="Times New Roman" w:hAnsi="Times New Roman" w:cs="Times New Roman"/>
          <w:i/>
          <w:szCs w:val="24"/>
        </w:rPr>
        <w:t xml:space="preserve"> Insolvabilité des États et dettes souveraines</w:t>
      </w:r>
      <w:r w:rsidRPr="00E72418">
        <w:rPr>
          <w:rFonts w:ascii="Times New Roman" w:hAnsi="Times New Roman" w:cs="Times New Roman"/>
          <w:szCs w:val="24"/>
        </w:rPr>
        <w:t>, L.G.D.J., 2011, pp. 89-101</w:t>
      </w:r>
    </w:p>
    <w:p w14:paraId="5D75551D" w14:textId="77777777" w:rsidR="00A91208" w:rsidRPr="00E72418" w:rsidRDefault="00A91208" w:rsidP="00A91208">
      <w:pPr>
        <w:pStyle w:val="Paragraphedeliste"/>
        <w:rPr>
          <w:rFonts w:ascii="Times New Roman" w:hAnsi="Times New Roman" w:cs="Times New Roman"/>
          <w:sz w:val="14"/>
          <w:szCs w:val="14"/>
        </w:rPr>
      </w:pPr>
    </w:p>
    <w:p w14:paraId="794F2F3F" w14:textId="12B34ECE"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De Gouttes</w:t>
      </w:r>
      <w:r w:rsidRPr="00E72418">
        <w:rPr>
          <w:rFonts w:ascii="Times New Roman" w:hAnsi="Times New Roman" w:cs="Times New Roman"/>
          <w:szCs w:val="24"/>
        </w:rPr>
        <w:t>, R.,</w:t>
      </w:r>
      <w:r w:rsidR="007748D9" w:rsidRPr="00E72418">
        <w:rPr>
          <w:rFonts w:ascii="Times New Roman" w:hAnsi="Times New Roman" w:cs="Times New Roman"/>
          <w:szCs w:val="24"/>
        </w:rPr>
        <w:t xml:space="preserve"> « </w:t>
      </w:r>
      <w:r w:rsidR="007748D9" w:rsidRPr="00E72418">
        <w:t>À</w:t>
      </w:r>
      <w:r w:rsidRPr="00E72418">
        <w:rPr>
          <w:rFonts w:ascii="Times New Roman" w:hAnsi="Times New Roman" w:cs="Times New Roman"/>
          <w:szCs w:val="24"/>
        </w:rPr>
        <w:t xml:space="preserve"> propos de l’immunité de juridiction des </w:t>
      </w:r>
      <w:r w:rsidRPr="00E72418">
        <w:rPr>
          <w:rFonts w:ascii="Times New Roman" w:hAnsi="Times New Roman" w:cs="Times New Roman"/>
          <w:caps/>
          <w:szCs w:val="24"/>
        </w:rPr>
        <w:t>é</w:t>
      </w:r>
      <w:r w:rsidRPr="00E72418">
        <w:rPr>
          <w:rFonts w:ascii="Times New Roman" w:hAnsi="Times New Roman" w:cs="Times New Roman"/>
          <w:szCs w:val="24"/>
        </w:rPr>
        <w:t xml:space="preserve">tats étrangers », in </w:t>
      </w:r>
      <w:r w:rsidRPr="00E72418">
        <w:rPr>
          <w:rFonts w:ascii="Times New Roman" w:hAnsi="Times New Roman" w:cs="Times New Roman"/>
          <w:i/>
          <w:iCs/>
          <w:szCs w:val="24"/>
        </w:rPr>
        <w:t>L’</w:t>
      </w:r>
      <w:r w:rsidR="00CD5C6F" w:rsidRPr="00E72418">
        <w:rPr>
          <w:rFonts w:ascii="Times New Roman" w:hAnsi="Times New Roman" w:cs="Times New Roman"/>
          <w:i/>
          <w:szCs w:val="24"/>
        </w:rPr>
        <w:t>É</w:t>
      </w:r>
      <w:r w:rsidRPr="00E72418">
        <w:rPr>
          <w:rFonts w:ascii="Times New Roman" w:hAnsi="Times New Roman" w:cs="Times New Roman"/>
          <w:i/>
          <w:iCs/>
          <w:szCs w:val="24"/>
        </w:rPr>
        <w:t>tat souverain dans le monde d’aujourd’hui. Mélanges en l’honneur de Jean-Pierre Puissoche</w:t>
      </w:r>
      <w:r w:rsidRPr="00E72418">
        <w:rPr>
          <w:rFonts w:ascii="Times New Roman" w:hAnsi="Times New Roman" w:cs="Times New Roman"/>
          <w:i/>
          <w:szCs w:val="24"/>
        </w:rPr>
        <w:t>t</w:t>
      </w:r>
      <w:r w:rsidRPr="00E72418">
        <w:rPr>
          <w:rFonts w:ascii="Times New Roman" w:hAnsi="Times New Roman" w:cs="Times New Roman"/>
          <w:szCs w:val="24"/>
        </w:rPr>
        <w:t>, Pedone, 2008, pp. 117-126</w:t>
      </w:r>
    </w:p>
    <w:p w14:paraId="6DD46B6F" w14:textId="77777777" w:rsidR="00A91208" w:rsidRPr="00E72418" w:rsidRDefault="00A91208" w:rsidP="00A91208">
      <w:pPr>
        <w:pStyle w:val="Paragraphedeliste"/>
        <w:rPr>
          <w:rFonts w:ascii="Times New Roman" w:hAnsi="Times New Roman" w:cs="Times New Roman"/>
          <w:sz w:val="14"/>
          <w:szCs w:val="14"/>
        </w:rPr>
      </w:pPr>
    </w:p>
    <w:p w14:paraId="092A82BB" w14:textId="18012B23"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Fischer Williams</w:t>
      </w:r>
      <w:r w:rsidRPr="00E72418">
        <w:rPr>
          <w:rFonts w:ascii="Times New Roman" w:hAnsi="Times New Roman" w:cs="Times New Roman"/>
          <w:szCs w:val="24"/>
        </w:rPr>
        <w:t>, J.</w:t>
      </w:r>
      <w:r w:rsidR="006A67A3" w:rsidRPr="00E72418">
        <w:rPr>
          <w:rFonts w:ascii="Times New Roman" w:hAnsi="Times New Roman" w:cs="Times New Roman"/>
          <w:szCs w:val="24"/>
        </w:rPr>
        <w:t>,</w:t>
      </w:r>
      <w:r w:rsidRPr="00E72418">
        <w:rPr>
          <w:rFonts w:ascii="Times New Roman" w:hAnsi="Times New Roman" w:cs="Times New Roman"/>
          <w:szCs w:val="24"/>
        </w:rPr>
        <w:t xml:space="preserve"> « Le droit international et les obligations financières internationales qui naissent d’un contrat », </w:t>
      </w:r>
      <w:r w:rsidRPr="00E72418">
        <w:rPr>
          <w:rFonts w:ascii="Times New Roman" w:hAnsi="Times New Roman" w:cs="Times New Roman"/>
          <w:i/>
          <w:szCs w:val="24"/>
        </w:rPr>
        <w:t>Recueil des Cours de l’Académie de Droit International de La Haye</w:t>
      </w:r>
      <w:r w:rsidRPr="00E72418">
        <w:rPr>
          <w:rFonts w:ascii="Times New Roman" w:hAnsi="Times New Roman" w:cs="Times New Roman"/>
          <w:szCs w:val="24"/>
        </w:rPr>
        <w:t>, 1923, pp. 289-361</w:t>
      </w:r>
    </w:p>
    <w:p w14:paraId="4688E384" w14:textId="77777777" w:rsidR="00570C78" w:rsidRPr="00E72418" w:rsidRDefault="00570C78" w:rsidP="00570C78">
      <w:pPr>
        <w:pStyle w:val="Paragraphedeliste"/>
        <w:rPr>
          <w:rFonts w:ascii="Times New Roman" w:hAnsi="Times New Roman" w:cs="Times New Roman"/>
          <w:sz w:val="14"/>
          <w:szCs w:val="14"/>
        </w:rPr>
      </w:pPr>
    </w:p>
    <w:p w14:paraId="446E15A4" w14:textId="14A36346" w:rsidR="00570C78" w:rsidRPr="00E72418" w:rsidRDefault="00570C78" w:rsidP="008D1D70">
      <w:pPr>
        <w:pStyle w:val="Paragraphedeliste"/>
        <w:numPr>
          <w:ilvl w:val="0"/>
          <w:numId w:val="16"/>
        </w:numPr>
        <w:spacing w:after="0"/>
        <w:rPr>
          <w:rFonts w:ascii="Times New Roman" w:hAnsi="Times New Roman" w:cs="Times New Roman"/>
          <w:szCs w:val="24"/>
        </w:rPr>
      </w:pPr>
      <w:r w:rsidRPr="00E72418">
        <w:rPr>
          <w:smallCaps/>
        </w:rPr>
        <w:t xml:space="preserve">Frison-Roche, </w:t>
      </w:r>
      <w:r w:rsidRPr="00E72418">
        <w:t xml:space="preserve">M.-A., « La mondialisation du point de vue du Droit », in </w:t>
      </w:r>
      <w:r w:rsidRPr="00E72418">
        <w:rPr>
          <w:i/>
        </w:rPr>
        <w:t>La mondialisation</w:t>
      </w:r>
      <w:r w:rsidRPr="00E72418">
        <w:t xml:space="preserve">, </w:t>
      </w:r>
      <w:r w:rsidR="00697ECC" w:rsidRPr="00E72418">
        <w:t>Larcie</w:t>
      </w:r>
      <w:r w:rsidR="00B660E3" w:rsidRPr="00E72418">
        <w:t>r</w:t>
      </w:r>
      <w:r w:rsidRPr="00E72418">
        <w:t xml:space="preserve">, </w:t>
      </w:r>
      <w:r w:rsidR="00CD5C6F" w:rsidRPr="00E72418">
        <w:t>2017, pp. 11-30</w:t>
      </w:r>
    </w:p>
    <w:p w14:paraId="3EE5E7B9" w14:textId="77777777" w:rsidR="00A91208" w:rsidRPr="00E72418" w:rsidRDefault="00A91208" w:rsidP="00A91208">
      <w:pPr>
        <w:pStyle w:val="Paragraphedeliste"/>
        <w:rPr>
          <w:rFonts w:ascii="Times New Roman" w:hAnsi="Times New Roman" w:cs="Times New Roman"/>
          <w:sz w:val="14"/>
          <w:szCs w:val="14"/>
        </w:rPr>
      </w:pPr>
    </w:p>
    <w:p w14:paraId="14F768FF" w14:textId="590EC79A"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Goldmann</w:t>
      </w:r>
      <w:r w:rsidRPr="00E72418">
        <w:rPr>
          <w:rFonts w:ascii="Times New Roman" w:hAnsi="Times New Roman" w:cs="Times New Roman"/>
          <w:szCs w:val="24"/>
          <w:lang w:val="en-US"/>
        </w:rPr>
        <w:t xml:space="preserve">, M., « Human Rights and Sovereign Debt Workouts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Bohoslavsky</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Cernic</w:t>
      </w:r>
      <w:r w:rsidRPr="00E72418">
        <w:rPr>
          <w:rFonts w:ascii="Times New Roman" w:hAnsi="Times New Roman" w:cs="Times New Roman"/>
          <w:szCs w:val="24"/>
          <w:lang w:val="en-US"/>
        </w:rPr>
        <w:t xml:space="preserve">, J. (éd.), </w:t>
      </w:r>
      <w:r w:rsidRPr="00E72418">
        <w:rPr>
          <w:rFonts w:ascii="Times New Roman" w:hAnsi="Times New Roman" w:cs="Times New Roman"/>
          <w:i/>
          <w:szCs w:val="24"/>
          <w:lang w:val="en-US"/>
        </w:rPr>
        <w:t>Making Sovereign Financing and Human Rights Work</w:t>
      </w:r>
      <w:r w:rsidRPr="00E72418">
        <w:rPr>
          <w:rFonts w:ascii="Times New Roman" w:hAnsi="Times New Roman" w:cs="Times New Roman"/>
          <w:szCs w:val="24"/>
          <w:lang w:val="en-US"/>
        </w:rPr>
        <w:t>, Hart Publishing, 2014, pp. 79-100</w:t>
      </w:r>
    </w:p>
    <w:p w14:paraId="72334B21" w14:textId="77777777" w:rsidR="000078DC" w:rsidRPr="00E72418" w:rsidRDefault="000078DC" w:rsidP="000078DC">
      <w:pPr>
        <w:pStyle w:val="Paragraphedeliste"/>
        <w:rPr>
          <w:rFonts w:ascii="Times New Roman" w:hAnsi="Times New Roman" w:cs="Times New Roman"/>
          <w:sz w:val="14"/>
          <w:szCs w:val="14"/>
        </w:rPr>
      </w:pPr>
    </w:p>
    <w:p w14:paraId="270C4958" w14:textId="24F4F9BF" w:rsidR="000078DC" w:rsidRPr="00E72418" w:rsidRDefault="000078DC" w:rsidP="008D1D70">
      <w:pPr>
        <w:pStyle w:val="Paragraphedeliste"/>
        <w:numPr>
          <w:ilvl w:val="0"/>
          <w:numId w:val="16"/>
        </w:numPr>
        <w:spacing w:after="0"/>
        <w:rPr>
          <w:rFonts w:ascii="Times New Roman" w:hAnsi="Times New Roman" w:cs="Times New Roman"/>
          <w:szCs w:val="24"/>
        </w:rPr>
      </w:pPr>
      <w:r w:rsidRPr="00E72418">
        <w:rPr>
          <w:smallCaps/>
        </w:rPr>
        <w:t>Grégoire</w:t>
      </w:r>
      <w:r w:rsidRPr="00E72418">
        <w:t xml:space="preserve">, M., « Banque et souveraineté : une pièce en trois actes », </w:t>
      </w:r>
      <w:r w:rsidRPr="00E72418">
        <w:rPr>
          <w:i/>
        </w:rPr>
        <w:t>Liber amicorum Martine Delierneux</w:t>
      </w:r>
      <w:r w:rsidRPr="00E72418">
        <w:t>, Larcier, 2018, p</w:t>
      </w:r>
      <w:r w:rsidR="00CD5C6F" w:rsidRPr="00E72418">
        <w:t>p</w:t>
      </w:r>
      <w:r w:rsidRPr="00E72418">
        <w:t>. 285-291</w:t>
      </w:r>
    </w:p>
    <w:p w14:paraId="7283A85E" w14:textId="77777777" w:rsidR="00A91208" w:rsidRPr="00E72418" w:rsidRDefault="00A91208" w:rsidP="00A91208">
      <w:pPr>
        <w:pStyle w:val="Paragraphedeliste"/>
        <w:rPr>
          <w:rFonts w:ascii="Times New Roman" w:hAnsi="Times New Roman" w:cs="Times New Roman"/>
          <w:sz w:val="14"/>
          <w:szCs w:val="14"/>
        </w:rPr>
      </w:pPr>
    </w:p>
    <w:p w14:paraId="3FDF2505" w14:textId="27772575"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Hallak, I., </w:t>
      </w:r>
      <w:r w:rsidRPr="00E72418">
        <w:rPr>
          <w:rFonts w:ascii="Times New Roman" w:eastAsia="Times New Roman" w:hAnsi="Times New Roman" w:cs="Times New Roman"/>
          <w:szCs w:val="24"/>
          <w:lang w:val="en-US" w:eastAsia="fr-BE"/>
        </w:rPr>
        <w:t xml:space="preserve">« </w:t>
      </w:r>
      <w:r w:rsidRPr="00E72418">
        <w:rPr>
          <w:rFonts w:ascii="Times New Roman" w:hAnsi="Times New Roman" w:cs="Times New Roman"/>
          <w:szCs w:val="24"/>
          <w:lang w:val="en-US"/>
        </w:rPr>
        <w:t xml:space="preserve">Governing Law of Sovereign Bonds and Legal Enforcement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Kolb, R. (</w:t>
      </w:r>
      <w:r w:rsidRPr="00E72418">
        <w:rPr>
          <w:rFonts w:ascii="Times New Roman" w:hAnsi="Times New Roman" w:cs="Times New Roman"/>
          <w:szCs w:val="24"/>
          <w:lang w:val="en-US"/>
        </w:rPr>
        <w:t>éd.)</w:t>
      </w:r>
      <w:r w:rsidRPr="00E72418">
        <w:rPr>
          <w:rFonts w:ascii="Times New Roman" w:hAnsi="Times New Roman" w:cs="Times New Roman"/>
          <w:smallCaps/>
          <w:szCs w:val="24"/>
          <w:lang w:val="en-US"/>
        </w:rPr>
        <w:t xml:space="preserve">, </w:t>
      </w:r>
      <w:r w:rsidRPr="00E72418">
        <w:rPr>
          <w:rFonts w:ascii="Times New Roman" w:hAnsi="Times New Roman" w:cs="Times New Roman"/>
          <w:i/>
          <w:szCs w:val="24"/>
          <w:lang w:val="en-US"/>
        </w:rPr>
        <w:t>Sovereign Debt: From Safety to Default</w:t>
      </w:r>
      <w:r w:rsidRPr="00E72418">
        <w:rPr>
          <w:rFonts w:ascii="Times New Roman" w:hAnsi="Times New Roman" w:cs="Times New Roman"/>
          <w:szCs w:val="24"/>
          <w:lang w:val="en-US"/>
        </w:rPr>
        <w:t>, Wiley, 2011, pp. 205-210</w:t>
      </w:r>
    </w:p>
    <w:p w14:paraId="70207CCF" w14:textId="77777777" w:rsidR="005870EA" w:rsidRPr="00E72418" w:rsidRDefault="005870EA" w:rsidP="005870EA">
      <w:pPr>
        <w:pStyle w:val="Paragraphedeliste"/>
        <w:rPr>
          <w:rFonts w:ascii="Times New Roman" w:hAnsi="Times New Roman" w:cs="Times New Roman"/>
          <w:sz w:val="14"/>
          <w:szCs w:val="14"/>
        </w:rPr>
      </w:pPr>
    </w:p>
    <w:p w14:paraId="20E4C077" w14:textId="7C5FBCB2" w:rsidR="005870EA" w:rsidRPr="00E72418" w:rsidRDefault="005870EA" w:rsidP="008D1D70">
      <w:pPr>
        <w:pStyle w:val="Paragraphedeliste"/>
        <w:numPr>
          <w:ilvl w:val="0"/>
          <w:numId w:val="16"/>
        </w:numPr>
        <w:spacing w:after="0"/>
        <w:rPr>
          <w:rFonts w:ascii="Times New Roman" w:hAnsi="Times New Roman" w:cs="Times New Roman"/>
          <w:szCs w:val="24"/>
        </w:rPr>
      </w:pPr>
      <w:r w:rsidRPr="00E72418">
        <w:rPr>
          <w:smallCaps/>
        </w:rPr>
        <w:t>Jaeger</w:t>
      </w:r>
      <w:r w:rsidRPr="00E72418">
        <w:t xml:space="preserve">, L., « L’exécution des sentences face aux intérêts publics », in </w:t>
      </w:r>
      <w:r w:rsidRPr="00E72418">
        <w:rPr>
          <w:i/>
        </w:rPr>
        <w:t>Arbitrage international et intérêts publics</w:t>
      </w:r>
      <w:r w:rsidRPr="00E72418">
        <w:t xml:space="preserve">, Bruylant, 2019, pp. </w:t>
      </w:r>
      <w:r w:rsidR="00CD5C6F" w:rsidRPr="00E72418">
        <w:t>123-137</w:t>
      </w:r>
    </w:p>
    <w:p w14:paraId="6E9C08DB" w14:textId="77777777" w:rsidR="00A91208" w:rsidRPr="00E72418" w:rsidRDefault="00A91208" w:rsidP="00A91208">
      <w:pPr>
        <w:pStyle w:val="Paragraphedeliste"/>
        <w:rPr>
          <w:rFonts w:ascii="Times New Roman" w:hAnsi="Times New Roman" w:cs="Times New Roman"/>
          <w:sz w:val="14"/>
          <w:szCs w:val="14"/>
        </w:rPr>
      </w:pPr>
    </w:p>
    <w:p w14:paraId="730CA3CE"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Jagers</w:t>
      </w:r>
      <w:r w:rsidRPr="00E72418">
        <w:rPr>
          <w:rFonts w:ascii="Times New Roman" w:hAnsi="Times New Roman" w:cs="Times New Roman"/>
          <w:szCs w:val="24"/>
          <w:lang w:val="en-US"/>
        </w:rPr>
        <w:t xml:space="preserve">, N., « Sovereign Financing and the Human Rights Responsibilities of Private Creditors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Bohoslavsky</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Cernic</w:t>
      </w:r>
      <w:r w:rsidRPr="00E72418">
        <w:rPr>
          <w:rFonts w:ascii="Times New Roman" w:hAnsi="Times New Roman" w:cs="Times New Roman"/>
          <w:szCs w:val="24"/>
          <w:lang w:val="en-US"/>
        </w:rPr>
        <w:t xml:space="preserve">, J. (éd.), </w:t>
      </w:r>
      <w:r w:rsidRPr="00E72418">
        <w:rPr>
          <w:rFonts w:ascii="Times New Roman" w:hAnsi="Times New Roman" w:cs="Times New Roman"/>
          <w:i/>
          <w:szCs w:val="24"/>
          <w:lang w:val="en-US"/>
        </w:rPr>
        <w:t>Making Sovereign Financing and Human Rights Work</w:t>
      </w:r>
      <w:r w:rsidRPr="00E72418">
        <w:rPr>
          <w:rFonts w:ascii="Times New Roman" w:hAnsi="Times New Roman" w:cs="Times New Roman"/>
          <w:szCs w:val="24"/>
          <w:lang w:val="en-US"/>
        </w:rPr>
        <w:t>, Hart Publishing, 2014, pp. 179-198</w:t>
      </w:r>
    </w:p>
    <w:p w14:paraId="46F5058E" w14:textId="77777777" w:rsidR="00A91208" w:rsidRPr="00E72418" w:rsidRDefault="00A91208" w:rsidP="00A91208">
      <w:pPr>
        <w:pStyle w:val="Paragraphedeliste"/>
        <w:rPr>
          <w:rFonts w:ascii="Times New Roman" w:hAnsi="Times New Roman" w:cs="Times New Roman"/>
          <w:sz w:val="14"/>
          <w:szCs w:val="14"/>
        </w:rPr>
      </w:pPr>
    </w:p>
    <w:p w14:paraId="40E2EBD5" w14:textId="62746590"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Jewett, M., </w:t>
      </w:r>
      <w:r w:rsidRPr="00E72418">
        <w:rPr>
          <w:rFonts w:ascii="Times New Roman" w:hAnsi="Times New Roman" w:cs="Times New Roman"/>
          <w:szCs w:val="24"/>
          <w:lang w:val="en-US"/>
        </w:rPr>
        <w:t xml:space="preserve">« Approaches to Sovereign Debt Resolution: Recent Developments », in </w:t>
      </w: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Lastra</w:t>
      </w:r>
      <w:r w:rsidRPr="00E72418">
        <w:rPr>
          <w:rFonts w:ascii="Times New Roman" w:hAnsi="Times New Roman" w:cs="Times New Roman"/>
          <w:szCs w:val="24"/>
          <w:lang w:val="en-US"/>
        </w:rPr>
        <w:t>, R. (éd</w:t>
      </w:r>
      <w:r w:rsidR="001430E5" w:rsidRPr="00E72418">
        <w:rPr>
          <w:rFonts w:ascii="Times New Roman" w:hAnsi="Times New Roman" w:cs="Times New Roman"/>
          <w:szCs w:val="24"/>
          <w:lang w:val="en-US"/>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Sovereign Debt Management</w:t>
      </w:r>
      <w:r w:rsidRPr="00E72418">
        <w:rPr>
          <w:rFonts w:ascii="Times New Roman" w:hAnsi="Times New Roman" w:cs="Times New Roman"/>
          <w:szCs w:val="24"/>
          <w:lang w:val="en-US"/>
        </w:rPr>
        <w:t>, Oxford University Press, 2014, pp. XIX-XXV</w:t>
      </w:r>
    </w:p>
    <w:p w14:paraId="5C7E1CA6" w14:textId="77777777" w:rsidR="00A91208" w:rsidRPr="00E72418" w:rsidRDefault="00A91208" w:rsidP="00A91208">
      <w:pPr>
        <w:pStyle w:val="Paragraphedeliste"/>
        <w:rPr>
          <w:rFonts w:ascii="Times New Roman" w:hAnsi="Times New Roman" w:cs="Times New Roman"/>
          <w:sz w:val="14"/>
          <w:szCs w:val="14"/>
        </w:rPr>
      </w:pPr>
    </w:p>
    <w:p w14:paraId="6D1DF713"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Jèze</w:t>
      </w:r>
      <w:r w:rsidRPr="00E72418">
        <w:rPr>
          <w:rFonts w:ascii="Times New Roman" w:hAnsi="Times New Roman" w:cs="Times New Roman"/>
          <w:szCs w:val="24"/>
        </w:rPr>
        <w:t xml:space="preserve">, G., « Les défaillances d’État », </w:t>
      </w:r>
      <w:r w:rsidRPr="00E72418">
        <w:rPr>
          <w:rFonts w:ascii="Times New Roman" w:hAnsi="Times New Roman" w:cs="Times New Roman"/>
          <w:i/>
          <w:szCs w:val="24"/>
          <w:shd w:val="clear" w:color="auto" w:fill="FFFFFF"/>
        </w:rPr>
        <w:t>Recueil des Cours de l’Académie de Droit International de La Haye</w:t>
      </w:r>
      <w:r w:rsidRPr="00E72418">
        <w:rPr>
          <w:rFonts w:ascii="Times New Roman" w:hAnsi="Times New Roman" w:cs="Times New Roman"/>
          <w:szCs w:val="24"/>
          <w:shd w:val="clear" w:color="auto" w:fill="FFFFFF"/>
        </w:rPr>
        <w:t>, 1935, pp. 377-433</w:t>
      </w:r>
    </w:p>
    <w:p w14:paraId="319C8DE3" w14:textId="77777777" w:rsidR="00A91208" w:rsidRPr="00E72418" w:rsidRDefault="00A91208" w:rsidP="00A91208">
      <w:pPr>
        <w:pStyle w:val="Paragraphedeliste"/>
        <w:rPr>
          <w:rFonts w:ascii="Times New Roman" w:hAnsi="Times New Roman" w:cs="Times New Roman"/>
          <w:sz w:val="14"/>
          <w:szCs w:val="14"/>
        </w:rPr>
      </w:pPr>
    </w:p>
    <w:p w14:paraId="6674374C" w14:textId="4D002D56" w:rsidR="00A91208" w:rsidRPr="00E72418" w:rsidRDefault="00A91208" w:rsidP="008D1D70">
      <w:pPr>
        <w:pStyle w:val="Paragraphedeliste"/>
        <w:numPr>
          <w:ilvl w:val="0"/>
          <w:numId w:val="16"/>
        </w:numPr>
        <w:spacing w:after="0"/>
        <w:rPr>
          <w:rStyle w:val="lev"/>
          <w:rFonts w:ascii="Times New Roman" w:hAnsi="Times New Roman" w:cs="Times New Roman"/>
          <w:b w:val="0"/>
          <w:bCs w:val="0"/>
          <w:szCs w:val="24"/>
          <w:lang w:val="nl-NL"/>
        </w:rPr>
      </w:pPr>
      <w:r w:rsidRPr="00E72418">
        <w:rPr>
          <w:rFonts w:ascii="Times New Roman" w:hAnsi="Times New Roman" w:cs="Times New Roman"/>
          <w:smallCaps/>
          <w:szCs w:val="24"/>
          <w:lang w:val="en-US"/>
        </w:rPr>
        <w:t>Jones</w:t>
      </w:r>
      <w:r w:rsidRPr="00E72418">
        <w:rPr>
          <w:rFonts w:ascii="Times New Roman" w:hAnsi="Times New Roman" w:cs="Times New Roman"/>
          <w:szCs w:val="24"/>
          <w:lang w:val="en-US"/>
        </w:rPr>
        <w:t xml:space="preserve">, T., « Sovereign Debt and the Right to Health », in </w:t>
      </w:r>
      <w:r w:rsidRPr="00E72418">
        <w:rPr>
          <w:rStyle w:val="lev"/>
          <w:rFonts w:ascii="Times New Roman" w:hAnsi="Times New Roman" w:cs="Times New Roman"/>
          <w:b w:val="0"/>
          <w:smallCaps/>
          <w:szCs w:val="24"/>
          <w:lang w:val="en-US"/>
        </w:rPr>
        <w:t>Bantekas, I.</w:t>
      </w:r>
      <w:r w:rsidRPr="00E72418">
        <w:rPr>
          <w:rStyle w:val="lev"/>
          <w:rFonts w:ascii="Times New Roman" w:hAnsi="Times New Roman" w:cs="Times New Roman"/>
          <w:b w:val="0"/>
          <w:szCs w:val="24"/>
          <w:lang w:val="en-US"/>
        </w:rPr>
        <w:t xml:space="preserve"> et </w:t>
      </w:r>
      <w:r w:rsidRPr="00E72418">
        <w:rPr>
          <w:rStyle w:val="lev"/>
          <w:rFonts w:ascii="Times New Roman" w:hAnsi="Times New Roman" w:cs="Times New Roman"/>
          <w:b w:val="0"/>
          <w:smallCaps/>
          <w:szCs w:val="24"/>
          <w:lang w:val="en-US"/>
        </w:rPr>
        <w:t>Lumina, C.</w:t>
      </w:r>
      <w:r w:rsidRPr="00E72418">
        <w:rPr>
          <w:rStyle w:val="lev"/>
          <w:rFonts w:ascii="Times New Roman" w:hAnsi="Times New Roman" w:cs="Times New Roman"/>
          <w:b w:val="0"/>
          <w:szCs w:val="24"/>
          <w:lang w:val="en-US"/>
        </w:rPr>
        <w:t xml:space="preserve"> (éd.), </w:t>
      </w:r>
      <w:r w:rsidRPr="00E72418">
        <w:rPr>
          <w:rStyle w:val="lev"/>
          <w:rFonts w:ascii="Times New Roman" w:hAnsi="Times New Roman" w:cs="Times New Roman"/>
          <w:b w:val="0"/>
          <w:i/>
          <w:szCs w:val="24"/>
          <w:lang w:val="en-US"/>
        </w:rPr>
        <w:t>Sovereign Debt and Human Rights</w:t>
      </w:r>
      <w:r w:rsidRPr="00E72418">
        <w:rPr>
          <w:rStyle w:val="lev"/>
          <w:rFonts w:ascii="Times New Roman" w:hAnsi="Times New Roman" w:cs="Times New Roman"/>
          <w:b w:val="0"/>
          <w:szCs w:val="24"/>
          <w:lang w:val="en-US"/>
        </w:rPr>
        <w:t xml:space="preserve">, Oxford University Press, 2018, pp. </w:t>
      </w:r>
      <w:r w:rsidR="00223AEB" w:rsidRPr="00E72418">
        <w:rPr>
          <w:rStyle w:val="lev"/>
          <w:rFonts w:ascii="Times New Roman" w:hAnsi="Times New Roman" w:cs="Times New Roman"/>
          <w:b w:val="0"/>
          <w:szCs w:val="24"/>
          <w:lang w:val="en-US"/>
        </w:rPr>
        <w:t>210-234</w:t>
      </w:r>
    </w:p>
    <w:p w14:paraId="137A421E" w14:textId="77777777" w:rsidR="00A91208" w:rsidRPr="00E72418" w:rsidRDefault="00A91208" w:rsidP="00A91208">
      <w:pPr>
        <w:pStyle w:val="Paragraphedeliste"/>
        <w:rPr>
          <w:rFonts w:ascii="Times New Roman" w:hAnsi="Times New Roman" w:cs="Times New Roman"/>
          <w:sz w:val="14"/>
          <w:szCs w:val="14"/>
        </w:rPr>
      </w:pPr>
    </w:p>
    <w:p w14:paraId="544734C4" w14:textId="7543B799"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Kern</w:t>
      </w:r>
      <w:r w:rsidRPr="00E72418">
        <w:rPr>
          <w:rFonts w:ascii="Times New Roman" w:hAnsi="Times New Roman" w:cs="Times New Roman"/>
          <w:szCs w:val="24"/>
          <w:lang w:val="en-US"/>
        </w:rPr>
        <w:t xml:space="preserve">, A., « Regulating Sovereign Bond Contracts in Europe », in </w:t>
      </w:r>
      <w:r w:rsidRPr="00E72418">
        <w:rPr>
          <w:rFonts w:ascii="Times New Roman" w:hAnsi="Times New Roman" w:cs="Times New Roman"/>
          <w:smallCaps/>
          <w:szCs w:val="24"/>
          <w:lang w:val="en-US"/>
        </w:rPr>
        <w:t>Grundmann</w:t>
      </w:r>
      <w:r w:rsidRPr="00E72418">
        <w:rPr>
          <w:rFonts w:ascii="Times New Roman" w:hAnsi="Times New Roman" w:cs="Times New Roman"/>
          <w:szCs w:val="24"/>
          <w:lang w:val="en-US"/>
        </w:rPr>
        <w:t xml:space="preserve">, S., </w:t>
      </w:r>
      <w:r w:rsidR="002F5E5D" w:rsidRPr="00E72418">
        <w:rPr>
          <w:rFonts w:ascii="Times New Roman" w:hAnsi="Times New Roman" w:cs="Times New Roman"/>
          <w:smallCaps/>
          <w:szCs w:val="24"/>
          <w:lang w:val="en-US"/>
        </w:rPr>
        <w:t>Mo</w:t>
      </w:r>
      <w:r w:rsidRPr="00E72418">
        <w:rPr>
          <w:rFonts w:ascii="Times New Roman" w:hAnsi="Times New Roman" w:cs="Times New Roman"/>
          <w:smallCaps/>
          <w:szCs w:val="24"/>
          <w:lang w:val="en-US"/>
        </w:rPr>
        <w:t>slein, F.</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Riesenhuber, K.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Contract Governance: Dimensions in Law and Interdisciplinary Research</w:t>
      </w:r>
      <w:r w:rsidRPr="00E72418">
        <w:rPr>
          <w:rFonts w:ascii="Times New Roman" w:hAnsi="Times New Roman" w:cs="Times New Roman"/>
          <w:szCs w:val="24"/>
          <w:lang w:val="en-US"/>
        </w:rPr>
        <w:t>, Oxford University Press, 2015, pp. 451-460</w:t>
      </w:r>
    </w:p>
    <w:p w14:paraId="4AC02210" w14:textId="77777777" w:rsidR="00A91208" w:rsidRPr="00E72418" w:rsidRDefault="00A91208" w:rsidP="00A91208">
      <w:pPr>
        <w:pStyle w:val="Paragraphedeliste"/>
        <w:rPr>
          <w:rFonts w:ascii="Times New Roman" w:hAnsi="Times New Roman" w:cs="Times New Roman"/>
          <w:sz w:val="14"/>
          <w:szCs w:val="14"/>
        </w:rPr>
      </w:pPr>
    </w:p>
    <w:p w14:paraId="47E79801"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Keutgen, G.</w:t>
      </w:r>
      <w:r w:rsidRPr="00E72418">
        <w:rPr>
          <w:rFonts w:ascii="Times New Roman" w:hAnsi="Times New Roman" w:cs="Times New Roman"/>
          <w:szCs w:val="24"/>
        </w:rPr>
        <w:t xml:space="preserve"> et </w:t>
      </w:r>
      <w:r w:rsidRPr="00E72418">
        <w:rPr>
          <w:rFonts w:ascii="Times New Roman" w:hAnsi="Times New Roman" w:cs="Times New Roman"/>
          <w:smallCaps/>
          <w:szCs w:val="24"/>
        </w:rPr>
        <w:t>Matray</w:t>
      </w:r>
      <w:r w:rsidRPr="00E72418">
        <w:rPr>
          <w:rFonts w:ascii="Times New Roman" w:hAnsi="Times New Roman" w:cs="Times New Roman"/>
          <w:szCs w:val="24"/>
        </w:rPr>
        <w:t xml:space="preserve">, D., « Le financement du contentieux arbitral international par un tiers », in </w:t>
      </w:r>
      <w:r w:rsidRPr="00E72418">
        <w:rPr>
          <w:rFonts w:ascii="Times New Roman" w:hAnsi="Times New Roman" w:cs="Times New Roman"/>
          <w:i/>
          <w:szCs w:val="24"/>
        </w:rPr>
        <w:t>Liber Amicorum Georges-Albert Dal</w:t>
      </w:r>
      <w:r w:rsidRPr="00E72418">
        <w:rPr>
          <w:rFonts w:ascii="Times New Roman" w:hAnsi="Times New Roman" w:cs="Times New Roman"/>
          <w:szCs w:val="24"/>
        </w:rPr>
        <w:t xml:space="preserve">, Larcier, 2013, </w:t>
      </w:r>
      <w:r w:rsidRPr="00E72418">
        <w:rPr>
          <w:rFonts w:ascii="Times New Roman" w:hAnsi="Times New Roman" w:cs="Times New Roman"/>
          <w:szCs w:val="24"/>
          <w:lang w:val="en-US"/>
        </w:rPr>
        <w:t>pp. 519-542</w:t>
      </w:r>
    </w:p>
    <w:p w14:paraId="1ABF3030" w14:textId="77777777" w:rsidR="00A91208" w:rsidRPr="00E72418" w:rsidRDefault="00A91208" w:rsidP="00A91208">
      <w:pPr>
        <w:pStyle w:val="Paragraphedeliste"/>
        <w:rPr>
          <w:rFonts w:ascii="Times New Roman" w:hAnsi="Times New Roman" w:cs="Times New Roman"/>
          <w:sz w:val="14"/>
          <w:szCs w:val="14"/>
        </w:rPr>
      </w:pPr>
    </w:p>
    <w:p w14:paraId="33A86267" w14:textId="0D84F1E8"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Kleiner</w:t>
      </w:r>
      <w:r w:rsidRPr="00E72418">
        <w:rPr>
          <w:rFonts w:ascii="Times New Roman" w:hAnsi="Times New Roman" w:cs="Times New Roman"/>
          <w:szCs w:val="24"/>
        </w:rPr>
        <w:t xml:space="preserve">, C., « L’affaire du siècle : </w:t>
      </w:r>
      <w:r w:rsidRPr="00E72418">
        <w:rPr>
          <w:rFonts w:ascii="Times New Roman" w:hAnsi="Times New Roman" w:cs="Times New Roman"/>
          <w:i/>
          <w:szCs w:val="24"/>
        </w:rPr>
        <w:t>NML c/République d’Argentine</w:t>
      </w:r>
      <w:r w:rsidRPr="00E72418">
        <w:rPr>
          <w:rFonts w:ascii="Times New Roman" w:hAnsi="Times New Roman" w:cs="Times New Roman"/>
          <w:szCs w:val="24"/>
        </w:rPr>
        <w:t xml:space="preserve"> ou la </w:t>
      </w:r>
      <w:r w:rsidRPr="00E72418">
        <w:rPr>
          <w:rFonts w:ascii="Times New Roman" w:hAnsi="Times New Roman" w:cs="Times New Roman"/>
          <w:iCs/>
          <w:szCs w:val="24"/>
        </w:rPr>
        <w:t xml:space="preserve">“contribution” </w:t>
      </w:r>
      <w:r w:rsidRPr="00E72418">
        <w:rPr>
          <w:rFonts w:ascii="Times New Roman" w:hAnsi="Times New Roman" w:cs="Times New Roman"/>
          <w:szCs w:val="24"/>
        </w:rPr>
        <w:t xml:space="preserve">des fonds vautours au droit international », in </w:t>
      </w:r>
      <w:r w:rsidRPr="00E72418">
        <w:rPr>
          <w:rFonts w:ascii="Times New Roman" w:hAnsi="Times New Roman" w:cs="Times New Roman"/>
          <w:i/>
          <w:szCs w:val="24"/>
        </w:rPr>
        <w:t>Mélanges en l’honneur du Professeur Pierre Mayer</w:t>
      </w:r>
      <w:r w:rsidRPr="00E72418">
        <w:rPr>
          <w:rFonts w:ascii="Times New Roman" w:hAnsi="Times New Roman" w:cs="Times New Roman"/>
          <w:szCs w:val="24"/>
        </w:rPr>
        <w:t>, L</w:t>
      </w:r>
      <w:r w:rsidR="002F5E5D" w:rsidRPr="00E72418">
        <w:rPr>
          <w:rFonts w:ascii="Times New Roman" w:hAnsi="Times New Roman" w:cs="Times New Roman"/>
          <w:szCs w:val="24"/>
        </w:rPr>
        <w:t>.</w:t>
      </w:r>
      <w:r w:rsidRPr="00E72418">
        <w:rPr>
          <w:rFonts w:ascii="Times New Roman" w:hAnsi="Times New Roman" w:cs="Times New Roman"/>
          <w:szCs w:val="24"/>
        </w:rPr>
        <w:t>G</w:t>
      </w:r>
      <w:r w:rsidR="002F5E5D" w:rsidRPr="00E72418">
        <w:rPr>
          <w:rFonts w:ascii="Times New Roman" w:hAnsi="Times New Roman" w:cs="Times New Roman"/>
          <w:szCs w:val="24"/>
        </w:rPr>
        <w:t>.</w:t>
      </w:r>
      <w:r w:rsidRPr="00E72418">
        <w:rPr>
          <w:rFonts w:ascii="Times New Roman" w:hAnsi="Times New Roman" w:cs="Times New Roman"/>
          <w:szCs w:val="24"/>
        </w:rPr>
        <w:t>D</w:t>
      </w:r>
      <w:r w:rsidR="002F5E5D" w:rsidRPr="00E72418">
        <w:rPr>
          <w:rFonts w:ascii="Times New Roman" w:hAnsi="Times New Roman" w:cs="Times New Roman"/>
          <w:szCs w:val="24"/>
        </w:rPr>
        <w:t>.</w:t>
      </w:r>
      <w:r w:rsidRPr="00E72418">
        <w:rPr>
          <w:rFonts w:ascii="Times New Roman" w:hAnsi="Times New Roman" w:cs="Times New Roman"/>
          <w:szCs w:val="24"/>
        </w:rPr>
        <w:t>J</w:t>
      </w:r>
      <w:r w:rsidR="002F5E5D" w:rsidRPr="00E72418">
        <w:rPr>
          <w:rFonts w:ascii="Times New Roman" w:hAnsi="Times New Roman" w:cs="Times New Roman"/>
          <w:szCs w:val="24"/>
        </w:rPr>
        <w:t>.</w:t>
      </w:r>
      <w:r w:rsidRPr="00E72418">
        <w:rPr>
          <w:rFonts w:ascii="Times New Roman" w:hAnsi="Times New Roman" w:cs="Times New Roman"/>
          <w:szCs w:val="24"/>
        </w:rPr>
        <w:t>, 2015, pp. 391-413</w:t>
      </w:r>
    </w:p>
    <w:p w14:paraId="5DD3CF66" w14:textId="77777777" w:rsidR="00A91208" w:rsidRPr="00E72418" w:rsidRDefault="00A91208" w:rsidP="00A91208">
      <w:pPr>
        <w:pStyle w:val="Paragraphedeliste"/>
        <w:rPr>
          <w:rFonts w:ascii="Times New Roman" w:hAnsi="Times New Roman" w:cs="Times New Roman"/>
          <w:sz w:val="14"/>
          <w:szCs w:val="14"/>
        </w:rPr>
      </w:pPr>
    </w:p>
    <w:p w14:paraId="21C86EEC" w14:textId="0A23C495"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Kolb</w:t>
      </w:r>
      <w:r w:rsidRPr="00E72418">
        <w:rPr>
          <w:rFonts w:ascii="Times New Roman" w:hAnsi="Times New Roman" w:cs="Times New Roman"/>
          <w:szCs w:val="24"/>
          <w:lang w:val="en-US"/>
        </w:rPr>
        <w:t xml:space="preserve">, R., « Sovereign Debt: Theory, Defaults, and Sanctions », in </w:t>
      </w:r>
      <w:r w:rsidRPr="00E72418">
        <w:rPr>
          <w:rFonts w:ascii="Times New Roman" w:hAnsi="Times New Roman" w:cs="Times New Roman"/>
          <w:smallCaps/>
          <w:szCs w:val="24"/>
        </w:rPr>
        <w:t>Kolb, R.</w:t>
      </w:r>
      <w:r w:rsidRPr="00E72418">
        <w:rPr>
          <w:rFonts w:ascii="Times New Roman" w:hAnsi="Times New Roman" w:cs="Times New Roman"/>
          <w:szCs w:val="24"/>
        </w:rPr>
        <w:t xml:space="preserve"> (éd.), </w:t>
      </w:r>
      <w:r w:rsidRPr="00E72418">
        <w:rPr>
          <w:rFonts w:ascii="Times New Roman" w:hAnsi="Times New Roman" w:cs="Times New Roman"/>
          <w:i/>
          <w:szCs w:val="24"/>
          <w:lang w:val="en-US"/>
        </w:rPr>
        <w:t>Sovereign Debt: from Safety to Default</w:t>
      </w:r>
      <w:r w:rsidRPr="00E72418">
        <w:rPr>
          <w:rFonts w:ascii="Times New Roman" w:hAnsi="Times New Roman" w:cs="Times New Roman"/>
          <w:szCs w:val="24"/>
          <w:lang w:val="en-US"/>
        </w:rPr>
        <w:t>, Wiley, 2011, pp. 3-13</w:t>
      </w:r>
    </w:p>
    <w:p w14:paraId="46F7D538" w14:textId="77777777" w:rsidR="00610996" w:rsidRPr="00E72418" w:rsidRDefault="00610996" w:rsidP="00610996">
      <w:pPr>
        <w:pStyle w:val="Paragraphedeliste"/>
        <w:rPr>
          <w:rFonts w:ascii="Times New Roman" w:hAnsi="Times New Roman" w:cs="Times New Roman"/>
          <w:sz w:val="14"/>
          <w:szCs w:val="14"/>
        </w:rPr>
      </w:pPr>
    </w:p>
    <w:p w14:paraId="77058AB1" w14:textId="77777777" w:rsidR="00610996" w:rsidRPr="00E72418" w:rsidRDefault="00610996" w:rsidP="00610996">
      <w:pPr>
        <w:pStyle w:val="Paragraphedeliste"/>
        <w:numPr>
          <w:ilvl w:val="0"/>
          <w:numId w:val="16"/>
        </w:numPr>
        <w:spacing w:after="0"/>
        <w:rPr>
          <w:rFonts w:ascii="Times New Roman" w:hAnsi="Times New Roman" w:cs="Times New Roman"/>
          <w:smallCaps/>
          <w:szCs w:val="24"/>
          <w:lang w:val="en-US"/>
        </w:rPr>
      </w:pPr>
      <w:r w:rsidRPr="00E72418">
        <w:rPr>
          <w:smallCaps/>
        </w:rPr>
        <w:t>Laazouzi</w:t>
      </w:r>
      <w:r w:rsidRPr="00E72418">
        <w:t xml:space="preserve">, M., « Réflexions sur le retrait litigieux des créances en situation internationale », in </w:t>
      </w:r>
      <w:r w:rsidRPr="00E72418">
        <w:rPr>
          <w:i/>
        </w:rPr>
        <w:t>Mélanges en l’honneur du Professeur Bertrand Ancel</w:t>
      </w:r>
      <w:r w:rsidRPr="00E72418">
        <w:t>, L.G.D.J., 2018, pp. 1019-1042</w:t>
      </w:r>
    </w:p>
    <w:p w14:paraId="215418AC" w14:textId="77777777" w:rsidR="00A91208" w:rsidRPr="00E72418" w:rsidRDefault="00A91208" w:rsidP="00A91208">
      <w:pPr>
        <w:pStyle w:val="Paragraphedeliste"/>
        <w:rPr>
          <w:rFonts w:ascii="Times New Roman" w:hAnsi="Times New Roman" w:cs="Times New Roman"/>
          <w:sz w:val="14"/>
          <w:szCs w:val="14"/>
        </w:rPr>
      </w:pPr>
    </w:p>
    <w:p w14:paraId="32433628" w14:textId="197F1E29"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 xml:space="preserve">Lequesne-Roth, C., </w:t>
      </w:r>
      <w:r w:rsidRPr="00E72418">
        <w:rPr>
          <w:rFonts w:ascii="Times New Roman" w:hAnsi="Times New Roman" w:cs="Times New Roman"/>
          <w:szCs w:val="24"/>
        </w:rPr>
        <w:t xml:space="preserve">« Remédier à l’insolvabilité des </w:t>
      </w:r>
      <w:r w:rsidRPr="00E72418">
        <w:rPr>
          <w:rFonts w:ascii="Times New Roman" w:hAnsi="Times New Roman" w:cs="Times New Roman"/>
          <w:szCs w:val="24"/>
          <w:lang w:eastAsia="fr-BE"/>
        </w:rPr>
        <w:t>É</w:t>
      </w:r>
      <w:r w:rsidRPr="00E72418">
        <w:rPr>
          <w:rFonts w:ascii="Times New Roman" w:hAnsi="Times New Roman" w:cs="Times New Roman"/>
          <w:szCs w:val="24"/>
        </w:rPr>
        <w:t xml:space="preserve">tats », in </w:t>
      </w:r>
      <w:r w:rsidRPr="00E72418">
        <w:rPr>
          <w:rFonts w:ascii="Times New Roman" w:hAnsi="Times New Roman" w:cs="Times New Roman"/>
          <w:smallCaps/>
          <w:szCs w:val="24"/>
        </w:rPr>
        <w:t>Bricteux</w:t>
      </w:r>
      <w:r w:rsidRPr="00E72418">
        <w:rPr>
          <w:rFonts w:ascii="Times New Roman" w:hAnsi="Times New Roman" w:cs="Times New Roman"/>
          <w:szCs w:val="24"/>
        </w:rPr>
        <w:t xml:space="preserve">, C. et </w:t>
      </w:r>
      <w:r w:rsidRPr="00E72418">
        <w:rPr>
          <w:rFonts w:ascii="Times New Roman" w:hAnsi="Times New Roman" w:cs="Times New Roman"/>
          <w:smallCaps/>
          <w:szCs w:val="24"/>
        </w:rPr>
        <w:t>Frydman</w:t>
      </w:r>
      <w:r w:rsidRPr="00E72418">
        <w:rPr>
          <w:rFonts w:ascii="Times New Roman" w:hAnsi="Times New Roman" w:cs="Times New Roman"/>
          <w:szCs w:val="24"/>
        </w:rPr>
        <w:t>, B.</w:t>
      </w:r>
      <w:r w:rsidR="001430E5" w:rsidRPr="00E72418">
        <w:rPr>
          <w:rFonts w:ascii="Times New Roman" w:hAnsi="Times New Roman" w:cs="Times New Roman"/>
          <w:szCs w:val="24"/>
        </w:rPr>
        <w:t xml:space="preserve"> (</w:t>
      </w:r>
      <w:r w:rsidR="009E6F7E" w:rsidRPr="00E72418">
        <w:rPr>
          <w:rFonts w:ascii="Times New Roman" w:hAnsi="Times New Roman" w:cs="Times New Roman"/>
          <w:szCs w:val="24"/>
        </w:rPr>
        <w:t>dir.</w:t>
      </w:r>
      <w:r w:rsidR="001430E5" w:rsidRPr="00E72418">
        <w:rPr>
          <w:rFonts w:ascii="Times New Roman" w:hAnsi="Times New Roman" w:cs="Times New Roman"/>
          <w:szCs w:val="24"/>
        </w:rPr>
        <w:t>)</w:t>
      </w:r>
      <w:r w:rsidRPr="00E72418">
        <w:rPr>
          <w:rFonts w:ascii="Times New Roman" w:hAnsi="Times New Roman" w:cs="Times New Roman"/>
          <w:szCs w:val="24"/>
        </w:rPr>
        <w:t xml:space="preserve">, </w:t>
      </w:r>
      <w:r w:rsidRPr="00E72418">
        <w:rPr>
          <w:rFonts w:ascii="Times New Roman" w:hAnsi="Times New Roman" w:cs="Times New Roman"/>
          <w:i/>
          <w:szCs w:val="24"/>
        </w:rPr>
        <w:t>Les défis du droit global</w:t>
      </w:r>
      <w:r w:rsidRPr="00E72418">
        <w:rPr>
          <w:rFonts w:ascii="Times New Roman" w:hAnsi="Times New Roman" w:cs="Times New Roman"/>
          <w:szCs w:val="24"/>
        </w:rPr>
        <w:t>, Bruylant, 2018, pp. 151-178</w:t>
      </w:r>
    </w:p>
    <w:p w14:paraId="578174CC" w14:textId="77777777" w:rsidR="00A91208" w:rsidRPr="00E72418" w:rsidRDefault="00A91208" w:rsidP="00A91208">
      <w:pPr>
        <w:pStyle w:val="Paragraphedeliste"/>
        <w:rPr>
          <w:rFonts w:ascii="Times New Roman" w:hAnsi="Times New Roman" w:cs="Times New Roman"/>
          <w:sz w:val="14"/>
          <w:szCs w:val="14"/>
        </w:rPr>
      </w:pPr>
    </w:p>
    <w:p w14:paraId="1C6A8EE7" w14:textId="3EDEDB98"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lastRenderedPageBreak/>
        <w:t>Lumina</w:t>
      </w:r>
      <w:r w:rsidRPr="00E72418">
        <w:rPr>
          <w:rFonts w:ascii="Times New Roman" w:hAnsi="Times New Roman" w:cs="Times New Roman"/>
          <w:szCs w:val="24"/>
          <w:lang w:val="en-US"/>
        </w:rPr>
        <w:t xml:space="preserve">, C.,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Curbing “Vulture Fund” Litigation </w:t>
      </w:r>
      <w:r w:rsidRPr="00E72418">
        <w:rPr>
          <w:rFonts w:ascii="Times New Roman" w:hAnsi="Times New Roman" w:cs="Times New Roman"/>
          <w:szCs w:val="24"/>
        </w:rPr>
        <w:t>»</w:t>
      </w:r>
      <w:r w:rsidRPr="00E72418">
        <w:rPr>
          <w:rFonts w:ascii="Times New Roman" w:hAnsi="Times New Roman" w:cs="Times New Roman"/>
          <w:szCs w:val="24"/>
          <w:lang w:val="en-US"/>
        </w:rPr>
        <w:t xml:space="preserve">, in </w:t>
      </w:r>
      <w:r w:rsidRPr="00E72418">
        <w:rPr>
          <w:rStyle w:val="lev"/>
          <w:rFonts w:ascii="Times New Roman" w:hAnsi="Times New Roman" w:cs="Times New Roman"/>
          <w:b w:val="0"/>
          <w:smallCaps/>
          <w:szCs w:val="24"/>
          <w:lang w:val="en-US"/>
        </w:rPr>
        <w:t>Bantekas, I</w:t>
      </w:r>
      <w:r w:rsidRPr="00E72418">
        <w:rPr>
          <w:rStyle w:val="lev"/>
          <w:rFonts w:ascii="Times New Roman" w:hAnsi="Times New Roman" w:cs="Times New Roman"/>
          <w:b w:val="0"/>
          <w:szCs w:val="24"/>
          <w:lang w:val="en-US"/>
        </w:rPr>
        <w:t xml:space="preserve">. et </w:t>
      </w:r>
      <w:r w:rsidRPr="00E72418">
        <w:rPr>
          <w:rStyle w:val="lev"/>
          <w:rFonts w:ascii="Times New Roman" w:hAnsi="Times New Roman" w:cs="Times New Roman"/>
          <w:b w:val="0"/>
          <w:smallCaps/>
          <w:szCs w:val="24"/>
          <w:lang w:val="en-US"/>
        </w:rPr>
        <w:t>Lumina, C. (</w:t>
      </w:r>
      <w:r w:rsidRPr="00E72418">
        <w:rPr>
          <w:rStyle w:val="lev"/>
          <w:rFonts w:ascii="Times New Roman" w:hAnsi="Times New Roman" w:cs="Times New Roman"/>
          <w:b w:val="0"/>
          <w:szCs w:val="24"/>
          <w:lang w:val="en-US"/>
        </w:rPr>
        <w:t xml:space="preserve">éd.), </w:t>
      </w:r>
      <w:r w:rsidRPr="00E72418">
        <w:rPr>
          <w:rStyle w:val="lev"/>
          <w:rFonts w:ascii="Times New Roman" w:hAnsi="Times New Roman" w:cs="Times New Roman"/>
          <w:b w:val="0"/>
          <w:i/>
          <w:szCs w:val="24"/>
          <w:lang w:val="en-US"/>
        </w:rPr>
        <w:t>Sovereign Debt and Human Rights</w:t>
      </w:r>
      <w:r w:rsidRPr="00E72418">
        <w:rPr>
          <w:rStyle w:val="lev"/>
          <w:rFonts w:ascii="Times New Roman" w:hAnsi="Times New Roman" w:cs="Times New Roman"/>
          <w:b w:val="0"/>
          <w:szCs w:val="24"/>
          <w:lang w:val="en-US"/>
        </w:rPr>
        <w:t>, Oxford University Press</w:t>
      </w:r>
      <w:r w:rsidRPr="00E72418">
        <w:rPr>
          <w:rFonts w:ascii="Times New Roman" w:hAnsi="Times New Roman" w:cs="Times New Roman"/>
          <w:szCs w:val="24"/>
          <w:lang w:val="en-US"/>
        </w:rPr>
        <w:t>, 2018, pp. 498-513</w:t>
      </w:r>
    </w:p>
    <w:p w14:paraId="3A2188C8" w14:textId="77777777" w:rsidR="00422FAD" w:rsidRPr="00E72418" w:rsidRDefault="00422FAD" w:rsidP="00422FAD">
      <w:pPr>
        <w:pStyle w:val="Paragraphedeliste"/>
        <w:rPr>
          <w:rFonts w:ascii="Times New Roman" w:hAnsi="Times New Roman" w:cs="Times New Roman"/>
          <w:sz w:val="14"/>
          <w:szCs w:val="14"/>
        </w:rPr>
      </w:pPr>
    </w:p>
    <w:p w14:paraId="069B26C5" w14:textId="0BD5F554" w:rsidR="00422FAD" w:rsidRPr="00E72418" w:rsidRDefault="00422FAD" w:rsidP="008D1D70">
      <w:pPr>
        <w:pStyle w:val="Paragraphedeliste"/>
        <w:numPr>
          <w:ilvl w:val="0"/>
          <w:numId w:val="16"/>
        </w:numPr>
        <w:spacing w:after="0"/>
        <w:rPr>
          <w:rFonts w:ascii="Times New Roman" w:hAnsi="Times New Roman" w:cs="Times New Roman"/>
          <w:szCs w:val="24"/>
        </w:rPr>
      </w:pPr>
      <w:r w:rsidRPr="00E72418">
        <w:rPr>
          <w:smallCaps/>
        </w:rPr>
        <w:t>Mahiou</w:t>
      </w:r>
      <w:r w:rsidRPr="00E72418">
        <w:t xml:space="preserve">, A., « De quelques chantiers juridiques africains » in </w:t>
      </w:r>
      <w:r w:rsidRPr="00E72418">
        <w:rPr>
          <w:smallCaps/>
        </w:rPr>
        <w:t>Balate, E.</w:t>
      </w:r>
      <w:r w:rsidRPr="00E72418">
        <w:t xml:space="preserve"> et </w:t>
      </w:r>
      <w:r w:rsidRPr="00E72418">
        <w:rPr>
          <w:smallCaps/>
        </w:rPr>
        <w:t>Ménétrey, S.</w:t>
      </w:r>
      <w:r w:rsidRPr="00E72418">
        <w:t xml:space="preserve"> (dir.), </w:t>
      </w:r>
      <w:r w:rsidRPr="00E72418">
        <w:rPr>
          <w:i/>
        </w:rPr>
        <w:t>Questions de droit économique : les défis des États africains</w:t>
      </w:r>
      <w:r w:rsidRPr="00E72418">
        <w:t>, Larcier, 2011, pp. 197-211</w:t>
      </w:r>
    </w:p>
    <w:p w14:paraId="2738861A" w14:textId="77777777" w:rsidR="00864C22" w:rsidRPr="00E72418" w:rsidRDefault="00864C22" w:rsidP="00864C22">
      <w:pPr>
        <w:pStyle w:val="Paragraphedeliste"/>
        <w:rPr>
          <w:rFonts w:ascii="Times New Roman" w:hAnsi="Times New Roman" w:cs="Times New Roman"/>
          <w:sz w:val="14"/>
          <w:szCs w:val="14"/>
        </w:rPr>
      </w:pPr>
    </w:p>
    <w:p w14:paraId="2A313F01" w14:textId="3D69A738" w:rsidR="00864C22" w:rsidRPr="00E72418" w:rsidRDefault="00864C22" w:rsidP="008D1D70">
      <w:pPr>
        <w:pStyle w:val="Paragraphedeliste"/>
        <w:numPr>
          <w:ilvl w:val="0"/>
          <w:numId w:val="16"/>
        </w:numPr>
        <w:spacing w:after="0"/>
        <w:rPr>
          <w:rFonts w:ascii="Times New Roman" w:hAnsi="Times New Roman" w:cs="Times New Roman"/>
          <w:szCs w:val="24"/>
        </w:rPr>
      </w:pPr>
      <w:r w:rsidRPr="00E72418">
        <w:rPr>
          <w:rFonts w:eastAsia="Times New Roman" w:cs="Times New Roman"/>
          <w:smallCaps/>
          <w:szCs w:val="24"/>
          <w:lang w:eastAsia="fr-BE"/>
        </w:rPr>
        <w:t>Matray</w:t>
      </w:r>
      <w:r w:rsidRPr="00E72418">
        <w:rPr>
          <w:rFonts w:eastAsia="Times New Roman" w:cs="Times New Roman"/>
          <w:szCs w:val="24"/>
          <w:lang w:eastAsia="fr-BE"/>
        </w:rPr>
        <w:t xml:space="preserve">, G., « Des procédures de notre temps », in </w:t>
      </w:r>
      <w:r w:rsidRPr="00E72418">
        <w:rPr>
          <w:rFonts w:eastAsia="Times New Roman" w:cs="Times New Roman"/>
          <w:i/>
          <w:szCs w:val="24"/>
          <w:lang w:eastAsia="fr-BE"/>
        </w:rPr>
        <w:t>Liber amicorum Christine Matray</w:t>
      </w:r>
      <w:r w:rsidRPr="00E72418">
        <w:rPr>
          <w:rFonts w:eastAsia="Times New Roman" w:cs="Times New Roman"/>
          <w:szCs w:val="24"/>
          <w:lang w:eastAsia="fr-BE"/>
        </w:rPr>
        <w:t>, Larcier, 2015, pp. 419-434</w:t>
      </w:r>
    </w:p>
    <w:p w14:paraId="3EF8F0C3" w14:textId="77777777" w:rsidR="00A91208" w:rsidRPr="00E72418" w:rsidRDefault="00A91208" w:rsidP="00A91208">
      <w:pPr>
        <w:pStyle w:val="Paragraphedeliste"/>
        <w:rPr>
          <w:rFonts w:ascii="Times New Roman" w:hAnsi="Times New Roman" w:cs="Times New Roman"/>
          <w:sz w:val="14"/>
          <w:szCs w:val="14"/>
        </w:rPr>
      </w:pPr>
    </w:p>
    <w:p w14:paraId="6F392F32"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Mazeaud</w:t>
      </w:r>
      <w:r w:rsidRPr="00E72418">
        <w:rPr>
          <w:rFonts w:ascii="Times New Roman" w:hAnsi="Times New Roman" w:cs="Times New Roman"/>
          <w:szCs w:val="24"/>
        </w:rPr>
        <w:t xml:space="preserve">, V., « L’affacturage en droit français », in </w:t>
      </w:r>
      <w:r w:rsidRPr="00E72418">
        <w:rPr>
          <w:rFonts w:ascii="Times New Roman" w:hAnsi="Times New Roman" w:cs="Times New Roman"/>
          <w:smallCaps/>
          <w:szCs w:val="24"/>
        </w:rPr>
        <w:t>Jourdain, P.</w:t>
      </w:r>
      <w:r w:rsidRPr="00E72418">
        <w:rPr>
          <w:rFonts w:ascii="Times New Roman" w:hAnsi="Times New Roman" w:cs="Times New Roman"/>
          <w:szCs w:val="24"/>
        </w:rPr>
        <w:t xml:space="preserve"> et </w:t>
      </w:r>
      <w:r w:rsidRPr="00E72418">
        <w:rPr>
          <w:rFonts w:ascii="Times New Roman" w:hAnsi="Times New Roman" w:cs="Times New Roman"/>
          <w:smallCaps/>
          <w:szCs w:val="24"/>
        </w:rPr>
        <w:t>Wéry, P.</w:t>
      </w:r>
      <w:r w:rsidRPr="00E72418">
        <w:rPr>
          <w:rFonts w:ascii="Times New Roman" w:hAnsi="Times New Roman" w:cs="Times New Roman"/>
          <w:szCs w:val="24"/>
        </w:rPr>
        <w:t xml:space="preserve"> (dir.), </w:t>
      </w:r>
      <w:r w:rsidRPr="00E72418">
        <w:rPr>
          <w:rFonts w:ascii="Times New Roman" w:hAnsi="Times New Roman" w:cs="Times New Roman"/>
          <w:i/>
          <w:szCs w:val="24"/>
        </w:rPr>
        <w:t>La transmission des obligations en droit français et en droit belge</w:t>
      </w:r>
      <w:r w:rsidRPr="00E72418">
        <w:rPr>
          <w:rFonts w:ascii="Times New Roman" w:hAnsi="Times New Roman" w:cs="Times New Roman"/>
          <w:szCs w:val="24"/>
        </w:rPr>
        <w:t>, Larcier, 2019, pp. 521-565</w:t>
      </w:r>
    </w:p>
    <w:p w14:paraId="7FD48081" w14:textId="77777777" w:rsidR="00A91208" w:rsidRPr="00E72418" w:rsidRDefault="00A91208" w:rsidP="00A91208">
      <w:pPr>
        <w:pStyle w:val="Paragraphedeliste"/>
        <w:rPr>
          <w:rFonts w:ascii="Times New Roman" w:hAnsi="Times New Roman" w:cs="Times New Roman"/>
          <w:sz w:val="14"/>
          <w:szCs w:val="14"/>
        </w:rPr>
      </w:pPr>
    </w:p>
    <w:p w14:paraId="1652D212"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Miller</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Thomas</w:t>
      </w:r>
      <w:r w:rsidRPr="00E72418">
        <w:rPr>
          <w:rFonts w:ascii="Times New Roman" w:hAnsi="Times New Roman" w:cs="Times New Roman"/>
          <w:szCs w:val="24"/>
          <w:lang w:val="en-US"/>
        </w:rPr>
        <w:t xml:space="preserve">, D., « Sovereign Debt Restructuring: The Judge, the Vultures and Creditor Rights », in </w:t>
      </w:r>
      <w:r w:rsidRPr="00E72418">
        <w:rPr>
          <w:rFonts w:ascii="Times New Roman" w:hAnsi="Times New Roman" w:cs="Times New Roman"/>
          <w:smallCaps/>
          <w:szCs w:val="24"/>
          <w:lang w:val="en-US"/>
        </w:rPr>
        <w:t>Kolb, R. (</w:t>
      </w:r>
      <w:r w:rsidRPr="00E72418">
        <w:rPr>
          <w:rFonts w:ascii="Times New Roman" w:hAnsi="Times New Roman" w:cs="Times New Roman"/>
          <w:szCs w:val="24"/>
          <w:lang w:val="en-US"/>
        </w:rPr>
        <w:t>éd.)</w:t>
      </w:r>
      <w:r w:rsidRPr="00E72418">
        <w:rPr>
          <w:rFonts w:ascii="Times New Roman" w:hAnsi="Times New Roman" w:cs="Times New Roman"/>
          <w:smallCaps/>
          <w:szCs w:val="24"/>
          <w:lang w:val="en-US"/>
        </w:rPr>
        <w:t xml:space="preserve">, </w:t>
      </w:r>
      <w:r w:rsidRPr="00E72418">
        <w:rPr>
          <w:rFonts w:ascii="Times New Roman" w:hAnsi="Times New Roman" w:cs="Times New Roman"/>
          <w:i/>
          <w:szCs w:val="24"/>
          <w:lang w:val="en-US"/>
        </w:rPr>
        <w:t>Sovereign Debt: From Safety to Default</w:t>
      </w:r>
      <w:r w:rsidRPr="00E72418">
        <w:rPr>
          <w:rFonts w:ascii="Times New Roman" w:hAnsi="Times New Roman" w:cs="Times New Roman"/>
          <w:szCs w:val="24"/>
          <w:lang w:val="en-US"/>
        </w:rPr>
        <w:t>, Wiley, 2011, pp. 211-225</w:t>
      </w:r>
    </w:p>
    <w:p w14:paraId="0251C41A" w14:textId="77777777" w:rsidR="00A91208" w:rsidRPr="00E72418" w:rsidRDefault="00A91208" w:rsidP="00A91208">
      <w:pPr>
        <w:pStyle w:val="Paragraphedeliste"/>
        <w:rPr>
          <w:rFonts w:ascii="Times New Roman" w:hAnsi="Times New Roman" w:cs="Times New Roman"/>
          <w:sz w:val="14"/>
          <w:szCs w:val="14"/>
        </w:rPr>
      </w:pPr>
    </w:p>
    <w:p w14:paraId="5D3E60A9" w14:textId="2A5B73CC" w:rsidR="00912454" w:rsidRPr="00E72418" w:rsidRDefault="00A91208" w:rsidP="00502474">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Poirat</w:t>
      </w:r>
      <w:r w:rsidRPr="00E72418">
        <w:rPr>
          <w:rFonts w:ascii="Times New Roman" w:hAnsi="Times New Roman" w:cs="Times New Roman"/>
          <w:szCs w:val="24"/>
        </w:rPr>
        <w:t>, F., « Les immunités des sujets du droit international (</w:t>
      </w:r>
      <w:r w:rsidR="002F5E5D" w:rsidRPr="00E72418">
        <w:t>É</w:t>
      </w:r>
      <w:r w:rsidRPr="00E72418">
        <w:rPr>
          <w:rFonts w:ascii="Times New Roman" w:hAnsi="Times New Roman" w:cs="Times New Roman"/>
          <w:szCs w:val="24"/>
        </w:rPr>
        <w:t xml:space="preserve">tats et organisations internationales) », in </w:t>
      </w:r>
      <w:r w:rsidRPr="00E72418">
        <w:rPr>
          <w:rFonts w:ascii="Times New Roman" w:hAnsi="Times New Roman" w:cs="Times New Roman"/>
          <w:smallCaps/>
          <w:szCs w:val="24"/>
        </w:rPr>
        <w:t>Verhoeven</w:t>
      </w:r>
      <w:r w:rsidRPr="00E72418">
        <w:rPr>
          <w:rFonts w:ascii="Times New Roman" w:hAnsi="Times New Roman" w:cs="Times New Roman"/>
          <w:szCs w:val="24"/>
        </w:rPr>
        <w:t xml:space="preserve">, J. (dir.), </w:t>
      </w:r>
      <w:r w:rsidRPr="00E72418">
        <w:rPr>
          <w:rFonts w:ascii="Times New Roman" w:hAnsi="Times New Roman" w:cs="Times New Roman"/>
          <w:i/>
          <w:szCs w:val="24"/>
        </w:rPr>
        <w:t>Le droit international des immunités : contestation ou consolidation ?</w:t>
      </w:r>
      <w:r w:rsidRPr="00E72418">
        <w:rPr>
          <w:rFonts w:ascii="Times New Roman" w:hAnsi="Times New Roman" w:cs="Times New Roman"/>
          <w:szCs w:val="24"/>
        </w:rPr>
        <w:t>, Larcier, 2004, pp. 11-60</w:t>
      </w:r>
    </w:p>
    <w:p w14:paraId="107D4AED" w14:textId="77777777" w:rsidR="00912454" w:rsidRPr="00E72418" w:rsidRDefault="00912454" w:rsidP="00912454">
      <w:pPr>
        <w:pStyle w:val="Paragraphedeliste"/>
        <w:rPr>
          <w:rFonts w:ascii="Times New Roman" w:hAnsi="Times New Roman" w:cs="Times New Roman"/>
          <w:smallCaps/>
          <w:sz w:val="14"/>
          <w:szCs w:val="14"/>
          <w:lang w:val="en-US"/>
        </w:rPr>
      </w:pPr>
    </w:p>
    <w:p w14:paraId="6A78D905" w14:textId="4B497C9D" w:rsidR="00A91208" w:rsidRPr="00E72418" w:rsidRDefault="00A91208" w:rsidP="00502474">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Rahman, R</w:t>
      </w:r>
      <w:r w:rsidRPr="00E72418">
        <w:rPr>
          <w:rFonts w:ascii="Times New Roman" w:hAnsi="Times New Roman" w:cs="Times New Roman"/>
          <w:szCs w:val="24"/>
          <w:lang w:val="en-US"/>
        </w:rPr>
        <w:t xml:space="preserve">., « The sovereign stress situation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Bruno, E. (</w:t>
      </w:r>
      <w:r w:rsidRPr="00E72418">
        <w:rPr>
          <w:rFonts w:ascii="Times New Roman" w:hAnsi="Times New Roman" w:cs="Times New Roman"/>
          <w:szCs w:val="24"/>
          <w:lang w:val="en-US"/>
        </w:rPr>
        <w:t xml:space="preserve">éd.), </w:t>
      </w:r>
      <w:r w:rsidRPr="00E72418">
        <w:rPr>
          <w:rFonts w:ascii="Times New Roman" w:hAnsi="Times New Roman" w:cs="Times New Roman"/>
          <w:i/>
          <w:szCs w:val="24"/>
          <w:lang w:val="en-US"/>
        </w:rPr>
        <w:t>Sovereign Debt and Debt Restructuring – Legal, Financial and Regulatory Aspects</w:t>
      </w:r>
      <w:r w:rsidRPr="00E72418">
        <w:rPr>
          <w:rFonts w:ascii="Times New Roman" w:hAnsi="Times New Roman" w:cs="Times New Roman"/>
          <w:szCs w:val="24"/>
          <w:lang w:val="en-US"/>
        </w:rPr>
        <w:t>, Globe Law and Business, 2013, pp. 11-17</w:t>
      </w:r>
    </w:p>
    <w:p w14:paraId="392A8D27" w14:textId="77777777" w:rsidR="00A91208" w:rsidRPr="00E72418" w:rsidRDefault="00A91208" w:rsidP="00A91208">
      <w:pPr>
        <w:pStyle w:val="Paragraphedeliste"/>
        <w:rPr>
          <w:rFonts w:ascii="Times New Roman" w:hAnsi="Times New Roman" w:cs="Times New Roman"/>
          <w:sz w:val="14"/>
          <w:szCs w:val="14"/>
        </w:rPr>
      </w:pPr>
    </w:p>
    <w:p w14:paraId="3075E012"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Rault, C., </w:t>
      </w:r>
      <w:r w:rsidRPr="00E72418">
        <w:rPr>
          <w:rFonts w:ascii="Times New Roman" w:hAnsi="Times New Roman" w:cs="Times New Roman"/>
          <w:szCs w:val="24"/>
        </w:rPr>
        <w:t xml:space="preserve">« Les formes d’endettement public international : permanence ou évolution ? », in </w:t>
      </w:r>
      <w:r w:rsidRPr="00E72418">
        <w:rPr>
          <w:rFonts w:ascii="Times New Roman" w:hAnsi="Times New Roman" w:cs="Times New Roman"/>
          <w:smallCaps/>
          <w:szCs w:val="24"/>
        </w:rPr>
        <w:t>Waibel, M.</w:t>
      </w:r>
      <w:r w:rsidRPr="00E72418">
        <w:rPr>
          <w:rFonts w:ascii="Times New Roman" w:hAnsi="Times New Roman" w:cs="Times New Roman"/>
          <w:szCs w:val="24"/>
        </w:rPr>
        <w:t xml:space="preserve"> (éd.), </w:t>
      </w:r>
      <w:r w:rsidRPr="00E72418">
        <w:rPr>
          <w:rFonts w:ascii="Times New Roman" w:hAnsi="Times New Roman" w:cs="Times New Roman"/>
          <w:i/>
          <w:szCs w:val="24"/>
        </w:rPr>
        <w:t>The Legal Implications of Global Financial Crises</w:t>
      </w:r>
      <w:r w:rsidRPr="00E72418">
        <w:rPr>
          <w:rFonts w:ascii="Times New Roman" w:hAnsi="Times New Roman" w:cs="Times New Roman"/>
          <w:szCs w:val="24"/>
        </w:rPr>
        <w:t xml:space="preserve">, Brill, 2020, </w:t>
      </w:r>
      <w:r w:rsidRPr="00E72418">
        <w:rPr>
          <w:rFonts w:ascii="Times New Roman" w:hAnsi="Times New Roman" w:cs="Times New Roman"/>
          <w:szCs w:val="24"/>
          <w:shd w:val="clear" w:color="auto" w:fill="FFFFFF"/>
        </w:rPr>
        <w:t>pp. 213-238</w:t>
      </w:r>
    </w:p>
    <w:p w14:paraId="3521D048" w14:textId="77777777" w:rsidR="00A91208" w:rsidRPr="00E72418" w:rsidRDefault="00A91208" w:rsidP="00A91208">
      <w:pPr>
        <w:pStyle w:val="Paragraphedeliste"/>
        <w:rPr>
          <w:rFonts w:ascii="Times New Roman" w:hAnsi="Times New Roman" w:cs="Times New Roman"/>
          <w:sz w:val="14"/>
          <w:szCs w:val="14"/>
        </w:rPr>
      </w:pPr>
    </w:p>
    <w:p w14:paraId="6D402768"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Reinisch</w:t>
      </w:r>
      <w:r w:rsidRPr="00E72418">
        <w:rPr>
          <w:rFonts w:ascii="Times New Roman" w:hAnsi="Times New Roman" w:cs="Times New Roman"/>
          <w:szCs w:val="24"/>
          <w:lang w:val="en-US"/>
        </w:rPr>
        <w:t xml:space="preserve">, A. et </w:t>
      </w:r>
      <w:r w:rsidRPr="00E72418">
        <w:rPr>
          <w:rFonts w:ascii="Times New Roman" w:hAnsi="Times New Roman" w:cs="Times New Roman"/>
          <w:smallCaps/>
          <w:szCs w:val="24"/>
          <w:lang w:val="en-US"/>
        </w:rPr>
        <w:t>Binder</w:t>
      </w:r>
      <w:r w:rsidRPr="00E72418">
        <w:rPr>
          <w:rFonts w:ascii="Times New Roman" w:hAnsi="Times New Roman" w:cs="Times New Roman"/>
          <w:szCs w:val="24"/>
          <w:lang w:val="en-US"/>
        </w:rPr>
        <w:t xml:space="preserve">, C., « Debts and State of Necessity </w:t>
      </w:r>
      <w:r w:rsidRPr="00E72418">
        <w:rPr>
          <w:rFonts w:ascii="Times New Roman" w:eastAsia="Times New Roman" w:hAnsi="Times New Roman" w:cs="Times New Roman"/>
          <w:szCs w:val="24"/>
          <w:lang w:val="en-US" w:eastAsia="fr-BE"/>
        </w:rPr>
        <w:t>»</w:t>
      </w:r>
      <w:r w:rsidRPr="00E72418">
        <w:rPr>
          <w:rFonts w:ascii="Times New Roman" w:hAnsi="Times New Roman" w:cs="Times New Roman"/>
          <w:szCs w:val="24"/>
          <w:lang w:val="en-US"/>
        </w:rPr>
        <w:t xml:space="preserve">, in </w:t>
      </w:r>
      <w:r w:rsidRPr="00E72418">
        <w:rPr>
          <w:rFonts w:ascii="Times New Roman" w:hAnsi="Times New Roman" w:cs="Times New Roman"/>
          <w:smallCaps/>
          <w:szCs w:val="24"/>
          <w:lang w:val="en-US"/>
        </w:rPr>
        <w:t>Bohoslavsky</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Cernic</w:t>
      </w:r>
      <w:r w:rsidRPr="00E72418">
        <w:rPr>
          <w:rFonts w:ascii="Times New Roman" w:hAnsi="Times New Roman" w:cs="Times New Roman"/>
          <w:szCs w:val="24"/>
          <w:lang w:val="en-US"/>
        </w:rPr>
        <w:t xml:space="preserve">, J. (éd.), </w:t>
      </w:r>
      <w:r w:rsidRPr="00E72418">
        <w:rPr>
          <w:rFonts w:ascii="Times New Roman" w:hAnsi="Times New Roman" w:cs="Times New Roman"/>
          <w:i/>
          <w:szCs w:val="24"/>
          <w:lang w:val="en-US"/>
        </w:rPr>
        <w:t>Making Sovereign Financing and Human Rights Work</w:t>
      </w:r>
      <w:r w:rsidRPr="00E72418">
        <w:rPr>
          <w:rFonts w:ascii="Times New Roman" w:hAnsi="Times New Roman" w:cs="Times New Roman"/>
          <w:szCs w:val="24"/>
          <w:lang w:val="en-US"/>
        </w:rPr>
        <w:t>, Hart Publishing, 2014, pp. 115-128</w:t>
      </w:r>
    </w:p>
    <w:p w14:paraId="5134A509" w14:textId="77777777" w:rsidR="00A91208" w:rsidRPr="00E72418" w:rsidRDefault="00A91208" w:rsidP="00A91208">
      <w:pPr>
        <w:pStyle w:val="Paragraphedeliste"/>
        <w:rPr>
          <w:rFonts w:ascii="Times New Roman" w:hAnsi="Times New Roman" w:cs="Times New Roman"/>
          <w:sz w:val="14"/>
          <w:szCs w:val="14"/>
        </w:rPr>
      </w:pPr>
    </w:p>
    <w:p w14:paraId="5AA373EA" w14:textId="7CA0DC75" w:rsidR="00E13C85" w:rsidRPr="00E72418" w:rsidRDefault="00A91208" w:rsidP="00E13C85">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Schultz</w:t>
      </w:r>
      <w:r w:rsidRPr="00E72418">
        <w:rPr>
          <w:rFonts w:ascii="Times New Roman" w:hAnsi="Times New Roman" w:cs="Times New Roman"/>
          <w:szCs w:val="24"/>
        </w:rPr>
        <w:t xml:space="preserve">, J., « Une affaire récente : la faillite du Zaïre devant les tribunaux néerlandais », in </w:t>
      </w:r>
      <w:r w:rsidRPr="00E72418">
        <w:rPr>
          <w:rFonts w:ascii="Times New Roman" w:hAnsi="Times New Roman" w:cs="Times New Roman"/>
          <w:i/>
          <w:szCs w:val="24"/>
        </w:rPr>
        <w:t>L’immunité d’exécution de l’État étranger</w:t>
      </w:r>
      <w:r w:rsidR="004F74F9" w:rsidRPr="00E72418">
        <w:rPr>
          <w:rFonts w:ascii="Times New Roman" w:hAnsi="Times New Roman" w:cs="Times New Roman"/>
          <w:szCs w:val="24"/>
        </w:rPr>
        <w:t>, Montchrestien, 1990, pp. 83-</w:t>
      </w:r>
      <w:r w:rsidRPr="00E72418">
        <w:rPr>
          <w:rFonts w:ascii="Times New Roman" w:hAnsi="Times New Roman" w:cs="Times New Roman"/>
          <w:szCs w:val="24"/>
        </w:rPr>
        <w:t>87</w:t>
      </w:r>
    </w:p>
    <w:p w14:paraId="3FC42AAC" w14:textId="77777777" w:rsidR="00E13C85" w:rsidRPr="00E72418" w:rsidRDefault="00E13C85" w:rsidP="00E13C85">
      <w:pPr>
        <w:pStyle w:val="Paragraphedeliste"/>
        <w:rPr>
          <w:rFonts w:ascii="Times New Roman" w:hAnsi="Times New Roman" w:cs="Times New Roman"/>
          <w:smallCaps/>
          <w:sz w:val="14"/>
          <w:szCs w:val="14"/>
          <w:lang w:val="en-US"/>
        </w:rPr>
      </w:pPr>
    </w:p>
    <w:p w14:paraId="2525D148" w14:textId="77777777" w:rsidR="00912454" w:rsidRPr="00E72418" w:rsidRDefault="00E13C85" w:rsidP="00502474">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Sgard, J., </w:t>
      </w:r>
      <w:r w:rsidRPr="00E72418">
        <w:rPr>
          <w:rFonts w:ascii="Times New Roman" w:hAnsi="Times New Roman" w:cs="Times New Roman"/>
          <w:szCs w:val="24"/>
          <w:lang w:val="en-US"/>
        </w:rPr>
        <w:t xml:space="preserve">« From A Multilateral Broker to the National Judge: The Law and Governance of Sovereign Debts Restructuring, 1980-2015 », in </w:t>
      </w:r>
      <w:r w:rsidRPr="00E72418">
        <w:rPr>
          <w:rFonts w:ascii="Times New Roman" w:hAnsi="Times New Roman" w:cs="Times New Roman"/>
          <w:smallCaps/>
          <w:szCs w:val="24"/>
          <w:lang w:val="en-US"/>
        </w:rPr>
        <w:t>Barreyre</w:t>
      </w:r>
      <w:r w:rsidRPr="00E72418">
        <w:rPr>
          <w:rFonts w:ascii="Times New Roman" w:hAnsi="Times New Roman" w:cs="Times New Roman"/>
          <w:szCs w:val="24"/>
          <w:lang w:val="en-US"/>
        </w:rPr>
        <w:t xml:space="preserve">, N. et </w:t>
      </w:r>
      <w:r w:rsidRPr="00E72418">
        <w:rPr>
          <w:rFonts w:ascii="Times New Roman" w:hAnsi="Times New Roman" w:cs="Times New Roman"/>
          <w:smallCaps/>
          <w:szCs w:val="24"/>
          <w:lang w:val="en-US"/>
        </w:rPr>
        <w:t>Delalande</w:t>
      </w:r>
      <w:r w:rsidRPr="00E72418">
        <w:rPr>
          <w:rFonts w:ascii="Times New Roman" w:hAnsi="Times New Roman" w:cs="Times New Roman"/>
          <w:szCs w:val="24"/>
          <w:lang w:val="en-US"/>
        </w:rPr>
        <w:t xml:space="preserve">, N. (éd.), </w:t>
      </w:r>
      <w:r w:rsidRPr="00E72418">
        <w:rPr>
          <w:rFonts w:ascii="Times New Roman" w:hAnsi="Times New Roman" w:cs="Times New Roman"/>
          <w:i/>
          <w:szCs w:val="24"/>
          <w:lang w:val="en-US"/>
        </w:rPr>
        <w:t>A World of Public Debt – A Political History</w:t>
      </w:r>
      <w:r w:rsidRPr="00E72418">
        <w:rPr>
          <w:rFonts w:ascii="Times New Roman" w:hAnsi="Times New Roman" w:cs="Times New Roman"/>
          <w:szCs w:val="24"/>
          <w:lang w:val="en-US"/>
        </w:rPr>
        <w:t>, Palgrave, 2020, pp. 427-452</w:t>
      </w:r>
    </w:p>
    <w:p w14:paraId="36DA77BF" w14:textId="77777777" w:rsidR="00912454" w:rsidRPr="00E72418" w:rsidRDefault="00912454" w:rsidP="00912454">
      <w:pPr>
        <w:pStyle w:val="Paragraphedeliste"/>
        <w:rPr>
          <w:smallCaps/>
          <w:sz w:val="14"/>
          <w:szCs w:val="14"/>
        </w:rPr>
      </w:pPr>
    </w:p>
    <w:p w14:paraId="19332F99" w14:textId="0377C74F" w:rsidR="00526825" w:rsidRPr="00E72418" w:rsidRDefault="00526825" w:rsidP="00502474">
      <w:pPr>
        <w:pStyle w:val="Paragraphedeliste"/>
        <w:numPr>
          <w:ilvl w:val="0"/>
          <w:numId w:val="16"/>
        </w:numPr>
        <w:spacing w:after="0"/>
        <w:rPr>
          <w:rFonts w:ascii="Times New Roman" w:hAnsi="Times New Roman" w:cs="Times New Roman"/>
          <w:szCs w:val="24"/>
        </w:rPr>
      </w:pPr>
      <w:r w:rsidRPr="00E72418">
        <w:rPr>
          <w:smallCaps/>
        </w:rPr>
        <w:t>Stijns</w:t>
      </w:r>
      <w:r w:rsidRPr="00E72418">
        <w:t xml:space="preserve">, S. et </w:t>
      </w:r>
      <w:r w:rsidRPr="00E72418">
        <w:rPr>
          <w:smallCaps/>
        </w:rPr>
        <w:t>Auvray</w:t>
      </w:r>
      <w:r w:rsidRPr="00E72418">
        <w:t xml:space="preserve">, F., « Abus de droit contractuel dans l’exécution du contrat : critères et sanctions », in </w:t>
      </w:r>
      <w:r w:rsidRPr="00E72418">
        <w:rPr>
          <w:smallCaps/>
        </w:rPr>
        <w:t>Dupont</w:t>
      </w:r>
      <w:r w:rsidRPr="00E72418">
        <w:t xml:space="preserve">, M. (dir.), </w:t>
      </w:r>
      <w:r w:rsidRPr="00E72418">
        <w:rPr>
          <w:i/>
        </w:rPr>
        <w:t>Les obligations contractuelles</w:t>
      </w:r>
      <w:r w:rsidRPr="00E72418">
        <w:t>, Larcier, 2016, pp. 269-320</w:t>
      </w:r>
    </w:p>
    <w:p w14:paraId="41CFD3F2" w14:textId="77777777" w:rsidR="00A91208" w:rsidRPr="00E72418" w:rsidRDefault="00A91208" w:rsidP="00A91208">
      <w:pPr>
        <w:pStyle w:val="Paragraphedeliste"/>
        <w:rPr>
          <w:rFonts w:ascii="Times New Roman" w:hAnsi="Times New Roman" w:cs="Times New Roman"/>
          <w:sz w:val="14"/>
          <w:szCs w:val="14"/>
        </w:rPr>
      </w:pPr>
    </w:p>
    <w:p w14:paraId="7DBAC9DD" w14:textId="3A59D850" w:rsidR="00C36BCF" w:rsidRPr="00C36BCF" w:rsidRDefault="00C36BCF" w:rsidP="008D1D70">
      <w:pPr>
        <w:pStyle w:val="Paragraphedeliste"/>
        <w:numPr>
          <w:ilvl w:val="0"/>
          <w:numId w:val="16"/>
        </w:numPr>
        <w:spacing w:after="0"/>
        <w:rPr>
          <w:rFonts w:ascii="Times New Roman" w:hAnsi="Times New Roman" w:cs="Times New Roman"/>
          <w:szCs w:val="24"/>
        </w:rPr>
      </w:pPr>
      <w:r w:rsidRPr="00C36BCF">
        <w:rPr>
          <w:smallCaps/>
        </w:rPr>
        <w:t>Tourme-Jouannet</w:t>
      </w:r>
      <w:r>
        <w:t xml:space="preserve">, E., </w:t>
      </w:r>
      <w:r w:rsidRPr="00C36BCF">
        <w:rPr>
          <w:smallCaps/>
        </w:rPr>
        <w:t>Toufayan</w:t>
      </w:r>
      <w:r>
        <w:rPr>
          <w:smallCaps/>
        </w:rPr>
        <w:t>, M.</w:t>
      </w:r>
      <w:r>
        <w:t xml:space="preserve"> et </w:t>
      </w:r>
      <w:r w:rsidRPr="00C36BCF">
        <w:rPr>
          <w:smallCaps/>
        </w:rPr>
        <w:t>Ruiz Fabri</w:t>
      </w:r>
      <w:r>
        <w:t xml:space="preserve">, H., « Nouvelles approches sur le tiers-monde : entre répétition et renouveau », in </w:t>
      </w:r>
      <w:r w:rsidRPr="00C36BCF">
        <w:rPr>
          <w:smallCaps/>
        </w:rPr>
        <w:t>Toufayan</w:t>
      </w:r>
      <w:r>
        <w:t xml:space="preserve">, M., </w:t>
      </w:r>
      <w:r w:rsidRPr="00C36BCF">
        <w:rPr>
          <w:smallCaps/>
        </w:rPr>
        <w:t>Tourme-Jouannet</w:t>
      </w:r>
      <w:r>
        <w:rPr>
          <w:smallCaps/>
        </w:rPr>
        <w:t>, E.</w:t>
      </w:r>
      <w:r>
        <w:t xml:space="preserve"> et </w:t>
      </w:r>
      <w:r w:rsidRPr="00C36BCF">
        <w:rPr>
          <w:smallCaps/>
        </w:rPr>
        <w:t>Ruiz Fabri</w:t>
      </w:r>
      <w:r>
        <w:rPr>
          <w:smallCaps/>
        </w:rPr>
        <w:t>, H.</w:t>
      </w:r>
      <w:r>
        <w:t xml:space="preserve"> (dir.), </w:t>
      </w:r>
      <w:r w:rsidRPr="00C36BCF">
        <w:rPr>
          <w:i/>
        </w:rPr>
        <w:t>Droit international et nouvelles approches sur le tiers-monde : entre répétition et renouveau</w:t>
      </w:r>
      <w:r>
        <w:t>, Société de législation comparée, 2013, pp. 17-24</w:t>
      </w:r>
    </w:p>
    <w:p w14:paraId="204B9F50" w14:textId="77777777" w:rsidR="00C36BCF" w:rsidRPr="00C36BCF" w:rsidRDefault="00C36BCF" w:rsidP="00C36BCF">
      <w:pPr>
        <w:pStyle w:val="Paragraphedeliste"/>
        <w:rPr>
          <w:rFonts w:ascii="Times New Roman" w:hAnsi="Times New Roman" w:cs="Times New Roman"/>
          <w:smallCaps/>
          <w:sz w:val="14"/>
          <w:szCs w:val="14"/>
        </w:rPr>
      </w:pPr>
    </w:p>
    <w:p w14:paraId="5D02B4B8" w14:textId="1616A4BE"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 xml:space="preserve">Uy, M. </w:t>
      </w:r>
      <w:r w:rsidRPr="00E72418">
        <w:rPr>
          <w:rFonts w:ascii="Times New Roman" w:hAnsi="Times New Roman" w:cs="Times New Roman"/>
          <w:szCs w:val="24"/>
        </w:rPr>
        <w:t xml:space="preserve">et </w:t>
      </w:r>
      <w:r w:rsidRPr="00E72418">
        <w:rPr>
          <w:rFonts w:ascii="Times New Roman" w:hAnsi="Times New Roman" w:cs="Times New Roman"/>
          <w:smallCaps/>
          <w:szCs w:val="24"/>
        </w:rPr>
        <w:t>Zhou</w:t>
      </w:r>
      <w:r w:rsidRPr="00E72418">
        <w:rPr>
          <w:rFonts w:ascii="Times New Roman" w:hAnsi="Times New Roman" w:cs="Times New Roman"/>
          <w:szCs w:val="24"/>
        </w:rPr>
        <w:t xml:space="preserve">, S., « Sovereign Debt of Developing Countries: Overview of Trends and Policy Perspectives », in </w:t>
      </w:r>
      <w:r w:rsidRPr="00E72418">
        <w:rPr>
          <w:rFonts w:ascii="Times New Roman" w:hAnsi="Times New Roman" w:cs="Times New Roman"/>
          <w:smallCaps/>
          <w:szCs w:val="24"/>
          <w:lang w:val="en-US"/>
        </w:rPr>
        <w:t xml:space="preserve">Guzman, M., Ocampo, J. </w:t>
      </w:r>
      <w:r w:rsidRPr="00E72418">
        <w:rPr>
          <w:rFonts w:ascii="Times New Roman" w:hAnsi="Times New Roman" w:cs="Times New Roman"/>
          <w:szCs w:val="24"/>
          <w:lang w:val="en-US"/>
        </w:rPr>
        <w:t xml:space="preserve">et </w:t>
      </w:r>
      <w:r w:rsidRPr="00E72418">
        <w:rPr>
          <w:rFonts w:ascii="Times New Roman" w:hAnsi="Times New Roman" w:cs="Times New Roman"/>
          <w:smallCaps/>
          <w:szCs w:val="24"/>
          <w:lang w:val="en-US"/>
        </w:rPr>
        <w:t>Stiglitz</w:t>
      </w:r>
      <w:r w:rsidRPr="00E72418">
        <w:rPr>
          <w:rFonts w:ascii="Times New Roman" w:hAnsi="Times New Roman" w:cs="Times New Roman"/>
          <w:szCs w:val="24"/>
          <w:lang w:val="en-US"/>
        </w:rPr>
        <w:t xml:space="preserve">, J. (éd.), </w:t>
      </w:r>
      <w:r w:rsidRPr="00E72418">
        <w:rPr>
          <w:rFonts w:ascii="Times New Roman" w:hAnsi="Times New Roman" w:cs="Times New Roman"/>
          <w:i/>
          <w:szCs w:val="24"/>
          <w:lang w:val="en-US"/>
        </w:rPr>
        <w:t xml:space="preserve">Too Little, </w:t>
      </w:r>
      <w:r w:rsidRPr="00E72418">
        <w:rPr>
          <w:rFonts w:ascii="Times New Roman" w:hAnsi="Times New Roman" w:cs="Times New Roman"/>
          <w:i/>
          <w:szCs w:val="24"/>
          <w:lang w:val="en-US"/>
        </w:rPr>
        <w:lastRenderedPageBreak/>
        <w:t>Too Late – The Quest to Resolve Sovereign Debt Crises</w:t>
      </w:r>
      <w:r w:rsidRPr="00E72418">
        <w:rPr>
          <w:rFonts w:ascii="Times New Roman" w:hAnsi="Times New Roman" w:cs="Times New Roman"/>
          <w:szCs w:val="24"/>
          <w:lang w:val="en-US"/>
        </w:rPr>
        <w:t>, Columbia University Press, 2016, pp. 33-55</w:t>
      </w:r>
    </w:p>
    <w:p w14:paraId="4BDBCD76" w14:textId="77777777" w:rsidR="00A91208" w:rsidRPr="00E72418" w:rsidRDefault="00A91208" w:rsidP="00A91208">
      <w:pPr>
        <w:pStyle w:val="Paragraphedeliste"/>
        <w:rPr>
          <w:rFonts w:ascii="Times New Roman" w:hAnsi="Times New Roman" w:cs="Times New Roman"/>
          <w:sz w:val="14"/>
          <w:szCs w:val="14"/>
        </w:rPr>
      </w:pPr>
    </w:p>
    <w:p w14:paraId="15EE9321" w14:textId="77777777" w:rsidR="00912454" w:rsidRPr="00E72418" w:rsidRDefault="00A91208" w:rsidP="00912454">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GB"/>
        </w:rPr>
        <w:t>van Calster</w:t>
      </w:r>
      <w:r w:rsidRPr="00E72418">
        <w:rPr>
          <w:rFonts w:ascii="Times New Roman" w:hAnsi="Times New Roman" w:cs="Times New Roman"/>
          <w:szCs w:val="24"/>
          <w:lang w:val="en-GB"/>
        </w:rPr>
        <w:t xml:space="preserve">, G., « Do Not Kick Them While They Are Down </w:t>
      </w:r>
      <w:r w:rsidRPr="00E72418">
        <w:rPr>
          <w:rFonts w:ascii="Times New Roman" w:hAnsi="Times New Roman" w:cs="Times New Roman"/>
          <w:szCs w:val="24"/>
          <w:lang w:val="en-US"/>
        </w:rPr>
        <w:t xml:space="preserve">– </w:t>
      </w:r>
      <w:r w:rsidRPr="00E72418">
        <w:rPr>
          <w:rFonts w:ascii="Times New Roman" w:hAnsi="Times New Roman" w:cs="Times New Roman"/>
          <w:szCs w:val="24"/>
          <w:lang w:val="en-GB"/>
        </w:rPr>
        <w:t>Vulture Funds in Private International Law », in</w:t>
      </w:r>
      <w:r w:rsidRPr="00E72418">
        <w:rPr>
          <w:rFonts w:ascii="Times New Roman" w:hAnsi="Times New Roman" w:cs="Times New Roman"/>
          <w:i/>
          <w:szCs w:val="24"/>
          <w:lang w:val="en-GB"/>
        </w:rPr>
        <w:t xml:space="preserve"> </w:t>
      </w:r>
      <w:r w:rsidRPr="00E72418">
        <w:rPr>
          <w:rFonts w:ascii="Times New Roman" w:hAnsi="Times New Roman" w:cs="Times New Roman"/>
          <w:smallCaps/>
          <w:szCs w:val="24"/>
          <w:lang w:val="en-GB"/>
        </w:rPr>
        <w:t>André-Dumont</w:t>
      </w:r>
      <w:r w:rsidRPr="00E72418">
        <w:rPr>
          <w:rFonts w:ascii="Times New Roman" w:hAnsi="Times New Roman" w:cs="Times New Roman"/>
          <w:szCs w:val="24"/>
          <w:lang w:val="en-GB"/>
        </w:rPr>
        <w:t xml:space="preserve">, A.-P., </w:t>
      </w:r>
      <w:r w:rsidRPr="00E72418">
        <w:rPr>
          <w:rFonts w:ascii="Times New Roman" w:hAnsi="Times New Roman" w:cs="Times New Roman"/>
          <w:smallCaps/>
          <w:szCs w:val="24"/>
          <w:lang w:val="en-GB"/>
        </w:rPr>
        <w:t>De Meuleneere,</w:t>
      </w:r>
      <w:r w:rsidRPr="00E72418">
        <w:rPr>
          <w:rFonts w:ascii="Times New Roman" w:hAnsi="Times New Roman" w:cs="Times New Roman"/>
          <w:szCs w:val="24"/>
          <w:lang w:val="en-GB"/>
        </w:rPr>
        <w:t xml:space="preserve"> I. et </w:t>
      </w:r>
      <w:r w:rsidRPr="00E72418">
        <w:rPr>
          <w:rFonts w:ascii="Times New Roman" w:hAnsi="Times New Roman" w:cs="Times New Roman"/>
          <w:smallCaps/>
          <w:szCs w:val="24"/>
          <w:lang w:val="en-GB"/>
        </w:rPr>
        <w:t>Pijcke</w:t>
      </w:r>
      <w:r w:rsidRPr="00E72418">
        <w:rPr>
          <w:rFonts w:ascii="Times New Roman" w:hAnsi="Times New Roman" w:cs="Times New Roman"/>
          <w:szCs w:val="24"/>
          <w:lang w:val="en-GB"/>
        </w:rPr>
        <w:t xml:space="preserve"> A. (éd.), </w:t>
      </w:r>
      <w:r w:rsidRPr="00E72418">
        <w:rPr>
          <w:rFonts w:ascii="Times New Roman" w:hAnsi="Times New Roman" w:cs="Times New Roman"/>
          <w:i/>
          <w:szCs w:val="24"/>
          <w:lang w:val="en-GB"/>
        </w:rPr>
        <w:t>The Increasing Impact of Human Rights Law on the Financial World</w:t>
      </w:r>
      <w:r w:rsidRPr="00E72418">
        <w:rPr>
          <w:rFonts w:ascii="Times New Roman" w:hAnsi="Times New Roman" w:cs="Times New Roman"/>
          <w:szCs w:val="24"/>
          <w:lang w:val="en-GB" w:eastAsia="fr-FR"/>
        </w:rPr>
        <w:t>, Anthemis Intersentia, 2016, pp. 53-67</w:t>
      </w:r>
    </w:p>
    <w:p w14:paraId="7C06C8DC" w14:textId="77777777" w:rsidR="00912454" w:rsidRPr="00E72418" w:rsidRDefault="00912454" w:rsidP="00912454">
      <w:pPr>
        <w:pStyle w:val="Paragraphedeliste"/>
        <w:rPr>
          <w:rFonts w:ascii="Times New Roman" w:hAnsi="Times New Roman" w:cs="Times New Roman"/>
          <w:smallCaps/>
          <w:sz w:val="14"/>
          <w:szCs w:val="14"/>
        </w:rPr>
      </w:pPr>
    </w:p>
    <w:p w14:paraId="32EC8E4D" w14:textId="01EA55EA" w:rsidR="00A91208" w:rsidRPr="00E72418" w:rsidRDefault="00A91208" w:rsidP="00912454">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Varottil</w:t>
      </w:r>
      <w:r w:rsidRPr="00E72418">
        <w:rPr>
          <w:rFonts w:ascii="Times New Roman" w:hAnsi="Times New Roman" w:cs="Times New Roman"/>
          <w:szCs w:val="24"/>
        </w:rPr>
        <w:t xml:space="preserve">, U., « Sovereign Debt Documentation and the </w:t>
      </w:r>
      <w:r w:rsidRPr="00E72418">
        <w:rPr>
          <w:rFonts w:ascii="Times New Roman" w:hAnsi="Times New Roman" w:cs="Times New Roman"/>
          <w:i/>
          <w:szCs w:val="24"/>
        </w:rPr>
        <w:t>Pari Passu</w:t>
      </w:r>
      <w:r w:rsidRPr="00E72418">
        <w:rPr>
          <w:rFonts w:ascii="Times New Roman" w:hAnsi="Times New Roman" w:cs="Times New Roman"/>
          <w:szCs w:val="24"/>
        </w:rPr>
        <w:t xml:space="preserve"> Clause », in </w:t>
      </w:r>
      <w:r w:rsidRPr="00E72418">
        <w:rPr>
          <w:rFonts w:ascii="Times New Roman" w:hAnsi="Times New Roman" w:cs="Times New Roman"/>
          <w:smallCaps/>
          <w:szCs w:val="24"/>
        </w:rPr>
        <w:t>Kolb</w:t>
      </w:r>
      <w:r w:rsidRPr="00E72418">
        <w:rPr>
          <w:rFonts w:ascii="Times New Roman" w:hAnsi="Times New Roman" w:cs="Times New Roman"/>
          <w:szCs w:val="24"/>
        </w:rPr>
        <w:t xml:space="preserve">, R. (éd.), </w:t>
      </w:r>
      <w:r w:rsidRPr="00E72418">
        <w:rPr>
          <w:rFonts w:ascii="Times New Roman" w:hAnsi="Times New Roman" w:cs="Times New Roman"/>
          <w:i/>
          <w:szCs w:val="24"/>
        </w:rPr>
        <w:t>Sovereign Debt: From Safety to Default</w:t>
      </w:r>
      <w:r w:rsidRPr="00E72418">
        <w:rPr>
          <w:rFonts w:ascii="Times New Roman" w:hAnsi="Times New Roman" w:cs="Times New Roman"/>
          <w:szCs w:val="24"/>
        </w:rPr>
        <w:t>, Wiley, 2011, pp. 227-234</w:t>
      </w:r>
    </w:p>
    <w:p w14:paraId="381BE9B4" w14:textId="77777777" w:rsidR="00A91208" w:rsidRPr="00E72418" w:rsidRDefault="00A91208" w:rsidP="00A91208">
      <w:pPr>
        <w:pStyle w:val="Paragraphedeliste"/>
        <w:rPr>
          <w:rFonts w:ascii="Times New Roman" w:hAnsi="Times New Roman" w:cs="Times New Roman"/>
          <w:sz w:val="14"/>
          <w:szCs w:val="14"/>
        </w:rPr>
      </w:pPr>
    </w:p>
    <w:p w14:paraId="21E16E0B"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Verhoeven</w:t>
      </w:r>
      <w:r w:rsidRPr="00E72418">
        <w:rPr>
          <w:rFonts w:ascii="Times New Roman" w:hAnsi="Times New Roman" w:cs="Times New Roman"/>
          <w:szCs w:val="24"/>
        </w:rPr>
        <w:t xml:space="preserve">, J., « La jurisprudence belge et le droit international de l’immunité d’exécution », in </w:t>
      </w:r>
      <w:r w:rsidRPr="00E72418">
        <w:rPr>
          <w:rFonts w:ascii="Times New Roman" w:hAnsi="Times New Roman" w:cs="Times New Roman"/>
          <w:i/>
          <w:iCs/>
          <w:szCs w:val="24"/>
        </w:rPr>
        <w:t>Mélanges Jacques van Compernolle</w:t>
      </w:r>
      <w:r w:rsidRPr="00E72418">
        <w:rPr>
          <w:rFonts w:ascii="Times New Roman" w:hAnsi="Times New Roman" w:cs="Times New Roman"/>
          <w:szCs w:val="24"/>
        </w:rPr>
        <w:t>, Bruylant, 2004, pp. 869-895</w:t>
      </w:r>
    </w:p>
    <w:p w14:paraId="604752B1" w14:textId="77777777" w:rsidR="00A91208" w:rsidRPr="00E72418" w:rsidRDefault="00A91208" w:rsidP="00A91208">
      <w:pPr>
        <w:pStyle w:val="Paragraphedeliste"/>
        <w:rPr>
          <w:rFonts w:ascii="Times New Roman" w:hAnsi="Times New Roman" w:cs="Times New Roman"/>
          <w:sz w:val="14"/>
          <w:szCs w:val="14"/>
        </w:rPr>
      </w:pPr>
    </w:p>
    <w:p w14:paraId="2B3C4112" w14:textId="5527294B"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von Bogdandy</w:t>
      </w:r>
      <w:r w:rsidRPr="00E72418">
        <w:rPr>
          <w:rFonts w:ascii="Times New Roman" w:hAnsi="Times New Roman" w:cs="Times New Roman"/>
          <w:szCs w:val="24"/>
          <w:lang w:val="en-US"/>
        </w:rPr>
        <w:t xml:space="preserve">, A. et </w:t>
      </w:r>
      <w:r w:rsidRPr="00E72418">
        <w:rPr>
          <w:rFonts w:ascii="Times New Roman" w:hAnsi="Times New Roman" w:cs="Times New Roman"/>
          <w:smallCaps/>
          <w:szCs w:val="24"/>
          <w:lang w:val="en-US"/>
        </w:rPr>
        <w:t>Goldmann</w:t>
      </w:r>
      <w:r w:rsidRPr="00E72418">
        <w:rPr>
          <w:rFonts w:ascii="Times New Roman" w:hAnsi="Times New Roman" w:cs="Times New Roman"/>
          <w:szCs w:val="24"/>
          <w:lang w:val="en-US"/>
        </w:rPr>
        <w:t xml:space="preserve">, M., « </w:t>
      </w:r>
      <w:r w:rsidRPr="00E72418">
        <w:rPr>
          <w:rFonts w:ascii="Times New Roman" w:hAnsi="Times New Roman" w:cs="Times New Roman"/>
          <w:szCs w:val="24"/>
        </w:rPr>
        <w:t xml:space="preserve">Sovereign Debt Restructurings as Exercises of International Public Authority – Towards a Decentralized Sovereign Insolvency Law </w:t>
      </w:r>
      <w:r w:rsidRPr="00E72418">
        <w:rPr>
          <w:rFonts w:ascii="Times New Roman" w:hAnsi="Times New Roman" w:cs="Times New Roman"/>
          <w:szCs w:val="24"/>
          <w:lang w:val="en-US"/>
        </w:rPr>
        <w:t>», in</w:t>
      </w:r>
      <w:r w:rsidRPr="00E72418">
        <w:rPr>
          <w:rFonts w:ascii="Times New Roman" w:hAnsi="Times New Roman" w:cs="Times New Roman"/>
          <w:smallCaps/>
          <w:szCs w:val="24"/>
          <w:lang w:val="en-US"/>
        </w:rPr>
        <w:t xml:space="preserve"> Esposito</w:t>
      </w:r>
      <w:r w:rsidRPr="00E72418">
        <w:rPr>
          <w:rFonts w:ascii="Times New Roman" w:hAnsi="Times New Roman" w:cs="Times New Roman"/>
          <w:szCs w:val="24"/>
          <w:lang w:val="en-US"/>
        </w:rPr>
        <w:t xml:space="preserve">, C., </w:t>
      </w:r>
      <w:r w:rsidRPr="00E72418">
        <w:rPr>
          <w:rFonts w:ascii="Times New Roman" w:hAnsi="Times New Roman" w:cs="Times New Roman"/>
          <w:smallCaps/>
          <w:szCs w:val="24"/>
          <w:lang w:val="en-US"/>
        </w:rPr>
        <w:t>Li</w:t>
      </w:r>
      <w:r w:rsidRPr="00E72418">
        <w:rPr>
          <w:rFonts w:ascii="Times New Roman" w:hAnsi="Times New Roman" w:cs="Times New Roman"/>
          <w:szCs w:val="24"/>
          <w:lang w:val="en-US"/>
        </w:rPr>
        <w:t xml:space="preserve">, Y. et </w:t>
      </w:r>
      <w:r w:rsidRPr="00E72418">
        <w:rPr>
          <w:rFonts w:ascii="Times New Roman" w:hAnsi="Times New Roman" w:cs="Times New Roman"/>
          <w:smallCaps/>
          <w:szCs w:val="24"/>
          <w:lang w:val="en-US"/>
        </w:rPr>
        <w:t>Bohoslavsky</w:t>
      </w:r>
      <w:r w:rsidR="001430E5" w:rsidRPr="00E72418">
        <w:rPr>
          <w:rFonts w:ascii="Times New Roman" w:hAnsi="Times New Roman" w:cs="Times New Roman"/>
          <w:szCs w:val="24"/>
          <w:lang w:val="en-US"/>
        </w:rPr>
        <w:t>, J. (é</w:t>
      </w:r>
      <w:r w:rsidRPr="00E72418">
        <w:rPr>
          <w:rFonts w:ascii="Times New Roman" w:hAnsi="Times New Roman" w:cs="Times New Roman"/>
          <w:szCs w:val="24"/>
          <w:lang w:val="en-US"/>
        </w:rPr>
        <w:t>d</w:t>
      </w:r>
      <w:r w:rsidR="001430E5" w:rsidRPr="00E72418">
        <w:rPr>
          <w:rFonts w:ascii="Times New Roman" w:hAnsi="Times New Roman" w:cs="Times New Roman"/>
          <w:szCs w:val="24"/>
          <w:lang w:val="en-US"/>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Sovereign Financing and International Law: The UNCTAD Principles on Responsible Sovereign Lending and Borrowing</w:t>
      </w:r>
      <w:r w:rsidRPr="00E72418">
        <w:rPr>
          <w:rFonts w:ascii="Times New Roman" w:hAnsi="Times New Roman" w:cs="Times New Roman"/>
          <w:szCs w:val="24"/>
          <w:lang w:val="en-US"/>
        </w:rPr>
        <w:t xml:space="preserve">, </w:t>
      </w:r>
      <w:r w:rsidRPr="00E72418">
        <w:rPr>
          <w:rFonts w:ascii="Times New Roman" w:hAnsi="Times New Roman" w:cs="Times New Roman"/>
          <w:szCs w:val="24"/>
          <w:lang w:val="en-US" w:eastAsia="fr-BE"/>
        </w:rPr>
        <w:t>Oxford University Press</w:t>
      </w:r>
      <w:r w:rsidRPr="00E72418">
        <w:rPr>
          <w:rFonts w:ascii="Times New Roman" w:hAnsi="Times New Roman" w:cs="Times New Roman"/>
          <w:szCs w:val="24"/>
          <w:lang w:val="en-US"/>
        </w:rPr>
        <w:t>, 2013, pp. 39-70</w:t>
      </w:r>
    </w:p>
    <w:p w14:paraId="4199112D" w14:textId="77777777" w:rsidR="00A91208" w:rsidRPr="00E72418" w:rsidRDefault="00A91208" w:rsidP="00A91208">
      <w:pPr>
        <w:pStyle w:val="Paragraphedeliste"/>
        <w:rPr>
          <w:rFonts w:ascii="Times New Roman" w:hAnsi="Times New Roman" w:cs="Times New Roman"/>
          <w:sz w:val="14"/>
          <w:szCs w:val="14"/>
        </w:rPr>
      </w:pPr>
    </w:p>
    <w:p w14:paraId="2834C9AF" w14:textId="000580C1"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 xml:space="preserve">Waibel, M., </w:t>
      </w:r>
      <w:r w:rsidRPr="00E72418">
        <w:rPr>
          <w:rFonts w:ascii="Times New Roman" w:hAnsi="Times New Roman" w:cs="Times New Roman"/>
          <w:szCs w:val="24"/>
        </w:rPr>
        <w:t xml:space="preserve">« La faillite souveraine en droit – L’État peut-il faire faillite ? », in </w:t>
      </w:r>
      <w:r w:rsidRPr="00E72418">
        <w:rPr>
          <w:rFonts w:ascii="Times New Roman" w:hAnsi="Times New Roman" w:cs="Times New Roman"/>
          <w:smallCaps/>
          <w:szCs w:val="24"/>
        </w:rPr>
        <w:t>Audit</w:t>
      </w:r>
      <w:r w:rsidRPr="00E72418">
        <w:rPr>
          <w:rFonts w:ascii="Times New Roman" w:hAnsi="Times New Roman" w:cs="Times New Roman"/>
          <w:szCs w:val="24"/>
        </w:rPr>
        <w:t>, M. (dir.),</w:t>
      </w:r>
      <w:r w:rsidRPr="00E72418">
        <w:rPr>
          <w:rFonts w:ascii="Times New Roman" w:hAnsi="Times New Roman" w:cs="Times New Roman"/>
          <w:i/>
          <w:szCs w:val="24"/>
        </w:rPr>
        <w:t xml:space="preserve"> Insolvabilité des États et dettes souveraines</w:t>
      </w:r>
      <w:r w:rsidRPr="00E72418">
        <w:rPr>
          <w:rFonts w:ascii="Times New Roman" w:hAnsi="Times New Roman" w:cs="Times New Roman"/>
          <w:szCs w:val="24"/>
        </w:rPr>
        <w:t>, L.G.D.J., 2011, pp. 41-63</w:t>
      </w:r>
    </w:p>
    <w:p w14:paraId="0C2A0C5A" w14:textId="16165D64" w:rsidR="00A91208" w:rsidRPr="00E72418" w:rsidRDefault="00A91208" w:rsidP="00D016C1">
      <w:pPr>
        <w:rPr>
          <w:rFonts w:ascii="Times New Roman" w:hAnsi="Times New Roman" w:cs="Times New Roman"/>
          <w:sz w:val="14"/>
          <w:szCs w:val="14"/>
        </w:rPr>
      </w:pPr>
    </w:p>
    <w:p w14:paraId="65AC5F87" w14:textId="14478559" w:rsidR="00F863BE" w:rsidRPr="00E72418" w:rsidRDefault="00A91208" w:rsidP="007D7D59">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Wautelet</w:t>
      </w:r>
      <w:r w:rsidRPr="00E72418">
        <w:rPr>
          <w:rFonts w:ascii="Times New Roman" w:hAnsi="Times New Roman" w:cs="Times New Roman"/>
          <w:szCs w:val="24"/>
        </w:rPr>
        <w:t xml:space="preserve">, P., </w:t>
      </w:r>
    </w:p>
    <w:p w14:paraId="38AACFEF"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EF11E8F" w14:textId="77777777" w:rsidR="007D7D59" w:rsidRPr="00E72418" w:rsidRDefault="00A91208"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La chasse aux « vautours » est ouverte – Du bon usage de la loi du 12 juillet 2015 », in</w:t>
      </w:r>
      <w:r w:rsidRPr="00E72418">
        <w:rPr>
          <w:rFonts w:ascii="Times New Roman" w:hAnsi="Times New Roman" w:cs="Times New Roman"/>
          <w:i/>
          <w:szCs w:val="24"/>
        </w:rPr>
        <w:t xml:space="preserve"> Liber amicorum Nadine Watté</w:t>
      </w:r>
      <w:r w:rsidRPr="00E72418">
        <w:rPr>
          <w:rFonts w:ascii="Times New Roman" w:hAnsi="Times New Roman" w:cs="Times New Roman"/>
          <w:szCs w:val="24"/>
        </w:rPr>
        <w:t>, Bruylant, 2017, pp. 555-594</w:t>
      </w:r>
    </w:p>
    <w:p w14:paraId="68326002"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798B25F6" w14:textId="77777777" w:rsidR="007D7D59" w:rsidRPr="00E72418" w:rsidRDefault="00D016C1"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The Greek debt restructuring and property rights – A Greek tragedy for investors? », in </w:t>
      </w:r>
      <w:r w:rsidRPr="00E72418">
        <w:rPr>
          <w:rFonts w:ascii="Times New Roman" w:hAnsi="Times New Roman" w:cs="Times New Roman"/>
          <w:i/>
          <w:szCs w:val="24"/>
        </w:rPr>
        <w:t>Liber amicorum Marc Bossuyt</w:t>
      </w:r>
      <w:r w:rsidRPr="00E72418">
        <w:rPr>
          <w:rFonts w:ascii="Times New Roman" w:hAnsi="Times New Roman" w:cs="Times New Roman"/>
          <w:szCs w:val="24"/>
        </w:rPr>
        <w:t>, Intersentia, 2013, pp. 903-928</w:t>
      </w:r>
    </w:p>
    <w:p w14:paraId="4784B8E8"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7A721506" w14:textId="73A2CC4E" w:rsidR="00A91208" w:rsidRPr="00E72418" w:rsidRDefault="00A91208" w:rsidP="007D7D59">
      <w:pPr>
        <w:pStyle w:val="Paragraphedeliste"/>
        <w:numPr>
          <w:ilvl w:val="1"/>
          <w:numId w:val="16"/>
        </w:numPr>
        <w:spacing w:after="0"/>
        <w:rPr>
          <w:rFonts w:ascii="Times New Roman" w:hAnsi="Times New Roman" w:cs="Times New Roman"/>
          <w:szCs w:val="24"/>
        </w:rPr>
      </w:pPr>
      <w:r w:rsidRPr="00E72418">
        <w:rPr>
          <w:rFonts w:ascii="Times New Roman" w:hAnsi="Times New Roman" w:cs="Times New Roman"/>
          <w:szCs w:val="24"/>
        </w:rPr>
        <w:t xml:space="preserve">« Vulture funds, creditors and sovereign debtors: how to find a balance? », in </w:t>
      </w:r>
      <w:r w:rsidRPr="00E72418">
        <w:rPr>
          <w:rFonts w:ascii="Times New Roman" w:hAnsi="Times New Roman" w:cs="Times New Roman"/>
          <w:smallCaps/>
          <w:szCs w:val="24"/>
        </w:rPr>
        <w:t>Audit</w:t>
      </w:r>
      <w:r w:rsidRPr="00E72418">
        <w:rPr>
          <w:rFonts w:ascii="Times New Roman" w:hAnsi="Times New Roman" w:cs="Times New Roman"/>
          <w:szCs w:val="24"/>
        </w:rPr>
        <w:t>, M. (dir.)</w:t>
      </w:r>
      <w:r w:rsidRPr="00E72418">
        <w:rPr>
          <w:rFonts w:ascii="Times New Roman" w:hAnsi="Times New Roman" w:cs="Times New Roman"/>
          <w:i/>
          <w:szCs w:val="24"/>
        </w:rPr>
        <w:t xml:space="preserve"> Insolvabilité des États et dettes souveraines</w:t>
      </w:r>
      <w:r w:rsidRPr="00E72418">
        <w:rPr>
          <w:rFonts w:ascii="Times New Roman" w:hAnsi="Times New Roman" w:cs="Times New Roman"/>
          <w:szCs w:val="24"/>
        </w:rPr>
        <w:t>, L.G.D.J., 2011, pp. 103-164</w:t>
      </w:r>
    </w:p>
    <w:p w14:paraId="059D70D5" w14:textId="77777777" w:rsidR="00A91208" w:rsidRPr="00E72418" w:rsidRDefault="00A91208" w:rsidP="00A91208">
      <w:pPr>
        <w:pStyle w:val="Paragraphedeliste"/>
        <w:rPr>
          <w:rFonts w:ascii="Times New Roman" w:hAnsi="Times New Roman" w:cs="Times New Roman"/>
          <w:sz w:val="14"/>
          <w:szCs w:val="14"/>
        </w:rPr>
      </w:pPr>
    </w:p>
    <w:p w14:paraId="03FE535B" w14:textId="48B9500D"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rPr>
        <w:t>Weil</w:t>
      </w:r>
      <w:r w:rsidRPr="00E72418">
        <w:rPr>
          <w:rFonts w:ascii="Times New Roman" w:hAnsi="Times New Roman" w:cs="Times New Roman"/>
          <w:szCs w:val="24"/>
        </w:rPr>
        <w:t xml:space="preserve">, P., « Problèmes relatifs aux contrats passés entre un </w:t>
      </w:r>
      <w:r w:rsidRPr="00E72418">
        <w:rPr>
          <w:rFonts w:ascii="Times New Roman" w:hAnsi="Times New Roman" w:cs="Times New Roman"/>
          <w:szCs w:val="24"/>
          <w:lang w:eastAsia="fr-BE"/>
        </w:rPr>
        <w:t>É</w:t>
      </w:r>
      <w:r w:rsidRPr="00E72418">
        <w:rPr>
          <w:rFonts w:ascii="Times New Roman" w:hAnsi="Times New Roman" w:cs="Times New Roman"/>
          <w:szCs w:val="24"/>
        </w:rPr>
        <w:t>tat et un particulier », </w:t>
      </w:r>
      <w:r w:rsidRPr="00E72418">
        <w:rPr>
          <w:rFonts w:ascii="Times New Roman" w:hAnsi="Times New Roman" w:cs="Times New Roman"/>
          <w:i/>
          <w:szCs w:val="24"/>
        </w:rPr>
        <w:t>Recueil des Cours de l’Académie de Droit International de La Haye</w:t>
      </w:r>
      <w:r w:rsidRPr="00E72418">
        <w:rPr>
          <w:rFonts w:ascii="Times New Roman" w:hAnsi="Times New Roman" w:cs="Times New Roman"/>
          <w:szCs w:val="24"/>
        </w:rPr>
        <w:t xml:space="preserve">, 1969, pp. </w:t>
      </w:r>
      <w:r w:rsidR="00223AEB" w:rsidRPr="00E72418">
        <w:rPr>
          <w:rFonts w:ascii="Times New Roman" w:hAnsi="Times New Roman" w:cs="Times New Roman"/>
          <w:szCs w:val="24"/>
        </w:rPr>
        <w:t>97</w:t>
      </w:r>
      <w:r w:rsidR="00DE764B" w:rsidRPr="00E72418">
        <w:rPr>
          <w:rFonts w:ascii="Times New Roman" w:hAnsi="Times New Roman" w:cs="Times New Roman"/>
          <w:szCs w:val="24"/>
        </w:rPr>
        <w:t>-240</w:t>
      </w:r>
    </w:p>
    <w:p w14:paraId="4ED07178" w14:textId="77777777" w:rsidR="00A91208" w:rsidRPr="00E72418" w:rsidRDefault="00A91208" w:rsidP="00A91208">
      <w:pPr>
        <w:pStyle w:val="Paragraphedeliste"/>
        <w:rPr>
          <w:rFonts w:ascii="Times New Roman" w:hAnsi="Times New Roman" w:cs="Times New Roman"/>
          <w:sz w:val="14"/>
          <w:szCs w:val="14"/>
        </w:rPr>
      </w:pPr>
    </w:p>
    <w:p w14:paraId="2D9DF744" w14:textId="77777777" w:rsidR="00A91208" w:rsidRPr="00E72418" w:rsidRDefault="00A91208" w:rsidP="008D1D70">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GB"/>
        </w:rPr>
        <w:t>Westbrook</w:t>
      </w:r>
      <w:r w:rsidRPr="00E72418">
        <w:rPr>
          <w:rFonts w:ascii="Times New Roman" w:hAnsi="Times New Roman" w:cs="Times New Roman"/>
          <w:szCs w:val="24"/>
          <w:lang w:val="en-GB"/>
        </w:rPr>
        <w:t xml:space="preserve">, J., </w:t>
      </w:r>
      <w:r w:rsidRPr="00E72418">
        <w:rPr>
          <w:rFonts w:ascii="Times New Roman" w:hAnsi="Times New Roman" w:cs="Times New Roman"/>
          <w:szCs w:val="24"/>
          <w:lang w:val="en-US"/>
        </w:rPr>
        <w:t>« Sovereign Debt and Exclusion from Insolvency Proceedings »</w:t>
      </w:r>
      <w:r w:rsidRPr="00E72418">
        <w:rPr>
          <w:rFonts w:ascii="Times New Roman" w:hAnsi="Times New Roman" w:cs="Times New Roman"/>
          <w:szCs w:val="24"/>
          <w:shd w:val="clear" w:color="auto" w:fill="FFFFFF"/>
          <w:lang w:val="en-GB"/>
        </w:rPr>
        <w:t xml:space="preserve">, in </w:t>
      </w:r>
      <w:r w:rsidRPr="00E72418">
        <w:rPr>
          <w:rFonts w:ascii="Times New Roman" w:hAnsi="Times New Roman" w:cs="Times New Roman"/>
          <w:smallCaps/>
          <w:szCs w:val="24"/>
          <w:shd w:val="clear" w:color="auto" w:fill="FFFFFF"/>
          <w:lang w:val="en-GB"/>
        </w:rPr>
        <w:t>Paulus, C. (</w:t>
      </w:r>
      <w:r w:rsidRPr="00E72418">
        <w:rPr>
          <w:rFonts w:ascii="Times New Roman" w:hAnsi="Times New Roman" w:cs="Times New Roman"/>
          <w:szCs w:val="24"/>
          <w:shd w:val="clear" w:color="auto" w:fill="FFFFFF"/>
          <w:lang w:val="en-GB"/>
        </w:rPr>
        <w:t xml:space="preserve">éd.), </w:t>
      </w:r>
      <w:r w:rsidRPr="00E72418">
        <w:rPr>
          <w:rFonts w:ascii="Times New Roman" w:hAnsi="Times New Roman" w:cs="Times New Roman"/>
          <w:i/>
          <w:szCs w:val="24"/>
          <w:lang w:val="en-US"/>
        </w:rPr>
        <w:t xml:space="preserve">A Debt Restructuring Mechanism for Sovereigns </w:t>
      </w:r>
      <w:r w:rsidRPr="00E72418">
        <w:rPr>
          <w:rFonts w:ascii="Times New Roman" w:hAnsi="Times New Roman" w:cs="Times New Roman"/>
          <w:szCs w:val="24"/>
        </w:rPr>
        <w:t xml:space="preserve">– </w:t>
      </w:r>
      <w:r w:rsidRPr="00E72418">
        <w:rPr>
          <w:rFonts w:ascii="Times New Roman" w:hAnsi="Times New Roman" w:cs="Times New Roman"/>
          <w:i/>
          <w:szCs w:val="24"/>
          <w:lang w:val="en-US"/>
        </w:rPr>
        <w:t>Do We Need a Legal Procedure?</w:t>
      </w:r>
      <w:r w:rsidRPr="00E72418">
        <w:rPr>
          <w:rFonts w:ascii="Times New Roman" w:hAnsi="Times New Roman" w:cs="Times New Roman"/>
          <w:szCs w:val="24"/>
          <w:shd w:val="clear" w:color="auto" w:fill="FFFFFF"/>
          <w:lang w:val="en-US"/>
        </w:rPr>
        <w:t>, Beck.Hart.Nomos, 2014, pp. 251-259</w:t>
      </w:r>
    </w:p>
    <w:p w14:paraId="2023AA0C" w14:textId="77777777" w:rsidR="00A91208" w:rsidRPr="00E72418" w:rsidRDefault="00A91208" w:rsidP="00A91208">
      <w:pPr>
        <w:pStyle w:val="Paragraphedeliste"/>
        <w:rPr>
          <w:rStyle w:val="Titre4Car"/>
          <w:rFonts w:ascii="Times New Roman" w:hAnsi="Times New Roman" w:cs="Times New Roman"/>
          <w:i w:val="0"/>
          <w:iCs w:val="0"/>
          <w:smallCaps/>
          <w:color w:val="auto"/>
          <w:sz w:val="14"/>
          <w:szCs w:val="14"/>
        </w:rPr>
      </w:pPr>
    </w:p>
    <w:p w14:paraId="7246539E" w14:textId="362565B5" w:rsidR="00F863BE" w:rsidRPr="00E72418" w:rsidRDefault="00A91208" w:rsidP="00F863BE">
      <w:pPr>
        <w:pStyle w:val="Paragraphedeliste"/>
        <w:numPr>
          <w:ilvl w:val="0"/>
          <w:numId w:val="16"/>
        </w:numPr>
        <w:spacing w:after="0"/>
        <w:rPr>
          <w:rStyle w:val="Titre4Car"/>
          <w:rFonts w:ascii="Times New Roman" w:eastAsiaTheme="minorHAnsi" w:hAnsi="Times New Roman" w:cs="Times New Roman"/>
          <w:iCs w:val="0"/>
          <w:color w:val="auto"/>
          <w:szCs w:val="24"/>
        </w:rPr>
      </w:pPr>
      <w:bookmarkStart w:id="532" w:name="_Toc84541050"/>
      <w:r w:rsidRPr="00E72418">
        <w:rPr>
          <w:rStyle w:val="Titre4Car"/>
          <w:rFonts w:ascii="Times New Roman" w:hAnsi="Times New Roman" w:cs="Times New Roman"/>
          <w:i w:val="0"/>
          <w:smallCaps/>
          <w:color w:val="auto"/>
          <w:szCs w:val="24"/>
        </w:rPr>
        <w:t>Wittich</w:t>
      </w:r>
      <w:r w:rsidRPr="00E72418">
        <w:rPr>
          <w:rStyle w:val="Titre4Car"/>
          <w:rFonts w:ascii="Times New Roman" w:hAnsi="Times New Roman" w:cs="Times New Roman"/>
          <w:i w:val="0"/>
          <w:color w:val="auto"/>
          <w:szCs w:val="24"/>
        </w:rPr>
        <w:t xml:space="preserve">, S., « Article 2 (1)(c) and (2) and (3) », in </w:t>
      </w:r>
      <w:r w:rsidRPr="00E72418">
        <w:rPr>
          <w:rStyle w:val="Titre4Car"/>
          <w:rFonts w:ascii="Times New Roman" w:hAnsi="Times New Roman" w:cs="Times New Roman"/>
          <w:i w:val="0"/>
          <w:smallCaps/>
          <w:color w:val="auto"/>
          <w:szCs w:val="24"/>
        </w:rPr>
        <w:t>O’Keefe</w:t>
      </w:r>
      <w:r w:rsidRPr="00E72418">
        <w:rPr>
          <w:rStyle w:val="Titre4Car"/>
          <w:rFonts w:ascii="Times New Roman" w:hAnsi="Times New Roman" w:cs="Times New Roman"/>
          <w:i w:val="0"/>
          <w:color w:val="auto"/>
          <w:szCs w:val="24"/>
        </w:rPr>
        <w:t xml:space="preserve">, R. et </w:t>
      </w:r>
      <w:r w:rsidRPr="00E72418">
        <w:rPr>
          <w:rStyle w:val="Titre4Car"/>
          <w:rFonts w:ascii="Times New Roman" w:hAnsi="Times New Roman" w:cs="Times New Roman"/>
          <w:i w:val="0"/>
          <w:smallCaps/>
          <w:color w:val="auto"/>
          <w:szCs w:val="24"/>
        </w:rPr>
        <w:t>Tams, C. (</w:t>
      </w:r>
      <w:r w:rsidRPr="00E72418">
        <w:rPr>
          <w:rStyle w:val="Titre4Car"/>
          <w:rFonts w:ascii="Times New Roman" w:hAnsi="Times New Roman" w:cs="Times New Roman"/>
          <w:i w:val="0"/>
          <w:color w:val="auto"/>
          <w:szCs w:val="24"/>
        </w:rPr>
        <w:t xml:space="preserve">éd.), </w:t>
      </w:r>
      <w:r w:rsidRPr="00E72418">
        <w:rPr>
          <w:rStyle w:val="Titre4Car"/>
          <w:rFonts w:ascii="Times New Roman" w:hAnsi="Times New Roman" w:cs="Times New Roman"/>
          <w:color w:val="auto"/>
          <w:szCs w:val="24"/>
        </w:rPr>
        <w:t>The United Nations Convention on Jurisdictional Immunities of States and Their Property</w:t>
      </w:r>
      <w:r w:rsidRPr="00E72418">
        <w:rPr>
          <w:rStyle w:val="Titre4Car"/>
          <w:rFonts w:ascii="Times New Roman" w:hAnsi="Times New Roman" w:cs="Times New Roman"/>
          <w:i w:val="0"/>
          <w:color w:val="auto"/>
          <w:szCs w:val="24"/>
        </w:rPr>
        <w:t xml:space="preserve">, Oxford University Press, 2013, pp. </w:t>
      </w:r>
      <w:bookmarkEnd w:id="532"/>
      <w:r w:rsidR="00223AEB" w:rsidRPr="00E72418">
        <w:rPr>
          <w:rStyle w:val="Titre4Car"/>
          <w:rFonts w:ascii="Times New Roman" w:hAnsi="Times New Roman" w:cs="Times New Roman"/>
          <w:i w:val="0"/>
          <w:color w:val="auto"/>
          <w:szCs w:val="24"/>
        </w:rPr>
        <w:t>54-72</w:t>
      </w:r>
    </w:p>
    <w:p w14:paraId="53BB94B7" w14:textId="553E15C9" w:rsidR="00912454" w:rsidRPr="00E72418" w:rsidRDefault="00912454" w:rsidP="00912454">
      <w:pPr>
        <w:spacing w:after="0"/>
        <w:rPr>
          <w:rFonts w:ascii="Times New Roman" w:hAnsi="Times New Roman" w:cs="Times New Roman"/>
          <w:i/>
          <w:szCs w:val="24"/>
        </w:rPr>
      </w:pPr>
    </w:p>
    <w:p w14:paraId="49D69CA1" w14:textId="77777777" w:rsidR="007D7D59" w:rsidRPr="00E72418" w:rsidRDefault="007D7D59" w:rsidP="00912454">
      <w:pPr>
        <w:spacing w:after="0"/>
        <w:rPr>
          <w:rFonts w:ascii="Times New Roman" w:hAnsi="Times New Roman" w:cs="Times New Roman"/>
          <w:i/>
          <w:szCs w:val="24"/>
        </w:rPr>
      </w:pPr>
    </w:p>
    <w:p w14:paraId="045EB4E7" w14:textId="77777777" w:rsidR="00A91208" w:rsidRPr="00E72418" w:rsidRDefault="00A91208" w:rsidP="00A91208">
      <w:pPr>
        <w:pStyle w:val="CC"/>
      </w:pPr>
      <w:bookmarkStart w:id="533" w:name="_Toc84541051"/>
      <w:r w:rsidRPr="00E72418">
        <w:t>Articles de revues</w:t>
      </w:r>
      <w:bookmarkEnd w:id="533"/>
    </w:p>
    <w:p w14:paraId="404EC1D5" w14:textId="77777777" w:rsidR="00A91208" w:rsidRPr="00E72418" w:rsidRDefault="00A91208" w:rsidP="00A91208">
      <w:pPr>
        <w:rPr>
          <w:rFonts w:ascii="Times New Roman" w:hAnsi="Times New Roman" w:cs="Times New Roman"/>
          <w:smallCaps/>
          <w:sz w:val="28"/>
          <w:szCs w:val="28"/>
        </w:rPr>
      </w:pPr>
    </w:p>
    <w:p w14:paraId="286EDFE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Ahmed</w:t>
      </w:r>
      <w:r w:rsidRPr="00E72418">
        <w:rPr>
          <w:rFonts w:ascii="Times New Roman" w:hAnsi="Times New Roman" w:cs="Times New Roman"/>
          <w:szCs w:val="24"/>
          <w:lang w:val="en-US"/>
        </w:rPr>
        <w:t xml:space="preserve">, F., </w:t>
      </w:r>
      <w:r w:rsidRPr="00E72418">
        <w:rPr>
          <w:rFonts w:ascii="Times New Roman" w:hAnsi="Times New Roman" w:cs="Times New Roman"/>
          <w:smallCaps/>
          <w:szCs w:val="24"/>
          <w:lang w:val="en-US"/>
        </w:rPr>
        <w:t>Alfaro</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Maurer</w:t>
      </w:r>
      <w:r w:rsidRPr="00E72418">
        <w:rPr>
          <w:rFonts w:ascii="Times New Roman" w:hAnsi="Times New Roman" w:cs="Times New Roman"/>
          <w:szCs w:val="24"/>
          <w:lang w:val="en-US"/>
        </w:rPr>
        <w:t xml:space="preserve">, N., « Lawsuits and Empire: on the Enforcement of Sovereign Debt in Latin America », </w:t>
      </w:r>
      <w:r w:rsidRPr="00E72418">
        <w:rPr>
          <w:rFonts w:ascii="Times New Roman" w:hAnsi="Times New Roman" w:cs="Times New Roman"/>
          <w:i/>
          <w:szCs w:val="24"/>
          <w:lang w:val="en-US"/>
        </w:rPr>
        <w:t>Law and Contemporary Problems</w:t>
      </w:r>
      <w:r w:rsidRPr="00E72418">
        <w:rPr>
          <w:rFonts w:ascii="Times New Roman" w:hAnsi="Times New Roman" w:cs="Times New Roman"/>
          <w:szCs w:val="24"/>
          <w:lang w:val="en-US"/>
        </w:rPr>
        <w:t>, 2010, pp. 39-46</w:t>
      </w:r>
    </w:p>
    <w:p w14:paraId="40903406" w14:textId="77777777" w:rsidR="00A91208" w:rsidRPr="00E72418" w:rsidRDefault="00A91208" w:rsidP="00A91208">
      <w:pPr>
        <w:pStyle w:val="Paragraphedeliste"/>
        <w:rPr>
          <w:rFonts w:ascii="Times New Roman" w:hAnsi="Times New Roman" w:cs="Times New Roman"/>
          <w:sz w:val="14"/>
          <w:szCs w:val="14"/>
          <w:lang w:val="en-GB"/>
        </w:rPr>
      </w:pPr>
    </w:p>
    <w:p w14:paraId="7728B03B"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Alfaro, L., </w:t>
      </w:r>
      <w:r w:rsidRPr="00E72418">
        <w:rPr>
          <w:rFonts w:ascii="Times New Roman" w:hAnsi="Times New Roman" w:cs="Times New Roman"/>
          <w:szCs w:val="24"/>
          <w:lang w:val="en-US"/>
        </w:rPr>
        <w:t xml:space="preserve">« Sovereign Debt Restructuring: Evaluating the Impact of the Argentina Ruling », </w:t>
      </w:r>
      <w:r w:rsidRPr="00E72418">
        <w:rPr>
          <w:rFonts w:ascii="Times New Roman" w:hAnsi="Times New Roman" w:cs="Times New Roman"/>
          <w:i/>
          <w:szCs w:val="24"/>
          <w:lang w:val="en-US"/>
        </w:rPr>
        <w:t>Harvard Business Law Review</w:t>
      </w:r>
      <w:r w:rsidRPr="00E72418">
        <w:rPr>
          <w:rFonts w:ascii="Times New Roman" w:hAnsi="Times New Roman" w:cs="Times New Roman"/>
          <w:szCs w:val="24"/>
          <w:lang w:val="en-US"/>
        </w:rPr>
        <w:t>, 2015, pp. 47-71</w:t>
      </w:r>
    </w:p>
    <w:p w14:paraId="6EFDB068" w14:textId="77777777" w:rsidR="00A91208" w:rsidRPr="00E72418" w:rsidRDefault="00A91208" w:rsidP="00A91208">
      <w:pPr>
        <w:pStyle w:val="Paragraphedeliste"/>
        <w:rPr>
          <w:rFonts w:ascii="Times New Roman" w:hAnsi="Times New Roman" w:cs="Times New Roman"/>
          <w:sz w:val="14"/>
          <w:szCs w:val="14"/>
          <w:lang w:val="en-GB"/>
        </w:rPr>
      </w:pPr>
    </w:p>
    <w:p w14:paraId="1565720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Araya</w:t>
      </w:r>
      <w:r w:rsidRPr="00E72418">
        <w:rPr>
          <w:rFonts w:ascii="Times New Roman" w:hAnsi="Times New Roman" w:cs="Times New Roman"/>
          <w:szCs w:val="24"/>
          <w:lang w:val="en-US"/>
        </w:rPr>
        <w:t xml:space="preserve">, T., « A Decade of Sovereign Debt Litigation: Lessons from the NML v Argentina Case and the Road Ahead », </w:t>
      </w:r>
      <w:r w:rsidRPr="00E72418">
        <w:rPr>
          <w:rFonts w:ascii="Times New Roman" w:hAnsi="Times New Roman" w:cs="Times New Roman"/>
          <w:i/>
          <w:szCs w:val="24"/>
          <w:lang w:val="en-US"/>
        </w:rPr>
        <w:t>Business Law International</w:t>
      </w:r>
      <w:r w:rsidRPr="00E72418">
        <w:rPr>
          <w:rFonts w:ascii="Times New Roman" w:hAnsi="Times New Roman" w:cs="Times New Roman"/>
          <w:szCs w:val="24"/>
          <w:lang w:val="en-US"/>
        </w:rPr>
        <w:t>, 2016, pp. 83-101</w:t>
      </w:r>
    </w:p>
    <w:p w14:paraId="6FD548B1" w14:textId="77777777" w:rsidR="00A91208" w:rsidRPr="00E72418" w:rsidRDefault="00A91208" w:rsidP="00A91208">
      <w:pPr>
        <w:pStyle w:val="Paragraphedeliste"/>
        <w:rPr>
          <w:rFonts w:ascii="Times New Roman" w:hAnsi="Times New Roman" w:cs="Times New Roman"/>
          <w:sz w:val="14"/>
          <w:szCs w:val="14"/>
          <w:lang w:val="en-GB"/>
        </w:rPr>
      </w:pPr>
    </w:p>
    <w:p w14:paraId="6452A4B0" w14:textId="79D73B82"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Arewa, O, </w:t>
      </w:r>
      <w:r w:rsidRPr="00E72418">
        <w:rPr>
          <w:rFonts w:ascii="Times New Roman" w:hAnsi="Times New Roman" w:cs="Times New Roman"/>
          <w:szCs w:val="24"/>
          <w:lang w:val="en-US"/>
        </w:rPr>
        <w:t xml:space="preserve">« </w:t>
      </w:r>
      <w:r w:rsidRPr="00E72418">
        <w:rPr>
          <w:rFonts w:ascii="Times New Roman" w:hAnsi="Times New Roman" w:cs="Times New Roman"/>
          <w:bCs/>
          <w:szCs w:val="24"/>
          <w:lang w:val="en-US"/>
        </w:rPr>
        <w:t xml:space="preserve">Vultures, Hyenas, and African Debt: Private Equity and Zambia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Northwestern Journal of International Law and Business</w:t>
      </w:r>
      <w:r w:rsidRPr="00E72418">
        <w:rPr>
          <w:rFonts w:ascii="Times New Roman" w:hAnsi="Times New Roman" w:cs="Times New Roman"/>
          <w:szCs w:val="24"/>
          <w:lang w:val="en-US"/>
        </w:rPr>
        <w:t>, 2009, pp. 643-674</w:t>
      </w:r>
    </w:p>
    <w:p w14:paraId="51BA2FB5" w14:textId="77777777" w:rsidR="00B929D2" w:rsidRPr="00E72418" w:rsidRDefault="00B929D2" w:rsidP="00B929D2">
      <w:pPr>
        <w:pStyle w:val="Paragraphedeliste"/>
        <w:rPr>
          <w:rFonts w:ascii="Times New Roman" w:hAnsi="Times New Roman" w:cs="Times New Roman"/>
          <w:sz w:val="14"/>
          <w:szCs w:val="14"/>
          <w:lang w:val="en-GB"/>
        </w:rPr>
      </w:pPr>
    </w:p>
    <w:p w14:paraId="5112D419" w14:textId="1EE5C7E3" w:rsidR="00B929D2" w:rsidRPr="00E72418" w:rsidRDefault="00B929D2" w:rsidP="008D1D70">
      <w:pPr>
        <w:pStyle w:val="Paragraphedeliste"/>
        <w:numPr>
          <w:ilvl w:val="0"/>
          <w:numId w:val="18"/>
        </w:numPr>
        <w:spacing w:after="0"/>
        <w:rPr>
          <w:rFonts w:ascii="Times New Roman" w:hAnsi="Times New Roman" w:cs="Times New Roman"/>
          <w:szCs w:val="24"/>
          <w:lang w:val="en-GB"/>
        </w:rPr>
      </w:pPr>
      <w:r w:rsidRPr="00E72418">
        <w:rPr>
          <w:smallCaps/>
          <w:szCs w:val="20"/>
          <w:lang w:val="en-US"/>
        </w:rPr>
        <w:t>Atkins</w:t>
      </w:r>
      <w:r w:rsidRPr="00E72418">
        <w:rPr>
          <w:szCs w:val="20"/>
          <w:lang w:val="en-US"/>
        </w:rPr>
        <w:t xml:space="preserve">, E., « Collateral Damage: An American Judge’s Innovative but Misguided Attempt to Resolve the Enforcement Problem of Sovereign Debt », </w:t>
      </w:r>
      <w:r w:rsidRPr="00E72418">
        <w:rPr>
          <w:i/>
          <w:szCs w:val="20"/>
          <w:lang w:val="en-US"/>
        </w:rPr>
        <w:t>The Georgetown Journal of Legal Ethics</w:t>
      </w:r>
      <w:r w:rsidRPr="00E72418">
        <w:rPr>
          <w:szCs w:val="20"/>
          <w:lang w:val="en-US"/>
        </w:rPr>
        <w:t>, 2015, p</w:t>
      </w:r>
      <w:r w:rsidR="00E25003" w:rsidRPr="00E72418">
        <w:rPr>
          <w:szCs w:val="20"/>
          <w:lang w:val="en-US"/>
        </w:rPr>
        <w:t>p</w:t>
      </w:r>
      <w:r w:rsidRPr="00E72418">
        <w:rPr>
          <w:szCs w:val="20"/>
          <w:lang w:val="en-US"/>
        </w:rPr>
        <w:t>. 371-391</w:t>
      </w:r>
    </w:p>
    <w:p w14:paraId="5184CD7A" w14:textId="77777777" w:rsidR="00A91208" w:rsidRPr="00E72418" w:rsidRDefault="00A91208" w:rsidP="00A91208">
      <w:pPr>
        <w:pStyle w:val="Paragraphedeliste"/>
        <w:rPr>
          <w:rFonts w:ascii="Times New Roman" w:hAnsi="Times New Roman" w:cs="Times New Roman"/>
          <w:sz w:val="14"/>
          <w:szCs w:val="14"/>
          <w:lang w:val="en-GB"/>
        </w:rPr>
      </w:pPr>
    </w:p>
    <w:p w14:paraId="4304CFDC" w14:textId="77777777" w:rsidR="00912454" w:rsidRPr="00E72418" w:rsidRDefault="00A91208" w:rsidP="00912454">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Avery</w:t>
      </w:r>
      <w:r w:rsidRPr="00E72418">
        <w:rPr>
          <w:rFonts w:ascii="Times New Roman" w:hAnsi="Times New Roman" w:cs="Times New Roman"/>
          <w:szCs w:val="24"/>
          <w:lang w:val="en-US"/>
        </w:rPr>
        <w:t xml:space="preserve">, R., « </w:t>
      </w:r>
      <w:r w:rsidRPr="00E72418">
        <w:rPr>
          <w:rFonts w:ascii="Times New Roman" w:hAnsi="Times New Roman" w:cs="Times New Roman"/>
          <w:iCs/>
          <w:szCs w:val="24"/>
          <w:lang w:val="en-US"/>
        </w:rPr>
        <w:t xml:space="preserve">Out of the Desert and to the Oasis: Legislation on Predatory Debt Investing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University of Miami International and Comparative Law Review</w:t>
      </w:r>
      <w:r w:rsidRPr="00E72418">
        <w:rPr>
          <w:rFonts w:ascii="Times New Roman" w:hAnsi="Times New Roman" w:cs="Times New Roman"/>
          <w:szCs w:val="24"/>
          <w:lang w:val="en-US"/>
        </w:rPr>
        <w:t>, 2011, pp. 267-290</w:t>
      </w:r>
    </w:p>
    <w:p w14:paraId="2AA7073C" w14:textId="001BD8C0" w:rsidR="00912454" w:rsidRPr="00E72418" w:rsidRDefault="00912454" w:rsidP="00912454">
      <w:pPr>
        <w:pStyle w:val="Paragraphedeliste"/>
        <w:rPr>
          <w:rFonts w:ascii="Times New Roman" w:eastAsia="Times New Roman" w:hAnsi="Times New Roman" w:cs="Times New Roman"/>
          <w:smallCaps/>
          <w:sz w:val="14"/>
          <w:szCs w:val="14"/>
          <w:lang w:val="en-US" w:eastAsia="fr-BE"/>
        </w:rPr>
      </w:pPr>
    </w:p>
    <w:p w14:paraId="105C77C1" w14:textId="2A596858" w:rsidR="00A91208" w:rsidRPr="00E72418" w:rsidRDefault="00A91208" w:rsidP="00912454">
      <w:pPr>
        <w:pStyle w:val="Paragraphedeliste"/>
        <w:numPr>
          <w:ilvl w:val="0"/>
          <w:numId w:val="18"/>
        </w:numPr>
        <w:spacing w:after="0"/>
        <w:rPr>
          <w:rFonts w:ascii="Times New Roman" w:hAnsi="Times New Roman" w:cs="Times New Roman"/>
          <w:szCs w:val="24"/>
          <w:lang w:val="en-GB"/>
        </w:rPr>
      </w:pPr>
      <w:r w:rsidRPr="00E72418">
        <w:rPr>
          <w:rFonts w:ascii="Times New Roman" w:eastAsia="Times New Roman" w:hAnsi="Times New Roman" w:cs="Times New Roman"/>
          <w:smallCaps/>
          <w:szCs w:val="24"/>
          <w:lang w:val="en-US" w:eastAsia="fr-BE"/>
        </w:rPr>
        <w:t xml:space="preserve">Bai, J., « </w:t>
      </w:r>
      <w:r w:rsidRPr="00E72418">
        <w:rPr>
          <w:rFonts w:ascii="Times New Roman" w:hAnsi="Times New Roman" w:cs="Times New Roman"/>
          <w:szCs w:val="24"/>
          <w:lang w:val="en-US"/>
        </w:rPr>
        <w:t xml:space="preserve">Stop Them Circling: Addressing Vulture Funds in Australian Law », </w:t>
      </w:r>
      <w:r w:rsidRPr="00E72418">
        <w:rPr>
          <w:rFonts w:ascii="Times New Roman" w:hAnsi="Times New Roman" w:cs="Times New Roman"/>
          <w:i/>
          <w:szCs w:val="24"/>
          <w:lang w:val="en-US"/>
        </w:rPr>
        <w:t>Sydney Law Review</w:t>
      </w:r>
      <w:r w:rsidRPr="00E72418">
        <w:rPr>
          <w:rFonts w:ascii="Times New Roman" w:hAnsi="Times New Roman" w:cs="Times New Roman"/>
          <w:szCs w:val="24"/>
          <w:lang w:val="en-US"/>
        </w:rPr>
        <w:t>, 2013, vol. 35, pp. 703-730</w:t>
      </w:r>
    </w:p>
    <w:p w14:paraId="3FA6F997" w14:textId="77777777" w:rsidR="00DD5686" w:rsidRPr="00E72418" w:rsidRDefault="00DD5686" w:rsidP="00DD5686">
      <w:pPr>
        <w:pStyle w:val="Paragraphedeliste"/>
        <w:rPr>
          <w:rFonts w:ascii="Times New Roman" w:hAnsi="Times New Roman" w:cs="Times New Roman"/>
          <w:sz w:val="14"/>
          <w:szCs w:val="14"/>
          <w:lang w:val="en-GB"/>
        </w:rPr>
      </w:pPr>
    </w:p>
    <w:p w14:paraId="4EC0DFE7" w14:textId="09FFFF41" w:rsidR="00DD5686" w:rsidRPr="00E72418" w:rsidRDefault="00DD5686" w:rsidP="008D1D70">
      <w:pPr>
        <w:pStyle w:val="Paragraphedeliste"/>
        <w:numPr>
          <w:ilvl w:val="0"/>
          <w:numId w:val="18"/>
        </w:numPr>
        <w:spacing w:after="0"/>
        <w:rPr>
          <w:rFonts w:ascii="Times New Roman" w:hAnsi="Times New Roman" w:cs="Times New Roman"/>
          <w:szCs w:val="24"/>
          <w:lang w:val="en-GB"/>
        </w:rPr>
      </w:pPr>
      <w:r w:rsidRPr="00E72418">
        <w:rPr>
          <w:rStyle w:val="Titre6Car"/>
          <w:rFonts w:ascii="Times" w:eastAsiaTheme="minorHAnsi" w:hAnsi="Times" w:cstheme="minorBidi"/>
          <w:smallCaps/>
          <w:color w:val="auto"/>
          <w:szCs w:val="20"/>
        </w:rPr>
        <w:t>Barbier</w:t>
      </w:r>
      <w:r w:rsidRPr="00E72418">
        <w:rPr>
          <w:rStyle w:val="Titre6Car"/>
          <w:rFonts w:ascii="Times" w:eastAsiaTheme="minorHAnsi" w:hAnsi="Times" w:cstheme="minorBidi"/>
          <w:color w:val="auto"/>
          <w:szCs w:val="20"/>
        </w:rPr>
        <w:t xml:space="preserve">, H., « Obligations et contrats – Obligations en général », </w:t>
      </w:r>
      <w:r w:rsidRPr="00E72418">
        <w:rPr>
          <w:rStyle w:val="Titre6Car"/>
          <w:rFonts w:ascii="Times" w:eastAsiaTheme="minorHAnsi" w:hAnsi="Times" w:cstheme="minorBidi"/>
          <w:i/>
          <w:color w:val="auto"/>
          <w:szCs w:val="20"/>
        </w:rPr>
        <w:t>Revue trimestrielle de droit civil</w:t>
      </w:r>
      <w:r w:rsidRPr="00E72418">
        <w:rPr>
          <w:rStyle w:val="Titre6Car"/>
          <w:rFonts w:ascii="Times" w:eastAsiaTheme="minorHAnsi" w:hAnsi="Times" w:cstheme="minorBidi"/>
          <w:color w:val="auto"/>
          <w:szCs w:val="20"/>
        </w:rPr>
        <w:t>, 2018, pp. 379-417</w:t>
      </w:r>
    </w:p>
    <w:p w14:paraId="466AE18F" w14:textId="77777777" w:rsidR="00A91208" w:rsidRPr="00E72418" w:rsidRDefault="00A91208" w:rsidP="00A91208">
      <w:pPr>
        <w:pStyle w:val="Paragraphedeliste"/>
        <w:rPr>
          <w:rFonts w:ascii="Times New Roman" w:hAnsi="Times New Roman" w:cs="Times New Roman"/>
          <w:sz w:val="14"/>
          <w:szCs w:val="14"/>
          <w:lang w:val="en-GB"/>
        </w:rPr>
      </w:pPr>
    </w:p>
    <w:p w14:paraId="0D5BF881"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Barr</w:t>
      </w:r>
      <w:r w:rsidRPr="00E72418">
        <w:rPr>
          <w:rFonts w:ascii="Times New Roman" w:hAnsi="Times New Roman" w:cs="Times New Roman"/>
          <w:szCs w:val="24"/>
          <w:lang w:val="en-US"/>
        </w:rPr>
        <w:t xml:space="preserve">, M., « The Litigation Tango of La Casa Rosada and the Vultures: The Political Realities of Sovereign Debt, Vulture Funds, and the Foreign Sovereign Immunities Act », </w:t>
      </w:r>
      <w:r w:rsidRPr="00E72418">
        <w:rPr>
          <w:rFonts w:ascii="Times New Roman" w:hAnsi="Times New Roman" w:cs="Times New Roman"/>
          <w:i/>
          <w:szCs w:val="24"/>
          <w:lang w:val="en-US"/>
        </w:rPr>
        <w:t>Santa Clara Journal of International Law</w:t>
      </w:r>
      <w:r w:rsidRPr="00E72418">
        <w:rPr>
          <w:rFonts w:ascii="Times New Roman" w:hAnsi="Times New Roman" w:cs="Times New Roman"/>
          <w:szCs w:val="24"/>
          <w:lang w:val="en-US"/>
        </w:rPr>
        <w:t>, 2016, pp. 567-595</w:t>
      </w:r>
    </w:p>
    <w:p w14:paraId="1C592044" w14:textId="77777777" w:rsidR="00A91208" w:rsidRPr="00E72418" w:rsidRDefault="00A91208" w:rsidP="00A91208">
      <w:pPr>
        <w:pStyle w:val="Paragraphedeliste"/>
        <w:rPr>
          <w:rFonts w:ascii="Times New Roman" w:hAnsi="Times New Roman" w:cs="Times New Roman"/>
          <w:sz w:val="14"/>
          <w:szCs w:val="14"/>
          <w:lang w:val="en-GB"/>
        </w:rPr>
      </w:pPr>
    </w:p>
    <w:p w14:paraId="22379B69" w14:textId="15E8CB58"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 xml:space="preserve">Belle, A., </w:t>
      </w:r>
      <w:r w:rsidRPr="00E72418">
        <w:rPr>
          <w:rFonts w:ascii="Times New Roman" w:hAnsi="Times New Roman" w:cs="Times New Roman"/>
          <w:szCs w:val="24"/>
        </w:rPr>
        <w:t>« La loi belge anti-fonds vautours au sein du droit international sur la dette souveraine</w:t>
      </w:r>
      <w:r w:rsidR="00E25003" w:rsidRPr="00E72418">
        <w:rPr>
          <w:rFonts w:ascii="Times New Roman" w:hAnsi="Times New Roman" w:cs="Times New Roman"/>
          <w:szCs w:val="24"/>
        </w:rPr>
        <w:t xml:space="preserve"> </w:t>
      </w:r>
      <w:r w:rsidRPr="00E72418">
        <w:rPr>
          <w:rFonts w:ascii="Times New Roman" w:hAnsi="Times New Roman" w:cs="Times New Roman"/>
          <w:szCs w:val="24"/>
        </w:rPr>
        <w:t xml:space="preserve">: le droit national comme outil de signalement et de gestion de risques de défaut », </w:t>
      </w:r>
      <w:r w:rsidRPr="00E72418">
        <w:rPr>
          <w:rFonts w:ascii="Times New Roman" w:hAnsi="Times New Roman" w:cs="Times New Roman"/>
          <w:i/>
          <w:szCs w:val="24"/>
        </w:rPr>
        <w:t>Revue belge de droit international</w:t>
      </w:r>
      <w:r w:rsidRPr="00E72418">
        <w:rPr>
          <w:rFonts w:ascii="Times New Roman" w:hAnsi="Times New Roman" w:cs="Times New Roman"/>
          <w:szCs w:val="24"/>
        </w:rPr>
        <w:t>, 2018, pp. 168-199</w:t>
      </w:r>
    </w:p>
    <w:p w14:paraId="4A51C24B" w14:textId="77777777" w:rsidR="00A91208" w:rsidRPr="00E72418" w:rsidRDefault="00A91208" w:rsidP="00A91208">
      <w:pPr>
        <w:pStyle w:val="Paragraphedeliste"/>
        <w:rPr>
          <w:rFonts w:ascii="Times New Roman" w:hAnsi="Times New Roman" w:cs="Times New Roman"/>
          <w:sz w:val="14"/>
          <w:szCs w:val="14"/>
          <w:lang w:val="en-GB"/>
        </w:rPr>
      </w:pPr>
    </w:p>
    <w:p w14:paraId="3D978519"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Beneze</w:t>
      </w:r>
      <w:r w:rsidRPr="00E72418">
        <w:rPr>
          <w:rFonts w:ascii="Times New Roman" w:hAnsi="Times New Roman" w:cs="Times New Roman"/>
          <w:szCs w:val="24"/>
          <w:lang w:val="en-US"/>
        </w:rPr>
        <w:t xml:space="preserve">, E., « Stopping the Circling Vultures: Restructuring a Solution to Sovereign Debt Profiteering », </w:t>
      </w:r>
      <w:r w:rsidRPr="00E72418">
        <w:rPr>
          <w:rFonts w:ascii="Times New Roman" w:hAnsi="Times New Roman" w:cs="Times New Roman"/>
          <w:i/>
          <w:szCs w:val="24"/>
          <w:lang w:val="en-US"/>
        </w:rPr>
        <w:t>Vanderbilt Journal of Transnational Law</w:t>
      </w:r>
      <w:r w:rsidRPr="00E72418">
        <w:rPr>
          <w:rFonts w:ascii="Times New Roman" w:hAnsi="Times New Roman" w:cs="Times New Roman"/>
          <w:szCs w:val="24"/>
          <w:lang w:val="en-US"/>
        </w:rPr>
        <w:t>, 2016, pp. 245-273</w:t>
      </w:r>
    </w:p>
    <w:p w14:paraId="78D9DF5A" w14:textId="77777777" w:rsidR="00A91208" w:rsidRPr="00E72418" w:rsidRDefault="00A91208" w:rsidP="00A91208">
      <w:pPr>
        <w:pStyle w:val="Paragraphedeliste"/>
        <w:rPr>
          <w:rFonts w:ascii="Times New Roman" w:hAnsi="Times New Roman" w:cs="Times New Roman"/>
          <w:sz w:val="14"/>
          <w:szCs w:val="14"/>
          <w:lang w:val="en-GB"/>
        </w:rPr>
      </w:pPr>
    </w:p>
    <w:p w14:paraId="526FE8DB" w14:textId="77777777" w:rsidR="009F119C" w:rsidRPr="009F119C" w:rsidRDefault="00A91208" w:rsidP="009F119C">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Berends, A., </w:t>
      </w:r>
      <w:r w:rsidRPr="00E72418">
        <w:rPr>
          <w:rFonts w:ascii="Times New Roman" w:hAnsi="Times New Roman" w:cs="Times New Roman"/>
          <w:szCs w:val="24"/>
          <w:lang w:val="en-US"/>
        </w:rPr>
        <w:t xml:space="preserve">« Why overriding mandatory provisions that protect financial stability deserve special treatment », </w:t>
      </w:r>
      <w:r w:rsidRPr="00E72418">
        <w:rPr>
          <w:rFonts w:ascii="Times New Roman" w:hAnsi="Times New Roman" w:cs="Times New Roman"/>
          <w:i/>
          <w:iCs/>
          <w:szCs w:val="24"/>
          <w:lang w:val="en-US"/>
        </w:rPr>
        <w:t>Netherlands International Law Review</w:t>
      </w:r>
      <w:r w:rsidRPr="00E72418">
        <w:rPr>
          <w:rFonts w:ascii="Times New Roman" w:hAnsi="Times New Roman" w:cs="Times New Roman"/>
          <w:iCs/>
          <w:szCs w:val="24"/>
          <w:lang w:val="en-US"/>
        </w:rPr>
        <w:t>, 2014, pp. 69-106</w:t>
      </w:r>
    </w:p>
    <w:p w14:paraId="2A44E889" w14:textId="77777777" w:rsidR="009F119C" w:rsidRPr="009F119C" w:rsidRDefault="009F119C" w:rsidP="009F119C">
      <w:pPr>
        <w:pStyle w:val="Paragraphedeliste"/>
        <w:rPr>
          <w:smallCaps/>
          <w:sz w:val="14"/>
          <w:szCs w:val="14"/>
        </w:rPr>
      </w:pPr>
    </w:p>
    <w:p w14:paraId="00EC20AB" w14:textId="5EC8A8DC" w:rsidR="00A91208" w:rsidRPr="009F119C" w:rsidRDefault="009F119C" w:rsidP="009F119C">
      <w:pPr>
        <w:pStyle w:val="Paragraphedeliste"/>
        <w:numPr>
          <w:ilvl w:val="0"/>
          <w:numId w:val="18"/>
        </w:numPr>
        <w:spacing w:after="0"/>
        <w:rPr>
          <w:rFonts w:ascii="Times New Roman" w:hAnsi="Times New Roman" w:cs="Times New Roman"/>
          <w:szCs w:val="24"/>
          <w:lang w:val="en-GB"/>
        </w:rPr>
      </w:pPr>
      <w:r w:rsidRPr="009F119C">
        <w:rPr>
          <w:smallCaps/>
        </w:rPr>
        <w:t>Bermann</w:t>
      </w:r>
      <w:r>
        <w:t xml:space="preserve">, G., « Understanding ICSID Article 54 », </w:t>
      </w:r>
      <w:r w:rsidRPr="009F119C">
        <w:rPr>
          <w:i/>
        </w:rPr>
        <w:t>ICSID Rev</w:t>
      </w:r>
      <w:r>
        <w:rPr>
          <w:i/>
        </w:rPr>
        <w:t>iew</w:t>
      </w:r>
      <w:r>
        <w:t>, 2020, pp. 311-344</w:t>
      </w:r>
    </w:p>
    <w:p w14:paraId="39CA5474" w14:textId="77777777" w:rsidR="009F119C" w:rsidRPr="009F119C" w:rsidRDefault="009F119C" w:rsidP="009F119C">
      <w:pPr>
        <w:pStyle w:val="Paragraphedeliste"/>
        <w:spacing w:after="0"/>
        <w:rPr>
          <w:rFonts w:ascii="Times New Roman" w:hAnsi="Times New Roman" w:cs="Times New Roman"/>
          <w:sz w:val="14"/>
          <w:szCs w:val="14"/>
          <w:lang w:val="en-GB"/>
        </w:rPr>
      </w:pPr>
    </w:p>
    <w:p w14:paraId="2FC4BA81" w14:textId="48171D42" w:rsidR="00FB3C94" w:rsidRPr="00E72418" w:rsidRDefault="00A91208" w:rsidP="007D7D59">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 xml:space="preserve">Bismuth, R., </w:t>
      </w:r>
    </w:p>
    <w:p w14:paraId="0E4D6C3C"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459F08AB" w14:textId="77777777" w:rsidR="007D7D59" w:rsidRPr="00E72418" w:rsidRDefault="00A91208"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 </w:t>
      </w:r>
      <w:r w:rsidRPr="00E72418">
        <w:rPr>
          <w:rFonts w:ascii="Times New Roman" w:hAnsi="Times New Roman" w:cs="Times New Roman"/>
          <w:szCs w:val="24"/>
        </w:rPr>
        <w:t xml:space="preserve">L’immunité d’exécution après la loi Sapin 2 », </w:t>
      </w:r>
      <w:r w:rsidR="00E32F89" w:rsidRPr="00E72418">
        <w:rPr>
          <w:rFonts w:ascii="Times New Roman" w:hAnsi="Times New Roman" w:cs="Times New Roman"/>
          <w:i/>
          <w:szCs w:val="24"/>
        </w:rPr>
        <w:t>Journal du</w:t>
      </w:r>
      <w:r w:rsidRPr="00E72418">
        <w:rPr>
          <w:rFonts w:ascii="Times New Roman" w:hAnsi="Times New Roman" w:cs="Times New Roman"/>
          <w:i/>
          <w:szCs w:val="24"/>
        </w:rPr>
        <w:t xml:space="preserve"> droit international</w:t>
      </w:r>
      <w:r w:rsidRPr="00E72418">
        <w:rPr>
          <w:rFonts w:ascii="Times New Roman" w:hAnsi="Times New Roman" w:cs="Times New Roman"/>
          <w:szCs w:val="24"/>
        </w:rPr>
        <w:t>, 2018, pp. 445-469</w:t>
      </w:r>
    </w:p>
    <w:p w14:paraId="57066954"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5444567F" w14:textId="765286B3" w:rsidR="00A91208" w:rsidRPr="00E72418" w:rsidRDefault="00A91208"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rPr>
        <w:t xml:space="preserve">« L’émergence d’un “ordre public de la dette souveraine” pour et par le contrat d’emprunt souverain ? Quelques réflexions inspirées par une actualité très mouvementée », </w:t>
      </w:r>
      <w:r w:rsidRPr="00E72418">
        <w:rPr>
          <w:rStyle w:val="Accentuation"/>
          <w:rFonts w:ascii="Times New Roman" w:hAnsi="Times New Roman" w:cs="Times New Roman"/>
          <w:szCs w:val="24"/>
          <w:shd w:val="clear" w:color="auto" w:fill="FFFFFF"/>
        </w:rPr>
        <w:t>Annuaire français de droit international</w:t>
      </w:r>
      <w:r w:rsidRPr="00E72418">
        <w:rPr>
          <w:rFonts w:ascii="Times New Roman" w:hAnsi="Times New Roman" w:cs="Times New Roman"/>
          <w:szCs w:val="24"/>
        </w:rPr>
        <w:t>, 2012, pp. 489-513</w:t>
      </w:r>
    </w:p>
    <w:p w14:paraId="5CB72DD6" w14:textId="77777777" w:rsidR="00A91208" w:rsidRPr="00E72418" w:rsidRDefault="00A91208" w:rsidP="00A91208">
      <w:pPr>
        <w:pStyle w:val="Paragraphedeliste"/>
        <w:rPr>
          <w:rFonts w:ascii="Times New Roman" w:hAnsi="Times New Roman" w:cs="Times New Roman"/>
          <w:sz w:val="14"/>
          <w:szCs w:val="14"/>
          <w:lang w:val="en-GB"/>
        </w:rPr>
      </w:pPr>
    </w:p>
    <w:p w14:paraId="7A665390" w14:textId="0027C521"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Blackman</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Mukhi</w:t>
      </w:r>
      <w:r w:rsidRPr="00E72418">
        <w:rPr>
          <w:rFonts w:ascii="Times New Roman" w:hAnsi="Times New Roman" w:cs="Times New Roman"/>
          <w:szCs w:val="24"/>
          <w:lang w:val="en-US"/>
        </w:rPr>
        <w:t>, R., « The Evolution of Modern Sovereign D</w:t>
      </w:r>
      <w:r w:rsidRPr="00E72418">
        <w:rPr>
          <w:rFonts w:ascii="Times New Roman" w:hAnsi="Times New Roman" w:cs="Times New Roman"/>
          <w:szCs w:val="24"/>
          <w:lang w:val="en-GB"/>
        </w:rPr>
        <w:t xml:space="preserve">ebt Litigation: Vultures, Alter Egos, and Other Legal Fauna », </w:t>
      </w:r>
      <w:r w:rsidR="001C3DE2" w:rsidRPr="00E72418">
        <w:rPr>
          <w:rFonts w:ascii="Times New Roman" w:hAnsi="Times New Roman" w:cs="Times New Roman"/>
          <w:i/>
          <w:szCs w:val="24"/>
          <w:lang w:val="en-GB"/>
        </w:rPr>
        <w:t>Law and Contemporary P</w:t>
      </w:r>
      <w:r w:rsidRPr="00E72418">
        <w:rPr>
          <w:rFonts w:ascii="Times New Roman" w:hAnsi="Times New Roman" w:cs="Times New Roman"/>
          <w:i/>
          <w:szCs w:val="24"/>
          <w:lang w:val="en-GB"/>
        </w:rPr>
        <w:t>roblems</w:t>
      </w:r>
      <w:r w:rsidRPr="00E72418">
        <w:rPr>
          <w:rFonts w:ascii="Times New Roman" w:hAnsi="Times New Roman" w:cs="Times New Roman"/>
          <w:szCs w:val="24"/>
          <w:lang w:val="en-GB"/>
        </w:rPr>
        <w:t>, 2010, pp. 47-61</w:t>
      </w:r>
    </w:p>
    <w:p w14:paraId="42A0BFF0" w14:textId="77777777" w:rsidR="00A91208" w:rsidRPr="00E72418" w:rsidRDefault="00A91208" w:rsidP="00A91208">
      <w:pPr>
        <w:pStyle w:val="Paragraphedeliste"/>
        <w:rPr>
          <w:rFonts w:ascii="Times New Roman" w:hAnsi="Times New Roman" w:cs="Times New Roman"/>
          <w:sz w:val="14"/>
          <w:szCs w:val="14"/>
          <w:lang w:val="en-GB"/>
        </w:rPr>
      </w:pPr>
    </w:p>
    <w:p w14:paraId="2BF02125"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Blom</w:t>
      </w:r>
      <w:r w:rsidRPr="00E72418">
        <w:rPr>
          <w:rFonts w:ascii="Times New Roman" w:hAnsi="Times New Roman" w:cs="Times New Roman"/>
          <w:szCs w:val="24"/>
        </w:rPr>
        <w:t xml:space="preserve">, J., « The Institute of International Finance: From Poacher to Gamekeeper? », </w:t>
      </w:r>
      <w:r w:rsidRPr="00E72418">
        <w:rPr>
          <w:rFonts w:ascii="Times New Roman" w:hAnsi="Times New Roman" w:cs="Times New Roman"/>
          <w:i/>
          <w:szCs w:val="24"/>
        </w:rPr>
        <w:t>Business and Politics</w:t>
      </w:r>
      <w:r w:rsidRPr="00E72418">
        <w:rPr>
          <w:rFonts w:ascii="Times New Roman" w:hAnsi="Times New Roman" w:cs="Times New Roman"/>
          <w:szCs w:val="24"/>
        </w:rPr>
        <w:t>, 2021, pp. 153-178</w:t>
      </w:r>
    </w:p>
    <w:p w14:paraId="363462CE" w14:textId="77777777" w:rsidR="00A91208" w:rsidRPr="00E72418" w:rsidRDefault="00A91208" w:rsidP="00A91208">
      <w:pPr>
        <w:pStyle w:val="Paragraphedeliste"/>
        <w:rPr>
          <w:rFonts w:ascii="Times New Roman" w:hAnsi="Times New Roman" w:cs="Times New Roman"/>
          <w:sz w:val="14"/>
          <w:szCs w:val="14"/>
          <w:lang w:val="en-GB"/>
        </w:rPr>
      </w:pPr>
    </w:p>
    <w:p w14:paraId="12BF54E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Boggio</w:t>
      </w:r>
      <w:r w:rsidRPr="00E72418">
        <w:rPr>
          <w:rFonts w:ascii="Times New Roman" w:hAnsi="Times New Roman" w:cs="Times New Roman"/>
          <w:szCs w:val="24"/>
          <w:lang w:val="en-US"/>
        </w:rPr>
        <w:t xml:space="preserve">, L., « Investors and Sovereign Debt Restructurings: The Protection of Financial Property before International Courts and Arbitrators », </w:t>
      </w:r>
      <w:r w:rsidRPr="00E72418">
        <w:rPr>
          <w:rFonts w:ascii="Times New Roman" w:hAnsi="Times New Roman" w:cs="Times New Roman"/>
          <w:i/>
          <w:iCs/>
          <w:szCs w:val="24"/>
          <w:lang w:val="en-US"/>
        </w:rPr>
        <w:t>Manchester Journal of International Economic Law</w:t>
      </w:r>
      <w:r w:rsidRPr="00E72418">
        <w:rPr>
          <w:rFonts w:ascii="Times New Roman" w:hAnsi="Times New Roman" w:cs="Times New Roman"/>
          <w:szCs w:val="24"/>
          <w:lang w:val="en-US"/>
        </w:rPr>
        <w:t>, 2018, pp. 143-166</w:t>
      </w:r>
    </w:p>
    <w:p w14:paraId="5129C4A4" w14:textId="77777777" w:rsidR="00A91208" w:rsidRPr="00E72418" w:rsidRDefault="00A91208" w:rsidP="00A91208">
      <w:pPr>
        <w:pStyle w:val="Paragraphedeliste"/>
        <w:rPr>
          <w:rFonts w:ascii="Times New Roman" w:hAnsi="Times New Roman" w:cs="Times New Roman"/>
          <w:sz w:val="14"/>
          <w:szCs w:val="14"/>
          <w:lang w:val="en-GB"/>
        </w:rPr>
      </w:pPr>
    </w:p>
    <w:p w14:paraId="4A69986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lastRenderedPageBreak/>
        <w:t xml:space="preserve">Bohoslavsky, J. </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Goldmann, M., « </w:t>
      </w:r>
      <w:r w:rsidRPr="00E72418">
        <w:rPr>
          <w:rFonts w:ascii="Times New Roman" w:hAnsi="Times New Roman" w:cs="Times New Roman"/>
          <w:szCs w:val="24"/>
          <w:lang w:val="en-US"/>
        </w:rPr>
        <w:t xml:space="preserve">An Incremental Approach to Sovereign Debt Restructuring: Sovereign Debt Sustainability as a Principle of Public International Law », </w:t>
      </w:r>
      <w:r w:rsidRPr="00E72418">
        <w:rPr>
          <w:rFonts w:ascii="Times New Roman" w:hAnsi="Times New Roman" w:cs="Times New Roman"/>
          <w:i/>
          <w:szCs w:val="24"/>
          <w:lang w:val="en-US"/>
        </w:rPr>
        <w:t>The Yale Journal of International Law</w:t>
      </w:r>
      <w:r w:rsidRPr="00E72418">
        <w:rPr>
          <w:rFonts w:ascii="Times New Roman" w:hAnsi="Times New Roman" w:cs="Times New Roman"/>
          <w:szCs w:val="24"/>
          <w:lang w:val="en-US"/>
        </w:rPr>
        <w:t>, 2016, pp. 13-42</w:t>
      </w:r>
    </w:p>
    <w:p w14:paraId="50096710" w14:textId="77777777" w:rsidR="00A91208" w:rsidRPr="00E72418" w:rsidRDefault="00A91208" w:rsidP="00A91208">
      <w:pPr>
        <w:pStyle w:val="Paragraphedeliste"/>
        <w:rPr>
          <w:rFonts w:ascii="Times New Roman" w:hAnsi="Times New Roman" w:cs="Times New Roman"/>
          <w:sz w:val="14"/>
          <w:szCs w:val="14"/>
          <w:lang w:val="en-GB"/>
        </w:rPr>
      </w:pPr>
    </w:p>
    <w:p w14:paraId="13C3A602"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 xml:space="preserve">Bollée, S., </w:t>
      </w:r>
      <w:r w:rsidRPr="00E72418">
        <w:rPr>
          <w:rFonts w:ascii="Times New Roman" w:hAnsi="Times New Roman" w:cs="Times New Roman"/>
          <w:szCs w:val="24"/>
        </w:rPr>
        <w:t xml:space="preserve">« Les dispositions de la loi Sapin 2 relatives à l’immunité d’exécution », </w:t>
      </w:r>
      <w:r w:rsidRPr="00E72418">
        <w:rPr>
          <w:rFonts w:ascii="Times New Roman" w:hAnsi="Times New Roman" w:cs="Times New Roman"/>
          <w:i/>
          <w:szCs w:val="24"/>
        </w:rPr>
        <w:t>Recueil Dalloz,</w:t>
      </w:r>
      <w:r w:rsidRPr="00E72418">
        <w:rPr>
          <w:rFonts w:ascii="Times New Roman" w:hAnsi="Times New Roman" w:cs="Times New Roman"/>
          <w:szCs w:val="24"/>
        </w:rPr>
        <w:t xml:space="preserve"> 2016, p. 2560</w:t>
      </w:r>
    </w:p>
    <w:p w14:paraId="53C4625B" w14:textId="77777777" w:rsidR="00A91208" w:rsidRPr="00E72418" w:rsidRDefault="00A91208" w:rsidP="00A91208">
      <w:pPr>
        <w:pStyle w:val="Paragraphedeliste"/>
        <w:rPr>
          <w:rFonts w:ascii="Times New Roman" w:hAnsi="Times New Roman" w:cs="Times New Roman"/>
          <w:sz w:val="14"/>
          <w:szCs w:val="14"/>
          <w:lang w:val="en-GB"/>
        </w:rPr>
      </w:pPr>
    </w:p>
    <w:p w14:paraId="2FFE2FC6" w14:textId="3C635A3F" w:rsidR="00A91208" w:rsidRPr="00E72418" w:rsidRDefault="006A67A3"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Bonafe</w:t>
      </w:r>
      <w:r w:rsidR="00A91208" w:rsidRPr="00E72418">
        <w:rPr>
          <w:rFonts w:ascii="Times New Roman" w:hAnsi="Times New Roman" w:cs="Times New Roman"/>
          <w:smallCaps/>
          <w:szCs w:val="24"/>
          <w:lang w:val="en-US"/>
        </w:rPr>
        <w:t xml:space="preserve">, B., </w:t>
      </w:r>
      <w:r w:rsidR="00A91208" w:rsidRPr="00E72418">
        <w:rPr>
          <w:rFonts w:ascii="Times New Roman" w:hAnsi="Times New Roman" w:cs="Times New Roman"/>
          <w:szCs w:val="24"/>
          <w:lang w:val="en-US"/>
        </w:rPr>
        <w:t xml:space="preserve">« State Immunity and the Protection of Private Investors: The </w:t>
      </w:r>
      <w:r w:rsidR="00A91208" w:rsidRPr="00E72418">
        <w:rPr>
          <w:rFonts w:ascii="Times New Roman" w:hAnsi="Times New Roman" w:cs="Times New Roman"/>
          <w:i/>
          <w:szCs w:val="24"/>
          <w:lang w:val="en-US"/>
        </w:rPr>
        <w:t>Argentine Bonds</w:t>
      </w:r>
      <w:r w:rsidR="00A91208" w:rsidRPr="00E72418">
        <w:rPr>
          <w:rFonts w:ascii="Times New Roman" w:hAnsi="Times New Roman" w:cs="Times New Roman"/>
          <w:szCs w:val="24"/>
          <w:lang w:val="en-US"/>
        </w:rPr>
        <w:t xml:space="preserve"> Case before Italian Courts », </w:t>
      </w:r>
      <w:r w:rsidR="00A91208" w:rsidRPr="00E72418">
        <w:rPr>
          <w:rFonts w:ascii="Times New Roman" w:hAnsi="Times New Roman" w:cs="Times New Roman"/>
          <w:i/>
          <w:szCs w:val="24"/>
          <w:lang w:val="en-US"/>
        </w:rPr>
        <w:t>Italian Yearbook of International Law</w:t>
      </w:r>
      <w:r w:rsidR="00A91208" w:rsidRPr="00E72418">
        <w:rPr>
          <w:rFonts w:ascii="Times New Roman" w:hAnsi="Times New Roman" w:cs="Times New Roman"/>
          <w:szCs w:val="24"/>
          <w:lang w:val="en-US"/>
        </w:rPr>
        <w:t>, 2006, pp. 165-186</w:t>
      </w:r>
    </w:p>
    <w:p w14:paraId="457B9C4A" w14:textId="77777777" w:rsidR="00A91208" w:rsidRPr="00E72418" w:rsidRDefault="00A91208" w:rsidP="00A91208">
      <w:pPr>
        <w:pStyle w:val="Paragraphedeliste"/>
        <w:rPr>
          <w:rFonts w:ascii="Times New Roman" w:hAnsi="Times New Roman" w:cs="Times New Roman"/>
          <w:sz w:val="14"/>
          <w:szCs w:val="14"/>
          <w:lang w:val="en-GB"/>
        </w:rPr>
      </w:pPr>
    </w:p>
    <w:p w14:paraId="3227A929" w14:textId="1DCB5A6D"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Bosco, D., « </w:t>
      </w:r>
      <w:r w:rsidRPr="00E72418">
        <w:rPr>
          <w:rFonts w:ascii="Times New Roman" w:hAnsi="Times New Roman" w:cs="Times New Roman"/>
          <w:szCs w:val="24"/>
          <w:lang w:val="en-US"/>
        </w:rPr>
        <w:t xml:space="preserve">The Debt Frenzy », </w:t>
      </w:r>
      <w:r w:rsidRPr="00E72418">
        <w:rPr>
          <w:rFonts w:ascii="Times New Roman" w:hAnsi="Times New Roman" w:cs="Times New Roman"/>
          <w:i/>
          <w:szCs w:val="24"/>
          <w:lang w:val="en-US"/>
        </w:rPr>
        <w:t>Foreign Policy</w:t>
      </w:r>
      <w:r w:rsidRPr="00E72418">
        <w:rPr>
          <w:rFonts w:ascii="Times New Roman" w:hAnsi="Times New Roman" w:cs="Times New Roman"/>
          <w:szCs w:val="24"/>
          <w:lang w:val="en-US"/>
        </w:rPr>
        <w:t>, 2007, pp. 36-42</w:t>
      </w:r>
    </w:p>
    <w:p w14:paraId="43D33AD3" w14:textId="77777777" w:rsidR="00EA18EC" w:rsidRPr="00E72418" w:rsidRDefault="00EA18EC" w:rsidP="00EA18EC">
      <w:pPr>
        <w:pStyle w:val="Paragraphedeliste"/>
        <w:rPr>
          <w:rFonts w:ascii="Times New Roman" w:hAnsi="Times New Roman" w:cs="Times New Roman"/>
          <w:sz w:val="14"/>
          <w:szCs w:val="14"/>
          <w:lang w:val="en-GB"/>
        </w:rPr>
      </w:pPr>
    </w:p>
    <w:p w14:paraId="1D58BBC0" w14:textId="237DA613" w:rsidR="00EA18EC" w:rsidRPr="00E72418" w:rsidRDefault="00EA18EC" w:rsidP="008D1D70">
      <w:pPr>
        <w:pStyle w:val="Paragraphedeliste"/>
        <w:numPr>
          <w:ilvl w:val="0"/>
          <w:numId w:val="18"/>
        </w:numPr>
        <w:spacing w:after="0"/>
        <w:rPr>
          <w:rFonts w:ascii="Times New Roman" w:hAnsi="Times New Roman" w:cs="Times New Roman"/>
          <w:szCs w:val="24"/>
          <w:lang w:val="en-GB"/>
        </w:rPr>
      </w:pPr>
      <w:r w:rsidRPr="00E72418">
        <w:rPr>
          <w:rFonts w:cs="Times New Roman"/>
          <w:smallCaps/>
          <w:szCs w:val="24"/>
          <w:lang w:val="en-US"/>
        </w:rPr>
        <w:t xml:space="preserve">Boudet, J.-F., « </w:t>
      </w:r>
      <w:r w:rsidRPr="00E72418">
        <w:rPr>
          <w:rFonts w:cs="Times New Roman"/>
          <w:szCs w:val="24"/>
          <w:lang w:val="en-US"/>
        </w:rPr>
        <w:t xml:space="preserve">Essai sur le défaut souverain </w:t>
      </w:r>
      <w:r w:rsidRPr="00E72418">
        <w:rPr>
          <w:szCs w:val="24"/>
          <w:lang w:val="en-US"/>
        </w:rPr>
        <w:t xml:space="preserve">», </w:t>
      </w:r>
      <w:r w:rsidRPr="00E72418">
        <w:rPr>
          <w:i/>
          <w:szCs w:val="24"/>
          <w:lang w:val="en-US"/>
        </w:rPr>
        <w:t>Revue internationale de droit économique</w:t>
      </w:r>
      <w:r w:rsidRPr="00E72418">
        <w:rPr>
          <w:szCs w:val="24"/>
          <w:lang w:val="en-US"/>
        </w:rPr>
        <w:t>, 2015, pp. 373-395</w:t>
      </w:r>
    </w:p>
    <w:p w14:paraId="36916169" w14:textId="77777777" w:rsidR="00A91208" w:rsidRPr="00E72418" w:rsidRDefault="00A91208" w:rsidP="00A91208">
      <w:pPr>
        <w:pStyle w:val="Paragraphedeliste"/>
        <w:rPr>
          <w:rFonts w:ascii="Times New Roman" w:hAnsi="Times New Roman" w:cs="Times New Roman"/>
          <w:sz w:val="14"/>
          <w:szCs w:val="14"/>
          <w:lang w:val="en-GB"/>
        </w:rPr>
      </w:pPr>
    </w:p>
    <w:p w14:paraId="0252D8FB"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Bradley</w:t>
      </w:r>
      <w:r w:rsidRPr="00E72418">
        <w:rPr>
          <w:rFonts w:ascii="Times New Roman" w:hAnsi="Times New Roman" w:cs="Times New Roman"/>
          <w:szCs w:val="24"/>
          <w:lang w:val="en-US"/>
        </w:rPr>
        <w:t xml:space="preserve">, M., </w:t>
      </w:r>
      <w:r w:rsidRPr="00E72418">
        <w:rPr>
          <w:rFonts w:ascii="Times New Roman" w:hAnsi="Times New Roman" w:cs="Times New Roman"/>
          <w:smallCaps/>
          <w:szCs w:val="24"/>
          <w:lang w:val="en-US"/>
        </w:rPr>
        <w:t>Cox</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 The Market Reaction to Legal Shocks and Their Antidotes: Lessons from the Sovereign Debt Market », </w:t>
      </w:r>
      <w:r w:rsidRPr="00E72418">
        <w:rPr>
          <w:rFonts w:ascii="Times New Roman" w:hAnsi="Times New Roman" w:cs="Times New Roman"/>
          <w:i/>
          <w:szCs w:val="24"/>
          <w:lang w:val="en-US"/>
        </w:rPr>
        <w:t>The Journal of Legal Studies</w:t>
      </w:r>
      <w:r w:rsidRPr="00E72418">
        <w:rPr>
          <w:rFonts w:ascii="Times New Roman" w:hAnsi="Times New Roman" w:cs="Times New Roman"/>
          <w:szCs w:val="24"/>
          <w:lang w:val="en-US"/>
        </w:rPr>
        <w:t>, 2010, pp. 289-324</w:t>
      </w:r>
    </w:p>
    <w:p w14:paraId="3F5AD4DF" w14:textId="77777777" w:rsidR="00A91208" w:rsidRPr="00E72418" w:rsidRDefault="00A91208" w:rsidP="00A91208">
      <w:pPr>
        <w:pStyle w:val="Paragraphedeliste"/>
        <w:rPr>
          <w:rFonts w:ascii="Times New Roman" w:hAnsi="Times New Roman" w:cs="Times New Roman"/>
          <w:sz w:val="14"/>
          <w:szCs w:val="14"/>
          <w:lang w:val="en-GB"/>
        </w:rPr>
      </w:pPr>
    </w:p>
    <w:p w14:paraId="1AA557F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iCs/>
          <w:smallCaps/>
          <w:szCs w:val="24"/>
          <w:lang w:val="en-US"/>
        </w:rPr>
        <w:t>Bradlow</w:t>
      </w:r>
      <w:r w:rsidRPr="00E72418">
        <w:rPr>
          <w:rFonts w:ascii="Times New Roman" w:hAnsi="Times New Roman" w:cs="Times New Roman"/>
          <w:iCs/>
          <w:szCs w:val="24"/>
          <w:lang w:val="en-US"/>
        </w:rPr>
        <w:t>, D.,</w:t>
      </w:r>
      <w:r w:rsidRPr="00E72418">
        <w:rPr>
          <w:rFonts w:ascii="Times New Roman" w:hAnsi="Times New Roman" w:cs="Times New Roman"/>
          <w:i/>
          <w:iCs/>
          <w:szCs w:val="24"/>
          <w:lang w:val="en-US"/>
        </w:rPr>
        <w:t xml:space="preserve"> </w:t>
      </w:r>
      <w:r w:rsidRPr="00E72418">
        <w:rPr>
          <w:rFonts w:ascii="Times New Roman" w:hAnsi="Times New Roman" w:cs="Times New Roman"/>
          <w:bCs/>
          <w:szCs w:val="24"/>
          <w:lang w:val="en-US"/>
        </w:rPr>
        <w:t xml:space="preserve">« </w:t>
      </w:r>
      <w:r w:rsidRPr="00E72418">
        <w:rPr>
          <w:rFonts w:ascii="Times New Roman" w:hAnsi="Times New Roman" w:cs="Times New Roman"/>
          <w:szCs w:val="24"/>
          <w:lang w:val="en-US"/>
        </w:rPr>
        <w:t xml:space="preserve">Can Parallel Lines Ever Meet? The Strange Case of the International Standards on Sovereign Debt and Business and Human Rights », </w:t>
      </w:r>
      <w:r w:rsidRPr="00E72418">
        <w:rPr>
          <w:rFonts w:ascii="Times New Roman" w:hAnsi="Times New Roman" w:cs="Times New Roman"/>
          <w:bCs/>
          <w:i/>
          <w:szCs w:val="24"/>
          <w:lang w:val="en-US"/>
        </w:rPr>
        <w:t>The Yale Journal of International Law</w:t>
      </w:r>
      <w:r w:rsidRPr="00E72418">
        <w:rPr>
          <w:rFonts w:ascii="Times New Roman" w:hAnsi="Times New Roman" w:cs="Times New Roman"/>
          <w:bCs/>
          <w:szCs w:val="24"/>
          <w:lang w:val="en-US"/>
        </w:rPr>
        <w:t xml:space="preserve">, 2016, </w:t>
      </w:r>
      <w:r w:rsidRPr="00E72418">
        <w:rPr>
          <w:rFonts w:ascii="Times New Roman" w:hAnsi="Times New Roman" w:cs="Times New Roman"/>
          <w:szCs w:val="24"/>
          <w:lang w:val="en-US"/>
        </w:rPr>
        <w:t>pp. 201-239</w:t>
      </w:r>
    </w:p>
    <w:p w14:paraId="542D61BF" w14:textId="77777777" w:rsidR="00A91208" w:rsidRPr="00E72418" w:rsidRDefault="00A91208" w:rsidP="00A91208">
      <w:pPr>
        <w:pStyle w:val="Paragraphedeliste"/>
        <w:rPr>
          <w:rFonts w:ascii="Times New Roman" w:hAnsi="Times New Roman" w:cs="Times New Roman"/>
          <w:sz w:val="14"/>
          <w:szCs w:val="14"/>
          <w:lang w:val="en-GB"/>
        </w:rPr>
      </w:pPr>
    </w:p>
    <w:p w14:paraId="6C0BB83F"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Bratton</w:t>
      </w:r>
      <w:r w:rsidRPr="00E72418">
        <w:rPr>
          <w:rFonts w:ascii="Times New Roman" w:hAnsi="Times New Roman" w:cs="Times New Roman"/>
          <w:szCs w:val="24"/>
          <w:lang w:val="en-US"/>
        </w:rPr>
        <w:t>, W., « </w:t>
      </w:r>
      <w:r w:rsidRPr="00E72418">
        <w:rPr>
          <w:rFonts w:ascii="Times New Roman" w:hAnsi="Times New Roman" w:cs="Times New Roman"/>
          <w:i/>
          <w:szCs w:val="24"/>
          <w:lang w:val="en-US"/>
        </w:rPr>
        <w:t>Pari Passu</w:t>
      </w:r>
      <w:r w:rsidRPr="00E72418">
        <w:rPr>
          <w:rFonts w:ascii="Times New Roman" w:hAnsi="Times New Roman" w:cs="Times New Roman"/>
          <w:szCs w:val="24"/>
          <w:lang w:val="en-US"/>
        </w:rPr>
        <w:t xml:space="preserve"> and a Distressed Sovereign’s Rational Choices », </w:t>
      </w:r>
      <w:r w:rsidRPr="00E72418">
        <w:rPr>
          <w:rFonts w:ascii="Times New Roman" w:hAnsi="Times New Roman" w:cs="Times New Roman"/>
          <w:i/>
          <w:szCs w:val="24"/>
          <w:lang w:val="en-US"/>
        </w:rPr>
        <w:t>Emory Law Journal</w:t>
      </w:r>
      <w:r w:rsidRPr="00E72418">
        <w:rPr>
          <w:rFonts w:ascii="Times New Roman" w:hAnsi="Times New Roman" w:cs="Times New Roman"/>
          <w:szCs w:val="24"/>
          <w:lang w:val="en-US"/>
        </w:rPr>
        <w:t>, 2004, pp. 823-867</w:t>
      </w:r>
    </w:p>
    <w:p w14:paraId="18A83D41" w14:textId="77777777" w:rsidR="00A91208" w:rsidRPr="00E72418" w:rsidRDefault="00A91208" w:rsidP="00A91208">
      <w:pPr>
        <w:pStyle w:val="Paragraphedeliste"/>
        <w:rPr>
          <w:rFonts w:ascii="Times New Roman" w:hAnsi="Times New Roman" w:cs="Times New Roman"/>
          <w:sz w:val="14"/>
          <w:szCs w:val="14"/>
          <w:lang w:val="en-GB"/>
        </w:rPr>
      </w:pPr>
    </w:p>
    <w:p w14:paraId="09429D8A"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Bratton</w:t>
      </w:r>
      <w:r w:rsidRPr="00E72418">
        <w:rPr>
          <w:rFonts w:ascii="Times New Roman" w:hAnsi="Times New Roman" w:cs="Times New Roman"/>
          <w:szCs w:val="24"/>
          <w:lang w:val="en-US"/>
        </w:rPr>
        <w:t xml:space="preserve">, W. et </w:t>
      </w: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 Sovereign Debt Reform and the Best Interest of Creditors », </w:t>
      </w:r>
      <w:r w:rsidRPr="00E72418">
        <w:rPr>
          <w:rFonts w:ascii="Times New Roman" w:hAnsi="Times New Roman" w:cs="Times New Roman"/>
          <w:i/>
          <w:szCs w:val="24"/>
          <w:lang w:val="en-US"/>
        </w:rPr>
        <w:t>Vanderbilt Law Review</w:t>
      </w:r>
      <w:r w:rsidRPr="00E72418">
        <w:rPr>
          <w:rFonts w:ascii="Times New Roman" w:hAnsi="Times New Roman" w:cs="Times New Roman"/>
          <w:szCs w:val="24"/>
          <w:lang w:val="en-US"/>
        </w:rPr>
        <w:t>, 2004, pp. 1-79</w:t>
      </w:r>
    </w:p>
    <w:p w14:paraId="5BA27014" w14:textId="77777777" w:rsidR="00A91208" w:rsidRPr="00E72418" w:rsidRDefault="00A91208" w:rsidP="00A91208">
      <w:pPr>
        <w:pStyle w:val="Paragraphedeliste"/>
        <w:rPr>
          <w:rFonts w:ascii="Times New Roman" w:hAnsi="Times New Roman" w:cs="Times New Roman"/>
          <w:sz w:val="14"/>
          <w:szCs w:val="14"/>
          <w:lang w:val="en-GB"/>
        </w:rPr>
      </w:pPr>
    </w:p>
    <w:p w14:paraId="01B28AE8"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GB"/>
        </w:rPr>
        <w:t>Broomfield</w:t>
      </w:r>
      <w:r w:rsidRPr="00E72418">
        <w:rPr>
          <w:rFonts w:ascii="Times New Roman" w:hAnsi="Times New Roman" w:cs="Times New Roman"/>
          <w:szCs w:val="24"/>
          <w:lang w:val="en-GB"/>
        </w:rPr>
        <w:t xml:space="preserve">, E., « Subduing the Vultures: Assessing Government Caps on Recovery in Sovereign Debt Litigation », </w:t>
      </w:r>
      <w:r w:rsidRPr="00E72418">
        <w:rPr>
          <w:rFonts w:ascii="Times New Roman" w:hAnsi="Times New Roman" w:cs="Times New Roman"/>
          <w:i/>
          <w:szCs w:val="24"/>
          <w:lang w:val="en-GB"/>
        </w:rPr>
        <w:t>Columbia Business Law Review</w:t>
      </w:r>
      <w:r w:rsidRPr="00E72418">
        <w:rPr>
          <w:rFonts w:ascii="Times New Roman" w:hAnsi="Times New Roman" w:cs="Times New Roman"/>
          <w:szCs w:val="24"/>
          <w:lang w:val="en-GB"/>
        </w:rPr>
        <w:t>, 2010, pp. 473-528</w:t>
      </w:r>
    </w:p>
    <w:p w14:paraId="39879F61" w14:textId="77777777" w:rsidR="00A91208" w:rsidRPr="00E72418" w:rsidRDefault="00A91208" w:rsidP="00A91208">
      <w:pPr>
        <w:pStyle w:val="Paragraphedeliste"/>
        <w:rPr>
          <w:rFonts w:ascii="Times New Roman" w:hAnsi="Times New Roman" w:cs="Times New Roman"/>
          <w:sz w:val="14"/>
          <w:szCs w:val="14"/>
          <w:lang w:val="en-GB"/>
        </w:rPr>
      </w:pPr>
    </w:p>
    <w:p w14:paraId="22FA0F74"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Brummer</w:t>
      </w:r>
      <w:r w:rsidRPr="00E72418">
        <w:rPr>
          <w:rFonts w:ascii="Times New Roman" w:hAnsi="Times New Roman" w:cs="Times New Roman"/>
          <w:szCs w:val="24"/>
          <w:lang w:val="en-US"/>
        </w:rPr>
        <w:t xml:space="preserve">, C., « Why Soft Law Dominates International Finance – and not Trade », </w:t>
      </w:r>
      <w:r w:rsidRPr="00E72418">
        <w:rPr>
          <w:rFonts w:ascii="Times New Roman" w:hAnsi="Times New Roman" w:cs="Times New Roman"/>
          <w:i/>
          <w:szCs w:val="24"/>
          <w:lang w:val="en-US"/>
        </w:rPr>
        <w:t>Journal of International Economic Law</w:t>
      </w:r>
      <w:r w:rsidRPr="00E72418">
        <w:rPr>
          <w:rFonts w:ascii="Times New Roman" w:hAnsi="Times New Roman" w:cs="Times New Roman"/>
          <w:szCs w:val="24"/>
          <w:lang w:val="en-US"/>
        </w:rPr>
        <w:t>, 2010, pp. 623-643</w:t>
      </w:r>
    </w:p>
    <w:p w14:paraId="6E2F9CFF" w14:textId="77777777" w:rsidR="00A91208" w:rsidRPr="00E72418" w:rsidRDefault="00A91208" w:rsidP="00A91208">
      <w:pPr>
        <w:pStyle w:val="Paragraphedeliste"/>
        <w:rPr>
          <w:rFonts w:ascii="Times New Roman" w:hAnsi="Times New Roman" w:cs="Times New Roman"/>
          <w:sz w:val="14"/>
          <w:szCs w:val="14"/>
          <w:lang w:val="en-GB"/>
        </w:rPr>
      </w:pPr>
    </w:p>
    <w:p w14:paraId="33A6C3E5"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Brutti, D., </w:t>
      </w:r>
      <w:r w:rsidRPr="00E72418">
        <w:rPr>
          <w:rFonts w:ascii="Times New Roman" w:hAnsi="Times New Roman" w:cs="Times New Roman"/>
          <w:szCs w:val="24"/>
          <w:lang w:val="en-US"/>
        </w:rPr>
        <w:t xml:space="preserve">« Sovereign Debt Crises and Vulture Hedge Funds: Issues and Policy Solutions », </w:t>
      </w:r>
      <w:r w:rsidRPr="00E72418">
        <w:rPr>
          <w:rFonts w:ascii="Times New Roman" w:hAnsi="Times New Roman" w:cs="Times New Roman"/>
          <w:i/>
          <w:szCs w:val="24"/>
          <w:lang w:val="en-US"/>
        </w:rPr>
        <w:t>Boston College Law Review</w:t>
      </w:r>
      <w:r w:rsidRPr="00E72418">
        <w:rPr>
          <w:rFonts w:ascii="Times New Roman" w:hAnsi="Times New Roman" w:cs="Times New Roman"/>
          <w:szCs w:val="24"/>
          <w:lang w:val="en-US"/>
        </w:rPr>
        <w:t>, 2020, pp. 1819-1854</w:t>
      </w:r>
    </w:p>
    <w:p w14:paraId="1FB5F957" w14:textId="77777777" w:rsidR="00A91208" w:rsidRPr="00E72418" w:rsidRDefault="00A91208" w:rsidP="00A91208">
      <w:pPr>
        <w:pStyle w:val="Paragraphedeliste"/>
        <w:rPr>
          <w:rFonts w:ascii="Times New Roman" w:hAnsi="Times New Roman" w:cs="Times New Roman"/>
          <w:sz w:val="14"/>
          <w:szCs w:val="14"/>
          <w:lang w:val="en-GB"/>
        </w:rPr>
      </w:pPr>
    </w:p>
    <w:p w14:paraId="0FF55B9C" w14:textId="421B0763" w:rsidR="00912454" w:rsidRPr="00E72418" w:rsidRDefault="00A91208" w:rsidP="007D7D59">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w:t>
      </w:r>
    </w:p>
    <w:p w14:paraId="57FAE022"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465BF08B" w14:textId="77777777" w:rsidR="007D7D59" w:rsidRPr="00E72418" w:rsidRDefault="00A91208"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US"/>
        </w:rPr>
        <w:t xml:space="preserve">« </w:t>
      </w:r>
      <w:r w:rsidRPr="00E72418">
        <w:rPr>
          <w:rFonts w:ascii="Times New Roman" w:hAnsi="Times New Roman" w:cs="Times New Roman"/>
          <w:szCs w:val="24"/>
        </w:rPr>
        <w:t xml:space="preserve">Trustees versus fiscal agents for sovereign bonds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2018, pp. 410-414</w:t>
      </w:r>
    </w:p>
    <w:p w14:paraId="71B3CCD3"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625F7CD7" w14:textId="73E9F6F3" w:rsidR="00FB3C94" w:rsidRPr="00E72418" w:rsidRDefault="00FB3C94"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rPr>
        <w:t xml:space="preserve">« A Quarter Century of Sovereign Debt Management: an Overview », </w:t>
      </w:r>
      <w:r w:rsidRPr="00E72418">
        <w:rPr>
          <w:rFonts w:ascii="Times New Roman" w:hAnsi="Times New Roman" w:cs="Times New Roman"/>
          <w:i/>
          <w:szCs w:val="24"/>
        </w:rPr>
        <w:t>Georgetown Journal of International Law</w:t>
      </w:r>
      <w:r w:rsidRPr="00E72418">
        <w:rPr>
          <w:rFonts w:ascii="Times New Roman" w:hAnsi="Times New Roman" w:cs="Times New Roman"/>
          <w:szCs w:val="24"/>
        </w:rPr>
        <w:t>, 2004, pp. 637-639</w:t>
      </w:r>
    </w:p>
    <w:p w14:paraId="4F4C11D6" w14:textId="77777777" w:rsidR="00A91208" w:rsidRPr="00E72418" w:rsidRDefault="00A91208" w:rsidP="00A91208">
      <w:pPr>
        <w:pStyle w:val="Paragraphedeliste"/>
        <w:rPr>
          <w:rFonts w:ascii="Times New Roman" w:hAnsi="Times New Roman" w:cs="Times New Roman"/>
          <w:sz w:val="14"/>
          <w:szCs w:val="14"/>
          <w:lang w:val="en-GB"/>
        </w:rPr>
      </w:pPr>
    </w:p>
    <w:p w14:paraId="5BDD3409" w14:textId="3C0BE697" w:rsidR="00FB3C94" w:rsidRPr="00E72418" w:rsidRDefault="00A91208" w:rsidP="007D7D59">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Buchheit, L. </w:t>
      </w:r>
      <w:r w:rsidRPr="00E72418">
        <w:rPr>
          <w:rFonts w:ascii="Times New Roman" w:hAnsi="Times New Roman" w:cs="Times New Roman"/>
          <w:szCs w:val="24"/>
          <w:lang w:val="en-US"/>
        </w:rPr>
        <w:t>et</w:t>
      </w:r>
      <w:r w:rsidRPr="00E72418">
        <w:rPr>
          <w:rFonts w:ascii="Times New Roman" w:hAnsi="Times New Roman" w:cs="Times New Roman"/>
          <w:smallCaps/>
          <w:szCs w:val="24"/>
          <w:lang w:val="en-US"/>
        </w:rPr>
        <w:t xml:space="preserve"> Gulati, M., </w:t>
      </w:r>
    </w:p>
    <w:p w14:paraId="15BD8F75"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34552E3D" w14:textId="5A73562B" w:rsidR="00A91208" w:rsidRPr="00E72418" w:rsidRDefault="00A91208" w:rsidP="00FB3C94">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GB"/>
        </w:rPr>
        <w:t>« </w:t>
      </w:r>
      <w:r w:rsidRPr="00E72418">
        <w:rPr>
          <w:rFonts w:ascii="Times New Roman" w:hAnsi="Times New Roman" w:cs="Times New Roman"/>
          <w:szCs w:val="24"/>
          <w:lang w:val="en-US"/>
        </w:rPr>
        <w:t xml:space="preserve">Restructuring sovereign debt after </w:t>
      </w:r>
      <w:r w:rsidRPr="00E72418">
        <w:rPr>
          <w:rFonts w:ascii="Times New Roman" w:hAnsi="Times New Roman" w:cs="Times New Roman"/>
          <w:i/>
          <w:szCs w:val="24"/>
          <w:lang w:val="en-US"/>
        </w:rPr>
        <w:t>NML v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2017, pp. 224-238</w:t>
      </w:r>
    </w:p>
    <w:p w14:paraId="10EA963F"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5E946FDE" w14:textId="0D4E2459" w:rsidR="00FB3C94" w:rsidRPr="00E72418" w:rsidRDefault="00A91208"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US"/>
        </w:rPr>
        <w:t xml:space="preserve">« Restructuring a nation’s debt », </w:t>
      </w:r>
      <w:r w:rsidRPr="00E72418">
        <w:rPr>
          <w:rFonts w:ascii="Times New Roman" w:hAnsi="Times New Roman" w:cs="Times New Roman"/>
          <w:bCs/>
          <w:i/>
          <w:szCs w:val="24"/>
          <w:lang w:val="en-US"/>
        </w:rPr>
        <w:t>International Financial Law Review</w:t>
      </w:r>
      <w:r w:rsidRPr="00E72418">
        <w:rPr>
          <w:rFonts w:ascii="Times New Roman" w:hAnsi="Times New Roman" w:cs="Times New Roman"/>
          <w:bCs/>
          <w:szCs w:val="24"/>
          <w:lang w:val="en-US"/>
        </w:rPr>
        <w:t>, juin 2010, pp.</w:t>
      </w:r>
      <w:r w:rsidRPr="00E72418">
        <w:rPr>
          <w:rFonts w:ascii="Times New Roman" w:hAnsi="Times New Roman" w:cs="Times New Roman"/>
          <w:szCs w:val="24"/>
          <w:lang w:val="en-US"/>
        </w:rPr>
        <w:t xml:space="preserve"> 46-49</w:t>
      </w:r>
    </w:p>
    <w:p w14:paraId="215ECBDC"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50B492B2" w14:textId="0AF09C32" w:rsidR="00FB3C94" w:rsidRPr="00E72418" w:rsidRDefault="00A91208" w:rsidP="007D7D59">
      <w:pPr>
        <w:pStyle w:val="Paragraphedeliste"/>
        <w:numPr>
          <w:ilvl w:val="1"/>
          <w:numId w:val="18"/>
        </w:numPr>
        <w:spacing w:after="0"/>
        <w:rPr>
          <w:rFonts w:ascii="Times New Roman" w:hAnsi="Times New Roman" w:cs="Times New Roman"/>
          <w:sz w:val="10"/>
          <w:szCs w:val="10"/>
          <w:lang w:val="en-GB"/>
        </w:rPr>
      </w:pPr>
      <w:r w:rsidRPr="00E72418">
        <w:rPr>
          <w:rFonts w:ascii="Times New Roman" w:hAnsi="Times New Roman" w:cs="Times New Roman"/>
          <w:szCs w:val="24"/>
          <w:lang w:val="en-US"/>
        </w:rPr>
        <w:t xml:space="preserve">« Responsible Sovereign Lending and Borrowing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Law and Contemporary Problems</w:t>
      </w:r>
      <w:r w:rsidRPr="00E72418">
        <w:rPr>
          <w:rFonts w:ascii="Times New Roman" w:hAnsi="Times New Roman" w:cs="Times New Roman"/>
          <w:szCs w:val="24"/>
          <w:lang w:val="en-US"/>
        </w:rPr>
        <w:t>, 2010, pp. 63-92</w:t>
      </w:r>
    </w:p>
    <w:p w14:paraId="7497A430"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5B202F24" w14:textId="77777777" w:rsidR="007D7D59" w:rsidRPr="00E72418" w:rsidRDefault="00FB3C94"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US"/>
        </w:rPr>
        <w:lastRenderedPageBreak/>
        <w:t xml:space="preserve">« The coroner’s inquest », </w:t>
      </w:r>
      <w:r w:rsidRPr="00E72418">
        <w:rPr>
          <w:rFonts w:ascii="Times New Roman" w:hAnsi="Times New Roman" w:cs="Times New Roman"/>
          <w:i/>
          <w:szCs w:val="24"/>
          <w:lang w:val="en-US"/>
        </w:rPr>
        <w:t>International Financial Law Review</w:t>
      </w:r>
      <w:r w:rsidRPr="00E72418">
        <w:rPr>
          <w:rFonts w:ascii="Times New Roman" w:hAnsi="Times New Roman" w:cs="Times New Roman"/>
          <w:szCs w:val="24"/>
          <w:lang w:val="en-US"/>
        </w:rPr>
        <w:t>, septembre 2009, pp. 22-25</w:t>
      </w:r>
    </w:p>
    <w:p w14:paraId="7CF5D111"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0CEE8B88" w14:textId="77777777" w:rsidR="007D7D59" w:rsidRPr="00E72418" w:rsidRDefault="00FB3C94"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US"/>
        </w:rPr>
        <w:t xml:space="preserve">« Exit Consents in Sovereign Bond Exchanges », </w:t>
      </w:r>
      <w:r w:rsidRPr="00E72418">
        <w:rPr>
          <w:rFonts w:ascii="Times New Roman" w:hAnsi="Times New Roman" w:cs="Times New Roman"/>
          <w:i/>
          <w:szCs w:val="24"/>
          <w:lang w:val="en-US"/>
        </w:rPr>
        <w:t>UCLA Law Review</w:t>
      </w:r>
      <w:r w:rsidRPr="00E72418">
        <w:rPr>
          <w:rFonts w:ascii="Times New Roman" w:hAnsi="Times New Roman" w:cs="Times New Roman"/>
          <w:szCs w:val="24"/>
          <w:lang w:val="en-US"/>
        </w:rPr>
        <w:t>, 2000, pp. 59-84</w:t>
      </w:r>
    </w:p>
    <w:p w14:paraId="13F071A6" w14:textId="77777777" w:rsidR="007D7D59" w:rsidRPr="00E72418" w:rsidRDefault="007D7D59" w:rsidP="007D7D59">
      <w:pPr>
        <w:pStyle w:val="Paragraphedeliste"/>
        <w:spacing w:after="0"/>
        <w:ind w:left="1440"/>
        <w:rPr>
          <w:rFonts w:ascii="Times New Roman" w:hAnsi="Times New Roman" w:cs="Times New Roman"/>
          <w:sz w:val="10"/>
          <w:szCs w:val="10"/>
          <w:lang w:val="en-GB"/>
        </w:rPr>
      </w:pPr>
    </w:p>
    <w:p w14:paraId="0C28DDD5" w14:textId="7C7E4A2C" w:rsidR="00FB3C94" w:rsidRPr="00E72418" w:rsidRDefault="00FB3C94" w:rsidP="007D7D59">
      <w:pPr>
        <w:pStyle w:val="Paragraphedeliste"/>
        <w:numPr>
          <w:ilvl w:val="1"/>
          <w:numId w:val="18"/>
        </w:numPr>
        <w:spacing w:after="0"/>
        <w:rPr>
          <w:rFonts w:ascii="Times New Roman" w:hAnsi="Times New Roman" w:cs="Times New Roman"/>
          <w:szCs w:val="24"/>
          <w:lang w:val="en-GB"/>
        </w:rPr>
      </w:pPr>
      <w:r w:rsidRPr="00E72418">
        <w:rPr>
          <w:rFonts w:ascii="Times New Roman" w:hAnsi="Times New Roman" w:cs="Times New Roman"/>
          <w:szCs w:val="24"/>
          <w:lang w:val="en-US"/>
        </w:rPr>
        <w:t xml:space="preserve">« </w:t>
      </w:r>
      <w:r w:rsidRPr="00E72418">
        <w:rPr>
          <w:rFonts w:ascii="Times New Roman" w:hAnsi="Times New Roman" w:cs="Times New Roman"/>
          <w:szCs w:val="24"/>
        </w:rPr>
        <w:t xml:space="preserve">The </w:t>
      </w:r>
      <w:r w:rsidRPr="00E72418">
        <w:rPr>
          <w:rFonts w:ascii="Times New Roman" w:hAnsi="Times New Roman" w:cs="Times New Roman"/>
          <w:i/>
          <w:szCs w:val="24"/>
        </w:rPr>
        <w:t xml:space="preserve">pari passu </w:t>
      </w:r>
      <w:r w:rsidRPr="00E72418">
        <w:rPr>
          <w:rFonts w:ascii="Times New Roman" w:hAnsi="Times New Roman" w:cs="Times New Roman"/>
          <w:szCs w:val="24"/>
        </w:rPr>
        <w:t xml:space="preserve">clause </w:t>
      </w:r>
      <w:r w:rsidRPr="00E72418">
        <w:rPr>
          <w:rFonts w:ascii="Times New Roman" w:hAnsi="Times New Roman" w:cs="Times New Roman"/>
          <w:i/>
          <w:szCs w:val="24"/>
        </w:rPr>
        <w:t>sub specie aeternitatis</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International Financial Law Review</w:t>
      </w:r>
      <w:r w:rsidRPr="00E72418">
        <w:rPr>
          <w:rFonts w:ascii="Times New Roman" w:hAnsi="Times New Roman" w:cs="Times New Roman"/>
          <w:szCs w:val="24"/>
          <w:lang w:val="en-US"/>
        </w:rPr>
        <w:t>, décembre 1991, pp. 11-12</w:t>
      </w:r>
    </w:p>
    <w:p w14:paraId="17F34022" w14:textId="77777777" w:rsidR="007D7D59" w:rsidRPr="00E72418" w:rsidRDefault="007D7D59" w:rsidP="007D7D59">
      <w:pPr>
        <w:pStyle w:val="Paragraphedeliste"/>
        <w:spacing w:after="0"/>
        <w:rPr>
          <w:rFonts w:ascii="Times New Roman" w:hAnsi="Times New Roman" w:cs="Times New Roman"/>
          <w:sz w:val="14"/>
          <w:szCs w:val="14"/>
          <w:lang w:val="en-GB"/>
        </w:rPr>
      </w:pPr>
    </w:p>
    <w:p w14:paraId="4EFFB39C" w14:textId="6E824DE5" w:rsidR="00A91208" w:rsidRPr="00E72418" w:rsidRDefault="00A91208" w:rsidP="00FB3C94">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 xml:space="preserve">Buchheit, L., Gulati, M. </w:t>
      </w:r>
      <w:r w:rsidRPr="00E72418">
        <w:rPr>
          <w:rFonts w:ascii="Times New Roman" w:hAnsi="Times New Roman" w:cs="Times New Roman"/>
          <w:szCs w:val="24"/>
          <w:lang w:val="en-US"/>
        </w:rPr>
        <w:t>et</w:t>
      </w:r>
      <w:r w:rsidRPr="00E72418">
        <w:rPr>
          <w:rFonts w:ascii="Times New Roman" w:hAnsi="Times New Roman" w:cs="Times New Roman"/>
          <w:smallCaps/>
          <w:szCs w:val="24"/>
          <w:lang w:val="en-US"/>
        </w:rPr>
        <w:t xml:space="preserve"> Thompson, R., </w:t>
      </w:r>
      <w:r w:rsidRPr="00E72418">
        <w:rPr>
          <w:rFonts w:ascii="Times New Roman" w:hAnsi="Times New Roman" w:cs="Times New Roman"/>
          <w:szCs w:val="24"/>
          <w:lang w:val="en-GB"/>
        </w:rPr>
        <w:t xml:space="preserve">« </w:t>
      </w:r>
      <w:r w:rsidRPr="00E72418">
        <w:rPr>
          <w:rFonts w:ascii="Times New Roman" w:hAnsi="Times New Roman" w:cs="Times New Roman"/>
          <w:szCs w:val="24"/>
          <w:shd w:val="clear" w:color="auto" w:fill="FFFFFF"/>
          <w:lang w:val="en-US"/>
        </w:rPr>
        <w:t xml:space="preserve">The Dilemma of Odious Debts </w:t>
      </w:r>
      <w:r w:rsidRPr="00E72418">
        <w:rPr>
          <w:rFonts w:ascii="Times New Roman" w:hAnsi="Times New Roman" w:cs="Times New Roman"/>
          <w:szCs w:val="24"/>
          <w:lang w:val="en-GB"/>
        </w:rPr>
        <w:t xml:space="preserve">», </w:t>
      </w:r>
      <w:r w:rsidRPr="00E72418">
        <w:rPr>
          <w:rFonts w:ascii="Times New Roman" w:hAnsi="Times New Roman" w:cs="Times New Roman"/>
          <w:i/>
          <w:szCs w:val="24"/>
          <w:lang w:val="en-GB"/>
        </w:rPr>
        <w:t>Duke Law Journal</w:t>
      </w:r>
      <w:r w:rsidRPr="00E72418">
        <w:rPr>
          <w:rFonts w:ascii="Times New Roman" w:hAnsi="Times New Roman" w:cs="Times New Roman"/>
          <w:szCs w:val="24"/>
          <w:lang w:val="en-GB"/>
        </w:rPr>
        <w:t>, 2007, pp. 1201-1262</w:t>
      </w:r>
    </w:p>
    <w:p w14:paraId="30F2E5BB" w14:textId="77777777" w:rsidR="00A91208" w:rsidRPr="00E72418" w:rsidRDefault="00A91208" w:rsidP="00A91208">
      <w:pPr>
        <w:pStyle w:val="Paragraphedeliste"/>
        <w:rPr>
          <w:rFonts w:ascii="Times New Roman" w:hAnsi="Times New Roman" w:cs="Times New Roman"/>
          <w:sz w:val="14"/>
          <w:szCs w:val="14"/>
          <w:lang w:val="en-GB"/>
        </w:rPr>
      </w:pPr>
    </w:p>
    <w:p w14:paraId="29B7F1C3" w14:textId="77777777" w:rsidR="007D7D59" w:rsidRPr="00E72418" w:rsidRDefault="00A91208" w:rsidP="007D7D59">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Buchheit</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Pam</w:t>
      </w:r>
      <w:r w:rsidRPr="00E72418">
        <w:rPr>
          <w:rFonts w:ascii="Times New Roman" w:hAnsi="Times New Roman" w:cs="Times New Roman"/>
          <w:szCs w:val="24"/>
          <w:lang w:val="en-US"/>
        </w:rPr>
        <w:t xml:space="preserve">, J., « </w:t>
      </w:r>
      <w:r w:rsidRPr="00E72418">
        <w:rPr>
          <w:rFonts w:ascii="Times New Roman" w:hAnsi="Times New Roman" w:cs="Times New Roman"/>
          <w:szCs w:val="24"/>
        </w:rPr>
        <w:t xml:space="preserve">The </w:t>
      </w:r>
      <w:r w:rsidRPr="00E72418">
        <w:rPr>
          <w:rFonts w:ascii="Times New Roman" w:hAnsi="Times New Roman" w:cs="Times New Roman"/>
          <w:i/>
          <w:szCs w:val="24"/>
        </w:rPr>
        <w:t>Pari Passu</w:t>
      </w:r>
      <w:r w:rsidRPr="00E72418">
        <w:rPr>
          <w:rFonts w:ascii="Times New Roman" w:hAnsi="Times New Roman" w:cs="Times New Roman"/>
          <w:szCs w:val="24"/>
        </w:rPr>
        <w:t xml:space="preserve"> Clause in Sovereign Debt Instruments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Emory Law Journal</w:t>
      </w:r>
      <w:r w:rsidRPr="00E72418">
        <w:rPr>
          <w:rFonts w:ascii="Times New Roman" w:hAnsi="Times New Roman" w:cs="Times New Roman"/>
          <w:szCs w:val="24"/>
          <w:lang w:val="en-US"/>
        </w:rPr>
        <w:t>, 2004, pp. 869-922</w:t>
      </w:r>
    </w:p>
    <w:p w14:paraId="42E287CA" w14:textId="77777777" w:rsidR="007D7D59" w:rsidRPr="00E72418" w:rsidRDefault="007D7D59" w:rsidP="007D7D59">
      <w:pPr>
        <w:pStyle w:val="Paragraphedeliste"/>
        <w:spacing w:after="0"/>
        <w:rPr>
          <w:rFonts w:ascii="Times New Roman" w:hAnsi="Times New Roman" w:cs="Times New Roman"/>
          <w:sz w:val="14"/>
          <w:szCs w:val="14"/>
          <w:lang w:val="en-GB"/>
        </w:rPr>
      </w:pPr>
    </w:p>
    <w:p w14:paraId="3971000B" w14:textId="7E70A7CE" w:rsidR="00A91208" w:rsidRPr="00E72418" w:rsidRDefault="00A91208" w:rsidP="007D7D59">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rPr>
        <w:t>Bulow</w:t>
      </w:r>
      <w:r w:rsidRPr="00E72418">
        <w:rPr>
          <w:rFonts w:ascii="Times New Roman" w:hAnsi="Times New Roman" w:cs="Times New Roman"/>
          <w:szCs w:val="24"/>
        </w:rPr>
        <w:t xml:space="preserve">, J., </w:t>
      </w:r>
      <w:r w:rsidRPr="00E72418">
        <w:rPr>
          <w:rFonts w:ascii="Times New Roman" w:hAnsi="Times New Roman" w:cs="Times New Roman"/>
          <w:smallCaps/>
          <w:szCs w:val="24"/>
        </w:rPr>
        <w:t>Reinhart</w:t>
      </w:r>
      <w:r w:rsidRPr="00E72418">
        <w:rPr>
          <w:rFonts w:ascii="Times New Roman" w:hAnsi="Times New Roman" w:cs="Times New Roman"/>
          <w:szCs w:val="24"/>
        </w:rPr>
        <w:t xml:space="preserve">, C., </w:t>
      </w:r>
      <w:r w:rsidRPr="00E72418">
        <w:rPr>
          <w:rFonts w:ascii="Times New Roman" w:hAnsi="Times New Roman" w:cs="Times New Roman"/>
          <w:smallCaps/>
          <w:szCs w:val="24"/>
        </w:rPr>
        <w:t>Rogoff, K.</w:t>
      </w:r>
      <w:r w:rsidRPr="00E72418">
        <w:rPr>
          <w:rFonts w:ascii="Times New Roman" w:hAnsi="Times New Roman" w:cs="Times New Roman"/>
          <w:szCs w:val="24"/>
        </w:rPr>
        <w:t xml:space="preserve"> et </w:t>
      </w:r>
      <w:r w:rsidRPr="00E72418">
        <w:rPr>
          <w:rFonts w:ascii="Times New Roman" w:hAnsi="Times New Roman" w:cs="Times New Roman"/>
          <w:smallCaps/>
          <w:szCs w:val="24"/>
        </w:rPr>
        <w:t>Trebesch</w:t>
      </w:r>
      <w:r w:rsidRPr="00E72418">
        <w:rPr>
          <w:rFonts w:ascii="Times New Roman" w:hAnsi="Times New Roman" w:cs="Times New Roman"/>
          <w:szCs w:val="24"/>
        </w:rPr>
        <w:t xml:space="preserve">, C., « The Debt Pandemic – New steps are needed to improve sovereign debt workouts », </w:t>
      </w:r>
      <w:r w:rsidRPr="00E72418">
        <w:rPr>
          <w:rFonts w:ascii="Times New Roman" w:hAnsi="Times New Roman" w:cs="Times New Roman"/>
          <w:i/>
          <w:szCs w:val="24"/>
        </w:rPr>
        <w:t>Finance &amp; Development</w:t>
      </w:r>
      <w:r w:rsidRPr="00E72418">
        <w:rPr>
          <w:rFonts w:ascii="Times New Roman" w:hAnsi="Times New Roman" w:cs="Times New Roman"/>
          <w:szCs w:val="24"/>
        </w:rPr>
        <w:t>, septembre 2020, pp. 12-16</w:t>
      </w:r>
    </w:p>
    <w:p w14:paraId="3F1B68AF" w14:textId="77777777" w:rsidR="00A91208" w:rsidRPr="00E72418" w:rsidRDefault="00A91208" w:rsidP="00A91208">
      <w:pPr>
        <w:pStyle w:val="Paragraphedeliste"/>
        <w:rPr>
          <w:rFonts w:ascii="Times New Roman" w:hAnsi="Times New Roman" w:cs="Times New Roman"/>
          <w:sz w:val="14"/>
          <w:szCs w:val="14"/>
          <w:lang w:val="en-GB"/>
        </w:rPr>
      </w:pPr>
    </w:p>
    <w:p w14:paraId="198BE562"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Burress</w:t>
      </w:r>
      <w:r w:rsidRPr="00E72418">
        <w:rPr>
          <w:rFonts w:ascii="Times New Roman" w:hAnsi="Times New Roman" w:cs="Times New Roman"/>
          <w:szCs w:val="24"/>
          <w:lang w:val="en-US"/>
        </w:rPr>
        <w:t xml:space="preserve">, J., « Sovereign Disobedience: The Role of U.S. Courts in Curtailing the Proliferation of Sovereign Default », </w:t>
      </w:r>
      <w:r w:rsidRPr="00E72418">
        <w:rPr>
          <w:rFonts w:ascii="Times New Roman" w:hAnsi="Times New Roman" w:cs="Times New Roman"/>
          <w:i/>
          <w:szCs w:val="24"/>
          <w:lang w:val="en-US"/>
        </w:rPr>
        <w:t>Indiana International and Comparative Law Review</w:t>
      </w:r>
      <w:r w:rsidRPr="00E72418">
        <w:rPr>
          <w:rFonts w:ascii="Times New Roman" w:hAnsi="Times New Roman" w:cs="Times New Roman"/>
          <w:szCs w:val="24"/>
          <w:lang w:val="en-US"/>
        </w:rPr>
        <w:t>, 2015, pp. 269-309</w:t>
      </w:r>
    </w:p>
    <w:p w14:paraId="26EB91FB" w14:textId="77777777" w:rsidR="00A91208" w:rsidRPr="00E72418" w:rsidRDefault="00A91208" w:rsidP="00A91208">
      <w:pPr>
        <w:pStyle w:val="Paragraphedeliste"/>
        <w:rPr>
          <w:rFonts w:ascii="Times New Roman" w:hAnsi="Times New Roman" w:cs="Times New Roman"/>
          <w:sz w:val="14"/>
          <w:szCs w:val="14"/>
          <w:lang w:val="en-GB"/>
        </w:rPr>
      </w:pPr>
    </w:p>
    <w:p w14:paraId="364C188F"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Butensky</w:t>
      </w:r>
      <w:r w:rsidRPr="00E72418">
        <w:rPr>
          <w:rFonts w:ascii="Times New Roman" w:hAnsi="Times New Roman" w:cs="Times New Roman"/>
          <w:szCs w:val="24"/>
          <w:lang w:val="en-US"/>
        </w:rPr>
        <w:t xml:space="preserve">, J., « Tango or Sirtaki? The Argentine and Greek Dance with Sovereignty and a Multilateral Sovereign Debt Restructuring Framework », </w:t>
      </w:r>
      <w:r w:rsidRPr="00E72418">
        <w:rPr>
          <w:rFonts w:ascii="Times New Roman" w:hAnsi="Times New Roman" w:cs="Times New Roman"/>
          <w:i/>
          <w:szCs w:val="24"/>
          <w:lang w:val="en-US"/>
        </w:rPr>
        <w:t>Boston University International Law Journal</w:t>
      </w:r>
      <w:r w:rsidRPr="00E72418">
        <w:rPr>
          <w:rFonts w:ascii="Times New Roman" w:hAnsi="Times New Roman" w:cs="Times New Roman"/>
          <w:szCs w:val="24"/>
          <w:lang w:val="en-US"/>
        </w:rPr>
        <w:t>, 2017, pp. 157-194</w:t>
      </w:r>
    </w:p>
    <w:p w14:paraId="2056FFA4" w14:textId="77777777" w:rsidR="00A91208" w:rsidRPr="00E72418" w:rsidRDefault="00A91208" w:rsidP="00A91208">
      <w:pPr>
        <w:pStyle w:val="Paragraphedeliste"/>
        <w:rPr>
          <w:rFonts w:ascii="Times New Roman" w:hAnsi="Times New Roman" w:cs="Times New Roman"/>
          <w:sz w:val="14"/>
          <w:szCs w:val="14"/>
          <w:lang w:val="en-GB"/>
        </w:rPr>
      </w:pPr>
    </w:p>
    <w:p w14:paraId="4499FA50"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Butler</w:t>
      </w:r>
      <w:r w:rsidRPr="00E72418">
        <w:rPr>
          <w:rFonts w:ascii="Times New Roman" w:hAnsi="Times New Roman" w:cs="Times New Roman"/>
          <w:szCs w:val="24"/>
          <w:lang w:val="en-US"/>
        </w:rPr>
        <w:t xml:space="preserve">, A., « </w:t>
      </w:r>
      <w:r w:rsidRPr="00E72418">
        <w:rPr>
          <w:rFonts w:ascii="Times New Roman" w:hAnsi="Times New Roman" w:cs="Times New Roman"/>
          <w:i/>
          <w:szCs w:val="24"/>
          <w:lang w:val="en-US"/>
        </w:rPr>
        <w:t>Democratic Republic of the Congo v. FG Hemisphere Associates LLC</w:t>
      </w:r>
      <w:r w:rsidRPr="00E72418">
        <w:rPr>
          <w:rFonts w:ascii="Times New Roman" w:hAnsi="Times New Roman" w:cs="Times New Roman"/>
          <w:szCs w:val="24"/>
          <w:lang w:val="en-US"/>
        </w:rPr>
        <w:t xml:space="preserve">: Hong Kong Conforms with China by Repudiating the Common Law Commercial Exception to Sovereign Immunity », </w:t>
      </w:r>
      <w:r w:rsidRPr="00E72418">
        <w:rPr>
          <w:rFonts w:ascii="Times New Roman" w:hAnsi="Times New Roman" w:cs="Times New Roman"/>
          <w:i/>
          <w:szCs w:val="24"/>
          <w:lang w:val="en-US"/>
        </w:rPr>
        <w:t>Tulane Journal of International and Comparative Law</w:t>
      </w:r>
      <w:r w:rsidRPr="00E72418">
        <w:rPr>
          <w:rFonts w:ascii="Times New Roman" w:hAnsi="Times New Roman" w:cs="Times New Roman"/>
          <w:szCs w:val="24"/>
          <w:lang w:val="en-US"/>
        </w:rPr>
        <w:t>, 2012, pp. 469-487</w:t>
      </w:r>
    </w:p>
    <w:p w14:paraId="6224B0B1" w14:textId="77777777" w:rsidR="00A91208" w:rsidRPr="00E72418" w:rsidRDefault="00A91208" w:rsidP="00A91208">
      <w:pPr>
        <w:pStyle w:val="Paragraphedeliste"/>
        <w:rPr>
          <w:rFonts w:ascii="Times New Roman" w:hAnsi="Times New Roman" w:cs="Times New Roman"/>
          <w:sz w:val="14"/>
          <w:szCs w:val="14"/>
          <w:lang w:val="en-GB"/>
        </w:rPr>
      </w:pPr>
    </w:p>
    <w:p w14:paraId="6D0F58BF" w14:textId="77777777" w:rsidR="00912454" w:rsidRPr="00E72418" w:rsidRDefault="00A91208" w:rsidP="00502474">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Cantamutto</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Ozarow</w:t>
      </w:r>
      <w:r w:rsidRPr="00E72418">
        <w:rPr>
          <w:rFonts w:ascii="Times New Roman" w:hAnsi="Times New Roman" w:cs="Times New Roman"/>
          <w:szCs w:val="24"/>
          <w:lang w:val="en-US"/>
        </w:rPr>
        <w:t xml:space="preserve">, D., « Serial payers, serial losers? The political economy of Argentina’s public debt », </w:t>
      </w:r>
      <w:r w:rsidRPr="00E72418">
        <w:rPr>
          <w:rFonts w:ascii="Times New Roman" w:hAnsi="Times New Roman" w:cs="Times New Roman"/>
          <w:i/>
          <w:szCs w:val="24"/>
          <w:lang w:val="en-US"/>
        </w:rPr>
        <w:t>Economy and Society</w:t>
      </w:r>
      <w:r w:rsidRPr="00E72418">
        <w:rPr>
          <w:rFonts w:ascii="Times New Roman" w:hAnsi="Times New Roman" w:cs="Times New Roman"/>
          <w:szCs w:val="24"/>
          <w:lang w:val="en-US"/>
        </w:rPr>
        <w:t>, 2016, pp. 123-147</w:t>
      </w:r>
    </w:p>
    <w:p w14:paraId="7BAE8D36" w14:textId="77777777" w:rsidR="00912454" w:rsidRPr="00E72418" w:rsidRDefault="00912454" w:rsidP="00912454">
      <w:pPr>
        <w:pStyle w:val="Paragraphedeliste"/>
        <w:rPr>
          <w:rFonts w:ascii="Times New Roman" w:hAnsi="Times New Roman" w:cs="Times New Roman"/>
          <w:smallCaps/>
          <w:sz w:val="14"/>
          <w:szCs w:val="14"/>
        </w:rPr>
      </w:pPr>
    </w:p>
    <w:p w14:paraId="463E9533" w14:textId="2A15380F" w:rsidR="00A91208" w:rsidRPr="00E72418" w:rsidRDefault="00A91208" w:rsidP="00502474">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Carreau, D. </w:t>
      </w:r>
      <w:r w:rsidRPr="00E72418">
        <w:rPr>
          <w:rFonts w:ascii="Times New Roman" w:hAnsi="Times New Roman" w:cs="Times New Roman"/>
          <w:szCs w:val="24"/>
        </w:rPr>
        <w:t xml:space="preserve">et </w:t>
      </w:r>
      <w:r w:rsidRPr="00E72418">
        <w:rPr>
          <w:rFonts w:ascii="Times New Roman" w:hAnsi="Times New Roman" w:cs="Times New Roman"/>
          <w:smallCaps/>
          <w:szCs w:val="24"/>
        </w:rPr>
        <w:t>Kleiner</w:t>
      </w:r>
      <w:r w:rsidR="00023279" w:rsidRPr="00E72418">
        <w:rPr>
          <w:rFonts w:ascii="Times New Roman" w:hAnsi="Times New Roman" w:cs="Times New Roman"/>
          <w:szCs w:val="24"/>
        </w:rPr>
        <w:t>, C., « D</w:t>
      </w:r>
      <w:r w:rsidRPr="00E72418">
        <w:rPr>
          <w:rFonts w:ascii="Times New Roman" w:hAnsi="Times New Roman" w:cs="Times New Roman"/>
          <w:szCs w:val="24"/>
        </w:rPr>
        <w:t>ettes d’</w:t>
      </w:r>
      <w:r w:rsidRPr="00E72418">
        <w:rPr>
          <w:rFonts w:ascii="Times New Roman" w:hAnsi="Times New Roman" w:cs="Times New Roman"/>
          <w:szCs w:val="24"/>
          <w:lang w:eastAsia="fr-BE"/>
        </w:rPr>
        <w:t>É</w:t>
      </w:r>
      <w:r w:rsidRPr="00E72418">
        <w:rPr>
          <w:rFonts w:ascii="Times New Roman" w:hAnsi="Times New Roman" w:cs="Times New Roman"/>
          <w:szCs w:val="24"/>
        </w:rPr>
        <w:t xml:space="preserve">tat », </w:t>
      </w:r>
      <w:r w:rsidRPr="00E72418">
        <w:rPr>
          <w:rFonts w:ascii="Times New Roman" w:hAnsi="Times New Roman" w:cs="Times New Roman"/>
          <w:i/>
          <w:szCs w:val="24"/>
        </w:rPr>
        <w:t>Répertoire de droit international</w:t>
      </w:r>
      <w:r w:rsidRPr="00E72418">
        <w:rPr>
          <w:rFonts w:ascii="Times New Roman" w:hAnsi="Times New Roman" w:cs="Times New Roman"/>
          <w:szCs w:val="24"/>
        </w:rPr>
        <w:t>, 2019</w:t>
      </w:r>
    </w:p>
    <w:p w14:paraId="69EEA2A9" w14:textId="77777777" w:rsidR="00A91208" w:rsidRPr="00E72418" w:rsidRDefault="00A91208" w:rsidP="00A91208">
      <w:pPr>
        <w:pStyle w:val="Paragraphedeliste"/>
        <w:rPr>
          <w:rFonts w:ascii="Times New Roman" w:hAnsi="Times New Roman" w:cs="Times New Roman"/>
          <w:sz w:val="14"/>
          <w:szCs w:val="14"/>
        </w:rPr>
      </w:pPr>
    </w:p>
    <w:p w14:paraId="02E32522"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Chabot,</w:t>
      </w:r>
      <w:r w:rsidRPr="00E72418">
        <w:rPr>
          <w:rFonts w:ascii="Times New Roman" w:hAnsi="Times New Roman" w:cs="Times New Roman"/>
          <w:szCs w:val="24"/>
          <w:lang w:val="en-US"/>
        </w:rPr>
        <w:t xml:space="preserve"> B. et </w:t>
      </w:r>
      <w:r w:rsidRPr="00E72418">
        <w:rPr>
          <w:rFonts w:ascii="Times New Roman" w:hAnsi="Times New Roman" w:cs="Times New Roman"/>
          <w:smallCaps/>
          <w:szCs w:val="24"/>
          <w:lang w:val="en-US"/>
        </w:rPr>
        <w:t>Santarosa,</w:t>
      </w:r>
      <w:r w:rsidRPr="00E72418">
        <w:rPr>
          <w:rFonts w:ascii="Times New Roman" w:hAnsi="Times New Roman" w:cs="Times New Roman"/>
          <w:szCs w:val="24"/>
          <w:lang w:val="en-US"/>
        </w:rPr>
        <w:t xml:space="preserve"> V., « Don’t cry for Argentina (or other Sovereign borrowers): lessons from a previous era of sovereign debt contract enforcement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2017, pp. 9-37</w:t>
      </w:r>
    </w:p>
    <w:p w14:paraId="5F1446DE" w14:textId="77777777" w:rsidR="00A91208" w:rsidRPr="00E72418" w:rsidRDefault="00A91208" w:rsidP="00A91208">
      <w:pPr>
        <w:pStyle w:val="Paragraphedeliste"/>
        <w:rPr>
          <w:rFonts w:ascii="Times New Roman" w:hAnsi="Times New Roman" w:cs="Times New Roman"/>
          <w:sz w:val="14"/>
          <w:szCs w:val="14"/>
        </w:rPr>
      </w:pPr>
    </w:p>
    <w:p w14:paraId="27EF915D"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Chena, P., </w:t>
      </w:r>
      <w:r w:rsidRPr="00E72418">
        <w:rPr>
          <w:rFonts w:ascii="Times New Roman" w:hAnsi="Times New Roman" w:cs="Times New Roman"/>
          <w:szCs w:val="24"/>
        </w:rPr>
        <w:t xml:space="preserve">« L’ordre monétaire et la dette souveraine en Argentine », </w:t>
      </w:r>
      <w:r w:rsidRPr="00E72418">
        <w:rPr>
          <w:rFonts w:ascii="Times New Roman" w:hAnsi="Times New Roman" w:cs="Times New Roman"/>
          <w:i/>
          <w:szCs w:val="24"/>
        </w:rPr>
        <w:t>Savoir/agir</w:t>
      </w:r>
      <w:r w:rsidRPr="00E72418">
        <w:rPr>
          <w:rFonts w:ascii="Times New Roman" w:hAnsi="Times New Roman" w:cs="Times New Roman"/>
          <w:szCs w:val="24"/>
        </w:rPr>
        <w:t>, 2016, pp. 33-44</w:t>
      </w:r>
    </w:p>
    <w:p w14:paraId="2CA857AE" w14:textId="77777777" w:rsidR="00A91208" w:rsidRPr="00E72418" w:rsidRDefault="00A91208" w:rsidP="00A91208">
      <w:pPr>
        <w:pStyle w:val="Paragraphedeliste"/>
        <w:rPr>
          <w:rFonts w:ascii="Times New Roman" w:hAnsi="Times New Roman" w:cs="Times New Roman"/>
          <w:sz w:val="14"/>
          <w:szCs w:val="14"/>
        </w:rPr>
      </w:pPr>
    </w:p>
    <w:p w14:paraId="0BCD3058" w14:textId="7CCD44FF" w:rsidR="00FB3C94" w:rsidRPr="00E72418" w:rsidRDefault="00A91208" w:rsidP="007D7D59">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Choi</w:t>
      </w:r>
      <w:r w:rsidRPr="00E72418">
        <w:rPr>
          <w:rFonts w:ascii="Times New Roman" w:hAnsi="Times New Roman" w:cs="Times New Roman"/>
          <w:szCs w:val="24"/>
          <w:lang w:val="en-US"/>
        </w:rPr>
        <w:t xml:space="preserve">, S., </w:t>
      </w: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Posner</w:t>
      </w:r>
      <w:r w:rsidRPr="00E72418">
        <w:rPr>
          <w:rFonts w:ascii="Times New Roman" w:hAnsi="Times New Roman" w:cs="Times New Roman"/>
          <w:szCs w:val="24"/>
          <w:lang w:val="en-US"/>
        </w:rPr>
        <w:t xml:space="preserve">, E., </w:t>
      </w:r>
    </w:p>
    <w:p w14:paraId="25B204E1"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2D55DFAF" w14:textId="1CFCB4D5" w:rsidR="00FB3C94" w:rsidRPr="00E72418" w:rsidRDefault="00A91208" w:rsidP="00FB3C9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The Evolution of Contractual Terms in Sovereign Bonds », </w:t>
      </w:r>
      <w:r w:rsidRPr="00E72418">
        <w:rPr>
          <w:rFonts w:ascii="Times New Roman" w:hAnsi="Times New Roman" w:cs="Times New Roman"/>
          <w:i/>
          <w:szCs w:val="24"/>
          <w:lang w:val="en-US"/>
        </w:rPr>
        <w:t>Journal of Legal Analysis</w:t>
      </w:r>
      <w:r w:rsidRPr="00E72418">
        <w:rPr>
          <w:rFonts w:ascii="Times New Roman" w:hAnsi="Times New Roman" w:cs="Times New Roman"/>
          <w:szCs w:val="24"/>
          <w:lang w:val="en-US"/>
        </w:rPr>
        <w:t>, 2012, pp. 131-179</w:t>
      </w:r>
    </w:p>
    <w:p w14:paraId="001D0DBE" w14:textId="77777777" w:rsidR="00FB3C94" w:rsidRPr="00E72418" w:rsidRDefault="00FB3C94" w:rsidP="00FB3C94">
      <w:pPr>
        <w:pStyle w:val="Paragraphedeliste"/>
        <w:spacing w:after="0"/>
        <w:ind w:left="1440"/>
        <w:rPr>
          <w:rFonts w:ascii="Times New Roman" w:hAnsi="Times New Roman" w:cs="Times New Roman"/>
          <w:sz w:val="10"/>
          <w:szCs w:val="10"/>
        </w:rPr>
      </w:pPr>
    </w:p>
    <w:p w14:paraId="45E728FC" w14:textId="4B30E1DE" w:rsidR="00A91208" w:rsidRPr="00E72418" w:rsidRDefault="00A91208" w:rsidP="00FB3C9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Pricing terms in sovereign debt contracts: a Greek case study with implications for the European crisis resolution mechanism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2011, pp. 163-187</w:t>
      </w:r>
    </w:p>
    <w:p w14:paraId="501C1400" w14:textId="77777777" w:rsidR="00A91208" w:rsidRPr="00E72418" w:rsidRDefault="00A91208" w:rsidP="00A91208">
      <w:pPr>
        <w:pStyle w:val="Paragraphedeliste"/>
        <w:rPr>
          <w:rFonts w:ascii="Times New Roman" w:hAnsi="Times New Roman" w:cs="Times New Roman"/>
          <w:smallCaps/>
          <w:sz w:val="14"/>
          <w:szCs w:val="14"/>
        </w:rPr>
      </w:pPr>
    </w:p>
    <w:p w14:paraId="5DEB902A" w14:textId="51B088DD" w:rsidR="00FB3C94" w:rsidRPr="00E72418" w:rsidRDefault="00A91208" w:rsidP="007D7D59">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Choi</w:t>
      </w:r>
      <w:r w:rsidRPr="00E72418">
        <w:rPr>
          <w:rFonts w:ascii="Times New Roman" w:hAnsi="Times New Roman" w:cs="Times New Roman"/>
          <w:szCs w:val="24"/>
        </w:rPr>
        <w:t xml:space="preserve">, S. et </w:t>
      </w:r>
      <w:r w:rsidRPr="00E72418">
        <w:rPr>
          <w:rFonts w:ascii="Times New Roman" w:hAnsi="Times New Roman" w:cs="Times New Roman"/>
          <w:smallCaps/>
          <w:szCs w:val="24"/>
        </w:rPr>
        <w:t>Gulati</w:t>
      </w:r>
      <w:r w:rsidRPr="00E72418">
        <w:rPr>
          <w:rFonts w:ascii="Times New Roman" w:hAnsi="Times New Roman" w:cs="Times New Roman"/>
          <w:szCs w:val="24"/>
        </w:rPr>
        <w:t xml:space="preserve">, M., </w:t>
      </w:r>
    </w:p>
    <w:p w14:paraId="567683D5"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0073A3F" w14:textId="1ECA6AF9" w:rsidR="00FB3C94" w:rsidRPr="00E72418" w:rsidRDefault="00A91208" w:rsidP="00FB3C9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Contract as Statute », </w:t>
      </w:r>
      <w:r w:rsidRPr="00E72418">
        <w:rPr>
          <w:rFonts w:ascii="Times New Roman" w:hAnsi="Times New Roman" w:cs="Times New Roman"/>
          <w:i/>
          <w:szCs w:val="24"/>
        </w:rPr>
        <w:t>Michigan Law Review</w:t>
      </w:r>
      <w:r w:rsidRPr="00E72418">
        <w:rPr>
          <w:rFonts w:ascii="Times New Roman" w:hAnsi="Times New Roman" w:cs="Times New Roman"/>
          <w:szCs w:val="24"/>
        </w:rPr>
        <w:t>, 2006, pp. 1129-1173</w:t>
      </w:r>
    </w:p>
    <w:p w14:paraId="6F9AEBE1" w14:textId="77777777" w:rsidR="00FB3C94" w:rsidRPr="00E72418" w:rsidRDefault="00FB3C94" w:rsidP="00FB3C94">
      <w:pPr>
        <w:pStyle w:val="Paragraphedeliste"/>
        <w:spacing w:after="0"/>
        <w:ind w:left="1440"/>
        <w:rPr>
          <w:rFonts w:ascii="Times New Roman" w:hAnsi="Times New Roman" w:cs="Times New Roman"/>
          <w:sz w:val="10"/>
          <w:szCs w:val="10"/>
        </w:rPr>
      </w:pPr>
    </w:p>
    <w:p w14:paraId="5B5F9F7E" w14:textId="68188730" w:rsidR="00A91208" w:rsidRPr="00E72418" w:rsidRDefault="00A91208" w:rsidP="00FB3C9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Innovation in Boilerplate Contracts: an Empirical Examination of Sovereign Bonds », </w:t>
      </w:r>
      <w:r w:rsidRPr="00E72418">
        <w:rPr>
          <w:rFonts w:ascii="Times New Roman" w:hAnsi="Times New Roman" w:cs="Times New Roman"/>
          <w:i/>
          <w:szCs w:val="24"/>
          <w:lang w:val="en-US"/>
        </w:rPr>
        <w:t>Emory Law Journal</w:t>
      </w:r>
      <w:r w:rsidRPr="00E72418">
        <w:rPr>
          <w:rFonts w:ascii="Times New Roman" w:hAnsi="Times New Roman" w:cs="Times New Roman"/>
          <w:szCs w:val="24"/>
          <w:lang w:val="en-US"/>
        </w:rPr>
        <w:t>, 2004, pp. 929-996</w:t>
      </w:r>
    </w:p>
    <w:p w14:paraId="7E767BE9" w14:textId="77777777" w:rsidR="00A91208" w:rsidRPr="00E72418" w:rsidRDefault="00A91208" w:rsidP="00A91208">
      <w:pPr>
        <w:pStyle w:val="Paragraphedeliste"/>
        <w:rPr>
          <w:rFonts w:ascii="Times New Roman" w:hAnsi="Times New Roman" w:cs="Times New Roman"/>
          <w:sz w:val="14"/>
          <w:szCs w:val="14"/>
        </w:rPr>
      </w:pPr>
    </w:p>
    <w:p w14:paraId="227CA35D"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Clay, T., « </w:t>
      </w:r>
      <w:r w:rsidRPr="00E72418">
        <w:rPr>
          <w:rFonts w:ascii="Times New Roman" w:hAnsi="Times New Roman" w:cs="Times New Roman"/>
          <w:szCs w:val="24"/>
        </w:rPr>
        <w:t xml:space="preserve">Arbitrage et modes alternatifs de règlement des litiges », </w:t>
      </w:r>
      <w:r w:rsidRPr="00E72418">
        <w:rPr>
          <w:rFonts w:ascii="Times New Roman" w:hAnsi="Times New Roman" w:cs="Times New Roman"/>
          <w:i/>
          <w:szCs w:val="24"/>
        </w:rPr>
        <w:t>Recueil Dalloz</w:t>
      </w:r>
      <w:r w:rsidRPr="00E72418">
        <w:rPr>
          <w:rFonts w:ascii="Times New Roman" w:hAnsi="Times New Roman" w:cs="Times New Roman"/>
          <w:szCs w:val="24"/>
        </w:rPr>
        <w:t>, 29 décembre 2016, pp. 2589-2601</w:t>
      </w:r>
    </w:p>
    <w:p w14:paraId="2293FB3B" w14:textId="77777777" w:rsidR="00A91208" w:rsidRPr="00E72418" w:rsidRDefault="00A91208" w:rsidP="00A91208">
      <w:pPr>
        <w:pStyle w:val="Paragraphedeliste"/>
        <w:rPr>
          <w:rFonts w:ascii="Times New Roman" w:hAnsi="Times New Roman" w:cs="Times New Roman"/>
          <w:sz w:val="14"/>
          <w:szCs w:val="14"/>
        </w:rPr>
      </w:pPr>
    </w:p>
    <w:p w14:paraId="2219D51C"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Cohen</w:t>
      </w:r>
      <w:r w:rsidRPr="00E72418">
        <w:rPr>
          <w:rFonts w:ascii="Times New Roman" w:hAnsi="Times New Roman" w:cs="Times New Roman"/>
          <w:szCs w:val="24"/>
          <w:lang w:val="en-US"/>
        </w:rPr>
        <w:t xml:space="preserve">, R., « “Sometimes a Cigar is Just a Cigar”: the Simple Story of </w:t>
      </w:r>
      <w:r w:rsidRPr="00E72418">
        <w:rPr>
          <w:rFonts w:ascii="Times New Roman" w:hAnsi="Times New Roman" w:cs="Times New Roman"/>
          <w:i/>
          <w:szCs w:val="24"/>
          <w:lang w:val="en-US"/>
        </w:rPr>
        <w:t>Pari Passu</w:t>
      </w:r>
      <w:r w:rsidRPr="00E72418">
        <w:rPr>
          <w:rFonts w:ascii="Times New Roman" w:hAnsi="Times New Roman" w:cs="Times New Roman"/>
          <w:szCs w:val="24"/>
          <w:lang w:val="en-US"/>
        </w:rPr>
        <w:t> »,</w:t>
      </w:r>
      <w:r w:rsidRPr="00E72418">
        <w:rPr>
          <w:rFonts w:ascii="Times New Roman" w:hAnsi="Times New Roman" w:cs="Times New Roman"/>
          <w:i/>
          <w:iCs/>
          <w:szCs w:val="24"/>
          <w:lang w:val="en-US"/>
        </w:rPr>
        <w:t xml:space="preserve"> Hofstra Law Review</w:t>
      </w:r>
      <w:r w:rsidRPr="00E72418">
        <w:rPr>
          <w:rFonts w:ascii="Times New Roman" w:hAnsi="Times New Roman" w:cs="Times New Roman"/>
          <w:iCs/>
          <w:szCs w:val="24"/>
          <w:lang w:val="en-US"/>
        </w:rPr>
        <w:t>, 2011, pp. 11-23</w:t>
      </w:r>
    </w:p>
    <w:p w14:paraId="5411625F" w14:textId="77777777" w:rsidR="00A91208" w:rsidRPr="00E72418" w:rsidRDefault="00A91208" w:rsidP="00A91208">
      <w:pPr>
        <w:pStyle w:val="Paragraphedeliste"/>
        <w:rPr>
          <w:rFonts w:ascii="Times New Roman" w:hAnsi="Times New Roman" w:cs="Times New Roman"/>
          <w:sz w:val="14"/>
          <w:szCs w:val="14"/>
        </w:rPr>
      </w:pPr>
    </w:p>
    <w:p w14:paraId="39F7B020"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Couillault, B.</w:t>
      </w:r>
      <w:r w:rsidRPr="00E72418">
        <w:rPr>
          <w:rFonts w:ascii="Times New Roman" w:hAnsi="Times New Roman" w:cs="Times New Roman"/>
          <w:szCs w:val="24"/>
        </w:rPr>
        <w:t xml:space="preserve"> et </w:t>
      </w:r>
      <w:r w:rsidRPr="00E72418">
        <w:rPr>
          <w:rFonts w:ascii="Times New Roman" w:hAnsi="Times New Roman" w:cs="Times New Roman"/>
          <w:smallCaps/>
          <w:szCs w:val="24"/>
        </w:rPr>
        <w:t>Weber</w:t>
      </w:r>
      <w:r w:rsidRPr="00E72418">
        <w:rPr>
          <w:rFonts w:ascii="Times New Roman" w:hAnsi="Times New Roman" w:cs="Times New Roman"/>
          <w:szCs w:val="24"/>
        </w:rPr>
        <w:t xml:space="preserve">, </w:t>
      </w:r>
      <w:r w:rsidRPr="00E72418">
        <w:rPr>
          <w:rFonts w:ascii="Times New Roman" w:hAnsi="Times New Roman" w:cs="Times New Roman"/>
          <w:smallCaps/>
          <w:szCs w:val="24"/>
        </w:rPr>
        <w:t>P.-F.,</w:t>
      </w:r>
      <w:r w:rsidRPr="00E72418">
        <w:rPr>
          <w:rFonts w:ascii="Times New Roman" w:hAnsi="Times New Roman" w:cs="Times New Roman"/>
          <w:szCs w:val="24"/>
        </w:rPr>
        <w:t xml:space="preserve"> « Vers un Code de bonne conduite volontaire pour restructurer la dette souveraine », </w:t>
      </w:r>
      <w:r w:rsidRPr="00E72418">
        <w:rPr>
          <w:rFonts w:ascii="Times New Roman" w:hAnsi="Times New Roman" w:cs="Times New Roman"/>
          <w:i/>
          <w:szCs w:val="24"/>
        </w:rPr>
        <w:t>Revue stabilité financière</w:t>
      </w:r>
      <w:r w:rsidRPr="00E72418">
        <w:rPr>
          <w:rFonts w:ascii="Times New Roman" w:hAnsi="Times New Roman" w:cs="Times New Roman"/>
          <w:szCs w:val="24"/>
        </w:rPr>
        <w:t>, 2003, pp. 162-170</w:t>
      </w:r>
    </w:p>
    <w:p w14:paraId="6E2C9EC1" w14:textId="77777777" w:rsidR="00A91208" w:rsidRPr="00E72418" w:rsidRDefault="00A91208" w:rsidP="00A91208">
      <w:pPr>
        <w:pStyle w:val="Paragraphedeliste"/>
        <w:rPr>
          <w:rFonts w:ascii="Times New Roman" w:hAnsi="Times New Roman" w:cs="Times New Roman"/>
          <w:sz w:val="14"/>
          <w:szCs w:val="14"/>
        </w:rPr>
      </w:pPr>
    </w:p>
    <w:p w14:paraId="40D337DE"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Creplet, O. </w:t>
      </w:r>
      <w:r w:rsidRPr="00E72418">
        <w:rPr>
          <w:rFonts w:ascii="Times New Roman" w:hAnsi="Times New Roman" w:cs="Times New Roman"/>
          <w:szCs w:val="24"/>
        </w:rPr>
        <w:t>et</w:t>
      </w:r>
      <w:r w:rsidRPr="00E72418">
        <w:rPr>
          <w:rFonts w:ascii="Times New Roman" w:hAnsi="Times New Roman" w:cs="Times New Roman"/>
          <w:smallCaps/>
          <w:szCs w:val="24"/>
        </w:rPr>
        <w:t xml:space="preserve"> Courbis</w:t>
      </w:r>
      <w:r w:rsidRPr="00E72418">
        <w:rPr>
          <w:rFonts w:ascii="Times New Roman" w:hAnsi="Times New Roman" w:cs="Times New Roman"/>
          <w:szCs w:val="24"/>
        </w:rPr>
        <w:t xml:space="preserve">, J., « La loi belge du 12 juillet 2015 relative à la lutte contre les activités des fonds vautours », </w:t>
      </w:r>
      <w:r w:rsidRPr="00E72418">
        <w:rPr>
          <w:rFonts w:ascii="Times New Roman" w:hAnsi="Times New Roman" w:cs="Times New Roman"/>
          <w:i/>
          <w:szCs w:val="24"/>
        </w:rPr>
        <w:t>Revue luxembourgeoise de bancassurfinance</w:t>
      </w:r>
      <w:r w:rsidRPr="00E72418">
        <w:rPr>
          <w:rFonts w:ascii="Times New Roman" w:hAnsi="Times New Roman" w:cs="Times New Roman"/>
          <w:szCs w:val="24"/>
        </w:rPr>
        <w:t>, 2016, pp. 70-85</w:t>
      </w:r>
    </w:p>
    <w:p w14:paraId="02130CE7" w14:textId="77777777" w:rsidR="00A91208" w:rsidRPr="00E72418" w:rsidRDefault="00A91208" w:rsidP="00A91208">
      <w:pPr>
        <w:pStyle w:val="Paragraphedeliste"/>
        <w:rPr>
          <w:rFonts w:ascii="Times New Roman" w:hAnsi="Times New Roman" w:cs="Times New Roman"/>
          <w:sz w:val="14"/>
          <w:szCs w:val="14"/>
        </w:rPr>
      </w:pPr>
    </w:p>
    <w:p w14:paraId="2FE2B7CF"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Cross</w:t>
      </w:r>
      <w:r w:rsidRPr="00E72418">
        <w:rPr>
          <w:rFonts w:ascii="Times New Roman" w:hAnsi="Times New Roman" w:cs="Times New Roman"/>
          <w:szCs w:val="24"/>
          <w:lang w:val="en-US"/>
        </w:rPr>
        <w:t xml:space="preserve">, K., « The Extraterritorial Reach of Sovereign Debt Enforcement », </w:t>
      </w:r>
      <w:r w:rsidRPr="00E72418">
        <w:rPr>
          <w:rFonts w:ascii="Times New Roman" w:hAnsi="Times New Roman" w:cs="Times New Roman"/>
          <w:i/>
          <w:szCs w:val="24"/>
          <w:lang w:val="en-US"/>
        </w:rPr>
        <w:t>Berkeley Business Law Journal</w:t>
      </w:r>
      <w:r w:rsidRPr="00E72418">
        <w:rPr>
          <w:rFonts w:ascii="Times New Roman" w:hAnsi="Times New Roman" w:cs="Times New Roman"/>
          <w:szCs w:val="24"/>
          <w:lang w:val="en-US"/>
        </w:rPr>
        <w:t>, 2015, pp. 111-143</w:t>
      </w:r>
    </w:p>
    <w:p w14:paraId="27B25B64" w14:textId="77777777" w:rsidR="00A91208" w:rsidRPr="00E72418" w:rsidRDefault="00A91208" w:rsidP="00A91208">
      <w:pPr>
        <w:pStyle w:val="Paragraphedeliste"/>
        <w:rPr>
          <w:rFonts w:ascii="Times New Roman" w:hAnsi="Times New Roman" w:cs="Times New Roman"/>
          <w:sz w:val="14"/>
          <w:szCs w:val="14"/>
        </w:rPr>
      </w:pPr>
    </w:p>
    <w:p w14:paraId="0068D7FC" w14:textId="7F108F13"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Culpeper</w:t>
      </w:r>
      <w:r w:rsidRPr="00E72418">
        <w:rPr>
          <w:rFonts w:ascii="Times New Roman" w:hAnsi="Times New Roman" w:cs="Times New Roman"/>
          <w:szCs w:val="24"/>
          <w:lang w:val="en-US"/>
        </w:rPr>
        <w:t xml:space="preserve">, R. et </w:t>
      </w:r>
      <w:r w:rsidRPr="00E72418">
        <w:rPr>
          <w:rFonts w:ascii="Times New Roman" w:hAnsi="Times New Roman" w:cs="Times New Roman"/>
          <w:smallCaps/>
          <w:szCs w:val="24"/>
          <w:lang w:val="en-US"/>
        </w:rPr>
        <w:t>Kappagoda</w:t>
      </w:r>
      <w:r w:rsidRPr="00E72418">
        <w:rPr>
          <w:rFonts w:ascii="Times New Roman" w:hAnsi="Times New Roman" w:cs="Times New Roman"/>
          <w:szCs w:val="24"/>
          <w:lang w:val="en-US"/>
        </w:rPr>
        <w:t xml:space="preserve">, N., « The new face of developing country debt », </w:t>
      </w:r>
      <w:r w:rsidRPr="00E72418">
        <w:rPr>
          <w:rFonts w:ascii="Times New Roman" w:hAnsi="Times New Roman" w:cs="Times New Roman"/>
          <w:i/>
          <w:szCs w:val="24"/>
          <w:lang w:val="en-US"/>
        </w:rPr>
        <w:t>Third World Qua</w:t>
      </w:r>
      <w:r w:rsidR="00F621B0" w:rsidRPr="00E72418">
        <w:rPr>
          <w:rFonts w:ascii="Times New Roman" w:hAnsi="Times New Roman" w:cs="Times New Roman"/>
          <w:i/>
          <w:szCs w:val="24"/>
          <w:lang w:val="en-US"/>
        </w:rPr>
        <w:t>r</w:t>
      </w:r>
      <w:r w:rsidRPr="00E72418">
        <w:rPr>
          <w:rFonts w:ascii="Times New Roman" w:hAnsi="Times New Roman" w:cs="Times New Roman"/>
          <w:i/>
          <w:szCs w:val="24"/>
          <w:lang w:val="en-US"/>
        </w:rPr>
        <w:t>terly</w:t>
      </w:r>
      <w:r w:rsidRPr="00E72418">
        <w:rPr>
          <w:rFonts w:ascii="Times New Roman" w:hAnsi="Times New Roman" w:cs="Times New Roman"/>
          <w:szCs w:val="24"/>
          <w:lang w:val="en-US"/>
        </w:rPr>
        <w:t>, 2016, pp. 951-974</w:t>
      </w:r>
    </w:p>
    <w:p w14:paraId="51328B0E" w14:textId="77777777" w:rsidR="00A91208" w:rsidRPr="00E72418" w:rsidRDefault="00A91208" w:rsidP="00A91208">
      <w:pPr>
        <w:pStyle w:val="Paragraphedeliste"/>
        <w:rPr>
          <w:rFonts w:ascii="Times New Roman" w:hAnsi="Times New Roman" w:cs="Times New Roman"/>
          <w:sz w:val="14"/>
          <w:szCs w:val="14"/>
        </w:rPr>
      </w:pPr>
    </w:p>
    <w:p w14:paraId="1B0D6DE2"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Dale, G.</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El</w:t>
      </w:r>
      <w:r w:rsidRPr="00E72418">
        <w:rPr>
          <w:rFonts w:ascii="Times New Roman" w:hAnsi="Times New Roman" w:cs="Times New Roman"/>
          <w:szCs w:val="24"/>
          <w:lang w:val="en-US"/>
        </w:rPr>
        <w:t>-</w:t>
      </w:r>
      <w:r w:rsidRPr="00E72418">
        <w:rPr>
          <w:rFonts w:ascii="Times New Roman" w:hAnsi="Times New Roman" w:cs="Times New Roman"/>
          <w:smallCaps/>
          <w:szCs w:val="24"/>
          <w:lang w:val="en-US"/>
        </w:rPr>
        <w:t>Enany</w:t>
      </w:r>
      <w:r w:rsidRPr="00E72418">
        <w:rPr>
          <w:rFonts w:ascii="Times New Roman" w:hAnsi="Times New Roman" w:cs="Times New Roman"/>
          <w:szCs w:val="24"/>
          <w:lang w:val="en-US"/>
        </w:rPr>
        <w:t xml:space="preserve">, N., « The Limits of Social Europe: EU Law and the Ordoliberal Agenda », </w:t>
      </w:r>
      <w:r w:rsidRPr="00E72418">
        <w:rPr>
          <w:rFonts w:ascii="Times New Roman" w:hAnsi="Times New Roman" w:cs="Times New Roman"/>
          <w:i/>
          <w:szCs w:val="24"/>
          <w:lang w:val="en-US"/>
        </w:rPr>
        <w:t>German Law Journal</w:t>
      </w:r>
      <w:r w:rsidRPr="00E72418">
        <w:rPr>
          <w:rFonts w:ascii="Times New Roman" w:hAnsi="Times New Roman" w:cs="Times New Roman"/>
          <w:szCs w:val="24"/>
          <w:lang w:val="en-US"/>
        </w:rPr>
        <w:t>, 2013, pp. 613-649</w:t>
      </w:r>
    </w:p>
    <w:p w14:paraId="6D3D3823" w14:textId="77777777" w:rsidR="00A91208" w:rsidRPr="00E72418" w:rsidRDefault="00A91208" w:rsidP="00A91208">
      <w:pPr>
        <w:pStyle w:val="Paragraphedeliste"/>
        <w:rPr>
          <w:rFonts w:ascii="Times New Roman" w:hAnsi="Times New Roman" w:cs="Times New Roman"/>
          <w:sz w:val="14"/>
          <w:szCs w:val="14"/>
        </w:rPr>
      </w:pPr>
    </w:p>
    <w:p w14:paraId="517091EA" w14:textId="1AFC171D" w:rsidR="00FB3C94" w:rsidRPr="00E72418" w:rsidRDefault="00A91208" w:rsidP="007D7D59">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d’Argent,</w:t>
      </w:r>
      <w:r w:rsidRPr="00E72418">
        <w:rPr>
          <w:rFonts w:ascii="Times New Roman" w:hAnsi="Times New Roman" w:cs="Times New Roman"/>
          <w:szCs w:val="24"/>
        </w:rPr>
        <w:t xml:space="preserve"> P., </w:t>
      </w:r>
    </w:p>
    <w:p w14:paraId="00ACF5F7"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05E44D35" w14:textId="35F11181" w:rsidR="00A91208"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w:t>
      </w:r>
      <w:r w:rsidR="005258D9" w:rsidRPr="00E72418">
        <w:rPr>
          <w:rFonts w:ascii="Times New Roman" w:hAnsi="Times New Roman" w:cs="Times New Roman"/>
          <w:szCs w:val="24"/>
        </w:rPr>
        <w:t xml:space="preserve"> L’immunité de juridiction des </w:t>
      </w:r>
      <w:r w:rsidR="005258D9" w:rsidRPr="00E72418">
        <w:rPr>
          <w:rFonts w:cs="Times New Roman"/>
          <w:szCs w:val="24"/>
        </w:rPr>
        <w:t>É</w:t>
      </w:r>
      <w:r w:rsidRPr="00E72418">
        <w:rPr>
          <w:rFonts w:ascii="Times New Roman" w:hAnsi="Times New Roman" w:cs="Times New Roman"/>
          <w:szCs w:val="24"/>
        </w:rPr>
        <w:t xml:space="preserve">tats étrangers: une question de contexte », </w:t>
      </w:r>
      <w:r w:rsidRPr="00E72418">
        <w:rPr>
          <w:rFonts w:ascii="Times New Roman" w:hAnsi="Times New Roman" w:cs="Times New Roman"/>
          <w:i/>
          <w:szCs w:val="24"/>
        </w:rPr>
        <w:t>Revue critique de jurisprudence belge</w:t>
      </w:r>
      <w:r w:rsidRPr="00E72418">
        <w:rPr>
          <w:rFonts w:ascii="Times New Roman" w:hAnsi="Times New Roman" w:cs="Times New Roman"/>
          <w:szCs w:val="24"/>
        </w:rPr>
        <w:t>, 2018, pp. 20-36</w:t>
      </w:r>
    </w:p>
    <w:p w14:paraId="7C394931"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0ED5FF71" w14:textId="27B20F1F" w:rsidR="007D7D59"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Saisies de comptes d’ambassade, immunité d’exécution et renonciation contractuelle », </w:t>
      </w:r>
      <w:r w:rsidRPr="00E72418">
        <w:rPr>
          <w:rFonts w:ascii="Times New Roman" w:hAnsi="Times New Roman" w:cs="Times New Roman"/>
          <w:i/>
          <w:iCs/>
          <w:szCs w:val="24"/>
        </w:rPr>
        <w:t>Journal des tribunaux</w:t>
      </w:r>
      <w:r w:rsidRPr="00E72418">
        <w:rPr>
          <w:rFonts w:ascii="Times New Roman" w:hAnsi="Times New Roman" w:cs="Times New Roman"/>
          <w:szCs w:val="24"/>
        </w:rPr>
        <w:t>, 2013, pp. 290-294</w:t>
      </w:r>
    </w:p>
    <w:p w14:paraId="74FADD0B"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04B4FC4" w14:textId="006D8424" w:rsidR="007D7D59"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Jurisprudence belge relative au droit international public (2008-2011) », </w:t>
      </w:r>
      <w:r w:rsidRPr="00E72418">
        <w:rPr>
          <w:rFonts w:ascii="Times New Roman" w:hAnsi="Times New Roman" w:cs="Times New Roman"/>
          <w:i/>
          <w:szCs w:val="24"/>
        </w:rPr>
        <w:t>Revue belge de droit international</w:t>
      </w:r>
      <w:r w:rsidRPr="00E72418">
        <w:rPr>
          <w:rFonts w:ascii="Times New Roman" w:hAnsi="Times New Roman" w:cs="Times New Roman"/>
          <w:szCs w:val="24"/>
        </w:rPr>
        <w:t>, 2012, pp. 285-325</w:t>
      </w:r>
    </w:p>
    <w:p w14:paraId="4618AE79" w14:textId="77777777" w:rsidR="007D7D59" w:rsidRPr="00E72418" w:rsidRDefault="007D7D59" w:rsidP="007D7D59">
      <w:pPr>
        <w:pStyle w:val="Paragraphedeliste"/>
        <w:spacing w:after="0"/>
        <w:ind w:left="1440"/>
        <w:rPr>
          <w:rFonts w:ascii="Times New Roman" w:hAnsi="Times New Roman" w:cs="Times New Roman"/>
          <w:sz w:val="14"/>
          <w:szCs w:val="14"/>
        </w:rPr>
      </w:pPr>
    </w:p>
    <w:p w14:paraId="323B29DC" w14:textId="77777777" w:rsidR="007D7D59"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Jurisprudence belge relative au droit international public (1993-2003) », </w:t>
      </w:r>
      <w:r w:rsidRPr="00E72418">
        <w:rPr>
          <w:rFonts w:ascii="Times New Roman" w:hAnsi="Times New Roman" w:cs="Times New Roman"/>
          <w:i/>
          <w:szCs w:val="24"/>
        </w:rPr>
        <w:t>Revue belge de droit international,</w:t>
      </w:r>
      <w:r w:rsidRPr="00E72418">
        <w:rPr>
          <w:rFonts w:ascii="Times New Roman" w:hAnsi="Times New Roman" w:cs="Times New Roman"/>
          <w:szCs w:val="24"/>
        </w:rPr>
        <w:t xml:space="preserve"> 2003, pp. 575-636</w:t>
      </w:r>
    </w:p>
    <w:p w14:paraId="4AB9AB74"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603D41A4" w14:textId="06F39C23" w:rsidR="00A91208"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Le juge des saisies, le Conseil de sécurité et l’immunité d’exécution restreinte des </w:t>
      </w:r>
      <w:r w:rsidR="00D60365" w:rsidRPr="00E72418">
        <w:rPr>
          <w:rFonts w:cs="Times New Roman"/>
          <w:szCs w:val="24"/>
        </w:rPr>
        <w:t>É</w:t>
      </w:r>
      <w:r w:rsidR="00D60365" w:rsidRPr="00E72418">
        <w:rPr>
          <w:rFonts w:ascii="Times New Roman" w:hAnsi="Times New Roman" w:cs="Times New Roman"/>
          <w:szCs w:val="24"/>
        </w:rPr>
        <w:t xml:space="preserve">tats </w:t>
      </w:r>
      <w:r w:rsidRPr="00E72418">
        <w:rPr>
          <w:rFonts w:ascii="Times New Roman" w:hAnsi="Times New Roman" w:cs="Times New Roman"/>
          <w:szCs w:val="24"/>
        </w:rPr>
        <w:t xml:space="preserve">étrangers », </w:t>
      </w:r>
      <w:r w:rsidRPr="00E72418">
        <w:rPr>
          <w:rFonts w:ascii="Times New Roman" w:hAnsi="Times New Roman" w:cs="Times New Roman"/>
          <w:i/>
          <w:iCs/>
          <w:szCs w:val="24"/>
        </w:rPr>
        <w:t>Journal des tribunaux</w:t>
      </w:r>
      <w:r w:rsidRPr="00E72418">
        <w:rPr>
          <w:rFonts w:ascii="Times New Roman" w:hAnsi="Times New Roman" w:cs="Times New Roman"/>
          <w:szCs w:val="24"/>
        </w:rPr>
        <w:t>, 1995, pp. 568-572</w:t>
      </w:r>
    </w:p>
    <w:p w14:paraId="6EC37B8F" w14:textId="77777777" w:rsidR="00FB3C94" w:rsidRPr="00E72418" w:rsidRDefault="00FB3C94" w:rsidP="00FB3C94">
      <w:pPr>
        <w:pStyle w:val="Paragraphedeliste"/>
        <w:rPr>
          <w:rFonts w:ascii="Times New Roman" w:hAnsi="Times New Roman" w:cs="Times New Roman"/>
          <w:sz w:val="14"/>
          <w:szCs w:val="14"/>
        </w:rPr>
      </w:pPr>
    </w:p>
    <w:p w14:paraId="538BB3C4" w14:textId="61E45695" w:rsidR="00FB3C94" w:rsidRPr="00E72418" w:rsidRDefault="00FB3C94" w:rsidP="00FB3C94">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d’Argent,</w:t>
      </w:r>
      <w:r w:rsidRPr="00E72418">
        <w:rPr>
          <w:rFonts w:ascii="Times New Roman" w:hAnsi="Times New Roman" w:cs="Times New Roman"/>
          <w:szCs w:val="24"/>
        </w:rPr>
        <w:t xml:space="preserve"> P., </w:t>
      </w:r>
      <w:r w:rsidRPr="00E72418">
        <w:rPr>
          <w:rFonts w:ascii="Times New Roman" w:hAnsi="Times New Roman" w:cs="Times New Roman"/>
          <w:smallCaps/>
          <w:szCs w:val="24"/>
        </w:rPr>
        <w:t>de Vaucleroy</w:t>
      </w:r>
      <w:r w:rsidRPr="00E72418">
        <w:rPr>
          <w:rFonts w:ascii="Times New Roman" w:hAnsi="Times New Roman" w:cs="Times New Roman"/>
          <w:szCs w:val="24"/>
        </w:rPr>
        <w:t xml:space="preserve">, A., </w:t>
      </w:r>
      <w:r w:rsidRPr="00E72418">
        <w:rPr>
          <w:rFonts w:ascii="Times New Roman" w:hAnsi="Times New Roman" w:cs="Times New Roman"/>
          <w:smallCaps/>
          <w:szCs w:val="24"/>
        </w:rPr>
        <w:t>Dopagne</w:t>
      </w:r>
      <w:r w:rsidRPr="00E72418">
        <w:rPr>
          <w:rFonts w:ascii="Times New Roman" w:hAnsi="Times New Roman" w:cs="Times New Roman"/>
          <w:szCs w:val="24"/>
        </w:rPr>
        <w:t xml:space="preserve">, F. et </w:t>
      </w:r>
      <w:r w:rsidRPr="00E72418">
        <w:rPr>
          <w:rFonts w:ascii="Times New Roman" w:hAnsi="Times New Roman" w:cs="Times New Roman"/>
          <w:smallCaps/>
          <w:szCs w:val="24"/>
        </w:rPr>
        <w:t>Lanotte</w:t>
      </w:r>
      <w:r w:rsidRPr="00E72418">
        <w:rPr>
          <w:rFonts w:ascii="Times New Roman" w:hAnsi="Times New Roman" w:cs="Times New Roman"/>
          <w:szCs w:val="24"/>
        </w:rPr>
        <w:t xml:space="preserve">, E., « Jurisprudence belge relative au droit international public (2012-2017) », </w:t>
      </w:r>
      <w:r w:rsidRPr="00E72418">
        <w:rPr>
          <w:rFonts w:ascii="Times New Roman" w:hAnsi="Times New Roman" w:cs="Times New Roman"/>
          <w:i/>
          <w:szCs w:val="24"/>
        </w:rPr>
        <w:t>Revue belge de droit international</w:t>
      </w:r>
      <w:r w:rsidRPr="00E72418">
        <w:rPr>
          <w:rFonts w:ascii="Times New Roman" w:hAnsi="Times New Roman" w:cs="Times New Roman"/>
          <w:szCs w:val="24"/>
        </w:rPr>
        <w:t>, 2018, pp. 201-268</w:t>
      </w:r>
    </w:p>
    <w:p w14:paraId="6A907110" w14:textId="77777777" w:rsidR="00FB3C94" w:rsidRPr="00E72418" w:rsidRDefault="00FB3C94" w:rsidP="00FB3C94">
      <w:pPr>
        <w:pStyle w:val="Paragraphedeliste"/>
        <w:rPr>
          <w:rFonts w:ascii="Times New Roman" w:hAnsi="Times New Roman" w:cs="Times New Roman"/>
          <w:sz w:val="14"/>
          <w:szCs w:val="14"/>
        </w:rPr>
      </w:pPr>
    </w:p>
    <w:p w14:paraId="0FDA8FA3" w14:textId="2920CDF4" w:rsidR="00FB3C94" w:rsidRPr="00E72418" w:rsidRDefault="00FB3C94" w:rsidP="00FB3C94">
      <w:pPr>
        <w:pStyle w:val="Paragraphedeliste"/>
        <w:numPr>
          <w:ilvl w:val="0"/>
          <w:numId w:val="18"/>
        </w:numPr>
        <w:spacing w:after="0"/>
        <w:rPr>
          <w:rFonts w:ascii="Times New Roman" w:hAnsi="Times New Roman" w:cs="Times New Roman"/>
          <w:szCs w:val="24"/>
        </w:rPr>
      </w:pPr>
      <w:r w:rsidRPr="00E72418">
        <w:rPr>
          <w:smallCaps/>
        </w:rPr>
        <w:t>d’Avout</w:t>
      </w:r>
      <w:r w:rsidRPr="00E72418">
        <w:t xml:space="preserve">, L., « Immunité d’exécution des </w:t>
      </w:r>
      <w:r w:rsidRPr="00E72418">
        <w:rPr>
          <w:rFonts w:cs="Times New Roman"/>
          <w:szCs w:val="24"/>
        </w:rPr>
        <w:t>É</w:t>
      </w:r>
      <w:r w:rsidRPr="00E72418">
        <w:t xml:space="preserve">tats étrangers », </w:t>
      </w:r>
      <w:r w:rsidRPr="00E72418">
        <w:rPr>
          <w:i/>
        </w:rPr>
        <w:t>Recueil Dalloz</w:t>
      </w:r>
      <w:r w:rsidRPr="00E72418">
        <w:t>, 2017, pp. 2056-2057</w:t>
      </w:r>
    </w:p>
    <w:p w14:paraId="2A7ABF40" w14:textId="77777777" w:rsidR="008B4431" w:rsidRPr="00E72418" w:rsidRDefault="008B4431" w:rsidP="008B4431">
      <w:pPr>
        <w:pStyle w:val="Paragraphedeliste"/>
        <w:rPr>
          <w:rFonts w:ascii="Times New Roman" w:hAnsi="Times New Roman" w:cs="Times New Roman"/>
          <w:sz w:val="14"/>
          <w:szCs w:val="14"/>
        </w:rPr>
      </w:pPr>
    </w:p>
    <w:p w14:paraId="7C3714A5" w14:textId="40D174F3" w:rsidR="00D60365" w:rsidRPr="00E72418" w:rsidRDefault="008B4431" w:rsidP="00FB3C94">
      <w:pPr>
        <w:pStyle w:val="Paragraphedeliste"/>
        <w:numPr>
          <w:ilvl w:val="0"/>
          <w:numId w:val="18"/>
        </w:numPr>
        <w:spacing w:after="0"/>
        <w:rPr>
          <w:rFonts w:ascii="Times New Roman" w:hAnsi="Times New Roman" w:cs="Times New Roman"/>
          <w:szCs w:val="24"/>
        </w:rPr>
      </w:pPr>
      <w:r w:rsidRPr="00E72418">
        <w:rPr>
          <w:rStyle w:val="Titre6Car"/>
          <w:rFonts w:ascii="Times" w:eastAsiaTheme="minorHAnsi" w:hAnsi="Times" w:cstheme="minorBidi"/>
          <w:smallCaps/>
          <w:color w:val="auto"/>
          <w:szCs w:val="20"/>
        </w:rPr>
        <w:t>d’Avout, L.</w:t>
      </w:r>
      <w:r w:rsidRPr="00E72418">
        <w:rPr>
          <w:rStyle w:val="Titre6Car"/>
          <w:rFonts w:ascii="Times" w:eastAsiaTheme="minorHAnsi" w:hAnsi="Times" w:cstheme="minorBidi"/>
          <w:color w:val="auto"/>
          <w:szCs w:val="20"/>
        </w:rPr>
        <w:t xml:space="preserve"> et </w:t>
      </w:r>
      <w:r w:rsidRPr="00E72418">
        <w:rPr>
          <w:rStyle w:val="Titre6Car"/>
          <w:rFonts w:ascii="Times" w:eastAsiaTheme="minorHAnsi" w:hAnsi="Times" w:cstheme="minorBidi"/>
          <w:smallCaps/>
          <w:color w:val="auto"/>
          <w:szCs w:val="20"/>
        </w:rPr>
        <w:t>Bollée</w:t>
      </w:r>
      <w:r w:rsidRPr="00E72418">
        <w:rPr>
          <w:rStyle w:val="Titre6Car"/>
          <w:rFonts w:ascii="Times" w:eastAsiaTheme="minorHAnsi" w:hAnsi="Times" w:cstheme="minorBidi"/>
          <w:color w:val="auto"/>
          <w:szCs w:val="20"/>
        </w:rPr>
        <w:t xml:space="preserve">, S., « Panorama – Droit du commerce international – août 2017-juillet 2018 », </w:t>
      </w:r>
      <w:r w:rsidRPr="00E72418">
        <w:rPr>
          <w:rStyle w:val="Titre6Car"/>
          <w:rFonts w:ascii="Times" w:eastAsiaTheme="minorHAnsi" w:hAnsi="Times" w:cstheme="minorBidi"/>
          <w:i/>
          <w:color w:val="auto"/>
          <w:szCs w:val="20"/>
        </w:rPr>
        <w:t>Recueil Dalloz</w:t>
      </w:r>
      <w:r w:rsidRPr="00E72418">
        <w:rPr>
          <w:rStyle w:val="Titre6Car"/>
          <w:rFonts w:ascii="Times" w:eastAsiaTheme="minorHAnsi" w:hAnsi="Times" w:cstheme="minorBidi"/>
          <w:color w:val="auto"/>
          <w:szCs w:val="20"/>
        </w:rPr>
        <w:t>, 2018, pp. 1934-1948</w:t>
      </w:r>
    </w:p>
    <w:p w14:paraId="290C1AC1" w14:textId="77777777" w:rsidR="00A91208" w:rsidRPr="00E72418" w:rsidRDefault="00A91208" w:rsidP="00A91208">
      <w:pPr>
        <w:pStyle w:val="Paragraphedeliste"/>
        <w:rPr>
          <w:rFonts w:ascii="Times New Roman" w:hAnsi="Times New Roman" w:cs="Times New Roman"/>
          <w:sz w:val="14"/>
          <w:szCs w:val="14"/>
        </w:rPr>
      </w:pPr>
    </w:p>
    <w:p w14:paraId="506B2059"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de Foestraets</w:t>
      </w:r>
      <w:r w:rsidRPr="00E72418">
        <w:rPr>
          <w:rFonts w:ascii="Times New Roman" w:hAnsi="Times New Roman" w:cs="Times New Roman"/>
          <w:szCs w:val="24"/>
        </w:rPr>
        <w:t xml:space="preserve">, G., « Retrait litigieux et cessions d’universalité », </w:t>
      </w:r>
      <w:r w:rsidRPr="00E72418">
        <w:rPr>
          <w:rFonts w:ascii="Times New Roman" w:hAnsi="Times New Roman" w:cs="Times New Roman"/>
          <w:i/>
          <w:szCs w:val="24"/>
        </w:rPr>
        <w:t>Journal des tribunaux</w:t>
      </w:r>
      <w:r w:rsidRPr="00E72418">
        <w:rPr>
          <w:rFonts w:ascii="Times New Roman" w:hAnsi="Times New Roman" w:cs="Times New Roman"/>
          <w:szCs w:val="24"/>
        </w:rPr>
        <w:t>, 2010, pp. 605-609</w:t>
      </w:r>
    </w:p>
    <w:p w14:paraId="38C4E60D" w14:textId="77777777" w:rsidR="00A91208" w:rsidRPr="00E72418" w:rsidRDefault="00A91208" w:rsidP="00A91208">
      <w:pPr>
        <w:pStyle w:val="Paragraphedeliste"/>
        <w:rPr>
          <w:rFonts w:ascii="Times New Roman" w:hAnsi="Times New Roman" w:cs="Times New Roman"/>
          <w:sz w:val="14"/>
          <w:szCs w:val="14"/>
        </w:rPr>
      </w:pPr>
    </w:p>
    <w:p w14:paraId="74BA53E4"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Deforge, Q. </w:t>
      </w:r>
      <w:r w:rsidRPr="00E72418">
        <w:rPr>
          <w:rFonts w:ascii="Times New Roman" w:hAnsi="Times New Roman" w:cs="Times New Roman"/>
          <w:szCs w:val="24"/>
        </w:rPr>
        <w:t xml:space="preserve">et </w:t>
      </w:r>
      <w:r w:rsidRPr="00E72418">
        <w:rPr>
          <w:rFonts w:ascii="Times New Roman" w:hAnsi="Times New Roman" w:cs="Times New Roman"/>
          <w:smallCaps/>
          <w:szCs w:val="24"/>
        </w:rPr>
        <w:t>Lemoine, B., « </w:t>
      </w:r>
      <w:r w:rsidRPr="00E72418">
        <w:rPr>
          <w:rFonts w:ascii="Times New Roman" w:hAnsi="Times New Roman" w:cs="Times New Roman"/>
          <w:szCs w:val="24"/>
        </w:rPr>
        <w:t xml:space="preserve">Faillite d’État et fragilité juridique – L’Argentine face à l’ordre financier international », </w:t>
      </w:r>
      <w:r w:rsidRPr="00E72418">
        <w:rPr>
          <w:rFonts w:ascii="Times New Roman" w:hAnsi="Times New Roman" w:cs="Times New Roman"/>
          <w:i/>
          <w:szCs w:val="24"/>
        </w:rPr>
        <w:t>Actes de la recherche en sciences sociales</w:t>
      </w:r>
      <w:r w:rsidRPr="00E72418">
        <w:rPr>
          <w:rFonts w:ascii="Times New Roman" w:hAnsi="Times New Roman" w:cs="Times New Roman"/>
          <w:szCs w:val="24"/>
        </w:rPr>
        <w:t>, 2018, pp. 39-63</w:t>
      </w:r>
    </w:p>
    <w:p w14:paraId="2B31437F" w14:textId="77777777" w:rsidR="00A91208" w:rsidRPr="00E72418" w:rsidRDefault="00A91208" w:rsidP="00A91208">
      <w:pPr>
        <w:pStyle w:val="Paragraphedeliste"/>
        <w:rPr>
          <w:rFonts w:ascii="Times New Roman" w:hAnsi="Times New Roman" w:cs="Times New Roman"/>
          <w:sz w:val="14"/>
          <w:szCs w:val="14"/>
        </w:rPr>
      </w:pPr>
    </w:p>
    <w:p w14:paraId="5465C59F" w14:textId="3B9CCFEA" w:rsidR="004800E4" w:rsidRPr="00E72418" w:rsidRDefault="007D7D59" w:rsidP="007D7D59">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De Jonghe, C.,</w:t>
      </w:r>
    </w:p>
    <w:p w14:paraId="5C3430E6"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0A3300F" w14:textId="77777777" w:rsidR="007D7D59"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mallCaps/>
          <w:szCs w:val="24"/>
        </w:rPr>
        <w:lastRenderedPageBreak/>
        <w:t>« L</w:t>
      </w:r>
      <w:r w:rsidRPr="00E72418">
        <w:rPr>
          <w:rFonts w:ascii="Times New Roman" w:hAnsi="Times New Roman" w:cs="Times New Roman"/>
          <w:szCs w:val="24"/>
        </w:rPr>
        <w:t xml:space="preserve">e retrait litigieux à l’épreuve de la pratique financière contemporaine », </w:t>
      </w:r>
      <w:r w:rsidRPr="00E72418">
        <w:rPr>
          <w:rFonts w:ascii="Times New Roman" w:hAnsi="Times New Roman" w:cs="Times New Roman"/>
          <w:i/>
          <w:szCs w:val="24"/>
        </w:rPr>
        <w:t>Revue de droit commercial</w:t>
      </w:r>
      <w:r w:rsidR="00BE6469" w:rsidRPr="00E72418">
        <w:rPr>
          <w:rFonts w:ascii="Times New Roman" w:hAnsi="Times New Roman" w:cs="Times New Roman"/>
          <w:i/>
          <w:szCs w:val="24"/>
        </w:rPr>
        <w:t xml:space="preserve"> belge</w:t>
      </w:r>
      <w:r w:rsidRPr="00E72418">
        <w:rPr>
          <w:rFonts w:ascii="Times New Roman" w:hAnsi="Times New Roman" w:cs="Times New Roman"/>
          <w:szCs w:val="24"/>
        </w:rPr>
        <w:t>, 2019, pp. 215-244</w:t>
      </w:r>
    </w:p>
    <w:p w14:paraId="49E465A9"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3E0299EC" w14:textId="4128052A" w:rsidR="00A91208" w:rsidRPr="00E72418" w:rsidRDefault="00A91208" w:rsidP="00A91208">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mallCaps/>
          <w:szCs w:val="24"/>
        </w:rPr>
        <w:t>« </w:t>
      </w:r>
      <w:r w:rsidRPr="00E72418">
        <w:rPr>
          <w:rFonts w:ascii="Times New Roman" w:hAnsi="Times New Roman" w:cs="Times New Roman"/>
          <w:szCs w:val="24"/>
        </w:rPr>
        <w:t xml:space="preserve">Vers un encadrement européen de l’activité des fonds vautours ? », </w:t>
      </w:r>
      <w:r w:rsidR="00BE6469" w:rsidRPr="00E72418">
        <w:rPr>
          <w:rFonts w:ascii="Times New Roman" w:hAnsi="Times New Roman" w:cs="Times New Roman"/>
          <w:i/>
          <w:szCs w:val="24"/>
        </w:rPr>
        <w:t>Droit du Fina</w:t>
      </w:r>
      <w:r w:rsidR="007D30F7" w:rsidRPr="00E72418">
        <w:rPr>
          <w:rFonts w:ascii="Times New Roman" w:hAnsi="Times New Roman" w:cs="Times New Roman"/>
          <w:i/>
          <w:szCs w:val="24"/>
        </w:rPr>
        <w:t>n</w:t>
      </w:r>
      <w:r w:rsidR="00BE6469" w:rsidRPr="00E72418">
        <w:rPr>
          <w:rFonts w:ascii="Times New Roman" w:hAnsi="Times New Roman" w:cs="Times New Roman"/>
          <w:i/>
          <w:szCs w:val="24"/>
        </w:rPr>
        <w:t>cement de l’É</w:t>
      </w:r>
      <w:r w:rsidRPr="00E72418">
        <w:rPr>
          <w:rFonts w:ascii="Times New Roman" w:hAnsi="Times New Roman" w:cs="Times New Roman"/>
          <w:i/>
          <w:szCs w:val="24"/>
        </w:rPr>
        <w:t>conomie</w:t>
      </w:r>
      <w:r w:rsidRPr="00E72418">
        <w:rPr>
          <w:rFonts w:ascii="Times New Roman" w:hAnsi="Times New Roman" w:cs="Times New Roman"/>
          <w:szCs w:val="24"/>
        </w:rPr>
        <w:t>, 2019, pp. 8-17</w:t>
      </w:r>
    </w:p>
    <w:p w14:paraId="1A9D3678" w14:textId="77777777" w:rsidR="007D7D59" w:rsidRPr="00E72418" w:rsidRDefault="007D7D59" w:rsidP="007D7D59">
      <w:pPr>
        <w:pStyle w:val="Paragraphedeliste"/>
        <w:spacing w:after="0"/>
        <w:rPr>
          <w:rFonts w:ascii="Times New Roman" w:hAnsi="Times New Roman" w:cs="Times New Roman"/>
          <w:sz w:val="14"/>
          <w:szCs w:val="14"/>
        </w:rPr>
      </w:pPr>
    </w:p>
    <w:p w14:paraId="04D7C9CE" w14:textId="076A787E"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Delaume</w:t>
      </w:r>
      <w:r w:rsidRPr="00E72418">
        <w:rPr>
          <w:rFonts w:ascii="Times New Roman" w:hAnsi="Times New Roman" w:cs="Times New Roman"/>
          <w:szCs w:val="24"/>
        </w:rPr>
        <w:t xml:space="preserve">, G., « The Foreign Sovereign Immunities Act and Public Debt Litigation: Some Fifteen Years Later », </w:t>
      </w:r>
      <w:r w:rsidRPr="00E72418">
        <w:rPr>
          <w:rFonts w:ascii="Times New Roman" w:hAnsi="Times New Roman" w:cs="Times New Roman"/>
          <w:i/>
          <w:szCs w:val="24"/>
        </w:rPr>
        <w:t>The American Journal of International Law</w:t>
      </w:r>
      <w:r w:rsidRPr="00E72418">
        <w:rPr>
          <w:rFonts w:ascii="Times New Roman" w:hAnsi="Times New Roman" w:cs="Times New Roman"/>
          <w:szCs w:val="24"/>
        </w:rPr>
        <w:t>, 1994, pp. 257-279</w:t>
      </w:r>
    </w:p>
    <w:p w14:paraId="656599DB" w14:textId="77777777" w:rsidR="00A91208" w:rsidRPr="00E72418" w:rsidRDefault="00A91208" w:rsidP="00A91208">
      <w:pPr>
        <w:pStyle w:val="Paragraphedeliste"/>
        <w:rPr>
          <w:rFonts w:ascii="Times New Roman" w:hAnsi="Times New Roman" w:cs="Times New Roman"/>
          <w:sz w:val="14"/>
          <w:szCs w:val="14"/>
        </w:rPr>
      </w:pPr>
    </w:p>
    <w:p w14:paraId="05CC6557"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iCs/>
          <w:smallCaps/>
          <w:szCs w:val="24"/>
          <w:lang w:val="en-US"/>
        </w:rPr>
        <w:t>Ding</w:t>
      </w:r>
      <w:r w:rsidRPr="00E72418">
        <w:rPr>
          <w:rFonts w:ascii="Times New Roman" w:hAnsi="Times New Roman" w:cs="Times New Roman"/>
          <w:iCs/>
          <w:szCs w:val="24"/>
          <w:lang w:val="en-US"/>
        </w:rPr>
        <w:t xml:space="preserve">, Y., </w:t>
      </w:r>
      <w:r w:rsidRPr="00E72418">
        <w:rPr>
          <w:rFonts w:ascii="Times New Roman" w:hAnsi="Times New Roman" w:cs="Times New Roman"/>
          <w:szCs w:val="24"/>
          <w:lang w:val="en-US"/>
        </w:rPr>
        <w:t xml:space="preserve">« Absolute, Restrictive, or Something More: Did Beijing Choose the Right Type of Sovereign Immunity for Hong Kong ? », </w:t>
      </w:r>
      <w:r w:rsidRPr="00E72418">
        <w:rPr>
          <w:rFonts w:ascii="Times New Roman" w:hAnsi="Times New Roman" w:cs="Times New Roman"/>
          <w:i/>
          <w:szCs w:val="24"/>
          <w:lang w:val="en-US"/>
        </w:rPr>
        <w:t>Emory International Law Review</w:t>
      </w:r>
      <w:r w:rsidRPr="00E72418">
        <w:rPr>
          <w:rFonts w:ascii="Times New Roman" w:hAnsi="Times New Roman" w:cs="Times New Roman"/>
          <w:szCs w:val="24"/>
          <w:lang w:val="en-US"/>
        </w:rPr>
        <w:t>, 2012, pp. 997-1037</w:t>
      </w:r>
    </w:p>
    <w:p w14:paraId="0D587AF9" w14:textId="77777777" w:rsidR="00A91208" w:rsidRPr="00E72418" w:rsidRDefault="00A91208" w:rsidP="00A91208">
      <w:pPr>
        <w:pStyle w:val="Paragraphedeliste"/>
        <w:rPr>
          <w:rFonts w:ascii="Times New Roman" w:hAnsi="Times New Roman" w:cs="Times New Roman"/>
          <w:sz w:val="14"/>
          <w:szCs w:val="14"/>
        </w:rPr>
      </w:pPr>
    </w:p>
    <w:p w14:paraId="1672570F"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iCs/>
          <w:smallCaps/>
          <w:szCs w:val="24"/>
          <w:lang w:val="en-US"/>
        </w:rPr>
        <w:t xml:space="preserve">Dodge, W., </w:t>
      </w:r>
      <w:r w:rsidRPr="00E72418">
        <w:rPr>
          <w:rFonts w:ascii="Times New Roman" w:hAnsi="Times New Roman" w:cs="Times New Roman"/>
          <w:szCs w:val="24"/>
          <w:lang w:val="en-US"/>
        </w:rPr>
        <w:t xml:space="preserve">« Jurisdiction, State Immunity, and Judgments in the Restatement (Fourth) of US Foreign Relation Law », </w:t>
      </w:r>
      <w:r w:rsidRPr="00E72418">
        <w:rPr>
          <w:rFonts w:ascii="Times New Roman" w:hAnsi="Times New Roman" w:cs="Times New Roman"/>
          <w:i/>
          <w:szCs w:val="24"/>
          <w:lang w:val="en-US"/>
        </w:rPr>
        <w:t>Chinese Journal of International Law</w:t>
      </w:r>
      <w:r w:rsidRPr="00E72418">
        <w:rPr>
          <w:rFonts w:ascii="Times New Roman" w:hAnsi="Times New Roman" w:cs="Times New Roman"/>
          <w:szCs w:val="24"/>
          <w:lang w:val="en-US"/>
        </w:rPr>
        <w:t>, 2020, pp. 101-135</w:t>
      </w:r>
    </w:p>
    <w:p w14:paraId="3B82A18F" w14:textId="77777777" w:rsidR="00A91208" w:rsidRPr="00E72418" w:rsidRDefault="00A91208" w:rsidP="00A91208">
      <w:pPr>
        <w:pStyle w:val="Paragraphedeliste"/>
        <w:rPr>
          <w:rFonts w:ascii="Times New Roman" w:hAnsi="Times New Roman" w:cs="Times New Roman"/>
          <w:sz w:val="14"/>
          <w:szCs w:val="14"/>
        </w:rPr>
      </w:pPr>
    </w:p>
    <w:p w14:paraId="1D7CACE3"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Dopagne</w:t>
      </w:r>
      <w:r w:rsidRPr="00E72418">
        <w:rPr>
          <w:rFonts w:ascii="Times New Roman" w:hAnsi="Times New Roman" w:cs="Times New Roman"/>
          <w:szCs w:val="24"/>
        </w:rPr>
        <w:t>, F., « L’immunité de saisie des biens de l’État étranger et de l’organisation internationale : notes sur l’article 1412</w:t>
      </w:r>
      <w:r w:rsidRPr="00E72418">
        <w:rPr>
          <w:rFonts w:ascii="Times New Roman" w:hAnsi="Times New Roman" w:cs="Times New Roman"/>
          <w:i/>
          <w:szCs w:val="24"/>
        </w:rPr>
        <w:t>quinquies</w:t>
      </w:r>
      <w:r w:rsidRPr="00E72418">
        <w:rPr>
          <w:rFonts w:ascii="Times New Roman" w:hAnsi="Times New Roman" w:cs="Times New Roman"/>
          <w:szCs w:val="24"/>
        </w:rPr>
        <w:t xml:space="preserve"> du Code judiciaire », </w:t>
      </w:r>
      <w:r w:rsidRPr="00E72418">
        <w:rPr>
          <w:rFonts w:ascii="Times New Roman" w:hAnsi="Times New Roman" w:cs="Times New Roman"/>
          <w:i/>
          <w:szCs w:val="24"/>
        </w:rPr>
        <w:t>Journal des tribunaux</w:t>
      </w:r>
      <w:r w:rsidRPr="00E72418">
        <w:rPr>
          <w:rFonts w:ascii="Times New Roman" w:hAnsi="Times New Roman" w:cs="Times New Roman"/>
          <w:szCs w:val="24"/>
        </w:rPr>
        <w:t>, 2016, pp. 57-64</w:t>
      </w:r>
    </w:p>
    <w:p w14:paraId="5301544F" w14:textId="77777777" w:rsidR="00A91208" w:rsidRPr="00E72418" w:rsidRDefault="00A91208" w:rsidP="00A91208">
      <w:pPr>
        <w:pStyle w:val="Paragraphedeliste"/>
        <w:rPr>
          <w:rFonts w:ascii="Times New Roman" w:hAnsi="Times New Roman" w:cs="Times New Roman"/>
          <w:sz w:val="14"/>
          <w:szCs w:val="14"/>
        </w:rPr>
      </w:pPr>
    </w:p>
    <w:p w14:paraId="750C3E5A"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Dowell-Jones</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Kinley</w:t>
      </w:r>
      <w:r w:rsidRPr="00E72418">
        <w:rPr>
          <w:rFonts w:ascii="Times New Roman" w:hAnsi="Times New Roman" w:cs="Times New Roman"/>
          <w:szCs w:val="24"/>
          <w:lang w:val="en-US"/>
        </w:rPr>
        <w:t xml:space="preserve">, D., « Minding the Gap: Global Finance and Human Rights », </w:t>
      </w:r>
      <w:r w:rsidRPr="00E72418">
        <w:rPr>
          <w:rFonts w:ascii="Times New Roman" w:hAnsi="Times New Roman" w:cs="Times New Roman"/>
          <w:i/>
          <w:szCs w:val="24"/>
          <w:lang w:val="en-US"/>
        </w:rPr>
        <w:t>Ethics and International Affairs</w:t>
      </w:r>
      <w:r w:rsidRPr="00E72418">
        <w:rPr>
          <w:rFonts w:ascii="Times New Roman" w:hAnsi="Times New Roman" w:cs="Times New Roman"/>
          <w:szCs w:val="24"/>
          <w:lang w:val="en-US"/>
        </w:rPr>
        <w:t>, 2011, pp. 183-210</w:t>
      </w:r>
    </w:p>
    <w:p w14:paraId="71C0F2DC" w14:textId="77777777" w:rsidR="00A91208" w:rsidRPr="00E72418" w:rsidRDefault="00A91208" w:rsidP="00A91208">
      <w:pPr>
        <w:pStyle w:val="Paragraphedeliste"/>
        <w:rPr>
          <w:rFonts w:ascii="Times New Roman" w:hAnsi="Times New Roman" w:cs="Times New Roman"/>
          <w:sz w:val="14"/>
          <w:szCs w:val="14"/>
        </w:rPr>
      </w:pPr>
    </w:p>
    <w:p w14:paraId="1231DEFB"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Duquet</w:t>
      </w:r>
      <w:r w:rsidRPr="00E72418">
        <w:rPr>
          <w:rFonts w:ascii="Times New Roman" w:hAnsi="Times New Roman" w:cs="Times New Roman"/>
          <w:szCs w:val="24"/>
          <w:lang w:val="en-US"/>
        </w:rPr>
        <w:t xml:space="preserve">, S. et </w:t>
      </w:r>
      <w:r w:rsidRPr="00E72418">
        <w:rPr>
          <w:rFonts w:ascii="Times New Roman" w:hAnsi="Times New Roman" w:cs="Times New Roman"/>
          <w:smallCaps/>
          <w:szCs w:val="24"/>
          <w:lang w:val="en-US"/>
        </w:rPr>
        <w:t>Wouters</w:t>
      </w:r>
      <w:r w:rsidRPr="00E72418">
        <w:rPr>
          <w:rFonts w:ascii="Times New Roman" w:hAnsi="Times New Roman" w:cs="Times New Roman"/>
          <w:szCs w:val="24"/>
          <w:lang w:val="en-US"/>
        </w:rPr>
        <w:t xml:space="preserve">, J., « De (on)beslagbaarheid van bankrekeningen van buitenlandse ambassades », </w:t>
      </w:r>
      <w:r w:rsidRPr="00E72418">
        <w:rPr>
          <w:rFonts w:ascii="Times New Roman" w:hAnsi="Times New Roman" w:cs="Times New Roman"/>
          <w:i/>
          <w:szCs w:val="24"/>
          <w:lang w:val="en-US"/>
        </w:rPr>
        <w:t>Rechtskundig Weekblad</w:t>
      </w:r>
      <w:r w:rsidRPr="00E72418">
        <w:rPr>
          <w:rFonts w:ascii="Times New Roman" w:hAnsi="Times New Roman" w:cs="Times New Roman"/>
          <w:szCs w:val="24"/>
          <w:lang w:val="en-US"/>
        </w:rPr>
        <w:t>, 2015-2016, pp. 1483-1499</w:t>
      </w:r>
    </w:p>
    <w:p w14:paraId="7B2597D0" w14:textId="44AEE9AF" w:rsidR="00912454" w:rsidRPr="00E72418" w:rsidRDefault="00912454" w:rsidP="00912454">
      <w:pPr>
        <w:pStyle w:val="Paragraphedeliste"/>
        <w:rPr>
          <w:rFonts w:ascii="Times New Roman" w:hAnsi="Times New Roman" w:cs="Times New Roman"/>
          <w:sz w:val="14"/>
          <w:szCs w:val="14"/>
        </w:rPr>
      </w:pPr>
    </w:p>
    <w:p w14:paraId="31463876"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Eaton</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Gersovitz</w:t>
      </w:r>
      <w:r w:rsidRPr="00E72418">
        <w:rPr>
          <w:rFonts w:ascii="Times New Roman" w:hAnsi="Times New Roman" w:cs="Times New Roman"/>
          <w:szCs w:val="24"/>
          <w:lang w:val="en-US"/>
        </w:rPr>
        <w:t xml:space="preserve">, M., « Debt with Potential Repudiation: Theoretical and Empirical Analysis », </w:t>
      </w:r>
      <w:r w:rsidRPr="00E72418">
        <w:rPr>
          <w:rFonts w:ascii="Times New Roman" w:hAnsi="Times New Roman" w:cs="Times New Roman"/>
          <w:i/>
          <w:szCs w:val="24"/>
          <w:lang w:val="en-US"/>
        </w:rPr>
        <w:t>Review of Economic Studies</w:t>
      </w:r>
      <w:r w:rsidRPr="00E72418">
        <w:rPr>
          <w:rFonts w:ascii="Times New Roman" w:hAnsi="Times New Roman" w:cs="Times New Roman"/>
          <w:szCs w:val="24"/>
          <w:lang w:val="en-US"/>
        </w:rPr>
        <w:t>, 1981, pp. 289-309</w:t>
      </w:r>
    </w:p>
    <w:p w14:paraId="6DF0E799" w14:textId="77777777" w:rsidR="00A91208" w:rsidRPr="00E72418" w:rsidRDefault="00A91208" w:rsidP="00A91208">
      <w:pPr>
        <w:pStyle w:val="Paragraphedeliste"/>
        <w:rPr>
          <w:rFonts w:ascii="Times New Roman" w:hAnsi="Times New Roman" w:cs="Times New Roman"/>
          <w:sz w:val="14"/>
          <w:szCs w:val="14"/>
        </w:rPr>
      </w:pPr>
    </w:p>
    <w:p w14:paraId="4DF1C587" w14:textId="77777777" w:rsidR="00A91208" w:rsidRPr="00E72418" w:rsidRDefault="00A91208" w:rsidP="008D1D70">
      <w:pPr>
        <w:pStyle w:val="Paragraphedeliste"/>
        <w:numPr>
          <w:ilvl w:val="0"/>
          <w:numId w:val="18"/>
        </w:numPr>
        <w:spacing w:after="0"/>
        <w:rPr>
          <w:rStyle w:val="Titre5Car"/>
          <w:rFonts w:ascii="Times New Roman" w:hAnsi="Times New Roman" w:cs="Times New Roman"/>
          <w:color w:val="auto"/>
          <w:szCs w:val="24"/>
        </w:rPr>
      </w:pPr>
      <w:r w:rsidRPr="00E72418">
        <w:rPr>
          <w:rFonts w:ascii="Times New Roman" w:hAnsi="Times New Roman" w:cs="Times New Roman"/>
          <w:smallCaps/>
          <w:szCs w:val="24"/>
          <w:lang w:val="en-US"/>
        </w:rPr>
        <w:t>Eichengreen</w:t>
      </w:r>
      <w:r w:rsidRPr="00E72418">
        <w:rPr>
          <w:rFonts w:ascii="Times New Roman" w:hAnsi="Times New Roman" w:cs="Times New Roman"/>
          <w:szCs w:val="24"/>
          <w:lang w:val="en-US"/>
        </w:rPr>
        <w:t xml:space="preserve">, B. et </w:t>
      </w:r>
      <w:r w:rsidRPr="00E72418">
        <w:rPr>
          <w:rFonts w:ascii="Times New Roman" w:hAnsi="Times New Roman" w:cs="Times New Roman"/>
          <w:smallCaps/>
          <w:szCs w:val="24"/>
          <w:lang w:val="en-US"/>
        </w:rPr>
        <w:t>Mody</w:t>
      </w:r>
      <w:r w:rsidRPr="00E72418">
        <w:rPr>
          <w:rFonts w:ascii="Times New Roman" w:hAnsi="Times New Roman" w:cs="Times New Roman"/>
          <w:szCs w:val="24"/>
          <w:lang w:val="en-US"/>
        </w:rPr>
        <w:t xml:space="preserve">, A., </w:t>
      </w:r>
      <w:r w:rsidRPr="00E72418">
        <w:rPr>
          <w:rStyle w:val="Titre5Car"/>
          <w:rFonts w:ascii="Times New Roman" w:hAnsi="Times New Roman" w:cs="Times New Roman"/>
          <w:color w:val="auto"/>
          <w:szCs w:val="24"/>
          <w:lang w:val="en-US"/>
        </w:rPr>
        <w:t xml:space="preserve">« </w:t>
      </w:r>
      <w:r w:rsidRPr="00E72418">
        <w:rPr>
          <w:rFonts w:ascii="Times New Roman" w:hAnsi="Times New Roman" w:cs="Times New Roman"/>
          <w:szCs w:val="24"/>
          <w:lang w:val="en-US"/>
        </w:rPr>
        <w:t xml:space="preserve">Do Collective Action Clauses Raise Borrowing Costs? </w:t>
      </w:r>
      <w:r w:rsidRPr="00E72418">
        <w:rPr>
          <w:rStyle w:val="Titre5Car"/>
          <w:rFonts w:ascii="Times New Roman" w:hAnsi="Times New Roman" w:cs="Times New Roman"/>
          <w:color w:val="auto"/>
          <w:szCs w:val="24"/>
          <w:lang w:val="en-US"/>
        </w:rPr>
        <w:t xml:space="preserve">», </w:t>
      </w:r>
      <w:r w:rsidRPr="00E72418">
        <w:rPr>
          <w:rStyle w:val="Titre5Car"/>
          <w:rFonts w:ascii="Times New Roman" w:hAnsi="Times New Roman" w:cs="Times New Roman"/>
          <w:i/>
          <w:color w:val="auto"/>
          <w:szCs w:val="24"/>
          <w:lang w:val="en-US"/>
        </w:rPr>
        <w:t>The Economic Journal</w:t>
      </w:r>
      <w:r w:rsidRPr="00E72418">
        <w:rPr>
          <w:rStyle w:val="Titre5Car"/>
          <w:rFonts w:ascii="Times New Roman" w:hAnsi="Times New Roman" w:cs="Times New Roman"/>
          <w:color w:val="auto"/>
          <w:szCs w:val="24"/>
          <w:lang w:val="en-US"/>
        </w:rPr>
        <w:t>, 2004, pp. 247-264</w:t>
      </w:r>
    </w:p>
    <w:p w14:paraId="4F33AA14" w14:textId="77777777" w:rsidR="00A91208" w:rsidRPr="00E72418" w:rsidRDefault="00A91208" w:rsidP="00A91208">
      <w:pPr>
        <w:pStyle w:val="Paragraphedeliste"/>
        <w:rPr>
          <w:rFonts w:ascii="Times New Roman" w:hAnsi="Times New Roman" w:cs="Times New Roman"/>
          <w:sz w:val="14"/>
          <w:szCs w:val="14"/>
          <w:lang w:val="nl-NL"/>
        </w:rPr>
      </w:pPr>
    </w:p>
    <w:p w14:paraId="0C109989"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Fernandez Arroyo</w:t>
      </w:r>
      <w:r w:rsidRPr="00E72418">
        <w:rPr>
          <w:rFonts w:ascii="Times New Roman" w:hAnsi="Times New Roman" w:cs="Times New Roman"/>
          <w:szCs w:val="24"/>
        </w:rPr>
        <w:t xml:space="preserve">, D., « Chronique de jurisprudence argentine de droit international privé (2012-2015) », </w:t>
      </w:r>
      <w:r w:rsidRPr="00E72418">
        <w:rPr>
          <w:rFonts w:ascii="Times New Roman" w:hAnsi="Times New Roman" w:cs="Times New Roman"/>
          <w:i/>
          <w:szCs w:val="24"/>
        </w:rPr>
        <w:t>Journal du droit international</w:t>
      </w:r>
      <w:r w:rsidRPr="00E72418">
        <w:rPr>
          <w:rFonts w:ascii="Times New Roman" w:hAnsi="Times New Roman" w:cs="Times New Roman"/>
          <w:szCs w:val="24"/>
        </w:rPr>
        <w:t>, 2016, pp. 951-982</w:t>
      </w:r>
    </w:p>
    <w:p w14:paraId="73DECF32" w14:textId="77777777" w:rsidR="00A91208" w:rsidRPr="00E72418" w:rsidRDefault="00A91208" w:rsidP="00A91208">
      <w:pPr>
        <w:pStyle w:val="Paragraphedeliste"/>
        <w:rPr>
          <w:rFonts w:ascii="Times New Roman" w:hAnsi="Times New Roman" w:cs="Times New Roman"/>
          <w:sz w:val="14"/>
          <w:szCs w:val="14"/>
        </w:rPr>
      </w:pPr>
    </w:p>
    <w:p w14:paraId="45BF945E"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Fisch</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Gentile</w:t>
      </w:r>
      <w:r w:rsidRPr="00E72418">
        <w:rPr>
          <w:rFonts w:ascii="Times New Roman" w:hAnsi="Times New Roman" w:cs="Times New Roman"/>
          <w:szCs w:val="24"/>
          <w:lang w:val="en-US"/>
        </w:rPr>
        <w:t xml:space="preserve">, C., « Vultures or Vanguards? : The Role of Litigation in Sovereign Debt Restructuring », </w:t>
      </w:r>
      <w:r w:rsidRPr="00E72418">
        <w:rPr>
          <w:rFonts w:ascii="Times New Roman" w:hAnsi="Times New Roman" w:cs="Times New Roman"/>
          <w:i/>
          <w:szCs w:val="24"/>
          <w:lang w:val="en-US"/>
        </w:rPr>
        <w:t>Emory Law Journal</w:t>
      </w:r>
      <w:r w:rsidRPr="00E72418">
        <w:rPr>
          <w:rFonts w:ascii="Times New Roman" w:hAnsi="Times New Roman" w:cs="Times New Roman"/>
          <w:szCs w:val="24"/>
          <w:lang w:val="en-US"/>
        </w:rPr>
        <w:t>, 2004, pp. 1047-1116</w:t>
      </w:r>
    </w:p>
    <w:p w14:paraId="61ABC6DE" w14:textId="77777777" w:rsidR="00A91208" w:rsidRPr="00E72418" w:rsidRDefault="00A91208" w:rsidP="00A91208">
      <w:pPr>
        <w:pStyle w:val="Paragraphedeliste"/>
        <w:rPr>
          <w:rFonts w:ascii="Times New Roman" w:hAnsi="Times New Roman" w:cs="Times New Roman"/>
          <w:sz w:val="14"/>
          <w:szCs w:val="14"/>
        </w:rPr>
      </w:pPr>
    </w:p>
    <w:p w14:paraId="15F921FF" w14:textId="27CF446C"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GB"/>
        </w:rPr>
        <w:t>Fox</w:t>
      </w:r>
      <w:r w:rsidRPr="00E72418">
        <w:rPr>
          <w:rFonts w:ascii="Times New Roman" w:hAnsi="Times New Roman" w:cs="Times New Roman"/>
          <w:szCs w:val="24"/>
          <w:lang w:val="en-GB"/>
        </w:rPr>
        <w:t xml:space="preserve">, H., « In Defence of State Immunity: Why the UN Convention on State Immunity is Important », </w:t>
      </w:r>
      <w:r w:rsidRPr="00E72418">
        <w:rPr>
          <w:rFonts w:ascii="Times New Roman" w:hAnsi="Times New Roman" w:cs="Times New Roman"/>
          <w:i/>
          <w:iCs/>
          <w:szCs w:val="24"/>
          <w:lang w:val="en-GB"/>
        </w:rPr>
        <w:t>International and Comparative Law Qua</w:t>
      </w:r>
      <w:r w:rsidR="00F621B0" w:rsidRPr="00E72418">
        <w:rPr>
          <w:rFonts w:ascii="Times New Roman" w:hAnsi="Times New Roman" w:cs="Times New Roman"/>
          <w:i/>
          <w:iCs/>
          <w:szCs w:val="24"/>
          <w:lang w:val="en-GB"/>
        </w:rPr>
        <w:t>r</w:t>
      </w:r>
      <w:r w:rsidRPr="00E72418">
        <w:rPr>
          <w:rFonts w:ascii="Times New Roman" w:hAnsi="Times New Roman" w:cs="Times New Roman"/>
          <w:i/>
          <w:iCs/>
          <w:szCs w:val="24"/>
          <w:lang w:val="en-GB"/>
        </w:rPr>
        <w:t>terly</w:t>
      </w:r>
      <w:r w:rsidRPr="00E72418">
        <w:rPr>
          <w:rFonts w:ascii="Times New Roman" w:hAnsi="Times New Roman" w:cs="Times New Roman"/>
          <w:szCs w:val="24"/>
          <w:lang w:val="en-GB"/>
        </w:rPr>
        <w:t>, 2006, pp. 399-406</w:t>
      </w:r>
    </w:p>
    <w:p w14:paraId="6E71CF39" w14:textId="77777777" w:rsidR="006F5D81" w:rsidRPr="00E72418" w:rsidRDefault="006F5D81" w:rsidP="006F5D81">
      <w:pPr>
        <w:pStyle w:val="Paragraphedeliste"/>
        <w:rPr>
          <w:rFonts w:ascii="Times New Roman" w:hAnsi="Times New Roman" w:cs="Times New Roman"/>
          <w:sz w:val="14"/>
          <w:szCs w:val="14"/>
        </w:rPr>
      </w:pPr>
    </w:p>
    <w:p w14:paraId="3E004C97" w14:textId="1E4336F7" w:rsidR="006F5D81" w:rsidRPr="00E72418" w:rsidRDefault="006F5D81" w:rsidP="006F5D81">
      <w:pPr>
        <w:pStyle w:val="Paragraphedeliste"/>
        <w:numPr>
          <w:ilvl w:val="0"/>
          <w:numId w:val="18"/>
        </w:numPr>
        <w:spacing w:after="0"/>
        <w:rPr>
          <w:rFonts w:ascii="Times New Roman" w:hAnsi="Times New Roman" w:cs="Times New Roman"/>
          <w:szCs w:val="24"/>
          <w:lang w:val="en-GB"/>
        </w:rPr>
      </w:pPr>
      <w:r w:rsidRPr="00E72418">
        <w:rPr>
          <w:smallCaps/>
          <w:szCs w:val="20"/>
        </w:rPr>
        <w:t>Gafari, S.</w:t>
      </w:r>
      <w:r w:rsidRPr="00E72418">
        <w:rPr>
          <w:szCs w:val="20"/>
        </w:rPr>
        <w:t xml:space="preserve"> et </w:t>
      </w:r>
      <w:r w:rsidRPr="00E72418">
        <w:rPr>
          <w:smallCaps/>
          <w:szCs w:val="20"/>
        </w:rPr>
        <w:t>Bauer</w:t>
      </w:r>
      <w:r w:rsidRPr="00E72418">
        <w:rPr>
          <w:szCs w:val="20"/>
        </w:rPr>
        <w:t xml:space="preserve">, A., « L’action du Club de Paris et du G20 en matière de traitement de dette à l’heure de la Covid-19 », </w:t>
      </w:r>
      <w:r w:rsidRPr="00E72418">
        <w:rPr>
          <w:i/>
          <w:szCs w:val="20"/>
        </w:rPr>
        <w:t>Revue d’économie financière</w:t>
      </w:r>
      <w:r w:rsidRPr="00E72418">
        <w:rPr>
          <w:szCs w:val="20"/>
        </w:rPr>
        <w:t>, 2021, pp. 255-270</w:t>
      </w:r>
    </w:p>
    <w:p w14:paraId="66469F2A" w14:textId="77777777" w:rsidR="009B5D91" w:rsidRPr="00E72418" w:rsidRDefault="009B5D91" w:rsidP="009B5D91">
      <w:pPr>
        <w:pStyle w:val="Paragraphedeliste"/>
        <w:rPr>
          <w:rFonts w:ascii="Times New Roman" w:hAnsi="Times New Roman" w:cs="Times New Roman"/>
          <w:sz w:val="14"/>
          <w:szCs w:val="14"/>
          <w:lang w:val="en-GB"/>
        </w:rPr>
      </w:pPr>
    </w:p>
    <w:p w14:paraId="52E777C1" w14:textId="77777777" w:rsidR="00610996" w:rsidRPr="00E72418" w:rsidRDefault="00610996" w:rsidP="00610996">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Gaudemet-Tallon, H. </w:t>
      </w:r>
      <w:r w:rsidRPr="00E72418">
        <w:rPr>
          <w:rFonts w:ascii="Times New Roman" w:hAnsi="Times New Roman" w:cs="Times New Roman"/>
          <w:szCs w:val="24"/>
        </w:rPr>
        <w:t>et</w:t>
      </w:r>
      <w:r w:rsidRPr="00E72418">
        <w:rPr>
          <w:rFonts w:ascii="Times New Roman" w:hAnsi="Times New Roman" w:cs="Times New Roman"/>
          <w:smallCaps/>
          <w:szCs w:val="24"/>
        </w:rPr>
        <w:t xml:space="preserve"> Jault-Seseke</w:t>
      </w:r>
      <w:r w:rsidRPr="00E72418">
        <w:rPr>
          <w:rFonts w:ascii="Times New Roman" w:hAnsi="Times New Roman" w:cs="Times New Roman"/>
          <w:szCs w:val="24"/>
        </w:rPr>
        <w:t xml:space="preserve">, F., « Panorama – Droit international privé – mars 2016-février 2017 », </w:t>
      </w:r>
      <w:r w:rsidRPr="00E72418">
        <w:rPr>
          <w:rFonts w:ascii="Times New Roman" w:hAnsi="Times New Roman" w:cs="Times New Roman"/>
          <w:i/>
          <w:szCs w:val="24"/>
        </w:rPr>
        <w:t>Recueil</w:t>
      </w:r>
      <w:r w:rsidRPr="00E72418">
        <w:rPr>
          <w:rFonts w:ascii="Times New Roman" w:hAnsi="Times New Roman" w:cs="Times New Roman"/>
          <w:szCs w:val="24"/>
        </w:rPr>
        <w:t xml:space="preserve"> </w:t>
      </w:r>
      <w:r w:rsidRPr="00E72418">
        <w:rPr>
          <w:rFonts w:ascii="Times New Roman" w:hAnsi="Times New Roman" w:cs="Times New Roman"/>
          <w:i/>
          <w:szCs w:val="24"/>
        </w:rPr>
        <w:t>Dalloz</w:t>
      </w:r>
      <w:r w:rsidRPr="00E72418">
        <w:rPr>
          <w:rFonts w:ascii="Times New Roman" w:hAnsi="Times New Roman" w:cs="Times New Roman"/>
          <w:szCs w:val="24"/>
        </w:rPr>
        <w:t>, 2017, pp. 1011-1026</w:t>
      </w:r>
    </w:p>
    <w:p w14:paraId="1E88AA7C" w14:textId="77777777" w:rsidR="00610996" w:rsidRPr="00E72418" w:rsidRDefault="00610996" w:rsidP="00610996">
      <w:pPr>
        <w:pStyle w:val="Paragraphedeliste"/>
        <w:rPr>
          <w:smallCaps/>
          <w:sz w:val="14"/>
          <w:szCs w:val="14"/>
        </w:rPr>
      </w:pPr>
    </w:p>
    <w:p w14:paraId="58CF9AF9" w14:textId="35E2069D" w:rsidR="00E25003" w:rsidRPr="00E72418" w:rsidRDefault="009B5D91" w:rsidP="00E25003">
      <w:pPr>
        <w:pStyle w:val="Paragraphedeliste"/>
        <w:numPr>
          <w:ilvl w:val="0"/>
          <w:numId w:val="18"/>
        </w:numPr>
        <w:spacing w:after="0"/>
        <w:rPr>
          <w:rFonts w:ascii="Times New Roman" w:hAnsi="Times New Roman" w:cs="Times New Roman"/>
          <w:szCs w:val="24"/>
          <w:lang w:val="en-GB"/>
        </w:rPr>
      </w:pPr>
      <w:r w:rsidRPr="00E72418">
        <w:rPr>
          <w:smallCaps/>
        </w:rPr>
        <w:t>Gautier</w:t>
      </w:r>
      <w:r w:rsidRPr="00E72418">
        <w:t xml:space="preserve">, P.-Y., « Contrats spéciaux », </w:t>
      </w:r>
      <w:r w:rsidRPr="00E72418">
        <w:rPr>
          <w:i/>
        </w:rPr>
        <w:t>Revue trimestrielle de droit civil</w:t>
      </w:r>
      <w:r w:rsidRPr="00E72418">
        <w:t>, 2018, pp. 431-435</w:t>
      </w:r>
    </w:p>
    <w:p w14:paraId="54F60576" w14:textId="77777777" w:rsidR="00E25003" w:rsidRPr="00E72418" w:rsidRDefault="00E25003" w:rsidP="00E25003">
      <w:pPr>
        <w:pStyle w:val="Paragraphedeliste"/>
        <w:rPr>
          <w:rFonts w:ascii="Times New Roman" w:hAnsi="Times New Roman" w:cs="Times New Roman"/>
          <w:smallCaps/>
          <w:sz w:val="14"/>
          <w:szCs w:val="14"/>
          <w:lang w:val="en-US"/>
        </w:rPr>
      </w:pPr>
    </w:p>
    <w:p w14:paraId="3BB8B9AF" w14:textId="3797E241" w:rsidR="004800E4" w:rsidRPr="00E72418" w:rsidRDefault="00E25003" w:rsidP="00E25003">
      <w:pPr>
        <w:pStyle w:val="Paragraphedeliste"/>
        <w:numPr>
          <w:ilvl w:val="0"/>
          <w:numId w:val="18"/>
        </w:numPr>
        <w:spacing w:after="0"/>
        <w:rPr>
          <w:rFonts w:ascii="Times New Roman" w:hAnsi="Times New Roman" w:cs="Times New Roman"/>
          <w:szCs w:val="24"/>
          <w:lang w:val="en-GB"/>
        </w:rPr>
      </w:pPr>
      <w:r w:rsidRPr="00E72418">
        <w:rPr>
          <w:rFonts w:ascii="Times New Roman" w:hAnsi="Times New Roman" w:cs="Times New Roman"/>
          <w:smallCaps/>
          <w:szCs w:val="24"/>
          <w:lang w:val="en-US"/>
        </w:rPr>
        <w:t>Ge</w:t>
      </w:r>
      <w:r w:rsidR="00A91208" w:rsidRPr="00E72418">
        <w:rPr>
          <w:rFonts w:ascii="Times New Roman" w:hAnsi="Times New Roman" w:cs="Times New Roman"/>
          <w:smallCaps/>
          <w:szCs w:val="24"/>
          <w:lang w:val="en-US"/>
        </w:rPr>
        <w:t>lpern</w:t>
      </w:r>
      <w:r w:rsidR="007D7D59" w:rsidRPr="00E72418">
        <w:rPr>
          <w:rFonts w:ascii="Times New Roman" w:hAnsi="Times New Roman" w:cs="Times New Roman"/>
          <w:szCs w:val="24"/>
          <w:lang w:val="en-US"/>
        </w:rPr>
        <w:t>, A.,</w:t>
      </w:r>
    </w:p>
    <w:p w14:paraId="7BEE1F6C"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1BACF39F" w14:textId="77777777" w:rsidR="007D7D59"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Courts and sovereigns in the </w:t>
      </w:r>
      <w:r w:rsidRPr="00E72418">
        <w:rPr>
          <w:rFonts w:ascii="Times New Roman" w:hAnsi="Times New Roman" w:cs="Times New Roman"/>
          <w:i/>
          <w:szCs w:val="24"/>
          <w:lang w:val="en-US"/>
        </w:rPr>
        <w:t>pari passu</w:t>
      </w:r>
      <w:r w:rsidRPr="00E72418">
        <w:rPr>
          <w:rFonts w:ascii="Times New Roman" w:hAnsi="Times New Roman" w:cs="Times New Roman"/>
          <w:szCs w:val="24"/>
          <w:lang w:val="en-US"/>
        </w:rPr>
        <w:t xml:space="preserve"> goldmines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2016, pp. 251-277</w:t>
      </w:r>
    </w:p>
    <w:p w14:paraId="5D2E6722"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7EB352DF" w14:textId="4779F001" w:rsidR="00A91208"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lastRenderedPageBreak/>
        <w:t xml:space="preserve">« Contract hope and sovereign redemption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2013, pp. 132-148</w:t>
      </w:r>
    </w:p>
    <w:p w14:paraId="1021E937"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694E64EF" w14:textId="6F35BC01" w:rsidR="004800E4"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Domestic Bonds, Credit Derivatives, and the Next Transformation of Sovereign Debt », </w:t>
      </w:r>
      <w:r w:rsidRPr="00E72418">
        <w:rPr>
          <w:rFonts w:ascii="Times New Roman" w:hAnsi="Times New Roman" w:cs="Times New Roman"/>
          <w:i/>
          <w:szCs w:val="24"/>
        </w:rPr>
        <w:t>Chicago-Kent Law Review</w:t>
      </w:r>
      <w:r w:rsidRPr="00E72418">
        <w:rPr>
          <w:rFonts w:ascii="Times New Roman" w:hAnsi="Times New Roman" w:cs="Times New Roman"/>
          <w:szCs w:val="24"/>
        </w:rPr>
        <w:t>, 2008, pp. 147-178</w:t>
      </w:r>
    </w:p>
    <w:p w14:paraId="2551268B"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54E8957E" w14:textId="46EDA148" w:rsidR="004800E4" w:rsidRPr="00E72418" w:rsidRDefault="004800E4" w:rsidP="004800E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What bond markets can learn from Argentina », </w:t>
      </w:r>
      <w:r w:rsidRPr="00E72418">
        <w:rPr>
          <w:rFonts w:ascii="Times New Roman" w:hAnsi="Times New Roman" w:cs="Times New Roman"/>
          <w:i/>
          <w:szCs w:val="24"/>
          <w:lang w:val="en-US"/>
        </w:rPr>
        <w:t>International Financial Law Review</w:t>
      </w:r>
      <w:r w:rsidRPr="00E72418">
        <w:rPr>
          <w:rFonts w:ascii="Times New Roman" w:hAnsi="Times New Roman" w:cs="Times New Roman"/>
          <w:szCs w:val="24"/>
          <w:lang w:val="en-US"/>
        </w:rPr>
        <w:t>, avril 2005, pp. 19-24</w:t>
      </w:r>
    </w:p>
    <w:p w14:paraId="039ED6E7" w14:textId="77777777" w:rsidR="007A53CA" w:rsidRPr="00E72418" w:rsidRDefault="007A53CA" w:rsidP="007A53CA">
      <w:pPr>
        <w:pStyle w:val="Paragraphedeliste"/>
        <w:rPr>
          <w:rFonts w:ascii="Times New Roman" w:hAnsi="Times New Roman" w:cs="Times New Roman"/>
          <w:sz w:val="14"/>
          <w:szCs w:val="14"/>
        </w:rPr>
      </w:pPr>
    </w:p>
    <w:p w14:paraId="37ACE24E" w14:textId="667BA710" w:rsidR="00A91208" w:rsidRPr="00E72418" w:rsidRDefault="007A53CA" w:rsidP="007D7D59">
      <w:pPr>
        <w:pStyle w:val="Paragraphedeliste"/>
        <w:numPr>
          <w:ilvl w:val="0"/>
          <w:numId w:val="18"/>
        </w:numPr>
        <w:spacing w:after="0"/>
        <w:rPr>
          <w:rFonts w:ascii="Times New Roman" w:hAnsi="Times New Roman" w:cs="Times New Roman"/>
          <w:szCs w:val="24"/>
        </w:rPr>
      </w:pPr>
      <w:r w:rsidRPr="00E72418">
        <w:rPr>
          <w:smallCaps/>
          <w:szCs w:val="20"/>
          <w:lang w:val="en-US"/>
        </w:rPr>
        <w:t>Gelpern, A.</w:t>
      </w:r>
      <w:r w:rsidRPr="00E72418">
        <w:rPr>
          <w:szCs w:val="20"/>
          <w:lang w:val="en-US"/>
        </w:rPr>
        <w:t xml:space="preserve"> et </w:t>
      </w:r>
      <w:r w:rsidRPr="00E72418">
        <w:rPr>
          <w:smallCaps/>
          <w:szCs w:val="20"/>
          <w:lang w:val="en-US"/>
        </w:rPr>
        <w:t>Gulati</w:t>
      </w:r>
      <w:r w:rsidRPr="00E72418">
        <w:rPr>
          <w:szCs w:val="20"/>
          <w:lang w:val="en-US"/>
        </w:rPr>
        <w:t xml:space="preserve">, M., « Public Symbol in Private Contract: A Case Study », </w:t>
      </w:r>
      <w:r w:rsidRPr="00E72418">
        <w:rPr>
          <w:i/>
          <w:szCs w:val="20"/>
          <w:lang w:val="en-US"/>
        </w:rPr>
        <w:t>Washington University Law Review</w:t>
      </w:r>
      <w:r w:rsidRPr="00E72418">
        <w:rPr>
          <w:szCs w:val="20"/>
          <w:lang w:val="en-US"/>
        </w:rPr>
        <w:t>, 2006, p</w:t>
      </w:r>
      <w:r w:rsidR="00E25003" w:rsidRPr="00E72418">
        <w:rPr>
          <w:szCs w:val="20"/>
          <w:lang w:val="en-US"/>
        </w:rPr>
        <w:t>p</w:t>
      </w:r>
      <w:r w:rsidRPr="00E72418">
        <w:rPr>
          <w:szCs w:val="20"/>
          <w:lang w:val="en-US"/>
        </w:rPr>
        <w:t>. 1627-1715</w:t>
      </w:r>
    </w:p>
    <w:p w14:paraId="50BD8EF7" w14:textId="77777777" w:rsidR="007D7D59" w:rsidRPr="00E72418" w:rsidRDefault="007D7D59" w:rsidP="007D7D59">
      <w:pPr>
        <w:pStyle w:val="Paragraphedeliste"/>
        <w:spacing w:after="0"/>
        <w:rPr>
          <w:rFonts w:ascii="Times New Roman" w:hAnsi="Times New Roman" w:cs="Times New Roman"/>
          <w:sz w:val="14"/>
          <w:szCs w:val="14"/>
        </w:rPr>
      </w:pPr>
    </w:p>
    <w:p w14:paraId="7E72999B" w14:textId="7912A6F1"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Giacuzzo</w:t>
      </w:r>
      <w:r w:rsidRPr="00E72418">
        <w:rPr>
          <w:rFonts w:ascii="Times New Roman" w:hAnsi="Times New Roman" w:cs="Times New Roman"/>
          <w:szCs w:val="24"/>
        </w:rPr>
        <w:t xml:space="preserve">, J.-F., « La loi Sapin 2 : modernisation de la gestion domaniale et restrictions de la propriété privée », </w:t>
      </w:r>
      <w:r w:rsidRPr="00E72418">
        <w:rPr>
          <w:rFonts w:ascii="Times New Roman" w:hAnsi="Times New Roman" w:cs="Times New Roman"/>
          <w:i/>
          <w:szCs w:val="24"/>
        </w:rPr>
        <w:t>Constitutions</w:t>
      </w:r>
      <w:r w:rsidRPr="00E72418">
        <w:rPr>
          <w:rFonts w:ascii="Times New Roman" w:hAnsi="Times New Roman" w:cs="Times New Roman"/>
          <w:szCs w:val="24"/>
        </w:rPr>
        <w:t xml:space="preserve">, janvier-mars 2017, </w:t>
      </w:r>
      <w:r w:rsidR="007748D9" w:rsidRPr="00E72418">
        <w:rPr>
          <w:rFonts w:ascii="Times New Roman" w:hAnsi="Times New Roman" w:cs="Times New Roman"/>
          <w:szCs w:val="24"/>
        </w:rPr>
        <w:t>pp. 75-85</w:t>
      </w:r>
    </w:p>
    <w:p w14:paraId="0D7BD642" w14:textId="77777777" w:rsidR="00A91208" w:rsidRPr="00E72418" w:rsidRDefault="00A91208" w:rsidP="00A91208">
      <w:pPr>
        <w:pStyle w:val="Paragraphedeliste"/>
        <w:rPr>
          <w:rFonts w:ascii="Times New Roman" w:hAnsi="Times New Roman" w:cs="Times New Roman"/>
          <w:sz w:val="14"/>
          <w:szCs w:val="14"/>
        </w:rPr>
      </w:pPr>
    </w:p>
    <w:p w14:paraId="62D75AB2" w14:textId="3CC7F450"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Giansetto</w:t>
      </w:r>
      <w:r w:rsidRPr="00E72418">
        <w:rPr>
          <w:rFonts w:ascii="Times New Roman" w:hAnsi="Times New Roman" w:cs="Times New Roman"/>
          <w:szCs w:val="24"/>
        </w:rPr>
        <w:t xml:space="preserve">, F., « Les fonds dits </w:t>
      </w:r>
      <w:r w:rsidRPr="00E72418">
        <w:rPr>
          <w:rFonts w:ascii="Times New Roman" w:hAnsi="Times New Roman" w:cs="Times New Roman"/>
          <w:szCs w:val="24"/>
          <w:lang w:val="en-GB"/>
        </w:rPr>
        <w:t>“</w:t>
      </w:r>
      <w:r w:rsidRPr="00E72418">
        <w:rPr>
          <w:rFonts w:ascii="Times New Roman" w:hAnsi="Times New Roman" w:cs="Times New Roman"/>
          <w:szCs w:val="24"/>
        </w:rPr>
        <w:t>vautours</w:t>
      </w:r>
      <w:r w:rsidRPr="00E72418">
        <w:rPr>
          <w:rFonts w:ascii="Times New Roman" w:hAnsi="Times New Roman" w:cs="Times New Roman"/>
          <w:szCs w:val="24"/>
          <w:lang w:val="en-GB"/>
        </w:rPr>
        <w:t>”</w:t>
      </w:r>
      <w:r w:rsidRPr="00E72418">
        <w:rPr>
          <w:rFonts w:ascii="Times New Roman" w:hAnsi="Times New Roman" w:cs="Times New Roman"/>
          <w:szCs w:val="24"/>
        </w:rPr>
        <w:t xml:space="preserve"> et la dette souveraine – Un nouvel enjeu de la régulation financière », </w:t>
      </w:r>
      <w:r w:rsidRPr="00E72418">
        <w:rPr>
          <w:rFonts w:ascii="Times New Roman" w:hAnsi="Times New Roman" w:cs="Times New Roman"/>
          <w:i/>
          <w:szCs w:val="24"/>
        </w:rPr>
        <w:t>Cahiers de Droit de l’Entreprise</w:t>
      </w:r>
      <w:r w:rsidRPr="00E72418">
        <w:rPr>
          <w:rFonts w:ascii="Times New Roman" w:hAnsi="Times New Roman" w:cs="Times New Roman"/>
          <w:szCs w:val="24"/>
        </w:rPr>
        <w:t xml:space="preserve">, </w:t>
      </w:r>
      <w:r w:rsidR="003C059B" w:rsidRPr="00E72418">
        <w:rPr>
          <w:rFonts w:ascii="Times New Roman" w:hAnsi="Times New Roman" w:cs="Times New Roman"/>
          <w:szCs w:val="24"/>
        </w:rPr>
        <w:t xml:space="preserve">novembre-décembre </w:t>
      </w:r>
      <w:r w:rsidRPr="00E72418">
        <w:rPr>
          <w:rFonts w:ascii="Times New Roman" w:hAnsi="Times New Roman" w:cs="Times New Roman"/>
          <w:szCs w:val="24"/>
        </w:rPr>
        <w:t>2012, pp. 5</w:t>
      </w:r>
      <w:r w:rsidR="003C059B" w:rsidRPr="00E72418">
        <w:rPr>
          <w:rFonts w:ascii="Times New Roman" w:hAnsi="Times New Roman" w:cs="Times New Roman"/>
          <w:szCs w:val="24"/>
        </w:rPr>
        <w:t>0-56</w:t>
      </w:r>
    </w:p>
    <w:p w14:paraId="7ABF4BC2" w14:textId="77777777" w:rsidR="00A91208" w:rsidRPr="00E72418" w:rsidRDefault="00A91208" w:rsidP="00A91208">
      <w:pPr>
        <w:pStyle w:val="Paragraphedeliste"/>
        <w:rPr>
          <w:rFonts w:ascii="Times New Roman" w:hAnsi="Times New Roman" w:cs="Times New Roman"/>
          <w:sz w:val="14"/>
          <w:szCs w:val="14"/>
        </w:rPr>
      </w:pPr>
    </w:p>
    <w:p w14:paraId="17CA3D4D" w14:textId="3EBE5E5D"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Giraud, P., </w:t>
      </w:r>
      <w:r w:rsidRPr="00E72418">
        <w:rPr>
          <w:rFonts w:ascii="Times New Roman" w:hAnsi="Times New Roman" w:cs="Times New Roman"/>
          <w:szCs w:val="24"/>
        </w:rPr>
        <w:t>« La restriction des mesures conservatoires et d’exécution forcée exercées par les fonds di</w:t>
      </w:r>
      <w:r w:rsidR="00E25003" w:rsidRPr="00E72418">
        <w:rPr>
          <w:rFonts w:ascii="Times New Roman" w:hAnsi="Times New Roman" w:cs="Times New Roman"/>
          <w:szCs w:val="24"/>
        </w:rPr>
        <w:t xml:space="preserve">ts vautours : le syndrome du </w:t>
      </w:r>
      <w:r w:rsidR="00E25003" w:rsidRPr="00E72418">
        <w:rPr>
          <w:rFonts w:ascii="Times New Roman" w:hAnsi="Times New Roman" w:cs="Times New Roman"/>
          <w:szCs w:val="24"/>
          <w:lang w:val="en-GB"/>
        </w:rPr>
        <w:t>“</w:t>
      </w:r>
      <w:r w:rsidR="00E25003" w:rsidRPr="00E72418">
        <w:rPr>
          <w:rFonts w:ascii="Times New Roman" w:hAnsi="Times New Roman" w:cs="Times New Roman"/>
          <w:szCs w:val="24"/>
        </w:rPr>
        <w:t>milieu du gué</w:t>
      </w:r>
      <w:r w:rsidR="00E25003" w:rsidRPr="00E72418">
        <w:rPr>
          <w:rFonts w:ascii="Times New Roman" w:hAnsi="Times New Roman" w:cs="Times New Roman"/>
          <w:szCs w:val="24"/>
          <w:lang w:val="en-GB"/>
        </w:rPr>
        <w:t>”</w:t>
      </w:r>
      <w:r w:rsidRPr="00E72418">
        <w:rPr>
          <w:rFonts w:ascii="Times New Roman" w:hAnsi="Times New Roman" w:cs="Times New Roman"/>
          <w:szCs w:val="24"/>
        </w:rPr>
        <w:t xml:space="preserve"> », </w:t>
      </w:r>
      <w:r w:rsidRPr="00E72418">
        <w:rPr>
          <w:rFonts w:ascii="Times New Roman" w:hAnsi="Times New Roman" w:cs="Times New Roman"/>
          <w:i/>
          <w:szCs w:val="24"/>
        </w:rPr>
        <w:t>Revue de droit international d’Assas</w:t>
      </w:r>
      <w:r w:rsidRPr="00E72418">
        <w:rPr>
          <w:rFonts w:ascii="Times New Roman" w:hAnsi="Times New Roman" w:cs="Times New Roman"/>
          <w:szCs w:val="24"/>
        </w:rPr>
        <w:t>, 2018, pp. 359-374</w:t>
      </w:r>
    </w:p>
    <w:p w14:paraId="449E7522" w14:textId="77777777" w:rsidR="00A91208" w:rsidRPr="00E72418" w:rsidRDefault="00A91208" w:rsidP="00A91208">
      <w:pPr>
        <w:pStyle w:val="Paragraphedeliste"/>
        <w:rPr>
          <w:rFonts w:ascii="Times New Roman" w:hAnsi="Times New Roman" w:cs="Times New Roman"/>
          <w:sz w:val="14"/>
          <w:szCs w:val="14"/>
        </w:rPr>
      </w:pPr>
    </w:p>
    <w:p w14:paraId="0E00821B" w14:textId="42F7641F"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Glucksmann, E., </w:t>
      </w:r>
      <w:r w:rsidRPr="00E72418">
        <w:rPr>
          <w:rFonts w:ascii="Times New Roman" w:hAnsi="Times New Roman" w:cs="Times New Roman"/>
          <w:szCs w:val="24"/>
        </w:rPr>
        <w:t xml:space="preserve">« L’affirmation </w:t>
      </w:r>
      <w:r w:rsidR="005258D9" w:rsidRPr="00E72418">
        <w:rPr>
          <w:rFonts w:ascii="Times New Roman" w:hAnsi="Times New Roman" w:cs="Times New Roman"/>
          <w:szCs w:val="24"/>
        </w:rPr>
        <w:t xml:space="preserve">de la protection des biens des </w:t>
      </w:r>
      <w:r w:rsidR="005258D9" w:rsidRPr="00E72418">
        <w:rPr>
          <w:rFonts w:cs="Times New Roman"/>
          <w:szCs w:val="24"/>
        </w:rPr>
        <w:t>É</w:t>
      </w:r>
      <w:r w:rsidRPr="00E72418">
        <w:rPr>
          <w:rFonts w:ascii="Times New Roman" w:hAnsi="Times New Roman" w:cs="Times New Roman"/>
          <w:szCs w:val="24"/>
        </w:rPr>
        <w:t xml:space="preserve">tats étrangers destinés aux missions diplomatiques, l’apport de la loi Sapin 2 », </w:t>
      </w:r>
      <w:r w:rsidRPr="00E72418">
        <w:rPr>
          <w:rFonts w:ascii="Times New Roman" w:hAnsi="Times New Roman" w:cs="Times New Roman"/>
          <w:i/>
          <w:szCs w:val="24"/>
        </w:rPr>
        <w:t>Revue de droit international d’Assas</w:t>
      </w:r>
      <w:r w:rsidRPr="00E72418">
        <w:rPr>
          <w:rFonts w:ascii="Times New Roman" w:hAnsi="Times New Roman" w:cs="Times New Roman"/>
          <w:szCs w:val="24"/>
        </w:rPr>
        <w:t>, 2018, pp. 287-323</w:t>
      </w:r>
    </w:p>
    <w:p w14:paraId="448BF6BD" w14:textId="77777777" w:rsidR="00A91208" w:rsidRPr="00E72418" w:rsidRDefault="00A91208" w:rsidP="00A91208">
      <w:pPr>
        <w:pStyle w:val="Paragraphedeliste"/>
        <w:rPr>
          <w:rFonts w:ascii="Times New Roman" w:hAnsi="Times New Roman" w:cs="Times New Roman"/>
          <w:sz w:val="14"/>
          <w:szCs w:val="14"/>
        </w:rPr>
      </w:pPr>
    </w:p>
    <w:p w14:paraId="01107E4A" w14:textId="77777777" w:rsidR="00912454" w:rsidRPr="00E72418" w:rsidRDefault="00A91208" w:rsidP="00912454">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Goldman</w:t>
      </w:r>
      <w:r w:rsidRPr="00E72418">
        <w:rPr>
          <w:rFonts w:ascii="Times New Roman" w:hAnsi="Times New Roman" w:cs="Times New Roman"/>
          <w:szCs w:val="24"/>
          <w:lang w:val="en-US"/>
        </w:rPr>
        <w:t xml:space="preserve">, S., </w:t>
      </w:r>
      <w:r w:rsidRPr="00E72418">
        <w:rPr>
          <w:rFonts w:ascii="Times New Roman" w:hAnsi="Times New Roman" w:cs="Times New Roman"/>
          <w:szCs w:val="24"/>
          <w:lang w:val="en-GB"/>
        </w:rPr>
        <w:t xml:space="preserve">« </w:t>
      </w:r>
      <w:r w:rsidRPr="00E72418">
        <w:rPr>
          <w:rFonts w:ascii="Times New Roman" w:hAnsi="Times New Roman" w:cs="Times New Roman"/>
          <w:szCs w:val="24"/>
          <w:lang w:val="en-US"/>
        </w:rPr>
        <w:t xml:space="preserve">Mavericks in the Market: The Emerging Problem of Hold-Outs in Sovereign Debt Restructuring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UCLA Journal of International Law and Foreign Affairs</w:t>
      </w:r>
      <w:r w:rsidRPr="00E72418">
        <w:rPr>
          <w:rFonts w:ascii="Times New Roman" w:hAnsi="Times New Roman" w:cs="Times New Roman"/>
          <w:szCs w:val="24"/>
          <w:lang w:val="en-US"/>
        </w:rPr>
        <w:t>, 2000, pp. 159-197</w:t>
      </w:r>
    </w:p>
    <w:p w14:paraId="6DBC6351" w14:textId="77777777" w:rsidR="00912454" w:rsidRPr="00E72418" w:rsidRDefault="00912454" w:rsidP="00912454">
      <w:pPr>
        <w:pStyle w:val="Paragraphedeliste"/>
        <w:rPr>
          <w:rFonts w:ascii="Times New Roman" w:hAnsi="Times New Roman" w:cs="Times New Roman"/>
          <w:smallCaps/>
          <w:sz w:val="14"/>
          <w:szCs w:val="14"/>
          <w:lang w:val="en-US"/>
        </w:rPr>
      </w:pPr>
    </w:p>
    <w:p w14:paraId="7AB27B21" w14:textId="29E2E8FA" w:rsidR="00A91208" w:rsidRPr="00E72418" w:rsidRDefault="00A91208" w:rsidP="00912454">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Goren</w:t>
      </w:r>
      <w:r w:rsidRPr="00E72418">
        <w:rPr>
          <w:rFonts w:ascii="Times New Roman" w:hAnsi="Times New Roman" w:cs="Times New Roman"/>
          <w:szCs w:val="24"/>
          <w:lang w:val="en-US"/>
        </w:rPr>
        <w:t xml:space="preserve">, J., « State-to-State debts: Sovereign </w:t>
      </w:r>
      <w:r w:rsidRPr="00E72418">
        <w:rPr>
          <w:rFonts w:ascii="Times New Roman" w:hAnsi="Times New Roman" w:cs="Times New Roman"/>
          <w:szCs w:val="24"/>
          <w:lang w:val="en-GB"/>
        </w:rPr>
        <w:t xml:space="preserve">Immunity and the “Vulture” Hunt », </w:t>
      </w:r>
      <w:r w:rsidRPr="00E72418">
        <w:rPr>
          <w:rFonts w:ascii="Times New Roman" w:hAnsi="Times New Roman" w:cs="Times New Roman"/>
          <w:i/>
          <w:szCs w:val="24"/>
          <w:lang w:val="en-GB"/>
        </w:rPr>
        <w:t>The George Washington International Law Review</w:t>
      </w:r>
      <w:r w:rsidRPr="00E72418">
        <w:rPr>
          <w:rFonts w:ascii="Times New Roman" w:hAnsi="Times New Roman" w:cs="Times New Roman"/>
          <w:szCs w:val="24"/>
          <w:lang w:val="en-GB"/>
        </w:rPr>
        <w:t>, 2010, pp. 681-708</w:t>
      </w:r>
    </w:p>
    <w:p w14:paraId="2C2A97C0" w14:textId="77777777" w:rsidR="00A91208" w:rsidRPr="00E72418" w:rsidRDefault="00A91208" w:rsidP="00A91208">
      <w:pPr>
        <w:pStyle w:val="Paragraphedeliste"/>
        <w:rPr>
          <w:rFonts w:ascii="Times New Roman" w:hAnsi="Times New Roman" w:cs="Times New Roman"/>
          <w:sz w:val="14"/>
          <w:szCs w:val="14"/>
        </w:rPr>
      </w:pPr>
    </w:p>
    <w:p w14:paraId="790C76D7" w14:textId="219E45B8"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Gr</w:t>
      </w:r>
      <w:r w:rsidRPr="00B03198">
        <w:rPr>
          <w:rFonts w:ascii="Times New Roman" w:hAnsi="Times New Roman" w:cs="Times New Roman"/>
          <w:smallCaps/>
          <w:szCs w:val="24"/>
        </w:rPr>
        <w:t>é</w:t>
      </w:r>
      <w:r w:rsidRPr="00E72418">
        <w:rPr>
          <w:rFonts w:ascii="Times New Roman" w:hAnsi="Times New Roman" w:cs="Times New Roman"/>
          <w:smallCaps/>
          <w:szCs w:val="24"/>
        </w:rPr>
        <w:t>goire</w:t>
      </w:r>
      <w:r w:rsidRPr="00E72418">
        <w:rPr>
          <w:rFonts w:ascii="Times New Roman" w:hAnsi="Times New Roman" w:cs="Times New Roman"/>
          <w:szCs w:val="24"/>
        </w:rPr>
        <w:t xml:space="preserve">, M., </w:t>
      </w:r>
      <w:r w:rsidRPr="00E72418">
        <w:rPr>
          <w:rFonts w:ascii="Times New Roman" w:hAnsi="Times New Roman" w:cs="Times New Roman"/>
          <w:smallCaps/>
          <w:szCs w:val="24"/>
        </w:rPr>
        <w:t>De Jonghe, C.</w:t>
      </w:r>
      <w:r w:rsidRPr="00E72418">
        <w:rPr>
          <w:rFonts w:ascii="Times New Roman" w:hAnsi="Times New Roman" w:cs="Times New Roman"/>
          <w:szCs w:val="24"/>
        </w:rPr>
        <w:t xml:space="preserve"> et </w:t>
      </w:r>
      <w:r w:rsidRPr="00E72418">
        <w:rPr>
          <w:rFonts w:ascii="Times New Roman" w:hAnsi="Times New Roman" w:cs="Times New Roman"/>
          <w:smallCaps/>
          <w:szCs w:val="24"/>
        </w:rPr>
        <w:t>Zygas</w:t>
      </w:r>
      <w:r w:rsidRPr="00E72418">
        <w:rPr>
          <w:rFonts w:ascii="Times New Roman" w:hAnsi="Times New Roman" w:cs="Times New Roman"/>
          <w:szCs w:val="24"/>
        </w:rPr>
        <w:t xml:space="preserve">, D., « Droit financier », </w:t>
      </w:r>
      <w:r w:rsidRPr="00E72418">
        <w:rPr>
          <w:rFonts w:ascii="Times New Roman" w:hAnsi="Times New Roman" w:cs="Times New Roman"/>
          <w:i/>
          <w:szCs w:val="24"/>
        </w:rPr>
        <w:t>in</w:t>
      </w:r>
      <w:r w:rsidRPr="00E72418">
        <w:rPr>
          <w:rFonts w:ascii="Times New Roman" w:hAnsi="Times New Roman" w:cs="Times New Roman"/>
          <w:szCs w:val="24"/>
        </w:rPr>
        <w:t xml:space="preserve"> « Chronique de législation en droit privé (1</w:t>
      </w:r>
      <w:r w:rsidRPr="00E72418">
        <w:rPr>
          <w:rFonts w:ascii="Times New Roman" w:hAnsi="Times New Roman" w:cs="Times New Roman"/>
          <w:szCs w:val="24"/>
          <w:vertAlign w:val="superscript"/>
        </w:rPr>
        <w:t>er</w:t>
      </w:r>
      <w:r w:rsidRPr="00E72418">
        <w:rPr>
          <w:rFonts w:ascii="Times New Roman" w:hAnsi="Times New Roman" w:cs="Times New Roman"/>
          <w:szCs w:val="24"/>
        </w:rPr>
        <w:t xml:space="preserve"> juillet – 31 décembre 2015) (1</w:t>
      </w:r>
      <w:r w:rsidRPr="00E72418">
        <w:rPr>
          <w:rFonts w:ascii="Times New Roman" w:hAnsi="Times New Roman" w:cs="Times New Roman"/>
          <w:szCs w:val="24"/>
          <w:vertAlign w:val="superscript"/>
        </w:rPr>
        <w:t>ère</w:t>
      </w:r>
      <w:r w:rsidRPr="00E72418">
        <w:rPr>
          <w:rFonts w:ascii="Times New Roman" w:hAnsi="Times New Roman" w:cs="Times New Roman"/>
          <w:szCs w:val="24"/>
        </w:rPr>
        <w:t xml:space="preserve"> partie) », </w:t>
      </w:r>
      <w:r w:rsidRPr="00E72418">
        <w:rPr>
          <w:rFonts w:ascii="Times New Roman" w:hAnsi="Times New Roman" w:cs="Times New Roman"/>
          <w:i/>
          <w:szCs w:val="24"/>
        </w:rPr>
        <w:t>Journal des tribunaux</w:t>
      </w:r>
      <w:r w:rsidRPr="00E72418">
        <w:rPr>
          <w:rFonts w:ascii="Times New Roman" w:hAnsi="Times New Roman" w:cs="Times New Roman"/>
          <w:szCs w:val="24"/>
        </w:rPr>
        <w:t>, 2016, p</w:t>
      </w:r>
      <w:r w:rsidR="007748D9" w:rsidRPr="00E72418">
        <w:rPr>
          <w:rFonts w:ascii="Times New Roman" w:hAnsi="Times New Roman" w:cs="Times New Roman"/>
          <w:szCs w:val="24"/>
        </w:rPr>
        <w:t>p</w:t>
      </w:r>
      <w:r w:rsidRPr="00E72418">
        <w:rPr>
          <w:rFonts w:ascii="Times New Roman" w:hAnsi="Times New Roman" w:cs="Times New Roman"/>
          <w:szCs w:val="24"/>
        </w:rPr>
        <w:t xml:space="preserve">. </w:t>
      </w:r>
      <w:r w:rsidR="007748D9" w:rsidRPr="00E72418">
        <w:rPr>
          <w:rFonts w:ascii="Times New Roman" w:hAnsi="Times New Roman" w:cs="Times New Roman"/>
          <w:szCs w:val="24"/>
        </w:rPr>
        <w:t>328-</w:t>
      </w:r>
      <w:r w:rsidRPr="00E72418">
        <w:rPr>
          <w:rFonts w:ascii="Times New Roman" w:hAnsi="Times New Roman" w:cs="Times New Roman"/>
          <w:szCs w:val="24"/>
        </w:rPr>
        <w:t>330</w:t>
      </w:r>
    </w:p>
    <w:p w14:paraId="6E380AFE" w14:textId="77777777" w:rsidR="00A91208" w:rsidRPr="00E72418" w:rsidRDefault="00A91208" w:rsidP="00A91208">
      <w:pPr>
        <w:pStyle w:val="Paragraphedeliste"/>
        <w:rPr>
          <w:rFonts w:ascii="Times New Roman" w:hAnsi="Times New Roman" w:cs="Times New Roman"/>
          <w:sz w:val="14"/>
          <w:szCs w:val="14"/>
        </w:rPr>
      </w:pPr>
    </w:p>
    <w:p w14:paraId="7C0ED5CC" w14:textId="63F415B5" w:rsidR="007D7D59" w:rsidRPr="00E72418" w:rsidRDefault="00A91208" w:rsidP="007D7D59">
      <w:pPr>
        <w:pStyle w:val="Paragraphedeliste"/>
        <w:numPr>
          <w:ilvl w:val="0"/>
          <w:numId w:val="18"/>
        </w:numPr>
        <w:spacing w:after="0"/>
        <w:rPr>
          <w:rFonts w:ascii="Times New Roman" w:hAnsi="Times New Roman" w:cs="Times New Roman"/>
          <w:szCs w:val="24"/>
          <w:lang w:val="nl-NL"/>
        </w:rPr>
      </w:pPr>
      <w:r w:rsidRPr="00E72418">
        <w:rPr>
          <w:rFonts w:ascii="Times New Roman" w:hAnsi="Times New Roman" w:cs="Times New Roman"/>
          <w:smallCaps/>
          <w:szCs w:val="24"/>
          <w:lang w:val="en-US"/>
        </w:rPr>
        <w:t>Grund</w:t>
      </w:r>
      <w:r w:rsidRPr="00E72418">
        <w:rPr>
          <w:rFonts w:ascii="Times New Roman" w:hAnsi="Times New Roman" w:cs="Times New Roman"/>
          <w:szCs w:val="24"/>
          <w:lang w:val="en-US"/>
        </w:rPr>
        <w:t>, S., « The legal conseque</w:t>
      </w:r>
      <w:r w:rsidR="00E25003" w:rsidRPr="00E72418">
        <w:rPr>
          <w:rFonts w:ascii="Times New Roman" w:hAnsi="Times New Roman" w:cs="Times New Roman"/>
          <w:szCs w:val="24"/>
          <w:lang w:val="en-US"/>
        </w:rPr>
        <w:t>nces of sovereign insolvency – A</w:t>
      </w:r>
      <w:r w:rsidRPr="00E72418">
        <w:rPr>
          <w:rFonts w:ascii="Times New Roman" w:hAnsi="Times New Roman" w:cs="Times New Roman"/>
          <w:szCs w:val="24"/>
          <w:lang w:val="en-US"/>
        </w:rPr>
        <w:t xml:space="preserve"> review of creditor litigation in Germany following the Greek debt restructuring », </w:t>
      </w:r>
      <w:r w:rsidRPr="00E72418">
        <w:rPr>
          <w:rFonts w:ascii="Times New Roman" w:hAnsi="Times New Roman" w:cs="Times New Roman"/>
          <w:i/>
          <w:szCs w:val="24"/>
          <w:lang w:val="en-US"/>
        </w:rPr>
        <w:t>Maastricht Journal of European and Comparative Law</w:t>
      </w:r>
      <w:r w:rsidRPr="00E72418">
        <w:rPr>
          <w:rFonts w:ascii="Times New Roman" w:hAnsi="Times New Roman" w:cs="Times New Roman"/>
          <w:szCs w:val="24"/>
          <w:lang w:val="en-US"/>
        </w:rPr>
        <w:t>, 2017, pp. 399-423</w:t>
      </w:r>
    </w:p>
    <w:p w14:paraId="728B153E" w14:textId="77777777" w:rsidR="007D7D59" w:rsidRPr="00E72418" w:rsidRDefault="007D7D59" w:rsidP="007D7D59">
      <w:pPr>
        <w:pStyle w:val="Paragraphedeliste"/>
        <w:rPr>
          <w:rFonts w:ascii="Times New Roman" w:hAnsi="Times New Roman" w:cs="Times New Roman"/>
          <w:smallCaps/>
          <w:sz w:val="14"/>
          <w:szCs w:val="14"/>
          <w:lang w:val="en-US"/>
        </w:rPr>
      </w:pPr>
    </w:p>
    <w:p w14:paraId="0DA0C350" w14:textId="602EBCD3" w:rsidR="00A91208" w:rsidRPr="00E72418" w:rsidRDefault="00A91208" w:rsidP="007D7D59">
      <w:pPr>
        <w:pStyle w:val="Paragraphedeliste"/>
        <w:numPr>
          <w:ilvl w:val="0"/>
          <w:numId w:val="18"/>
        </w:numPr>
        <w:spacing w:after="0"/>
        <w:rPr>
          <w:rFonts w:ascii="Times New Roman" w:hAnsi="Times New Roman" w:cs="Times New Roman"/>
          <w:szCs w:val="24"/>
          <w:lang w:val="nl-NL"/>
        </w:rPr>
      </w:pP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Klee</w:t>
      </w:r>
      <w:r w:rsidRPr="00E72418">
        <w:rPr>
          <w:rFonts w:ascii="Times New Roman" w:hAnsi="Times New Roman" w:cs="Times New Roman"/>
          <w:szCs w:val="24"/>
          <w:lang w:val="en-US"/>
        </w:rPr>
        <w:t xml:space="preserve">, K., « Sovereign Piracy », </w:t>
      </w:r>
      <w:r w:rsidRPr="00E72418">
        <w:rPr>
          <w:rFonts w:ascii="Times New Roman" w:hAnsi="Times New Roman" w:cs="Times New Roman"/>
          <w:i/>
          <w:szCs w:val="24"/>
          <w:lang w:val="en-US"/>
        </w:rPr>
        <w:t>The Business Lawyer</w:t>
      </w:r>
      <w:r w:rsidRPr="00E72418">
        <w:rPr>
          <w:rFonts w:ascii="Times New Roman" w:hAnsi="Times New Roman" w:cs="Times New Roman"/>
          <w:szCs w:val="24"/>
          <w:lang w:val="en-US"/>
        </w:rPr>
        <w:t>, 2001, pp. 635-651</w:t>
      </w:r>
    </w:p>
    <w:p w14:paraId="6B717FF8" w14:textId="77777777" w:rsidR="00A91208" w:rsidRPr="00E72418" w:rsidRDefault="00A91208" w:rsidP="00A91208">
      <w:pPr>
        <w:pStyle w:val="Paragraphedeliste"/>
        <w:rPr>
          <w:rFonts w:ascii="Times New Roman" w:hAnsi="Times New Roman" w:cs="Times New Roman"/>
          <w:sz w:val="14"/>
          <w:szCs w:val="14"/>
        </w:rPr>
      </w:pPr>
    </w:p>
    <w:p w14:paraId="26AC23CF" w14:textId="0694A8D7" w:rsidR="004800E4" w:rsidRPr="00E72418" w:rsidRDefault="00A91208" w:rsidP="007D7D59">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shd w:val="clear" w:color="auto" w:fill="FFFFFF"/>
          <w:lang w:val="en-US"/>
        </w:rPr>
        <w:t xml:space="preserve">Hagan, S., </w:t>
      </w:r>
    </w:p>
    <w:p w14:paraId="04DC6618" w14:textId="77777777" w:rsidR="007D7D59" w:rsidRPr="00E72418" w:rsidRDefault="007D7D59" w:rsidP="007D7D59">
      <w:pPr>
        <w:pStyle w:val="Paragraphedeliste"/>
        <w:spacing w:after="0"/>
        <w:ind w:left="1440"/>
        <w:rPr>
          <w:rFonts w:ascii="Times New Roman" w:hAnsi="Times New Roman" w:cs="Times New Roman"/>
          <w:sz w:val="10"/>
          <w:szCs w:val="10"/>
        </w:rPr>
      </w:pPr>
    </w:p>
    <w:p w14:paraId="53371358" w14:textId="793A517D" w:rsidR="00A91208" w:rsidRPr="00E72418" w:rsidRDefault="00A91208" w:rsidP="007D7D59">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lang w:val="en-US"/>
        </w:rPr>
        <w:t xml:space="preserve">« The IMF’s Role in a Post-Conflict Situation », </w:t>
      </w:r>
      <w:r w:rsidRPr="00E72418">
        <w:rPr>
          <w:rFonts w:ascii="Times New Roman" w:hAnsi="Times New Roman" w:cs="Times New Roman"/>
          <w:i/>
          <w:szCs w:val="24"/>
          <w:lang w:val="en-US"/>
        </w:rPr>
        <w:t>Case Western Reserve Journal of International Law</w:t>
      </w:r>
      <w:r w:rsidRPr="00E72418">
        <w:rPr>
          <w:rFonts w:ascii="Times New Roman" w:hAnsi="Times New Roman" w:cs="Times New Roman"/>
          <w:szCs w:val="24"/>
          <w:lang w:val="en-US"/>
        </w:rPr>
        <w:t>, 2006, pp. 59-93</w:t>
      </w:r>
    </w:p>
    <w:p w14:paraId="7BDD8FF1" w14:textId="77777777" w:rsidR="007D7D59" w:rsidRPr="00E72418" w:rsidRDefault="007D7D59" w:rsidP="007D7D59">
      <w:pPr>
        <w:pStyle w:val="Paragraphedeliste"/>
        <w:spacing w:after="0"/>
        <w:ind w:left="1440"/>
        <w:rPr>
          <w:rFonts w:ascii="Times New Roman" w:hAnsi="Times New Roman" w:cs="Times New Roman"/>
          <w:sz w:val="10"/>
          <w:szCs w:val="10"/>
          <w:lang w:val="nl-NL"/>
        </w:rPr>
      </w:pPr>
    </w:p>
    <w:p w14:paraId="02EDECC4" w14:textId="4C5BE142" w:rsidR="00A91208" w:rsidRPr="00E72418" w:rsidRDefault="00A91208" w:rsidP="004800E4">
      <w:pPr>
        <w:pStyle w:val="Paragraphedeliste"/>
        <w:numPr>
          <w:ilvl w:val="1"/>
          <w:numId w:val="18"/>
        </w:numPr>
        <w:spacing w:after="0"/>
        <w:rPr>
          <w:rFonts w:ascii="Times New Roman" w:hAnsi="Times New Roman" w:cs="Times New Roman"/>
          <w:szCs w:val="24"/>
          <w:lang w:val="nl-NL"/>
        </w:rPr>
      </w:pPr>
      <w:r w:rsidRPr="00E72418">
        <w:rPr>
          <w:rFonts w:ascii="Times New Roman" w:hAnsi="Times New Roman" w:cs="Times New Roman"/>
          <w:szCs w:val="24"/>
          <w:lang w:val="en-US"/>
        </w:rPr>
        <w:t xml:space="preserve">« Designing a Legal Framework to Restructure Sovereign Debt », </w:t>
      </w:r>
      <w:r w:rsidRPr="00E72418">
        <w:rPr>
          <w:rFonts w:ascii="Times New Roman" w:hAnsi="Times New Roman" w:cs="Times New Roman"/>
          <w:i/>
          <w:szCs w:val="24"/>
          <w:lang w:val="en-US"/>
        </w:rPr>
        <w:t>Georgetown Journal of International Law</w:t>
      </w:r>
      <w:r w:rsidRPr="00E72418">
        <w:rPr>
          <w:rFonts w:ascii="Times New Roman" w:hAnsi="Times New Roman" w:cs="Times New Roman"/>
          <w:szCs w:val="24"/>
          <w:lang w:val="en-US"/>
        </w:rPr>
        <w:t>, 2005, pp. 299-402</w:t>
      </w:r>
    </w:p>
    <w:p w14:paraId="7CA0CDDA" w14:textId="77777777" w:rsidR="00A91208" w:rsidRPr="00E72418" w:rsidRDefault="00A91208" w:rsidP="00A91208">
      <w:pPr>
        <w:pStyle w:val="Paragraphedeliste"/>
        <w:rPr>
          <w:rFonts w:ascii="Times New Roman" w:hAnsi="Times New Roman" w:cs="Times New Roman"/>
          <w:sz w:val="14"/>
          <w:szCs w:val="14"/>
        </w:rPr>
      </w:pPr>
    </w:p>
    <w:p w14:paraId="40061C4F"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GB"/>
        </w:rPr>
        <w:t>Hansebout</w:t>
      </w:r>
      <w:r w:rsidRPr="00E72418">
        <w:rPr>
          <w:rFonts w:ascii="Times New Roman" w:hAnsi="Times New Roman" w:cs="Times New Roman"/>
          <w:szCs w:val="24"/>
          <w:lang w:val="en-GB"/>
        </w:rPr>
        <w:t xml:space="preserve">, A., « De wet van 6 april 2008: over onbeslagbaarheid en aasgierfondsen », </w:t>
      </w:r>
      <w:r w:rsidRPr="00E72418">
        <w:rPr>
          <w:rFonts w:ascii="Times New Roman" w:hAnsi="Times New Roman" w:cs="Times New Roman"/>
          <w:i/>
          <w:szCs w:val="24"/>
          <w:lang w:val="en-GB"/>
        </w:rPr>
        <w:t>Rechtskundig Weekblad</w:t>
      </w:r>
      <w:r w:rsidRPr="00E72418">
        <w:rPr>
          <w:rFonts w:ascii="Times New Roman" w:hAnsi="Times New Roman" w:cs="Times New Roman"/>
          <w:szCs w:val="24"/>
          <w:lang w:val="en-GB"/>
        </w:rPr>
        <w:t>, 2008-2009, pp. 595-597</w:t>
      </w:r>
    </w:p>
    <w:p w14:paraId="4578D3B2" w14:textId="77777777" w:rsidR="00A91208" w:rsidRPr="00E72418" w:rsidRDefault="00A91208" w:rsidP="00A91208">
      <w:pPr>
        <w:pStyle w:val="Paragraphedeliste"/>
        <w:rPr>
          <w:rFonts w:ascii="Times New Roman" w:hAnsi="Times New Roman" w:cs="Times New Roman"/>
          <w:sz w:val="14"/>
          <w:szCs w:val="14"/>
        </w:rPr>
      </w:pPr>
    </w:p>
    <w:p w14:paraId="475E3B11"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Harrison, N. </w:t>
      </w:r>
      <w:r w:rsidRPr="00E72418">
        <w:rPr>
          <w:rFonts w:ascii="Times New Roman" w:hAnsi="Times New Roman" w:cs="Times New Roman"/>
          <w:szCs w:val="24"/>
          <w:lang w:val="en-US"/>
        </w:rPr>
        <w:t xml:space="preserve">et </w:t>
      </w:r>
      <w:r w:rsidRPr="00E72418">
        <w:rPr>
          <w:rFonts w:ascii="Times New Roman" w:hAnsi="Times New Roman" w:cs="Times New Roman"/>
          <w:smallCaps/>
          <w:szCs w:val="24"/>
          <w:lang w:val="en-US"/>
        </w:rPr>
        <w:t>Huntriss</w:t>
      </w:r>
      <w:r w:rsidRPr="00E72418">
        <w:rPr>
          <w:rFonts w:ascii="Times New Roman" w:hAnsi="Times New Roman" w:cs="Times New Roman"/>
          <w:szCs w:val="24"/>
          <w:lang w:val="en-US"/>
        </w:rPr>
        <w:t xml:space="preserve">, F., « Hedge funds and litigation: a brave new world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2015, pp. 135-141</w:t>
      </w:r>
    </w:p>
    <w:p w14:paraId="6E371CA3" w14:textId="09CFBE62" w:rsidR="00912454" w:rsidRPr="00E72418" w:rsidRDefault="00912454" w:rsidP="00912454">
      <w:pPr>
        <w:pStyle w:val="Paragraphedeliste"/>
        <w:rPr>
          <w:rFonts w:ascii="Times New Roman" w:hAnsi="Times New Roman" w:cs="Times New Roman"/>
          <w:sz w:val="14"/>
          <w:szCs w:val="14"/>
        </w:rPr>
      </w:pPr>
    </w:p>
    <w:p w14:paraId="5666625E" w14:textId="51F268F6"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lastRenderedPageBreak/>
        <w:t xml:space="preserve">Hershey, A., </w:t>
      </w:r>
      <w:r w:rsidRPr="00E72418">
        <w:rPr>
          <w:rFonts w:ascii="Times New Roman" w:hAnsi="Times New Roman" w:cs="Times New Roman"/>
          <w:szCs w:val="24"/>
          <w:lang w:val="en-US"/>
        </w:rPr>
        <w:t xml:space="preserve">« The Calvo and Drago Doctrines », </w:t>
      </w:r>
      <w:r w:rsidR="00C64A59" w:rsidRPr="00E72418">
        <w:rPr>
          <w:rFonts w:ascii="Times New Roman" w:hAnsi="Times New Roman" w:cs="Times New Roman"/>
          <w:i/>
          <w:szCs w:val="24"/>
          <w:lang w:val="en-US"/>
        </w:rPr>
        <w:t>The</w:t>
      </w:r>
      <w:r w:rsidR="00C64A59"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American Journal of International Law</w:t>
      </w:r>
      <w:r w:rsidRPr="00E72418">
        <w:rPr>
          <w:rFonts w:ascii="Times New Roman" w:hAnsi="Times New Roman" w:cs="Times New Roman"/>
          <w:szCs w:val="24"/>
          <w:lang w:val="en-US"/>
        </w:rPr>
        <w:t>, 1907, pp. 26-45</w:t>
      </w:r>
    </w:p>
    <w:p w14:paraId="30D89BD2" w14:textId="77777777" w:rsidR="00A91208" w:rsidRPr="00E72418" w:rsidRDefault="00A91208" w:rsidP="00A91208">
      <w:pPr>
        <w:pStyle w:val="Paragraphedeliste"/>
        <w:rPr>
          <w:rFonts w:ascii="Times New Roman" w:hAnsi="Times New Roman" w:cs="Times New Roman"/>
          <w:sz w:val="14"/>
          <w:szCs w:val="14"/>
        </w:rPr>
      </w:pPr>
    </w:p>
    <w:p w14:paraId="00DEA1CE" w14:textId="247140AA"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Heymann, J., </w:t>
      </w:r>
      <w:r w:rsidRPr="00E72418">
        <w:rPr>
          <w:rFonts w:ascii="Times New Roman" w:hAnsi="Times New Roman" w:cs="Times New Roman"/>
          <w:szCs w:val="24"/>
        </w:rPr>
        <w:t xml:space="preserve">« La loi Sapin 2 </w:t>
      </w:r>
      <w:r w:rsidR="00610996" w:rsidRPr="00E72418">
        <w:rPr>
          <w:rFonts w:ascii="Times New Roman" w:hAnsi="Times New Roman" w:cs="Times New Roman"/>
          <w:szCs w:val="24"/>
        </w:rPr>
        <w:t xml:space="preserve">et les immunités d’exécution – </w:t>
      </w:r>
      <w:r w:rsidR="00610996" w:rsidRPr="00E72418">
        <w:rPr>
          <w:szCs w:val="20"/>
        </w:rPr>
        <w:t>À</w:t>
      </w:r>
      <w:r w:rsidRPr="00E72418">
        <w:rPr>
          <w:rFonts w:ascii="Times New Roman" w:hAnsi="Times New Roman" w:cs="Times New Roman"/>
          <w:szCs w:val="24"/>
        </w:rPr>
        <w:t xml:space="preserve"> propos de la loi n° 2016-1691 du 9 décembre 2016 », </w:t>
      </w:r>
      <w:r w:rsidRPr="00E72418">
        <w:rPr>
          <w:rFonts w:ascii="Times New Roman" w:hAnsi="Times New Roman" w:cs="Times New Roman"/>
          <w:i/>
          <w:szCs w:val="24"/>
        </w:rPr>
        <w:t>La semaine juridique – Édition générale</w:t>
      </w:r>
      <w:r w:rsidRPr="00E72418">
        <w:rPr>
          <w:rFonts w:ascii="Times New Roman" w:hAnsi="Times New Roman" w:cs="Times New Roman"/>
          <w:szCs w:val="24"/>
        </w:rPr>
        <w:t>, 30 janvier 2017, pp. 176-180</w:t>
      </w:r>
    </w:p>
    <w:p w14:paraId="77F21F7E" w14:textId="77777777" w:rsidR="00A91208" w:rsidRPr="00E72418" w:rsidRDefault="00A91208" w:rsidP="00A91208">
      <w:pPr>
        <w:pStyle w:val="Paragraphedeliste"/>
        <w:rPr>
          <w:rFonts w:ascii="Times New Roman" w:hAnsi="Times New Roman" w:cs="Times New Roman"/>
          <w:sz w:val="14"/>
          <w:szCs w:val="14"/>
        </w:rPr>
      </w:pPr>
    </w:p>
    <w:p w14:paraId="1EAF25CE"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Housos</w:t>
      </w:r>
      <w:r w:rsidRPr="00E72418">
        <w:rPr>
          <w:rFonts w:ascii="Times New Roman" w:hAnsi="Times New Roman" w:cs="Times New Roman"/>
          <w:szCs w:val="24"/>
          <w:lang w:val="en-US"/>
        </w:rPr>
        <w:t xml:space="preserve">, K., « Austerity and Human Rights Law: Towards a Rights-Based Approach to Austerity Policy, a Case Study of Greece », </w:t>
      </w:r>
      <w:r w:rsidRPr="00E72418">
        <w:rPr>
          <w:rFonts w:ascii="Times New Roman" w:hAnsi="Times New Roman" w:cs="Times New Roman"/>
          <w:i/>
          <w:szCs w:val="24"/>
          <w:lang w:val="en-US"/>
        </w:rPr>
        <w:t>Fordham International Law Journal</w:t>
      </w:r>
      <w:r w:rsidRPr="00E72418">
        <w:rPr>
          <w:rFonts w:ascii="Times New Roman" w:hAnsi="Times New Roman" w:cs="Times New Roman"/>
          <w:szCs w:val="24"/>
          <w:lang w:val="en-US"/>
        </w:rPr>
        <w:t>, 2015, pp. 425-446</w:t>
      </w:r>
    </w:p>
    <w:p w14:paraId="404A069C" w14:textId="77777777" w:rsidR="00A91208" w:rsidRPr="00E72418" w:rsidRDefault="00A91208" w:rsidP="00A91208">
      <w:pPr>
        <w:pStyle w:val="Paragraphedeliste"/>
        <w:rPr>
          <w:rFonts w:ascii="Times New Roman" w:hAnsi="Times New Roman" w:cs="Times New Roman"/>
          <w:sz w:val="14"/>
          <w:szCs w:val="14"/>
        </w:rPr>
      </w:pPr>
    </w:p>
    <w:p w14:paraId="72EC600B"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Hughes</w:t>
      </w:r>
      <w:r w:rsidRPr="00E72418">
        <w:rPr>
          <w:rFonts w:ascii="Times New Roman" w:hAnsi="Times New Roman" w:cs="Times New Roman"/>
          <w:szCs w:val="24"/>
          <w:lang w:val="en-US"/>
        </w:rPr>
        <w:t xml:space="preserve">, S., </w:t>
      </w:r>
      <w:r w:rsidRPr="00E72418">
        <w:rPr>
          <w:rFonts w:ascii="Times New Roman" w:hAnsi="Times New Roman" w:cs="Times New Roman"/>
          <w:smallCaps/>
          <w:szCs w:val="24"/>
          <w:lang w:val="en-US"/>
        </w:rPr>
        <w:t>James</w:t>
      </w:r>
      <w:r w:rsidRPr="00E72418">
        <w:rPr>
          <w:rFonts w:ascii="Times New Roman" w:hAnsi="Times New Roman" w:cs="Times New Roman"/>
          <w:szCs w:val="24"/>
          <w:lang w:val="en-US"/>
        </w:rPr>
        <w:t xml:space="preserve">, S., </w:t>
      </w:r>
      <w:r w:rsidRPr="00E72418">
        <w:rPr>
          <w:rFonts w:ascii="Times New Roman" w:hAnsi="Times New Roman" w:cs="Times New Roman"/>
          <w:smallCaps/>
          <w:szCs w:val="24"/>
          <w:lang w:val="en-US"/>
        </w:rPr>
        <w:t>Yianni</w:t>
      </w:r>
      <w:r w:rsidRPr="00E72418">
        <w:rPr>
          <w:rFonts w:ascii="Times New Roman" w:hAnsi="Times New Roman" w:cs="Times New Roman"/>
          <w:szCs w:val="24"/>
          <w:lang w:val="en-US"/>
        </w:rPr>
        <w:t xml:space="preserve">, A. et </w:t>
      </w:r>
      <w:r w:rsidRPr="00E72418">
        <w:rPr>
          <w:rFonts w:ascii="Times New Roman" w:hAnsi="Times New Roman" w:cs="Times New Roman"/>
          <w:smallCaps/>
          <w:szCs w:val="24"/>
          <w:lang w:val="en-US"/>
        </w:rPr>
        <w:t>Zandstra</w:t>
      </w:r>
      <w:r w:rsidRPr="00E72418">
        <w:rPr>
          <w:rFonts w:ascii="Times New Roman" w:hAnsi="Times New Roman" w:cs="Times New Roman"/>
          <w:szCs w:val="24"/>
          <w:lang w:val="en-US"/>
        </w:rPr>
        <w:t xml:space="preserve">, D., </w:t>
      </w:r>
      <w:r w:rsidRPr="00E72418">
        <w:rPr>
          <w:rStyle w:val="apple-converted-space"/>
          <w:rFonts w:ascii="Times New Roman" w:hAnsi="Times New Roman" w:cs="Times New Roman"/>
          <w:smallCaps/>
          <w:szCs w:val="24"/>
          <w:shd w:val="clear" w:color="auto" w:fill="FFFFFF"/>
          <w:lang w:val="en-US"/>
        </w:rPr>
        <w:t xml:space="preserve">« </w:t>
      </w:r>
      <w:r w:rsidRPr="00E72418">
        <w:rPr>
          <w:rFonts w:ascii="Times New Roman" w:hAnsi="Times New Roman" w:cs="Times New Roman"/>
          <w:szCs w:val="24"/>
          <w:lang w:val="en-US"/>
        </w:rPr>
        <w:t xml:space="preserve">The HIPC Debt Relief Bill: Making Forgiveness Compulsory », </w:t>
      </w:r>
      <w:r w:rsidRPr="00E72418">
        <w:rPr>
          <w:rFonts w:ascii="Times New Roman" w:hAnsi="Times New Roman" w:cs="Times New Roman"/>
          <w:i/>
          <w:szCs w:val="24"/>
          <w:lang w:val="en-US"/>
        </w:rPr>
        <w:t>Law and Financial Markets Review</w:t>
      </w:r>
      <w:r w:rsidRPr="00E72418">
        <w:rPr>
          <w:rFonts w:ascii="Times New Roman" w:hAnsi="Times New Roman" w:cs="Times New Roman"/>
          <w:szCs w:val="24"/>
          <w:lang w:val="en-US"/>
        </w:rPr>
        <w:t>, 2010, pp. 269-271</w:t>
      </w:r>
    </w:p>
    <w:p w14:paraId="712D69DF" w14:textId="77777777" w:rsidR="00A91208" w:rsidRPr="00E72418" w:rsidRDefault="00A91208" w:rsidP="00A91208">
      <w:pPr>
        <w:pStyle w:val="Paragraphedeliste"/>
        <w:rPr>
          <w:rFonts w:ascii="Times New Roman" w:hAnsi="Times New Roman" w:cs="Times New Roman"/>
          <w:sz w:val="14"/>
          <w:szCs w:val="14"/>
        </w:rPr>
      </w:pPr>
    </w:p>
    <w:p w14:paraId="76439528"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Imbert</w:t>
      </w:r>
      <w:r w:rsidRPr="00E72418">
        <w:rPr>
          <w:rFonts w:ascii="Times New Roman" w:hAnsi="Times New Roman" w:cs="Times New Roman"/>
          <w:szCs w:val="24"/>
        </w:rPr>
        <w:t xml:space="preserve">, A., « Les fonds vautours, classe particulière d’investisseurs ? », </w:t>
      </w:r>
      <w:r w:rsidRPr="00E72418">
        <w:rPr>
          <w:rFonts w:ascii="Times New Roman" w:hAnsi="Times New Roman" w:cs="Times New Roman"/>
          <w:i/>
          <w:szCs w:val="24"/>
        </w:rPr>
        <w:t>Techniques Financières et Développement</w:t>
      </w:r>
      <w:r w:rsidRPr="00E72418">
        <w:rPr>
          <w:rFonts w:ascii="Times New Roman" w:hAnsi="Times New Roman" w:cs="Times New Roman"/>
          <w:szCs w:val="24"/>
        </w:rPr>
        <w:t>, 2015, pp. 35-41</w:t>
      </w:r>
    </w:p>
    <w:p w14:paraId="19BE1732" w14:textId="77777777" w:rsidR="00A91208" w:rsidRPr="00E72418" w:rsidRDefault="00A91208" w:rsidP="00A91208">
      <w:pPr>
        <w:pStyle w:val="Paragraphedeliste"/>
        <w:rPr>
          <w:rFonts w:ascii="Times New Roman" w:hAnsi="Times New Roman" w:cs="Times New Roman"/>
          <w:sz w:val="14"/>
          <w:szCs w:val="14"/>
        </w:rPr>
      </w:pPr>
    </w:p>
    <w:p w14:paraId="79159576" w14:textId="77777777" w:rsidR="00223AEB" w:rsidRPr="00E72418" w:rsidRDefault="00A91208" w:rsidP="00223AEB">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Iversen, A., </w:t>
      </w:r>
      <w:r w:rsidRPr="00E72418">
        <w:rPr>
          <w:rFonts w:ascii="Times New Roman" w:hAnsi="Times New Roman" w:cs="Times New Roman"/>
          <w:szCs w:val="24"/>
          <w:lang w:val="en-US"/>
        </w:rPr>
        <w:t xml:space="preserve">« Vulture Fund Legislation », </w:t>
      </w:r>
      <w:r w:rsidRPr="00E72418">
        <w:rPr>
          <w:rFonts w:ascii="Times New Roman" w:hAnsi="Times New Roman" w:cs="Times New Roman"/>
          <w:i/>
          <w:szCs w:val="24"/>
          <w:lang w:val="en-US"/>
        </w:rPr>
        <w:t>Banking &amp; Financial Services Policy Report</w:t>
      </w:r>
      <w:r w:rsidRPr="00E72418">
        <w:rPr>
          <w:rFonts w:ascii="Times New Roman" w:hAnsi="Times New Roman" w:cs="Times New Roman"/>
          <w:szCs w:val="24"/>
          <w:lang w:val="en-US"/>
        </w:rPr>
        <w:t>, 2019, pp. 11-19</w:t>
      </w:r>
    </w:p>
    <w:p w14:paraId="50E5A318" w14:textId="77777777" w:rsidR="00223AEB" w:rsidRPr="00E72418" w:rsidRDefault="00223AEB" w:rsidP="00223AEB">
      <w:pPr>
        <w:pStyle w:val="Paragraphedeliste"/>
        <w:rPr>
          <w:rFonts w:ascii="Times New Roman" w:hAnsi="Times New Roman" w:cs="Times New Roman"/>
          <w:smallCaps/>
          <w:sz w:val="14"/>
          <w:szCs w:val="14"/>
        </w:rPr>
      </w:pPr>
    </w:p>
    <w:p w14:paraId="06CE1C45" w14:textId="77777777" w:rsidR="00CD5C6F" w:rsidRPr="00E72418" w:rsidRDefault="00CD5C6F" w:rsidP="00CD5C6F">
      <w:pPr>
        <w:pStyle w:val="Paragraphedeliste"/>
        <w:numPr>
          <w:ilvl w:val="0"/>
          <w:numId w:val="16"/>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Jewett</w:t>
      </w:r>
      <w:r w:rsidRPr="00E72418">
        <w:rPr>
          <w:rFonts w:ascii="Times New Roman" w:hAnsi="Times New Roman" w:cs="Times New Roman"/>
          <w:szCs w:val="24"/>
          <w:lang w:val="en-US"/>
        </w:rPr>
        <w:t xml:space="preserve">, M., « </w:t>
      </w:r>
      <w:r w:rsidRPr="00E72418">
        <w:rPr>
          <w:rFonts w:ascii="Times New Roman" w:hAnsi="Times New Roman" w:cs="Times New Roman"/>
          <w:bCs/>
          <w:szCs w:val="24"/>
          <w:lang w:val="en-US"/>
        </w:rPr>
        <w:t xml:space="preserve">Approaches to Sovereign Debt Resolution: Recent Developments </w:t>
      </w:r>
      <w:r w:rsidRPr="00E72418">
        <w:rPr>
          <w:rFonts w:ascii="Times New Roman" w:hAnsi="Times New Roman" w:cs="Times New Roman"/>
          <w:szCs w:val="24"/>
          <w:lang w:val="en-US"/>
        </w:rPr>
        <w:t>»</w:t>
      </w:r>
      <w:r w:rsidRPr="00E72418">
        <w:rPr>
          <w:rFonts w:ascii="Times New Roman" w:hAnsi="Times New Roman" w:cs="Times New Roman"/>
          <w:bCs/>
          <w:szCs w:val="24"/>
          <w:lang w:val="en-US"/>
        </w:rPr>
        <w:t xml:space="preserve">, </w:t>
      </w:r>
      <w:r w:rsidRPr="00E72418">
        <w:rPr>
          <w:rFonts w:ascii="Times New Roman" w:hAnsi="Times New Roman" w:cs="Times New Roman"/>
          <w:bCs/>
          <w:i/>
          <w:szCs w:val="24"/>
          <w:lang w:val="en-US"/>
        </w:rPr>
        <w:t>Banking and Finance Law Review</w:t>
      </w:r>
      <w:r w:rsidRPr="00E72418">
        <w:rPr>
          <w:rFonts w:ascii="Times New Roman" w:hAnsi="Times New Roman" w:cs="Times New Roman"/>
          <w:bCs/>
          <w:szCs w:val="24"/>
          <w:lang w:val="en-US"/>
        </w:rPr>
        <w:t>, 2015, pp. 311-327</w:t>
      </w:r>
    </w:p>
    <w:p w14:paraId="08E11B12" w14:textId="77777777" w:rsidR="00CD5C6F" w:rsidRPr="00E72418" w:rsidRDefault="00CD5C6F" w:rsidP="00CD5C6F">
      <w:pPr>
        <w:pStyle w:val="Paragraphedeliste"/>
        <w:spacing w:after="0"/>
        <w:rPr>
          <w:rFonts w:ascii="Times New Roman" w:hAnsi="Times New Roman" w:cs="Times New Roman"/>
          <w:sz w:val="14"/>
          <w:szCs w:val="14"/>
        </w:rPr>
      </w:pPr>
    </w:p>
    <w:p w14:paraId="51652D4A" w14:textId="47B51485" w:rsidR="00CD5C6F" w:rsidRPr="00E72418" w:rsidRDefault="00CD5C6F" w:rsidP="00CD5C6F">
      <w:pPr>
        <w:pStyle w:val="Paragraphedeliste"/>
        <w:numPr>
          <w:ilvl w:val="0"/>
          <w:numId w:val="16"/>
        </w:numPr>
        <w:spacing w:after="0"/>
        <w:rPr>
          <w:rFonts w:ascii="Times New Roman" w:hAnsi="Times New Roman" w:cs="Times New Roman"/>
          <w:szCs w:val="24"/>
        </w:rPr>
      </w:pPr>
      <w:r w:rsidRPr="00E72418">
        <w:rPr>
          <w:rFonts w:ascii="Times New Roman" w:hAnsi="Times New Roman" w:cs="Times New Roman"/>
          <w:smallCaps/>
          <w:szCs w:val="24"/>
          <w:lang w:val="en-US"/>
        </w:rPr>
        <w:t>Joiner</w:t>
      </w:r>
      <w:r w:rsidRPr="00E72418">
        <w:rPr>
          <w:rFonts w:ascii="Times New Roman" w:hAnsi="Times New Roman" w:cs="Times New Roman"/>
          <w:szCs w:val="24"/>
          <w:lang w:val="en-US"/>
        </w:rPr>
        <w:t xml:space="preserve">, J., « Past Due: An Introduction to Sovereign Debt, the Ongoing Dispute between NML Capital and Argentina, and Possible Ramifications of the Dispute’s Outcome », </w:t>
      </w:r>
      <w:r w:rsidRPr="00E72418">
        <w:rPr>
          <w:rFonts w:ascii="Times New Roman" w:hAnsi="Times New Roman" w:cs="Times New Roman"/>
          <w:i/>
          <w:szCs w:val="24"/>
          <w:lang w:val="en-US"/>
        </w:rPr>
        <w:t>Law and Business Review of the Americas</w:t>
      </w:r>
      <w:r w:rsidRPr="00E72418">
        <w:rPr>
          <w:rFonts w:ascii="Times New Roman" w:hAnsi="Times New Roman" w:cs="Times New Roman"/>
          <w:szCs w:val="24"/>
          <w:lang w:val="en-US"/>
        </w:rPr>
        <w:t>, 2015, pp. 85-97</w:t>
      </w:r>
    </w:p>
    <w:p w14:paraId="1E10BABE" w14:textId="77777777" w:rsidR="00CD5C6F" w:rsidRPr="00E72418" w:rsidRDefault="00CD5C6F" w:rsidP="00A91208">
      <w:pPr>
        <w:pStyle w:val="Paragraphedeliste"/>
        <w:rPr>
          <w:rFonts w:ascii="Times New Roman" w:hAnsi="Times New Roman" w:cs="Times New Roman"/>
          <w:sz w:val="14"/>
          <w:szCs w:val="14"/>
        </w:rPr>
      </w:pPr>
    </w:p>
    <w:p w14:paraId="2914CA64" w14:textId="77777777" w:rsidR="00912454" w:rsidRPr="00E72418" w:rsidRDefault="00A91208" w:rsidP="00502474">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Jrada</w:t>
      </w:r>
      <w:r w:rsidRPr="00E72418">
        <w:rPr>
          <w:rFonts w:ascii="Times New Roman" w:hAnsi="Times New Roman" w:cs="Times New Roman"/>
          <w:szCs w:val="24"/>
          <w:lang w:val="en-US"/>
        </w:rPr>
        <w:t xml:space="preserve">, J. « Closing the Book on Argentina’s Sovereign Debt Default: The Second Circuit’s Decision and its Ramifications for Sovereign Debt Restructuring in the Eurozone », </w:t>
      </w:r>
      <w:r w:rsidRPr="00E72418">
        <w:rPr>
          <w:rFonts w:ascii="Times New Roman" w:hAnsi="Times New Roman" w:cs="Times New Roman"/>
          <w:i/>
          <w:szCs w:val="24"/>
          <w:lang w:val="en-US"/>
        </w:rPr>
        <w:t>Review of Banking and Financial Law</w:t>
      </w:r>
      <w:r w:rsidRPr="00E72418">
        <w:rPr>
          <w:rFonts w:ascii="Times New Roman" w:hAnsi="Times New Roman" w:cs="Times New Roman"/>
          <w:szCs w:val="24"/>
          <w:lang w:val="en-US"/>
        </w:rPr>
        <w:t>, 2013, pp. 222-233</w:t>
      </w:r>
    </w:p>
    <w:p w14:paraId="3361E80F" w14:textId="77777777" w:rsidR="00912454" w:rsidRPr="00E72418" w:rsidRDefault="00912454" w:rsidP="00912454">
      <w:pPr>
        <w:pStyle w:val="Paragraphedeliste"/>
        <w:rPr>
          <w:rFonts w:ascii="Times New Roman" w:hAnsi="Times New Roman" w:cs="Times New Roman"/>
          <w:smallCaps/>
          <w:sz w:val="14"/>
          <w:szCs w:val="14"/>
          <w:lang w:val="en-US"/>
        </w:rPr>
      </w:pPr>
    </w:p>
    <w:p w14:paraId="3AE19090" w14:textId="7CE82E66"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Kabuya Kalala</w:t>
      </w:r>
      <w:r w:rsidRPr="00E72418">
        <w:rPr>
          <w:rFonts w:ascii="Times New Roman" w:hAnsi="Times New Roman" w:cs="Times New Roman"/>
          <w:szCs w:val="24"/>
        </w:rPr>
        <w:t xml:space="preserve">, F., </w:t>
      </w:r>
      <w:r w:rsidRPr="00E72418">
        <w:rPr>
          <w:rFonts w:ascii="Times New Roman" w:hAnsi="Times New Roman" w:cs="Times New Roman"/>
          <w:smallCaps/>
          <w:szCs w:val="24"/>
        </w:rPr>
        <w:t>Mbantshi</w:t>
      </w:r>
      <w:r w:rsidRPr="00E72418">
        <w:rPr>
          <w:rFonts w:ascii="Times New Roman" w:hAnsi="Times New Roman" w:cs="Times New Roman"/>
          <w:szCs w:val="24"/>
        </w:rPr>
        <w:t xml:space="preserve">, H. et </w:t>
      </w:r>
      <w:r w:rsidRPr="00E72418">
        <w:rPr>
          <w:rFonts w:ascii="Times New Roman" w:hAnsi="Times New Roman" w:cs="Times New Roman"/>
          <w:smallCaps/>
          <w:szCs w:val="24"/>
        </w:rPr>
        <w:t>Nyembwe</w:t>
      </w:r>
      <w:r w:rsidRPr="00E72418">
        <w:rPr>
          <w:rFonts w:ascii="Times New Roman" w:hAnsi="Times New Roman" w:cs="Times New Roman"/>
          <w:szCs w:val="24"/>
        </w:rPr>
        <w:t xml:space="preserve">, A., « Actions des fonds vautours contre la République démocratique du Congo : tentative de circonscription de l’impact », </w:t>
      </w:r>
      <w:r w:rsidRPr="00E72418">
        <w:rPr>
          <w:rFonts w:ascii="Times New Roman" w:hAnsi="Times New Roman" w:cs="Times New Roman"/>
          <w:i/>
          <w:szCs w:val="24"/>
        </w:rPr>
        <w:t>Dounia</w:t>
      </w:r>
      <w:r w:rsidRPr="00E72418">
        <w:rPr>
          <w:rFonts w:ascii="Times New Roman" w:hAnsi="Times New Roman" w:cs="Times New Roman"/>
          <w:szCs w:val="24"/>
        </w:rPr>
        <w:t>, 2012, pp. 71-81</w:t>
      </w:r>
    </w:p>
    <w:p w14:paraId="7A73C1BF" w14:textId="77777777" w:rsidR="00A91208" w:rsidRPr="00E72418" w:rsidRDefault="00A91208" w:rsidP="00A91208">
      <w:pPr>
        <w:pStyle w:val="Paragraphedeliste"/>
        <w:rPr>
          <w:rFonts w:ascii="Times New Roman" w:hAnsi="Times New Roman" w:cs="Times New Roman"/>
          <w:smallCaps/>
          <w:sz w:val="14"/>
          <w:szCs w:val="14"/>
          <w:lang w:val="en-US"/>
        </w:rPr>
      </w:pPr>
    </w:p>
    <w:p w14:paraId="45DCA9A2" w14:textId="77777777"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Kelly</w:t>
      </w:r>
      <w:r w:rsidRPr="00E72418">
        <w:rPr>
          <w:rFonts w:ascii="Times New Roman" w:hAnsi="Times New Roman" w:cs="Times New Roman"/>
          <w:szCs w:val="24"/>
          <w:lang w:val="en-US"/>
        </w:rPr>
        <w:t xml:space="preserve">, A., « Flight of the Condors: The Impact of Vulture Investors on Argentina’s Sovereign Debt Default », </w:t>
      </w:r>
      <w:r w:rsidRPr="00E72418">
        <w:rPr>
          <w:rFonts w:ascii="Times New Roman" w:hAnsi="Times New Roman" w:cs="Times New Roman"/>
          <w:i/>
          <w:szCs w:val="24"/>
          <w:lang w:val="en-US"/>
        </w:rPr>
        <w:t>Florida Journal of International Law</w:t>
      </w:r>
      <w:r w:rsidRPr="00E72418">
        <w:rPr>
          <w:rFonts w:ascii="Times New Roman" w:hAnsi="Times New Roman" w:cs="Times New Roman"/>
          <w:szCs w:val="24"/>
          <w:lang w:val="en-US"/>
        </w:rPr>
        <w:t>, 2018, pp. 27-41</w:t>
      </w:r>
    </w:p>
    <w:p w14:paraId="3D647F66" w14:textId="77777777" w:rsidR="00A91208" w:rsidRPr="00E72418" w:rsidRDefault="00A91208" w:rsidP="00A91208">
      <w:pPr>
        <w:pStyle w:val="Paragraphedeliste"/>
        <w:rPr>
          <w:rFonts w:ascii="Times New Roman" w:hAnsi="Times New Roman" w:cs="Times New Roman"/>
          <w:smallCaps/>
          <w:sz w:val="14"/>
          <w:szCs w:val="14"/>
          <w:lang w:val="en-US"/>
        </w:rPr>
      </w:pPr>
    </w:p>
    <w:p w14:paraId="537833D6" w14:textId="5E50DAB2"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Kilolo-Malambwe</w:t>
      </w:r>
      <w:r w:rsidRPr="00E72418">
        <w:rPr>
          <w:rFonts w:ascii="Times New Roman" w:hAnsi="Times New Roman" w:cs="Times New Roman"/>
          <w:szCs w:val="24"/>
        </w:rPr>
        <w:t xml:space="preserve">, J.-M., « L’Afrique, un terrain fertile aux activités des fonds vautours ? », </w:t>
      </w:r>
      <w:r w:rsidRPr="00E72418">
        <w:rPr>
          <w:rFonts w:ascii="Times New Roman" w:hAnsi="Times New Roman" w:cs="Times New Roman"/>
          <w:i/>
          <w:szCs w:val="24"/>
        </w:rPr>
        <w:t>Dounia</w:t>
      </w:r>
      <w:r w:rsidRPr="00E72418">
        <w:rPr>
          <w:rFonts w:ascii="Times New Roman" w:hAnsi="Times New Roman" w:cs="Times New Roman"/>
          <w:szCs w:val="24"/>
        </w:rPr>
        <w:t>, 2012, pp. 38-46</w:t>
      </w:r>
    </w:p>
    <w:p w14:paraId="0EC51975" w14:textId="77777777" w:rsidR="00843265" w:rsidRPr="00E72418" w:rsidRDefault="00843265" w:rsidP="00843265">
      <w:pPr>
        <w:pStyle w:val="Paragraphedeliste"/>
        <w:rPr>
          <w:rFonts w:ascii="Times New Roman" w:hAnsi="Times New Roman" w:cs="Times New Roman"/>
          <w:smallCaps/>
          <w:sz w:val="14"/>
          <w:szCs w:val="14"/>
          <w:lang w:val="en-US"/>
        </w:rPr>
      </w:pPr>
    </w:p>
    <w:p w14:paraId="5EE2C0D2" w14:textId="55688AAF" w:rsidR="00843265" w:rsidRPr="00E72418" w:rsidRDefault="00843265" w:rsidP="008D1D70">
      <w:pPr>
        <w:pStyle w:val="Paragraphedeliste"/>
        <w:numPr>
          <w:ilvl w:val="0"/>
          <w:numId w:val="18"/>
        </w:numPr>
        <w:spacing w:after="0"/>
        <w:rPr>
          <w:rFonts w:ascii="Times New Roman" w:hAnsi="Times New Roman" w:cs="Times New Roman"/>
          <w:smallCaps/>
          <w:szCs w:val="24"/>
          <w:lang w:val="en-US"/>
        </w:rPr>
      </w:pPr>
      <w:r w:rsidRPr="00E72418">
        <w:rPr>
          <w:smallCaps/>
        </w:rPr>
        <w:t>Klein</w:t>
      </w:r>
      <w:r w:rsidRPr="00E72418">
        <w:t xml:space="preserve">, O., « Comment éviter le piège de la dette après la pandémie ? », </w:t>
      </w:r>
      <w:r w:rsidRPr="00E72418">
        <w:rPr>
          <w:i/>
        </w:rPr>
        <w:t>Revue d’économie financière</w:t>
      </w:r>
      <w:r w:rsidRPr="00E72418">
        <w:t xml:space="preserve">, 2021, pp. </w:t>
      </w:r>
      <w:r w:rsidR="00615D56" w:rsidRPr="00E72418">
        <w:t>281</w:t>
      </w:r>
      <w:r w:rsidRPr="00E72418">
        <w:t>-</w:t>
      </w:r>
      <w:r w:rsidR="00615D56" w:rsidRPr="00E72418">
        <w:t>292</w:t>
      </w:r>
    </w:p>
    <w:p w14:paraId="45697308" w14:textId="77777777" w:rsidR="00A91208" w:rsidRPr="00E72418" w:rsidRDefault="00A91208" w:rsidP="00A91208">
      <w:pPr>
        <w:pStyle w:val="Paragraphedeliste"/>
        <w:rPr>
          <w:rFonts w:ascii="Times New Roman" w:hAnsi="Times New Roman" w:cs="Times New Roman"/>
          <w:smallCaps/>
          <w:sz w:val="14"/>
          <w:szCs w:val="14"/>
          <w:highlight w:val="green"/>
          <w:lang w:val="nl-NL"/>
        </w:rPr>
      </w:pPr>
    </w:p>
    <w:p w14:paraId="796ECF06" w14:textId="16050399"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 xml:space="preserve">Kleiner, C., </w:t>
      </w:r>
      <w:r w:rsidRPr="00E72418">
        <w:rPr>
          <w:rFonts w:ascii="Times New Roman" w:hAnsi="Times New Roman" w:cs="Times New Roman"/>
          <w:szCs w:val="24"/>
        </w:rPr>
        <w:t>« Les affaires relatives à la dette souveraine argentine – Un contentieux collectif et transnational en quête de règle</w:t>
      </w:r>
      <w:r w:rsidR="00610996" w:rsidRPr="00E72418">
        <w:rPr>
          <w:rFonts w:ascii="Times New Roman" w:hAnsi="Times New Roman" w:cs="Times New Roman"/>
          <w:szCs w:val="24"/>
        </w:rPr>
        <w:t>s</w:t>
      </w:r>
      <w:r w:rsidRPr="00E72418">
        <w:rPr>
          <w:rFonts w:ascii="Times New Roman" w:hAnsi="Times New Roman" w:cs="Times New Roman"/>
          <w:szCs w:val="24"/>
        </w:rPr>
        <w:t xml:space="preserve"> et de tribunal », </w:t>
      </w:r>
      <w:r w:rsidRPr="00E72418">
        <w:rPr>
          <w:rFonts w:ascii="Times New Roman" w:hAnsi="Times New Roman" w:cs="Times New Roman"/>
          <w:i/>
          <w:szCs w:val="24"/>
        </w:rPr>
        <w:t xml:space="preserve">Annuaire </w:t>
      </w:r>
      <w:r w:rsidR="00C64A59" w:rsidRPr="00E72418">
        <w:rPr>
          <w:rFonts w:ascii="Times New Roman" w:hAnsi="Times New Roman" w:cs="Times New Roman"/>
          <w:i/>
          <w:szCs w:val="24"/>
        </w:rPr>
        <w:t>français de droit i</w:t>
      </w:r>
      <w:r w:rsidRPr="00E72418">
        <w:rPr>
          <w:rFonts w:ascii="Times New Roman" w:hAnsi="Times New Roman" w:cs="Times New Roman"/>
          <w:i/>
          <w:szCs w:val="24"/>
        </w:rPr>
        <w:t>nternational,</w:t>
      </w:r>
      <w:r w:rsidRPr="00E72418">
        <w:rPr>
          <w:rFonts w:ascii="Times New Roman" w:hAnsi="Times New Roman" w:cs="Times New Roman"/>
          <w:szCs w:val="24"/>
        </w:rPr>
        <w:t xml:space="preserve"> 2015, pp. 751-783</w:t>
      </w:r>
    </w:p>
    <w:p w14:paraId="2B090035" w14:textId="77777777" w:rsidR="00A91208" w:rsidRPr="00E72418" w:rsidRDefault="00A91208" w:rsidP="00A91208">
      <w:pPr>
        <w:pStyle w:val="Paragraphedeliste"/>
        <w:rPr>
          <w:rFonts w:ascii="Times New Roman" w:hAnsi="Times New Roman" w:cs="Times New Roman"/>
          <w:smallCaps/>
          <w:sz w:val="14"/>
          <w:szCs w:val="14"/>
          <w:lang w:val="en-US"/>
        </w:rPr>
      </w:pPr>
    </w:p>
    <w:p w14:paraId="1359C1CE" w14:textId="77777777"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 xml:space="preserve">Kolb, R., </w:t>
      </w:r>
      <w:r w:rsidRPr="00E72418">
        <w:rPr>
          <w:rFonts w:ascii="Times New Roman" w:hAnsi="Times New Roman" w:cs="Times New Roman"/>
          <w:szCs w:val="24"/>
          <w:lang w:val="en-US"/>
        </w:rPr>
        <w:t xml:space="preserve">« The Virtue of Vultures: Distressed Debt Investors in the Sovereign Debt Market », </w:t>
      </w:r>
      <w:r w:rsidRPr="00E72418">
        <w:rPr>
          <w:rFonts w:ascii="Times New Roman" w:hAnsi="Times New Roman" w:cs="Times New Roman"/>
          <w:i/>
          <w:szCs w:val="24"/>
          <w:lang w:val="en-US"/>
        </w:rPr>
        <w:t>The Journal of Social, Political, and Economic Studies</w:t>
      </w:r>
      <w:r w:rsidRPr="00E72418">
        <w:rPr>
          <w:rFonts w:ascii="Times New Roman" w:hAnsi="Times New Roman" w:cs="Times New Roman"/>
          <w:szCs w:val="24"/>
          <w:lang w:val="en-US"/>
        </w:rPr>
        <w:t>, 2015, pp. 368-412</w:t>
      </w:r>
    </w:p>
    <w:p w14:paraId="756CB96D" w14:textId="77777777" w:rsidR="00A91208" w:rsidRPr="00E72418" w:rsidRDefault="00A91208" w:rsidP="00A91208">
      <w:pPr>
        <w:pStyle w:val="Paragraphedeliste"/>
        <w:rPr>
          <w:rFonts w:ascii="Times New Roman" w:hAnsi="Times New Roman" w:cs="Times New Roman"/>
          <w:smallCaps/>
          <w:sz w:val="14"/>
          <w:szCs w:val="14"/>
          <w:lang w:val="en-US"/>
        </w:rPr>
      </w:pPr>
    </w:p>
    <w:p w14:paraId="67127046" w14:textId="56574606"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 xml:space="preserve">Krever, T., </w:t>
      </w:r>
      <w:r w:rsidRPr="00E72418">
        <w:rPr>
          <w:rFonts w:ascii="Times New Roman" w:hAnsi="Times New Roman" w:cs="Times New Roman"/>
          <w:szCs w:val="24"/>
          <w:lang w:val="en-US"/>
        </w:rPr>
        <w:t xml:space="preserve">« The Legal Turn in Late Development Theory: The Rule of Law and the World Bank’s Development Model », </w:t>
      </w:r>
      <w:r w:rsidRPr="00E72418">
        <w:rPr>
          <w:rFonts w:ascii="Times New Roman" w:hAnsi="Times New Roman" w:cs="Times New Roman"/>
          <w:i/>
          <w:szCs w:val="24"/>
          <w:lang w:val="en-US"/>
        </w:rPr>
        <w:t>Harvard International Law Journal</w:t>
      </w:r>
      <w:r w:rsidRPr="00E72418">
        <w:rPr>
          <w:rFonts w:ascii="Times New Roman" w:hAnsi="Times New Roman" w:cs="Times New Roman"/>
          <w:szCs w:val="24"/>
          <w:lang w:val="en-US"/>
        </w:rPr>
        <w:t>, 2011, pp. 288-319</w:t>
      </w:r>
    </w:p>
    <w:p w14:paraId="72C4E11E" w14:textId="77777777" w:rsidR="001C5011" w:rsidRPr="00E72418" w:rsidRDefault="001C5011" w:rsidP="001C5011">
      <w:pPr>
        <w:pStyle w:val="Paragraphedeliste"/>
        <w:rPr>
          <w:rFonts w:ascii="Times New Roman" w:hAnsi="Times New Roman" w:cs="Times New Roman"/>
          <w:smallCaps/>
          <w:sz w:val="14"/>
          <w:szCs w:val="14"/>
          <w:lang w:val="en-US"/>
        </w:rPr>
      </w:pPr>
    </w:p>
    <w:p w14:paraId="06745369" w14:textId="46F0518E"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GB"/>
        </w:rPr>
        <w:lastRenderedPageBreak/>
        <w:t>Laryea</w:t>
      </w:r>
      <w:r w:rsidRPr="00E72418">
        <w:rPr>
          <w:rFonts w:ascii="Times New Roman" w:hAnsi="Times New Roman" w:cs="Times New Roman"/>
          <w:szCs w:val="24"/>
          <w:lang w:val="en-GB"/>
        </w:rPr>
        <w:t xml:space="preserve">, T., « </w:t>
      </w:r>
      <w:r w:rsidRPr="00E72418">
        <w:rPr>
          <w:rFonts w:ascii="Times New Roman" w:hAnsi="Times New Roman" w:cs="Times New Roman"/>
          <w:i/>
          <w:szCs w:val="24"/>
          <w:lang w:val="en-GB"/>
        </w:rPr>
        <w:t>Donegal v. Zambia</w:t>
      </w:r>
      <w:r w:rsidRPr="00E72418">
        <w:rPr>
          <w:rFonts w:ascii="Times New Roman" w:hAnsi="Times New Roman" w:cs="Times New Roman"/>
          <w:szCs w:val="24"/>
          <w:lang w:val="en-GB"/>
        </w:rPr>
        <w:t xml:space="preserve"> and the Persistent Debt Problems of Low-Income Countries », </w:t>
      </w:r>
      <w:r w:rsidR="00A42CFF" w:rsidRPr="00E72418">
        <w:rPr>
          <w:rFonts w:ascii="Times New Roman" w:hAnsi="Times New Roman" w:cs="Times New Roman"/>
          <w:i/>
          <w:szCs w:val="24"/>
          <w:lang w:val="en-GB"/>
        </w:rPr>
        <w:t>Law and Contemporary P</w:t>
      </w:r>
      <w:r w:rsidRPr="00E72418">
        <w:rPr>
          <w:rFonts w:ascii="Times New Roman" w:hAnsi="Times New Roman" w:cs="Times New Roman"/>
          <w:i/>
          <w:szCs w:val="24"/>
          <w:lang w:val="en-GB"/>
        </w:rPr>
        <w:t>roblems</w:t>
      </w:r>
      <w:r w:rsidRPr="00E72418">
        <w:rPr>
          <w:rFonts w:ascii="Times New Roman" w:hAnsi="Times New Roman" w:cs="Times New Roman"/>
          <w:szCs w:val="24"/>
          <w:lang w:val="en-GB"/>
        </w:rPr>
        <w:t>, 2010, pp. 193-200</w:t>
      </w:r>
    </w:p>
    <w:p w14:paraId="37B09BB7" w14:textId="77777777" w:rsidR="00A91208" w:rsidRPr="00E72418" w:rsidRDefault="00A91208" w:rsidP="00A91208">
      <w:pPr>
        <w:pStyle w:val="Paragraphedeliste"/>
        <w:rPr>
          <w:rFonts w:ascii="Times New Roman" w:hAnsi="Times New Roman" w:cs="Times New Roman"/>
          <w:smallCaps/>
          <w:sz w:val="14"/>
          <w:szCs w:val="14"/>
          <w:lang w:val="en-US"/>
        </w:rPr>
      </w:pPr>
    </w:p>
    <w:p w14:paraId="3865BEFF" w14:textId="0B87E1F8" w:rsidR="004800E4" w:rsidRPr="00E72418" w:rsidRDefault="00A91208" w:rsidP="007D7D59">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 xml:space="preserve">Lequesne-Roth, C., </w:t>
      </w:r>
    </w:p>
    <w:p w14:paraId="6069B55D" w14:textId="77777777" w:rsidR="007D7D59" w:rsidRPr="00E72418" w:rsidRDefault="007D7D59" w:rsidP="007D7D59">
      <w:pPr>
        <w:pStyle w:val="Paragraphedeliste"/>
        <w:spacing w:after="0"/>
        <w:ind w:left="1440"/>
        <w:rPr>
          <w:rFonts w:ascii="Times New Roman" w:hAnsi="Times New Roman" w:cs="Times New Roman"/>
          <w:smallCaps/>
          <w:sz w:val="10"/>
          <w:szCs w:val="10"/>
          <w:lang w:val="en-US"/>
        </w:rPr>
      </w:pPr>
    </w:p>
    <w:p w14:paraId="35035348" w14:textId="53D03D3B" w:rsidR="00A91208" w:rsidRPr="00E72418" w:rsidRDefault="00A91208" w:rsidP="007D7D59">
      <w:pPr>
        <w:pStyle w:val="Paragraphedeliste"/>
        <w:numPr>
          <w:ilvl w:val="1"/>
          <w:numId w:val="18"/>
        </w:numPr>
        <w:spacing w:after="0"/>
        <w:rPr>
          <w:rFonts w:ascii="Times New Roman" w:hAnsi="Times New Roman" w:cs="Times New Roman"/>
          <w:smallCaps/>
          <w:szCs w:val="24"/>
          <w:lang w:val="en-US"/>
        </w:rPr>
      </w:pPr>
      <w:r w:rsidRPr="00E72418">
        <w:rPr>
          <w:rFonts w:ascii="Times New Roman" w:hAnsi="Times New Roman" w:cs="Times New Roman"/>
          <w:szCs w:val="24"/>
        </w:rPr>
        <w:t xml:space="preserve">« La fin des </w:t>
      </w:r>
      <w:r w:rsidRPr="00E72418">
        <w:rPr>
          <w:rFonts w:ascii="Times New Roman" w:hAnsi="Times New Roman" w:cs="Times New Roman"/>
          <w:szCs w:val="24"/>
          <w:shd w:val="clear" w:color="auto" w:fill="FFFFFF"/>
        </w:rPr>
        <w:t>“</w:t>
      </w:r>
      <w:r w:rsidRPr="00E72418">
        <w:rPr>
          <w:rFonts w:ascii="Times New Roman" w:hAnsi="Times New Roman" w:cs="Times New Roman"/>
          <w:szCs w:val="24"/>
        </w:rPr>
        <w:t>vautours</w:t>
      </w:r>
      <w:r w:rsidRPr="00E72418">
        <w:rPr>
          <w:rFonts w:ascii="Times New Roman" w:hAnsi="Times New Roman" w:cs="Times New Roman"/>
          <w:szCs w:val="24"/>
          <w:shd w:val="clear" w:color="auto" w:fill="FFFFFF"/>
        </w:rPr>
        <w:t xml:space="preserve">” </w:t>
      </w:r>
      <w:r w:rsidRPr="00E72418">
        <w:rPr>
          <w:rFonts w:ascii="Times New Roman" w:hAnsi="Times New Roman" w:cs="Times New Roman"/>
          <w:szCs w:val="24"/>
        </w:rPr>
        <w:t xml:space="preserve">? Retour sur le contentieux stratégique des dettes souveraines », </w:t>
      </w:r>
      <w:r w:rsidRPr="00E72418">
        <w:rPr>
          <w:rFonts w:ascii="Times New Roman" w:hAnsi="Times New Roman" w:cs="Times New Roman"/>
          <w:i/>
          <w:szCs w:val="24"/>
        </w:rPr>
        <w:t>Revue internationale de droit économique</w:t>
      </w:r>
      <w:r w:rsidRPr="00E72418">
        <w:rPr>
          <w:rFonts w:ascii="Times New Roman" w:hAnsi="Times New Roman" w:cs="Times New Roman"/>
          <w:szCs w:val="24"/>
        </w:rPr>
        <w:t>, 2018, pp. 351-367</w:t>
      </w:r>
    </w:p>
    <w:p w14:paraId="76C9F4CB" w14:textId="77777777" w:rsidR="007D7D59" w:rsidRPr="00E72418" w:rsidRDefault="007D7D59" w:rsidP="007D7D59">
      <w:pPr>
        <w:pStyle w:val="Paragraphedeliste"/>
        <w:spacing w:after="0"/>
        <w:ind w:left="1440"/>
        <w:rPr>
          <w:rFonts w:ascii="Times New Roman" w:hAnsi="Times New Roman" w:cs="Times New Roman"/>
          <w:smallCaps/>
          <w:sz w:val="10"/>
          <w:szCs w:val="10"/>
          <w:lang w:val="en-US"/>
        </w:rPr>
      </w:pPr>
    </w:p>
    <w:p w14:paraId="0E47A872" w14:textId="7B2231B3" w:rsidR="00395D59" w:rsidRPr="00E72418" w:rsidRDefault="00A91208" w:rsidP="007D7D59">
      <w:pPr>
        <w:pStyle w:val="Paragraphedeliste"/>
        <w:numPr>
          <w:ilvl w:val="1"/>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 </w:t>
      </w:r>
      <w:r w:rsidRPr="00E72418">
        <w:rPr>
          <w:rFonts w:ascii="Times New Roman" w:hAnsi="Times New Roman" w:cs="Times New Roman"/>
          <w:szCs w:val="24"/>
        </w:rPr>
        <w:t xml:space="preserve">Restructurer », </w:t>
      </w:r>
      <w:r w:rsidRPr="00E72418">
        <w:rPr>
          <w:rFonts w:ascii="Times New Roman" w:hAnsi="Times New Roman" w:cs="Times New Roman"/>
          <w:i/>
          <w:szCs w:val="24"/>
        </w:rPr>
        <w:t>Gestion et Finances Publiques</w:t>
      </w:r>
      <w:r w:rsidRPr="00E72418">
        <w:rPr>
          <w:rFonts w:ascii="Times New Roman" w:hAnsi="Times New Roman" w:cs="Times New Roman"/>
          <w:szCs w:val="24"/>
        </w:rPr>
        <w:t>, 2018, pp. 32-38</w:t>
      </w:r>
    </w:p>
    <w:p w14:paraId="4EB1AFBC" w14:textId="77777777" w:rsidR="007D7D59" w:rsidRPr="00E72418" w:rsidRDefault="007D7D59" w:rsidP="007D7D59">
      <w:pPr>
        <w:pStyle w:val="Paragraphedeliste"/>
        <w:spacing w:after="0"/>
        <w:ind w:left="1440"/>
        <w:rPr>
          <w:rFonts w:ascii="Times New Roman" w:hAnsi="Times New Roman" w:cs="Times New Roman"/>
          <w:smallCaps/>
          <w:sz w:val="10"/>
          <w:szCs w:val="10"/>
          <w:lang w:val="en-US"/>
        </w:rPr>
      </w:pPr>
    </w:p>
    <w:p w14:paraId="560BABB5" w14:textId="0B8D819A" w:rsidR="00395D59" w:rsidRPr="00E72418" w:rsidRDefault="00395D59" w:rsidP="004800E4">
      <w:pPr>
        <w:pStyle w:val="Paragraphedeliste"/>
        <w:numPr>
          <w:ilvl w:val="1"/>
          <w:numId w:val="18"/>
        </w:numPr>
        <w:spacing w:after="0"/>
        <w:rPr>
          <w:rFonts w:ascii="Times New Roman" w:hAnsi="Times New Roman" w:cs="Times New Roman"/>
          <w:smallCaps/>
          <w:szCs w:val="24"/>
          <w:lang w:val="en-US"/>
        </w:rPr>
      </w:pPr>
      <w:r w:rsidRPr="00E72418">
        <w:t xml:space="preserve">« Le contentieux arbitral des dettes souveraines », </w:t>
      </w:r>
      <w:r w:rsidRPr="00E72418">
        <w:rPr>
          <w:i/>
        </w:rPr>
        <w:t>Revue belge de droit international</w:t>
      </w:r>
      <w:r w:rsidRPr="00E72418">
        <w:t>, 2016, pp. 513-541</w:t>
      </w:r>
    </w:p>
    <w:p w14:paraId="72327498" w14:textId="77777777" w:rsidR="00A91208" w:rsidRPr="00E72418" w:rsidRDefault="00A91208" w:rsidP="00A91208">
      <w:pPr>
        <w:pStyle w:val="Paragraphedeliste"/>
        <w:rPr>
          <w:rFonts w:ascii="Times New Roman" w:hAnsi="Times New Roman" w:cs="Times New Roman"/>
          <w:smallCaps/>
          <w:sz w:val="14"/>
          <w:szCs w:val="14"/>
          <w:lang w:val="en-US"/>
        </w:rPr>
      </w:pPr>
    </w:p>
    <w:p w14:paraId="57337FEA" w14:textId="41051021" w:rsidR="002B5EF4" w:rsidRPr="002B5EF4" w:rsidRDefault="002B5EF4" w:rsidP="002B5EF4">
      <w:pPr>
        <w:pStyle w:val="Paragraphedeliste"/>
        <w:numPr>
          <w:ilvl w:val="0"/>
          <w:numId w:val="18"/>
        </w:numPr>
        <w:rPr>
          <w:rFonts w:asciiTheme="minorHAnsi" w:hAnsiTheme="minorHAnsi"/>
          <w:sz w:val="22"/>
          <w:lang w:val="fr-BE"/>
        </w:rPr>
      </w:pPr>
      <w:r w:rsidRPr="002B5EF4">
        <w:rPr>
          <w:bCs/>
          <w:smallCaps/>
          <w:lang w:val="en-US"/>
        </w:rPr>
        <w:t>Lienau</w:t>
      </w:r>
      <w:r w:rsidRPr="002B5EF4">
        <w:rPr>
          <w:bCs/>
          <w:lang w:val="en-US"/>
        </w:rPr>
        <w:t xml:space="preserve">, </w:t>
      </w:r>
      <w:r>
        <w:rPr>
          <w:bCs/>
          <w:lang w:val="en-US"/>
        </w:rPr>
        <w:t xml:space="preserve">O., </w:t>
      </w:r>
      <w:r w:rsidRPr="002B5EF4">
        <w:rPr>
          <w:bCs/>
          <w:lang w:val="en-US"/>
        </w:rPr>
        <w:t xml:space="preserve">« </w:t>
      </w:r>
      <w:r w:rsidRPr="002B5EF4">
        <w:rPr>
          <w:lang w:val="en-US"/>
        </w:rPr>
        <w:t>Legitimacy and Impartiality as Basic Principles</w:t>
      </w:r>
      <w:r w:rsidRPr="002B5EF4">
        <w:rPr>
          <w:bCs/>
          <w:lang w:val="en-US"/>
        </w:rPr>
        <w:t xml:space="preserve"> </w:t>
      </w:r>
      <w:r w:rsidRPr="002B5EF4">
        <w:rPr>
          <w:lang w:val="en-US"/>
        </w:rPr>
        <w:t xml:space="preserve">for Sovereign Debt Restructuring », </w:t>
      </w:r>
      <w:r w:rsidRPr="00E72418">
        <w:rPr>
          <w:rStyle w:val="Titre5Car"/>
          <w:rFonts w:ascii="Times New Roman" w:hAnsi="Times New Roman" w:cs="Times New Roman"/>
          <w:i/>
          <w:color w:val="auto"/>
          <w:szCs w:val="24"/>
          <w:lang w:val="en-US"/>
        </w:rPr>
        <w:t>The Yale Journal of International Law</w:t>
      </w:r>
      <w:r w:rsidRPr="002B5EF4">
        <w:rPr>
          <w:bCs/>
        </w:rPr>
        <w:t xml:space="preserve">, 2016, </w:t>
      </w:r>
      <w:r>
        <w:t>pp. 97-116.</w:t>
      </w:r>
    </w:p>
    <w:p w14:paraId="0AAE72EA" w14:textId="77777777" w:rsidR="002B5EF4" w:rsidRPr="002B5EF4" w:rsidRDefault="002B5EF4" w:rsidP="002B5EF4">
      <w:pPr>
        <w:pStyle w:val="Paragraphedeliste"/>
        <w:spacing w:after="0"/>
        <w:rPr>
          <w:rFonts w:ascii="Times New Roman" w:hAnsi="Times New Roman" w:cs="Times New Roman"/>
          <w:smallCaps/>
          <w:sz w:val="14"/>
          <w:szCs w:val="14"/>
          <w:lang w:val="en-US"/>
        </w:rPr>
      </w:pPr>
    </w:p>
    <w:p w14:paraId="14AFEFD8" w14:textId="01A3F9AF" w:rsidR="00A91208" w:rsidRPr="00E72418" w:rsidRDefault="00A91208" w:rsidP="008D1D70">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 xml:space="preserve">Lim, C., </w:t>
      </w:r>
      <w:r w:rsidRPr="00E72418">
        <w:rPr>
          <w:rFonts w:ascii="Times New Roman" w:hAnsi="Times New Roman" w:cs="Times New Roman"/>
          <w:szCs w:val="24"/>
          <w:lang w:val="en-US"/>
        </w:rPr>
        <w:t xml:space="preserve">« Worldwide Litigation Over Foreign Sovereign Assets », </w:t>
      </w:r>
      <w:r w:rsidRPr="00E72418">
        <w:rPr>
          <w:rFonts w:ascii="Times New Roman" w:hAnsi="Times New Roman" w:cs="Times New Roman"/>
          <w:i/>
          <w:szCs w:val="24"/>
          <w:lang w:val="en-US"/>
        </w:rPr>
        <w:t>Dispute Resolution International</w:t>
      </w:r>
      <w:r w:rsidRPr="00E72418">
        <w:rPr>
          <w:rFonts w:ascii="Times New Roman" w:hAnsi="Times New Roman" w:cs="Times New Roman"/>
          <w:szCs w:val="24"/>
          <w:lang w:val="en-US"/>
        </w:rPr>
        <w:t>, 2016, pp. 145-160</w:t>
      </w:r>
    </w:p>
    <w:p w14:paraId="3C90F86D" w14:textId="77777777" w:rsidR="00A91208" w:rsidRPr="00E72418" w:rsidRDefault="00A91208" w:rsidP="00A91208">
      <w:pPr>
        <w:pStyle w:val="Paragraphedeliste"/>
        <w:rPr>
          <w:rFonts w:ascii="Times New Roman" w:hAnsi="Times New Roman" w:cs="Times New Roman"/>
          <w:smallCaps/>
          <w:sz w:val="14"/>
          <w:szCs w:val="14"/>
          <w:lang w:val="en-US"/>
        </w:rPr>
      </w:pPr>
    </w:p>
    <w:p w14:paraId="3F15226D" w14:textId="77777777" w:rsidR="00912454" w:rsidRPr="00E72418" w:rsidRDefault="00A91208" w:rsidP="0050247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Lippert</w:t>
      </w:r>
      <w:r w:rsidRPr="00E72418">
        <w:rPr>
          <w:rFonts w:ascii="Times New Roman" w:hAnsi="Times New Roman" w:cs="Times New Roman"/>
          <w:szCs w:val="24"/>
          <w:lang w:val="en-US"/>
        </w:rPr>
        <w:t xml:space="preserve">, J., « </w:t>
      </w:r>
      <w:r w:rsidRPr="00E72418">
        <w:rPr>
          <w:rFonts w:ascii="Times New Roman" w:hAnsi="Times New Roman" w:cs="Times New Roman"/>
          <w:iCs/>
          <w:szCs w:val="24"/>
          <w:lang w:val="en-US"/>
        </w:rPr>
        <w:t xml:space="preserve">Vulture Funds: The Reason Why Congolese Debt May Force a Revision of the Foreign Sovereign Immunities Act </w:t>
      </w:r>
      <w:r w:rsidRPr="00E72418">
        <w:rPr>
          <w:rFonts w:ascii="Times New Roman" w:hAnsi="Times New Roman" w:cs="Times New Roman"/>
          <w:szCs w:val="24"/>
          <w:lang w:val="en-US"/>
        </w:rPr>
        <w:t>»</w:t>
      </w:r>
      <w:r w:rsidRPr="00E72418">
        <w:rPr>
          <w:rFonts w:ascii="Times New Roman" w:hAnsi="Times New Roman" w:cs="Times New Roman"/>
          <w:iCs/>
          <w:szCs w:val="24"/>
          <w:lang w:val="en-US"/>
        </w:rPr>
        <w:t xml:space="preserve">, </w:t>
      </w:r>
      <w:r w:rsidRPr="00E72418">
        <w:rPr>
          <w:rFonts w:ascii="Times New Roman" w:hAnsi="Times New Roman" w:cs="Times New Roman"/>
          <w:i/>
          <w:szCs w:val="24"/>
          <w:lang w:val="en-US"/>
        </w:rPr>
        <w:t>New York International Law Review</w:t>
      </w:r>
      <w:r w:rsidRPr="00E72418">
        <w:rPr>
          <w:rFonts w:ascii="Times New Roman" w:hAnsi="Times New Roman" w:cs="Times New Roman"/>
          <w:szCs w:val="24"/>
          <w:lang w:val="en-US"/>
        </w:rPr>
        <w:t>, 2008, pp. 1-38</w:t>
      </w:r>
    </w:p>
    <w:p w14:paraId="4DB6CEF9" w14:textId="77777777" w:rsidR="00912454" w:rsidRPr="00E72418" w:rsidRDefault="00912454" w:rsidP="00912454">
      <w:pPr>
        <w:pStyle w:val="Paragraphedeliste"/>
        <w:rPr>
          <w:rFonts w:ascii="Times New Roman" w:hAnsi="Times New Roman" w:cs="Times New Roman"/>
          <w:smallCaps/>
          <w:sz w:val="14"/>
          <w:szCs w:val="14"/>
          <w:lang w:val="en-US"/>
        </w:rPr>
      </w:pPr>
    </w:p>
    <w:p w14:paraId="1CD6390C" w14:textId="63975141" w:rsidR="00A91208" w:rsidRPr="00E72418" w:rsidRDefault="00A91208" w:rsidP="0050247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Lopez</w:t>
      </w:r>
      <w:r w:rsidRPr="00E72418">
        <w:rPr>
          <w:rFonts w:ascii="Times New Roman" w:hAnsi="Times New Roman" w:cs="Times New Roman"/>
          <w:szCs w:val="24"/>
          <w:lang w:val="en-US"/>
        </w:rPr>
        <w:t xml:space="preserve">, P. et </w:t>
      </w:r>
      <w:r w:rsidRPr="00E72418">
        <w:rPr>
          <w:rFonts w:ascii="Times New Roman" w:hAnsi="Times New Roman" w:cs="Times New Roman"/>
          <w:smallCaps/>
          <w:szCs w:val="24"/>
          <w:lang w:val="en-US"/>
        </w:rPr>
        <w:t>Nahon</w:t>
      </w:r>
      <w:r w:rsidRPr="00E72418">
        <w:rPr>
          <w:rFonts w:ascii="Times New Roman" w:hAnsi="Times New Roman" w:cs="Times New Roman"/>
          <w:szCs w:val="24"/>
          <w:lang w:val="en-US"/>
        </w:rPr>
        <w:t xml:space="preserve">, C., « The Growth of Debt and the Debt of Growth: Lessons from the Case of Argentina », </w:t>
      </w:r>
      <w:r w:rsidRPr="00E72418">
        <w:rPr>
          <w:rFonts w:ascii="Times New Roman" w:hAnsi="Times New Roman" w:cs="Times New Roman"/>
          <w:i/>
          <w:szCs w:val="24"/>
          <w:lang w:val="en-US"/>
        </w:rPr>
        <w:t>Journal of Law and Society</w:t>
      </w:r>
      <w:r w:rsidRPr="00E72418">
        <w:rPr>
          <w:rFonts w:ascii="Times New Roman" w:hAnsi="Times New Roman" w:cs="Times New Roman"/>
          <w:szCs w:val="24"/>
          <w:lang w:val="en-US"/>
        </w:rPr>
        <w:t>, 2017, pp. 99-122</w:t>
      </w:r>
    </w:p>
    <w:p w14:paraId="61575235" w14:textId="77777777" w:rsidR="00A91208" w:rsidRPr="00E72418" w:rsidRDefault="00A91208" w:rsidP="00A91208">
      <w:pPr>
        <w:pStyle w:val="Paragraphedeliste"/>
        <w:rPr>
          <w:rFonts w:ascii="Times New Roman" w:hAnsi="Times New Roman" w:cs="Times New Roman"/>
          <w:sz w:val="14"/>
          <w:szCs w:val="14"/>
          <w:lang w:val="en-US"/>
        </w:rPr>
      </w:pPr>
    </w:p>
    <w:p w14:paraId="6DF994B7"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Manzo</w:t>
      </w:r>
      <w:r w:rsidRPr="00E72418">
        <w:rPr>
          <w:rFonts w:ascii="Times New Roman" w:hAnsi="Times New Roman" w:cs="Times New Roman"/>
          <w:szCs w:val="24"/>
          <w:lang w:val="en-US"/>
        </w:rPr>
        <w:t xml:space="preserve">, A., « Enforceability of judgments against sovereign States: critical analysis of the NML vs Argentina injunction », </w:t>
      </w:r>
      <w:r w:rsidRPr="00E72418">
        <w:rPr>
          <w:rFonts w:ascii="Times New Roman" w:hAnsi="Times New Roman" w:cs="Times New Roman"/>
          <w:i/>
          <w:szCs w:val="24"/>
          <w:lang w:val="en-US"/>
        </w:rPr>
        <w:t>Revista Direito GV</w:t>
      </w:r>
      <w:r w:rsidRPr="00E72418">
        <w:rPr>
          <w:rFonts w:ascii="Times New Roman" w:hAnsi="Times New Roman" w:cs="Times New Roman"/>
          <w:szCs w:val="24"/>
          <w:lang w:val="en-US"/>
        </w:rPr>
        <w:t>, 2018, pp. 682-706</w:t>
      </w:r>
    </w:p>
    <w:p w14:paraId="1ACB2C0A" w14:textId="77777777" w:rsidR="00A91208" w:rsidRPr="00E72418" w:rsidRDefault="00A91208" w:rsidP="00A91208">
      <w:pPr>
        <w:pStyle w:val="Paragraphedeliste"/>
        <w:rPr>
          <w:rFonts w:ascii="Times New Roman" w:hAnsi="Times New Roman" w:cs="Times New Roman"/>
          <w:sz w:val="14"/>
          <w:szCs w:val="14"/>
          <w:lang w:val="en-US"/>
        </w:rPr>
      </w:pPr>
    </w:p>
    <w:p w14:paraId="7F654356" w14:textId="68230523"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Masoodi, Z., </w:t>
      </w:r>
      <w:r w:rsidRPr="00E72418">
        <w:rPr>
          <w:rFonts w:ascii="Times New Roman" w:hAnsi="Times New Roman" w:cs="Times New Roman"/>
          <w:szCs w:val="24"/>
          <w:lang w:val="en-US"/>
        </w:rPr>
        <w:t>« Sovereign debt restructuring: the legal aspects involved</w:t>
      </w:r>
      <w:r w:rsidRPr="00E72418">
        <w:rPr>
          <w:rFonts w:ascii="Times New Roman" w:hAnsi="Times New Roman" w:cs="Times New Roman"/>
          <w:smallCaps/>
          <w:szCs w:val="24"/>
          <w:lang w:val="en-US"/>
        </w:rPr>
        <w:t xml:space="preserve"> </w:t>
      </w:r>
      <w:r w:rsidRPr="00E72418">
        <w:rPr>
          <w:rFonts w:ascii="Times New Roman" w:hAnsi="Times New Roman" w:cs="Times New Roman"/>
          <w:szCs w:val="24"/>
          <w:lang w:val="en-US"/>
        </w:rPr>
        <w:t>»</w:t>
      </w:r>
      <w:r w:rsidRPr="00E72418">
        <w:rPr>
          <w:rFonts w:ascii="Times New Roman" w:hAnsi="Times New Roman" w:cs="Times New Roman"/>
          <w:smallCaps/>
          <w:szCs w:val="24"/>
          <w:lang w:val="en-US"/>
        </w:rPr>
        <w:t xml:space="preserve">, </w:t>
      </w:r>
      <w:r w:rsidRPr="00E72418">
        <w:rPr>
          <w:rFonts w:ascii="Times New Roman" w:hAnsi="Times New Roman" w:cs="Times New Roman"/>
          <w:i/>
          <w:szCs w:val="24"/>
          <w:lang w:val="en-US"/>
        </w:rPr>
        <w:t>Contemporary Legal and Economic Issues</w:t>
      </w:r>
      <w:r w:rsidRPr="00E72418">
        <w:rPr>
          <w:rFonts w:ascii="Times New Roman" w:hAnsi="Times New Roman" w:cs="Times New Roman"/>
          <w:szCs w:val="24"/>
          <w:lang w:val="en-US"/>
        </w:rPr>
        <w:t>, 2011, pp. 166-200</w:t>
      </w:r>
    </w:p>
    <w:p w14:paraId="6AD533EC" w14:textId="77777777" w:rsidR="00A91208" w:rsidRPr="00E72418" w:rsidRDefault="00A91208" w:rsidP="00A91208">
      <w:pPr>
        <w:pStyle w:val="Paragraphedeliste"/>
        <w:rPr>
          <w:rFonts w:ascii="Times New Roman" w:hAnsi="Times New Roman" w:cs="Times New Roman"/>
          <w:sz w:val="14"/>
          <w:szCs w:val="14"/>
          <w:lang w:val="en-US"/>
        </w:rPr>
      </w:pPr>
    </w:p>
    <w:p w14:paraId="065DF3E1" w14:textId="77777777" w:rsidR="00912454" w:rsidRPr="00E72418" w:rsidRDefault="00A91208" w:rsidP="0091245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Mauro</w:t>
      </w:r>
      <w:r w:rsidRPr="00E72418">
        <w:rPr>
          <w:rFonts w:ascii="Times New Roman" w:hAnsi="Times New Roman" w:cs="Times New Roman"/>
          <w:szCs w:val="24"/>
          <w:lang w:val="en-US"/>
        </w:rPr>
        <w:t xml:space="preserve">, M., </w:t>
      </w:r>
      <w:r w:rsidRPr="00E72418">
        <w:rPr>
          <w:rFonts w:ascii="Times New Roman" w:hAnsi="Times New Roman" w:cs="Times New Roman"/>
          <w:szCs w:val="24"/>
          <w:lang w:val="en-GB"/>
        </w:rPr>
        <w:t xml:space="preserve">« </w:t>
      </w:r>
      <w:r w:rsidRPr="00E72418">
        <w:rPr>
          <w:rFonts w:ascii="Times New Roman" w:hAnsi="Times New Roman" w:cs="Times New Roman"/>
          <w:szCs w:val="24"/>
          <w:lang w:val="en-US"/>
        </w:rPr>
        <w:t xml:space="preserve">Sovereign Default and Litigation: </w:t>
      </w:r>
      <w:r w:rsidRPr="00E72418">
        <w:rPr>
          <w:rFonts w:ascii="Times New Roman" w:hAnsi="Times New Roman" w:cs="Times New Roman"/>
          <w:i/>
          <w:szCs w:val="24"/>
          <w:lang w:val="en-US"/>
        </w:rPr>
        <w:t>NML Capital v. Argentina</w:t>
      </w:r>
      <w:r w:rsidRPr="00E72418">
        <w:rPr>
          <w:rFonts w:ascii="Times New Roman" w:hAnsi="Times New Roman" w:cs="Times New Roman"/>
          <w:szCs w:val="24"/>
          <w:lang w:val="en-US"/>
        </w:rPr>
        <w:t xml:space="preserve">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Italian Yearbook of International Law</w:t>
      </w:r>
      <w:r w:rsidRPr="00E72418">
        <w:rPr>
          <w:rFonts w:ascii="Times New Roman" w:hAnsi="Times New Roman" w:cs="Times New Roman"/>
          <w:szCs w:val="24"/>
          <w:lang w:val="en-US"/>
        </w:rPr>
        <w:t>, 2014, pp. 249-268</w:t>
      </w:r>
    </w:p>
    <w:p w14:paraId="700F5350" w14:textId="77777777" w:rsidR="00912454" w:rsidRPr="00E72418" w:rsidRDefault="00912454" w:rsidP="00912454">
      <w:pPr>
        <w:pStyle w:val="Paragraphedeliste"/>
        <w:rPr>
          <w:rFonts w:ascii="Times New Roman" w:hAnsi="Times New Roman" w:cs="Times New Roman"/>
          <w:smallCaps/>
          <w:sz w:val="14"/>
          <w:szCs w:val="14"/>
          <w:lang w:val="en-US"/>
        </w:rPr>
      </w:pPr>
    </w:p>
    <w:p w14:paraId="670A0E0E" w14:textId="5C536531" w:rsidR="00A91208" w:rsidRPr="00E72418" w:rsidRDefault="00A91208" w:rsidP="0091245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Meager</w:t>
      </w:r>
      <w:r w:rsidRPr="00E72418">
        <w:rPr>
          <w:rFonts w:ascii="Times New Roman" w:hAnsi="Times New Roman" w:cs="Times New Roman"/>
          <w:szCs w:val="24"/>
          <w:lang w:val="en-US"/>
        </w:rPr>
        <w:t xml:space="preserve">, L., </w:t>
      </w:r>
      <w:r w:rsidRPr="00E72418">
        <w:rPr>
          <w:rFonts w:ascii="Times New Roman" w:hAnsi="Times New Roman" w:cs="Times New Roman"/>
          <w:smallCaps/>
          <w:szCs w:val="24"/>
          <w:lang w:val="en-US"/>
        </w:rPr>
        <w:t>Price</w:t>
      </w:r>
      <w:r w:rsidRPr="00E72418">
        <w:rPr>
          <w:rFonts w:ascii="Times New Roman" w:hAnsi="Times New Roman" w:cs="Times New Roman"/>
          <w:szCs w:val="24"/>
          <w:lang w:val="en-US"/>
        </w:rPr>
        <w:t xml:space="preserve">, E. et </w:t>
      </w:r>
      <w:r w:rsidRPr="00E72418">
        <w:rPr>
          <w:rFonts w:ascii="Times New Roman" w:hAnsi="Times New Roman" w:cs="Times New Roman"/>
          <w:smallCaps/>
          <w:szCs w:val="24"/>
          <w:lang w:val="en-US"/>
        </w:rPr>
        <w:t>Yap</w:t>
      </w:r>
      <w:r w:rsidR="00831FA9" w:rsidRPr="00E72418">
        <w:rPr>
          <w:rFonts w:ascii="Times New Roman" w:hAnsi="Times New Roman" w:cs="Times New Roman"/>
          <w:szCs w:val="24"/>
          <w:lang w:val="en-US"/>
        </w:rPr>
        <w:t>, B., « How to jump start sovereign d</w:t>
      </w:r>
      <w:r w:rsidRPr="00E72418">
        <w:rPr>
          <w:rFonts w:ascii="Times New Roman" w:hAnsi="Times New Roman" w:cs="Times New Roman"/>
          <w:szCs w:val="24"/>
          <w:lang w:val="en-US"/>
        </w:rPr>
        <w:t xml:space="preserve">ebt », </w:t>
      </w:r>
      <w:r w:rsidRPr="00E72418">
        <w:rPr>
          <w:rFonts w:ascii="Times New Roman" w:hAnsi="Times New Roman" w:cs="Times New Roman"/>
          <w:i/>
          <w:szCs w:val="24"/>
          <w:lang w:val="en-US"/>
        </w:rPr>
        <w:t>International Financial Law Review</w:t>
      </w:r>
      <w:r w:rsidRPr="00E72418">
        <w:rPr>
          <w:rFonts w:ascii="Times New Roman" w:hAnsi="Times New Roman" w:cs="Times New Roman"/>
          <w:szCs w:val="24"/>
          <w:lang w:val="en-US"/>
        </w:rPr>
        <w:t xml:space="preserve">, </w:t>
      </w:r>
      <w:r w:rsidR="00831FA9" w:rsidRPr="00E72418">
        <w:rPr>
          <w:rFonts w:ascii="Times New Roman" w:hAnsi="Times New Roman" w:cs="Times New Roman"/>
          <w:szCs w:val="24"/>
          <w:lang w:val="en-US"/>
        </w:rPr>
        <w:t xml:space="preserve">octobre </w:t>
      </w:r>
      <w:r w:rsidRPr="00E72418">
        <w:rPr>
          <w:rFonts w:ascii="Times New Roman" w:hAnsi="Times New Roman" w:cs="Times New Roman"/>
          <w:szCs w:val="24"/>
          <w:lang w:val="en-US"/>
        </w:rPr>
        <w:t>2016, pp. 23-26</w:t>
      </w:r>
    </w:p>
    <w:p w14:paraId="07CA1CB6" w14:textId="77777777" w:rsidR="00A91208" w:rsidRPr="00E72418" w:rsidRDefault="00A91208" w:rsidP="00A91208">
      <w:pPr>
        <w:pStyle w:val="Paragraphedeliste"/>
        <w:rPr>
          <w:rFonts w:ascii="Times New Roman" w:hAnsi="Times New Roman" w:cs="Times New Roman"/>
          <w:sz w:val="14"/>
          <w:szCs w:val="14"/>
          <w:lang w:val="en-US"/>
        </w:rPr>
      </w:pPr>
    </w:p>
    <w:p w14:paraId="596261D0" w14:textId="3665F7C8" w:rsidR="004800E4" w:rsidRPr="00E72418" w:rsidRDefault="00A91208" w:rsidP="007D7D59">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 xml:space="preserve">Megliani, M., </w:t>
      </w:r>
    </w:p>
    <w:p w14:paraId="390659C3"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1E7CBB18" w14:textId="6FF349B8" w:rsidR="00A91208"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For the Orphan, the Widow, the Poor: How to Curb Enforcing by Vulture Funds against the Highly Indebted Poor Countries », </w:t>
      </w:r>
      <w:r w:rsidRPr="00E72418">
        <w:rPr>
          <w:rFonts w:ascii="Times New Roman" w:hAnsi="Times New Roman" w:cs="Times New Roman"/>
          <w:i/>
          <w:szCs w:val="24"/>
          <w:lang w:val="en-US"/>
        </w:rPr>
        <w:t>Leiden Journal of International Law</w:t>
      </w:r>
      <w:r w:rsidRPr="00E72418">
        <w:rPr>
          <w:rFonts w:ascii="Times New Roman" w:hAnsi="Times New Roman" w:cs="Times New Roman"/>
          <w:szCs w:val="24"/>
          <w:lang w:val="en-US"/>
        </w:rPr>
        <w:t>, 2018, pp. 363-381</w:t>
      </w:r>
    </w:p>
    <w:p w14:paraId="2F17CC40"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322245D6" w14:textId="4D32C0B5"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Vultures in Courts: Why the UNCTAD Principles on Responsible Financing Cannot Stop Litigation », </w:t>
      </w:r>
      <w:r w:rsidRPr="00E72418">
        <w:rPr>
          <w:rFonts w:ascii="Times New Roman" w:hAnsi="Times New Roman" w:cs="Times New Roman"/>
          <w:i/>
          <w:szCs w:val="24"/>
          <w:lang w:val="en-US"/>
        </w:rPr>
        <w:t>Leiden Journal of International Law</w:t>
      </w:r>
      <w:r w:rsidRPr="00E72418">
        <w:rPr>
          <w:rFonts w:ascii="Times New Roman" w:hAnsi="Times New Roman" w:cs="Times New Roman"/>
          <w:szCs w:val="24"/>
          <w:lang w:val="en-US"/>
        </w:rPr>
        <w:t>, 2015, pp. 849-861</w:t>
      </w:r>
    </w:p>
    <w:p w14:paraId="67DDEC78" w14:textId="77777777" w:rsidR="00A91208" w:rsidRPr="00E72418" w:rsidRDefault="00A91208" w:rsidP="00A91208">
      <w:pPr>
        <w:pStyle w:val="Paragraphedeliste"/>
        <w:rPr>
          <w:rFonts w:ascii="Times New Roman" w:hAnsi="Times New Roman" w:cs="Times New Roman"/>
          <w:sz w:val="14"/>
          <w:szCs w:val="14"/>
          <w:lang w:val="en-US"/>
        </w:rPr>
      </w:pPr>
    </w:p>
    <w:p w14:paraId="47C5AD9B"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Michalowski</w:t>
      </w:r>
      <w:r w:rsidRPr="00E72418">
        <w:rPr>
          <w:rFonts w:ascii="Times New Roman" w:hAnsi="Times New Roman" w:cs="Times New Roman"/>
          <w:szCs w:val="24"/>
          <w:lang w:val="en-US"/>
        </w:rPr>
        <w:t xml:space="preserve">, S., « Sovereign Debt and Social Rights – Legal Reflections on a Difficult Relationship », </w:t>
      </w:r>
      <w:r w:rsidRPr="00E72418">
        <w:rPr>
          <w:rFonts w:ascii="Times New Roman" w:hAnsi="Times New Roman" w:cs="Times New Roman"/>
          <w:i/>
          <w:szCs w:val="24"/>
          <w:lang w:val="en-US"/>
        </w:rPr>
        <w:t>Human Rights Law Review</w:t>
      </w:r>
      <w:r w:rsidRPr="00E72418">
        <w:rPr>
          <w:rFonts w:ascii="Times New Roman" w:hAnsi="Times New Roman" w:cs="Times New Roman"/>
          <w:szCs w:val="24"/>
          <w:lang w:val="en-US"/>
        </w:rPr>
        <w:t>, 2008, pp. 35-68</w:t>
      </w:r>
    </w:p>
    <w:p w14:paraId="05A1F060" w14:textId="77777777" w:rsidR="00A91208" w:rsidRPr="00E72418" w:rsidRDefault="00A91208" w:rsidP="00A91208">
      <w:pPr>
        <w:pStyle w:val="Paragraphedeliste"/>
        <w:rPr>
          <w:rFonts w:ascii="Times New Roman" w:hAnsi="Times New Roman" w:cs="Times New Roman"/>
          <w:sz w:val="14"/>
          <w:szCs w:val="14"/>
          <w:lang w:val="en-US"/>
        </w:rPr>
      </w:pPr>
    </w:p>
    <w:p w14:paraId="308F36EB" w14:textId="29830028"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Miny, X</w:t>
      </w:r>
      <w:r w:rsidR="00610996" w:rsidRPr="00E72418">
        <w:rPr>
          <w:rFonts w:ascii="Times New Roman" w:hAnsi="Times New Roman" w:cs="Times New Roman"/>
          <w:smallCaps/>
          <w:szCs w:val="24"/>
        </w:rPr>
        <w:t>.</w:t>
      </w:r>
      <w:r w:rsidRPr="00E72418">
        <w:rPr>
          <w:rFonts w:ascii="Times New Roman" w:hAnsi="Times New Roman" w:cs="Times New Roman"/>
          <w:smallCaps/>
          <w:szCs w:val="24"/>
        </w:rPr>
        <w:t xml:space="preserve"> </w:t>
      </w:r>
      <w:r w:rsidRPr="00E72418">
        <w:rPr>
          <w:rFonts w:ascii="Times New Roman" w:hAnsi="Times New Roman" w:cs="Times New Roman"/>
          <w:szCs w:val="24"/>
        </w:rPr>
        <w:t>et T</w:t>
      </w:r>
      <w:r w:rsidRPr="00E72418">
        <w:rPr>
          <w:rFonts w:ascii="Times New Roman" w:hAnsi="Times New Roman" w:cs="Times New Roman"/>
          <w:smallCaps/>
          <w:szCs w:val="24"/>
        </w:rPr>
        <w:t xml:space="preserve">roisfontaine, I., </w:t>
      </w:r>
      <w:r w:rsidRPr="00E72418">
        <w:rPr>
          <w:rFonts w:ascii="Times New Roman" w:hAnsi="Times New Roman" w:cs="Times New Roman"/>
          <w:szCs w:val="24"/>
        </w:rPr>
        <w:t xml:space="preserve">« Quand les vautours attaquent </w:t>
      </w:r>
      <w:r w:rsidRPr="00E72418">
        <w:rPr>
          <w:rFonts w:ascii="Times New Roman" w:hAnsi="Times New Roman" w:cs="Times New Roman"/>
          <w:szCs w:val="24"/>
          <w:lang w:val="en-US"/>
        </w:rPr>
        <w:t>–</w:t>
      </w:r>
      <w:r w:rsidRPr="00E72418">
        <w:rPr>
          <w:rFonts w:ascii="Times New Roman" w:hAnsi="Times New Roman" w:cs="Times New Roman"/>
          <w:szCs w:val="24"/>
        </w:rPr>
        <w:t xml:space="preserve"> Fonds spéculatifs spécialisés dans le rachat des dettes des États: synthèse et perspectives en droit belge », </w:t>
      </w:r>
      <w:r w:rsidRPr="00E72418">
        <w:rPr>
          <w:rFonts w:ascii="Times New Roman" w:hAnsi="Times New Roman" w:cs="Times New Roman"/>
          <w:i/>
          <w:szCs w:val="24"/>
        </w:rPr>
        <w:t>Revue de la Faculté de droit de l’Université de Liège</w:t>
      </w:r>
      <w:r w:rsidRPr="00E72418">
        <w:rPr>
          <w:rFonts w:ascii="Times New Roman" w:hAnsi="Times New Roman" w:cs="Times New Roman"/>
          <w:szCs w:val="24"/>
        </w:rPr>
        <w:t>, 2013, pp. 119-127</w:t>
      </w:r>
    </w:p>
    <w:p w14:paraId="013A9703" w14:textId="77777777" w:rsidR="00A91208" w:rsidRPr="00E72418" w:rsidRDefault="00A91208" w:rsidP="00A91208">
      <w:pPr>
        <w:pStyle w:val="Paragraphedeliste"/>
        <w:rPr>
          <w:rFonts w:ascii="Times New Roman" w:hAnsi="Times New Roman" w:cs="Times New Roman"/>
          <w:sz w:val="14"/>
          <w:szCs w:val="14"/>
          <w:lang w:val="en-US"/>
        </w:rPr>
      </w:pPr>
    </w:p>
    <w:p w14:paraId="3FC00610"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GB"/>
        </w:rPr>
        <w:t>Monteagudo</w:t>
      </w:r>
      <w:r w:rsidRPr="00E72418">
        <w:rPr>
          <w:rFonts w:ascii="Times New Roman" w:hAnsi="Times New Roman" w:cs="Times New Roman"/>
          <w:szCs w:val="24"/>
          <w:shd w:val="clear" w:color="auto" w:fill="FFFFFF"/>
          <w:lang w:val="en-GB"/>
        </w:rPr>
        <w:t xml:space="preserve">, M., </w:t>
      </w:r>
      <w:r w:rsidRPr="00E72418">
        <w:rPr>
          <w:rFonts w:ascii="Times New Roman" w:hAnsi="Times New Roman" w:cs="Times New Roman"/>
          <w:szCs w:val="24"/>
          <w:lang w:val="en-GB"/>
        </w:rPr>
        <w:t xml:space="preserve">« </w:t>
      </w:r>
      <w:r w:rsidRPr="00E72418">
        <w:rPr>
          <w:rFonts w:ascii="Times New Roman" w:hAnsi="Times New Roman" w:cs="Times New Roman"/>
          <w:szCs w:val="24"/>
          <w:shd w:val="clear" w:color="auto" w:fill="FFFFFF"/>
          <w:lang w:val="en-GB"/>
        </w:rPr>
        <w:t xml:space="preserve">Peru’s Experience in Sovereign Debt Management and Litigation: Some Lessons for the Legal Approach to Sovereign Indebtedness </w:t>
      </w:r>
      <w:r w:rsidRPr="00E72418">
        <w:rPr>
          <w:rFonts w:ascii="Times New Roman" w:hAnsi="Times New Roman" w:cs="Times New Roman"/>
          <w:szCs w:val="24"/>
          <w:lang w:val="en-GB"/>
        </w:rPr>
        <w:t>»</w:t>
      </w:r>
      <w:r w:rsidRPr="00E72418">
        <w:rPr>
          <w:rFonts w:ascii="Times New Roman" w:hAnsi="Times New Roman" w:cs="Times New Roman"/>
          <w:szCs w:val="24"/>
          <w:shd w:val="clear" w:color="auto" w:fill="FFFFFF"/>
          <w:lang w:val="en-GB"/>
        </w:rPr>
        <w:t xml:space="preserve">, </w:t>
      </w:r>
      <w:r w:rsidRPr="00E72418">
        <w:rPr>
          <w:rStyle w:val="Accentuation"/>
          <w:rFonts w:ascii="Times New Roman" w:hAnsi="Times New Roman" w:cs="Times New Roman"/>
          <w:szCs w:val="24"/>
          <w:bdr w:val="none" w:sz="0" w:space="0" w:color="auto" w:frame="1"/>
          <w:shd w:val="clear" w:color="auto" w:fill="FFFFFF"/>
          <w:lang w:val="en-GB"/>
        </w:rPr>
        <w:t>L</w:t>
      </w:r>
      <w:r w:rsidRPr="00E72418">
        <w:rPr>
          <w:rStyle w:val="smallcaps"/>
          <w:rFonts w:ascii="Times New Roman" w:hAnsi="Times New Roman" w:cs="Times New Roman"/>
          <w:i/>
          <w:iCs/>
          <w:szCs w:val="24"/>
          <w:bdr w:val="none" w:sz="0" w:space="0" w:color="auto" w:frame="1"/>
          <w:lang w:val="en-GB"/>
        </w:rPr>
        <w:t>aw and</w:t>
      </w:r>
      <w:r w:rsidRPr="00E72418">
        <w:rPr>
          <w:rStyle w:val="apple-converted-space"/>
          <w:rFonts w:ascii="Times New Roman" w:hAnsi="Times New Roman" w:cs="Times New Roman"/>
          <w:i/>
          <w:iCs/>
          <w:szCs w:val="24"/>
          <w:bdr w:val="none" w:sz="0" w:space="0" w:color="auto" w:frame="1"/>
          <w:shd w:val="clear" w:color="auto" w:fill="FFFFFF"/>
          <w:lang w:val="en-GB"/>
        </w:rPr>
        <w:t> C</w:t>
      </w:r>
      <w:r w:rsidRPr="00E72418">
        <w:rPr>
          <w:rStyle w:val="smallcaps"/>
          <w:rFonts w:ascii="Times New Roman" w:hAnsi="Times New Roman" w:cs="Times New Roman"/>
          <w:i/>
          <w:iCs/>
          <w:szCs w:val="24"/>
          <w:bdr w:val="none" w:sz="0" w:space="0" w:color="auto" w:frame="1"/>
          <w:lang w:val="en-GB"/>
        </w:rPr>
        <w:t>ontemporary</w:t>
      </w:r>
      <w:r w:rsidRPr="00E72418">
        <w:rPr>
          <w:rStyle w:val="apple-converted-space"/>
          <w:rFonts w:ascii="Times New Roman" w:hAnsi="Times New Roman" w:cs="Times New Roman"/>
          <w:i/>
          <w:iCs/>
          <w:szCs w:val="24"/>
          <w:bdr w:val="none" w:sz="0" w:space="0" w:color="auto" w:frame="1"/>
          <w:shd w:val="clear" w:color="auto" w:fill="FFFFFF"/>
          <w:lang w:val="en-GB"/>
        </w:rPr>
        <w:t> P</w:t>
      </w:r>
      <w:r w:rsidRPr="00E72418">
        <w:rPr>
          <w:rStyle w:val="smallcaps"/>
          <w:rFonts w:ascii="Times New Roman" w:hAnsi="Times New Roman" w:cs="Times New Roman"/>
          <w:i/>
          <w:iCs/>
          <w:szCs w:val="24"/>
          <w:bdr w:val="none" w:sz="0" w:space="0" w:color="auto" w:frame="1"/>
          <w:lang w:val="en-GB"/>
        </w:rPr>
        <w:t>roblems</w:t>
      </w:r>
      <w:r w:rsidRPr="00E72418">
        <w:rPr>
          <w:rStyle w:val="smallcaps"/>
          <w:rFonts w:ascii="Times New Roman" w:hAnsi="Times New Roman" w:cs="Times New Roman"/>
          <w:iCs/>
          <w:szCs w:val="24"/>
          <w:bdr w:val="none" w:sz="0" w:space="0" w:color="auto" w:frame="1"/>
          <w:lang w:val="en-GB"/>
        </w:rPr>
        <w:t xml:space="preserve">, 2010, </w:t>
      </w:r>
      <w:r w:rsidRPr="00E72418">
        <w:rPr>
          <w:rStyle w:val="apple-converted-space"/>
          <w:rFonts w:ascii="Times New Roman" w:hAnsi="Times New Roman" w:cs="Times New Roman"/>
          <w:szCs w:val="24"/>
          <w:shd w:val="clear" w:color="auto" w:fill="FFFFFF"/>
          <w:lang w:val="en-GB"/>
        </w:rPr>
        <w:t xml:space="preserve">pp. </w:t>
      </w:r>
      <w:r w:rsidRPr="00E72418">
        <w:rPr>
          <w:rFonts w:ascii="Times New Roman" w:hAnsi="Times New Roman" w:cs="Times New Roman"/>
          <w:szCs w:val="24"/>
          <w:shd w:val="clear" w:color="auto" w:fill="FFFFFF"/>
          <w:lang w:val="en-GB"/>
        </w:rPr>
        <w:t>201-214</w:t>
      </w:r>
    </w:p>
    <w:p w14:paraId="44B56197" w14:textId="77777777" w:rsidR="00A91208" w:rsidRPr="00E72418" w:rsidRDefault="00A91208" w:rsidP="00A91208">
      <w:pPr>
        <w:pStyle w:val="Paragraphedeliste"/>
        <w:rPr>
          <w:rFonts w:ascii="Times New Roman" w:hAnsi="Times New Roman" w:cs="Times New Roman"/>
          <w:sz w:val="14"/>
          <w:szCs w:val="14"/>
          <w:lang w:val="en-US"/>
        </w:rPr>
      </w:pPr>
    </w:p>
    <w:p w14:paraId="7D6DB19F" w14:textId="178ECC2F"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lastRenderedPageBreak/>
        <w:t>Monteleone</w:t>
      </w:r>
      <w:r w:rsidRPr="00E72418">
        <w:rPr>
          <w:rFonts w:ascii="Times New Roman" w:hAnsi="Times New Roman" w:cs="Times New Roman"/>
          <w:szCs w:val="24"/>
          <w:lang w:val="en-US"/>
        </w:rPr>
        <w:t xml:space="preserve">, T., « A vulture’s gamble: high-stakes interpretation of sovereign debt contracts in </w:t>
      </w:r>
      <w:r w:rsidRPr="00E72418">
        <w:rPr>
          <w:rFonts w:ascii="Times New Roman" w:hAnsi="Times New Roman" w:cs="Times New Roman"/>
          <w:i/>
          <w:szCs w:val="24"/>
          <w:lang w:val="en-US"/>
        </w:rPr>
        <w:t>NML Capital, Ltd</w:t>
      </w:r>
      <w:r w:rsidR="00F621B0" w:rsidRPr="00E72418">
        <w:rPr>
          <w:rFonts w:ascii="Times New Roman" w:hAnsi="Times New Roman" w:cs="Times New Roman"/>
          <w:i/>
          <w:szCs w:val="24"/>
          <w:lang w:val="en-US"/>
        </w:rPr>
        <w:t>.</w:t>
      </w:r>
      <w:r w:rsidRPr="00E72418">
        <w:rPr>
          <w:rFonts w:ascii="Times New Roman" w:hAnsi="Times New Roman" w:cs="Times New Roman"/>
          <w:i/>
          <w:szCs w:val="24"/>
          <w:lang w:val="en-US"/>
        </w:rPr>
        <w:t xml:space="preserve"> v Republic of Argentina</w:t>
      </w:r>
      <w:r w:rsidRPr="00E72418">
        <w:rPr>
          <w:rFonts w:ascii="Times New Roman" w:hAnsi="Times New Roman" w:cs="Times New Roman"/>
          <w:szCs w:val="24"/>
          <w:lang w:val="en-US"/>
        </w:rPr>
        <w:t xml:space="preserve">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2013, pp. 149-165</w:t>
      </w:r>
    </w:p>
    <w:p w14:paraId="744423CF" w14:textId="77777777" w:rsidR="00A91208" w:rsidRPr="00E72418" w:rsidRDefault="00A91208" w:rsidP="00A91208">
      <w:pPr>
        <w:pStyle w:val="Paragraphedeliste"/>
        <w:rPr>
          <w:rFonts w:ascii="Times New Roman" w:hAnsi="Times New Roman" w:cs="Times New Roman"/>
          <w:sz w:val="14"/>
          <w:szCs w:val="14"/>
          <w:lang w:val="en-US"/>
        </w:rPr>
      </w:pPr>
    </w:p>
    <w:p w14:paraId="751EB08F"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rPr>
        <w:t xml:space="preserve">Morel-Maroger, J., </w:t>
      </w:r>
      <w:r w:rsidRPr="00E72418">
        <w:rPr>
          <w:rFonts w:ascii="Times New Roman" w:hAnsi="Times New Roman" w:cs="Times New Roman"/>
          <w:szCs w:val="24"/>
        </w:rPr>
        <w:t xml:space="preserve">« Jurisprudence du tribunal de grande instance de Paris », </w:t>
      </w:r>
      <w:r w:rsidRPr="00E72418">
        <w:rPr>
          <w:rFonts w:ascii="Times New Roman" w:hAnsi="Times New Roman" w:cs="Times New Roman"/>
          <w:i/>
          <w:szCs w:val="24"/>
        </w:rPr>
        <w:t>La semaine juridique – Édition générale</w:t>
      </w:r>
      <w:r w:rsidRPr="00E72418">
        <w:rPr>
          <w:rFonts w:ascii="Times New Roman" w:hAnsi="Times New Roman" w:cs="Times New Roman"/>
          <w:szCs w:val="24"/>
        </w:rPr>
        <w:t>, 11 juin 2018, pp. 1185-1191</w:t>
      </w:r>
    </w:p>
    <w:p w14:paraId="35686199" w14:textId="77777777" w:rsidR="00A91208" w:rsidRPr="00E72418" w:rsidRDefault="00A91208" w:rsidP="00A91208">
      <w:pPr>
        <w:pStyle w:val="Paragraphedeliste"/>
        <w:rPr>
          <w:rFonts w:ascii="Times New Roman" w:hAnsi="Times New Roman" w:cs="Times New Roman"/>
          <w:sz w:val="14"/>
          <w:szCs w:val="14"/>
          <w:lang w:val="en-US"/>
        </w:rPr>
      </w:pPr>
    </w:p>
    <w:p w14:paraId="3599E8B5" w14:textId="6FA6B88B" w:rsidR="004800E4" w:rsidRPr="00E72418" w:rsidRDefault="00A91208" w:rsidP="007D7D59">
      <w:pPr>
        <w:pStyle w:val="Paragraphedeliste"/>
        <w:numPr>
          <w:ilvl w:val="0"/>
          <w:numId w:val="18"/>
        </w:numPr>
        <w:spacing w:after="0"/>
        <w:rPr>
          <w:rStyle w:val="apple-converted-space"/>
          <w:rFonts w:ascii="Times New Roman" w:hAnsi="Times New Roman" w:cs="Times New Roman"/>
          <w:szCs w:val="24"/>
          <w:lang w:val="en-US"/>
        </w:rPr>
      </w:pPr>
      <w:r w:rsidRPr="00E72418">
        <w:rPr>
          <w:rFonts w:ascii="Times New Roman" w:hAnsi="Times New Roman" w:cs="Times New Roman"/>
          <w:smallCaps/>
          <w:szCs w:val="24"/>
          <w:shd w:val="clear" w:color="auto" w:fill="FFFFFF"/>
        </w:rPr>
        <w:t>Muir Watt</w:t>
      </w:r>
      <w:r w:rsidRPr="00E72418">
        <w:rPr>
          <w:rFonts w:ascii="Times New Roman" w:hAnsi="Times New Roman" w:cs="Times New Roman"/>
          <w:szCs w:val="24"/>
          <w:shd w:val="clear" w:color="auto" w:fill="FFFFFF"/>
        </w:rPr>
        <w:t>, H.,</w:t>
      </w:r>
      <w:r w:rsidRPr="00E72418">
        <w:rPr>
          <w:rStyle w:val="apple-converted-space"/>
          <w:rFonts w:ascii="Times New Roman" w:hAnsi="Times New Roman" w:cs="Times New Roman"/>
          <w:szCs w:val="24"/>
          <w:shd w:val="clear" w:color="auto" w:fill="FFFFFF"/>
        </w:rPr>
        <w:t> </w:t>
      </w:r>
    </w:p>
    <w:p w14:paraId="75A32F6C" w14:textId="77777777" w:rsidR="007D7D59" w:rsidRPr="00E72418" w:rsidRDefault="007D7D59" w:rsidP="007D7D59">
      <w:pPr>
        <w:pStyle w:val="Paragraphedeliste"/>
        <w:spacing w:after="0"/>
        <w:ind w:left="1440"/>
        <w:rPr>
          <w:rStyle w:val="apple-converted-space"/>
          <w:rFonts w:ascii="Times New Roman" w:hAnsi="Times New Roman" w:cs="Times New Roman"/>
          <w:sz w:val="10"/>
          <w:szCs w:val="10"/>
          <w:lang w:val="en-US"/>
        </w:rPr>
      </w:pPr>
    </w:p>
    <w:p w14:paraId="250C2B57" w14:textId="588FCCC5" w:rsidR="00A91208"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Style w:val="apple-converted-space"/>
          <w:rFonts w:ascii="Times New Roman" w:hAnsi="Times New Roman" w:cs="Times New Roman"/>
          <w:szCs w:val="24"/>
          <w:shd w:val="clear" w:color="auto" w:fill="FFFFFF"/>
        </w:rPr>
        <w:t xml:space="preserve">« Le retrait litigieux et le fonds vautour », </w:t>
      </w:r>
      <w:r w:rsidRPr="00E72418">
        <w:rPr>
          <w:rStyle w:val="apple-converted-space"/>
          <w:rFonts w:ascii="Times New Roman" w:hAnsi="Times New Roman" w:cs="Times New Roman"/>
          <w:i/>
          <w:szCs w:val="24"/>
          <w:shd w:val="clear" w:color="auto" w:fill="FFFFFF"/>
        </w:rPr>
        <w:t>Revue critique de droit international privé</w:t>
      </w:r>
      <w:r w:rsidRPr="00E72418">
        <w:rPr>
          <w:rStyle w:val="apple-converted-space"/>
          <w:rFonts w:ascii="Times New Roman" w:hAnsi="Times New Roman" w:cs="Times New Roman"/>
          <w:szCs w:val="24"/>
          <w:shd w:val="clear" w:color="auto" w:fill="FFFFFF"/>
        </w:rPr>
        <w:t>, 2018, pp. 862-866</w:t>
      </w:r>
    </w:p>
    <w:p w14:paraId="482F56F4"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5D62B98F" w14:textId="4291411B" w:rsidR="00103956"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 Dette souveraine et main visible du marché : de nouveaux enjeux du droit international privé des contrats », </w:t>
      </w:r>
      <w:r w:rsidRPr="00E72418">
        <w:rPr>
          <w:rFonts w:ascii="Times New Roman" w:hAnsi="Times New Roman" w:cs="Times New Roman"/>
          <w:i/>
          <w:szCs w:val="24"/>
          <w:shd w:val="clear" w:color="auto" w:fill="FFFFFF"/>
        </w:rPr>
        <w:t>Revue critique de droit international privé</w:t>
      </w:r>
      <w:r w:rsidRPr="00E72418">
        <w:rPr>
          <w:rFonts w:ascii="Times New Roman" w:hAnsi="Times New Roman" w:cs="Times New Roman"/>
          <w:szCs w:val="24"/>
        </w:rPr>
        <w:t>, 2015, pp. 331-353</w:t>
      </w:r>
    </w:p>
    <w:p w14:paraId="29A6D022"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6CFDEC37" w14:textId="6D5BA778" w:rsidR="00A91208" w:rsidRPr="00E72418" w:rsidRDefault="00610996" w:rsidP="007D7D59">
      <w:pPr>
        <w:pStyle w:val="Paragraphedeliste"/>
        <w:numPr>
          <w:ilvl w:val="1"/>
          <w:numId w:val="18"/>
        </w:numPr>
        <w:spacing w:after="0"/>
        <w:rPr>
          <w:rFonts w:ascii="Times New Roman" w:hAnsi="Times New Roman" w:cs="Times New Roman"/>
          <w:szCs w:val="24"/>
          <w:lang w:val="en-US"/>
        </w:rPr>
      </w:pPr>
      <w:r w:rsidRPr="00E72418">
        <w:rPr>
          <w:szCs w:val="20"/>
        </w:rPr>
        <w:t>« </w:t>
      </w:r>
      <w:r w:rsidR="00103956" w:rsidRPr="00E72418">
        <w:rPr>
          <w:szCs w:val="20"/>
        </w:rPr>
        <w:t>Note sous Cass., 28 mars 2013</w:t>
      </w:r>
      <w:r w:rsidRPr="00E72418">
        <w:rPr>
          <w:szCs w:val="20"/>
        </w:rPr>
        <w:t> »</w:t>
      </w:r>
      <w:r w:rsidR="00103956" w:rsidRPr="00E72418">
        <w:rPr>
          <w:szCs w:val="20"/>
        </w:rPr>
        <w:t xml:space="preserve">, </w:t>
      </w:r>
      <w:r w:rsidR="008E6556" w:rsidRPr="00E72418">
        <w:rPr>
          <w:rFonts w:ascii="Times New Roman" w:hAnsi="Times New Roman" w:cs="Times New Roman"/>
          <w:i/>
          <w:szCs w:val="24"/>
          <w:shd w:val="clear" w:color="auto" w:fill="FFFFFF"/>
        </w:rPr>
        <w:t>Revue critique de droit international privé</w:t>
      </w:r>
      <w:r w:rsidR="00103956" w:rsidRPr="00E72418">
        <w:rPr>
          <w:szCs w:val="20"/>
        </w:rPr>
        <w:t>, 2013, pp. 674-677</w:t>
      </w:r>
    </w:p>
    <w:p w14:paraId="2BAB5AE1"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331EC259" w14:textId="724376BC" w:rsidR="00A91208"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 L’immunité souveraine et les fonds </w:t>
      </w:r>
      <w:r w:rsidRPr="00E72418">
        <w:rPr>
          <w:rFonts w:ascii="Times New Roman" w:hAnsi="Times New Roman" w:cs="Times New Roman"/>
          <w:szCs w:val="24"/>
          <w:shd w:val="clear" w:color="auto" w:fill="FFFFFF"/>
        </w:rPr>
        <w:t>“</w:t>
      </w:r>
      <w:r w:rsidRPr="00E72418">
        <w:rPr>
          <w:rFonts w:ascii="Times New Roman" w:hAnsi="Times New Roman" w:cs="Times New Roman"/>
          <w:szCs w:val="24"/>
        </w:rPr>
        <w:t>vautour</w:t>
      </w:r>
      <w:r w:rsidRPr="00E72418">
        <w:rPr>
          <w:rFonts w:ascii="Times New Roman" w:hAnsi="Times New Roman" w:cs="Times New Roman"/>
          <w:szCs w:val="24"/>
          <w:shd w:val="clear" w:color="auto" w:fill="FFFFFF"/>
        </w:rPr>
        <w:t xml:space="preserve">” </w:t>
      </w:r>
      <w:r w:rsidRPr="00E72418">
        <w:rPr>
          <w:rFonts w:ascii="Times New Roman" w:hAnsi="Times New Roman" w:cs="Times New Roman"/>
          <w:szCs w:val="24"/>
        </w:rPr>
        <w:t xml:space="preserve">», </w:t>
      </w:r>
      <w:r w:rsidRPr="00E72418">
        <w:rPr>
          <w:rFonts w:ascii="Times New Roman" w:hAnsi="Times New Roman" w:cs="Times New Roman"/>
          <w:i/>
          <w:szCs w:val="24"/>
          <w:shd w:val="clear" w:color="auto" w:fill="FFFFFF"/>
        </w:rPr>
        <w:t>Revue critique de droit international privé</w:t>
      </w:r>
      <w:r w:rsidRPr="00E72418">
        <w:rPr>
          <w:rFonts w:ascii="Times New Roman" w:hAnsi="Times New Roman" w:cs="Times New Roman"/>
          <w:szCs w:val="24"/>
        </w:rPr>
        <w:t>, 2012, pp. 789-798</w:t>
      </w:r>
    </w:p>
    <w:p w14:paraId="16BD60ED"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3E12A467" w14:textId="177FA3D8"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Private International Law Beyond the Schism », </w:t>
      </w:r>
      <w:r w:rsidRPr="00E72418">
        <w:rPr>
          <w:rFonts w:ascii="Times New Roman" w:hAnsi="Times New Roman" w:cs="Times New Roman"/>
          <w:i/>
          <w:szCs w:val="24"/>
          <w:lang w:val="en-US"/>
        </w:rPr>
        <w:t>Transnational Legal Theory</w:t>
      </w:r>
      <w:r w:rsidRPr="00E72418">
        <w:rPr>
          <w:rFonts w:ascii="Times New Roman" w:hAnsi="Times New Roman" w:cs="Times New Roman"/>
          <w:szCs w:val="24"/>
          <w:lang w:val="en-US"/>
        </w:rPr>
        <w:t>, 2011, pp. 347-428</w:t>
      </w:r>
    </w:p>
    <w:p w14:paraId="6C39D59D" w14:textId="77777777" w:rsidR="00A91208" w:rsidRPr="00E72418" w:rsidRDefault="00A91208" w:rsidP="00A91208">
      <w:pPr>
        <w:pStyle w:val="Paragraphedeliste"/>
        <w:rPr>
          <w:rFonts w:ascii="Times New Roman" w:hAnsi="Times New Roman" w:cs="Times New Roman"/>
          <w:sz w:val="14"/>
          <w:szCs w:val="14"/>
          <w:lang w:val="en-US"/>
        </w:rPr>
      </w:pPr>
    </w:p>
    <w:p w14:paraId="01C4CBD8"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Muse-Fisher</w:t>
      </w:r>
      <w:r w:rsidRPr="00E72418">
        <w:rPr>
          <w:rFonts w:ascii="Times New Roman" w:hAnsi="Times New Roman" w:cs="Times New Roman"/>
          <w:szCs w:val="24"/>
          <w:shd w:val="clear" w:color="auto" w:fill="FFFFFF"/>
          <w:lang w:val="en-US"/>
        </w:rPr>
        <w:t>, J., « </w:t>
      </w:r>
      <w:r w:rsidRPr="00E72418">
        <w:rPr>
          <w:rFonts w:ascii="Times New Roman" w:hAnsi="Times New Roman" w:cs="Times New Roman"/>
          <w:szCs w:val="24"/>
          <w:lang w:val="en-GB"/>
        </w:rPr>
        <w:t xml:space="preserve">Starving the Vultures: </w:t>
      </w:r>
      <w:r w:rsidRPr="00E72418">
        <w:rPr>
          <w:rFonts w:ascii="Times New Roman" w:hAnsi="Times New Roman" w:cs="Times New Roman"/>
          <w:i/>
          <w:szCs w:val="24"/>
          <w:lang w:val="en-GB"/>
        </w:rPr>
        <w:t>NML Capital v. Republic of Argentina</w:t>
      </w:r>
      <w:r w:rsidRPr="00E72418">
        <w:rPr>
          <w:rFonts w:ascii="Times New Roman" w:hAnsi="Times New Roman" w:cs="Times New Roman"/>
          <w:szCs w:val="24"/>
          <w:lang w:val="en-GB"/>
        </w:rPr>
        <w:t xml:space="preserve"> and Solutions to the Problem of Distressed-Debt Funds </w:t>
      </w:r>
      <w:r w:rsidRPr="00E72418">
        <w:rPr>
          <w:rStyle w:val="Accentuation"/>
          <w:rFonts w:ascii="Times New Roman" w:hAnsi="Times New Roman" w:cs="Times New Roman"/>
          <w:szCs w:val="24"/>
          <w:shd w:val="clear" w:color="auto" w:fill="FFFFFF"/>
          <w:lang w:val="en-GB"/>
        </w:rPr>
        <w:t>»</w:t>
      </w:r>
      <w:r w:rsidRPr="00E72418">
        <w:rPr>
          <w:rFonts w:ascii="Times New Roman" w:hAnsi="Times New Roman" w:cs="Times New Roman"/>
          <w:i/>
          <w:szCs w:val="24"/>
          <w:lang w:val="en-GB"/>
        </w:rPr>
        <w:t>, California Law Review</w:t>
      </w:r>
      <w:r w:rsidRPr="00E72418">
        <w:rPr>
          <w:rFonts w:ascii="Times New Roman" w:hAnsi="Times New Roman" w:cs="Times New Roman"/>
          <w:szCs w:val="24"/>
          <w:lang w:val="en-GB"/>
        </w:rPr>
        <w:t>, 2014, pp. 1671-1725</w:t>
      </w:r>
    </w:p>
    <w:p w14:paraId="75CCCED8" w14:textId="77777777" w:rsidR="00A91208" w:rsidRPr="00E72418" w:rsidRDefault="00A91208" w:rsidP="00A91208">
      <w:pPr>
        <w:pStyle w:val="Paragraphedeliste"/>
        <w:rPr>
          <w:rFonts w:ascii="Times New Roman" w:hAnsi="Times New Roman" w:cs="Times New Roman"/>
          <w:sz w:val="14"/>
          <w:szCs w:val="14"/>
          <w:lang w:val="en-US"/>
        </w:rPr>
      </w:pPr>
    </w:p>
    <w:p w14:paraId="4D282935"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 xml:space="preserve">Nagan, W. </w:t>
      </w:r>
      <w:r w:rsidRPr="00E72418">
        <w:rPr>
          <w:rFonts w:ascii="Times New Roman" w:hAnsi="Times New Roman" w:cs="Times New Roman"/>
          <w:szCs w:val="24"/>
          <w:shd w:val="clear" w:color="auto" w:fill="FFFFFF"/>
          <w:lang w:val="en-US"/>
        </w:rPr>
        <w:t xml:space="preserve">et </w:t>
      </w:r>
      <w:r w:rsidRPr="00E72418">
        <w:rPr>
          <w:rFonts w:ascii="Times New Roman" w:hAnsi="Times New Roman" w:cs="Times New Roman"/>
          <w:smallCaps/>
          <w:szCs w:val="24"/>
          <w:shd w:val="clear" w:color="auto" w:fill="FFFFFF"/>
          <w:lang w:val="en-US"/>
        </w:rPr>
        <w:t>Root</w:t>
      </w:r>
      <w:r w:rsidRPr="00E72418">
        <w:rPr>
          <w:rFonts w:ascii="Times New Roman" w:hAnsi="Times New Roman" w:cs="Times New Roman"/>
          <w:szCs w:val="24"/>
          <w:shd w:val="clear" w:color="auto" w:fill="FFFFFF"/>
          <w:lang w:val="en-US"/>
        </w:rPr>
        <w:t xml:space="preserve">, J., « </w:t>
      </w:r>
      <w:r w:rsidRPr="00E72418">
        <w:rPr>
          <w:rFonts w:ascii="Times New Roman" w:hAnsi="Times New Roman" w:cs="Times New Roman"/>
          <w:szCs w:val="24"/>
          <w:lang w:val="en-US"/>
        </w:rPr>
        <w:t xml:space="preserve">The Emerging Restrictions on Sovereign Immunity: Peremptory Norms of International Law, the U.N. Charter, and the Application of Modern Communications Theory », </w:t>
      </w:r>
      <w:r w:rsidRPr="00E72418">
        <w:rPr>
          <w:rFonts w:ascii="Times New Roman" w:hAnsi="Times New Roman" w:cs="Times New Roman"/>
          <w:i/>
          <w:szCs w:val="24"/>
          <w:lang w:val="en-US"/>
        </w:rPr>
        <w:t>North Carolina</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Journal of International Law and Commercial Regulation</w:t>
      </w:r>
      <w:r w:rsidRPr="00E72418">
        <w:rPr>
          <w:rFonts w:ascii="Times New Roman" w:hAnsi="Times New Roman" w:cs="Times New Roman"/>
          <w:szCs w:val="24"/>
          <w:lang w:val="en-US"/>
        </w:rPr>
        <w:t>, 2013, pp. 375-471</w:t>
      </w:r>
    </w:p>
    <w:p w14:paraId="18C1C706" w14:textId="77777777" w:rsidR="00A91208" w:rsidRPr="00E72418" w:rsidRDefault="00A91208" w:rsidP="00A91208">
      <w:pPr>
        <w:pStyle w:val="Paragraphedeliste"/>
        <w:rPr>
          <w:rFonts w:ascii="Times New Roman" w:hAnsi="Times New Roman" w:cs="Times New Roman"/>
          <w:sz w:val="14"/>
          <w:szCs w:val="14"/>
          <w:lang w:val="en-US"/>
        </w:rPr>
      </w:pPr>
    </w:p>
    <w:p w14:paraId="5CFCF2D1" w14:textId="5483D40B"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 xml:space="preserve">Nahon, C., </w:t>
      </w:r>
      <w:r w:rsidRPr="00E72418">
        <w:rPr>
          <w:rFonts w:ascii="Times New Roman" w:hAnsi="Times New Roman" w:cs="Times New Roman"/>
          <w:szCs w:val="24"/>
          <w:shd w:val="clear" w:color="auto" w:fill="FFFFFF"/>
          <w:lang w:val="en-US"/>
        </w:rPr>
        <w:t xml:space="preserve">« The case against the “vulture funds”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Americas Qua</w:t>
      </w:r>
      <w:r w:rsidR="00F621B0" w:rsidRPr="00E72418">
        <w:rPr>
          <w:rFonts w:ascii="Times New Roman" w:hAnsi="Times New Roman" w:cs="Times New Roman"/>
          <w:i/>
          <w:szCs w:val="24"/>
          <w:lang w:val="en-US"/>
        </w:rPr>
        <w:t>r</w:t>
      </w:r>
      <w:r w:rsidRPr="00E72418">
        <w:rPr>
          <w:rFonts w:ascii="Times New Roman" w:hAnsi="Times New Roman" w:cs="Times New Roman"/>
          <w:i/>
          <w:szCs w:val="24"/>
          <w:lang w:val="en-US"/>
        </w:rPr>
        <w:t>terly</w:t>
      </w:r>
      <w:r w:rsidRPr="00E72418">
        <w:rPr>
          <w:rFonts w:ascii="Times New Roman" w:hAnsi="Times New Roman" w:cs="Times New Roman"/>
          <w:szCs w:val="24"/>
          <w:lang w:val="en-US"/>
        </w:rPr>
        <w:t>, 2015, pp. 110-112</w:t>
      </w:r>
    </w:p>
    <w:p w14:paraId="6EFC1A42" w14:textId="77777777" w:rsidR="00A91208" w:rsidRPr="00E72418" w:rsidRDefault="00A91208" w:rsidP="00A91208">
      <w:pPr>
        <w:pStyle w:val="Paragraphedeliste"/>
        <w:rPr>
          <w:rFonts w:ascii="Times New Roman" w:hAnsi="Times New Roman" w:cs="Times New Roman"/>
          <w:sz w:val="14"/>
          <w:szCs w:val="14"/>
          <w:lang w:val="en-US"/>
        </w:rPr>
      </w:pPr>
    </w:p>
    <w:p w14:paraId="58884A1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Ngosso</w:t>
      </w:r>
      <w:r w:rsidRPr="00E72418">
        <w:rPr>
          <w:rFonts w:ascii="Times New Roman" w:hAnsi="Times New Roman" w:cs="Times New Roman"/>
          <w:szCs w:val="24"/>
        </w:rPr>
        <w:t xml:space="preserve">, T., « Trois raisons de s’opposer aux fonds vautours », </w:t>
      </w:r>
      <w:r w:rsidRPr="00E72418">
        <w:rPr>
          <w:rFonts w:ascii="Times New Roman" w:hAnsi="Times New Roman" w:cs="Times New Roman"/>
          <w:i/>
          <w:szCs w:val="24"/>
        </w:rPr>
        <w:t>Dounia</w:t>
      </w:r>
      <w:r w:rsidRPr="00E72418">
        <w:rPr>
          <w:rFonts w:ascii="Times New Roman" w:hAnsi="Times New Roman" w:cs="Times New Roman"/>
          <w:szCs w:val="24"/>
        </w:rPr>
        <w:t>, 2012, pp. 22-35</w:t>
      </w:r>
    </w:p>
    <w:p w14:paraId="7F90295A" w14:textId="77777777" w:rsidR="00A91208" w:rsidRPr="00E72418" w:rsidRDefault="00A91208" w:rsidP="00A91208">
      <w:pPr>
        <w:pStyle w:val="Paragraphedeliste"/>
        <w:rPr>
          <w:rFonts w:ascii="Times New Roman" w:hAnsi="Times New Roman" w:cs="Times New Roman"/>
          <w:sz w:val="14"/>
          <w:szCs w:val="14"/>
          <w:lang w:val="en-US"/>
        </w:rPr>
      </w:pPr>
    </w:p>
    <w:p w14:paraId="588F5456" w14:textId="7390023B"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Nicolas</w:t>
      </w:r>
      <w:r w:rsidRPr="00E72418">
        <w:rPr>
          <w:rFonts w:ascii="Times New Roman" w:hAnsi="Times New Roman" w:cs="Times New Roman"/>
          <w:szCs w:val="24"/>
        </w:rPr>
        <w:t>, A., « L’article 1412</w:t>
      </w:r>
      <w:r w:rsidRPr="00E72418">
        <w:rPr>
          <w:rFonts w:ascii="Times New Roman" w:hAnsi="Times New Roman" w:cs="Times New Roman"/>
          <w:i/>
          <w:szCs w:val="24"/>
        </w:rPr>
        <w:t>quinquies</w:t>
      </w:r>
      <w:r w:rsidRPr="00E72418">
        <w:rPr>
          <w:rFonts w:ascii="Times New Roman" w:hAnsi="Times New Roman" w:cs="Times New Roman"/>
          <w:szCs w:val="24"/>
        </w:rPr>
        <w:t xml:space="preserve"> du Code judiciaire : les eaux du Styx ? », </w:t>
      </w:r>
      <w:r w:rsidRPr="00E72418">
        <w:rPr>
          <w:rFonts w:ascii="Times New Roman" w:hAnsi="Times New Roman" w:cs="Times New Roman"/>
          <w:i/>
          <w:szCs w:val="24"/>
        </w:rPr>
        <w:t>Droit bancaire et financier</w:t>
      </w:r>
      <w:r w:rsidRPr="00E72418">
        <w:rPr>
          <w:rFonts w:ascii="Times New Roman" w:hAnsi="Times New Roman" w:cs="Times New Roman"/>
          <w:szCs w:val="24"/>
        </w:rPr>
        <w:t>, 2016, pp. 37-52</w:t>
      </w:r>
    </w:p>
    <w:p w14:paraId="66A45E0A" w14:textId="77777777" w:rsidR="002672B1" w:rsidRPr="00E72418" w:rsidRDefault="002672B1" w:rsidP="002672B1">
      <w:pPr>
        <w:pStyle w:val="Paragraphedeliste"/>
        <w:rPr>
          <w:rFonts w:ascii="Times New Roman" w:hAnsi="Times New Roman" w:cs="Times New Roman"/>
          <w:sz w:val="14"/>
          <w:szCs w:val="14"/>
          <w:lang w:val="en-US"/>
        </w:rPr>
      </w:pPr>
    </w:p>
    <w:p w14:paraId="76B283FF" w14:textId="75CB72D1" w:rsidR="002672B1" w:rsidRPr="00E72418" w:rsidRDefault="002672B1" w:rsidP="002672B1">
      <w:pPr>
        <w:pStyle w:val="Paragraphedeliste"/>
        <w:numPr>
          <w:ilvl w:val="0"/>
          <w:numId w:val="18"/>
        </w:numPr>
        <w:spacing w:after="0"/>
        <w:rPr>
          <w:rFonts w:ascii="Times New Roman" w:hAnsi="Times New Roman" w:cs="Times New Roman"/>
          <w:smallCaps/>
          <w:szCs w:val="24"/>
          <w:lang w:val="en-US"/>
        </w:rPr>
      </w:pPr>
      <w:r w:rsidRPr="00E72418">
        <w:rPr>
          <w:rFonts w:ascii="Times New Roman" w:hAnsi="Times New Roman" w:cs="Times New Roman"/>
          <w:smallCaps/>
          <w:szCs w:val="24"/>
        </w:rPr>
        <w:t>Nkongolo</w:t>
      </w:r>
      <w:r w:rsidRPr="00E72418">
        <w:rPr>
          <w:rFonts w:ascii="Times New Roman" w:hAnsi="Times New Roman" w:cs="Times New Roman"/>
          <w:szCs w:val="24"/>
        </w:rPr>
        <w:t xml:space="preserve">, C.-J., « Les axes d’une solution juridique à la problématique des fonds vautours », </w:t>
      </w:r>
      <w:r w:rsidRPr="00E72418">
        <w:rPr>
          <w:rFonts w:ascii="Times New Roman" w:hAnsi="Times New Roman" w:cs="Times New Roman"/>
          <w:i/>
          <w:szCs w:val="24"/>
        </w:rPr>
        <w:t>Dounia</w:t>
      </w:r>
      <w:r w:rsidRPr="00E72418">
        <w:rPr>
          <w:rFonts w:ascii="Times New Roman" w:hAnsi="Times New Roman" w:cs="Times New Roman"/>
          <w:szCs w:val="24"/>
        </w:rPr>
        <w:t>, 2012, pp. 96-112</w:t>
      </w:r>
    </w:p>
    <w:p w14:paraId="0DA33DCA" w14:textId="77777777" w:rsidR="00A91208" w:rsidRPr="00E72418" w:rsidRDefault="00A91208" w:rsidP="00A91208">
      <w:pPr>
        <w:pStyle w:val="Paragraphedeliste"/>
        <w:rPr>
          <w:rFonts w:ascii="Times New Roman" w:hAnsi="Times New Roman" w:cs="Times New Roman"/>
          <w:sz w:val="14"/>
          <w:szCs w:val="14"/>
          <w:lang w:val="en-US"/>
        </w:rPr>
      </w:pPr>
    </w:p>
    <w:p w14:paraId="4A8619F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Nyembwe</w:t>
      </w:r>
      <w:r w:rsidRPr="00E72418">
        <w:rPr>
          <w:rFonts w:ascii="Times New Roman" w:hAnsi="Times New Roman" w:cs="Times New Roman"/>
          <w:szCs w:val="24"/>
        </w:rPr>
        <w:t xml:space="preserve">, A., « Crises de la dette dans les pays en voie de développement et dans la zone euro : incitations rationnelles des fonds vautours et annulation de dette », </w:t>
      </w:r>
      <w:r w:rsidRPr="00E72418">
        <w:rPr>
          <w:rFonts w:ascii="Times New Roman" w:hAnsi="Times New Roman" w:cs="Times New Roman"/>
          <w:i/>
          <w:szCs w:val="24"/>
        </w:rPr>
        <w:t>Dounia</w:t>
      </w:r>
      <w:r w:rsidRPr="00E72418">
        <w:rPr>
          <w:rFonts w:ascii="Times New Roman" w:hAnsi="Times New Roman" w:cs="Times New Roman"/>
          <w:szCs w:val="24"/>
        </w:rPr>
        <w:t>, 2012, pp. 47-61</w:t>
      </w:r>
    </w:p>
    <w:p w14:paraId="159FF42D" w14:textId="77777777" w:rsidR="00A91208" w:rsidRPr="00E72418" w:rsidRDefault="00A91208" w:rsidP="00A91208">
      <w:pPr>
        <w:pStyle w:val="Paragraphedeliste"/>
        <w:rPr>
          <w:rFonts w:ascii="Times New Roman" w:hAnsi="Times New Roman" w:cs="Times New Roman"/>
          <w:sz w:val="14"/>
          <w:szCs w:val="14"/>
          <w:lang w:val="en-US"/>
        </w:rPr>
      </w:pPr>
    </w:p>
    <w:p w14:paraId="342942A9" w14:textId="1FFF1FDA" w:rsidR="004800E4" w:rsidRPr="00E72418" w:rsidRDefault="00A91208" w:rsidP="007D7D59">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Olivares-Caminal</w:t>
      </w:r>
      <w:r w:rsidRPr="00E72418">
        <w:rPr>
          <w:rFonts w:ascii="Times New Roman" w:hAnsi="Times New Roman" w:cs="Times New Roman"/>
          <w:szCs w:val="24"/>
          <w:lang w:val="en-US"/>
        </w:rPr>
        <w:t xml:space="preserve">, R., </w:t>
      </w:r>
    </w:p>
    <w:p w14:paraId="0E0A6175"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7346DF9B" w14:textId="4A9F72D3" w:rsidR="00A91208"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The </w:t>
      </w:r>
      <w:r w:rsidRPr="00E72418">
        <w:rPr>
          <w:rFonts w:ascii="Times New Roman" w:hAnsi="Times New Roman" w:cs="Times New Roman"/>
          <w:i/>
          <w:szCs w:val="24"/>
          <w:lang w:val="en-US"/>
        </w:rPr>
        <w:t>Pari Passu</w:t>
      </w:r>
      <w:r w:rsidRPr="00E72418">
        <w:rPr>
          <w:rFonts w:ascii="Times New Roman" w:hAnsi="Times New Roman" w:cs="Times New Roman"/>
          <w:szCs w:val="24"/>
          <w:lang w:val="en-US"/>
        </w:rPr>
        <w:t xml:space="preserve"> Interpretation in the </w:t>
      </w:r>
      <w:r w:rsidRPr="00E72418">
        <w:rPr>
          <w:rFonts w:ascii="Times New Roman" w:hAnsi="Times New Roman" w:cs="Times New Roman"/>
          <w:i/>
          <w:szCs w:val="24"/>
          <w:lang w:val="en-US"/>
        </w:rPr>
        <w:t>Elliott</w:t>
      </w:r>
      <w:r w:rsidRPr="00E72418">
        <w:rPr>
          <w:rFonts w:ascii="Times New Roman" w:hAnsi="Times New Roman" w:cs="Times New Roman"/>
          <w:szCs w:val="24"/>
          <w:lang w:val="en-US"/>
        </w:rPr>
        <w:t xml:space="preserve"> Case: A Brilliant Strategy but an Awful (Mid-Long Term) Outcome? », </w:t>
      </w:r>
      <w:r w:rsidRPr="00E72418">
        <w:rPr>
          <w:rFonts w:ascii="Times New Roman" w:hAnsi="Times New Roman" w:cs="Times New Roman"/>
          <w:i/>
          <w:szCs w:val="24"/>
          <w:lang w:val="en-US"/>
        </w:rPr>
        <w:t>Hofstra Law Review</w:t>
      </w:r>
      <w:r w:rsidRPr="00E72418">
        <w:rPr>
          <w:rFonts w:ascii="Times New Roman" w:hAnsi="Times New Roman" w:cs="Times New Roman"/>
          <w:szCs w:val="24"/>
          <w:lang w:val="en-US"/>
        </w:rPr>
        <w:t>, 2011, pp. 39-63</w:t>
      </w:r>
    </w:p>
    <w:p w14:paraId="54D2438A"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09FD6CA7" w14:textId="0C4239B8" w:rsidR="00A91208" w:rsidRPr="00E72418" w:rsidRDefault="00A91208" w:rsidP="007D7D59">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Sovereign debt defaults: Paradigms and challenges », </w:t>
      </w:r>
      <w:r w:rsidRPr="00E72418">
        <w:rPr>
          <w:rFonts w:ascii="Times New Roman" w:hAnsi="Times New Roman" w:cs="Times New Roman"/>
          <w:i/>
          <w:szCs w:val="24"/>
          <w:lang w:val="en-US"/>
        </w:rPr>
        <w:t>Journal of Banking Regulation</w:t>
      </w:r>
      <w:r w:rsidRPr="00E72418">
        <w:rPr>
          <w:rFonts w:ascii="Times New Roman" w:hAnsi="Times New Roman" w:cs="Times New Roman"/>
          <w:szCs w:val="24"/>
          <w:lang w:val="en-US"/>
        </w:rPr>
        <w:t>, 2010, pp. 91-94</w:t>
      </w:r>
    </w:p>
    <w:p w14:paraId="0DE04C80" w14:textId="77777777" w:rsidR="007D7D59" w:rsidRPr="00E72418" w:rsidRDefault="007D7D59" w:rsidP="007D7D59">
      <w:pPr>
        <w:pStyle w:val="Paragraphedeliste"/>
        <w:spacing w:after="0"/>
        <w:ind w:left="1440"/>
        <w:rPr>
          <w:rFonts w:ascii="Times New Roman" w:hAnsi="Times New Roman" w:cs="Times New Roman"/>
          <w:sz w:val="10"/>
          <w:szCs w:val="10"/>
          <w:lang w:val="en-US"/>
        </w:rPr>
      </w:pPr>
    </w:p>
    <w:p w14:paraId="5A3E0641" w14:textId="723C4998"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GB"/>
        </w:rPr>
        <w:lastRenderedPageBreak/>
        <w:t xml:space="preserve">« Sovereign bonds: A critical analysis of Argentina’s debt exchange offer </w:t>
      </w:r>
      <w:r w:rsidRPr="00E72418">
        <w:rPr>
          <w:rFonts w:ascii="Times New Roman" w:hAnsi="Times New Roman" w:cs="Times New Roman"/>
          <w:szCs w:val="24"/>
          <w:lang w:val="en-US"/>
        </w:rPr>
        <w:t>»</w:t>
      </w:r>
      <w:r w:rsidRPr="00E72418">
        <w:rPr>
          <w:rFonts w:ascii="Times New Roman" w:hAnsi="Times New Roman" w:cs="Times New Roman"/>
          <w:szCs w:val="24"/>
          <w:lang w:val="en-GB"/>
        </w:rPr>
        <w:t xml:space="preserve">, </w:t>
      </w:r>
      <w:r w:rsidRPr="00E72418">
        <w:rPr>
          <w:rFonts w:ascii="Times New Roman" w:hAnsi="Times New Roman" w:cs="Times New Roman"/>
          <w:i/>
          <w:szCs w:val="24"/>
          <w:lang w:val="en-GB"/>
        </w:rPr>
        <w:t>Journal of Banking Regulation</w:t>
      </w:r>
      <w:r w:rsidRPr="00E72418">
        <w:rPr>
          <w:rFonts w:ascii="Times New Roman" w:hAnsi="Times New Roman" w:cs="Times New Roman"/>
          <w:szCs w:val="24"/>
          <w:lang w:val="en-GB"/>
        </w:rPr>
        <w:t>, 2008, pp. 28-45</w:t>
      </w:r>
    </w:p>
    <w:p w14:paraId="1882CAD0" w14:textId="77777777" w:rsidR="00A91208" w:rsidRPr="00E72418" w:rsidRDefault="00A91208" w:rsidP="00A91208">
      <w:pPr>
        <w:pStyle w:val="Paragraphedeliste"/>
        <w:rPr>
          <w:rFonts w:ascii="Times New Roman" w:hAnsi="Times New Roman" w:cs="Times New Roman"/>
          <w:sz w:val="14"/>
          <w:szCs w:val="14"/>
          <w:lang w:val="en-US"/>
        </w:rPr>
      </w:pPr>
    </w:p>
    <w:p w14:paraId="6CAB4B9A"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Panizza</w:t>
      </w:r>
      <w:r w:rsidRPr="00E72418">
        <w:rPr>
          <w:rFonts w:ascii="Times New Roman" w:hAnsi="Times New Roman" w:cs="Times New Roman"/>
          <w:szCs w:val="24"/>
          <w:lang w:val="en-GB"/>
        </w:rPr>
        <w:t xml:space="preserve">, U., </w:t>
      </w:r>
      <w:r w:rsidRPr="00E72418">
        <w:rPr>
          <w:rFonts w:ascii="Times New Roman" w:hAnsi="Times New Roman" w:cs="Times New Roman"/>
          <w:smallCaps/>
          <w:szCs w:val="24"/>
          <w:lang w:val="en-GB"/>
        </w:rPr>
        <w:t>Sturzenegger</w:t>
      </w:r>
      <w:r w:rsidRPr="00E72418">
        <w:rPr>
          <w:rFonts w:ascii="Times New Roman" w:hAnsi="Times New Roman" w:cs="Times New Roman"/>
          <w:szCs w:val="24"/>
          <w:lang w:val="en-GB"/>
        </w:rPr>
        <w:t xml:space="preserve">, F. et </w:t>
      </w:r>
      <w:r w:rsidRPr="00E72418">
        <w:rPr>
          <w:rFonts w:ascii="Times New Roman" w:hAnsi="Times New Roman" w:cs="Times New Roman"/>
          <w:smallCaps/>
          <w:szCs w:val="24"/>
          <w:lang w:val="en-GB"/>
        </w:rPr>
        <w:t>Zettelmeyer</w:t>
      </w:r>
      <w:r w:rsidRPr="00E72418">
        <w:rPr>
          <w:rFonts w:ascii="Times New Roman" w:hAnsi="Times New Roman" w:cs="Times New Roman"/>
          <w:szCs w:val="24"/>
          <w:lang w:val="en-GB"/>
        </w:rPr>
        <w:t xml:space="preserve">, J., « The Economics and Law of Sovereign Debt and Default </w:t>
      </w:r>
      <w:r w:rsidRPr="00E72418">
        <w:rPr>
          <w:rFonts w:ascii="Times New Roman" w:hAnsi="Times New Roman" w:cs="Times New Roman"/>
          <w:szCs w:val="24"/>
          <w:lang w:val="en-US"/>
        </w:rPr>
        <w:t>»</w:t>
      </w:r>
      <w:r w:rsidRPr="00E72418">
        <w:rPr>
          <w:rFonts w:ascii="Times New Roman" w:hAnsi="Times New Roman" w:cs="Times New Roman"/>
          <w:szCs w:val="24"/>
          <w:lang w:val="en-GB"/>
        </w:rPr>
        <w:t xml:space="preserve">, </w:t>
      </w:r>
      <w:r w:rsidRPr="00E72418">
        <w:rPr>
          <w:rFonts w:ascii="Times New Roman" w:hAnsi="Times New Roman" w:cs="Times New Roman"/>
          <w:i/>
          <w:szCs w:val="24"/>
          <w:lang w:val="en-GB"/>
        </w:rPr>
        <w:t>Journal of Economic Literature</w:t>
      </w:r>
      <w:r w:rsidRPr="00E72418">
        <w:rPr>
          <w:rFonts w:ascii="Times New Roman" w:hAnsi="Times New Roman" w:cs="Times New Roman"/>
          <w:szCs w:val="24"/>
          <w:lang w:val="en-GB"/>
        </w:rPr>
        <w:t>, 2009, pp. 651-698</w:t>
      </w:r>
    </w:p>
    <w:p w14:paraId="02803C13" w14:textId="77777777" w:rsidR="00A91208" w:rsidRPr="00E72418" w:rsidRDefault="00A91208" w:rsidP="00A91208">
      <w:pPr>
        <w:pStyle w:val="Paragraphedeliste"/>
        <w:rPr>
          <w:rFonts w:ascii="Times New Roman" w:hAnsi="Times New Roman" w:cs="Times New Roman"/>
          <w:sz w:val="14"/>
          <w:szCs w:val="14"/>
          <w:lang w:val="en-US"/>
        </w:rPr>
      </w:pPr>
    </w:p>
    <w:p w14:paraId="0C8D5263"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Park</w:t>
      </w:r>
      <w:r w:rsidRPr="00E72418">
        <w:rPr>
          <w:rFonts w:ascii="Times New Roman" w:hAnsi="Times New Roman" w:cs="Times New Roman"/>
          <w:szCs w:val="24"/>
          <w:lang w:val="en-US"/>
        </w:rPr>
        <w:t xml:space="preserve">, S. et </w:t>
      </w:r>
      <w:r w:rsidRPr="00E72418">
        <w:rPr>
          <w:rFonts w:ascii="Times New Roman" w:hAnsi="Times New Roman" w:cs="Times New Roman"/>
          <w:smallCaps/>
          <w:szCs w:val="24"/>
          <w:lang w:val="en-US"/>
        </w:rPr>
        <w:t>Samples</w:t>
      </w:r>
      <w:r w:rsidRPr="00E72418">
        <w:rPr>
          <w:rFonts w:ascii="Times New Roman" w:hAnsi="Times New Roman" w:cs="Times New Roman"/>
          <w:szCs w:val="24"/>
          <w:lang w:val="en-US"/>
        </w:rPr>
        <w:t xml:space="preserve">, T., « Towards Sovereign Equity », </w:t>
      </w:r>
      <w:r w:rsidRPr="00E72418">
        <w:rPr>
          <w:rFonts w:ascii="Times New Roman" w:hAnsi="Times New Roman" w:cs="Times New Roman"/>
          <w:i/>
          <w:iCs/>
          <w:szCs w:val="24"/>
          <w:lang w:val="en-US"/>
        </w:rPr>
        <w:t>Stanford Journal of Law, Business and Finance</w:t>
      </w:r>
      <w:r w:rsidRPr="00E72418">
        <w:rPr>
          <w:rFonts w:ascii="Times New Roman" w:hAnsi="Times New Roman" w:cs="Times New Roman"/>
          <w:iCs/>
          <w:szCs w:val="24"/>
          <w:lang w:val="en-US"/>
        </w:rPr>
        <w:t>, 2016, pp.</w:t>
      </w:r>
      <w:r w:rsidRPr="00E72418">
        <w:rPr>
          <w:rFonts w:ascii="Times New Roman" w:hAnsi="Times New Roman" w:cs="Times New Roman"/>
          <w:szCs w:val="24"/>
          <w:lang w:val="en-US"/>
        </w:rPr>
        <w:t xml:space="preserve"> 240-285</w:t>
      </w:r>
    </w:p>
    <w:p w14:paraId="249E5D43" w14:textId="77777777" w:rsidR="00A91208" w:rsidRPr="00E72418" w:rsidRDefault="00A91208" w:rsidP="00A91208">
      <w:pPr>
        <w:pStyle w:val="Paragraphedeliste"/>
        <w:rPr>
          <w:rFonts w:ascii="Times New Roman" w:hAnsi="Times New Roman" w:cs="Times New Roman"/>
          <w:smallCaps/>
          <w:sz w:val="14"/>
          <w:szCs w:val="14"/>
          <w:lang w:val="en-US"/>
        </w:rPr>
      </w:pPr>
    </w:p>
    <w:p w14:paraId="6A6C8DC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Paul, J., </w:t>
      </w:r>
      <w:r w:rsidRPr="00E72418">
        <w:rPr>
          <w:rFonts w:ascii="Times New Roman" w:hAnsi="Times New Roman" w:cs="Times New Roman"/>
          <w:szCs w:val="24"/>
          <w:lang w:val="en-US"/>
        </w:rPr>
        <w:t>« Comity in International Law</w:t>
      </w:r>
      <w:r w:rsidRPr="00E72418">
        <w:rPr>
          <w:rFonts w:ascii="Times New Roman" w:hAnsi="Times New Roman" w:cs="Times New Roman"/>
          <w:smallCaps/>
          <w:szCs w:val="24"/>
          <w:lang w:val="en-US"/>
        </w:rPr>
        <w:t xml:space="preserve"> </w:t>
      </w:r>
      <w:r w:rsidRPr="00E72418">
        <w:rPr>
          <w:rFonts w:ascii="Times New Roman" w:hAnsi="Times New Roman" w:cs="Times New Roman"/>
          <w:szCs w:val="24"/>
          <w:lang w:val="en-US"/>
        </w:rPr>
        <w:t>»</w:t>
      </w:r>
      <w:r w:rsidRPr="00E72418">
        <w:rPr>
          <w:rFonts w:ascii="Times New Roman" w:hAnsi="Times New Roman" w:cs="Times New Roman"/>
          <w:smallCaps/>
          <w:szCs w:val="24"/>
          <w:lang w:val="en-US"/>
        </w:rPr>
        <w:t xml:space="preserve">, </w:t>
      </w:r>
      <w:r w:rsidRPr="00E72418">
        <w:rPr>
          <w:rFonts w:ascii="Times New Roman" w:hAnsi="Times New Roman" w:cs="Times New Roman"/>
          <w:i/>
          <w:szCs w:val="24"/>
          <w:lang w:val="en-US"/>
        </w:rPr>
        <w:t>Harvard International Law Journal</w:t>
      </w:r>
      <w:r w:rsidRPr="00E72418">
        <w:rPr>
          <w:rFonts w:ascii="Times New Roman" w:hAnsi="Times New Roman" w:cs="Times New Roman"/>
          <w:szCs w:val="24"/>
          <w:lang w:val="en-US"/>
        </w:rPr>
        <w:t>,</w:t>
      </w:r>
      <w:r w:rsidRPr="00E72418">
        <w:rPr>
          <w:rFonts w:ascii="Times New Roman" w:hAnsi="Times New Roman" w:cs="Times New Roman"/>
          <w:smallCaps/>
          <w:szCs w:val="24"/>
          <w:lang w:val="en-US"/>
        </w:rPr>
        <w:t xml:space="preserve"> 1991, </w:t>
      </w:r>
      <w:r w:rsidRPr="00E72418">
        <w:rPr>
          <w:rFonts w:ascii="Times New Roman" w:hAnsi="Times New Roman" w:cs="Times New Roman"/>
          <w:szCs w:val="24"/>
          <w:lang w:val="en-US"/>
        </w:rPr>
        <w:t>pp. 1-79</w:t>
      </w:r>
    </w:p>
    <w:p w14:paraId="6187C998" w14:textId="77777777" w:rsidR="00A91208" w:rsidRPr="00E72418" w:rsidRDefault="00A91208" w:rsidP="00A91208">
      <w:pPr>
        <w:pStyle w:val="Paragraphedeliste"/>
        <w:rPr>
          <w:rFonts w:ascii="Times New Roman" w:hAnsi="Times New Roman" w:cs="Times New Roman"/>
          <w:sz w:val="14"/>
          <w:szCs w:val="14"/>
          <w:lang w:val="en-US"/>
        </w:rPr>
      </w:pPr>
    </w:p>
    <w:p w14:paraId="314DBA84" w14:textId="22210E90"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Paulus, C., </w:t>
      </w:r>
      <w:r w:rsidRPr="00E72418">
        <w:rPr>
          <w:rFonts w:ascii="Times New Roman" w:hAnsi="Times New Roman" w:cs="Times New Roman"/>
          <w:szCs w:val="24"/>
          <w:lang w:val="en-US"/>
        </w:rPr>
        <w:t xml:space="preserve">« Sovereign defaults to be solved by politicians or by legal proceeding? », </w:t>
      </w:r>
      <w:r w:rsidRPr="00E72418">
        <w:rPr>
          <w:rFonts w:ascii="Times New Roman" w:hAnsi="Times New Roman" w:cs="Times New Roman"/>
          <w:i/>
          <w:szCs w:val="24"/>
          <w:lang w:val="en-US"/>
        </w:rPr>
        <w:t>Law and Economics Yearly Review</w:t>
      </w:r>
      <w:r w:rsidRPr="00E72418">
        <w:rPr>
          <w:rFonts w:ascii="Times New Roman" w:hAnsi="Times New Roman" w:cs="Times New Roman"/>
          <w:szCs w:val="24"/>
          <w:lang w:val="en-US"/>
        </w:rPr>
        <w:t>, 2012, pp. 203-233</w:t>
      </w:r>
    </w:p>
    <w:p w14:paraId="77FC4057" w14:textId="77777777" w:rsidR="00085071" w:rsidRPr="00E72418" w:rsidRDefault="00085071" w:rsidP="00085071">
      <w:pPr>
        <w:pStyle w:val="Paragraphedeliste"/>
        <w:rPr>
          <w:rFonts w:ascii="Times New Roman" w:hAnsi="Times New Roman" w:cs="Times New Roman"/>
          <w:sz w:val="14"/>
          <w:szCs w:val="14"/>
          <w:lang w:val="en-US"/>
        </w:rPr>
      </w:pPr>
    </w:p>
    <w:p w14:paraId="1D7C0AF4" w14:textId="601E741D" w:rsidR="004800E4" w:rsidRPr="00E72418" w:rsidRDefault="00085071" w:rsidP="008D1D70">
      <w:pPr>
        <w:pStyle w:val="Paragraphedeliste"/>
        <w:numPr>
          <w:ilvl w:val="0"/>
          <w:numId w:val="18"/>
        </w:numPr>
        <w:spacing w:after="0"/>
        <w:rPr>
          <w:rFonts w:ascii="Times New Roman" w:hAnsi="Times New Roman" w:cs="Times New Roman"/>
          <w:szCs w:val="24"/>
          <w:lang w:val="en-US"/>
        </w:rPr>
      </w:pPr>
      <w:r w:rsidRPr="00E72418">
        <w:rPr>
          <w:smallCaps/>
          <w:szCs w:val="20"/>
        </w:rPr>
        <w:t>Pavlidis</w:t>
      </w:r>
      <w:r w:rsidR="00B64B0C" w:rsidRPr="00E72418">
        <w:rPr>
          <w:szCs w:val="20"/>
        </w:rPr>
        <w:t>, G.,</w:t>
      </w:r>
    </w:p>
    <w:p w14:paraId="6208A6F0"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0DF91BD2" w14:textId="7DBF5A95" w:rsidR="00A91208" w:rsidRPr="00E72418" w:rsidRDefault="00085071" w:rsidP="00B64B0C">
      <w:pPr>
        <w:pStyle w:val="Paragraphedeliste"/>
        <w:numPr>
          <w:ilvl w:val="1"/>
          <w:numId w:val="18"/>
        </w:numPr>
        <w:spacing w:after="0"/>
        <w:rPr>
          <w:rFonts w:ascii="Times New Roman" w:hAnsi="Times New Roman" w:cs="Times New Roman"/>
          <w:szCs w:val="24"/>
          <w:lang w:val="en-US"/>
        </w:rPr>
      </w:pPr>
      <w:r w:rsidRPr="00E72418">
        <w:rPr>
          <w:szCs w:val="20"/>
        </w:rPr>
        <w:t>« </w:t>
      </w:r>
      <w:r w:rsidRPr="00E72418">
        <w:rPr>
          <w:lang w:eastAsia="fr-BE"/>
        </w:rPr>
        <w:t xml:space="preserve">Vers une nouvelle génération de clauses dans les contrats d’émission d’obligations souveraines </w:t>
      </w:r>
      <w:r w:rsidRPr="00E72418">
        <w:rPr>
          <w:szCs w:val="20"/>
        </w:rPr>
        <w:t xml:space="preserve">», </w:t>
      </w:r>
      <w:r w:rsidRPr="00E72418">
        <w:rPr>
          <w:i/>
          <w:szCs w:val="20"/>
        </w:rPr>
        <w:t>Revue internationale des services financiers</w:t>
      </w:r>
      <w:r w:rsidRPr="00E72418">
        <w:rPr>
          <w:szCs w:val="20"/>
        </w:rPr>
        <w:t>, 2019, pp. 102-107</w:t>
      </w:r>
    </w:p>
    <w:p w14:paraId="06394063"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28ACEDCE" w14:textId="04D54EB6"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Vulture litigation in the context of sovereign debt: global or local solutions? », </w:t>
      </w:r>
      <w:r w:rsidRPr="00E72418">
        <w:rPr>
          <w:rFonts w:ascii="Times New Roman" w:hAnsi="Times New Roman" w:cs="Times New Roman"/>
          <w:i/>
          <w:szCs w:val="24"/>
          <w:lang w:val="en-US"/>
        </w:rPr>
        <w:t>Law and Financial Markets Review</w:t>
      </w:r>
      <w:r w:rsidRPr="00E72418">
        <w:rPr>
          <w:rFonts w:ascii="Times New Roman" w:hAnsi="Times New Roman" w:cs="Times New Roman"/>
          <w:szCs w:val="24"/>
          <w:lang w:val="en-US"/>
        </w:rPr>
        <w:t>, 2018, pp. 93-99</w:t>
      </w:r>
    </w:p>
    <w:p w14:paraId="0D2BB940" w14:textId="77777777" w:rsidR="00A91208" w:rsidRPr="00E72418" w:rsidRDefault="00A91208" w:rsidP="00A91208">
      <w:pPr>
        <w:pStyle w:val="Paragraphedeliste"/>
        <w:rPr>
          <w:rFonts w:ascii="Times New Roman" w:hAnsi="Times New Roman" w:cs="Times New Roman"/>
          <w:sz w:val="14"/>
          <w:szCs w:val="14"/>
          <w:lang w:val="en-US"/>
        </w:rPr>
      </w:pPr>
    </w:p>
    <w:p w14:paraId="616E95A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Pearce</w:t>
      </w:r>
      <w:r w:rsidRPr="00E72418">
        <w:rPr>
          <w:rFonts w:ascii="Times New Roman" w:hAnsi="Times New Roman" w:cs="Times New Roman"/>
          <w:szCs w:val="24"/>
          <w:lang w:val="en-US"/>
        </w:rPr>
        <w:t xml:space="preserve">, M., « The “internationalisation” of sovereign loan agreements », </w:t>
      </w:r>
      <w:r w:rsidRPr="00E72418">
        <w:rPr>
          <w:rFonts w:ascii="Times New Roman" w:hAnsi="Times New Roman" w:cs="Times New Roman"/>
          <w:i/>
          <w:szCs w:val="24"/>
          <w:lang w:val="en-US"/>
        </w:rPr>
        <w:t>Journal of International Banking Law</w:t>
      </w:r>
      <w:r w:rsidRPr="00E72418">
        <w:rPr>
          <w:rFonts w:ascii="Times New Roman" w:hAnsi="Times New Roman" w:cs="Times New Roman"/>
          <w:szCs w:val="24"/>
          <w:lang w:val="en-US"/>
        </w:rPr>
        <w:t>, 1986, pp. 165-177</w:t>
      </w:r>
    </w:p>
    <w:p w14:paraId="6A710E59" w14:textId="77777777" w:rsidR="00A91208" w:rsidRPr="00E72418" w:rsidRDefault="00A91208" w:rsidP="00A91208">
      <w:pPr>
        <w:pStyle w:val="Paragraphedeliste"/>
        <w:rPr>
          <w:rFonts w:ascii="Times New Roman" w:hAnsi="Times New Roman" w:cs="Times New Roman"/>
          <w:sz w:val="14"/>
          <w:szCs w:val="14"/>
          <w:lang w:val="en-US"/>
        </w:rPr>
      </w:pPr>
    </w:p>
    <w:p w14:paraId="0E4059E1"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Peral, E., </w:t>
      </w:r>
      <w:r w:rsidRPr="00E72418">
        <w:rPr>
          <w:rFonts w:ascii="Times New Roman" w:hAnsi="Times New Roman" w:cs="Times New Roman"/>
          <w:szCs w:val="24"/>
          <w:lang w:val="en-US"/>
        </w:rPr>
        <w:t xml:space="preserve">« </w:t>
      </w:r>
      <w:r w:rsidRPr="00E72418">
        <w:rPr>
          <w:rFonts w:ascii="Times New Roman" w:hAnsi="Times New Roman" w:cs="Times New Roman"/>
          <w:szCs w:val="24"/>
        </w:rPr>
        <w:t xml:space="preserve">Curtailing Vulture Funds in Low-Income Sovereign Debt Litigation: American and British Legislatives Responses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Business Law Brief</w:t>
      </w:r>
      <w:r w:rsidRPr="00E72418">
        <w:rPr>
          <w:rFonts w:ascii="Times New Roman" w:hAnsi="Times New Roman" w:cs="Times New Roman"/>
          <w:szCs w:val="24"/>
          <w:lang w:val="en-US"/>
        </w:rPr>
        <w:t>, 2010-2011, pp. 17-27</w:t>
      </w:r>
    </w:p>
    <w:p w14:paraId="55C4D5A4" w14:textId="77777777" w:rsidR="00A91208" w:rsidRPr="00E72418" w:rsidRDefault="00A91208" w:rsidP="00A91208">
      <w:pPr>
        <w:pStyle w:val="Paragraphedeliste"/>
        <w:rPr>
          <w:rFonts w:ascii="Times New Roman" w:hAnsi="Times New Roman" w:cs="Times New Roman"/>
          <w:sz w:val="14"/>
          <w:szCs w:val="14"/>
          <w:lang w:val="en-US"/>
        </w:rPr>
      </w:pPr>
    </w:p>
    <w:p w14:paraId="7B44EAA9"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Philippe</w:t>
      </w:r>
      <w:r w:rsidRPr="00E72418">
        <w:rPr>
          <w:rFonts w:ascii="Times New Roman" w:hAnsi="Times New Roman" w:cs="Times New Roman"/>
          <w:szCs w:val="24"/>
        </w:rPr>
        <w:t xml:space="preserve">, D., « Initiatives législatives en matière de fonds vautours : portée et efficacité », </w:t>
      </w:r>
      <w:r w:rsidRPr="00E72418">
        <w:rPr>
          <w:rFonts w:ascii="Times New Roman" w:hAnsi="Times New Roman" w:cs="Times New Roman"/>
          <w:i/>
          <w:szCs w:val="24"/>
        </w:rPr>
        <w:t>Dounia</w:t>
      </w:r>
      <w:r w:rsidRPr="00E72418">
        <w:rPr>
          <w:rFonts w:ascii="Times New Roman" w:hAnsi="Times New Roman" w:cs="Times New Roman"/>
          <w:szCs w:val="24"/>
        </w:rPr>
        <w:t>, 2012, pp. 84-95</w:t>
      </w:r>
    </w:p>
    <w:p w14:paraId="1DEB5FCA" w14:textId="77777777" w:rsidR="00A91208" w:rsidRPr="00E72418" w:rsidRDefault="00A91208" w:rsidP="00A91208">
      <w:pPr>
        <w:pStyle w:val="Paragraphedeliste"/>
        <w:rPr>
          <w:rFonts w:ascii="Times New Roman" w:hAnsi="Times New Roman" w:cs="Times New Roman"/>
          <w:sz w:val="14"/>
          <w:szCs w:val="14"/>
          <w:lang w:val="en-US"/>
        </w:rPr>
      </w:pPr>
    </w:p>
    <w:p w14:paraId="0E894AA5" w14:textId="6A7EE086" w:rsidR="004800E4" w:rsidRPr="00E72418" w:rsidRDefault="00A91208" w:rsidP="00B64B0C">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Porzecanski</w:t>
      </w:r>
      <w:r w:rsidRPr="00E72418">
        <w:rPr>
          <w:rFonts w:ascii="Times New Roman" w:hAnsi="Times New Roman" w:cs="Times New Roman"/>
          <w:szCs w:val="24"/>
          <w:shd w:val="clear" w:color="auto" w:fill="FFFFFF"/>
          <w:lang w:val="en-US"/>
        </w:rPr>
        <w:t xml:space="preserve">, A., </w:t>
      </w:r>
    </w:p>
    <w:p w14:paraId="2D15F254"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015ED802" w14:textId="3F525000" w:rsidR="00A91208"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GB"/>
        </w:rPr>
        <w:t xml:space="preserve">« </w:t>
      </w:r>
      <w:r w:rsidRPr="00E72418">
        <w:rPr>
          <w:rFonts w:ascii="Times New Roman" w:hAnsi="Times New Roman" w:cs="Times New Roman"/>
          <w:szCs w:val="24"/>
          <w:lang w:val="en-US"/>
        </w:rPr>
        <w:t xml:space="preserve">The Origins of Argentina’s Litigation and Arbitration Saga, 2002-2016 </w:t>
      </w:r>
      <w:r w:rsidRPr="00E72418">
        <w:rPr>
          <w:rFonts w:ascii="Times New Roman" w:hAnsi="Times New Roman" w:cs="Times New Roman"/>
          <w:szCs w:val="24"/>
          <w:lang w:val="en-GB"/>
        </w:rPr>
        <w:t>»</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Fordham International Law Journal</w:t>
      </w:r>
      <w:r w:rsidRPr="00E72418">
        <w:rPr>
          <w:rFonts w:ascii="Times New Roman" w:hAnsi="Times New Roman" w:cs="Times New Roman"/>
          <w:szCs w:val="24"/>
          <w:lang w:val="en-US"/>
        </w:rPr>
        <w:t>, 2016, pp. 41-77</w:t>
      </w:r>
    </w:p>
    <w:p w14:paraId="4C60B466"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2E91750F" w14:textId="49202FC2"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GB"/>
        </w:rPr>
        <w:t>« </w:t>
      </w:r>
      <w:r w:rsidRPr="00E72418">
        <w:rPr>
          <w:rFonts w:ascii="Times New Roman" w:hAnsi="Times New Roman" w:cs="Times New Roman"/>
          <w:szCs w:val="24"/>
        </w:rPr>
        <w:t>From Rogue Creditors to Rogue Debtors: Implications of Argentina’s Default</w:t>
      </w:r>
      <w:r w:rsidRPr="00E72418">
        <w:rPr>
          <w:rFonts w:ascii="Times New Roman" w:hAnsi="Times New Roman" w:cs="Times New Roman"/>
          <w:szCs w:val="24"/>
          <w:lang w:val="en-GB"/>
        </w:rPr>
        <w:t xml:space="preserve"> », </w:t>
      </w:r>
      <w:r w:rsidRPr="00E72418">
        <w:rPr>
          <w:rFonts w:ascii="Times New Roman" w:hAnsi="Times New Roman" w:cs="Times New Roman"/>
          <w:i/>
          <w:szCs w:val="24"/>
          <w:lang w:val="en-GB"/>
        </w:rPr>
        <w:t>Chicago Journal of International Law</w:t>
      </w:r>
      <w:r w:rsidRPr="00E72418">
        <w:rPr>
          <w:rFonts w:ascii="Times New Roman" w:hAnsi="Times New Roman" w:cs="Times New Roman"/>
          <w:szCs w:val="24"/>
          <w:lang w:val="en-GB"/>
        </w:rPr>
        <w:t>, 2005, p</w:t>
      </w:r>
      <w:r w:rsidR="00610996" w:rsidRPr="00E72418">
        <w:rPr>
          <w:rFonts w:ascii="Times New Roman" w:hAnsi="Times New Roman" w:cs="Times New Roman"/>
          <w:szCs w:val="24"/>
          <w:lang w:val="en-GB"/>
        </w:rPr>
        <w:t>p</w:t>
      </w:r>
      <w:r w:rsidRPr="00E72418">
        <w:rPr>
          <w:rFonts w:ascii="Times New Roman" w:hAnsi="Times New Roman" w:cs="Times New Roman"/>
          <w:szCs w:val="24"/>
          <w:lang w:val="en-GB"/>
        </w:rPr>
        <w:t>. 311-332</w:t>
      </w:r>
    </w:p>
    <w:p w14:paraId="1D4479FF" w14:textId="77777777" w:rsidR="00A91208" w:rsidRPr="00E72418" w:rsidRDefault="00A91208" w:rsidP="00A91208">
      <w:pPr>
        <w:pStyle w:val="Paragraphedeliste"/>
        <w:rPr>
          <w:rFonts w:ascii="Times New Roman" w:hAnsi="Times New Roman" w:cs="Times New Roman"/>
          <w:sz w:val="14"/>
          <w:szCs w:val="14"/>
          <w:lang w:val="en-US"/>
        </w:rPr>
      </w:pPr>
    </w:p>
    <w:p w14:paraId="6708FDCB"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Pottow, J.,</w:t>
      </w:r>
      <w:r w:rsidRPr="00E72418">
        <w:rPr>
          <w:rFonts w:ascii="Times New Roman" w:hAnsi="Times New Roman" w:cs="Times New Roman"/>
          <w:szCs w:val="24"/>
          <w:lang w:val="en-GB"/>
        </w:rPr>
        <w:t xml:space="preserve"> « Mitigating the problem of vulture holdout: International certification boards for sovereign-debt restructurings », </w:t>
      </w:r>
      <w:r w:rsidRPr="00E72418">
        <w:rPr>
          <w:rFonts w:ascii="Times New Roman" w:hAnsi="Times New Roman" w:cs="Times New Roman"/>
          <w:i/>
          <w:szCs w:val="24"/>
          <w:lang w:val="en-GB"/>
        </w:rPr>
        <w:t>Texas International Law Journal</w:t>
      </w:r>
      <w:r w:rsidRPr="00E72418">
        <w:rPr>
          <w:rFonts w:ascii="Times New Roman" w:hAnsi="Times New Roman" w:cs="Times New Roman"/>
          <w:szCs w:val="24"/>
          <w:lang w:val="en-GB"/>
        </w:rPr>
        <w:t>, 2014, pp. 221-243</w:t>
      </w:r>
    </w:p>
    <w:p w14:paraId="5EFD483F" w14:textId="77777777" w:rsidR="00A91208" w:rsidRPr="00E72418" w:rsidRDefault="00A91208" w:rsidP="00A91208">
      <w:pPr>
        <w:pStyle w:val="Paragraphedeliste"/>
        <w:rPr>
          <w:rFonts w:ascii="Times New Roman" w:hAnsi="Times New Roman" w:cs="Times New Roman"/>
          <w:smallCaps/>
          <w:sz w:val="14"/>
          <w:szCs w:val="14"/>
          <w:lang w:val="en-US"/>
        </w:rPr>
      </w:pPr>
    </w:p>
    <w:p w14:paraId="35C985D5"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Pottow</w:t>
      </w:r>
      <w:r w:rsidRPr="00E72418">
        <w:rPr>
          <w:rFonts w:ascii="Times New Roman" w:hAnsi="Times New Roman" w:cs="Times New Roman"/>
          <w:szCs w:val="24"/>
          <w:lang w:val="en-US"/>
        </w:rPr>
        <w:t xml:space="preserve">, J. et </w:t>
      </w:r>
      <w:r w:rsidRPr="00E72418">
        <w:rPr>
          <w:rFonts w:ascii="Times New Roman" w:hAnsi="Times New Roman" w:cs="Times New Roman"/>
          <w:smallCaps/>
          <w:szCs w:val="24"/>
          <w:lang w:val="en-US"/>
        </w:rPr>
        <w:t>Iversen</w:t>
      </w:r>
      <w:r w:rsidRPr="00E72418">
        <w:rPr>
          <w:rFonts w:ascii="Times New Roman" w:hAnsi="Times New Roman" w:cs="Times New Roman"/>
          <w:szCs w:val="24"/>
          <w:lang w:val="en-US"/>
        </w:rPr>
        <w:t xml:space="preserve">, E., « Book Review of “Sovereign Defaults Before International Courts and Tribunals” by M. Waibel », </w:t>
      </w:r>
      <w:r w:rsidRPr="00E72418">
        <w:rPr>
          <w:rFonts w:ascii="Times New Roman" w:hAnsi="Times New Roman" w:cs="Times New Roman"/>
          <w:i/>
          <w:szCs w:val="24"/>
          <w:lang w:val="en-US"/>
        </w:rPr>
        <w:t>Banking and Finance Law Review</w:t>
      </w:r>
      <w:r w:rsidRPr="00E72418">
        <w:rPr>
          <w:rFonts w:ascii="Times New Roman" w:hAnsi="Times New Roman" w:cs="Times New Roman"/>
          <w:szCs w:val="24"/>
          <w:lang w:val="en-US"/>
        </w:rPr>
        <w:t>, 2015, pp. 387-391</w:t>
      </w:r>
    </w:p>
    <w:p w14:paraId="0F201A44" w14:textId="77777777" w:rsidR="00A91208" w:rsidRPr="00E72418" w:rsidRDefault="00A91208" w:rsidP="00A91208">
      <w:pPr>
        <w:pStyle w:val="Paragraphedeliste"/>
        <w:rPr>
          <w:rFonts w:ascii="Times New Roman" w:hAnsi="Times New Roman" w:cs="Times New Roman"/>
          <w:sz w:val="14"/>
          <w:szCs w:val="14"/>
          <w:lang w:val="en-US"/>
        </w:rPr>
      </w:pPr>
    </w:p>
    <w:p w14:paraId="5D9C6D08" w14:textId="77777777" w:rsidR="00A91208" w:rsidRPr="00E72418" w:rsidRDefault="00A91208" w:rsidP="008D1D70">
      <w:pPr>
        <w:pStyle w:val="Paragraphedeliste"/>
        <w:numPr>
          <w:ilvl w:val="0"/>
          <w:numId w:val="18"/>
        </w:numPr>
        <w:spacing w:after="0"/>
        <w:rPr>
          <w:rFonts w:ascii="Times New Roman" w:hAnsi="Times New Roman" w:cs="Times New Roman"/>
          <w:szCs w:val="24"/>
          <w:lang w:val="nl-NL"/>
        </w:rPr>
      </w:pPr>
      <w:r w:rsidRPr="00E72418">
        <w:rPr>
          <w:rFonts w:ascii="Times New Roman" w:hAnsi="Times New Roman" w:cs="Times New Roman"/>
          <w:smallCaps/>
          <w:szCs w:val="24"/>
          <w:lang w:val="en-GB"/>
        </w:rPr>
        <w:t>Power</w:t>
      </w:r>
      <w:r w:rsidRPr="00E72418">
        <w:rPr>
          <w:rFonts w:ascii="Times New Roman" w:hAnsi="Times New Roman" w:cs="Times New Roman"/>
          <w:szCs w:val="24"/>
          <w:lang w:val="en-GB"/>
        </w:rPr>
        <w:t xml:space="preserve">, P., « Sovereign Debt: The Rise of the Secondary Market and Its Implication for Future Restructurings », </w:t>
      </w:r>
      <w:r w:rsidRPr="00E72418">
        <w:rPr>
          <w:rFonts w:ascii="Times New Roman" w:hAnsi="Times New Roman" w:cs="Times New Roman"/>
          <w:i/>
          <w:szCs w:val="24"/>
          <w:lang w:val="en-GB"/>
        </w:rPr>
        <w:t>Fordham Law Review</w:t>
      </w:r>
      <w:r w:rsidRPr="00E72418">
        <w:rPr>
          <w:rFonts w:ascii="Times New Roman" w:hAnsi="Times New Roman" w:cs="Times New Roman"/>
          <w:szCs w:val="24"/>
          <w:lang w:val="en-GB"/>
        </w:rPr>
        <w:t>, 1996, pp. 2701-2772</w:t>
      </w:r>
    </w:p>
    <w:p w14:paraId="550FACF0" w14:textId="77777777" w:rsidR="00A91208" w:rsidRPr="00E72418" w:rsidRDefault="00A91208" w:rsidP="00A91208">
      <w:pPr>
        <w:pStyle w:val="Paragraphedeliste"/>
        <w:rPr>
          <w:rFonts w:ascii="Times New Roman" w:hAnsi="Times New Roman" w:cs="Times New Roman"/>
          <w:sz w:val="14"/>
          <w:szCs w:val="14"/>
          <w:lang w:val="en-US"/>
        </w:rPr>
      </w:pPr>
    </w:p>
    <w:p w14:paraId="556A55A4"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 xml:space="preserve">Proctor, C., </w:t>
      </w:r>
      <w:r w:rsidRPr="00E72418">
        <w:rPr>
          <w:rFonts w:ascii="Times New Roman" w:hAnsi="Times New Roman" w:cs="Times New Roman"/>
          <w:szCs w:val="24"/>
          <w:lang w:val="en-US"/>
        </w:rPr>
        <w:t xml:space="preserve">« Argentina and the Vulture Funds – No Hiding Place? », </w:t>
      </w:r>
      <w:r w:rsidRPr="00E72418">
        <w:rPr>
          <w:rFonts w:ascii="Times New Roman" w:hAnsi="Times New Roman" w:cs="Times New Roman"/>
          <w:i/>
          <w:szCs w:val="24"/>
          <w:lang w:val="en-US"/>
        </w:rPr>
        <w:t>Banking and Finance Law Review</w:t>
      </w:r>
      <w:r w:rsidRPr="00E72418">
        <w:rPr>
          <w:rFonts w:ascii="Times New Roman" w:hAnsi="Times New Roman" w:cs="Times New Roman"/>
          <w:szCs w:val="24"/>
          <w:lang w:val="en-US"/>
        </w:rPr>
        <w:t>, 2012, pp. 735-741</w:t>
      </w:r>
    </w:p>
    <w:p w14:paraId="6B646857" w14:textId="77777777" w:rsidR="00A91208" w:rsidRPr="00E72418" w:rsidRDefault="00A91208" w:rsidP="00A91208">
      <w:pPr>
        <w:pStyle w:val="Paragraphedeliste"/>
        <w:rPr>
          <w:rFonts w:ascii="Times New Roman" w:hAnsi="Times New Roman" w:cs="Times New Roman"/>
          <w:sz w:val="14"/>
          <w:szCs w:val="14"/>
          <w:lang w:val="en-US"/>
        </w:rPr>
      </w:pPr>
    </w:p>
    <w:p w14:paraId="0603C3CD" w14:textId="2F9337BA"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Reinhart</w:t>
      </w:r>
      <w:r w:rsidRPr="00E72418">
        <w:rPr>
          <w:rFonts w:ascii="Times New Roman" w:hAnsi="Times New Roman" w:cs="Times New Roman"/>
          <w:szCs w:val="24"/>
          <w:lang w:val="en-US"/>
        </w:rPr>
        <w:t xml:space="preserve">, C. et </w:t>
      </w:r>
      <w:r w:rsidRPr="00E72418">
        <w:rPr>
          <w:rFonts w:ascii="Times New Roman" w:hAnsi="Times New Roman" w:cs="Times New Roman"/>
          <w:smallCaps/>
          <w:szCs w:val="24"/>
          <w:lang w:val="en-US"/>
        </w:rPr>
        <w:t>Rogoff</w:t>
      </w:r>
      <w:r w:rsidRPr="00E72418">
        <w:rPr>
          <w:rFonts w:ascii="Times New Roman" w:hAnsi="Times New Roman" w:cs="Times New Roman"/>
          <w:szCs w:val="24"/>
          <w:lang w:val="en-US"/>
        </w:rPr>
        <w:t>, K., « From Financial Crash to Debt Crisis »,</w:t>
      </w:r>
      <w:r w:rsidRPr="00E72418">
        <w:rPr>
          <w:rFonts w:ascii="Times New Roman" w:hAnsi="Times New Roman" w:cs="Times New Roman"/>
          <w:i/>
          <w:szCs w:val="24"/>
          <w:lang w:val="en-US"/>
        </w:rPr>
        <w:t xml:space="preserve"> </w:t>
      </w:r>
      <w:r w:rsidR="000400D3" w:rsidRPr="00E72418">
        <w:rPr>
          <w:rFonts w:ascii="Times New Roman" w:hAnsi="Times New Roman" w:cs="Times New Roman"/>
          <w:i/>
          <w:szCs w:val="24"/>
          <w:lang w:val="en-US"/>
        </w:rPr>
        <w:t xml:space="preserve">The </w:t>
      </w:r>
      <w:r w:rsidRPr="00E72418">
        <w:rPr>
          <w:rFonts w:ascii="Times New Roman" w:hAnsi="Times New Roman" w:cs="Times New Roman"/>
          <w:i/>
          <w:szCs w:val="24"/>
          <w:lang w:val="en-US"/>
        </w:rPr>
        <w:t>American Economic Review</w:t>
      </w:r>
      <w:r w:rsidRPr="00E72418">
        <w:rPr>
          <w:rFonts w:ascii="Times New Roman" w:hAnsi="Times New Roman" w:cs="Times New Roman"/>
          <w:szCs w:val="24"/>
          <w:lang w:val="en-US"/>
        </w:rPr>
        <w:t>, 2011, pp. 1676-1706</w:t>
      </w:r>
    </w:p>
    <w:p w14:paraId="597B3C0E" w14:textId="77777777" w:rsidR="00A91208" w:rsidRPr="00E72418" w:rsidRDefault="00A91208" w:rsidP="00A91208">
      <w:pPr>
        <w:pStyle w:val="Paragraphedeliste"/>
        <w:rPr>
          <w:rFonts w:ascii="Times New Roman" w:hAnsi="Times New Roman" w:cs="Times New Roman"/>
          <w:sz w:val="14"/>
          <w:szCs w:val="14"/>
          <w:lang w:val="en-US"/>
        </w:rPr>
      </w:pPr>
    </w:p>
    <w:p w14:paraId="67BBC1D8"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lastRenderedPageBreak/>
        <w:t>Reth</w:t>
      </w:r>
      <w:r w:rsidRPr="00E72418">
        <w:rPr>
          <w:rFonts w:ascii="Times New Roman" w:hAnsi="Times New Roman" w:cs="Times New Roman"/>
          <w:szCs w:val="24"/>
          <w:lang w:val="en-US"/>
        </w:rPr>
        <w:t xml:space="preserve">, J., « Just Your Run-of-the-Mill Sovereign Debt Crisis: An Analysis of </w:t>
      </w:r>
      <w:r w:rsidRPr="00E72418">
        <w:rPr>
          <w:rFonts w:ascii="Times New Roman" w:hAnsi="Times New Roman" w:cs="Times New Roman"/>
          <w:i/>
          <w:szCs w:val="24"/>
          <w:lang w:val="en-US"/>
        </w:rPr>
        <w:t>Republic of Argentina v. NML Capital, Ltd.</w:t>
      </w:r>
      <w:r w:rsidRPr="00E72418">
        <w:rPr>
          <w:rFonts w:ascii="Times New Roman" w:hAnsi="Times New Roman" w:cs="Times New Roman"/>
          <w:szCs w:val="24"/>
          <w:lang w:val="en-US"/>
        </w:rPr>
        <w:t xml:space="preserve"> », </w:t>
      </w:r>
      <w:r w:rsidRPr="00E72418">
        <w:rPr>
          <w:rFonts w:ascii="Times New Roman" w:hAnsi="Times New Roman" w:cs="Times New Roman"/>
          <w:i/>
          <w:szCs w:val="24"/>
          <w:lang w:val="en-US"/>
        </w:rPr>
        <w:t>Maryland Journal of International Law</w:t>
      </w:r>
      <w:r w:rsidRPr="00E72418">
        <w:rPr>
          <w:rFonts w:ascii="Times New Roman" w:hAnsi="Times New Roman" w:cs="Times New Roman"/>
          <w:szCs w:val="24"/>
          <w:lang w:val="en-US"/>
        </w:rPr>
        <w:t>, 2015, pp. 132-167</w:t>
      </w:r>
    </w:p>
    <w:p w14:paraId="290876BA" w14:textId="77777777" w:rsidR="00A91208" w:rsidRPr="00E72418" w:rsidRDefault="00A91208" w:rsidP="00A91208">
      <w:pPr>
        <w:pStyle w:val="Paragraphedeliste"/>
        <w:rPr>
          <w:rFonts w:ascii="Times New Roman" w:hAnsi="Times New Roman" w:cs="Times New Roman"/>
          <w:sz w:val="14"/>
          <w:szCs w:val="14"/>
          <w:lang w:val="en-US"/>
        </w:rPr>
      </w:pPr>
    </w:p>
    <w:p w14:paraId="6B198F2B" w14:textId="77777777" w:rsidR="00912454" w:rsidRPr="00E72418" w:rsidRDefault="00A91208" w:rsidP="00502474">
      <w:pPr>
        <w:pStyle w:val="Paragraphedeliste"/>
        <w:numPr>
          <w:ilvl w:val="0"/>
          <w:numId w:val="18"/>
        </w:numPr>
        <w:spacing w:after="0"/>
        <w:rPr>
          <w:rStyle w:val="Titre5Car"/>
          <w:rFonts w:ascii="Times New Roman" w:eastAsiaTheme="minorHAnsi" w:hAnsi="Times New Roman" w:cs="Times New Roman"/>
          <w:color w:val="auto"/>
          <w:szCs w:val="24"/>
          <w:lang w:val="en-US"/>
        </w:rPr>
      </w:pPr>
      <w:r w:rsidRPr="00E72418">
        <w:rPr>
          <w:rFonts w:ascii="Times New Roman" w:hAnsi="Times New Roman" w:cs="Times New Roman"/>
          <w:smallCaps/>
          <w:szCs w:val="24"/>
          <w:lang w:val="en-US"/>
        </w:rPr>
        <w:t>Riegner</w:t>
      </w:r>
      <w:r w:rsidRPr="00E72418">
        <w:rPr>
          <w:rFonts w:ascii="Times New Roman" w:hAnsi="Times New Roman" w:cs="Times New Roman"/>
          <w:szCs w:val="24"/>
          <w:lang w:val="en-US"/>
        </w:rPr>
        <w:t xml:space="preserve">, M., </w:t>
      </w:r>
      <w:r w:rsidRPr="00E72418">
        <w:rPr>
          <w:rStyle w:val="Titre5Car"/>
          <w:rFonts w:ascii="Times New Roman" w:hAnsi="Times New Roman" w:cs="Times New Roman"/>
          <w:color w:val="auto"/>
          <w:szCs w:val="24"/>
          <w:lang w:val="en-US"/>
        </w:rPr>
        <w:t xml:space="preserve">« </w:t>
      </w:r>
      <w:r w:rsidRPr="00E72418">
        <w:rPr>
          <w:rFonts w:ascii="Times New Roman" w:hAnsi="Times New Roman" w:cs="Times New Roman"/>
          <w:szCs w:val="24"/>
          <w:lang w:val="en-US"/>
        </w:rPr>
        <w:t xml:space="preserve">Legal Frameworks and General Principles for Indicators in Sovereign Debt Restructuring </w:t>
      </w:r>
      <w:r w:rsidRPr="00E72418">
        <w:rPr>
          <w:rStyle w:val="Titre5Car"/>
          <w:rFonts w:ascii="Times New Roman" w:hAnsi="Times New Roman" w:cs="Times New Roman"/>
          <w:color w:val="auto"/>
          <w:szCs w:val="24"/>
          <w:lang w:val="en-US"/>
        </w:rPr>
        <w:t xml:space="preserve">», </w:t>
      </w:r>
      <w:r w:rsidRPr="00E72418">
        <w:rPr>
          <w:rStyle w:val="Titre5Car"/>
          <w:rFonts w:ascii="Times New Roman" w:hAnsi="Times New Roman" w:cs="Times New Roman"/>
          <w:i/>
          <w:color w:val="auto"/>
          <w:szCs w:val="24"/>
          <w:lang w:val="en-US"/>
        </w:rPr>
        <w:t>The Yale Journal of International Law</w:t>
      </w:r>
      <w:r w:rsidRPr="00E72418">
        <w:rPr>
          <w:rStyle w:val="Titre5Car"/>
          <w:rFonts w:ascii="Times New Roman" w:hAnsi="Times New Roman" w:cs="Times New Roman"/>
          <w:color w:val="auto"/>
          <w:szCs w:val="24"/>
          <w:lang w:val="en-US"/>
        </w:rPr>
        <w:t>, 2016, pp. 141-175</w:t>
      </w:r>
    </w:p>
    <w:p w14:paraId="1BC724FF" w14:textId="77777777" w:rsidR="00912454" w:rsidRPr="00E72418" w:rsidRDefault="00912454" w:rsidP="00912454">
      <w:pPr>
        <w:pStyle w:val="Paragraphedeliste"/>
        <w:rPr>
          <w:rFonts w:ascii="Times New Roman" w:hAnsi="Times New Roman" w:cs="Times New Roman"/>
          <w:smallCaps/>
          <w:sz w:val="14"/>
          <w:szCs w:val="14"/>
          <w:lang w:val="en-US"/>
        </w:rPr>
      </w:pPr>
    </w:p>
    <w:p w14:paraId="690D5893" w14:textId="4861CD9B" w:rsidR="00A91208" w:rsidRPr="00E72418" w:rsidRDefault="00A91208" w:rsidP="0050247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Rossi</w:t>
      </w:r>
      <w:r w:rsidRPr="00E72418">
        <w:rPr>
          <w:rFonts w:ascii="Times New Roman" w:hAnsi="Times New Roman" w:cs="Times New Roman"/>
          <w:szCs w:val="24"/>
          <w:lang w:val="en-US"/>
        </w:rPr>
        <w:t xml:space="preserve">, J., « Sovereign Debt Restructuring, National Development and Human Rights », </w:t>
      </w:r>
      <w:r w:rsidRPr="00E72418">
        <w:rPr>
          <w:rFonts w:ascii="Times New Roman" w:hAnsi="Times New Roman" w:cs="Times New Roman"/>
          <w:i/>
          <w:szCs w:val="24"/>
          <w:lang w:val="en-US"/>
        </w:rPr>
        <w:t>SUR – International Journal on Human Right</w:t>
      </w:r>
      <w:r w:rsidRPr="00E72418">
        <w:rPr>
          <w:rFonts w:ascii="Times New Roman" w:hAnsi="Times New Roman" w:cs="Times New Roman"/>
          <w:szCs w:val="24"/>
          <w:lang w:val="en-US"/>
        </w:rPr>
        <w:t>, 2016, pp. 185-196</w:t>
      </w:r>
    </w:p>
    <w:p w14:paraId="400BF3C4" w14:textId="77777777" w:rsidR="00A91208" w:rsidRPr="00E72418" w:rsidRDefault="00A91208" w:rsidP="00A91208">
      <w:pPr>
        <w:pStyle w:val="Paragraphedeliste"/>
        <w:rPr>
          <w:rFonts w:ascii="Times New Roman" w:hAnsi="Times New Roman" w:cs="Times New Roman"/>
          <w:sz w:val="14"/>
          <w:szCs w:val="14"/>
          <w:lang w:val="en-US"/>
        </w:rPr>
      </w:pPr>
    </w:p>
    <w:p w14:paraId="2593836A"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 xml:space="preserve">Rulkin, G., </w:t>
      </w:r>
      <w:r w:rsidRPr="00E72418">
        <w:rPr>
          <w:rFonts w:ascii="Times New Roman" w:hAnsi="Times New Roman" w:cs="Times New Roman"/>
          <w:szCs w:val="24"/>
        </w:rPr>
        <w:t xml:space="preserve">« Le financement des litiges en droit des affaires – Plaidoyer pour un encadrement contractuel du </w:t>
      </w:r>
      <w:r w:rsidRPr="00E72418">
        <w:rPr>
          <w:rFonts w:ascii="Times New Roman" w:hAnsi="Times New Roman" w:cs="Times New Roman"/>
          <w:szCs w:val="24"/>
          <w:lang w:val="en-US"/>
        </w:rPr>
        <w:t>“</w:t>
      </w:r>
      <w:r w:rsidRPr="00E72418">
        <w:rPr>
          <w:rFonts w:ascii="Times New Roman" w:hAnsi="Times New Roman" w:cs="Times New Roman"/>
          <w:i/>
          <w:iCs/>
          <w:szCs w:val="24"/>
        </w:rPr>
        <w:t>Third Party Litigation Funding</w:t>
      </w:r>
      <w:r w:rsidRPr="00E72418">
        <w:rPr>
          <w:rFonts w:ascii="Times New Roman" w:hAnsi="Times New Roman" w:cs="Times New Roman"/>
          <w:szCs w:val="24"/>
          <w:lang w:val="en-US"/>
        </w:rPr>
        <w:t>”</w:t>
      </w:r>
      <w:r w:rsidRPr="00E72418">
        <w:rPr>
          <w:rFonts w:ascii="Times New Roman" w:hAnsi="Times New Roman" w:cs="Times New Roman"/>
          <w:i/>
          <w:iCs/>
          <w:szCs w:val="24"/>
          <w:lang w:val="en-US"/>
        </w:rPr>
        <w:t xml:space="preserve"> </w:t>
      </w:r>
      <w:r w:rsidRPr="00E72418">
        <w:rPr>
          <w:rFonts w:ascii="Times New Roman" w:hAnsi="Times New Roman" w:cs="Times New Roman"/>
          <w:szCs w:val="24"/>
        </w:rPr>
        <w:t xml:space="preserve">», </w:t>
      </w:r>
      <w:r w:rsidRPr="00E72418">
        <w:rPr>
          <w:rFonts w:ascii="Times New Roman" w:hAnsi="Times New Roman" w:cs="Times New Roman"/>
          <w:i/>
          <w:szCs w:val="24"/>
        </w:rPr>
        <w:t>Ius &amp; Actores</w:t>
      </w:r>
      <w:r w:rsidRPr="00E72418">
        <w:rPr>
          <w:rFonts w:ascii="Times New Roman" w:hAnsi="Times New Roman" w:cs="Times New Roman"/>
          <w:szCs w:val="24"/>
        </w:rPr>
        <w:t>, 2016, pp. 65-79</w:t>
      </w:r>
    </w:p>
    <w:p w14:paraId="272551DA" w14:textId="77777777" w:rsidR="00A91208" w:rsidRPr="00E72418" w:rsidRDefault="00A91208" w:rsidP="00A91208">
      <w:pPr>
        <w:pStyle w:val="Paragraphedeliste"/>
        <w:rPr>
          <w:rFonts w:ascii="Times New Roman" w:hAnsi="Times New Roman" w:cs="Times New Roman"/>
          <w:sz w:val="14"/>
          <w:szCs w:val="14"/>
          <w:lang w:val="en-US"/>
        </w:rPr>
      </w:pPr>
    </w:p>
    <w:p w14:paraId="5DC1D197"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Ryan</w:t>
      </w:r>
      <w:r w:rsidRPr="00E72418">
        <w:rPr>
          <w:rFonts w:ascii="Times New Roman" w:hAnsi="Times New Roman" w:cs="Times New Roman"/>
          <w:szCs w:val="24"/>
          <w:lang w:val="en-US"/>
        </w:rPr>
        <w:t xml:space="preserve">, M., « Sovereign Bankruptcy: Why Now and Why Not in the IMF », </w:t>
      </w:r>
      <w:r w:rsidRPr="00E72418">
        <w:rPr>
          <w:rFonts w:ascii="Times New Roman" w:hAnsi="Times New Roman" w:cs="Times New Roman"/>
          <w:i/>
          <w:szCs w:val="24"/>
          <w:lang w:val="en-US"/>
        </w:rPr>
        <w:t>Fordham Law Review</w:t>
      </w:r>
      <w:r w:rsidRPr="00E72418">
        <w:rPr>
          <w:rFonts w:ascii="Times New Roman" w:hAnsi="Times New Roman" w:cs="Times New Roman"/>
          <w:szCs w:val="24"/>
          <w:lang w:val="en-US"/>
        </w:rPr>
        <w:t>, 2014, pp. 2473-2520</w:t>
      </w:r>
    </w:p>
    <w:p w14:paraId="6F926CF0" w14:textId="77777777" w:rsidR="00A91208" w:rsidRPr="00E72418" w:rsidRDefault="00A91208" w:rsidP="00A91208">
      <w:pPr>
        <w:pStyle w:val="Paragraphedeliste"/>
        <w:rPr>
          <w:rFonts w:ascii="Times New Roman" w:hAnsi="Times New Roman" w:cs="Times New Roman"/>
          <w:sz w:val="14"/>
          <w:szCs w:val="14"/>
          <w:lang w:val="en-US"/>
        </w:rPr>
      </w:pPr>
    </w:p>
    <w:p w14:paraId="5F6A2048"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Sachs, J., </w:t>
      </w:r>
      <w:r w:rsidRPr="00E72418">
        <w:rPr>
          <w:rFonts w:ascii="Times New Roman" w:hAnsi="Times New Roman" w:cs="Times New Roman"/>
          <w:szCs w:val="24"/>
          <w:lang w:val="en-US"/>
        </w:rPr>
        <w:t>« Resolving the Debt Crisis of Low-Income Countries »,</w:t>
      </w:r>
      <w:r w:rsidRPr="00E72418">
        <w:rPr>
          <w:rFonts w:ascii="Times New Roman" w:hAnsi="Times New Roman" w:cs="Times New Roman"/>
          <w:smallCaps/>
          <w:szCs w:val="24"/>
          <w:lang w:val="en-US"/>
        </w:rPr>
        <w:t xml:space="preserve"> </w:t>
      </w:r>
      <w:r w:rsidRPr="00E72418">
        <w:rPr>
          <w:rFonts w:ascii="Times New Roman" w:hAnsi="Times New Roman" w:cs="Times New Roman"/>
          <w:i/>
          <w:szCs w:val="24"/>
          <w:lang w:val="en-US"/>
        </w:rPr>
        <w:t>Brookings Papers on Economic Activity</w:t>
      </w:r>
      <w:r w:rsidRPr="00E72418">
        <w:rPr>
          <w:rFonts w:ascii="Times New Roman" w:hAnsi="Times New Roman" w:cs="Times New Roman"/>
          <w:szCs w:val="24"/>
          <w:lang w:val="en-US"/>
        </w:rPr>
        <w:t xml:space="preserve">, </w:t>
      </w:r>
      <w:r w:rsidRPr="00E72418">
        <w:rPr>
          <w:rFonts w:ascii="Times New Roman" w:hAnsi="Times New Roman" w:cs="Times New Roman"/>
          <w:smallCaps/>
          <w:szCs w:val="24"/>
          <w:lang w:val="en-US"/>
        </w:rPr>
        <w:t xml:space="preserve">2002, </w:t>
      </w:r>
      <w:r w:rsidRPr="00E72418">
        <w:rPr>
          <w:rFonts w:ascii="Times New Roman" w:hAnsi="Times New Roman" w:cs="Times New Roman"/>
          <w:szCs w:val="24"/>
          <w:lang w:val="en-US"/>
        </w:rPr>
        <w:t>pp</w:t>
      </w:r>
      <w:r w:rsidRPr="00E72418">
        <w:rPr>
          <w:rFonts w:ascii="Times New Roman" w:hAnsi="Times New Roman" w:cs="Times New Roman"/>
          <w:smallCaps/>
          <w:szCs w:val="24"/>
          <w:lang w:val="en-US"/>
        </w:rPr>
        <w:t>. 1-28</w:t>
      </w:r>
    </w:p>
    <w:p w14:paraId="056555FB" w14:textId="77777777" w:rsidR="00A91208" w:rsidRPr="00E72418" w:rsidRDefault="00A91208" w:rsidP="00A91208">
      <w:pPr>
        <w:pStyle w:val="Paragraphedeliste"/>
        <w:rPr>
          <w:rFonts w:ascii="Times New Roman" w:hAnsi="Times New Roman" w:cs="Times New Roman"/>
          <w:sz w:val="14"/>
          <w:szCs w:val="14"/>
          <w:lang w:val="en-US"/>
        </w:rPr>
      </w:pPr>
    </w:p>
    <w:p w14:paraId="1BA0404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Samples</w:t>
      </w:r>
      <w:r w:rsidRPr="00E72418">
        <w:rPr>
          <w:rFonts w:ascii="Times New Roman" w:hAnsi="Times New Roman" w:cs="Times New Roman"/>
          <w:szCs w:val="24"/>
          <w:lang w:val="en-US"/>
        </w:rPr>
        <w:t xml:space="preserve">, T., « Rogue Trends in Sovereign Debt: Argentina, Vulture Funds, and </w:t>
      </w:r>
      <w:r w:rsidRPr="00E72418">
        <w:rPr>
          <w:rFonts w:ascii="Times New Roman" w:hAnsi="Times New Roman" w:cs="Times New Roman"/>
          <w:i/>
          <w:szCs w:val="24"/>
          <w:lang w:val="en-US"/>
        </w:rPr>
        <w:t>Pari Passu</w:t>
      </w:r>
      <w:r w:rsidRPr="00E72418">
        <w:rPr>
          <w:rFonts w:ascii="Times New Roman" w:hAnsi="Times New Roman" w:cs="Times New Roman"/>
          <w:szCs w:val="24"/>
          <w:lang w:val="en-US"/>
        </w:rPr>
        <w:t xml:space="preserve"> Under New York Law », </w:t>
      </w:r>
      <w:r w:rsidRPr="00E72418">
        <w:rPr>
          <w:rFonts w:ascii="Times New Roman" w:hAnsi="Times New Roman" w:cs="Times New Roman"/>
          <w:i/>
          <w:szCs w:val="24"/>
          <w:lang w:val="en-US"/>
        </w:rPr>
        <w:t>Northwestern Journal of International Law and Business</w:t>
      </w:r>
      <w:r w:rsidRPr="00E72418">
        <w:rPr>
          <w:rFonts w:ascii="Times New Roman" w:hAnsi="Times New Roman" w:cs="Times New Roman"/>
          <w:szCs w:val="24"/>
          <w:lang w:val="en-US"/>
        </w:rPr>
        <w:t>, 2014, pp. 49-86</w:t>
      </w:r>
    </w:p>
    <w:p w14:paraId="6DCE78D8" w14:textId="77777777" w:rsidR="00A91208" w:rsidRPr="00E72418" w:rsidRDefault="00A91208" w:rsidP="00A91208">
      <w:pPr>
        <w:pStyle w:val="Paragraphedeliste"/>
        <w:rPr>
          <w:rFonts w:ascii="Times New Roman" w:hAnsi="Times New Roman" w:cs="Times New Roman"/>
          <w:sz w:val="14"/>
          <w:szCs w:val="14"/>
          <w:lang w:val="en-US"/>
        </w:rPr>
      </w:pPr>
    </w:p>
    <w:p w14:paraId="24FEF83F"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Schubert</w:t>
      </w:r>
      <w:r w:rsidRPr="00E72418">
        <w:rPr>
          <w:rFonts w:ascii="Times New Roman" w:hAnsi="Times New Roman" w:cs="Times New Roman"/>
          <w:szCs w:val="24"/>
          <w:lang w:val="en-US"/>
        </w:rPr>
        <w:t xml:space="preserve">, M., « When Vultures Attack </w:t>
      </w:r>
      <w:r w:rsidRPr="00E72418">
        <w:rPr>
          <w:rFonts w:ascii="Times New Roman" w:hAnsi="Times New Roman" w:cs="Times New Roman"/>
          <w:b/>
          <w:szCs w:val="24"/>
        </w:rPr>
        <w:t>–</w:t>
      </w:r>
      <w:r w:rsidRPr="00E72418">
        <w:rPr>
          <w:rFonts w:ascii="Times New Roman" w:hAnsi="Times New Roman" w:cs="Times New Roman"/>
          <w:szCs w:val="24"/>
          <w:lang w:val="en-US"/>
        </w:rPr>
        <w:t xml:space="preserve"> Balancing the Right to Immunity against Reckless Sovereigns », </w:t>
      </w:r>
      <w:r w:rsidRPr="00E72418">
        <w:rPr>
          <w:rFonts w:ascii="Times New Roman" w:hAnsi="Times New Roman" w:cs="Times New Roman"/>
          <w:i/>
          <w:szCs w:val="24"/>
          <w:lang w:val="en-US"/>
        </w:rPr>
        <w:t>Brooklyn Law Review</w:t>
      </w:r>
      <w:r w:rsidRPr="00E72418">
        <w:rPr>
          <w:rFonts w:ascii="Times New Roman" w:hAnsi="Times New Roman" w:cs="Times New Roman"/>
          <w:szCs w:val="24"/>
          <w:lang w:val="en-US"/>
        </w:rPr>
        <w:t>, 2013, pp. 1097-1129</w:t>
      </w:r>
    </w:p>
    <w:p w14:paraId="64865370" w14:textId="77777777" w:rsidR="00A91208" w:rsidRPr="00E72418" w:rsidRDefault="00A91208" w:rsidP="00A91208">
      <w:pPr>
        <w:pStyle w:val="Paragraphedeliste"/>
        <w:rPr>
          <w:rFonts w:ascii="Times New Roman" w:hAnsi="Times New Roman" w:cs="Times New Roman"/>
          <w:sz w:val="14"/>
          <w:szCs w:val="14"/>
          <w:lang w:val="en-US"/>
        </w:rPr>
      </w:pPr>
    </w:p>
    <w:p w14:paraId="103BE5A1" w14:textId="673F0F70"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Schumacher</w:t>
      </w:r>
      <w:r w:rsidRPr="00E72418">
        <w:rPr>
          <w:rFonts w:ascii="Times New Roman" w:hAnsi="Times New Roman" w:cs="Times New Roman"/>
          <w:szCs w:val="24"/>
          <w:lang w:val="en-US"/>
        </w:rPr>
        <w:t xml:space="preserve">, J., </w:t>
      </w:r>
      <w:r w:rsidRPr="00E72418">
        <w:rPr>
          <w:rFonts w:ascii="Times New Roman" w:hAnsi="Times New Roman" w:cs="Times New Roman"/>
          <w:smallCaps/>
          <w:szCs w:val="24"/>
          <w:lang w:val="en-US"/>
        </w:rPr>
        <w:t>Trebesch</w:t>
      </w:r>
      <w:r w:rsidRPr="00E72418">
        <w:rPr>
          <w:rFonts w:ascii="Times New Roman" w:hAnsi="Times New Roman" w:cs="Times New Roman"/>
          <w:szCs w:val="24"/>
          <w:lang w:val="en-US"/>
        </w:rPr>
        <w:t xml:space="preserve">, C. et </w:t>
      </w:r>
      <w:r w:rsidRPr="00E72418">
        <w:rPr>
          <w:rFonts w:ascii="Times New Roman" w:hAnsi="Times New Roman" w:cs="Times New Roman"/>
          <w:smallCaps/>
          <w:szCs w:val="24"/>
          <w:lang w:val="en-US"/>
        </w:rPr>
        <w:t>Enderlein</w:t>
      </w:r>
      <w:r w:rsidRPr="00E72418">
        <w:rPr>
          <w:rFonts w:ascii="Times New Roman" w:hAnsi="Times New Roman" w:cs="Times New Roman"/>
          <w:szCs w:val="24"/>
          <w:lang w:val="en-US"/>
        </w:rPr>
        <w:t xml:space="preserve">, H., « What Explains Sovereign Debt Litigation? », </w:t>
      </w:r>
      <w:r w:rsidR="00EA4276" w:rsidRPr="00E72418">
        <w:rPr>
          <w:rFonts w:ascii="Times New Roman" w:eastAsia="Times New Roman" w:hAnsi="Times New Roman" w:cs="Times New Roman"/>
          <w:i/>
          <w:iCs/>
          <w:szCs w:val="24"/>
          <w:lang w:val="en-US" w:eastAsia="fr-BE"/>
        </w:rPr>
        <w:t>Journal of Law and</w:t>
      </w:r>
      <w:r w:rsidRPr="00E72418">
        <w:rPr>
          <w:rFonts w:ascii="Times New Roman" w:eastAsia="Times New Roman" w:hAnsi="Times New Roman" w:cs="Times New Roman"/>
          <w:i/>
          <w:iCs/>
          <w:szCs w:val="24"/>
          <w:lang w:val="en-US" w:eastAsia="fr-BE"/>
        </w:rPr>
        <w:t xml:space="preserve"> Economics</w:t>
      </w:r>
      <w:r w:rsidRPr="00E72418">
        <w:rPr>
          <w:rFonts w:ascii="Times New Roman" w:eastAsia="Times New Roman" w:hAnsi="Times New Roman" w:cs="Times New Roman"/>
          <w:szCs w:val="24"/>
          <w:lang w:val="en-US" w:eastAsia="fr-BE"/>
        </w:rPr>
        <w:t>, 2015, pp. 585-624</w:t>
      </w:r>
    </w:p>
    <w:p w14:paraId="64E50137" w14:textId="77777777" w:rsidR="00A91208" w:rsidRPr="00E72418" w:rsidRDefault="00A91208" w:rsidP="00A91208">
      <w:pPr>
        <w:pStyle w:val="Paragraphedeliste"/>
        <w:rPr>
          <w:rFonts w:ascii="Times New Roman" w:hAnsi="Times New Roman" w:cs="Times New Roman"/>
          <w:sz w:val="14"/>
          <w:szCs w:val="14"/>
          <w:lang w:val="en-US"/>
        </w:rPr>
      </w:pPr>
    </w:p>
    <w:p w14:paraId="33FC5358" w14:textId="6A2BBE43" w:rsidR="004800E4" w:rsidRPr="00E72418" w:rsidRDefault="00A91208" w:rsidP="00B64B0C">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Schwarcz</w:t>
      </w:r>
      <w:r w:rsidRPr="00E72418">
        <w:rPr>
          <w:rFonts w:ascii="Times New Roman" w:hAnsi="Times New Roman" w:cs="Times New Roman"/>
          <w:szCs w:val="24"/>
          <w:lang w:val="en-US"/>
        </w:rPr>
        <w:t xml:space="preserve">, S., </w:t>
      </w:r>
    </w:p>
    <w:p w14:paraId="697C252D"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1FD81F47" w14:textId="7AF41843" w:rsidR="00A91208"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Sovereign Debt Restructuring: A Model-law Approach », </w:t>
      </w:r>
      <w:r w:rsidRPr="00E72418">
        <w:rPr>
          <w:rFonts w:ascii="Times New Roman" w:hAnsi="Times New Roman" w:cs="Times New Roman"/>
          <w:i/>
          <w:szCs w:val="24"/>
          <w:lang w:val="en-US"/>
        </w:rPr>
        <w:t>Journal of Globalization and Development</w:t>
      </w:r>
      <w:r w:rsidRPr="00E72418">
        <w:rPr>
          <w:rFonts w:ascii="Times New Roman" w:hAnsi="Times New Roman" w:cs="Times New Roman"/>
          <w:szCs w:val="24"/>
          <w:lang w:val="en-US"/>
        </w:rPr>
        <w:t>, 2015, pp. 343-385</w:t>
      </w:r>
    </w:p>
    <w:p w14:paraId="2252812C"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4134A249" w14:textId="7FB01CEC"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w:t>
      </w:r>
      <w:r w:rsidRPr="00E72418">
        <w:rPr>
          <w:rFonts w:ascii="Times New Roman" w:hAnsi="Times New Roman" w:cs="Times New Roman"/>
          <w:iCs/>
          <w:szCs w:val="24"/>
          <w:lang w:val="en-US"/>
        </w:rPr>
        <w:t xml:space="preserve">“Idiot’s Guide” to Sovereign Debt Restructuring </w:t>
      </w:r>
      <w:r w:rsidRPr="00E72418">
        <w:rPr>
          <w:rFonts w:ascii="Times New Roman" w:hAnsi="Times New Roman" w:cs="Times New Roman"/>
          <w:szCs w:val="24"/>
          <w:lang w:val="en-US"/>
        </w:rPr>
        <w:t>»</w:t>
      </w:r>
      <w:r w:rsidRPr="00E72418">
        <w:rPr>
          <w:rFonts w:ascii="Times New Roman" w:hAnsi="Times New Roman" w:cs="Times New Roman"/>
          <w:i/>
          <w:iCs/>
          <w:szCs w:val="24"/>
          <w:lang w:val="en-US"/>
        </w:rPr>
        <w:t xml:space="preserve">, </w:t>
      </w:r>
      <w:r w:rsidRPr="00E72418">
        <w:rPr>
          <w:rFonts w:ascii="Times New Roman" w:hAnsi="Times New Roman" w:cs="Times New Roman"/>
          <w:i/>
          <w:szCs w:val="24"/>
          <w:lang w:val="en-US"/>
        </w:rPr>
        <w:t>Emory Law Journal</w:t>
      </w:r>
      <w:r w:rsidRPr="00E72418">
        <w:rPr>
          <w:rFonts w:ascii="Times New Roman" w:hAnsi="Times New Roman" w:cs="Times New Roman"/>
          <w:szCs w:val="24"/>
          <w:lang w:val="en-US"/>
        </w:rPr>
        <w:t>, 2004, pp. 1189-1218</w:t>
      </w:r>
    </w:p>
    <w:p w14:paraId="1B42ACE7" w14:textId="77777777" w:rsidR="00A91208" w:rsidRPr="00E72418" w:rsidRDefault="00A91208" w:rsidP="00A91208">
      <w:pPr>
        <w:pStyle w:val="Paragraphedeliste"/>
        <w:rPr>
          <w:rFonts w:ascii="Times New Roman" w:hAnsi="Times New Roman" w:cs="Times New Roman"/>
          <w:sz w:val="14"/>
          <w:szCs w:val="14"/>
          <w:lang w:val="en-US"/>
        </w:rPr>
      </w:pPr>
    </w:p>
    <w:p w14:paraId="67EFE059"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Scott, S., </w:t>
      </w:r>
      <w:r w:rsidRPr="00E72418">
        <w:rPr>
          <w:rFonts w:ascii="Times New Roman" w:hAnsi="Times New Roman" w:cs="Times New Roman"/>
          <w:szCs w:val="24"/>
          <w:lang w:val="en-US"/>
        </w:rPr>
        <w:t xml:space="preserve">« Vultures, debt and desire: the vulture metaphor and Argentina’s sovereign debt crisis », </w:t>
      </w:r>
      <w:r w:rsidRPr="00E72418">
        <w:rPr>
          <w:rFonts w:ascii="Times New Roman" w:hAnsi="Times New Roman" w:cs="Times New Roman"/>
          <w:i/>
          <w:szCs w:val="24"/>
          <w:lang w:val="en-US"/>
        </w:rPr>
        <w:t>Journal of Cultural Economy</w:t>
      </w:r>
      <w:r w:rsidRPr="00E72418">
        <w:rPr>
          <w:rFonts w:ascii="Times New Roman" w:hAnsi="Times New Roman" w:cs="Times New Roman"/>
          <w:szCs w:val="24"/>
          <w:lang w:val="en-US"/>
        </w:rPr>
        <w:t>, 2019, pp. 1-19</w:t>
      </w:r>
    </w:p>
    <w:p w14:paraId="787EACA4" w14:textId="77777777" w:rsidR="00A91208" w:rsidRPr="00E72418" w:rsidRDefault="00A91208" w:rsidP="00A91208">
      <w:pPr>
        <w:pStyle w:val="Paragraphedeliste"/>
        <w:rPr>
          <w:rFonts w:ascii="Times New Roman" w:hAnsi="Times New Roman" w:cs="Times New Roman"/>
          <w:sz w:val="14"/>
          <w:szCs w:val="14"/>
          <w:lang w:val="en-US"/>
        </w:rPr>
      </w:pPr>
    </w:p>
    <w:p w14:paraId="2EB20884"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Shapos</w:t>
      </w:r>
      <w:r w:rsidRPr="00E72418">
        <w:rPr>
          <w:rFonts w:ascii="Times New Roman" w:hAnsi="Times New Roman" w:cs="Times New Roman"/>
          <w:szCs w:val="24"/>
          <w:lang w:val="en-US"/>
        </w:rPr>
        <w:t xml:space="preserve">, A., « Breaking the Impasse: A Two-Pronged Approach for Resolving Sovereign Debt Holdout Disputes », </w:t>
      </w:r>
      <w:r w:rsidRPr="00E72418">
        <w:rPr>
          <w:rFonts w:ascii="Times New Roman" w:hAnsi="Times New Roman" w:cs="Times New Roman"/>
          <w:i/>
          <w:szCs w:val="24"/>
          <w:lang w:val="en-US"/>
        </w:rPr>
        <w:t>Cardozo Journal of Conflict Resolution</w:t>
      </w:r>
      <w:r w:rsidRPr="00E72418">
        <w:rPr>
          <w:rFonts w:ascii="Times New Roman" w:hAnsi="Times New Roman" w:cs="Times New Roman"/>
          <w:szCs w:val="24"/>
          <w:lang w:val="en-US"/>
        </w:rPr>
        <w:t>, 2015, pp. 243-276</w:t>
      </w:r>
    </w:p>
    <w:p w14:paraId="7EFD6A05" w14:textId="77777777" w:rsidR="00A91208" w:rsidRPr="00E72418" w:rsidRDefault="00A91208" w:rsidP="00A91208">
      <w:pPr>
        <w:pStyle w:val="Paragraphedeliste"/>
        <w:rPr>
          <w:rFonts w:ascii="Times New Roman" w:hAnsi="Times New Roman" w:cs="Times New Roman"/>
          <w:sz w:val="14"/>
          <w:szCs w:val="14"/>
          <w:lang w:val="en-US"/>
        </w:rPr>
      </w:pPr>
    </w:p>
    <w:p w14:paraId="5AD93940"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Simon</w:t>
      </w:r>
      <w:r w:rsidRPr="00E72418">
        <w:rPr>
          <w:rFonts w:ascii="Times New Roman" w:hAnsi="Times New Roman" w:cs="Times New Roman"/>
          <w:szCs w:val="24"/>
          <w:lang w:val="en-US"/>
        </w:rPr>
        <w:t xml:space="preserve">, E. et </w:t>
      </w:r>
      <w:r w:rsidRPr="00E72418">
        <w:rPr>
          <w:rFonts w:ascii="Times New Roman" w:hAnsi="Times New Roman" w:cs="Times New Roman"/>
          <w:smallCaps/>
          <w:szCs w:val="24"/>
          <w:lang w:val="en-US"/>
        </w:rPr>
        <w:t>Crawford</w:t>
      </w:r>
      <w:r w:rsidRPr="00E72418">
        <w:rPr>
          <w:rFonts w:ascii="Times New Roman" w:hAnsi="Times New Roman" w:cs="Times New Roman"/>
          <w:szCs w:val="24"/>
          <w:lang w:val="en-US"/>
        </w:rPr>
        <w:t xml:space="preserve">, Q., « The Impact of </w:t>
      </w:r>
      <w:r w:rsidRPr="00E72418">
        <w:rPr>
          <w:rFonts w:ascii="Times New Roman" w:hAnsi="Times New Roman" w:cs="Times New Roman"/>
          <w:i/>
          <w:szCs w:val="24"/>
          <w:lang w:val="en-US"/>
        </w:rPr>
        <w:t>Republic of Argentina v. NML Capital, Ltd.</w:t>
      </w:r>
      <w:r w:rsidRPr="00E72418">
        <w:rPr>
          <w:rFonts w:ascii="Times New Roman" w:hAnsi="Times New Roman" w:cs="Times New Roman"/>
          <w:szCs w:val="24"/>
          <w:lang w:val="en-US"/>
        </w:rPr>
        <w:t xml:space="preserve">: Why the Supreme Court’s Ruling against Argentina Avoided a Host of Unintended, Negative Consequences », </w:t>
      </w:r>
      <w:r w:rsidRPr="00E72418">
        <w:rPr>
          <w:rFonts w:ascii="Times New Roman" w:hAnsi="Times New Roman" w:cs="Times New Roman"/>
          <w:i/>
          <w:szCs w:val="24"/>
          <w:lang w:val="en-US"/>
        </w:rPr>
        <w:t>Maryland Journal of International Law</w:t>
      </w:r>
      <w:r w:rsidRPr="00E72418">
        <w:rPr>
          <w:rFonts w:ascii="Times New Roman" w:hAnsi="Times New Roman" w:cs="Times New Roman"/>
          <w:szCs w:val="24"/>
          <w:lang w:val="en-US"/>
        </w:rPr>
        <w:t>, 2015, pp. 55-69</w:t>
      </w:r>
    </w:p>
    <w:p w14:paraId="5A763AC5" w14:textId="77777777" w:rsidR="00A91208" w:rsidRPr="00E72418" w:rsidRDefault="00A91208" w:rsidP="00A91208">
      <w:pPr>
        <w:pStyle w:val="Paragraphedeliste"/>
        <w:rPr>
          <w:rFonts w:ascii="Times New Roman" w:hAnsi="Times New Roman" w:cs="Times New Roman"/>
          <w:sz w:val="14"/>
          <w:szCs w:val="14"/>
          <w:lang w:val="en-US"/>
        </w:rPr>
      </w:pPr>
    </w:p>
    <w:p w14:paraId="04B96E5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Sloane</w:t>
      </w:r>
      <w:r w:rsidRPr="00E72418">
        <w:rPr>
          <w:rFonts w:ascii="Times New Roman" w:hAnsi="Times New Roman" w:cs="Times New Roman"/>
          <w:szCs w:val="24"/>
          <w:lang w:val="en-US"/>
        </w:rPr>
        <w:t xml:space="preserve">, R., « On the Use and Abuse of Necessity in the Law of State Responsibility », </w:t>
      </w:r>
      <w:r w:rsidRPr="00E72418">
        <w:rPr>
          <w:rFonts w:ascii="Times New Roman" w:hAnsi="Times New Roman" w:cs="Times New Roman"/>
          <w:i/>
          <w:szCs w:val="24"/>
          <w:lang w:val="en-US"/>
        </w:rPr>
        <w:t>The American Journal of</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International Law</w:t>
      </w:r>
      <w:r w:rsidRPr="00E72418">
        <w:rPr>
          <w:rFonts w:ascii="Times New Roman" w:hAnsi="Times New Roman" w:cs="Times New Roman"/>
          <w:szCs w:val="24"/>
          <w:lang w:val="en-US"/>
        </w:rPr>
        <w:t>, 2012, pp. 447-508</w:t>
      </w:r>
    </w:p>
    <w:p w14:paraId="58CA99C1" w14:textId="77777777" w:rsidR="00A91208" w:rsidRPr="00E72418" w:rsidRDefault="00A91208" w:rsidP="00A91208">
      <w:pPr>
        <w:pStyle w:val="Paragraphedeliste"/>
        <w:rPr>
          <w:rFonts w:ascii="Times New Roman" w:hAnsi="Times New Roman" w:cs="Times New Roman"/>
          <w:sz w:val="14"/>
          <w:szCs w:val="14"/>
          <w:lang w:val="en-US"/>
        </w:rPr>
      </w:pPr>
    </w:p>
    <w:p w14:paraId="6F796A03"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Sourbron</w:t>
      </w:r>
      <w:r w:rsidRPr="00E72418">
        <w:rPr>
          <w:rFonts w:ascii="Times New Roman" w:hAnsi="Times New Roman" w:cs="Times New Roman"/>
          <w:szCs w:val="24"/>
          <w:lang w:val="en-US"/>
        </w:rPr>
        <w:t xml:space="preserve">, L. et </w:t>
      </w:r>
      <w:r w:rsidRPr="00E72418">
        <w:rPr>
          <w:rFonts w:ascii="Times New Roman" w:hAnsi="Times New Roman" w:cs="Times New Roman"/>
          <w:smallCaps/>
          <w:szCs w:val="24"/>
          <w:lang w:val="en-US"/>
        </w:rPr>
        <w:t>Vereeck</w:t>
      </w:r>
      <w:r w:rsidRPr="00E72418">
        <w:rPr>
          <w:rFonts w:ascii="Times New Roman" w:hAnsi="Times New Roman" w:cs="Times New Roman"/>
          <w:szCs w:val="24"/>
          <w:lang w:val="en-US"/>
        </w:rPr>
        <w:t xml:space="preserve">, L., « To Pay or Not to Pay? Evaluating the Belgian Law Against Vulture Funds », </w:t>
      </w:r>
      <w:r w:rsidRPr="00E72418">
        <w:rPr>
          <w:rFonts w:ascii="Times New Roman" w:hAnsi="Times New Roman" w:cs="Times New Roman"/>
          <w:i/>
          <w:szCs w:val="24"/>
          <w:lang w:val="en-US"/>
        </w:rPr>
        <w:t>Journal of Globalization and Development</w:t>
      </w:r>
      <w:r w:rsidRPr="00E72418">
        <w:rPr>
          <w:rFonts w:ascii="Times New Roman" w:hAnsi="Times New Roman" w:cs="Times New Roman"/>
          <w:szCs w:val="24"/>
          <w:lang w:val="en-US"/>
        </w:rPr>
        <w:t>, 2017, pp. 1-14</w:t>
      </w:r>
    </w:p>
    <w:p w14:paraId="1FE4DA52" w14:textId="77777777" w:rsidR="00A91208" w:rsidRPr="00E72418" w:rsidRDefault="00A91208" w:rsidP="00A91208">
      <w:pPr>
        <w:pStyle w:val="Paragraphedeliste"/>
        <w:rPr>
          <w:rFonts w:ascii="Times New Roman" w:hAnsi="Times New Roman" w:cs="Times New Roman"/>
          <w:sz w:val="14"/>
          <w:szCs w:val="14"/>
          <w:lang w:val="en-US"/>
        </w:rPr>
      </w:pPr>
    </w:p>
    <w:p w14:paraId="29983E8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Steel</w:t>
      </w:r>
      <w:r w:rsidRPr="00E72418">
        <w:rPr>
          <w:rFonts w:ascii="Times New Roman" w:hAnsi="Times New Roman" w:cs="Times New Roman"/>
          <w:szCs w:val="24"/>
          <w:lang w:val="en-US"/>
        </w:rPr>
        <w:t xml:space="preserve">, H., </w:t>
      </w:r>
      <w:r w:rsidRPr="00E72418">
        <w:rPr>
          <w:rFonts w:ascii="Times New Roman" w:hAnsi="Times New Roman" w:cs="Times New Roman"/>
          <w:smallCaps/>
          <w:szCs w:val="24"/>
          <w:lang w:val="en-US"/>
        </w:rPr>
        <w:t>Zarrini</w:t>
      </w:r>
      <w:r w:rsidRPr="00E72418">
        <w:rPr>
          <w:rFonts w:ascii="Times New Roman" w:hAnsi="Times New Roman" w:cs="Times New Roman"/>
          <w:szCs w:val="24"/>
          <w:lang w:val="en-US"/>
        </w:rPr>
        <w:t xml:space="preserve">, E. et </w:t>
      </w:r>
      <w:r w:rsidRPr="00E72418">
        <w:rPr>
          <w:rFonts w:ascii="Times New Roman" w:hAnsi="Times New Roman" w:cs="Times New Roman"/>
          <w:smallCaps/>
          <w:szCs w:val="24"/>
          <w:lang w:val="en-US"/>
        </w:rPr>
        <w:t>Goldinstein</w:t>
      </w:r>
      <w:r w:rsidRPr="00E72418">
        <w:rPr>
          <w:rFonts w:ascii="Times New Roman" w:hAnsi="Times New Roman" w:cs="Times New Roman"/>
          <w:szCs w:val="24"/>
          <w:lang w:val="en-US"/>
        </w:rPr>
        <w:t>, A., « </w:t>
      </w:r>
      <w:r w:rsidRPr="00E72418">
        <w:rPr>
          <w:rFonts w:ascii="Times New Roman" w:hAnsi="Times New Roman" w:cs="Times New Roman"/>
          <w:i/>
          <w:szCs w:val="24"/>
          <w:lang w:val="en-US"/>
        </w:rPr>
        <w:t>NML Capital v Argentina</w:t>
      </w:r>
      <w:r w:rsidRPr="00E72418">
        <w:rPr>
          <w:rFonts w:ascii="Times New Roman" w:hAnsi="Times New Roman" w:cs="Times New Roman"/>
          <w:szCs w:val="24"/>
          <w:lang w:val="en-US"/>
        </w:rPr>
        <w:t xml:space="preserve">: a lesson in indenture interpretation », </w:t>
      </w:r>
      <w:r w:rsidRPr="00E72418">
        <w:rPr>
          <w:rFonts w:ascii="Times New Roman" w:hAnsi="Times New Roman" w:cs="Times New Roman"/>
          <w:i/>
          <w:szCs w:val="24"/>
          <w:lang w:val="en-US"/>
        </w:rPr>
        <w:t>Insolvency and Restructuring International</w:t>
      </w:r>
      <w:r w:rsidRPr="00E72418">
        <w:rPr>
          <w:rFonts w:ascii="Times New Roman" w:hAnsi="Times New Roman" w:cs="Times New Roman"/>
          <w:szCs w:val="24"/>
          <w:lang w:val="en-US"/>
        </w:rPr>
        <w:t>, 2014, pp. 31-34</w:t>
      </w:r>
    </w:p>
    <w:p w14:paraId="50A47AFE" w14:textId="77777777" w:rsidR="00A91208" w:rsidRPr="00E72418" w:rsidRDefault="00A91208" w:rsidP="00A91208">
      <w:pPr>
        <w:pStyle w:val="Paragraphedeliste"/>
        <w:rPr>
          <w:rFonts w:ascii="Times New Roman" w:hAnsi="Times New Roman" w:cs="Times New Roman"/>
          <w:sz w:val="14"/>
          <w:szCs w:val="14"/>
          <w:lang w:val="en-US"/>
        </w:rPr>
      </w:pPr>
    </w:p>
    <w:p w14:paraId="510F3EF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Stoica, E., </w:t>
      </w:r>
      <w:r w:rsidRPr="00E72418">
        <w:rPr>
          <w:rFonts w:ascii="Times New Roman" w:hAnsi="Times New Roman" w:cs="Times New Roman"/>
          <w:szCs w:val="24"/>
          <w:lang w:val="en-US"/>
        </w:rPr>
        <w:t xml:space="preserve">« Sovereign Debt Restructuring and “Vulture Funds” », </w:t>
      </w:r>
      <w:r w:rsidRPr="00E72418">
        <w:rPr>
          <w:rFonts w:ascii="Times New Roman" w:hAnsi="Times New Roman" w:cs="Times New Roman"/>
          <w:i/>
          <w:szCs w:val="24"/>
          <w:lang w:val="en-US"/>
        </w:rPr>
        <w:t>Challenges of the Knowledge Society</w:t>
      </w:r>
      <w:r w:rsidRPr="00E72418">
        <w:rPr>
          <w:rFonts w:ascii="Times New Roman" w:hAnsi="Times New Roman" w:cs="Times New Roman"/>
          <w:szCs w:val="24"/>
          <w:lang w:val="en-US"/>
        </w:rPr>
        <w:t>, 2016, pp. 712-717</w:t>
      </w:r>
    </w:p>
    <w:p w14:paraId="50EF314B" w14:textId="77777777" w:rsidR="00A91208" w:rsidRPr="00E72418" w:rsidRDefault="00A91208" w:rsidP="00A91208">
      <w:pPr>
        <w:pStyle w:val="Paragraphedeliste"/>
        <w:rPr>
          <w:rFonts w:ascii="Times New Roman" w:hAnsi="Times New Roman" w:cs="Times New Roman"/>
          <w:sz w:val="14"/>
          <w:szCs w:val="14"/>
          <w:lang w:val="en-US"/>
        </w:rPr>
      </w:pPr>
    </w:p>
    <w:p w14:paraId="0342E07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Storme</w:t>
      </w:r>
      <w:r w:rsidRPr="00E72418">
        <w:rPr>
          <w:rFonts w:ascii="Times New Roman" w:hAnsi="Times New Roman" w:cs="Times New Roman"/>
          <w:szCs w:val="24"/>
          <w:lang w:val="en-GB"/>
        </w:rPr>
        <w:t xml:space="preserve">, M., « Cherry-Picking Vultures and Other Speculations », </w:t>
      </w:r>
      <w:r w:rsidRPr="00E72418">
        <w:rPr>
          <w:rFonts w:ascii="Times New Roman" w:hAnsi="Times New Roman" w:cs="Times New Roman"/>
          <w:i/>
          <w:szCs w:val="24"/>
          <w:lang w:val="en-GB"/>
        </w:rPr>
        <w:t>European Review of Private Law</w:t>
      </w:r>
      <w:r w:rsidRPr="00E72418">
        <w:rPr>
          <w:rFonts w:ascii="Times New Roman" w:hAnsi="Times New Roman" w:cs="Times New Roman"/>
          <w:szCs w:val="24"/>
          <w:lang w:val="en-GB"/>
        </w:rPr>
        <w:t>, 2014, pp. 813-814</w:t>
      </w:r>
    </w:p>
    <w:p w14:paraId="37AAF7DF" w14:textId="77777777" w:rsidR="00A91208" w:rsidRPr="00E72418" w:rsidRDefault="00A91208" w:rsidP="00A91208">
      <w:pPr>
        <w:pStyle w:val="Paragraphedeliste"/>
        <w:rPr>
          <w:rFonts w:ascii="Times New Roman" w:hAnsi="Times New Roman" w:cs="Times New Roman"/>
          <w:sz w:val="14"/>
          <w:szCs w:val="14"/>
          <w:lang w:val="en-US"/>
        </w:rPr>
      </w:pPr>
    </w:p>
    <w:p w14:paraId="34F4056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Sykes</w:t>
      </w:r>
      <w:r w:rsidRPr="00E72418">
        <w:rPr>
          <w:rFonts w:ascii="Times New Roman" w:hAnsi="Times New Roman" w:cs="Times New Roman"/>
          <w:szCs w:val="24"/>
          <w:lang w:val="en-US"/>
        </w:rPr>
        <w:t xml:space="preserve">, A., « Economic “Necessity” in International Law », </w:t>
      </w:r>
      <w:r w:rsidRPr="00E72418">
        <w:rPr>
          <w:rFonts w:ascii="Times New Roman" w:hAnsi="Times New Roman" w:cs="Times New Roman"/>
          <w:i/>
          <w:szCs w:val="24"/>
          <w:lang w:val="en-US"/>
        </w:rPr>
        <w:t>The American Journal of International Law</w:t>
      </w:r>
      <w:r w:rsidRPr="00E72418">
        <w:rPr>
          <w:rFonts w:ascii="Times New Roman" w:hAnsi="Times New Roman" w:cs="Times New Roman"/>
          <w:szCs w:val="24"/>
          <w:lang w:val="en-US"/>
        </w:rPr>
        <w:t>, 2015, pp. 296-323</w:t>
      </w:r>
    </w:p>
    <w:p w14:paraId="107FED4E" w14:textId="77777777" w:rsidR="00A91208" w:rsidRPr="00E72418" w:rsidRDefault="00A91208" w:rsidP="00A91208">
      <w:pPr>
        <w:pStyle w:val="Paragraphedeliste"/>
        <w:rPr>
          <w:rFonts w:ascii="Times New Roman" w:hAnsi="Times New Roman" w:cs="Times New Roman"/>
          <w:sz w:val="14"/>
          <w:szCs w:val="14"/>
          <w:lang w:val="en-US"/>
        </w:rPr>
      </w:pPr>
    </w:p>
    <w:p w14:paraId="16BF753F" w14:textId="2571AA56"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Tan</w:t>
      </w:r>
      <w:r w:rsidRPr="00E72418">
        <w:rPr>
          <w:rFonts w:ascii="Times New Roman" w:hAnsi="Times New Roman" w:cs="Times New Roman"/>
          <w:szCs w:val="24"/>
          <w:lang w:val="en-US"/>
        </w:rPr>
        <w:t xml:space="preserve">, C., « Reframing the debate: the debt relief initiative and new normative values in the governance of third </w:t>
      </w:r>
      <w:r w:rsidR="00851DCB" w:rsidRPr="00E72418">
        <w:rPr>
          <w:rFonts w:cs="Times New Roman"/>
          <w:szCs w:val="24"/>
          <w:lang w:val="en-US"/>
        </w:rPr>
        <w:t>world*</w:t>
      </w:r>
      <w:r w:rsidR="00851DCB" w:rsidRPr="00E72418">
        <w:t xml:space="preserve"> debt</w:t>
      </w:r>
      <w:r w:rsidRPr="00E72418">
        <w:rPr>
          <w:rFonts w:ascii="Times New Roman" w:hAnsi="Times New Roman" w:cs="Times New Roman"/>
          <w:szCs w:val="24"/>
          <w:lang w:val="en-US"/>
        </w:rPr>
        <w:t xml:space="preserve"> », </w:t>
      </w:r>
      <w:r w:rsidRPr="00E72418">
        <w:rPr>
          <w:rFonts w:ascii="Times New Roman" w:hAnsi="Times New Roman" w:cs="Times New Roman"/>
          <w:i/>
          <w:szCs w:val="24"/>
          <w:lang w:val="en-US"/>
        </w:rPr>
        <w:t>International Journal of Law in Context</w:t>
      </w:r>
      <w:r w:rsidRPr="00E72418">
        <w:rPr>
          <w:rFonts w:ascii="Times New Roman" w:hAnsi="Times New Roman" w:cs="Times New Roman"/>
          <w:szCs w:val="24"/>
          <w:lang w:val="en-US"/>
        </w:rPr>
        <w:t>, 2014, pp. 249-272</w:t>
      </w:r>
    </w:p>
    <w:p w14:paraId="4A01B64C" w14:textId="77777777" w:rsidR="00A91208" w:rsidRPr="00E72418" w:rsidRDefault="00A91208" w:rsidP="00A91208">
      <w:pPr>
        <w:pStyle w:val="Paragraphedeliste"/>
        <w:rPr>
          <w:rFonts w:ascii="Times New Roman" w:hAnsi="Times New Roman" w:cs="Times New Roman"/>
          <w:sz w:val="14"/>
          <w:szCs w:val="14"/>
          <w:lang w:val="en-US"/>
        </w:rPr>
      </w:pPr>
    </w:p>
    <w:p w14:paraId="0929A028" w14:textId="77777777" w:rsidR="004800E4"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Thominette</w:t>
      </w:r>
      <w:r w:rsidRPr="00E72418">
        <w:rPr>
          <w:rFonts w:ascii="Times New Roman" w:hAnsi="Times New Roman" w:cs="Times New Roman"/>
          <w:szCs w:val="24"/>
        </w:rPr>
        <w:t xml:space="preserve">, R., </w:t>
      </w:r>
    </w:p>
    <w:p w14:paraId="5BC88C10"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56F4F9EB" w14:textId="25482310" w:rsidR="0061620F"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 Faut-il interdire au créancier d’un </w:t>
      </w:r>
      <w:r w:rsidR="00D461DF" w:rsidRPr="00E72418">
        <w:rPr>
          <w:rFonts w:ascii="Times New Roman" w:eastAsia="Times New Roman" w:hAnsi="Times New Roman" w:cs="Times New Roman"/>
          <w:bCs/>
          <w:szCs w:val="24"/>
          <w:lang w:eastAsia="fr-BE"/>
        </w:rPr>
        <w:t>É</w:t>
      </w:r>
      <w:r w:rsidRPr="00E72418">
        <w:rPr>
          <w:rFonts w:ascii="Times New Roman" w:hAnsi="Times New Roman" w:cs="Times New Roman"/>
          <w:szCs w:val="24"/>
        </w:rPr>
        <w:t xml:space="preserve">tat d’avoir accès aux juridictions françaises ? », </w:t>
      </w:r>
      <w:r w:rsidRPr="00E72418">
        <w:rPr>
          <w:rFonts w:ascii="Times New Roman" w:hAnsi="Times New Roman" w:cs="Times New Roman"/>
          <w:i/>
          <w:szCs w:val="24"/>
        </w:rPr>
        <w:t>Recueil Dalloz</w:t>
      </w:r>
      <w:r w:rsidRPr="00E72418">
        <w:rPr>
          <w:rFonts w:ascii="Times New Roman" w:hAnsi="Times New Roman" w:cs="Times New Roman"/>
          <w:szCs w:val="24"/>
        </w:rPr>
        <w:t>, 2007, pp. 1897-1900</w:t>
      </w:r>
    </w:p>
    <w:p w14:paraId="3BE1FC55"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3749217E" w14:textId="0CD0A8A2" w:rsidR="0061620F" w:rsidRPr="00E72418" w:rsidRDefault="0061620F" w:rsidP="004800E4">
      <w:pPr>
        <w:pStyle w:val="Paragraphedeliste"/>
        <w:numPr>
          <w:ilvl w:val="1"/>
          <w:numId w:val="18"/>
        </w:numPr>
        <w:spacing w:after="0"/>
        <w:rPr>
          <w:rFonts w:ascii="Times New Roman" w:hAnsi="Times New Roman" w:cs="Times New Roman"/>
          <w:szCs w:val="24"/>
          <w:lang w:val="en-US"/>
        </w:rPr>
      </w:pPr>
      <w:r w:rsidRPr="00E72418">
        <w:t xml:space="preserve">« Faut-il vraiment couper les ailes des fonds vautours ? », </w:t>
      </w:r>
      <w:r w:rsidRPr="00E72418">
        <w:rPr>
          <w:i/>
        </w:rPr>
        <w:t>La Lettre des Juristes d’Affaires</w:t>
      </w:r>
      <w:r w:rsidRPr="00E72418">
        <w:t>, 3 septembre 2007, p. 1</w:t>
      </w:r>
    </w:p>
    <w:p w14:paraId="33C1872F" w14:textId="77777777" w:rsidR="00A91208" w:rsidRPr="00E72418" w:rsidRDefault="00A91208" w:rsidP="00A91208">
      <w:pPr>
        <w:pStyle w:val="Paragraphedeliste"/>
        <w:rPr>
          <w:rFonts w:ascii="Times New Roman" w:hAnsi="Times New Roman" w:cs="Times New Roman"/>
          <w:sz w:val="14"/>
          <w:szCs w:val="14"/>
          <w:lang w:val="en-US"/>
        </w:rPr>
      </w:pPr>
    </w:p>
    <w:p w14:paraId="226BEC3E" w14:textId="4A514B7B"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Tomz, M.</w:t>
      </w:r>
      <w:r w:rsidRPr="00E72418">
        <w:rPr>
          <w:rFonts w:ascii="Times New Roman" w:hAnsi="Times New Roman" w:cs="Times New Roman"/>
          <w:szCs w:val="24"/>
        </w:rPr>
        <w:t xml:space="preserve"> et </w:t>
      </w:r>
      <w:r w:rsidRPr="00E72418">
        <w:rPr>
          <w:rFonts w:ascii="Times New Roman" w:hAnsi="Times New Roman" w:cs="Times New Roman"/>
          <w:smallCaps/>
          <w:szCs w:val="24"/>
        </w:rPr>
        <w:t>Wright</w:t>
      </w:r>
      <w:r w:rsidRPr="00E72418">
        <w:rPr>
          <w:rFonts w:ascii="Times New Roman" w:hAnsi="Times New Roman" w:cs="Times New Roman"/>
          <w:szCs w:val="24"/>
        </w:rPr>
        <w:t>, M., « Do Countries Default in </w:t>
      </w:r>
      <w:r w:rsidRPr="00E72418">
        <w:rPr>
          <w:rFonts w:ascii="Times New Roman" w:hAnsi="Times New Roman" w:cs="Times New Roman"/>
          <w:szCs w:val="24"/>
          <w:lang w:val="en-US"/>
        </w:rPr>
        <w:t>“</w:t>
      </w:r>
      <w:r w:rsidRPr="00E72418">
        <w:rPr>
          <w:rFonts w:ascii="Times New Roman" w:hAnsi="Times New Roman" w:cs="Times New Roman"/>
          <w:szCs w:val="24"/>
        </w:rPr>
        <w:t>Bad Times</w:t>
      </w:r>
      <w:r w:rsidRPr="00E72418">
        <w:rPr>
          <w:rFonts w:ascii="Times New Roman" w:hAnsi="Times New Roman" w:cs="Times New Roman"/>
          <w:szCs w:val="24"/>
          <w:lang w:val="en-US"/>
        </w:rPr>
        <w:t xml:space="preserve">”? </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Journal of </w:t>
      </w:r>
      <w:r w:rsidR="006B37E3" w:rsidRPr="00E72418">
        <w:rPr>
          <w:rFonts w:ascii="Times New Roman" w:hAnsi="Times New Roman" w:cs="Times New Roman"/>
          <w:i/>
          <w:szCs w:val="24"/>
        </w:rPr>
        <w:t xml:space="preserve">the </w:t>
      </w:r>
      <w:r w:rsidRPr="00E72418">
        <w:rPr>
          <w:rFonts w:ascii="Times New Roman" w:hAnsi="Times New Roman" w:cs="Times New Roman"/>
          <w:i/>
          <w:szCs w:val="24"/>
        </w:rPr>
        <w:t>European Economic Association</w:t>
      </w:r>
      <w:r w:rsidRPr="00E72418">
        <w:rPr>
          <w:rFonts w:ascii="Times New Roman" w:hAnsi="Times New Roman" w:cs="Times New Roman"/>
          <w:szCs w:val="24"/>
        </w:rPr>
        <w:t>, 2007, pp. 352-360</w:t>
      </w:r>
    </w:p>
    <w:p w14:paraId="2152DC05" w14:textId="77777777" w:rsidR="00A91208" w:rsidRPr="00E72418" w:rsidRDefault="00A91208" w:rsidP="00A91208">
      <w:pPr>
        <w:pStyle w:val="Paragraphedeliste"/>
        <w:rPr>
          <w:rFonts w:ascii="Times New Roman" w:hAnsi="Times New Roman" w:cs="Times New Roman"/>
          <w:sz w:val="14"/>
          <w:szCs w:val="14"/>
          <w:lang w:val="en-US"/>
        </w:rPr>
      </w:pPr>
    </w:p>
    <w:p w14:paraId="02CF68F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Tranchant, B., « </w:t>
      </w:r>
      <w:r w:rsidRPr="00E72418">
        <w:rPr>
          <w:rFonts w:ascii="Times New Roman" w:hAnsi="Times New Roman" w:cs="Times New Roman"/>
          <w:szCs w:val="24"/>
        </w:rPr>
        <w:t xml:space="preserve">L’immunité étatique et l’exécution en France des sentences arbitrales internationales – Observations suite à l’entrée en vigueur de la loi “Sapin 2” », </w:t>
      </w:r>
      <w:r w:rsidRPr="00E72418">
        <w:rPr>
          <w:rFonts w:ascii="Times New Roman" w:hAnsi="Times New Roman" w:cs="Times New Roman"/>
          <w:i/>
          <w:szCs w:val="24"/>
        </w:rPr>
        <w:t>Revue Générale de Droit International Public</w:t>
      </w:r>
      <w:r w:rsidRPr="00E72418">
        <w:rPr>
          <w:rFonts w:ascii="Times New Roman" w:hAnsi="Times New Roman" w:cs="Times New Roman"/>
          <w:szCs w:val="24"/>
        </w:rPr>
        <w:t>, 2017, pp. 837-861</w:t>
      </w:r>
    </w:p>
    <w:p w14:paraId="69FA613C" w14:textId="77777777" w:rsidR="00A91208" w:rsidRPr="00E72418" w:rsidRDefault="00A91208" w:rsidP="00A91208">
      <w:pPr>
        <w:pStyle w:val="Paragraphedeliste"/>
        <w:rPr>
          <w:rFonts w:ascii="Times New Roman" w:hAnsi="Times New Roman" w:cs="Times New Roman"/>
          <w:sz w:val="14"/>
          <w:szCs w:val="14"/>
          <w:lang w:val="en-US"/>
        </w:rPr>
      </w:pPr>
    </w:p>
    <w:p w14:paraId="457119A9" w14:textId="6D180D32"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Trevin</w:t>
      </w:r>
      <w:r w:rsidR="000D05F9" w:rsidRPr="00E72418">
        <w:rPr>
          <w:rFonts w:ascii="Times New Roman" w:hAnsi="Times New Roman" w:cs="Times New Roman"/>
          <w:smallCaps/>
          <w:szCs w:val="24"/>
          <w:lang w:val="en-US"/>
        </w:rPr>
        <w:t>,</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Ferre</w:t>
      </w:r>
      <w:r w:rsidRPr="00E72418">
        <w:rPr>
          <w:rFonts w:ascii="Times New Roman" w:hAnsi="Times New Roman" w:cs="Times New Roman"/>
          <w:szCs w:val="24"/>
          <w:lang w:val="en-US"/>
        </w:rPr>
        <w:t xml:space="preserve">, J. « The Rise of the Revolutionary Left in Argentina », </w:t>
      </w:r>
      <w:r w:rsidRPr="00E72418">
        <w:rPr>
          <w:rFonts w:ascii="Times New Roman" w:hAnsi="Times New Roman" w:cs="Times New Roman"/>
          <w:i/>
          <w:szCs w:val="24"/>
          <w:lang w:val="en-US"/>
        </w:rPr>
        <w:t>New Politics</w:t>
      </w:r>
      <w:r w:rsidRPr="00E72418">
        <w:rPr>
          <w:rFonts w:ascii="Times New Roman" w:hAnsi="Times New Roman" w:cs="Times New Roman"/>
          <w:szCs w:val="24"/>
          <w:lang w:val="en-US"/>
        </w:rPr>
        <w:t>, 2017, pp. 61-63</w:t>
      </w:r>
    </w:p>
    <w:p w14:paraId="1EF2313A" w14:textId="77777777" w:rsidR="00A91208" w:rsidRPr="00E72418" w:rsidRDefault="00A91208" w:rsidP="00A91208">
      <w:pPr>
        <w:pStyle w:val="Paragraphedeliste"/>
        <w:rPr>
          <w:rFonts w:ascii="Times New Roman" w:hAnsi="Times New Roman" w:cs="Times New Roman"/>
          <w:sz w:val="14"/>
          <w:szCs w:val="14"/>
          <w:lang w:val="en-US"/>
        </w:rPr>
      </w:pPr>
    </w:p>
    <w:p w14:paraId="4C5746D3"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Turchi</w:t>
      </w:r>
      <w:r w:rsidRPr="00E72418">
        <w:rPr>
          <w:rFonts w:ascii="Times New Roman" w:hAnsi="Times New Roman" w:cs="Times New Roman"/>
          <w:szCs w:val="24"/>
          <w:lang w:val="en-US"/>
        </w:rPr>
        <w:t xml:space="preserve">, N., « Restructuring a Sovereign Bond Pari Passu Work-Around: Can Holdout Creditors Ever Have Equal Treatment ?», </w:t>
      </w:r>
      <w:r w:rsidRPr="00E72418">
        <w:rPr>
          <w:rFonts w:ascii="Times New Roman" w:hAnsi="Times New Roman" w:cs="Times New Roman"/>
          <w:i/>
          <w:szCs w:val="24"/>
          <w:lang w:val="en-US"/>
        </w:rPr>
        <w:t>Fordham Law Review</w:t>
      </w:r>
      <w:r w:rsidRPr="00E72418">
        <w:rPr>
          <w:rFonts w:ascii="Times New Roman" w:hAnsi="Times New Roman" w:cs="Times New Roman"/>
          <w:szCs w:val="24"/>
          <w:lang w:val="en-US"/>
        </w:rPr>
        <w:t>, 2015, pp. 2171-2215</w:t>
      </w:r>
    </w:p>
    <w:p w14:paraId="4B44F4CD" w14:textId="77777777" w:rsidR="00A91208" w:rsidRPr="00E72418" w:rsidRDefault="00A91208" w:rsidP="00A91208">
      <w:pPr>
        <w:pStyle w:val="Paragraphedeliste"/>
        <w:rPr>
          <w:rFonts w:ascii="Times New Roman" w:hAnsi="Times New Roman" w:cs="Times New Roman"/>
          <w:sz w:val="14"/>
          <w:szCs w:val="14"/>
          <w:lang w:val="en-US"/>
        </w:rPr>
      </w:pPr>
    </w:p>
    <w:p w14:paraId="2F7048BF" w14:textId="77777777" w:rsidR="00A91208" w:rsidRPr="00E72418" w:rsidRDefault="00A91208" w:rsidP="008D1D70">
      <w:pPr>
        <w:pStyle w:val="Paragraphedeliste"/>
        <w:numPr>
          <w:ilvl w:val="0"/>
          <w:numId w:val="18"/>
        </w:numPr>
        <w:spacing w:after="0"/>
        <w:rPr>
          <w:rStyle w:val="exldetailsdisplayval"/>
          <w:rFonts w:ascii="Times New Roman" w:hAnsi="Times New Roman" w:cs="Times New Roman"/>
          <w:szCs w:val="24"/>
        </w:rPr>
      </w:pPr>
      <w:r w:rsidRPr="00E72418">
        <w:rPr>
          <w:rFonts w:ascii="Times New Roman" w:hAnsi="Times New Roman" w:cs="Times New Roman"/>
          <w:smallCaps/>
          <w:szCs w:val="24"/>
        </w:rPr>
        <w:t>Vabres</w:t>
      </w:r>
      <w:r w:rsidRPr="00E72418">
        <w:rPr>
          <w:rFonts w:ascii="Times New Roman" w:hAnsi="Times New Roman" w:cs="Times New Roman"/>
          <w:szCs w:val="24"/>
        </w:rPr>
        <w:t>, R., « Les fonds vautours : quels enjeux ? »</w:t>
      </w:r>
      <w:r w:rsidRPr="00E72418">
        <w:rPr>
          <w:rFonts w:ascii="Times New Roman" w:hAnsi="Times New Roman" w:cs="Times New Roman"/>
          <w:szCs w:val="24"/>
          <w:shd w:val="clear" w:color="auto" w:fill="FFFFFF"/>
        </w:rPr>
        <w:t xml:space="preserve">, </w:t>
      </w:r>
      <w:r w:rsidRPr="00E72418">
        <w:rPr>
          <w:rStyle w:val="exldetailsdisplayval"/>
          <w:rFonts w:ascii="Times New Roman" w:hAnsi="Times New Roman" w:cs="Times New Roman"/>
          <w:i/>
          <w:szCs w:val="24"/>
          <w:bdr w:val="none" w:sz="0" w:space="0" w:color="auto" w:frame="1"/>
          <w:shd w:val="clear" w:color="auto" w:fill="FFFFFF"/>
        </w:rPr>
        <w:t>Revue internationale des services financiers</w:t>
      </w:r>
      <w:r w:rsidRPr="00E72418">
        <w:rPr>
          <w:rStyle w:val="exldetailsdisplayval"/>
          <w:rFonts w:ascii="Times New Roman" w:hAnsi="Times New Roman" w:cs="Times New Roman"/>
          <w:szCs w:val="24"/>
          <w:bdr w:val="none" w:sz="0" w:space="0" w:color="auto" w:frame="1"/>
          <w:shd w:val="clear" w:color="auto" w:fill="FFFFFF"/>
        </w:rPr>
        <w:t>, 2014, pp. 3-4</w:t>
      </w:r>
    </w:p>
    <w:p w14:paraId="01A38CED" w14:textId="77777777" w:rsidR="00A91208" w:rsidRPr="00E72418" w:rsidRDefault="00A91208" w:rsidP="00A91208">
      <w:pPr>
        <w:pStyle w:val="Paragraphedeliste"/>
        <w:rPr>
          <w:rStyle w:val="exldetailsdisplayval"/>
          <w:rFonts w:ascii="Times New Roman" w:hAnsi="Times New Roman" w:cs="Times New Roman"/>
          <w:sz w:val="14"/>
          <w:szCs w:val="14"/>
          <w:lang w:val="en-US"/>
        </w:rPr>
      </w:pPr>
    </w:p>
    <w:p w14:paraId="53386634" w14:textId="04E5F70A" w:rsidR="004800E4" w:rsidRPr="00E72418" w:rsidRDefault="00A91208" w:rsidP="00B64B0C">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 xml:space="preserve">Vanderschuren, J., </w:t>
      </w:r>
    </w:p>
    <w:p w14:paraId="1D8B4BA9"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1D11DD0C" w14:textId="5EA7C1A1" w:rsidR="00A91208" w:rsidRPr="00E72418" w:rsidRDefault="00A91208" w:rsidP="00B64B0C">
      <w:pPr>
        <w:pStyle w:val="Paragraphedeliste"/>
        <w:numPr>
          <w:ilvl w:val="1"/>
          <w:numId w:val="18"/>
        </w:numPr>
        <w:spacing w:after="0"/>
        <w:rPr>
          <w:rStyle w:val="exldetailsdisplayval"/>
          <w:rFonts w:ascii="Times New Roman" w:hAnsi="Times New Roman" w:cs="Times New Roman"/>
          <w:szCs w:val="24"/>
          <w:lang w:val="en-US"/>
        </w:rPr>
      </w:pPr>
      <w:r w:rsidRPr="00E72418">
        <w:rPr>
          <w:rFonts w:ascii="Times New Roman" w:hAnsi="Times New Roman" w:cs="Times New Roman"/>
          <w:szCs w:val="24"/>
        </w:rPr>
        <w:t xml:space="preserve">« La loi anti-fonds vautours belge réussit son examen constitutionnel », </w:t>
      </w:r>
      <w:r w:rsidRPr="00E72418">
        <w:rPr>
          <w:rFonts w:ascii="Times New Roman" w:hAnsi="Times New Roman" w:cs="Times New Roman"/>
          <w:i/>
          <w:szCs w:val="24"/>
        </w:rPr>
        <w:t>Journal des tribunaux</w:t>
      </w:r>
      <w:r w:rsidRPr="00E72418">
        <w:rPr>
          <w:rFonts w:ascii="Times New Roman" w:hAnsi="Times New Roman" w:cs="Times New Roman"/>
          <w:szCs w:val="24"/>
        </w:rPr>
        <w:t>, 2018, pp. 870-874</w:t>
      </w:r>
    </w:p>
    <w:p w14:paraId="799D0A3E"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7E7FF422" w14:textId="4E12A481" w:rsidR="00A91208" w:rsidRPr="00E72418" w:rsidRDefault="00A91208" w:rsidP="00B64B0C">
      <w:pPr>
        <w:pStyle w:val="Paragraphedeliste"/>
        <w:numPr>
          <w:ilvl w:val="1"/>
          <w:numId w:val="18"/>
        </w:numPr>
        <w:spacing w:after="0"/>
        <w:rPr>
          <w:rStyle w:val="exldetailsdisplayval"/>
          <w:rFonts w:ascii="Times New Roman" w:hAnsi="Times New Roman" w:cs="Times New Roman"/>
          <w:szCs w:val="24"/>
          <w:lang w:val="en-US"/>
        </w:rPr>
      </w:pPr>
      <w:r w:rsidRPr="00E72418">
        <w:rPr>
          <w:rFonts w:ascii="Times New Roman" w:hAnsi="Times New Roman" w:cs="Times New Roman"/>
          <w:szCs w:val="24"/>
        </w:rPr>
        <w:t xml:space="preserve">« La saisie de biens appartenant à une puissance étrangère en droit belge », </w:t>
      </w:r>
      <w:r w:rsidRPr="00E72418">
        <w:rPr>
          <w:rFonts w:ascii="Times New Roman" w:hAnsi="Times New Roman" w:cs="Times New Roman"/>
          <w:i/>
          <w:szCs w:val="24"/>
        </w:rPr>
        <w:t>Revue de droit international d’Assas</w:t>
      </w:r>
      <w:r w:rsidRPr="00E72418">
        <w:rPr>
          <w:rFonts w:ascii="Times New Roman" w:hAnsi="Times New Roman" w:cs="Times New Roman"/>
          <w:szCs w:val="24"/>
        </w:rPr>
        <w:t>, 2018, pp. 324-358</w:t>
      </w:r>
    </w:p>
    <w:p w14:paraId="3824C1D7"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73DFBC5A" w14:textId="42FD2469" w:rsidR="00A91208"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 Satisfecit constitutionnel partiel pour l’article 1412</w:t>
      </w:r>
      <w:r w:rsidRPr="00E72418">
        <w:rPr>
          <w:rFonts w:ascii="Times New Roman" w:hAnsi="Times New Roman" w:cs="Times New Roman"/>
          <w:i/>
          <w:szCs w:val="24"/>
        </w:rPr>
        <w:t>quinquies</w:t>
      </w:r>
      <w:r w:rsidRPr="00E72418">
        <w:rPr>
          <w:rFonts w:ascii="Times New Roman" w:hAnsi="Times New Roman" w:cs="Times New Roman"/>
          <w:szCs w:val="24"/>
        </w:rPr>
        <w:t xml:space="preserve"> du Code judiciaire », </w:t>
      </w:r>
      <w:r w:rsidRPr="00E72418">
        <w:rPr>
          <w:rFonts w:ascii="Times New Roman" w:hAnsi="Times New Roman" w:cs="Times New Roman"/>
          <w:i/>
          <w:szCs w:val="24"/>
        </w:rPr>
        <w:t>Journal des tribunaux</w:t>
      </w:r>
      <w:r w:rsidRPr="00E72418">
        <w:rPr>
          <w:rFonts w:ascii="Times New Roman" w:hAnsi="Times New Roman" w:cs="Times New Roman"/>
          <w:szCs w:val="24"/>
        </w:rPr>
        <w:t>, 2018, pp. 560-564</w:t>
      </w:r>
    </w:p>
    <w:p w14:paraId="5CFCDD2A"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6949ADB2" w14:textId="5BBC2C50" w:rsidR="00A91208"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w:t>
      </w:r>
      <w:r w:rsidR="004800E4" w:rsidRPr="00E72418">
        <w:rPr>
          <w:rFonts w:ascii="Times New Roman" w:eastAsia="Times New Roman" w:hAnsi="Times New Roman" w:cs="Times New Roman"/>
          <w:bCs/>
          <w:szCs w:val="24"/>
          <w:lang w:eastAsia="fr-BE"/>
        </w:rPr>
        <w:t xml:space="preserve"> </w:t>
      </w:r>
      <w:r w:rsidRPr="00E72418">
        <w:rPr>
          <w:rFonts w:ascii="Times New Roman" w:eastAsia="Times New Roman" w:hAnsi="Times New Roman" w:cs="Times New Roman"/>
          <w:bCs/>
          <w:szCs w:val="24"/>
          <w:lang w:eastAsia="fr-BE"/>
        </w:rPr>
        <w:t>Une nouvelle déclinaison jurisprudentielle</w:t>
      </w:r>
      <w:r w:rsidR="004800E4" w:rsidRPr="00E72418">
        <w:rPr>
          <w:rFonts w:ascii="Times New Roman" w:eastAsia="Times New Roman" w:hAnsi="Times New Roman" w:cs="Times New Roman"/>
          <w:bCs/>
          <w:szCs w:val="24"/>
          <w:lang w:eastAsia="fr-BE"/>
        </w:rPr>
        <w:t xml:space="preserve"> de l’érosion </w:t>
      </w:r>
      <w:r w:rsidRPr="00E72418">
        <w:rPr>
          <w:rFonts w:ascii="Times New Roman" w:eastAsia="Times New Roman" w:hAnsi="Times New Roman" w:cs="Times New Roman"/>
          <w:bCs/>
          <w:szCs w:val="24"/>
          <w:lang w:eastAsia="fr-BE"/>
        </w:rPr>
        <w:t xml:space="preserve">de l’immunité de juridiction des États », </w:t>
      </w:r>
      <w:r w:rsidRPr="00E72418">
        <w:rPr>
          <w:rFonts w:ascii="Times New Roman" w:eastAsia="Times New Roman" w:hAnsi="Times New Roman" w:cs="Times New Roman"/>
          <w:bCs/>
          <w:i/>
          <w:szCs w:val="24"/>
          <w:lang w:eastAsia="fr-BE"/>
        </w:rPr>
        <w:t>Journal des tribunaux</w:t>
      </w:r>
      <w:r w:rsidRPr="00E72418">
        <w:rPr>
          <w:rFonts w:ascii="Times New Roman" w:eastAsia="Times New Roman" w:hAnsi="Times New Roman" w:cs="Times New Roman"/>
          <w:bCs/>
          <w:szCs w:val="24"/>
          <w:lang w:eastAsia="fr-BE"/>
        </w:rPr>
        <w:t>, 2011, pp. 793-796</w:t>
      </w:r>
    </w:p>
    <w:p w14:paraId="4A99802C" w14:textId="77777777" w:rsidR="00A91208" w:rsidRPr="00E72418" w:rsidRDefault="00A91208" w:rsidP="00A91208">
      <w:pPr>
        <w:pStyle w:val="Paragraphedeliste"/>
        <w:rPr>
          <w:rFonts w:ascii="Times New Roman" w:hAnsi="Times New Roman" w:cs="Times New Roman"/>
          <w:sz w:val="14"/>
          <w:szCs w:val="14"/>
          <w:lang w:val="en-US"/>
        </w:rPr>
      </w:pPr>
    </w:p>
    <w:p w14:paraId="7DD6F125"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Vernengo</w:t>
      </w:r>
      <w:r w:rsidRPr="00E72418">
        <w:rPr>
          <w:rFonts w:ascii="Times New Roman" w:hAnsi="Times New Roman" w:cs="Times New Roman"/>
          <w:szCs w:val="24"/>
          <w:lang w:val="en-GB"/>
        </w:rPr>
        <w:t xml:space="preserve">, M., « Argentina, Vulture Funds, and The American Justice System », </w:t>
      </w:r>
      <w:r w:rsidRPr="00E72418">
        <w:rPr>
          <w:rFonts w:ascii="Times New Roman" w:hAnsi="Times New Roman" w:cs="Times New Roman"/>
          <w:i/>
          <w:szCs w:val="24"/>
          <w:lang w:val="en-GB"/>
        </w:rPr>
        <w:t>Challenge</w:t>
      </w:r>
      <w:r w:rsidRPr="00E72418">
        <w:rPr>
          <w:rFonts w:ascii="Times New Roman" w:hAnsi="Times New Roman" w:cs="Times New Roman"/>
          <w:szCs w:val="24"/>
          <w:lang w:val="en-GB"/>
        </w:rPr>
        <w:t>, 2014, pp. 46-55</w:t>
      </w:r>
    </w:p>
    <w:p w14:paraId="39EE1E7D" w14:textId="77777777" w:rsidR="00A91208" w:rsidRPr="00E72418" w:rsidRDefault="00A91208" w:rsidP="00A91208">
      <w:pPr>
        <w:pStyle w:val="Paragraphedeliste"/>
        <w:rPr>
          <w:rFonts w:ascii="Times New Roman" w:hAnsi="Times New Roman" w:cs="Times New Roman"/>
          <w:sz w:val="14"/>
          <w:szCs w:val="14"/>
          <w:lang w:val="en-US"/>
        </w:rPr>
      </w:pPr>
    </w:p>
    <w:p w14:paraId="7F147999"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Villaroman, N., </w:t>
      </w:r>
      <w:r w:rsidRPr="00E72418">
        <w:rPr>
          <w:rFonts w:ascii="Times New Roman" w:hAnsi="Times New Roman" w:cs="Times New Roman"/>
          <w:szCs w:val="24"/>
          <w:lang w:val="en-US"/>
        </w:rPr>
        <w:t xml:space="preserve">« Debt Servicing and its Adverse Impact on Economic, Social and Cultural Rights in Developing Countries », </w:t>
      </w:r>
      <w:r w:rsidRPr="00E72418">
        <w:rPr>
          <w:rFonts w:ascii="Times New Roman" w:hAnsi="Times New Roman" w:cs="Times New Roman"/>
          <w:i/>
          <w:szCs w:val="24"/>
          <w:lang w:val="en-US"/>
        </w:rPr>
        <w:t>Journal of Human Rights</w:t>
      </w:r>
      <w:r w:rsidRPr="00E72418">
        <w:rPr>
          <w:rFonts w:ascii="Times New Roman" w:hAnsi="Times New Roman" w:cs="Times New Roman"/>
          <w:szCs w:val="24"/>
          <w:lang w:val="en-US"/>
        </w:rPr>
        <w:t>, 2010, pp. 487-501</w:t>
      </w:r>
    </w:p>
    <w:p w14:paraId="4F89DAC4" w14:textId="77777777" w:rsidR="00A91208" w:rsidRPr="00E72418" w:rsidRDefault="00A91208" w:rsidP="00A91208">
      <w:pPr>
        <w:pStyle w:val="Paragraphedeliste"/>
        <w:rPr>
          <w:rFonts w:ascii="Times New Roman" w:hAnsi="Times New Roman" w:cs="Times New Roman"/>
          <w:sz w:val="14"/>
          <w:szCs w:val="14"/>
          <w:lang w:val="en-US"/>
        </w:rPr>
      </w:pPr>
    </w:p>
    <w:p w14:paraId="769A7887"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lastRenderedPageBreak/>
        <w:t>Vivien</w:t>
      </w:r>
      <w:r w:rsidRPr="00E72418">
        <w:rPr>
          <w:rFonts w:ascii="Times New Roman" w:hAnsi="Times New Roman" w:cs="Times New Roman"/>
          <w:szCs w:val="24"/>
        </w:rPr>
        <w:t xml:space="preserve">, R., « Les fonds vautours en République démocratique du Congo : le cas de FG Hemisphere », </w:t>
      </w:r>
      <w:r w:rsidRPr="00E72418">
        <w:rPr>
          <w:rFonts w:ascii="Times New Roman" w:hAnsi="Times New Roman" w:cs="Times New Roman"/>
          <w:i/>
          <w:szCs w:val="24"/>
        </w:rPr>
        <w:t>Dounia</w:t>
      </w:r>
      <w:r w:rsidRPr="00E72418">
        <w:rPr>
          <w:rFonts w:ascii="Times New Roman" w:hAnsi="Times New Roman" w:cs="Times New Roman"/>
          <w:szCs w:val="24"/>
        </w:rPr>
        <w:t>, 2012, pp. 64-70</w:t>
      </w:r>
    </w:p>
    <w:p w14:paraId="1F0EBF64" w14:textId="77777777" w:rsidR="00A91208" w:rsidRPr="00E72418" w:rsidRDefault="00A91208" w:rsidP="00A91208">
      <w:pPr>
        <w:pStyle w:val="Paragraphedeliste"/>
        <w:rPr>
          <w:rFonts w:ascii="Times New Roman" w:hAnsi="Times New Roman" w:cs="Times New Roman"/>
          <w:sz w:val="14"/>
          <w:szCs w:val="14"/>
          <w:lang w:val="en-US"/>
        </w:rPr>
      </w:pPr>
    </w:p>
    <w:p w14:paraId="7A073099" w14:textId="2AB6043A" w:rsidR="004800E4" w:rsidRPr="00E72418" w:rsidRDefault="00A91208" w:rsidP="00B64B0C">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Waibel, M., </w:t>
      </w:r>
    </w:p>
    <w:p w14:paraId="75AC2A53"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12808404" w14:textId="6A590F48" w:rsidR="004800E4" w:rsidRPr="00E72418" w:rsidRDefault="00A91208" w:rsidP="004800E4">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Debt relief to poor countries: Rules v. Discretion », </w:t>
      </w:r>
      <w:r w:rsidRPr="00E72418">
        <w:rPr>
          <w:rFonts w:ascii="Times New Roman" w:hAnsi="Times New Roman" w:cs="Times New Roman"/>
          <w:i/>
          <w:szCs w:val="24"/>
          <w:lang w:val="en-US"/>
        </w:rPr>
        <w:t>Butterworths Journal of International Banking and Financial Law</w:t>
      </w:r>
      <w:r w:rsidRPr="00E72418">
        <w:rPr>
          <w:rFonts w:ascii="Times New Roman" w:hAnsi="Times New Roman" w:cs="Times New Roman"/>
          <w:szCs w:val="24"/>
          <w:lang w:val="en-US"/>
        </w:rPr>
        <w:t>,</w:t>
      </w:r>
      <w:r w:rsidR="00B44835" w:rsidRPr="00E72418">
        <w:rPr>
          <w:rFonts w:ascii="Times New Roman" w:hAnsi="Times New Roman" w:cs="Times New Roman"/>
          <w:szCs w:val="24"/>
          <w:lang w:val="en-US"/>
        </w:rPr>
        <w:t xml:space="preserve"> 2010, pp. 295-297</w:t>
      </w:r>
    </w:p>
    <w:p w14:paraId="1D0B3221" w14:textId="77777777" w:rsidR="004800E4" w:rsidRPr="00E72418" w:rsidRDefault="004800E4" w:rsidP="004800E4">
      <w:pPr>
        <w:pStyle w:val="Paragraphedeliste"/>
        <w:spacing w:after="0"/>
        <w:ind w:left="1440"/>
        <w:rPr>
          <w:rFonts w:ascii="Times New Roman" w:hAnsi="Times New Roman" w:cs="Times New Roman"/>
          <w:sz w:val="10"/>
          <w:szCs w:val="10"/>
          <w:lang w:val="en-US"/>
        </w:rPr>
      </w:pPr>
    </w:p>
    <w:p w14:paraId="5D6EF4D2" w14:textId="5ECF4A97" w:rsidR="004800E4"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lang w:val="en-US"/>
        </w:rPr>
        <w:t xml:space="preserve">« Opening Pandora’s Box: Sovereign Bonds in International Arbitration », </w:t>
      </w:r>
      <w:r w:rsidRPr="00E72418">
        <w:rPr>
          <w:rFonts w:ascii="Times New Roman" w:hAnsi="Times New Roman" w:cs="Times New Roman"/>
          <w:i/>
          <w:szCs w:val="24"/>
          <w:lang w:val="en-US"/>
        </w:rPr>
        <w:t>The American Journal of International Law</w:t>
      </w:r>
      <w:r w:rsidRPr="00E72418">
        <w:rPr>
          <w:rFonts w:ascii="Times New Roman" w:hAnsi="Times New Roman" w:cs="Times New Roman"/>
          <w:szCs w:val="24"/>
          <w:lang w:val="en-US"/>
        </w:rPr>
        <w:t>, 2007, pp. 711-759</w:t>
      </w:r>
    </w:p>
    <w:p w14:paraId="4515851E" w14:textId="77777777" w:rsidR="00B64B0C" w:rsidRPr="00E72418" w:rsidRDefault="00B64B0C" w:rsidP="00B64B0C">
      <w:pPr>
        <w:pStyle w:val="Paragraphedeliste"/>
        <w:spacing w:after="0"/>
        <w:ind w:left="1440"/>
        <w:rPr>
          <w:rFonts w:ascii="Times New Roman" w:hAnsi="Times New Roman" w:cs="Times New Roman"/>
          <w:sz w:val="10"/>
          <w:szCs w:val="10"/>
          <w:lang w:val="en-US"/>
        </w:rPr>
      </w:pPr>
    </w:p>
    <w:p w14:paraId="5BF57647" w14:textId="5C409D0A" w:rsidR="00A91208" w:rsidRPr="00E72418" w:rsidRDefault="00A91208" w:rsidP="00B64B0C">
      <w:pPr>
        <w:pStyle w:val="Paragraphedeliste"/>
        <w:numPr>
          <w:ilvl w:val="1"/>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 An elusive quest – After the </w:t>
      </w:r>
      <w:r w:rsidRPr="00E72418">
        <w:rPr>
          <w:rFonts w:ascii="Times New Roman" w:hAnsi="Times New Roman" w:cs="Times New Roman"/>
          <w:i/>
          <w:szCs w:val="24"/>
        </w:rPr>
        <w:t>Donegal</w:t>
      </w:r>
      <w:r w:rsidRPr="00E72418">
        <w:rPr>
          <w:rFonts w:ascii="Times New Roman" w:hAnsi="Times New Roman" w:cs="Times New Roman"/>
          <w:szCs w:val="24"/>
        </w:rPr>
        <w:t xml:space="preserve"> case, compensation for sovereign defaults remains uncertain », </w:t>
      </w:r>
      <w:r w:rsidRPr="00E72418">
        <w:rPr>
          <w:rFonts w:ascii="Times New Roman" w:hAnsi="Times New Roman" w:cs="Times New Roman"/>
          <w:i/>
          <w:szCs w:val="24"/>
        </w:rPr>
        <w:t>International Financial Law Review</w:t>
      </w:r>
      <w:r w:rsidRPr="00E72418">
        <w:rPr>
          <w:rFonts w:ascii="Times New Roman" w:hAnsi="Times New Roman" w:cs="Times New Roman"/>
          <w:szCs w:val="24"/>
        </w:rPr>
        <w:t xml:space="preserve">, </w:t>
      </w:r>
      <w:r w:rsidR="00831FA9" w:rsidRPr="00E72418">
        <w:rPr>
          <w:rFonts w:ascii="Times New Roman" w:hAnsi="Times New Roman" w:cs="Times New Roman"/>
          <w:szCs w:val="24"/>
        </w:rPr>
        <w:t xml:space="preserve">juillet </w:t>
      </w:r>
      <w:r w:rsidRPr="00E72418">
        <w:rPr>
          <w:rFonts w:ascii="Times New Roman" w:hAnsi="Times New Roman" w:cs="Times New Roman"/>
          <w:szCs w:val="24"/>
        </w:rPr>
        <w:t>2007, pp. 32-33</w:t>
      </w:r>
    </w:p>
    <w:p w14:paraId="24391715" w14:textId="77777777" w:rsidR="00B64B0C" w:rsidRPr="00E72418" w:rsidRDefault="00B64B0C" w:rsidP="00B64B0C">
      <w:pPr>
        <w:pStyle w:val="Paragraphedeliste"/>
        <w:spacing w:after="0"/>
        <w:rPr>
          <w:rFonts w:ascii="Times New Roman" w:hAnsi="Times New Roman" w:cs="Times New Roman"/>
          <w:sz w:val="14"/>
          <w:szCs w:val="14"/>
          <w:lang w:val="en-US"/>
        </w:rPr>
      </w:pPr>
    </w:p>
    <w:p w14:paraId="72C77242" w14:textId="6B7C8CF9"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Weidemaier</w:t>
      </w:r>
      <w:r w:rsidRPr="00E72418">
        <w:rPr>
          <w:rFonts w:ascii="Times New Roman" w:hAnsi="Times New Roman" w:cs="Times New Roman"/>
          <w:szCs w:val="24"/>
          <w:lang w:val="en-GB"/>
        </w:rPr>
        <w:t xml:space="preserve">, M., « Sovereign Immunity and Sovereign Debt », </w:t>
      </w:r>
      <w:r w:rsidRPr="00E72418">
        <w:rPr>
          <w:rFonts w:ascii="Times New Roman" w:hAnsi="Times New Roman" w:cs="Times New Roman"/>
          <w:i/>
          <w:szCs w:val="24"/>
          <w:lang w:val="en-GB"/>
        </w:rPr>
        <w:t>University of Illinois Law Review</w:t>
      </w:r>
      <w:r w:rsidRPr="00E72418">
        <w:rPr>
          <w:rFonts w:ascii="Times New Roman" w:hAnsi="Times New Roman" w:cs="Times New Roman"/>
          <w:szCs w:val="24"/>
          <w:lang w:val="en-GB"/>
        </w:rPr>
        <w:t>, 2014, pp. 67-114</w:t>
      </w:r>
    </w:p>
    <w:p w14:paraId="68774077" w14:textId="77777777" w:rsidR="00A91208" w:rsidRPr="00E72418" w:rsidRDefault="00A91208" w:rsidP="00A91208">
      <w:pPr>
        <w:pStyle w:val="Paragraphedeliste"/>
        <w:rPr>
          <w:rFonts w:ascii="Times New Roman" w:hAnsi="Times New Roman" w:cs="Times New Roman"/>
          <w:sz w:val="14"/>
          <w:szCs w:val="14"/>
          <w:lang w:val="en-US"/>
        </w:rPr>
      </w:pPr>
    </w:p>
    <w:p w14:paraId="41F1040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Weidemaier</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Gelpern</w:t>
      </w:r>
      <w:r w:rsidRPr="00E72418">
        <w:rPr>
          <w:rFonts w:ascii="Times New Roman" w:hAnsi="Times New Roman" w:cs="Times New Roman"/>
          <w:szCs w:val="24"/>
          <w:lang w:val="en-US"/>
        </w:rPr>
        <w:t xml:space="preserve">, A., « Injunctions in Sovereign Debt Litigation », </w:t>
      </w:r>
      <w:r w:rsidRPr="00E72418">
        <w:rPr>
          <w:rFonts w:ascii="Times New Roman" w:hAnsi="Times New Roman" w:cs="Times New Roman"/>
          <w:i/>
          <w:szCs w:val="24"/>
          <w:lang w:val="en-US"/>
        </w:rPr>
        <w:t>Yale Journal on Regulation</w:t>
      </w:r>
      <w:r w:rsidRPr="00E72418">
        <w:rPr>
          <w:rFonts w:ascii="Times New Roman" w:hAnsi="Times New Roman" w:cs="Times New Roman"/>
          <w:szCs w:val="24"/>
          <w:lang w:val="en-US"/>
        </w:rPr>
        <w:t>, 2014, pp. 189-218</w:t>
      </w:r>
    </w:p>
    <w:p w14:paraId="56353300" w14:textId="77777777" w:rsidR="00A91208" w:rsidRPr="00E72418" w:rsidRDefault="00A91208" w:rsidP="00A91208">
      <w:pPr>
        <w:pStyle w:val="Paragraphedeliste"/>
        <w:rPr>
          <w:rFonts w:ascii="Times New Roman" w:hAnsi="Times New Roman" w:cs="Times New Roman"/>
          <w:sz w:val="14"/>
          <w:szCs w:val="14"/>
          <w:lang w:val="en-US"/>
        </w:rPr>
      </w:pPr>
    </w:p>
    <w:p w14:paraId="51F25D64"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Weidemaier</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 </w:t>
      </w:r>
      <w:r w:rsidRPr="00E72418">
        <w:rPr>
          <w:rFonts w:ascii="Times New Roman" w:hAnsi="Times New Roman" w:cs="Times New Roman"/>
          <w:bCs/>
          <w:iCs/>
          <w:szCs w:val="24"/>
          <w:lang w:val="en-US"/>
        </w:rPr>
        <w:t xml:space="preserve">A </w:t>
      </w:r>
      <w:r w:rsidRPr="00E72418">
        <w:rPr>
          <w:rFonts w:ascii="Times New Roman" w:hAnsi="Times New Roman" w:cs="Times New Roman"/>
          <w:iCs/>
          <w:szCs w:val="24"/>
          <w:lang w:val="en-US"/>
        </w:rPr>
        <w:t xml:space="preserve">People’s History of Collective Action Clauses </w:t>
      </w:r>
      <w:r w:rsidRPr="00E72418">
        <w:rPr>
          <w:rFonts w:ascii="Times New Roman" w:hAnsi="Times New Roman" w:cs="Times New Roman"/>
          <w:szCs w:val="24"/>
          <w:lang w:val="en-US"/>
        </w:rPr>
        <w:t>»</w:t>
      </w:r>
      <w:r w:rsidRPr="00E72418">
        <w:rPr>
          <w:rFonts w:ascii="Times New Roman" w:hAnsi="Times New Roman" w:cs="Times New Roman"/>
          <w:iCs/>
          <w:szCs w:val="24"/>
          <w:lang w:val="en-US"/>
        </w:rPr>
        <w:t xml:space="preserve">, </w:t>
      </w:r>
      <w:r w:rsidRPr="00E72418">
        <w:rPr>
          <w:rFonts w:ascii="Times New Roman" w:hAnsi="Times New Roman" w:cs="Times New Roman"/>
          <w:i/>
          <w:szCs w:val="24"/>
          <w:lang w:val="en-US"/>
        </w:rPr>
        <w:t>Virginia Journal of International Law</w:t>
      </w:r>
      <w:r w:rsidRPr="00E72418">
        <w:rPr>
          <w:rFonts w:ascii="Times New Roman" w:hAnsi="Times New Roman" w:cs="Times New Roman"/>
          <w:szCs w:val="24"/>
          <w:lang w:val="en-US"/>
        </w:rPr>
        <w:t xml:space="preserve">, </w:t>
      </w:r>
      <w:r w:rsidRPr="00E72418">
        <w:rPr>
          <w:rFonts w:ascii="Times New Roman" w:hAnsi="Times New Roman" w:cs="Times New Roman"/>
          <w:bCs/>
          <w:szCs w:val="24"/>
          <w:lang w:val="en-US"/>
        </w:rPr>
        <w:t>2013, pp. 51-95</w:t>
      </w:r>
    </w:p>
    <w:p w14:paraId="59F5AFBA" w14:textId="77777777" w:rsidR="00A91208" w:rsidRPr="00E72418" w:rsidRDefault="00A91208" w:rsidP="00A91208">
      <w:pPr>
        <w:pStyle w:val="Paragraphedeliste"/>
        <w:rPr>
          <w:rFonts w:ascii="Times New Roman" w:hAnsi="Times New Roman" w:cs="Times New Roman"/>
          <w:sz w:val="14"/>
          <w:szCs w:val="14"/>
          <w:lang w:val="en-US"/>
        </w:rPr>
      </w:pPr>
    </w:p>
    <w:p w14:paraId="416349B6"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Weidemaier, M., Scott, R.</w:t>
      </w:r>
      <w:r w:rsidRPr="00E72418">
        <w:rPr>
          <w:rFonts w:ascii="Times New Roman" w:hAnsi="Times New Roman" w:cs="Times New Roman"/>
          <w:szCs w:val="24"/>
          <w:lang w:val="en-US"/>
        </w:rPr>
        <w:t xml:space="preserve"> et</w:t>
      </w:r>
      <w:r w:rsidRPr="00E72418">
        <w:rPr>
          <w:rFonts w:ascii="Times New Roman" w:hAnsi="Times New Roman" w:cs="Times New Roman"/>
          <w:smallCaps/>
          <w:szCs w:val="24"/>
          <w:lang w:val="en-US"/>
        </w:rPr>
        <w:t xml:space="preserve"> Gulati, M., </w:t>
      </w:r>
      <w:r w:rsidRPr="00E72418">
        <w:rPr>
          <w:rFonts w:ascii="Times New Roman" w:hAnsi="Times New Roman" w:cs="Times New Roman"/>
          <w:szCs w:val="24"/>
          <w:lang w:val="en-US"/>
        </w:rPr>
        <w:t xml:space="preserve">« Origin Myths, Contracts, and the Hunt for </w:t>
      </w:r>
      <w:r w:rsidRPr="00E72418">
        <w:rPr>
          <w:rFonts w:ascii="Times New Roman" w:hAnsi="Times New Roman" w:cs="Times New Roman"/>
          <w:i/>
          <w:szCs w:val="24"/>
          <w:lang w:val="en-US"/>
        </w:rPr>
        <w:t>Pari Passu</w:t>
      </w:r>
      <w:r w:rsidRPr="00E72418">
        <w:rPr>
          <w:rFonts w:ascii="Times New Roman" w:hAnsi="Times New Roman" w:cs="Times New Roman"/>
          <w:smallCaps/>
          <w:szCs w:val="24"/>
          <w:lang w:val="en-US"/>
        </w:rPr>
        <w:t xml:space="preserve">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Law and Social Inquiry</w:t>
      </w:r>
      <w:r w:rsidRPr="00E72418">
        <w:rPr>
          <w:rFonts w:ascii="Times New Roman" w:hAnsi="Times New Roman" w:cs="Times New Roman"/>
          <w:szCs w:val="24"/>
          <w:lang w:val="en-US"/>
        </w:rPr>
        <w:t>, 2013, pp. 72-105</w:t>
      </w:r>
    </w:p>
    <w:p w14:paraId="190FAE7A" w14:textId="77777777" w:rsidR="00A91208" w:rsidRPr="00E72418" w:rsidRDefault="00A91208" w:rsidP="00A91208">
      <w:pPr>
        <w:pStyle w:val="Paragraphedeliste"/>
        <w:rPr>
          <w:rFonts w:ascii="Times New Roman" w:hAnsi="Times New Roman" w:cs="Times New Roman"/>
          <w:sz w:val="14"/>
          <w:szCs w:val="14"/>
          <w:lang w:val="en-US"/>
        </w:rPr>
      </w:pPr>
    </w:p>
    <w:p w14:paraId="09A52C41"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Wheeler</w:t>
      </w:r>
      <w:r w:rsidRPr="00E72418">
        <w:rPr>
          <w:rFonts w:ascii="Times New Roman" w:hAnsi="Times New Roman" w:cs="Times New Roman"/>
          <w:szCs w:val="24"/>
          <w:lang w:val="en-GB"/>
        </w:rPr>
        <w:t xml:space="preserve">, C. et </w:t>
      </w:r>
      <w:r w:rsidRPr="00E72418">
        <w:rPr>
          <w:rFonts w:ascii="Times New Roman" w:hAnsi="Times New Roman" w:cs="Times New Roman"/>
          <w:smallCaps/>
          <w:szCs w:val="24"/>
          <w:lang w:val="en-GB"/>
        </w:rPr>
        <w:t>Attaran</w:t>
      </w:r>
      <w:r w:rsidRPr="00E72418">
        <w:rPr>
          <w:rFonts w:ascii="Times New Roman" w:hAnsi="Times New Roman" w:cs="Times New Roman"/>
          <w:szCs w:val="24"/>
          <w:lang w:val="en-GB"/>
        </w:rPr>
        <w:t xml:space="preserve">, A, « Declawing the Vulture Funds: Rehabilitation of a Comity Defense in Sovereign Debt Litigation », </w:t>
      </w:r>
      <w:r w:rsidRPr="00E72418">
        <w:rPr>
          <w:rFonts w:ascii="Times New Roman" w:hAnsi="Times New Roman" w:cs="Times New Roman"/>
          <w:i/>
          <w:szCs w:val="24"/>
          <w:lang w:val="en-GB"/>
        </w:rPr>
        <w:t>Stanford Journal of International Law</w:t>
      </w:r>
      <w:r w:rsidRPr="00E72418">
        <w:rPr>
          <w:rFonts w:ascii="Times New Roman" w:hAnsi="Times New Roman" w:cs="Times New Roman"/>
          <w:szCs w:val="24"/>
          <w:lang w:val="en-GB"/>
        </w:rPr>
        <w:t>, 2003, pp. 253-284</w:t>
      </w:r>
    </w:p>
    <w:p w14:paraId="209F7A5B" w14:textId="77777777" w:rsidR="00A91208" w:rsidRPr="00E72418" w:rsidRDefault="00A91208" w:rsidP="00A91208">
      <w:pPr>
        <w:pStyle w:val="Paragraphedeliste"/>
        <w:rPr>
          <w:rFonts w:ascii="Times New Roman" w:hAnsi="Times New Roman" w:cs="Times New Roman"/>
          <w:sz w:val="14"/>
          <w:szCs w:val="14"/>
          <w:lang w:val="en-US"/>
        </w:rPr>
      </w:pPr>
    </w:p>
    <w:p w14:paraId="2125A624"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GB"/>
        </w:rPr>
        <w:t>Wozny</w:t>
      </w:r>
      <w:r w:rsidRPr="00E72418">
        <w:rPr>
          <w:rFonts w:ascii="Times New Roman" w:hAnsi="Times New Roman" w:cs="Times New Roman"/>
          <w:szCs w:val="24"/>
          <w:lang w:val="en-GB"/>
        </w:rPr>
        <w:t xml:space="preserve">, L., </w:t>
      </w:r>
      <w:r w:rsidRPr="00E72418">
        <w:rPr>
          <w:rStyle w:val="apple-converted-space"/>
          <w:rFonts w:ascii="Times New Roman" w:hAnsi="Times New Roman" w:cs="Times New Roman"/>
          <w:szCs w:val="24"/>
          <w:shd w:val="clear" w:color="auto" w:fill="FFFFFF"/>
          <w:lang w:val="en-GB"/>
        </w:rPr>
        <w:t>« </w:t>
      </w:r>
      <w:r w:rsidRPr="00E72418">
        <w:rPr>
          <w:rFonts w:ascii="Times New Roman" w:hAnsi="Times New Roman" w:cs="Times New Roman"/>
          <w:szCs w:val="24"/>
          <w:lang w:val="en-GB"/>
        </w:rPr>
        <w:t xml:space="preserve">National Anti-Vulture Funds Legislation: Belgium’s Turn », </w:t>
      </w:r>
      <w:r w:rsidRPr="00E72418">
        <w:rPr>
          <w:rFonts w:ascii="Times New Roman" w:hAnsi="Times New Roman" w:cs="Times New Roman"/>
          <w:i/>
          <w:szCs w:val="24"/>
          <w:lang w:val="en-GB"/>
        </w:rPr>
        <w:t>Columbia Business Law Review</w:t>
      </w:r>
      <w:r w:rsidRPr="00E72418">
        <w:rPr>
          <w:rFonts w:ascii="Times New Roman" w:hAnsi="Times New Roman" w:cs="Times New Roman"/>
          <w:szCs w:val="24"/>
          <w:lang w:val="en-GB"/>
        </w:rPr>
        <w:t>, 2017, pp. 698-747</w:t>
      </w:r>
    </w:p>
    <w:p w14:paraId="3C636595" w14:textId="77777777" w:rsidR="00A91208" w:rsidRPr="00E72418" w:rsidRDefault="00A91208" w:rsidP="00A91208">
      <w:pPr>
        <w:pStyle w:val="Paragraphedeliste"/>
        <w:rPr>
          <w:rFonts w:ascii="Times New Roman" w:hAnsi="Times New Roman" w:cs="Times New Roman"/>
          <w:sz w:val="14"/>
          <w:szCs w:val="14"/>
          <w:lang w:val="en-US"/>
        </w:rPr>
      </w:pPr>
    </w:p>
    <w:p w14:paraId="4C3CC8F0"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Wright</w:t>
      </w:r>
      <w:r w:rsidRPr="00E72418">
        <w:rPr>
          <w:rFonts w:ascii="Times New Roman" w:hAnsi="Times New Roman" w:cs="Times New Roman"/>
          <w:szCs w:val="24"/>
          <w:lang w:val="en-US"/>
        </w:rPr>
        <w:t xml:space="preserve">, M., « Sovereign Debt Restructuring: Problems and Prospects », </w:t>
      </w:r>
      <w:r w:rsidRPr="00E72418">
        <w:rPr>
          <w:rFonts w:ascii="Times New Roman" w:hAnsi="Times New Roman" w:cs="Times New Roman"/>
          <w:i/>
          <w:szCs w:val="24"/>
          <w:lang w:val="en-US"/>
        </w:rPr>
        <w:t>Harvard Business Law Review</w:t>
      </w:r>
      <w:r w:rsidRPr="00E72418">
        <w:rPr>
          <w:rFonts w:ascii="Times New Roman" w:hAnsi="Times New Roman" w:cs="Times New Roman"/>
          <w:szCs w:val="24"/>
          <w:lang w:val="en-US"/>
        </w:rPr>
        <w:t>, 2012, pp. 153-198</w:t>
      </w:r>
    </w:p>
    <w:p w14:paraId="52F587C9" w14:textId="77777777" w:rsidR="00A91208" w:rsidRPr="00E72418" w:rsidRDefault="00A91208" w:rsidP="00A91208">
      <w:pPr>
        <w:pStyle w:val="Paragraphedeliste"/>
        <w:rPr>
          <w:rFonts w:ascii="Times New Roman" w:hAnsi="Times New Roman" w:cs="Times New Roman"/>
          <w:sz w:val="14"/>
          <w:szCs w:val="14"/>
          <w:lang w:val="en-US"/>
        </w:rPr>
      </w:pPr>
    </w:p>
    <w:p w14:paraId="306719B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X., </w:t>
      </w:r>
      <w:r w:rsidRPr="00E72418">
        <w:rPr>
          <w:rStyle w:val="apple-converted-space"/>
          <w:rFonts w:ascii="Times New Roman" w:hAnsi="Times New Roman" w:cs="Times New Roman"/>
          <w:szCs w:val="24"/>
          <w:shd w:val="clear" w:color="auto" w:fill="FFFFFF"/>
        </w:rPr>
        <w:t xml:space="preserve">« Aasgierfondsen </w:t>
      </w:r>
      <w:r w:rsidRPr="00E72418">
        <w:rPr>
          <w:rFonts w:ascii="Times New Roman" w:hAnsi="Times New Roman" w:cs="Times New Roman"/>
          <w:szCs w:val="24"/>
        </w:rPr>
        <w:t xml:space="preserve">», </w:t>
      </w:r>
      <w:r w:rsidRPr="00E72418">
        <w:rPr>
          <w:rFonts w:ascii="Times New Roman" w:hAnsi="Times New Roman" w:cs="Times New Roman"/>
          <w:i/>
          <w:szCs w:val="24"/>
        </w:rPr>
        <w:t>Juristenkrant</w:t>
      </w:r>
      <w:r w:rsidRPr="00E72418">
        <w:rPr>
          <w:rFonts w:ascii="Times New Roman" w:hAnsi="Times New Roman" w:cs="Times New Roman"/>
          <w:szCs w:val="24"/>
        </w:rPr>
        <w:t>, 2015, liv. 314, p. 2</w:t>
      </w:r>
    </w:p>
    <w:p w14:paraId="7E533AD4" w14:textId="77777777" w:rsidR="00A91208" w:rsidRPr="00E72418" w:rsidRDefault="00A91208" w:rsidP="00A91208">
      <w:pPr>
        <w:pStyle w:val="Paragraphedeliste"/>
        <w:rPr>
          <w:rFonts w:ascii="Times New Roman" w:hAnsi="Times New Roman" w:cs="Times New Roman"/>
          <w:sz w:val="14"/>
          <w:szCs w:val="14"/>
          <w:lang w:val="en-US"/>
        </w:rPr>
      </w:pPr>
    </w:p>
    <w:p w14:paraId="5A04C8AE"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zCs w:val="24"/>
        </w:rPr>
        <w:t xml:space="preserve">X., </w:t>
      </w:r>
      <w:r w:rsidRPr="00E72418">
        <w:rPr>
          <w:rFonts w:ascii="Times New Roman" w:hAnsi="Times New Roman" w:cs="Times New Roman"/>
          <w:szCs w:val="24"/>
          <w:lang w:val="en-US"/>
        </w:rPr>
        <w:t xml:space="preserve">« </w:t>
      </w:r>
      <w:r w:rsidRPr="00E72418">
        <w:rPr>
          <w:rFonts w:ascii="Times New Roman" w:hAnsi="Times New Roman" w:cs="Times New Roman"/>
          <w:i/>
          <w:szCs w:val="24"/>
        </w:rPr>
        <w:t xml:space="preserve">Foreign Sovereign Immunities Act of 1976 </w:t>
      </w:r>
      <w:r w:rsidRPr="00E72418">
        <w:rPr>
          <w:rFonts w:ascii="Times New Roman" w:hAnsi="Times New Roman" w:cs="Times New Roman"/>
          <w:szCs w:val="24"/>
          <w:lang w:val="en-US"/>
        </w:rPr>
        <w:t xml:space="preserve">– </w:t>
      </w:r>
      <w:r w:rsidRPr="00E72418">
        <w:rPr>
          <w:rFonts w:ascii="Times New Roman" w:hAnsi="Times New Roman" w:cs="Times New Roman"/>
          <w:i/>
          <w:szCs w:val="24"/>
        </w:rPr>
        <w:t>Postjudgment Discovery</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 </w:t>
      </w:r>
      <w:r w:rsidRPr="00E72418">
        <w:rPr>
          <w:rFonts w:ascii="Times New Roman" w:hAnsi="Times New Roman" w:cs="Times New Roman"/>
          <w:szCs w:val="24"/>
        </w:rPr>
        <w:t>Republic of Argentina v. NML Capital, Ltd.</w:t>
      </w:r>
      <w:r w:rsidRPr="00E72418">
        <w:rPr>
          <w:rFonts w:ascii="Times New Roman" w:hAnsi="Times New Roman" w:cs="Times New Roman"/>
          <w:i/>
          <w:iCs/>
          <w:szCs w:val="24"/>
          <w:lang w:val="en-US"/>
        </w:rPr>
        <w:t xml:space="preserve"> </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Harvard Law Review</w:t>
      </w:r>
      <w:r w:rsidRPr="00E72418">
        <w:rPr>
          <w:rFonts w:ascii="Times New Roman" w:hAnsi="Times New Roman" w:cs="Times New Roman"/>
          <w:szCs w:val="24"/>
          <w:lang w:val="en-US"/>
        </w:rPr>
        <w:t>, 2014, pp. 381-390</w:t>
      </w:r>
    </w:p>
    <w:p w14:paraId="0493AA2F" w14:textId="77777777" w:rsidR="00A91208" w:rsidRPr="00E72418" w:rsidRDefault="00A91208" w:rsidP="00A91208">
      <w:pPr>
        <w:pStyle w:val="Paragraphedeliste"/>
        <w:rPr>
          <w:rFonts w:ascii="Times New Roman" w:hAnsi="Times New Roman" w:cs="Times New Roman"/>
          <w:sz w:val="14"/>
          <w:szCs w:val="14"/>
          <w:lang w:val="en-US"/>
        </w:rPr>
      </w:pPr>
    </w:p>
    <w:p w14:paraId="2FF480ED" w14:textId="77777777" w:rsidR="00A91208" w:rsidRPr="00E72418" w:rsidRDefault="00A91208" w:rsidP="008D1D70">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Yadav</w:t>
      </w:r>
      <w:r w:rsidRPr="00E72418">
        <w:rPr>
          <w:rFonts w:ascii="Times New Roman" w:hAnsi="Times New Roman" w:cs="Times New Roman"/>
          <w:szCs w:val="24"/>
          <w:lang w:val="en-US"/>
        </w:rPr>
        <w:t xml:space="preserve">, Y., « Empty creditors and sovereign debt : what now? », </w:t>
      </w:r>
      <w:r w:rsidRPr="00E72418">
        <w:rPr>
          <w:rFonts w:ascii="Times New Roman" w:hAnsi="Times New Roman" w:cs="Times New Roman"/>
          <w:i/>
          <w:szCs w:val="24"/>
          <w:lang w:val="en-US"/>
        </w:rPr>
        <w:t>Capital Markets Law Journal</w:t>
      </w:r>
      <w:r w:rsidRPr="00E72418">
        <w:rPr>
          <w:rFonts w:ascii="Times New Roman" w:hAnsi="Times New Roman" w:cs="Times New Roman"/>
          <w:szCs w:val="24"/>
          <w:lang w:val="en-US"/>
        </w:rPr>
        <w:t>, 2014, pp. 103-120</w:t>
      </w:r>
    </w:p>
    <w:p w14:paraId="5202D23F" w14:textId="77777777" w:rsidR="00A91208" w:rsidRPr="00E72418" w:rsidRDefault="00A91208" w:rsidP="00A91208">
      <w:pPr>
        <w:pStyle w:val="Paragraphedeliste"/>
        <w:rPr>
          <w:rFonts w:ascii="Times New Roman" w:hAnsi="Times New Roman" w:cs="Times New Roman"/>
          <w:sz w:val="14"/>
          <w:szCs w:val="14"/>
          <w:lang w:val="en-US"/>
        </w:rPr>
      </w:pPr>
    </w:p>
    <w:p w14:paraId="7700FD66" w14:textId="77777777" w:rsidR="00912454" w:rsidRPr="00E72418" w:rsidRDefault="00A91208" w:rsidP="00912454">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Yu</w:t>
      </w:r>
      <w:r w:rsidRPr="00E72418">
        <w:rPr>
          <w:rFonts w:ascii="Times New Roman" w:hAnsi="Times New Roman" w:cs="Times New Roman"/>
          <w:szCs w:val="24"/>
          <w:lang w:val="en-US"/>
        </w:rPr>
        <w:t xml:space="preserve">, H., « “Official” Bondholder: A New Holdout Creature in Sovereign Debt Restructuring after Vulture Funds? », </w:t>
      </w:r>
      <w:r w:rsidRPr="00E72418">
        <w:rPr>
          <w:rFonts w:ascii="Times New Roman" w:hAnsi="Times New Roman" w:cs="Times New Roman"/>
          <w:i/>
          <w:szCs w:val="24"/>
          <w:lang w:val="en-US"/>
        </w:rPr>
        <w:t>Washington University Global Studies Law Review</w:t>
      </w:r>
      <w:r w:rsidRPr="00E72418">
        <w:rPr>
          <w:rFonts w:ascii="Times New Roman" w:hAnsi="Times New Roman" w:cs="Times New Roman"/>
          <w:szCs w:val="24"/>
          <w:lang w:val="en-US"/>
        </w:rPr>
        <w:t>, 2017, pp. 535-559</w:t>
      </w:r>
    </w:p>
    <w:p w14:paraId="5DE3BA2E" w14:textId="77777777" w:rsidR="00912454" w:rsidRPr="00E72418" w:rsidRDefault="00912454" w:rsidP="00912454">
      <w:pPr>
        <w:pStyle w:val="Paragraphedeliste"/>
        <w:rPr>
          <w:rFonts w:ascii="Times New Roman" w:hAnsi="Times New Roman" w:cs="Times New Roman"/>
          <w:smallCaps/>
          <w:sz w:val="14"/>
          <w:szCs w:val="14"/>
        </w:rPr>
      </w:pPr>
    </w:p>
    <w:p w14:paraId="67F7DF5E" w14:textId="2ECCDB13" w:rsidR="004800E4" w:rsidRPr="00E72418" w:rsidRDefault="00A91208" w:rsidP="00B64B0C">
      <w:pPr>
        <w:pStyle w:val="Paragraphedeliste"/>
        <w:numPr>
          <w:ilvl w:val="0"/>
          <w:numId w:val="18"/>
        </w:numPr>
        <w:spacing w:after="0"/>
        <w:rPr>
          <w:rFonts w:ascii="Times New Roman" w:hAnsi="Times New Roman" w:cs="Times New Roman"/>
          <w:szCs w:val="24"/>
          <w:lang w:val="en-US"/>
        </w:rPr>
      </w:pPr>
      <w:r w:rsidRPr="00E72418">
        <w:rPr>
          <w:rFonts w:ascii="Times New Roman" w:hAnsi="Times New Roman" w:cs="Times New Roman"/>
          <w:smallCaps/>
          <w:szCs w:val="24"/>
        </w:rPr>
        <w:t xml:space="preserve">Zacharie, A., </w:t>
      </w:r>
    </w:p>
    <w:p w14:paraId="173AD39C" w14:textId="77777777" w:rsidR="00B64B0C" w:rsidRPr="00E72418" w:rsidRDefault="00B64B0C" w:rsidP="00B64B0C">
      <w:pPr>
        <w:pStyle w:val="Paragraphedeliste"/>
        <w:spacing w:after="0"/>
        <w:ind w:left="1440"/>
        <w:rPr>
          <w:rFonts w:ascii="Times New Roman" w:hAnsi="Times New Roman" w:cs="Times New Roman"/>
          <w:sz w:val="10"/>
          <w:szCs w:val="10"/>
          <w:lang w:val="nl-NL"/>
        </w:rPr>
      </w:pPr>
    </w:p>
    <w:p w14:paraId="67F3D212" w14:textId="2B1AB6C5" w:rsidR="00A91208" w:rsidRPr="00E72418" w:rsidRDefault="00A91208" w:rsidP="00B64B0C">
      <w:pPr>
        <w:pStyle w:val="Paragraphedeliste"/>
        <w:numPr>
          <w:ilvl w:val="1"/>
          <w:numId w:val="18"/>
        </w:numPr>
        <w:spacing w:after="0"/>
        <w:rPr>
          <w:rFonts w:ascii="Times New Roman" w:hAnsi="Times New Roman" w:cs="Times New Roman"/>
          <w:szCs w:val="24"/>
          <w:lang w:val="nl-NL"/>
        </w:rPr>
      </w:pPr>
      <w:r w:rsidRPr="00E72418">
        <w:rPr>
          <w:rFonts w:ascii="Times New Roman" w:hAnsi="Times New Roman" w:cs="Times New Roman"/>
          <w:szCs w:val="24"/>
        </w:rPr>
        <w:t xml:space="preserve">« Fonds vautours : contrer la stratégie du passager clandestin », </w:t>
      </w:r>
      <w:r w:rsidRPr="00E72418">
        <w:rPr>
          <w:rFonts w:ascii="Times New Roman" w:hAnsi="Times New Roman" w:cs="Times New Roman"/>
          <w:i/>
          <w:szCs w:val="24"/>
        </w:rPr>
        <w:t>Revue internationale et</w:t>
      </w:r>
      <w:r w:rsidRPr="00E72418">
        <w:rPr>
          <w:rFonts w:ascii="Times New Roman" w:hAnsi="Times New Roman" w:cs="Times New Roman"/>
          <w:szCs w:val="24"/>
        </w:rPr>
        <w:t xml:space="preserve"> </w:t>
      </w:r>
      <w:r w:rsidRPr="00E72418">
        <w:rPr>
          <w:rFonts w:ascii="Times New Roman" w:hAnsi="Times New Roman" w:cs="Times New Roman"/>
          <w:i/>
          <w:szCs w:val="24"/>
        </w:rPr>
        <w:t>stratégique</w:t>
      </w:r>
      <w:r w:rsidRPr="00E72418">
        <w:rPr>
          <w:rFonts w:ascii="Times New Roman" w:hAnsi="Times New Roman" w:cs="Times New Roman"/>
          <w:szCs w:val="24"/>
        </w:rPr>
        <w:t>, 2017, pp. 26-36</w:t>
      </w:r>
    </w:p>
    <w:p w14:paraId="6B4B949A" w14:textId="77777777" w:rsidR="00B64B0C" w:rsidRPr="00E72418" w:rsidRDefault="00B64B0C" w:rsidP="00B64B0C">
      <w:pPr>
        <w:pStyle w:val="Paragraphedeliste"/>
        <w:spacing w:after="0"/>
        <w:ind w:left="1440"/>
        <w:rPr>
          <w:rFonts w:ascii="Times New Roman" w:hAnsi="Times New Roman" w:cs="Times New Roman"/>
          <w:sz w:val="10"/>
          <w:szCs w:val="10"/>
        </w:rPr>
      </w:pPr>
    </w:p>
    <w:p w14:paraId="0FCEE6CA" w14:textId="1BDC3E37" w:rsidR="00A91208" w:rsidRPr="00E72418" w:rsidRDefault="00A91208" w:rsidP="004800E4">
      <w:pPr>
        <w:pStyle w:val="Paragraphedeliste"/>
        <w:numPr>
          <w:ilvl w:val="1"/>
          <w:numId w:val="18"/>
        </w:numPr>
        <w:spacing w:after="0"/>
        <w:rPr>
          <w:rFonts w:ascii="Times New Roman" w:hAnsi="Times New Roman" w:cs="Times New Roman"/>
          <w:szCs w:val="24"/>
        </w:rPr>
      </w:pPr>
      <w:r w:rsidRPr="00E72418">
        <w:rPr>
          <w:rFonts w:ascii="Times New Roman" w:hAnsi="Times New Roman" w:cs="Times New Roman"/>
          <w:szCs w:val="24"/>
        </w:rPr>
        <w:t xml:space="preserve">« L’économie politique des fonds vautours », </w:t>
      </w:r>
      <w:r w:rsidRPr="00E72418">
        <w:rPr>
          <w:rFonts w:ascii="Times New Roman" w:hAnsi="Times New Roman" w:cs="Times New Roman"/>
          <w:i/>
          <w:szCs w:val="24"/>
        </w:rPr>
        <w:t>Dounia</w:t>
      </w:r>
      <w:r w:rsidRPr="00E72418">
        <w:rPr>
          <w:rFonts w:ascii="Times New Roman" w:hAnsi="Times New Roman" w:cs="Times New Roman"/>
          <w:szCs w:val="24"/>
        </w:rPr>
        <w:t>, 2012, pp. 14-21</w:t>
      </w:r>
    </w:p>
    <w:p w14:paraId="0F789C97" w14:textId="77777777" w:rsidR="00A91208" w:rsidRPr="00E72418" w:rsidRDefault="00A91208" w:rsidP="00A91208">
      <w:pPr>
        <w:pStyle w:val="Paragraphedeliste"/>
        <w:rPr>
          <w:rFonts w:ascii="Times New Roman" w:hAnsi="Times New Roman" w:cs="Times New Roman"/>
          <w:sz w:val="14"/>
          <w:szCs w:val="14"/>
        </w:rPr>
      </w:pPr>
    </w:p>
    <w:p w14:paraId="211C1217"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 xml:space="preserve">Zacharie, A. </w:t>
      </w:r>
      <w:r w:rsidRPr="00E72418">
        <w:rPr>
          <w:rFonts w:ascii="Times New Roman" w:hAnsi="Times New Roman" w:cs="Times New Roman"/>
          <w:szCs w:val="24"/>
        </w:rPr>
        <w:t xml:space="preserve">et </w:t>
      </w:r>
      <w:r w:rsidRPr="00E72418">
        <w:rPr>
          <w:rFonts w:ascii="Times New Roman" w:hAnsi="Times New Roman" w:cs="Times New Roman"/>
          <w:smallCaps/>
          <w:szCs w:val="24"/>
        </w:rPr>
        <w:t>Gambini</w:t>
      </w:r>
      <w:r w:rsidRPr="00E72418">
        <w:rPr>
          <w:rFonts w:ascii="Times New Roman" w:hAnsi="Times New Roman" w:cs="Times New Roman"/>
          <w:szCs w:val="24"/>
        </w:rPr>
        <w:t xml:space="preserve">, A., « Une approche multidisciplinaire du phénomène des fonds vautours », </w:t>
      </w:r>
      <w:r w:rsidRPr="00E72418">
        <w:rPr>
          <w:rFonts w:ascii="Times New Roman" w:hAnsi="Times New Roman" w:cs="Times New Roman"/>
          <w:i/>
          <w:szCs w:val="24"/>
        </w:rPr>
        <w:t>Dounia</w:t>
      </w:r>
      <w:r w:rsidRPr="00E72418">
        <w:rPr>
          <w:rFonts w:ascii="Times New Roman" w:hAnsi="Times New Roman" w:cs="Times New Roman"/>
          <w:szCs w:val="24"/>
        </w:rPr>
        <w:t>, 2012, pp. 8-11</w:t>
      </w:r>
    </w:p>
    <w:p w14:paraId="4CEECFE6" w14:textId="77777777" w:rsidR="00A91208" w:rsidRPr="00E72418" w:rsidRDefault="00A91208" w:rsidP="00A91208">
      <w:pPr>
        <w:pStyle w:val="Paragraphedeliste"/>
        <w:rPr>
          <w:rFonts w:ascii="Times New Roman" w:hAnsi="Times New Roman" w:cs="Times New Roman"/>
          <w:sz w:val="14"/>
          <w:szCs w:val="14"/>
        </w:rPr>
      </w:pPr>
    </w:p>
    <w:p w14:paraId="00AA98B4" w14:textId="77777777"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lastRenderedPageBreak/>
        <w:t xml:space="preserve">Zamour, R., </w:t>
      </w:r>
      <w:r w:rsidRPr="00E72418">
        <w:rPr>
          <w:rFonts w:ascii="Times New Roman" w:hAnsi="Times New Roman" w:cs="Times New Roman"/>
          <w:szCs w:val="24"/>
          <w:lang w:val="en-US"/>
        </w:rPr>
        <w:t xml:space="preserve">« </w:t>
      </w:r>
      <w:r w:rsidRPr="00E72418">
        <w:rPr>
          <w:rFonts w:ascii="Times New Roman" w:hAnsi="Times New Roman" w:cs="Times New Roman"/>
          <w:bCs/>
          <w:i/>
          <w:iCs/>
          <w:szCs w:val="24"/>
          <w:lang w:val="en-US"/>
        </w:rPr>
        <w:t xml:space="preserve">NML v. Argentina </w:t>
      </w:r>
      <w:r w:rsidRPr="00E72418">
        <w:rPr>
          <w:rFonts w:ascii="Times New Roman" w:hAnsi="Times New Roman" w:cs="Times New Roman"/>
          <w:bCs/>
          <w:szCs w:val="24"/>
          <w:lang w:val="en-US"/>
        </w:rPr>
        <w:t xml:space="preserve">and the Ratable Payment Interpretation of the </w:t>
      </w:r>
      <w:r w:rsidRPr="00E72418">
        <w:rPr>
          <w:rFonts w:ascii="Times New Roman" w:hAnsi="Times New Roman" w:cs="Times New Roman"/>
          <w:bCs/>
          <w:i/>
          <w:iCs/>
          <w:szCs w:val="24"/>
          <w:lang w:val="en-US"/>
        </w:rPr>
        <w:t xml:space="preserve">Pari Passu </w:t>
      </w:r>
      <w:r w:rsidRPr="00E72418">
        <w:rPr>
          <w:rFonts w:ascii="Times New Roman" w:hAnsi="Times New Roman" w:cs="Times New Roman"/>
          <w:bCs/>
          <w:szCs w:val="24"/>
          <w:lang w:val="en-US"/>
        </w:rPr>
        <w:t xml:space="preserve">Clause », </w:t>
      </w:r>
      <w:r w:rsidRPr="00E72418">
        <w:rPr>
          <w:rFonts w:ascii="Times New Roman" w:hAnsi="Times New Roman" w:cs="Times New Roman"/>
          <w:bCs/>
          <w:i/>
          <w:szCs w:val="24"/>
          <w:lang w:val="en-US"/>
        </w:rPr>
        <w:t>The Yale Journal of International Law</w:t>
      </w:r>
      <w:r w:rsidRPr="00E72418">
        <w:rPr>
          <w:rFonts w:ascii="Times New Roman" w:hAnsi="Times New Roman" w:cs="Times New Roman"/>
          <w:bCs/>
          <w:szCs w:val="24"/>
          <w:lang w:val="en-US"/>
        </w:rPr>
        <w:t>, 2013, pp. 55-66</w:t>
      </w:r>
    </w:p>
    <w:p w14:paraId="2BB0E551" w14:textId="77777777" w:rsidR="00A91208" w:rsidRPr="00E72418" w:rsidRDefault="00A91208" w:rsidP="00A91208">
      <w:pPr>
        <w:pStyle w:val="Paragraphedeliste"/>
        <w:rPr>
          <w:rFonts w:ascii="Times New Roman" w:hAnsi="Times New Roman" w:cs="Times New Roman"/>
          <w:sz w:val="14"/>
          <w:szCs w:val="14"/>
        </w:rPr>
      </w:pPr>
    </w:p>
    <w:p w14:paraId="3C5A298C" w14:textId="51E39486" w:rsidR="00A91208" w:rsidRPr="00E72418" w:rsidRDefault="00A91208"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Zettelmeyer, J., Trebesch, C. </w:t>
      </w:r>
      <w:r w:rsidRPr="00E72418">
        <w:rPr>
          <w:rFonts w:ascii="Times New Roman" w:hAnsi="Times New Roman" w:cs="Times New Roman"/>
          <w:szCs w:val="24"/>
          <w:lang w:val="en-US"/>
        </w:rPr>
        <w:t xml:space="preserve">et </w:t>
      </w:r>
      <w:r w:rsidRPr="00E72418">
        <w:rPr>
          <w:rFonts w:ascii="Times New Roman" w:hAnsi="Times New Roman" w:cs="Times New Roman"/>
          <w:smallCaps/>
          <w:szCs w:val="24"/>
          <w:lang w:val="en-US"/>
        </w:rPr>
        <w:t>Gulati</w:t>
      </w:r>
      <w:r w:rsidRPr="00E72418">
        <w:rPr>
          <w:rFonts w:ascii="Times New Roman" w:hAnsi="Times New Roman" w:cs="Times New Roman"/>
          <w:szCs w:val="24"/>
          <w:lang w:val="en-US"/>
        </w:rPr>
        <w:t xml:space="preserve">, M., « The Greek debt restructuring: an autopsy », </w:t>
      </w:r>
      <w:r w:rsidRPr="00E72418">
        <w:rPr>
          <w:rFonts w:ascii="Times New Roman" w:hAnsi="Times New Roman" w:cs="Times New Roman"/>
          <w:i/>
          <w:szCs w:val="24"/>
          <w:lang w:val="en-US"/>
        </w:rPr>
        <w:t>Economic Policy</w:t>
      </w:r>
      <w:r w:rsidRPr="00E72418">
        <w:rPr>
          <w:rFonts w:ascii="Times New Roman" w:hAnsi="Times New Roman" w:cs="Times New Roman"/>
          <w:szCs w:val="24"/>
          <w:lang w:val="en-US"/>
        </w:rPr>
        <w:t>, 2013, pp. 515-563</w:t>
      </w:r>
    </w:p>
    <w:p w14:paraId="0BD9A1D0" w14:textId="77777777" w:rsidR="00831FA9" w:rsidRPr="00E72418" w:rsidRDefault="00831FA9" w:rsidP="00831FA9">
      <w:pPr>
        <w:pStyle w:val="Paragraphedeliste"/>
        <w:rPr>
          <w:rFonts w:ascii="Times New Roman" w:hAnsi="Times New Roman" w:cs="Times New Roman"/>
          <w:sz w:val="14"/>
          <w:szCs w:val="14"/>
        </w:rPr>
      </w:pPr>
    </w:p>
    <w:p w14:paraId="22C5C2EE" w14:textId="54C920D4" w:rsidR="00831FA9" w:rsidRPr="00E72418" w:rsidRDefault="00831FA9" w:rsidP="008D1D70">
      <w:pPr>
        <w:pStyle w:val="Paragraphedeliste"/>
        <w:numPr>
          <w:ilvl w:val="0"/>
          <w:numId w:val="18"/>
        </w:numPr>
        <w:spacing w:after="0"/>
        <w:rPr>
          <w:rFonts w:ascii="Times New Roman" w:hAnsi="Times New Roman" w:cs="Times New Roman"/>
          <w:szCs w:val="24"/>
        </w:rPr>
      </w:pPr>
      <w:r w:rsidRPr="00E72418">
        <w:rPr>
          <w:rFonts w:ascii="Times New Roman" w:hAnsi="Times New Roman" w:cs="Times New Roman"/>
          <w:smallCaps/>
          <w:szCs w:val="24"/>
        </w:rPr>
        <w:t>Zuss</w:t>
      </w:r>
      <w:r w:rsidRPr="00E72418">
        <w:rPr>
          <w:rFonts w:ascii="Times New Roman" w:hAnsi="Times New Roman" w:cs="Times New Roman"/>
          <w:szCs w:val="24"/>
        </w:rPr>
        <w:t xml:space="preserve">, N., « New York’s </w:t>
      </w:r>
      <w:r w:rsidR="00BE7C20" w:rsidRPr="00E72418">
        <w:rPr>
          <w:rFonts w:ascii="Times New Roman" w:hAnsi="Times New Roman" w:cs="Times New Roman"/>
          <w:szCs w:val="24"/>
          <w:lang w:val="en-US"/>
        </w:rPr>
        <w:t xml:space="preserve">“atypical” </w:t>
      </w:r>
      <w:r w:rsidRPr="00E72418">
        <w:rPr>
          <w:rFonts w:ascii="Times New Roman" w:hAnsi="Times New Roman" w:cs="Times New Roman"/>
          <w:szCs w:val="24"/>
        </w:rPr>
        <w:t xml:space="preserve">sovereign debt bill faces an uphill battle », </w:t>
      </w:r>
      <w:r w:rsidRPr="00E72418">
        <w:rPr>
          <w:rFonts w:ascii="Times New Roman" w:hAnsi="Times New Roman" w:cs="Times New Roman"/>
          <w:i/>
          <w:szCs w:val="24"/>
        </w:rPr>
        <w:t>International Financial Law Review</w:t>
      </w:r>
      <w:r w:rsidRPr="00E72418">
        <w:rPr>
          <w:rFonts w:ascii="Times New Roman" w:hAnsi="Times New Roman" w:cs="Times New Roman"/>
          <w:szCs w:val="24"/>
        </w:rPr>
        <w:t xml:space="preserve">, </w:t>
      </w:r>
      <w:r w:rsidR="005B2279" w:rsidRPr="00E72418">
        <w:rPr>
          <w:rFonts w:ascii="Times New Roman" w:hAnsi="Times New Roman" w:cs="Times New Roman"/>
          <w:szCs w:val="24"/>
        </w:rPr>
        <w:t xml:space="preserve">juillet </w:t>
      </w:r>
      <w:r w:rsidR="00BE7C20" w:rsidRPr="00E72418">
        <w:rPr>
          <w:rFonts w:ascii="Times New Roman" w:hAnsi="Times New Roman" w:cs="Times New Roman"/>
          <w:szCs w:val="24"/>
        </w:rPr>
        <w:t>2021</w:t>
      </w:r>
      <w:r w:rsidR="00A8432C" w:rsidRPr="00E72418">
        <w:rPr>
          <w:rFonts w:ascii="Times New Roman" w:hAnsi="Times New Roman" w:cs="Times New Roman"/>
          <w:szCs w:val="24"/>
        </w:rPr>
        <w:t>, pp. 3 et 4</w:t>
      </w:r>
    </w:p>
    <w:p w14:paraId="03EC4158" w14:textId="618F6411" w:rsidR="00A91208" w:rsidRPr="00E72418" w:rsidRDefault="00A91208" w:rsidP="00A91208">
      <w:pPr>
        <w:rPr>
          <w:rFonts w:ascii="Times New Roman" w:hAnsi="Times New Roman" w:cs="Times New Roman"/>
          <w:szCs w:val="24"/>
        </w:rPr>
      </w:pPr>
    </w:p>
    <w:p w14:paraId="54FEB9DD" w14:textId="77777777" w:rsidR="00B64B0C" w:rsidRPr="00E72418" w:rsidRDefault="00B64B0C" w:rsidP="00A91208">
      <w:pPr>
        <w:rPr>
          <w:rFonts w:ascii="Times New Roman" w:hAnsi="Times New Roman" w:cs="Times New Roman"/>
          <w:szCs w:val="24"/>
        </w:rPr>
      </w:pPr>
    </w:p>
    <w:p w14:paraId="1993744F" w14:textId="5F2AB69E" w:rsidR="00A91208" w:rsidRPr="00E72418" w:rsidRDefault="00A91208" w:rsidP="00A91208">
      <w:pPr>
        <w:pStyle w:val="CC"/>
      </w:pPr>
      <w:bookmarkStart w:id="534" w:name="_Toc84541052"/>
      <w:r w:rsidRPr="00E72418">
        <w:t>Rapports</w:t>
      </w:r>
      <w:bookmarkEnd w:id="534"/>
      <w:r w:rsidR="0024739F" w:rsidRPr="00E72418">
        <w:t xml:space="preserve"> institutionnels</w:t>
      </w:r>
    </w:p>
    <w:p w14:paraId="32130CFB" w14:textId="77777777" w:rsidR="00A91208" w:rsidRPr="00E72418" w:rsidRDefault="00A91208" w:rsidP="007D0FD0">
      <w:pPr>
        <w:rPr>
          <w:rFonts w:ascii="Times New Roman" w:hAnsi="Times New Roman" w:cs="Times New Roman"/>
          <w:sz w:val="28"/>
          <w:szCs w:val="28"/>
        </w:rPr>
      </w:pPr>
    </w:p>
    <w:p w14:paraId="1FE5BFFE" w14:textId="1D355514" w:rsidR="00A91208" w:rsidRPr="00E72418" w:rsidRDefault="00B64B0C"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Assemblée générale des Nations Unies</w:t>
      </w:r>
      <w:r w:rsidRPr="00E72418">
        <w:rPr>
          <w:rFonts w:ascii="Times New Roman" w:hAnsi="Times New Roman" w:cs="Times New Roman"/>
          <w:i/>
          <w:szCs w:val="24"/>
        </w:rPr>
        <w:t xml:space="preserve">, Les </w:t>
      </w:r>
      <w:r w:rsidR="00403801">
        <w:rPr>
          <w:rFonts w:ascii="Times New Roman" w:hAnsi="Times New Roman" w:cs="Times New Roman"/>
          <w:i/>
          <w:szCs w:val="24"/>
        </w:rPr>
        <w:t>e</w:t>
      </w:r>
      <w:r w:rsidR="00A91208" w:rsidRPr="00E72418">
        <w:rPr>
          <w:rFonts w:ascii="Times New Roman" w:hAnsi="Times New Roman" w:cs="Times New Roman"/>
          <w:i/>
          <w:szCs w:val="24"/>
        </w:rPr>
        <w:t>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de l’Expert indépendant chargé d’examiner les effets de la dette extérieure et des obligations financières internationales connexes des États sur le plein exercice de tous les droits de l’homme, en particulier les droits économiques, sociaux et culturels</w:t>
      </w:r>
      <w:r w:rsidR="00A91208" w:rsidRPr="00E72418">
        <w:rPr>
          <w:rFonts w:ascii="Times New Roman" w:hAnsi="Times New Roman" w:cs="Times New Roman"/>
          <w:szCs w:val="24"/>
        </w:rPr>
        <w:t>, 17 juillet 2017, A/72/153</w:t>
      </w:r>
    </w:p>
    <w:p w14:paraId="4C033FB3" w14:textId="77777777" w:rsidR="00A91208" w:rsidRPr="00E72418" w:rsidRDefault="00A91208" w:rsidP="00A91208">
      <w:pPr>
        <w:pStyle w:val="Paragraphedeliste"/>
        <w:rPr>
          <w:rFonts w:ascii="Times New Roman" w:hAnsi="Times New Roman" w:cs="Times New Roman"/>
          <w:sz w:val="14"/>
          <w:szCs w:val="14"/>
        </w:rPr>
      </w:pPr>
    </w:p>
    <w:p w14:paraId="33AF9A5B" w14:textId="017BD60B" w:rsidR="00A91208" w:rsidRPr="00E72418" w:rsidRDefault="00B64B0C"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Assemblée générale des Nations Unies, </w:t>
      </w:r>
      <w:r w:rsidRPr="00E72418">
        <w:rPr>
          <w:rFonts w:ascii="Times New Roman" w:hAnsi="Times New Roman" w:cs="Times New Roman"/>
          <w:i/>
          <w:szCs w:val="24"/>
        </w:rPr>
        <w:t>Effets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l’homme </w:t>
      </w:r>
      <w:r w:rsidRPr="00E72418">
        <w:rPr>
          <w:rFonts w:ascii="Times New Roman" w:hAnsi="Times New Roman" w:cs="Times New Roman"/>
          <w:b/>
          <w:i/>
          <w:szCs w:val="24"/>
        </w:rPr>
        <w:t xml:space="preserve">– </w:t>
      </w:r>
      <w:r w:rsidR="00A91208" w:rsidRPr="00E72418">
        <w:rPr>
          <w:rFonts w:ascii="Times New Roman" w:hAnsi="Times New Roman" w:cs="Times New Roman"/>
          <w:bCs/>
          <w:i/>
          <w:szCs w:val="24"/>
        </w:rPr>
        <w:t>Rapport de l’Expert indépendant sur les effets de la dette extérieure et des obligations financières internationales connexes des États sur le plein exercice de tous les droits de l’homme, en particulier des droits économiques, sociaux et culturels</w:t>
      </w:r>
      <w:r w:rsidR="00A91208" w:rsidRPr="00E72418">
        <w:rPr>
          <w:rFonts w:ascii="Times New Roman" w:hAnsi="Times New Roman" w:cs="Times New Roman"/>
          <w:szCs w:val="24"/>
        </w:rPr>
        <w:t>, 5 août 2016, A/71/305</w:t>
      </w:r>
    </w:p>
    <w:p w14:paraId="72C17736" w14:textId="77777777" w:rsidR="00A91208" w:rsidRPr="00E72418" w:rsidRDefault="00A91208" w:rsidP="00A91208">
      <w:pPr>
        <w:pStyle w:val="Paragraphedeliste"/>
        <w:rPr>
          <w:rFonts w:ascii="Times New Roman" w:hAnsi="Times New Roman" w:cs="Times New Roman"/>
          <w:sz w:val="14"/>
          <w:szCs w:val="14"/>
        </w:rPr>
      </w:pPr>
    </w:p>
    <w:p w14:paraId="030750E0" w14:textId="7662E087" w:rsidR="00A91208" w:rsidRPr="00E72418" w:rsidRDefault="008F6B29"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Assemblée générale des Nations Unies</w:t>
      </w:r>
      <w:r w:rsidRPr="00E72418">
        <w:rPr>
          <w:rFonts w:ascii="Times New Roman" w:hAnsi="Times New Roman" w:cs="Times New Roman"/>
          <w:i/>
          <w:szCs w:val="24"/>
        </w:rPr>
        <w:t xml:space="preserve">, </w:t>
      </w:r>
      <w:r w:rsidR="00A91208" w:rsidRPr="00E72418">
        <w:rPr>
          <w:rFonts w:ascii="Times New Roman" w:hAnsi="Times New Roman" w:cs="Times New Roman"/>
          <w:i/>
          <w:szCs w:val="24"/>
        </w:rPr>
        <w:t>Effets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i/>
          <w:szCs w:val="24"/>
        </w:rPr>
        <w:t xml:space="preserve"> </w:t>
      </w:r>
      <w:r w:rsidRPr="00E72418">
        <w:rPr>
          <w:rFonts w:ascii="Times New Roman" w:hAnsi="Times New Roman" w:cs="Times New Roman"/>
          <w:b/>
          <w:i/>
          <w:szCs w:val="24"/>
        </w:rPr>
        <w:t xml:space="preserve">– </w:t>
      </w:r>
      <w:r w:rsidRPr="00E72418">
        <w:rPr>
          <w:rFonts w:ascii="Times New Roman" w:hAnsi="Times New Roman" w:cs="Times New Roman"/>
          <w:bCs/>
          <w:i/>
          <w:szCs w:val="24"/>
        </w:rPr>
        <w:t>Rapport de l’Expert indépendant sur les effets de la dette extérieure et des obligations financières internationales connexes des États sur le plein exercice de tous les droits de l’homme, en particulier des droits économiques, sociaux et culturels</w:t>
      </w:r>
      <w:r w:rsidR="00A91208" w:rsidRPr="00E72418">
        <w:rPr>
          <w:rFonts w:ascii="Times New Roman" w:hAnsi="Times New Roman" w:cs="Times New Roman"/>
          <w:szCs w:val="24"/>
        </w:rPr>
        <w:t>, 4 août 2015, A/70/275</w:t>
      </w:r>
    </w:p>
    <w:p w14:paraId="3A417777" w14:textId="77777777" w:rsidR="008F6B29" w:rsidRPr="00E72418" w:rsidRDefault="008F6B29" w:rsidP="008F6B29">
      <w:pPr>
        <w:pStyle w:val="Paragraphedeliste"/>
        <w:rPr>
          <w:rFonts w:ascii="Times New Roman" w:hAnsi="Times New Roman" w:cs="Times New Roman"/>
          <w:sz w:val="14"/>
          <w:szCs w:val="14"/>
        </w:rPr>
      </w:pPr>
    </w:p>
    <w:p w14:paraId="22FA95DB" w14:textId="16C80C37" w:rsidR="007D0FD0" w:rsidRPr="00E72418" w:rsidRDefault="008F6B29"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Assemblée générale des Nations Unies, </w:t>
      </w:r>
      <w:r w:rsidRPr="00E72418">
        <w:rPr>
          <w:rFonts w:ascii="Times New Roman" w:hAnsi="Times New Roman" w:cs="Times New Roman"/>
          <w:i/>
          <w:szCs w:val="24"/>
        </w:rPr>
        <w:t>Rapport de la Commission du droit international sur les travaux de sa quarante-troisième session</w:t>
      </w:r>
      <w:r w:rsidRPr="00E72418">
        <w:rPr>
          <w:rFonts w:ascii="Times New Roman" w:hAnsi="Times New Roman" w:cs="Times New Roman"/>
          <w:szCs w:val="24"/>
        </w:rPr>
        <w:t>,</w:t>
      </w:r>
      <w:r w:rsidR="00FE6CE6" w:rsidRPr="00E72418">
        <w:rPr>
          <w:rFonts w:ascii="Times New Roman" w:hAnsi="Times New Roman" w:cs="Times New Roman"/>
          <w:szCs w:val="24"/>
        </w:rPr>
        <w:t xml:space="preserve"> 1991, </w:t>
      </w:r>
      <w:r w:rsidRPr="00E72418">
        <w:rPr>
          <w:rFonts w:ascii="Times New Roman" w:hAnsi="Times New Roman" w:cs="Times New Roman"/>
          <w:szCs w:val="24"/>
        </w:rPr>
        <w:t>A/46/10</w:t>
      </w:r>
    </w:p>
    <w:p w14:paraId="5115A103" w14:textId="3CFFA7E8" w:rsidR="00ED764F" w:rsidRPr="00E72418" w:rsidRDefault="00ED764F" w:rsidP="00ED764F">
      <w:pPr>
        <w:pStyle w:val="Paragraphedeliste"/>
        <w:rPr>
          <w:rFonts w:ascii="Times New Roman" w:hAnsi="Times New Roman" w:cs="Times New Roman"/>
          <w:sz w:val="14"/>
          <w:szCs w:val="14"/>
        </w:rPr>
      </w:pPr>
    </w:p>
    <w:p w14:paraId="36D93D35" w14:textId="77777777" w:rsidR="008C5B03" w:rsidRPr="00E72418" w:rsidRDefault="008C5B03" w:rsidP="00ED764F">
      <w:pPr>
        <w:pStyle w:val="Paragraphedeliste"/>
        <w:rPr>
          <w:rFonts w:ascii="Times New Roman" w:hAnsi="Times New Roman" w:cs="Times New Roman"/>
          <w:sz w:val="14"/>
          <w:szCs w:val="14"/>
        </w:rPr>
      </w:pPr>
    </w:p>
    <w:p w14:paraId="13896822" w14:textId="654E7FD0" w:rsidR="00ED764F" w:rsidRPr="00E72418" w:rsidRDefault="00ED764F" w:rsidP="00ED764F">
      <w:pPr>
        <w:pStyle w:val="Paragraphedeliste"/>
        <w:numPr>
          <w:ilvl w:val="0"/>
          <w:numId w:val="19"/>
        </w:numPr>
        <w:spacing w:after="0"/>
        <w:rPr>
          <w:rFonts w:ascii="Times New Roman" w:hAnsi="Times New Roman" w:cs="Times New Roman"/>
          <w:szCs w:val="24"/>
        </w:rPr>
      </w:pPr>
      <w:bookmarkStart w:id="535" w:name="_Toc84541030"/>
      <w:r w:rsidRPr="00E72418">
        <w:rPr>
          <w:rStyle w:val="Titre5Car"/>
          <w:rFonts w:ascii="Times New Roman" w:hAnsi="Times New Roman" w:cs="Times New Roman"/>
          <w:color w:val="auto"/>
          <w:szCs w:val="24"/>
          <w:lang w:val="en-US"/>
        </w:rPr>
        <w:t xml:space="preserve">Comité sur le développement du Parlement européen, </w:t>
      </w:r>
      <w:r w:rsidRPr="00E72418">
        <w:rPr>
          <w:rStyle w:val="Titre5Car"/>
          <w:rFonts w:ascii="Times New Roman" w:hAnsi="Times New Roman" w:cs="Times New Roman"/>
          <w:i/>
          <w:color w:val="auto"/>
          <w:szCs w:val="24"/>
          <w:lang w:val="en-US"/>
        </w:rPr>
        <w:t>Report on enhancing developing countries’ debt sustainability (</w:t>
      </w:r>
      <w:bookmarkEnd w:id="535"/>
      <w:r w:rsidRPr="00E72418">
        <w:rPr>
          <w:rFonts w:ascii="Times New Roman" w:hAnsi="Times New Roman" w:cs="Times New Roman"/>
          <w:i/>
          <w:szCs w:val="24"/>
          <w:lang w:val="en-US"/>
        </w:rPr>
        <w:t>2016/2241(INI))</w:t>
      </w:r>
      <w:r w:rsidRPr="00E72418">
        <w:rPr>
          <w:rFonts w:ascii="Times New Roman" w:hAnsi="Times New Roman" w:cs="Times New Roman"/>
          <w:szCs w:val="24"/>
          <w:lang w:val="en-US"/>
        </w:rPr>
        <w:t>, 28 mars 2018, A8-0129/2018</w:t>
      </w:r>
    </w:p>
    <w:p w14:paraId="65BC28FA" w14:textId="77777777" w:rsidR="00FE6CE6" w:rsidRPr="00E72418" w:rsidRDefault="00FE6CE6" w:rsidP="00FE6CE6">
      <w:pPr>
        <w:pStyle w:val="Paragraphedeliste"/>
        <w:spacing w:after="0"/>
        <w:rPr>
          <w:rFonts w:ascii="Times New Roman" w:hAnsi="Times New Roman" w:cs="Times New Roman"/>
          <w:sz w:val="14"/>
          <w:szCs w:val="14"/>
        </w:rPr>
      </w:pPr>
    </w:p>
    <w:p w14:paraId="5AA0982D" w14:textId="37AC3D65"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Commission du droit international, </w:t>
      </w:r>
      <w:r w:rsidRPr="00E72418">
        <w:rPr>
          <w:rFonts w:ascii="Times New Roman" w:hAnsi="Times New Roman" w:cs="Times New Roman"/>
          <w:i/>
          <w:szCs w:val="24"/>
        </w:rPr>
        <w:t>Projet d’articles sur les immunités juridictionnelles des États et de leurs biens</w:t>
      </w:r>
      <w:r w:rsidRPr="00E72418">
        <w:rPr>
          <w:rFonts w:ascii="Times New Roman" w:hAnsi="Times New Roman" w:cs="Times New Roman"/>
          <w:szCs w:val="24"/>
        </w:rPr>
        <w:t>, 1991</w:t>
      </w:r>
    </w:p>
    <w:p w14:paraId="65ABD93D" w14:textId="5B322169" w:rsidR="008F6B29" w:rsidRPr="00E72418" w:rsidRDefault="008F6B29" w:rsidP="007D0FD0">
      <w:pPr>
        <w:pStyle w:val="Paragraphedeliste"/>
        <w:spacing w:after="0"/>
        <w:rPr>
          <w:rFonts w:ascii="Times New Roman" w:hAnsi="Times New Roman" w:cs="Times New Roman"/>
          <w:sz w:val="14"/>
          <w:szCs w:val="14"/>
        </w:rPr>
      </w:pPr>
    </w:p>
    <w:p w14:paraId="4B147636" w14:textId="4CFC9D53"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Conférence des Nations Unies sur le commerce et le développement, </w:t>
      </w:r>
      <w:r w:rsidRPr="00E72418">
        <w:rPr>
          <w:rFonts w:ascii="Times New Roman" w:hAnsi="Times New Roman" w:cs="Times New Roman"/>
          <w:i/>
          <w:szCs w:val="24"/>
        </w:rPr>
        <w:t>Rapport sur le commerce et le développement, 2015 : Mettre l’architecture financière internationale au service du développement</w:t>
      </w:r>
      <w:r w:rsidRPr="00E72418">
        <w:rPr>
          <w:rFonts w:ascii="Times New Roman" w:hAnsi="Times New Roman" w:cs="Times New Roman"/>
          <w:szCs w:val="24"/>
        </w:rPr>
        <w:t>, 2015</w:t>
      </w:r>
    </w:p>
    <w:p w14:paraId="4CA1B984" w14:textId="18DDA835" w:rsidR="008F6B29" w:rsidRPr="00E72418" w:rsidRDefault="008F6B29" w:rsidP="007D0FD0">
      <w:pPr>
        <w:pStyle w:val="Paragraphedeliste"/>
        <w:spacing w:after="0"/>
        <w:rPr>
          <w:rFonts w:ascii="Times New Roman" w:hAnsi="Times New Roman" w:cs="Times New Roman"/>
          <w:sz w:val="14"/>
          <w:szCs w:val="14"/>
        </w:rPr>
      </w:pPr>
    </w:p>
    <w:p w14:paraId="0A8AAE02" w14:textId="77777777" w:rsidR="007D0FD0" w:rsidRPr="00E72418" w:rsidRDefault="007D0FD0" w:rsidP="007D0FD0">
      <w:pPr>
        <w:pStyle w:val="Paragraphedeliste"/>
        <w:spacing w:after="0"/>
        <w:rPr>
          <w:rFonts w:ascii="Times New Roman" w:hAnsi="Times New Roman" w:cs="Times New Roman"/>
          <w:sz w:val="14"/>
          <w:szCs w:val="14"/>
        </w:rPr>
      </w:pPr>
    </w:p>
    <w:p w14:paraId="63133339" w14:textId="172E8F94" w:rsidR="008C5B03" w:rsidRPr="00E72418" w:rsidRDefault="008C5B03" w:rsidP="008C5B03">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p>
    <w:p w14:paraId="7046DA02" w14:textId="77777777" w:rsidR="008C5B03" w:rsidRPr="00E72418" w:rsidRDefault="008C5B03" w:rsidP="008C5B03">
      <w:pPr>
        <w:pStyle w:val="Paragraphedeliste"/>
        <w:spacing w:after="0"/>
        <w:rPr>
          <w:rFonts w:ascii="Times New Roman" w:hAnsi="Times New Roman" w:cs="Times New Roman"/>
          <w:sz w:val="14"/>
          <w:szCs w:val="14"/>
        </w:rPr>
      </w:pPr>
    </w:p>
    <w:p w14:paraId="42FAAE4B" w14:textId="726AB98A" w:rsidR="008F6B29" w:rsidRPr="00E72418" w:rsidRDefault="008F6B29" w:rsidP="008F6B29">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lastRenderedPageBreak/>
        <w:t xml:space="preserve">Conseil des droits de l’homme des Nations Unies, </w:t>
      </w:r>
      <w:r w:rsidRPr="00E72418">
        <w:rPr>
          <w:rFonts w:ascii="Times New Roman" w:hAnsi="Times New Roman" w:cs="Times New Roman"/>
          <w:i/>
          <w:szCs w:val="24"/>
        </w:rPr>
        <w:t xml:space="preserve">Principes directeurs applicables aux études de l’impact des réformes économiques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de l’Expert indépendant chargé d’examiner les effets de la dette extérieure et des obligations financières internationales connexes des États sur le plein exercice de tous les droits de l’homme, en particulier les droits économiques, sociaux et culturels</w:t>
      </w:r>
      <w:r w:rsidRPr="00E72418">
        <w:rPr>
          <w:rFonts w:ascii="Times New Roman" w:hAnsi="Times New Roman" w:cs="Times New Roman"/>
          <w:szCs w:val="24"/>
        </w:rPr>
        <w:t>, 19 décembre 2018, A/HRC/40/57</w:t>
      </w:r>
    </w:p>
    <w:p w14:paraId="01D3ED00" w14:textId="77777777" w:rsidR="008F6B29" w:rsidRPr="00E72418" w:rsidRDefault="008F6B29" w:rsidP="008F6B29">
      <w:pPr>
        <w:pStyle w:val="Paragraphedeliste"/>
        <w:spacing w:after="0"/>
        <w:rPr>
          <w:rFonts w:ascii="Times New Roman" w:hAnsi="Times New Roman" w:cs="Times New Roman"/>
          <w:sz w:val="14"/>
          <w:szCs w:val="14"/>
        </w:rPr>
      </w:pPr>
    </w:p>
    <w:p w14:paraId="0562BAAF" w14:textId="101883ED"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w:t>
      </w:r>
      <w:r w:rsidR="008F6B29" w:rsidRPr="00E72418">
        <w:rPr>
          <w:rFonts w:ascii="Times New Roman" w:hAnsi="Times New Roman" w:cs="Times New Roman"/>
          <w:i/>
          <w:szCs w:val="24"/>
        </w:rPr>
        <w:t xml:space="preserve">du Comité consultatif du Conseil des droits de l’homme </w:t>
      </w:r>
      <w:r w:rsidRPr="00E72418">
        <w:rPr>
          <w:rFonts w:ascii="Times New Roman" w:hAnsi="Times New Roman" w:cs="Times New Roman"/>
          <w:i/>
          <w:szCs w:val="24"/>
        </w:rPr>
        <w:t>sur les activités des fonds vautours et leurs incidences sur les droits de l’homme</w:t>
      </w:r>
      <w:r w:rsidRPr="00E72418">
        <w:rPr>
          <w:rFonts w:ascii="Times New Roman" w:hAnsi="Times New Roman" w:cs="Times New Roman"/>
          <w:szCs w:val="24"/>
        </w:rPr>
        <w:t>, 20 juillet 2016, A/HRC/33/54</w:t>
      </w:r>
    </w:p>
    <w:p w14:paraId="37A06C78" w14:textId="77777777" w:rsidR="00A91208" w:rsidRPr="00E72418" w:rsidRDefault="00A91208" w:rsidP="00A91208">
      <w:pPr>
        <w:pStyle w:val="Paragraphedeliste"/>
        <w:rPr>
          <w:rFonts w:ascii="Times New Roman" w:hAnsi="Times New Roman" w:cs="Times New Roman"/>
          <w:sz w:val="14"/>
          <w:szCs w:val="14"/>
        </w:rPr>
      </w:pPr>
    </w:p>
    <w:p w14:paraId="206E0778" w14:textId="0D3CEF09"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w:t>
      </w:r>
      <w:r w:rsidR="00F206BE" w:rsidRPr="00E72418">
        <w:rPr>
          <w:rFonts w:ascii="Times New Roman" w:hAnsi="Times New Roman" w:cs="Times New Roman"/>
          <w:i/>
          <w:szCs w:val="24"/>
        </w:rPr>
        <w:t>du Comité consultatif sur</w:t>
      </w:r>
      <w:r w:rsidRPr="00E72418">
        <w:rPr>
          <w:rFonts w:ascii="Times New Roman" w:hAnsi="Times New Roman" w:cs="Times New Roman"/>
          <w:i/>
          <w:szCs w:val="24"/>
        </w:rPr>
        <w:t xml:space="preserve"> sa treizième session</w:t>
      </w:r>
      <w:r w:rsidRPr="00E72418">
        <w:rPr>
          <w:rFonts w:ascii="Times New Roman" w:hAnsi="Times New Roman" w:cs="Times New Roman"/>
          <w:szCs w:val="24"/>
        </w:rPr>
        <w:t xml:space="preserve">, </w:t>
      </w:r>
      <w:r w:rsidR="00F206BE" w:rsidRPr="00E72418">
        <w:rPr>
          <w:rFonts w:ascii="Times New Roman" w:hAnsi="Times New Roman" w:cs="Times New Roman"/>
          <w:szCs w:val="24"/>
        </w:rPr>
        <w:t>12 septembre</w:t>
      </w:r>
      <w:r w:rsidRPr="00E72418">
        <w:rPr>
          <w:rFonts w:ascii="Times New Roman" w:hAnsi="Times New Roman" w:cs="Times New Roman"/>
          <w:szCs w:val="24"/>
        </w:rPr>
        <w:t xml:space="preserve"> 2014, A/HRC/AC/13/2</w:t>
      </w:r>
    </w:p>
    <w:p w14:paraId="35CE7021" w14:textId="77777777" w:rsidR="00F206BE" w:rsidRPr="00E72418" w:rsidRDefault="00F206BE" w:rsidP="00F206BE">
      <w:pPr>
        <w:pStyle w:val="Paragraphedeliste"/>
        <w:rPr>
          <w:rFonts w:ascii="Times New Roman" w:hAnsi="Times New Roman" w:cs="Times New Roman"/>
          <w:sz w:val="14"/>
          <w:szCs w:val="14"/>
        </w:rPr>
      </w:pPr>
    </w:p>
    <w:p w14:paraId="055CB532" w14:textId="77777777"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Étude de l’impact des initiatives internationales d’allègement de la dette sur les droits de l’homme</w:t>
      </w:r>
      <w:r w:rsidRPr="00E72418">
        <w:rPr>
          <w:rFonts w:ascii="Times New Roman" w:hAnsi="Times New Roman" w:cs="Times New Roman"/>
          <w:szCs w:val="24"/>
        </w:rPr>
        <w:t>, 11 juin 2013, A/HRC/23/37</w:t>
      </w:r>
    </w:p>
    <w:p w14:paraId="509FE680" w14:textId="77777777" w:rsidR="00F206BE" w:rsidRPr="00E72418" w:rsidRDefault="00F206BE" w:rsidP="00F206BE">
      <w:pPr>
        <w:pStyle w:val="Paragraphedeliste"/>
        <w:rPr>
          <w:rFonts w:ascii="Times New Roman" w:hAnsi="Times New Roman" w:cs="Times New Roman"/>
          <w:sz w:val="14"/>
          <w:szCs w:val="14"/>
        </w:rPr>
      </w:pPr>
    </w:p>
    <w:p w14:paraId="215AA434" w14:textId="7BCC6DCE"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p>
    <w:p w14:paraId="36B77FD8" w14:textId="77777777" w:rsidR="00F206BE" w:rsidRPr="00E72418" w:rsidRDefault="00F206BE" w:rsidP="00F206BE">
      <w:pPr>
        <w:pStyle w:val="Paragraphedeliste"/>
        <w:rPr>
          <w:rFonts w:ascii="Times New Roman" w:hAnsi="Times New Roman" w:cs="Times New Roman"/>
          <w:sz w:val="14"/>
          <w:szCs w:val="14"/>
        </w:rPr>
      </w:pPr>
    </w:p>
    <w:p w14:paraId="4160FEFA" w14:textId="672EED47"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du Représentant spécial du Secrétaire général chargé de la question des droits de l’homme et des sociétés transnationales et autres entreprises </w:t>
      </w:r>
      <w:r w:rsidRPr="00E72418">
        <w:rPr>
          <w:rFonts w:ascii="Times New Roman" w:hAnsi="Times New Roman" w:cs="Times New Roman"/>
          <w:b/>
          <w:i/>
          <w:szCs w:val="24"/>
        </w:rPr>
        <w:t>–</w:t>
      </w:r>
      <w:r w:rsidRPr="00E72418">
        <w:rPr>
          <w:rFonts w:ascii="Times New Roman" w:hAnsi="Times New Roman" w:cs="Times New Roman"/>
          <w:i/>
          <w:szCs w:val="24"/>
        </w:rPr>
        <w:t xml:space="preserve"> Principes directeurs relatifs aux entreprises et aux droits de l’homme: mise en </w:t>
      </w:r>
      <w:r w:rsidRPr="00E72418">
        <w:rPr>
          <w:i/>
          <w:szCs w:val="20"/>
        </w:rPr>
        <w:t>œuvre</w:t>
      </w:r>
      <w:r w:rsidRPr="00E72418">
        <w:rPr>
          <w:rFonts w:ascii="Times New Roman" w:hAnsi="Times New Roman" w:cs="Times New Roman"/>
          <w:i/>
          <w:szCs w:val="24"/>
        </w:rPr>
        <w:t xml:space="preserve"> </w:t>
      </w:r>
      <w:r w:rsidR="008C5B03" w:rsidRPr="00E72418">
        <w:rPr>
          <w:rFonts w:ascii="Times New Roman" w:hAnsi="Times New Roman" w:cs="Times New Roman"/>
          <w:i/>
          <w:szCs w:val="24"/>
        </w:rPr>
        <w:t>du cadre de référence « protéger, respecter et réparer »</w:t>
      </w:r>
      <w:r w:rsidRPr="00E72418">
        <w:rPr>
          <w:rFonts w:ascii="Times New Roman" w:hAnsi="Times New Roman" w:cs="Times New Roman"/>
          <w:i/>
          <w:szCs w:val="24"/>
        </w:rPr>
        <w:t xml:space="preserve"> des Nations Unies</w:t>
      </w:r>
      <w:r w:rsidRPr="00E72418">
        <w:rPr>
          <w:rFonts w:ascii="Times New Roman" w:hAnsi="Times New Roman" w:cs="Times New Roman"/>
          <w:szCs w:val="24"/>
        </w:rPr>
        <w:t>, 21 mars 2011, A/HRC/17/31</w:t>
      </w:r>
    </w:p>
    <w:p w14:paraId="2D5A215A" w14:textId="77777777" w:rsidR="00F206BE" w:rsidRPr="00E72418" w:rsidRDefault="00F206BE" w:rsidP="00F206BE">
      <w:pPr>
        <w:pStyle w:val="Paragraphedeliste"/>
        <w:rPr>
          <w:rFonts w:ascii="Times New Roman" w:hAnsi="Times New Roman" w:cs="Times New Roman"/>
          <w:sz w:val="14"/>
          <w:szCs w:val="14"/>
        </w:rPr>
      </w:pPr>
    </w:p>
    <w:p w14:paraId="75BE57F4" w14:textId="77777777" w:rsidR="00F206BE" w:rsidRPr="00E72418" w:rsidRDefault="00F206BE" w:rsidP="00F206BE">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p>
    <w:p w14:paraId="75AADC85" w14:textId="5B815B49" w:rsidR="00F206BE" w:rsidRPr="00E72418" w:rsidRDefault="00F206BE" w:rsidP="007D0FD0">
      <w:pPr>
        <w:pStyle w:val="Paragraphedeliste"/>
        <w:spacing w:after="0"/>
        <w:rPr>
          <w:rFonts w:ascii="Times New Roman" w:hAnsi="Times New Roman" w:cs="Times New Roman"/>
          <w:sz w:val="14"/>
          <w:szCs w:val="14"/>
        </w:rPr>
      </w:pPr>
    </w:p>
    <w:p w14:paraId="0C97F888" w14:textId="77777777" w:rsidR="00FE6CE6" w:rsidRPr="00E72418" w:rsidRDefault="00FE6CE6" w:rsidP="007D0FD0">
      <w:pPr>
        <w:pStyle w:val="Paragraphedeliste"/>
        <w:spacing w:after="0"/>
        <w:rPr>
          <w:rFonts w:ascii="Times New Roman" w:hAnsi="Times New Roman" w:cs="Times New Roman"/>
          <w:sz w:val="14"/>
          <w:szCs w:val="14"/>
        </w:rPr>
      </w:pPr>
    </w:p>
    <w:p w14:paraId="3CCA7242" w14:textId="6D461B29" w:rsidR="00D621B4" w:rsidRPr="00E72418" w:rsidRDefault="00D621B4" w:rsidP="00D621B4">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Cour eur. D. H., </w:t>
      </w:r>
      <w:r w:rsidRPr="00E72418">
        <w:rPr>
          <w:rFonts w:ascii="Times New Roman" w:hAnsi="Times New Roman" w:cs="Times New Roman"/>
          <w:i/>
          <w:szCs w:val="24"/>
        </w:rPr>
        <w:t>Guide sur l’article 1 du Protocole n° 1 à la Convention européenne des droits de l’homme – Protection de la propriété</w:t>
      </w:r>
      <w:r w:rsidR="008C5B03" w:rsidRPr="00E72418">
        <w:rPr>
          <w:rFonts w:ascii="Times New Roman" w:hAnsi="Times New Roman" w:cs="Times New Roman"/>
          <w:szCs w:val="24"/>
        </w:rPr>
        <w:t>, 2020</w:t>
      </w:r>
    </w:p>
    <w:p w14:paraId="4903203E" w14:textId="77777777" w:rsidR="007D0FD0" w:rsidRPr="00E72418" w:rsidRDefault="007D0FD0" w:rsidP="007D0FD0">
      <w:pPr>
        <w:pStyle w:val="Paragraphedeliste"/>
        <w:spacing w:after="0"/>
        <w:rPr>
          <w:rFonts w:ascii="Times New Roman" w:hAnsi="Times New Roman" w:cs="Times New Roman"/>
          <w:sz w:val="14"/>
          <w:szCs w:val="14"/>
        </w:rPr>
      </w:pPr>
    </w:p>
    <w:p w14:paraId="53291118" w14:textId="77777777" w:rsidR="007D0FD0" w:rsidRPr="00E72418" w:rsidRDefault="007D0FD0" w:rsidP="00A91208">
      <w:pPr>
        <w:pStyle w:val="Paragraphedeliste"/>
        <w:rPr>
          <w:rFonts w:ascii="Times New Roman" w:hAnsi="Times New Roman" w:cs="Times New Roman"/>
          <w:sz w:val="14"/>
          <w:szCs w:val="14"/>
        </w:rPr>
      </w:pPr>
    </w:p>
    <w:p w14:paraId="208614F5" w14:textId="77777777"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Fonds monétaire international, </w:t>
      </w:r>
      <w:r w:rsidRPr="00E72418">
        <w:rPr>
          <w:rFonts w:ascii="Times New Roman" w:hAnsi="Times New Roman" w:cs="Times New Roman"/>
          <w:i/>
          <w:szCs w:val="24"/>
        </w:rPr>
        <w:t>The international architecture for resolving sovereign debt involving private-sector creditors – Recent developments, challenges, and reform options</w:t>
      </w:r>
      <w:r w:rsidRPr="00E72418">
        <w:rPr>
          <w:rFonts w:ascii="Times New Roman" w:hAnsi="Times New Roman" w:cs="Times New Roman"/>
          <w:szCs w:val="24"/>
        </w:rPr>
        <w:t>, 23 septembre 2020</w:t>
      </w:r>
    </w:p>
    <w:p w14:paraId="52DEBEE3" w14:textId="77777777" w:rsidR="00A91208" w:rsidRPr="00E72418" w:rsidRDefault="00A91208" w:rsidP="00A91208">
      <w:pPr>
        <w:pStyle w:val="Paragraphedeliste"/>
        <w:rPr>
          <w:rFonts w:ascii="Times New Roman" w:hAnsi="Times New Roman" w:cs="Times New Roman"/>
          <w:sz w:val="14"/>
          <w:szCs w:val="14"/>
        </w:rPr>
      </w:pPr>
    </w:p>
    <w:p w14:paraId="464DFA08" w14:textId="77777777"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Fonds monétaire international, </w:t>
      </w:r>
      <w:r w:rsidRPr="00E72418">
        <w:rPr>
          <w:rFonts w:ascii="Times New Roman" w:hAnsi="Times New Roman" w:cs="Times New Roman"/>
          <w:i/>
          <w:szCs w:val="24"/>
        </w:rPr>
        <w:t>Fourth progress report on inclusion of enhanced contractual provisions in international sovereign bond contracts</w:t>
      </w:r>
      <w:r w:rsidRPr="00E72418">
        <w:rPr>
          <w:rFonts w:ascii="Times New Roman" w:hAnsi="Times New Roman" w:cs="Times New Roman"/>
          <w:szCs w:val="24"/>
        </w:rPr>
        <w:t>, 6 mars 2019</w:t>
      </w:r>
    </w:p>
    <w:p w14:paraId="387DF081" w14:textId="77777777" w:rsidR="00A91208" w:rsidRPr="00E72418" w:rsidRDefault="00A91208" w:rsidP="00A91208">
      <w:pPr>
        <w:pStyle w:val="Paragraphedeliste"/>
        <w:rPr>
          <w:rFonts w:ascii="Times New Roman" w:hAnsi="Times New Roman" w:cs="Times New Roman"/>
          <w:sz w:val="14"/>
          <w:szCs w:val="14"/>
        </w:rPr>
      </w:pPr>
    </w:p>
    <w:p w14:paraId="52805868" w14:textId="77777777"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Fonds monétaire international, </w:t>
      </w:r>
      <w:r w:rsidRPr="00E72418">
        <w:rPr>
          <w:rFonts w:ascii="Times New Roman" w:hAnsi="Times New Roman" w:cs="Times New Roman"/>
          <w:i/>
          <w:szCs w:val="24"/>
          <w:lang w:val="en-US"/>
        </w:rPr>
        <w:t>Strengthening the contractual framework to address collective action problems in sovereign debt restructuring</w:t>
      </w:r>
      <w:r w:rsidRPr="00E72418">
        <w:rPr>
          <w:rFonts w:ascii="Times New Roman" w:hAnsi="Times New Roman" w:cs="Times New Roman"/>
          <w:szCs w:val="24"/>
          <w:lang w:val="en-US"/>
        </w:rPr>
        <w:t>, 2 septembre 2014</w:t>
      </w:r>
    </w:p>
    <w:p w14:paraId="20CC7BEE" w14:textId="77777777" w:rsidR="00A91208" w:rsidRPr="00E72418" w:rsidRDefault="00A91208" w:rsidP="00A91208">
      <w:pPr>
        <w:pStyle w:val="Paragraphedeliste"/>
        <w:rPr>
          <w:rFonts w:ascii="Times New Roman" w:hAnsi="Times New Roman" w:cs="Times New Roman"/>
          <w:sz w:val="14"/>
          <w:szCs w:val="14"/>
        </w:rPr>
      </w:pPr>
    </w:p>
    <w:p w14:paraId="5FBB0D62" w14:textId="77777777"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Fonds monétaire international, </w:t>
      </w:r>
      <w:r w:rsidRPr="00E72418">
        <w:rPr>
          <w:rFonts w:ascii="Times New Roman" w:hAnsi="Times New Roman" w:cs="Times New Roman"/>
          <w:i/>
          <w:szCs w:val="24"/>
          <w:lang w:val="en-US"/>
        </w:rPr>
        <w:t>Sovereign debt restructuring – Recent developments and implications for the Fund’s legal and policy framework</w:t>
      </w:r>
      <w:r w:rsidRPr="00E72418">
        <w:rPr>
          <w:rFonts w:ascii="Times New Roman" w:hAnsi="Times New Roman" w:cs="Times New Roman"/>
          <w:szCs w:val="24"/>
          <w:lang w:val="en-US"/>
        </w:rPr>
        <w:t>, 26 avril 2013</w:t>
      </w:r>
    </w:p>
    <w:p w14:paraId="25FD6416" w14:textId="77777777" w:rsidR="00A91208" w:rsidRPr="00E72418" w:rsidRDefault="00A91208" w:rsidP="00A91208">
      <w:pPr>
        <w:pStyle w:val="Paragraphedeliste"/>
        <w:rPr>
          <w:rFonts w:ascii="Times New Roman" w:hAnsi="Times New Roman" w:cs="Times New Roman"/>
          <w:sz w:val="14"/>
          <w:szCs w:val="14"/>
        </w:rPr>
      </w:pPr>
    </w:p>
    <w:p w14:paraId="04F560A9" w14:textId="77777777" w:rsidR="00A91208" w:rsidRPr="00E72418" w:rsidRDefault="00A91208" w:rsidP="008D1D7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lastRenderedPageBreak/>
        <w:t xml:space="preserve">Fonds monétaire international, </w:t>
      </w:r>
      <w:r w:rsidRPr="00E72418">
        <w:rPr>
          <w:rFonts w:ascii="Times New Roman" w:hAnsi="Times New Roman" w:cs="Times New Roman"/>
          <w:i/>
          <w:szCs w:val="24"/>
          <w:lang w:val="en-US"/>
        </w:rPr>
        <w:t>A Survey of Experiences with Emerging Market Sovereign Debt Restructurings</w:t>
      </w:r>
      <w:r w:rsidRPr="00E72418">
        <w:rPr>
          <w:rFonts w:ascii="Times New Roman" w:hAnsi="Times New Roman" w:cs="Times New Roman"/>
          <w:szCs w:val="24"/>
          <w:lang w:val="en-US"/>
        </w:rPr>
        <w:t>, 5 juin 2012</w:t>
      </w:r>
    </w:p>
    <w:p w14:paraId="5489DD81" w14:textId="77777777" w:rsidR="00A91208" w:rsidRPr="00E72418" w:rsidRDefault="00A91208" w:rsidP="00A91208">
      <w:pPr>
        <w:pStyle w:val="Paragraphedeliste"/>
        <w:rPr>
          <w:rFonts w:ascii="Times New Roman" w:hAnsi="Times New Roman" w:cs="Times New Roman"/>
          <w:sz w:val="14"/>
          <w:szCs w:val="14"/>
        </w:rPr>
      </w:pPr>
    </w:p>
    <w:p w14:paraId="07D8C8BB" w14:textId="6C6F1CC9" w:rsidR="007D0FD0" w:rsidRPr="00E72418" w:rsidRDefault="00A91208" w:rsidP="007D0FD0">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Fonds monétaire international, </w:t>
      </w:r>
      <w:r w:rsidRPr="00E72418">
        <w:rPr>
          <w:rFonts w:ascii="Times New Roman" w:hAnsi="Times New Roman" w:cs="Times New Roman"/>
          <w:i/>
          <w:szCs w:val="24"/>
          <w:lang w:val="en-US"/>
        </w:rPr>
        <w:t>Zambia: Enhanced Initiative for Heavily Indebted Poor Countries Completion Point Document</w:t>
      </w:r>
      <w:r w:rsidRPr="00E72418">
        <w:rPr>
          <w:rFonts w:ascii="Times New Roman" w:hAnsi="Times New Roman" w:cs="Times New Roman"/>
          <w:szCs w:val="24"/>
          <w:lang w:val="en-US"/>
        </w:rPr>
        <w:t>, mars 2005</w:t>
      </w:r>
    </w:p>
    <w:p w14:paraId="3098732B" w14:textId="19DD4BE0" w:rsidR="00FE6CE6" w:rsidRPr="00E72418" w:rsidRDefault="00FE6CE6" w:rsidP="00FE6CE6">
      <w:pPr>
        <w:pStyle w:val="Paragraphedeliste"/>
        <w:spacing w:after="0"/>
        <w:rPr>
          <w:rFonts w:ascii="Times New Roman" w:hAnsi="Times New Roman" w:cs="Times New Roman"/>
          <w:sz w:val="14"/>
          <w:szCs w:val="14"/>
        </w:rPr>
      </w:pPr>
    </w:p>
    <w:p w14:paraId="59B4A0C6" w14:textId="77777777" w:rsidR="00FE6CE6" w:rsidRPr="00E72418" w:rsidRDefault="00FE6CE6" w:rsidP="00FE6CE6">
      <w:pPr>
        <w:pStyle w:val="Paragraphedeliste"/>
        <w:spacing w:after="0"/>
        <w:rPr>
          <w:rFonts w:ascii="Times New Roman" w:hAnsi="Times New Roman" w:cs="Times New Roman"/>
          <w:sz w:val="14"/>
          <w:szCs w:val="14"/>
        </w:rPr>
      </w:pPr>
    </w:p>
    <w:p w14:paraId="4861B47C" w14:textId="197C2F42" w:rsidR="00FE6CE6" w:rsidRPr="00E72418" w:rsidRDefault="0024739F" w:rsidP="00FE6CE6">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Groupe du G10, </w:t>
      </w:r>
      <w:r w:rsidRPr="00E72418">
        <w:rPr>
          <w:rFonts w:ascii="Times New Roman" w:hAnsi="Times New Roman" w:cs="Times New Roman"/>
          <w:i/>
          <w:szCs w:val="24"/>
          <w:lang w:val="en-US"/>
        </w:rPr>
        <w:t>Report of the G-10 Working Group on Contractual Clauses</w:t>
      </w:r>
      <w:r w:rsidRPr="00E72418">
        <w:rPr>
          <w:rFonts w:ascii="Times New Roman" w:hAnsi="Times New Roman" w:cs="Times New Roman"/>
          <w:szCs w:val="24"/>
          <w:lang w:val="en-US"/>
        </w:rPr>
        <w:t>, septembre 2002</w:t>
      </w:r>
    </w:p>
    <w:p w14:paraId="4C2DC2BB" w14:textId="74794C1E" w:rsidR="00C058ED" w:rsidRPr="00E72418" w:rsidRDefault="00C058ED" w:rsidP="00C058ED">
      <w:pPr>
        <w:pStyle w:val="Paragraphedeliste"/>
        <w:spacing w:after="0"/>
        <w:rPr>
          <w:rFonts w:ascii="Times New Roman" w:hAnsi="Times New Roman" w:cs="Times New Roman"/>
          <w:sz w:val="14"/>
          <w:szCs w:val="14"/>
        </w:rPr>
      </w:pPr>
    </w:p>
    <w:p w14:paraId="6C6A1E8C" w14:textId="77777777" w:rsidR="00C058ED" w:rsidRPr="00E72418" w:rsidRDefault="00C058ED" w:rsidP="00C058ED">
      <w:pPr>
        <w:pStyle w:val="Paragraphedeliste"/>
        <w:spacing w:after="0"/>
        <w:rPr>
          <w:rFonts w:ascii="Times New Roman" w:hAnsi="Times New Roman" w:cs="Times New Roman"/>
          <w:sz w:val="14"/>
          <w:szCs w:val="14"/>
        </w:rPr>
      </w:pPr>
    </w:p>
    <w:p w14:paraId="196C5EB6" w14:textId="373FC550" w:rsidR="00C058ED" w:rsidRPr="00E72418" w:rsidRDefault="00C058ED" w:rsidP="00C058ED">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International Development Association and International Monetary Fund, </w:t>
      </w:r>
      <w:r w:rsidRPr="00E72418">
        <w:rPr>
          <w:rFonts w:ascii="Times New Roman" w:hAnsi="Times New Roman" w:cs="Times New Roman"/>
          <w:i/>
          <w:szCs w:val="24"/>
        </w:rPr>
        <w:t xml:space="preserve">Debt Reduction Facility </w:t>
      </w:r>
      <w:r w:rsidRPr="00E72418">
        <w:rPr>
          <w:rFonts w:ascii="Times New Roman" w:hAnsi="Times New Roman" w:cs="Times New Roman"/>
          <w:szCs w:val="24"/>
        </w:rPr>
        <w:t>(</w:t>
      </w:r>
      <w:r w:rsidRPr="00E72418">
        <w:rPr>
          <w:rFonts w:ascii="Times New Roman" w:hAnsi="Times New Roman" w:cs="Times New Roman"/>
          <w:i/>
          <w:szCs w:val="24"/>
          <w:lang w:val="en-US"/>
        </w:rPr>
        <w:t xml:space="preserve">Heavily Indebted Poor Countries (HIPC) Initiative and Multilateral Debt Relief Initiative (MDRI) </w:t>
      </w:r>
      <w:r w:rsidRPr="00E72418">
        <w:rPr>
          <w:rFonts w:ascii="Times New Roman" w:hAnsi="Times New Roman" w:cs="Times New Roman"/>
          <w:b/>
          <w:i/>
          <w:szCs w:val="24"/>
        </w:rPr>
        <w:t xml:space="preserve">– </w:t>
      </w:r>
      <w:r w:rsidRPr="00E72418">
        <w:rPr>
          <w:rFonts w:ascii="Times New Roman" w:hAnsi="Times New Roman" w:cs="Times New Roman"/>
          <w:i/>
          <w:szCs w:val="24"/>
          <w:lang w:val="en-US"/>
        </w:rPr>
        <w:t>Status of Implementation and Proposals for the Future of the HIPC Initiative</w:t>
      </w:r>
      <w:r w:rsidRPr="00E72418">
        <w:rPr>
          <w:rFonts w:ascii="Times New Roman" w:hAnsi="Times New Roman" w:cs="Times New Roman"/>
          <w:szCs w:val="24"/>
          <w:lang w:val="en-US"/>
        </w:rPr>
        <w:t>, 8 novembre 2011</w:t>
      </w:r>
    </w:p>
    <w:p w14:paraId="7216177E" w14:textId="77777777" w:rsidR="00C058ED" w:rsidRPr="00E72418" w:rsidRDefault="00C058ED" w:rsidP="00FE6CE6">
      <w:pPr>
        <w:pStyle w:val="Paragraphedeliste"/>
        <w:spacing w:after="0"/>
        <w:rPr>
          <w:rFonts w:ascii="Times New Roman" w:hAnsi="Times New Roman" w:cs="Times New Roman"/>
          <w:sz w:val="14"/>
          <w:szCs w:val="14"/>
        </w:rPr>
      </w:pPr>
    </w:p>
    <w:p w14:paraId="74544C22" w14:textId="36AE341B" w:rsidR="00FE6CE6" w:rsidRPr="00E72418" w:rsidRDefault="00FE6CE6" w:rsidP="00594AC2">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International Development Association and International Monetary Fund, </w:t>
      </w:r>
      <w:r w:rsidRPr="00E72418">
        <w:rPr>
          <w:rFonts w:ascii="Times New Roman" w:hAnsi="Times New Roman" w:cs="Times New Roman"/>
          <w:i/>
          <w:szCs w:val="24"/>
          <w:lang w:val="en-US"/>
        </w:rPr>
        <w:t xml:space="preserve">Enhanced HIPC Initiative </w:t>
      </w:r>
      <w:r w:rsidRPr="00E72418">
        <w:rPr>
          <w:rFonts w:ascii="Times New Roman" w:hAnsi="Times New Roman" w:cs="Times New Roman"/>
          <w:b/>
          <w:i/>
          <w:szCs w:val="24"/>
        </w:rPr>
        <w:t xml:space="preserve">– </w:t>
      </w:r>
      <w:r w:rsidRPr="00E72418">
        <w:rPr>
          <w:rFonts w:ascii="Times New Roman" w:hAnsi="Times New Roman" w:cs="Times New Roman"/>
          <w:i/>
          <w:szCs w:val="24"/>
          <w:lang w:val="en-US"/>
        </w:rPr>
        <w:t>Creditor Participation Issues</w:t>
      </w:r>
      <w:r w:rsidRPr="00E72418">
        <w:rPr>
          <w:rFonts w:ascii="Times New Roman" w:hAnsi="Times New Roman" w:cs="Times New Roman"/>
          <w:szCs w:val="24"/>
          <w:lang w:val="en-US"/>
        </w:rPr>
        <w:t>, 8 avril 2003</w:t>
      </w:r>
    </w:p>
    <w:p w14:paraId="52A6B395" w14:textId="0970B8E1" w:rsidR="00FE6CE6" w:rsidRPr="00E72418" w:rsidRDefault="00FE6CE6" w:rsidP="00FE6CE6">
      <w:pPr>
        <w:pStyle w:val="Paragraphedeliste"/>
        <w:spacing w:after="0"/>
        <w:rPr>
          <w:rFonts w:ascii="Times New Roman" w:hAnsi="Times New Roman" w:cs="Times New Roman"/>
          <w:szCs w:val="24"/>
        </w:rPr>
      </w:pPr>
    </w:p>
    <w:p w14:paraId="44715845" w14:textId="77777777" w:rsidR="00594AC2" w:rsidRPr="00E72418" w:rsidRDefault="00594AC2" w:rsidP="00FE6CE6">
      <w:pPr>
        <w:pStyle w:val="Paragraphedeliste"/>
        <w:spacing w:after="0"/>
        <w:rPr>
          <w:rFonts w:ascii="Times New Roman" w:hAnsi="Times New Roman" w:cs="Times New Roman"/>
          <w:szCs w:val="24"/>
        </w:rPr>
      </w:pPr>
    </w:p>
    <w:p w14:paraId="3378C59D" w14:textId="3274CE94" w:rsidR="0024739F" w:rsidRPr="00E72418" w:rsidRDefault="00815750" w:rsidP="00FE6CE6">
      <w:pPr>
        <w:pStyle w:val="CC"/>
        <w:rPr>
          <w:rStyle w:val="Lienhypertexte"/>
          <w:color w:val="auto"/>
        </w:rPr>
      </w:pPr>
      <w:r w:rsidRPr="00E72418">
        <w:t>Notes et documents de travail</w:t>
      </w:r>
    </w:p>
    <w:p w14:paraId="414DF9D2" w14:textId="77777777" w:rsidR="0024739F" w:rsidRPr="00E72418" w:rsidRDefault="0024739F" w:rsidP="00A91208">
      <w:pPr>
        <w:rPr>
          <w:rFonts w:ascii="Times New Roman" w:hAnsi="Times New Roman" w:cs="Times New Roman"/>
          <w:sz w:val="28"/>
          <w:szCs w:val="28"/>
          <w:lang w:val="en-US"/>
        </w:rPr>
      </w:pPr>
    </w:p>
    <w:p w14:paraId="6B7161BA" w14:textId="3063361E" w:rsidR="0024739F" w:rsidRPr="00E72418" w:rsidRDefault="0024739F" w:rsidP="0024739F">
      <w:pPr>
        <w:pStyle w:val="Paragraphedeliste"/>
        <w:numPr>
          <w:ilvl w:val="0"/>
          <w:numId w:val="19"/>
        </w:numPr>
        <w:spacing w:after="0"/>
        <w:rPr>
          <w:rFonts w:ascii="Times New Roman" w:hAnsi="Times New Roman" w:cs="Times New Roman"/>
          <w:szCs w:val="24"/>
        </w:rPr>
      </w:pPr>
      <w:bookmarkStart w:id="536" w:name="_Toc84541054"/>
      <w:r w:rsidRPr="00E72418">
        <w:rPr>
          <w:rFonts w:ascii="Times New Roman" w:hAnsi="Times New Roman" w:cs="Times New Roman"/>
          <w:smallCaps/>
          <w:szCs w:val="24"/>
        </w:rPr>
        <w:t>Angelet, N.</w:t>
      </w:r>
      <w:r w:rsidRPr="00E72418">
        <w:rPr>
          <w:rFonts w:ascii="Times New Roman" w:hAnsi="Times New Roman" w:cs="Times New Roman"/>
          <w:szCs w:val="24"/>
        </w:rPr>
        <w:t xml:space="preserve"> et </w:t>
      </w:r>
      <w:r w:rsidRPr="00E72418">
        <w:rPr>
          <w:rFonts w:ascii="Times New Roman" w:hAnsi="Times New Roman" w:cs="Times New Roman"/>
          <w:smallCaps/>
          <w:szCs w:val="24"/>
        </w:rPr>
        <w:t>Boularbah</w:t>
      </w:r>
      <w:r w:rsidRPr="00E72418">
        <w:rPr>
          <w:rFonts w:ascii="Times New Roman" w:hAnsi="Times New Roman" w:cs="Times New Roman"/>
          <w:szCs w:val="24"/>
        </w:rPr>
        <w:t>, H., « L’article 1412</w:t>
      </w:r>
      <w:r w:rsidRPr="00E72418">
        <w:rPr>
          <w:rFonts w:ascii="Times New Roman" w:hAnsi="Times New Roman" w:cs="Times New Roman"/>
          <w:i/>
          <w:szCs w:val="24"/>
        </w:rPr>
        <w:t>quinquies</w:t>
      </w:r>
      <w:r w:rsidRPr="00E72418">
        <w:rPr>
          <w:rFonts w:ascii="Times New Roman" w:hAnsi="Times New Roman" w:cs="Times New Roman"/>
          <w:szCs w:val="24"/>
        </w:rPr>
        <w:t xml:space="preserve"> du Code judiciaire: les immunités internationales codifiées ou malmenées par le législateur ? » </w:t>
      </w:r>
      <w:r w:rsidRPr="00E72418">
        <w:rPr>
          <w:szCs w:val="20"/>
        </w:rPr>
        <w:t>(cet article a disparu de l’internet depuis sa consultation, il est toutefois dans nos archives)</w:t>
      </w:r>
    </w:p>
    <w:p w14:paraId="691FF563" w14:textId="77777777" w:rsidR="0024739F" w:rsidRPr="00E72418" w:rsidRDefault="0024739F" w:rsidP="0024739F">
      <w:pPr>
        <w:pStyle w:val="Paragraphedeliste"/>
        <w:spacing w:after="0"/>
        <w:rPr>
          <w:rFonts w:ascii="Times New Roman" w:hAnsi="Times New Roman" w:cs="Times New Roman"/>
          <w:sz w:val="14"/>
          <w:szCs w:val="14"/>
        </w:rPr>
      </w:pPr>
    </w:p>
    <w:p w14:paraId="240CD730"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rPr>
        <w:t xml:space="preserve">Association internationale des marchés de capitaux, </w:t>
      </w:r>
      <w:r w:rsidRPr="00E72418">
        <w:rPr>
          <w:rFonts w:ascii="Times New Roman" w:hAnsi="Times New Roman" w:cs="Times New Roman"/>
          <w:i/>
          <w:szCs w:val="24"/>
        </w:rPr>
        <w:t>Standard collective action and pari passu clauses for the terms and conditions of sovereign notes</w:t>
      </w:r>
      <w:r w:rsidRPr="00E72418">
        <w:rPr>
          <w:rFonts w:ascii="Times New Roman" w:hAnsi="Times New Roman" w:cs="Times New Roman"/>
          <w:szCs w:val="24"/>
        </w:rPr>
        <w:t>, août 2014</w:t>
      </w:r>
    </w:p>
    <w:p w14:paraId="1BA8120C" w14:textId="77777777" w:rsidR="0024739F" w:rsidRPr="00E72418" w:rsidRDefault="0024739F" w:rsidP="0024739F">
      <w:pPr>
        <w:pStyle w:val="Paragraphedeliste"/>
        <w:rPr>
          <w:rFonts w:ascii="Times New Roman" w:hAnsi="Times New Roman" w:cs="Times New Roman"/>
          <w:sz w:val="14"/>
          <w:szCs w:val="14"/>
        </w:rPr>
      </w:pPr>
    </w:p>
    <w:p w14:paraId="19C92663" w14:textId="77777777" w:rsidR="0024739F" w:rsidRPr="00E72418" w:rsidRDefault="0024739F" w:rsidP="0024739F">
      <w:pPr>
        <w:pStyle w:val="Paragraphedeliste"/>
        <w:numPr>
          <w:ilvl w:val="0"/>
          <w:numId w:val="19"/>
        </w:numPr>
        <w:spacing w:after="0"/>
        <w:rPr>
          <w:rFonts w:ascii="Times New Roman" w:eastAsiaTheme="majorEastAsia" w:hAnsi="Times New Roman" w:cs="Times New Roman"/>
          <w:szCs w:val="24"/>
        </w:rPr>
      </w:pPr>
      <w:r w:rsidRPr="00E72418">
        <w:rPr>
          <w:rFonts w:ascii="Times New Roman" w:hAnsi="Times New Roman" w:cs="Times New Roman"/>
          <w:bCs/>
          <w:smallCaps/>
          <w:szCs w:val="24"/>
          <w:lang w:val="en-US"/>
        </w:rPr>
        <w:t>Bi</w:t>
      </w:r>
      <w:r w:rsidRPr="00E72418">
        <w:rPr>
          <w:rFonts w:ascii="Times New Roman" w:hAnsi="Times New Roman" w:cs="Times New Roman"/>
          <w:bCs/>
          <w:szCs w:val="24"/>
          <w:lang w:val="en-US"/>
        </w:rPr>
        <w:t xml:space="preserve">, R., </w:t>
      </w:r>
      <w:r w:rsidRPr="00E72418">
        <w:rPr>
          <w:rFonts w:ascii="Times New Roman" w:hAnsi="Times New Roman" w:cs="Times New Roman"/>
          <w:bCs/>
          <w:smallCaps/>
          <w:szCs w:val="24"/>
          <w:lang w:val="en-US"/>
        </w:rPr>
        <w:t>Chamon</w:t>
      </w:r>
      <w:r w:rsidRPr="00E72418">
        <w:rPr>
          <w:rFonts w:ascii="Times New Roman" w:hAnsi="Times New Roman" w:cs="Times New Roman"/>
          <w:bCs/>
          <w:szCs w:val="24"/>
          <w:lang w:val="en-US"/>
        </w:rPr>
        <w:t xml:space="preserve">, M. et </w:t>
      </w:r>
      <w:r w:rsidRPr="00E72418">
        <w:rPr>
          <w:rFonts w:ascii="Times New Roman" w:hAnsi="Times New Roman" w:cs="Times New Roman"/>
          <w:bCs/>
          <w:smallCaps/>
          <w:szCs w:val="24"/>
          <w:lang w:val="en-US"/>
        </w:rPr>
        <w:t>Zettelmeyer</w:t>
      </w:r>
      <w:r w:rsidRPr="00E72418">
        <w:rPr>
          <w:rFonts w:ascii="Times New Roman" w:hAnsi="Times New Roman" w:cs="Times New Roman"/>
          <w:bCs/>
          <w:szCs w:val="24"/>
          <w:lang w:val="en-US"/>
        </w:rPr>
        <w:t xml:space="preserve">, J., </w:t>
      </w:r>
      <w:r w:rsidRPr="00E72418">
        <w:rPr>
          <w:rFonts w:ascii="Times New Roman" w:hAnsi="Times New Roman" w:cs="Times New Roman"/>
          <w:szCs w:val="24"/>
          <w:lang w:val="en-US"/>
        </w:rPr>
        <w:t xml:space="preserve">« </w:t>
      </w:r>
      <w:r w:rsidRPr="00E72418">
        <w:rPr>
          <w:rFonts w:ascii="Times New Roman" w:hAnsi="Times New Roman" w:cs="Times New Roman"/>
          <w:bCs/>
          <w:szCs w:val="24"/>
          <w:lang w:val="en-US"/>
        </w:rPr>
        <w:t xml:space="preserve">The Problem that Wasn’t: Coordination Failures in Sovereign Debt Restructurings </w:t>
      </w:r>
      <w:r w:rsidRPr="00E72418">
        <w:rPr>
          <w:rFonts w:ascii="Times New Roman" w:hAnsi="Times New Roman" w:cs="Times New Roman"/>
          <w:szCs w:val="24"/>
          <w:lang w:val="en-US"/>
        </w:rPr>
        <w:t>»</w:t>
      </w:r>
      <w:r w:rsidRPr="00E72418">
        <w:rPr>
          <w:rFonts w:ascii="Times New Roman" w:hAnsi="Times New Roman" w:cs="Times New Roman"/>
          <w:bCs/>
          <w:szCs w:val="24"/>
          <w:lang w:val="en-US"/>
        </w:rPr>
        <w:t>, IMF Working Paper WP/11/265, 2011</w:t>
      </w:r>
    </w:p>
    <w:p w14:paraId="54D25724" w14:textId="77777777" w:rsidR="0024739F" w:rsidRPr="00E72418" w:rsidRDefault="0024739F" w:rsidP="0024739F">
      <w:pPr>
        <w:pStyle w:val="Paragraphedeliste"/>
        <w:spacing w:after="0"/>
        <w:rPr>
          <w:rFonts w:ascii="Times New Roman" w:hAnsi="Times New Roman" w:cs="Times New Roman"/>
          <w:sz w:val="14"/>
          <w:szCs w:val="14"/>
          <w:lang w:val="en-US"/>
        </w:rPr>
      </w:pPr>
    </w:p>
    <w:p w14:paraId="2465DC3E" w14:textId="77777777" w:rsidR="0024739F" w:rsidRPr="00E72418" w:rsidRDefault="0024739F" w:rsidP="0024739F">
      <w:pPr>
        <w:pStyle w:val="Paragraphedeliste"/>
        <w:numPr>
          <w:ilvl w:val="0"/>
          <w:numId w:val="19"/>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Borensztein, E. </w:t>
      </w:r>
      <w:r w:rsidRPr="00E72418">
        <w:rPr>
          <w:rFonts w:ascii="Times New Roman" w:hAnsi="Times New Roman" w:cs="Times New Roman"/>
          <w:szCs w:val="24"/>
          <w:lang w:val="en-US"/>
        </w:rPr>
        <w:t>et</w:t>
      </w:r>
      <w:r w:rsidRPr="00E72418">
        <w:rPr>
          <w:rFonts w:ascii="Times New Roman" w:hAnsi="Times New Roman" w:cs="Times New Roman"/>
          <w:smallCaps/>
          <w:szCs w:val="24"/>
          <w:lang w:val="en-US"/>
        </w:rPr>
        <w:t xml:space="preserve"> Panizza, U., </w:t>
      </w:r>
      <w:r w:rsidRPr="00E72418">
        <w:rPr>
          <w:rFonts w:ascii="Times New Roman" w:hAnsi="Times New Roman" w:cs="Times New Roman"/>
          <w:szCs w:val="24"/>
        </w:rPr>
        <w:t xml:space="preserve">« </w:t>
      </w:r>
      <w:r w:rsidRPr="00E72418">
        <w:rPr>
          <w:rFonts w:ascii="Times New Roman" w:hAnsi="Times New Roman" w:cs="Times New Roman"/>
          <w:szCs w:val="24"/>
          <w:lang w:val="en-US"/>
        </w:rPr>
        <w:t>The Costs of Sovereign Default</w:t>
      </w:r>
      <w:r w:rsidRPr="00E72418">
        <w:rPr>
          <w:rFonts w:ascii="Times New Roman" w:hAnsi="Times New Roman" w:cs="Times New Roman"/>
          <w:i/>
          <w:szCs w:val="24"/>
          <w:lang w:val="en-US"/>
        </w:rPr>
        <w:t xml:space="preserve"> </w:t>
      </w:r>
      <w:r w:rsidRPr="00E72418">
        <w:rPr>
          <w:rFonts w:ascii="Times New Roman" w:hAnsi="Times New Roman" w:cs="Times New Roman"/>
          <w:szCs w:val="24"/>
        </w:rPr>
        <w:t>»</w:t>
      </w:r>
      <w:r w:rsidRPr="00E72418">
        <w:rPr>
          <w:rFonts w:ascii="Times New Roman" w:hAnsi="Times New Roman" w:cs="Times New Roman"/>
          <w:smallCaps/>
          <w:szCs w:val="24"/>
          <w:lang w:val="en-US"/>
        </w:rPr>
        <w:t xml:space="preserve">, </w:t>
      </w:r>
      <w:r w:rsidRPr="00E72418">
        <w:rPr>
          <w:rFonts w:ascii="Times New Roman" w:hAnsi="Times New Roman" w:cs="Times New Roman"/>
          <w:szCs w:val="24"/>
          <w:lang w:val="en-US"/>
        </w:rPr>
        <w:t>IMF Working Paper WP/08/238, 2008</w:t>
      </w:r>
    </w:p>
    <w:p w14:paraId="72BEFA08" w14:textId="77777777" w:rsidR="0024739F" w:rsidRPr="00E72418" w:rsidRDefault="0024739F" w:rsidP="0024739F">
      <w:pPr>
        <w:pStyle w:val="Paragraphedeliste"/>
        <w:rPr>
          <w:rFonts w:ascii="Times New Roman" w:hAnsi="Times New Roman" w:cs="Times New Roman"/>
          <w:sz w:val="14"/>
          <w:szCs w:val="14"/>
          <w:lang w:val="en-US"/>
        </w:rPr>
      </w:pPr>
    </w:p>
    <w:p w14:paraId="238AF800" w14:textId="77777777" w:rsidR="0024739F" w:rsidRPr="00E72418" w:rsidRDefault="0024739F" w:rsidP="0024739F">
      <w:pPr>
        <w:pStyle w:val="Paragraphedeliste"/>
        <w:numPr>
          <w:ilvl w:val="0"/>
          <w:numId w:val="19"/>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Borensztein, E.</w:t>
      </w:r>
      <w:r w:rsidRPr="00E72418">
        <w:rPr>
          <w:rFonts w:ascii="Times New Roman" w:hAnsi="Times New Roman" w:cs="Times New Roman"/>
          <w:szCs w:val="24"/>
          <w:lang w:val="en-US"/>
        </w:rPr>
        <w:t xml:space="preserve"> et </w:t>
      </w:r>
      <w:r w:rsidRPr="00E72418">
        <w:rPr>
          <w:rFonts w:ascii="Times New Roman" w:hAnsi="Times New Roman" w:cs="Times New Roman"/>
          <w:smallCaps/>
          <w:szCs w:val="24"/>
          <w:lang w:val="en-US"/>
        </w:rPr>
        <w:t>Panizza</w:t>
      </w:r>
      <w:r w:rsidRPr="00E72418">
        <w:rPr>
          <w:rFonts w:ascii="Times New Roman" w:hAnsi="Times New Roman" w:cs="Times New Roman"/>
          <w:szCs w:val="24"/>
          <w:lang w:val="en-US"/>
        </w:rPr>
        <w:t>, U., « Do Sovereign Defaults Hurt Exporters? », Inter-American Development Bank – Research Department, Working Paper 553, mars 2006</w:t>
      </w:r>
    </w:p>
    <w:p w14:paraId="2558CB7A" w14:textId="77777777" w:rsidR="0024739F" w:rsidRPr="00E72418" w:rsidRDefault="0024739F" w:rsidP="0024739F">
      <w:pPr>
        <w:pStyle w:val="Paragraphedeliste"/>
        <w:spacing w:after="0"/>
        <w:rPr>
          <w:rFonts w:ascii="Times New Roman" w:hAnsi="Times New Roman" w:cs="Times New Roman"/>
          <w:sz w:val="14"/>
          <w:szCs w:val="14"/>
        </w:rPr>
      </w:pPr>
    </w:p>
    <w:p w14:paraId="5A82D8FE"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lang w:val="en-US"/>
        </w:rPr>
        <w:t xml:space="preserve">Brooks, S., Guzman, M., Lombardi, D. </w:t>
      </w:r>
      <w:r w:rsidRPr="00E72418">
        <w:rPr>
          <w:rFonts w:ascii="Times New Roman" w:hAnsi="Times New Roman" w:cs="Times New Roman"/>
          <w:szCs w:val="24"/>
          <w:lang w:val="en-US"/>
        </w:rPr>
        <w:t>et S</w:t>
      </w:r>
      <w:r w:rsidRPr="00E72418">
        <w:rPr>
          <w:rFonts w:ascii="Times New Roman" w:hAnsi="Times New Roman" w:cs="Times New Roman"/>
          <w:smallCaps/>
          <w:szCs w:val="24"/>
          <w:lang w:val="en-US"/>
        </w:rPr>
        <w:t xml:space="preserve">tiglitz, J.,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Identifying and Resolving Inter-Creditor and Debtor-Creditor Equity Issues in Sovereign Debt Restructuring </w:t>
      </w:r>
      <w:r w:rsidRPr="00E72418">
        <w:rPr>
          <w:rFonts w:ascii="Times New Roman" w:hAnsi="Times New Roman" w:cs="Times New Roman"/>
          <w:szCs w:val="24"/>
        </w:rPr>
        <w:t>»</w:t>
      </w:r>
      <w:r w:rsidRPr="00E72418">
        <w:rPr>
          <w:rFonts w:ascii="Times New Roman" w:hAnsi="Times New Roman" w:cs="Times New Roman"/>
          <w:szCs w:val="24"/>
          <w:lang w:val="en-US"/>
        </w:rPr>
        <w:t>, CIGI Policy Brief 53, janvier 2015</w:t>
      </w:r>
    </w:p>
    <w:p w14:paraId="68CB61A9" w14:textId="77777777" w:rsidR="0024739F" w:rsidRPr="00E72418" w:rsidRDefault="0024739F" w:rsidP="0024739F">
      <w:pPr>
        <w:pStyle w:val="Paragraphedeliste"/>
        <w:rPr>
          <w:rFonts w:ascii="Times New Roman" w:hAnsi="Times New Roman" w:cs="Times New Roman"/>
          <w:sz w:val="14"/>
          <w:szCs w:val="14"/>
        </w:rPr>
      </w:pPr>
    </w:p>
    <w:p w14:paraId="6CE9ECF3" w14:textId="0D13C1D1" w:rsidR="0024739F" w:rsidRPr="00E72418" w:rsidRDefault="0024739F" w:rsidP="0024739F">
      <w:pPr>
        <w:pStyle w:val="Paragraphedeliste"/>
        <w:numPr>
          <w:ilvl w:val="0"/>
          <w:numId w:val="19"/>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 xml:space="preserve">Chamon, M., Schumacher, J. </w:t>
      </w:r>
      <w:r w:rsidRPr="00E72418">
        <w:rPr>
          <w:rFonts w:ascii="Times New Roman" w:hAnsi="Times New Roman" w:cs="Times New Roman"/>
          <w:szCs w:val="24"/>
          <w:lang w:val="en-US"/>
        </w:rPr>
        <w:t xml:space="preserve">et </w:t>
      </w:r>
      <w:r w:rsidRPr="00E72418">
        <w:rPr>
          <w:rFonts w:ascii="Times New Roman" w:hAnsi="Times New Roman" w:cs="Times New Roman"/>
          <w:smallCaps/>
          <w:szCs w:val="24"/>
          <w:lang w:val="en-US"/>
        </w:rPr>
        <w:t xml:space="preserve">Trebesch, C., </w:t>
      </w:r>
      <w:r w:rsidRPr="00E72418">
        <w:rPr>
          <w:rFonts w:ascii="Times New Roman" w:hAnsi="Times New Roman" w:cs="Times New Roman"/>
          <w:szCs w:val="24"/>
        </w:rPr>
        <w:t xml:space="preserve">« </w:t>
      </w:r>
      <w:r w:rsidRPr="00E72418">
        <w:rPr>
          <w:rFonts w:ascii="Times New Roman" w:hAnsi="Times New Roman" w:cs="Times New Roman"/>
          <w:szCs w:val="24"/>
          <w:lang w:val="en-US"/>
        </w:rPr>
        <w:t>Foreign-law bonds: can they reduce sovereign borrowing costs?</w:t>
      </w:r>
      <w:r w:rsidRPr="00E72418">
        <w:rPr>
          <w:rFonts w:ascii="Times New Roman" w:hAnsi="Times New Roman" w:cs="Times New Roman"/>
          <w:szCs w:val="24"/>
        </w:rPr>
        <w:t xml:space="preserve"> »</w:t>
      </w:r>
      <w:r w:rsidRPr="00E72418">
        <w:rPr>
          <w:rFonts w:ascii="Times New Roman" w:hAnsi="Times New Roman" w:cs="Times New Roman"/>
          <w:szCs w:val="24"/>
          <w:lang w:val="en-US"/>
        </w:rPr>
        <w:t>, European Central Bank Working Paper Series, n° 2162, 2018</w:t>
      </w:r>
    </w:p>
    <w:p w14:paraId="26574F05" w14:textId="77777777" w:rsidR="0024739F" w:rsidRPr="00E72418" w:rsidRDefault="0024739F" w:rsidP="0024739F">
      <w:pPr>
        <w:pStyle w:val="Paragraphedeliste"/>
        <w:rPr>
          <w:rFonts w:ascii="Times New Roman" w:hAnsi="Times New Roman" w:cs="Times New Roman"/>
          <w:sz w:val="14"/>
          <w:szCs w:val="14"/>
          <w:lang w:val="en-US"/>
        </w:rPr>
      </w:pPr>
    </w:p>
    <w:p w14:paraId="047033D4" w14:textId="5947B314"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Committee on International Economic Policy and Reform, </w:t>
      </w:r>
      <w:r w:rsidR="00C058ED" w:rsidRPr="00E72418">
        <w:rPr>
          <w:rFonts w:ascii="Times New Roman" w:hAnsi="Times New Roman" w:cs="Times New Roman"/>
          <w:szCs w:val="24"/>
        </w:rPr>
        <w:t xml:space="preserve">« </w:t>
      </w:r>
      <w:r w:rsidRPr="00E72418">
        <w:rPr>
          <w:rFonts w:ascii="Times New Roman" w:hAnsi="Times New Roman" w:cs="Times New Roman"/>
          <w:szCs w:val="24"/>
          <w:lang w:val="en-US"/>
        </w:rPr>
        <w:t>Revisiting Sovereign Bankruptcy</w:t>
      </w:r>
      <w:r w:rsidR="00C058ED" w:rsidRPr="00E72418">
        <w:rPr>
          <w:rFonts w:ascii="Times New Roman" w:hAnsi="Times New Roman" w:cs="Times New Roman"/>
          <w:szCs w:val="24"/>
          <w:lang w:val="en-US"/>
        </w:rPr>
        <w:t xml:space="preserve"> </w:t>
      </w:r>
      <w:r w:rsidR="00C058ED" w:rsidRPr="00E72418">
        <w:rPr>
          <w:rFonts w:ascii="Times New Roman" w:hAnsi="Times New Roman" w:cs="Times New Roman"/>
          <w:szCs w:val="24"/>
        </w:rPr>
        <w:t>»</w:t>
      </w:r>
      <w:r w:rsidRPr="00E72418">
        <w:rPr>
          <w:rFonts w:ascii="Times New Roman" w:hAnsi="Times New Roman" w:cs="Times New Roman"/>
          <w:szCs w:val="24"/>
          <w:lang w:val="en-US"/>
        </w:rPr>
        <w:t>, octobre 2013</w:t>
      </w:r>
    </w:p>
    <w:p w14:paraId="5F8102F0" w14:textId="77777777" w:rsidR="0024739F" w:rsidRPr="00E72418" w:rsidRDefault="0024739F" w:rsidP="0024739F">
      <w:pPr>
        <w:pStyle w:val="Paragraphedeliste"/>
        <w:rPr>
          <w:rFonts w:ascii="Times New Roman" w:hAnsi="Times New Roman" w:cs="Times New Roman"/>
          <w:sz w:val="14"/>
          <w:szCs w:val="14"/>
        </w:rPr>
      </w:pPr>
    </w:p>
    <w:p w14:paraId="746633C5" w14:textId="189656B5"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zCs w:val="24"/>
          <w:lang w:val="en-US"/>
        </w:rPr>
        <w:t xml:space="preserve">Committee on Foreign &amp; Comparative Law, New York City Bar, </w:t>
      </w:r>
      <w:r w:rsidR="00C058ED"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Governing Law in Sovereign Debt </w:t>
      </w:r>
      <w:r w:rsidRPr="00E72418">
        <w:rPr>
          <w:rFonts w:ascii="Times New Roman" w:hAnsi="Times New Roman" w:cs="Times New Roman"/>
          <w:b/>
          <w:szCs w:val="24"/>
        </w:rPr>
        <w:t>–</w:t>
      </w:r>
      <w:r w:rsidRPr="00E72418">
        <w:rPr>
          <w:rFonts w:ascii="Times New Roman" w:hAnsi="Times New Roman" w:cs="Times New Roman"/>
          <w:szCs w:val="24"/>
          <w:lang w:val="en-US"/>
        </w:rPr>
        <w:t xml:space="preserve"> Lessons from the Greek Crisis and Argentina Dispute of 2012</w:t>
      </w:r>
      <w:r w:rsidR="00C058ED" w:rsidRPr="00E72418">
        <w:rPr>
          <w:rFonts w:ascii="Times New Roman" w:hAnsi="Times New Roman" w:cs="Times New Roman"/>
          <w:szCs w:val="24"/>
          <w:lang w:val="en-US"/>
        </w:rPr>
        <w:t xml:space="preserve"> </w:t>
      </w:r>
      <w:r w:rsidR="00C058ED" w:rsidRPr="00E72418">
        <w:rPr>
          <w:rFonts w:ascii="Times New Roman" w:hAnsi="Times New Roman" w:cs="Times New Roman"/>
          <w:szCs w:val="24"/>
        </w:rPr>
        <w:t>»</w:t>
      </w:r>
      <w:r w:rsidRPr="00E72418">
        <w:rPr>
          <w:rFonts w:ascii="Times New Roman" w:hAnsi="Times New Roman" w:cs="Times New Roman"/>
          <w:szCs w:val="24"/>
          <w:lang w:val="en-US"/>
        </w:rPr>
        <w:t>, février 2013</w:t>
      </w:r>
    </w:p>
    <w:p w14:paraId="0FDD1277" w14:textId="77777777" w:rsidR="0024739F" w:rsidRPr="00E72418" w:rsidRDefault="0024739F" w:rsidP="0024739F">
      <w:pPr>
        <w:pStyle w:val="Paragraphedeliste"/>
        <w:rPr>
          <w:rFonts w:ascii="Times New Roman" w:hAnsi="Times New Roman" w:cs="Times New Roman"/>
          <w:sz w:val="14"/>
          <w:szCs w:val="14"/>
        </w:rPr>
      </w:pPr>
    </w:p>
    <w:p w14:paraId="2F1A297C" w14:textId="77777777" w:rsidR="0024739F" w:rsidRPr="00E72418" w:rsidRDefault="0024739F" w:rsidP="0024739F">
      <w:pPr>
        <w:pStyle w:val="Paragraphedeliste"/>
        <w:numPr>
          <w:ilvl w:val="0"/>
          <w:numId w:val="20"/>
        </w:numPr>
        <w:spacing w:after="0"/>
        <w:rPr>
          <w:rFonts w:ascii="Times New Roman" w:hAnsi="Times New Roman" w:cs="Times New Roman"/>
          <w:szCs w:val="24"/>
          <w:lang w:val="nl-NL"/>
        </w:rPr>
      </w:pPr>
      <w:r w:rsidRPr="00E72418">
        <w:rPr>
          <w:rFonts w:ascii="Times New Roman" w:hAnsi="Times New Roman" w:cs="Times New Roman"/>
          <w:szCs w:val="24"/>
          <w:lang w:val="en-US"/>
        </w:rPr>
        <w:t>Conférence des Nations Unies sur le commerce et le développement</w:t>
      </w:r>
      <w:r w:rsidRPr="00E72418">
        <w:rPr>
          <w:rFonts w:ascii="Times New Roman" w:hAnsi="Times New Roman" w:cs="Times New Roman"/>
          <w:szCs w:val="24"/>
        </w:rPr>
        <w:t xml:space="preserve">, « Sovereign Debt Restructurings: Lessons learned from legislative steps taken by certain countries and </w:t>
      </w:r>
      <w:r w:rsidRPr="00E72418">
        <w:rPr>
          <w:rFonts w:ascii="Times New Roman" w:hAnsi="Times New Roman" w:cs="Times New Roman"/>
          <w:szCs w:val="24"/>
        </w:rPr>
        <w:lastRenderedPageBreak/>
        <w:t>other appropriate action to reduce the vulnerability of sovereigns to holdout creditors », background note, 26 octobre 2016</w:t>
      </w:r>
    </w:p>
    <w:p w14:paraId="6534074F" w14:textId="77777777" w:rsidR="0024739F" w:rsidRPr="00E72418" w:rsidRDefault="0024739F" w:rsidP="0024739F">
      <w:pPr>
        <w:pStyle w:val="Paragraphedeliste"/>
        <w:rPr>
          <w:rFonts w:ascii="Times New Roman" w:hAnsi="Times New Roman" w:cs="Times New Roman"/>
          <w:sz w:val="14"/>
          <w:szCs w:val="14"/>
          <w:lang w:val="en-US"/>
        </w:rPr>
      </w:pPr>
    </w:p>
    <w:p w14:paraId="1C46B2AF" w14:textId="1809443C"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lang w:val="en-US"/>
        </w:rPr>
        <w:t>Chukwu</w:t>
      </w:r>
      <w:r w:rsidRPr="00E72418">
        <w:rPr>
          <w:rFonts w:ascii="Times New Roman" w:hAnsi="Times New Roman" w:cs="Times New Roman"/>
          <w:szCs w:val="24"/>
          <w:lang w:val="en-US"/>
        </w:rPr>
        <w:t xml:space="preserve">, F., « Refocusing on the Objectives: A Critique of the U.K.’s Debt Relief (Developing Countries) Act, 2010 », disponible à l’adresse </w:t>
      </w:r>
      <w:hyperlink r:id="rId58" w:history="1">
        <w:r w:rsidRPr="00E72418">
          <w:rPr>
            <w:rStyle w:val="Lienhypertexte"/>
            <w:rFonts w:ascii="Times New Roman" w:hAnsi="Times New Roman" w:cs="Times New Roman"/>
            <w:color w:val="auto"/>
            <w:szCs w:val="24"/>
            <w:u w:val="none"/>
            <w:lang w:val="en-US"/>
          </w:rPr>
          <w:t>https://papers.ssrn.com/sol3/papers.cfm?abstract_id=3202517</w:t>
        </w:r>
      </w:hyperlink>
    </w:p>
    <w:p w14:paraId="2CA4AE4D" w14:textId="77777777" w:rsidR="0024739F" w:rsidRPr="00E72418" w:rsidRDefault="0024739F" w:rsidP="0024739F">
      <w:pPr>
        <w:pStyle w:val="Paragraphedeliste"/>
        <w:spacing w:after="0"/>
        <w:rPr>
          <w:rStyle w:val="Lienhypertexte"/>
          <w:rFonts w:ascii="Times New Roman" w:hAnsi="Times New Roman" w:cs="Times New Roman"/>
          <w:color w:val="auto"/>
          <w:sz w:val="14"/>
          <w:szCs w:val="14"/>
          <w:u w:val="none"/>
        </w:rPr>
      </w:pPr>
    </w:p>
    <w:p w14:paraId="31139207" w14:textId="371C19A5"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Cruces, J.</w:t>
      </w:r>
      <w:r w:rsidRPr="00E72418">
        <w:rPr>
          <w:rFonts w:ascii="Times New Roman" w:hAnsi="Times New Roman" w:cs="Times New Roman"/>
          <w:szCs w:val="24"/>
        </w:rPr>
        <w:t xml:space="preserve"> et </w:t>
      </w:r>
      <w:r w:rsidRPr="00E72418">
        <w:rPr>
          <w:rFonts w:ascii="Times New Roman" w:hAnsi="Times New Roman" w:cs="Times New Roman"/>
          <w:smallCaps/>
          <w:szCs w:val="24"/>
        </w:rPr>
        <w:t>Trebesch</w:t>
      </w:r>
      <w:r w:rsidRPr="00E72418">
        <w:rPr>
          <w:rFonts w:ascii="Times New Roman" w:hAnsi="Times New Roman" w:cs="Times New Roman"/>
          <w:szCs w:val="24"/>
        </w:rPr>
        <w:t xml:space="preserve">, C., </w:t>
      </w:r>
      <w:r w:rsidR="00C058ED" w:rsidRPr="00E72418">
        <w:rPr>
          <w:rFonts w:ascii="Times New Roman" w:hAnsi="Times New Roman" w:cs="Times New Roman"/>
          <w:szCs w:val="24"/>
        </w:rPr>
        <w:t xml:space="preserve">« </w:t>
      </w:r>
      <w:r w:rsidRPr="00E72418">
        <w:rPr>
          <w:rFonts w:ascii="Times New Roman" w:hAnsi="Times New Roman" w:cs="Times New Roman"/>
          <w:szCs w:val="24"/>
        </w:rPr>
        <w:t>Sovereign Defaults: the Price of Haircuts</w:t>
      </w:r>
      <w:r w:rsidR="00C058ED" w:rsidRPr="00E72418">
        <w:rPr>
          <w:rFonts w:ascii="Times New Roman" w:hAnsi="Times New Roman" w:cs="Times New Roman"/>
          <w:szCs w:val="24"/>
        </w:rPr>
        <w:t xml:space="preserve"> </w:t>
      </w:r>
      <w:r w:rsidR="00C058ED" w:rsidRPr="00E72418">
        <w:rPr>
          <w:rFonts w:ascii="Times New Roman" w:hAnsi="Times New Roman" w:cs="Times New Roman"/>
          <w:szCs w:val="24"/>
          <w:lang w:val="en-US"/>
        </w:rPr>
        <w:t>»</w:t>
      </w:r>
      <w:r w:rsidRPr="00E72418">
        <w:rPr>
          <w:rFonts w:ascii="Times New Roman" w:hAnsi="Times New Roman" w:cs="Times New Roman"/>
          <w:szCs w:val="24"/>
        </w:rPr>
        <w:t xml:space="preserve">, 2011, </w:t>
      </w:r>
      <w:hyperlink w:history="1">
        <w:r w:rsidRPr="00E72418">
          <w:rPr>
            <w:rStyle w:val="Lienhypertexte"/>
            <w:rFonts w:ascii="Times New Roman" w:hAnsi="Times New Roman" w:cs="Times New Roman"/>
            <w:color w:val="auto"/>
            <w:szCs w:val="24"/>
            <w:u w:val="none"/>
          </w:rPr>
          <w:t>disponible à l’adresse www.parisschoolofeconomics.eu/IMG/pdf/Cruces-Trebesch-oct2011.pdf</w:t>
        </w:r>
      </w:hyperlink>
    </w:p>
    <w:p w14:paraId="56D5F600" w14:textId="77777777" w:rsidR="0024739F" w:rsidRPr="00E72418" w:rsidRDefault="0024739F" w:rsidP="0024739F">
      <w:pPr>
        <w:pStyle w:val="Paragraphedeliste"/>
        <w:spacing w:after="0"/>
        <w:rPr>
          <w:rFonts w:ascii="Times New Roman" w:hAnsi="Times New Roman" w:cs="Times New Roman"/>
          <w:sz w:val="14"/>
          <w:szCs w:val="14"/>
          <w:lang w:val="en-US"/>
        </w:rPr>
      </w:pPr>
    </w:p>
    <w:p w14:paraId="694B4792" w14:textId="40513E82" w:rsidR="0024739F" w:rsidRPr="00E72418" w:rsidRDefault="0024739F" w:rsidP="0024739F">
      <w:pPr>
        <w:pStyle w:val="Paragraphedeliste"/>
        <w:numPr>
          <w:ilvl w:val="0"/>
          <w:numId w:val="20"/>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Das</w:t>
      </w:r>
      <w:r w:rsidRPr="00E72418">
        <w:rPr>
          <w:rFonts w:ascii="Times New Roman" w:hAnsi="Times New Roman" w:cs="Times New Roman"/>
          <w:szCs w:val="24"/>
          <w:lang w:val="en-US"/>
        </w:rPr>
        <w:t xml:space="preserve">, U., </w:t>
      </w:r>
      <w:r w:rsidRPr="00E72418">
        <w:rPr>
          <w:rFonts w:ascii="Times New Roman" w:hAnsi="Times New Roman" w:cs="Times New Roman"/>
          <w:smallCaps/>
          <w:szCs w:val="24"/>
          <w:lang w:val="en-US"/>
        </w:rPr>
        <w:t>Papaioannou</w:t>
      </w:r>
      <w:r w:rsidRPr="00E72418">
        <w:rPr>
          <w:rFonts w:ascii="Times New Roman" w:hAnsi="Times New Roman" w:cs="Times New Roman"/>
          <w:szCs w:val="24"/>
          <w:lang w:val="en-US"/>
        </w:rPr>
        <w:t xml:space="preserve">, M. et </w:t>
      </w:r>
      <w:r w:rsidRPr="00E72418">
        <w:rPr>
          <w:rFonts w:ascii="Times New Roman" w:hAnsi="Times New Roman" w:cs="Times New Roman"/>
          <w:smallCaps/>
          <w:szCs w:val="24"/>
          <w:lang w:val="en-US"/>
        </w:rPr>
        <w:t>Trebesch</w:t>
      </w:r>
      <w:r w:rsidRPr="00E72418">
        <w:rPr>
          <w:rFonts w:ascii="Times New Roman" w:hAnsi="Times New Roman" w:cs="Times New Roman"/>
          <w:szCs w:val="24"/>
          <w:lang w:val="en-US"/>
        </w:rPr>
        <w:t>, C., « Sovereign Debt Restructurings 1950</w:t>
      </w:r>
      <w:r w:rsidR="008D7F73">
        <w:rPr>
          <w:rFonts w:ascii="Times New Roman" w:hAnsi="Times New Roman" w:cs="Times New Roman"/>
          <w:szCs w:val="24"/>
          <w:lang w:val="en-US"/>
        </w:rPr>
        <w:t xml:space="preserve"> </w:t>
      </w:r>
      <w:r w:rsidRPr="00E72418">
        <w:rPr>
          <w:rFonts w:ascii="Times New Roman" w:hAnsi="Times New Roman" w:cs="Times New Roman"/>
          <w:szCs w:val="24"/>
          <w:lang w:val="en-US"/>
        </w:rPr>
        <w:t>–</w:t>
      </w:r>
      <w:r w:rsidR="008D7F73">
        <w:rPr>
          <w:rFonts w:ascii="Times New Roman" w:hAnsi="Times New Roman" w:cs="Times New Roman"/>
          <w:szCs w:val="24"/>
          <w:lang w:val="en-US"/>
        </w:rPr>
        <w:t xml:space="preserve"> </w:t>
      </w:r>
      <w:r w:rsidRPr="00E72418">
        <w:rPr>
          <w:rFonts w:ascii="Times New Roman" w:hAnsi="Times New Roman" w:cs="Times New Roman"/>
          <w:szCs w:val="24"/>
          <w:lang w:val="en-US"/>
        </w:rPr>
        <w:t>2010: Literature Survey, Data, and Stylized Facts », IMF Working Paper WP/12/203, 2012</w:t>
      </w:r>
    </w:p>
    <w:p w14:paraId="0805A99F" w14:textId="77777777" w:rsidR="0024739F" w:rsidRPr="00E72418" w:rsidRDefault="0024739F" w:rsidP="0024739F">
      <w:pPr>
        <w:pStyle w:val="Paragraphedeliste"/>
        <w:spacing w:after="0"/>
        <w:rPr>
          <w:rFonts w:ascii="Times New Roman" w:hAnsi="Times New Roman" w:cs="Times New Roman"/>
          <w:sz w:val="14"/>
          <w:szCs w:val="14"/>
        </w:rPr>
      </w:pPr>
    </w:p>
    <w:p w14:paraId="5C48FCB8" w14:textId="27134B9D" w:rsidR="0024739F" w:rsidRPr="00E72418" w:rsidRDefault="0024739F" w:rsidP="0024739F">
      <w:pPr>
        <w:pStyle w:val="Paragraphedeliste"/>
        <w:numPr>
          <w:ilvl w:val="0"/>
          <w:numId w:val="19"/>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rPr>
        <w:t xml:space="preserve">Département des affaires économiques et sociales des Nations Unies, </w:t>
      </w:r>
      <w:r w:rsidR="00C058ED" w:rsidRPr="00E72418">
        <w:rPr>
          <w:rFonts w:ascii="Times New Roman" w:hAnsi="Times New Roman" w:cs="Times New Roman"/>
          <w:szCs w:val="24"/>
        </w:rPr>
        <w:t xml:space="preserve">« </w:t>
      </w:r>
      <w:r w:rsidRPr="00E72418">
        <w:rPr>
          <w:rFonts w:ascii="Times New Roman" w:hAnsi="Times New Roman" w:cs="Times New Roman"/>
          <w:szCs w:val="24"/>
        </w:rPr>
        <w:t>Covid-19 and sovereign debt</w:t>
      </w:r>
      <w:r w:rsidR="00C058ED" w:rsidRPr="00E72418">
        <w:rPr>
          <w:rFonts w:ascii="Times New Roman" w:hAnsi="Times New Roman" w:cs="Times New Roman"/>
          <w:szCs w:val="24"/>
        </w:rPr>
        <w:t xml:space="preserve"> »</w:t>
      </w:r>
      <w:r w:rsidRPr="00E72418">
        <w:rPr>
          <w:rFonts w:ascii="Times New Roman" w:hAnsi="Times New Roman" w:cs="Times New Roman"/>
          <w:szCs w:val="24"/>
        </w:rPr>
        <w:t xml:space="preserve">, </w:t>
      </w:r>
      <w:r w:rsidR="008C5B03" w:rsidRPr="00E72418">
        <w:rPr>
          <w:rFonts w:ascii="Times New Roman" w:hAnsi="Times New Roman" w:cs="Times New Roman"/>
          <w:szCs w:val="24"/>
        </w:rPr>
        <w:t xml:space="preserve">14 mai 2020, </w:t>
      </w:r>
      <w:r w:rsidRPr="00E72418">
        <w:rPr>
          <w:rFonts w:ascii="Times New Roman" w:hAnsi="Times New Roman" w:cs="Times New Roman"/>
          <w:szCs w:val="24"/>
        </w:rPr>
        <w:t xml:space="preserve">disponible à l’adresse </w:t>
      </w:r>
      <w:hyperlink r:id="rId59" w:history="1">
        <w:r w:rsidRPr="00E72418">
          <w:rPr>
            <w:rStyle w:val="Lienhypertexte"/>
            <w:rFonts w:ascii="Times New Roman" w:hAnsi="Times New Roman" w:cs="Times New Roman"/>
            <w:color w:val="auto"/>
            <w:szCs w:val="24"/>
            <w:u w:val="none"/>
          </w:rPr>
          <w:t>www.un.org/development/desa/dpad/publication/un-desa-policy-brief-72-covid-19-and-sovereign-debt</w:t>
        </w:r>
      </w:hyperlink>
    </w:p>
    <w:p w14:paraId="77141561" w14:textId="77777777" w:rsidR="0024739F" w:rsidRPr="00E72418" w:rsidRDefault="0024739F" w:rsidP="0024739F">
      <w:pPr>
        <w:pStyle w:val="Paragraphedeliste"/>
        <w:rPr>
          <w:rStyle w:val="Lienhypertexte"/>
          <w:rFonts w:ascii="Times New Roman" w:hAnsi="Times New Roman" w:cs="Times New Roman"/>
          <w:color w:val="auto"/>
          <w:sz w:val="14"/>
          <w:szCs w:val="14"/>
          <w:u w:val="none"/>
        </w:rPr>
      </w:pPr>
    </w:p>
    <w:p w14:paraId="588511B7" w14:textId="68069EB9" w:rsidR="0024739F" w:rsidRPr="00E72418" w:rsidRDefault="0024739F" w:rsidP="0024739F">
      <w:pPr>
        <w:pStyle w:val="Paragraphedeliste"/>
        <w:numPr>
          <w:ilvl w:val="0"/>
          <w:numId w:val="19"/>
        </w:numPr>
        <w:spacing w:after="0"/>
        <w:rPr>
          <w:rStyle w:val="Lienhypertexte"/>
          <w:rFonts w:ascii="Times New Roman" w:hAnsi="Times New Roman" w:cs="Times New Roman"/>
          <w:color w:val="auto"/>
          <w:szCs w:val="24"/>
          <w:u w:val="none"/>
        </w:rPr>
      </w:pPr>
      <w:r w:rsidRPr="00E72418">
        <w:rPr>
          <w:rStyle w:val="A4"/>
          <w:rFonts w:ascii="Times New Roman" w:hAnsi="Times New Roman" w:cs="Times New Roman"/>
          <w:color w:val="auto"/>
          <w:sz w:val="24"/>
          <w:szCs w:val="24"/>
        </w:rPr>
        <w:t>European Network on Debt and Development</w:t>
      </w:r>
      <w:r w:rsidRPr="00E72418">
        <w:rPr>
          <w:rFonts w:ascii="Times New Roman" w:hAnsi="Times New Roman" w:cs="Times New Roman"/>
          <w:szCs w:val="24"/>
        </w:rPr>
        <w:t xml:space="preserve">, </w:t>
      </w:r>
      <w:r w:rsidR="00C058ED" w:rsidRPr="00E72418">
        <w:rPr>
          <w:rFonts w:ascii="Times New Roman" w:hAnsi="Times New Roman" w:cs="Times New Roman"/>
          <w:szCs w:val="24"/>
        </w:rPr>
        <w:t xml:space="preserve">« </w:t>
      </w:r>
      <w:r w:rsidRPr="00E72418">
        <w:rPr>
          <w:rFonts w:ascii="Times New Roman" w:hAnsi="Times New Roman" w:cs="Times New Roman"/>
          <w:szCs w:val="24"/>
        </w:rPr>
        <w:t>Tackling the vultures: A briefing on legislative action to address vulture funds</w:t>
      </w:r>
      <w:r w:rsidR="00C058ED" w:rsidRPr="00E72418">
        <w:rPr>
          <w:rFonts w:ascii="Times New Roman" w:hAnsi="Times New Roman" w:cs="Times New Roman"/>
          <w:szCs w:val="24"/>
        </w:rPr>
        <w:t xml:space="preserve"> »</w:t>
      </w:r>
      <w:r w:rsidRPr="00E72418">
        <w:rPr>
          <w:rFonts w:ascii="Times New Roman" w:hAnsi="Times New Roman" w:cs="Times New Roman"/>
          <w:szCs w:val="24"/>
        </w:rPr>
        <w:t>, septembre 2014</w:t>
      </w:r>
    </w:p>
    <w:p w14:paraId="4091A3C4" w14:textId="77777777" w:rsidR="0024739F" w:rsidRPr="00E72418" w:rsidRDefault="0024739F" w:rsidP="0024739F">
      <w:pPr>
        <w:pStyle w:val="Paragraphedeliste"/>
        <w:spacing w:after="0"/>
        <w:rPr>
          <w:rStyle w:val="Titre5Car"/>
          <w:rFonts w:ascii="Times New Roman" w:hAnsi="Times New Roman" w:cs="Times New Roman"/>
          <w:color w:val="auto"/>
          <w:sz w:val="14"/>
          <w:szCs w:val="14"/>
        </w:rPr>
      </w:pPr>
    </w:p>
    <w:p w14:paraId="31AB18DE" w14:textId="29586E71" w:rsidR="0024739F" w:rsidRPr="00E72418" w:rsidRDefault="0024739F" w:rsidP="0024739F">
      <w:pPr>
        <w:pStyle w:val="Paragraphedeliste"/>
        <w:numPr>
          <w:ilvl w:val="0"/>
          <w:numId w:val="19"/>
        </w:numPr>
        <w:spacing w:after="0"/>
        <w:rPr>
          <w:rStyle w:val="Titre5Car"/>
          <w:rFonts w:ascii="Times New Roman" w:hAnsi="Times New Roman" w:cs="Times New Roman"/>
          <w:color w:val="auto"/>
          <w:szCs w:val="24"/>
        </w:rPr>
      </w:pPr>
      <w:r w:rsidRPr="00E72418">
        <w:rPr>
          <w:rStyle w:val="Titre5Car"/>
          <w:rFonts w:ascii="Times New Roman" w:hAnsi="Times New Roman" w:cs="Times New Roman"/>
          <w:smallCaps/>
          <w:color w:val="auto"/>
          <w:szCs w:val="24"/>
        </w:rPr>
        <w:t>Gelos, R., Sahay, R.</w:t>
      </w:r>
      <w:r w:rsidRPr="00E72418">
        <w:rPr>
          <w:rStyle w:val="Titre5Car"/>
          <w:rFonts w:ascii="Times New Roman" w:hAnsi="Times New Roman" w:cs="Times New Roman"/>
          <w:color w:val="auto"/>
          <w:szCs w:val="24"/>
        </w:rPr>
        <w:t xml:space="preserve"> et </w:t>
      </w:r>
      <w:r w:rsidRPr="00E72418">
        <w:rPr>
          <w:rStyle w:val="Titre5Car"/>
          <w:rFonts w:ascii="Times New Roman" w:hAnsi="Times New Roman" w:cs="Times New Roman"/>
          <w:smallCaps/>
          <w:color w:val="auto"/>
          <w:szCs w:val="24"/>
        </w:rPr>
        <w:t>Sandleris</w:t>
      </w:r>
      <w:r w:rsidRPr="00E72418">
        <w:rPr>
          <w:rStyle w:val="Titre5Car"/>
          <w:rFonts w:ascii="Times New Roman" w:hAnsi="Times New Roman" w:cs="Times New Roman"/>
          <w:color w:val="auto"/>
          <w:szCs w:val="24"/>
        </w:rPr>
        <w:t>, G.,</w:t>
      </w:r>
      <w:bookmarkEnd w:id="536"/>
      <w:r w:rsidRPr="00E72418">
        <w:rPr>
          <w:rStyle w:val="Titre5Car"/>
          <w:rFonts w:ascii="Times New Roman" w:hAnsi="Times New Roman" w:cs="Times New Roman"/>
          <w:color w:val="auto"/>
          <w:szCs w:val="24"/>
        </w:rPr>
        <w:t xml:space="preserve"> </w:t>
      </w:r>
      <w:r w:rsidRPr="00E72418">
        <w:rPr>
          <w:rFonts w:ascii="Times New Roman" w:hAnsi="Times New Roman" w:cs="Times New Roman"/>
          <w:szCs w:val="24"/>
        </w:rPr>
        <w:t xml:space="preserve">« </w:t>
      </w:r>
      <w:r w:rsidRPr="00E72418">
        <w:rPr>
          <w:rStyle w:val="Titre5Car"/>
          <w:rFonts w:ascii="Times New Roman" w:hAnsi="Times New Roman" w:cs="Times New Roman"/>
          <w:color w:val="auto"/>
          <w:szCs w:val="24"/>
        </w:rPr>
        <w:t xml:space="preserve">Sovereign Borrowing by Developing Countries: What Determines Market Access? </w:t>
      </w:r>
      <w:r w:rsidRPr="00E72418">
        <w:rPr>
          <w:rFonts w:ascii="Times New Roman" w:hAnsi="Times New Roman" w:cs="Times New Roman"/>
          <w:szCs w:val="24"/>
        </w:rPr>
        <w:t>»</w:t>
      </w:r>
      <w:r w:rsidRPr="00E72418">
        <w:rPr>
          <w:rStyle w:val="Titre5Car"/>
          <w:rFonts w:ascii="Times New Roman" w:hAnsi="Times New Roman" w:cs="Times New Roman"/>
          <w:color w:val="auto"/>
          <w:szCs w:val="24"/>
        </w:rPr>
        <w:t>, IMF Working Paper WP/04/221, 2004</w:t>
      </w:r>
    </w:p>
    <w:p w14:paraId="0BE5CF13" w14:textId="77777777" w:rsidR="0024739F" w:rsidRPr="00E72418" w:rsidRDefault="0024739F" w:rsidP="0024739F">
      <w:pPr>
        <w:pStyle w:val="Paragraphedeliste"/>
        <w:spacing w:after="0"/>
        <w:rPr>
          <w:rStyle w:val="SansinterligneCar"/>
          <w:rFonts w:ascii="Times New Roman" w:hAnsi="Times New Roman" w:cs="Times New Roman"/>
          <w:sz w:val="14"/>
          <w:szCs w:val="14"/>
        </w:rPr>
      </w:pPr>
    </w:p>
    <w:p w14:paraId="0A45B7E4" w14:textId="77777777" w:rsidR="0024739F" w:rsidRPr="00E72418" w:rsidRDefault="0024739F" w:rsidP="0024739F">
      <w:pPr>
        <w:pStyle w:val="Paragraphedeliste"/>
        <w:numPr>
          <w:ilvl w:val="0"/>
          <w:numId w:val="19"/>
        </w:numPr>
        <w:spacing w:after="0"/>
        <w:rPr>
          <w:rStyle w:val="SansinterligneCar"/>
          <w:rFonts w:ascii="Times New Roman" w:hAnsi="Times New Roman" w:cs="Times New Roman"/>
          <w:sz w:val="24"/>
          <w:szCs w:val="24"/>
        </w:rPr>
      </w:pPr>
      <w:r w:rsidRPr="00E72418">
        <w:rPr>
          <w:rStyle w:val="SansinterligneCar"/>
          <w:smallCaps/>
          <w:sz w:val="24"/>
          <w:szCs w:val="24"/>
          <w:lang w:val="en-US"/>
        </w:rPr>
        <w:t>Goldmann</w:t>
      </w:r>
      <w:r w:rsidRPr="00E72418">
        <w:rPr>
          <w:rStyle w:val="SansinterligneCar"/>
          <w:sz w:val="24"/>
          <w:szCs w:val="24"/>
          <w:lang w:val="en-US"/>
        </w:rPr>
        <w:t xml:space="preserve">, M., « Responsible sovereign lending and borrowing: the view from domestic jurisdictions », 2012, disponible à l’adresse </w:t>
      </w:r>
      <w:hyperlink r:id="rId60" w:history="1">
        <w:r w:rsidRPr="00E72418">
          <w:rPr>
            <w:rStyle w:val="SansinterligneCar"/>
            <w:sz w:val="24"/>
            <w:szCs w:val="24"/>
            <w:lang w:val="en-US"/>
          </w:rPr>
          <w:t>https://unctad.org/en/PublicationsLibrary/gdsddf2012misc3_en.pdf</w:t>
        </w:r>
      </w:hyperlink>
    </w:p>
    <w:p w14:paraId="2FAC4AD8" w14:textId="77777777" w:rsidR="0024739F" w:rsidRPr="00E72418" w:rsidRDefault="0024739F" w:rsidP="0024739F">
      <w:pPr>
        <w:pStyle w:val="Paragraphedeliste"/>
        <w:rPr>
          <w:rFonts w:ascii="Times New Roman" w:hAnsi="Times New Roman" w:cs="Times New Roman"/>
          <w:sz w:val="14"/>
          <w:szCs w:val="14"/>
          <w:lang w:val="en-US"/>
        </w:rPr>
      </w:pPr>
    </w:p>
    <w:p w14:paraId="06316C39" w14:textId="77777777" w:rsidR="0024739F" w:rsidRPr="00E72418" w:rsidRDefault="0024739F" w:rsidP="0024739F">
      <w:pPr>
        <w:pStyle w:val="Paragraphedeliste"/>
        <w:numPr>
          <w:ilvl w:val="0"/>
          <w:numId w:val="19"/>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Guzman</w:t>
      </w:r>
      <w:r w:rsidRPr="00E72418">
        <w:rPr>
          <w:rFonts w:ascii="Times New Roman" w:hAnsi="Times New Roman" w:cs="Times New Roman"/>
          <w:szCs w:val="24"/>
          <w:lang w:val="en-US"/>
        </w:rPr>
        <w:t xml:space="preserve">, M.,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An analysis of Argentina’s 2001 default resolution </w:t>
      </w:r>
      <w:r w:rsidRPr="00E72418">
        <w:rPr>
          <w:rFonts w:ascii="Times New Roman" w:hAnsi="Times New Roman" w:cs="Times New Roman"/>
          <w:szCs w:val="24"/>
        </w:rPr>
        <w:t>»</w:t>
      </w:r>
      <w:r w:rsidRPr="00E72418">
        <w:rPr>
          <w:rFonts w:ascii="Times New Roman" w:hAnsi="Times New Roman" w:cs="Times New Roman"/>
          <w:szCs w:val="24"/>
          <w:lang w:val="en-US"/>
        </w:rPr>
        <w:t>, CIGI Papers, n° 110, octobre 2016</w:t>
      </w:r>
    </w:p>
    <w:p w14:paraId="311172FE" w14:textId="77777777" w:rsidR="0024739F" w:rsidRPr="00E72418" w:rsidRDefault="0024739F" w:rsidP="0024739F">
      <w:pPr>
        <w:pStyle w:val="Paragraphedeliste"/>
        <w:spacing w:after="0"/>
        <w:rPr>
          <w:rFonts w:ascii="Times New Roman" w:hAnsi="Times New Roman" w:cs="Times New Roman"/>
          <w:sz w:val="14"/>
          <w:szCs w:val="14"/>
          <w:lang w:val="nl-NL"/>
        </w:rPr>
      </w:pPr>
    </w:p>
    <w:p w14:paraId="05753B2A" w14:textId="77777777" w:rsidR="0024739F" w:rsidRPr="00E72418" w:rsidRDefault="0024739F" w:rsidP="0024739F">
      <w:pPr>
        <w:pStyle w:val="Paragraphedeliste"/>
        <w:numPr>
          <w:ilvl w:val="0"/>
          <w:numId w:val="20"/>
        </w:numPr>
        <w:spacing w:after="0"/>
        <w:rPr>
          <w:rFonts w:ascii="Times New Roman" w:hAnsi="Times New Roman" w:cs="Times New Roman"/>
          <w:szCs w:val="24"/>
          <w:lang w:val="nl-NL"/>
        </w:rPr>
      </w:pPr>
      <w:r w:rsidRPr="00E72418">
        <w:rPr>
          <w:rFonts w:ascii="Times New Roman" w:hAnsi="Times New Roman" w:cs="Times New Roman"/>
          <w:smallCaps/>
          <w:szCs w:val="24"/>
          <w:lang w:val="en-US"/>
        </w:rPr>
        <w:t>Hornbeck</w:t>
      </w:r>
      <w:r w:rsidRPr="00E72418">
        <w:rPr>
          <w:rFonts w:ascii="Times New Roman" w:hAnsi="Times New Roman" w:cs="Times New Roman"/>
          <w:szCs w:val="24"/>
          <w:lang w:val="en-US"/>
        </w:rPr>
        <w:t>, J., « Argentina’s Defaulted Sovereign Debt: Dealing with the “Holdouts” », Congressional Research Service R41029, 2013</w:t>
      </w:r>
    </w:p>
    <w:p w14:paraId="7D6B7945" w14:textId="77777777" w:rsidR="0024739F" w:rsidRPr="00E72418" w:rsidRDefault="0024739F" w:rsidP="0024739F">
      <w:pPr>
        <w:pStyle w:val="Paragraphedeliste"/>
        <w:rPr>
          <w:rFonts w:ascii="Times New Roman" w:hAnsi="Times New Roman" w:cs="Times New Roman"/>
          <w:smallCaps/>
          <w:sz w:val="14"/>
          <w:szCs w:val="14"/>
          <w:lang w:val="en-US"/>
        </w:rPr>
      </w:pPr>
    </w:p>
    <w:p w14:paraId="1F18430E" w14:textId="77777777" w:rsidR="0024739F" w:rsidRPr="00E72418" w:rsidRDefault="0024739F" w:rsidP="0024739F">
      <w:pPr>
        <w:pStyle w:val="Paragraphedeliste"/>
        <w:numPr>
          <w:ilvl w:val="0"/>
          <w:numId w:val="20"/>
        </w:numPr>
        <w:spacing w:after="0"/>
        <w:rPr>
          <w:rFonts w:ascii="Times New Roman" w:hAnsi="Times New Roman" w:cs="Times New Roman"/>
          <w:smallCaps/>
          <w:szCs w:val="24"/>
          <w:lang w:val="en-US"/>
        </w:rPr>
      </w:pPr>
      <w:r w:rsidRPr="00E72418">
        <w:rPr>
          <w:rFonts w:ascii="Times New Roman" w:hAnsi="Times New Roman" w:cs="Times New Roman"/>
          <w:smallCaps/>
          <w:szCs w:val="24"/>
          <w:lang w:val="en-US"/>
        </w:rPr>
        <w:t>Horne</w:t>
      </w:r>
      <w:r w:rsidRPr="00E72418">
        <w:rPr>
          <w:rFonts w:ascii="Times New Roman" w:hAnsi="Times New Roman" w:cs="Times New Roman"/>
          <w:szCs w:val="24"/>
          <w:lang w:val="en-US"/>
        </w:rPr>
        <w:t xml:space="preserve">, A., « Debt Relief (Developing Countries) Bill », </w:t>
      </w:r>
      <w:r w:rsidRPr="00E72418">
        <w:rPr>
          <w:rStyle w:val="Titre2Car"/>
          <w:rFonts w:ascii="Times New Roman" w:eastAsiaTheme="minorHAnsi" w:hAnsi="Times New Roman" w:cs="Times New Roman"/>
          <w:color w:val="auto"/>
          <w:sz w:val="24"/>
          <w:szCs w:val="24"/>
          <w:lang w:val="en-US"/>
        </w:rPr>
        <w:t>House of Commons Library</w:t>
      </w:r>
      <w:r w:rsidRPr="00E72418">
        <w:rPr>
          <w:rFonts w:ascii="Times New Roman" w:hAnsi="Times New Roman" w:cs="Times New Roman"/>
          <w:szCs w:val="24"/>
          <w:lang w:val="en-US"/>
        </w:rPr>
        <w:t>, Research Paper 10/17, 25 février 2010</w:t>
      </w:r>
    </w:p>
    <w:p w14:paraId="00D134A6" w14:textId="77777777" w:rsidR="0024739F" w:rsidRPr="00E72418" w:rsidRDefault="0024739F" w:rsidP="0024739F">
      <w:pPr>
        <w:pStyle w:val="Paragraphedeliste"/>
        <w:rPr>
          <w:rFonts w:ascii="Times New Roman" w:hAnsi="Times New Roman" w:cs="Times New Roman"/>
          <w:smallCaps/>
          <w:sz w:val="14"/>
          <w:szCs w:val="14"/>
          <w:lang w:val="en-US"/>
        </w:rPr>
      </w:pPr>
    </w:p>
    <w:p w14:paraId="74DD7F7F" w14:textId="77777777" w:rsidR="0024739F" w:rsidRPr="00E72418" w:rsidRDefault="0024739F" w:rsidP="0024739F">
      <w:pPr>
        <w:pStyle w:val="Paragraphedeliste"/>
        <w:numPr>
          <w:ilvl w:val="0"/>
          <w:numId w:val="20"/>
        </w:numPr>
        <w:spacing w:after="0"/>
        <w:rPr>
          <w:rFonts w:ascii="Times New Roman" w:hAnsi="Times New Roman" w:cs="Times New Roman"/>
          <w:smallCaps/>
          <w:szCs w:val="24"/>
          <w:lang w:val="en-US"/>
        </w:rPr>
      </w:pPr>
      <w:r w:rsidRPr="00E72418">
        <w:rPr>
          <w:rFonts w:ascii="Times New Roman" w:hAnsi="Times New Roman" w:cs="Times New Roman"/>
          <w:smallCaps/>
          <w:szCs w:val="24"/>
        </w:rPr>
        <w:t>Howse</w:t>
      </w:r>
      <w:r w:rsidRPr="00E72418">
        <w:rPr>
          <w:rFonts w:ascii="Times New Roman" w:hAnsi="Times New Roman" w:cs="Times New Roman"/>
          <w:szCs w:val="24"/>
        </w:rPr>
        <w:t>, R., « The Concept of Odious Debt in Public International Law », Discussion papers – United Nations Conference on Trade and Development, UNCTAD/OSG/DP/2007/4, juillet 2007</w:t>
      </w:r>
    </w:p>
    <w:p w14:paraId="24334F29" w14:textId="77777777" w:rsidR="00FE6CE6" w:rsidRPr="00E72418" w:rsidRDefault="00FE6CE6" w:rsidP="00FE6CE6">
      <w:pPr>
        <w:pStyle w:val="Paragraphedeliste"/>
        <w:spacing w:after="0"/>
        <w:rPr>
          <w:rFonts w:ascii="Times New Roman" w:hAnsi="Times New Roman" w:cs="Times New Roman"/>
          <w:smallCaps/>
          <w:sz w:val="14"/>
          <w:szCs w:val="14"/>
          <w:lang w:val="en-US"/>
        </w:rPr>
      </w:pPr>
    </w:p>
    <w:p w14:paraId="3DB2E742" w14:textId="37FA9BAF" w:rsidR="0024739F" w:rsidRPr="00E72418" w:rsidRDefault="0024739F" w:rsidP="0024739F">
      <w:pPr>
        <w:pStyle w:val="Paragraphedeliste"/>
        <w:numPr>
          <w:ilvl w:val="0"/>
          <w:numId w:val="19"/>
        </w:numPr>
        <w:spacing w:after="0"/>
        <w:rPr>
          <w:rFonts w:ascii="Times New Roman" w:hAnsi="Times New Roman" w:cs="Times New Roman"/>
          <w:smallCaps/>
          <w:szCs w:val="24"/>
          <w:lang w:val="en-US"/>
        </w:rPr>
      </w:pPr>
      <w:r w:rsidRPr="00E72418">
        <w:rPr>
          <w:rFonts w:ascii="Times New Roman" w:hAnsi="Times New Roman" w:cs="Times New Roman"/>
          <w:smallCaps/>
          <w:szCs w:val="24"/>
        </w:rPr>
        <w:t>Iversen</w:t>
      </w:r>
      <w:r w:rsidRPr="00E72418">
        <w:rPr>
          <w:rFonts w:ascii="Times New Roman" w:hAnsi="Times New Roman" w:cs="Times New Roman"/>
          <w:szCs w:val="24"/>
        </w:rPr>
        <w:t xml:space="preserve">, A., « </w:t>
      </w:r>
      <w:r w:rsidRPr="00E72418">
        <w:rPr>
          <w:szCs w:val="20"/>
          <w:lang w:val="en-US"/>
        </w:rPr>
        <w:t xml:space="preserve">Holdout Creditor Litigation </w:t>
      </w:r>
      <w:r w:rsidRPr="00E72418">
        <w:t>–</w:t>
      </w:r>
      <w:r w:rsidRPr="00E72418">
        <w:rPr>
          <w:b/>
        </w:rPr>
        <w:t xml:space="preserve"> </w:t>
      </w:r>
      <w:r w:rsidRPr="00E72418">
        <w:rPr>
          <w:szCs w:val="20"/>
          <w:lang w:val="en-US"/>
        </w:rPr>
        <w:t xml:space="preserve">An </w:t>
      </w:r>
      <w:r w:rsidRPr="00E72418">
        <w:rPr>
          <w:rFonts w:ascii="Times New Roman" w:hAnsi="Times New Roman" w:cs="Times New Roman"/>
          <w:szCs w:val="24"/>
        </w:rPr>
        <w:t>assessment of legislative initiatives to counter aggressive sovereign debt creditor litigators », University of Oslo Paper n° 2015-13</w:t>
      </w:r>
    </w:p>
    <w:p w14:paraId="135EA36C" w14:textId="77777777" w:rsidR="0024739F" w:rsidRPr="00E72418" w:rsidRDefault="0024739F" w:rsidP="0024739F">
      <w:pPr>
        <w:pStyle w:val="Paragraphedeliste"/>
        <w:rPr>
          <w:rFonts w:ascii="Times New Roman" w:hAnsi="Times New Roman" w:cs="Times New Roman"/>
          <w:sz w:val="14"/>
          <w:szCs w:val="14"/>
        </w:rPr>
      </w:pPr>
    </w:p>
    <w:p w14:paraId="30B034E9"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Merckaert</w:t>
      </w:r>
      <w:r w:rsidRPr="00E72418">
        <w:rPr>
          <w:rFonts w:ascii="Times New Roman" w:hAnsi="Times New Roman" w:cs="Times New Roman"/>
          <w:szCs w:val="24"/>
        </w:rPr>
        <w:t>, J.,</w:t>
      </w:r>
      <w:r w:rsidRPr="00E72418">
        <w:rPr>
          <w:rFonts w:ascii="Times New Roman" w:hAnsi="Times New Roman" w:cs="Times New Roman"/>
          <w:i/>
          <w:szCs w:val="24"/>
        </w:rPr>
        <w:t xml:space="preserve"> </w:t>
      </w:r>
      <w:r w:rsidRPr="00E72418">
        <w:rPr>
          <w:rFonts w:ascii="Times New Roman" w:hAnsi="Times New Roman" w:cs="Times New Roman"/>
          <w:szCs w:val="24"/>
        </w:rPr>
        <w:t>« Un vautour peut en cacher un autre, ou comment nos lois encouragent les prédateurs des pays pauvres endettés – Rapport de la plate-forme dette &amp; développementet du CNCD-11.11.11 », mai 2009, disponible à l’adresse www.cncd.be/IMG/pdf/RAPPORT_FONDS_VAUTOURS_2009.pdf</w:t>
      </w:r>
    </w:p>
    <w:p w14:paraId="72EA9DD7" w14:textId="77777777" w:rsidR="0024739F" w:rsidRPr="00E72418" w:rsidRDefault="0024739F" w:rsidP="0024739F">
      <w:pPr>
        <w:pStyle w:val="Paragraphedeliste"/>
        <w:rPr>
          <w:rFonts w:ascii="Times New Roman" w:hAnsi="Times New Roman" w:cs="Times New Roman"/>
          <w:sz w:val="14"/>
          <w:szCs w:val="14"/>
        </w:rPr>
      </w:pPr>
    </w:p>
    <w:p w14:paraId="2DB64116" w14:textId="77777777" w:rsidR="0024739F" w:rsidRPr="00E72418" w:rsidRDefault="0024739F" w:rsidP="0024739F">
      <w:pPr>
        <w:pStyle w:val="Paragraphedeliste"/>
        <w:numPr>
          <w:ilvl w:val="0"/>
          <w:numId w:val="20"/>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t>Schumacher</w:t>
      </w:r>
      <w:r w:rsidRPr="00E72418">
        <w:rPr>
          <w:rFonts w:ascii="Times New Roman" w:hAnsi="Times New Roman" w:cs="Times New Roman"/>
          <w:szCs w:val="24"/>
          <w:lang w:val="en-US"/>
        </w:rPr>
        <w:t xml:space="preserve">, J., </w:t>
      </w:r>
      <w:r w:rsidRPr="00E72418">
        <w:rPr>
          <w:rFonts w:ascii="Times New Roman" w:hAnsi="Times New Roman" w:cs="Times New Roman"/>
          <w:smallCaps/>
          <w:szCs w:val="24"/>
          <w:lang w:val="en-US"/>
        </w:rPr>
        <w:t>Trebesch</w:t>
      </w:r>
      <w:r w:rsidRPr="00E72418">
        <w:rPr>
          <w:rFonts w:ascii="Times New Roman" w:hAnsi="Times New Roman" w:cs="Times New Roman"/>
          <w:szCs w:val="24"/>
          <w:lang w:val="en-US"/>
        </w:rPr>
        <w:t xml:space="preserve">, C. et </w:t>
      </w:r>
      <w:r w:rsidRPr="00E72418">
        <w:rPr>
          <w:rFonts w:ascii="Times New Roman" w:hAnsi="Times New Roman" w:cs="Times New Roman"/>
          <w:smallCaps/>
          <w:szCs w:val="24"/>
          <w:lang w:val="en-US"/>
        </w:rPr>
        <w:t>Enderlein</w:t>
      </w:r>
      <w:r w:rsidRPr="00E72418">
        <w:rPr>
          <w:rFonts w:ascii="Times New Roman" w:hAnsi="Times New Roman" w:cs="Times New Roman"/>
          <w:szCs w:val="24"/>
          <w:lang w:val="en-US"/>
        </w:rPr>
        <w:t xml:space="preserve">, H., </w:t>
      </w:r>
      <w:r w:rsidRPr="00E72418">
        <w:rPr>
          <w:rFonts w:ascii="Times New Roman" w:hAnsi="Times New Roman" w:cs="Times New Roman"/>
          <w:szCs w:val="24"/>
        </w:rPr>
        <w:t xml:space="preserve">« </w:t>
      </w:r>
      <w:r w:rsidRPr="00E72418">
        <w:rPr>
          <w:rFonts w:ascii="Times New Roman" w:hAnsi="Times New Roman" w:cs="Times New Roman"/>
          <w:szCs w:val="24"/>
          <w:lang w:val="en-US"/>
        </w:rPr>
        <w:t>Sovereign Defaults in Court</w:t>
      </w:r>
      <w:r w:rsidRPr="00E72418">
        <w:rPr>
          <w:rFonts w:ascii="Times New Roman" w:hAnsi="Times New Roman" w:cs="Times New Roman"/>
          <w:i/>
          <w:szCs w:val="24"/>
          <w:lang w:val="en-US"/>
        </w:rPr>
        <w:t xml:space="preserve"> </w:t>
      </w:r>
      <w:r w:rsidRPr="00E72418">
        <w:rPr>
          <w:rFonts w:ascii="Times New Roman" w:hAnsi="Times New Roman" w:cs="Times New Roman"/>
          <w:szCs w:val="24"/>
        </w:rPr>
        <w:t>»</w:t>
      </w:r>
      <w:r w:rsidRPr="00E72418">
        <w:rPr>
          <w:rFonts w:ascii="Times New Roman" w:hAnsi="Times New Roman" w:cs="Times New Roman"/>
          <w:szCs w:val="24"/>
          <w:lang w:val="en-US"/>
        </w:rPr>
        <w:t>, CESifo Working Paper, 2018</w:t>
      </w:r>
    </w:p>
    <w:p w14:paraId="43EBA5C2" w14:textId="77777777" w:rsidR="0024739F" w:rsidRPr="00E72418" w:rsidRDefault="0024739F" w:rsidP="0024739F">
      <w:pPr>
        <w:pStyle w:val="Paragraphedeliste"/>
        <w:rPr>
          <w:rFonts w:ascii="Times New Roman" w:hAnsi="Times New Roman" w:cs="Times New Roman"/>
          <w:sz w:val="14"/>
          <w:szCs w:val="14"/>
          <w:lang w:val="en-US"/>
        </w:rPr>
      </w:pPr>
    </w:p>
    <w:p w14:paraId="4242E93B" w14:textId="77777777" w:rsidR="0024739F" w:rsidRPr="00E72418" w:rsidRDefault="0024739F" w:rsidP="0024739F">
      <w:pPr>
        <w:pStyle w:val="Paragraphedeliste"/>
        <w:numPr>
          <w:ilvl w:val="0"/>
          <w:numId w:val="20"/>
        </w:numPr>
        <w:spacing w:after="0"/>
        <w:rPr>
          <w:rFonts w:ascii="Times New Roman" w:hAnsi="Times New Roman" w:cs="Times New Roman"/>
          <w:szCs w:val="24"/>
          <w:lang w:val="en-US"/>
        </w:rPr>
      </w:pPr>
      <w:r w:rsidRPr="00E72418">
        <w:rPr>
          <w:rFonts w:ascii="Times New Roman" w:hAnsi="Times New Roman" w:cs="Times New Roman"/>
          <w:smallCaps/>
          <w:szCs w:val="24"/>
          <w:lang w:val="en-US"/>
        </w:rPr>
        <w:lastRenderedPageBreak/>
        <w:t>Scott</w:t>
      </w:r>
      <w:r w:rsidRPr="00E72418">
        <w:rPr>
          <w:rFonts w:ascii="Times New Roman" w:hAnsi="Times New Roman" w:cs="Times New Roman"/>
          <w:szCs w:val="24"/>
          <w:lang w:val="en-US"/>
        </w:rPr>
        <w:t>, H., « Sovereign Debt Defaults: Cry for the United States, not Argentina », Critical Legal Issues, Working Paper Series 140, 2006</w:t>
      </w:r>
    </w:p>
    <w:p w14:paraId="1BFA498A" w14:textId="77777777" w:rsidR="0024739F" w:rsidRPr="00E72418" w:rsidRDefault="0024739F" w:rsidP="0024739F">
      <w:pPr>
        <w:pStyle w:val="Paragraphedeliste"/>
        <w:rPr>
          <w:rFonts w:ascii="Times New Roman" w:hAnsi="Times New Roman" w:cs="Times New Roman"/>
          <w:sz w:val="14"/>
          <w:szCs w:val="14"/>
        </w:rPr>
      </w:pPr>
    </w:p>
    <w:p w14:paraId="6BE3E316"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Stewart</w:t>
      </w:r>
      <w:r w:rsidRPr="00E72418">
        <w:rPr>
          <w:rFonts w:ascii="Times New Roman" w:hAnsi="Times New Roman" w:cs="Times New Roman"/>
          <w:szCs w:val="24"/>
        </w:rPr>
        <w:t>, D., « The Foreign Sovereign Immunities Act: A Guide for Judges », Federal Judicial Center, 2013</w:t>
      </w:r>
    </w:p>
    <w:p w14:paraId="208BA66D" w14:textId="77777777" w:rsidR="0024739F" w:rsidRPr="00E72418" w:rsidRDefault="0024739F" w:rsidP="0024739F">
      <w:pPr>
        <w:pStyle w:val="Paragraphedeliste"/>
        <w:spacing w:after="0"/>
        <w:rPr>
          <w:rFonts w:ascii="Times New Roman" w:hAnsi="Times New Roman" w:cs="Times New Roman"/>
          <w:sz w:val="14"/>
          <w:szCs w:val="14"/>
        </w:rPr>
      </w:pPr>
    </w:p>
    <w:p w14:paraId="287C5893" w14:textId="26BEEF09"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Stiglitz, J.</w:t>
      </w:r>
      <w:r w:rsidRPr="00E72418">
        <w:rPr>
          <w:rFonts w:ascii="Times New Roman" w:hAnsi="Times New Roman" w:cs="Times New Roman"/>
          <w:szCs w:val="24"/>
        </w:rPr>
        <w:t xml:space="preserve"> et </w:t>
      </w:r>
      <w:r w:rsidRPr="00E72418">
        <w:rPr>
          <w:rFonts w:ascii="Times New Roman" w:hAnsi="Times New Roman" w:cs="Times New Roman"/>
          <w:smallCaps/>
          <w:szCs w:val="24"/>
        </w:rPr>
        <w:t>Guzman</w:t>
      </w:r>
      <w:r w:rsidRPr="00E72418">
        <w:rPr>
          <w:rFonts w:ascii="Times New Roman" w:hAnsi="Times New Roman" w:cs="Times New Roman"/>
          <w:szCs w:val="24"/>
        </w:rPr>
        <w:t xml:space="preserve">, M., « A Rule of Law For Sovereign Debt », </w:t>
      </w:r>
      <w:r w:rsidR="009E72E5">
        <w:rPr>
          <w:rFonts w:ascii="Times New Roman" w:hAnsi="Times New Roman" w:cs="Times New Roman"/>
          <w:szCs w:val="24"/>
        </w:rPr>
        <w:t xml:space="preserve">26 juin </w:t>
      </w:r>
      <w:r w:rsidRPr="00E72418">
        <w:rPr>
          <w:rFonts w:ascii="Times New Roman" w:hAnsi="Times New Roman" w:cs="Times New Roman"/>
          <w:szCs w:val="24"/>
        </w:rPr>
        <w:t xml:space="preserve">2015, disponible à l’adresse </w:t>
      </w:r>
      <w:hyperlink r:id="rId61" w:history="1">
        <w:r w:rsidRPr="00E72418">
          <w:rPr>
            <w:rStyle w:val="Lienhypertexte"/>
            <w:rFonts w:ascii="Times New Roman" w:hAnsi="Times New Roman" w:cs="Times New Roman"/>
            <w:color w:val="auto"/>
            <w:szCs w:val="24"/>
            <w:u w:val="none"/>
          </w:rPr>
          <w:t>www.socialeurope.eu/a-rule-of-law-for-sovereign-debt</w:t>
        </w:r>
      </w:hyperlink>
    </w:p>
    <w:p w14:paraId="455EC2FD" w14:textId="77777777" w:rsidR="0024739F" w:rsidRPr="00E72418" w:rsidRDefault="0024739F" w:rsidP="0024739F">
      <w:pPr>
        <w:pStyle w:val="Paragraphedeliste"/>
        <w:spacing w:after="0"/>
        <w:rPr>
          <w:rFonts w:ascii="Times New Roman" w:hAnsi="Times New Roman" w:cs="Times New Roman"/>
          <w:sz w:val="14"/>
          <w:szCs w:val="14"/>
          <w:lang w:val="en-US"/>
        </w:rPr>
      </w:pPr>
    </w:p>
    <w:p w14:paraId="5F6B379A" w14:textId="77777777" w:rsidR="0024739F" w:rsidRPr="00E72418" w:rsidRDefault="0024739F" w:rsidP="0024739F">
      <w:pPr>
        <w:pStyle w:val="Paragraphedeliste"/>
        <w:numPr>
          <w:ilvl w:val="0"/>
          <w:numId w:val="20"/>
        </w:numPr>
        <w:spacing w:after="0"/>
        <w:rPr>
          <w:rFonts w:ascii="Times New Roman" w:hAnsi="Times New Roman" w:cs="Times New Roman"/>
          <w:szCs w:val="24"/>
          <w:lang w:val="en-US"/>
        </w:rPr>
      </w:pPr>
      <w:r w:rsidRPr="00E72418">
        <w:rPr>
          <w:rFonts w:ascii="Times New Roman" w:hAnsi="Times New Roman" w:cs="Times New Roman"/>
          <w:smallCaps/>
          <w:szCs w:val="24"/>
          <w:shd w:val="clear" w:color="auto" w:fill="FFFFFF"/>
          <w:lang w:val="en-US"/>
        </w:rPr>
        <w:t>Sturzenegger</w:t>
      </w:r>
      <w:r w:rsidRPr="00E72418">
        <w:rPr>
          <w:rFonts w:ascii="Times New Roman" w:hAnsi="Times New Roman" w:cs="Times New Roman"/>
          <w:szCs w:val="24"/>
          <w:shd w:val="clear" w:color="auto" w:fill="FFFFFF"/>
          <w:lang w:val="en-US"/>
        </w:rPr>
        <w:t xml:space="preserve">, F. et </w:t>
      </w:r>
      <w:r w:rsidRPr="00E72418">
        <w:rPr>
          <w:rFonts w:ascii="Times New Roman" w:hAnsi="Times New Roman" w:cs="Times New Roman"/>
          <w:smallCaps/>
          <w:szCs w:val="24"/>
          <w:shd w:val="clear" w:color="auto" w:fill="FFFFFF"/>
          <w:lang w:val="en-US"/>
        </w:rPr>
        <w:t>Zettelmeyer</w:t>
      </w:r>
      <w:r w:rsidRPr="00E72418">
        <w:rPr>
          <w:rFonts w:ascii="Times New Roman" w:hAnsi="Times New Roman" w:cs="Times New Roman"/>
          <w:szCs w:val="24"/>
          <w:shd w:val="clear" w:color="auto" w:fill="FFFFFF"/>
          <w:lang w:val="en-US"/>
        </w:rPr>
        <w:t xml:space="preserve">, J., </w:t>
      </w:r>
      <w:r w:rsidRPr="00E72418">
        <w:rPr>
          <w:rFonts w:ascii="Times New Roman" w:hAnsi="Times New Roman" w:cs="Times New Roman"/>
          <w:szCs w:val="24"/>
          <w:lang w:val="en-US"/>
        </w:rPr>
        <w:t xml:space="preserve">« Has the Legal Threat to Sovereign Debt Restructuring Become Real? », </w:t>
      </w:r>
      <w:r w:rsidRPr="00E72418">
        <w:rPr>
          <w:rFonts w:ascii="Times New Roman" w:hAnsi="Times New Roman" w:cs="Times New Roman"/>
          <w:iCs/>
          <w:szCs w:val="24"/>
          <w:lang w:val="en-US"/>
        </w:rPr>
        <w:t>Centro de Investigación en Finanzas Documento de Trabajo 04/2006</w:t>
      </w:r>
    </w:p>
    <w:p w14:paraId="2F410B07" w14:textId="77777777" w:rsidR="0024739F" w:rsidRPr="00E72418" w:rsidRDefault="0024739F" w:rsidP="0024739F">
      <w:pPr>
        <w:pStyle w:val="Paragraphedeliste"/>
        <w:rPr>
          <w:rFonts w:ascii="Times New Roman" w:hAnsi="Times New Roman" w:cs="Times New Roman"/>
          <w:sz w:val="14"/>
          <w:szCs w:val="14"/>
        </w:rPr>
      </w:pPr>
    </w:p>
    <w:p w14:paraId="6D50DD96"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Xafa</w:t>
      </w:r>
      <w:r w:rsidRPr="00E72418">
        <w:rPr>
          <w:rFonts w:ascii="Times New Roman" w:hAnsi="Times New Roman" w:cs="Times New Roman"/>
          <w:szCs w:val="24"/>
        </w:rPr>
        <w:t>, W., « Sovereign Debt Crisis Management: lessons from the 2012 Greek Debt Restructuring », CIGI Papers, 2014</w:t>
      </w:r>
    </w:p>
    <w:p w14:paraId="5251BFB9" w14:textId="77777777" w:rsidR="0024739F" w:rsidRPr="00E72418" w:rsidRDefault="0024739F" w:rsidP="0024739F">
      <w:pPr>
        <w:pStyle w:val="Paragraphedeliste"/>
        <w:spacing w:after="0"/>
        <w:rPr>
          <w:rFonts w:ascii="Times New Roman" w:hAnsi="Times New Roman" w:cs="Times New Roman"/>
          <w:sz w:val="14"/>
          <w:szCs w:val="14"/>
        </w:rPr>
      </w:pPr>
    </w:p>
    <w:p w14:paraId="2534FC58" w14:textId="77777777" w:rsidR="0024739F" w:rsidRPr="00E72418" w:rsidRDefault="0024739F" w:rsidP="0024739F">
      <w:pPr>
        <w:pStyle w:val="Paragraphedeliste"/>
        <w:numPr>
          <w:ilvl w:val="0"/>
          <w:numId w:val="19"/>
        </w:numPr>
        <w:spacing w:after="0"/>
        <w:rPr>
          <w:rFonts w:ascii="Times New Roman" w:hAnsi="Times New Roman" w:cs="Times New Roman"/>
          <w:szCs w:val="24"/>
        </w:rPr>
      </w:pPr>
      <w:r w:rsidRPr="00E72418">
        <w:rPr>
          <w:rFonts w:ascii="Times New Roman" w:hAnsi="Times New Roman" w:cs="Times New Roman"/>
          <w:smallCaps/>
          <w:szCs w:val="24"/>
        </w:rPr>
        <w:t>Zandstra</w:t>
      </w:r>
      <w:r w:rsidRPr="00E72418">
        <w:rPr>
          <w:rFonts w:ascii="Times New Roman" w:hAnsi="Times New Roman" w:cs="Times New Roman"/>
          <w:szCs w:val="24"/>
        </w:rPr>
        <w:t xml:space="preserve">, D., </w:t>
      </w:r>
      <w:r w:rsidRPr="00E72418">
        <w:rPr>
          <w:rFonts w:ascii="Times New Roman" w:hAnsi="Times New Roman" w:cs="Times New Roman"/>
          <w:smallCaps/>
          <w:szCs w:val="24"/>
        </w:rPr>
        <w:t>Zonis</w:t>
      </w:r>
      <w:r w:rsidRPr="00E72418">
        <w:rPr>
          <w:rFonts w:ascii="Times New Roman" w:hAnsi="Times New Roman" w:cs="Times New Roman"/>
          <w:szCs w:val="24"/>
        </w:rPr>
        <w:t xml:space="preserve">, J., </w:t>
      </w:r>
      <w:r w:rsidRPr="00E72418">
        <w:rPr>
          <w:rFonts w:ascii="Times New Roman" w:hAnsi="Times New Roman" w:cs="Times New Roman"/>
          <w:smallCaps/>
          <w:szCs w:val="24"/>
        </w:rPr>
        <w:t>Triaca</w:t>
      </w:r>
      <w:r w:rsidRPr="00E72418">
        <w:rPr>
          <w:rFonts w:ascii="Times New Roman" w:hAnsi="Times New Roman" w:cs="Times New Roman"/>
          <w:szCs w:val="24"/>
        </w:rPr>
        <w:t xml:space="preserve">, H. et </w:t>
      </w:r>
      <w:r w:rsidRPr="00E72418">
        <w:rPr>
          <w:rFonts w:ascii="Times New Roman" w:hAnsi="Times New Roman" w:cs="Times New Roman"/>
          <w:smallCaps/>
          <w:szCs w:val="24"/>
        </w:rPr>
        <w:t>DeMarco</w:t>
      </w:r>
      <w:r w:rsidRPr="00E72418">
        <w:rPr>
          <w:rFonts w:ascii="Times New Roman" w:hAnsi="Times New Roman" w:cs="Times New Roman"/>
          <w:szCs w:val="24"/>
        </w:rPr>
        <w:t xml:space="preserve">, J., « Proposed amendment to New York banking law through new article 7 », 13 mai 2021, disponible à l’adresse </w:t>
      </w:r>
      <w:hyperlink r:id="rId62" w:history="1">
        <w:r w:rsidRPr="00E72418">
          <w:rPr>
            <w:rStyle w:val="Lienhypertexte"/>
            <w:rFonts w:ascii="Times New Roman" w:hAnsi="Times New Roman" w:cs="Times New Roman"/>
            <w:color w:val="auto"/>
            <w:szCs w:val="24"/>
            <w:u w:val="none"/>
          </w:rPr>
          <w:t>www.cliffordchance.com/briefings/2021/05/sovereign-debt-restructuring--proposed-amendment-to-new-york-ban.html</w:t>
        </w:r>
      </w:hyperlink>
    </w:p>
    <w:p w14:paraId="5CEDB15B" w14:textId="7124B981" w:rsidR="0024739F" w:rsidRPr="00E72418" w:rsidRDefault="0024739F" w:rsidP="00A91208">
      <w:pPr>
        <w:rPr>
          <w:rFonts w:ascii="Times New Roman" w:hAnsi="Times New Roman" w:cs="Times New Roman"/>
          <w:szCs w:val="24"/>
          <w:lang w:val="en-US"/>
        </w:rPr>
      </w:pPr>
    </w:p>
    <w:p w14:paraId="28ED6C3F" w14:textId="77777777" w:rsidR="00FE6CE6" w:rsidRPr="00E72418" w:rsidRDefault="00FE6CE6" w:rsidP="00A91208">
      <w:pPr>
        <w:rPr>
          <w:rFonts w:ascii="Times New Roman" w:hAnsi="Times New Roman" w:cs="Times New Roman"/>
          <w:szCs w:val="24"/>
          <w:lang w:val="en-US"/>
        </w:rPr>
      </w:pPr>
    </w:p>
    <w:p w14:paraId="75FFD8FE" w14:textId="77777777" w:rsidR="00A91208" w:rsidRPr="00E72418" w:rsidRDefault="00A91208" w:rsidP="00A91208">
      <w:pPr>
        <w:pStyle w:val="CC"/>
      </w:pPr>
      <w:bookmarkStart w:id="537" w:name="_Toc84541055"/>
      <w:r w:rsidRPr="00E72418">
        <w:t>Articles de presse</w:t>
      </w:r>
      <w:bookmarkEnd w:id="537"/>
    </w:p>
    <w:p w14:paraId="73348E51" w14:textId="77777777" w:rsidR="00A91208" w:rsidRPr="00E72418" w:rsidRDefault="00A91208" w:rsidP="00A91208">
      <w:pPr>
        <w:rPr>
          <w:rFonts w:ascii="Times New Roman" w:hAnsi="Times New Roman" w:cs="Times New Roman"/>
          <w:sz w:val="28"/>
          <w:szCs w:val="28"/>
          <w:lang w:val="en-US"/>
        </w:rPr>
      </w:pPr>
    </w:p>
    <w:p w14:paraId="4244B7FB" w14:textId="788DC0CB" w:rsidR="00A91208" w:rsidRPr="00E72418" w:rsidRDefault="00A91208" w:rsidP="008D1D70">
      <w:pPr>
        <w:pStyle w:val="Paragraphedeliste"/>
        <w:numPr>
          <w:ilvl w:val="0"/>
          <w:numId w:val="21"/>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lang w:val="en-US"/>
        </w:rPr>
        <w:t>Autenne</w:t>
      </w:r>
      <w:r w:rsidRPr="00E72418">
        <w:rPr>
          <w:rFonts w:ascii="Times New Roman" w:hAnsi="Times New Roman" w:cs="Times New Roman"/>
          <w:szCs w:val="24"/>
          <w:lang w:val="en-US"/>
        </w:rPr>
        <w:t xml:space="preserve">, A., </w:t>
      </w:r>
      <w:r w:rsidRPr="00E72418">
        <w:rPr>
          <w:rFonts w:ascii="Times New Roman" w:hAnsi="Times New Roman" w:cs="Times New Roman"/>
          <w:szCs w:val="24"/>
        </w:rPr>
        <w:t xml:space="preserve">« Dette souveraine et vautours : La Belgique donne le ton », </w:t>
      </w:r>
      <w:r w:rsidRPr="00E72418">
        <w:rPr>
          <w:rFonts w:ascii="Times New Roman" w:hAnsi="Times New Roman" w:cs="Times New Roman"/>
          <w:i/>
          <w:szCs w:val="24"/>
        </w:rPr>
        <w:t>La Libre</w:t>
      </w:r>
      <w:r w:rsidRPr="00E72418">
        <w:rPr>
          <w:rFonts w:ascii="Times New Roman" w:hAnsi="Times New Roman" w:cs="Times New Roman"/>
          <w:szCs w:val="24"/>
        </w:rPr>
        <w:t>,</w:t>
      </w:r>
      <w:r w:rsidR="008C5B03" w:rsidRPr="00E72418">
        <w:rPr>
          <w:rFonts w:ascii="Times New Roman" w:hAnsi="Times New Roman" w:cs="Times New Roman"/>
          <w:szCs w:val="24"/>
        </w:rPr>
        <w:t xml:space="preserve"> 15 septembre 2015,</w:t>
      </w:r>
      <w:r w:rsidRPr="00E72418">
        <w:rPr>
          <w:rFonts w:ascii="Times New Roman" w:hAnsi="Times New Roman" w:cs="Times New Roman"/>
          <w:szCs w:val="24"/>
        </w:rPr>
        <w:t xml:space="preserve"> disponible à l’adresse </w:t>
      </w:r>
      <w:hyperlink r:id="rId63" w:history="1">
        <w:r w:rsidRPr="00E72418">
          <w:rPr>
            <w:rStyle w:val="Lienhypertexte"/>
            <w:rFonts w:ascii="Times New Roman" w:hAnsi="Times New Roman" w:cs="Times New Roman"/>
            <w:color w:val="auto"/>
            <w:szCs w:val="24"/>
            <w:u w:val="none"/>
          </w:rPr>
          <w:t>www.lalibre.be/debats/opinions/dette-souveraine-et-vautours-la-belgique-donne-le-ton-55f8380b35700fb92ee9e8b7</w:t>
        </w:r>
      </w:hyperlink>
    </w:p>
    <w:p w14:paraId="6152EA14" w14:textId="77777777" w:rsidR="00A91208" w:rsidRPr="00E72418" w:rsidRDefault="00A91208" w:rsidP="00A91208">
      <w:pPr>
        <w:pStyle w:val="Paragraphedeliste"/>
        <w:rPr>
          <w:rFonts w:ascii="Times New Roman" w:hAnsi="Times New Roman" w:cs="Times New Roman"/>
          <w:sz w:val="14"/>
          <w:szCs w:val="14"/>
        </w:rPr>
      </w:pPr>
    </w:p>
    <w:p w14:paraId="44EAEF8F" w14:textId="60DF3CB4" w:rsidR="00A91208" w:rsidRPr="00E72418" w:rsidRDefault="00A91208" w:rsidP="008D1D70">
      <w:pPr>
        <w:pStyle w:val="Paragraphedeliste"/>
        <w:numPr>
          <w:ilvl w:val="0"/>
          <w:numId w:val="21"/>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lang w:val="en-US"/>
        </w:rPr>
        <w:t>Charrel</w:t>
      </w:r>
      <w:r w:rsidRPr="00E72418">
        <w:rPr>
          <w:rFonts w:ascii="Times New Roman" w:hAnsi="Times New Roman" w:cs="Times New Roman"/>
          <w:szCs w:val="24"/>
          <w:lang w:val="en-US"/>
        </w:rPr>
        <w:t xml:space="preserve">, M., </w:t>
      </w:r>
      <w:r w:rsidRPr="00E72418">
        <w:rPr>
          <w:rFonts w:ascii="Times New Roman" w:hAnsi="Times New Roman" w:cs="Times New Roman"/>
          <w:szCs w:val="24"/>
        </w:rPr>
        <w:t xml:space="preserve">« L’Argentine se libère enfin des fonds vautours », </w:t>
      </w:r>
      <w:r w:rsidR="007D0FD0" w:rsidRPr="00E72418">
        <w:rPr>
          <w:rFonts w:ascii="Times New Roman" w:hAnsi="Times New Roman" w:cs="Times New Roman"/>
          <w:i/>
          <w:szCs w:val="24"/>
        </w:rPr>
        <w:t>Le Monde</w:t>
      </w:r>
      <w:r w:rsidR="007D0FD0" w:rsidRPr="00E72418">
        <w:rPr>
          <w:rFonts w:ascii="Times New Roman" w:hAnsi="Times New Roman" w:cs="Times New Roman"/>
          <w:szCs w:val="24"/>
        </w:rPr>
        <w:t xml:space="preserve">, </w:t>
      </w:r>
      <w:r w:rsidRPr="00E72418">
        <w:rPr>
          <w:rFonts w:ascii="Times New Roman" w:hAnsi="Times New Roman" w:cs="Times New Roman"/>
          <w:szCs w:val="24"/>
        </w:rPr>
        <w:t xml:space="preserve">31 mars 2016, disponible à l’adresse </w:t>
      </w:r>
      <w:hyperlink r:id="rId64" w:history="1">
        <w:r w:rsidRPr="00E72418">
          <w:rPr>
            <w:rStyle w:val="Lienhypertexte"/>
            <w:rFonts w:ascii="Times New Roman" w:hAnsi="Times New Roman" w:cs="Times New Roman"/>
            <w:color w:val="auto"/>
            <w:szCs w:val="24"/>
            <w:u w:val="none"/>
          </w:rPr>
          <w:t>www.lemonde.fr/economie/article/2016/03/31/l-argentine-se-libere-enfin-des-fonds-vautours_4893218_3234.html</w:t>
        </w:r>
      </w:hyperlink>
    </w:p>
    <w:p w14:paraId="03F5292E" w14:textId="77777777" w:rsidR="00A91208" w:rsidRPr="00E72418" w:rsidRDefault="00A91208" w:rsidP="00A91208">
      <w:pPr>
        <w:pStyle w:val="Paragraphedeliste"/>
        <w:rPr>
          <w:rFonts w:ascii="Times New Roman" w:hAnsi="Times New Roman" w:cs="Times New Roman"/>
          <w:sz w:val="14"/>
          <w:szCs w:val="14"/>
        </w:rPr>
      </w:pPr>
    </w:p>
    <w:p w14:paraId="6F397039" w14:textId="77777777" w:rsidR="00A91208" w:rsidRPr="00E72418" w:rsidRDefault="00A91208" w:rsidP="008D1D70">
      <w:pPr>
        <w:pStyle w:val="Paragraphedeliste"/>
        <w:numPr>
          <w:ilvl w:val="0"/>
          <w:numId w:val="21"/>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lang w:val="en-US"/>
        </w:rPr>
        <w:t xml:space="preserve">Guzman, M. </w:t>
      </w:r>
      <w:r w:rsidRPr="00E72418">
        <w:rPr>
          <w:rFonts w:ascii="Times New Roman" w:hAnsi="Times New Roman" w:cs="Times New Roman"/>
          <w:szCs w:val="24"/>
          <w:lang w:val="en-US"/>
        </w:rPr>
        <w:t xml:space="preserve">et </w:t>
      </w:r>
      <w:hyperlink r:id="rId65" w:tgtFrame="_blank" w:history="1">
        <w:r w:rsidRPr="00E72418">
          <w:rPr>
            <w:rStyle w:val="SansinterligneCar"/>
            <w:rFonts w:ascii="Times New Roman" w:hAnsi="Times New Roman" w:cs="Times New Roman"/>
            <w:smallCaps/>
            <w:sz w:val="24"/>
            <w:szCs w:val="24"/>
            <w:lang w:val="en-US"/>
          </w:rPr>
          <w:t>Stiglitz</w:t>
        </w:r>
      </w:hyperlink>
      <w:r w:rsidRPr="00E72418">
        <w:rPr>
          <w:rFonts w:ascii="Times New Roman" w:hAnsi="Times New Roman" w:cs="Times New Roman"/>
          <w:szCs w:val="24"/>
          <w:lang w:val="en-US"/>
        </w:rPr>
        <w:t xml:space="preserve">, J., « How Hedge Funds Held Argentina for Ransom », </w:t>
      </w:r>
      <w:r w:rsidRPr="00E72418">
        <w:rPr>
          <w:rFonts w:ascii="Times New Roman" w:hAnsi="Times New Roman" w:cs="Times New Roman"/>
          <w:i/>
          <w:szCs w:val="24"/>
          <w:lang w:val="en-US"/>
        </w:rPr>
        <w:t>The New York Times</w:t>
      </w:r>
      <w:r w:rsidRPr="00E72418">
        <w:rPr>
          <w:rFonts w:ascii="Times New Roman" w:hAnsi="Times New Roman" w:cs="Times New Roman"/>
          <w:szCs w:val="24"/>
          <w:lang w:val="en-US"/>
        </w:rPr>
        <w:t xml:space="preserve">, </w:t>
      </w:r>
      <w:r w:rsidRPr="00E72418">
        <w:rPr>
          <w:rFonts w:ascii="Times New Roman" w:hAnsi="Times New Roman" w:cs="Times New Roman"/>
          <w:szCs w:val="24"/>
        </w:rPr>
        <w:t>1</w:t>
      </w:r>
      <w:r w:rsidRPr="00E72418">
        <w:rPr>
          <w:rFonts w:ascii="Times New Roman" w:hAnsi="Times New Roman" w:cs="Times New Roman"/>
          <w:szCs w:val="24"/>
          <w:vertAlign w:val="superscript"/>
        </w:rPr>
        <w:t>er</w:t>
      </w:r>
      <w:r w:rsidRPr="00E72418">
        <w:rPr>
          <w:rFonts w:ascii="Times New Roman" w:hAnsi="Times New Roman" w:cs="Times New Roman"/>
          <w:szCs w:val="24"/>
          <w:lang w:val="en-US"/>
        </w:rPr>
        <w:t xml:space="preserve"> avril 2016, disponible à l’adresse </w:t>
      </w:r>
      <w:hyperlink r:id="rId66" w:history="1">
        <w:r w:rsidRPr="00E72418">
          <w:rPr>
            <w:rStyle w:val="Lienhypertexte"/>
            <w:rFonts w:ascii="Times New Roman" w:hAnsi="Times New Roman" w:cs="Times New Roman"/>
            <w:color w:val="auto"/>
            <w:szCs w:val="24"/>
            <w:u w:val="none"/>
            <w:lang w:val="en-US"/>
          </w:rPr>
          <w:t>www.nytimes.com/2016/04/01/opinion/how-hedge-funds-held-argentina-for-ransom.html</w:t>
        </w:r>
      </w:hyperlink>
    </w:p>
    <w:p w14:paraId="0993227D" w14:textId="77777777" w:rsidR="00A91208" w:rsidRPr="00E72418" w:rsidRDefault="00A91208" w:rsidP="00A91208">
      <w:pPr>
        <w:pStyle w:val="Paragraphedeliste"/>
        <w:rPr>
          <w:rFonts w:ascii="Times New Roman" w:hAnsi="Times New Roman" w:cs="Times New Roman"/>
          <w:sz w:val="14"/>
          <w:szCs w:val="14"/>
        </w:rPr>
      </w:pPr>
    </w:p>
    <w:p w14:paraId="6C9EB88D" w14:textId="77777777" w:rsidR="00A91208" w:rsidRPr="00E72418" w:rsidRDefault="00A91208" w:rsidP="008D1D70">
      <w:pPr>
        <w:pStyle w:val="Paragraphedeliste"/>
        <w:numPr>
          <w:ilvl w:val="0"/>
          <w:numId w:val="21"/>
        </w:numPr>
        <w:spacing w:after="0"/>
        <w:rPr>
          <w:rFonts w:ascii="Times New Roman" w:hAnsi="Times New Roman" w:cs="Times New Roman"/>
          <w:szCs w:val="24"/>
          <w:lang w:val="en-US"/>
        </w:rPr>
      </w:pPr>
      <w:r w:rsidRPr="00E72418">
        <w:rPr>
          <w:rFonts w:ascii="Times New Roman" w:hAnsi="Times New Roman" w:cs="Times New Roman"/>
          <w:smallCaps/>
          <w:szCs w:val="24"/>
        </w:rPr>
        <w:t>Mbaye</w:t>
      </w:r>
      <w:r w:rsidRPr="00E72418">
        <w:rPr>
          <w:rFonts w:ascii="Times New Roman" w:hAnsi="Times New Roman" w:cs="Times New Roman"/>
          <w:szCs w:val="24"/>
        </w:rPr>
        <w:t xml:space="preserve">, S., « Métamorphoses de la dette africaine », </w:t>
      </w:r>
      <w:r w:rsidRPr="00E72418">
        <w:rPr>
          <w:rFonts w:ascii="Times New Roman" w:hAnsi="Times New Roman" w:cs="Times New Roman"/>
          <w:i/>
          <w:szCs w:val="24"/>
        </w:rPr>
        <w:t>Le Monde diplomatique</w:t>
      </w:r>
      <w:r w:rsidRPr="00E72418">
        <w:rPr>
          <w:rFonts w:ascii="Times New Roman" w:hAnsi="Times New Roman" w:cs="Times New Roman"/>
          <w:szCs w:val="24"/>
        </w:rPr>
        <w:t>, 1</w:t>
      </w:r>
      <w:r w:rsidRPr="00E72418">
        <w:rPr>
          <w:rFonts w:ascii="Times New Roman" w:hAnsi="Times New Roman" w:cs="Times New Roman"/>
          <w:szCs w:val="24"/>
          <w:vertAlign w:val="superscript"/>
        </w:rPr>
        <w:t>er</w:t>
      </w:r>
      <w:r w:rsidRPr="00E72418">
        <w:rPr>
          <w:rFonts w:ascii="Times New Roman" w:hAnsi="Times New Roman" w:cs="Times New Roman"/>
          <w:szCs w:val="24"/>
        </w:rPr>
        <w:t xml:space="preserve"> mai 2015</w:t>
      </w:r>
    </w:p>
    <w:p w14:paraId="201ADA55" w14:textId="77777777" w:rsidR="00A91208" w:rsidRPr="00E72418" w:rsidRDefault="00A91208" w:rsidP="00A91208">
      <w:pPr>
        <w:pStyle w:val="Paragraphedeliste"/>
        <w:rPr>
          <w:rFonts w:ascii="Times New Roman" w:hAnsi="Times New Roman" w:cs="Times New Roman"/>
          <w:sz w:val="14"/>
          <w:szCs w:val="14"/>
          <w:lang w:val="en-US"/>
        </w:rPr>
      </w:pPr>
    </w:p>
    <w:p w14:paraId="4136B1F1" w14:textId="77777777" w:rsidR="00A91208" w:rsidRPr="00E72418" w:rsidRDefault="00A91208" w:rsidP="008D1D70">
      <w:pPr>
        <w:pStyle w:val="Paragraphedeliste"/>
        <w:numPr>
          <w:ilvl w:val="0"/>
          <w:numId w:val="21"/>
        </w:numPr>
        <w:spacing w:after="0"/>
        <w:rPr>
          <w:rFonts w:ascii="Times New Roman" w:hAnsi="Times New Roman" w:cs="Times New Roman"/>
          <w:szCs w:val="24"/>
          <w:lang w:val="en-US"/>
        </w:rPr>
      </w:pPr>
      <w:r w:rsidRPr="00E72418">
        <w:rPr>
          <w:rFonts w:ascii="Times New Roman" w:hAnsi="Times New Roman" w:cs="Times New Roman"/>
          <w:smallCaps/>
          <w:szCs w:val="24"/>
        </w:rPr>
        <w:t>Stiglitz</w:t>
      </w:r>
      <w:r w:rsidRPr="00E72418">
        <w:rPr>
          <w:rFonts w:ascii="Times New Roman" w:hAnsi="Times New Roman" w:cs="Times New Roman"/>
          <w:szCs w:val="24"/>
        </w:rPr>
        <w:t xml:space="preserve">, J., </w:t>
      </w:r>
      <w:r w:rsidRPr="00E72418">
        <w:rPr>
          <w:rFonts w:ascii="Times New Roman" w:hAnsi="Times New Roman" w:cs="Times New Roman"/>
          <w:smallCaps/>
          <w:szCs w:val="24"/>
        </w:rPr>
        <w:t>Howse, R.</w:t>
      </w:r>
      <w:r w:rsidRPr="00E72418">
        <w:rPr>
          <w:rFonts w:ascii="Times New Roman" w:hAnsi="Times New Roman" w:cs="Times New Roman"/>
          <w:szCs w:val="24"/>
        </w:rPr>
        <w:t xml:space="preserve"> et </w:t>
      </w:r>
      <w:r w:rsidRPr="00E72418">
        <w:rPr>
          <w:rFonts w:ascii="Times New Roman" w:hAnsi="Times New Roman" w:cs="Times New Roman"/>
          <w:smallCaps/>
          <w:szCs w:val="24"/>
        </w:rPr>
        <w:t>Slaughter</w:t>
      </w:r>
      <w:r w:rsidRPr="00E72418">
        <w:rPr>
          <w:rFonts w:ascii="Times New Roman" w:hAnsi="Times New Roman" w:cs="Times New Roman"/>
          <w:szCs w:val="24"/>
        </w:rPr>
        <w:t xml:space="preserve">, A.-M., « Covid-19 is no excuse for sovereign creditors to move the goalposts on debt », </w:t>
      </w:r>
      <w:r w:rsidRPr="00E72418">
        <w:rPr>
          <w:rFonts w:ascii="Times New Roman" w:hAnsi="Times New Roman" w:cs="Times New Roman"/>
          <w:i/>
          <w:szCs w:val="24"/>
        </w:rPr>
        <w:t>The Guardian</w:t>
      </w:r>
      <w:r w:rsidRPr="00E72418">
        <w:rPr>
          <w:rFonts w:ascii="Times New Roman" w:hAnsi="Times New Roman" w:cs="Times New Roman"/>
          <w:szCs w:val="24"/>
        </w:rPr>
        <w:t xml:space="preserve">, 13 juillet 2020, disponible à l’adresse </w:t>
      </w:r>
      <w:hyperlink r:id="rId67" w:history="1">
        <w:r w:rsidRPr="00E72418">
          <w:rPr>
            <w:rStyle w:val="Lienhypertexte"/>
            <w:rFonts w:ascii="Times New Roman" w:hAnsi="Times New Roman" w:cs="Times New Roman"/>
            <w:color w:val="auto"/>
            <w:szCs w:val="24"/>
            <w:u w:val="none"/>
          </w:rPr>
          <w:t>www.theguardian.com/business/2020/jul/13/covid-19-is-no-excuse-for-sovereign-creditors-to-move-the-goalposts-argentina-debt</w:t>
        </w:r>
      </w:hyperlink>
    </w:p>
    <w:p w14:paraId="6A5533D4" w14:textId="77777777" w:rsidR="00A91208" w:rsidRPr="00E72418" w:rsidRDefault="00A91208" w:rsidP="00A91208">
      <w:pPr>
        <w:pStyle w:val="Paragraphedeliste"/>
        <w:rPr>
          <w:rFonts w:ascii="Times New Roman" w:hAnsi="Times New Roman" w:cs="Times New Roman"/>
          <w:sz w:val="14"/>
          <w:szCs w:val="14"/>
          <w:lang w:val="en-US"/>
        </w:rPr>
      </w:pPr>
    </w:p>
    <w:p w14:paraId="0A181969" w14:textId="7F1CB5AF" w:rsidR="007C2073" w:rsidRPr="00E72418" w:rsidRDefault="00A91208" w:rsidP="007C2073">
      <w:pPr>
        <w:pStyle w:val="Paragraphedeliste"/>
        <w:numPr>
          <w:ilvl w:val="0"/>
          <w:numId w:val="21"/>
        </w:numPr>
        <w:spacing w:after="0"/>
        <w:rPr>
          <w:rFonts w:ascii="Times New Roman" w:hAnsi="Times New Roman" w:cs="Times New Roman"/>
          <w:szCs w:val="24"/>
          <w:lang w:val="en-US"/>
        </w:rPr>
      </w:pPr>
      <w:r w:rsidRPr="00E72418">
        <w:rPr>
          <w:rFonts w:ascii="Times New Roman" w:hAnsi="Times New Roman" w:cs="Times New Roman"/>
          <w:smallCaps/>
          <w:szCs w:val="24"/>
        </w:rPr>
        <w:t>Stiglitz, J.</w:t>
      </w:r>
      <w:r w:rsidRPr="00E72418">
        <w:rPr>
          <w:rFonts w:ascii="Times New Roman" w:hAnsi="Times New Roman" w:cs="Times New Roman"/>
          <w:szCs w:val="24"/>
        </w:rPr>
        <w:t xml:space="preserve"> et </w:t>
      </w:r>
      <w:r w:rsidRPr="00E72418">
        <w:rPr>
          <w:rFonts w:ascii="Times New Roman" w:hAnsi="Times New Roman" w:cs="Times New Roman"/>
          <w:smallCaps/>
          <w:szCs w:val="24"/>
        </w:rPr>
        <w:t>Guzman</w:t>
      </w:r>
      <w:r w:rsidRPr="00E72418">
        <w:rPr>
          <w:rFonts w:ascii="Times New Roman" w:hAnsi="Times New Roman" w:cs="Times New Roman"/>
          <w:szCs w:val="24"/>
        </w:rPr>
        <w:t xml:space="preserve">, M., « Argentina default ? Griesafault is much more accurate », </w:t>
      </w:r>
      <w:r w:rsidRPr="00E72418">
        <w:rPr>
          <w:rFonts w:ascii="Times New Roman" w:hAnsi="Times New Roman" w:cs="Times New Roman"/>
          <w:i/>
          <w:szCs w:val="24"/>
        </w:rPr>
        <w:t>The Guardian</w:t>
      </w:r>
      <w:r w:rsidRPr="00E72418">
        <w:rPr>
          <w:rFonts w:ascii="Times New Roman" w:hAnsi="Times New Roman" w:cs="Times New Roman"/>
          <w:szCs w:val="24"/>
        </w:rPr>
        <w:t xml:space="preserve">, 7 août 2014, disponible à l’adresse </w:t>
      </w:r>
      <w:hyperlink r:id="rId68" w:history="1">
        <w:r w:rsidR="00B359C0" w:rsidRPr="00E72418">
          <w:rPr>
            <w:rStyle w:val="Lienhypertexte"/>
            <w:rFonts w:ascii="Times New Roman" w:hAnsi="Times New Roman" w:cs="Times New Roman"/>
            <w:color w:val="auto"/>
            <w:szCs w:val="24"/>
            <w:u w:val="none"/>
          </w:rPr>
          <w:t>www.theguardian.com/business/2014/aug/07/argentina-default-griesafault-more-accurate</w:t>
        </w:r>
      </w:hyperlink>
    </w:p>
    <w:p w14:paraId="0D7F0716" w14:textId="77777777" w:rsidR="007C2073" w:rsidRPr="00E72418" w:rsidRDefault="007C2073" w:rsidP="007C2073">
      <w:pPr>
        <w:pStyle w:val="Paragraphedeliste"/>
        <w:spacing w:after="0"/>
        <w:rPr>
          <w:rFonts w:ascii="Times New Roman" w:hAnsi="Times New Roman" w:cs="Times New Roman"/>
          <w:sz w:val="14"/>
          <w:szCs w:val="14"/>
          <w:lang w:val="en-US"/>
        </w:rPr>
      </w:pPr>
    </w:p>
    <w:p w14:paraId="3CD074BE" w14:textId="582B3AE3" w:rsidR="00A91208" w:rsidRPr="00E72418" w:rsidRDefault="00A91208" w:rsidP="008D1D70">
      <w:pPr>
        <w:pStyle w:val="Paragraphedeliste"/>
        <w:numPr>
          <w:ilvl w:val="0"/>
          <w:numId w:val="21"/>
        </w:numPr>
        <w:spacing w:after="0"/>
        <w:rPr>
          <w:rStyle w:val="Lienhypertexte"/>
          <w:rFonts w:ascii="Times New Roman" w:hAnsi="Times New Roman" w:cs="Times New Roman"/>
          <w:color w:val="auto"/>
          <w:szCs w:val="24"/>
          <w:u w:val="none"/>
          <w:lang w:val="en-US"/>
        </w:rPr>
      </w:pPr>
      <w:r w:rsidRPr="00E72418">
        <w:rPr>
          <w:rFonts w:ascii="Times New Roman" w:hAnsi="Times New Roman" w:cs="Times New Roman"/>
          <w:szCs w:val="24"/>
        </w:rPr>
        <w:t xml:space="preserve">X., « Many countries need debt relief », </w:t>
      </w:r>
      <w:r w:rsidRPr="00E72418">
        <w:rPr>
          <w:rFonts w:ascii="Times New Roman" w:hAnsi="Times New Roman" w:cs="Times New Roman"/>
          <w:i/>
          <w:szCs w:val="24"/>
        </w:rPr>
        <w:t>The Economist</w:t>
      </w:r>
      <w:r w:rsidRPr="00E72418">
        <w:rPr>
          <w:rFonts w:ascii="Times New Roman" w:hAnsi="Times New Roman" w:cs="Times New Roman"/>
          <w:szCs w:val="24"/>
        </w:rPr>
        <w:t xml:space="preserve">, 21 novembre 2020, disponible à l’adresse </w:t>
      </w:r>
      <w:hyperlink r:id="rId69" w:history="1">
        <w:r w:rsidRPr="00E72418">
          <w:rPr>
            <w:rStyle w:val="Lienhypertexte"/>
            <w:rFonts w:ascii="Times New Roman" w:hAnsi="Times New Roman" w:cs="Times New Roman"/>
            <w:color w:val="auto"/>
            <w:szCs w:val="24"/>
            <w:u w:val="none"/>
          </w:rPr>
          <w:t>www.economist.com/leaders/2020/11/21/many-countries-need-debt-relief</w:t>
        </w:r>
      </w:hyperlink>
    </w:p>
    <w:p w14:paraId="1DC3D35F" w14:textId="77777777" w:rsidR="007D0FD0" w:rsidRPr="00E72418" w:rsidRDefault="007D0FD0" w:rsidP="007C2073">
      <w:pPr>
        <w:rPr>
          <w:rFonts w:ascii="Times New Roman" w:hAnsi="Times New Roman" w:cs="Times New Roman"/>
          <w:szCs w:val="24"/>
          <w:lang w:val="en-US"/>
        </w:rPr>
      </w:pPr>
    </w:p>
    <w:p w14:paraId="4C815D9A" w14:textId="0C54302A" w:rsidR="00A91208" w:rsidRPr="00E72418" w:rsidRDefault="00A91208" w:rsidP="00A91208">
      <w:pPr>
        <w:pStyle w:val="CC"/>
      </w:pPr>
      <w:bookmarkStart w:id="538" w:name="_Toc84541056"/>
      <w:r w:rsidRPr="00E72418">
        <w:lastRenderedPageBreak/>
        <w:t>Liens internet</w:t>
      </w:r>
      <w:bookmarkEnd w:id="538"/>
    </w:p>
    <w:p w14:paraId="160F3019" w14:textId="6A471B31" w:rsidR="00BB012A" w:rsidRPr="00E72418" w:rsidRDefault="00BB012A" w:rsidP="00FE6CE6"/>
    <w:p w14:paraId="0D8D7551" w14:textId="0AFD1A0F" w:rsidR="00DC6838" w:rsidRPr="00E72418" w:rsidRDefault="0030147D" w:rsidP="008D1D70">
      <w:pPr>
        <w:pStyle w:val="Paragraphedeliste"/>
        <w:numPr>
          <w:ilvl w:val="0"/>
          <w:numId w:val="22"/>
        </w:numPr>
        <w:spacing w:after="0"/>
        <w:rPr>
          <w:rFonts w:ascii="Times New Roman" w:hAnsi="Times New Roman" w:cs="Times New Roman"/>
          <w:szCs w:val="24"/>
        </w:rPr>
      </w:pPr>
      <w:hyperlink r:id="rId70" w:history="1">
        <w:r w:rsidR="00DC6838" w:rsidRPr="00E72418">
          <w:rPr>
            <w:rStyle w:val="Lienhypertexte"/>
            <w:color w:val="auto"/>
            <w:szCs w:val="20"/>
            <w:u w:val="none"/>
          </w:rPr>
          <w:t>www.uscourts.gov/services-forms/bankruptcy/bankruptcy-basics/chapter-9-bankruptcy-basics</w:t>
        </w:r>
      </w:hyperlink>
    </w:p>
    <w:p w14:paraId="03707351" w14:textId="77777777" w:rsidR="00DC6838" w:rsidRPr="00E72418" w:rsidRDefault="00DC6838" w:rsidP="007C2073">
      <w:pPr>
        <w:pStyle w:val="Paragraphedeliste"/>
        <w:spacing w:after="0"/>
        <w:rPr>
          <w:rFonts w:ascii="Times New Roman" w:hAnsi="Times New Roman" w:cs="Times New Roman"/>
          <w:sz w:val="14"/>
          <w:szCs w:val="14"/>
        </w:rPr>
      </w:pPr>
    </w:p>
    <w:p w14:paraId="58B5367A" w14:textId="0B5D321C" w:rsidR="007C2073" w:rsidRPr="00E72418" w:rsidRDefault="0030147D" w:rsidP="00FE6CE6">
      <w:pPr>
        <w:pStyle w:val="Paragraphedeliste"/>
        <w:numPr>
          <w:ilvl w:val="0"/>
          <w:numId w:val="22"/>
        </w:numPr>
        <w:spacing w:after="0"/>
        <w:rPr>
          <w:rFonts w:ascii="Times New Roman" w:hAnsi="Times New Roman" w:cs="Times New Roman"/>
          <w:szCs w:val="24"/>
        </w:rPr>
      </w:pPr>
      <w:hyperlink r:id="rId71" w:history="1">
        <w:r w:rsidR="00BB012A" w:rsidRPr="00E72418">
          <w:rPr>
            <w:rStyle w:val="Lienhypertexte"/>
            <w:color w:val="auto"/>
            <w:szCs w:val="20"/>
            <w:u w:val="none"/>
            <w:lang w:val="en-US"/>
          </w:rPr>
          <w:t>www.africa-eu-partnership.org/en/projects/african-legal-support-facility-alsf</w:t>
        </w:r>
      </w:hyperlink>
    </w:p>
    <w:p w14:paraId="42B49F09" w14:textId="77777777" w:rsidR="00FE6CE6" w:rsidRPr="00E72418" w:rsidRDefault="00FE6CE6" w:rsidP="00FE6CE6">
      <w:pPr>
        <w:pStyle w:val="Paragraphedeliste"/>
        <w:spacing w:after="0"/>
        <w:rPr>
          <w:rFonts w:ascii="Times New Roman" w:hAnsi="Times New Roman" w:cs="Times New Roman"/>
          <w:sz w:val="14"/>
          <w:szCs w:val="14"/>
        </w:rPr>
      </w:pPr>
    </w:p>
    <w:p w14:paraId="17DC6EB1" w14:textId="6ED6D4F5" w:rsidR="00A91208" w:rsidRPr="00E72418" w:rsidRDefault="0030147D" w:rsidP="00A91208">
      <w:pPr>
        <w:pStyle w:val="Paragraphedeliste"/>
        <w:numPr>
          <w:ilvl w:val="0"/>
          <w:numId w:val="22"/>
        </w:numPr>
        <w:spacing w:after="0"/>
        <w:rPr>
          <w:rStyle w:val="Lienhypertexte"/>
          <w:rFonts w:ascii="Times New Roman" w:hAnsi="Times New Roman" w:cs="Times New Roman"/>
          <w:color w:val="auto"/>
          <w:szCs w:val="24"/>
          <w:u w:val="none"/>
        </w:rPr>
      </w:pPr>
      <w:hyperlink r:id="rId72" w:history="1">
        <w:r w:rsidR="00A91208" w:rsidRPr="00E72418">
          <w:rPr>
            <w:rStyle w:val="Lienhypertexte"/>
            <w:rFonts w:ascii="Times New Roman" w:hAnsi="Times New Roman" w:cs="Times New Roman"/>
            <w:color w:val="auto"/>
            <w:szCs w:val="24"/>
            <w:u w:val="none"/>
          </w:rPr>
          <w:t>www.clubdeparis.org/en/communications/page/who-are-the-members-of-the-paris-club</w:t>
        </w:r>
      </w:hyperlink>
    </w:p>
    <w:p w14:paraId="6A39C581" w14:textId="77777777" w:rsidR="007C2073" w:rsidRPr="00E72418" w:rsidRDefault="007C2073" w:rsidP="007C2073">
      <w:pPr>
        <w:pStyle w:val="Paragraphedeliste"/>
        <w:spacing w:after="0"/>
        <w:rPr>
          <w:rFonts w:ascii="Times New Roman" w:hAnsi="Times New Roman" w:cs="Times New Roman"/>
          <w:sz w:val="14"/>
          <w:szCs w:val="14"/>
        </w:rPr>
      </w:pPr>
    </w:p>
    <w:p w14:paraId="5625D718" w14:textId="7F332B5D" w:rsidR="00A91208" w:rsidRPr="00E72418" w:rsidRDefault="0030147D" w:rsidP="00A91208">
      <w:pPr>
        <w:pStyle w:val="Paragraphedeliste"/>
        <w:numPr>
          <w:ilvl w:val="0"/>
          <w:numId w:val="22"/>
        </w:numPr>
        <w:spacing w:after="0"/>
        <w:rPr>
          <w:rFonts w:ascii="Times New Roman" w:hAnsi="Times New Roman" w:cs="Times New Roman"/>
          <w:szCs w:val="24"/>
        </w:rPr>
      </w:pPr>
      <w:hyperlink r:id="rId73" w:history="1">
        <w:r w:rsidR="00A91208" w:rsidRPr="00E72418">
          <w:rPr>
            <w:rStyle w:val="Lienhypertexte"/>
            <w:rFonts w:ascii="Times New Roman" w:hAnsi="Times New Roman" w:cs="Times New Roman"/>
            <w:color w:val="auto"/>
            <w:szCs w:val="24"/>
            <w:u w:val="none"/>
          </w:rPr>
          <w:t>www.clubdeparis.org/fr/communications/page/initiative-ppte</w:t>
        </w:r>
      </w:hyperlink>
    </w:p>
    <w:p w14:paraId="2955D847" w14:textId="77777777" w:rsidR="007C2073" w:rsidRPr="00E72418" w:rsidRDefault="007C2073" w:rsidP="007C2073">
      <w:pPr>
        <w:pStyle w:val="Paragraphedeliste"/>
        <w:spacing w:after="0"/>
        <w:rPr>
          <w:rFonts w:ascii="Times New Roman" w:hAnsi="Times New Roman" w:cs="Times New Roman"/>
          <w:sz w:val="14"/>
          <w:szCs w:val="14"/>
        </w:rPr>
      </w:pPr>
    </w:p>
    <w:p w14:paraId="5E083227" w14:textId="23A4DA0C" w:rsidR="00A91208" w:rsidRPr="00E72418" w:rsidRDefault="00A91208" w:rsidP="00A91208">
      <w:pPr>
        <w:pStyle w:val="Paragraphedeliste"/>
        <w:numPr>
          <w:ilvl w:val="0"/>
          <w:numId w:val="22"/>
        </w:numPr>
        <w:spacing w:after="0"/>
        <w:rPr>
          <w:rFonts w:ascii="Times New Roman" w:hAnsi="Times New Roman" w:cs="Times New Roman"/>
          <w:szCs w:val="24"/>
        </w:rPr>
      </w:pPr>
      <w:r w:rsidRPr="00E72418">
        <w:rPr>
          <w:rFonts w:ascii="Times New Roman" w:hAnsi="Times New Roman" w:cs="Times New Roman"/>
          <w:szCs w:val="24"/>
        </w:rPr>
        <w:t>www.clubdeparis.org/fr/communications/page/six-principes</w:t>
      </w:r>
    </w:p>
    <w:p w14:paraId="58CA8E6D" w14:textId="77777777" w:rsidR="007C2073" w:rsidRPr="00E72418" w:rsidRDefault="007C2073" w:rsidP="007C2073">
      <w:pPr>
        <w:pStyle w:val="Paragraphedeliste"/>
        <w:spacing w:after="0"/>
        <w:rPr>
          <w:rFonts w:ascii="Times New Roman" w:hAnsi="Times New Roman" w:cs="Times New Roman"/>
          <w:sz w:val="14"/>
          <w:szCs w:val="14"/>
        </w:rPr>
      </w:pPr>
    </w:p>
    <w:p w14:paraId="610F9255" w14:textId="5A6E63F2" w:rsidR="000F6E8F" w:rsidRPr="00E72418" w:rsidRDefault="0030147D" w:rsidP="007C2073">
      <w:pPr>
        <w:pStyle w:val="Paragraphedeliste"/>
        <w:numPr>
          <w:ilvl w:val="0"/>
          <w:numId w:val="22"/>
        </w:numPr>
        <w:spacing w:after="0"/>
        <w:rPr>
          <w:rFonts w:ascii="Times New Roman" w:hAnsi="Times New Roman" w:cs="Times New Roman"/>
          <w:szCs w:val="24"/>
        </w:rPr>
      </w:pPr>
      <w:hyperlink r:id="rId74" w:history="1">
        <w:r w:rsidR="00A91208" w:rsidRPr="00E72418">
          <w:rPr>
            <w:rStyle w:val="Lienhypertexte"/>
            <w:rFonts w:ascii="Times New Roman" w:hAnsi="Times New Roman" w:cs="Times New Roman"/>
            <w:color w:val="auto"/>
            <w:szCs w:val="24"/>
            <w:u w:val="none"/>
          </w:rPr>
          <w:t>www.clubdeparis.org/fr/communications/page/termes-naples</w:t>
        </w:r>
      </w:hyperlink>
    </w:p>
    <w:p w14:paraId="393D72C9" w14:textId="77777777" w:rsidR="007C2073" w:rsidRPr="00E72418" w:rsidRDefault="007C2073" w:rsidP="007C2073">
      <w:pPr>
        <w:pStyle w:val="Paragraphedeliste"/>
        <w:spacing w:after="0"/>
        <w:rPr>
          <w:rFonts w:ascii="Times New Roman" w:hAnsi="Times New Roman" w:cs="Times New Roman"/>
          <w:sz w:val="14"/>
          <w:szCs w:val="14"/>
        </w:rPr>
      </w:pPr>
    </w:p>
    <w:p w14:paraId="5062FDF6" w14:textId="3456CE89" w:rsidR="00F735C0" w:rsidRPr="00E72418" w:rsidRDefault="0030147D" w:rsidP="007C2073">
      <w:pPr>
        <w:pStyle w:val="Paragraphedeliste"/>
        <w:numPr>
          <w:ilvl w:val="0"/>
          <w:numId w:val="22"/>
        </w:numPr>
        <w:spacing w:after="0"/>
        <w:rPr>
          <w:rFonts w:ascii="Times New Roman" w:hAnsi="Times New Roman" w:cs="Times New Roman"/>
          <w:szCs w:val="24"/>
        </w:rPr>
      </w:pPr>
      <w:hyperlink r:id="rId75" w:history="1">
        <w:r w:rsidR="00F735C0" w:rsidRPr="00E72418">
          <w:rPr>
            <w:rStyle w:val="Lienhypertexte"/>
            <w:color w:val="auto"/>
            <w:u w:val="none"/>
          </w:rPr>
          <w:t>www.equator-principles.com/wp-content/uploads/2020/09/EP4_French.pdf</w:t>
        </w:r>
      </w:hyperlink>
    </w:p>
    <w:p w14:paraId="5EA05596" w14:textId="77777777" w:rsidR="007C2073" w:rsidRPr="00E72418" w:rsidRDefault="007C2073" w:rsidP="007C2073">
      <w:pPr>
        <w:pStyle w:val="Paragraphedeliste"/>
        <w:spacing w:after="0"/>
        <w:rPr>
          <w:rFonts w:ascii="Times New Roman" w:hAnsi="Times New Roman" w:cs="Times New Roman"/>
          <w:sz w:val="14"/>
          <w:szCs w:val="14"/>
        </w:rPr>
      </w:pPr>
    </w:p>
    <w:p w14:paraId="6A296187" w14:textId="5F1F58FC" w:rsidR="00A91208" w:rsidRPr="00E72418" w:rsidRDefault="00F735C0" w:rsidP="00A91208">
      <w:pPr>
        <w:pStyle w:val="Paragraphedeliste"/>
        <w:numPr>
          <w:ilvl w:val="0"/>
          <w:numId w:val="22"/>
        </w:numPr>
        <w:spacing w:after="0"/>
        <w:rPr>
          <w:rFonts w:ascii="Times New Roman" w:hAnsi="Times New Roman" w:cs="Times New Roman"/>
          <w:szCs w:val="24"/>
        </w:rPr>
      </w:pPr>
      <w:r w:rsidRPr="00E72418">
        <w:t>w</w:t>
      </w:r>
      <w:r w:rsidR="007C2073" w:rsidRPr="00E72418">
        <w:t>ww.imf.org/external/pubs/ft/dsa</w:t>
      </w:r>
    </w:p>
    <w:p w14:paraId="1A2315BF" w14:textId="77777777" w:rsidR="007C2073" w:rsidRPr="00E72418" w:rsidRDefault="007C2073" w:rsidP="007C2073">
      <w:pPr>
        <w:pStyle w:val="Paragraphedeliste"/>
        <w:spacing w:after="0"/>
        <w:rPr>
          <w:rFonts w:ascii="Times New Roman" w:hAnsi="Times New Roman" w:cs="Times New Roman"/>
          <w:sz w:val="14"/>
          <w:szCs w:val="14"/>
        </w:rPr>
      </w:pPr>
    </w:p>
    <w:p w14:paraId="2B49D775" w14:textId="147B4E80" w:rsidR="00A91208" w:rsidRPr="00E72418" w:rsidRDefault="0030147D" w:rsidP="00A91208">
      <w:pPr>
        <w:pStyle w:val="Paragraphedeliste"/>
        <w:numPr>
          <w:ilvl w:val="0"/>
          <w:numId w:val="22"/>
        </w:numPr>
        <w:spacing w:after="0"/>
        <w:rPr>
          <w:rFonts w:ascii="Times New Roman" w:hAnsi="Times New Roman" w:cs="Times New Roman"/>
          <w:szCs w:val="24"/>
        </w:rPr>
      </w:pPr>
      <w:hyperlink r:id="rId76" w:history="1">
        <w:r w:rsidR="00A91208" w:rsidRPr="00E72418">
          <w:rPr>
            <w:rStyle w:val="Lienhypertexte"/>
            <w:rFonts w:ascii="Times New Roman" w:hAnsi="Times New Roman" w:cs="Times New Roman"/>
            <w:color w:val="auto"/>
            <w:szCs w:val="24"/>
            <w:u w:val="none"/>
          </w:rPr>
          <w:t>www.imf.org/external/np/exr/facts/fre/hipcf.htm</w:t>
        </w:r>
      </w:hyperlink>
    </w:p>
    <w:p w14:paraId="2247A4BE" w14:textId="77777777" w:rsidR="007C2073" w:rsidRPr="00E72418" w:rsidRDefault="007C2073" w:rsidP="007C2073">
      <w:pPr>
        <w:pStyle w:val="Paragraphedeliste"/>
        <w:spacing w:after="0"/>
        <w:rPr>
          <w:rFonts w:ascii="Times New Roman" w:hAnsi="Times New Roman" w:cs="Times New Roman"/>
          <w:sz w:val="14"/>
          <w:szCs w:val="14"/>
        </w:rPr>
      </w:pPr>
    </w:p>
    <w:p w14:paraId="5E0051B2" w14:textId="217D0768" w:rsidR="00A91208" w:rsidRPr="00E72418" w:rsidRDefault="0030147D" w:rsidP="00A91208">
      <w:pPr>
        <w:pStyle w:val="Paragraphedeliste"/>
        <w:numPr>
          <w:ilvl w:val="0"/>
          <w:numId w:val="22"/>
        </w:numPr>
        <w:spacing w:after="0"/>
        <w:rPr>
          <w:rStyle w:val="Lienhypertexte"/>
          <w:rFonts w:ascii="Times New Roman" w:hAnsi="Times New Roman" w:cs="Times New Roman"/>
          <w:color w:val="auto"/>
          <w:szCs w:val="24"/>
          <w:u w:val="none"/>
        </w:rPr>
      </w:pPr>
      <w:hyperlink r:id="rId77" w:history="1">
        <w:r w:rsidR="00A91208" w:rsidRPr="00E72418">
          <w:rPr>
            <w:rStyle w:val="Lienhypertexte"/>
            <w:rFonts w:ascii="Times New Roman" w:hAnsi="Times New Roman" w:cs="Times New Roman"/>
            <w:color w:val="auto"/>
            <w:szCs w:val="24"/>
            <w:u w:val="none"/>
          </w:rPr>
          <w:t>www.imf.org/external/np/exr/facts/fre/mdrif.htm</w:t>
        </w:r>
      </w:hyperlink>
    </w:p>
    <w:p w14:paraId="16E5307F" w14:textId="77777777" w:rsidR="007C2073" w:rsidRPr="00E72418" w:rsidRDefault="007C2073" w:rsidP="007C2073">
      <w:pPr>
        <w:pStyle w:val="Paragraphedeliste"/>
        <w:spacing w:after="0"/>
        <w:rPr>
          <w:rFonts w:ascii="Times New Roman" w:hAnsi="Times New Roman" w:cs="Times New Roman"/>
          <w:sz w:val="14"/>
          <w:szCs w:val="14"/>
        </w:rPr>
      </w:pPr>
    </w:p>
    <w:p w14:paraId="51E4D115" w14:textId="756F4E8B" w:rsidR="00A91208" w:rsidRPr="00E72418" w:rsidRDefault="0030147D" w:rsidP="00A91208">
      <w:pPr>
        <w:pStyle w:val="Paragraphedeliste"/>
        <w:numPr>
          <w:ilvl w:val="0"/>
          <w:numId w:val="22"/>
        </w:numPr>
        <w:spacing w:after="0"/>
        <w:rPr>
          <w:rStyle w:val="Lienhypertexte"/>
          <w:rFonts w:ascii="Times New Roman" w:hAnsi="Times New Roman" w:cs="Times New Roman"/>
          <w:color w:val="auto"/>
          <w:szCs w:val="24"/>
          <w:u w:val="none"/>
        </w:rPr>
      </w:pPr>
      <w:hyperlink r:id="rId78" w:history="1">
        <w:r w:rsidR="00A91208" w:rsidRPr="00E72418">
          <w:rPr>
            <w:rStyle w:val="Lienhypertexte"/>
            <w:rFonts w:ascii="Times New Roman" w:hAnsi="Times New Roman" w:cs="Times New Roman"/>
            <w:color w:val="auto"/>
            <w:szCs w:val="24"/>
            <w:u w:val="none"/>
          </w:rPr>
          <w:t>www.imf.org/fr/About/Factsheets/Sheets/2016/08/01/16/11/Debt-Relief-Under-the-Heavily-Indebted-Poor-Countries-Initiative</w:t>
        </w:r>
      </w:hyperlink>
    </w:p>
    <w:p w14:paraId="1391F164" w14:textId="77777777" w:rsidR="007C2073" w:rsidRPr="00E72418" w:rsidRDefault="007C2073" w:rsidP="007C2073">
      <w:pPr>
        <w:pStyle w:val="Paragraphedeliste"/>
        <w:spacing w:after="0"/>
        <w:rPr>
          <w:rFonts w:ascii="Times New Roman" w:hAnsi="Times New Roman" w:cs="Times New Roman"/>
          <w:sz w:val="14"/>
          <w:szCs w:val="14"/>
        </w:rPr>
      </w:pPr>
    </w:p>
    <w:p w14:paraId="7BC8B1BA" w14:textId="5FD27F01" w:rsidR="00A91208" w:rsidRPr="00E72418" w:rsidRDefault="0030147D" w:rsidP="00A91208">
      <w:pPr>
        <w:pStyle w:val="Paragraphedeliste"/>
        <w:numPr>
          <w:ilvl w:val="0"/>
          <w:numId w:val="22"/>
        </w:numPr>
        <w:spacing w:after="0"/>
        <w:rPr>
          <w:rFonts w:ascii="Times New Roman" w:hAnsi="Times New Roman" w:cs="Times New Roman"/>
          <w:szCs w:val="24"/>
        </w:rPr>
      </w:pPr>
      <w:hyperlink r:id="rId79" w:history="1">
        <w:r w:rsidR="00A91208" w:rsidRPr="00E72418">
          <w:rPr>
            <w:rStyle w:val="Lienhypertexte"/>
            <w:rFonts w:ascii="Times New Roman" w:hAnsi="Times New Roman" w:cs="Times New Roman"/>
            <w:color w:val="auto"/>
            <w:szCs w:val="24"/>
            <w:u w:val="none"/>
          </w:rPr>
          <w:t>www.imf.org/fr/About/Factsheets/Sheets/2016/08/01/16/39/Debt-Sustainability-Framework-for-Low-Income-Countries</w:t>
        </w:r>
      </w:hyperlink>
    </w:p>
    <w:p w14:paraId="783D568B" w14:textId="77777777" w:rsidR="007C2073" w:rsidRPr="00E72418" w:rsidRDefault="007C2073" w:rsidP="007C2073">
      <w:pPr>
        <w:pStyle w:val="Paragraphedeliste"/>
        <w:spacing w:after="0"/>
        <w:rPr>
          <w:rFonts w:ascii="Times New Roman" w:hAnsi="Times New Roman" w:cs="Times New Roman"/>
          <w:sz w:val="14"/>
          <w:szCs w:val="14"/>
        </w:rPr>
      </w:pPr>
    </w:p>
    <w:p w14:paraId="71219EEB" w14:textId="1BBE7AB6" w:rsidR="00A91208" w:rsidRPr="00E72418" w:rsidRDefault="0030147D" w:rsidP="00A91208">
      <w:pPr>
        <w:pStyle w:val="Paragraphedeliste"/>
        <w:numPr>
          <w:ilvl w:val="0"/>
          <w:numId w:val="22"/>
        </w:numPr>
        <w:spacing w:after="0"/>
        <w:rPr>
          <w:rFonts w:ascii="Times New Roman" w:hAnsi="Times New Roman" w:cs="Times New Roman"/>
          <w:szCs w:val="24"/>
        </w:rPr>
      </w:pPr>
      <w:hyperlink r:id="rId80" w:history="1">
        <w:r w:rsidR="00A91208" w:rsidRPr="00E72418">
          <w:rPr>
            <w:rStyle w:val="Lienhypertexte"/>
            <w:rFonts w:ascii="Times New Roman" w:hAnsi="Times New Roman" w:cs="Times New Roman"/>
            <w:color w:val="auto"/>
            <w:szCs w:val="24"/>
            <w:u w:val="none"/>
          </w:rPr>
          <w:t>www.worldbank.org/en/topic/debt/brief/hipc</w:t>
        </w:r>
      </w:hyperlink>
    </w:p>
    <w:p w14:paraId="6125469D" w14:textId="77777777" w:rsidR="007C2073" w:rsidRPr="00E72418" w:rsidRDefault="007C2073" w:rsidP="007C2073">
      <w:pPr>
        <w:pStyle w:val="Paragraphedeliste"/>
        <w:spacing w:after="0"/>
        <w:rPr>
          <w:rFonts w:ascii="Times New Roman" w:hAnsi="Times New Roman" w:cs="Times New Roman"/>
          <w:sz w:val="14"/>
          <w:szCs w:val="14"/>
        </w:rPr>
      </w:pPr>
    </w:p>
    <w:p w14:paraId="3278D35A" w14:textId="528CDD41" w:rsidR="00C5393D" w:rsidRPr="00E72418" w:rsidRDefault="0030147D" w:rsidP="007C2073">
      <w:pPr>
        <w:pStyle w:val="Paragraphedeliste"/>
        <w:numPr>
          <w:ilvl w:val="0"/>
          <w:numId w:val="22"/>
        </w:numPr>
        <w:spacing w:after="0"/>
        <w:rPr>
          <w:rStyle w:val="Lienhypertexte"/>
          <w:rFonts w:ascii="Times New Roman" w:hAnsi="Times New Roman" w:cs="Times New Roman"/>
          <w:color w:val="auto"/>
          <w:szCs w:val="24"/>
          <w:u w:val="none"/>
        </w:rPr>
      </w:pPr>
      <w:hyperlink r:id="rId81" w:history="1">
        <w:r w:rsidR="00A91208" w:rsidRPr="00E72418">
          <w:rPr>
            <w:rStyle w:val="Lienhypertexte"/>
            <w:rFonts w:ascii="Times New Roman" w:hAnsi="Times New Roman" w:cs="Times New Roman"/>
            <w:color w:val="auto"/>
            <w:szCs w:val="24"/>
            <w:u w:val="none"/>
          </w:rPr>
          <w:t>www.worldbank.org/en/topic/debt-relief</w:t>
        </w:r>
      </w:hyperlink>
    </w:p>
    <w:p w14:paraId="4055AEF2" w14:textId="77777777" w:rsidR="007C2073" w:rsidRPr="00E72418" w:rsidRDefault="007C2073" w:rsidP="007C2073">
      <w:pPr>
        <w:pStyle w:val="Paragraphedeliste"/>
        <w:spacing w:after="0"/>
        <w:rPr>
          <w:rStyle w:val="Lienhypertexte"/>
          <w:rFonts w:ascii="Times New Roman" w:hAnsi="Times New Roman" w:cs="Times New Roman"/>
          <w:color w:val="auto"/>
          <w:sz w:val="14"/>
          <w:szCs w:val="14"/>
          <w:u w:val="none"/>
        </w:rPr>
      </w:pPr>
    </w:p>
    <w:p w14:paraId="6BA6E2AF" w14:textId="381B5D18" w:rsidR="00DC6838" w:rsidRPr="00E72418" w:rsidRDefault="0030147D" w:rsidP="007C2073">
      <w:pPr>
        <w:pStyle w:val="Paragraphedeliste"/>
        <w:numPr>
          <w:ilvl w:val="0"/>
          <w:numId w:val="22"/>
        </w:numPr>
        <w:spacing w:after="0"/>
        <w:rPr>
          <w:rStyle w:val="Lienhypertexte"/>
          <w:rFonts w:ascii="Times New Roman" w:hAnsi="Times New Roman" w:cs="Times New Roman"/>
          <w:color w:val="auto"/>
          <w:szCs w:val="24"/>
          <w:u w:val="none"/>
        </w:rPr>
      </w:pPr>
      <w:hyperlink r:id="rId82" w:history="1">
        <w:r w:rsidR="00DC6838" w:rsidRPr="00E72418">
          <w:rPr>
            <w:rStyle w:val="Lienhypertexte"/>
            <w:rFonts w:ascii="Times New Roman" w:hAnsi="Times New Roman" w:cs="Times New Roman"/>
            <w:color w:val="auto"/>
            <w:szCs w:val="24"/>
            <w:u w:val="none"/>
          </w:rPr>
          <w:t>www.worldbank.org/en/topic/debt/brief/covid-19-debt-service-suspension-initiative</w:t>
        </w:r>
      </w:hyperlink>
    </w:p>
    <w:p w14:paraId="35CEB2B7" w14:textId="77777777" w:rsidR="007C2073" w:rsidRPr="00E72418" w:rsidRDefault="007C2073" w:rsidP="007C2073">
      <w:pPr>
        <w:pStyle w:val="Paragraphedeliste"/>
        <w:spacing w:after="0"/>
        <w:rPr>
          <w:rFonts w:ascii="Times New Roman" w:hAnsi="Times New Roman" w:cs="Times New Roman"/>
          <w:sz w:val="14"/>
          <w:szCs w:val="14"/>
        </w:rPr>
      </w:pPr>
    </w:p>
    <w:p w14:paraId="0CB77D68" w14:textId="03C0ADB0" w:rsidR="006B1246" w:rsidRPr="00E72418" w:rsidRDefault="0030147D" w:rsidP="007C2073">
      <w:pPr>
        <w:pStyle w:val="Paragraphedeliste"/>
        <w:numPr>
          <w:ilvl w:val="0"/>
          <w:numId w:val="22"/>
        </w:numPr>
        <w:spacing w:after="0"/>
        <w:rPr>
          <w:rStyle w:val="Lienhypertexte"/>
          <w:rFonts w:ascii="Times New Roman" w:hAnsi="Times New Roman" w:cs="Times New Roman"/>
          <w:color w:val="auto"/>
          <w:szCs w:val="24"/>
          <w:u w:val="none"/>
        </w:rPr>
      </w:pPr>
      <w:hyperlink r:id="rId83" w:history="1">
        <w:r w:rsidR="00DC6838" w:rsidRPr="00E72418">
          <w:rPr>
            <w:rStyle w:val="Lienhypertexte"/>
            <w:color w:val="auto"/>
            <w:u w:val="none"/>
          </w:rPr>
          <w:t>https://travel.state.gov/content/travel/en/legal/travel-legal-considerations/internl-judicial-asst/Enforcement-of-Judges.html</w:t>
        </w:r>
      </w:hyperlink>
    </w:p>
    <w:p w14:paraId="517E41EE" w14:textId="77777777" w:rsidR="007C2073" w:rsidRPr="00E72418" w:rsidRDefault="007C2073" w:rsidP="007C2073">
      <w:pPr>
        <w:pStyle w:val="Paragraphedeliste"/>
        <w:spacing w:after="0"/>
        <w:rPr>
          <w:rFonts w:ascii="Times New Roman" w:hAnsi="Times New Roman" w:cs="Times New Roman"/>
          <w:sz w:val="14"/>
          <w:szCs w:val="14"/>
        </w:rPr>
      </w:pPr>
    </w:p>
    <w:p w14:paraId="01A34C06" w14:textId="4F5A2D07" w:rsidR="00A91208" w:rsidRPr="00E72418" w:rsidRDefault="0030147D" w:rsidP="001C2888">
      <w:pPr>
        <w:pStyle w:val="Paragraphedeliste"/>
        <w:numPr>
          <w:ilvl w:val="0"/>
          <w:numId w:val="22"/>
        </w:numPr>
        <w:spacing w:after="0"/>
        <w:rPr>
          <w:rStyle w:val="Lienhypertexte"/>
          <w:rFonts w:ascii="Times New Roman" w:hAnsi="Times New Roman" w:cs="Times New Roman"/>
          <w:color w:val="auto"/>
          <w:szCs w:val="24"/>
          <w:u w:val="none"/>
        </w:rPr>
      </w:pPr>
      <w:hyperlink r:id="rId84" w:history="1">
        <w:r w:rsidR="006B1246" w:rsidRPr="00E72418">
          <w:rPr>
            <w:rStyle w:val="Lienhypertexte"/>
            <w:color w:val="auto"/>
            <w:u w:val="none"/>
          </w:rPr>
          <w:t>http://fgcap.net/index.html</w:t>
        </w:r>
      </w:hyperlink>
    </w:p>
    <w:p w14:paraId="0AB09944" w14:textId="77777777" w:rsidR="007D0FD0" w:rsidRPr="00E72418" w:rsidRDefault="007D0FD0" w:rsidP="007C2073">
      <w:pPr>
        <w:rPr>
          <w:rStyle w:val="Lienhypertexte"/>
          <w:rFonts w:ascii="Times New Roman" w:hAnsi="Times New Roman" w:cs="Times New Roman"/>
          <w:color w:val="auto"/>
          <w:szCs w:val="24"/>
          <w:u w:val="none"/>
        </w:rPr>
      </w:pPr>
    </w:p>
    <w:p w14:paraId="2322726A" w14:textId="77777777" w:rsidR="007D0FD0" w:rsidRPr="00E72418" w:rsidRDefault="007D0FD0" w:rsidP="007C2073">
      <w:pPr>
        <w:spacing w:after="0"/>
        <w:rPr>
          <w:rStyle w:val="Lienhypertexte"/>
          <w:rFonts w:ascii="Times New Roman" w:hAnsi="Times New Roman" w:cs="Times New Roman"/>
          <w:color w:val="auto"/>
          <w:szCs w:val="24"/>
          <w:u w:val="none"/>
        </w:rPr>
      </w:pPr>
    </w:p>
    <w:p w14:paraId="70A83667" w14:textId="77777777" w:rsidR="00A91208" w:rsidRPr="00E72418" w:rsidRDefault="00A91208" w:rsidP="00A91208">
      <w:pPr>
        <w:pStyle w:val="CC"/>
        <w:rPr>
          <w:rStyle w:val="Lienhypertexte"/>
          <w:color w:val="auto"/>
        </w:rPr>
      </w:pPr>
      <w:bookmarkStart w:id="539" w:name="_Toc84541057"/>
      <w:r w:rsidRPr="00E72418">
        <w:rPr>
          <w:rStyle w:val="Lienhypertexte"/>
          <w:color w:val="auto"/>
        </w:rPr>
        <w:t>Divers</w:t>
      </w:r>
      <w:bookmarkEnd w:id="539"/>
    </w:p>
    <w:p w14:paraId="2F8F55FF" w14:textId="50ED258C" w:rsidR="00A91208" w:rsidRPr="00E72418" w:rsidRDefault="00A91208" w:rsidP="007C2073">
      <w:pPr>
        <w:rPr>
          <w:rFonts w:ascii="Times New Roman" w:hAnsi="Times New Roman" w:cs="Times New Roman"/>
          <w:sz w:val="28"/>
          <w:szCs w:val="28"/>
        </w:rPr>
      </w:pPr>
    </w:p>
    <w:p w14:paraId="22BB0D0D" w14:textId="76EDC1AA" w:rsidR="00A91208" w:rsidRPr="00E72418" w:rsidRDefault="00A91208" w:rsidP="007C2073">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rPr>
        <w:t>Annan</w:t>
      </w:r>
      <w:r w:rsidRPr="00E72418">
        <w:rPr>
          <w:rFonts w:ascii="Times New Roman" w:hAnsi="Times New Roman" w:cs="Times New Roman"/>
          <w:szCs w:val="24"/>
        </w:rPr>
        <w:t xml:space="preserve">, K., </w:t>
      </w:r>
      <w:r w:rsidRPr="00E72418">
        <w:rPr>
          <w:rFonts w:ascii="Times New Roman" w:hAnsi="Times New Roman" w:cs="Times New Roman"/>
          <w:i/>
          <w:szCs w:val="24"/>
        </w:rPr>
        <w:t>Discours à l’attention de la Chambre du commerce des États-Unis</w:t>
      </w:r>
      <w:r w:rsidRPr="00E72418">
        <w:rPr>
          <w:rFonts w:ascii="Times New Roman" w:hAnsi="Times New Roman" w:cs="Times New Roman"/>
          <w:szCs w:val="24"/>
        </w:rPr>
        <w:t xml:space="preserve">, 8 juin 1999, disponible à l’adresse </w:t>
      </w:r>
      <w:hyperlink r:id="rId85" w:history="1">
        <w:r w:rsidRPr="00E72418">
          <w:rPr>
            <w:rStyle w:val="Lienhypertexte"/>
            <w:rFonts w:ascii="Times New Roman" w:hAnsi="Times New Roman" w:cs="Times New Roman"/>
            <w:color w:val="auto"/>
            <w:szCs w:val="24"/>
            <w:u w:val="none"/>
          </w:rPr>
          <w:t>www.un.org/press/en/1999/19990608.SGSM7022.html</w:t>
        </w:r>
      </w:hyperlink>
    </w:p>
    <w:p w14:paraId="1A2B7FF6" w14:textId="77777777" w:rsidR="007C2073" w:rsidRPr="00E72418" w:rsidRDefault="007C2073" w:rsidP="007C2073">
      <w:pPr>
        <w:pStyle w:val="Paragraphedeliste"/>
        <w:spacing w:after="0"/>
        <w:rPr>
          <w:rFonts w:ascii="Times New Roman" w:hAnsi="Times New Roman" w:cs="Times New Roman"/>
          <w:sz w:val="14"/>
          <w:szCs w:val="14"/>
        </w:rPr>
      </w:pPr>
    </w:p>
    <w:p w14:paraId="7CF05E85" w14:textId="77777777"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rPr>
        <w:t xml:space="preserve">Allocution de Carlos Saul Menem lors de la rencontre annuelle des gouverneurs du Fonds monétaire international et de la Banque mondiale, octobre 1998, disponible à l’adresse </w:t>
      </w:r>
      <w:hyperlink r:id="rId86" w:history="1">
        <w:r w:rsidRPr="00E72418">
          <w:rPr>
            <w:rStyle w:val="Lienhypertexte"/>
            <w:rFonts w:ascii="Times New Roman" w:hAnsi="Times New Roman" w:cs="Times New Roman"/>
            <w:color w:val="auto"/>
            <w:szCs w:val="24"/>
            <w:u w:val="none"/>
          </w:rPr>
          <w:t>www.imf.org/external/am/1998/speeches/pr05e.pdf</w:t>
        </w:r>
      </w:hyperlink>
    </w:p>
    <w:p w14:paraId="2C671A5D" w14:textId="77777777" w:rsidR="00A91208" w:rsidRPr="00E72418" w:rsidRDefault="00A91208" w:rsidP="00A91208">
      <w:pPr>
        <w:pStyle w:val="Paragraphedeliste"/>
        <w:rPr>
          <w:rFonts w:ascii="Times New Roman" w:hAnsi="Times New Roman" w:cs="Times New Roman"/>
          <w:sz w:val="14"/>
          <w:szCs w:val="14"/>
        </w:rPr>
      </w:pPr>
    </w:p>
    <w:p w14:paraId="0A6B39FB" w14:textId="5FF451F9"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i/>
          <w:szCs w:val="24"/>
        </w:rPr>
        <w:t>Antwoorden van de Minister voor Buitenlandse Handel en Ontwikkelingssamenwerking, mede namens de Minister van Financiën, op vragen van het lid Van den Nieuwenhuijzen (GroenLinks) over speculeren met schulden van ontwi</w:t>
      </w:r>
      <w:r w:rsidR="000E64B7" w:rsidRPr="00E72418">
        <w:rPr>
          <w:rFonts w:ascii="Times New Roman" w:hAnsi="Times New Roman" w:cs="Times New Roman"/>
          <w:i/>
          <w:szCs w:val="24"/>
        </w:rPr>
        <w:t xml:space="preserve">kkelingslanden door zogeheten « Aasgierfondsen </w:t>
      </w:r>
      <w:r w:rsidRPr="00E72418">
        <w:rPr>
          <w:rFonts w:ascii="Times New Roman" w:hAnsi="Times New Roman" w:cs="Times New Roman"/>
          <w:i/>
          <w:szCs w:val="24"/>
        </w:rPr>
        <w:t>»</w:t>
      </w:r>
      <w:r w:rsidRPr="00E72418">
        <w:rPr>
          <w:rFonts w:ascii="Times New Roman" w:hAnsi="Times New Roman" w:cs="Times New Roman"/>
          <w:szCs w:val="24"/>
        </w:rPr>
        <w:t xml:space="preserve">, </w:t>
      </w:r>
      <w:r w:rsidR="008C5B03" w:rsidRPr="00E72418">
        <w:rPr>
          <w:rFonts w:ascii="Times New Roman" w:hAnsi="Times New Roman" w:cs="Times New Roman"/>
          <w:szCs w:val="24"/>
        </w:rPr>
        <w:t xml:space="preserve">27 octobre 2020, </w:t>
      </w:r>
      <w:r w:rsidRPr="00E72418">
        <w:rPr>
          <w:rFonts w:ascii="Times New Roman" w:hAnsi="Times New Roman" w:cs="Times New Roman"/>
          <w:szCs w:val="24"/>
        </w:rPr>
        <w:t xml:space="preserve">disponibles </w:t>
      </w:r>
      <w:r w:rsidRPr="00E72418">
        <w:rPr>
          <w:rFonts w:ascii="Times New Roman" w:hAnsi="Times New Roman" w:cs="Times New Roman"/>
          <w:szCs w:val="24"/>
        </w:rPr>
        <w:lastRenderedPageBreak/>
        <w:t xml:space="preserve">à l’adresse </w:t>
      </w:r>
      <w:hyperlink r:id="rId87" w:history="1">
        <w:r w:rsidRPr="00E72418">
          <w:rPr>
            <w:rStyle w:val="Lienhypertexte"/>
            <w:rFonts w:ascii="Times New Roman" w:hAnsi="Times New Roman" w:cs="Times New Roman"/>
            <w:color w:val="auto"/>
            <w:szCs w:val="24"/>
            <w:u w:val="none"/>
          </w:rPr>
          <w:t>www.rijksoverheid.nl/documenten/kamerstukken/2020/10/27/beantwoording-kamervragen-over-speculeren-met-schulden-van-ontwikkelingslanden</w:t>
        </w:r>
      </w:hyperlink>
    </w:p>
    <w:p w14:paraId="4E9BFDA4" w14:textId="77777777" w:rsidR="00A91208" w:rsidRPr="00E72418" w:rsidRDefault="00A91208" w:rsidP="00A91208">
      <w:pPr>
        <w:pStyle w:val="Paragraphedeliste"/>
        <w:rPr>
          <w:rStyle w:val="Lienhypertexte"/>
          <w:rFonts w:ascii="Times New Roman" w:hAnsi="Times New Roman" w:cs="Times New Roman"/>
          <w:color w:val="auto"/>
          <w:sz w:val="14"/>
          <w:szCs w:val="14"/>
          <w:u w:val="none"/>
        </w:rPr>
      </w:pPr>
    </w:p>
    <w:p w14:paraId="515E63E7" w14:textId="235B610F"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lang w:val="en-US"/>
        </w:rPr>
        <w:t>Brown</w:t>
      </w:r>
      <w:r w:rsidRPr="00E72418">
        <w:rPr>
          <w:rFonts w:ascii="Times New Roman" w:hAnsi="Times New Roman" w:cs="Times New Roman"/>
          <w:szCs w:val="24"/>
          <w:lang w:val="en-US"/>
        </w:rPr>
        <w:t xml:space="preserve">, G., </w:t>
      </w:r>
      <w:r w:rsidRPr="00E72418">
        <w:rPr>
          <w:rFonts w:ascii="Times New Roman" w:hAnsi="Times New Roman" w:cs="Times New Roman"/>
          <w:i/>
          <w:szCs w:val="24"/>
          <w:lang w:val="en-US"/>
        </w:rPr>
        <w:t>Speech by the Chancellor of the Exchequer at the United Nations General Assembly Special Session on children</w:t>
      </w:r>
      <w:r w:rsidRPr="00E72418">
        <w:rPr>
          <w:rFonts w:ascii="Times New Roman" w:hAnsi="Times New Roman" w:cs="Times New Roman"/>
          <w:szCs w:val="24"/>
          <w:lang w:val="en-US"/>
        </w:rPr>
        <w:t xml:space="preserve">, New York </w:t>
      </w:r>
      <w:r w:rsidRPr="00E72418">
        <w:rPr>
          <w:rFonts w:ascii="Times New Roman" w:hAnsi="Times New Roman" w:cs="Times New Roman"/>
          <w:b/>
          <w:szCs w:val="24"/>
        </w:rPr>
        <w:t xml:space="preserve">– </w:t>
      </w:r>
      <w:r w:rsidRPr="00E72418">
        <w:rPr>
          <w:rFonts w:ascii="Times New Roman" w:hAnsi="Times New Roman" w:cs="Times New Roman"/>
          <w:szCs w:val="24"/>
          <w:lang w:val="en-US"/>
        </w:rPr>
        <w:t xml:space="preserve">Financing A World Fit For Children, 10 mai 2002, disponible à l’adresse </w:t>
      </w:r>
      <w:hyperlink r:id="rId88" w:history="1">
        <w:r w:rsidRPr="00E72418">
          <w:rPr>
            <w:rStyle w:val="Lienhypertexte"/>
            <w:rFonts w:ascii="Times New Roman" w:hAnsi="Times New Roman" w:cs="Times New Roman"/>
            <w:color w:val="auto"/>
            <w:szCs w:val="24"/>
            <w:u w:val="none"/>
            <w:lang w:val="en-US"/>
          </w:rPr>
          <w:t>https://webarchive.nationalarchives.gov.uk/20100407194022/http://www.hm-treasury.gov.uk/speech_chex_100502.htm</w:t>
        </w:r>
      </w:hyperlink>
    </w:p>
    <w:p w14:paraId="3061E830" w14:textId="77777777" w:rsidR="00A91208" w:rsidRPr="00E72418" w:rsidRDefault="00A91208" w:rsidP="00A91208">
      <w:pPr>
        <w:pStyle w:val="Paragraphedeliste"/>
        <w:rPr>
          <w:rStyle w:val="Lienhypertexte"/>
          <w:rFonts w:ascii="Times New Roman" w:hAnsi="Times New Roman" w:cs="Times New Roman"/>
          <w:color w:val="auto"/>
          <w:sz w:val="14"/>
          <w:szCs w:val="14"/>
          <w:u w:val="none"/>
        </w:rPr>
      </w:pPr>
    </w:p>
    <w:p w14:paraId="37155779" w14:textId="484E405E" w:rsidR="00A91208" w:rsidRPr="00E72418" w:rsidRDefault="00A91208" w:rsidP="008D1D70">
      <w:pPr>
        <w:pStyle w:val="Paragraphedeliste"/>
        <w:numPr>
          <w:ilvl w:val="0"/>
          <w:numId w:val="23"/>
        </w:numPr>
        <w:spacing w:after="0"/>
        <w:rPr>
          <w:rFonts w:ascii="Times New Roman" w:hAnsi="Times New Roman" w:cs="Times New Roman"/>
          <w:szCs w:val="24"/>
        </w:rPr>
      </w:pPr>
      <w:r w:rsidRPr="00E72418">
        <w:rPr>
          <w:rFonts w:ascii="Times New Roman" w:hAnsi="Times New Roman" w:cs="Times New Roman"/>
          <w:szCs w:val="24"/>
        </w:rPr>
        <w:t>Communiqué de presse de la Cour internationale de Justice</w:t>
      </w:r>
      <w:r w:rsidR="00DC6838" w:rsidRPr="00E72418">
        <w:rPr>
          <w:rFonts w:ascii="Times New Roman" w:hAnsi="Times New Roman" w:cs="Times New Roman"/>
          <w:szCs w:val="24"/>
        </w:rPr>
        <w:t xml:space="preserve"> </w:t>
      </w:r>
      <w:r w:rsidR="000E64B7" w:rsidRPr="00E72418">
        <w:rPr>
          <w:rFonts w:ascii="Times New Roman" w:hAnsi="Times New Roman" w:cs="Times New Roman"/>
          <w:szCs w:val="24"/>
        </w:rPr>
        <w:t xml:space="preserve">du 7 août 2014 </w:t>
      </w:r>
      <w:r w:rsidR="00DC6838" w:rsidRPr="00E72418">
        <w:rPr>
          <w:rFonts w:ascii="Times New Roman" w:hAnsi="Times New Roman" w:cs="Times New Roman"/>
          <w:szCs w:val="24"/>
        </w:rPr>
        <w:t xml:space="preserve">disponible à l’adresse </w:t>
      </w:r>
      <w:hyperlink r:id="rId89" w:history="1">
        <w:r w:rsidR="00DC6838" w:rsidRPr="00E72418">
          <w:rPr>
            <w:rStyle w:val="Lienhypertexte"/>
            <w:rFonts w:ascii="Times New Roman" w:hAnsi="Times New Roman" w:cs="Times New Roman"/>
            <w:color w:val="auto"/>
            <w:szCs w:val="24"/>
            <w:u w:val="none"/>
          </w:rPr>
          <w:t>www.icj-cij.org/public/files/press-releases/5/18355.pdf</w:t>
        </w:r>
      </w:hyperlink>
    </w:p>
    <w:p w14:paraId="336423AD" w14:textId="77777777" w:rsidR="007D0FD0" w:rsidRPr="00E72418" w:rsidRDefault="007D0FD0" w:rsidP="007D0FD0">
      <w:pPr>
        <w:pStyle w:val="Paragraphedeliste"/>
        <w:spacing w:after="0"/>
        <w:rPr>
          <w:rFonts w:ascii="Times New Roman" w:hAnsi="Times New Roman" w:cs="Times New Roman"/>
          <w:sz w:val="14"/>
          <w:szCs w:val="14"/>
        </w:rPr>
      </w:pPr>
    </w:p>
    <w:p w14:paraId="66E77D55" w14:textId="1E25725F" w:rsidR="007C2073" w:rsidRPr="00E72418" w:rsidRDefault="004D21E2" w:rsidP="007C2073">
      <w:pPr>
        <w:pStyle w:val="Paragraphedeliste"/>
        <w:numPr>
          <w:ilvl w:val="0"/>
          <w:numId w:val="23"/>
        </w:numPr>
        <w:spacing w:after="0"/>
        <w:rPr>
          <w:rFonts w:ascii="Times New Roman" w:hAnsi="Times New Roman" w:cs="Times New Roman"/>
          <w:szCs w:val="24"/>
        </w:rPr>
      </w:pPr>
      <w:r w:rsidRPr="00E72418">
        <w:rPr>
          <w:i/>
        </w:rPr>
        <w:t>Extraordinary G20 Finance Ministers and Central Bank Governors’ Meeting</w:t>
      </w:r>
      <w:r w:rsidRPr="00E72418">
        <w:t xml:space="preserve">, 13 novembre 2020, déclaration disponible à l’adresse </w:t>
      </w:r>
      <w:hyperlink r:id="rId90" w:history="1">
        <w:r w:rsidR="006B1246" w:rsidRPr="00E72418">
          <w:rPr>
            <w:rStyle w:val="Lienhypertexte"/>
            <w:color w:val="auto"/>
            <w:u w:val="none"/>
          </w:rPr>
          <w:t>www.imf.org/-/media/Files/News/news-articles/english-extraordinary-g20-fmcbg-statement-november-13.ashx</w:t>
        </w:r>
      </w:hyperlink>
    </w:p>
    <w:p w14:paraId="076E7551" w14:textId="77777777" w:rsidR="007C2073" w:rsidRPr="00E72418" w:rsidRDefault="007C2073" w:rsidP="007C2073">
      <w:pPr>
        <w:pStyle w:val="Paragraphedeliste"/>
        <w:rPr>
          <w:rStyle w:val="Lienhypertexte"/>
          <w:rFonts w:ascii="Times New Roman" w:hAnsi="Times New Roman" w:cs="Times New Roman"/>
          <w:color w:val="auto"/>
          <w:sz w:val="14"/>
          <w:szCs w:val="14"/>
          <w:u w:val="none"/>
        </w:rPr>
      </w:pPr>
    </w:p>
    <w:p w14:paraId="6150BEFF" w14:textId="66E46E76" w:rsidR="00A91208" w:rsidRPr="00E72418" w:rsidRDefault="008A062E" w:rsidP="00A91208">
      <w:pPr>
        <w:pStyle w:val="Paragraphedeliste"/>
        <w:numPr>
          <w:ilvl w:val="0"/>
          <w:numId w:val="23"/>
        </w:numPr>
        <w:spacing w:after="0"/>
        <w:rPr>
          <w:rStyle w:val="Lienhypertexte"/>
          <w:rFonts w:ascii="Times New Roman" w:hAnsi="Times New Roman" w:cs="Times New Roman"/>
          <w:color w:val="auto"/>
          <w:szCs w:val="24"/>
          <w:u w:val="none"/>
        </w:rPr>
      </w:pPr>
      <w:r w:rsidRPr="00E72418">
        <w:rPr>
          <w:smallCaps/>
        </w:rPr>
        <w:t>Kristalina</w:t>
      </w:r>
      <w:r w:rsidRPr="00E72418">
        <w:t>, K., « Remarks by IMF Managing Director Kristalina Georgieva During a Virtual Extraordinary Meeting of G20 Finance Ministers and Central Bank Governors », 13 novembre 2020, disponibles à l’adresse www.imf.org/en/News/Articles/2020/11/13/sp-g20-finance-ministers-and-central-bank-governors-meeting</w:t>
      </w:r>
    </w:p>
    <w:p w14:paraId="7C190636" w14:textId="77777777" w:rsidR="007C2073" w:rsidRPr="00E72418" w:rsidRDefault="007C2073" w:rsidP="007C2073">
      <w:pPr>
        <w:pStyle w:val="Paragraphedeliste"/>
        <w:spacing w:after="0"/>
        <w:rPr>
          <w:rFonts w:ascii="Times New Roman" w:hAnsi="Times New Roman" w:cs="Times New Roman"/>
          <w:sz w:val="14"/>
          <w:szCs w:val="14"/>
        </w:rPr>
      </w:pPr>
    </w:p>
    <w:p w14:paraId="71BC309F" w14:textId="7BBDACDC"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rPr>
        <w:t xml:space="preserve">Haut-Commissariat des Nations Unies aux droits de l’homme, </w:t>
      </w:r>
      <w:r w:rsidR="000E64B7" w:rsidRPr="00E72418">
        <w:rPr>
          <w:rFonts w:ascii="Times New Roman" w:hAnsi="Times New Roman" w:cs="Times New Roman"/>
          <w:szCs w:val="24"/>
        </w:rPr>
        <w:t xml:space="preserve">« </w:t>
      </w:r>
      <w:r w:rsidRPr="00E72418">
        <w:rPr>
          <w:rStyle w:val="h2"/>
          <w:rFonts w:ascii="Times New Roman" w:hAnsi="Times New Roman" w:cs="Times New Roman"/>
          <w:szCs w:val="24"/>
        </w:rPr>
        <w:t>Belgian legislation against vulture funds should be preserved – UN rights expert urges</w:t>
      </w:r>
      <w:r w:rsidR="000E64B7" w:rsidRPr="00E72418">
        <w:rPr>
          <w:rStyle w:val="h2"/>
          <w:rFonts w:ascii="Times New Roman" w:hAnsi="Times New Roman" w:cs="Times New Roman"/>
          <w:i/>
          <w:szCs w:val="24"/>
        </w:rPr>
        <w:t xml:space="preserve"> </w:t>
      </w:r>
      <w:r w:rsidR="000E64B7" w:rsidRPr="00E72418">
        <w:rPr>
          <w:rStyle w:val="h2"/>
          <w:rFonts w:ascii="Times New Roman" w:hAnsi="Times New Roman" w:cs="Times New Roman"/>
          <w:szCs w:val="24"/>
        </w:rPr>
        <w:t>»</w:t>
      </w:r>
      <w:r w:rsidRPr="00E72418">
        <w:rPr>
          <w:rStyle w:val="h2"/>
          <w:rFonts w:ascii="Times New Roman" w:hAnsi="Times New Roman" w:cs="Times New Roman"/>
          <w:szCs w:val="24"/>
        </w:rPr>
        <w:t xml:space="preserve">, </w:t>
      </w:r>
      <w:r w:rsidR="008C5B03" w:rsidRPr="00E72418">
        <w:rPr>
          <w:rStyle w:val="h2"/>
          <w:rFonts w:ascii="Times New Roman" w:hAnsi="Times New Roman" w:cs="Times New Roman"/>
          <w:szCs w:val="24"/>
        </w:rPr>
        <w:t xml:space="preserve">15 juin 2016, </w:t>
      </w:r>
      <w:r w:rsidRPr="00E72418">
        <w:rPr>
          <w:rStyle w:val="h2"/>
          <w:rFonts w:ascii="Times New Roman" w:hAnsi="Times New Roman" w:cs="Times New Roman"/>
          <w:szCs w:val="24"/>
        </w:rPr>
        <w:t xml:space="preserve">disponible à l’adresse </w:t>
      </w:r>
      <w:hyperlink r:id="rId91" w:history="1">
        <w:r w:rsidRPr="00E72418">
          <w:rPr>
            <w:rStyle w:val="Lienhypertexte"/>
            <w:rFonts w:ascii="Times New Roman" w:hAnsi="Times New Roman" w:cs="Times New Roman"/>
            <w:color w:val="auto"/>
            <w:szCs w:val="24"/>
            <w:u w:val="none"/>
          </w:rPr>
          <w:t>www.ohchr.org/en/NewsEvents/Pages/DisplayNews.aspx?NewsID=20106&amp;LangID=E</w:t>
        </w:r>
      </w:hyperlink>
    </w:p>
    <w:p w14:paraId="0967D992" w14:textId="77777777" w:rsidR="006B1246" w:rsidRPr="00E72418" w:rsidRDefault="006B1246" w:rsidP="006B1246">
      <w:pPr>
        <w:pStyle w:val="Paragraphedeliste"/>
        <w:rPr>
          <w:rStyle w:val="Lienhypertexte"/>
          <w:rFonts w:ascii="Times New Roman" w:hAnsi="Times New Roman" w:cs="Times New Roman"/>
          <w:color w:val="auto"/>
          <w:sz w:val="14"/>
          <w:szCs w:val="14"/>
          <w:u w:val="none"/>
        </w:rPr>
      </w:pPr>
    </w:p>
    <w:p w14:paraId="70D6B527" w14:textId="7E315A90" w:rsidR="006B1246" w:rsidRPr="00E72418" w:rsidRDefault="006B1246"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szCs w:val="20"/>
        </w:rPr>
        <w:t xml:space="preserve">HM </w:t>
      </w:r>
      <w:r w:rsidRPr="00E72418">
        <w:rPr>
          <w:smallCaps/>
          <w:szCs w:val="20"/>
        </w:rPr>
        <w:t>Treasury</w:t>
      </w:r>
      <w:r w:rsidRPr="00E72418">
        <w:rPr>
          <w:szCs w:val="20"/>
        </w:rPr>
        <w:t xml:space="preserve">, </w:t>
      </w:r>
      <w:r w:rsidRPr="00E72418">
        <w:rPr>
          <w:i/>
          <w:szCs w:val="20"/>
        </w:rPr>
        <w:t>Draft Debt Relief (Developing Countries) Act 2010 (Permanent Effect) Order 2011: further information</w:t>
      </w:r>
      <w:r w:rsidRPr="00E72418">
        <w:rPr>
          <w:szCs w:val="20"/>
        </w:rPr>
        <w:t xml:space="preserve">, avril 2011, disponible à l’adresse </w:t>
      </w:r>
      <w:hyperlink r:id="rId92" w:history="1">
        <w:r w:rsidRPr="00E72418">
          <w:rPr>
            <w:rStyle w:val="Lienhypertexte"/>
            <w:color w:val="auto"/>
            <w:szCs w:val="20"/>
            <w:u w:val="none"/>
          </w:rPr>
          <w:t>https://publications.parliament.uk/pa/ld201012/ldselect/ldmerit/137/13707.htm</w:t>
        </w:r>
      </w:hyperlink>
    </w:p>
    <w:p w14:paraId="5BA24ADB" w14:textId="77777777" w:rsidR="00A91208" w:rsidRPr="00E72418" w:rsidRDefault="00A91208" w:rsidP="00A91208">
      <w:pPr>
        <w:pStyle w:val="Paragraphedeliste"/>
        <w:rPr>
          <w:rStyle w:val="Lienhypertexte"/>
          <w:rFonts w:ascii="Times New Roman" w:hAnsi="Times New Roman" w:cs="Times New Roman"/>
          <w:color w:val="auto"/>
          <w:sz w:val="14"/>
          <w:szCs w:val="14"/>
          <w:u w:val="none"/>
        </w:rPr>
      </w:pPr>
    </w:p>
    <w:p w14:paraId="7C1EA093" w14:textId="0B7D124E" w:rsidR="00A91208" w:rsidRPr="00E72418" w:rsidRDefault="00A91208" w:rsidP="008D1D70">
      <w:pPr>
        <w:pStyle w:val="Paragraphedeliste"/>
        <w:numPr>
          <w:ilvl w:val="0"/>
          <w:numId w:val="23"/>
        </w:numPr>
        <w:spacing w:after="0"/>
        <w:rPr>
          <w:rFonts w:ascii="Times New Roman" w:hAnsi="Times New Roman" w:cs="Times New Roman"/>
          <w:szCs w:val="24"/>
        </w:rPr>
      </w:pPr>
      <w:r w:rsidRPr="00E72418">
        <w:rPr>
          <w:rFonts w:ascii="Times New Roman" w:hAnsi="Times New Roman" w:cs="Times New Roman"/>
          <w:szCs w:val="24"/>
        </w:rPr>
        <w:t xml:space="preserve">Institute of International Finance, lettre du 19 mai 2015 reprise in proposition de loi relative à la lutte contre les activités des fonds vautours, rapport fait au nom de la Commission des finances et du budget, Ch. repr., </w:t>
      </w:r>
      <w:r w:rsidRPr="00E72418">
        <w:rPr>
          <w:rFonts w:ascii="Times New Roman" w:hAnsi="Times New Roman" w:cs="Times New Roman"/>
          <w:i/>
          <w:szCs w:val="24"/>
        </w:rPr>
        <w:t>Doc. parl.</w:t>
      </w:r>
      <w:r w:rsidRPr="00E72418">
        <w:rPr>
          <w:rFonts w:ascii="Times New Roman" w:hAnsi="Times New Roman" w:cs="Times New Roman"/>
          <w:szCs w:val="24"/>
        </w:rPr>
        <w:t>, 2014-2015, doc. 54 1057/003</w:t>
      </w:r>
      <w:r w:rsidR="00E80169" w:rsidRPr="00E72418">
        <w:rPr>
          <w:rFonts w:ascii="Times New Roman" w:hAnsi="Times New Roman" w:cs="Times New Roman"/>
          <w:szCs w:val="24"/>
        </w:rPr>
        <w:t>, pp. 36-41</w:t>
      </w:r>
    </w:p>
    <w:p w14:paraId="676D9775" w14:textId="77777777" w:rsidR="008A062E" w:rsidRPr="00E72418" w:rsidRDefault="008A062E" w:rsidP="008A062E">
      <w:pPr>
        <w:pStyle w:val="Paragraphedeliste"/>
        <w:rPr>
          <w:rFonts w:ascii="Times New Roman" w:hAnsi="Times New Roman" w:cs="Times New Roman"/>
          <w:sz w:val="14"/>
          <w:szCs w:val="14"/>
        </w:rPr>
      </w:pPr>
    </w:p>
    <w:p w14:paraId="7F14012A" w14:textId="46ACF73B" w:rsidR="008A062E" w:rsidRPr="00E72418" w:rsidRDefault="008A062E" w:rsidP="008D1D70">
      <w:pPr>
        <w:pStyle w:val="Paragraphedeliste"/>
        <w:numPr>
          <w:ilvl w:val="0"/>
          <w:numId w:val="23"/>
        </w:numPr>
        <w:spacing w:after="0"/>
        <w:rPr>
          <w:rFonts w:ascii="Times New Roman" w:hAnsi="Times New Roman" w:cs="Times New Roman"/>
          <w:szCs w:val="24"/>
        </w:rPr>
      </w:pPr>
      <w:r w:rsidRPr="00E72418">
        <w:rPr>
          <w:smallCaps/>
          <w:szCs w:val="20"/>
        </w:rPr>
        <w:t>Krueger</w:t>
      </w:r>
      <w:r w:rsidRPr="00E72418">
        <w:rPr>
          <w:szCs w:val="20"/>
        </w:rPr>
        <w:t xml:space="preserve">, A., </w:t>
      </w:r>
      <w:r w:rsidRPr="00E72418">
        <w:t xml:space="preserve">« A New Approach to Sovereign Debt Restructuring », 26 novembre 2001, discours disponible à l’adresse </w:t>
      </w:r>
      <w:hyperlink r:id="rId93" w:history="1">
        <w:r w:rsidRPr="00E72418">
          <w:rPr>
            <w:rStyle w:val="Lienhypertexte"/>
            <w:color w:val="auto"/>
            <w:u w:val="none"/>
          </w:rPr>
          <w:t>www.imf.org/en/News/Articles/2015/09/28/04/53/sp112601</w:t>
        </w:r>
      </w:hyperlink>
    </w:p>
    <w:p w14:paraId="3C7D1AB5" w14:textId="77777777" w:rsidR="007763A7" w:rsidRPr="00E72418" w:rsidRDefault="007763A7" w:rsidP="007763A7">
      <w:pPr>
        <w:pStyle w:val="Paragraphedeliste"/>
        <w:rPr>
          <w:rFonts w:ascii="Times New Roman" w:hAnsi="Times New Roman" w:cs="Times New Roman"/>
          <w:sz w:val="14"/>
          <w:szCs w:val="14"/>
        </w:rPr>
      </w:pPr>
    </w:p>
    <w:p w14:paraId="3E03329F" w14:textId="50C7CFE0" w:rsidR="00A91208" w:rsidRPr="00E72418" w:rsidRDefault="007763A7" w:rsidP="00A91208">
      <w:pPr>
        <w:pStyle w:val="Paragraphedeliste"/>
        <w:numPr>
          <w:ilvl w:val="0"/>
          <w:numId w:val="23"/>
        </w:numPr>
        <w:spacing w:after="0"/>
        <w:rPr>
          <w:rStyle w:val="Lienhypertexte"/>
          <w:rFonts w:ascii="Times New Roman" w:hAnsi="Times New Roman" w:cs="Times New Roman"/>
          <w:color w:val="auto"/>
          <w:szCs w:val="24"/>
          <w:u w:val="none"/>
        </w:rPr>
      </w:pPr>
      <w:r w:rsidRPr="00E72418">
        <w:t xml:space="preserve">Royal Norwegian Ministry of Foreign Affairs, </w:t>
      </w:r>
      <w:r w:rsidRPr="00E72418">
        <w:rPr>
          <w:i/>
        </w:rPr>
        <w:t>Cancellation of debts incurred as a result of the Norwegian Ship Export Campaign (1976-80)</w:t>
      </w:r>
      <w:r w:rsidRPr="00E72418">
        <w:t>, 2 octobre 2006,</w:t>
      </w:r>
      <w:r w:rsidR="006639E7" w:rsidRPr="00E72418">
        <w:t xml:space="preserve"> disponible à l’adresse </w:t>
      </w:r>
      <w:r w:rsidRPr="00E72418">
        <w:t>www.regjeringen.no/en/dokumenter/Cancellation-of-debts-incurred-as-a-result-of-the-Norwegian-Ship-Export-Campaign-1976-80/id420457/</w:t>
      </w:r>
    </w:p>
    <w:p w14:paraId="76E016F8" w14:textId="77777777" w:rsidR="007C2073" w:rsidRPr="00E72418" w:rsidRDefault="007C2073" w:rsidP="007C2073">
      <w:pPr>
        <w:pStyle w:val="Paragraphedeliste"/>
        <w:spacing w:after="0"/>
        <w:rPr>
          <w:rFonts w:ascii="Times New Roman" w:hAnsi="Times New Roman" w:cs="Times New Roman"/>
          <w:sz w:val="14"/>
          <w:szCs w:val="14"/>
        </w:rPr>
      </w:pPr>
    </w:p>
    <w:p w14:paraId="23AB4CE4" w14:textId="51D6602E" w:rsidR="00A91208" w:rsidRPr="00E72418" w:rsidRDefault="00A91208" w:rsidP="007C2073">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rPr>
        <w:t xml:space="preserve">Sommet des chefs d’État et de gouvernement du Groupe des 77, </w:t>
      </w:r>
      <w:r w:rsidR="000E64B7" w:rsidRPr="00E72418">
        <w:rPr>
          <w:rFonts w:ascii="Times New Roman" w:hAnsi="Times New Roman" w:cs="Times New Roman"/>
          <w:szCs w:val="24"/>
        </w:rPr>
        <w:t xml:space="preserve">« </w:t>
      </w:r>
      <w:r w:rsidRPr="00E72418">
        <w:rPr>
          <w:rFonts w:ascii="Times New Roman" w:hAnsi="Times New Roman" w:cs="Times New Roman"/>
          <w:szCs w:val="24"/>
        </w:rPr>
        <w:t>Vers un nouvel ordre mondial pour bien vivre</w:t>
      </w:r>
      <w:r w:rsidR="000E64B7" w:rsidRPr="00E72418">
        <w:rPr>
          <w:rFonts w:ascii="Times New Roman" w:hAnsi="Times New Roman" w:cs="Times New Roman"/>
          <w:i/>
          <w:szCs w:val="24"/>
        </w:rPr>
        <w:t xml:space="preserve"> </w:t>
      </w:r>
      <w:r w:rsidR="000E64B7" w:rsidRPr="00E72418">
        <w:rPr>
          <w:rFonts w:ascii="Times New Roman" w:hAnsi="Times New Roman" w:cs="Times New Roman"/>
          <w:szCs w:val="24"/>
        </w:rPr>
        <w:t xml:space="preserve">», 7 juillet 2014, </w:t>
      </w:r>
      <w:r w:rsidRPr="00E72418">
        <w:rPr>
          <w:rFonts w:ascii="Times New Roman" w:hAnsi="Times New Roman" w:cs="Times New Roman"/>
          <w:szCs w:val="24"/>
        </w:rPr>
        <w:t>A/68/948</w:t>
      </w:r>
    </w:p>
    <w:p w14:paraId="6888F27E" w14:textId="77777777" w:rsidR="007C2073" w:rsidRPr="00E72418" w:rsidRDefault="007C2073" w:rsidP="007C2073">
      <w:pPr>
        <w:pStyle w:val="Paragraphedeliste"/>
        <w:spacing w:after="0"/>
        <w:rPr>
          <w:rFonts w:ascii="Times New Roman" w:hAnsi="Times New Roman" w:cs="Times New Roman"/>
          <w:sz w:val="14"/>
          <w:szCs w:val="14"/>
        </w:rPr>
      </w:pPr>
    </w:p>
    <w:p w14:paraId="7DB18D7B" w14:textId="29625902"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mallCaps/>
          <w:szCs w:val="24"/>
          <w:lang w:val="en-US"/>
        </w:rPr>
        <w:t>Tate</w:t>
      </w:r>
      <w:r w:rsidRPr="00E72418">
        <w:rPr>
          <w:rFonts w:ascii="Times New Roman" w:hAnsi="Times New Roman" w:cs="Times New Roman"/>
          <w:szCs w:val="24"/>
          <w:lang w:val="en-US"/>
        </w:rPr>
        <w:t xml:space="preserve">, J., </w:t>
      </w:r>
      <w:r w:rsidR="000E64B7" w:rsidRPr="00E72418">
        <w:rPr>
          <w:rFonts w:ascii="Times New Roman" w:hAnsi="Times New Roman" w:cs="Times New Roman"/>
          <w:szCs w:val="24"/>
        </w:rPr>
        <w:t xml:space="preserve">« </w:t>
      </w:r>
      <w:r w:rsidRPr="00E72418">
        <w:rPr>
          <w:rFonts w:ascii="Times New Roman" w:hAnsi="Times New Roman" w:cs="Times New Roman"/>
          <w:szCs w:val="24"/>
          <w:lang w:val="en-US"/>
        </w:rPr>
        <w:t>Changed Policy Concerning the Granting of Sovereign Immunity to Foreign Governments</w:t>
      </w:r>
      <w:r w:rsidR="000E64B7" w:rsidRPr="00E72418">
        <w:rPr>
          <w:rFonts w:ascii="Times New Roman" w:hAnsi="Times New Roman" w:cs="Times New Roman"/>
          <w:szCs w:val="24"/>
          <w:lang w:val="en-US"/>
        </w:rPr>
        <w:t xml:space="preserve"> </w:t>
      </w:r>
      <w:r w:rsidR="000E64B7" w:rsidRPr="00E72418">
        <w:rPr>
          <w:rFonts w:ascii="Times New Roman" w:hAnsi="Times New Roman" w:cs="Times New Roman"/>
          <w:szCs w:val="24"/>
        </w:rPr>
        <w:t>»</w:t>
      </w:r>
      <w:r w:rsidRPr="00E72418">
        <w:rPr>
          <w:rFonts w:ascii="Times New Roman" w:hAnsi="Times New Roman" w:cs="Times New Roman"/>
          <w:szCs w:val="24"/>
          <w:lang w:val="en-US"/>
        </w:rPr>
        <w:t>, Department of State Bulletin, 1952</w:t>
      </w:r>
    </w:p>
    <w:p w14:paraId="1F8DB2E7" w14:textId="77777777" w:rsidR="00A91208" w:rsidRPr="00E72418" w:rsidRDefault="00A91208" w:rsidP="00A91208">
      <w:pPr>
        <w:pStyle w:val="Paragraphedeliste"/>
        <w:rPr>
          <w:rStyle w:val="Lienhypertexte"/>
          <w:rFonts w:ascii="Times New Roman" w:hAnsi="Times New Roman" w:cs="Times New Roman"/>
          <w:color w:val="auto"/>
          <w:sz w:val="14"/>
          <w:szCs w:val="14"/>
          <w:u w:val="none"/>
        </w:rPr>
      </w:pPr>
    </w:p>
    <w:p w14:paraId="11FCB462" w14:textId="7F6F7C8B" w:rsidR="00A91208" w:rsidRPr="00E72418" w:rsidRDefault="00A91208" w:rsidP="008D1D70">
      <w:pPr>
        <w:pStyle w:val="Paragraphedeliste"/>
        <w:numPr>
          <w:ilvl w:val="0"/>
          <w:numId w:val="23"/>
        </w:numPr>
        <w:spacing w:after="0"/>
        <w:rPr>
          <w:rStyle w:val="Lienhypertexte"/>
          <w:rFonts w:ascii="Times New Roman" w:hAnsi="Times New Roman" w:cs="Times New Roman"/>
          <w:color w:val="auto"/>
          <w:szCs w:val="24"/>
          <w:u w:val="none"/>
        </w:rPr>
      </w:pPr>
      <w:r w:rsidRPr="00E72418">
        <w:rPr>
          <w:rFonts w:ascii="Times New Roman" w:hAnsi="Times New Roman" w:cs="Times New Roman"/>
          <w:szCs w:val="24"/>
          <w:lang w:val="en-US"/>
        </w:rPr>
        <w:lastRenderedPageBreak/>
        <w:t xml:space="preserve">Vingt-huitième Meeting of Consultation of Ministers of Foreign Affairs </w:t>
      </w:r>
      <w:r w:rsidR="00E80169" w:rsidRPr="00E72418">
        <w:rPr>
          <w:rFonts w:ascii="Times New Roman" w:hAnsi="Times New Roman" w:cs="Times New Roman"/>
          <w:szCs w:val="24"/>
          <w:lang w:val="en-US"/>
        </w:rPr>
        <w:t xml:space="preserve">of the </w:t>
      </w:r>
      <w:r w:rsidRPr="00E72418">
        <w:rPr>
          <w:rFonts w:ascii="Times New Roman" w:hAnsi="Times New Roman" w:cs="Times New Roman"/>
          <w:szCs w:val="24"/>
          <w:lang w:val="en-US"/>
        </w:rPr>
        <w:t>Organization of American State</w:t>
      </w:r>
      <w:r w:rsidR="00E80169" w:rsidRPr="00E72418">
        <w:rPr>
          <w:rFonts w:ascii="Times New Roman" w:hAnsi="Times New Roman" w:cs="Times New Roman"/>
          <w:szCs w:val="24"/>
          <w:lang w:val="en-US"/>
        </w:rPr>
        <w:t>s</w:t>
      </w:r>
      <w:r w:rsidRPr="00E72418">
        <w:rPr>
          <w:rFonts w:ascii="Times New Roman" w:hAnsi="Times New Roman" w:cs="Times New Roman"/>
          <w:szCs w:val="24"/>
          <w:lang w:val="en-US"/>
        </w:rPr>
        <w:t xml:space="preserve">, </w:t>
      </w:r>
      <w:r w:rsidRPr="00E72418">
        <w:rPr>
          <w:rFonts w:ascii="Times New Roman" w:hAnsi="Times New Roman" w:cs="Times New Roman"/>
          <w:i/>
          <w:szCs w:val="24"/>
          <w:lang w:val="en-US"/>
        </w:rPr>
        <w:t>Declaration in support for the position of Argentina on its sovereign debt restructuring</w:t>
      </w:r>
      <w:r w:rsidRPr="00E72418">
        <w:rPr>
          <w:rFonts w:ascii="Times New Roman" w:hAnsi="Times New Roman" w:cs="Times New Roman"/>
          <w:szCs w:val="24"/>
          <w:lang w:val="en-US"/>
        </w:rPr>
        <w:t xml:space="preserve">, 3 juillet 2014, RC.28/DEC. 1/14, disponible à l’adresse </w:t>
      </w:r>
      <w:hyperlink r:id="rId94" w:history="1">
        <w:r w:rsidRPr="00E72418">
          <w:rPr>
            <w:rStyle w:val="Lienhypertexte"/>
            <w:rFonts w:ascii="Times New Roman" w:hAnsi="Times New Roman" w:cs="Times New Roman"/>
            <w:color w:val="auto"/>
            <w:szCs w:val="24"/>
            <w:u w:val="none"/>
            <w:lang w:val="en-US"/>
          </w:rPr>
          <w:t>www.oas.org/en/media_center/press_release.asp?sCodigo=E-286/14</w:t>
        </w:r>
      </w:hyperlink>
    </w:p>
    <w:p w14:paraId="0DEBA32D" w14:textId="53EA0F79" w:rsidR="00A91208" w:rsidRPr="00E72418" w:rsidRDefault="00A91208" w:rsidP="00A91208">
      <w:pPr>
        <w:spacing w:after="0"/>
        <w:rPr>
          <w:rStyle w:val="Lienhypertexte"/>
          <w:rFonts w:ascii="Times New Roman" w:hAnsi="Times New Roman" w:cs="Times New Roman"/>
          <w:color w:val="auto"/>
          <w:szCs w:val="24"/>
          <w:u w:val="none"/>
        </w:rPr>
      </w:pPr>
    </w:p>
    <w:p w14:paraId="5560697A" w14:textId="2A5F376A" w:rsidR="00B91DB7" w:rsidRPr="00E72418" w:rsidRDefault="00B91DB7" w:rsidP="00A91208">
      <w:pPr>
        <w:spacing w:after="0"/>
        <w:rPr>
          <w:rStyle w:val="Lienhypertexte"/>
          <w:rFonts w:ascii="Times New Roman" w:hAnsi="Times New Roman" w:cs="Times New Roman"/>
          <w:color w:val="auto"/>
          <w:szCs w:val="24"/>
          <w:u w:val="none"/>
        </w:rPr>
      </w:pPr>
    </w:p>
    <w:p w14:paraId="21DDA0A5" w14:textId="4F825651" w:rsidR="00B91DB7" w:rsidRPr="00E72418" w:rsidRDefault="00B91DB7" w:rsidP="00A91208">
      <w:pPr>
        <w:spacing w:after="0"/>
        <w:rPr>
          <w:rStyle w:val="Lienhypertexte"/>
          <w:rFonts w:ascii="Times New Roman" w:hAnsi="Times New Roman" w:cs="Times New Roman"/>
          <w:color w:val="auto"/>
          <w:szCs w:val="24"/>
          <w:u w:val="none"/>
        </w:rPr>
      </w:pPr>
    </w:p>
    <w:p w14:paraId="1E712799" w14:textId="62FE561B" w:rsidR="00B91DB7" w:rsidRPr="00E72418" w:rsidRDefault="00B91DB7" w:rsidP="00A91208">
      <w:pPr>
        <w:spacing w:after="0"/>
        <w:rPr>
          <w:rStyle w:val="Lienhypertexte"/>
          <w:rFonts w:ascii="Times New Roman" w:hAnsi="Times New Roman" w:cs="Times New Roman"/>
          <w:color w:val="auto"/>
          <w:szCs w:val="24"/>
          <w:u w:val="none"/>
        </w:rPr>
      </w:pPr>
    </w:p>
    <w:p w14:paraId="25B9A34A" w14:textId="77777777" w:rsidR="007C2073" w:rsidRPr="00E72418" w:rsidRDefault="007C2073" w:rsidP="00A91208">
      <w:pPr>
        <w:spacing w:after="0"/>
        <w:rPr>
          <w:u w:val="single"/>
        </w:rPr>
      </w:pPr>
    </w:p>
    <w:p w14:paraId="67F5D4CD" w14:textId="017DE8C7" w:rsidR="00CC3E1A" w:rsidRDefault="00CC3E1A">
      <w:pPr>
        <w:jc w:val="left"/>
      </w:pPr>
      <w:r>
        <w:br w:type="page"/>
      </w:r>
    </w:p>
    <w:p w14:paraId="382BB46C" w14:textId="77777777" w:rsidR="00CC3E1A" w:rsidRPr="00E72418" w:rsidRDefault="00CC3E1A" w:rsidP="00CC3E1A">
      <w:pPr>
        <w:rPr>
          <w:noProof/>
        </w:rPr>
        <w:sectPr w:rsidR="00CC3E1A" w:rsidRPr="00E72418" w:rsidSect="00D02B37">
          <w:footerReference w:type="even" r:id="rId95"/>
          <w:pgSz w:w="11906" w:h="16838"/>
          <w:pgMar w:top="1417" w:right="1417" w:bottom="1417" w:left="1417" w:header="680" w:footer="708" w:gutter="0"/>
          <w:pgNumType w:start="0"/>
          <w:cols w:space="708"/>
          <w:titlePg/>
          <w:docGrid w:linePitch="360"/>
        </w:sectPr>
      </w:pPr>
    </w:p>
    <w:p w14:paraId="1A55F238" w14:textId="77777777" w:rsidR="002A7B59" w:rsidRDefault="002A7B59">
      <w:pPr>
        <w:jc w:val="left"/>
        <w:rPr>
          <w:rFonts w:ascii="Times New Roman" w:eastAsiaTheme="majorEastAsia" w:hAnsi="Times New Roman" w:cstheme="majorBidi"/>
          <w:b/>
          <w:noProof/>
          <w:sz w:val="40"/>
          <w:szCs w:val="26"/>
          <w:u w:val="single"/>
          <w:lang w:val="fr-BE" w:eastAsia="fr-BE"/>
        </w:rPr>
      </w:pPr>
      <w:r>
        <w:rPr>
          <w:noProof/>
          <w:lang w:val="fr-BE" w:eastAsia="fr-BE"/>
        </w:rPr>
        <w:lastRenderedPageBreak/>
        <w:br w:type="page"/>
      </w:r>
    </w:p>
    <w:p w14:paraId="4B5337FB" w14:textId="77777777" w:rsidR="00216133" w:rsidRDefault="002A7B59" w:rsidP="002A7B59">
      <w:pPr>
        <w:pStyle w:val="AA"/>
        <w:rPr>
          <w:noProof/>
          <w:lang w:val="fr-BE" w:eastAsia="fr-BE"/>
        </w:rPr>
      </w:pPr>
      <w:r>
        <w:rPr>
          <w:noProof/>
          <w:lang w:val="fr-BE" w:eastAsia="fr-BE"/>
        </w:rPr>
        <w:lastRenderedPageBreak/>
        <w:t>Index</w:t>
      </w:r>
    </w:p>
    <w:p w14:paraId="6611365F" w14:textId="2A4BF151" w:rsidR="00216133" w:rsidRDefault="00070A60" w:rsidP="00216133">
      <w:pPr>
        <w:rPr>
          <w:noProof/>
          <w:sz w:val="16"/>
          <w:szCs w:val="16"/>
          <w:lang w:val="fr-BE" w:eastAsia="fr-BE"/>
        </w:rPr>
      </w:pPr>
      <w:r>
        <w:rPr>
          <w:noProof/>
          <w:sz w:val="16"/>
          <w:szCs w:val="16"/>
          <w:lang w:val="fr-BE" w:eastAsia="fr-BE"/>
        </w:rPr>
        <w:t>L</w:t>
      </w:r>
      <w:r w:rsidR="00216133" w:rsidRPr="00216133">
        <w:rPr>
          <w:noProof/>
          <w:sz w:val="16"/>
          <w:szCs w:val="16"/>
          <w:lang w:val="fr-BE" w:eastAsia="fr-BE"/>
        </w:rPr>
        <w:t xml:space="preserve">es renvois sont </w:t>
      </w:r>
      <w:r>
        <w:rPr>
          <w:noProof/>
          <w:sz w:val="16"/>
          <w:szCs w:val="16"/>
          <w:lang w:val="fr-BE" w:eastAsia="fr-BE"/>
        </w:rPr>
        <w:t xml:space="preserve">uniquement </w:t>
      </w:r>
      <w:r w:rsidR="00216133" w:rsidRPr="00216133">
        <w:rPr>
          <w:noProof/>
          <w:sz w:val="16"/>
          <w:szCs w:val="16"/>
          <w:lang w:val="fr-BE" w:eastAsia="fr-BE"/>
        </w:rPr>
        <w:t xml:space="preserve">faits aux paragraphes </w:t>
      </w:r>
      <w:r w:rsidR="002C27B1">
        <w:rPr>
          <w:noProof/>
          <w:sz w:val="16"/>
          <w:szCs w:val="16"/>
          <w:lang w:val="fr-BE" w:eastAsia="fr-BE"/>
        </w:rPr>
        <w:t>où</w:t>
      </w:r>
      <w:r w:rsidR="00216A46">
        <w:rPr>
          <w:noProof/>
          <w:sz w:val="16"/>
          <w:szCs w:val="16"/>
          <w:lang w:val="fr-BE" w:eastAsia="fr-BE"/>
        </w:rPr>
        <w:t xml:space="preserve"> le</w:t>
      </w:r>
      <w:r w:rsidR="002C27B1">
        <w:rPr>
          <w:noProof/>
          <w:sz w:val="16"/>
          <w:szCs w:val="16"/>
          <w:lang w:val="fr-BE" w:eastAsia="fr-BE"/>
        </w:rPr>
        <w:t>s</w:t>
      </w:r>
      <w:r w:rsidR="00216A46">
        <w:rPr>
          <w:noProof/>
          <w:sz w:val="16"/>
          <w:szCs w:val="16"/>
          <w:lang w:val="fr-BE" w:eastAsia="fr-BE"/>
        </w:rPr>
        <w:t xml:space="preserve"> terme</w:t>
      </w:r>
      <w:r w:rsidR="002C27B1">
        <w:rPr>
          <w:noProof/>
          <w:sz w:val="16"/>
          <w:szCs w:val="16"/>
          <w:lang w:val="fr-BE" w:eastAsia="fr-BE"/>
        </w:rPr>
        <w:t>s et expressions indexés sont singulièrement abordés.</w:t>
      </w:r>
    </w:p>
    <w:p w14:paraId="1F1D49C3" w14:textId="77777777" w:rsidR="00216133" w:rsidRDefault="00216133" w:rsidP="00216133">
      <w:pPr>
        <w:rPr>
          <w:noProof/>
          <w:sz w:val="16"/>
          <w:szCs w:val="16"/>
          <w:lang w:val="fr-BE" w:eastAsia="fr-BE"/>
        </w:rPr>
      </w:pPr>
    </w:p>
    <w:p w14:paraId="56D16DAF" w14:textId="5D36F0F1" w:rsidR="002C27B1" w:rsidRPr="002C27B1" w:rsidRDefault="002C27B1" w:rsidP="002C27B1">
      <w:pPr>
        <w:rPr>
          <w:noProof/>
          <w:szCs w:val="24"/>
          <w:lang w:val="fr-BE" w:eastAsia="fr-BE"/>
        </w:rPr>
      </w:pPr>
      <w:r w:rsidRPr="002C27B1">
        <w:rPr>
          <w:noProof/>
          <w:szCs w:val="24"/>
          <w:lang w:val="fr-BE" w:eastAsia="fr-BE"/>
        </w:rPr>
        <w:t xml:space="preserve">Abus de droit </w:t>
      </w:r>
      <w:r w:rsidR="001F120A" w:rsidRPr="00E72418">
        <w:rPr>
          <w:b/>
        </w:rPr>
        <w:t>–</w:t>
      </w:r>
      <w:r w:rsidR="001F120A">
        <w:rPr>
          <w:b/>
        </w:rPr>
        <w:t xml:space="preserve"> 246-248</w:t>
      </w:r>
    </w:p>
    <w:p w14:paraId="34663706" w14:textId="157F2020" w:rsidR="002C27B1" w:rsidRPr="001F120A" w:rsidRDefault="002C27B1" w:rsidP="002C27B1">
      <w:pPr>
        <w:tabs>
          <w:tab w:val="left" w:pos="1625"/>
        </w:tabs>
        <w:rPr>
          <w:noProof/>
          <w:szCs w:val="24"/>
          <w:lang w:val="fr-BE" w:eastAsia="fr-BE"/>
        </w:rPr>
      </w:pPr>
      <w:r w:rsidRPr="002C27B1">
        <w:rPr>
          <w:i/>
          <w:noProof/>
          <w:szCs w:val="24"/>
          <w:lang w:val="fr-BE" w:eastAsia="fr-BE"/>
        </w:rPr>
        <w:t>Act of State</w:t>
      </w:r>
      <w:r w:rsidR="001F120A">
        <w:rPr>
          <w:i/>
          <w:noProof/>
          <w:szCs w:val="24"/>
          <w:lang w:val="fr-BE" w:eastAsia="fr-BE"/>
        </w:rPr>
        <w:t xml:space="preserve"> </w:t>
      </w:r>
      <w:r w:rsidR="001F120A" w:rsidRPr="00E72418">
        <w:rPr>
          <w:b/>
        </w:rPr>
        <w:t>–</w:t>
      </w:r>
      <w:r w:rsidR="001F120A">
        <w:rPr>
          <w:b/>
        </w:rPr>
        <w:t xml:space="preserve"> </w:t>
      </w:r>
      <w:r w:rsidR="001F120A" w:rsidRPr="001F120A">
        <w:rPr>
          <w:b/>
          <w:noProof/>
          <w:szCs w:val="24"/>
          <w:lang w:val="fr-BE" w:eastAsia="fr-BE"/>
        </w:rPr>
        <w:t>237-241</w:t>
      </w:r>
    </w:p>
    <w:p w14:paraId="672BAF28" w14:textId="0AB6A35B" w:rsidR="002C27B1" w:rsidRPr="002C27B1" w:rsidRDefault="002C27B1" w:rsidP="002C27B1">
      <w:pPr>
        <w:tabs>
          <w:tab w:val="left" w:pos="1625"/>
        </w:tabs>
        <w:rPr>
          <w:i/>
          <w:noProof/>
          <w:szCs w:val="24"/>
          <w:lang w:val="fr-BE" w:eastAsia="fr-BE"/>
        </w:rPr>
      </w:pPr>
      <w:r w:rsidRPr="002C27B1">
        <w:rPr>
          <w:i/>
          <w:noProof/>
          <w:szCs w:val="24"/>
          <w:lang w:val="fr-BE" w:eastAsia="fr-BE"/>
        </w:rPr>
        <w:t>Champerty</w:t>
      </w:r>
      <w:r w:rsidR="001F120A">
        <w:rPr>
          <w:i/>
          <w:noProof/>
          <w:szCs w:val="24"/>
          <w:lang w:val="fr-BE" w:eastAsia="fr-BE"/>
        </w:rPr>
        <w:t xml:space="preserve"> </w:t>
      </w:r>
      <w:r w:rsidR="001F120A" w:rsidRPr="00E72418">
        <w:rPr>
          <w:b/>
        </w:rPr>
        <w:t>–</w:t>
      </w:r>
      <w:r w:rsidR="00070A60">
        <w:t xml:space="preserve"> </w:t>
      </w:r>
      <w:r w:rsidR="00070A60" w:rsidRPr="00070A60">
        <w:rPr>
          <w:b/>
        </w:rPr>
        <w:t>243-245</w:t>
      </w:r>
    </w:p>
    <w:p w14:paraId="6683897D" w14:textId="62B30C04" w:rsidR="00216133" w:rsidRDefault="00216133" w:rsidP="00216133">
      <w:pPr>
        <w:rPr>
          <w:noProof/>
          <w:szCs w:val="24"/>
          <w:lang w:val="fr-BE" w:eastAsia="fr-BE"/>
        </w:rPr>
      </w:pPr>
      <w:r w:rsidRPr="002C27B1">
        <w:rPr>
          <w:noProof/>
          <w:szCs w:val="24"/>
          <w:lang w:val="fr-BE" w:eastAsia="fr-BE"/>
        </w:rPr>
        <w:t>Clause d’action collective</w:t>
      </w:r>
      <w:r w:rsidR="001F120A">
        <w:rPr>
          <w:noProof/>
          <w:szCs w:val="24"/>
          <w:lang w:val="fr-BE" w:eastAsia="fr-BE"/>
        </w:rPr>
        <w:t xml:space="preserve"> </w:t>
      </w:r>
      <w:r w:rsidR="001F120A" w:rsidRPr="00E72418">
        <w:rPr>
          <w:b/>
        </w:rPr>
        <w:t>–</w:t>
      </w:r>
      <w:r w:rsidR="00070A60">
        <w:rPr>
          <w:b/>
        </w:rPr>
        <w:t xml:space="preserve"> 282-290</w:t>
      </w:r>
    </w:p>
    <w:p w14:paraId="17658739" w14:textId="0F110884" w:rsidR="002C27B1" w:rsidRDefault="002C27B1" w:rsidP="002C27B1">
      <w:pPr>
        <w:rPr>
          <w:i/>
          <w:noProof/>
          <w:szCs w:val="24"/>
          <w:lang w:val="fr-BE" w:eastAsia="fr-BE"/>
        </w:rPr>
      </w:pPr>
      <w:r w:rsidRPr="002C27B1">
        <w:rPr>
          <w:i/>
          <w:noProof/>
          <w:szCs w:val="24"/>
          <w:lang w:val="fr-BE" w:eastAsia="fr-BE"/>
        </w:rPr>
        <w:t>Comity</w:t>
      </w:r>
      <w:r w:rsidR="001F120A">
        <w:rPr>
          <w:i/>
          <w:noProof/>
          <w:szCs w:val="24"/>
          <w:lang w:val="fr-BE" w:eastAsia="fr-BE"/>
        </w:rPr>
        <w:t xml:space="preserve"> </w:t>
      </w:r>
      <w:r w:rsidR="001F120A" w:rsidRPr="00E72418">
        <w:rPr>
          <w:b/>
        </w:rPr>
        <w:t>–</w:t>
      </w:r>
      <w:r w:rsidR="00070A60">
        <w:rPr>
          <w:b/>
        </w:rPr>
        <w:t xml:space="preserve"> </w:t>
      </w:r>
      <w:r w:rsidR="00070A60" w:rsidRPr="001F120A">
        <w:rPr>
          <w:b/>
          <w:noProof/>
          <w:szCs w:val="24"/>
          <w:lang w:val="fr-BE" w:eastAsia="fr-BE"/>
        </w:rPr>
        <w:t>237-241</w:t>
      </w:r>
    </w:p>
    <w:p w14:paraId="2A915474" w14:textId="55B6AE59" w:rsidR="0033589A" w:rsidRDefault="0033589A" w:rsidP="002C27B1">
      <w:pPr>
        <w:rPr>
          <w:i/>
          <w:noProof/>
          <w:szCs w:val="24"/>
          <w:lang w:val="fr-BE" w:eastAsia="fr-BE"/>
        </w:rPr>
      </w:pPr>
      <w:r>
        <w:rPr>
          <w:i/>
        </w:rPr>
        <w:t xml:space="preserve">Contractual </w:t>
      </w:r>
      <w:r w:rsidRPr="00E72418">
        <w:rPr>
          <w:i/>
        </w:rPr>
        <w:t>approach</w:t>
      </w:r>
      <w:r w:rsidR="001F120A">
        <w:rPr>
          <w:i/>
        </w:rPr>
        <w:t xml:space="preserve"> </w:t>
      </w:r>
      <w:r w:rsidR="001F120A" w:rsidRPr="00E72418">
        <w:rPr>
          <w:b/>
        </w:rPr>
        <w:t>–</w:t>
      </w:r>
      <w:r w:rsidR="00070A60">
        <w:rPr>
          <w:b/>
        </w:rPr>
        <w:t xml:space="preserve"> 282-290</w:t>
      </w:r>
    </w:p>
    <w:p w14:paraId="53181C85" w14:textId="4DBE6096" w:rsidR="002C27B1" w:rsidRPr="002C27B1" w:rsidRDefault="002C27B1" w:rsidP="002C27B1">
      <w:pPr>
        <w:rPr>
          <w:noProof/>
          <w:szCs w:val="24"/>
          <w:lang w:val="fr-BE" w:eastAsia="fr-BE"/>
        </w:rPr>
      </w:pPr>
      <w:r w:rsidRPr="002C27B1">
        <w:rPr>
          <w:noProof/>
          <w:szCs w:val="24"/>
          <w:lang w:val="fr-BE" w:eastAsia="fr-BE"/>
        </w:rPr>
        <w:t>Coronavirus</w:t>
      </w:r>
      <w:r w:rsidR="001F120A">
        <w:rPr>
          <w:b/>
        </w:rPr>
        <w:t xml:space="preserve"> </w:t>
      </w:r>
      <w:r w:rsidR="001F120A" w:rsidRPr="00E72418">
        <w:rPr>
          <w:b/>
        </w:rPr>
        <w:t>–</w:t>
      </w:r>
      <w:r w:rsidR="00070A60">
        <w:rPr>
          <w:b/>
        </w:rPr>
        <w:t xml:space="preserve"> </w:t>
      </w:r>
      <w:r w:rsidR="00070A60" w:rsidRPr="00070A60">
        <w:t>2, 3, 47, 121, 395, 401, 430</w:t>
      </w:r>
    </w:p>
    <w:p w14:paraId="3D9096F3" w14:textId="1827C6B4" w:rsidR="002C27B1" w:rsidRDefault="002C27B1" w:rsidP="002C27B1">
      <w:pPr>
        <w:rPr>
          <w:noProof/>
          <w:szCs w:val="24"/>
          <w:lang w:val="fr-BE" w:eastAsia="fr-BE"/>
        </w:rPr>
      </w:pPr>
      <w:r w:rsidRPr="002C27B1">
        <w:rPr>
          <w:noProof/>
          <w:szCs w:val="24"/>
          <w:lang w:val="fr-BE" w:eastAsia="fr-BE"/>
        </w:rPr>
        <w:t>Créancier récalcitrant</w:t>
      </w:r>
      <w:r w:rsidR="001F120A">
        <w:rPr>
          <w:noProof/>
          <w:szCs w:val="24"/>
          <w:lang w:val="fr-BE" w:eastAsia="fr-BE"/>
        </w:rPr>
        <w:t xml:space="preserve"> </w:t>
      </w:r>
      <w:r w:rsidR="001F120A" w:rsidRPr="00E72418">
        <w:rPr>
          <w:b/>
        </w:rPr>
        <w:t>–</w:t>
      </w:r>
      <w:r w:rsidR="00070A60">
        <w:rPr>
          <w:b/>
        </w:rPr>
        <w:t xml:space="preserve"> 71-81</w:t>
      </w:r>
    </w:p>
    <w:p w14:paraId="64E6003A" w14:textId="5F239ECA" w:rsidR="007A05EA" w:rsidRPr="002C27B1" w:rsidRDefault="007A05EA" w:rsidP="002C27B1">
      <w:pPr>
        <w:rPr>
          <w:noProof/>
          <w:szCs w:val="24"/>
          <w:lang w:val="fr-BE" w:eastAsia="fr-BE"/>
        </w:rPr>
      </w:pPr>
      <w:r>
        <w:rPr>
          <w:noProof/>
          <w:szCs w:val="24"/>
          <w:lang w:val="fr-BE" w:eastAsia="fr-BE"/>
        </w:rPr>
        <w:t>Défaut</w:t>
      </w:r>
      <w:r w:rsidR="001F120A">
        <w:rPr>
          <w:noProof/>
          <w:szCs w:val="24"/>
          <w:lang w:val="fr-BE" w:eastAsia="fr-BE"/>
        </w:rPr>
        <w:t xml:space="preserve"> </w:t>
      </w:r>
      <w:r w:rsidR="001F120A" w:rsidRPr="00E72418">
        <w:rPr>
          <w:b/>
        </w:rPr>
        <w:t>–</w:t>
      </w:r>
      <w:r w:rsidR="00070A60">
        <w:rPr>
          <w:b/>
        </w:rPr>
        <w:t xml:space="preserve"> 51-59</w:t>
      </w:r>
    </w:p>
    <w:p w14:paraId="3687577B" w14:textId="136B0FE2" w:rsidR="002C27B1" w:rsidRDefault="002C27B1" w:rsidP="002C27B1">
      <w:pPr>
        <w:rPr>
          <w:noProof/>
          <w:szCs w:val="24"/>
          <w:lang w:val="fr-BE" w:eastAsia="fr-BE"/>
        </w:rPr>
      </w:pPr>
      <w:r w:rsidRPr="002C27B1">
        <w:rPr>
          <w:noProof/>
          <w:szCs w:val="24"/>
          <w:lang w:val="fr-BE" w:eastAsia="fr-BE"/>
        </w:rPr>
        <w:t>Dette odieuse</w:t>
      </w:r>
      <w:r w:rsidR="001F120A">
        <w:rPr>
          <w:noProof/>
          <w:szCs w:val="24"/>
          <w:lang w:val="fr-BE" w:eastAsia="fr-BE"/>
        </w:rPr>
        <w:t xml:space="preserve"> </w:t>
      </w:r>
      <w:r w:rsidR="001F120A" w:rsidRPr="00E72418">
        <w:rPr>
          <w:b/>
        </w:rPr>
        <w:t>–</w:t>
      </w:r>
      <w:r w:rsidR="00070A60">
        <w:rPr>
          <w:b/>
        </w:rPr>
        <w:t xml:space="preserve"> 257-260</w:t>
      </w:r>
    </w:p>
    <w:p w14:paraId="53D57773" w14:textId="1D475575" w:rsidR="002C27B1" w:rsidRDefault="007A05EA" w:rsidP="002C27B1">
      <w:pPr>
        <w:rPr>
          <w:noProof/>
          <w:szCs w:val="24"/>
          <w:lang w:val="fr-BE" w:eastAsia="fr-BE"/>
        </w:rPr>
      </w:pPr>
      <w:r>
        <w:rPr>
          <w:noProof/>
          <w:szCs w:val="24"/>
          <w:lang w:val="fr-BE" w:eastAsia="fr-BE"/>
        </w:rPr>
        <w:t>Droit à un procès équitable</w:t>
      </w:r>
      <w:r w:rsidR="001F120A">
        <w:rPr>
          <w:noProof/>
          <w:szCs w:val="24"/>
          <w:lang w:val="fr-BE" w:eastAsia="fr-BE"/>
        </w:rPr>
        <w:t xml:space="preserve"> </w:t>
      </w:r>
      <w:r w:rsidR="001F120A" w:rsidRPr="00E72418">
        <w:rPr>
          <w:b/>
        </w:rPr>
        <w:t>–</w:t>
      </w:r>
      <w:r w:rsidR="00070A60">
        <w:rPr>
          <w:b/>
        </w:rPr>
        <w:t xml:space="preserve"> 387-392</w:t>
      </w:r>
    </w:p>
    <w:p w14:paraId="4A27AC6B" w14:textId="2808A4EA" w:rsidR="0033589A" w:rsidRPr="002C27B1" w:rsidRDefault="001F120A" w:rsidP="002C27B1">
      <w:pPr>
        <w:rPr>
          <w:noProof/>
          <w:szCs w:val="24"/>
          <w:lang w:val="fr-BE" w:eastAsia="fr-BE"/>
        </w:rPr>
      </w:pPr>
      <w:r>
        <w:rPr>
          <w:noProof/>
          <w:szCs w:val="24"/>
          <w:lang w:val="fr-BE" w:eastAsia="fr-BE"/>
        </w:rPr>
        <w:t>Faillite</w:t>
      </w:r>
      <w:r>
        <w:rPr>
          <w:b/>
        </w:rPr>
        <w:t xml:space="preserve"> </w:t>
      </w:r>
      <w:r w:rsidRPr="00E72418">
        <w:rPr>
          <w:b/>
        </w:rPr>
        <w:t>–</w:t>
      </w:r>
      <w:r w:rsidR="001F6CC4">
        <w:rPr>
          <w:b/>
        </w:rPr>
        <w:t xml:space="preserve"> </w:t>
      </w:r>
      <w:r w:rsidR="001F6CC4" w:rsidRPr="001F6CC4">
        <w:t>63, 66, 125, 185, 218, 220, 271, 273, 274, 295, 384</w:t>
      </w:r>
    </w:p>
    <w:p w14:paraId="311FB594" w14:textId="4D0E26EA" w:rsidR="002C27B1" w:rsidRDefault="002C27B1" w:rsidP="002C27B1">
      <w:pPr>
        <w:rPr>
          <w:noProof/>
          <w:szCs w:val="24"/>
          <w:lang w:val="fr-BE" w:eastAsia="fr-BE"/>
        </w:rPr>
      </w:pPr>
      <w:r w:rsidRPr="002C27B1">
        <w:rPr>
          <w:noProof/>
          <w:szCs w:val="24"/>
          <w:lang w:val="fr-BE" w:eastAsia="fr-BE"/>
        </w:rPr>
        <w:t>Immunités</w:t>
      </w:r>
      <w:r w:rsidR="001F120A">
        <w:rPr>
          <w:noProof/>
          <w:szCs w:val="24"/>
          <w:lang w:val="fr-BE" w:eastAsia="fr-BE"/>
        </w:rPr>
        <w:t xml:space="preserve"> </w:t>
      </w:r>
      <w:r w:rsidR="001F120A" w:rsidRPr="00E72418">
        <w:rPr>
          <w:b/>
        </w:rPr>
        <w:t>–</w:t>
      </w:r>
      <w:r w:rsidR="001F6CC4">
        <w:rPr>
          <w:b/>
        </w:rPr>
        <w:t xml:space="preserve"> 200-236</w:t>
      </w:r>
    </w:p>
    <w:p w14:paraId="150C907B" w14:textId="1E6D5FEB" w:rsidR="002C27B1" w:rsidRDefault="002C27B1" w:rsidP="002C27B1">
      <w:pPr>
        <w:rPr>
          <w:i/>
          <w:noProof/>
          <w:szCs w:val="24"/>
          <w:lang w:val="fr-BE" w:eastAsia="fr-BE"/>
        </w:rPr>
      </w:pPr>
      <w:r w:rsidRPr="002C27B1">
        <w:rPr>
          <w:noProof/>
          <w:szCs w:val="24"/>
          <w:lang w:val="fr-BE" w:eastAsia="fr-BE"/>
        </w:rPr>
        <w:t xml:space="preserve">Initiative </w:t>
      </w:r>
      <w:r w:rsidRPr="002C27B1">
        <w:rPr>
          <w:i/>
          <w:noProof/>
          <w:szCs w:val="24"/>
          <w:lang w:val="fr-BE" w:eastAsia="fr-BE"/>
        </w:rPr>
        <w:t>Pays Pauvres Très Endettés</w:t>
      </w:r>
      <w:r w:rsidR="007A05EA">
        <w:rPr>
          <w:i/>
          <w:noProof/>
          <w:szCs w:val="24"/>
          <w:lang w:val="fr-BE" w:eastAsia="fr-BE"/>
        </w:rPr>
        <w:t>/</w:t>
      </w:r>
      <w:r w:rsidR="007A05EA" w:rsidRPr="007A05EA">
        <w:rPr>
          <w:rFonts w:ascii="Times New Roman" w:hAnsi="Times New Roman" w:cs="Times New Roman"/>
          <w:i/>
          <w:szCs w:val="24"/>
          <w:lang w:val="en-US"/>
        </w:rPr>
        <w:t>Highly Indebted Poor Countries</w:t>
      </w:r>
      <w:r w:rsidR="001F120A">
        <w:rPr>
          <w:rFonts w:ascii="Times New Roman" w:hAnsi="Times New Roman" w:cs="Times New Roman"/>
          <w:i/>
          <w:szCs w:val="24"/>
          <w:lang w:val="en-US"/>
        </w:rPr>
        <w:t xml:space="preserve"> </w:t>
      </w:r>
      <w:r w:rsidR="001F120A" w:rsidRPr="00E72418">
        <w:rPr>
          <w:b/>
        </w:rPr>
        <w:t>–</w:t>
      </w:r>
      <w:r w:rsidR="001F6CC4">
        <w:rPr>
          <w:b/>
        </w:rPr>
        <w:t xml:space="preserve"> 41-47</w:t>
      </w:r>
    </w:p>
    <w:p w14:paraId="29FB8246" w14:textId="55ACFDAA" w:rsidR="002C27B1" w:rsidRDefault="002C27B1" w:rsidP="002C27B1">
      <w:pPr>
        <w:rPr>
          <w:i/>
          <w:noProof/>
          <w:szCs w:val="24"/>
          <w:lang w:val="fr-BE" w:eastAsia="fr-BE"/>
        </w:rPr>
      </w:pPr>
      <w:r w:rsidRPr="002C27B1">
        <w:rPr>
          <w:noProof/>
          <w:szCs w:val="24"/>
          <w:lang w:val="fr-BE" w:eastAsia="fr-BE"/>
        </w:rPr>
        <w:t xml:space="preserve">Juge </w:t>
      </w:r>
      <w:r w:rsidRPr="002C27B1">
        <w:rPr>
          <w:i/>
          <w:noProof/>
          <w:szCs w:val="24"/>
          <w:lang w:val="fr-BE" w:eastAsia="fr-BE"/>
        </w:rPr>
        <w:t>Griesa</w:t>
      </w:r>
      <w:r w:rsidR="001F120A">
        <w:rPr>
          <w:i/>
          <w:noProof/>
          <w:szCs w:val="24"/>
          <w:lang w:val="fr-BE" w:eastAsia="fr-BE"/>
        </w:rPr>
        <w:t xml:space="preserve"> </w:t>
      </w:r>
      <w:r w:rsidR="001F120A" w:rsidRPr="00E72418">
        <w:rPr>
          <w:b/>
        </w:rPr>
        <w:t>–</w:t>
      </w:r>
      <w:r w:rsidR="00787D6A">
        <w:rPr>
          <w:b/>
        </w:rPr>
        <w:t xml:space="preserve"> </w:t>
      </w:r>
      <w:r w:rsidR="00787D6A" w:rsidRPr="00787D6A">
        <w:t>79, 92, 95, 96, 97, 183, 189, 190, 279, 421</w:t>
      </w:r>
    </w:p>
    <w:p w14:paraId="09E84D70" w14:textId="28B6682E" w:rsidR="002C27B1" w:rsidRPr="002C27B1" w:rsidRDefault="002C27B1" w:rsidP="002C27B1">
      <w:pPr>
        <w:rPr>
          <w:noProof/>
          <w:szCs w:val="24"/>
          <w:lang w:val="fr-BE" w:eastAsia="fr-BE"/>
        </w:rPr>
      </w:pPr>
      <w:r w:rsidRPr="002C27B1">
        <w:rPr>
          <w:noProof/>
          <w:szCs w:val="24"/>
          <w:lang w:val="fr-BE" w:eastAsia="fr-BE"/>
        </w:rPr>
        <w:t>Liquidité</w:t>
      </w:r>
      <w:r w:rsidR="001F120A">
        <w:rPr>
          <w:noProof/>
          <w:szCs w:val="24"/>
          <w:lang w:val="fr-BE" w:eastAsia="fr-BE"/>
        </w:rPr>
        <w:t xml:space="preserve"> </w:t>
      </w:r>
      <w:r w:rsidR="001F120A" w:rsidRPr="00E72418">
        <w:rPr>
          <w:b/>
        </w:rPr>
        <w:t>–</w:t>
      </w:r>
      <w:r w:rsidR="00787D6A">
        <w:rPr>
          <w:b/>
        </w:rPr>
        <w:t xml:space="preserve"> </w:t>
      </w:r>
      <w:r w:rsidR="00146D9E" w:rsidRPr="00146D9E">
        <w:rPr>
          <w:b/>
        </w:rPr>
        <w:t>158-160</w:t>
      </w:r>
    </w:p>
    <w:p w14:paraId="2B44A9D9" w14:textId="6B24BA71" w:rsidR="002C27B1" w:rsidRPr="002C27B1" w:rsidRDefault="002C27B1" w:rsidP="002C27B1">
      <w:pPr>
        <w:rPr>
          <w:noProof/>
          <w:szCs w:val="24"/>
          <w:lang w:val="fr-BE" w:eastAsia="fr-BE"/>
        </w:rPr>
      </w:pPr>
      <w:r w:rsidRPr="002C27B1">
        <w:rPr>
          <w:noProof/>
          <w:szCs w:val="24"/>
          <w:lang w:val="fr-BE" w:eastAsia="fr-BE"/>
        </w:rPr>
        <w:t>Marché secondaire</w:t>
      </w:r>
      <w:r w:rsidR="001F120A">
        <w:rPr>
          <w:noProof/>
          <w:szCs w:val="24"/>
          <w:lang w:val="fr-BE" w:eastAsia="fr-BE"/>
        </w:rPr>
        <w:t xml:space="preserve"> </w:t>
      </w:r>
      <w:r w:rsidR="001F120A" w:rsidRPr="00E72418">
        <w:rPr>
          <w:b/>
        </w:rPr>
        <w:t>–</w:t>
      </w:r>
      <w:r w:rsidR="00787D6A">
        <w:rPr>
          <w:b/>
        </w:rPr>
        <w:t xml:space="preserve"> 29-32</w:t>
      </w:r>
    </w:p>
    <w:p w14:paraId="5219EA10" w14:textId="49487B18" w:rsidR="002C27B1" w:rsidRPr="002C27B1" w:rsidRDefault="002C27B1" w:rsidP="002C27B1">
      <w:pPr>
        <w:rPr>
          <w:i/>
          <w:noProof/>
          <w:szCs w:val="24"/>
          <w:lang w:val="fr-BE" w:eastAsia="fr-BE"/>
        </w:rPr>
      </w:pPr>
      <w:r w:rsidRPr="002C27B1">
        <w:rPr>
          <w:i/>
          <w:noProof/>
          <w:szCs w:val="24"/>
          <w:lang w:val="fr-BE" w:eastAsia="fr-BE"/>
        </w:rPr>
        <w:t>NML Capital Ltd.</w:t>
      </w:r>
      <w:r w:rsidR="001F120A">
        <w:rPr>
          <w:i/>
          <w:noProof/>
          <w:szCs w:val="24"/>
          <w:lang w:val="fr-BE" w:eastAsia="fr-BE"/>
        </w:rPr>
        <w:t xml:space="preserve"> </w:t>
      </w:r>
      <w:r w:rsidR="001F120A" w:rsidRPr="00E72418">
        <w:rPr>
          <w:b/>
        </w:rPr>
        <w:t>–</w:t>
      </w:r>
      <w:r w:rsidR="00787D6A">
        <w:rPr>
          <w:b/>
        </w:rPr>
        <w:t xml:space="preserve"> 85-99</w:t>
      </w:r>
    </w:p>
    <w:p w14:paraId="6452753C" w14:textId="0AEEB158" w:rsidR="002C27B1" w:rsidRDefault="002C27B1" w:rsidP="002C27B1">
      <w:pPr>
        <w:rPr>
          <w:noProof/>
          <w:szCs w:val="24"/>
          <w:lang w:val="fr-BE" w:eastAsia="fr-BE"/>
        </w:rPr>
      </w:pPr>
      <w:r w:rsidRPr="002C27B1">
        <w:rPr>
          <w:noProof/>
          <w:szCs w:val="24"/>
          <w:lang w:val="fr-BE" w:eastAsia="fr-BE"/>
        </w:rPr>
        <w:t>Ordre public</w:t>
      </w:r>
      <w:r w:rsidR="001F120A">
        <w:rPr>
          <w:b/>
        </w:rPr>
        <w:t xml:space="preserve"> </w:t>
      </w:r>
      <w:r w:rsidR="001F120A" w:rsidRPr="00E72418">
        <w:rPr>
          <w:b/>
        </w:rPr>
        <w:t>–</w:t>
      </w:r>
      <w:r w:rsidR="00787D6A">
        <w:rPr>
          <w:b/>
        </w:rPr>
        <w:t xml:space="preserve"> 251-254</w:t>
      </w:r>
    </w:p>
    <w:p w14:paraId="020F7594" w14:textId="7A10B6A2" w:rsidR="002C27B1" w:rsidRPr="002C27B1" w:rsidRDefault="002C27B1" w:rsidP="002C27B1">
      <w:pPr>
        <w:rPr>
          <w:i/>
          <w:noProof/>
          <w:szCs w:val="24"/>
          <w:lang w:val="fr-BE" w:eastAsia="fr-BE"/>
        </w:rPr>
      </w:pPr>
      <w:r w:rsidRPr="002C27B1">
        <w:rPr>
          <w:i/>
          <w:noProof/>
          <w:szCs w:val="24"/>
          <w:lang w:val="fr-BE" w:eastAsia="fr-BE"/>
        </w:rPr>
        <w:t>Pacta sunt servanda</w:t>
      </w:r>
      <w:r w:rsidR="001F120A">
        <w:rPr>
          <w:i/>
          <w:noProof/>
          <w:szCs w:val="24"/>
          <w:lang w:val="fr-BE" w:eastAsia="fr-BE"/>
        </w:rPr>
        <w:t xml:space="preserve"> </w:t>
      </w:r>
      <w:r w:rsidR="001F120A" w:rsidRPr="00E72418">
        <w:rPr>
          <w:b/>
        </w:rPr>
        <w:t>–</w:t>
      </w:r>
      <w:r w:rsidR="00787D6A">
        <w:rPr>
          <w:b/>
        </w:rPr>
        <w:t xml:space="preserve"> 170-172</w:t>
      </w:r>
    </w:p>
    <w:p w14:paraId="4A6BD590" w14:textId="6EAEF669" w:rsidR="002C27B1" w:rsidRDefault="002C27B1" w:rsidP="00216133">
      <w:pPr>
        <w:rPr>
          <w:i/>
          <w:noProof/>
          <w:szCs w:val="24"/>
          <w:lang w:val="fr-BE" w:eastAsia="fr-BE"/>
        </w:rPr>
      </w:pPr>
      <w:r w:rsidRPr="002C27B1">
        <w:rPr>
          <w:i/>
          <w:noProof/>
          <w:szCs w:val="24"/>
          <w:lang w:val="fr-BE" w:eastAsia="fr-BE"/>
        </w:rPr>
        <w:t>Pari passu</w:t>
      </w:r>
      <w:r w:rsidR="001F120A">
        <w:rPr>
          <w:i/>
          <w:noProof/>
          <w:szCs w:val="24"/>
          <w:lang w:val="fr-BE" w:eastAsia="fr-BE"/>
        </w:rPr>
        <w:t xml:space="preserve"> </w:t>
      </w:r>
      <w:r w:rsidR="001F120A" w:rsidRPr="00E72418">
        <w:rPr>
          <w:b/>
        </w:rPr>
        <w:t>–</w:t>
      </w:r>
      <w:r w:rsidR="00787D6A">
        <w:rPr>
          <w:b/>
        </w:rPr>
        <w:t xml:space="preserve"> 173-197</w:t>
      </w:r>
    </w:p>
    <w:p w14:paraId="1D3D5B8A" w14:textId="683CE468" w:rsidR="007A05EA" w:rsidRPr="007A05EA" w:rsidRDefault="007A05EA" w:rsidP="00216133">
      <w:pPr>
        <w:rPr>
          <w:noProof/>
          <w:szCs w:val="24"/>
          <w:lang w:val="fr-BE" w:eastAsia="fr-BE"/>
        </w:rPr>
      </w:pPr>
      <w:r w:rsidRPr="007A05EA">
        <w:rPr>
          <w:noProof/>
          <w:szCs w:val="24"/>
          <w:lang w:val="fr-BE" w:eastAsia="fr-BE"/>
        </w:rPr>
        <w:t>Protection de la propriété</w:t>
      </w:r>
      <w:r w:rsidR="001F120A">
        <w:rPr>
          <w:noProof/>
          <w:szCs w:val="24"/>
          <w:lang w:val="fr-BE" w:eastAsia="fr-BE"/>
        </w:rPr>
        <w:t xml:space="preserve"> </w:t>
      </w:r>
      <w:r w:rsidR="001F120A" w:rsidRPr="00E72418">
        <w:rPr>
          <w:b/>
        </w:rPr>
        <w:t>–</w:t>
      </w:r>
      <w:r w:rsidR="00787D6A">
        <w:rPr>
          <w:b/>
        </w:rPr>
        <w:t xml:space="preserve"> 377-386</w:t>
      </w:r>
    </w:p>
    <w:p w14:paraId="407BE6EB" w14:textId="3193D7E6" w:rsidR="00216133" w:rsidRPr="002C27B1" w:rsidRDefault="00216133" w:rsidP="00216133">
      <w:pPr>
        <w:rPr>
          <w:noProof/>
          <w:szCs w:val="24"/>
          <w:lang w:val="fr-BE" w:eastAsia="fr-BE"/>
        </w:rPr>
      </w:pPr>
      <w:r w:rsidRPr="002C27B1">
        <w:rPr>
          <w:noProof/>
          <w:szCs w:val="24"/>
          <w:lang w:val="fr-BE" w:eastAsia="fr-BE"/>
        </w:rPr>
        <w:t>Restructuration</w:t>
      </w:r>
      <w:r w:rsidR="001F120A">
        <w:rPr>
          <w:noProof/>
          <w:szCs w:val="24"/>
          <w:lang w:val="fr-BE" w:eastAsia="fr-BE"/>
        </w:rPr>
        <w:t xml:space="preserve"> </w:t>
      </w:r>
      <w:r w:rsidR="001F120A" w:rsidRPr="00E72418">
        <w:rPr>
          <w:b/>
        </w:rPr>
        <w:t>–</w:t>
      </w:r>
      <w:r w:rsidR="00787D6A">
        <w:rPr>
          <w:b/>
        </w:rPr>
        <w:t xml:space="preserve"> 60-70</w:t>
      </w:r>
    </w:p>
    <w:p w14:paraId="1AA4DD57" w14:textId="142E1509" w:rsidR="00216133" w:rsidRDefault="00216133" w:rsidP="00216133">
      <w:pPr>
        <w:rPr>
          <w:noProof/>
          <w:szCs w:val="24"/>
          <w:lang w:val="fr-BE" w:eastAsia="fr-BE"/>
        </w:rPr>
      </w:pPr>
      <w:r w:rsidRPr="002C27B1">
        <w:rPr>
          <w:noProof/>
          <w:szCs w:val="24"/>
          <w:lang w:val="fr-BE" w:eastAsia="fr-BE"/>
        </w:rPr>
        <w:t>Retrait litigieux</w:t>
      </w:r>
      <w:r w:rsidR="001F120A">
        <w:rPr>
          <w:noProof/>
          <w:szCs w:val="24"/>
          <w:lang w:val="fr-BE" w:eastAsia="fr-BE"/>
        </w:rPr>
        <w:t xml:space="preserve"> </w:t>
      </w:r>
      <w:r w:rsidR="001F120A" w:rsidRPr="00E72418">
        <w:rPr>
          <w:b/>
        </w:rPr>
        <w:t>–</w:t>
      </w:r>
      <w:r w:rsidR="00787D6A">
        <w:rPr>
          <w:b/>
        </w:rPr>
        <w:t xml:space="preserve"> 249</w:t>
      </w:r>
    </w:p>
    <w:p w14:paraId="08A7AFC3" w14:textId="0681CE93" w:rsidR="00581C6F" w:rsidRDefault="00581C6F" w:rsidP="00216133">
      <w:pPr>
        <w:rPr>
          <w:noProof/>
          <w:szCs w:val="24"/>
          <w:lang w:val="fr-BE" w:eastAsia="fr-BE"/>
        </w:rPr>
      </w:pPr>
      <w:r w:rsidRPr="002C27B1">
        <w:rPr>
          <w:noProof/>
          <w:szCs w:val="24"/>
          <w:lang w:val="fr-BE" w:eastAsia="fr-BE"/>
        </w:rPr>
        <w:t>Soutenabilité</w:t>
      </w:r>
      <w:r w:rsidR="007A05EA">
        <w:rPr>
          <w:noProof/>
          <w:szCs w:val="24"/>
          <w:lang w:val="fr-BE" w:eastAsia="fr-BE"/>
        </w:rPr>
        <w:t>/viabilité</w:t>
      </w:r>
      <w:r w:rsidR="001F120A">
        <w:rPr>
          <w:noProof/>
          <w:szCs w:val="24"/>
          <w:lang w:val="fr-BE" w:eastAsia="fr-BE"/>
        </w:rPr>
        <w:t xml:space="preserve"> </w:t>
      </w:r>
      <w:r w:rsidR="001F120A" w:rsidRPr="00E72418">
        <w:rPr>
          <w:b/>
        </w:rPr>
        <w:t>–</w:t>
      </w:r>
      <w:r w:rsidR="00D70DFF">
        <w:rPr>
          <w:b/>
        </w:rPr>
        <w:t xml:space="preserve"> 33-50</w:t>
      </w:r>
    </w:p>
    <w:p w14:paraId="35F462D4" w14:textId="09F3E2A1" w:rsidR="0033589A" w:rsidRDefault="0033589A" w:rsidP="00216133">
      <w:pPr>
        <w:rPr>
          <w:noProof/>
          <w:szCs w:val="24"/>
          <w:lang w:val="fr-BE" w:eastAsia="fr-BE"/>
        </w:rPr>
      </w:pPr>
      <w:r>
        <w:rPr>
          <w:noProof/>
          <w:szCs w:val="24"/>
          <w:lang w:val="fr-BE" w:eastAsia="fr-BE"/>
        </w:rPr>
        <w:t>Souveraineté</w:t>
      </w:r>
      <w:r w:rsidR="001F120A">
        <w:rPr>
          <w:noProof/>
          <w:szCs w:val="24"/>
          <w:lang w:val="fr-BE" w:eastAsia="fr-BE"/>
        </w:rPr>
        <w:t xml:space="preserve"> </w:t>
      </w:r>
      <w:r w:rsidR="001F120A" w:rsidRPr="00E72418">
        <w:rPr>
          <w:b/>
        </w:rPr>
        <w:t>–</w:t>
      </w:r>
      <w:r w:rsidR="00D70DFF">
        <w:rPr>
          <w:b/>
        </w:rPr>
        <w:t xml:space="preserve"> 199-241</w:t>
      </w:r>
    </w:p>
    <w:p w14:paraId="78B16629" w14:textId="4A99E09A" w:rsidR="007A05EA" w:rsidRDefault="007A05EA" w:rsidP="00216133">
      <w:pPr>
        <w:rPr>
          <w:rFonts w:cs="Times New Roman"/>
          <w:i/>
          <w:szCs w:val="24"/>
        </w:rPr>
      </w:pPr>
      <w:r w:rsidRPr="00E72418">
        <w:rPr>
          <w:rFonts w:cs="Times New Roman"/>
          <w:i/>
          <w:szCs w:val="24"/>
        </w:rPr>
        <w:t>Sovereign Debt Restructuring Mechanism</w:t>
      </w:r>
      <w:r w:rsidR="001F120A">
        <w:rPr>
          <w:rFonts w:cs="Times New Roman"/>
          <w:i/>
          <w:szCs w:val="24"/>
        </w:rPr>
        <w:t xml:space="preserve"> </w:t>
      </w:r>
      <w:r w:rsidR="001F120A" w:rsidRPr="00E72418">
        <w:rPr>
          <w:b/>
        </w:rPr>
        <w:t>–</w:t>
      </w:r>
      <w:r w:rsidR="00D70DFF">
        <w:rPr>
          <w:b/>
        </w:rPr>
        <w:t xml:space="preserve"> 275</w:t>
      </w:r>
    </w:p>
    <w:p w14:paraId="2CC036CE" w14:textId="75A954A6" w:rsidR="0033589A" w:rsidRPr="002C27B1" w:rsidRDefault="0033589A" w:rsidP="00216133">
      <w:pPr>
        <w:rPr>
          <w:noProof/>
          <w:szCs w:val="24"/>
          <w:lang w:val="fr-BE" w:eastAsia="fr-BE"/>
        </w:rPr>
      </w:pPr>
      <w:r>
        <w:rPr>
          <w:i/>
        </w:rPr>
        <w:t>S</w:t>
      </w:r>
      <w:r w:rsidRPr="00E72418">
        <w:rPr>
          <w:i/>
        </w:rPr>
        <w:t>tatutory approach</w:t>
      </w:r>
      <w:r w:rsidR="001F120A">
        <w:rPr>
          <w:i/>
        </w:rPr>
        <w:t xml:space="preserve"> </w:t>
      </w:r>
      <w:r w:rsidR="001F120A" w:rsidRPr="00E72418">
        <w:rPr>
          <w:b/>
        </w:rPr>
        <w:t>–</w:t>
      </w:r>
      <w:r w:rsidR="00D70DFF">
        <w:rPr>
          <w:b/>
        </w:rPr>
        <w:t xml:space="preserve"> 271-281</w:t>
      </w:r>
    </w:p>
    <w:p w14:paraId="6C3B79F1" w14:textId="29043806" w:rsidR="00581C6F" w:rsidRPr="002C27B1" w:rsidRDefault="00581C6F" w:rsidP="00216133">
      <w:pPr>
        <w:rPr>
          <w:noProof/>
          <w:szCs w:val="24"/>
          <w:lang w:val="fr-BE" w:eastAsia="fr-BE"/>
        </w:rPr>
      </w:pPr>
    </w:p>
    <w:p w14:paraId="7DD785A6" w14:textId="09242C8B" w:rsidR="00581C6F" w:rsidRDefault="00581C6F" w:rsidP="00216133">
      <w:pPr>
        <w:rPr>
          <w:noProof/>
          <w:sz w:val="16"/>
          <w:szCs w:val="16"/>
          <w:lang w:val="fr-BE" w:eastAsia="fr-BE"/>
        </w:rPr>
      </w:pPr>
    </w:p>
    <w:p w14:paraId="6A5CB9CC" w14:textId="22768B26" w:rsidR="002A7B59" w:rsidRPr="00216133" w:rsidRDefault="002A7B59" w:rsidP="00216133">
      <w:pPr>
        <w:rPr>
          <w:noProof/>
          <w:sz w:val="16"/>
          <w:szCs w:val="16"/>
          <w:lang w:val="fr-BE" w:eastAsia="fr-BE"/>
        </w:rPr>
      </w:pPr>
      <w:r w:rsidRPr="00216133">
        <w:rPr>
          <w:noProof/>
          <w:sz w:val="16"/>
          <w:szCs w:val="16"/>
          <w:lang w:val="fr-BE" w:eastAsia="fr-BE"/>
        </w:rPr>
        <w:br w:type="page"/>
      </w:r>
    </w:p>
    <w:p w14:paraId="5E6A3DE8" w14:textId="77777777" w:rsidR="002A7B59" w:rsidRDefault="002A7B59">
      <w:pPr>
        <w:jc w:val="left"/>
        <w:rPr>
          <w:rFonts w:ascii="Times New Roman" w:eastAsiaTheme="majorEastAsia" w:hAnsi="Times New Roman" w:cstheme="majorBidi"/>
          <w:b/>
          <w:noProof/>
          <w:sz w:val="40"/>
          <w:szCs w:val="26"/>
          <w:u w:val="single"/>
          <w:lang w:val="fr-BE" w:eastAsia="fr-BE"/>
        </w:rPr>
      </w:pPr>
      <w:r>
        <w:rPr>
          <w:noProof/>
          <w:lang w:val="fr-BE" w:eastAsia="fr-BE"/>
        </w:rPr>
        <w:lastRenderedPageBreak/>
        <w:br w:type="page"/>
      </w:r>
    </w:p>
    <w:p w14:paraId="7FB56221" w14:textId="05065151" w:rsidR="00CC3E1A" w:rsidRPr="00CC3E1A" w:rsidRDefault="00CC3E1A" w:rsidP="002A7B59">
      <w:pPr>
        <w:pStyle w:val="AA"/>
        <w:rPr>
          <w:noProof/>
          <w:lang w:val="fr-BE" w:eastAsia="fr-BE"/>
        </w:rPr>
      </w:pPr>
      <w:r w:rsidRPr="00CC3E1A">
        <w:rPr>
          <w:noProof/>
          <w:lang w:val="fr-BE" w:eastAsia="fr-BE"/>
        </w:rPr>
        <w:lastRenderedPageBreak/>
        <w:t>Table des matières</w:t>
      </w:r>
    </w:p>
    <w:p w14:paraId="6C829674" w14:textId="77777777" w:rsidR="00CC3E1A" w:rsidRPr="00CC3E1A" w:rsidRDefault="00CC3E1A" w:rsidP="00CC3E1A">
      <w:pPr>
        <w:jc w:val="center"/>
        <w:rPr>
          <w:b/>
          <w:noProof/>
          <w:sz w:val="30"/>
          <w:szCs w:val="30"/>
          <w:lang w:val="fr-BE" w:eastAsia="fr-BE"/>
        </w:rPr>
      </w:pPr>
    </w:p>
    <w:p w14:paraId="68D2D3C1" w14:textId="77777777" w:rsidR="00CC3E1A" w:rsidRPr="00CC3E1A" w:rsidRDefault="00CC3E1A" w:rsidP="00CC3E1A">
      <w:pPr>
        <w:jc w:val="center"/>
        <w:rPr>
          <w:b/>
          <w:noProof/>
          <w:sz w:val="30"/>
          <w:szCs w:val="30"/>
          <w:lang w:val="fr-BE" w:eastAsia="fr-BE"/>
        </w:rPr>
      </w:pPr>
    </w:p>
    <w:p w14:paraId="7B127770" w14:textId="77777777" w:rsidR="00CC3E1A" w:rsidRPr="00CC3E1A" w:rsidRDefault="0030147D" w:rsidP="002A7B59">
      <w:pPr>
        <w:pStyle w:val="TM1"/>
        <w:rPr>
          <w:rFonts w:eastAsiaTheme="minorEastAsia"/>
          <w:lang w:val="fr-BE" w:eastAsia="fr-BE"/>
        </w:rPr>
      </w:pPr>
      <w:hyperlink w:anchor="_Toc84540856" w:history="1">
        <w:r w:rsidR="00CC3E1A" w:rsidRPr="00CC3E1A">
          <w:rPr>
            <w:rStyle w:val="Lienhypertexte"/>
            <w:color w:val="auto"/>
            <w:u w:val="none"/>
          </w:rPr>
          <w:t xml:space="preserve">Introduction générale </w:t>
        </w:r>
        <w:r w:rsidR="00CC3E1A" w:rsidRPr="00CC3E1A">
          <w:rPr>
            <w:webHidden/>
          </w:rPr>
          <w:tab/>
        </w:r>
        <w:r w:rsidR="00CC3E1A" w:rsidRPr="00CC3E1A">
          <w:rPr>
            <w:webHidden/>
          </w:rPr>
          <w:fldChar w:fldCharType="begin"/>
        </w:r>
        <w:r w:rsidR="00CC3E1A" w:rsidRPr="00CC3E1A">
          <w:rPr>
            <w:webHidden/>
          </w:rPr>
          <w:instrText xml:space="preserve"> PAGEREF _Toc84540856 \h </w:instrText>
        </w:r>
        <w:r w:rsidR="00CC3E1A" w:rsidRPr="00CC3E1A">
          <w:rPr>
            <w:webHidden/>
          </w:rPr>
        </w:r>
        <w:r w:rsidR="00CC3E1A" w:rsidRPr="00CC3E1A">
          <w:rPr>
            <w:webHidden/>
          </w:rPr>
          <w:fldChar w:fldCharType="separate"/>
        </w:r>
        <w:r w:rsidR="00CC3E1A" w:rsidRPr="00CC3E1A">
          <w:rPr>
            <w:webHidden/>
          </w:rPr>
          <w:t>1</w:t>
        </w:r>
        <w:r w:rsidR="00CC3E1A" w:rsidRPr="00CC3E1A">
          <w:rPr>
            <w:webHidden/>
          </w:rPr>
          <w:fldChar w:fldCharType="end"/>
        </w:r>
      </w:hyperlink>
    </w:p>
    <w:p w14:paraId="0E7D0C36" w14:textId="77777777" w:rsidR="00CC3E1A" w:rsidRPr="00CC3E1A" w:rsidRDefault="00CC3E1A" w:rsidP="00CC3E1A">
      <w:pPr>
        <w:rPr>
          <w:noProof/>
          <w:lang w:val="fr-BE" w:eastAsia="fr-BE"/>
        </w:rPr>
      </w:pPr>
    </w:p>
    <w:p w14:paraId="6E4A254B" w14:textId="77777777" w:rsidR="00CC3E1A" w:rsidRPr="00CC3E1A" w:rsidRDefault="00CC3E1A" w:rsidP="00CC3E1A">
      <w:pPr>
        <w:rPr>
          <w:noProof/>
          <w:lang w:val="fr-BE" w:eastAsia="fr-BE"/>
        </w:rPr>
      </w:pPr>
    </w:p>
    <w:p w14:paraId="2D85987F" w14:textId="77777777" w:rsidR="00CC3E1A" w:rsidRPr="002A7B59" w:rsidRDefault="0030147D" w:rsidP="002A7B59">
      <w:pPr>
        <w:pStyle w:val="TM1"/>
        <w:rPr>
          <w:rStyle w:val="Lienhypertexte"/>
          <w:rFonts w:eastAsiaTheme="minorEastAsia"/>
          <w:b w:val="0"/>
          <w:bCs w:val="0"/>
          <w:caps/>
          <w:color w:val="auto"/>
          <w:u w:val="none"/>
          <w:lang w:val="fr-BE" w:eastAsia="fr-BE"/>
        </w:rPr>
      </w:pPr>
      <w:hyperlink w:anchor="_Toc84540857" w:history="1">
        <w:r w:rsidR="00CC3E1A" w:rsidRPr="002A7B59">
          <w:rPr>
            <w:rStyle w:val="Lienhypertexte"/>
            <w:color w:val="auto"/>
            <w:u w:val="none"/>
          </w:rPr>
          <w:t>Prolégomènes</w:t>
        </w:r>
      </w:hyperlink>
    </w:p>
    <w:p w14:paraId="7938097D" w14:textId="77777777" w:rsidR="00CC3E1A" w:rsidRPr="00CC3E1A" w:rsidRDefault="00CC3E1A" w:rsidP="00CC3E1A">
      <w:pPr>
        <w:rPr>
          <w:noProof/>
        </w:rPr>
      </w:pPr>
    </w:p>
    <w:p w14:paraId="75D0F9F1"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58" w:history="1">
        <w:r w:rsidRPr="00CC3E1A">
          <w:rPr>
            <w:rStyle w:val="Lienhypertexte"/>
            <w:rFonts w:ascii="Times New Roman" w:hAnsi="Times New Roman" w:cs="Times New Roman"/>
            <w:noProof/>
            <w:color w:val="auto"/>
            <w:sz w:val="24"/>
            <w:szCs w:val="24"/>
            <w:u w:val="none"/>
          </w:rPr>
          <w:t>Première notion : La dette étatique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_Toc84540858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D11845D" w14:textId="77777777" w:rsidR="00CC3E1A" w:rsidRPr="00CC3E1A" w:rsidRDefault="00CC3E1A" w:rsidP="00CC3E1A">
      <w:pPr>
        <w:pStyle w:val="TM3"/>
        <w:rPr>
          <w:sz w:val="10"/>
          <w:szCs w:val="10"/>
        </w:rPr>
      </w:pPr>
    </w:p>
    <w:p w14:paraId="540FE0B1" w14:textId="77777777" w:rsidR="00CC3E1A" w:rsidRPr="00CC3E1A" w:rsidRDefault="0030147D" w:rsidP="00CC3E1A">
      <w:pPr>
        <w:pStyle w:val="TM3"/>
        <w:rPr>
          <w:rFonts w:eastAsiaTheme="minorEastAsia" w:cs="Times New Roman"/>
          <w:szCs w:val="24"/>
          <w:lang w:val="fr-BE" w:eastAsia="fr-BE"/>
        </w:rPr>
      </w:pPr>
      <w:hyperlink w:anchor="_Toc84540859" w:history="1">
        <w:r w:rsidR="00CC3E1A" w:rsidRPr="00CC3E1A">
          <w:rPr>
            <w:rStyle w:val="Lienhypertexte"/>
            <w:rFonts w:cs="Times New Roman"/>
            <w:color w:val="auto"/>
            <w:szCs w:val="24"/>
            <w:u w:val="none"/>
          </w:rPr>
          <w:t>Chapitre 1 : Un outil de financement</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_Toc84540859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002BB85A" w14:textId="77777777" w:rsidR="00CC3E1A" w:rsidRPr="00CC3E1A" w:rsidRDefault="00CC3E1A" w:rsidP="00CC3E1A">
      <w:pPr>
        <w:pStyle w:val="TM3"/>
        <w:rPr>
          <w:sz w:val="10"/>
          <w:szCs w:val="10"/>
        </w:rPr>
      </w:pPr>
    </w:p>
    <w:p w14:paraId="284C0434" w14:textId="77777777" w:rsidR="00CC3E1A" w:rsidRPr="00CC3E1A" w:rsidRDefault="0030147D" w:rsidP="00CC3E1A">
      <w:pPr>
        <w:pStyle w:val="TM3"/>
        <w:rPr>
          <w:rFonts w:eastAsiaTheme="minorEastAsia" w:cs="Times New Roman"/>
          <w:szCs w:val="24"/>
          <w:lang w:val="fr-BE" w:eastAsia="fr-BE"/>
        </w:rPr>
      </w:pPr>
      <w:hyperlink w:anchor="_Toc84540860" w:history="1">
        <w:r w:rsidR="00CC3E1A" w:rsidRPr="00CC3E1A">
          <w:rPr>
            <w:rStyle w:val="Lienhypertexte"/>
            <w:rFonts w:cs="Times New Roman"/>
            <w:color w:val="auto"/>
            <w:szCs w:val="24"/>
            <w:u w:val="none"/>
          </w:rPr>
          <w:t>Chapitre 2 : Une brève histoire récente du financement étatique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_Toc84540860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0749F884" w14:textId="77777777" w:rsidR="00CC3E1A" w:rsidRPr="00CC3E1A" w:rsidRDefault="00CC3E1A" w:rsidP="00CC3E1A">
      <w:pPr>
        <w:pStyle w:val="TM3"/>
        <w:rPr>
          <w:sz w:val="10"/>
          <w:szCs w:val="10"/>
        </w:rPr>
      </w:pPr>
    </w:p>
    <w:p w14:paraId="3BCF959A" w14:textId="77777777" w:rsidR="00CC3E1A" w:rsidRPr="00CC3E1A" w:rsidRDefault="0030147D" w:rsidP="00CC3E1A">
      <w:pPr>
        <w:pStyle w:val="TM3"/>
        <w:rPr>
          <w:rFonts w:eastAsiaTheme="minorEastAsia" w:cs="Times New Roman"/>
          <w:szCs w:val="24"/>
          <w:lang w:val="fr-BE" w:eastAsia="fr-BE"/>
        </w:rPr>
      </w:pPr>
      <w:hyperlink w:anchor="_Toc84540861" w:history="1">
        <w:r w:rsidR="00CC3E1A" w:rsidRPr="00CC3E1A">
          <w:rPr>
            <w:rStyle w:val="Lienhypertexte"/>
            <w:rFonts w:cs="Times New Roman"/>
            <w:color w:val="auto"/>
            <w:szCs w:val="24"/>
            <w:u w:val="none"/>
          </w:rPr>
          <w:t>Chapitre 3 : Une dette polymorphe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_Toc84540861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25AB10E2" w14:textId="77777777" w:rsidR="00CC3E1A" w:rsidRPr="00CC3E1A" w:rsidRDefault="00CC3E1A" w:rsidP="00CC3E1A">
      <w:pPr>
        <w:pStyle w:val="TM4"/>
        <w:tabs>
          <w:tab w:val="right" w:leader="dot" w:pos="9062"/>
        </w:tabs>
        <w:rPr>
          <w:noProof/>
          <w:sz w:val="8"/>
          <w:szCs w:val="8"/>
        </w:rPr>
      </w:pPr>
    </w:p>
    <w:p w14:paraId="2EB38312" w14:textId="77777777" w:rsidR="00CC3E1A" w:rsidRPr="00CC3E1A" w:rsidRDefault="0030147D" w:rsidP="00CC3E1A">
      <w:pPr>
        <w:pStyle w:val="TM4"/>
        <w:tabs>
          <w:tab w:val="right" w:leader="dot" w:pos="9062"/>
        </w:tabs>
        <w:rPr>
          <w:rFonts w:ascii="Times New Roman" w:eastAsiaTheme="minorEastAsia" w:hAnsi="Times New Roman" w:cs="Times New Roman"/>
          <w:noProof/>
          <w:sz w:val="24"/>
          <w:szCs w:val="24"/>
          <w:lang w:val="fr-BE" w:eastAsia="fr-BE"/>
        </w:rPr>
      </w:pPr>
      <w:hyperlink w:anchor="_Toc84540862" w:history="1">
        <w:r w:rsidR="00CC3E1A" w:rsidRPr="00CC3E1A">
          <w:rPr>
            <w:rStyle w:val="Lienhypertexte"/>
            <w:rFonts w:ascii="Times New Roman" w:hAnsi="Times New Roman" w:cs="Times New Roman"/>
            <w:noProof/>
            <w:color w:val="auto"/>
            <w:sz w:val="24"/>
            <w:szCs w:val="24"/>
            <w:u w:val="none"/>
          </w:rPr>
          <w:t>Section 1 : La dette interne et la dette externe</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_Toc84540862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37B822A1" w14:textId="77777777" w:rsidR="00CC3E1A" w:rsidRPr="00CC3E1A" w:rsidRDefault="00CC3E1A" w:rsidP="00CC3E1A">
      <w:pPr>
        <w:pStyle w:val="TM4"/>
        <w:tabs>
          <w:tab w:val="right" w:leader="dot" w:pos="9062"/>
        </w:tabs>
        <w:rPr>
          <w:noProof/>
          <w:sz w:val="8"/>
          <w:szCs w:val="8"/>
        </w:rPr>
      </w:pPr>
    </w:p>
    <w:p w14:paraId="2E155334" w14:textId="77777777" w:rsidR="00CC3E1A" w:rsidRPr="00CC3E1A" w:rsidRDefault="0030147D" w:rsidP="00CC3E1A">
      <w:pPr>
        <w:pStyle w:val="TM4"/>
        <w:tabs>
          <w:tab w:val="right" w:leader="dot" w:pos="9062"/>
        </w:tabs>
        <w:rPr>
          <w:rFonts w:ascii="Times New Roman" w:eastAsiaTheme="minorEastAsia" w:hAnsi="Times New Roman" w:cs="Times New Roman"/>
          <w:noProof/>
          <w:sz w:val="24"/>
          <w:szCs w:val="24"/>
          <w:lang w:val="fr-BE" w:eastAsia="fr-BE"/>
        </w:rPr>
      </w:pPr>
      <w:hyperlink w:anchor="_Toc84540863" w:history="1">
        <w:r w:rsidR="00CC3E1A" w:rsidRPr="00CC3E1A">
          <w:rPr>
            <w:rStyle w:val="Lienhypertexte"/>
            <w:rFonts w:ascii="Times New Roman" w:hAnsi="Times New Roman" w:cs="Times New Roman"/>
            <w:noProof/>
            <w:color w:val="auto"/>
            <w:sz w:val="24"/>
            <w:szCs w:val="24"/>
            <w:u w:val="none"/>
          </w:rPr>
          <w:t>Section 2 : La dette externe publique et la dette externe privée</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_Toc84540863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0325CE22" w14:textId="77777777" w:rsidR="00CC3E1A" w:rsidRPr="00CC3E1A" w:rsidRDefault="00CC3E1A" w:rsidP="00CC3E1A">
      <w:pPr>
        <w:pStyle w:val="TM3"/>
        <w:rPr>
          <w:sz w:val="10"/>
          <w:szCs w:val="10"/>
        </w:rPr>
      </w:pPr>
    </w:p>
    <w:p w14:paraId="5C619277" w14:textId="77777777" w:rsidR="00CC3E1A" w:rsidRPr="00CC3E1A" w:rsidRDefault="0030147D" w:rsidP="00CC3E1A">
      <w:pPr>
        <w:pStyle w:val="TM3"/>
        <w:rPr>
          <w:rFonts w:eastAsiaTheme="minorEastAsia" w:cs="Times New Roman"/>
          <w:szCs w:val="24"/>
          <w:lang w:val="fr-BE" w:eastAsia="fr-BE"/>
        </w:rPr>
      </w:pPr>
      <w:hyperlink w:anchor="_Toc84540864" w:history="1">
        <w:r w:rsidR="00CC3E1A" w:rsidRPr="00CC3E1A">
          <w:rPr>
            <w:rStyle w:val="Lienhypertexte"/>
            <w:rFonts w:cs="Times New Roman"/>
            <w:color w:val="auto"/>
            <w:szCs w:val="24"/>
            <w:u w:val="none"/>
          </w:rPr>
          <w:t>Chapitre 4 : L’importance de l’endettement étatique sur les marchés financiers</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_Toc84540864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263CCE34" w14:textId="77777777" w:rsidR="00CC3E1A" w:rsidRPr="00CC3E1A" w:rsidRDefault="00CC3E1A" w:rsidP="00CC3E1A">
      <w:pPr>
        <w:pStyle w:val="TM3"/>
        <w:rPr>
          <w:sz w:val="10"/>
          <w:szCs w:val="10"/>
        </w:rPr>
      </w:pPr>
    </w:p>
    <w:p w14:paraId="05BF6BBF" w14:textId="77777777" w:rsidR="00CC3E1A" w:rsidRPr="00CC3E1A" w:rsidRDefault="0030147D" w:rsidP="00CC3E1A">
      <w:pPr>
        <w:pStyle w:val="TM3"/>
        <w:rPr>
          <w:rFonts w:eastAsiaTheme="minorEastAsia" w:cs="Times New Roman"/>
          <w:szCs w:val="24"/>
          <w:lang w:val="fr-BE" w:eastAsia="fr-BE"/>
        </w:rPr>
      </w:pPr>
      <w:hyperlink w:anchor="_Toc84540865" w:history="1">
        <w:r w:rsidR="00CC3E1A" w:rsidRPr="00CC3E1A">
          <w:rPr>
            <w:rStyle w:val="Lienhypertexte"/>
            <w:rFonts w:cs="Times New Roman"/>
            <w:color w:val="auto"/>
            <w:szCs w:val="24"/>
            <w:u w:val="none"/>
          </w:rPr>
          <w:t>Chapitre 5 : Le marché secondaire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_Toc84540865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1B954379" w14:textId="77777777" w:rsidR="00CC3E1A" w:rsidRPr="00CC3E1A" w:rsidRDefault="00CC3E1A" w:rsidP="00CC3E1A">
      <w:pPr>
        <w:pStyle w:val="TM3"/>
        <w:rPr>
          <w:sz w:val="10"/>
          <w:szCs w:val="10"/>
        </w:rPr>
      </w:pPr>
    </w:p>
    <w:p w14:paraId="484A3E91" w14:textId="77777777" w:rsidR="00CC3E1A" w:rsidRPr="00CC3E1A" w:rsidRDefault="0030147D" w:rsidP="00CC3E1A">
      <w:pPr>
        <w:pStyle w:val="TM3"/>
        <w:rPr>
          <w:rFonts w:eastAsiaTheme="minorEastAsia" w:cs="Times New Roman"/>
          <w:szCs w:val="24"/>
          <w:lang w:val="fr-BE" w:eastAsia="fr-BE"/>
        </w:rPr>
      </w:pPr>
      <w:hyperlink w:anchor="_Toc84540866" w:history="1">
        <w:r w:rsidR="00CC3E1A" w:rsidRPr="00CC3E1A">
          <w:rPr>
            <w:rStyle w:val="Lienhypertexte"/>
            <w:rFonts w:cs="Times New Roman"/>
            <w:color w:val="auto"/>
            <w:szCs w:val="24"/>
            <w:u w:val="none"/>
          </w:rPr>
          <w:t>Chapitre 6 : La soutenabilité de la dette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_Toc84540866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634F10B3" w14:textId="77777777" w:rsidR="00CC3E1A" w:rsidRPr="00CC3E1A" w:rsidRDefault="00CC3E1A" w:rsidP="00CC3E1A">
      <w:pPr>
        <w:pStyle w:val="TM4"/>
        <w:tabs>
          <w:tab w:val="right" w:leader="dot" w:pos="9062"/>
        </w:tabs>
        <w:rPr>
          <w:noProof/>
          <w:sz w:val="8"/>
          <w:szCs w:val="8"/>
        </w:rPr>
      </w:pPr>
    </w:p>
    <w:p w14:paraId="6B407C90" w14:textId="77777777" w:rsidR="00CC3E1A" w:rsidRPr="00CC3E1A" w:rsidRDefault="0030147D" w:rsidP="00CC3E1A">
      <w:pPr>
        <w:pStyle w:val="TM4"/>
        <w:tabs>
          <w:tab w:val="right" w:leader="dot" w:pos="9062"/>
        </w:tabs>
        <w:rPr>
          <w:rFonts w:ascii="Times New Roman" w:eastAsiaTheme="minorEastAsia" w:hAnsi="Times New Roman" w:cs="Times New Roman"/>
          <w:noProof/>
          <w:sz w:val="24"/>
          <w:szCs w:val="24"/>
          <w:lang w:val="fr-BE" w:eastAsia="fr-BE"/>
        </w:rPr>
      </w:pPr>
      <w:hyperlink w:anchor="_Toc84540867" w:history="1">
        <w:r w:rsidR="00CC3E1A" w:rsidRPr="00CC3E1A">
          <w:rPr>
            <w:rStyle w:val="Lienhypertexte"/>
            <w:rFonts w:ascii="Times New Roman" w:hAnsi="Times New Roman" w:cs="Times New Roman"/>
            <w:noProof/>
            <w:color w:val="auto"/>
            <w:sz w:val="24"/>
            <w:szCs w:val="24"/>
            <w:u w:val="none"/>
          </w:rPr>
          <w:t>Section 1 : L’aspiration</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_Toc84540867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23F7A2D7" w14:textId="77777777" w:rsidR="00CC3E1A" w:rsidRPr="00CC3E1A" w:rsidRDefault="00CC3E1A" w:rsidP="00CC3E1A">
      <w:pPr>
        <w:pStyle w:val="TM4"/>
        <w:tabs>
          <w:tab w:val="right" w:leader="dot" w:pos="9062"/>
        </w:tabs>
        <w:rPr>
          <w:noProof/>
          <w:sz w:val="8"/>
          <w:szCs w:val="8"/>
        </w:rPr>
      </w:pPr>
    </w:p>
    <w:p w14:paraId="6E2ED5C3" w14:textId="77777777" w:rsidR="00CC3E1A" w:rsidRPr="00CC3E1A" w:rsidRDefault="0030147D" w:rsidP="00CC3E1A">
      <w:pPr>
        <w:pStyle w:val="TM4"/>
        <w:tabs>
          <w:tab w:val="right" w:leader="dot" w:pos="9062"/>
        </w:tabs>
        <w:rPr>
          <w:rFonts w:ascii="Times New Roman" w:eastAsiaTheme="minorEastAsia" w:hAnsi="Times New Roman" w:cs="Times New Roman"/>
          <w:noProof/>
          <w:sz w:val="24"/>
          <w:szCs w:val="24"/>
          <w:lang w:val="fr-BE" w:eastAsia="fr-BE"/>
        </w:rPr>
      </w:pPr>
      <w:hyperlink w:anchor="_Toc84540868" w:history="1">
        <w:r w:rsidR="00CC3E1A" w:rsidRPr="00CC3E1A">
          <w:rPr>
            <w:rStyle w:val="Lienhypertexte"/>
            <w:rFonts w:ascii="Times New Roman" w:hAnsi="Times New Roman" w:cs="Times New Roman"/>
            <w:noProof/>
            <w:color w:val="auto"/>
            <w:sz w:val="24"/>
            <w:szCs w:val="24"/>
            <w:u w:val="none"/>
          </w:rPr>
          <w:t>Section 2 : Les concrétisations</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_Toc84540868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15CB9ADF" w14:textId="77777777" w:rsidR="00CC3E1A" w:rsidRPr="00CC3E1A" w:rsidRDefault="00CC3E1A" w:rsidP="00CC3E1A">
      <w:pPr>
        <w:pStyle w:val="TM5"/>
        <w:tabs>
          <w:tab w:val="right" w:leader="dot" w:pos="9062"/>
        </w:tabs>
        <w:rPr>
          <w:noProof/>
          <w:sz w:val="6"/>
          <w:szCs w:val="6"/>
        </w:rPr>
      </w:pPr>
    </w:p>
    <w:p w14:paraId="3F010865" w14:textId="77777777" w:rsidR="00CC3E1A" w:rsidRPr="00CC3E1A" w:rsidRDefault="0030147D" w:rsidP="00CC3E1A">
      <w:pPr>
        <w:pStyle w:val="TM5"/>
        <w:tabs>
          <w:tab w:val="right" w:leader="dot" w:pos="9062"/>
        </w:tabs>
        <w:rPr>
          <w:rFonts w:ascii="Times New Roman" w:eastAsiaTheme="minorEastAsia" w:hAnsi="Times New Roman" w:cs="Times New Roman"/>
          <w:noProof/>
          <w:sz w:val="24"/>
          <w:szCs w:val="24"/>
          <w:lang w:val="fr-BE" w:eastAsia="fr-BE"/>
        </w:rPr>
      </w:pPr>
      <w:hyperlink w:anchor="_Toc84540869" w:history="1">
        <w:r w:rsidR="00CC3E1A" w:rsidRPr="00CC3E1A">
          <w:rPr>
            <w:rStyle w:val="Lienhypertexte"/>
            <w:rFonts w:ascii="Times New Roman" w:hAnsi="Times New Roman" w:cs="Times New Roman"/>
            <w:noProof/>
            <w:color w:val="auto"/>
            <w:sz w:val="24"/>
            <w:szCs w:val="24"/>
            <w:u w:val="none"/>
          </w:rPr>
          <w:t>Sous-section 1 : Une concrétisation majeure, l’Initiative Pays Pauvres Très Endettés</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_Toc84540869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25ABEB0D" w14:textId="77777777" w:rsidR="00CC3E1A" w:rsidRPr="00CC3E1A" w:rsidRDefault="00CC3E1A" w:rsidP="00CC3E1A">
      <w:pPr>
        <w:pStyle w:val="TM5"/>
        <w:tabs>
          <w:tab w:val="right" w:leader="dot" w:pos="9062"/>
        </w:tabs>
        <w:rPr>
          <w:noProof/>
          <w:sz w:val="6"/>
          <w:szCs w:val="6"/>
        </w:rPr>
      </w:pPr>
    </w:p>
    <w:p w14:paraId="4F651BD3" w14:textId="77777777" w:rsidR="00CC3E1A" w:rsidRPr="00CC3E1A" w:rsidRDefault="0030147D" w:rsidP="00CC3E1A">
      <w:pPr>
        <w:pStyle w:val="TM5"/>
        <w:tabs>
          <w:tab w:val="right" w:leader="dot" w:pos="9062"/>
        </w:tabs>
        <w:rPr>
          <w:rFonts w:ascii="Times New Roman" w:eastAsiaTheme="minorEastAsia" w:hAnsi="Times New Roman" w:cs="Times New Roman"/>
          <w:noProof/>
          <w:sz w:val="24"/>
          <w:szCs w:val="24"/>
          <w:lang w:val="fr-BE" w:eastAsia="fr-BE"/>
        </w:rPr>
      </w:pPr>
      <w:hyperlink w:anchor="_Toc84540870" w:history="1">
        <w:r w:rsidR="00CC3E1A" w:rsidRPr="00CC3E1A">
          <w:rPr>
            <w:rStyle w:val="Lienhypertexte"/>
            <w:rFonts w:ascii="Times New Roman" w:hAnsi="Times New Roman" w:cs="Times New Roman"/>
            <w:noProof/>
            <w:color w:val="auto"/>
            <w:sz w:val="24"/>
            <w:szCs w:val="24"/>
            <w:u w:val="none"/>
          </w:rPr>
          <w:t>Sous-section 2 : Un groupe important, le Club de Paris</w:t>
        </w:r>
        <w:r w:rsidR="00CC3E1A" w:rsidRPr="00CC3E1A">
          <w:rPr>
            <w:rFonts w:ascii="Times New Roman" w:hAnsi="Times New Roman" w:cs="Times New Roman"/>
            <w:noProof/>
            <w:webHidden/>
            <w:sz w:val="24"/>
            <w:szCs w:val="24"/>
          </w:rPr>
          <w:tab/>
        </w:r>
        <w:r w:rsidR="00CC3E1A" w:rsidRPr="00CC3E1A">
          <w:rPr>
            <w:rFonts w:ascii="Times New Roman" w:hAnsi="Times New Roman" w:cs="Times New Roman"/>
            <w:noProof/>
            <w:webHidden/>
            <w:sz w:val="24"/>
            <w:szCs w:val="24"/>
          </w:rPr>
          <w:fldChar w:fldCharType="begin"/>
        </w:r>
        <w:r w:rsidR="00CC3E1A" w:rsidRPr="00CC3E1A">
          <w:rPr>
            <w:rFonts w:ascii="Times New Roman" w:hAnsi="Times New Roman" w:cs="Times New Roman"/>
            <w:noProof/>
            <w:webHidden/>
            <w:sz w:val="24"/>
            <w:szCs w:val="24"/>
          </w:rPr>
          <w:instrText xml:space="preserve"> PAGEREF _Toc84540870 \h </w:instrText>
        </w:r>
        <w:r w:rsidR="00CC3E1A" w:rsidRPr="00CC3E1A">
          <w:rPr>
            <w:rFonts w:ascii="Times New Roman" w:hAnsi="Times New Roman" w:cs="Times New Roman"/>
            <w:noProof/>
            <w:webHidden/>
            <w:sz w:val="24"/>
            <w:szCs w:val="24"/>
          </w:rPr>
        </w:r>
        <w:r w:rsidR="00CC3E1A" w:rsidRPr="00CC3E1A">
          <w:rPr>
            <w:rFonts w:ascii="Times New Roman" w:hAnsi="Times New Roman" w:cs="Times New Roman"/>
            <w:noProof/>
            <w:webHidden/>
            <w:sz w:val="24"/>
            <w:szCs w:val="24"/>
          </w:rPr>
          <w:fldChar w:fldCharType="separate"/>
        </w:r>
        <w:r w:rsidR="00CC3E1A" w:rsidRPr="00CC3E1A">
          <w:rPr>
            <w:rFonts w:ascii="Times New Roman" w:hAnsi="Times New Roman" w:cs="Times New Roman"/>
            <w:noProof/>
            <w:webHidden/>
            <w:sz w:val="24"/>
            <w:szCs w:val="24"/>
          </w:rPr>
          <w:t>1</w:t>
        </w:r>
        <w:r w:rsidR="00CC3E1A" w:rsidRPr="00CC3E1A">
          <w:rPr>
            <w:rFonts w:ascii="Times New Roman" w:hAnsi="Times New Roman" w:cs="Times New Roman"/>
            <w:noProof/>
            <w:webHidden/>
            <w:sz w:val="24"/>
            <w:szCs w:val="24"/>
          </w:rPr>
          <w:fldChar w:fldCharType="end"/>
        </w:r>
      </w:hyperlink>
    </w:p>
    <w:p w14:paraId="74E96024" w14:textId="77777777" w:rsidR="00CC3E1A" w:rsidRPr="00CC3E1A" w:rsidRDefault="00CC3E1A" w:rsidP="00CC3E1A">
      <w:pPr>
        <w:rPr>
          <w:rStyle w:val="Lienhypertexte"/>
          <w:rFonts w:ascii="Times New Roman" w:hAnsi="Times New Roman" w:cs="Times New Roman"/>
          <w:noProof/>
          <w:color w:val="auto"/>
          <w:sz w:val="20"/>
          <w:szCs w:val="20"/>
          <w:u w:val="none"/>
        </w:rPr>
      </w:pPr>
    </w:p>
    <w:p w14:paraId="381A33E6"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71" w:history="1">
        <w:r w:rsidRPr="00CC3E1A">
          <w:rPr>
            <w:rStyle w:val="Lienhypertexte"/>
            <w:rFonts w:ascii="Times New Roman" w:hAnsi="Times New Roman" w:cs="Times New Roman"/>
            <w:noProof/>
            <w:color w:val="auto"/>
            <w:sz w:val="24"/>
            <w:szCs w:val="24"/>
            <w:u w:val="none"/>
          </w:rPr>
          <w:t>Deuxième notion : Le défaut</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_Toc84540871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045CAE8" w14:textId="77777777" w:rsidR="00CC3E1A" w:rsidRPr="00CC3E1A" w:rsidRDefault="00CC3E1A" w:rsidP="00CC3E1A">
      <w:pPr>
        <w:pStyle w:val="TM3"/>
        <w:rPr>
          <w:sz w:val="10"/>
          <w:szCs w:val="10"/>
        </w:rPr>
      </w:pPr>
    </w:p>
    <w:p w14:paraId="708603A4" w14:textId="77777777" w:rsidR="00CC3E1A" w:rsidRPr="00CC3E1A" w:rsidRDefault="0030147D" w:rsidP="00CC3E1A">
      <w:pPr>
        <w:pStyle w:val="TM3"/>
        <w:rPr>
          <w:rFonts w:eastAsiaTheme="minorEastAsia" w:cs="Times New Roman"/>
          <w:szCs w:val="24"/>
          <w:lang w:val="fr-BE" w:eastAsia="fr-BE"/>
        </w:rPr>
      </w:pPr>
      <w:hyperlink w:anchor="_Toc84540872" w:history="1">
        <w:r w:rsidR="00CC3E1A" w:rsidRPr="00CC3E1A">
          <w:rPr>
            <w:rStyle w:val="Lienhypertexte"/>
            <w:rFonts w:cs="Times New Roman"/>
            <w:color w:val="auto"/>
            <w:szCs w:val="24"/>
            <w:u w:val="none"/>
          </w:rPr>
          <w:t>Chapitre 1 : Le contexte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_Toc84540872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604690DB" w14:textId="77777777" w:rsidR="00CC3E1A" w:rsidRPr="00CC3E1A" w:rsidRDefault="00CC3E1A" w:rsidP="00CC3E1A">
      <w:pPr>
        <w:pStyle w:val="TM3"/>
        <w:rPr>
          <w:sz w:val="10"/>
          <w:szCs w:val="10"/>
        </w:rPr>
      </w:pPr>
    </w:p>
    <w:p w14:paraId="0E2FF927" w14:textId="77777777" w:rsidR="00CC3E1A" w:rsidRPr="00CC3E1A" w:rsidRDefault="0030147D" w:rsidP="00CC3E1A">
      <w:pPr>
        <w:pStyle w:val="TM3"/>
        <w:rPr>
          <w:rFonts w:eastAsiaTheme="minorEastAsia" w:cs="Times New Roman"/>
          <w:szCs w:val="24"/>
          <w:lang w:val="fr-BE" w:eastAsia="fr-BE"/>
        </w:rPr>
      </w:pPr>
      <w:hyperlink w:anchor="_Toc84540873" w:history="1">
        <w:r w:rsidR="00CC3E1A" w:rsidRPr="00CC3E1A">
          <w:rPr>
            <w:rStyle w:val="Lienhypertexte"/>
            <w:rFonts w:cs="Times New Roman"/>
            <w:color w:val="auto"/>
            <w:szCs w:val="24"/>
            <w:u w:val="none"/>
          </w:rPr>
          <w:t>Chapitre 2 : Une prérogative souveraine</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_Toc84540873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61760D9B" w14:textId="77777777" w:rsidR="00CC3E1A" w:rsidRPr="00CC3E1A" w:rsidRDefault="00CC3E1A" w:rsidP="00CC3E1A">
      <w:pPr>
        <w:pStyle w:val="TM3"/>
        <w:rPr>
          <w:sz w:val="10"/>
          <w:szCs w:val="10"/>
        </w:rPr>
      </w:pPr>
    </w:p>
    <w:p w14:paraId="08F4D53E" w14:textId="77777777" w:rsidR="00CC3E1A" w:rsidRPr="00CC3E1A" w:rsidRDefault="0030147D" w:rsidP="00CC3E1A">
      <w:pPr>
        <w:pStyle w:val="TM3"/>
        <w:rPr>
          <w:rFonts w:eastAsiaTheme="minorEastAsia" w:cs="Times New Roman"/>
          <w:szCs w:val="24"/>
          <w:lang w:val="fr-BE" w:eastAsia="fr-BE"/>
        </w:rPr>
      </w:pPr>
      <w:hyperlink w:anchor="_Toc84540874" w:history="1">
        <w:r w:rsidR="00CC3E1A" w:rsidRPr="00CC3E1A">
          <w:rPr>
            <w:rStyle w:val="Lienhypertexte"/>
            <w:rFonts w:cs="Times New Roman"/>
            <w:color w:val="auto"/>
            <w:szCs w:val="24"/>
            <w:u w:val="none"/>
          </w:rPr>
          <w:t>Chapitre 3 : Les conséquences</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_Toc84540874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33A56E83" w14:textId="77777777" w:rsidR="00CC3E1A" w:rsidRPr="00CC3E1A" w:rsidRDefault="00CC3E1A" w:rsidP="00CC3E1A">
      <w:pPr>
        <w:pStyle w:val="TM2"/>
        <w:tabs>
          <w:tab w:val="right" w:leader="dot" w:pos="9062"/>
        </w:tabs>
        <w:rPr>
          <w:rStyle w:val="Lienhypertexte"/>
          <w:rFonts w:ascii="Times New Roman" w:hAnsi="Times New Roman" w:cs="Times New Roman"/>
          <w:noProof/>
          <w:color w:val="auto"/>
          <w:sz w:val="4"/>
          <w:szCs w:val="4"/>
          <w:u w:val="none"/>
        </w:rPr>
      </w:pPr>
    </w:p>
    <w:p w14:paraId="6C8D59E6"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75" w:history="1">
        <w:r w:rsidRPr="00CC3E1A">
          <w:rPr>
            <w:rStyle w:val="Lienhypertexte"/>
            <w:rFonts w:ascii="Times New Roman" w:hAnsi="Times New Roman" w:cs="Times New Roman"/>
            <w:noProof/>
            <w:color w:val="auto"/>
            <w:sz w:val="24"/>
            <w:szCs w:val="24"/>
            <w:u w:val="none"/>
          </w:rPr>
          <w:t>Troisième notion : La restructuration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_Toc84540875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5BEC33F" w14:textId="77777777" w:rsidR="00CC3E1A" w:rsidRPr="00CC3E1A" w:rsidRDefault="00CC3E1A" w:rsidP="00CC3E1A">
      <w:pPr>
        <w:pStyle w:val="TM3"/>
        <w:rPr>
          <w:sz w:val="10"/>
          <w:szCs w:val="10"/>
        </w:rPr>
      </w:pPr>
    </w:p>
    <w:p w14:paraId="0254F094" w14:textId="77777777" w:rsidR="00CC3E1A" w:rsidRPr="00CC3E1A" w:rsidRDefault="0030147D" w:rsidP="00CC3E1A">
      <w:pPr>
        <w:pStyle w:val="TM3"/>
        <w:rPr>
          <w:rFonts w:eastAsiaTheme="minorEastAsia" w:cs="Times New Roman"/>
          <w:szCs w:val="24"/>
          <w:lang w:val="fr-BE" w:eastAsia="fr-BE"/>
        </w:rPr>
      </w:pPr>
      <w:hyperlink w:anchor="_Toc84540876" w:history="1">
        <w:r w:rsidR="00CC3E1A" w:rsidRPr="00CC3E1A">
          <w:rPr>
            <w:rStyle w:val="Lienhypertexte"/>
            <w:rFonts w:cs="Times New Roman"/>
            <w:color w:val="auto"/>
            <w:szCs w:val="24"/>
            <w:u w:val="none"/>
          </w:rPr>
          <w:t>Chapitre 1 : La notion</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_Toc84540876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0F9E0315" w14:textId="77777777" w:rsidR="00CC3E1A" w:rsidRPr="00CC3E1A" w:rsidRDefault="00CC3E1A" w:rsidP="00CC3E1A">
      <w:pPr>
        <w:pStyle w:val="TM3"/>
        <w:rPr>
          <w:sz w:val="10"/>
          <w:szCs w:val="10"/>
        </w:rPr>
      </w:pPr>
    </w:p>
    <w:p w14:paraId="3BE901A4" w14:textId="77777777" w:rsidR="00CC3E1A" w:rsidRPr="00CC3E1A" w:rsidRDefault="0030147D" w:rsidP="00CC3E1A">
      <w:pPr>
        <w:pStyle w:val="TM3"/>
        <w:rPr>
          <w:rFonts w:eastAsiaTheme="minorEastAsia" w:cs="Times New Roman"/>
          <w:szCs w:val="24"/>
          <w:lang w:val="fr-BE" w:eastAsia="fr-BE"/>
        </w:rPr>
      </w:pPr>
      <w:hyperlink w:anchor="_Toc84540877" w:history="1">
        <w:r w:rsidR="00CC3E1A" w:rsidRPr="00CC3E1A">
          <w:rPr>
            <w:rStyle w:val="Lienhypertexte"/>
            <w:rFonts w:cs="Times New Roman"/>
            <w:color w:val="auto"/>
            <w:szCs w:val="24"/>
            <w:u w:val="none"/>
          </w:rPr>
          <w:t>Chapitre 2 : Les difficultés</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_Toc84540877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74F0C638" w14:textId="77777777" w:rsidR="00CC3E1A" w:rsidRPr="00CC3E1A" w:rsidRDefault="00CC3E1A" w:rsidP="00CC3E1A">
      <w:pPr>
        <w:pStyle w:val="TM3"/>
        <w:rPr>
          <w:sz w:val="10"/>
          <w:szCs w:val="10"/>
        </w:rPr>
      </w:pPr>
    </w:p>
    <w:p w14:paraId="53F143C9" w14:textId="77777777" w:rsidR="00CC3E1A" w:rsidRPr="00CC3E1A" w:rsidRDefault="0030147D" w:rsidP="00CC3E1A">
      <w:pPr>
        <w:pStyle w:val="TM3"/>
        <w:rPr>
          <w:rFonts w:eastAsiaTheme="minorEastAsia" w:cs="Times New Roman"/>
          <w:szCs w:val="24"/>
          <w:lang w:val="fr-BE" w:eastAsia="fr-BE"/>
        </w:rPr>
      </w:pPr>
      <w:hyperlink w:anchor="_Toc84540878" w:history="1">
        <w:r w:rsidR="00CC3E1A" w:rsidRPr="00CC3E1A">
          <w:rPr>
            <w:rStyle w:val="Lienhypertexte"/>
            <w:rFonts w:cs="Times New Roman"/>
            <w:color w:val="auto"/>
            <w:szCs w:val="24"/>
            <w:u w:val="none"/>
          </w:rPr>
          <w:t>Chapitre 3 : Quelques principes, règles et bonnes pratiques</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_Toc84540878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69C25028" w14:textId="77777777" w:rsidR="00CC3E1A" w:rsidRPr="00CC3E1A" w:rsidRDefault="00CC3E1A" w:rsidP="00CC3E1A">
      <w:pPr>
        <w:pStyle w:val="TM2"/>
        <w:tabs>
          <w:tab w:val="right" w:leader="dot" w:pos="9062"/>
        </w:tabs>
        <w:rPr>
          <w:rStyle w:val="Lienhypertexte"/>
          <w:rFonts w:ascii="Times New Roman" w:hAnsi="Times New Roman" w:cs="Times New Roman"/>
          <w:noProof/>
          <w:color w:val="auto"/>
          <w:sz w:val="4"/>
          <w:szCs w:val="4"/>
          <w:u w:val="none"/>
        </w:rPr>
      </w:pPr>
    </w:p>
    <w:p w14:paraId="5E89FC13"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79" w:history="1">
        <w:r w:rsidRPr="00CC3E1A">
          <w:rPr>
            <w:rStyle w:val="Lienhypertexte"/>
            <w:rFonts w:ascii="Times New Roman" w:hAnsi="Times New Roman" w:cs="Times New Roman"/>
            <w:noProof/>
            <w:color w:val="auto"/>
            <w:sz w:val="24"/>
            <w:szCs w:val="24"/>
            <w:u w:val="none"/>
          </w:rPr>
          <w:t>Quatrième notion : Les créanciers récalcitrants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_Toc84540879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E98542B" w14:textId="77777777" w:rsidR="00CC3E1A" w:rsidRPr="00CC3E1A" w:rsidRDefault="00CC3E1A" w:rsidP="00CC3E1A">
      <w:pPr>
        <w:pStyle w:val="TM3"/>
        <w:rPr>
          <w:sz w:val="10"/>
          <w:szCs w:val="10"/>
        </w:rPr>
      </w:pPr>
    </w:p>
    <w:p w14:paraId="64E1EBB5" w14:textId="77777777" w:rsidR="00CC3E1A" w:rsidRPr="00CC3E1A" w:rsidRDefault="0030147D" w:rsidP="00CC3E1A">
      <w:pPr>
        <w:pStyle w:val="TM3"/>
        <w:rPr>
          <w:rFonts w:eastAsiaTheme="minorEastAsia" w:cs="Times New Roman"/>
          <w:szCs w:val="24"/>
          <w:lang w:val="fr-BE" w:eastAsia="fr-BE"/>
        </w:rPr>
      </w:pPr>
      <w:hyperlink w:anchor="_Toc84540880" w:history="1">
        <w:r w:rsidR="00CC3E1A" w:rsidRPr="00CC3E1A">
          <w:rPr>
            <w:rStyle w:val="Lienhypertexte"/>
            <w:rFonts w:cs="Times New Roman"/>
            <w:color w:val="auto"/>
            <w:szCs w:val="24"/>
            <w:u w:val="none"/>
          </w:rPr>
          <w:t>Chapitre 1 : Le refus</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_Toc84540880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4A1C62C8" w14:textId="77777777" w:rsidR="00CC3E1A" w:rsidRPr="00CC3E1A" w:rsidRDefault="00CC3E1A" w:rsidP="00CC3E1A">
      <w:pPr>
        <w:pStyle w:val="TM3"/>
        <w:rPr>
          <w:sz w:val="10"/>
          <w:szCs w:val="10"/>
        </w:rPr>
      </w:pPr>
    </w:p>
    <w:p w14:paraId="3E067F4D" w14:textId="77777777" w:rsidR="00CC3E1A" w:rsidRPr="00CC3E1A" w:rsidRDefault="0030147D" w:rsidP="00CC3E1A">
      <w:pPr>
        <w:pStyle w:val="TM3"/>
        <w:rPr>
          <w:rFonts w:eastAsiaTheme="minorEastAsia" w:cs="Times New Roman"/>
          <w:szCs w:val="24"/>
          <w:lang w:val="fr-BE" w:eastAsia="fr-BE"/>
        </w:rPr>
      </w:pPr>
      <w:hyperlink w:anchor="_Toc84540881" w:history="1">
        <w:r w:rsidR="00CC3E1A" w:rsidRPr="00CC3E1A">
          <w:rPr>
            <w:rStyle w:val="Lienhypertexte"/>
            <w:rFonts w:cs="Times New Roman"/>
            <w:color w:val="auto"/>
            <w:szCs w:val="24"/>
            <w:u w:val="none"/>
          </w:rPr>
          <w:t>Chapitre 2 : Les contentieux</w:t>
        </w:r>
        <w:r w:rsidR="00CC3E1A" w:rsidRPr="00CC3E1A">
          <w:rPr>
            <w:rFonts w:cs="Times New Roman"/>
            <w:webHidden/>
            <w:szCs w:val="24"/>
          </w:rPr>
          <w:tab/>
        </w:r>
        <w:r w:rsidR="00CC3E1A" w:rsidRPr="00CC3E1A">
          <w:rPr>
            <w:rFonts w:cs="Times New Roman"/>
            <w:webHidden/>
            <w:szCs w:val="24"/>
          </w:rPr>
          <w:fldChar w:fldCharType="begin"/>
        </w:r>
        <w:r w:rsidR="00CC3E1A" w:rsidRPr="00CC3E1A">
          <w:rPr>
            <w:rFonts w:cs="Times New Roman"/>
            <w:webHidden/>
            <w:szCs w:val="24"/>
          </w:rPr>
          <w:instrText xml:space="preserve"> PAGEREF _Toc84540881 \h </w:instrText>
        </w:r>
        <w:r w:rsidR="00CC3E1A" w:rsidRPr="00CC3E1A">
          <w:rPr>
            <w:rFonts w:cs="Times New Roman"/>
            <w:webHidden/>
            <w:szCs w:val="24"/>
          </w:rPr>
        </w:r>
        <w:r w:rsidR="00CC3E1A" w:rsidRPr="00CC3E1A">
          <w:rPr>
            <w:rFonts w:cs="Times New Roman"/>
            <w:webHidden/>
            <w:szCs w:val="24"/>
          </w:rPr>
          <w:fldChar w:fldCharType="separate"/>
        </w:r>
        <w:r w:rsidR="00CC3E1A" w:rsidRPr="00CC3E1A">
          <w:rPr>
            <w:rFonts w:cs="Times New Roman"/>
            <w:webHidden/>
            <w:szCs w:val="24"/>
          </w:rPr>
          <w:t>1</w:t>
        </w:r>
        <w:r w:rsidR="00CC3E1A" w:rsidRPr="00CC3E1A">
          <w:rPr>
            <w:rFonts w:cs="Times New Roman"/>
            <w:webHidden/>
            <w:szCs w:val="24"/>
          </w:rPr>
          <w:fldChar w:fldCharType="end"/>
        </w:r>
      </w:hyperlink>
    </w:p>
    <w:p w14:paraId="1A4E955A" w14:textId="77777777" w:rsidR="00CC3E1A" w:rsidRPr="00CC3E1A" w:rsidRDefault="0030147D" w:rsidP="002A7B59">
      <w:pPr>
        <w:pStyle w:val="TM1"/>
        <w:rPr>
          <w:rFonts w:eastAsiaTheme="minorEastAsia"/>
          <w:caps/>
          <w:lang w:val="fr-BE" w:eastAsia="fr-BE"/>
        </w:rPr>
      </w:pPr>
      <w:hyperlink w:anchor="_Toc84540882" w:history="1">
        <w:r w:rsidR="00CC3E1A" w:rsidRPr="00CC3E1A">
          <w:rPr>
            <w:rStyle w:val="Lienhypertexte"/>
            <w:color w:val="auto"/>
            <w:u w:val="none"/>
          </w:rPr>
          <w:t>Partie I : Le constat d’un problème</w:t>
        </w:r>
      </w:hyperlink>
    </w:p>
    <w:p w14:paraId="53C45225" w14:textId="77777777" w:rsidR="00CC3E1A" w:rsidRPr="00CC3E1A" w:rsidRDefault="00CC3E1A" w:rsidP="002A7B59">
      <w:pPr>
        <w:pStyle w:val="TM1"/>
        <w:rPr>
          <w:rFonts w:eastAsiaTheme="minorEastAsia"/>
          <w:caps/>
          <w:lang w:val="fr-BE" w:eastAsia="fr-BE"/>
        </w:rPr>
      </w:pPr>
      <w:r w:rsidRPr="00CC3E1A">
        <w:t xml:space="preserve">   </w:t>
      </w:r>
      <w:hyperlink w:anchor="_Toc84540883" w:history="1">
        <w:r w:rsidRPr="00CC3E1A">
          <w:rPr>
            <w:rStyle w:val="Lienhypertexte"/>
            <w:color w:val="auto"/>
            <w:u w:val="none"/>
          </w:rPr>
          <w:t>Introduction de la partie I</w:t>
        </w:r>
        <w:r w:rsidRPr="00CC3E1A">
          <w:rPr>
            <w:webHidden/>
          </w:rPr>
          <w:tab/>
        </w:r>
        <w:r w:rsidRPr="00CC3E1A">
          <w:rPr>
            <w:webHidden/>
          </w:rPr>
          <w:fldChar w:fldCharType="begin"/>
        </w:r>
        <w:r w:rsidRPr="00CC3E1A">
          <w:rPr>
            <w:webHidden/>
          </w:rPr>
          <w:instrText xml:space="preserve"> PAGEREF _Toc84540883 \h </w:instrText>
        </w:r>
        <w:r w:rsidRPr="00CC3E1A">
          <w:rPr>
            <w:webHidden/>
          </w:rPr>
        </w:r>
        <w:r w:rsidRPr="00CC3E1A">
          <w:rPr>
            <w:webHidden/>
          </w:rPr>
          <w:fldChar w:fldCharType="separate"/>
        </w:r>
        <w:r w:rsidRPr="00CC3E1A">
          <w:rPr>
            <w:webHidden/>
          </w:rPr>
          <w:t>1</w:t>
        </w:r>
        <w:r w:rsidRPr="00CC3E1A">
          <w:rPr>
            <w:webHidden/>
          </w:rPr>
          <w:fldChar w:fldCharType="end"/>
        </w:r>
      </w:hyperlink>
    </w:p>
    <w:p w14:paraId="2D9034FA" w14:textId="77777777" w:rsidR="00CC3E1A" w:rsidRPr="00CC3E1A" w:rsidRDefault="0030147D" w:rsidP="002A7B59">
      <w:pPr>
        <w:pStyle w:val="TM1"/>
        <w:rPr>
          <w:rFonts w:eastAsiaTheme="minorEastAsia"/>
          <w:caps/>
          <w:lang w:val="fr-BE" w:eastAsia="fr-BE"/>
        </w:rPr>
      </w:pPr>
      <w:hyperlink w:anchor="_Toc84540884" w:history="1">
        <w:r w:rsidR="00CC3E1A" w:rsidRPr="00CC3E1A">
          <w:rPr>
            <w:rStyle w:val="Lienhypertexte"/>
            <w:color w:val="auto"/>
            <w:u w:val="none"/>
          </w:rPr>
          <w:t>Partie I – Sous-partie 1 : La description du phénomène</w:t>
        </w:r>
      </w:hyperlink>
    </w:p>
    <w:p w14:paraId="104D2501"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85" w:history="1">
        <w:r w:rsidRPr="00CC3E1A">
          <w:rPr>
            <w:rStyle w:val="Lienhypertexte"/>
            <w:rFonts w:ascii="Times New Roman" w:hAnsi="Times New Roman" w:cs="Times New Roman"/>
            <w:noProof/>
            <w:color w:val="auto"/>
            <w:sz w:val="24"/>
            <w:szCs w:val="24"/>
            <w:u w:val="none"/>
          </w:rPr>
          <w:t>Introduction de la partie I – sous-partie 1</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_Toc84540885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A914418"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886" w:history="1">
        <w:r w:rsidRPr="00CC3E1A">
          <w:rPr>
            <w:rStyle w:val="Lienhypertexte"/>
            <w:rFonts w:ascii="Times New Roman" w:hAnsi="Times New Roman" w:cs="Times New Roman"/>
            <w:noProof/>
            <w:color w:val="auto"/>
            <w:sz w:val="24"/>
            <w:szCs w:val="24"/>
            <w:u w:val="none"/>
          </w:rPr>
          <w:t>Titre 1 : Quelques contentieux emblématiques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_Toc84540886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1EE376B" w14:textId="77777777" w:rsidR="00CC3E1A" w:rsidRPr="00CC3E1A" w:rsidRDefault="00CC3E1A" w:rsidP="00CC3E1A">
      <w:pPr>
        <w:pStyle w:val="TM3"/>
        <w:rPr>
          <w:sz w:val="10"/>
          <w:szCs w:val="10"/>
        </w:rPr>
      </w:pPr>
      <w:r w:rsidRPr="00CC3E1A">
        <w:t xml:space="preserve">  </w:t>
      </w:r>
    </w:p>
    <w:p w14:paraId="1AD0D086"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89" w:history="1">
        <w:r w:rsidRPr="00CC3E1A">
          <w:rPr>
            <w:rStyle w:val="Lienhypertexte"/>
            <w:rFonts w:cs="Times New Roman"/>
            <w:color w:val="auto"/>
            <w:szCs w:val="24"/>
            <w:u w:val="none"/>
          </w:rPr>
          <w:t>Chapitre 1 : Un exemple saillant,</w:t>
        </w:r>
        <w:r w:rsidRPr="00CC3E1A">
          <w:rPr>
            <w:rStyle w:val="Lienhypertexte"/>
            <w:rFonts w:cs="Times New Roman"/>
            <w:i/>
            <w:color w:val="auto"/>
            <w:szCs w:val="24"/>
            <w:u w:val="none"/>
          </w:rPr>
          <w:t xml:space="preserve"> NML Capital Ltd.</w:t>
        </w:r>
        <w:r w:rsidRPr="00CC3E1A">
          <w:rPr>
            <w:rStyle w:val="Lienhypertexte"/>
            <w:rFonts w:cs="Times New Roman"/>
            <w:color w:val="auto"/>
            <w:szCs w:val="24"/>
            <w:u w:val="none"/>
          </w:rPr>
          <w:t xml:space="preserve"> c. la République argentine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_Toc84540889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57DC778D" w14:textId="77777777" w:rsidR="00CC3E1A" w:rsidRPr="00CC3E1A" w:rsidRDefault="00CC3E1A" w:rsidP="00CC3E1A">
      <w:pPr>
        <w:pStyle w:val="TM4"/>
        <w:tabs>
          <w:tab w:val="right" w:leader="dot" w:pos="9062"/>
        </w:tabs>
        <w:rPr>
          <w:noProof/>
          <w:sz w:val="8"/>
          <w:szCs w:val="8"/>
        </w:rPr>
      </w:pPr>
    </w:p>
    <w:p w14:paraId="3FE33204"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890" w:history="1">
        <w:r w:rsidRPr="00CC3E1A">
          <w:rPr>
            <w:rStyle w:val="Lienhypertexte"/>
            <w:rFonts w:ascii="Times New Roman" w:hAnsi="Times New Roman" w:cs="Times New Roman"/>
            <w:noProof/>
            <w:color w:val="auto"/>
            <w:sz w:val="24"/>
            <w:szCs w:val="24"/>
            <w:u w:val="none"/>
          </w:rPr>
          <w:t>Section 1 : Le défaut de 2001</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_Toc84540890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A029C79" w14:textId="77777777" w:rsidR="00CC3E1A" w:rsidRPr="00CC3E1A" w:rsidRDefault="00CC3E1A" w:rsidP="00CC3E1A">
      <w:pPr>
        <w:pStyle w:val="TM4"/>
        <w:tabs>
          <w:tab w:val="right" w:leader="dot" w:pos="9062"/>
        </w:tabs>
        <w:rPr>
          <w:noProof/>
          <w:sz w:val="8"/>
          <w:szCs w:val="8"/>
        </w:rPr>
      </w:pPr>
    </w:p>
    <w:p w14:paraId="2139795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891" w:history="1">
        <w:r w:rsidRPr="00CC3E1A">
          <w:rPr>
            <w:rStyle w:val="Lienhypertexte"/>
            <w:rFonts w:ascii="Times New Roman" w:hAnsi="Times New Roman" w:cs="Times New Roman"/>
            <w:noProof/>
            <w:color w:val="auto"/>
            <w:sz w:val="24"/>
            <w:szCs w:val="24"/>
            <w:u w:val="none"/>
          </w:rPr>
          <w:t>Section 2 : Les restructurations de 2005 et 2010</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_Toc84540891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4F0DEF7" w14:textId="77777777" w:rsidR="00CC3E1A" w:rsidRPr="00CC3E1A" w:rsidRDefault="00CC3E1A" w:rsidP="00CC3E1A">
      <w:pPr>
        <w:pStyle w:val="TM4"/>
        <w:tabs>
          <w:tab w:val="right" w:leader="dot" w:pos="9062"/>
        </w:tabs>
        <w:rPr>
          <w:noProof/>
          <w:sz w:val="8"/>
          <w:szCs w:val="8"/>
        </w:rPr>
      </w:pPr>
    </w:p>
    <w:p w14:paraId="17A673D6"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892" w:history="1">
        <w:r w:rsidRPr="00CC3E1A">
          <w:rPr>
            <w:rStyle w:val="Lienhypertexte"/>
            <w:rFonts w:ascii="Times New Roman" w:hAnsi="Times New Roman" w:cs="Times New Roman"/>
            <w:noProof/>
            <w:color w:val="auto"/>
            <w:sz w:val="24"/>
            <w:szCs w:val="24"/>
            <w:u w:val="none"/>
          </w:rPr>
          <w:t>Section 3 : Les procès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_Toc84540892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7B6A4DE" w14:textId="77777777" w:rsidR="00CC3E1A" w:rsidRPr="00CC3E1A" w:rsidRDefault="00CC3E1A" w:rsidP="00CC3E1A">
      <w:pPr>
        <w:pStyle w:val="TM4"/>
        <w:tabs>
          <w:tab w:val="right" w:leader="dot" w:pos="9062"/>
        </w:tabs>
        <w:rPr>
          <w:noProof/>
          <w:sz w:val="8"/>
          <w:szCs w:val="8"/>
        </w:rPr>
      </w:pPr>
    </w:p>
    <w:p w14:paraId="64DFC777"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893" w:history="1">
        <w:r w:rsidRPr="00CC3E1A">
          <w:rPr>
            <w:rStyle w:val="Lienhypertexte"/>
            <w:rFonts w:ascii="Times New Roman" w:hAnsi="Times New Roman" w:cs="Times New Roman"/>
            <w:noProof/>
            <w:color w:val="auto"/>
            <w:sz w:val="24"/>
            <w:szCs w:val="24"/>
            <w:u w:val="none"/>
          </w:rPr>
          <w:t>Section 4 : Le défaut de 2014</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_Toc84540893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7F412DE" w14:textId="77777777" w:rsidR="00CC3E1A" w:rsidRPr="00CC3E1A" w:rsidRDefault="00CC3E1A" w:rsidP="00CC3E1A">
      <w:pPr>
        <w:pStyle w:val="TM4"/>
        <w:tabs>
          <w:tab w:val="right" w:leader="dot" w:pos="9062"/>
        </w:tabs>
        <w:rPr>
          <w:noProof/>
          <w:sz w:val="8"/>
          <w:szCs w:val="8"/>
        </w:rPr>
      </w:pPr>
    </w:p>
    <w:p w14:paraId="6984CB67"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894" w:history="1">
        <w:r w:rsidRPr="00CC3E1A">
          <w:rPr>
            <w:rStyle w:val="Lienhypertexte"/>
            <w:rFonts w:ascii="Times New Roman" w:hAnsi="Times New Roman" w:cs="Times New Roman"/>
            <w:noProof/>
            <w:color w:val="auto"/>
            <w:sz w:val="24"/>
            <w:szCs w:val="24"/>
            <w:u w:val="none"/>
          </w:rPr>
          <w:t>Section 5 : L’accord de 2016</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_Toc84540894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67C18E5" w14:textId="77777777" w:rsidR="00CC3E1A" w:rsidRPr="00CC3E1A" w:rsidRDefault="00CC3E1A" w:rsidP="00CC3E1A">
      <w:pPr>
        <w:pStyle w:val="TM3"/>
        <w:rPr>
          <w:sz w:val="10"/>
          <w:szCs w:val="10"/>
        </w:rPr>
      </w:pPr>
    </w:p>
    <w:p w14:paraId="01D3C0F1"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95" w:history="1">
        <w:r w:rsidRPr="00CC3E1A">
          <w:rPr>
            <w:rStyle w:val="Lienhypertexte"/>
            <w:rFonts w:cs="Times New Roman"/>
            <w:color w:val="auto"/>
            <w:szCs w:val="24"/>
            <w:u w:val="none"/>
          </w:rPr>
          <w:t>Chapitre 2 :</w:t>
        </w:r>
        <w:r w:rsidRPr="00CC3E1A">
          <w:rPr>
            <w:rStyle w:val="Lienhypertexte"/>
            <w:rFonts w:cs="Times New Roman"/>
            <w:i/>
            <w:color w:val="auto"/>
            <w:szCs w:val="24"/>
            <w:u w:val="none"/>
          </w:rPr>
          <w:t xml:space="preserve"> Elliott Associates</w:t>
        </w:r>
        <w:r w:rsidRPr="00CC3E1A">
          <w:rPr>
            <w:rStyle w:val="Lienhypertexte"/>
            <w:rFonts w:cs="Times New Roman"/>
            <w:color w:val="auto"/>
            <w:szCs w:val="24"/>
            <w:u w:val="none"/>
          </w:rPr>
          <w:t xml:space="preserve"> c. la République du Pérou</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_Toc84540895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39D966C" w14:textId="77777777" w:rsidR="00CC3E1A" w:rsidRPr="00CC3E1A" w:rsidRDefault="00CC3E1A" w:rsidP="00CC3E1A">
      <w:pPr>
        <w:pStyle w:val="TM3"/>
        <w:rPr>
          <w:sz w:val="10"/>
          <w:szCs w:val="10"/>
        </w:rPr>
      </w:pPr>
    </w:p>
    <w:p w14:paraId="3FA081E8"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96" w:history="1">
        <w:r w:rsidRPr="00CC3E1A">
          <w:rPr>
            <w:rStyle w:val="Lienhypertexte"/>
            <w:rFonts w:cs="Times New Roman"/>
            <w:color w:val="auto"/>
            <w:szCs w:val="24"/>
            <w:u w:val="none"/>
          </w:rPr>
          <w:t>Chapitre 3 :</w:t>
        </w:r>
        <w:r w:rsidRPr="00CC3E1A">
          <w:rPr>
            <w:rStyle w:val="Lienhypertexte"/>
            <w:rFonts w:cs="Times New Roman"/>
            <w:i/>
            <w:color w:val="auto"/>
            <w:szCs w:val="24"/>
            <w:u w:val="none"/>
          </w:rPr>
          <w:t xml:space="preserve"> Donegal International Ltd</w:t>
        </w:r>
        <w:r w:rsidRPr="00CC3E1A">
          <w:rPr>
            <w:rStyle w:val="Lienhypertexte"/>
            <w:rFonts w:cs="Times New Roman"/>
            <w:color w:val="auto"/>
            <w:szCs w:val="24"/>
            <w:u w:val="none"/>
          </w:rPr>
          <w:t>. c. la République de Zambie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_Toc84540896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0BA47581" w14:textId="77777777" w:rsidR="00CC3E1A" w:rsidRPr="00CC3E1A" w:rsidRDefault="00CC3E1A" w:rsidP="00CC3E1A">
      <w:pPr>
        <w:pStyle w:val="TM3"/>
        <w:rPr>
          <w:sz w:val="10"/>
          <w:szCs w:val="10"/>
        </w:rPr>
      </w:pPr>
    </w:p>
    <w:p w14:paraId="3F3C8FA2"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97" w:history="1">
        <w:r w:rsidRPr="00CC3E1A">
          <w:rPr>
            <w:rStyle w:val="Lienhypertexte"/>
            <w:rFonts w:cs="Times New Roman"/>
            <w:color w:val="auto"/>
            <w:szCs w:val="24"/>
            <w:u w:val="none"/>
          </w:rPr>
          <w:t>Chapitre 4 :</w:t>
        </w:r>
        <w:r w:rsidRPr="00CC3E1A">
          <w:rPr>
            <w:rStyle w:val="Lienhypertexte"/>
            <w:rFonts w:cs="Times New Roman"/>
            <w:i/>
            <w:color w:val="auto"/>
            <w:szCs w:val="24"/>
            <w:u w:val="none"/>
          </w:rPr>
          <w:t xml:space="preserve"> FG Hemisphere Associates LLC</w:t>
        </w:r>
        <w:r w:rsidRPr="00CC3E1A">
          <w:rPr>
            <w:rStyle w:val="Lienhypertexte"/>
            <w:rFonts w:cs="Times New Roman"/>
            <w:color w:val="auto"/>
            <w:szCs w:val="24"/>
            <w:u w:val="none"/>
          </w:rPr>
          <w:t xml:space="preserve"> c. la République démocratique du Congo</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_Toc84540897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115F156B" w14:textId="77777777" w:rsidR="00CC3E1A" w:rsidRPr="00CC3E1A" w:rsidRDefault="00CC3E1A" w:rsidP="00CC3E1A">
      <w:pPr>
        <w:pStyle w:val="TM3"/>
        <w:rPr>
          <w:sz w:val="10"/>
          <w:szCs w:val="10"/>
        </w:rPr>
      </w:pPr>
    </w:p>
    <w:p w14:paraId="07C55C00"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98" w:history="1">
        <w:r w:rsidRPr="00CC3E1A">
          <w:rPr>
            <w:rStyle w:val="Lienhypertexte"/>
            <w:rFonts w:cs="Times New Roman"/>
            <w:color w:val="auto"/>
            <w:szCs w:val="24"/>
            <w:u w:val="none"/>
          </w:rPr>
          <w:t>Chapitre 5 :</w:t>
        </w:r>
        <w:r w:rsidRPr="00CC3E1A">
          <w:rPr>
            <w:rStyle w:val="Lienhypertexte"/>
            <w:rFonts w:cs="Times New Roman"/>
            <w:i/>
            <w:color w:val="auto"/>
            <w:szCs w:val="24"/>
            <w:u w:val="none"/>
          </w:rPr>
          <w:t xml:space="preserve"> Kensington International Ltd.</w:t>
        </w:r>
        <w:r w:rsidRPr="00CC3E1A">
          <w:rPr>
            <w:rStyle w:val="Lienhypertexte"/>
            <w:rFonts w:cs="Times New Roman"/>
            <w:color w:val="auto"/>
            <w:szCs w:val="24"/>
            <w:u w:val="none"/>
          </w:rPr>
          <w:t xml:space="preserve"> c. la République du Congo</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_Toc84540898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9673355" w14:textId="77777777" w:rsidR="00CC3E1A" w:rsidRPr="00CC3E1A" w:rsidRDefault="00CC3E1A" w:rsidP="00CC3E1A">
      <w:pPr>
        <w:pStyle w:val="TM3"/>
        <w:rPr>
          <w:sz w:val="10"/>
          <w:szCs w:val="10"/>
        </w:rPr>
      </w:pPr>
    </w:p>
    <w:p w14:paraId="47291AB8"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899" w:history="1">
        <w:r w:rsidRPr="00CC3E1A">
          <w:rPr>
            <w:rStyle w:val="Lienhypertexte"/>
            <w:rFonts w:cs="Times New Roman"/>
            <w:color w:val="auto"/>
            <w:szCs w:val="24"/>
            <w:u w:val="none"/>
          </w:rPr>
          <w:t>Chapitre 6 :</w:t>
        </w:r>
        <w:r w:rsidRPr="00CC3E1A">
          <w:rPr>
            <w:rStyle w:val="Lienhypertexte"/>
            <w:rFonts w:cs="Times New Roman"/>
            <w:i/>
            <w:color w:val="auto"/>
            <w:szCs w:val="24"/>
            <w:u w:val="none"/>
          </w:rPr>
          <w:t xml:space="preserve"> Hamsah Investments Ltd. </w:t>
        </w:r>
        <w:r w:rsidRPr="00CC3E1A">
          <w:rPr>
            <w:rStyle w:val="Lienhypertexte"/>
            <w:rFonts w:cs="Times New Roman"/>
            <w:color w:val="auto"/>
            <w:szCs w:val="24"/>
            <w:u w:val="none"/>
          </w:rPr>
          <w:t>et</w:t>
        </w:r>
        <w:r w:rsidRPr="00CC3E1A">
          <w:rPr>
            <w:rStyle w:val="Lienhypertexte"/>
            <w:rFonts w:cs="Times New Roman"/>
            <w:i/>
            <w:color w:val="auto"/>
            <w:szCs w:val="24"/>
            <w:u w:val="none"/>
          </w:rPr>
          <w:t xml:space="preserve"> Wall Capital Ltd</w:t>
        </w:r>
        <w:r w:rsidRPr="00CC3E1A">
          <w:rPr>
            <w:rStyle w:val="Lienhypertexte"/>
            <w:rFonts w:cs="Times New Roman"/>
            <w:color w:val="auto"/>
            <w:szCs w:val="24"/>
            <w:u w:val="none"/>
          </w:rPr>
          <w:t>. c. la République du Libéria</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_Toc84540899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0EF2F2B1" w14:textId="77777777" w:rsidR="00CC3E1A" w:rsidRPr="00CC3E1A" w:rsidRDefault="00CC3E1A" w:rsidP="00CC3E1A">
      <w:pPr>
        <w:pStyle w:val="TM3"/>
        <w:rPr>
          <w:sz w:val="10"/>
          <w:szCs w:val="10"/>
        </w:rPr>
      </w:pPr>
    </w:p>
    <w:p w14:paraId="19552EB8"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0" w:history="1">
        <w:r w:rsidRPr="00CC3E1A">
          <w:rPr>
            <w:rStyle w:val="Lienhypertexte"/>
            <w:rFonts w:cs="Times New Roman"/>
            <w:color w:val="auto"/>
            <w:szCs w:val="24"/>
            <w:u w:val="none"/>
          </w:rPr>
          <w:t>Chapitre 7 :</w:t>
        </w:r>
        <w:r w:rsidRPr="00CC3E1A">
          <w:rPr>
            <w:rStyle w:val="Lienhypertexte"/>
            <w:rFonts w:cs="Times New Roman"/>
            <w:i/>
            <w:color w:val="auto"/>
            <w:szCs w:val="24"/>
            <w:u w:val="none"/>
          </w:rPr>
          <w:t xml:space="preserve"> LNC Investments Inc.</w:t>
        </w:r>
        <w:r w:rsidRPr="00CC3E1A">
          <w:rPr>
            <w:rStyle w:val="Lienhypertexte"/>
            <w:rFonts w:cs="Times New Roman"/>
            <w:color w:val="auto"/>
            <w:szCs w:val="24"/>
            <w:u w:val="none"/>
          </w:rPr>
          <w:t xml:space="preserve"> c. la République du Nicaragua</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_Toc84540900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3EE0815" w14:textId="77777777" w:rsidR="00CC3E1A" w:rsidRPr="00CC3E1A" w:rsidRDefault="00CC3E1A" w:rsidP="00CC3E1A">
      <w:pPr>
        <w:pStyle w:val="TM3"/>
        <w:rPr>
          <w:sz w:val="10"/>
          <w:szCs w:val="10"/>
        </w:rPr>
      </w:pPr>
    </w:p>
    <w:p w14:paraId="0DB8F329"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1" w:history="1">
        <w:r w:rsidRPr="00CC3E1A">
          <w:rPr>
            <w:rStyle w:val="Lienhypertexte"/>
            <w:rFonts w:cs="Times New Roman"/>
            <w:color w:val="auto"/>
            <w:szCs w:val="24"/>
            <w:u w:val="none"/>
          </w:rPr>
          <w:t>Chapitre 8 : D’autres débiteurs souverains attaqués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_Toc84540901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0B55242B"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02" w:history="1">
        <w:r w:rsidRPr="00CC3E1A">
          <w:rPr>
            <w:rStyle w:val="Lienhypertexte"/>
            <w:rFonts w:ascii="Times New Roman" w:hAnsi="Times New Roman" w:cs="Times New Roman"/>
            <w:noProof/>
            <w:color w:val="auto"/>
            <w:sz w:val="24"/>
            <w:szCs w:val="24"/>
            <w:u w:val="none"/>
          </w:rPr>
          <w:t>Titre 2 : La notion de « fonds spéculant sur les dettes souveraines en difficulté »</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_Toc84540902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C5948E8" w14:textId="77777777" w:rsidR="00CC3E1A" w:rsidRPr="00CC3E1A" w:rsidRDefault="00CC3E1A" w:rsidP="00CC3E1A">
      <w:pPr>
        <w:pStyle w:val="TM3"/>
        <w:rPr>
          <w:sz w:val="10"/>
          <w:szCs w:val="10"/>
        </w:rPr>
      </w:pPr>
    </w:p>
    <w:p w14:paraId="684ECA77"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3" w:history="1">
        <w:r w:rsidRPr="00CC3E1A">
          <w:rPr>
            <w:rStyle w:val="Lienhypertexte"/>
            <w:rFonts w:cs="Times New Roman"/>
            <w:color w:val="auto"/>
            <w:szCs w:val="24"/>
            <w:u w:val="none"/>
          </w:rPr>
          <w:t>Chapitre 1 : Le contexte d’émergence des activités spéculatives et leurs incitants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_Toc84540903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1BA1D6F" w14:textId="77777777" w:rsidR="00CC3E1A" w:rsidRPr="00CC3E1A" w:rsidRDefault="00CC3E1A" w:rsidP="00CC3E1A">
      <w:pPr>
        <w:pStyle w:val="TM3"/>
        <w:rPr>
          <w:sz w:val="10"/>
          <w:szCs w:val="10"/>
        </w:rPr>
      </w:pPr>
    </w:p>
    <w:p w14:paraId="4C07FBDF"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4" w:history="1">
        <w:r w:rsidRPr="00CC3E1A">
          <w:rPr>
            <w:rStyle w:val="Lienhypertexte"/>
            <w:rFonts w:cs="Times New Roman"/>
            <w:color w:val="auto"/>
            <w:szCs w:val="24"/>
            <w:u w:val="none"/>
          </w:rPr>
          <w:t>Chapitre 2 : Les définitions données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_Toc84540904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9567DF7" w14:textId="77777777" w:rsidR="00CC3E1A" w:rsidRPr="00CC3E1A" w:rsidRDefault="00CC3E1A" w:rsidP="00CC3E1A">
      <w:pPr>
        <w:pStyle w:val="TM3"/>
        <w:rPr>
          <w:sz w:val="10"/>
          <w:szCs w:val="10"/>
        </w:rPr>
      </w:pPr>
    </w:p>
    <w:p w14:paraId="362B5269"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5" w:history="1">
        <w:r w:rsidRPr="00CC3E1A">
          <w:rPr>
            <w:rStyle w:val="Lienhypertexte"/>
            <w:rFonts w:cs="Times New Roman"/>
            <w:color w:val="auto"/>
            <w:szCs w:val="24"/>
            <w:u w:val="none"/>
          </w:rPr>
          <w:t>Chapitre 3 : Les caractéristiques du modèle économique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_Toc84540905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7054C47" w14:textId="77777777" w:rsidR="00CC3E1A" w:rsidRPr="00CC3E1A" w:rsidRDefault="00CC3E1A" w:rsidP="00CC3E1A">
      <w:pPr>
        <w:pStyle w:val="TM4"/>
        <w:tabs>
          <w:tab w:val="right" w:leader="dot" w:pos="9062"/>
        </w:tabs>
        <w:rPr>
          <w:noProof/>
          <w:sz w:val="8"/>
          <w:szCs w:val="8"/>
        </w:rPr>
      </w:pPr>
    </w:p>
    <w:p w14:paraId="614C1A3B"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06" w:history="1">
        <w:r w:rsidRPr="00CC3E1A">
          <w:rPr>
            <w:rStyle w:val="Lienhypertexte"/>
            <w:rFonts w:ascii="Times New Roman" w:hAnsi="Times New Roman" w:cs="Times New Roman"/>
            <w:noProof/>
            <w:color w:val="auto"/>
            <w:sz w:val="24"/>
            <w:szCs w:val="24"/>
            <w:u w:val="none"/>
          </w:rPr>
          <w:t>Section 1 : Le rachat de dettes ébranlées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_Toc84540906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F972C7D" w14:textId="77777777" w:rsidR="00CC3E1A" w:rsidRPr="00CC3E1A" w:rsidRDefault="00CC3E1A" w:rsidP="00CC3E1A">
      <w:pPr>
        <w:pStyle w:val="TM4"/>
        <w:tabs>
          <w:tab w:val="right" w:leader="dot" w:pos="9062"/>
        </w:tabs>
        <w:rPr>
          <w:noProof/>
          <w:sz w:val="8"/>
          <w:szCs w:val="8"/>
        </w:rPr>
      </w:pPr>
    </w:p>
    <w:p w14:paraId="25929632"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07" w:history="1">
        <w:r w:rsidRPr="00CC3E1A">
          <w:rPr>
            <w:rStyle w:val="Lienhypertexte"/>
            <w:rFonts w:ascii="Times New Roman" w:hAnsi="Times New Roman" w:cs="Times New Roman"/>
            <w:noProof/>
            <w:color w:val="auto"/>
            <w:sz w:val="24"/>
            <w:szCs w:val="24"/>
            <w:u w:val="none"/>
          </w:rPr>
          <w:t>Section 2 : L’agressivité et la détermination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_Toc84540907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398CD64" w14:textId="77777777" w:rsidR="00CC3E1A" w:rsidRPr="00CC3E1A" w:rsidRDefault="00CC3E1A" w:rsidP="00CC3E1A">
      <w:pPr>
        <w:pStyle w:val="TM4"/>
        <w:tabs>
          <w:tab w:val="right" w:leader="dot" w:pos="9062"/>
        </w:tabs>
        <w:rPr>
          <w:noProof/>
          <w:sz w:val="8"/>
          <w:szCs w:val="8"/>
        </w:rPr>
      </w:pPr>
    </w:p>
    <w:p w14:paraId="180C24E9"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08" w:history="1">
        <w:r w:rsidRPr="00CC3E1A">
          <w:rPr>
            <w:rStyle w:val="Lienhypertexte"/>
            <w:rFonts w:ascii="Times New Roman" w:hAnsi="Times New Roman" w:cs="Times New Roman"/>
            <w:noProof/>
            <w:color w:val="auto"/>
            <w:sz w:val="24"/>
            <w:szCs w:val="24"/>
            <w:u w:val="none"/>
          </w:rPr>
          <w:t>Section 3 : L’opacité</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_Toc84540908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4F0BF3C" w14:textId="77777777" w:rsidR="00CC3E1A" w:rsidRPr="00CC3E1A" w:rsidRDefault="00CC3E1A" w:rsidP="00CC3E1A">
      <w:pPr>
        <w:pStyle w:val="TM3"/>
        <w:rPr>
          <w:sz w:val="10"/>
          <w:szCs w:val="10"/>
        </w:rPr>
      </w:pPr>
    </w:p>
    <w:p w14:paraId="42E52A4D"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09" w:history="1">
        <w:r w:rsidRPr="00CC3E1A">
          <w:rPr>
            <w:rStyle w:val="Lienhypertexte"/>
            <w:rFonts w:cs="Times New Roman"/>
            <w:color w:val="auto"/>
            <w:szCs w:val="24"/>
            <w:u w:val="none"/>
          </w:rPr>
          <w:t>Chapitre 4 : La préoccupation des Nations Unies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_Toc84540909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C94AD14" w14:textId="77777777" w:rsidR="00CC3E1A" w:rsidRPr="00CC3E1A" w:rsidRDefault="00CC3E1A" w:rsidP="00CC3E1A">
      <w:pPr>
        <w:pStyle w:val="TM3"/>
        <w:rPr>
          <w:sz w:val="10"/>
          <w:szCs w:val="10"/>
        </w:rPr>
      </w:pPr>
    </w:p>
    <w:p w14:paraId="1EC0C1B1"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10" w:history="1">
        <w:r w:rsidRPr="00CC3E1A">
          <w:rPr>
            <w:rStyle w:val="Lienhypertexte"/>
            <w:rFonts w:cs="Times New Roman"/>
            <w:color w:val="auto"/>
            <w:szCs w:val="24"/>
            <w:u w:val="none"/>
          </w:rPr>
          <w:t>Chapitre 5 : Les reproches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_Toc84540910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3D36CA7" w14:textId="77777777" w:rsidR="00CC3E1A" w:rsidRPr="00CC3E1A" w:rsidRDefault="00CC3E1A" w:rsidP="00CC3E1A">
      <w:pPr>
        <w:pStyle w:val="TM4"/>
        <w:tabs>
          <w:tab w:val="right" w:leader="dot" w:pos="9062"/>
        </w:tabs>
        <w:rPr>
          <w:noProof/>
          <w:sz w:val="8"/>
          <w:szCs w:val="8"/>
        </w:rPr>
      </w:pPr>
    </w:p>
    <w:p w14:paraId="40FC3C34"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11" w:history="1">
        <w:r w:rsidRPr="00CC3E1A">
          <w:rPr>
            <w:rStyle w:val="Lienhypertexte"/>
            <w:rFonts w:ascii="Times New Roman" w:hAnsi="Times New Roman" w:cs="Times New Roman"/>
            <w:noProof/>
            <w:color w:val="auto"/>
            <w:sz w:val="24"/>
            <w:szCs w:val="24"/>
            <w:u w:val="none"/>
            <w:shd w:val="clear" w:color="auto" w:fill="FFFFFF"/>
          </w:rPr>
          <w:t>Section 1 : Le profit immoral</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79E6232" w14:textId="77777777" w:rsidR="00CC3E1A" w:rsidRPr="00CC3E1A" w:rsidRDefault="00CC3E1A" w:rsidP="00CC3E1A">
      <w:pPr>
        <w:pStyle w:val="TM4"/>
        <w:tabs>
          <w:tab w:val="right" w:leader="dot" w:pos="9062"/>
        </w:tabs>
        <w:rPr>
          <w:noProof/>
          <w:sz w:val="8"/>
          <w:szCs w:val="8"/>
        </w:rPr>
      </w:pPr>
    </w:p>
    <w:p w14:paraId="0229E0B3"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12" w:history="1">
        <w:r w:rsidRPr="00CC3E1A">
          <w:rPr>
            <w:rStyle w:val="Lienhypertexte"/>
            <w:rFonts w:ascii="Times New Roman" w:hAnsi="Times New Roman" w:cs="Times New Roman"/>
            <w:noProof/>
            <w:color w:val="auto"/>
            <w:sz w:val="24"/>
            <w:szCs w:val="24"/>
            <w:u w:val="none"/>
          </w:rPr>
          <w:t>Section 2 : Le risque pour les restructurations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B9DDFE9" w14:textId="77777777" w:rsidR="00CC3E1A" w:rsidRPr="00CC3E1A" w:rsidRDefault="00CC3E1A" w:rsidP="00CC3E1A">
      <w:pPr>
        <w:pStyle w:val="TM4"/>
        <w:tabs>
          <w:tab w:val="right" w:leader="dot" w:pos="9062"/>
        </w:tabs>
        <w:rPr>
          <w:noProof/>
          <w:sz w:val="8"/>
          <w:szCs w:val="8"/>
        </w:rPr>
      </w:pPr>
    </w:p>
    <w:p w14:paraId="12A3BFEC"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13" w:history="1">
        <w:r w:rsidRPr="00CC3E1A">
          <w:rPr>
            <w:rStyle w:val="Lienhypertexte"/>
            <w:rFonts w:ascii="Times New Roman" w:hAnsi="Times New Roman" w:cs="Times New Roman"/>
            <w:noProof/>
            <w:color w:val="auto"/>
            <w:sz w:val="24"/>
            <w:szCs w:val="24"/>
            <w:u w:val="none"/>
          </w:rPr>
          <w:t>Section 3 : La perturbation du bon fonctionnement de l’État</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F0675C9" w14:textId="77777777" w:rsidR="00CC3E1A" w:rsidRPr="00CC3E1A" w:rsidRDefault="00CC3E1A" w:rsidP="00CC3E1A">
      <w:pPr>
        <w:pStyle w:val="TM3"/>
        <w:rPr>
          <w:sz w:val="10"/>
          <w:szCs w:val="10"/>
        </w:rPr>
      </w:pPr>
    </w:p>
    <w:p w14:paraId="25E16A93"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14" w:history="1">
        <w:r w:rsidRPr="00CC3E1A">
          <w:rPr>
            <w:rStyle w:val="Lienhypertexte"/>
            <w:rFonts w:cs="Times New Roman"/>
            <w:color w:val="auto"/>
            <w:szCs w:val="24"/>
            <w:u w:val="none"/>
          </w:rPr>
          <w:t>Chapitre 6 : Les mérites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_Toc84540914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53C258FA" w14:textId="77777777" w:rsidR="00CC3E1A" w:rsidRPr="00CC3E1A" w:rsidRDefault="00CC3E1A" w:rsidP="00CC3E1A">
      <w:pPr>
        <w:pStyle w:val="TM4"/>
        <w:tabs>
          <w:tab w:val="right" w:leader="dot" w:pos="9062"/>
        </w:tabs>
        <w:rPr>
          <w:noProof/>
          <w:sz w:val="8"/>
          <w:szCs w:val="8"/>
        </w:rPr>
      </w:pPr>
    </w:p>
    <w:p w14:paraId="61DC44E9"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15" w:history="1">
        <w:r w:rsidRPr="00CC3E1A">
          <w:rPr>
            <w:rStyle w:val="Lienhypertexte"/>
            <w:rFonts w:ascii="Times New Roman" w:hAnsi="Times New Roman" w:cs="Times New Roman"/>
            <w:noProof/>
            <w:color w:val="auto"/>
            <w:sz w:val="24"/>
            <w:szCs w:val="24"/>
            <w:u w:val="none"/>
          </w:rPr>
          <w:t>Section 1 : La liquidité et le coût du capital</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A4C9388" w14:textId="77777777" w:rsidR="00CC3E1A" w:rsidRPr="00CC3E1A" w:rsidRDefault="00CC3E1A" w:rsidP="00CC3E1A">
      <w:pPr>
        <w:pStyle w:val="TM4"/>
        <w:tabs>
          <w:tab w:val="right" w:leader="dot" w:pos="9062"/>
        </w:tabs>
        <w:rPr>
          <w:noProof/>
          <w:sz w:val="8"/>
          <w:szCs w:val="8"/>
        </w:rPr>
      </w:pPr>
    </w:p>
    <w:p w14:paraId="46C4B00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lastRenderedPageBreak/>
        <w:t xml:space="preserve">  </w:t>
      </w:r>
      <w:hyperlink w:anchor="_Toc84540916" w:history="1">
        <w:r w:rsidRPr="00CC3E1A">
          <w:rPr>
            <w:rStyle w:val="Lienhypertexte"/>
            <w:rFonts w:ascii="Times New Roman" w:hAnsi="Times New Roman" w:cs="Times New Roman"/>
            <w:noProof/>
            <w:color w:val="auto"/>
            <w:sz w:val="24"/>
            <w:szCs w:val="24"/>
            <w:u w:val="none"/>
          </w:rPr>
          <w:t>Section 2 : La surveillance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2A204C4"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17" w:history="1">
        <w:r w:rsidRPr="00CC3E1A">
          <w:rPr>
            <w:rStyle w:val="Lienhypertexte"/>
            <w:rFonts w:ascii="Times New Roman" w:hAnsi="Times New Roman" w:cs="Times New Roman"/>
            <w:noProof/>
            <w:color w:val="auto"/>
            <w:sz w:val="24"/>
            <w:szCs w:val="24"/>
            <w:u w:val="none"/>
          </w:rPr>
          <w:t>Conclusion de la partie I – sous-partie 1</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C9D8F39" w14:textId="77777777" w:rsidR="00CC3E1A" w:rsidRPr="00CC3E1A" w:rsidRDefault="0030147D" w:rsidP="002A7B59">
      <w:pPr>
        <w:pStyle w:val="TM1"/>
        <w:rPr>
          <w:rFonts w:eastAsiaTheme="minorEastAsia"/>
          <w:caps/>
          <w:lang w:val="fr-BE" w:eastAsia="fr-BE"/>
        </w:rPr>
      </w:pPr>
      <w:hyperlink w:anchor="_Toc84540918" w:history="1">
        <w:r w:rsidR="00CC3E1A" w:rsidRPr="00CC3E1A">
          <w:rPr>
            <w:rStyle w:val="Lienhypertexte"/>
            <w:color w:val="auto"/>
            <w:u w:val="none"/>
          </w:rPr>
          <w:t>Partie I – Sous-partie 2 : Les principes juridiques mobilisés</w:t>
        </w:r>
      </w:hyperlink>
    </w:p>
    <w:p w14:paraId="638C4424"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19" w:history="1">
        <w:r w:rsidRPr="00CC3E1A">
          <w:rPr>
            <w:rStyle w:val="Lienhypertexte"/>
            <w:rFonts w:ascii="Times New Roman" w:hAnsi="Times New Roman" w:cs="Times New Roman"/>
            <w:noProof/>
            <w:color w:val="auto"/>
            <w:sz w:val="24"/>
            <w:szCs w:val="24"/>
            <w:u w:val="none"/>
          </w:rPr>
          <w:t>Introduction de la partie I – sous-partie 2</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_Toc84540919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71F0008"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20" w:history="1">
        <w:r w:rsidRPr="00CC3E1A">
          <w:rPr>
            <w:rStyle w:val="Lienhypertexte"/>
            <w:rFonts w:ascii="Times New Roman" w:hAnsi="Times New Roman" w:cs="Times New Roman"/>
            <w:noProof/>
            <w:color w:val="auto"/>
            <w:sz w:val="24"/>
            <w:szCs w:val="24"/>
            <w:u w:val="none"/>
          </w:rPr>
          <w:t>Titre 1 : L’attaque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B50FC6A" w14:textId="77777777" w:rsidR="00CC3E1A" w:rsidRPr="00CC3E1A" w:rsidRDefault="00CC3E1A" w:rsidP="00CC3E1A">
      <w:pPr>
        <w:pStyle w:val="TM3"/>
        <w:rPr>
          <w:sz w:val="10"/>
          <w:szCs w:val="10"/>
        </w:rPr>
      </w:pPr>
    </w:p>
    <w:p w14:paraId="0CF02941"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21" w:history="1">
        <w:r w:rsidRPr="00CC3E1A">
          <w:rPr>
            <w:rStyle w:val="Lienhypertexte"/>
            <w:rFonts w:cs="Times New Roman"/>
            <w:color w:val="auto"/>
            <w:szCs w:val="24"/>
            <w:u w:val="none"/>
          </w:rPr>
          <w:t xml:space="preserve">Chapitre 1 : Le principe </w:t>
        </w:r>
        <w:r w:rsidRPr="00CC3E1A">
          <w:rPr>
            <w:rStyle w:val="Lienhypertexte"/>
            <w:rFonts w:cs="Times New Roman"/>
            <w:i/>
            <w:color w:val="auto"/>
            <w:szCs w:val="24"/>
            <w:u w:val="none"/>
          </w:rPr>
          <w:t>pacta sunt servanda</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_Toc84540921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46B65AC" w14:textId="77777777" w:rsidR="00CC3E1A" w:rsidRPr="00CC3E1A" w:rsidRDefault="00CC3E1A" w:rsidP="00CC3E1A">
      <w:pPr>
        <w:pStyle w:val="TM3"/>
        <w:rPr>
          <w:sz w:val="10"/>
          <w:szCs w:val="10"/>
        </w:rPr>
      </w:pPr>
    </w:p>
    <w:p w14:paraId="57286720"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22" w:history="1">
        <w:r w:rsidRPr="00CC3E1A">
          <w:rPr>
            <w:rStyle w:val="Lienhypertexte"/>
            <w:rFonts w:cs="Times New Roman"/>
            <w:color w:val="auto"/>
            <w:szCs w:val="24"/>
            <w:u w:val="none"/>
          </w:rPr>
          <w:t xml:space="preserve">Chapitre 2 : La clause </w:t>
        </w:r>
        <w:r w:rsidRPr="00CC3E1A">
          <w:rPr>
            <w:rStyle w:val="Lienhypertexte"/>
            <w:rFonts w:cs="Times New Roman"/>
            <w:i/>
            <w:color w:val="auto"/>
            <w:szCs w:val="24"/>
            <w:u w:val="none"/>
          </w:rPr>
          <w:t>pari passu</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_Toc84540922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44092957" w14:textId="77777777" w:rsidR="00CC3E1A" w:rsidRPr="00CC3E1A" w:rsidRDefault="00CC3E1A" w:rsidP="00CC3E1A">
      <w:pPr>
        <w:pStyle w:val="TM4"/>
        <w:tabs>
          <w:tab w:val="right" w:leader="dot" w:pos="9062"/>
        </w:tabs>
        <w:rPr>
          <w:noProof/>
          <w:sz w:val="8"/>
          <w:szCs w:val="8"/>
        </w:rPr>
      </w:pPr>
    </w:p>
    <w:p w14:paraId="2E83CBF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23" w:history="1">
        <w:r w:rsidRPr="00CC3E1A">
          <w:rPr>
            <w:rStyle w:val="Lienhypertexte"/>
            <w:rFonts w:ascii="Times New Roman" w:hAnsi="Times New Roman" w:cs="Times New Roman"/>
            <w:noProof/>
            <w:color w:val="auto"/>
            <w:sz w:val="24"/>
            <w:szCs w:val="24"/>
            <w:u w:val="none"/>
          </w:rPr>
          <w:t>Section 1 : Le contenu</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134A903" w14:textId="77777777" w:rsidR="00CC3E1A" w:rsidRPr="00CC3E1A" w:rsidRDefault="00CC3E1A" w:rsidP="00CC3E1A">
      <w:pPr>
        <w:pStyle w:val="TM4"/>
        <w:tabs>
          <w:tab w:val="right" w:leader="dot" w:pos="9062"/>
        </w:tabs>
        <w:rPr>
          <w:noProof/>
          <w:sz w:val="8"/>
          <w:szCs w:val="8"/>
        </w:rPr>
      </w:pPr>
    </w:p>
    <w:p w14:paraId="2C44893F"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24" w:history="1">
        <w:r w:rsidRPr="00CC3E1A">
          <w:rPr>
            <w:rStyle w:val="Lienhypertexte"/>
            <w:rFonts w:ascii="Times New Roman" w:hAnsi="Times New Roman" w:cs="Times New Roman"/>
            <w:noProof/>
            <w:color w:val="auto"/>
            <w:sz w:val="24"/>
            <w:szCs w:val="24"/>
            <w:u w:val="none"/>
          </w:rPr>
          <w:t>Section 2 : L’écho jurisprudentiel</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C51EF5B" w14:textId="77777777" w:rsidR="00CC3E1A" w:rsidRPr="00CC3E1A" w:rsidRDefault="00CC3E1A" w:rsidP="00CC3E1A">
      <w:pPr>
        <w:pStyle w:val="TM5"/>
        <w:tabs>
          <w:tab w:val="right" w:leader="dot" w:pos="9062"/>
        </w:tabs>
        <w:rPr>
          <w:noProof/>
          <w:sz w:val="6"/>
          <w:szCs w:val="6"/>
        </w:rPr>
      </w:pPr>
    </w:p>
    <w:p w14:paraId="4E585C1C"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25" w:history="1">
        <w:r w:rsidRPr="00CC3E1A">
          <w:rPr>
            <w:rStyle w:val="Lienhypertexte"/>
            <w:rFonts w:ascii="Times New Roman" w:hAnsi="Times New Roman" w:cs="Times New Roman"/>
            <w:noProof/>
            <w:color w:val="auto"/>
            <w:sz w:val="24"/>
            <w:szCs w:val="24"/>
            <w:u w:val="none"/>
          </w:rPr>
          <w:t>Sous-section 1 : L’arrêt de la cour d’appel de Bruxelles de 2000</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ED28726" w14:textId="77777777" w:rsidR="00CC3E1A" w:rsidRPr="00CC3E1A" w:rsidRDefault="00CC3E1A" w:rsidP="00CC3E1A">
      <w:pPr>
        <w:pStyle w:val="TM5"/>
        <w:tabs>
          <w:tab w:val="right" w:leader="dot" w:pos="9062"/>
        </w:tabs>
        <w:rPr>
          <w:noProof/>
          <w:sz w:val="6"/>
          <w:szCs w:val="6"/>
        </w:rPr>
      </w:pPr>
    </w:p>
    <w:p w14:paraId="5D9782A3"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26" w:history="1">
        <w:r w:rsidRPr="00CC3E1A">
          <w:rPr>
            <w:rStyle w:val="Lienhypertexte"/>
            <w:rFonts w:ascii="Times New Roman" w:hAnsi="Times New Roman" w:cs="Times New Roman"/>
            <w:noProof/>
            <w:color w:val="auto"/>
            <w:sz w:val="24"/>
            <w:szCs w:val="24"/>
            <w:u w:val="none"/>
          </w:rPr>
          <w:t>Sous-section 2 : L’injonction new-yorkaise de 2012</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87B8C25" w14:textId="77777777" w:rsidR="00CC3E1A" w:rsidRPr="00CC3E1A" w:rsidRDefault="00CC3E1A" w:rsidP="00CC3E1A">
      <w:pPr>
        <w:pStyle w:val="TM4"/>
        <w:tabs>
          <w:tab w:val="right" w:leader="dot" w:pos="9062"/>
        </w:tabs>
        <w:rPr>
          <w:noProof/>
          <w:sz w:val="8"/>
          <w:szCs w:val="8"/>
        </w:rPr>
      </w:pPr>
    </w:p>
    <w:p w14:paraId="56BC349E"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27" w:history="1">
        <w:r w:rsidRPr="00CC3E1A">
          <w:rPr>
            <w:rStyle w:val="Lienhypertexte"/>
            <w:rFonts w:ascii="Times New Roman" w:hAnsi="Times New Roman" w:cs="Times New Roman"/>
            <w:noProof/>
            <w:color w:val="auto"/>
            <w:sz w:val="24"/>
            <w:szCs w:val="24"/>
            <w:u w:val="none"/>
          </w:rPr>
          <w:t>Section 3 : Les critiques et les adaptations suggérées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D3B6EB0"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28" w:history="1">
        <w:r w:rsidRPr="00CC3E1A">
          <w:rPr>
            <w:rStyle w:val="Lienhypertexte"/>
            <w:rFonts w:ascii="Times New Roman" w:hAnsi="Times New Roman" w:cs="Times New Roman"/>
            <w:noProof/>
            <w:color w:val="auto"/>
            <w:sz w:val="24"/>
            <w:szCs w:val="24"/>
            <w:u w:val="none"/>
          </w:rPr>
          <w:t>Titre 2 : La défense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_Toc84540928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r w:rsidRPr="00CC3E1A">
        <w:rPr>
          <w:noProof/>
        </w:rPr>
        <w:t xml:space="preserve"> </w:t>
      </w:r>
    </w:p>
    <w:p w14:paraId="3C120EE2" w14:textId="77777777" w:rsidR="00CC3E1A" w:rsidRPr="00CC3E1A" w:rsidRDefault="00CC3E1A" w:rsidP="00CC3E1A">
      <w:pPr>
        <w:pStyle w:val="TM3"/>
        <w:rPr>
          <w:sz w:val="10"/>
          <w:szCs w:val="10"/>
        </w:rPr>
      </w:pPr>
    </w:p>
    <w:p w14:paraId="1BD1CFBE"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29" w:history="1">
        <w:r w:rsidRPr="00CC3E1A">
          <w:rPr>
            <w:rStyle w:val="Lienhypertexte"/>
            <w:rFonts w:cs="Times New Roman"/>
            <w:color w:val="auto"/>
            <w:szCs w:val="24"/>
            <w:u w:val="none"/>
          </w:rPr>
          <w:t>Chapitre 1 : La souveraineté</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_Toc84540929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5B1B651E" w14:textId="77777777" w:rsidR="00CC3E1A" w:rsidRPr="00CC3E1A" w:rsidRDefault="00CC3E1A" w:rsidP="00CC3E1A">
      <w:pPr>
        <w:pStyle w:val="TM4"/>
        <w:tabs>
          <w:tab w:val="right" w:leader="dot" w:pos="9062"/>
        </w:tabs>
        <w:rPr>
          <w:noProof/>
          <w:sz w:val="8"/>
          <w:szCs w:val="8"/>
        </w:rPr>
      </w:pPr>
    </w:p>
    <w:p w14:paraId="45031979"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0" w:history="1">
        <w:r w:rsidRPr="00CC3E1A">
          <w:rPr>
            <w:rStyle w:val="Lienhypertexte"/>
            <w:rFonts w:ascii="Times New Roman" w:hAnsi="Times New Roman" w:cs="Times New Roman"/>
            <w:noProof/>
            <w:color w:val="auto"/>
            <w:sz w:val="24"/>
            <w:szCs w:val="24"/>
            <w:u w:val="none"/>
          </w:rPr>
          <w:t>Section 1 : Les immunités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2F50E2D" w14:textId="77777777" w:rsidR="00CC3E1A" w:rsidRPr="00CC3E1A" w:rsidRDefault="00CC3E1A" w:rsidP="00CC3E1A">
      <w:pPr>
        <w:pStyle w:val="TM5"/>
        <w:tabs>
          <w:tab w:val="right" w:leader="dot" w:pos="9062"/>
        </w:tabs>
        <w:rPr>
          <w:noProof/>
          <w:sz w:val="6"/>
          <w:szCs w:val="6"/>
        </w:rPr>
      </w:pPr>
    </w:p>
    <w:p w14:paraId="2E2D984F"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1" w:history="1">
        <w:r w:rsidRPr="00CC3E1A">
          <w:rPr>
            <w:rStyle w:val="Lienhypertexte"/>
            <w:rFonts w:ascii="Times New Roman" w:eastAsia="Times New Roman" w:hAnsi="Times New Roman" w:cs="Times New Roman"/>
            <w:noProof/>
            <w:color w:val="auto"/>
            <w:sz w:val="24"/>
            <w:szCs w:val="24"/>
            <w:u w:val="none"/>
            <w:lang w:eastAsia="fr-BE"/>
          </w:rPr>
          <w:t>Sous-section 1 : L’immunité de juridiction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638DEE0" w14:textId="77777777" w:rsidR="00CC3E1A" w:rsidRPr="00CC3E1A" w:rsidRDefault="00CC3E1A" w:rsidP="00CC3E1A">
      <w:pPr>
        <w:pStyle w:val="TM6"/>
        <w:tabs>
          <w:tab w:val="left" w:pos="1440"/>
          <w:tab w:val="right" w:leader="dot" w:pos="9062"/>
        </w:tabs>
        <w:rPr>
          <w:noProof/>
          <w:sz w:val="4"/>
          <w:szCs w:val="4"/>
        </w:rPr>
      </w:pPr>
    </w:p>
    <w:p w14:paraId="6ECAF87C"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2" w:history="1">
        <w:r w:rsidRPr="00CC3E1A">
          <w:rPr>
            <w:rStyle w:val="Lienhypertexte"/>
            <w:rFonts w:ascii="Times New Roman" w:hAnsi="Times New Roman" w:cs="Times New Roman"/>
            <w:noProof/>
            <w:color w:val="auto"/>
            <w:sz w:val="24"/>
            <w:szCs w:val="24"/>
            <w:u w:val="none"/>
            <w:lang w:eastAsia="fr-BE"/>
          </w:rPr>
          <w:t>A.</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lang w:eastAsia="fr-BE"/>
          </w:rPr>
          <w:t>La relativité</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BABA754" w14:textId="77777777" w:rsidR="00CC3E1A" w:rsidRPr="00CC3E1A" w:rsidRDefault="00CC3E1A" w:rsidP="00CC3E1A">
      <w:pPr>
        <w:pStyle w:val="TM7"/>
        <w:tabs>
          <w:tab w:val="right" w:leader="dot" w:pos="9062"/>
        </w:tabs>
        <w:rPr>
          <w:noProof/>
          <w:sz w:val="2"/>
          <w:szCs w:val="2"/>
        </w:rPr>
      </w:pPr>
    </w:p>
    <w:p w14:paraId="033F2C25" w14:textId="77777777" w:rsidR="00CC3E1A" w:rsidRPr="00CC3E1A" w:rsidRDefault="00CC3E1A" w:rsidP="00CC3E1A">
      <w:pPr>
        <w:pStyle w:val="TM7"/>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3" w:history="1">
        <w:r w:rsidRPr="00CC3E1A">
          <w:rPr>
            <w:rStyle w:val="Lienhypertexte"/>
            <w:rFonts w:ascii="Times New Roman" w:hAnsi="Times New Roman" w:cs="Times New Roman"/>
            <w:noProof/>
            <w:color w:val="auto"/>
            <w:sz w:val="24"/>
            <w:szCs w:val="24"/>
            <w:u w:val="none"/>
          </w:rPr>
          <w:t xml:space="preserve">A.1. La Convention des Nations Unies sur les immunités juridictionnelles des </w:t>
        </w:r>
        <w:r w:rsidRPr="00CC3E1A">
          <w:rPr>
            <w:rStyle w:val="Lienhypertexte"/>
            <w:rFonts w:ascii="Times New Roman" w:hAnsi="Times New Roman" w:cs="Times New Roman"/>
            <w:noProof/>
            <w:color w:val="auto"/>
            <w:sz w:val="24"/>
            <w:szCs w:val="24"/>
            <w:u w:val="none"/>
            <w:lang w:eastAsia="fr-BE"/>
          </w:rPr>
          <w:t>É</w:t>
        </w:r>
        <w:r w:rsidRPr="00CC3E1A">
          <w:rPr>
            <w:rStyle w:val="Lienhypertexte"/>
            <w:rFonts w:ascii="Times New Roman" w:hAnsi="Times New Roman" w:cs="Times New Roman"/>
            <w:noProof/>
            <w:color w:val="auto"/>
            <w:sz w:val="24"/>
            <w:szCs w:val="24"/>
            <w:u w:val="none"/>
          </w:rPr>
          <w:t>tats et de leurs biens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98D26D7" w14:textId="77777777" w:rsidR="00CC3E1A" w:rsidRPr="00CC3E1A" w:rsidRDefault="00CC3E1A" w:rsidP="00CC3E1A">
      <w:pPr>
        <w:pStyle w:val="TM7"/>
        <w:tabs>
          <w:tab w:val="right" w:leader="dot" w:pos="9062"/>
        </w:tabs>
        <w:rPr>
          <w:noProof/>
          <w:sz w:val="2"/>
          <w:szCs w:val="2"/>
        </w:rPr>
      </w:pPr>
    </w:p>
    <w:p w14:paraId="2717BDB5" w14:textId="77777777" w:rsidR="00CC3E1A" w:rsidRPr="00CC3E1A" w:rsidRDefault="00CC3E1A" w:rsidP="00CC3E1A">
      <w:pPr>
        <w:pStyle w:val="TM7"/>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4" w:history="1">
        <w:r w:rsidRPr="00CC3E1A">
          <w:rPr>
            <w:rStyle w:val="Lienhypertexte"/>
            <w:rFonts w:ascii="Times New Roman" w:hAnsi="Times New Roman" w:cs="Times New Roman"/>
            <w:noProof/>
            <w:color w:val="auto"/>
            <w:sz w:val="24"/>
            <w:szCs w:val="24"/>
            <w:u w:val="none"/>
          </w:rPr>
          <w:t xml:space="preserve">A.2. Le </w:t>
        </w:r>
        <w:r w:rsidRPr="00CC3E1A">
          <w:rPr>
            <w:rStyle w:val="Lienhypertexte"/>
            <w:rFonts w:ascii="Times New Roman" w:hAnsi="Times New Roman" w:cs="Times New Roman"/>
            <w:i/>
            <w:noProof/>
            <w:color w:val="auto"/>
            <w:sz w:val="24"/>
            <w:szCs w:val="24"/>
            <w:u w:val="none"/>
          </w:rPr>
          <w:t>Foreign Sovereign Immunities Act</w:t>
        </w:r>
        <w:r w:rsidRPr="00CC3E1A">
          <w:rPr>
            <w:rStyle w:val="Lienhypertexte"/>
            <w:rFonts w:ascii="Times New Roman" w:hAnsi="Times New Roman" w:cs="Times New Roman"/>
            <w:noProof/>
            <w:color w:val="auto"/>
            <w:sz w:val="24"/>
            <w:szCs w:val="24"/>
            <w:u w:val="none"/>
          </w:rPr>
          <w:t xml:space="preserve"> étasunien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4D58AB1" w14:textId="77777777" w:rsidR="00CC3E1A" w:rsidRPr="00CC3E1A" w:rsidRDefault="00CC3E1A" w:rsidP="00CC3E1A">
      <w:pPr>
        <w:pStyle w:val="TM7"/>
        <w:tabs>
          <w:tab w:val="right" w:leader="dot" w:pos="9062"/>
        </w:tabs>
        <w:rPr>
          <w:noProof/>
          <w:sz w:val="2"/>
          <w:szCs w:val="2"/>
        </w:rPr>
      </w:pPr>
    </w:p>
    <w:p w14:paraId="1F367C26" w14:textId="77777777" w:rsidR="00CC3E1A" w:rsidRPr="00CC3E1A" w:rsidRDefault="00CC3E1A" w:rsidP="00CC3E1A">
      <w:pPr>
        <w:pStyle w:val="TM7"/>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5" w:history="1">
        <w:r w:rsidRPr="00CC3E1A">
          <w:rPr>
            <w:rStyle w:val="Lienhypertexte"/>
            <w:rFonts w:ascii="Times New Roman" w:hAnsi="Times New Roman" w:cs="Times New Roman"/>
            <w:noProof/>
            <w:color w:val="auto"/>
            <w:sz w:val="24"/>
            <w:szCs w:val="24"/>
            <w:u w:val="none"/>
          </w:rPr>
          <w:t xml:space="preserve">A.3. Le </w:t>
        </w:r>
        <w:r w:rsidRPr="00CC3E1A">
          <w:rPr>
            <w:rStyle w:val="Lienhypertexte"/>
            <w:rFonts w:ascii="Times New Roman" w:hAnsi="Times New Roman" w:cs="Times New Roman"/>
            <w:i/>
            <w:noProof/>
            <w:color w:val="auto"/>
            <w:sz w:val="24"/>
            <w:szCs w:val="24"/>
            <w:u w:val="none"/>
          </w:rPr>
          <w:t xml:space="preserve">State Immunity Act </w:t>
        </w:r>
        <w:r w:rsidRPr="00CC3E1A">
          <w:rPr>
            <w:rStyle w:val="Lienhypertexte"/>
            <w:rFonts w:ascii="Times New Roman" w:hAnsi="Times New Roman" w:cs="Times New Roman"/>
            <w:noProof/>
            <w:color w:val="auto"/>
            <w:sz w:val="24"/>
            <w:szCs w:val="24"/>
            <w:u w:val="none"/>
          </w:rPr>
          <w:t>britannique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8457B1A" w14:textId="77777777" w:rsidR="00CC3E1A" w:rsidRPr="00CC3E1A" w:rsidRDefault="00CC3E1A" w:rsidP="00CC3E1A">
      <w:pPr>
        <w:pStyle w:val="TM7"/>
        <w:tabs>
          <w:tab w:val="right" w:leader="dot" w:pos="9062"/>
        </w:tabs>
        <w:rPr>
          <w:noProof/>
          <w:sz w:val="2"/>
          <w:szCs w:val="2"/>
        </w:rPr>
      </w:pPr>
    </w:p>
    <w:p w14:paraId="6C9037E2" w14:textId="77777777" w:rsidR="00CC3E1A" w:rsidRPr="00CC3E1A" w:rsidRDefault="00CC3E1A" w:rsidP="00CC3E1A">
      <w:pPr>
        <w:pStyle w:val="TM7"/>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6" w:history="1">
        <w:r w:rsidRPr="00CC3E1A">
          <w:rPr>
            <w:rStyle w:val="Lienhypertexte"/>
            <w:rFonts w:ascii="Times New Roman" w:hAnsi="Times New Roman" w:cs="Times New Roman"/>
            <w:noProof/>
            <w:color w:val="auto"/>
            <w:sz w:val="24"/>
            <w:szCs w:val="24"/>
            <w:u w:val="none"/>
          </w:rPr>
          <w:t>A.4. La nature particulière des dettes souveraines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3BCD614" w14:textId="77777777" w:rsidR="00CC3E1A" w:rsidRPr="00CC3E1A" w:rsidRDefault="00CC3E1A" w:rsidP="00CC3E1A">
      <w:pPr>
        <w:pStyle w:val="TM7"/>
        <w:tabs>
          <w:tab w:val="right" w:leader="dot" w:pos="9062"/>
        </w:tabs>
        <w:rPr>
          <w:noProof/>
          <w:sz w:val="2"/>
          <w:szCs w:val="2"/>
        </w:rPr>
      </w:pPr>
    </w:p>
    <w:p w14:paraId="2E6DBC92" w14:textId="77777777" w:rsidR="00CC3E1A" w:rsidRPr="00CC3E1A" w:rsidRDefault="00CC3E1A" w:rsidP="00CC3E1A">
      <w:pPr>
        <w:pStyle w:val="TM7"/>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7" w:history="1">
        <w:r w:rsidRPr="00CC3E1A">
          <w:rPr>
            <w:rStyle w:val="Lienhypertexte"/>
            <w:rFonts w:ascii="Times New Roman" w:hAnsi="Times New Roman" w:cs="Times New Roman"/>
            <w:noProof/>
            <w:color w:val="auto"/>
            <w:sz w:val="24"/>
            <w:szCs w:val="24"/>
            <w:u w:val="none"/>
          </w:rPr>
          <w:t>A.5. La particularité des mesures adoptées en relation avec les dettes souveraines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2E7F7E4" w14:textId="77777777" w:rsidR="00CC3E1A" w:rsidRPr="00CC3E1A" w:rsidRDefault="00CC3E1A" w:rsidP="00CC3E1A">
      <w:pPr>
        <w:pStyle w:val="TM6"/>
        <w:tabs>
          <w:tab w:val="left" w:pos="1440"/>
          <w:tab w:val="right" w:leader="dot" w:pos="9062"/>
        </w:tabs>
        <w:rPr>
          <w:noProof/>
          <w:sz w:val="4"/>
          <w:szCs w:val="4"/>
        </w:rPr>
      </w:pPr>
    </w:p>
    <w:p w14:paraId="581DD146"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8" w:history="1">
        <w:r w:rsidRPr="00CC3E1A">
          <w:rPr>
            <w:rStyle w:val="Lienhypertexte"/>
            <w:rFonts w:ascii="Times New Roman" w:hAnsi="Times New Roman" w:cs="Times New Roman"/>
            <w:noProof/>
            <w:color w:val="auto"/>
            <w:sz w:val="24"/>
            <w:szCs w:val="24"/>
            <w:u w:val="none"/>
          </w:rPr>
          <w:t>B.</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La renonciation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AF25668" w14:textId="77777777" w:rsidR="00CC3E1A" w:rsidRPr="00CC3E1A" w:rsidRDefault="00CC3E1A" w:rsidP="00CC3E1A">
      <w:pPr>
        <w:pStyle w:val="TM5"/>
        <w:tabs>
          <w:tab w:val="right" w:leader="dot" w:pos="9062"/>
        </w:tabs>
        <w:rPr>
          <w:noProof/>
          <w:sz w:val="6"/>
          <w:szCs w:val="6"/>
        </w:rPr>
      </w:pPr>
    </w:p>
    <w:p w14:paraId="0DE97D72"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39" w:history="1">
        <w:r w:rsidRPr="00CC3E1A">
          <w:rPr>
            <w:rStyle w:val="Lienhypertexte"/>
            <w:rFonts w:ascii="Times New Roman" w:eastAsia="Times New Roman" w:hAnsi="Times New Roman" w:cs="Times New Roman"/>
            <w:noProof/>
            <w:color w:val="auto"/>
            <w:sz w:val="24"/>
            <w:szCs w:val="24"/>
            <w:u w:val="none"/>
            <w:lang w:eastAsia="fr-BE"/>
          </w:rPr>
          <w:t>Sous-section 2 : L’immunité d’exécution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_Toc84540939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17E3197" w14:textId="77777777" w:rsidR="00CC3E1A" w:rsidRPr="00CC3E1A" w:rsidRDefault="00CC3E1A" w:rsidP="00CC3E1A">
      <w:pPr>
        <w:pStyle w:val="TM6"/>
        <w:tabs>
          <w:tab w:val="left" w:pos="1440"/>
          <w:tab w:val="right" w:leader="dot" w:pos="9062"/>
        </w:tabs>
        <w:rPr>
          <w:noProof/>
          <w:sz w:val="4"/>
          <w:szCs w:val="4"/>
        </w:rPr>
      </w:pPr>
    </w:p>
    <w:p w14:paraId="71414A04"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0" w:history="1">
        <w:r w:rsidRPr="00CC3E1A">
          <w:rPr>
            <w:rStyle w:val="Lienhypertexte"/>
            <w:rFonts w:ascii="Times New Roman" w:hAnsi="Times New Roman" w:cs="Times New Roman"/>
            <w:noProof/>
            <w:color w:val="auto"/>
            <w:sz w:val="24"/>
            <w:szCs w:val="24"/>
            <w:u w:val="none"/>
          </w:rPr>
          <w:t>A.</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L’autorisation judiciaire préalable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0C16553" w14:textId="77777777" w:rsidR="00CC3E1A" w:rsidRPr="00CC3E1A" w:rsidRDefault="00CC3E1A" w:rsidP="00CC3E1A">
      <w:pPr>
        <w:pStyle w:val="TM6"/>
        <w:tabs>
          <w:tab w:val="left" w:pos="1440"/>
          <w:tab w:val="right" w:leader="dot" w:pos="9062"/>
        </w:tabs>
        <w:rPr>
          <w:noProof/>
          <w:sz w:val="4"/>
          <w:szCs w:val="4"/>
        </w:rPr>
      </w:pPr>
    </w:p>
    <w:p w14:paraId="46591451"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1" w:history="1">
        <w:r w:rsidRPr="00CC3E1A">
          <w:rPr>
            <w:rStyle w:val="Lienhypertexte"/>
            <w:rFonts w:ascii="Times New Roman" w:hAnsi="Times New Roman" w:cs="Times New Roman"/>
            <w:noProof/>
            <w:color w:val="auto"/>
            <w:sz w:val="24"/>
            <w:szCs w:val="24"/>
            <w:u w:val="none"/>
          </w:rPr>
          <w:t>B.</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L’exception commerciale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26D484E" w14:textId="77777777" w:rsidR="00CC3E1A" w:rsidRPr="00CC3E1A" w:rsidRDefault="00CC3E1A" w:rsidP="00CC3E1A">
      <w:pPr>
        <w:pStyle w:val="TM6"/>
        <w:tabs>
          <w:tab w:val="left" w:pos="1440"/>
          <w:tab w:val="right" w:leader="dot" w:pos="9062"/>
        </w:tabs>
        <w:rPr>
          <w:noProof/>
          <w:sz w:val="4"/>
          <w:szCs w:val="4"/>
        </w:rPr>
      </w:pPr>
    </w:p>
    <w:p w14:paraId="157BD339"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2" w:history="1">
        <w:r w:rsidRPr="00CC3E1A">
          <w:rPr>
            <w:rStyle w:val="Lienhypertexte"/>
            <w:rFonts w:ascii="Times New Roman" w:hAnsi="Times New Roman" w:cs="Times New Roman"/>
            <w:noProof/>
            <w:color w:val="auto"/>
            <w:sz w:val="24"/>
            <w:szCs w:val="24"/>
            <w:u w:val="none"/>
          </w:rPr>
          <w:t>C.</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La renonciation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A62E0FD" w14:textId="77777777" w:rsidR="00CC3E1A" w:rsidRPr="00CC3E1A" w:rsidRDefault="00CC3E1A" w:rsidP="00CC3E1A">
      <w:pPr>
        <w:pStyle w:val="TM6"/>
        <w:tabs>
          <w:tab w:val="left" w:pos="1440"/>
          <w:tab w:val="right" w:leader="dot" w:pos="9062"/>
        </w:tabs>
        <w:rPr>
          <w:noProof/>
          <w:sz w:val="4"/>
          <w:szCs w:val="4"/>
        </w:rPr>
      </w:pPr>
    </w:p>
    <w:p w14:paraId="4E5E14FD"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3" w:history="1">
        <w:r w:rsidRPr="00CC3E1A">
          <w:rPr>
            <w:rStyle w:val="Lienhypertexte"/>
            <w:rFonts w:ascii="Times New Roman" w:hAnsi="Times New Roman" w:cs="Times New Roman"/>
            <w:noProof/>
            <w:color w:val="auto"/>
            <w:sz w:val="24"/>
            <w:szCs w:val="24"/>
            <w:u w:val="none"/>
          </w:rPr>
          <w:t>D.</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L’affectation de certains biens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A5807E7" w14:textId="77777777" w:rsidR="00CC3E1A" w:rsidRPr="00CC3E1A" w:rsidRDefault="00CC3E1A" w:rsidP="00CC3E1A">
      <w:pPr>
        <w:pStyle w:val="TM6"/>
        <w:tabs>
          <w:tab w:val="left" w:pos="1440"/>
          <w:tab w:val="right" w:leader="dot" w:pos="9062"/>
        </w:tabs>
        <w:rPr>
          <w:noProof/>
          <w:sz w:val="4"/>
          <w:szCs w:val="4"/>
        </w:rPr>
      </w:pPr>
    </w:p>
    <w:p w14:paraId="6E33E229"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4" w:history="1">
        <w:r w:rsidRPr="00CC3E1A">
          <w:rPr>
            <w:rStyle w:val="Lienhypertexte"/>
            <w:rFonts w:ascii="Times New Roman" w:hAnsi="Times New Roman" w:cs="Times New Roman"/>
            <w:noProof/>
            <w:color w:val="auto"/>
            <w:sz w:val="24"/>
            <w:szCs w:val="24"/>
            <w:u w:val="none"/>
          </w:rPr>
          <w:t>E.</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Le régime particulier des biens à fonction diplomatique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7783667" w14:textId="77777777" w:rsidR="00CC3E1A" w:rsidRPr="00CC3E1A" w:rsidRDefault="00CC3E1A" w:rsidP="00CC3E1A">
      <w:pPr>
        <w:pStyle w:val="TM6"/>
        <w:tabs>
          <w:tab w:val="left" w:pos="1440"/>
          <w:tab w:val="right" w:leader="dot" w:pos="9062"/>
        </w:tabs>
        <w:rPr>
          <w:noProof/>
          <w:sz w:val="4"/>
          <w:szCs w:val="4"/>
        </w:rPr>
      </w:pPr>
    </w:p>
    <w:p w14:paraId="39CC02D5" w14:textId="77777777" w:rsidR="00CC3E1A" w:rsidRPr="00CC3E1A" w:rsidRDefault="00CC3E1A" w:rsidP="00CC3E1A">
      <w:pPr>
        <w:pStyle w:val="TM6"/>
        <w:tabs>
          <w:tab w:val="left" w:pos="1440"/>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5" w:history="1">
        <w:r w:rsidRPr="00CC3E1A">
          <w:rPr>
            <w:rStyle w:val="Lienhypertexte"/>
            <w:rFonts w:ascii="Times New Roman" w:hAnsi="Times New Roman" w:cs="Times New Roman"/>
            <w:noProof/>
            <w:color w:val="auto"/>
            <w:sz w:val="24"/>
            <w:szCs w:val="24"/>
            <w:u w:val="none"/>
          </w:rPr>
          <w:t>F.</w:t>
        </w:r>
        <w:r w:rsidRPr="00CC3E1A">
          <w:rPr>
            <w:rFonts w:ascii="Times New Roman" w:eastAsiaTheme="minorEastAsia" w:hAnsi="Times New Roman" w:cs="Times New Roman"/>
            <w:noProof/>
            <w:sz w:val="24"/>
            <w:szCs w:val="24"/>
            <w:lang w:val="fr-BE" w:eastAsia="fr-BE"/>
          </w:rPr>
          <w:tab/>
        </w:r>
        <w:r w:rsidRPr="00CC3E1A">
          <w:rPr>
            <w:rStyle w:val="Lienhypertexte"/>
            <w:rFonts w:ascii="Times New Roman" w:hAnsi="Times New Roman" w:cs="Times New Roman"/>
            <w:noProof/>
            <w:color w:val="auto"/>
            <w:sz w:val="24"/>
            <w:szCs w:val="24"/>
            <w:u w:val="none"/>
          </w:rPr>
          <w:t>Le régime particulier des avoirs des banques centrales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295710E" w14:textId="77777777" w:rsidR="00CC3E1A" w:rsidRPr="00CC3E1A" w:rsidRDefault="00CC3E1A" w:rsidP="00CC3E1A">
      <w:pPr>
        <w:pStyle w:val="TM4"/>
        <w:tabs>
          <w:tab w:val="right" w:leader="dot" w:pos="9062"/>
        </w:tabs>
        <w:rPr>
          <w:noProof/>
          <w:sz w:val="8"/>
          <w:szCs w:val="8"/>
        </w:rPr>
      </w:pPr>
    </w:p>
    <w:p w14:paraId="1A1F1176"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6" w:history="1">
        <w:r w:rsidRPr="00CC3E1A">
          <w:rPr>
            <w:rStyle w:val="Lienhypertexte"/>
            <w:rFonts w:ascii="Times New Roman" w:hAnsi="Times New Roman" w:cs="Times New Roman"/>
            <w:noProof/>
            <w:color w:val="auto"/>
            <w:sz w:val="24"/>
            <w:szCs w:val="24"/>
            <w:u w:val="none"/>
          </w:rPr>
          <w:t>Section 2 : Les doctrines de l’</w:t>
        </w:r>
        <w:r w:rsidRPr="00CC3E1A">
          <w:rPr>
            <w:rStyle w:val="Lienhypertexte"/>
            <w:rFonts w:ascii="Times New Roman" w:hAnsi="Times New Roman" w:cs="Times New Roman"/>
            <w:i/>
            <w:noProof/>
            <w:color w:val="auto"/>
            <w:sz w:val="24"/>
            <w:szCs w:val="24"/>
            <w:u w:val="none"/>
          </w:rPr>
          <w:t>act of State</w:t>
        </w:r>
        <w:r w:rsidRPr="00CC3E1A">
          <w:rPr>
            <w:rStyle w:val="Lienhypertexte"/>
            <w:rFonts w:ascii="Times New Roman" w:hAnsi="Times New Roman" w:cs="Times New Roman"/>
            <w:noProof/>
            <w:color w:val="auto"/>
            <w:sz w:val="24"/>
            <w:szCs w:val="24"/>
            <w:u w:val="none"/>
          </w:rPr>
          <w:t xml:space="preserve"> et de la </w:t>
        </w:r>
        <w:r w:rsidRPr="00CC3E1A">
          <w:rPr>
            <w:rStyle w:val="Lienhypertexte"/>
            <w:rFonts w:ascii="Times New Roman" w:hAnsi="Times New Roman" w:cs="Times New Roman"/>
            <w:i/>
            <w:noProof/>
            <w:color w:val="auto"/>
            <w:sz w:val="24"/>
            <w:szCs w:val="24"/>
            <w:u w:val="none"/>
          </w:rPr>
          <w:t>comity</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4ED9A82" w14:textId="77777777" w:rsidR="00CC3E1A" w:rsidRPr="00CC3E1A" w:rsidRDefault="00CC3E1A" w:rsidP="00CC3E1A">
      <w:pPr>
        <w:pStyle w:val="TM3"/>
        <w:rPr>
          <w:sz w:val="10"/>
          <w:szCs w:val="10"/>
        </w:rPr>
      </w:pPr>
    </w:p>
    <w:p w14:paraId="1A4D4160"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47" w:history="1">
        <w:r w:rsidRPr="00CC3E1A">
          <w:rPr>
            <w:rStyle w:val="Lienhypertexte"/>
            <w:rFonts w:cs="Times New Roman"/>
            <w:color w:val="auto"/>
            <w:szCs w:val="24"/>
            <w:u w:val="none"/>
          </w:rPr>
          <w:t>Chapitre 2 : L’impossible spéculation</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_Toc84540947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20D1B2AE" w14:textId="77777777" w:rsidR="00CC3E1A" w:rsidRPr="00CC3E1A" w:rsidRDefault="00CC3E1A" w:rsidP="00CC3E1A">
      <w:pPr>
        <w:pStyle w:val="TM4"/>
        <w:tabs>
          <w:tab w:val="right" w:leader="dot" w:pos="9062"/>
        </w:tabs>
        <w:rPr>
          <w:noProof/>
          <w:sz w:val="8"/>
          <w:szCs w:val="8"/>
        </w:rPr>
      </w:pPr>
    </w:p>
    <w:p w14:paraId="27C0768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8" w:history="1">
        <w:r w:rsidRPr="00CC3E1A">
          <w:rPr>
            <w:rStyle w:val="Lienhypertexte"/>
            <w:rFonts w:ascii="Times New Roman" w:hAnsi="Times New Roman" w:cs="Times New Roman"/>
            <w:noProof/>
            <w:color w:val="auto"/>
            <w:sz w:val="24"/>
            <w:szCs w:val="24"/>
            <w:u w:val="none"/>
          </w:rPr>
          <w:t xml:space="preserve">Section 1 : La </w:t>
        </w:r>
        <w:r w:rsidRPr="00CC3E1A">
          <w:rPr>
            <w:rStyle w:val="Lienhypertexte"/>
            <w:rFonts w:ascii="Times New Roman" w:hAnsi="Times New Roman" w:cs="Times New Roman"/>
            <w:i/>
            <w:noProof/>
            <w:color w:val="auto"/>
            <w:sz w:val="24"/>
            <w:szCs w:val="24"/>
            <w:u w:val="none"/>
          </w:rPr>
          <w:t>champerty</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D901786" w14:textId="77777777" w:rsidR="00CC3E1A" w:rsidRPr="00CC3E1A" w:rsidRDefault="00CC3E1A" w:rsidP="00CC3E1A">
      <w:pPr>
        <w:pStyle w:val="TM4"/>
        <w:tabs>
          <w:tab w:val="right" w:leader="dot" w:pos="9062"/>
        </w:tabs>
        <w:rPr>
          <w:noProof/>
          <w:sz w:val="8"/>
          <w:szCs w:val="8"/>
        </w:rPr>
      </w:pPr>
    </w:p>
    <w:p w14:paraId="3BE33A89"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49" w:history="1">
        <w:r w:rsidRPr="00CC3E1A">
          <w:rPr>
            <w:rStyle w:val="Lienhypertexte"/>
            <w:rFonts w:ascii="Times New Roman" w:hAnsi="Times New Roman" w:cs="Times New Roman"/>
            <w:noProof/>
            <w:color w:val="auto"/>
            <w:sz w:val="24"/>
            <w:szCs w:val="24"/>
            <w:u w:val="none"/>
          </w:rPr>
          <w:t>Section 2 : L’abus de droit</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_Toc84540949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7495EDB" w14:textId="77777777" w:rsidR="00CC3E1A" w:rsidRPr="00CC3E1A" w:rsidRDefault="00CC3E1A" w:rsidP="00CC3E1A">
      <w:pPr>
        <w:pStyle w:val="TM4"/>
        <w:tabs>
          <w:tab w:val="right" w:leader="dot" w:pos="9062"/>
        </w:tabs>
        <w:rPr>
          <w:noProof/>
          <w:sz w:val="8"/>
          <w:szCs w:val="8"/>
        </w:rPr>
      </w:pPr>
    </w:p>
    <w:p w14:paraId="74C8BD2A"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50" w:history="1">
        <w:r w:rsidRPr="00CC3E1A">
          <w:rPr>
            <w:rStyle w:val="Lienhypertexte"/>
            <w:rFonts w:ascii="Times New Roman" w:hAnsi="Times New Roman" w:cs="Times New Roman"/>
            <w:noProof/>
            <w:color w:val="auto"/>
            <w:sz w:val="24"/>
            <w:szCs w:val="24"/>
            <w:u w:val="none"/>
          </w:rPr>
          <w:t>Section 3 : Le retrait litigieux</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_Toc84540950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40DEAA5" w14:textId="77777777" w:rsidR="00CC3E1A" w:rsidRPr="00CC3E1A" w:rsidRDefault="00CC3E1A" w:rsidP="00CC3E1A">
      <w:pPr>
        <w:pStyle w:val="TM3"/>
        <w:rPr>
          <w:sz w:val="10"/>
          <w:szCs w:val="10"/>
        </w:rPr>
      </w:pPr>
    </w:p>
    <w:p w14:paraId="34EF957B"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52" w:history="1">
        <w:r w:rsidRPr="00CC3E1A">
          <w:rPr>
            <w:rStyle w:val="Lienhypertexte"/>
            <w:rFonts w:cs="Times New Roman"/>
            <w:color w:val="auto"/>
            <w:szCs w:val="24"/>
            <w:u w:val="none"/>
          </w:rPr>
          <w:t>Chapitre 3 : La prééminence de l’intérêt général</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_Toc84540952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6466BD8" w14:textId="77777777" w:rsidR="00CC3E1A" w:rsidRPr="00CC3E1A" w:rsidRDefault="00CC3E1A" w:rsidP="00CC3E1A">
      <w:pPr>
        <w:pStyle w:val="TM4"/>
        <w:tabs>
          <w:tab w:val="right" w:leader="dot" w:pos="9062"/>
        </w:tabs>
        <w:rPr>
          <w:noProof/>
          <w:sz w:val="8"/>
          <w:szCs w:val="8"/>
        </w:rPr>
      </w:pPr>
    </w:p>
    <w:p w14:paraId="36A4275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53" w:history="1">
        <w:r w:rsidRPr="00CC3E1A">
          <w:rPr>
            <w:rStyle w:val="Lienhypertexte"/>
            <w:rFonts w:ascii="Times New Roman" w:hAnsi="Times New Roman" w:cs="Times New Roman"/>
            <w:noProof/>
            <w:color w:val="auto"/>
            <w:sz w:val="24"/>
            <w:szCs w:val="24"/>
            <w:u w:val="none"/>
          </w:rPr>
          <w:t>Section 1 : L’ordre public</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_Toc84540953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28627B2" w14:textId="77777777" w:rsidR="00CC3E1A" w:rsidRPr="00CC3E1A" w:rsidRDefault="00CC3E1A" w:rsidP="00CC3E1A">
      <w:pPr>
        <w:pStyle w:val="TM4"/>
        <w:tabs>
          <w:tab w:val="right" w:leader="dot" w:pos="9062"/>
        </w:tabs>
        <w:rPr>
          <w:noProof/>
          <w:sz w:val="8"/>
          <w:szCs w:val="8"/>
        </w:rPr>
      </w:pPr>
    </w:p>
    <w:p w14:paraId="7FADB180"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54" w:history="1">
        <w:r w:rsidRPr="00CC3E1A">
          <w:rPr>
            <w:rStyle w:val="Lienhypertexte"/>
            <w:rFonts w:ascii="Times New Roman" w:hAnsi="Times New Roman" w:cs="Times New Roman"/>
            <w:noProof/>
            <w:color w:val="auto"/>
            <w:sz w:val="24"/>
            <w:szCs w:val="24"/>
            <w:u w:val="none"/>
          </w:rPr>
          <w:t>Section 2 : L’état de nécessité</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_Toc84540954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57F7389" w14:textId="77777777" w:rsidR="00CC3E1A" w:rsidRPr="00CC3E1A" w:rsidRDefault="00CC3E1A" w:rsidP="00CC3E1A">
      <w:pPr>
        <w:pStyle w:val="TM4"/>
        <w:tabs>
          <w:tab w:val="right" w:leader="dot" w:pos="9062"/>
        </w:tabs>
        <w:rPr>
          <w:noProof/>
          <w:sz w:val="8"/>
          <w:szCs w:val="8"/>
        </w:rPr>
      </w:pPr>
    </w:p>
    <w:p w14:paraId="4580284F"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55" w:history="1">
        <w:r w:rsidRPr="00CC3E1A">
          <w:rPr>
            <w:rStyle w:val="Lienhypertexte"/>
            <w:rFonts w:ascii="Times New Roman" w:hAnsi="Times New Roman" w:cs="Times New Roman"/>
            <w:noProof/>
            <w:color w:val="auto"/>
            <w:sz w:val="24"/>
            <w:szCs w:val="24"/>
            <w:u w:val="none"/>
          </w:rPr>
          <w:t>Section 3 : Le concept de dette odieuse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_Toc84540955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0973ADC"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56" w:history="1">
        <w:r w:rsidRPr="00CC3E1A">
          <w:rPr>
            <w:rStyle w:val="Lienhypertexte"/>
            <w:rFonts w:ascii="Times New Roman" w:hAnsi="Times New Roman" w:cs="Times New Roman"/>
            <w:noProof/>
            <w:color w:val="auto"/>
            <w:sz w:val="24"/>
            <w:szCs w:val="24"/>
            <w:u w:val="none"/>
          </w:rPr>
          <w:t>Conclusion de la partie I – sous-partie 2</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_Toc84540956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4B9F3CC" w14:textId="5DF0AFC7" w:rsidR="00CC3E1A" w:rsidRPr="00CC3E1A" w:rsidRDefault="002A7B59" w:rsidP="002A7B59">
      <w:pPr>
        <w:pStyle w:val="TM1"/>
      </w:pPr>
      <w:r>
        <w:t xml:space="preserve">  </w:t>
      </w:r>
      <w:hyperlink w:anchor="_Toc84540957" w:history="1">
        <w:r w:rsidR="00CC3E1A" w:rsidRPr="00CC3E1A">
          <w:rPr>
            <w:rStyle w:val="Lienhypertexte"/>
            <w:color w:val="auto"/>
            <w:u w:val="none"/>
          </w:rPr>
          <w:t>Conclusion de la partie I</w:t>
        </w:r>
        <w:r w:rsidR="00CC3E1A" w:rsidRPr="00CC3E1A">
          <w:rPr>
            <w:webHidden/>
          </w:rPr>
          <w:tab/>
        </w:r>
        <w:r w:rsidR="00CC3E1A" w:rsidRPr="00CC3E1A">
          <w:rPr>
            <w:webHidden/>
          </w:rPr>
          <w:fldChar w:fldCharType="begin"/>
        </w:r>
        <w:r w:rsidR="00CC3E1A" w:rsidRPr="00CC3E1A">
          <w:rPr>
            <w:webHidden/>
          </w:rPr>
          <w:instrText xml:space="preserve"> PAGEREF _Toc84540957 \h </w:instrText>
        </w:r>
        <w:r w:rsidR="00CC3E1A" w:rsidRPr="00CC3E1A">
          <w:rPr>
            <w:webHidden/>
          </w:rPr>
        </w:r>
        <w:r w:rsidR="00CC3E1A" w:rsidRPr="00CC3E1A">
          <w:rPr>
            <w:webHidden/>
          </w:rPr>
          <w:fldChar w:fldCharType="separate"/>
        </w:r>
        <w:r w:rsidR="00CC3E1A" w:rsidRPr="00CC3E1A">
          <w:rPr>
            <w:webHidden/>
          </w:rPr>
          <w:t>1</w:t>
        </w:r>
        <w:r w:rsidR="00CC3E1A" w:rsidRPr="00CC3E1A">
          <w:rPr>
            <w:webHidden/>
          </w:rPr>
          <w:fldChar w:fldCharType="end"/>
        </w:r>
      </w:hyperlink>
    </w:p>
    <w:p w14:paraId="0CCAA5D7" w14:textId="77777777" w:rsidR="00CC3E1A" w:rsidRPr="00CC3E1A" w:rsidRDefault="00CC3E1A" w:rsidP="00CC3E1A">
      <w:pPr>
        <w:rPr>
          <w:noProof/>
        </w:rPr>
      </w:pPr>
    </w:p>
    <w:p w14:paraId="5548DC95" w14:textId="77777777" w:rsidR="00CC3E1A" w:rsidRPr="00CC3E1A" w:rsidRDefault="00CC3E1A" w:rsidP="00CC3E1A">
      <w:pPr>
        <w:jc w:val="center"/>
        <w:rPr>
          <w:noProof/>
        </w:rPr>
      </w:pPr>
    </w:p>
    <w:p w14:paraId="674311CC" w14:textId="77777777" w:rsidR="00CC3E1A" w:rsidRPr="00CC3E1A" w:rsidRDefault="00CC3E1A" w:rsidP="00CC3E1A">
      <w:pPr>
        <w:jc w:val="center"/>
        <w:rPr>
          <w:noProof/>
        </w:rPr>
      </w:pPr>
      <w:r w:rsidRPr="00CC3E1A">
        <w:rPr>
          <w:noProof/>
        </w:rPr>
        <w:t>*</w:t>
      </w:r>
    </w:p>
    <w:p w14:paraId="130EBEDD" w14:textId="77777777" w:rsidR="00CC3E1A" w:rsidRPr="00CC3E1A" w:rsidRDefault="00CC3E1A" w:rsidP="00CC3E1A">
      <w:pPr>
        <w:rPr>
          <w:noProof/>
        </w:rPr>
      </w:pPr>
    </w:p>
    <w:p w14:paraId="37BCF283" w14:textId="77777777" w:rsidR="00CC3E1A" w:rsidRPr="00CC3E1A" w:rsidRDefault="0030147D" w:rsidP="00CC3E1A">
      <w:pPr>
        <w:jc w:val="center"/>
        <w:rPr>
          <w:rFonts w:eastAsiaTheme="minorEastAsia"/>
          <w:b/>
          <w:bCs/>
          <w:noProof/>
          <w:lang w:val="fr-BE" w:eastAsia="fr-BE"/>
        </w:rPr>
      </w:pPr>
      <w:hyperlink w:anchor="_Toc84540958" w:history="1">
        <w:r w:rsidR="00CC3E1A" w:rsidRPr="00CC3E1A">
          <w:rPr>
            <w:rStyle w:val="Lienhypertexte"/>
            <w:rFonts w:ascii="Times New Roman" w:hAnsi="Times New Roman" w:cs="Times New Roman"/>
            <w:b/>
            <w:noProof/>
            <w:color w:val="auto"/>
            <w:u w:val="none"/>
          </w:rPr>
          <w:t>Partie II : La recherche d’une solution mesurée et sur mesure</w:t>
        </w:r>
      </w:hyperlink>
    </w:p>
    <w:p w14:paraId="66B05757" w14:textId="77777777" w:rsidR="00CC3E1A" w:rsidRPr="00CC3E1A" w:rsidRDefault="00CC3E1A" w:rsidP="002A7B59">
      <w:pPr>
        <w:pStyle w:val="TM1"/>
        <w:rPr>
          <w:rFonts w:eastAsiaTheme="minorEastAsia"/>
          <w:caps/>
          <w:lang w:val="fr-BE" w:eastAsia="fr-BE"/>
        </w:rPr>
      </w:pPr>
      <w:r w:rsidRPr="00CC3E1A">
        <w:t xml:space="preserve">   </w:t>
      </w:r>
      <w:hyperlink w:anchor="_Toc84540959" w:history="1">
        <w:r w:rsidRPr="00CC3E1A">
          <w:rPr>
            <w:rStyle w:val="Lienhypertexte"/>
            <w:color w:val="auto"/>
            <w:u w:val="none"/>
          </w:rPr>
          <w:t>Introduction de la partie II</w:t>
        </w:r>
        <w:r w:rsidRPr="00CC3E1A">
          <w:rPr>
            <w:webHidden/>
          </w:rPr>
          <w:tab/>
        </w:r>
        <w:r w:rsidRPr="00CC3E1A">
          <w:rPr>
            <w:webHidden/>
          </w:rPr>
          <w:fldChar w:fldCharType="begin"/>
        </w:r>
        <w:r w:rsidRPr="00CC3E1A">
          <w:rPr>
            <w:webHidden/>
          </w:rPr>
          <w:instrText xml:space="preserve"> PAGEREF _Toc84540959 \h </w:instrText>
        </w:r>
        <w:r w:rsidRPr="00CC3E1A">
          <w:rPr>
            <w:webHidden/>
          </w:rPr>
        </w:r>
        <w:r w:rsidRPr="00CC3E1A">
          <w:rPr>
            <w:webHidden/>
          </w:rPr>
          <w:fldChar w:fldCharType="separate"/>
        </w:r>
        <w:r w:rsidRPr="00CC3E1A">
          <w:rPr>
            <w:webHidden/>
          </w:rPr>
          <w:t>1</w:t>
        </w:r>
        <w:r w:rsidRPr="00CC3E1A">
          <w:rPr>
            <w:webHidden/>
          </w:rPr>
          <w:fldChar w:fldCharType="end"/>
        </w:r>
      </w:hyperlink>
    </w:p>
    <w:p w14:paraId="161396F3" w14:textId="77777777" w:rsidR="00CC3E1A" w:rsidRPr="00CC3E1A" w:rsidRDefault="0030147D" w:rsidP="002A7B59">
      <w:pPr>
        <w:pStyle w:val="TM1"/>
        <w:rPr>
          <w:rFonts w:eastAsiaTheme="minorEastAsia"/>
          <w:caps/>
          <w:lang w:val="fr-BE" w:eastAsia="fr-BE"/>
        </w:rPr>
      </w:pPr>
      <w:hyperlink w:anchor="_Toc84540960" w:history="1">
        <w:r w:rsidR="00CC3E1A" w:rsidRPr="00CC3E1A">
          <w:rPr>
            <w:rStyle w:val="Lienhypertexte"/>
            <w:color w:val="auto"/>
            <w:u w:val="none"/>
          </w:rPr>
          <w:t>Partie II – Sous-partie 1 : Les solutions existantes</w:t>
        </w:r>
      </w:hyperlink>
    </w:p>
    <w:p w14:paraId="0892A2CD"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61" w:history="1">
        <w:r w:rsidRPr="00CC3E1A">
          <w:rPr>
            <w:rStyle w:val="Lienhypertexte"/>
            <w:rFonts w:ascii="Times New Roman" w:hAnsi="Times New Roman" w:cs="Times New Roman"/>
            <w:noProof/>
            <w:color w:val="auto"/>
            <w:sz w:val="24"/>
            <w:szCs w:val="24"/>
            <w:u w:val="none"/>
          </w:rPr>
          <w:t>Introduction de la partie II – sous-partie 1</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C7C40A0"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62" w:history="1">
        <w:r w:rsidRPr="00CC3E1A">
          <w:rPr>
            <w:rStyle w:val="Lienhypertexte"/>
            <w:rFonts w:ascii="Times New Roman" w:hAnsi="Times New Roman" w:cs="Times New Roman"/>
            <w:noProof/>
            <w:color w:val="auto"/>
            <w:sz w:val="24"/>
            <w:szCs w:val="24"/>
            <w:u w:val="none"/>
          </w:rPr>
          <w:t>Titre 1 : Les solutions indirectes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5C83622" w14:textId="77777777" w:rsidR="00CC3E1A" w:rsidRPr="00CC3E1A" w:rsidRDefault="00CC3E1A" w:rsidP="00CC3E1A">
      <w:pPr>
        <w:pStyle w:val="TM3"/>
        <w:rPr>
          <w:sz w:val="10"/>
          <w:szCs w:val="10"/>
        </w:rPr>
      </w:pPr>
    </w:p>
    <w:p w14:paraId="2CD18182"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63" w:history="1">
        <w:r w:rsidRPr="00CC3E1A">
          <w:rPr>
            <w:rStyle w:val="Lienhypertexte"/>
            <w:rFonts w:cs="Times New Roman"/>
            <w:color w:val="auto"/>
            <w:szCs w:val="24"/>
            <w:u w:val="none"/>
          </w:rPr>
          <w:t>Chapitre 1 : La réglementation des restructurations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_Toc84540963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C6212D1" w14:textId="77777777" w:rsidR="00CC3E1A" w:rsidRPr="00CC3E1A" w:rsidRDefault="00CC3E1A" w:rsidP="00CC3E1A">
      <w:pPr>
        <w:pStyle w:val="TM4"/>
        <w:tabs>
          <w:tab w:val="right" w:leader="dot" w:pos="9062"/>
        </w:tabs>
        <w:rPr>
          <w:noProof/>
          <w:sz w:val="8"/>
          <w:szCs w:val="8"/>
        </w:rPr>
      </w:pPr>
    </w:p>
    <w:p w14:paraId="5978DDC6"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64" w:history="1">
        <w:r w:rsidRPr="00CC3E1A">
          <w:rPr>
            <w:rStyle w:val="Lienhypertexte"/>
            <w:rFonts w:ascii="Times New Roman" w:hAnsi="Times New Roman" w:cs="Times New Roman"/>
            <w:noProof/>
            <w:color w:val="auto"/>
            <w:sz w:val="24"/>
            <w:szCs w:val="24"/>
            <w:u w:val="none"/>
          </w:rPr>
          <w:t>Section 1 : La carence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CE0ECE5" w14:textId="77777777" w:rsidR="00CC3E1A" w:rsidRPr="00CC3E1A" w:rsidRDefault="00CC3E1A" w:rsidP="00CC3E1A">
      <w:pPr>
        <w:pStyle w:val="TM4"/>
        <w:tabs>
          <w:tab w:val="right" w:leader="dot" w:pos="9062"/>
        </w:tabs>
        <w:rPr>
          <w:noProof/>
          <w:sz w:val="8"/>
          <w:szCs w:val="8"/>
        </w:rPr>
      </w:pPr>
    </w:p>
    <w:p w14:paraId="2BECB940"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65" w:history="1">
        <w:r w:rsidRPr="00CC3E1A">
          <w:rPr>
            <w:rStyle w:val="Lienhypertexte"/>
            <w:rFonts w:ascii="Times New Roman" w:hAnsi="Times New Roman" w:cs="Times New Roman"/>
            <w:noProof/>
            <w:color w:val="auto"/>
            <w:sz w:val="24"/>
            <w:szCs w:val="24"/>
            <w:u w:val="none"/>
          </w:rPr>
          <w:t>Section 2 : Les tentatives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38B9E99" w14:textId="77777777" w:rsidR="00CC3E1A" w:rsidRPr="00CC3E1A" w:rsidRDefault="00CC3E1A" w:rsidP="00CC3E1A">
      <w:pPr>
        <w:pStyle w:val="TM4"/>
        <w:tabs>
          <w:tab w:val="right" w:leader="dot" w:pos="9062"/>
        </w:tabs>
        <w:rPr>
          <w:noProof/>
          <w:sz w:val="8"/>
          <w:szCs w:val="8"/>
        </w:rPr>
      </w:pPr>
    </w:p>
    <w:p w14:paraId="0E501EF7"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66" w:history="1">
        <w:r w:rsidRPr="00CC3E1A">
          <w:rPr>
            <w:rStyle w:val="Lienhypertexte"/>
            <w:rFonts w:ascii="Times New Roman" w:hAnsi="Times New Roman" w:cs="Times New Roman"/>
            <w:noProof/>
            <w:color w:val="auto"/>
            <w:sz w:val="24"/>
            <w:szCs w:val="24"/>
            <w:u w:val="none"/>
          </w:rPr>
          <w:t>Section 3 : Les caractéristiques essentielles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2C092DE" w14:textId="77777777" w:rsidR="00CC3E1A" w:rsidRPr="00CC3E1A" w:rsidRDefault="00CC3E1A" w:rsidP="00CC3E1A">
      <w:pPr>
        <w:pStyle w:val="TM3"/>
        <w:rPr>
          <w:sz w:val="10"/>
          <w:szCs w:val="10"/>
        </w:rPr>
      </w:pPr>
    </w:p>
    <w:p w14:paraId="20CF1DC6"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67" w:history="1">
        <w:r w:rsidRPr="00CC3E1A">
          <w:rPr>
            <w:rStyle w:val="Lienhypertexte"/>
            <w:rFonts w:cs="Times New Roman"/>
            <w:color w:val="auto"/>
            <w:szCs w:val="24"/>
            <w:u w:val="none"/>
          </w:rPr>
          <w:t>Chapitre 2 : Les clauses d’action collective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_Toc84540967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44B60793" w14:textId="77777777" w:rsidR="00CC3E1A" w:rsidRPr="00CC3E1A" w:rsidRDefault="00CC3E1A" w:rsidP="00CC3E1A">
      <w:pPr>
        <w:pStyle w:val="TM4"/>
        <w:tabs>
          <w:tab w:val="right" w:leader="dot" w:pos="9062"/>
        </w:tabs>
        <w:rPr>
          <w:noProof/>
          <w:sz w:val="8"/>
          <w:szCs w:val="8"/>
        </w:rPr>
      </w:pPr>
    </w:p>
    <w:p w14:paraId="164D79A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68" w:history="1">
        <w:r w:rsidRPr="00CC3E1A">
          <w:rPr>
            <w:rStyle w:val="Lienhypertexte"/>
            <w:rFonts w:ascii="Times New Roman" w:hAnsi="Times New Roman" w:cs="Times New Roman"/>
            <w:noProof/>
            <w:color w:val="auto"/>
            <w:sz w:val="24"/>
            <w:szCs w:val="24"/>
            <w:u w:val="none"/>
          </w:rPr>
          <w:t>Section 1 : La notion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540E10C" w14:textId="77777777" w:rsidR="00CC3E1A" w:rsidRPr="00CC3E1A" w:rsidRDefault="00CC3E1A" w:rsidP="00CC3E1A">
      <w:pPr>
        <w:pStyle w:val="TM4"/>
        <w:tabs>
          <w:tab w:val="right" w:leader="dot" w:pos="9062"/>
        </w:tabs>
        <w:rPr>
          <w:noProof/>
          <w:sz w:val="8"/>
          <w:szCs w:val="8"/>
        </w:rPr>
      </w:pPr>
    </w:p>
    <w:p w14:paraId="150659FC"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69" w:history="1">
        <w:r w:rsidRPr="00CC3E1A">
          <w:rPr>
            <w:rStyle w:val="Lienhypertexte"/>
            <w:rFonts w:ascii="Times New Roman" w:hAnsi="Times New Roman" w:cs="Times New Roman"/>
            <w:noProof/>
            <w:color w:val="auto"/>
            <w:sz w:val="24"/>
            <w:szCs w:val="24"/>
            <w:u w:val="none"/>
          </w:rPr>
          <w:t>Section 2 : La nomenclature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_Toc84540969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FB6DD1C" w14:textId="77777777" w:rsidR="00CC3E1A" w:rsidRPr="00CC3E1A" w:rsidRDefault="00CC3E1A" w:rsidP="00CC3E1A">
      <w:pPr>
        <w:pStyle w:val="TM4"/>
        <w:tabs>
          <w:tab w:val="right" w:leader="dot" w:pos="9062"/>
        </w:tabs>
        <w:rPr>
          <w:noProof/>
          <w:sz w:val="8"/>
          <w:szCs w:val="8"/>
        </w:rPr>
      </w:pPr>
    </w:p>
    <w:p w14:paraId="154D365E"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0" w:history="1">
        <w:r w:rsidRPr="00CC3E1A">
          <w:rPr>
            <w:rStyle w:val="Lienhypertexte"/>
            <w:rFonts w:ascii="Times New Roman" w:hAnsi="Times New Roman" w:cs="Times New Roman"/>
            <w:noProof/>
            <w:color w:val="auto"/>
            <w:sz w:val="24"/>
            <w:szCs w:val="24"/>
            <w:u w:val="none"/>
          </w:rPr>
          <w:t>Section 3 : Les faiblesses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E2B7AA8"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0971" w:history="1">
        <w:r w:rsidRPr="00CC3E1A">
          <w:rPr>
            <w:rStyle w:val="Lienhypertexte"/>
            <w:rFonts w:ascii="Times New Roman" w:hAnsi="Times New Roman" w:cs="Times New Roman"/>
            <w:noProof/>
            <w:color w:val="auto"/>
            <w:sz w:val="24"/>
            <w:szCs w:val="24"/>
            <w:u w:val="none"/>
          </w:rPr>
          <w:t>Titre 2 : Les solutions directes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50D55F2" w14:textId="77777777" w:rsidR="00CC3E1A" w:rsidRPr="00CC3E1A" w:rsidRDefault="00CC3E1A" w:rsidP="00CC3E1A">
      <w:pPr>
        <w:pStyle w:val="TM3"/>
        <w:rPr>
          <w:sz w:val="10"/>
          <w:szCs w:val="10"/>
        </w:rPr>
      </w:pPr>
    </w:p>
    <w:p w14:paraId="1BA719BB"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72" w:history="1">
        <w:r w:rsidRPr="00CC3E1A">
          <w:rPr>
            <w:rStyle w:val="Lienhypertexte"/>
            <w:rFonts w:cs="Times New Roman"/>
            <w:color w:val="auto"/>
            <w:szCs w:val="24"/>
            <w:u w:val="none"/>
          </w:rPr>
          <w:t xml:space="preserve">Chapitre 1 : Les </w:t>
        </w:r>
        <w:r w:rsidRPr="00CC3E1A">
          <w:rPr>
            <w:rStyle w:val="Lienhypertexte"/>
            <w:rFonts w:cs="Times New Roman"/>
            <w:i/>
            <w:color w:val="auto"/>
            <w:szCs w:val="24"/>
            <w:u w:val="none"/>
          </w:rPr>
          <w:t>bills to prevent speculation and profiteering in the defaulted debt of certain poor countries</w:t>
        </w:r>
        <w:r w:rsidRPr="00CC3E1A">
          <w:rPr>
            <w:rStyle w:val="Lienhypertexte"/>
            <w:rFonts w:cs="Times New Roman"/>
            <w:color w:val="auto"/>
            <w:szCs w:val="24"/>
            <w:u w:val="none"/>
          </w:rPr>
          <w:t xml:space="preserve"> étatsuniennes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_Toc84540972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492D54D" w14:textId="77777777" w:rsidR="00CC3E1A" w:rsidRPr="00CC3E1A" w:rsidRDefault="00CC3E1A" w:rsidP="00CC3E1A">
      <w:pPr>
        <w:pStyle w:val="TM4"/>
        <w:tabs>
          <w:tab w:val="right" w:leader="dot" w:pos="9062"/>
        </w:tabs>
        <w:rPr>
          <w:noProof/>
          <w:sz w:val="8"/>
          <w:szCs w:val="8"/>
        </w:rPr>
      </w:pPr>
    </w:p>
    <w:p w14:paraId="400DD7EB"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3" w:history="1">
        <w:r w:rsidRPr="00CC3E1A">
          <w:rPr>
            <w:rStyle w:val="Lienhypertexte"/>
            <w:rFonts w:ascii="Times New Roman" w:hAnsi="Times New Roman" w:cs="Times New Roman"/>
            <w:noProof/>
            <w:color w:val="auto"/>
            <w:sz w:val="24"/>
            <w:szCs w:val="24"/>
            <w:u w:val="none"/>
          </w:rPr>
          <w:t>Section 1 : Le contexte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E213067" w14:textId="77777777" w:rsidR="00CC3E1A" w:rsidRPr="00CC3E1A" w:rsidRDefault="00CC3E1A" w:rsidP="00CC3E1A">
      <w:pPr>
        <w:pStyle w:val="TM4"/>
        <w:tabs>
          <w:tab w:val="right" w:leader="dot" w:pos="9062"/>
        </w:tabs>
        <w:rPr>
          <w:noProof/>
          <w:sz w:val="8"/>
          <w:szCs w:val="8"/>
        </w:rPr>
      </w:pPr>
    </w:p>
    <w:p w14:paraId="0A4ADE0D"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4" w:history="1">
        <w:r w:rsidRPr="00CC3E1A">
          <w:rPr>
            <w:rStyle w:val="Lienhypertexte"/>
            <w:rFonts w:ascii="Times New Roman" w:hAnsi="Times New Roman" w:cs="Times New Roman"/>
            <w:noProof/>
            <w:color w:val="auto"/>
            <w:sz w:val="24"/>
            <w:szCs w:val="24"/>
            <w:u w:val="none"/>
          </w:rPr>
          <w:t>Section 2 : Le mécanisme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5354B4C" w14:textId="77777777" w:rsidR="00CC3E1A" w:rsidRPr="00CC3E1A" w:rsidRDefault="00CC3E1A" w:rsidP="00CC3E1A">
      <w:pPr>
        <w:pStyle w:val="TM4"/>
        <w:tabs>
          <w:tab w:val="right" w:leader="dot" w:pos="9062"/>
        </w:tabs>
        <w:rPr>
          <w:noProof/>
          <w:sz w:val="8"/>
          <w:szCs w:val="8"/>
        </w:rPr>
      </w:pPr>
    </w:p>
    <w:p w14:paraId="189693C1"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5" w:history="1">
        <w:r w:rsidRPr="00CC3E1A">
          <w:rPr>
            <w:rStyle w:val="Lienhypertexte"/>
            <w:rFonts w:ascii="Times New Roman" w:hAnsi="Times New Roman" w:cs="Times New Roman"/>
            <w:noProof/>
            <w:color w:val="auto"/>
            <w:sz w:val="24"/>
            <w:szCs w:val="24"/>
            <w:u w:val="none"/>
          </w:rPr>
          <w:t>Section 3 : Les personnes et les dettes concernées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3AF1160" w14:textId="77777777" w:rsidR="00CC3E1A" w:rsidRPr="00CC3E1A" w:rsidRDefault="00CC3E1A" w:rsidP="00CC3E1A">
      <w:pPr>
        <w:pStyle w:val="TM3"/>
        <w:rPr>
          <w:sz w:val="10"/>
          <w:szCs w:val="10"/>
        </w:rPr>
      </w:pPr>
    </w:p>
    <w:p w14:paraId="4E3A8DE7"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76" w:history="1">
        <w:r w:rsidRPr="00CC3E1A">
          <w:rPr>
            <w:rStyle w:val="Lienhypertexte"/>
            <w:rFonts w:cs="Times New Roman"/>
            <w:color w:val="auto"/>
            <w:szCs w:val="24"/>
            <w:u w:val="none"/>
          </w:rPr>
          <w:t xml:space="preserve">Chapitre 2 : Le </w:t>
        </w:r>
        <w:r w:rsidRPr="00CC3E1A">
          <w:rPr>
            <w:rStyle w:val="Lienhypertexte"/>
            <w:rFonts w:cs="Times New Roman"/>
            <w:i/>
            <w:color w:val="auto"/>
            <w:szCs w:val="24"/>
            <w:u w:val="none"/>
          </w:rPr>
          <w:t>Debt Relief (Developing Countries) Act</w:t>
        </w:r>
        <w:r w:rsidRPr="00CC3E1A">
          <w:rPr>
            <w:rStyle w:val="Lienhypertexte"/>
            <w:rFonts w:cs="Times New Roman"/>
            <w:color w:val="auto"/>
            <w:szCs w:val="24"/>
            <w:u w:val="none"/>
          </w:rPr>
          <w:t xml:space="preserve"> britannique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_Toc84540976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762C4B0" w14:textId="77777777" w:rsidR="00CC3E1A" w:rsidRPr="00CC3E1A" w:rsidRDefault="00CC3E1A" w:rsidP="00CC3E1A">
      <w:pPr>
        <w:pStyle w:val="TM4"/>
        <w:tabs>
          <w:tab w:val="right" w:leader="dot" w:pos="9062"/>
        </w:tabs>
        <w:rPr>
          <w:noProof/>
          <w:sz w:val="8"/>
          <w:szCs w:val="8"/>
        </w:rPr>
      </w:pPr>
    </w:p>
    <w:p w14:paraId="632071BF"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7" w:history="1">
        <w:r w:rsidRPr="00CC3E1A">
          <w:rPr>
            <w:rStyle w:val="Lienhypertexte"/>
            <w:rFonts w:ascii="Times New Roman" w:hAnsi="Times New Roman" w:cs="Times New Roman"/>
            <w:noProof/>
            <w:color w:val="auto"/>
            <w:sz w:val="24"/>
            <w:szCs w:val="24"/>
            <w:u w:val="none"/>
          </w:rPr>
          <w:t>Section 1 : Le contexte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EB8961C" w14:textId="77777777" w:rsidR="00CC3E1A" w:rsidRPr="00CC3E1A" w:rsidRDefault="00CC3E1A" w:rsidP="00CC3E1A">
      <w:pPr>
        <w:pStyle w:val="TM4"/>
        <w:tabs>
          <w:tab w:val="right" w:leader="dot" w:pos="9062"/>
        </w:tabs>
        <w:rPr>
          <w:noProof/>
          <w:sz w:val="8"/>
          <w:szCs w:val="8"/>
        </w:rPr>
      </w:pPr>
    </w:p>
    <w:p w14:paraId="3A639553"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8" w:history="1">
        <w:r w:rsidRPr="00CC3E1A">
          <w:rPr>
            <w:rStyle w:val="Lienhypertexte"/>
            <w:rFonts w:ascii="Times New Roman" w:hAnsi="Times New Roman" w:cs="Times New Roman"/>
            <w:noProof/>
            <w:color w:val="auto"/>
            <w:sz w:val="24"/>
            <w:szCs w:val="24"/>
            <w:u w:val="none"/>
          </w:rPr>
          <w:t>Section 2 : Le texte retenu</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9647363" w14:textId="77777777" w:rsidR="00CC3E1A" w:rsidRPr="00CC3E1A" w:rsidRDefault="00CC3E1A" w:rsidP="00CC3E1A">
      <w:pPr>
        <w:pStyle w:val="TM4"/>
        <w:tabs>
          <w:tab w:val="right" w:leader="dot" w:pos="9062"/>
        </w:tabs>
        <w:rPr>
          <w:noProof/>
          <w:sz w:val="8"/>
          <w:szCs w:val="8"/>
        </w:rPr>
      </w:pPr>
    </w:p>
    <w:p w14:paraId="3DAB5576"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79" w:history="1">
        <w:r w:rsidRPr="00CC3E1A">
          <w:rPr>
            <w:rStyle w:val="Lienhypertexte"/>
            <w:rFonts w:ascii="Times New Roman" w:hAnsi="Times New Roman" w:cs="Times New Roman"/>
            <w:noProof/>
            <w:color w:val="auto"/>
            <w:sz w:val="24"/>
            <w:szCs w:val="24"/>
            <w:u w:val="none"/>
          </w:rPr>
          <w:t>Section 3 : Le mécanisme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_Toc84540979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0FA680E" w14:textId="77777777" w:rsidR="00CC3E1A" w:rsidRPr="00CC3E1A" w:rsidRDefault="00CC3E1A" w:rsidP="00CC3E1A">
      <w:pPr>
        <w:pStyle w:val="TM4"/>
        <w:tabs>
          <w:tab w:val="right" w:leader="dot" w:pos="9062"/>
        </w:tabs>
        <w:rPr>
          <w:noProof/>
          <w:sz w:val="8"/>
          <w:szCs w:val="8"/>
        </w:rPr>
      </w:pPr>
    </w:p>
    <w:p w14:paraId="5176D945"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0" w:history="1">
        <w:r w:rsidRPr="00CC3E1A">
          <w:rPr>
            <w:rStyle w:val="Lienhypertexte"/>
            <w:rFonts w:ascii="Times New Roman" w:hAnsi="Times New Roman" w:cs="Times New Roman"/>
            <w:noProof/>
            <w:color w:val="auto"/>
            <w:sz w:val="24"/>
            <w:szCs w:val="24"/>
            <w:u w:val="none"/>
          </w:rPr>
          <w:t>Section 4 : Les personnes et les dettes concernées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77A1364" w14:textId="77777777" w:rsidR="00CC3E1A" w:rsidRPr="00CC3E1A" w:rsidRDefault="00CC3E1A" w:rsidP="00CC3E1A">
      <w:pPr>
        <w:pStyle w:val="TM4"/>
        <w:tabs>
          <w:tab w:val="right" w:leader="dot" w:pos="9062"/>
        </w:tabs>
        <w:rPr>
          <w:noProof/>
          <w:sz w:val="8"/>
          <w:szCs w:val="8"/>
        </w:rPr>
      </w:pPr>
    </w:p>
    <w:p w14:paraId="0146CFAE"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1" w:history="1">
        <w:r w:rsidRPr="00CC3E1A">
          <w:rPr>
            <w:rStyle w:val="Lienhypertexte"/>
            <w:rFonts w:ascii="Times New Roman" w:hAnsi="Times New Roman" w:cs="Times New Roman"/>
            <w:noProof/>
            <w:color w:val="auto"/>
            <w:sz w:val="24"/>
            <w:szCs w:val="24"/>
            <w:u w:val="none"/>
          </w:rPr>
          <w:t>Section 5 : La place de la loi</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499EC5A" w14:textId="77777777" w:rsidR="00CC3E1A" w:rsidRPr="00CC3E1A" w:rsidRDefault="00CC3E1A" w:rsidP="00CC3E1A">
      <w:pPr>
        <w:pStyle w:val="TM3"/>
        <w:rPr>
          <w:sz w:val="10"/>
          <w:szCs w:val="10"/>
        </w:rPr>
      </w:pPr>
    </w:p>
    <w:p w14:paraId="700CFDA1" w14:textId="77777777" w:rsidR="00CC3E1A" w:rsidRPr="00CC3E1A" w:rsidRDefault="00CC3E1A" w:rsidP="00CC3E1A">
      <w:pPr>
        <w:pStyle w:val="TM3"/>
        <w:rPr>
          <w:rFonts w:eastAsiaTheme="minorEastAsia" w:cs="Times New Roman"/>
          <w:szCs w:val="24"/>
          <w:lang w:val="fr-BE" w:eastAsia="fr-BE"/>
        </w:rPr>
      </w:pPr>
      <w:r w:rsidRPr="00CC3E1A">
        <w:lastRenderedPageBreak/>
        <w:t xml:space="preserve">  </w:t>
      </w:r>
      <w:hyperlink w:anchor="_Toc84540982" w:history="1">
        <w:r w:rsidRPr="00CC3E1A">
          <w:rPr>
            <w:rStyle w:val="Lienhypertexte"/>
            <w:rFonts w:cs="Times New Roman"/>
            <w:color w:val="auto"/>
            <w:szCs w:val="24"/>
            <w:u w:val="none"/>
          </w:rPr>
          <w:t xml:space="preserve">Chapitre 3 : La loi belge </w:t>
        </w:r>
        <w:r w:rsidRPr="00CC3E1A">
          <w:rPr>
            <w:rStyle w:val="Lienhypertexte"/>
            <w:rFonts w:cs="Times New Roman"/>
            <w:bCs/>
            <w:color w:val="auto"/>
            <w:szCs w:val="24"/>
            <w:u w:val="none"/>
          </w:rPr>
          <w:t>relative à la lutte contre les activités des fonds vautours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_Toc84540982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D6AF306" w14:textId="77777777" w:rsidR="00CC3E1A" w:rsidRPr="00CC3E1A" w:rsidRDefault="00CC3E1A" w:rsidP="00CC3E1A">
      <w:pPr>
        <w:pStyle w:val="TM4"/>
        <w:tabs>
          <w:tab w:val="right" w:leader="dot" w:pos="9062"/>
        </w:tabs>
        <w:rPr>
          <w:noProof/>
          <w:sz w:val="8"/>
          <w:szCs w:val="8"/>
        </w:rPr>
      </w:pPr>
    </w:p>
    <w:p w14:paraId="4AFA1435"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3" w:history="1">
        <w:r w:rsidRPr="00CC3E1A">
          <w:rPr>
            <w:rStyle w:val="Lienhypertexte"/>
            <w:rFonts w:ascii="Times New Roman" w:hAnsi="Times New Roman" w:cs="Times New Roman"/>
            <w:noProof/>
            <w:color w:val="auto"/>
            <w:sz w:val="24"/>
            <w:szCs w:val="24"/>
            <w:u w:val="none"/>
          </w:rPr>
          <w:t>Section 1 : La réglementation de certaines saisies et voies d’exécution</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6E605B9" w14:textId="77777777" w:rsidR="00CC3E1A" w:rsidRPr="00CC3E1A" w:rsidRDefault="00CC3E1A" w:rsidP="00CC3E1A">
      <w:pPr>
        <w:pStyle w:val="TM5"/>
        <w:tabs>
          <w:tab w:val="right" w:leader="dot" w:pos="9062"/>
        </w:tabs>
        <w:rPr>
          <w:noProof/>
          <w:sz w:val="6"/>
          <w:szCs w:val="6"/>
        </w:rPr>
      </w:pPr>
    </w:p>
    <w:p w14:paraId="71768D8E"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4" w:history="1">
        <w:r w:rsidRPr="00CC3E1A">
          <w:rPr>
            <w:rStyle w:val="Lienhypertexte"/>
            <w:rFonts w:ascii="Times New Roman" w:hAnsi="Times New Roman" w:cs="Times New Roman"/>
            <w:noProof/>
            <w:color w:val="auto"/>
            <w:sz w:val="24"/>
            <w:szCs w:val="24"/>
            <w:u w:val="none"/>
          </w:rPr>
          <w:t>Sous-section 1 : La loi du 19 novembre 2004</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C216A75" w14:textId="77777777" w:rsidR="00CC3E1A" w:rsidRPr="00CC3E1A" w:rsidRDefault="00CC3E1A" w:rsidP="00CC3E1A">
      <w:pPr>
        <w:pStyle w:val="TM5"/>
        <w:tabs>
          <w:tab w:val="right" w:leader="dot" w:pos="9062"/>
        </w:tabs>
        <w:rPr>
          <w:noProof/>
          <w:sz w:val="6"/>
          <w:szCs w:val="6"/>
        </w:rPr>
      </w:pPr>
    </w:p>
    <w:p w14:paraId="58FDFDAB"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5" w:history="1">
        <w:r w:rsidRPr="00CC3E1A">
          <w:rPr>
            <w:rStyle w:val="Lienhypertexte"/>
            <w:rFonts w:ascii="Times New Roman" w:hAnsi="Times New Roman" w:cs="Times New Roman"/>
            <w:noProof/>
            <w:color w:val="auto"/>
            <w:sz w:val="24"/>
            <w:szCs w:val="24"/>
            <w:u w:val="none"/>
          </w:rPr>
          <w:t>Sous-section 2 : La loi du 6 avril 2008</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2F96A01" w14:textId="77777777" w:rsidR="00CC3E1A" w:rsidRPr="00CC3E1A" w:rsidRDefault="00CC3E1A" w:rsidP="00CC3E1A">
      <w:pPr>
        <w:pStyle w:val="TM4"/>
        <w:tabs>
          <w:tab w:val="right" w:leader="dot" w:pos="9062"/>
        </w:tabs>
        <w:rPr>
          <w:noProof/>
          <w:sz w:val="8"/>
          <w:szCs w:val="8"/>
        </w:rPr>
      </w:pPr>
    </w:p>
    <w:p w14:paraId="55647CE2"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6" w:history="1">
        <w:r w:rsidRPr="00CC3E1A">
          <w:rPr>
            <w:rStyle w:val="Lienhypertexte"/>
            <w:rFonts w:ascii="Times New Roman" w:hAnsi="Times New Roman" w:cs="Times New Roman"/>
            <w:noProof/>
            <w:color w:val="auto"/>
            <w:sz w:val="24"/>
            <w:szCs w:val="24"/>
            <w:u w:val="none"/>
          </w:rPr>
          <w:t>Section 2 : Le contexte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B17BFC0" w14:textId="77777777" w:rsidR="00CC3E1A" w:rsidRPr="00CC3E1A" w:rsidRDefault="00CC3E1A" w:rsidP="00CC3E1A">
      <w:pPr>
        <w:pStyle w:val="TM4"/>
        <w:tabs>
          <w:tab w:val="right" w:leader="dot" w:pos="9062"/>
        </w:tabs>
        <w:rPr>
          <w:noProof/>
          <w:sz w:val="8"/>
          <w:szCs w:val="8"/>
        </w:rPr>
      </w:pPr>
    </w:p>
    <w:p w14:paraId="2923CD77"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7" w:history="1">
        <w:r w:rsidRPr="00CC3E1A">
          <w:rPr>
            <w:rStyle w:val="Lienhypertexte"/>
            <w:rFonts w:ascii="Times New Roman" w:hAnsi="Times New Roman" w:cs="Times New Roman"/>
            <w:noProof/>
            <w:color w:val="auto"/>
            <w:sz w:val="24"/>
            <w:szCs w:val="24"/>
            <w:u w:val="none"/>
          </w:rPr>
          <w:t>Section 3 : Le mécanisme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D8E2838" w14:textId="77777777" w:rsidR="00CC3E1A" w:rsidRPr="00CC3E1A" w:rsidRDefault="00CC3E1A" w:rsidP="00CC3E1A">
      <w:pPr>
        <w:pStyle w:val="TM4"/>
        <w:tabs>
          <w:tab w:val="right" w:leader="dot" w:pos="9062"/>
        </w:tabs>
        <w:rPr>
          <w:noProof/>
          <w:sz w:val="8"/>
          <w:szCs w:val="8"/>
        </w:rPr>
      </w:pPr>
    </w:p>
    <w:p w14:paraId="31A9CBF4"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8" w:history="1">
        <w:r w:rsidRPr="00CC3E1A">
          <w:rPr>
            <w:rStyle w:val="Lienhypertexte"/>
            <w:rFonts w:ascii="Times New Roman" w:hAnsi="Times New Roman" w:cs="Times New Roman"/>
            <w:noProof/>
            <w:color w:val="auto"/>
            <w:sz w:val="24"/>
            <w:szCs w:val="24"/>
            <w:u w:val="none"/>
          </w:rPr>
          <w:t>Section 4 : Les critères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5A0220C9" w14:textId="77777777" w:rsidR="00CC3E1A" w:rsidRPr="00CC3E1A" w:rsidRDefault="00CC3E1A" w:rsidP="00CC3E1A">
      <w:pPr>
        <w:pStyle w:val="TM5"/>
        <w:tabs>
          <w:tab w:val="right" w:leader="dot" w:pos="9062"/>
        </w:tabs>
        <w:rPr>
          <w:noProof/>
          <w:sz w:val="6"/>
          <w:szCs w:val="6"/>
        </w:rPr>
      </w:pPr>
    </w:p>
    <w:p w14:paraId="1EB0B45C"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89" w:history="1">
        <w:r w:rsidRPr="00CC3E1A">
          <w:rPr>
            <w:rStyle w:val="Lienhypertexte"/>
            <w:rFonts w:ascii="Times New Roman" w:hAnsi="Times New Roman" w:cs="Times New Roman"/>
            <w:noProof/>
            <w:color w:val="auto"/>
            <w:sz w:val="24"/>
            <w:szCs w:val="24"/>
            <w:u w:val="none"/>
          </w:rPr>
          <w:t>Sous-section 1 : La disproportion manifeste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_Toc84540989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C03F221" w14:textId="77777777" w:rsidR="00CC3E1A" w:rsidRPr="00CC3E1A" w:rsidRDefault="00CC3E1A" w:rsidP="00CC3E1A">
      <w:pPr>
        <w:pStyle w:val="TM5"/>
        <w:tabs>
          <w:tab w:val="right" w:leader="dot" w:pos="9062"/>
        </w:tabs>
        <w:rPr>
          <w:noProof/>
          <w:sz w:val="6"/>
          <w:szCs w:val="6"/>
        </w:rPr>
      </w:pPr>
    </w:p>
    <w:p w14:paraId="3E6CCB7B"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0" w:history="1">
        <w:r w:rsidRPr="00CC3E1A">
          <w:rPr>
            <w:rStyle w:val="Lienhypertexte"/>
            <w:rFonts w:ascii="Times New Roman" w:hAnsi="Times New Roman" w:cs="Times New Roman"/>
            <w:noProof/>
            <w:color w:val="auto"/>
            <w:sz w:val="24"/>
            <w:szCs w:val="24"/>
            <w:u w:val="none"/>
          </w:rPr>
          <w:t>Sous-section 2 : Les critères complétifs et alternatifs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_Toc84540990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EC7124F" w14:textId="77777777" w:rsidR="00CC3E1A" w:rsidRPr="00CC3E1A" w:rsidRDefault="00CC3E1A" w:rsidP="00CC3E1A">
      <w:pPr>
        <w:pStyle w:val="TM5"/>
        <w:tabs>
          <w:tab w:val="right" w:leader="dot" w:pos="9062"/>
        </w:tabs>
        <w:rPr>
          <w:noProof/>
          <w:sz w:val="6"/>
          <w:szCs w:val="6"/>
        </w:rPr>
      </w:pPr>
    </w:p>
    <w:p w14:paraId="66165EBA"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1" w:history="1">
        <w:r w:rsidRPr="00CC3E1A">
          <w:rPr>
            <w:rStyle w:val="Lienhypertexte"/>
            <w:rFonts w:ascii="Times New Roman" w:hAnsi="Times New Roman" w:cs="Times New Roman"/>
            <w:noProof/>
            <w:color w:val="auto"/>
            <w:sz w:val="24"/>
            <w:szCs w:val="24"/>
            <w:u w:val="none"/>
          </w:rPr>
          <w:t>Sous-section 3 : L’appréciation des critères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33CF37F" w14:textId="77777777" w:rsidR="00CC3E1A" w:rsidRPr="00CC3E1A" w:rsidRDefault="00CC3E1A" w:rsidP="00CC3E1A">
      <w:pPr>
        <w:pStyle w:val="TM4"/>
        <w:tabs>
          <w:tab w:val="right" w:leader="dot" w:pos="9062"/>
        </w:tabs>
        <w:rPr>
          <w:noProof/>
          <w:sz w:val="8"/>
          <w:szCs w:val="8"/>
        </w:rPr>
      </w:pPr>
    </w:p>
    <w:p w14:paraId="5455EE2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2" w:history="1">
        <w:r w:rsidRPr="00CC3E1A">
          <w:rPr>
            <w:rStyle w:val="Lienhypertexte"/>
            <w:rFonts w:ascii="Times New Roman" w:hAnsi="Times New Roman" w:cs="Times New Roman"/>
            <w:noProof/>
            <w:color w:val="auto"/>
            <w:sz w:val="24"/>
            <w:szCs w:val="24"/>
            <w:u w:val="none"/>
          </w:rPr>
          <w:t>Section 5 : Les personnes et les dettes concernées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F9E5603" w14:textId="77777777" w:rsidR="00CC3E1A" w:rsidRPr="00CC3E1A" w:rsidRDefault="00CC3E1A" w:rsidP="00CC3E1A">
      <w:pPr>
        <w:pStyle w:val="TM4"/>
        <w:tabs>
          <w:tab w:val="right" w:leader="dot" w:pos="9062"/>
        </w:tabs>
        <w:rPr>
          <w:noProof/>
          <w:sz w:val="8"/>
          <w:szCs w:val="8"/>
        </w:rPr>
      </w:pPr>
    </w:p>
    <w:p w14:paraId="7856ADFE"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3" w:history="1">
        <w:r w:rsidRPr="00CC3E1A">
          <w:rPr>
            <w:rStyle w:val="Lienhypertexte"/>
            <w:rFonts w:ascii="Times New Roman" w:hAnsi="Times New Roman" w:cs="Times New Roman"/>
            <w:noProof/>
            <w:color w:val="auto"/>
            <w:sz w:val="24"/>
            <w:szCs w:val="24"/>
            <w:u w:val="none"/>
          </w:rPr>
          <w:t>Section 6 : La place de la loi</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05DE1AF" w14:textId="77777777" w:rsidR="00CC3E1A" w:rsidRPr="00CC3E1A" w:rsidRDefault="00CC3E1A" w:rsidP="00CC3E1A">
      <w:pPr>
        <w:pStyle w:val="TM3"/>
        <w:rPr>
          <w:sz w:val="10"/>
          <w:szCs w:val="10"/>
        </w:rPr>
      </w:pPr>
    </w:p>
    <w:p w14:paraId="1CA7CC85"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0994" w:history="1">
        <w:r w:rsidRPr="00CC3E1A">
          <w:rPr>
            <w:rStyle w:val="Lienhypertexte"/>
            <w:rFonts w:cs="Times New Roman"/>
            <w:color w:val="auto"/>
            <w:szCs w:val="24"/>
            <w:u w:val="none"/>
          </w:rPr>
          <w:t>Chapitre 4 : L’article 60 de la loi française n° 2016-1691 dite « loi Sapin II »</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_Toc84540994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C5DCAE7" w14:textId="77777777" w:rsidR="00CC3E1A" w:rsidRPr="00CC3E1A" w:rsidRDefault="00CC3E1A" w:rsidP="00CC3E1A">
      <w:pPr>
        <w:pStyle w:val="TM4"/>
        <w:tabs>
          <w:tab w:val="right" w:leader="dot" w:pos="9062"/>
        </w:tabs>
        <w:rPr>
          <w:noProof/>
          <w:sz w:val="8"/>
          <w:szCs w:val="8"/>
        </w:rPr>
      </w:pPr>
    </w:p>
    <w:p w14:paraId="653DEFC9"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5" w:history="1">
        <w:r w:rsidRPr="00CC3E1A">
          <w:rPr>
            <w:rStyle w:val="Lienhypertexte"/>
            <w:rFonts w:ascii="Times New Roman" w:hAnsi="Times New Roman" w:cs="Times New Roman"/>
            <w:noProof/>
            <w:color w:val="auto"/>
            <w:sz w:val="24"/>
            <w:szCs w:val="24"/>
            <w:u w:val="none"/>
          </w:rPr>
          <w:t>Section 1 : La proposition de loi visant à lutter contre l’action des fonds financiers dits « fonds vautours »</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424D334" w14:textId="77777777" w:rsidR="00CC3E1A" w:rsidRPr="00CC3E1A" w:rsidRDefault="00CC3E1A" w:rsidP="00CC3E1A">
      <w:pPr>
        <w:pStyle w:val="TM4"/>
        <w:tabs>
          <w:tab w:val="right" w:leader="dot" w:pos="9062"/>
        </w:tabs>
        <w:rPr>
          <w:noProof/>
          <w:sz w:val="8"/>
          <w:szCs w:val="8"/>
        </w:rPr>
      </w:pPr>
    </w:p>
    <w:p w14:paraId="63C73BEB"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6" w:history="1">
        <w:r w:rsidRPr="00CC3E1A">
          <w:rPr>
            <w:rStyle w:val="Lienhypertexte"/>
            <w:rFonts w:ascii="Times New Roman" w:hAnsi="Times New Roman" w:cs="Times New Roman"/>
            <w:noProof/>
            <w:color w:val="auto"/>
            <w:sz w:val="24"/>
            <w:szCs w:val="24"/>
            <w:u w:val="none"/>
          </w:rPr>
          <w:t>Section 2 : Le contexte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D5291E4" w14:textId="77777777" w:rsidR="00CC3E1A" w:rsidRPr="00CC3E1A" w:rsidRDefault="00CC3E1A" w:rsidP="00CC3E1A">
      <w:pPr>
        <w:pStyle w:val="TM4"/>
        <w:tabs>
          <w:tab w:val="right" w:leader="dot" w:pos="9062"/>
        </w:tabs>
        <w:rPr>
          <w:noProof/>
          <w:sz w:val="8"/>
          <w:szCs w:val="8"/>
        </w:rPr>
      </w:pPr>
    </w:p>
    <w:p w14:paraId="13B3CAC5"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7" w:history="1">
        <w:r w:rsidRPr="00CC3E1A">
          <w:rPr>
            <w:rStyle w:val="Lienhypertexte"/>
            <w:rFonts w:ascii="Times New Roman" w:hAnsi="Times New Roman" w:cs="Times New Roman"/>
            <w:noProof/>
            <w:color w:val="auto"/>
            <w:sz w:val="24"/>
            <w:szCs w:val="24"/>
            <w:u w:val="none"/>
          </w:rPr>
          <w:t>Section 3 : Le mécanisme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7376B39E" w14:textId="77777777" w:rsidR="00CC3E1A" w:rsidRPr="00CC3E1A" w:rsidRDefault="00CC3E1A" w:rsidP="00CC3E1A">
      <w:pPr>
        <w:pStyle w:val="TM4"/>
        <w:tabs>
          <w:tab w:val="right" w:leader="dot" w:pos="9062"/>
        </w:tabs>
        <w:rPr>
          <w:noProof/>
          <w:sz w:val="8"/>
          <w:szCs w:val="8"/>
        </w:rPr>
      </w:pPr>
    </w:p>
    <w:p w14:paraId="2BD59C40"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8" w:history="1">
        <w:r w:rsidRPr="00CC3E1A">
          <w:rPr>
            <w:rStyle w:val="Lienhypertexte"/>
            <w:rFonts w:ascii="Times New Roman" w:hAnsi="Times New Roman" w:cs="Times New Roman"/>
            <w:noProof/>
            <w:color w:val="auto"/>
            <w:sz w:val="24"/>
            <w:szCs w:val="24"/>
            <w:u w:val="none"/>
            <w:shd w:val="clear" w:color="auto" w:fill="FFFFFF"/>
          </w:rPr>
          <w:t>Section 4 : Les personnes et les dettes concernées</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CD813CC" w14:textId="77777777" w:rsidR="00CC3E1A" w:rsidRPr="00CC3E1A" w:rsidRDefault="00CC3E1A" w:rsidP="00CC3E1A">
      <w:pPr>
        <w:pStyle w:val="TM4"/>
        <w:tabs>
          <w:tab w:val="right" w:leader="dot" w:pos="9062"/>
        </w:tabs>
        <w:rPr>
          <w:noProof/>
          <w:sz w:val="8"/>
          <w:szCs w:val="8"/>
        </w:rPr>
      </w:pPr>
    </w:p>
    <w:p w14:paraId="487C5D10"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0999" w:history="1">
        <w:r w:rsidRPr="00CC3E1A">
          <w:rPr>
            <w:rStyle w:val="Lienhypertexte"/>
            <w:rFonts w:ascii="Times New Roman" w:hAnsi="Times New Roman" w:cs="Times New Roman"/>
            <w:noProof/>
            <w:color w:val="auto"/>
            <w:sz w:val="24"/>
            <w:szCs w:val="24"/>
            <w:u w:val="none"/>
            <w:shd w:val="clear" w:color="auto" w:fill="FFFFFF"/>
          </w:rPr>
          <w:t>Section 5 : L’application temporelle et territoriale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_Toc84540999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60B147D" w14:textId="77777777" w:rsidR="00CC3E1A" w:rsidRPr="00CC3E1A" w:rsidRDefault="00CC3E1A" w:rsidP="00CC3E1A">
      <w:pPr>
        <w:pStyle w:val="TM3"/>
        <w:rPr>
          <w:sz w:val="10"/>
          <w:szCs w:val="10"/>
        </w:rPr>
      </w:pPr>
    </w:p>
    <w:p w14:paraId="521DEBE8"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00" w:history="1">
        <w:r w:rsidRPr="00CC3E1A">
          <w:rPr>
            <w:rStyle w:val="Lienhypertexte"/>
            <w:rFonts w:cs="Times New Roman"/>
            <w:color w:val="auto"/>
            <w:szCs w:val="24"/>
            <w:u w:val="none"/>
          </w:rPr>
          <w:t>Chapitre 5 : La conformité des lois nationales au droit supranational</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_Toc84541000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60EFFDB8" w14:textId="77777777" w:rsidR="00CC3E1A" w:rsidRPr="00CC3E1A" w:rsidRDefault="00CC3E1A" w:rsidP="00CC3E1A">
      <w:pPr>
        <w:pStyle w:val="TM4"/>
        <w:tabs>
          <w:tab w:val="right" w:leader="dot" w:pos="9062"/>
        </w:tabs>
        <w:rPr>
          <w:noProof/>
          <w:sz w:val="8"/>
          <w:szCs w:val="8"/>
        </w:rPr>
      </w:pPr>
    </w:p>
    <w:p w14:paraId="71E55EE5"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1" w:history="1">
        <w:r w:rsidRPr="00CC3E1A">
          <w:rPr>
            <w:rStyle w:val="Lienhypertexte"/>
            <w:rFonts w:ascii="Times New Roman" w:hAnsi="Times New Roman" w:cs="Times New Roman"/>
            <w:noProof/>
            <w:color w:val="auto"/>
            <w:sz w:val="24"/>
            <w:szCs w:val="24"/>
            <w:u w:val="none"/>
          </w:rPr>
          <w:t>Section 1 : L’article premier du Premier Protocole additionnel à la Convention européenne des droits de l’homme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7767C58" w14:textId="77777777" w:rsidR="00CC3E1A" w:rsidRPr="00CC3E1A" w:rsidRDefault="00CC3E1A" w:rsidP="00CC3E1A">
      <w:pPr>
        <w:pStyle w:val="TM5"/>
        <w:tabs>
          <w:tab w:val="right" w:leader="dot" w:pos="9062"/>
        </w:tabs>
        <w:rPr>
          <w:noProof/>
          <w:sz w:val="6"/>
          <w:szCs w:val="6"/>
        </w:rPr>
      </w:pPr>
    </w:p>
    <w:p w14:paraId="678CE6E7"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2" w:history="1">
        <w:r w:rsidRPr="00CC3E1A">
          <w:rPr>
            <w:rStyle w:val="Lienhypertexte"/>
            <w:rFonts w:ascii="Times New Roman" w:hAnsi="Times New Roman" w:cs="Times New Roman"/>
            <w:noProof/>
            <w:color w:val="auto"/>
            <w:sz w:val="24"/>
            <w:szCs w:val="24"/>
            <w:u w:val="none"/>
          </w:rPr>
          <w:t>Sous-section 1 : La notion de « biens »</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38308D5" w14:textId="77777777" w:rsidR="00CC3E1A" w:rsidRPr="00CC3E1A" w:rsidRDefault="00CC3E1A" w:rsidP="00CC3E1A">
      <w:pPr>
        <w:pStyle w:val="TM5"/>
        <w:tabs>
          <w:tab w:val="right" w:leader="dot" w:pos="9062"/>
        </w:tabs>
        <w:rPr>
          <w:noProof/>
          <w:sz w:val="6"/>
          <w:szCs w:val="6"/>
        </w:rPr>
      </w:pPr>
    </w:p>
    <w:p w14:paraId="74F68FD8"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3" w:history="1">
        <w:r w:rsidRPr="00CC3E1A">
          <w:rPr>
            <w:rStyle w:val="Lienhypertexte"/>
            <w:rFonts w:ascii="Times New Roman" w:hAnsi="Times New Roman" w:cs="Times New Roman"/>
            <w:noProof/>
            <w:color w:val="auto"/>
            <w:sz w:val="24"/>
            <w:szCs w:val="24"/>
            <w:u w:val="none"/>
          </w:rPr>
          <w:t>Sous-section 2 : La légalité de l’atteinte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_Toc84541003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1F941B6" w14:textId="77777777" w:rsidR="00CC3E1A" w:rsidRPr="00CC3E1A" w:rsidRDefault="00CC3E1A" w:rsidP="00CC3E1A">
      <w:pPr>
        <w:pStyle w:val="TM5"/>
        <w:tabs>
          <w:tab w:val="right" w:leader="dot" w:pos="9062"/>
        </w:tabs>
        <w:rPr>
          <w:noProof/>
          <w:sz w:val="6"/>
          <w:szCs w:val="6"/>
        </w:rPr>
      </w:pPr>
    </w:p>
    <w:p w14:paraId="425AC0DA"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4" w:history="1">
        <w:r w:rsidRPr="00CC3E1A">
          <w:rPr>
            <w:rStyle w:val="Lienhypertexte"/>
            <w:rFonts w:ascii="Times New Roman" w:hAnsi="Times New Roman" w:cs="Times New Roman"/>
            <w:noProof/>
            <w:color w:val="auto"/>
            <w:sz w:val="24"/>
            <w:szCs w:val="24"/>
            <w:u w:val="none"/>
          </w:rPr>
          <w:t>Sous-section 3 : L’utilité publique et l’intérêt général</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_Toc84541004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EA54DF4" w14:textId="77777777" w:rsidR="00CC3E1A" w:rsidRPr="00CC3E1A" w:rsidRDefault="00CC3E1A" w:rsidP="00CC3E1A">
      <w:pPr>
        <w:pStyle w:val="TM5"/>
        <w:tabs>
          <w:tab w:val="right" w:leader="dot" w:pos="9062"/>
        </w:tabs>
        <w:rPr>
          <w:noProof/>
          <w:sz w:val="6"/>
          <w:szCs w:val="6"/>
        </w:rPr>
      </w:pPr>
    </w:p>
    <w:p w14:paraId="16AC4C8E"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5" w:history="1">
        <w:r w:rsidRPr="00CC3E1A">
          <w:rPr>
            <w:rStyle w:val="Lienhypertexte"/>
            <w:rFonts w:ascii="Times New Roman" w:hAnsi="Times New Roman" w:cs="Times New Roman"/>
            <w:noProof/>
            <w:color w:val="auto"/>
            <w:sz w:val="24"/>
            <w:szCs w:val="24"/>
            <w:u w:val="none"/>
          </w:rPr>
          <w:t>Sous-section 4 : La proportionnalité</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_Toc84541005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6B019EED" w14:textId="77777777" w:rsidR="00CC3E1A" w:rsidRPr="00CC3E1A" w:rsidRDefault="00CC3E1A" w:rsidP="00CC3E1A">
      <w:pPr>
        <w:pStyle w:val="TM4"/>
        <w:tabs>
          <w:tab w:val="right" w:leader="dot" w:pos="9062"/>
        </w:tabs>
        <w:rPr>
          <w:noProof/>
          <w:sz w:val="8"/>
          <w:szCs w:val="8"/>
        </w:rPr>
      </w:pPr>
    </w:p>
    <w:p w14:paraId="383AE4E8" w14:textId="77777777" w:rsidR="00CC3E1A" w:rsidRPr="00CC3E1A" w:rsidRDefault="00CC3E1A" w:rsidP="00CC3E1A">
      <w:pPr>
        <w:pStyle w:val="TM4"/>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6" w:history="1">
        <w:r w:rsidRPr="00CC3E1A">
          <w:rPr>
            <w:rStyle w:val="Lienhypertexte"/>
            <w:rFonts w:ascii="Times New Roman" w:hAnsi="Times New Roman" w:cs="Times New Roman"/>
            <w:noProof/>
            <w:color w:val="auto"/>
            <w:sz w:val="24"/>
            <w:szCs w:val="24"/>
            <w:u w:val="none"/>
          </w:rPr>
          <w:t>Section 2 : L’article 6 de la Convention européenne des droits de l’homme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_Toc84541006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66C6708" w14:textId="77777777" w:rsidR="00CC3E1A" w:rsidRPr="00CC3E1A" w:rsidRDefault="00CC3E1A" w:rsidP="00CC3E1A">
      <w:pPr>
        <w:pStyle w:val="TM5"/>
        <w:tabs>
          <w:tab w:val="right" w:leader="dot" w:pos="9062"/>
        </w:tabs>
        <w:rPr>
          <w:noProof/>
          <w:sz w:val="6"/>
          <w:szCs w:val="6"/>
        </w:rPr>
      </w:pPr>
    </w:p>
    <w:p w14:paraId="47B97413"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7" w:history="1">
        <w:r w:rsidRPr="00CC3E1A">
          <w:rPr>
            <w:rStyle w:val="Lienhypertexte"/>
            <w:rFonts w:ascii="Times New Roman" w:hAnsi="Times New Roman" w:cs="Times New Roman"/>
            <w:noProof/>
            <w:color w:val="auto"/>
            <w:sz w:val="24"/>
            <w:szCs w:val="24"/>
            <w:u w:val="none"/>
          </w:rPr>
          <w:t>Sous-section 1 : L’acceptable atteinte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0A6D266" w14:textId="77777777" w:rsidR="00CC3E1A" w:rsidRPr="00CC3E1A" w:rsidRDefault="00CC3E1A" w:rsidP="00CC3E1A">
      <w:pPr>
        <w:pStyle w:val="TM5"/>
        <w:tabs>
          <w:tab w:val="right" w:leader="dot" w:pos="9062"/>
        </w:tabs>
        <w:rPr>
          <w:noProof/>
          <w:sz w:val="6"/>
          <w:szCs w:val="6"/>
        </w:rPr>
      </w:pPr>
    </w:p>
    <w:p w14:paraId="0AE25033" w14:textId="77777777" w:rsidR="00CC3E1A" w:rsidRPr="00CC3E1A" w:rsidRDefault="00CC3E1A" w:rsidP="00CC3E1A">
      <w:pPr>
        <w:pStyle w:val="TM5"/>
        <w:tabs>
          <w:tab w:val="right" w:leader="dot" w:pos="9062"/>
        </w:tabs>
        <w:rPr>
          <w:rFonts w:ascii="Times New Roman" w:eastAsiaTheme="minorEastAsia" w:hAnsi="Times New Roman" w:cs="Times New Roman"/>
          <w:noProof/>
          <w:sz w:val="24"/>
          <w:szCs w:val="24"/>
          <w:lang w:val="fr-BE" w:eastAsia="fr-BE"/>
        </w:rPr>
      </w:pPr>
      <w:r w:rsidRPr="00CC3E1A">
        <w:rPr>
          <w:noProof/>
        </w:rPr>
        <w:t xml:space="preserve">  </w:t>
      </w:r>
      <w:hyperlink w:anchor="_Toc84541008" w:history="1">
        <w:r w:rsidRPr="00CC3E1A">
          <w:rPr>
            <w:rStyle w:val="Lienhypertexte"/>
            <w:rFonts w:ascii="Times New Roman" w:hAnsi="Times New Roman" w:cs="Times New Roman"/>
            <w:noProof/>
            <w:color w:val="auto"/>
            <w:sz w:val="24"/>
            <w:szCs w:val="24"/>
            <w:u w:val="none"/>
          </w:rPr>
          <w:t>Sous-section 2 : Un triple satisfecit</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_Toc84541008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72B7066"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1009" w:history="1">
        <w:r w:rsidRPr="00CC3E1A">
          <w:rPr>
            <w:rStyle w:val="Lienhypertexte"/>
            <w:rFonts w:ascii="Times New Roman" w:hAnsi="Times New Roman" w:cs="Times New Roman"/>
            <w:noProof/>
            <w:color w:val="auto"/>
            <w:sz w:val="24"/>
            <w:szCs w:val="24"/>
            <w:u w:val="none"/>
          </w:rPr>
          <w:t>Conclusion de la partie II – sous-partie 1</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_Toc84541009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4883B18D" w14:textId="77777777" w:rsidR="00CC3E1A" w:rsidRPr="00CC3E1A" w:rsidRDefault="0030147D" w:rsidP="002A7B59">
      <w:pPr>
        <w:pStyle w:val="TM1"/>
        <w:rPr>
          <w:rFonts w:eastAsiaTheme="minorEastAsia"/>
          <w:caps/>
          <w:lang w:val="fr-BE" w:eastAsia="fr-BE"/>
        </w:rPr>
      </w:pPr>
      <w:hyperlink w:anchor="_Toc84541010" w:history="1">
        <w:r w:rsidR="00CC3E1A" w:rsidRPr="00CC3E1A">
          <w:rPr>
            <w:rStyle w:val="Lienhypertexte"/>
            <w:color w:val="auto"/>
            <w:u w:val="none"/>
          </w:rPr>
          <w:t>Partie II – Sous-partie 2 : Une proposition</w:t>
        </w:r>
      </w:hyperlink>
    </w:p>
    <w:p w14:paraId="7F3F4669"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1011" w:history="1">
        <w:r w:rsidRPr="00CC3E1A">
          <w:rPr>
            <w:rStyle w:val="Lienhypertexte"/>
            <w:rFonts w:ascii="Times New Roman" w:hAnsi="Times New Roman" w:cs="Times New Roman"/>
            <w:noProof/>
            <w:color w:val="auto"/>
            <w:sz w:val="24"/>
            <w:szCs w:val="24"/>
            <w:u w:val="none"/>
          </w:rPr>
          <w:t>Introduction de la partie II – sous-partie 2</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_Toc84541011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397D2255"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1012" w:history="1">
        <w:r w:rsidRPr="00CC3E1A">
          <w:rPr>
            <w:rStyle w:val="Lienhypertexte"/>
            <w:rFonts w:ascii="Times New Roman" w:hAnsi="Times New Roman" w:cs="Times New Roman"/>
            <w:noProof/>
            <w:color w:val="auto"/>
            <w:sz w:val="24"/>
            <w:szCs w:val="24"/>
            <w:u w:val="none"/>
          </w:rPr>
          <w:t>Titre 1 : La philosophie</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_Toc84541012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109AD7D8" w14:textId="77777777" w:rsidR="00CC3E1A" w:rsidRPr="00CC3E1A" w:rsidRDefault="00CC3E1A" w:rsidP="00CC3E1A">
      <w:pPr>
        <w:pStyle w:val="TM3"/>
        <w:rPr>
          <w:sz w:val="10"/>
          <w:szCs w:val="10"/>
        </w:rPr>
      </w:pPr>
    </w:p>
    <w:p w14:paraId="1F573F74"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13" w:history="1">
        <w:r w:rsidRPr="00CC3E1A">
          <w:rPr>
            <w:rStyle w:val="Lienhypertexte"/>
            <w:rFonts w:cs="Times New Roman"/>
            <w:color w:val="auto"/>
            <w:szCs w:val="24"/>
            <w:u w:val="none"/>
          </w:rPr>
          <w:t>Chapitre 1 : Une demande à entendre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_Toc84541013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12A11A4" w14:textId="77777777" w:rsidR="00CC3E1A" w:rsidRPr="00CC3E1A" w:rsidRDefault="00CC3E1A" w:rsidP="00CC3E1A">
      <w:pPr>
        <w:pStyle w:val="TM3"/>
        <w:rPr>
          <w:sz w:val="10"/>
          <w:szCs w:val="10"/>
        </w:rPr>
      </w:pPr>
    </w:p>
    <w:p w14:paraId="75F3ABDF"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14" w:history="1">
        <w:r w:rsidRPr="00CC3E1A">
          <w:rPr>
            <w:rStyle w:val="Lienhypertexte"/>
            <w:rFonts w:cs="Times New Roman"/>
            <w:color w:val="auto"/>
            <w:szCs w:val="24"/>
            <w:u w:val="none"/>
          </w:rPr>
          <w:t>Chapitre 2 : La pertinence d’une réglementation sur mesure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_Toc84541014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20158E6A" w14:textId="77777777" w:rsidR="00CC3E1A" w:rsidRPr="00CC3E1A" w:rsidRDefault="00CC3E1A" w:rsidP="00CC3E1A">
      <w:pPr>
        <w:pStyle w:val="TM3"/>
        <w:rPr>
          <w:sz w:val="10"/>
          <w:szCs w:val="10"/>
        </w:rPr>
      </w:pPr>
    </w:p>
    <w:p w14:paraId="76052A7B"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15" w:history="1">
        <w:r w:rsidRPr="00CC3E1A">
          <w:rPr>
            <w:rStyle w:val="Lienhypertexte"/>
            <w:rFonts w:cs="Times New Roman"/>
            <w:color w:val="auto"/>
            <w:szCs w:val="24"/>
            <w:u w:val="none"/>
          </w:rPr>
          <w:t>Chapitre 3 : L’argument cardinal de la soutenabilité des dettes souveraines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_Toc84541015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3F3BB6CE" w14:textId="77777777" w:rsidR="00CC3E1A" w:rsidRPr="00CC3E1A" w:rsidRDefault="00CC3E1A" w:rsidP="00CC3E1A">
      <w:pPr>
        <w:pStyle w:val="TM3"/>
        <w:rPr>
          <w:sz w:val="10"/>
          <w:szCs w:val="10"/>
        </w:rPr>
      </w:pPr>
      <w:r w:rsidRPr="00CC3E1A">
        <w:rPr>
          <w:sz w:val="10"/>
          <w:szCs w:val="10"/>
        </w:rPr>
        <w:t xml:space="preserve"> </w:t>
      </w:r>
    </w:p>
    <w:p w14:paraId="70E0DC11" w14:textId="77777777" w:rsidR="00CC3E1A" w:rsidRPr="00CC3E1A" w:rsidRDefault="00CC3E1A" w:rsidP="00CC3E1A">
      <w:pPr>
        <w:pStyle w:val="TM3"/>
        <w:rPr>
          <w:rFonts w:eastAsiaTheme="minorEastAsia" w:cs="Times New Roman"/>
          <w:szCs w:val="24"/>
          <w:lang w:val="fr-BE" w:eastAsia="fr-BE"/>
        </w:rPr>
      </w:pPr>
      <w:r w:rsidRPr="00CC3E1A">
        <w:lastRenderedPageBreak/>
        <w:t xml:space="preserve">  </w:t>
      </w:r>
      <w:hyperlink w:anchor="_Toc84541016" w:history="1">
        <w:r w:rsidRPr="00CC3E1A">
          <w:rPr>
            <w:rStyle w:val="Lienhypertexte"/>
            <w:rFonts w:cs="Times New Roman"/>
            <w:color w:val="auto"/>
            <w:szCs w:val="24"/>
            <w:u w:val="none"/>
          </w:rPr>
          <w:t>Chapitre 4 : L’engagement</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_Toc84541016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D677334"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1017" w:history="1">
        <w:r w:rsidRPr="00CC3E1A">
          <w:rPr>
            <w:rStyle w:val="Lienhypertexte"/>
            <w:rFonts w:ascii="Times New Roman" w:hAnsi="Times New Roman" w:cs="Times New Roman"/>
            <w:noProof/>
            <w:color w:val="auto"/>
            <w:sz w:val="24"/>
            <w:szCs w:val="24"/>
            <w:u w:val="none"/>
          </w:rPr>
          <w:t>Titre 2 : Les traits saillants à retenir et les écueils dont se garder</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_Toc84541017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04BB9BFD" w14:textId="77777777" w:rsidR="00CC3E1A" w:rsidRPr="00CC3E1A" w:rsidRDefault="00CC3E1A" w:rsidP="00CC3E1A">
      <w:pPr>
        <w:pStyle w:val="TM3"/>
        <w:rPr>
          <w:sz w:val="10"/>
          <w:szCs w:val="10"/>
        </w:rPr>
      </w:pPr>
    </w:p>
    <w:p w14:paraId="2C5BE365"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18" w:history="1">
        <w:r w:rsidRPr="00CC3E1A">
          <w:rPr>
            <w:rStyle w:val="Lienhypertexte"/>
            <w:rFonts w:cs="Times New Roman"/>
            <w:color w:val="auto"/>
            <w:szCs w:val="24"/>
            <w:u w:val="none"/>
          </w:rPr>
          <w:t>Chapitre 1 : Une appréhension de la nuance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_Toc84541018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5C2F7328" w14:textId="77777777" w:rsidR="00CC3E1A" w:rsidRPr="00CC3E1A" w:rsidRDefault="00CC3E1A" w:rsidP="00CC3E1A">
      <w:pPr>
        <w:pStyle w:val="TM3"/>
        <w:rPr>
          <w:sz w:val="10"/>
          <w:szCs w:val="10"/>
        </w:rPr>
      </w:pPr>
    </w:p>
    <w:p w14:paraId="23619ABA"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19" w:history="1">
        <w:r w:rsidRPr="00CC3E1A">
          <w:rPr>
            <w:rStyle w:val="Lienhypertexte"/>
            <w:rFonts w:cs="Times New Roman"/>
            <w:color w:val="auto"/>
            <w:szCs w:val="24"/>
            <w:u w:val="none"/>
          </w:rPr>
          <w:t>Chapitre 2 : La limitation des réclamations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_Toc84541019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72799933" w14:textId="77777777" w:rsidR="00CC3E1A" w:rsidRPr="00CC3E1A" w:rsidRDefault="00CC3E1A" w:rsidP="00CC3E1A">
      <w:pPr>
        <w:pStyle w:val="TM3"/>
        <w:rPr>
          <w:sz w:val="10"/>
          <w:szCs w:val="10"/>
        </w:rPr>
      </w:pPr>
    </w:p>
    <w:p w14:paraId="3DF72C3E"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20" w:history="1">
        <w:r w:rsidRPr="00CC3E1A">
          <w:rPr>
            <w:rStyle w:val="Lienhypertexte"/>
            <w:rFonts w:cs="Times New Roman"/>
            <w:color w:val="auto"/>
            <w:szCs w:val="24"/>
            <w:u w:val="none"/>
          </w:rPr>
          <w:t>Chapitre 3 : Les acteurs et les dettes concernés</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_Toc84541020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4E6923F5" w14:textId="77777777" w:rsidR="00CC3E1A" w:rsidRPr="00CC3E1A" w:rsidRDefault="00CC3E1A" w:rsidP="00CC3E1A">
      <w:pPr>
        <w:pStyle w:val="TM3"/>
        <w:rPr>
          <w:sz w:val="10"/>
          <w:szCs w:val="10"/>
        </w:rPr>
      </w:pPr>
    </w:p>
    <w:p w14:paraId="32955B40" w14:textId="77777777" w:rsidR="00CC3E1A" w:rsidRPr="00CC3E1A" w:rsidRDefault="00CC3E1A" w:rsidP="00CC3E1A">
      <w:pPr>
        <w:pStyle w:val="TM3"/>
        <w:rPr>
          <w:rFonts w:eastAsiaTheme="minorEastAsia" w:cs="Times New Roman"/>
          <w:szCs w:val="24"/>
          <w:lang w:val="fr-BE" w:eastAsia="fr-BE"/>
        </w:rPr>
      </w:pPr>
      <w:r w:rsidRPr="00CC3E1A">
        <w:t xml:space="preserve">  </w:t>
      </w:r>
      <w:hyperlink w:anchor="_Toc84541021" w:history="1">
        <w:r w:rsidRPr="00CC3E1A">
          <w:rPr>
            <w:rStyle w:val="Lienhypertexte"/>
            <w:rFonts w:cs="Times New Roman"/>
            <w:color w:val="auto"/>
            <w:szCs w:val="24"/>
            <w:u w:val="none"/>
          </w:rPr>
          <w:t>Chapitre 4 : L’amélioration du contexte</w:t>
        </w:r>
        <w:r w:rsidRPr="00CC3E1A">
          <w:rPr>
            <w:rFonts w:cs="Times New Roman"/>
            <w:webHidden/>
            <w:szCs w:val="24"/>
          </w:rPr>
          <w:tab/>
        </w:r>
        <w:r w:rsidRPr="00CC3E1A">
          <w:rPr>
            <w:rFonts w:cs="Times New Roman"/>
            <w:webHidden/>
            <w:szCs w:val="24"/>
          </w:rPr>
          <w:fldChar w:fldCharType="begin"/>
        </w:r>
        <w:r w:rsidRPr="00CC3E1A">
          <w:rPr>
            <w:rFonts w:cs="Times New Roman"/>
            <w:webHidden/>
            <w:szCs w:val="24"/>
          </w:rPr>
          <w:instrText xml:space="preserve"> PAGEREF _Toc84541021 \h </w:instrText>
        </w:r>
        <w:r w:rsidRPr="00CC3E1A">
          <w:rPr>
            <w:rFonts w:cs="Times New Roman"/>
            <w:webHidden/>
            <w:szCs w:val="24"/>
          </w:rPr>
        </w:r>
        <w:r w:rsidRPr="00CC3E1A">
          <w:rPr>
            <w:rFonts w:cs="Times New Roman"/>
            <w:webHidden/>
            <w:szCs w:val="24"/>
          </w:rPr>
          <w:fldChar w:fldCharType="separate"/>
        </w:r>
        <w:r w:rsidRPr="00CC3E1A">
          <w:rPr>
            <w:rFonts w:cs="Times New Roman"/>
            <w:webHidden/>
            <w:szCs w:val="24"/>
          </w:rPr>
          <w:t>1</w:t>
        </w:r>
        <w:r w:rsidRPr="00CC3E1A">
          <w:rPr>
            <w:rFonts w:cs="Times New Roman"/>
            <w:webHidden/>
            <w:szCs w:val="24"/>
          </w:rPr>
          <w:fldChar w:fldCharType="end"/>
        </w:r>
      </w:hyperlink>
    </w:p>
    <w:p w14:paraId="26DA79A6" w14:textId="77777777" w:rsidR="00CC3E1A" w:rsidRPr="00CC3E1A" w:rsidRDefault="00CC3E1A" w:rsidP="00CC3E1A">
      <w:pPr>
        <w:pStyle w:val="TM2"/>
        <w:tabs>
          <w:tab w:val="right" w:leader="dot" w:pos="9062"/>
        </w:tabs>
        <w:rPr>
          <w:rFonts w:ascii="Times New Roman" w:eastAsiaTheme="minorEastAsia" w:hAnsi="Times New Roman" w:cs="Times New Roman"/>
          <w:b w:val="0"/>
          <w:bCs w:val="0"/>
          <w:noProof/>
          <w:sz w:val="24"/>
          <w:szCs w:val="24"/>
          <w:lang w:val="fr-BE" w:eastAsia="fr-BE"/>
        </w:rPr>
      </w:pPr>
      <w:r w:rsidRPr="00CC3E1A">
        <w:rPr>
          <w:noProof/>
        </w:rPr>
        <w:t xml:space="preserve">   </w:t>
      </w:r>
      <w:hyperlink w:anchor="_Toc84541022" w:history="1">
        <w:r w:rsidRPr="00CC3E1A">
          <w:rPr>
            <w:rStyle w:val="Lienhypertexte"/>
            <w:rFonts w:ascii="Times New Roman" w:hAnsi="Times New Roman" w:cs="Times New Roman"/>
            <w:noProof/>
            <w:color w:val="auto"/>
            <w:sz w:val="24"/>
            <w:szCs w:val="24"/>
            <w:u w:val="none"/>
          </w:rPr>
          <w:t>Conclusion de la partie II – sous-partie 2</w:t>
        </w:r>
        <w:r w:rsidRPr="00CC3E1A">
          <w:rPr>
            <w:rFonts w:ascii="Times New Roman" w:hAnsi="Times New Roman" w:cs="Times New Roman"/>
            <w:noProof/>
            <w:webHidden/>
            <w:sz w:val="24"/>
            <w:szCs w:val="24"/>
          </w:rPr>
          <w:tab/>
        </w:r>
        <w:r w:rsidRPr="00CC3E1A">
          <w:rPr>
            <w:rFonts w:ascii="Times New Roman" w:hAnsi="Times New Roman" w:cs="Times New Roman"/>
            <w:noProof/>
            <w:webHidden/>
            <w:sz w:val="24"/>
            <w:szCs w:val="24"/>
          </w:rPr>
          <w:fldChar w:fldCharType="begin"/>
        </w:r>
        <w:r w:rsidRPr="00CC3E1A">
          <w:rPr>
            <w:rFonts w:ascii="Times New Roman" w:hAnsi="Times New Roman" w:cs="Times New Roman"/>
            <w:noProof/>
            <w:webHidden/>
            <w:sz w:val="24"/>
            <w:szCs w:val="24"/>
          </w:rPr>
          <w:instrText xml:space="preserve"> PAGEREF _Toc84541022 \h </w:instrText>
        </w:r>
        <w:r w:rsidRPr="00CC3E1A">
          <w:rPr>
            <w:rFonts w:ascii="Times New Roman" w:hAnsi="Times New Roman" w:cs="Times New Roman"/>
            <w:noProof/>
            <w:webHidden/>
            <w:sz w:val="24"/>
            <w:szCs w:val="24"/>
          </w:rPr>
        </w:r>
        <w:r w:rsidRPr="00CC3E1A">
          <w:rPr>
            <w:rFonts w:ascii="Times New Roman" w:hAnsi="Times New Roman" w:cs="Times New Roman"/>
            <w:noProof/>
            <w:webHidden/>
            <w:sz w:val="24"/>
            <w:szCs w:val="24"/>
          </w:rPr>
          <w:fldChar w:fldCharType="separate"/>
        </w:r>
        <w:r w:rsidRPr="00CC3E1A">
          <w:rPr>
            <w:rFonts w:ascii="Times New Roman" w:hAnsi="Times New Roman" w:cs="Times New Roman"/>
            <w:noProof/>
            <w:webHidden/>
            <w:sz w:val="24"/>
            <w:szCs w:val="24"/>
          </w:rPr>
          <w:t>1</w:t>
        </w:r>
        <w:r w:rsidRPr="00CC3E1A">
          <w:rPr>
            <w:rFonts w:ascii="Times New Roman" w:hAnsi="Times New Roman" w:cs="Times New Roman"/>
            <w:noProof/>
            <w:webHidden/>
            <w:sz w:val="24"/>
            <w:szCs w:val="24"/>
          </w:rPr>
          <w:fldChar w:fldCharType="end"/>
        </w:r>
      </w:hyperlink>
    </w:p>
    <w:p w14:paraId="26798F27" w14:textId="77777777" w:rsidR="00CC3E1A" w:rsidRPr="00CC3E1A" w:rsidRDefault="00CC3E1A" w:rsidP="002A7B59">
      <w:pPr>
        <w:pStyle w:val="TM1"/>
        <w:rPr>
          <w:rFonts w:eastAsiaTheme="minorEastAsia"/>
          <w:caps/>
          <w:lang w:val="fr-BE" w:eastAsia="fr-BE"/>
        </w:rPr>
      </w:pPr>
      <w:r w:rsidRPr="00CC3E1A">
        <w:t xml:space="preserve">  </w:t>
      </w:r>
      <w:hyperlink w:anchor="_Toc84541023" w:history="1">
        <w:r w:rsidRPr="00CC3E1A">
          <w:rPr>
            <w:rStyle w:val="Lienhypertexte"/>
            <w:color w:val="auto"/>
            <w:u w:val="none"/>
          </w:rPr>
          <w:t>Conclusion de la partie II</w:t>
        </w:r>
        <w:r w:rsidRPr="00CC3E1A">
          <w:rPr>
            <w:webHidden/>
          </w:rPr>
          <w:tab/>
        </w:r>
        <w:r w:rsidRPr="00CC3E1A">
          <w:rPr>
            <w:webHidden/>
          </w:rPr>
          <w:fldChar w:fldCharType="begin"/>
        </w:r>
        <w:r w:rsidRPr="00CC3E1A">
          <w:rPr>
            <w:webHidden/>
          </w:rPr>
          <w:instrText xml:space="preserve"> PAGEREF _Toc84541023 \h </w:instrText>
        </w:r>
        <w:r w:rsidRPr="00CC3E1A">
          <w:rPr>
            <w:webHidden/>
          </w:rPr>
        </w:r>
        <w:r w:rsidRPr="00CC3E1A">
          <w:rPr>
            <w:webHidden/>
          </w:rPr>
          <w:fldChar w:fldCharType="separate"/>
        </w:r>
        <w:r w:rsidRPr="00CC3E1A">
          <w:rPr>
            <w:webHidden/>
          </w:rPr>
          <w:t>1</w:t>
        </w:r>
        <w:r w:rsidRPr="00CC3E1A">
          <w:rPr>
            <w:webHidden/>
          </w:rPr>
          <w:fldChar w:fldCharType="end"/>
        </w:r>
      </w:hyperlink>
    </w:p>
    <w:p w14:paraId="20758756" w14:textId="77777777" w:rsidR="00CC3E1A" w:rsidRPr="00CC3E1A" w:rsidRDefault="00CC3E1A" w:rsidP="002A7B59">
      <w:pPr>
        <w:pStyle w:val="TM1"/>
      </w:pPr>
    </w:p>
    <w:p w14:paraId="3E97C8BE" w14:textId="4342B270" w:rsidR="00CC3E1A" w:rsidRDefault="0030147D" w:rsidP="002A7B59">
      <w:pPr>
        <w:pStyle w:val="TM1"/>
      </w:pPr>
      <w:hyperlink w:anchor="_Toc84541024" w:history="1">
        <w:r w:rsidR="00CC3E1A" w:rsidRPr="00CC3E1A">
          <w:rPr>
            <w:rStyle w:val="Lienhypertexte"/>
            <w:color w:val="auto"/>
            <w:u w:val="none"/>
          </w:rPr>
          <w:t>Conclusions générales</w:t>
        </w:r>
        <w:r w:rsidR="00CC3E1A" w:rsidRPr="00CC3E1A">
          <w:rPr>
            <w:webHidden/>
          </w:rPr>
          <w:tab/>
        </w:r>
        <w:r w:rsidR="00CC3E1A" w:rsidRPr="00CC3E1A">
          <w:rPr>
            <w:webHidden/>
          </w:rPr>
          <w:fldChar w:fldCharType="begin"/>
        </w:r>
        <w:r w:rsidR="00CC3E1A" w:rsidRPr="00CC3E1A">
          <w:rPr>
            <w:webHidden/>
          </w:rPr>
          <w:instrText xml:space="preserve"> PAGEREF _Toc84541024 \h </w:instrText>
        </w:r>
        <w:r w:rsidR="00CC3E1A" w:rsidRPr="00CC3E1A">
          <w:rPr>
            <w:webHidden/>
          </w:rPr>
        </w:r>
        <w:r w:rsidR="00CC3E1A" w:rsidRPr="00CC3E1A">
          <w:rPr>
            <w:webHidden/>
          </w:rPr>
          <w:fldChar w:fldCharType="separate"/>
        </w:r>
        <w:r w:rsidR="00CC3E1A" w:rsidRPr="00CC3E1A">
          <w:rPr>
            <w:webHidden/>
          </w:rPr>
          <w:t>1</w:t>
        </w:r>
        <w:r w:rsidR="00CC3E1A" w:rsidRPr="00CC3E1A">
          <w:rPr>
            <w:webHidden/>
          </w:rPr>
          <w:fldChar w:fldCharType="end"/>
        </w:r>
      </w:hyperlink>
    </w:p>
    <w:p w14:paraId="70C4391E" w14:textId="77777777" w:rsidR="002A7B59" w:rsidRPr="002A7B59" w:rsidRDefault="002A7B59" w:rsidP="002A7B59">
      <w:pPr>
        <w:rPr>
          <w:lang w:val="fr-BE" w:eastAsia="fr-BE"/>
        </w:rPr>
      </w:pPr>
    </w:p>
    <w:p w14:paraId="289A8A6F" w14:textId="541D2DB1" w:rsidR="002A7B59" w:rsidRPr="00CC3E1A" w:rsidRDefault="0030147D" w:rsidP="002A7B59">
      <w:pPr>
        <w:pStyle w:val="TM1"/>
        <w:rPr>
          <w:rFonts w:eastAsiaTheme="minorEastAsia"/>
          <w:caps/>
          <w:lang w:val="fr-BE" w:eastAsia="fr-BE"/>
        </w:rPr>
      </w:pPr>
      <w:hyperlink w:anchor="_Toc84541024" w:history="1">
        <w:r w:rsidR="002A7B59">
          <w:t>Bibliographie</w:t>
        </w:r>
        <w:r w:rsidR="002A7B59" w:rsidRPr="00CC3E1A">
          <w:rPr>
            <w:webHidden/>
          </w:rPr>
          <w:tab/>
        </w:r>
        <w:r w:rsidR="002A7B59" w:rsidRPr="00CC3E1A">
          <w:rPr>
            <w:webHidden/>
          </w:rPr>
          <w:fldChar w:fldCharType="begin"/>
        </w:r>
        <w:r w:rsidR="002A7B59" w:rsidRPr="00CC3E1A">
          <w:rPr>
            <w:webHidden/>
          </w:rPr>
          <w:instrText xml:space="preserve"> PAGEREF _Toc84541024 \h </w:instrText>
        </w:r>
        <w:r w:rsidR="002A7B59" w:rsidRPr="00CC3E1A">
          <w:rPr>
            <w:webHidden/>
          </w:rPr>
        </w:r>
        <w:r w:rsidR="002A7B59" w:rsidRPr="00CC3E1A">
          <w:rPr>
            <w:webHidden/>
          </w:rPr>
          <w:fldChar w:fldCharType="separate"/>
        </w:r>
        <w:r w:rsidR="002A7B59" w:rsidRPr="00CC3E1A">
          <w:rPr>
            <w:webHidden/>
          </w:rPr>
          <w:t>1</w:t>
        </w:r>
        <w:r w:rsidR="002A7B59" w:rsidRPr="00CC3E1A">
          <w:rPr>
            <w:webHidden/>
          </w:rPr>
          <w:fldChar w:fldCharType="end"/>
        </w:r>
      </w:hyperlink>
    </w:p>
    <w:p w14:paraId="5657DC4E" w14:textId="7E6ECBDE" w:rsidR="00A91208" w:rsidRPr="002A7B59" w:rsidRDefault="00A91208" w:rsidP="00CC3E1A">
      <w:pPr>
        <w:spacing w:after="0"/>
        <w:rPr>
          <w:b/>
        </w:rPr>
      </w:pPr>
    </w:p>
    <w:sectPr w:rsidR="00A91208" w:rsidRPr="002A7B59" w:rsidSect="005D5895">
      <w:footerReference w:type="even" r:id="rId96"/>
      <w:footerReference w:type="default" r:id="rId97"/>
      <w:pgSz w:w="11906" w:h="16838"/>
      <w:pgMar w:top="1417" w:right="1417" w:bottom="1417" w:left="1417" w:header="680"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17196A" w14:textId="77777777" w:rsidR="009A3143" w:rsidRDefault="009A3143" w:rsidP="005E2035">
      <w:r>
        <w:separator/>
      </w:r>
    </w:p>
  </w:endnote>
  <w:endnote w:type="continuationSeparator" w:id="0">
    <w:p w14:paraId="1BAE1925" w14:textId="77777777" w:rsidR="009A3143" w:rsidRDefault="009A3143" w:rsidP="005E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Narrow">
    <w:altName w:val="Gotham Narrow"/>
    <w:panose1 w:val="00000000000000000000"/>
    <w:charset w:val="00"/>
    <w:family w:val="swiss"/>
    <w:notTrueType/>
    <w:pitch w:val="default"/>
    <w:sig w:usb0="00000003" w:usb1="00000000" w:usb2="00000000" w:usb3="00000000" w:csb0="00000001" w:csb1="00000000"/>
  </w:font>
  <w:font w:name="EUAlbertina">
    <w:altName w:val="EUAlbertina"/>
    <w:panose1 w:val="00000000000000000000"/>
    <w:charset w:val="00"/>
    <w:family w:val="roman"/>
    <w:notTrueType/>
    <w:pitch w:val="default"/>
    <w:sig w:usb0="00000003" w:usb1="00000000" w:usb2="00000000" w:usb3="00000000" w:csb0="00000001" w:csb1="00000000"/>
  </w:font>
  <w:font w:name="robotocondensed-regular-webfont">
    <w:altName w:val="Times New Roman"/>
    <w:panose1 w:val="00000000000000000000"/>
    <w:charset w:val="00"/>
    <w:family w:val="roman"/>
    <w:notTrueType/>
    <w:pitch w:val="default"/>
  </w:font>
  <w:font w:name="TimesTen-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dvOT7d6df7ab.I">
    <w:panose1 w:val="00000000000000000000"/>
    <w:charset w:val="00"/>
    <w:family w:val="roman"/>
    <w:notTrueType/>
    <w:pitch w:val="default"/>
    <w:sig w:usb0="00000003" w:usb1="00000000" w:usb2="00000000" w:usb3="00000000" w:csb0="00000001" w:csb1="00000000"/>
  </w:font>
  <w:font w:name="PalatinoLTStd-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LTStd-Italic">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ITCGaramondStd-Bk">
    <w:panose1 w:val="00000000000000000000"/>
    <w:charset w:val="00"/>
    <w:family w:val="roman"/>
    <w:notTrueType/>
    <w:pitch w:val="default"/>
    <w:sig w:usb0="00000003" w:usb1="00000000" w:usb2="00000000" w:usb3="00000000" w:csb0="00000001" w:csb1="00000000"/>
  </w:font>
  <w:font w:name="Proforma-Book">
    <w:panose1 w:val="00000000000000000000"/>
    <w:charset w:val="00"/>
    <w:family w:val="roman"/>
    <w:notTrueType/>
    <w:pitch w:val="default"/>
    <w:sig w:usb0="00000003" w:usb1="00000000" w:usb2="00000000" w:usb3="00000000" w:csb0="00000001" w:csb1="00000000"/>
  </w:font>
  <w:font w:name="TTE1BDB438t00">
    <w:altName w:val="TT E 1 BD B 43 8t"/>
    <w:panose1 w:val="00000000000000000000"/>
    <w:charset w:val="00"/>
    <w:family w:val="swiss"/>
    <w:notTrueType/>
    <w:pitch w:val="default"/>
    <w:sig w:usb0="00000003" w:usb1="00000000" w:usb2="00000000" w:usb3="00000000" w:csb0="00000001" w:csb1="00000000"/>
  </w:font>
  <w:font w:name="Humanist 77 7 BT">
    <w:altName w:val="Humanist"/>
    <w:panose1 w:val="00000000000000000000"/>
    <w:charset w:val="00"/>
    <w:family w:val="swiss"/>
    <w:notTrueType/>
    <w:pitch w:val="default"/>
    <w:sig w:usb0="00000003" w:usb1="00000000" w:usb2="00000000" w:usb3="00000000" w:csb0="00000001" w:csb1="00000000"/>
  </w:font>
  <w:font w:name="Humanist777BT-LightB">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4E72F" w14:textId="1295070D" w:rsidR="0030147D" w:rsidRDefault="0030147D">
    <w:pPr>
      <w:pStyle w:val="Pieddepage"/>
    </w:pPr>
  </w:p>
  <w:p w14:paraId="4525C520" w14:textId="77777777" w:rsidR="0030147D" w:rsidRDefault="0030147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153634"/>
      <w:docPartObj>
        <w:docPartGallery w:val="Page Numbers (Bottom of Page)"/>
        <w:docPartUnique/>
      </w:docPartObj>
    </w:sdtPr>
    <w:sdtContent>
      <w:p w14:paraId="46730BD8" w14:textId="2BC57BE7" w:rsidR="0030147D" w:rsidRDefault="0030147D" w:rsidP="005D5895">
        <w:pPr>
          <w:pStyle w:val="Pieddepage"/>
          <w:jc w:val="right"/>
        </w:pP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1941547"/>
      <w:docPartObj>
        <w:docPartGallery w:val="Page Numbers (Bottom of Page)"/>
        <w:docPartUnique/>
      </w:docPartObj>
    </w:sdtPr>
    <w:sdtContent>
      <w:p w14:paraId="303B2A22" w14:textId="257B0654" w:rsidR="0030147D" w:rsidRDefault="0030147D">
        <w:pPr>
          <w:pStyle w:val="Pieddepage"/>
          <w:jc w:val="right"/>
        </w:pPr>
        <w:r>
          <w:fldChar w:fldCharType="begin"/>
        </w:r>
        <w:r>
          <w:instrText>PAGE   \* MERGEFORMAT</w:instrText>
        </w:r>
        <w:r>
          <w:fldChar w:fldCharType="separate"/>
        </w:r>
        <w:r w:rsidR="00FB4582">
          <w:rPr>
            <w:noProof/>
          </w:rPr>
          <w:t>12</w:t>
        </w:r>
        <w:r>
          <w:fldChar w:fldCharType="end"/>
        </w:r>
      </w:p>
    </w:sdtContent>
  </w:sdt>
  <w:p w14:paraId="7A9FB0E7" w14:textId="77777777" w:rsidR="0030147D" w:rsidRDefault="0030147D">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99D80" w14:textId="4A395B89" w:rsidR="0030147D" w:rsidRPr="005D5895" w:rsidRDefault="0030147D">
    <w:pPr>
      <w:pStyle w:val="Pieddepage"/>
      <w:rPr>
        <w:sz w:val="20"/>
        <w:szCs w:val="20"/>
      </w:rPr>
    </w:pPr>
  </w:p>
  <w:p w14:paraId="252BAEF3" w14:textId="77777777" w:rsidR="0030147D" w:rsidRDefault="0030147D">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34234" w14:textId="0BA03BFF" w:rsidR="0030147D" w:rsidRDefault="0030147D">
    <w:pPr>
      <w:pStyle w:val="Pieddepage"/>
      <w:jc w:val="right"/>
    </w:pPr>
  </w:p>
  <w:p w14:paraId="29BCDF6D" w14:textId="648D957A" w:rsidR="0030147D" w:rsidRDefault="0030147D" w:rsidP="005D589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F31CB" w14:textId="77777777" w:rsidR="009A3143" w:rsidRDefault="009A3143" w:rsidP="005E2035">
      <w:r>
        <w:separator/>
      </w:r>
    </w:p>
  </w:footnote>
  <w:footnote w:type="continuationSeparator" w:id="0">
    <w:p w14:paraId="23DC9D09" w14:textId="77777777" w:rsidR="009A3143" w:rsidRDefault="009A3143" w:rsidP="005E2035">
      <w:r>
        <w:continuationSeparator/>
      </w:r>
    </w:p>
  </w:footnote>
  <w:footnote w:id="1">
    <w:p w14:paraId="1C08FF5A" w14:textId="4489050B" w:rsidR="0030147D" w:rsidRPr="00E72418" w:rsidRDefault="0030147D" w:rsidP="00C57F00">
      <w:pPr>
        <w:pStyle w:val="Sansinterligne"/>
        <w:rPr>
          <w:szCs w:val="20"/>
        </w:rPr>
      </w:pPr>
      <w:r w:rsidRPr="00E72418">
        <w:rPr>
          <w:rStyle w:val="Appelnotedebasdep"/>
          <w:szCs w:val="20"/>
        </w:rPr>
        <w:footnoteRef/>
      </w:r>
      <w:r w:rsidRPr="00E72418">
        <w:rPr>
          <w:szCs w:val="20"/>
        </w:rPr>
        <w:t xml:space="preserve"> Notons qu’à côté des dettes souveraines en difficulté, certains fonds d’investissement voient dans les dettes en souffrance dues par des personnes privées des opportunités de profit. Si le phénomène est bien réel, il n’est toutefois pas l’objet de la présente recherche qui porte exclusivement sur les dettes d’</w:t>
      </w:r>
      <w:r w:rsidRPr="00E72418">
        <w:rPr>
          <w:szCs w:val="20"/>
          <w:lang w:eastAsia="fr-BE"/>
        </w:rPr>
        <w:t>É</w:t>
      </w:r>
      <w:r w:rsidRPr="00E72418">
        <w:rPr>
          <w:szCs w:val="20"/>
        </w:rPr>
        <w:t xml:space="preserve">tats. </w:t>
      </w:r>
      <w:r>
        <w:rPr>
          <w:szCs w:val="20"/>
        </w:rPr>
        <w:t>Notre</w:t>
      </w:r>
      <w:r w:rsidRPr="00E72418">
        <w:rPr>
          <w:szCs w:val="20"/>
        </w:rPr>
        <w:t xml:space="preserve"> </w:t>
      </w:r>
      <w:r>
        <w:rPr>
          <w:szCs w:val="20"/>
        </w:rPr>
        <w:t>étude</w:t>
      </w:r>
      <w:r w:rsidRPr="00E72418">
        <w:rPr>
          <w:szCs w:val="20"/>
        </w:rPr>
        <w:t xml:space="preserve"> ne porte ainsi pas non plus sur les dettes encourues par des entités infra-étatiques lesquelles peuvent également conduire à de nombreuses difficultés si l’on pense par exemple à la ville étatsunienne de Détroit qui se déclara en « faillite » en 2013.</w:t>
      </w:r>
    </w:p>
  </w:footnote>
  <w:footnote w:id="2">
    <w:p w14:paraId="2038D8CB" w14:textId="5B61EBA2" w:rsidR="0030147D" w:rsidRPr="00E72418" w:rsidRDefault="0030147D" w:rsidP="00BF2402">
      <w:pPr>
        <w:pStyle w:val="Sansinterligne"/>
        <w:rPr>
          <w:szCs w:val="20"/>
        </w:rPr>
      </w:pPr>
      <w:r w:rsidRPr="00E72418">
        <w:rPr>
          <w:rStyle w:val="Appelnotedebasdep"/>
          <w:szCs w:val="20"/>
        </w:rPr>
        <w:footnoteRef/>
      </w:r>
      <w:r w:rsidRPr="00E72418">
        <w:rPr>
          <w:szCs w:val="20"/>
        </w:rPr>
        <w:t xml:space="preserve"> Voyez notamment l’interprétation donnée à la clause </w:t>
      </w:r>
      <w:r w:rsidRPr="00E72418">
        <w:rPr>
          <w:i/>
          <w:szCs w:val="20"/>
        </w:rPr>
        <w:t>pari passu</w:t>
      </w:r>
      <w:r w:rsidRPr="00E72418">
        <w:rPr>
          <w:szCs w:val="20"/>
        </w:rPr>
        <w:t xml:space="preserve">, </w:t>
      </w:r>
      <w:r w:rsidRPr="00E72418">
        <w:rPr>
          <w:i/>
          <w:szCs w:val="20"/>
        </w:rPr>
        <w:t xml:space="preserve">infra </w:t>
      </w:r>
      <w:r w:rsidRPr="00E72418">
        <w:rPr>
          <w:szCs w:val="20"/>
        </w:rPr>
        <w:t>n</w:t>
      </w:r>
      <w:r w:rsidRPr="00E72418">
        <w:rPr>
          <w:szCs w:val="20"/>
          <w:vertAlign w:val="superscript"/>
        </w:rPr>
        <w:t xml:space="preserve">os </w:t>
      </w:r>
      <w:r w:rsidRPr="00E72418">
        <w:rPr>
          <w:szCs w:val="20"/>
        </w:rPr>
        <w:t xml:space="preserve">173 et suiv. Plus généralement, pour une étude détaillée de ce conflit, voyez </w:t>
      </w:r>
      <w:r w:rsidRPr="00E72418">
        <w:rPr>
          <w:i/>
          <w:szCs w:val="20"/>
        </w:rPr>
        <w:t>infra</w:t>
      </w:r>
      <w:r w:rsidRPr="00E72418">
        <w:rPr>
          <w:szCs w:val="20"/>
        </w:rPr>
        <w:t xml:space="preserve"> n</w:t>
      </w:r>
      <w:r w:rsidRPr="00E72418">
        <w:rPr>
          <w:szCs w:val="20"/>
          <w:vertAlign w:val="superscript"/>
        </w:rPr>
        <w:t xml:space="preserve">os </w:t>
      </w:r>
      <w:r w:rsidRPr="00E72418">
        <w:rPr>
          <w:szCs w:val="20"/>
        </w:rPr>
        <w:t>85 et suiv.</w:t>
      </w:r>
    </w:p>
  </w:footnote>
  <w:footnote w:id="3">
    <w:p w14:paraId="3FE1B275" w14:textId="356FB2D9"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P. Lopez</w:t>
      </w:r>
      <w:r w:rsidRPr="00E72418">
        <w:t xml:space="preserve"> et </w:t>
      </w:r>
      <w:r w:rsidRPr="00E72418">
        <w:rPr>
          <w:smallCaps/>
        </w:rPr>
        <w:t>C. Nahon</w:t>
      </w:r>
      <w:r w:rsidRPr="00E72418">
        <w:t xml:space="preserve">, « The Growth of Debt and the Debt of Growth: Lessons from the Case of Argentina », </w:t>
      </w:r>
      <w:r w:rsidRPr="00E72418">
        <w:rPr>
          <w:rFonts w:ascii="Times New Roman" w:hAnsi="Times New Roman" w:cs="Times New Roman"/>
          <w:i/>
        </w:rPr>
        <w:t>J. Law Soc.</w:t>
      </w:r>
      <w:r w:rsidRPr="00E72418">
        <w:t>, 2017, p. 100.</w:t>
      </w:r>
    </w:p>
  </w:footnote>
  <w:footnote w:id="4">
    <w:p w14:paraId="5088185E" w14:textId="29961EF3" w:rsidR="0030147D" w:rsidRPr="00E72418" w:rsidRDefault="0030147D" w:rsidP="003F6C32">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J. Rossi</w:t>
      </w:r>
      <w:r w:rsidRPr="00E72418">
        <w:t xml:space="preserve">, « Sovereign Debt Restructuring, National Development and Human Rights », </w:t>
      </w:r>
      <w:r w:rsidRPr="00E72418">
        <w:rPr>
          <w:rFonts w:ascii="Times New Roman" w:hAnsi="Times New Roman" w:cs="Times New Roman"/>
          <w:i/>
        </w:rPr>
        <w:t>SUR – Int. J. on Hum. Rts.</w:t>
      </w:r>
      <w:r w:rsidRPr="00E72418">
        <w:t>, 2016, p. 192.</w:t>
      </w:r>
    </w:p>
  </w:footnote>
  <w:footnote w:id="5">
    <w:p w14:paraId="101BB8D9" w14:textId="64020DE7" w:rsidR="0030147D" w:rsidRPr="00E72418" w:rsidRDefault="0030147D" w:rsidP="003B41EA">
      <w:pPr>
        <w:pStyle w:val="Sansinterligne"/>
        <w:rPr>
          <w:szCs w:val="20"/>
        </w:rPr>
      </w:pPr>
      <w:r w:rsidRPr="00E72418">
        <w:rPr>
          <w:rStyle w:val="Appelnotedebasdep"/>
          <w:szCs w:val="20"/>
        </w:rPr>
        <w:footnoteRef/>
      </w:r>
      <w:r w:rsidRPr="00E72418">
        <w:rPr>
          <w:szCs w:val="20"/>
        </w:rPr>
        <w:t xml:space="preserve"> Le site internet de la revue </w:t>
      </w:r>
      <w:r w:rsidRPr="00E72418">
        <w:rPr>
          <w:i/>
          <w:szCs w:val="20"/>
        </w:rPr>
        <w:t>The Economist</w:t>
      </w:r>
      <w:r w:rsidRPr="00E72418">
        <w:rPr>
          <w:szCs w:val="20"/>
        </w:rPr>
        <w:t xml:space="preserve"> propose une « global debt clock » calculant en temps réel le montant total des dettes publiques. Le montant visé est celui calculé le 17 octobre 2021 à minuit, veille du dépôt de notre manuscrit doctoral (voyez </w:t>
      </w:r>
      <w:hyperlink r:id="rId1" w:history="1">
        <w:r w:rsidRPr="00E72418">
          <w:rPr>
            <w:rStyle w:val="Lienhypertexte"/>
            <w:color w:val="auto"/>
            <w:szCs w:val="20"/>
            <w:u w:val="none"/>
          </w:rPr>
          <w:t>www.economist.com/content/global_debt_clock</w:t>
        </w:r>
      </w:hyperlink>
      <w:r w:rsidRPr="00E72418">
        <w:rPr>
          <w:rStyle w:val="Lienhypertexte"/>
          <w:color w:val="auto"/>
          <w:szCs w:val="20"/>
          <w:u w:val="none"/>
        </w:rPr>
        <w:t>)</w:t>
      </w:r>
      <w:r w:rsidRPr="00E72418">
        <w:rPr>
          <w:szCs w:val="20"/>
        </w:rPr>
        <w:t>.</w:t>
      </w:r>
    </w:p>
  </w:footnote>
  <w:footnote w:id="6">
    <w:p w14:paraId="128F297D" w14:textId="475CB6B4" w:rsidR="0030147D" w:rsidRPr="00E72418" w:rsidRDefault="0030147D" w:rsidP="003B41EA">
      <w:pPr>
        <w:pStyle w:val="Sansinterligne"/>
        <w:rPr>
          <w:szCs w:val="20"/>
        </w:rPr>
      </w:pPr>
      <w:r w:rsidRPr="00E72418">
        <w:rPr>
          <w:rStyle w:val="Appelnotedebasdep"/>
          <w:szCs w:val="20"/>
        </w:rPr>
        <w:footnoteRef/>
      </w:r>
      <w:r w:rsidRPr="00E72418">
        <w:rPr>
          <w:szCs w:val="20"/>
        </w:rPr>
        <w:t xml:space="preserve"> Plus généralement, dans une résolution de 2018 portant sur </w:t>
      </w:r>
      <w:r w:rsidRPr="00E72418">
        <w:rPr>
          <w:rStyle w:val="Titre5Car"/>
          <w:rFonts w:ascii="Times" w:eastAsiaTheme="minorHAnsi" w:hAnsi="Times" w:cstheme="minorBidi"/>
          <w:color w:val="auto"/>
          <w:szCs w:val="20"/>
        </w:rPr>
        <w:t>l’amélioration de la viabilité de la dette des pays en développement,</w:t>
      </w:r>
      <w:r w:rsidRPr="00E72418">
        <w:rPr>
          <w:szCs w:val="20"/>
        </w:rPr>
        <w:t xml:space="preserve"> le Parlement européen notait avec inquiétude que les prêts accordés aux pays appauvris avaient explosé depuis 2008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point 3)</w:t>
      </w:r>
      <w:r w:rsidRPr="00E72418">
        <w:rPr>
          <w:szCs w:val="20"/>
        </w:rPr>
        <w:t>.</w:t>
      </w:r>
    </w:p>
  </w:footnote>
  <w:footnote w:id="7">
    <w:p w14:paraId="19374CEC" w14:textId="36A71FB5" w:rsidR="0030147D" w:rsidRPr="00E72418" w:rsidRDefault="0030147D" w:rsidP="003B41EA">
      <w:pPr>
        <w:pStyle w:val="Sansinterligne"/>
        <w:rPr>
          <w:szCs w:val="20"/>
        </w:rPr>
      </w:pPr>
      <w:r w:rsidRPr="00E72418">
        <w:rPr>
          <w:rStyle w:val="Appelnotedebasdep"/>
          <w:szCs w:val="20"/>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rPr>
        <w:t>R.I.S.</w:t>
      </w:r>
      <w:r w:rsidRPr="00E72418">
        <w:rPr>
          <w:szCs w:val="20"/>
        </w:rPr>
        <w:t>, 2017, p. 32.</w:t>
      </w:r>
    </w:p>
  </w:footnote>
  <w:footnote w:id="8">
    <w:p w14:paraId="72386C33" w14:textId="756753F4" w:rsidR="0030147D" w:rsidRPr="00E72418" w:rsidRDefault="0030147D" w:rsidP="0037051C">
      <w:pPr>
        <w:pStyle w:val="Sansinterligne"/>
      </w:pPr>
      <w:r w:rsidRPr="00E72418">
        <w:rPr>
          <w:rStyle w:val="Appelnotedebasdep"/>
        </w:rPr>
        <w:footnoteRef/>
      </w:r>
      <w:r w:rsidRPr="00E72418">
        <w:t xml:space="preserve"> Voyez Département des affaires économiques et sociales des Nations Unies, </w:t>
      </w:r>
      <w:r w:rsidRPr="00E72418">
        <w:rPr>
          <w:rFonts w:ascii="Times New Roman" w:hAnsi="Times New Roman" w:cs="Times New Roman"/>
          <w:szCs w:val="24"/>
        </w:rPr>
        <w:t>« Covid-19 and sovereign debt »</w:t>
      </w:r>
      <w:r w:rsidRPr="00E72418">
        <w:t xml:space="preserve">, 14 mai 2020, disponible à l’adresse </w:t>
      </w:r>
      <w:hyperlink r:id="rId2" w:history="1">
        <w:r w:rsidRPr="00E72418">
          <w:rPr>
            <w:rStyle w:val="Lienhypertexte"/>
            <w:color w:val="auto"/>
            <w:u w:val="none"/>
          </w:rPr>
          <w:t>www.un.org/development/desa/dpad/publication/un-desa-policy-brief-72-covid-19-and-sovereign-debt/</w:t>
        </w:r>
      </w:hyperlink>
      <w:r w:rsidRPr="00E72418">
        <w:t xml:space="preserve"> (consultation le 17 octobre 2021) : « </w:t>
      </w:r>
      <w:r w:rsidRPr="00E72418">
        <w:rPr>
          <w:rFonts w:ascii="Times New Roman" w:hAnsi="Times New Roman" w:cs="Times New Roman"/>
        </w:rPr>
        <w:t>[c]</w:t>
      </w:r>
      <w:r w:rsidRPr="00E72418">
        <w:t>ountries are faced with additional spending needs to finance the immediate health response, provide support to households and firms, and invest in the recovery once the pandemic is under control » ; « </w:t>
      </w:r>
      <w:r w:rsidRPr="00E72418">
        <w:rPr>
          <w:rFonts w:ascii="Times New Roman" w:hAnsi="Times New Roman" w:cs="Times New Roman"/>
        </w:rPr>
        <w:t>[a]t the same time, revenues are collapsing, particularly for commodity exporters and tourism and other services-dependent countries »</w:t>
      </w:r>
      <w:r w:rsidRPr="00E72418">
        <w:t>.</w:t>
      </w:r>
    </w:p>
  </w:footnote>
  <w:footnote w:id="9">
    <w:p w14:paraId="798EA929" w14:textId="5DAB68A3"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rStyle w:val="Titre4Car"/>
          <w:rFonts w:ascii="Times" w:eastAsiaTheme="minorHAnsi" w:hAnsi="Times" w:cstheme="minorBidi"/>
          <w:i w:val="0"/>
          <w:iCs w:val="0"/>
          <w:color w:val="auto"/>
          <w:szCs w:val="20"/>
        </w:rPr>
        <w:t xml:space="preserve">D. </w:t>
      </w:r>
      <w:r w:rsidRPr="00E72418">
        <w:rPr>
          <w:rStyle w:val="Titre4Car"/>
          <w:rFonts w:ascii="Times" w:eastAsiaTheme="minorHAnsi" w:hAnsi="Times" w:cstheme="minorBidi"/>
          <w:i w:val="0"/>
          <w:iCs w:val="0"/>
          <w:smallCaps/>
          <w:color w:val="auto"/>
          <w:szCs w:val="20"/>
        </w:rPr>
        <w:t>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lang w:eastAsia="fr-BE"/>
        </w:rPr>
        <w:t>É</w:t>
      </w:r>
      <w:r w:rsidRPr="00E72418">
        <w:rPr>
          <w:rStyle w:val="Titre4Car"/>
          <w:rFonts w:ascii="Times" w:eastAsiaTheme="minorHAnsi" w:hAnsi="Times" w:cstheme="minorBidi"/>
          <w:i w:val="0"/>
          <w:iCs w:val="0"/>
          <w:color w:val="auto"/>
          <w:szCs w:val="20"/>
        </w:rPr>
        <w:t xml:space="preserve">tat », </w:t>
      </w:r>
      <w:r w:rsidRPr="00E72418">
        <w:rPr>
          <w:rFonts w:ascii="Times New Roman" w:hAnsi="Times New Roman" w:cs="Times New Roman"/>
          <w:i/>
        </w:rPr>
        <w:t>Rép. internat. Dalloz</w:t>
      </w:r>
      <w:r w:rsidRPr="00E72418">
        <w:rPr>
          <w:rStyle w:val="Titre4Car"/>
          <w:rFonts w:ascii="Times" w:eastAsiaTheme="minorHAnsi" w:hAnsi="Times" w:cstheme="minorBidi"/>
          <w:i w:val="0"/>
          <w:iCs w:val="0"/>
          <w:color w:val="auto"/>
          <w:szCs w:val="20"/>
        </w:rPr>
        <w:t>, 2019, n° 13.</w:t>
      </w:r>
    </w:p>
  </w:footnote>
  <w:footnote w:id="10">
    <w:p w14:paraId="70FC8945" w14:textId="3BFC0C12" w:rsidR="0030147D" w:rsidRPr="00E72418" w:rsidRDefault="0030147D" w:rsidP="003B41E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Jewett</w:t>
      </w:r>
      <w:r w:rsidRPr="00E72418">
        <w:rPr>
          <w:szCs w:val="20"/>
          <w:lang w:val="en-US"/>
        </w:rPr>
        <w:t xml:space="preserve">, « Approaches to Sovereign Debt Resolution: Recent Developments », </w:t>
      </w:r>
      <w:r w:rsidRPr="00E72418">
        <w:rPr>
          <w:i/>
          <w:szCs w:val="20"/>
          <w:lang w:val="en-US"/>
        </w:rPr>
        <w:t>B.F.L.R.</w:t>
      </w:r>
      <w:r w:rsidRPr="00E72418">
        <w:rPr>
          <w:szCs w:val="20"/>
          <w:lang w:val="en-US"/>
        </w:rPr>
        <w:t>, 2015, p. 311.</w:t>
      </w:r>
    </w:p>
  </w:footnote>
  <w:footnote w:id="11">
    <w:p w14:paraId="232B142E" w14:textId="4F597B7A" w:rsidR="0030147D" w:rsidRPr="00E72418" w:rsidRDefault="0030147D" w:rsidP="00195B4E">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considérant A.</w:t>
      </w:r>
    </w:p>
  </w:footnote>
  <w:footnote w:id="12">
    <w:p w14:paraId="46B1E2C8" w14:textId="0C17A751" w:rsidR="0030147D" w:rsidRPr="00E72418" w:rsidRDefault="0030147D" w:rsidP="006103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CESifo Working Paper, 2018, p. 2. </w:t>
      </w:r>
    </w:p>
  </w:footnote>
  <w:footnote w:id="13">
    <w:p w14:paraId="3155E3BB" w14:textId="6C3673D9" w:rsidR="0030147D" w:rsidRPr="00E72418" w:rsidRDefault="0030147D" w:rsidP="00195B4E">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8.</w:t>
      </w:r>
    </w:p>
  </w:footnote>
  <w:footnote w:id="14">
    <w:p w14:paraId="470E44F1" w14:textId="72D9379B" w:rsidR="0030147D" w:rsidRPr="00E72418" w:rsidRDefault="0030147D" w:rsidP="006B37E3">
      <w:pPr>
        <w:pStyle w:val="Sansinterligne"/>
        <w:rPr>
          <w:rFonts w:ascii="Times New Roman" w:hAnsi="Times New Roman" w:cs="Times New Roman"/>
          <w:lang w:val="fr-FR"/>
        </w:rPr>
      </w:pPr>
      <w:r w:rsidRPr="00E72418">
        <w:rPr>
          <w:rStyle w:val="Appelnotedebasdep"/>
          <w:szCs w:val="20"/>
        </w:rPr>
        <w:footnoteRef/>
      </w:r>
      <w:r w:rsidRPr="00E72418">
        <w:t xml:space="preserve"> </w:t>
      </w:r>
      <w:r w:rsidRPr="00E72418">
        <w:rPr>
          <w:smallCaps/>
        </w:rPr>
        <w:t>J. Blackman</w:t>
      </w:r>
      <w:r w:rsidRPr="00E72418">
        <w:t xml:space="preserve"> et </w:t>
      </w:r>
      <w:r w:rsidRPr="00E72418">
        <w:rPr>
          <w:smallCaps/>
        </w:rPr>
        <w:t>R. Mukhi</w:t>
      </w:r>
      <w:r w:rsidRPr="00E72418">
        <w:t xml:space="preserve">, </w:t>
      </w:r>
      <w:r w:rsidRPr="00E72418">
        <w:rPr>
          <w:rStyle w:val="Titre5Car"/>
          <w:rFonts w:ascii="Times" w:eastAsiaTheme="minorHAnsi" w:hAnsi="Times" w:cstheme="minorBidi"/>
          <w:color w:val="auto"/>
          <w:szCs w:val="20"/>
          <w:lang w:val="en-US"/>
        </w:rPr>
        <w:t xml:space="preserve">« </w:t>
      </w:r>
      <w:r w:rsidRPr="00E72418">
        <w:t xml:space="preserve">The Evolution of Modern Sovereign Debt Litigation: Vultures, Alter Egos, and Other Legal Fauna », </w:t>
      </w:r>
      <w:r w:rsidRPr="00E72418">
        <w:rPr>
          <w:rFonts w:ascii="Times New Roman" w:hAnsi="Times New Roman" w:cs="Times New Roman"/>
          <w:i/>
        </w:rPr>
        <w:t>Law&amp;ContempProbs</w:t>
      </w:r>
      <w:r w:rsidRPr="00E72418">
        <w:t>, 2010, p. 51.</w:t>
      </w:r>
    </w:p>
  </w:footnote>
  <w:footnote w:id="15">
    <w:p w14:paraId="09779A62" w14:textId="6CC4C53F" w:rsidR="0030147D" w:rsidRPr="00E72418" w:rsidRDefault="0030147D" w:rsidP="00195B4E">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44.</w:t>
      </w:r>
    </w:p>
  </w:footnote>
  <w:footnote w:id="16">
    <w:p w14:paraId="4C6A6A5B" w14:textId="36557EE2" w:rsidR="0030147D" w:rsidRPr="00E72418" w:rsidRDefault="0030147D" w:rsidP="00195B4E">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pp. 2 et 15. En contradiction avec ce constat, les auteurs relèvent qu’ « investors and other private sector actors claim that the holdout problem is being exaggerated and that lawsuits are rare and cause no significant externalities » (</w:t>
      </w:r>
      <w:r w:rsidRPr="00E72418">
        <w:rPr>
          <w:i/>
          <w:szCs w:val="20"/>
          <w:lang w:val="en-US"/>
        </w:rPr>
        <w:t>ibid.</w:t>
      </w:r>
      <w:r w:rsidRPr="00E72418">
        <w:rPr>
          <w:szCs w:val="20"/>
          <w:lang w:val="en-US"/>
        </w:rPr>
        <w:t>, pp. 4 et 5).</w:t>
      </w:r>
    </w:p>
  </w:footnote>
  <w:footnote w:id="17">
    <w:p w14:paraId="297F0D36" w14:textId="1BC24C26" w:rsidR="0030147D" w:rsidRPr="00E72418" w:rsidRDefault="0030147D" w:rsidP="00195B4E">
      <w:pPr>
        <w:pStyle w:val="Sansinterligne"/>
        <w:rPr>
          <w:szCs w:val="20"/>
          <w:lang w:val="en-US"/>
        </w:rPr>
      </w:pPr>
      <w:r w:rsidRPr="00E72418">
        <w:rPr>
          <w:rStyle w:val="Appelnotedebasdep"/>
          <w:szCs w:val="20"/>
        </w:rPr>
        <w:footnoteRef/>
      </w:r>
      <w:r w:rsidRPr="00E72418">
        <w:rPr>
          <w:szCs w:val="20"/>
        </w:rPr>
        <w:t xml:space="preserve"> En réalité, le phénomène des fonds spéculant sur les dettes souveraines avait déjà été médiatisé auparavant avec notamment l’affaire </w:t>
      </w:r>
      <w:r w:rsidRPr="00E72418">
        <w:rPr>
          <w:i/>
          <w:szCs w:val="20"/>
        </w:rPr>
        <w:t>Donegal International Ltd.</w:t>
      </w:r>
      <w:r w:rsidRPr="00E72418">
        <w:rPr>
          <w:szCs w:val="20"/>
        </w:rPr>
        <w:t xml:space="preserve"> c. la République de Zambie. </w:t>
      </w:r>
      <w:r w:rsidRPr="00E72418">
        <w:rPr>
          <w:szCs w:val="20"/>
          <w:lang w:val="fr-FR"/>
        </w:rPr>
        <w:t xml:space="preserve">Sally Keeble, une parlementaire britannique, relevait lors des discussions au sujet du </w:t>
      </w:r>
      <w:r w:rsidRPr="00E72418">
        <w:rPr>
          <w:i/>
          <w:szCs w:val="20"/>
        </w:rPr>
        <w:t>Debt Relief (Developing Countries) Act</w:t>
      </w:r>
      <w:r w:rsidRPr="00E72418">
        <w:rPr>
          <w:szCs w:val="20"/>
          <w:lang w:val="fr-FR"/>
        </w:rPr>
        <w:t xml:space="preserve"> britannique de 2010 qui, comme nous le verrons (</w:t>
      </w:r>
      <w:r w:rsidRPr="00E72418">
        <w:rPr>
          <w:i/>
          <w:szCs w:val="20"/>
          <w:lang w:val="fr-FR"/>
        </w:rPr>
        <w:t>infra</w:t>
      </w:r>
      <w:r w:rsidRPr="00E72418">
        <w:rPr>
          <w:szCs w:val="20"/>
          <w:lang w:val="fr-FR"/>
        </w:rPr>
        <w:t xml:space="preserve"> n</w:t>
      </w:r>
      <w:r w:rsidRPr="00E72418">
        <w:rPr>
          <w:szCs w:val="20"/>
          <w:vertAlign w:val="superscript"/>
          <w:lang w:val="fr-FR"/>
        </w:rPr>
        <w:t>os</w:t>
      </w:r>
      <w:r w:rsidRPr="00E72418">
        <w:rPr>
          <w:szCs w:val="20"/>
          <w:lang w:val="fr-FR"/>
        </w:rPr>
        <w:t xml:space="preserve"> 304 et suiv.), appréhende le phénomène, que « television and some national newspapers have highlighted such activities and brought them much more into the public gaze » et qu’ainsi « [t]hey have done us all a great service » (House of Commons, </w:t>
      </w:r>
      <w:r w:rsidRPr="00E72418">
        <w:rPr>
          <w:i/>
          <w:szCs w:val="20"/>
          <w:lang w:val="fr-FR"/>
        </w:rPr>
        <w:t>Debt Relief (Developing Countries) Bill</w:t>
      </w:r>
      <w:r w:rsidRPr="00E72418">
        <w:rPr>
          <w:szCs w:val="20"/>
          <w:lang w:val="fr-FR"/>
        </w:rPr>
        <w:t>, second reading, 26 février 2010, vol. 506, colonne 560).</w:t>
      </w:r>
    </w:p>
  </w:footnote>
  <w:footnote w:id="18">
    <w:p w14:paraId="29430311" w14:textId="27778632" w:rsidR="0030147D" w:rsidRPr="00E72418" w:rsidRDefault="0030147D" w:rsidP="00AF5D20">
      <w:pPr>
        <w:pStyle w:val="Sansinterligne"/>
      </w:pPr>
      <w:r w:rsidRPr="00E72418">
        <w:rPr>
          <w:rStyle w:val="Appelnotedebasdep"/>
        </w:rPr>
        <w:footnoteRef/>
      </w:r>
      <w:r w:rsidRPr="00E72418">
        <w:rPr>
          <w:vertAlign w:val="superscript"/>
        </w:rPr>
        <w:t xml:space="preserve"> </w:t>
      </w:r>
      <w:r w:rsidRPr="00E72418">
        <w:t xml:space="preserve">Haut-Commissariat des Nations Unies aux droits de l’homme, </w:t>
      </w:r>
      <w:r w:rsidRPr="00E72418">
        <w:rPr>
          <w:rFonts w:ascii="Times New Roman" w:hAnsi="Times New Roman" w:cs="Times New Roman"/>
          <w:szCs w:val="24"/>
        </w:rPr>
        <w:t xml:space="preserve">« </w:t>
      </w:r>
      <w:r w:rsidRPr="00E72418">
        <w:rPr>
          <w:rStyle w:val="h2"/>
          <w:rFonts w:ascii="Times New Roman" w:hAnsi="Times New Roman" w:cs="Times New Roman"/>
          <w:szCs w:val="24"/>
        </w:rPr>
        <w:t>Belgian legislation against vulture funds should be preserved – UN rights expert urges »</w:t>
      </w:r>
      <w:r w:rsidRPr="00E72418">
        <w:rPr>
          <w:rStyle w:val="h2"/>
        </w:rPr>
        <w:t xml:space="preserve">, 15 juin 2016, disponible à l’adresse </w:t>
      </w:r>
      <w:hyperlink r:id="rId3" w:history="1">
        <w:r w:rsidRPr="00E72418">
          <w:rPr>
            <w:rStyle w:val="Lienhypertexte"/>
            <w:color w:val="auto"/>
            <w:u w:val="none"/>
          </w:rPr>
          <w:t>www.ohchr.org/en/NewsEvents/Pages/DisplayNews.aspx?NewsID=20106&amp;LangID=E</w:t>
        </w:r>
      </w:hyperlink>
      <w:r w:rsidRPr="00E72418">
        <w:t xml:space="preserve"> (consultation le 17 octobre 2021).</w:t>
      </w:r>
    </w:p>
  </w:footnote>
  <w:footnote w:id="19">
    <w:p w14:paraId="0A2A9687" w14:textId="4C9208AA" w:rsidR="0030147D" w:rsidRPr="00E72418" w:rsidRDefault="0030147D" w:rsidP="007A53CA">
      <w:pPr>
        <w:pStyle w:val="Sansinterligne"/>
        <w:rPr>
          <w:rFonts w:ascii="Times New Roman" w:hAnsi="Times New Roman" w:cs="Times New Roman"/>
        </w:rPr>
      </w:pPr>
      <w:r w:rsidRPr="00E72418">
        <w:rPr>
          <w:rStyle w:val="Appelnotedebasdep"/>
          <w:szCs w:val="20"/>
        </w:rPr>
        <w:footnoteRef/>
      </w:r>
      <w:r w:rsidRPr="00E72418">
        <w:t xml:space="preserve"> Voyez </w:t>
      </w:r>
      <w:r w:rsidRPr="00E72418">
        <w:rPr>
          <w:smallCaps/>
        </w:rPr>
        <w:t>J. Rossi</w:t>
      </w:r>
      <w:r w:rsidRPr="00E72418">
        <w:t xml:space="preserve">, « Sovereign Debt Restructuring, National Development and Human Rights », </w:t>
      </w:r>
      <w:r w:rsidRPr="00E72418">
        <w:rPr>
          <w:i/>
        </w:rPr>
        <w:t>op. cit.</w:t>
      </w:r>
      <w:r w:rsidRPr="00E72418">
        <w:t xml:space="preserve">, p. 189. En réalité, plus largement, les problèmes liés aux dettes souveraines ont notamment des impacts politiques, économiques et sociaux négatifs (D. </w:t>
      </w:r>
      <w:r w:rsidRPr="00E72418">
        <w:rPr>
          <w:iCs/>
          <w:smallCaps/>
        </w:rPr>
        <w:t>Bradlow</w:t>
      </w:r>
      <w:r w:rsidRPr="00E72418">
        <w:rPr>
          <w:iCs/>
        </w:rPr>
        <w:t>,</w:t>
      </w:r>
      <w:r w:rsidRPr="00E72418">
        <w:rPr>
          <w:i/>
          <w:iCs/>
        </w:rPr>
        <w:t xml:space="preserve"> </w:t>
      </w:r>
      <w:r w:rsidRPr="00E72418">
        <w:rPr>
          <w:bCs/>
        </w:rPr>
        <w:t xml:space="preserve">« </w:t>
      </w:r>
      <w:r w:rsidRPr="00E72418">
        <w:t xml:space="preserve">Can Parallel Lines Ever Meet? The Strange Case of the International Standards on Sovereign Debt and Business and Human Rights », </w:t>
      </w:r>
      <w:r w:rsidRPr="00E72418">
        <w:rPr>
          <w:rFonts w:ascii="Times New Roman" w:hAnsi="Times New Roman" w:cs="Times New Roman"/>
          <w:i/>
        </w:rPr>
        <w:t>Yale J. Int. Law</w:t>
      </w:r>
      <w:r w:rsidRPr="00E72418">
        <w:rPr>
          <w:bCs/>
        </w:rPr>
        <w:t xml:space="preserve">, 2016, </w:t>
      </w:r>
      <w:r w:rsidRPr="00E72418">
        <w:t>p. 202).</w:t>
      </w:r>
    </w:p>
  </w:footnote>
  <w:footnote w:id="20">
    <w:p w14:paraId="1EDD7E94" w14:textId="28A36437" w:rsidR="0030147D" w:rsidRPr="00E72418" w:rsidRDefault="0030147D" w:rsidP="00AC2D99">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121.</w:t>
      </w:r>
    </w:p>
  </w:footnote>
  <w:footnote w:id="21">
    <w:p w14:paraId="1DEE1B87" w14:textId="286C18A1" w:rsidR="0030147D" w:rsidRPr="00E72418" w:rsidRDefault="0030147D" w:rsidP="000078DC">
      <w:pPr>
        <w:pStyle w:val="Sansinterligne"/>
      </w:pPr>
      <w:r w:rsidRPr="00E72418">
        <w:rPr>
          <w:rStyle w:val="Appelnotedebasdep"/>
        </w:rPr>
        <w:footnoteRef/>
      </w:r>
      <w:r w:rsidRPr="00E72418">
        <w:t xml:space="preserve"> M. </w:t>
      </w:r>
      <w:r w:rsidRPr="00E72418">
        <w:rPr>
          <w:smallCaps/>
        </w:rPr>
        <w:t>Grégoire</w:t>
      </w:r>
      <w:r w:rsidRPr="00E72418">
        <w:t xml:space="preserve">, « Banque et souveraineté : une pièce en trois actes », in </w:t>
      </w:r>
      <w:r w:rsidRPr="00E72418">
        <w:rPr>
          <w:i/>
        </w:rPr>
        <w:t>Liber amicorum Martine Delierneux</w:t>
      </w:r>
      <w:r w:rsidRPr="00E72418">
        <w:t xml:space="preserve">, Larcier, 2018, p. 286. </w:t>
      </w:r>
    </w:p>
  </w:footnote>
  <w:footnote w:id="22">
    <w:p w14:paraId="324DBCD2" w14:textId="3313097C" w:rsidR="0030147D" w:rsidRPr="00E72418" w:rsidRDefault="0030147D" w:rsidP="007A53CA">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R. Avery</w:t>
      </w:r>
      <w:r w:rsidRPr="00E72418">
        <w:t xml:space="preserve">, « Out of the Desert and to the Oasis: Legislation on Predatory Debt Investing », </w:t>
      </w:r>
      <w:r w:rsidRPr="00E72418">
        <w:rPr>
          <w:rFonts w:ascii="Times New Roman" w:hAnsi="Times New Roman" w:cs="Times New Roman"/>
          <w:i/>
        </w:rPr>
        <w:t>U. Miami Int. &amp; Comp. Law Rev.</w:t>
      </w:r>
      <w:r w:rsidRPr="00E72418">
        <w:t>, 2011, p. 269.</w:t>
      </w:r>
    </w:p>
  </w:footnote>
  <w:footnote w:id="23">
    <w:p w14:paraId="6B51A1F2" w14:textId="7C87072C" w:rsidR="0030147D" w:rsidRPr="00E72418" w:rsidRDefault="0030147D" w:rsidP="00C31F2A">
      <w:pPr>
        <w:pStyle w:val="Sansinterligne"/>
        <w:rPr>
          <w:szCs w:val="20"/>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rPr>
        <w:t>A.F.D.I.</w:t>
      </w:r>
      <w:r w:rsidRPr="00E72418">
        <w:rPr>
          <w:szCs w:val="20"/>
        </w:rPr>
        <w:t>, 2015, p. 752.</w:t>
      </w:r>
    </w:p>
  </w:footnote>
  <w:footnote w:id="24">
    <w:p w14:paraId="35BEC311" w14:textId="776BA29C" w:rsidR="0030147D" w:rsidRPr="00E72418" w:rsidRDefault="0030147D" w:rsidP="00AD0B76">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rStyle w:val="Titre5Car"/>
          <w:rFonts w:ascii="Times" w:eastAsiaTheme="minorHAnsi" w:hAnsi="Times" w:cstheme="minorBidi"/>
          <w:i/>
          <w:color w:val="auto"/>
          <w:szCs w:val="20"/>
          <w:lang w:val="en-US"/>
        </w:rPr>
        <w:t>Calif. Law Rev.</w:t>
      </w:r>
      <w:r w:rsidRPr="00E72418">
        <w:rPr>
          <w:rStyle w:val="Titre5Car"/>
          <w:rFonts w:ascii="Times" w:eastAsiaTheme="minorHAnsi" w:hAnsi="Times" w:cstheme="minorBidi"/>
          <w:color w:val="auto"/>
          <w:szCs w:val="20"/>
          <w:lang w:val="en-US"/>
        </w:rPr>
        <w:t xml:space="preserve">, 2014, p. 1672. Lee Buchheit souligne une « awkward situation » tenant à ce qu’ « </w:t>
      </w:r>
      <w:r w:rsidRPr="00E72418">
        <w:rPr>
          <w:szCs w:val="20"/>
          <w:lang w:val="en-US"/>
        </w:rPr>
        <w:t xml:space="preserve">[o]n the one side are the sovereign debtors who can, with a degree of justification, portray themselves as the victims of a gang of opportunistic, mercenary, and self-righteous creditors looking to exploit the sovereign’s vulnerability to legal remedies </w:t>
      </w:r>
      <w:r w:rsidRPr="00E72418">
        <w:rPr>
          <w:rStyle w:val="Titre5Car"/>
          <w:rFonts w:ascii="Times" w:eastAsiaTheme="minorHAnsi" w:hAnsi="Times" w:cstheme="minorBidi"/>
          <w:color w:val="auto"/>
          <w:szCs w:val="20"/>
          <w:lang w:val="en-US"/>
        </w:rPr>
        <w:t>» tandis qu’ «</w:t>
      </w:r>
      <w:r w:rsidRPr="00E72418">
        <w:rPr>
          <w:szCs w:val="20"/>
          <w:lang w:val="en-US"/>
        </w:rPr>
        <w:t xml:space="preserve"> [o]n the other side are lenders who can, with a degree of justification, portray themselves as the avenging angels that bring discipline and accountability to feckless, corrupt or incompetent government administrators</w:t>
      </w:r>
      <w:r w:rsidRPr="00E72418">
        <w:rPr>
          <w:rStyle w:val="Titre5Car"/>
          <w:rFonts w:ascii="Times" w:eastAsiaTheme="minorHAnsi" w:hAnsi="Times" w:cstheme="minorBidi"/>
          <w:color w:val="auto"/>
          <w:szCs w:val="20"/>
          <w:lang w:val="en-US"/>
        </w:rPr>
        <w:t xml:space="preserve"> » (L. </w:t>
      </w:r>
      <w:r w:rsidRPr="00E72418">
        <w:rPr>
          <w:rFonts w:eastAsia="Times New Roman" w:cs="Times New Roman"/>
          <w:smallCaps/>
          <w:szCs w:val="24"/>
          <w:lang w:val="en-US" w:eastAsia="fr-BE"/>
        </w:rPr>
        <w:t>Buchheit, « </w:t>
      </w:r>
      <w:r w:rsidRPr="00E72418">
        <w:rPr>
          <w:rFonts w:eastAsia="Times New Roman" w:cs="Times New Roman"/>
          <w:szCs w:val="24"/>
          <w:lang w:val="en-US" w:eastAsia="fr-BE"/>
        </w:rPr>
        <w:t>Sovereign Debt in the Light of Eternity »</w:t>
      </w:r>
      <w:r w:rsidRPr="00E72418">
        <w:rPr>
          <w:rFonts w:eastAsia="Times New Roman" w:cs="Times New Roman"/>
          <w:smallCaps/>
          <w:szCs w:val="24"/>
          <w:lang w:val="en-US" w:eastAsia="fr-BE"/>
        </w:rPr>
        <w:t xml:space="preserve">, </w:t>
      </w:r>
      <w:r w:rsidRPr="00E72418">
        <w:rPr>
          <w:rFonts w:cs="Times New Roman"/>
          <w:szCs w:val="24"/>
          <w:lang w:val="en-US"/>
        </w:rPr>
        <w:t xml:space="preserve">in L. </w:t>
      </w:r>
      <w:r w:rsidRPr="00E72418">
        <w:rPr>
          <w:rFonts w:cs="Times New Roman"/>
          <w:smallCaps/>
          <w:szCs w:val="24"/>
          <w:lang w:val="en-US"/>
        </w:rPr>
        <w:t>Buchheit</w:t>
      </w:r>
      <w:r w:rsidRPr="00E72418">
        <w:rPr>
          <w:rFonts w:cs="Times New Roman"/>
          <w:szCs w:val="24"/>
          <w:lang w:val="en-US"/>
        </w:rPr>
        <w:t xml:space="preserve"> et R. </w:t>
      </w:r>
      <w:r w:rsidRPr="00E72418">
        <w:rPr>
          <w:rFonts w:cs="Times New Roman"/>
          <w:smallCaps/>
          <w:szCs w:val="24"/>
          <w:lang w:val="en-US"/>
        </w:rPr>
        <w:t>Lastra</w:t>
      </w:r>
      <w:r w:rsidRPr="00E72418">
        <w:rPr>
          <w:rFonts w:cs="Times New Roman"/>
          <w:szCs w:val="24"/>
          <w:lang w:val="en-US"/>
        </w:rPr>
        <w:t xml:space="preserve"> (éd.), </w:t>
      </w:r>
      <w:r w:rsidRPr="00E72418">
        <w:rPr>
          <w:rFonts w:cs="Times New Roman"/>
          <w:i/>
          <w:szCs w:val="24"/>
          <w:lang w:val="en-US"/>
        </w:rPr>
        <w:t>Sovereign Debt Management</w:t>
      </w:r>
      <w:r w:rsidRPr="00E72418">
        <w:rPr>
          <w:rFonts w:cs="Times New Roman"/>
          <w:szCs w:val="24"/>
          <w:lang w:val="en-US"/>
        </w:rPr>
        <w:t>, Oxford University Press, 2014, p. 466</w:t>
      </w:r>
      <w:r w:rsidRPr="00E72418">
        <w:rPr>
          <w:rStyle w:val="Titre5Car"/>
          <w:rFonts w:ascii="Times" w:eastAsiaTheme="minorHAnsi" w:hAnsi="Times" w:cstheme="minorBidi"/>
          <w:color w:val="auto"/>
          <w:szCs w:val="20"/>
          <w:lang w:val="en-US"/>
        </w:rPr>
        <w:t>).</w:t>
      </w:r>
    </w:p>
  </w:footnote>
  <w:footnote w:id="25">
    <w:p w14:paraId="1F1B090D" w14:textId="0B06841F" w:rsidR="0030147D" w:rsidRPr="00E72418" w:rsidRDefault="0030147D" w:rsidP="00221E2C">
      <w:pPr>
        <w:pStyle w:val="Sansinterligne"/>
      </w:pPr>
      <w:r w:rsidRPr="00E72418">
        <w:rPr>
          <w:rStyle w:val="Appelnotedebasdep"/>
        </w:rPr>
        <w:footnoteRef/>
      </w:r>
      <w:r w:rsidRPr="00E72418">
        <w:t xml:space="preserve"> H. </w:t>
      </w:r>
      <w:r w:rsidRPr="00E72418">
        <w:rPr>
          <w:smallCaps/>
        </w:rPr>
        <w:t xml:space="preserve">Kupelyants, </w:t>
      </w:r>
      <w:r w:rsidRPr="00E72418">
        <w:rPr>
          <w:i/>
        </w:rPr>
        <w:t>Sovereign Defaults before Domestic Courts</w:t>
      </w:r>
      <w:r w:rsidRPr="00E72418">
        <w:t>, Oxford University Press, 2018, p. 24.</w:t>
      </w:r>
    </w:p>
  </w:footnote>
  <w:footnote w:id="26">
    <w:p w14:paraId="52AAC3EA" w14:textId="3EAAE460" w:rsidR="0030147D" w:rsidRPr="00E72418" w:rsidRDefault="0030147D" w:rsidP="00221E2C">
      <w:pPr>
        <w:pStyle w:val="Sansinterligne"/>
      </w:pPr>
      <w:r w:rsidRPr="00E72418">
        <w:rPr>
          <w:rStyle w:val="Appelnotedebasdep"/>
        </w:rPr>
        <w:footnoteRef/>
      </w:r>
      <w:r w:rsidRPr="00E72418">
        <w:t xml:space="preserve"> </w:t>
      </w:r>
      <w:r w:rsidRPr="00E72418">
        <w:rPr>
          <w:i/>
        </w:rPr>
        <w:t>Ibid</w:t>
      </w:r>
      <w:r w:rsidRPr="00E72418">
        <w:t>.</w:t>
      </w:r>
    </w:p>
  </w:footnote>
  <w:footnote w:id="27">
    <w:p w14:paraId="724E2A48" w14:textId="7D7576EF" w:rsidR="0030147D" w:rsidRPr="00E72418" w:rsidRDefault="0030147D" w:rsidP="00AD0B76">
      <w:pPr>
        <w:pStyle w:val="Sansinterligne"/>
        <w:rPr>
          <w:szCs w:val="20"/>
          <w:lang w:val="en-US"/>
        </w:rPr>
      </w:pPr>
      <w:r w:rsidRPr="00E72418">
        <w:rPr>
          <w:rStyle w:val="Appelnotedebasdep"/>
          <w:szCs w:val="20"/>
        </w:rPr>
        <w:footnoteRef/>
      </w:r>
      <w:r w:rsidRPr="00E72418">
        <w:rPr>
          <w:szCs w:val="20"/>
          <w:lang w:val="en-US"/>
        </w:rPr>
        <w:t xml:space="preserve"> High Court of Justice (RU), Queen’s Bench Division, Commercial Court, 15 février 2007, </w:t>
      </w:r>
      <w:r w:rsidRPr="00E72418">
        <w:rPr>
          <w:i/>
          <w:szCs w:val="20"/>
          <w:lang w:val="en-US"/>
        </w:rPr>
        <w:t>Donegal International Limited v. Republic of Zambia and Anr.</w:t>
      </w:r>
      <w:r w:rsidRPr="00E72418">
        <w:rPr>
          <w:szCs w:val="20"/>
          <w:lang w:val="en-US"/>
        </w:rPr>
        <w:t>, [2007] EWHC 197 (Comm.), paragraphe 2.</w:t>
      </w:r>
    </w:p>
  </w:footnote>
  <w:footnote w:id="28">
    <w:p w14:paraId="02102B1A" w14:textId="243D0709" w:rsidR="0030147D" w:rsidRPr="00E72418" w:rsidRDefault="0030147D" w:rsidP="0011623A">
      <w:pPr>
        <w:pStyle w:val="Sansinterligne"/>
      </w:pPr>
      <w:r w:rsidRPr="00E72418">
        <w:rPr>
          <w:rStyle w:val="Appelnotedebasdep"/>
        </w:rPr>
        <w:footnoteRef/>
      </w:r>
      <w:r w:rsidRPr="00E72418">
        <w:t xml:space="preserve"> Charlotte Rault note que l’expression « dette souveraine » peut paraître à première vue être un oxymore en ce que « </w:t>
      </w:r>
      <w:r w:rsidRPr="00E72418">
        <w:rPr>
          <w:szCs w:val="20"/>
          <w:lang w:val="en-US"/>
        </w:rPr>
        <w:t>[</w:t>
      </w:r>
      <w:r w:rsidRPr="00E72418">
        <w:t>d</w:t>
      </w:r>
      <w:r w:rsidRPr="00E72418">
        <w:rPr>
          <w:szCs w:val="20"/>
          <w:lang w:val="en-US"/>
        </w:rPr>
        <w:t>]</w:t>
      </w:r>
      <w:r w:rsidRPr="00E72418">
        <w:t xml:space="preserve">ebts relate to a constraint whereas sovereignty places the State in a superior level of obligation » (C. </w:t>
      </w:r>
      <w:r w:rsidRPr="00E72418">
        <w:rPr>
          <w:rFonts w:cs="Times New Roman"/>
          <w:smallCaps/>
          <w:szCs w:val="24"/>
          <w:lang w:val="en-US"/>
        </w:rPr>
        <w:t xml:space="preserve">Rault, </w:t>
      </w:r>
      <w:r w:rsidRPr="00E72418">
        <w:rPr>
          <w:rFonts w:cs="Times New Roman"/>
          <w:i/>
          <w:szCs w:val="24"/>
          <w:lang w:val="en-US"/>
        </w:rPr>
        <w:t>The Legal Framework of Sovereign Debt Management</w:t>
      </w:r>
      <w:r w:rsidRPr="00E72418">
        <w:rPr>
          <w:rFonts w:cs="Times New Roman"/>
          <w:szCs w:val="24"/>
          <w:lang w:val="en-US"/>
        </w:rPr>
        <w:t xml:space="preserve">, Nomos, 2017, p. 17). L’auteure note encore, dans la suite de sa thèse, </w:t>
      </w:r>
      <w:r w:rsidRPr="00E72418">
        <w:t xml:space="preserve">« the ambivalence of </w:t>
      </w:r>
      <w:r w:rsidRPr="00E72418">
        <w:rPr>
          <w:szCs w:val="20"/>
          <w:lang w:val="en-US"/>
        </w:rPr>
        <w:t>[</w:t>
      </w:r>
      <w:r w:rsidRPr="00E72418">
        <w:t>the</w:t>
      </w:r>
      <w:r w:rsidRPr="00E72418">
        <w:rPr>
          <w:szCs w:val="20"/>
          <w:lang w:val="en-US"/>
        </w:rPr>
        <w:t>]</w:t>
      </w:r>
      <w:r w:rsidRPr="00E72418">
        <w:t xml:space="preserve"> sovereign debt bonds, positioned between private contract and sovereignty » (</w:t>
      </w:r>
      <w:r w:rsidRPr="00E72418">
        <w:rPr>
          <w:i/>
        </w:rPr>
        <w:t>ibid.</w:t>
      </w:r>
      <w:r w:rsidRPr="00E72418">
        <w:t>, p. 139).</w:t>
      </w:r>
    </w:p>
  </w:footnote>
  <w:footnote w:id="29">
    <w:p w14:paraId="3352F71A" w14:textId="16EF31A4" w:rsidR="0030147D" w:rsidRPr="00E72418" w:rsidRDefault="0030147D" w:rsidP="00953562">
      <w:pPr>
        <w:pStyle w:val="Sansinterligne"/>
      </w:pPr>
      <w:r w:rsidRPr="00E72418">
        <w:rPr>
          <w:rStyle w:val="Appelnotedebasdep"/>
        </w:rPr>
        <w:footnoteRef/>
      </w:r>
      <w:r w:rsidRPr="00E72418">
        <w:t xml:space="preserve"> D. </w:t>
      </w:r>
      <w:r w:rsidRPr="00E72418">
        <w:rPr>
          <w:smallCaps/>
        </w:rPr>
        <w:t>Bureau</w:t>
      </w:r>
      <w:r w:rsidRPr="00E72418">
        <w:t xml:space="preserve"> et H. </w:t>
      </w:r>
      <w:r w:rsidRPr="00E72418">
        <w:rPr>
          <w:smallCaps/>
        </w:rPr>
        <w:t>Muir Watt</w:t>
      </w:r>
      <w:r w:rsidRPr="00E72418">
        <w:t xml:space="preserve">, </w:t>
      </w:r>
      <w:r w:rsidRPr="00E72418">
        <w:rPr>
          <w:i/>
        </w:rPr>
        <w:t>Droit international privé – Tome I – Partie générale</w:t>
      </w:r>
      <w:r w:rsidRPr="00E72418">
        <w:t>, 4</w:t>
      </w:r>
      <w:r w:rsidRPr="00E72418">
        <w:rPr>
          <w:vertAlign w:val="superscript"/>
        </w:rPr>
        <w:t xml:space="preserve">e </w:t>
      </w:r>
      <w:r w:rsidRPr="00E72418">
        <w:t>éd., Presses Universitaires de France, 2017, p. 126.</w:t>
      </w:r>
    </w:p>
  </w:footnote>
  <w:footnote w:id="30">
    <w:p w14:paraId="3BB8F475" w14:textId="77777777" w:rsidR="0030147D" w:rsidRPr="00E72418" w:rsidRDefault="0030147D" w:rsidP="00890CF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Waibel</w:t>
      </w:r>
      <w:r w:rsidRPr="00E72418">
        <w:rPr>
          <w:szCs w:val="20"/>
          <w:lang w:val="en-US"/>
        </w:rPr>
        <w:t xml:space="preserve">, </w:t>
      </w:r>
      <w:r w:rsidRPr="00E72418">
        <w:rPr>
          <w:i/>
          <w:szCs w:val="20"/>
          <w:lang w:val="en-US"/>
        </w:rPr>
        <w:t>Sovereign Defaults before International Courts and Tribunals</w:t>
      </w:r>
      <w:r w:rsidRPr="00E72418">
        <w:rPr>
          <w:szCs w:val="20"/>
          <w:lang w:val="en-US"/>
        </w:rPr>
        <w:t>, Cambridge University Press, 2011, p. 21.</w:t>
      </w:r>
    </w:p>
  </w:footnote>
  <w:footnote w:id="31">
    <w:p w14:paraId="41870059" w14:textId="1A49911C"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rStyle w:val="Titredulivre"/>
          <w:b w:val="0"/>
          <w:bCs w:val="0"/>
          <w:i w:val="0"/>
          <w:iCs w:val="0"/>
          <w:smallCaps/>
          <w:spacing w:val="0"/>
          <w:szCs w:val="20"/>
        </w:rPr>
        <w:t>H. Muir Watt</w:t>
      </w:r>
      <w:r w:rsidRPr="00E72418">
        <w:rPr>
          <w:rStyle w:val="Titredulivre"/>
          <w:b w:val="0"/>
          <w:bCs w:val="0"/>
          <w:i w:val="0"/>
          <w:iCs w:val="0"/>
          <w:spacing w:val="0"/>
          <w:szCs w:val="20"/>
        </w:rPr>
        <w:t xml:space="preserve">, « L’immunité souveraine et les fonds “vautour” », </w:t>
      </w:r>
      <w:r w:rsidRPr="00E72418">
        <w:rPr>
          <w:rFonts w:ascii="Times New Roman" w:hAnsi="Times New Roman" w:cs="Times New Roman"/>
          <w:i/>
        </w:rPr>
        <w:t>Rev. crit. DIP</w:t>
      </w:r>
      <w:r w:rsidRPr="00E72418">
        <w:rPr>
          <w:rStyle w:val="Titredulivre"/>
          <w:b w:val="0"/>
          <w:bCs w:val="0"/>
          <w:i w:val="0"/>
          <w:iCs w:val="0"/>
          <w:spacing w:val="0"/>
          <w:szCs w:val="20"/>
        </w:rPr>
        <w:t>, 2012, p. 794.</w:t>
      </w:r>
    </w:p>
  </w:footnote>
  <w:footnote w:id="32">
    <w:p w14:paraId="732539FC" w14:textId="545C65A7" w:rsidR="0030147D" w:rsidRPr="00E72418" w:rsidRDefault="0030147D" w:rsidP="00F10A94">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A. Akin-Olugbade</w:t>
      </w:r>
      <w:r w:rsidRPr="00E72418">
        <w:rPr>
          <w:szCs w:val="20"/>
          <w:lang w:val="en-US"/>
        </w:rPr>
        <w:t xml:space="preserve">, « The </w:t>
      </w:r>
      <w:r w:rsidRPr="00E72418">
        <w:rPr>
          <w:i/>
          <w:szCs w:val="20"/>
          <w:lang w:val="en-US"/>
        </w:rPr>
        <w:t>Donegal</w:t>
      </w:r>
      <w:r w:rsidRPr="00E72418">
        <w:rPr>
          <w:szCs w:val="20"/>
          <w:lang w:val="en-US"/>
        </w:rPr>
        <w:t xml:space="preserve"> Case and the African Legal Support Facility », in M. </w:t>
      </w:r>
      <w:r w:rsidRPr="00E72418">
        <w:rPr>
          <w:smallCaps/>
          <w:szCs w:val="20"/>
        </w:rPr>
        <w:t>Giovanoli</w:t>
      </w:r>
      <w:r w:rsidRPr="00E72418">
        <w:rPr>
          <w:szCs w:val="20"/>
        </w:rPr>
        <w:t xml:space="preserve"> et D. </w:t>
      </w:r>
      <w:r w:rsidRPr="00E72418">
        <w:rPr>
          <w:smallCaps/>
          <w:szCs w:val="20"/>
        </w:rPr>
        <w:t>Devos</w:t>
      </w:r>
      <w:r w:rsidRPr="00E72418">
        <w:rPr>
          <w:szCs w:val="20"/>
        </w:rPr>
        <w:t xml:space="preserve"> (éd.), </w:t>
      </w:r>
      <w:r w:rsidRPr="00E72418">
        <w:rPr>
          <w:i/>
          <w:szCs w:val="20"/>
          <w:lang w:val="en-US"/>
        </w:rPr>
        <w:t>International Monetary and Financial Law: The Global Crisis</w:t>
      </w:r>
      <w:r w:rsidRPr="00E72418">
        <w:rPr>
          <w:szCs w:val="20"/>
        </w:rPr>
        <w:t>, Oxford University Press, 2010, p. 413.</w:t>
      </w:r>
    </w:p>
  </w:footnote>
  <w:footnote w:id="33">
    <w:p w14:paraId="192B5EF8" w14:textId="0DF9FC6D" w:rsidR="0030147D" w:rsidRPr="00E72418" w:rsidRDefault="0030147D" w:rsidP="00373207">
      <w:pPr>
        <w:pStyle w:val="Sansinterligne"/>
      </w:pPr>
      <w:r w:rsidRPr="00E72418">
        <w:rPr>
          <w:rStyle w:val="Appelnotedebasdep"/>
        </w:rPr>
        <w:footnoteRef/>
      </w:r>
      <w:r w:rsidRPr="00E72418">
        <w:t xml:space="preserve"> F. </w:t>
      </w:r>
      <w:r w:rsidRPr="00E72418">
        <w:rPr>
          <w:smallCaps/>
        </w:rPr>
        <w:t>Ost</w:t>
      </w:r>
      <w:r w:rsidRPr="00E72418">
        <w:t xml:space="preserve">, </w:t>
      </w:r>
      <w:r w:rsidRPr="00E72418">
        <w:rPr>
          <w:rFonts w:cs="Times New Roman"/>
          <w:i/>
          <w:lang w:eastAsia="fr-BE"/>
        </w:rPr>
        <w:t>À</w:t>
      </w:r>
      <w:r w:rsidRPr="00E72418">
        <w:rPr>
          <w:i/>
        </w:rPr>
        <w:t xml:space="preserve"> quoi sert le droit ? </w:t>
      </w:r>
      <w:r w:rsidRPr="00E72418">
        <w:rPr>
          <w:rFonts w:ascii="Times New Roman" w:hAnsi="Times New Roman" w:cs="Times New Roman"/>
          <w:b/>
          <w:i/>
          <w:szCs w:val="24"/>
        </w:rPr>
        <w:t>–</w:t>
      </w:r>
      <w:r w:rsidRPr="00E72418">
        <w:rPr>
          <w:i/>
        </w:rPr>
        <w:t xml:space="preserve"> Usage, fonction, finalité</w:t>
      </w:r>
      <w:r w:rsidRPr="00E72418">
        <w:t>, Larcier, 2016, pp. 355 et suiv.</w:t>
      </w:r>
    </w:p>
  </w:footnote>
  <w:footnote w:id="34">
    <w:p w14:paraId="00D6C01F" w14:textId="0326AA30" w:rsidR="0030147D" w:rsidRPr="00E72418" w:rsidRDefault="0030147D" w:rsidP="001B3B74">
      <w:pPr>
        <w:pStyle w:val="Sansinterligne"/>
      </w:pPr>
      <w:r w:rsidRPr="00E72418">
        <w:rPr>
          <w:rStyle w:val="Appelnotedebasdep"/>
        </w:rPr>
        <w:footnoteRef/>
      </w:r>
      <w:r w:rsidRPr="00E72418">
        <w:t xml:space="preserve"> Voyez l’intitulé de la loi belge du 12 juillet 2015 dont question </w:t>
      </w:r>
      <w:r w:rsidRPr="00E72418">
        <w:rPr>
          <w:i/>
        </w:rPr>
        <w:t>infra</w:t>
      </w:r>
      <w:r w:rsidRPr="00E72418">
        <w:t xml:space="preserve"> n</w:t>
      </w:r>
      <w:r w:rsidRPr="00E72418">
        <w:rPr>
          <w:vertAlign w:val="superscript"/>
        </w:rPr>
        <w:t xml:space="preserve">os </w:t>
      </w:r>
      <w:r w:rsidRPr="00E72418">
        <w:t>324 et suiv.</w:t>
      </w:r>
    </w:p>
  </w:footnote>
  <w:footnote w:id="35">
    <w:p w14:paraId="6D740B2C" w14:textId="00790DA0" w:rsidR="0030147D" w:rsidRPr="00E72418" w:rsidRDefault="0030147D" w:rsidP="00890CFA">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R.I.D.E.</w:t>
      </w:r>
      <w:r w:rsidRPr="00E72418">
        <w:rPr>
          <w:szCs w:val="20"/>
        </w:rPr>
        <w:t>, 2018, p. 352.</w:t>
      </w:r>
    </w:p>
  </w:footnote>
  <w:footnote w:id="36">
    <w:p w14:paraId="17DD76F8" w14:textId="4EAD17C3" w:rsidR="0030147D" w:rsidRPr="00E72418" w:rsidRDefault="0030147D" w:rsidP="00F206BE">
      <w:pPr>
        <w:pStyle w:val="Sansinterligne"/>
      </w:pPr>
      <w:r w:rsidRPr="00E72418">
        <w:rPr>
          <w:rStyle w:val="Appelnotedebasdep"/>
          <w:szCs w:val="20"/>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xml:space="preserve">, p. 20. En 2014 déjà, le Comité consultatif parlait d’une « problématique complexe » nécessitant une « recherche approfondie » (Conseil des droits de l’homme des Nations Unies, </w:t>
      </w:r>
      <w:r w:rsidRPr="00E72418">
        <w:rPr>
          <w:i/>
        </w:rPr>
        <w:t>Rapport du Comité consultatif sur sa treizième session</w:t>
      </w:r>
      <w:r w:rsidRPr="00E72418">
        <w:t>, 12 septembre 2014, A/HRC/AC/13/2, p. 22).</w:t>
      </w:r>
    </w:p>
  </w:footnote>
  <w:footnote w:id="37">
    <w:p w14:paraId="35ADAD40" w14:textId="3081E3EE" w:rsidR="0030147D" w:rsidRPr="00E72418" w:rsidRDefault="0030147D" w:rsidP="00D4026F">
      <w:pPr>
        <w:pStyle w:val="Sansinterligne"/>
      </w:pPr>
      <w:r w:rsidRPr="00E72418">
        <w:rPr>
          <w:rStyle w:val="Appelnotedebasdep"/>
        </w:rPr>
        <w:footnoteRef/>
      </w:r>
      <w:r w:rsidRPr="00E72418">
        <w:t xml:space="preserve"> Dans un souci de lisibilité, les références jurisprudentielles sont faites suivant leur forme originale. Les règles méthodologiques généralement utilisées en Belgique sont celles mobilisées afin de référencer les sources doctrinales.</w:t>
      </w:r>
    </w:p>
  </w:footnote>
  <w:footnote w:id="38">
    <w:p w14:paraId="28D3BEA5" w14:textId="11747827" w:rsidR="0030147D" w:rsidRPr="00E72418" w:rsidRDefault="0030147D" w:rsidP="007F2750">
      <w:pPr>
        <w:pStyle w:val="Sansinterligne"/>
      </w:pPr>
      <w:r w:rsidRPr="00E72418">
        <w:rPr>
          <w:rStyle w:val="Appelnotedebasdep"/>
        </w:rPr>
        <w:footnoteRef/>
      </w:r>
      <w:r w:rsidRPr="00E72418">
        <w:t xml:space="preserve"> Voyez Fonds monétaire international, </w:t>
      </w:r>
      <w:r w:rsidRPr="00E72418">
        <w:rPr>
          <w:i/>
        </w:rPr>
        <w:t xml:space="preserve">The international architecture for resolving sovereign debt involving private-sector creditors </w:t>
      </w:r>
      <w:r w:rsidRPr="00E72418">
        <w:rPr>
          <w:b/>
          <w:i/>
        </w:rPr>
        <w:t>–</w:t>
      </w:r>
      <w:r w:rsidRPr="00E72418">
        <w:rPr>
          <w:i/>
        </w:rPr>
        <w:t xml:space="preserve"> Recent developments, challenges, and reform options</w:t>
      </w:r>
      <w:r w:rsidRPr="00E72418">
        <w:t>, 23 septembre 2020, p. 27.</w:t>
      </w:r>
    </w:p>
  </w:footnote>
  <w:footnote w:id="39">
    <w:p w14:paraId="42D7E166" w14:textId="77777777" w:rsidR="0030147D" w:rsidRPr="00E72418" w:rsidRDefault="0030147D" w:rsidP="005F0C17">
      <w:pPr>
        <w:pStyle w:val="Sansinterligne"/>
      </w:pPr>
      <w:r w:rsidRPr="00E72418">
        <w:rPr>
          <w:rStyle w:val="Appelnotedebasdep"/>
        </w:rPr>
        <w:footnoteRef/>
      </w:r>
      <w:r w:rsidRPr="00E72418">
        <w:t xml:space="preserve"> Voyez ainsi </w:t>
      </w:r>
      <w:r w:rsidRPr="00E72418">
        <w:rPr>
          <w:i/>
        </w:rPr>
        <w:t>infra</w:t>
      </w:r>
      <w:r w:rsidRPr="00E72418">
        <w:t xml:space="preserve"> n</w:t>
      </w:r>
      <w:r w:rsidRPr="00E72418">
        <w:rPr>
          <w:vertAlign w:val="superscript"/>
        </w:rPr>
        <w:t>os</w:t>
      </w:r>
      <w:r w:rsidRPr="00E72418">
        <w:t xml:space="preserve"> 83 et suiv.</w:t>
      </w:r>
    </w:p>
  </w:footnote>
  <w:footnote w:id="40">
    <w:p w14:paraId="2629D5CC" w14:textId="315810EB"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R. Kolb</w:t>
      </w:r>
      <w:r w:rsidRPr="00E72418">
        <w:t xml:space="preserve">, « The Virtue of Vultures: Distressed Debt Investors in the Sovereign Debt Market », </w:t>
      </w:r>
      <w:r w:rsidRPr="00E72418">
        <w:rPr>
          <w:rFonts w:ascii="Times New Roman" w:hAnsi="Times New Roman" w:cs="Times New Roman"/>
          <w:i/>
        </w:rPr>
        <w:t>J. Soc. Polit. Econ. Stud.</w:t>
      </w:r>
      <w:r w:rsidRPr="00E72418">
        <w:t>, 2015, p. 370.</w:t>
      </w:r>
    </w:p>
  </w:footnote>
  <w:footnote w:id="41">
    <w:p w14:paraId="2DFBB473" w14:textId="4F6ED07F"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N. Jagers</w:t>
      </w:r>
      <w:r w:rsidRPr="00E72418">
        <w:rPr>
          <w:szCs w:val="20"/>
          <w:lang w:val="en-US"/>
        </w:rPr>
        <w:t xml:space="preserve">, « Sovereign Financing and the Human Rights Responsibilities of Private Creditors », in J. </w:t>
      </w:r>
      <w:r w:rsidRPr="00E72418">
        <w:rPr>
          <w:smallCaps/>
          <w:szCs w:val="20"/>
          <w:lang w:val="en-US"/>
        </w:rPr>
        <w:t>Bohoslavsky</w:t>
      </w:r>
      <w:r w:rsidRPr="00E72418">
        <w:rPr>
          <w:szCs w:val="20"/>
          <w:lang w:val="en-US"/>
        </w:rPr>
        <w:t xml:space="preserve"> et J. </w:t>
      </w:r>
      <w:r w:rsidRPr="00E72418">
        <w:rPr>
          <w:smallCaps/>
          <w:szCs w:val="20"/>
          <w:lang w:val="en-US"/>
        </w:rPr>
        <w:t>Cernic</w:t>
      </w:r>
      <w:r w:rsidRPr="00E72418">
        <w:rPr>
          <w:szCs w:val="20"/>
          <w:lang w:val="en-US"/>
        </w:rPr>
        <w:t xml:space="preserve"> (éd.), </w:t>
      </w:r>
      <w:r w:rsidRPr="00E72418">
        <w:rPr>
          <w:i/>
          <w:szCs w:val="20"/>
          <w:lang w:val="en-US"/>
        </w:rPr>
        <w:t>Making Sovereign Financing and Human Rights Work</w:t>
      </w:r>
      <w:r w:rsidRPr="00E72418">
        <w:rPr>
          <w:szCs w:val="20"/>
          <w:lang w:val="en-US"/>
        </w:rPr>
        <w:t>, Hart Publishing, 2014, p. 181.</w:t>
      </w:r>
    </w:p>
  </w:footnote>
  <w:footnote w:id="42">
    <w:p w14:paraId="2C46623E" w14:textId="12712500" w:rsidR="0030147D" w:rsidRPr="00E72418" w:rsidRDefault="0030147D" w:rsidP="00F177C1">
      <w:pPr>
        <w:pStyle w:val="Sansinterligne"/>
        <w:rPr>
          <w:rFonts w:ascii="Times New Roman" w:hAnsi="Times New Roman"/>
          <w:szCs w:val="20"/>
        </w:rPr>
      </w:pPr>
      <w:r w:rsidRPr="00E72418">
        <w:rPr>
          <w:rStyle w:val="Appelnotedebasdep"/>
          <w:szCs w:val="20"/>
        </w:rPr>
        <w:footnoteRef/>
      </w:r>
      <w:r w:rsidRPr="00E72418">
        <w:rPr>
          <w:szCs w:val="20"/>
        </w:rPr>
        <w:t xml:space="preserve"> </w:t>
      </w:r>
      <w:r w:rsidRPr="00E72418">
        <w:rPr>
          <w:smallCaps/>
          <w:szCs w:val="20"/>
        </w:rPr>
        <w:t>B. Chabot</w:t>
      </w:r>
      <w:r w:rsidRPr="00E72418">
        <w:rPr>
          <w:szCs w:val="20"/>
        </w:rPr>
        <w:t xml:space="preserve"> et </w:t>
      </w:r>
      <w:r w:rsidRPr="00E72418">
        <w:rPr>
          <w:smallCaps/>
          <w:szCs w:val="20"/>
        </w:rPr>
        <w:t>V. Santarosa</w:t>
      </w:r>
      <w:r w:rsidRPr="00E72418">
        <w:rPr>
          <w:szCs w:val="20"/>
        </w:rPr>
        <w:t xml:space="preserve">, </w:t>
      </w:r>
      <w:r w:rsidRPr="00E72418">
        <w:t>« Don’t cry for Argentina (or other Sovereign borrowers): lessons from a previous era of sovereign debt contract enforcement »</w:t>
      </w:r>
      <w:r w:rsidRPr="00E72418">
        <w:rPr>
          <w:szCs w:val="20"/>
        </w:rPr>
        <w:t xml:space="preserve">, </w:t>
      </w:r>
      <w:r w:rsidRPr="00E72418">
        <w:rPr>
          <w:rFonts w:ascii="Times New Roman" w:hAnsi="Times New Roman"/>
          <w:i/>
          <w:szCs w:val="20"/>
        </w:rPr>
        <w:t>C.M.L.J.</w:t>
      </w:r>
      <w:r w:rsidRPr="00E72418">
        <w:rPr>
          <w:szCs w:val="20"/>
        </w:rPr>
        <w:t>, 2017, pp. 15 et 16.</w:t>
      </w:r>
    </w:p>
  </w:footnote>
  <w:footnote w:id="43">
    <w:p w14:paraId="23339C6C" w14:textId="6AB40AA6"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Remédier à l’insolvabilité des </w:t>
      </w:r>
      <w:r w:rsidRPr="00E72418">
        <w:rPr>
          <w:szCs w:val="20"/>
          <w:lang w:eastAsia="fr-BE"/>
        </w:rPr>
        <w:t>É</w:t>
      </w:r>
      <w:r w:rsidRPr="00E72418">
        <w:rPr>
          <w:szCs w:val="20"/>
        </w:rPr>
        <w:t xml:space="preserve">tats », in C. </w:t>
      </w:r>
      <w:r w:rsidRPr="00E72418">
        <w:rPr>
          <w:smallCaps/>
          <w:szCs w:val="20"/>
        </w:rPr>
        <w:t>Bricteux</w:t>
      </w:r>
      <w:r w:rsidRPr="00E72418">
        <w:rPr>
          <w:szCs w:val="20"/>
        </w:rPr>
        <w:t xml:space="preserve"> et B. </w:t>
      </w:r>
      <w:r w:rsidRPr="00E72418">
        <w:rPr>
          <w:smallCaps/>
          <w:szCs w:val="20"/>
        </w:rPr>
        <w:t>Frydman</w:t>
      </w:r>
      <w:r w:rsidRPr="00E72418">
        <w:rPr>
          <w:szCs w:val="20"/>
        </w:rPr>
        <w:t xml:space="preserve"> (dir.), </w:t>
      </w:r>
      <w:r w:rsidRPr="00E72418">
        <w:rPr>
          <w:i/>
          <w:szCs w:val="20"/>
        </w:rPr>
        <w:t>Les défis du droit global</w:t>
      </w:r>
      <w:r w:rsidRPr="00E72418">
        <w:rPr>
          <w:szCs w:val="20"/>
        </w:rPr>
        <w:t>, Bruylant, 2018, p. 152.</w:t>
      </w:r>
    </w:p>
  </w:footnote>
  <w:footnote w:id="44">
    <w:p w14:paraId="0E04A20C" w14:textId="2D838A40"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t xml:space="preserve"> M. </w:t>
      </w:r>
      <w:r w:rsidRPr="00E72418">
        <w:rPr>
          <w:smallCaps/>
        </w:rPr>
        <w:t>Megliani</w:t>
      </w:r>
      <w:r w:rsidRPr="00E72418">
        <w:t xml:space="preserve">, « For the Orphan, the Widow, the Poor: How to Curb Enforcing by Vulture Funds against the Highly Indebted Poor Countries », </w:t>
      </w:r>
      <w:r w:rsidRPr="00E72418">
        <w:rPr>
          <w:rFonts w:ascii="Times New Roman" w:hAnsi="Times New Roman" w:cs="Times New Roman"/>
          <w:i/>
        </w:rPr>
        <w:t>L.J.I.L.</w:t>
      </w:r>
      <w:r w:rsidRPr="00E72418">
        <w:t>, 2018, p. 363.</w:t>
      </w:r>
    </w:p>
  </w:footnote>
  <w:footnote w:id="45">
    <w:p w14:paraId="62C94C6C" w14:textId="5B56A3C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Il est des situations où les États peuvent également avoir besoin urgemment d’argent pour parer à des difficultés rencontrées comme des calamités économiques imprévues, des catastrophes naturelles ou encore des bouleversements politiques (</w:t>
      </w:r>
      <w:r w:rsidRPr="00E72418">
        <w:rPr>
          <w:rStyle w:val="Titre5Car"/>
          <w:rFonts w:ascii="Times" w:eastAsiaTheme="minorHAnsi" w:hAnsi="Times" w:cstheme="minorBidi"/>
          <w:smallCaps/>
          <w:color w:val="auto"/>
          <w:szCs w:val="20"/>
        </w:rPr>
        <w:t>J. Muse-Fisher</w:t>
      </w:r>
      <w:r w:rsidRPr="00E72418">
        <w:rPr>
          <w:rStyle w:val="Titre5Car"/>
          <w:rFonts w:ascii="Times" w:eastAsiaTheme="minorHAnsi" w:hAnsi="Times" w:cstheme="minorBidi"/>
          <w:color w:val="auto"/>
          <w:szCs w:val="20"/>
        </w:rPr>
        <w:t xml:space="preserve">, « Starving the Vultures: </w:t>
      </w:r>
      <w:r w:rsidRPr="00E72418">
        <w:rPr>
          <w:rStyle w:val="Titre5Car"/>
          <w:rFonts w:ascii="Times" w:eastAsiaTheme="minorHAnsi" w:hAnsi="Times" w:cstheme="minorBidi"/>
          <w:i/>
          <w:color w:val="auto"/>
          <w:szCs w:val="20"/>
        </w:rPr>
        <w:t>NML Capital v. Republic of Argentina</w:t>
      </w:r>
      <w:r w:rsidRPr="00E72418">
        <w:rPr>
          <w:rStyle w:val="Titre5Car"/>
          <w:rFonts w:ascii="Times" w:eastAsiaTheme="minorHAnsi" w:hAnsi="Times" w:cstheme="minorBidi"/>
          <w:color w:val="auto"/>
          <w:szCs w:val="20"/>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rPr>
        <w:t>, p. 1681)</w:t>
      </w:r>
      <w:r w:rsidRPr="00E72418">
        <w:rPr>
          <w:szCs w:val="20"/>
        </w:rPr>
        <w:t>. Le recours à l’emprunt sur les marchés financiers peut alors s’avérer être un moyen de disposer rapidement de ressources visant à surmonter les urgences rencontrées.</w:t>
      </w:r>
    </w:p>
  </w:footnote>
  <w:footnote w:id="46">
    <w:p w14:paraId="5F85AF90" w14:textId="21849F5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i/>
          <w:color w:val="auto"/>
          <w:szCs w:val="20"/>
          <w:lang w:val="en-US"/>
        </w:rPr>
        <w:t>Ibid.</w:t>
      </w:r>
      <w:r w:rsidRPr="00E72418">
        <w:rPr>
          <w:rStyle w:val="Titre5Car"/>
          <w:rFonts w:ascii="Times" w:eastAsiaTheme="minorHAnsi" w:hAnsi="Times" w:cstheme="minorBidi"/>
          <w:color w:val="auto"/>
          <w:szCs w:val="20"/>
          <w:lang w:val="en-US"/>
        </w:rPr>
        <w:t>, p. 1679.</w:t>
      </w:r>
    </w:p>
  </w:footnote>
  <w:footnote w:id="47">
    <w:p w14:paraId="26AD0978" w14:textId="1B8D2A29"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Le Parlement européen souligne que l’accès aux marchés financiers internationaux permet aux pays en développement de mobiliser des fonds en vue de réaliser les objectifs de développement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point 2). </w:t>
      </w:r>
      <w:r w:rsidRPr="00E72418">
        <w:rPr>
          <w:rStyle w:val="Titre5Car"/>
          <w:rFonts w:ascii="Times" w:eastAsiaTheme="minorHAnsi" w:hAnsi="Times" w:cstheme="minorBidi"/>
          <w:color w:val="auto"/>
          <w:szCs w:val="20"/>
          <w:lang w:val="en-US"/>
        </w:rPr>
        <w:t xml:space="preserve">Voyez également </w:t>
      </w:r>
      <w:r w:rsidRPr="00E72418">
        <w:rPr>
          <w:szCs w:val="20"/>
          <w:lang w:val="en-US"/>
        </w:rPr>
        <w:t xml:space="preserve">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5 : « commercial borrowing can play a beneficial role in catalysing the growth and development of some low-income countries ». </w:t>
      </w:r>
      <w:r w:rsidRPr="00E72418">
        <w:rPr>
          <w:rStyle w:val="Titre5Car"/>
          <w:rFonts w:ascii="Times" w:eastAsiaTheme="minorHAnsi" w:hAnsi="Times" w:cstheme="minorBidi"/>
          <w:color w:val="auto"/>
          <w:szCs w:val="20"/>
          <w:lang w:val="en-US"/>
        </w:rPr>
        <w:t>Pour Juan Pablo Bohoslavsky et Jernej Cernic, la dette souveraine est d’ailleurs un des outils les plus efficaces pour réaliser des politiques économiques et sociales (</w:t>
      </w:r>
      <w:r w:rsidRPr="00E72418">
        <w:rPr>
          <w:rStyle w:val="Titre5Car"/>
          <w:rFonts w:ascii="Times" w:eastAsiaTheme="minorHAnsi" w:hAnsi="Times" w:cstheme="minorBidi"/>
          <w:smallCaps/>
          <w:color w:val="auto"/>
          <w:szCs w:val="20"/>
          <w:lang w:val="en-US"/>
        </w:rPr>
        <w:t xml:space="preserve">J. </w:t>
      </w:r>
      <w:r w:rsidRPr="00E72418">
        <w:rPr>
          <w:smallCaps/>
          <w:szCs w:val="20"/>
          <w:lang w:val="en-US"/>
        </w:rPr>
        <w:t>Bohoslavsky</w:t>
      </w:r>
      <w:r w:rsidRPr="00E72418">
        <w:rPr>
          <w:szCs w:val="20"/>
          <w:lang w:val="en-US"/>
        </w:rPr>
        <w:t xml:space="preserve"> et </w:t>
      </w:r>
      <w:r w:rsidRPr="00E72418">
        <w:rPr>
          <w:smallCaps/>
          <w:szCs w:val="20"/>
          <w:lang w:val="en-US"/>
        </w:rPr>
        <w:t>J. Cernic</w:t>
      </w:r>
      <w:r w:rsidRPr="00E72418">
        <w:rPr>
          <w:szCs w:val="20"/>
          <w:lang w:val="en-US"/>
        </w:rPr>
        <w:t xml:space="preserve">, « Placing Human Rights at the Centre of Sovereign Financing », in J. </w:t>
      </w:r>
      <w:r w:rsidRPr="00E72418">
        <w:rPr>
          <w:smallCaps/>
          <w:szCs w:val="20"/>
          <w:lang w:val="en-US"/>
        </w:rPr>
        <w:t>Bohoslavsky</w:t>
      </w:r>
      <w:r w:rsidRPr="00E72418">
        <w:rPr>
          <w:szCs w:val="20"/>
          <w:lang w:val="en-US"/>
        </w:rPr>
        <w:t xml:space="preserve"> et J. </w:t>
      </w:r>
      <w:r w:rsidRPr="00E72418">
        <w:rPr>
          <w:smallCaps/>
          <w:szCs w:val="20"/>
          <w:lang w:val="en-US"/>
        </w:rPr>
        <w:t>Cernic</w:t>
      </w:r>
      <w:r w:rsidRPr="00E72418">
        <w:rPr>
          <w:szCs w:val="20"/>
          <w:lang w:val="en-US"/>
        </w:rPr>
        <w:t xml:space="preserve"> (éd.), </w:t>
      </w:r>
      <w:r w:rsidRPr="00E72418">
        <w:rPr>
          <w:i/>
          <w:szCs w:val="20"/>
          <w:lang w:val="en-US"/>
        </w:rPr>
        <w:t>Making Sovereign Financing and Human Rights Work</w:t>
      </w:r>
      <w:r w:rsidRPr="00E72418">
        <w:rPr>
          <w:szCs w:val="20"/>
          <w:lang w:val="en-US"/>
        </w:rPr>
        <w:t>, Hart Publishing, 2014, p. 1).</w:t>
      </w:r>
    </w:p>
  </w:footnote>
  <w:footnote w:id="48">
    <w:p w14:paraId="5751187C" w14:textId="64A24D26"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point 1.</w:t>
      </w:r>
    </w:p>
  </w:footnote>
  <w:footnote w:id="49">
    <w:p w14:paraId="6E01EC05" w14:textId="3D384B3F" w:rsidR="0030147D" w:rsidRPr="00E72418" w:rsidRDefault="0030147D" w:rsidP="0011623A">
      <w:pPr>
        <w:pStyle w:val="Sansinterligne"/>
      </w:pPr>
      <w:r w:rsidRPr="00E72418">
        <w:rPr>
          <w:rStyle w:val="Appelnotedebasdep"/>
        </w:rPr>
        <w:footnoteRef/>
      </w:r>
      <w:r w:rsidRPr="00E72418">
        <w:t xml:space="preserve"> Cette prudence se justifie d’autant plus que le principe de la continuité de la dette fait que celle-ci sera supportée par les générations futures. De ce principe qui doit conduire à la prudence lors de l’emprunt, Lee Buchheit relève que « </w:t>
      </w:r>
      <w:r w:rsidRPr="00E72418">
        <w:rPr>
          <w:rFonts w:ascii="Times New Roman" w:hAnsi="Times New Roman" w:cs="Times New Roman"/>
        </w:rPr>
        <w:t xml:space="preserve">[p]rudence will be reflected in the motivation for the borrowing », l’auteur notant que « [s]ome purposes are more defensible, in an intergenerational sense, than others: borrowing to build or refurbish infrastructure; defending the state against an external military threat; and so forth » et qu’ « [o]thers are less so: financing current government expenses as a more politically palatable alternative to taxing the voting public is an obvious example » (L. </w:t>
      </w:r>
      <w:r w:rsidRPr="00E72418">
        <w:rPr>
          <w:rFonts w:eastAsia="Times New Roman" w:cs="Times New Roman"/>
          <w:smallCaps/>
          <w:szCs w:val="24"/>
          <w:lang w:val="en-US" w:eastAsia="fr-BE"/>
        </w:rPr>
        <w:t>Buchheit, « </w:t>
      </w:r>
      <w:r w:rsidRPr="00E72418">
        <w:rPr>
          <w:rFonts w:eastAsia="Times New Roman" w:cs="Times New Roman"/>
          <w:szCs w:val="24"/>
          <w:lang w:val="en-US" w:eastAsia="fr-BE"/>
        </w:rPr>
        <w:t>Sovereign Debt in the Light of Eternity »</w:t>
      </w:r>
      <w:r w:rsidRPr="00E72418">
        <w:rPr>
          <w:rFonts w:eastAsia="Times New Roman" w:cs="Times New Roman"/>
          <w:smallCaps/>
          <w:szCs w:val="24"/>
          <w:lang w:val="en-US" w:eastAsia="fr-BE"/>
        </w:rPr>
        <w:t xml:space="preserve">, </w:t>
      </w:r>
      <w:r w:rsidRPr="00E72418">
        <w:rPr>
          <w:rFonts w:cs="Times New Roman"/>
          <w:i/>
          <w:szCs w:val="24"/>
          <w:lang w:val="en-US"/>
        </w:rPr>
        <w:t>op. cit.</w:t>
      </w:r>
      <w:r w:rsidRPr="00E72418">
        <w:rPr>
          <w:rFonts w:cs="Times New Roman"/>
          <w:szCs w:val="24"/>
          <w:lang w:val="en-US"/>
        </w:rPr>
        <w:t>, p. 465).</w:t>
      </w:r>
      <w:r w:rsidRPr="00E72418">
        <w:rPr>
          <w:rFonts w:ascii="Times New Roman" w:hAnsi="Times New Roman" w:cs="Times New Roman"/>
        </w:rPr>
        <w:t xml:space="preserve"> </w:t>
      </w:r>
    </w:p>
  </w:footnote>
  <w:footnote w:id="50">
    <w:p w14:paraId="5D25295B" w14:textId="4CCD4EBF" w:rsidR="0030147D" w:rsidRPr="00E72418" w:rsidRDefault="0030147D" w:rsidP="00E07ABA">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smallCaps/>
          <w:color w:val="auto"/>
          <w:szCs w:val="20"/>
        </w:rPr>
        <w:t>R. Gelos, R. Sahay</w:t>
      </w:r>
      <w:r w:rsidRPr="00E72418">
        <w:rPr>
          <w:rStyle w:val="Titre5Car"/>
          <w:rFonts w:ascii="Times" w:eastAsiaTheme="minorHAnsi" w:hAnsi="Times" w:cstheme="minorBidi"/>
          <w:color w:val="auto"/>
          <w:szCs w:val="20"/>
        </w:rPr>
        <w:t xml:space="preserve"> et </w:t>
      </w:r>
      <w:r w:rsidRPr="00E72418">
        <w:rPr>
          <w:rStyle w:val="Titre5Car"/>
          <w:rFonts w:ascii="Times" w:eastAsiaTheme="minorHAnsi" w:hAnsi="Times" w:cstheme="minorBidi"/>
          <w:smallCaps/>
          <w:color w:val="auto"/>
          <w:szCs w:val="20"/>
        </w:rPr>
        <w:t>G. Sandleris</w:t>
      </w:r>
      <w:r w:rsidRPr="00E72418">
        <w:rPr>
          <w:rStyle w:val="Titre5Car"/>
          <w:rFonts w:ascii="Times" w:eastAsiaTheme="minorHAnsi" w:hAnsi="Times" w:cstheme="minorBidi"/>
          <w:color w:val="auto"/>
          <w:szCs w:val="20"/>
        </w:rPr>
        <w:t xml:space="preserve">, </w:t>
      </w:r>
      <w:r w:rsidRPr="00E72418">
        <w:t xml:space="preserve">« </w:t>
      </w:r>
      <w:r w:rsidRPr="00E72418">
        <w:rPr>
          <w:rStyle w:val="Titre5Car"/>
          <w:rFonts w:ascii="Times" w:eastAsiaTheme="minorHAnsi" w:hAnsi="Times" w:cstheme="minorBidi"/>
          <w:color w:val="auto"/>
          <w:szCs w:val="20"/>
        </w:rPr>
        <w:t xml:space="preserve">Sovereign Borrowing by Developing Countries: What Determines Market Access? </w:t>
      </w:r>
      <w:r w:rsidRPr="00E72418">
        <w:rPr>
          <w:szCs w:val="20"/>
        </w:rPr>
        <w:t>»</w:t>
      </w:r>
      <w:r w:rsidRPr="00E72418">
        <w:rPr>
          <w:rStyle w:val="Titre5Car"/>
          <w:rFonts w:ascii="Times" w:eastAsiaTheme="minorHAnsi" w:hAnsi="Times" w:cstheme="minorBidi"/>
          <w:color w:val="auto"/>
          <w:szCs w:val="20"/>
        </w:rPr>
        <w:t>, IMF Working Paper WP/04/221, 2004, p. 4. L’on peut ici donner l’exemple argentin où le pays, en déroute financière, vit se succéder</w:t>
      </w:r>
      <w:r>
        <w:rPr>
          <w:rStyle w:val="Titre5Car"/>
          <w:rFonts w:ascii="Times" w:eastAsiaTheme="minorHAnsi" w:hAnsi="Times" w:cstheme="minorBidi"/>
          <w:color w:val="auto"/>
          <w:szCs w:val="20"/>
        </w:rPr>
        <w:t>,</w:t>
      </w:r>
      <w:r w:rsidRPr="00E72418">
        <w:rPr>
          <w:rStyle w:val="Titre5Car"/>
          <w:rFonts w:ascii="Times" w:eastAsiaTheme="minorHAnsi" w:hAnsi="Times" w:cstheme="minorBidi"/>
          <w:color w:val="auto"/>
          <w:szCs w:val="20"/>
        </w:rPr>
        <w:t xml:space="preserve"> sur un court laps de temps</w:t>
      </w:r>
      <w:r>
        <w:rPr>
          <w:rStyle w:val="Titre5Car"/>
          <w:rFonts w:ascii="Times" w:eastAsiaTheme="minorHAnsi" w:hAnsi="Times" w:cstheme="minorBidi"/>
          <w:color w:val="auto"/>
          <w:szCs w:val="20"/>
        </w:rPr>
        <w:t>,</w:t>
      </w:r>
      <w:r w:rsidRPr="00E72418">
        <w:rPr>
          <w:rStyle w:val="Titre5Car"/>
          <w:rFonts w:ascii="Times" w:eastAsiaTheme="minorHAnsi" w:hAnsi="Times" w:cstheme="minorBidi"/>
          <w:color w:val="auto"/>
          <w:szCs w:val="20"/>
        </w:rPr>
        <w:t xml:space="preserve"> différents présidents (voyez </w:t>
      </w:r>
      <w:r w:rsidRPr="00E72418">
        <w:rPr>
          <w:rStyle w:val="Titre5Car"/>
          <w:rFonts w:ascii="Times" w:eastAsiaTheme="minorHAnsi" w:hAnsi="Times" w:cstheme="minorBidi"/>
          <w:i/>
          <w:color w:val="auto"/>
          <w:szCs w:val="20"/>
        </w:rPr>
        <w:t xml:space="preserve">infra </w:t>
      </w:r>
      <w:r w:rsidRPr="00E72418">
        <w:rPr>
          <w:rStyle w:val="Titre5Car"/>
          <w:rFonts w:ascii="Times" w:eastAsiaTheme="minorHAnsi" w:hAnsi="Times" w:cstheme="minorBidi"/>
          <w:color w:val="auto"/>
          <w:szCs w:val="20"/>
        </w:rPr>
        <w:t>n° 87).</w:t>
      </w:r>
    </w:p>
  </w:footnote>
  <w:footnote w:id="51">
    <w:p w14:paraId="75B07FDE" w14:textId="018AE00A" w:rsidR="0030147D" w:rsidRPr="00E72418" w:rsidRDefault="0030147D" w:rsidP="00F618EA">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rStyle w:val="Titre5Car"/>
          <w:rFonts w:ascii="Times" w:eastAsiaTheme="minorHAnsi" w:hAnsi="Times" w:cstheme="minorBidi"/>
          <w:smallCaps/>
          <w:color w:val="auto"/>
          <w:szCs w:val="20"/>
        </w:rPr>
        <w:t>T. Samples</w:t>
      </w:r>
      <w:r w:rsidRPr="00E72418">
        <w:rPr>
          <w:rStyle w:val="Titre5Car"/>
          <w:rFonts w:ascii="Times" w:eastAsiaTheme="minorHAnsi" w:hAnsi="Times" w:cstheme="minorBidi"/>
          <w:color w:val="auto"/>
          <w:szCs w:val="20"/>
        </w:rPr>
        <w:t xml:space="preserve">, « Rogue Trends in Sovereign Debt: Argentina, Vulture Funds, and </w:t>
      </w:r>
      <w:r w:rsidRPr="00E72418">
        <w:rPr>
          <w:rStyle w:val="Titre5Car"/>
          <w:rFonts w:ascii="Times" w:eastAsiaTheme="minorHAnsi" w:hAnsi="Times" w:cstheme="minorBidi"/>
          <w:i/>
          <w:color w:val="auto"/>
          <w:szCs w:val="20"/>
        </w:rPr>
        <w:t>Pari Passu</w:t>
      </w:r>
      <w:r w:rsidRPr="00E72418">
        <w:rPr>
          <w:rStyle w:val="Titre5Car"/>
          <w:rFonts w:ascii="Times" w:eastAsiaTheme="minorHAnsi" w:hAnsi="Times" w:cstheme="minorBidi"/>
          <w:color w:val="auto"/>
          <w:szCs w:val="20"/>
        </w:rPr>
        <w:t xml:space="preserve"> Under New York Law », </w:t>
      </w:r>
      <w:r w:rsidRPr="00E72418">
        <w:rPr>
          <w:rFonts w:ascii="Times New Roman" w:hAnsi="Times New Roman" w:cs="Times New Roman"/>
          <w:i/>
        </w:rPr>
        <w:t>Nw. J. Int. Law &amp; Bus.</w:t>
      </w:r>
      <w:r w:rsidRPr="00E72418">
        <w:rPr>
          <w:rStyle w:val="Titre5Car"/>
          <w:rFonts w:ascii="Times" w:eastAsiaTheme="minorHAnsi" w:hAnsi="Times" w:cstheme="minorBidi"/>
          <w:color w:val="auto"/>
          <w:szCs w:val="20"/>
        </w:rPr>
        <w:t xml:space="preserve">, 2014, p. 51: « </w:t>
      </w:r>
      <w:r w:rsidRPr="00E72418">
        <w:t>[t]</w:t>
      </w:r>
      <w:r w:rsidRPr="00E72418">
        <w:rPr>
          <w:rStyle w:val="Titre5Car"/>
          <w:rFonts w:ascii="Times" w:eastAsiaTheme="minorHAnsi" w:hAnsi="Times" w:cstheme="minorBidi"/>
          <w:color w:val="auto"/>
          <w:szCs w:val="20"/>
        </w:rPr>
        <w:t>rends in sovereign debt have crucial consequences around the world for human welfare, political stability, financial systems, and even national security ».</w:t>
      </w:r>
    </w:p>
  </w:footnote>
  <w:footnote w:id="52">
    <w:p w14:paraId="0F265280" w14:textId="0128E342"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A.F.D.I.</w:t>
      </w:r>
      <w:r w:rsidRPr="00E72418">
        <w:rPr>
          <w:szCs w:val="20"/>
        </w:rPr>
        <w:t xml:space="preserve">, 2012, p. 492. Comme le note l’auteur, les seules règles existantes ont trait à l’équilibre des finances publiques ou à la discipline budgétaire (l’on peut ainsi donner l’exemple du traité de Maastricht de 1992 qui imposait la limite de soixante pour cent pour le rapport entre la dette publique et le produit intérieur brut aux prix du marché). Notons encore l’existence de divers instruments de </w:t>
      </w:r>
      <w:r w:rsidRPr="00E72418">
        <w:rPr>
          <w:i/>
          <w:szCs w:val="20"/>
        </w:rPr>
        <w:t>soft law</w:t>
      </w:r>
      <w:r w:rsidRPr="00E72418">
        <w:rPr>
          <w:szCs w:val="20"/>
        </w:rPr>
        <w:t xml:space="preserve"> comme les différents principes pour l’octroi de prêts et la souscription d’emprunts souverains responsables formulés en 2012 par la Conférence des Nations Unies sur le commerce et le développement (Conférence des Nations Unies sur le commerce et le développement, </w:t>
      </w:r>
      <w:r w:rsidRPr="00E72418">
        <w:rPr>
          <w:i/>
          <w:szCs w:val="20"/>
        </w:rPr>
        <w:t>Principes pour l’octroi de prêts et la souscription d’emprunts souverains responsables</w:t>
      </w:r>
      <w:r w:rsidRPr="00E72418">
        <w:rPr>
          <w:szCs w:val="20"/>
        </w:rPr>
        <w:t xml:space="preserve">, 10 janvier 2012. Sur ces principes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38, 70, 163, 246, 255 et 259). </w:t>
      </w:r>
    </w:p>
  </w:footnote>
  <w:footnote w:id="53">
    <w:p w14:paraId="4C37ACE0" w14:textId="79511552"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 Dettes d’</w:t>
      </w:r>
      <w:r w:rsidRPr="00E72418">
        <w:rPr>
          <w:szCs w:val="20"/>
          <w:lang w:eastAsia="fr-BE"/>
        </w:rPr>
        <w:t>É</w:t>
      </w:r>
      <w:r w:rsidRPr="00E72418">
        <w:rPr>
          <w:szCs w:val="20"/>
        </w:rPr>
        <w:t xml:space="preserve">tat », </w:t>
      </w:r>
      <w:r w:rsidRPr="00E72418">
        <w:rPr>
          <w:i/>
          <w:szCs w:val="20"/>
          <w:lang w:val="en-US"/>
        </w:rPr>
        <w:t>op. cit.</w:t>
      </w:r>
      <w:r>
        <w:rPr>
          <w:szCs w:val="20"/>
        </w:rPr>
        <w:t>, n</w:t>
      </w:r>
      <w:r w:rsidRPr="0089722C">
        <w:rPr>
          <w:szCs w:val="20"/>
          <w:vertAlign w:val="superscript"/>
        </w:rPr>
        <w:t>os</w:t>
      </w:r>
      <w:r>
        <w:rPr>
          <w:szCs w:val="20"/>
        </w:rPr>
        <w:t xml:space="preserve"> 1 et </w:t>
      </w:r>
      <w:r w:rsidRPr="00E72418">
        <w:rPr>
          <w:szCs w:val="20"/>
        </w:rPr>
        <w:t xml:space="preserve">13 et G. </w:t>
      </w:r>
      <w:r w:rsidRPr="00E72418">
        <w:rPr>
          <w:smallCaps/>
          <w:szCs w:val="20"/>
        </w:rPr>
        <w:t>Pavlidis</w:t>
      </w:r>
      <w:r w:rsidRPr="00E72418">
        <w:rPr>
          <w:szCs w:val="20"/>
        </w:rPr>
        <w:t>, « </w:t>
      </w:r>
      <w:r w:rsidRPr="00E72418">
        <w:rPr>
          <w:lang w:eastAsia="fr-BE"/>
        </w:rPr>
        <w:t xml:space="preserve">Vers une nouvelle génération de clauses dans les contrats d’émission d’obligations souveraines </w:t>
      </w:r>
      <w:r w:rsidRPr="00E72418">
        <w:rPr>
          <w:szCs w:val="20"/>
        </w:rPr>
        <w:t xml:space="preserve">», </w:t>
      </w:r>
      <w:r w:rsidRPr="00E72418">
        <w:rPr>
          <w:i/>
          <w:szCs w:val="20"/>
        </w:rPr>
        <w:t>R.I.S.F.</w:t>
      </w:r>
      <w:r w:rsidRPr="00E72418">
        <w:rPr>
          <w:szCs w:val="20"/>
        </w:rPr>
        <w:t>, 2019, p. 102.</w:t>
      </w:r>
    </w:p>
  </w:footnote>
  <w:footnote w:id="54">
    <w:p w14:paraId="0EEFE5F2" w14:textId="18A2D11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n° 5. Sur le financement par le biais d’émissions obligataires qui sont au cœur de notre sujet de recherche, voyez </w:t>
      </w:r>
      <w:r w:rsidRPr="00E72418">
        <w:rPr>
          <w:i/>
          <w:szCs w:val="20"/>
        </w:rPr>
        <w:t>infra</w:t>
      </w:r>
      <w:r w:rsidRPr="00E72418">
        <w:rPr>
          <w:szCs w:val="20"/>
        </w:rPr>
        <w:t xml:space="preserve"> n° 18.</w:t>
      </w:r>
    </w:p>
  </w:footnote>
  <w:footnote w:id="55">
    <w:p w14:paraId="7040A9EA" w14:textId="4F287B4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pp. 364 et 365.</w:t>
      </w:r>
    </w:p>
  </w:footnote>
  <w:footnote w:id="56">
    <w:p w14:paraId="7BC36439" w14:textId="0E08902E" w:rsidR="0030147D" w:rsidRPr="00E72418" w:rsidRDefault="0030147D" w:rsidP="006B37E3">
      <w:pPr>
        <w:pStyle w:val="Sansinterligne"/>
        <w:rPr>
          <w:rFonts w:ascii="Times New Roman" w:hAnsi="Times New Roman" w:cs="Times New Roman"/>
          <w:lang w:val="fr-FR"/>
        </w:rPr>
      </w:pPr>
      <w:r w:rsidRPr="00E72418">
        <w:rPr>
          <w:rStyle w:val="Appelnotedebasdep"/>
          <w:szCs w:val="20"/>
        </w:rPr>
        <w:footnoteRef/>
      </w:r>
      <w:r w:rsidRPr="00E72418">
        <w:t xml:space="preserve"> </w:t>
      </w:r>
      <w:r w:rsidRPr="00E72418">
        <w:rPr>
          <w:i/>
        </w:rPr>
        <w:t>Ibid.</w:t>
      </w:r>
      <w:r w:rsidRPr="00E72418">
        <w:t xml:space="preserve"> L’on peut ainsi noter par exemple l’influence que peuvent chercher à exercer les prêteurs souverains sur leurs débiteurs souverains comme le note Christoph Paulus au sujet de l’ </w:t>
      </w:r>
      <w:r w:rsidRPr="00E72418">
        <w:rPr>
          <w:rFonts w:ascii="Times New Roman" w:hAnsi="Times New Roman" w:cs="Times New Roman"/>
        </w:rPr>
        <w:t>«</w:t>
      </w:r>
      <w:r w:rsidRPr="00E72418">
        <w:t xml:space="preserve"> </w:t>
      </w:r>
      <w:r w:rsidRPr="0089722C">
        <w:t>inter-sovereign-lending context</w:t>
      </w:r>
      <w:r w:rsidRPr="00E72418">
        <w:t xml:space="preserve"> </w:t>
      </w:r>
      <w:r w:rsidRPr="00E72418">
        <w:rPr>
          <w:rFonts w:ascii="Times New Roman" w:hAnsi="Times New Roman" w:cs="Times New Roman"/>
        </w:rPr>
        <w:t>»</w:t>
      </w:r>
      <w:r w:rsidRPr="00E72418">
        <w:t xml:space="preserve"> : </w:t>
      </w:r>
      <w:r w:rsidRPr="00E72418">
        <w:rPr>
          <w:rFonts w:ascii="Times New Roman" w:hAnsi="Times New Roman" w:cs="Times New Roman"/>
        </w:rPr>
        <w:t>«</w:t>
      </w:r>
      <w:r w:rsidRPr="00E72418">
        <w:t xml:space="preserve"> lending in this arena is something akin to buying influence over the borrower </w:t>
      </w:r>
      <w:r w:rsidRPr="00E72418">
        <w:rPr>
          <w:rFonts w:ascii="Times New Roman" w:hAnsi="Times New Roman" w:cs="Times New Roman"/>
        </w:rPr>
        <w:t>»</w:t>
      </w:r>
      <w:r w:rsidRPr="00E72418">
        <w:t xml:space="preserve"> (C. </w:t>
      </w:r>
      <w:r w:rsidRPr="00E72418">
        <w:rPr>
          <w:rFonts w:cs="Times New Roman"/>
          <w:smallCaps/>
          <w:szCs w:val="24"/>
        </w:rPr>
        <w:t xml:space="preserve">Paulus, </w:t>
      </w:r>
      <w:r w:rsidRPr="00E72418">
        <w:rPr>
          <w:rFonts w:cs="Times New Roman"/>
          <w:szCs w:val="24"/>
        </w:rPr>
        <w:t xml:space="preserve">« Sovereign defaults to be solved by politicians or by legal proceeding? », </w:t>
      </w:r>
      <w:r w:rsidRPr="00E72418">
        <w:rPr>
          <w:rFonts w:ascii="Times New Roman" w:hAnsi="Times New Roman" w:cs="Times New Roman"/>
          <w:i/>
        </w:rPr>
        <w:t>Law Econ. Yrly. Rev.</w:t>
      </w:r>
      <w:r w:rsidRPr="00E72418">
        <w:rPr>
          <w:rFonts w:cs="Times New Roman"/>
          <w:szCs w:val="24"/>
        </w:rPr>
        <w:t>, 2012, p. 213).</w:t>
      </w:r>
    </w:p>
  </w:footnote>
  <w:footnote w:id="57">
    <w:p w14:paraId="11E8E668" w14:textId="0EF4BF0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 xml:space="preserve">Pari Passu </w:t>
      </w:r>
      <w:r w:rsidRPr="00E72418">
        <w:rPr>
          <w:rStyle w:val="Titre5Car"/>
          <w:rFonts w:ascii="Times" w:eastAsiaTheme="minorHAnsi" w:hAnsi="Times" w:cstheme="minorBidi"/>
          <w:color w:val="auto"/>
          <w:szCs w:val="20"/>
          <w:lang w:val="en-US"/>
        </w:rPr>
        <w:t xml:space="preserve">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xml:space="preserve">, p. 56. Voyez également </w:t>
      </w:r>
      <w:r w:rsidRPr="00E72418">
        <w:rPr>
          <w:smallCaps/>
          <w:szCs w:val="20"/>
          <w:lang w:val="en-US"/>
        </w:rPr>
        <w:t>P. Wautelet</w:t>
      </w:r>
      <w:r w:rsidRPr="00E72418">
        <w:rPr>
          <w:szCs w:val="20"/>
          <w:lang w:val="en-US"/>
        </w:rPr>
        <w:t xml:space="preserve">, « Vulture funds, creditors and sovereign debtors: how to find a balance? », in M. </w:t>
      </w:r>
      <w:r w:rsidRPr="00E72418">
        <w:rPr>
          <w:smallCaps/>
          <w:szCs w:val="20"/>
        </w:rPr>
        <w:t>Audit</w:t>
      </w:r>
      <w:r w:rsidRPr="00E72418">
        <w:rPr>
          <w:szCs w:val="20"/>
        </w:rPr>
        <w:t xml:space="preserve"> (dir.),</w:t>
      </w:r>
      <w:r w:rsidRPr="00E72418">
        <w:rPr>
          <w:szCs w:val="20"/>
          <w:lang w:val="en-US"/>
        </w:rPr>
        <w:t xml:space="preserve"> </w:t>
      </w:r>
      <w:r w:rsidRPr="00E72418">
        <w:rPr>
          <w:i/>
          <w:szCs w:val="20"/>
          <w:lang w:val="en-US"/>
        </w:rPr>
        <w:t>Insolvabilité des États et dettes souveraines</w:t>
      </w:r>
      <w:r w:rsidRPr="00E72418">
        <w:rPr>
          <w:szCs w:val="20"/>
          <w:lang w:val="en-US"/>
        </w:rPr>
        <w:t>, L.G.D.J., 2011, p. 105.</w:t>
      </w:r>
    </w:p>
  </w:footnote>
  <w:footnote w:id="58">
    <w:p w14:paraId="2EDBD576" w14:textId="21C299F9"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101. Voyez également </w:t>
      </w:r>
      <w:r w:rsidRPr="00E72418">
        <w:rPr>
          <w:smallCaps/>
          <w:szCs w:val="20"/>
          <w:lang w:val="en-US"/>
        </w:rPr>
        <w:t xml:space="preserve">J. Blackman </w:t>
      </w:r>
      <w:r w:rsidRPr="00E72418">
        <w:rPr>
          <w:szCs w:val="20"/>
          <w:lang w:val="en-US"/>
        </w:rPr>
        <w:t xml:space="preserve">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50.</w:t>
      </w:r>
    </w:p>
  </w:footnote>
  <w:footnote w:id="59">
    <w:p w14:paraId="4298D3C1" w14:textId="0CB314B6"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Avery</w:t>
      </w:r>
      <w:r w:rsidRPr="00E72418">
        <w:rPr>
          <w:szCs w:val="20"/>
          <w:lang w:val="en-US"/>
        </w:rPr>
        <w:t>, « </w:t>
      </w:r>
      <w:r w:rsidRPr="00E72418">
        <w:rPr>
          <w:szCs w:val="20"/>
        </w:rPr>
        <w:t>Out of the Desert and to the Oasis: Legislation on Predatory Debt Investing</w:t>
      </w:r>
      <w:r w:rsidRPr="00E72418">
        <w:rPr>
          <w:szCs w:val="20"/>
          <w:lang w:val="en-US"/>
        </w:rPr>
        <w:t xml:space="preserve"> », </w:t>
      </w:r>
      <w:r w:rsidRPr="00E72418">
        <w:rPr>
          <w:i/>
          <w:szCs w:val="20"/>
          <w:lang w:val="en-US"/>
        </w:rPr>
        <w:t>op. cit.</w:t>
      </w:r>
      <w:r w:rsidRPr="00E72418">
        <w:rPr>
          <w:szCs w:val="20"/>
          <w:lang w:val="en-US"/>
        </w:rPr>
        <w:t>, p. 271.</w:t>
      </w:r>
    </w:p>
  </w:footnote>
  <w:footnote w:id="60">
    <w:p w14:paraId="749F93B3" w14:textId="01D591A1" w:rsidR="0030147D" w:rsidRPr="00E72418" w:rsidRDefault="0030147D" w:rsidP="00596AE7">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p. 76.</w:t>
      </w:r>
    </w:p>
  </w:footnote>
  <w:footnote w:id="61">
    <w:p w14:paraId="7C005C51" w14:textId="0BC2A09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101.</w:t>
      </w:r>
    </w:p>
  </w:footnote>
  <w:footnote w:id="62">
    <w:p w14:paraId="34E27B06" w14:textId="01F1F33A"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 xml:space="preserve">R. Culpeper </w:t>
      </w:r>
      <w:r w:rsidRPr="00E72418">
        <w:rPr>
          <w:szCs w:val="20"/>
          <w:lang w:val="en-US"/>
        </w:rPr>
        <w:t xml:space="preserve">et </w:t>
      </w:r>
      <w:r w:rsidRPr="00E72418">
        <w:rPr>
          <w:smallCaps/>
          <w:szCs w:val="20"/>
          <w:lang w:val="en-US"/>
        </w:rPr>
        <w:t>N. Kappagoda</w:t>
      </w:r>
      <w:r w:rsidRPr="00E72418">
        <w:rPr>
          <w:szCs w:val="20"/>
          <w:lang w:val="en-US"/>
        </w:rPr>
        <w:t xml:space="preserve">, « The new face of developing country debt », </w:t>
      </w:r>
      <w:r w:rsidRPr="00E72418">
        <w:rPr>
          <w:i/>
          <w:szCs w:val="20"/>
          <w:lang w:val="en-US"/>
        </w:rPr>
        <w:t>T.W.Q.</w:t>
      </w:r>
      <w:r w:rsidRPr="00E72418">
        <w:rPr>
          <w:szCs w:val="20"/>
          <w:lang w:val="en-US"/>
        </w:rPr>
        <w:t>, 2016, p. 952.</w:t>
      </w:r>
    </w:p>
  </w:footnote>
  <w:footnote w:id="63">
    <w:p w14:paraId="6F9668B9" w14:textId="429FFEF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101.</w:t>
      </w:r>
    </w:p>
  </w:footnote>
  <w:footnote w:id="64">
    <w:p w14:paraId="783C6F59" w14:textId="15EEA55C"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Sydney Law R.</w:t>
      </w:r>
      <w:r w:rsidRPr="00E72418">
        <w:rPr>
          <w:szCs w:val="20"/>
          <w:lang w:val="en-US"/>
        </w:rPr>
        <w:t>, 2013, p. 708.</w:t>
      </w:r>
    </w:p>
  </w:footnote>
  <w:footnote w:id="65">
    <w:p w14:paraId="4188AA22" w14:textId="383C034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in M. </w:t>
      </w:r>
      <w:r w:rsidRPr="00E72418">
        <w:rPr>
          <w:smallCaps/>
          <w:szCs w:val="20"/>
        </w:rPr>
        <w:t>Audit</w:t>
      </w:r>
      <w:r w:rsidRPr="00E72418">
        <w:rPr>
          <w:szCs w:val="20"/>
        </w:rPr>
        <w:t xml:space="preserve"> (dir.), </w:t>
      </w:r>
      <w:r w:rsidRPr="00E72418">
        <w:rPr>
          <w:i/>
          <w:szCs w:val="20"/>
        </w:rPr>
        <w:t>Insolvabilité des États et dettes souveraines</w:t>
      </w:r>
      <w:r w:rsidRPr="00E72418">
        <w:rPr>
          <w:szCs w:val="20"/>
        </w:rPr>
        <w:t>, L.G.D.J., 2011, p. 8.</w:t>
      </w:r>
    </w:p>
  </w:footnote>
  <w:footnote w:id="66">
    <w:p w14:paraId="32F3BD7C"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Nyembwe</w:t>
      </w:r>
      <w:r w:rsidRPr="00E72418">
        <w:rPr>
          <w:szCs w:val="20"/>
        </w:rPr>
        <w:t xml:space="preserve">, « Crises de la dette dans les pays en voie de développement et dans la zone euro : incitations rationnelles des fonds vautours et annulation de dette », </w:t>
      </w:r>
      <w:r w:rsidRPr="00E72418">
        <w:rPr>
          <w:i/>
          <w:szCs w:val="20"/>
        </w:rPr>
        <w:t>Dounia</w:t>
      </w:r>
      <w:r w:rsidRPr="00E72418">
        <w:rPr>
          <w:szCs w:val="20"/>
        </w:rPr>
        <w:t>, 2012, p. 50.</w:t>
      </w:r>
    </w:p>
  </w:footnote>
  <w:footnote w:id="67">
    <w:p w14:paraId="4BB8FD70" w14:textId="2B51278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p>
  </w:footnote>
  <w:footnote w:id="68">
    <w:p w14:paraId="12DF7ECB" w14:textId="69FC97A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6.</w:t>
      </w:r>
    </w:p>
  </w:footnote>
  <w:footnote w:id="69">
    <w:p w14:paraId="230FE1B4" w14:textId="00C3FBEE"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101. </w:t>
      </w:r>
      <w:r w:rsidRPr="00E72418">
        <w:rPr>
          <w:szCs w:val="20"/>
        </w:rPr>
        <w:t>Le Mexique a accepté que ses crédits bancaires soient échangés contre des obligations à trente ans portant intérêt à six pour cent septante-cinq lesquelles obligations étaient émises avec une réduction de trente-cinq pour cent par rapport à la valeur nominale des crédits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8).</w:t>
      </w:r>
    </w:p>
  </w:footnote>
  <w:footnote w:id="70">
    <w:p w14:paraId="33527375" w14:textId="252EC54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p. 31.</w:t>
      </w:r>
    </w:p>
  </w:footnote>
  <w:footnote w:id="71">
    <w:p w14:paraId="7D242AC3" w14:textId="5B29F62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11.</w:t>
      </w:r>
    </w:p>
  </w:footnote>
  <w:footnote w:id="72">
    <w:p w14:paraId="6F89842E" w14:textId="1986919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i/>
          <w:szCs w:val="20"/>
        </w:rPr>
        <w:t>Ibid.</w:t>
      </w:r>
    </w:p>
  </w:footnote>
  <w:footnote w:id="73">
    <w:p w14:paraId="09A0D6F8" w14:textId="65C8381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101.</w:t>
      </w:r>
    </w:p>
  </w:footnote>
  <w:footnote w:id="74">
    <w:p w14:paraId="7A639E1D" w14:textId="5C52CC52"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103.</w:t>
      </w:r>
    </w:p>
  </w:footnote>
  <w:footnote w:id="75">
    <w:p w14:paraId="5AB5BD50" w14:textId="3FFBCAC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smallCaps/>
          <w:szCs w:val="20"/>
          <w:lang w:val="en-US"/>
        </w:rPr>
        <w:t>E. Bruno</w:t>
      </w:r>
      <w:r w:rsidRPr="00E72418">
        <w:rPr>
          <w:szCs w:val="20"/>
          <w:lang w:val="en-US"/>
        </w:rPr>
        <w:t xml:space="preserve">, « Lessons from history: structuring, defaulting, restructuring and the emerging markets », in E. </w:t>
      </w:r>
      <w:r w:rsidRPr="00E72418">
        <w:rPr>
          <w:smallCaps/>
          <w:szCs w:val="20"/>
          <w:lang w:val="en-US"/>
        </w:rPr>
        <w:t>Bruno</w:t>
      </w:r>
      <w:r w:rsidRPr="00E72418">
        <w:rPr>
          <w:szCs w:val="20"/>
          <w:lang w:val="en-US"/>
        </w:rPr>
        <w:t xml:space="preserve"> (éd.), </w:t>
      </w:r>
      <w:r w:rsidRPr="00E72418">
        <w:rPr>
          <w:i/>
          <w:szCs w:val="20"/>
          <w:lang w:val="en-US"/>
        </w:rPr>
        <w:t>Sovereign Debt and Debt Restructuring – Legal, Financial and Regulatory Aspects</w:t>
      </w:r>
      <w:r w:rsidRPr="00E72418">
        <w:rPr>
          <w:szCs w:val="20"/>
          <w:lang w:val="en-US"/>
        </w:rPr>
        <w:t>, Globe Law and Business, 2013, p. 187.</w:t>
      </w:r>
    </w:p>
  </w:footnote>
  <w:footnote w:id="76">
    <w:p w14:paraId="092C8CCB" w14:textId="6B9B8F3F"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Propos repris notamment par </w:t>
      </w:r>
      <w:r w:rsidRPr="00E72418">
        <w:rPr>
          <w:smallCaps/>
          <w:szCs w:val="20"/>
          <w:lang w:val="en-US"/>
        </w:rPr>
        <w:t>T. Jones</w:t>
      </w:r>
      <w:r w:rsidRPr="00E72418">
        <w:rPr>
          <w:szCs w:val="20"/>
          <w:lang w:val="en-US"/>
        </w:rPr>
        <w:t xml:space="preserve">, « Sovereign Debt and the Right to Health », in I. </w:t>
      </w:r>
      <w:r w:rsidRPr="00E72418">
        <w:rPr>
          <w:rStyle w:val="lev"/>
          <w:b w:val="0"/>
          <w:bCs w:val="0"/>
          <w:smallCaps/>
          <w:szCs w:val="20"/>
          <w:lang w:val="en-US"/>
        </w:rPr>
        <w:t>Bantekas</w:t>
      </w:r>
      <w:r w:rsidRPr="00E72418">
        <w:rPr>
          <w:rStyle w:val="lev"/>
          <w:b w:val="0"/>
          <w:bCs w:val="0"/>
          <w:szCs w:val="20"/>
          <w:lang w:val="en-US"/>
        </w:rPr>
        <w:t xml:space="preserve"> et C. </w:t>
      </w:r>
      <w:r w:rsidRPr="00E72418">
        <w:rPr>
          <w:rStyle w:val="lev"/>
          <w:b w:val="0"/>
          <w:bCs w:val="0"/>
          <w:smallCaps/>
          <w:szCs w:val="20"/>
          <w:lang w:val="en-US"/>
        </w:rPr>
        <w:t>Lumina</w:t>
      </w:r>
      <w:r w:rsidRPr="00E72418">
        <w:rPr>
          <w:rStyle w:val="lev"/>
          <w:b w:val="0"/>
          <w:bCs w:val="0"/>
          <w:szCs w:val="20"/>
          <w:lang w:val="en-US"/>
        </w:rPr>
        <w:t xml:space="preserve"> (éd.), </w:t>
      </w:r>
      <w:r w:rsidRPr="00E72418">
        <w:rPr>
          <w:rStyle w:val="lev"/>
          <w:b w:val="0"/>
          <w:bCs w:val="0"/>
          <w:i/>
          <w:szCs w:val="20"/>
          <w:lang w:val="en-US"/>
        </w:rPr>
        <w:t>Sovereign Debt and Human Rights</w:t>
      </w:r>
      <w:r w:rsidRPr="00E72418">
        <w:rPr>
          <w:rStyle w:val="lev"/>
          <w:b w:val="0"/>
          <w:bCs w:val="0"/>
          <w:szCs w:val="20"/>
          <w:lang w:val="en-US"/>
        </w:rPr>
        <w:t>, Oxford University Press, 2018, p. 211.</w:t>
      </w:r>
    </w:p>
  </w:footnote>
  <w:footnote w:id="77">
    <w:p w14:paraId="0D21FC59" w14:textId="66CE3D06" w:rsidR="0030147D" w:rsidRPr="00E72418" w:rsidRDefault="0030147D" w:rsidP="00B929D2">
      <w:pPr>
        <w:pStyle w:val="Sansinterligne"/>
        <w:rPr>
          <w:rFonts w:ascii="Times New Roman" w:hAnsi="Times New Roman" w:cs="Times New Roman"/>
          <w:szCs w:val="20"/>
        </w:rPr>
      </w:pPr>
      <w:r w:rsidRPr="00E72418">
        <w:rPr>
          <w:rStyle w:val="Appelnotedebasdep"/>
          <w:szCs w:val="20"/>
        </w:rPr>
        <w:footnoteRef/>
      </w:r>
      <w:r w:rsidRPr="00E72418">
        <w:rPr>
          <w:szCs w:val="20"/>
          <w:lang w:val="en-US"/>
        </w:rPr>
        <w:t xml:space="preserve"> L. </w:t>
      </w:r>
      <w:r w:rsidRPr="00E72418">
        <w:rPr>
          <w:smallCaps/>
        </w:rPr>
        <w:t>Buchheit</w:t>
      </w:r>
      <w:r w:rsidRPr="00E72418">
        <w:t xml:space="preserve">, « A Quarter Century of Sovereign Debt Management: an Overview », </w:t>
      </w:r>
      <w:r w:rsidRPr="00E72418">
        <w:rPr>
          <w:rFonts w:ascii="Times New Roman" w:hAnsi="Times New Roman" w:cs="Times New Roman"/>
          <w:i/>
          <w:szCs w:val="20"/>
        </w:rPr>
        <w:t>Geo. J. Int. Law</w:t>
      </w:r>
      <w:r w:rsidRPr="00E72418">
        <w:t>, 2004, p. 637.</w:t>
      </w:r>
    </w:p>
  </w:footnote>
  <w:footnote w:id="78">
    <w:p w14:paraId="6BDAA970" w14:textId="70C5BA18"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 xml:space="preserve">Pari Passu </w:t>
      </w:r>
      <w:r w:rsidRPr="00E72418">
        <w:rPr>
          <w:rStyle w:val="Titre5Car"/>
          <w:rFonts w:ascii="Times" w:eastAsiaTheme="minorHAnsi" w:hAnsi="Times" w:cstheme="minorBidi"/>
          <w:color w:val="auto"/>
          <w:szCs w:val="20"/>
          <w:lang w:val="en-US"/>
        </w:rPr>
        <w:t xml:space="preserve">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56.</w:t>
      </w:r>
    </w:p>
  </w:footnote>
  <w:footnote w:id="79">
    <w:p w14:paraId="3EA315FD" w14:textId="0813954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rFonts w:ascii="Times New Roman" w:hAnsi="Times New Roman" w:cs="Times New Roman"/>
          <w:i/>
          <w:szCs w:val="20"/>
        </w:rPr>
        <w:t>Colum. Bus. Law Rev.</w:t>
      </w:r>
      <w:r w:rsidRPr="00E72418">
        <w:rPr>
          <w:szCs w:val="20"/>
          <w:lang w:val="en-US"/>
        </w:rPr>
        <w:t xml:space="preserve">, 2010, p. 484. </w:t>
      </w:r>
    </w:p>
  </w:footnote>
  <w:footnote w:id="80">
    <w:p w14:paraId="118F5EC2" w14:textId="777777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Commonwealth Secretariat, 2010, p. 9.</w:t>
      </w:r>
    </w:p>
  </w:footnote>
  <w:footnote w:id="81">
    <w:p w14:paraId="4432F5C5"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Le recours à des investissements étrangers s’inscrit dans la philosophie du consensus de Washington, l’idée étant que l’endettement extérieur sur les marchés internationaux et l’ouverture aux investissements privés internationaux permettent, d’une part, de doper les investissements et la croissance, d’autre part, de réduire la pauvreté (</w:t>
      </w:r>
      <w:r w:rsidRPr="00E72418">
        <w:rPr>
          <w:smallCaps/>
          <w:szCs w:val="20"/>
        </w:rPr>
        <w:t>A. Zacharie</w:t>
      </w:r>
      <w:r w:rsidRPr="00E72418">
        <w:rPr>
          <w:szCs w:val="20"/>
        </w:rPr>
        <w:t xml:space="preserve">, « L’économie politique des fonds vautours », </w:t>
      </w:r>
      <w:r w:rsidRPr="00E72418">
        <w:rPr>
          <w:i/>
          <w:szCs w:val="20"/>
        </w:rPr>
        <w:t>Dounia</w:t>
      </w:r>
      <w:r w:rsidRPr="00E72418">
        <w:rPr>
          <w:szCs w:val="20"/>
        </w:rPr>
        <w:t>, 2012, p. 18).</w:t>
      </w:r>
    </w:p>
  </w:footnote>
  <w:footnote w:id="82">
    <w:p w14:paraId="720B505E" w14:textId="61603E59" w:rsidR="0030147D" w:rsidRPr="00E72418" w:rsidRDefault="0030147D" w:rsidP="00E07ABA">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xml:space="preserve">, p. 6. Une partie de l’explication de leur succès de l’époque réside indubitablement dans la forte propension des </w:t>
      </w:r>
      <w:r w:rsidRPr="00E72418">
        <w:rPr>
          <w:rFonts w:ascii="Times New Roman" w:hAnsi="Times New Roman" w:cs="Times New Roman"/>
          <w:lang w:eastAsia="fr-BE"/>
        </w:rPr>
        <w:t>É</w:t>
      </w:r>
      <w:r w:rsidRPr="00E72418">
        <w:rPr>
          <w:szCs w:val="20"/>
        </w:rPr>
        <w:t xml:space="preserve">tats à en assurer le service, fût-ce au prix de renflouements publics des </w:t>
      </w:r>
      <w:r w:rsidRPr="00E72418">
        <w:rPr>
          <w:rFonts w:ascii="Times New Roman" w:hAnsi="Times New Roman" w:cs="Times New Roman"/>
          <w:lang w:eastAsia="fr-BE"/>
        </w:rPr>
        <w:t>É</w:t>
      </w:r>
      <w:r w:rsidRPr="00E72418">
        <w:rPr>
          <w:szCs w:val="20"/>
        </w:rPr>
        <w:t>tats débiteurs (</w:t>
      </w:r>
      <w:r w:rsidRPr="00E72418">
        <w:rPr>
          <w:szCs w:val="20"/>
          <w:lang w:val="en-US"/>
        </w:rPr>
        <w:t xml:space="preserve">L. </w:t>
      </w:r>
      <w:r w:rsidRPr="00E72418">
        <w:rPr>
          <w:smallCaps/>
        </w:rPr>
        <w:t>Buchheit</w:t>
      </w:r>
      <w:r w:rsidRPr="00E72418">
        <w:t xml:space="preserve">, « A Quarter Century of Sovereign Debt Management: an Overview », </w:t>
      </w:r>
      <w:r w:rsidRPr="00E72418">
        <w:rPr>
          <w:i/>
        </w:rPr>
        <w:t>op. cit.</w:t>
      </w:r>
      <w:r w:rsidRPr="00E72418">
        <w:t>, p. 638).</w:t>
      </w:r>
    </w:p>
  </w:footnote>
  <w:footnote w:id="83">
    <w:p w14:paraId="37172321" w14:textId="0BBAE6D6"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Fisch</w:t>
      </w:r>
      <w:r w:rsidRPr="00E72418">
        <w:rPr>
          <w:szCs w:val="20"/>
          <w:lang w:val="en-US"/>
        </w:rPr>
        <w:t xml:space="preserve"> et </w:t>
      </w:r>
      <w:r w:rsidRPr="00E72418">
        <w:rPr>
          <w:smallCaps/>
          <w:szCs w:val="20"/>
          <w:lang w:val="en-US"/>
        </w:rPr>
        <w:t>C. Gentile</w:t>
      </w:r>
      <w:r w:rsidRPr="00E72418">
        <w:rPr>
          <w:szCs w:val="20"/>
          <w:lang w:val="en-US"/>
        </w:rPr>
        <w:t xml:space="preserve">, </w:t>
      </w:r>
      <w:r w:rsidRPr="00E72418">
        <w:rPr>
          <w:rFonts w:cs="Times New Roman"/>
          <w:szCs w:val="24"/>
          <w:lang w:val="en-US"/>
        </w:rPr>
        <w:t>« Vultures or Vanguards? : The Role of Litigation in Sovereign Debt Restructuring »</w:t>
      </w:r>
      <w:r w:rsidRPr="00E72418">
        <w:rPr>
          <w:szCs w:val="20"/>
          <w:lang w:val="en-US"/>
        </w:rPr>
        <w:t xml:space="preserve">, </w:t>
      </w:r>
      <w:r w:rsidRPr="00E72418">
        <w:rPr>
          <w:i/>
          <w:szCs w:val="20"/>
          <w:lang w:val="en-US"/>
        </w:rPr>
        <w:t>Emory Law J.</w:t>
      </w:r>
      <w:r w:rsidRPr="00E72418">
        <w:rPr>
          <w:szCs w:val="20"/>
          <w:lang w:val="en-US"/>
        </w:rPr>
        <w:t xml:space="preserve">, 2004, p. 1070. Les auteurs visent ainsi des « large commercial banks, smaller commercial banks, local banks, investment banks, insurance companies, pension funds, mutual funds, retail funds, hedge funds, nonfinancial companies, and retail investors ». </w:t>
      </w:r>
      <w:r w:rsidRPr="00E72418">
        <w:rPr>
          <w:szCs w:val="20"/>
        </w:rPr>
        <w:t>Là n’est évidemment pas l’unique mode de financement étatique, les financements bilatéraux et multilatéraux n’ayant pas disparu.</w:t>
      </w:r>
    </w:p>
  </w:footnote>
  <w:footnote w:id="84">
    <w:p w14:paraId="3867CDE6" w14:textId="0B681DA6" w:rsidR="0030147D" w:rsidRPr="00E72418" w:rsidRDefault="0030147D" w:rsidP="0011623A">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p. 27.</w:t>
      </w:r>
    </w:p>
  </w:footnote>
  <w:footnote w:id="85">
    <w:p w14:paraId="62FCC2BE" w14:textId="17495C94" w:rsidR="0030147D" w:rsidRPr="00E72418" w:rsidRDefault="0030147D" w:rsidP="0011623A">
      <w:pPr>
        <w:pStyle w:val="Sansinterligne"/>
      </w:pPr>
      <w:r w:rsidRPr="00E72418">
        <w:rPr>
          <w:rStyle w:val="Appelnotedebasdep"/>
        </w:rPr>
        <w:footnoteRef/>
      </w:r>
      <w:r w:rsidRPr="00E72418">
        <w:t xml:space="preserve"> Sur ces contrats d’échange sur risque de crédit, voyez </w:t>
      </w:r>
      <w:r w:rsidRPr="00E72418">
        <w:rPr>
          <w:i/>
        </w:rPr>
        <w:t>infra</w:t>
      </w:r>
      <w:r w:rsidRPr="00E72418">
        <w:t xml:space="preserve"> n° 140.</w:t>
      </w:r>
    </w:p>
  </w:footnote>
  <w:footnote w:id="86">
    <w:p w14:paraId="0DAB81EE" w14:textId="6355975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9.</w:t>
      </w:r>
    </w:p>
  </w:footnote>
  <w:footnote w:id="87">
    <w:p w14:paraId="07A4523E" w14:textId="11C8F96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pp. 3 et 4. L’on dépasse ici la définition donnée par la Convention de Vienne sur la succession d’</w:t>
      </w:r>
      <w:r w:rsidRPr="00E72418">
        <w:rPr>
          <w:rFonts w:cs="Times New Roman"/>
          <w:szCs w:val="24"/>
        </w:rPr>
        <w:t>É</w:t>
      </w:r>
      <w:r w:rsidRPr="00E72418">
        <w:rPr>
          <w:szCs w:val="20"/>
        </w:rPr>
        <w:t>tats en matière de biens, archives et dettes d’</w:t>
      </w:r>
      <w:r w:rsidRPr="00E72418">
        <w:rPr>
          <w:rFonts w:ascii="Times New Roman" w:hAnsi="Times New Roman" w:cs="Times New Roman"/>
          <w:lang w:eastAsia="fr-BE"/>
        </w:rPr>
        <w:t>É</w:t>
      </w:r>
      <w:r w:rsidRPr="00E72418">
        <w:rPr>
          <w:szCs w:val="20"/>
        </w:rPr>
        <w:t>tat du 8 avril 1983 dont il ressort que, pour les règles qu’elle en donne, l’expression « dette d’</w:t>
      </w:r>
      <w:r w:rsidRPr="00E72418">
        <w:rPr>
          <w:rFonts w:ascii="Times New Roman" w:hAnsi="Times New Roman" w:cs="Times New Roman"/>
          <w:lang w:eastAsia="fr-BE"/>
        </w:rPr>
        <w:t>É</w:t>
      </w:r>
      <w:r w:rsidRPr="00E72418">
        <w:rPr>
          <w:szCs w:val="20"/>
        </w:rPr>
        <w:t xml:space="preserve">tat » s’entend de « toute obligation financière d’un </w:t>
      </w:r>
      <w:r w:rsidRPr="00E72418">
        <w:rPr>
          <w:rFonts w:ascii="Times New Roman" w:hAnsi="Times New Roman" w:cs="Times New Roman"/>
          <w:lang w:eastAsia="fr-BE"/>
        </w:rPr>
        <w:t>É</w:t>
      </w:r>
      <w:r w:rsidRPr="00E72418">
        <w:rPr>
          <w:szCs w:val="20"/>
        </w:rPr>
        <w:t xml:space="preserve">tat prédécesseur à l’égard d’un autre </w:t>
      </w:r>
      <w:r w:rsidRPr="00E72418">
        <w:rPr>
          <w:rFonts w:cs="Times New Roman"/>
          <w:szCs w:val="24"/>
        </w:rPr>
        <w:t>É</w:t>
      </w:r>
      <w:r w:rsidRPr="00E72418">
        <w:rPr>
          <w:szCs w:val="20"/>
        </w:rPr>
        <w:t xml:space="preserve">tat, d’une organisation internationale ou de tout autre sujet du droit international, née conformément au droit international ». </w:t>
      </w:r>
    </w:p>
  </w:footnote>
  <w:footnote w:id="88">
    <w:p w14:paraId="271A59AD" w14:textId="3F9792B8" w:rsidR="0030147D" w:rsidRPr="00E72418" w:rsidRDefault="0030147D" w:rsidP="004665B1">
      <w:pPr>
        <w:pStyle w:val="Sansinterligne"/>
      </w:pPr>
      <w:r w:rsidRPr="00E72418">
        <w:rPr>
          <w:rStyle w:val="Appelnotedebasdep"/>
        </w:rPr>
        <w:footnoteRef/>
      </w:r>
      <w:r w:rsidRPr="00E72418">
        <w:t xml:space="preserve"> Cette distinction ne sera pas confondue avec celle parfois pratiquée entre la dette détenue par des résidents ou par des non-résidents de l’</w:t>
      </w:r>
      <w:r w:rsidRPr="00E72418">
        <w:rPr>
          <w:rFonts w:ascii="Times New Roman" w:hAnsi="Times New Roman" w:cs="Times New Roman"/>
          <w:lang w:eastAsia="fr-BE"/>
        </w:rPr>
        <w:t>É</w:t>
      </w:r>
      <w:r w:rsidRPr="00E72418">
        <w:t>tat débiteur.</w:t>
      </w:r>
    </w:p>
  </w:footnote>
  <w:footnote w:id="89">
    <w:p w14:paraId="1FF3515A" w14:textId="33FD77C2" w:rsidR="0030147D" w:rsidRPr="00E72418" w:rsidRDefault="0030147D" w:rsidP="007C57EF">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w:t>
      </w:r>
      <w:r w:rsidRPr="00E72418">
        <w:rPr>
          <w:rFonts w:ascii="Times New Roman" w:hAnsi="Times New Roman" w:cs="Times New Roman"/>
          <w:smallCaps/>
          <w:szCs w:val="20"/>
        </w:rPr>
        <w:t>D. Carreau</w:t>
      </w:r>
      <w:r w:rsidRPr="00E72418">
        <w:rPr>
          <w:rFonts w:ascii="Times New Roman" w:hAnsi="Times New Roman" w:cs="Times New Roman"/>
          <w:szCs w:val="20"/>
        </w:rPr>
        <w:t xml:space="preserve"> et </w:t>
      </w:r>
      <w:r w:rsidRPr="00E72418">
        <w:rPr>
          <w:rFonts w:ascii="Times New Roman" w:hAnsi="Times New Roman" w:cs="Times New Roman"/>
          <w:smallCaps/>
          <w:szCs w:val="20"/>
        </w:rPr>
        <w:t>C. Kleiner</w:t>
      </w:r>
      <w:r w:rsidRPr="00E72418">
        <w:rPr>
          <w:rFonts w:ascii="Times New Roman" w:hAnsi="Times New Roman" w:cs="Times New Roman"/>
          <w:szCs w:val="20"/>
        </w:rPr>
        <w:t xml:space="preserve">, « Dettes d’État », </w:t>
      </w:r>
      <w:r w:rsidRPr="00E72418">
        <w:rPr>
          <w:i/>
          <w:szCs w:val="20"/>
          <w:lang w:val="en-US"/>
        </w:rPr>
        <w:t>op. cit.</w:t>
      </w:r>
      <w:r w:rsidRPr="00E72418">
        <w:rPr>
          <w:rFonts w:ascii="Times New Roman" w:hAnsi="Times New Roman" w:cs="Times New Roman"/>
          <w:szCs w:val="20"/>
        </w:rPr>
        <w:t>, n° 22. Certains auteurs, comme Carmen Reinhart et Kenneth Rogoff, définissent la dette externe comme celle contractée avec des créanciers étrangers. La différence est, pour notre propos, anecdotique dès lors qu’ils notent toutefois que « </w:t>
      </w:r>
      <w:r w:rsidRPr="00E72418">
        <w:rPr>
          <w:rFonts w:ascii="Times New Roman" w:hAnsi="Times New Roman" w:cs="Times New Roman"/>
          <w:szCs w:val="20"/>
          <w:lang w:val="en-US"/>
        </w:rPr>
        <w:t>[c]</w:t>
      </w:r>
      <w:r w:rsidRPr="00E72418">
        <w:t xml:space="preserve">reditors often determine all the terms of the debt contracts, which are normally subject to the jurisdiction of the foreign creditors or to international law » (C. </w:t>
      </w:r>
      <w:r w:rsidRPr="00E72418">
        <w:rPr>
          <w:rFonts w:cs="Times New Roman"/>
          <w:smallCaps/>
          <w:szCs w:val="24"/>
          <w:lang w:val="en-US"/>
        </w:rPr>
        <w:t>Reinhart</w:t>
      </w:r>
      <w:r w:rsidRPr="00E72418">
        <w:rPr>
          <w:rFonts w:cs="Times New Roman"/>
          <w:szCs w:val="24"/>
          <w:lang w:val="en-US"/>
        </w:rPr>
        <w:t xml:space="preserve"> et K. </w:t>
      </w:r>
      <w:r w:rsidRPr="00E72418">
        <w:rPr>
          <w:rFonts w:cs="Times New Roman"/>
          <w:smallCaps/>
          <w:szCs w:val="24"/>
          <w:lang w:val="en-US"/>
        </w:rPr>
        <w:t>Rogoff</w:t>
      </w:r>
      <w:r w:rsidRPr="00E72418">
        <w:rPr>
          <w:rFonts w:cs="Times New Roman"/>
          <w:szCs w:val="24"/>
          <w:lang w:val="en-US"/>
        </w:rPr>
        <w:t>, « From Financial Crash to Debt Crisis »,</w:t>
      </w:r>
      <w:r w:rsidRPr="00E72418">
        <w:rPr>
          <w:rFonts w:cs="Times New Roman"/>
          <w:i/>
          <w:szCs w:val="24"/>
          <w:lang w:val="en-US"/>
        </w:rPr>
        <w:t xml:space="preserve"> </w:t>
      </w:r>
      <w:r w:rsidRPr="00E72418">
        <w:rPr>
          <w:rFonts w:ascii="Times New Roman" w:hAnsi="Times New Roman" w:cs="Times New Roman"/>
          <w:i/>
          <w:szCs w:val="20"/>
        </w:rPr>
        <w:t>Am. Econ. Rev.</w:t>
      </w:r>
      <w:r w:rsidRPr="00E72418">
        <w:rPr>
          <w:rFonts w:cs="Times New Roman"/>
          <w:szCs w:val="24"/>
          <w:lang w:val="en-US"/>
        </w:rPr>
        <w:t>, 2011, p. 1702</w:t>
      </w:r>
      <w:r w:rsidRPr="00E72418">
        <w:t xml:space="preserve">). </w:t>
      </w:r>
    </w:p>
  </w:footnote>
  <w:footnote w:id="90">
    <w:p w14:paraId="5484A064" w14:textId="14D8BEE0" w:rsidR="0030147D" w:rsidRPr="00E72418" w:rsidRDefault="0030147D" w:rsidP="007C57EF">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zCs w:val="20"/>
        </w:rPr>
        <w:t>Plus encore, faire choix d’une loi autre que celle de l’</w:t>
      </w:r>
      <w:r w:rsidRPr="00E72418">
        <w:rPr>
          <w:rFonts w:ascii="Times New Roman" w:hAnsi="Times New Roman" w:cs="Times New Roman"/>
          <w:szCs w:val="20"/>
          <w:lang w:eastAsia="fr-BE"/>
        </w:rPr>
        <w:t>É</w:t>
      </w:r>
      <w:r w:rsidRPr="00E72418">
        <w:rPr>
          <w:rFonts w:ascii="Times New Roman" w:hAnsi="Times New Roman" w:cs="Times New Roman"/>
          <w:szCs w:val="20"/>
        </w:rPr>
        <w:t>tat avec lequel on contracte serait une sorte de « common commercial sense » (</w:t>
      </w:r>
      <w:r w:rsidRPr="00E72418">
        <w:rPr>
          <w:rFonts w:ascii="Times New Roman" w:hAnsi="Times New Roman" w:cs="Times New Roman"/>
          <w:smallCaps/>
          <w:szCs w:val="20"/>
          <w:lang w:val="en-US"/>
        </w:rPr>
        <w:t>G. van Calster</w:t>
      </w:r>
      <w:r w:rsidRPr="00E72418">
        <w:rPr>
          <w:rFonts w:ascii="Times New Roman" w:hAnsi="Times New Roman" w:cs="Times New Roman"/>
          <w:szCs w:val="20"/>
          <w:lang w:val="en-US"/>
        </w:rPr>
        <w:t xml:space="preserve">, « Do Not Kick Them While They Are Down </w:t>
      </w:r>
      <w:r w:rsidRPr="00E72418">
        <w:rPr>
          <w:b/>
          <w:szCs w:val="20"/>
        </w:rPr>
        <w:t xml:space="preserve">– </w:t>
      </w:r>
      <w:r w:rsidRPr="00E72418">
        <w:rPr>
          <w:rFonts w:ascii="Times New Roman" w:hAnsi="Times New Roman" w:cs="Times New Roman"/>
          <w:szCs w:val="20"/>
          <w:lang w:val="en-US"/>
        </w:rPr>
        <w:t xml:space="preserve">Vulture Funds in Private International Law », in </w:t>
      </w:r>
      <w:r w:rsidRPr="00E72418">
        <w:rPr>
          <w:rFonts w:cs="Times New Roman"/>
          <w:smallCaps/>
          <w:szCs w:val="24"/>
          <w:lang w:val="en-GB"/>
        </w:rPr>
        <w:t>André-Dumont</w:t>
      </w:r>
      <w:r w:rsidRPr="00E72418">
        <w:rPr>
          <w:rFonts w:cs="Times New Roman"/>
          <w:szCs w:val="24"/>
          <w:lang w:val="en-GB"/>
        </w:rPr>
        <w:t xml:space="preserve">, A.-P., </w:t>
      </w:r>
      <w:r w:rsidRPr="00E72418">
        <w:rPr>
          <w:rFonts w:cs="Times New Roman"/>
          <w:smallCaps/>
          <w:szCs w:val="24"/>
          <w:lang w:val="en-GB"/>
        </w:rPr>
        <w:t>De Meuleneere,</w:t>
      </w:r>
      <w:r w:rsidRPr="00E72418">
        <w:rPr>
          <w:rFonts w:cs="Times New Roman"/>
          <w:szCs w:val="24"/>
          <w:lang w:val="en-GB"/>
        </w:rPr>
        <w:t xml:space="preserve"> I. et </w:t>
      </w:r>
      <w:r w:rsidRPr="00E72418">
        <w:rPr>
          <w:rFonts w:cs="Times New Roman"/>
          <w:smallCaps/>
          <w:szCs w:val="24"/>
          <w:lang w:val="en-GB"/>
        </w:rPr>
        <w:t>Pijcke</w:t>
      </w:r>
      <w:r w:rsidRPr="00E72418">
        <w:rPr>
          <w:rFonts w:cs="Times New Roman"/>
          <w:szCs w:val="24"/>
          <w:lang w:val="en-GB"/>
        </w:rPr>
        <w:t xml:space="preserve"> A. (éd.), </w:t>
      </w:r>
      <w:r w:rsidRPr="00E72418">
        <w:rPr>
          <w:i/>
          <w:szCs w:val="20"/>
          <w:lang w:val="en-US"/>
        </w:rPr>
        <w:t>The Increasing Impact of Human Rights Law on the Financial World</w:t>
      </w:r>
      <w:r w:rsidRPr="00E72418">
        <w:rPr>
          <w:rFonts w:ascii="Times New Roman" w:hAnsi="Times New Roman" w:cs="Times New Roman"/>
          <w:szCs w:val="20"/>
          <w:lang w:val="en-US"/>
        </w:rPr>
        <w:t>, Anthemis Intersentia, 2016, p. 60).</w:t>
      </w:r>
    </w:p>
  </w:footnote>
  <w:footnote w:id="91">
    <w:p w14:paraId="7F0A0D17" w14:textId="1145ACF7" w:rsidR="0030147D" w:rsidRPr="00E72418" w:rsidRDefault="0030147D" w:rsidP="007C57EF">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S. Schwarcz</w:t>
      </w:r>
      <w:r w:rsidRPr="00E72418">
        <w:rPr>
          <w:rFonts w:ascii="Times New Roman" w:hAnsi="Times New Roman" w:cs="Times New Roman"/>
          <w:szCs w:val="20"/>
          <w:lang w:val="en-US"/>
        </w:rPr>
        <w:t xml:space="preserve">, « Sovereign Debt Restructuring: A Model-law Approach », </w:t>
      </w:r>
      <w:r w:rsidRPr="00E72418">
        <w:rPr>
          <w:rFonts w:ascii="Times New Roman" w:hAnsi="Times New Roman" w:cs="Times New Roman"/>
          <w:i/>
          <w:szCs w:val="20"/>
          <w:lang w:val="en-US"/>
        </w:rPr>
        <w:t>J.G.D.</w:t>
      </w:r>
      <w:r w:rsidRPr="00E72418">
        <w:rPr>
          <w:rFonts w:ascii="Times New Roman" w:hAnsi="Times New Roman" w:cs="Times New Roman"/>
          <w:szCs w:val="20"/>
          <w:lang w:val="en-US"/>
        </w:rPr>
        <w:t xml:space="preserve">, 2015, p. 343. </w:t>
      </w:r>
      <w:r w:rsidRPr="00E72418">
        <w:rPr>
          <w:rFonts w:ascii="Times New Roman" w:hAnsi="Times New Roman" w:cs="Times New Roman"/>
          <w:szCs w:val="20"/>
        </w:rPr>
        <w:t xml:space="preserve">Voyez </w:t>
      </w:r>
      <w:r w:rsidRPr="00E72418">
        <w:rPr>
          <w:rFonts w:ascii="Times New Roman" w:hAnsi="Times New Roman" w:cs="Times New Roman"/>
          <w:i/>
          <w:szCs w:val="20"/>
        </w:rPr>
        <w:t xml:space="preserve">infra </w:t>
      </w:r>
      <w:r w:rsidRPr="00E72418">
        <w:rPr>
          <w:rFonts w:ascii="Times New Roman" w:hAnsi="Times New Roman" w:cs="Times New Roman"/>
          <w:szCs w:val="20"/>
        </w:rPr>
        <w:t>n° 79 sur le recours à ces lois new-yorkaise et britannique.</w:t>
      </w:r>
    </w:p>
  </w:footnote>
  <w:footnote w:id="92">
    <w:p w14:paraId="3FA539B8" w14:textId="1F24C5F6" w:rsidR="0030147D" w:rsidRPr="00E72418" w:rsidRDefault="0030147D" w:rsidP="00693CF4">
      <w:pPr>
        <w:pStyle w:val="Sansinterligne"/>
      </w:pPr>
      <w:r w:rsidRPr="00E72418">
        <w:rPr>
          <w:rStyle w:val="Appelnotedebasdep"/>
          <w:rFonts w:ascii="Times New Roman" w:hAnsi="Times New Roman" w:cs="Times New Roman"/>
          <w:szCs w:val="20"/>
        </w:rPr>
        <w:footnoteRef/>
      </w:r>
      <w:r w:rsidRPr="00E72418">
        <w:t xml:space="preserve"> </w:t>
      </w:r>
      <w:r w:rsidRPr="00E72418">
        <w:rPr>
          <w:smallCaps/>
        </w:rPr>
        <w:t xml:space="preserve">D. </w:t>
      </w:r>
      <w:r w:rsidRPr="00E72418">
        <w:rPr>
          <w:rStyle w:val="Titre4Car"/>
          <w:rFonts w:ascii="Times New Roman" w:eastAsiaTheme="minorHAnsi" w:hAnsi="Times New Roman" w:cs="Times New Roman"/>
          <w:i w:val="0"/>
          <w:iCs w:val="0"/>
          <w:smallCaps/>
          <w:color w:val="auto"/>
          <w:szCs w:val="20"/>
        </w:rPr>
        <w:t>Carreau</w:t>
      </w:r>
      <w:r w:rsidRPr="00E72418">
        <w:rPr>
          <w:rStyle w:val="Titre4Car"/>
          <w:rFonts w:ascii="Times New Roman" w:eastAsiaTheme="minorHAnsi" w:hAnsi="Times New Roman" w:cs="Times New Roman"/>
          <w:i w:val="0"/>
          <w:iCs w:val="0"/>
          <w:color w:val="auto"/>
          <w:szCs w:val="20"/>
        </w:rPr>
        <w:t xml:space="preserve"> et </w:t>
      </w:r>
      <w:r w:rsidRPr="00E72418">
        <w:rPr>
          <w:rStyle w:val="Titre4Car"/>
          <w:rFonts w:ascii="Times New Roman" w:eastAsiaTheme="minorHAnsi" w:hAnsi="Times New Roman" w:cs="Times New Roman"/>
          <w:i w:val="0"/>
          <w:iCs w:val="0"/>
          <w:smallCaps/>
          <w:color w:val="auto"/>
          <w:szCs w:val="20"/>
        </w:rPr>
        <w:t>C. Kleiner</w:t>
      </w:r>
      <w:r w:rsidRPr="00E72418">
        <w:rPr>
          <w:rStyle w:val="Titre4Car"/>
          <w:rFonts w:ascii="Times New Roman" w:eastAsiaTheme="minorHAnsi" w:hAnsi="Times New Roman" w:cs="Times New Roman"/>
          <w:i w:val="0"/>
          <w:iCs w:val="0"/>
          <w:color w:val="auto"/>
          <w:szCs w:val="20"/>
        </w:rPr>
        <w:t>, « Dettes d’</w:t>
      </w:r>
      <w:r w:rsidRPr="00E72418">
        <w:t>É</w:t>
      </w:r>
      <w:r w:rsidRPr="00E72418">
        <w:rPr>
          <w:rStyle w:val="Titre4Car"/>
          <w:rFonts w:ascii="Times New Roman" w:eastAsiaTheme="minorHAnsi" w:hAnsi="Times New Roman" w:cs="Times New Roman"/>
          <w:i w:val="0"/>
          <w:iCs w:val="0"/>
          <w:color w:val="auto"/>
          <w:szCs w:val="20"/>
        </w:rPr>
        <w:t xml:space="preserve">tat », </w:t>
      </w:r>
      <w:r w:rsidRPr="00E72418">
        <w:rPr>
          <w:i/>
        </w:rPr>
        <w:t>op. cit.</w:t>
      </w:r>
      <w:r w:rsidRPr="00E72418">
        <w:rPr>
          <w:rStyle w:val="Titre4Car"/>
          <w:rFonts w:ascii="Times New Roman" w:eastAsiaTheme="minorHAnsi" w:hAnsi="Times New Roman" w:cs="Times New Roman"/>
          <w:i w:val="0"/>
          <w:iCs w:val="0"/>
          <w:color w:val="auto"/>
          <w:szCs w:val="20"/>
        </w:rPr>
        <w:t xml:space="preserve">, n° 22. </w:t>
      </w:r>
      <w:r w:rsidRPr="00E72418">
        <w:t xml:space="preserve">Comme le note Jeffrey Butensky, « [c]ountries considering issuing debt often ponder the trade-off between costlier debt and reduced immunity for debt issuing </w:t>
      </w:r>
      <w:r w:rsidRPr="00E72418">
        <w:rPr>
          <w:rStyle w:val="Titre4Car"/>
          <w:rFonts w:ascii="Times New Roman" w:eastAsiaTheme="minorHAnsi" w:hAnsi="Times New Roman" w:cs="Times New Roman"/>
          <w:i w:val="0"/>
          <w:iCs w:val="0"/>
          <w:color w:val="auto"/>
          <w:szCs w:val="20"/>
          <w:lang w:val="en-US"/>
        </w:rPr>
        <w:t>»</w:t>
      </w:r>
      <w:r w:rsidRPr="00E72418">
        <w:t xml:space="preserve"> dès lors que « [d]ebt instruments issued under the sovereign’s law will be costlier because, from an investor’s point of view, the sovereign would then have the power to change the terms of the debt and frustrate the investor whenever the sovereign wishes to do so </w:t>
      </w:r>
      <w:r w:rsidRPr="00E72418">
        <w:rPr>
          <w:rStyle w:val="Titre4Car"/>
          <w:rFonts w:ascii="Times New Roman" w:eastAsiaTheme="minorHAnsi" w:hAnsi="Times New Roman" w:cs="Times New Roman"/>
          <w:i w:val="0"/>
          <w:iCs w:val="0"/>
          <w:color w:val="auto"/>
          <w:szCs w:val="20"/>
          <w:lang w:val="en-US"/>
        </w:rPr>
        <w:t>» (</w:t>
      </w:r>
      <w:r w:rsidRPr="00E72418">
        <w:rPr>
          <w:rStyle w:val="Titre5Car"/>
          <w:rFonts w:ascii="Times New Roman" w:eastAsiaTheme="minorHAnsi" w:hAnsi="Times New Roman" w:cs="Times New Roman"/>
          <w:smallCaps/>
          <w:color w:val="auto"/>
          <w:szCs w:val="20"/>
          <w:lang w:val="en-US"/>
        </w:rPr>
        <w:t>J. Butensky</w:t>
      </w:r>
      <w:r w:rsidRPr="00E72418">
        <w:rPr>
          <w:rStyle w:val="Titre5Car"/>
          <w:rFonts w:ascii="Times New Roman" w:eastAsiaTheme="minorHAnsi" w:hAnsi="Times New Roman" w:cs="Times New Roman"/>
          <w:color w:val="auto"/>
          <w:szCs w:val="20"/>
          <w:lang w:val="en-US"/>
        </w:rPr>
        <w:t xml:space="preserve">, « Tango or Sirtaki? The Argentine and Greek Dance with Sovereignty and a Multilateral Sovereign Debt Restructuring Framework », </w:t>
      </w:r>
      <w:r w:rsidRPr="00E72418">
        <w:rPr>
          <w:i/>
        </w:rPr>
        <w:t>Boston Univ. Int. Law J.</w:t>
      </w:r>
      <w:r w:rsidRPr="00E72418">
        <w:rPr>
          <w:rStyle w:val="Titre5Car"/>
          <w:rFonts w:ascii="Times New Roman" w:eastAsiaTheme="minorHAnsi" w:hAnsi="Times New Roman" w:cs="Times New Roman"/>
          <w:color w:val="auto"/>
          <w:szCs w:val="20"/>
          <w:lang w:val="en-US"/>
        </w:rPr>
        <w:t>, 2017, p. 177)</w:t>
      </w:r>
      <w:r w:rsidRPr="00E72418">
        <w:rPr>
          <w:rStyle w:val="Titre4Car"/>
          <w:rFonts w:ascii="Times New Roman" w:eastAsiaTheme="minorHAnsi" w:hAnsi="Times New Roman" w:cs="Times New Roman"/>
          <w:i w:val="0"/>
          <w:iCs w:val="0"/>
          <w:color w:val="auto"/>
          <w:szCs w:val="20"/>
          <w:lang w:val="en-US"/>
        </w:rPr>
        <w:t>.</w:t>
      </w:r>
    </w:p>
  </w:footnote>
  <w:footnote w:id="93">
    <w:p w14:paraId="3521C93E" w14:textId="2326E74D" w:rsidR="0030147D" w:rsidRPr="00E72418" w:rsidRDefault="0030147D" w:rsidP="0011623A">
      <w:pPr>
        <w:pStyle w:val="Sansinterligne"/>
      </w:pPr>
      <w:r w:rsidRPr="00E72418">
        <w:rPr>
          <w:rStyle w:val="Appelnotedebasdep"/>
        </w:rPr>
        <w:footnoteRef/>
      </w:r>
      <w:r w:rsidRPr="00E72418">
        <w:t xml:space="preserve"> Plus largement, comme le note Charlotte Rault, « [t]he State may unilaterally revoke internal monetary laws, manipulate national currency, divert affected guarantee or reduce debt service » (C.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xml:space="preserve">, p. 71). Sur l’opposition de certains à cette possibilité de modifications unilatérales,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142 et suiv. De l’avis de cet auteur, « the capacity to regulate and unilaterally abrogate State contracts is strictly correlated to the degree of the public interest involved » (</w:t>
      </w:r>
      <w:r w:rsidRPr="00E72418">
        <w:rPr>
          <w:i/>
        </w:rPr>
        <w:t>ibid.</w:t>
      </w:r>
      <w:r w:rsidRPr="00E72418">
        <w:t>, p. 165).</w:t>
      </w:r>
    </w:p>
  </w:footnote>
  <w:footnote w:id="94">
    <w:p w14:paraId="40A4262E" w14:textId="63252EB6" w:rsidR="0030147D" w:rsidRPr="00E72418" w:rsidRDefault="0030147D" w:rsidP="007C57EF">
      <w:pPr>
        <w:pStyle w:val="Sansinterligne"/>
        <w:rPr>
          <w:szCs w:val="20"/>
        </w:rPr>
      </w:pPr>
      <w:r w:rsidRPr="00E72418">
        <w:rPr>
          <w:rStyle w:val="Titre4Car"/>
          <w:rFonts w:ascii="Times New Roman" w:eastAsiaTheme="minorHAnsi" w:hAnsi="Times New Roman" w:cs="Times New Roman"/>
          <w:i w:val="0"/>
          <w:iCs w:val="0"/>
          <w:color w:val="auto"/>
          <w:szCs w:val="20"/>
          <w:vertAlign w:val="superscript"/>
        </w:rPr>
        <w:footnoteRef/>
      </w:r>
      <w:r w:rsidRPr="00E72418">
        <w:rPr>
          <w:rFonts w:ascii="Times New Roman" w:hAnsi="Times New Roman" w:cs="Times New Roman"/>
          <w:szCs w:val="20"/>
        </w:rPr>
        <w:t xml:space="preserve"> </w:t>
      </w:r>
      <w:r w:rsidRPr="00E72418">
        <w:rPr>
          <w:rFonts w:ascii="Times New Roman" w:hAnsi="Times New Roman" w:cs="Times New Roman"/>
          <w:smallCaps/>
          <w:szCs w:val="20"/>
        </w:rPr>
        <w:t>M. Audit</w:t>
      </w:r>
      <w:r w:rsidRPr="00E72418">
        <w:rPr>
          <w:rFonts w:ascii="Times New Roman" w:hAnsi="Times New Roman" w:cs="Times New Roman"/>
          <w:szCs w:val="20"/>
        </w:rPr>
        <w:t xml:space="preserve">, « La dette souveraine appelle-t-elle un statut juridique particulier ? », in M. </w:t>
      </w:r>
      <w:r w:rsidRPr="00E72418">
        <w:rPr>
          <w:rFonts w:ascii="Times New Roman" w:hAnsi="Times New Roman" w:cs="Times New Roman"/>
          <w:smallCaps/>
          <w:szCs w:val="20"/>
        </w:rPr>
        <w:t>Audit</w:t>
      </w:r>
      <w:r w:rsidRPr="00E72418">
        <w:rPr>
          <w:rFonts w:ascii="Times New Roman" w:hAnsi="Times New Roman" w:cs="Times New Roman"/>
          <w:szCs w:val="20"/>
        </w:rPr>
        <w:t xml:space="preserve"> (dir.), </w:t>
      </w:r>
      <w:r w:rsidRPr="00E72418">
        <w:rPr>
          <w:rFonts w:ascii="Times New Roman" w:hAnsi="Times New Roman" w:cs="Times New Roman"/>
          <w:i/>
          <w:szCs w:val="20"/>
        </w:rPr>
        <w:t>Insolvabilité des États et dettes souveraines</w:t>
      </w:r>
      <w:r w:rsidRPr="00E72418">
        <w:rPr>
          <w:rFonts w:ascii="Times New Roman" w:hAnsi="Times New Roman" w:cs="Times New Roman"/>
          <w:szCs w:val="20"/>
        </w:rPr>
        <w:t xml:space="preserve">, L.G.D.J., 2011, p. 73. La situation n’est pas hypothétique si l’on s’arrête sur l’exemple hellénique où le pays, après avoir rejoint la zone euro, émit de la dette gouvernée par la loi grecque alors qu’avant 2001, la plupart des obligations souveraines grecques étaient libellées en dollars et gouvernées par le droit de New York (voyez </w:t>
      </w:r>
      <w:r w:rsidRPr="00E72418">
        <w:rPr>
          <w:rFonts w:ascii="Times New Roman" w:hAnsi="Times New Roman" w:cs="Times New Roman"/>
          <w:smallCaps/>
          <w:szCs w:val="20"/>
        </w:rPr>
        <w:t>A. Kern</w:t>
      </w:r>
      <w:r w:rsidRPr="00E72418">
        <w:rPr>
          <w:rFonts w:ascii="Times New Roman" w:hAnsi="Times New Roman" w:cs="Times New Roman"/>
          <w:szCs w:val="20"/>
        </w:rPr>
        <w:t xml:space="preserve">, « Regulating Sovereign Bond Contracts in Europe », in S. </w:t>
      </w:r>
      <w:r w:rsidRPr="00E72418">
        <w:rPr>
          <w:rFonts w:ascii="Times New Roman" w:hAnsi="Times New Roman" w:cs="Times New Roman"/>
          <w:smallCaps/>
          <w:szCs w:val="20"/>
          <w:lang w:val="en-US"/>
        </w:rPr>
        <w:t>Grundmann</w:t>
      </w:r>
      <w:r w:rsidRPr="00E72418">
        <w:rPr>
          <w:rFonts w:ascii="Times New Roman" w:hAnsi="Times New Roman" w:cs="Times New Roman"/>
          <w:szCs w:val="20"/>
          <w:lang w:val="en-US"/>
        </w:rPr>
        <w:t xml:space="preserve">, F. </w:t>
      </w:r>
      <w:r w:rsidRPr="00E72418">
        <w:rPr>
          <w:rFonts w:ascii="Times New Roman" w:hAnsi="Times New Roman" w:cs="Times New Roman"/>
          <w:smallCaps/>
          <w:szCs w:val="20"/>
          <w:lang w:val="en-US"/>
        </w:rPr>
        <w:t>Möslein</w:t>
      </w:r>
      <w:r w:rsidRPr="00E72418">
        <w:rPr>
          <w:rFonts w:ascii="Times New Roman" w:hAnsi="Times New Roman" w:cs="Times New Roman"/>
          <w:szCs w:val="20"/>
          <w:lang w:val="en-US"/>
        </w:rPr>
        <w:t xml:space="preserve"> et K. </w:t>
      </w:r>
      <w:r w:rsidRPr="00E72418">
        <w:rPr>
          <w:rFonts w:ascii="Times New Roman" w:hAnsi="Times New Roman" w:cs="Times New Roman"/>
          <w:smallCaps/>
          <w:szCs w:val="20"/>
          <w:lang w:val="en-US"/>
        </w:rPr>
        <w:t>Riesenhuber</w:t>
      </w:r>
      <w:r w:rsidRPr="00E72418">
        <w:rPr>
          <w:rFonts w:ascii="Times New Roman" w:hAnsi="Times New Roman" w:cs="Times New Roman"/>
          <w:szCs w:val="20"/>
          <w:lang w:val="en-US"/>
        </w:rPr>
        <w:t xml:space="preserve"> (éd.), </w:t>
      </w:r>
      <w:r w:rsidRPr="00E72418">
        <w:rPr>
          <w:rFonts w:ascii="Times New Roman" w:hAnsi="Times New Roman" w:cs="Times New Roman"/>
          <w:i/>
          <w:szCs w:val="20"/>
        </w:rPr>
        <w:t>Contract Governance : Dimensions in Law and Interdisciplinary Research</w:t>
      </w:r>
      <w:r w:rsidRPr="00E72418">
        <w:rPr>
          <w:rFonts w:ascii="Times New Roman" w:hAnsi="Times New Roman" w:cs="Times New Roman"/>
          <w:szCs w:val="20"/>
          <w:lang w:val="en-US"/>
        </w:rPr>
        <w:t xml:space="preserve">, Oxford University Press, 2015, p. 457). </w:t>
      </w:r>
      <w:r w:rsidRPr="00E72418">
        <w:rPr>
          <w:rFonts w:ascii="Times New Roman" w:hAnsi="Times New Roman" w:cs="Times New Roman"/>
          <w:szCs w:val="20"/>
        </w:rPr>
        <w:t xml:space="preserve">Cette dette soumise à la loi nationale fut une force pour le pays lors de la restructuration de 2012 </w:t>
      </w:r>
      <w:r w:rsidRPr="00E72418">
        <w:rPr>
          <w:rFonts w:ascii="Times New Roman" w:hAnsi="Times New Roman" w:cs="Times New Roman"/>
          <w:szCs w:val="20"/>
          <w:lang w:val="en-US"/>
        </w:rPr>
        <w:t>(</w:t>
      </w:r>
      <w:r w:rsidRPr="00E72418">
        <w:rPr>
          <w:rStyle w:val="Titre5Car"/>
          <w:rFonts w:ascii="Times New Roman" w:eastAsiaTheme="minorHAnsi" w:hAnsi="Times New Roman" w:cs="Times New Roman"/>
          <w:smallCaps/>
          <w:color w:val="auto"/>
          <w:szCs w:val="20"/>
          <w:lang w:val="en-US"/>
        </w:rPr>
        <w:t>J. Butensky</w:t>
      </w:r>
      <w:r w:rsidRPr="00E72418">
        <w:rPr>
          <w:rStyle w:val="Titre5Car"/>
          <w:rFonts w:ascii="Times New Roman" w:eastAsiaTheme="minorHAnsi" w:hAnsi="Times New Roman" w:cs="Times New Roman"/>
          <w:color w:val="auto"/>
          <w:szCs w:val="20"/>
          <w:lang w:val="en-US"/>
        </w:rPr>
        <w:t xml:space="preserve">, « Tango or Sirtaki? The Argentine and Greek Dance with Sovereignty and a Multilateral Sovereign Debt Restructuring Framework », </w:t>
      </w:r>
      <w:r w:rsidRPr="00E72418">
        <w:rPr>
          <w:rStyle w:val="Titre5Car"/>
          <w:rFonts w:ascii="Times New Roman" w:eastAsiaTheme="minorHAnsi" w:hAnsi="Times New Roman" w:cs="Times New Roman"/>
          <w:i/>
          <w:color w:val="auto"/>
          <w:szCs w:val="20"/>
          <w:lang w:val="en-US"/>
        </w:rPr>
        <w:t>op. cit.</w:t>
      </w:r>
      <w:r w:rsidRPr="00E72418">
        <w:rPr>
          <w:rStyle w:val="Titre5Car"/>
          <w:rFonts w:ascii="Times New Roman" w:eastAsiaTheme="minorHAnsi" w:hAnsi="Times New Roman" w:cs="Times New Roman"/>
          <w:color w:val="auto"/>
          <w:szCs w:val="20"/>
          <w:lang w:val="en-US"/>
        </w:rPr>
        <w:t xml:space="preserve">, p. 177). Sur la crise et la restructuration grecques, voyez </w:t>
      </w:r>
      <w:r w:rsidRPr="00E72418">
        <w:rPr>
          <w:rStyle w:val="Titre5Car"/>
          <w:rFonts w:ascii="Times New Roman" w:eastAsiaTheme="minorHAnsi" w:hAnsi="Times New Roman" w:cs="Times New Roman"/>
          <w:i/>
          <w:color w:val="auto"/>
          <w:szCs w:val="20"/>
          <w:lang w:val="en-US"/>
        </w:rPr>
        <w:t xml:space="preserve">infra </w:t>
      </w:r>
      <w:r w:rsidRPr="00E72418">
        <w:rPr>
          <w:rStyle w:val="Titre5Car"/>
          <w:rFonts w:ascii="Times New Roman" w:eastAsiaTheme="minorHAnsi" w:hAnsi="Times New Roman" w:cs="Times New Roman"/>
          <w:color w:val="auto"/>
          <w:szCs w:val="20"/>
          <w:lang w:val="en-US"/>
        </w:rPr>
        <w:t>notamment n° 119.</w:t>
      </w:r>
    </w:p>
  </w:footnote>
  <w:footnote w:id="95">
    <w:p w14:paraId="7459807C" w14:textId="4253DD5A"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xml:space="preserve">, p. 75. </w:t>
      </w:r>
      <w:r w:rsidRPr="00E72418">
        <w:rPr>
          <w:szCs w:val="20"/>
          <w:lang w:val="en-US"/>
        </w:rPr>
        <w:t>Comme le notent Julian Schumacher</w:t>
      </w:r>
      <w:r w:rsidRPr="00E72418">
        <w:rPr>
          <w:rFonts w:ascii="Times New Roman" w:hAnsi="Times New Roman"/>
          <w:i/>
        </w:rPr>
        <w:t xml:space="preserve"> et al.</w:t>
      </w:r>
      <w:r w:rsidRPr="00E72418">
        <w:rPr>
          <w:rFonts w:ascii="Times New Roman" w:hAnsi="Times New Roman"/>
        </w:rPr>
        <w:t>,</w:t>
      </w:r>
      <w:r w:rsidRPr="00E72418">
        <w:rPr>
          <w:rFonts w:ascii="Times New Roman" w:hAnsi="Times New Roman"/>
          <w:i/>
        </w:rPr>
        <w:t xml:space="preserve"> </w:t>
      </w:r>
      <w:r w:rsidRPr="00E72418">
        <w:rPr>
          <w:szCs w:val="20"/>
          <w:lang w:val="en-US"/>
        </w:rPr>
        <w:t xml:space="preserve">« [f]or legal reasons, domestic credit flows are not directly affected by creditor litigation or enforcement attempts, as foreign creditors have very limited legal options when it comes to seizing assets in the defaulting country itself, and governments can enact domestic laws to prevent such actions </w:t>
      </w:r>
      <w:r w:rsidRPr="00E72418">
        <w:rPr>
          <w:rStyle w:val="Titre4Car"/>
          <w:rFonts w:ascii="Times" w:eastAsiaTheme="minorHAnsi" w:hAnsi="Times" w:cstheme="minorBidi"/>
          <w:i w:val="0"/>
          <w:iCs w:val="0"/>
          <w:color w:val="auto"/>
          <w:szCs w:val="20"/>
          <w:lang w:val="en-US"/>
        </w:rPr>
        <w:t>»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30).</w:t>
      </w:r>
    </w:p>
  </w:footnote>
  <w:footnote w:id="96">
    <w:p w14:paraId="28A303B8" w14:textId="04203C0D"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H. Muir Watt</w:t>
      </w:r>
      <w:r w:rsidRPr="00E72418">
        <w:t xml:space="preserve">, « Dette souveraine et main visible du marché : de nouveaux enjeux du droit international privé des contrats », </w:t>
      </w:r>
      <w:r w:rsidRPr="00E72418">
        <w:rPr>
          <w:rFonts w:ascii="Times New Roman" w:hAnsi="Times New Roman" w:cs="Times New Roman"/>
          <w:i/>
        </w:rPr>
        <w:t>Rev. crit. DIP</w:t>
      </w:r>
      <w:r w:rsidRPr="00E72418">
        <w:t xml:space="preserve">, 2015, p. 340. Dans son arrêt du 12 juillet 1929, la Cour permanente de justice internationale relevait déjà au sujet du pouvoir monétaire dont disposent les </w:t>
      </w:r>
      <w:r w:rsidRPr="00E72418">
        <w:rPr>
          <w:lang w:eastAsia="fr-BE"/>
        </w:rPr>
        <w:t>É</w:t>
      </w:r>
      <w:r w:rsidRPr="00E72418">
        <w:t xml:space="preserve">tats que « c’est un principe généralement reconnu que tout </w:t>
      </w:r>
      <w:r w:rsidRPr="00E72418">
        <w:rPr>
          <w:lang w:eastAsia="fr-BE"/>
        </w:rPr>
        <w:t>É</w:t>
      </w:r>
      <w:r w:rsidRPr="00E72418">
        <w:t xml:space="preserve">tat a le droit de déterminer lui-même ses monnaies » (C.P.I.J., 12 juillet 1929, </w:t>
      </w:r>
      <w:r w:rsidRPr="00E72418">
        <w:rPr>
          <w:i/>
        </w:rPr>
        <w:t>Affaire concernant le paiement de divers emprunts serbes émis en France et affaire relative au paiement, en or, des emprunts fédéraux brésiliens émis en France</w:t>
      </w:r>
      <w:r w:rsidRPr="00E72418">
        <w:t>, arrêt, série A, n° 20/21, p. 44). L’on réservera toutefois notamment la particularité de la politique monétaire européenne.</w:t>
      </w:r>
    </w:p>
  </w:footnote>
  <w:footnote w:id="97">
    <w:p w14:paraId="10D26843" w14:textId="56FF8887" w:rsidR="0030147D" w:rsidRPr="00E72418" w:rsidRDefault="0030147D" w:rsidP="007C57EF">
      <w:pPr>
        <w:pStyle w:val="Sansinterligne"/>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p. 69.</w:t>
      </w:r>
    </w:p>
  </w:footnote>
  <w:footnote w:id="98">
    <w:p w14:paraId="72F69194" w14:textId="59D81F9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Comme le notent Julian Schumacher</w:t>
      </w:r>
      <w:r w:rsidRPr="00E72418">
        <w:rPr>
          <w:rFonts w:ascii="Times New Roman" w:hAnsi="Times New Roman"/>
          <w:i/>
        </w:rPr>
        <w:t xml:space="preserve"> et al.</w:t>
      </w:r>
      <w:r w:rsidRPr="00E72418">
        <w:rPr>
          <w:rFonts w:ascii="Times New Roman" w:hAnsi="Times New Roman"/>
        </w:rPr>
        <w:t>,</w:t>
      </w:r>
      <w:r w:rsidRPr="00E72418">
        <w:rPr>
          <w:rFonts w:ascii="Times New Roman" w:hAnsi="Times New Roman"/>
          <w:i/>
        </w:rPr>
        <w:t xml:space="preserve"> </w:t>
      </w:r>
      <w:r w:rsidRPr="00E72418">
        <w:rPr>
          <w:szCs w:val="20"/>
          <w:lang w:val="en-US"/>
        </w:rPr>
        <w:t>« foreign-law bonds typically trade at a premium compared to domestic bonds with weaker protection »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4).</w:t>
      </w:r>
    </w:p>
  </w:footnote>
  <w:footnote w:id="99">
    <w:p w14:paraId="783BC04A" w14:textId="4F5DF46C"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Chamon, J. Schumacher</w:t>
      </w:r>
      <w:r w:rsidRPr="00E72418">
        <w:rPr>
          <w:szCs w:val="20"/>
          <w:lang w:val="en-US"/>
        </w:rPr>
        <w:t xml:space="preserve"> et </w:t>
      </w:r>
      <w:r w:rsidRPr="00E72418">
        <w:rPr>
          <w:smallCaps/>
          <w:szCs w:val="20"/>
          <w:lang w:val="en-US"/>
        </w:rPr>
        <w:t>C. Trebesch</w:t>
      </w:r>
      <w:r w:rsidRPr="00E72418">
        <w:rPr>
          <w:szCs w:val="20"/>
          <w:lang w:val="en-US"/>
        </w:rPr>
        <w:t xml:space="preserve">, </w:t>
      </w:r>
      <w:r w:rsidRPr="00E72418">
        <w:t xml:space="preserve">« </w:t>
      </w:r>
      <w:r w:rsidRPr="00E72418">
        <w:rPr>
          <w:rFonts w:cs="Times New Roman"/>
          <w:szCs w:val="24"/>
          <w:lang w:val="en-US"/>
        </w:rPr>
        <w:t>Foreign-law bonds: can they reduce sovereign borrowing costs?</w:t>
      </w:r>
      <w:r w:rsidRPr="00E72418">
        <w:rPr>
          <w:szCs w:val="20"/>
        </w:rPr>
        <w:t xml:space="preserve"> »</w:t>
      </w:r>
      <w:r w:rsidRPr="00E72418">
        <w:rPr>
          <w:szCs w:val="20"/>
          <w:lang w:val="en-US"/>
        </w:rPr>
        <w:t xml:space="preserve">, European Central Bank Working Paper Series, n° 2162, 2018, p. 40. Pour reprendre l’exemple grec, Stephen Choi </w:t>
      </w:r>
      <w:r w:rsidRPr="00E72418">
        <w:rPr>
          <w:i/>
          <w:szCs w:val="20"/>
          <w:lang w:val="en-US"/>
        </w:rPr>
        <w:t>et al.</w:t>
      </w:r>
      <w:r w:rsidRPr="00E72418">
        <w:rPr>
          <w:szCs w:val="20"/>
          <w:lang w:val="en-US"/>
        </w:rPr>
        <w:t xml:space="preserve"> notent qu’ « investors accepted a lower yield for English-law governed bonds compared with Greek-law governed bonds » (</w:t>
      </w:r>
      <w:r w:rsidRPr="00E72418">
        <w:rPr>
          <w:smallCaps/>
          <w:szCs w:val="20"/>
          <w:lang w:val="en-US"/>
        </w:rPr>
        <w:t>S. Choi</w:t>
      </w:r>
      <w:r w:rsidRPr="00E72418">
        <w:rPr>
          <w:szCs w:val="20"/>
          <w:lang w:val="en-US"/>
        </w:rPr>
        <w:t xml:space="preserve">, </w:t>
      </w:r>
      <w:r w:rsidRPr="00E72418">
        <w:rPr>
          <w:smallCaps/>
          <w:szCs w:val="20"/>
          <w:lang w:val="en-US"/>
        </w:rPr>
        <w:t>M. Gulati</w:t>
      </w:r>
      <w:r w:rsidRPr="00E72418">
        <w:rPr>
          <w:szCs w:val="20"/>
          <w:lang w:val="en-US"/>
        </w:rPr>
        <w:t xml:space="preserve"> et </w:t>
      </w:r>
      <w:r w:rsidRPr="00E72418">
        <w:rPr>
          <w:smallCaps/>
          <w:szCs w:val="20"/>
          <w:lang w:val="en-US"/>
        </w:rPr>
        <w:t>E. Posner</w:t>
      </w:r>
      <w:r w:rsidRPr="00E72418">
        <w:rPr>
          <w:szCs w:val="20"/>
          <w:lang w:val="en-US"/>
        </w:rPr>
        <w:t xml:space="preserve">, « Pricing terms in sovereign debt contracts: a Greek case study with implications for the European crisis resolution mechanism », </w:t>
      </w:r>
      <w:r w:rsidRPr="00E72418">
        <w:rPr>
          <w:rFonts w:ascii="Times New Roman" w:hAnsi="Times New Roman" w:cs="Times New Roman"/>
          <w:i/>
          <w:szCs w:val="20"/>
        </w:rPr>
        <w:t>C.M.L.J.</w:t>
      </w:r>
      <w:r w:rsidRPr="00E72418">
        <w:rPr>
          <w:szCs w:val="20"/>
          <w:lang w:val="en-US"/>
        </w:rPr>
        <w:t>, 2011, p. 184).</w:t>
      </w:r>
    </w:p>
  </w:footnote>
  <w:footnote w:id="100">
    <w:p w14:paraId="274CDBE2" w14:textId="66AC6023" w:rsidR="0030147D" w:rsidRPr="00E72418" w:rsidRDefault="0030147D" w:rsidP="00E32F89">
      <w:pPr>
        <w:pStyle w:val="Sansinterligne"/>
        <w:rPr>
          <w:rFonts w:ascii="Times New Roman" w:hAnsi="Times New Roman" w:cs="Times New Roman"/>
        </w:rPr>
      </w:pPr>
      <w:r w:rsidRPr="00E72418">
        <w:rPr>
          <w:rStyle w:val="Titre4Car"/>
          <w:rFonts w:ascii="Times" w:eastAsiaTheme="minorHAnsi" w:hAnsi="Times" w:cstheme="minorBidi"/>
          <w:i w:val="0"/>
          <w:iCs w:val="0"/>
          <w:color w:val="auto"/>
          <w:szCs w:val="20"/>
          <w:vertAlign w:val="superscript"/>
        </w:rPr>
        <w:footnoteRef/>
      </w:r>
      <w:r w:rsidRPr="00E72418">
        <w:t xml:space="preserve"> </w:t>
      </w:r>
      <w:r w:rsidRPr="00E72418">
        <w:rPr>
          <w:smallCaps/>
        </w:rPr>
        <w:t>M. Pearce</w:t>
      </w:r>
      <w:r w:rsidRPr="00E72418">
        <w:t xml:space="preserve">, « The “internationalisation” of sovereign loan agreements », </w:t>
      </w:r>
      <w:r w:rsidRPr="00E72418">
        <w:rPr>
          <w:rFonts w:ascii="Times New Roman" w:hAnsi="Times New Roman" w:cs="Times New Roman"/>
          <w:i/>
        </w:rPr>
        <w:t>J.I.B.L.</w:t>
      </w:r>
      <w:r w:rsidRPr="00E72418">
        <w:t>, 1986, p. 165.</w:t>
      </w:r>
    </w:p>
  </w:footnote>
  <w:footnote w:id="101">
    <w:p w14:paraId="4A9C3076" w14:textId="686CC3B4"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n° 24.</w:t>
      </w:r>
    </w:p>
  </w:footnote>
  <w:footnote w:id="102">
    <w:p w14:paraId="70DD94EB" w14:textId="333A5848" w:rsidR="0030147D" w:rsidRPr="00E72418" w:rsidRDefault="0030147D" w:rsidP="00877D2C">
      <w:pPr>
        <w:pStyle w:val="Sansinterligne"/>
        <w:rPr>
          <w:szCs w:val="20"/>
        </w:rPr>
      </w:pPr>
      <w:r w:rsidRPr="00E72418">
        <w:rPr>
          <w:rStyle w:val="Appelnotedebasdep"/>
          <w:szCs w:val="20"/>
        </w:rPr>
        <w:footnoteRef/>
      </w:r>
      <w:r w:rsidRPr="00E72418">
        <w:rPr>
          <w:szCs w:val="20"/>
        </w:rPr>
        <w:t xml:space="preserve"> Lorsqu’une institution internationale accorde un prêt à l’un de ses membres, ce prêt prend la forme d’un traité international de sorte que sa violation est de nature à entraîner la responsabilité internationale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rPr>
        <w:t>op. cit.</w:t>
      </w:r>
      <w:r w:rsidRPr="00E72418">
        <w:rPr>
          <w:szCs w:val="20"/>
        </w:rPr>
        <w:t>, n° 35). Dans la situation où les États débiteurs ne sont pas en mesure de faire face aux obligations financières liées aux prêts accordés par les institutions financières internationales, ils s’exposent à toute une série de sanctions qui peuvent être financières mais également disciplinaires. L’on peut ainsi citer comme exemples la perte d’un droit de vote ou encore la suspension, voire l’expulsion de l’institution (</w:t>
      </w:r>
      <w:r w:rsidRPr="00E72418">
        <w:rPr>
          <w:i/>
          <w:szCs w:val="20"/>
        </w:rPr>
        <w:t>ibid.</w:t>
      </w:r>
      <w:r w:rsidRPr="00E72418">
        <w:rPr>
          <w:szCs w:val="20"/>
        </w:rPr>
        <w:t>, n° 37).</w:t>
      </w:r>
    </w:p>
  </w:footnote>
  <w:footnote w:id="103">
    <w:p w14:paraId="333315E6" w14:textId="5B858D0B"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n° 42.</w:t>
      </w:r>
    </w:p>
  </w:footnote>
  <w:footnote w:id="104">
    <w:p w14:paraId="49DBE97A" w14:textId="495C3554"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n° 24.</w:t>
      </w:r>
    </w:p>
  </w:footnote>
  <w:footnote w:id="105">
    <w:p w14:paraId="1498CDC2" w14:textId="4CA0310D" w:rsidR="0030147D" w:rsidRPr="00E72418" w:rsidRDefault="0030147D" w:rsidP="00DB180C">
      <w:pPr>
        <w:pStyle w:val="Sansinterligne"/>
        <w:rPr>
          <w:szCs w:val="20"/>
        </w:rPr>
      </w:pPr>
      <w:r w:rsidRPr="00E72418">
        <w:rPr>
          <w:rStyle w:val="Appelnotedebasdep"/>
          <w:szCs w:val="20"/>
        </w:rPr>
        <w:footnoteRef/>
      </w:r>
      <w:r w:rsidRPr="00E72418">
        <w:rPr>
          <w:smallCaps/>
          <w:szCs w:val="20"/>
        </w:rPr>
        <w:t xml:space="preserve"> </w:t>
      </w:r>
      <w:r w:rsidRPr="00E72418">
        <w:rPr>
          <w:i/>
          <w:szCs w:val="20"/>
        </w:rPr>
        <w:t>Ibid.</w:t>
      </w:r>
      <w:r w:rsidRPr="00E72418">
        <w:rPr>
          <w:szCs w:val="20"/>
        </w:rPr>
        <w:t>, n° 56.</w:t>
      </w:r>
    </w:p>
  </w:footnote>
  <w:footnote w:id="106">
    <w:p w14:paraId="451A3630" w14:textId="27034A4D" w:rsidR="0030147D" w:rsidRPr="00E72418" w:rsidRDefault="0030147D" w:rsidP="00926186">
      <w:pPr>
        <w:pStyle w:val="Sansinterligne"/>
        <w:rPr>
          <w:i/>
        </w:rPr>
      </w:pPr>
      <w:r w:rsidRPr="00E72418">
        <w:rPr>
          <w:rStyle w:val="Appelnotedebasdep"/>
          <w:szCs w:val="20"/>
        </w:rPr>
        <w:footnoteRef/>
      </w:r>
      <w:r w:rsidRPr="00E72418">
        <w:t xml:space="preserve"> </w:t>
      </w:r>
      <w:r w:rsidRPr="00E72418">
        <w:rPr>
          <w:smallCaps/>
        </w:rPr>
        <w:t>A. Iversen</w:t>
      </w:r>
      <w:r w:rsidRPr="00E72418">
        <w:t xml:space="preserve">, « Vulture Fund Legislation », </w:t>
      </w:r>
      <w:r w:rsidRPr="00E72418">
        <w:rPr>
          <w:rFonts w:ascii="Times New Roman" w:hAnsi="Times New Roman" w:cs="Times New Roman"/>
          <w:i/>
          <w:shd w:val="clear" w:color="auto" w:fill="FFFFFF"/>
        </w:rPr>
        <w:t>Bank. Financ. Serv. Policy Rep.</w:t>
      </w:r>
      <w:r w:rsidRPr="00E72418">
        <w:t>, 2019, p. 11.</w:t>
      </w:r>
    </w:p>
  </w:footnote>
  <w:footnote w:id="107">
    <w:p w14:paraId="199D9772" w14:textId="1F4DA6D4"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Jeffrey Butensky le note, « English and New York Law are the primary governing-law choices for debt instruments when the sovereign’s law is not chosen » (</w:t>
      </w:r>
      <w:r w:rsidRPr="00E72418">
        <w:rPr>
          <w:rStyle w:val="Titre5Car"/>
          <w:rFonts w:ascii="Times" w:eastAsiaTheme="minorHAnsi" w:hAnsi="Times" w:cstheme="minorBidi"/>
          <w:smallCaps/>
          <w:color w:val="auto"/>
          <w:szCs w:val="20"/>
        </w:rPr>
        <w:t>J. Butensky</w:t>
      </w:r>
      <w:r w:rsidRPr="00E72418">
        <w:rPr>
          <w:rStyle w:val="Titre5Car"/>
          <w:rFonts w:ascii="Times" w:eastAsiaTheme="minorHAnsi" w:hAnsi="Times" w:cstheme="minorBidi"/>
          <w:color w:val="auto"/>
          <w:szCs w:val="20"/>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rPr>
        <w:t>op. cit.</w:t>
      </w:r>
      <w:r w:rsidRPr="00E72418">
        <w:rPr>
          <w:rStyle w:val="Titre5Car"/>
          <w:rFonts w:ascii="Times" w:eastAsiaTheme="minorHAnsi" w:hAnsi="Times" w:cstheme="minorBidi"/>
          <w:color w:val="auto"/>
          <w:szCs w:val="20"/>
        </w:rPr>
        <w:t>, p. 177)</w:t>
      </w:r>
      <w:r w:rsidRPr="00E72418">
        <w:rPr>
          <w:szCs w:val="20"/>
        </w:rPr>
        <w:t>.</w:t>
      </w:r>
      <w:r w:rsidRPr="00E72418">
        <w:t xml:space="preserve"> Sur le recours récurrent aux droit et juridictions new-yorkais et britanniques, voyez </w:t>
      </w:r>
      <w:r w:rsidRPr="00E72418">
        <w:rPr>
          <w:i/>
        </w:rPr>
        <w:t>infra</w:t>
      </w:r>
      <w:r w:rsidRPr="00E72418">
        <w:t xml:space="preserve"> n° 79.</w:t>
      </w:r>
    </w:p>
  </w:footnote>
  <w:footnote w:id="108">
    <w:p w14:paraId="4DC7B93E" w14:textId="015FFF37"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Comme le note Issam Hallak, « the governing law constitutes the unique legal environment that governs any dispute that may arise » (</w:t>
      </w:r>
      <w:r w:rsidRPr="00E72418">
        <w:rPr>
          <w:smallCaps/>
          <w:szCs w:val="20"/>
        </w:rPr>
        <w:t>I. Hallak</w:t>
      </w:r>
      <w:r w:rsidRPr="00E72418">
        <w:rPr>
          <w:szCs w:val="20"/>
        </w:rPr>
        <w:t xml:space="preserve">, « Governing Law of Sovereign Bonds and Legal Enforcement », in R. </w:t>
      </w:r>
      <w:r w:rsidRPr="00E72418">
        <w:rPr>
          <w:smallCaps/>
          <w:szCs w:val="20"/>
        </w:rPr>
        <w:t>Kolb</w:t>
      </w:r>
      <w:r w:rsidRPr="00E72418">
        <w:rPr>
          <w:szCs w:val="20"/>
        </w:rPr>
        <w:t xml:space="preserve"> (éd.), </w:t>
      </w:r>
      <w:r w:rsidRPr="00E72418">
        <w:rPr>
          <w:i/>
          <w:szCs w:val="20"/>
        </w:rPr>
        <w:t>Sovereign Debt: From Safety to Default</w:t>
      </w:r>
      <w:r w:rsidRPr="00E72418">
        <w:rPr>
          <w:szCs w:val="20"/>
        </w:rPr>
        <w:t xml:space="preserve">, Wiley, 2011, p. 205). Sur le droit applicable en cas de conflit, voyez </w:t>
      </w:r>
      <w:r w:rsidRPr="00E72418">
        <w:rPr>
          <w:i/>
          <w:szCs w:val="20"/>
        </w:rPr>
        <w:t>infra</w:t>
      </w:r>
      <w:r w:rsidRPr="00E72418">
        <w:rPr>
          <w:szCs w:val="20"/>
        </w:rPr>
        <w:t xml:space="preserve"> n° 78.</w:t>
      </w:r>
    </w:p>
  </w:footnote>
  <w:footnote w:id="109">
    <w:p w14:paraId="021A6EA5" w14:textId="467B50A8"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Par exemple, aucune clause de stabilisation ne permet, en principe, de figer le droit ou d’anticiper l’interprétation qu’en feront les juridictions de sorte que l’aléa est existant. On peut illustrer cet aléa par l’interprétation de la clause </w:t>
      </w:r>
      <w:r w:rsidRPr="00E72418">
        <w:rPr>
          <w:i/>
          <w:szCs w:val="20"/>
        </w:rPr>
        <w:t>pari passu</w:t>
      </w:r>
      <w:r w:rsidRPr="00E72418">
        <w:rPr>
          <w:szCs w:val="20"/>
        </w:rPr>
        <w:t xml:space="preserve"> que firent les juridictions new-yorkaises dans le cadre du contentieux argentin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xml:space="preserve">, p. 755). Sur la clause </w:t>
      </w:r>
      <w:r w:rsidRPr="00E72418">
        <w:rPr>
          <w:i/>
          <w:szCs w:val="20"/>
        </w:rPr>
        <w:t>pari passu</w:t>
      </w:r>
      <w:r w:rsidRPr="00E72418">
        <w:rPr>
          <w:szCs w:val="20"/>
        </w:rPr>
        <w:t xml:space="preserve"> et la discussion de sa portée,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173 et suiv.</w:t>
      </w:r>
    </w:p>
  </w:footnote>
  <w:footnote w:id="110">
    <w:p w14:paraId="4B1371BA" w14:textId="7D4131E5"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xml:space="preserve">, n° 60. Sur la compétence des juridictions en cas de conflit, voyez </w:t>
      </w:r>
      <w:r w:rsidRPr="00E72418">
        <w:rPr>
          <w:i/>
          <w:szCs w:val="20"/>
        </w:rPr>
        <w:t>infra</w:t>
      </w:r>
      <w:r w:rsidRPr="00E72418">
        <w:rPr>
          <w:szCs w:val="20"/>
        </w:rPr>
        <w:t xml:space="preserve"> n° 77.</w:t>
      </w:r>
    </w:p>
  </w:footnote>
  <w:footnote w:id="111">
    <w:p w14:paraId="22D1B302" w14:textId="60CF55A1" w:rsidR="0030147D" w:rsidRPr="00E72418" w:rsidRDefault="0030147D" w:rsidP="00DB180C">
      <w:pPr>
        <w:pStyle w:val="Sansinterligne"/>
        <w:rPr>
          <w:szCs w:val="20"/>
        </w:rPr>
      </w:pPr>
      <w:r w:rsidRPr="00E72418">
        <w:rPr>
          <w:rStyle w:val="Appelnotedebasdep"/>
          <w:szCs w:val="20"/>
        </w:rPr>
        <w:footnoteRef/>
      </w:r>
      <w:r w:rsidRPr="00E72418">
        <w:rPr>
          <w:szCs w:val="20"/>
        </w:rPr>
        <w:t xml:space="preserve"> </w:t>
      </w:r>
      <w:r w:rsidRPr="00E72418">
        <w:rPr>
          <w:szCs w:val="20"/>
          <w:lang w:val="en-US"/>
        </w:rPr>
        <w:t>Conférence des Nations Unies sur le commerce et le développement</w:t>
      </w:r>
      <w:r w:rsidRPr="00E72418">
        <w:rPr>
          <w:szCs w:val="20"/>
        </w:rPr>
        <w:t xml:space="preserve">,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 background note, 26 octobre 2016, p. 9.</w:t>
      </w:r>
    </w:p>
  </w:footnote>
  <w:footnote w:id="112">
    <w:p w14:paraId="61CD13B7" w14:textId="1232EC89" w:rsidR="0030147D" w:rsidRPr="00E72418" w:rsidRDefault="0030147D" w:rsidP="00926186">
      <w:pPr>
        <w:pStyle w:val="Sansinterligne"/>
        <w:rPr>
          <w:rFonts w:ascii="Times New Roman" w:hAnsi="Times New Roman" w:cs="Times New Roman"/>
        </w:rPr>
      </w:pPr>
      <w:r w:rsidRPr="00E72418">
        <w:rPr>
          <w:rStyle w:val="Titre4Car"/>
          <w:rFonts w:ascii="Times" w:eastAsiaTheme="minorHAnsi" w:hAnsi="Times" w:cstheme="minorBidi"/>
          <w:i w:val="0"/>
          <w:iCs w:val="0"/>
          <w:color w:val="auto"/>
          <w:szCs w:val="20"/>
          <w:vertAlign w:val="superscript"/>
        </w:rPr>
        <w:footnoteRef/>
      </w:r>
      <w:r w:rsidRPr="00E72418">
        <w:rPr>
          <w:lang w:val="en-US"/>
        </w:rPr>
        <w:t xml:space="preserve"> </w:t>
      </w:r>
      <w:r w:rsidRPr="00E72418">
        <w:rPr>
          <w:rStyle w:val="Titre1Car"/>
          <w:rFonts w:ascii="Times" w:eastAsiaTheme="minorHAnsi" w:hAnsi="Times" w:cstheme="minorBidi"/>
          <w:smallCaps/>
          <w:color w:val="auto"/>
          <w:sz w:val="20"/>
          <w:szCs w:val="20"/>
          <w:lang w:val="en-US"/>
        </w:rPr>
        <w:t>M. Waibel</w:t>
      </w:r>
      <w:r w:rsidRPr="00E72418">
        <w:rPr>
          <w:rStyle w:val="Titre1Car"/>
          <w:rFonts w:ascii="Times" w:eastAsiaTheme="minorHAnsi" w:hAnsi="Times" w:cstheme="minorBidi"/>
          <w:color w:val="auto"/>
          <w:sz w:val="20"/>
          <w:szCs w:val="20"/>
          <w:lang w:val="en-US"/>
        </w:rPr>
        <w:t xml:space="preserve">, « Opening Pandora’s Box: Sovereign Bonds in International Arbitration », </w:t>
      </w:r>
      <w:r w:rsidRPr="00E72418">
        <w:rPr>
          <w:rFonts w:ascii="Times New Roman" w:hAnsi="Times New Roman" w:cs="Times New Roman"/>
          <w:i/>
        </w:rPr>
        <w:t>A.J.I.L.</w:t>
      </w:r>
      <w:r w:rsidRPr="00E72418">
        <w:rPr>
          <w:rStyle w:val="Titre1Car"/>
          <w:rFonts w:ascii="Times" w:eastAsiaTheme="minorHAnsi" w:hAnsi="Times" w:cstheme="minorBidi"/>
          <w:color w:val="auto"/>
          <w:sz w:val="20"/>
          <w:szCs w:val="20"/>
          <w:lang w:val="en-US"/>
        </w:rPr>
        <w:t>, 2007, p. 711</w:t>
      </w:r>
      <w:r w:rsidRPr="00E72418">
        <w:rPr>
          <w:rStyle w:val="Titre5Car"/>
          <w:rFonts w:ascii="Times" w:eastAsiaTheme="minorHAnsi" w:hAnsi="Times" w:cstheme="minorBidi"/>
          <w:color w:val="auto"/>
          <w:szCs w:val="20"/>
          <w:lang w:val="en-US"/>
        </w:rPr>
        <w:t xml:space="preserve">. </w:t>
      </w:r>
      <w:r w:rsidRPr="00E72418">
        <w:t xml:space="preserve">En 2014, Tim Samples relevait que « [g]overnment debt represents a hefty portion </w:t>
      </w:r>
      <w:r w:rsidRPr="00E72418">
        <w:rPr>
          <w:b/>
        </w:rPr>
        <w:t xml:space="preserve">– </w:t>
      </w:r>
      <w:r w:rsidRPr="00E72418">
        <w:t xml:space="preserve">roughly a fifth of financial assets worldwide » (T. </w:t>
      </w:r>
      <w:r w:rsidRPr="00E72418">
        <w:rPr>
          <w:smallCaps/>
        </w:rPr>
        <w:t>Samples</w:t>
      </w:r>
      <w:r w:rsidRPr="00E72418">
        <w:t xml:space="preserve">, </w:t>
      </w:r>
      <w:r w:rsidRPr="00E72418">
        <w:rPr>
          <w:rStyle w:val="Titre1Car"/>
          <w:rFonts w:ascii="Times" w:eastAsiaTheme="minorHAnsi" w:hAnsi="Times" w:cstheme="minorBidi"/>
          <w:color w:val="auto"/>
          <w:sz w:val="20"/>
          <w:szCs w:val="20"/>
          <w:lang w:val="en-US"/>
        </w:rPr>
        <w:t xml:space="preserve">« Rogue Trends in Sovereign Debt: Argentina, Vulture Funds, and </w:t>
      </w:r>
      <w:r w:rsidRPr="00E72418">
        <w:rPr>
          <w:rStyle w:val="Titre1Car"/>
          <w:rFonts w:ascii="Times" w:eastAsiaTheme="minorHAnsi" w:hAnsi="Times" w:cstheme="minorBidi"/>
          <w:i/>
          <w:color w:val="auto"/>
          <w:sz w:val="20"/>
          <w:szCs w:val="20"/>
          <w:lang w:val="en-US"/>
        </w:rPr>
        <w:t>Pari Passu</w:t>
      </w:r>
      <w:r w:rsidRPr="00E72418">
        <w:rPr>
          <w:rStyle w:val="Titre1Car"/>
          <w:rFonts w:ascii="Times" w:eastAsiaTheme="minorHAnsi" w:hAnsi="Times" w:cstheme="minorBidi"/>
          <w:color w:val="auto"/>
          <w:sz w:val="20"/>
          <w:szCs w:val="20"/>
          <w:lang w:val="en-US"/>
        </w:rPr>
        <w:t xml:space="preserve"> Under New York Law », </w:t>
      </w:r>
      <w:r w:rsidRPr="00E72418">
        <w:rPr>
          <w:rStyle w:val="Titre1Car"/>
          <w:rFonts w:ascii="Times" w:eastAsiaTheme="minorHAnsi" w:hAnsi="Times" w:cstheme="minorBidi"/>
          <w:i/>
          <w:color w:val="auto"/>
          <w:sz w:val="20"/>
          <w:szCs w:val="20"/>
          <w:lang w:val="en-US"/>
        </w:rPr>
        <w:t>op. cit.</w:t>
      </w:r>
      <w:r w:rsidRPr="00E72418">
        <w:rPr>
          <w:rStyle w:val="Titre1Car"/>
          <w:rFonts w:ascii="Times" w:eastAsiaTheme="minorHAnsi" w:hAnsi="Times" w:cstheme="minorBidi"/>
          <w:color w:val="auto"/>
          <w:sz w:val="20"/>
          <w:szCs w:val="20"/>
          <w:lang w:val="en-US"/>
        </w:rPr>
        <w:t>, p. 51).</w:t>
      </w:r>
    </w:p>
  </w:footnote>
  <w:footnote w:id="113">
    <w:p w14:paraId="5D0DFAA7" w14:textId="6D9B4829" w:rsidR="0030147D" w:rsidRPr="00E72418" w:rsidRDefault="0030147D" w:rsidP="005E4AC1">
      <w:pPr>
        <w:pStyle w:val="Sansinterligne"/>
      </w:pPr>
      <w:r w:rsidRPr="00E72418">
        <w:rPr>
          <w:rStyle w:val="Appelnotedebasdep"/>
        </w:rPr>
        <w:footnoteRef/>
      </w:r>
      <w:r w:rsidRPr="00E72418">
        <w:t xml:space="preserve"> </w:t>
      </w:r>
      <w:r w:rsidRPr="00E72418">
        <w:rPr>
          <w:szCs w:val="20"/>
        </w:rPr>
        <w:t xml:space="preserve">G. </w:t>
      </w:r>
      <w:r w:rsidRPr="00E72418">
        <w:rPr>
          <w:smallCaps/>
          <w:szCs w:val="20"/>
        </w:rPr>
        <w:t>Pavlidis</w:t>
      </w:r>
      <w:r w:rsidRPr="00E72418">
        <w:rPr>
          <w:szCs w:val="20"/>
        </w:rPr>
        <w:t>, « </w:t>
      </w:r>
      <w:r w:rsidRPr="00E72418">
        <w:rPr>
          <w:lang w:eastAsia="fr-BE"/>
        </w:rPr>
        <w:t xml:space="preserve">Vers une nouvelle génération de clauses dans les contrats d’émission d’obligations souveraines </w:t>
      </w:r>
      <w:r w:rsidRPr="00E72418">
        <w:rPr>
          <w:szCs w:val="20"/>
        </w:rPr>
        <w:t xml:space="preserve">», </w:t>
      </w:r>
      <w:r w:rsidRPr="00E72418">
        <w:rPr>
          <w:i/>
        </w:rPr>
        <w:t>op. cit.</w:t>
      </w:r>
      <w:r w:rsidRPr="00E72418">
        <w:t>, p. 103.</w:t>
      </w:r>
    </w:p>
  </w:footnote>
  <w:footnote w:id="114">
    <w:p w14:paraId="137A31F8" w14:textId="7B339D26" w:rsidR="0030147D" w:rsidRPr="00E72418" w:rsidRDefault="0030147D" w:rsidP="007A53CA">
      <w:pPr>
        <w:pStyle w:val="Sansinterligne"/>
        <w:rPr>
          <w:rFonts w:ascii="Times New Roman" w:hAnsi="Times New Roman" w:cs="Times New Roman"/>
        </w:rPr>
      </w:pPr>
      <w:r w:rsidRPr="00E72418">
        <w:rPr>
          <w:rStyle w:val="Titre4Car"/>
          <w:rFonts w:ascii="Times" w:eastAsiaTheme="minorHAnsi" w:hAnsi="Times" w:cstheme="minorBidi"/>
          <w:i w:val="0"/>
          <w:iCs w:val="0"/>
          <w:color w:val="auto"/>
          <w:szCs w:val="20"/>
          <w:vertAlign w:val="superscript"/>
        </w:rPr>
        <w:footnoteRef/>
      </w:r>
      <w:r w:rsidRPr="00E72418">
        <w:t xml:space="preserve"> </w:t>
      </w:r>
      <w:r w:rsidRPr="00E72418">
        <w:rPr>
          <w:smallCaps/>
        </w:rPr>
        <w:t>M. Weidemaier</w:t>
      </w:r>
      <w:r w:rsidRPr="00E72418">
        <w:t xml:space="preserve"> et </w:t>
      </w:r>
      <w:r w:rsidRPr="00E72418">
        <w:rPr>
          <w:smallCaps/>
        </w:rPr>
        <w:t>M. Gulati</w:t>
      </w:r>
      <w:r w:rsidRPr="00E72418">
        <w:t xml:space="preserve">, « A People’s History of Collective Action Clauses », </w:t>
      </w:r>
      <w:r w:rsidRPr="00E72418">
        <w:rPr>
          <w:rFonts w:ascii="Times New Roman" w:hAnsi="Times New Roman" w:cs="Times New Roman"/>
          <w:i/>
        </w:rPr>
        <w:t>Va. J. Int. Law</w:t>
      </w:r>
      <w:r w:rsidRPr="00E72418">
        <w:t>, 2013, p. 56.</w:t>
      </w:r>
    </w:p>
  </w:footnote>
  <w:footnote w:id="115">
    <w:p w14:paraId="78D0E3C1" w14:textId="63ACD605" w:rsidR="0030147D" w:rsidRPr="00E72418" w:rsidRDefault="0030147D" w:rsidP="00CE5283">
      <w:pPr>
        <w:pStyle w:val="Sansinterligne"/>
      </w:pPr>
      <w:r w:rsidRPr="00E72418">
        <w:rPr>
          <w:rStyle w:val="Appelnotedebasdep"/>
        </w:rPr>
        <w:footnoteRef/>
      </w:r>
      <w:r w:rsidRPr="00E72418">
        <w:t xml:space="preserve"> C. </w:t>
      </w:r>
      <w:r w:rsidRPr="00E72418">
        <w:rPr>
          <w:smallCaps/>
        </w:rPr>
        <w:t xml:space="preserve">Lequesne-Roth, </w:t>
      </w:r>
      <w:r w:rsidRPr="00E72418">
        <w:t xml:space="preserve">« Remédier à l’insolvabilité des </w:t>
      </w:r>
      <w:r w:rsidRPr="00E72418">
        <w:rPr>
          <w:rFonts w:ascii="Times New Roman" w:hAnsi="Times New Roman" w:cs="Times New Roman"/>
          <w:lang w:eastAsia="fr-BE"/>
        </w:rPr>
        <w:t>É</w:t>
      </w:r>
      <w:r w:rsidRPr="00E72418">
        <w:t xml:space="preserve">tats », </w:t>
      </w:r>
      <w:r w:rsidRPr="00E72418">
        <w:rPr>
          <w:i/>
        </w:rPr>
        <w:t>op. cit.</w:t>
      </w:r>
      <w:r w:rsidRPr="00E72418">
        <w:t xml:space="preserve">, p. 152. </w:t>
      </w:r>
    </w:p>
  </w:footnote>
  <w:footnote w:id="116">
    <w:p w14:paraId="6BD87998" w14:textId="68CAE69B" w:rsidR="0030147D" w:rsidRPr="00E72418" w:rsidRDefault="0030147D" w:rsidP="00977CD7">
      <w:pPr>
        <w:pStyle w:val="Sansinterligne"/>
      </w:pPr>
      <w:r w:rsidRPr="00E72418">
        <w:rPr>
          <w:rStyle w:val="Appelnotedebasdep"/>
        </w:rPr>
        <w:footnoteRef/>
      </w:r>
      <w:r w:rsidRPr="00E72418">
        <w:t xml:space="preserve"> Il est évident, et le constat n’est pas neuf, que, plus largement, le fait qu’un </w:t>
      </w:r>
      <w:r w:rsidRPr="00E72418">
        <w:rPr>
          <w:rFonts w:cs="Times New Roman"/>
          <w:szCs w:val="24"/>
        </w:rPr>
        <w:t>É</w:t>
      </w:r>
      <w:r w:rsidRPr="00E72418">
        <w:t xml:space="preserve">tat se rende débiteur en empruntant de l’argent va de pair avec une certaine perte de souveraineté, son créancier fût-il « privé » ou « public ». </w:t>
      </w:r>
    </w:p>
  </w:footnote>
  <w:footnote w:id="117">
    <w:p w14:paraId="51DBAC71" w14:textId="50FC70E6" w:rsidR="0030147D" w:rsidRPr="00E72418" w:rsidRDefault="0030147D" w:rsidP="007C57EF">
      <w:pPr>
        <w:pStyle w:val="Sansinterligne"/>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p. 83.</w:t>
      </w:r>
    </w:p>
  </w:footnote>
  <w:footnote w:id="118">
    <w:p w14:paraId="7373517A" w14:textId="0C9A58E8" w:rsidR="0030147D" w:rsidRPr="00E72418" w:rsidRDefault="0030147D" w:rsidP="007C57EF">
      <w:pPr>
        <w:pStyle w:val="Sansinterligne"/>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xml:space="preserve">, p. 707. </w:t>
      </w:r>
      <w:r w:rsidRPr="00E72418">
        <w:rPr>
          <w:szCs w:val="20"/>
        </w:rPr>
        <w:t xml:space="preserve">Notons d’ores et déjà en guise d’exemple les difficultés politiques intervenues entre la République argentine et les </w:t>
      </w:r>
      <w:r w:rsidRPr="00E72418">
        <w:rPr>
          <w:szCs w:val="20"/>
          <w:lang w:eastAsia="fr-BE"/>
        </w:rPr>
        <w:t>É</w:t>
      </w:r>
      <w:r w:rsidRPr="00E72418">
        <w:rPr>
          <w:szCs w:val="20"/>
        </w:rPr>
        <w:t xml:space="preserve">tats-Unis lors des restructurations intervenues au début du siècle (voyez </w:t>
      </w:r>
      <w:r w:rsidRPr="00E72418">
        <w:rPr>
          <w:i/>
          <w:szCs w:val="20"/>
        </w:rPr>
        <w:t xml:space="preserve">infra </w:t>
      </w:r>
      <w:r w:rsidRPr="00E72418">
        <w:rPr>
          <w:szCs w:val="20"/>
        </w:rPr>
        <w:t>n° 199).</w:t>
      </w:r>
    </w:p>
  </w:footnote>
  <w:footnote w:id="119">
    <w:p w14:paraId="473D75A8" w14:textId="5CB9763C" w:rsidR="0030147D" w:rsidRPr="00E72418" w:rsidRDefault="0030147D" w:rsidP="00AC3836">
      <w:pPr>
        <w:pStyle w:val="Sansinterligne"/>
      </w:pPr>
      <w:r w:rsidRPr="00E72418">
        <w:rPr>
          <w:rStyle w:val="Appelnotedebasdep"/>
        </w:rPr>
        <w:footnoteRef/>
      </w:r>
      <w:r w:rsidRPr="00E72418">
        <w:t xml:space="preserve"> Relativement à la reconnaissance et à l’exécution des décisions étatsuniennes, fréquentes en matière de contentieux relatifs aux dettes souveraines (voyez </w:t>
      </w:r>
      <w:r w:rsidRPr="00E72418">
        <w:rPr>
          <w:i/>
        </w:rPr>
        <w:t>infra</w:t>
      </w:r>
      <w:r w:rsidRPr="00E72418">
        <w:t xml:space="preserve"> notamment n° 79), la difficulté est sans doute accentuée par le fait que, comme le note le </w:t>
      </w:r>
      <w:r w:rsidRPr="00E72418">
        <w:rPr>
          <w:i/>
        </w:rPr>
        <w:t>U.S. Department of State</w:t>
      </w:r>
      <w:r w:rsidRPr="00E72418">
        <w:t>, « </w:t>
      </w:r>
      <w:r w:rsidRPr="00E72418">
        <w:rPr>
          <w:rFonts w:ascii="Times New Roman" w:hAnsi="Times New Roman" w:cs="Times New Roman"/>
          <w:szCs w:val="20"/>
          <w:lang w:val="en-US"/>
        </w:rPr>
        <w:t>[t]</w:t>
      </w:r>
      <w:r w:rsidRPr="00E72418">
        <w:rPr>
          <w:rFonts w:ascii="robotocondensed-regular-webfont" w:hAnsi="robotocondensed-regular-webfont"/>
          <w:shd w:val="clear" w:color="auto" w:fill="FFFFFF"/>
        </w:rPr>
        <w:t xml:space="preserve">here is no bilateral treaty or multilateral convention in force between the United States and any other country on reciprocal recognition and enforcement of judgments </w:t>
      </w:r>
      <w:r w:rsidRPr="00E72418">
        <w:t xml:space="preserve">» (voyez </w:t>
      </w:r>
      <w:hyperlink r:id="rId4" w:history="1">
        <w:r w:rsidRPr="00E72418">
          <w:rPr>
            <w:rStyle w:val="Lienhypertexte"/>
            <w:color w:val="auto"/>
            <w:u w:val="none"/>
          </w:rPr>
          <w:t>https://travel.state.gov/content/travel/en/legal/travel-legal-considerations/internl-judicial-asst/Enforcement-of-Judges.html</w:t>
        </w:r>
      </w:hyperlink>
      <w:r w:rsidRPr="00E72418">
        <w:t xml:space="preserve"> (consultation le 17 octobre 2021)).</w:t>
      </w:r>
    </w:p>
  </w:footnote>
  <w:footnote w:id="120">
    <w:p w14:paraId="4D8375AC" w14:textId="46BB2362" w:rsidR="0030147D" w:rsidRPr="00E72418" w:rsidRDefault="0030147D" w:rsidP="007C57EF">
      <w:pPr>
        <w:pStyle w:val="Sansinterligne"/>
        <w:rPr>
          <w:rFonts w:ascii="Times New Roman" w:hAnsi="Times New Roman" w:cs="Times New Roman"/>
          <w:szCs w:val="20"/>
          <w:lang w:val="en-US"/>
        </w:rPr>
      </w:pPr>
      <w:r w:rsidRPr="00E72418">
        <w:rPr>
          <w:rFonts w:ascii="Times New Roman" w:hAnsi="Times New Roman" w:cs="Times New Roman"/>
          <w:szCs w:val="20"/>
          <w:vertAlign w:val="superscript"/>
        </w:rPr>
        <w:footnoteRef/>
      </w:r>
      <w:r w:rsidRPr="00E72418">
        <w:rPr>
          <w:rFonts w:ascii="Times New Roman" w:hAnsi="Times New Roman" w:cs="Times New Roman"/>
          <w:szCs w:val="20"/>
          <w:lang w:val="en-US"/>
        </w:rPr>
        <w:t xml:space="preserve"> </w:t>
      </w:r>
      <w:r w:rsidRPr="00E72418">
        <w:rPr>
          <w:rStyle w:val="Titre1Car"/>
          <w:rFonts w:ascii="Times New Roman" w:eastAsiaTheme="minorHAnsi" w:hAnsi="Times New Roman" w:cs="Times New Roman"/>
          <w:smallCaps/>
          <w:color w:val="auto"/>
          <w:sz w:val="20"/>
          <w:szCs w:val="20"/>
          <w:lang w:val="en-US"/>
        </w:rPr>
        <w:t>A. Gelpern</w:t>
      </w:r>
      <w:r w:rsidRPr="00E72418">
        <w:rPr>
          <w:rStyle w:val="Titre1Car"/>
          <w:rFonts w:ascii="Times New Roman" w:eastAsiaTheme="minorHAnsi" w:hAnsi="Times New Roman" w:cs="Times New Roman"/>
          <w:color w:val="auto"/>
          <w:sz w:val="20"/>
          <w:szCs w:val="20"/>
          <w:lang w:val="en-US"/>
        </w:rPr>
        <w:t xml:space="preserve">, « Contract hope and sovereign redemption », </w:t>
      </w:r>
      <w:r w:rsidRPr="00E72418">
        <w:rPr>
          <w:rFonts w:ascii="Times New Roman" w:hAnsi="Times New Roman" w:cs="Times New Roman"/>
          <w:i/>
          <w:szCs w:val="20"/>
        </w:rPr>
        <w:t>C.M.L.J.</w:t>
      </w:r>
      <w:r w:rsidRPr="00E72418">
        <w:rPr>
          <w:rStyle w:val="Titre1Car"/>
          <w:rFonts w:ascii="Times New Roman" w:eastAsiaTheme="minorHAnsi" w:hAnsi="Times New Roman" w:cs="Times New Roman"/>
          <w:color w:val="auto"/>
          <w:sz w:val="20"/>
          <w:szCs w:val="20"/>
          <w:lang w:val="en-US"/>
        </w:rPr>
        <w:t>, 2013, p. 132.</w:t>
      </w:r>
    </w:p>
  </w:footnote>
  <w:footnote w:id="121">
    <w:p w14:paraId="474615DC" w14:textId="6A676A25" w:rsidR="0030147D" w:rsidRPr="00E72418" w:rsidRDefault="0030147D" w:rsidP="007C57EF">
      <w:pPr>
        <w:pStyle w:val="Sansinterligne"/>
        <w:rPr>
          <w:rFonts w:ascii="Times New Roman" w:hAnsi="Times New Roman" w:cs="Times New Roman"/>
          <w:szCs w:val="20"/>
          <w:lang w:val="en-US"/>
        </w:rPr>
      </w:pPr>
      <w:r w:rsidRPr="00E72418">
        <w:rPr>
          <w:rStyle w:val="Titre4Car"/>
          <w:rFonts w:ascii="Times New Roman" w:eastAsiaTheme="minorHAnsi" w:hAnsi="Times New Roman" w:cs="Times New Roman"/>
          <w:i w:val="0"/>
          <w:iCs w:val="0"/>
          <w:color w:val="auto"/>
          <w:szCs w:val="20"/>
          <w:vertAlign w:val="superscript"/>
        </w:rPr>
        <w:footnoteRef/>
      </w:r>
      <w:r w:rsidRPr="00E72418">
        <w:rPr>
          <w:rFonts w:ascii="Times New Roman" w:hAnsi="Times New Roman" w:cs="Times New Roman"/>
          <w:szCs w:val="20"/>
          <w:lang w:val="en-US"/>
        </w:rPr>
        <w:t xml:space="preserve"> </w:t>
      </w:r>
      <w:r w:rsidRPr="00E72418">
        <w:rPr>
          <w:rStyle w:val="Titre1Car"/>
          <w:rFonts w:ascii="Times New Roman" w:eastAsiaTheme="minorHAnsi" w:hAnsi="Times New Roman" w:cs="Times New Roman"/>
          <w:smallCaps/>
          <w:color w:val="auto"/>
          <w:sz w:val="20"/>
          <w:szCs w:val="20"/>
          <w:lang w:val="en-US"/>
        </w:rPr>
        <w:t>T. Samples</w:t>
      </w:r>
      <w:r w:rsidRPr="00E72418">
        <w:rPr>
          <w:rStyle w:val="Titre1Car"/>
          <w:rFonts w:ascii="Times New Roman" w:eastAsiaTheme="minorHAnsi" w:hAnsi="Times New Roman" w:cs="Times New Roman"/>
          <w:color w:val="auto"/>
          <w:sz w:val="20"/>
          <w:szCs w:val="20"/>
          <w:lang w:val="en-US"/>
        </w:rPr>
        <w:t xml:space="preserve">, « Rogue trends in Sovereign Debt: Argentina, Vulture Funds, and </w:t>
      </w:r>
      <w:r w:rsidRPr="00E72418">
        <w:rPr>
          <w:rStyle w:val="Titre1Car"/>
          <w:rFonts w:ascii="Times New Roman" w:eastAsiaTheme="minorHAnsi" w:hAnsi="Times New Roman" w:cs="Times New Roman"/>
          <w:i/>
          <w:color w:val="auto"/>
          <w:sz w:val="20"/>
          <w:szCs w:val="20"/>
          <w:lang w:val="en-US"/>
        </w:rPr>
        <w:t>Pari Passu</w:t>
      </w:r>
      <w:r w:rsidRPr="00E72418">
        <w:rPr>
          <w:rStyle w:val="Titre1Car"/>
          <w:rFonts w:ascii="Times New Roman" w:eastAsiaTheme="minorHAnsi" w:hAnsi="Times New Roman" w:cs="Times New Roman"/>
          <w:color w:val="auto"/>
          <w:sz w:val="20"/>
          <w:szCs w:val="20"/>
          <w:lang w:val="en-US"/>
        </w:rPr>
        <w:t xml:space="preserve"> Under New York Law », </w:t>
      </w:r>
      <w:r w:rsidRPr="00E72418">
        <w:rPr>
          <w:rStyle w:val="Titre1Car"/>
          <w:rFonts w:ascii="Times New Roman" w:eastAsiaTheme="minorHAnsi" w:hAnsi="Times New Roman" w:cs="Times New Roman"/>
          <w:i/>
          <w:color w:val="auto"/>
          <w:sz w:val="20"/>
          <w:szCs w:val="20"/>
          <w:lang w:val="en-US"/>
        </w:rPr>
        <w:t>op. cit.</w:t>
      </w:r>
      <w:r w:rsidRPr="00E72418">
        <w:rPr>
          <w:rStyle w:val="Titre1Car"/>
          <w:rFonts w:ascii="Times New Roman" w:eastAsiaTheme="minorHAnsi" w:hAnsi="Times New Roman" w:cs="Times New Roman"/>
          <w:color w:val="auto"/>
          <w:sz w:val="20"/>
          <w:szCs w:val="20"/>
          <w:lang w:val="en-US"/>
        </w:rPr>
        <w:t>, p. 55.</w:t>
      </w:r>
    </w:p>
  </w:footnote>
  <w:footnote w:id="122">
    <w:p w14:paraId="66C1729C" w14:textId="17556C58" w:rsidR="0030147D" w:rsidRPr="00E72418" w:rsidRDefault="0030147D" w:rsidP="007C57EF">
      <w:pPr>
        <w:pStyle w:val="Sansinterligne"/>
        <w:rPr>
          <w:rFonts w:ascii="Times New Roman" w:hAnsi="Times New Roman" w:cs="Times New Roman"/>
          <w:szCs w:val="20"/>
          <w:lang w:val="en-US"/>
        </w:rPr>
      </w:pPr>
      <w:r w:rsidRPr="00E72418">
        <w:rPr>
          <w:rStyle w:val="Titre4Car"/>
          <w:rFonts w:ascii="Times New Roman" w:eastAsiaTheme="minorHAnsi" w:hAnsi="Times New Roman" w:cs="Times New Roman"/>
          <w:i w:val="0"/>
          <w:iCs w:val="0"/>
          <w:color w:val="auto"/>
          <w:szCs w:val="20"/>
          <w:vertAlign w:val="superscript"/>
        </w:rPr>
        <w:footnoteRef/>
      </w:r>
      <w:r w:rsidRPr="00E72418">
        <w:rPr>
          <w:rFonts w:ascii="Times New Roman" w:hAnsi="Times New Roman" w:cs="Times New Roman"/>
          <w:szCs w:val="20"/>
          <w:lang w:val="en-US"/>
        </w:rPr>
        <w:t xml:space="preserve"> </w:t>
      </w:r>
      <w:r w:rsidRPr="00E72418">
        <w:rPr>
          <w:rStyle w:val="Titre1Car"/>
          <w:rFonts w:ascii="Times New Roman" w:eastAsiaTheme="minorHAnsi" w:hAnsi="Times New Roman" w:cs="Times New Roman"/>
          <w:i/>
          <w:color w:val="auto"/>
          <w:sz w:val="20"/>
          <w:szCs w:val="20"/>
          <w:lang w:val="en-US"/>
        </w:rPr>
        <w:t>Ibid.</w:t>
      </w:r>
      <w:r w:rsidRPr="00E72418">
        <w:rPr>
          <w:rStyle w:val="Titre1Car"/>
          <w:rFonts w:ascii="Times New Roman" w:eastAsiaTheme="minorHAnsi" w:hAnsi="Times New Roman" w:cs="Times New Roman"/>
          <w:color w:val="auto"/>
          <w:sz w:val="20"/>
          <w:szCs w:val="20"/>
          <w:lang w:val="en-US"/>
        </w:rPr>
        <w:t xml:space="preserve">, pp. 56 et 57. </w:t>
      </w:r>
      <w:r w:rsidRPr="00E72418">
        <w:rPr>
          <w:rFonts w:ascii="Times New Roman" w:hAnsi="Times New Roman" w:cs="Times New Roman"/>
          <w:szCs w:val="20"/>
        </w:rPr>
        <w:t>Dans le même sens, Julian Schumacher</w:t>
      </w:r>
      <w:r w:rsidRPr="00E72418">
        <w:rPr>
          <w:rFonts w:ascii="Times New Roman" w:hAnsi="Times New Roman"/>
          <w:i/>
        </w:rPr>
        <w:t xml:space="preserve"> et al. </w:t>
      </w:r>
      <w:r w:rsidRPr="00E72418">
        <w:rPr>
          <w:rFonts w:ascii="Times New Roman" w:hAnsi="Times New Roman" w:cs="Times New Roman"/>
          <w:szCs w:val="20"/>
        </w:rPr>
        <w:t>notent que « sovereign debt is becoming more enforceable »</w:t>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J. Schumacher, C. Trebesch</w:t>
      </w:r>
      <w:r w:rsidRPr="00E72418">
        <w:rPr>
          <w:rFonts w:ascii="Times New Roman" w:hAnsi="Times New Roman" w:cs="Times New Roman"/>
          <w:szCs w:val="20"/>
          <w:lang w:val="en-US"/>
        </w:rPr>
        <w:t xml:space="preserve"> et </w:t>
      </w:r>
      <w:r w:rsidRPr="00E72418">
        <w:rPr>
          <w:rFonts w:ascii="Times New Roman" w:hAnsi="Times New Roman" w:cs="Times New Roman"/>
          <w:smallCaps/>
          <w:szCs w:val="20"/>
          <w:lang w:val="en-US"/>
        </w:rPr>
        <w:t>H. Enderlein</w:t>
      </w:r>
      <w:r w:rsidRPr="00E72418">
        <w:rPr>
          <w:rFonts w:ascii="Times New Roman" w:hAnsi="Times New Roman" w:cs="Times New Roman"/>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rFonts w:ascii="Times New Roman" w:hAnsi="Times New Roman" w:cs="Times New Roman"/>
          <w:szCs w:val="20"/>
          <w:lang w:val="en-US"/>
        </w:rPr>
        <w:t xml:space="preserve">, </w:t>
      </w:r>
      <w:r w:rsidRPr="00E72418">
        <w:rPr>
          <w:i/>
          <w:szCs w:val="20"/>
          <w:lang w:val="en-US"/>
        </w:rPr>
        <w:t>op. cit.</w:t>
      </w:r>
      <w:r w:rsidRPr="00E72418">
        <w:rPr>
          <w:rFonts w:ascii="Times New Roman" w:hAnsi="Times New Roman" w:cs="Times New Roman"/>
          <w:szCs w:val="20"/>
          <w:lang w:val="en-US"/>
        </w:rPr>
        <w:t>, p. 44).</w:t>
      </w:r>
    </w:p>
  </w:footnote>
  <w:footnote w:id="123">
    <w:p w14:paraId="2656B4C6" w14:textId="1581FBE2" w:rsidR="0030147D" w:rsidRPr="00E72418" w:rsidRDefault="0030147D" w:rsidP="007C57EF">
      <w:pPr>
        <w:pStyle w:val="Sansinterligne"/>
        <w:rPr>
          <w:rFonts w:ascii="Times New Roman" w:hAnsi="Times New Roman" w:cs="Times New Roman"/>
          <w:szCs w:val="20"/>
        </w:rPr>
      </w:pPr>
      <w:r w:rsidRPr="00E72418">
        <w:rPr>
          <w:rStyle w:val="Titre4Car"/>
          <w:rFonts w:ascii="Times New Roman" w:eastAsiaTheme="minorHAnsi" w:hAnsi="Times New Roman" w:cs="Times New Roman"/>
          <w:i w:val="0"/>
          <w:iCs w:val="0"/>
          <w:color w:val="auto"/>
          <w:szCs w:val="20"/>
          <w:vertAlign w:val="superscript"/>
        </w:rPr>
        <w:footnoteRef/>
      </w:r>
      <w:r w:rsidRPr="00E72418">
        <w:rPr>
          <w:rFonts w:ascii="Times New Roman" w:hAnsi="Times New Roman" w:cs="Times New Roman"/>
          <w:szCs w:val="20"/>
        </w:rPr>
        <w:t xml:space="preserve"> Une immunité d’exécution relative est également notamment retenue dans les lois des </w:t>
      </w:r>
      <w:r w:rsidRPr="00E72418">
        <w:rPr>
          <w:rFonts w:ascii="Times New Roman" w:hAnsi="Times New Roman" w:cs="Times New Roman"/>
          <w:szCs w:val="20"/>
          <w:lang w:eastAsia="fr-BE"/>
        </w:rPr>
        <w:t>Ét</w:t>
      </w:r>
      <w:r w:rsidRPr="00E72418">
        <w:rPr>
          <w:rFonts w:ascii="Times New Roman" w:hAnsi="Times New Roman" w:cs="Times New Roman"/>
          <w:szCs w:val="20"/>
        </w:rPr>
        <w:t xml:space="preserve">ats-Unis, du Royaume-Uni, de la France et de la Belgique. Voyez respectivement le </w:t>
      </w:r>
      <w:r w:rsidRPr="00E72418">
        <w:rPr>
          <w:rFonts w:ascii="Times New Roman" w:hAnsi="Times New Roman" w:cs="Times New Roman"/>
          <w:i/>
          <w:szCs w:val="20"/>
        </w:rPr>
        <w:t xml:space="preserve">Foreign Sovereign Immunities Act </w:t>
      </w:r>
      <w:r w:rsidRPr="00E72418">
        <w:rPr>
          <w:rFonts w:ascii="Times New Roman" w:hAnsi="Times New Roman" w:cs="Times New Roman"/>
          <w:szCs w:val="20"/>
        </w:rPr>
        <w:t xml:space="preserve">étatsunien, le </w:t>
      </w:r>
      <w:r w:rsidRPr="00E72418">
        <w:rPr>
          <w:rFonts w:ascii="Times New Roman" w:hAnsi="Times New Roman" w:cs="Times New Roman"/>
          <w:i/>
          <w:szCs w:val="20"/>
        </w:rPr>
        <w:t>State Immunity Act</w:t>
      </w:r>
      <w:r w:rsidRPr="00E72418">
        <w:rPr>
          <w:rFonts w:ascii="Times New Roman" w:hAnsi="Times New Roman" w:cs="Times New Roman"/>
          <w:szCs w:val="20"/>
        </w:rPr>
        <w:t xml:space="preserve"> britannique, les articles L. 111-1-1 et suivants du Code des procédures civiles d’exécution français et l’article 1412</w:t>
      </w:r>
      <w:r w:rsidRPr="00E72418">
        <w:rPr>
          <w:rFonts w:ascii="Times New Roman" w:hAnsi="Times New Roman" w:cs="Times New Roman"/>
          <w:i/>
          <w:szCs w:val="20"/>
        </w:rPr>
        <w:t xml:space="preserve">quinquies </w:t>
      </w:r>
      <w:r w:rsidRPr="00E72418">
        <w:rPr>
          <w:rFonts w:ascii="Times New Roman" w:hAnsi="Times New Roman" w:cs="Times New Roman"/>
          <w:szCs w:val="20"/>
        </w:rPr>
        <w:t>du Code judiciaire belge.</w:t>
      </w:r>
    </w:p>
  </w:footnote>
  <w:footnote w:id="124">
    <w:p w14:paraId="6761CB32" w14:textId="10E3DA22" w:rsidR="0030147D" w:rsidRPr="00E72418" w:rsidRDefault="0030147D" w:rsidP="002A6997">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Voyez </w:t>
      </w:r>
      <w:r w:rsidRPr="00E72418">
        <w:rPr>
          <w:rFonts w:ascii="Times New Roman" w:hAnsi="Times New Roman" w:cs="Times New Roman"/>
          <w:i/>
          <w:szCs w:val="20"/>
        </w:rPr>
        <w:t xml:space="preserve">infra </w:t>
      </w:r>
      <w:r w:rsidRPr="00E72418">
        <w:rPr>
          <w:rFonts w:ascii="Times New Roman" w:hAnsi="Times New Roman" w:cs="Times New Roman"/>
          <w:szCs w:val="20"/>
        </w:rPr>
        <w:t>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218 et suiv.</w:t>
      </w:r>
    </w:p>
  </w:footnote>
  <w:footnote w:id="125">
    <w:p w14:paraId="2DBD3101" w14:textId="5E649014" w:rsidR="0030147D" w:rsidRPr="00E72418" w:rsidRDefault="0030147D" w:rsidP="00B929D2">
      <w:pPr>
        <w:pStyle w:val="Sansinterligne"/>
      </w:pPr>
      <w:r w:rsidRPr="00E72418">
        <w:rPr>
          <w:rStyle w:val="Titre4Car"/>
          <w:rFonts w:ascii="Times New Roman" w:eastAsiaTheme="minorHAnsi" w:hAnsi="Times New Roman" w:cs="Times New Roman"/>
          <w:i w:val="0"/>
          <w:iCs w:val="0"/>
          <w:color w:val="auto"/>
          <w:szCs w:val="20"/>
          <w:vertAlign w:val="superscript"/>
        </w:rPr>
        <w:footnoteRef/>
      </w:r>
      <w:r w:rsidRPr="00E72418">
        <w:t xml:space="preserve"> </w:t>
      </w:r>
      <w:r w:rsidRPr="00E72418">
        <w:rPr>
          <w:smallCaps/>
        </w:rPr>
        <w:t>A. Kelly</w:t>
      </w:r>
      <w:r w:rsidRPr="00E72418">
        <w:t xml:space="preserve">, « Flight of the Condors: The Impact of Vulture Investors on Argentina’s Sovereign Debt Default », </w:t>
      </w:r>
      <w:r w:rsidRPr="00E72418">
        <w:rPr>
          <w:i/>
        </w:rPr>
        <w:t>Fla. J. Int. Law</w:t>
      </w:r>
      <w:r w:rsidRPr="00E72418">
        <w:t>, 2018, p. 40. Comme le relève encore William Bratton, « Sovereigns in default rarely leave valuables lying around subject to attachment in creditor-friendly jurisdictions » (</w:t>
      </w:r>
      <w:r w:rsidRPr="00E72418">
        <w:rPr>
          <w:smallCaps/>
        </w:rPr>
        <w:t>W. Bratton</w:t>
      </w:r>
      <w:r w:rsidRPr="00E72418">
        <w:t>, « </w:t>
      </w:r>
      <w:r w:rsidRPr="00E72418">
        <w:rPr>
          <w:i/>
        </w:rPr>
        <w:t>Pari Passu</w:t>
      </w:r>
      <w:r w:rsidRPr="00E72418">
        <w:t xml:space="preserve"> and a Distressed Sovereign’s Rational Choices », </w:t>
      </w:r>
      <w:r w:rsidRPr="00E72418">
        <w:rPr>
          <w:i/>
        </w:rPr>
        <w:t>Emory Law J.</w:t>
      </w:r>
      <w:r w:rsidRPr="00E72418">
        <w:t>, 2004, p. 824).</w:t>
      </w:r>
    </w:p>
  </w:footnote>
  <w:footnote w:id="126">
    <w:p w14:paraId="4E0DC629" w14:textId="54AD8778" w:rsidR="0030147D" w:rsidRPr="00E72418" w:rsidRDefault="0030147D" w:rsidP="00693CF4">
      <w:pPr>
        <w:pStyle w:val="Sansinterligne"/>
      </w:pPr>
      <w:r w:rsidRPr="00E72418">
        <w:rPr>
          <w:rStyle w:val="Titre4Car"/>
          <w:rFonts w:ascii="Times New Roman" w:eastAsiaTheme="minorHAnsi" w:hAnsi="Times New Roman" w:cs="Times New Roman"/>
          <w:i w:val="0"/>
          <w:iCs w:val="0"/>
          <w:color w:val="auto"/>
          <w:szCs w:val="20"/>
          <w:vertAlign w:val="superscript"/>
        </w:rPr>
        <w:footnoteRef/>
      </w:r>
      <w:r w:rsidRPr="00E72418">
        <w:t xml:space="preserve"> </w:t>
      </w:r>
      <w:r w:rsidRPr="00E72418">
        <w:rPr>
          <w:smallCaps/>
        </w:rPr>
        <w:t>T. Araya</w:t>
      </w:r>
      <w:r w:rsidRPr="00E72418">
        <w:t xml:space="preserve">, « A Decade of Sovereign Debt Litigation: Lessons from the NML v Argentina Case and the Road Ahead », </w:t>
      </w:r>
      <w:r w:rsidRPr="00E72418">
        <w:rPr>
          <w:i/>
        </w:rPr>
        <w:t>Bus. Law Int.</w:t>
      </w:r>
      <w:r w:rsidRPr="00E72418">
        <w:t>, 2016, p. 84.</w:t>
      </w:r>
    </w:p>
  </w:footnote>
  <w:footnote w:id="127">
    <w:p w14:paraId="0177E1B9" w14:textId="46B7F534" w:rsidR="0030147D" w:rsidRPr="00E72418" w:rsidRDefault="0030147D" w:rsidP="007C57EF">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Comme le notent Benjamin Chabot et Veronica Santarosa, « [r]epaying a loan today is valuable […] because it establishes a reputation for repayment which is rewarded with capital market access in the future » (B. </w:t>
      </w:r>
      <w:r w:rsidRPr="00E72418">
        <w:rPr>
          <w:rFonts w:cs="Times New Roman"/>
          <w:smallCaps/>
          <w:szCs w:val="24"/>
          <w:lang w:val="en-US"/>
        </w:rPr>
        <w:t xml:space="preserve">Chabot </w:t>
      </w:r>
      <w:r w:rsidRPr="00E72418">
        <w:rPr>
          <w:rFonts w:cs="Times New Roman"/>
          <w:szCs w:val="24"/>
          <w:lang w:val="en-US"/>
        </w:rPr>
        <w:t xml:space="preserve">et V. </w:t>
      </w:r>
      <w:r w:rsidRPr="00E72418">
        <w:rPr>
          <w:rFonts w:cs="Times New Roman"/>
          <w:smallCaps/>
          <w:szCs w:val="24"/>
          <w:lang w:val="en-US"/>
        </w:rPr>
        <w:t>Santarosa,</w:t>
      </w:r>
      <w:r w:rsidRPr="00E72418">
        <w:rPr>
          <w:rFonts w:cs="Times New Roman"/>
          <w:szCs w:val="24"/>
          <w:lang w:val="en-US"/>
        </w:rPr>
        <w:t xml:space="preserve"> « Don’t cry for Argentina (or other Sovereign borrowers): lessons from a previous era of sovereign debt contract enforcement »</w:t>
      </w:r>
      <w:r w:rsidRPr="00E72418">
        <w:rPr>
          <w:szCs w:val="20"/>
          <w:lang w:val="en-US"/>
        </w:rPr>
        <w:t xml:space="preserve">, </w:t>
      </w:r>
      <w:r w:rsidRPr="00E72418">
        <w:rPr>
          <w:i/>
          <w:szCs w:val="20"/>
        </w:rPr>
        <w:t>op. cit.</w:t>
      </w:r>
      <w:r w:rsidRPr="00E72418">
        <w:rPr>
          <w:szCs w:val="20"/>
          <w:lang w:val="en-US"/>
        </w:rPr>
        <w:t xml:space="preserve">, p. 16). Aussi, remarque Robert Kolb, « [t]he threat of […] lawsuits encourages sovereigns to honor their contracts, thereby making sovereign debt contracts more credible » (R. </w:t>
      </w:r>
      <w:r w:rsidRPr="00E72418">
        <w:rPr>
          <w:smallCaps/>
          <w:szCs w:val="20"/>
          <w:lang w:val="en-US"/>
        </w:rPr>
        <w:t>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399).</w:t>
      </w:r>
    </w:p>
  </w:footnote>
  <w:footnote w:id="128">
    <w:p w14:paraId="6F1B2CFA" w14:textId="2DC46E0A" w:rsidR="0030147D" w:rsidRPr="00E72418" w:rsidRDefault="0030147D" w:rsidP="007C57EF">
      <w:pPr>
        <w:pStyle w:val="Sansinterligne"/>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Sur les coûts du défaut,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57 et suiv. Dès lors que la dette étatique n’est pas limitée à des emprunts faits sur les marchés financiers et détenus par des personnes privées, la pression pouvant être exercée par des États créanciers est de nature à faire en sorte que le débiteur poursuive le remboursement de sa dette (</w:t>
      </w:r>
      <w:r w:rsidRPr="00E72418">
        <w:rPr>
          <w:smallCaps/>
          <w:szCs w:val="20"/>
        </w:rPr>
        <w:t>C. De Jonghe</w:t>
      </w:r>
      <w:r w:rsidRPr="00E72418">
        <w:rPr>
          <w:szCs w:val="20"/>
        </w:rPr>
        <w:t xml:space="preserve">, « Vers un encadrement européen de l’activité des fonds vautours ? », </w:t>
      </w:r>
      <w:r w:rsidRPr="00E72418">
        <w:rPr>
          <w:i/>
          <w:szCs w:val="20"/>
        </w:rPr>
        <w:t>D.F.E.</w:t>
      </w:r>
      <w:r w:rsidRPr="00E72418">
        <w:rPr>
          <w:szCs w:val="20"/>
        </w:rPr>
        <w:t>, 2019, p. 11).</w:t>
      </w:r>
    </w:p>
  </w:footnote>
  <w:footnote w:id="129">
    <w:p w14:paraId="00996A90" w14:textId="193FA27F" w:rsidR="0030147D" w:rsidRPr="00E72418" w:rsidRDefault="0030147D" w:rsidP="00530736">
      <w:pPr>
        <w:pStyle w:val="Sansinterligne"/>
        <w:rPr>
          <w:rFonts w:ascii="Times New Roman" w:hAnsi="Times New Roman" w:cs="Times New Roman"/>
        </w:rPr>
      </w:pPr>
      <w:r w:rsidRPr="00E72418">
        <w:rPr>
          <w:rStyle w:val="Titre4Car"/>
          <w:rFonts w:ascii="Times" w:eastAsiaTheme="minorHAnsi" w:hAnsi="Times" w:cstheme="minorBidi"/>
          <w:i w:val="0"/>
          <w:iCs w:val="0"/>
          <w:color w:val="auto"/>
          <w:szCs w:val="20"/>
          <w:vertAlign w:val="superscript"/>
        </w:rPr>
        <w:footnoteRef/>
      </w:r>
      <w:r w:rsidRPr="00E72418">
        <w:t xml:space="preserve"> </w:t>
      </w:r>
      <w:r w:rsidRPr="00E72418">
        <w:rPr>
          <w:smallCaps/>
        </w:rPr>
        <w:t>J. Eaton</w:t>
      </w:r>
      <w:r w:rsidRPr="00E72418">
        <w:t xml:space="preserve"> et </w:t>
      </w:r>
      <w:r w:rsidRPr="00E72418">
        <w:rPr>
          <w:smallCaps/>
        </w:rPr>
        <w:t>M. Gersovitz</w:t>
      </w:r>
      <w:r w:rsidRPr="00E72418">
        <w:t xml:space="preserve">, « Debt with Potential Repudiation: Theoretical and Empirical Analysis », </w:t>
      </w:r>
      <w:r w:rsidRPr="00E72418">
        <w:rPr>
          <w:rFonts w:ascii="Times New Roman" w:hAnsi="Times New Roman" w:cs="Times New Roman"/>
          <w:i/>
        </w:rPr>
        <w:t>Rev. Econ. Stud.</w:t>
      </w:r>
      <w:r w:rsidRPr="00E72418">
        <w:t>, 1981, p. 304.</w:t>
      </w:r>
    </w:p>
  </w:footnote>
  <w:footnote w:id="130">
    <w:p w14:paraId="1899B902" w14:textId="544D9F4F" w:rsidR="0030147D" w:rsidRPr="00E72418" w:rsidRDefault="0030147D" w:rsidP="007C57EF">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w:t>
      </w:r>
      <w:r w:rsidRPr="00E72418">
        <w:rPr>
          <w:smallCaps/>
          <w:szCs w:val="20"/>
          <w:lang w:val="en-US"/>
        </w:rPr>
        <w:t>R. Kolb</w:t>
      </w:r>
      <w:r w:rsidRPr="00E72418">
        <w:rPr>
          <w:szCs w:val="20"/>
          <w:lang w:val="en-US"/>
        </w:rPr>
        <w:t xml:space="preserve">, « Sovereign Debt: Theory, Defaults, and Sanctions », in R. </w:t>
      </w:r>
      <w:r w:rsidRPr="00E72418">
        <w:rPr>
          <w:smallCaps/>
          <w:szCs w:val="20"/>
        </w:rPr>
        <w:t>Kolb</w:t>
      </w:r>
      <w:r w:rsidRPr="00E72418">
        <w:rPr>
          <w:szCs w:val="20"/>
        </w:rPr>
        <w:t xml:space="preserve"> (éd.), </w:t>
      </w:r>
      <w:r w:rsidRPr="00E72418">
        <w:rPr>
          <w:i/>
          <w:szCs w:val="20"/>
          <w:lang w:val="en-US"/>
        </w:rPr>
        <w:t>Sovereign Debt: from Safety to Default</w:t>
      </w:r>
      <w:r w:rsidRPr="00E72418">
        <w:rPr>
          <w:szCs w:val="20"/>
          <w:lang w:val="en-US"/>
        </w:rPr>
        <w:t xml:space="preserve">, Wiley, 2011, p. 4. </w:t>
      </w:r>
    </w:p>
  </w:footnote>
  <w:footnote w:id="131">
    <w:p w14:paraId="5C5B3906" w14:textId="3A913087" w:rsidR="0030147D" w:rsidRPr="00E72418" w:rsidRDefault="0030147D" w:rsidP="00693CF4">
      <w:pPr>
        <w:pStyle w:val="Sansinterligne"/>
        <w:rPr>
          <w:rFonts w:ascii="Times New Roman" w:hAnsi="Times New Roman"/>
        </w:rPr>
      </w:pPr>
      <w:r w:rsidRPr="00E72418">
        <w:rPr>
          <w:rStyle w:val="Titre4Car"/>
          <w:rFonts w:ascii="Times" w:eastAsiaTheme="minorHAnsi" w:hAnsi="Times" w:cstheme="minorBidi"/>
          <w:i w:val="0"/>
          <w:iCs w:val="0"/>
          <w:color w:val="auto"/>
          <w:szCs w:val="20"/>
          <w:vertAlign w:val="superscript"/>
        </w:rPr>
        <w:footnoteRef/>
      </w:r>
      <w:r w:rsidRPr="00E72418">
        <w:rPr>
          <w:lang w:val="en-US"/>
        </w:rPr>
        <w:t xml:space="preserve"> </w:t>
      </w:r>
      <w:r w:rsidRPr="00E72418">
        <w:t>L’argument de la réputation se trouve décliné dans l’exemple argentin où le pays fut, à la suite de son défaut du début du millénaire, mis à l’écart des marchés financiers pour une très longue période</w:t>
      </w:r>
      <w:r w:rsidRPr="00E72418">
        <w:rPr>
          <w:lang w:val="en-US"/>
        </w:rPr>
        <w:t xml:space="preserve">. Comme l’on peut le lire dans un rapport du Fonds monétaire international de 2012, « [t]he case of Argentina perhaps remains the most extreme, where the country has not been able to access the global markets since its 2001 default » (Fonds monétaire international, </w:t>
      </w:r>
      <w:r w:rsidRPr="00E72418">
        <w:rPr>
          <w:i/>
          <w:lang w:val="en-US"/>
        </w:rPr>
        <w:t>A Survey of Experiences with Emerging Market Sovereign Debt Restructurings</w:t>
      </w:r>
      <w:r w:rsidRPr="00E72418">
        <w:rPr>
          <w:lang w:val="en-US"/>
        </w:rPr>
        <w:t>, 5 juin 2012, p. 19). Martin Schubert relève de la situation argentine qu’ « Argentina’s default and its refusal to pay the holdout vulture fund creditors has affected its stock market and given the country a reputation as an untrustworthy borrower in the international capital markets » (</w:t>
      </w:r>
      <w:r w:rsidRPr="00E72418">
        <w:rPr>
          <w:smallCaps/>
          <w:lang w:val="en-US"/>
        </w:rPr>
        <w:t>M. Schubert</w:t>
      </w:r>
      <w:r w:rsidRPr="00E72418">
        <w:rPr>
          <w:lang w:val="en-US"/>
        </w:rPr>
        <w:t xml:space="preserve">, « When Vultures Attack </w:t>
      </w:r>
      <w:r w:rsidRPr="00E72418">
        <w:rPr>
          <w:rFonts w:ascii="Times New Roman" w:hAnsi="Times New Roman"/>
          <w:b/>
        </w:rPr>
        <w:t>–</w:t>
      </w:r>
      <w:r w:rsidRPr="00E72418">
        <w:rPr>
          <w:lang w:val="en-US"/>
        </w:rPr>
        <w:t xml:space="preserve"> Balancing the Right to Immunity against Reckless Sovereigns », </w:t>
      </w:r>
      <w:r w:rsidRPr="00E72418">
        <w:rPr>
          <w:rFonts w:ascii="Times New Roman" w:hAnsi="Times New Roman"/>
          <w:i/>
        </w:rPr>
        <w:t>Brook. Law Rev.</w:t>
      </w:r>
      <w:r w:rsidRPr="00E72418">
        <w:rPr>
          <w:lang w:val="en-US"/>
        </w:rPr>
        <w:t>, 2013, p. 1125). Les défauts récurrents du pays, lui valant le sobriquet de « serial defaulter », s’inscrivent, pour Tim Samples, dans un « self-perpetuating aspect to serial defaults », l’auteur expliquant que « the less reputational capital a debtor has to lose, the more attractive the default option might become » (</w:t>
      </w:r>
      <w:r w:rsidRPr="00E72418">
        <w:rPr>
          <w:rStyle w:val="Titre1Car"/>
          <w:rFonts w:ascii="Times" w:eastAsiaTheme="minorHAnsi" w:hAnsi="Times" w:cstheme="minorBidi"/>
          <w:smallCaps/>
          <w:color w:val="auto"/>
          <w:sz w:val="20"/>
          <w:szCs w:val="20"/>
          <w:lang w:val="en-US"/>
        </w:rPr>
        <w:t>T. Samples</w:t>
      </w:r>
      <w:r w:rsidRPr="00E72418">
        <w:rPr>
          <w:rStyle w:val="Titre1Car"/>
          <w:rFonts w:ascii="Times" w:eastAsiaTheme="minorHAnsi" w:hAnsi="Times" w:cstheme="minorBidi"/>
          <w:color w:val="auto"/>
          <w:sz w:val="20"/>
          <w:szCs w:val="20"/>
          <w:lang w:val="en-US"/>
        </w:rPr>
        <w:t xml:space="preserve">, « Rogue Trends in Sovereign Debt: Argentina, Vulture Funds, and </w:t>
      </w:r>
      <w:r w:rsidRPr="00E72418">
        <w:rPr>
          <w:rStyle w:val="Titre1Car"/>
          <w:rFonts w:ascii="Times" w:eastAsiaTheme="minorHAnsi" w:hAnsi="Times" w:cstheme="minorBidi"/>
          <w:i/>
          <w:color w:val="auto"/>
          <w:sz w:val="20"/>
          <w:szCs w:val="20"/>
          <w:lang w:val="en-US"/>
        </w:rPr>
        <w:t>Pari Passu</w:t>
      </w:r>
      <w:r w:rsidRPr="00E72418">
        <w:rPr>
          <w:rStyle w:val="Titre1Car"/>
          <w:rFonts w:ascii="Times" w:eastAsiaTheme="minorHAnsi" w:hAnsi="Times" w:cstheme="minorBidi"/>
          <w:color w:val="auto"/>
          <w:sz w:val="20"/>
          <w:szCs w:val="20"/>
          <w:lang w:val="en-US"/>
        </w:rPr>
        <w:t xml:space="preserve"> Under New York Law », </w:t>
      </w:r>
      <w:r w:rsidRPr="00E72418">
        <w:rPr>
          <w:rStyle w:val="Titre1Car"/>
          <w:rFonts w:ascii="Times" w:eastAsiaTheme="minorHAnsi" w:hAnsi="Times" w:cstheme="minorBidi"/>
          <w:i/>
          <w:color w:val="auto"/>
          <w:sz w:val="20"/>
          <w:szCs w:val="20"/>
          <w:lang w:val="en-US"/>
        </w:rPr>
        <w:t>op. cit.</w:t>
      </w:r>
      <w:r w:rsidRPr="00E72418">
        <w:rPr>
          <w:rStyle w:val="Titre1Car"/>
          <w:rFonts w:ascii="Times" w:eastAsiaTheme="minorHAnsi" w:hAnsi="Times" w:cstheme="minorBidi"/>
          <w:color w:val="auto"/>
          <w:sz w:val="20"/>
          <w:szCs w:val="20"/>
          <w:lang w:val="en-US"/>
        </w:rPr>
        <w:t>, p. 64)</w:t>
      </w:r>
      <w:r w:rsidRPr="00E72418">
        <w:rPr>
          <w:lang w:val="en-US"/>
        </w:rPr>
        <w:t>.</w:t>
      </w:r>
    </w:p>
  </w:footnote>
  <w:footnote w:id="132">
    <w:p w14:paraId="32A78278" w14:textId="6E6557E9" w:rsidR="0030147D" w:rsidRPr="00E72418" w:rsidRDefault="0030147D" w:rsidP="006B37E3">
      <w:pPr>
        <w:pStyle w:val="Sansinterligne"/>
        <w:rPr>
          <w:rFonts w:ascii="Times New Roman" w:hAnsi="Times New Roman" w:cs="Times New Roman"/>
          <w:szCs w:val="20"/>
        </w:rPr>
      </w:pPr>
      <w:r w:rsidRPr="00E72418">
        <w:rPr>
          <w:rStyle w:val="Titre4Car"/>
          <w:rFonts w:ascii="Times" w:eastAsiaTheme="minorHAnsi" w:hAnsi="Times" w:cstheme="minorBidi"/>
          <w:i w:val="0"/>
          <w:iCs w:val="0"/>
          <w:color w:val="auto"/>
          <w:vertAlign w:val="superscript"/>
        </w:rPr>
        <w:footnoteRef/>
      </w:r>
      <w:r w:rsidRPr="00E72418">
        <w:rPr>
          <w:vertAlign w:val="superscript"/>
        </w:rPr>
        <w:t xml:space="preserve"> </w:t>
      </w:r>
      <w:r w:rsidRPr="00E72418">
        <w:t xml:space="preserve">F. </w:t>
      </w:r>
      <w:r w:rsidRPr="00E72418">
        <w:rPr>
          <w:smallCaps/>
        </w:rPr>
        <w:t>Ahmed</w:t>
      </w:r>
      <w:r w:rsidRPr="00E72418">
        <w:t xml:space="preserve">, L. </w:t>
      </w:r>
      <w:r w:rsidRPr="00E72418">
        <w:rPr>
          <w:smallCaps/>
        </w:rPr>
        <w:t>Alfaro</w:t>
      </w:r>
      <w:r w:rsidRPr="00E72418">
        <w:t xml:space="preserve"> et N. </w:t>
      </w:r>
      <w:r w:rsidRPr="00E72418">
        <w:rPr>
          <w:smallCaps/>
        </w:rPr>
        <w:t>Maurer</w:t>
      </w:r>
      <w:r w:rsidRPr="00E72418">
        <w:t xml:space="preserve">, « Lawsuits and Empire: on the Enforcement of Sovereign Debt in Latin America », </w:t>
      </w:r>
      <w:r w:rsidRPr="00E72418">
        <w:rPr>
          <w:rFonts w:ascii="Times New Roman" w:hAnsi="Times New Roman" w:cs="Times New Roman"/>
          <w:i/>
          <w:szCs w:val="20"/>
        </w:rPr>
        <w:t>Law&amp;ContempProbs</w:t>
      </w:r>
      <w:r w:rsidRPr="00E72418">
        <w:t xml:space="preserve">, 2010, pp. 39 et 40. Voyez encore l’étude d’Ugo Panizza </w:t>
      </w:r>
      <w:r w:rsidRPr="00E72418">
        <w:rPr>
          <w:i/>
        </w:rPr>
        <w:t>et al.</w:t>
      </w:r>
      <w:r w:rsidRPr="00E72418">
        <w:t xml:space="preserve"> où il est conclu que « [n]one of the default punishments that the classic theory of sovereign debt has focused on appears to enjoy much empirical backing » en ce que notamment « [c]apital exclusion periods are brief » et « effects on the cost of borrowing are temporary and small » (U. </w:t>
      </w:r>
      <w:r w:rsidRPr="00E72418">
        <w:rPr>
          <w:smallCaps/>
        </w:rPr>
        <w:t>Panizza</w:t>
      </w:r>
      <w:r w:rsidRPr="00E72418">
        <w:t xml:space="preserve">, F. </w:t>
      </w:r>
      <w:r w:rsidRPr="00E72418">
        <w:rPr>
          <w:smallCaps/>
        </w:rPr>
        <w:t>Sturzenegger</w:t>
      </w:r>
      <w:r w:rsidRPr="00E72418">
        <w:t xml:space="preserve"> et J. </w:t>
      </w:r>
      <w:r w:rsidRPr="00E72418">
        <w:rPr>
          <w:smallCaps/>
        </w:rPr>
        <w:t>Zettelmeyer</w:t>
      </w:r>
      <w:r w:rsidRPr="00E72418">
        <w:t xml:space="preserve">, « The Economics and Law of Sovereign Debt and Default », </w:t>
      </w:r>
      <w:r w:rsidRPr="00E72418">
        <w:rPr>
          <w:rFonts w:ascii="Times New Roman" w:hAnsi="Times New Roman" w:cs="Times New Roman"/>
          <w:i/>
          <w:szCs w:val="20"/>
        </w:rPr>
        <w:t>J. Econ. Lit.</w:t>
      </w:r>
      <w:r w:rsidRPr="00E72418">
        <w:t xml:space="preserve">, 2009, p. 692). Eduardo Borensztein et Ugo Panizza précisent que « we almost never can detect effects beyond one or two years » (E. </w:t>
      </w:r>
      <w:r w:rsidRPr="00E72418">
        <w:rPr>
          <w:smallCaps/>
        </w:rPr>
        <w:t>Borensztein</w:t>
      </w:r>
      <w:r w:rsidRPr="00E72418">
        <w:t xml:space="preserve"> et U. </w:t>
      </w:r>
      <w:r w:rsidRPr="00E72418">
        <w:rPr>
          <w:smallCaps/>
        </w:rPr>
        <w:t>Panizza</w:t>
      </w:r>
      <w:r w:rsidRPr="00E72418">
        <w:t xml:space="preserve">, « </w:t>
      </w:r>
      <w:r w:rsidRPr="00E72418">
        <w:rPr>
          <w:rFonts w:cs="Times New Roman"/>
          <w:szCs w:val="24"/>
          <w:lang w:val="en-US"/>
        </w:rPr>
        <w:t>The Costs of Sovereign Default</w:t>
      </w:r>
      <w:r w:rsidRPr="00E72418">
        <w:rPr>
          <w:rFonts w:cs="Times New Roman"/>
          <w:i/>
          <w:szCs w:val="24"/>
          <w:lang w:val="en-US"/>
        </w:rPr>
        <w:t xml:space="preserve"> </w:t>
      </w:r>
      <w:r w:rsidRPr="00E72418">
        <w:rPr>
          <w:szCs w:val="20"/>
        </w:rPr>
        <w:t>»</w:t>
      </w:r>
      <w:r w:rsidRPr="00E72418">
        <w:t>, IMF Working Paper WP/08/238, 2008, p. 23).</w:t>
      </w:r>
    </w:p>
  </w:footnote>
  <w:footnote w:id="133">
    <w:p w14:paraId="5F450B4F" w14:textId="31FD27EC" w:rsidR="0030147D" w:rsidRPr="00E72418" w:rsidRDefault="0030147D" w:rsidP="00C75FBE">
      <w:pPr>
        <w:pStyle w:val="Sansinterligne"/>
        <w:rPr>
          <w:szCs w:val="20"/>
        </w:rPr>
      </w:pPr>
      <w:r w:rsidRPr="00E72418">
        <w:rPr>
          <w:rStyle w:val="Appelnotedebasdep"/>
          <w:szCs w:val="20"/>
        </w:rPr>
        <w:footnoteRef/>
      </w:r>
      <w:r w:rsidRPr="00E72418">
        <w:rPr>
          <w:szCs w:val="20"/>
        </w:rPr>
        <w:t xml:space="preserve"> L’exemple argentin de l’importance de la réputation précité pourrait être relativisé. Ainsi, on pourrait rechercher l’explication de l’exclusion du pays des marchés capitaux dans la nature et la longueur du processus de restructuration engagé de même que dans les importants contentieux survenus avec les créanciers. Comme le note Theresa Monteleone, « [a]s long as Argentina’s bondholders seek to enforce judgments and attachment orders in foreign courts, funds that Argentina might be able to raise by issuing new debt in the international market is at risk of being attached to satisfy these judgments » (</w:t>
      </w:r>
      <w:r w:rsidRPr="00E72418">
        <w:rPr>
          <w:smallCaps/>
          <w:szCs w:val="20"/>
        </w:rPr>
        <w:t>T. Monteleone</w:t>
      </w:r>
      <w:r w:rsidRPr="00E72418">
        <w:rPr>
          <w:szCs w:val="20"/>
        </w:rPr>
        <w:t xml:space="preserve">, « A vulture’s gamble: high-stakes interpretation of sovereign debt contracts in </w:t>
      </w:r>
      <w:r w:rsidRPr="00E72418">
        <w:rPr>
          <w:i/>
          <w:szCs w:val="20"/>
        </w:rPr>
        <w:t>NML Capital, Ltd. v Republic of Argentina</w:t>
      </w:r>
      <w:r w:rsidRPr="00E72418">
        <w:rPr>
          <w:szCs w:val="20"/>
        </w:rPr>
        <w:t xml:space="preserve"> », </w:t>
      </w:r>
      <w:r w:rsidRPr="00E72418">
        <w:rPr>
          <w:rFonts w:ascii="Times New Roman" w:hAnsi="Times New Roman" w:cs="Times New Roman"/>
          <w:i/>
          <w:szCs w:val="20"/>
        </w:rPr>
        <w:t>C.M.L.J.</w:t>
      </w:r>
      <w:r w:rsidRPr="00E72418">
        <w:rPr>
          <w:szCs w:val="20"/>
        </w:rPr>
        <w:t>, 2013, pp. 152 et 153).</w:t>
      </w:r>
    </w:p>
  </w:footnote>
  <w:footnote w:id="134">
    <w:p w14:paraId="768EF260" w14:textId="4E1EAA31" w:rsidR="0030147D" w:rsidRPr="00E72418" w:rsidRDefault="0030147D" w:rsidP="000E3653">
      <w:pPr>
        <w:pStyle w:val="Sansinterligne"/>
      </w:pPr>
      <w:r w:rsidRPr="00E72418">
        <w:rPr>
          <w:rStyle w:val="Appelnotedebasdep"/>
        </w:rPr>
        <w:footnoteRef/>
      </w:r>
      <w:r w:rsidRPr="00E72418">
        <w:t xml:space="preserve"> C. </w:t>
      </w:r>
      <w:r w:rsidRPr="00E72418">
        <w:rPr>
          <w:rFonts w:cs="Times New Roman"/>
          <w:smallCaps/>
          <w:szCs w:val="24"/>
          <w:lang w:val="en-US"/>
        </w:rPr>
        <w:t xml:space="preserve">Rault, </w:t>
      </w:r>
      <w:r w:rsidRPr="00E72418">
        <w:rPr>
          <w:szCs w:val="20"/>
        </w:rPr>
        <w:t xml:space="preserve">« Les formes d’endettement public international : permanence ou évolution ? », in M. </w:t>
      </w:r>
      <w:r w:rsidRPr="00E72418">
        <w:rPr>
          <w:smallCaps/>
          <w:szCs w:val="20"/>
        </w:rPr>
        <w:t>Waibel</w:t>
      </w:r>
      <w:r w:rsidRPr="00E72418">
        <w:rPr>
          <w:szCs w:val="20"/>
        </w:rPr>
        <w:t xml:space="preserve"> (éd.), </w:t>
      </w:r>
      <w:r w:rsidRPr="00E72418">
        <w:rPr>
          <w:i/>
          <w:szCs w:val="20"/>
        </w:rPr>
        <w:t>The Legal Implications of Global Financial Crises</w:t>
      </w:r>
      <w:r w:rsidRPr="00E72418">
        <w:rPr>
          <w:szCs w:val="20"/>
        </w:rPr>
        <w:t xml:space="preserve">, Brill, 2020, </w:t>
      </w:r>
      <w:r w:rsidRPr="00E72418">
        <w:rPr>
          <w:shd w:val="clear" w:color="auto" w:fill="FFFFFF"/>
        </w:rPr>
        <w:t>p. 224.</w:t>
      </w:r>
    </w:p>
  </w:footnote>
  <w:footnote w:id="135">
    <w:p w14:paraId="2F3618B4" w14:textId="3104F0E5" w:rsidR="0030147D" w:rsidRPr="00E72418" w:rsidRDefault="0030147D" w:rsidP="0011623A">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L.G.D.J., 2017, pp. 10 et 11.</w:t>
      </w:r>
    </w:p>
  </w:footnote>
  <w:footnote w:id="136">
    <w:p w14:paraId="3072F401" w14:textId="52893CFF" w:rsidR="0030147D" w:rsidRPr="00E72418" w:rsidRDefault="0030147D" w:rsidP="0011623A">
      <w:pPr>
        <w:pStyle w:val="Sansinterligne"/>
      </w:pPr>
      <w:r w:rsidRPr="00E72418">
        <w:rPr>
          <w:rStyle w:val="Appelnotedebasdep"/>
        </w:rPr>
        <w:footnoteRef/>
      </w:r>
      <w:r w:rsidRPr="00E72418">
        <w:t xml:space="preserve"> L. </w:t>
      </w:r>
      <w:r w:rsidRPr="00E72418">
        <w:rPr>
          <w:rFonts w:cs="Times New Roman"/>
          <w:smallCaps/>
          <w:szCs w:val="24"/>
          <w:lang w:val="en-US"/>
        </w:rPr>
        <w:t>Buchheit</w:t>
      </w:r>
      <w:r w:rsidRPr="00E72418">
        <w:rPr>
          <w:rFonts w:cs="Times New Roman"/>
          <w:szCs w:val="24"/>
          <w:lang w:val="en-US"/>
        </w:rPr>
        <w:t xml:space="preserve">, « </w:t>
      </w:r>
      <w:r w:rsidRPr="00E72418">
        <w:t xml:space="preserve">Trustees versus fiscal agents for sovereign bonds », </w:t>
      </w:r>
      <w:r w:rsidRPr="00E72418">
        <w:rPr>
          <w:rFonts w:ascii="Times New Roman" w:hAnsi="Times New Roman" w:cs="Times New Roman"/>
          <w:i/>
          <w:szCs w:val="20"/>
        </w:rPr>
        <w:t>C.M.L.J.</w:t>
      </w:r>
      <w:r w:rsidRPr="00E72418">
        <w:rPr>
          <w:lang w:val="en-US"/>
        </w:rPr>
        <w:t>, 2018, p. 410.</w:t>
      </w:r>
    </w:p>
  </w:footnote>
  <w:footnote w:id="137">
    <w:p w14:paraId="428EB25B" w14:textId="0E0A0DD0" w:rsidR="0030147D" w:rsidRPr="00E72418" w:rsidRDefault="0030147D" w:rsidP="0011623A">
      <w:pPr>
        <w:pStyle w:val="Sansinterligne"/>
      </w:pPr>
      <w:r w:rsidRPr="00E72418">
        <w:rPr>
          <w:rStyle w:val="Appelnotedebasdep"/>
        </w:rPr>
        <w:footnoteRef/>
      </w:r>
      <w:r w:rsidRPr="00E72418">
        <w:t xml:space="preserve"> </w:t>
      </w:r>
      <w:r w:rsidRPr="00E72418">
        <w:rPr>
          <w:i/>
        </w:rPr>
        <w:t>Ibid.</w:t>
      </w:r>
      <w:r w:rsidRPr="00E72418">
        <w:rPr>
          <w:lang w:val="en-US"/>
        </w:rPr>
        <w:t xml:space="preserve"> Sur l’intérêt du recours à la </w:t>
      </w:r>
      <w:r w:rsidRPr="00E72418">
        <w:rPr>
          <w:rFonts w:cs="Times New Roman"/>
          <w:i/>
          <w:szCs w:val="24"/>
          <w:lang w:val="en-US"/>
        </w:rPr>
        <w:t>trust indenture</w:t>
      </w:r>
      <w:r w:rsidRPr="00E72418">
        <w:t xml:space="preserve"> lorsque l’</w:t>
      </w:r>
      <w:r w:rsidRPr="00E72418">
        <w:rPr>
          <w:rFonts w:ascii="Times New Roman" w:hAnsi="Times New Roman" w:cs="Times New Roman"/>
          <w:lang w:eastAsia="fr-BE"/>
        </w:rPr>
        <w:t>É</w:t>
      </w:r>
      <w:r w:rsidRPr="00E72418">
        <w:t xml:space="preserve">tat souverain rencontre des difficultés à honorer sa dette, voyez </w:t>
      </w:r>
      <w:r w:rsidRPr="00E72418">
        <w:rPr>
          <w:i/>
        </w:rPr>
        <w:t>infra</w:t>
      </w:r>
      <w:r w:rsidRPr="00E72418">
        <w:t xml:space="preserve"> n° 285.</w:t>
      </w:r>
    </w:p>
  </w:footnote>
  <w:footnote w:id="138">
    <w:p w14:paraId="1D22DE0B" w14:textId="2DDF5A9A"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518.</w:t>
      </w:r>
    </w:p>
  </w:footnote>
  <w:footnote w:id="139">
    <w:p w14:paraId="5DAD05C4" w14:textId="4DD3CC2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708.</w:t>
      </w:r>
    </w:p>
  </w:footnote>
  <w:footnote w:id="140">
    <w:p w14:paraId="51C30BC4" w14:textId="4CE72D00" w:rsidR="0030147D" w:rsidRPr="00E72418" w:rsidRDefault="0030147D" w:rsidP="001C36C9">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w:t>
      </w:r>
      <w:r w:rsidRPr="00E72418">
        <w:rPr>
          <w:szCs w:val="20"/>
        </w:rPr>
        <w:t xml:space="preserve">Notons que l’expression « plan Brady » est parfois utilisée pour viser généralement les processus par lesquels les </w:t>
      </w:r>
      <w:r w:rsidRPr="00E72418">
        <w:rPr>
          <w:szCs w:val="20"/>
          <w:lang w:eastAsia="fr-BE"/>
        </w:rPr>
        <w:t>É</w:t>
      </w:r>
      <w:r w:rsidRPr="00E72418">
        <w:rPr>
          <w:szCs w:val="20"/>
        </w:rPr>
        <w:t>tats débiteurs et leurs créanciers renégocient les dettes afin d’éviter le défaut (</w:t>
      </w:r>
      <w:r w:rsidRPr="00E72418">
        <w:rPr>
          <w:smallCaps/>
          <w:szCs w:val="20"/>
        </w:rPr>
        <w:t>C. Boccuzzi, M. Brennan</w:t>
      </w:r>
      <w:r w:rsidRPr="00E72418">
        <w:rPr>
          <w:szCs w:val="20"/>
        </w:rPr>
        <w:t xml:space="preserve"> et </w:t>
      </w:r>
      <w:r w:rsidRPr="00E72418">
        <w:rPr>
          <w:smallCaps/>
          <w:szCs w:val="20"/>
        </w:rPr>
        <w:t>J. Johnston</w:t>
      </w:r>
      <w:r w:rsidRPr="00E72418">
        <w:rPr>
          <w:szCs w:val="20"/>
        </w:rPr>
        <w:t xml:space="preserve">, « Defences », in L. </w:t>
      </w:r>
      <w:r w:rsidRPr="00E72418">
        <w:rPr>
          <w:smallCaps/>
          <w:szCs w:val="20"/>
        </w:rPr>
        <w:t>Buchheit</w:t>
      </w:r>
      <w:r w:rsidRPr="00E72418">
        <w:rPr>
          <w:szCs w:val="20"/>
        </w:rPr>
        <w:t xml:space="preserve"> et R. </w:t>
      </w:r>
      <w:r w:rsidRPr="00E72418">
        <w:rPr>
          <w:smallCaps/>
          <w:szCs w:val="20"/>
        </w:rPr>
        <w:t>Lastra</w:t>
      </w:r>
      <w:r w:rsidRPr="00E72418">
        <w:rPr>
          <w:szCs w:val="20"/>
        </w:rPr>
        <w:t xml:space="preserve"> (éd.), </w:t>
      </w:r>
      <w:r w:rsidRPr="00E72418">
        <w:rPr>
          <w:i/>
          <w:szCs w:val="20"/>
        </w:rPr>
        <w:t>Sovereign Debt Management</w:t>
      </w:r>
      <w:r w:rsidRPr="00E72418">
        <w:rPr>
          <w:szCs w:val="20"/>
        </w:rPr>
        <w:t>, Oxford University Press, 2014, p. 110).</w:t>
      </w:r>
    </w:p>
  </w:footnote>
  <w:footnote w:id="141">
    <w:p w14:paraId="42A736B2" w14:textId="25C435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709.</w:t>
      </w:r>
    </w:p>
  </w:footnote>
  <w:footnote w:id="142">
    <w:p w14:paraId="23EA11FF" w14:textId="65B67238"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365.</w:t>
      </w:r>
    </w:p>
  </w:footnote>
  <w:footnote w:id="143">
    <w:p w14:paraId="1E3C86E1" w14:textId="4DB8CE55" w:rsidR="0030147D" w:rsidRPr="00E72418" w:rsidRDefault="0030147D" w:rsidP="009B3FBC">
      <w:pPr>
        <w:pStyle w:val="Sansinterligne"/>
      </w:pPr>
      <w:r w:rsidRPr="00E72418">
        <w:rPr>
          <w:rStyle w:val="Appelnotedebasdep"/>
        </w:rPr>
        <w:footnoteRef/>
      </w:r>
      <w:r w:rsidRPr="00E72418">
        <w:t xml:space="preserve">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1.</w:t>
      </w:r>
    </w:p>
  </w:footnote>
  <w:footnote w:id="144">
    <w:p w14:paraId="65C13A7A" w14:textId="35F99558"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vertAlign w:val="superscript"/>
          <w:lang w:val="en-US"/>
        </w:rPr>
        <w:t xml:space="preserve"> </w:t>
      </w:r>
      <w:r w:rsidRPr="00E72418">
        <w:rPr>
          <w:rStyle w:val="Titre2Car"/>
          <w:rFonts w:ascii="Times" w:eastAsiaTheme="minorHAnsi" w:hAnsi="Times" w:cstheme="minorBidi"/>
          <w:smallCaps/>
          <w:color w:val="auto"/>
          <w:sz w:val="20"/>
          <w:szCs w:val="20"/>
          <w:lang w:val="en-US"/>
        </w:rPr>
        <w:t>J. Muse-Fisher</w:t>
      </w:r>
      <w:r w:rsidRPr="00E72418">
        <w:rPr>
          <w:rStyle w:val="Titre2Car"/>
          <w:rFonts w:ascii="Times" w:eastAsiaTheme="minorHAnsi" w:hAnsi="Times" w:cstheme="minorBidi"/>
          <w:color w:val="auto"/>
          <w:sz w:val="20"/>
          <w:szCs w:val="20"/>
          <w:lang w:val="en-US"/>
        </w:rPr>
        <w:t xml:space="preserve">, « Starving the Vultures: </w:t>
      </w:r>
      <w:r w:rsidRPr="00E72418">
        <w:rPr>
          <w:rStyle w:val="Titre2Car"/>
          <w:rFonts w:ascii="Times" w:eastAsiaTheme="minorHAnsi" w:hAnsi="Times" w:cstheme="minorBidi"/>
          <w:i/>
          <w:color w:val="auto"/>
          <w:sz w:val="20"/>
          <w:szCs w:val="20"/>
          <w:lang w:val="en-US"/>
        </w:rPr>
        <w:t>NML Capital v. Republic of Argentina</w:t>
      </w:r>
      <w:r w:rsidRPr="00E72418">
        <w:rPr>
          <w:rStyle w:val="Titre2Car"/>
          <w:rFonts w:ascii="Times" w:eastAsiaTheme="minorHAnsi" w:hAnsi="Times" w:cstheme="minorBidi"/>
          <w:color w:val="auto"/>
          <w:sz w:val="20"/>
          <w:szCs w:val="20"/>
          <w:lang w:val="en-US"/>
        </w:rPr>
        <w:t xml:space="preserve"> and Solutions to the Problem of Distressed-Debt Funds », </w:t>
      </w:r>
      <w:r w:rsidRPr="00E72418">
        <w:rPr>
          <w:i/>
          <w:szCs w:val="20"/>
          <w:lang w:val="en-US"/>
        </w:rPr>
        <w:t>op. cit.</w:t>
      </w:r>
      <w:r w:rsidRPr="00E72418">
        <w:rPr>
          <w:rStyle w:val="Titre2Car"/>
          <w:rFonts w:ascii="Times" w:eastAsiaTheme="minorHAnsi" w:hAnsi="Times" w:cstheme="minorBidi"/>
          <w:color w:val="auto"/>
          <w:sz w:val="20"/>
          <w:szCs w:val="20"/>
          <w:lang w:val="en-US"/>
        </w:rPr>
        <w:t xml:space="preserve">, p. 1681. </w:t>
      </w:r>
      <w:r w:rsidRPr="00E72418">
        <w:rPr>
          <w:szCs w:val="20"/>
        </w:rPr>
        <w:t xml:space="preserve">Historiquement, certains acquéreurs du marché secondaire virent dans la crise sud-américaine des opportunités financières les conduisant à souhaiter investir. </w:t>
      </w:r>
      <w:r w:rsidRPr="00E72418">
        <w:rPr>
          <w:szCs w:val="20"/>
          <w:lang w:val="en-US"/>
        </w:rPr>
        <w:t>Ainsi, comme l’indique Philip Power, « [d]espite the fact that the sovereign debts would never be fully repaid, the secondary market was highly attractive to certain types of investors. Many secondary market debt purchasers were corporations seeking to make equity investments in the debtor country and needed local currency to purchase plants and equipment. For their part, many debtor countries were willing to exchange their dollar-denominated debt obligations for an equivalent amount of local currency » (</w:t>
      </w:r>
      <w:r w:rsidRPr="00E72418">
        <w:rPr>
          <w:smallCaps/>
          <w:szCs w:val="20"/>
          <w:lang w:val="en-US"/>
        </w:rPr>
        <w:t>P. Power</w:t>
      </w:r>
      <w:r w:rsidRPr="00E72418">
        <w:rPr>
          <w:szCs w:val="20"/>
          <w:lang w:val="en-US"/>
        </w:rPr>
        <w:t xml:space="preserve">, « Sovereign Debt: The Rise of the Secondary Market and Its Implication for Future Restructurings », </w:t>
      </w:r>
      <w:r w:rsidRPr="00E72418">
        <w:rPr>
          <w:i/>
          <w:szCs w:val="20"/>
          <w:lang w:val="en-US"/>
        </w:rPr>
        <w:t>Fordham Law Review</w:t>
      </w:r>
      <w:r w:rsidRPr="00E72418">
        <w:rPr>
          <w:szCs w:val="20"/>
          <w:lang w:val="en-US"/>
        </w:rPr>
        <w:t>, 1996, p. 2716).</w:t>
      </w:r>
    </w:p>
  </w:footnote>
  <w:footnote w:id="145">
    <w:p w14:paraId="40ED482A" w14:textId="0D47B45F"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10.</w:t>
      </w:r>
    </w:p>
  </w:footnote>
  <w:footnote w:id="146">
    <w:p w14:paraId="69F65809" w14:textId="22F9D608" w:rsidR="0030147D" w:rsidRPr="00E72418" w:rsidRDefault="0030147D" w:rsidP="00961046">
      <w:pPr>
        <w:pStyle w:val="Sansinterligne"/>
        <w:rPr>
          <w:szCs w:val="20"/>
        </w:rPr>
      </w:pPr>
      <w:r w:rsidRPr="00E72418">
        <w:rPr>
          <w:rStyle w:val="Appelnotedebasdep"/>
          <w:szCs w:val="20"/>
        </w:rPr>
        <w:footnoteRef/>
      </w:r>
      <w:r w:rsidRPr="00E72418">
        <w:rPr>
          <w:szCs w:val="20"/>
        </w:rPr>
        <w:t xml:space="preserve">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 332.</w:t>
      </w:r>
    </w:p>
  </w:footnote>
  <w:footnote w:id="147">
    <w:p w14:paraId="101C5DAF" w14:textId="3932A79F" w:rsidR="0030147D" w:rsidRPr="00E72418" w:rsidRDefault="0030147D" w:rsidP="006549AB">
      <w:pPr>
        <w:pStyle w:val="Sansinterligne"/>
      </w:pPr>
      <w:r w:rsidRPr="00E72418">
        <w:rPr>
          <w:rStyle w:val="Appelnotedebasdep"/>
        </w:rPr>
        <w:footnoteRef/>
      </w:r>
      <w:r w:rsidRPr="00E72418">
        <w:t xml:space="preserve"> </w:t>
      </w:r>
      <w:r w:rsidRPr="00E72418">
        <w:rPr>
          <w:smallCaps/>
        </w:rPr>
        <w:t>M. Riegner</w:t>
      </w:r>
      <w:r w:rsidRPr="00E72418">
        <w:t xml:space="preserve">, </w:t>
      </w:r>
      <w:r w:rsidRPr="00E72418">
        <w:rPr>
          <w:rStyle w:val="Titre5Car"/>
          <w:rFonts w:ascii="Times" w:eastAsiaTheme="minorHAnsi" w:hAnsi="Times" w:cstheme="minorBidi"/>
          <w:color w:val="auto"/>
          <w:szCs w:val="20"/>
          <w:lang w:val="en-US"/>
        </w:rPr>
        <w:t xml:space="preserve">« </w:t>
      </w:r>
      <w:r w:rsidRPr="00E72418">
        <w:t xml:space="preserve">Legal Frameworks and General Principles for Indicators in Sovereign Debt Restructuring </w:t>
      </w:r>
      <w:r w:rsidRPr="00E72418">
        <w:rPr>
          <w:rStyle w:val="Titre5Car"/>
          <w:rFonts w:ascii="Times" w:eastAsiaTheme="minorHAnsi" w:hAnsi="Times" w:cstheme="minorBidi"/>
          <w:color w:val="auto"/>
          <w:szCs w:val="20"/>
          <w:lang w:val="en-US"/>
        </w:rPr>
        <w:t xml:space="preserve">», </w:t>
      </w:r>
      <w:r w:rsidRPr="00E72418">
        <w:rPr>
          <w:rFonts w:ascii="Times New Roman" w:hAnsi="Times New Roman" w:cs="Times New Roman"/>
          <w:i/>
          <w:szCs w:val="20"/>
        </w:rPr>
        <w:t>Yale J. Int. Law</w:t>
      </w:r>
      <w:r w:rsidRPr="00E72418">
        <w:rPr>
          <w:rStyle w:val="Titre5Car"/>
          <w:rFonts w:ascii="Times" w:eastAsiaTheme="minorHAnsi" w:hAnsi="Times" w:cstheme="minorBidi"/>
          <w:color w:val="auto"/>
          <w:lang w:val="en-US"/>
        </w:rPr>
        <w:t>, 2016, p. 153.</w:t>
      </w:r>
    </w:p>
  </w:footnote>
  <w:footnote w:id="148">
    <w:p w14:paraId="2A9C36E0" w14:textId="13BD89E8"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J. Goren</w:t>
      </w:r>
      <w:r w:rsidRPr="00E72418">
        <w:rPr>
          <w:szCs w:val="20"/>
          <w:lang w:val="en-US"/>
        </w:rPr>
        <w:t xml:space="preserve">, « State-to-State Debts: Sovereign Immunity and the “Vulture” Hunt », </w:t>
      </w:r>
      <w:r w:rsidRPr="00E72418">
        <w:rPr>
          <w:i/>
          <w:szCs w:val="20"/>
          <w:lang w:val="en-US"/>
        </w:rPr>
        <w:t>The George Washington International Law Review</w:t>
      </w:r>
      <w:r w:rsidRPr="00E72418">
        <w:rPr>
          <w:szCs w:val="20"/>
          <w:lang w:val="en-US"/>
        </w:rPr>
        <w:t xml:space="preserve">, 2010, p. 693. </w:t>
      </w:r>
      <w:r w:rsidRPr="00E72418">
        <w:rPr>
          <w:szCs w:val="20"/>
        </w:rPr>
        <w:t xml:space="preserve">Notons d’ores et déjà et nous y reviendrons (voyez </w:t>
      </w:r>
      <w:r w:rsidRPr="00E72418">
        <w:rPr>
          <w:i/>
          <w:szCs w:val="20"/>
        </w:rPr>
        <w:t xml:space="preserve">infra </w:t>
      </w:r>
      <w:r w:rsidRPr="00E72418">
        <w:rPr>
          <w:szCs w:val="20"/>
        </w:rPr>
        <w:t>n° 152) que les succès importants des fonds spéculatifs de ces dernières années pourraient avoir pour conséquence ironique que les créanciers primaires ne souhaitent plus revendre leurs titres à prix réduit à ces fonds, conscients de la possibilité d’obtenir leur plein paiement (</w:t>
      </w:r>
      <w:r w:rsidRPr="00E72418">
        <w:rPr>
          <w:smallCaps/>
          <w:szCs w:val="20"/>
        </w:rPr>
        <w:t>L. Sourbron</w:t>
      </w:r>
      <w:r w:rsidRPr="00E72418">
        <w:rPr>
          <w:szCs w:val="20"/>
        </w:rPr>
        <w:t xml:space="preserve"> et </w:t>
      </w:r>
      <w:r w:rsidRPr="00E72418">
        <w:rPr>
          <w:smallCaps/>
          <w:szCs w:val="20"/>
        </w:rPr>
        <w:t>L. Vereeck</w:t>
      </w:r>
      <w:r w:rsidRPr="00E72418">
        <w:rPr>
          <w:szCs w:val="20"/>
        </w:rPr>
        <w:t xml:space="preserve">, « To Pay or Not to Pay? </w:t>
      </w:r>
      <w:r w:rsidRPr="00E72418">
        <w:rPr>
          <w:szCs w:val="20"/>
          <w:lang w:val="en-US"/>
        </w:rPr>
        <w:t xml:space="preserve">Evaluating the Belgian Law Against Vulture Funds », </w:t>
      </w:r>
      <w:r w:rsidRPr="00E72418">
        <w:rPr>
          <w:i/>
          <w:szCs w:val="20"/>
          <w:lang w:val="en-US"/>
        </w:rPr>
        <w:t>J.G.D.</w:t>
      </w:r>
      <w:r w:rsidRPr="00E72418">
        <w:rPr>
          <w:szCs w:val="20"/>
          <w:lang w:val="en-US"/>
        </w:rPr>
        <w:t>, 2017, p. 10).</w:t>
      </w:r>
    </w:p>
  </w:footnote>
  <w:footnote w:id="149">
    <w:p w14:paraId="45F1EE8A" w14:textId="58CA6EBD"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xml:space="preserve">, p. 709. </w:t>
      </w:r>
      <w:r w:rsidRPr="00E72418">
        <w:rPr>
          <w:szCs w:val="20"/>
        </w:rPr>
        <w:t xml:space="preserve">L’auteur donne l’exemple de la multinationale </w:t>
      </w:r>
      <w:r w:rsidRPr="00E72418">
        <w:rPr>
          <w:i/>
          <w:szCs w:val="20"/>
        </w:rPr>
        <w:t>Nestlé</w:t>
      </w:r>
      <w:r w:rsidRPr="00E72418">
        <w:rPr>
          <w:szCs w:val="20"/>
        </w:rPr>
        <w:t xml:space="preserve"> qui, en 2002, retira sa demande d’un paiement de six millions de dollars à l’encontre de l’Ethiopie ravagée par la famine après une campagne de critiques orchestrée par des médias et des associations comme </w:t>
      </w:r>
      <w:r w:rsidRPr="00E72418">
        <w:rPr>
          <w:i/>
          <w:szCs w:val="20"/>
        </w:rPr>
        <w:t>Oxfam</w:t>
      </w:r>
      <w:r w:rsidRPr="00E72418">
        <w:rPr>
          <w:szCs w:val="20"/>
        </w:rPr>
        <w:t>.</w:t>
      </w:r>
    </w:p>
  </w:footnote>
  <w:footnote w:id="150">
    <w:p w14:paraId="6D5902B1"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Assemblée parlementaire du Conseil de l’Europe, </w:t>
      </w:r>
      <w:r w:rsidRPr="00E72418">
        <w:rPr>
          <w:i/>
          <w:szCs w:val="20"/>
        </w:rPr>
        <w:t>Recommandation sur la protection de l’aide financière des États membres du Conseil de l’Europe aux pays pauvres contre les fonds financiers dits « fonds vautours »</w:t>
      </w:r>
      <w:r w:rsidRPr="00E72418">
        <w:rPr>
          <w:szCs w:val="20"/>
        </w:rPr>
        <w:t>, 29 mai 2009, 1870 (2009), point 5.</w:t>
      </w:r>
    </w:p>
  </w:footnote>
  <w:footnote w:id="151">
    <w:p w14:paraId="73F0BFF5" w14:textId="33C6025C" w:rsidR="0030147D" w:rsidRPr="00E72418" w:rsidRDefault="0030147D" w:rsidP="00E47E8D">
      <w:pPr>
        <w:pStyle w:val="Sansinterligne"/>
      </w:pPr>
      <w:r w:rsidRPr="00E72418">
        <w:rPr>
          <w:rStyle w:val="Appelnotedebasdep"/>
        </w:rPr>
        <w:footnoteRef/>
      </w:r>
      <w:r w:rsidRPr="00E72418">
        <w:t xml:space="preserve"> Voyez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t xml:space="preserve">, </w:t>
      </w:r>
      <w:r w:rsidRPr="00E72418">
        <w:rPr>
          <w:szCs w:val="20"/>
        </w:rPr>
        <w:t>background note, 26 octobre 2016</w:t>
      </w:r>
      <w:r w:rsidRPr="00E72418">
        <w:t xml:space="preserve">, p. 22. Voyez ainsi </w:t>
      </w:r>
      <w:r w:rsidRPr="00E72418">
        <w:rPr>
          <w:i/>
        </w:rPr>
        <w:t>infra</w:t>
      </w:r>
      <w:r>
        <w:t xml:space="preserve"> n° 426</w:t>
      </w:r>
      <w:r w:rsidRPr="00E72418">
        <w:t xml:space="preserve"> notre proposition de réglementation des cessions de créances.</w:t>
      </w:r>
    </w:p>
  </w:footnote>
  <w:footnote w:id="152">
    <w:p w14:paraId="0AC922FC" w14:textId="777777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U.S. bills 110 H.R. 6796 et 111 H.R. 2932 to prevent speculation and profiteering in the defaulted debt of certain poor countries, and for other purposes, article 2(1).</w:t>
      </w:r>
    </w:p>
  </w:footnote>
  <w:footnote w:id="153">
    <w:p w14:paraId="614FD990" w14:textId="6C2D1142"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considérant H. La résolution souligne que </w:t>
      </w:r>
      <w:r w:rsidRPr="00E72418">
        <w:rPr>
          <w:szCs w:val="20"/>
        </w:rPr>
        <w:t>le niveau d’endettement moyen des pays d’Afrique subsaharienne a fortement augmenté, passant de trente-quatre pour cent du produit intérieur brut en 2013 à quarante-huit pour cent en 2017 ou encore que des pays, comme l’Éthiopie, le Ghana et la Zambie, ont des niveaux d’endettement égaux ou supérieurs à cinquante pour cent de leur produit intérieur brut (considérants I et J).</w:t>
      </w:r>
    </w:p>
  </w:footnote>
  <w:footnote w:id="154">
    <w:p w14:paraId="4F5A561C" w14:textId="1CC4F00A"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100.</w:t>
      </w:r>
    </w:p>
  </w:footnote>
  <w:footnote w:id="155">
    <w:p w14:paraId="57A6401F" w14:textId="6528C0E6" w:rsidR="0030147D" w:rsidRPr="00E72418" w:rsidRDefault="0030147D" w:rsidP="009442B2">
      <w:pPr>
        <w:pStyle w:val="Sansinterligne"/>
        <w:rPr>
          <w:szCs w:val="20"/>
        </w:rPr>
      </w:pPr>
      <w:r w:rsidRPr="00E72418">
        <w:rPr>
          <w:rStyle w:val="Appelnotedebasdep"/>
          <w:szCs w:val="20"/>
        </w:rPr>
        <w:footnoteRef/>
      </w:r>
      <w:r w:rsidRPr="00E72418">
        <w:rPr>
          <w:szCs w:val="20"/>
          <w:lang w:val="en-US"/>
        </w:rPr>
        <w:t xml:space="preserve"> Comme le notait William Teare durant les travaux préparatoires du </w:t>
      </w:r>
      <w:r w:rsidRPr="00E72418">
        <w:rPr>
          <w:i/>
          <w:szCs w:val="20"/>
          <w:lang w:val="en-US"/>
        </w:rPr>
        <w:t>Heavily Indebted Poor Countries (Limitation on Debt Recovery) Act 2012</w:t>
      </w:r>
      <w:r w:rsidRPr="00E72418">
        <w:rPr>
          <w:szCs w:val="20"/>
          <w:lang w:val="en-US"/>
        </w:rPr>
        <w:t xml:space="preserve">, « [t]he debtor must be in a position to repay debt, notably through the efficient use of the loans to generate income that will be used to repay the debt. For the poorest countries, high levels of debt have themselves become a barrier to development » (House of Keys, </w:t>
      </w:r>
      <w:r w:rsidRPr="00E72418">
        <w:rPr>
          <w:i/>
          <w:szCs w:val="20"/>
          <w:lang w:val="en-US"/>
        </w:rPr>
        <w:t>Heavily Indebted Poor Countries (Limitation on Debt Recovery) Bill 2012</w:t>
      </w:r>
      <w:r w:rsidRPr="00E72418">
        <w:rPr>
          <w:szCs w:val="20"/>
          <w:lang w:val="en-US"/>
        </w:rPr>
        <w:t xml:space="preserve">, second reading, 8 mai 2012, vol. 129, n° 20, lignes 1689 à 1692). </w:t>
      </w:r>
      <w:r w:rsidRPr="00E72418">
        <w:rPr>
          <w:szCs w:val="20"/>
        </w:rPr>
        <w:t xml:space="preserve">Sur cette législation, voyez </w:t>
      </w:r>
      <w:r w:rsidRPr="00E72418">
        <w:rPr>
          <w:i/>
          <w:szCs w:val="20"/>
        </w:rPr>
        <w:t xml:space="preserve">infra </w:t>
      </w:r>
      <w:r w:rsidRPr="00E72418">
        <w:rPr>
          <w:szCs w:val="20"/>
        </w:rPr>
        <w:t>n° 311.</w:t>
      </w:r>
    </w:p>
  </w:footnote>
  <w:footnote w:id="156">
    <w:p w14:paraId="1FF6B7D6" w14:textId="77777777" w:rsidR="0030147D" w:rsidRPr="00E72418" w:rsidRDefault="0030147D" w:rsidP="007C57EF">
      <w:pPr>
        <w:pStyle w:val="Sansinterligne"/>
        <w:rPr>
          <w:szCs w:val="20"/>
        </w:rPr>
      </w:pPr>
      <w:r w:rsidRPr="00E72418">
        <w:rPr>
          <w:szCs w:val="20"/>
          <w:vertAlign w:val="superscript"/>
        </w:rPr>
        <w:footnoteRef/>
      </w:r>
      <w:r w:rsidRPr="00E72418">
        <w:rPr>
          <w:szCs w:val="20"/>
        </w:rPr>
        <w:t xml:space="preserve"> Le poids d’une dette est également de nature à décourager les </w:t>
      </w:r>
      <w:r w:rsidRPr="00E72418">
        <w:rPr>
          <w:szCs w:val="20"/>
          <w:lang w:eastAsia="fr-BE"/>
        </w:rPr>
        <w:t>É</w:t>
      </w:r>
      <w:r w:rsidRPr="00E72418">
        <w:rPr>
          <w:szCs w:val="20"/>
        </w:rPr>
        <w:t>tats débiteurs et à réduire les incitants à épargner pour investir dans la mesure où les montants sauvegardés devront être utilisés pour payer les créanciers et ne bénéficieront pas à leur population.</w:t>
      </w:r>
    </w:p>
  </w:footnote>
  <w:footnote w:id="157">
    <w:p w14:paraId="56F746A9" w14:textId="664388A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pp. 121 et 122.</w:t>
      </w:r>
    </w:p>
  </w:footnote>
  <w:footnote w:id="158">
    <w:p w14:paraId="46AE99C7" w14:textId="116D6101" w:rsidR="0030147D" w:rsidRPr="00E72418" w:rsidRDefault="0030147D" w:rsidP="00843265">
      <w:pPr>
        <w:pStyle w:val="Sansinterligne"/>
      </w:pPr>
      <w:r w:rsidRPr="00E72418">
        <w:rPr>
          <w:rStyle w:val="Appelnotedebasdep"/>
        </w:rPr>
        <w:footnoteRef/>
      </w:r>
      <w:r w:rsidRPr="00E72418">
        <w:t xml:space="preserve"> Olivier Klein s’intéressant à cette idée de « piège de la dette » note que « </w:t>
      </w:r>
      <w:r w:rsidRPr="00E72418">
        <w:rPr>
          <w:rFonts w:ascii="Times New Roman" w:hAnsi="Times New Roman" w:cs="Times New Roman"/>
          <w:szCs w:val="24"/>
        </w:rPr>
        <w:t>[l]</w:t>
      </w:r>
      <w:r w:rsidRPr="00E72418">
        <w:t xml:space="preserve">es dettes des États </w:t>
      </w:r>
      <w:r w:rsidRPr="00E72418">
        <w:rPr>
          <w:rFonts w:ascii="Times New Roman" w:hAnsi="Times New Roman" w:cs="Times New Roman"/>
          <w:szCs w:val="24"/>
        </w:rPr>
        <w:t xml:space="preserve">[…] </w:t>
      </w:r>
      <w:r w:rsidRPr="00E72418">
        <w:t xml:space="preserve">ne s’éteignent pas en réalité. À leur échéance, elles sont remboursées par de nouvelles dettes émises aux conditions de marché du moment. Les nouvelles dettes refinancent les dettes précédentes » (O. </w:t>
      </w:r>
      <w:r w:rsidRPr="00E72418">
        <w:rPr>
          <w:smallCaps/>
        </w:rPr>
        <w:t>Klein</w:t>
      </w:r>
      <w:r w:rsidRPr="00E72418">
        <w:t xml:space="preserve">, « Comment éviter le piège de la dette après la pandémie ? », </w:t>
      </w:r>
      <w:r w:rsidRPr="00E72418">
        <w:rPr>
          <w:i/>
        </w:rPr>
        <w:t>Revue d’économie financière</w:t>
      </w:r>
      <w:r w:rsidRPr="00E72418">
        <w:t>, 2021, p. 289).</w:t>
      </w:r>
    </w:p>
  </w:footnote>
  <w:footnote w:id="159">
    <w:p w14:paraId="19420E2B" w14:textId="5895D926" w:rsidR="0030147D" w:rsidRPr="00E72418" w:rsidRDefault="0030147D" w:rsidP="00A15B5C">
      <w:pPr>
        <w:pStyle w:val="Sansinterligne"/>
      </w:pPr>
      <w:r w:rsidRPr="00E72418">
        <w:rPr>
          <w:rStyle w:val="Appelnotedebasdep"/>
        </w:rPr>
        <w:footnoteRef/>
      </w:r>
      <w:r w:rsidRPr="00E72418">
        <w:t xml:space="preserve"> Le critère de la soutenabilité est à ce point cardinal que nous verrons dans la partie prospective de notre recherche qu’il permet de </w:t>
      </w:r>
      <w:r>
        <w:t>justifier</w:t>
      </w:r>
      <w:r w:rsidRPr="00E72418">
        <w:t xml:space="preserve"> la limitation des activités spéculatives (voyez </w:t>
      </w:r>
      <w:r w:rsidRPr="00E72418">
        <w:rPr>
          <w:i/>
        </w:rPr>
        <w:t>infra</w:t>
      </w:r>
      <w:r w:rsidRPr="00E72418">
        <w:t xml:space="preserve"> n</w:t>
      </w:r>
      <w:r w:rsidRPr="00E72418">
        <w:rPr>
          <w:vertAlign w:val="superscript"/>
        </w:rPr>
        <w:t>os</w:t>
      </w:r>
      <w:r w:rsidRPr="00E72418">
        <w:t xml:space="preserve"> 406 et suiv.). </w:t>
      </w:r>
    </w:p>
  </w:footnote>
  <w:footnote w:id="160">
    <w:p w14:paraId="675EAAE4" w14:textId="4B046789"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375.</w:t>
      </w:r>
    </w:p>
  </w:footnote>
  <w:footnote w:id="161">
    <w:p w14:paraId="35CEE371" w14:textId="7620E55E" w:rsidR="0030147D" w:rsidRPr="00E72418" w:rsidRDefault="0030147D" w:rsidP="00AA36D1">
      <w:pPr>
        <w:pStyle w:val="Sansinterligne"/>
        <w:rPr>
          <w:szCs w:val="20"/>
        </w:rPr>
      </w:pPr>
      <w:r w:rsidRPr="00E72418">
        <w:rPr>
          <w:rStyle w:val="Appelnotedebasdep"/>
          <w:szCs w:val="20"/>
        </w:rPr>
        <w:footnoteRef/>
      </w:r>
      <w:r w:rsidRPr="00E72418">
        <w:rPr>
          <w:szCs w:val="20"/>
        </w:rPr>
        <w:t xml:space="preserve"> L’on ne saurait retenir que le paiement d’un montant dû à un créancier alors que ce montant pourrait servir à assurer des besoins de sa population est </w:t>
      </w:r>
      <w:r w:rsidRPr="00E72418">
        <w:rPr>
          <w:i/>
          <w:szCs w:val="20"/>
        </w:rPr>
        <w:t>ipso facto</w:t>
      </w:r>
      <w:r w:rsidRPr="00E72418">
        <w:rPr>
          <w:szCs w:val="20"/>
        </w:rPr>
        <w:t xml:space="preserve"> négatif pour la population. En effet, ce paiement du créancier pourrait avoir pour effet de rassurer les marchés et par conséquent améliorer les conditions de financement dudit État avec</w:t>
      </w:r>
      <w:r>
        <w:rPr>
          <w:szCs w:val="20"/>
        </w:rPr>
        <w:t>,</w:t>
      </w:r>
      <w:r w:rsidRPr="00E72418">
        <w:rPr>
          <w:szCs w:val="20"/>
        </w:rPr>
        <w:t xml:space="preserve"> par la suite</w:t>
      </w:r>
      <w:r>
        <w:rPr>
          <w:szCs w:val="20"/>
        </w:rPr>
        <w:t>,</w:t>
      </w:r>
      <w:r w:rsidRPr="00E72418">
        <w:rPr>
          <w:szCs w:val="20"/>
        </w:rPr>
        <w:t xml:space="preserve"> une augmentation de ses moyens disponibles pour sa population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11).</w:t>
      </w:r>
    </w:p>
  </w:footnote>
  <w:footnote w:id="162">
    <w:p w14:paraId="5CF82E21" w14:textId="15B4E8DE" w:rsidR="0030147D" w:rsidRPr="00E72418" w:rsidRDefault="0030147D" w:rsidP="00301A06">
      <w:pPr>
        <w:pStyle w:val="Sansinterligne"/>
        <w:rPr>
          <w:rFonts w:cs="Times New Roman"/>
          <w:szCs w:val="20"/>
        </w:rPr>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15. Le Comité vise dans son rapport notamment les droits à l’alimentation, à la santé, à l’éducation, à un logement convenable ou encore à l’emploi. Le Conseil des droits de l’homme avait déjà constaté que « le service excessif de la dette a fortement limité la capacité de promouvoir le développement social et de fournir des services de base pour créer les conditions nécessaires à la mise en œuvre des droits économiques, sociaux et culturels » et affirmé que « </w:t>
      </w:r>
      <w:r w:rsidRPr="00E72418">
        <w:rPr>
          <w:rFonts w:cs="Times New Roman"/>
          <w:szCs w:val="20"/>
        </w:rPr>
        <w:t xml:space="preserve">le fardeau de la dette vient encore aggraver les nombreux problèmes auxquels doivent faire face les pays en développement, contribue à l’extrême pauvreté, constitue un obstacle au développement humain durable et, par conséquent, compromet gravement la réalisation de tous les droits de l’homme </w:t>
      </w:r>
      <w:r w:rsidRPr="00E72418">
        <w:t xml:space="preserve">» (Conseil des droits de l’homme des Nations Unies, </w:t>
      </w:r>
      <w:r w:rsidRPr="00E72418">
        <w:rPr>
          <w:i/>
        </w:rPr>
        <w:t>Les effets de la dette extérieure et des obligations financières internationales connexes des États sur le plein exercice de tous les droits de l’homme, particulièrement des droits économiques, sociaux et culturels</w:t>
      </w:r>
      <w:r w:rsidRPr="00E72418">
        <w:t>, 5 juillet 2012, A/HRC/RES/20/10, p. 2).</w:t>
      </w:r>
    </w:p>
  </w:footnote>
  <w:footnote w:id="163">
    <w:p w14:paraId="380E9E27" w14:textId="462C518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Assemblée générale des Nations Unies, </w:t>
      </w:r>
      <w:r w:rsidRPr="00E72418">
        <w:rPr>
          <w:rFonts w:ascii="Times New Roman" w:hAnsi="Times New Roman" w:cs="Times New Roman"/>
          <w:i/>
          <w:szCs w:val="24"/>
        </w:rPr>
        <w:t>Effets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l’homme </w:t>
      </w:r>
      <w:r w:rsidRPr="00E72418">
        <w:rPr>
          <w:rFonts w:ascii="Times New Roman" w:hAnsi="Times New Roman" w:cs="Times New Roman"/>
          <w:b/>
          <w:i/>
          <w:szCs w:val="24"/>
        </w:rPr>
        <w:t xml:space="preserve">– </w:t>
      </w:r>
      <w:r w:rsidRPr="00E72418">
        <w:rPr>
          <w:rFonts w:ascii="Times New Roman" w:hAnsi="Times New Roman" w:cs="Times New Roman"/>
          <w:bCs/>
          <w:i/>
          <w:szCs w:val="24"/>
        </w:rPr>
        <w:t>Rapport de l’Expert indépendant sur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5 août 2016, A/71/305</w:t>
      </w:r>
      <w:r w:rsidRPr="00E72418">
        <w:t>, p. 22.</w:t>
      </w:r>
    </w:p>
  </w:footnote>
  <w:footnote w:id="164">
    <w:p w14:paraId="23D602CE" w14:textId="32B0159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xml:space="preserve">, principe 17. Plus généralement, il est insisté sur la primauté des droits de l’homme et sur le fait que les États </w:t>
      </w:r>
      <w:r w:rsidRPr="00E72418">
        <w:t>ont l’obligation de respecter, protéger et réaliser ces droits, le principe étant posé qu’ « </w:t>
      </w:r>
      <w:r w:rsidRPr="00E72418">
        <w:rPr>
          <w:rFonts w:ascii="Times New Roman" w:hAnsi="Times New Roman" w:cs="Times New Roman"/>
          <w:szCs w:val="24"/>
        </w:rPr>
        <w:t>[i]</w:t>
      </w:r>
      <w:r w:rsidRPr="00E72418">
        <w:t>ls devraient veiller à ce que toutes leurs activités concernant leurs décisions de prêter et d’emprunter, celles des institutions internationales ou nationales, publiques ou privées, auxquelles ils appartiennent ou dans lesquelles ils ont un intérêt, la négociation et l’application des accords de prêt et autres instruments relatifs à la dette, l’utilisation des fonds prêtés, les remboursements au titre de la dette, la renégociation et la restructuration de la dette extérieure et les mesures d’allègement de la dette, le cas échéant, n’aillent pas à l’encontre de cette obligation » (</w:t>
      </w:r>
      <w:r w:rsidRPr="00E72418">
        <w:rPr>
          <w:i/>
        </w:rPr>
        <w:t>ibid</w:t>
      </w:r>
      <w:r w:rsidRPr="00E72418">
        <w:t>., principe 6).</w:t>
      </w:r>
    </w:p>
  </w:footnote>
  <w:footnote w:id="165">
    <w:p w14:paraId="64365AFF" w14:textId="4F508BEA"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N. Jagers</w:t>
      </w:r>
      <w:r w:rsidRPr="00E72418">
        <w:rPr>
          <w:szCs w:val="20"/>
          <w:lang w:val="en-US"/>
        </w:rPr>
        <w:t xml:space="preserve">, « Sovereign Financing and the Human Rights Responsibilities of Private Creditors », </w:t>
      </w:r>
      <w:r w:rsidRPr="00E72418">
        <w:rPr>
          <w:i/>
          <w:szCs w:val="20"/>
          <w:lang w:val="en-US"/>
        </w:rPr>
        <w:t>op. cit.</w:t>
      </w:r>
      <w:r w:rsidRPr="00E72418">
        <w:rPr>
          <w:szCs w:val="20"/>
          <w:lang w:val="en-US"/>
        </w:rPr>
        <w:t xml:space="preserve">, p. 181. </w:t>
      </w:r>
      <w:r w:rsidRPr="00E72418">
        <w:rPr>
          <w:szCs w:val="20"/>
        </w:rPr>
        <w:t>L’auteur donne l’exemple de l’effet sur l’octroi de l’aide juridique permettant l’accès à la justice.</w:t>
      </w:r>
    </w:p>
  </w:footnote>
  <w:footnote w:id="166">
    <w:p w14:paraId="144DD164" w14:textId="3717608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 3.</w:t>
      </w:r>
    </w:p>
  </w:footnote>
  <w:footnote w:id="167">
    <w:p w14:paraId="08669A43" w14:textId="0A83179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10. Le rapport remarque que ces rares ressources pourraient autrement être utilisées pour financer les services publics fondamentaux de l’éducation, de la santé, de l’eau, de l’assainissement et du logement ainsi que des infrastructures.</w:t>
      </w:r>
    </w:p>
  </w:footnote>
  <w:footnote w:id="168">
    <w:p w14:paraId="6338A0E7" w14:textId="0D4D2DAE" w:rsidR="0030147D" w:rsidRPr="00E72418" w:rsidRDefault="0030147D" w:rsidP="00AA36D1">
      <w:pPr>
        <w:pStyle w:val="Sansinterligne"/>
        <w:rPr>
          <w:szCs w:val="20"/>
        </w:rPr>
      </w:pPr>
      <w:r w:rsidRPr="00E72418">
        <w:rPr>
          <w:rStyle w:val="Appelnotedebasdep"/>
          <w:szCs w:val="20"/>
        </w:rPr>
        <w:footnoteRef/>
      </w:r>
      <w:r w:rsidRPr="00E72418">
        <w:rPr>
          <w:szCs w:val="20"/>
        </w:rPr>
        <w:t xml:space="preserve"> Le Comité consultatif du Conseil des droits de l’homme donne, dans l’un de ses rapports, l’exemple de l’</w:t>
      </w:r>
      <w:r w:rsidRPr="00E72418">
        <w:rPr>
          <w:szCs w:val="20"/>
          <w:lang w:eastAsia="fr-BE"/>
        </w:rPr>
        <w:t>É</w:t>
      </w:r>
      <w:r w:rsidRPr="00E72418">
        <w:rPr>
          <w:szCs w:val="20"/>
        </w:rPr>
        <w:t>quateur devant consacrer environ quarante pour cent de son budget national annuel au service de sa dette extérieure. Est également donné l’exemple évocateur du Malawi qui, en 2002, dut puiser dans sa réserve alimentaire nationale pour vendre du maïs afin de collecter des fonds nécessaires au remboursement de ses emprunts. Ceci eut un impact considérable sur plus de la moitié de la population qui, après une mauvaise récolte cette même année, subit une grave pénurie alimentaire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pp. 15 et 16). L’on peut encore donner l’exemple du Venezuela dont le Gouvernement continua à honorer pleinement ses obligations financières malgré l’absence de nourriture et de médicaments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3).</w:t>
      </w:r>
    </w:p>
  </w:footnote>
  <w:footnote w:id="169">
    <w:p w14:paraId="0E81B056" w14:textId="14AADCB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 An analysis of Argentina’s 2001 default resolution », CIGI Papers, n° 110, octobre 2016, p. 4. Pour Cecilia Nahon, « [d]ebt is sustainable when compatible with inclusive economic growth ; without economic growth, debt becomes unsustainable » (</w:t>
      </w:r>
      <w:r w:rsidRPr="00E72418">
        <w:rPr>
          <w:smallCaps/>
          <w:szCs w:val="20"/>
          <w:lang w:val="en-US"/>
        </w:rPr>
        <w:t>C. Nahon</w:t>
      </w:r>
      <w:r w:rsidRPr="00E72418">
        <w:rPr>
          <w:szCs w:val="20"/>
          <w:lang w:val="en-US"/>
        </w:rPr>
        <w:t xml:space="preserve">, « The case against the “vulture funds” », </w:t>
      </w:r>
      <w:r w:rsidRPr="00E72418">
        <w:rPr>
          <w:i/>
          <w:szCs w:val="20"/>
          <w:lang w:val="en-US"/>
        </w:rPr>
        <w:t>Americas Quarterly</w:t>
      </w:r>
      <w:r w:rsidRPr="00E72418">
        <w:rPr>
          <w:szCs w:val="20"/>
          <w:lang w:val="en-US"/>
        </w:rPr>
        <w:t>, 2015, p. 111).</w:t>
      </w:r>
    </w:p>
  </w:footnote>
  <w:footnote w:id="170">
    <w:p w14:paraId="205694BB" w14:textId="7F3CDD4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p. 192.</w:t>
      </w:r>
    </w:p>
  </w:footnote>
  <w:footnote w:id="171">
    <w:p w14:paraId="540B6887" w14:textId="6E89242C" w:rsidR="0030147D" w:rsidRPr="00E72418" w:rsidRDefault="0030147D" w:rsidP="00B83A85">
      <w:pPr>
        <w:pStyle w:val="Sansinterligne"/>
      </w:pPr>
      <w:r w:rsidRPr="00E72418">
        <w:rPr>
          <w:rStyle w:val="Appelnotedebasdep"/>
        </w:rPr>
        <w:footnoteRef/>
      </w:r>
      <w:r w:rsidRPr="00E72418">
        <w:t xml:space="preserve"> Pour une analyse historique de l’émergence de la soutenabilité en tant que principe de droit international public, voyez </w:t>
      </w:r>
      <w:r w:rsidRPr="00E72418">
        <w:rPr>
          <w:rStyle w:val="Titre5Car"/>
          <w:rFonts w:ascii="Times" w:eastAsiaTheme="minorHAnsi" w:hAnsi="Times" w:cstheme="minorBidi"/>
          <w:color w:val="auto"/>
          <w:szCs w:val="20"/>
          <w:lang w:val="en-US"/>
        </w:rPr>
        <w:t xml:space="preserve">J. </w:t>
      </w:r>
      <w:r w:rsidRPr="00E72418">
        <w:rPr>
          <w:rFonts w:cs="Times New Roman"/>
          <w:smallCaps/>
          <w:szCs w:val="24"/>
        </w:rPr>
        <w:t xml:space="preserve">Bohoslavsky </w:t>
      </w:r>
      <w:r w:rsidRPr="00E72418">
        <w:rPr>
          <w:rFonts w:cs="Times New Roman"/>
          <w:szCs w:val="24"/>
        </w:rPr>
        <w:t xml:space="preserve">et </w:t>
      </w:r>
      <w:r w:rsidRPr="00E72418">
        <w:rPr>
          <w:rFonts w:cs="Times New Roman"/>
          <w:smallCaps/>
          <w:szCs w:val="24"/>
        </w:rPr>
        <w:t>M.</w:t>
      </w:r>
      <w:r w:rsidRPr="00E72418">
        <w:rPr>
          <w:rFonts w:cs="Times New Roman"/>
          <w:szCs w:val="24"/>
        </w:rPr>
        <w:t xml:space="preserve"> </w:t>
      </w:r>
      <w:r w:rsidRPr="00E72418">
        <w:rPr>
          <w:rFonts w:cs="Times New Roman"/>
          <w:smallCaps/>
          <w:szCs w:val="24"/>
        </w:rPr>
        <w:t>Goldmann, « </w:t>
      </w:r>
      <w:r w:rsidRPr="00E72418">
        <w:t xml:space="preserve">An Incremental Approach to Sovereign Debt Restructuring: Sovereign Debt Sustainability as a Principle of Public International Law </w:t>
      </w:r>
      <w:r w:rsidRPr="00E72418">
        <w:rPr>
          <w:rFonts w:cs="Times New Roman"/>
          <w:szCs w:val="24"/>
        </w:rPr>
        <w:t xml:space="preserve">», </w:t>
      </w:r>
      <w:r w:rsidRPr="00E72418">
        <w:rPr>
          <w:rFonts w:ascii="Times New Roman" w:hAnsi="Times New Roman" w:cs="Times New Roman"/>
          <w:i/>
          <w:szCs w:val="20"/>
        </w:rPr>
        <w:t>Yale J. Int. Law</w:t>
      </w:r>
      <w:r w:rsidRPr="00E72418">
        <w:rPr>
          <w:rFonts w:cs="Times New Roman"/>
          <w:szCs w:val="24"/>
        </w:rPr>
        <w:t xml:space="preserve">, 2016, pp 17 à 27. Pour les auteurs, le principe n’est pas en tant que tel remis en question par l’existence de contentieux liés aux restructurations dont il sera question </w:t>
      </w:r>
      <w:r w:rsidRPr="00E72418">
        <w:rPr>
          <w:rFonts w:cs="Times New Roman"/>
          <w:i/>
          <w:szCs w:val="24"/>
        </w:rPr>
        <w:t>infra</w:t>
      </w:r>
      <w:r w:rsidRPr="00E72418">
        <w:rPr>
          <w:rFonts w:cs="Times New Roman"/>
          <w:szCs w:val="24"/>
        </w:rPr>
        <w:t xml:space="preserve"> n</w:t>
      </w:r>
      <w:r w:rsidRPr="00E72418">
        <w:rPr>
          <w:rFonts w:cs="Times New Roman"/>
          <w:szCs w:val="24"/>
          <w:vertAlign w:val="superscript"/>
        </w:rPr>
        <w:t>os</w:t>
      </w:r>
      <w:r w:rsidRPr="00E72418">
        <w:rPr>
          <w:rFonts w:cs="Times New Roman"/>
          <w:szCs w:val="24"/>
        </w:rPr>
        <w:t xml:space="preserve"> 75 et suiv. (</w:t>
      </w:r>
      <w:r w:rsidRPr="00E72418">
        <w:rPr>
          <w:rFonts w:cs="Times New Roman"/>
          <w:i/>
          <w:szCs w:val="24"/>
        </w:rPr>
        <w:t>ibid.</w:t>
      </w:r>
      <w:r w:rsidRPr="00E72418">
        <w:rPr>
          <w:rFonts w:cs="Times New Roman"/>
          <w:szCs w:val="24"/>
        </w:rPr>
        <w:t xml:space="preserve">, p. 33 : </w:t>
      </w:r>
      <w:r w:rsidRPr="00E72418">
        <w:rPr>
          <w:rFonts w:cs="Times New Roman"/>
          <w:smallCaps/>
          <w:szCs w:val="24"/>
        </w:rPr>
        <w:t xml:space="preserve">« </w:t>
      </w:r>
      <w:r w:rsidRPr="00E72418">
        <w:rPr>
          <w:rFonts w:cs="Times New Roman"/>
          <w:szCs w:val="24"/>
        </w:rPr>
        <w:t>while it cannot be excluded that the principle of debt sustainability will be modified, attenuated, or even fade someday, the challenges constituted by holdout litigation do not give reason to doubt its existence at present »).</w:t>
      </w:r>
    </w:p>
  </w:footnote>
  <w:footnote w:id="172">
    <w:p w14:paraId="34949A55" w14:textId="360FE20C" w:rsidR="0030147D" w:rsidRPr="00E72418" w:rsidRDefault="0030147D" w:rsidP="007C57EF">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Assemblée générale des Nations Unies, </w:t>
      </w:r>
      <w:r w:rsidRPr="00E72418">
        <w:rPr>
          <w:rFonts w:ascii="Times New Roman" w:hAnsi="Times New Roman" w:cs="Times New Roman"/>
          <w:i/>
          <w:szCs w:val="20"/>
        </w:rPr>
        <w:t>Déclaration du Millénaire</w:t>
      </w:r>
      <w:r w:rsidRPr="00E72418">
        <w:rPr>
          <w:rFonts w:ascii="Times New Roman" w:hAnsi="Times New Roman" w:cs="Times New Roman"/>
          <w:szCs w:val="20"/>
        </w:rPr>
        <w:t>, 8 septembre 2000, A/RES/55/2, paragraphe 16.</w:t>
      </w:r>
    </w:p>
  </w:footnote>
  <w:footnote w:id="173">
    <w:p w14:paraId="2C83BCEE" w14:textId="5ABCD925" w:rsidR="0030147D" w:rsidRPr="00E72418" w:rsidRDefault="0030147D" w:rsidP="005B2D51">
      <w:pPr>
        <w:pStyle w:val="Sansinterligne"/>
      </w:pPr>
      <w:r w:rsidRPr="00E72418">
        <w:rPr>
          <w:rStyle w:val="Appelnotedebasdep"/>
        </w:rPr>
        <w:footnoteRef/>
      </w:r>
      <w:r>
        <w:t xml:space="preserve"> </w:t>
      </w:r>
      <w:r w:rsidRPr="00E72418">
        <w:t xml:space="preserve">Assemblée générale des Nations Unies, </w:t>
      </w:r>
      <w:r w:rsidRPr="00E72418">
        <w:rPr>
          <w:i/>
        </w:rPr>
        <w:t>Résolution sur la soutenabilité de la dette extérieure et le développement</w:t>
      </w:r>
      <w:r w:rsidRPr="00E72418">
        <w:t>, 20 décembre 2010, A/RES/65/144, p. 2.</w:t>
      </w:r>
    </w:p>
  </w:footnote>
  <w:footnote w:id="174">
    <w:p w14:paraId="43F184E6" w14:textId="48991A32" w:rsidR="0030147D" w:rsidRPr="00E72418" w:rsidRDefault="0030147D" w:rsidP="007C57EF">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Assemblée générale des Nations Unies, </w:t>
      </w:r>
      <w:r w:rsidRPr="00E72418">
        <w:rPr>
          <w:rFonts w:ascii="Times New Roman" w:hAnsi="Times New Roman" w:cs="Times New Roman"/>
          <w:i/>
          <w:szCs w:val="20"/>
        </w:rPr>
        <w:t>Principes fondamentaux des opérations de restructuration de la dette souveraine</w:t>
      </w:r>
      <w:r w:rsidRPr="00E72418">
        <w:rPr>
          <w:rFonts w:ascii="Times New Roman" w:hAnsi="Times New Roman" w:cs="Times New Roman"/>
          <w:szCs w:val="20"/>
        </w:rPr>
        <w:t xml:space="preserve">, 10 septembre 2015, A/RES/69/319, p. 2. L’importance de la viabilité est encore rappelée par l’Assemblée générale dans d’autres textes. Ainsi, par exemple, il y est encore fait référence dans son programme de développement durable à l’horizon 2030 : « [n]ous considérons qu’il est nécessaire d’aider les pays en développement à rendre leur dette viable à long terme au moyen de politiques concertées visant à faciliter le financement de la dette, son allègement, sa restructuration ou sa gestion appropriée, selon le cas » (Assemblée générale des Nations Unies, </w:t>
      </w:r>
      <w:r w:rsidRPr="00E72418">
        <w:rPr>
          <w:rFonts w:ascii="Times New Roman" w:hAnsi="Times New Roman" w:cs="Times New Roman"/>
          <w:i/>
          <w:szCs w:val="20"/>
        </w:rPr>
        <w:t>Transformer notre monde : le Programme de développement durable à l’horizon 2030</w:t>
      </w:r>
      <w:r w:rsidRPr="00E72418">
        <w:rPr>
          <w:rFonts w:ascii="Times New Roman" w:hAnsi="Times New Roman" w:cs="Times New Roman"/>
          <w:szCs w:val="20"/>
        </w:rPr>
        <w:t>, 25 septembre 2015, A/RES/70/1, p. 32, paragraphe 69). Dans le même ordre d’idées, au niveau européen, il a récemment été déclaré que « sustainable development goals to be an absolute priority for its 2030 strategy » (</w:t>
      </w:r>
      <w:r w:rsidRPr="00E72418">
        <w:rPr>
          <w:rStyle w:val="Titre5Car"/>
          <w:rFonts w:ascii="Times" w:eastAsiaTheme="minorHAnsi" w:hAnsi="Times" w:cstheme="minorBidi"/>
          <w:color w:val="auto"/>
          <w:szCs w:val="20"/>
          <w:lang w:val="en-US"/>
        </w:rPr>
        <w:t>Comité sur le développement du Parlement européen</w:t>
      </w:r>
      <w:r w:rsidRPr="00E72418">
        <w:rPr>
          <w:rStyle w:val="Titre5Car"/>
          <w:rFonts w:ascii="Times New Roman" w:eastAsiaTheme="minorHAnsi" w:hAnsi="Times New Roman" w:cs="Times New Roman"/>
          <w:color w:val="auto"/>
          <w:szCs w:val="20"/>
          <w:lang w:val="en-US"/>
        </w:rPr>
        <w:t xml:space="preserve">, </w:t>
      </w:r>
      <w:r w:rsidRPr="00E72418">
        <w:rPr>
          <w:rStyle w:val="Titre5Car"/>
          <w:rFonts w:ascii="Times New Roman" w:eastAsiaTheme="minorHAnsi" w:hAnsi="Times New Roman" w:cs="Times New Roman"/>
          <w:i/>
          <w:color w:val="auto"/>
          <w:szCs w:val="20"/>
          <w:lang w:val="en-US"/>
        </w:rPr>
        <w:t>Report on enhancing developing countries’ debt sustainability (</w:t>
      </w:r>
      <w:r w:rsidRPr="00E72418">
        <w:rPr>
          <w:rFonts w:ascii="Times New Roman" w:hAnsi="Times New Roman" w:cs="Times New Roman"/>
          <w:i/>
          <w:szCs w:val="20"/>
          <w:lang w:val="en-US"/>
        </w:rPr>
        <w:t>2016/2241(INI))</w:t>
      </w:r>
      <w:r w:rsidRPr="00E72418">
        <w:rPr>
          <w:rFonts w:ascii="Times New Roman" w:hAnsi="Times New Roman" w:cs="Times New Roman"/>
          <w:szCs w:val="20"/>
          <w:lang w:val="en-US"/>
        </w:rPr>
        <w:t>, 28 mars 2018, A8-0129/2018, p. 12).</w:t>
      </w:r>
    </w:p>
  </w:footnote>
  <w:footnote w:id="175">
    <w:p w14:paraId="2384331D" w14:textId="77777777" w:rsidR="0030147D" w:rsidRPr="00E72418" w:rsidRDefault="0030147D" w:rsidP="007C57EF">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Conférence des Nations Unies sur le commerce et le développement, </w:t>
      </w:r>
      <w:r w:rsidRPr="00E72418">
        <w:rPr>
          <w:rFonts w:ascii="Times New Roman" w:hAnsi="Times New Roman" w:cs="Times New Roman"/>
          <w:i/>
          <w:szCs w:val="20"/>
        </w:rPr>
        <w:t>Roadmap and Guide on Sovereign Debt Workouts</w:t>
      </w:r>
      <w:r w:rsidRPr="00E72418">
        <w:rPr>
          <w:rFonts w:ascii="Times New Roman" w:hAnsi="Times New Roman" w:cs="Times New Roman"/>
          <w:szCs w:val="20"/>
        </w:rPr>
        <w:t>, avril 2015, p. 24.</w:t>
      </w:r>
    </w:p>
  </w:footnote>
  <w:footnote w:id="176">
    <w:p w14:paraId="21A9A4EC" w14:textId="41A936BA" w:rsidR="0030147D" w:rsidRPr="00E72418" w:rsidRDefault="0030147D" w:rsidP="007C57EF">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L. Sourbron</w:t>
      </w:r>
      <w:r w:rsidRPr="00E72418">
        <w:rPr>
          <w:rFonts w:ascii="Times New Roman" w:hAnsi="Times New Roman" w:cs="Times New Roman"/>
          <w:szCs w:val="20"/>
          <w:lang w:val="en-US"/>
        </w:rPr>
        <w:t xml:space="preserve"> et </w:t>
      </w:r>
      <w:r w:rsidRPr="00E72418">
        <w:rPr>
          <w:rFonts w:ascii="Times New Roman" w:hAnsi="Times New Roman" w:cs="Times New Roman"/>
          <w:smallCaps/>
          <w:szCs w:val="20"/>
          <w:lang w:val="en-US"/>
        </w:rPr>
        <w:t>L. Vereeck</w:t>
      </w:r>
      <w:r w:rsidRPr="00E72418">
        <w:rPr>
          <w:rFonts w:ascii="Times New Roman" w:hAnsi="Times New Roman" w:cs="Times New Roman"/>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xml:space="preserve">, pp. 7 et 12. </w:t>
      </w:r>
      <w:r w:rsidRPr="00E72418">
        <w:rPr>
          <w:rFonts w:ascii="Times New Roman" w:hAnsi="Times New Roman" w:cs="Times New Roman"/>
          <w:szCs w:val="20"/>
        </w:rPr>
        <w:t xml:space="preserve">Ainsi, la loi épingle la situation où </w:t>
      </w:r>
      <w:r w:rsidRPr="00E72418">
        <w:rPr>
          <w:rFonts w:ascii="Times New Roman" w:hAnsi="Times New Roman" w:cs="Times New Roman"/>
          <w:bCs/>
          <w:szCs w:val="20"/>
        </w:rPr>
        <w:t>le remboursement intégral des sommes réclamées par le créancier aurait un impact défavorable identifiable sur les finances publiques de l’</w:t>
      </w:r>
      <w:r w:rsidRPr="00E72418">
        <w:rPr>
          <w:rFonts w:ascii="Times New Roman" w:hAnsi="Times New Roman" w:cs="Times New Roman"/>
          <w:szCs w:val="20"/>
          <w:lang w:eastAsia="fr-BE"/>
        </w:rPr>
        <w:t>É</w:t>
      </w:r>
      <w:r w:rsidRPr="00E72418">
        <w:rPr>
          <w:rFonts w:ascii="Times New Roman" w:hAnsi="Times New Roman" w:cs="Times New Roman"/>
          <w:bCs/>
          <w:szCs w:val="20"/>
        </w:rPr>
        <w:t>tat débiteur et serait susceptible de compromettre le développement socio-économique de sa population (</w:t>
      </w:r>
      <w:r w:rsidRPr="00E72418">
        <w:rPr>
          <w:rFonts w:ascii="Times New Roman" w:hAnsi="Times New Roman" w:cs="Times New Roman"/>
          <w:szCs w:val="20"/>
          <w:lang w:val="en-US"/>
        </w:rPr>
        <w:t xml:space="preserve">sur cette législation, voyez </w:t>
      </w:r>
      <w:r w:rsidRPr="00E72418">
        <w:rPr>
          <w:rFonts w:ascii="Times New Roman" w:hAnsi="Times New Roman" w:cs="Times New Roman"/>
          <w:i/>
          <w:szCs w:val="20"/>
          <w:lang w:val="en-US"/>
        </w:rPr>
        <w:t xml:space="preserve">infra </w:t>
      </w:r>
      <w:r w:rsidRPr="00E72418">
        <w:rPr>
          <w:rFonts w:ascii="Times New Roman" w:hAnsi="Times New Roman" w:cs="Times New Roman"/>
          <w:szCs w:val="20"/>
          <w:lang w:val="en-US"/>
        </w:rPr>
        <w:t>n</w:t>
      </w:r>
      <w:r w:rsidRPr="00E72418">
        <w:rPr>
          <w:rFonts w:ascii="Times New Roman" w:hAnsi="Times New Roman" w:cs="Times New Roman"/>
          <w:szCs w:val="20"/>
          <w:vertAlign w:val="superscript"/>
          <w:lang w:val="en-US"/>
        </w:rPr>
        <w:t>os</w:t>
      </w:r>
      <w:r w:rsidRPr="00E72418">
        <w:rPr>
          <w:rFonts w:ascii="Times New Roman" w:hAnsi="Times New Roman" w:cs="Times New Roman"/>
          <w:szCs w:val="20"/>
          <w:lang w:val="en-US"/>
        </w:rPr>
        <w:t xml:space="preserve"> 324 et suiv.)</w:t>
      </w:r>
      <w:r w:rsidRPr="00E72418">
        <w:rPr>
          <w:rFonts w:ascii="Times New Roman" w:hAnsi="Times New Roman" w:cs="Times New Roman"/>
          <w:szCs w:val="20"/>
        </w:rPr>
        <w:t>.</w:t>
      </w:r>
    </w:p>
  </w:footnote>
  <w:footnote w:id="177">
    <w:p w14:paraId="0428ACDB" w14:textId="6FC9E077" w:rsidR="0030147D" w:rsidRPr="00E72418" w:rsidRDefault="0030147D" w:rsidP="007C57EF">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S. Schwarcz</w:t>
      </w:r>
      <w:r w:rsidRPr="00E72418">
        <w:rPr>
          <w:rFonts w:ascii="Times New Roman" w:hAnsi="Times New Roman" w:cs="Times New Roman"/>
          <w:szCs w:val="20"/>
          <w:lang w:val="en-US"/>
        </w:rPr>
        <w:t xml:space="preserve">, « Sovereign Debt Restructuring: A Model-law Approach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p. 359.</w:t>
      </w:r>
    </w:p>
  </w:footnote>
  <w:footnote w:id="178">
    <w:p w14:paraId="277C0D1A" w14:textId="0C6C8AAF" w:rsidR="0030147D" w:rsidRPr="00E72418" w:rsidRDefault="0030147D" w:rsidP="00B929D2">
      <w:pPr>
        <w:pStyle w:val="Sansinterligne"/>
      </w:pPr>
      <w:r w:rsidRPr="00E72418">
        <w:rPr>
          <w:rStyle w:val="Appelnotedebasdep"/>
          <w:rFonts w:ascii="Times New Roman" w:hAnsi="Times New Roman" w:cs="Times New Roman"/>
          <w:szCs w:val="20"/>
        </w:rPr>
        <w:footnoteRef/>
      </w:r>
      <w:r w:rsidRPr="00E72418">
        <w:t xml:space="preserve"> </w:t>
      </w:r>
      <w:r w:rsidRPr="00E72418">
        <w:rPr>
          <w:caps/>
        </w:rPr>
        <w:t>à</w:t>
      </w:r>
      <w:r w:rsidRPr="00E72418">
        <w:t xml:space="preserve"> la différence d’une entreprise privée où l’on peut généralement retenir qu’elle est en difficulté dès lors que la valeur de ses dettes dépasse la valeur de ses avoirs, cette comparaison est inopérante à l’endroit de l’évaluation de la situation de la dette d’un État. </w:t>
      </w:r>
      <w:r w:rsidRPr="00E72418">
        <w:rPr>
          <w:lang w:val="en-US"/>
        </w:rPr>
        <w:t>Comme le relève Sean Hagan, « [b]y virtue of its sovereign authority and, in particular, its fiscal powers, a country’s assets are theoretically inexhaustible. For this reason, an assessment of debt sustainability requires not only a judgment as to whether, for example, the projected primary fiscal surplus is sufficient to cover forthcoming debt payments, but also whether, as a political matter, such a surplus can actually be achieved and sustained » (</w:t>
      </w:r>
      <w:r w:rsidRPr="00E72418">
        <w:rPr>
          <w:smallCaps/>
          <w:lang w:val="en-US"/>
        </w:rPr>
        <w:t>S. Hagan</w:t>
      </w:r>
      <w:r w:rsidRPr="00E72418">
        <w:rPr>
          <w:lang w:val="en-US"/>
        </w:rPr>
        <w:t xml:space="preserve">, « Designing a Legal Framework to Restructure Sovereign Debt », </w:t>
      </w:r>
      <w:r w:rsidRPr="00E72418">
        <w:rPr>
          <w:i/>
        </w:rPr>
        <w:t>Geo. J. Int. Law</w:t>
      </w:r>
      <w:r w:rsidRPr="00E72418">
        <w:rPr>
          <w:lang w:val="en-US"/>
        </w:rPr>
        <w:t>, 2005, p. 307).</w:t>
      </w:r>
    </w:p>
  </w:footnote>
  <w:footnote w:id="179">
    <w:p w14:paraId="780A9115" w14:textId="40FED1C7" w:rsidR="0030147D" w:rsidRPr="00E72418" w:rsidRDefault="0030147D" w:rsidP="00F735C0">
      <w:pPr>
        <w:pStyle w:val="Sansinterligne"/>
      </w:pPr>
      <w:r w:rsidRPr="00E72418">
        <w:rPr>
          <w:rStyle w:val="Appelnotedebasdep"/>
        </w:rPr>
        <w:footnoteRef/>
      </w:r>
      <w:r w:rsidRPr="00E72418">
        <w:t xml:space="preserve"> Voyez </w:t>
      </w:r>
      <w:hyperlink r:id="rId5" w:history="1">
        <w:r w:rsidRPr="00E72418">
          <w:rPr>
            <w:rStyle w:val="Lienhypertexte"/>
            <w:color w:val="auto"/>
            <w:u w:val="none"/>
          </w:rPr>
          <w:t>www.imf.org/external/pubs/ft/dsa/</w:t>
        </w:r>
      </w:hyperlink>
      <w:r w:rsidRPr="00E72418">
        <w:t xml:space="preserve"> (consultation le 17 octobre 2019).</w:t>
      </w:r>
    </w:p>
  </w:footnote>
  <w:footnote w:id="180">
    <w:p w14:paraId="5D0F531E" w14:textId="150A1094" w:rsidR="0030147D" w:rsidRPr="00E72418" w:rsidRDefault="0030147D" w:rsidP="007C57EF">
      <w:pPr>
        <w:pStyle w:val="Sansinterligne"/>
        <w:rPr>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M. Megliani</w:t>
      </w:r>
      <w:r w:rsidRPr="00E72418">
        <w:rPr>
          <w:rFonts w:ascii="Times New Roman" w:hAnsi="Times New Roman" w:cs="Times New Roman"/>
          <w:szCs w:val="20"/>
          <w:lang w:val="en-US"/>
        </w:rPr>
        <w:t xml:space="preserve">, « For the Orphan, the Widow, the Poor: How to Curb Enforcing by Vulture Funds against the Highly Indebted Poor Countries », </w:t>
      </w:r>
      <w:r w:rsidRPr="00E72418">
        <w:rPr>
          <w:i/>
          <w:szCs w:val="20"/>
          <w:lang w:val="en-US"/>
        </w:rPr>
        <w:t>op. cit.</w:t>
      </w:r>
      <w:r w:rsidRPr="00E72418">
        <w:rPr>
          <w:rFonts w:ascii="Times New Roman" w:hAnsi="Times New Roman" w:cs="Times New Roman"/>
          <w:szCs w:val="20"/>
          <w:lang w:val="en-US"/>
        </w:rPr>
        <w:t xml:space="preserve">, p. 370. </w:t>
      </w:r>
      <w:r w:rsidRPr="00E72418">
        <w:rPr>
          <w:rFonts w:ascii="Times New Roman" w:hAnsi="Times New Roman" w:cs="Times New Roman"/>
          <w:szCs w:val="20"/>
        </w:rPr>
        <w:t xml:space="preserve">C’est notamment le cas dans l’Initiative Pays Pauvres Très Endettés dont question </w:t>
      </w:r>
      <w:r w:rsidRPr="00E72418">
        <w:rPr>
          <w:rFonts w:ascii="Times New Roman" w:hAnsi="Times New Roman" w:cs="Times New Roman"/>
          <w:i/>
          <w:szCs w:val="20"/>
        </w:rPr>
        <w:t>infra</w:t>
      </w:r>
      <w:r w:rsidRPr="00E72418">
        <w:rPr>
          <w:rFonts w:ascii="Times New Roman" w:hAnsi="Times New Roman" w:cs="Times New Roman"/>
          <w:szCs w:val="20"/>
        </w:rPr>
        <w:t xml:space="preserve">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41 et suiv.) faisant souhaiter à Jeffrey Sachs qu’ « [e]ach [Heavily Indebted Poor Country] should be encouraged </w:t>
      </w:r>
      <w:r w:rsidRPr="00E72418">
        <w:rPr>
          <w:b/>
          <w:szCs w:val="20"/>
        </w:rPr>
        <w:t xml:space="preserve">– </w:t>
      </w:r>
      <w:r w:rsidRPr="00E72418">
        <w:rPr>
          <w:rFonts w:ascii="Times New Roman" w:hAnsi="Times New Roman" w:cs="Times New Roman"/>
          <w:szCs w:val="20"/>
        </w:rPr>
        <w:t xml:space="preserve">indeed, required, in order to obtain comprehensive debt cancellation </w:t>
      </w:r>
      <w:r w:rsidRPr="00E72418">
        <w:rPr>
          <w:b/>
          <w:szCs w:val="20"/>
        </w:rPr>
        <w:t xml:space="preserve">– </w:t>
      </w:r>
      <w:r w:rsidRPr="00E72418">
        <w:rPr>
          <w:rFonts w:ascii="Times New Roman" w:hAnsi="Times New Roman" w:cs="Times New Roman"/>
          <w:szCs w:val="20"/>
        </w:rPr>
        <w:t xml:space="preserve">to prepare medium-term plans for scaling up its investments in health, education, and basic infrastructure […] » </w:t>
      </w:r>
      <w:r w:rsidRPr="00E72418">
        <w:rPr>
          <w:rFonts w:ascii="Times New Roman" w:hAnsi="Times New Roman" w:cs="Times New Roman"/>
          <w:szCs w:val="20"/>
          <w:lang w:val="en-US"/>
        </w:rPr>
        <w:t>(</w:t>
      </w:r>
      <w:r w:rsidRPr="00E72418">
        <w:rPr>
          <w:rStyle w:val="Titre5Car"/>
          <w:rFonts w:ascii="Times New Roman" w:eastAsiaTheme="minorHAnsi" w:hAnsi="Times New Roman" w:cs="Times New Roman"/>
          <w:smallCaps/>
          <w:color w:val="auto"/>
          <w:szCs w:val="20"/>
          <w:lang w:val="en-US"/>
        </w:rPr>
        <w:t>J. Sachs</w:t>
      </w:r>
      <w:r w:rsidRPr="00E72418">
        <w:rPr>
          <w:rStyle w:val="Titre5Car"/>
          <w:rFonts w:ascii="Times New Roman" w:eastAsiaTheme="minorHAnsi" w:hAnsi="Times New Roman" w:cs="Times New Roman"/>
          <w:color w:val="auto"/>
          <w:szCs w:val="20"/>
          <w:lang w:val="en-US"/>
        </w:rPr>
        <w:t xml:space="preserve">, « Resolving the Debt Crisis of the Low Development Countries », </w:t>
      </w:r>
      <w:r w:rsidRPr="00E72418">
        <w:rPr>
          <w:rStyle w:val="Titre5Car"/>
          <w:rFonts w:ascii="Times New Roman" w:eastAsiaTheme="minorHAnsi" w:hAnsi="Times New Roman" w:cs="Times New Roman"/>
          <w:i/>
          <w:color w:val="auto"/>
          <w:szCs w:val="20"/>
          <w:lang w:val="en-US"/>
        </w:rPr>
        <w:t>Brookings Papers on Economic Activity</w:t>
      </w:r>
      <w:r w:rsidRPr="00E72418">
        <w:rPr>
          <w:rStyle w:val="Titre5Car"/>
          <w:rFonts w:ascii="Times New Roman" w:eastAsiaTheme="minorHAnsi" w:hAnsi="Times New Roman" w:cs="Times New Roman"/>
          <w:color w:val="auto"/>
          <w:szCs w:val="20"/>
          <w:lang w:val="en-US"/>
        </w:rPr>
        <w:t>, 2002, p. 27).</w:t>
      </w:r>
    </w:p>
  </w:footnote>
  <w:footnote w:id="181">
    <w:p w14:paraId="655A6240" w14:textId="1B923900" w:rsidR="0030147D" w:rsidRPr="00E72418" w:rsidRDefault="0030147D" w:rsidP="00541AD8">
      <w:pPr>
        <w:pStyle w:val="Sansinterligne"/>
        <w:rPr>
          <w:rFonts w:ascii="Times New Roman" w:hAnsi="Times New Roman"/>
          <w:szCs w:val="20"/>
        </w:rPr>
      </w:pPr>
      <w:r w:rsidRPr="00E72418">
        <w:rPr>
          <w:rStyle w:val="Appelnotedebasdep"/>
        </w:rPr>
        <w:footnoteRef/>
      </w:r>
      <w:r w:rsidRPr="00E72418">
        <w:t xml:space="preserve"> C. </w:t>
      </w:r>
      <w:r w:rsidRPr="00E72418">
        <w:rPr>
          <w:smallCaps/>
        </w:rPr>
        <w:t>Tan</w:t>
      </w:r>
      <w:r w:rsidRPr="00E72418">
        <w:t xml:space="preserve">, « Reframing the debate: the debt relief initiative and new normative values in the governance of third world* debt », </w:t>
      </w:r>
      <w:r w:rsidRPr="00E72418">
        <w:rPr>
          <w:rFonts w:ascii="Times New Roman" w:hAnsi="Times New Roman"/>
          <w:i/>
          <w:szCs w:val="20"/>
        </w:rPr>
        <w:t>Int. J. Law Context</w:t>
      </w:r>
      <w:r w:rsidRPr="00E72418">
        <w:t>, 2014, p. 256.</w:t>
      </w:r>
    </w:p>
  </w:footnote>
  <w:footnote w:id="182">
    <w:p w14:paraId="2FF49A57" w14:textId="58B9AEE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principe 65. Ce constat fut par ailleurs repris par le Parlement européen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considérant R</w:t>
      </w:r>
      <w:r w:rsidRPr="00E72418">
        <w:rPr>
          <w:rStyle w:val="Appelnotedebasdep"/>
          <w:szCs w:val="20"/>
          <w:vertAlign w:val="baseline"/>
        </w:rPr>
        <w:t>)</w:t>
      </w:r>
      <w:r w:rsidRPr="00E72418">
        <w:rPr>
          <w:szCs w:val="20"/>
        </w:rPr>
        <w:t>. De l’avis du même parlement, cette prise en compte est essentielle quand on sait que les évaluations de la viabilité de la dette effectuées par la Banque mondiale et le Fonds monétaire international sont généralement utilisées par les prêteurs pour les guider dans l’octroi de prêts (</w:t>
      </w:r>
      <w:r w:rsidRPr="00E72418">
        <w:rPr>
          <w:rStyle w:val="Titre5Car"/>
          <w:rFonts w:ascii="Times" w:eastAsiaTheme="minorHAnsi" w:hAnsi="Times" w:cstheme="minorBidi"/>
          <w:i/>
          <w:color w:val="auto"/>
          <w:szCs w:val="20"/>
        </w:rPr>
        <w:t>ibid.</w:t>
      </w:r>
      <w:r w:rsidRPr="00E72418">
        <w:rPr>
          <w:rStyle w:val="Titre5Car"/>
          <w:rFonts w:ascii="Times" w:eastAsiaTheme="minorHAnsi" w:hAnsi="Times" w:cstheme="minorBidi"/>
          <w:color w:val="auto"/>
          <w:szCs w:val="20"/>
        </w:rPr>
        <w:t>, point 21)</w:t>
      </w:r>
      <w:r w:rsidRPr="00E72418">
        <w:rPr>
          <w:szCs w:val="20"/>
        </w:rPr>
        <w:t>.</w:t>
      </w:r>
    </w:p>
  </w:footnote>
  <w:footnote w:id="183">
    <w:p w14:paraId="55D1B96C" w14:textId="28B4B41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Conseil des droits de l’homme des Nations Unies, </w:t>
      </w:r>
      <w:r w:rsidRPr="00E72418">
        <w:rPr>
          <w:i/>
          <w:szCs w:val="20"/>
        </w:rPr>
        <w:t xml:space="preserve">Principes directeurs applicables aux études de l’impact des réformes économiques sur les droits de l’homme </w:t>
      </w:r>
      <w:r w:rsidRPr="00E72418">
        <w:rPr>
          <w:b/>
          <w:i/>
          <w:szCs w:val="20"/>
        </w:rPr>
        <w:t xml:space="preserve">– </w:t>
      </w:r>
      <w:r w:rsidRPr="00E72418">
        <w:rPr>
          <w:i/>
          <w:szCs w:val="20"/>
        </w:rPr>
        <w:t>Rapport de l’Expert indépendant chargé d’examiner les effets de la dette extérieure et des obligations financières internationales connexes des États sur le plein exercice de tous les droits de l’homme, en particulier les droits économiques, sociaux et culturels</w:t>
      </w:r>
      <w:r w:rsidRPr="00E72418">
        <w:rPr>
          <w:szCs w:val="20"/>
        </w:rPr>
        <w:t>, 19 décembre 2018, A/HRC/40/57, p. 14.</w:t>
      </w:r>
    </w:p>
  </w:footnote>
  <w:footnote w:id="184">
    <w:p w14:paraId="69C33874" w14:textId="3292752A"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Roadmap and Guide on Sovereign Debt Workouts</w:t>
      </w:r>
      <w:r w:rsidRPr="00E72418">
        <w:rPr>
          <w:szCs w:val="20"/>
        </w:rPr>
        <w:t xml:space="preserve">, </w:t>
      </w:r>
      <w:r w:rsidRPr="00E72418">
        <w:rPr>
          <w:i/>
          <w:szCs w:val="20"/>
        </w:rPr>
        <w:t>op. cit.</w:t>
      </w:r>
      <w:r w:rsidRPr="00E72418">
        <w:rPr>
          <w:szCs w:val="20"/>
        </w:rPr>
        <w:t>, p. 24.</w:t>
      </w:r>
    </w:p>
  </w:footnote>
  <w:footnote w:id="185">
    <w:p w14:paraId="01599A47" w14:textId="72C063A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13.</w:t>
      </w:r>
    </w:p>
  </w:footnote>
  <w:footnote w:id="186">
    <w:p w14:paraId="65804AFD" w14:textId="36584A7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Voyez notamment </w:t>
      </w:r>
      <w:r w:rsidRPr="00E72418">
        <w:rPr>
          <w:smallCaps/>
          <w:szCs w:val="20"/>
          <w:lang w:val="en-US"/>
        </w:rPr>
        <w:t>M. Riegner</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Legal Frameworks and General Principles for Indicators in Sovereign Debt Restructuring </w:t>
      </w:r>
      <w:r w:rsidRPr="00E72418">
        <w:rPr>
          <w:rStyle w:val="Titre5Car"/>
          <w:rFonts w:ascii="Times" w:eastAsiaTheme="minorHAnsi" w:hAnsi="Times" w:cstheme="minorBidi"/>
          <w:color w:val="auto"/>
          <w:szCs w:val="20"/>
          <w:lang w:val="en-US"/>
        </w:rPr>
        <w:t xml:space="preserve">»,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xml:space="preserve">, pp. 170 et 171. Sur l’importance de prendre en compte les droits de l’homme dès que sont discutées des mesures de rééchelonnement des dettes souveraines, voyez </w:t>
      </w:r>
      <w:r w:rsidRPr="00E72418">
        <w:t xml:space="preserve">M. </w:t>
      </w:r>
      <w:r w:rsidRPr="00E72418">
        <w:rPr>
          <w:smallCaps/>
        </w:rPr>
        <w:t>Goldmann</w:t>
      </w:r>
      <w:r w:rsidRPr="00E72418">
        <w:t xml:space="preserve">, « Human Rights and Sovereign Debt Workouts </w:t>
      </w:r>
      <w:r w:rsidRPr="00E72418">
        <w:rPr>
          <w:rFonts w:eastAsia="Times New Roman"/>
          <w:lang w:eastAsia="fr-BE"/>
        </w:rPr>
        <w:t>»</w:t>
      </w:r>
      <w:r w:rsidRPr="00E72418">
        <w:t xml:space="preserve">, in J. </w:t>
      </w:r>
      <w:r w:rsidRPr="00E72418">
        <w:rPr>
          <w:smallCaps/>
        </w:rPr>
        <w:t>Bohoslavsky</w:t>
      </w:r>
      <w:r w:rsidRPr="00E72418">
        <w:t xml:space="preserve"> et J. </w:t>
      </w:r>
      <w:r w:rsidRPr="00E72418">
        <w:rPr>
          <w:smallCaps/>
        </w:rPr>
        <w:t>Cernic</w:t>
      </w:r>
      <w:r w:rsidRPr="00E72418">
        <w:t xml:space="preserve"> (éd.), </w:t>
      </w:r>
      <w:r w:rsidRPr="00E72418">
        <w:rPr>
          <w:i/>
        </w:rPr>
        <w:t>Making Sovereign Financing and Human Rights Work</w:t>
      </w:r>
      <w:r w:rsidRPr="00E72418">
        <w:t>, Hart Publishing, 2014, pp. 99 et 100.</w:t>
      </w:r>
      <w:r w:rsidRPr="00E72418">
        <w:rPr>
          <w:rStyle w:val="Titre5Car"/>
          <w:rFonts w:ascii="Times" w:eastAsiaTheme="minorHAnsi" w:hAnsi="Times" w:cstheme="minorBidi"/>
          <w:color w:val="auto"/>
          <w:szCs w:val="20"/>
          <w:lang w:val="en-US"/>
        </w:rPr>
        <w:t xml:space="preserve"> </w:t>
      </w:r>
    </w:p>
  </w:footnote>
  <w:footnote w:id="187">
    <w:p w14:paraId="05C9CAC5" w14:textId="7FC7AAB9" w:rsidR="0030147D" w:rsidRPr="00E72418" w:rsidRDefault="0030147D" w:rsidP="007C57EF">
      <w:pPr>
        <w:pStyle w:val="Sansinterligne"/>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xml:space="preserve">, respectivement </w:t>
      </w:r>
      <w:r>
        <w:rPr>
          <w:szCs w:val="20"/>
        </w:rPr>
        <w:t xml:space="preserve">les </w:t>
      </w:r>
      <w:r w:rsidRPr="00E72418">
        <w:rPr>
          <w:szCs w:val="20"/>
        </w:rPr>
        <w:t>principe</w:t>
      </w:r>
      <w:r>
        <w:rPr>
          <w:szCs w:val="20"/>
        </w:rPr>
        <w:t>s</w:t>
      </w:r>
      <w:r w:rsidRPr="00E72418">
        <w:rPr>
          <w:szCs w:val="20"/>
        </w:rPr>
        <w:t xml:space="preserve"> 16, 23 et 39. </w:t>
      </w:r>
      <w:r w:rsidRPr="00E72418">
        <w:rPr>
          <w:bCs/>
          <w:szCs w:val="20"/>
        </w:rPr>
        <w:t xml:space="preserve">Cette responsabilité des prêteurs d’accorder des crédits </w:t>
      </w:r>
      <w:r w:rsidRPr="00E72418">
        <w:rPr>
          <w:szCs w:val="20"/>
        </w:rPr>
        <w:t>d’une façon qui ne compromette pas la viabilité de la dette du pays emprunteur fut encore récemment rappelée à plusieurs reprises par l’</w:t>
      </w:r>
      <w:r w:rsidRPr="00E72418">
        <w:rPr>
          <w:bCs/>
          <w:szCs w:val="20"/>
        </w:rPr>
        <w:t xml:space="preserve">Assemblée générale des Nations Unies (voyez </w:t>
      </w:r>
      <w:r w:rsidRPr="00E72418">
        <w:rPr>
          <w:szCs w:val="20"/>
        </w:rPr>
        <w:t xml:space="preserve">Assemblée générale des Nations Unies, </w:t>
      </w:r>
      <w:r w:rsidRPr="00E72418">
        <w:rPr>
          <w:i/>
          <w:szCs w:val="20"/>
        </w:rPr>
        <w:t>Transformer notre monde : le Programme de développement durable à l’horizon 2030</w:t>
      </w:r>
      <w:r w:rsidRPr="00E72418">
        <w:rPr>
          <w:szCs w:val="20"/>
        </w:rPr>
        <w:t xml:space="preserve">, 25 septembre 2015, A/RES/70/1, point 69 ou encore Assemblée générale des Nations Unies, </w:t>
      </w:r>
      <w:r w:rsidRPr="00E72418">
        <w:rPr>
          <w:i/>
          <w:szCs w:val="20"/>
        </w:rPr>
        <w:t>Programme d’action d’Addis-Abeba issu de la troisième Conférence internationale sur le financement du développement (programme d’action d’Addis-Abeba)</w:t>
      </w:r>
      <w:r w:rsidRPr="00E72418">
        <w:rPr>
          <w:szCs w:val="20"/>
        </w:rPr>
        <w:t xml:space="preserve">, 17 août 2015, A/RES/69/313, p. 32). En pratique, la Norvège, par exemple, a décidé d’annuler certaines dettes qu’elle détenait à l’encontre d’autres </w:t>
      </w:r>
      <w:r w:rsidRPr="00E72418">
        <w:rPr>
          <w:rFonts w:cs="Times New Roman"/>
          <w:szCs w:val="24"/>
        </w:rPr>
        <w:t>É</w:t>
      </w:r>
      <w:r w:rsidRPr="00E72418">
        <w:rPr>
          <w:szCs w:val="20"/>
        </w:rPr>
        <w:t xml:space="preserve">tats considérant que les crédits concernés n’avaient pas été attribués suivant de rigoureuses analyses. Le gouvernement norvégien notait ainsi qu’ </w:t>
      </w:r>
      <w:r w:rsidRPr="00E72418">
        <w:t xml:space="preserve">« [a]s creditor, Norway shares part of the responsibility for the resulting debts » (Royal Norwegian Ministry of Foreign Affairs, </w:t>
      </w:r>
      <w:r w:rsidRPr="00E72418">
        <w:rPr>
          <w:i/>
        </w:rPr>
        <w:t>Cancellation of debts incurred as a result of the Norwegian Ship Export Campaign (1976-80)</w:t>
      </w:r>
      <w:r w:rsidRPr="00E72418">
        <w:t xml:space="preserve">, 2 octobre 2006, disponible à l’adresse www.regjeringen.no/en/dokumenter/Cancellation-of-debts-incurred-as-a-result-of-the-Norwegian-Ship-Export-Campaign-1976-80/id420457/, consultation le 17 octobre 2021. Sur ces démarches norvégiennes, voyez notamment O. </w:t>
      </w:r>
      <w:r w:rsidRPr="00E72418">
        <w:rPr>
          <w:rFonts w:cs="Times New Roman"/>
          <w:smallCaps/>
          <w:szCs w:val="24"/>
          <w:shd w:val="clear" w:color="auto" w:fill="FFFFFF"/>
          <w:lang w:val="en-US"/>
        </w:rPr>
        <w:t xml:space="preserve">Lienau, </w:t>
      </w:r>
      <w:r w:rsidRPr="00E72418">
        <w:rPr>
          <w:rFonts w:cs="Times New Roman"/>
          <w:i/>
          <w:szCs w:val="24"/>
          <w:lang w:val="en-US"/>
        </w:rPr>
        <w:t xml:space="preserve">Rethinking Sovereign Debt </w:t>
      </w:r>
      <w:r w:rsidRPr="00E72418">
        <w:rPr>
          <w:b/>
          <w:i/>
          <w:szCs w:val="20"/>
        </w:rPr>
        <w:t>–</w:t>
      </w:r>
      <w:r w:rsidRPr="00E72418">
        <w:rPr>
          <w:rFonts w:cs="Times New Roman"/>
          <w:i/>
          <w:szCs w:val="24"/>
          <w:lang w:val="en-US"/>
        </w:rPr>
        <w:t xml:space="preserve"> Politics, Reputation, and Legitimacy in Modern Finance</w:t>
      </w:r>
      <w:r w:rsidRPr="00E72418">
        <w:rPr>
          <w:rFonts w:cs="Times New Roman"/>
          <w:szCs w:val="24"/>
          <w:lang w:val="en-US"/>
        </w:rPr>
        <w:t xml:space="preserve">, </w:t>
      </w:r>
      <w:r w:rsidRPr="00E72418">
        <w:rPr>
          <w:rFonts w:cs="Times New Roman"/>
          <w:szCs w:val="24"/>
          <w:shd w:val="clear" w:color="auto" w:fill="FFFFFF"/>
          <w:lang w:val="en-US"/>
        </w:rPr>
        <w:t xml:space="preserve">Harvard University Press, 2014, </w:t>
      </w:r>
      <w:r w:rsidRPr="00E72418">
        <w:t>pp. 200 et 201).</w:t>
      </w:r>
    </w:p>
  </w:footnote>
  <w:footnote w:id="188">
    <w:p w14:paraId="556EBD69" w14:textId="46B91ACC" w:rsidR="0030147D" w:rsidRPr="00E72418" w:rsidRDefault="0030147D" w:rsidP="00DD6DCC">
      <w:pPr>
        <w:pStyle w:val="Sansinterligne"/>
      </w:pPr>
      <w:r w:rsidRPr="00E72418">
        <w:rPr>
          <w:rStyle w:val="Appelnotedebasdep"/>
        </w:rPr>
        <w:footnoteRef/>
      </w:r>
      <w:r w:rsidRPr="00E72418">
        <w:t xml:space="preserve"> </w:t>
      </w:r>
      <w:r w:rsidRPr="00E72418">
        <w:rPr>
          <w:rFonts w:cs="Times New Roman"/>
          <w:smallCaps/>
        </w:rPr>
        <w:t xml:space="preserve">J.-F. Boudet, « </w:t>
      </w:r>
      <w:r w:rsidRPr="00E72418">
        <w:rPr>
          <w:rFonts w:cs="Times New Roman"/>
        </w:rPr>
        <w:t xml:space="preserve">Essai sur le défaut souverain </w:t>
      </w:r>
      <w:r w:rsidRPr="00E72418">
        <w:t xml:space="preserve">», </w:t>
      </w:r>
      <w:r w:rsidRPr="00E72418">
        <w:rPr>
          <w:i/>
        </w:rPr>
        <w:t>R.I.D.E.</w:t>
      </w:r>
      <w:r w:rsidRPr="00E72418">
        <w:t>, 2015, pp. 389 et 390.</w:t>
      </w:r>
    </w:p>
  </w:footnote>
  <w:footnote w:id="189">
    <w:p w14:paraId="29749400" w14:textId="190BCA4F"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du Représentant spécial du Secrétaire général chargé de la question des droits de l’homme et des sociétés transnationales et autres entreprises </w:t>
      </w:r>
      <w:r w:rsidRPr="00E72418">
        <w:rPr>
          <w:rFonts w:ascii="Times New Roman" w:hAnsi="Times New Roman" w:cs="Times New Roman"/>
          <w:b/>
          <w:i/>
          <w:szCs w:val="24"/>
        </w:rPr>
        <w:t>–</w:t>
      </w:r>
      <w:r w:rsidRPr="00E72418">
        <w:rPr>
          <w:rFonts w:ascii="Times New Roman" w:hAnsi="Times New Roman" w:cs="Times New Roman"/>
          <w:i/>
          <w:szCs w:val="24"/>
        </w:rPr>
        <w:t xml:space="preserve"> Principes directeurs relatifs aux entreprises et aux droits de l’homme: mise en </w:t>
      </w:r>
      <w:r w:rsidRPr="00E72418">
        <w:rPr>
          <w:i/>
          <w:szCs w:val="20"/>
        </w:rPr>
        <w:t>œuvre</w:t>
      </w:r>
      <w:r w:rsidRPr="00E72418">
        <w:rPr>
          <w:rFonts w:ascii="Times New Roman" w:hAnsi="Times New Roman" w:cs="Times New Roman"/>
          <w:i/>
          <w:szCs w:val="24"/>
        </w:rPr>
        <w:t xml:space="preserve"> du cadre de référence « protéger, respecter et réparer » des Nations Unies</w:t>
      </w:r>
      <w:r w:rsidRPr="00E72418">
        <w:rPr>
          <w:rFonts w:ascii="Times New Roman" w:hAnsi="Times New Roman" w:cs="Times New Roman"/>
          <w:szCs w:val="24"/>
        </w:rPr>
        <w:t>, 21 mars 2011, A/HRC/17/31</w:t>
      </w:r>
      <w:r w:rsidRPr="00E72418">
        <w:rPr>
          <w:szCs w:val="20"/>
        </w:rPr>
        <w:t xml:space="preserve">, principe 11. </w:t>
      </w:r>
      <w:r w:rsidRPr="00E72418">
        <w:rPr>
          <w:szCs w:val="20"/>
          <w:lang w:val="en-US"/>
        </w:rPr>
        <w:t xml:space="preserve">Sur l’importance du travail du Représentant spécial, John Ruggie, voyez </w:t>
      </w:r>
      <w:r w:rsidRPr="00E72418">
        <w:rPr>
          <w:smallCaps/>
          <w:szCs w:val="20"/>
          <w:lang w:val="en-US"/>
        </w:rPr>
        <w:t>N. Jagers</w:t>
      </w:r>
      <w:r w:rsidRPr="00E72418">
        <w:rPr>
          <w:szCs w:val="20"/>
          <w:lang w:val="en-US"/>
        </w:rPr>
        <w:t xml:space="preserve">, « Sovereign Financing and the Human Rights Responsibilities of Private Creditors », </w:t>
      </w:r>
      <w:r w:rsidRPr="00E72418">
        <w:rPr>
          <w:i/>
          <w:szCs w:val="20"/>
          <w:lang w:val="en-US"/>
        </w:rPr>
        <w:t>op. cit.</w:t>
      </w:r>
      <w:r w:rsidRPr="00E72418">
        <w:rPr>
          <w:szCs w:val="20"/>
          <w:lang w:val="en-US"/>
        </w:rPr>
        <w:t>, p. 180. Nicola Jagers note que les principes directeurs pensés par John Ruggie sont « at the epicentre of all corporate human rights responsibility standards » (p. 190).</w:t>
      </w:r>
    </w:p>
  </w:footnote>
  <w:footnote w:id="190">
    <w:p w14:paraId="785E92D2" w14:textId="4196EA92"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19. Pour le Comité, « [l]es dirigeants des fonds vautours doivent […] s’abstenir de toute attitude prédatrice ou obstructionniste susceptible de contraindre les États à agir en violation de leurs obligations en matière de droits de l’homme pour rembourser leurs dettes, ou d’influer directement sur la capacité des États de s’acquitter de ces obligations ».</w:t>
      </w:r>
    </w:p>
  </w:footnote>
  <w:footnote w:id="191">
    <w:p w14:paraId="5F3385C9" w14:textId="3960950F"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Voyez dans le même sens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du Représentant spécial du Secrétaire général chargé de la question des droits de l’homme et des sociétés transnationales et autres entreprises </w:t>
      </w:r>
      <w:r w:rsidRPr="00E72418">
        <w:rPr>
          <w:rFonts w:ascii="Times New Roman" w:hAnsi="Times New Roman" w:cs="Times New Roman"/>
          <w:b/>
          <w:i/>
          <w:szCs w:val="24"/>
        </w:rPr>
        <w:t>–</w:t>
      </w:r>
      <w:r w:rsidRPr="00E72418">
        <w:rPr>
          <w:rFonts w:ascii="Times New Roman" w:hAnsi="Times New Roman" w:cs="Times New Roman"/>
          <w:i/>
          <w:szCs w:val="24"/>
        </w:rPr>
        <w:t xml:space="preserve"> Principes directeurs relatifs aux entreprises et aux droits de l’homme: mise en </w:t>
      </w:r>
      <w:r w:rsidRPr="00E72418">
        <w:rPr>
          <w:i/>
          <w:szCs w:val="20"/>
        </w:rPr>
        <w:t>œuvre</w:t>
      </w:r>
      <w:r w:rsidRPr="00E72418">
        <w:rPr>
          <w:rFonts w:ascii="Times New Roman" w:hAnsi="Times New Roman" w:cs="Times New Roman"/>
          <w:i/>
          <w:szCs w:val="24"/>
        </w:rPr>
        <w:t xml:space="preserve"> du cadre de référence « protéger, respecter et réparer » des Nations Unies</w:t>
      </w:r>
      <w:r w:rsidRPr="00E72418">
        <w:rPr>
          <w:rFonts w:ascii="Times New Roman" w:hAnsi="Times New Roman" w:cs="Times New Roman"/>
          <w:szCs w:val="24"/>
        </w:rPr>
        <w:t>, 21 mars 2011, A/HRC/17/31</w:t>
      </w:r>
      <w:r w:rsidRPr="00E72418">
        <w:rPr>
          <w:szCs w:val="20"/>
        </w:rPr>
        <w:t>, principe 13, a) et principe 15. Le Représentant spécial, John Ruggie, fait également valoir qu’</w:t>
      </w:r>
      <w:r w:rsidRPr="00E72418">
        <w:rPr>
          <w:bCs/>
          <w:szCs w:val="20"/>
        </w:rPr>
        <w:t>une certaine proactivité est attendue de la part des créanciers (principe 17).</w:t>
      </w:r>
    </w:p>
  </w:footnote>
  <w:footnote w:id="192">
    <w:p w14:paraId="56A067D4" w14:textId="43F5E00B" w:rsidR="0030147D" w:rsidRPr="00E72418" w:rsidRDefault="0030147D" w:rsidP="00A74BF3">
      <w:pPr>
        <w:pStyle w:val="Sansinterligne"/>
        <w:rPr>
          <w:szCs w:val="20"/>
        </w:rPr>
      </w:pPr>
      <w:r w:rsidRPr="00E72418">
        <w:rPr>
          <w:rStyle w:val="Appelnotedebasdep"/>
          <w:szCs w:val="20"/>
        </w:rPr>
        <w:footnoteRef/>
      </w:r>
      <w:r w:rsidRPr="00E72418">
        <w:rPr>
          <w:szCs w:val="20"/>
        </w:rPr>
        <w:t xml:space="preserve"> La responsabilité du débiteur est d’ailleurs notamment pointée par </w:t>
      </w:r>
      <w:r w:rsidRPr="00E72418">
        <w:rPr>
          <w:rFonts w:cs="Times New Roman"/>
        </w:rPr>
        <w:t xml:space="preserve">Cephas </w:t>
      </w:r>
      <w:r w:rsidRPr="00E72418">
        <w:rPr>
          <w:szCs w:val="20"/>
        </w:rPr>
        <w:t>Lumina : « [l]es États débiteurs devraient veiller à ce que leurs engagements au titre du service de la dette ne soient pas, par rapport à leur capacité financière et autres moyens, excessifs ou disproportionnés au point de réduire les ressources dont ils disposent pour fournir des services sociaux, concernant notamment les droits économiques, sociaux et culturels, à toutes les personnes vivant sur leur territoire ou sous leur juridiction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principe 48).</w:t>
      </w:r>
    </w:p>
  </w:footnote>
  <w:footnote w:id="193">
    <w:p w14:paraId="62BC1ADD" w14:textId="61F79C8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point 9.</w:t>
      </w:r>
    </w:p>
  </w:footnote>
  <w:footnote w:id="194">
    <w:p w14:paraId="655F6ADF" w14:textId="1EEEBE82" w:rsidR="0030147D" w:rsidRPr="00E72418" w:rsidRDefault="0030147D" w:rsidP="005F6228">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Principes pour l’octroi de prêts et la souscription d’emprunts souverains responsables</w:t>
      </w:r>
      <w:r w:rsidRPr="00E72418">
        <w:rPr>
          <w:szCs w:val="20"/>
        </w:rPr>
        <w:t>, 10 janvier 2012. L’on peut également donner l’exemple des « Principes de l’</w:t>
      </w:r>
      <w:r w:rsidRPr="00E72418">
        <w:rPr>
          <w:rFonts w:ascii="Times New Roman" w:hAnsi="Times New Roman" w:cs="Times New Roman"/>
          <w:szCs w:val="24"/>
          <w:lang w:eastAsia="fr-BE"/>
        </w:rPr>
        <w:t>É</w:t>
      </w:r>
      <w:r w:rsidRPr="00E72418">
        <w:rPr>
          <w:szCs w:val="20"/>
        </w:rPr>
        <w:t xml:space="preserve">quateur » de juillet 2020 adoptés par différentes institutions financières qui servent de </w:t>
      </w:r>
      <w:r w:rsidRPr="00E72418">
        <w:t xml:space="preserve">référentiel pour la détermination, l’évaluation et la gestion des risques notamment sociaux des projets dans lesquelles elles s’engagent (voyez </w:t>
      </w:r>
      <w:hyperlink r:id="rId6" w:history="1">
        <w:r w:rsidRPr="00E72418">
          <w:rPr>
            <w:rStyle w:val="Lienhypertexte"/>
            <w:color w:val="auto"/>
            <w:u w:val="none"/>
          </w:rPr>
          <w:t>www.equator-principles.com/wp-content/uploads/2020/09/EP4_French.pdf</w:t>
        </w:r>
      </w:hyperlink>
      <w:r w:rsidRPr="00E72418">
        <w:t>, consultation le 17 octobre 2021).</w:t>
      </w:r>
    </w:p>
  </w:footnote>
  <w:footnote w:id="195">
    <w:p w14:paraId="411FDD55" w14:textId="151EBA80" w:rsidR="0030147D" w:rsidRPr="00E72418" w:rsidRDefault="0030147D" w:rsidP="00A17224">
      <w:pPr>
        <w:pStyle w:val="Sansinterligne"/>
      </w:pPr>
      <w:r w:rsidRPr="00E72418">
        <w:rPr>
          <w:rStyle w:val="Appelnotedebasdep"/>
        </w:rPr>
        <w:footnoteRef/>
      </w:r>
      <w:r w:rsidRPr="00E72418">
        <w:t xml:space="preserve"> L’expression de « soft law » est ici entendue comme visant des règles qui ne créeraient pas en tant que telles d’obligations de droit positif si bien que leur valeur normative est limitée (voyez sur ceci notamment J. </w:t>
      </w:r>
      <w:r w:rsidRPr="00E72418">
        <w:rPr>
          <w:smallCaps/>
        </w:rPr>
        <w:t>Salmon (</w:t>
      </w:r>
      <w:r w:rsidRPr="00E72418">
        <w:t xml:space="preserve">dir.), </w:t>
      </w:r>
      <w:r w:rsidRPr="00E72418">
        <w:rPr>
          <w:i/>
        </w:rPr>
        <w:t>Dictionnaire de droit international public</w:t>
      </w:r>
      <w:r w:rsidRPr="00E72418">
        <w:t>, Bruylant, 2001, p. 1039).</w:t>
      </w:r>
    </w:p>
  </w:footnote>
  <w:footnote w:id="196">
    <w:p w14:paraId="1893DE02" w14:textId="332FC89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N. Jagers</w:t>
      </w:r>
      <w:r w:rsidRPr="00E72418">
        <w:rPr>
          <w:szCs w:val="20"/>
          <w:lang w:val="en-US"/>
        </w:rPr>
        <w:t xml:space="preserve">, « Sovereign Financing and the Human Rights Responsibilities of Private Creditors », </w:t>
      </w:r>
      <w:r w:rsidRPr="00E72418">
        <w:rPr>
          <w:i/>
          <w:szCs w:val="20"/>
          <w:lang w:val="en-US"/>
        </w:rPr>
        <w:t>op. cit.</w:t>
      </w:r>
      <w:r w:rsidRPr="00E72418">
        <w:rPr>
          <w:szCs w:val="20"/>
          <w:lang w:val="en-US"/>
        </w:rPr>
        <w:t>, p. 194. Les standards pourraient ainsi par exemple servir à compléter quelques termes repris dans la loi belge relative à la lutte contre les activités des fonds vautours dont la précision peut été critiquée (voyez</w:t>
      </w:r>
      <w:r w:rsidRPr="00E72418">
        <w:rPr>
          <w:i/>
          <w:szCs w:val="20"/>
          <w:lang w:val="en-US"/>
        </w:rPr>
        <w:t xml:space="preserve"> infra</w:t>
      </w:r>
      <w:r w:rsidRPr="00E72418">
        <w:rPr>
          <w:szCs w:val="20"/>
          <w:lang w:val="en-US"/>
        </w:rPr>
        <w:t xml:space="preserve"> n° 348).</w:t>
      </w:r>
    </w:p>
  </w:footnote>
  <w:footnote w:id="197">
    <w:p w14:paraId="7BB8A2E7" w14:textId="3A5B0EC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considérant AD. Relativement à l’Initiative Pays Pauvres Très Endettés et à l’Initiative d’allègement </w:t>
      </w:r>
      <w:r w:rsidRPr="00E72418">
        <w:rPr>
          <w:szCs w:val="20"/>
        </w:rPr>
        <w:t xml:space="preserve">de la dette multilatérale dont question </w:t>
      </w:r>
      <w:r w:rsidRPr="00E72418">
        <w:rPr>
          <w:i/>
          <w:szCs w:val="20"/>
        </w:rPr>
        <w:t xml:space="preserve">infra </w:t>
      </w:r>
      <w:r w:rsidRPr="00E72418">
        <w:rPr>
          <w:szCs w:val="20"/>
        </w:rPr>
        <w:t>(respectivement n</w:t>
      </w:r>
      <w:r w:rsidRPr="00E72418">
        <w:rPr>
          <w:szCs w:val="20"/>
          <w:vertAlign w:val="superscript"/>
        </w:rPr>
        <w:t>os</w:t>
      </w:r>
      <w:r w:rsidRPr="00E72418">
        <w:rPr>
          <w:szCs w:val="20"/>
        </w:rPr>
        <w:t xml:space="preserve"> 41 à 45 et n</w:t>
      </w:r>
      <w:r w:rsidRPr="00E72418">
        <w:rPr>
          <w:szCs w:val="20"/>
          <w:vertAlign w:val="superscript"/>
        </w:rPr>
        <w:t>o</w:t>
      </w:r>
      <w:r w:rsidRPr="00E72418">
        <w:rPr>
          <w:szCs w:val="20"/>
        </w:rPr>
        <w:t xml:space="preserve"> 46), le Parlement européen relève que si elles ont permis d’améliorer les finances de nombreux pays en développement, elles </w:t>
      </w:r>
      <w:r w:rsidRPr="00E72418">
        <w:rPr>
          <w:rStyle w:val="Lienhypertexte"/>
          <w:color w:val="auto"/>
          <w:szCs w:val="20"/>
          <w:u w:val="none"/>
        </w:rPr>
        <w:t>ne suffisent pas à mettre fin à la crise de la dette</w:t>
      </w:r>
      <w:r w:rsidRPr="00E72418">
        <w:rPr>
          <w:szCs w:val="20"/>
        </w:rPr>
        <w:t xml:space="preserve"> (</w:t>
      </w:r>
      <w:r w:rsidRPr="00E72418">
        <w:rPr>
          <w:i/>
          <w:szCs w:val="20"/>
        </w:rPr>
        <w:t>ibid.</w:t>
      </w:r>
      <w:r w:rsidRPr="00E72418">
        <w:rPr>
          <w:szCs w:val="20"/>
        </w:rPr>
        <w:t>, considérants E et F).</w:t>
      </w:r>
    </w:p>
  </w:footnote>
  <w:footnote w:id="198">
    <w:p w14:paraId="754E7040" w14:textId="18680997"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Assemblée générale des Nations Unies, </w:t>
      </w:r>
      <w:r w:rsidRPr="00E72418">
        <w:rPr>
          <w:i/>
          <w:szCs w:val="20"/>
        </w:rPr>
        <w:t>Déclaration du Millénaire</w:t>
      </w:r>
      <w:r w:rsidRPr="00E72418">
        <w:rPr>
          <w:szCs w:val="20"/>
        </w:rPr>
        <w:t xml:space="preserve">, 8 septembre 2000, A/RES/55/2, paragraphe 15. </w:t>
      </w:r>
      <w:r w:rsidRPr="00E72418">
        <w:rPr>
          <w:szCs w:val="20"/>
          <w:lang w:val="en-US"/>
        </w:rPr>
        <w:t xml:space="preserve">Comme le notait William Teare durant les travaux préparatoires du </w:t>
      </w:r>
      <w:r w:rsidRPr="00E72418">
        <w:rPr>
          <w:i/>
          <w:szCs w:val="20"/>
          <w:lang w:val="en-US"/>
        </w:rPr>
        <w:t>Heavily Indebted Poor Countries (Limitation on Debt Recovery) Act 2012</w:t>
      </w:r>
      <w:r w:rsidRPr="00E72418">
        <w:rPr>
          <w:szCs w:val="20"/>
          <w:lang w:val="en-US"/>
        </w:rPr>
        <w:t xml:space="preserve">, « [i]n the intervening period, it has become increasingly clear that many countries, particularly those in sub-Saharan Africa, will fail to meet the objectives of the Millennium Development Goals without significant levels of assistance from international creditors » (propos repris in House of Keys, </w:t>
      </w:r>
      <w:r w:rsidRPr="00E72418">
        <w:rPr>
          <w:i/>
          <w:szCs w:val="20"/>
          <w:lang w:val="en-US"/>
        </w:rPr>
        <w:t>Heavily Indebted Poor Countries (Limitation on Debt Recovery) Bill 2012</w:t>
      </w:r>
      <w:r w:rsidRPr="00E72418">
        <w:rPr>
          <w:szCs w:val="20"/>
          <w:lang w:val="en-US"/>
        </w:rPr>
        <w:t>, second reading, 8 mai 2012, vol. 129, n° 20, lignes 1650 à 1652).</w:t>
      </w:r>
    </w:p>
  </w:footnote>
  <w:footnote w:id="199">
    <w:p w14:paraId="5D353CA9"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Proposition belge de résolution visant à limiter l’impact des « fonds vautours » sur l’allègement de la dette des pays du tiers-monde, considérants, Sénat, </w:t>
      </w:r>
      <w:r w:rsidRPr="00E72418">
        <w:rPr>
          <w:i/>
          <w:szCs w:val="20"/>
        </w:rPr>
        <w:t>Doc. parl.</w:t>
      </w:r>
      <w:r w:rsidRPr="00E72418">
        <w:rPr>
          <w:szCs w:val="20"/>
        </w:rPr>
        <w:t>, sess. ex. 2007, doc. 4 244/1, p. 16.</w:t>
      </w:r>
    </w:p>
  </w:footnote>
  <w:footnote w:id="200">
    <w:p w14:paraId="5E651182" w14:textId="33EA30C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3.</w:t>
      </w:r>
      <w:r>
        <w:rPr>
          <w:szCs w:val="20"/>
          <w:lang w:val="en-US"/>
        </w:rPr>
        <w:t xml:space="preserve"> Sur celle législation, voyez </w:t>
      </w:r>
      <w:r w:rsidRPr="0030147D">
        <w:rPr>
          <w:i/>
          <w:szCs w:val="20"/>
          <w:lang w:val="en-US"/>
        </w:rPr>
        <w:t>infra</w:t>
      </w:r>
      <w:r>
        <w:rPr>
          <w:szCs w:val="20"/>
          <w:lang w:val="en-US"/>
        </w:rPr>
        <w:t xml:space="preserve"> n</w:t>
      </w:r>
      <w:r w:rsidRPr="0030147D">
        <w:rPr>
          <w:szCs w:val="20"/>
          <w:vertAlign w:val="superscript"/>
          <w:lang w:val="en-US"/>
        </w:rPr>
        <w:t>os</w:t>
      </w:r>
      <w:r>
        <w:rPr>
          <w:szCs w:val="20"/>
          <w:lang w:val="en-US"/>
        </w:rPr>
        <w:t xml:space="preserve"> 304 et suiv.</w:t>
      </w:r>
    </w:p>
  </w:footnote>
  <w:footnote w:id="201">
    <w:p w14:paraId="665D9A91" w14:textId="2BEBC5CD" w:rsidR="0030147D" w:rsidRPr="00E72418" w:rsidRDefault="0030147D" w:rsidP="006E60C4">
      <w:pPr>
        <w:pStyle w:val="Sansinterligne"/>
        <w:rPr>
          <w:szCs w:val="20"/>
        </w:rPr>
      </w:pPr>
      <w:r w:rsidRPr="00E72418">
        <w:rPr>
          <w:rStyle w:val="Appelnotedebasdep"/>
          <w:szCs w:val="20"/>
        </w:rPr>
        <w:footnoteRef/>
      </w:r>
      <w:r w:rsidRPr="00E72418">
        <w:rPr>
          <w:szCs w:val="20"/>
        </w:rPr>
        <w:t xml:space="preserve"> Comme le note Nicola Jagers, « [t]he correlation between excessive sovereign debt and the enjoyment of human rights is clear » (</w:t>
      </w:r>
      <w:r w:rsidRPr="00E72418">
        <w:rPr>
          <w:smallCaps/>
          <w:szCs w:val="20"/>
        </w:rPr>
        <w:t>N. Jagers</w:t>
      </w:r>
      <w:r w:rsidRPr="00E72418">
        <w:rPr>
          <w:szCs w:val="20"/>
        </w:rPr>
        <w:t xml:space="preserve">, « Sovereign Financing and the Human Rights Responsibilities of Private Creditors », </w:t>
      </w:r>
      <w:r w:rsidRPr="00E72418">
        <w:rPr>
          <w:i/>
          <w:szCs w:val="20"/>
          <w:lang w:val="en-US"/>
        </w:rPr>
        <w:t>op. cit.</w:t>
      </w:r>
      <w:r w:rsidRPr="00E72418">
        <w:rPr>
          <w:szCs w:val="20"/>
        </w:rPr>
        <w:t>, p. 181).</w:t>
      </w:r>
    </w:p>
  </w:footnote>
  <w:footnote w:id="202">
    <w:p w14:paraId="2FFF8D8F" w14:textId="76C2609C"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p. 189.</w:t>
      </w:r>
    </w:p>
  </w:footnote>
  <w:footnote w:id="203">
    <w:p w14:paraId="79E67B77" w14:textId="156EE34A"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xml:space="preserve">, p. 4. </w:t>
      </w:r>
      <w:r w:rsidRPr="00E72418">
        <w:rPr>
          <w:szCs w:val="20"/>
          <w:lang w:val="en-US"/>
        </w:rPr>
        <w:t xml:space="preserve">Pour ce qui est des chiffres, on peut lire que « countries that have benefited from relief have raised average spending on health and education from 7 per cent to 9 per cent of Gross Domestic Product and now spend on average six times more on them than they do on debt service » et que « [t]here is also some evidence that countries that have received relief benefit on average from an improved macroeconomic position, with higher economic growth and lower inflation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11). Notons encore les exemples tanzanien et mozambicain donnés par Sally Keeble : « [i]n Tanzania debt relief has helped to increase the number of children in primary school by more than 50 per cent., and helped to build almost 2,500 new</w:t>
      </w:r>
      <w:bookmarkStart w:id="37" w:name="column_562"/>
      <w:bookmarkEnd w:id="37"/>
      <w:r w:rsidRPr="00E72418">
        <w:rPr>
          <w:szCs w:val="20"/>
          <w:lang w:val="en-US"/>
        </w:rPr>
        <w:t xml:space="preserve"> primary schools. Mozambique has more than tripled its poverty reduction spending from $792 million to more than $2 billion, contributing, for example, to a decrease in infant mortality from 147 deaths per 1,000 live births in 1997 to 100 per 1,000 live births in 2008 » (propos repris in House of Commons, </w:t>
      </w:r>
      <w:r w:rsidRPr="00E72418">
        <w:rPr>
          <w:i/>
          <w:szCs w:val="20"/>
          <w:lang w:val="en-US"/>
        </w:rPr>
        <w:t>Debt Relief (Developing Countries) Bill</w:t>
      </w:r>
      <w:r w:rsidRPr="00E72418">
        <w:rPr>
          <w:szCs w:val="20"/>
          <w:lang w:val="en-US"/>
        </w:rPr>
        <w:t>, second reading, 26 février 2010, vol. 506, colonnes 561 et 562).</w:t>
      </w:r>
    </w:p>
  </w:footnote>
  <w:footnote w:id="204">
    <w:p w14:paraId="1A1B803D" w14:textId="3F99A40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Nyembwe</w:t>
      </w:r>
      <w:r w:rsidRPr="00E72418">
        <w:rPr>
          <w:szCs w:val="20"/>
        </w:rPr>
        <w:t xml:space="preserve">, « Crises de la dette dans les pays en voie de développement et dans la zone euro : incitations rationnelles des fonds vautours et annulation de dette », </w:t>
      </w:r>
      <w:r w:rsidRPr="00E72418">
        <w:rPr>
          <w:i/>
          <w:szCs w:val="20"/>
        </w:rPr>
        <w:t>op. cit.</w:t>
      </w:r>
      <w:r w:rsidRPr="00E72418">
        <w:rPr>
          <w:szCs w:val="20"/>
        </w:rPr>
        <w:t>, p. 50.</w:t>
      </w:r>
    </w:p>
  </w:footnote>
  <w:footnote w:id="205">
    <w:p w14:paraId="2C136F51"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Il est généralement fait usage des acronymes PPTE en français et HIPC en anglais pour « Heavily Indebted Poor Countries ».</w:t>
      </w:r>
    </w:p>
  </w:footnote>
  <w:footnote w:id="206">
    <w:p w14:paraId="00A23106" w14:textId="7D6DFD0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L’attention sur ces problèmes avait notamment été attirée à la suite de mobilisations internationales comme celles du </w:t>
      </w:r>
      <w:r w:rsidRPr="00E72418">
        <w:rPr>
          <w:i/>
          <w:szCs w:val="20"/>
        </w:rPr>
        <w:t>Jubilee 2000</w:t>
      </w:r>
      <w:r w:rsidRPr="00E72418">
        <w:rPr>
          <w:szCs w:val="20"/>
        </w:rPr>
        <w:t xml:space="preserve"> (</w:t>
      </w:r>
      <w:r w:rsidRPr="00E72418">
        <w:rPr>
          <w:smallCaps/>
          <w:szCs w:val="20"/>
        </w:rPr>
        <w:t>A. Zacharie</w:t>
      </w:r>
      <w:r w:rsidRPr="00E72418">
        <w:rPr>
          <w:szCs w:val="20"/>
        </w:rPr>
        <w:t xml:space="preserve"> et A. </w:t>
      </w:r>
      <w:r w:rsidRPr="00E72418">
        <w:rPr>
          <w:smallCaps/>
          <w:szCs w:val="20"/>
        </w:rPr>
        <w:t>Gambini</w:t>
      </w:r>
      <w:r w:rsidRPr="00E72418">
        <w:rPr>
          <w:szCs w:val="20"/>
        </w:rPr>
        <w:t xml:space="preserve">, « Une approche multidisciplinaire du phénomène des fonds vautours », </w:t>
      </w:r>
      <w:r w:rsidRPr="00E72418">
        <w:rPr>
          <w:i/>
          <w:szCs w:val="20"/>
        </w:rPr>
        <w:t>Dounia</w:t>
      </w:r>
      <w:r w:rsidRPr="00E72418">
        <w:rPr>
          <w:szCs w:val="20"/>
        </w:rPr>
        <w:t xml:space="preserve">, 2012, p. 8). La coalition </w:t>
      </w:r>
      <w:r w:rsidRPr="00E72418">
        <w:rPr>
          <w:i/>
          <w:szCs w:val="20"/>
        </w:rPr>
        <w:t>Jubilee 2000</w:t>
      </w:r>
      <w:r w:rsidRPr="00E72418">
        <w:rPr>
          <w:szCs w:val="20"/>
        </w:rPr>
        <w:t xml:space="preserve"> en appelait notamment à une initiative des créanciers multilatéraux. Plus largement et pour ce qui intéresse directement notre recherche, la </w:t>
      </w:r>
      <w:r w:rsidRPr="00E72418">
        <w:rPr>
          <w:i/>
          <w:szCs w:val="20"/>
        </w:rPr>
        <w:t>Jubilee Debt Campaign</w:t>
      </w:r>
      <w:r w:rsidRPr="00E72418">
        <w:rPr>
          <w:szCs w:val="20"/>
        </w:rPr>
        <w:t xml:space="preserve"> qui fit suite à la </w:t>
      </w:r>
      <w:r w:rsidRPr="00E72418">
        <w:rPr>
          <w:i/>
          <w:szCs w:val="20"/>
        </w:rPr>
        <w:t>Jubilee 2000 campaign</w:t>
      </w:r>
      <w:r w:rsidRPr="00E72418">
        <w:rPr>
          <w:szCs w:val="20"/>
        </w:rPr>
        <w:t xml:space="preserve"> au Royaume-Uni a joué un rôle dans l’exposition des actions des fonds spéculatifs.</w:t>
      </w:r>
    </w:p>
  </w:footnote>
  <w:footnote w:id="207">
    <w:p w14:paraId="693F684D" w14:textId="0DA36125" w:rsidR="0030147D" w:rsidRPr="00E72418" w:rsidRDefault="0030147D" w:rsidP="00B33C65">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www.worldbank.org/en/topic/debt/brief/hipc</w:t>
        </w:r>
      </w:hyperlink>
      <w:r w:rsidRPr="00E72418">
        <w:rPr>
          <w:rStyle w:val="Lienhypertexte"/>
          <w:color w:val="auto"/>
          <w:szCs w:val="20"/>
          <w:u w:val="none"/>
        </w:rPr>
        <w:t xml:space="preserve"> (consultation le 17 octobre 2021).</w:t>
      </w:r>
    </w:p>
  </w:footnote>
  <w:footnote w:id="208">
    <w:p w14:paraId="409149DC" w14:textId="783C7096" w:rsidR="0030147D" w:rsidRPr="00E72418" w:rsidRDefault="0030147D" w:rsidP="00693CF4">
      <w:pPr>
        <w:pStyle w:val="Sansinterligne"/>
        <w:rPr>
          <w:rFonts w:ascii="Times New Roman" w:hAnsi="Times New Roman"/>
        </w:rPr>
      </w:pPr>
      <w:r w:rsidRPr="00E72418">
        <w:rPr>
          <w:rStyle w:val="Appelnotedebasdep"/>
          <w:szCs w:val="20"/>
        </w:rPr>
        <w:footnoteRef/>
      </w:r>
      <w:r w:rsidRPr="00E72418">
        <w:rPr>
          <w:lang w:val="en-US"/>
        </w:rPr>
        <w:t xml:space="preserve"> </w:t>
      </w:r>
      <w:r w:rsidRPr="00E72418">
        <w:rPr>
          <w:smallCaps/>
          <w:lang w:val="en-US"/>
        </w:rPr>
        <w:t>M. Waibel</w:t>
      </w:r>
      <w:r w:rsidRPr="00E72418">
        <w:rPr>
          <w:lang w:val="en-US"/>
        </w:rPr>
        <w:t xml:space="preserve">, « Debt relief to poor countries: Rules v. Discretion », </w:t>
      </w:r>
      <w:r w:rsidRPr="00E72418">
        <w:rPr>
          <w:rFonts w:ascii="Times New Roman" w:hAnsi="Times New Roman"/>
          <w:i/>
        </w:rPr>
        <w:t>B.J.I.B.&amp;F.L.</w:t>
      </w:r>
      <w:r w:rsidRPr="00E72418">
        <w:rPr>
          <w:lang w:val="en-US"/>
        </w:rPr>
        <w:t xml:space="preserve">, 2010, p. 295. </w:t>
      </w:r>
      <w:r w:rsidRPr="00E72418">
        <w:rPr>
          <w:shd w:val="clear" w:color="auto" w:fill="FFFFFF"/>
        </w:rPr>
        <w:t xml:space="preserve">Il est apparu à la Banque mondiale et au Fonds monétaire international que, pour certains </w:t>
      </w:r>
      <w:r w:rsidRPr="00E72418">
        <w:rPr>
          <w:lang w:eastAsia="fr-BE"/>
        </w:rPr>
        <w:t>É</w:t>
      </w:r>
      <w:r w:rsidRPr="00E72418">
        <w:rPr>
          <w:shd w:val="clear" w:color="auto" w:fill="FFFFFF"/>
        </w:rPr>
        <w:t>tats, l’utilisation des mécanismes traditionnels de rééchelonnement et d’annulation de la dette souveraine accompagnée de l’apport de financements concessionnels et la poursuite de politiques économiques saines n’étaient peut-être pas suffisantes afin d’atteindre un niveau de dette soutenable dans un délai raisonnable</w:t>
      </w:r>
      <w:r w:rsidRPr="00E72418">
        <w:t xml:space="preserve"> (</w:t>
      </w:r>
      <w:hyperlink w:history="1">
        <w:r w:rsidRPr="00E72418">
          <w:rPr>
            <w:rStyle w:val="Lienhypertexte"/>
            <w:color w:val="auto"/>
            <w:szCs w:val="20"/>
            <w:u w:val="none"/>
          </w:rPr>
          <w:t>voyez www.clubdeparis.org/fr/communications/page/initiative-ppte</w:t>
        </w:r>
      </w:hyperlink>
      <w:r w:rsidRPr="00E72418">
        <w:rPr>
          <w:rStyle w:val="Lienhypertexte"/>
          <w:color w:val="auto"/>
          <w:szCs w:val="20"/>
          <w:u w:val="none"/>
        </w:rPr>
        <w:t>, consultation le 17 octobre 2021).</w:t>
      </w:r>
    </w:p>
  </w:footnote>
  <w:footnote w:id="209">
    <w:p w14:paraId="470B94CA" w14:textId="25B27767" w:rsidR="0030147D" w:rsidRPr="00E72418" w:rsidRDefault="0030147D" w:rsidP="00AB6EB2">
      <w:pPr>
        <w:pStyle w:val="Sansinterligne"/>
      </w:pPr>
      <w:r w:rsidRPr="00E72418">
        <w:rPr>
          <w:rStyle w:val="Appelnotedebasdep"/>
        </w:rPr>
        <w:footnoteRef/>
      </w:r>
      <w:r w:rsidRPr="00E72418">
        <w:t xml:space="preserve"> C. </w:t>
      </w:r>
      <w:r w:rsidRPr="00E72418">
        <w:rPr>
          <w:smallCaps/>
        </w:rPr>
        <w:t>Tan</w:t>
      </w:r>
      <w:r w:rsidRPr="00E72418">
        <w:t xml:space="preserve">, « </w:t>
      </w:r>
      <w:r w:rsidRPr="00E72418">
        <w:rPr>
          <w:rFonts w:cs="Times New Roman"/>
          <w:szCs w:val="24"/>
          <w:lang w:val="en-US"/>
        </w:rPr>
        <w:t>Reframing the debate: the debt relief initiative and new normative values in the governance of third world*</w:t>
      </w:r>
      <w:r w:rsidRPr="00E72418">
        <w:t xml:space="preserve"> debt », </w:t>
      </w:r>
      <w:r w:rsidRPr="00E72418">
        <w:rPr>
          <w:i/>
        </w:rPr>
        <w:t>op. cit.</w:t>
      </w:r>
      <w:r w:rsidRPr="00E72418">
        <w:t>, p. 257.</w:t>
      </w:r>
    </w:p>
  </w:footnote>
  <w:footnote w:id="210">
    <w:p w14:paraId="20CB53D7" w14:textId="03359B1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www.worldbank.org/en/topic/debt/brief/hipc</w:t>
        </w:r>
      </w:hyperlink>
      <w:r w:rsidRPr="00E72418">
        <w:rPr>
          <w:rStyle w:val="Lienhypertexte"/>
          <w:color w:val="auto"/>
          <w:szCs w:val="20"/>
          <w:u w:val="none"/>
        </w:rPr>
        <w:t>.</w:t>
      </w:r>
    </w:p>
  </w:footnote>
  <w:footnote w:id="211">
    <w:p w14:paraId="335C2D8E" w14:textId="305E388B"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www.clubdeparis.org/fr/communications/page/initiative-ppte</w:t>
        </w:r>
      </w:hyperlink>
      <w:r w:rsidRPr="00E72418">
        <w:rPr>
          <w:rStyle w:val="Lienhypertexte"/>
          <w:color w:val="auto"/>
          <w:szCs w:val="20"/>
          <w:u w:val="none"/>
        </w:rPr>
        <w:t>.</w:t>
      </w:r>
    </w:p>
  </w:footnote>
  <w:footnote w:id="212">
    <w:p w14:paraId="724C813E" w14:textId="59BA591A"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Voyez </w:t>
      </w:r>
      <w:hyperlink r:id="rId7" w:history="1">
        <w:r w:rsidRPr="00E72418">
          <w:rPr>
            <w:rStyle w:val="Lienhypertexte"/>
            <w:color w:val="auto"/>
            <w:szCs w:val="20"/>
            <w:u w:val="none"/>
          </w:rPr>
          <w:t>www.imf.org/fr/About/Factsheets/Sheets/2016/08/01/16/11/Debt-Relief-Under-the-Heavily-Indebted-Poor-Countries-Initiative</w:t>
        </w:r>
      </w:hyperlink>
      <w:r w:rsidRPr="00E72418">
        <w:rPr>
          <w:rStyle w:val="Lienhypertexte"/>
          <w:color w:val="auto"/>
          <w:szCs w:val="20"/>
          <w:u w:val="none"/>
        </w:rPr>
        <w:t xml:space="preserve"> (consultation le 17 octobre 2021).</w:t>
      </w:r>
    </w:p>
  </w:footnote>
  <w:footnote w:id="213">
    <w:p w14:paraId="7C070D7F" w14:textId="5A0E85C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r:id="rId8" w:history="1">
        <w:r w:rsidRPr="00E72418">
          <w:rPr>
            <w:rStyle w:val="Lienhypertexte"/>
            <w:i/>
            <w:color w:val="auto"/>
            <w:szCs w:val="20"/>
            <w:u w:val="none"/>
          </w:rPr>
          <w:t>Ibid.</w:t>
        </w:r>
      </w:hyperlink>
    </w:p>
  </w:footnote>
  <w:footnote w:id="214">
    <w:p w14:paraId="359DC995" w14:textId="191D58EF"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www.worldbank.org/en/topic/debt/brief/hipc</w:t>
        </w:r>
      </w:hyperlink>
      <w:r w:rsidRPr="00E72418">
        <w:rPr>
          <w:rStyle w:val="Lienhypertexte"/>
          <w:color w:val="auto"/>
          <w:szCs w:val="20"/>
          <w:u w:val="none"/>
        </w:rPr>
        <w:t>.</w:t>
      </w:r>
    </w:p>
  </w:footnote>
  <w:footnote w:id="215">
    <w:p w14:paraId="014B2A21" w14:textId="777777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Propos de William Teare durant les travaux préparatoires du </w:t>
      </w:r>
      <w:r w:rsidRPr="00E72418">
        <w:rPr>
          <w:i/>
          <w:szCs w:val="20"/>
          <w:lang w:val="en-US"/>
        </w:rPr>
        <w:t>Heavily Indebted Poor Countries (Limitation on Debt Recovery) Act 2012</w:t>
      </w:r>
      <w:r w:rsidRPr="00E72418">
        <w:rPr>
          <w:szCs w:val="20"/>
          <w:lang w:val="en-US"/>
        </w:rPr>
        <w:t xml:space="preserve"> in House of Keys, </w:t>
      </w:r>
      <w:r w:rsidRPr="00E72418">
        <w:rPr>
          <w:i/>
          <w:szCs w:val="20"/>
          <w:lang w:val="en-US"/>
        </w:rPr>
        <w:t>Heavily Indebted Poor Countries (Limitation on Debt Recovery) Bill 2012</w:t>
      </w:r>
      <w:r w:rsidRPr="00E72418">
        <w:rPr>
          <w:szCs w:val="20"/>
          <w:lang w:val="en-US"/>
        </w:rPr>
        <w:t xml:space="preserve">, second reading, 8 mai 2012, vol. 129, n° 20, lignes 1675 à 1682. Voyez également les propos de Phil Braidwood durant les travaux préparatoires du </w:t>
      </w:r>
      <w:r w:rsidRPr="00E72418">
        <w:rPr>
          <w:i/>
          <w:szCs w:val="20"/>
          <w:lang w:val="en-US"/>
        </w:rPr>
        <w:t>Heavily Indebted Poor Countries (Limitation on Debt Recovery) Act 2012</w:t>
      </w:r>
      <w:r w:rsidRPr="00E72418">
        <w:rPr>
          <w:szCs w:val="20"/>
          <w:lang w:val="en-US"/>
        </w:rPr>
        <w:t xml:space="preserve"> in Legislative Council, </w:t>
      </w:r>
      <w:r w:rsidRPr="00E72418">
        <w:rPr>
          <w:i/>
          <w:szCs w:val="20"/>
          <w:lang w:val="en-US"/>
        </w:rPr>
        <w:t>Heavily Indebted Poor Countries (Limitation on Debt Recovery) Bill 2012</w:t>
      </w:r>
      <w:r w:rsidRPr="00E72418">
        <w:rPr>
          <w:szCs w:val="20"/>
          <w:lang w:val="en-US"/>
        </w:rPr>
        <w:t>, first reading, 22 juin 2012, vol. 129, n° 14, lignes 700 à 707.</w:t>
      </w:r>
    </w:p>
  </w:footnote>
  <w:footnote w:id="216">
    <w:p w14:paraId="3B9BF507" w14:textId="0DE7B889"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hyperlink w:history="1">
        <w:r w:rsidRPr="00E72418">
          <w:rPr>
            <w:rStyle w:val="Lienhypertexte"/>
            <w:color w:val="auto"/>
            <w:szCs w:val="20"/>
            <w:u w:val="none"/>
            <w:lang w:val="en-US"/>
          </w:rPr>
          <w:t>Voyez www.imf.org/fr/About/Factsheets/Sheets/2016/08/01/16/11/Debt-Relief-Under-the-Heavily-Indebted-Poor-Countries-Initiative</w:t>
        </w:r>
      </w:hyperlink>
      <w:r w:rsidRPr="00E72418">
        <w:rPr>
          <w:rStyle w:val="Lienhypertexte"/>
          <w:color w:val="auto"/>
          <w:szCs w:val="20"/>
          <w:u w:val="none"/>
          <w:lang w:val="en-US"/>
        </w:rPr>
        <w:t>.</w:t>
      </w:r>
    </w:p>
  </w:footnote>
  <w:footnote w:id="217">
    <w:p w14:paraId="6913DA7E" w14:textId="2B307A1B"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hyperlink r:id="rId9" w:history="1">
        <w:r w:rsidRPr="00E72418">
          <w:rPr>
            <w:rStyle w:val="Lienhypertexte"/>
            <w:i/>
            <w:color w:val="auto"/>
            <w:szCs w:val="20"/>
            <w:u w:val="none"/>
            <w:lang w:val="en-US"/>
          </w:rPr>
          <w:t>Ibid.</w:t>
        </w:r>
      </w:hyperlink>
    </w:p>
  </w:footnote>
  <w:footnote w:id="218">
    <w:p w14:paraId="39B20DFB" w14:textId="34865D6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hyperlink r:id="rId10" w:history="1">
        <w:r w:rsidRPr="00E72418">
          <w:rPr>
            <w:rStyle w:val="Lienhypertexte"/>
            <w:i/>
            <w:color w:val="auto"/>
            <w:szCs w:val="20"/>
            <w:u w:val="none"/>
            <w:lang w:val="en-US"/>
          </w:rPr>
          <w:t>Ibid.</w:t>
        </w:r>
      </w:hyperlink>
    </w:p>
  </w:footnote>
  <w:footnote w:id="219">
    <w:p w14:paraId="7ECF39D6" w14:textId="7AE0CF7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hyperlink r:id="rId11" w:history="1">
        <w:r w:rsidRPr="00E72418">
          <w:rPr>
            <w:rStyle w:val="Lienhypertexte"/>
            <w:i/>
            <w:color w:val="auto"/>
            <w:szCs w:val="20"/>
            <w:u w:val="none"/>
            <w:lang w:val="en-US"/>
          </w:rPr>
          <w:t>Ibid.</w:t>
        </w:r>
      </w:hyperlink>
    </w:p>
  </w:footnote>
  <w:footnote w:id="220">
    <w:p w14:paraId="6EEAB6E8" w14:textId="472FC3BE" w:rsidR="0030147D" w:rsidRPr="00E72418" w:rsidRDefault="0030147D" w:rsidP="0012068A">
      <w:pPr>
        <w:pStyle w:val="Sansinterligne"/>
        <w:rPr>
          <w:szCs w:val="20"/>
        </w:rPr>
      </w:pPr>
      <w:r w:rsidRPr="00E72418">
        <w:rPr>
          <w:rStyle w:val="Appelnotedebasdep"/>
          <w:szCs w:val="20"/>
        </w:rPr>
        <w:footnoteRef/>
      </w:r>
      <w:r w:rsidRPr="00E72418">
        <w:rPr>
          <w:szCs w:val="20"/>
        </w:rPr>
        <w:t xml:space="preserve"> Ce facteur est calculé après application de l’allègement accordé par le biais du traditionnel « traitement de Naples » de soixante-sept pour cent accordé par le Club de Paris. Le traitement de Naples vise les termes que les créanciers du Club de Paris ont décidé d’appliquer en 1994 pour les pays les plus pauvres et les plus endettés lesquels consistent</w:t>
      </w:r>
      <w:r>
        <w:rPr>
          <w:szCs w:val="20"/>
        </w:rPr>
        <w:t>,</w:t>
      </w:r>
      <w:r w:rsidRPr="00E72418">
        <w:rPr>
          <w:szCs w:val="20"/>
        </w:rPr>
        <w:t xml:space="preserve"> pour l’essentiel</w:t>
      </w:r>
      <w:r>
        <w:rPr>
          <w:szCs w:val="20"/>
        </w:rPr>
        <w:t>,</w:t>
      </w:r>
      <w:r w:rsidRPr="00E72418">
        <w:rPr>
          <w:szCs w:val="20"/>
        </w:rPr>
        <w:t xml:space="preserve"> en une annulation de soixante-sept pour cent des dettes éligibles. Reprenons l’exemple donné par les notes explicatives au </w:t>
      </w:r>
      <w:r w:rsidRPr="00E72418">
        <w:rPr>
          <w:i/>
          <w:szCs w:val="20"/>
        </w:rPr>
        <w:t>Debt Relief (Developing Countries) Act</w:t>
      </w:r>
      <w:r w:rsidRPr="00E72418">
        <w:rPr>
          <w:szCs w:val="20"/>
        </w:rPr>
        <w:t xml:space="preserve"> 2010 britannique : « </w:t>
      </w:r>
      <w:r w:rsidRPr="00E72418">
        <w:rPr>
          <w:szCs w:val="20"/>
          <w:lang w:val="en-US"/>
        </w:rPr>
        <w:t>[f]</w:t>
      </w:r>
      <w:r w:rsidRPr="00E72418">
        <w:rPr>
          <w:szCs w:val="20"/>
        </w:rPr>
        <w:t xml:space="preserve">or example, the Common Reduction Factor for an eligible country might be 33%. A debt of £100, if reduced in accordance with the Initiative, would first be reduced by 67% through traditional relief, to a new value of £33. Further reduction by the Common Reduction Factor gives the amount the debt would be if it were reduced in accordance with the Initiative </w:t>
      </w:r>
      <w:r w:rsidRPr="00E72418">
        <w:rPr>
          <w:szCs w:val="20"/>
          <w:lang w:val="en-US"/>
        </w:rPr>
        <w:t>[…]</w:t>
      </w:r>
      <w:r w:rsidRPr="00E72418">
        <w:rPr>
          <w:szCs w:val="20"/>
        </w:rPr>
        <w:t xml:space="preserve"> as £22, and hence the relevant proportion as 22% » (</w:t>
      </w:r>
      <w:r w:rsidRPr="00E72418">
        <w:rPr>
          <w:i/>
          <w:szCs w:val="20"/>
        </w:rPr>
        <w:t>Debt Relief (Developing Countries) Act 2010</w:t>
      </w:r>
      <w:r w:rsidRPr="00E72418">
        <w:rPr>
          <w:szCs w:val="20"/>
        </w:rPr>
        <w:t>, explanatory notes, paragraphe 23</w:t>
      </w:r>
      <w:r w:rsidRPr="00E72418">
        <w:rPr>
          <w:rStyle w:val="Lienhypertexte"/>
          <w:color w:val="auto"/>
          <w:szCs w:val="20"/>
          <w:u w:val="none"/>
        </w:rPr>
        <w:t xml:space="preserve">). </w:t>
      </w:r>
      <w:r w:rsidRPr="00E72418">
        <w:rPr>
          <w:szCs w:val="20"/>
        </w:rPr>
        <w:t xml:space="preserve">Voyez sur ce « traitement de Naples » les informations disponibles à l’adresse </w:t>
      </w:r>
      <w:hyperlink r:id="rId12" w:history="1">
        <w:r w:rsidRPr="00E72418">
          <w:rPr>
            <w:rStyle w:val="Lienhypertexte"/>
            <w:color w:val="auto"/>
            <w:szCs w:val="20"/>
            <w:u w:val="none"/>
          </w:rPr>
          <w:t>www.clubdeparis.org/fr/communications/page/termes-naples</w:t>
        </w:r>
      </w:hyperlink>
      <w:r w:rsidRPr="00E72418">
        <w:rPr>
          <w:rStyle w:val="Lienhypertexte"/>
          <w:color w:val="auto"/>
          <w:szCs w:val="20"/>
          <w:u w:val="none"/>
        </w:rPr>
        <w:t xml:space="preserve"> (consultation le 17 octobre 2021)</w:t>
      </w:r>
      <w:r w:rsidRPr="00E72418">
        <w:rPr>
          <w:szCs w:val="20"/>
        </w:rPr>
        <w:t>.</w:t>
      </w:r>
    </w:p>
  </w:footnote>
  <w:footnote w:id="221">
    <w:p w14:paraId="3D77DF56" w14:textId="3F4BA7A2"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Voyez www.imf.org/fr/About/Factsheets/Sheets/2016/08/01/16/11/Debt-Relief-Under-the-Heavily-Indebted-Poor-Countries-Initiative.</w:t>
      </w:r>
    </w:p>
  </w:footnote>
  <w:footnote w:id="222">
    <w:p w14:paraId="3ABFC63A" w14:textId="46F5E268" w:rsidR="0030147D" w:rsidRPr="00E72418" w:rsidRDefault="0030147D" w:rsidP="00250C9C">
      <w:pPr>
        <w:pStyle w:val="Sansinterligne"/>
        <w:rPr>
          <w:szCs w:val="20"/>
        </w:rPr>
      </w:pPr>
      <w:r w:rsidRPr="00E72418">
        <w:rPr>
          <w:rStyle w:val="Appelnotedebasdep"/>
          <w:szCs w:val="20"/>
        </w:rPr>
        <w:footnoteRef/>
      </w:r>
      <w:r w:rsidRPr="00E72418">
        <w:rPr>
          <w:szCs w:val="20"/>
        </w:rPr>
        <w:t xml:space="preserve"> </w:t>
      </w:r>
      <w:r w:rsidRPr="00E72418">
        <w:rPr>
          <w:smallCaps/>
          <w:szCs w:val="20"/>
        </w:rPr>
        <w:t>A. Horne</w:t>
      </w:r>
      <w:r w:rsidRPr="00E72418">
        <w:rPr>
          <w:szCs w:val="20"/>
        </w:rPr>
        <w:t xml:space="preserve">, « Debt Relief (Developing Countries) Bill », </w:t>
      </w:r>
      <w:r w:rsidRPr="00E72418">
        <w:rPr>
          <w:rStyle w:val="Titre2Car"/>
          <w:rFonts w:ascii="Times" w:eastAsiaTheme="minorHAnsi" w:hAnsi="Times" w:cstheme="minorBidi"/>
          <w:color w:val="auto"/>
          <w:sz w:val="20"/>
          <w:szCs w:val="20"/>
        </w:rPr>
        <w:t>House of Commons Library</w:t>
      </w:r>
      <w:r w:rsidRPr="00E72418">
        <w:rPr>
          <w:szCs w:val="20"/>
        </w:rPr>
        <w:t>, Research Paper 10/17, 25 février 2010, p. 4.</w:t>
      </w:r>
    </w:p>
  </w:footnote>
  <w:footnote w:id="223">
    <w:p w14:paraId="6A246CB2" w14:textId="6BF1ED16"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25</w:t>
      </w:r>
      <w:r w:rsidRPr="00E72418">
        <w:rPr>
          <w:rStyle w:val="Lienhypertexte"/>
          <w:color w:val="auto"/>
          <w:szCs w:val="20"/>
          <w:u w:val="none"/>
          <w:lang w:val="en-US"/>
        </w:rPr>
        <w:t>.</w:t>
      </w:r>
    </w:p>
  </w:footnote>
  <w:footnote w:id="224">
    <w:p w14:paraId="126AC966" w14:textId="2F610A2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En ce qui concerne les chiffres, les petites institutions multilatérales, les créanciers bilatéraux officiels non membres du Club de Paris et les créanciers commerciaux, représentant ensemble environ vingt-sept pour cent du total des coûts de l’Initiative Pays Pauvres Très Endettés, n’ont fourni jusqu’à présent qu’une petite partie de l’allègement attendu de leur part (</w:t>
      </w:r>
      <w:hyperlink w:history="1">
        <w:r w:rsidRPr="00E72418">
          <w:rPr>
            <w:rStyle w:val="Lienhypertexte"/>
            <w:color w:val="auto"/>
            <w:szCs w:val="20"/>
            <w:u w:val="none"/>
          </w:rPr>
          <w:t>voyez www.imf.org/fr/About/Factsheets/Sheets/2016/08/01/16/11/Debt-Relief-Under-the-Heavily-Indebted-Poor-Countries-Initiative</w:t>
        </w:r>
      </w:hyperlink>
      <w:r w:rsidRPr="00E72418">
        <w:rPr>
          <w:rStyle w:val="Lienhypertexte"/>
          <w:color w:val="auto"/>
          <w:szCs w:val="20"/>
          <w:u w:val="none"/>
        </w:rPr>
        <w:t xml:space="preserve">). </w:t>
      </w:r>
    </w:p>
  </w:footnote>
  <w:footnote w:id="225">
    <w:p w14:paraId="25BD14A4" w14:textId="56BDD0DE" w:rsidR="0030147D" w:rsidRPr="00E72418" w:rsidRDefault="0030147D" w:rsidP="00235EE6">
      <w:pPr>
        <w:pStyle w:val="Sansinterligne"/>
        <w:rPr>
          <w:szCs w:val="20"/>
          <w:lang w:val="en-US"/>
        </w:rPr>
      </w:pPr>
      <w:r w:rsidRPr="00E72418">
        <w:rPr>
          <w:rStyle w:val="Appelnotedebasdep"/>
          <w:szCs w:val="20"/>
        </w:rPr>
        <w:footnoteRef/>
      </w:r>
      <w:r w:rsidRPr="00E72418">
        <w:rPr>
          <w:szCs w:val="20"/>
        </w:rPr>
        <w:t xml:space="preserve"> </w:t>
      </w:r>
      <w:r w:rsidRPr="00E72418">
        <w:rPr>
          <w:rStyle w:val="Lienhypertexte"/>
          <w:color w:val="auto"/>
          <w:szCs w:val="20"/>
          <w:u w:val="none"/>
          <w:lang w:val="en-US"/>
        </w:rPr>
        <w:t xml:space="preserve">Sally Keeble notait différents arguments justifiant de la démarche des créanciers coopératifs : </w:t>
      </w:r>
      <w:r w:rsidRPr="00E72418">
        <w:rPr>
          <w:szCs w:val="20"/>
          <w:lang w:val="en-US"/>
        </w:rPr>
        <w:t xml:space="preserve">« commercial creditors have, notably and laudably, contributed to the debt cancellation, writing off debts because there was no realistic proposition of being able to collect them, out of concern for the impact of debt on the economic growth from which investors hope to benefit, or out of a genuine desire to be part of one of the most progressive movements in the world-the debt cancellation programme » (propos repris in House of Commons, </w:t>
      </w:r>
      <w:r w:rsidRPr="00E72418">
        <w:rPr>
          <w:i/>
          <w:szCs w:val="20"/>
          <w:lang w:val="en-US"/>
        </w:rPr>
        <w:t>Debt Relief (Developing Countries) Bill</w:t>
      </w:r>
      <w:r w:rsidRPr="00E72418">
        <w:rPr>
          <w:szCs w:val="20"/>
          <w:lang w:val="en-US"/>
        </w:rPr>
        <w:t>, second reading, 26 février 2010, vol. 506, colonne 562</w:t>
      </w:r>
      <w:r w:rsidR="00824C07">
        <w:rPr>
          <w:szCs w:val="20"/>
          <w:lang w:val="en-US"/>
        </w:rPr>
        <w:t xml:space="preserve"> (</w:t>
      </w:r>
      <w:r w:rsidR="009E72E5" w:rsidRPr="009E72E5">
        <w:rPr>
          <w:i/>
          <w:szCs w:val="20"/>
          <w:lang w:val="en-US"/>
        </w:rPr>
        <w:t>sic.</w:t>
      </w:r>
      <w:r w:rsidR="00824C07">
        <w:rPr>
          <w:szCs w:val="20"/>
          <w:lang w:val="en-US"/>
        </w:rPr>
        <w:t>)</w:t>
      </w:r>
      <w:r w:rsidRPr="00E72418">
        <w:rPr>
          <w:szCs w:val="20"/>
          <w:lang w:val="en-US"/>
        </w:rPr>
        <w:t xml:space="preserve">). </w:t>
      </w:r>
      <w:r w:rsidRPr="00E72418">
        <w:rPr>
          <w:szCs w:val="20"/>
        </w:rPr>
        <w:t>En raison de la nature volontaire de la participation des créanciers et des écueils de son absence, la Banque mondiale et le Fonds monétaire international recourent à la persuasion pour encourager les créanciers à y participer et à assumer pleinement leur part de l’allègement au titre de l’Initiative (</w:t>
      </w:r>
      <w:hyperlink w:history="1">
        <w:r w:rsidRPr="00E72418">
          <w:rPr>
            <w:rStyle w:val="Lienhypertexte"/>
            <w:color w:val="auto"/>
            <w:szCs w:val="20"/>
            <w:u w:val="none"/>
            <w:lang w:val="en-US"/>
          </w:rPr>
          <w:t>voyez www.imf.org/fr/About/Factsheets/Sheets/2016/08/01/16/11/Debt-Relief-Under-the-Heavily-Indebted-Poor-Countries-Initiative</w:t>
        </w:r>
      </w:hyperlink>
      <w:r w:rsidRPr="00E72418">
        <w:rPr>
          <w:rStyle w:val="Lienhypertexte"/>
          <w:color w:val="auto"/>
          <w:szCs w:val="20"/>
          <w:u w:val="none"/>
          <w:lang w:val="en-US"/>
        </w:rPr>
        <w:t>)</w:t>
      </w:r>
      <w:r w:rsidRPr="00E72418">
        <w:rPr>
          <w:szCs w:val="20"/>
        </w:rPr>
        <w:t>.</w:t>
      </w:r>
    </w:p>
  </w:footnote>
  <w:footnote w:id="226">
    <w:p w14:paraId="61CD8F19" w14:textId="30F0741C"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492.</w:t>
      </w:r>
    </w:p>
  </w:footnote>
  <w:footnote w:id="227">
    <w:p w14:paraId="25F7A2C7" w14:textId="7595CAD8"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hyperlink w:history="1">
        <w:r w:rsidRPr="00E72418">
          <w:rPr>
            <w:rStyle w:val="Lienhypertexte"/>
            <w:color w:val="auto"/>
            <w:szCs w:val="20"/>
            <w:u w:val="none"/>
            <w:lang w:val="en-US"/>
          </w:rPr>
          <w:t>Voyez www.clubdeparis.org/fr/communications/page/initiative-ppte</w:t>
        </w:r>
      </w:hyperlink>
      <w:r w:rsidRPr="00E72418">
        <w:rPr>
          <w:rStyle w:val="Lienhypertexte"/>
          <w:color w:val="auto"/>
          <w:szCs w:val="20"/>
          <w:u w:val="none"/>
          <w:lang w:val="en-US"/>
        </w:rPr>
        <w:t>.</w:t>
      </w:r>
    </w:p>
  </w:footnote>
  <w:footnote w:id="228">
    <w:p w14:paraId="282C66F7" w14:textId="1674E0F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715.</w:t>
      </w:r>
    </w:p>
  </w:footnote>
  <w:footnote w:id="229">
    <w:p w14:paraId="4A76CDD3" w14:textId="7AC9AC9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Les pays ayant dépassé le point d’achèvement sont l’Afghanistan, le Bénin, la Bolivie, le Burkina Faso, le Burundi, le Cameroun, la République centrafricaine, la République du Congo, la République démocratique du Congo, les Comores, la Côte d’Ivoire, l’Éthiopie, la Gambie, le Ghana, la Guinée, la Guinée-Bissau, le Guyana, Haïti, le Honduras, le Libéria, Madagascar, le Malawi, le Mali, la Mauritanie, le Mozambique, le Nicaragua, le Niger, l’Ouganda, le Rwanda, São Tomé-et-Principe, le Sénégal, le Sierra Leone, la Tanzanie, le Tchad, le Togo et la Zambie. Les pays proches du point de décision sont l’Érythrée, la Somalie et le Soudan (</w:t>
      </w:r>
      <w:hyperlink w:history="1">
        <w:r w:rsidRPr="00E72418">
          <w:rPr>
            <w:rStyle w:val="Lienhypertexte"/>
            <w:color w:val="auto"/>
            <w:szCs w:val="20"/>
            <w:u w:val="none"/>
          </w:rPr>
          <w:t>voyez www.imf.org/en/About/Factsheets/Sheets/2016/08/01/16/11/Debt-Relief-Under-the-Heavily-Indebted-Poor-Countries-Initiative</w:t>
        </w:r>
      </w:hyperlink>
      <w:r w:rsidRPr="00E72418">
        <w:rPr>
          <w:rStyle w:val="Lienhypertexte"/>
          <w:color w:val="auto"/>
          <w:szCs w:val="20"/>
          <w:u w:val="none"/>
        </w:rPr>
        <w:t xml:space="preserve">). </w:t>
      </w:r>
      <w:r w:rsidRPr="00E72418">
        <w:rPr>
          <w:szCs w:val="20"/>
        </w:rPr>
        <w:t>Notons qu’en 1999, un examen exhaustif de l’Initiative a conduit à son amélioration de sorte qu’elle permette d’octroyer plus rapidement un allègement plus substantiel à un plus grand nombre de pays. Un ajustement à la baisse des seuils de dettes fut pratiqué permettant à un plus grand nombre de pays de se qualifier pour un allègement de leur dette (</w:t>
      </w:r>
      <w:hyperlink w:history="1">
        <w:r w:rsidRPr="00E72418">
          <w:rPr>
            <w:rStyle w:val="Lienhypertexte"/>
            <w:color w:val="auto"/>
            <w:szCs w:val="20"/>
            <w:u w:val="none"/>
          </w:rPr>
          <w:t>voyez www.worldbank.org/en/topic/debt/brief/hipc</w:t>
        </w:r>
      </w:hyperlink>
      <w:r w:rsidRPr="00E72418">
        <w:rPr>
          <w:rStyle w:val="Lienhypertexte"/>
          <w:color w:val="auto"/>
          <w:szCs w:val="20"/>
          <w:u w:val="none"/>
        </w:rPr>
        <w:t>)</w:t>
      </w:r>
      <w:r w:rsidRPr="00E72418">
        <w:rPr>
          <w:szCs w:val="20"/>
        </w:rPr>
        <w:t>. Les liens entre l’allègement de la dette, la réduction de la pauvreté et la politique sociale furent par ailleurs renforcés (</w:t>
      </w:r>
      <w:hyperlink w:history="1">
        <w:r w:rsidRPr="00E72418">
          <w:rPr>
            <w:rStyle w:val="Lienhypertexte"/>
            <w:color w:val="auto"/>
            <w:szCs w:val="20"/>
            <w:u w:val="none"/>
          </w:rPr>
          <w:t>voyez www.imf.org/fr/About/Factsheets/Sheets/2016/08/01/16/11/Debt-Relief-Under-the-Heavily-Indebted-Poor-Countries-Initiative</w:t>
        </w:r>
      </w:hyperlink>
      <w:r w:rsidRPr="00E72418">
        <w:rPr>
          <w:rStyle w:val="Lienhypertexte"/>
          <w:color w:val="auto"/>
          <w:szCs w:val="20"/>
          <w:u w:val="none"/>
        </w:rPr>
        <w:t>)</w:t>
      </w:r>
      <w:r w:rsidRPr="00E72418">
        <w:rPr>
          <w:szCs w:val="20"/>
        </w:rPr>
        <w:t>.</w:t>
      </w:r>
    </w:p>
  </w:footnote>
  <w:footnote w:id="230">
    <w:p w14:paraId="4AC2E50E" w14:textId="5A22D83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Ce sont là les données les plus à jour reprises sur le site du Fonds monétaire international (</w:t>
      </w:r>
      <w:hyperlink w:history="1">
        <w:r w:rsidRPr="00E72418">
          <w:rPr>
            <w:rStyle w:val="Lienhypertexte"/>
            <w:color w:val="auto"/>
            <w:szCs w:val="20"/>
            <w:u w:val="none"/>
          </w:rPr>
          <w:t>voyez www.imf.org/fr/About/Factsheets/Sheets/2016/08/01/16/11/Debt-Relief-Under-the-Heavily-Indebted-Poor-Countries-Initiative</w:t>
        </w:r>
      </w:hyperlink>
      <w:r w:rsidRPr="00E72418">
        <w:rPr>
          <w:rStyle w:val="Lienhypertexte"/>
          <w:color w:val="auto"/>
          <w:szCs w:val="20"/>
          <w:u w:val="none"/>
        </w:rPr>
        <w:t>).</w:t>
      </w:r>
    </w:p>
  </w:footnote>
  <w:footnote w:id="231">
    <w:p w14:paraId="31DA15EA" w14:textId="5E5A5FD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Voyez notamment les propos d’Ian Pearson lors des débats portant sur la loi britannique repris in House of Commons, </w:t>
      </w:r>
      <w:r w:rsidRPr="00E72418">
        <w:rPr>
          <w:i/>
          <w:szCs w:val="20"/>
        </w:rPr>
        <w:t>Debt Relief (Developing Countries) Bill</w:t>
      </w:r>
      <w:r w:rsidRPr="00E72418">
        <w:rPr>
          <w:szCs w:val="20"/>
        </w:rPr>
        <w:t xml:space="preserve">, second reading, 26 février 2010, vol. 506, colonne 572. Voyez encore S. </w:t>
      </w:r>
      <w:r w:rsidRPr="00E72418">
        <w:rPr>
          <w:smallCaps/>
          <w:szCs w:val="20"/>
        </w:rPr>
        <w:t>Gafari</w:t>
      </w:r>
      <w:r w:rsidRPr="00E72418">
        <w:rPr>
          <w:szCs w:val="20"/>
        </w:rPr>
        <w:t xml:space="preserve"> et A. </w:t>
      </w:r>
      <w:r w:rsidRPr="00E72418">
        <w:rPr>
          <w:smallCaps/>
          <w:szCs w:val="20"/>
        </w:rPr>
        <w:t>Bauer</w:t>
      </w:r>
      <w:r w:rsidRPr="00E72418">
        <w:rPr>
          <w:szCs w:val="20"/>
        </w:rPr>
        <w:t xml:space="preserve">, « L’action du Club de Paris et du G20 en matière de traitement de dette à l’heure de la Covid-19 », </w:t>
      </w:r>
      <w:r w:rsidRPr="00E72418">
        <w:rPr>
          <w:i/>
          <w:szCs w:val="20"/>
        </w:rPr>
        <w:t>Revue d’économie financière</w:t>
      </w:r>
      <w:r w:rsidRPr="00E72418">
        <w:rPr>
          <w:szCs w:val="20"/>
        </w:rPr>
        <w:t>, 2021, p. 258 qui notent que « </w:t>
      </w:r>
      <w:r w:rsidRPr="00E72418">
        <w:t xml:space="preserve">l’initiative PPTE a permis de rétablir la soutenabilité de la dette des pays concernés et les réformes menées ont permis d’améliorer les fondamentaux économiques de ces pays qui ont été capables d’attirer des capitaux pour financer leurs besoins importants d’investissement, notamment dans les infrastructures </w:t>
      </w:r>
      <w:r w:rsidRPr="00E72418">
        <w:rPr>
          <w:szCs w:val="20"/>
        </w:rPr>
        <w:t>».</w:t>
      </w:r>
    </w:p>
  </w:footnote>
  <w:footnote w:id="232">
    <w:p w14:paraId="68046166" w14:textId="3CE3A08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xml:space="preserve">, p. 160. Remarquons toutefois que les conditions posées à l’achèvement de l’Initiative visent à faire en sorte que l’argent libéré soit affecté à des programmes de réduction de la pauvreté et qu’il contribue à la croissance économique (Jersey, </w:t>
      </w:r>
      <w:r w:rsidRPr="00E72418">
        <w:rPr>
          <w:i/>
          <w:szCs w:val="20"/>
        </w:rPr>
        <w:t>Debt Relief for Poorer Countries: Green paper consultation</w:t>
      </w:r>
      <w:r w:rsidRPr="00E72418">
        <w:rPr>
          <w:szCs w:val="20"/>
        </w:rPr>
        <w:t xml:space="preserve">, 15 septembre 2011, paragraphe 3.3. Voyez encore N. </w:t>
      </w:r>
      <w:r w:rsidRPr="00E72418">
        <w:rPr>
          <w:smallCaps/>
          <w:szCs w:val="20"/>
        </w:rPr>
        <w:t>Birdsall</w:t>
      </w:r>
      <w:r w:rsidRPr="00E72418">
        <w:rPr>
          <w:szCs w:val="20"/>
        </w:rPr>
        <w:t xml:space="preserve">, J. </w:t>
      </w:r>
      <w:r w:rsidRPr="00E72418">
        <w:rPr>
          <w:smallCaps/>
          <w:szCs w:val="20"/>
        </w:rPr>
        <w:t>Williamson</w:t>
      </w:r>
      <w:r w:rsidRPr="00E72418">
        <w:rPr>
          <w:szCs w:val="20"/>
        </w:rPr>
        <w:t xml:space="preserve"> et B. </w:t>
      </w:r>
      <w:r w:rsidRPr="00E72418">
        <w:rPr>
          <w:smallCaps/>
          <w:szCs w:val="20"/>
        </w:rPr>
        <w:t>Deese</w:t>
      </w:r>
      <w:r w:rsidRPr="00E72418">
        <w:rPr>
          <w:szCs w:val="20"/>
        </w:rPr>
        <w:t xml:space="preserve">, </w:t>
      </w:r>
      <w:r w:rsidRPr="00E72418">
        <w:rPr>
          <w:i/>
          <w:szCs w:val="20"/>
        </w:rPr>
        <w:t xml:space="preserve">Delivering on Debt Relief </w:t>
      </w:r>
      <w:r w:rsidRPr="00E72418">
        <w:rPr>
          <w:b/>
          <w:i/>
        </w:rPr>
        <w:t>–</w:t>
      </w:r>
      <w:r w:rsidRPr="00E72418">
        <w:rPr>
          <w:i/>
          <w:szCs w:val="20"/>
        </w:rPr>
        <w:t xml:space="preserve"> From IMF Gold to a New Aid Architecture</w:t>
      </w:r>
      <w:r w:rsidRPr="00E72418">
        <w:rPr>
          <w:szCs w:val="20"/>
        </w:rPr>
        <w:t>, Center for Global Development and the Institute for International Economics, 2002, p. 36).</w:t>
      </w:r>
    </w:p>
  </w:footnote>
  <w:footnote w:id="233">
    <w:p w14:paraId="0B198151" w14:textId="2A2CC1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Voyez notamment </w:t>
      </w:r>
      <w:r w:rsidRPr="00E72418">
        <w:rPr>
          <w:smallCaps/>
          <w:szCs w:val="20"/>
          <w:lang w:val="en-US"/>
        </w:rPr>
        <w:t>L. Guder</w:t>
      </w:r>
      <w:r w:rsidRPr="00E72418">
        <w:rPr>
          <w:szCs w:val="20"/>
          <w:lang w:val="en-US"/>
        </w:rPr>
        <w:t xml:space="preserve">, </w:t>
      </w:r>
      <w:r w:rsidRPr="00E72418">
        <w:rPr>
          <w:i/>
          <w:szCs w:val="20"/>
          <w:lang w:val="en-US"/>
        </w:rPr>
        <w:t>The Administration of Debt Relief by the International Financial Institutions – A Legal Reconstruction of the HIPC Initiative</w:t>
      </w:r>
      <w:r w:rsidRPr="00E72418">
        <w:rPr>
          <w:szCs w:val="20"/>
          <w:lang w:val="en-US"/>
        </w:rPr>
        <w:t>, Springer, 2009, p. 226 qui note, entre autres, que « [r]egarding procedure, the HIPC program is not legally determined ».</w:t>
      </w:r>
    </w:p>
  </w:footnote>
  <w:footnote w:id="234">
    <w:p w14:paraId="6C82AC2E" w14:textId="33BA13B5"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Waibel</w:t>
      </w:r>
      <w:r w:rsidRPr="00E72418">
        <w:rPr>
          <w:szCs w:val="20"/>
          <w:lang w:val="en-US"/>
        </w:rPr>
        <w:t xml:space="preserve">, « Debt relief to poor countries: Rules v. Discretion », </w:t>
      </w:r>
      <w:r w:rsidRPr="00E72418">
        <w:rPr>
          <w:i/>
          <w:szCs w:val="20"/>
          <w:lang w:val="en-US"/>
        </w:rPr>
        <w:t>op. cit.</w:t>
      </w:r>
      <w:r w:rsidRPr="00E72418">
        <w:rPr>
          <w:szCs w:val="20"/>
          <w:lang w:val="en-US"/>
        </w:rPr>
        <w:t xml:space="preserve">, p. 295. </w:t>
      </w:r>
      <w:r w:rsidRPr="00E72418">
        <w:rPr>
          <w:szCs w:val="20"/>
        </w:rPr>
        <w:t>L’auteur relève toutefois qu’en raison de sa nature informelle, l’Initiative ne définit pas précisément les dettes qu’elle vise et donne l’exemple des « unliquidated damages claims » dont il est impossible de savoir si elles font partie des dettes visées.</w:t>
      </w:r>
    </w:p>
  </w:footnote>
  <w:footnote w:id="235">
    <w:p w14:paraId="6C1463E8" w14:textId="5A93EDE0"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p. 32.</w:t>
      </w:r>
    </w:p>
  </w:footnote>
  <w:footnote w:id="236">
    <w:p w14:paraId="6549BD94" w14:textId="12D46DF3"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rPr>
          <w:lang w:val="en-US"/>
        </w:rPr>
        <w:t xml:space="preserve"> </w:t>
      </w:r>
      <w:r w:rsidRPr="00E72418">
        <w:rPr>
          <w:smallCaps/>
          <w:lang w:val="en-US"/>
        </w:rPr>
        <w:t>T. Laryea</w:t>
      </w:r>
      <w:r w:rsidRPr="00E72418">
        <w:rPr>
          <w:lang w:val="en-US"/>
        </w:rPr>
        <w:t xml:space="preserve">, « </w:t>
      </w:r>
      <w:r w:rsidRPr="00E72418">
        <w:rPr>
          <w:i/>
          <w:lang w:val="en-GB"/>
        </w:rPr>
        <w:t>Donegal v. Zambia</w:t>
      </w:r>
      <w:r w:rsidRPr="00E72418">
        <w:rPr>
          <w:lang w:val="en-GB"/>
        </w:rPr>
        <w:t xml:space="preserve"> and the Persistent Debt Problems of Low-Income Countries</w:t>
      </w:r>
      <w:r w:rsidRPr="00E72418">
        <w:rPr>
          <w:lang w:val="en-US"/>
        </w:rPr>
        <w:t xml:space="preserve"> », </w:t>
      </w:r>
      <w:r w:rsidRPr="00E72418">
        <w:rPr>
          <w:rFonts w:ascii="Times New Roman" w:hAnsi="Times New Roman" w:cs="Times New Roman"/>
          <w:i/>
        </w:rPr>
        <w:t>Law&amp;ContempProbs</w:t>
      </w:r>
      <w:r w:rsidRPr="00E72418">
        <w:rPr>
          <w:lang w:val="en-US"/>
        </w:rPr>
        <w:t xml:space="preserve">, 2010, p. 196. </w:t>
      </w:r>
      <w:r w:rsidRPr="00E72418">
        <w:t xml:space="preserve">Nous verrons que c’est précisément cette faiblesse de l’Initiative et le profit qu’en tira concrètement la société </w:t>
      </w:r>
      <w:r w:rsidRPr="00E72418">
        <w:rPr>
          <w:i/>
        </w:rPr>
        <w:t>Donegal International Ltd.</w:t>
      </w:r>
      <w:r w:rsidRPr="00E72418">
        <w:t xml:space="preserve"> opposée à la République de Zambie qui conduisirent le législateur britannique à adopter le </w:t>
      </w:r>
      <w:r w:rsidRPr="00E72418">
        <w:rPr>
          <w:i/>
        </w:rPr>
        <w:t>Debt Relief (Developing Countries) Act</w:t>
      </w:r>
      <w:r w:rsidRPr="00E72418">
        <w:t xml:space="preserve"> de 2010 (voyez </w:t>
      </w:r>
      <w:r w:rsidRPr="00E72418">
        <w:rPr>
          <w:i/>
        </w:rPr>
        <w:t xml:space="preserve">infra </w:t>
      </w:r>
      <w:r w:rsidRPr="00E72418">
        <w:t>n</w:t>
      </w:r>
      <w:r w:rsidRPr="00E72418">
        <w:rPr>
          <w:vertAlign w:val="superscript"/>
        </w:rPr>
        <w:t>os</w:t>
      </w:r>
      <w:r w:rsidRPr="00E72418">
        <w:t xml:space="preserve"> 305 et suiv.).</w:t>
      </w:r>
    </w:p>
  </w:footnote>
  <w:footnote w:id="237">
    <w:p w14:paraId="58FAD22C" w14:textId="7777777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Il est généralement fait usage des acronymes IADM en français et MDRI en anglais pour « </w:t>
      </w:r>
      <w:r w:rsidRPr="00E72418">
        <w:rPr>
          <w:rStyle w:val="Lienhypertexte"/>
          <w:color w:val="auto"/>
          <w:szCs w:val="20"/>
          <w:u w:val="none"/>
        </w:rPr>
        <w:t>Multilateral Debt Relief Initiative</w:t>
      </w:r>
      <w:r w:rsidRPr="00E72418">
        <w:rPr>
          <w:i/>
          <w:szCs w:val="20"/>
        </w:rPr>
        <w:t xml:space="preserve"> </w:t>
      </w:r>
      <w:r w:rsidRPr="00E72418">
        <w:rPr>
          <w:szCs w:val="20"/>
        </w:rPr>
        <w:t>»</w:t>
      </w:r>
      <w:r w:rsidRPr="00E72418">
        <w:rPr>
          <w:rStyle w:val="Lienhypertexte"/>
          <w:color w:val="auto"/>
          <w:szCs w:val="20"/>
          <w:u w:val="none"/>
        </w:rPr>
        <w:t>.</w:t>
      </w:r>
    </w:p>
  </w:footnote>
  <w:footnote w:id="238">
    <w:p w14:paraId="295DC20B" w14:textId="4CAD292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www.imf.org/external/np/exr/facts/fre/hipcf.htm</w:t>
        </w:r>
      </w:hyperlink>
      <w:r w:rsidRPr="00E72418">
        <w:rPr>
          <w:rStyle w:val="Lienhypertexte"/>
          <w:color w:val="auto"/>
          <w:szCs w:val="20"/>
          <w:u w:val="none"/>
        </w:rPr>
        <w:t xml:space="preserve"> (consultation le 17 octobre 2021). Le constat était en effet que les Pays Pauvres Très Endettés continuaient à rencontrer des difficultés à progresser vers les Objectifs pour le millénaire pour le développement des Nations Unies (voyez </w:t>
      </w:r>
      <w:hyperlink r:id="rId13" w:history="1">
        <w:r w:rsidRPr="00E72418">
          <w:rPr>
            <w:rStyle w:val="Lienhypertexte"/>
            <w:color w:val="auto"/>
            <w:szCs w:val="20"/>
            <w:u w:val="none"/>
          </w:rPr>
          <w:t>www.worldbank.org/en/topic/debt-relief</w:t>
        </w:r>
      </w:hyperlink>
      <w:r w:rsidRPr="00E72418">
        <w:rPr>
          <w:rStyle w:val="Lienhypertexte"/>
          <w:color w:val="auto"/>
          <w:szCs w:val="20"/>
          <w:u w:val="none"/>
        </w:rPr>
        <w:t>, consultation le 17 octobre 2021).</w:t>
      </w:r>
    </w:p>
  </w:footnote>
  <w:footnote w:id="239">
    <w:p w14:paraId="0CE9F498" w14:textId="2AD99E1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www.imf.org/external/np/exr/facts/fre/mdrif.htm</w:t>
        </w:r>
      </w:hyperlink>
      <w:r w:rsidRPr="00E72418">
        <w:rPr>
          <w:rStyle w:val="Lienhypertexte"/>
          <w:color w:val="auto"/>
          <w:szCs w:val="20"/>
          <w:u w:val="none"/>
        </w:rPr>
        <w:t xml:space="preserve"> (consultation le 17 octobre 2021).</w:t>
      </w:r>
    </w:p>
  </w:footnote>
  <w:footnote w:id="240">
    <w:p w14:paraId="02433751" w14:textId="150714D1" w:rsidR="0030147D" w:rsidRPr="00E72418" w:rsidRDefault="0030147D" w:rsidP="009554DA">
      <w:pPr>
        <w:pStyle w:val="Sansinterligne"/>
        <w:rPr>
          <w:szCs w:val="20"/>
        </w:rPr>
      </w:pPr>
      <w:r w:rsidRPr="00E72418">
        <w:rPr>
          <w:rStyle w:val="Appelnotedebasdep"/>
          <w:szCs w:val="20"/>
        </w:rPr>
        <w:footnoteRef/>
      </w:r>
      <w:r w:rsidRPr="00E72418">
        <w:rPr>
          <w:szCs w:val="20"/>
        </w:rPr>
        <w:t xml:space="preserve"> Voyez </w:t>
      </w:r>
      <w:hyperlink r:id="rId14" w:history="1">
        <w:r w:rsidRPr="00E72418">
          <w:rPr>
            <w:rStyle w:val="Lienhypertexte"/>
            <w:color w:val="auto"/>
            <w:szCs w:val="20"/>
            <w:u w:val="none"/>
          </w:rPr>
          <w:t>www.imf.org/fr/About/Factsheets/Sheets/2016/08/01/16/39/Debt-Sustainability-Framework-for-Low-Income-Countries</w:t>
        </w:r>
      </w:hyperlink>
      <w:r w:rsidRPr="00E72418">
        <w:rPr>
          <w:rStyle w:val="Lienhypertexte"/>
          <w:color w:val="auto"/>
          <w:szCs w:val="20"/>
          <w:u w:val="none"/>
        </w:rPr>
        <w:t xml:space="preserve"> (consultation le 17 octobre 2021)</w:t>
      </w:r>
      <w:r w:rsidRPr="00E72418">
        <w:rPr>
          <w:szCs w:val="20"/>
        </w:rPr>
        <w:t>.</w:t>
      </w:r>
    </w:p>
  </w:footnote>
  <w:footnote w:id="241">
    <w:p w14:paraId="67ADE17C" w14:textId="77777777" w:rsidR="0030147D" w:rsidRPr="00E72418" w:rsidRDefault="0030147D" w:rsidP="009554DA">
      <w:pPr>
        <w:pStyle w:val="Sansinterligne"/>
        <w:rPr>
          <w:szCs w:val="20"/>
        </w:rPr>
      </w:pPr>
      <w:r w:rsidRPr="00E72418">
        <w:rPr>
          <w:rStyle w:val="Appelnotedebasdep"/>
          <w:szCs w:val="20"/>
        </w:rPr>
        <w:footnoteRef/>
      </w:r>
      <w:r w:rsidRPr="00E72418">
        <w:rPr>
          <w:szCs w:val="20"/>
        </w:rPr>
        <w:t xml:space="preserve"> </w:t>
      </w:r>
      <w:r w:rsidRPr="00E72418">
        <w:rPr>
          <w:i/>
        </w:rPr>
        <w:t>Ibid.</w:t>
      </w:r>
    </w:p>
  </w:footnote>
  <w:footnote w:id="242">
    <w:p w14:paraId="14B041B2" w14:textId="0EA4259B" w:rsidR="0030147D" w:rsidRPr="00E72418" w:rsidRDefault="0030147D" w:rsidP="009554DA">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w:t>
      </w:r>
      <w:r w:rsidRPr="00E72418">
        <w:rPr>
          <w:rStyle w:val="Lienhypertexte"/>
          <w:rFonts w:ascii="Times New Roman" w:hAnsi="Times New Roman" w:cs="Times New Roman"/>
          <w:color w:val="auto"/>
          <w:szCs w:val="20"/>
          <w:u w:val="none"/>
        </w:rPr>
        <w:t>Cette possibilité est importante quand on sait que peu de ces pays auraient été en mesure de faire seuls de telles offres de rachat à leurs créanciers (</w:t>
      </w:r>
      <w:r w:rsidRPr="00E72418">
        <w:rPr>
          <w:rFonts w:ascii="Times New Roman" w:hAnsi="Times New Roman" w:cs="Times New Roman"/>
          <w:szCs w:val="20"/>
        </w:rPr>
        <w:t xml:space="preserve">HM </w:t>
      </w:r>
      <w:r w:rsidRPr="00E72418">
        <w:rPr>
          <w:rFonts w:ascii="Times New Roman" w:hAnsi="Times New Roman" w:cs="Times New Roman"/>
          <w:smallCaps/>
          <w:szCs w:val="20"/>
        </w:rPr>
        <w:t>Treasury</w:t>
      </w:r>
      <w:r w:rsidRPr="00E72418">
        <w:rPr>
          <w:rFonts w:ascii="Times New Roman" w:hAnsi="Times New Roman" w:cs="Times New Roman"/>
          <w:szCs w:val="20"/>
        </w:rPr>
        <w:t xml:space="preserve">, </w:t>
      </w:r>
      <w:r w:rsidRPr="00E72418">
        <w:rPr>
          <w:rFonts w:ascii="Times New Roman" w:hAnsi="Times New Roman" w:cs="Times New Roman"/>
          <w:i/>
          <w:szCs w:val="20"/>
        </w:rPr>
        <w:t>Ensuring effective debt relief for poor countries: a consultation on legislation</w:t>
      </w:r>
      <w:r w:rsidRPr="00E72418">
        <w:rPr>
          <w:rFonts w:ascii="Times New Roman" w:hAnsi="Times New Roman" w:cs="Times New Roman"/>
          <w:szCs w:val="20"/>
        </w:rPr>
        <w:t>, 2009, p. 17)</w:t>
      </w:r>
      <w:r w:rsidRPr="00E72418">
        <w:rPr>
          <w:rStyle w:val="Lienhypertexte"/>
          <w:rFonts w:ascii="Times New Roman" w:hAnsi="Times New Roman" w:cs="Times New Roman"/>
          <w:color w:val="auto"/>
          <w:szCs w:val="20"/>
          <w:u w:val="none"/>
        </w:rPr>
        <w:t>.</w:t>
      </w:r>
    </w:p>
  </w:footnote>
  <w:footnote w:id="243">
    <w:p w14:paraId="48D50681" w14:textId="77E5A044" w:rsidR="0030147D" w:rsidRPr="00E72418" w:rsidRDefault="0030147D" w:rsidP="009554DA">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HM </w:t>
      </w:r>
      <w:r w:rsidRPr="00E72418">
        <w:rPr>
          <w:rFonts w:ascii="Times New Roman" w:hAnsi="Times New Roman" w:cs="Times New Roman"/>
          <w:smallCaps/>
          <w:szCs w:val="20"/>
          <w:lang w:val="en-US"/>
        </w:rPr>
        <w:t>Treasury</w:t>
      </w:r>
      <w:r w:rsidRPr="00E72418">
        <w:rPr>
          <w:rFonts w:ascii="Times New Roman" w:hAnsi="Times New Roman" w:cs="Times New Roman"/>
          <w:szCs w:val="20"/>
          <w:lang w:val="en-US"/>
        </w:rPr>
        <w:t xml:space="preserve">, </w:t>
      </w:r>
      <w:r w:rsidRPr="00E72418">
        <w:rPr>
          <w:rFonts w:ascii="Times New Roman" w:hAnsi="Times New Roman" w:cs="Times New Roman"/>
          <w:i/>
          <w:szCs w:val="20"/>
          <w:lang w:val="en-US"/>
        </w:rPr>
        <w:t>Ensuring effective debt relief for poor countries: a response to consultation</w:t>
      </w:r>
      <w:r w:rsidRPr="00E72418">
        <w:rPr>
          <w:rFonts w:ascii="Times New Roman" w:hAnsi="Times New Roman" w:cs="Times New Roman"/>
          <w:szCs w:val="20"/>
          <w:lang w:val="en-US"/>
        </w:rPr>
        <w:t xml:space="preserve">, 2010, p. 7.  </w:t>
      </w:r>
      <w:r w:rsidRPr="00E72418">
        <w:rPr>
          <w:rStyle w:val="Lienhypertexte"/>
          <w:rFonts w:ascii="Times New Roman" w:hAnsi="Times New Roman" w:cs="Times New Roman"/>
          <w:color w:val="auto"/>
          <w:szCs w:val="20"/>
          <w:u w:val="none"/>
        </w:rPr>
        <w:t xml:space="preserve">La </w:t>
      </w:r>
      <w:r w:rsidRPr="00E72418">
        <w:rPr>
          <w:rStyle w:val="Lienhypertexte"/>
          <w:rFonts w:ascii="Times New Roman" w:hAnsi="Times New Roman" w:cs="Times New Roman"/>
          <w:i/>
          <w:color w:val="auto"/>
          <w:szCs w:val="20"/>
          <w:u w:val="none"/>
        </w:rPr>
        <w:t>Debt Reduction Facility</w:t>
      </w:r>
      <w:r w:rsidRPr="00E72418">
        <w:rPr>
          <w:rStyle w:val="Lienhypertexte"/>
          <w:rFonts w:ascii="Times New Roman" w:hAnsi="Times New Roman" w:cs="Times New Roman"/>
          <w:color w:val="auto"/>
          <w:szCs w:val="20"/>
          <w:u w:val="none"/>
        </w:rPr>
        <w:t xml:space="preserve"> a permis vingt-cinq opérations de rachat correspondant à la suppression de plus de dix milliards de dollars étatsuniens de dettes dues en principal et de trois milliards et demi d’intérêts et de pénalités (</w:t>
      </w:r>
      <w:hyperlink r:id="rId15" w:history="1">
        <w:r w:rsidRPr="00E72418">
          <w:rPr>
            <w:rStyle w:val="Lienhypertexte"/>
            <w:rFonts w:ascii="Times New Roman" w:hAnsi="Times New Roman" w:cs="Times New Roman"/>
            <w:color w:val="auto"/>
            <w:szCs w:val="20"/>
            <w:u w:val="none"/>
          </w:rPr>
          <w:t>www.worldbank.org/en/topic/debt-relief</w:t>
        </w:r>
      </w:hyperlink>
      <w:r w:rsidRPr="00E72418">
        <w:rPr>
          <w:rStyle w:val="Lienhypertexte"/>
          <w:rFonts w:ascii="Times New Roman" w:hAnsi="Times New Roman" w:cs="Times New Roman"/>
          <w:color w:val="auto"/>
          <w:szCs w:val="20"/>
          <w:u w:val="none"/>
        </w:rPr>
        <w:t xml:space="preserve">). </w:t>
      </w:r>
      <w:r w:rsidRPr="00E72418">
        <w:rPr>
          <w:rFonts w:ascii="Times New Roman" w:hAnsi="Times New Roman" w:cs="Times New Roman"/>
          <w:szCs w:val="20"/>
          <w:lang w:eastAsia="fr-BE"/>
        </w:rPr>
        <w:t xml:space="preserve">Relevons </w:t>
      </w:r>
      <w:r w:rsidRPr="00E72418">
        <w:rPr>
          <w:rFonts w:ascii="Times New Roman" w:hAnsi="Times New Roman" w:cs="Times New Roman"/>
          <w:szCs w:val="20"/>
        </w:rPr>
        <w:t>le</w:t>
      </w:r>
      <w:r w:rsidR="009E72E5">
        <w:rPr>
          <w:rFonts w:ascii="Times New Roman" w:hAnsi="Times New Roman" w:cs="Times New Roman"/>
          <w:szCs w:val="20"/>
        </w:rPr>
        <w:t xml:space="preserve"> cas du</w:t>
      </w:r>
      <w:r w:rsidRPr="00E72418">
        <w:rPr>
          <w:rStyle w:val="Lienhypertexte"/>
          <w:rFonts w:ascii="Times New Roman" w:hAnsi="Times New Roman" w:cs="Times New Roman"/>
          <w:color w:val="auto"/>
          <w:szCs w:val="20"/>
          <w:u w:val="none"/>
        </w:rPr>
        <w:t xml:space="preserve"> Nicaragua, </w:t>
      </w:r>
      <w:r w:rsidR="009E72E5">
        <w:rPr>
          <w:rStyle w:val="Lienhypertexte"/>
          <w:rFonts w:ascii="Times New Roman" w:hAnsi="Times New Roman" w:cs="Times New Roman"/>
          <w:color w:val="auto"/>
          <w:szCs w:val="20"/>
          <w:u w:val="none"/>
        </w:rPr>
        <w:t>du</w:t>
      </w:r>
      <w:r w:rsidRPr="00E72418">
        <w:rPr>
          <w:rStyle w:val="Lienhypertexte"/>
          <w:rFonts w:ascii="Times New Roman" w:hAnsi="Times New Roman" w:cs="Times New Roman"/>
          <w:color w:val="auto"/>
          <w:szCs w:val="20"/>
          <w:u w:val="none"/>
        </w:rPr>
        <w:t xml:space="preserve"> Libéria ou encore </w:t>
      </w:r>
      <w:r w:rsidR="009E72E5">
        <w:rPr>
          <w:rStyle w:val="Lienhypertexte"/>
          <w:rFonts w:ascii="Times New Roman" w:hAnsi="Times New Roman" w:cs="Times New Roman"/>
          <w:color w:val="auto"/>
          <w:szCs w:val="20"/>
          <w:u w:val="none"/>
        </w:rPr>
        <w:t>du</w:t>
      </w:r>
      <w:r w:rsidRPr="00E72418">
        <w:rPr>
          <w:rStyle w:val="Lienhypertexte"/>
          <w:rFonts w:ascii="Times New Roman" w:hAnsi="Times New Roman" w:cs="Times New Roman"/>
          <w:color w:val="auto"/>
          <w:szCs w:val="20"/>
          <w:u w:val="none"/>
        </w:rPr>
        <w:t xml:space="preserve"> Mozambique qui ont bénéficié de fonds ayant permis le rachat de dettes souveraines </w:t>
      </w:r>
      <w:r w:rsidRPr="00E72418">
        <w:rPr>
          <w:rFonts w:ascii="Times New Roman" w:hAnsi="Times New Roman" w:cs="Times New Roman"/>
          <w:szCs w:val="20"/>
          <w:lang w:val="en-US"/>
        </w:rPr>
        <w:t>(</w:t>
      </w:r>
      <w:r w:rsidRPr="00E72418">
        <w:rPr>
          <w:rFonts w:ascii="Times New Roman" w:hAnsi="Times New Roman" w:cs="Times New Roman"/>
          <w:smallCaps/>
          <w:szCs w:val="20"/>
          <w:lang w:val="en-US"/>
        </w:rPr>
        <w:t>D. Sookun</w:t>
      </w:r>
      <w:r w:rsidRPr="00E72418">
        <w:rPr>
          <w:rFonts w:ascii="Times New Roman" w:hAnsi="Times New Roman" w:cs="Times New Roman"/>
          <w:szCs w:val="20"/>
          <w:lang w:val="en-US"/>
        </w:rPr>
        <w:t xml:space="preserve">, </w:t>
      </w:r>
      <w:r w:rsidRPr="00E72418">
        <w:rPr>
          <w:rFonts w:ascii="Times New Roman" w:hAnsi="Times New Roman" w:cs="Times New Roman"/>
          <w:i/>
          <w:szCs w:val="20"/>
          <w:lang w:val="en-US"/>
        </w:rPr>
        <w:t>Stop Vulture Fund Lawsuits: a Handbook</w:t>
      </w:r>
      <w:r w:rsidRPr="00E72418">
        <w:rPr>
          <w:rFonts w:ascii="Times New Roman" w:hAnsi="Times New Roman" w:cs="Times New Roman"/>
          <w:szCs w:val="20"/>
          <w:lang w:val="en-US"/>
        </w:rPr>
        <w:t xml:space="preserve">,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p. 94).</w:t>
      </w:r>
    </w:p>
  </w:footnote>
  <w:footnote w:id="244">
    <w:p w14:paraId="2F676F96" w14:textId="46B43EFF" w:rsidR="0030147D" w:rsidRPr="00E72418" w:rsidRDefault="0030147D" w:rsidP="009554DA">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HM </w:t>
      </w:r>
      <w:r w:rsidRPr="00E72418">
        <w:rPr>
          <w:rFonts w:ascii="Times New Roman" w:hAnsi="Times New Roman" w:cs="Times New Roman"/>
          <w:smallCaps/>
          <w:szCs w:val="20"/>
          <w:lang w:val="en-US"/>
        </w:rPr>
        <w:t>Treasury</w:t>
      </w:r>
      <w:r w:rsidRPr="00E72418">
        <w:rPr>
          <w:rFonts w:ascii="Times New Roman" w:hAnsi="Times New Roman" w:cs="Times New Roman"/>
          <w:szCs w:val="20"/>
          <w:lang w:val="en-US"/>
        </w:rPr>
        <w:t xml:space="preserve">, </w:t>
      </w:r>
      <w:r w:rsidRPr="00E72418">
        <w:rPr>
          <w:rFonts w:ascii="Times New Roman" w:hAnsi="Times New Roman" w:cs="Times New Roman"/>
          <w:i/>
          <w:szCs w:val="20"/>
          <w:lang w:val="en-US"/>
        </w:rPr>
        <w:t>Ensuring effective debt relief for poor countries: a consultation on legislation</w:t>
      </w:r>
      <w:r w:rsidRPr="00E72418">
        <w:rPr>
          <w:rFonts w:ascii="Times New Roman" w:hAnsi="Times New Roman" w:cs="Times New Roman"/>
          <w:szCs w:val="20"/>
          <w:lang w:val="en-US"/>
        </w:rPr>
        <w:t>, 2009, p. 17.</w:t>
      </w:r>
    </w:p>
  </w:footnote>
  <w:footnote w:id="245">
    <w:p w14:paraId="5FB376ED" w14:textId="77777777" w:rsidR="0030147D" w:rsidRPr="00E72418" w:rsidRDefault="0030147D" w:rsidP="00FC3AC2">
      <w:pPr>
        <w:pStyle w:val="Sansinterligne"/>
      </w:pPr>
      <w:r w:rsidRPr="00E72418">
        <w:rPr>
          <w:rStyle w:val="Appelnotedebasdep"/>
        </w:rPr>
        <w:footnoteRef/>
      </w:r>
      <w:r w:rsidRPr="00E72418">
        <w:t xml:space="preserve"> Pour plus de précisions sur ce « Club de Paris », voyez </w:t>
      </w:r>
      <w:r w:rsidRPr="00E72418">
        <w:rPr>
          <w:i/>
        </w:rPr>
        <w:t>infra</w:t>
      </w:r>
      <w:r w:rsidRPr="00E72418">
        <w:t xml:space="preserve"> n</w:t>
      </w:r>
      <w:r w:rsidRPr="00E72418">
        <w:rPr>
          <w:vertAlign w:val="superscript"/>
        </w:rPr>
        <w:t>os</w:t>
      </w:r>
      <w:r w:rsidRPr="00E72418">
        <w:t xml:space="preserve"> 48 et suiv.</w:t>
      </w:r>
    </w:p>
  </w:footnote>
  <w:footnote w:id="246">
    <w:p w14:paraId="6228D628" w14:textId="0B3E2704" w:rsidR="0030147D" w:rsidRPr="00E72418" w:rsidRDefault="0030147D" w:rsidP="00C5393D">
      <w:pPr>
        <w:pStyle w:val="Sansinterligne"/>
      </w:pPr>
      <w:r w:rsidRPr="00E72418">
        <w:rPr>
          <w:rStyle w:val="Appelnotedebasdep"/>
        </w:rPr>
        <w:footnoteRef/>
      </w:r>
      <w:r w:rsidRPr="00E72418">
        <w:t xml:space="preserve"> Voyez </w:t>
      </w:r>
      <w:hyperlink r:id="rId16" w:history="1">
        <w:r w:rsidRPr="00E72418">
          <w:rPr>
            <w:rStyle w:val="Lienhypertexte"/>
            <w:color w:val="auto"/>
            <w:u w:val="none"/>
          </w:rPr>
          <w:t>www.worldbank.org/en/topic/debt/brief/covid-19-debt-service-suspension-initiative</w:t>
        </w:r>
      </w:hyperlink>
      <w:r w:rsidRPr="00E72418">
        <w:rPr>
          <w:rStyle w:val="Lienhypertexte"/>
          <w:color w:val="auto"/>
          <w:u w:val="none"/>
        </w:rPr>
        <w:t xml:space="preserve"> (consultation le 17 octobre 2021)</w:t>
      </w:r>
      <w:r w:rsidRPr="00E72418">
        <w:t>.</w:t>
      </w:r>
    </w:p>
  </w:footnote>
  <w:footnote w:id="247">
    <w:p w14:paraId="02E64A1A" w14:textId="1538DEA8" w:rsidR="0030147D" w:rsidRPr="00E72418" w:rsidRDefault="0030147D" w:rsidP="00FC3AC2">
      <w:pPr>
        <w:pStyle w:val="Sansinterligne"/>
      </w:pPr>
      <w:r w:rsidRPr="00E72418">
        <w:rPr>
          <w:rStyle w:val="Appelnotedebasdep"/>
        </w:rPr>
        <w:footnoteRef/>
      </w:r>
      <w:r w:rsidRPr="00E72418">
        <w:t xml:space="preserve"> S. </w:t>
      </w:r>
      <w:r w:rsidRPr="00E72418">
        <w:rPr>
          <w:smallCaps/>
        </w:rPr>
        <w:t>Gafari</w:t>
      </w:r>
      <w:r w:rsidRPr="00E72418">
        <w:t xml:space="preserve"> et A. </w:t>
      </w:r>
      <w:r w:rsidRPr="00E72418">
        <w:rPr>
          <w:smallCaps/>
        </w:rPr>
        <w:t>Bauer</w:t>
      </w:r>
      <w:r w:rsidRPr="00E72418">
        <w:t xml:space="preserve">, « L’action du Club de Paris et du G20 en matière de traitement de dette à l’heure de la Covid-19 », </w:t>
      </w:r>
      <w:r w:rsidRPr="00E72418">
        <w:rPr>
          <w:i/>
        </w:rPr>
        <w:t>op. cit.</w:t>
      </w:r>
      <w:r w:rsidRPr="00E72418">
        <w:t>, p. 265.</w:t>
      </w:r>
    </w:p>
  </w:footnote>
  <w:footnote w:id="248">
    <w:p w14:paraId="57B57F6A" w14:textId="7B2A90E0" w:rsidR="0030147D" w:rsidRPr="00E72418" w:rsidRDefault="0030147D" w:rsidP="008A062E">
      <w:pPr>
        <w:pStyle w:val="Sansinterligne"/>
      </w:pPr>
      <w:r w:rsidRPr="00E72418">
        <w:rPr>
          <w:rStyle w:val="Appelnotedebasdep"/>
        </w:rPr>
        <w:footnoteRef/>
      </w:r>
      <w:r w:rsidRPr="00E72418">
        <w:t xml:space="preserve"> </w:t>
      </w:r>
      <w:r w:rsidRPr="00E72418">
        <w:rPr>
          <w:i/>
        </w:rPr>
        <w:t>Ibid</w:t>
      </w:r>
      <w:r w:rsidRPr="00E72418">
        <w:t xml:space="preserve">. Kristalina Georgieva, directrice générale du Fonds monétaire international, parlait quant à elle d’un « breathing space » accordé aux </w:t>
      </w:r>
      <w:r w:rsidRPr="00E72418">
        <w:rPr>
          <w:rFonts w:ascii="Times New Roman" w:hAnsi="Times New Roman" w:cs="Times New Roman"/>
          <w:lang w:eastAsia="fr-BE"/>
        </w:rPr>
        <w:t>É</w:t>
      </w:r>
      <w:r w:rsidRPr="00E72418">
        <w:t xml:space="preserve">tats (« Remarks by IMF Managing Director Kristalina Georgieva During a Virtual Extraordinary Meeting of G20 Finance Ministers and Central Bank Governors », 13 novembre 2020, disponibles à l’adresse </w:t>
      </w:r>
      <w:hyperlink r:id="rId17" w:history="1">
        <w:r w:rsidRPr="00E72418">
          <w:rPr>
            <w:rStyle w:val="Lienhypertexte"/>
            <w:color w:val="auto"/>
            <w:u w:val="none"/>
          </w:rPr>
          <w:t>www.imf.org/en/News/Articles/2020/11/13/sp-g20-finance-ministers-and-central-bank-governors-meeting</w:t>
        </w:r>
      </w:hyperlink>
      <w:r w:rsidRPr="00E72418">
        <w:t>, consultation le 17 octobre 2021).</w:t>
      </w:r>
    </w:p>
  </w:footnote>
  <w:footnote w:id="249">
    <w:p w14:paraId="17400CDF" w14:textId="5CB59296" w:rsidR="0030147D" w:rsidRPr="00E72418" w:rsidRDefault="0030147D" w:rsidP="004D21E2">
      <w:pPr>
        <w:pStyle w:val="Sansinterligne"/>
      </w:pPr>
      <w:r w:rsidRPr="00E72418">
        <w:rPr>
          <w:rStyle w:val="Appelnotedebasdep"/>
        </w:rPr>
        <w:footnoteRef/>
      </w:r>
      <w:r w:rsidRPr="00E72418">
        <w:t xml:space="preserve"> Voyez la déclaration suivant l’</w:t>
      </w:r>
      <w:r w:rsidRPr="00E72418">
        <w:rPr>
          <w:i/>
        </w:rPr>
        <w:t>Extraordinary G20 Finance Ministers and Central Bank Governors’ Meeting</w:t>
      </w:r>
      <w:r w:rsidRPr="00E72418">
        <w:t xml:space="preserve">, 13 novembre 2020, disponible à l’adresse </w:t>
      </w:r>
      <w:hyperlink r:id="rId18" w:history="1">
        <w:r w:rsidRPr="00E72418">
          <w:rPr>
            <w:rStyle w:val="Lienhypertexte"/>
            <w:color w:val="auto"/>
            <w:u w:val="none"/>
          </w:rPr>
          <w:t>www.imf.org/-/media/Files/News/news-articles/english-extraordinary-g20-fmcbg-statement-november-13.ashx</w:t>
        </w:r>
      </w:hyperlink>
      <w:r w:rsidRPr="00E72418">
        <w:t xml:space="preserve"> (consultation le 17 octobre 2021).</w:t>
      </w:r>
    </w:p>
  </w:footnote>
  <w:footnote w:id="250">
    <w:p w14:paraId="06592178" w14:textId="61F30C2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Le Club de Paris n’est pas le seul groupe de créanciers visant à se saisir des difficultés rencontrées par des débiteurs souverains. Ainsi, on peut relever l’existence du Club de Londres, sorte de syndicat informel de banques mis sur pied au début des années 70 prenant des décisions relatives aux prêts bancaires commerciaux accordés par ses membres (</w:t>
      </w:r>
      <w:r w:rsidRPr="00E72418">
        <w:rPr>
          <w:smallCaps/>
          <w:szCs w:val="20"/>
        </w:rPr>
        <w:t>A. Zacharie</w:t>
      </w:r>
      <w:r w:rsidRPr="00E72418">
        <w:rPr>
          <w:szCs w:val="20"/>
        </w:rPr>
        <w:t xml:space="preserve">, « L’économie politique des fonds vautours », </w:t>
      </w:r>
      <w:r w:rsidRPr="00E72418">
        <w:rPr>
          <w:i/>
          <w:szCs w:val="20"/>
          <w:lang w:val="en-US"/>
        </w:rPr>
        <w:t>op. cit.</w:t>
      </w:r>
      <w:r w:rsidRPr="00E72418">
        <w:rPr>
          <w:szCs w:val="20"/>
        </w:rPr>
        <w:t xml:space="preserve">, p. 15 et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considérant AA). </w:t>
      </w:r>
      <w:r w:rsidRPr="00E72418">
        <w:rPr>
          <w:szCs w:val="20"/>
          <w:lang w:val="en-US"/>
        </w:rPr>
        <w:t xml:space="preserve">La référence au « Club de Londres » vise la pratique des accords informels négociés par les </w:t>
      </w:r>
      <w:r w:rsidRPr="00E72418">
        <w:rPr>
          <w:i/>
          <w:szCs w:val="20"/>
          <w:lang w:val="en-US"/>
        </w:rPr>
        <w:t>bank advisory committees</w:t>
      </w:r>
      <w:r w:rsidRPr="00E72418">
        <w:rPr>
          <w:szCs w:val="20"/>
          <w:lang w:val="en-US"/>
        </w:rPr>
        <w:t xml:space="preserve"> (</w:t>
      </w:r>
      <w:r w:rsidRPr="00E72418">
        <w:rPr>
          <w:smallCaps/>
          <w:szCs w:val="20"/>
          <w:lang w:val="en-US"/>
        </w:rPr>
        <w:t>E. Bruno</w:t>
      </w:r>
      <w:r w:rsidRPr="00E72418">
        <w:rPr>
          <w:szCs w:val="20"/>
          <w:lang w:val="en-US"/>
        </w:rPr>
        <w:t xml:space="preserve">, « Lessons from history: structuring, defaulting, restructuring and the emerging markets », </w:t>
      </w:r>
      <w:r w:rsidRPr="00E72418">
        <w:rPr>
          <w:i/>
          <w:szCs w:val="20"/>
          <w:lang w:val="en-US"/>
        </w:rPr>
        <w:t>op. cit.</w:t>
      </w:r>
      <w:r w:rsidRPr="00E72418">
        <w:rPr>
          <w:szCs w:val="20"/>
          <w:lang w:val="en-US"/>
        </w:rPr>
        <w:t xml:space="preserve">, p. 185. </w:t>
      </w:r>
      <w:r w:rsidRPr="00E72418">
        <w:rPr>
          <w:szCs w:val="20"/>
        </w:rPr>
        <w:t xml:space="preserve">Sur ces </w:t>
      </w:r>
      <w:r w:rsidRPr="00E72418">
        <w:rPr>
          <w:i/>
          <w:szCs w:val="20"/>
        </w:rPr>
        <w:t>bank advisory committees</w:t>
      </w:r>
      <w:r w:rsidRPr="00E72418">
        <w:rPr>
          <w:szCs w:val="20"/>
        </w:rPr>
        <w:t xml:space="preserve">, voyez </w:t>
      </w:r>
      <w:r w:rsidRPr="00E72418">
        <w:rPr>
          <w:i/>
          <w:szCs w:val="20"/>
        </w:rPr>
        <w:t>infra</w:t>
      </w:r>
      <w:r w:rsidRPr="00E72418">
        <w:rPr>
          <w:szCs w:val="20"/>
        </w:rPr>
        <w:t xml:space="preserve"> n° 64). Notons qu’aujourd’hui, l’intervention du Club de Londres relève du vestige dans la mesure où les banques commerciales se sont considérablement désengagées du financement aux États.</w:t>
      </w:r>
    </w:p>
  </w:footnote>
  <w:footnote w:id="251">
    <w:p w14:paraId="2465BF8E" w14:textId="5055ADB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www.clubdeparis.org</w:t>
        </w:r>
      </w:hyperlink>
      <w:r w:rsidRPr="00E72418">
        <w:rPr>
          <w:rStyle w:val="Lienhypertexte"/>
          <w:color w:val="auto"/>
          <w:szCs w:val="20"/>
          <w:u w:val="none"/>
        </w:rPr>
        <w:t xml:space="preserve">. Voyez, par exemple, le traitement dit de Naples dont question </w:t>
      </w:r>
      <w:r w:rsidRPr="00E72418">
        <w:rPr>
          <w:rStyle w:val="Lienhypertexte"/>
          <w:i/>
          <w:color w:val="auto"/>
          <w:szCs w:val="20"/>
          <w:u w:val="none"/>
        </w:rPr>
        <w:t>supra</w:t>
      </w:r>
      <w:r w:rsidRPr="00E72418">
        <w:rPr>
          <w:rStyle w:val="Lienhypertexte"/>
          <w:color w:val="auto"/>
          <w:szCs w:val="20"/>
          <w:u w:val="none"/>
        </w:rPr>
        <w:t xml:space="preserve"> n° 42. Fin octobre 2020, l’on pouvait compter depuis la première réunion du Club en 1965, quatre cent soixante-neuf accords signés par lui avec nonante-huit pays emprunteurs (</w:t>
      </w:r>
      <w:r w:rsidRPr="00E72418">
        <w:rPr>
          <w:szCs w:val="20"/>
        </w:rPr>
        <w:t xml:space="preserve">S. </w:t>
      </w:r>
      <w:r w:rsidRPr="00E72418">
        <w:rPr>
          <w:smallCaps/>
          <w:szCs w:val="20"/>
        </w:rPr>
        <w:t>Gafari</w:t>
      </w:r>
      <w:r w:rsidRPr="00E72418">
        <w:rPr>
          <w:szCs w:val="20"/>
        </w:rPr>
        <w:t xml:space="preserve"> et A. </w:t>
      </w:r>
      <w:r w:rsidRPr="00E72418">
        <w:rPr>
          <w:smallCaps/>
          <w:szCs w:val="20"/>
        </w:rPr>
        <w:t>Bauer</w:t>
      </w:r>
      <w:r w:rsidRPr="00E72418">
        <w:rPr>
          <w:szCs w:val="20"/>
        </w:rPr>
        <w:t xml:space="preserve">, « L’action du Club de Paris et du G20 en matière de traitement de dette à l’heure de la Covid-19 », </w:t>
      </w:r>
      <w:r w:rsidRPr="00E72418">
        <w:rPr>
          <w:i/>
          <w:szCs w:val="20"/>
        </w:rPr>
        <w:t>op. cit.</w:t>
      </w:r>
      <w:r w:rsidRPr="00E72418">
        <w:rPr>
          <w:szCs w:val="20"/>
        </w:rPr>
        <w:t>, p. 262).</w:t>
      </w:r>
    </w:p>
  </w:footnote>
  <w:footnote w:id="252">
    <w:p w14:paraId="6E725E95" w14:textId="2D375EE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lang w:eastAsia="fr-BE"/>
        </w:rPr>
        <w:t>É</w:t>
      </w:r>
      <w:r w:rsidRPr="00E72418">
        <w:rPr>
          <w:rStyle w:val="SansinterligneCar"/>
          <w:szCs w:val="20"/>
        </w:rPr>
        <w:t xml:space="preserve">tat », </w:t>
      </w:r>
      <w:r w:rsidRPr="00E72418">
        <w:rPr>
          <w:i/>
          <w:szCs w:val="20"/>
          <w:lang w:val="en-US"/>
        </w:rPr>
        <w:t>op. cit.</w:t>
      </w:r>
      <w:r w:rsidRPr="00E72418">
        <w:rPr>
          <w:rStyle w:val="SansinterligneCar"/>
          <w:szCs w:val="20"/>
        </w:rPr>
        <w:t xml:space="preserve">, </w:t>
      </w:r>
      <w:r w:rsidRPr="00E72418">
        <w:rPr>
          <w:rStyle w:val="Titre4Car"/>
          <w:rFonts w:ascii="Times New Roman" w:hAnsi="Times New Roman" w:cs="Times New Roman"/>
          <w:i w:val="0"/>
          <w:color w:val="auto"/>
        </w:rPr>
        <w:t>n</w:t>
      </w:r>
      <w:r w:rsidRPr="00E72418">
        <w:rPr>
          <w:rStyle w:val="Titre4Car"/>
          <w:rFonts w:ascii="Times New Roman" w:hAnsi="Times New Roman" w:cs="Times New Roman"/>
          <w:i w:val="0"/>
          <w:color w:val="auto"/>
          <w:vertAlign w:val="superscript"/>
        </w:rPr>
        <w:t>os</w:t>
      </w:r>
      <w:r w:rsidRPr="00E72418">
        <w:rPr>
          <w:rStyle w:val="SansinterligneCar"/>
          <w:szCs w:val="20"/>
        </w:rPr>
        <w:t xml:space="preserve"> 46 et 47.</w:t>
      </w:r>
    </w:p>
  </w:footnote>
  <w:footnote w:id="253">
    <w:p w14:paraId="34A37C95" w14:textId="6ADD99C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718.</w:t>
      </w:r>
    </w:p>
  </w:footnote>
  <w:footnote w:id="254">
    <w:p w14:paraId="7EEF1CBE" w14:textId="29B98E2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Voyez </w:t>
      </w:r>
      <w:hyperlink r:id="rId19" w:history="1">
        <w:r w:rsidRPr="00E72418">
          <w:rPr>
            <w:rStyle w:val="Lienhypertexte"/>
            <w:color w:val="auto"/>
            <w:szCs w:val="20"/>
            <w:u w:val="none"/>
          </w:rPr>
          <w:t>www.clubdeparis.org/en/communications/page/who-are-the-members-of-the-paris-club</w:t>
        </w:r>
      </w:hyperlink>
      <w:r w:rsidRPr="00E72418">
        <w:rPr>
          <w:rStyle w:val="Lienhypertexte"/>
          <w:color w:val="auto"/>
          <w:szCs w:val="20"/>
          <w:u w:val="none"/>
        </w:rPr>
        <w:t xml:space="preserve"> (consultation le 17 octobre 2021)</w:t>
      </w:r>
      <w:r w:rsidRPr="00E72418">
        <w:rPr>
          <w:szCs w:val="20"/>
        </w:rPr>
        <w:t>.</w:t>
      </w:r>
    </w:p>
  </w:footnote>
  <w:footnote w:id="255">
    <w:p w14:paraId="362EA334" w14:textId="29D147AD" w:rsidR="0030147D" w:rsidRPr="00E72418" w:rsidRDefault="0030147D" w:rsidP="0087482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45.</w:t>
      </w:r>
    </w:p>
  </w:footnote>
  <w:footnote w:id="256">
    <w:p w14:paraId="3637D73C" w14:textId="73319C6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i/>
          <w:szCs w:val="20"/>
        </w:rPr>
        <w:t>Ibid.</w:t>
      </w:r>
      <w:r w:rsidRPr="00E72418">
        <w:rPr>
          <w:rStyle w:val="SansinterligneCar"/>
          <w:smallCaps/>
          <w:szCs w:val="20"/>
        </w:rPr>
        <w:t>,</w:t>
      </w:r>
      <w:r w:rsidRPr="00E72418">
        <w:rPr>
          <w:rStyle w:val="SansinterligneCar"/>
          <w:szCs w:val="20"/>
        </w:rPr>
        <w:t xml:space="preserve"> n° 45.</w:t>
      </w:r>
    </w:p>
  </w:footnote>
  <w:footnote w:id="257">
    <w:p w14:paraId="1748EE5E" w14:textId="465F19BC" w:rsidR="0030147D" w:rsidRPr="00E72418" w:rsidRDefault="0030147D" w:rsidP="007C57EF">
      <w:pPr>
        <w:pStyle w:val="Sansinterligne"/>
        <w:rPr>
          <w:szCs w:val="20"/>
        </w:rPr>
      </w:pPr>
      <w:r w:rsidRPr="00E72418">
        <w:rPr>
          <w:rStyle w:val="Appelnotedebasdep"/>
          <w:szCs w:val="20"/>
        </w:rPr>
        <w:footnoteRef/>
      </w:r>
      <w:r w:rsidRPr="00E72418">
        <w:rPr>
          <w:rStyle w:val="SansinterligneCar"/>
          <w:smallCaps/>
          <w:szCs w:val="20"/>
        </w:rPr>
        <w:t xml:space="preserve"> </w:t>
      </w:r>
      <w:r w:rsidRPr="00E72418">
        <w:rPr>
          <w:rStyle w:val="SansinterligneCar"/>
          <w:i/>
          <w:szCs w:val="20"/>
        </w:rPr>
        <w:t>Ibid.</w:t>
      </w:r>
      <w:r w:rsidRPr="00E72418">
        <w:rPr>
          <w:rStyle w:val="SansinterligneCar"/>
          <w:szCs w:val="20"/>
        </w:rPr>
        <w:t xml:space="preserve">, n° 43. </w:t>
      </w:r>
      <w:r w:rsidRPr="00E72418">
        <w:rPr>
          <w:szCs w:val="20"/>
        </w:rPr>
        <w:t xml:space="preserve">Sur les six principes évoqués, voyez </w:t>
      </w:r>
      <w:hyperlink r:id="rId20" w:history="1">
        <w:r w:rsidRPr="00E72418">
          <w:rPr>
            <w:rStyle w:val="Lienhypertexte"/>
            <w:color w:val="auto"/>
            <w:szCs w:val="20"/>
            <w:u w:val="none"/>
          </w:rPr>
          <w:t>www.clubdeparis.org/fr/communications/page/six-principes</w:t>
        </w:r>
      </w:hyperlink>
      <w:r w:rsidRPr="00E72418">
        <w:rPr>
          <w:szCs w:val="20"/>
        </w:rPr>
        <w:t xml:space="preserve"> </w:t>
      </w:r>
      <w:r w:rsidRPr="00E72418">
        <w:rPr>
          <w:rStyle w:val="Lienhypertexte"/>
          <w:color w:val="auto"/>
          <w:szCs w:val="20"/>
          <w:u w:val="none"/>
        </w:rPr>
        <w:t>(consultation le 17 octobre 2021)</w:t>
      </w:r>
      <w:r w:rsidRPr="00E72418">
        <w:rPr>
          <w:szCs w:val="20"/>
        </w:rPr>
        <w:t>.</w:t>
      </w:r>
    </w:p>
  </w:footnote>
  <w:footnote w:id="258">
    <w:p w14:paraId="63ED5042" w14:textId="7B8305EA"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zCs w:val="20"/>
        </w:rPr>
        <w:t xml:space="preserve">Voyez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lang w:eastAsia="fr-BE"/>
        </w:rPr>
        <w:t>É</w:t>
      </w:r>
      <w:r w:rsidRPr="00E72418">
        <w:rPr>
          <w:rStyle w:val="SansinterligneCar"/>
          <w:szCs w:val="20"/>
        </w:rPr>
        <w:t xml:space="preserve">tat », </w:t>
      </w:r>
      <w:r w:rsidRPr="00E72418">
        <w:rPr>
          <w:i/>
          <w:szCs w:val="20"/>
          <w:lang w:val="en-US"/>
        </w:rPr>
        <w:t>op. cit.</w:t>
      </w:r>
      <w:r w:rsidRPr="00E72418">
        <w:rPr>
          <w:rStyle w:val="SansinterligneCar"/>
          <w:szCs w:val="20"/>
        </w:rPr>
        <w:t>, n° 50 qui discutent des conséquences du secret de ces accords.</w:t>
      </w:r>
    </w:p>
  </w:footnote>
  <w:footnote w:id="259">
    <w:p w14:paraId="222CD217" w14:textId="7C1F7CAA"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hyperlink w:history="1">
        <w:r w:rsidRPr="00E72418">
          <w:rPr>
            <w:rStyle w:val="Lienhypertexte"/>
            <w:color w:val="auto"/>
            <w:szCs w:val="20"/>
            <w:u w:val="none"/>
          </w:rPr>
          <w:t>Voyez www.clubdeparis.org/fr/communications/page/six-principes</w:t>
        </w:r>
      </w:hyperlink>
      <w:r w:rsidRPr="00E72418">
        <w:rPr>
          <w:szCs w:val="20"/>
        </w:rPr>
        <w:t>. Le pendant de cette clause de comparabilité de traitement est la clause du créancier le plus favorisé par laquelle l’</w:t>
      </w:r>
      <w:r w:rsidRPr="00E72418">
        <w:rPr>
          <w:szCs w:val="20"/>
          <w:lang w:eastAsia="fr-BE"/>
        </w:rPr>
        <w:t>É</w:t>
      </w:r>
      <w:r w:rsidRPr="00E72418">
        <w:rPr>
          <w:szCs w:val="20"/>
        </w:rPr>
        <w:t>tat débiteur concèdant à des créanciers de meilleurs termes que ceux acceptés lors d’une restructuration doit en faire bénéficier les créanciers ayant participé à cette restructuration (</w:t>
      </w:r>
      <w:r w:rsidRPr="00E72418">
        <w:rPr>
          <w:smallCaps/>
          <w:szCs w:val="20"/>
        </w:rPr>
        <w:t>L. Buchheit</w:t>
      </w:r>
      <w:r w:rsidRPr="00E72418">
        <w:rPr>
          <w:szCs w:val="20"/>
        </w:rPr>
        <w:t xml:space="preserve"> et </w:t>
      </w:r>
      <w:r w:rsidRPr="00E72418">
        <w:rPr>
          <w:smallCaps/>
          <w:szCs w:val="20"/>
        </w:rPr>
        <w:t>E. Daly</w:t>
      </w:r>
      <w:r w:rsidRPr="00E72418">
        <w:rPr>
          <w:szCs w:val="20"/>
        </w:rPr>
        <w:t xml:space="preserve">, « Minimizing Holdout Creditors – Carrots », in L. </w:t>
      </w:r>
      <w:r w:rsidRPr="00E72418">
        <w:rPr>
          <w:smallCaps/>
          <w:szCs w:val="20"/>
        </w:rPr>
        <w:t>Buchheit</w:t>
      </w:r>
      <w:r w:rsidRPr="00E72418">
        <w:rPr>
          <w:szCs w:val="20"/>
        </w:rPr>
        <w:t xml:space="preserve"> et R. </w:t>
      </w:r>
      <w:r w:rsidRPr="00E72418">
        <w:rPr>
          <w:smallCaps/>
          <w:szCs w:val="20"/>
        </w:rPr>
        <w:t>Lastra</w:t>
      </w:r>
      <w:r w:rsidRPr="00E72418">
        <w:rPr>
          <w:szCs w:val="20"/>
        </w:rPr>
        <w:t xml:space="preserve"> (éd.), </w:t>
      </w:r>
      <w:r w:rsidRPr="00E72418">
        <w:rPr>
          <w:i/>
          <w:szCs w:val="20"/>
        </w:rPr>
        <w:t>Sovereign Debt Management</w:t>
      </w:r>
      <w:r w:rsidRPr="00E72418">
        <w:rPr>
          <w:szCs w:val="20"/>
        </w:rPr>
        <w:t xml:space="preserve">, Oxford University Press, 2014, p. 10). </w:t>
      </w:r>
      <w:r w:rsidRPr="00E72418">
        <w:rPr>
          <w:szCs w:val="20"/>
          <w:lang w:val="en-US"/>
        </w:rPr>
        <w:t xml:space="preserve">Voyez, </w:t>
      </w:r>
      <w:r w:rsidRPr="00E72418">
        <w:rPr>
          <w:i/>
          <w:szCs w:val="20"/>
          <w:lang w:val="en-US"/>
        </w:rPr>
        <w:t xml:space="preserve">infra </w:t>
      </w:r>
      <w:r w:rsidRPr="00E72418">
        <w:rPr>
          <w:szCs w:val="20"/>
          <w:lang w:val="en-US"/>
        </w:rPr>
        <w:t>n° 90, la clause dite « </w:t>
      </w:r>
      <w:r w:rsidRPr="00E72418">
        <w:rPr>
          <w:i/>
          <w:szCs w:val="20"/>
          <w:lang w:val="en-US"/>
        </w:rPr>
        <w:t>rights upon future offers</w:t>
      </w:r>
      <w:r w:rsidRPr="00E72418">
        <w:rPr>
          <w:szCs w:val="20"/>
          <w:lang w:val="en-US"/>
        </w:rPr>
        <w:t> » argentine.</w:t>
      </w:r>
    </w:p>
  </w:footnote>
  <w:footnote w:id="260">
    <w:p w14:paraId="2C84753A" w14:textId="10AB5A0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25.</w:t>
      </w:r>
    </w:p>
  </w:footnote>
  <w:footnote w:id="261">
    <w:p w14:paraId="1C9DE9E8" w14:textId="0729013E" w:rsidR="0030147D" w:rsidRPr="00E72418" w:rsidRDefault="0030147D" w:rsidP="00B167DA">
      <w:pPr>
        <w:pStyle w:val="Sansinterligne"/>
      </w:pPr>
      <w:r w:rsidRPr="00E72418">
        <w:rPr>
          <w:rStyle w:val="Appelnotedebasdep"/>
        </w:rPr>
        <w:footnoteRef/>
      </w:r>
      <w:r w:rsidRPr="00E72418">
        <w:t xml:space="preserve"> S. </w:t>
      </w:r>
      <w:r w:rsidRPr="00E72418">
        <w:rPr>
          <w:smallCaps/>
        </w:rPr>
        <w:t>Gafari</w:t>
      </w:r>
      <w:r w:rsidRPr="00E72418">
        <w:t xml:space="preserve"> et A. </w:t>
      </w:r>
      <w:r w:rsidRPr="00E72418">
        <w:rPr>
          <w:smallCaps/>
        </w:rPr>
        <w:t>Bauer</w:t>
      </w:r>
      <w:r w:rsidRPr="00E72418">
        <w:t xml:space="preserve">, « L’action du Club de Paris et du G20 en matière de traitement de dette à l’heure de la Covid-19 », </w:t>
      </w:r>
      <w:r w:rsidRPr="00E72418">
        <w:rPr>
          <w:i/>
        </w:rPr>
        <w:t>op. cit.</w:t>
      </w:r>
      <w:r w:rsidRPr="00E72418">
        <w:t>, p. 264.</w:t>
      </w:r>
    </w:p>
  </w:footnote>
  <w:footnote w:id="262">
    <w:p w14:paraId="34164794" w14:textId="77777777" w:rsidR="0030147D" w:rsidRPr="00E72418" w:rsidRDefault="0030147D" w:rsidP="004B5352">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p. 116.</w:t>
      </w:r>
    </w:p>
  </w:footnote>
  <w:footnote w:id="263">
    <w:p w14:paraId="55C4B514" w14:textId="77777777" w:rsidR="0030147D" w:rsidRPr="00E72418" w:rsidRDefault="0030147D" w:rsidP="004B5352">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M. Waibel</w:t>
      </w:r>
      <w:r w:rsidRPr="00E72418">
        <w:rPr>
          <w:szCs w:val="20"/>
        </w:rPr>
        <w:t xml:space="preserve">, « La faillite souveraine en droit – L’État peut-il faire faillite ? », in M. </w:t>
      </w:r>
      <w:r w:rsidRPr="00E72418">
        <w:rPr>
          <w:smallCaps/>
          <w:szCs w:val="20"/>
        </w:rPr>
        <w:t>Audit</w:t>
      </w:r>
      <w:r w:rsidRPr="00E72418">
        <w:rPr>
          <w:szCs w:val="20"/>
        </w:rPr>
        <w:t xml:space="preserve"> (dir.), </w:t>
      </w:r>
      <w:r w:rsidRPr="00E72418">
        <w:rPr>
          <w:i/>
          <w:szCs w:val="20"/>
        </w:rPr>
        <w:t>Insolvabilité des États et dettes souveraines</w:t>
      </w:r>
      <w:r w:rsidRPr="00E72418">
        <w:rPr>
          <w:szCs w:val="20"/>
        </w:rPr>
        <w:t>, L.G.D.J., 2011, p. 41.</w:t>
      </w:r>
    </w:p>
  </w:footnote>
  <w:footnote w:id="264">
    <w:p w14:paraId="76639AED" w14:textId="77777777" w:rsidR="0030147D" w:rsidRPr="00E72418" w:rsidRDefault="0030147D" w:rsidP="004B5352">
      <w:pPr>
        <w:pStyle w:val="Sansinterligne"/>
      </w:pPr>
      <w:r w:rsidRPr="00E72418">
        <w:rPr>
          <w:rStyle w:val="Appelnotedebasdep"/>
        </w:rPr>
        <w:footnoteRef/>
      </w:r>
      <w:r w:rsidRPr="00E72418">
        <w:t xml:space="preserve"> Voyez l’exemple uruguayen repris in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57 et 58.</w:t>
      </w:r>
    </w:p>
  </w:footnote>
  <w:footnote w:id="265">
    <w:p w14:paraId="663B6E0E" w14:textId="2219F145" w:rsidR="0030147D" w:rsidRPr="00E72418" w:rsidRDefault="0030147D" w:rsidP="004B535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xml:space="preserve">, p. 22. Par exemple, les propositions de législation anti-fonds spéculatifs étasuniennes donnent une définition de la dette souveraine en défaut en indiquant que « [t]he term “defaulted sovereign debt” means any sovereign debt for which payment has been refused by a foreign state, which is subject to an announced moratorium, upon which an award or judgement has been entered, or upon which a payment of interest or principal has not been paid according to the terms of the debt obligation » (U.S. bills 110 H.R. 6796 et 111 H.R. 2932 to prevent speculation and profiteering in the defaulted debt of certain poor countries, and for other purposes, article 3(3)). Sur ces propositions, voyez </w:t>
      </w:r>
      <w:r w:rsidRPr="00E72418">
        <w:rPr>
          <w:i/>
          <w:szCs w:val="20"/>
          <w:lang w:val="en-US"/>
        </w:rPr>
        <w:t>infra</w:t>
      </w:r>
      <w:r w:rsidRPr="00E72418">
        <w:rPr>
          <w:szCs w:val="20"/>
          <w:lang w:val="en-US"/>
        </w:rPr>
        <w:t xml:space="preserve"> n</w:t>
      </w:r>
      <w:r w:rsidRPr="00E72418">
        <w:rPr>
          <w:szCs w:val="20"/>
          <w:vertAlign w:val="superscript"/>
          <w:lang w:val="en-US"/>
        </w:rPr>
        <w:t xml:space="preserve">os </w:t>
      </w:r>
      <w:r w:rsidRPr="00E72418">
        <w:rPr>
          <w:szCs w:val="20"/>
          <w:lang w:val="en-US"/>
        </w:rPr>
        <w:t>294 et suiv.</w:t>
      </w:r>
    </w:p>
  </w:footnote>
  <w:footnote w:id="266">
    <w:p w14:paraId="3F55EABC" w14:textId="1E9B6B0B" w:rsidR="0030147D" w:rsidRPr="00E72418" w:rsidRDefault="0030147D" w:rsidP="00A13BFE">
      <w:pPr>
        <w:pStyle w:val="Sansinterligne"/>
      </w:pPr>
      <w:r w:rsidRPr="00E72418">
        <w:rPr>
          <w:rStyle w:val="Appelnotedebasdep"/>
        </w:rPr>
        <w:footnoteRef/>
      </w:r>
      <w:r w:rsidRPr="00E72418">
        <w:t xml:space="preserve"> </w:t>
      </w:r>
      <w:r w:rsidRPr="00E72418">
        <w:rPr>
          <w:smallCaps/>
        </w:rPr>
        <w:t>G. Jèze</w:t>
      </w:r>
      <w:r w:rsidRPr="00E72418">
        <w:t xml:space="preserve">, « Les défaillances d’État », </w:t>
      </w:r>
      <w:r w:rsidRPr="00E72418">
        <w:rPr>
          <w:i/>
        </w:rPr>
        <w:t>Recueil des Cours de l’Académie de Droit International de La Haye</w:t>
      </w:r>
      <w:r w:rsidRPr="00E72418">
        <w:t>, 1935, p. 393.</w:t>
      </w:r>
    </w:p>
  </w:footnote>
  <w:footnote w:id="267">
    <w:p w14:paraId="3BFEE0E6" w14:textId="081C948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M. </w:t>
      </w:r>
      <w:r w:rsidRPr="00E72418">
        <w:rPr>
          <w:rFonts w:cs="Times New Roman"/>
          <w:smallCaps/>
          <w:szCs w:val="24"/>
          <w:shd w:val="clear" w:color="auto" w:fill="FFFFFF"/>
          <w:lang w:val="en-US"/>
        </w:rPr>
        <w:t xml:space="preserve">Megliani, </w:t>
      </w:r>
      <w:r w:rsidRPr="00E72418">
        <w:rPr>
          <w:rFonts w:cs="Times New Roman"/>
          <w:i/>
          <w:szCs w:val="24"/>
          <w:shd w:val="clear" w:color="auto" w:fill="FFFFFF"/>
          <w:lang w:val="en-US"/>
        </w:rPr>
        <w:t>Sovereign Debt: Genesis, Restructuring, litigation</w:t>
      </w:r>
      <w:r w:rsidRPr="00E72418">
        <w:rPr>
          <w:rFonts w:cs="Times New Roman"/>
          <w:szCs w:val="24"/>
          <w:shd w:val="clear" w:color="auto" w:fill="FFFFFF"/>
          <w:lang w:val="en-US"/>
        </w:rPr>
        <w:t>, Springer, 2015, p. 9.</w:t>
      </w:r>
    </w:p>
  </w:footnote>
  <w:footnote w:id="268">
    <w:p w14:paraId="3C06B956" w14:textId="1C3A7F46" w:rsidR="0030147D" w:rsidRPr="00E72418" w:rsidRDefault="0030147D" w:rsidP="007C57EF">
      <w:pPr>
        <w:pStyle w:val="Sansinterligne"/>
        <w:rPr>
          <w:rFonts w:cs="Times New Roman"/>
          <w:smallCaps/>
          <w:szCs w:val="24"/>
          <w:lang w:val="en-US"/>
        </w:rPr>
      </w:pPr>
      <w:r w:rsidRPr="00E72418">
        <w:rPr>
          <w:rStyle w:val="Appelnotedebasdep"/>
          <w:szCs w:val="20"/>
        </w:rPr>
        <w:footnoteRef/>
      </w:r>
      <w:r w:rsidRPr="00E72418">
        <w:rPr>
          <w:szCs w:val="20"/>
        </w:rPr>
        <w:t xml:space="preserve"> Z. </w:t>
      </w:r>
      <w:r w:rsidRPr="00E72418">
        <w:rPr>
          <w:rFonts w:cs="Times New Roman"/>
          <w:smallCaps/>
          <w:szCs w:val="24"/>
          <w:lang w:val="en-US"/>
        </w:rPr>
        <w:t xml:space="preserve">Masoodi, </w:t>
      </w:r>
      <w:r w:rsidRPr="00E72418">
        <w:rPr>
          <w:rFonts w:cs="Times New Roman"/>
          <w:szCs w:val="24"/>
          <w:lang w:val="en-US"/>
        </w:rPr>
        <w:t>« Sovereign debt restructuring: the legal aspects involved</w:t>
      </w:r>
      <w:r w:rsidRPr="00E72418">
        <w:rPr>
          <w:rFonts w:cs="Times New Roman"/>
          <w:smallCaps/>
          <w:szCs w:val="24"/>
          <w:lang w:val="en-US"/>
        </w:rPr>
        <w:t xml:space="preserve"> </w:t>
      </w:r>
      <w:r w:rsidRPr="00E72418">
        <w:rPr>
          <w:rFonts w:cs="Times New Roman"/>
          <w:szCs w:val="24"/>
          <w:lang w:val="en-US"/>
        </w:rPr>
        <w:t>»</w:t>
      </w:r>
      <w:r w:rsidRPr="00E72418">
        <w:rPr>
          <w:rFonts w:cs="Times New Roman"/>
          <w:smallCaps/>
          <w:szCs w:val="24"/>
          <w:lang w:val="en-US"/>
        </w:rPr>
        <w:t xml:space="preserve">, </w:t>
      </w:r>
      <w:r w:rsidRPr="00E72418">
        <w:rPr>
          <w:rFonts w:ascii="Times New Roman" w:hAnsi="Times New Roman" w:cs="Times New Roman"/>
          <w:i/>
          <w:szCs w:val="20"/>
        </w:rPr>
        <w:t>Contemp. Leg. Econ. Issues</w:t>
      </w:r>
      <w:r w:rsidRPr="00E72418">
        <w:rPr>
          <w:rFonts w:cs="Times New Roman"/>
          <w:szCs w:val="24"/>
          <w:lang w:val="en-US"/>
        </w:rPr>
        <w:t>, 2011, p. 167.</w:t>
      </w:r>
    </w:p>
  </w:footnote>
  <w:footnote w:id="269">
    <w:p w14:paraId="6900F3A7" w14:textId="3AC32F53"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3.</w:t>
      </w:r>
    </w:p>
  </w:footnote>
  <w:footnote w:id="270">
    <w:p w14:paraId="64903E95" w14:textId="3176241D"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Pour une présentation des défauts souverains du </w:t>
      </w:r>
      <w:r w:rsidRPr="00E72418">
        <w:rPr>
          <w:rFonts w:ascii="Times New Roman" w:hAnsi="Times New Roman" w:cs="Times New Roman"/>
        </w:rPr>
        <w:t>dix-neuvième siècle</w:t>
      </w:r>
      <w:r w:rsidRPr="00E72418">
        <w:rPr>
          <w:szCs w:val="20"/>
        </w:rPr>
        <w:t xml:space="preserve"> sous forme de tableau, voyez </w:t>
      </w:r>
      <w:r w:rsidRPr="00E72418">
        <w:rPr>
          <w:smallCaps/>
          <w:szCs w:val="20"/>
        </w:rPr>
        <w:t>C. Reinhart</w:t>
      </w:r>
      <w:r w:rsidRPr="00E72418">
        <w:rPr>
          <w:szCs w:val="20"/>
        </w:rPr>
        <w:t xml:space="preserve"> et </w:t>
      </w:r>
      <w:r w:rsidRPr="00E72418">
        <w:rPr>
          <w:smallCaps/>
          <w:szCs w:val="20"/>
        </w:rPr>
        <w:t>K. Rogoff</w:t>
      </w:r>
      <w:r w:rsidRPr="00E72418">
        <w:rPr>
          <w:szCs w:val="20"/>
        </w:rPr>
        <w:t>, </w:t>
      </w:r>
      <w:r w:rsidRPr="00E72418">
        <w:rPr>
          <w:i/>
          <w:szCs w:val="20"/>
        </w:rPr>
        <w:t>This Time is Different – Eight Centuries of Financial Folly</w:t>
      </w:r>
      <w:r w:rsidRPr="00E72418">
        <w:rPr>
          <w:szCs w:val="20"/>
        </w:rPr>
        <w:t>, Princeton University Press, 2011, p. 91.</w:t>
      </w:r>
    </w:p>
  </w:footnote>
  <w:footnote w:id="271">
    <w:p w14:paraId="0CBDD012" w14:textId="596BE69D"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n° 8.</w:t>
      </w:r>
    </w:p>
  </w:footnote>
  <w:footnote w:id="272">
    <w:p w14:paraId="68E3F244" w14:textId="24D3C733"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Pour une présentation des défauts souverains du </w:t>
      </w:r>
      <w:r w:rsidRPr="00E72418">
        <w:rPr>
          <w:rFonts w:ascii="Times New Roman" w:hAnsi="Times New Roman" w:cs="Times New Roman"/>
        </w:rPr>
        <w:t>vingtième siècle</w:t>
      </w:r>
      <w:r w:rsidRPr="00E72418">
        <w:rPr>
          <w:szCs w:val="20"/>
        </w:rPr>
        <w:t xml:space="preserve"> sous forme de tableau, voyez </w:t>
      </w:r>
      <w:r w:rsidRPr="00E72418">
        <w:rPr>
          <w:smallCaps/>
          <w:szCs w:val="20"/>
        </w:rPr>
        <w:t>C. Reinhart</w:t>
      </w:r>
      <w:r w:rsidRPr="00E72418">
        <w:rPr>
          <w:szCs w:val="20"/>
        </w:rPr>
        <w:t xml:space="preserve"> et </w:t>
      </w:r>
      <w:r w:rsidRPr="00E72418">
        <w:rPr>
          <w:smallCaps/>
          <w:szCs w:val="20"/>
        </w:rPr>
        <w:t>K. Rogoff</w:t>
      </w:r>
      <w:r w:rsidRPr="00E72418">
        <w:rPr>
          <w:szCs w:val="20"/>
        </w:rPr>
        <w:t>, </w:t>
      </w:r>
      <w:r w:rsidRPr="00E72418">
        <w:rPr>
          <w:i/>
          <w:szCs w:val="20"/>
        </w:rPr>
        <w:t>This Time is Different – Eight Centuries of Financial Folly</w:t>
      </w:r>
      <w:r w:rsidRPr="00E72418">
        <w:rPr>
          <w:szCs w:val="20"/>
        </w:rPr>
        <w:t xml:space="preserve">, </w:t>
      </w:r>
      <w:r w:rsidRPr="00E72418">
        <w:rPr>
          <w:i/>
          <w:szCs w:val="20"/>
        </w:rPr>
        <w:t>op. cit.</w:t>
      </w:r>
      <w:r w:rsidRPr="00E72418">
        <w:rPr>
          <w:szCs w:val="20"/>
        </w:rPr>
        <w:t>, pp. 95 et 96.</w:t>
      </w:r>
    </w:p>
  </w:footnote>
  <w:footnote w:id="273">
    <w:p w14:paraId="0BD20F98" w14:textId="44D5CDE0"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7Car"/>
          <w:rFonts w:ascii="Times" w:eastAsiaTheme="minorHAnsi" w:hAnsi="Times" w:cstheme="minorBidi"/>
          <w:i w:val="0"/>
          <w:iCs w:val="0"/>
          <w:smallCaps/>
          <w:color w:val="auto"/>
          <w:szCs w:val="20"/>
        </w:rPr>
        <w:t>D. Carreau</w:t>
      </w:r>
      <w:r w:rsidRPr="00E72418">
        <w:rPr>
          <w:rStyle w:val="Titre7Car"/>
          <w:rFonts w:ascii="Times" w:eastAsiaTheme="minorHAnsi" w:hAnsi="Times" w:cstheme="minorBidi"/>
          <w:i w:val="0"/>
          <w:iCs w:val="0"/>
          <w:color w:val="auto"/>
          <w:szCs w:val="20"/>
        </w:rPr>
        <w:t xml:space="preserve"> et </w:t>
      </w:r>
      <w:r w:rsidRPr="00E72418">
        <w:rPr>
          <w:rStyle w:val="Titre7Car"/>
          <w:rFonts w:ascii="Times" w:eastAsiaTheme="minorHAnsi" w:hAnsi="Times" w:cstheme="minorBidi"/>
          <w:i w:val="0"/>
          <w:iCs w:val="0"/>
          <w:smallCaps/>
          <w:color w:val="auto"/>
          <w:szCs w:val="20"/>
        </w:rPr>
        <w:t>C. Kleiner</w:t>
      </w:r>
      <w:r w:rsidRPr="00E72418">
        <w:rPr>
          <w:rStyle w:val="Titre7Car"/>
          <w:rFonts w:ascii="Times" w:eastAsiaTheme="minorHAnsi" w:hAnsi="Times" w:cstheme="minorBidi"/>
          <w:i w:val="0"/>
          <w:iCs w:val="0"/>
          <w:color w:val="auto"/>
          <w:szCs w:val="20"/>
        </w:rPr>
        <w:t>, « Dettes d’</w:t>
      </w:r>
      <w:r w:rsidRPr="00E72418">
        <w:rPr>
          <w:szCs w:val="20"/>
        </w:rPr>
        <w:t>É</w:t>
      </w:r>
      <w:r w:rsidRPr="00E72418">
        <w:rPr>
          <w:rStyle w:val="Titre7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7Car"/>
          <w:rFonts w:ascii="Times" w:eastAsiaTheme="minorHAnsi" w:hAnsi="Times" w:cstheme="minorBidi"/>
          <w:i w:val="0"/>
          <w:iCs w:val="0"/>
          <w:color w:val="auto"/>
          <w:szCs w:val="20"/>
        </w:rPr>
        <w:t xml:space="preserve">, n° 10. Le pays connut une nouvelle crise en 1994 qu’il put surmonter grâce à l’octroi de financements par les </w:t>
      </w:r>
      <w:r w:rsidRPr="00E72418">
        <w:rPr>
          <w:szCs w:val="20"/>
        </w:rPr>
        <w:t>É</w:t>
      </w:r>
      <w:r w:rsidRPr="00E72418">
        <w:rPr>
          <w:rStyle w:val="Titre7Car"/>
          <w:rFonts w:ascii="Times" w:eastAsiaTheme="minorHAnsi" w:hAnsi="Times" w:cstheme="minorBidi"/>
          <w:i w:val="0"/>
          <w:iCs w:val="0"/>
          <w:color w:val="auto"/>
          <w:szCs w:val="20"/>
        </w:rPr>
        <w:t>tats-Unis et le Fonds monétaire international.</w:t>
      </w:r>
    </w:p>
  </w:footnote>
  <w:footnote w:id="274">
    <w:p w14:paraId="14ACFB7C" w14:textId="1D8E25FA"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7Car"/>
          <w:rFonts w:ascii="Times" w:eastAsiaTheme="minorHAnsi" w:hAnsi="Times" w:cstheme="minorBidi"/>
          <w:iCs w:val="0"/>
          <w:color w:val="auto"/>
          <w:szCs w:val="20"/>
        </w:rPr>
        <w:t>Ibid.</w:t>
      </w:r>
    </w:p>
  </w:footnote>
  <w:footnote w:id="275">
    <w:p w14:paraId="4B387F8A" w14:textId="007F01BC" w:rsidR="0030147D" w:rsidRPr="00E72418" w:rsidRDefault="0030147D" w:rsidP="007C57EF">
      <w:pPr>
        <w:pStyle w:val="Sansinterligne"/>
        <w:rPr>
          <w:rStyle w:val="Titre7Car"/>
          <w:rFonts w:ascii="Times" w:eastAsiaTheme="minorHAnsi" w:hAnsi="Times" w:cstheme="minorBidi"/>
          <w:i w:val="0"/>
          <w:iCs w:val="0"/>
          <w:color w:val="auto"/>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Pour quelques précisions, voyez </w:t>
      </w:r>
      <w:r w:rsidRPr="00E72418">
        <w:rPr>
          <w:smallCaps/>
          <w:szCs w:val="20"/>
          <w:lang w:val="en-US"/>
        </w:rPr>
        <w:t>E. Bruno</w:t>
      </w:r>
      <w:r w:rsidRPr="00E72418">
        <w:rPr>
          <w:szCs w:val="20"/>
          <w:lang w:val="en-US"/>
        </w:rPr>
        <w:t xml:space="preserve">, « Lessons from the most recent restructurings », in E. </w:t>
      </w:r>
      <w:r w:rsidRPr="00E72418">
        <w:rPr>
          <w:smallCaps/>
          <w:szCs w:val="20"/>
          <w:lang w:val="en-US"/>
        </w:rPr>
        <w:t>Bruno</w:t>
      </w:r>
      <w:r w:rsidRPr="00E72418">
        <w:rPr>
          <w:szCs w:val="20"/>
          <w:lang w:val="en-US"/>
        </w:rPr>
        <w:t xml:space="preserve"> (éd.), </w:t>
      </w:r>
      <w:r w:rsidRPr="00E72418">
        <w:rPr>
          <w:i/>
          <w:szCs w:val="20"/>
          <w:lang w:val="en-US"/>
        </w:rPr>
        <w:t>Sovereign Debt and Debt Restructuring – Legal, Financial and Regulatory Aspects</w:t>
      </w:r>
      <w:r w:rsidRPr="00E72418">
        <w:rPr>
          <w:szCs w:val="20"/>
          <w:lang w:val="en-US"/>
        </w:rPr>
        <w:t>, Globe Law and Business, 2013, pp. 194 à 198.</w:t>
      </w:r>
    </w:p>
  </w:footnote>
  <w:footnote w:id="276">
    <w:p w14:paraId="5181B383" w14:textId="3BF96204"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Il y a encore d’autres situations difficiles comme celle de l’Ukraine où l’accord de restructuration de 2015 n’octroya qu’un infime allègement de la dette ou encore celui de Grenade qui fut en 2015 menacée par ses créanciers d’une action « pari passu »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364). Sur cette notion de « pari passu »,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173 et suiv.</w:t>
      </w:r>
    </w:p>
  </w:footnote>
  <w:footnote w:id="277">
    <w:p w14:paraId="0E985507" w14:textId="162AFB9C" w:rsidR="0030147D" w:rsidRPr="00E72418" w:rsidRDefault="0030147D" w:rsidP="00646A4C">
      <w:pPr>
        <w:pStyle w:val="Sansinterligne"/>
      </w:pPr>
      <w:r w:rsidRPr="00E72418">
        <w:rPr>
          <w:rStyle w:val="Appelnotedebasdep"/>
        </w:rPr>
        <w:footnoteRef/>
      </w:r>
      <w:r w:rsidRPr="00E72418">
        <w:t xml:space="preserve"> X., « Many countries need debt relief », </w:t>
      </w:r>
      <w:r w:rsidRPr="00E72418">
        <w:rPr>
          <w:i/>
        </w:rPr>
        <w:t>The Economist</w:t>
      </w:r>
      <w:r w:rsidRPr="00E72418">
        <w:t xml:space="preserve">, 21 novembre 2020, disponible à l’adresse </w:t>
      </w:r>
      <w:hyperlink r:id="rId21" w:history="1">
        <w:r w:rsidRPr="00E72418">
          <w:rPr>
            <w:rStyle w:val="Lienhypertexte"/>
            <w:color w:val="auto"/>
            <w:u w:val="none"/>
          </w:rPr>
          <w:t>www.economist.com/leaders/2020/11/21/many-countries-need-debt-relief</w:t>
        </w:r>
      </w:hyperlink>
      <w:r w:rsidRPr="00E72418">
        <w:t xml:space="preserve"> (consultation le 17 octobre 2021).</w:t>
      </w:r>
    </w:p>
  </w:footnote>
  <w:footnote w:id="278">
    <w:p w14:paraId="77D09562" w14:textId="2C1D5C6A" w:rsidR="0030147D" w:rsidRPr="00E72418" w:rsidRDefault="0030147D" w:rsidP="00541AD8">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L. Meager, E. Price</w:t>
      </w:r>
      <w:r w:rsidRPr="00E72418">
        <w:t xml:space="preserve"> et </w:t>
      </w:r>
      <w:r w:rsidRPr="00E72418">
        <w:rPr>
          <w:smallCaps/>
        </w:rPr>
        <w:t>B. Yap</w:t>
      </w:r>
      <w:r w:rsidRPr="00E72418">
        <w:t xml:space="preserve">, « How to jump start sovereign debt », </w:t>
      </w:r>
      <w:r w:rsidRPr="00E72418">
        <w:rPr>
          <w:rFonts w:ascii="Times New Roman" w:hAnsi="Times New Roman" w:cs="Times New Roman"/>
          <w:i/>
        </w:rPr>
        <w:t>Int. Fin. Law Rev.</w:t>
      </w:r>
      <w:r w:rsidRPr="00E72418">
        <w:t>, octobre 2016, p. 26.</w:t>
      </w:r>
    </w:p>
  </w:footnote>
  <w:footnote w:id="279">
    <w:p w14:paraId="17FFC6EB" w14:textId="23562012"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 xml:space="preserve">B. </w:t>
      </w:r>
      <w:hyperlink r:id="rId22" w:history="1">
        <w:r w:rsidRPr="00E72418">
          <w:rPr>
            <w:smallCaps/>
            <w:szCs w:val="20"/>
            <w:lang w:val="en-US"/>
          </w:rPr>
          <w:t>Eichengreen</w:t>
        </w:r>
      </w:hyperlink>
      <w:r w:rsidRPr="00E72418">
        <w:rPr>
          <w:szCs w:val="20"/>
          <w:lang w:val="en-US"/>
        </w:rPr>
        <w:t xml:space="preserve">, </w:t>
      </w:r>
      <w:r w:rsidRPr="00E72418">
        <w:rPr>
          <w:i/>
          <w:szCs w:val="20"/>
          <w:lang w:val="en-US"/>
        </w:rPr>
        <w:t>Financial Crises and What to Do About Them</w:t>
      </w:r>
      <w:r w:rsidRPr="00E72418">
        <w:rPr>
          <w:szCs w:val="20"/>
          <w:lang w:val="en-US"/>
        </w:rPr>
        <w:t>, Oxford University Press, 2002, p. 4. Pour Cecilia Nahon, « sovereign debt crises are a common feature of modern capitalism » (</w:t>
      </w:r>
      <w:r w:rsidRPr="00E72418">
        <w:rPr>
          <w:smallCaps/>
          <w:szCs w:val="20"/>
          <w:lang w:val="en-US"/>
        </w:rPr>
        <w:t>C. Nahon</w:t>
      </w:r>
      <w:r w:rsidRPr="00E72418">
        <w:rPr>
          <w:szCs w:val="20"/>
          <w:lang w:val="en-US"/>
        </w:rPr>
        <w:t xml:space="preserve">, « The case against the “vulture funds” », </w:t>
      </w:r>
      <w:r w:rsidRPr="00E72418">
        <w:rPr>
          <w:i/>
          <w:szCs w:val="20"/>
          <w:lang w:val="en-US"/>
        </w:rPr>
        <w:t>op. cit.</w:t>
      </w:r>
      <w:r w:rsidRPr="00E72418">
        <w:rPr>
          <w:szCs w:val="20"/>
          <w:lang w:val="en-US"/>
        </w:rPr>
        <w:t>, p. 111).</w:t>
      </w:r>
    </w:p>
  </w:footnote>
  <w:footnote w:id="280">
    <w:p w14:paraId="4A7ED1A7" w14:textId="7644BE8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Rahman</w:t>
      </w:r>
      <w:r w:rsidRPr="00E72418">
        <w:rPr>
          <w:szCs w:val="20"/>
          <w:lang w:val="en-US"/>
        </w:rPr>
        <w:t xml:space="preserve">, « The sovereign stress situation », in E. </w:t>
      </w:r>
      <w:r w:rsidRPr="00E72418">
        <w:rPr>
          <w:smallCaps/>
          <w:szCs w:val="20"/>
          <w:lang w:val="en-US"/>
        </w:rPr>
        <w:t>Bruno</w:t>
      </w:r>
      <w:r w:rsidRPr="00E72418">
        <w:rPr>
          <w:szCs w:val="20"/>
          <w:lang w:val="en-US"/>
        </w:rPr>
        <w:t xml:space="preserve"> (éd.), </w:t>
      </w:r>
      <w:r w:rsidRPr="00E72418">
        <w:rPr>
          <w:i/>
          <w:szCs w:val="20"/>
          <w:lang w:val="en-US"/>
        </w:rPr>
        <w:t>Sovereign Debt and Debt Restructuring – Legal, Financial and Regulatory Aspects</w:t>
      </w:r>
      <w:r w:rsidRPr="00E72418">
        <w:rPr>
          <w:szCs w:val="20"/>
          <w:lang w:val="en-US"/>
        </w:rPr>
        <w:t>, Globe Law and Business, 2013, p. 11. Notant les cycles passés, l’auteur précise que « [t]hough each period had its own unique features, typically those episodes were tied to a lending boom that subsequently turned to bust as global economic growth contracted and put strains on sovereigns’ repayment capacity ».</w:t>
      </w:r>
    </w:p>
  </w:footnote>
  <w:footnote w:id="281">
    <w:p w14:paraId="7E3DDAEA" w14:textId="54B451D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52.</w:t>
      </w:r>
    </w:p>
  </w:footnote>
  <w:footnote w:id="282">
    <w:p w14:paraId="26044EC0" w14:textId="365B7281"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M. Mauro</w:t>
      </w:r>
      <w:r w:rsidRPr="00E72418">
        <w:t xml:space="preserve">, « Sovereign Default and Litigation: NML Capital v. Argentina », </w:t>
      </w:r>
      <w:r w:rsidRPr="00E72418">
        <w:rPr>
          <w:rFonts w:ascii="Times New Roman" w:hAnsi="Times New Roman" w:cs="Times New Roman"/>
          <w:i/>
        </w:rPr>
        <w:t>Italian Y.B. Int. Law</w:t>
      </w:r>
      <w:r w:rsidRPr="00E72418">
        <w:t>, 2014, p. 254.</w:t>
      </w:r>
    </w:p>
  </w:footnote>
  <w:footnote w:id="283">
    <w:p w14:paraId="0E4DEC73" w14:textId="6397FCC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Jewett</w:t>
      </w:r>
      <w:r w:rsidRPr="00E72418">
        <w:rPr>
          <w:szCs w:val="20"/>
          <w:lang w:val="en-US"/>
        </w:rPr>
        <w:t xml:space="preserve">, « Approaches to Sovereign Debt Resolution: Recent Developments », in L. </w:t>
      </w:r>
      <w:r w:rsidRPr="00E72418">
        <w:rPr>
          <w:smallCaps/>
          <w:szCs w:val="20"/>
          <w:lang w:val="en-US"/>
        </w:rPr>
        <w:t>Buchheit</w:t>
      </w:r>
      <w:r w:rsidRPr="00E72418">
        <w:rPr>
          <w:szCs w:val="20"/>
          <w:lang w:val="en-US"/>
        </w:rPr>
        <w:t xml:space="preserve"> et R. </w:t>
      </w:r>
      <w:r w:rsidRPr="00E72418">
        <w:rPr>
          <w:smallCaps/>
          <w:szCs w:val="20"/>
          <w:lang w:val="en-US"/>
        </w:rPr>
        <w:t>Lastra</w:t>
      </w:r>
      <w:r w:rsidRPr="00E72418">
        <w:rPr>
          <w:szCs w:val="20"/>
          <w:lang w:val="en-US"/>
        </w:rPr>
        <w:t xml:space="preserve"> (éd.), </w:t>
      </w:r>
      <w:r w:rsidRPr="00E72418">
        <w:rPr>
          <w:i/>
          <w:szCs w:val="20"/>
          <w:lang w:val="en-US"/>
        </w:rPr>
        <w:t>Sovereign Debt Management</w:t>
      </w:r>
      <w:r w:rsidRPr="00E72418">
        <w:rPr>
          <w:szCs w:val="20"/>
          <w:lang w:val="en-US"/>
        </w:rPr>
        <w:t>, Oxford University Press, 2014, p. XIX.</w:t>
      </w:r>
    </w:p>
  </w:footnote>
  <w:footnote w:id="284">
    <w:p w14:paraId="5E74C34E" w14:textId="63435EAC"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51.</w:t>
      </w:r>
    </w:p>
  </w:footnote>
  <w:footnote w:id="285">
    <w:p w14:paraId="407564C6" w14:textId="666A0DD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rFonts w:ascii="Times New Roman" w:hAnsi="Times New Roman" w:cs="Times New Roman"/>
          <w:i/>
          <w:szCs w:val="20"/>
        </w:rPr>
        <w:t>Vand. J. Transnat. Law</w:t>
      </w:r>
      <w:r w:rsidRPr="00E72418">
        <w:rPr>
          <w:szCs w:val="20"/>
          <w:lang w:val="en-US"/>
        </w:rPr>
        <w:t>, 2016, p. 246.</w:t>
      </w:r>
    </w:p>
  </w:footnote>
  <w:footnote w:id="286">
    <w:p w14:paraId="72A7C6CF" w14:textId="2AA2A23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p. 491.</w:t>
      </w:r>
    </w:p>
  </w:footnote>
  <w:footnote w:id="287">
    <w:p w14:paraId="2982ECF6" w14:textId="536A09C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Pottow</w:t>
      </w:r>
      <w:r w:rsidRPr="00E72418">
        <w:rPr>
          <w:szCs w:val="20"/>
          <w:lang w:val="en-US"/>
        </w:rPr>
        <w:t xml:space="preserve"> et </w:t>
      </w:r>
      <w:r w:rsidRPr="00E72418">
        <w:rPr>
          <w:smallCaps/>
          <w:szCs w:val="20"/>
          <w:lang w:val="en-US"/>
        </w:rPr>
        <w:t>E. Iversen</w:t>
      </w:r>
      <w:r w:rsidRPr="00E72418">
        <w:rPr>
          <w:szCs w:val="20"/>
          <w:lang w:val="en-US"/>
        </w:rPr>
        <w:t xml:space="preserve">, « Book Review “Sovereign Defaults Before International Courts and Tribunals” by </w:t>
      </w:r>
      <w:r w:rsidRPr="00E72418">
        <w:rPr>
          <w:smallCaps/>
          <w:szCs w:val="20"/>
          <w:lang w:val="en-US"/>
        </w:rPr>
        <w:t>M. Waibel</w:t>
      </w:r>
      <w:r w:rsidRPr="00E72418">
        <w:rPr>
          <w:szCs w:val="20"/>
          <w:lang w:val="en-US"/>
        </w:rPr>
        <w:t xml:space="preserve"> », </w:t>
      </w:r>
      <w:r w:rsidRPr="00E72418">
        <w:rPr>
          <w:i/>
          <w:szCs w:val="20"/>
          <w:lang w:val="en-US"/>
        </w:rPr>
        <w:t>B.F.L.R.</w:t>
      </w:r>
      <w:r w:rsidRPr="00E72418">
        <w:rPr>
          <w:szCs w:val="20"/>
          <w:lang w:val="en-US"/>
        </w:rPr>
        <w:t>, 2015, p. 387.</w:t>
      </w:r>
    </w:p>
  </w:footnote>
  <w:footnote w:id="288">
    <w:p w14:paraId="45CF6D42" w14:textId="4C08581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p. 67.</w:t>
      </w:r>
    </w:p>
  </w:footnote>
  <w:footnote w:id="289">
    <w:p w14:paraId="419F4CC7" w14:textId="697455E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pp. 335 et 336. Michael Riegner note qu’ « </w:t>
      </w:r>
      <w:r w:rsidRPr="00E72418">
        <w:rPr>
          <w:szCs w:val="20"/>
          <w:lang w:val="en-US"/>
        </w:rPr>
        <w:t xml:space="preserve">[i]n terms of content, sovereignty traditionally entails that the legitimate authorities of a state have independent control over the direction of the national economy and effective involvement in economic planning </w:t>
      </w:r>
      <w:r w:rsidRPr="00E72418">
        <w:rPr>
          <w:szCs w:val="20"/>
        </w:rPr>
        <w:t>» (</w:t>
      </w:r>
      <w:r w:rsidRPr="00E72418">
        <w:rPr>
          <w:smallCaps/>
          <w:szCs w:val="20"/>
          <w:lang w:val="en-US"/>
        </w:rPr>
        <w:t>M. Riegner</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Legal Frameworks and General Principles for Indicators in Sovereign Debt Restructuring </w:t>
      </w:r>
      <w:r w:rsidRPr="00E72418">
        <w:rPr>
          <w:rStyle w:val="Titre5Car"/>
          <w:rFonts w:ascii="Times" w:eastAsiaTheme="minorHAnsi" w:hAnsi="Times" w:cstheme="minorBidi"/>
          <w:color w:val="auto"/>
          <w:szCs w:val="20"/>
          <w:lang w:val="en-US"/>
        </w:rPr>
        <w:t xml:space="preserve">»,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166</w:t>
      </w:r>
      <w:r w:rsidRPr="00E72418">
        <w:rPr>
          <w:szCs w:val="20"/>
        </w:rPr>
        <w:t>). Il va sans dire qu’en pratique l’exercice de cette souveraineté pourra se trouver modulé par le fait que l’</w:t>
      </w:r>
      <w:r w:rsidRPr="00E72418">
        <w:rPr>
          <w:rFonts w:cs="Times New Roman"/>
          <w:szCs w:val="24"/>
        </w:rPr>
        <w:t>É</w:t>
      </w:r>
      <w:r w:rsidRPr="00E72418">
        <w:rPr>
          <w:szCs w:val="20"/>
        </w:rPr>
        <w:t xml:space="preserve">tat s’engage sur le marché tel un opérateur privé (sur les conséquences que cet engagement emporte sur les immunités étatiques par exemple,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200 et suiv.).</w:t>
      </w:r>
    </w:p>
  </w:footnote>
  <w:footnote w:id="290">
    <w:p w14:paraId="6E2D61C0" w14:textId="45617586" w:rsidR="0030147D" w:rsidRPr="00E72418" w:rsidRDefault="0030147D" w:rsidP="00813B03">
      <w:pPr>
        <w:pStyle w:val="Sansinterligne"/>
      </w:pPr>
      <w:r w:rsidRPr="00E72418">
        <w:rPr>
          <w:rStyle w:val="Appelnotedebasdep"/>
        </w:rPr>
        <w:footnoteRef/>
      </w:r>
      <w:r w:rsidRPr="00E72418">
        <w:t xml:space="preserve"> P. </w:t>
      </w:r>
      <w:r w:rsidRPr="00E72418">
        <w:rPr>
          <w:smallCaps/>
        </w:rPr>
        <w:t>d’Argent</w:t>
      </w:r>
      <w:r w:rsidRPr="00E72418">
        <w:t xml:space="preserve">, « Sources and the Legality and Validity of International Law : What Makes Law </w:t>
      </w:r>
      <w:r w:rsidRPr="00E72418">
        <w:rPr>
          <w:szCs w:val="20"/>
          <w:lang w:val="en-US"/>
        </w:rPr>
        <w:t>“</w:t>
      </w:r>
      <w:r w:rsidRPr="00E72418">
        <w:t>International</w:t>
      </w:r>
      <w:r w:rsidRPr="00E72418">
        <w:rPr>
          <w:szCs w:val="20"/>
          <w:lang w:val="en-US"/>
        </w:rPr>
        <w:t>”</w:t>
      </w:r>
      <w:r w:rsidRPr="00E72418">
        <w:t xml:space="preserve"> ? » in S. </w:t>
      </w:r>
      <w:r w:rsidRPr="00E72418">
        <w:rPr>
          <w:smallCaps/>
        </w:rPr>
        <w:t>Besson</w:t>
      </w:r>
      <w:r w:rsidRPr="00E72418">
        <w:t xml:space="preserve"> et J. </w:t>
      </w:r>
      <w:r w:rsidRPr="00E72418">
        <w:rPr>
          <w:smallCaps/>
        </w:rPr>
        <w:t>d’Aspremont</w:t>
      </w:r>
      <w:r w:rsidRPr="00E72418">
        <w:t xml:space="preserve"> (éd.), </w:t>
      </w:r>
      <w:r w:rsidRPr="00E72418">
        <w:rPr>
          <w:i/>
        </w:rPr>
        <w:t>The Oxford Handbook on the Sources of International Law</w:t>
      </w:r>
      <w:r w:rsidRPr="00E72418">
        <w:t>, Oxford University Press, 2017, p. 545.</w:t>
      </w:r>
    </w:p>
  </w:footnote>
  <w:footnote w:id="291">
    <w:p w14:paraId="175132EE" w14:textId="6F2F5561" w:rsidR="0030147D" w:rsidRPr="00E72418" w:rsidRDefault="0030147D" w:rsidP="006B37E3">
      <w:pPr>
        <w:pStyle w:val="Sansinterligne"/>
        <w:rPr>
          <w:rFonts w:ascii="Times New Roman" w:hAnsi="Times New Roman" w:cs="Times New Roman"/>
          <w:szCs w:val="20"/>
          <w:lang w:val="fr-FR"/>
        </w:rPr>
      </w:pPr>
      <w:r w:rsidRPr="00E72418">
        <w:rPr>
          <w:rStyle w:val="Appelnotedebasdep"/>
        </w:rPr>
        <w:footnoteRef/>
      </w:r>
      <w:r w:rsidRPr="00E72418">
        <w:t xml:space="preserve"> Voyez M. </w:t>
      </w:r>
      <w:r w:rsidRPr="00E72418">
        <w:rPr>
          <w:smallCaps/>
          <w:shd w:val="clear" w:color="auto" w:fill="FFFFFF"/>
        </w:rPr>
        <w:t>Monteagudo</w:t>
      </w:r>
      <w:r w:rsidRPr="00E72418">
        <w:rPr>
          <w:shd w:val="clear" w:color="auto" w:fill="FFFFFF"/>
        </w:rPr>
        <w:t xml:space="preserve">, </w:t>
      </w:r>
      <w:r w:rsidRPr="00E72418">
        <w:t xml:space="preserve">« </w:t>
      </w:r>
      <w:r w:rsidRPr="00E72418">
        <w:rPr>
          <w:shd w:val="clear" w:color="auto" w:fill="FFFFFF"/>
        </w:rPr>
        <w:t xml:space="preserve">Peru’s Experience in Sovereign Debt Management and Litigation: Some Lessons for the Legal Approach to Sovereign Indebtedness </w:t>
      </w:r>
      <w:r w:rsidRPr="00E72418">
        <w:t>»</w:t>
      </w:r>
      <w:r w:rsidRPr="00E72418">
        <w:rPr>
          <w:shd w:val="clear" w:color="auto" w:fill="FFFFFF"/>
        </w:rPr>
        <w:t xml:space="preserve">, </w:t>
      </w:r>
      <w:r w:rsidRPr="00E72418">
        <w:rPr>
          <w:rFonts w:ascii="Times New Roman" w:hAnsi="Times New Roman" w:cs="Times New Roman"/>
          <w:i/>
          <w:szCs w:val="20"/>
        </w:rPr>
        <w:t>Law&amp;ContempProbs</w:t>
      </w:r>
      <w:r w:rsidRPr="00E72418">
        <w:rPr>
          <w:rStyle w:val="smallcaps"/>
          <w:rFonts w:cs="Times New Roman"/>
          <w:iCs/>
          <w:szCs w:val="24"/>
          <w:bdr w:val="none" w:sz="0" w:space="0" w:color="auto" w:frame="1"/>
          <w:lang w:val="en-GB"/>
        </w:rPr>
        <w:t xml:space="preserve">, 2010, </w:t>
      </w:r>
      <w:r w:rsidRPr="00E72418">
        <w:rPr>
          <w:rStyle w:val="apple-converted-space"/>
          <w:rFonts w:cs="Times New Roman"/>
          <w:szCs w:val="24"/>
          <w:shd w:val="clear" w:color="auto" w:fill="FFFFFF"/>
          <w:lang w:val="en-GB"/>
        </w:rPr>
        <w:t xml:space="preserve">p. </w:t>
      </w:r>
      <w:r w:rsidRPr="00E72418">
        <w:rPr>
          <w:shd w:val="clear" w:color="auto" w:fill="FFFFFF"/>
        </w:rPr>
        <w:t>205 : « </w:t>
      </w:r>
      <w:r w:rsidRPr="00E72418">
        <w:rPr>
          <w:szCs w:val="20"/>
          <w:lang w:val="en-US"/>
        </w:rPr>
        <w:t xml:space="preserve">[a] </w:t>
      </w:r>
      <w:r w:rsidRPr="00E72418">
        <w:rPr>
          <w:rFonts w:ascii="TimesTen-Roman" w:hAnsi="TimesTen-Roman" w:cs="TimesTen-Roman"/>
        </w:rPr>
        <w:t xml:space="preserve">mandate to not pay the public debt must be authorized by law because, as opposed to a simple commercial failure, the act of defaulting has been characterized as a public power’s intervention to prevent the execution of a commercial obligation ». Au sujet de cette caractérisation, voyez notamment </w:t>
      </w:r>
      <w:r w:rsidRPr="00E72418">
        <w:rPr>
          <w:rFonts w:ascii="TimesTen-Roman" w:hAnsi="TimesTen-Roman" w:cs="TimesTen-Roman"/>
          <w:i/>
        </w:rPr>
        <w:t>infra</w:t>
      </w:r>
      <w:r w:rsidRPr="00E72418">
        <w:rPr>
          <w:rFonts w:ascii="TimesTen-Roman" w:hAnsi="TimesTen-Roman" w:cs="TimesTen-Roman"/>
        </w:rPr>
        <w:t xml:space="preserve"> n° 215.</w:t>
      </w:r>
    </w:p>
  </w:footnote>
  <w:footnote w:id="292">
    <w:p w14:paraId="211B96A0" w14:textId="54C9998E"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26. Les auteurs notent toutefois qu’il y a en réalité pire situation que celle de défaut : « legal disputes are a significant and negative predictor of sovereign access to foreign capital markets over and above the effect o</w:t>
      </w:r>
      <w:r w:rsidR="009E72E5">
        <w:rPr>
          <w:szCs w:val="20"/>
          <w:lang w:val="en-US"/>
        </w:rPr>
        <w:t xml:space="preserve">f sovereign default per se », « </w:t>
      </w:r>
      <w:r w:rsidRPr="00E72418">
        <w:rPr>
          <w:szCs w:val="20"/>
          <w:lang w:val="en-US"/>
        </w:rPr>
        <w:t>[l]itigation and attachment attempts have significantly negative effects on governments’ ability to borrow externally above and beyond any general default effects ».</w:t>
      </w:r>
    </w:p>
  </w:footnote>
  <w:footnote w:id="293">
    <w:p w14:paraId="7545E5C0" w14:textId="4BDD772F" w:rsidR="0030147D" w:rsidRPr="00E72418" w:rsidRDefault="0030147D" w:rsidP="0011623A">
      <w:pPr>
        <w:pStyle w:val="Sansinterligne"/>
      </w:pPr>
      <w:r w:rsidRPr="00E72418">
        <w:rPr>
          <w:rStyle w:val="Appelnotedebasdep"/>
        </w:rPr>
        <w:footnoteRef/>
      </w:r>
      <w:r w:rsidRPr="00E72418">
        <w:t xml:space="preserve"> Le défaut n’est pas la seule voie ouverte à l’</w:t>
      </w:r>
      <w:r w:rsidRPr="00E72418">
        <w:rPr>
          <w:rFonts w:ascii="Times New Roman" w:hAnsi="Times New Roman" w:cs="Times New Roman"/>
          <w:lang w:eastAsia="fr-BE"/>
        </w:rPr>
        <w:t>É</w:t>
      </w:r>
      <w:r w:rsidRPr="00E72418">
        <w:t xml:space="preserve">tat rencontrant des difficultés financières. Ce dernier pourrait encore, dans certains cas, influencer le cours de sa monnaie afin de réduire la valeur de ses dettes qui en seraient libellées ou bien s’engager dans la voie de l’assainissement de ses finances publiques en passant par des mesures d’austérité et/ou l’augmentation de l’imposition (C. </w:t>
      </w:r>
      <w:r w:rsidRPr="00E72418">
        <w:rPr>
          <w:rFonts w:cs="Times New Roman"/>
          <w:smallCaps/>
          <w:szCs w:val="24"/>
          <w:lang w:val="en-US"/>
        </w:rPr>
        <w:t xml:space="preserve">Rault, </w:t>
      </w:r>
      <w:r w:rsidRPr="00E72418">
        <w:rPr>
          <w:rFonts w:cs="Times New Roman"/>
          <w:i/>
          <w:szCs w:val="24"/>
          <w:lang w:val="en-US"/>
        </w:rPr>
        <w:t>The Legal Framework of Sovereign Debt Management</w:t>
      </w:r>
      <w:r w:rsidRPr="00E72418">
        <w:rPr>
          <w:rFonts w:cs="Times New Roman"/>
          <w:szCs w:val="24"/>
          <w:lang w:val="en-US"/>
        </w:rPr>
        <w:t xml:space="preserve">, </w:t>
      </w:r>
      <w:r w:rsidRPr="00E72418">
        <w:rPr>
          <w:i/>
        </w:rPr>
        <w:t>op. cit.</w:t>
      </w:r>
      <w:r w:rsidRPr="00E72418">
        <w:rPr>
          <w:rFonts w:cs="Times New Roman"/>
          <w:szCs w:val="24"/>
          <w:lang w:val="en-US"/>
        </w:rPr>
        <w:t>, pp. 116 et 117).</w:t>
      </w:r>
    </w:p>
  </w:footnote>
  <w:footnote w:id="294">
    <w:p w14:paraId="3A6E3A83" w14:textId="569C1F4E"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Bruno</w:t>
      </w:r>
      <w:r w:rsidRPr="00E72418">
        <w:rPr>
          <w:szCs w:val="20"/>
          <w:lang w:val="en-US"/>
        </w:rPr>
        <w:t xml:space="preserve">, « Fundamentals of sovereign debt », in E. </w:t>
      </w:r>
      <w:r w:rsidRPr="00E72418">
        <w:rPr>
          <w:smallCaps/>
          <w:szCs w:val="20"/>
          <w:lang w:val="en-US"/>
        </w:rPr>
        <w:t>Bruno</w:t>
      </w:r>
      <w:r w:rsidRPr="00E72418">
        <w:rPr>
          <w:szCs w:val="20"/>
          <w:lang w:val="en-US"/>
        </w:rPr>
        <w:t xml:space="preserve"> (éd.), </w:t>
      </w:r>
      <w:r w:rsidRPr="00E72418">
        <w:rPr>
          <w:i/>
          <w:szCs w:val="20"/>
          <w:lang w:val="en-US"/>
        </w:rPr>
        <w:t>Sovereign Debt and Debt Restructuring – Legal, Financial and Regulatory Aspects</w:t>
      </w:r>
      <w:r w:rsidRPr="00E72418">
        <w:rPr>
          <w:szCs w:val="20"/>
          <w:lang w:val="en-US"/>
        </w:rPr>
        <w:t xml:space="preserve">, Globe Law and Business, 2013, p. 5. Voyez encore </w:t>
      </w:r>
      <w:r w:rsidRPr="00E72418">
        <w:t xml:space="preserve">E. </w:t>
      </w:r>
      <w:r w:rsidRPr="00E72418">
        <w:rPr>
          <w:smallCaps/>
        </w:rPr>
        <w:t>Borchard</w:t>
      </w:r>
      <w:r w:rsidRPr="00E72418">
        <w:t xml:space="preserve">, </w:t>
      </w:r>
      <w:r w:rsidRPr="00E72418">
        <w:rPr>
          <w:i/>
        </w:rPr>
        <w:t>State Insolvency and Foreign Bondholders – General Principles</w:t>
      </w:r>
      <w:r w:rsidRPr="00E72418">
        <w:t>, Yale University Press, 1951, p. 122</w:t>
      </w:r>
      <w:r w:rsidRPr="00E72418">
        <w:rPr>
          <w:szCs w:val="20"/>
          <w:lang w:val="en-US"/>
        </w:rPr>
        <w:t xml:space="preserve"> : « [i]n the case of a state, the nonpayment may result from either inability or unwillingness to pay ». Comme le note Rashique Rahman, « political considerations become paramount in determining the likelihood of default. That is, not only is the ability of a sovereign important in judging the likelihood of repayment, but so too is the willingness of the sovereign in making the repayment » (</w:t>
      </w:r>
      <w:r w:rsidRPr="00E72418">
        <w:rPr>
          <w:smallCaps/>
          <w:szCs w:val="20"/>
          <w:lang w:val="en-US"/>
        </w:rPr>
        <w:t>R. Rahman</w:t>
      </w:r>
      <w:r w:rsidRPr="00E72418">
        <w:rPr>
          <w:szCs w:val="20"/>
          <w:lang w:val="en-US"/>
        </w:rPr>
        <w:t xml:space="preserve">, « The sovereign stress situation », </w:t>
      </w:r>
      <w:r w:rsidRPr="00E72418">
        <w:rPr>
          <w:i/>
          <w:szCs w:val="20"/>
          <w:lang w:val="en-US"/>
        </w:rPr>
        <w:t>op. cit.</w:t>
      </w:r>
      <w:r w:rsidRPr="00E72418">
        <w:rPr>
          <w:szCs w:val="20"/>
          <w:lang w:val="en-US"/>
        </w:rPr>
        <w:t>, p. 16).</w:t>
      </w:r>
    </w:p>
  </w:footnote>
  <w:footnote w:id="295">
    <w:p w14:paraId="27A63823" w14:textId="267F8C43" w:rsidR="0030147D" w:rsidRPr="00E72418" w:rsidRDefault="0030147D" w:rsidP="006B37E3">
      <w:pPr>
        <w:pStyle w:val="Sansinterligne"/>
        <w:rPr>
          <w:rFonts w:ascii="Times New Roman" w:hAnsi="Times New Roman" w:cs="Times New Roman"/>
          <w:szCs w:val="20"/>
        </w:rPr>
      </w:pPr>
      <w:r w:rsidRPr="00E72418">
        <w:rPr>
          <w:rStyle w:val="Appelnotedebasdep"/>
        </w:rPr>
        <w:footnoteRef/>
      </w:r>
      <w:r w:rsidRPr="00E72418">
        <w:t xml:space="preserve"> M. </w:t>
      </w:r>
      <w:r w:rsidRPr="00E72418">
        <w:rPr>
          <w:smallCaps/>
        </w:rPr>
        <w:t>Tomz</w:t>
      </w:r>
      <w:r w:rsidRPr="00E72418">
        <w:t xml:space="preserve"> et M. </w:t>
      </w:r>
      <w:r w:rsidRPr="00E72418">
        <w:rPr>
          <w:smallCaps/>
        </w:rPr>
        <w:t>Wright</w:t>
      </w:r>
      <w:r w:rsidRPr="00E72418">
        <w:t>, « Do Countries Default in </w:t>
      </w:r>
      <w:r w:rsidRPr="00E72418">
        <w:rPr>
          <w:szCs w:val="20"/>
          <w:lang w:val="en-US"/>
        </w:rPr>
        <w:t>“</w:t>
      </w:r>
      <w:r w:rsidRPr="00E72418">
        <w:t>Bad Times</w:t>
      </w:r>
      <w:r w:rsidRPr="00E72418">
        <w:rPr>
          <w:szCs w:val="20"/>
          <w:lang w:val="en-US"/>
        </w:rPr>
        <w:t>”</w:t>
      </w:r>
      <w:r w:rsidRPr="00E72418">
        <w:rPr>
          <w:lang w:val="en-US"/>
        </w:rPr>
        <w:t xml:space="preserve">? </w:t>
      </w:r>
      <w:r w:rsidRPr="00E72418">
        <w:t xml:space="preserve">», </w:t>
      </w:r>
      <w:r w:rsidRPr="00E72418">
        <w:rPr>
          <w:rFonts w:ascii="Times New Roman" w:hAnsi="Times New Roman" w:cs="Times New Roman"/>
          <w:i/>
          <w:szCs w:val="20"/>
        </w:rPr>
        <w:t>J. Eur. Econ. Assoc.</w:t>
      </w:r>
      <w:r w:rsidRPr="00E72418">
        <w:t>, 2007, pp. 352 et 353.</w:t>
      </w:r>
    </w:p>
  </w:footnote>
  <w:footnote w:id="296">
    <w:p w14:paraId="31C78AE2" w14:textId="77558FB8"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371.</w:t>
      </w:r>
    </w:p>
  </w:footnote>
  <w:footnote w:id="297">
    <w:p w14:paraId="4F27CB07" w14:textId="406F7871"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H. Muir Watt</w:t>
      </w:r>
      <w:r w:rsidRPr="00E72418">
        <w:t xml:space="preserve">, « Dette souveraine et main visible du marché : de nouveaux enjeux du droit international privé des contrats », </w:t>
      </w:r>
      <w:r w:rsidRPr="00E72418">
        <w:rPr>
          <w:i/>
        </w:rPr>
        <w:t>op. cit.</w:t>
      </w:r>
      <w:r w:rsidRPr="00E72418">
        <w:t>, p. 336. L’on peut ici donner l’exemple argentin du début du siècle où la décision du Gouvernement de faire défaut fut accueillie comme une déclaration</w:t>
      </w:r>
      <w:r w:rsidR="009E72E5">
        <w:t xml:space="preserve"> d’indépendance financière, le P</w:t>
      </w:r>
      <w:r w:rsidRPr="00E72418">
        <w:t xml:space="preserve">arlement ayant offert au président Adolfo Rodriguez Saa une </w:t>
      </w:r>
      <w:r w:rsidRPr="008D7F73">
        <w:rPr>
          <w:i/>
        </w:rPr>
        <w:t>standing ovation</w:t>
      </w:r>
      <w:r w:rsidRPr="00E72418">
        <w:t xml:space="preserve"> lorsqu’il annonça son intention de faire défaut (</w:t>
      </w:r>
      <w:r w:rsidRPr="00E72418">
        <w:rPr>
          <w:smallCaps/>
        </w:rPr>
        <w:t>D. Bosco</w:t>
      </w:r>
      <w:r w:rsidRPr="00E72418">
        <w:t xml:space="preserve">, « The Debt Frenzy », </w:t>
      </w:r>
      <w:r w:rsidRPr="00E72418">
        <w:rPr>
          <w:i/>
        </w:rPr>
        <w:t>Foreign Policy</w:t>
      </w:r>
      <w:r w:rsidRPr="00E72418">
        <w:t xml:space="preserve">, 2007, p. 39). </w:t>
      </w:r>
      <w:r w:rsidRPr="00E72418">
        <w:rPr>
          <w:lang w:val="en-US"/>
        </w:rPr>
        <w:t>Comme le releva Mallory Barr, « [i]n Argentina […], the default was applauded as a show of Argentine independence from oppressive and greedy American financial obligations » (</w:t>
      </w:r>
      <w:r w:rsidRPr="00E72418">
        <w:rPr>
          <w:smallCaps/>
          <w:lang w:val="en-US"/>
        </w:rPr>
        <w:t>M. Barr</w:t>
      </w:r>
      <w:r w:rsidRPr="00E72418">
        <w:rPr>
          <w:lang w:val="en-US"/>
        </w:rPr>
        <w:t xml:space="preserve">, « The Litigation Tango of La Casa Rosada and the Vultures: The Political Realities of Sovereign Debt, Vulture Funds, and the Foreign Sovereign Immunities Act », </w:t>
      </w:r>
      <w:r w:rsidRPr="00E72418">
        <w:rPr>
          <w:rFonts w:ascii="Times New Roman" w:hAnsi="Times New Roman" w:cs="Times New Roman"/>
          <w:i/>
        </w:rPr>
        <w:t>Santa Clara J. Int. Law</w:t>
      </w:r>
      <w:r w:rsidRPr="00E72418">
        <w:rPr>
          <w:lang w:val="en-US"/>
        </w:rPr>
        <w:t>, 2016, p. 570).</w:t>
      </w:r>
    </w:p>
  </w:footnote>
  <w:footnote w:id="298">
    <w:p w14:paraId="44A4BDF5" w14:textId="61841CFE"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Benjamin Chabot et Veronica Santarosa le notent, « [d]efaults only occur in the repeated game when lenders underestimate the government’s value of default or overestimate the value the government places on future market access » (B. </w:t>
      </w:r>
      <w:r w:rsidRPr="00E72418">
        <w:rPr>
          <w:rFonts w:cs="Times New Roman"/>
          <w:smallCaps/>
          <w:szCs w:val="24"/>
          <w:lang w:val="en-US"/>
        </w:rPr>
        <w:t>Chabot</w:t>
      </w:r>
      <w:r w:rsidRPr="00E72418">
        <w:rPr>
          <w:rFonts w:cs="Times New Roman"/>
          <w:szCs w:val="24"/>
          <w:lang w:val="en-US"/>
        </w:rPr>
        <w:t xml:space="preserve"> et V. </w:t>
      </w:r>
      <w:r w:rsidRPr="00E72418">
        <w:rPr>
          <w:rFonts w:cs="Times New Roman"/>
          <w:smallCaps/>
          <w:szCs w:val="24"/>
          <w:lang w:val="en-US"/>
        </w:rPr>
        <w:t>Santarosa,</w:t>
      </w:r>
      <w:r w:rsidRPr="00E72418">
        <w:rPr>
          <w:rFonts w:cs="Times New Roman"/>
          <w:szCs w:val="24"/>
          <w:lang w:val="en-US"/>
        </w:rPr>
        <w:t xml:space="preserve"> « Don’t cry for Argentina (or other Sovereign borrowers): lessons from a previous era of sovereign debt contract enforcement »</w:t>
      </w:r>
      <w:r w:rsidRPr="00E72418">
        <w:rPr>
          <w:szCs w:val="20"/>
          <w:lang w:val="en-US"/>
        </w:rPr>
        <w:t xml:space="preserve">, </w:t>
      </w:r>
      <w:r w:rsidRPr="00E72418">
        <w:rPr>
          <w:i/>
          <w:szCs w:val="20"/>
        </w:rPr>
        <w:t>op. cit.</w:t>
      </w:r>
      <w:r w:rsidRPr="00E72418">
        <w:rPr>
          <w:szCs w:val="20"/>
          <w:lang w:val="en-US"/>
        </w:rPr>
        <w:t>, p. 16).</w:t>
      </w:r>
    </w:p>
  </w:footnote>
  <w:footnote w:id="299">
    <w:p w14:paraId="7F1847DA" w14:textId="1EFCACD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13.</w:t>
      </w:r>
    </w:p>
  </w:footnote>
  <w:footnote w:id="300">
    <w:p w14:paraId="7895C195" w14:textId="07815A43" w:rsidR="0030147D" w:rsidRPr="00E72418" w:rsidRDefault="0030147D" w:rsidP="00926186">
      <w:pPr>
        <w:pStyle w:val="Sansinterligne"/>
      </w:pPr>
      <w:r w:rsidRPr="00E72418">
        <w:rPr>
          <w:rStyle w:val="Appelnotedebasdep"/>
        </w:rPr>
        <w:footnoteRef/>
      </w:r>
      <w:r w:rsidRPr="00E72418">
        <w:t xml:space="preserve"> D. </w:t>
      </w:r>
      <w:r w:rsidRPr="00E72418">
        <w:rPr>
          <w:smallCaps/>
        </w:rPr>
        <w:t xml:space="preserve">Brutti, </w:t>
      </w:r>
      <w:r w:rsidRPr="00E72418">
        <w:t xml:space="preserve">« Sovereign Debt Crises and Vulture Hedge Funds: Issues and Policy Solutions », </w:t>
      </w:r>
      <w:r w:rsidRPr="00E72418">
        <w:rPr>
          <w:i/>
        </w:rPr>
        <w:t>Boston Coll. Law Rev.</w:t>
      </w:r>
      <w:r w:rsidRPr="00E72418">
        <w:t>, 2020, p. 1829.</w:t>
      </w:r>
    </w:p>
  </w:footnote>
  <w:footnote w:id="301">
    <w:p w14:paraId="61896CF4" w14:textId="5E2B7EE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12. L’auteur donne notamment l’exemple de ce qui a été appelé l’ « effet Tequila » de la crise mexicaine de 1994-1995 sur d’autres pays comme le Brésil, l’Argentine et le Venezuela dont un nombre important de titres obligataires ont été cédés sur le marché secondaire de la dette.</w:t>
      </w:r>
    </w:p>
  </w:footnote>
  <w:footnote w:id="302">
    <w:p w14:paraId="7025C918" w14:textId="1D9FC0E9"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63.</w:t>
      </w:r>
    </w:p>
  </w:footnote>
  <w:footnote w:id="303">
    <w:p w14:paraId="74A0929B" w14:textId="2F78868B" w:rsidR="0030147D" w:rsidRPr="00E72418" w:rsidRDefault="0030147D" w:rsidP="00B929D2">
      <w:pPr>
        <w:pStyle w:val="Sansinterligne"/>
        <w:rPr>
          <w:rFonts w:ascii="Times New Roman" w:hAnsi="Times New Roman" w:cs="Times New Roman"/>
          <w:szCs w:val="20"/>
          <w:shd w:val="clear" w:color="auto" w:fill="FFFFFF"/>
        </w:rPr>
      </w:pPr>
      <w:r w:rsidRPr="00E72418">
        <w:rPr>
          <w:rStyle w:val="Appelnotedebasdep"/>
          <w:szCs w:val="20"/>
        </w:rPr>
        <w:footnoteRef/>
      </w:r>
      <w:r w:rsidRPr="00E72418">
        <w:rPr>
          <w:lang w:val="en-US"/>
        </w:rPr>
        <w:t xml:space="preserve"> Mark </w:t>
      </w:r>
      <w:r w:rsidRPr="00E72418">
        <w:t xml:space="preserve">Wright note ainsi que « [t]here is some empirical evidence that countries in default experience a significant decline in foreign trade » (M. </w:t>
      </w:r>
      <w:r w:rsidRPr="00E72418">
        <w:rPr>
          <w:smallCaps/>
        </w:rPr>
        <w:t>Wright</w:t>
      </w:r>
      <w:r w:rsidRPr="00E72418">
        <w:t xml:space="preserve">, « Sovereign Debt Restructuring: Problems and Prospects », </w:t>
      </w:r>
      <w:r w:rsidRPr="00E72418">
        <w:rPr>
          <w:rFonts w:ascii="Times New Roman" w:hAnsi="Times New Roman" w:cs="Times New Roman"/>
          <w:i/>
          <w:szCs w:val="20"/>
          <w:shd w:val="clear" w:color="auto" w:fill="FFFFFF"/>
        </w:rPr>
        <w:t>Harv. Bus. Law Rev.</w:t>
      </w:r>
      <w:r w:rsidRPr="00E72418">
        <w:t>, 2012, p. 159).</w:t>
      </w:r>
      <w:r w:rsidRPr="00E72418">
        <w:rPr>
          <w:lang w:val="en-US"/>
        </w:rPr>
        <w:t xml:space="preserve"> </w:t>
      </w:r>
      <w:r w:rsidRPr="00E72418">
        <w:t>Notons toutefois que dans leur étude de l’atteinte portée par un défaut aux exportations des industries, Eduardo Borensztein et Ugo Panizza retinrent en conclusion qu’ « our estimations suggest that the effect of defaults is short-lived » (</w:t>
      </w:r>
      <w:r w:rsidRPr="00E72418">
        <w:rPr>
          <w:smallCaps/>
        </w:rPr>
        <w:t>E. Borensztein</w:t>
      </w:r>
      <w:r w:rsidRPr="00E72418">
        <w:t xml:space="preserve"> et </w:t>
      </w:r>
      <w:r w:rsidRPr="00E72418">
        <w:rPr>
          <w:smallCaps/>
        </w:rPr>
        <w:t>U. Panizza</w:t>
      </w:r>
      <w:r w:rsidRPr="00E72418">
        <w:t xml:space="preserve">, « Do Sovereign Defaults Hurt Exporters? », Inter-American Development Bank – Research Department, </w:t>
      </w:r>
      <w:r w:rsidRPr="00E72418">
        <w:rPr>
          <w:rFonts w:cs="Times New Roman"/>
          <w:szCs w:val="24"/>
          <w:lang w:val="en-US"/>
        </w:rPr>
        <w:t xml:space="preserve">Working Paper 553, </w:t>
      </w:r>
      <w:r w:rsidRPr="00E72418">
        <w:t>mars 2006, p. 14).</w:t>
      </w:r>
    </w:p>
  </w:footnote>
  <w:footnote w:id="304">
    <w:p w14:paraId="4F252BEF" w14:textId="0B93A362"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lang w:val="en-US"/>
        </w:rPr>
        <w:t>U. Das, M. Papaioannou</w:t>
      </w:r>
      <w:r w:rsidRPr="00E72418">
        <w:rPr>
          <w:szCs w:val="20"/>
          <w:lang w:val="en-US"/>
        </w:rPr>
        <w:t xml:space="preserve"> et </w:t>
      </w:r>
      <w:r w:rsidRPr="00E72418">
        <w:rPr>
          <w:smallCaps/>
          <w:szCs w:val="20"/>
          <w:lang w:val="en-US"/>
        </w:rPr>
        <w:t>C. Trebesch</w:t>
      </w:r>
      <w:r w:rsidRPr="00E72418">
        <w:rPr>
          <w:szCs w:val="20"/>
          <w:lang w:val="en-US"/>
        </w:rPr>
        <w:t>, « Sovereign Debt Restructurings 1950 – 2010: Literature Survey, Data, and Stylized Facts », IMF Working Paper, 2012, p. 66.</w:t>
      </w:r>
    </w:p>
  </w:footnote>
  <w:footnote w:id="305">
    <w:p w14:paraId="601351C1" w14:textId="3F5185DB"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Nous l’avons déjà indiqué (voyez </w:t>
      </w:r>
      <w:r w:rsidRPr="00E72418">
        <w:rPr>
          <w:i/>
          <w:szCs w:val="20"/>
        </w:rPr>
        <w:t>supra</w:t>
      </w:r>
      <w:r w:rsidRPr="00E72418">
        <w:rPr>
          <w:szCs w:val="20"/>
        </w:rPr>
        <w:t xml:space="preserve"> n° 13), les économies n’ayant pas accès aux marchés financiers souffrent généralement d’une instabilité politique accrue, en témoigne la situation argentine du début du siècle.</w:t>
      </w:r>
    </w:p>
  </w:footnote>
  <w:footnote w:id="306">
    <w:p w14:paraId="60344276" w14:textId="6D62D9B0" w:rsidR="0030147D" w:rsidRPr="00E72418" w:rsidRDefault="0030147D" w:rsidP="00DF7457">
      <w:pPr>
        <w:pStyle w:val="Sansinterligne"/>
        <w:rPr>
          <w:szCs w:val="20"/>
        </w:rPr>
      </w:pPr>
      <w:r w:rsidRPr="00E72418">
        <w:rPr>
          <w:rStyle w:val="Appelnotedebasdep"/>
          <w:szCs w:val="20"/>
        </w:rPr>
        <w:footnoteRef/>
      </w:r>
      <w:r w:rsidRPr="00E72418">
        <w:rPr>
          <w:szCs w:val="20"/>
        </w:rPr>
        <w:t xml:space="preserve"> Comme l’ont remarqué Julian Schumacher </w:t>
      </w:r>
      <w:r w:rsidRPr="00E72418">
        <w:rPr>
          <w:rFonts w:ascii="Times New Roman" w:hAnsi="Times New Roman"/>
          <w:i/>
        </w:rPr>
        <w:t>et al.</w:t>
      </w:r>
      <w:r w:rsidRPr="00E72418">
        <w:rPr>
          <w:rFonts w:ascii="Times New Roman" w:hAnsi="Times New Roman"/>
        </w:rPr>
        <w:t>,</w:t>
      </w:r>
      <w:r w:rsidRPr="00E72418" w:rsidDel="00F00694">
        <w:rPr>
          <w:szCs w:val="20"/>
        </w:rPr>
        <w:t xml:space="preserve"> </w:t>
      </w:r>
      <w:r w:rsidRPr="00E72418">
        <w:rPr>
          <w:szCs w:val="20"/>
        </w:rPr>
        <w:t>« [t]he evidence supports the view that legal risks are an important driver of market access, over and above the default effect per se ». Ainsi, ajoutent ces auteurs</w:t>
      </w:r>
      <w:r>
        <w:rPr>
          <w:szCs w:val="20"/>
        </w:rPr>
        <w:t>,</w:t>
      </w:r>
      <w:r w:rsidRPr="00E72418">
        <w:rPr>
          <w:szCs w:val="20"/>
        </w:rPr>
        <w:t xml:space="preserve"> « [l]itigation and attachment attempts have significantly negative effects on governments’ ability to borrow externally above and beyond any general default effects »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xml:space="preserve">, pp. 2 et 26). Sur les contentieux intentés par les créanciers récalcitrants, voyez </w:t>
      </w:r>
      <w:r w:rsidRPr="00E72418">
        <w:rPr>
          <w:i/>
          <w:szCs w:val="20"/>
        </w:rPr>
        <w:t>infra</w:t>
      </w:r>
      <w:r w:rsidRPr="00E72418">
        <w:rPr>
          <w:szCs w:val="20"/>
        </w:rPr>
        <w:t xml:space="preserve"> n</w:t>
      </w:r>
      <w:r w:rsidRPr="00E72418">
        <w:rPr>
          <w:szCs w:val="20"/>
          <w:vertAlign w:val="superscript"/>
        </w:rPr>
        <w:t xml:space="preserve">os </w:t>
      </w:r>
      <w:r w:rsidRPr="00E72418">
        <w:rPr>
          <w:szCs w:val="20"/>
        </w:rPr>
        <w:t>75 et suiv.</w:t>
      </w:r>
    </w:p>
  </w:footnote>
  <w:footnote w:id="307">
    <w:p w14:paraId="4FE6918B" w14:textId="5A3BDA4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pp. 12 à 14. L’auteur donne l’exemple de la Grèce qui souffrit de la révélation des déficiences de présentation de ses comptes publics lesquelles eurent de lourds impacts sur les investisseurs.</w:t>
      </w:r>
    </w:p>
  </w:footnote>
  <w:footnote w:id="308">
    <w:p w14:paraId="5B6A51D1" w14:textId="0717045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mallCaps/>
          <w:szCs w:val="20"/>
        </w:rPr>
        <w:t>,</w:t>
      </w:r>
      <w:r w:rsidRPr="00E72418">
        <w:rPr>
          <w:szCs w:val="20"/>
        </w:rPr>
        <w:t xml:space="preserve"> p. 12.</w:t>
      </w:r>
    </w:p>
  </w:footnote>
  <w:footnote w:id="309">
    <w:p w14:paraId="18D1B457" w14:textId="255FD78A"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 13. Les agences de notation jouent dans tout ceci un rôle prépondérant à travers les </w:t>
      </w:r>
      <w:r>
        <w:rPr>
          <w:szCs w:val="20"/>
        </w:rPr>
        <w:t>notes</w:t>
      </w:r>
      <w:r w:rsidRPr="00E72418">
        <w:rPr>
          <w:szCs w:val="20"/>
        </w:rPr>
        <w:t xml:space="preserve"> qu’elles attribuent et l’information qu’elles véhiculent aux investisseurs qui s’en servent pour adapter leur attitude (</w:t>
      </w:r>
      <w:r w:rsidRPr="00E72418">
        <w:rPr>
          <w:i/>
          <w:szCs w:val="20"/>
        </w:rPr>
        <w:t>ibid.</w:t>
      </w:r>
      <w:r w:rsidRPr="00E72418">
        <w:rPr>
          <w:szCs w:val="20"/>
        </w:rPr>
        <w:t xml:space="preserve">, p. 14). </w:t>
      </w:r>
    </w:p>
  </w:footnote>
  <w:footnote w:id="310">
    <w:p w14:paraId="40003949" w14:textId="0E3FF26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Nyembwe</w:t>
      </w:r>
      <w:r w:rsidRPr="00E72418">
        <w:rPr>
          <w:szCs w:val="20"/>
        </w:rPr>
        <w:t xml:space="preserve">, « Crises de la dette dans les pays en voie de développement et dans la zone euro : incitations rationnelles des fonds vautours et annulation de dette », </w:t>
      </w:r>
      <w:r w:rsidRPr="00E72418">
        <w:rPr>
          <w:i/>
          <w:szCs w:val="20"/>
        </w:rPr>
        <w:t>op. cit.</w:t>
      </w:r>
      <w:r w:rsidRPr="00E72418">
        <w:rPr>
          <w:szCs w:val="20"/>
        </w:rPr>
        <w:t>, p. 58.</w:t>
      </w:r>
    </w:p>
  </w:footnote>
  <w:footnote w:id="311">
    <w:p w14:paraId="72397237" w14:textId="065D78AB" w:rsidR="0030147D" w:rsidRPr="00E72418" w:rsidRDefault="0030147D" w:rsidP="006E58A8">
      <w:pPr>
        <w:pStyle w:val="Sansinterligne"/>
      </w:pPr>
      <w:r w:rsidRPr="00E72418">
        <w:rPr>
          <w:rStyle w:val="Appelnotedebasdep"/>
        </w:rPr>
        <w:footnoteRef/>
      </w:r>
      <w:r w:rsidRPr="00E72418">
        <w:t xml:space="preserve"> Voyez </w:t>
      </w:r>
      <w:r w:rsidRPr="00E72418">
        <w:rPr>
          <w:i/>
        </w:rPr>
        <w:t>infra</w:t>
      </w:r>
      <w:r w:rsidRPr="00E72418">
        <w:t xml:space="preserve"> n</w:t>
      </w:r>
      <w:r w:rsidRPr="00E72418">
        <w:rPr>
          <w:vertAlign w:val="superscript"/>
        </w:rPr>
        <w:t>os</w:t>
      </w:r>
      <w:r w:rsidRPr="00E72418">
        <w:t xml:space="preserve"> 272 et suiv.</w:t>
      </w:r>
    </w:p>
  </w:footnote>
  <w:footnote w:id="312">
    <w:p w14:paraId="63A26A87" w14:textId="00C02044"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Meager, E. Price</w:t>
      </w:r>
      <w:r w:rsidRPr="00E72418">
        <w:rPr>
          <w:szCs w:val="20"/>
          <w:lang w:val="en-US"/>
        </w:rPr>
        <w:t xml:space="preserve"> et </w:t>
      </w:r>
      <w:r w:rsidRPr="00E72418">
        <w:rPr>
          <w:smallCaps/>
          <w:szCs w:val="20"/>
          <w:lang w:val="en-US"/>
        </w:rPr>
        <w:t>B. Yap</w:t>
      </w:r>
      <w:r w:rsidRPr="00E72418">
        <w:rPr>
          <w:szCs w:val="20"/>
          <w:lang w:val="en-US"/>
        </w:rPr>
        <w:t xml:space="preserve">, « How to jump start sovereign debt », </w:t>
      </w:r>
      <w:r w:rsidRPr="00E72418">
        <w:rPr>
          <w:i/>
          <w:szCs w:val="20"/>
          <w:lang w:val="en-US"/>
        </w:rPr>
        <w:t>op. cit.</w:t>
      </w:r>
      <w:r w:rsidRPr="00E72418">
        <w:rPr>
          <w:szCs w:val="20"/>
          <w:lang w:val="en-US"/>
        </w:rPr>
        <w:t>, p. 23.</w:t>
      </w:r>
    </w:p>
  </w:footnote>
  <w:footnote w:id="313">
    <w:p w14:paraId="68DDA20B" w14:textId="2CC158BE"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E. Stoica</w:t>
      </w:r>
      <w:r w:rsidRPr="00E72418">
        <w:rPr>
          <w:szCs w:val="20"/>
          <w:lang w:val="en-US"/>
        </w:rPr>
        <w:t xml:space="preserve">, « Sovereign Debt Restructuring and “Vulture Funds” », </w:t>
      </w:r>
      <w:r w:rsidRPr="00E72418">
        <w:rPr>
          <w:i/>
          <w:szCs w:val="20"/>
          <w:lang w:val="en-US"/>
        </w:rPr>
        <w:t>C.K.S.</w:t>
      </w:r>
      <w:r w:rsidRPr="00E72418">
        <w:rPr>
          <w:szCs w:val="20"/>
          <w:lang w:val="en-US"/>
        </w:rPr>
        <w:t>, 2016, p. 712.</w:t>
      </w:r>
    </w:p>
  </w:footnote>
  <w:footnote w:id="314">
    <w:p w14:paraId="4F79FB93" w14:textId="584E094A" w:rsidR="0030147D" w:rsidRPr="00E72418" w:rsidRDefault="0030147D" w:rsidP="00226175">
      <w:pPr>
        <w:pStyle w:val="Sansinterligne"/>
      </w:pPr>
      <w:r w:rsidRPr="00E72418">
        <w:rPr>
          <w:rStyle w:val="Appelnotedebasdep"/>
        </w:rPr>
        <w:footnoteRef/>
      </w:r>
      <w:r w:rsidRPr="00E72418">
        <w:t xml:space="preserve"> </w:t>
      </w:r>
      <w:r w:rsidRPr="00E72418">
        <w:rPr>
          <w:smallCaps/>
        </w:rPr>
        <w:t>M. Riegner</w:t>
      </w:r>
      <w:r w:rsidRPr="00E72418">
        <w:t xml:space="preserve">, </w:t>
      </w:r>
      <w:r w:rsidRPr="00E72418">
        <w:rPr>
          <w:rStyle w:val="Titre5Car"/>
          <w:rFonts w:ascii="Times" w:eastAsiaTheme="minorHAnsi" w:hAnsi="Times" w:cstheme="minorBidi"/>
          <w:color w:val="auto"/>
          <w:szCs w:val="20"/>
          <w:lang w:val="en-US"/>
        </w:rPr>
        <w:t xml:space="preserve">« </w:t>
      </w:r>
      <w:r w:rsidRPr="00E72418">
        <w:t xml:space="preserve">Legal Frameworks and General Principles for Indicators in Sovereign Debt Restructuring </w:t>
      </w:r>
      <w:r w:rsidRPr="00E72418">
        <w:rPr>
          <w:rStyle w:val="Titre5Car"/>
          <w:rFonts w:ascii="Times" w:eastAsiaTheme="minorHAnsi" w:hAnsi="Times" w:cstheme="minorBidi"/>
          <w:color w:val="auto"/>
          <w:szCs w:val="20"/>
          <w:lang w:val="en-US"/>
        </w:rPr>
        <w:t xml:space="preserve">»,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w:t>
      </w:r>
      <w:r w:rsidRPr="00E72418">
        <w:rPr>
          <w:rStyle w:val="Titre5Car"/>
          <w:rFonts w:ascii="Times" w:eastAsiaTheme="minorHAnsi" w:hAnsi="Times" w:cstheme="minorBidi"/>
          <w:color w:val="auto"/>
          <w:lang w:val="en-US"/>
        </w:rPr>
        <w:t xml:space="preserve"> p. 160. Et l’auteur insiste sur le fait que </w:t>
      </w:r>
      <w:r w:rsidRPr="00E72418">
        <w:rPr>
          <w:rStyle w:val="Titre5Car"/>
          <w:rFonts w:ascii="Times" w:eastAsiaTheme="minorHAnsi" w:hAnsi="Times" w:cstheme="minorBidi"/>
          <w:color w:val="auto"/>
          <w:szCs w:val="20"/>
          <w:lang w:val="en-US"/>
        </w:rPr>
        <w:t xml:space="preserve">« </w:t>
      </w:r>
      <w:r w:rsidRPr="00E72418">
        <w:rPr>
          <w:rFonts w:ascii="Times New Roman" w:hAnsi="Times New Roman" w:cs="Times New Roman"/>
        </w:rPr>
        <w:t>[h]</w:t>
      </w:r>
      <w:r w:rsidRPr="00E72418">
        <w:t xml:space="preserve">uman rights and social indicators should be used to monitor and mitigate the social and human impact of restructurings </w:t>
      </w:r>
      <w:r w:rsidRPr="00E72418">
        <w:rPr>
          <w:rStyle w:val="Titre5Car"/>
          <w:rFonts w:ascii="Times" w:eastAsiaTheme="minorHAnsi" w:hAnsi="Times" w:cstheme="minorBidi"/>
          <w:color w:val="auto"/>
          <w:szCs w:val="20"/>
          <w:lang w:val="en-US"/>
        </w:rPr>
        <w:t>» (</w:t>
      </w:r>
      <w:r w:rsidRPr="00E72418">
        <w:rPr>
          <w:rStyle w:val="Titre5Car"/>
          <w:rFonts w:ascii="Times" w:eastAsiaTheme="minorHAnsi" w:hAnsi="Times" w:cstheme="minorBidi"/>
          <w:i/>
          <w:color w:val="auto"/>
          <w:szCs w:val="20"/>
          <w:lang w:val="en-US"/>
        </w:rPr>
        <w:t>ibid.</w:t>
      </w:r>
      <w:r w:rsidRPr="00E72418">
        <w:rPr>
          <w:rStyle w:val="Titre5Car"/>
          <w:rFonts w:ascii="Times" w:eastAsiaTheme="minorHAnsi" w:hAnsi="Times" w:cstheme="minorBidi"/>
          <w:color w:val="auto"/>
          <w:szCs w:val="20"/>
          <w:lang w:val="en-US"/>
        </w:rPr>
        <w:t>, p. 173).</w:t>
      </w:r>
    </w:p>
  </w:footnote>
  <w:footnote w:id="315">
    <w:p w14:paraId="199E7A82" w14:textId="21E8896C"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70.</w:t>
      </w:r>
    </w:p>
  </w:footnote>
  <w:footnote w:id="316">
    <w:p w14:paraId="6FCE8006" w14:textId="777777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Vernengo</w:t>
      </w:r>
      <w:r w:rsidRPr="00E72418">
        <w:rPr>
          <w:szCs w:val="20"/>
          <w:lang w:val="en-US"/>
        </w:rPr>
        <w:t xml:space="preserve">, « Argentina, Vulture Funds, and the American Justice System », </w:t>
      </w:r>
      <w:r w:rsidRPr="00E72418">
        <w:rPr>
          <w:i/>
          <w:szCs w:val="20"/>
          <w:lang w:val="en-US"/>
        </w:rPr>
        <w:t>Challenge</w:t>
      </w:r>
      <w:r w:rsidRPr="00E72418">
        <w:rPr>
          <w:szCs w:val="20"/>
          <w:lang w:val="en-US"/>
        </w:rPr>
        <w:t>, 2014, p. 52.</w:t>
      </w:r>
    </w:p>
  </w:footnote>
  <w:footnote w:id="317">
    <w:p w14:paraId="60126C3A" w14:textId="6D892D5D" w:rsidR="0030147D" w:rsidRPr="00E72418" w:rsidRDefault="0030147D" w:rsidP="00AC4D76">
      <w:pPr>
        <w:pStyle w:val="Sansinterligne"/>
        <w:rPr>
          <w:szCs w:val="20"/>
        </w:rPr>
      </w:pPr>
      <w:r w:rsidRPr="00E72418">
        <w:rPr>
          <w:rStyle w:val="Appelnotedebasdep"/>
          <w:szCs w:val="20"/>
        </w:rPr>
        <w:footnoteRef/>
      </w:r>
      <w:r w:rsidRPr="00E72418">
        <w:rPr>
          <w:szCs w:val="20"/>
        </w:rPr>
        <w:t xml:space="preserve"> Nous le verrons (</w:t>
      </w:r>
      <w:r w:rsidRPr="00E72418">
        <w:rPr>
          <w:i/>
          <w:szCs w:val="20"/>
        </w:rPr>
        <w:t xml:space="preserve">infra </w:t>
      </w:r>
      <w:r w:rsidRPr="00E72418">
        <w:rPr>
          <w:szCs w:val="20"/>
        </w:rPr>
        <w:t>n° 65 notamment), l’importance de la restructuration n’est pas qu’économique, elle doit permettre aux États débiteurs de servir leur dette sans compromettre leur capacité à satisfaire leurs obligations en matière de droits de l’homme. Comme le relève le Comité consultatif du Conseil des droits de l’homme des Nations Unies, la réduction du service de la dette est de nature à créer les conditions nécessaires à la réalisation des droits économiques, sociaux et culturels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pp. 17 et 18. Voyez également,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principe 53).</w:t>
      </w:r>
    </w:p>
  </w:footnote>
  <w:footnote w:id="318">
    <w:p w14:paraId="3DCEC543" w14:textId="78055BE7"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xml:space="preserve">, p. 1680 ainsi que J. </w:t>
      </w:r>
      <w:r w:rsidRPr="00E72418">
        <w:rPr>
          <w:rFonts w:cs="Times New Roman"/>
          <w:smallCaps/>
          <w:szCs w:val="24"/>
          <w:lang w:val="en-US"/>
        </w:rPr>
        <w:t xml:space="preserve">Bohoslavsky </w:t>
      </w:r>
      <w:r w:rsidRPr="00E72418">
        <w:rPr>
          <w:rFonts w:cs="Times New Roman"/>
          <w:szCs w:val="24"/>
          <w:lang w:val="en-US"/>
        </w:rPr>
        <w:t xml:space="preserve">et </w:t>
      </w:r>
      <w:r w:rsidRPr="00E72418">
        <w:rPr>
          <w:rFonts w:cs="Times New Roman"/>
          <w:smallCaps/>
          <w:szCs w:val="24"/>
          <w:lang w:val="en-US"/>
        </w:rPr>
        <w:t>M.</w:t>
      </w:r>
      <w:r w:rsidRPr="00E72418">
        <w:rPr>
          <w:rFonts w:cs="Times New Roman"/>
          <w:szCs w:val="24"/>
          <w:lang w:val="en-US"/>
        </w:rPr>
        <w:t xml:space="preserve"> </w:t>
      </w:r>
      <w:r w:rsidRPr="00E72418">
        <w:rPr>
          <w:rFonts w:cs="Times New Roman"/>
          <w:smallCaps/>
          <w:szCs w:val="24"/>
          <w:lang w:val="en-US"/>
        </w:rPr>
        <w:t>Goldmann, « </w:t>
      </w:r>
      <w:r w:rsidRPr="00E72418">
        <w:rPr>
          <w:lang w:val="en-US"/>
        </w:rPr>
        <w:t xml:space="preserve">An Incremental Approach to Sovereign Debt Restructuring: Sovereign Debt Sustainability as a Principle of Public International Law </w:t>
      </w:r>
      <w:r w:rsidRPr="00E72418">
        <w:rPr>
          <w:rFonts w:cs="Times New Roman"/>
          <w:szCs w:val="24"/>
          <w:lang w:val="en-US"/>
        </w:rPr>
        <w:t xml:space="preserve">», </w:t>
      </w:r>
      <w:r w:rsidRPr="00E72418">
        <w:rPr>
          <w:rFonts w:cs="Times New Roman"/>
          <w:i/>
          <w:szCs w:val="24"/>
          <w:lang w:val="en-US"/>
        </w:rPr>
        <w:t>op. cit.</w:t>
      </w:r>
      <w:r w:rsidRPr="00E72418">
        <w:rPr>
          <w:rFonts w:cs="Times New Roman"/>
          <w:szCs w:val="24"/>
          <w:lang w:val="en-US"/>
        </w:rPr>
        <w:t>, p. 15</w:t>
      </w:r>
      <w:r w:rsidRPr="00E72418">
        <w:rPr>
          <w:rStyle w:val="Titre5Car"/>
          <w:rFonts w:ascii="Times" w:eastAsiaTheme="minorHAnsi" w:hAnsi="Times" w:cstheme="minorBidi"/>
          <w:color w:val="auto"/>
          <w:szCs w:val="20"/>
          <w:lang w:val="en-US"/>
        </w:rPr>
        <w:t xml:space="preserve">. </w:t>
      </w:r>
      <w:r w:rsidRPr="00E72418">
        <w:rPr>
          <w:szCs w:val="20"/>
        </w:rPr>
        <w:t>Dans une étude menée sur les restructurations dans les pays à marché émergent, le Fonds monétaire international conclut que les indicateurs macroéconomiques ont tendance à s’améliorer dans les années suivant immédiatement celles-ci (</w:t>
      </w:r>
      <w:r w:rsidRPr="00E72418">
        <w:rPr>
          <w:szCs w:val="20"/>
          <w:lang w:val="en-US"/>
        </w:rPr>
        <w:t>Fonds monétaire international</w:t>
      </w:r>
      <w:r w:rsidRPr="00E72418">
        <w:rPr>
          <w:szCs w:val="20"/>
        </w:rPr>
        <w:t xml:space="preserve">, </w:t>
      </w:r>
      <w:r w:rsidRPr="00E72418">
        <w:rPr>
          <w:i/>
          <w:szCs w:val="20"/>
        </w:rPr>
        <w:t>A Survey of Experiences with Emerging Market Sovereign Debt Restructurings</w:t>
      </w:r>
      <w:r w:rsidRPr="00E72418">
        <w:rPr>
          <w:szCs w:val="20"/>
        </w:rPr>
        <w:t>, 5 juin 2012, p. 22).</w:t>
      </w:r>
    </w:p>
  </w:footnote>
  <w:footnote w:id="319">
    <w:p w14:paraId="40726D29" w14:textId="23F9CB2C" w:rsidR="0030147D" w:rsidRPr="00E72418" w:rsidRDefault="0030147D" w:rsidP="0023077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Mauro</w:t>
      </w:r>
      <w:r w:rsidRPr="00E72418">
        <w:rPr>
          <w:szCs w:val="20"/>
          <w:lang w:val="en-US"/>
        </w:rPr>
        <w:t xml:space="preserve">, « Sovereign Default and Litigation: </w:t>
      </w:r>
      <w:r w:rsidRPr="00E72418">
        <w:rPr>
          <w:i/>
          <w:szCs w:val="20"/>
          <w:lang w:val="en-US"/>
        </w:rPr>
        <w:t>NML Capital v. Argentina</w:t>
      </w:r>
      <w:r w:rsidRPr="00E72418">
        <w:rPr>
          <w:szCs w:val="20"/>
          <w:lang w:val="en-US"/>
        </w:rPr>
        <w:t xml:space="preserve"> », </w:t>
      </w:r>
      <w:r w:rsidRPr="00E72418">
        <w:rPr>
          <w:i/>
          <w:szCs w:val="20"/>
          <w:lang w:val="en-US"/>
        </w:rPr>
        <w:t>op. cit.</w:t>
      </w:r>
      <w:r w:rsidRPr="00E72418">
        <w:rPr>
          <w:szCs w:val="20"/>
          <w:lang w:val="en-US"/>
        </w:rPr>
        <w:t>, p. 254.</w:t>
      </w:r>
    </w:p>
  </w:footnote>
  <w:footnote w:id="320">
    <w:p w14:paraId="00D2A53A" w14:textId="0659343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F. Sturzenegger</w:t>
      </w:r>
      <w:r w:rsidRPr="00E72418">
        <w:rPr>
          <w:szCs w:val="20"/>
          <w:lang w:val="en-US"/>
        </w:rPr>
        <w:t xml:space="preserve"> et </w:t>
      </w:r>
      <w:r w:rsidRPr="00E72418">
        <w:rPr>
          <w:smallCaps/>
          <w:szCs w:val="20"/>
          <w:lang w:val="en-US"/>
        </w:rPr>
        <w:t>J. Zettelmeyer</w:t>
      </w:r>
      <w:r w:rsidRPr="00E72418">
        <w:rPr>
          <w:szCs w:val="20"/>
          <w:lang w:val="en-US"/>
        </w:rPr>
        <w:t xml:space="preserve">, </w:t>
      </w:r>
      <w:r w:rsidRPr="00E72418">
        <w:rPr>
          <w:i/>
          <w:szCs w:val="20"/>
          <w:lang w:val="en-US"/>
        </w:rPr>
        <w:t>Debt Defaults and Lessons from a Decade of Crises</w:t>
      </w:r>
      <w:r w:rsidRPr="00E72418">
        <w:rPr>
          <w:szCs w:val="20"/>
          <w:lang w:val="en-US"/>
        </w:rPr>
        <w:t xml:space="preserve">, The MIT Press, 2006, p. 3. Plus largement, Michael Riegner définit les restructurations comme </w:t>
      </w:r>
      <w:r w:rsidRPr="00E72418">
        <w:rPr>
          <w:rFonts w:cs="Times New Roman"/>
          <w:smallCaps/>
          <w:szCs w:val="24"/>
          <w:lang w:val="en-US"/>
        </w:rPr>
        <w:t xml:space="preserve">« </w:t>
      </w:r>
      <w:r w:rsidRPr="00E72418">
        <w:rPr>
          <w:rFonts w:cs="Times New Roman"/>
          <w:szCs w:val="24"/>
          <w:lang w:val="en-US"/>
        </w:rPr>
        <w:t xml:space="preserve">the bundle of measures associated with debt reduction, adjustment and conditional lending » (M. </w:t>
      </w:r>
      <w:r w:rsidRPr="00E72418">
        <w:rPr>
          <w:rFonts w:cs="Times New Roman"/>
          <w:smallCaps/>
          <w:szCs w:val="24"/>
          <w:lang w:val="en-US"/>
        </w:rPr>
        <w:t>Riegner</w:t>
      </w:r>
      <w:r w:rsidRPr="00E72418">
        <w:rPr>
          <w:rFonts w:cs="Times New Roman"/>
          <w:szCs w:val="24"/>
          <w:lang w:val="en-US"/>
        </w:rPr>
        <w:t xml:space="preserve">, </w:t>
      </w:r>
      <w:r w:rsidRPr="00E72418">
        <w:rPr>
          <w:rStyle w:val="Titre5Car"/>
          <w:rFonts w:ascii="Times New Roman" w:hAnsi="Times New Roman" w:cs="Times New Roman"/>
          <w:color w:val="auto"/>
          <w:szCs w:val="24"/>
          <w:lang w:val="en-US"/>
        </w:rPr>
        <w:t xml:space="preserve">« </w:t>
      </w:r>
      <w:r w:rsidRPr="00E72418">
        <w:rPr>
          <w:rFonts w:cs="Times New Roman"/>
          <w:szCs w:val="24"/>
          <w:lang w:val="en-US"/>
        </w:rPr>
        <w:t xml:space="preserve">Legal Frameworks and General Principles for Indicators in Sovereign Debt Restructuring </w:t>
      </w:r>
      <w:r w:rsidRPr="00E72418">
        <w:rPr>
          <w:rStyle w:val="Titre5Car"/>
          <w:rFonts w:ascii="Times New Roman" w:hAnsi="Times New Roman" w:cs="Times New Roman"/>
          <w:color w:val="auto"/>
          <w:szCs w:val="24"/>
          <w:lang w:val="en-US"/>
        </w:rPr>
        <w:t xml:space="preserve">», </w:t>
      </w:r>
      <w:r w:rsidRPr="00E72418">
        <w:rPr>
          <w:rStyle w:val="Titre5Car"/>
          <w:rFonts w:ascii="Times New Roman" w:hAnsi="Times New Roman" w:cs="Times New Roman"/>
          <w:i/>
          <w:color w:val="auto"/>
          <w:szCs w:val="24"/>
          <w:lang w:val="en-US"/>
        </w:rPr>
        <w:t>op. cit.</w:t>
      </w:r>
      <w:r w:rsidRPr="00E72418">
        <w:rPr>
          <w:rStyle w:val="Titre5Car"/>
          <w:rFonts w:ascii="Times New Roman" w:hAnsi="Times New Roman" w:cs="Times New Roman"/>
          <w:color w:val="auto"/>
          <w:szCs w:val="24"/>
          <w:lang w:val="en-US"/>
        </w:rPr>
        <w:t>, p. 141).</w:t>
      </w:r>
    </w:p>
  </w:footnote>
  <w:footnote w:id="321">
    <w:p w14:paraId="2C1941B1" w14:textId="53D41076"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Vernengo</w:t>
      </w:r>
      <w:r w:rsidRPr="00E72418">
        <w:rPr>
          <w:szCs w:val="20"/>
          <w:lang w:val="en-US"/>
        </w:rPr>
        <w:t xml:space="preserve">, « Argentina, Vulture Funds, and the American Justice System », </w:t>
      </w:r>
      <w:r w:rsidRPr="00E72418">
        <w:rPr>
          <w:i/>
          <w:szCs w:val="20"/>
          <w:lang w:val="en-US"/>
        </w:rPr>
        <w:t>op. cit.</w:t>
      </w:r>
      <w:r w:rsidRPr="00E72418">
        <w:rPr>
          <w:szCs w:val="20"/>
          <w:lang w:val="en-US"/>
        </w:rPr>
        <w:t xml:space="preserve">, p. 52. Les modifications peuvent évidemment être multiples comme le relève Patrick Wautelet au sujet de la restructuration grecque de 2012 parlant de « new securities with a lower aggregate outstanding principal amount, lower rate and a longer maturity </w:t>
      </w:r>
      <w:r w:rsidRPr="00E72418">
        <w:rPr>
          <w:rFonts w:cs="Times New Roman"/>
          <w:szCs w:val="24"/>
          <w:lang w:val="en-US"/>
        </w:rPr>
        <w:t xml:space="preserve">» (P. </w:t>
      </w:r>
      <w:r w:rsidRPr="00E72418">
        <w:rPr>
          <w:rFonts w:cs="Times New Roman"/>
          <w:smallCaps/>
          <w:szCs w:val="24"/>
          <w:lang w:val="en-US"/>
        </w:rPr>
        <w:t>Wautelet</w:t>
      </w:r>
      <w:r w:rsidRPr="00E72418">
        <w:rPr>
          <w:rFonts w:cs="Times New Roman"/>
          <w:szCs w:val="24"/>
          <w:lang w:val="en-US"/>
        </w:rPr>
        <w:t xml:space="preserve">, </w:t>
      </w:r>
      <w:r w:rsidRPr="00E72418">
        <w:rPr>
          <w:rFonts w:ascii="Times New Roman" w:hAnsi="Times New Roman" w:cs="Times New Roman"/>
          <w:szCs w:val="24"/>
        </w:rPr>
        <w:t xml:space="preserve">« The Greek debt restructuring and property rights – A Greek tragedy for investors? », in </w:t>
      </w:r>
      <w:r w:rsidRPr="00E72418">
        <w:rPr>
          <w:rFonts w:ascii="Times New Roman" w:hAnsi="Times New Roman" w:cs="Times New Roman"/>
          <w:i/>
          <w:szCs w:val="24"/>
        </w:rPr>
        <w:t>Liber amicorum Marc Bossuyt</w:t>
      </w:r>
      <w:r w:rsidRPr="00E72418">
        <w:rPr>
          <w:rFonts w:ascii="Times New Roman" w:hAnsi="Times New Roman" w:cs="Times New Roman"/>
          <w:szCs w:val="24"/>
        </w:rPr>
        <w:t>, Intersentia, 2013, p. 904).</w:t>
      </w:r>
    </w:p>
  </w:footnote>
  <w:footnote w:id="322">
    <w:p w14:paraId="5FF9EFCD" w14:textId="0E8968E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Burress</w:t>
      </w:r>
      <w:r w:rsidRPr="00E72418">
        <w:rPr>
          <w:szCs w:val="20"/>
          <w:lang w:val="en-US"/>
        </w:rPr>
        <w:t xml:space="preserve">, « Sovereign Disobedience: The Role of U.S. Courts in Curtailing the Proliferation of Sovereign Default », </w:t>
      </w:r>
      <w:r w:rsidRPr="00E72418">
        <w:rPr>
          <w:rFonts w:ascii="Times New Roman" w:hAnsi="Times New Roman" w:cs="Times New Roman"/>
          <w:i/>
          <w:szCs w:val="20"/>
        </w:rPr>
        <w:t>Ind. Int. &amp; Comp. Law Rev.</w:t>
      </w:r>
      <w:r w:rsidRPr="00E72418">
        <w:rPr>
          <w:szCs w:val="20"/>
          <w:lang w:val="en-US"/>
        </w:rPr>
        <w:t>, 2015, pp. 271 et 272.</w:t>
      </w:r>
    </w:p>
  </w:footnote>
  <w:footnote w:id="323">
    <w:p w14:paraId="12718246" w14:textId="26BF90DF" w:rsidR="0030147D" w:rsidRPr="00E72418" w:rsidRDefault="0030147D" w:rsidP="00230773">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272.</w:t>
      </w:r>
    </w:p>
  </w:footnote>
  <w:footnote w:id="324">
    <w:p w14:paraId="279F7DB7" w14:textId="51B6053C" w:rsidR="0030147D" w:rsidRPr="00E72418" w:rsidRDefault="0030147D" w:rsidP="0023077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371.</w:t>
      </w:r>
    </w:p>
  </w:footnote>
  <w:footnote w:id="325">
    <w:p w14:paraId="2CA6977E" w14:textId="37680D4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p. 6.</w:t>
      </w:r>
    </w:p>
  </w:footnote>
  <w:footnote w:id="326">
    <w:p w14:paraId="0E0E9797" w14:textId="4A0EE14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Hornbeck</w:t>
      </w:r>
      <w:r w:rsidRPr="00E72418">
        <w:rPr>
          <w:szCs w:val="20"/>
          <w:lang w:val="en-US"/>
        </w:rPr>
        <w:t>, « Argentina’s Defaulted Sovereign Debt: Dealing with the “Holdouts” », Congressional Research Service R41029, 2013, p. 4.</w:t>
      </w:r>
    </w:p>
  </w:footnote>
  <w:footnote w:id="327">
    <w:p w14:paraId="60DA3506" w14:textId="059C50C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4.</w:t>
      </w:r>
    </w:p>
  </w:footnote>
  <w:footnote w:id="328">
    <w:p w14:paraId="2E3117B9" w14:textId="58315C0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mallCaps/>
          <w:szCs w:val="20"/>
          <w:lang w:val="en-US"/>
        </w:rPr>
        <w:t xml:space="preserve">, </w:t>
      </w:r>
      <w:r w:rsidRPr="00E72418">
        <w:rPr>
          <w:szCs w:val="20"/>
          <w:lang w:val="en-US"/>
        </w:rPr>
        <w:t>p. 16.</w:t>
      </w:r>
    </w:p>
  </w:footnote>
  <w:footnote w:id="329">
    <w:p w14:paraId="2C67E74E" w14:textId="6785ADC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U. Das, M. Papaioannou</w:t>
      </w:r>
      <w:r w:rsidRPr="00E72418">
        <w:rPr>
          <w:szCs w:val="20"/>
          <w:lang w:val="en-US"/>
        </w:rPr>
        <w:t xml:space="preserve"> et </w:t>
      </w:r>
      <w:r w:rsidRPr="00E72418">
        <w:rPr>
          <w:smallCaps/>
          <w:szCs w:val="20"/>
          <w:lang w:val="en-US"/>
        </w:rPr>
        <w:t>C. Trebesch</w:t>
      </w:r>
      <w:r w:rsidRPr="00E72418">
        <w:rPr>
          <w:szCs w:val="20"/>
          <w:lang w:val="en-US"/>
        </w:rPr>
        <w:t xml:space="preserve">, « Sovereign Debt Restructurings 1950 – 2010: Literature Survey, Data, and Stylized Facts », </w:t>
      </w:r>
      <w:r w:rsidRPr="00E72418">
        <w:rPr>
          <w:i/>
          <w:szCs w:val="20"/>
          <w:lang w:val="en-US"/>
        </w:rPr>
        <w:t>op. cit.</w:t>
      </w:r>
      <w:r w:rsidRPr="00E72418">
        <w:rPr>
          <w:szCs w:val="20"/>
          <w:lang w:val="en-US"/>
        </w:rPr>
        <w:t>, p. 5.</w:t>
      </w:r>
    </w:p>
  </w:footnote>
  <w:footnote w:id="330">
    <w:p w14:paraId="29215FAC" w14:textId="4DA17D6D"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Bruno</w:t>
      </w:r>
      <w:r w:rsidRPr="00E72418">
        <w:rPr>
          <w:szCs w:val="20"/>
          <w:lang w:val="en-US"/>
        </w:rPr>
        <w:t xml:space="preserve">, « Lessons from the most recent restructurings », </w:t>
      </w:r>
      <w:r w:rsidRPr="00E72418">
        <w:rPr>
          <w:i/>
          <w:szCs w:val="20"/>
          <w:lang w:val="en-US"/>
        </w:rPr>
        <w:t>op. cit.</w:t>
      </w:r>
      <w:r w:rsidRPr="00E72418">
        <w:rPr>
          <w:szCs w:val="20"/>
          <w:lang w:val="en-US"/>
        </w:rPr>
        <w:t>, p. 193.</w:t>
      </w:r>
    </w:p>
  </w:footnote>
  <w:footnote w:id="331">
    <w:p w14:paraId="00601624" w14:textId="40D3626F"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xml:space="preserve">, p. 4. </w:t>
      </w:r>
      <w:r w:rsidRPr="00E72418">
        <w:rPr>
          <w:szCs w:val="20"/>
        </w:rPr>
        <w:t>Nous verrons par la suite (</w:t>
      </w:r>
      <w:r w:rsidRPr="00E72418">
        <w:rPr>
          <w:i/>
          <w:szCs w:val="20"/>
        </w:rPr>
        <w:t xml:space="preserve">infra </w:t>
      </w:r>
      <w:r w:rsidRPr="00E72418">
        <w:rPr>
          <w:szCs w:val="20"/>
        </w:rPr>
        <w:t>n</w:t>
      </w:r>
      <w:r w:rsidRPr="00E72418">
        <w:rPr>
          <w:szCs w:val="20"/>
          <w:vertAlign w:val="superscript"/>
        </w:rPr>
        <w:t>os</w:t>
      </w:r>
      <w:r w:rsidRPr="00E72418">
        <w:rPr>
          <w:szCs w:val="20"/>
        </w:rPr>
        <w:t xml:space="preserve"> 66 ainsi que 272 et suiv.) que le contexte dans lequel sont amenées à intervenir les restructurations est tout à fait dérégulé, aucun mécanisme de protection des </w:t>
      </w:r>
      <w:r w:rsidRPr="00E72418">
        <w:rPr>
          <w:szCs w:val="20"/>
          <w:lang w:eastAsia="fr-BE"/>
        </w:rPr>
        <w:t>É</w:t>
      </w:r>
      <w:r w:rsidRPr="00E72418">
        <w:rPr>
          <w:szCs w:val="20"/>
        </w:rPr>
        <w:t>tats débiteurs n’existant.</w:t>
      </w:r>
    </w:p>
  </w:footnote>
  <w:footnote w:id="332">
    <w:p w14:paraId="013E0F97" w14:textId="06615E70"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S. Scott</w:t>
      </w:r>
      <w:r w:rsidRPr="00E72418">
        <w:t xml:space="preserve">, « Vultures, debt and desire: the vulture metaphor and Argentina’s sovereign debt crisis », </w:t>
      </w:r>
      <w:r w:rsidRPr="00E72418">
        <w:rPr>
          <w:rFonts w:ascii="Times New Roman" w:hAnsi="Times New Roman" w:cs="Times New Roman"/>
          <w:i/>
        </w:rPr>
        <w:t>J. Cult. Econ.</w:t>
      </w:r>
      <w:r w:rsidRPr="00E72418">
        <w:t>, 2019, p. 9.</w:t>
      </w:r>
    </w:p>
  </w:footnote>
  <w:footnote w:id="333">
    <w:p w14:paraId="44E8C349" w14:textId="0B8343E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62.</w:t>
      </w:r>
    </w:p>
  </w:footnote>
  <w:footnote w:id="334">
    <w:p w14:paraId="3098AEE9" w14:textId="40BC805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246.</w:t>
      </w:r>
    </w:p>
  </w:footnote>
  <w:footnote w:id="335">
    <w:p w14:paraId="6C7AE234" w14:textId="3E7A5798"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Techniques Financières et Développement</w:t>
      </w:r>
      <w:r w:rsidRPr="00E72418">
        <w:rPr>
          <w:szCs w:val="20"/>
        </w:rPr>
        <w:t xml:space="preserve">, 2015, p. 38. </w:t>
      </w:r>
      <w:r w:rsidRPr="00E72418">
        <w:rPr>
          <w:szCs w:val="20"/>
          <w:lang w:val="en-US"/>
        </w:rPr>
        <w:t>Sur</w:t>
      </w:r>
      <w:r>
        <w:rPr>
          <w:szCs w:val="20"/>
          <w:lang w:val="en-US"/>
        </w:rPr>
        <w:t xml:space="preserve"> ces </w:t>
      </w:r>
      <w:r>
        <w:rPr>
          <w:i/>
          <w:szCs w:val="20"/>
          <w:lang w:val="en-US"/>
        </w:rPr>
        <w:t>s</w:t>
      </w:r>
      <w:r w:rsidRPr="00E72418">
        <w:rPr>
          <w:i/>
          <w:szCs w:val="20"/>
          <w:lang w:val="en-US"/>
        </w:rPr>
        <w:t>yndicated loan contracts</w:t>
      </w:r>
      <w:r w:rsidRPr="00E72418">
        <w:rPr>
          <w:szCs w:val="20"/>
          <w:lang w:val="en-US"/>
        </w:rPr>
        <w:t xml:space="preserve">, voyez </w:t>
      </w:r>
      <w:r w:rsidRPr="00E72418">
        <w:rPr>
          <w:i/>
          <w:szCs w:val="20"/>
          <w:lang w:val="en-US"/>
        </w:rPr>
        <w:t>supra</w:t>
      </w:r>
      <w:r w:rsidRPr="00E72418">
        <w:rPr>
          <w:szCs w:val="20"/>
          <w:lang w:val="en-US"/>
        </w:rPr>
        <w:t xml:space="preserve"> n° 16.</w:t>
      </w:r>
    </w:p>
  </w:footnote>
  <w:footnote w:id="336">
    <w:p w14:paraId="4144E29F" w14:textId="554F77D2" w:rsidR="0030147D" w:rsidRPr="00E72418" w:rsidRDefault="0030147D" w:rsidP="00C7555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Bruno</w:t>
      </w:r>
      <w:r w:rsidRPr="00E72418">
        <w:rPr>
          <w:szCs w:val="20"/>
          <w:lang w:val="en-US"/>
        </w:rPr>
        <w:t xml:space="preserve">, « Lessons from history: structuring, defaulting, restructuring and the emerging markets », </w:t>
      </w:r>
      <w:r w:rsidRPr="00E72418">
        <w:rPr>
          <w:i/>
          <w:szCs w:val="20"/>
          <w:lang w:val="en-US"/>
        </w:rPr>
        <w:t>op. cit.</w:t>
      </w:r>
      <w:r w:rsidRPr="00E72418">
        <w:rPr>
          <w:szCs w:val="20"/>
          <w:lang w:val="en-US"/>
        </w:rPr>
        <w:t>, p. 185.</w:t>
      </w:r>
    </w:p>
  </w:footnote>
  <w:footnote w:id="337">
    <w:p w14:paraId="0AB6BFD0" w14:textId="646C332B"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50. Plus largement, comme l’explique Philip Power après avoir souligné que la pression était également exercée par des institutions telles que le Fonds monétaire international, « [a]ll parties were […] dependent upon one another : the banks deemed it essential that the debtor countries implement austerity programs ; the debtor countries would not implement austerity programs unless the IMF extended loans ; the IMF would not make loans unless the commercial banks extended bridge loans ». Et ce dernier auteur d’en conclure : « [t]he result of this triangular dependency was a “quid pro quo system” in which action was taken either collectively or not at all » (</w:t>
      </w:r>
      <w:r w:rsidRPr="00E72418">
        <w:rPr>
          <w:smallCaps/>
          <w:szCs w:val="20"/>
          <w:lang w:val="en-US"/>
        </w:rPr>
        <w:t>P. Power</w:t>
      </w:r>
      <w:r w:rsidRPr="00E72418">
        <w:rPr>
          <w:szCs w:val="20"/>
          <w:lang w:val="en-US"/>
        </w:rPr>
        <w:t xml:space="preserve">, « Sovereign debt: The rise of the secondary market and its implication for future restructurings », </w:t>
      </w:r>
      <w:r w:rsidRPr="00E72418">
        <w:rPr>
          <w:i/>
          <w:szCs w:val="20"/>
          <w:lang w:val="en-US"/>
        </w:rPr>
        <w:t>op. cit.</w:t>
      </w:r>
      <w:r w:rsidRPr="00E72418">
        <w:rPr>
          <w:szCs w:val="20"/>
          <w:lang w:val="en-US"/>
        </w:rPr>
        <w:t>, pp. 2712 et 2713).</w:t>
      </w:r>
    </w:p>
  </w:footnote>
  <w:footnote w:id="338">
    <w:p w14:paraId="1FE93E12" w14:textId="59967F3C"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p. 38.</w:t>
      </w:r>
    </w:p>
  </w:footnote>
  <w:footnote w:id="339">
    <w:p w14:paraId="51FEF228" w14:textId="56A9752F"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pp. 38 et 39. Relevant que déclarer un </w:t>
      </w:r>
      <w:r w:rsidRPr="00E72418">
        <w:rPr>
          <w:szCs w:val="20"/>
          <w:lang w:eastAsia="fr-BE"/>
        </w:rPr>
        <w:t>É</w:t>
      </w:r>
      <w:r w:rsidRPr="00E72418">
        <w:rPr>
          <w:szCs w:val="20"/>
        </w:rPr>
        <w:t>tat en défaut est une condition préalable au contentieux pouvant être intenté à son encontre, Elizabeth Broomfield relève que les banques avaient un incitant à éviter cette déclaration étant donné que « [d]eclaring a debtor in default would have required the banks to write down their loans, which banks wished to avoid » (</w:t>
      </w:r>
      <w:r w:rsidRPr="00E72418">
        <w:rPr>
          <w:smallCaps/>
          <w:szCs w:val="20"/>
        </w:rPr>
        <w:t>E. Broomfield</w:t>
      </w:r>
      <w:r w:rsidRPr="00E72418">
        <w:rPr>
          <w:szCs w:val="20"/>
        </w:rPr>
        <w:t xml:space="preserve">, « Subduing the Vultures: Assessing Government Caps on Recovery in Sovereign Debt Litigation », </w:t>
      </w:r>
      <w:r w:rsidRPr="00E72418">
        <w:rPr>
          <w:i/>
          <w:szCs w:val="20"/>
        </w:rPr>
        <w:t>op. cit.</w:t>
      </w:r>
      <w:r w:rsidRPr="00E72418">
        <w:rPr>
          <w:szCs w:val="20"/>
        </w:rPr>
        <w:t>, p. 483).</w:t>
      </w:r>
    </w:p>
  </w:footnote>
  <w:footnote w:id="340">
    <w:p w14:paraId="3C9CDC85" w14:textId="37F2684F"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pp. 484 et 485. Sur le plan </w:t>
      </w:r>
      <w:r w:rsidRPr="00E72418">
        <w:rPr>
          <w:i/>
          <w:szCs w:val="20"/>
          <w:lang w:val="en-US"/>
        </w:rPr>
        <w:t>Brady</w:t>
      </w:r>
      <w:r w:rsidRPr="00E72418">
        <w:rPr>
          <w:szCs w:val="20"/>
          <w:lang w:val="en-US"/>
        </w:rPr>
        <w:t xml:space="preserve">, voyez </w:t>
      </w:r>
      <w:r w:rsidRPr="00E72418">
        <w:rPr>
          <w:i/>
          <w:szCs w:val="20"/>
          <w:lang w:val="en-US"/>
        </w:rPr>
        <w:t>supra</w:t>
      </w:r>
      <w:r w:rsidRPr="00E72418">
        <w:rPr>
          <w:szCs w:val="20"/>
          <w:lang w:val="en-US"/>
        </w:rPr>
        <w:t xml:space="preserve"> n° 17. Comme le note Patrick Wautelet, « the creation of a secondary market in securitized loans […] led to the creation of a diverse and unmanageable community of creditors with disparate agendas »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pp. 106 et 119).</w:t>
      </w:r>
    </w:p>
  </w:footnote>
  <w:footnote w:id="341">
    <w:p w14:paraId="68C4BB0C" w14:textId="3BA5624D"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Sur cette complexité, voyez </w:t>
      </w:r>
      <w:r w:rsidRPr="00E72418">
        <w:rPr>
          <w:i/>
          <w:szCs w:val="20"/>
        </w:rPr>
        <w:t>infra</w:t>
      </w:r>
      <w:r w:rsidRPr="00E72418">
        <w:rPr>
          <w:szCs w:val="20"/>
        </w:rPr>
        <w:t xml:space="preserve"> n° 72.</w:t>
      </w:r>
    </w:p>
  </w:footnote>
  <w:footnote w:id="342">
    <w:p w14:paraId="5E48A84E" w14:textId="75C7E8F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rFonts w:ascii="Times New Roman" w:hAnsi="Times New Roman" w:cs="Times New Roman"/>
          <w:i/>
          <w:szCs w:val="24"/>
        </w:rPr>
        <w:t>É</w:t>
      </w:r>
      <w:r w:rsidRPr="00E72418">
        <w:rPr>
          <w:i/>
          <w:szCs w:val="20"/>
        </w:rPr>
        <w:t>tablissement d’un cadre juridique multilatéral applicable aux opérations de restructuration de la dette souveraine</w:t>
      </w:r>
      <w:r w:rsidRPr="00E72418">
        <w:rPr>
          <w:szCs w:val="20"/>
        </w:rPr>
        <w:t xml:space="preserve">, 9 septembre 2014, A/RES/68/304. La même année, dans sa résolution 27/30, le Conseil des droits de l’homme des Nations Unies reconnut le droit de tout État de restructurer sa dette souveraine, lequel droit ne devrait être contrarié ou entravé par aucune mesure émanant d’un autre État (Conseil des droits de l’homme des Nations Unies, </w:t>
      </w:r>
      <w:r w:rsidRPr="00E72418">
        <w:rPr>
          <w:i/>
          <w:szCs w:val="20"/>
        </w:rPr>
        <w:t>Effets de la dette extérieure et des obligations financières internationales connexes des États sur le plein exercice de tous les droits de l’homme, en particulier des droits économiques, sociaux et culturels : activités des fonds rapaces</w:t>
      </w:r>
      <w:r w:rsidRPr="00E72418">
        <w:rPr>
          <w:szCs w:val="20"/>
        </w:rPr>
        <w:t>, 26 septembre 2014, A/HRC/RES/27/30, p. 2).</w:t>
      </w:r>
    </w:p>
  </w:footnote>
  <w:footnote w:id="343">
    <w:p w14:paraId="246D9639" w14:textId="5FD0C5EB"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rFonts w:ascii="Times New Roman" w:hAnsi="Times New Roman" w:cs="Times New Roman"/>
          <w:i/>
          <w:szCs w:val="24"/>
        </w:rPr>
        <w:t>É</w:t>
      </w:r>
      <w:r w:rsidRPr="00E72418">
        <w:rPr>
          <w:i/>
          <w:szCs w:val="20"/>
        </w:rPr>
        <w:t>tablissement d’un cadre juridique multilatéral applicable aux opérations de restructuration de la dette souveraine</w:t>
      </w:r>
      <w:r w:rsidRPr="00E72418">
        <w:rPr>
          <w:szCs w:val="20"/>
        </w:rPr>
        <w:t>, 9 septembre 2014, A/RES/68/304, pp. 3 et 4. S’il est question pour certains d’un « pas historique » franchi avec l’adoption de cette résolution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13), il échet toutefois de le relativiser à la mesure des votes formulés. Cent vingt-quatre pays votèrent pour la résolution, onze contre et quarante et un pays s’abstinrent. Il importe de relever que les États-Unis et le Royaume-Uni votèrent contre la résolution et que la Grèce s’abstint (Assemblée générale des Nations Unies, 68</w:t>
      </w:r>
      <w:r w:rsidRPr="00E72418">
        <w:rPr>
          <w:szCs w:val="20"/>
          <w:vertAlign w:val="superscript"/>
        </w:rPr>
        <w:t>e</w:t>
      </w:r>
      <w:r w:rsidRPr="00E72418">
        <w:rPr>
          <w:szCs w:val="20"/>
        </w:rPr>
        <w:t xml:space="preserve"> session, 107</w:t>
      </w:r>
      <w:r w:rsidRPr="00E72418">
        <w:rPr>
          <w:szCs w:val="20"/>
          <w:vertAlign w:val="superscript"/>
        </w:rPr>
        <w:t>e</w:t>
      </w:r>
      <w:r w:rsidRPr="00E72418">
        <w:rPr>
          <w:szCs w:val="20"/>
        </w:rPr>
        <w:t xml:space="preserve"> séance plénière, 9 septembre 2014, A/68/PV.107, p. 5). </w:t>
      </w:r>
    </w:p>
  </w:footnote>
  <w:footnote w:id="344">
    <w:p w14:paraId="1B28D30A" w14:textId="2A2BFBA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i/>
          <w:szCs w:val="20"/>
        </w:rPr>
        <w:t>Modalités d’application de la résolution 68/304, intitulée « Établissement d’un cadre juridique multilatéral applicable aux opérations de restructuration de la dette souveraine »</w:t>
      </w:r>
      <w:r w:rsidRPr="00E72418">
        <w:rPr>
          <w:szCs w:val="20"/>
        </w:rPr>
        <w:t>, 29 décembre 2014, A/RES/69/247.</w:t>
      </w:r>
    </w:p>
  </w:footnote>
  <w:footnote w:id="345">
    <w:p w14:paraId="0834E14E" w14:textId="5DD2165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i/>
          <w:szCs w:val="20"/>
        </w:rPr>
        <w:t>Principes fondamentaux des opérations de restructuration de la dette souveraine</w:t>
      </w:r>
      <w:r w:rsidRPr="00E72418">
        <w:rPr>
          <w:szCs w:val="20"/>
        </w:rPr>
        <w:t xml:space="preserve">, 10 septembre 2015, A/RES/69/319. La République argentine fut le premier État à adopter les principes dans une loi dont le premier article déclare qu’ils font partie de l’ordre public. La loi argentine n° 27.207/15 du 4 novembre 2015 a déclaré que les principes fondamentaux des opérations de restructuration de la dette souveraine issus de la résolution du 10 septembre 2015 de l’Assemblée générale de Nations Unies « forman parte del ordenamiento jurídico de la República Argentina » (article 1 de la loi disponible à l’adresse </w:t>
      </w:r>
      <w:hyperlink r:id="rId23" w:anchor="!DetalleNormaBusquedaAvanzada/135794/20151110" w:history="1">
        <w:r w:rsidRPr="00E72418">
          <w:rPr>
            <w:rStyle w:val="Lienhypertexte"/>
            <w:color w:val="auto"/>
            <w:szCs w:val="20"/>
            <w:u w:val="none"/>
          </w:rPr>
          <w:t>www.boletinoficial.gob.ar/#!DetalleNormaBusquedaAvanzada/135794/20151110</w:t>
        </w:r>
      </w:hyperlink>
      <w:r w:rsidRPr="00E72418">
        <w:rPr>
          <w:szCs w:val="20"/>
        </w:rPr>
        <w:t>, consultation le 17 octobre 2021).</w:t>
      </w:r>
    </w:p>
  </w:footnote>
  <w:footnote w:id="346">
    <w:p w14:paraId="6FB4296D" w14:textId="147673A0"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xml:space="preserve">, p. 17. </w:t>
      </w:r>
      <w:r>
        <w:rPr>
          <w:szCs w:val="20"/>
        </w:rPr>
        <w:t>Cent trente-six</w:t>
      </w:r>
      <w:r w:rsidRPr="00E72418">
        <w:rPr>
          <w:szCs w:val="20"/>
        </w:rPr>
        <w:t xml:space="preserve"> pay</w:t>
      </w:r>
      <w:r>
        <w:rPr>
          <w:szCs w:val="20"/>
        </w:rPr>
        <w:t>s votèrent pour la résolution, six contre et quarante et un</w:t>
      </w:r>
      <w:r w:rsidRPr="00E72418">
        <w:rPr>
          <w:szCs w:val="20"/>
        </w:rPr>
        <w:t xml:space="preserve"> pays s’abstinrent (Assemblée générale des Nations Unies, 69</w:t>
      </w:r>
      <w:r w:rsidRPr="00E72418">
        <w:rPr>
          <w:szCs w:val="20"/>
          <w:vertAlign w:val="superscript"/>
        </w:rPr>
        <w:t>e</w:t>
      </w:r>
      <w:r w:rsidRPr="00E72418">
        <w:rPr>
          <w:szCs w:val="20"/>
        </w:rPr>
        <w:t xml:space="preserve"> session, 102</w:t>
      </w:r>
      <w:r w:rsidRPr="00E72418">
        <w:rPr>
          <w:szCs w:val="20"/>
          <w:vertAlign w:val="superscript"/>
        </w:rPr>
        <w:t>e</w:t>
      </w:r>
      <w:r w:rsidRPr="00E72418">
        <w:rPr>
          <w:szCs w:val="20"/>
        </w:rPr>
        <w:t xml:space="preserve"> séance plénière, 10 septembre 2015, A/69/PV.102, p. 10). Dans sa résolution du 17 avril 2018 </w:t>
      </w:r>
      <w:r w:rsidRPr="00E72418">
        <w:rPr>
          <w:rStyle w:val="Titre5Car"/>
          <w:rFonts w:ascii="Times" w:eastAsiaTheme="minorHAnsi" w:hAnsi="Times" w:cstheme="minorBidi"/>
          <w:color w:val="auto"/>
          <w:szCs w:val="20"/>
        </w:rPr>
        <w:t xml:space="preserve">sur l’amélioration de la viabilité de la dette des pays en développement, le Parlement européen déplora le refus en 2015 des </w:t>
      </w:r>
      <w:r w:rsidRPr="00E72418">
        <w:rPr>
          <w:szCs w:val="20"/>
        </w:rPr>
        <w:t>É</w:t>
      </w:r>
      <w:r w:rsidRPr="00E72418">
        <w:rPr>
          <w:rStyle w:val="Titre5Car"/>
          <w:rFonts w:ascii="Times" w:eastAsiaTheme="minorHAnsi" w:hAnsi="Times" w:cstheme="minorBidi"/>
          <w:color w:val="auto"/>
          <w:szCs w:val="20"/>
        </w:rPr>
        <w:t>tats membres de l’Union européenne d’approuver la résolution</w:t>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point 30). </w:t>
      </w:r>
      <w:r w:rsidRPr="00E72418">
        <w:rPr>
          <w:szCs w:val="20"/>
        </w:rPr>
        <w:t>Le vote négatif de pays comme les États-Unis ou encore le Royaume-Uni trouve à s’expliquer notamment par les importantes institutions financières localisé</w:t>
      </w:r>
      <w:r>
        <w:rPr>
          <w:szCs w:val="20"/>
        </w:rPr>
        <w:t>e</w:t>
      </w:r>
      <w:r w:rsidRPr="00E72418">
        <w:rPr>
          <w:szCs w:val="20"/>
        </w:rPr>
        <w:t>s sur leur territoire qui participent de leurs puissances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Actes de la recherche en sciences sociales</w:t>
      </w:r>
      <w:r w:rsidRPr="00E72418">
        <w:rPr>
          <w:szCs w:val="20"/>
        </w:rPr>
        <w:t>, 2018, p. 56).</w:t>
      </w:r>
    </w:p>
  </w:footnote>
  <w:footnote w:id="347">
    <w:p w14:paraId="6DA62E5C" w14:textId="139E6F78" w:rsidR="0030147D" w:rsidRPr="00E72418" w:rsidRDefault="0030147D" w:rsidP="00E32F89">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rPr>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t>Sovereign Debt Restructurings: Lessons learned from legislative steps taken by certain countries and other appropriate action to reduce the vulnerability of sovereigns to holdout creditors »</w:t>
      </w:r>
      <w:r w:rsidRPr="00E72418">
        <w:rPr>
          <w:lang w:val="en-US"/>
        </w:rPr>
        <w:t xml:space="preserve">, </w:t>
      </w:r>
      <w:r w:rsidRPr="00E72418">
        <w:t>background note, 26 octobre 2016</w:t>
      </w:r>
      <w:r w:rsidRPr="00E72418">
        <w:rPr>
          <w:lang w:val="en-US"/>
        </w:rPr>
        <w:t xml:space="preserve">, p. 4. </w:t>
      </w:r>
      <w:r w:rsidRPr="00E72418">
        <w:t>Ainsi, la résolution adoptée par l’Assemblée générale des Nations Unies et les principes qu’elle consacre revêtent une portée et une efficacité limitées dans la mesure où la résolution n’a pas de valeur juridique contraignante (</w:t>
      </w:r>
      <w:r w:rsidRPr="00E72418">
        <w:rPr>
          <w:smallCaps/>
        </w:rPr>
        <w:t>C. Lequesne-Roth</w:t>
      </w:r>
      <w:r w:rsidRPr="00E72418">
        <w:t xml:space="preserve">, « La fin des “vautours”? Retour sur le contentieux stratégique des dettes souveraines », </w:t>
      </w:r>
      <w:r w:rsidRPr="00E72418">
        <w:rPr>
          <w:i/>
        </w:rPr>
        <w:t>op. cit.</w:t>
      </w:r>
      <w:r w:rsidRPr="00E72418">
        <w:t xml:space="preserve">, p. 356). Julieta </w:t>
      </w:r>
      <w:r w:rsidRPr="00E72418">
        <w:rPr>
          <w:rFonts w:cs="Times New Roman"/>
        </w:rPr>
        <w:t>Rossi souligne toutefois l’importance de ces principes dans la mesure où ils ont été adoptés par l’organe international le plus représentatif et le plus démocratique qui soit (</w:t>
      </w:r>
      <w:r w:rsidRPr="00E72418">
        <w:rPr>
          <w:smallCaps/>
        </w:rPr>
        <w:t>J. Rossi</w:t>
      </w:r>
      <w:r w:rsidRPr="00E72418">
        <w:t xml:space="preserve">, « Sovereign Debt Restructuring, National Development and Human </w:t>
      </w:r>
      <w:r w:rsidRPr="00E72418">
        <w:rPr>
          <w:lang w:val="en-US"/>
        </w:rPr>
        <w:t>Rights</w:t>
      </w:r>
      <w:r w:rsidRPr="00E72418">
        <w:t xml:space="preserve"> », </w:t>
      </w:r>
      <w:r w:rsidRPr="00E72418">
        <w:rPr>
          <w:i/>
          <w:lang w:val="en-US"/>
        </w:rPr>
        <w:t>op. cit.</w:t>
      </w:r>
      <w:r w:rsidRPr="00E72418">
        <w:t>, p. 191)</w:t>
      </w:r>
      <w:r w:rsidRPr="00E72418">
        <w:rPr>
          <w:rFonts w:cs="Times New Roman"/>
        </w:rPr>
        <w:t xml:space="preserve">. </w:t>
      </w:r>
      <w:r w:rsidRPr="00E72418">
        <w:rPr>
          <w:rFonts w:ascii="Times New Roman" w:hAnsi="Times New Roman" w:cs="Times New Roman"/>
        </w:rPr>
        <w:t xml:space="preserve">L’opposition de certains </w:t>
      </w:r>
      <w:r w:rsidRPr="00E72418">
        <w:rPr>
          <w:rFonts w:ascii="Times New Roman" w:hAnsi="Times New Roman" w:cs="Times New Roman"/>
          <w:lang w:eastAsia="fr-BE"/>
        </w:rPr>
        <w:t>É</w:t>
      </w:r>
      <w:r w:rsidRPr="00E72418">
        <w:rPr>
          <w:rFonts w:ascii="Times New Roman" w:hAnsi="Times New Roman" w:cs="Times New Roman"/>
        </w:rPr>
        <w:t xml:space="preserve">tats fait toutefois dire à Luca Boggio que « notwithstanding the moral standing of the </w:t>
      </w:r>
      <w:r w:rsidRPr="00E72418">
        <w:t>[United Nations General Assembly]</w:t>
      </w:r>
      <w:r w:rsidRPr="00E72418">
        <w:rPr>
          <w:rFonts w:ascii="Times New Roman" w:hAnsi="Times New Roman" w:cs="Times New Roman"/>
          <w:bCs/>
        </w:rPr>
        <w:t xml:space="preserve">, </w:t>
      </w:r>
      <w:r w:rsidRPr="00E72418">
        <w:rPr>
          <w:rFonts w:ascii="Times New Roman" w:hAnsi="Times New Roman" w:cs="Times New Roman"/>
        </w:rPr>
        <w:t xml:space="preserve">it is hard to forecast if and how much precisely they should be applied </w:t>
      </w:r>
      <w:r w:rsidRPr="00E72418">
        <w:rPr>
          <w:rFonts w:ascii="Times New Roman" w:hAnsi="Times New Roman" w:cs="Times New Roman"/>
          <w:bCs/>
        </w:rPr>
        <w:t xml:space="preserve">by </w:t>
      </w:r>
      <w:r w:rsidRPr="00E72418">
        <w:rPr>
          <w:rFonts w:ascii="Times New Roman" w:hAnsi="Times New Roman" w:cs="Times New Roman"/>
        </w:rPr>
        <w:t xml:space="preserve">financial players coming from the opposing countries as well as </w:t>
      </w:r>
      <w:r w:rsidRPr="00E72418">
        <w:rPr>
          <w:rFonts w:ascii="Times New Roman" w:hAnsi="Times New Roman" w:cs="Times New Roman"/>
          <w:bCs/>
        </w:rPr>
        <w:t xml:space="preserve">by </w:t>
      </w:r>
      <w:r w:rsidRPr="00E72418">
        <w:rPr>
          <w:rFonts w:ascii="Times New Roman" w:hAnsi="Times New Roman" w:cs="Times New Roman"/>
        </w:rPr>
        <w:t xml:space="preserve">courts and arbitrators from those countries» (L. </w:t>
      </w:r>
      <w:r w:rsidRPr="00E72418">
        <w:rPr>
          <w:rFonts w:ascii="Times New Roman" w:hAnsi="Times New Roman" w:cs="Times New Roman"/>
          <w:smallCaps/>
          <w:szCs w:val="24"/>
          <w:lang w:val="en-US"/>
        </w:rPr>
        <w:t>Boggio</w:t>
      </w:r>
      <w:r w:rsidRPr="00E72418">
        <w:rPr>
          <w:rFonts w:ascii="Times New Roman" w:hAnsi="Times New Roman" w:cs="Times New Roman"/>
          <w:szCs w:val="24"/>
          <w:lang w:val="en-US"/>
        </w:rPr>
        <w:t xml:space="preserve">, « Investors and Sovereign Debt Restructurings: The Protection of Financial Property before International Courts and Arbitrators », </w:t>
      </w:r>
      <w:r w:rsidRPr="00E72418">
        <w:rPr>
          <w:rFonts w:ascii="Times New Roman" w:hAnsi="Times New Roman" w:cs="Times New Roman"/>
          <w:i/>
          <w:iCs/>
          <w:szCs w:val="24"/>
          <w:lang w:val="en-US"/>
        </w:rPr>
        <w:t>M.</w:t>
      </w:r>
      <w:r w:rsidRPr="00E72418">
        <w:rPr>
          <w:rFonts w:ascii="Times New Roman" w:hAnsi="Times New Roman" w:cs="Times New Roman"/>
          <w:i/>
        </w:rPr>
        <w:t>J.I.E.L.</w:t>
      </w:r>
      <w:r w:rsidRPr="00E72418">
        <w:rPr>
          <w:rFonts w:ascii="Times New Roman" w:hAnsi="Times New Roman" w:cs="Times New Roman"/>
          <w:szCs w:val="24"/>
          <w:lang w:val="en-US"/>
        </w:rPr>
        <w:t>, 2018, p. 147</w:t>
      </w:r>
      <w:r w:rsidRPr="00E72418">
        <w:rPr>
          <w:rFonts w:ascii="Times New Roman" w:hAnsi="Times New Roman" w:cs="Times New Roman"/>
        </w:rPr>
        <w:t>).</w:t>
      </w:r>
    </w:p>
  </w:footnote>
  <w:footnote w:id="348">
    <w:p w14:paraId="1B4D71B1" w14:textId="250C3A23"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Pour Martin Guzman, « [t]hese principles had been repeatedly violated in many of the recent experiences of sovereign debt restructuring. If they were respected, they would resolve some of the important deficiencies observed in the resolution of sovereign debt crises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17).</w:t>
      </w:r>
    </w:p>
  </w:footnote>
  <w:footnote w:id="349">
    <w:p w14:paraId="0929A406" w14:textId="746C694D" w:rsidR="0030147D" w:rsidRPr="00E72418" w:rsidRDefault="0030147D" w:rsidP="004551B8">
      <w:pPr>
        <w:pStyle w:val="Sansinterligne"/>
      </w:pPr>
      <w:r w:rsidRPr="00E72418">
        <w:rPr>
          <w:rStyle w:val="Appelnotedebasdep"/>
        </w:rPr>
        <w:footnoteRef/>
      </w:r>
      <w:r w:rsidRPr="00E72418">
        <w:t xml:space="preserve"> Remarquons par exemple l’importance soulignée par la France dans une </w:t>
      </w:r>
      <w:r w:rsidRPr="00E72418">
        <w:rPr>
          <w:i/>
        </w:rPr>
        <w:t>amicus brief</w:t>
      </w:r>
      <w:r w:rsidRPr="00E72418">
        <w:t xml:space="preserve"> déposée dans le cadre du contentieux argentin (brief for the Republic of France as amicus curiae in support of the Republic of Argentina’s petition for a writ of certiorari (Supreme Court), 24 mars 2014, 2014 WL 1246725). Sur ce contentieux, voyez </w:t>
      </w:r>
      <w:r w:rsidRPr="00E72418">
        <w:rPr>
          <w:i/>
        </w:rPr>
        <w:t>infra</w:t>
      </w:r>
      <w:r w:rsidRPr="00E72418">
        <w:t xml:space="preserve"> n</w:t>
      </w:r>
      <w:r w:rsidRPr="00E72418">
        <w:rPr>
          <w:vertAlign w:val="superscript"/>
        </w:rPr>
        <w:t>os</w:t>
      </w:r>
      <w:r w:rsidRPr="00E72418">
        <w:t xml:space="preserve"> 85 et suiv.</w:t>
      </w:r>
    </w:p>
  </w:footnote>
  <w:footnote w:id="350">
    <w:p w14:paraId="1D8628B6" w14:textId="3DD08A5A" w:rsidR="0030147D" w:rsidRPr="00E72418" w:rsidRDefault="0030147D" w:rsidP="00693CF4">
      <w:pPr>
        <w:pStyle w:val="Sansinterligne"/>
        <w:rPr>
          <w:rFonts w:ascii="Times New Roman" w:hAnsi="Times New Roman" w:cs="Times New Roman"/>
          <w:szCs w:val="20"/>
        </w:rPr>
      </w:pPr>
      <w:r w:rsidRPr="00E72418">
        <w:rPr>
          <w:rStyle w:val="Appelnotedebasdep"/>
        </w:rPr>
        <w:footnoteRef/>
      </w:r>
      <w:r w:rsidRPr="00E72418">
        <w:t xml:space="preserve"> J. </w:t>
      </w:r>
      <w:r w:rsidRPr="00E72418">
        <w:rPr>
          <w:smallCaps/>
        </w:rPr>
        <w:t>Blom</w:t>
      </w:r>
      <w:r w:rsidRPr="00E72418">
        <w:t xml:space="preserve">, « The Institute of International Finance: From Poacher to Gamekeeper? », </w:t>
      </w:r>
      <w:r w:rsidRPr="00E72418">
        <w:rPr>
          <w:rFonts w:ascii="Times New Roman" w:hAnsi="Times New Roman" w:cs="Times New Roman"/>
          <w:i/>
          <w:szCs w:val="20"/>
        </w:rPr>
        <w:t>Bus. Politics</w:t>
      </w:r>
      <w:r w:rsidRPr="00E72418">
        <w:t xml:space="preserve">, 2021, p. 170. Sur le lobby effectué par cet institut lors de l’adoption de la loi belge relative à la lutte contre les activités des fonds vautours, voyez </w:t>
      </w:r>
      <w:r w:rsidRPr="00E72418">
        <w:rPr>
          <w:i/>
        </w:rPr>
        <w:t>infra</w:t>
      </w:r>
      <w:r w:rsidRPr="00E72418">
        <w:t xml:space="preserve"> notamment n° 349.</w:t>
      </w:r>
    </w:p>
  </w:footnote>
  <w:footnote w:id="351">
    <w:p w14:paraId="3ED4A03D" w14:textId="16F22F8E" w:rsidR="0030147D" w:rsidRPr="00E72418" w:rsidRDefault="0030147D" w:rsidP="004551B8">
      <w:pPr>
        <w:pStyle w:val="Sansinterligne"/>
      </w:pPr>
      <w:r w:rsidRPr="00E72418">
        <w:rPr>
          <w:rStyle w:val="Appelnotedebasdep"/>
        </w:rPr>
        <w:footnoteRef/>
      </w:r>
      <w:r w:rsidRPr="00E72418">
        <w:t xml:space="preserve"> A. </w:t>
      </w:r>
      <w:r w:rsidRPr="00E72418">
        <w:rPr>
          <w:smallCaps/>
        </w:rPr>
        <w:t>von Bogdandy</w:t>
      </w:r>
      <w:r w:rsidRPr="00E72418">
        <w:t xml:space="preserve"> et M. </w:t>
      </w:r>
      <w:r w:rsidRPr="00E72418">
        <w:rPr>
          <w:smallCaps/>
        </w:rPr>
        <w:t>Goldmann</w:t>
      </w:r>
      <w:r w:rsidRPr="00E72418">
        <w:t>, « Sovereign Debt Restructurings as Exercises of International Public Authority – Towards a Decentralized Sovereign Insolvency Law », in</w:t>
      </w:r>
      <w:r w:rsidRPr="00E72418">
        <w:rPr>
          <w:smallCaps/>
        </w:rPr>
        <w:t xml:space="preserve"> C. Esposito</w:t>
      </w:r>
      <w:r w:rsidRPr="00E72418">
        <w:t xml:space="preserve">, Y. </w:t>
      </w:r>
      <w:r w:rsidRPr="00E72418">
        <w:rPr>
          <w:smallCaps/>
        </w:rPr>
        <w:t>Li</w:t>
      </w:r>
      <w:r w:rsidRPr="00E72418">
        <w:t xml:space="preserve"> et J. </w:t>
      </w:r>
      <w:r w:rsidRPr="00E72418">
        <w:rPr>
          <w:smallCaps/>
        </w:rPr>
        <w:t xml:space="preserve">Bohoslavsky </w:t>
      </w:r>
      <w:r w:rsidRPr="00E72418">
        <w:t xml:space="preserve">(éd.), </w:t>
      </w:r>
      <w:r w:rsidRPr="00E72418">
        <w:rPr>
          <w:i/>
        </w:rPr>
        <w:t>Sovereign Financing and International Law: The UNCTAD Principles on Responsible Sovereign Lending and Borrowing</w:t>
      </w:r>
      <w:r w:rsidRPr="00E72418">
        <w:t xml:space="preserve">, </w:t>
      </w:r>
      <w:r w:rsidRPr="00E72418">
        <w:rPr>
          <w:lang w:eastAsia="fr-BE"/>
        </w:rPr>
        <w:t>Oxford University Press</w:t>
      </w:r>
      <w:r w:rsidRPr="00E72418">
        <w:t>, 2013, p. 68.</w:t>
      </w:r>
    </w:p>
  </w:footnote>
  <w:footnote w:id="352">
    <w:p w14:paraId="050F46EE" w14:textId="20FB3EC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Si le cadre institutionnel cohérent est inexistant, on ne saurait passer sous silence les interventions de certaines instances comme le Fonds monétaire international ou le Club de Paris qui administrent occasionnellement des plans de restructuration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xml:space="preserve">, pp. 492 et 493). Sur les </w:t>
      </w:r>
      <w:r w:rsidR="009E72E5">
        <w:rPr>
          <w:szCs w:val="20"/>
        </w:rPr>
        <w:t>tentatives</w:t>
      </w:r>
      <w:r w:rsidRPr="00E72418">
        <w:rPr>
          <w:szCs w:val="20"/>
        </w:rPr>
        <w:t xml:space="preserve"> visant à l’institutionnalisation d’un mécanisme de restructuration des dettes étatiques, voyez </w:t>
      </w:r>
      <w:r w:rsidRPr="00E72418">
        <w:rPr>
          <w:i/>
          <w:szCs w:val="20"/>
        </w:rPr>
        <w:t xml:space="preserve">infra </w:t>
      </w:r>
      <w:r w:rsidRPr="00E72418">
        <w:rPr>
          <w:szCs w:val="20"/>
        </w:rPr>
        <w:t>n</w:t>
      </w:r>
      <w:r w:rsidRPr="00E72418">
        <w:rPr>
          <w:szCs w:val="20"/>
          <w:vertAlign w:val="superscript"/>
        </w:rPr>
        <w:t xml:space="preserve">os </w:t>
      </w:r>
      <w:r w:rsidRPr="00E72418">
        <w:rPr>
          <w:szCs w:val="20"/>
        </w:rPr>
        <w:t>274 et suiv.</w:t>
      </w:r>
    </w:p>
  </w:footnote>
  <w:footnote w:id="353">
    <w:p w14:paraId="3620D1B5" w14:textId="54A30C0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p. 3. Adam Smith, déjà, relevait l’importance d’un mécanisme permettant à un débiteur souverain en difficulté financière de pouvoir déclarer sa faillite : « [w]hen it becomes necessary for a state to declare itself bankrupt, in the same manner as when it becomes necessary for an individual to do so, a fair, open, and avowed bankruptcy is always the measure which is both least dishonourable to the debtor, and least hurtful to the creditor » (</w:t>
      </w:r>
      <w:r w:rsidRPr="00E72418">
        <w:rPr>
          <w:smallCaps/>
          <w:szCs w:val="20"/>
          <w:lang w:val="en-US"/>
        </w:rPr>
        <w:t>A. Smith</w:t>
      </w:r>
      <w:r w:rsidRPr="00E72418">
        <w:rPr>
          <w:szCs w:val="20"/>
          <w:lang w:val="en-US"/>
        </w:rPr>
        <w:t xml:space="preserve">, </w:t>
      </w:r>
      <w:r w:rsidRPr="00E72418">
        <w:rPr>
          <w:i/>
          <w:szCs w:val="20"/>
          <w:lang w:val="en-US"/>
        </w:rPr>
        <w:t>An Inquiry into the Nature and Causes of the Wealth of Nations</w:t>
      </w:r>
      <w:r w:rsidRPr="00E72418">
        <w:rPr>
          <w:szCs w:val="20"/>
          <w:lang w:val="en-US"/>
        </w:rPr>
        <w:t>, 1776, Livre 5, Chapitre III).</w:t>
      </w:r>
    </w:p>
  </w:footnote>
  <w:footnote w:id="354">
    <w:p w14:paraId="2419DDE7" w14:textId="25608074"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SansinterligneCar"/>
          <w:szCs w:val="20"/>
          <w:lang w:val="en-US"/>
        </w:rPr>
        <w:t>Comme l’indique Tim Samples, « </w:t>
      </w:r>
      <w:r w:rsidRPr="00E72418">
        <w:rPr>
          <w:szCs w:val="20"/>
          <w:lang w:val="en-US"/>
        </w:rPr>
        <w:t>[i]</w:t>
      </w:r>
      <w:r w:rsidRPr="00E72418">
        <w:rPr>
          <w:rStyle w:val="SansinterligneCar"/>
          <w:szCs w:val="20"/>
          <w:lang w:val="en-US"/>
        </w:rPr>
        <w:t>n the absence of a formal insolvency regime, sovereign debt defaults typically lead to voluntary negotiated restructurings and reissuances of new debt » (</w:t>
      </w:r>
      <w:r w:rsidRPr="00E72418">
        <w:rPr>
          <w:rStyle w:val="SansinterligneCar"/>
          <w:smallCaps/>
          <w:szCs w:val="20"/>
          <w:lang w:val="en-US"/>
        </w:rPr>
        <w:t>T. Samples</w:t>
      </w:r>
      <w:r w:rsidRPr="00E72418">
        <w:rPr>
          <w:rStyle w:val="SansinterligneCar"/>
          <w:szCs w:val="20"/>
          <w:lang w:val="en-US"/>
        </w:rPr>
        <w:t xml:space="preserve">, « Rogue Trends in Sovereign Debt: Argentina, Vulture Funds, and </w:t>
      </w:r>
      <w:r w:rsidRPr="00E72418">
        <w:rPr>
          <w:rStyle w:val="SansinterligneCar"/>
          <w:i/>
          <w:szCs w:val="20"/>
          <w:lang w:val="en-US"/>
        </w:rPr>
        <w:t>Pari Passu</w:t>
      </w:r>
      <w:r w:rsidRPr="00E72418">
        <w:rPr>
          <w:rStyle w:val="SansinterligneCar"/>
          <w:szCs w:val="20"/>
          <w:lang w:val="en-US"/>
        </w:rPr>
        <w:t xml:space="preserve"> Under New York Law », </w:t>
      </w:r>
      <w:r w:rsidRPr="00E72418">
        <w:rPr>
          <w:rStyle w:val="SansinterligneCar"/>
          <w:i/>
          <w:szCs w:val="20"/>
          <w:lang w:val="en-US"/>
        </w:rPr>
        <w:t>op. cit.</w:t>
      </w:r>
      <w:r w:rsidRPr="00E72418">
        <w:rPr>
          <w:rStyle w:val="SansinterligneCar"/>
          <w:szCs w:val="20"/>
          <w:lang w:val="en-US"/>
        </w:rPr>
        <w:t>, p. 62).</w:t>
      </w:r>
    </w:p>
  </w:footnote>
  <w:footnote w:id="355">
    <w:p w14:paraId="694C741D" w14:textId="74B66C11" w:rsidR="0030147D" w:rsidRPr="00E72418" w:rsidRDefault="0030147D" w:rsidP="0067312A">
      <w:pPr>
        <w:pStyle w:val="Sansinterligne"/>
      </w:pPr>
      <w:r w:rsidRPr="00E72418">
        <w:rPr>
          <w:rStyle w:val="Appelnotedebasdep"/>
        </w:rPr>
        <w:footnoteRef/>
      </w:r>
      <w:r w:rsidRPr="00E72418">
        <w:t xml:space="preserve"> J. </w:t>
      </w:r>
      <w:r w:rsidRPr="00E72418">
        <w:rPr>
          <w:smallCaps/>
        </w:rPr>
        <w:t>Stiglitz</w:t>
      </w:r>
      <w:r w:rsidRPr="00E72418">
        <w:t xml:space="preserve"> et M. </w:t>
      </w:r>
      <w:r w:rsidRPr="00E72418">
        <w:rPr>
          <w:smallCaps/>
        </w:rPr>
        <w:t>Guzman</w:t>
      </w:r>
      <w:r w:rsidRPr="00E72418">
        <w:t xml:space="preserve">, </w:t>
      </w:r>
      <w:r w:rsidRPr="00E72418">
        <w:rPr>
          <w:rFonts w:ascii="Times New Roman" w:hAnsi="Times New Roman" w:cs="Times New Roman"/>
          <w:szCs w:val="24"/>
        </w:rPr>
        <w:t>« A Rule of Law For Sovereign Debt »</w:t>
      </w:r>
      <w:r w:rsidR="009E72E5">
        <w:t xml:space="preserve">, </w:t>
      </w:r>
      <w:r w:rsidRPr="00E72418">
        <w:t xml:space="preserve">26 juin 2015, disponible à l’adresse </w:t>
      </w:r>
      <w:hyperlink r:id="rId24" w:history="1">
        <w:r w:rsidRPr="00E72418">
          <w:rPr>
            <w:rStyle w:val="Lienhypertexte"/>
            <w:color w:val="auto"/>
            <w:u w:val="none"/>
          </w:rPr>
          <w:t>www.socialeurope.eu/a-rule-of-law-for-sovereign-debt</w:t>
        </w:r>
      </w:hyperlink>
      <w:r w:rsidRPr="00E72418">
        <w:t xml:space="preserve"> (consultation le 17 octobre 2021).</w:t>
      </w:r>
    </w:p>
  </w:footnote>
  <w:footnote w:id="356">
    <w:p w14:paraId="55159F12" w14:textId="6AA3D86C" w:rsidR="0030147D" w:rsidRPr="00E72418" w:rsidRDefault="0030147D" w:rsidP="00066A46">
      <w:pPr>
        <w:pStyle w:val="Sansinterligne"/>
      </w:pPr>
      <w:r w:rsidRPr="00E72418">
        <w:rPr>
          <w:rStyle w:val="Appelnotedebasdep"/>
        </w:rPr>
        <w:footnoteRef/>
      </w:r>
      <w:r w:rsidRPr="00E72418">
        <w:t xml:space="preserve"> D. </w:t>
      </w:r>
      <w:r w:rsidRPr="00E72418">
        <w:rPr>
          <w:iCs/>
          <w:smallCaps/>
        </w:rPr>
        <w:t>Bradlow</w:t>
      </w:r>
      <w:r w:rsidRPr="00E72418">
        <w:rPr>
          <w:iCs/>
        </w:rPr>
        <w:t>,</w:t>
      </w:r>
      <w:r w:rsidRPr="00E72418">
        <w:rPr>
          <w:i/>
          <w:iCs/>
        </w:rPr>
        <w:t xml:space="preserve"> </w:t>
      </w:r>
      <w:r w:rsidRPr="00E72418">
        <w:rPr>
          <w:bCs/>
        </w:rPr>
        <w:t xml:space="preserve">« </w:t>
      </w:r>
      <w:r w:rsidRPr="00E72418">
        <w:t xml:space="preserve">Can Parallel Lines Ever Meet? The Strange Case of the International Standards on Sovereign Debt and Business and Human Rights », </w:t>
      </w:r>
      <w:r w:rsidRPr="00E72418">
        <w:rPr>
          <w:bCs/>
          <w:i/>
        </w:rPr>
        <w:t>op. cit.</w:t>
      </w:r>
      <w:r w:rsidRPr="00E72418">
        <w:rPr>
          <w:bCs/>
        </w:rPr>
        <w:t xml:space="preserve">, </w:t>
      </w:r>
      <w:r w:rsidRPr="00E72418">
        <w:t>pp. 201 et 202. Plus largement, l’auteur note que les restructurations sont compliquées en ce que « </w:t>
      </w:r>
      <w:r w:rsidRPr="00E72418">
        <w:rPr>
          <w:szCs w:val="20"/>
          <w:lang w:val="en-US"/>
        </w:rPr>
        <w:t xml:space="preserve">[t]hey involve multiple actors with conflicting interests and agendas, sophisticated contractual arrangements, multiple regulatory environments, complex economic, financial and political contexts, and they need to be negociated under time pressure </w:t>
      </w:r>
      <w:r w:rsidRPr="00E72418">
        <w:t>» (</w:t>
      </w:r>
      <w:r w:rsidRPr="00E72418">
        <w:rPr>
          <w:i/>
        </w:rPr>
        <w:t>ibid.</w:t>
      </w:r>
      <w:r w:rsidRPr="00E72418">
        <w:t>, p. 237).</w:t>
      </w:r>
    </w:p>
  </w:footnote>
  <w:footnote w:id="357">
    <w:p w14:paraId="4BE21687" w14:textId="6985D410" w:rsidR="0030147D" w:rsidRPr="00E72418" w:rsidRDefault="0030147D" w:rsidP="00125D0A">
      <w:pPr>
        <w:pStyle w:val="Sansinterligne"/>
        <w:rPr>
          <w:rStyle w:val="SansinterligneCar"/>
        </w:rPr>
      </w:pPr>
      <w:r w:rsidRPr="00E72418">
        <w:rPr>
          <w:rStyle w:val="Appelnotedebasdep"/>
        </w:rPr>
        <w:footnoteRef/>
      </w:r>
      <w:r w:rsidRPr="00E72418">
        <w:t xml:space="preserve"> </w:t>
      </w:r>
      <w:r w:rsidRPr="00E72418">
        <w:rPr>
          <w:rStyle w:val="SansinterligneCar"/>
        </w:rPr>
        <w:t xml:space="preserve">Propos repris à l’adresse </w:t>
      </w:r>
      <w:hyperlink r:id="rId25" w:history="1">
        <w:r w:rsidRPr="00E72418">
          <w:rPr>
            <w:rStyle w:val="SansinterligneCar"/>
          </w:rPr>
          <w:t>www.nysenate.gov/legislation/bills/2021/S6627</w:t>
        </w:r>
      </w:hyperlink>
      <w:r w:rsidRPr="00E72418">
        <w:rPr>
          <w:rStyle w:val="SansinterligneCar"/>
        </w:rPr>
        <w:t xml:space="preserve"> (consultation le 17 octobre 2021). Ces propos servent de justification à la proposition de législation qu’il a déposée en mai 2021 au Sénat de l’</w:t>
      </w:r>
      <w:r w:rsidRPr="00E72418">
        <w:rPr>
          <w:lang w:eastAsia="fr-BE"/>
        </w:rPr>
        <w:t>É</w:t>
      </w:r>
      <w:r w:rsidRPr="00E72418">
        <w:rPr>
          <w:rStyle w:val="SansinterligneCar"/>
        </w:rPr>
        <w:t xml:space="preserve">tat de New York (sur cette proposition, voyez </w:t>
      </w:r>
      <w:r w:rsidRPr="00E72418">
        <w:rPr>
          <w:rStyle w:val="SansinterligneCar"/>
          <w:i/>
        </w:rPr>
        <w:t>infra</w:t>
      </w:r>
      <w:r w:rsidRPr="00E72418">
        <w:rPr>
          <w:rStyle w:val="SansinterligneCar"/>
        </w:rPr>
        <w:t xml:space="preserve"> n° 278).</w:t>
      </w:r>
    </w:p>
  </w:footnote>
  <w:footnote w:id="358">
    <w:p w14:paraId="0F62B5E5" w14:textId="5ACB307B"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362.</w:t>
      </w:r>
    </w:p>
  </w:footnote>
  <w:footnote w:id="359">
    <w:p w14:paraId="58E8D6E6" w14:textId="0B7A32A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i/>
          <w:szCs w:val="20"/>
        </w:rPr>
        <w:t>Ibid.</w:t>
      </w:r>
    </w:p>
  </w:footnote>
  <w:footnote w:id="360">
    <w:p w14:paraId="77D738D7" w14:textId="1A4011F6" w:rsidR="0030147D" w:rsidRPr="00E72418" w:rsidRDefault="0030147D" w:rsidP="00AF7A18">
      <w:pPr>
        <w:pStyle w:val="Sansinterligne"/>
      </w:pPr>
      <w:r w:rsidRPr="00E72418">
        <w:rPr>
          <w:rStyle w:val="Appelnotedebasdep"/>
        </w:rPr>
        <w:footnoteRef/>
      </w:r>
      <w:r w:rsidRPr="00E72418">
        <w:t xml:space="preserve"> Sur l’impossible solution de la mise en place d’un mécanisme collectif permettant de régler les difficultés relatives aux dettes souveraines, voyez </w:t>
      </w:r>
      <w:r w:rsidRPr="00E72418">
        <w:rPr>
          <w:i/>
        </w:rPr>
        <w:t>infra</w:t>
      </w:r>
      <w:r w:rsidRPr="00E72418">
        <w:t xml:space="preserve"> n</w:t>
      </w:r>
      <w:r w:rsidRPr="00E72418">
        <w:rPr>
          <w:vertAlign w:val="superscript"/>
        </w:rPr>
        <w:t xml:space="preserve">os </w:t>
      </w:r>
      <w:r w:rsidRPr="00E72418">
        <w:t>272 et suiv.</w:t>
      </w:r>
    </w:p>
  </w:footnote>
  <w:footnote w:id="361">
    <w:p w14:paraId="7789250B" w14:textId="2D535CF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475.</w:t>
      </w:r>
    </w:p>
  </w:footnote>
  <w:footnote w:id="362">
    <w:p w14:paraId="14B7FA09" w14:textId="7AD5C9DA" w:rsidR="0030147D" w:rsidRPr="00E72418" w:rsidRDefault="0030147D" w:rsidP="009F579D">
      <w:pPr>
        <w:pStyle w:val="Sansinterligne"/>
      </w:pPr>
      <w:r w:rsidRPr="00E72418">
        <w:rPr>
          <w:rStyle w:val="Appelnotedebasdep"/>
        </w:rPr>
        <w:footnoteRef/>
      </w:r>
      <w:r w:rsidRPr="00E72418">
        <w:t xml:space="preserve"> S. </w:t>
      </w:r>
      <w:r w:rsidRPr="00E72418">
        <w:rPr>
          <w:smallCaps/>
        </w:rPr>
        <w:t>Gafari</w:t>
      </w:r>
      <w:r w:rsidRPr="00E72418">
        <w:t xml:space="preserve"> et A. </w:t>
      </w:r>
      <w:r w:rsidRPr="00E72418">
        <w:rPr>
          <w:smallCaps/>
        </w:rPr>
        <w:t>Bauer</w:t>
      </w:r>
      <w:r w:rsidRPr="00E72418">
        <w:t xml:space="preserve">, « L’action du Club de Paris et du G20 en matière de traitement de dette à l’heure de la Covid-19 », </w:t>
      </w:r>
      <w:r w:rsidRPr="00E72418">
        <w:rPr>
          <w:i/>
        </w:rPr>
        <w:t>op. cit.</w:t>
      </w:r>
      <w:r w:rsidRPr="00E72418">
        <w:t>, p. 261.</w:t>
      </w:r>
    </w:p>
  </w:footnote>
  <w:footnote w:id="363">
    <w:p w14:paraId="635F21FC" w14:textId="7B1C284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Restructurer », </w:t>
      </w:r>
      <w:r w:rsidRPr="00E72418">
        <w:rPr>
          <w:i/>
          <w:szCs w:val="20"/>
        </w:rPr>
        <w:t>G.F.P.</w:t>
      </w:r>
      <w:r w:rsidRPr="00E72418">
        <w:rPr>
          <w:szCs w:val="20"/>
        </w:rPr>
        <w:t xml:space="preserve">, 2018, p. 37. De cette réalité, Caroline Lequesne-Roth vante les mérites de la figure du </w:t>
      </w:r>
      <w:r w:rsidRPr="00E72418">
        <w:rPr>
          <w:i/>
          <w:szCs w:val="20"/>
        </w:rPr>
        <w:t>trustee</w:t>
      </w:r>
      <w:r w:rsidRPr="00E72418">
        <w:rPr>
          <w:szCs w:val="20"/>
        </w:rPr>
        <w:t xml:space="preserve"> permettant la représentation des créanciers. L’utilité du recours à cette figure peut être encore plus importante en fonction des missions qui lui sont dévolues. Ainsi, on peut penser à la clause qui l’investit du pouvoir d’intenter des procédures ayant le mérite de décourager, voire d’empêcher les recours individuels nocifs à la collectivité des créanciers (sur cette utilité, voyez </w:t>
      </w:r>
      <w:r w:rsidRPr="00E72418">
        <w:rPr>
          <w:i/>
          <w:szCs w:val="20"/>
        </w:rPr>
        <w:t xml:space="preserve">infra </w:t>
      </w:r>
      <w:r w:rsidRPr="00E72418">
        <w:rPr>
          <w:szCs w:val="20"/>
        </w:rPr>
        <w:t xml:space="preserve">n° 285). Dans le cadre de la première restructuration de la dette argentine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88 et suiv.), un groupement de créanciers se forma en 2003, le </w:t>
      </w:r>
      <w:r w:rsidRPr="00E72418">
        <w:rPr>
          <w:i/>
          <w:szCs w:val="20"/>
        </w:rPr>
        <w:t>Global Committee of Argentine Bondholders</w:t>
      </w:r>
      <w:r w:rsidRPr="00E72418">
        <w:rPr>
          <w:szCs w:val="20"/>
        </w:rPr>
        <w:t>, mais ne connut pas le succès espéré après que certains des créanciers l’ayant constitué s’en soient détachés (</w:t>
      </w:r>
      <w:r w:rsidRPr="00E72418">
        <w:rPr>
          <w:smallCaps/>
          <w:szCs w:val="20"/>
        </w:rPr>
        <w:t>M. Miller</w:t>
      </w:r>
      <w:r w:rsidRPr="00E72418">
        <w:rPr>
          <w:szCs w:val="20"/>
        </w:rPr>
        <w:t xml:space="preserve"> et </w:t>
      </w:r>
      <w:r w:rsidRPr="00E72418">
        <w:rPr>
          <w:smallCaps/>
          <w:szCs w:val="20"/>
        </w:rPr>
        <w:t>D. Thomas</w:t>
      </w:r>
      <w:r w:rsidRPr="00E72418">
        <w:rPr>
          <w:szCs w:val="20"/>
        </w:rPr>
        <w:t xml:space="preserve">, « Sovereign Debt Restructuring: The Judge, the Vultures and Creditor Rights », in R. </w:t>
      </w:r>
      <w:r w:rsidRPr="00E72418">
        <w:rPr>
          <w:smallCaps/>
          <w:szCs w:val="20"/>
        </w:rPr>
        <w:t>Kolb</w:t>
      </w:r>
      <w:r w:rsidRPr="00E72418">
        <w:rPr>
          <w:szCs w:val="20"/>
        </w:rPr>
        <w:t xml:space="preserve"> (éd.), </w:t>
      </w:r>
      <w:r w:rsidRPr="00E72418">
        <w:rPr>
          <w:i/>
          <w:szCs w:val="20"/>
        </w:rPr>
        <w:t>Sovereign Debt: From Safety to Default</w:t>
      </w:r>
      <w:r w:rsidRPr="00E72418">
        <w:rPr>
          <w:szCs w:val="20"/>
        </w:rPr>
        <w:t xml:space="preserve">, Wiley, 2011, p. 216). </w:t>
      </w:r>
    </w:p>
  </w:footnote>
  <w:footnote w:id="364">
    <w:p w14:paraId="53A7BEA6" w14:textId="4C810DB0"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p. 492.</w:t>
      </w:r>
    </w:p>
  </w:footnote>
  <w:footnote w:id="365">
    <w:p w14:paraId="6549DB0A" w14:textId="4FEEFCDA" w:rsidR="0030147D" w:rsidRPr="00E72418" w:rsidRDefault="0030147D" w:rsidP="007C57EF">
      <w:pPr>
        <w:pStyle w:val="Sansinterligne"/>
        <w:rPr>
          <w:szCs w:val="20"/>
          <w:lang w:val="en-US"/>
        </w:rPr>
      </w:pPr>
      <w:r w:rsidRPr="00E72418">
        <w:rPr>
          <w:rStyle w:val="SansinterligneCar"/>
          <w:szCs w:val="20"/>
          <w:vertAlign w:val="superscript"/>
        </w:rPr>
        <w:footnoteRef/>
      </w:r>
      <w:r w:rsidRPr="00E72418">
        <w:rPr>
          <w:rStyle w:val="SansinterligneCar"/>
          <w:szCs w:val="20"/>
          <w:lang w:val="en-US"/>
        </w:rPr>
        <w:t xml:space="preserve"> </w:t>
      </w:r>
      <w:r w:rsidRPr="00E72418">
        <w:rPr>
          <w:rStyle w:val="SansinterligneCar"/>
          <w:smallCaps/>
          <w:szCs w:val="20"/>
          <w:lang w:val="en-US"/>
        </w:rPr>
        <w:t>J. Fisch</w:t>
      </w:r>
      <w:r w:rsidRPr="00E72418">
        <w:rPr>
          <w:rStyle w:val="SansinterligneCar"/>
          <w:szCs w:val="20"/>
          <w:lang w:val="en-US"/>
        </w:rPr>
        <w:t xml:space="preserve"> et </w:t>
      </w:r>
      <w:r w:rsidRPr="00E72418">
        <w:rPr>
          <w:rStyle w:val="SansinterligneCar"/>
          <w:smallCaps/>
          <w:szCs w:val="20"/>
          <w:lang w:val="en-US"/>
        </w:rPr>
        <w:t>C. Gentile</w:t>
      </w:r>
      <w:r w:rsidRPr="00E72418">
        <w:rPr>
          <w:rStyle w:val="SansinterligneCar"/>
          <w:szCs w:val="20"/>
          <w:lang w:val="en-US"/>
        </w:rPr>
        <w:t xml:space="preserve">, « Vulture or Vanguards?: The role of litigation in Sovereign debt restructuring », </w:t>
      </w:r>
      <w:r w:rsidRPr="00E72418">
        <w:rPr>
          <w:rStyle w:val="SansinterligneCar"/>
          <w:i/>
          <w:szCs w:val="20"/>
          <w:lang w:val="en-US"/>
        </w:rPr>
        <w:t>op. cit.</w:t>
      </w:r>
      <w:r w:rsidRPr="00E72418">
        <w:rPr>
          <w:rStyle w:val="SansinterligneCar"/>
          <w:szCs w:val="20"/>
          <w:lang w:val="en-US"/>
        </w:rPr>
        <w:t>, pp. 1073 et 1074. Robert Kolb relève ainsi que « </w:t>
      </w:r>
      <w:r w:rsidRPr="00E72418">
        <w:rPr>
          <w:szCs w:val="20"/>
          <w:lang w:val="en-US"/>
        </w:rPr>
        <w:t>[t]</w:t>
      </w:r>
      <w:r w:rsidRPr="00E72418">
        <w:rPr>
          <w:rStyle w:val="SansinterligneCar"/>
          <w:szCs w:val="20"/>
          <w:lang w:val="en-US"/>
        </w:rPr>
        <w:t xml:space="preserve">he bank might reasonably believe that taking a loss on the bonds can be offset by maintaining those other business relationships </w:t>
      </w:r>
      <w:r w:rsidRPr="00E72418">
        <w:rPr>
          <w:b/>
          <w:szCs w:val="20"/>
        </w:rPr>
        <w:t xml:space="preserve">– </w:t>
      </w:r>
      <w:r w:rsidRPr="00E72418">
        <w:rPr>
          <w:rStyle w:val="SansinterligneCar"/>
          <w:szCs w:val="20"/>
          <w:lang w:val="en-US"/>
        </w:rPr>
        <w:t>what it loses on the bonds, it can make up through other avenues. By contrast, the individual investor has no such avenue by which she can offset her losses on the defaulting bonds (</w:t>
      </w:r>
      <w:r w:rsidRPr="00E72418">
        <w:rPr>
          <w:rStyle w:val="SansinterligneCar"/>
          <w:smallCaps/>
          <w:szCs w:val="20"/>
          <w:lang w:val="en-US"/>
        </w:rPr>
        <w:t>R. Kolb</w:t>
      </w:r>
      <w:r w:rsidRPr="00E72418">
        <w:rPr>
          <w:rStyle w:val="SansinterligneCar"/>
          <w:szCs w:val="20"/>
          <w:lang w:val="en-US"/>
        </w:rPr>
        <w:t xml:space="preserve">, « The Virtue of Vultures: Distressed Debt Investors in the Sovereign Debt Market », </w:t>
      </w:r>
      <w:r w:rsidRPr="00E72418">
        <w:rPr>
          <w:i/>
          <w:szCs w:val="20"/>
          <w:lang w:val="en-US"/>
        </w:rPr>
        <w:t>op. cit.</w:t>
      </w:r>
      <w:r w:rsidRPr="00E72418">
        <w:rPr>
          <w:rStyle w:val="SansinterligneCar"/>
          <w:szCs w:val="20"/>
          <w:lang w:val="en-US"/>
        </w:rPr>
        <w:t>, pp. 400 et 401).</w:t>
      </w:r>
    </w:p>
  </w:footnote>
  <w:footnote w:id="366">
    <w:p w14:paraId="5D650EAF" w14:textId="55018FB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20 à 22 la distinction entre dette interne et dette externe. L’on peut constater que le recours à des devises étrangères et à des régimes juridiques différents de celui de l’État débiteur est </w:t>
      </w:r>
      <w:r w:rsidR="009E72E5">
        <w:rPr>
          <w:szCs w:val="20"/>
        </w:rPr>
        <w:t>récurrent pour les</w:t>
      </w:r>
      <w:r w:rsidRPr="00E72418">
        <w:rPr>
          <w:szCs w:val="20"/>
        </w:rPr>
        <w:t xml:space="preserve"> États les plus « périphériques » sur les marchés des capitaux (voyez </w:t>
      </w:r>
      <w:r w:rsidRPr="00E72418">
        <w:rPr>
          <w:i/>
          <w:szCs w:val="20"/>
        </w:rPr>
        <w:t>supra</w:t>
      </w:r>
      <w:r w:rsidRPr="00E72418">
        <w:rPr>
          <w:szCs w:val="20"/>
        </w:rPr>
        <w:t xml:space="preserve"> n° 21). Il y a déjà là les signes d’un cercle vicieux dont les États plus faibles auront peine à s’extraire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xml:space="preserve">, p. 40). Dans le cas de la dette argentine qui posa difficulté au début du millénaire, elle était soumise à de multiples droits et libellée en différentes devises (voyez </w:t>
      </w:r>
      <w:r w:rsidRPr="00E72418">
        <w:rPr>
          <w:i/>
          <w:szCs w:val="20"/>
        </w:rPr>
        <w:t xml:space="preserve">infra </w:t>
      </w:r>
      <w:r w:rsidRPr="00E72418">
        <w:rPr>
          <w:szCs w:val="20"/>
        </w:rPr>
        <w:t>n° 87).</w:t>
      </w:r>
    </w:p>
  </w:footnote>
  <w:footnote w:id="367">
    <w:p w14:paraId="3E179797" w14:textId="68C03C8B" w:rsidR="0030147D" w:rsidRPr="00E72418" w:rsidRDefault="0030147D" w:rsidP="00DA7E0E">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Voyez notamment, au sujet des obligations grecques concernées lors de la crise du début de la décennie</w:t>
      </w:r>
      <w:r>
        <w:rPr>
          <w:rFonts w:ascii="Times New Roman" w:hAnsi="Times New Roman" w:cs="Times New Roman"/>
          <w:szCs w:val="20"/>
        </w:rPr>
        <w:t xml:space="preserve"> passée</w:t>
      </w:r>
      <w:r w:rsidRPr="00E72418">
        <w:rPr>
          <w:rFonts w:ascii="Times New Roman" w:hAnsi="Times New Roman" w:cs="Times New Roman"/>
          <w:szCs w:val="20"/>
        </w:rPr>
        <w:t xml:space="preserve">, J. </w:t>
      </w:r>
      <w:r w:rsidRPr="00E72418">
        <w:rPr>
          <w:rFonts w:ascii="Times New Roman" w:hAnsi="Times New Roman" w:cs="Times New Roman"/>
          <w:smallCaps/>
          <w:szCs w:val="20"/>
          <w:lang w:val="en-US"/>
        </w:rPr>
        <w:t xml:space="preserve">Zettelmeyer, C. Trebesch </w:t>
      </w:r>
      <w:r w:rsidRPr="00E72418">
        <w:rPr>
          <w:rFonts w:ascii="Times New Roman" w:hAnsi="Times New Roman" w:cs="Times New Roman"/>
          <w:szCs w:val="20"/>
          <w:lang w:val="en-US"/>
        </w:rPr>
        <w:t xml:space="preserve">et M. </w:t>
      </w:r>
      <w:r w:rsidRPr="00E72418">
        <w:rPr>
          <w:rFonts w:ascii="Times New Roman" w:hAnsi="Times New Roman" w:cs="Times New Roman"/>
          <w:smallCaps/>
          <w:szCs w:val="20"/>
          <w:lang w:val="en-US"/>
        </w:rPr>
        <w:t>Gulati</w:t>
      </w:r>
      <w:r w:rsidRPr="00E72418">
        <w:rPr>
          <w:rFonts w:ascii="Times New Roman" w:hAnsi="Times New Roman" w:cs="Times New Roman"/>
          <w:szCs w:val="20"/>
          <w:lang w:val="en-US"/>
        </w:rPr>
        <w:t xml:space="preserve">, « The Greek debt restructuring: an autopsy », </w:t>
      </w:r>
      <w:r w:rsidRPr="00E72418">
        <w:rPr>
          <w:rFonts w:ascii="Times New Roman" w:hAnsi="Times New Roman" w:cs="Times New Roman"/>
          <w:i/>
          <w:szCs w:val="20"/>
          <w:lang w:val="en-US"/>
        </w:rPr>
        <w:t>Econ. Policy</w:t>
      </w:r>
      <w:r w:rsidRPr="00E72418">
        <w:rPr>
          <w:rFonts w:ascii="Times New Roman" w:hAnsi="Times New Roman" w:cs="Times New Roman"/>
          <w:szCs w:val="20"/>
          <w:lang w:val="en-US"/>
        </w:rPr>
        <w:t xml:space="preserve">, 2013, p. 532 : </w:t>
      </w:r>
      <w:r w:rsidRPr="00E72418">
        <w:rPr>
          <w:rFonts w:ascii="Times New Roman" w:hAnsi="Times New Roman" w:cs="Times New Roman"/>
          <w:szCs w:val="20"/>
        </w:rPr>
        <w:t xml:space="preserve">« residual maturities across Greece’s eligible bonds ranged from almost zero </w:t>
      </w:r>
      <w:r w:rsidRPr="00E72418">
        <w:rPr>
          <w:rFonts w:ascii="Times New Roman" w:hAnsi="Times New Roman" w:cs="Times New Roman"/>
          <w:szCs w:val="20"/>
          <w:lang w:val="en-US"/>
        </w:rPr>
        <w:t xml:space="preserve">[…] </w:t>
      </w:r>
      <w:r w:rsidRPr="00E72418">
        <w:rPr>
          <w:rFonts w:ascii="Times New Roman" w:hAnsi="Times New Roman" w:cs="Times New Roman"/>
          <w:szCs w:val="20"/>
        </w:rPr>
        <w:t>to 45 years ».</w:t>
      </w:r>
    </w:p>
  </w:footnote>
  <w:footnote w:id="368">
    <w:p w14:paraId="661EC296" w14:textId="2FDAA592" w:rsidR="0030147D" w:rsidRPr="00E72418" w:rsidRDefault="0030147D" w:rsidP="00B03EE3">
      <w:pPr>
        <w:pStyle w:val="Sansinterligne"/>
      </w:pPr>
      <w:r w:rsidRPr="00E72418">
        <w:rPr>
          <w:rStyle w:val="Appelnotedebasdep"/>
        </w:rPr>
        <w:footnoteRef/>
      </w:r>
      <w:r w:rsidRPr="00E72418">
        <w:t xml:space="preserve"> Celine Tan note ainsi que « </w:t>
      </w:r>
      <w:r w:rsidRPr="00E72418">
        <w:rPr>
          <w:szCs w:val="20"/>
          <w:lang w:val="en-US"/>
        </w:rPr>
        <w:t>[d]</w:t>
      </w:r>
      <w:r w:rsidRPr="00E72418">
        <w:t xml:space="preserve">ebt restructurings are voluntary with loosely defined rules of procedure and informal guidelines for debt treatment » (C. </w:t>
      </w:r>
      <w:r w:rsidRPr="00E72418">
        <w:rPr>
          <w:smallCaps/>
        </w:rPr>
        <w:t>Tan</w:t>
      </w:r>
      <w:r w:rsidRPr="00E72418">
        <w:t xml:space="preserve">, « </w:t>
      </w:r>
      <w:r w:rsidRPr="00E72418">
        <w:rPr>
          <w:rFonts w:cs="Times New Roman"/>
          <w:szCs w:val="24"/>
          <w:lang w:val="en-US"/>
        </w:rPr>
        <w:t>Reframing the debate: the debt relief initiative and new normative values in the governance of third world*</w:t>
      </w:r>
      <w:r w:rsidRPr="00E72418">
        <w:t xml:space="preserve"> debt », </w:t>
      </w:r>
      <w:r w:rsidRPr="00E72418">
        <w:rPr>
          <w:i/>
        </w:rPr>
        <w:t>op. cit.</w:t>
      </w:r>
      <w:r w:rsidRPr="00E72418">
        <w:t>, p. 252).</w:t>
      </w:r>
    </w:p>
  </w:footnote>
  <w:footnote w:id="369">
    <w:p w14:paraId="49346222" w14:textId="50BD0619" w:rsidR="0030147D" w:rsidRPr="00E72418" w:rsidRDefault="0030147D" w:rsidP="004551B8">
      <w:pPr>
        <w:pStyle w:val="Sansinterligne"/>
        <w:rPr>
          <w:rFonts w:ascii="TimesNewRoman" w:hAnsi="TimesNewRoman" w:cs="TimesNewRoman"/>
          <w:szCs w:val="20"/>
        </w:rPr>
      </w:pPr>
      <w:r w:rsidRPr="00E72418">
        <w:rPr>
          <w:rStyle w:val="Appelnotedebasdep"/>
        </w:rPr>
        <w:footnoteRef/>
      </w:r>
      <w:r w:rsidRPr="00E72418">
        <w:rPr>
          <w:vertAlign w:val="superscript"/>
        </w:rPr>
        <w:t xml:space="preserve"> </w:t>
      </w:r>
      <w:r w:rsidRPr="00E72418">
        <w:t xml:space="preserve">Voyez toutefois l’importante résolution de l’Assemblée générale des Nations Unies du 10 septembre 2015 dont question </w:t>
      </w:r>
      <w:r w:rsidRPr="00E72418">
        <w:rPr>
          <w:i/>
        </w:rPr>
        <w:t>supra</w:t>
      </w:r>
      <w:r w:rsidRPr="00E72418">
        <w:t xml:space="preserve"> (n° 65). Il y est souligné </w:t>
      </w:r>
      <w:r w:rsidRPr="00E72418">
        <w:rPr>
          <w:rFonts w:ascii="TimesNewRoman" w:hAnsi="TimesNewRoman" w:cs="TimesNewRoman"/>
          <w:szCs w:val="20"/>
        </w:rPr>
        <w:t>l’importance d’établir</w:t>
      </w:r>
      <w:r>
        <w:rPr>
          <w:rFonts w:ascii="TimesNewRoman" w:hAnsi="TimesNewRoman" w:cs="TimesNewRoman"/>
          <w:szCs w:val="20"/>
        </w:rPr>
        <w:t>,</w:t>
      </w:r>
      <w:r w:rsidRPr="00E72418">
        <w:rPr>
          <w:rFonts w:ascii="TimesNewRoman" w:hAnsi="TimesNewRoman" w:cs="TimesNewRoman"/>
          <w:szCs w:val="20"/>
        </w:rPr>
        <w:t xml:space="preserve"> aux fins de la gestion et du règlement des crises financières</w:t>
      </w:r>
      <w:r>
        <w:rPr>
          <w:rFonts w:ascii="TimesNewRoman" w:hAnsi="TimesNewRoman" w:cs="TimesNewRoman"/>
          <w:szCs w:val="20"/>
        </w:rPr>
        <w:t>,</w:t>
      </w:r>
      <w:r w:rsidRPr="00E72418">
        <w:rPr>
          <w:rFonts w:ascii="TimesNewRoman" w:hAnsi="TimesNewRoman" w:cs="TimesNewRoman"/>
          <w:szCs w:val="20"/>
        </w:rPr>
        <w:t xml:space="preserve"> un ensemble de principes bien définis tenant compte de l’obligation qu’ont les débiteurs souverains et leurs créanciers d’agir de bonne foi et dans un esprit de coopération afin de parvenir à un réaménagement consensuel des dettes. </w:t>
      </w:r>
      <w:r w:rsidRPr="00E72418">
        <w:t xml:space="preserve">Voyez, avant cela, notamment </w:t>
      </w:r>
      <w:r w:rsidRPr="00E72418">
        <w:rPr>
          <w:smallCaps/>
        </w:rPr>
        <w:t>B. Couillault</w:t>
      </w:r>
      <w:r w:rsidRPr="00E72418">
        <w:t xml:space="preserve"> et </w:t>
      </w:r>
      <w:r w:rsidRPr="00E72418">
        <w:rPr>
          <w:smallCaps/>
        </w:rPr>
        <w:t>P.-F. Weber</w:t>
      </w:r>
      <w:r w:rsidRPr="00E72418">
        <w:t xml:space="preserve">, « Vers un Code de bonne conduite volontaire pour restructurer la dette souveraine », </w:t>
      </w:r>
      <w:r w:rsidRPr="00E72418">
        <w:rPr>
          <w:i/>
        </w:rPr>
        <w:t>Revue stabilité financière</w:t>
      </w:r>
      <w:r w:rsidRPr="00E72418">
        <w:t>, 2003, pp. 162 à 170.</w:t>
      </w:r>
    </w:p>
  </w:footnote>
  <w:footnote w:id="370">
    <w:p w14:paraId="08F139AD" w14:textId="7DB54FC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B. Eichengreen</w:t>
      </w:r>
      <w:r w:rsidRPr="00E72418">
        <w:rPr>
          <w:szCs w:val="20"/>
        </w:rPr>
        <w:t xml:space="preserve"> et </w:t>
      </w:r>
      <w:r w:rsidRPr="00E72418">
        <w:rPr>
          <w:smallCaps/>
          <w:szCs w:val="20"/>
        </w:rPr>
        <w:t>A. Mody</w:t>
      </w:r>
      <w:r w:rsidRPr="00E72418">
        <w:rPr>
          <w:szCs w:val="20"/>
        </w:rPr>
        <w:t xml:space="preserve">, </w:t>
      </w:r>
      <w:r w:rsidRPr="00E72418">
        <w:rPr>
          <w:rStyle w:val="Titre5Car"/>
          <w:rFonts w:ascii="Times" w:eastAsiaTheme="minorHAnsi" w:hAnsi="Times" w:cstheme="minorBidi"/>
          <w:color w:val="auto"/>
          <w:szCs w:val="20"/>
        </w:rPr>
        <w:t xml:space="preserve">« </w:t>
      </w:r>
      <w:r w:rsidRPr="00E72418">
        <w:rPr>
          <w:szCs w:val="20"/>
        </w:rPr>
        <w:t xml:space="preserve">Do Collective Action Clauses Raise Borrowing Costs? </w:t>
      </w:r>
      <w:r w:rsidRPr="00E72418">
        <w:rPr>
          <w:rStyle w:val="Titre5Car"/>
          <w:rFonts w:ascii="Times" w:eastAsiaTheme="minorHAnsi" w:hAnsi="Times" w:cstheme="minorBidi"/>
          <w:color w:val="auto"/>
          <w:szCs w:val="20"/>
        </w:rPr>
        <w:t xml:space="preserve">», </w:t>
      </w:r>
      <w:r w:rsidRPr="00E72418">
        <w:rPr>
          <w:rStyle w:val="Titre5Car"/>
          <w:rFonts w:ascii="Times" w:eastAsiaTheme="minorHAnsi" w:hAnsi="Times" w:cstheme="minorBidi"/>
          <w:i/>
          <w:color w:val="auto"/>
          <w:szCs w:val="20"/>
        </w:rPr>
        <w:t>Econ. J.</w:t>
      </w:r>
      <w:r w:rsidRPr="00E72418">
        <w:rPr>
          <w:rStyle w:val="Titre5Car"/>
          <w:rFonts w:ascii="Times" w:eastAsiaTheme="minorHAnsi" w:hAnsi="Times" w:cstheme="minorBidi"/>
          <w:color w:val="auto"/>
          <w:szCs w:val="20"/>
        </w:rPr>
        <w:t>, 2004, p. 248.</w:t>
      </w:r>
    </w:p>
  </w:footnote>
  <w:footnote w:id="371">
    <w:p w14:paraId="4A2B313B" w14:textId="2FE93144" w:rsidR="0030147D" w:rsidRPr="00E72418" w:rsidRDefault="0030147D" w:rsidP="0041018E">
      <w:pPr>
        <w:pStyle w:val="Sansinterligne"/>
        <w:rPr>
          <w:rFonts w:ascii="Times New Roman" w:hAnsi="Times New Roman" w:cs="Times New Roman"/>
        </w:rPr>
      </w:pPr>
      <w:r w:rsidRPr="00E72418">
        <w:rPr>
          <w:rStyle w:val="Appelnotedebasdep"/>
        </w:rPr>
        <w:footnoteRef/>
      </w:r>
      <w:r w:rsidRPr="00E72418">
        <w:t xml:space="preserve"> Ce sont souvent de grands principes dont le respect est souligné. Voyez</w:t>
      </w:r>
      <w:r>
        <w:t>,</w:t>
      </w:r>
      <w:r w:rsidRPr="00E72418">
        <w:t xml:space="preserve"> par exemple</w:t>
      </w:r>
      <w:r>
        <w:t>,</w:t>
      </w:r>
      <w:r w:rsidRPr="00E72418">
        <w:t xml:space="preserve"> Assemblée générale des Nations Unies, </w:t>
      </w:r>
      <w:r w:rsidRPr="00E72418">
        <w:rPr>
          <w:i/>
        </w:rPr>
        <w:t>Programme d’action d’Addis-Abeba issu de la troisième Conférence internationale sur le financement du développement (programme d’action d’Addis-Abeba)</w:t>
      </w:r>
      <w:r w:rsidRPr="00E72418">
        <w:t>, 17 août 2015, A/RES/69/313, p. 32 : « </w:t>
      </w:r>
      <w:r w:rsidRPr="00E72418">
        <w:rPr>
          <w:rFonts w:ascii="Times New Roman" w:hAnsi="Times New Roman" w:cs="Times New Roman"/>
        </w:rPr>
        <w:t>les opérations de restructuration de la dette doivent être effectuées en temps opportun, de manière ordonnée, efficace et équitable, et être négociées de bonne foi ».</w:t>
      </w:r>
    </w:p>
  </w:footnote>
  <w:footnote w:id="372">
    <w:p w14:paraId="293E5D1E" w14:textId="7A171CE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113.</w:t>
      </w:r>
    </w:p>
  </w:footnote>
  <w:footnote w:id="373">
    <w:p w14:paraId="58871560" w14:textId="35C9C127" w:rsidR="0030147D" w:rsidRPr="00E72418" w:rsidRDefault="0030147D" w:rsidP="007C57EF">
      <w:pPr>
        <w:pStyle w:val="Sansinterligne"/>
        <w:rPr>
          <w:rStyle w:val="SansinterligneCar"/>
          <w:szCs w:val="20"/>
        </w:rPr>
      </w:pPr>
      <w:r w:rsidRPr="00E72418">
        <w:rPr>
          <w:rStyle w:val="Appelnotedebasdep"/>
          <w:szCs w:val="20"/>
        </w:rPr>
        <w:footnoteRef/>
      </w:r>
      <w:r w:rsidRPr="00E72418">
        <w:rPr>
          <w:szCs w:val="20"/>
        </w:rPr>
        <w:t xml:space="preserve"> </w:t>
      </w:r>
      <w:r w:rsidRPr="00E72418">
        <w:rPr>
          <w:rStyle w:val="SansinterligneCar"/>
          <w:i/>
          <w:szCs w:val="20"/>
        </w:rPr>
        <w:t xml:space="preserve">Ibid. </w:t>
      </w:r>
      <w:r w:rsidRPr="00E72418">
        <w:rPr>
          <w:rStyle w:val="SansinterligneCar"/>
          <w:szCs w:val="20"/>
        </w:rPr>
        <w:t xml:space="preserve">Nous reviendrons dans la suite de notre propos sur les caractéristiques fondamentales que devrait revêtir le mécanisme de restructuration des dettes étatiques qui serait adopté telles l’institution d’un tiers impartial ou encore la suspension des poursuites des créanciers durant l’opération menée (voyez </w:t>
      </w:r>
      <w:r w:rsidRPr="00E72418">
        <w:rPr>
          <w:rStyle w:val="SansinterligneCar"/>
          <w:i/>
          <w:szCs w:val="20"/>
        </w:rPr>
        <w:t xml:space="preserve">infra </w:t>
      </w:r>
      <w:r w:rsidRPr="00E72418">
        <w:rPr>
          <w:rStyle w:val="SansinterligneCar"/>
          <w:szCs w:val="20"/>
        </w:rPr>
        <w:t>n</w:t>
      </w:r>
      <w:r w:rsidRPr="00E72418">
        <w:rPr>
          <w:rStyle w:val="SansinterligneCar"/>
          <w:szCs w:val="20"/>
          <w:vertAlign w:val="superscript"/>
        </w:rPr>
        <w:t>os</w:t>
      </w:r>
      <w:r w:rsidRPr="00E72418">
        <w:rPr>
          <w:rStyle w:val="SansinterligneCar"/>
          <w:szCs w:val="20"/>
        </w:rPr>
        <w:t xml:space="preserve"> 279 et suiv.).</w:t>
      </w:r>
    </w:p>
  </w:footnote>
  <w:footnote w:id="374">
    <w:p w14:paraId="514BD6AC" w14:textId="465C85F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i/>
          <w:szCs w:val="20"/>
        </w:rPr>
        <w:t>Ibid</w:t>
      </w:r>
      <w:r w:rsidRPr="00E72418">
        <w:rPr>
          <w:rStyle w:val="SansinterligneCar"/>
          <w:i/>
          <w:smallCaps/>
          <w:szCs w:val="20"/>
        </w:rPr>
        <w:t>.</w:t>
      </w:r>
      <w:r w:rsidRPr="00E72418">
        <w:rPr>
          <w:rStyle w:val="SansinterligneCar"/>
          <w:smallCaps/>
          <w:szCs w:val="20"/>
        </w:rPr>
        <w:t xml:space="preserve">, </w:t>
      </w:r>
      <w:r w:rsidRPr="00E72418">
        <w:rPr>
          <w:rStyle w:val="SansinterligneCar"/>
          <w:szCs w:val="20"/>
        </w:rPr>
        <w:t>n° 114.</w:t>
      </w:r>
    </w:p>
  </w:footnote>
  <w:footnote w:id="375">
    <w:p w14:paraId="6577534F" w14:textId="38B60ECA"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Restructurer », </w:t>
      </w:r>
      <w:r w:rsidRPr="00E72418">
        <w:rPr>
          <w:i/>
          <w:szCs w:val="20"/>
        </w:rPr>
        <w:t>op. cit.</w:t>
      </w:r>
      <w:r w:rsidRPr="00E72418">
        <w:rPr>
          <w:szCs w:val="20"/>
        </w:rPr>
        <w:t>, p. 33.</w:t>
      </w:r>
    </w:p>
  </w:footnote>
  <w:footnote w:id="376">
    <w:p w14:paraId="2DC3DAD6" w14:textId="3445768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361.</w:t>
      </w:r>
    </w:p>
  </w:footnote>
  <w:footnote w:id="377">
    <w:p w14:paraId="4DAF151D" w14:textId="7777777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Dans sa décision prise dans l’affaire </w:t>
      </w:r>
      <w:r w:rsidRPr="00E72418">
        <w:rPr>
          <w:i/>
          <w:szCs w:val="20"/>
          <w:lang w:val="en-US"/>
        </w:rPr>
        <w:t>National Union Fire Ins. Co. v. People’s Republic of Congo</w:t>
      </w:r>
      <w:r w:rsidRPr="00E72418">
        <w:rPr>
          <w:szCs w:val="20"/>
          <w:lang w:val="en-US"/>
        </w:rPr>
        <w:t xml:space="preserve">, la </w:t>
      </w:r>
      <w:r w:rsidRPr="00735BBE">
        <w:rPr>
          <w:szCs w:val="20"/>
          <w:lang w:val="en-US"/>
        </w:rPr>
        <w:t>United States District Court for the Southern District of New York</w:t>
      </w:r>
      <w:r w:rsidRPr="00E72418">
        <w:rPr>
          <w:szCs w:val="20"/>
          <w:lang w:val="en-US"/>
        </w:rPr>
        <w:t xml:space="preserve"> indique que « [p]articipation in international debt rescheduling agreements is voluntary; foreign governments may not unilaterally impose international debt restructuring agreements on unwilling private creditors » (United States District Court for the Southern District of New York (EUA), 22 décembre 1989, </w:t>
      </w:r>
      <w:r w:rsidRPr="00E72418">
        <w:rPr>
          <w:i/>
          <w:szCs w:val="20"/>
          <w:lang w:val="en-US"/>
        </w:rPr>
        <w:t>National Union Fire Ins. Co. v. People’s Republic of Congo</w:t>
      </w:r>
      <w:r w:rsidRPr="00E72418">
        <w:rPr>
          <w:rStyle w:val="injectednode"/>
          <w:szCs w:val="20"/>
          <w:lang w:val="en-US"/>
        </w:rPr>
        <w:t>, 729 F. Supp. 936, p. 944)</w:t>
      </w:r>
      <w:r w:rsidRPr="00E72418">
        <w:rPr>
          <w:szCs w:val="20"/>
          <w:lang w:val="en-US"/>
        </w:rPr>
        <w:t>.</w:t>
      </w:r>
    </w:p>
  </w:footnote>
  <w:footnote w:id="378">
    <w:p w14:paraId="50C9DD6A" w14:textId="0980F4B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72 et suiv. sur les créanciers récalcitrants.</w:t>
      </w:r>
    </w:p>
  </w:footnote>
  <w:footnote w:id="379">
    <w:p w14:paraId="6B400A37" w14:textId="234EF64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Hornbeck</w:t>
      </w:r>
      <w:r w:rsidRPr="00E72418">
        <w:rPr>
          <w:szCs w:val="20"/>
          <w:lang w:val="en-US"/>
        </w:rPr>
        <w:t xml:space="preserve">, « Argentina’s Defaulted Sovereign Debt: Dealing with the “Holdouts” », </w:t>
      </w:r>
      <w:r w:rsidRPr="00E72418">
        <w:rPr>
          <w:i/>
          <w:szCs w:val="20"/>
          <w:lang w:val="en-US"/>
        </w:rPr>
        <w:t>op. cit.</w:t>
      </w:r>
      <w:r w:rsidRPr="00E72418">
        <w:rPr>
          <w:szCs w:val="20"/>
          <w:lang w:val="en-US"/>
        </w:rPr>
        <w:t>, p. 4.</w:t>
      </w:r>
    </w:p>
  </w:footnote>
  <w:footnote w:id="380">
    <w:p w14:paraId="12D4D09A" w14:textId="050A19C6"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S’intéressant aux défauts rencontrés entre 1998 et 2005, Ran Bi </w:t>
      </w:r>
      <w:r w:rsidRPr="00E72418">
        <w:rPr>
          <w:i/>
          <w:szCs w:val="20"/>
          <w:lang w:val="en-US"/>
        </w:rPr>
        <w:t>et al.</w:t>
      </w:r>
      <w:r w:rsidRPr="00E72418">
        <w:rPr>
          <w:szCs w:val="20"/>
          <w:lang w:val="en-US"/>
        </w:rPr>
        <w:t xml:space="preserve"> relèvent que « with one major exception of Argentina’s restructuring following its 2001 default, […] all bond restructurings between 1998 and 2005 were swift, largely devoid of litigation, and achieved high participation » (</w:t>
      </w:r>
      <w:r w:rsidRPr="00E72418">
        <w:rPr>
          <w:smallCaps/>
          <w:szCs w:val="20"/>
          <w:lang w:val="en-US"/>
        </w:rPr>
        <w:t>R. Bi, M. Chamon</w:t>
      </w:r>
      <w:r w:rsidRPr="00E72418">
        <w:rPr>
          <w:szCs w:val="20"/>
          <w:lang w:val="en-US"/>
        </w:rPr>
        <w:t xml:space="preserve"> et </w:t>
      </w:r>
      <w:r w:rsidRPr="00E72418">
        <w:rPr>
          <w:smallCaps/>
          <w:szCs w:val="20"/>
          <w:lang w:val="en-US"/>
        </w:rPr>
        <w:t>J. Zettelmeyer</w:t>
      </w:r>
      <w:r w:rsidRPr="00E72418">
        <w:rPr>
          <w:szCs w:val="20"/>
          <w:lang w:val="en-US"/>
        </w:rPr>
        <w:t>, « The Problem that Wasn’t: Coordination Failures in Sovereign Debt Restructurings », IMF Working Paper WP/11/265, 2011, p. 19). Comme le remarquent plus largement Julian Schumacher</w:t>
      </w:r>
      <w:r w:rsidRPr="00E72418">
        <w:rPr>
          <w:rFonts w:ascii="Times New Roman" w:hAnsi="Times New Roman"/>
          <w:i/>
        </w:rPr>
        <w:t xml:space="preserve"> et al.</w:t>
      </w:r>
      <w:r w:rsidRPr="00E72418">
        <w:rPr>
          <w:rFonts w:ascii="Times New Roman" w:hAnsi="Times New Roman"/>
        </w:rPr>
        <w:t xml:space="preserve">, </w:t>
      </w:r>
      <w:r w:rsidRPr="00E72418">
        <w:rPr>
          <w:szCs w:val="20"/>
          <w:lang w:val="en-US"/>
        </w:rPr>
        <w:t>« [t]he data thus show that “runs to the courthouse” have been relatively rare »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15).</w:t>
      </w:r>
    </w:p>
  </w:footnote>
  <w:footnote w:id="381">
    <w:p w14:paraId="095357B9" w14:textId="572DE911"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caps/>
          <w:szCs w:val="20"/>
        </w:rPr>
        <w:t>à</w:t>
      </w:r>
      <w:r w:rsidRPr="00E72418">
        <w:rPr>
          <w:szCs w:val="20"/>
        </w:rPr>
        <w:t xml:space="preserve"> l’évidence de droit, tout créancier ayant la possibilité de refuser la restructuration envisagée, l’unanimité exigée d’un nombre souvent très important de créanciers la complique. Pour parer à cette difficulté, l’insertion de clauses d’action collective dans les contrats de dettes souveraines s’est</w:t>
      </w:r>
      <w:r>
        <w:rPr>
          <w:szCs w:val="20"/>
        </w:rPr>
        <w:t>,</w:t>
      </w:r>
      <w:r w:rsidRPr="00E72418">
        <w:rPr>
          <w:szCs w:val="20"/>
        </w:rPr>
        <w:t xml:space="preserve"> au fil du temps</w:t>
      </w:r>
      <w:r>
        <w:rPr>
          <w:szCs w:val="20"/>
        </w:rPr>
        <w:t>,</w:t>
      </w:r>
      <w:r w:rsidRPr="00E72418">
        <w:rPr>
          <w:szCs w:val="20"/>
        </w:rPr>
        <w:t xml:space="preserve"> généralisée (sur ces clauses,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282 et suiv.).</w:t>
      </w:r>
    </w:p>
  </w:footnote>
  <w:footnote w:id="382">
    <w:p w14:paraId="5D591B63" w14:textId="268C88F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Sur ces difficultés,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75 et suiv.</w:t>
      </w:r>
    </w:p>
  </w:footnote>
  <w:footnote w:id="383">
    <w:p w14:paraId="3E7C943C" w14:textId="7982C560"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J. Cruces</w:t>
      </w:r>
      <w:r w:rsidRPr="00E72418">
        <w:rPr>
          <w:szCs w:val="20"/>
        </w:rPr>
        <w:t xml:space="preserve"> et </w:t>
      </w:r>
      <w:r w:rsidRPr="00E72418">
        <w:rPr>
          <w:smallCaps/>
          <w:szCs w:val="20"/>
        </w:rPr>
        <w:t>C. Trebesch</w:t>
      </w:r>
      <w:r w:rsidRPr="00E72418">
        <w:rPr>
          <w:szCs w:val="20"/>
        </w:rPr>
        <w:t xml:space="preserve">, « Sovereign Defaults: the Price of Haircuts », 2011, </w:t>
      </w:r>
      <w:hyperlink w:history="1">
        <w:r w:rsidRPr="00E72418">
          <w:rPr>
            <w:rStyle w:val="Lienhypertexte"/>
            <w:color w:val="auto"/>
            <w:szCs w:val="20"/>
            <w:u w:val="none"/>
          </w:rPr>
          <w:t>disponible à l’adresse www.parisschoolofeconomics.eu/IMG/pdf/Cruces-Trebesch-oct2011.pdf</w:t>
        </w:r>
      </w:hyperlink>
      <w:r w:rsidRPr="00E72418">
        <w:rPr>
          <w:rStyle w:val="Lienhypertexte"/>
          <w:color w:val="auto"/>
          <w:szCs w:val="20"/>
          <w:u w:val="none"/>
        </w:rPr>
        <w:t xml:space="preserve"> (consultation le 17 octobre 2021)</w:t>
      </w:r>
      <w:r w:rsidRPr="00E72418">
        <w:rPr>
          <w:szCs w:val="20"/>
        </w:rPr>
        <w:t xml:space="preserve">, pp. 1, 3 et 11. </w:t>
      </w:r>
      <w:r w:rsidRPr="00E72418">
        <w:rPr>
          <w:szCs w:val="20"/>
          <w:lang w:val="en-US"/>
        </w:rPr>
        <w:t>Les auteurs relèvent que cette décote est « significantly lower than for corporate debt restructurings in the United States ». Pour faire leur comparaison, ils relèvent qu’ « [a]ccording to the most comprehensive set of estimates for US corporate bond and loan restructurings […], the average haircut between 1982 and 2005 was 64% ».</w:t>
      </w:r>
    </w:p>
  </w:footnote>
  <w:footnote w:id="384">
    <w:p w14:paraId="4C4F9185" w14:textId="542844F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xml:space="preserve">, « Les dettes </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72.</w:t>
      </w:r>
    </w:p>
  </w:footnote>
  <w:footnote w:id="385">
    <w:p w14:paraId="238E7F59" w14:textId="60DCC6D7"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63.</w:t>
      </w:r>
    </w:p>
  </w:footnote>
  <w:footnote w:id="386">
    <w:p w14:paraId="2CB83F9E" w14:textId="1CE6E8E7"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Principes pour l’octroi de prêts et la souscription d’emprunts souverains responsables</w:t>
      </w:r>
      <w:r w:rsidRPr="00E72418">
        <w:rPr>
          <w:szCs w:val="20"/>
        </w:rPr>
        <w:t>, janvier 2012.</w:t>
      </w:r>
    </w:p>
  </w:footnote>
  <w:footnote w:id="387">
    <w:p w14:paraId="336D5269" w14:textId="3FAE1A7A" w:rsidR="0030147D" w:rsidRPr="00E72418" w:rsidRDefault="0030147D" w:rsidP="00B929D2">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E. Beneze</w:t>
      </w:r>
      <w:r w:rsidRPr="00E72418">
        <w:t xml:space="preserve">, « Stopping the Circling Vultures: Restructuring a Solution to Sovereign Debt Profiteering », </w:t>
      </w:r>
      <w:r w:rsidRPr="00E72418">
        <w:rPr>
          <w:i/>
        </w:rPr>
        <w:t>op. cit.</w:t>
      </w:r>
      <w:r w:rsidRPr="00E72418">
        <w:t xml:space="preserve">, p. 245. Plus généralement, Arturo </w:t>
      </w:r>
      <w:r w:rsidRPr="00E72418">
        <w:rPr>
          <w:rFonts w:ascii="Times New Roman" w:hAnsi="Times New Roman" w:cs="Times New Roman"/>
        </w:rPr>
        <w:t>Porzecanski liste les bonnes pratiques en matière de gestion de la dette souveraine : « [e]ngage in regular dialogue with creditors on key economic and financial policies; [c]onsult with creditors on how to forestall debt-service problems before defaulting; [i]f a debt restructuring becomes inevitable, enter into timely, good-faith negotiations; [s]top incurring debt when already burdened by too much debt; [s]eek debt relief appropriate to the nature of the liquidity or solvency problem; [r]ecognize interest arrears and treat them preferentially versus past-due principal; [s]eek the financial support and endorsement of multilateral agencies; [m]ake a good-will, up-front cash payment – especially when circumstances permit [and] [a]im for 100% creditor participation, in order to minimize a holdout problem » (</w:t>
      </w:r>
      <w:r w:rsidRPr="00E72418">
        <w:rPr>
          <w:rFonts w:ascii="Times New Roman" w:hAnsi="Times New Roman" w:cs="Times New Roman"/>
          <w:smallCaps/>
        </w:rPr>
        <w:t>A. Porzecanski</w:t>
      </w:r>
      <w:r w:rsidRPr="00E72418">
        <w:rPr>
          <w:rFonts w:ascii="Times New Roman" w:hAnsi="Times New Roman" w:cs="Times New Roman"/>
        </w:rPr>
        <w:t xml:space="preserve">, « The Origins of Argentina’s Litigation and Arbitration Saga, 2002-2016 », </w:t>
      </w:r>
      <w:r w:rsidRPr="00E72418">
        <w:rPr>
          <w:rFonts w:ascii="Times New Roman" w:hAnsi="Times New Roman" w:cs="Times New Roman"/>
          <w:i/>
        </w:rPr>
        <w:t>Fordham Int. Law J.</w:t>
      </w:r>
      <w:r w:rsidRPr="00E72418">
        <w:rPr>
          <w:rFonts w:ascii="Times New Roman" w:hAnsi="Times New Roman" w:cs="Times New Roman"/>
        </w:rPr>
        <w:t>, 2016, pp. 54 et 55).</w:t>
      </w:r>
    </w:p>
  </w:footnote>
  <w:footnote w:id="388">
    <w:p w14:paraId="03FF60F6" w14:textId="2574EE35" w:rsidR="0030147D" w:rsidRPr="00E72418" w:rsidRDefault="0030147D" w:rsidP="006B37E3">
      <w:pPr>
        <w:pStyle w:val="Sansinterligne"/>
        <w:rPr>
          <w:rFonts w:ascii="Times New Roman" w:hAnsi="Times New Roman" w:cs="Times New Roman"/>
          <w:lang w:val="fr-FR"/>
        </w:rPr>
      </w:pPr>
      <w:r w:rsidRPr="00E72418">
        <w:rPr>
          <w:rStyle w:val="Appelnotedebasdep"/>
          <w:szCs w:val="20"/>
        </w:rPr>
        <w:footnoteRef/>
      </w:r>
      <w:r w:rsidRPr="00E72418">
        <w:t xml:space="preserve"> </w:t>
      </w:r>
      <w:r w:rsidRPr="00E72418">
        <w:rPr>
          <w:smallCaps/>
        </w:rPr>
        <w:t>L. Buchheit</w:t>
      </w:r>
      <w:r w:rsidRPr="00E72418">
        <w:t xml:space="preserve"> et </w:t>
      </w:r>
      <w:r w:rsidRPr="00E72418">
        <w:rPr>
          <w:smallCaps/>
        </w:rPr>
        <w:t>M. Gulati</w:t>
      </w:r>
      <w:r w:rsidRPr="00E72418">
        <w:t xml:space="preserve">, « Responsible Sovereign Lending and Borrowing », </w:t>
      </w:r>
      <w:r w:rsidRPr="00E72418">
        <w:rPr>
          <w:rFonts w:ascii="Times New Roman" w:hAnsi="Times New Roman" w:cs="Times New Roman"/>
          <w:i/>
        </w:rPr>
        <w:t>Law&amp;ContempProbs</w:t>
      </w:r>
      <w:r w:rsidRPr="00E72418">
        <w:rPr>
          <w:rFonts w:ascii="Times New Roman" w:hAnsi="Times New Roman" w:cs="Times New Roman"/>
        </w:rPr>
        <w:t>, 2010</w:t>
      </w:r>
      <w:r w:rsidRPr="00E72418">
        <w:t>, p. 86.</w:t>
      </w:r>
    </w:p>
  </w:footnote>
  <w:footnote w:id="389">
    <w:p w14:paraId="77377689" w14:textId="5F582E92" w:rsidR="0030147D" w:rsidRPr="00E72418" w:rsidRDefault="0030147D" w:rsidP="00346522">
      <w:pPr>
        <w:pStyle w:val="Sansinterligne"/>
        <w:rPr>
          <w:szCs w:val="20"/>
        </w:rPr>
      </w:pPr>
      <w:r w:rsidRPr="00E72418">
        <w:rPr>
          <w:rStyle w:val="Appelnotedebasdep"/>
          <w:szCs w:val="20"/>
        </w:rPr>
        <w:footnoteRef/>
      </w:r>
      <w:r w:rsidRPr="00E72418">
        <w:rPr>
          <w:szCs w:val="20"/>
        </w:rPr>
        <w:t xml:space="preserve"> </w:t>
      </w:r>
      <w:r w:rsidRPr="00E72418">
        <w:rPr>
          <w:smallCaps/>
          <w:szCs w:val="20"/>
        </w:rPr>
        <w:t>A. Kelly</w:t>
      </w:r>
      <w:r w:rsidRPr="00E72418">
        <w:rPr>
          <w:szCs w:val="20"/>
        </w:rPr>
        <w:t xml:space="preserve">, « Flight of the Condors: The Impact of Vulture Investors on Argentina’s Sovereign Debt Default », </w:t>
      </w:r>
      <w:r w:rsidRPr="00E72418">
        <w:rPr>
          <w:i/>
          <w:szCs w:val="20"/>
        </w:rPr>
        <w:t>op. cit.</w:t>
      </w:r>
      <w:r w:rsidRPr="00E72418">
        <w:rPr>
          <w:szCs w:val="20"/>
        </w:rPr>
        <w:t>, p. 41.</w:t>
      </w:r>
    </w:p>
  </w:footnote>
  <w:footnote w:id="390">
    <w:p w14:paraId="25CB5650" w14:textId="5B3156B1"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w:t>
      </w:r>
      <w:r w:rsidRPr="00E72418">
        <w:rPr>
          <w:szCs w:val="20"/>
        </w:rPr>
        <w:t>La rapidité permet également d’éviter que les fonds spéculatifs puissent mettre en place leur stratégie, par exemple, en cherchant à acquérir suffisamment de titres afin de constituer une minorité de blocage à la restructuration (</w:t>
      </w:r>
      <w:r w:rsidRPr="00E72418">
        <w:rPr>
          <w:i/>
          <w:szCs w:val="20"/>
        </w:rPr>
        <w:t>ibid.</w:t>
      </w:r>
      <w:r w:rsidRPr="00E72418">
        <w:rPr>
          <w:szCs w:val="20"/>
        </w:rPr>
        <w:t>, p. 34).</w:t>
      </w:r>
    </w:p>
  </w:footnote>
  <w:footnote w:id="391">
    <w:p w14:paraId="04BB0E50" w14:textId="5AAEB246"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Relevons encore que d’autres conséquences négatives sont à craindre par l’</w:t>
      </w:r>
      <w:r w:rsidRPr="00E72418">
        <w:rPr>
          <w:szCs w:val="20"/>
          <w:lang w:eastAsia="fr-BE"/>
        </w:rPr>
        <w:t>É</w:t>
      </w:r>
      <w:r w:rsidRPr="00E72418">
        <w:rPr>
          <w:szCs w:val="20"/>
        </w:rPr>
        <w:t>tat débiteur comme celle de la dégradation de sa réputation (v</w:t>
      </w:r>
      <w:r w:rsidRPr="00E72418">
        <w:rPr>
          <w:szCs w:val="20"/>
          <w:lang w:val="en-US"/>
        </w:rPr>
        <w:t xml:space="preserve">oyez, par exemple,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18 : « delays in crisis resolution tend to have an adverse impact on sovereign debt country ratings. During restructuring processes, ratings are lower and spreads are higher, making costs of funding more expensive »).</w:t>
      </w:r>
    </w:p>
  </w:footnote>
  <w:footnote w:id="392">
    <w:p w14:paraId="1720BEF9" w14:textId="161FD2EF"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presentation</w:t>
      </w:r>
      <w:r w:rsidRPr="00E72418">
        <w:rPr>
          <w:szCs w:val="20"/>
          <w:lang w:val="en-US"/>
        </w:rPr>
        <w:t>, 26 octobre 2016.</w:t>
      </w:r>
    </w:p>
  </w:footnote>
  <w:footnote w:id="393">
    <w:p w14:paraId="5E4B1ADD" w14:textId="5D173715"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121.</w:t>
      </w:r>
    </w:p>
  </w:footnote>
  <w:footnote w:id="394">
    <w:p w14:paraId="02528A46" w14:textId="30F61719"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Meager, E. Price</w:t>
      </w:r>
      <w:r w:rsidRPr="00E72418">
        <w:rPr>
          <w:szCs w:val="20"/>
          <w:lang w:val="en-US"/>
        </w:rPr>
        <w:t xml:space="preserve"> et </w:t>
      </w:r>
      <w:r w:rsidRPr="00E72418">
        <w:rPr>
          <w:smallCaps/>
          <w:szCs w:val="20"/>
          <w:lang w:val="en-US"/>
        </w:rPr>
        <w:t>B. Yap</w:t>
      </w:r>
      <w:r w:rsidRPr="00E72418">
        <w:rPr>
          <w:szCs w:val="20"/>
          <w:lang w:val="en-US"/>
        </w:rPr>
        <w:t xml:space="preserve">, « How to jump start sovereign debt », </w:t>
      </w:r>
      <w:r w:rsidRPr="00E72418">
        <w:rPr>
          <w:i/>
          <w:szCs w:val="20"/>
          <w:lang w:val="en-US"/>
        </w:rPr>
        <w:t>op. cit.</w:t>
      </w:r>
      <w:r w:rsidRPr="00E72418">
        <w:rPr>
          <w:szCs w:val="20"/>
          <w:lang w:val="en-US"/>
        </w:rPr>
        <w:t>, p. 23.</w:t>
      </w:r>
    </w:p>
  </w:footnote>
  <w:footnote w:id="395">
    <w:p w14:paraId="338F47D1" w14:textId="35607A45"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Sticks », in L. </w:t>
      </w:r>
      <w:r w:rsidRPr="00E72418">
        <w:rPr>
          <w:smallCaps/>
          <w:szCs w:val="20"/>
          <w:lang w:val="en-US"/>
        </w:rPr>
        <w:t>Buchheit</w:t>
      </w:r>
      <w:r w:rsidRPr="00E72418">
        <w:rPr>
          <w:szCs w:val="20"/>
          <w:lang w:val="en-US"/>
        </w:rPr>
        <w:t xml:space="preserve"> et R. </w:t>
      </w:r>
      <w:r w:rsidRPr="00E72418">
        <w:rPr>
          <w:smallCaps/>
          <w:szCs w:val="20"/>
          <w:lang w:val="en-US"/>
        </w:rPr>
        <w:t>Lastra</w:t>
      </w:r>
      <w:r w:rsidRPr="00E72418">
        <w:rPr>
          <w:szCs w:val="20"/>
          <w:lang w:val="en-US"/>
        </w:rPr>
        <w:t xml:space="preserve"> (éd.), </w:t>
      </w:r>
      <w:r w:rsidRPr="00E72418">
        <w:rPr>
          <w:i/>
          <w:szCs w:val="20"/>
          <w:lang w:val="en-US"/>
        </w:rPr>
        <w:t>Sovereign Debt Management</w:t>
      </w:r>
      <w:r w:rsidRPr="00E72418">
        <w:rPr>
          <w:szCs w:val="20"/>
          <w:lang w:val="en-US"/>
        </w:rPr>
        <w:t xml:space="preserve">, Oxford University Press, 2014, p. 17. </w:t>
      </w:r>
      <w:r w:rsidRPr="00E72418">
        <w:rPr>
          <w:szCs w:val="20"/>
        </w:rPr>
        <w:t>L’importance de la résolution rapide des difficultés financières est illustrée par le cas vénézuélien où, alors qu’un défaut était annoncé dès 2016 au regard du caractère insoutenable de la dette vénézuélienne, le pays ne s’engagea pas dans un processus de restructuration de celle-ci et continua à en honorer les échéances. Le défaut qui suivit conduisit le Venezuela à être redevable d’importants intérêts et pénalités de retard (</w:t>
      </w:r>
      <w:r w:rsidRPr="00E72418">
        <w:rPr>
          <w:smallCaps/>
          <w:szCs w:val="20"/>
        </w:rPr>
        <w:t>C. Lequesne-Roth</w:t>
      </w:r>
      <w:r w:rsidRPr="00E72418">
        <w:rPr>
          <w:szCs w:val="20"/>
        </w:rPr>
        <w:t xml:space="preserve">, « Restructurer », </w:t>
      </w:r>
      <w:r w:rsidRPr="00E72418">
        <w:rPr>
          <w:i/>
          <w:szCs w:val="20"/>
        </w:rPr>
        <w:t>op. cit.</w:t>
      </w:r>
      <w:r w:rsidRPr="00E72418">
        <w:rPr>
          <w:szCs w:val="20"/>
        </w:rPr>
        <w:t>, p. 37).</w:t>
      </w:r>
    </w:p>
  </w:footnote>
  <w:footnote w:id="396">
    <w:p w14:paraId="43F4CC37" w14:textId="77777777" w:rsidR="0030147D" w:rsidRPr="00E72418" w:rsidRDefault="0030147D" w:rsidP="001853CB">
      <w:pPr>
        <w:pStyle w:val="Sansinterligne"/>
        <w:rPr>
          <w:szCs w:val="20"/>
        </w:rPr>
      </w:pPr>
      <w:r w:rsidRPr="00E72418">
        <w:rPr>
          <w:rStyle w:val="Appelnotedebasdep"/>
          <w:szCs w:val="20"/>
        </w:rPr>
        <w:footnoteRef/>
      </w:r>
      <w:r w:rsidRPr="00E72418">
        <w:rPr>
          <w:szCs w:val="20"/>
        </w:rPr>
        <w:t xml:space="preserve"> En anglais, « holdout creditors » ou, parfois, simplement « holdouts ».</w:t>
      </w:r>
    </w:p>
  </w:footnote>
  <w:footnote w:id="397">
    <w:p w14:paraId="214B346C" w14:textId="7A7E0815"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Comme le note Devi Sookun, « [f]ailure to participate in the debt relief initiatives did not alter any of the legal rights of the creditors, or the obligations of the sovereign debtor under an existing loan agreement »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p. 25).</w:t>
      </w:r>
    </w:p>
  </w:footnote>
  <w:footnote w:id="398">
    <w:p w14:paraId="242C935E" w14:textId="223469CB" w:rsidR="0030147D" w:rsidRPr="00E72418" w:rsidRDefault="0030147D" w:rsidP="00604229">
      <w:pPr>
        <w:pStyle w:val="Sansinterligne"/>
      </w:pPr>
      <w:r w:rsidRPr="00E72418">
        <w:rPr>
          <w:rStyle w:val="Appelnotedebasdep"/>
        </w:rPr>
        <w:footnoteRef/>
      </w:r>
      <w:r w:rsidRPr="00E72418">
        <w:t xml:space="preserve"> </w:t>
      </w:r>
      <w:r w:rsidRPr="00E72418">
        <w:rPr>
          <w:smallCaps/>
        </w:rPr>
        <w:t>U. Das, M. Papaioannou</w:t>
      </w:r>
      <w:r w:rsidRPr="00E72418">
        <w:t xml:space="preserve"> et </w:t>
      </w:r>
      <w:r w:rsidRPr="00E72418">
        <w:rPr>
          <w:smallCaps/>
        </w:rPr>
        <w:t>C. Trebesch</w:t>
      </w:r>
      <w:r w:rsidRPr="00E72418">
        <w:t xml:space="preserve">, « Sovereign Debt Restructurings 1950 – 2010: Literature Survey, Data, and Stylized Facts », </w:t>
      </w:r>
      <w:r w:rsidRPr="00E72418">
        <w:rPr>
          <w:i/>
        </w:rPr>
        <w:t>op. cit.</w:t>
      </w:r>
      <w:r w:rsidRPr="00E72418">
        <w:t>, p. 50.</w:t>
      </w:r>
    </w:p>
  </w:footnote>
  <w:footnote w:id="399">
    <w:p w14:paraId="5D26CFED" w14:textId="4015DA1F" w:rsidR="0030147D" w:rsidRPr="00E72418" w:rsidRDefault="0030147D" w:rsidP="006A07F4">
      <w:pPr>
        <w:pStyle w:val="Sansinterligne"/>
      </w:pPr>
      <w:r w:rsidRPr="00E72418">
        <w:rPr>
          <w:rStyle w:val="Titre5Car"/>
          <w:rFonts w:ascii="Times" w:eastAsiaTheme="minorHAnsi" w:hAnsi="Times" w:cstheme="minorBidi"/>
          <w:color w:val="auto"/>
          <w:szCs w:val="20"/>
          <w:vertAlign w:val="superscript"/>
        </w:rPr>
        <w:footnoteRef/>
      </w:r>
      <w:r w:rsidRPr="00E72418">
        <w:t xml:space="preserve"> </w:t>
      </w:r>
      <w:r w:rsidRPr="00E72418">
        <w:rPr>
          <w:rStyle w:val="Titre2Car"/>
          <w:rFonts w:ascii="Times" w:eastAsiaTheme="minorHAnsi" w:hAnsi="Times" w:cstheme="minorBidi"/>
          <w:smallCaps/>
          <w:color w:val="auto"/>
          <w:sz w:val="20"/>
          <w:szCs w:val="20"/>
          <w:lang w:val="en-US"/>
        </w:rPr>
        <w:t>T. Samples</w:t>
      </w:r>
      <w:r w:rsidRPr="00E72418">
        <w:rPr>
          <w:rStyle w:val="Titre2Car"/>
          <w:rFonts w:ascii="Times" w:eastAsiaTheme="minorHAnsi" w:hAnsi="Times" w:cstheme="minorBidi"/>
          <w:color w:val="auto"/>
          <w:sz w:val="20"/>
          <w:szCs w:val="20"/>
          <w:lang w:val="en-US"/>
        </w:rPr>
        <w:t xml:space="preserve">, « Rogue Trends in Sovereign Debt: Argentina, Vulture Funds, and </w:t>
      </w:r>
      <w:r w:rsidRPr="00E72418">
        <w:rPr>
          <w:rStyle w:val="Titre2Car"/>
          <w:rFonts w:ascii="Times" w:eastAsiaTheme="minorHAnsi" w:hAnsi="Times" w:cstheme="minorBidi"/>
          <w:i/>
          <w:color w:val="auto"/>
          <w:sz w:val="20"/>
          <w:szCs w:val="20"/>
          <w:lang w:val="en-US"/>
        </w:rPr>
        <w:t>Pari Passu</w:t>
      </w:r>
      <w:r w:rsidRPr="00E72418">
        <w:rPr>
          <w:rStyle w:val="Titre2Car"/>
          <w:rFonts w:ascii="Times" w:eastAsiaTheme="minorHAnsi" w:hAnsi="Times" w:cstheme="minorBidi"/>
          <w:color w:val="auto"/>
          <w:sz w:val="20"/>
          <w:szCs w:val="20"/>
          <w:lang w:val="en-US"/>
        </w:rPr>
        <w:t xml:space="preserve"> Under New York Law », </w:t>
      </w:r>
      <w:r w:rsidRPr="00E72418">
        <w:rPr>
          <w:rStyle w:val="Titre2Car"/>
          <w:rFonts w:ascii="Times" w:eastAsiaTheme="minorHAnsi" w:hAnsi="Times" w:cstheme="minorBidi"/>
          <w:i/>
          <w:color w:val="auto"/>
          <w:sz w:val="20"/>
          <w:szCs w:val="20"/>
          <w:lang w:val="en-US"/>
        </w:rPr>
        <w:t>op. cit.</w:t>
      </w:r>
      <w:r w:rsidRPr="00E72418">
        <w:rPr>
          <w:rStyle w:val="Titre2Car"/>
          <w:rFonts w:ascii="Times" w:eastAsiaTheme="minorHAnsi" w:hAnsi="Times" w:cstheme="minorBidi"/>
          <w:color w:val="auto"/>
          <w:sz w:val="20"/>
          <w:szCs w:val="20"/>
          <w:lang w:val="en-US"/>
        </w:rPr>
        <w:t xml:space="preserve">, p. 56. Pablo </w:t>
      </w:r>
      <w:r w:rsidRPr="00E72418">
        <w:t>Lopez et Cecilia Nahon relèvent ainsi que « bondholders became highly atomized, anonymous, and widespread across the globe, including a growing number of hedge funds increasingly specializing in such bonds » (</w:t>
      </w:r>
      <w:r w:rsidRPr="00E72418">
        <w:rPr>
          <w:smallCaps/>
        </w:rPr>
        <w:t>P. Lopez</w:t>
      </w:r>
      <w:r w:rsidRPr="00E72418">
        <w:t xml:space="preserve"> et </w:t>
      </w:r>
      <w:r w:rsidRPr="00E72418">
        <w:rPr>
          <w:smallCaps/>
        </w:rPr>
        <w:t>C. Nahon</w:t>
      </w:r>
      <w:r w:rsidRPr="00E72418">
        <w:t xml:space="preserve">, « The Growth of Debt and the Debt of Growth: Lessons from the Case of Argentina », </w:t>
      </w:r>
      <w:r w:rsidRPr="00E72418">
        <w:rPr>
          <w:i/>
        </w:rPr>
        <w:t>op. cit.</w:t>
      </w:r>
      <w:r w:rsidRPr="00E72418">
        <w:t xml:space="preserve">, p. 102). Et, comme l’indiquent William Bratton et Mitu Gulati, « </w:t>
      </w:r>
      <w:r w:rsidRPr="00E72418">
        <w:rPr>
          <w:rFonts w:ascii="Times New Roman" w:hAnsi="Times New Roman" w:cs="Times New Roman"/>
        </w:rPr>
        <w:t>[s]</w:t>
      </w:r>
      <w:r w:rsidRPr="00E72418">
        <w:t xml:space="preserve">uch a heterogeneous group of creditors inevitably can be expected to hold heterogeneous views </w:t>
      </w:r>
      <w:r w:rsidRPr="00E72418">
        <w:rPr>
          <w:rFonts w:ascii="Times New Roman" w:hAnsi="Times New Roman" w:cs="Times New Roman"/>
        </w:rPr>
        <w:t>[…]</w:t>
      </w:r>
      <w:r w:rsidRPr="00E72418">
        <w:t xml:space="preserve"> » (W. </w:t>
      </w:r>
      <w:r w:rsidRPr="00E72418">
        <w:rPr>
          <w:rFonts w:cs="Times New Roman"/>
          <w:smallCaps/>
        </w:rPr>
        <w:t>Bratton</w:t>
      </w:r>
      <w:r w:rsidRPr="00E72418">
        <w:rPr>
          <w:rFonts w:cs="Times New Roman"/>
        </w:rPr>
        <w:t xml:space="preserve"> et M. </w:t>
      </w:r>
      <w:r w:rsidRPr="00E72418">
        <w:rPr>
          <w:rFonts w:cs="Times New Roman"/>
          <w:smallCaps/>
        </w:rPr>
        <w:t>Gulati</w:t>
      </w:r>
      <w:r w:rsidRPr="00E72418">
        <w:rPr>
          <w:rFonts w:cs="Times New Roman"/>
        </w:rPr>
        <w:t xml:space="preserve">, « Sovereign Debt Reform and the Best Interest of Creditors », </w:t>
      </w:r>
      <w:r w:rsidRPr="00E72418">
        <w:rPr>
          <w:rFonts w:cs="Times New Roman"/>
          <w:i/>
        </w:rPr>
        <w:t>Vand. Law Rev.</w:t>
      </w:r>
      <w:r w:rsidRPr="00E72418">
        <w:rPr>
          <w:rFonts w:cs="Times New Roman"/>
        </w:rPr>
        <w:t>, 2004, p. 20)</w:t>
      </w:r>
      <w:r w:rsidRPr="00E72418">
        <w:t xml:space="preserve"> puisque, comme le note Jérôme Sgard, « </w:t>
      </w:r>
      <w:r w:rsidRPr="00E72418">
        <w:rPr>
          <w:rFonts w:ascii="Times New Roman" w:hAnsi="Times New Roman" w:cs="Times New Roman"/>
        </w:rPr>
        <w:t>[v]</w:t>
      </w:r>
      <w:r w:rsidRPr="00E72418">
        <w:t xml:space="preserve">arious classes of investors also respond to very different investment objectives, time horizons, regulatory and contractual constraints » (J. </w:t>
      </w:r>
      <w:r w:rsidRPr="00E72418">
        <w:rPr>
          <w:smallCaps/>
        </w:rPr>
        <w:t xml:space="preserve">Sgard, </w:t>
      </w:r>
      <w:r w:rsidRPr="00E72418">
        <w:t xml:space="preserve">« From A Multilateral Broker to the National Judge: The Law and Governance of Sovereign Debts Restructuring, 1980-2015 », in N. </w:t>
      </w:r>
      <w:r w:rsidRPr="00E72418">
        <w:rPr>
          <w:smallCaps/>
        </w:rPr>
        <w:t>Barreyre</w:t>
      </w:r>
      <w:r w:rsidRPr="00E72418">
        <w:t xml:space="preserve"> et N. </w:t>
      </w:r>
      <w:r w:rsidRPr="00E72418">
        <w:rPr>
          <w:smallCaps/>
        </w:rPr>
        <w:t>Delalande</w:t>
      </w:r>
      <w:r w:rsidRPr="00E72418">
        <w:t xml:space="preserve"> (éd.), </w:t>
      </w:r>
      <w:r w:rsidRPr="00E72418">
        <w:rPr>
          <w:i/>
        </w:rPr>
        <w:t>A World of Public Debt – A Political History</w:t>
      </w:r>
      <w:r w:rsidRPr="00E72418">
        <w:t>, Palgrave, 2020, p. 440).</w:t>
      </w:r>
    </w:p>
  </w:footnote>
  <w:footnote w:id="400">
    <w:p w14:paraId="350395E2" w14:textId="46DCE7FE" w:rsidR="0030147D" w:rsidRPr="00E72418" w:rsidRDefault="0030147D" w:rsidP="003F6C32">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caps/>
        </w:rPr>
        <w:t>à</w:t>
      </w:r>
      <w:r w:rsidRPr="00E72418">
        <w:t xml:space="preserve"> l’époque où le financement étatique se faisait essentiellement par le biais de consortiums de banques, un tel comportement était inenvisageable. Conscientes de ce qu’il en allait de l’intérêt de toutes qu’aucune action d’un créancier individuel ne soit entreprise, une « peer pressure » existait entre les banques (</w:t>
      </w:r>
      <w:r w:rsidRPr="00E72418">
        <w:rPr>
          <w:smallCaps/>
        </w:rPr>
        <w:t>C. Wheeler</w:t>
      </w:r>
      <w:r w:rsidRPr="00E72418">
        <w:t xml:space="preserve"> et </w:t>
      </w:r>
      <w:r w:rsidRPr="00E72418">
        <w:rPr>
          <w:smallCaps/>
        </w:rPr>
        <w:t>A. Attaran</w:t>
      </w:r>
      <w:r w:rsidRPr="00E72418">
        <w:t>, « </w:t>
      </w:r>
      <w:r w:rsidRPr="00E72418">
        <w:rPr>
          <w:lang w:val="en-US"/>
        </w:rPr>
        <w:t>Declawing the Vulture Funds: Rehabilitation of a Comity Defense in Sovereign Debt Litigation</w:t>
      </w:r>
      <w:r w:rsidRPr="00E72418">
        <w:t xml:space="preserve"> », </w:t>
      </w:r>
      <w:r w:rsidRPr="00E72418">
        <w:rPr>
          <w:rFonts w:ascii="Times New Roman" w:hAnsi="Times New Roman" w:cs="Times New Roman"/>
          <w:i/>
        </w:rPr>
        <w:t>Stan. J. Int. Law</w:t>
      </w:r>
      <w:r w:rsidRPr="00E72418">
        <w:t>, 2003, p. 260. Les auteurs notent également que parallèlement aux pressions des banques, le Fonds monétaire international et les banques centrales forçaient en quelque sorte les banques créancières à s’engager dans les processus de renégociation des dettes souveraines).</w:t>
      </w:r>
    </w:p>
  </w:footnote>
  <w:footnote w:id="401">
    <w:p w14:paraId="6599D052" w14:textId="16A472EA"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p. 39.</w:t>
      </w:r>
    </w:p>
  </w:footnote>
  <w:footnote w:id="402">
    <w:p w14:paraId="58D9D618" w14:textId="723983A2" w:rsidR="0030147D" w:rsidRPr="00E72418" w:rsidRDefault="0030147D" w:rsidP="003F6C32">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S. Goldman</w:t>
      </w:r>
      <w:r w:rsidRPr="00E72418">
        <w:t xml:space="preserve">, « Mavericks in the Market: The Emerging Problem of Hold-Outs in Sovereign Debt Restructuring », </w:t>
      </w:r>
      <w:r w:rsidRPr="00E72418">
        <w:rPr>
          <w:rFonts w:ascii="Times New Roman" w:hAnsi="Times New Roman" w:cs="Times New Roman"/>
          <w:i/>
        </w:rPr>
        <w:t>UCLA J. Int. Law &amp; Foreign Aff.</w:t>
      </w:r>
      <w:r w:rsidRPr="00E72418">
        <w:t>, 2000, p. 170.</w:t>
      </w:r>
    </w:p>
  </w:footnote>
  <w:footnote w:id="403">
    <w:p w14:paraId="57DC7A38" w14:textId="4204E1D7" w:rsidR="0030147D" w:rsidRPr="00E72418" w:rsidRDefault="0030147D" w:rsidP="00027450">
      <w:pPr>
        <w:pStyle w:val="Sansinterligne"/>
      </w:pPr>
      <w:r w:rsidRPr="00E72418">
        <w:rPr>
          <w:rStyle w:val="Appelnotedebasdep"/>
        </w:rPr>
        <w:footnoteRef/>
      </w:r>
      <w:r w:rsidRPr="00E72418">
        <w:t xml:space="preserve"> R. </w:t>
      </w:r>
      <w:r w:rsidRPr="00E72418">
        <w:rPr>
          <w:smallCaps/>
        </w:rPr>
        <w:t>Lastra</w:t>
      </w:r>
      <w:r w:rsidRPr="00E72418">
        <w:t xml:space="preserve">, </w:t>
      </w:r>
      <w:r w:rsidRPr="00E72418">
        <w:rPr>
          <w:i/>
        </w:rPr>
        <w:t>International Financial and Monetary Law</w:t>
      </w:r>
      <w:r w:rsidRPr="00E72418">
        <w:t>, 2</w:t>
      </w:r>
      <w:r w:rsidRPr="00E72418">
        <w:rPr>
          <w:vertAlign w:val="superscript"/>
        </w:rPr>
        <w:t>e</w:t>
      </w:r>
      <w:r w:rsidRPr="00E72418">
        <w:t xml:space="preserve"> éd., </w:t>
      </w:r>
      <w:r w:rsidRPr="00E72418">
        <w:rPr>
          <w:rFonts w:cs="Times New Roman"/>
          <w:szCs w:val="24"/>
          <w:lang w:val="en-US"/>
        </w:rPr>
        <w:t>Oxford University Press</w:t>
      </w:r>
      <w:r w:rsidRPr="00E72418">
        <w:t>, 2015, p. 526.</w:t>
      </w:r>
    </w:p>
  </w:footnote>
  <w:footnote w:id="404">
    <w:p w14:paraId="37F73DAC" w14:textId="3EC3DA2C"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Notons toutefois que les créanciers refusant les restructurations ne sont pas toujours épris d’un dessein spéculatif. Il peut en effet s’agir d’épargnants ayant fait l’acquisition de dettes souveraines car convaincus de la robustesse de leurs débiteurs qui ne peuvent se permettre de concéder les réductions impliquées par la restructuration (</w:t>
      </w:r>
      <w:r w:rsidRPr="00E72418">
        <w:rPr>
          <w:smallCaps/>
          <w:szCs w:val="20"/>
        </w:rPr>
        <w:t>L. Buchheit</w:t>
      </w:r>
      <w:r w:rsidRPr="00E72418">
        <w:rPr>
          <w:szCs w:val="20"/>
        </w:rPr>
        <w:t xml:space="preserve"> et </w:t>
      </w:r>
      <w:r w:rsidRPr="00E72418">
        <w:rPr>
          <w:smallCaps/>
          <w:szCs w:val="20"/>
        </w:rPr>
        <w:t>E. Daly</w:t>
      </w:r>
      <w:r w:rsidRPr="00E72418">
        <w:rPr>
          <w:szCs w:val="20"/>
        </w:rPr>
        <w:t xml:space="preserve">, « Minimizing Holdout Creditors – Carrots », </w:t>
      </w:r>
      <w:r w:rsidRPr="00E72418">
        <w:rPr>
          <w:i/>
          <w:szCs w:val="20"/>
          <w:lang w:val="en-US"/>
        </w:rPr>
        <w:t>op. cit.</w:t>
      </w:r>
      <w:r w:rsidRPr="00E72418">
        <w:rPr>
          <w:szCs w:val="20"/>
        </w:rPr>
        <w:t>, p. 5). Notons toutefois que dans le cas d’investissements faits sur des pays en développement, l’argument est à relativiser en ce que, comme le note Matias Vernengo, « the interest payments and the short-term gains might be so large that most losses with debt rescheduling are covered anyway » (</w:t>
      </w:r>
      <w:r w:rsidRPr="00E72418">
        <w:rPr>
          <w:smallCaps/>
          <w:szCs w:val="20"/>
        </w:rPr>
        <w:t>M. Vernengo</w:t>
      </w:r>
      <w:r w:rsidRPr="00E72418">
        <w:rPr>
          <w:szCs w:val="20"/>
        </w:rPr>
        <w:t xml:space="preserve">, « Argentina, Vulture Funds, and the American Justice System », </w:t>
      </w:r>
      <w:r w:rsidRPr="00E72418">
        <w:rPr>
          <w:i/>
          <w:szCs w:val="20"/>
        </w:rPr>
        <w:t>op. cit.</w:t>
      </w:r>
      <w:r w:rsidRPr="00E72418">
        <w:rPr>
          <w:szCs w:val="20"/>
        </w:rPr>
        <w:t>, p. 52).</w:t>
      </w:r>
    </w:p>
  </w:footnote>
  <w:footnote w:id="405">
    <w:p w14:paraId="2305B8FE" w14:textId="0CC14593"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Imaginons pour l’exemple qu’un État dont les ressources équivalent à 150 émet de la dette auprès de cinq créanciers pour un total de 200. Bien que chaque créancier détient théoriquement un droit de 40 (200/5), la valeur de sa créance est de 30 (150/5) au regard des biens détenus par l’État. Imaginons qu’une restructuration de la dette souveraine permette que l’État aille mieux et qu’ainsi ses biens se trouvent accrus de X. Si les cinq créanciers participent à la restructuration, alors leur situation s’améliore. En effet, la restructuration de la dette aura permis que les biens de l’État équivalent à 150 + X. La valeur réelle de la créance de chaque créancier est alors de 30 + 1/5 X, laquelle est supérieure à celle antérieure à la restructuration. Si un créancier fait cavalier seul et refuse la restructuration, il tire un profit plus important. En effet, il réclame les 40 que représente sa créance, ce qui est supérieur à ce qu’il obtient en cas de restructuration si X est inférieur à 50 (exemple tiré de </w:t>
      </w:r>
      <w:r w:rsidRPr="00E72418">
        <w:rPr>
          <w:smallCaps/>
          <w:szCs w:val="20"/>
        </w:rPr>
        <w:t>C. Wheeler</w:t>
      </w:r>
      <w:r w:rsidRPr="00E72418">
        <w:rPr>
          <w:szCs w:val="20"/>
        </w:rPr>
        <w:t xml:space="preserve"> et </w:t>
      </w:r>
      <w:r w:rsidRPr="00E72418">
        <w:rPr>
          <w:smallCaps/>
          <w:szCs w:val="20"/>
        </w:rPr>
        <w:t>A. Attaran</w:t>
      </w:r>
      <w:r w:rsidRPr="00E72418">
        <w:rPr>
          <w:szCs w:val="20"/>
        </w:rPr>
        <w:t>, « </w:t>
      </w:r>
      <w:r w:rsidRPr="00E72418">
        <w:rPr>
          <w:szCs w:val="20"/>
          <w:lang w:val="en-US"/>
        </w:rPr>
        <w:t>Declawing the Vulture Funds: Rehabilitation of a Comity Defense in Sovereign Debt Litigation</w:t>
      </w:r>
      <w:r w:rsidRPr="00E72418">
        <w:rPr>
          <w:szCs w:val="20"/>
        </w:rPr>
        <w:t xml:space="preserve"> », </w:t>
      </w:r>
      <w:r w:rsidRPr="00E72418">
        <w:rPr>
          <w:i/>
          <w:szCs w:val="20"/>
        </w:rPr>
        <w:t>op. cit.</w:t>
      </w:r>
      <w:r w:rsidRPr="00E72418">
        <w:rPr>
          <w:szCs w:val="20"/>
        </w:rPr>
        <w:t>, p. 259. Le propos est inexact si X est supérieur à 50 mais considérons pour l’exemple que la restructuration envisagée ne saurait conduire à une amélioration si importante de la situation de l’État débiteur).</w:t>
      </w:r>
    </w:p>
  </w:footnote>
  <w:footnote w:id="406">
    <w:p w14:paraId="2D96A305" w14:textId="242EC7EE" w:rsidR="0030147D" w:rsidRPr="00E72418" w:rsidRDefault="0030147D" w:rsidP="00120236">
      <w:pPr>
        <w:pStyle w:val="Sansinterligne"/>
      </w:pPr>
      <w:r w:rsidRPr="00E72418">
        <w:rPr>
          <w:rStyle w:val="Titre5Car"/>
          <w:rFonts w:ascii="Times" w:eastAsiaTheme="minorHAnsi" w:hAnsi="Times" w:cstheme="minorBidi"/>
          <w:color w:val="auto"/>
          <w:szCs w:val="20"/>
          <w:vertAlign w:val="superscript"/>
        </w:rPr>
        <w:footnoteRef/>
      </w:r>
      <w:r w:rsidRPr="00E72418">
        <w:rPr>
          <w:rStyle w:val="Titre7Car"/>
          <w:rFonts w:ascii="Times" w:eastAsiaTheme="minorHAnsi" w:hAnsi="Times" w:cstheme="minorBidi"/>
          <w:i w:val="0"/>
          <w:iCs w:val="0"/>
          <w:color w:val="auto"/>
          <w:szCs w:val="20"/>
          <w:lang w:val="en-US"/>
        </w:rPr>
        <w:t xml:space="preserve"> </w:t>
      </w:r>
      <w:r w:rsidRPr="00E72418">
        <w:rPr>
          <w:rStyle w:val="Titre7Car"/>
          <w:rFonts w:ascii="Times" w:eastAsiaTheme="minorHAnsi" w:hAnsi="Times" w:cstheme="minorBidi"/>
          <w:i w:val="0"/>
          <w:iCs w:val="0"/>
          <w:smallCaps/>
          <w:color w:val="auto"/>
          <w:szCs w:val="20"/>
          <w:lang w:val="en-US"/>
        </w:rPr>
        <w:t>J. Burress</w:t>
      </w:r>
      <w:r w:rsidRPr="00E72418">
        <w:rPr>
          <w:rStyle w:val="Titre7Car"/>
          <w:rFonts w:ascii="Times" w:eastAsiaTheme="minorHAnsi" w:hAnsi="Times" w:cstheme="minorBidi"/>
          <w:i w:val="0"/>
          <w:iCs w:val="0"/>
          <w:color w:val="auto"/>
          <w:szCs w:val="20"/>
          <w:lang w:val="en-US"/>
        </w:rPr>
        <w:t xml:space="preserve">, « Sovereign Disobedience: The Role of U.S. Courts in Curtailing the Proliferation of Sovereign Default », </w:t>
      </w:r>
      <w:r w:rsidRPr="00E72418">
        <w:rPr>
          <w:rStyle w:val="Titre7Car"/>
          <w:rFonts w:ascii="Times" w:eastAsiaTheme="minorHAnsi" w:hAnsi="Times" w:cstheme="minorBidi"/>
          <w:iCs w:val="0"/>
          <w:color w:val="auto"/>
          <w:szCs w:val="20"/>
          <w:lang w:val="en-US"/>
        </w:rPr>
        <w:t>op. cit.</w:t>
      </w:r>
      <w:r w:rsidRPr="00E72418">
        <w:rPr>
          <w:rStyle w:val="Titre7Car"/>
          <w:rFonts w:ascii="Times" w:eastAsiaTheme="minorHAnsi" w:hAnsi="Times" w:cstheme="minorBidi"/>
          <w:i w:val="0"/>
          <w:iCs w:val="0"/>
          <w:color w:val="auto"/>
          <w:szCs w:val="20"/>
          <w:lang w:val="en-US"/>
        </w:rPr>
        <w:t xml:space="preserve">, p. 272. Voyez encore </w:t>
      </w:r>
      <w:r w:rsidRPr="00E72418">
        <w:rPr>
          <w:szCs w:val="20"/>
          <w:lang w:val="en-US"/>
        </w:rPr>
        <w:t xml:space="preserve">L. </w:t>
      </w:r>
      <w:r w:rsidRPr="00E72418">
        <w:rPr>
          <w:rFonts w:cs="Times New Roman"/>
          <w:smallCaps/>
          <w:szCs w:val="24"/>
          <w:lang w:val="en-US"/>
        </w:rPr>
        <w:t xml:space="preserve">Buchheit </w:t>
      </w:r>
      <w:r w:rsidRPr="00E72418">
        <w:rPr>
          <w:rFonts w:cs="Times New Roman"/>
          <w:szCs w:val="24"/>
          <w:lang w:val="en-US"/>
        </w:rPr>
        <w:t>et</w:t>
      </w:r>
      <w:r w:rsidRPr="00E72418">
        <w:rPr>
          <w:rFonts w:cs="Times New Roman"/>
          <w:smallCaps/>
          <w:szCs w:val="24"/>
          <w:lang w:val="en-US"/>
        </w:rPr>
        <w:t xml:space="preserve"> M. Gulati, </w:t>
      </w:r>
      <w:r w:rsidRPr="00E72418">
        <w:rPr>
          <w:rFonts w:cs="Times New Roman"/>
          <w:szCs w:val="24"/>
          <w:lang w:val="en-US"/>
        </w:rPr>
        <w:t xml:space="preserve">« Exit Consents in Sovereign Bond Exchanges », </w:t>
      </w:r>
      <w:r w:rsidRPr="00E72418">
        <w:rPr>
          <w:rFonts w:cs="Times New Roman"/>
          <w:i/>
          <w:szCs w:val="24"/>
          <w:lang w:val="en-US"/>
        </w:rPr>
        <w:t>UCLA Law Rev.</w:t>
      </w:r>
      <w:r w:rsidRPr="00E72418">
        <w:rPr>
          <w:rFonts w:cs="Times New Roman"/>
          <w:szCs w:val="24"/>
          <w:lang w:val="en-US"/>
        </w:rPr>
        <w:t xml:space="preserve">, 2000, p. 59 </w:t>
      </w:r>
      <w:r w:rsidRPr="00E72418">
        <w:rPr>
          <w:rStyle w:val="Titre7Car"/>
          <w:rFonts w:ascii="Times" w:eastAsiaTheme="minorHAnsi" w:hAnsi="Times" w:cstheme="minorBidi"/>
          <w:i w:val="0"/>
          <w:iCs w:val="0"/>
          <w:color w:val="auto"/>
          <w:szCs w:val="20"/>
          <w:lang w:val="en-US"/>
        </w:rPr>
        <w:t xml:space="preserve">: « </w:t>
      </w:r>
      <w:r w:rsidRPr="00E72418">
        <w:t xml:space="preserve">[h]oldouts pose a litigation threat to the sovereign and may even jeopardize the sovereign’s ability to service the new bonds it has issued to the other creditors participating in the exchange </w:t>
      </w:r>
      <w:r w:rsidRPr="00E72418">
        <w:rPr>
          <w:rStyle w:val="Titre7Car"/>
          <w:rFonts w:ascii="Times" w:eastAsiaTheme="minorHAnsi" w:hAnsi="Times" w:cstheme="minorBidi"/>
          <w:i w:val="0"/>
          <w:iCs w:val="0"/>
          <w:color w:val="auto"/>
          <w:szCs w:val="20"/>
          <w:lang w:val="en-US"/>
        </w:rPr>
        <w:t>».</w:t>
      </w:r>
    </w:p>
  </w:footnote>
  <w:footnote w:id="407">
    <w:p w14:paraId="0F18EE7E" w14:textId="234AD26F" w:rsidR="0030147D" w:rsidRPr="00E72418" w:rsidRDefault="0030147D" w:rsidP="0011623A">
      <w:pPr>
        <w:pStyle w:val="Sansinterligne"/>
      </w:pPr>
      <w:r w:rsidRPr="00E72418">
        <w:rPr>
          <w:rStyle w:val="Appelnotedebasdep"/>
        </w:rPr>
        <w:footnoteRef/>
      </w:r>
      <w:r w:rsidRPr="00E72418">
        <w:t xml:space="preserve"> D. </w:t>
      </w:r>
      <w:r w:rsidRPr="00E72418">
        <w:rPr>
          <w:smallCaps/>
        </w:rPr>
        <w:t xml:space="preserve">Brutti, </w:t>
      </w:r>
      <w:r w:rsidRPr="00E72418">
        <w:t xml:space="preserve">« Sovereign debt crises and vulture hedge funds: issues and policy solutions », </w:t>
      </w:r>
      <w:r w:rsidRPr="00E72418">
        <w:rPr>
          <w:i/>
        </w:rPr>
        <w:t>op. cit.</w:t>
      </w:r>
      <w:r w:rsidRPr="00E72418">
        <w:t>, p. 1837.</w:t>
      </w:r>
    </w:p>
  </w:footnote>
  <w:footnote w:id="408">
    <w:p w14:paraId="06F8B9E2" w14:textId="0B2868E2"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xml:space="preserve">, p. 5. </w:t>
      </w:r>
      <w:r w:rsidRPr="00E72418">
        <w:rPr>
          <w:szCs w:val="20"/>
        </w:rPr>
        <w:t xml:space="preserve">Dans leur contribution, les auteurs donnent différentes « carottes » pouvant être utilisées par le débiteur souverain afin d’encourager les créanciers à accepter la restructuration. </w:t>
      </w:r>
      <w:r w:rsidRPr="00E72418">
        <w:rPr>
          <w:szCs w:val="20"/>
          <w:lang w:val="en-US"/>
        </w:rPr>
        <w:t>S’agissant des créanciers récalcitrants ayant fait l’acquisition de titres souverains sur le marché secondaire à des fins spéculatives, objets de notre étude, Lee Buchheit et Elena Daly sont toutefois lucides quant au fait qu’ « a creditor who acquired the underlying paper with the express intention of staying out of the deal and pursuing a preferential recovery at the sharp end of a litigation is unlikely to be dissuaded from this path by the presence of those inducements » (</w:t>
      </w:r>
      <w:r w:rsidRPr="00E72418">
        <w:rPr>
          <w:i/>
          <w:szCs w:val="20"/>
          <w:lang w:val="en-US"/>
        </w:rPr>
        <w:t>ibid.</w:t>
      </w:r>
      <w:r w:rsidRPr="00E72418">
        <w:rPr>
          <w:szCs w:val="20"/>
          <w:lang w:val="en-US"/>
        </w:rPr>
        <w:t>, p. 12).</w:t>
      </w:r>
    </w:p>
  </w:footnote>
  <w:footnote w:id="409">
    <w:p w14:paraId="0EFFB605" w14:textId="3B35F096" w:rsidR="0030147D" w:rsidRPr="00E72418" w:rsidRDefault="0030147D" w:rsidP="007C57EF">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Sticks », </w:t>
      </w:r>
      <w:r w:rsidRPr="00E72418">
        <w:rPr>
          <w:i/>
          <w:szCs w:val="20"/>
          <w:lang w:val="en-US"/>
        </w:rPr>
        <w:t>op. cit.</w:t>
      </w:r>
      <w:r w:rsidRPr="00E72418">
        <w:rPr>
          <w:szCs w:val="20"/>
          <w:lang w:val="en-US"/>
        </w:rPr>
        <w:t>, p. 18.</w:t>
      </w:r>
    </w:p>
  </w:footnote>
  <w:footnote w:id="410">
    <w:p w14:paraId="02F6AA06" w14:textId="49F4F906"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Sur ces clauses,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282 et suiv.</w:t>
      </w:r>
    </w:p>
  </w:footnote>
  <w:footnote w:id="411">
    <w:p w14:paraId="624ECB53" w14:textId="7626EBA9" w:rsidR="0030147D" w:rsidRPr="00E72418" w:rsidRDefault="0030147D" w:rsidP="00604229">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Udaibir </w:t>
      </w:r>
      <w:r w:rsidRPr="00E72418">
        <w:rPr>
          <w:rFonts w:ascii="Times New Roman" w:hAnsi="Times New Roman" w:cs="Times New Roman"/>
        </w:rPr>
        <w:t xml:space="preserve">Das </w:t>
      </w:r>
      <w:r w:rsidRPr="00E72418">
        <w:rPr>
          <w:rFonts w:ascii="Times New Roman" w:hAnsi="Times New Roman" w:cs="Times New Roman"/>
          <w:i/>
        </w:rPr>
        <w:t>et al.</w:t>
      </w:r>
      <w:r w:rsidRPr="00E72418">
        <w:rPr>
          <w:rFonts w:ascii="Times New Roman" w:hAnsi="Times New Roman" w:cs="Times New Roman"/>
        </w:rPr>
        <w:t xml:space="preserve"> </w:t>
      </w:r>
      <w:r w:rsidRPr="00E72418">
        <w:t>notent néanmoins au sujet des créanciers récalcitrants que « </w:t>
      </w:r>
      <w:r w:rsidRPr="00E72418">
        <w:rPr>
          <w:szCs w:val="20"/>
          <w:lang w:val="en-US"/>
        </w:rPr>
        <w:t>[t]</w:t>
      </w:r>
      <w:r w:rsidRPr="00E72418">
        <w:t>hey are now widely regarded as a main obstacle to sovereign debt restructurings and debt relief initiatives in low-income countries » (</w:t>
      </w:r>
      <w:r w:rsidRPr="00E72418">
        <w:rPr>
          <w:smallCaps/>
          <w:szCs w:val="20"/>
          <w:lang w:val="en-US"/>
        </w:rPr>
        <w:t>U. Das, M. Papaioannou</w:t>
      </w:r>
      <w:r w:rsidRPr="00E72418">
        <w:rPr>
          <w:szCs w:val="20"/>
          <w:lang w:val="en-US"/>
        </w:rPr>
        <w:t xml:space="preserve"> et </w:t>
      </w:r>
      <w:r w:rsidRPr="00E72418">
        <w:rPr>
          <w:smallCaps/>
          <w:szCs w:val="20"/>
          <w:lang w:val="en-US"/>
        </w:rPr>
        <w:t>C. Trebesch</w:t>
      </w:r>
      <w:r w:rsidRPr="00E72418">
        <w:rPr>
          <w:szCs w:val="20"/>
          <w:lang w:val="en-US"/>
        </w:rPr>
        <w:t xml:space="preserve">, « Sovereign Debt Restructurings 1950 – 2010: Literature Survey, Data, and Stylized Facts », </w:t>
      </w:r>
      <w:r w:rsidRPr="00E72418">
        <w:rPr>
          <w:i/>
          <w:szCs w:val="20"/>
          <w:lang w:val="en-US"/>
        </w:rPr>
        <w:t>op. cit.</w:t>
      </w:r>
      <w:r w:rsidRPr="00E72418">
        <w:rPr>
          <w:szCs w:val="20"/>
          <w:lang w:val="en-US"/>
        </w:rPr>
        <w:t>, p. 50</w:t>
      </w:r>
      <w:r w:rsidRPr="00E72418">
        <w:t>).</w:t>
      </w:r>
    </w:p>
  </w:footnote>
  <w:footnote w:id="412">
    <w:p w14:paraId="4BE5513D" w14:textId="73E32E82" w:rsidR="0030147D" w:rsidRPr="00E72418" w:rsidRDefault="0030147D" w:rsidP="007C57EF">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Restructuring sovereign debt after </w:t>
      </w:r>
      <w:r w:rsidRPr="00E72418">
        <w:rPr>
          <w:i/>
          <w:szCs w:val="20"/>
          <w:lang w:val="en-US"/>
        </w:rPr>
        <w:t>NML v Argentina</w:t>
      </w:r>
      <w:r w:rsidRPr="00E72418">
        <w:rPr>
          <w:szCs w:val="20"/>
          <w:lang w:val="en-US"/>
        </w:rPr>
        <w:t xml:space="preserve"> », </w:t>
      </w:r>
      <w:r w:rsidRPr="00E72418">
        <w:rPr>
          <w:rFonts w:ascii="Times New Roman" w:hAnsi="Times New Roman" w:cs="Times New Roman"/>
          <w:i/>
          <w:szCs w:val="20"/>
        </w:rPr>
        <w:t>C.M.L.J.</w:t>
      </w:r>
      <w:r w:rsidRPr="00E72418">
        <w:rPr>
          <w:szCs w:val="20"/>
          <w:lang w:val="en-US"/>
        </w:rPr>
        <w:t xml:space="preserve">, 2017, p. 224. </w:t>
      </w:r>
      <w:r w:rsidRPr="00E72418">
        <w:rPr>
          <w:szCs w:val="20"/>
        </w:rPr>
        <w:t xml:space="preserve">Les auteurs relèvent que cette situation classique est perturbée par la jurisprudence étatsunienne relative à la clause </w:t>
      </w:r>
      <w:r w:rsidRPr="00E72418">
        <w:rPr>
          <w:i/>
          <w:szCs w:val="20"/>
        </w:rPr>
        <w:t>pari passu</w:t>
      </w:r>
      <w:r w:rsidRPr="00E72418">
        <w:rPr>
          <w:szCs w:val="20"/>
        </w:rPr>
        <w:t xml:space="preserve"> et à l’injonction à laquelle elle donna lieu dans le cadre du contentieux argentin (sur cette clause, son interprétation étatsunienne et ses conséquences,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173 et suiv.).</w:t>
      </w:r>
    </w:p>
  </w:footnote>
  <w:footnote w:id="413">
    <w:p w14:paraId="376A7FAF" w14:textId="725ECE1D" w:rsidR="0030147D" w:rsidRPr="00E72418" w:rsidRDefault="0030147D" w:rsidP="00E32F89">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R. Olivares-Caminal</w:t>
      </w:r>
      <w:r w:rsidRPr="00E72418">
        <w:t xml:space="preserve">, « Sovereign debt defaults: Paradigms and challenges », </w:t>
      </w:r>
      <w:r w:rsidRPr="00E72418">
        <w:rPr>
          <w:rFonts w:ascii="Times New Roman" w:hAnsi="Times New Roman" w:cs="Times New Roman"/>
          <w:i/>
        </w:rPr>
        <w:t>J. Bank. Regul.</w:t>
      </w:r>
      <w:r w:rsidRPr="00E72418">
        <w:t>, 2010, p. 93.</w:t>
      </w:r>
    </w:p>
  </w:footnote>
  <w:footnote w:id="414">
    <w:p w14:paraId="079226C8" w14:textId="61B6ADBA" w:rsidR="0030147D" w:rsidRPr="00E72418" w:rsidRDefault="0030147D" w:rsidP="002C123A">
      <w:pPr>
        <w:pStyle w:val="Sansinterligne"/>
      </w:pPr>
      <w:r w:rsidRPr="00E72418">
        <w:rPr>
          <w:rStyle w:val="Appelnotedebasdep"/>
        </w:rPr>
        <w:footnoteRef/>
      </w:r>
      <w:r w:rsidRPr="00E72418">
        <w:t xml:space="preserve"> Sur l’importance de cette distinction dans le cadre de la réponse que l’on cherche à apporter à notre question de recherche, voyez </w:t>
      </w:r>
      <w:r w:rsidRPr="00E72418">
        <w:rPr>
          <w:i/>
        </w:rPr>
        <w:t>infra</w:t>
      </w:r>
      <w:r w:rsidRPr="00E72418">
        <w:t xml:space="preserve"> n°</w:t>
      </w:r>
      <w:r>
        <w:t xml:space="preserve"> 422</w:t>
      </w:r>
      <w:r w:rsidRPr="00E72418">
        <w:t>.</w:t>
      </w:r>
    </w:p>
  </w:footnote>
  <w:footnote w:id="415">
    <w:p w14:paraId="186DF3E8" w14:textId="22885BB3" w:rsidR="0030147D" w:rsidRPr="00E72418" w:rsidRDefault="0030147D" w:rsidP="006D1125">
      <w:pPr>
        <w:pStyle w:val="Sansinterligne"/>
      </w:pPr>
      <w:r w:rsidRPr="00E72418">
        <w:rPr>
          <w:rStyle w:val="Appelnotedebasdep"/>
        </w:rPr>
        <w:footnoteRef/>
      </w:r>
      <w:r w:rsidRPr="00E72418">
        <w:t xml:space="preserve"> G. </w:t>
      </w:r>
      <w:r w:rsidRPr="00E72418">
        <w:rPr>
          <w:smallCaps/>
        </w:rPr>
        <w:t>Van Hecke</w:t>
      </w:r>
      <w:r w:rsidRPr="00E72418">
        <w:t xml:space="preserve">, </w:t>
      </w:r>
      <w:r w:rsidRPr="00E72418">
        <w:rPr>
          <w:i/>
        </w:rPr>
        <w:t>Problèmes juridiques des emprunts internationaux</w:t>
      </w:r>
      <w:r w:rsidRPr="00E72418">
        <w:t>, 2</w:t>
      </w:r>
      <w:r w:rsidRPr="00E72418">
        <w:rPr>
          <w:vertAlign w:val="superscript"/>
        </w:rPr>
        <w:t>e</w:t>
      </w:r>
      <w:r w:rsidRPr="00E72418">
        <w:t xml:space="preserve"> éd., Brill, 1964, p. 302.</w:t>
      </w:r>
    </w:p>
  </w:footnote>
  <w:footnote w:id="416">
    <w:p w14:paraId="0BB123FC" w14:textId="55ED0CE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Parallèlement aux interventions visant à protéger leurs nationaux, des </w:t>
      </w:r>
      <w:r w:rsidRPr="00E72418">
        <w:rPr>
          <w:szCs w:val="20"/>
          <w:lang w:eastAsia="fr-BE"/>
        </w:rPr>
        <w:t>É</w:t>
      </w:r>
      <w:r w:rsidRPr="00E72418">
        <w:rPr>
          <w:szCs w:val="20"/>
        </w:rPr>
        <w:t xml:space="preserve">tats créanciers recoururent à différentes formes de solution coercitive afin de faire honorer des dettes bilatérales. C’est ainsi que, par exemple, les États-Unis d’Amérique mirent sous séquestre les administrations douanières de Saint-Domingue, du Nicaragua ou encore d’Haïti. Dans d’autres cas, des recettes fiscales furent saisies comme, par exemple, en 1881, avec la création d’une Administration de la dette ottomane, avec un conseil essentiellement composé de représentants des pays créanciers de l’Empire, ayant le pouvoir de saisir les revenus ottomans. Relevons que, dans certains cas, le contentieux de la dette étatique bilatérale donna lieu à des interventions militaires avec notamment l’exemple de celles menées en 1915 par les États-Unis contre Haïti (Voyez sur ces exemples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7)</w:t>
      </w:r>
      <w:r w:rsidRPr="00E72418">
        <w:rPr>
          <w:szCs w:val="20"/>
        </w:rPr>
        <w:t>.</w:t>
      </w:r>
    </w:p>
  </w:footnote>
  <w:footnote w:id="417">
    <w:p w14:paraId="25BE31FF" w14:textId="2FA1DBC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D. Bosco</w:t>
      </w:r>
      <w:r w:rsidRPr="00E72418">
        <w:rPr>
          <w:szCs w:val="20"/>
          <w:lang w:val="en-US"/>
        </w:rPr>
        <w:t xml:space="preserve">, « The Debt Frenzy », </w:t>
      </w:r>
      <w:r w:rsidRPr="00E72418">
        <w:rPr>
          <w:i/>
          <w:szCs w:val="20"/>
          <w:lang w:val="en-US"/>
        </w:rPr>
        <w:t>op. cit.</w:t>
      </w:r>
      <w:r w:rsidRPr="00E72418">
        <w:rPr>
          <w:szCs w:val="20"/>
          <w:lang w:val="en-US"/>
        </w:rPr>
        <w:t xml:space="preserve">, p. 40. </w:t>
      </w:r>
      <w:r w:rsidRPr="00E72418">
        <w:rPr>
          <w:szCs w:val="20"/>
        </w:rPr>
        <w:t>C’est ainsi que, par exemple, l’Allemagne, la Grande-Bretagne et la France opérèrent le blocus des ports du Venezuela afin de contraindre le pays de régler ses dettes souscrites auprès de certains de leurs ressortissants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10). Il est toutefois à noter que les interventions militaires n’étaient pas forcément liées aux seules défaillances sur les dettes souveraines et pouvaient, par exemple, se justifier par des conflits territoriaux ou d’autres problèmes (</w:t>
      </w:r>
      <w:r w:rsidRPr="00E72418">
        <w:rPr>
          <w:smallCaps/>
          <w:szCs w:val="20"/>
        </w:rPr>
        <w:t>M. Tomz</w:t>
      </w:r>
      <w:r w:rsidRPr="00E72418">
        <w:rPr>
          <w:szCs w:val="20"/>
        </w:rPr>
        <w:t xml:space="preserve">, </w:t>
      </w:r>
      <w:r w:rsidRPr="00E72418">
        <w:rPr>
          <w:i/>
          <w:szCs w:val="20"/>
        </w:rPr>
        <w:t>Reputation and International Cooperation: Sovereign Debt across Three Centuries</w:t>
      </w:r>
      <w:r w:rsidRPr="00E72418">
        <w:rPr>
          <w:szCs w:val="20"/>
        </w:rPr>
        <w:t xml:space="preserve">, Princetown University Press, 2007, p. 153. </w:t>
      </w:r>
      <w:r w:rsidRPr="00E72418">
        <w:rPr>
          <w:szCs w:val="20"/>
          <w:lang w:val="en-US"/>
        </w:rPr>
        <w:t>L’auteur explique même que « the famous intervention against Venezuela in 1902 was a tort case, not a bondholder war ».)</w:t>
      </w:r>
    </w:p>
  </w:footnote>
  <w:footnote w:id="418">
    <w:p w14:paraId="0C90C700" w14:textId="3E70DB60"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Alexander Hamilton aurait indiqué que : « [c]ontracts between a nation and private individuals are obligatory according to the conscience of the sovereign, and may not be the object of compelling force. […] They confer no right of action contrary to the sovereign will » (citation reprise in Lettre de Luis Drago à Martin Garcia Mérou </w:t>
      </w:r>
      <w:r>
        <w:rPr>
          <w:szCs w:val="20"/>
          <w:lang w:val="en-US"/>
        </w:rPr>
        <w:t xml:space="preserve">quant à elle </w:t>
      </w:r>
      <w:r w:rsidRPr="00E72418">
        <w:rPr>
          <w:szCs w:val="20"/>
          <w:lang w:val="en-US"/>
        </w:rPr>
        <w:t xml:space="preserve">reproduite in </w:t>
      </w:r>
      <w:r w:rsidRPr="00E72418">
        <w:rPr>
          <w:smallCaps/>
          <w:szCs w:val="20"/>
          <w:lang w:val="en-US"/>
        </w:rPr>
        <w:t>J. Taffet</w:t>
      </w:r>
      <w:r w:rsidRPr="00E72418">
        <w:rPr>
          <w:szCs w:val="20"/>
          <w:lang w:val="en-US"/>
        </w:rPr>
        <w:t xml:space="preserve"> et </w:t>
      </w:r>
      <w:r w:rsidRPr="00E72418">
        <w:rPr>
          <w:smallCaps/>
          <w:szCs w:val="20"/>
          <w:lang w:val="en-US"/>
        </w:rPr>
        <w:t>D. Walcher</w:t>
      </w:r>
      <w:r w:rsidRPr="00E72418">
        <w:rPr>
          <w:szCs w:val="20"/>
          <w:lang w:val="en-US"/>
        </w:rPr>
        <w:t xml:space="preserve">, </w:t>
      </w:r>
      <w:r w:rsidRPr="00E72418">
        <w:rPr>
          <w:i/>
          <w:szCs w:val="20"/>
          <w:lang w:val="en-US"/>
        </w:rPr>
        <w:t>The United States and Latin America: A History with Documents</w:t>
      </w:r>
      <w:r w:rsidRPr="00E72418">
        <w:rPr>
          <w:szCs w:val="20"/>
          <w:lang w:val="en-US"/>
        </w:rPr>
        <w:t>, Routledge, 2017, p. 166). Outre cette condamnation de principe, il est des arguments économiques plaidant pour l’abandon de l’usage de la force comme le notent Carmen Reinhart et Kenneth Rogoff : « [t]he cost-benefit analysis simply does not warrant governments’ undertaking such huge expenses and risks » (</w:t>
      </w:r>
      <w:r w:rsidRPr="00E72418">
        <w:rPr>
          <w:smallCaps/>
          <w:szCs w:val="20"/>
        </w:rPr>
        <w:t>C. Reinhart</w:t>
      </w:r>
      <w:r w:rsidRPr="00E72418">
        <w:rPr>
          <w:szCs w:val="20"/>
        </w:rPr>
        <w:t xml:space="preserve"> et </w:t>
      </w:r>
      <w:r w:rsidRPr="00E72418">
        <w:rPr>
          <w:smallCaps/>
          <w:szCs w:val="20"/>
        </w:rPr>
        <w:t>K. Rogoff</w:t>
      </w:r>
      <w:r w:rsidRPr="00E72418">
        <w:rPr>
          <w:szCs w:val="20"/>
        </w:rPr>
        <w:t>, </w:t>
      </w:r>
      <w:r w:rsidRPr="00E72418">
        <w:rPr>
          <w:i/>
          <w:szCs w:val="20"/>
        </w:rPr>
        <w:t>This Time is Different – Eight Centuries of Financial Folly</w:t>
      </w:r>
      <w:r w:rsidRPr="00E72418">
        <w:rPr>
          <w:szCs w:val="20"/>
        </w:rPr>
        <w:t xml:space="preserve">, </w:t>
      </w:r>
      <w:r w:rsidRPr="00E72418">
        <w:rPr>
          <w:i/>
          <w:szCs w:val="20"/>
        </w:rPr>
        <w:t>op. cit.</w:t>
      </w:r>
      <w:r w:rsidRPr="00E72418">
        <w:rPr>
          <w:szCs w:val="20"/>
        </w:rPr>
        <w:t>, pp. 54 et 55</w:t>
      </w:r>
      <w:r w:rsidRPr="00E72418">
        <w:rPr>
          <w:szCs w:val="20"/>
          <w:lang w:val="en-US"/>
        </w:rPr>
        <w:t xml:space="preserve">). </w:t>
      </w:r>
    </w:p>
  </w:footnote>
  <w:footnote w:id="419">
    <w:p w14:paraId="292F09CB" w14:textId="4A5A6B71"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Sur la doctrine « Calvo », voyez A. </w:t>
      </w:r>
      <w:r w:rsidRPr="00E72418">
        <w:rPr>
          <w:rFonts w:cs="Times New Roman"/>
          <w:smallCaps/>
          <w:lang w:val="en-US"/>
        </w:rPr>
        <w:t xml:space="preserve">Hershey, </w:t>
      </w:r>
      <w:r w:rsidRPr="00E72418">
        <w:rPr>
          <w:rFonts w:cs="Times New Roman"/>
          <w:lang w:val="en-US"/>
        </w:rPr>
        <w:t xml:space="preserve">« The Calvo and Drago Doctrines », </w:t>
      </w:r>
      <w:r w:rsidRPr="00E72418">
        <w:rPr>
          <w:rFonts w:cs="Times New Roman"/>
          <w:i/>
          <w:lang w:val="en-US"/>
        </w:rPr>
        <w:t>A.J.I.L.</w:t>
      </w:r>
      <w:r w:rsidRPr="00E72418">
        <w:rPr>
          <w:rFonts w:cs="Times New Roman"/>
          <w:lang w:val="en-US"/>
        </w:rPr>
        <w:t>, 1907, pp. 26 à 45,</w:t>
      </w:r>
      <w:r w:rsidRPr="00E72418">
        <w:rPr>
          <w:szCs w:val="20"/>
          <w:lang w:val="en-US"/>
        </w:rPr>
        <w:t xml:space="preserve"> ici précisément pp. 26 et 27. </w:t>
      </w:r>
    </w:p>
  </w:footnote>
  <w:footnote w:id="420">
    <w:p w14:paraId="5503C43A" w14:textId="6D562E2D" w:rsidR="0030147D" w:rsidRPr="00E72418" w:rsidRDefault="0030147D" w:rsidP="00985C96">
      <w:pPr>
        <w:pStyle w:val="Sansinterligne"/>
        <w:rPr>
          <w:szCs w:val="20"/>
          <w:lang w:val="en-US"/>
        </w:rPr>
      </w:pPr>
      <w:r w:rsidRPr="00E72418">
        <w:rPr>
          <w:rStyle w:val="Appelnotedebasdep"/>
          <w:szCs w:val="20"/>
        </w:rPr>
        <w:footnoteRef/>
      </w:r>
      <w:r w:rsidRPr="00E72418">
        <w:rPr>
          <w:szCs w:val="20"/>
          <w:lang w:val="en-US"/>
        </w:rPr>
        <w:t xml:space="preserve"> Lettre de Luis Drago à Martin Garcia Mérou reproduite in </w:t>
      </w:r>
      <w:r w:rsidRPr="00E72418">
        <w:rPr>
          <w:smallCaps/>
          <w:szCs w:val="20"/>
          <w:lang w:val="en-US"/>
        </w:rPr>
        <w:t>J. Taffet</w:t>
      </w:r>
      <w:r w:rsidRPr="00E72418">
        <w:rPr>
          <w:szCs w:val="20"/>
          <w:lang w:val="en-US"/>
        </w:rPr>
        <w:t xml:space="preserve"> et </w:t>
      </w:r>
      <w:r w:rsidRPr="00E72418">
        <w:rPr>
          <w:smallCaps/>
          <w:szCs w:val="20"/>
          <w:lang w:val="en-US"/>
        </w:rPr>
        <w:t>D. Walcher</w:t>
      </w:r>
      <w:r w:rsidRPr="00E72418">
        <w:rPr>
          <w:szCs w:val="20"/>
          <w:lang w:val="en-US"/>
        </w:rPr>
        <w:t xml:space="preserve">, </w:t>
      </w:r>
      <w:r w:rsidRPr="00E72418">
        <w:rPr>
          <w:i/>
          <w:szCs w:val="20"/>
          <w:lang w:val="en-US"/>
        </w:rPr>
        <w:t>The United States and Latin America: A History with Documents</w:t>
      </w:r>
      <w:r w:rsidRPr="00E72418">
        <w:rPr>
          <w:szCs w:val="20"/>
          <w:lang w:val="en-US"/>
        </w:rPr>
        <w:t xml:space="preserve">, </w:t>
      </w:r>
      <w:r w:rsidRPr="00E72418">
        <w:rPr>
          <w:i/>
          <w:szCs w:val="20"/>
          <w:lang w:val="en-US"/>
        </w:rPr>
        <w:t>op. cit.</w:t>
      </w:r>
      <w:r w:rsidRPr="00E72418">
        <w:rPr>
          <w:szCs w:val="20"/>
          <w:lang w:val="en-US"/>
        </w:rPr>
        <w:t>, pp. 165 à 167.</w:t>
      </w:r>
    </w:p>
  </w:footnote>
  <w:footnote w:id="421">
    <w:p w14:paraId="4378D29A" w14:textId="3858993D"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Comme le notent Leentje Sourbron et Lode Vereeck, « [b]anks that would seek to free-ride by single-handedly settling with the defaulting state could be punished by exclusion from the syndicate and future lending »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xml:space="preserve">, p. 3). L’on peut retrouver dans les </w:t>
      </w:r>
      <w:r w:rsidRPr="00E72418">
        <w:rPr>
          <w:i/>
          <w:szCs w:val="20"/>
        </w:rPr>
        <w:t>syndicated loan contracts</w:t>
      </w:r>
      <w:r w:rsidRPr="00E72418">
        <w:rPr>
          <w:szCs w:val="20"/>
        </w:rPr>
        <w:t xml:space="preserve"> des clauses visant à décourager les actions individuelles telle les « sharing clauses » par lesquelles les créanciers conviennent de partager avec les autres membres du syndicat tout paiement obtenu, que ce soit par contentieux ou à la suite d’un accord (</w:t>
      </w:r>
      <w:r w:rsidRPr="00E72418">
        <w:t xml:space="preserve">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p. 87).</w:t>
      </w:r>
    </w:p>
  </w:footnote>
  <w:footnote w:id="422">
    <w:p w14:paraId="0D342F05" w14:textId="77E15B98"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105.</w:t>
      </w:r>
    </w:p>
  </w:footnote>
  <w:footnote w:id="423">
    <w:p w14:paraId="25FC9AD3" w14:textId="23C7DB29" w:rsidR="0030147D" w:rsidRPr="00E72418" w:rsidRDefault="0030147D" w:rsidP="007C57EF">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6. </w:t>
      </w:r>
      <w:r w:rsidRPr="00E72418">
        <w:rPr>
          <w:szCs w:val="20"/>
        </w:rPr>
        <w:t xml:space="preserve">La première affaire marquante fut celle introduite par </w:t>
      </w:r>
      <w:r w:rsidRPr="00E72418">
        <w:rPr>
          <w:i/>
          <w:szCs w:val="20"/>
        </w:rPr>
        <w:t>Allied Bank</w:t>
      </w:r>
      <w:r w:rsidRPr="00E72418">
        <w:rPr>
          <w:szCs w:val="20"/>
        </w:rPr>
        <w:t xml:space="preserve"> qui refusa de prendre part à la restructuration de la dette costaricienne. Sur cette affaire, voyez </w:t>
      </w:r>
      <w:r w:rsidRPr="00E72418">
        <w:rPr>
          <w:i/>
          <w:szCs w:val="20"/>
        </w:rPr>
        <w:t xml:space="preserve">infra </w:t>
      </w:r>
      <w:r w:rsidRPr="00E72418">
        <w:rPr>
          <w:szCs w:val="20"/>
        </w:rPr>
        <w:t>n° 239.</w:t>
      </w:r>
    </w:p>
  </w:footnote>
  <w:footnote w:id="424">
    <w:p w14:paraId="66CC597B" w14:textId="5BEBA6F9"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Si, dans les années 80, seulement cinq pour cent des restructurations de dettes souveraines donnaient lieu à contentieux, après l’an 2000, il était question de trente à cinquante pour cent (</w:t>
      </w:r>
      <w:r w:rsidRPr="00E72418">
        <w:rPr>
          <w:i/>
          <w:szCs w:val="20"/>
        </w:rPr>
        <w:t>ibid.</w:t>
      </w:r>
      <w:r w:rsidRPr="00E72418">
        <w:rPr>
          <w:szCs w:val="20"/>
        </w:rPr>
        <w:t>, p. 13. Bien que les chiffres puissent être relativisés en raison du fait que le nombre de défauts a décru avec le temps, il n’en demeure pas moins que la proportion de contentieux a cru).</w:t>
      </w:r>
    </w:p>
  </w:footnote>
  <w:footnote w:id="425">
    <w:p w14:paraId="4891B2CD" w14:textId="7D2079B1" w:rsidR="0030147D" w:rsidRPr="00E72418" w:rsidRDefault="0030147D" w:rsidP="007C57EF">
      <w:pPr>
        <w:pStyle w:val="Sansinterligne"/>
        <w:rPr>
          <w:szCs w:val="20"/>
          <w:lang w:val="en-US"/>
        </w:rPr>
      </w:pPr>
      <w:r w:rsidRPr="00E72418">
        <w:rPr>
          <w:szCs w:val="20"/>
          <w:vertAlign w:val="superscript"/>
        </w:rPr>
        <w:footnoteRef/>
      </w:r>
      <w:r w:rsidRPr="00E72418">
        <w:rPr>
          <w:szCs w:val="20"/>
          <w:lang w:val="en-US"/>
        </w:rPr>
        <w:t xml:space="preserve"> </w:t>
      </w:r>
      <w:r w:rsidRPr="00E72418">
        <w:rPr>
          <w:i/>
          <w:szCs w:val="20"/>
          <w:lang w:val="en-US"/>
        </w:rPr>
        <w:t>Ibid.</w:t>
      </w:r>
      <w:r w:rsidRPr="00E72418">
        <w:rPr>
          <w:szCs w:val="20"/>
          <w:lang w:val="en-US"/>
        </w:rPr>
        <w:t>, p. 1. Ces auteurs relèvent encore qu’ « [i]n relative terms […] the scope of litigation is largest for poor and small countries » (</w:t>
      </w:r>
      <w:r w:rsidRPr="00E72418">
        <w:rPr>
          <w:i/>
          <w:szCs w:val="20"/>
          <w:lang w:val="en-US"/>
        </w:rPr>
        <w:t>ibid.</w:t>
      </w:r>
      <w:r w:rsidRPr="00E72418">
        <w:rPr>
          <w:szCs w:val="20"/>
          <w:lang w:val="en-US"/>
        </w:rPr>
        <w:t>, p. 15).</w:t>
      </w:r>
    </w:p>
  </w:footnote>
  <w:footnote w:id="426">
    <w:p w14:paraId="18854AA0" w14:textId="25EB4CC6" w:rsidR="0030147D" w:rsidRPr="00E72418" w:rsidRDefault="0030147D" w:rsidP="00AC55E4">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Restructurer », </w:t>
      </w:r>
      <w:r w:rsidRPr="00E72418">
        <w:rPr>
          <w:i/>
          <w:szCs w:val="20"/>
        </w:rPr>
        <w:t>op. cit.</w:t>
      </w:r>
      <w:r w:rsidRPr="00E72418">
        <w:rPr>
          <w:szCs w:val="20"/>
        </w:rPr>
        <w:t>, p. 33. Delforge et Lemoine remarquent le statut souvent ambigu qu’est celui des États empruntant sur les marchés de capitaux expliquant que « (d’)un côté, afin d’obtenir la confiance des investisseurs, ces gouvernements consentent à renoncer à ce qui fait leur spécificité en tant qu’État – la capacité d’édicter la loi, l’immunité juridique d’un souverain – et tendent à se comporter, comme l’exige la structure de ces marchés, à la façon d’une entité commerciale parmi d’autres. De l’autre, et en l’état actuel de l’architecture juridique internationale, ces États acceptent d’être moins que des entités commerciales, puisqu’ils ne peuvent se placer sous la protection d’une procédure judiciaire »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p. 42).</w:t>
      </w:r>
    </w:p>
  </w:footnote>
  <w:footnote w:id="427">
    <w:p w14:paraId="4C8CA208" w14:textId="6C99A5F0" w:rsidR="0030147D" w:rsidRPr="00E72418" w:rsidRDefault="0030147D" w:rsidP="00AC55E4">
      <w:pPr>
        <w:pStyle w:val="Sansinterligne"/>
        <w:rPr>
          <w:szCs w:val="20"/>
        </w:rPr>
      </w:pPr>
      <w:r w:rsidRPr="00E72418">
        <w:rPr>
          <w:rStyle w:val="Appelnotedebasdep"/>
          <w:szCs w:val="20"/>
        </w:rPr>
        <w:footnoteRef/>
      </w:r>
      <w:r w:rsidRPr="00E72418">
        <w:rPr>
          <w:szCs w:val="20"/>
        </w:rPr>
        <w:t xml:space="preserve"> Sur la traduction de l’immunité relative dans le droit positif et la mobilisation de l’argument dans le cadre des conflits relatifs aux dettes souveraines,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200 et suiv.</w:t>
      </w:r>
    </w:p>
  </w:footnote>
  <w:footnote w:id="428">
    <w:p w14:paraId="4A30F8CD" w14:textId="14D484A4"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44.</w:t>
      </w:r>
    </w:p>
  </w:footnote>
  <w:footnote w:id="429">
    <w:p w14:paraId="53C5BFE4" w14:textId="0BE847BC"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xml:space="preserve">, n° 89. Les auteurs donnent, au sujet de la dette argentine, l’exemple du </w:t>
      </w:r>
      <w:r w:rsidRPr="00E72418">
        <w:rPr>
          <w:rStyle w:val="Titre4Car"/>
          <w:rFonts w:ascii="Times" w:eastAsiaTheme="minorHAnsi" w:hAnsi="Times" w:cstheme="minorBidi"/>
          <w:iCs w:val="0"/>
          <w:color w:val="auto"/>
          <w:szCs w:val="20"/>
        </w:rPr>
        <w:t>Fiscal Agency Agreement</w:t>
      </w:r>
      <w:r w:rsidRPr="00E72418">
        <w:rPr>
          <w:rStyle w:val="Titre4Car"/>
          <w:rFonts w:ascii="Times" w:eastAsiaTheme="minorHAnsi" w:hAnsi="Times" w:cstheme="minorBidi"/>
          <w:i w:val="0"/>
          <w:iCs w:val="0"/>
          <w:color w:val="auto"/>
          <w:szCs w:val="20"/>
        </w:rPr>
        <w:t xml:space="preserve"> de 1994. </w:t>
      </w:r>
      <w:r w:rsidRPr="00E72418">
        <w:rPr>
          <w:rStyle w:val="Titre4Car"/>
          <w:rFonts w:ascii="Times" w:eastAsiaTheme="minorHAnsi" w:hAnsi="Times" w:cstheme="minorBidi"/>
          <w:i w:val="0"/>
          <w:iCs w:val="0"/>
          <w:color w:val="auto"/>
          <w:szCs w:val="20"/>
          <w:lang w:val="en-US"/>
        </w:rPr>
        <w:t xml:space="preserve">Si l’on en étudie l’article 22, on peut y lire que </w:t>
      </w:r>
      <w:r w:rsidRPr="00E72418">
        <w:rPr>
          <w:szCs w:val="20"/>
          <w:lang w:val="en-US"/>
        </w:rPr>
        <w:t>sont compétentes « any state or federal court in The City of New York »</w:t>
      </w:r>
      <w:r w:rsidRPr="00E72418">
        <w:rPr>
          <w:rStyle w:val="Titre4Car"/>
          <w:rFonts w:ascii="Times" w:eastAsiaTheme="minorHAnsi" w:hAnsi="Times" w:cstheme="minorBidi"/>
          <w:i w:val="0"/>
          <w:iCs w:val="0"/>
          <w:color w:val="auto"/>
          <w:szCs w:val="20"/>
          <w:lang w:val="en-US"/>
        </w:rPr>
        <w:t xml:space="preserve"> mais encore que « </w:t>
      </w:r>
      <w:r w:rsidRPr="00E72418">
        <w:rPr>
          <w:szCs w:val="20"/>
          <w:lang w:val="en-US"/>
        </w:rPr>
        <w:t>[n]</w:t>
      </w:r>
      <w:r w:rsidRPr="00E72418">
        <w:rPr>
          <w:rStyle w:val="Titre4Car"/>
          <w:rFonts w:ascii="Times" w:eastAsiaTheme="minorHAnsi" w:hAnsi="Times" w:cstheme="minorBidi"/>
          <w:i w:val="0"/>
          <w:iCs w:val="0"/>
          <w:color w:val="auto"/>
          <w:szCs w:val="20"/>
          <w:lang w:val="en-US"/>
        </w:rPr>
        <w:t xml:space="preserve">otwithstanding the foregoing, any action arising out of or based on the Securities may be instituted by the holder of any Security in any competent court in the Republic of Argentina ». </w:t>
      </w:r>
      <w:r w:rsidRPr="00E72418">
        <w:rPr>
          <w:rStyle w:val="Titre4Car"/>
          <w:rFonts w:ascii="Times" w:eastAsiaTheme="minorHAnsi" w:hAnsi="Times" w:cstheme="minorBidi"/>
          <w:i w:val="0"/>
          <w:iCs w:val="0"/>
          <w:color w:val="auto"/>
          <w:szCs w:val="20"/>
        </w:rPr>
        <w:t xml:space="preserve">Sur ce </w:t>
      </w:r>
      <w:r w:rsidRPr="00E72418">
        <w:rPr>
          <w:rStyle w:val="Titre4Car"/>
          <w:rFonts w:ascii="Times" w:eastAsiaTheme="minorHAnsi" w:hAnsi="Times" w:cstheme="minorBidi"/>
          <w:iCs w:val="0"/>
          <w:color w:val="auto"/>
          <w:szCs w:val="20"/>
        </w:rPr>
        <w:t>Fiscal Agency Agreement</w:t>
      </w:r>
      <w:r w:rsidRPr="00E72418">
        <w:rPr>
          <w:rStyle w:val="Titre4Car"/>
          <w:rFonts w:ascii="Times" w:eastAsiaTheme="minorHAnsi" w:hAnsi="Times" w:cstheme="minorBidi"/>
          <w:i w:val="0"/>
          <w:iCs w:val="0"/>
          <w:color w:val="auto"/>
          <w:szCs w:val="20"/>
        </w:rPr>
        <w:t xml:space="preserve"> voyez </w:t>
      </w:r>
      <w:r w:rsidRPr="00E72418">
        <w:rPr>
          <w:rStyle w:val="Titre4Car"/>
          <w:rFonts w:ascii="Times" w:eastAsiaTheme="minorHAnsi" w:hAnsi="Times" w:cstheme="minorBidi"/>
          <w:iCs w:val="0"/>
          <w:color w:val="auto"/>
          <w:szCs w:val="20"/>
        </w:rPr>
        <w:t xml:space="preserve">infra </w:t>
      </w:r>
      <w:r w:rsidRPr="00E72418">
        <w:rPr>
          <w:rStyle w:val="Titre4Car"/>
          <w:rFonts w:ascii="Times" w:eastAsiaTheme="minorHAnsi" w:hAnsi="Times" w:cstheme="minorBidi"/>
          <w:i w:val="0"/>
          <w:iCs w:val="0"/>
          <w:color w:val="auto"/>
          <w:szCs w:val="20"/>
        </w:rPr>
        <w:t>n° 93.</w:t>
      </w:r>
    </w:p>
  </w:footnote>
  <w:footnote w:id="430">
    <w:p w14:paraId="14C4D724" w14:textId="02F7927A" w:rsidR="0030147D" w:rsidRPr="00E72418" w:rsidRDefault="0030147D" w:rsidP="0011623A">
      <w:pPr>
        <w:pStyle w:val="Sansinterligne"/>
      </w:pPr>
      <w:r w:rsidRPr="00E72418">
        <w:rPr>
          <w:rStyle w:val="Appelnotedebasdep"/>
        </w:rPr>
        <w:footnoteRef/>
      </w:r>
      <w:r w:rsidRPr="00E72418">
        <w:t xml:space="preserve"> Sur la question de la détermination de la compétence des tribunaux judiciaires nationaux en l’absence de clause attributive de juridiction, voyez notamment F. </w:t>
      </w:r>
      <w:r w:rsidRPr="00E72418">
        <w:rPr>
          <w:rFonts w:cs="Times New Roman"/>
          <w:smallCaps/>
          <w:szCs w:val="24"/>
          <w:shd w:val="clear" w:color="auto" w:fill="FFFFFF"/>
        </w:rPr>
        <w:t>Giansetto</w:t>
      </w:r>
      <w:r w:rsidRPr="00E72418">
        <w:rPr>
          <w:rFonts w:cs="Times New Roman"/>
          <w:szCs w:val="24"/>
          <w:shd w:val="clear" w:color="auto" w:fill="FFFFFF"/>
        </w:rPr>
        <w:t xml:space="preserve">, </w:t>
      </w:r>
      <w:r w:rsidRPr="00E72418">
        <w:rPr>
          <w:rFonts w:cs="Times New Roman"/>
          <w:i/>
          <w:szCs w:val="24"/>
          <w:shd w:val="clear" w:color="auto" w:fill="FFFFFF"/>
        </w:rPr>
        <w:t>Le traitement juridictionnel de l’insolvabilité de l’</w:t>
      </w:r>
      <w:r w:rsidRPr="00E72418">
        <w:rPr>
          <w:rFonts w:cs="Times New Roman"/>
          <w:i/>
          <w:szCs w:val="24"/>
        </w:rPr>
        <w:t>É</w:t>
      </w:r>
      <w:r w:rsidRPr="00E72418">
        <w:rPr>
          <w:rFonts w:cs="Times New Roman"/>
          <w:i/>
          <w:szCs w:val="24"/>
          <w:shd w:val="clear" w:color="auto" w:fill="FFFFFF"/>
        </w:rPr>
        <w:t>tat</w:t>
      </w:r>
      <w:r w:rsidRPr="00E72418">
        <w:rPr>
          <w:rFonts w:cs="Times New Roman"/>
          <w:szCs w:val="24"/>
          <w:shd w:val="clear" w:color="auto" w:fill="FFFFFF"/>
        </w:rPr>
        <w:t xml:space="preserve">, </w:t>
      </w:r>
      <w:r w:rsidRPr="00E72418">
        <w:rPr>
          <w:rFonts w:cs="Times New Roman"/>
          <w:i/>
          <w:szCs w:val="24"/>
          <w:shd w:val="clear" w:color="auto" w:fill="FFFFFF"/>
        </w:rPr>
        <w:t>op. cit.</w:t>
      </w:r>
      <w:r w:rsidRPr="00E72418">
        <w:rPr>
          <w:rFonts w:cs="Times New Roman"/>
          <w:szCs w:val="24"/>
          <w:shd w:val="clear" w:color="auto" w:fill="FFFFFF"/>
        </w:rPr>
        <w:t>, pp. 72 et suiv.</w:t>
      </w:r>
    </w:p>
  </w:footnote>
  <w:footnote w:id="431">
    <w:p w14:paraId="44B10030" w14:textId="5602CC26" w:rsidR="0030147D" w:rsidRPr="00E72418" w:rsidRDefault="0030147D" w:rsidP="00631BC8">
      <w:pPr>
        <w:pStyle w:val="Sansinterligne"/>
      </w:pPr>
      <w:r w:rsidRPr="00E72418">
        <w:rPr>
          <w:rStyle w:val="Appelnotedebasdep"/>
        </w:rPr>
        <w:footnoteRef/>
      </w:r>
      <w:r w:rsidRPr="00E72418">
        <w:t xml:space="preserve"> Sur les très rares clauses de non-élection de for disposant qu’aucune juridiction n’est compétente en cas de litige, voyez C. </w:t>
      </w:r>
      <w:r w:rsidRPr="00E72418">
        <w:rPr>
          <w:rFonts w:cs="Times New Roman"/>
          <w:smallCaps/>
          <w:szCs w:val="24"/>
          <w:shd w:val="clear" w:color="auto" w:fill="FFFFFF"/>
        </w:rPr>
        <w:t>Lequesne-Roth</w:t>
      </w:r>
      <w:r w:rsidRPr="00E72418">
        <w:rPr>
          <w:rFonts w:cs="Times New Roman"/>
          <w:szCs w:val="24"/>
          <w:shd w:val="clear" w:color="auto" w:fill="FFFFFF"/>
        </w:rPr>
        <w:t>,</w:t>
      </w:r>
      <w:r w:rsidRPr="00E72418">
        <w:rPr>
          <w:rStyle w:val="apple-converted-space"/>
          <w:rFonts w:cs="Times New Roman"/>
          <w:szCs w:val="24"/>
          <w:shd w:val="clear" w:color="auto" w:fill="FFFFFF"/>
        </w:rPr>
        <w:t xml:space="preserve"> </w:t>
      </w:r>
      <w:r w:rsidRPr="00E72418">
        <w:rPr>
          <w:rFonts w:cs="Times New Roman"/>
          <w:i/>
          <w:szCs w:val="24"/>
        </w:rPr>
        <w:t>Le régime contractuel de défaut des États débiteurs européens</w:t>
      </w:r>
      <w:r w:rsidRPr="00E72418">
        <w:rPr>
          <w:rFonts w:cs="Times New Roman"/>
          <w:szCs w:val="24"/>
        </w:rPr>
        <w:t>, L.G.D.J., 2018</w:t>
      </w:r>
      <w:r w:rsidRPr="00E72418">
        <w:t>, pp. 202 et 203.</w:t>
      </w:r>
    </w:p>
  </w:footnote>
  <w:footnote w:id="432">
    <w:p w14:paraId="4704878B" w14:textId="77777777" w:rsidR="0030147D" w:rsidRPr="00E72418" w:rsidRDefault="0030147D" w:rsidP="000D5E38">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576.</w:t>
      </w:r>
    </w:p>
  </w:footnote>
  <w:footnote w:id="433">
    <w:p w14:paraId="13D0B930" w14:textId="32AB7B3B" w:rsidR="0030147D" w:rsidRPr="00E72418" w:rsidRDefault="0030147D" w:rsidP="000D5E3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Comme l’indique Mallory Barr, « [t]hese forum states, while spectators to litigation, also want to attract other sovereigns to maintain their foreign resources in [their] reserve banks » et que « [l]ikewise, domestic banks in these forum states want to remain on favorable terms with foreign sovereign customers ». Aussi, relativement aux questions diplomatiques et précisément pour ce qui concerne les États-Unis dont les juridictions et le droit new-yorkais sont souvent désignés (voyez </w:t>
      </w:r>
      <w:r w:rsidRPr="00E72418">
        <w:rPr>
          <w:i/>
          <w:szCs w:val="20"/>
          <w:lang w:val="en-US"/>
        </w:rPr>
        <w:t>infra</w:t>
      </w:r>
      <w:r w:rsidRPr="00E72418">
        <w:rPr>
          <w:szCs w:val="20"/>
          <w:lang w:val="en-US"/>
        </w:rPr>
        <w:t xml:space="preserve"> n° 79), l’auteur remarque le difficile grand écart entre « the micro-level “protection” of their electorates’, </w:t>
      </w:r>
      <w:r w:rsidRPr="00E72418">
        <w:rPr>
          <w:i/>
          <w:szCs w:val="20"/>
          <w:lang w:val="en-US"/>
        </w:rPr>
        <w:t>i.e.</w:t>
      </w:r>
      <w:r w:rsidRPr="00E72418">
        <w:rPr>
          <w:szCs w:val="20"/>
          <w:lang w:val="en-US"/>
        </w:rPr>
        <w:t>, the vulture funds’ interests and the macro-level preservation of favorable diplomatic relationships » même si « the U.S. government is not inclined to side with a private investment firm against a sovereign if it would jeopardize international relations » (</w:t>
      </w:r>
      <w:r w:rsidRPr="00E72418">
        <w:rPr>
          <w:i/>
          <w:szCs w:val="20"/>
          <w:lang w:val="en-US"/>
        </w:rPr>
        <w:t>ibid.</w:t>
      </w:r>
      <w:r w:rsidRPr="00E72418">
        <w:rPr>
          <w:szCs w:val="20"/>
          <w:lang w:val="en-US"/>
        </w:rPr>
        <w:t xml:space="preserve">, pp. 575 et 579). </w:t>
      </w:r>
      <w:r w:rsidRPr="00E72418">
        <w:rPr>
          <w:szCs w:val="20"/>
        </w:rPr>
        <w:t xml:space="preserve">Cette attitude du Gouvernement étatsunien explique qu’il se soit souvent rangé du côté des débiteurs dans les contentieux en introduisant notamment des </w:t>
      </w:r>
      <w:r w:rsidRPr="00E72418">
        <w:rPr>
          <w:i/>
          <w:szCs w:val="20"/>
        </w:rPr>
        <w:t>amicus briefs</w:t>
      </w:r>
      <w:r w:rsidRPr="00E72418">
        <w:rPr>
          <w:szCs w:val="20"/>
        </w:rPr>
        <w:t xml:space="preserve"> défendant leur position (</w:t>
      </w:r>
      <w:r w:rsidRPr="00E72418">
        <w:rPr>
          <w:i/>
          <w:szCs w:val="20"/>
        </w:rPr>
        <w:t>ibid.</w:t>
      </w:r>
      <w:r w:rsidRPr="00E72418">
        <w:rPr>
          <w:szCs w:val="20"/>
        </w:rPr>
        <w:t>, p. 576).</w:t>
      </w:r>
    </w:p>
  </w:footnote>
  <w:footnote w:id="434">
    <w:p w14:paraId="3BAB7633" w14:textId="34282C7E"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4.</w:t>
      </w:r>
    </w:p>
  </w:footnote>
  <w:footnote w:id="435">
    <w:p w14:paraId="65DEF210" w14:textId="754A7B88" w:rsidR="0030147D" w:rsidRPr="00E72418" w:rsidRDefault="0030147D" w:rsidP="000D5E38">
      <w:pPr>
        <w:pStyle w:val="Sansinterligne"/>
      </w:pPr>
      <w:r w:rsidRPr="00E72418">
        <w:rPr>
          <w:rStyle w:val="Appelnotedebasdep"/>
        </w:rPr>
        <w:footnoteRef/>
      </w:r>
      <w:r w:rsidRPr="00E72418">
        <w:t xml:space="preserve">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61.</w:t>
      </w:r>
    </w:p>
  </w:footnote>
  <w:footnote w:id="436">
    <w:p w14:paraId="22B0A75F" w14:textId="761F1F54" w:rsidR="0030147D" w:rsidRPr="00E72418" w:rsidRDefault="0030147D" w:rsidP="00845586">
      <w:pPr>
        <w:pStyle w:val="Sansinterligne"/>
      </w:pPr>
      <w:r w:rsidRPr="00E72418">
        <w:rPr>
          <w:rStyle w:val="Appelnotedebasdep"/>
        </w:rPr>
        <w:footnoteRef/>
      </w:r>
      <w:r w:rsidRPr="00E72418">
        <w:t xml:space="preserve"> C’est précisément la conclusion de la thèse de Fanny Giansetto (F. </w:t>
      </w:r>
      <w:r w:rsidRPr="00E72418">
        <w:rPr>
          <w:smallCaps/>
        </w:rPr>
        <w:t>Giansetto</w:t>
      </w:r>
      <w:r w:rsidRPr="00E72418">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i/>
          <w:shd w:val="clear" w:color="auto" w:fill="FFFFFF"/>
        </w:rPr>
        <w:t>op. cit.</w:t>
      </w:r>
      <w:r w:rsidRPr="00E72418">
        <w:rPr>
          <w:shd w:val="clear" w:color="auto" w:fill="FFFFFF"/>
        </w:rPr>
        <w:t>, p. 421</w:t>
      </w:r>
      <w:r w:rsidRPr="00E72418">
        <w:t xml:space="preserve">). Voyez </w:t>
      </w:r>
      <w:r w:rsidRPr="00E72418">
        <w:rPr>
          <w:i/>
        </w:rPr>
        <w:t>infra</w:t>
      </w:r>
      <w:r w:rsidRPr="00E72418">
        <w:t xml:space="preserve"> n</w:t>
      </w:r>
      <w:r w:rsidRPr="00E72418">
        <w:rPr>
          <w:vertAlign w:val="superscript"/>
        </w:rPr>
        <w:t>os</w:t>
      </w:r>
      <w:r w:rsidRPr="00E72418">
        <w:t xml:space="preserve"> 274 et suiv. les tentatives en ce sens, infructueuses à ce jour.</w:t>
      </w:r>
    </w:p>
  </w:footnote>
  <w:footnote w:id="437">
    <w:p w14:paraId="77E1BC61" w14:textId="75712C1C" w:rsidR="0030147D" w:rsidRPr="00E72418" w:rsidRDefault="0030147D" w:rsidP="00B929D2">
      <w:pPr>
        <w:pStyle w:val="Sansinterligne"/>
        <w:rPr>
          <w:rFonts w:ascii="Times New Roman" w:hAnsi="Times New Roman" w:cs="Times New Roman"/>
          <w:szCs w:val="20"/>
          <w:shd w:val="clear" w:color="auto" w:fill="FFFFFF"/>
        </w:rPr>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21 et 22. Comme le note Laura Alfaro, « sovereigns are incentivized to repay debt governed by foreign law because creditors holding such debt have legal recourse through litigation » (L. </w:t>
      </w:r>
      <w:r w:rsidRPr="00E72418">
        <w:rPr>
          <w:rFonts w:cs="Times New Roman"/>
          <w:smallCaps/>
          <w:szCs w:val="24"/>
          <w:lang w:val="en-US"/>
        </w:rPr>
        <w:t xml:space="preserve">Alfaro, </w:t>
      </w:r>
      <w:r w:rsidRPr="00E72418">
        <w:rPr>
          <w:rFonts w:cs="Times New Roman"/>
          <w:szCs w:val="24"/>
          <w:lang w:val="en-US"/>
        </w:rPr>
        <w:t xml:space="preserve">« </w:t>
      </w:r>
      <w:r w:rsidRPr="00E72418">
        <w:rPr>
          <w:lang w:val="en-US"/>
        </w:rPr>
        <w:t xml:space="preserve">Sovereign Debt Restructuring: Evaluating the Impact of the Argentina Ruling </w:t>
      </w:r>
      <w:r w:rsidRPr="00E72418">
        <w:rPr>
          <w:rFonts w:cs="Times New Roman"/>
          <w:szCs w:val="24"/>
          <w:lang w:val="en-US"/>
        </w:rPr>
        <w:t xml:space="preserve">», </w:t>
      </w:r>
      <w:r w:rsidRPr="00E72418">
        <w:rPr>
          <w:rFonts w:ascii="Times New Roman" w:hAnsi="Times New Roman" w:cs="Times New Roman"/>
          <w:i/>
          <w:szCs w:val="20"/>
          <w:shd w:val="clear" w:color="auto" w:fill="FFFFFF"/>
        </w:rPr>
        <w:t>Harv. Bus. Law Rev.</w:t>
      </w:r>
      <w:r w:rsidRPr="00E72418">
        <w:rPr>
          <w:rFonts w:cs="Times New Roman"/>
          <w:szCs w:val="24"/>
          <w:lang w:val="en-US"/>
        </w:rPr>
        <w:t>, 2015, p. 58</w:t>
      </w:r>
      <w:r w:rsidRPr="00E72418">
        <w:t>).</w:t>
      </w:r>
    </w:p>
  </w:footnote>
  <w:footnote w:id="438">
    <w:p w14:paraId="3183A6F7" w14:textId="719B65E4" w:rsidR="0030147D" w:rsidRPr="00E72418" w:rsidRDefault="0030147D" w:rsidP="00BA0D9D">
      <w:pPr>
        <w:pStyle w:val="Sansinterligne"/>
      </w:pPr>
      <w:r w:rsidRPr="00E72418">
        <w:rPr>
          <w:rStyle w:val="Appelnotedebasdep"/>
        </w:rPr>
        <w:footnoteRef/>
      </w:r>
      <w:r w:rsidRPr="00E72418">
        <w:t xml:space="preserve"> Voyez </w:t>
      </w:r>
      <w:r w:rsidR="00334DB1">
        <w:rPr>
          <w:i/>
        </w:rPr>
        <w:t>supra</w:t>
      </w:r>
      <w:r w:rsidRPr="00E72418">
        <w:t xml:space="preserve"> n° 72.</w:t>
      </w:r>
    </w:p>
  </w:footnote>
  <w:footnote w:id="439">
    <w:p w14:paraId="11FCC8EA" w14:textId="32DFDEDC" w:rsidR="0030147D" w:rsidRPr="00E72418" w:rsidRDefault="0030147D" w:rsidP="00BA0D9D">
      <w:pPr>
        <w:pStyle w:val="Sansinterligne"/>
      </w:pPr>
      <w:r w:rsidRPr="00E72418">
        <w:rPr>
          <w:rStyle w:val="Appelnotedebasdep"/>
        </w:rPr>
        <w:footnoteRef/>
      </w:r>
      <w:r w:rsidRPr="00E72418">
        <w:t xml:space="preserve"> Voyez, entre autres, F. </w:t>
      </w:r>
      <w:r w:rsidRPr="00E72418">
        <w:rPr>
          <w:smallCaps/>
        </w:rPr>
        <w:t>Rigaux</w:t>
      </w:r>
      <w:r w:rsidRPr="00E72418">
        <w:t xml:space="preserve"> et M. </w:t>
      </w:r>
      <w:r w:rsidRPr="00E72418">
        <w:rPr>
          <w:smallCaps/>
        </w:rPr>
        <w:t>Fallon</w:t>
      </w:r>
      <w:r w:rsidRPr="00E72418">
        <w:t xml:space="preserve">, </w:t>
      </w:r>
      <w:r w:rsidRPr="00E72418">
        <w:rPr>
          <w:i/>
        </w:rPr>
        <w:t>Droit international privé</w:t>
      </w:r>
      <w:r w:rsidRPr="00E72418">
        <w:t>, 3</w:t>
      </w:r>
      <w:r w:rsidRPr="00E72418">
        <w:rPr>
          <w:vertAlign w:val="superscript"/>
        </w:rPr>
        <w:t>e</w:t>
      </w:r>
      <w:r w:rsidRPr="00E72418">
        <w:t xml:space="preserve"> éd., Larcier, 2005, pp. 808 à 810. L’on peut ainsi notamment viser le règlement n° 593/2008 du Parlement européen et du Conseil du 17 juin 2008 sur la loi applicable aux obligations contractuelles, dit règlement Rome I, dont l’article 4 dispose, après avoir fourni toutes une série de critères de détermination de la loi applicable pour des contrats particuliers à défaut de choix des parties, que « </w:t>
      </w:r>
      <w:r w:rsidRPr="00E72418">
        <w:rPr>
          <w:lang w:val="en-US"/>
        </w:rPr>
        <w:t>[l</w:t>
      </w:r>
      <w:r w:rsidRPr="00E72418">
        <w:rPr>
          <w:szCs w:val="20"/>
          <w:lang w:val="en-US"/>
        </w:rPr>
        <w:t>]</w:t>
      </w:r>
      <w:r w:rsidRPr="00E72418">
        <w:t>orsque le contrat n’est pas couvert par le paragraphe 1 ou que les éléments du contrat sont couverts par plusieurs des points a) à h) du paragraphe 1, le contrat est régi par la loi du pays dans lequel la partie qui doit fournir la prestation caractéristique a sa résidence habituelle », sauf le cas où le contrat présente des liens manifestement plus étroits avec un autre pays.</w:t>
      </w:r>
    </w:p>
  </w:footnote>
  <w:footnote w:id="440">
    <w:p w14:paraId="7D2209EE" w14:textId="18E15F77" w:rsidR="0030147D" w:rsidRPr="00E72418" w:rsidRDefault="0030147D" w:rsidP="00BA0D9D">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307.</w:t>
      </w:r>
    </w:p>
  </w:footnote>
  <w:footnote w:id="441">
    <w:p w14:paraId="0A03E1EA" w14:textId="2133167A" w:rsidR="0030147D" w:rsidRPr="00E72418" w:rsidRDefault="0030147D" w:rsidP="00BA0D9D">
      <w:pPr>
        <w:pStyle w:val="Sansinterligne"/>
      </w:pPr>
      <w:r w:rsidRPr="00E72418">
        <w:rPr>
          <w:rStyle w:val="Appelnotedebasdep"/>
        </w:rPr>
        <w:footnoteRef/>
      </w:r>
      <w:r w:rsidRPr="00E72418">
        <w:t xml:space="preserve"> Plus que juridiquement, la solution se justifie rationnellement, Fanny Giansetto notant que « </w:t>
      </w:r>
      <w:r w:rsidRPr="00E72418">
        <w:rPr>
          <w:lang w:val="en-US"/>
        </w:rPr>
        <w:t>[l’</w:t>
      </w:r>
      <w:r w:rsidRPr="00E72418">
        <w:rPr>
          <w:szCs w:val="20"/>
          <w:lang w:val="en-US"/>
        </w:rPr>
        <w:t>]</w:t>
      </w:r>
      <w:r w:rsidRPr="00E72418">
        <w:rPr>
          <w:lang w:val="en-US"/>
        </w:rPr>
        <w:t xml:space="preserve">application de cette loi a l’avantage indéniable de la stabilité et de la prévisibilité </w:t>
      </w:r>
      <w:r w:rsidRPr="00E72418">
        <w:rPr>
          <w:szCs w:val="20"/>
          <w:lang w:val="en-US"/>
        </w:rPr>
        <w:t>»</w:t>
      </w:r>
      <w:r w:rsidRPr="00E72418">
        <w:rPr>
          <w:lang w:val="en-US"/>
        </w:rPr>
        <w:t xml:space="preserve"> (</w:t>
      </w:r>
      <w:r w:rsidRPr="00E72418">
        <w:rPr>
          <w:i/>
        </w:rPr>
        <w:t>ibid.</w:t>
      </w:r>
      <w:r w:rsidRPr="00E72418">
        <w:rPr>
          <w:shd w:val="clear" w:color="auto" w:fill="FFFFFF"/>
        </w:rPr>
        <w:t>, p. 309).</w:t>
      </w:r>
    </w:p>
  </w:footnote>
  <w:footnote w:id="442">
    <w:p w14:paraId="0451FBC5" w14:textId="63CBD0BD" w:rsidR="0030147D" w:rsidRPr="00E72418" w:rsidRDefault="0030147D" w:rsidP="00955712">
      <w:pPr>
        <w:pStyle w:val="Sansinterligne"/>
      </w:pPr>
      <w:r w:rsidRPr="00E72418">
        <w:rPr>
          <w:rStyle w:val="Appelnotedebasdep"/>
        </w:rPr>
        <w:footnoteRef/>
      </w:r>
      <w:r w:rsidRPr="00E72418">
        <w:t xml:space="preserve"> Notons encore le panachage parfois pratiqué au sein d’un même contrat entre différents droits selon les points concernés, lequel est épinglé dans l’étude menée par le </w:t>
      </w:r>
      <w:r w:rsidRPr="00E72418">
        <w:rPr>
          <w:i/>
        </w:rPr>
        <w:t>Committee on Foreign &amp; Comparative Law</w:t>
      </w:r>
      <w:r w:rsidRPr="00E72418">
        <w:t xml:space="preserve"> du </w:t>
      </w:r>
      <w:r w:rsidRPr="00E72418">
        <w:rPr>
          <w:i/>
        </w:rPr>
        <w:t>New York City Bar</w:t>
      </w:r>
      <w:r w:rsidRPr="00E72418">
        <w:t xml:space="preserve">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Governing Law in Sovereign Debt </w:t>
      </w:r>
      <w:r w:rsidRPr="00E72418">
        <w:rPr>
          <w:rFonts w:ascii="Times New Roman" w:hAnsi="Times New Roman" w:cs="Times New Roman"/>
          <w:b/>
          <w:szCs w:val="24"/>
        </w:rPr>
        <w:t>–</w:t>
      </w:r>
      <w:r w:rsidRPr="00E72418">
        <w:rPr>
          <w:rFonts w:ascii="Times New Roman" w:hAnsi="Times New Roman" w:cs="Times New Roman"/>
          <w:szCs w:val="24"/>
          <w:lang w:val="en-US"/>
        </w:rPr>
        <w:t xml:space="preserve"> Lessons from the Greek Crisis and Argentina Dispute of 2012 </w:t>
      </w:r>
      <w:r w:rsidRPr="00E72418">
        <w:rPr>
          <w:rFonts w:ascii="Times New Roman" w:hAnsi="Times New Roman" w:cs="Times New Roman"/>
          <w:szCs w:val="24"/>
        </w:rPr>
        <w:t>»</w:t>
      </w:r>
      <w:r w:rsidRPr="00E72418">
        <w:t xml:space="preserve">, février 2013, pp. 14 et 15). </w:t>
      </w:r>
    </w:p>
  </w:footnote>
  <w:footnote w:id="443">
    <w:p w14:paraId="56A17E07" w14:textId="3CF80E8D" w:rsidR="0030147D" w:rsidRPr="00E72418" w:rsidRDefault="0030147D" w:rsidP="00293ED2">
      <w:pPr>
        <w:pStyle w:val="Sansinterligne"/>
        <w:rPr>
          <w:szCs w:val="20"/>
        </w:rPr>
      </w:pPr>
      <w:r w:rsidRPr="00E72418">
        <w:rPr>
          <w:rStyle w:val="Appelnotedebasdep"/>
          <w:szCs w:val="20"/>
        </w:rPr>
        <w:footnoteRef/>
      </w:r>
      <w:r w:rsidRPr="00E72418">
        <w:rPr>
          <w:szCs w:val="20"/>
        </w:rPr>
        <w:t xml:space="preserve"> Dans un rapport de 2019, le Fonds monétaire international notait qu’ « </w:t>
      </w:r>
      <w:r w:rsidRPr="00E72418">
        <w:rPr>
          <w:szCs w:val="20"/>
          <w:lang w:val="en-US"/>
        </w:rPr>
        <w:t>[a]</w:t>
      </w:r>
      <w:r w:rsidRPr="00E72418">
        <w:rPr>
          <w:szCs w:val="20"/>
        </w:rPr>
        <w:t xml:space="preserve">s a share of the nominal principal amount </w:t>
      </w:r>
      <w:r w:rsidRPr="00E72418">
        <w:rPr>
          <w:szCs w:val="20"/>
          <w:lang w:val="en-US"/>
        </w:rPr>
        <w:t>[…]</w:t>
      </w:r>
      <w:r w:rsidRPr="00E72418">
        <w:rPr>
          <w:szCs w:val="20"/>
        </w:rPr>
        <w:t xml:space="preserve">, about 45 percent of the total stock outstanding of international sovereign bonds are governed by English law and about 52 percent by New York law » (Fonds monétaire international, </w:t>
      </w:r>
      <w:r w:rsidRPr="00E72418">
        <w:rPr>
          <w:i/>
          <w:szCs w:val="20"/>
        </w:rPr>
        <w:t>Fourth progress report on inclusion of enhanced contractual provisions in international sovereign bond contracts</w:t>
      </w:r>
      <w:r w:rsidRPr="00E72418">
        <w:rPr>
          <w:szCs w:val="20"/>
        </w:rPr>
        <w:t>, 6 mars 2019, p. 5).</w:t>
      </w:r>
    </w:p>
  </w:footnote>
  <w:footnote w:id="444">
    <w:p w14:paraId="28D184BA" w14:textId="6005CCA5" w:rsidR="0030147D" w:rsidRPr="00E72418" w:rsidRDefault="0030147D" w:rsidP="00B90202">
      <w:pPr>
        <w:pStyle w:val="Sansinterligne"/>
      </w:pPr>
      <w:r w:rsidRPr="00E72418">
        <w:rPr>
          <w:rStyle w:val="Appelnotedebasdep"/>
        </w:rPr>
        <w:footnoteRef/>
      </w:r>
      <w:r w:rsidRPr="00E72418">
        <w:t xml:space="preserve"> Sur le recours fréquent au droit britannique, Alexander Horne note que « its contract law is, for historical reasons, a common framework for international business » (</w:t>
      </w:r>
      <w:r w:rsidRPr="00E72418">
        <w:rPr>
          <w:smallCaps/>
        </w:rPr>
        <w:t>A. Horne</w:t>
      </w:r>
      <w:r w:rsidRPr="00E72418">
        <w:t xml:space="preserve">, « Debt Relief (Developing Countries) Bill », </w:t>
      </w:r>
      <w:r w:rsidRPr="00E72418">
        <w:rPr>
          <w:i/>
        </w:rPr>
        <w:t>op. cit.</w:t>
      </w:r>
      <w:r w:rsidRPr="00E72418">
        <w:t xml:space="preserve">, p. 17). </w:t>
      </w:r>
    </w:p>
  </w:footnote>
  <w:footnote w:id="445">
    <w:p w14:paraId="0D8CBCB3" w14:textId="5C683627" w:rsidR="0030147D" w:rsidRPr="00E72418" w:rsidRDefault="0030147D" w:rsidP="000E5C8C">
      <w:pPr>
        <w:pStyle w:val="Sansinterligne"/>
      </w:pPr>
      <w:r w:rsidRPr="00E72418">
        <w:rPr>
          <w:rStyle w:val="Appelnotedebasdep"/>
        </w:rPr>
        <w:footnoteRef/>
      </w:r>
      <w:r w:rsidRPr="00E72418">
        <w:t xml:space="preserve"> Sur l’expertise juridique concentrée entre les mains d’une poignée d’acteurs, voyez </w:t>
      </w:r>
      <w:r w:rsidRPr="00E72418">
        <w:rPr>
          <w:i/>
        </w:rPr>
        <w:t>infra</w:t>
      </w:r>
      <w:r w:rsidRPr="00E72418">
        <w:t xml:space="preserve"> n° 139.</w:t>
      </w:r>
    </w:p>
  </w:footnote>
  <w:footnote w:id="446">
    <w:p w14:paraId="08DD89E6" w14:textId="6684CDE3" w:rsidR="0030147D" w:rsidRPr="00E72418" w:rsidRDefault="0030147D" w:rsidP="00B90202">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xml:space="preserve">, p. 101. Voyez quelques déclinaisons de cet attachement </w:t>
      </w:r>
      <w:r w:rsidRPr="00E72418">
        <w:rPr>
          <w:i/>
          <w:shd w:val="clear" w:color="auto" w:fill="FFFFFF"/>
        </w:rPr>
        <w:t>infra</w:t>
      </w:r>
      <w:r w:rsidRPr="00E72418">
        <w:rPr>
          <w:shd w:val="clear" w:color="auto" w:fill="FFFFFF"/>
        </w:rPr>
        <w:t xml:space="preserve"> n° 171.</w:t>
      </w:r>
    </w:p>
  </w:footnote>
  <w:footnote w:id="447">
    <w:p w14:paraId="7FF35266" w14:textId="4D2CB822" w:rsidR="0030147D" w:rsidRPr="00E72418" w:rsidRDefault="0030147D" w:rsidP="003F6C32">
      <w:pPr>
        <w:pStyle w:val="Sansinterligne"/>
        <w:rPr>
          <w:rFonts w:ascii="Times New Roman" w:hAnsi="Times New Roman" w:cs="Times New Roman"/>
          <w:szCs w:val="20"/>
        </w:rPr>
      </w:pPr>
      <w:r w:rsidRPr="00E72418">
        <w:rPr>
          <w:rStyle w:val="Appelnotedebasdep"/>
        </w:rPr>
        <w:footnoteRef/>
      </w:r>
      <w:r w:rsidRPr="00E72418">
        <w:t xml:space="preserve"> </w:t>
      </w:r>
      <w:r w:rsidRPr="00E72418">
        <w:rPr>
          <w:shd w:val="clear" w:color="auto" w:fill="FFFFFF"/>
        </w:rPr>
        <w:t>Cet argument doit peut-être être quelque peu nuancé si l’on relève comme Horatia Muir Watt en ce qui concerne les actions intentées par les fonds spéculatifs que « </w:t>
      </w:r>
      <w:r w:rsidRPr="00E72418">
        <w:rPr>
          <w:lang w:val="en-US"/>
        </w:rPr>
        <w:t>[c</w:t>
      </w:r>
      <w:r w:rsidRPr="00E72418">
        <w:rPr>
          <w:szCs w:val="20"/>
          <w:lang w:val="en-US"/>
        </w:rPr>
        <w:t xml:space="preserve">]ourts of the common law tradition have traditionally made hospital fora, but courts belonging to the civilian tradition are also joining the game </w:t>
      </w:r>
      <w:r w:rsidRPr="00E72418">
        <w:rPr>
          <w:shd w:val="clear" w:color="auto" w:fill="FFFFFF"/>
        </w:rPr>
        <w:t xml:space="preserve">» (H. </w:t>
      </w:r>
      <w:r w:rsidRPr="00E72418">
        <w:rPr>
          <w:rFonts w:cs="Times New Roman"/>
          <w:smallCaps/>
          <w:szCs w:val="24"/>
          <w:lang w:val="en-US"/>
        </w:rPr>
        <w:t>Muir Watt</w:t>
      </w:r>
      <w:r w:rsidRPr="00E72418">
        <w:rPr>
          <w:rFonts w:cs="Times New Roman"/>
          <w:szCs w:val="24"/>
          <w:lang w:val="en-US"/>
        </w:rPr>
        <w:t xml:space="preserve">, « Private International Law Beyond the Schism », </w:t>
      </w:r>
      <w:r w:rsidRPr="00E72418">
        <w:rPr>
          <w:rFonts w:ascii="Times New Roman" w:hAnsi="Times New Roman" w:cs="Times New Roman"/>
          <w:i/>
          <w:szCs w:val="20"/>
        </w:rPr>
        <w:t>Transnat. Legal Theory</w:t>
      </w:r>
      <w:r w:rsidRPr="00E72418">
        <w:rPr>
          <w:rFonts w:cs="Times New Roman"/>
          <w:szCs w:val="24"/>
          <w:lang w:val="en-US"/>
        </w:rPr>
        <w:t>, 2011, p. 372</w:t>
      </w:r>
      <w:r w:rsidRPr="00E72418">
        <w:rPr>
          <w:shd w:val="clear" w:color="auto" w:fill="FFFFFF"/>
        </w:rPr>
        <w:t>).</w:t>
      </w:r>
    </w:p>
  </w:footnote>
  <w:footnote w:id="448">
    <w:p w14:paraId="35FFE41E" w14:textId="7C0AA70F" w:rsidR="0030147D" w:rsidRPr="00E72418" w:rsidRDefault="0030147D" w:rsidP="00E32F89">
      <w:pPr>
        <w:pStyle w:val="Sansinterligne"/>
        <w:rPr>
          <w:rFonts w:ascii="Times New Roman" w:hAnsi="Times New Roman" w:cs="Times New Roman"/>
          <w:szCs w:val="20"/>
        </w:rPr>
      </w:pPr>
      <w:r w:rsidRPr="00E72418">
        <w:rPr>
          <w:rStyle w:val="Appelnotedebasdep"/>
        </w:rPr>
        <w:footnoteRef/>
      </w:r>
      <w:r w:rsidRPr="00E72418">
        <w:t xml:space="preserve"> Voyez C. </w:t>
      </w:r>
      <w:r w:rsidRPr="00E72418">
        <w:rPr>
          <w:smallCaps/>
        </w:rPr>
        <w:t>Proctor</w:t>
      </w:r>
      <w:r w:rsidRPr="00E72418">
        <w:t xml:space="preserve">, « Argentina and the Vulture Funds – No Hiding Place? », </w:t>
      </w:r>
      <w:r w:rsidRPr="00E72418">
        <w:rPr>
          <w:i/>
        </w:rPr>
        <w:t>op. cit.</w:t>
      </w:r>
      <w:r w:rsidRPr="00E72418">
        <w:t xml:space="preserve">, pp. 735 et 736. Comme le notait encore récemment la ministre Sigrid Kaag, il s’agit là de « jurisdicties die als “crediteurvriendelijk” bekend staan » (voyez les </w:t>
      </w:r>
      <w:r w:rsidRPr="00E72418">
        <w:rPr>
          <w:i/>
        </w:rPr>
        <w:t>Antwoorden van de Minister voor Buitenlandse Handel en Ontwikkelingssamenwerking, mede namens de Minister van Financiën, op vragen van het lid Van den Nieuwenhuijzen (GroenLinks) over speculeren met schulden van ontwikkelingslanden door zogeheten « Aasgierfondsen »</w:t>
      </w:r>
      <w:r w:rsidRPr="00E72418">
        <w:t xml:space="preserve">, 27 octobre 2020, disponibles à l’adresse </w:t>
      </w:r>
      <w:hyperlink r:id="rId26" w:history="1">
        <w:r w:rsidRPr="00E72418">
          <w:rPr>
            <w:rStyle w:val="Lienhypertexte"/>
            <w:color w:val="auto"/>
            <w:u w:val="none"/>
          </w:rPr>
          <w:t>www.rijksoverheid.nl/documenten/kamerstukken/2020/10/27/beantwoording-kamervragen-over-speculeren-met-schulden-van-ontwikkelingslanden</w:t>
        </w:r>
      </w:hyperlink>
      <w:r w:rsidRPr="00E72418">
        <w:t xml:space="preserve"> (consultation le 17 octobre 2021). Notre traduction libre pour nos lecteurs français : « juridictions connues pour être favorables aux créanciers »). Le propos est sans doute à nuancer puisque certains soulignent la perception de « fair courts » qu’ont les émetteurs </w:t>
      </w:r>
      <w:r w:rsidRPr="00E72418">
        <w:rPr>
          <w:szCs w:val="20"/>
        </w:rPr>
        <w:t xml:space="preserve">des juridictions new-yorkaises et londoniennes (S. </w:t>
      </w:r>
      <w:r w:rsidRPr="00E72418">
        <w:rPr>
          <w:smallCaps/>
          <w:lang w:val="en-US"/>
        </w:rPr>
        <w:t>Choi</w:t>
      </w:r>
      <w:r w:rsidRPr="00E72418">
        <w:rPr>
          <w:lang w:val="en-US"/>
        </w:rPr>
        <w:t xml:space="preserve">, M. </w:t>
      </w:r>
      <w:r w:rsidRPr="00E72418">
        <w:rPr>
          <w:smallCaps/>
          <w:lang w:val="en-US"/>
        </w:rPr>
        <w:t>Gulati</w:t>
      </w:r>
      <w:r w:rsidRPr="00E72418">
        <w:rPr>
          <w:lang w:val="en-US"/>
        </w:rPr>
        <w:t xml:space="preserve"> et E. </w:t>
      </w:r>
      <w:r w:rsidRPr="00E72418">
        <w:rPr>
          <w:smallCaps/>
          <w:lang w:val="en-US"/>
        </w:rPr>
        <w:t>Posner</w:t>
      </w:r>
      <w:r w:rsidRPr="00E72418">
        <w:rPr>
          <w:lang w:val="en-US"/>
        </w:rPr>
        <w:t xml:space="preserve">, « The Evolution of Contractual Terms in Sovereign Bonds », </w:t>
      </w:r>
      <w:r w:rsidRPr="00E72418">
        <w:rPr>
          <w:rFonts w:ascii="Times New Roman" w:hAnsi="Times New Roman" w:cs="Times New Roman"/>
          <w:i/>
          <w:szCs w:val="20"/>
        </w:rPr>
        <w:t>J. Leg. Anal.</w:t>
      </w:r>
      <w:r w:rsidRPr="00E72418">
        <w:rPr>
          <w:lang w:val="en-US"/>
        </w:rPr>
        <w:t>, 2012, p. 139).</w:t>
      </w:r>
    </w:p>
  </w:footnote>
  <w:footnote w:id="449">
    <w:p w14:paraId="7B0B0D11" w14:textId="7A37A85B" w:rsidR="0030147D" w:rsidRPr="00E72418" w:rsidRDefault="0030147D" w:rsidP="00F559CA">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xml:space="preserve">, p. 37. Sur la possible fragilisation du recours aux juridictions britanniques suivant la sortie du Royaume-Uni de l’Union européenne, voyez </w:t>
      </w:r>
      <w:r w:rsidRPr="00E72418">
        <w:t xml:space="preserve">C. </w:t>
      </w:r>
      <w:r w:rsidRPr="00E72418">
        <w:rPr>
          <w:rFonts w:cs="Times New Roman"/>
          <w:smallCaps/>
          <w:szCs w:val="24"/>
          <w:shd w:val="clear" w:color="auto" w:fill="FFFFFF"/>
        </w:rPr>
        <w:t>Lequesne-Roth</w:t>
      </w:r>
      <w:r w:rsidRPr="00E72418">
        <w:rPr>
          <w:rFonts w:cs="Times New Roman"/>
          <w:szCs w:val="24"/>
          <w:shd w:val="clear" w:color="auto" w:fill="FFFFFF"/>
        </w:rPr>
        <w:t>,</w:t>
      </w:r>
      <w:r w:rsidRPr="00E72418">
        <w:rPr>
          <w:rStyle w:val="apple-converted-space"/>
          <w:rFonts w:cs="Times New Roman"/>
          <w:szCs w:val="24"/>
          <w:shd w:val="clear" w:color="auto" w:fill="FFFFFF"/>
        </w:rPr>
        <w:t xml:space="preserve"> </w:t>
      </w:r>
      <w:r w:rsidRPr="00E72418">
        <w:rPr>
          <w:rFonts w:cs="Times New Roman"/>
          <w:i/>
          <w:szCs w:val="24"/>
        </w:rPr>
        <w:t>Le régime contractuel de défaut des États débiteurs européens</w:t>
      </w:r>
      <w:r w:rsidRPr="00E72418">
        <w:rPr>
          <w:rFonts w:cs="Times New Roman"/>
          <w:szCs w:val="24"/>
        </w:rPr>
        <w:t xml:space="preserve">, </w:t>
      </w:r>
      <w:r w:rsidRPr="00E72418">
        <w:rPr>
          <w:rFonts w:cs="Times New Roman"/>
          <w:i/>
          <w:szCs w:val="24"/>
        </w:rPr>
        <w:t>op. cit.</w:t>
      </w:r>
      <w:r w:rsidRPr="00E72418">
        <w:t>, pp. 209 et 210.</w:t>
      </w:r>
    </w:p>
  </w:footnote>
  <w:footnote w:id="450">
    <w:p w14:paraId="64B96C08" w14:textId="0B40D554" w:rsidR="0030147D" w:rsidRPr="00E72418" w:rsidRDefault="0030147D" w:rsidP="00F177C1">
      <w:pPr>
        <w:pStyle w:val="Sansinterligne"/>
        <w:rPr>
          <w:rFonts w:ascii="Times New Roman" w:hAnsi="Times New Roman" w:cs="Times New Roman"/>
          <w:szCs w:val="20"/>
        </w:rPr>
      </w:pPr>
      <w:r w:rsidRPr="00E72418">
        <w:rPr>
          <w:rStyle w:val="Appelnotedebasdep"/>
        </w:rPr>
        <w:footnoteRef/>
      </w:r>
      <w:r w:rsidRPr="00E72418">
        <w:t xml:space="preserve"> A. </w:t>
      </w:r>
      <w:r w:rsidRPr="00E72418">
        <w:rPr>
          <w:smallCaps/>
        </w:rPr>
        <w:t>Gelpern</w:t>
      </w:r>
      <w:r w:rsidRPr="00E72418">
        <w:t xml:space="preserve">, « Domestic Bonds, Credit Derivatives, and the Next Transformation of Sovereign Debt », </w:t>
      </w:r>
      <w:r w:rsidRPr="00E72418">
        <w:rPr>
          <w:rFonts w:ascii="Times New Roman" w:hAnsi="Times New Roman" w:cs="Times New Roman"/>
          <w:i/>
          <w:szCs w:val="20"/>
        </w:rPr>
        <w:t>Chic.-Kent Law Rev.</w:t>
      </w:r>
      <w:r w:rsidRPr="00E72418">
        <w:t>, 2008, p. 158 citant un propos tenu par Lee Buchheit.</w:t>
      </w:r>
    </w:p>
  </w:footnote>
  <w:footnote w:id="451">
    <w:p w14:paraId="704CEC3F" w14:textId="1626DCBF" w:rsidR="0030147D" w:rsidRPr="00E72418" w:rsidRDefault="0030147D" w:rsidP="00926186">
      <w:pPr>
        <w:pStyle w:val="Sansinterligne"/>
        <w:rPr>
          <w:rFonts w:ascii="Times New Roman" w:hAnsi="Times New Roman" w:cs="Times New Roman"/>
          <w:szCs w:val="20"/>
        </w:rPr>
      </w:pPr>
      <w:r w:rsidRPr="00E72418">
        <w:rPr>
          <w:rStyle w:val="Appelnotedebasdep"/>
        </w:rPr>
        <w:footnoteRef/>
      </w:r>
      <w:r w:rsidRPr="00E72418">
        <w:t xml:space="preserve"> Sur l’important rôle joué par le magistrat dans le contentieux argentin dont les décisions conduisirent à qualifier un des défauts du débiteur de « Griesafault », voyez </w:t>
      </w:r>
      <w:r w:rsidRPr="00E72418">
        <w:rPr>
          <w:i/>
        </w:rPr>
        <w:t>infra</w:t>
      </w:r>
      <w:r w:rsidRPr="00E72418">
        <w:t xml:space="preserve"> n° 95. Aussi, comme le note Karen Cross, la </w:t>
      </w:r>
      <w:r w:rsidRPr="00F1587D">
        <w:rPr>
          <w:szCs w:val="20"/>
          <w:lang w:val="en-US"/>
        </w:rPr>
        <w:t>United States Court of Appeals for the Second Circuit</w:t>
      </w:r>
      <w:r w:rsidRPr="00E72418">
        <w:rPr>
          <w:szCs w:val="20"/>
          <w:lang w:val="en-US"/>
        </w:rPr>
        <w:t xml:space="preserve">, à travers différentes décisions, </w:t>
      </w:r>
      <w:r w:rsidRPr="00E72418">
        <w:rPr>
          <w:szCs w:val="20"/>
        </w:rPr>
        <w:t xml:space="preserve">« </w:t>
      </w:r>
      <w:r w:rsidRPr="00E72418">
        <w:rPr>
          <w:rFonts w:ascii="Times New Roman" w:hAnsi="Times New Roman" w:cs="Times New Roman"/>
          <w:szCs w:val="20"/>
        </w:rPr>
        <w:t xml:space="preserve">endeavors to enhance New York’s reputation as a creditor-friendly jurisdiction, adopting rulings that encourage debtors and creditors to conclude debt agreements governed by New York law </w:t>
      </w:r>
      <w:r w:rsidRPr="00E72418">
        <w:rPr>
          <w:szCs w:val="20"/>
        </w:rPr>
        <w:t>» (</w:t>
      </w:r>
      <w:r w:rsidRPr="00E72418">
        <w:rPr>
          <w:szCs w:val="20"/>
          <w:lang w:val="en-US"/>
        </w:rPr>
        <w:t xml:space="preserve">K. </w:t>
      </w:r>
      <w:r w:rsidRPr="00E72418">
        <w:rPr>
          <w:rFonts w:cs="Times New Roman"/>
          <w:smallCaps/>
          <w:szCs w:val="24"/>
          <w:lang w:val="en-US"/>
        </w:rPr>
        <w:t>Cross</w:t>
      </w:r>
      <w:r w:rsidRPr="00E72418">
        <w:rPr>
          <w:rFonts w:cs="Times New Roman"/>
          <w:szCs w:val="24"/>
          <w:lang w:val="en-US"/>
        </w:rPr>
        <w:t xml:space="preserve">, « The Extraterritorial Reach of Sovereign Debt Enforcement », </w:t>
      </w:r>
      <w:r w:rsidRPr="00E72418">
        <w:rPr>
          <w:rFonts w:ascii="Times New Roman" w:hAnsi="Times New Roman" w:cs="Times New Roman"/>
          <w:i/>
          <w:szCs w:val="20"/>
        </w:rPr>
        <w:t>Berkeley Bus. Law J.</w:t>
      </w:r>
      <w:r w:rsidRPr="00E72418">
        <w:rPr>
          <w:rFonts w:cs="Times New Roman"/>
          <w:szCs w:val="24"/>
          <w:lang w:val="en-US"/>
        </w:rPr>
        <w:t xml:space="preserve">, 2015, </w:t>
      </w:r>
      <w:r w:rsidRPr="00E72418">
        <w:rPr>
          <w:szCs w:val="20"/>
        </w:rPr>
        <w:t>p. 142).</w:t>
      </w:r>
    </w:p>
  </w:footnote>
  <w:footnote w:id="452">
    <w:p w14:paraId="7F64C7AE" w14:textId="02EC171C" w:rsidR="0030147D" w:rsidRPr="00E72418" w:rsidRDefault="0030147D" w:rsidP="001075A1">
      <w:pPr>
        <w:pStyle w:val="Sansinterligne"/>
      </w:pPr>
      <w:r w:rsidRPr="00E72418">
        <w:rPr>
          <w:rStyle w:val="Appelnotedebasdep"/>
        </w:rPr>
        <w:footnoteRef/>
      </w:r>
      <w:r w:rsidRPr="00E72418">
        <w:t xml:space="preserve"> Sur cette mobilisation dans le cadre du contentieux argentin, voyez </w:t>
      </w:r>
      <w:r w:rsidRPr="00E72418">
        <w:rPr>
          <w:i/>
        </w:rPr>
        <w:t>infra</w:t>
      </w:r>
      <w:r w:rsidRPr="00E72418">
        <w:t xml:space="preserve"> n° 96. Sur cette sanction, voyez notamment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297 et 298 notant que « pragmatically, the enforcement of a contempt of court order against a State is not without its difficulties » mais que « the fear of contempt of court will have a strong impact on any third party involved in the exchange or payment mechanisms and may thus deter the conduct of the State in breach of court orders ».</w:t>
      </w:r>
    </w:p>
  </w:footnote>
  <w:footnote w:id="453">
    <w:p w14:paraId="34DF2924" w14:textId="26840799" w:rsidR="0030147D" w:rsidRPr="00E72418" w:rsidRDefault="0030147D" w:rsidP="00B90202">
      <w:pPr>
        <w:pStyle w:val="Sansinterligne"/>
      </w:pPr>
      <w:r w:rsidRPr="00E72418">
        <w:rPr>
          <w:rStyle w:val="Appelnotedebasdep"/>
        </w:rPr>
        <w:footnoteRef/>
      </w:r>
      <w:r w:rsidRPr="00E72418">
        <w:t xml:space="preserve"> </w:t>
      </w:r>
      <w:r w:rsidRPr="00E72418">
        <w:rPr>
          <w:smallCaps/>
        </w:rPr>
        <w:t>M. Guzman</w:t>
      </w:r>
      <w:r w:rsidRPr="00E72418">
        <w:t xml:space="preserve">, « An analysis of Argentina’s 2001 default resolution », </w:t>
      </w:r>
      <w:r w:rsidRPr="00E72418">
        <w:rPr>
          <w:i/>
          <w:szCs w:val="20"/>
        </w:rPr>
        <w:t>op. cit.</w:t>
      </w:r>
      <w:r w:rsidRPr="00E72418">
        <w:t xml:space="preserve">, p. 18. Il apparaît que des tentatives ont été entreprises afin d’annuler ce taux mais qu’elles firent l’objet de pression de la part de créanciers (voyez J. </w:t>
      </w:r>
      <w:r w:rsidRPr="00E72418">
        <w:rPr>
          <w:smallCaps/>
        </w:rPr>
        <w:t>Stiglitz</w:t>
      </w:r>
      <w:r w:rsidRPr="00E72418">
        <w:t xml:space="preserve">, R. </w:t>
      </w:r>
      <w:r w:rsidRPr="00E72418">
        <w:rPr>
          <w:smallCaps/>
        </w:rPr>
        <w:t>Howse</w:t>
      </w:r>
      <w:r w:rsidRPr="00E72418">
        <w:t xml:space="preserve"> et A.-M. </w:t>
      </w:r>
      <w:r w:rsidRPr="00E72418">
        <w:rPr>
          <w:smallCaps/>
        </w:rPr>
        <w:t>Slaughter</w:t>
      </w:r>
      <w:r w:rsidRPr="00E72418">
        <w:t xml:space="preserve">, « Covid-19 is no excuse for sovereign creditors to move the goalposts on debt », </w:t>
      </w:r>
      <w:r w:rsidRPr="00E72418">
        <w:rPr>
          <w:i/>
        </w:rPr>
        <w:t>The Guardian</w:t>
      </w:r>
      <w:r w:rsidRPr="00E72418">
        <w:t>, 13 juillet 2020, disponible à l’adresse www.theguardian.com/business/2020/jul/13/covid-19-is-no-excuse-for-sovereign-creditors-to-move-the-goalposts-argentina-debt (consultation le 17 octobre 2021)).</w:t>
      </w:r>
    </w:p>
  </w:footnote>
  <w:footnote w:id="454">
    <w:p w14:paraId="08E0ECE5" w14:textId="2990D7EC" w:rsidR="0030147D" w:rsidRPr="00E72418" w:rsidRDefault="0030147D" w:rsidP="00E94CAF">
      <w:pPr>
        <w:pStyle w:val="Sansinterligne"/>
      </w:pPr>
      <w:r w:rsidRPr="00E72418">
        <w:rPr>
          <w:rStyle w:val="Appelnotedebasdep"/>
        </w:rPr>
        <w:footnoteRef/>
      </w:r>
      <w:r w:rsidRPr="00E72418">
        <w:t xml:space="preserve"> Sur la modification de cette règle, voyez </w:t>
      </w:r>
      <w:r w:rsidRPr="00E72418">
        <w:rPr>
          <w:i/>
        </w:rPr>
        <w:t>infra</w:t>
      </w:r>
      <w:r w:rsidRPr="00E72418">
        <w:t xml:space="preserve"> n° 245 et, plus généralement, sur cette règle protectrice des débiteurs, voyez </w:t>
      </w:r>
      <w:r w:rsidRPr="00E72418">
        <w:rPr>
          <w:i/>
        </w:rPr>
        <w:t>infra</w:t>
      </w:r>
      <w:r w:rsidRPr="00E72418">
        <w:t xml:space="preserve"> n</w:t>
      </w:r>
      <w:r w:rsidRPr="00E72418">
        <w:rPr>
          <w:vertAlign w:val="superscript"/>
        </w:rPr>
        <w:t xml:space="preserve">os </w:t>
      </w:r>
      <w:r w:rsidRPr="00E72418">
        <w:t>243 et suiv.</w:t>
      </w:r>
    </w:p>
  </w:footnote>
  <w:footnote w:id="455">
    <w:p w14:paraId="45209002" w14:textId="356B86A5" w:rsidR="0030147D" w:rsidRPr="00E72418" w:rsidRDefault="0030147D" w:rsidP="00B24AE7">
      <w:pPr>
        <w:pStyle w:val="Sansinterligne"/>
        <w:rPr>
          <w:rFonts w:ascii="Times New Roman" w:hAnsi="Times New Roman" w:cs="Times New Roman"/>
          <w:szCs w:val="20"/>
          <w:lang w:val="fr-FR"/>
        </w:rPr>
      </w:pPr>
      <w:r w:rsidRPr="00E72418">
        <w:rPr>
          <w:rStyle w:val="Appelnotedebasdep"/>
          <w:rFonts w:ascii="Times New Roman" w:hAnsi="Times New Roman" w:cs="Times New Roman"/>
        </w:rPr>
        <w:footnoteRef/>
      </w:r>
      <w:r w:rsidRPr="00E72418">
        <w:rPr>
          <w:rFonts w:ascii="Times New Roman" w:hAnsi="Times New Roman" w:cs="Times New Roman"/>
        </w:rPr>
        <w:t xml:space="preserve"> Il est encore sans doute d’autres arguments touchant cette fois à la facilité pratique du droit new-yorkais dont l’avantage compétitif réside, précise Horatia Muir Watt, « </w:t>
      </w:r>
      <w:r w:rsidRPr="00E72418">
        <w:rPr>
          <w:rFonts w:ascii="Times New Roman" w:hAnsi="Times New Roman" w:cs="Times New Roman"/>
          <w:szCs w:val="20"/>
        </w:rPr>
        <w:t>dans l’inter-opérabilité facilitée de l’instrument avec le contrat-type de l’</w:t>
      </w:r>
      <w:r w:rsidRPr="00E72418">
        <w:rPr>
          <w:rFonts w:ascii="Times New Roman" w:hAnsi="Times New Roman" w:cs="Times New Roman"/>
          <w:lang w:val="en-US"/>
        </w:rPr>
        <w:t>[</w:t>
      </w:r>
      <w:r w:rsidRPr="00E72418">
        <w:rPr>
          <w:rFonts w:ascii="Times New Roman" w:hAnsi="Times New Roman" w:cs="Times New Roman"/>
          <w:i/>
          <w:lang w:val="en-US"/>
        </w:rPr>
        <w:t>International Swaps and Derivatives Association</w:t>
      </w:r>
      <w:r w:rsidRPr="00E72418">
        <w:rPr>
          <w:rFonts w:ascii="Times New Roman" w:hAnsi="Times New Roman" w:cs="Times New Roman"/>
          <w:szCs w:val="20"/>
          <w:lang w:val="en-US"/>
        </w:rPr>
        <w:t>]</w:t>
      </w:r>
      <w:r w:rsidRPr="00E72418">
        <w:rPr>
          <w:rFonts w:ascii="Times New Roman" w:hAnsi="Times New Roman" w:cs="Times New Roman"/>
          <w:szCs w:val="20"/>
        </w:rPr>
        <w:t xml:space="preserve"> </w:t>
      </w:r>
      <w:r w:rsidRPr="00E72418">
        <w:rPr>
          <w:rFonts w:ascii="Times New Roman" w:hAnsi="Times New Roman" w:cs="Times New Roman"/>
          <w:lang w:val="en-US"/>
        </w:rPr>
        <w:t>[…</w:t>
      </w:r>
      <w:r w:rsidRPr="00E72418">
        <w:rPr>
          <w:rFonts w:ascii="Times New Roman" w:hAnsi="Times New Roman" w:cs="Times New Roman"/>
          <w:szCs w:val="20"/>
          <w:lang w:val="en-US"/>
        </w:rPr>
        <w:t>]</w:t>
      </w:r>
      <w:r w:rsidRPr="00E72418">
        <w:rPr>
          <w:rFonts w:ascii="Times New Roman" w:hAnsi="Times New Roman" w:cs="Times New Roman"/>
          <w:szCs w:val="20"/>
        </w:rPr>
        <w:t xml:space="preserve">, ou avec le mécanisme du trust mobilisé pour assurer la représentation des créanciers et la gestion des paiements </w:t>
      </w:r>
      <w:r w:rsidRPr="00E72418">
        <w:rPr>
          <w:rFonts w:ascii="Times New Roman" w:hAnsi="Times New Roman" w:cs="Times New Roman"/>
        </w:rPr>
        <w:t>»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 339</w:t>
      </w:r>
      <w:r w:rsidRPr="00E72418">
        <w:rPr>
          <w:rFonts w:ascii="Times New Roman" w:hAnsi="Times New Roman" w:cs="Times New Roman"/>
        </w:rPr>
        <w:t xml:space="preserve">). </w:t>
      </w:r>
    </w:p>
  </w:footnote>
  <w:footnote w:id="456">
    <w:p w14:paraId="78700F25" w14:textId="77777777" w:rsidR="0030147D" w:rsidRPr="00E72418" w:rsidRDefault="0030147D" w:rsidP="00675175">
      <w:pPr>
        <w:pStyle w:val="Sansinterligne"/>
      </w:pPr>
      <w:r w:rsidRPr="00E72418">
        <w:rPr>
          <w:rStyle w:val="Appelnotedebasdep"/>
        </w:rPr>
        <w:footnoteRef/>
      </w:r>
      <w:r w:rsidRPr="00E72418">
        <w:t xml:space="preserve"> Ci-après respectivement le « CIRDI » et la « Convention CIRDI ».</w:t>
      </w:r>
    </w:p>
  </w:footnote>
  <w:footnote w:id="457">
    <w:p w14:paraId="7E01F127" w14:textId="35EB6C5B" w:rsidR="0030147D" w:rsidRPr="00E72418" w:rsidRDefault="0030147D" w:rsidP="00675175">
      <w:pPr>
        <w:pStyle w:val="Sansinterligne"/>
      </w:pPr>
      <w:r w:rsidRPr="00E72418">
        <w:rPr>
          <w:rStyle w:val="Appelnotedebasdep"/>
        </w:rPr>
        <w:footnoteRef/>
      </w:r>
      <w:r w:rsidRPr="00E72418">
        <w:t xml:space="preserve"> Voyez K. </w:t>
      </w:r>
      <w:r w:rsidRPr="00E72418">
        <w:rPr>
          <w:rFonts w:cs="Times New Roman"/>
          <w:smallCaps/>
          <w:szCs w:val="24"/>
          <w:lang w:val="en-US"/>
        </w:rPr>
        <w:t xml:space="preserve">Cross, </w:t>
      </w:r>
      <w:r w:rsidRPr="00E72418">
        <w:rPr>
          <w:rFonts w:cs="Times New Roman"/>
          <w:szCs w:val="24"/>
          <w:lang w:val="en-US"/>
        </w:rPr>
        <w:t xml:space="preserve">« Sovereign Arbitration », in L. </w:t>
      </w:r>
      <w:r w:rsidRPr="00E72418">
        <w:rPr>
          <w:rFonts w:cs="Times New Roman"/>
          <w:smallCaps/>
          <w:szCs w:val="24"/>
          <w:lang w:val="en-US"/>
        </w:rPr>
        <w:t>Buchheit</w:t>
      </w:r>
      <w:r w:rsidRPr="00E72418">
        <w:rPr>
          <w:rFonts w:cs="Times New Roman"/>
          <w:szCs w:val="24"/>
          <w:lang w:val="en-US"/>
        </w:rPr>
        <w:t xml:space="preserve"> et R. </w:t>
      </w:r>
      <w:r w:rsidRPr="00E72418">
        <w:rPr>
          <w:rFonts w:cs="Times New Roman"/>
          <w:smallCaps/>
          <w:szCs w:val="24"/>
          <w:lang w:val="en-US"/>
        </w:rPr>
        <w:t>Lastra</w:t>
      </w:r>
      <w:r w:rsidRPr="00E72418">
        <w:rPr>
          <w:rFonts w:cs="Times New Roman"/>
          <w:szCs w:val="24"/>
          <w:lang w:val="en-US"/>
        </w:rPr>
        <w:t xml:space="preserve"> (éd.), </w:t>
      </w:r>
      <w:r w:rsidRPr="00E72418">
        <w:rPr>
          <w:rFonts w:cs="Times New Roman"/>
          <w:i/>
          <w:szCs w:val="24"/>
          <w:lang w:val="en-US"/>
        </w:rPr>
        <w:t>Sovereign Debt Management</w:t>
      </w:r>
      <w:r w:rsidRPr="00E72418">
        <w:rPr>
          <w:rFonts w:cs="Times New Roman"/>
          <w:szCs w:val="24"/>
          <w:lang w:val="en-US"/>
        </w:rPr>
        <w:t>, Oxford University Press, 2014, pp. 152 et 153. L’auteure relève toutefois notamment la situation particulière de la République fédérative du Brésil et de la République du Salvadore dont le droit national les interdit de se soumettre aux juridictions d’</w:t>
      </w:r>
      <w:r w:rsidRPr="00E72418">
        <w:rPr>
          <w:rFonts w:cs="Times New Roman"/>
          <w:szCs w:val="24"/>
        </w:rPr>
        <w:t>É</w:t>
      </w:r>
      <w:r w:rsidRPr="00E72418">
        <w:rPr>
          <w:rFonts w:cs="Times New Roman"/>
          <w:szCs w:val="24"/>
          <w:lang w:val="en-US"/>
        </w:rPr>
        <w:t xml:space="preserve">tats tiers les forçant ainsi en quelque sorte à recourir à l’arbitrage pour traiter leurs conflits. Pour un plaidoyer en faveur de l’insertion de clauses d’arbitrage, voyez A. </w:t>
      </w:r>
      <w:r w:rsidRPr="00E72418">
        <w:rPr>
          <w:rFonts w:cs="Times New Roman"/>
          <w:smallCaps/>
          <w:szCs w:val="24"/>
          <w:lang w:val="en-US"/>
        </w:rPr>
        <w:t>Shapos</w:t>
      </w:r>
      <w:r w:rsidRPr="00E72418">
        <w:rPr>
          <w:rFonts w:cs="Times New Roman"/>
          <w:szCs w:val="24"/>
          <w:lang w:val="en-US"/>
        </w:rPr>
        <w:t xml:space="preserve">, « Breaking the Impasse: A Two-Pronged Approach for Resolving Sovereign Debt Holdout Disputes », </w:t>
      </w:r>
      <w:r w:rsidRPr="00E72418">
        <w:rPr>
          <w:rFonts w:cs="Times New Roman"/>
          <w:i/>
          <w:szCs w:val="24"/>
          <w:lang w:val="en-US"/>
        </w:rPr>
        <w:t>Cardozo J. Conflict Resol.</w:t>
      </w:r>
      <w:r w:rsidRPr="00E72418">
        <w:rPr>
          <w:rFonts w:cs="Times New Roman"/>
          <w:szCs w:val="24"/>
          <w:lang w:val="en-US"/>
        </w:rPr>
        <w:t>, 2015, pp. 243 à 276 et singulièrement pp. 267 et suiv.</w:t>
      </w:r>
    </w:p>
  </w:footnote>
  <w:footnote w:id="458">
    <w:p w14:paraId="2B8D68F8" w14:textId="47427B9B" w:rsidR="0030147D" w:rsidRPr="00E72418" w:rsidRDefault="0030147D" w:rsidP="00675175">
      <w:pPr>
        <w:pStyle w:val="Sansinterligne"/>
        <w:rPr>
          <w:rFonts w:ascii="Times New Roman" w:hAnsi="Times New Roman" w:cs="Times New Roman"/>
          <w:i/>
        </w:rPr>
      </w:pPr>
      <w:r w:rsidRPr="00E72418">
        <w:rPr>
          <w:rStyle w:val="Appelnotedebasdep"/>
          <w:rFonts w:ascii="Times New Roman" w:hAnsi="Times New Roman" w:cs="Times New Roman"/>
        </w:rPr>
        <w:footnoteRef/>
      </w:r>
      <w:r w:rsidRPr="00E72418">
        <w:rPr>
          <w:rFonts w:ascii="Times New Roman" w:hAnsi="Times New Roman" w:cs="Times New Roman"/>
        </w:rPr>
        <w:t xml:space="preserve"> D.</w:t>
      </w:r>
      <w:r w:rsidRPr="00E72418">
        <w:rPr>
          <w:rFonts w:ascii="Times New Roman" w:hAnsi="Times New Roman" w:cs="Times New Roman"/>
          <w:i/>
        </w:rPr>
        <w:t xml:space="preserve"> </w:t>
      </w:r>
      <w:r w:rsidRPr="00E72418">
        <w:rPr>
          <w:rStyle w:val="Titre4Car"/>
          <w:rFonts w:ascii="Times New Roman" w:hAnsi="Times New Roman" w:cs="Times New Roman"/>
          <w:i w:val="0"/>
          <w:smallCaps/>
          <w:color w:val="auto"/>
        </w:rPr>
        <w:t>Carreau</w:t>
      </w:r>
      <w:r w:rsidRPr="00E72418">
        <w:rPr>
          <w:rStyle w:val="Titre4Car"/>
          <w:rFonts w:ascii="Times New Roman" w:hAnsi="Times New Roman" w:cs="Times New Roman"/>
          <w:i w:val="0"/>
          <w:color w:val="auto"/>
        </w:rPr>
        <w:t xml:space="preserve"> et C. </w:t>
      </w:r>
      <w:r w:rsidRPr="00E72418">
        <w:rPr>
          <w:rStyle w:val="Titre4Car"/>
          <w:rFonts w:ascii="Times New Roman" w:hAnsi="Times New Roman" w:cs="Times New Roman"/>
          <w:i w:val="0"/>
          <w:smallCaps/>
          <w:color w:val="auto"/>
        </w:rPr>
        <w:t>Kleiner</w:t>
      </w:r>
      <w:r w:rsidRPr="00E72418">
        <w:rPr>
          <w:rStyle w:val="Titre4Car"/>
          <w:rFonts w:ascii="Times New Roman" w:hAnsi="Times New Roman" w:cs="Times New Roman"/>
          <w:i w:val="0"/>
          <w:color w:val="auto"/>
        </w:rPr>
        <w:t>, C., « Dettes d’</w:t>
      </w:r>
      <w:r w:rsidRPr="00E72418">
        <w:rPr>
          <w:rFonts w:ascii="Times New Roman" w:hAnsi="Times New Roman" w:cs="Times New Roman"/>
          <w:lang w:eastAsia="fr-BE"/>
        </w:rPr>
        <w:t>É</w:t>
      </w:r>
      <w:r w:rsidRPr="00E72418">
        <w:rPr>
          <w:rStyle w:val="Titre4Car"/>
          <w:rFonts w:ascii="Times New Roman" w:hAnsi="Times New Roman" w:cs="Times New Roman"/>
          <w:i w:val="0"/>
          <w:color w:val="auto"/>
        </w:rPr>
        <w:t xml:space="preserve">tat », </w:t>
      </w:r>
      <w:r w:rsidRPr="00E72418">
        <w:rPr>
          <w:i/>
          <w:szCs w:val="20"/>
          <w:lang w:val="en-US"/>
        </w:rPr>
        <w:t>op. cit.</w:t>
      </w:r>
      <w:r w:rsidRPr="00E72418">
        <w:rPr>
          <w:rStyle w:val="Titre4Car"/>
          <w:rFonts w:ascii="Times New Roman" w:hAnsi="Times New Roman" w:cs="Times New Roman"/>
          <w:i w:val="0"/>
          <w:color w:val="auto"/>
        </w:rPr>
        <w:t>, n</w:t>
      </w:r>
      <w:r w:rsidRPr="00E72418">
        <w:rPr>
          <w:rStyle w:val="Titre4Car"/>
          <w:rFonts w:ascii="Times New Roman" w:hAnsi="Times New Roman" w:cs="Times New Roman"/>
          <w:i w:val="0"/>
          <w:color w:val="auto"/>
          <w:vertAlign w:val="superscript"/>
        </w:rPr>
        <w:t>os</w:t>
      </w:r>
      <w:r w:rsidRPr="00E72418">
        <w:rPr>
          <w:rStyle w:val="Titre4Car"/>
          <w:rFonts w:ascii="Times New Roman" w:hAnsi="Times New Roman" w:cs="Times New Roman"/>
          <w:i w:val="0"/>
          <w:color w:val="auto"/>
        </w:rPr>
        <w:t xml:space="preserve"> 101 et 103. Les auteurs insistent sur l’importance d’une approche casuistique et notent qu’il y a d’ailleurs des cas où le traité exclut explicitement les dettes souveraines de son champ. </w:t>
      </w:r>
      <w:r w:rsidRPr="00E72418">
        <w:t xml:space="preserve">Par ailleurs, comme le note Fanny Giansetto, les clauses attributives de juridiction désignant des juridictions comme seules compétentes pour connaître des litiges découlant des contrats de dettes souveraines, lesquelles clauses sont extrêmement fréquentes (voyez </w:t>
      </w:r>
      <w:r w:rsidRPr="00E72418">
        <w:rPr>
          <w:i/>
        </w:rPr>
        <w:t>supra</w:t>
      </w:r>
      <w:r w:rsidRPr="00E72418">
        <w:t xml:space="preserve"> n° 77), peuvent rendre impossible le recours à l’arbitrage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pp. 181 à 187).</w:t>
      </w:r>
    </w:p>
  </w:footnote>
  <w:footnote w:id="459">
    <w:p w14:paraId="6B00B90C" w14:textId="66E6DEF2" w:rsidR="0030147D" w:rsidRPr="00E72418" w:rsidRDefault="0030147D" w:rsidP="00675175">
      <w:pPr>
        <w:pStyle w:val="Sansinterligne"/>
      </w:pPr>
      <w:r w:rsidRPr="00E72418">
        <w:rPr>
          <w:rStyle w:val="Appelnotedebasdep"/>
        </w:rPr>
        <w:footnoteRef/>
      </w:r>
      <w:r w:rsidRPr="00E72418">
        <w:t xml:space="preserve"> Là n’est toutefois pas le seul obstacle à surmonter pour les créanciers ; il faut également notamment que l’</w:t>
      </w:r>
      <w:r w:rsidRPr="00E72418">
        <w:rPr>
          <w:rFonts w:ascii="Times New Roman" w:hAnsi="Times New Roman" w:cs="Times New Roman"/>
          <w:lang w:eastAsia="fr-BE"/>
        </w:rPr>
        <w:t>É</w:t>
      </w:r>
      <w:r w:rsidRPr="00E72418">
        <w:t xml:space="preserve">tat poursuivi ait donné son consentement à l’arbitrabilité des contentieux dont il pourrait être question. Il est ici question de la distinction classique entre les « treaty claims » et les « contract claims », un doute pouvant exister au sujet du consentement du débiteur souverain à l’arbitrage pour les différends relatifs à des contrats (sur ce point voyez notamment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pp. 143 à 177).</w:t>
      </w:r>
    </w:p>
  </w:footnote>
  <w:footnote w:id="460">
    <w:p w14:paraId="15C80217" w14:textId="23FF5759" w:rsidR="0030147D" w:rsidRPr="00E72418" w:rsidRDefault="0030147D" w:rsidP="00675175">
      <w:pPr>
        <w:pStyle w:val="Sansinterligne"/>
      </w:pPr>
      <w:r w:rsidRPr="00E72418">
        <w:rPr>
          <w:rStyle w:val="Appelnotedebasdep"/>
        </w:rPr>
        <w:footnoteRef/>
      </w:r>
      <w:r w:rsidRPr="00E72418">
        <w:t xml:space="preserve"> Notons que la voie arbitrale rendue possible par un traité bilatéral n’est pas forcément celle passant par le CIRDI. </w:t>
      </w:r>
      <w:r w:rsidRPr="00E72418">
        <w:rPr>
          <w:rFonts w:cs="Times New Roman"/>
          <w:lang w:eastAsia="fr-BE"/>
        </w:rPr>
        <w:t>À</w:t>
      </w:r>
      <w:r w:rsidRPr="00E72418">
        <w:t xml:space="preserve"> côté d’autres voies arbitrales institutionnalisées comme celle suivant les </w:t>
      </w:r>
      <w:r w:rsidRPr="00E72418">
        <w:rPr>
          <w:i/>
        </w:rPr>
        <w:t>International Chamber of Commerce Rules of Arbitration</w:t>
      </w:r>
      <w:r w:rsidRPr="00E72418">
        <w:t xml:space="preserve">, les traités d’investissement prévoient souvent la possibilité d’un recours à un arbitrage </w:t>
      </w:r>
      <w:r w:rsidRPr="00E72418">
        <w:rPr>
          <w:i/>
        </w:rPr>
        <w:t>ad hoc</w:t>
      </w:r>
      <w:r w:rsidRPr="00E72418">
        <w:t xml:space="preserve"> dont la forme la plus commune suit le règlement d’arbitrage de la Commission des Nations Unies pour le droit commercial international (A. </w:t>
      </w:r>
      <w:r w:rsidRPr="00E72418">
        <w:rPr>
          <w:smallCaps/>
        </w:rPr>
        <w:t>Newcombe</w:t>
      </w:r>
      <w:r w:rsidRPr="00E72418">
        <w:t xml:space="preserve"> et L. </w:t>
      </w:r>
      <w:r w:rsidRPr="00E72418">
        <w:rPr>
          <w:smallCaps/>
        </w:rPr>
        <w:t>Paradell</w:t>
      </w:r>
      <w:r w:rsidRPr="00E72418">
        <w:t xml:space="preserve">, </w:t>
      </w:r>
      <w:r w:rsidRPr="00E72418">
        <w:rPr>
          <w:i/>
        </w:rPr>
        <w:t>Law and Practice of Investment Treaties</w:t>
      </w:r>
      <w:r w:rsidRPr="00E72418">
        <w:t>, Kluwer, 2009, pp. 72 et 73).</w:t>
      </w:r>
    </w:p>
  </w:footnote>
  <w:footnote w:id="461">
    <w:p w14:paraId="3504E23B" w14:textId="61F2C55F" w:rsidR="0030147D" w:rsidRPr="00E72418" w:rsidRDefault="0030147D" w:rsidP="00675175">
      <w:pPr>
        <w:pStyle w:val="Sansinterligne"/>
      </w:pPr>
      <w:r w:rsidRPr="00E72418">
        <w:rPr>
          <w:rStyle w:val="Appelnotedebasdep"/>
        </w:rPr>
        <w:footnoteRef/>
      </w:r>
      <w:r w:rsidRPr="00E72418">
        <w:t xml:space="preserve"> Avant cela, en matière de litiges portant sur des dettes souveraines soumis à l’arbitrage d’investissement, l’on mentionne souvent l’affaire </w:t>
      </w:r>
      <w:r w:rsidRPr="00E72418">
        <w:rPr>
          <w:i/>
        </w:rPr>
        <w:t>Fedax N.V. c. la République bolivarienne du Venezuela</w:t>
      </w:r>
      <w:r w:rsidRPr="00E72418">
        <w:t xml:space="preserve"> (CIRDI, 11 juillet 1997, case n° ARB/96/3, decision on objections to jurisdiction) qui avait trait à des billets à ordre et l’affaire </w:t>
      </w:r>
      <w:r w:rsidRPr="00E72418">
        <w:rPr>
          <w:i/>
        </w:rPr>
        <w:t>Ceskoslovenska Obchodni Banka a.s. c. la République slovaque</w:t>
      </w:r>
      <w:r w:rsidRPr="00E72418">
        <w:t xml:space="preserve"> (CIRDI, 24 mai 1999, case n° ARB/97/4, decision on objections to jurisdiction) qui avait trait à un prêt</w:t>
      </w:r>
      <w:r w:rsidRPr="00E72418">
        <w:rPr>
          <w:i/>
        </w:rPr>
        <w:t xml:space="preserve">. </w:t>
      </w:r>
      <w:r w:rsidRPr="00E72418">
        <w:t>Dans les deux affaires, les instruments concernés matérialisant des prêts avaient été considérés comme étant des investissements.</w:t>
      </w:r>
    </w:p>
  </w:footnote>
  <w:footnote w:id="462">
    <w:p w14:paraId="1767BBEA" w14:textId="63C34C92" w:rsidR="0030147D" w:rsidRPr="00E72418" w:rsidRDefault="0030147D" w:rsidP="00675175">
      <w:pPr>
        <w:pStyle w:val="Sansinterligne"/>
      </w:pPr>
      <w:r w:rsidRPr="00E72418">
        <w:rPr>
          <w:rStyle w:val="Appelnotedebasdep"/>
        </w:rPr>
        <w:footnoteRef/>
      </w:r>
      <w:r w:rsidRPr="00E72418">
        <w:t xml:space="preserve"> </w:t>
      </w:r>
      <w:r w:rsidRPr="00E72418">
        <w:rPr>
          <w:lang w:val="en-US"/>
        </w:rPr>
        <w:t>Comme le relève généralement Arturo Porzecanski au sujet des arbitrages impliquant l’Argentine, « [m</w:t>
      </w:r>
      <w:r w:rsidRPr="00E72418">
        <w:rPr>
          <w:szCs w:val="20"/>
          <w:lang w:val="en-US"/>
        </w:rPr>
        <w:t>]</w:t>
      </w:r>
      <w:r w:rsidRPr="00E72418">
        <w:rPr>
          <w:lang w:val="en-US"/>
        </w:rPr>
        <w:t xml:space="preserve">ost claimants would allege that the emergency measures taken in 2001 and 2002 were inconsistent with the fair and equitable treatment standards set forth in various bilateral investment treaties to which Argentina was a party » (A. </w:t>
      </w:r>
      <w:r w:rsidRPr="00E72418">
        <w:rPr>
          <w:rFonts w:cs="Times New Roman"/>
          <w:smallCaps/>
          <w:szCs w:val="24"/>
          <w:shd w:val="clear" w:color="auto" w:fill="FFFFFF"/>
          <w:lang w:val="en-US"/>
        </w:rPr>
        <w:t>Porzecanski</w:t>
      </w:r>
      <w:r w:rsidRPr="00E72418">
        <w:rPr>
          <w:rFonts w:cs="Times New Roman"/>
          <w:szCs w:val="24"/>
          <w:shd w:val="clear" w:color="auto" w:fill="FFFFFF"/>
          <w:lang w:val="en-US"/>
        </w:rPr>
        <w:t xml:space="preserve">, </w:t>
      </w:r>
      <w:r w:rsidRPr="00E72418">
        <w:rPr>
          <w:rFonts w:cs="Times New Roman"/>
          <w:szCs w:val="24"/>
          <w:lang w:val="en-GB"/>
        </w:rPr>
        <w:t xml:space="preserve">« </w:t>
      </w:r>
      <w:r w:rsidRPr="00E72418">
        <w:rPr>
          <w:rFonts w:cs="Times New Roman"/>
          <w:szCs w:val="24"/>
          <w:lang w:val="en-US"/>
        </w:rPr>
        <w:t xml:space="preserve">The Origins of Argentina’s Litigation and Arbitration Saga, 2002-2016 </w:t>
      </w:r>
      <w:r w:rsidRPr="00E72418">
        <w:rPr>
          <w:rFonts w:cs="Times New Roman"/>
          <w:szCs w:val="24"/>
          <w:lang w:val="en-GB"/>
        </w:rPr>
        <w:t>»</w:t>
      </w:r>
      <w:r w:rsidRPr="00E72418">
        <w:rPr>
          <w:rFonts w:cs="Times New Roman"/>
          <w:szCs w:val="24"/>
          <w:lang w:val="en-US"/>
        </w:rPr>
        <w:t xml:space="preserve">, </w:t>
      </w:r>
      <w:r w:rsidRPr="00E72418">
        <w:rPr>
          <w:rFonts w:cs="Times New Roman"/>
          <w:i/>
          <w:szCs w:val="24"/>
          <w:lang w:val="en-US"/>
        </w:rPr>
        <w:t>op. cit.</w:t>
      </w:r>
      <w:r w:rsidRPr="00E72418">
        <w:rPr>
          <w:rFonts w:cs="Times New Roman"/>
          <w:szCs w:val="24"/>
          <w:lang w:val="en-US"/>
        </w:rPr>
        <w:t>, p. 73)</w:t>
      </w:r>
      <w:r w:rsidRPr="00E72418">
        <w:rPr>
          <w:lang w:val="en-US"/>
        </w:rPr>
        <w:t xml:space="preserve">. Sur le défaut argentin de 2001, voyez </w:t>
      </w:r>
      <w:r w:rsidRPr="00E72418">
        <w:rPr>
          <w:i/>
          <w:lang w:val="en-US"/>
        </w:rPr>
        <w:t>infra</w:t>
      </w:r>
      <w:r w:rsidRPr="00E72418">
        <w:rPr>
          <w:lang w:val="en-US"/>
        </w:rPr>
        <w:t xml:space="preserve"> n</w:t>
      </w:r>
      <w:r w:rsidRPr="00E72418">
        <w:rPr>
          <w:vertAlign w:val="superscript"/>
          <w:lang w:val="en-US"/>
        </w:rPr>
        <w:t>os</w:t>
      </w:r>
      <w:r w:rsidRPr="00E72418">
        <w:rPr>
          <w:lang w:val="en-US"/>
        </w:rPr>
        <w:t xml:space="preserve"> 86 et suiv.</w:t>
      </w:r>
    </w:p>
  </w:footnote>
  <w:footnote w:id="463">
    <w:p w14:paraId="01A0C89E" w14:textId="63EA216B" w:rsidR="0030147D" w:rsidRPr="00E72418" w:rsidRDefault="0030147D" w:rsidP="00675175">
      <w:pPr>
        <w:pStyle w:val="Sansinterligne"/>
      </w:pPr>
      <w:r w:rsidRPr="00E72418">
        <w:rPr>
          <w:rStyle w:val="Appelnotedebasdep"/>
        </w:rPr>
        <w:footnoteRef/>
      </w:r>
      <w:r w:rsidRPr="00E72418">
        <w:t xml:space="preserve"> Voyez notamment CIRDI, 4 août 2011, </w:t>
      </w:r>
      <w:r w:rsidRPr="00E72418">
        <w:rPr>
          <w:i/>
        </w:rPr>
        <w:t>Abaclat et al. c. la République argentine</w:t>
      </w:r>
      <w:r w:rsidRPr="00E72418">
        <w:t>, case n° ARB/07/5, decision on jurisdiction and admissibility, paragraphe 387(iii) : « </w:t>
      </w:r>
      <w:r w:rsidRPr="00E72418">
        <w:rPr>
          <w:lang w:val="en-US"/>
        </w:rPr>
        <w:t>[…</w:t>
      </w:r>
      <w:r w:rsidRPr="00E72418">
        <w:rPr>
          <w:szCs w:val="20"/>
          <w:lang w:val="en-US"/>
        </w:rPr>
        <w:t>]</w:t>
      </w:r>
      <w:r w:rsidRPr="00E72418">
        <w:rPr>
          <w:lang w:val="en-US"/>
        </w:rPr>
        <w:t xml:space="preserve"> </w:t>
      </w:r>
      <w:r w:rsidRPr="00E72418">
        <w:t xml:space="preserve">Claimants’ purchase of security entitlements in Argentinean bonds constitute a contribution which qualifies as </w:t>
      </w:r>
      <w:r w:rsidRPr="00E72418">
        <w:rPr>
          <w:lang w:val="en-US"/>
        </w:rPr>
        <w:t>“</w:t>
      </w:r>
      <w:r w:rsidRPr="00E72418">
        <w:t>investment</w:t>
      </w:r>
      <w:r w:rsidRPr="00E72418">
        <w:rPr>
          <w:lang w:val="en-US"/>
        </w:rPr>
        <w:t>”</w:t>
      </w:r>
      <w:r w:rsidRPr="00E72418">
        <w:t xml:space="preserve"> under Article 25 ICSID Convention ». Notons que le traité entre l’Italie et l’Argentine qui était en jeu disposait notamment que « investment includes </w:t>
      </w:r>
      <w:r w:rsidRPr="00E72418">
        <w:rPr>
          <w:lang w:val="en-US"/>
        </w:rPr>
        <w:t>[…</w:t>
      </w:r>
      <w:r w:rsidRPr="00E72418">
        <w:rPr>
          <w:szCs w:val="20"/>
          <w:lang w:val="en-US"/>
        </w:rPr>
        <w:t xml:space="preserve">] </w:t>
      </w:r>
      <w:r w:rsidRPr="00E72418">
        <w:t>bonds, private or public financial instruments or any other right to performances or services having economic value, including capitalized revenues </w:t>
      </w:r>
      <w:r w:rsidRPr="00E72418">
        <w:rPr>
          <w:lang w:val="en-US"/>
        </w:rPr>
        <w:t>[…</w:t>
      </w:r>
      <w:r w:rsidRPr="00E72418">
        <w:rPr>
          <w:szCs w:val="20"/>
          <w:lang w:val="en-US"/>
        </w:rPr>
        <w:t xml:space="preserve">] </w:t>
      </w:r>
      <w:r w:rsidRPr="00E72418">
        <w:t>» (</w:t>
      </w:r>
      <w:r w:rsidRPr="00E72418">
        <w:rPr>
          <w:i/>
        </w:rPr>
        <w:t>ibid.</w:t>
      </w:r>
      <w:r w:rsidRPr="00E72418">
        <w:t>, paragraphe 336).</w:t>
      </w:r>
    </w:p>
  </w:footnote>
  <w:footnote w:id="464">
    <w:p w14:paraId="103D0941" w14:textId="5E641183" w:rsidR="0030147D" w:rsidRPr="00E72418" w:rsidRDefault="0030147D" w:rsidP="00675175">
      <w:pPr>
        <w:pStyle w:val="Sansinterligne"/>
      </w:pPr>
      <w:r w:rsidRPr="00E72418">
        <w:rPr>
          <w:rStyle w:val="Appelnotedebasdep"/>
        </w:rPr>
        <w:footnoteRef/>
      </w:r>
      <w:r w:rsidRPr="00E72418">
        <w:t xml:space="preserve"> Sur le défaut grec, voyez </w:t>
      </w:r>
      <w:r w:rsidRPr="00E72418">
        <w:rPr>
          <w:i/>
        </w:rPr>
        <w:t>infra</w:t>
      </w:r>
      <w:r w:rsidRPr="00E72418">
        <w:t xml:space="preserve"> n° 119.</w:t>
      </w:r>
    </w:p>
  </w:footnote>
  <w:footnote w:id="465">
    <w:p w14:paraId="1098AA68" w14:textId="5C8A047E" w:rsidR="0030147D" w:rsidRPr="00E72418" w:rsidRDefault="0030147D" w:rsidP="00675175">
      <w:pPr>
        <w:pStyle w:val="Sansinterligne"/>
      </w:pPr>
      <w:r w:rsidRPr="00E72418">
        <w:rPr>
          <w:rStyle w:val="Appelnotedebasdep"/>
        </w:rPr>
        <w:footnoteRef/>
      </w:r>
      <w:r w:rsidRPr="00E72418">
        <w:t xml:space="preserve"> Le CIRDI relevant que, dans le traité entre la Slovaquie et la Grèce en jeu, l’investissement y était défini comme visant notamment « loans, claims to money or to any performance under contract having a financial value</w:t>
      </w:r>
      <w:r w:rsidRPr="00E72418">
        <w:rPr>
          <w:lang w:val="en-US"/>
        </w:rPr>
        <w:t xml:space="preserve"> </w:t>
      </w:r>
      <w:r w:rsidRPr="00E72418">
        <w:t>», refusa d’y assimiler les obligations souveraines sur lesquelles portait le contentieux dont il était saisi en ce que « </w:t>
      </w:r>
      <w:r w:rsidRPr="00E72418">
        <w:rPr>
          <w:lang w:val="en-US"/>
        </w:rPr>
        <w:t>[l</w:t>
      </w:r>
      <w:r w:rsidRPr="00E72418">
        <w:rPr>
          <w:szCs w:val="20"/>
          <w:lang w:val="en-US"/>
        </w:rPr>
        <w:t>]</w:t>
      </w:r>
      <w:r w:rsidRPr="00E72418">
        <w:t xml:space="preserve">oans and bonds are distinct financial products » (CIRDI, 9 avril 2015, </w:t>
      </w:r>
      <w:r w:rsidRPr="00E72418">
        <w:rPr>
          <w:i/>
        </w:rPr>
        <w:t>Poštová Banka, A.S. et Istrokapital SE c. la République hellénique</w:t>
      </w:r>
      <w:r w:rsidRPr="00E72418">
        <w:t>, case n° ARB/13/8, award, paragraphes 278 et 337).</w:t>
      </w:r>
    </w:p>
  </w:footnote>
  <w:footnote w:id="466">
    <w:p w14:paraId="4BCE01B4" w14:textId="05659801" w:rsidR="0030147D" w:rsidRPr="00E72418" w:rsidRDefault="0030147D" w:rsidP="00675175">
      <w:pPr>
        <w:pStyle w:val="Sansinterligne"/>
      </w:pPr>
      <w:r w:rsidRPr="00E72418">
        <w:rPr>
          <w:rStyle w:val="Appelnotedebasdep"/>
        </w:rPr>
        <w:footnoteRef/>
      </w:r>
      <w:r w:rsidRPr="00E72418">
        <w:t xml:space="preserve"> CIRDI, 9 avril 2015, </w:t>
      </w:r>
      <w:r w:rsidRPr="00E72418">
        <w:rPr>
          <w:i/>
        </w:rPr>
        <w:t>Poštová Banka, A.S. et Istrokapital SE c. la République hellénique</w:t>
      </w:r>
      <w:r w:rsidRPr="00E72418">
        <w:t>, case n° ARB/13/8, award, paragraphe 351 : « </w:t>
      </w:r>
      <w:r w:rsidRPr="00E72418">
        <w:rPr>
          <w:lang w:val="en-US"/>
        </w:rPr>
        <w:t>[t</w:t>
      </w:r>
      <w:r w:rsidRPr="00E72418">
        <w:rPr>
          <w:szCs w:val="20"/>
          <w:lang w:val="en-US"/>
        </w:rPr>
        <w:t>]</w:t>
      </w:r>
      <w:r w:rsidRPr="00E72418">
        <w:t xml:space="preserve">he Tribunal’s conclusion concerning the definition of “investment” under the Slovakia-Greece BIT </w:t>
      </w:r>
      <w:r w:rsidRPr="00E72418">
        <w:rPr>
          <w:lang w:val="en-US"/>
        </w:rPr>
        <w:t>[…</w:t>
      </w:r>
      <w:r w:rsidRPr="00E72418">
        <w:rPr>
          <w:szCs w:val="20"/>
          <w:lang w:val="en-US"/>
        </w:rPr>
        <w:t xml:space="preserve">] </w:t>
      </w:r>
      <w:r w:rsidRPr="00E72418">
        <w:t xml:space="preserve">makes it unnecessary for the Tribunal to resolve the dispute between the Parties concerning whether Poštová banka’s GGBs would be considered investments as that term is used in the Washington (ICSID) Convention. </w:t>
      </w:r>
      <w:r w:rsidRPr="00E72418">
        <w:rPr>
          <w:lang w:val="en-US"/>
        </w:rPr>
        <w:t>[…</w:t>
      </w:r>
      <w:r w:rsidRPr="00E72418">
        <w:rPr>
          <w:szCs w:val="20"/>
          <w:lang w:val="en-US"/>
        </w:rPr>
        <w:t>]</w:t>
      </w:r>
      <w:r w:rsidRPr="00E72418">
        <w:t xml:space="preserve"> ». Notons toutefois que la juridiction donna néanmoins le sens de sa conviction qu’il n’y avait pas d’investissement au sens de la Convention CIRDI (voyez notamment le paragraphe 371, </w:t>
      </w:r>
      <w:r w:rsidRPr="00E72418">
        <w:rPr>
          <w:i/>
        </w:rPr>
        <w:t>in fine</w:t>
      </w:r>
      <w:r w:rsidRPr="00E72418">
        <w:t xml:space="preserve"> : « under the objective approach of the definition of what constitutes an investment, </w:t>
      </w:r>
      <w:r w:rsidRPr="00E72418">
        <w:rPr>
          <w:i/>
        </w:rPr>
        <w:t>i.e.</w:t>
      </w:r>
      <w:r w:rsidRPr="00E72418">
        <w:t xml:space="preserve"> a contribution to an economic venture of a certain duration implying an operational risk, the acquisition by Poštová banka of the interests in GGBs would not constitute an investment, and as a consequence, if that criteria were applied, the Tribunal could not assert jurisdiction »).</w:t>
      </w:r>
    </w:p>
  </w:footnote>
  <w:footnote w:id="467">
    <w:p w14:paraId="79A45A15" w14:textId="191F0ABE" w:rsidR="0030147D" w:rsidRPr="00E72418" w:rsidRDefault="0030147D" w:rsidP="00262026">
      <w:pPr>
        <w:pStyle w:val="Sansinterligne"/>
        <w:rPr>
          <w:lang w:val="fr-FR"/>
        </w:rPr>
      </w:pPr>
      <w:r w:rsidRPr="00E72418">
        <w:rPr>
          <w:rStyle w:val="Appelnotedebasdep"/>
        </w:rPr>
        <w:footnoteRef/>
      </w:r>
      <w:r w:rsidRPr="00E72418">
        <w:t xml:space="preserve"> L’on s’en convainc davantage au constat fait par Pierre d’Argent que « </w:t>
      </w:r>
      <w:r w:rsidRPr="00E72418">
        <w:rPr>
          <w:lang w:val="en-US"/>
        </w:rPr>
        <w:t>[t</w:t>
      </w:r>
      <w:r w:rsidRPr="00E72418">
        <w:rPr>
          <w:szCs w:val="20"/>
          <w:lang w:val="en-US"/>
        </w:rPr>
        <w:t>]</w:t>
      </w:r>
      <w:r w:rsidRPr="00E72418">
        <w:t xml:space="preserve">he law of international investments </w:t>
      </w:r>
      <w:r w:rsidRPr="00E72418">
        <w:rPr>
          <w:lang w:val="en-US"/>
        </w:rPr>
        <w:t>[…</w:t>
      </w:r>
      <w:r w:rsidRPr="00E72418">
        <w:rPr>
          <w:szCs w:val="20"/>
          <w:lang w:val="en-US"/>
        </w:rPr>
        <w:t xml:space="preserve">] </w:t>
      </w:r>
      <w:r w:rsidRPr="00E72418">
        <w:t xml:space="preserve">is the cauldron in which all the themes of contemporary politics are thrown together and stirred: sovereignty, globalisation, finance, trade, environment, development, human rights – through foreign investment operations, all are linked together or opposed to each other in various combinations » (P. </w:t>
      </w:r>
      <w:r w:rsidRPr="00E72418">
        <w:rPr>
          <w:smallCaps/>
        </w:rPr>
        <w:t>d’Argent</w:t>
      </w:r>
      <w:r w:rsidRPr="00E72418">
        <w:t xml:space="preserve">, « Introduction » in T. </w:t>
      </w:r>
      <w:r w:rsidRPr="00E72418">
        <w:rPr>
          <w:smallCaps/>
        </w:rPr>
        <w:t>Gazzini</w:t>
      </w:r>
      <w:r w:rsidRPr="00E72418">
        <w:t xml:space="preserve"> et E. </w:t>
      </w:r>
      <w:r w:rsidRPr="00E72418">
        <w:rPr>
          <w:smallCaps/>
        </w:rPr>
        <w:t>De Brabandere</w:t>
      </w:r>
      <w:r w:rsidRPr="00E72418">
        <w:t xml:space="preserve"> (éd.), </w:t>
      </w:r>
      <w:r w:rsidRPr="00E72418">
        <w:rPr>
          <w:i/>
        </w:rPr>
        <w:t xml:space="preserve">International Investment Law </w:t>
      </w:r>
      <w:r w:rsidRPr="00E72418">
        <w:t>–</w:t>
      </w:r>
      <w:r w:rsidRPr="00E72418">
        <w:rPr>
          <w:i/>
        </w:rPr>
        <w:t xml:space="preserve"> The Sources of Rights and Obligations</w:t>
      </w:r>
      <w:r w:rsidRPr="00E72418">
        <w:t xml:space="preserve">, </w:t>
      </w:r>
      <w:r w:rsidRPr="00E72418">
        <w:rPr>
          <w:rFonts w:cs="Times New Roman"/>
          <w:szCs w:val="24"/>
        </w:rPr>
        <w:t>Martinus Nijhoff</w:t>
      </w:r>
      <w:r w:rsidRPr="00E72418">
        <w:rPr>
          <w:rFonts w:cs="Times New Roman"/>
          <w:i/>
          <w:iCs/>
          <w:szCs w:val="24"/>
        </w:rPr>
        <w:t xml:space="preserve"> </w:t>
      </w:r>
      <w:r w:rsidRPr="00E72418">
        <w:rPr>
          <w:rFonts w:cs="Times New Roman"/>
          <w:szCs w:val="24"/>
        </w:rPr>
        <w:t>Publishers</w:t>
      </w:r>
      <w:r w:rsidRPr="00E72418">
        <w:t>, 2012, p. 1).</w:t>
      </w:r>
    </w:p>
  </w:footnote>
  <w:footnote w:id="468">
    <w:p w14:paraId="39243523" w14:textId="771714E3" w:rsidR="0030147D" w:rsidRPr="00E72418" w:rsidRDefault="0030147D" w:rsidP="00675175">
      <w:pPr>
        <w:pStyle w:val="Sansinterligne"/>
      </w:pPr>
      <w:r w:rsidRPr="00E72418">
        <w:rPr>
          <w:rStyle w:val="Appelnotedebasdep"/>
        </w:rPr>
        <w:footnoteRef/>
      </w:r>
      <w:r w:rsidRPr="00E72418">
        <w:t xml:space="preserve"> D.</w:t>
      </w:r>
      <w:r w:rsidRPr="00E72418">
        <w:rPr>
          <w:i/>
        </w:rPr>
        <w:t xml:space="preserve"> </w:t>
      </w:r>
      <w:r w:rsidRPr="00E72418">
        <w:rPr>
          <w:rStyle w:val="Titre4Car"/>
          <w:rFonts w:ascii="Times New Roman" w:hAnsi="Times New Roman" w:cs="Times New Roman"/>
          <w:i w:val="0"/>
          <w:smallCaps/>
          <w:color w:val="auto"/>
        </w:rPr>
        <w:t>Carreau</w:t>
      </w:r>
      <w:r w:rsidRPr="00E72418">
        <w:rPr>
          <w:rStyle w:val="Titre4Car"/>
          <w:rFonts w:ascii="Times New Roman" w:hAnsi="Times New Roman" w:cs="Times New Roman"/>
          <w:i w:val="0"/>
          <w:color w:val="auto"/>
        </w:rPr>
        <w:t xml:space="preserve"> et C. </w:t>
      </w:r>
      <w:r w:rsidRPr="00E72418">
        <w:rPr>
          <w:rStyle w:val="Titre4Car"/>
          <w:rFonts w:ascii="Times New Roman" w:hAnsi="Times New Roman" w:cs="Times New Roman"/>
          <w:i w:val="0"/>
          <w:smallCaps/>
          <w:color w:val="auto"/>
        </w:rPr>
        <w:t>Kleiner</w:t>
      </w:r>
      <w:r w:rsidRPr="00E72418">
        <w:rPr>
          <w:rStyle w:val="Titre4Car"/>
          <w:rFonts w:ascii="Times New Roman" w:hAnsi="Times New Roman" w:cs="Times New Roman"/>
          <w:i w:val="0"/>
          <w:color w:val="auto"/>
        </w:rPr>
        <w:t>, C., « Dettes d’</w:t>
      </w:r>
      <w:r w:rsidRPr="00E72418">
        <w:rPr>
          <w:rFonts w:ascii="Times New Roman" w:hAnsi="Times New Roman" w:cs="Times New Roman"/>
          <w:lang w:eastAsia="fr-BE"/>
        </w:rPr>
        <w:t>É</w:t>
      </w:r>
      <w:r w:rsidRPr="00E72418">
        <w:rPr>
          <w:rStyle w:val="Titre4Car"/>
          <w:rFonts w:ascii="Times New Roman" w:hAnsi="Times New Roman" w:cs="Times New Roman"/>
          <w:i w:val="0"/>
          <w:color w:val="auto"/>
        </w:rPr>
        <w:t xml:space="preserve">tat », </w:t>
      </w:r>
      <w:r w:rsidRPr="00E72418">
        <w:rPr>
          <w:i/>
          <w:szCs w:val="20"/>
          <w:lang w:val="en-US"/>
        </w:rPr>
        <w:t>op. cit.</w:t>
      </w:r>
      <w:r w:rsidRPr="00E72418">
        <w:rPr>
          <w:rStyle w:val="Titre4Car"/>
          <w:rFonts w:ascii="Times New Roman" w:hAnsi="Times New Roman" w:cs="Times New Roman"/>
          <w:i w:val="0"/>
          <w:color w:val="auto"/>
        </w:rPr>
        <w:t>, n</w:t>
      </w:r>
      <w:r w:rsidRPr="00E72418">
        <w:rPr>
          <w:rStyle w:val="Titre4Car"/>
          <w:rFonts w:ascii="Times New Roman" w:hAnsi="Times New Roman" w:cs="Times New Roman"/>
          <w:i w:val="0"/>
          <w:color w:val="auto"/>
          <w:vertAlign w:val="superscript"/>
        </w:rPr>
        <w:t xml:space="preserve">o </w:t>
      </w:r>
      <w:r w:rsidRPr="00E72418">
        <w:t>111.</w:t>
      </w:r>
    </w:p>
  </w:footnote>
  <w:footnote w:id="469">
    <w:p w14:paraId="3D1760AC" w14:textId="40ED1600" w:rsidR="0030147D" w:rsidRPr="00E72418" w:rsidRDefault="0030147D" w:rsidP="00675175">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14</w:t>
      </w:r>
      <w:r w:rsidRPr="00E72418">
        <w:rPr>
          <w:rFonts w:cs="Times New Roman"/>
        </w:rPr>
        <w:t xml:space="preserve">. Pour plus de précisions sur les lacunes de l’approche arbitrale pour le règlement des crises de la dette souveraine, voyez notamment C. </w:t>
      </w:r>
      <w:r w:rsidRPr="00E72418">
        <w:rPr>
          <w:smallCaps/>
        </w:rPr>
        <w:t xml:space="preserve">Lequesne-Roth, </w:t>
      </w:r>
      <w:r w:rsidRPr="00E72418">
        <w:t xml:space="preserve">« Le contentieux arbitral des dettes souveraines », </w:t>
      </w:r>
      <w:r w:rsidRPr="00E72418">
        <w:rPr>
          <w:i/>
        </w:rPr>
        <w:t>R.B.D.I.</w:t>
      </w:r>
      <w:r w:rsidRPr="00E72418">
        <w:t>, 2016, pp. 534 et suiv.</w:t>
      </w:r>
    </w:p>
  </w:footnote>
  <w:footnote w:id="470">
    <w:p w14:paraId="44E481F9" w14:textId="7514D9BA" w:rsidR="0030147D" w:rsidRPr="00E72418" w:rsidRDefault="0030147D" w:rsidP="00675175">
      <w:pPr>
        <w:pStyle w:val="Sansinterligne"/>
        <w:rPr>
          <w:lang w:eastAsia="fr-BE"/>
        </w:rPr>
      </w:pPr>
      <w:r w:rsidRPr="00E72418">
        <w:rPr>
          <w:rStyle w:val="Appelnotedebasdep"/>
        </w:rPr>
        <w:footnoteRef/>
      </w:r>
      <w:r w:rsidRPr="00E72418">
        <w:t xml:space="preserve"> Voyez CIRDI, </w:t>
      </w:r>
      <w:r w:rsidRPr="00E72418">
        <w:rPr>
          <w:lang w:eastAsia="fr-BE"/>
        </w:rPr>
        <w:t xml:space="preserve">31 juillet 2001, </w:t>
      </w:r>
      <w:r w:rsidRPr="00E72418">
        <w:rPr>
          <w:i/>
          <w:lang w:eastAsia="fr-BE"/>
        </w:rPr>
        <w:t>Salini Costruttori S.p.A. and Italstrade S.p.A. c. le Royaume du Maroc</w:t>
      </w:r>
      <w:r w:rsidRPr="00E72418">
        <w:rPr>
          <w:lang w:eastAsia="fr-BE"/>
        </w:rPr>
        <w:t xml:space="preserve">, case n° ARB/00/4, </w:t>
      </w:r>
      <w:r w:rsidRPr="00E72418">
        <w:t>decision on jurisdiction</w:t>
      </w:r>
      <w:r w:rsidRPr="00E72418">
        <w:rPr>
          <w:lang w:eastAsia="fr-BE"/>
        </w:rPr>
        <w:t>.</w:t>
      </w:r>
    </w:p>
  </w:footnote>
  <w:footnote w:id="471">
    <w:p w14:paraId="0D5AFEFC" w14:textId="77777777" w:rsidR="0030147D" w:rsidRPr="00E72418" w:rsidRDefault="0030147D" w:rsidP="00675175">
      <w:pPr>
        <w:pStyle w:val="Sansinterligne"/>
      </w:pPr>
      <w:r w:rsidRPr="00E72418">
        <w:rPr>
          <w:rStyle w:val="Appelnotedebasdep"/>
        </w:rPr>
        <w:footnoteRef/>
      </w:r>
      <w:r w:rsidRPr="00E72418">
        <w:t xml:space="preserve"> </w:t>
      </w:r>
      <w:r w:rsidRPr="00E72418">
        <w:rPr>
          <w:i/>
        </w:rPr>
        <w:t>Ibid.</w:t>
      </w:r>
      <w:r w:rsidRPr="00E72418">
        <w:t>, paragraphe 52.</w:t>
      </w:r>
    </w:p>
  </w:footnote>
  <w:footnote w:id="472">
    <w:p w14:paraId="76F4AEA2" w14:textId="5716E842" w:rsidR="0030147D" w:rsidRPr="00E72418" w:rsidRDefault="0030147D" w:rsidP="00675175">
      <w:pPr>
        <w:pStyle w:val="Sansinterligne"/>
      </w:pPr>
      <w:r w:rsidRPr="00E72418">
        <w:rPr>
          <w:rStyle w:val="Appelnotedebasdep"/>
        </w:rPr>
        <w:footnoteRef/>
      </w:r>
      <w:r w:rsidRPr="00E72418">
        <w:t xml:space="preserve"> Voyez également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237.</w:t>
      </w:r>
    </w:p>
  </w:footnote>
  <w:footnote w:id="473">
    <w:p w14:paraId="19D8A620" w14:textId="64216B37"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Sticks », </w:t>
      </w:r>
      <w:r w:rsidRPr="00E72418">
        <w:rPr>
          <w:i/>
          <w:szCs w:val="20"/>
          <w:lang w:val="en-US"/>
        </w:rPr>
        <w:t>op. cit.</w:t>
      </w:r>
      <w:r w:rsidRPr="00E72418">
        <w:rPr>
          <w:szCs w:val="20"/>
          <w:lang w:val="en-US"/>
        </w:rPr>
        <w:t>, p. 23.</w:t>
      </w:r>
    </w:p>
  </w:footnote>
  <w:footnote w:id="474">
    <w:p w14:paraId="2769D6B2" w14:textId="34BC3BC4" w:rsidR="0030147D" w:rsidRPr="00E72418" w:rsidRDefault="0030147D" w:rsidP="007C57E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475">
    <w:p w14:paraId="225E1F91" w14:textId="10C51025" w:rsidR="0030147D" w:rsidRPr="00E72418" w:rsidRDefault="0030147D" w:rsidP="007C57EF">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color w:val="auto"/>
          <w:szCs w:val="20"/>
        </w:rPr>
        <w:t xml:space="preserve">Voyez </w:t>
      </w:r>
      <w:r w:rsidRPr="00E72418">
        <w:rPr>
          <w:rStyle w:val="Titre4Car"/>
          <w:rFonts w:ascii="Times" w:eastAsiaTheme="minorHAnsi" w:hAnsi="Times" w:cstheme="minorBidi"/>
          <w:iCs w:val="0"/>
          <w:color w:val="auto"/>
          <w:szCs w:val="20"/>
        </w:rPr>
        <w:t>infra</w:t>
      </w:r>
      <w:r w:rsidRPr="00E72418">
        <w:rPr>
          <w:rStyle w:val="Titre4Car"/>
          <w:rFonts w:ascii="Times" w:eastAsiaTheme="minorHAnsi" w:hAnsi="Times" w:cstheme="minorBidi"/>
          <w:i w:val="0"/>
          <w:iCs w:val="0"/>
          <w:color w:val="auto"/>
          <w:szCs w:val="20"/>
        </w:rPr>
        <w:t xml:space="preserve"> n</w:t>
      </w:r>
      <w:r w:rsidRPr="00E72418">
        <w:rPr>
          <w:rStyle w:val="Titre4Car"/>
          <w:rFonts w:ascii="Times" w:eastAsiaTheme="minorHAnsi" w:hAnsi="Times" w:cstheme="minorBidi"/>
          <w:i w:val="0"/>
          <w:iCs w:val="0"/>
          <w:color w:val="auto"/>
          <w:szCs w:val="20"/>
          <w:vertAlign w:val="superscript"/>
        </w:rPr>
        <w:t>os</w:t>
      </w:r>
      <w:r w:rsidRPr="00E72418">
        <w:rPr>
          <w:rStyle w:val="Titre4Car"/>
          <w:rFonts w:ascii="Times" w:eastAsiaTheme="minorHAnsi" w:hAnsi="Times" w:cstheme="minorBidi"/>
          <w:i w:val="0"/>
          <w:iCs w:val="0"/>
          <w:color w:val="auto"/>
          <w:szCs w:val="20"/>
        </w:rPr>
        <w:t xml:space="preserve"> 218 et suiv.</w:t>
      </w:r>
    </w:p>
  </w:footnote>
  <w:footnote w:id="476">
    <w:p w14:paraId="0FEDBA4C" w14:textId="2A470618" w:rsidR="0030147D" w:rsidRPr="00E72418" w:rsidRDefault="0030147D" w:rsidP="007C57EF">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xml:space="preserve">, p. 110. </w:t>
      </w:r>
      <w:r w:rsidRPr="00E72418">
        <w:rPr>
          <w:szCs w:val="20"/>
          <w:lang w:val="en-US"/>
        </w:rPr>
        <w:t xml:space="preserve">En 2006, Hal Scott écrivait que « [t]he bottom line is that while creditors have been able to obtain judgments that sovereign defaulters must repay their debt, they have been unable </w:t>
      </w:r>
      <w:r w:rsidRPr="00E72418">
        <w:rPr>
          <w:rFonts w:ascii="Times New Roman" w:hAnsi="Times New Roman" w:cs="Times New Roman"/>
          <w:b/>
          <w:szCs w:val="20"/>
        </w:rPr>
        <w:t>–</w:t>
      </w:r>
      <w:r w:rsidRPr="00E72418">
        <w:rPr>
          <w:szCs w:val="20"/>
          <w:lang w:val="en-US"/>
        </w:rPr>
        <w:t xml:space="preserve"> with a few notable exceptions </w:t>
      </w:r>
      <w:r w:rsidRPr="00E72418">
        <w:rPr>
          <w:rFonts w:ascii="Times New Roman" w:hAnsi="Times New Roman" w:cs="Times New Roman"/>
          <w:b/>
          <w:szCs w:val="20"/>
        </w:rPr>
        <w:t>–</w:t>
      </w:r>
      <w:r w:rsidRPr="00E72418">
        <w:rPr>
          <w:szCs w:val="20"/>
          <w:lang w:val="en-US"/>
        </w:rPr>
        <w:t xml:space="preserve"> to attach assets in satisfaction of their judgments » (</w:t>
      </w:r>
      <w:r w:rsidRPr="00E72418">
        <w:rPr>
          <w:smallCaps/>
          <w:szCs w:val="20"/>
          <w:lang w:val="en-US"/>
        </w:rPr>
        <w:t>H. Scott</w:t>
      </w:r>
      <w:r w:rsidRPr="00E72418">
        <w:rPr>
          <w:szCs w:val="20"/>
          <w:lang w:val="en-US"/>
        </w:rPr>
        <w:t>, « Sovereign Debt Defaults: Cry for the United States, not Argentina », Critical Legal Issues, Working Paper Series 140, 2006, p. 17).</w:t>
      </w:r>
    </w:p>
  </w:footnote>
  <w:footnote w:id="477">
    <w:p w14:paraId="2E10A710" w14:textId="6507D720"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L’impossible collecte d’informations peut être illustrée par une différence retrouvée dans deux rapports du Comité consultatif du Conseil des droits de l’homme des Nations Unies portant sur les activités des fonds dits « vautours » et leurs incidences sur les droits de l’homme. Dans un rapport de 2016, le Comité remarquait qu’ « [e]ntre 1976 et 2010, rien qu’aux États-Unis et au Royaume-Uni, environ 120 procès ont été intentés à 26 pays défaillants » tandis que dans un rapport de 2019, le Comité notait qu’ « [e]ntre 1976 et 2010, quelque 158 procès ont été intentés à 34 pays défaillants rien qu’aux États-Unis et au Royaume-Uni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xml:space="preserve">, p. 10 et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8). L’on peut également remarquer une différence présente dans deux versions d’un rapport de Julian Schumacher </w:t>
      </w:r>
      <w:r w:rsidRPr="00E72418">
        <w:rPr>
          <w:i/>
          <w:szCs w:val="20"/>
        </w:rPr>
        <w:t>et al.</w:t>
      </w:r>
      <w:r w:rsidRPr="00E72418">
        <w:rPr>
          <w:szCs w:val="20"/>
        </w:rPr>
        <w:t xml:space="preserve"> si l’on y compare le « Table 1 : Litigation cases by decade, region, and type of creditor »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version du 31 décembre 2013 et version du 7 mars 2018).</w:t>
      </w:r>
    </w:p>
  </w:footnote>
  <w:footnote w:id="478">
    <w:p w14:paraId="4FE5E628" w14:textId="59EEDA2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Au vu des enjeux importants occasionnés par les dettes souveraines, les débiteurs peuvent</w:t>
      </w:r>
      <w:r>
        <w:rPr>
          <w:szCs w:val="20"/>
        </w:rPr>
        <w:t>,</w:t>
      </w:r>
      <w:r w:rsidRPr="00E72418">
        <w:rPr>
          <w:szCs w:val="20"/>
        </w:rPr>
        <w:t xml:space="preserve"> dans certains cas</w:t>
      </w:r>
      <w:r>
        <w:rPr>
          <w:szCs w:val="20"/>
        </w:rPr>
        <w:t>,</w:t>
      </w:r>
      <w:r w:rsidRPr="00E72418">
        <w:rPr>
          <w:szCs w:val="20"/>
        </w:rPr>
        <w:t xml:space="preserve"> préférer résoudre leurs conflits de manière discrète afin de préserver leur crédit d’emprunteurs (voyez </w:t>
      </w:r>
      <w:r w:rsidRPr="00E72418">
        <w:rPr>
          <w:i/>
          <w:szCs w:val="20"/>
        </w:rPr>
        <w:t>supra</w:t>
      </w:r>
      <w:r w:rsidRPr="00E72418">
        <w:rPr>
          <w:szCs w:val="20"/>
        </w:rPr>
        <w:t xml:space="preserve"> n° 28).</w:t>
      </w:r>
    </w:p>
  </w:footnote>
  <w:footnote w:id="479">
    <w:p w14:paraId="41BB6219" w14:textId="339B76AF" w:rsidR="0030147D" w:rsidRPr="00E72418" w:rsidRDefault="0030147D" w:rsidP="00173937">
      <w:pPr>
        <w:pStyle w:val="Sansinterligne"/>
        <w:rPr>
          <w:szCs w:val="20"/>
        </w:rPr>
      </w:pPr>
      <w:r w:rsidRPr="00E72418">
        <w:rPr>
          <w:rStyle w:val="Appelnotedebasdep"/>
          <w:szCs w:val="20"/>
        </w:rPr>
        <w:footnoteRef/>
      </w:r>
      <w:r w:rsidRPr="00E72418">
        <w:rPr>
          <w:szCs w:val="20"/>
        </w:rPr>
        <w:t xml:space="preserve"> Pour plus de précisions sur ces fonds et sur la caractérisation que nous en proposons,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122 et suiv.</w:t>
      </w:r>
    </w:p>
  </w:footnote>
  <w:footnote w:id="480">
    <w:p w14:paraId="4CAF438E" w14:textId="43AF324D" w:rsidR="0030147D" w:rsidRPr="00E72418" w:rsidRDefault="0030147D" w:rsidP="002A5235">
      <w:pPr>
        <w:pStyle w:val="Sansinterligne"/>
        <w:rPr>
          <w:szCs w:val="20"/>
        </w:rPr>
      </w:pPr>
      <w:r w:rsidRPr="00E72418">
        <w:rPr>
          <w:rStyle w:val="Appelnotedebasdep"/>
          <w:szCs w:val="20"/>
        </w:rPr>
        <w:footnoteRef/>
      </w:r>
      <w:r w:rsidRPr="00E72418">
        <w:rPr>
          <w:szCs w:val="20"/>
        </w:rPr>
        <w:t xml:space="preserve"> Le contentieux ayant opposé la société </w:t>
      </w:r>
      <w:r w:rsidRPr="00E72418">
        <w:rPr>
          <w:i/>
          <w:szCs w:val="20"/>
        </w:rPr>
        <w:t>Elliott Associates</w:t>
      </w:r>
      <w:r w:rsidRPr="00E72418">
        <w:rPr>
          <w:szCs w:val="20"/>
        </w:rPr>
        <w:t xml:space="preserve"> à la République du Pérou est souvent présenté comme pionnier en matière de spéculation sur les dettes souveraines. Sur ce contentieux,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100 et suiv.</w:t>
      </w:r>
    </w:p>
  </w:footnote>
  <w:footnote w:id="481">
    <w:p w14:paraId="65CACA38" w14:textId="578D11EA" w:rsidR="0030147D" w:rsidRPr="00E72418" w:rsidRDefault="0030147D" w:rsidP="00426228">
      <w:pPr>
        <w:pStyle w:val="Sansinterligne"/>
      </w:pPr>
      <w:r w:rsidRPr="00E72418">
        <w:rPr>
          <w:rStyle w:val="Appelnotedebasdep"/>
        </w:rPr>
        <w:footnoteRef/>
      </w:r>
      <w:r w:rsidRPr="00E72418">
        <w:t xml:space="preserve"> </w:t>
      </w:r>
      <w:r w:rsidRPr="00E72418">
        <w:rPr>
          <w:rFonts w:cs="Times New Roman"/>
          <w:smallCaps/>
          <w:szCs w:val="24"/>
        </w:rPr>
        <w:t>R. Bismuth, « </w:t>
      </w:r>
      <w:r w:rsidRPr="00E72418">
        <w:t>Observations sous Cass., 28 septembre 2011, pourvoi n° 09-72.057 et Cass., 28 mars 2013, pourvois n° 10-25.938, n° 11-10.450</w:t>
      </w:r>
      <w:r w:rsidRPr="00E72418">
        <w:rPr>
          <w:rStyle w:val="apple-converted-space"/>
        </w:rPr>
        <w:t xml:space="preserve"> et n° 11-13.323 », in A. </w:t>
      </w:r>
      <w:r w:rsidRPr="00E72418">
        <w:rPr>
          <w:rFonts w:cs="Times New Roman"/>
          <w:smallCaps/>
          <w:szCs w:val="24"/>
        </w:rPr>
        <w:t>Miron</w:t>
      </w:r>
      <w:r w:rsidRPr="00E72418">
        <w:rPr>
          <w:rFonts w:cs="Times New Roman"/>
          <w:szCs w:val="24"/>
        </w:rPr>
        <w:t xml:space="preserve"> et A. </w:t>
      </w:r>
      <w:r w:rsidRPr="00E72418">
        <w:rPr>
          <w:rFonts w:cs="Times New Roman"/>
          <w:smallCaps/>
          <w:szCs w:val="24"/>
        </w:rPr>
        <w:t>Pellet</w:t>
      </w:r>
      <w:r w:rsidRPr="00E72418">
        <w:rPr>
          <w:rFonts w:cs="Times New Roman"/>
          <w:szCs w:val="24"/>
        </w:rPr>
        <w:t xml:space="preserve"> (dir.), </w:t>
      </w:r>
      <w:r w:rsidRPr="00E72418">
        <w:rPr>
          <w:rFonts w:cs="Times New Roman"/>
          <w:i/>
          <w:szCs w:val="24"/>
        </w:rPr>
        <w:t>Les grandes décisions de la jurisprudence française de droit international public</w:t>
      </w:r>
      <w:r w:rsidRPr="00E72418">
        <w:rPr>
          <w:rFonts w:cs="Times New Roman"/>
          <w:szCs w:val="24"/>
        </w:rPr>
        <w:t>, Dalloz, 2015, p. 635.</w:t>
      </w:r>
    </w:p>
  </w:footnote>
  <w:footnote w:id="482">
    <w:p w14:paraId="7ABF7CB1" w14:textId="6957F394"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S. Scott</w:t>
      </w:r>
      <w:r w:rsidRPr="00E72418">
        <w:rPr>
          <w:szCs w:val="20"/>
          <w:lang w:val="en-US"/>
        </w:rPr>
        <w:t xml:space="preserve">, « Vultures, debt and desire: the vulture metaphor and Argentina’s sovereign debt crisis », </w:t>
      </w:r>
      <w:r w:rsidRPr="00E72418">
        <w:rPr>
          <w:i/>
          <w:szCs w:val="20"/>
          <w:lang w:val="en-US"/>
        </w:rPr>
        <w:t>op. cit.</w:t>
      </w:r>
      <w:r w:rsidRPr="00E72418">
        <w:rPr>
          <w:szCs w:val="20"/>
          <w:lang w:val="en-US"/>
        </w:rPr>
        <w:t>, p. 2. Dans son article, l’auteure vise ainsi notamment les « official government statements made in court, speeches and press releases made by the President and the Finance minister, and by government representatives to the United Nations » (</w:t>
      </w:r>
      <w:r w:rsidRPr="00E72418">
        <w:rPr>
          <w:i/>
          <w:szCs w:val="20"/>
          <w:lang w:val="en-US"/>
        </w:rPr>
        <w:t>ibid.</w:t>
      </w:r>
      <w:r w:rsidRPr="00E72418">
        <w:rPr>
          <w:szCs w:val="20"/>
          <w:lang w:val="en-US"/>
        </w:rPr>
        <w:t xml:space="preserve">, p. 11). </w:t>
      </w:r>
    </w:p>
  </w:footnote>
  <w:footnote w:id="483">
    <w:p w14:paraId="5C2F5065" w14:textId="1A4D5C21" w:rsidR="0030147D" w:rsidRPr="00E72418" w:rsidRDefault="0030147D" w:rsidP="001B6CD5">
      <w:pPr>
        <w:pStyle w:val="Sansinterligne"/>
      </w:pPr>
      <w:r w:rsidRPr="00E72418">
        <w:rPr>
          <w:rStyle w:val="Appelnotedebasdep"/>
        </w:rPr>
        <w:footnoteRef/>
      </w:r>
      <w:r w:rsidRPr="00E72418">
        <w:t xml:space="preserve"> J. </w:t>
      </w:r>
      <w:r w:rsidRPr="00E72418">
        <w:rPr>
          <w:smallCaps/>
        </w:rPr>
        <w:t>Cantamutto</w:t>
      </w:r>
      <w:r w:rsidRPr="00E72418">
        <w:t xml:space="preserve"> et D. </w:t>
      </w:r>
      <w:r w:rsidRPr="00E72418">
        <w:rPr>
          <w:smallCaps/>
        </w:rPr>
        <w:t>Ozarow</w:t>
      </w:r>
      <w:r w:rsidRPr="00E72418">
        <w:t xml:space="preserve">, « Serial payers, serial losers? The political economy of Argentina’s public debt », </w:t>
      </w:r>
      <w:r w:rsidRPr="00E72418">
        <w:rPr>
          <w:i/>
        </w:rPr>
        <w:t>Econ. Soc.</w:t>
      </w:r>
      <w:r w:rsidRPr="00E72418">
        <w:t>, 2016, p. 138.</w:t>
      </w:r>
    </w:p>
  </w:footnote>
  <w:footnote w:id="484">
    <w:p w14:paraId="444FD89C" w14:textId="10D5CF2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CIRDI, 3 octobre 2006, </w:t>
      </w:r>
      <w:r w:rsidRPr="00E72418">
        <w:rPr>
          <w:i/>
          <w:szCs w:val="20"/>
          <w:lang w:val="en-US"/>
        </w:rPr>
        <w:t>LG&amp;E Energy Corp., LG&amp;E Capital Corp. and LG&amp;E International Inc. v. Argentine Republic</w:t>
      </w:r>
      <w:r w:rsidRPr="00E72418">
        <w:rPr>
          <w:szCs w:val="20"/>
          <w:lang w:val="en-US"/>
        </w:rPr>
        <w:t>, case nº ARB/02/1, decision on liability, p. 11, point 35.</w:t>
      </w:r>
    </w:p>
  </w:footnote>
  <w:footnote w:id="485">
    <w:p w14:paraId="4635B3DC" w14:textId="2AF310E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68.</w:t>
      </w:r>
    </w:p>
  </w:footnote>
  <w:footnote w:id="486">
    <w:p w14:paraId="1541DAF0" w14:textId="7777777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la loi n° 23.928 du 27 mars 1991, dite la « convertibility law ». Sur cette loi et les visées politiques qu’elle traduisait, voyez notamment </w:t>
      </w:r>
      <w:r w:rsidRPr="00E72418">
        <w:rPr>
          <w:smallCaps/>
          <w:szCs w:val="20"/>
        </w:rPr>
        <w:t>P. Chena</w:t>
      </w:r>
      <w:r w:rsidRPr="00E72418">
        <w:rPr>
          <w:szCs w:val="20"/>
        </w:rPr>
        <w:t xml:space="preserve">, « L’ordre monétaire et la dette souveraine en Argentine », </w:t>
      </w:r>
      <w:r w:rsidRPr="00E72418">
        <w:rPr>
          <w:i/>
          <w:szCs w:val="20"/>
        </w:rPr>
        <w:t>Savoir/agir</w:t>
      </w:r>
      <w:r w:rsidRPr="00E72418">
        <w:rPr>
          <w:szCs w:val="20"/>
        </w:rPr>
        <w:t>, 2016, pp. 33 à 44. L’auteur explique que la loi participait d’une logique néolibérale favorisant les intérêts économiques des créanciers financiers par opposition à la logique dite « néo-développementaliste » donnant priorité aux intérêts des débiteurs.</w:t>
      </w:r>
    </w:p>
  </w:footnote>
  <w:footnote w:id="487">
    <w:p w14:paraId="1A78DEC4" w14:textId="1BAE00DC"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J. Reth</w:t>
      </w:r>
      <w:r w:rsidRPr="00E72418">
        <w:t xml:space="preserve">, « Just Your Run-of-the-Mill Sovereign Debt Crisis: An Analysis of </w:t>
      </w:r>
      <w:r w:rsidRPr="00E72418">
        <w:rPr>
          <w:i/>
        </w:rPr>
        <w:t>Republic of Argentina v. NML Capital, Ltd.</w:t>
      </w:r>
      <w:r w:rsidRPr="00E72418">
        <w:t xml:space="preserve"> », </w:t>
      </w:r>
      <w:r w:rsidRPr="00E72418">
        <w:rPr>
          <w:rFonts w:ascii="Times New Roman" w:hAnsi="Times New Roman" w:cs="Times New Roman"/>
          <w:i/>
        </w:rPr>
        <w:t>Md. J. Int. Law</w:t>
      </w:r>
      <w:r w:rsidRPr="00E72418">
        <w:t>, 2015, p. 134.</w:t>
      </w:r>
    </w:p>
  </w:footnote>
  <w:footnote w:id="488">
    <w:p w14:paraId="2A06B3CF" w14:textId="2FB941B0"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Ainsi, peu de temps après sa mise en œuvre, les obligations souveraines représentaient près de septante pour cent de la dette argentine tandis que le financement du pays par les banques commerciales s’élevait à deux pour cent, ces chiffres étant respectivement de vingt-sept et trente-quatre pour cent avant la réalisation du plan (voyez </w:t>
      </w:r>
      <w:r w:rsidRPr="00E72418">
        <w:rPr>
          <w:smallCaps/>
          <w:szCs w:val="20"/>
        </w:rPr>
        <w:t>P. Lopez</w:t>
      </w:r>
      <w:r w:rsidRPr="00E72418">
        <w:rPr>
          <w:szCs w:val="20"/>
        </w:rPr>
        <w:t xml:space="preserve"> et </w:t>
      </w:r>
      <w:r w:rsidRPr="00E72418">
        <w:rPr>
          <w:smallCaps/>
          <w:szCs w:val="20"/>
        </w:rPr>
        <w:t>C. Nahon</w:t>
      </w:r>
      <w:r w:rsidRPr="00E72418">
        <w:rPr>
          <w:szCs w:val="20"/>
        </w:rPr>
        <w:t xml:space="preserve">, « The Growth of Debt and the Debt of Growth: Lessons from the Case of Argentina », </w:t>
      </w:r>
      <w:r w:rsidRPr="00E72418">
        <w:rPr>
          <w:i/>
          <w:szCs w:val="20"/>
          <w:lang w:val="en-US"/>
        </w:rPr>
        <w:t>op. cit.</w:t>
      </w:r>
      <w:r w:rsidRPr="00E72418">
        <w:rPr>
          <w:szCs w:val="20"/>
        </w:rPr>
        <w:t>, p. 102 qui indiquent que ces chiffres sont ceux du ministère de l’économie argentin).</w:t>
      </w:r>
    </w:p>
  </w:footnote>
  <w:footnote w:id="489">
    <w:p w14:paraId="5E2CE54A" w14:textId="0490B0B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68.</w:t>
      </w:r>
    </w:p>
  </w:footnote>
  <w:footnote w:id="490">
    <w:p w14:paraId="7B652098" w14:textId="38BE6C5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Butensky</w:t>
      </w:r>
      <w:r w:rsidRPr="00E72418">
        <w:rPr>
          <w:rStyle w:val="Titre5Car"/>
          <w:rFonts w:ascii="Times" w:eastAsiaTheme="minorHAnsi" w:hAnsi="Times" w:cstheme="minorBidi"/>
          <w:color w:val="auto"/>
          <w:szCs w:val="20"/>
          <w:lang w:val="en-US"/>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165.</w:t>
      </w:r>
    </w:p>
  </w:footnote>
  <w:footnote w:id="491">
    <w:p w14:paraId="71A069D1" w14:textId="6E0E703E"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Allocution de Carlos Saul Menem lors de la rencontre annuelle des gouverneurs du Fonds monétaire international et de la Banque mondiale, octobre 1998, disponible à l’adresse </w:t>
      </w:r>
      <w:hyperlink r:id="rId27" w:history="1">
        <w:r w:rsidRPr="00E72418">
          <w:rPr>
            <w:rStyle w:val="Lienhypertexte"/>
            <w:color w:val="auto"/>
            <w:szCs w:val="20"/>
            <w:u w:val="none"/>
          </w:rPr>
          <w:t>www.imf.org/external/am/1998/speeches/pr05e.pdf</w:t>
        </w:r>
      </w:hyperlink>
      <w:r w:rsidRPr="00E72418">
        <w:rPr>
          <w:rStyle w:val="Lienhypertexte"/>
          <w:color w:val="auto"/>
          <w:szCs w:val="20"/>
          <w:u w:val="none"/>
        </w:rPr>
        <w:t xml:space="preserve"> (consultation le 17 octobre 2021)</w:t>
      </w:r>
      <w:r w:rsidRPr="00E72418">
        <w:rPr>
          <w:szCs w:val="20"/>
        </w:rPr>
        <w:t xml:space="preserve">. </w:t>
      </w:r>
      <w:r w:rsidRPr="00E72418">
        <w:rPr>
          <w:szCs w:val="20"/>
          <w:lang w:val="en-US"/>
        </w:rPr>
        <w:t xml:space="preserve">Certains voyaient la République argentine comme « the emerging market darling of the international financial community » (voyez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68).</w:t>
      </w:r>
    </w:p>
  </w:footnote>
  <w:footnote w:id="492">
    <w:p w14:paraId="320867D8" w14:textId="7C46062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Butensky</w:t>
      </w:r>
      <w:r w:rsidRPr="00E72418">
        <w:rPr>
          <w:rStyle w:val="Titre5Car"/>
          <w:rFonts w:ascii="Times" w:eastAsiaTheme="minorHAnsi" w:hAnsi="Times" w:cstheme="minorBidi"/>
          <w:color w:val="auto"/>
          <w:szCs w:val="20"/>
          <w:lang w:val="en-US"/>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165.</w:t>
      </w:r>
    </w:p>
  </w:footnote>
  <w:footnote w:id="493">
    <w:p w14:paraId="0784991F" w14:textId="027AD7E1"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51.</w:t>
      </w:r>
    </w:p>
  </w:footnote>
  <w:footnote w:id="494">
    <w:p w14:paraId="04F2F0F7" w14:textId="27FFA26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CIRDI, 3 octobre 2006, </w:t>
      </w:r>
      <w:r w:rsidRPr="00E72418">
        <w:rPr>
          <w:i/>
          <w:szCs w:val="20"/>
          <w:lang w:val="en-US"/>
        </w:rPr>
        <w:t>LG&amp;E Energy Corp., LG&amp;E Capital Corp. and LG&amp;E International Inc. v. Argentine Republic</w:t>
      </w:r>
      <w:r w:rsidRPr="00E72418">
        <w:rPr>
          <w:szCs w:val="20"/>
          <w:lang w:val="en-US"/>
        </w:rPr>
        <w:t>, case nº ARB/02/1, decision on liability, p. 18, point 63.</w:t>
      </w:r>
    </w:p>
  </w:footnote>
  <w:footnote w:id="495">
    <w:p w14:paraId="7712D7C5" w14:textId="74FA085B"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00334DB1" w:rsidRPr="00334DB1">
        <w:rPr>
          <w:i/>
          <w:szCs w:val="20"/>
          <w:lang w:val="en-US"/>
        </w:rPr>
        <w:t>Ibid.</w:t>
      </w:r>
      <w:r w:rsidRPr="00E72418">
        <w:rPr>
          <w:szCs w:val="20"/>
          <w:lang w:val="en-US"/>
        </w:rPr>
        <w:t xml:space="preserve">, p. 69, point 232. </w:t>
      </w:r>
      <w:r w:rsidRPr="00E72418">
        <w:rPr>
          <w:szCs w:val="20"/>
        </w:rPr>
        <w:t>Le Fonds monétaire international qui avait octroyé au pays en 2000 et 2001 près de vingt-deux milliards de dollars, refusa en décembre 2001 de concéder un nouvel emprunt de plus d’un milliard (</w:t>
      </w:r>
      <w:r w:rsidRPr="00E72418">
        <w:rPr>
          <w:rStyle w:val="Titre5Car"/>
          <w:rFonts w:ascii="Times" w:eastAsiaTheme="minorHAnsi" w:hAnsi="Times" w:cstheme="minorBidi"/>
          <w:smallCaps/>
          <w:color w:val="auto"/>
          <w:szCs w:val="20"/>
        </w:rPr>
        <w:t>J. Butensky</w:t>
      </w:r>
      <w:r w:rsidRPr="00E72418">
        <w:rPr>
          <w:rStyle w:val="Titre5Car"/>
          <w:rFonts w:ascii="Times" w:eastAsiaTheme="minorHAnsi" w:hAnsi="Times" w:cstheme="minorBidi"/>
          <w:color w:val="auto"/>
          <w:szCs w:val="20"/>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rPr>
        <w:t>op. cit.</w:t>
      </w:r>
      <w:r w:rsidRPr="00E72418">
        <w:rPr>
          <w:rStyle w:val="Titre5Car"/>
          <w:rFonts w:ascii="Times" w:eastAsiaTheme="minorHAnsi" w:hAnsi="Times" w:cstheme="minorBidi"/>
          <w:color w:val="auto"/>
          <w:szCs w:val="20"/>
        </w:rPr>
        <w:t>, p. 165). Le désengagement du Fonds monétaire international par l’arrêt d’octroi d’ « austerity conditioned loans » s’explique par la mise en œuvre tardive de mesures d’austérité par le pays (</w:t>
      </w:r>
      <w:r w:rsidRPr="00E72418">
        <w:rPr>
          <w:rStyle w:val="Titre5Car"/>
          <w:rFonts w:ascii="Times" w:eastAsiaTheme="minorHAnsi" w:hAnsi="Times" w:cstheme="minorBidi"/>
          <w:i/>
          <w:color w:val="auto"/>
          <w:szCs w:val="20"/>
        </w:rPr>
        <w:t>ibid.</w:t>
      </w:r>
      <w:r w:rsidRPr="00E72418">
        <w:rPr>
          <w:rStyle w:val="Titre5Car"/>
          <w:rFonts w:ascii="Times" w:eastAsiaTheme="minorHAnsi" w:hAnsi="Times" w:cstheme="minorBidi"/>
          <w:color w:val="auto"/>
          <w:szCs w:val="20"/>
        </w:rPr>
        <w:t>, p. 186).</w:t>
      </w:r>
    </w:p>
  </w:footnote>
  <w:footnote w:id="496">
    <w:p w14:paraId="28EC8892" w14:textId="150D412A" w:rsidR="0030147D" w:rsidRPr="00E72418" w:rsidRDefault="0030147D" w:rsidP="00F177C1">
      <w:pPr>
        <w:pStyle w:val="Sansinterligne"/>
        <w:rPr>
          <w:rFonts w:ascii="Times New Roman" w:hAnsi="Times New Roman" w:cs="Times New Roman"/>
        </w:rPr>
      </w:pPr>
      <w:r w:rsidRPr="00E72418">
        <w:rPr>
          <w:rStyle w:val="Appelnotedebasdep"/>
          <w:szCs w:val="20"/>
        </w:rPr>
        <w:footnoteRef/>
      </w:r>
      <w:r w:rsidRPr="00E72418">
        <w:rPr>
          <w:lang w:val="en-US"/>
        </w:rPr>
        <w:t xml:space="preserve"> </w:t>
      </w:r>
      <w:r w:rsidRPr="00E72418">
        <w:rPr>
          <w:smallCaps/>
          <w:lang w:val="en-US"/>
        </w:rPr>
        <w:t>J. Hornbeck</w:t>
      </w:r>
      <w:r w:rsidRPr="00E72418">
        <w:rPr>
          <w:lang w:val="en-US"/>
        </w:rPr>
        <w:t xml:space="preserve">, « Argentina’s Defaulted Sovereign Debt: Dealing with the “Holdouts” », </w:t>
      </w:r>
      <w:r w:rsidRPr="00E72418">
        <w:rPr>
          <w:i/>
          <w:lang w:val="en-US"/>
        </w:rPr>
        <w:t>op. cit.</w:t>
      </w:r>
      <w:r w:rsidRPr="00E72418">
        <w:rPr>
          <w:lang w:val="en-US"/>
        </w:rPr>
        <w:t>, p. 2. A</w:t>
      </w:r>
      <w:r w:rsidRPr="00E72418">
        <w:t>lors que l’essentiel de l’emprunt était fait en devises étrangères, les ressources collectées servant à son remboursement l’étaient en pesos de sorte que la différence entre les monnaies conduisait à une augmentation importante de la dette (</w:t>
      </w:r>
      <w:r w:rsidRPr="00E72418">
        <w:rPr>
          <w:smallCaps/>
        </w:rPr>
        <w:t>A. Kelly</w:t>
      </w:r>
      <w:r w:rsidRPr="00E72418">
        <w:t xml:space="preserve">, « Flight of the Condors: The Impact of Vulture Investors on Argentina’s Sovereign Debt Default », </w:t>
      </w:r>
      <w:r w:rsidRPr="00E72418">
        <w:rPr>
          <w:i/>
        </w:rPr>
        <w:t>op. cit.</w:t>
      </w:r>
      <w:r w:rsidRPr="00E72418">
        <w:t>, p. 30). La dévaluation de la monnaie argentine qui fit notamment suite à une chute de la compétitivité des exportations du pays aggravée par une indiscipline fiscale et politique, conduisit à une « sinking currency (that) rendered the government instantly insolvent » (</w:t>
      </w:r>
      <w:r w:rsidRPr="00E72418">
        <w:rPr>
          <w:smallCaps/>
        </w:rPr>
        <w:t>A. Porzecanski</w:t>
      </w:r>
      <w:r w:rsidRPr="00E72418">
        <w:t xml:space="preserve">, « From Rogue Creditors to Rogue Debtors: Implications of Argentina’s Default », </w:t>
      </w:r>
      <w:r w:rsidRPr="00E72418">
        <w:rPr>
          <w:rFonts w:ascii="Times New Roman" w:hAnsi="Times New Roman" w:cs="Times New Roman"/>
          <w:i/>
        </w:rPr>
        <w:t>Chic. J. Int. Law</w:t>
      </w:r>
      <w:r w:rsidRPr="00E72418">
        <w:t>, 2005, p. 312).</w:t>
      </w:r>
    </w:p>
  </w:footnote>
  <w:footnote w:id="497">
    <w:p w14:paraId="15400103" w14:textId="6333E66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CIRDI, 3 octobre 2006, </w:t>
      </w:r>
      <w:r w:rsidRPr="00E72418">
        <w:rPr>
          <w:i/>
          <w:szCs w:val="20"/>
          <w:lang w:val="en-US"/>
        </w:rPr>
        <w:t>LG&amp;E Energy Corp., LG&amp;E Capital Corp. and LG&amp;E International Inc. v. Argentine Republic</w:t>
      </w:r>
      <w:r w:rsidRPr="00E72418">
        <w:rPr>
          <w:szCs w:val="20"/>
          <w:lang w:val="en-US"/>
        </w:rPr>
        <w:t>, case nº ARB/02/1, decision on liability, p. 69, point 233.</w:t>
      </w:r>
    </w:p>
  </w:footnote>
  <w:footnote w:id="498">
    <w:p w14:paraId="53739DDD" w14:textId="6736FD7B"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18, point 63.</w:t>
      </w:r>
    </w:p>
  </w:footnote>
  <w:footnote w:id="499">
    <w:p w14:paraId="157C15F5" w14:textId="16086501"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w:t>
      </w:r>
      <w:r w:rsidRPr="00E72418">
        <w:rPr>
          <w:szCs w:val="20"/>
        </w:rPr>
        <w:t>Le décret n° 1570/01 en question adopté le 1</w:t>
      </w:r>
      <w:r w:rsidRPr="00E72418">
        <w:rPr>
          <w:szCs w:val="20"/>
          <w:vertAlign w:val="superscript"/>
        </w:rPr>
        <w:t>er</w:t>
      </w:r>
      <w:r w:rsidRPr="00E72418">
        <w:rPr>
          <w:szCs w:val="20"/>
        </w:rPr>
        <w:t xml:space="preserve"> décembre 2001 fut plus connu sous le nom « Corralito ».</w:t>
      </w:r>
    </w:p>
  </w:footnote>
  <w:footnote w:id="500">
    <w:p w14:paraId="54631658" w14:textId="224D883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CIRDI, 3 octobre 2006, </w:t>
      </w:r>
      <w:r w:rsidRPr="00E72418">
        <w:rPr>
          <w:i/>
          <w:szCs w:val="20"/>
          <w:lang w:val="en-US"/>
        </w:rPr>
        <w:t>LG&amp;E Energy Corp., LG&amp;E Capital Corp. and LG&amp;E International Inc. v. Argentine Republic</w:t>
      </w:r>
      <w:r w:rsidRPr="00E72418">
        <w:rPr>
          <w:szCs w:val="20"/>
          <w:lang w:val="en-US"/>
        </w:rPr>
        <w:t>, case nº ARB/02/1, decision on liability, p. 68, point 231.</w:t>
      </w:r>
    </w:p>
  </w:footnote>
  <w:footnote w:id="501">
    <w:p w14:paraId="785D0C9A" w14:textId="792EF655" w:rsidR="0030147D" w:rsidRPr="00E72418" w:rsidRDefault="0030147D" w:rsidP="0076785C">
      <w:pPr>
        <w:pStyle w:val="Sansinterligne"/>
        <w:rPr>
          <w:szCs w:val="20"/>
        </w:rPr>
      </w:pPr>
      <w:r w:rsidRPr="00E72418">
        <w:rPr>
          <w:rStyle w:val="Appelnotedebasdep"/>
          <w:szCs w:val="20"/>
        </w:rPr>
        <w:footnoteRef/>
      </w:r>
      <w:r w:rsidRPr="00E72418">
        <w:rPr>
          <w:szCs w:val="20"/>
        </w:rPr>
        <w:t xml:space="preserve"> Après la démission du président </w:t>
      </w:r>
      <w:r w:rsidR="00334DB1">
        <w:rPr>
          <w:szCs w:val="20"/>
        </w:rPr>
        <w:t>Fernando d</w:t>
      </w:r>
      <w:r w:rsidRPr="00E72418">
        <w:rPr>
          <w:szCs w:val="20"/>
        </w:rPr>
        <w:t>e la Rua, plusieurs présidents prirent leur fonction à chaque fois pour de très courtes périodes jusqu’à ce qu’Eduardo Duhalde prenne les fonctions au tout début 2002 et s’attela à améliorer la situation du pays.</w:t>
      </w:r>
    </w:p>
  </w:footnote>
  <w:footnote w:id="502">
    <w:p w14:paraId="24B95999" w14:textId="782BB4B7"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United States Court of Appeals for the Second Circuit (EUA), 5 janvier 2007, </w:t>
      </w:r>
      <w:r w:rsidRPr="00E72418">
        <w:rPr>
          <w:i/>
          <w:szCs w:val="20"/>
          <w:lang w:val="en-US"/>
        </w:rPr>
        <w:t>EM Ltd. v. Republic of Arg.</w:t>
      </w:r>
      <w:r w:rsidRPr="00E72418">
        <w:rPr>
          <w:rStyle w:val="injectednode"/>
          <w:szCs w:val="20"/>
          <w:lang w:val="en-US"/>
        </w:rPr>
        <w:t xml:space="preserve">, 473 F.3d 463, p. 466. </w:t>
      </w:r>
    </w:p>
  </w:footnote>
  <w:footnote w:id="503">
    <w:p w14:paraId="2529CF8B" w14:textId="7AF1BD23" w:rsidR="0030147D" w:rsidRPr="00E72418" w:rsidRDefault="0030147D" w:rsidP="00AD564F">
      <w:pPr>
        <w:pStyle w:val="Sansinterligne"/>
      </w:pPr>
      <w:r w:rsidRPr="00E72418">
        <w:rPr>
          <w:rStyle w:val="Appelnotedebasdep"/>
        </w:rPr>
        <w:footnoteRef/>
      </w:r>
      <w:r w:rsidRPr="00E72418">
        <w:t xml:space="preserve"> En vertu de l’article 12(d) du </w:t>
      </w:r>
      <w:r w:rsidRPr="00E72418">
        <w:rPr>
          <w:i/>
        </w:rPr>
        <w:t>Fiscal Agency Agreement</w:t>
      </w:r>
      <w:r w:rsidRPr="00E72418">
        <w:t xml:space="preserve"> réglant les modalités de la dette argentine concernée, il y a défaut lorsqu’un moratoire est déclaré par le pays.</w:t>
      </w:r>
    </w:p>
  </w:footnote>
  <w:footnote w:id="504">
    <w:p w14:paraId="75AEFA8D" w14:textId="06793801" w:rsidR="0030147D" w:rsidRPr="00E72418" w:rsidRDefault="0030147D" w:rsidP="003F6C32">
      <w:pPr>
        <w:pStyle w:val="Sansinterligne"/>
        <w:rPr>
          <w:rFonts w:ascii="Times New Roman" w:hAnsi="Times New Roman"/>
        </w:rPr>
      </w:pPr>
      <w:r w:rsidRPr="00E72418">
        <w:rPr>
          <w:rStyle w:val="Appelnotedebasdep"/>
          <w:szCs w:val="20"/>
        </w:rPr>
        <w:footnoteRef/>
      </w:r>
      <w:r w:rsidRPr="00E72418">
        <w:t xml:space="preserve"> Voyez notamment S. </w:t>
      </w:r>
      <w:r w:rsidRPr="00E72418">
        <w:rPr>
          <w:smallCaps/>
          <w:szCs w:val="24"/>
          <w:lang w:val="en-US"/>
        </w:rPr>
        <w:t>Park</w:t>
      </w:r>
      <w:r w:rsidRPr="00E72418">
        <w:rPr>
          <w:szCs w:val="24"/>
          <w:lang w:val="en-US"/>
        </w:rPr>
        <w:t xml:space="preserve"> et T. </w:t>
      </w:r>
      <w:r w:rsidRPr="00E72418">
        <w:rPr>
          <w:smallCaps/>
          <w:szCs w:val="24"/>
          <w:lang w:val="en-US"/>
        </w:rPr>
        <w:t>Samples</w:t>
      </w:r>
      <w:r w:rsidRPr="00E72418">
        <w:rPr>
          <w:szCs w:val="24"/>
          <w:lang w:val="en-US"/>
        </w:rPr>
        <w:t xml:space="preserve">, « Towards Sovereign Equity », </w:t>
      </w:r>
      <w:r w:rsidRPr="00E72418">
        <w:rPr>
          <w:rFonts w:ascii="Times New Roman" w:hAnsi="Times New Roman"/>
          <w:i/>
        </w:rPr>
        <w:t>Stan. J. Law Bus. &amp; Fin.</w:t>
      </w:r>
      <w:r w:rsidRPr="00E72418">
        <w:rPr>
          <w:iCs/>
          <w:szCs w:val="24"/>
          <w:lang w:val="en-US"/>
        </w:rPr>
        <w:t>, 2016, p.</w:t>
      </w:r>
      <w:r w:rsidRPr="00E72418">
        <w:rPr>
          <w:szCs w:val="24"/>
          <w:lang w:val="en-US"/>
        </w:rPr>
        <w:t xml:space="preserve"> 267. Généralement au sujet des difficultés argentines, </w:t>
      </w:r>
      <w:r w:rsidRPr="00E72418">
        <w:rPr>
          <w:rStyle w:val="Titre5Car"/>
          <w:rFonts w:ascii="Times" w:eastAsiaTheme="minorHAnsi" w:hAnsi="Times" w:cstheme="minorBidi"/>
          <w:color w:val="auto"/>
          <w:szCs w:val="20"/>
        </w:rPr>
        <w:t>les nombres sont impossibles à établir avec précision au regard des nombreuses sources discordantes.</w:t>
      </w:r>
    </w:p>
  </w:footnote>
  <w:footnote w:id="505">
    <w:p w14:paraId="54CEE75C" w14:textId="08479F57" w:rsidR="0030147D" w:rsidRPr="00E72418" w:rsidRDefault="0030147D" w:rsidP="00E32F89">
      <w:pPr>
        <w:pStyle w:val="Sansinterligne"/>
        <w:rPr>
          <w:rFonts w:ascii="Times New Roman" w:hAnsi="Times New Roman"/>
          <w:szCs w:val="20"/>
        </w:rPr>
      </w:pPr>
      <w:r w:rsidRPr="00E72418">
        <w:rPr>
          <w:rStyle w:val="Appelnotedebasdep"/>
          <w:szCs w:val="20"/>
        </w:rPr>
        <w:footnoteRef/>
      </w:r>
      <w:r w:rsidRPr="00E72418">
        <w:rPr>
          <w:szCs w:val="20"/>
        </w:rPr>
        <w:t xml:space="preserve"> R. </w:t>
      </w:r>
      <w:r w:rsidRPr="00E72418">
        <w:rPr>
          <w:smallCaps/>
        </w:rPr>
        <w:t>Olivares-Caminal</w:t>
      </w:r>
      <w:r w:rsidRPr="00E72418">
        <w:t xml:space="preserve">, « Sovereign bonds: A critical analysis of Argentina’s debt exchange offer </w:t>
      </w:r>
      <w:r w:rsidRPr="00E72418">
        <w:rPr>
          <w:lang w:val="en-US"/>
        </w:rPr>
        <w:t>»</w:t>
      </w:r>
      <w:r w:rsidRPr="00E72418">
        <w:t xml:space="preserve">, </w:t>
      </w:r>
      <w:r w:rsidRPr="00E72418">
        <w:rPr>
          <w:rFonts w:ascii="Times New Roman" w:hAnsi="Times New Roman"/>
          <w:i/>
          <w:szCs w:val="20"/>
        </w:rPr>
        <w:t>J. Bank. Regul.</w:t>
      </w:r>
      <w:r w:rsidRPr="00E72418">
        <w:rPr>
          <w:rFonts w:ascii="Times New Roman" w:hAnsi="Times New Roman"/>
          <w:szCs w:val="20"/>
        </w:rPr>
        <w:t>,</w:t>
      </w:r>
      <w:r w:rsidRPr="00E72418">
        <w:t xml:space="preserve"> 2008, p. 29 citant les chiffres communiqués par le ministère de l’économie argentin. Sur les prééminences étatsunienne et britannique en matière de dettes souveraines, voyez </w:t>
      </w:r>
      <w:r w:rsidRPr="00E72418">
        <w:rPr>
          <w:i/>
        </w:rPr>
        <w:t>supra</w:t>
      </w:r>
      <w:r w:rsidRPr="00E72418">
        <w:t xml:space="preserve"> n° 79.</w:t>
      </w:r>
    </w:p>
  </w:footnote>
  <w:footnote w:id="506">
    <w:p w14:paraId="208EA33E" w14:textId="30590355"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cs="Times New Roman"/>
          <w:i/>
          <w:szCs w:val="24"/>
          <w:lang w:val="en-GB"/>
        </w:rPr>
        <w:t>Ibid.</w:t>
      </w:r>
    </w:p>
  </w:footnote>
  <w:footnote w:id="507">
    <w:p w14:paraId="1B194DCE" w14:textId="2A690FC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xml:space="preserve">,, p. 592. </w:t>
      </w:r>
      <w:r w:rsidRPr="00E72418">
        <w:rPr>
          <w:szCs w:val="20"/>
        </w:rPr>
        <w:t>Le Venezuela prit le parti de la République argentine et acheta de la dette argentine. Les deux pays entreprirent des discussions afin de mettre sur pied une banque sud-américaine aux fins de la faire détenir des avoirs souverains et permettre ainsi de contourner les risques encourus devant des juridictions jugées comme étant pro-créanciers telles les étatsuniennes (</w:t>
      </w:r>
      <w:r w:rsidRPr="00E72418">
        <w:rPr>
          <w:i/>
          <w:szCs w:val="20"/>
        </w:rPr>
        <w:t>ibid.</w:t>
      </w:r>
      <w:r w:rsidRPr="00E72418">
        <w:rPr>
          <w:szCs w:val="20"/>
        </w:rPr>
        <w:t xml:space="preserve">). </w:t>
      </w:r>
    </w:p>
  </w:footnote>
  <w:footnote w:id="508">
    <w:p w14:paraId="34CA87DE" w14:textId="44FB979C"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570.</w:t>
      </w:r>
    </w:p>
  </w:footnote>
  <w:footnote w:id="509">
    <w:p w14:paraId="58CB13AF" w14:textId="21133BC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592.</w:t>
      </w:r>
    </w:p>
  </w:footnote>
  <w:footnote w:id="510">
    <w:p w14:paraId="01BEF7B8" w14:textId="0CF94CDB"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Comme l’explique Mallory Barr « there was a positive economic cycle that benefitted both the Argentinian people and their leaders », « [s]uch cycle would not have been possible without the default and would have been unsustainable if the debt had been collected in full » (</w:t>
      </w:r>
      <w:r w:rsidRPr="00E72418">
        <w:rPr>
          <w:i/>
          <w:szCs w:val="20"/>
          <w:lang w:val="en-US"/>
        </w:rPr>
        <w:t>ibid.</w:t>
      </w:r>
      <w:r w:rsidRPr="00E72418">
        <w:rPr>
          <w:szCs w:val="20"/>
          <w:lang w:val="en-US"/>
        </w:rPr>
        <w:t>, pp. 570 et 592).</w:t>
      </w:r>
    </w:p>
  </w:footnote>
  <w:footnote w:id="511">
    <w:p w14:paraId="16320AD7" w14:textId="198408D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Sur cette législation, voyez notamment </w:t>
      </w:r>
      <w:r w:rsidRPr="00E72418">
        <w:rPr>
          <w:smallCaps/>
          <w:szCs w:val="20"/>
        </w:rPr>
        <w:t>C. Kleiner</w:t>
      </w:r>
      <w:r w:rsidRPr="00E72418">
        <w:rPr>
          <w:szCs w:val="20"/>
        </w:rPr>
        <w:t xml:space="preserve">, </w:t>
      </w:r>
      <w:r w:rsidRPr="00E72418">
        <w:rPr>
          <w:i/>
          <w:szCs w:val="20"/>
        </w:rPr>
        <w:t>La monnaie dans les relations privées internationales</w:t>
      </w:r>
      <w:r w:rsidRPr="00E72418">
        <w:rPr>
          <w:szCs w:val="20"/>
        </w:rPr>
        <w:t xml:space="preserve">, L.G.D.J., 2010, pp. 165 et 166. </w:t>
      </w:r>
    </w:p>
  </w:footnote>
  <w:footnote w:id="512">
    <w:p w14:paraId="18D6880B" w14:textId="707CFE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570.</w:t>
      </w:r>
    </w:p>
  </w:footnote>
  <w:footnote w:id="513">
    <w:p w14:paraId="792DBF5F" w14:textId="37C3221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Steel, E. Zarrini</w:t>
      </w:r>
      <w:r w:rsidRPr="00E72418">
        <w:rPr>
          <w:szCs w:val="20"/>
          <w:lang w:val="en-US"/>
        </w:rPr>
        <w:t xml:space="preserve"> et </w:t>
      </w:r>
      <w:r w:rsidRPr="00E72418">
        <w:rPr>
          <w:smallCaps/>
          <w:szCs w:val="20"/>
          <w:lang w:val="en-US"/>
        </w:rPr>
        <w:t>A. Goldinstein</w:t>
      </w:r>
      <w:r w:rsidRPr="00E72418">
        <w:rPr>
          <w:szCs w:val="20"/>
          <w:lang w:val="en-US"/>
        </w:rPr>
        <w:t>, « </w:t>
      </w:r>
      <w:r w:rsidRPr="00E72418">
        <w:rPr>
          <w:i/>
          <w:szCs w:val="20"/>
          <w:lang w:val="en-US"/>
        </w:rPr>
        <w:t>NML Capital v Argentina</w:t>
      </w:r>
      <w:r w:rsidRPr="00E72418">
        <w:rPr>
          <w:szCs w:val="20"/>
          <w:lang w:val="en-US"/>
        </w:rPr>
        <w:t xml:space="preserve">: a lesson in indenture interpretation », </w:t>
      </w:r>
      <w:r w:rsidRPr="00E72418">
        <w:rPr>
          <w:rFonts w:ascii="Times New Roman" w:hAnsi="Times New Roman" w:cs="Times New Roman"/>
          <w:i/>
          <w:szCs w:val="20"/>
        </w:rPr>
        <w:t>Insolvency &amp; Restructuring Int.</w:t>
      </w:r>
      <w:r w:rsidRPr="00E72418">
        <w:rPr>
          <w:szCs w:val="20"/>
          <w:lang w:val="en-US"/>
        </w:rPr>
        <w:t>, 2014, p. 31.</w:t>
      </w:r>
    </w:p>
  </w:footnote>
  <w:footnote w:id="514">
    <w:p w14:paraId="6E641E35" w14:textId="1EF84396" w:rsidR="0030147D" w:rsidRPr="00E72418" w:rsidRDefault="0030147D" w:rsidP="00742B24">
      <w:pPr>
        <w:pStyle w:val="Sansinterligne"/>
      </w:pPr>
      <w:r w:rsidRPr="00E72418">
        <w:rPr>
          <w:rStyle w:val="Appelnotedebasdep"/>
        </w:rPr>
        <w:footnoteRef/>
      </w:r>
      <w:r w:rsidRPr="00E72418">
        <w:t xml:space="preserve"> Sur l’inexistence d’un mécanisme institutionnalisé de restructuration des dettes souveraines, voyez </w:t>
      </w:r>
      <w:r w:rsidRPr="00E72418">
        <w:rPr>
          <w:i/>
        </w:rPr>
        <w:t>supra</w:t>
      </w:r>
      <w:r w:rsidRPr="00E72418">
        <w:t xml:space="preserve"> n° 66 et sur les tentatives de pallier cette lacune, voyez </w:t>
      </w:r>
      <w:r w:rsidRPr="00E72418">
        <w:rPr>
          <w:i/>
        </w:rPr>
        <w:t>infra</w:t>
      </w:r>
      <w:r w:rsidRPr="00E72418">
        <w:t xml:space="preserve"> n</w:t>
      </w:r>
      <w:r w:rsidRPr="00E72418">
        <w:rPr>
          <w:vertAlign w:val="superscript"/>
        </w:rPr>
        <w:t>os</w:t>
      </w:r>
      <w:r w:rsidRPr="00E72418">
        <w:t xml:space="preserve"> 274 et suiv.</w:t>
      </w:r>
    </w:p>
  </w:footnote>
  <w:footnote w:id="515">
    <w:p w14:paraId="6B13943F" w14:textId="1116D01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L’explication se trouvait dans la responsabilité qu’on lui imputait dans la situation difficile rencontrée par le pays. Il fut en effet souvent reproché au Fonds de lui avoir accordé trop facilement de l’argent alors que sa situation n’était guère tenable. </w:t>
      </w:r>
      <w:r w:rsidRPr="00E72418">
        <w:rPr>
          <w:szCs w:val="20"/>
          <w:lang w:val="en-US"/>
        </w:rPr>
        <w:t>Comme l’explique John Hornbeck, « the IMF made repeated mistakes in surveillance, conditionality, and economic analysis that resulted in lending too much for too long into an untenable situation » (</w:t>
      </w:r>
      <w:r w:rsidRPr="00E72418">
        <w:rPr>
          <w:smallCaps/>
          <w:szCs w:val="20"/>
          <w:lang w:val="en-US"/>
        </w:rPr>
        <w:t>J. Hornbeck</w:t>
      </w:r>
      <w:r w:rsidRPr="00E72418">
        <w:rPr>
          <w:szCs w:val="20"/>
          <w:lang w:val="en-US"/>
        </w:rPr>
        <w:t xml:space="preserve">, « Argentina’s Defaulted Sovereign Debt: Dealing with the “Holdouts” », </w:t>
      </w:r>
      <w:r w:rsidRPr="00E72418">
        <w:rPr>
          <w:i/>
          <w:szCs w:val="20"/>
          <w:lang w:val="en-US"/>
        </w:rPr>
        <w:t>op. cit.</w:t>
      </w:r>
      <w:r w:rsidRPr="00E72418">
        <w:rPr>
          <w:szCs w:val="20"/>
          <w:lang w:val="en-US"/>
        </w:rPr>
        <w:t>, p. 3). Et l’auteur d’ajouter que « [m]any economists would later argue that Argentina would have been better off had the IMF ended its support and pushed for debt restructuring much earlier » (</w:t>
      </w:r>
      <w:r w:rsidRPr="00E72418">
        <w:rPr>
          <w:i/>
          <w:szCs w:val="20"/>
          <w:lang w:val="en-US"/>
        </w:rPr>
        <w:t>ibid.</w:t>
      </w:r>
      <w:r w:rsidRPr="00E72418">
        <w:rPr>
          <w:szCs w:val="20"/>
          <w:lang w:val="en-US"/>
        </w:rPr>
        <w:t xml:space="preserve">). </w:t>
      </w:r>
      <w:r w:rsidRPr="00E72418">
        <w:rPr>
          <w:szCs w:val="20"/>
        </w:rPr>
        <w:t xml:space="preserve">Ainsi, si dès 2002, un processus de restructuration fut entamé avec le Fonds, le pays décida rapidement d’agir de manière indépendante. </w:t>
      </w:r>
      <w:r w:rsidRPr="00E72418">
        <w:rPr>
          <w:szCs w:val="20"/>
          <w:lang w:val="en-US"/>
        </w:rPr>
        <w:t>Comme le note Martin Guzman, « [t]he context in which the interactions between the country and the IMF occurred put the institution in a position of relative vulnerability, due to the US government’s position, it was unlikely to see increases in funding to the IMF from the United States, and the IMF was largely exposed to Argentina, which was the one of its largest debtors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xml:space="preserve">, p. 5). </w:t>
      </w:r>
      <w:r w:rsidRPr="00E72418">
        <w:rPr>
          <w:szCs w:val="20"/>
        </w:rPr>
        <w:t>Notons encore finalement que l’Argentine décida en 2006 de payer au Fonds monétaire international</w:t>
      </w:r>
      <w:r w:rsidR="00334DB1">
        <w:rPr>
          <w:szCs w:val="20"/>
        </w:rPr>
        <w:t xml:space="preserve"> les près de dix</w:t>
      </w:r>
      <w:r w:rsidRPr="00E72418">
        <w:rPr>
          <w:szCs w:val="20"/>
        </w:rPr>
        <w:t xml:space="preserve"> milliards de dollars qu’elle lui devait afin de se libérer des contraintes des politiques du Fonds et d’ainsi recouvrer son autonomie dans la définition des politiques économiques et monétaires (</w:t>
      </w:r>
      <w:r w:rsidRPr="00E72418">
        <w:rPr>
          <w:smallCaps/>
          <w:szCs w:val="20"/>
        </w:rPr>
        <w:t>P. Chena</w:t>
      </w:r>
      <w:r w:rsidRPr="00E72418">
        <w:rPr>
          <w:szCs w:val="20"/>
        </w:rPr>
        <w:t xml:space="preserve">, « L’ordre monétaire et la dette souveraine en Argentine », </w:t>
      </w:r>
      <w:r w:rsidRPr="00E72418">
        <w:rPr>
          <w:i/>
          <w:szCs w:val="20"/>
        </w:rPr>
        <w:t>op. cit.</w:t>
      </w:r>
      <w:r w:rsidRPr="00E72418">
        <w:rPr>
          <w:szCs w:val="20"/>
        </w:rPr>
        <w:t>, p. 37).</w:t>
      </w:r>
    </w:p>
  </w:footnote>
  <w:footnote w:id="516">
    <w:p w14:paraId="692B3516" w14:textId="6F47B80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Gelpern</w:t>
      </w:r>
      <w:r w:rsidRPr="00E72418">
        <w:rPr>
          <w:szCs w:val="20"/>
          <w:lang w:val="en-US"/>
        </w:rPr>
        <w:t xml:space="preserve">, « What bond markets can learn from Argentina », </w:t>
      </w:r>
      <w:r w:rsidRPr="00E72418">
        <w:rPr>
          <w:rFonts w:ascii="Times New Roman" w:hAnsi="Times New Roman" w:cs="Times New Roman"/>
          <w:i/>
        </w:rPr>
        <w:t>Int. Fin. Law Rev.</w:t>
      </w:r>
      <w:r w:rsidRPr="00E72418">
        <w:rPr>
          <w:szCs w:val="20"/>
          <w:lang w:val="en-US"/>
        </w:rPr>
        <w:t>, avril 2005, p. 19.</w:t>
      </w:r>
    </w:p>
  </w:footnote>
  <w:footnote w:id="517">
    <w:p w14:paraId="39A0851A" w14:textId="514D17EE"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p. 186.</w:t>
      </w:r>
    </w:p>
  </w:footnote>
  <w:footnote w:id="518">
    <w:p w14:paraId="5E1F16CD" w14:textId="2E53C2E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L’important laps de temps entre le défaut et l’offre de restructuration s’explique, entre autres, par des soucis au niveau du mandat de l’administration intérimaire du président </w:t>
      </w:r>
      <w:r w:rsidR="00334DB1">
        <w:rPr>
          <w:szCs w:val="20"/>
        </w:rPr>
        <w:t xml:space="preserve">Eduardo </w:t>
      </w:r>
      <w:r w:rsidRPr="00E72418">
        <w:rPr>
          <w:szCs w:val="20"/>
        </w:rPr>
        <w:t>Duhalde afin de négocier (</w:t>
      </w:r>
      <w:r w:rsidRPr="00E72418">
        <w:rPr>
          <w:smallCaps/>
          <w:szCs w:val="20"/>
        </w:rPr>
        <w:t>M. Miller</w:t>
      </w:r>
      <w:r w:rsidRPr="00E72418">
        <w:rPr>
          <w:szCs w:val="20"/>
        </w:rPr>
        <w:t xml:space="preserve"> et </w:t>
      </w:r>
      <w:r w:rsidRPr="00E72418">
        <w:rPr>
          <w:smallCaps/>
          <w:szCs w:val="20"/>
        </w:rPr>
        <w:t>D. Thomas</w:t>
      </w:r>
      <w:r w:rsidRPr="00E72418">
        <w:rPr>
          <w:szCs w:val="20"/>
        </w:rPr>
        <w:t xml:space="preserve">, « Sovereign Debt Restructuring: The Judge, the Vultures and Creditor Rights », </w:t>
      </w:r>
      <w:r w:rsidRPr="00E72418">
        <w:rPr>
          <w:i/>
          <w:szCs w:val="20"/>
        </w:rPr>
        <w:t>op. cit.</w:t>
      </w:r>
      <w:r w:rsidRPr="00E72418">
        <w:rPr>
          <w:szCs w:val="20"/>
        </w:rPr>
        <w:t>, p. 217). En septembre 2003, une première offre fut faite par le pays dite l’ « offre de Dubai » mais fut rejetée par les créanciers en raison des termes qui leur étaient extrêmement défavorables lesquels conduisaient à une réduction de nonante pour cent de la valeur nette actuelle de leur</w:t>
      </w:r>
      <w:r w:rsidR="00334DB1">
        <w:rPr>
          <w:szCs w:val="20"/>
        </w:rPr>
        <w:t>s</w:t>
      </w:r>
      <w:r w:rsidRPr="00E72418">
        <w:rPr>
          <w:szCs w:val="20"/>
        </w:rPr>
        <w:t xml:space="preserve"> titres (</w:t>
      </w:r>
      <w:r w:rsidRPr="00E72418">
        <w:rPr>
          <w:smallCaps/>
          <w:szCs w:val="20"/>
        </w:rPr>
        <w:t>T. Monteleone</w:t>
      </w:r>
      <w:r w:rsidRPr="00E72418">
        <w:rPr>
          <w:szCs w:val="20"/>
        </w:rPr>
        <w:t xml:space="preserve">, « A vulture’s gamble: high-stakes interpretation of sovereign debt contracts in </w:t>
      </w:r>
      <w:r w:rsidRPr="00E72418">
        <w:rPr>
          <w:i/>
          <w:szCs w:val="20"/>
        </w:rPr>
        <w:t>NML Capital, Ltd. v Republic of Argentina</w:t>
      </w:r>
      <w:r w:rsidRPr="00E72418">
        <w:rPr>
          <w:szCs w:val="20"/>
        </w:rPr>
        <w:t xml:space="preserve"> », </w:t>
      </w:r>
      <w:r w:rsidRPr="00E72418">
        <w:rPr>
          <w:i/>
          <w:szCs w:val="20"/>
        </w:rPr>
        <w:t>op. cit.</w:t>
      </w:r>
      <w:r w:rsidRPr="00E72418">
        <w:rPr>
          <w:szCs w:val="20"/>
        </w:rPr>
        <w:t xml:space="preserve">, p. 153). Sur cette première offre avortée, voyez encore notamment, </w:t>
      </w:r>
      <w:r w:rsidRPr="00E72418">
        <w:rPr>
          <w:smallCaps/>
          <w:szCs w:val="20"/>
        </w:rPr>
        <w:t>M. Guzman</w:t>
      </w:r>
      <w:r w:rsidRPr="00E72418">
        <w:rPr>
          <w:szCs w:val="20"/>
        </w:rPr>
        <w:t xml:space="preserve">, « An analysis of Argentina’s 2001 default resolution », </w:t>
      </w:r>
      <w:r w:rsidRPr="00E72418">
        <w:rPr>
          <w:i/>
          <w:szCs w:val="20"/>
          <w:lang w:val="en-US"/>
        </w:rPr>
        <w:t>op. cit.</w:t>
      </w:r>
      <w:r w:rsidRPr="00E72418">
        <w:rPr>
          <w:szCs w:val="20"/>
        </w:rPr>
        <w:t>, p. 4.</w:t>
      </w:r>
    </w:p>
  </w:footnote>
  <w:footnote w:id="519">
    <w:p w14:paraId="69BAA6F0" w14:textId="17F31E9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Le Fonds monétaire international l’indique, « no constructive dialogue was observed and the authorities presented a non-negotiated offer » (Fonds monétaire international, </w:t>
      </w:r>
      <w:r w:rsidRPr="00E72418">
        <w:rPr>
          <w:i/>
          <w:szCs w:val="20"/>
          <w:lang w:val="en-US"/>
        </w:rPr>
        <w:t>Sovereign debt restructuring – Recent developments and implications for the Fund’s legal and policy framework</w:t>
      </w:r>
      <w:r w:rsidRPr="00E72418">
        <w:rPr>
          <w:szCs w:val="20"/>
          <w:lang w:val="en-US"/>
        </w:rPr>
        <w:t>, 26 avril 2013, p. 36).</w:t>
      </w:r>
    </w:p>
  </w:footnote>
  <w:footnote w:id="520">
    <w:p w14:paraId="38A337AE" w14:textId="3D2BF630"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108. </w:t>
      </w:r>
      <w:r w:rsidRPr="00E72418">
        <w:rPr>
          <w:szCs w:val="20"/>
        </w:rPr>
        <w:t xml:space="preserve">C’est dans cet ordre d’idées que le président </w:t>
      </w:r>
      <w:r w:rsidR="00331721">
        <w:rPr>
          <w:szCs w:val="20"/>
        </w:rPr>
        <w:t xml:space="preserve">Nestor </w:t>
      </w:r>
      <w:r w:rsidRPr="00E72418">
        <w:rPr>
          <w:szCs w:val="20"/>
        </w:rPr>
        <w:t>Kirchner avait sans doute fait valoir à l’Assemblée générale des Nations Unies en septembre 2003 que « </w:t>
      </w:r>
      <w:r w:rsidRPr="00E72418">
        <w:rPr>
          <w:szCs w:val="20"/>
          <w:lang w:val="en-US"/>
        </w:rPr>
        <w:t>[n]</w:t>
      </w:r>
      <w:r w:rsidRPr="00E72418">
        <w:t>o one is known to have succeeded in getting their money back from the dead</w:t>
      </w:r>
      <w:r w:rsidRPr="00E72418">
        <w:rPr>
          <w:szCs w:val="20"/>
        </w:rPr>
        <w:t> » (Assemblée générale des Nations Unies, 58</w:t>
      </w:r>
      <w:r w:rsidRPr="00E72418">
        <w:rPr>
          <w:szCs w:val="20"/>
          <w:vertAlign w:val="superscript"/>
        </w:rPr>
        <w:t>e</w:t>
      </w:r>
      <w:r w:rsidRPr="00E72418">
        <w:rPr>
          <w:szCs w:val="20"/>
        </w:rPr>
        <w:t xml:space="preserve"> session, 11</w:t>
      </w:r>
      <w:r w:rsidRPr="00E72418">
        <w:rPr>
          <w:szCs w:val="20"/>
          <w:vertAlign w:val="superscript"/>
        </w:rPr>
        <w:t>e</w:t>
      </w:r>
      <w:r w:rsidRPr="00E72418">
        <w:rPr>
          <w:szCs w:val="20"/>
        </w:rPr>
        <w:t xml:space="preserve"> séance plénière, 25 septembre 2003, A/58/PV.11).</w:t>
      </w:r>
    </w:p>
  </w:footnote>
  <w:footnote w:id="521">
    <w:p w14:paraId="689BD6AA" w14:textId="5C718349"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Voyez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 : « unlike many debtor countries, the country pursued a high initial debt relief that led to a sustained recovery of debt sustainability ». L’auteur explique encore qu’ « in many of the cases where the haircut was lower, there needed to be another restructuring shortly afterwards » et que « the size of the haircut on Argentina’s private creditors was consistent with the criterion for ensuring the recovery of sustainability » (</w:t>
      </w:r>
      <w:r w:rsidRPr="00E72418">
        <w:rPr>
          <w:i/>
          <w:szCs w:val="20"/>
          <w:lang w:val="en-US"/>
        </w:rPr>
        <w:t>ibid.</w:t>
      </w:r>
      <w:r w:rsidRPr="00E72418">
        <w:rPr>
          <w:szCs w:val="20"/>
          <w:lang w:val="en-US"/>
        </w:rPr>
        <w:t xml:space="preserve">, p. 8). </w:t>
      </w:r>
      <w:r w:rsidRPr="00E72418">
        <w:rPr>
          <w:szCs w:val="20"/>
        </w:rPr>
        <w:t>L’argument de la soutenabilité est contesté par certains commentateurs relevant qu’au moment où l’offre fut faite le pire de la crise économique était passé et que la réduction demandée aux créanciers n’était pas absolument nécessaire (</w:t>
      </w:r>
      <w:r w:rsidRPr="00E72418">
        <w:rPr>
          <w:smallCaps/>
          <w:szCs w:val="20"/>
        </w:rPr>
        <w:t>T. Monteleone</w:t>
      </w:r>
      <w:r w:rsidRPr="00E72418">
        <w:rPr>
          <w:szCs w:val="20"/>
        </w:rPr>
        <w:t xml:space="preserve">, « A vulture’s gamble: high-stakes interpretation of sovereign debt contracts in </w:t>
      </w:r>
      <w:r w:rsidRPr="00E72418">
        <w:rPr>
          <w:i/>
          <w:szCs w:val="20"/>
        </w:rPr>
        <w:t>NML Capital, Ltd. v Republic of Argentina</w:t>
      </w:r>
      <w:r w:rsidRPr="00E72418">
        <w:rPr>
          <w:szCs w:val="20"/>
        </w:rPr>
        <w:t xml:space="preserve"> », </w:t>
      </w:r>
      <w:r w:rsidRPr="00E72418">
        <w:rPr>
          <w:i/>
          <w:szCs w:val="20"/>
        </w:rPr>
        <w:t>op. cit.</w:t>
      </w:r>
      <w:r w:rsidRPr="00E72418">
        <w:rPr>
          <w:szCs w:val="20"/>
        </w:rPr>
        <w:t>, 2013, p. 161).</w:t>
      </w:r>
    </w:p>
  </w:footnote>
  <w:footnote w:id="522">
    <w:p w14:paraId="3D872A66" w14:textId="5E2ECA48" w:rsidR="0030147D" w:rsidRPr="00E72418" w:rsidRDefault="0030147D" w:rsidP="00B22B11">
      <w:pPr>
        <w:pStyle w:val="Sansinterligne"/>
        <w:rPr>
          <w:szCs w:val="20"/>
        </w:rPr>
      </w:pPr>
      <w:r w:rsidRPr="00E72418">
        <w:rPr>
          <w:rStyle w:val="Appelnotedebasdep"/>
          <w:szCs w:val="20"/>
        </w:rPr>
        <w:footnoteRef/>
      </w:r>
      <w:r w:rsidRPr="00E72418">
        <w:rPr>
          <w:szCs w:val="20"/>
        </w:rPr>
        <w:t xml:space="preserve"> On parle encore de « GDP-linked securities ». Pour Martin Guzman, </w:t>
      </w:r>
      <w:r w:rsidRPr="00E72418">
        <w:rPr>
          <w:rFonts w:cs="Times New Roman"/>
          <w:szCs w:val="24"/>
          <w:lang w:val="en-US"/>
        </w:rPr>
        <w:t xml:space="preserve">« </w:t>
      </w:r>
      <w:r w:rsidRPr="00E72418">
        <w:rPr>
          <w:lang w:val="en-US"/>
        </w:rPr>
        <w:t xml:space="preserve">GDP-indexed bonds can be an important vehicle for reconciling the principles of sustainability and good faith </w:t>
      </w:r>
      <w:r w:rsidRPr="00E72418">
        <w:rPr>
          <w:szCs w:val="20"/>
        </w:rPr>
        <w:t>»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xml:space="preserve">, p. 16). Ces instruments furent notamment mobilisés lors de la restructuration grecque (voyez </w:t>
      </w:r>
      <w:r w:rsidRPr="00E72418">
        <w:rPr>
          <w:rFonts w:cs="Times New Roman"/>
          <w:szCs w:val="24"/>
          <w:lang w:val="en-US"/>
        </w:rPr>
        <w:t xml:space="preserve">P. </w:t>
      </w:r>
      <w:r w:rsidRPr="00E72418">
        <w:rPr>
          <w:rFonts w:cs="Times New Roman"/>
          <w:smallCaps/>
          <w:szCs w:val="24"/>
          <w:lang w:val="en-US"/>
        </w:rPr>
        <w:t>Wautelet</w:t>
      </w:r>
      <w:r w:rsidRPr="00E72418">
        <w:rPr>
          <w:rFonts w:cs="Times New Roman"/>
          <w:szCs w:val="24"/>
          <w:lang w:val="en-US"/>
        </w:rPr>
        <w:t xml:space="preserve">, </w:t>
      </w:r>
      <w:r w:rsidRPr="00E72418">
        <w:rPr>
          <w:rFonts w:ascii="Times New Roman" w:hAnsi="Times New Roman" w:cs="Times New Roman"/>
          <w:szCs w:val="24"/>
        </w:rPr>
        <w:t xml:space="preserve">« The Greek debt restructuring and property rights – A Greek tragedy for investors? », </w:t>
      </w:r>
      <w:r w:rsidRPr="00E72418">
        <w:rPr>
          <w:rFonts w:ascii="Times New Roman" w:hAnsi="Times New Roman" w:cs="Times New Roman"/>
          <w:i/>
          <w:szCs w:val="24"/>
        </w:rPr>
        <w:t>op. cit.</w:t>
      </w:r>
      <w:r w:rsidRPr="00E72418">
        <w:rPr>
          <w:rFonts w:ascii="Times New Roman" w:hAnsi="Times New Roman" w:cs="Times New Roman"/>
          <w:szCs w:val="24"/>
        </w:rPr>
        <w:t>, p. 906. L’auteur note toutefois que « </w:t>
      </w:r>
      <w:r w:rsidRPr="00E72418">
        <w:rPr>
          <w:szCs w:val="20"/>
          <w:lang w:val="en-US"/>
        </w:rPr>
        <w:t>[t]</w:t>
      </w:r>
      <w:r w:rsidRPr="00E72418">
        <w:rPr>
          <w:rFonts w:ascii="Times New Roman" w:hAnsi="Times New Roman" w:cs="Times New Roman"/>
          <w:szCs w:val="24"/>
        </w:rPr>
        <w:t>he link with GDP-growth makes it clear that pay-out under these securities is unlikely (</w:t>
      </w:r>
      <w:r w:rsidRPr="00E72418">
        <w:rPr>
          <w:rFonts w:ascii="Times New Roman" w:hAnsi="Times New Roman" w:cs="Times New Roman"/>
          <w:i/>
          <w:szCs w:val="24"/>
        </w:rPr>
        <w:t>ibid.</w:t>
      </w:r>
      <w:r w:rsidRPr="00E72418">
        <w:rPr>
          <w:rFonts w:ascii="Times New Roman" w:hAnsi="Times New Roman" w:cs="Times New Roman"/>
          <w:szCs w:val="24"/>
        </w:rPr>
        <w:t>, p. 923)</w:t>
      </w:r>
      <w:r w:rsidR="00334DB1">
        <w:rPr>
          <w:rFonts w:ascii="Times New Roman" w:hAnsi="Times New Roman" w:cs="Times New Roman"/>
          <w:szCs w:val="24"/>
        </w:rPr>
        <w:t>)</w:t>
      </w:r>
      <w:r w:rsidRPr="00E72418">
        <w:rPr>
          <w:rFonts w:ascii="Times New Roman" w:hAnsi="Times New Roman" w:cs="Times New Roman"/>
          <w:szCs w:val="24"/>
        </w:rPr>
        <w:t>.</w:t>
      </w:r>
    </w:p>
  </w:footnote>
  <w:footnote w:id="523">
    <w:p w14:paraId="05726173" w14:textId="0535960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C. Nahon</w:t>
      </w:r>
      <w:r w:rsidRPr="00E72418">
        <w:rPr>
          <w:szCs w:val="20"/>
          <w:lang w:val="en-US"/>
        </w:rPr>
        <w:t xml:space="preserve">, « The case against the “vulture funds” », </w:t>
      </w:r>
      <w:r w:rsidRPr="00E72418">
        <w:rPr>
          <w:i/>
          <w:szCs w:val="20"/>
          <w:lang w:val="en-US"/>
        </w:rPr>
        <w:t>op. cit.</w:t>
      </w:r>
      <w:r w:rsidRPr="00E72418">
        <w:rPr>
          <w:szCs w:val="20"/>
          <w:lang w:val="en-US"/>
        </w:rPr>
        <w:t>, p. 111.</w:t>
      </w:r>
    </w:p>
  </w:footnote>
  <w:footnote w:id="524">
    <w:p w14:paraId="10113CD1" w14:textId="33EFB22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S. Park</w:t>
      </w:r>
      <w:r w:rsidRPr="00E72418">
        <w:rPr>
          <w:szCs w:val="20"/>
          <w:lang w:val="en-US"/>
        </w:rPr>
        <w:t xml:space="preserve"> et </w:t>
      </w:r>
      <w:r w:rsidRPr="00E72418">
        <w:rPr>
          <w:smallCaps/>
          <w:szCs w:val="20"/>
          <w:lang w:val="en-US"/>
        </w:rPr>
        <w:t>T. Samples</w:t>
      </w:r>
      <w:r w:rsidRPr="00E72418">
        <w:rPr>
          <w:szCs w:val="20"/>
          <w:lang w:val="en-US"/>
        </w:rPr>
        <w:t xml:space="preserve">, « Towards Sovereign Equity », </w:t>
      </w:r>
      <w:r w:rsidRPr="00E72418">
        <w:rPr>
          <w:i/>
          <w:szCs w:val="20"/>
          <w:lang w:val="en-US"/>
        </w:rPr>
        <w:t>op. cit.</w:t>
      </w:r>
      <w:r w:rsidRPr="00E72418">
        <w:rPr>
          <w:szCs w:val="20"/>
          <w:lang w:val="en-US"/>
        </w:rPr>
        <w:t>, p. 268. Le seuil fixé pour qu’un paiement additionnel intervienne conduisit à ce que près de dix milliards de dollars soient payés en surplus</w:t>
      </w:r>
      <w:r w:rsidRPr="00E72418">
        <w:rPr>
          <w:rStyle w:val="Titre5Car"/>
          <w:rFonts w:ascii="Times" w:eastAsiaTheme="minorHAnsi" w:hAnsi="Times" w:cstheme="minorBidi"/>
          <w:color w:val="auto"/>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110).</w:t>
      </w:r>
    </w:p>
  </w:footnote>
  <w:footnote w:id="525">
    <w:p w14:paraId="0056CEB5" w14:textId="780D3141"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Comme l’indiquent Pablo Lopez et Cecilia Nahon, « [t]his equal treatment commitment was critical to maximize the level of acceptance of the offer, stimulating bondholders to join the swap voluntarily, since no better exchange deal would be offered to bonholders in the future »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109). </w:t>
      </w:r>
    </w:p>
  </w:footnote>
  <w:footnote w:id="526">
    <w:p w14:paraId="1D44B2BF" w14:textId="3C404D2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Pour plus de précisions, voyez les pages 69 et 70 du prospectus disponible à l’adresse </w:t>
      </w:r>
      <w:hyperlink r:id="rId28" w:history="1">
        <w:r w:rsidRPr="00E72418">
          <w:rPr>
            <w:rStyle w:val="Lienhypertexte"/>
            <w:color w:val="auto"/>
            <w:szCs w:val="20"/>
            <w:u w:val="none"/>
          </w:rPr>
          <w:t>www.argentina.gob.ar/sites/default/files/mfin_us_prospectus_and_prospectus_supplement.pdf</w:t>
        </w:r>
      </w:hyperlink>
      <w:r w:rsidRPr="00E72418">
        <w:rPr>
          <w:rStyle w:val="Lienhypertexte"/>
          <w:color w:val="auto"/>
          <w:szCs w:val="20"/>
          <w:u w:val="none"/>
        </w:rPr>
        <w:t xml:space="preserve"> (consultation le 17 octobre 2021).</w:t>
      </w:r>
    </w:p>
  </w:footnote>
  <w:footnote w:id="527">
    <w:p w14:paraId="6F8A1DAE" w14:textId="2AAC539A"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la page 29 du prospectus disponible à l’adresse </w:t>
      </w:r>
      <w:hyperlink r:id="rId29" w:history="1">
        <w:r w:rsidRPr="00E72418">
          <w:rPr>
            <w:rStyle w:val="Lienhypertexte"/>
            <w:color w:val="auto"/>
            <w:szCs w:val="20"/>
            <w:u w:val="none"/>
          </w:rPr>
          <w:t>www.argentina.gob.ar/sites/default/files/mfin_us_prospectus_and_prospectus_supplement.pdf</w:t>
        </w:r>
      </w:hyperlink>
      <w:r w:rsidRPr="00E72418">
        <w:rPr>
          <w:szCs w:val="20"/>
        </w:rPr>
        <w:t>.</w:t>
      </w:r>
    </w:p>
  </w:footnote>
  <w:footnote w:id="528">
    <w:p w14:paraId="20A191B3" w14:textId="1BDA06E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L’article 2 de la loi disposait que « [t]he national Executive Power may not, with respect to the bonds […], reopen the s</w:t>
      </w:r>
      <w:r w:rsidR="00331721">
        <w:rPr>
          <w:szCs w:val="20"/>
          <w:lang w:val="en-US"/>
        </w:rPr>
        <w:t xml:space="preserve">wap process established in the </w:t>
      </w:r>
      <w:r w:rsidR="00331721" w:rsidRPr="00E72418">
        <w:rPr>
          <w:szCs w:val="20"/>
          <w:lang w:val="en-US"/>
        </w:rPr>
        <w:t>[</w:t>
      </w:r>
      <w:r w:rsidR="00331721">
        <w:rPr>
          <w:szCs w:val="20"/>
          <w:lang w:val="en-US"/>
        </w:rPr>
        <w:t>2005 exchange offer]</w:t>
      </w:r>
      <w:r w:rsidRPr="00E72418">
        <w:rPr>
          <w:szCs w:val="20"/>
          <w:lang w:val="en-US"/>
        </w:rPr>
        <w:t xml:space="preserve"> », l’article 3 que « [t]he national State shall be prohibited from conducting any type of in-court, out-of-court or private settlement with respect to the bonds […] » et l’article 4 que « [t]he national Executive Power must […] remove the bonds […] from listing on all domestic and foreign securities markets and exchanges » (articles reproduits in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699 F.3d 246, p. 252).</w:t>
      </w:r>
    </w:p>
  </w:footnote>
  <w:footnote w:id="529">
    <w:p w14:paraId="715F52AC" w14:textId="7777777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En réalité, à ces plus de quatre-vingts milliards de dollars en principal, il convient d’ajouter plus de vingt milliards d’intérêts échus.</w:t>
      </w:r>
    </w:p>
  </w:footnote>
  <w:footnote w:id="530">
    <w:p w14:paraId="70F377BC" w14:textId="49B7F32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Hornbeck</w:t>
      </w:r>
      <w:r w:rsidRPr="00E72418">
        <w:rPr>
          <w:szCs w:val="20"/>
          <w:lang w:val="en-US"/>
        </w:rPr>
        <w:t xml:space="preserve">, « Argentina’s Defaulted Sovereign Debt: Dealing with the “Holdouts” », </w:t>
      </w:r>
      <w:r w:rsidRPr="00E72418">
        <w:rPr>
          <w:i/>
          <w:szCs w:val="20"/>
          <w:lang w:val="en-US"/>
        </w:rPr>
        <w:t>op. cit.</w:t>
      </w:r>
      <w:r w:rsidRPr="00E72418">
        <w:rPr>
          <w:szCs w:val="20"/>
          <w:lang w:val="en-US"/>
        </w:rPr>
        <w:t>, p. 1.</w:t>
      </w:r>
    </w:p>
  </w:footnote>
  <w:footnote w:id="531">
    <w:p w14:paraId="47454CD3" w14:textId="75173E6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Comme le note Eugenio Bruno, « the government’s proposal included repayment terms better suited to the situation in 2001-2002, rather than the new improved condition » (</w:t>
      </w:r>
      <w:r w:rsidRPr="00E72418">
        <w:rPr>
          <w:smallCaps/>
          <w:szCs w:val="20"/>
          <w:lang w:val="en-US"/>
        </w:rPr>
        <w:t>E. Bruno</w:t>
      </w:r>
      <w:r w:rsidRPr="00E72418">
        <w:rPr>
          <w:szCs w:val="20"/>
          <w:lang w:val="en-US"/>
        </w:rPr>
        <w:t xml:space="preserve">, « Lessons from history: structuring, defaulting, restructuring and the emerging markets », </w:t>
      </w:r>
      <w:r w:rsidRPr="00E72418">
        <w:rPr>
          <w:i/>
          <w:szCs w:val="20"/>
          <w:lang w:val="en-US"/>
        </w:rPr>
        <w:t>op. cit.</w:t>
      </w:r>
      <w:r w:rsidRPr="00E72418">
        <w:rPr>
          <w:szCs w:val="20"/>
          <w:lang w:val="en-US"/>
        </w:rPr>
        <w:t>, p. 191).</w:t>
      </w:r>
    </w:p>
  </w:footnote>
  <w:footnote w:id="532">
    <w:p w14:paraId="48A11949" w14:textId="0F75FEB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notamment </w:t>
      </w:r>
      <w:r w:rsidRPr="00E72418">
        <w:rPr>
          <w:smallCaps/>
          <w:szCs w:val="20"/>
        </w:rPr>
        <w:t>A. Porzecanski</w:t>
      </w:r>
      <w:r w:rsidRPr="00E72418">
        <w:rPr>
          <w:szCs w:val="20"/>
        </w:rPr>
        <w:t xml:space="preserve">, « The Origins of Argentina’s Litigation and Arbitration Saga, 2002-2016 », </w:t>
      </w:r>
      <w:r w:rsidRPr="00E72418">
        <w:rPr>
          <w:i/>
          <w:szCs w:val="20"/>
        </w:rPr>
        <w:t>op. cit.</w:t>
      </w:r>
      <w:r w:rsidRPr="00E72418">
        <w:rPr>
          <w:szCs w:val="20"/>
        </w:rPr>
        <w:t>, p. 59.</w:t>
      </w:r>
    </w:p>
  </w:footnote>
  <w:footnote w:id="533">
    <w:p w14:paraId="6753EF2B" w14:textId="7A4C2E38"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la page 53 du prospectus disponible à l’adresse </w:t>
      </w:r>
      <w:hyperlink r:id="rId30" w:history="1">
        <w:r w:rsidRPr="00E72418">
          <w:rPr>
            <w:rStyle w:val="Lienhypertexte"/>
            <w:color w:val="auto"/>
            <w:szCs w:val="20"/>
            <w:u w:val="none"/>
          </w:rPr>
          <w:t>www.argentina.gob.ar/sites/default/files/us_prospectus_version_ingles_30042010.pdf</w:t>
        </w:r>
      </w:hyperlink>
      <w:r w:rsidRPr="00E72418">
        <w:rPr>
          <w:rStyle w:val="Lienhypertexte"/>
          <w:color w:val="auto"/>
          <w:szCs w:val="20"/>
          <w:u w:val="none"/>
        </w:rPr>
        <w:t xml:space="preserve"> (consultation le 17 octobre 2021)</w:t>
      </w:r>
      <w:r w:rsidRPr="00E72418">
        <w:rPr>
          <w:szCs w:val="20"/>
        </w:rPr>
        <w:t>.</w:t>
      </w:r>
    </w:p>
  </w:footnote>
  <w:footnote w:id="534">
    <w:p w14:paraId="1A0B22CF" w14:textId="6501996D"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p>
  </w:footnote>
  <w:footnote w:id="535">
    <w:p w14:paraId="38431F0A" w14:textId="11A6F1B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Hornbeck</w:t>
      </w:r>
      <w:r w:rsidRPr="00E72418">
        <w:rPr>
          <w:szCs w:val="20"/>
          <w:lang w:val="en-US"/>
        </w:rPr>
        <w:t xml:space="preserve">, « Argentina’s Defaulted Sovereign Debt: Dealing with the “Holdouts” », </w:t>
      </w:r>
      <w:r w:rsidRPr="00E72418">
        <w:rPr>
          <w:i/>
          <w:szCs w:val="20"/>
          <w:lang w:val="en-US"/>
        </w:rPr>
        <w:t>op. cit.</w:t>
      </w:r>
      <w:r w:rsidRPr="00E72418">
        <w:rPr>
          <w:szCs w:val="20"/>
          <w:lang w:val="en-US"/>
        </w:rPr>
        <w:t>, p. 7.</w:t>
      </w:r>
    </w:p>
  </w:footnote>
  <w:footnote w:id="536">
    <w:p w14:paraId="020A932F" w14:textId="2E17368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1688.</w:t>
      </w:r>
    </w:p>
  </w:footnote>
  <w:footnote w:id="537">
    <w:p w14:paraId="6ABD2FAA" w14:textId="3C4E3F0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Kelly</w:t>
      </w:r>
      <w:r w:rsidRPr="00E72418">
        <w:rPr>
          <w:szCs w:val="20"/>
          <w:lang w:val="en-US"/>
        </w:rPr>
        <w:t xml:space="preserve">, « Flight of the Condors: The Impact of Vulture Investors on Argentina’s Sovereign Debt Default », </w:t>
      </w:r>
      <w:r w:rsidRPr="00E72418">
        <w:rPr>
          <w:i/>
          <w:szCs w:val="20"/>
          <w:lang w:val="en-US"/>
        </w:rPr>
        <w:t>op. cit.</w:t>
      </w:r>
      <w:r w:rsidRPr="00E72418">
        <w:rPr>
          <w:szCs w:val="20"/>
          <w:lang w:val="en-US"/>
        </w:rPr>
        <w:t>, p. 34. Pour l’auteur, ceci « resulted in much litigation and ICSID arbitration that could have been avoided ».</w:t>
      </w:r>
    </w:p>
  </w:footnote>
  <w:footnote w:id="538">
    <w:p w14:paraId="76DA726F" w14:textId="0614E3CF"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xml:space="preserve">, p. 757. </w:t>
      </w:r>
      <w:r w:rsidRPr="00E72418">
        <w:rPr>
          <w:szCs w:val="20"/>
          <w:lang w:val="en-US"/>
        </w:rPr>
        <w:t xml:space="preserve">Voyez encore notamment United States District Court for the Southern District of New York (EUA), 12 septembre 2003, </w:t>
      </w:r>
      <w:r w:rsidRPr="00E72418">
        <w:rPr>
          <w:i/>
          <w:szCs w:val="20"/>
          <w:lang w:val="en-US"/>
        </w:rPr>
        <w:t>EM Ltd. v. Republic of Arg.</w:t>
      </w:r>
      <w:r w:rsidRPr="00E72418">
        <w:rPr>
          <w:szCs w:val="20"/>
          <w:lang w:val="en-US"/>
        </w:rPr>
        <w:t xml:space="preserve">, 2003 WL 22120745 ou United States District Court for the Southern District of New York (EUA), 25 avril 2003, </w:t>
      </w:r>
      <w:r w:rsidRPr="00E72418">
        <w:rPr>
          <w:i/>
          <w:szCs w:val="20"/>
          <w:lang w:val="en-US"/>
        </w:rPr>
        <w:t>Allan Applestein TTEE FBO D.C.A. Grantor Trust v. Province of Buenos Aires</w:t>
      </w:r>
      <w:r w:rsidRPr="00E72418">
        <w:rPr>
          <w:rStyle w:val="injectednode"/>
          <w:szCs w:val="20"/>
          <w:lang w:val="en-US"/>
        </w:rPr>
        <w:t>, 2003 WL 1990206.</w:t>
      </w:r>
    </w:p>
  </w:footnote>
  <w:footnote w:id="539">
    <w:p w14:paraId="35650FD3" w14:textId="5CD1DFA6" w:rsidR="0030147D" w:rsidRPr="00E72418" w:rsidRDefault="0030147D" w:rsidP="00506276">
      <w:pPr>
        <w:pStyle w:val="Sansinterligne"/>
        <w:rPr>
          <w:szCs w:val="20"/>
        </w:rPr>
      </w:pPr>
      <w:r w:rsidRPr="00E72418">
        <w:rPr>
          <w:rStyle w:val="Appelnotedebasdep"/>
          <w:szCs w:val="20"/>
        </w:rPr>
        <w:footnoteRef/>
      </w:r>
      <w:r w:rsidRPr="00E72418">
        <w:rPr>
          <w:szCs w:val="20"/>
        </w:rPr>
        <w:t xml:space="preserve"> United States District Court for the Southern District of New York (EUA), 14 avril 2003, </w:t>
      </w:r>
      <w:r w:rsidRPr="00E72418">
        <w:rPr>
          <w:i/>
          <w:szCs w:val="20"/>
        </w:rPr>
        <w:t>Lightwater Corp. v. Republic of Argentina</w:t>
      </w:r>
      <w:r w:rsidRPr="00E72418">
        <w:rPr>
          <w:szCs w:val="20"/>
        </w:rPr>
        <w:t>, 2003 WL 1878420, p. 4. Comme le relèvent Marcus Miller et Dania Thomas, dans le cadre des procès intentés par les créanciers de l’État argentin dès 2003, « Judge Griesa had no option but to allow such claims » (</w:t>
      </w:r>
      <w:r w:rsidRPr="00E72418">
        <w:rPr>
          <w:smallCaps/>
          <w:szCs w:val="20"/>
        </w:rPr>
        <w:t>M. Miller</w:t>
      </w:r>
      <w:r w:rsidRPr="00E72418">
        <w:rPr>
          <w:szCs w:val="20"/>
        </w:rPr>
        <w:t xml:space="preserve"> et </w:t>
      </w:r>
      <w:r w:rsidRPr="00E72418">
        <w:rPr>
          <w:smallCaps/>
          <w:szCs w:val="20"/>
        </w:rPr>
        <w:t>D. Thomas</w:t>
      </w:r>
      <w:r w:rsidRPr="00E72418">
        <w:rPr>
          <w:szCs w:val="20"/>
        </w:rPr>
        <w:t xml:space="preserve">, « Sovereign Debt Restructuring: The Judge, the Vultures and Creditor Rights », </w:t>
      </w:r>
      <w:r w:rsidRPr="00E72418">
        <w:rPr>
          <w:i/>
          <w:szCs w:val="20"/>
        </w:rPr>
        <w:t>op. cit.</w:t>
      </w:r>
      <w:r w:rsidRPr="00E72418">
        <w:rPr>
          <w:szCs w:val="20"/>
        </w:rPr>
        <w:t>, p. 218).</w:t>
      </w:r>
    </w:p>
  </w:footnote>
  <w:footnote w:id="540">
    <w:p w14:paraId="011CE31B" w14:textId="035314AE" w:rsidR="0030147D" w:rsidRPr="00E72418" w:rsidRDefault="0030147D" w:rsidP="00506276">
      <w:pPr>
        <w:pStyle w:val="Sansinterligne"/>
        <w:rPr>
          <w:szCs w:val="20"/>
        </w:rPr>
      </w:pPr>
      <w:r w:rsidRPr="00E72418">
        <w:rPr>
          <w:rStyle w:val="Appelnotedebasdep"/>
          <w:szCs w:val="20"/>
        </w:rPr>
        <w:footnoteRef/>
      </w:r>
      <w:r w:rsidRPr="00E72418">
        <w:rPr>
          <w:szCs w:val="20"/>
        </w:rPr>
        <w:t xml:space="preserve"> La dénomination exacte de ce </w:t>
      </w:r>
      <w:r w:rsidRPr="00E72418">
        <w:rPr>
          <w:i/>
          <w:szCs w:val="20"/>
        </w:rPr>
        <w:t>Fiscal Agency Agreement</w:t>
      </w:r>
      <w:r w:rsidRPr="00E72418">
        <w:rPr>
          <w:szCs w:val="20"/>
        </w:rPr>
        <w:t xml:space="preserve"> (FAA) daté du 19 octobre 1994 est « Fiscal Agency Agreement between the Republic of Argentina and Bankers Trust Company, Fiscal Agent ». Notons que différentes conventions de ce type furent conclues par l’Argentine avec des agents financiers par l’intermédiaire desquels le pays leva des fonds. Ces intermédiaires remplissaient un rôle de mandataire de l’État emprunteur, leur mission consistant à émettre les titres sur les marchés financiers et à en assurer le paiement pour le compte de l’État mandant (sur ces intermédiaires, voyez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p. 754).</w:t>
      </w:r>
    </w:p>
  </w:footnote>
  <w:footnote w:id="541">
    <w:p w14:paraId="4C4120EE" w14:textId="77777777" w:rsidR="0030147D" w:rsidRPr="00E72418" w:rsidRDefault="0030147D" w:rsidP="00506276">
      <w:pPr>
        <w:pStyle w:val="Sansinterligne"/>
        <w:rPr>
          <w:szCs w:val="20"/>
        </w:rPr>
      </w:pPr>
      <w:r w:rsidRPr="00E72418">
        <w:rPr>
          <w:rStyle w:val="Appelnotedebasdep"/>
          <w:szCs w:val="20"/>
        </w:rPr>
        <w:footnoteRef/>
      </w:r>
      <w:r w:rsidRPr="00E72418">
        <w:rPr>
          <w:szCs w:val="20"/>
        </w:rPr>
        <w:t xml:space="preserve"> Dans les contentieux intentés dans le cadre de la crise argentine, ce sont pour l’essentiel, en première instance, la </w:t>
      </w:r>
      <w:r w:rsidRPr="00C6627B">
        <w:rPr>
          <w:szCs w:val="20"/>
        </w:rPr>
        <w:t>United States District Court for the Southern District of New York</w:t>
      </w:r>
      <w:r w:rsidRPr="00E72418">
        <w:rPr>
          <w:szCs w:val="20"/>
        </w:rPr>
        <w:t xml:space="preserve"> et, en appel, la </w:t>
      </w:r>
      <w:r w:rsidRPr="00C6627B">
        <w:rPr>
          <w:szCs w:val="20"/>
        </w:rPr>
        <w:t>United States Court of Appeals for the Second Circuit</w:t>
      </w:r>
      <w:r w:rsidRPr="00E72418">
        <w:rPr>
          <w:szCs w:val="20"/>
        </w:rPr>
        <w:t xml:space="preserve"> qui furent ainsi saisies. Parallèlement à cette compétence des juridictions new-yorkaises, le </w:t>
      </w:r>
      <w:r w:rsidRPr="00E72418">
        <w:rPr>
          <w:i/>
          <w:szCs w:val="20"/>
        </w:rPr>
        <w:t>Fiscal Agency Agreement</w:t>
      </w:r>
      <w:r w:rsidRPr="00E72418">
        <w:rPr>
          <w:szCs w:val="20"/>
        </w:rPr>
        <w:t xml:space="preserve"> prévoit la possibilité de saisir les juridictions argentines.</w:t>
      </w:r>
    </w:p>
  </w:footnote>
  <w:footnote w:id="542">
    <w:p w14:paraId="7999250C" w14:textId="4201A78A" w:rsidR="0030147D" w:rsidRPr="00E72418" w:rsidRDefault="0030147D" w:rsidP="00506276">
      <w:pPr>
        <w:pStyle w:val="Sansinterligne"/>
        <w:rPr>
          <w:szCs w:val="20"/>
        </w:rPr>
      </w:pPr>
      <w:r w:rsidRPr="00E72418">
        <w:rPr>
          <w:rStyle w:val="Appelnotedebasdep"/>
          <w:szCs w:val="20"/>
        </w:rPr>
        <w:footnoteRef/>
      </w:r>
      <w:r w:rsidRPr="00E72418">
        <w:rPr>
          <w:szCs w:val="20"/>
        </w:rPr>
        <w:t xml:space="preserve"> La police est reprise. Sur cette clause et son importance dans le contentieux ayant opposé le fonds spéculatif </w:t>
      </w:r>
      <w:r w:rsidRPr="00E72418">
        <w:rPr>
          <w:i/>
          <w:szCs w:val="20"/>
        </w:rPr>
        <w:t>NML Capital Ltd.</w:t>
      </w:r>
      <w:r w:rsidRPr="00E72418">
        <w:rPr>
          <w:szCs w:val="20"/>
        </w:rPr>
        <w:t xml:space="preserve"> à la République argentine,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182 et suiv.</w:t>
      </w:r>
    </w:p>
  </w:footnote>
  <w:footnote w:id="543">
    <w:p w14:paraId="032F39D2" w14:textId="4C187B73" w:rsidR="0030147D" w:rsidRPr="00E72418" w:rsidRDefault="0030147D" w:rsidP="00506276">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E. Bruno</w:t>
      </w:r>
      <w:r w:rsidRPr="00E72418">
        <w:rPr>
          <w:szCs w:val="20"/>
        </w:rPr>
        <w:t xml:space="preserve">, « Judicial cases against sovereign countries before the Argentina case », in E. </w:t>
      </w:r>
      <w:r w:rsidRPr="00E72418">
        <w:rPr>
          <w:smallCaps/>
          <w:szCs w:val="20"/>
        </w:rPr>
        <w:t>Bruno</w:t>
      </w:r>
      <w:r w:rsidRPr="00E72418">
        <w:rPr>
          <w:szCs w:val="20"/>
        </w:rPr>
        <w:t xml:space="preserve"> (éd.), </w:t>
      </w:r>
      <w:r w:rsidRPr="00E72418">
        <w:rPr>
          <w:i/>
          <w:szCs w:val="20"/>
        </w:rPr>
        <w:t>Sovereign Debt and Debt Restructuring – Legal, Financial and Regulatory Aspects, Globe Law and Business</w:t>
      </w:r>
      <w:r w:rsidRPr="00E72418">
        <w:rPr>
          <w:szCs w:val="20"/>
        </w:rPr>
        <w:t>, 2013, p. 80.</w:t>
      </w:r>
    </w:p>
  </w:footnote>
  <w:footnote w:id="544">
    <w:p w14:paraId="45C9D587" w14:textId="43F2346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1689.</w:t>
      </w:r>
    </w:p>
  </w:footnote>
  <w:footnote w:id="545">
    <w:p w14:paraId="6B116446" w14:textId="6D51E117"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La tardiveté de la gestion du défaut par l’Argentine l’a conduite à s’exposer. </w:t>
      </w:r>
      <w:r w:rsidRPr="00E72418">
        <w:rPr>
          <w:szCs w:val="20"/>
          <w:lang w:val="en-US"/>
        </w:rPr>
        <w:t>Comme l’explique Andrew Kelly, « [h]ad Argentina locked a plan in place prior to the economic rebound of 2003-2005 vulture investors may have had less interest in purchasing Argentinian debt because they would view their upside as limited » (</w:t>
      </w:r>
      <w:r w:rsidRPr="00E72418">
        <w:rPr>
          <w:smallCaps/>
          <w:szCs w:val="20"/>
          <w:lang w:val="en-US"/>
        </w:rPr>
        <w:t>A. Kelly</w:t>
      </w:r>
      <w:r w:rsidRPr="00E72418">
        <w:rPr>
          <w:szCs w:val="20"/>
          <w:lang w:val="en-US"/>
        </w:rPr>
        <w:t xml:space="preserve">, « Flight of the Condors: The Impact of Vulture Investors on Argentina’s Sovereign Debt Default », </w:t>
      </w:r>
      <w:r w:rsidRPr="00E72418">
        <w:rPr>
          <w:i/>
          <w:szCs w:val="20"/>
          <w:lang w:val="en-US"/>
        </w:rPr>
        <w:t>op. cit.</w:t>
      </w:r>
      <w:r w:rsidRPr="00E72418">
        <w:rPr>
          <w:szCs w:val="20"/>
          <w:lang w:val="en-US"/>
        </w:rPr>
        <w:t>, p. 36).</w:t>
      </w:r>
    </w:p>
  </w:footnote>
  <w:footnote w:id="546">
    <w:p w14:paraId="1540C62C" w14:textId="552A8362"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D’autres fonds spéculatifs comme </w:t>
      </w:r>
      <w:r w:rsidRPr="00E72418">
        <w:rPr>
          <w:i/>
          <w:szCs w:val="20"/>
        </w:rPr>
        <w:t>Aurelius Capital Management</w:t>
      </w:r>
      <w:r w:rsidRPr="00E72418">
        <w:rPr>
          <w:szCs w:val="20"/>
        </w:rPr>
        <w:t xml:space="preserve">, </w:t>
      </w:r>
      <w:r w:rsidRPr="00E72418">
        <w:rPr>
          <w:i/>
          <w:szCs w:val="20"/>
        </w:rPr>
        <w:t>Dart Management</w:t>
      </w:r>
      <w:r w:rsidRPr="00E72418">
        <w:rPr>
          <w:szCs w:val="20"/>
        </w:rPr>
        <w:t xml:space="preserve">, </w:t>
      </w:r>
      <w:r w:rsidRPr="00E72418">
        <w:rPr>
          <w:i/>
          <w:szCs w:val="20"/>
        </w:rPr>
        <w:t>Blue Angel Capital</w:t>
      </w:r>
      <w:r w:rsidRPr="00E72418">
        <w:rPr>
          <w:szCs w:val="20"/>
        </w:rPr>
        <w:t xml:space="preserve">, </w:t>
      </w:r>
      <w:r w:rsidRPr="00E72418">
        <w:rPr>
          <w:i/>
          <w:szCs w:val="20"/>
        </w:rPr>
        <w:t>Bracebridge Capital</w:t>
      </w:r>
      <w:r w:rsidRPr="00E72418">
        <w:rPr>
          <w:szCs w:val="20"/>
        </w:rPr>
        <w:t xml:space="preserve">, </w:t>
      </w:r>
      <w:r w:rsidRPr="00E72418">
        <w:rPr>
          <w:i/>
          <w:szCs w:val="20"/>
        </w:rPr>
        <w:t>Olifant Fund</w:t>
      </w:r>
      <w:r w:rsidRPr="00E72418">
        <w:rPr>
          <w:szCs w:val="20"/>
        </w:rPr>
        <w:t xml:space="preserve"> ou encore </w:t>
      </w:r>
      <w:r w:rsidRPr="00E72418">
        <w:rPr>
          <w:i/>
          <w:szCs w:val="20"/>
        </w:rPr>
        <w:t xml:space="preserve">Montreux </w:t>
      </w:r>
      <w:r w:rsidRPr="00331721">
        <w:rPr>
          <w:i/>
          <w:szCs w:val="20"/>
        </w:rPr>
        <w:t>Partners</w:t>
      </w:r>
      <w:r w:rsidRPr="00E72418">
        <w:rPr>
          <w:szCs w:val="20"/>
        </w:rPr>
        <w:t xml:space="preserve"> s’engagèrent également dans l’aventure argentine (</w:t>
      </w:r>
      <w:r w:rsidRPr="00E72418">
        <w:rPr>
          <w:smallCaps/>
          <w:szCs w:val="20"/>
        </w:rPr>
        <w:t>M. Guzman</w:t>
      </w:r>
      <w:r w:rsidRPr="00E72418">
        <w:rPr>
          <w:szCs w:val="20"/>
        </w:rPr>
        <w:t xml:space="preserve">, « An analysis of Argentina’s 2001 default resolution », </w:t>
      </w:r>
      <w:r w:rsidRPr="00E72418">
        <w:rPr>
          <w:i/>
          <w:szCs w:val="20"/>
          <w:lang w:val="en-US"/>
        </w:rPr>
        <w:t>op. cit.</w:t>
      </w:r>
      <w:r w:rsidRPr="00E72418">
        <w:rPr>
          <w:szCs w:val="20"/>
        </w:rPr>
        <w:t xml:space="preserve">, p. 11). Toutefois, souvent le seul fonds </w:t>
      </w:r>
      <w:r w:rsidRPr="00E72418">
        <w:rPr>
          <w:i/>
          <w:szCs w:val="20"/>
        </w:rPr>
        <w:t>NML Capital Ltd.</w:t>
      </w:r>
      <w:r w:rsidRPr="00E72418">
        <w:rPr>
          <w:szCs w:val="20"/>
        </w:rPr>
        <w:t xml:space="preserve"> est renseigné lorsque sont discutés les contentieux diligentés par les fonds spéculatifs sans doute en raison de sa pugnacité remarquée. </w:t>
      </w:r>
      <w:r w:rsidRPr="00E72418">
        <w:rPr>
          <w:szCs w:val="20"/>
          <w:lang w:val="en-US"/>
        </w:rPr>
        <w:t>Comme le note Jamison Joiner, « Courts and academics generally refer to the plaintiff vulture funds as a single entity, NML » (</w:t>
      </w:r>
      <w:r w:rsidRPr="00E72418">
        <w:rPr>
          <w:smallCaps/>
          <w:szCs w:val="20"/>
          <w:lang w:val="en-US"/>
        </w:rPr>
        <w:t>J. Joiner</w:t>
      </w:r>
      <w:r w:rsidRPr="00E72418">
        <w:rPr>
          <w:szCs w:val="20"/>
          <w:lang w:val="en-US"/>
        </w:rPr>
        <w:t xml:space="preserve">, « Past Due: An Introduction to Sovereign Debt, the Ongoing Dispute between NML Capital and Argentina, and Possible Ramifications of the Dispute’s Outcome », </w:t>
      </w:r>
      <w:r w:rsidRPr="00E72418">
        <w:rPr>
          <w:i/>
          <w:szCs w:val="20"/>
          <w:lang w:val="en-US"/>
        </w:rPr>
        <w:t>Law &amp; Bus. Rev. Am.</w:t>
      </w:r>
      <w:r w:rsidRPr="00E72418">
        <w:rPr>
          <w:szCs w:val="20"/>
          <w:lang w:val="en-US"/>
        </w:rPr>
        <w:t>, 2015, p. 88).</w:t>
      </w:r>
    </w:p>
  </w:footnote>
  <w:footnote w:id="547">
    <w:p w14:paraId="70FF3975" w14:textId="3F2EAC6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2.</w:t>
      </w:r>
    </w:p>
  </w:footnote>
  <w:footnote w:id="548">
    <w:p w14:paraId="0A4C358B" w14:textId="6792CDD1"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20 août 2012, </w:t>
      </w:r>
      <w:r w:rsidRPr="00E72418">
        <w:rPr>
          <w:i/>
          <w:szCs w:val="20"/>
          <w:lang w:val="en-US"/>
        </w:rPr>
        <w:t>EM Ltd. v. Republic of Argentina</w:t>
      </w:r>
      <w:r w:rsidRPr="00E72418">
        <w:rPr>
          <w:rStyle w:val="injectednode"/>
          <w:szCs w:val="20"/>
          <w:lang w:val="en-US"/>
        </w:rPr>
        <w:t xml:space="preserve">, 695 F.3d 201, p. 203. Il est notamment question </w:t>
      </w:r>
      <w:r w:rsidRPr="00E72418">
        <w:t>de cinq « money jugements » en faveur de la société créancière pour un montant cumulé de plus d’un milliard et demi de dollars étatsuniens.</w:t>
      </w:r>
    </w:p>
  </w:footnote>
  <w:footnote w:id="549">
    <w:p w14:paraId="79A8BEA4" w14:textId="39DCC64F" w:rsidR="0030147D" w:rsidRPr="00E72418" w:rsidRDefault="0030147D" w:rsidP="00B929D2">
      <w:pPr>
        <w:pStyle w:val="Sansinterligne"/>
        <w:rPr>
          <w:rFonts w:ascii="Times New Roman" w:hAnsi="Times New Roman" w:cs="Times New Roman"/>
          <w:szCs w:val="20"/>
        </w:rPr>
      </w:pPr>
      <w:r w:rsidRPr="00E72418">
        <w:rPr>
          <w:rStyle w:val="Appelnotedebasdep"/>
        </w:rPr>
        <w:footnoteRef/>
      </w:r>
      <w:r w:rsidRPr="00E72418">
        <w:t xml:space="preserve"> Plus qu’un simple refus, le pays déplaça d’importants avoirs hors du territoire étatsunien afin de les protéger de saisies pratiquées par les juridictions étatsuniennes (X., </w:t>
      </w:r>
      <w:r w:rsidRPr="00E72418">
        <w:rPr>
          <w:rFonts w:cs="Times New Roman"/>
          <w:szCs w:val="24"/>
          <w:lang w:val="en-US"/>
        </w:rPr>
        <w:t xml:space="preserve">« </w:t>
      </w:r>
      <w:r w:rsidRPr="00331721">
        <w:t xml:space="preserve">Foreign Sovereign Immunities Act of 1976 </w:t>
      </w:r>
      <w:r w:rsidRPr="00331721">
        <w:rPr>
          <w:rFonts w:cs="Times New Roman"/>
          <w:szCs w:val="24"/>
          <w:lang w:val="en-US"/>
        </w:rPr>
        <w:t xml:space="preserve">– </w:t>
      </w:r>
      <w:r w:rsidRPr="00331721">
        <w:t xml:space="preserve">Postjudgment Discovery </w:t>
      </w:r>
      <w:r w:rsidRPr="00E72418">
        <w:rPr>
          <w:rFonts w:cs="Times New Roman"/>
          <w:szCs w:val="24"/>
          <w:lang w:val="en-US"/>
        </w:rPr>
        <w:t xml:space="preserve">– </w:t>
      </w:r>
      <w:r w:rsidRPr="00E72418">
        <w:t>Republic of Argentina v. NML Capital, Ltd.</w:t>
      </w:r>
      <w:r w:rsidRPr="00E72418">
        <w:rPr>
          <w:rFonts w:cs="Times New Roman"/>
          <w:i/>
          <w:iCs/>
          <w:szCs w:val="24"/>
          <w:lang w:val="en-US"/>
        </w:rPr>
        <w:t xml:space="preserve"> </w:t>
      </w:r>
      <w:r w:rsidRPr="00E72418">
        <w:rPr>
          <w:rFonts w:cs="Times New Roman"/>
          <w:szCs w:val="24"/>
          <w:lang w:val="en-US"/>
        </w:rPr>
        <w:t xml:space="preserve">», </w:t>
      </w:r>
      <w:r w:rsidRPr="00E72418">
        <w:rPr>
          <w:rFonts w:ascii="Times New Roman" w:hAnsi="Times New Roman" w:cs="Times New Roman"/>
          <w:i/>
          <w:szCs w:val="20"/>
        </w:rPr>
        <w:t>Harv. Law Rev.</w:t>
      </w:r>
      <w:r w:rsidRPr="00E72418">
        <w:rPr>
          <w:rFonts w:cs="Times New Roman"/>
          <w:szCs w:val="24"/>
          <w:lang w:val="en-US"/>
        </w:rPr>
        <w:t>, 2014, p. 381).</w:t>
      </w:r>
    </w:p>
  </w:footnote>
  <w:footnote w:id="550">
    <w:p w14:paraId="28AEC8AD" w14:textId="08CCD294" w:rsidR="0030147D" w:rsidRPr="00E72418" w:rsidRDefault="0030147D" w:rsidP="003F6C32">
      <w:pPr>
        <w:pStyle w:val="Sansinterligne"/>
        <w:rPr>
          <w:rFonts w:ascii="Times New Roman" w:hAnsi="Times New Roman" w:cs="Times New Roman"/>
        </w:rPr>
      </w:pPr>
      <w:r w:rsidRPr="00E72418">
        <w:rPr>
          <w:rStyle w:val="Appelnotedebasdep"/>
          <w:szCs w:val="20"/>
        </w:rPr>
        <w:footnoteRef/>
      </w:r>
      <w:r w:rsidRPr="00E72418">
        <w:rPr>
          <w:lang w:val="en-US"/>
        </w:rPr>
        <w:t xml:space="preserve"> </w:t>
      </w:r>
      <w:r w:rsidRPr="00E72418">
        <w:t>C’est ainsi, par exemple, qu’elle fit saisir l’</w:t>
      </w:r>
      <w:r w:rsidRPr="00E72418">
        <w:rPr>
          <w:i/>
        </w:rPr>
        <w:t>ARA Libertad</w:t>
      </w:r>
      <w:r w:rsidRPr="00E72418">
        <w:t xml:space="preserve">, un bateau argentin stationné dans un port ghanéen. La manœuvre de </w:t>
      </w:r>
      <w:r w:rsidRPr="00E72418">
        <w:rPr>
          <w:i/>
        </w:rPr>
        <w:t>NML Capital Ltd.</w:t>
      </w:r>
      <w:r w:rsidRPr="00E72418">
        <w:t xml:space="preserve"> visait indubitablement à mettre la pression sur l’Argentine dès lors que, dans le meilleur des cas, le bateau lui aurait permis de récupérer un pour cent du montant réclamé. </w:t>
      </w:r>
      <w:r w:rsidRPr="00E72418">
        <w:rPr>
          <w:lang w:val="en-US"/>
        </w:rPr>
        <w:t>De ce constat, John Pottow, avec une pointe d’espièglerie, indiqua que « [t]rue, ninety-nine more ships later the fund might have been made whole, but the jarring disconnect between the value of the claim and the legal effort involved in seizing such a remote asset raises the question whether NML was doing it merely to posture for its larger holdout game » (</w:t>
      </w:r>
      <w:r w:rsidRPr="00E72418">
        <w:rPr>
          <w:smallCaps/>
          <w:lang w:val="en-US"/>
        </w:rPr>
        <w:t>J. Pottow</w:t>
      </w:r>
      <w:r w:rsidRPr="00E72418">
        <w:rPr>
          <w:lang w:val="en-US"/>
        </w:rPr>
        <w:t xml:space="preserve">, « Mitigating the Problem of Vulture Holdout: International Certification Boards for Sovereign-Debt Restructurings », </w:t>
      </w:r>
      <w:r w:rsidRPr="00E72418">
        <w:rPr>
          <w:rFonts w:ascii="Times New Roman" w:hAnsi="Times New Roman" w:cs="Times New Roman"/>
          <w:i/>
        </w:rPr>
        <w:t>Tex. Int. Law J.</w:t>
      </w:r>
      <w:r w:rsidRPr="00E72418">
        <w:rPr>
          <w:lang w:val="en-US"/>
        </w:rPr>
        <w:t xml:space="preserve">, 2014, p. 227). </w:t>
      </w:r>
      <w:r w:rsidRPr="00E72418">
        <w:t xml:space="preserve">La répercussion négative sur l’Argentine fut par contre elle bien réelle sachant que la saisie coûta au Gouvernement argentin cinq millions de dollars (T. </w:t>
      </w:r>
      <w:r w:rsidRPr="00E72418">
        <w:rPr>
          <w:smallCaps/>
        </w:rPr>
        <w:t>Samples</w:t>
      </w:r>
      <w:r w:rsidRPr="00E72418">
        <w:t xml:space="preserve">, « Rogue Trends in Sovereign Debt: Argentina, Vulture Funds, and </w:t>
      </w:r>
      <w:r w:rsidRPr="00E72418">
        <w:rPr>
          <w:i/>
        </w:rPr>
        <w:t>Pari Passu</w:t>
      </w:r>
      <w:r w:rsidRPr="00E72418">
        <w:t xml:space="preserve"> Under New York Law », </w:t>
      </w:r>
      <w:r w:rsidRPr="00E72418">
        <w:rPr>
          <w:i/>
        </w:rPr>
        <w:t>op. cit.</w:t>
      </w:r>
      <w:r w:rsidRPr="00E72418">
        <w:t>, p. 61).</w:t>
      </w:r>
    </w:p>
  </w:footnote>
  <w:footnote w:id="551">
    <w:p w14:paraId="54554AA5" w14:textId="6EE4820C"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infra</w:t>
      </w:r>
      <w:r w:rsidRPr="00E72418">
        <w:rPr>
          <w:szCs w:val="20"/>
          <w:lang w:val="en-US"/>
        </w:rPr>
        <w:t xml:space="preserve"> n°</w:t>
      </w:r>
      <w:r w:rsidR="00331721" w:rsidRPr="00331721">
        <w:rPr>
          <w:szCs w:val="20"/>
          <w:vertAlign w:val="superscript"/>
          <w:lang w:val="en-US"/>
        </w:rPr>
        <w:t>s</w:t>
      </w:r>
      <w:r w:rsidRPr="00E72418">
        <w:rPr>
          <w:szCs w:val="20"/>
          <w:lang w:val="en-US"/>
        </w:rPr>
        <w:t xml:space="preserve"> 182 et suiv.</w:t>
      </w:r>
    </w:p>
  </w:footnote>
  <w:footnote w:id="552">
    <w:p w14:paraId="671D85D0" w14:textId="603DBA5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Steel, E. Zarrini</w:t>
      </w:r>
      <w:r w:rsidRPr="00E72418">
        <w:rPr>
          <w:szCs w:val="20"/>
          <w:lang w:val="en-US"/>
        </w:rPr>
        <w:t xml:space="preserve"> et </w:t>
      </w:r>
      <w:r w:rsidRPr="00E72418">
        <w:rPr>
          <w:smallCaps/>
          <w:szCs w:val="20"/>
          <w:lang w:val="en-US"/>
        </w:rPr>
        <w:t>A. Goldinstein</w:t>
      </w:r>
      <w:r w:rsidRPr="00E72418">
        <w:rPr>
          <w:szCs w:val="20"/>
          <w:lang w:val="en-US"/>
        </w:rPr>
        <w:t>, « </w:t>
      </w:r>
      <w:r w:rsidRPr="00E72418">
        <w:rPr>
          <w:i/>
          <w:szCs w:val="20"/>
          <w:lang w:val="en-US"/>
        </w:rPr>
        <w:t>NML Capital v Argentina</w:t>
      </w:r>
      <w:r w:rsidRPr="00E72418">
        <w:rPr>
          <w:szCs w:val="20"/>
          <w:lang w:val="en-US"/>
        </w:rPr>
        <w:t xml:space="preserve">: a lesson in indenture interpretation », </w:t>
      </w:r>
      <w:r w:rsidRPr="00E72418">
        <w:rPr>
          <w:i/>
          <w:szCs w:val="20"/>
          <w:lang w:val="en-US"/>
        </w:rPr>
        <w:t>op. cit.</w:t>
      </w:r>
      <w:r w:rsidRPr="00E72418">
        <w:rPr>
          <w:szCs w:val="20"/>
          <w:lang w:val="en-US"/>
        </w:rPr>
        <w:t>, p. 31.</w:t>
      </w:r>
    </w:p>
  </w:footnote>
  <w:footnote w:id="553">
    <w:p w14:paraId="72A36FA6" w14:textId="477C7D02" w:rsidR="0030147D" w:rsidRPr="00E72418" w:rsidRDefault="0030147D" w:rsidP="00D56658">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w:t>
      </w:r>
      <w:r w:rsidRPr="00E72418">
        <w:rPr>
          <w:i/>
          <w:szCs w:val="20"/>
        </w:rPr>
        <w:t>Pari passu</w:t>
      </w:r>
      <w:r w:rsidRPr="00E72418">
        <w:rPr>
          <w:szCs w:val="20"/>
        </w:rPr>
        <w:t xml:space="preserve"> est-il exportable ? Ou comment le contentieux de la dette argentine renouvelle l’exécution transnationale des jugements condamnant un État », in J. </w:t>
      </w:r>
      <w:r w:rsidRPr="00E72418">
        <w:rPr>
          <w:smallCaps/>
          <w:szCs w:val="20"/>
        </w:rPr>
        <w:t>Morel-Maroger</w:t>
      </w:r>
      <w:r w:rsidRPr="00E72418">
        <w:rPr>
          <w:szCs w:val="20"/>
        </w:rPr>
        <w:t xml:space="preserve">, T. </w:t>
      </w:r>
      <w:r w:rsidRPr="00E72418">
        <w:rPr>
          <w:smallCaps/>
          <w:szCs w:val="20"/>
        </w:rPr>
        <w:t>Kirat</w:t>
      </w:r>
      <w:r w:rsidRPr="00E72418">
        <w:rPr>
          <w:szCs w:val="20"/>
        </w:rPr>
        <w:t xml:space="preserve"> et C. </w:t>
      </w:r>
      <w:r w:rsidRPr="00E72418">
        <w:rPr>
          <w:smallCaps/>
          <w:szCs w:val="20"/>
        </w:rPr>
        <w:t>Boiteau</w:t>
      </w:r>
      <w:r w:rsidRPr="00E72418">
        <w:rPr>
          <w:szCs w:val="20"/>
        </w:rPr>
        <w:t xml:space="preserve"> (dir.), </w:t>
      </w:r>
      <w:r w:rsidRPr="00E72418">
        <w:rPr>
          <w:i/>
          <w:szCs w:val="20"/>
        </w:rPr>
        <w:t>Droit et crise financière</w:t>
      </w:r>
      <w:r w:rsidRPr="00E72418">
        <w:rPr>
          <w:szCs w:val="20"/>
        </w:rPr>
        <w:t>, Bruylant, 2015, p. 315. L’</w:t>
      </w:r>
      <w:r w:rsidRPr="00E72418">
        <w:rPr>
          <w:i/>
          <w:szCs w:val="20"/>
        </w:rPr>
        <w:t>International Swaps and Derivatives Association</w:t>
      </w:r>
      <w:r w:rsidRPr="00E72418">
        <w:rPr>
          <w:szCs w:val="20"/>
        </w:rPr>
        <w:t xml:space="preserve"> (ISDA) déclara qu’il s’agissait d’un « failure to pay credit event » lequel déclenchait les paiements prévus par les</w:t>
      </w:r>
      <w:r w:rsidRPr="00E72418">
        <w:rPr>
          <w:i/>
          <w:szCs w:val="20"/>
        </w:rPr>
        <w:t xml:space="preserve"> credit default swaps</w:t>
      </w:r>
      <w:r w:rsidRPr="00E72418">
        <w:rPr>
          <w:szCs w:val="20"/>
        </w:rPr>
        <w:t xml:space="preserve"> (</w:t>
      </w:r>
      <w:r w:rsidRPr="00E72418">
        <w:rPr>
          <w:smallCaps/>
          <w:szCs w:val="20"/>
        </w:rPr>
        <w:t>H. Harrison</w:t>
      </w:r>
      <w:r w:rsidRPr="00E72418">
        <w:rPr>
          <w:szCs w:val="20"/>
        </w:rPr>
        <w:t xml:space="preserve"> et </w:t>
      </w:r>
      <w:r w:rsidRPr="00E72418">
        <w:rPr>
          <w:smallCaps/>
          <w:szCs w:val="20"/>
        </w:rPr>
        <w:t>F. Huntriss</w:t>
      </w:r>
      <w:r w:rsidRPr="00E72418">
        <w:rPr>
          <w:szCs w:val="20"/>
        </w:rPr>
        <w:t xml:space="preserve">, « Hedge funds and litigation: a brave new world », </w:t>
      </w:r>
      <w:r w:rsidRPr="00E72418">
        <w:rPr>
          <w:rFonts w:ascii="Times New Roman" w:hAnsi="Times New Roman" w:cs="Times New Roman"/>
          <w:i/>
          <w:szCs w:val="20"/>
        </w:rPr>
        <w:t>C.M.L.J.</w:t>
      </w:r>
      <w:r w:rsidRPr="00E72418">
        <w:rPr>
          <w:szCs w:val="20"/>
        </w:rPr>
        <w:t xml:space="preserve">, 2015, p. 139). Martin Guzman note que parmi les membres du comité de l’ISDA ayant décidé ce défaut figurait le fonds </w:t>
      </w:r>
      <w:r w:rsidRPr="00E72418">
        <w:rPr>
          <w:i/>
          <w:szCs w:val="20"/>
        </w:rPr>
        <w:t>Elliott Management</w:t>
      </w:r>
      <w:r w:rsidRPr="00E72418">
        <w:rPr>
          <w:szCs w:val="20"/>
        </w:rPr>
        <w:t>. Il relève ainsi que « this is a dangerous situation, which could distort any restructuring negotiation, as the same agent could potentially be a litigant, a holder of [sovereign credit default swaps] referring to the bonds under litigation and, at the same time, the person or institution deciding whether the conditions for activation of [sovereign credit default swaps] payments are met » (</w:t>
      </w:r>
      <w:r w:rsidRPr="00E72418">
        <w:rPr>
          <w:smallCaps/>
          <w:szCs w:val="20"/>
        </w:rPr>
        <w:t>M. Guzman</w:t>
      </w:r>
      <w:r w:rsidRPr="00E72418">
        <w:rPr>
          <w:szCs w:val="20"/>
        </w:rPr>
        <w:t xml:space="preserve">, « An analysis of Argentina’s 2001 default resolution », </w:t>
      </w:r>
      <w:r w:rsidRPr="00E72418">
        <w:rPr>
          <w:i/>
          <w:szCs w:val="20"/>
          <w:lang w:val="en-US"/>
        </w:rPr>
        <w:t>op. cit.</w:t>
      </w:r>
      <w:r>
        <w:rPr>
          <w:szCs w:val="20"/>
        </w:rPr>
        <w:t xml:space="preserve">, p. 14). Sur ces </w:t>
      </w:r>
      <w:r w:rsidRPr="00A9063C">
        <w:rPr>
          <w:i/>
          <w:szCs w:val="20"/>
        </w:rPr>
        <w:t>credit default swaps</w:t>
      </w:r>
      <w:r w:rsidRPr="00E72418">
        <w:rPr>
          <w:szCs w:val="20"/>
        </w:rPr>
        <w:t xml:space="preserve">, voyez </w:t>
      </w:r>
      <w:r w:rsidRPr="00E72418">
        <w:rPr>
          <w:i/>
          <w:szCs w:val="20"/>
        </w:rPr>
        <w:t>infra</w:t>
      </w:r>
      <w:r w:rsidRPr="00E72418">
        <w:rPr>
          <w:szCs w:val="20"/>
        </w:rPr>
        <w:t xml:space="preserve"> n° 140.</w:t>
      </w:r>
    </w:p>
  </w:footnote>
  <w:footnote w:id="554">
    <w:p w14:paraId="2154D9B3" w14:textId="7AB51D1D" w:rsidR="0030147D" w:rsidRPr="00E72418" w:rsidRDefault="0030147D" w:rsidP="00EE334E">
      <w:pPr>
        <w:pStyle w:val="Sansinterligne"/>
      </w:pPr>
      <w:r w:rsidRPr="00E72418">
        <w:rPr>
          <w:rStyle w:val="Appelnotedebasdep"/>
        </w:rPr>
        <w:footnoteRef/>
      </w:r>
      <w:r w:rsidRPr="00E72418">
        <w:t xml:space="preserve"> J. </w:t>
      </w:r>
      <w:r w:rsidRPr="00E72418">
        <w:rPr>
          <w:smallCaps/>
        </w:rPr>
        <w:t>Stiglitz</w:t>
      </w:r>
      <w:r w:rsidRPr="00E72418">
        <w:t xml:space="preserve"> et M. </w:t>
      </w:r>
      <w:r w:rsidRPr="00E72418">
        <w:rPr>
          <w:smallCaps/>
        </w:rPr>
        <w:t>Guzman</w:t>
      </w:r>
      <w:r w:rsidRPr="00E72418">
        <w:t xml:space="preserve">, « Argentina default ? Griesafault is much more accurate », </w:t>
      </w:r>
      <w:r w:rsidRPr="00E72418">
        <w:rPr>
          <w:i/>
        </w:rPr>
        <w:t>The Guardian</w:t>
      </w:r>
      <w:r w:rsidRPr="00E72418">
        <w:t>, 7 août 2014, disponible à l’adresse www.theguardian.com/business/2014/aug/07/argentina-default-griesafault-more-accurate (consultation le 17 octobre 2021).</w:t>
      </w:r>
    </w:p>
  </w:footnote>
  <w:footnote w:id="555">
    <w:p w14:paraId="02FF3383" w14:textId="4B3C2E5D"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Comme le note plus largement Matias Vernengo, « [a]lthough international reserves are dwindling, Argentina has enough dollars to pay its short-term obligations and even the $1.3 billion that is directly owed to the holdouts » (</w:t>
      </w:r>
      <w:r w:rsidRPr="00E72418">
        <w:rPr>
          <w:smallCaps/>
          <w:szCs w:val="20"/>
          <w:lang w:val="en-US"/>
        </w:rPr>
        <w:t>M. Vernengo</w:t>
      </w:r>
      <w:r w:rsidRPr="00E72418">
        <w:rPr>
          <w:szCs w:val="20"/>
          <w:lang w:val="en-US"/>
        </w:rPr>
        <w:t xml:space="preserve">, « Argentina, Vulture Funds, and the American Justice System », </w:t>
      </w:r>
      <w:r w:rsidRPr="00E72418">
        <w:rPr>
          <w:i/>
          <w:szCs w:val="20"/>
          <w:lang w:val="en-US"/>
        </w:rPr>
        <w:t>op. cit.</w:t>
      </w:r>
      <w:r w:rsidRPr="00E72418">
        <w:rPr>
          <w:szCs w:val="20"/>
          <w:lang w:val="en-US"/>
        </w:rPr>
        <w:t xml:space="preserve">, p. 48). </w:t>
      </w:r>
      <w:r w:rsidRPr="00E72418">
        <w:rPr>
          <w:szCs w:val="20"/>
        </w:rPr>
        <w:t xml:space="preserve">Précisément, le montant correspondant aux intérêts dus avait d’ailleurs été versé par le pays à la </w:t>
      </w:r>
      <w:r w:rsidRPr="00E72418">
        <w:rPr>
          <w:i/>
          <w:szCs w:val="20"/>
        </w:rPr>
        <w:t>Bank of New York Mellon</w:t>
      </w:r>
      <w:r w:rsidRPr="00E72418">
        <w:rPr>
          <w:szCs w:val="20"/>
        </w:rPr>
        <w:t>, laquelle banque obligée par l’injonction new-yorkaise s’était abstenue de le transférer aux créanciers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xml:space="preserve">, p. 779). La portée de l’injonction était telle que l’agent fiduciaire ne pouvait procéder au paiement sans s’exposer à une condamnation de </w:t>
      </w:r>
      <w:r w:rsidRPr="00E72418">
        <w:rPr>
          <w:i/>
          <w:szCs w:val="20"/>
        </w:rPr>
        <w:t>contempt of court</w:t>
      </w:r>
      <w:r w:rsidRPr="00E72418">
        <w:rPr>
          <w:szCs w:val="20"/>
        </w:rPr>
        <w:t xml:space="preserve"> (</w:t>
      </w:r>
      <w:r w:rsidRPr="00E72418">
        <w:rPr>
          <w:smallCaps/>
          <w:szCs w:val="20"/>
        </w:rPr>
        <w:t>M. Audit</w:t>
      </w:r>
      <w:r w:rsidRPr="00E72418">
        <w:rPr>
          <w:szCs w:val="20"/>
        </w:rPr>
        <w:t xml:space="preserve">, « </w:t>
      </w:r>
      <w:r w:rsidRPr="00E72418">
        <w:rPr>
          <w:i/>
          <w:szCs w:val="20"/>
        </w:rPr>
        <w:t>Pari passu</w:t>
      </w:r>
      <w:r w:rsidRPr="00E72418">
        <w:rPr>
          <w:szCs w:val="20"/>
        </w:rPr>
        <w:t xml:space="preserve"> est-il exportable ? Ou comment le contentieux de la dette argentine renouvelle l’exécution transnationale des jugements condamnant un État », </w:t>
      </w:r>
      <w:r w:rsidRPr="00E72418">
        <w:rPr>
          <w:i/>
          <w:szCs w:val="20"/>
        </w:rPr>
        <w:t>op. cit.</w:t>
      </w:r>
      <w:r w:rsidRPr="00E72418">
        <w:rPr>
          <w:szCs w:val="20"/>
        </w:rPr>
        <w:t>, p. 316).</w:t>
      </w:r>
    </w:p>
  </w:footnote>
  <w:footnote w:id="556">
    <w:p w14:paraId="1367D3FA" w14:textId="4E2221D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592.</w:t>
      </w:r>
    </w:p>
  </w:footnote>
  <w:footnote w:id="557">
    <w:p w14:paraId="113BD7D2" w14:textId="2F0FC081"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En 2014, le </w:t>
      </w:r>
      <w:r w:rsidRPr="00E72418">
        <w:rPr>
          <w:i/>
          <w:szCs w:val="20"/>
          <w:lang w:val="en-US"/>
        </w:rPr>
        <w:t>Meeting of Consultation of Ministers of Foreign Affairs</w:t>
      </w:r>
      <w:r w:rsidRPr="00E72418">
        <w:rPr>
          <w:szCs w:val="20"/>
          <w:lang w:val="en-US"/>
        </w:rPr>
        <w:t xml:space="preserve"> de l’</w:t>
      </w:r>
      <w:r w:rsidRPr="00E72418">
        <w:rPr>
          <w:i/>
          <w:szCs w:val="20"/>
          <w:lang w:val="en-US"/>
        </w:rPr>
        <w:t xml:space="preserve">Organization of American States </w:t>
      </w:r>
      <w:r w:rsidRPr="00E72418">
        <w:rPr>
          <w:szCs w:val="20"/>
          <w:lang w:val="en-US"/>
        </w:rPr>
        <w:t>déclara « [i]ts support to Argentine Republic so that it can continue to meet its obligations, pay its debt, honor its financial commitments and through dialogue arrive at a fair, equitable and legal arrangement</w:t>
      </w:r>
      <w:r>
        <w:rPr>
          <w:szCs w:val="20"/>
          <w:lang w:val="en-US"/>
        </w:rPr>
        <w:t xml:space="preserve"> with 100% of its creditors » (v</w:t>
      </w:r>
      <w:r w:rsidRPr="00E72418">
        <w:rPr>
          <w:szCs w:val="20"/>
          <w:lang w:val="en-US"/>
        </w:rPr>
        <w:t xml:space="preserve">ingt-huitième </w:t>
      </w:r>
      <w:r w:rsidRPr="00E72418">
        <w:rPr>
          <w:i/>
          <w:szCs w:val="20"/>
          <w:lang w:val="en-US"/>
        </w:rPr>
        <w:t>Meeting of Consultation of Ministers of Foreign Affairs of the Organization of American States</w:t>
      </w:r>
      <w:r w:rsidRPr="00E72418">
        <w:rPr>
          <w:szCs w:val="20"/>
          <w:lang w:val="en-US"/>
        </w:rPr>
        <w:t>, « Declaration in support for the position of Argentina on its sovereign debt restructuring</w:t>
      </w:r>
      <w:r w:rsidRPr="00E72418">
        <w:rPr>
          <w:i/>
          <w:szCs w:val="20"/>
          <w:lang w:val="en-US"/>
        </w:rPr>
        <w:t xml:space="preserve"> </w:t>
      </w:r>
      <w:r w:rsidRPr="00E72418">
        <w:rPr>
          <w:szCs w:val="20"/>
          <w:lang w:val="en-US"/>
        </w:rPr>
        <w:t xml:space="preserve">», 3 juillet 2014, RC.28/DEC. 1/14, disponible à l’adresse </w:t>
      </w:r>
      <w:hyperlink r:id="rId31" w:history="1">
        <w:r w:rsidRPr="00E72418">
          <w:rPr>
            <w:rStyle w:val="Lienhypertexte"/>
            <w:color w:val="auto"/>
            <w:szCs w:val="20"/>
            <w:u w:val="none"/>
            <w:lang w:val="en-US"/>
          </w:rPr>
          <w:t>www.oas.org/en/media_center/press_release.asp?sCodigo=E-286/14</w:t>
        </w:r>
      </w:hyperlink>
      <w:r w:rsidRPr="00E72418">
        <w:rPr>
          <w:rStyle w:val="Lienhypertexte"/>
          <w:color w:val="auto"/>
          <w:szCs w:val="20"/>
          <w:u w:val="none"/>
          <w:lang w:val="en-US"/>
        </w:rPr>
        <w:t xml:space="preserve"> (consultation le 17 octobre 2021))</w:t>
      </w:r>
      <w:r w:rsidRPr="00E72418">
        <w:rPr>
          <w:szCs w:val="20"/>
          <w:lang w:val="en-US"/>
        </w:rPr>
        <w:t xml:space="preserve">. </w:t>
      </w:r>
      <w:r w:rsidRPr="00E72418">
        <w:rPr>
          <w:szCs w:val="20"/>
        </w:rPr>
        <w:t>Les États-Unis n’ont pas soutenu cette déclaration.</w:t>
      </w:r>
    </w:p>
  </w:footnote>
  <w:footnote w:id="558">
    <w:p w14:paraId="3FD34E08" w14:textId="6C6D8421" w:rsidR="0030147D" w:rsidRPr="00E72418" w:rsidRDefault="0030147D" w:rsidP="002D34EF">
      <w:pPr>
        <w:pStyle w:val="Sansinterligne"/>
      </w:pPr>
      <w:r w:rsidRPr="00E72418">
        <w:rPr>
          <w:rStyle w:val="Appelnotedebasdep"/>
          <w:szCs w:val="20"/>
        </w:rPr>
        <w:footnoteRef/>
      </w:r>
      <w:r w:rsidRPr="00E72418">
        <w:rPr>
          <w:szCs w:val="20"/>
        </w:rPr>
        <w:t xml:space="preserve"> </w:t>
      </w:r>
      <w:r w:rsidRPr="00E72418">
        <w:rPr>
          <w:smallCaps/>
          <w:szCs w:val="20"/>
        </w:rPr>
        <w:t>M. Guzman</w:t>
      </w:r>
      <w:r w:rsidRPr="00E72418">
        <w:rPr>
          <w:szCs w:val="20"/>
        </w:rPr>
        <w:t xml:space="preserve">, « An analysis of Argentina’s 2001 default resolution », </w:t>
      </w:r>
      <w:r w:rsidRPr="00E72418">
        <w:rPr>
          <w:i/>
          <w:szCs w:val="20"/>
          <w:lang w:val="en-US"/>
        </w:rPr>
        <w:t>op. cit.</w:t>
      </w:r>
      <w:r w:rsidRPr="00E72418">
        <w:rPr>
          <w:szCs w:val="20"/>
        </w:rPr>
        <w:t>, p. 14. Comme le note alors Alexander Shapos, « [i]</w:t>
      </w:r>
      <w:r w:rsidRPr="00E72418">
        <w:t xml:space="preserve">n real dollars, and according to Argentina’s President, if Argentina had paid the holdouts, it would have cost Argentina $15 billion-half of its dollar reserves </w:t>
      </w:r>
      <w:r w:rsidRPr="00E72418">
        <w:rPr>
          <w:szCs w:val="20"/>
        </w:rPr>
        <w:t xml:space="preserve">» (A. </w:t>
      </w:r>
      <w:r w:rsidRPr="00E72418">
        <w:rPr>
          <w:rFonts w:cs="Times New Roman"/>
          <w:smallCaps/>
          <w:szCs w:val="24"/>
          <w:lang w:val="en-US"/>
        </w:rPr>
        <w:t>Shapos</w:t>
      </w:r>
      <w:r w:rsidRPr="00E72418">
        <w:rPr>
          <w:rFonts w:cs="Times New Roman"/>
          <w:szCs w:val="24"/>
          <w:lang w:val="en-US"/>
        </w:rPr>
        <w:t xml:space="preserve">, « Breaking the Impasse: A Two-Pronged Approach for Resolving Sovereign Debt Holdout Disputes », </w:t>
      </w:r>
      <w:r w:rsidRPr="00E72418">
        <w:rPr>
          <w:rFonts w:cs="Times New Roman"/>
          <w:i/>
          <w:szCs w:val="24"/>
          <w:lang w:val="en-US"/>
        </w:rPr>
        <w:t>op. cit.</w:t>
      </w:r>
      <w:r w:rsidRPr="00E72418">
        <w:rPr>
          <w:rFonts w:cs="Times New Roman"/>
          <w:szCs w:val="24"/>
          <w:lang w:val="en-US"/>
        </w:rPr>
        <w:t>, p. 261</w:t>
      </w:r>
      <w:r w:rsidRPr="00E72418">
        <w:rPr>
          <w:szCs w:val="20"/>
        </w:rPr>
        <w:t>).</w:t>
      </w:r>
    </w:p>
  </w:footnote>
  <w:footnote w:id="559">
    <w:p w14:paraId="28657255" w14:textId="40B53FDD"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l’article 2 de la loi : « [l]a presente ley tiene por objeto implementar instrumentos legales que permitan el cobro de los servicios correspondientes al cien por ciento de los Títulos emitidos en el marco de la Reestructuración de Deuda Soberana 2005-2010 […] en salvaguarda del orden público nacional […] ». Sur l’argument de l’ordre public</w:t>
      </w:r>
      <w:r w:rsidR="00331721">
        <w:rPr>
          <w:szCs w:val="20"/>
        </w:rPr>
        <w:t xml:space="preserve"> opposé aux fonds spéculatifs</w:t>
      </w:r>
      <w:r w:rsidRPr="00E72418">
        <w:rPr>
          <w:szCs w:val="20"/>
        </w:rPr>
        <w:t xml:space="preserv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251 et suiv.</w:t>
      </w:r>
    </w:p>
  </w:footnote>
  <w:footnote w:id="560">
    <w:p w14:paraId="56DFF028" w14:textId="3C9FB660"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w:t>
      </w:r>
      <w:r w:rsidRPr="00E72418">
        <w:rPr>
          <w:i/>
          <w:szCs w:val="20"/>
        </w:rPr>
        <w:t>Pari passu</w:t>
      </w:r>
      <w:r w:rsidRPr="00E72418">
        <w:rPr>
          <w:szCs w:val="20"/>
        </w:rPr>
        <w:t xml:space="preserve"> est-il exportable ? Ou comment le contentieux de la dette argentine renouvelle l’exécution transnationale des jugements condamnant un État », </w:t>
      </w:r>
      <w:r w:rsidRPr="00E72418">
        <w:rPr>
          <w:i/>
          <w:szCs w:val="20"/>
        </w:rPr>
        <w:t>op. cit.</w:t>
      </w:r>
      <w:r w:rsidRPr="00E72418">
        <w:rPr>
          <w:szCs w:val="20"/>
        </w:rPr>
        <w:t>, pp. 317 et 318.</w:t>
      </w:r>
    </w:p>
  </w:footnote>
  <w:footnote w:id="561">
    <w:p w14:paraId="5ABB8B81" w14:textId="08DC1A5E"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 317. La </w:t>
      </w:r>
      <w:r w:rsidRPr="00E72418">
        <w:rPr>
          <w:i/>
        </w:rPr>
        <w:t>Bank of New York Mellon</w:t>
      </w:r>
      <w:r w:rsidRPr="00E72418">
        <w:rPr>
          <w:szCs w:val="20"/>
        </w:rPr>
        <w:t xml:space="preserve"> fut ainsi remplacée par la </w:t>
      </w:r>
      <w:r w:rsidRPr="00E72418">
        <w:rPr>
          <w:i/>
        </w:rPr>
        <w:t>Nación Fideicomisos S.A.</w:t>
      </w:r>
      <w:r w:rsidRPr="00E72418">
        <w:rPr>
          <w:szCs w:val="20"/>
        </w:rPr>
        <w:t xml:space="preserve"> « [e]n virtud de la pública y notoria incapacidad de actuar del Bank of New York Mellon como Agente Fiduciario del Convenio de Fideicomiso 2005-2010 » (voyez l’article 3 de la </w:t>
      </w:r>
      <w:r w:rsidRPr="00E72418">
        <w:rPr>
          <w:rFonts w:cs="Times New Roman"/>
          <w:i/>
          <w:szCs w:val="24"/>
        </w:rPr>
        <w:t>sovereign payment law</w:t>
      </w:r>
      <w:r w:rsidRPr="00E72418">
        <w:rPr>
          <w:szCs w:val="20"/>
        </w:rPr>
        <w:t>).</w:t>
      </w:r>
    </w:p>
  </w:footnote>
  <w:footnote w:id="562">
    <w:p w14:paraId="5FD37A1C" w14:textId="10E9CBB0" w:rsidR="0030147D" w:rsidRPr="00E72418" w:rsidRDefault="0030147D" w:rsidP="00317E07">
      <w:pPr>
        <w:pStyle w:val="Sansinterligne"/>
      </w:pPr>
      <w:r w:rsidRPr="00E72418">
        <w:rPr>
          <w:rStyle w:val="Appelnotedebasdep"/>
        </w:rPr>
        <w:footnoteRef/>
      </w:r>
      <w:r w:rsidRPr="00E72418">
        <w:t xml:space="preserve"> </w:t>
      </w:r>
      <w:r w:rsidRPr="00E72418">
        <w:rPr>
          <w:szCs w:val="20"/>
        </w:rPr>
        <w:t xml:space="preserve">United States </w:t>
      </w:r>
      <w:r w:rsidRPr="00E72418">
        <w:t xml:space="preserve">District Court for the Southern District of New York (EUA), 29 septembre 2014, </w:t>
      </w:r>
      <w:r w:rsidRPr="00E72418">
        <w:rPr>
          <w:i/>
        </w:rPr>
        <w:t>NML Capital Ltd. v. Republic of Argentina</w:t>
      </w:r>
      <w:r w:rsidRPr="00E72418">
        <w:t>, 08 Civ. 6978 (TPG) e.a., document 687, inédit. Quelques jours plus tard, le juge Thomas Griesa précisait que « [t]he Republic of Argentina will need to reverse entirely the steps which it has taken constituting the contempt, including, but not limited to, re-affirming the role of The Bank of New York Mellon as the indenture trustee and withdrawing any purported authorization of Nación Fideicomisos, S.A. to act as the indenture trustee, and complying completely with the February 23, 2012 injunction » (</w:t>
      </w:r>
      <w:r w:rsidRPr="00E72418">
        <w:rPr>
          <w:szCs w:val="20"/>
        </w:rPr>
        <w:t xml:space="preserve">United States </w:t>
      </w:r>
      <w:r w:rsidRPr="00E72418">
        <w:t xml:space="preserve">District Court for the Southern District of New York (EUA), 3 octobre 2014, </w:t>
      </w:r>
      <w:r w:rsidRPr="00E72418">
        <w:rPr>
          <w:i/>
        </w:rPr>
        <w:t>NML Capital Ltd. v. Republic of Argentina</w:t>
      </w:r>
      <w:r w:rsidRPr="00E72418">
        <w:t>, 08 Civ. 6978 (TPG) e.a., document 693, inédit).</w:t>
      </w:r>
    </w:p>
  </w:footnote>
  <w:footnote w:id="563">
    <w:p w14:paraId="7DAE463F" w14:textId="2E1B2551" w:rsidR="0030147D" w:rsidRPr="00E72418" w:rsidRDefault="0030147D" w:rsidP="00AF6419">
      <w:pPr>
        <w:pStyle w:val="Sansinterligne"/>
      </w:pPr>
      <w:r w:rsidRPr="00E72418">
        <w:rPr>
          <w:rStyle w:val="Appelnotedebasdep"/>
        </w:rPr>
        <w:footnoteRef/>
      </w:r>
      <w:r w:rsidRPr="00E72418">
        <w:t xml:space="preserve"> Le contentieux argentin a ceci de caractéristique qu’il a souvent crispé les juridictions étatsuniennes déplorant l’attitude argentine de ne pas respecter les décisions prises (voyez </w:t>
      </w:r>
      <w:r w:rsidRPr="00E72418">
        <w:rPr>
          <w:smallCaps/>
        </w:rPr>
        <w:t>A. Gelpern</w:t>
      </w:r>
      <w:r w:rsidRPr="00E72418">
        <w:t xml:space="preserve">, « Contract hope and sovereign redemption », </w:t>
      </w:r>
      <w:r w:rsidRPr="00E72418">
        <w:rPr>
          <w:i/>
        </w:rPr>
        <w:t>op. cit.</w:t>
      </w:r>
      <w:r w:rsidRPr="00E72418">
        <w:t xml:space="preserve">, p. 141). À certains moments, la « preeminence of the Republic of Argentina in the sorry history of defaults on sovereign debt » ou encore la « diplomacy of default » semblaient irriter les juges étatsuniens (voyez notamment </w:t>
      </w:r>
      <w:r w:rsidRPr="00E72418">
        <w:rPr>
          <w:rStyle w:val="SansinterligneCar"/>
          <w:szCs w:val="20"/>
        </w:rPr>
        <w:t xml:space="preserve">United States Court of Appeals for the Second Circuit (EUA), 5 juillet 2011, </w:t>
      </w:r>
      <w:r w:rsidRPr="00E72418">
        <w:rPr>
          <w:rStyle w:val="SansinterligneCar"/>
          <w:i/>
          <w:szCs w:val="20"/>
        </w:rPr>
        <w:t>NML Capital Ltd. v. Banco Cent. De La Republica Arg.</w:t>
      </w:r>
      <w:r w:rsidRPr="00E72418">
        <w:rPr>
          <w:rStyle w:val="SansinterligneCar"/>
          <w:szCs w:val="20"/>
        </w:rPr>
        <w:t>, 652 F.3d 172, p. 175).</w:t>
      </w:r>
      <w:r w:rsidRPr="00E72418">
        <w:t xml:space="preserve"> Pourtant, les juridictions étatsuniennes ne furent pas toujours à ce point à cran. </w:t>
      </w:r>
      <w:r w:rsidRPr="00E72418">
        <w:rPr>
          <w:lang w:val="en-US"/>
        </w:rPr>
        <w:t xml:space="preserve">Dans une décision de mai 2005, la United States Court of Appeals for the Second Circuit relevait ainsi qu’une restructuration « is obviously of critical importance to the economic health of a nation » et prit une décision visant à éviter « a substantial risk to the successful conclusion of the debt restructuring » (United States Court of Appeals for the Second Circuit (EAU), 13 mai 2005, </w:t>
      </w:r>
      <w:r w:rsidRPr="00E72418">
        <w:rPr>
          <w:i/>
          <w:lang w:val="en-US"/>
        </w:rPr>
        <w:t>EM Ltd. v. Republic of Arg.</w:t>
      </w:r>
      <w:r w:rsidRPr="00E72418">
        <w:rPr>
          <w:rStyle w:val="injectednode"/>
          <w:szCs w:val="20"/>
          <w:lang w:val="en-US"/>
        </w:rPr>
        <w:t>, 131 Fed. Appx. 745, p. 747)</w:t>
      </w:r>
      <w:r w:rsidRPr="00E72418">
        <w:rPr>
          <w:lang w:val="en-US"/>
        </w:rPr>
        <w:t xml:space="preserve">. L’énervement fut à un moment tel que des propositions de législations furent introduites visant à sanctionner les États ne respectant pas les décisions étatsuniennes. Ces propositions visaient explicitement l’attitude de la République argentine (voyez notamment la </w:t>
      </w:r>
      <w:r w:rsidRPr="00E72418">
        <w:rPr>
          <w:i/>
          <w:lang w:val="en-US"/>
        </w:rPr>
        <w:t>Bill to prevent foreign states that do business, issue securities, or borrow money in the United States, and then fail to satisfy United States court judgments totaling $100,000,000 or more based on such activities, from inflicting further economic injuries in the United States, from undermining the integrity of United States courts, and from discouraging responsible lending to poor and developing nations by undermining the secondary and primary markets for sovereign debt</w:t>
      </w:r>
      <w:r w:rsidRPr="00E72418">
        <w:rPr>
          <w:lang w:val="en-US"/>
        </w:rPr>
        <w:t>, en abrégé le « Judgment Evading Foreign States Accountability Act of 2011 » (U.S. bill 112 H.R. 1798 où il était notamment expliqué que « [t]he Republic of Argentina is a primary example of a foreign state that has incurred large debts in the United States, defaulted on those debts, and then refused to honor lawful judgments of United States and other courts ordering repayment »)).</w:t>
      </w:r>
    </w:p>
  </w:footnote>
  <w:footnote w:id="564">
    <w:p w14:paraId="27A5005F" w14:textId="17A48967" w:rsidR="0030147D" w:rsidRPr="00E72418" w:rsidRDefault="0030147D" w:rsidP="0040794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262.</w:t>
      </w:r>
    </w:p>
  </w:footnote>
  <w:footnote w:id="565">
    <w:p w14:paraId="000BFD07" w14:textId="41A71B2B"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Ce changement de cap fut clairement affiché par le nouveau président qui indiqua : « We don’t want to remain listed as a defaulter […] </w:t>
      </w:r>
      <w:r w:rsidRPr="00E72418">
        <w:rPr>
          <w:szCs w:val="20"/>
          <w:lang w:val="en-US"/>
        </w:rPr>
        <w:t xml:space="preserve">[e]ven though things haven’t been done well in the past, there’s now a change » (voyez </w:t>
      </w:r>
      <w:r w:rsidRPr="00E72418">
        <w:rPr>
          <w:rStyle w:val="Titre5Car"/>
          <w:rFonts w:ascii="Times" w:eastAsiaTheme="minorHAnsi" w:hAnsi="Times" w:cstheme="minorBidi"/>
          <w:smallCaps/>
          <w:color w:val="auto"/>
          <w:szCs w:val="20"/>
          <w:lang w:val="en-US"/>
        </w:rPr>
        <w:t>J. Butensky</w:t>
      </w:r>
      <w:r w:rsidRPr="00E72418">
        <w:rPr>
          <w:rStyle w:val="Titre5Car"/>
          <w:rFonts w:ascii="Times" w:eastAsiaTheme="minorHAnsi" w:hAnsi="Times" w:cstheme="minorBidi"/>
          <w:color w:val="auto"/>
          <w:szCs w:val="20"/>
          <w:lang w:val="en-US"/>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193).</w:t>
      </w:r>
    </w:p>
  </w:footnote>
  <w:footnote w:id="566">
    <w:p w14:paraId="66F6B814" w14:textId="699A21C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Julian Schumacher</w:t>
      </w:r>
      <w:r w:rsidRPr="00E72418">
        <w:rPr>
          <w:rFonts w:ascii="Times New Roman" w:hAnsi="Times New Roman"/>
          <w:i/>
        </w:rPr>
        <w:t xml:space="preserve"> et al. </w:t>
      </w:r>
      <w:r w:rsidRPr="00E72418">
        <w:rPr>
          <w:szCs w:val="20"/>
          <w:lang w:val="en-US"/>
        </w:rPr>
        <w:t>notent que « the government did not place a single sovereign bond in international markets between the moratorium of January 2002 and April 2016 » (</w:t>
      </w:r>
      <w:r w:rsidRPr="00E72418">
        <w:rPr>
          <w:smallCaps/>
          <w:szCs w:val="20"/>
          <w:lang w:val="en-US"/>
        </w:rPr>
        <w:t>J. Schumacher, C. Trebesch</w:t>
      </w:r>
      <w:r w:rsidRPr="00E72418">
        <w:rPr>
          <w:szCs w:val="20"/>
          <w:lang w:val="en-US"/>
        </w:rPr>
        <w:t xml:space="preserve"> et H</w:t>
      </w:r>
      <w:r w:rsidRPr="00E72418">
        <w:rPr>
          <w:smallCaps/>
          <w:szCs w:val="20"/>
          <w:lang w:val="en-US"/>
        </w:rPr>
        <w:t>.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20). L’explication réside dans le fait, pour les dettes émises à New York en tout cas, que les fonds levés auraient fait directement l’objet de mesures de saisie par les créanciers n’ayant pas participé aux restructurations (</w:t>
      </w:r>
      <w:r w:rsidRPr="00E72418">
        <w:rPr>
          <w:smallCaps/>
          <w:szCs w:val="20"/>
          <w:lang w:val="en-US"/>
        </w:rPr>
        <w:t>M. Miller</w:t>
      </w:r>
      <w:r w:rsidRPr="00E72418">
        <w:rPr>
          <w:szCs w:val="20"/>
          <w:lang w:val="en-US"/>
        </w:rPr>
        <w:t xml:space="preserve"> et </w:t>
      </w:r>
      <w:r w:rsidRPr="00E72418">
        <w:rPr>
          <w:smallCaps/>
          <w:szCs w:val="20"/>
          <w:lang w:val="en-US"/>
        </w:rPr>
        <w:t>D. Thomas</w:t>
      </w:r>
      <w:r w:rsidRPr="00E72418">
        <w:rPr>
          <w:szCs w:val="20"/>
          <w:lang w:val="en-US"/>
        </w:rPr>
        <w:t xml:space="preserve">, « Sovereign Debt Restructuring: The Judge, the Vultures and Creditor Rights », </w:t>
      </w:r>
      <w:r w:rsidRPr="00E72418">
        <w:rPr>
          <w:i/>
          <w:szCs w:val="20"/>
        </w:rPr>
        <w:t>op. cit.</w:t>
      </w:r>
      <w:r w:rsidRPr="00E72418">
        <w:rPr>
          <w:szCs w:val="20"/>
          <w:lang w:val="en-US"/>
        </w:rPr>
        <w:t>, p. 219 : « with attachment orders outstanding, any new funds raised by the debtor in New York will go, first and foremost, to paying the holdouts »). Comme l’explique Martin Guzman, « [a]t the time of the settlement with the vultures, Argentina’s government considered that in the context of a weak macroeconomic situation with a large fiscal deficit, falling reserves and an appreciated real exchange rate, the recovery of the access to international financial markets had a larger value than the cost of settling with the vulture funds and the other holdouts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17).</w:t>
      </w:r>
    </w:p>
  </w:footnote>
  <w:footnote w:id="567">
    <w:p w14:paraId="2200BC7F" w14:textId="642F876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xml:space="preserve">, p. 188. </w:t>
      </w:r>
      <w:r w:rsidRPr="00E72418">
        <w:rPr>
          <w:szCs w:val="20"/>
        </w:rPr>
        <w:t>Comme le relevaient Quentin Deforge et Benjamin Lemoine, « [l’]élection d’un libéral anti-péroniste marque une rupture politique radicale vis-à-vis de douze années de kirchnérisme valorisant le protectionnisme, l’indépendance face aux institutions de la finance globale, et la justice sociale »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xml:space="preserve">, p. 56). Le changement de cap opéré par la nouvelle présidence argentine conduisit le juge Thomas Griesa à envisager le retrait de son injonction par une décision du 2 mars 2016, ce dernier indiquant que « [p]ut simply, President Macri’s election changed everything » et que « [t]he Republic has shown a good-faith willingness to negotiate with the holdouts » (United States District Court for the Southern District of New York (EUA), </w:t>
      </w:r>
      <w:r w:rsidRPr="00E72418">
        <w:rPr>
          <w:rStyle w:val="injectednode"/>
          <w:szCs w:val="20"/>
        </w:rPr>
        <w:t xml:space="preserve">2 mars 2016, </w:t>
      </w:r>
      <w:r w:rsidRPr="00E72418">
        <w:rPr>
          <w:i/>
          <w:szCs w:val="20"/>
        </w:rPr>
        <w:t>NML Capital Ltd. v. Republic of Arg.</w:t>
      </w:r>
      <w:r w:rsidRPr="00E72418">
        <w:rPr>
          <w:rStyle w:val="injectednode"/>
          <w:szCs w:val="20"/>
        </w:rPr>
        <w:t>, 2016 U.S. Dist. LEXIS 26355, p. 178)</w:t>
      </w:r>
      <w:r w:rsidRPr="00E72418">
        <w:rPr>
          <w:szCs w:val="20"/>
        </w:rPr>
        <w:t xml:space="preserve">. Le retrait de l’injonction fut toutefois conditionné au fait, d’une part, que tout obstacle législatif au règlement des créanciers dont la </w:t>
      </w:r>
      <w:r w:rsidRPr="00E72418">
        <w:rPr>
          <w:i/>
          <w:szCs w:val="20"/>
        </w:rPr>
        <w:t>lock law</w:t>
      </w:r>
      <w:r w:rsidRPr="00E72418">
        <w:rPr>
          <w:szCs w:val="20"/>
        </w:rPr>
        <w:t xml:space="preserve"> soit abrogé, d’autre part, que les accords soient honorés (</w:t>
      </w:r>
      <w:r w:rsidRPr="00E72418">
        <w:rPr>
          <w:i/>
          <w:szCs w:val="20"/>
        </w:rPr>
        <w:t>ibid.</w:t>
      </w:r>
      <w:r w:rsidRPr="00E72418">
        <w:rPr>
          <w:szCs w:val="20"/>
        </w:rPr>
        <w:t xml:space="preserve">, </w:t>
      </w:r>
      <w:r w:rsidRPr="00E72418">
        <w:rPr>
          <w:rStyle w:val="injectednode"/>
          <w:szCs w:val="20"/>
        </w:rPr>
        <w:t>p. 193)</w:t>
      </w:r>
      <w:r w:rsidRPr="00E72418">
        <w:rPr>
          <w:szCs w:val="20"/>
        </w:rPr>
        <w:t xml:space="preserve">. Par une décision d’avril 2016, la </w:t>
      </w:r>
      <w:r w:rsidRPr="00735BBE">
        <w:rPr>
          <w:szCs w:val="20"/>
        </w:rPr>
        <w:t xml:space="preserve">United States District Court for the Southern District of New York </w:t>
      </w:r>
      <w:r w:rsidRPr="00E72418">
        <w:rPr>
          <w:szCs w:val="20"/>
        </w:rPr>
        <w:t xml:space="preserve">constatant que les conditions posées au retrait de son injonction étaient rencontrées leva cette dernière (United States </w:t>
      </w:r>
      <w:r w:rsidRPr="00E72418">
        <w:t xml:space="preserve">District Court for the Southern District of New York (EUA), 22 avril 2016, </w:t>
      </w:r>
      <w:r w:rsidRPr="00E72418">
        <w:rPr>
          <w:i/>
        </w:rPr>
        <w:t>NML Capital Ltd. v. Republic of Argentina</w:t>
      </w:r>
      <w:r w:rsidRPr="00E72418">
        <w:t xml:space="preserve">, 08-cv-6978 </w:t>
      </w:r>
      <w:r w:rsidR="00331721">
        <w:t>(TPG) e.a., document 93, inédit</w:t>
      </w:r>
      <w:r w:rsidRPr="00E72418">
        <w:rPr>
          <w:szCs w:val="20"/>
        </w:rPr>
        <w:t>).</w:t>
      </w:r>
    </w:p>
  </w:footnote>
  <w:footnote w:id="568">
    <w:p w14:paraId="114C2477" w14:textId="4D84241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Voyez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xml:space="preserve">, p. 261. </w:t>
      </w:r>
      <w:r w:rsidRPr="00E72418">
        <w:rPr>
          <w:szCs w:val="20"/>
        </w:rPr>
        <w:t>Avant cette échéance, certains créanciers ayant participé aux échanges avaient pourtant accepté de renoncer à ladite clause afin de permettre au pays de négocier plus facilement avec les créanciers récalcitrants.</w:t>
      </w:r>
    </w:p>
  </w:footnote>
  <w:footnote w:id="569">
    <w:p w14:paraId="311F91EB" w14:textId="0305CAF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Outre le paiement prévu, l’accord comportait une clause </w:t>
      </w:r>
      <w:r w:rsidRPr="00E72418">
        <w:rPr>
          <w:i/>
          <w:szCs w:val="20"/>
        </w:rPr>
        <w:t>pari passu</w:t>
      </w:r>
      <w:r w:rsidRPr="00E72418">
        <w:rPr>
          <w:szCs w:val="20"/>
        </w:rPr>
        <w:t xml:space="preserve"> et prévoyait l’abrogation de la </w:t>
      </w:r>
      <w:r w:rsidRPr="00E72418">
        <w:rPr>
          <w:i/>
          <w:szCs w:val="20"/>
        </w:rPr>
        <w:t>lock law</w:t>
      </w:r>
      <w:r w:rsidRPr="00E72418">
        <w:rPr>
          <w:szCs w:val="20"/>
        </w:rPr>
        <w:t xml:space="preserve"> et de la </w:t>
      </w:r>
      <w:r w:rsidRPr="00E72418">
        <w:rPr>
          <w:i/>
          <w:szCs w:val="20"/>
        </w:rPr>
        <w:t>sovereign payment law</w:t>
      </w:r>
      <w:r w:rsidRPr="00E72418">
        <w:rPr>
          <w:szCs w:val="20"/>
        </w:rPr>
        <w:t xml:space="preserve"> (</w:t>
      </w:r>
      <w:r w:rsidRPr="00E72418">
        <w:rPr>
          <w:smallCaps/>
          <w:szCs w:val="20"/>
        </w:rPr>
        <w:t>J. Rossi</w:t>
      </w:r>
      <w:r w:rsidRPr="00E72418">
        <w:rPr>
          <w:szCs w:val="20"/>
        </w:rPr>
        <w:t xml:space="preserve">, « Sovereign Debt Restructuring, National Development and Human </w:t>
      </w:r>
      <w:r w:rsidRPr="00E72418">
        <w:rPr>
          <w:szCs w:val="20"/>
          <w:lang w:val="en-US"/>
        </w:rPr>
        <w:t xml:space="preserve">Rights </w:t>
      </w:r>
      <w:r w:rsidRPr="00E72418">
        <w:rPr>
          <w:szCs w:val="20"/>
        </w:rPr>
        <w:t xml:space="preserve">», </w:t>
      </w:r>
      <w:r w:rsidRPr="00E72418">
        <w:rPr>
          <w:i/>
          <w:szCs w:val="20"/>
          <w:lang w:val="en-US"/>
        </w:rPr>
        <w:t>op. cit.</w:t>
      </w:r>
      <w:r w:rsidRPr="00E72418">
        <w:rPr>
          <w:szCs w:val="20"/>
        </w:rPr>
        <w:t xml:space="preserve">, p. 188). Sur ces législations argentines,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90 et 96.</w:t>
      </w:r>
    </w:p>
  </w:footnote>
  <w:footnote w:id="570">
    <w:p w14:paraId="232DB00D" w14:textId="4E69C42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354.</w:t>
      </w:r>
    </w:p>
  </w:footnote>
  <w:footnote w:id="571">
    <w:p w14:paraId="2AC7A7BC" w14:textId="6EB82FE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116.</w:t>
      </w:r>
    </w:p>
  </w:footnote>
  <w:footnote w:id="572">
    <w:p w14:paraId="487A95F0" w14:textId="2DD70278"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p. 9.</w:t>
      </w:r>
    </w:p>
  </w:footnote>
  <w:footnote w:id="573">
    <w:p w14:paraId="21D6EC56" w14:textId="5FD3102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 xml:space="preserve">M. Guzman </w:t>
      </w:r>
      <w:r w:rsidRPr="00E72418">
        <w:rPr>
          <w:szCs w:val="20"/>
          <w:lang w:val="en-US"/>
        </w:rPr>
        <w:t xml:space="preserve">et </w:t>
      </w:r>
      <w:hyperlink r:id="rId32" w:tgtFrame="_blank" w:history="1">
        <w:r w:rsidRPr="00E72418">
          <w:rPr>
            <w:rStyle w:val="SansinterligneCar"/>
            <w:smallCaps/>
            <w:szCs w:val="20"/>
            <w:lang w:val="en-US"/>
          </w:rPr>
          <w:t>J. Stiglitz</w:t>
        </w:r>
      </w:hyperlink>
      <w:r w:rsidRPr="00E72418">
        <w:rPr>
          <w:szCs w:val="20"/>
          <w:lang w:val="en-US"/>
        </w:rPr>
        <w:t xml:space="preserve">, « How Hedge Funds Held Argentina for Ransom », </w:t>
      </w:r>
      <w:r w:rsidRPr="00E72418">
        <w:rPr>
          <w:i/>
          <w:szCs w:val="20"/>
          <w:lang w:val="en-US"/>
        </w:rPr>
        <w:t>The New York Times</w:t>
      </w:r>
      <w:r w:rsidRPr="00E72418">
        <w:rPr>
          <w:szCs w:val="20"/>
          <w:lang w:val="en-US"/>
        </w:rPr>
        <w:t xml:space="preserve">, </w:t>
      </w:r>
      <w:r w:rsidRPr="00E72418">
        <w:rPr>
          <w:szCs w:val="20"/>
        </w:rPr>
        <w:t>1</w:t>
      </w:r>
      <w:r w:rsidRPr="00E72418">
        <w:rPr>
          <w:szCs w:val="20"/>
          <w:vertAlign w:val="superscript"/>
        </w:rPr>
        <w:t>er</w:t>
      </w:r>
      <w:r w:rsidRPr="00E72418">
        <w:rPr>
          <w:szCs w:val="20"/>
          <w:lang w:val="en-US"/>
        </w:rPr>
        <w:t xml:space="preserve"> avril 2016, disponible à l’adresse www.nytimes.com/2016/04/01/opinion/how-hedge-funds-held-argentina-for-ransom.html (consultation le 17 octobre 2021).</w:t>
      </w:r>
    </w:p>
  </w:footnote>
  <w:footnote w:id="574">
    <w:p w14:paraId="4D35520B" w14:textId="352A372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263. Pablo Lopez et Cecilia Nahon relèvent que « [b]riefly, the “trial of the century” raised bondholders’ incentives to sabotage debt restructurings, making it even harder for countries to obtain the haircuts needed, when needed, to restore economic growth »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121).</w:t>
      </w:r>
    </w:p>
  </w:footnote>
  <w:footnote w:id="575">
    <w:p w14:paraId="11994FAF" w14:textId="142F9503"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 117. </w:t>
      </w:r>
      <w:r w:rsidRPr="00E72418">
        <w:rPr>
          <w:szCs w:val="20"/>
        </w:rPr>
        <w:t>Pour les créanciers ayant obtenu gain de cause devant les juridictions new-yorkaises, les différences de rendement obtenu s’expliquent, d’une part, par les différentes modalités des titres détenus, d’autre part, par le moment auquel la justice leur a donné raison (</w:t>
      </w:r>
      <w:r w:rsidRPr="00E72418">
        <w:rPr>
          <w:i/>
          <w:szCs w:val="20"/>
        </w:rPr>
        <w:t>ibid.</w:t>
      </w:r>
      <w:r w:rsidRPr="00E72418">
        <w:rPr>
          <w:szCs w:val="20"/>
        </w:rPr>
        <w:t>).</w:t>
      </w:r>
    </w:p>
  </w:footnote>
  <w:footnote w:id="576">
    <w:p w14:paraId="41929E54" w14:textId="235854B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7. Sur le reproche de l’iniquité entre créanciers souvent formulé à l’encontre des activités des fonds spéculatifs, voyez </w:t>
      </w:r>
      <w:r w:rsidRPr="00E72418">
        <w:rPr>
          <w:i/>
          <w:szCs w:val="20"/>
        </w:rPr>
        <w:t>infra</w:t>
      </w:r>
      <w:r w:rsidRPr="00E72418">
        <w:rPr>
          <w:szCs w:val="20"/>
        </w:rPr>
        <w:t xml:space="preserve"> n° 151.</w:t>
      </w:r>
    </w:p>
  </w:footnote>
  <w:footnote w:id="577">
    <w:p w14:paraId="30D0C75F" w14:textId="78D956E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354.</w:t>
      </w:r>
    </w:p>
  </w:footnote>
  <w:footnote w:id="578">
    <w:p w14:paraId="547D4C98" w14:textId="6B08DF5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115.</w:t>
      </w:r>
    </w:p>
  </w:footnote>
  <w:footnote w:id="579">
    <w:p w14:paraId="65F04F30"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smallCaps/>
          <w:szCs w:val="20"/>
          <w:lang w:val="en-US"/>
        </w:rPr>
        <w:t>M. Trevin</w:t>
      </w:r>
      <w:r w:rsidRPr="00E72418">
        <w:rPr>
          <w:szCs w:val="20"/>
          <w:lang w:val="en-US"/>
        </w:rPr>
        <w:t xml:space="preserve"> et </w:t>
      </w:r>
      <w:r w:rsidRPr="00E72418">
        <w:rPr>
          <w:smallCaps/>
          <w:szCs w:val="20"/>
          <w:lang w:val="en-US"/>
        </w:rPr>
        <w:t>J. Ferre</w:t>
      </w:r>
      <w:r w:rsidRPr="00E72418">
        <w:rPr>
          <w:szCs w:val="20"/>
          <w:lang w:val="en-US"/>
        </w:rPr>
        <w:t xml:space="preserve">, « The Rise of the Revolutionary Left in Argentina », </w:t>
      </w:r>
      <w:r w:rsidRPr="00E72418">
        <w:rPr>
          <w:i/>
          <w:szCs w:val="20"/>
          <w:lang w:val="en-US"/>
        </w:rPr>
        <w:t>New Politics</w:t>
      </w:r>
      <w:r w:rsidRPr="00E72418">
        <w:rPr>
          <w:szCs w:val="20"/>
          <w:lang w:val="en-US"/>
        </w:rPr>
        <w:t xml:space="preserve">, 2017, pp. 61 à 63. </w:t>
      </w:r>
    </w:p>
  </w:footnote>
  <w:footnote w:id="580">
    <w:p w14:paraId="4F1ADAD3" w14:textId="7D9E8F3E" w:rsidR="0030147D" w:rsidRPr="00E72418" w:rsidRDefault="0030147D" w:rsidP="00B45C7B">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p. 39.</w:t>
      </w:r>
    </w:p>
  </w:footnote>
  <w:footnote w:id="581">
    <w:p w14:paraId="5449AA31" w14:textId="77777777"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United States District Court for the Southern District of New York (EUA), </w:t>
      </w:r>
      <w:r w:rsidRPr="00E72418">
        <w:rPr>
          <w:rStyle w:val="Titre5Car"/>
          <w:rFonts w:ascii="Times" w:eastAsiaTheme="minorHAnsi" w:hAnsi="Times" w:cstheme="minorBidi"/>
          <w:color w:val="auto"/>
          <w:szCs w:val="20"/>
          <w:lang w:val="en-US"/>
        </w:rPr>
        <w:t xml:space="preserve">6 août 1998, </w:t>
      </w:r>
      <w:r w:rsidRPr="00E72418">
        <w:rPr>
          <w:i/>
          <w:szCs w:val="20"/>
          <w:lang w:val="en-US"/>
        </w:rPr>
        <w:t>Elliott Assocs. L.P. v. Republic of Peru</w:t>
      </w:r>
      <w:r w:rsidRPr="00E72418">
        <w:rPr>
          <w:rStyle w:val="Titre5Car"/>
          <w:rFonts w:ascii="Times" w:eastAsiaTheme="minorHAnsi" w:hAnsi="Times" w:cstheme="minorBidi"/>
          <w:color w:val="auto"/>
          <w:szCs w:val="20"/>
          <w:lang w:val="en-US"/>
        </w:rPr>
        <w:t>, 12 F. Supp. 2d 328, p. 335.</w:t>
      </w:r>
    </w:p>
  </w:footnote>
  <w:footnote w:id="582">
    <w:p w14:paraId="2912F5F7" w14:textId="4556D7C1"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i/>
          <w:szCs w:val="20"/>
          <w:lang w:val="en-US"/>
        </w:rPr>
        <w:t>Banco Popular del Peru</w:t>
      </w:r>
      <w:r w:rsidRPr="00E72418">
        <w:rPr>
          <w:szCs w:val="20"/>
          <w:lang w:val="en-US"/>
        </w:rPr>
        <w:t xml:space="preserve"> avait elle fait faillite (</w:t>
      </w:r>
      <w:r w:rsidRPr="00E72418">
        <w:rPr>
          <w:rStyle w:val="Titre3Car"/>
          <w:rFonts w:ascii="Times" w:eastAsiaTheme="minorHAnsi" w:hAnsi="Times" w:cstheme="minorBidi"/>
          <w:smallCaps/>
          <w:color w:val="auto"/>
          <w:sz w:val="20"/>
          <w:szCs w:val="20"/>
          <w:lang w:val="en-US"/>
        </w:rPr>
        <w:t>C. Wheeler</w:t>
      </w:r>
      <w:r w:rsidRPr="00E72418">
        <w:rPr>
          <w:rStyle w:val="Titre3Car"/>
          <w:rFonts w:ascii="Times" w:eastAsiaTheme="minorHAnsi" w:hAnsi="Times" w:cstheme="minorBidi"/>
          <w:color w:val="auto"/>
          <w:sz w:val="20"/>
          <w:szCs w:val="20"/>
          <w:lang w:val="en-US"/>
        </w:rPr>
        <w:t xml:space="preserve"> et </w:t>
      </w:r>
      <w:r w:rsidRPr="00E72418">
        <w:rPr>
          <w:rStyle w:val="Titre3Car"/>
          <w:rFonts w:ascii="Times" w:eastAsiaTheme="minorHAnsi" w:hAnsi="Times" w:cstheme="minorBidi"/>
          <w:smallCaps/>
          <w:color w:val="auto"/>
          <w:sz w:val="20"/>
          <w:szCs w:val="20"/>
          <w:lang w:val="en-US"/>
        </w:rPr>
        <w:t>A. Attaran</w:t>
      </w:r>
      <w:r w:rsidRPr="00E72418">
        <w:rPr>
          <w:rStyle w:val="Titre3Car"/>
          <w:rFonts w:ascii="Times" w:eastAsiaTheme="minorHAnsi" w:hAnsi="Times" w:cstheme="minorBidi"/>
          <w:color w:val="auto"/>
          <w:sz w:val="20"/>
          <w:szCs w:val="20"/>
          <w:lang w:val="en-US"/>
        </w:rPr>
        <w:t>, « </w:t>
      </w:r>
      <w:r w:rsidRPr="00E72418">
        <w:rPr>
          <w:szCs w:val="20"/>
          <w:lang w:val="en-US"/>
        </w:rPr>
        <w:t>Declawing the Vulture Funds: Rehabilitation of a Comity Defense in Sovereign Debt Litigation</w:t>
      </w:r>
      <w:r w:rsidRPr="00E72418">
        <w:rPr>
          <w:rStyle w:val="Titre3Car"/>
          <w:rFonts w:ascii="Times" w:eastAsiaTheme="minorHAnsi" w:hAnsi="Times" w:cstheme="minorBidi"/>
          <w:color w:val="auto"/>
          <w:sz w:val="20"/>
          <w:szCs w:val="20"/>
          <w:lang w:val="en-US"/>
        </w:rPr>
        <w:t xml:space="preserve"> », </w:t>
      </w:r>
      <w:r w:rsidRPr="00E72418">
        <w:rPr>
          <w:i/>
          <w:szCs w:val="20"/>
        </w:rPr>
        <w:t>op. cit.</w:t>
      </w:r>
      <w:r w:rsidRPr="00E72418">
        <w:rPr>
          <w:rStyle w:val="Titre3Car"/>
          <w:rFonts w:ascii="Times" w:eastAsiaTheme="minorHAnsi" w:hAnsi="Times" w:cstheme="minorBidi"/>
          <w:color w:val="auto"/>
          <w:sz w:val="20"/>
          <w:szCs w:val="20"/>
          <w:lang w:val="en-US"/>
        </w:rPr>
        <w:t>, p. 257).</w:t>
      </w:r>
    </w:p>
  </w:footnote>
  <w:footnote w:id="583">
    <w:p w14:paraId="5772C83D" w14:textId="338E1083" w:rsidR="0030147D" w:rsidRPr="00E72418" w:rsidRDefault="0030147D" w:rsidP="00B45C7B">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La concrétisation de la restructuration fut ainsi retardée de six mois et intervint finalement en mars 1997 (</w:t>
      </w:r>
      <w:r w:rsidRPr="00E72418">
        <w:rPr>
          <w:smallCaps/>
          <w:szCs w:val="20"/>
        </w:rPr>
        <w:t>J. Schumacher, C.</w:t>
      </w:r>
      <w:r w:rsidRPr="00E72418">
        <w:rPr>
          <w:szCs w:val="20"/>
        </w:rPr>
        <w:t xml:space="preserve"> T</w:t>
      </w:r>
      <w:r w:rsidRPr="00E72418">
        <w:rPr>
          <w:smallCaps/>
          <w:szCs w:val="20"/>
        </w:rPr>
        <w: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34).</w:t>
      </w:r>
    </w:p>
  </w:footnote>
  <w:footnote w:id="584">
    <w:p w14:paraId="6978BF3F" w14:textId="087D45BD"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United States District Court for the Southern District of New York (EUA), </w:t>
      </w:r>
      <w:r w:rsidRPr="00E72418">
        <w:rPr>
          <w:rStyle w:val="Titre5Car"/>
          <w:rFonts w:ascii="Times" w:eastAsiaTheme="minorHAnsi" w:hAnsi="Times" w:cstheme="minorBidi"/>
          <w:color w:val="auto"/>
          <w:szCs w:val="20"/>
          <w:lang w:val="en-US"/>
        </w:rPr>
        <w:t xml:space="preserve">6 août 1998, </w:t>
      </w:r>
      <w:r w:rsidRPr="00E72418">
        <w:rPr>
          <w:i/>
          <w:szCs w:val="20"/>
          <w:lang w:val="en-US"/>
        </w:rPr>
        <w:t>Elliott Assocs. L.P. v. Republic of Peru</w:t>
      </w:r>
      <w:r w:rsidRPr="00E72418">
        <w:rPr>
          <w:rStyle w:val="Titre5Car"/>
          <w:rFonts w:ascii="Times" w:eastAsiaTheme="minorHAnsi" w:hAnsi="Times" w:cstheme="minorBidi"/>
          <w:color w:val="auto"/>
          <w:szCs w:val="20"/>
          <w:lang w:val="en-US"/>
        </w:rPr>
        <w:t>, 12 F. Supp. 2d 328. Sur</w:t>
      </w:r>
      <w:r w:rsidRPr="00E72418">
        <w:rPr>
          <w:szCs w:val="20"/>
        </w:rPr>
        <w:t xml:space="preserve"> la défense de la </w:t>
      </w:r>
      <w:r w:rsidRPr="00E72418">
        <w:rPr>
          <w:i/>
          <w:szCs w:val="20"/>
        </w:rPr>
        <w:t>champerty</w:t>
      </w:r>
      <w:r w:rsidRPr="00E72418">
        <w:rPr>
          <w:szCs w:val="20"/>
        </w:rPr>
        <w:t xml:space="preserve"> avancée par les États débiteurs et sa réception en jurisprudence,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243 et suiv.</w:t>
      </w:r>
    </w:p>
  </w:footnote>
  <w:footnote w:id="585">
    <w:p w14:paraId="584DD416" w14:textId="6FB2AA7F"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00331721" w:rsidRPr="00331721">
        <w:rPr>
          <w:i/>
          <w:szCs w:val="20"/>
          <w:lang w:val="en-US"/>
        </w:rPr>
        <w:t>Ibid.</w:t>
      </w:r>
      <w:r w:rsidRPr="00E72418">
        <w:rPr>
          <w:rStyle w:val="Titre5Car"/>
          <w:rFonts w:ascii="Times" w:eastAsiaTheme="minorHAnsi" w:hAnsi="Times" w:cstheme="minorBidi"/>
          <w:color w:val="auto"/>
          <w:szCs w:val="20"/>
          <w:lang w:val="en-US"/>
        </w:rPr>
        <w:t>, pp. 333, 336 et 343.</w:t>
      </w:r>
    </w:p>
  </w:footnote>
  <w:footnote w:id="586">
    <w:p w14:paraId="3CCE4807" w14:textId="77777777"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United States Court of Appeals for the Second Circuit (EUA), 20 octobre 1999, </w:t>
      </w:r>
      <w:r w:rsidRPr="00E72418">
        <w:rPr>
          <w:i/>
          <w:szCs w:val="20"/>
          <w:lang w:val="en-US"/>
        </w:rPr>
        <w:t>Elliott Associates LP v. Banco de la Nacion</w:t>
      </w:r>
      <w:r w:rsidRPr="00E72418">
        <w:rPr>
          <w:szCs w:val="20"/>
          <w:lang w:val="en-US"/>
        </w:rPr>
        <w:t>, 194 F.3d 363.</w:t>
      </w:r>
    </w:p>
  </w:footnote>
  <w:footnote w:id="587">
    <w:p w14:paraId="50AE0DEF" w14:textId="77777777" w:rsidR="0030147D" w:rsidRPr="00E72418" w:rsidRDefault="0030147D" w:rsidP="0044071B">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United States Court of Appeals for the Second Circuit (EUA), 20 octobre 1999, </w:t>
      </w:r>
      <w:r w:rsidRPr="00E72418">
        <w:rPr>
          <w:i/>
          <w:szCs w:val="20"/>
        </w:rPr>
        <w:t>Elliott Associates LP v. Banco de la Nacion</w:t>
      </w:r>
      <w:r w:rsidRPr="00E72418">
        <w:rPr>
          <w:szCs w:val="20"/>
        </w:rPr>
        <w:t xml:space="preserve">, 194 F.3d 363, p. 379. La cour reprenait ici la jurisprudence </w:t>
      </w:r>
      <w:r w:rsidRPr="00E72418">
        <w:rPr>
          <w:i/>
          <w:szCs w:val="20"/>
        </w:rPr>
        <w:t>Moses v. McDivitt</w:t>
      </w:r>
      <w:r w:rsidRPr="00E72418">
        <w:rPr>
          <w:szCs w:val="20"/>
        </w:rPr>
        <w:t xml:space="preserve"> de 1882 selon laquelle « a mere intent to bring a suit on a claim purchased does not constitute the offense; the purchase must be made for the very purpose of bringing such suit, and this implies an exclusion of any other purpose » (</w:t>
      </w:r>
      <w:r w:rsidRPr="00E72418">
        <w:rPr>
          <w:i/>
          <w:szCs w:val="20"/>
        </w:rPr>
        <w:t>ibid.</w:t>
      </w:r>
      <w:r w:rsidRPr="00E72418">
        <w:rPr>
          <w:szCs w:val="20"/>
        </w:rPr>
        <w:t>, p. 374).</w:t>
      </w:r>
    </w:p>
  </w:footnote>
  <w:footnote w:id="588">
    <w:p w14:paraId="4059580D" w14:textId="16F54856"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p. 35.</w:t>
      </w:r>
    </w:p>
  </w:footnote>
  <w:footnote w:id="589">
    <w:p w14:paraId="354E3C0B" w14:textId="77777777" w:rsidR="0030147D" w:rsidRPr="00E72418" w:rsidRDefault="0030147D" w:rsidP="00144A26">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Voyez la relation reprise in United States District Court for the Southern District of New York (EUA), </w:t>
      </w:r>
      <w:r w:rsidRPr="00E72418">
        <w:rPr>
          <w:szCs w:val="20"/>
        </w:rPr>
        <w:t>29 septembre</w:t>
      </w:r>
      <w:r w:rsidRPr="00E72418">
        <w:rPr>
          <w:szCs w:val="20"/>
          <w:lang w:val="en-US"/>
        </w:rPr>
        <w:t xml:space="preserve"> 2000, </w:t>
      </w:r>
      <w:r w:rsidRPr="00E72418">
        <w:rPr>
          <w:i/>
          <w:szCs w:val="20"/>
          <w:lang w:val="en-US"/>
        </w:rPr>
        <w:t>Elliott Associates L.P. v. Banco de la Nacion</w:t>
      </w:r>
      <w:r w:rsidRPr="00E72418">
        <w:rPr>
          <w:szCs w:val="20"/>
          <w:lang w:val="en-US"/>
        </w:rPr>
        <w:t xml:space="preserve">, </w:t>
      </w:r>
      <w:r w:rsidRPr="00E72418">
        <w:t>2000 WL 1449862.</w:t>
      </w:r>
    </w:p>
  </w:footnote>
  <w:footnote w:id="590">
    <w:p w14:paraId="0BB26E7F" w14:textId="0A217A07"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R. Olivares-Caminal</w:t>
      </w:r>
      <w:r w:rsidRPr="00E72418">
        <w:rPr>
          <w:szCs w:val="20"/>
          <w:lang w:val="en-US"/>
        </w:rPr>
        <w:t xml:space="preserve">, « The </w:t>
      </w:r>
      <w:r w:rsidRPr="00E72418">
        <w:rPr>
          <w:i/>
          <w:szCs w:val="20"/>
          <w:lang w:val="en-US"/>
        </w:rPr>
        <w:t>Pari Passu</w:t>
      </w:r>
      <w:r w:rsidRPr="00E72418">
        <w:rPr>
          <w:szCs w:val="20"/>
          <w:lang w:val="en-US"/>
        </w:rPr>
        <w:t xml:space="preserve"> Interpretation in the </w:t>
      </w:r>
      <w:r w:rsidRPr="00E72418">
        <w:rPr>
          <w:i/>
          <w:szCs w:val="20"/>
          <w:lang w:val="en-US"/>
        </w:rPr>
        <w:t>Elliott</w:t>
      </w:r>
      <w:r w:rsidRPr="00E72418">
        <w:rPr>
          <w:szCs w:val="20"/>
          <w:lang w:val="en-US"/>
        </w:rPr>
        <w:t xml:space="preserve"> Case: A Brilliant Strategy but an Awful (Mid-Long Term) Outcome? », </w:t>
      </w:r>
      <w:r w:rsidRPr="00E72418">
        <w:rPr>
          <w:i/>
          <w:szCs w:val="20"/>
          <w:lang w:val="en-US"/>
        </w:rPr>
        <w:t>Hofstra Law Rev.</w:t>
      </w:r>
      <w:r w:rsidRPr="00E72418">
        <w:rPr>
          <w:szCs w:val="20"/>
          <w:lang w:val="en-US"/>
        </w:rPr>
        <w:t>, 2011, p. 43.</w:t>
      </w:r>
    </w:p>
  </w:footnote>
  <w:footnote w:id="591">
    <w:p w14:paraId="5745AC4B" w14:textId="0EFDCE65"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E. Bruno</w:t>
      </w:r>
      <w:r w:rsidRPr="00E72418">
        <w:rPr>
          <w:szCs w:val="20"/>
          <w:lang w:val="en-US"/>
        </w:rPr>
        <w:t xml:space="preserve">, « Lessons from history: structuring, defaulting, restructuring and the emerging markets », </w:t>
      </w:r>
      <w:r w:rsidRPr="00E72418">
        <w:rPr>
          <w:i/>
          <w:szCs w:val="20"/>
          <w:lang w:val="en-US"/>
        </w:rPr>
        <w:t>op. cit.</w:t>
      </w:r>
      <w:r w:rsidRPr="00E72418">
        <w:rPr>
          <w:szCs w:val="20"/>
          <w:lang w:val="en-US"/>
        </w:rPr>
        <w:t>, p. 190.</w:t>
      </w:r>
    </w:p>
  </w:footnote>
  <w:footnote w:id="592">
    <w:p w14:paraId="26EF8EE4" w14:textId="46CF75D8"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rStyle w:val="Titre3Car"/>
          <w:rFonts w:ascii="Times" w:eastAsiaTheme="minorHAnsi" w:hAnsi="Times" w:cstheme="minorBidi"/>
          <w:smallCaps/>
          <w:color w:val="auto"/>
          <w:sz w:val="20"/>
          <w:szCs w:val="20"/>
          <w:lang w:val="en-US"/>
        </w:rPr>
        <w:t>C. Wheeler</w:t>
      </w:r>
      <w:r w:rsidRPr="00E72418">
        <w:rPr>
          <w:rStyle w:val="Titre3Car"/>
          <w:rFonts w:ascii="Times" w:eastAsiaTheme="minorHAnsi" w:hAnsi="Times" w:cstheme="minorBidi"/>
          <w:color w:val="auto"/>
          <w:sz w:val="20"/>
          <w:szCs w:val="20"/>
          <w:lang w:val="en-US"/>
        </w:rPr>
        <w:t xml:space="preserve"> et </w:t>
      </w:r>
      <w:r w:rsidRPr="00E72418">
        <w:rPr>
          <w:rStyle w:val="Titre3Car"/>
          <w:rFonts w:ascii="Times" w:eastAsiaTheme="minorHAnsi" w:hAnsi="Times" w:cstheme="minorBidi"/>
          <w:smallCaps/>
          <w:color w:val="auto"/>
          <w:sz w:val="20"/>
          <w:szCs w:val="20"/>
          <w:lang w:val="en-US"/>
        </w:rPr>
        <w:t>A. Attaran</w:t>
      </w:r>
      <w:r w:rsidRPr="00E72418">
        <w:rPr>
          <w:rStyle w:val="Titre3Car"/>
          <w:rFonts w:ascii="Times" w:eastAsiaTheme="minorHAnsi" w:hAnsi="Times" w:cstheme="minorBidi"/>
          <w:color w:val="auto"/>
          <w:sz w:val="20"/>
          <w:szCs w:val="20"/>
          <w:lang w:val="en-US"/>
        </w:rPr>
        <w:t>, « </w:t>
      </w:r>
      <w:r w:rsidRPr="00E72418">
        <w:rPr>
          <w:szCs w:val="20"/>
          <w:lang w:val="en-US"/>
        </w:rPr>
        <w:t>Declawing the Vulture Funds: Rehabilitation of a Comity Defense in Sovereign Debt Litigation</w:t>
      </w:r>
      <w:r w:rsidRPr="00E72418">
        <w:rPr>
          <w:rStyle w:val="Titre3Car"/>
          <w:rFonts w:ascii="Times" w:eastAsiaTheme="minorHAnsi" w:hAnsi="Times" w:cstheme="minorBidi"/>
          <w:color w:val="auto"/>
          <w:sz w:val="20"/>
          <w:szCs w:val="20"/>
          <w:lang w:val="en-US"/>
        </w:rPr>
        <w:t xml:space="preserve"> », </w:t>
      </w:r>
      <w:r w:rsidRPr="00E72418">
        <w:rPr>
          <w:i/>
          <w:szCs w:val="20"/>
        </w:rPr>
        <w:t>op. cit.</w:t>
      </w:r>
      <w:r w:rsidRPr="00E72418">
        <w:rPr>
          <w:rStyle w:val="Titre3Car"/>
          <w:rFonts w:ascii="Times" w:eastAsiaTheme="minorHAnsi" w:hAnsi="Times" w:cstheme="minorBidi"/>
          <w:color w:val="auto"/>
          <w:sz w:val="20"/>
          <w:szCs w:val="20"/>
          <w:lang w:val="en-US"/>
        </w:rPr>
        <w:t>, p. 257.</w:t>
      </w:r>
    </w:p>
  </w:footnote>
  <w:footnote w:id="593">
    <w:p w14:paraId="4F498BE8" w14:textId="1B94CA5E" w:rsidR="0030147D" w:rsidRPr="00E72418" w:rsidRDefault="0030147D" w:rsidP="001C3B37">
      <w:pPr>
        <w:pStyle w:val="Sansinterligne"/>
      </w:pPr>
      <w:r w:rsidRPr="00E72418">
        <w:rPr>
          <w:rStyle w:val="Appelnotedebasdep"/>
          <w:szCs w:val="20"/>
        </w:rPr>
        <w:footnoteRef/>
      </w:r>
      <w:r w:rsidRPr="00E72418">
        <w:rPr>
          <w:szCs w:val="20"/>
        </w:rPr>
        <w:t xml:space="preserve"> Bruxelles, 26 septembre 2000, n° 2000/QR/92, inédit : « </w:t>
      </w:r>
      <w:r w:rsidRPr="00E72418">
        <w:rPr>
          <w:szCs w:val="20"/>
          <w:lang w:val="en-US"/>
        </w:rPr>
        <w:t>[e]</w:t>
      </w:r>
      <w:r w:rsidRPr="00E72418">
        <w:t xml:space="preserve">r blijkt uit de basisovereenkomst die de terugbetaling van de Peruviaanse buitenlandse schuld beheerst ook dat de verschillende schuldeisers genieten van de “pari passu-clausule”, die wezenlijk inhoudt dat de schuld op proportioneel gelijkmatige wijze wordt afgebouwd ten aanzien van alle schuldeisers. Hieruit lijkt te moeten worden besloten dat in geval van een intrestbetaling geen enkele schuldeiser kan </w:t>
      </w:r>
      <w:r w:rsidRPr="00E72418">
        <w:rPr>
          <w:szCs w:val="20"/>
          <w:lang w:val="en-US"/>
        </w:rPr>
        <w:t xml:space="preserve">[van] </w:t>
      </w:r>
      <w:r w:rsidRPr="00E72418">
        <w:t xml:space="preserve">zijn evenredig deel mag worden uitgesloten </w:t>
      </w:r>
      <w:r w:rsidRPr="00E72418">
        <w:rPr>
          <w:szCs w:val="20"/>
        </w:rPr>
        <w:t xml:space="preserve">» (notre traduction libre pour nos lecteurs français : « il ressort du contrat régissant le remboursement de la dette étrangère péruvienne que les différents créanciers bénéficient de la clause </w:t>
      </w:r>
      <w:r w:rsidRPr="00E72418">
        <w:t xml:space="preserve">“pari passu”, qui essentiellement prévoit que la créance soit réglée de façon proportionnelle au profit de tous les créanciers. Il semble falloir conclure de ceci qu’en cas de paiement d’intérêts aucun créancier ne peut être privé de sa part proportionnelle </w:t>
      </w:r>
      <w:r w:rsidRPr="00E72418">
        <w:rPr>
          <w:szCs w:val="20"/>
        </w:rPr>
        <w:t xml:space="preserve">»). Pour plus de précisions sur la mobilisation de la clause </w:t>
      </w:r>
      <w:r w:rsidRPr="00E72418">
        <w:rPr>
          <w:i/>
          <w:szCs w:val="20"/>
        </w:rPr>
        <w:t>pari passu</w:t>
      </w:r>
      <w:r w:rsidRPr="00E72418">
        <w:rPr>
          <w:szCs w:val="20"/>
        </w:rPr>
        <w:t>, voyez</w:t>
      </w:r>
      <w:r w:rsidRPr="00E72418">
        <w:rPr>
          <w:i/>
          <w:szCs w:val="20"/>
        </w:rPr>
        <w:t xml:space="preserve"> infra</w:t>
      </w:r>
      <w:r w:rsidRPr="00E72418">
        <w:rPr>
          <w:szCs w:val="20"/>
        </w:rPr>
        <w:t xml:space="preserve"> n</w:t>
      </w:r>
      <w:r w:rsidRPr="00E72418">
        <w:rPr>
          <w:szCs w:val="20"/>
          <w:vertAlign w:val="superscript"/>
        </w:rPr>
        <w:t xml:space="preserve">os </w:t>
      </w:r>
      <w:r w:rsidRPr="00E72418">
        <w:rPr>
          <w:szCs w:val="20"/>
        </w:rPr>
        <w:t xml:space="preserve">173 et suiv. Sur la loi adoptée par le législateur belge à la suite de cette décision, voyez </w:t>
      </w:r>
      <w:r w:rsidRPr="00E72418">
        <w:rPr>
          <w:i/>
          <w:szCs w:val="20"/>
        </w:rPr>
        <w:t>infra</w:t>
      </w:r>
      <w:r w:rsidRPr="00E72418">
        <w:rPr>
          <w:szCs w:val="20"/>
        </w:rPr>
        <w:t xml:space="preserve"> n° 326.</w:t>
      </w:r>
    </w:p>
  </w:footnote>
  <w:footnote w:id="594">
    <w:p w14:paraId="53891D45" w14:textId="12AE5F54"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60.</w:t>
      </w:r>
    </w:p>
  </w:footnote>
  <w:footnote w:id="595">
    <w:p w14:paraId="4E34BFAD" w14:textId="68A77942"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F. Ahmed</w:t>
      </w:r>
      <w:r w:rsidRPr="00E72418">
        <w:rPr>
          <w:szCs w:val="20"/>
          <w:lang w:val="en-US"/>
        </w:rPr>
        <w:t xml:space="preserve">, </w:t>
      </w:r>
      <w:r w:rsidRPr="00E72418">
        <w:rPr>
          <w:smallCaps/>
          <w:szCs w:val="20"/>
          <w:lang w:val="en-US"/>
        </w:rPr>
        <w:t>L. Alfaro</w:t>
      </w:r>
      <w:r w:rsidRPr="00E72418">
        <w:rPr>
          <w:szCs w:val="20"/>
          <w:lang w:val="en-US"/>
        </w:rPr>
        <w:t xml:space="preserve"> et </w:t>
      </w:r>
      <w:r w:rsidRPr="00E72418">
        <w:rPr>
          <w:smallCaps/>
          <w:szCs w:val="20"/>
          <w:lang w:val="en-US"/>
        </w:rPr>
        <w:t>N. Naurer</w:t>
      </w:r>
      <w:r w:rsidRPr="00E72418">
        <w:rPr>
          <w:szCs w:val="20"/>
          <w:lang w:val="en-US"/>
        </w:rPr>
        <w:t xml:space="preserve">, « Lawsuits and Empire: on the Enforcement of Sovereign Debt in Latin America », </w:t>
      </w:r>
      <w:r w:rsidRPr="00E72418">
        <w:rPr>
          <w:i/>
          <w:szCs w:val="20"/>
          <w:lang w:val="en-US"/>
        </w:rPr>
        <w:t>op. cit.</w:t>
      </w:r>
      <w:r w:rsidRPr="00E72418">
        <w:rPr>
          <w:szCs w:val="20"/>
          <w:lang w:val="en-US"/>
        </w:rPr>
        <w:t>, p. 43.</w:t>
      </w:r>
    </w:p>
  </w:footnote>
  <w:footnote w:id="596">
    <w:p w14:paraId="58AA20FE" w14:textId="47D30DF0" w:rsidR="0030147D" w:rsidRPr="00E72418" w:rsidRDefault="0030147D" w:rsidP="00B45C7B">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34.</w:t>
      </w:r>
    </w:p>
  </w:footnote>
  <w:footnote w:id="597">
    <w:p w14:paraId="09E40CC1" w14:textId="3CDDE38A" w:rsidR="0030147D" w:rsidRPr="00E72418" w:rsidRDefault="0030147D" w:rsidP="00DA5DCA">
      <w:pPr>
        <w:pStyle w:val="Sansinterligne"/>
      </w:pPr>
      <w:r w:rsidRPr="00E72418">
        <w:rPr>
          <w:rStyle w:val="Appelnotedebasdep"/>
        </w:rPr>
        <w:footnoteRef/>
      </w:r>
      <w:r w:rsidRPr="00E72418">
        <w:t xml:space="preserve"> </w:t>
      </w:r>
      <w:r w:rsidRPr="00E72418">
        <w:rPr>
          <w:smallCaps/>
        </w:rPr>
        <w:t>A. Akin-Olugbade</w:t>
      </w:r>
      <w:r w:rsidRPr="00E72418">
        <w:t xml:space="preserve">, « The </w:t>
      </w:r>
      <w:r w:rsidRPr="00E72418">
        <w:rPr>
          <w:i/>
        </w:rPr>
        <w:t>Donegal</w:t>
      </w:r>
      <w:r w:rsidRPr="00E72418">
        <w:t xml:space="preserve"> Case and the African Legal Support Facility », </w:t>
      </w:r>
      <w:r w:rsidRPr="00E72418">
        <w:rPr>
          <w:i/>
        </w:rPr>
        <w:t>op. cit.</w:t>
      </w:r>
      <w:r w:rsidRPr="00E72418">
        <w:t>, p. 413.</w:t>
      </w:r>
    </w:p>
  </w:footnote>
  <w:footnote w:id="598">
    <w:p w14:paraId="11C0A59D" w14:textId="52FD6C0B"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zCs w:val="20"/>
        </w:rPr>
        <w:t>Il apparaît qu’un responsable zambien ne fit pas remonter l’information à temps à son supérieur (</w:t>
      </w:r>
      <w:r w:rsidRPr="00E72418">
        <w:rPr>
          <w:smallCaps/>
          <w:szCs w:val="20"/>
        </w:rPr>
        <w:t>M. Waibel</w:t>
      </w:r>
      <w:r w:rsidRPr="00E72418">
        <w:rPr>
          <w:szCs w:val="20"/>
        </w:rPr>
        <w:t xml:space="preserve">, « An elusive quest – After the </w:t>
      </w:r>
      <w:r w:rsidRPr="00E72418">
        <w:rPr>
          <w:i/>
          <w:szCs w:val="20"/>
        </w:rPr>
        <w:t>Donegal</w:t>
      </w:r>
      <w:r w:rsidRPr="00E72418">
        <w:rPr>
          <w:szCs w:val="20"/>
        </w:rPr>
        <w:t xml:space="preserve"> case, compensation for sovereign defaults remains uncertain », </w:t>
      </w:r>
      <w:r w:rsidRPr="00E72418">
        <w:rPr>
          <w:rFonts w:ascii="Times New Roman" w:hAnsi="Times New Roman" w:cs="Times New Roman"/>
          <w:i/>
        </w:rPr>
        <w:t>Int. Fin. Law Rev.</w:t>
      </w:r>
      <w:r w:rsidRPr="00E72418">
        <w:rPr>
          <w:szCs w:val="20"/>
        </w:rPr>
        <w:t>, juillet 2007, p. 32).</w:t>
      </w:r>
    </w:p>
  </w:footnote>
  <w:footnote w:id="599">
    <w:p w14:paraId="269E3CBF" w14:textId="77ACD22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5. </w:t>
      </w:r>
      <w:r w:rsidRPr="00E72418">
        <w:rPr>
          <w:szCs w:val="20"/>
          <w:lang w:val="en-US"/>
        </w:rPr>
        <w:t xml:space="preserve">Dans un rapport du Fonds monétaire international on peut lire qu’ « [a]t the decision point in December 2000, Executive Directors agreed that Zambia’s external public debt should be reduced by 62.6 percent (or US$2.5 billion) in 1999 net present value (NPV) terms, after the full use of traditional debt-relief mechanisms » (Fonds monétaire international, </w:t>
      </w:r>
      <w:r w:rsidRPr="00E72418">
        <w:rPr>
          <w:i/>
          <w:szCs w:val="20"/>
          <w:lang w:val="en-US"/>
        </w:rPr>
        <w:t>Zambia: Enhanced Initiative for Heavily Indebted Poor Countries Completion Point Document</w:t>
      </w:r>
      <w:r w:rsidRPr="00E72418">
        <w:rPr>
          <w:szCs w:val="20"/>
          <w:lang w:val="en-US"/>
        </w:rPr>
        <w:t xml:space="preserve">, IMF Country Report No. 05/13724, mars 2005, p. 3). </w:t>
      </w:r>
      <w:r w:rsidRPr="00E72418">
        <w:rPr>
          <w:szCs w:val="20"/>
        </w:rPr>
        <w:t>Notons que le pays a bénéficié de l’allègement de sa dette tant via l’Initiative Pays Pauvres Très Endettés que via l’Initiative d’allègement de la dette multilatérale (</w:t>
      </w:r>
      <w:r w:rsidRPr="00E72418">
        <w:rPr>
          <w:smallCaps/>
          <w:szCs w:val="20"/>
        </w:rPr>
        <w:t>R. Culpeper</w:t>
      </w:r>
      <w:r w:rsidRPr="00E72418">
        <w:rPr>
          <w:szCs w:val="20"/>
        </w:rPr>
        <w:t xml:space="preserve"> et </w:t>
      </w:r>
      <w:r w:rsidRPr="00E72418">
        <w:rPr>
          <w:smallCaps/>
          <w:szCs w:val="20"/>
        </w:rPr>
        <w:t>N. Kappagoda</w:t>
      </w:r>
      <w:r w:rsidRPr="00E72418">
        <w:rPr>
          <w:szCs w:val="20"/>
        </w:rPr>
        <w:t xml:space="preserve">, « The new face of developing country debt », </w:t>
      </w:r>
      <w:r w:rsidRPr="00E72418">
        <w:rPr>
          <w:i/>
          <w:szCs w:val="20"/>
        </w:rPr>
        <w:t>op. cit.</w:t>
      </w:r>
      <w:r w:rsidRPr="00E72418">
        <w:rPr>
          <w:szCs w:val="20"/>
        </w:rPr>
        <w:t>, p. 960).</w:t>
      </w:r>
      <w:r w:rsidR="00331721">
        <w:rPr>
          <w:szCs w:val="20"/>
        </w:rPr>
        <w:t xml:space="preserve"> Sur ces initiatives, voyez </w:t>
      </w:r>
      <w:r w:rsidR="00331721" w:rsidRPr="00331721">
        <w:rPr>
          <w:i/>
          <w:szCs w:val="20"/>
        </w:rPr>
        <w:t>supra</w:t>
      </w:r>
      <w:r w:rsidR="00331721">
        <w:rPr>
          <w:szCs w:val="20"/>
        </w:rPr>
        <w:t xml:space="preserve"> n</w:t>
      </w:r>
      <w:r w:rsidR="00331721" w:rsidRPr="00331721">
        <w:rPr>
          <w:szCs w:val="20"/>
          <w:vertAlign w:val="superscript"/>
        </w:rPr>
        <w:t>os</w:t>
      </w:r>
      <w:r w:rsidR="00331721">
        <w:rPr>
          <w:szCs w:val="20"/>
        </w:rPr>
        <w:t xml:space="preserve"> 41 et suiv.</w:t>
      </w:r>
    </w:p>
  </w:footnote>
  <w:footnote w:id="600">
    <w:p w14:paraId="1F8D3485" w14:textId="16E08B6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T. Laryea</w:t>
      </w:r>
      <w:r w:rsidRPr="00E72418">
        <w:rPr>
          <w:szCs w:val="20"/>
          <w:lang w:val="en-US"/>
        </w:rPr>
        <w:t xml:space="preserve">, « </w:t>
      </w:r>
      <w:r w:rsidRPr="00E72418">
        <w:rPr>
          <w:i/>
          <w:lang w:val="en-GB"/>
        </w:rPr>
        <w:t>Donegal v. Zambia</w:t>
      </w:r>
      <w:r w:rsidRPr="00E72418">
        <w:rPr>
          <w:lang w:val="en-GB"/>
        </w:rPr>
        <w:t xml:space="preserve"> and the Persistent Debt Problems of Low-Income Countries</w:t>
      </w:r>
      <w:r w:rsidRPr="00E72418">
        <w:rPr>
          <w:szCs w:val="20"/>
          <w:lang w:val="en-US"/>
        </w:rPr>
        <w:t xml:space="preserve"> », </w:t>
      </w:r>
      <w:r w:rsidRPr="00E72418">
        <w:rPr>
          <w:i/>
          <w:szCs w:val="20"/>
          <w:lang w:val="en-US"/>
        </w:rPr>
        <w:t>op. cit.</w:t>
      </w:r>
      <w:r w:rsidRPr="00E72418">
        <w:rPr>
          <w:szCs w:val="20"/>
          <w:lang w:val="en-US"/>
        </w:rPr>
        <w:t>, p. 194.</w:t>
      </w:r>
    </w:p>
  </w:footnote>
  <w:footnote w:id="601">
    <w:p w14:paraId="07249096" w14:textId="0FFD5F5C"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High Court of Justice (RU), Queen’s Bench Division, Commercial Court, 15 février 2007, </w:t>
      </w:r>
      <w:r w:rsidRPr="00E72418">
        <w:rPr>
          <w:i/>
          <w:szCs w:val="20"/>
          <w:lang w:val="en-US"/>
        </w:rPr>
        <w:t>Donegal International Limited v. Republic of Zambia and Anr.</w:t>
      </w:r>
      <w:r w:rsidRPr="00E72418">
        <w:rPr>
          <w:szCs w:val="20"/>
          <w:lang w:val="en-US"/>
        </w:rPr>
        <w:t xml:space="preserve">, [2007] EWHC 197 (Comm.), paragraphe 7. </w:t>
      </w:r>
      <w:r w:rsidR="00331721">
        <w:t>Comme le rele</w:t>
      </w:r>
      <w:r w:rsidRPr="00E72418">
        <w:t xml:space="preserve">va </w:t>
      </w:r>
      <w:r w:rsidRPr="00E72418">
        <w:rPr>
          <w:rFonts w:cs="Times New Roman"/>
        </w:rPr>
        <w:t xml:space="preserve">Cephas </w:t>
      </w:r>
      <w:r w:rsidRPr="00E72418">
        <w:t>Lumina, « </w:t>
      </w:r>
      <w:r w:rsidRPr="00E72418">
        <w:rPr>
          <w:rFonts w:cs="Times New Roman"/>
        </w:rPr>
        <w:t>[c]</w:t>
      </w:r>
      <w:r w:rsidRPr="00E72418">
        <w:t>ette affaire souligne à quel point il importe que les pays débiteurs soient pleinement conscients des incidences de la reconnaissance officielle de droits découlant de la vente de dettes souveraines sur le marché secondaire »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11).</w:t>
      </w:r>
    </w:p>
  </w:footnote>
  <w:footnote w:id="602">
    <w:p w14:paraId="20CB7BCC" w14:textId="08637470"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368.</w:t>
      </w:r>
    </w:p>
  </w:footnote>
  <w:footnote w:id="603">
    <w:p w14:paraId="39590884" w14:textId="64CA8480"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La clause de juridiction est reprise in High Court of Justice (RU), Queen’s Bench Division, Commercial Court, 15 février 2007, </w:t>
      </w:r>
      <w:r w:rsidRPr="00E72418">
        <w:rPr>
          <w:i/>
          <w:szCs w:val="20"/>
          <w:lang w:val="en-US"/>
        </w:rPr>
        <w:t>Donegal International Limited v. Republic of Zambia and Anr.</w:t>
      </w:r>
      <w:r w:rsidRPr="00E72418">
        <w:rPr>
          <w:szCs w:val="20"/>
          <w:lang w:val="en-US"/>
        </w:rPr>
        <w:t>, [2007] EWHC 197 (Comm.), paragraphe 17.</w:t>
      </w:r>
    </w:p>
  </w:footnote>
  <w:footnote w:id="604">
    <w:p w14:paraId="27A88DC4" w14:textId="0695990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Waibel</w:t>
      </w:r>
      <w:r w:rsidRPr="00E72418">
        <w:rPr>
          <w:szCs w:val="20"/>
          <w:lang w:val="en-US"/>
        </w:rPr>
        <w:t xml:space="preserve">, « </w:t>
      </w:r>
      <w:r w:rsidRPr="00E72418">
        <w:rPr>
          <w:szCs w:val="20"/>
        </w:rPr>
        <w:t xml:space="preserve">An elusive quest – After the </w:t>
      </w:r>
      <w:r w:rsidRPr="00E72418">
        <w:rPr>
          <w:i/>
          <w:szCs w:val="20"/>
        </w:rPr>
        <w:t>Donegal</w:t>
      </w:r>
      <w:r w:rsidRPr="00E72418">
        <w:rPr>
          <w:szCs w:val="20"/>
        </w:rPr>
        <w:t xml:space="preserve"> case, compensation for sovereign defaults remains uncertain</w:t>
      </w:r>
      <w:r w:rsidRPr="00E72418">
        <w:rPr>
          <w:szCs w:val="20"/>
          <w:lang w:val="en-US"/>
        </w:rPr>
        <w:t xml:space="preserve"> », </w:t>
      </w:r>
      <w:r w:rsidRPr="00E72418">
        <w:rPr>
          <w:i/>
          <w:szCs w:val="20"/>
          <w:lang w:val="en-US"/>
        </w:rPr>
        <w:t>op. cit.</w:t>
      </w:r>
      <w:r w:rsidRPr="00E72418">
        <w:rPr>
          <w:szCs w:val="20"/>
          <w:lang w:val="en-US"/>
        </w:rPr>
        <w:t>, p. 32.</w:t>
      </w:r>
    </w:p>
  </w:footnote>
  <w:footnote w:id="605">
    <w:p w14:paraId="08535B91" w14:textId="62DF5D45"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A. Akin-Olugbade</w:t>
      </w:r>
      <w:r w:rsidRPr="00E72418">
        <w:rPr>
          <w:szCs w:val="20"/>
          <w:lang w:val="en-US"/>
        </w:rPr>
        <w:t xml:space="preserve">, « The </w:t>
      </w:r>
      <w:r w:rsidRPr="00E72418">
        <w:rPr>
          <w:i/>
          <w:szCs w:val="20"/>
          <w:lang w:val="en-US"/>
        </w:rPr>
        <w:t>Donegal</w:t>
      </w:r>
      <w:r w:rsidRPr="00E72418">
        <w:rPr>
          <w:szCs w:val="20"/>
          <w:lang w:val="en-US"/>
        </w:rPr>
        <w:t xml:space="preserve"> Case and the African Legal Support Facility », </w:t>
      </w:r>
      <w:r w:rsidRPr="00E72418">
        <w:rPr>
          <w:i/>
        </w:rPr>
        <w:t>op. cit.</w:t>
      </w:r>
      <w:r w:rsidRPr="00E72418">
        <w:rPr>
          <w:szCs w:val="20"/>
        </w:rPr>
        <w:t>, p. 414.</w:t>
      </w:r>
    </w:p>
  </w:footnote>
  <w:footnote w:id="606">
    <w:p w14:paraId="00EC8878" w14:textId="791B46F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Christian-Junior Nkongolo explique que </w:t>
      </w:r>
      <w:r w:rsidRPr="00E72418">
        <w:rPr>
          <w:i/>
          <w:szCs w:val="20"/>
        </w:rPr>
        <w:t>Donegal International Ltd.</w:t>
      </w:r>
      <w:r w:rsidRPr="00E72418">
        <w:rPr>
          <w:szCs w:val="20"/>
        </w:rPr>
        <w:t xml:space="preserve"> n’aurait pas pu se fonder sur le contrat initial qui aurait permis à la République de Zambie de faire valoir l’immunité couvrant les transactions commerciales entre États (</w:t>
      </w:r>
      <w:r w:rsidRPr="00E72418">
        <w:rPr>
          <w:smallCaps/>
          <w:szCs w:val="20"/>
        </w:rPr>
        <w:t>C.-J. Nkongolo</w:t>
      </w:r>
      <w:r w:rsidRPr="00E72418">
        <w:rPr>
          <w:szCs w:val="20"/>
        </w:rPr>
        <w:t xml:space="preserve">, « Les axes d’une solution juridique à la problématique des fonds vautours », </w:t>
      </w:r>
      <w:r w:rsidRPr="00E72418">
        <w:rPr>
          <w:i/>
          <w:szCs w:val="20"/>
        </w:rPr>
        <w:t>Dounia</w:t>
      </w:r>
      <w:r w:rsidRPr="00E72418">
        <w:rPr>
          <w:szCs w:val="20"/>
        </w:rPr>
        <w:t xml:space="preserve">, 2012, p. 100). Cette immunité est reprise à l’article 10 de la Convention des Nations Unies sur les immunités juridictionnelles des États et de leurs biens de 2004 (voyez </w:t>
      </w:r>
      <w:r w:rsidRPr="00E72418">
        <w:rPr>
          <w:i/>
          <w:szCs w:val="20"/>
        </w:rPr>
        <w:t xml:space="preserve">infra </w:t>
      </w:r>
      <w:r w:rsidRPr="00E72418">
        <w:rPr>
          <w:szCs w:val="20"/>
        </w:rPr>
        <w:t>n° 206).</w:t>
      </w:r>
    </w:p>
  </w:footnote>
  <w:footnote w:id="607">
    <w:p w14:paraId="0D3C1F51" w14:textId="3FFA9B2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L’État défendeur fit valoir que « [t]he Settlement Agreement is unenforceable against Zambia because it is tainted with illegality and corruption » (High Court of Justice (RU), Queen’s Bench Division, Commercial Court, 15 février 2007, </w:t>
      </w:r>
      <w:r w:rsidRPr="00E72418">
        <w:rPr>
          <w:i/>
          <w:szCs w:val="20"/>
          <w:lang w:val="en-US"/>
        </w:rPr>
        <w:t>Donegal International Limited v. Republic of Zambia and Anr.</w:t>
      </w:r>
      <w:r w:rsidRPr="00E72418">
        <w:rPr>
          <w:szCs w:val="20"/>
          <w:lang w:val="en-US"/>
        </w:rPr>
        <w:t>, [2007] EWHC 197 (Comm.), paragraphe 21).</w:t>
      </w:r>
    </w:p>
  </w:footnote>
  <w:footnote w:id="608">
    <w:p w14:paraId="568A10FC" w14:textId="31B9121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High Court of Justice (RU), Queen’s Bench Division, Commercial Court, 15 février 2007, </w:t>
      </w:r>
      <w:r w:rsidRPr="00E72418">
        <w:rPr>
          <w:i/>
          <w:szCs w:val="20"/>
          <w:lang w:val="en-US"/>
        </w:rPr>
        <w:t>Donegal International Limited v. Republic of Zambia and Anr.</w:t>
      </w:r>
      <w:r w:rsidRPr="00E72418">
        <w:rPr>
          <w:szCs w:val="20"/>
          <w:lang w:val="en-US"/>
        </w:rPr>
        <w:t>, [2007] EWHC 197 (Comm.).</w:t>
      </w:r>
    </w:p>
  </w:footnote>
  <w:footnote w:id="609">
    <w:p w14:paraId="09BA7F7C" w14:textId="75485C1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00331721" w:rsidRPr="00331721">
        <w:rPr>
          <w:i/>
          <w:szCs w:val="20"/>
          <w:lang w:val="en-US"/>
        </w:rPr>
        <w:t>Ibid.</w:t>
      </w:r>
      <w:r w:rsidRPr="00E72418">
        <w:rPr>
          <w:szCs w:val="20"/>
          <w:lang w:val="en-US"/>
        </w:rPr>
        <w:t xml:space="preserve">, paragraphes 51, 64 et 127. Voyez également le paragraphe 186 où la juridiction dit des réponses apportées par l’un des dirigeants de </w:t>
      </w:r>
      <w:r w:rsidRPr="00E72418">
        <w:rPr>
          <w:i/>
          <w:szCs w:val="20"/>
          <w:lang w:val="en-US"/>
        </w:rPr>
        <w:t>Donegal International Ltd.</w:t>
      </w:r>
      <w:r w:rsidRPr="00E72418">
        <w:rPr>
          <w:szCs w:val="20"/>
          <w:lang w:val="en-US"/>
        </w:rPr>
        <w:t xml:space="preserve"> qu’elles donnèrent « a wholly false impression » ou encore le paragraphe 409 où il est précisé : « I have already indicated that I find Donegal’s account of how the Government signed the agreement inherently improbable ».</w:t>
      </w:r>
    </w:p>
  </w:footnote>
  <w:footnote w:id="610">
    <w:p w14:paraId="52B97171" w14:textId="34647CA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Cette mesure est importante comme le note Michael Waibel; « [i]t is the first time that a national court has awarded less than the full face value of the debt, despite affirming liability in principle » (</w:t>
      </w:r>
      <w:r w:rsidRPr="00E72418">
        <w:rPr>
          <w:smallCaps/>
          <w:szCs w:val="20"/>
          <w:lang w:val="en-US"/>
        </w:rPr>
        <w:t>M. Waibel</w:t>
      </w:r>
      <w:r w:rsidRPr="00E72418">
        <w:rPr>
          <w:szCs w:val="20"/>
          <w:lang w:val="en-US"/>
        </w:rPr>
        <w:t xml:space="preserve">, « </w:t>
      </w:r>
      <w:r w:rsidRPr="00E72418">
        <w:rPr>
          <w:szCs w:val="20"/>
        </w:rPr>
        <w:t xml:space="preserve">An elusive quest – After the </w:t>
      </w:r>
      <w:r w:rsidRPr="00E72418">
        <w:rPr>
          <w:i/>
          <w:szCs w:val="20"/>
        </w:rPr>
        <w:t>Donegal</w:t>
      </w:r>
      <w:r w:rsidRPr="00E72418">
        <w:rPr>
          <w:szCs w:val="20"/>
        </w:rPr>
        <w:t xml:space="preserve"> case, compensation for sovereign defaults remains uncertain</w:t>
      </w:r>
      <w:r w:rsidRPr="00E72418">
        <w:rPr>
          <w:szCs w:val="20"/>
          <w:lang w:val="en-US"/>
        </w:rPr>
        <w:t xml:space="preserve"> », </w:t>
      </w:r>
      <w:r w:rsidRPr="00E72418">
        <w:rPr>
          <w:i/>
          <w:szCs w:val="20"/>
          <w:lang w:val="en-US"/>
        </w:rPr>
        <w:t>op. cit.</w:t>
      </w:r>
      <w:r w:rsidRPr="00E72418">
        <w:rPr>
          <w:szCs w:val="20"/>
          <w:lang w:val="en-US"/>
        </w:rPr>
        <w:t>, p. 32).</w:t>
      </w:r>
    </w:p>
  </w:footnote>
  <w:footnote w:id="611">
    <w:p w14:paraId="2F41DB23" w14:textId="76D85FB2" w:rsidR="0030147D" w:rsidRPr="00E72418" w:rsidRDefault="0030147D" w:rsidP="0025282A">
      <w:pPr>
        <w:pStyle w:val="Sansinterligne"/>
        <w:rPr>
          <w:rFonts w:ascii="Times New Roman" w:hAnsi="Times New Roman" w:cs="Times New Roman"/>
        </w:rPr>
      </w:pPr>
      <w:r w:rsidRPr="00E72418">
        <w:rPr>
          <w:rStyle w:val="Titre2Car"/>
          <w:rFonts w:ascii="Times" w:eastAsiaTheme="minorHAnsi" w:hAnsi="Times" w:cstheme="minorBidi"/>
          <w:color w:val="auto"/>
          <w:sz w:val="20"/>
          <w:szCs w:val="20"/>
          <w:vertAlign w:val="superscript"/>
        </w:rPr>
        <w:footnoteRef/>
      </w:r>
      <w:r w:rsidRPr="00E72418">
        <w:t xml:space="preserve"> Voyez </w:t>
      </w:r>
      <w:r w:rsidRPr="00E72418">
        <w:rPr>
          <w:smallCaps/>
        </w:rPr>
        <w:t>O. Arewa</w:t>
      </w:r>
      <w:r w:rsidRPr="00E72418">
        <w:t xml:space="preserve">, « Vultures, Hyenas, and African Debt: Private Equity and Zambia », </w:t>
      </w:r>
      <w:r w:rsidRPr="00E72418">
        <w:rPr>
          <w:rFonts w:ascii="Times New Roman" w:hAnsi="Times New Roman" w:cs="Times New Roman"/>
          <w:i/>
        </w:rPr>
        <w:t>Nw. J. Int. Law &amp; Bus.</w:t>
      </w:r>
      <w:r w:rsidRPr="00E72418">
        <w:rPr>
          <w:lang w:val="en-US"/>
        </w:rPr>
        <w:t>, 2009</w:t>
      </w:r>
      <w:r w:rsidRPr="00E72418">
        <w:t xml:space="preserve">, p. 646 qui cite </w:t>
      </w:r>
      <w:r w:rsidRPr="00E72418">
        <w:rPr>
          <w:i/>
        </w:rPr>
        <w:t>Donegal Int’l Ltd. v. Zambia &amp; Anor</w:t>
      </w:r>
      <w:r w:rsidRPr="00E72418">
        <w:t xml:space="preserve">, [2007] EWHC (Comm) 1016, [6]. </w:t>
      </w:r>
      <w:r w:rsidRPr="00E72418">
        <w:rPr>
          <w:lang w:val="en-US"/>
        </w:rPr>
        <w:t>Le montant de cinquante-cinq millions réclamé par le créancier « was found to be penal » (</w:t>
      </w:r>
      <w:r w:rsidRPr="00E72418">
        <w:rPr>
          <w:smallCaps/>
          <w:lang w:val="en-US"/>
        </w:rPr>
        <w:t>A. Horne</w:t>
      </w:r>
      <w:r w:rsidRPr="00E72418">
        <w:rPr>
          <w:lang w:val="en-US"/>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lang w:val="en-US"/>
        </w:rPr>
        <w:t>, p. 9).</w:t>
      </w:r>
    </w:p>
  </w:footnote>
  <w:footnote w:id="612">
    <w:p w14:paraId="0C809473" w14:textId="4EB54349" w:rsidR="0030147D" w:rsidRPr="00E72418" w:rsidRDefault="0030147D" w:rsidP="00B45C7B">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O. Arewa</w:t>
      </w:r>
      <w:r w:rsidRPr="00E72418">
        <w:rPr>
          <w:szCs w:val="20"/>
          <w:lang w:val="en-US"/>
        </w:rPr>
        <w:t xml:space="preserve">, « Vultures, Hyenas, and African Debt: Private Equity and Zambia », </w:t>
      </w:r>
      <w:r w:rsidRPr="00E72418">
        <w:rPr>
          <w:i/>
          <w:szCs w:val="20"/>
          <w:lang w:val="en-US"/>
        </w:rPr>
        <w:t>op. cit.</w:t>
      </w:r>
      <w:r w:rsidRPr="00E72418">
        <w:rPr>
          <w:szCs w:val="20"/>
          <w:lang w:val="en-US"/>
        </w:rPr>
        <w:t xml:space="preserve">, p. 672. Voyez également les propos de Sally Keeble lors des travaux préparatoires ayant précédé l’adoption de la loi britannique : « [t]he $15.5 million awarded against Zambia would have been enough to pay for 30,000 primary school places » (propos repris in House of Commons, </w:t>
      </w:r>
      <w:r w:rsidRPr="00E72418">
        <w:rPr>
          <w:i/>
          <w:szCs w:val="20"/>
          <w:lang w:val="en-US"/>
        </w:rPr>
        <w:t>Debt Relief (Developing Countries) Bill</w:t>
      </w:r>
      <w:r w:rsidRPr="00E72418">
        <w:rPr>
          <w:szCs w:val="20"/>
          <w:lang w:val="en-US"/>
        </w:rPr>
        <w:t>, second reading, 26 février 2010, vol. 506, colonne 561).</w:t>
      </w:r>
    </w:p>
  </w:footnote>
  <w:footnote w:id="613">
    <w:p w14:paraId="3BCBC53D" w14:textId="0F21FA54" w:rsidR="0030147D" w:rsidRPr="00E72418" w:rsidRDefault="0030147D" w:rsidP="00B45C7B">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A. Horne</w:t>
      </w:r>
      <w:r w:rsidRPr="00E72418">
        <w:rPr>
          <w:szCs w:val="20"/>
          <w:lang w:val="en-US"/>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lang w:val="en-US"/>
        </w:rPr>
        <w:t xml:space="preserve">, p. 12. </w:t>
      </w:r>
      <w:r w:rsidRPr="00E72418">
        <w:rPr>
          <w:szCs w:val="20"/>
        </w:rPr>
        <w:t xml:space="preserve">Sur la législation britannique qui s’ensuivit,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304 et suiv.</w:t>
      </w:r>
    </w:p>
  </w:footnote>
  <w:footnote w:id="614">
    <w:p w14:paraId="3F9C607B" w14:textId="3220667D" w:rsidR="0030147D" w:rsidRPr="00E72418" w:rsidRDefault="0030147D" w:rsidP="00535842">
      <w:pPr>
        <w:pStyle w:val="Sansinterligne"/>
      </w:pPr>
      <w:r w:rsidRPr="00E72418">
        <w:rPr>
          <w:rStyle w:val="Appelnotedebasdep"/>
        </w:rPr>
        <w:footnoteRef/>
      </w:r>
      <w:r w:rsidRPr="00E72418">
        <w:t xml:space="preserve"> Notons que lors de l’action en justice, déjà, le </w:t>
      </w:r>
      <w:r w:rsidRPr="00E72418">
        <w:rPr>
          <w:i/>
        </w:rPr>
        <w:t>Department for International Development</w:t>
      </w:r>
      <w:r w:rsidRPr="00E72418">
        <w:t xml:space="preserve"> britannique avait participé au financement des frais légaux du pays (voyez l’intervention de Ian Pearson in House of Commons, réponses écrites, 5 mars 2009, colonne 1816W).</w:t>
      </w:r>
    </w:p>
  </w:footnote>
  <w:footnote w:id="615">
    <w:p w14:paraId="135A7740" w14:textId="7102DA23" w:rsidR="0030147D" w:rsidRPr="00E72418" w:rsidRDefault="0030147D" w:rsidP="00C83864">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smallCaps/>
          <w:color w:val="auto"/>
          <w:szCs w:val="20"/>
        </w:rPr>
        <w:t>J. Muse-Fisher</w:t>
      </w:r>
      <w:r w:rsidRPr="00E72418">
        <w:rPr>
          <w:rStyle w:val="Titre5Car"/>
          <w:rFonts w:ascii="Times" w:eastAsiaTheme="minorHAnsi" w:hAnsi="Times" w:cstheme="minorBidi"/>
          <w:color w:val="auto"/>
          <w:szCs w:val="20"/>
        </w:rPr>
        <w:t xml:space="preserve">, « Starving the Vultures: </w:t>
      </w:r>
      <w:r w:rsidRPr="00E72418">
        <w:rPr>
          <w:rStyle w:val="Titre5Car"/>
          <w:rFonts w:ascii="Times" w:eastAsiaTheme="minorHAnsi" w:hAnsi="Times" w:cstheme="minorBidi"/>
          <w:i/>
          <w:color w:val="auto"/>
          <w:szCs w:val="20"/>
        </w:rPr>
        <w:t>NML Capital v. Republic of Argentina</w:t>
      </w:r>
      <w:r w:rsidRPr="00E72418">
        <w:rPr>
          <w:rStyle w:val="Titre5Car"/>
          <w:rFonts w:ascii="Times" w:eastAsiaTheme="minorHAnsi" w:hAnsi="Times" w:cstheme="minorBidi"/>
          <w:color w:val="auto"/>
          <w:szCs w:val="20"/>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rPr>
        <w:t>, p. 1677.</w:t>
      </w:r>
    </w:p>
  </w:footnote>
  <w:footnote w:id="616">
    <w:p w14:paraId="109D8DAC" w14:textId="0A6EC9EF" w:rsidR="0030147D" w:rsidRPr="00E72418" w:rsidRDefault="0030147D" w:rsidP="002A593B">
      <w:pPr>
        <w:pStyle w:val="Sansinterligne"/>
        <w:rPr>
          <w:szCs w:val="20"/>
        </w:rPr>
      </w:pPr>
      <w:r w:rsidRPr="00E72418">
        <w:rPr>
          <w:rStyle w:val="Appelnotedebasdep"/>
          <w:szCs w:val="20"/>
        </w:rPr>
        <w:footnoteRef/>
      </w:r>
      <w:r w:rsidRPr="00E72418">
        <w:rPr>
          <w:szCs w:val="20"/>
        </w:rPr>
        <w:t xml:space="preserve"> Le lien des travaux avec le dictateur Mobutu fit retenir par certains que la dette qui en découla présentait un caractère odieu</w:t>
      </w:r>
      <w:r w:rsidRPr="00E72418">
        <w:rPr>
          <w:rStyle w:val="Titre5Car"/>
          <w:rFonts w:ascii="Times" w:eastAsiaTheme="minorHAnsi" w:hAnsi="Times" w:cstheme="minorBidi"/>
          <w:color w:val="auto"/>
          <w:szCs w:val="20"/>
        </w:rPr>
        <w:t xml:space="preserve">x. </w:t>
      </w:r>
      <w:r w:rsidRPr="00E72418">
        <w:rPr>
          <w:szCs w:val="20"/>
        </w:rPr>
        <w:t>Pour Renaud Vivien, il n’en fait nul doute en ce qu’elle présente les trois caractéristiques de la définition de la dette odieuse que sont l’absence de consentement de la population, l’absence de bénéfice pour la population et, finalement, la connaissance par les créanciers des deux premières caractéristiques. Pour l’auteur, la dette ayant été contractée sous la dictature de Mobutu, elle l’a été contre la volonté du peuple ; les fonds empruntés n’ont pas profité à la population et les créanciers connaissaient la nature dictatoriale du régime (</w:t>
      </w:r>
      <w:r w:rsidRPr="00E72418">
        <w:rPr>
          <w:smallCaps/>
          <w:szCs w:val="20"/>
        </w:rPr>
        <w:t>R. Vivien</w:t>
      </w:r>
      <w:r w:rsidRPr="00E72418">
        <w:rPr>
          <w:szCs w:val="20"/>
        </w:rPr>
        <w:t xml:space="preserve">, « Les fonds vautours en République démocratique du Congo : le cas de FG Hemisphere », </w:t>
      </w:r>
      <w:r w:rsidRPr="00E72418">
        <w:rPr>
          <w:i/>
          <w:szCs w:val="20"/>
        </w:rPr>
        <w:t>Dounia</w:t>
      </w:r>
      <w:r w:rsidRPr="00E72418">
        <w:rPr>
          <w:szCs w:val="20"/>
        </w:rPr>
        <w:t xml:space="preserve">, 2012, p. 68). Sur cette notion de dette odieuse,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257 et suiv.</w:t>
      </w:r>
    </w:p>
  </w:footnote>
  <w:footnote w:id="617">
    <w:p w14:paraId="0750B48A" w14:textId="221D9D9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p. 45.</w:t>
      </w:r>
    </w:p>
  </w:footnote>
  <w:footnote w:id="618">
    <w:p w14:paraId="3E2AB653" w14:textId="4F6A6A70"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District of Columbia (EUA), 19 septembre 2004, </w:t>
      </w:r>
      <w:r w:rsidRPr="00E72418">
        <w:rPr>
          <w:i/>
          <w:szCs w:val="20"/>
          <w:lang w:val="en-US"/>
        </w:rPr>
        <w:t>Energoinvest DD. v Democratic Republic of Congo and Société Nationale d’Életricité</w:t>
      </w:r>
      <w:r w:rsidRPr="00E72418">
        <w:rPr>
          <w:szCs w:val="20"/>
          <w:lang w:val="en-US"/>
        </w:rPr>
        <w:t>, 355 F. Supp. 2d 9.</w:t>
      </w:r>
    </w:p>
  </w:footnote>
  <w:footnote w:id="619">
    <w:p w14:paraId="09B5A8E0" w14:textId="4AAB3925" w:rsidR="0030147D" w:rsidRPr="00E72418" w:rsidRDefault="0030147D" w:rsidP="00247195">
      <w:pPr>
        <w:pStyle w:val="Sansinterligne"/>
      </w:pPr>
      <w:r w:rsidRPr="00E72418">
        <w:rPr>
          <w:rStyle w:val="Appelnotedebasdep"/>
        </w:rPr>
        <w:footnoteRef/>
      </w:r>
      <w:r w:rsidRPr="00E72418">
        <w:t xml:space="preserve"> United States Court of Appeals for the District of Columbia Circuit (EUA), 19 mai 2006, </w:t>
      </w:r>
      <w:r w:rsidRPr="00E72418">
        <w:rPr>
          <w:i/>
        </w:rPr>
        <w:t>FG Hemisphere Assocs. v. Democratic Republic of Congo</w:t>
      </w:r>
      <w:r w:rsidRPr="00E72418">
        <w:rPr>
          <w:rStyle w:val="injectednode"/>
          <w:szCs w:val="20"/>
        </w:rPr>
        <w:t>, 447 F.3d 835</w:t>
      </w:r>
      <w:r w:rsidRPr="00E72418">
        <w:rPr>
          <w:rStyle w:val="injectednode"/>
        </w:rPr>
        <w:t>, p. 837.</w:t>
      </w:r>
    </w:p>
  </w:footnote>
  <w:footnote w:id="620">
    <w:p w14:paraId="54957EA9" w14:textId="7CA357E2"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les propos de Peter Grossman repris in </w:t>
      </w:r>
      <w:r w:rsidRPr="00E72418">
        <w:rPr>
          <w:smallCaps/>
          <w:szCs w:val="20"/>
        </w:rPr>
        <w:t>J. Bai</w:t>
      </w:r>
      <w:r w:rsidRPr="00E72418">
        <w:rPr>
          <w:szCs w:val="20"/>
        </w:rPr>
        <w:t xml:space="preserve">, « Stop Them Circling: Addressing Vulture Funds in Australian Law », </w:t>
      </w:r>
      <w:r w:rsidRPr="00E72418">
        <w:rPr>
          <w:i/>
          <w:szCs w:val="20"/>
          <w:lang w:val="en-US"/>
        </w:rPr>
        <w:t>op. cit.</w:t>
      </w:r>
      <w:r w:rsidRPr="00E72418">
        <w:rPr>
          <w:szCs w:val="20"/>
        </w:rPr>
        <w:t>, p. 704.</w:t>
      </w:r>
    </w:p>
  </w:footnote>
  <w:footnote w:id="621">
    <w:p w14:paraId="2F1ED15F" w14:textId="3191A203" w:rsidR="0030147D" w:rsidRPr="00E72418" w:rsidRDefault="0030147D" w:rsidP="006D2D8D">
      <w:pPr>
        <w:pStyle w:val="Sansinterligne"/>
        <w:rPr>
          <w:szCs w:val="20"/>
        </w:rPr>
      </w:pPr>
      <w:r w:rsidRPr="00E72418">
        <w:rPr>
          <w:rStyle w:val="Appelnotedebasdep"/>
          <w:szCs w:val="20"/>
        </w:rPr>
        <w:footnoteRef/>
      </w:r>
      <w:r w:rsidRPr="00E72418">
        <w:rPr>
          <w:szCs w:val="20"/>
          <w:lang w:val="en-US"/>
        </w:rPr>
        <w:t xml:space="preserve"> C. </w:t>
      </w:r>
      <w:r w:rsidRPr="00E72418">
        <w:rPr>
          <w:smallCaps/>
          <w:szCs w:val="20"/>
          <w:lang w:val="en-US"/>
        </w:rPr>
        <w:t>Lumina</w:t>
      </w:r>
      <w:r w:rsidRPr="00E72418">
        <w:rPr>
          <w:szCs w:val="20"/>
          <w:lang w:val="en-US"/>
        </w:rPr>
        <w:t xml:space="preserve">, </w:t>
      </w:r>
      <w:r w:rsidRPr="00E72418">
        <w:rPr>
          <w:szCs w:val="20"/>
        </w:rPr>
        <w:t xml:space="preserve">« </w:t>
      </w:r>
      <w:r w:rsidRPr="00E72418">
        <w:rPr>
          <w:szCs w:val="20"/>
          <w:lang w:val="en-US"/>
        </w:rPr>
        <w:t xml:space="preserve">Curbing “Vulture Fund” Litigation </w:t>
      </w:r>
      <w:r w:rsidRPr="00E72418">
        <w:rPr>
          <w:szCs w:val="20"/>
        </w:rPr>
        <w:t>»</w:t>
      </w:r>
      <w:r w:rsidRPr="00E72418">
        <w:rPr>
          <w:szCs w:val="20"/>
          <w:lang w:val="en-US"/>
        </w:rPr>
        <w:t xml:space="preserve">, in I. </w:t>
      </w:r>
      <w:r w:rsidRPr="00E72418">
        <w:rPr>
          <w:rStyle w:val="lev"/>
          <w:rFonts w:cs="Times New Roman"/>
          <w:b w:val="0"/>
          <w:smallCaps/>
          <w:szCs w:val="24"/>
          <w:lang w:val="en-US"/>
        </w:rPr>
        <w:t>Bantekas</w:t>
      </w:r>
      <w:r w:rsidRPr="00E72418">
        <w:rPr>
          <w:rStyle w:val="lev"/>
          <w:rFonts w:cs="Times New Roman"/>
          <w:b w:val="0"/>
          <w:szCs w:val="24"/>
          <w:lang w:val="en-US"/>
        </w:rPr>
        <w:t xml:space="preserve"> et C. </w:t>
      </w:r>
      <w:r w:rsidRPr="00E72418">
        <w:rPr>
          <w:rStyle w:val="lev"/>
          <w:rFonts w:cs="Times New Roman"/>
          <w:b w:val="0"/>
          <w:smallCaps/>
          <w:szCs w:val="24"/>
          <w:lang w:val="en-US"/>
        </w:rPr>
        <w:t>Lumina (</w:t>
      </w:r>
      <w:r w:rsidRPr="00E72418">
        <w:rPr>
          <w:rStyle w:val="lev"/>
          <w:rFonts w:cs="Times New Roman"/>
          <w:b w:val="0"/>
          <w:szCs w:val="24"/>
          <w:lang w:val="en-US"/>
        </w:rPr>
        <w:t xml:space="preserve">éd.), </w:t>
      </w:r>
      <w:r w:rsidRPr="00E72418">
        <w:rPr>
          <w:rStyle w:val="lev"/>
          <w:rFonts w:cs="Times New Roman"/>
          <w:b w:val="0"/>
          <w:i/>
          <w:szCs w:val="24"/>
          <w:lang w:val="en-US"/>
        </w:rPr>
        <w:t xml:space="preserve">Sovereign Debt and Human Rights, </w:t>
      </w:r>
      <w:r w:rsidRPr="00E72418">
        <w:rPr>
          <w:rStyle w:val="lev"/>
          <w:rFonts w:cs="Times New Roman"/>
          <w:b w:val="0"/>
          <w:szCs w:val="24"/>
          <w:lang w:val="en-US"/>
        </w:rPr>
        <w:t>Oxford University Press</w:t>
      </w:r>
      <w:r w:rsidRPr="00E72418">
        <w:rPr>
          <w:szCs w:val="20"/>
          <w:lang w:val="en-US"/>
        </w:rPr>
        <w:t>, 2018, p. 500.</w:t>
      </w:r>
    </w:p>
  </w:footnote>
  <w:footnote w:id="622">
    <w:p w14:paraId="06290E49" w14:textId="7CBEB007" w:rsidR="0030147D" w:rsidRPr="00E72418" w:rsidRDefault="0030147D" w:rsidP="0033674E">
      <w:pPr>
        <w:pStyle w:val="Sansinterligne"/>
      </w:pPr>
      <w:r w:rsidRPr="00E72418">
        <w:rPr>
          <w:rStyle w:val="Appelnotedebasdep"/>
          <w:szCs w:val="20"/>
        </w:rPr>
        <w:footnoteRef/>
      </w:r>
      <w:r w:rsidRPr="00E72418">
        <w:t xml:space="preserve"> Le pays connut plusieurs décennies de dictature et des années de guerre. Il fut par ailleurs victime d’actes de corruption ainsi que de pillage de ses ressources naturelles (</w:t>
      </w:r>
      <w:r w:rsidRPr="00E72418">
        <w:rPr>
          <w:smallCaps/>
        </w:rPr>
        <w:t>R. Vivien</w:t>
      </w:r>
      <w:r w:rsidRPr="00E72418">
        <w:t xml:space="preserve">, « Les fonds vautours en République démocratique du Congo : le cas de FG Hemisphere », </w:t>
      </w:r>
      <w:r w:rsidRPr="00E72418">
        <w:rPr>
          <w:i/>
        </w:rPr>
        <w:t>op. cit.</w:t>
      </w:r>
      <w:r w:rsidRPr="00E72418">
        <w:t>, p. 64). Le constat de la situation difficile du pays conduisit, entre autres considérations, à ce qu’une juridiction étatsunienne suive l</w:t>
      </w:r>
      <w:r w:rsidRPr="00E72418">
        <w:rPr>
          <w:rStyle w:val="injectednode"/>
          <w:szCs w:val="20"/>
        </w:rPr>
        <w:t xml:space="preserve">a justification d’ « excusable neglect » avancée par le pays dans une procédure spécifique où il avait fait défaut (voyez </w:t>
      </w:r>
      <w:r w:rsidRPr="00E72418">
        <w:t xml:space="preserve">United States Court of Appeals for the District of Columbia Circuit (EUA), 19 mai 2006, </w:t>
      </w:r>
      <w:r w:rsidRPr="00E72418">
        <w:rPr>
          <w:i/>
        </w:rPr>
        <w:t>FG Hemisphere Assocs. v. Democratic Republic of Congo</w:t>
      </w:r>
      <w:r w:rsidRPr="00E72418">
        <w:rPr>
          <w:rStyle w:val="injectednode"/>
          <w:szCs w:val="20"/>
        </w:rPr>
        <w:t xml:space="preserve">, 447 F.3d 835, p. 841 : </w:t>
      </w:r>
      <w:r w:rsidRPr="00E72418">
        <w:t>« [f]inally, of course, the DRC was plainly hampered by its devastating civil war, which cost over three million lives, shattered the DRC’s already shaky political structure, and set off hyperinflation that peaked at over 500% per year in 2000 », ainsi, « [i]t is not surprising that the war would be accompanied by substantial confusion over responsibilities in the Foreign Ministry [,] indeed the Office of the Foreign Minister itself appears not to have any record of receiving the Motion »</w:t>
      </w:r>
      <w:r w:rsidRPr="00E72418">
        <w:rPr>
          <w:rStyle w:val="injectednode"/>
          <w:szCs w:val="20"/>
        </w:rPr>
        <w:t>).</w:t>
      </w:r>
    </w:p>
  </w:footnote>
  <w:footnote w:id="623">
    <w:p w14:paraId="401E3175" w14:textId="6CF75D1D" w:rsidR="0030147D" w:rsidRPr="00E72418" w:rsidRDefault="0030147D" w:rsidP="0033674E">
      <w:pPr>
        <w:pStyle w:val="Sansinterligne"/>
      </w:pPr>
      <w:r w:rsidRPr="00E72418">
        <w:rPr>
          <w:rStyle w:val="Appelnotedebasdep"/>
        </w:rPr>
        <w:footnoteRef/>
      </w:r>
      <w:r w:rsidRPr="00E72418">
        <w:t xml:space="preserve"> Sur cette Initiative, voyez </w:t>
      </w:r>
      <w:r w:rsidRPr="00E72418">
        <w:rPr>
          <w:i/>
        </w:rPr>
        <w:t>supra</w:t>
      </w:r>
      <w:r w:rsidRPr="00E72418">
        <w:t xml:space="preserve"> n</w:t>
      </w:r>
      <w:r w:rsidRPr="00E72418">
        <w:rPr>
          <w:vertAlign w:val="superscript"/>
        </w:rPr>
        <w:t>os</w:t>
      </w:r>
      <w:r w:rsidRPr="00E72418">
        <w:t xml:space="preserve"> 41 et suiv.</w:t>
      </w:r>
    </w:p>
  </w:footnote>
  <w:footnote w:id="624">
    <w:p w14:paraId="7015C7C8" w14:textId="1E0C706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District of Columbia (EUA), 19 mars 2009, </w:t>
      </w:r>
      <w:r w:rsidRPr="00E72418">
        <w:rPr>
          <w:i/>
          <w:szCs w:val="20"/>
          <w:lang w:val="en-US"/>
        </w:rPr>
        <w:t>FG Hemisphere Assocs. LLC v. Democratic Rep. of Congo</w:t>
      </w:r>
      <w:r w:rsidRPr="00E72418">
        <w:rPr>
          <w:szCs w:val="20"/>
          <w:lang w:val="en-US"/>
        </w:rPr>
        <w:t xml:space="preserve">, 603 F. Supp. 2d 1. </w:t>
      </w:r>
      <w:r w:rsidRPr="00E72418">
        <w:rPr>
          <w:szCs w:val="20"/>
        </w:rPr>
        <w:t>Une décision prévoyant un « discovery plan » avait été précédemment rendue en 2006 sans que la République démocratique du Congo n’y réserve une suite satisfaisante. Cette absence de respect conduisit la cour de district à retenir que le pays était « in civil contempt ». Afin que sa nouvelle décision de 2009 produise pleinement ses effets, la juridiction décida d’une forme d’astreinte</w:t>
      </w:r>
      <w:r w:rsidRPr="00E72418">
        <w:rPr>
          <w:szCs w:val="20"/>
          <w:lang w:val="en-US"/>
        </w:rPr>
        <w:t>.</w:t>
      </w:r>
    </w:p>
  </w:footnote>
  <w:footnote w:id="625">
    <w:p w14:paraId="0E9E2584" w14:textId="407511F8" w:rsidR="0030147D" w:rsidRPr="00E72418" w:rsidRDefault="0030147D" w:rsidP="003948E0">
      <w:pPr>
        <w:pStyle w:val="Sansinterligne"/>
        <w:rPr>
          <w:szCs w:val="20"/>
        </w:rPr>
      </w:pPr>
      <w:r w:rsidRPr="00E72418">
        <w:rPr>
          <w:rStyle w:val="Appelnotedebasdep"/>
          <w:szCs w:val="20"/>
        </w:rPr>
        <w:footnoteRef/>
      </w:r>
      <w:r w:rsidRPr="00E72418">
        <w:rPr>
          <w:szCs w:val="20"/>
          <w:vertAlign w:val="superscript"/>
        </w:rPr>
        <w:t xml:space="preserve"> </w:t>
      </w:r>
      <w:r w:rsidRPr="00E72418">
        <w:rPr>
          <w:szCs w:val="20"/>
        </w:rPr>
        <w:t>Nous ne traitons d</w:t>
      </w:r>
      <w:r w:rsidRPr="00E72418">
        <w:rPr>
          <w:rStyle w:val="apple-converted-space"/>
          <w:szCs w:val="20"/>
        </w:rPr>
        <w:t xml:space="preserve">ans cette présentation générale de l’affaire </w:t>
      </w:r>
      <w:r w:rsidRPr="00E72418">
        <w:rPr>
          <w:i/>
        </w:rPr>
        <w:t>FG Hemisphere Associates LLC</w:t>
      </w:r>
      <w:r w:rsidRPr="00E72418">
        <w:t xml:space="preserve"> c. la République démocratique du Congo </w:t>
      </w:r>
      <w:r w:rsidRPr="00E72418">
        <w:rPr>
          <w:szCs w:val="20"/>
        </w:rPr>
        <w:t xml:space="preserve">que de quelques poursuites très remarquées. Certaines autres actions </w:t>
      </w:r>
      <w:r w:rsidRPr="00E72418">
        <w:rPr>
          <w:rStyle w:val="apple-converted-space"/>
          <w:szCs w:val="20"/>
        </w:rPr>
        <w:t xml:space="preserve">seront précisément analysées en lien avec </w:t>
      </w:r>
      <w:r w:rsidR="00813C82">
        <w:rPr>
          <w:rStyle w:val="apple-converted-space"/>
          <w:szCs w:val="20"/>
        </w:rPr>
        <w:t>des questions spécifiquement analysées</w:t>
      </w:r>
      <w:r w:rsidRPr="00E72418">
        <w:rPr>
          <w:rStyle w:val="apple-converted-space"/>
          <w:szCs w:val="20"/>
        </w:rPr>
        <w:t xml:space="preserve"> de sorte que, pour éviter toute répétition, nous ne les reprenons pas dans le présent chapitre</w:t>
      </w:r>
      <w:r w:rsidRPr="00E72418">
        <w:t xml:space="preserve"> </w:t>
      </w:r>
      <w:r w:rsidRPr="00E72418">
        <w:rPr>
          <w:szCs w:val="20"/>
        </w:rPr>
        <w:t xml:space="preserve">(voyez, entre autres exemples, </w:t>
      </w:r>
      <w:r w:rsidRPr="00E72418">
        <w:rPr>
          <w:rStyle w:val="apple-converted-space"/>
          <w:szCs w:val="20"/>
        </w:rPr>
        <w:t xml:space="preserve">Cass. (F.), 28 février 2018, pourvoi n° 16-22.112 au sujet du retrait litigieux, </w:t>
      </w:r>
      <w:r w:rsidRPr="00E72418">
        <w:rPr>
          <w:rStyle w:val="apple-converted-space"/>
          <w:i/>
          <w:szCs w:val="20"/>
        </w:rPr>
        <w:t>infra</w:t>
      </w:r>
      <w:r w:rsidRPr="00E72418">
        <w:rPr>
          <w:rStyle w:val="apple-converted-space"/>
          <w:szCs w:val="20"/>
        </w:rPr>
        <w:t xml:space="preserve"> n</w:t>
      </w:r>
      <w:r w:rsidRPr="00E72418">
        <w:rPr>
          <w:rStyle w:val="apple-converted-space"/>
          <w:szCs w:val="20"/>
          <w:vertAlign w:val="superscript"/>
        </w:rPr>
        <w:t>os</w:t>
      </w:r>
      <w:r w:rsidRPr="00E72418">
        <w:rPr>
          <w:rStyle w:val="apple-converted-space"/>
          <w:szCs w:val="20"/>
        </w:rPr>
        <w:t xml:space="preserve"> 249 et suiv.).</w:t>
      </w:r>
    </w:p>
  </w:footnote>
  <w:footnote w:id="626">
    <w:p w14:paraId="6411F51E" w14:textId="5BDB5623" w:rsidR="0030147D" w:rsidRPr="00E72418" w:rsidRDefault="0030147D" w:rsidP="004F1501">
      <w:pPr>
        <w:pStyle w:val="Sansinterligne"/>
        <w:rPr>
          <w:szCs w:val="20"/>
        </w:rPr>
      </w:pPr>
      <w:r w:rsidRPr="00E72418">
        <w:rPr>
          <w:rStyle w:val="Appelnotedebasdep"/>
          <w:szCs w:val="20"/>
        </w:rPr>
        <w:footnoteRef/>
      </w:r>
      <w:r w:rsidRPr="00E72418">
        <w:rPr>
          <w:szCs w:val="20"/>
        </w:rPr>
        <w:t xml:space="preserve"> Royal Court (Jersey), 27 octobre 2010, </w:t>
      </w:r>
      <w:r w:rsidRPr="00E72418">
        <w:rPr>
          <w:i/>
          <w:szCs w:val="20"/>
        </w:rPr>
        <w:t>FG Hemisphere Associates LLC v. The Democratic Republic of Congo and La Générale des Carrières et des Mines</w:t>
      </w:r>
      <w:r w:rsidRPr="00E72418">
        <w:rPr>
          <w:szCs w:val="20"/>
        </w:rPr>
        <w:t>, [2010] JRC 195</w:t>
      </w:r>
      <w:r w:rsidRPr="00E72418">
        <w:rPr>
          <w:rStyle w:val="Lienhypertexte"/>
          <w:color w:val="auto"/>
          <w:szCs w:val="20"/>
          <w:u w:val="none"/>
        </w:rPr>
        <w:t xml:space="preserve">. </w:t>
      </w:r>
      <w:r w:rsidRPr="00E72418">
        <w:rPr>
          <w:szCs w:val="20"/>
        </w:rPr>
        <w:t xml:space="preserve">Dès lors que le </w:t>
      </w:r>
      <w:r w:rsidRPr="00E72418">
        <w:rPr>
          <w:i/>
          <w:szCs w:val="20"/>
        </w:rPr>
        <w:t>Debt Relief (Developing Countries) Act</w:t>
      </w:r>
      <w:r w:rsidRPr="00E72418">
        <w:rPr>
          <w:szCs w:val="20"/>
        </w:rPr>
        <w:t xml:space="preserve"> britannique (qui aurait peut-être pu protéger l’État débiteur –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304 et suiv. sur cette législation) ne trouvait pas à s’appliquer dans les territoires d’outre-mer et les dépendances de la Couronne comme le Bailliage de Jersey, cette décision conduisit à une interpellation du </w:t>
      </w:r>
      <w:r w:rsidRPr="00E72418">
        <w:rPr>
          <w:i/>
          <w:szCs w:val="20"/>
        </w:rPr>
        <w:t>Chief Minister</w:t>
      </w:r>
      <w:r w:rsidRPr="00E72418">
        <w:rPr>
          <w:szCs w:val="20"/>
        </w:rPr>
        <w:t xml:space="preserve"> de Jersey : « [w]ould the Chief Minister confirm whether FG Hemisphere is using the courts in Jersey to enforce debt repayments by the Democratic Republic of Congo in a way which has just been outlawed by the U.K. Parliament and, if so, does the Chief Minister think it is appropriate for the Jersey courts to be used in this way and what actions, if any, has he taken and does he propose to take on this matter? </w:t>
      </w:r>
      <w:r w:rsidRPr="00E72418">
        <w:rPr>
          <w:rStyle w:val="injectednode"/>
          <w:szCs w:val="20"/>
        </w:rPr>
        <w:t>» (</w:t>
      </w:r>
      <w:r w:rsidRPr="00E72418">
        <w:rPr>
          <w:szCs w:val="20"/>
        </w:rPr>
        <w:t>State of Jersey, Official report, 7 juin 2011, pp. 75 et 76)</w:t>
      </w:r>
      <w:r w:rsidRPr="00E72418">
        <w:rPr>
          <w:rStyle w:val="injectednode"/>
          <w:szCs w:val="20"/>
        </w:rPr>
        <w:t xml:space="preserve">. Le ministre interpellé répondit que </w:t>
      </w:r>
      <w:r w:rsidRPr="00E72418">
        <w:rPr>
          <w:szCs w:val="20"/>
        </w:rPr>
        <w:t xml:space="preserve">« we have now established a high-level working party to actively consider our own position on vulture funds in the knowledge that the U.K. has also undertaken to share its expertise in this matter </w:t>
      </w:r>
      <w:r w:rsidRPr="00E72418">
        <w:rPr>
          <w:rStyle w:val="injectednode"/>
          <w:szCs w:val="20"/>
        </w:rPr>
        <w:t>» (</w:t>
      </w:r>
      <w:r w:rsidRPr="00E72418">
        <w:rPr>
          <w:szCs w:val="20"/>
        </w:rPr>
        <w:t>State of Jersey, Official report, 7 juin 2011, p. 76)</w:t>
      </w:r>
      <w:r w:rsidRPr="00E72418">
        <w:rPr>
          <w:rStyle w:val="injectednode"/>
          <w:szCs w:val="20"/>
        </w:rPr>
        <w:t xml:space="preserve">. Ce groupe se réunit plusieurs fois et, conscient de la complexité et de l’intérêt public de la question, lança en septembre 2011 une consultation portant sur la limitation des pratiques de nature à entamer les efforts de désendettement internationaux et notamment celles mises en œuvre par les fonds spéculatifs, laquelle consultation fut suivie </w:t>
      </w:r>
      <w:r w:rsidR="00813C82">
        <w:rPr>
          <w:rStyle w:val="injectednode"/>
          <w:szCs w:val="20"/>
        </w:rPr>
        <w:t>par</w:t>
      </w:r>
      <w:r w:rsidRPr="00E72418">
        <w:rPr>
          <w:rStyle w:val="injectednode"/>
          <w:szCs w:val="20"/>
        </w:rPr>
        <w:t xml:space="preserve"> l’adoption du </w:t>
      </w:r>
      <w:r w:rsidRPr="00E72418">
        <w:rPr>
          <w:i/>
          <w:szCs w:val="20"/>
        </w:rPr>
        <w:t>Debt Relief (Developing Countries) (Jersey) Law 2013</w:t>
      </w:r>
      <w:r w:rsidRPr="00E72418">
        <w:rPr>
          <w:szCs w:val="20"/>
        </w:rPr>
        <w:t xml:space="preserve"> (sur cette législation jerseyenne, voyez </w:t>
      </w:r>
      <w:r w:rsidRPr="00E72418">
        <w:rPr>
          <w:i/>
          <w:szCs w:val="20"/>
        </w:rPr>
        <w:t>infra</w:t>
      </w:r>
      <w:r w:rsidRPr="00E72418">
        <w:rPr>
          <w:szCs w:val="20"/>
        </w:rPr>
        <w:t xml:space="preserve"> n° 311)</w:t>
      </w:r>
      <w:r w:rsidRPr="00E72418">
        <w:rPr>
          <w:rStyle w:val="injectednode"/>
          <w:szCs w:val="20"/>
        </w:rPr>
        <w:t>.</w:t>
      </w:r>
    </w:p>
  </w:footnote>
  <w:footnote w:id="627">
    <w:p w14:paraId="1FF57AA2" w14:textId="77777777" w:rsidR="0030147D" w:rsidRPr="00E72418" w:rsidRDefault="0030147D" w:rsidP="00280E36">
      <w:pPr>
        <w:pStyle w:val="Sansinterligne"/>
        <w:rPr>
          <w:szCs w:val="20"/>
        </w:rPr>
      </w:pPr>
      <w:r w:rsidRPr="00E72418">
        <w:rPr>
          <w:rStyle w:val="Appelnotedebasdep"/>
          <w:szCs w:val="20"/>
        </w:rPr>
        <w:footnoteRef/>
      </w:r>
      <w:r w:rsidRPr="00E72418">
        <w:rPr>
          <w:szCs w:val="20"/>
        </w:rPr>
        <w:t xml:space="preserve"> Court of Appeal (Jersey), 14 juillet 2011, </w:t>
      </w:r>
      <w:r w:rsidRPr="00E72418">
        <w:rPr>
          <w:i/>
          <w:szCs w:val="20"/>
        </w:rPr>
        <w:t>FG Hemisphere Associates LLC v. The Democratic Republic of the Congo, La Générale des Carrières et des Mines and Groupement pour le Traitement du Terril de Lubumbashi Ltd.</w:t>
      </w:r>
      <w:r w:rsidRPr="00E72418">
        <w:rPr>
          <w:szCs w:val="20"/>
        </w:rPr>
        <w:t>, [2011] JCA 141.</w:t>
      </w:r>
    </w:p>
  </w:footnote>
  <w:footnote w:id="628">
    <w:p w14:paraId="276E608F" w14:textId="0BF4FCE8" w:rsidR="0030147D" w:rsidRPr="00E72418" w:rsidRDefault="0030147D" w:rsidP="000404A7">
      <w:pPr>
        <w:pStyle w:val="Sansinterligne"/>
        <w:rPr>
          <w:szCs w:val="20"/>
        </w:rPr>
      </w:pPr>
      <w:r w:rsidRPr="00E72418">
        <w:rPr>
          <w:rStyle w:val="Appelnotedebasdep"/>
          <w:szCs w:val="20"/>
        </w:rPr>
        <w:footnoteRef/>
      </w:r>
      <w:r w:rsidRPr="00E72418">
        <w:rPr>
          <w:szCs w:val="20"/>
        </w:rPr>
        <w:t xml:space="preserve"> Privy Council (Jersey), 17 juillet 2012, </w:t>
      </w:r>
      <w:r w:rsidRPr="00E72418">
        <w:rPr>
          <w:i/>
          <w:szCs w:val="20"/>
        </w:rPr>
        <w:t>La Générale des Carrières et des Mines v. FG Hemisphere Associates LLC</w:t>
      </w:r>
      <w:r w:rsidRPr="00E72418">
        <w:rPr>
          <w:szCs w:val="20"/>
        </w:rPr>
        <w:t>, [2012] UKPC 27, paragraphe 78 : « </w:t>
      </w:r>
      <w:r w:rsidRPr="00E72418">
        <w:t xml:space="preserve">the Royal Court and the majority of the Court of Appeal erred in the Board’s opinion in concluding that Gécamines was an organ of the DRC and so liable, and its assets answerable, for the DRC’s debts consisting in this case of the two arbitration awards, the benefit of which Hemisphere has acquired from Energoinvest DD </w:t>
      </w:r>
      <w:r w:rsidRPr="00E72418">
        <w:rPr>
          <w:szCs w:val="20"/>
        </w:rPr>
        <w:t>».</w:t>
      </w:r>
    </w:p>
  </w:footnote>
  <w:footnote w:id="629">
    <w:p w14:paraId="1AAEEFFE" w14:textId="77777777" w:rsidR="0030147D" w:rsidRPr="00E72418" w:rsidRDefault="0030147D" w:rsidP="00992D1E">
      <w:pPr>
        <w:pStyle w:val="Sansinterligne"/>
        <w:rPr>
          <w:szCs w:val="20"/>
        </w:rPr>
      </w:pPr>
      <w:r w:rsidRPr="00E72418">
        <w:rPr>
          <w:rStyle w:val="Appelnotedebasdep"/>
          <w:szCs w:val="20"/>
        </w:rPr>
        <w:footnoteRef/>
      </w:r>
      <w:r w:rsidRPr="00E72418">
        <w:rPr>
          <w:szCs w:val="20"/>
        </w:rPr>
        <w:t xml:space="preserve"> New South Wales Supreme Court, 1</w:t>
      </w:r>
      <w:r w:rsidRPr="00E72418">
        <w:rPr>
          <w:szCs w:val="20"/>
          <w:vertAlign w:val="superscript"/>
        </w:rPr>
        <w:t>er</w:t>
      </w:r>
      <w:r w:rsidRPr="00E72418">
        <w:rPr>
          <w:szCs w:val="20"/>
        </w:rPr>
        <w:t xml:space="preserve"> novembre 2010, </w:t>
      </w:r>
      <w:r w:rsidRPr="00E72418">
        <w:rPr>
          <w:i/>
          <w:szCs w:val="20"/>
        </w:rPr>
        <w:t>FG Hemisphere Associates LLC v. Democratic Republic of Congo</w:t>
      </w:r>
      <w:r w:rsidRPr="00E72418">
        <w:rPr>
          <w:szCs w:val="20"/>
        </w:rPr>
        <w:t>, [2010] NSWSC 1394, paragraphe 12.</w:t>
      </w:r>
    </w:p>
  </w:footnote>
  <w:footnote w:id="630">
    <w:p w14:paraId="443990E8" w14:textId="793DAC7C" w:rsidR="0030147D" w:rsidRPr="00E72418" w:rsidRDefault="0030147D" w:rsidP="00992D1E">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6.</w:t>
      </w:r>
    </w:p>
  </w:footnote>
  <w:footnote w:id="631">
    <w:p w14:paraId="6F78DF82" w14:textId="77777777" w:rsidR="0030147D" w:rsidRPr="00E72418" w:rsidRDefault="0030147D" w:rsidP="00992D1E">
      <w:pPr>
        <w:pStyle w:val="Sansinterligne"/>
        <w:rPr>
          <w:szCs w:val="20"/>
        </w:rPr>
      </w:pPr>
      <w:r w:rsidRPr="00E72418">
        <w:rPr>
          <w:rStyle w:val="Appelnotedebasdep"/>
          <w:szCs w:val="20"/>
        </w:rPr>
        <w:footnoteRef/>
      </w:r>
      <w:r w:rsidRPr="00E72418">
        <w:rPr>
          <w:szCs w:val="20"/>
        </w:rPr>
        <w:t xml:space="preserve"> Ces contrats s’inscrivaient dans un programme de développement des infrastructures contre l’octroi de concessions minières (</w:t>
      </w:r>
      <w:r w:rsidRPr="00E72418">
        <w:rPr>
          <w:smallCaps/>
          <w:szCs w:val="20"/>
        </w:rPr>
        <w:t>F. Kabuya Kalala, H. Mbantshi</w:t>
      </w:r>
      <w:r w:rsidRPr="00E72418">
        <w:rPr>
          <w:szCs w:val="20"/>
        </w:rPr>
        <w:t xml:space="preserve"> et </w:t>
      </w:r>
      <w:r w:rsidRPr="00E72418">
        <w:rPr>
          <w:smallCaps/>
          <w:szCs w:val="20"/>
        </w:rPr>
        <w:t>A. Nyembwe</w:t>
      </w:r>
      <w:r w:rsidRPr="00E72418">
        <w:rPr>
          <w:szCs w:val="20"/>
        </w:rPr>
        <w:t xml:space="preserve">, « Actions des fonds vautours contre la République démocratique du Congo : tentative de circonscription de l’impact », </w:t>
      </w:r>
      <w:r w:rsidRPr="00E72418">
        <w:rPr>
          <w:i/>
          <w:szCs w:val="20"/>
        </w:rPr>
        <w:t>Dounia</w:t>
      </w:r>
      <w:r w:rsidRPr="00E72418">
        <w:rPr>
          <w:szCs w:val="20"/>
        </w:rPr>
        <w:t>, 2012, p. 73).</w:t>
      </w:r>
    </w:p>
  </w:footnote>
  <w:footnote w:id="632">
    <w:p w14:paraId="0B236628" w14:textId="4A8EC61C" w:rsidR="0030147D" w:rsidRPr="00E72418" w:rsidRDefault="0030147D" w:rsidP="00992D1E">
      <w:pPr>
        <w:pStyle w:val="Sansinterligne"/>
        <w:rPr>
          <w:szCs w:val="20"/>
        </w:rPr>
      </w:pPr>
      <w:r w:rsidRPr="00E72418">
        <w:rPr>
          <w:rStyle w:val="Appelnotedebasdep"/>
          <w:szCs w:val="20"/>
        </w:rPr>
        <w:footnoteRef/>
      </w:r>
      <w:r w:rsidRPr="00E72418">
        <w:rPr>
          <w:szCs w:val="20"/>
        </w:rPr>
        <w:t xml:space="preserve"> High Court of the Hong Kong, Special Administrative Region Court of Appeal, 10 février 2010, </w:t>
      </w:r>
      <w:r w:rsidRPr="00E72418">
        <w:rPr>
          <w:i/>
          <w:szCs w:val="20"/>
        </w:rPr>
        <w:t>FG Hemisphere Associates LLC v. Democratic Republic of the Congo, China Railway Group (Hong Kong) Limited and others</w:t>
      </w:r>
      <w:r w:rsidRPr="00E72418">
        <w:rPr>
          <w:szCs w:val="20"/>
        </w:rPr>
        <w:t xml:space="preserve">, CACV 373/2008 et CACV 43/2009, paragraphe 180 où l’on pouvait notamment lire que « the DRC enjoys restrictive but not absolute immunity from the jurisdiction of the courts of Hong Kong ». Cette décision suivait l’appel de la société </w:t>
      </w:r>
      <w:r w:rsidRPr="00E72418">
        <w:rPr>
          <w:i/>
          <w:szCs w:val="20"/>
        </w:rPr>
        <w:t>FG Hemisphere Associates LLC</w:t>
      </w:r>
      <w:r w:rsidRPr="00E72418">
        <w:rPr>
          <w:szCs w:val="20"/>
        </w:rPr>
        <w:t xml:space="preserve"> contre notamment une décision du 12 décembre 2008 retenant l’absence de juridiction à l’encontre de la République démocratique du Congo. De la décision rendue en appel, suivit le gel d’une somme d’environ cent millions de dollars relative à un accord conclu entre la République démocratique du Congo et la Chine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6).</w:t>
      </w:r>
    </w:p>
  </w:footnote>
  <w:footnote w:id="633">
    <w:p w14:paraId="6812BD9B" w14:textId="5C76C317" w:rsidR="0030147D" w:rsidRPr="00E72418" w:rsidRDefault="0030147D" w:rsidP="003F6C32">
      <w:pPr>
        <w:pStyle w:val="Sansinterligne"/>
        <w:rPr>
          <w:rFonts w:ascii="Times New Roman" w:hAnsi="Times New Roman" w:cs="Times New Roman"/>
        </w:rPr>
      </w:pPr>
      <w:r w:rsidRPr="00E72418">
        <w:rPr>
          <w:rStyle w:val="Appelnotedebasdep"/>
          <w:szCs w:val="20"/>
        </w:rPr>
        <w:footnoteRef/>
      </w:r>
      <w:r w:rsidRPr="00E72418">
        <w:t xml:space="preserve"> Court of final appeal of the Hong Kong Special administrative Region, 8 juin 2011, </w:t>
      </w:r>
      <w:r w:rsidRPr="00E72418">
        <w:rPr>
          <w:i/>
        </w:rPr>
        <w:t>Democratic Republic of the Congo and others v. FG Hemisphere Associates LLC</w:t>
      </w:r>
      <w:r w:rsidRPr="00E72418">
        <w:t xml:space="preserve">, final appeal 5, 6 &amp; 7 of 2010. Sur cette décision, voyez notamment A. </w:t>
      </w:r>
      <w:r w:rsidRPr="00E72418">
        <w:rPr>
          <w:rFonts w:cs="Times New Roman"/>
          <w:smallCaps/>
          <w:szCs w:val="24"/>
          <w:lang w:val="en-US"/>
        </w:rPr>
        <w:t>Butler</w:t>
      </w:r>
      <w:r w:rsidRPr="00E72418">
        <w:rPr>
          <w:rFonts w:cs="Times New Roman"/>
          <w:szCs w:val="24"/>
          <w:lang w:val="en-US"/>
        </w:rPr>
        <w:t xml:space="preserve">, « </w:t>
      </w:r>
      <w:r w:rsidRPr="00E72418">
        <w:rPr>
          <w:rFonts w:cs="Times New Roman"/>
          <w:i/>
          <w:szCs w:val="24"/>
          <w:lang w:val="en-US"/>
        </w:rPr>
        <w:t>Democratic Republic of the Congo v. FG Hemisphere Associates LLC</w:t>
      </w:r>
      <w:r w:rsidRPr="00E72418">
        <w:rPr>
          <w:rFonts w:cs="Times New Roman"/>
          <w:szCs w:val="24"/>
          <w:lang w:val="en-US"/>
        </w:rPr>
        <w:t xml:space="preserve">: Hong Kong Conforms with China by Repudiating the Common Law Commercial Exception to Sovereign Immunity », </w:t>
      </w:r>
      <w:r w:rsidRPr="00E72418">
        <w:rPr>
          <w:rFonts w:ascii="Times New Roman" w:hAnsi="Times New Roman" w:cs="Times New Roman"/>
          <w:i/>
        </w:rPr>
        <w:t>Tul. J. Int. &amp; Comp. Law</w:t>
      </w:r>
      <w:r w:rsidRPr="00E72418">
        <w:rPr>
          <w:rFonts w:cs="Times New Roman"/>
          <w:szCs w:val="24"/>
          <w:lang w:val="en-US"/>
        </w:rPr>
        <w:t>, 2012, pp. 469 à 487.</w:t>
      </w:r>
    </w:p>
  </w:footnote>
  <w:footnote w:id="634">
    <w:p w14:paraId="18E2F30A" w14:textId="77777777" w:rsidR="0030147D" w:rsidRPr="00E72418" w:rsidRDefault="0030147D" w:rsidP="0086558D">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9 juillet 2014, </w:t>
      </w:r>
      <w:r w:rsidRPr="00E72418">
        <w:rPr>
          <w:i/>
          <w:szCs w:val="20"/>
          <w:lang w:val="en-US"/>
        </w:rPr>
        <w:t>Themis Capital LLC and Des Moines Investments Ltd. v. Democratic Republic of Congo and Central Bank of the Democratic Republic of Congo</w:t>
      </w:r>
      <w:r w:rsidRPr="00E72418">
        <w:rPr>
          <w:szCs w:val="20"/>
          <w:lang w:val="en-US"/>
        </w:rPr>
        <w:t>, 35 F. Supp. 3d 457.</w:t>
      </w:r>
    </w:p>
  </w:footnote>
  <w:footnote w:id="635">
    <w:p w14:paraId="55929768" w14:textId="58B603BB" w:rsidR="0030147D" w:rsidRPr="00E72418" w:rsidRDefault="0030147D" w:rsidP="0086558D">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p. 19.</w:t>
      </w:r>
    </w:p>
  </w:footnote>
  <w:footnote w:id="636">
    <w:p w14:paraId="3200E28A" w14:textId="09A8DFF7" w:rsidR="0030147D" w:rsidRPr="00E72418" w:rsidRDefault="0030147D" w:rsidP="00A75F68">
      <w:pPr>
        <w:pStyle w:val="Sansinterligne"/>
        <w:rPr>
          <w:rFonts w:ascii="Times New Roman" w:hAnsi="Times New Roman" w:cs="Times New Roman"/>
          <w:szCs w:val="20"/>
          <w:lang w:val="fr-FR"/>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Voyez la relation qui en est faite in </w:t>
      </w:r>
      <w:r w:rsidRPr="00E72418">
        <w:rPr>
          <w:szCs w:val="20"/>
        </w:rPr>
        <w:t xml:space="preserve">Court of Appeal (RU), 13 mai 2003, </w:t>
      </w:r>
      <w:r w:rsidRPr="00E72418">
        <w:rPr>
          <w:i/>
          <w:szCs w:val="20"/>
        </w:rPr>
        <w:t>Kensington International Ltd. v Republic of the Congo</w:t>
      </w:r>
      <w:r w:rsidRPr="00E72418">
        <w:rPr>
          <w:szCs w:val="20"/>
        </w:rPr>
        <w:t xml:space="preserve">, [2003] EWCA Civ 709 ainsi qu’in </w:t>
      </w:r>
      <w:r w:rsidRPr="00E72418">
        <w:rPr>
          <w:lang w:val="en-US"/>
        </w:rPr>
        <w:t xml:space="preserve">United States District Court for the Southern District of New York (EUA), 30 mars 2007, </w:t>
      </w:r>
      <w:r w:rsidRPr="00E72418">
        <w:rPr>
          <w:i/>
          <w:lang w:val="en-US"/>
        </w:rPr>
        <w:t>Kensington Intern. Ltd. v. Republic of Congo</w:t>
      </w:r>
      <w:r w:rsidRPr="00E72418">
        <w:rPr>
          <w:lang w:val="en-US"/>
        </w:rPr>
        <w:t>, 2007 WL 1032269.</w:t>
      </w:r>
    </w:p>
  </w:footnote>
  <w:footnote w:id="637">
    <w:p w14:paraId="66FF8BF1" w14:textId="698876FD" w:rsidR="0030147D" w:rsidRPr="00E72418" w:rsidRDefault="0030147D" w:rsidP="00B42047">
      <w:pPr>
        <w:pStyle w:val="Sansinterligne"/>
      </w:pPr>
      <w:r w:rsidRPr="00E72418">
        <w:rPr>
          <w:rStyle w:val="Titre1Car"/>
          <w:rFonts w:ascii="Times" w:eastAsiaTheme="minorHAnsi" w:hAnsi="Times" w:cstheme="minorBidi"/>
          <w:color w:val="auto"/>
          <w:sz w:val="20"/>
          <w:szCs w:val="20"/>
          <w:vertAlign w:val="superscript"/>
        </w:rPr>
        <w:footnoteRef/>
      </w:r>
      <w:r w:rsidRPr="00E72418">
        <w:rPr>
          <w:lang w:val="en-US"/>
        </w:rPr>
        <w:t xml:space="preserve"> </w:t>
      </w:r>
      <w:r w:rsidRPr="00E72418">
        <w:rPr>
          <w:smallCaps/>
          <w:lang w:val="en-US"/>
        </w:rPr>
        <w:t>J. Schumacher, C. Trebesch</w:t>
      </w:r>
      <w:r w:rsidRPr="00E72418">
        <w:rPr>
          <w:lang w:val="en-US"/>
        </w:rPr>
        <w:t xml:space="preserve"> et </w:t>
      </w:r>
      <w:r w:rsidRPr="00E72418">
        <w:rPr>
          <w:smallCaps/>
          <w:lang w:val="en-US"/>
        </w:rPr>
        <w:t>H. Enderlein</w:t>
      </w:r>
      <w:r w:rsidRPr="00E72418">
        <w:rPr>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lang w:val="en-US"/>
        </w:rPr>
        <w:t xml:space="preserve">, </w:t>
      </w:r>
      <w:r w:rsidRPr="00E72418">
        <w:rPr>
          <w:i/>
          <w:szCs w:val="20"/>
          <w:lang w:val="en-US"/>
        </w:rPr>
        <w:t>op. cit.</w:t>
      </w:r>
      <w:r w:rsidRPr="00E72418">
        <w:rPr>
          <w:lang w:val="en-US"/>
        </w:rPr>
        <w:t xml:space="preserve">, p. 58. </w:t>
      </w:r>
      <w:r w:rsidRPr="00E72418">
        <w:t>Ce montage ne remplit toutefois pas son objectif ; ainsi, par exemple, une juridiction étatsunienne autorisa des saisies-arrêts de plus d’un demi-million de barils auprès d’entreprises privées et publiques impliquées dans le commerce pétrolier avec la République du Congo (</w:t>
      </w:r>
      <w:r w:rsidRPr="00E72418">
        <w:rPr>
          <w:i/>
        </w:rPr>
        <w:t>ibid.</w:t>
      </w:r>
      <w:r w:rsidRPr="00E72418">
        <w:t>). Notons encore notamment au sujet de cette tentative d’évitement de l’</w:t>
      </w:r>
      <w:r w:rsidRPr="00E72418">
        <w:rPr>
          <w:lang w:eastAsia="fr-BE"/>
        </w:rPr>
        <w:t>É</w:t>
      </w:r>
      <w:r w:rsidRPr="00E72418">
        <w:t xml:space="preserve">tat débiteur que la société </w:t>
      </w:r>
      <w:r w:rsidRPr="00E72418">
        <w:rPr>
          <w:i/>
        </w:rPr>
        <w:t xml:space="preserve">Kensington International Ltd. </w:t>
      </w:r>
      <w:r w:rsidRPr="00E72418">
        <w:t>attaqua la banque</w:t>
      </w:r>
      <w:r w:rsidRPr="00E72418">
        <w:rPr>
          <w:i/>
        </w:rPr>
        <w:t xml:space="preserve"> BNP Paribas</w:t>
      </w:r>
      <w:r w:rsidRPr="00E72418">
        <w:t xml:space="preserve"> au motif qu’elle avait aidé le pays débiteur à occulter des revenus (voyez United States District Court for the Southern District of New York (EUA), 31 mars 2006, </w:t>
      </w:r>
      <w:r w:rsidRPr="00E72418">
        <w:rPr>
          <w:i/>
        </w:rPr>
        <w:t>Kensington Intern. Ltd. v. Société Nationale Des Pétroles Du Congo</w:t>
      </w:r>
      <w:r w:rsidRPr="00E72418">
        <w:t xml:space="preserve">, 2006 WL 846351 : « Kensington International Limited […] brings this action against Société Nationale Des Pétroles Du Congo, Bruno Jean-Richard Itoua, BNP Parnibas S.A. […] alleging a conspiracy to misappropriate the resources, including oil, of the Republic of Congo […] for the private use of allegedly corrupt public officials and to facilitate and conceal that misappropriation, all at the expense of the Congolese people and of legitimate creditors like Kensington »). Cette plainte eut un impact négatif sur les relations du pays avec les banques étrangères et interféra avec ses ventes internationales de pétrole </w:t>
      </w:r>
      <w:r w:rsidRPr="00E72418">
        <w:rPr>
          <w:lang w:val="en-US"/>
        </w:rPr>
        <w:t>(</w:t>
      </w:r>
      <w:r w:rsidRPr="00E72418">
        <w:rPr>
          <w:smallCaps/>
          <w:lang w:val="en-US"/>
        </w:rPr>
        <w:t>J. Schumacher, C. Trebesch</w:t>
      </w:r>
      <w:r w:rsidRPr="00E72418">
        <w:rPr>
          <w:lang w:val="en-US"/>
        </w:rPr>
        <w:t xml:space="preserve"> et </w:t>
      </w:r>
      <w:r w:rsidRPr="00E72418">
        <w:rPr>
          <w:smallCaps/>
          <w:lang w:val="en-US"/>
        </w:rPr>
        <w:t>H. Enderlein</w:t>
      </w:r>
      <w:r w:rsidRPr="00E72418">
        <w:rPr>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lang w:val="en-US"/>
        </w:rPr>
        <w:t xml:space="preserve">, </w:t>
      </w:r>
      <w:r w:rsidRPr="00E72418">
        <w:rPr>
          <w:i/>
          <w:szCs w:val="20"/>
          <w:lang w:val="en-US"/>
        </w:rPr>
        <w:t>op. cit.</w:t>
      </w:r>
      <w:r w:rsidRPr="00E72418">
        <w:rPr>
          <w:lang w:val="en-US"/>
        </w:rPr>
        <w:t>, p. 58)</w:t>
      </w:r>
      <w:r w:rsidRPr="00E72418">
        <w:t>.</w:t>
      </w:r>
    </w:p>
  </w:footnote>
  <w:footnote w:id="638">
    <w:p w14:paraId="74A88526" w14:textId="77777777" w:rsidR="0030147D" w:rsidRPr="00E72418" w:rsidRDefault="0030147D" w:rsidP="00B45C7B">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Proposition belge de résolution visant à limiter l’impact des « fonds vautours » sur l’allègement de la dette des pays du tiers-monde, développements, Sénat, </w:t>
      </w:r>
      <w:r w:rsidRPr="00E72418">
        <w:rPr>
          <w:i/>
          <w:szCs w:val="20"/>
        </w:rPr>
        <w:t>Doc. parl.</w:t>
      </w:r>
      <w:r w:rsidRPr="00E72418">
        <w:rPr>
          <w:szCs w:val="20"/>
        </w:rPr>
        <w:t xml:space="preserve">, sess. ex. 2007, doc. 4 244/1, p. 9. En croisant les informations, l’on peut relever qu’il s’agit d’une saisie signifiée en 2007 pour un montant de près de nonante millions d’euros (proposition de loi visant à sauvegarder la coopération au développement et l’allègement de la dette à la suite de l’intervention de fonds vautours, développements, Sénat, </w:t>
      </w:r>
      <w:r w:rsidRPr="00E72418">
        <w:rPr>
          <w:i/>
          <w:szCs w:val="20"/>
        </w:rPr>
        <w:t>Doc. parl.</w:t>
      </w:r>
      <w:r w:rsidRPr="00E72418">
        <w:rPr>
          <w:szCs w:val="20"/>
        </w:rPr>
        <w:t>, 2007-2008, doc. 4-482/1, p. 12).</w:t>
      </w:r>
    </w:p>
  </w:footnote>
  <w:footnote w:id="639">
    <w:p w14:paraId="0008F287" w14:textId="13E1F016" w:rsidR="0030147D" w:rsidRPr="00E72418" w:rsidRDefault="0030147D" w:rsidP="003160FD">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60.</w:t>
      </w:r>
    </w:p>
  </w:footnote>
  <w:footnote w:id="640">
    <w:p w14:paraId="40F82C87" w14:textId="10491ECC" w:rsidR="0030147D" w:rsidRPr="00E72418" w:rsidRDefault="0030147D" w:rsidP="00BF3391">
      <w:pPr>
        <w:pStyle w:val="Sansinterligne"/>
      </w:pPr>
      <w:r w:rsidRPr="00E72418">
        <w:rPr>
          <w:rStyle w:val="Appelnotedebasdep"/>
        </w:rPr>
        <w:footnoteRef/>
      </w:r>
      <w:r w:rsidRPr="00E72418">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7.</w:t>
      </w:r>
    </w:p>
  </w:footnote>
  <w:footnote w:id="641">
    <w:p w14:paraId="724CD1EC" w14:textId="1C39975A" w:rsidR="0030147D" w:rsidRPr="00E72418" w:rsidRDefault="0030147D" w:rsidP="00B45C7B">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w:t>
      </w:r>
      <w:r w:rsidRPr="00E72418">
        <w:rPr>
          <w:szCs w:val="20"/>
        </w:rPr>
        <w:t xml:space="preserve">M. </w:t>
      </w:r>
      <w:r w:rsidRPr="00E72418">
        <w:rPr>
          <w:rFonts w:cs="Times New Roman"/>
          <w:smallCaps/>
          <w:szCs w:val="24"/>
          <w:shd w:val="clear" w:color="auto" w:fill="FFFFFF"/>
          <w:lang w:val="en-US"/>
        </w:rPr>
        <w:t xml:space="preserve">Megliani, M., </w:t>
      </w:r>
      <w:r w:rsidRPr="00E72418">
        <w:rPr>
          <w:rFonts w:cs="Times New Roman"/>
          <w:i/>
          <w:szCs w:val="24"/>
          <w:shd w:val="clear" w:color="auto" w:fill="FFFFFF"/>
          <w:lang w:val="en-US"/>
        </w:rPr>
        <w:t>Sovereign Debt: Genesis, Restructuring, litigation</w:t>
      </w:r>
      <w:r w:rsidRPr="00E72418">
        <w:rPr>
          <w:rFonts w:cs="Times New Roman"/>
          <w:szCs w:val="24"/>
          <w:shd w:val="clear" w:color="auto" w:fill="FFFFFF"/>
          <w:lang w:val="en-US"/>
        </w:rPr>
        <w:t xml:space="preserve">, </w:t>
      </w:r>
      <w:r w:rsidRPr="00E72418">
        <w:rPr>
          <w:rFonts w:cs="Times New Roman"/>
          <w:i/>
          <w:szCs w:val="24"/>
          <w:shd w:val="clear" w:color="auto" w:fill="FFFFFF"/>
          <w:lang w:val="en-US"/>
        </w:rPr>
        <w:t>op. cit.</w:t>
      </w:r>
      <w:r w:rsidRPr="00E72418">
        <w:rPr>
          <w:rFonts w:cs="Times New Roman"/>
          <w:szCs w:val="24"/>
          <w:shd w:val="clear" w:color="auto" w:fill="FFFFFF"/>
          <w:lang w:val="en-US"/>
        </w:rPr>
        <w:t>, p. 509.</w:t>
      </w:r>
    </w:p>
  </w:footnote>
  <w:footnote w:id="642">
    <w:p w14:paraId="76FB2696" w14:textId="39FC61FC" w:rsidR="0030147D" w:rsidRPr="00E72418" w:rsidRDefault="0030147D" w:rsidP="009703B6">
      <w:pPr>
        <w:pStyle w:val="Sansinterligne"/>
      </w:pPr>
      <w:r w:rsidRPr="00E72418">
        <w:rPr>
          <w:rStyle w:val="Appelnotedebasdep"/>
        </w:rPr>
        <w:footnoteRef/>
      </w:r>
      <w:r w:rsidRPr="00E72418">
        <w:t xml:space="preserve"> Sur l’acquisition par les fonds spéculatifs de décisions judiciaires, voyez </w:t>
      </w:r>
      <w:r w:rsidRPr="00E72418">
        <w:rPr>
          <w:i/>
        </w:rPr>
        <w:t>infra</w:t>
      </w:r>
      <w:r w:rsidRPr="00E72418">
        <w:t xml:space="preserve"> n° 135.</w:t>
      </w:r>
    </w:p>
  </w:footnote>
  <w:footnote w:id="643">
    <w:p w14:paraId="081E4360" w14:textId="247A9376" w:rsidR="0030147D" w:rsidRPr="00E72418" w:rsidRDefault="0030147D" w:rsidP="006A4135">
      <w:pPr>
        <w:pStyle w:val="Sansinterligne"/>
        <w:rPr>
          <w:szCs w:val="20"/>
        </w:rPr>
      </w:pPr>
      <w:r w:rsidRPr="00E72418">
        <w:rPr>
          <w:rStyle w:val="Appelnotedebasdep"/>
          <w:szCs w:val="20"/>
        </w:rPr>
        <w:footnoteRef/>
      </w:r>
      <w:r w:rsidRPr="00E72418">
        <w:rPr>
          <w:szCs w:val="20"/>
        </w:rPr>
        <w:t xml:space="preserve"> High Court of Justice (RU), 26 novembre 2009, </w:t>
      </w:r>
      <w:r w:rsidRPr="00E72418">
        <w:rPr>
          <w:i/>
          <w:szCs w:val="20"/>
        </w:rPr>
        <w:t>Hamsah Investments Ltd. &amp; Anor v. The Republic of Liberia</w:t>
      </w:r>
      <w:r w:rsidRPr="00E72418">
        <w:rPr>
          <w:szCs w:val="20"/>
        </w:rPr>
        <w:t xml:space="preserve">, case n° 2008/587, inédit, cité in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8.</w:t>
      </w:r>
    </w:p>
  </w:footnote>
  <w:footnote w:id="644">
    <w:p w14:paraId="0C0B65B6" w14:textId="77777777" w:rsidR="0030147D" w:rsidRPr="00E72418" w:rsidRDefault="0030147D" w:rsidP="00B45C7B">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Propos de Sally Keeble repris in House of Commons, </w:t>
      </w:r>
      <w:r w:rsidRPr="00E72418">
        <w:rPr>
          <w:i/>
          <w:szCs w:val="20"/>
          <w:lang w:val="en-US"/>
        </w:rPr>
        <w:t>Debt Relief (Developing Countries) Bill</w:t>
      </w:r>
      <w:r w:rsidRPr="00E72418">
        <w:rPr>
          <w:szCs w:val="20"/>
          <w:lang w:val="en-US"/>
        </w:rPr>
        <w:t>, second reading, 26 février 2010, vol. 506, colonne 561.</w:t>
      </w:r>
    </w:p>
  </w:footnote>
  <w:footnote w:id="645">
    <w:p w14:paraId="2C49B48F" w14:textId="34474EBB" w:rsidR="0030147D" w:rsidRPr="00E72418" w:rsidRDefault="0030147D" w:rsidP="00B45C7B">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17.</w:t>
      </w:r>
    </w:p>
  </w:footnote>
  <w:footnote w:id="646">
    <w:p w14:paraId="22A0A9B1" w14:textId="59C72965" w:rsidR="0030147D" w:rsidRPr="00E72418" w:rsidRDefault="0030147D" w:rsidP="00B45C7B">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w:t>
      </w:r>
      <w:r w:rsidRPr="00E72418">
        <w:rPr>
          <w:smallCaps/>
          <w:szCs w:val="20"/>
          <w:lang w:val="en-US"/>
        </w:rPr>
        <w:t>A. Horne</w:t>
      </w:r>
      <w:r w:rsidRPr="00E72418">
        <w:rPr>
          <w:szCs w:val="20"/>
          <w:lang w:val="en-US"/>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lang w:val="en-US"/>
        </w:rPr>
        <w:t>, p. 9.</w:t>
      </w:r>
    </w:p>
  </w:footnote>
  <w:footnote w:id="647">
    <w:p w14:paraId="089AB9AE" w14:textId="4246D432" w:rsidR="0030147D" w:rsidRPr="00E72418" w:rsidRDefault="0030147D" w:rsidP="00490BBB">
      <w:pPr>
        <w:pStyle w:val="Sansinterligne"/>
        <w:rPr>
          <w:szCs w:val="20"/>
          <w:lang w:val="en-US"/>
        </w:rPr>
      </w:pPr>
      <w:r w:rsidRPr="00E72418">
        <w:rPr>
          <w:rStyle w:val="Appelnotedebasdep"/>
          <w:szCs w:val="20"/>
        </w:rPr>
        <w:footnoteRef/>
      </w:r>
      <w:r w:rsidRPr="00E72418">
        <w:rPr>
          <w:szCs w:val="20"/>
          <w:lang w:val="en-US"/>
        </w:rPr>
        <w:t xml:space="preserve"> Second Delegated Legislation Committee, </w:t>
      </w:r>
      <w:r w:rsidRPr="00E72418">
        <w:rPr>
          <w:i/>
          <w:szCs w:val="20"/>
          <w:lang w:val="en-US"/>
        </w:rPr>
        <w:t>Debt Relief (Developing Countries) Act 2010 (Permanent Effect) Order 2011</w:t>
      </w:r>
      <w:r w:rsidRPr="00E72418">
        <w:rPr>
          <w:szCs w:val="20"/>
          <w:lang w:val="en-US"/>
        </w:rPr>
        <w:t xml:space="preserve">, 16 mai 2011, colonne 4. Sur cette législation, voyez </w:t>
      </w:r>
      <w:r w:rsidRPr="00E72418">
        <w:rPr>
          <w:i/>
          <w:szCs w:val="20"/>
          <w:lang w:val="en-US"/>
        </w:rPr>
        <w:t xml:space="preserve">infra </w:t>
      </w:r>
      <w:r w:rsidRPr="00E72418">
        <w:rPr>
          <w:szCs w:val="20"/>
          <w:lang w:val="en-US"/>
        </w:rPr>
        <w:t>n</w:t>
      </w:r>
      <w:r w:rsidRPr="00E72418">
        <w:rPr>
          <w:szCs w:val="20"/>
          <w:vertAlign w:val="superscript"/>
          <w:lang w:val="en-US"/>
        </w:rPr>
        <w:t>os</w:t>
      </w:r>
      <w:r w:rsidRPr="00E72418">
        <w:rPr>
          <w:szCs w:val="20"/>
          <w:lang w:val="en-US"/>
        </w:rPr>
        <w:t xml:space="preserve"> 304 et suiv.</w:t>
      </w:r>
    </w:p>
  </w:footnote>
  <w:footnote w:id="648">
    <w:p w14:paraId="32D1FB8A" w14:textId="75EBE56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61.</w:t>
      </w:r>
    </w:p>
  </w:footnote>
  <w:footnote w:id="649">
    <w:p w14:paraId="4A7D81CE" w14:textId="0C1CEC48" w:rsidR="0030147D" w:rsidRPr="00E72418" w:rsidRDefault="0030147D" w:rsidP="00B147F2">
      <w:pPr>
        <w:pStyle w:val="Sansinterligne"/>
      </w:pPr>
      <w:r w:rsidRPr="00E72418">
        <w:rPr>
          <w:rStyle w:val="Appelnotedebasdep"/>
        </w:rPr>
        <w:footnoteRef/>
      </w:r>
      <w:r w:rsidRPr="00E72418">
        <w:t xml:space="preserve"> United States District Court for the Southern District of New York, 26 avril 2000, </w:t>
      </w:r>
      <w:r w:rsidRPr="00E72418">
        <w:rPr>
          <w:i/>
        </w:rPr>
        <w:t>LNC Investments Inc. v. Republic of Nicaragua,</w:t>
      </w:r>
      <w:r w:rsidRPr="00E72418">
        <w:t xml:space="preserve"> 115 F. Supp. 2d 358, p. 360.</w:t>
      </w:r>
    </w:p>
  </w:footnote>
  <w:footnote w:id="650">
    <w:p w14:paraId="3CABA0DE" w14:textId="147EDE4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651">
    <w:p w14:paraId="1F474648" w14:textId="2C5A4E1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652">
    <w:p w14:paraId="5A4938FC" w14:textId="5587A2B5" w:rsidR="0030147D" w:rsidRPr="00E72418" w:rsidRDefault="0030147D" w:rsidP="00E029BE">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19 février 1999, </w:t>
      </w:r>
      <w:r w:rsidRPr="00E72418">
        <w:rPr>
          <w:i/>
          <w:szCs w:val="20"/>
          <w:lang w:val="en-US"/>
        </w:rPr>
        <w:t>LNC</w:t>
      </w:r>
      <w:r w:rsidRPr="00E72418">
        <w:rPr>
          <w:szCs w:val="20"/>
          <w:lang w:val="en-US"/>
        </w:rPr>
        <w:t xml:space="preserve"> </w:t>
      </w:r>
      <w:r w:rsidRPr="00E72418">
        <w:rPr>
          <w:i/>
          <w:szCs w:val="20"/>
          <w:lang w:val="en-US"/>
        </w:rPr>
        <w:t>Investments Inc. v. Republic of Nicaragua</w:t>
      </w:r>
      <w:r w:rsidRPr="00E72418">
        <w:rPr>
          <w:rStyle w:val="injectednode"/>
          <w:szCs w:val="20"/>
          <w:lang w:val="en-US"/>
        </w:rPr>
        <w:t>, 1999 WL 92603.</w:t>
      </w:r>
    </w:p>
  </w:footnote>
  <w:footnote w:id="653">
    <w:p w14:paraId="291858AC" w14:textId="75FB3105" w:rsidR="0030147D" w:rsidRPr="00E72418" w:rsidRDefault="0030147D" w:rsidP="00980ACA">
      <w:pPr>
        <w:pStyle w:val="Sansinterligne"/>
      </w:pPr>
      <w:r w:rsidRPr="00E72418">
        <w:rPr>
          <w:rStyle w:val="Appelnotedebasdep"/>
        </w:rPr>
        <w:footnoteRef/>
      </w:r>
      <w:r w:rsidRPr="00E72418">
        <w:t xml:space="preserve"> United States District Court for the Southern District of New York (EUA), 26 avril 2000, </w:t>
      </w:r>
      <w:r w:rsidRPr="00E72418">
        <w:rPr>
          <w:i/>
        </w:rPr>
        <w:t>LNC Investments Inc. v. Republic of Nicaragua</w:t>
      </w:r>
      <w:r w:rsidRPr="00E72418">
        <w:t>, 115 F. Supp. 2d 358, p. 361.</w:t>
      </w:r>
    </w:p>
  </w:footnote>
  <w:footnote w:id="654">
    <w:p w14:paraId="51255FF8" w14:textId="518D0F9E" w:rsidR="0030147D" w:rsidRPr="00E72418" w:rsidRDefault="0030147D" w:rsidP="003C2491">
      <w:pPr>
        <w:pStyle w:val="Sansinterligne"/>
        <w:rPr>
          <w:lang w:val="en-US"/>
        </w:rPr>
      </w:pPr>
      <w:r w:rsidRPr="00E72418">
        <w:rPr>
          <w:rStyle w:val="Appelnotedebasdep"/>
        </w:rPr>
        <w:footnoteRef/>
      </w:r>
      <w:r w:rsidRPr="00E72418">
        <w:t xml:space="preserve"> La juridiction new-yorkaise saisie fit sien l’argument selon lequel « because taxation is a uniquely governmental activity in which private persons cannot and do not engage, tax revenues are non-commercial in nature and the tax obligations of the Airlines to the Republic are non-commercial property immune from execution and attachment under the FSIA »</w:t>
      </w:r>
      <w:r w:rsidRPr="00E72418">
        <w:rPr>
          <w:lang w:val="en-US"/>
        </w:rPr>
        <w:t xml:space="preserve"> (United States District Court for the Southern District of New York (EUA), 8 juin 2000, </w:t>
      </w:r>
      <w:r w:rsidRPr="00E72418">
        <w:rPr>
          <w:i/>
          <w:lang w:val="en-US"/>
        </w:rPr>
        <w:t>LNC Investments., Inc. v. The Republic of Nicaragua</w:t>
      </w:r>
      <w:r w:rsidRPr="00E72418">
        <w:rPr>
          <w:rStyle w:val="injectednode"/>
          <w:lang w:val="en-US"/>
        </w:rPr>
        <w:t xml:space="preserve">, </w:t>
      </w:r>
      <w:r w:rsidRPr="00E72418">
        <w:rPr>
          <w:lang w:val="en-US"/>
        </w:rPr>
        <w:t xml:space="preserve">2000 WL 745550, paragraphe 5). Sur l’immunité souveraine dont ici question, voyez </w:t>
      </w:r>
      <w:r w:rsidRPr="00E72418">
        <w:rPr>
          <w:i/>
          <w:lang w:val="en-US"/>
        </w:rPr>
        <w:t>infra</w:t>
      </w:r>
      <w:r w:rsidRPr="00E72418">
        <w:rPr>
          <w:lang w:val="en-US"/>
        </w:rPr>
        <w:t xml:space="preserve"> n</w:t>
      </w:r>
      <w:r w:rsidRPr="00E72418">
        <w:rPr>
          <w:vertAlign w:val="superscript"/>
          <w:lang w:val="en-US"/>
        </w:rPr>
        <w:t>os</w:t>
      </w:r>
      <w:r w:rsidRPr="00E72418">
        <w:rPr>
          <w:lang w:val="en-US"/>
        </w:rPr>
        <w:t xml:space="preserve"> 200 et suiv.</w:t>
      </w:r>
    </w:p>
  </w:footnote>
  <w:footnote w:id="655">
    <w:p w14:paraId="5AC4EAA5" w14:textId="5B3CBCE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Fonts w:ascii="Times New Roman" w:hAnsi="Times New Roman" w:cs="Times New Roman"/>
          <w:szCs w:val="20"/>
          <w:lang w:val="en-US"/>
        </w:rPr>
        <w:t xml:space="preserve">United States District Court for the Southern District of New York (EUA), 26 avril 2000, </w:t>
      </w:r>
      <w:r w:rsidRPr="00E72418">
        <w:rPr>
          <w:i/>
          <w:szCs w:val="20"/>
          <w:lang w:val="en-US"/>
        </w:rPr>
        <w:t>LNC Investments Inc. v. Republic of Nicaragua</w:t>
      </w:r>
      <w:r w:rsidRPr="00E72418">
        <w:rPr>
          <w:rFonts w:ascii="Times New Roman" w:hAnsi="Times New Roman" w:cs="Times New Roman"/>
          <w:szCs w:val="20"/>
          <w:lang w:val="en-US"/>
        </w:rPr>
        <w:t xml:space="preserve">, </w:t>
      </w:r>
      <w:r w:rsidRPr="00E72418">
        <w:rPr>
          <w:rFonts w:ascii="Times New Roman" w:hAnsi="Times New Roman" w:cs="Times New Roman"/>
          <w:szCs w:val="20"/>
        </w:rPr>
        <w:t>115 F. Supp. 2d 358 (c</w:t>
      </w:r>
      <w:r w:rsidRPr="00E72418">
        <w:rPr>
          <w:rFonts w:ascii="Times New Roman" w:hAnsi="Times New Roman" w:cs="Times New Roman"/>
          <w:szCs w:val="20"/>
          <w:lang w:val="en-US"/>
        </w:rPr>
        <w:t xml:space="preserve">ette décision fut confirmée </w:t>
      </w:r>
      <w:r w:rsidRPr="00E72418">
        <w:rPr>
          <w:rFonts w:cs="Times New Roman"/>
          <w:szCs w:val="20"/>
          <w:lang w:val="en-US"/>
        </w:rPr>
        <w:t xml:space="preserve">en appel, voyez </w:t>
      </w:r>
      <w:r w:rsidRPr="00E72418">
        <w:rPr>
          <w:rFonts w:ascii="Times New Roman" w:hAnsi="Times New Roman" w:cs="Times New Roman"/>
          <w:szCs w:val="20"/>
          <w:shd w:val="clear" w:color="auto" w:fill="FFFFFF"/>
        </w:rPr>
        <w:t>United States Court of Appeals for the Second Circuit (EUA)</w:t>
      </w:r>
      <w:r w:rsidRPr="00E72418">
        <w:rPr>
          <w:rFonts w:cs="Times New Roman"/>
          <w:szCs w:val="20"/>
          <w:shd w:val="clear" w:color="auto" w:fill="FFFFFF"/>
        </w:rPr>
        <w:t xml:space="preserve">, </w:t>
      </w:r>
      <w:r w:rsidRPr="00E72418">
        <w:rPr>
          <w:rFonts w:ascii="Times New Roman" w:hAnsi="Times New Roman" w:cs="Times New Roman"/>
          <w:szCs w:val="20"/>
          <w:shd w:val="clear" w:color="auto" w:fill="FFFFFF"/>
        </w:rPr>
        <w:t xml:space="preserve">20 septembre 2000, </w:t>
      </w:r>
      <w:r w:rsidRPr="00E72418">
        <w:rPr>
          <w:rFonts w:ascii="Times New Roman" w:hAnsi="Times New Roman" w:cs="Times New Roman"/>
          <w:i/>
          <w:szCs w:val="20"/>
        </w:rPr>
        <w:t xml:space="preserve">LNC Investments, Inc. v. </w:t>
      </w:r>
      <w:r w:rsidRPr="00E72418">
        <w:rPr>
          <w:rFonts w:cs="Times New Roman"/>
          <w:i/>
          <w:szCs w:val="20"/>
        </w:rPr>
        <w:t>Banco central de Nicaragua</w:t>
      </w:r>
      <w:r w:rsidRPr="00E72418">
        <w:rPr>
          <w:rFonts w:cs="Times New Roman"/>
          <w:szCs w:val="20"/>
        </w:rPr>
        <w:t xml:space="preserve">, </w:t>
      </w:r>
      <w:r w:rsidRPr="00E72418">
        <w:rPr>
          <w:rFonts w:ascii="Times New Roman" w:hAnsi="Times New Roman" w:cs="Times New Roman"/>
          <w:szCs w:val="20"/>
        </w:rPr>
        <w:t>228 F.3d 423).</w:t>
      </w:r>
      <w:r w:rsidRPr="00E72418">
        <w:rPr>
          <w:szCs w:val="20"/>
          <w:lang w:val="en-US"/>
        </w:rPr>
        <w:t xml:space="preserve"> Sur les saisies d’avoirs des banques centrales,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235 et suiv.</w:t>
      </w:r>
    </w:p>
  </w:footnote>
  <w:footnote w:id="656">
    <w:p w14:paraId="4F6AB121" w14:textId="55BA9CFD" w:rsidR="0030147D" w:rsidRPr="00E72418" w:rsidRDefault="0030147D" w:rsidP="008D3CB3">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infra</w:t>
      </w:r>
      <w:r w:rsidRPr="00E72418">
        <w:rPr>
          <w:szCs w:val="20"/>
          <w:lang w:val="en-US"/>
        </w:rPr>
        <w:t xml:space="preserve"> n° 181.</w:t>
      </w:r>
    </w:p>
  </w:footnote>
  <w:footnote w:id="657">
    <w:p w14:paraId="4B1A1C20" w14:textId="67A7072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pp. 14 et 15. Julian Schumacher</w:t>
      </w:r>
      <w:r w:rsidRPr="00E72418">
        <w:rPr>
          <w:rFonts w:ascii="Times New Roman" w:hAnsi="Times New Roman"/>
          <w:i/>
        </w:rPr>
        <w:t xml:space="preserve"> et al. </w:t>
      </w:r>
      <w:r w:rsidRPr="00E72418">
        <w:rPr>
          <w:szCs w:val="20"/>
          <w:lang w:val="en-US"/>
        </w:rPr>
        <w:t xml:space="preserve">parlent ainsi de </w:t>
      </w:r>
      <w:r w:rsidRPr="00E72418">
        <w:rPr>
          <w:szCs w:val="20"/>
        </w:rPr>
        <w:t xml:space="preserve">« </w:t>
      </w:r>
      <w:r w:rsidRPr="00E72418">
        <w:rPr>
          <w:szCs w:val="20"/>
          <w:lang w:val="en-US"/>
        </w:rPr>
        <w:t xml:space="preserve">litigation failure </w:t>
      </w:r>
      <w:r w:rsidRPr="00E72418">
        <w:rPr>
          <w:szCs w:val="20"/>
        </w:rPr>
        <w:t>»</w:t>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61).</w:t>
      </w:r>
    </w:p>
  </w:footnote>
  <w:footnote w:id="658">
    <w:p w14:paraId="2FECC284" w14:textId="30780907" w:rsidR="0030147D" w:rsidRPr="00E72418" w:rsidRDefault="0030147D" w:rsidP="00B929D2">
      <w:pPr>
        <w:pStyle w:val="Sansinterligne"/>
        <w:rPr>
          <w:rFonts w:ascii="Times New Roman" w:hAnsi="Times New Roman" w:cs="Times New Roman"/>
        </w:rPr>
      </w:pPr>
      <w:r w:rsidRPr="00E72418">
        <w:rPr>
          <w:rStyle w:val="Appelnotedebasdep"/>
          <w:szCs w:val="20"/>
        </w:rPr>
        <w:footnoteRef/>
      </w:r>
      <w:r w:rsidRPr="00E72418">
        <w:t xml:space="preserve"> Parallèlement, le pays dut mettre en place d’importantes mesures d’austérité attentatoires à sa souveraineté (voyez notamment à ce sujet, </w:t>
      </w:r>
      <w:r w:rsidRPr="00E72418">
        <w:rPr>
          <w:smallCaps/>
        </w:rPr>
        <w:t>G. Dale</w:t>
      </w:r>
      <w:r w:rsidRPr="00E72418">
        <w:t xml:space="preserve"> et </w:t>
      </w:r>
      <w:r w:rsidRPr="00E72418">
        <w:rPr>
          <w:smallCaps/>
        </w:rPr>
        <w:t>N. El-Enany</w:t>
      </w:r>
      <w:r w:rsidRPr="00E72418">
        <w:t xml:space="preserve">, « The Limits of Social Europe: EU Law and the Ordoliberal Agenda », </w:t>
      </w:r>
      <w:r w:rsidRPr="00E72418">
        <w:rPr>
          <w:i/>
        </w:rPr>
        <w:t>German Law J.</w:t>
      </w:r>
      <w:r w:rsidRPr="00E72418">
        <w:t xml:space="preserve">, 2013, p. 628) et réductrices de dépenses en matière de droits humains (voyez notamment à ce sujet, K. </w:t>
      </w:r>
      <w:r w:rsidRPr="00E72418">
        <w:rPr>
          <w:rFonts w:cs="Times New Roman"/>
          <w:smallCaps/>
          <w:lang w:val="en-US"/>
        </w:rPr>
        <w:t>Housos</w:t>
      </w:r>
      <w:r w:rsidRPr="00E72418">
        <w:rPr>
          <w:rFonts w:cs="Times New Roman"/>
          <w:lang w:val="en-US"/>
        </w:rPr>
        <w:t xml:space="preserve">, « Austerity and Human Rights Law: Towards a Rights-Based Approach to Austerity Policy, a Case Study of Greece », </w:t>
      </w:r>
      <w:r w:rsidRPr="00E72418">
        <w:rPr>
          <w:rFonts w:ascii="Times New Roman" w:hAnsi="Times New Roman" w:cs="Times New Roman"/>
          <w:i/>
        </w:rPr>
        <w:t>Fordham Int. Law J.</w:t>
      </w:r>
      <w:r w:rsidRPr="00E72418">
        <w:rPr>
          <w:rFonts w:cs="Times New Roman"/>
          <w:lang w:val="en-US"/>
        </w:rPr>
        <w:t>, 2015, p. 427. L’auteure rappelle que les mesures ayant un impact négatif sur les droits humains se doivent d’être nécessaires, proportionnées, raisonnables et non-discriminatoire (</w:t>
      </w:r>
      <w:r w:rsidRPr="00E72418">
        <w:rPr>
          <w:rFonts w:cs="Times New Roman"/>
          <w:i/>
          <w:lang w:val="en-US"/>
        </w:rPr>
        <w:t>ibid.</w:t>
      </w:r>
      <w:r w:rsidRPr="00E72418">
        <w:rPr>
          <w:rFonts w:cs="Times New Roman"/>
          <w:lang w:val="en-US"/>
        </w:rPr>
        <w:t>, pp. 445 et 446)).</w:t>
      </w:r>
    </w:p>
  </w:footnote>
  <w:footnote w:id="659">
    <w:p w14:paraId="28EF20AA" w14:textId="3F1F35FC" w:rsidR="0030147D" w:rsidRPr="00E72418" w:rsidRDefault="0030147D" w:rsidP="00483BE2">
      <w:pPr>
        <w:pStyle w:val="Sansinterligne"/>
        <w:rPr>
          <w:rFonts w:ascii="Times New Roman" w:hAnsi="Times New Roman" w:cs="Times New Roman"/>
          <w:szCs w:val="24"/>
        </w:rPr>
      </w:pPr>
      <w:r w:rsidRPr="00E72418">
        <w:rPr>
          <w:rStyle w:val="Titre4Car"/>
          <w:rFonts w:ascii="Times" w:eastAsiaTheme="minorHAnsi" w:hAnsi="Times" w:cstheme="minorBidi"/>
          <w:i w:val="0"/>
          <w:iCs w:val="0"/>
          <w:color w:val="auto"/>
          <w:szCs w:val="20"/>
          <w:vertAlign w:val="superscript"/>
        </w:rPr>
        <w:footnoteRef/>
      </w:r>
      <w:r w:rsidRPr="00E72418">
        <w:t xml:space="preserve"> Voyez la loi n° 4050/2012 intitulée « Règles relatives à la modification des titres émis ou garantis par l’État grec avec l’accord des porteurs d’obligations ». Cette loi reçut souvent le sobriquet de « mopping-up law » développé par Lee Buchheit et Mitu Gulati (voyez notamment L. </w:t>
      </w:r>
      <w:r w:rsidRPr="00E72418">
        <w:rPr>
          <w:smallCaps/>
        </w:rPr>
        <w:t>Buchheit</w:t>
      </w:r>
      <w:r w:rsidRPr="00E72418">
        <w:t xml:space="preserve"> et M. </w:t>
      </w:r>
      <w:r w:rsidRPr="00E72418">
        <w:rPr>
          <w:smallCaps/>
        </w:rPr>
        <w:t>Gulati</w:t>
      </w:r>
      <w:r w:rsidRPr="00E72418">
        <w:t xml:space="preserve">, « Restructuring a nation’s debt », </w:t>
      </w:r>
      <w:r w:rsidRPr="00E72418">
        <w:rPr>
          <w:rFonts w:ascii="Times New Roman" w:hAnsi="Times New Roman" w:cs="Times New Roman"/>
          <w:i/>
        </w:rPr>
        <w:t>Int. Fin. Law Rev.</w:t>
      </w:r>
      <w:r w:rsidRPr="00E72418">
        <w:t>, juin 2010, p. 49). En 2018, la Barbade fit, d’une façon similaire, usage de sa loi nationale pour permettre une restructuration (</w:t>
      </w:r>
      <w:r w:rsidRPr="00E72418">
        <w:rPr>
          <w:rFonts w:ascii="Times New Roman" w:hAnsi="Times New Roman" w:cs="Times New Roman"/>
          <w:szCs w:val="24"/>
        </w:rPr>
        <w:t xml:space="preserve">Fonds monétaire international, </w:t>
      </w:r>
      <w:r w:rsidRPr="00E72418">
        <w:rPr>
          <w:rFonts w:ascii="Times New Roman" w:hAnsi="Times New Roman" w:cs="Times New Roman"/>
          <w:i/>
          <w:szCs w:val="24"/>
        </w:rPr>
        <w:t>The international architecture for resolving sovereign debt involving private-sector creditors – Recent developments, challenges, and reform options</w:t>
      </w:r>
      <w:r w:rsidRPr="00E72418">
        <w:rPr>
          <w:rFonts w:ascii="Times New Roman" w:hAnsi="Times New Roman" w:cs="Times New Roman"/>
          <w:szCs w:val="24"/>
        </w:rPr>
        <w:t>, 23 septembre 2020, p. 20</w:t>
      </w:r>
      <w:r w:rsidRPr="00E72418">
        <w:t xml:space="preserve">). Notons encore qu’une proposition de législation new-yorkaise introduite en 2021 par le sénateur Gustavo Rivera emprunte la même logique en permettant qu’une majorité de créanciers puisse engager les autres dans la voie de la restructuration. De la même manière, le texte new-yorkais a vocation à opérer rétroactivement (sur cette proposition, voyez </w:t>
      </w:r>
      <w:r w:rsidRPr="00E72418">
        <w:rPr>
          <w:i/>
        </w:rPr>
        <w:t>infra</w:t>
      </w:r>
      <w:r w:rsidRPr="00E72418">
        <w:t xml:space="preserve"> n° 278). Sur les clauses d’action collective, voyez </w:t>
      </w:r>
      <w:r w:rsidRPr="00E72418">
        <w:rPr>
          <w:i/>
        </w:rPr>
        <w:t>infra</w:t>
      </w:r>
      <w:r w:rsidRPr="00E72418">
        <w:t xml:space="preserve"> n</w:t>
      </w:r>
      <w:r w:rsidRPr="00E72418">
        <w:rPr>
          <w:vertAlign w:val="superscript"/>
        </w:rPr>
        <w:t>os</w:t>
      </w:r>
      <w:r w:rsidRPr="00E72418">
        <w:t xml:space="preserve"> 282 et suiv.</w:t>
      </w:r>
    </w:p>
  </w:footnote>
  <w:footnote w:id="660">
    <w:p w14:paraId="78C4E402" w14:textId="3344DE4C" w:rsidR="0030147D" w:rsidRPr="00E72418" w:rsidRDefault="0030147D" w:rsidP="00715F91">
      <w:pPr>
        <w:pStyle w:val="Sansinterligne"/>
        <w:tabs>
          <w:tab w:val="left" w:pos="4395"/>
        </w:tabs>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En offrant par l’introduction d’une clause d’action collective la possibilité aux créanciers de modifier le régime de la dette, l’État grec eut l’intelligence subtile de ne pas faire apparaître la perte ainsi encourue comme découlant d’un acte de puissance publique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xml:space="preserve">, n° 61. Les auteurs font valoir que cette subtilité apparut décisive dans l’affaire </w:t>
      </w:r>
      <w:r w:rsidRPr="00E72418">
        <w:rPr>
          <w:i/>
          <w:szCs w:val="20"/>
        </w:rPr>
        <w:t>Fahnbrock c. République hellénique</w:t>
      </w:r>
      <w:r w:rsidRPr="00E72418">
        <w:rPr>
          <w:szCs w:val="20"/>
        </w:rPr>
        <w:t xml:space="preserve"> soumise à la Cour de Justice de l’Union européenne (C.J.U.E., 11 juin 2015, </w:t>
      </w:r>
      <w:r w:rsidRPr="00E72418">
        <w:rPr>
          <w:i/>
          <w:szCs w:val="20"/>
        </w:rPr>
        <w:t>Fahnenbrock c. République hellénique</w:t>
      </w:r>
      <w:r w:rsidRPr="00E72418">
        <w:rPr>
          <w:szCs w:val="20"/>
        </w:rPr>
        <w:t>, arrêt, affaires jointes n</w:t>
      </w:r>
      <w:r w:rsidRPr="00E72418">
        <w:rPr>
          <w:szCs w:val="20"/>
          <w:vertAlign w:val="superscript"/>
        </w:rPr>
        <w:t>os</w:t>
      </w:r>
      <w:r w:rsidRPr="00E72418">
        <w:rPr>
          <w:szCs w:val="20"/>
        </w:rPr>
        <w:t xml:space="preserve"> C-226/13, C-245/13, 247/13 et 578/13). Sur cette affaire, voyez </w:t>
      </w:r>
      <w:r w:rsidRPr="00E72418">
        <w:rPr>
          <w:i/>
          <w:szCs w:val="20"/>
        </w:rPr>
        <w:t>infra</w:t>
      </w:r>
      <w:r w:rsidRPr="00E72418">
        <w:rPr>
          <w:szCs w:val="20"/>
        </w:rPr>
        <w:t xml:space="preserve"> n° 215). </w:t>
      </w:r>
      <w:r w:rsidRPr="00E72418">
        <w:t>Cette subtilité n’empêcha toutefois pas la contestation de cette législation devant la Cour européenne des droits de l’homme par certains créanciers de la République hellénique au motif que l’échange de leurs titres, imposé par la loi n° 4050/2012, constituait une atteinte à leur propriété (</w:t>
      </w:r>
      <w:r w:rsidRPr="00E72418">
        <w:rPr>
          <w:rStyle w:val="s7d2086b4"/>
          <w:szCs w:val="20"/>
        </w:rPr>
        <w:t xml:space="preserve">Cour eur. D. H., 21 juillet 2016, </w:t>
      </w:r>
      <w:r w:rsidRPr="00E72418">
        <w:rPr>
          <w:rStyle w:val="s7d2086b4"/>
          <w:i/>
          <w:szCs w:val="20"/>
        </w:rPr>
        <w:t>Mamatas et autres c. Grèce</w:t>
      </w:r>
      <w:r w:rsidRPr="00E72418">
        <w:rPr>
          <w:rStyle w:val="s7d2086b4"/>
          <w:szCs w:val="20"/>
        </w:rPr>
        <w:t xml:space="preserve">, arrêt, </w:t>
      </w:r>
      <w:r w:rsidRPr="00E72418">
        <w:rPr>
          <w:szCs w:val="20"/>
        </w:rPr>
        <w:t>requêtes n</w:t>
      </w:r>
      <w:r w:rsidRPr="00E72418">
        <w:rPr>
          <w:szCs w:val="20"/>
          <w:vertAlign w:val="superscript"/>
        </w:rPr>
        <w:t>os</w:t>
      </w:r>
      <w:r w:rsidRPr="00E72418">
        <w:rPr>
          <w:szCs w:val="20"/>
        </w:rPr>
        <w:t xml:space="preserve"> 63066/14, 64297/14 et 66106/14)</w:t>
      </w:r>
      <w:r w:rsidRPr="00E72418">
        <w:t>. De l’avis de la juridiction strasbourgeoise, si ingérence dans leur droit au respect de leurs biens il y avait, « les mesures en cause ne sauraient être considérées comme disproportionnées à leur but légitime » au motif notamment que « la Grèce, en prenant les mesures litigieuses, n’a pas a rompu le juste équilibre entre l’intérêt général et la protection des droits de propriété des requérants et qu’elle n’a pas fait subir aux intéressés une charge spéciale excessive » (</w:t>
      </w:r>
      <w:r w:rsidRPr="00E72418">
        <w:rPr>
          <w:i/>
        </w:rPr>
        <w:t>ibid</w:t>
      </w:r>
      <w:r w:rsidRPr="00E72418">
        <w:t>., paragraphes 119 et 120).</w:t>
      </w:r>
    </w:p>
  </w:footnote>
  <w:footnote w:id="661">
    <w:p w14:paraId="74BBAB76" w14:textId="5D0DA214" w:rsidR="0030147D" w:rsidRPr="00E72418" w:rsidRDefault="0030147D" w:rsidP="007B3796">
      <w:pPr>
        <w:pStyle w:val="Sansinterligne"/>
      </w:pPr>
      <w:r w:rsidRPr="00E72418">
        <w:rPr>
          <w:rStyle w:val="Appelnotedebasdep"/>
        </w:rPr>
        <w:footnoteRef/>
      </w:r>
      <w:r w:rsidRPr="00E72418">
        <w:t xml:space="preserve"> J. </w:t>
      </w:r>
      <w:r w:rsidRPr="00E72418">
        <w:rPr>
          <w:smallCaps/>
        </w:rPr>
        <w:t xml:space="preserve">Zettelmeyer, C. Trebesch </w:t>
      </w:r>
      <w:r w:rsidRPr="00E72418">
        <w:t xml:space="preserve">et M. </w:t>
      </w:r>
      <w:r w:rsidRPr="00E72418">
        <w:rPr>
          <w:smallCaps/>
        </w:rPr>
        <w:t>Gulati</w:t>
      </w:r>
      <w:r w:rsidRPr="00E72418">
        <w:t xml:space="preserve">, « The Greek debt restructuring: an autopsy », </w:t>
      </w:r>
      <w:r w:rsidRPr="00E72418">
        <w:rPr>
          <w:i/>
        </w:rPr>
        <w:t>op. cit.</w:t>
      </w:r>
      <w:r w:rsidRPr="00E72418">
        <w:t xml:space="preserve">, p. 525. Sur les spécificités entourant les clauses d’action collective, voyez </w:t>
      </w:r>
      <w:r w:rsidRPr="00E72418">
        <w:rPr>
          <w:i/>
        </w:rPr>
        <w:t>infra</w:t>
      </w:r>
      <w:r w:rsidRPr="00E72418">
        <w:t xml:space="preserve"> n</w:t>
      </w:r>
      <w:r w:rsidRPr="00E72418">
        <w:rPr>
          <w:vertAlign w:val="superscript"/>
        </w:rPr>
        <w:t>os</w:t>
      </w:r>
      <w:r w:rsidRPr="00E72418">
        <w:t xml:space="preserve"> 282 et suiv.</w:t>
      </w:r>
    </w:p>
  </w:footnote>
  <w:footnote w:id="662">
    <w:p w14:paraId="16DD53F8" w14:textId="35ACFB66" w:rsidR="0030147D" w:rsidRPr="00E72418" w:rsidRDefault="0030147D" w:rsidP="00D00250">
      <w:pPr>
        <w:pStyle w:val="Sansinterligne"/>
      </w:pPr>
      <w:r w:rsidRPr="00E72418">
        <w:rPr>
          <w:rStyle w:val="Appelnotedebasdep"/>
        </w:rPr>
        <w:footnoteRef/>
      </w:r>
      <w:r w:rsidRPr="00E72418">
        <w:t xml:space="preserve"> Près de nonante et un pour cent des obligations souveraines y étaient soumises (</w:t>
      </w:r>
      <w:r w:rsidRPr="00E72418">
        <w:rPr>
          <w:lang w:val="en-US"/>
        </w:rPr>
        <w:t xml:space="preserve">P. </w:t>
      </w:r>
      <w:r w:rsidRPr="00E72418">
        <w:rPr>
          <w:smallCaps/>
          <w:lang w:val="en-US"/>
        </w:rPr>
        <w:t>Wautelet</w:t>
      </w:r>
      <w:r w:rsidRPr="00E72418">
        <w:rPr>
          <w:lang w:val="en-US"/>
        </w:rPr>
        <w:t xml:space="preserve">, </w:t>
      </w:r>
      <w:r w:rsidRPr="00E72418">
        <w:t xml:space="preserve">« The Greek debt restructuring and property rights – A Greek tragedy for investors? », </w:t>
      </w:r>
      <w:r w:rsidRPr="00E72418">
        <w:rPr>
          <w:i/>
        </w:rPr>
        <w:t>op. cit.</w:t>
      </w:r>
      <w:r w:rsidRPr="00E72418">
        <w:t>, p. 907).</w:t>
      </w:r>
    </w:p>
  </w:footnote>
  <w:footnote w:id="663">
    <w:p w14:paraId="346C2128" w14:textId="79D8D013" w:rsidR="0030147D" w:rsidRPr="00E72418" w:rsidRDefault="0030147D" w:rsidP="006B37E3">
      <w:pPr>
        <w:pStyle w:val="Sansinterligne"/>
        <w:rPr>
          <w:rFonts w:ascii="Times New Roman" w:hAnsi="Times New Roman" w:cs="Times New Roman"/>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S. </w:t>
      </w:r>
      <w:r w:rsidRPr="00E72418">
        <w:rPr>
          <w:smallCaps/>
        </w:rPr>
        <w:t>Grund</w:t>
      </w:r>
      <w:r w:rsidRPr="00E72418">
        <w:t xml:space="preserve">, « The legal consequences of sovereign insolvency – A review of creditor litigation in Germany following the Greek debt restructuring », </w:t>
      </w:r>
      <w:r w:rsidRPr="00E72418">
        <w:rPr>
          <w:rFonts w:ascii="Times New Roman" w:hAnsi="Times New Roman" w:cs="Times New Roman"/>
          <w:i/>
          <w:szCs w:val="20"/>
          <w:lang w:val="en-US"/>
        </w:rPr>
        <w:t>Maastricht J. Eur. Comp. Law</w:t>
      </w:r>
      <w:r w:rsidRPr="00E72418">
        <w:t xml:space="preserve">, 2017, </w:t>
      </w:r>
      <w:r w:rsidRPr="00E72418">
        <w:rPr>
          <w:szCs w:val="20"/>
        </w:rPr>
        <w:t xml:space="preserve">pp. 405 et 406. Il apparaît également que des fonds spéculatifs avaient consolidé des positions de blocage empêchant la restructuration des obligations détenues par l’activation des clauses d’action collective (G. </w:t>
      </w:r>
      <w:r w:rsidRPr="00E72418">
        <w:rPr>
          <w:smallCaps/>
          <w:szCs w:val="20"/>
        </w:rPr>
        <w:t>Pavlidis</w:t>
      </w:r>
      <w:r w:rsidRPr="00E72418">
        <w:rPr>
          <w:szCs w:val="20"/>
        </w:rPr>
        <w:t>, « </w:t>
      </w:r>
      <w:r w:rsidRPr="00E72418">
        <w:rPr>
          <w:lang w:eastAsia="fr-BE"/>
        </w:rPr>
        <w:t xml:space="preserve">Vers une nouvelle génération de clauses dans les contrats d’émission d’obligations souveraines </w:t>
      </w:r>
      <w:r w:rsidRPr="00E72418">
        <w:rPr>
          <w:szCs w:val="20"/>
        </w:rPr>
        <w:t xml:space="preserve">», </w:t>
      </w:r>
      <w:r w:rsidRPr="00E72418">
        <w:rPr>
          <w:i/>
          <w:szCs w:val="20"/>
        </w:rPr>
        <w:t>op. cit.</w:t>
      </w:r>
      <w:r w:rsidRPr="00E72418">
        <w:rPr>
          <w:szCs w:val="20"/>
        </w:rPr>
        <w:t xml:space="preserve">, p. 106). Sur ces blocages, voyez </w:t>
      </w:r>
      <w:r w:rsidRPr="00E72418">
        <w:rPr>
          <w:i/>
          <w:szCs w:val="20"/>
        </w:rPr>
        <w:t>infra</w:t>
      </w:r>
      <w:r w:rsidRPr="00E72418">
        <w:rPr>
          <w:szCs w:val="20"/>
        </w:rPr>
        <w:t xml:space="preserve"> n° 290.</w:t>
      </w:r>
    </w:p>
  </w:footnote>
  <w:footnote w:id="664">
    <w:p w14:paraId="3340BBE5" w14:textId="54009878" w:rsidR="0030147D" w:rsidRPr="00E72418" w:rsidRDefault="0030147D" w:rsidP="003A381C">
      <w:pPr>
        <w:pStyle w:val="Sansinterligne"/>
        <w:rPr>
          <w:szCs w:val="20"/>
        </w:rPr>
      </w:pPr>
      <w:r w:rsidRPr="00E72418">
        <w:rPr>
          <w:rStyle w:val="Titre4Car"/>
          <w:rFonts w:ascii="Times" w:eastAsiaTheme="minorHAnsi" w:hAnsi="Times" w:cstheme="minorBidi"/>
          <w:i w:val="0"/>
          <w:iCs w:val="0"/>
          <w:color w:val="auto"/>
          <w:szCs w:val="20"/>
          <w:vertAlign w:val="superscript"/>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2017, pp. 30 et 31.</w:t>
      </w:r>
    </w:p>
  </w:footnote>
  <w:footnote w:id="665">
    <w:p w14:paraId="55751B27" w14:textId="7763B85E" w:rsidR="0030147D" w:rsidRPr="00E72418" w:rsidRDefault="0030147D" w:rsidP="003A381C">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J</w:t>
      </w:r>
      <w:r w:rsidRPr="00E72418">
        <w:rPr>
          <w:smallCaps/>
          <w:szCs w:val="20"/>
          <w:lang w:val="en-US"/>
        </w:rPr>
        <w:t>.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39. Quand les obligations rachetées par les fonds spéculatifs contenaient une clause d’action collective, ces créanciers </w:t>
      </w:r>
      <w:r w:rsidRPr="00E72418">
        <w:rPr>
          <w:szCs w:val="20"/>
        </w:rPr>
        <w:t>en accumulèrent suffisamment afin de constituer des minorités de blocage (</w:t>
      </w:r>
      <w:r w:rsidRPr="00E72418">
        <w:rPr>
          <w:smallCaps/>
          <w:szCs w:val="20"/>
          <w:lang w:val="en-US"/>
        </w:rPr>
        <w:t>M. Ryan</w:t>
      </w:r>
      <w:r w:rsidRPr="00E72418">
        <w:rPr>
          <w:szCs w:val="20"/>
          <w:lang w:val="en-US"/>
        </w:rPr>
        <w:t xml:space="preserve">, « Sovereign Bankruptcy: Why Now and Why Not in the IMF », </w:t>
      </w:r>
      <w:r w:rsidRPr="00E72418">
        <w:rPr>
          <w:i/>
          <w:szCs w:val="20"/>
          <w:lang w:val="en-US"/>
        </w:rPr>
        <w:t>Fordham Law Review</w:t>
      </w:r>
      <w:r w:rsidRPr="00E72418">
        <w:rPr>
          <w:szCs w:val="20"/>
          <w:lang w:val="en-US"/>
        </w:rPr>
        <w:t>, 2014, p. 2502).</w:t>
      </w:r>
    </w:p>
  </w:footnote>
  <w:footnote w:id="666">
    <w:p w14:paraId="089F94A4" w14:textId="491ECAB8" w:rsidR="0030147D" w:rsidRPr="00E72418" w:rsidRDefault="0030147D" w:rsidP="009078C6">
      <w:pPr>
        <w:pStyle w:val="Sansinterligne"/>
        <w:rPr>
          <w:szCs w:val="20"/>
        </w:rPr>
      </w:pPr>
      <w:r w:rsidRPr="00E72418">
        <w:rPr>
          <w:rStyle w:val="Appelnotedebasdep"/>
          <w:szCs w:val="20"/>
        </w:rPr>
        <w:footnoteRef/>
      </w:r>
      <w:r w:rsidRPr="00E72418">
        <w:rPr>
          <w:szCs w:val="20"/>
        </w:rPr>
        <w:t xml:space="preserve"> United States District Court for the Southern District of New York (EUA), 9 mai 1995, </w:t>
      </w:r>
      <w:r w:rsidRPr="00E72418">
        <w:rPr>
          <w:i/>
          <w:szCs w:val="20"/>
        </w:rPr>
        <w:t>CIBC Bank &amp; Trust Co. v. Banco Cent. do Brazil</w:t>
      </w:r>
      <w:r w:rsidRPr="00E72418">
        <w:rPr>
          <w:szCs w:val="20"/>
        </w:rPr>
        <w:t xml:space="preserve">, 886 F. Supp. 1105, p. 1107. </w:t>
      </w:r>
      <w:r w:rsidRPr="00E72418">
        <w:rPr>
          <w:rFonts w:ascii="Times New Roman" w:hAnsi="Times New Roman" w:cs="Times New Roman"/>
          <w:szCs w:val="20"/>
        </w:rPr>
        <w:t xml:space="preserve">La famille </w:t>
      </w:r>
      <w:r w:rsidRPr="00E72418">
        <w:rPr>
          <w:rFonts w:ascii="Times New Roman" w:hAnsi="Times New Roman" w:cs="Times New Roman"/>
          <w:i/>
          <w:szCs w:val="20"/>
        </w:rPr>
        <w:t>Dart</w:t>
      </w:r>
      <w:r w:rsidRPr="00E72418">
        <w:rPr>
          <w:rFonts w:ascii="Times New Roman" w:hAnsi="Times New Roman" w:cs="Times New Roman"/>
          <w:szCs w:val="20"/>
        </w:rPr>
        <w:t xml:space="preserve"> devint ainsi propriétaire de quatre pour cent de la dette externe du Brésil et son plus important créancier privé (</w:t>
      </w:r>
      <w:r w:rsidRPr="00E72418">
        <w:rPr>
          <w:szCs w:val="20"/>
          <w:lang w:val="en-US"/>
        </w:rPr>
        <w:t xml:space="preserve">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10).</w:t>
      </w:r>
    </w:p>
  </w:footnote>
  <w:footnote w:id="667">
    <w:p w14:paraId="0DE9995F" w14:textId="24147E97" w:rsidR="0030147D" w:rsidRPr="00E72418" w:rsidRDefault="0030147D" w:rsidP="0051444F">
      <w:pPr>
        <w:pStyle w:val="Sansinterligne"/>
      </w:pPr>
      <w:r w:rsidRPr="00E72418">
        <w:rPr>
          <w:rStyle w:val="Appelnotedebasdep"/>
        </w:rPr>
        <w:footnoteRef/>
      </w:r>
      <w:r w:rsidRPr="00E72418">
        <w:t xml:space="preserve"> Lors du contentieux tissé devant la </w:t>
      </w:r>
      <w:r w:rsidRPr="00735BBE">
        <w:t>United States District Court for the Southern District of New York</w:t>
      </w:r>
      <w:r w:rsidRPr="00E72418">
        <w:t xml:space="preserve">, les </w:t>
      </w:r>
      <w:r w:rsidRPr="00E72418">
        <w:rPr>
          <w:rFonts w:cs="Times New Roman"/>
          <w:szCs w:val="24"/>
        </w:rPr>
        <w:t>É</w:t>
      </w:r>
      <w:r w:rsidRPr="00E72418">
        <w:t xml:space="preserve">tats-Unis avaient affirmé leur préoccupation suivant laquelle, « [g]iven the emergence of a rapidly growing secondary market in sovereign debt, […] this lawsuit could unduly encourage other commercial creditors to try to extract through litigation concessions from sovereign debtors that they were not able to obtain through good faith negotiations » (Statement of Interest of the United States of America in Opposition to the First Amended Complaint, 8 septembre 1994, 1994 WL 16780549, p. 17). Sur la défense de la </w:t>
      </w:r>
      <w:r w:rsidRPr="00E72418">
        <w:rPr>
          <w:i/>
        </w:rPr>
        <w:t>champerty</w:t>
      </w:r>
      <w:r w:rsidRPr="00E72418">
        <w:t xml:space="preserve"> rencontrée dans le cadre du contentieux brésilien, voyez </w:t>
      </w:r>
      <w:r w:rsidRPr="00E72418">
        <w:rPr>
          <w:i/>
        </w:rPr>
        <w:t>infra</w:t>
      </w:r>
      <w:r w:rsidRPr="00E72418">
        <w:t xml:space="preserve"> n° 244.</w:t>
      </w:r>
    </w:p>
  </w:footnote>
  <w:footnote w:id="668">
    <w:p w14:paraId="6D161983" w14:textId="1E96F346" w:rsidR="0030147D" w:rsidRPr="00E72418" w:rsidRDefault="0030147D" w:rsidP="00CD4206">
      <w:pPr>
        <w:pStyle w:val="Sansinterligne"/>
        <w:rPr>
          <w:szCs w:val="20"/>
          <w:lang w:val="en-US"/>
        </w:rPr>
      </w:pPr>
      <w:r w:rsidRPr="00E72418">
        <w:rPr>
          <w:rStyle w:val="Titre4Car"/>
          <w:rFonts w:ascii="Times" w:eastAsiaTheme="minorHAnsi" w:hAnsi="Times" w:cstheme="minorBidi"/>
          <w:i w:val="0"/>
          <w:iCs w:val="0"/>
          <w:color w:val="auto"/>
          <w:szCs w:val="20"/>
          <w:vertAlign w:val="superscript"/>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7.</w:t>
      </w:r>
    </w:p>
  </w:footnote>
  <w:footnote w:id="669">
    <w:p w14:paraId="776EB320" w14:textId="7B85AAA7" w:rsidR="0030147D" w:rsidRPr="00E72418" w:rsidRDefault="0030147D" w:rsidP="002C46A8">
      <w:pPr>
        <w:pStyle w:val="Sansinterligne"/>
      </w:pPr>
      <w:r w:rsidRPr="00E72418">
        <w:rPr>
          <w:rStyle w:val="Appelnotedebasdep"/>
        </w:rPr>
        <w:footnoteRef/>
      </w:r>
      <w:r w:rsidRPr="00E72418">
        <w:t xml:space="preserve"> En 2014, l’île de Porto Rico fit défaut. S’ensuivit l’adoption, en 2016, de la législation </w:t>
      </w:r>
      <w:r w:rsidRPr="00E72418">
        <w:rPr>
          <w:i/>
        </w:rPr>
        <w:t>Puerto Rico Oversight, Management and Economic Stability Act</w:t>
      </w:r>
      <w:r w:rsidRPr="00E72418">
        <w:t xml:space="preserve"> (dite « PROMESA »), qui suspendit l’ensemble des recours à l’encontre de l’île durant une période d’un an afin de lui permettre d’envisager un plan de sortie de crise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364)</w:t>
      </w:r>
      <w:r w:rsidRPr="00E72418">
        <w:t xml:space="preserve">. En moins de quarante-huit heures suivant l’expiration de la période de suspension, plus d’une dizaine de procédures furent intentées à l’encontre du débiteur par des fonds dont </w:t>
      </w:r>
      <w:r w:rsidRPr="00E72418">
        <w:rPr>
          <w:i/>
        </w:rPr>
        <w:t>Aurelius</w:t>
      </w:r>
      <w:r w:rsidRPr="00E72418">
        <w:t xml:space="preserve"> qui avait été engagé dans le contentieux argentin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42)</w:t>
      </w:r>
      <w:r w:rsidRPr="00E72418">
        <w:rPr>
          <w:lang w:val="en-US"/>
        </w:rPr>
        <w:t xml:space="preserve">. Notons encore le lobby de certains créanciers fait lors des discussions du PROMESA comme le notait le parlementaire Raul Grijalva: </w:t>
      </w:r>
      <w:r w:rsidRPr="00E72418">
        <w:t>« wealthy Wall Street hedge funds that hold Puerto Rican bonds are spending millions of dollars to spread misinformation in an effort to block congressional action » (Committee on Natural Resources, U.S. House of Representatives, 114</w:t>
      </w:r>
      <w:r w:rsidRPr="0005101F">
        <w:t>th</w:t>
      </w:r>
      <w:r w:rsidRPr="00E72418">
        <w:t xml:space="preserve"> Congress, 2</w:t>
      </w:r>
      <w:r w:rsidRPr="0005101F">
        <w:t>nd</w:t>
      </w:r>
      <w:r w:rsidRPr="00E72418">
        <w:t xml:space="preserve"> session, 13 avril 2016, serie n° 114-36, p. 4).</w:t>
      </w:r>
    </w:p>
  </w:footnote>
  <w:footnote w:id="670">
    <w:p w14:paraId="5FBB9FC4" w14:textId="5CC76833" w:rsidR="0030147D" w:rsidRPr="00E72418" w:rsidRDefault="0030147D" w:rsidP="00656EDF">
      <w:pPr>
        <w:pStyle w:val="Sansinterligne"/>
      </w:pPr>
      <w:r w:rsidRPr="00E72418">
        <w:rPr>
          <w:rStyle w:val="Appelnotedebasdep"/>
        </w:rPr>
        <w:footnoteRef/>
      </w:r>
      <w:r w:rsidRPr="00E72418">
        <w:t xml:space="preserve"> Notons que les </w:t>
      </w:r>
      <w:r w:rsidRPr="00E72418">
        <w:rPr>
          <w:szCs w:val="20"/>
        </w:rPr>
        <w:t>É</w:t>
      </w:r>
      <w:r w:rsidRPr="00E72418">
        <w:t xml:space="preserve">tats concernés par ces contentieux emblématiques ont parfois fait l’objet d’attaques d’autres créanciers secondaires comme, par exemple, la République du Pérou qui fut encore attaquée par le fonds </w:t>
      </w:r>
      <w:r w:rsidRPr="00E72418">
        <w:rPr>
          <w:i/>
        </w:rPr>
        <w:t>Gramercy</w:t>
      </w:r>
      <w:r w:rsidRPr="00E72418">
        <w:t xml:space="preserve"> et dont l’arbitrage est toujours en cours (voyez CIRDI, </w:t>
      </w:r>
      <w:r w:rsidRPr="00E72418">
        <w:rPr>
          <w:i/>
        </w:rPr>
        <w:t>Gramercy Funds Management LLC and Gramercy Peru Holdings LLC v. Republic of Peru</w:t>
      </w:r>
      <w:r w:rsidRPr="00E72418">
        <w:t xml:space="preserve">, case n° UNCT/18/2, disponible à l’adresse </w:t>
      </w:r>
      <w:hyperlink r:id="rId33" w:history="1">
        <w:r w:rsidRPr="00E72418">
          <w:rPr>
            <w:rStyle w:val="Lienhypertexte"/>
            <w:color w:val="auto"/>
            <w:u w:val="none"/>
          </w:rPr>
          <w:t>www.italaw.com/cases/3879</w:t>
        </w:r>
      </w:hyperlink>
      <w:r w:rsidRPr="00E72418">
        <w:t xml:space="preserve"> (consultation le 17 octobre 2021</w:t>
      </w:r>
      <w:r w:rsidRPr="00E72418">
        <w:rPr>
          <w:lang w:val="en-US"/>
        </w:rPr>
        <w:t>)).</w:t>
      </w:r>
    </w:p>
  </w:footnote>
  <w:footnote w:id="671">
    <w:p w14:paraId="30797424" w14:textId="4F847551" w:rsidR="0030147D" w:rsidRPr="00E72418" w:rsidRDefault="0030147D" w:rsidP="00656EDF">
      <w:pPr>
        <w:pStyle w:val="Sansinterligne"/>
      </w:pPr>
      <w:r w:rsidRPr="00E72418">
        <w:rPr>
          <w:rStyle w:val="Appelnotedebasdep"/>
        </w:rPr>
        <w:footnoteRef/>
      </w:r>
      <w:r w:rsidRPr="00E72418">
        <w:t xml:space="preserve"> Voyez notamment United States District Court for the District of Columbia (EUA), </w:t>
      </w:r>
      <w:r w:rsidRPr="00E72418">
        <w:rPr>
          <w:rStyle w:val="injectednode"/>
        </w:rPr>
        <w:t xml:space="preserve">28 mars 2002, </w:t>
      </w:r>
      <w:r w:rsidRPr="00E72418">
        <w:rPr>
          <w:i/>
        </w:rPr>
        <w:t>Turkmani v. Republic of Bol.</w:t>
      </w:r>
      <w:r w:rsidRPr="00E72418">
        <w:rPr>
          <w:rStyle w:val="injectednode"/>
        </w:rPr>
        <w:t xml:space="preserve">, 193 F. Supp. 2d 165 où la défense tirée de la règle de la </w:t>
      </w:r>
      <w:r w:rsidRPr="00E72418">
        <w:rPr>
          <w:rStyle w:val="injectednode"/>
          <w:i/>
        </w:rPr>
        <w:t>champerty</w:t>
      </w:r>
      <w:r w:rsidRPr="00E72418">
        <w:rPr>
          <w:rStyle w:val="injectednode"/>
        </w:rPr>
        <w:t xml:space="preserve"> fut mobilisée. Sur cette règle, voyez </w:t>
      </w:r>
      <w:r w:rsidRPr="00E72418">
        <w:rPr>
          <w:rStyle w:val="injectednode"/>
          <w:i/>
        </w:rPr>
        <w:t>infra</w:t>
      </w:r>
      <w:r w:rsidRPr="00E72418">
        <w:rPr>
          <w:rStyle w:val="injectednode"/>
        </w:rPr>
        <w:t xml:space="preserve"> n</w:t>
      </w:r>
      <w:r w:rsidRPr="00E72418">
        <w:rPr>
          <w:rStyle w:val="injectednode"/>
          <w:vertAlign w:val="superscript"/>
        </w:rPr>
        <w:t>os</w:t>
      </w:r>
      <w:r w:rsidRPr="00E72418">
        <w:rPr>
          <w:rStyle w:val="injectednode"/>
        </w:rPr>
        <w:t xml:space="preserve"> 243 et suiv.</w:t>
      </w:r>
    </w:p>
  </w:footnote>
  <w:footnote w:id="672">
    <w:p w14:paraId="2782A1D7" w14:textId="7898814E" w:rsidR="0030147D" w:rsidRPr="00E72418" w:rsidRDefault="0030147D" w:rsidP="00C61E70">
      <w:pPr>
        <w:pStyle w:val="Sansinterligne"/>
      </w:pPr>
      <w:r w:rsidRPr="00E72418">
        <w:rPr>
          <w:rStyle w:val="Appelnotedebasdep"/>
        </w:rPr>
        <w:footnoteRef/>
      </w:r>
      <w:r w:rsidRPr="00E72418">
        <w:rPr>
          <w:vertAlign w:val="superscript"/>
        </w:rPr>
        <w:t xml:space="preserve"> </w:t>
      </w:r>
      <w:r w:rsidRPr="00E72418">
        <w:t xml:space="preserve">Voyez notamment United States District Court for the Southern District of New York (EUA), </w:t>
      </w:r>
      <w:r w:rsidRPr="00E72418">
        <w:rPr>
          <w:rStyle w:val="injectednode"/>
        </w:rPr>
        <w:t xml:space="preserve">24 février 1992, </w:t>
      </w:r>
      <w:r w:rsidRPr="00E72418">
        <w:rPr>
          <w:i/>
        </w:rPr>
        <w:t>Banque de Gestion Privée-Sib v. La Republica de Paraguay</w:t>
      </w:r>
      <w:r w:rsidRPr="00E72418">
        <w:rPr>
          <w:rStyle w:val="injectednode"/>
        </w:rPr>
        <w:t>, 787 F. Supp. 53,</w:t>
      </w:r>
      <w:r w:rsidRPr="00E72418">
        <w:t xml:space="preserve"> </w:t>
      </w:r>
      <w:r w:rsidRPr="00E72418">
        <w:rPr>
          <w:rStyle w:val="injectednode"/>
        </w:rPr>
        <w:t xml:space="preserve">où la défense tirée de la règle de la </w:t>
      </w:r>
      <w:r w:rsidRPr="00E72418">
        <w:rPr>
          <w:rStyle w:val="injectednode"/>
          <w:i/>
        </w:rPr>
        <w:t>champerty</w:t>
      </w:r>
      <w:r w:rsidRPr="00E72418">
        <w:rPr>
          <w:rStyle w:val="injectednode"/>
        </w:rPr>
        <w:t xml:space="preserve"> fut mobilisée.</w:t>
      </w:r>
    </w:p>
  </w:footnote>
  <w:footnote w:id="673">
    <w:p w14:paraId="6C95B029" w14:textId="5874742D" w:rsidR="0030147D" w:rsidRPr="00E72418" w:rsidRDefault="0030147D" w:rsidP="005B326A">
      <w:pPr>
        <w:pStyle w:val="Sansinterligne"/>
      </w:pPr>
      <w:r w:rsidRPr="00E72418">
        <w:rPr>
          <w:rStyle w:val="Appelnotedebasdep"/>
        </w:rPr>
        <w:footnoteRef/>
      </w:r>
      <w:r w:rsidRPr="00E72418">
        <w:t xml:space="preserve"> </w:t>
      </w:r>
      <w:r w:rsidRPr="00E72418">
        <w:rPr>
          <w:rStyle w:val="SansinterligneCar"/>
        </w:rPr>
        <w:t xml:space="preserve">Voyez notamment United States District Court for the Southern District of New York (EUA), 10 septembre 1997, </w:t>
      </w:r>
      <w:r w:rsidRPr="00E72418">
        <w:rPr>
          <w:rStyle w:val="SansinterligneCar"/>
          <w:i/>
        </w:rPr>
        <w:t>Elliott Assocs. L.P. v. Republic of Panama</w:t>
      </w:r>
      <w:r w:rsidRPr="00E72418">
        <w:rPr>
          <w:rStyle w:val="SansinterligneCar"/>
        </w:rPr>
        <w:t xml:space="preserve">, 975 F. Supp. 332, où la défense tirée de la règle de la </w:t>
      </w:r>
      <w:r w:rsidRPr="00E72418">
        <w:rPr>
          <w:rStyle w:val="SansinterligneCar"/>
          <w:i/>
        </w:rPr>
        <w:t>champerty</w:t>
      </w:r>
      <w:r w:rsidRPr="00E72418">
        <w:rPr>
          <w:rStyle w:val="SansinterligneCar"/>
        </w:rPr>
        <w:t xml:space="preserve"> fut mobilisée.</w:t>
      </w:r>
    </w:p>
  </w:footnote>
  <w:footnote w:id="674">
    <w:p w14:paraId="41AEE257" w14:textId="7488CFC1" w:rsidR="0030147D" w:rsidRPr="00E72418" w:rsidRDefault="0030147D" w:rsidP="005B326A">
      <w:pPr>
        <w:pStyle w:val="Sansinterligne"/>
      </w:pPr>
      <w:r w:rsidRPr="00E72418">
        <w:rPr>
          <w:rStyle w:val="Appelnotedebasdep"/>
        </w:rPr>
        <w:footnoteRef/>
      </w:r>
      <w:r w:rsidRPr="00E72418">
        <w:t xml:space="preserve"> J. </w:t>
      </w:r>
      <w:r w:rsidRPr="00E72418">
        <w:rPr>
          <w:smallCaps/>
        </w:rPr>
        <w:t>Bulow</w:t>
      </w:r>
      <w:r w:rsidRPr="00E72418">
        <w:t xml:space="preserve">, C. </w:t>
      </w:r>
      <w:r w:rsidRPr="00E72418">
        <w:rPr>
          <w:smallCaps/>
        </w:rPr>
        <w:t>Reinhart</w:t>
      </w:r>
      <w:r w:rsidRPr="00E72418">
        <w:t xml:space="preserve">, K. </w:t>
      </w:r>
      <w:r w:rsidRPr="00E72418">
        <w:rPr>
          <w:smallCaps/>
        </w:rPr>
        <w:t>Rogoff</w:t>
      </w:r>
      <w:r w:rsidRPr="00E72418">
        <w:t xml:space="preserve"> et C. </w:t>
      </w:r>
      <w:r w:rsidRPr="00E72418">
        <w:rPr>
          <w:smallCaps/>
        </w:rPr>
        <w:t>Trebesch</w:t>
      </w:r>
      <w:r w:rsidRPr="00E72418">
        <w:t xml:space="preserve">, « The Debt Pandemic – New steps are needed to improve sovereign debt workouts », </w:t>
      </w:r>
      <w:r w:rsidRPr="00E72418">
        <w:rPr>
          <w:i/>
        </w:rPr>
        <w:t>Finance Dev.</w:t>
      </w:r>
      <w:r w:rsidRPr="00E72418">
        <w:t>, septembre 2020, p. 14.</w:t>
      </w:r>
    </w:p>
  </w:footnote>
  <w:footnote w:id="675">
    <w:p w14:paraId="4049B7E6" w14:textId="7F8190AC" w:rsidR="0030147D" w:rsidRPr="00E72418" w:rsidRDefault="0030147D" w:rsidP="00B929D2">
      <w:pPr>
        <w:pStyle w:val="Sansinterligne"/>
        <w:rPr>
          <w:rFonts w:ascii="Times New Roman" w:hAnsi="Times New Roman" w:cs="Times New Roman"/>
        </w:rPr>
      </w:pPr>
      <w:r w:rsidRPr="00E72418">
        <w:rPr>
          <w:rStyle w:val="Appelnotedebasdep"/>
          <w:szCs w:val="20"/>
        </w:rPr>
        <w:footnoteRef/>
      </w:r>
      <w:r w:rsidRPr="00E72418">
        <w:t xml:space="preserve"> En réalité, le phénomène est beaucoup plus ancien que cela à en lire Matthias Storme qui relève l’existence dès 1780 de spéculateurs américains, comme Abigail Smith, l’épouse de John Adams, ayant acheté des obligations gouvernementales dépréciées pour en tirer profit à la reprise de paiement des intérêts sur ces avoirs (</w:t>
      </w:r>
      <w:r w:rsidRPr="00E72418">
        <w:rPr>
          <w:smallCaps/>
        </w:rPr>
        <w:t>M. Storme</w:t>
      </w:r>
      <w:r w:rsidRPr="00E72418">
        <w:t xml:space="preserve">, « Cherry-Picking Vultures and Other Speculations », </w:t>
      </w:r>
      <w:r w:rsidRPr="00E72418">
        <w:rPr>
          <w:rFonts w:ascii="Times New Roman" w:hAnsi="Times New Roman" w:cs="Times New Roman"/>
          <w:i/>
        </w:rPr>
        <w:t>Eur. Rev. Priv. Law</w:t>
      </w:r>
      <w:r w:rsidRPr="00E72418">
        <w:t>, 2014, p. 813).</w:t>
      </w:r>
    </w:p>
  </w:footnote>
  <w:footnote w:id="676">
    <w:p w14:paraId="6720BD68" w14:textId="245888E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Ce modèle de s</w:t>
      </w:r>
      <w:r>
        <w:rPr>
          <w:szCs w:val="20"/>
          <w:lang w:val="en-US"/>
        </w:rPr>
        <w:t>péculation existait déjà sur le marché</w:t>
      </w:r>
      <w:r w:rsidRPr="00E72418">
        <w:rPr>
          <w:szCs w:val="20"/>
          <w:lang w:val="en-US"/>
        </w:rPr>
        <w:t xml:space="preserve"> des dettes d’entreprises privées en difficulté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2).</w:t>
      </w:r>
    </w:p>
  </w:footnote>
  <w:footnote w:id="677">
    <w:p w14:paraId="6E0F2A3A" w14:textId="04A40C6B"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Les créances sont rachetées aux prêteurs originaires souhaitant, tant que faire se peut, récupérer une partie des montants engagés qui servirent au financement d’États devenus incapables de les rembourser. Les prêteurs originaires décidant de vendre leur créance sur le marché secondaire préfèrent obtenir ce qu’ils peuvent sur le marché secondaire plutôt que de prendre le risque de tout perdre.</w:t>
      </w:r>
    </w:p>
  </w:footnote>
  <w:footnote w:id="678">
    <w:p w14:paraId="56D3DF0A" w14:textId="69997354" w:rsidR="0030147D" w:rsidRPr="00E72418" w:rsidRDefault="0030147D" w:rsidP="000B0E13">
      <w:pPr>
        <w:pStyle w:val="Sansinterligne"/>
        <w:rPr>
          <w:szCs w:val="20"/>
        </w:rPr>
      </w:pPr>
      <w:r w:rsidRPr="00E72418">
        <w:rPr>
          <w:rStyle w:val="Appelnotedebasdep"/>
          <w:szCs w:val="20"/>
        </w:rPr>
        <w:footnoteRef/>
      </w:r>
      <w:r w:rsidRPr="00E72418">
        <w:rPr>
          <w:szCs w:val="20"/>
        </w:rPr>
        <w:t xml:space="preserve"> </w:t>
      </w:r>
      <w:r w:rsidRPr="00E72418">
        <w:rPr>
          <w:smallCaps/>
          <w:szCs w:val="20"/>
        </w:rPr>
        <w:t>J. Blackman</w:t>
      </w:r>
      <w:r w:rsidRPr="00E72418">
        <w:rPr>
          <w:szCs w:val="20"/>
        </w:rPr>
        <w:t xml:space="preserve"> et </w:t>
      </w:r>
      <w:r w:rsidRPr="00E72418">
        <w:rPr>
          <w:smallCaps/>
          <w:szCs w:val="20"/>
        </w:rPr>
        <w:t>R. Mukhi</w:t>
      </w:r>
      <w:r w:rsidRPr="00E72418">
        <w:rPr>
          <w:szCs w:val="20"/>
        </w:rPr>
        <w:t xml:space="preserve">, </w:t>
      </w:r>
      <w:r w:rsidRPr="00E72418">
        <w:rPr>
          <w:rStyle w:val="Titre5Car"/>
          <w:rFonts w:ascii="Times" w:eastAsiaTheme="minorHAnsi" w:hAnsi="Times" w:cstheme="minorBidi"/>
          <w:color w:val="auto"/>
          <w:szCs w:val="20"/>
        </w:rPr>
        <w:t xml:space="preserve">« </w:t>
      </w:r>
      <w:r w:rsidRPr="00E72418">
        <w:rPr>
          <w:szCs w:val="20"/>
        </w:rPr>
        <w:t xml:space="preserve">The Evolution of Modern Sovereign Debt Litigation: Vultures, Alter Egos, and Other Legal Fauna », </w:t>
      </w:r>
      <w:r w:rsidRPr="00E72418">
        <w:rPr>
          <w:i/>
          <w:szCs w:val="20"/>
          <w:lang w:val="en-US"/>
        </w:rPr>
        <w:t>op. cit.</w:t>
      </w:r>
      <w:r w:rsidRPr="00E72418">
        <w:rPr>
          <w:szCs w:val="20"/>
        </w:rPr>
        <w:t xml:space="preserve">, p. 49. </w:t>
      </w:r>
    </w:p>
  </w:footnote>
  <w:footnote w:id="679">
    <w:p w14:paraId="19207919" w14:textId="03FE184B" w:rsidR="0030147D" w:rsidRPr="00E72418" w:rsidRDefault="0030147D" w:rsidP="000B0E13">
      <w:pPr>
        <w:pStyle w:val="Sansinterligne"/>
        <w:rPr>
          <w:szCs w:val="20"/>
        </w:rPr>
      </w:pPr>
      <w:r w:rsidRPr="00E72418">
        <w:rPr>
          <w:rStyle w:val="Appelnotedebasdep"/>
          <w:szCs w:val="20"/>
        </w:rPr>
        <w:footnoteRef/>
      </w:r>
      <w:r w:rsidRPr="00E72418">
        <w:rPr>
          <w:szCs w:val="20"/>
        </w:rPr>
        <w:t xml:space="preserve"> </w:t>
      </w:r>
      <w:r w:rsidRPr="00E72418">
        <w:rPr>
          <w:smallCaps/>
          <w:szCs w:val="20"/>
        </w:rPr>
        <w:t>H. Harrison</w:t>
      </w:r>
      <w:r w:rsidRPr="00E72418">
        <w:rPr>
          <w:szCs w:val="20"/>
        </w:rPr>
        <w:t xml:space="preserve"> et </w:t>
      </w:r>
      <w:r w:rsidRPr="00E72418">
        <w:rPr>
          <w:smallCaps/>
          <w:szCs w:val="20"/>
        </w:rPr>
        <w:t>F. Huntriss</w:t>
      </w:r>
      <w:r w:rsidRPr="00E72418">
        <w:rPr>
          <w:szCs w:val="20"/>
        </w:rPr>
        <w:t xml:space="preserve">, « Hedge funds and litigation: a brave new world », </w:t>
      </w:r>
      <w:r w:rsidRPr="00E72418">
        <w:rPr>
          <w:i/>
          <w:szCs w:val="20"/>
        </w:rPr>
        <w:t>op. cit.</w:t>
      </w:r>
      <w:r w:rsidRPr="00E72418">
        <w:rPr>
          <w:szCs w:val="20"/>
        </w:rPr>
        <w:t>, p. 135.</w:t>
      </w:r>
    </w:p>
  </w:footnote>
  <w:footnote w:id="680">
    <w:p w14:paraId="0DD26E3B" w14:textId="4B1F785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113.</w:t>
      </w:r>
    </w:p>
  </w:footnote>
  <w:footnote w:id="681">
    <w:p w14:paraId="5CDB7F1C" w14:textId="012FCBF6" w:rsidR="0030147D" w:rsidRPr="00E72418" w:rsidRDefault="0030147D" w:rsidP="00B45C7B">
      <w:pPr>
        <w:pStyle w:val="Sansinterligne"/>
        <w:rPr>
          <w:rStyle w:val="SansinterligneCa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xml:space="preserve">, n° 19. Lors d’un cours donné à l’Académie de droit international de La Haye en 1923, John </w:t>
      </w:r>
      <w:r w:rsidRPr="00E72418">
        <w:rPr>
          <w:szCs w:val="20"/>
        </w:rPr>
        <w:t>Fischer Williams relevait déjà qu’ « [u]n État ne peut être liquidé […] et on ne peut mettre fin à son existence, simplement parce qu’il est insolvable » (</w:t>
      </w:r>
      <w:r w:rsidRPr="00E72418">
        <w:rPr>
          <w:smallCaps/>
          <w:szCs w:val="20"/>
        </w:rPr>
        <w:t>J. Fischer Williams</w:t>
      </w:r>
      <w:r w:rsidRPr="00E72418">
        <w:rPr>
          <w:szCs w:val="20"/>
        </w:rPr>
        <w:t xml:space="preserve">, « Le droit international et les obligations financières internationales qui naissent d’un contrat », </w:t>
      </w:r>
      <w:r w:rsidRPr="00E72418">
        <w:rPr>
          <w:i/>
          <w:szCs w:val="20"/>
        </w:rPr>
        <w:t>Recueil des Cours de l’Académie de Droit International de La Haye</w:t>
      </w:r>
      <w:r w:rsidRPr="00E72418">
        <w:rPr>
          <w:szCs w:val="20"/>
        </w:rPr>
        <w:t xml:space="preserve">, 1923, p. 343). Notons toutefois pour l’anecdote, une décision néerlandaise du 10 février </w:t>
      </w:r>
      <w:r w:rsidR="00813C82">
        <w:rPr>
          <w:szCs w:val="20"/>
        </w:rPr>
        <w:t>1988, infirmée en appel par la c</w:t>
      </w:r>
      <w:r w:rsidRPr="00E72418">
        <w:rPr>
          <w:szCs w:val="20"/>
        </w:rPr>
        <w:t xml:space="preserve">our d’appel de La Haye, qui prononçait la faillite du Zaïre et nommait un syndic (voyez sur cette affaire </w:t>
      </w:r>
      <w:r w:rsidRPr="00E72418">
        <w:rPr>
          <w:smallCaps/>
          <w:szCs w:val="20"/>
        </w:rPr>
        <w:t>J. Schultz</w:t>
      </w:r>
      <w:r w:rsidRPr="00E72418">
        <w:rPr>
          <w:szCs w:val="20"/>
        </w:rPr>
        <w:t xml:space="preserve">, « Une affaire récente : la faillite du Zaïre devant les tribunaux néerlandais », in </w:t>
      </w:r>
      <w:r w:rsidRPr="00E72418">
        <w:rPr>
          <w:i/>
          <w:szCs w:val="20"/>
        </w:rPr>
        <w:t>L’immunité d’exécution de l’État étranger</w:t>
      </w:r>
      <w:r w:rsidRPr="00E72418">
        <w:rPr>
          <w:szCs w:val="20"/>
        </w:rPr>
        <w:t>, Montchrestien, 1990, pp. 83 à 87).</w:t>
      </w:r>
    </w:p>
  </w:footnote>
  <w:footnote w:id="682">
    <w:p w14:paraId="6BA83F6B" w14:textId="1B276E9A"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Les difficultés financières rencontrées par les États débiteurs doivent ainsi être analysées comme une absence de liquidités davantage que comme une insolvabilité à proprement parler dans la mesure où il leur est toujours possible de reconstituer leur capacité de remboursement en recourant à l’impôt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xml:space="preserve">, p. 19. Voyez également L. </w:t>
      </w:r>
      <w:r w:rsidRPr="00E72418">
        <w:rPr>
          <w:rFonts w:cs="Times New Roman"/>
          <w:smallCaps/>
          <w:szCs w:val="24"/>
          <w:lang w:val="en-US"/>
        </w:rPr>
        <w:t>Boggio</w:t>
      </w:r>
      <w:r w:rsidRPr="00E72418">
        <w:rPr>
          <w:rFonts w:cs="Times New Roman"/>
          <w:szCs w:val="24"/>
          <w:lang w:val="en-US"/>
        </w:rPr>
        <w:t xml:space="preserve">, « Investors and Sovereign Debt Restructurings: The Protection of Financial Property before International Courts and Arbitrators », </w:t>
      </w:r>
      <w:r w:rsidRPr="00E72418">
        <w:rPr>
          <w:rFonts w:cs="Times New Roman"/>
          <w:i/>
          <w:iCs/>
          <w:szCs w:val="24"/>
          <w:lang w:val="en-US"/>
        </w:rPr>
        <w:t>op. cit.</w:t>
      </w:r>
      <w:r w:rsidRPr="00E72418">
        <w:rPr>
          <w:rFonts w:cs="Times New Roman"/>
          <w:szCs w:val="24"/>
          <w:lang w:val="en-US"/>
        </w:rPr>
        <w:t>, pp. 144 et 145</w:t>
      </w:r>
      <w:r w:rsidRPr="00E72418">
        <w:rPr>
          <w:szCs w:val="20"/>
        </w:rPr>
        <w:t xml:space="preserve">). Les </w:t>
      </w:r>
      <w:r w:rsidRPr="00E72418">
        <w:rPr>
          <w:rFonts w:cs="Times New Roman"/>
          <w:szCs w:val="24"/>
        </w:rPr>
        <w:t>É</w:t>
      </w:r>
      <w:r w:rsidRPr="00E72418">
        <w:rPr>
          <w:szCs w:val="20"/>
        </w:rPr>
        <w:t>tats peuvent aussi en principe faire usage de leur pouvoir monétaire. Les États peuvent également disposer de leurs ressources naturelles voire, dans le pire des cas, s’engager dans l’expropriation d’avoirs de leurs citoyens (</w:t>
      </w:r>
      <w:r w:rsidRPr="00E72418">
        <w:rPr>
          <w:smallCaps/>
          <w:szCs w:val="20"/>
        </w:rPr>
        <w:t>R. Olivares-Caminal</w:t>
      </w:r>
      <w:r w:rsidRPr="00E72418">
        <w:rPr>
          <w:szCs w:val="20"/>
        </w:rPr>
        <w:t xml:space="preserve">, « Sovereign debt defaults: Paradigms and challenges », </w:t>
      </w:r>
      <w:r w:rsidRPr="00E72418">
        <w:rPr>
          <w:i/>
          <w:szCs w:val="20"/>
        </w:rPr>
        <w:t>op. cit.</w:t>
      </w:r>
      <w:r w:rsidRPr="00E72418">
        <w:rPr>
          <w:szCs w:val="20"/>
        </w:rPr>
        <w:t xml:space="preserve">, p. 92). Relativisons toutefois, au regard du récent cas hellénique, la possible mobilisation des ressources fiscales et l’utile levier monétaire en ce que le pays vit ses ressources réduites à la suite de la mise en œuvre de mesures d’austérité tandis que son appartenance à la zone euro le privait de son levier monétaire (C. </w:t>
      </w:r>
      <w:r w:rsidRPr="00E72418">
        <w:rPr>
          <w:smallCaps/>
        </w:rPr>
        <w:t xml:space="preserve">Lequesne-Roth, </w:t>
      </w:r>
      <w:r w:rsidRPr="00E72418">
        <w:t xml:space="preserve">« Remédier à l’insolvabilité des </w:t>
      </w:r>
      <w:r w:rsidRPr="00E72418">
        <w:rPr>
          <w:rFonts w:cs="Times New Roman"/>
          <w:szCs w:val="24"/>
        </w:rPr>
        <w:t>É</w:t>
      </w:r>
      <w:r w:rsidRPr="00E72418">
        <w:t xml:space="preserve">tats », </w:t>
      </w:r>
      <w:r w:rsidRPr="00E72418">
        <w:rPr>
          <w:i/>
        </w:rPr>
        <w:t>op. cit.</w:t>
      </w:r>
      <w:r w:rsidRPr="00E72418">
        <w:t>, p. 153).</w:t>
      </w:r>
    </w:p>
  </w:footnote>
  <w:footnote w:id="683">
    <w:p w14:paraId="0010435D" w14:textId="29537D5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R. Vabres</w:t>
      </w:r>
      <w:r w:rsidRPr="00E72418">
        <w:rPr>
          <w:szCs w:val="20"/>
        </w:rPr>
        <w:t xml:space="preserve">, « Les fonds vautours : quels enjeux ? », </w:t>
      </w:r>
      <w:r w:rsidRPr="00E72418">
        <w:rPr>
          <w:rStyle w:val="exldetailsdisplayval"/>
          <w:i/>
          <w:szCs w:val="20"/>
        </w:rPr>
        <w:t>R.I.S.F.</w:t>
      </w:r>
      <w:r w:rsidRPr="00E72418">
        <w:rPr>
          <w:rStyle w:val="exldetailsdisplayval"/>
          <w:szCs w:val="20"/>
        </w:rPr>
        <w:t>, 2014, p. 4.</w:t>
      </w:r>
    </w:p>
  </w:footnote>
  <w:footnote w:id="684">
    <w:p w14:paraId="4F5E4CC0" w14:textId="126DEDA1" w:rsidR="0030147D" w:rsidRPr="00E72418" w:rsidRDefault="0030147D" w:rsidP="00A57BD3">
      <w:pPr>
        <w:pStyle w:val="Sansinterligne"/>
      </w:pPr>
      <w:r w:rsidRPr="00E72418">
        <w:rPr>
          <w:rStyle w:val="Appelnotedebasdep"/>
        </w:rPr>
        <w:footnoteRef/>
      </w:r>
      <w:r w:rsidRPr="00E72418">
        <w:t xml:space="preserve"> Propos repris à l’adresse </w:t>
      </w:r>
      <w:hyperlink r:id="rId34" w:history="1">
        <w:r w:rsidRPr="00E72418">
          <w:rPr>
            <w:rStyle w:val="Lienhypertexte"/>
            <w:color w:val="auto"/>
            <w:u w:val="none"/>
          </w:rPr>
          <w:t>www.nysenate.gov/legislation/bills/2021/S6627</w:t>
        </w:r>
      </w:hyperlink>
      <w:r w:rsidRPr="00E72418">
        <w:t>. Ces propos servent de justification à la proposition de législation qu’il a déposée en mai 2021 au Sénat de l’</w:t>
      </w:r>
      <w:r w:rsidRPr="00E72418">
        <w:rPr>
          <w:szCs w:val="24"/>
        </w:rPr>
        <w:t>É</w:t>
      </w:r>
      <w:r w:rsidRPr="00E72418">
        <w:t xml:space="preserve">tat de New York (sur cette proposition, voyez </w:t>
      </w:r>
      <w:r w:rsidRPr="00E72418">
        <w:rPr>
          <w:i/>
        </w:rPr>
        <w:t>infra</w:t>
      </w:r>
      <w:r w:rsidRPr="00E72418">
        <w:t xml:space="preserve"> n° 278).</w:t>
      </w:r>
    </w:p>
  </w:footnote>
  <w:footnote w:id="685">
    <w:p w14:paraId="0AF4FAF0" w14:textId="5A00406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xml:space="preserve">, pp. 49 et 50. </w:t>
      </w:r>
    </w:p>
  </w:footnote>
  <w:footnote w:id="686">
    <w:p w14:paraId="734B8CD9" w14:textId="05A99F09" w:rsidR="0030147D" w:rsidRPr="00E72418" w:rsidRDefault="0030147D" w:rsidP="00CE53EE">
      <w:pPr>
        <w:pStyle w:val="Sansinterligne"/>
        <w:rPr>
          <w:szCs w:val="20"/>
          <w:lang w:val="en-US"/>
        </w:rPr>
      </w:pPr>
      <w:r w:rsidRPr="00E72418">
        <w:rPr>
          <w:rStyle w:val="Appelnotedebasdep"/>
          <w:szCs w:val="20"/>
        </w:rPr>
        <w:footnoteRef/>
      </w:r>
      <w:r w:rsidRPr="00E72418">
        <w:rPr>
          <w:szCs w:val="20"/>
          <w:lang w:val="en-US"/>
        </w:rPr>
        <w:t xml:space="preserve"> Comme le relève James Bai, « [w]hen the debt is sold on, the loan agreements pass all the rights and obligations available to the previous creditor on to the new “owner” of the debt »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711).</w:t>
      </w:r>
    </w:p>
  </w:footnote>
  <w:footnote w:id="687">
    <w:p w14:paraId="34674927" w14:textId="5ECCD9A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18 mars 2009, </w:t>
      </w:r>
      <w:r w:rsidRPr="00E72418">
        <w:rPr>
          <w:i/>
          <w:szCs w:val="20"/>
          <w:lang w:val="en-US"/>
        </w:rPr>
        <w:t>NML Capital Ltd. v. Republic of Argentina</w:t>
      </w:r>
      <w:r w:rsidRPr="00E72418">
        <w:rPr>
          <w:rStyle w:val="injectednode"/>
          <w:szCs w:val="20"/>
          <w:lang w:val="en-US"/>
        </w:rPr>
        <w:t>, 2009 U.S. Dist. LEXIS 21530, p. 13.</w:t>
      </w:r>
    </w:p>
  </w:footnote>
  <w:footnote w:id="688">
    <w:p w14:paraId="796E2938" w14:textId="7BB3A1E8"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Sur l’effet de cette érosion sur la justiciabilité des dettes étatiques, voyez </w:t>
      </w:r>
      <w:r w:rsidRPr="00E72418">
        <w:rPr>
          <w:i/>
          <w:szCs w:val="20"/>
        </w:rPr>
        <w:t>supra</w:t>
      </w:r>
      <w:r w:rsidRPr="00E72418">
        <w:rPr>
          <w:szCs w:val="20"/>
        </w:rPr>
        <w:t xml:space="preserve"> n° 27, et, sur la mobilisation de l’argument immunitaire par les États débiteurs,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200 et suiv.</w:t>
      </w:r>
    </w:p>
  </w:footnote>
  <w:footnote w:id="689">
    <w:p w14:paraId="12303133" w14:textId="72096CF6"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G. Pavlidis</w:t>
      </w:r>
      <w:r w:rsidRPr="00E72418">
        <w:t xml:space="preserve">, « Vulture litigation in the context of sovereign debt: global or local solutions? », </w:t>
      </w:r>
      <w:r w:rsidRPr="00E72418">
        <w:rPr>
          <w:rFonts w:ascii="Times New Roman" w:hAnsi="Times New Roman" w:cs="Times New Roman"/>
          <w:i/>
        </w:rPr>
        <w:t>Law &amp; Fin. Mkt. Rev.</w:t>
      </w:r>
      <w:r w:rsidRPr="00E72418">
        <w:t>, 2018, p. 95. Joshua Burress l’étudie, « [s]ince the mid-1980s, the Second Circuit (</w:t>
      </w:r>
      <w:r w:rsidRPr="00E72418">
        <w:rPr>
          <w:i/>
        </w:rPr>
        <w:t>i.e.</w:t>
      </w:r>
      <w:r w:rsidRPr="00E72418">
        <w:t xml:space="preserve"> the United States Court of Appeals for the Second Circuit) has eliminated several major defenses employed by foreign states to evade litigation, certified viability of holdout strategies, and arguably facilitated the proliferation of vulture fund litigation » (</w:t>
      </w:r>
      <w:r w:rsidRPr="00E72418">
        <w:rPr>
          <w:smallCaps/>
        </w:rPr>
        <w:t>J. Burress</w:t>
      </w:r>
      <w:r w:rsidRPr="00E72418">
        <w:t xml:space="preserve">, « Sovereign Disobedience: The Role of U.S. Courts in Curtailing the Proliferation of Sovereign Default », </w:t>
      </w:r>
      <w:r w:rsidRPr="00E72418">
        <w:rPr>
          <w:i/>
        </w:rPr>
        <w:t>op. cit.</w:t>
      </w:r>
      <w:r w:rsidRPr="00E72418">
        <w:t>, p. 303).</w:t>
      </w:r>
    </w:p>
  </w:footnote>
  <w:footnote w:id="690">
    <w:p w14:paraId="5DDC1BB6" w14:textId="45C96C5B"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Sur le sort réservé aux défenses généralement avancées par les États débiteurs,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198 et suiv.</w:t>
      </w:r>
    </w:p>
  </w:footnote>
  <w:footnote w:id="691">
    <w:p w14:paraId="601FF912" w14:textId="7A6C024A"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notamment la loi belge du 12 juillet 2015 relative à la lutte contre les activités des fonds vautours ou encore </w:t>
      </w:r>
      <w:r w:rsidRPr="00E72418">
        <w:t>la résolution sur la soutenabilité de la dette extérieure et le développement de 2010 de l’Assemblée générale des Nations Unies (20 décembre 2010, A/RES/65/144, paragraphe 28). L’expression a encore été mobilisée en 2021 dans la proposition législative déposée au Sénat de l’</w:t>
      </w:r>
      <w:r w:rsidRPr="00E72418">
        <w:rPr>
          <w:szCs w:val="24"/>
        </w:rPr>
        <w:t>É</w:t>
      </w:r>
      <w:r w:rsidRPr="00E72418">
        <w:t xml:space="preserve">tat de New York par Gustavo Rivera (voyez sur celle-ci </w:t>
      </w:r>
      <w:r w:rsidRPr="00E72418">
        <w:rPr>
          <w:i/>
        </w:rPr>
        <w:t>infra</w:t>
      </w:r>
      <w:r w:rsidRPr="00E72418">
        <w:t xml:space="preserve"> n° 278).</w:t>
      </w:r>
    </w:p>
  </w:footnote>
  <w:footnote w:id="692">
    <w:p w14:paraId="45A30D37" w14:textId="225C20E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notamment Supreme Court (RU), 6 juillet 2011, </w:t>
      </w:r>
      <w:r w:rsidRPr="00E72418">
        <w:rPr>
          <w:i/>
          <w:szCs w:val="20"/>
        </w:rPr>
        <w:t>NML Capital Limited v. Republic of Argentina</w:t>
      </w:r>
      <w:r w:rsidRPr="00E72418">
        <w:rPr>
          <w:szCs w:val="20"/>
        </w:rPr>
        <w:t xml:space="preserve">, [2011] UKSC 31, p. 2 où la Cour suprême britannique fait usage des termes « vulture fund » pour qualifier la société </w:t>
      </w:r>
      <w:r w:rsidRPr="00E72418">
        <w:rPr>
          <w:i/>
          <w:szCs w:val="20"/>
        </w:rPr>
        <w:t>NML Capital Ltd.</w:t>
      </w:r>
      <w:r w:rsidRPr="00E72418">
        <w:rPr>
          <w:szCs w:val="20"/>
        </w:rPr>
        <w:t xml:space="preserve"> (voyez notamment sur cette décision </w:t>
      </w:r>
      <w:r w:rsidRPr="00E72418">
        <w:t xml:space="preserve">C. </w:t>
      </w:r>
      <w:r w:rsidRPr="00E72418">
        <w:rPr>
          <w:smallCaps/>
        </w:rPr>
        <w:t>Proctor</w:t>
      </w:r>
      <w:r w:rsidRPr="00E72418">
        <w:t xml:space="preserve">, « Argentina and the Vulture Funds – No Hiding Place? », </w:t>
      </w:r>
      <w:r w:rsidRPr="00E72418">
        <w:rPr>
          <w:i/>
        </w:rPr>
        <w:t>B.F.L.R.</w:t>
      </w:r>
      <w:r w:rsidRPr="00E72418">
        <w:t>, 2012, pp. 735 à 741).</w:t>
      </w:r>
    </w:p>
  </w:footnote>
  <w:footnote w:id="693">
    <w:p w14:paraId="1B3EE37B" w14:textId="36292512"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w:t>
      </w:r>
      <w:r>
        <w:rPr>
          <w:szCs w:val="20"/>
        </w:rPr>
        <w:t>,</w:t>
      </w:r>
      <w:r w:rsidRPr="00E72418">
        <w:rPr>
          <w:szCs w:val="20"/>
        </w:rPr>
        <w:t xml:space="preserve"> par exemple</w:t>
      </w:r>
      <w:r>
        <w:rPr>
          <w:szCs w:val="20"/>
        </w:rPr>
        <w:t>,</w:t>
      </w:r>
      <w:r w:rsidRPr="00E72418">
        <w:rPr>
          <w:szCs w:val="20"/>
        </w:rPr>
        <w:t xml:space="preserve"> </w:t>
      </w:r>
      <w:r w:rsidRPr="00E72418">
        <w:rPr>
          <w:smallCaps/>
          <w:szCs w:val="20"/>
        </w:rPr>
        <w:t>H. Muir Watt</w:t>
      </w:r>
      <w:r w:rsidRPr="00E72418">
        <w:rPr>
          <w:szCs w:val="20"/>
        </w:rPr>
        <w:t xml:space="preserve">, « L’immunité souveraine et les fonds “vautour” », </w:t>
      </w:r>
      <w:r w:rsidRPr="00E72418">
        <w:rPr>
          <w:i/>
          <w:szCs w:val="20"/>
        </w:rPr>
        <w:t>op. cit.</w:t>
      </w:r>
      <w:r w:rsidRPr="00E72418">
        <w:rPr>
          <w:szCs w:val="20"/>
        </w:rPr>
        <w:t>, pp. 789 à 798.</w:t>
      </w:r>
    </w:p>
  </w:footnote>
  <w:footnote w:id="694">
    <w:p w14:paraId="56A999C2" w14:textId="377AFED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w:t>
      </w:r>
      <w:r>
        <w:rPr>
          <w:szCs w:val="20"/>
        </w:rPr>
        <w:t>,</w:t>
      </w:r>
      <w:r w:rsidRPr="00E72418">
        <w:rPr>
          <w:szCs w:val="20"/>
        </w:rPr>
        <w:t xml:space="preserve"> par exemple</w:t>
      </w:r>
      <w:r>
        <w:rPr>
          <w:szCs w:val="20"/>
        </w:rPr>
        <w:t>,</w:t>
      </w:r>
      <w:r w:rsidRPr="00E72418">
        <w:rPr>
          <w:szCs w:val="20"/>
        </w:rPr>
        <w:t xml:space="preserve"> l’article de Marie Charrel publié au journal </w:t>
      </w:r>
      <w:r w:rsidRPr="00E72418">
        <w:rPr>
          <w:i/>
          <w:szCs w:val="20"/>
        </w:rPr>
        <w:t>Le Monde</w:t>
      </w:r>
      <w:r w:rsidRPr="00E72418">
        <w:rPr>
          <w:szCs w:val="20"/>
        </w:rPr>
        <w:t xml:space="preserve"> le 31 mars 2016 titré « L’Argentine se libère enfin des fonds vautours », disponible à l’adresse </w:t>
      </w:r>
      <w:hyperlink r:id="rId35" w:history="1">
        <w:r w:rsidRPr="00E72418">
          <w:rPr>
            <w:rStyle w:val="Lienhypertexte"/>
            <w:color w:val="auto"/>
            <w:szCs w:val="20"/>
            <w:u w:val="none"/>
          </w:rPr>
          <w:t>www.lemonde.fr/economie/article/2016/03/31/l-argentine-se-libere-enfin-des-fonds-vautours_4893218_3234.html</w:t>
        </w:r>
      </w:hyperlink>
      <w:r w:rsidRPr="00E72418">
        <w:rPr>
          <w:szCs w:val="20"/>
        </w:rPr>
        <w:t xml:space="preserve"> (consultation le 17 octobre 2021).</w:t>
      </w:r>
    </w:p>
  </w:footnote>
  <w:footnote w:id="695">
    <w:p w14:paraId="437C8A88" w14:textId="133AAD9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120.</w:t>
      </w:r>
    </w:p>
  </w:footnote>
  <w:footnote w:id="696">
    <w:p w14:paraId="0AE1043F" w14:textId="35105C7D" w:rsidR="0030147D" w:rsidRPr="00E72418" w:rsidRDefault="0030147D" w:rsidP="00EA1824">
      <w:pPr>
        <w:pStyle w:val="Sansinterligne"/>
      </w:pPr>
      <w:r w:rsidRPr="00E72418">
        <w:rPr>
          <w:rStyle w:val="Appelnotedebasdep"/>
        </w:rPr>
        <w:footnoteRef/>
      </w:r>
      <w:r w:rsidRPr="00E72418">
        <w:t xml:space="preserve"> Sur l’appellation qu’il nous paraît falloir privilégier, voyez </w:t>
      </w:r>
      <w:r w:rsidRPr="00E72418">
        <w:rPr>
          <w:i/>
        </w:rPr>
        <w:t>infra</w:t>
      </w:r>
      <w:r w:rsidRPr="00E72418">
        <w:t xml:space="preserve"> n° 166.</w:t>
      </w:r>
    </w:p>
  </w:footnote>
  <w:footnote w:id="697">
    <w:p w14:paraId="1BDB6231" w14:textId="5CBBC230"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p. 5.</w:t>
      </w:r>
    </w:p>
  </w:footnote>
  <w:footnote w:id="698">
    <w:p w14:paraId="4A52C306" w14:textId="5997ECA8"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Sur ces initiatives nationales et leur concrétisation, voyez </w:t>
      </w:r>
      <w:r w:rsidRPr="00E72418">
        <w:rPr>
          <w:i/>
          <w:szCs w:val="20"/>
        </w:rPr>
        <w:t>infra</w:t>
      </w:r>
      <w:r w:rsidRPr="00E72418">
        <w:rPr>
          <w:szCs w:val="20"/>
        </w:rPr>
        <w:t xml:space="preserve"> n</w:t>
      </w:r>
      <w:r w:rsidRPr="00E72418">
        <w:rPr>
          <w:szCs w:val="20"/>
          <w:vertAlign w:val="superscript"/>
        </w:rPr>
        <w:t xml:space="preserve">os </w:t>
      </w:r>
      <w:r w:rsidRPr="00E72418">
        <w:rPr>
          <w:szCs w:val="20"/>
        </w:rPr>
        <w:t>291 et suiv.</w:t>
      </w:r>
    </w:p>
  </w:footnote>
  <w:footnote w:id="699">
    <w:p w14:paraId="6410931F" w14:textId="7777777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xml:space="preserve">, 2014-2015, doc. 54 1057/001, p. 3. Une définition similaire, à ceci près qu’il y est également précisé que les États débiteurs sont souvent accablés de dettes, est donnée dans les travaux préparatoires de la loi du 6 avril 2008 visant à empêcher la saisie ou la cession des fonds publics destinés à la coopération internationale, notamment par la technique des fonds vautours (proposition de loi visant à sauvegarder la coopération au développement et l’allègement de la dette à la suite de l’intervention des fonds vautours, développements, Sénat, </w:t>
      </w:r>
      <w:r w:rsidRPr="00E72418">
        <w:rPr>
          <w:i/>
          <w:szCs w:val="20"/>
        </w:rPr>
        <w:t>Doc. parl.</w:t>
      </w:r>
      <w:r w:rsidRPr="00E72418">
        <w:rPr>
          <w:szCs w:val="20"/>
        </w:rPr>
        <w:t>, 2007-2008, doc. 4-482/1, p. 1).</w:t>
      </w:r>
    </w:p>
  </w:footnote>
  <w:footnote w:id="700">
    <w:p w14:paraId="6AE8F336"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U.S. bills 110 H.R. 6796 et 111 H.R. 2932 to prevent speculation and profiteering in the defaulted debt of certain poor countries, and for other purposes, article 3(1).</w:t>
      </w:r>
    </w:p>
  </w:footnote>
  <w:footnote w:id="701">
    <w:p w14:paraId="05C74E7D" w14:textId="7F8A8CD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60.</w:t>
      </w:r>
    </w:p>
  </w:footnote>
  <w:footnote w:id="702">
    <w:p w14:paraId="4A1ACC3B" w14:textId="096DFC15"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xml:space="preserve">, p. 36. </w:t>
      </w:r>
      <w:r w:rsidRPr="00E72418">
        <w:rPr>
          <w:szCs w:val="20"/>
          <w:lang w:val="en-US"/>
        </w:rPr>
        <w:t>Dans le cadre du contentieux argentin, Martin Guzman note qu’ « Argentina paid $325 million to vulture funds as compensation for all the legal fees incurred during the trial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12).</w:t>
      </w:r>
    </w:p>
  </w:footnote>
  <w:footnote w:id="703">
    <w:p w14:paraId="0119BD78" w14:textId="4A6C1DBA"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xml:space="preserve">, p. 249. </w:t>
      </w:r>
      <w:r w:rsidRPr="00E72418">
        <w:rPr>
          <w:szCs w:val="20"/>
        </w:rPr>
        <w:t>À cet égard, le Comité consultatif du Conseil des droits de l’homme des Nations Unies fait état de procès d’une durée moyenne de six ans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4).</w:t>
      </w:r>
    </w:p>
  </w:footnote>
  <w:footnote w:id="704">
    <w:p w14:paraId="53864363" w14:textId="75C818BE"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Plus généralement, Julian Schumacher </w:t>
      </w:r>
      <w:r w:rsidRPr="00E72418">
        <w:rPr>
          <w:rFonts w:ascii="Times New Roman" w:hAnsi="Times New Roman"/>
          <w:i/>
        </w:rPr>
        <w:t xml:space="preserve">et al. </w:t>
      </w:r>
      <w:r w:rsidRPr="00E72418">
        <w:rPr>
          <w:szCs w:val="20"/>
          <w:lang w:val="en-US"/>
        </w:rPr>
        <w:t>notent que « sovereign debt litigation is a high-risk, high-return strategy »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18). </w:t>
      </w:r>
      <w:r w:rsidRPr="00E72418">
        <w:rPr>
          <w:szCs w:val="20"/>
        </w:rPr>
        <w:t>En annexe de leur recherche, les auteurs donnent d’ailleurs différents exemples de « litigation failures » (</w:t>
      </w:r>
      <w:r w:rsidRPr="00E72418">
        <w:rPr>
          <w:i/>
          <w:szCs w:val="20"/>
        </w:rPr>
        <w:t>ibid.</w:t>
      </w:r>
      <w:r w:rsidRPr="00E72418">
        <w:rPr>
          <w:szCs w:val="20"/>
        </w:rPr>
        <w:t>, p. 61).</w:t>
      </w:r>
    </w:p>
  </w:footnote>
  <w:footnote w:id="705">
    <w:p w14:paraId="60D41FE8" w14:textId="382981D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Propos repris dans la décision High Court of Justice (RU), </w:t>
      </w:r>
      <w:r w:rsidRPr="00E72418">
        <w:rPr>
          <w:szCs w:val="20"/>
          <w:lang w:val="en-US"/>
        </w:rPr>
        <w:t>Queen’s Bench Division, Commercial Court</w:t>
      </w:r>
      <w:r w:rsidRPr="00E72418">
        <w:rPr>
          <w:szCs w:val="20"/>
        </w:rPr>
        <w:t xml:space="preserve">, 15 février 2007, </w:t>
      </w:r>
      <w:r w:rsidRPr="00E72418">
        <w:rPr>
          <w:i/>
          <w:szCs w:val="20"/>
        </w:rPr>
        <w:t>Donegal International Limited v. Republic of Zambia and Anr.</w:t>
      </w:r>
      <w:r w:rsidRPr="00E72418">
        <w:rPr>
          <w:szCs w:val="20"/>
        </w:rPr>
        <w:t xml:space="preserve">, [2007] EWHC 197 (Comm.), paragraphe 76. Sur le contentieux ayant opposé la société </w:t>
      </w:r>
      <w:r w:rsidRPr="00E72418">
        <w:rPr>
          <w:i/>
          <w:szCs w:val="20"/>
        </w:rPr>
        <w:t>Donegal International Ltd.</w:t>
      </w:r>
      <w:r w:rsidRPr="00E72418">
        <w:rPr>
          <w:szCs w:val="20"/>
        </w:rPr>
        <w:t xml:space="preserve"> à la République de Zambie,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104 et suiv.</w:t>
      </w:r>
    </w:p>
  </w:footnote>
  <w:footnote w:id="706">
    <w:p w14:paraId="44D8DEA6" w14:textId="1379B984"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4. Voyez </w:t>
      </w:r>
      <w:r w:rsidRPr="00E72418">
        <w:rPr>
          <w:smallCaps/>
          <w:szCs w:val="20"/>
        </w:rPr>
        <w:t>J. Schumacher, C. Trebesch</w:t>
      </w:r>
      <w:r w:rsidRPr="00E72418">
        <w:rPr>
          <w:szCs w:val="20"/>
        </w:rPr>
        <w:t xml:space="preserve"> et H. </w:t>
      </w:r>
      <w:r w:rsidRPr="00E72418">
        <w:rPr>
          <w:smallCaps/>
          <w:szCs w:val="20"/>
        </w:rPr>
        <w:t>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pp. 60 et 61 pour des exemples chiffrés.</w:t>
      </w:r>
    </w:p>
  </w:footnote>
  <w:footnote w:id="707">
    <w:p w14:paraId="4EE25833" w14:textId="5E16174D"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4. Voyez également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p. 5.</w:t>
      </w:r>
    </w:p>
  </w:footnote>
  <w:footnote w:id="708">
    <w:p w14:paraId="5C5E8AD2" w14:textId="7B163A5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Si l’on reprend les chiffres du contentieux argentin visés lors de l’élaboration de la loi belge visant à lutter contre les activités des fonds vautours, la société </w:t>
      </w:r>
      <w:r w:rsidRPr="00E72418">
        <w:rPr>
          <w:i/>
          <w:szCs w:val="20"/>
        </w:rPr>
        <w:t>NML Capital Ltd.</w:t>
      </w:r>
      <w:r w:rsidRPr="00E72418">
        <w:rPr>
          <w:szCs w:val="20"/>
        </w:rPr>
        <w:t xml:space="preserve"> et la société </w:t>
      </w:r>
      <w:r w:rsidRPr="00E72418">
        <w:rPr>
          <w:i/>
          <w:szCs w:val="20"/>
        </w:rPr>
        <w:t>Aurelius Capital</w:t>
      </w:r>
      <w:r w:rsidRPr="00E72418">
        <w:rPr>
          <w:szCs w:val="20"/>
        </w:rPr>
        <w:t xml:space="preserve"> rachetèrent des créances sur le pays dont elles obtinrent la condamnation par les tribunaux de l’État de New York au remboursement d’un montant d’un milliard trois cents trente millions de dollars lequel montant inclut la valeur nominale des créances de sept cent vingt millions de dollars et près de six cents millions de dollars d’intérêts de retard (proposition de loi relative à la lutte contre les activités des fonds vautours, développements, Ch. repr., </w:t>
      </w:r>
      <w:r w:rsidRPr="00E72418">
        <w:rPr>
          <w:i/>
          <w:szCs w:val="20"/>
        </w:rPr>
        <w:t>Doc. parl.</w:t>
      </w:r>
      <w:r w:rsidRPr="00E72418">
        <w:rPr>
          <w:szCs w:val="20"/>
        </w:rPr>
        <w:t>, 2014-2015, doc. 54 1057/001, p. 4). Le profit est extrêmement conséquent sachant que les créances initiales avaient apparemment été rachetées pour quarante-neuf millions d’euros (Chambre des représentants de Belgique, compte rendu intégral avec compte rendu analytique traduit des interventions, séance plénière, 25 juin 2015, CRIV 54 PLEN 057, p. 63).</w:t>
      </w:r>
    </w:p>
  </w:footnote>
  <w:footnote w:id="709">
    <w:p w14:paraId="32008284" w14:textId="12F9779E"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Dans son rapport de 2019 sur les activités des fonds vautours et leurs incidences sur les droits de l’homme, le Comité consultatif du Conseil des droits de l’homme des Nations Unies relève une moyenne de huit actions intentés par an par des fonds qualifiés de « vautours » à l’encontre d’États africains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8). Voyez les </w:t>
      </w:r>
      <w:r w:rsidR="00813C82">
        <w:rPr>
          <w:szCs w:val="20"/>
        </w:rPr>
        <w:t xml:space="preserve">quelques </w:t>
      </w:r>
      <w:r w:rsidRPr="00E72418">
        <w:rPr>
          <w:szCs w:val="20"/>
        </w:rPr>
        <w:t xml:space="preserve">exemples repris </w:t>
      </w:r>
      <w:r w:rsidRPr="00E72418">
        <w:rPr>
          <w:i/>
          <w:szCs w:val="20"/>
        </w:rPr>
        <w:t>supra</w:t>
      </w:r>
      <w:r w:rsidRPr="00E72418">
        <w:rPr>
          <w:szCs w:val="20"/>
        </w:rPr>
        <w:t xml:space="preserve"> n</w:t>
      </w:r>
      <w:r w:rsidRPr="00E72418">
        <w:rPr>
          <w:szCs w:val="20"/>
          <w:vertAlign w:val="superscript"/>
        </w:rPr>
        <w:t>os</w:t>
      </w:r>
      <w:r w:rsidRPr="00E72418">
        <w:rPr>
          <w:szCs w:val="20"/>
        </w:rPr>
        <w:t xml:space="preserve"> 84 et suiv.</w:t>
      </w:r>
    </w:p>
  </w:footnote>
  <w:footnote w:id="710">
    <w:p w14:paraId="11F4A0BA" w14:textId="3FC393B4" w:rsidR="0030147D" w:rsidRPr="00C36BCF" w:rsidRDefault="0030147D" w:rsidP="00C36BCF">
      <w:pPr>
        <w:pStyle w:val="Sansinterligne"/>
      </w:pPr>
      <w:r>
        <w:rPr>
          <w:rStyle w:val="Appelnotedebasdep"/>
        </w:rPr>
        <w:footnoteRef/>
      </w:r>
      <w:r>
        <w:t xml:space="preserve"> E. </w:t>
      </w:r>
      <w:r w:rsidRPr="00C36BCF">
        <w:rPr>
          <w:smallCaps/>
        </w:rPr>
        <w:t>Tourme-Jouannet</w:t>
      </w:r>
      <w:r>
        <w:t xml:space="preserve">, M. </w:t>
      </w:r>
      <w:r w:rsidRPr="00C36BCF">
        <w:rPr>
          <w:smallCaps/>
        </w:rPr>
        <w:t>Toufayan</w:t>
      </w:r>
      <w:r>
        <w:t xml:space="preserve"> et H. </w:t>
      </w:r>
      <w:r w:rsidRPr="00C36BCF">
        <w:rPr>
          <w:smallCaps/>
        </w:rPr>
        <w:t>Ruiz Fabri</w:t>
      </w:r>
      <w:r>
        <w:t xml:space="preserve">, « Nouvelles approches sur le tiers-monde : entre répétition et renouveau », in M. </w:t>
      </w:r>
      <w:r w:rsidRPr="00C36BCF">
        <w:rPr>
          <w:smallCaps/>
        </w:rPr>
        <w:t>Toufayan</w:t>
      </w:r>
      <w:r>
        <w:t xml:space="preserve">, E. </w:t>
      </w:r>
      <w:r w:rsidRPr="00C36BCF">
        <w:rPr>
          <w:smallCaps/>
        </w:rPr>
        <w:t>Tourme-Jouannet</w:t>
      </w:r>
      <w:r>
        <w:t xml:space="preserve"> et H. </w:t>
      </w:r>
      <w:r w:rsidRPr="00C36BCF">
        <w:rPr>
          <w:smallCaps/>
        </w:rPr>
        <w:t>Ruiz Fabri</w:t>
      </w:r>
      <w:r>
        <w:t xml:space="preserve"> (dir.), </w:t>
      </w:r>
      <w:r w:rsidRPr="00C36BCF">
        <w:rPr>
          <w:i/>
        </w:rPr>
        <w:t>Droit international et nouvelles approches sur le tiers-monde : entre répétition et renouveau</w:t>
      </w:r>
      <w:r>
        <w:t>, Société de législation comparée, 2013, p. 21.</w:t>
      </w:r>
    </w:p>
  </w:footnote>
  <w:footnote w:id="711">
    <w:p w14:paraId="589BCED4" w14:textId="2745419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Style w:val="Titredulivre"/>
          <w:b w:val="0"/>
          <w:bCs w:val="0"/>
          <w:i w:val="0"/>
          <w:iCs w:val="0"/>
          <w:smallCaps/>
          <w:spacing w:val="0"/>
          <w:szCs w:val="20"/>
        </w:rPr>
        <w:t>H. Muir Watt</w:t>
      </w:r>
      <w:r w:rsidRPr="00E72418">
        <w:rPr>
          <w:rStyle w:val="Titredulivre"/>
          <w:b w:val="0"/>
          <w:bCs w:val="0"/>
          <w:i w:val="0"/>
          <w:iCs w:val="0"/>
          <w:spacing w:val="0"/>
          <w:szCs w:val="20"/>
        </w:rPr>
        <w:t xml:space="preserve">, « L’immunité souveraine et les fonds “vautour” », </w:t>
      </w:r>
      <w:r w:rsidRPr="00E72418">
        <w:rPr>
          <w:i/>
          <w:szCs w:val="20"/>
        </w:rPr>
        <w:t>op. cit.</w:t>
      </w:r>
      <w:r w:rsidRPr="00E72418">
        <w:rPr>
          <w:rStyle w:val="Titredulivre"/>
          <w:b w:val="0"/>
          <w:bCs w:val="0"/>
          <w:i w:val="0"/>
          <w:iCs w:val="0"/>
          <w:spacing w:val="0"/>
          <w:szCs w:val="20"/>
        </w:rPr>
        <w:t>, p. 791.</w:t>
      </w:r>
    </w:p>
  </w:footnote>
  <w:footnote w:id="712">
    <w:p w14:paraId="6C5A82CA" w14:textId="13F4972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706.</w:t>
      </w:r>
    </w:p>
  </w:footnote>
  <w:footnote w:id="713">
    <w:p w14:paraId="33F68DDE" w14:textId="2212A2A7" w:rsidR="0030147D" w:rsidRPr="00E72418" w:rsidRDefault="0030147D" w:rsidP="00585FC1">
      <w:pPr>
        <w:pStyle w:val="Sansinterligne"/>
      </w:pPr>
      <w:r w:rsidRPr="00E72418">
        <w:rPr>
          <w:rStyle w:val="Appelnotedebasdep"/>
        </w:rPr>
        <w:footnoteRef/>
      </w:r>
      <w:r w:rsidRPr="00E72418">
        <w:t xml:space="preserve"> La réduction du prix des dettes rachetées s’explique par la prise en compte du risque de défaut mais également des pertes probables (C. </w:t>
      </w:r>
      <w:r w:rsidRPr="00E72418">
        <w:rPr>
          <w:rFonts w:cs="Times New Roman"/>
          <w:smallCaps/>
          <w:szCs w:val="24"/>
          <w:shd w:val="clear" w:color="auto" w:fill="FFFFFF"/>
        </w:rPr>
        <w:t>Lequesne-Roth</w:t>
      </w:r>
      <w:r w:rsidRPr="00E72418">
        <w:rPr>
          <w:rFonts w:cs="Times New Roman"/>
          <w:szCs w:val="24"/>
          <w:shd w:val="clear" w:color="auto" w:fill="FFFFFF"/>
        </w:rPr>
        <w:t>,</w:t>
      </w:r>
      <w:r w:rsidRPr="00E72418">
        <w:rPr>
          <w:rStyle w:val="apple-converted-space"/>
          <w:rFonts w:cs="Times New Roman"/>
          <w:szCs w:val="24"/>
          <w:shd w:val="clear" w:color="auto" w:fill="FFFFFF"/>
        </w:rPr>
        <w:t xml:space="preserve"> </w:t>
      </w:r>
      <w:r w:rsidRPr="00E72418">
        <w:rPr>
          <w:rFonts w:cs="Times New Roman"/>
          <w:i/>
          <w:szCs w:val="24"/>
        </w:rPr>
        <w:t>Le régime contractuel de défaut des États débiteurs européens</w:t>
      </w:r>
      <w:r w:rsidRPr="00E72418">
        <w:rPr>
          <w:rFonts w:cs="Times New Roman"/>
          <w:szCs w:val="24"/>
        </w:rPr>
        <w:t xml:space="preserve">, </w:t>
      </w:r>
      <w:r w:rsidRPr="00E72418">
        <w:rPr>
          <w:rFonts w:cs="Times New Roman"/>
          <w:i/>
          <w:szCs w:val="24"/>
        </w:rPr>
        <w:t>op. cit.</w:t>
      </w:r>
      <w:r w:rsidRPr="00E72418">
        <w:t>, p. 255).</w:t>
      </w:r>
    </w:p>
  </w:footnote>
  <w:footnote w:id="714">
    <w:p w14:paraId="67586F2C" w14:textId="50DBD99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pp. 5 et 9. Le rapport cite également Porto Rico ou encore le Venezuela. </w:t>
      </w:r>
    </w:p>
  </w:footnote>
  <w:footnote w:id="715">
    <w:p w14:paraId="46ADEB7C" w14:textId="39E91B5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1689.</w:t>
      </w:r>
    </w:p>
  </w:footnote>
  <w:footnote w:id="716">
    <w:p w14:paraId="192FE198" w14:textId="4F2065C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60.</w:t>
      </w:r>
    </w:p>
  </w:footnote>
  <w:footnote w:id="717">
    <w:p w14:paraId="5CEE4D1F"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Les propositions de loi étatsuniennes contre les fonds vautours visent d’ailleurs des « purchase, assignment, or some other forms of transaction » (U.S. bills 110 H.R. 6796 et 111 H.R. 2932 to prevent speculation and profiteering in the defaulted debt of certain poor countries, and for other purposes, article 2(7)).</w:t>
      </w:r>
    </w:p>
  </w:footnote>
  <w:footnote w:id="718">
    <w:p w14:paraId="3D119459" w14:textId="0640B184"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U.S. bills 110 H.R. 6796 et 111 H.R. 2932 to prevent speculation and profiteering in the defaulted debt of certain poor countries, and for other purposes, article 2(7). Voyez, pour un exemple, le contentieux ayant opposé le fonds </w:t>
      </w:r>
      <w:r w:rsidRPr="00E72418">
        <w:rPr>
          <w:i/>
        </w:rPr>
        <w:t>FG Hemisphere Associates LLC</w:t>
      </w:r>
      <w:r w:rsidRPr="00E72418">
        <w:t xml:space="preserve"> à la République démocratique du Congo (</w:t>
      </w:r>
      <w:r w:rsidRPr="00E72418">
        <w:rPr>
          <w:i/>
        </w:rPr>
        <w:t>supra</w:t>
      </w:r>
      <w:r w:rsidRPr="00E72418">
        <w:t xml:space="preserve"> n</w:t>
      </w:r>
      <w:r w:rsidRPr="00E72418">
        <w:rPr>
          <w:vertAlign w:val="superscript"/>
        </w:rPr>
        <w:t>os</w:t>
      </w:r>
      <w:r w:rsidRPr="00E72418">
        <w:t xml:space="preserve"> 107 et suiv.).</w:t>
      </w:r>
    </w:p>
  </w:footnote>
  <w:footnote w:id="719">
    <w:p w14:paraId="6674FE5C" w14:textId="3D46CD2D" w:rsidR="0030147D" w:rsidRPr="00E72418" w:rsidRDefault="0030147D" w:rsidP="00D551BF">
      <w:pPr>
        <w:pStyle w:val="Sansinterligne"/>
        <w:rPr>
          <w:szCs w:val="20"/>
        </w:rPr>
      </w:pPr>
      <w:r w:rsidRPr="00E72418">
        <w:rPr>
          <w:rStyle w:val="Appelnotedebasdep"/>
          <w:szCs w:val="20"/>
        </w:rPr>
        <w:footnoteRef/>
      </w:r>
      <w:r w:rsidRPr="00E72418">
        <w:rPr>
          <w:szCs w:val="20"/>
        </w:rPr>
        <w:t xml:space="preserve"> Ainsi, par exemple, un fonds spéculatif fort du rachat d’une dette dont la République d’Angola était redevable menaça le pays qui lui aurait accordé des droits sur les opérations d’extraction de diamants y menées (</w:t>
      </w:r>
      <w:r w:rsidRPr="00E72418">
        <w:rPr>
          <w:smallCaps/>
          <w:szCs w:val="20"/>
        </w:rPr>
        <w:t>A. Akin-Olugbade</w:t>
      </w:r>
      <w:r w:rsidRPr="00E72418">
        <w:rPr>
          <w:szCs w:val="20"/>
        </w:rPr>
        <w:t xml:space="preserve">, « The </w:t>
      </w:r>
      <w:r w:rsidRPr="00E72418">
        <w:rPr>
          <w:i/>
          <w:szCs w:val="20"/>
        </w:rPr>
        <w:t>Donegal</w:t>
      </w:r>
      <w:r w:rsidRPr="00E72418">
        <w:rPr>
          <w:szCs w:val="20"/>
        </w:rPr>
        <w:t xml:space="preserve"> Case and the African Legal Support Facility », </w:t>
      </w:r>
      <w:r w:rsidRPr="00E72418">
        <w:rPr>
          <w:i/>
        </w:rPr>
        <w:t>op. cit.</w:t>
      </w:r>
      <w:r w:rsidRPr="00E72418">
        <w:rPr>
          <w:szCs w:val="20"/>
        </w:rPr>
        <w:t xml:space="preserve">, p. 412). Voyez également l’échange sollicité lors du contentieux ayant opposé la société </w:t>
      </w:r>
      <w:r w:rsidRPr="00E72418">
        <w:rPr>
          <w:i/>
          <w:szCs w:val="20"/>
        </w:rPr>
        <w:t>Donegal International Ltd.</w:t>
      </w:r>
      <w:r w:rsidRPr="00E72418">
        <w:rPr>
          <w:szCs w:val="20"/>
        </w:rPr>
        <w:t xml:space="preserve"> à la République de Zambie (</w:t>
      </w:r>
      <w:r w:rsidRPr="00E72418">
        <w:rPr>
          <w:i/>
          <w:szCs w:val="20"/>
        </w:rPr>
        <w:t>supra</w:t>
      </w:r>
      <w:r w:rsidRPr="00E72418">
        <w:rPr>
          <w:szCs w:val="20"/>
        </w:rPr>
        <w:t xml:space="preserve"> n° 105).</w:t>
      </w:r>
    </w:p>
  </w:footnote>
  <w:footnote w:id="720">
    <w:p w14:paraId="6E58994D" w14:textId="0D377709" w:rsidR="0030147D" w:rsidRPr="00E72418" w:rsidRDefault="0030147D" w:rsidP="00680266">
      <w:pPr>
        <w:pStyle w:val="Sansinterligne"/>
      </w:pPr>
      <w:r w:rsidRPr="00E72418">
        <w:rPr>
          <w:rStyle w:val="Appelnotedebasdep"/>
        </w:rPr>
        <w:footnoteRef/>
      </w:r>
      <w:r w:rsidRPr="00E72418">
        <w:t xml:space="preserve"> J. </w:t>
      </w:r>
      <w:r w:rsidRPr="00E72418">
        <w:rPr>
          <w:smallCaps/>
          <w:shd w:val="clear" w:color="auto" w:fill="FFFFFF"/>
        </w:rPr>
        <w:t>Bröhmer</w:t>
      </w:r>
      <w:r w:rsidRPr="00E72418">
        <w:rPr>
          <w:shd w:val="clear" w:color="auto" w:fill="FFFFFF"/>
        </w:rPr>
        <w:t xml:space="preserve">, </w:t>
      </w:r>
      <w:r w:rsidRPr="00E72418">
        <w:t xml:space="preserve">« State Immunity and Sovereign Bonds », </w:t>
      </w:r>
      <w:r w:rsidRPr="00E72418">
        <w:rPr>
          <w:shd w:val="clear" w:color="auto" w:fill="FFFFFF"/>
        </w:rPr>
        <w:t xml:space="preserve">in A. </w:t>
      </w:r>
      <w:r w:rsidRPr="00E72418">
        <w:rPr>
          <w:smallCaps/>
          <w:shd w:val="clear" w:color="auto" w:fill="FFFFFF"/>
        </w:rPr>
        <w:t>Peters</w:t>
      </w:r>
      <w:r w:rsidRPr="00E72418">
        <w:rPr>
          <w:shd w:val="clear" w:color="auto" w:fill="FFFFFF"/>
        </w:rPr>
        <w:t xml:space="preserve">, E. </w:t>
      </w:r>
      <w:r w:rsidRPr="00E72418">
        <w:rPr>
          <w:smallCaps/>
          <w:shd w:val="clear" w:color="auto" w:fill="FFFFFF"/>
        </w:rPr>
        <w:t>Lagrange</w:t>
      </w:r>
      <w:r w:rsidRPr="00E72418">
        <w:rPr>
          <w:shd w:val="clear" w:color="auto" w:fill="FFFFFF"/>
        </w:rPr>
        <w:t xml:space="preserve">, S. </w:t>
      </w:r>
      <w:r w:rsidRPr="00E72418">
        <w:rPr>
          <w:smallCaps/>
          <w:shd w:val="clear" w:color="auto" w:fill="FFFFFF"/>
        </w:rPr>
        <w:t>Oeter</w:t>
      </w:r>
      <w:r w:rsidRPr="00E72418">
        <w:rPr>
          <w:shd w:val="clear" w:color="auto" w:fill="FFFFFF"/>
        </w:rPr>
        <w:t xml:space="preserve"> et C. </w:t>
      </w:r>
      <w:r w:rsidRPr="00E72418">
        <w:rPr>
          <w:smallCaps/>
          <w:shd w:val="clear" w:color="auto" w:fill="FFFFFF"/>
        </w:rPr>
        <w:t xml:space="preserve">Tomuschat </w:t>
      </w:r>
      <w:r w:rsidRPr="00E72418">
        <w:rPr>
          <w:shd w:val="clear" w:color="auto" w:fill="FFFFFF"/>
        </w:rPr>
        <w:t xml:space="preserve">(éd.), </w:t>
      </w:r>
      <w:r w:rsidRPr="00E72418">
        <w:rPr>
          <w:rStyle w:val="fn"/>
          <w:rFonts w:cs="Times New Roman"/>
          <w:i/>
          <w:szCs w:val="24"/>
          <w:lang w:val="en-GB"/>
        </w:rPr>
        <w:t>Immunities in the Age of Global Constitutionalism</w:t>
      </w:r>
      <w:r w:rsidRPr="00E72418">
        <w:rPr>
          <w:rStyle w:val="fn"/>
          <w:rFonts w:cs="Times New Roman"/>
          <w:szCs w:val="24"/>
          <w:lang w:val="en-GB"/>
        </w:rPr>
        <w:t>, Brill-Nijhoff, 2014, p. 193.</w:t>
      </w:r>
    </w:p>
  </w:footnote>
  <w:footnote w:id="721">
    <w:p w14:paraId="56F8E59A" w14:textId="69574A2B" w:rsidR="0030147D" w:rsidRPr="00E72418" w:rsidRDefault="0030147D" w:rsidP="00416642">
      <w:pPr>
        <w:pStyle w:val="Sansinterligne"/>
      </w:pPr>
      <w:r w:rsidRPr="00E72418">
        <w:rPr>
          <w:rStyle w:val="Appelnotedebasdep"/>
        </w:rPr>
        <w:footnoteRef/>
      </w:r>
      <w:r w:rsidRPr="00E72418">
        <w:rPr>
          <w:vertAlign w:val="superscript"/>
        </w:rPr>
        <w:t xml:space="preserve"> </w:t>
      </w:r>
      <w:r w:rsidRPr="00E72418">
        <w:t>Cette synonymie existe malheureusement (voyez</w:t>
      </w:r>
      <w:r>
        <w:t>,</w:t>
      </w:r>
      <w:r w:rsidRPr="00E72418">
        <w:t xml:space="preserve"> par exemple</w:t>
      </w:r>
      <w:r>
        <w:t>,</w:t>
      </w:r>
      <w:r w:rsidRPr="00E72418">
        <w:t xml:space="preserve"> U. </w:t>
      </w:r>
      <w:r w:rsidRPr="00E72418">
        <w:rPr>
          <w:smallCaps/>
        </w:rPr>
        <w:t>Varottil</w:t>
      </w:r>
      <w:r w:rsidRPr="00E72418">
        <w:t xml:space="preserve">, « Sovereign Debt Documentation and the </w:t>
      </w:r>
      <w:r w:rsidRPr="00E72418">
        <w:rPr>
          <w:i/>
        </w:rPr>
        <w:t>Pari Passu</w:t>
      </w:r>
      <w:r w:rsidRPr="00E72418">
        <w:t xml:space="preserve"> Clause », in R. </w:t>
      </w:r>
      <w:r w:rsidRPr="00E72418">
        <w:rPr>
          <w:smallCaps/>
        </w:rPr>
        <w:t>Kolb</w:t>
      </w:r>
      <w:r w:rsidRPr="00E72418">
        <w:t xml:space="preserve"> (éd.), </w:t>
      </w:r>
      <w:r w:rsidRPr="00E72418">
        <w:rPr>
          <w:i/>
        </w:rPr>
        <w:t>Sovereign Debt: From Safety to Default</w:t>
      </w:r>
      <w:r w:rsidRPr="00E72418">
        <w:t xml:space="preserve">, Wiley, 2011, p. 227 : « creditors, known as holdouts, or </w:t>
      </w:r>
      <w:r w:rsidRPr="00E72418">
        <w:rPr>
          <w:i/>
        </w:rPr>
        <w:t>vultures</w:t>
      </w:r>
      <w:r w:rsidRPr="00E72418">
        <w:t xml:space="preserve"> »).</w:t>
      </w:r>
    </w:p>
  </w:footnote>
  <w:footnote w:id="722">
    <w:p w14:paraId="314EFC12" w14:textId="5518DEC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Dans le même sens,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571 : « [v]ulture funds are always secondary creditors; they were not party to the original transaction and have only become involved by purchasing the sovereign bonds from the original creditor ».</w:t>
      </w:r>
    </w:p>
  </w:footnote>
  <w:footnote w:id="723">
    <w:p w14:paraId="3E29008D" w14:textId="067FFE5C"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Et leur refus est d’autant plus aisé que, comme le note Philip Power, « secondary market purchasers are not subject to the same peer and political pressures to participate in debt restructurings » (</w:t>
      </w:r>
      <w:r w:rsidRPr="00E72418">
        <w:rPr>
          <w:smallCaps/>
          <w:szCs w:val="20"/>
          <w:lang w:val="en-US"/>
        </w:rPr>
        <w:t>P. Power</w:t>
      </w:r>
      <w:r w:rsidRPr="00E72418">
        <w:rPr>
          <w:szCs w:val="20"/>
          <w:lang w:val="en-US"/>
        </w:rPr>
        <w:t xml:space="preserve">, « Sovereign debt: The rise of the secondary market and its implication for future restructurings », </w:t>
      </w:r>
      <w:r w:rsidRPr="00E72418">
        <w:rPr>
          <w:i/>
          <w:szCs w:val="20"/>
          <w:lang w:val="en-US"/>
        </w:rPr>
        <w:t>op. cit.</w:t>
      </w:r>
      <w:r w:rsidRPr="00E72418">
        <w:rPr>
          <w:szCs w:val="20"/>
          <w:lang w:val="en-US"/>
        </w:rPr>
        <w:t>, p. 2745).</w:t>
      </w:r>
    </w:p>
  </w:footnote>
  <w:footnote w:id="724">
    <w:p w14:paraId="4606FC09" w14:textId="3AEE67E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Comme le relève Mauro Megliani, l’activité des fonds spéculatifs est rendue possible par le fait que « they hold credits bearing the original terms of the loan » et que, par conséquent, « they are entitled to claim in full the nominal capital plus accrued interest »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pp. 364 et 365).</w:t>
      </w:r>
    </w:p>
  </w:footnote>
  <w:footnote w:id="725">
    <w:p w14:paraId="14FFC4CE" w14:textId="3D2A86B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mallCaps/>
          <w:szCs w:val="20"/>
          <w:lang w:val="en-US"/>
        </w:rPr>
        <w:t xml:space="preserve">, </w:t>
      </w:r>
      <w:r w:rsidRPr="00E72418">
        <w:rPr>
          <w:szCs w:val="20"/>
          <w:lang w:val="en-US"/>
        </w:rPr>
        <w:t>p. 366. Jean-François Boudet relève généralement d’ailleurs que le rapport entre créanciers et débiteurs publics est « violent et brutal » (</w:t>
      </w:r>
      <w:r w:rsidRPr="00E72418">
        <w:rPr>
          <w:rFonts w:cs="Times New Roman"/>
          <w:smallCaps/>
          <w:szCs w:val="24"/>
          <w:lang w:val="en-US"/>
        </w:rPr>
        <w:t xml:space="preserve">J.-F. Boudet, « </w:t>
      </w:r>
      <w:r w:rsidRPr="00E72418">
        <w:rPr>
          <w:rFonts w:cs="Times New Roman"/>
          <w:szCs w:val="24"/>
          <w:lang w:val="en-US"/>
        </w:rPr>
        <w:t xml:space="preserve">Essai sur le défaut souverain </w:t>
      </w:r>
      <w:r w:rsidRPr="00E72418">
        <w:rPr>
          <w:szCs w:val="24"/>
          <w:lang w:val="en-US"/>
        </w:rPr>
        <w:t xml:space="preserve">», </w:t>
      </w:r>
      <w:r w:rsidRPr="00E72418">
        <w:rPr>
          <w:i/>
          <w:szCs w:val="24"/>
          <w:lang w:val="en-US"/>
        </w:rPr>
        <w:t>op. cit.</w:t>
      </w:r>
      <w:r w:rsidRPr="00E72418">
        <w:rPr>
          <w:szCs w:val="24"/>
          <w:lang w:val="en-US"/>
        </w:rPr>
        <w:t xml:space="preserve">, </w:t>
      </w:r>
      <w:r w:rsidRPr="00E72418">
        <w:rPr>
          <w:szCs w:val="20"/>
          <w:lang w:val="en-US"/>
        </w:rPr>
        <w:t>p. 387).</w:t>
      </w:r>
    </w:p>
  </w:footnote>
  <w:footnote w:id="726">
    <w:p w14:paraId="332DDD04" w14:textId="6D7CC5F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Style w:val="Titredulivre"/>
          <w:b w:val="0"/>
          <w:bCs w:val="0"/>
          <w:i w:val="0"/>
          <w:iCs w:val="0"/>
          <w:smallCaps/>
          <w:spacing w:val="0"/>
          <w:szCs w:val="20"/>
        </w:rPr>
        <w:t>H. Muir Watt</w:t>
      </w:r>
      <w:r w:rsidRPr="00E72418">
        <w:rPr>
          <w:rStyle w:val="Titredulivre"/>
          <w:b w:val="0"/>
          <w:bCs w:val="0"/>
          <w:i w:val="0"/>
          <w:iCs w:val="0"/>
          <w:spacing w:val="0"/>
          <w:szCs w:val="20"/>
        </w:rPr>
        <w:t xml:space="preserve">, « L’immunité souveraine et les fonds “vautour” », </w:t>
      </w:r>
      <w:r w:rsidRPr="00E72418">
        <w:rPr>
          <w:i/>
          <w:szCs w:val="20"/>
        </w:rPr>
        <w:t>op. cit.</w:t>
      </w:r>
      <w:r w:rsidRPr="00E72418">
        <w:rPr>
          <w:rStyle w:val="Titredulivre"/>
          <w:b w:val="0"/>
          <w:bCs w:val="0"/>
          <w:i w:val="0"/>
          <w:iCs w:val="0"/>
          <w:spacing w:val="0"/>
          <w:szCs w:val="20"/>
        </w:rPr>
        <w:t xml:space="preserve">, p. 791. Voyez encore </w:t>
      </w:r>
      <w:r w:rsidRPr="00E72418">
        <w:rPr>
          <w:shd w:val="clear" w:color="auto" w:fill="FFFFFF"/>
        </w:rPr>
        <w:t xml:space="preserve">H. </w:t>
      </w:r>
      <w:r w:rsidRPr="00E72418">
        <w:rPr>
          <w:rFonts w:cs="Times New Roman"/>
          <w:smallCaps/>
          <w:szCs w:val="24"/>
          <w:lang w:val="en-US"/>
        </w:rPr>
        <w:t>Muir Watt</w:t>
      </w:r>
      <w:r w:rsidRPr="00E72418">
        <w:rPr>
          <w:rFonts w:cs="Times New Roman"/>
          <w:szCs w:val="24"/>
          <w:lang w:val="en-US"/>
        </w:rPr>
        <w:t xml:space="preserve">, « Private International Law Beyond the Schism », </w:t>
      </w:r>
      <w:r w:rsidRPr="00E72418">
        <w:rPr>
          <w:rFonts w:cs="Times New Roman"/>
          <w:i/>
          <w:szCs w:val="24"/>
          <w:lang w:val="en-US"/>
        </w:rPr>
        <w:t>op. cit.</w:t>
      </w:r>
      <w:r w:rsidRPr="00E72418">
        <w:rPr>
          <w:rFonts w:cs="Times New Roman"/>
          <w:szCs w:val="24"/>
          <w:lang w:val="en-US"/>
        </w:rPr>
        <w:t xml:space="preserve">, 2011, p. 372 et </w:t>
      </w:r>
      <w:r w:rsidRPr="00E72418">
        <w:rPr>
          <w:szCs w:val="20"/>
        </w:rPr>
        <w:t xml:space="preserve">H. </w:t>
      </w:r>
      <w:r w:rsidRPr="00E72418">
        <w:rPr>
          <w:smallCaps/>
          <w:szCs w:val="20"/>
        </w:rPr>
        <w:t>Muir Watt</w:t>
      </w:r>
      <w:r w:rsidRPr="00E72418">
        <w:rPr>
          <w:szCs w:val="20"/>
        </w:rPr>
        <w:t xml:space="preserve">, « Note sous Cass., 28 mars 2013 », </w:t>
      </w:r>
      <w:r w:rsidRPr="00E72418">
        <w:rPr>
          <w:i/>
          <w:szCs w:val="20"/>
        </w:rPr>
        <w:t>Rev. crit. DIP</w:t>
      </w:r>
      <w:r w:rsidRPr="00E72418">
        <w:rPr>
          <w:szCs w:val="20"/>
        </w:rPr>
        <w:t>, 2013, p. 676 où l’auteure indique que « </w:t>
      </w:r>
      <w:r w:rsidRPr="00E72418">
        <w:rPr>
          <w:szCs w:val="20"/>
          <w:lang w:val="en-US"/>
        </w:rPr>
        <w:t xml:space="preserve">[ces fonds vautour] </w:t>
      </w:r>
      <w:r w:rsidRPr="00E72418">
        <w:t>fabriquent en effet un régime composé de fragments juridiques cueillis ça et là en fonction de l’aptitude des juridictions compétentes à servir, parcelle par parcelle, l’objectif voulu ».</w:t>
      </w:r>
    </w:p>
  </w:footnote>
  <w:footnote w:id="727">
    <w:p w14:paraId="0184B58E" w14:textId="5DA19D9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Comme le notent Lee Buchheit et Elena Daly, « [v]ery little may […] stand in the way of a creditor intent on obtaining a court judgment against a defaulting sovereign borrower » et « [i]t is when that creditor seeks to enforce the judgment that the sovereign’s unique protections will manifest themselves »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xml:space="preserve">, p. 4). </w:t>
      </w:r>
      <w:r w:rsidRPr="00E72418">
        <w:rPr>
          <w:szCs w:val="20"/>
        </w:rPr>
        <w:t xml:space="preserve">Sur la difficile exécution à l’endroit des dettes souveraines, voyez </w:t>
      </w:r>
      <w:r w:rsidRPr="00E72418">
        <w:rPr>
          <w:i/>
          <w:szCs w:val="20"/>
        </w:rPr>
        <w:t>supra</w:t>
      </w:r>
      <w:r w:rsidRPr="00E72418">
        <w:rPr>
          <w:szCs w:val="20"/>
        </w:rPr>
        <w:t xml:space="preserve"> n° 27.</w:t>
      </w:r>
    </w:p>
  </w:footnote>
  <w:footnote w:id="728">
    <w:p w14:paraId="5B35A68E" w14:textId="45E287A8"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w:t>
      </w:r>
      <w:r w:rsidRPr="00E72418">
        <w:rPr>
          <w:smallCaps/>
          <w:szCs w:val="20"/>
        </w:rPr>
        <w:t>G. Pavlidis</w:t>
      </w:r>
      <w:r w:rsidRPr="00E72418">
        <w:rPr>
          <w:szCs w:val="20"/>
        </w:rPr>
        <w:t xml:space="preserve">, « Vulture litigation in the context of sovereign debt: global or local solutions? », </w:t>
      </w:r>
      <w:r w:rsidRPr="00E72418">
        <w:rPr>
          <w:i/>
          <w:szCs w:val="20"/>
        </w:rPr>
        <w:t>op. cit.</w:t>
      </w:r>
      <w:r w:rsidRPr="00E72418">
        <w:rPr>
          <w:szCs w:val="20"/>
        </w:rPr>
        <w:t>, p. 94.</w:t>
      </w:r>
    </w:p>
  </w:footnote>
  <w:footnote w:id="729">
    <w:p w14:paraId="3443889A" w14:textId="11A34242"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Les biens visés par les mesures de saisie sont divers et variés. Si l’on pense à l’exemple récurrent des comptes d’ambassades des États débiteurs, il en est d’autres allant de bâtiments navals comme l’</w:t>
      </w:r>
      <w:r w:rsidRPr="00E72418">
        <w:rPr>
          <w:i/>
          <w:szCs w:val="20"/>
        </w:rPr>
        <w:t xml:space="preserve">ARA Libertad </w:t>
      </w:r>
      <w:r w:rsidRPr="00E72418">
        <w:rPr>
          <w:szCs w:val="20"/>
        </w:rPr>
        <w:t xml:space="preserve">argentin (voyez </w:t>
      </w:r>
      <w:r w:rsidRPr="00E72418">
        <w:rPr>
          <w:i/>
          <w:szCs w:val="20"/>
        </w:rPr>
        <w:t>supra</w:t>
      </w:r>
      <w:r w:rsidRPr="00E72418">
        <w:rPr>
          <w:szCs w:val="20"/>
        </w:rPr>
        <w:t xml:space="preserve"> n° 94) à des montants octroyés par d’autres États au titre de l’aide au développement (voyez </w:t>
      </w:r>
      <w:r w:rsidRPr="00E72418">
        <w:rPr>
          <w:i/>
          <w:szCs w:val="20"/>
        </w:rPr>
        <w:t>supra</w:t>
      </w:r>
      <w:r w:rsidRPr="00E72418">
        <w:rPr>
          <w:szCs w:val="20"/>
        </w:rPr>
        <w:t xml:space="preserve"> n° 112). Pour ne reprendre que le contentieux argentin, il est encore notamment question de </w:t>
      </w:r>
      <w:r w:rsidRPr="00E72418">
        <w:rPr>
          <w:shd w:val="clear" w:color="auto" w:fill="FFFFFF"/>
        </w:rPr>
        <w:t xml:space="preserve">moyens utilisés dans le cadre d’un programme satellite international (voyez </w:t>
      </w:r>
      <w:r w:rsidRPr="00E72418">
        <w:rPr>
          <w:shd w:val="clear" w:color="auto" w:fill="FFFFFF"/>
          <w:lang w:val="en-US"/>
        </w:rPr>
        <w:t xml:space="preserve">United States District Court for the Central District of California (EUA), </w:t>
      </w:r>
      <w:r w:rsidRPr="00E72418">
        <w:rPr>
          <w:rStyle w:val="injectednode"/>
          <w:rFonts w:cs="Times New Roman"/>
          <w:szCs w:val="24"/>
          <w:bdr w:val="none" w:sz="0" w:space="0" w:color="auto" w:frame="1"/>
          <w:lang w:val="en-US"/>
        </w:rPr>
        <w:t>25 mai 2011,</w:t>
      </w:r>
      <w:r w:rsidRPr="00E72418">
        <w:rPr>
          <w:shd w:val="clear" w:color="auto" w:fill="FFFFFF"/>
          <w:lang w:val="en-US"/>
        </w:rPr>
        <w:t xml:space="preserve"> </w:t>
      </w:r>
      <w:r w:rsidRPr="00E72418">
        <w:rPr>
          <w:i/>
          <w:lang w:val="en-US"/>
        </w:rPr>
        <w:t xml:space="preserve">NML Capital, Ltd. v. Spaceport Sys. </w:t>
      </w:r>
      <w:r w:rsidRPr="00E72418">
        <w:rPr>
          <w:i/>
        </w:rPr>
        <w:t>Int’l, L.P.</w:t>
      </w:r>
      <w:r w:rsidRPr="00E72418">
        <w:rPr>
          <w:rStyle w:val="injectednode"/>
          <w:rFonts w:cs="Times New Roman"/>
          <w:szCs w:val="24"/>
          <w:bdr w:val="none" w:sz="0" w:space="0" w:color="auto" w:frame="1"/>
        </w:rPr>
        <w:t xml:space="preserve">, 788 F. Supp. 2d 1111), </w:t>
      </w:r>
      <w:r w:rsidRPr="00E72418">
        <w:rPr>
          <w:lang w:val="en-US" w:eastAsia="fr-BE"/>
        </w:rPr>
        <w:t xml:space="preserve">de l’avion présidentiel </w:t>
      </w:r>
      <w:r w:rsidRPr="00E72418">
        <w:rPr>
          <w:i/>
          <w:lang w:val="en-US" w:eastAsia="fr-BE"/>
        </w:rPr>
        <w:t>Tango 01</w:t>
      </w:r>
      <w:r w:rsidRPr="00E72418">
        <w:rPr>
          <w:lang w:val="en-US" w:eastAsia="fr-BE"/>
        </w:rPr>
        <w:t xml:space="preserve"> (</w:t>
      </w:r>
      <w:r w:rsidRPr="00E72418">
        <w:rPr>
          <w:szCs w:val="24"/>
          <w:shd w:val="clear" w:color="auto" w:fill="FFFFFF"/>
          <w:lang w:val="en-US"/>
        </w:rPr>
        <w:t>United States District Court for the Northern District of California (EUA)</w:t>
      </w:r>
      <w:r w:rsidRPr="00E72418">
        <w:rPr>
          <w:szCs w:val="24"/>
          <w:lang w:val="en-US"/>
        </w:rPr>
        <w:t xml:space="preserve">, 29 mai 2007, </w:t>
      </w:r>
      <w:r w:rsidRPr="00E72418">
        <w:rPr>
          <w:i/>
          <w:szCs w:val="24"/>
          <w:lang w:val="en-US"/>
        </w:rPr>
        <w:t>Colella v. Republic of Arg.</w:t>
      </w:r>
      <w:r w:rsidRPr="00E72418">
        <w:rPr>
          <w:rStyle w:val="injectednode"/>
          <w:szCs w:val="24"/>
          <w:bdr w:val="none" w:sz="0" w:space="0" w:color="auto" w:frame="1"/>
          <w:lang w:val="en-US"/>
        </w:rPr>
        <w:t xml:space="preserve">, </w:t>
      </w:r>
      <w:r w:rsidRPr="00E72418">
        <w:rPr>
          <w:lang w:val="en-US"/>
        </w:rPr>
        <w:t>2007 WL 1545204), de</w:t>
      </w:r>
      <w:r w:rsidRPr="00E72418">
        <w:rPr>
          <w:rStyle w:val="injectednode"/>
          <w:rFonts w:cs="Times New Roman"/>
          <w:szCs w:val="24"/>
          <w:bdr w:val="none" w:sz="0" w:space="0" w:color="auto" w:frame="1"/>
        </w:rPr>
        <w:t xml:space="preserve"> fonds de la sécurité sociale argentine (</w:t>
      </w:r>
      <w:r w:rsidRPr="00E72418">
        <w:rPr>
          <w:rFonts w:cs="Times New Roman"/>
          <w:szCs w:val="24"/>
          <w:shd w:val="clear" w:color="auto" w:fill="FFFFFF"/>
        </w:rPr>
        <w:t xml:space="preserve">United States Court of Appeals for the Second Circuit (EUA), </w:t>
      </w:r>
      <w:r w:rsidRPr="00E72418">
        <w:rPr>
          <w:rStyle w:val="injectednode"/>
          <w:rFonts w:cs="Times New Roman"/>
          <w:szCs w:val="24"/>
          <w:bdr w:val="none" w:sz="0" w:space="0" w:color="auto" w:frame="1"/>
        </w:rPr>
        <w:t xml:space="preserve">15 octobre 2009, </w:t>
      </w:r>
      <w:r w:rsidRPr="00E72418">
        <w:rPr>
          <w:rFonts w:cs="Times New Roman"/>
          <w:i/>
          <w:szCs w:val="24"/>
        </w:rPr>
        <w:t>Aurelius Capital Partners, LP v. Republic of Arg.</w:t>
      </w:r>
      <w:r w:rsidRPr="00E72418">
        <w:rPr>
          <w:rStyle w:val="injectednode"/>
          <w:rFonts w:cs="Times New Roman"/>
          <w:szCs w:val="24"/>
          <w:bdr w:val="none" w:sz="0" w:space="0" w:color="auto" w:frame="1"/>
        </w:rPr>
        <w:t xml:space="preserve">, 584 F.3d 120) et de biens déposés au nom de </w:t>
      </w:r>
      <w:r w:rsidRPr="00E72418">
        <w:t xml:space="preserve">la </w:t>
      </w:r>
      <w:r w:rsidRPr="00E72418">
        <w:rPr>
          <w:i/>
        </w:rPr>
        <w:t>Banco central de la República Argentina</w:t>
      </w:r>
      <w:r w:rsidRPr="00E72418">
        <w:rPr>
          <w:rFonts w:ascii="Arial" w:hAnsi="Arial" w:cs="Arial"/>
          <w:sz w:val="30"/>
          <w:szCs w:val="30"/>
        </w:rPr>
        <w:t xml:space="preserve"> </w:t>
      </w:r>
      <w:r w:rsidRPr="00E72418">
        <w:rPr>
          <w:rStyle w:val="injectednode"/>
          <w:rFonts w:cs="Times New Roman"/>
          <w:szCs w:val="24"/>
          <w:bdr w:val="none" w:sz="0" w:space="0" w:color="auto" w:frame="1"/>
        </w:rPr>
        <w:t>auprès de la Banque des règlements internationaux (</w:t>
      </w:r>
      <w:r w:rsidRPr="00E72418">
        <w:t xml:space="preserve">Cour eur. D. H., 13 septembre 2016, </w:t>
      </w:r>
      <w:r w:rsidRPr="00E72418">
        <w:rPr>
          <w:i/>
        </w:rPr>
        <w:t>NML Capital Ltd. et EM Limited contre la Suisse</w:t>
      </w:r>
      <w:r w:rsidRPr="00E72418">
        <w:t>, décision, requête n° 7633/11. Voyez surtout les termes de la requête disponible à l’adresse www.hudoc.echr.coe.int).</w:t>
      </w:r>
    </w:p>
  </w:footnote>
  <w:footnote w:id="730">
    <w:p w14:paraId="1DDC5A48" w14:textId="4270C8FA"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8.</w:t>
      </w:r>
    </w:p>
  </w:footnote>
  <w:footnote w:id="731">
    <w:p w14:paraId="298049EF" w14:textId="68D3A3CC"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Voyez les propos de Gordon Brown « [w]henever a country has to defend a legal case it has to divert considerable time, attention and resources away from focusing on poverty reduction, health and education », repris in </w:t>
      </w:r>
      <w:r w:rsidRPr="00E72418">
        <w:rPr>
          <w:smallCaps/>
          <w:szCs w:val="20"/>
        </w:rPr>
        <w:t xml:space="preserve">A. </w:t>
      </w:r>
      <w:r w:rsidRPr="00E72418">
        <w:rPr>
          <w:rStyle w:val="Titre2Car"/>
          <w:rFonts w:ascii="Times" w:eastAsiaTheme="minorHAnsi" w:hAnsi="Times" w:cstheme="minorBidi"/>
          <w:smallCaps/>
          <w:color w:val="auto"/>
          <w:sz w:val="20"/>
          <w:szCs w:val="20"/>
        </w:rPr>
        <w:t>Horne</w:t>
      </w:r>
      <w:r w:rsidRPr="00E72418">
        <w:rPr>
          <w:rStyle w:val="Titre2Car"/>
          <w:rFonts w:ascii="Times" w:eastAsiaTheme="minorHAnsi" w:hAnsi="Times" w:cstheme="minorBidi"/>
          <w:color w:val="auto"/>
          <w:sz w:val="20"/>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rStyle w:val="Titre2Car"/>
          <w:rFonts w:ascii="Times" w:eastAsiaTheme="minorHAnsi" w:hAnsi="Times" w:cstheme="minorBidi"/>
          <w:color w:val="auto"/>
          <w:sz w:val="20"/>
          <w:szCs w:val="20"/>
        </w:rPr>
        <w:t>, p. 11.</w:t>
      </w:r>
      <w:r w:rsidRPr="00E72418">
        <w:rPr>
          <w:szCs w:val="20"/>
        </w:rPr>
        <w:t xml:space="preserve"> </w:t>
      </w:r>
    </w:p>
  </w:footnote>
  <w:footnote w:id="732">
    <w:p w14:paraId="39A11E21" w14:textId="14E42C3D"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364. Il est fait état qu’ « [i]n some cases, the ratio of legal costs to debt service obligations can reach up to 200% </w:t>
      </w:r>
      <w:r w:rsidRPr="00E72418">
        <w:rPr>
          <w:rStyle w:val="Titre2Car"/>
          <w:rFonts w:ascii="Times" w:eastAsiaTheme="minorHAnsi" w:hAnsi="Times" w:cstheme="minorBidi"/>
          <w:color w:val="auto"/>
          <w:sz w:val="20"/>
          <w:szCs w:val="20"/>
        </w:rPr>
        <w:t>» (</w:t>
      </w:r>
      <w:r w:rsidRPr="00E72418">
        <w:rPr>
          <w:szCs w:val="20"/>
        </w:rPr>
        <w:t xml:space="preserve">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 background note, 26 octobre 2016, p. 16).</w:t>
      </w:r>
    </w:p>
  </w:footnote>
  <w:footnote w:id="733">
    <w:p w14:paraId="750DBCB0" w14:textId="20C8F952"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Comme le relève Maria Mauro, « the sovereign State often cannot manage and pursue development objectives for its citizens, having to face the constant threat of defending itself against individual creditor suits in every jurisdiction around the world in which the State may have assets » (</w:t>
      </w:r>
      <w:r w:rsidRPr="00E72418">
        <w:rPr>
          <w:smallCaps/>
          <w:szCs w:val="20"/>
        </w:rPr>
        <w:t>M. Mauro</w:t>
      </w:r>
      <w:r w:rsidRPr="00E72418">
        <w:rPr>
          <w:szCs w:val="20"/>
        </w:rPr>
        <w:t xml:space="preserve">, « Sovereign Default and Litigation: </w:t>
      </w:r>
      <w:r w:rsidRPr="00E72418">
        <w:rPr>
          <w:i/>
          <w:szCs w:val="20"/>
        </w:rPr>
        <w:t>NML Capital v. Argentina</w:t>
      </w:r>
      <w:r w:rsidRPr="00E72418">
        <w:rPr>
          <w:szCs w:val="20"/>
        </w:rPr>
        <w:t xml:space="preserve"> », </w:t>
      </w:r>
      <w:r w:rsidRPr="00E72418">
        <w:rPr>
          <w:i/>
          <w:szCs w:val="20"/>
        </w:rPr>
        <w:t>op. cit.</w:t>
      </w:r>
      <w:r w:rsidRPr="00E72418">
        <w:rPr>
          <w:szCs w:val="20"/>
        </w:rPr>
        <w:t>, p. 266).</w:t>
      </w:r>
    </w:p>
  </w:footnote>
  <w:footnote w:id="734">
    <w:p w14:paraId="2B0CB0F0" w14:textId="5D4034ED"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Comme l’indique Patrick Wautelet, « the greatest part of the victories enjoyed by private creditors may […] not directly result from a court judgment, but from a settlement reached with the sovereign debtor »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148). Il ressort de l’analyse de Julian Schumacher</w:t>
      </w:r>
      <w:r w:rsidRPr="00E72418">
        <w:rPr>
          <w:i/>
          <w:szCs w:val="20"/>
        </w:rPr>
        <w:t xml:space="preserve"> et al</w:t>
      </w:r>
      <w:r w:rsidR="007C3F47">
        <w:rPr>
          <w:szCs w:val="20"/>
        </w:rPr>
        <w:t>. que</w:t>
      </w:r>
      <w:r w:rsidRPr="00E72418">
        <w:rPr>
          <w:szCs w:val="20"/>
        </w:rPr>
        <w:t xml:space="preserve"> « [t]he court documents show that these litigating creditors rarely wait for the satisfaction of their claims in court » et qu’ « [i]nstead, they attempt to pressure the defaulting government into an out of court settlement at profitable terms »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2).</w:t>
      </w:r>
    </w:p>
  </w:footnote>
  <w:footnote w:id="735">
    <w:p w14:paraId="20ECAA8D" w14:textId="7A4ECCAA" w:rsidR="0030147D" w:rsidRPr="00E72418" w:rsidRDefault="0030147D" w:rsidP="00D04456">
      <w:pPr>
        <w:pStyle w:val="Sansinterligne"/>
        <w:rPr>
          <w:szCs w:val="20"/>
        </w:rPr>
      </w:pPr>
      <w:r w:rsidRPr="00E72418">
        <w:rPr>
          <w:rStyle w:val="Appelnotedebasdep"/>
          <w:szCs w:val="20"/>
        </w:rPr>
        <w:footnoteRef/>
      </w:r>
      <w:r w:rsidRPr="00E72418">
        <w:rPr>
          <w:szCs w:val="20"/>
        </w:rPr>
        <w:t xml:space="preserve"> </w:t>
      </w:r>
      <w:r w:rsidRPr="00E72418">
        <w:rPr>
          <w:smallCaps/>
          <w:szCs w:val="20"/>
        </w:rPr>
        <w:t>E. Beneze</w:t>
      </w:r>
      <w:r w:rsidRPr="00E72418">
        <w:rPr>
          <w:szCs w:val="20"/>
        </w:rPr>
        <w:t xml:space="preserve">, « Stopping the Circling Vultures: Restructuring a Solution to Sovereign Debt Profiteering », </w:t>
      </w:r>
      <w:r w:rsidRPr="00E72418">
        <w:rPr>
          <w:i/>
          <w:szCs w:val="20"/>
          <w:lang w:val="en-US"/>
        </w:rPr>
        <w:t>op. cit.</w:t>
      </w:r>
      <w:r w:rsidRPr="00E72418">
        <w:rPr>
          <w:szCs w:val="20"/>
        </w:rPr>
        <w:t xml:space="preserve">, pp. 252 et 253. Voyez l’exemple de la saisie sollicitée par la société </w:t>
      </w:r>
      <w:r w:rsidRPr="00E72418">
        <w:rPr>
          <w:i/>
          <w:szCs w:val="20"/>
        </w:rPr>
        <w:t>NML Capital Ltd.</w:t>
      </w:r>
      <w:r w:rsidRPr="00E72418">
        <w:rPr>
          <w:szCs w:val="20"/>
        </w:rPr>
        <w:t xml:space="preserve"> du bateau argentin </w:t>
      </w:r>
      <w:r w:rsidRPr="00E72418">
        <w:rPr>
          <w:i/>
          <w:szCs w:val="20"/>
        </w:rPr>
        <w:t>ARA Libertad</w:t>
      </w:r>
      <w:r w:rsidRPr="00E72418">
        <w:rPr>
          <w:szCs w:val="20"/>
        </w:rPr>
        <w:t xml:space="preserve"> (</w:t>
      </w:r>
      <w:r w:rsidRPr="00E72418">
        <w:rPr>
          <w:i/>
          <w:szCs w:val="20"/>
        </w:rPr>
        <w:t>supra</w:t>
      </w:r>
      <w:r w:rsidRPr="00E72418">
        <w:rPr>
          <w:szCs w:val="20"/>
        </w:rPr>
        <w:t xml:space="preserve"> n° 94). Voyez encore les importantes astreintes retenues dans le conflit ayant opposé la société </w:t>
      </w:r>
      <w:r w:rsidRPr="00E72418">
        <w:rPr>
          <w:i/>
          <w:szCs w:val="20"/>
        </w:rPr>
        <w:t>FG Hemisphere Associates LLC</w:t>
      </w:r>
      <w:r w:rsidRPr="00E72418">
        <w:rPr>
          <w:szCs w:val="20"/>
        </w:rPr>
        <w:t xml:space="preserve"> à la République démocratique du Congo (</w:t>
      </w:r>
      <w:r w:rsidRPr="00E72418">
        <w:rPr>
          <w:i/>
          <w:szCs w:val="20"/>
        </w:rPr>
        <w:t>supra</w:t>
      </w:r>
      <w:r w:rsidRPr="00E72418">
        <w:rPr>
          <w:szCs w:val="20"/>
        </w:rPr>
        <w:t xml:space="preserve"> n° 108).</w:t>
      </w:r>
    </w:p>
  </w:footnote>
  <w:footnote w:id="736">
    <w:p w14:paraId="3257A204" w14:textId="035D2965"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w:t>
      </w:r>
      <w:r w:rsidRPr="00E72418">
        <w:rPr>
          <w:smallCaps/>
          <w:szCs w:val="20"/>
        </w:rPr>
        <w:t>S. Scott</w:t>
      </w:r>
      <w:r w:rsidRPr="00E72418">
        <w:rPr>
          <w:szCs w:val="20"/>
        </w:rPr>
        <w:t xml:space="preserve">, « Vultures, debt and desire: the vulture metaphor and Argentina’s sovereign debt crisis », </w:t>
      </w:r>
      <w:r w:rsidRPr="00E72418">
        <w:rPr>
          <w:i/>
          <w:szCs w:val="20"/>
          <w:lang w:val="en-US"/>
        </w:rPr>
        <w:t>op. cit.</w:t>
      </w:r>
      <w:r w:rsidRPr="00E72418">
        <w:rPr>
          <w:szCs w:val="20"/>
        </w:rPr>
        <w:t>, p. 13.</w:t>
      </w:r>
    </w:p>
  </w:footnote>
  <w:footnote w:id="737">
    <w:p w14:paraId="759A7D20" w14:textId="7647EC15" w:rsidR="0030147D" w:rsidRPr="00E72418" w:rsidRDefault="0030147D" w:rsidP="00082F04">
      <w:pPr>
        <w:pStyle w:val="Sansinterligne"/>
      </w:pPr>
      <w:r w:rsidRPr="00E72418">
        <w:rPr>
          <w:rStyle w:val="Appelnotedebasdep"/>
        </w:rPr>
        <w:footnoteRef/>
      </w:r>
      <w:r w:rsidRPr="00E72418">
        <w:t xml:space="preserve">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9.</w:t>
      </w:r>
    </w:p>
  </w:footnote>
  <w:footnote w:id="738">
    <w:p w14:paraId="66EF2F2B" w14:textId="1E80A1C3"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Lee Buccheit le note, « </w:t>
      </w:r>
      <w:r w:rsidRPr="00E72418">
        <w:rPr>
          <w:szCs w:val="20"/>
          <w:lang w:val="en-US"/>
        </w:rPr>
        <w:t>[t]he theoretical availability of a legal remedy offers less fraternal creditors an opportunity to extract preferential settlements as the price of the sovereign avoiding the unpleasantries of a lawsuit and an unsatisfied judgment creditor interfering with the sovereign’s future commercial dealings</w:t>
      </w:r>
      <w:r w:rsidRPr="00E72418">
        <w:rPr>
          <w:szCs w:val="20"/>
        </w:rPr>
        <w:t xml:space="preserve"> » (L. </w:t>
      </w:r>
      <w:r w:rsidRPr="00E72418">
        <w:rPr>
          <w:rFonts w:eastAsia="Times New Roman" w:cs="Times New Roman"/>
          <w:smallCaps/>
          <w:szCs w:val="24"/>
          <w:lang w:val="en-US" w:eastAsia="fr-BE"/>
        </w:rPr>
        <w:t>Buchheit, « </w:t>
      </w:r>
      <w:r w:rsidRPr="00E72418">
        <w:rPr>
          <w:rFonts w:eastAsia="Times New Roman" w:cs="Times New Roman"/>
          <w:szCs w:val="24"/>
          <w:lang w:val="en-US" w:eastAsia="fr-BE"/>
        </w:rPr>
        <w:t>Sovereign Debt in the Light of Eternity »</w:t>
      </w:r>
      <w:r w:rsidRPr="00E72418">
        <w:rPr>
          <w:rFonts w:eastAsia="Times New Roman" w:cs="Times New Roman"/>
          <w:smallCaps/>
          <w:szCs w:val="24"/>
          <w:lang w:val="en-US" w:eastAsia="fr-BE"/>
        </w:rPr>
        <w:t xml:space="preserve">, </w:t>
      </w:r>
      <w:r w:rsidRPr="00E72418">
        <w:rPr>
          <w:rFonts w:cs="Times New Roman"/>
          <w:i/>
          <w:szCs w:val="24"/>
          <w:lang w:val="en-US"/>
        </w:rPr>
        <w:t>op. cit.</w:t>
      </w:r>
      <w:r w:rsidRPr="00E72418">
        <w:rPr>
          <w:rFonts w:cs="Times New Roman"/>
          <w:szCs w:val="24"/>
          <w:lang w:val="en-US"/>
        </w:rPr>
        <w:t>, p. 466</w:t>
      </w:r>
      <w:r w:rsidRPr="00E72418">
        <w:rPr>
          <w:szCs w:val="20"/>
        </w:rPr>
        <w:t>). Georgios Pavlidis donne l’exemple de la Grèce en indiquant que « threats of “messy” litigation and “race to the assets” have been a profitable tactic for holdhout creditors » et renvoie aux chiffres selon lesquels « [t]hey were repaid in full contrary to the majority of bondholders, who participated in the 2012 restructuring deal and accepted a write-down amounting to 53.5 per cent » (</w:t>
      </w:r>
      <w:r w:rsidRPr="00E72418">
        <w:rPr>
          <w:smallCaps/>
          <w:szCs w:val="20"/>
        </w:rPr>
        <w:t>G. Pavlidis</w:t>
      </w:r>
      <w:r w:rsidRPr="00E72418">
        <w:rPr>
          <w:szCs w:val="20"/>
        </w:rPr>
        <w:t xml:space="preserve">, « Vulture litigation in the context of sovereign debt: global or local solutions? », </w:t>
      </w:r>
      <w:r w:rsidRPr="00E72418">
        <w:rPr>
          <w:i/>
          <w:szCs w:val="20"/>
        </w:rPr>
        <w:t>op. cit.</w:t>
      </w:r>
      <w:r w:rsidRPr="00E72418">
        <w:rPr>
          <w:szCs w:val="20"/>
        </w:rPr>
        <w:t xml:space="preserve">, p. 94 renvoyant à </w:t>
      </w:r>
      <w:r w:rsidRPr="00E72418">
        <w:rPr>
          <w:smallCaps/>
          <w:szCs w:val="20"/>
        </w:rPr>
        <w:t>M. Xafa</w:t>
      </w:r>
      <w:r w:rsidRPr="00E72418">
        <w:rPr>
          <w:szCs w:val="20"/>
        </w:rPr>
        <w:t xml:space="preserve">, </w:t>
      </w:r>
      <w:r w:rsidRPr="00E72418">
        <w:rPr>
          <w:rFonts w:ascii="Times New Roman" w:hAnsi="Times New Roman" w:cs="Times New Roman"/>
          <w:szCs w:val="24"/>
        </w:rPr>
        <w:t>« Sovereign Debt Crisis Management: lessons from the 2012 Greek Debt Restructuring »</w:t>
      </w:r>
      <w:r w:rsidRPr="00E72418">
        <w:rPr>
          <w:szCs w:val="20"/>
        </w:rPr>
        <w:t xml:space="preserve">, CIGI Papers, 2014). Sur le contentieux hellénique, voyez </w:t>
      </w:r>
      <w:r w:rsidRPr="00E72418">
        <w:rPr>
          <w:i/>
          <w:szCs w:val="20"/>
        </w:rPr>
        <w:t>supra</w:t>
      </w:r>
      <w:r w:rsidRPr="00E72418">
        <w:rPr>
          <w:szCs w:val="20"/>
        </w:rPr>
        <w:t xml:space="preserve"> n° 119.</w:t>
      </w:r>
    </w:p>
  </w:footnote>
  <w:footnote w:id="739">
    <w:p w14:paraId="00F17BE9" w14:textId="64D0F25C"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James Bai relève au sujet des Pays Pauvres Très Endettés au sens de l’Initiative de la Banque mondiale et du Fonds monétaire international, que « HIPCs tend to have limited resources with which to fend off such claims in various jurisdictions, and are left little or no alternative but to repay the relevant vulture fund » (</w:t>
      </w:r>
      <w:r w:rsidRPr="00E72418">
        <w:rPr>
          <w:smallCaps/>
          <w:szCs w:val="20"/>
        </w:rPr>
        <w:t>J. Bai</w:t>
      </w:r>
      <w:r w:rsidRPr="00E72418">
        <w:rPr>
          <w:szCs w:val="20"/>
        </w:rPr>
        <w:t xml:space="preserve">, « Stop Them Circling: Addressing Vulture Funds in Australian Law », </w:t>
      </w:r>
      <w:r w:rsidRPr="00E72418">
        <w:rPr>
          <w:i/>
          <w:szCs w:val="20"/>
          <w:lang w:val="en-US"/>
        </w:rPr>
        <w:t>op. cit.</w:t>
      </w:r>
      <w:r w:rsidRPr="00E72418">
        <w:rPr>
          <w:szCs w:val="20"/>
        </w:rPr>
        <w:t>, p. 705). Eugenio Bruno identifie toute une série d’éléments de nature à influencer la propension du débiteur souverain à régler et notamment, l’état d’avancement des procédures intentées par le créancier, l’état d’avancement du processus de restructuration de la dette, le pourcentage de dette détenue par le créancier, la capacité financière de l’État débiteur, la posture politique adoptée par l’État débiteur ou encore la volonté de l’État d’émettre de nouveaux titres sur les marchés financiers internationaux (</w:t>
      </w:r>
      <w:r w:rsidRPr="00E72418">
        <w:rPr>
          <w:smallCaps/>
          <w:szCs w:val="20"/>
        </w:rPr>
        <w:t>E. Bruno</w:t>
      </w:r>
      <w:r w:rsidRPr="00E72418">
        <w:rPr>
          <w:szCs w:val="20"/>
        </w:rPr>
        <w:t xml:space="preserve">, « Judicial cases against sovereign countries before the Argentina case », </w:t>
      </w:r>
      <w:r w:rsidRPr="00E72418">
        <w:rPr>
          <w:i/>
          <w:szCs w:val="20"/>
        </w:rPr>
        <w:t>op. cit.</w:t>
      </w:r>
      <w:r w:rsidRPr="00E72418">
        <w:rPr>
          <w:szCs w:val="20"/>
        </w:rPr>
        <w:t>, p. 79).</w:t>
      </w:r>
    </w:p>
  </w:footnote>
  <w:footnote w:id="740">
    <w:p w14:paraId="4B2B53B7" w14:textId="25655C30"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Voyez notamment les propositions de loi étatsuniennes « </w:t>
      </w:r>
      <w:r w:rsidRPr="00E72418">
        <w:rPr>
          <w:i/>
          <w:szCs w:val="20"/>
        </w:rPr>
        <w:t>Judgment Evading Foreign States Accountability Act</w:t>
      </w:r>
      <w:r w:rsidRPr="00E72418">
        <w:rPr>
          <w:szCs w:val="20"/>
        </w:rPr>
        <w:t> » qui visent à empêcher les États étrangers ne se pliant pas aux décisions des juridictions étatsuniennes d’avoir accès aux marchés des capitaux étatsuniens. Ces propositions sont, pour partie, issues d’un lobby effectué par une association regroupant des fonds d’investissement, l’</w:t>
      </w:r>
      <w:r w:rsidRPr="00E72418">
        <w:rPr>
          <w:i/>
          <w:szCs w:val="20"/>
        </w:rPr>
        <w:t xml:space="preserve">American Task Force Argentina </w:t>
      </w:r>
      <w:r w:rsidRPr="00E72418">
        <w:rPr>
          <w:szCs w:val="20"/>
        </w:rPr>
        <w:t>(</w:t>
      </w:r>
      <w:r w:rsidRPr="00E72418">
        <w:rPr>
          <w:smallCaps/>
          <w:szCs w:val="20"/>
        </w:rPr>
        <w:t>J. Hornbeck</w:t>
      </w:r>
      <w:r w:rsidRPr="00E72418">
        <w:rPr>
          <w:szCs w:val="20"/>
        </w:rPr>
        <w:t xml:space="preserve">, « </w:t>
      </w:r>
      <w:r w:rsidRPr="00E72418">
        <w:rPr>
          <w:szCs w:val="20"/>
          <w:lang w:val="en-US"/>
        </w:rPr>
        <w:t>Argentina’s Defaulted Sovereign Debt: Dealing with the “Holdouts”</w:t>
      </w:r>
      <w:r w:rsidRPr="00E72418">
        <w:rPr>
          <w:szCs w:val="20"/>
        </w:rPr>
        <w:t xml:space="preserve"> », </w:t>
      </w:r>
      <w:r w:rsidRPr="00E72418">
        <w:rPr>
          <w:i/>
          <w:szCs w:val="20"/>
          <w:lang w:val="en-US"/>
        </w:rPr>
        <w:t>op. cit.</w:t>
      </w:r>
      <w:r w:rsidRPr="00E72418">
        <w:rPr>
          <w:szCs w:val="20"/>
        </w:rPr>
        <w:t xml:space="preserve">, p. 11). Notons les actions variées de cette </w:t>
      </w:r>
      <w:r w:rsidRPr="00E72418">
        <w:rPr>
          <w:i/>
          <w:szCs w:val="20"/>
        </w:rPr>
        <w:t>task force</w:t>
      </w:r>
      <w:r w:rsidRPr="00E72418">
        <w:rPr>
          <w:szCs w:val="20"/>
        </w:rPr>
        <w:t xml:space="preserve"> allant de campagnes médiatiques contre le pouvoir argentin à des tentatives de lier le pays à des activités terroristes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 background note, 26 octobre 2016, p. 19).</w:t>
      </w:r>
    </w:p>
  </w:footnote>
  <w:footnote w:id="741">
    <w:p w14:paraId="5837648E" w14:textId="28B429D5"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w:t>
      </w:r>
      <w:r w:rsidRPr="00E72418">
        <w:rPr>
          <w:smallCaps/>
          <w:szCs w:val="20"/>
        </w:rPr>
        <w:t>M. Barr</w:t>
      </w:r>
      <w:r w:rsidRPr="00E72418">
        <w:rPr>
          <w:szCs w:val="20"/>
        </w:rPr>
        <w:t xml:space="preserve">, « </w:t>
      </w:r>
      <w:r w:rsidRPr="00E72418">
        <w:rPr>
          <w:szCs w:val="20"/>
          <w:lang w:val="en-US"/>
        </w:rPr>
        <w:t xml:space="preserve">The Litigation Tango of La Casa Rosada and the Vultures: The Political Realities of Sovereign Debt, Vulture Funds, and the Foreign Sovereign Immunities Act </w:t>
      </w:r>
      <w:r w:rsidRPr="00E72418">
        <w:rPr>
          <w:szCs w:val="20"/>
        </w:rPr>
        <w:t xml:space="preserve">», </w:t>
      </w:r>
      <w:r w:rsidRPr="00E72418">
        <w:rPr>
          <w:i/>
          <w:szCs w:val="20"/>
          <w:lang w:val="en-US"/>
        </w:rPr>
        <w:t>op. cit.</w:t>
      </w:r>
      <w:r w:rsidRPr="00E72418">
        <w:rPr>
          <w:szCs w:val="20"/>
        </w:rPr>
        <w:t>, p. 574.</w:t>
      </w:r>
    </w:p>
  </w:footnote>
  <w:footnote w:id="742">
    <w:p w14:paraId="60196F0E" w14:textId="77777777"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w:t>
      </w:r>
      <w:r w:rsidRPr="00E72418">
        <w:rPr>
          <w:smallCaps/>
          <w:szCs w:val="20"/>
        </w:rPr>
        <w:t>S. Mbaye</w:t>
      </w:r>
      <w:r w:rsidRPr="00E72418">
        <w:rPr>
          <w:szCs w:val="20"/>
        </w:rPr>
        <w:t xml:space="preserve">, « Métamorphoses de la dette africaine », </w:t>
      </w:r>
      <w:r w:rsidRPr="00E72418">
        <w:rPr>
          <w:i/>
          <w:szCs w:val="20"/>
        </w:rPr>
        <w:t>Le Monde diplomatique</w:t>
      </w:r>
      <w:r w:rsidRPr="00E72418">
        <w:rPr>
          <w:szCs w:val="20"/>
        </w:rPr>
        <w:t>, 1</w:t>
      </w:r>
      <w:r w:rsidRPr="00E72418">
        <w:rPr>
          <w:szCs w:val="20"/>
          <w:vertAlign w:val="superscript"/>
        </w:rPr>
        <w:t>er</w:t>
      </w:r>
      <w:r w:rsidRPr="00E72418">
        <w:rPr>
          <w:szCs w:val="20"/>
        </w:rPr>
        <w:t xml:space="preserve"> mai 2015, p. 7.</w:t>
      </w:r>
    </w:p>
  </w:footnote>
  <w:footnote w:id="743">
    <w:p w14:paraId="4AC65343" w14:textId="5A1240DE" w:rsidR="0030147D" w:rsidRPr="00E72418" w:rsidRDefault="0030147D" w:rsidP="007E751C">
      <w:pPr>
        <w:pStyle w:val="Sansinterligne"/>
        <w:rPr>
          <w:szCs w:val="20"/>
        </w:rPr>
      </w:pPr>
      <w:r w:rsidRPr="00E72418">
        <w:rPr>
          <w:rStyle w:val="Appelnotedebasdep"/>
          <w:szCs w:val="20"/>
        </w:rPr>
        <w:footnoteRef/>
      </w:r>
      <w:r w:rsidRPr="00E72418">
        <w:rPr>
          <w:szCs w:val="20"/>
        </w:rPr>
        <w:t xml:space="preserve"> Il est même des cas dans lesquels le coût de la défense en justice combiné au manque d’expertise et de financement conduit les débiteurs souverains à tout simplement ne pas se défendre (</w:t>
      </w:r>
      <w:r w:rsidRPr="00E72418">
        <w:rPr>
          <w:smallCaps/>
          <w:szCs w:val="20"/>
        </w:rPr>
        <w:t>D. Sookun</w:t>
      </w:r>
      <w:r w:rsidRPr="00E72418">
        <w:rPr>
          <w:szCs w:val="20"/>
        </w:rPr>
        <w:t xml:space="preserve">, </w:t>
      </w:r>
      <w:r w:rsidRPr="00E72418">
        <w:rPr>
          <w:i/>
          <w:szCs w:val="20"/>
        </w:rPr>
        <w:t>Stop Vulture Fund Lawsuits: a Handbook</w:t>
      </w:r>
      <w:r w:rsidRPr="00E72418">
        <w:rPr>
          <w:szCs w:val="20"/>
        </w:rPr>
        <w:t xml:space="preserve">, </w:t>
      </w:r>
      <w:r w:rsidRPr="00E72418">
        <w:rPr>
          <w:rFonts w:ascii="Times New Roman" w:hAnsi="Times New Roman" w:cs="Times New Roman"/>
          <w:i/>
          <w:szCs w:val="20"/>
          <w:lang w:val="en-US"/>
        </w:rPr>
        <w:t>op. cit.</w:t>
      </w:r>
      <w:r w:rsidRPr="00E72418">
        <w:rPr>
          <w:szCs w:val="20"/>
        </w:rPr>
        <w:t xml:space="preserve">, p. 73). Il est également des cas où les débiteurs ne semblent pas prendre conscience de l’importance des démarches entreprises (voyez ainsi notamment United States Court of Appeals for the District of Columbia Circuit (EUA), 19 mai 2006, </w:t>
      </w:r>
      <w:r w:rsidRPr="00E72418">
        <w:rPr>
          <w:i/>
          <w:szCs w:val="20"/>
        </w:rPr>
        <w:t>FG Hemisphere Assocs. v. Democratic Republic of Congo</w:t>
      </w:r>
      <w:r w:rsidRPr="00E72418">
        <w:rPr>
          <w:rStyle w:val="injectednode"/>
          <w:szCs w:val="20"/>
        </w:rPr>
        <w:t xml:space="preserve">, 447 F.3d 835 où, après que des décisions par défaut aient été rendues contre le pays, la juridiction entendit ses arguments faisant droit à sa justification d’ « excusable neglect »). </w:t>
      </w:r>
      <w:r w:rsidRPr="00E72418">
        <w:rPr>
          <w:szCs w:val="20"/>
          <w:shd w:val="clear" w:color="auto" w:fill="FFFFFF"/>
        </w:rPr>
        <w:t>Pourtant, la proactivité du débiteur peut lui éviter bien des déconvenues. Il fut des cas comme ceux rencontrés par le Cameroun ou encore par le Mozambique où les pays parvinrent à un accord alors qu’une procédure judiciaire à leur encontre avait été lancée (</w:t>
      </w:r>
      <w:r w:rsidRPr="00E72418">
        <w:rPr>
          <w:i/>
          <w:szCs w:val="20"/>
          <w:shd w:val="clear" w:color="auto" w:fill="FFFFFF"/>
        </w:rPr>
        <w:t>i</w:t>
      </w:r>
      <w:r w:rsidRPr="00E72418">
        <w:rPr>
          <w:i/>
          <w:szCs w:val="20"/>
        </w:rPr>
        <w:t>bid.</w:t>
      </w:r>
      <w:r w:rsidRPr="00E72418">
        <w:rPr>
          <w:szCs w:val="20"/>
        </w:rPr>
        <w:t>, p. 74)</w:t>
      </w:r>
      <w:r w:rsidRPr="00E72418">
        <w:rPr>
          <w:szCs w:val="20"/>
          <w:shd w:val="clear" w:color="auto" w:fill="FFFFFF"/>
        </w:rPr>
        <w:t xml:space="preserve">. Voyez à ce sujet, la proactivité attendue et </w:t>
      </w:r>
      <w:r w:rsidRPr="00E72418">
        <w:t xml:space="preserve">la sanction des débiteurs inactifs dont question dans le </w:t>
      </w:r>
      <w:r w:rsidRPr="00E72418">
        <w:rPr>
          <w:i/>
        </w:rPr>
        <w:t>Debt Relief (Developing Countries) Act</w:t>
      </w:r>
      <w:r w:rsidRPr="00E72418">
        <w:t xml:space="preserve"> britannique (</w:t>
      </w:r>
      <w:r w:rsidRPr="00E72418">
        <w:rPr>
          <w:i/>
        </w:rPr>
        <w:t>infra</w:t>
      </w:r>
      <w:r w:rsidRPr="00E72418">
        <w:t xml:space="preserve"> n° 315).</w:t>
      </w:r>
    </w:p>
  </w:footnote>
  <w:footnote w:id="744">
    <w:p w14:paraId="35750FC0" w14:textId="2BD08EB5"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 manque d’expertise juridique des États débiteurs peut déjà leur être préjudiciable dès l’élaboration et la négociation des contrats originaux qui fonderont ensuite les poursuites. </w:t>
      </w:r>
      <w:r w:rsidRPr="00E72418">
        <w:rPr>
          <w:szCs w:val="20"/>
          <w:lang w:val="en-US"/>
        </w:rPr>
        <w:t xml:space="preserve">Comme le note Adesegun Akin-Olugbade, </w:t>
      </w:r>
      <w:r w:rsidRPr="00E72418">
        <w:rPr>
          <w:rStyle w:val="Titredulivre"/>
          <w:b w:val="0"/>
          <w:bCs w:val="0"/>
          <w:i w:val="0"/>
          <w:iCs w:val="0"/>
          <w:spacing w:val="0"/>
          <w:szCs w:val="20"/>
          <w:lang w:val="en-US"/>
        </w:rPr>
        <w:t>«</w:t>
      </w:r>
      <w:r w:rsidRPr="00E72418">
        <w:rPr>
          <w:szCs w:val="20"/>
          <w:lang w:val="en-US"/>
        </w:rPr>
        <w:t xml:space="preserve"> [i]n the negotiations leading up to the agreements, developing countries are typically faced with a highly competent and experienced legal team on the investor side and, in the case of vulture funds litigation, the litigation team </w:t>
      </w:r>
      <w:r w:rsidRPr="00E72418">
        <w:rPr>
          <w:rStyle w:val="Titredulivre"/>
          <w:b w:val="0"/>
          <w:bCs w:val="0"/>
          <w:i w:val="0"/>
          <w:iCs w:val="0"/>
          <w:spacing w:val="0"/>
          <w:szCs w:val="20"/>
          <w:lang w:val="en-US"/>
        </w:rPr>
        <w:t>»</w:t>
      </w:r>
      <w:r w:rsidRPr="00E72418">
        <w:rPr>
          <w:szCs w:val="20"/>
          <w:lang w:val="en-US"/>
        </w:rPr>
        <w:t xml:space="preserve"> (« The </w:t>
      </w:r>
      <w:r w:rsidRPr="00E72418">
        <w:rPr>
          <w:i/>
          <w:szCs w:val="20"/>
          <w:lang w:val="en-US"/>
        </w:rPr>
        <w:t>Donegal</w:t>
      </w:r>
      <w:r w:rsidRPr="00E72418">
        <w:rPr>
          <w:szCs w:val="20"/>
          <w:lang w:val="en-US"/>
        </w:rPr>
        <w:t xml:space="preserve"> Case and the African Legal Support Facility », </w:t>
      </w:r>
      <w:r w:rsidRPr="00E72418">
        <w:rPr>
          <w:i/>
        </w:rPr>
        <w:t>op. cit.</w:t>
      </w:r>
      <w:r w:rsidRPr="00E72418">
        <w:rPr>
          <w:szCs w:val="20"/>
        </w:rPr>
        <w:t>, p. 413).</w:t>
      </w:r>
    </w:p>
  </w:footnote>
  <w:footnote w:id="745">
    <w:p w14:paraId="66EA0D7E" w14:textId="438315F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Horatia Muir Watt fait ainsi valoir que de tels arguments permettent aux fonds de conquérir de nombreux domaines, l’auteure prenant l’exemple de l’argument, entendu notamment dans l’affaire </w:t>
      </w:r>
      <w:r w:rsidRPr="00E72418">
        <w:rPr>
          <w:i/>
          <w:szCs w:val="20"/>
        </w:rPr>
        <w:t>Abaclat c. Argentine</w:t>
      </w:r>
      <w:r w:rsidRPr="00E72418">
        <w:rPr>
          <w:szCs w:val="20"/>
        </w:rPr>
        <w:t>, selon lequel le rachat de dette souveraine constitue un investissement au sens de la Convention CIRDI (</w:t>
      </w:r>
      <w:r w:rsidRPr="00E72418">
        <w:rPr>
          <w:rStyle w:val="Titredulivre"/>
          <w:b w:val="0"/>
          <w:bCs w:val="0"/>
          <w:i w:val="0"/>
          <w:iCs w:val="0"/>
          <w:spacing w:val="0"/>
          <w:szCs w:val="20"/>
        </w:rPr>
        <w:t xml:space="preserve">H. </w:t>
      </w:r>
      <w:r w:rsidRPr="00E72418">
        <w:rPr>
          <w:rStyle w:val="Titredulivre"/>
          <w:b w:val="0"/>
          <w:bCs w:val="0"/>
          <w:i w:val="0"/>
          <w:iCs w:val="0"/>
          <w:smallCaps/>
          <w:spacing w:val="0"/>
          <w:szCs w:val="20"/>
        </w:rPr>
        <w:t>Muir Watt</w:t>
      </w:r>
      <w:r w:rsidRPr="00E72418">
        <w:rPr>
          <w:rStyle w:val="Titredulivre"/>
          <w:b w:val="0"/>
          <w:bCs w:val="0"/>
          <w:i w:val="0"/>
          <w:iCs w:val="0"/>
          <w:spacing w:val="0"/>
          <w:szCs w:val="20"/>
        </w:rPr>
        <w:t xml:space="preserve">, « L’immunité souveraine et les fonds “vautour” », </w:t>
      </w:r>
      <w:r w:rsidRPr="00E72418">
        <w:rPr>
          <w:i/>
          <w:szCs w:val="20"/>
        </w:rPr>
        <w:t>op. cit.</w:t>
      </w:r>
      <w:r w:rsidRPr="00E72418">
        <w:rPr>
          <w:rStyle w:val="Titredulivre"/>
          <w:b w:val="0"/>
          <w:bCs w:val="0"/>
          <w:i w:val="0"/>
          <w:iCs w:val="0"/>
          <w:spacing w:val="0"/>
          <w:szCs w:val="20"/>
        </w:rPr>
        <w:t xml:space="preserve">, p. 794). Sur l’arbitrabilité des contentieux relatifs aux dettes souveraines, voyez </w:t>
      </w:r>
      <w:r w:rsidRPr="00E72418">
        <w:rPr>
          <w:rStyle w:val="Titredulivre"/>
          <w:b w:val="0"/>
          <w:bCs w:val="0"/>
          <w:iCs w:val="0"/>
          <w:spacing w:val="0"/>
          <w:szCs w:val="20"/>
        </w:rPr>
        <w:t>supra</w:t>
      </w:r>
      <w:r w:rsidRPr="00E72418">
        <w:rPr>
          <w:rStyle w:val="Titredulivre"/>
          <w:b w:val="0"/>
          <w:bCs w:val="0"/>
          <w:i w:val="0"/>
          <w:iCs w:val="0"/>
          <w:spacing w:val="0"/>
          <w:szCs w:val="20"/>
        </w:rPr>
        <w:t xml:space="preserve"> n° 80.</w:t>
      </w:r>
    </w:p>
  </w:footnote>
  <w:footnote w:id="746">
    <w:p w14:paraId="3C148552" w14:textId="37B205B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Comme le notent Natasha Harrison et Fiona Huntriss, </w:t>
      </w:r>
      <w:r w:rsidRPr="00E72418">
        <w:rPr>
          <w:rStyle w:val="Titredulivre"/>
          <w:b w:val="0"/>
          <w:bCs w:val="0"/>
          <w:i w:val="0"/>
          <w:iCs w:val="0"/>
          <w:spacing w:val="0"/>
          <w:szCs w:val="20"/>
          <w:lang w:val="en-US"/>
        </w:rPr>
        <w:t xml:space="preserve">« </w:t>
      </w:r>
      <w:r w:rsidRPr="00E72418">
        <w:rPr>
          <w:szCs w:val="20"/>
          <w:lang w:val="en-US"/>
        </w:rPr>
        <w:t>[w]illing to litigate relentlessly and fearlessly, these hedge funds will seek out and find gaps in documents and uncertainties in the law, and exploit them with ruthless efficiency, entering new legal territory and pushing the boundary of legal theories » (</w:t>
      </w:r>
      <w:r w:rsidRPr="00E72418">
        <w:rPr>
          <w:smallCaps/>
          <w:szCs w:val="20"/>
          <w:lang w:val="en-US"/>
        </w:rPr>
        <w:t>H. Harrison</w:t>
      </w:r>
      <w:r w:rsidRPr="00E72418">
        <w:rPr>
          <w:szCs w:val="20"/>
          <w:lang w:val="en-US"/>
        </w:rPr>
        <w:t xml:space="preserve"> et </w:t>
      </w:r>
      <w:r w:rsidRPr="00E72418">
        <w:rPr>
          <w:smallCaps/>
          <w:szCs w:val="20"/>
          <w:lang w:val="en-US"/>
        </w:rPr>
        <w:t>F. Huntriss</w:t>
      </w:r>
      <w:r w:rsidRPr="00E72418">
        <w:rPr>
          <w:szCs w:val="20"/>
          <w:lang w:val="en-US"/>
        </w:rPr>
        <w:t xml:space="preserve">, « Hedge funds and litigation: a brave new world », </w:t>
      </w:r>
      <w:r w:rsidRPr="00E72418">
        <w:rPr>
          <w:i/>
          <w:szCs w:val="20"/>
          <w:lang w:val="en-US"/>
        </w:rPr>
        <w:t>op. cit.</w:t>
      </w:r>
      <w:r w:rsidRPr="00E72418">
        <w:rPr>
          <w:szCs w:val="20"/>
          <w:lang w:val="en-US"/>
        </w:rPr>
        <w:t>, p. 135).</w:t>
      </w:r>
    </w:p>
  </w:footnote>
  <w:footnote w:id="747">
    <w:p w14:paraId="7A4B7FDD" w14:textId="50BC6C0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16 : « [d]espite the limited information on creditors, all available evidence from court records and the press suggests that the holdout industry is highly concentrated, as the same players appear again and again ».</w:t>
      </w:r>
    </w:p>
  </w:footnote>
  <w:footnote w:id="748">
    <w:p w14:paraId="3D7542C3" w14:textId="58C1A741"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 62.</w:t>
      </w:r>
    </w:p>
  </w:footnote>
  <w:footnote w:id="749">
    <w:p w14:paraId="6506FC05" w14:textId="21DC8422" w:rsidR="0030147D" w:rsidRPr="00E72418" w:rsidRDefault="0030147D" w:rsidP="0051444F">
      <w:pPr>
        <w:pStyle w:val="Sansinterligne"/>
      </w:pPr>
      <w:r w:rsidRPr="00E72418">
        <w:rPr>
          <w:rStyle w:val="Appelnotedebasdep"/>
        </w:rPr>
        <w:footnoteRef/>
      </w:r>
      <w:r w:rsidRPr="00E72418">
        <w:t xml:space="preserve"> </w:t>
      </w:r>
      <w:r w:rsidRPr="00E72418">
        <w:rPr>
          <w:rStyle w:val="Titredulivre"/>
          <w:rFonts w:cs="Times New Roman"/>
          <w:b w:val="0"/>
          <w:i w:val="0"/>
        </w:rPr>
        <w:t xml:space="preserve">H. </w:t>
      </w:r>
      <w:r w:rsidRPr="00E72418">
        <w:rPr>
          <w:rStyle w:val="Titredulivre"/>
          <w:rFonts w:cs="Times New Roman"/>
          <w:b w:val="0"/>
          <w:i w:val="0"/>
          <w:smallCaps/>
        </w:rPr>
        <w:t>Muir Watt</w:t>
      </w:r>
      <w:r w:rsidRPr="00E72418">
        <w:rPr>
          <w:rStyle w:val="Titredulivre"/>
          <w:rFonts w:cs="Times New Roman"/>
          <w:b w:val="0"/>
          <w:i w:val="0"/>
        </w:rPr>
        <w:t xml:space="preserve">, « L’immunité souveraine et les fonds “vautour” », </w:t>
      </w:r>
      <w:r w:rsidRPr="00E72418">
        <w:rPr>
          <w:i/>
          <w:szCs w:val="20"/>
        </w:rPr>
        <w:t>op. cit.</w:t>
      </w:r>
      <w:r w:rsidRPr="00E72418">
        <w:rPr>
          <w:rStyle w:val="Titredulivre"/>
          <w:rFonts w:cs="Times New Roman"/>
          <w:b w:val="0"/>
          <w:i w:val="0"/>
        </w:rPr>
        <w:t>, p. 791.</w:t>
      </w:r>
    </w:p>
  </w:footnote>
  <w:footnote w:id="750">
    <w:p w14:paraId="568F07E2" w14:textId="3B73CFC5"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H. Muir Watt</w:t>
      </w:r>
      <w:r w:rsidRPr="00E72418">
        <w:t xml:space="preserve">, « Dette souveraine et main visible du marché : de nouveaux enjeux du droit international privé des contrats », </w:t>
      </w:r>
      <w:r w:rsidRPr="00E72418">
        <w:rPr>
          <w:i/>
        </w:rPr>
        <w:t>op. cit.</w:t>
      </w:r>
      <w:r w:rsidRPr="00E72418">
        <w:t xml:space="preserve">, p. 333. </w:t>
      </w:r>
      <w:r w:rsidRPr="00E72418">
        <w:rPr>
          <w:rStyle w:val="apple-converted-space"/>
          <w:szCs w:val="20"/>
        </w:rPr>
        <w:t xml:space="preserve">Et l’auteure d’également expliquer dans un article postérieur que </w:t>
      </w:r>
      <w:r w:rsidRPr="00E72418">
        <w:t>« [l’]investissement phénoménal des fonds dans la production de ces argumentaires, accompagnant la création progressive de précédents judiciaires […] explique le rétrécissement remarquable des ressources argumentatives disponibles contre les activités des fonds vautours » (</w:t>
      </w:r>
      <w:r w:rsidRPr="00E72418">
        <w:rPr>
          <w:smallCaps/>
        </w:rPr>
        <w:t>H. Muir Watt</w:t>
      </w:r>
      <w:r w:rsidRPr="00E72418">
        <w:t>,</w:t>
      </w:r>
      <w:r w:rsidRPr="00E72418">
        <w:rPr>
          <w:rStyle w:val="apple-converted-space"/>
          <w:szCs w:val="20"/>
        </w:rPr>
        <w:t xml:space="preserve"> « Le retrait litigieux et le fonds vautours », </w:t>
      </w:r>
      <w:r w:rsidRPr="00E72418">
        <w:rPr>
          <w:rFonts w:ascii="Times New Roman" w:hAnsi="Times New Roman" w:cs="Times New Roman"/>
          <w:i/>
        </w:rPr>
        <w:t>Rev. crit. DIP</w:t>
      </w:r>
      <w:r w:rsidRPr="00E72418">
        <w:rPr>
          <w:rStyle w:val="apple-converted-space"/>
          <w:szCs w:val="20"/>
        </w:rPr>
        <w:t xml:space="preserve">, 2018, pp. 864 et 865). L’on peut ici donner l’exemple de l’interprétation en faveur des créanciers récalcitrants donnée à la clause </w:t>
      </w:r>
      <w:r w:rsidRPr="00E72418">
        <w:rPr>
          <w:rStyle w:val="apple-converted-space"/>
          <w:i/>
          <w:szCs w:val="20"/>
        </w:rPr>
        <w:t>pari passu</w:t>
      </w:r>
      <w:r w:rsidRPr="00E72418">
        <w:rPr>
          <w:rStyle w:val="apple-converted-space"/>
          <w:szCs w:val="20"/>
        </w:rPr>
        <w:t xml:space="preserve"> par la cour d’appel de Bruxelles en 2000 que de nombreux fonds spéculatifs cherchèrent à mobiliser dans des contentieux postérieurs (voyez </w:t>
      </w:r>
      <w:r w:rsidRPr="00E72418">
        <w:rPr>
          <w:rStyle w:val="apple-converted-space"/>
          <w:i/>
          <w:szCs w:val="20"/>
        </w:rPr>
        <w:t>infra</w:t>
      </w:r>
      <w:r w:rsidRPr="00E72418">
        <w:rPr>
          <w:rStyle w:val="apple-converted-space"/>
          <w:szCs w:val="20"/>
        </w:rPr>
        <w:t xml:space="preserve"> n</w:t>
      </w:r>
      <w:r w:rsidRPr="00E72418">
        <w:rPr>
          <w:rStyle w:val="apple-converted-space"/>
          <w:szCs w:val="20"/>
          <w:vertAlign w:val="superscript"/>
        </w:rPr>
        <w:t>os</w:t>
      </w:r>
      <w:r w:rsidRPr="00E72418">
        <w:rPr>
          <w:rStyle w:val="apple-converted-space"/>
          <w:szCs w:val="20"/>
        </w:rPr>
        <w:t xml:space="preserve"> 177 et suiv.). Horatia Muir Watt se servira de cet exemple pour illustrer son propos selon lequel « </w:t>
      </w:r>
      <w:r w:rsidRPr="00E72418">
        <w:t xml:space="preserve">[s]ufficient investment in adversarial litigation […] can ensure that contractual clauses in international loan agreements are made to say what they do not necessarily mean </w:t>
      </w:r>
      <w:r w:rsidRPr="00E72418">
        <w:rPr>
          <w:rStyle w:val="apple-converted-space"/>
          <w:szCs w:val="20"/>
        </w:rPr>
        <w:t>» (</w:t>
      </w:r>
      <w:r w:rsidRPr="00E72418">
        <w:rPr>
          <w:shd w:val="clear" w:color="auto" w:fill="FFFFFF"/>
        </w:rPr>
        <w:t xml:space="preserve">H. </w:t>
      </w:r>
      <w:r w:rsidRPr="00E72418">
        <w:rPr>
          <w:rFonts w:cs="Times New Roman"/>
          <w:smallCaps/>
          <w:szCs w:val="24"/>
          <w:lang w:val="en-US"/>
        </w:rPr>
        <w:t>Muir Watt</w:t>
      </w:r>
      <w:r w:rsidRPr="00E72418">
        <w:rPr>
          <w:rFonts w:cs="Times New Roman"/>
          <w:szCs w:val="24"/>
          <w:lang w:val="en-US"/>
        </w:rPr>
        <w:t xml:space="preserve">, « Private International Law Beyond the Schism », </w:t>
      </w:r>
      <w:r w:rsidRPr="00E72418">
        <w:rPr>
          <w:rFonts w:cs="Times New Roman"/>
          <w:i/>
          <w:szCs w:val="24"/>
          <w:lang w:val="en-US"/>
        </w:rPr>
        <w:t>op. cit.</w:t>
      </w:r>
      <w:r w:rsidRPr="00E72418">
        <w:rPr>
          <w:rFonts w:cs="Times New Roman"/>
          <w:szCs w:val="24"/>
          <w:lang w:val="en-US"/>
        </w:rPr>
        <w:t>, pp. 372 et 373).</w:t>
      </w:r>
    </w:p>
  </w:footnote>
  <w:footnote w:id="751">
    <w:p w14:paraId="482E4929" w14:textId="7E49174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11. </w:t>
      </w:r>
      <w:r w:rsidRPr="00E72418">
        <w:t xml:space="preserve">Face à la technicité des arguments, des cliniques ont été mises sur pied afin d’apporter un soutien juridique aux </w:t>
      </w:r>
      <w:r w:rsidRPr="00E72418">
        <w:rPr>
          <w:lang w:eastAsia="fr-BE"/>
        </w:rPr>
        <w:t>É</w:t>
      </w:r>
      <w:r w:rsidRPr="00E72418">
        <w:t xml:space="preserve">tats attaqués (sur ces cliniques juridiques, voyez </w:t>
      </w:r>
      <w:r w:rsidRPr="00E72418">
        <w:rPr>
          <w:i/>
        </w:rPr>
        <w:t>infra</w:t>
      </w:r>
      <w:r w:rsidRPr="00E72418">
        <w:t xml:space="preserve"> n° 263).</w:t>
      </w:r>
    </w:p>
  </w:footnote>
  <w:footnote w:id="752">
    <w:p w14:paraId="4CC53FBB" w14:textId="084B85B4" w:rsidR="0030147D" w:rsidRPr="00E72418" w:rsidRDefault="0030147D" w:rsidP="00E4255F">
      <w:pPr>
        <w:pStyle w:val="Sansinterligne"/>
      </w:pPr>
      <w:r w:rsidRPr="00E72418">
        <w:rPr>
          <w:rStyle w:val="Appelnotedebasdep"/>
        </w:rPr>
        <w:footnoteRef/>
      </w:r>
      <w:r w:rsidRPr="00E72418">
        <w:t xml:space="preserve"> Voyez</w:t>
      </w:r>
      <w:r>
        <w:t>,</w:t>
      </w:r>
      <w:r w:rsidRPr="00E72418">
        <w:t xml:space="preserve"> par exemple</w:t>
      </w:r>
      <w:r>
        <w:t>,</w:t>
      </w:r>
      <w:r w:rsidRPr="00E72418">
        <w:t xml:space="preserve"> le </w:t>
      </w:r>
      <w:r w:rsidRPr="00E72418">
        <w:rPr>
          <w:szCs w:val="20"/>
        </w:rPr>
        <w:t xml:space="preserve">fonds </w:t>
      </w:r>
      <w:r w:rsidRPr="00E72418">
        <w:rPr>
          <w:i/>
          <w:szCs w:val="20"/>
        </w:rPr>
        <w:t>Third Point</w:t>
      </w:r>
      <w:r w:rsidRPr="00E72418">
        <w:t xml:space="preserve"> qui tira profit de la restructuration hellénique (</w:t>
      </w:r>
      <w:r w:rsidRPr="00E72418">
        <w:rPr>
          <w:i/>
        </w:rPr>
        <w:t>supra</w:t>
      </w:r>
      <w:r w:rsidRPr="00E72418">
        <w:t xml:space="preserve"> n° 119).</w:t>
      </w:r>
    </w:p>
  </w:footnote>
  <w:footnote w:id="753">
    <w:p w14:paraId="32B97E7D" w14:textId="6151BA5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 154.</w:t>
      </w:r>
    </w:p>
  </w:footnote>
  <w:footnote w:id="754">
    <w:p w14:paraId="11365E06" w14:textId="35CBF11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J</w:t>
      </w:r>
      <w:r w:rsidRPr="00E72418">
        <w:rPr>
          <w:smallCaps/>
          <w:szCs w:val="20"/>
        </w:rPr>
        <w:t>. Da Ros</w:t>
      </w:r>
      <w:r w:rsidRPr="00E72418">
        <w:rPr>
          <w:szCs w:val="20"/>
        </w:rPr>
        <w:t xml:space="preserve">, « Les </w:t>
      </w:r>
      <w:r w:rsidRPr="00E72418">
        <w:rPr>
          <w:i/>
          <w:szCs w:val="20"/>
        </w:rPr>
        <w:t>Credit Default Swaps</w:t>
      </w:r>
      <w:r w:rsidRPr="00E72418">
        <w:rPr>
          <w:szCs w:val="20"/>
        </w:rPr>
        <w:t xml:space="preserve"> – Incidence des </w:t>
      </w:r>
      <w:r w:rsidRPr="00E72418">
        <w:rPr>
          <w:i/>
          <w:szCs w:val="20"/>
        </w:rPr>
        <w:t>Credit Default Swaps</w:t>
      </w:r>
      <w:r w:rsidRPr="00E72418">
        <w:rPr>
          <w:szCs w:val="20"/>
        </w:rPr>
        <w:t xml:space="preserve"> sur les dettes des États : bilan et prospective », in M. </w:t>
      </w:r>
      <w:r w:rsidRPr="00E72418">
        <w:rPr>
          <w:smallCaps/>
          <w:szCs w:val="20"/>
        </w:rPr>
        <w:t>Audit</w:t>
      </w:r>
      <w:r w:rsidRPr="00E72418">
        <w:rPr>
          <w:szCs w:val="20"/>
        </w:rPr>
        <w:t xml:space="preserve"> (dir.), </w:t>
      </w:r>
      <w:r w:rsidRPr="00E72418">
        <w:rPr>
          <w:i/>
          <w:szCs w:val="20"/>
        </w:rPr>
        <w:t>Insolvabilité des États et dettes souveraines</w:t>
      </w:r>
      <w:r w:rsidRPr="00E72418">
        <w:rPr>
          <w:szCs w:val="20"/>
        </w:rPr>
        <w:t>, L.G.D.J., 2011, p. 90.</w:t>
      </w:r>
    </w:p>
  </w:footnote>
  <w:footnote w:id="755">
    <w:p w14:paraId="6DC1D322" w14:textId="5CABEA02"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Vernengo</w:t>
      </w:r>
      <w:r w:rsidRPr="00E72418">
        <w:rPr>
          <w:szCs w:val="20"/>
          <w:lang w:val="en-US"/>
        </w:rPr>
        <w:t xml:space="preserve">, « Argentina, Vulture Funds, and the American Justice System », </w:t>
      </w:r>
      <w:r w:rsidRPr="00E72418">
        <w:rPr>
          <w:i/>
          <w:szCs w:val="20"/>
          <w:lang w:val="en-US"/>
        </w:rPr>
        <w:t>op. cit.</w:t>
      </w:r>
      <w:r w:rsidRPr="00E72418">
        <w:rPr>
          <w:szCs w:val="20"/>
          <w:lang w:val="en-US"/>
        </w:rPr>
        <w:t xml:space="preserve">, p. 47. Voyez également S. </w:t>
      </w:r>
      <w:r w:rsidRPr="00E72418">
        <w:rPr>
          <w:rFonts w:cs="Times New Roman"/>
          <w:smallCaps/>
          <w:szCs w:val="24"/>
          <w:lang w:val="en-US"/>
        </w:rPr>
        <w:t xml:space="preserve">Brooks, M. Guzman, D. Lombardi </w:t>
      </w:r>
      <w:r w:rsidRPr="00E72418">
        <w:rPr>
          <w:rFonts w:cs="Times New Roman"/>
          <w:szCs w:val="24"/>
          <w:lang w:val="en-US"/>
        </w:rPr>
        <w:t>et J. S</w:t>
      </w:r>
      <w:r w:rsidRPr="00E72418">
        <w:rPr>
          <w:rFonts w:cs="Times New Roman"/>
          <w:smallCaps/>
          <w:szCs w:val="24"/>
          <w:lang w:val="en-US"/>
        </w:rPr>
        <w:t xml:space="preserve">tiglitz,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Identifying and Resolving Inter-Creditor and Debtor-Creditor Equity Issues in Sovereign Debt Restructuring </w:t>
      </w:r>
      <w:r w:rsidRPr="00E72418">
        <w:rPr>
          <w:rFonts w:ascii="Times New Roman" w:hAnsi="Times New Roman" w:cs="Times New Roman"/>
          <w:szCs w:val="24"/>
        </w:rPr>
        <w:t>»</w:t>
      </w:r>
      <w:r w:rsidRPr="00E72418">
        <w:rPr>
          <w:rFonts w:cs="Times New Roman"/>
          <w:szCs w:val="24"/>
          <w:lang w:val="en-US"/>
        </w:rPr>
        <w:t xml:space="preserve">, CIGI Policy Brief 53, janvier 2015, p. 3 : </w:t>
      </w:r>
      <w:r w:rsidRPr="00E72418">
        <w:rPr>
          <w:szCs w:val="20"/>
          <w:lang w:val="en-US"/>
        </w:rPr>
        <w:t>« [</w:t>
      </w:r>
      <w:r w:rsidRPr="00E72418">
        <w:t>sovereign credit default swaps</w:t>
      </w:r>
      <w:r w:rsidRPr="00E72418">
        <w:rPr>
          <w:szCs w:val="20"/>
          <w:lang w:val="en-US"/>
        </w:rPr>
        <w:t>]</w:t>
      </w:r>
      <w:r w:rsidRPr="00E72418">
        <w:t xml:space="preserve"> are also used to speculate on the likelihood of default » et « </w:t>
      </w:r>
      <w:r w:rsidRPr="00E72418">
        <w:rPr>
          <w:szCs w:val="20"/>
          <w:lang w:val="en-US"/>
        </w:rPr>
        <w:t>[</w:t>
      </w:r>
      <w:r w:rsidRPr="00E72418">
        <w:t>t</w:t>
      </w:r>
      <w:r w:rsidRPr="00E72418">
        <w:rPr>
          <w:szCs w:val="20"/>
          <w:lang w:val="en-US"/>
        </w:rPr>
        <w:t>]</w:t>
      </w:r>
      <w:r w:rsidRPr="00E72418">
        <w:t>he widespread use of SCDSs contradicts the notion that creditors necessarily want to avoid sovereign defaults and, when they occur, seek to reach prompt and fair restructuring agreements »</w:t>
      </w:r>
      <w:r w:rsidRPr="00E72418">
        <w:rPr>
          <w:rFonts w:cs="Times New Roman"/>
          <w:szCs w:val="24"/>
          <w:lang w:val="en-US"/>
        </w:rPr>
        <w:t xml:space="preserve">. Ainsi, </w:t>
      </w:r>
      <w:r w:rsidRPr="00E72418">
        <w:rPr>
          <w:szCs w:val="20"/>
        </w:rPr>
        <w:t xml:space="preserve">l’entêtement judiciaire de la société </w:t>
      </w:r>
      <w:r w:rsidRPr="00E72418">
        <w:rPr>
          <w:i/>
          <w:szCs w:val="20"/>
        </w:rPr>
        <w:t>NML Capital Ltd.</w:t>
      </w:r>
      <w:r w:rsidRPr="00E72418">
        <w:rPr>
          <w:szCs w:val="20"/>
        </w:rPr>
        <w:t xml:space="preserve"> à l’encontre de la République argentine pourrait s’expliquer par sa détention de </w:t>
      </w:r>
      <w:r w:rsidRPr="00E72418">
        <w:rPr>
          <w:i/>
          <w:szCs w:val="20"/>
        </w:rPr>
        <w:t>credit default swaps</w:t>
      </w:r>
      <w:r w:rsidRPr="00E72418">
        <w:rPr>
          <w:szCs w:val="20"/>
        </w:rPr>
        <w:t xml:space="preserve"> la poussant à chercher par tous les moyens que l’État argentin fût en défaut sur sa dette (</w:t>
      </w:r>
      <w:r w:rsidRPr="00E72418">
        <w:rPr>
          <w:smallCaps/>
          <w:szCs w:val="20"/>
        </w:rPr>
        <w:t>C. Kleiner</w:t>
      </w:r>
      <w:r w:rsidRPr="00E72418">
        <w:rPr>
          <w:szCs w:val="20"/>
        </w:rPr>
        <w:t xml:space="preserve">, « L’affaire du siècle : </w:t>
      </w:r>
      <w:r w:rsidRPr="00E72418">
        <w:rPr>
          <w:i/>
          <w:szCs w:val="20"/>
        </w:rPr>
        <w:t>NML c/République d’Argentine</w:t>
      </w:r>
      <w:r w:rsidRPr="00E72418">
        <w:rPr>
          <w:szCs w:val="20"/>
        </w:rPr>
        <w:t xml:space="preserve"> ou la “contribution” des fonds vautours au droit international », in </w:t>
      </w:r>
      <w:r w:rsidRPr="00E72418">
        <w:rPr>
          <w:i/>
          <w:szCs w:val="20"/>
        </w:rPr>
        <w:t>Mélanges en l’honneur du Professeur Pierre Mayer</w:t>
      </w:r>
      <w:r w:rsidRPr="00E72418">
        <w:rPr>
          <w:szCs w:val="20"/>
        </w:rPr>
        <w:t>, L.G.D.J., 2015, p. 393).</w:t>
      </w:r>
    </w:p>
  </w:footnote>
  <w:footnote w:id="756">
    <w:p w14:paraId="3FCDC014" w14:textId="6E84000A"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 336.</w:t>
      </w:r>
    </w:p>
  </w:footnote>
  <w:footnote w:id="757">
    <w:p w14:paraId="1BC14DDA" w14:textId="49D889DD" w:rsidR="0030147D" w:rsidRPr="00E72418" w:rsidRDefault="0030147D" w:rsidP="009B5B86">
      <w:pPr>
        <w:pStyle w:val="Sansinterligne"/>
      </w:pPr>
      <w:r w:rsidRPr="00E72418">
        <w:rPr>
          <w:rStyle w:val="Appelnotedebasdep"/>
        </w:rPr>
        <w:footnoteRef/>
      </w:r>
      <w:r w:rsidRPr="00E72418">
        <w:t xml:space="preserve"> Cette spéculation a été appréhendée en Europe via l’adoption du règlement n° 236/2012 du Parlement et du Conseil du 14 mars 2012 sur la vente à découvert et certains aspects des contrats d’échange sur risque de crédit.</w:t>
      </w:r>
    </w:p>
  </w:footnote>
  <w:footnote w:id="758">
    <w:p w14:paraId="447B72BD" w14:textId="64ABBFC6" w:rsidR="0030147D" w:rsidRPr="00E72418" w:rsidRDefault="0030147D" w:rsidP="009B5B86">
      <w:pPr>
        <w:pStyle w:val="Sansinterligne"/>
      </w:pPr>
      <w:r w:rsidRPr="00E72418">
        <w:rPr>
          <w:rStyle w:val="Appelnotedebasdep"/>
        </w:rPr>
        <w:footnoteRef/>
      </w:r>
      <w:r w:rsidRPr="00E72418">
        <w:t xml:space="preserve"> Y. </w:t>
      </w:r>
      <w:r w:rsidRPr="00E72418">
        <w:rPr>
          <w:smallCaps/>
        </w:rPr>
        <w:t>Yadav</w:t>
      </w:r>
      <w:r w:rsidRPr="00E72418">
        <w:t xml:space="preserve">, « Empty creditors and sovereign debt : what now? », </w:t>
      </w:r>
      <w:r w:rsidRPr="00E72418">
        <w:rPr>
          <w:rFonts w:ascii="Times New Roman" w:hAnsi="Times New Roman" w:cs="Times New Roman"/>
          <w:i/>
          <w:szCs w:val="20"/>
        </w:rPr>
        <w:t>C.M.L.J.</w:t>
      </w:r>
      <w:r w:rsidRPr="00E72418">
        <w:t>, 2014, p. 113.</w:t>
      </w:r>
    </w:p>
  </w:footnote>
  <w:footnote w:id="759">
    <w:p w14:paraId="534E9B80" w14:textId="3E204E1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xml:space="preserve">, p. 7. L’on peut ainsi donner comme exemples les sociétés </w:t>
      </w:r>
      <w:r w:rsidRPr="00E72418">
        <w:rPr>
          <w:i/>
          <w:szCs w:val="20"/>
        </w:rPr>
        <w:t>Hamsah Investments Ltd.</w:t>
      </w:r>
      <w:r w:rsidRPr="00E72418">
        <w:rPr>
          <w:szCs w:val="20"/>
        </w:rPr>
        <w:t xml:space="preserve"> aux Îles Vierges britanniques ou encore </w:t>
      </w:r>
      <w:r w:rsidRPr="00E72418">
        <w:rPr>
          <w:i/>
          <w:szCs w:val="20"/>
        </w:rPr>
        <w:t>Wall Capital Ltd.</w:t>
      </w:r>
      <w:r w:rsidRPr="00E72418">
        <w:rPr>
          <w:szCs w:val="20"/>
        </w:rPr>
        <w:t xml:space="preserve"> aux Îles Caïmans, toutes deux opposées à la République du Libéria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114 et suiv.).</w:t>
      </w:r>
    </w:p>
  </w:footnote>
  <w:footnote w:id="760">
    <w:p w14:paraId="09B06E58" w14:textId="6619269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4.</w:t>
      </w:r>
    </w:p>
  </w:footnote>
  <w:footnote w:id="761">
    <w:p w14:paraId="5085EE93" w14:textId="246DD5CC"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Style w:val="Titredulivre"/>
          <w:b w:val="0"/>
          <w:bCs w:val="0"/>
          <w:i w:val="0"/>
          <w:iCs w:val="0"/>
          <w:smallCaps/>
          <w:spacing w:val="0"/>
          <w:szCs w:val="20"/>
        </w:rPr>
        <w:t>H. Muir Watt</w:t>
      </w:r>
      <w:r w:rsidRPr="00E72418">
        <w:rPr>
          <w:rStyle w:val="Titredulivre"/>
          <w:b w:val="0"/>
          <w:bCs w:val="0"/>
          <w:i w:val="0"/>
          <w:iCs w:val="0"/>
          <w:spacing w:val="0"/>
          <w:szCs w:val="20"/>
        </w:rPr>
        <w:t xml:space="preserve">, « L’immunité souveraine et les fonds “vautour” », </w:t>
      </w:r>
      <w:r w:rsidRPr="00E72418">
        <w:rPr>
          <w:i/>
          <w:szCs w:val="20"/>
        </w:rPr>
        <w:t>op. cit.</w:t>
      </w:r>
      <w:r w:rsidRPr="00E72418">
        <w:rPr>
          <w:rStyle w:val="Titredulivre"/>
          <w:b w:val="0"/>
          <w:bCs w:val="0"/>
          <w:i w:val="0"/>
          <w:iCs w:val="0"/>
          <w:spacing w:val="0"/>
          <w:szCs w:val="20"/>
        </w:rPr>
        <w:t>, p. 792.</w:t>
      </w:r>
    </w:p>
  </w:footnote>
  <w:footnote w:id="762">
    <w:p w14:paraId="3D1E579E" w14:textId="2F18AF54"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xml:space="preserve">, p. 52. L’on peut relever l’exemple de la société </w:t>
      </w:r>
      <w:r w:rsidRPr="00E72418">
        <w:rPr>
          <w:i/>
          <w:szCs w:val="20"/>
        </w:rPr>
        <w:t>Donegal International Ltd.</w:t>
      </w:r>
      <w:r w:rsidRPr="00E72418">
        <w:rPr>
          <w:szCs w:val="20"/>
        </w:rPr>
        <w:t xml:space="preserve"> immatriculée aux Îles Vierges britanniques par une société basée aux États-Unis dans l’unique but de récupérer une dette zambienne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xml:space="preserve">, p. 7). </w:t>
      </w:r>
      <w:r w:rsidRPr="00E72418">
        <w:rPr>
          <w:szCs w:val="20"/>
          <w:lang w:val="en-US"/>
        </w:rPr>
        <w:t xml:space="preserve">La </w:t>
      </w:r>
      <w:r w:rsidRPr="00F1587D">
        <w:rPr>
          <w:szCs w:val="20"/>
          <w:lang w:val="en-US"/>
        </w:rPr>
        <w:t>High Court</w:t>
      </w:r>
      <w:r w:rsidRPr="00E72418">
        <w:rPr>
          <w:szCs w:val="20"/>
          <w:lang w:val="en-US"/>
        </w:rPr>
        <w:t xml:space="preserve"> britannique remarqua que « Donegal’s only asset is the claim against Zambia, they were acquired so that the debt could be assigned to them and it appears that they have never done any other significant business » (High Court of Justice (RU), Queen’s Bench Division, Commercial Court, 15 février 2007, </w:t>
      </w:r>
      <w:r w:rsidRPr="00E72418">
        <w:rPr>
          <w:i/>
          <w:szCs w:val="20"/>
          <w:lang w:val="en-US"/>
        </w:rPr>
        <w:t>Donegal International Limited v. Republic of Zambia and Anr.</w:t>
      </w:r>
      <w:r w:rsidRPr="00E72418">
        <w:rPr>
          <w:szCs w:val="20"/>
          <w:lang w:val="en-US"/>
        </w:rPr>
        <w:t xml:space="preserve">, [2007] EWHC 197 (Comm.), paragraphe 25). </w:t>
      </w:r>
      <w:r w:rsidRPr="00E72418">
        <w:rPr>
          <w:szCs w:val="20"/>
        </w:rPr>
        <w:t xml:space="preserve">L’on peut encore relever que les créanciers </w:t>
      </w:r>
      <w:r w:rsidRPr="00E72418">
        <w:rPr>
          <w:i/>
          <w:szCs w:val="20"/>
        </w:rPr>
        <w:t>Elliott</w:t>
      </w:r>
      <w:r w:rsidRPr="00E72418">
        <w:rPr>
          <w:szCs w:val="20"/>
        </w:rPr>
        <w:t xml:space="preserve"> et </w:t>
      </w:r>
      <w:r w:rsidRPr="00E72418">
        <w:rPr>
          <w:i/>
          <w:szCs w:val="20"/>
        </w:rPr>
        <w:t>Dart</w:t>
      </w:r>
      <w:r w:rsidRPr="00E72418">
        <w:rPr>
          <w:szCs w:val="20"/>
        </w:rPr>
        <w:t xml:space="preserve"> ont introduit des procédures par l’entremise de structures subsidiaires que sont </w:t>
      </w:r>
      <w:r w:rsidRPr="00E72418">
        <w:rPr>
          <w:i/>
          <w:szCs w:val="20"/>
        </w:rPr>
        <w:t>NML Capital Ltd.</w:t>
      </w:r>
      <w:r w:rsidRPr="00E72418">
        <w:rPr>
          <w:szCs w:val="20"/>
        </w:rPr>
        <w:t xml:space="preserve"> ou encore </w:t>
      </w:r>
      <w:r w:rsidRPr="00E72418">
        <w:rPr>
          <w:i/>
          <w:szCs w:val="20"/>
        </w:rPr>
        <w:t>CIBC</w:t>
      </w:r>
      <w:r w:rsidRPr="00E72418">
        <w:rPr>
          <w:szCs w:val="20"/>
        </w:rPr>
        <w:t xml:space="preserve"> (</w:t>
      </w:r>
      <w:r w:rsidRPr="00E72418">
        <w:rPr>
          <w:smallCaps/>
          <w:szCs w:val="20"/>
        </w:rPr>
        <w:t>J. Schumacher, C. Trebesch</w:t>
      </w:r>
      <w:r w:rsidRPr="00E72418">
        <w:rPr>
          <w:szCs w:val="20"/>
        </w:rPr>
        <w:t xml:space="preserve"> et </w:t>
      </w:r>
      <w:r w:rsidRPr="00E72418">
        <w:rPr>
          <w:smallCaps/>
          <w:szCs w:val="20"/>
        </w:rPr>
        <w:t>H. Enderlein</w:t>
      </w:r>
      <w:r w:rsidRPr="00E72418">
        <w:rPr>
          <w:szCs w:val="20"/>
        </w:rPr>
        <w:t xml:space="preserve">, </w:t>
      </w:r>
      <w:r w:rsidRPr="00E72418">
        <w:t xml:space="preserve">« </w:t>
      </w:r>
      <w:r w:rsidRPr="00E72418">
        <w:rPr>
          <w:lang w:val="en-US"/>
        </w:rPr>
        <w:t>Sovereign Defaults in Court</w:t>
      </w:r>
      <w:r w:rsidRPr="00E72418">
        <w:rPr>
          <w:i/>
          <w:lang w:val="en-US"/>
        </w:rPr>
        <w:t xml:space="preserve"> </w:t>
      </w:r>
      <w:r w:rsidRPr="00E72418">
        <w:rPr>
          <w:szCs w:val="20"/>
        </w:rPr>
        <w:t xml:space="preserve">», </w:t>
      </w:r>
      <w:r w:rsidRPr="00E72418">
        <w:rPr>
          <w:i/>
          <w:szCs w:val="20"/>
          <w:lang w:val="en-US"/>
        </w:rPr>
        <w:t>op. cit.</w:t>
      </w:r>
      <w:r w:rsidRPr="00E72418">
        <w:rPr>
          <w:szCs w:val="20"/>
        </w:rPr>
        <w:t>, p. 15).</w:t>
      </w:r>
    </w:p>
  </w:footnote>
  <w:footnote w:id="763">
    <w:p w14:paraId="5014168C" w14:textId="27CD107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Les propositions de loi étatsuniennes luttant contre les fonds spéculatifs épinglent cette réalité d’action à travers des structures </w:t>
      </w:r>
      <w:r w:rsidRPr="00E72418">
        <w:rPr>
          <w:i/>
          <w:szCs w:val="20"/>
        </w:rPr>
        <w:t>offshore</w:t>
      </w:r>
      <w:r w:rsidRPr="00E72418">
        <w:rPr>
          <w:szCs w:val="20"/>
        </w:rPr>
        <w:t xml:space="preserve">, s’avérant souvent être des coquilles vides détenues et gérées par des citoyens des </w:t>
      </w:r>
      <w:r w:rsidRPr="00E72418">
        <w:rPr>
          <w:szCs w:val="20"/>
          <w:lang w:eastAsia="fr-BE"/>
        </w:rPr>
        <w:t>É</w:t>
      </w:r>
      <w:r w:rsidRPr="00E72418">
        <w:rPr>
          <w:szCs w:val="20"/>
        </w:rPr>
        <w:t>tats-Unis ou y opérant d’importantes activités financières, dont l’objectif est d’éviter que s’appliquent à leurs activités la réglementation et la taxation étatsuniennes (</w:t>
      </w:r>
      <w:r w:rsidRPr="00E72418">
        <w:rPr>
          <w:szCs w:val="20"/>
          <w:lang w:val="en-US"/>
        </w:rPr>
        <w:t xml:space="preserve">U.S. bills 110 H.R. 6796 et 111 H.R. 2932 to prevent speculation and profiteering in the defaulted debt of certain poor countries, and for other purposes, article 2(11). Sur ces propositions, voyez </w:t>
      </w:r>
      <w:r w:rsidRPr="00E72418">
        <w:rPr>
          <w:i/>
          <w:szCs w:val="20"/>
          <w:lang w:val="en-US"/>
        </w:rPr>
        <w:t xml:space="preserve">infra </w:t>
      </w:r>
      <w:r w:rsidRPr="00E72418">
        <w:rPr>
          <w:szCs w:val="20"/>
          <w:lang w:val="en-US"/>
        </w:rPr>
        <w:t>n</w:t>
      </w:r>
      <w:r w:rsidRPr="00E72418">
        <w:rPr>
          <w:szCs w:val="20"/>
          <w:vertAlign w:val="superscript"/>
          <w:lang w:val="en-US"/>
        </w:rPr>
        <w:t>os</w:t>
      </w:r>
      <w:r w:rsidRPr="00E72418">
        <w:rPr>
          <w:szCs w:val="20"/>
          <w:lang w:val="en-US"/>
        </w:rPr>
        <w:t xml:space="preserve"> 294 et suiv.).</w:t>
      </w:r>
    </w:p>
  </w:footnote>
  <w:footnote w:id="764">
    <w:p w14:paraId="2DB1E402" w14:textId="14338E9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p. 7.</w:t>
      </w:r>
    </w:p>
  </w:footnote>
  <w:footnote w:id="765">
    <w:p w14:paraId="1C84F0D4" w14:textId="24743FFE"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p. 37.</w:t>
      </w:r>
    </w:p>
  </w:footnote>
  <w:footnote w:id="766">
    <w:p w14:paraId="3317AF29" w14:textId="3131A963" w:rsidR="0030147D" w:rsidRPr="00E72418" w:rsidRDefault="0030147D" w:rsidP="00266FC9">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53.</w:t>
      </w:r>
    </w:p>
  </w:footnote>
  <w:footnote w:id="767">
    <w:p w14:paraId="2EA78FF0" w14:textId="11842CB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 332. Kenneth Dart aurait renoncé à sa nationalité étatsunienne pour devenir Bélizien dans un souci d’éviter les taxes étatsuniennes (</w:t>
      </w:r>
      <w:r w:rsidRPr="00E72418">
        <w:rPr>
          <w:smallCaps/>
          <w:szCs w:val="20"/>
        </w:rPr>
        <w:t>M. Vernengo</w:t>
      </w:r>
      <w:r w:rsidRPr="00E72418">
        <w:rPr>
          <w:szCs w:val="20"/>
        </w:rPr>
        <w:t xml:space="preserve">, « Argentina, Vulture Funds, and the American Justice System », </w:t>
      </w:r>
      <w:r w:rsidRPr="00E72418">
        <w:rPr>
          <w:i/>
          <w:szCs w:val="20"/>
        </w:rPr>
        <w:t>op. cit.</w:t>
      </w:r>
      <w:r w:rsidRPr="00E72418">
        <w:rPr>
          <w:szCs w:val="20"/>
        </w:rPr>
        <w:t>, p. 54).</w:t>
      </w:r>
    </w:p>
  </w:footnote>
  <w:footnote w:id="768">
    <w:p w14:paraId="6D49AE12" w14:textId="4BA19DA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7.</w:t>
      </w:r>
    </w:p>
  </w:footnote>
  <w:footnote w:id="769">
    <w:p w14:paraId="3EA7D81C" w14:textId="344EA104"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8 février 1995, </w:t>
      </w:r>
      <w:r w:rsidRPr="00E72418">
        <w:rPr>
          <w:i/>
          <w:szCs w:val="20"/>
          <w:lang w:val="en-US"/>
        </w:rPr>
        <w:t>Water Street Bank &amp; Trust Ltd. v. Republic of Panama</w:t>
      </w:r>
      <w:r w:rsidRPr="00E72418">
        <w:rPr>
          <w:szCs w:val="20"/>
          <w:lang w:val="en-US"/>
        </w:rPr>
        <w:t>, 1995 WL 51160. Le créancier y restait en défaut de communiquer « “the identities of the individuals who are the true and ultimate owners” of plaintiff’s parent and grandparent corporations ».</w:t>
      </w:r>
    </w:p>
  </w:footnote>
  <w:footnote w:id="770">
    <w:p w14:paraId="481A6F7B" w14:textId="1E8B6C9D"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United States District Court for the Southern District of New York (EUA), </w:t>
      </w:r>
      <w:r w:rsidRPr="00E72418">
        <w:rPr>
          <w:szCs w:val="20"/>
        </w:rPr>
        <w:t>1</w:t>
      </w:r>
      <w:r w:rsidRPr="00E72418">
        <w:rPr>
          <w:szCs w:val="20"/>
          <w:vertAlign w:val="superscript"/>
        </w:rPr>
        <w:t>er</w:t>
      </w:r>
      <w:r w:rsidRPr="00E72418">
        <w:rPr>
          <w:szCs w:val="20"/>
          <w:lang w:val="en-US"/>
        </w:rPr>
        <w:t xml:space="preserve"> juin 2000, </w:t>
      </w:r>
      <w:r w:rsidRPr="00E72418">
        <w:rPr>
          <w:i/>
          <w:szCs w:val="20"/>
          <w:lang w:val="en-US"/>
        </w:rPr>
        <w:t>Elliott Assocs. L.P. v. Banco de la Nacion</w:t>
      </w:r>
      <w:r w:rsidRPr="00E72418">
        <w:rPr>
          <w:szCs w:val="20"/>
          <w:lang w:val="en-US"/>
        </w:rPr>
        <w:t>, 194 F.R.D. 116, p. 118. D</w:t>
      </w:r>
      <w:r w:rsidRPr="00E72418">
        <w:rPr>
          <w:szCs w:val="20"/>
        </w:rPr>
        <w:t xml:space="preserve">es mesures de </w:t>
      </w:r>
      <w:r w:rsidRPr="00E72418">
        <w:rPr>
          <w:i/>
          <w:szCs w:val="20"/>
        </w:rPr>
        <w:t>discovery</w:t>
      </w:r>
      <w:r w:rsidRPr="00E72418">
        <w:rPr>
          <w:szCs w:val="20"/>
        </w:rPr>
        <w:t xml:space="preserve"> furent en réalité sollicitées par l’État débiteur afin de lui permettre d’appuyer sa défense de </w:t>
      </w:r>
      <w:r w:rsidRPr="00E72418">
        <w:rPr>
          <w:i/>
          <w:szCs w:val="20"/>
        </w:rPr>
        <w:t>champerty</w:t>
      </w:r>
      <w:r w:rsidRPr="00E72418">
        <w:rPr>
          <w:szCs w:val="20"/>
        </w:rPr>
        <w:t xml:space="preserve"> (United States District Court for the Southern District of New York (EUA), </w:t>
      </w:r>
      <w:r w:rsidRPr="00E72418">
        <w:rPr>
          <w:rStyle w:val="injectednode"/>
          <w:szCs w:val="20"/>
        </w:rPr>
        <w:t xml:space="preserve">28 avril 1997, </w:t>
      </w:r>
      <w:r w:rsidRPr="00E72418">
        <w:rPr>
          <w:i/>
          <w:szCs w:val="20"/>
        </w:rPr>
        <w:t>Elliott Associates. L.P. v. The Republic of Peru</w:t>
      </w:r>
      <w:r w:rsidRPr="00E72418">
        <w:rPr>
          <w:rStyle w:val="injectednode"/>
          <w:szCs w:val="20"/>
        </w:rPr>
        <w:t>, 961 F. Supp. 83, spécialement pp. 86 et 87). Sur cette défense, voyez</w:t>
      </w:r>
      <w:r w:rsidRPr="00E72418">
        <w:rPr>
          <w:rStyle w:val="injectednode"/>
          <w:i/>
          <w:szCs w:val="20"/>
        </w:rPr>
        <w:t xml:space="preserve"> infra</w:t>
      </w:r>
      <w:r w:rsidRPr="00E72418">
        <w:rPr>
          <w:rStyle w:val="injectednode"/>
          <w:szCs w:val="20"/>
        </w:rPr>
        <w:t xml:space="preserve"> n</w:t>
      </w:r>
      <w:r w:rsidRPr="00E72418">
        <w:rPr>
          <w:rStyle w:val="injectednode"/>
          <w:szCs w:val="20"/>
          <w:vertAlign w:val="superscript"/>
        </w:rPr>
        <w:t>os</w:t>
      </w:r>
      <w:r w:rsidRPr="00E72418">
        <w:rPr>
          <w:rStyle w:val="injectednode"/>
          <w:szCs w:val="20"/>
        </w:rPr>
        <w:t xml:space="preserve"> 243 et suiv.</w:t>
      </w:r>
    </w:p>
  </w:footnote>
  <w:footnote w:id="771">
    <w:p w14:paraId="798EC577" w14:textId="2D44256F" w:rsidR="0030147D" w:rsidRPr="00E72418" w:rsidRDefault="0030147D" w:rsidP="00395D59">
      <w:pPr>
        <w:pStyle w:val="Sansinterligne"/>
      </w:pPr>
      <w:r w:rsidRPr="00E72418">
        <w:rPr>
          <w:rStyle w:val="Appelnotedebasdep"/>
        </w:rPr>
        <w:footnoteRef/>
      </w:r>
      <w:r w:rsidRPr="00E72418">
        <w:t xml:space="preserve"> Lors de la phase de rachat de dettes, les fonds spéculatifs mobilisent un soutien logistique important en sollicitant des sociétés de conseil pour l’acquisition des titres (C. </w:t>
      </w:r>
      <w:r w:rsidRPr="00E72418">
        <w:rPr>
          <w:smallCaps/>
        </w:rPr>
        <w:t xml:space="preserve">Lequesne-Roth, </w:t>
      </w:r>
      <w:r w:rsidRPr="00E72418">
        <w:t xml:space="preserve">« Le contentieux arbitral des dettes souveraines », </w:t>
      </w:r>
      <w:r w:rsidRPr="00E72418">
        <w:rPr>
          <w:i/>
        </w:rPr>
        <w:t>op. cit.</w:t>
      </w:r>
      <w:r w:rsidRPr="00E72418">
        <w:t>, p. 520).</w:t>
      </w:r>
    </w:p>
  </w:footnote>
  <w:footnote w:id="772">
    <w:p w14:paraId="39339C33" w14:textId="4BEAF7E5"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3. Le Comité consultatif indique que des mesures devraient être prises pour réglementer le commerce des dettes souveraines sur le marché secondaire et garantir la transparence (</w:t>
      </w:r>
      <w:r w:rsidRPr="00E72418">
        <w:rPr>
          <w:i/>
          <w:szCs w:val="20"/>
        </w:rPr>
        <w:t>ibid</w:t>
      </w:r>
      <w:r w:rsidRPr="00E72418">
        <w:rPr>
          <w:szCs w:val="20"/>
        </w:rPr>
        <w:t xml:space="preserve">., p. 19). Sur ce souci de transparence et l’importance que les États souverains soient informés des opérations pratiquées sur les titres dont ils sont débiteurs, voyez </w:t>
      </w:r>
      <w:r w:rsidRPr="00E72418">
        <w:rPr>
          <w:i/>
          <w:szCs w:val="20"/>
        </w:rPr>
        <w:t>infra</w:t>
      </w:r>
      <w:r>
        <w:rPr>
          <w:szCs w:val="20"/>
        </w:rPr>
        <w:t xml:space="preserve"> n° 426</w:t>
      </w:r>
      <w:r w:rsidRPr="00E72418">
        <w:rPr>
          <w:szCs w:val="20"/>
        </w:rPr>
        <w:t>.</w:t>
      </w:r>
    </w:p>
  </w:footnote>
  <w:footnote w:id="773">
    <w:p w14:paraId="0BFC1431" w14:textId="77777777" w:rsidR="0030147D" w:rsidRPr="00E72418" w:rsidRDefault="0030147D" w:rsidP="00B45C7B">
      <w:pPr>
        <w:pStyle w:val="Sansinterligne"/>
        <w:rPr>
          <w:szCs w:val="20"/>
        </w:rPr>
      </w:pPr>
      <w:r w:rsidRPr="00E72418">
        <w:rPr>
          <w:rStyle w:val="Appelnotedebasdep"/>
          <w:szCs w:val="20"/>
        </w:rPr>
        <w:footnoteRef/>
      </w:r>
      <w:r w:rsidRPr="00E72418">
        <w:rPr>
          <w:szCs w:val="20"/>
          <w:vertAlign w:val="superscript"/>
        </w:rPr>
        <w:t xml:space="preserve"> </w:t>
      </w:r>
      <w:r w:rsidRPr="00E72418">
        <w:rPr>
          <w:szCs w:val="20"/>
        </w:rPr>
        <w:t xml:space="preserve">Assemblée nationale française, </w:t>
      </w:r>
      <w:r w:rsidRPr="00E72418">
        <w:rPr>
          <w:i/>
          <w:szCs w:val="20"/>
        </w:rPr>
        <w:t>Proposition de loi visant à lutter contre l’action des fonds financiers dits « fonds vautours »</w:t>
      </w:r>
      <w:r w:rsidRPr="00E72418">
        <w:rPr>
          <w:szCs w:val="20"/>
        </w:rPr>
        <w:t xml:space="preserve">, 28 juin 2006, n° 3214, p. 2 et Assemblée nationale française, </w:t>
      </w:r>
      <w:r w:rsidRPr="00E72418">
        <w:rPr>
          <w:i/>
          <w:szCs w:val="20"/>
        </w:rPr>
        <w:t>Proposition de loi visant à lutter contre l’action des fonds financiers dits « fonds vautours »</w:t>
      </w:r>
      <w:r w:rsidRPr="00E72418">
        <w:rPr>
          <w:szCs w:val="20"/>
        </w:rPr>
        <w:t>, 2 août 2007, n° 131, p. 3.</w:t>
      </w:r>
    </w:p>
  </w:footnote>
  <w:footnote w:id="774">
    <w:p w14:paraId="75CBE2BB" w14:textId="4C668FF1" w:rsidR="0030147D" w:rsidRPr="00E72418" w:rsidRDefault="0030147D" w:rsidP="00EA1824">
      <w:pPr>
        <w:pStyle w:val="Sansinterligne"/>
      </w:pPr>
      <w:r w:rsidRPr="00E72418">
        <w:rPr>
          <w:rStyle w:val="Appelnotedebasdep"/>
        </w:rPr>
        <w:footnoteRef/>
      </w:r>
      <w:r w:rsidRPr="00E72418">
        <w:t xml:space="preserve"> Au niveau régional, d’autres organisations affichent également leur préoccupation. C’est notamment le cas au niveau européen où le Parlement européen souhaite qu’il soit lutté « contre la spéculation des fonds vautours » (</w:t>
      </w:r>
      <w:r w:rsidRPr="00E72418">
        <w:rPr>
          <w:szCs w:val="20"/>
        </w:rPr>
        <w:t xml:space="preserve">Parlement européen, </w:t>
      </w:r>
      <w:r w:rsidRPr="00E72418">
        <w:rPr>
          <w:i/>
          <w:szCs w:val="20"/>
        </w:rPr>
        <w:t>Résolution sur l’amélioration de la viabilité de la dette des pays en développement</w:t>
      </w:r>
      <w:r w:rsidRPr="00E72418">
        <w:rPr>
          <w:szCs w:val="20"/>
        </w:rPr>
        <w:t xml:space="preserve">, </w:t>
      </w:r>
      <w:r w:rsidRPr="00E72418">
        <w:rPr>
          <w:rStyle w:val="Titre5Car"/>
          <w:rFonts w:ascii="Times" w:eastAsiaTheme="minorHAnsi" w:hAnsi="Times" w:cstheme="minorBidi"/>
          <w:color w:val="auto"/>
          <w:szCs w:val="20"/>
        </w:rPr>
        <w:t xml:space="preserve">17 avril 2018, </w:t>
      </w:r>
      <w:r w:rsidRPr="00E72418">
        <w:t>2016/2241(INI), point 37).</w:t>
      </w:r>
    </w:p>
  </w:footnote>
  <w:footnote w:id="775">
    <w:p w14:paraId="609F5019" w14:textId="12D4C3B4"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i/>
          <w:szCs w:val="20"/>
        </w:rPr>
        <w:t>Déclaration de Doha sur le financement du développement : document final de la Conférence internationale de suivi sur le financement du développement, chargée d’examiner la mise en œuvre du Consensus de Monterrey</w:t>
      </w:r>
      <w:r w:rsidRPr="00E72418">
        <w:rPr>
          <w:szCs w:val="20"/>
        </w:rPr>
        <w:t xml:space="preserve">, 24 décembre 2008, A/RES/63/239, p. 19. Voyez également la même considération mais cette fois non limitée aux Pays Pauvres Très Endettés reprise in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principe 62.</w:t>
      </w:r>
    </w:p>
  </w:footnote>
  <w:footnote w:id="776">
    <w:p w14:paraId="5AD0C70A" w14:textId="40983EB0"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Dans le même sens, les créanciers formant le Club de Paris décidèrent en mai 2007 d’éviter de vendre leurs titres à des créanciers ne souhaitant pas accorder d’allègements de dettes dans le cadre de la même Initiative. Une décision identique fut prise en 2008 par les États membres de l’Union européenne (communiqué de presse du Club de Paris sur les menaces que certains créanciers procéduriers font peser sur les PPTE, 22 mai 2007 et Conseil de l’Union européenne, </w:t>
      </w:r>
      <w:r w:rsidRPr="00E72418">
        <w:rPr>
          <w:i/>
          <w:szCs w:val="20"/>
        </w:rPr>
        <w:t>Conclusions du Conseil européen − Accélérer les progrès vers la réalisation des objectifs du Millénaire pour le développement</w:t>
      </w:r>
      <w:r w:rsidRPr="00E72418">
        <w:rPr>
          <w:szCs w:val="20"/>
        </w:rPr>
        <w:t xml:space="preserve">, visés in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xml:space="preserve">, p. 14). L’insuffisance de ce </w:t>
      </w:r>
      <w:r w:rsidRPr="00E72418">
        <w:rPr>
          <w:i/>
          <w:szCs w:val="20"/>
        </w:rPr>
        <w:t>gentlemen’s agreement</w:t>
      </w:r>
      <w:r w:rsidRPr="00E72418">
        <w:rPr>
          <w:szCs w:val="20"/>
        </w:rPr>
        <w:t xml:space="preserve"> du Club de Paris est souvent soulignée en raison notamment de son absence de caractère contraignant (Sénat de Belgique, séance du jeudi 31 janvier 2008 après-midi, annales, séances plénières, </w:t>
      </w:r>
      <w:r w:rsidRPr="00E72418">
        <w:rPr>
          <w:i/>
          <w:szCs w:val="20"/>
        </w:rPr>
        <w:t>Doc. parl.</w:t>
      </w:r>
      <w:r w:rsidRPr="00E72418">
        <w:rPr>
          <w:szCs w:val="20"/>
        </w:rPr>
        <w:t>, 2007-2008, doc. 4-15, p. 45).</w:t>
      </w:r>
    </w:p>
  </w:footnote>
  <w:footnote w:id="777">
    <w:p w14:paraId="3C9BF36A" w14:textId="5D707EE2" w:rsidR="0030147D" w:rsidRPr="00E72418" w:rsidRDefault="0030147D" w:rsidP="000E0D3F">
      <w:pPr>
        <w:pStyle w:val="Sansinterligne"/>
      </w:pPr>
      <w:r w:rsidRPr="00E72418">
        <w:rPr>
          <w:rStyle w:val="Appelnotedebasdep"/>
        </w:rPr>
        <w:footnoteRef/>
      </w:r>
      <w:r w:rsidRPr="00E72418">
        <w:t xml:space="preserve"> Voyez </w:t>
      </w:r>
      <w:r w:rsidRPr="00E72418">
        <w:rPr>
          <w:szCs w:val="20"/>
        </w:rPr>
        <w:t>Assemblée générale des Nations Unies,</w:t>
      </w:r>
      <w:r w:rsidRPr="00E72418">
        <w:t xml:space="preserve"> </w:t>
      </w:r>
      <w:r w:rsidRPr="00E72418">
        <w:rPr>
          <w:i/>
        </w:rPr>
        <w:t>Soutenabilité de la dette extérieure et le développement</w:t>
      </w:r>
      <w:r w:rsidRPr="00E72418">
        <w:t>, 21 décembre 2012, A/RES/67/198, p. 8.</w:t>
      </w:r>
    </w:p>
  </w:footnote>
  <w:footnote w:id="778">
    <w:p w14:paraId="1670C36C" w14:textId="7CC5B163"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rFonts w:ascii="Times New Roman" w:hAnsi="Times New Roman" w:cs="Times New Roman"/>
          <w:i/>
          <w:szCs w:val="24"/>
        </w:rPr>
        <w:t>É</w:t>
      </w:r>
      <w:r w:rsidRPr="00E72418">
        <w:rPr>
          <w:i/>
          <w:szCs w:val="20"/>
        </w:rPr>
        <w:t>tablissement d’un cadre juridique multilatéral applicable aux opérations de restructuration de la dette souveraine</w:t>
      </w:r>
      <w:r w:rsidRPr="00E72418">
        <w:rPr>
          <w:szCs w:val="20"/>
        </w:rPr>
        <w:t>, 9 septembre 2014, A/RES/68/304.</w:t>
      </w:r>
    </w:p>
  </w:footnote>
  <w:footnote w:id="779">
    <w:p w14:paraId="7F05B237" w14:textId="50BA11E2"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3.</w:t>
      </w:r>
    </w:p>
  </w:footnote>
  <w:footnote w:id="780">
    <w:p w14:paraId="1892D9B9" w14:textId="65BB73A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Assemblée générale des Nations Unies, </w:t>
      </w:r>
      <w:r w:rsidRPr="00E72418">
        <w:rPr>
          <w:i/>
          <w:szCs w:val="20"/>
        </w:rPr>
        <w:t>Principes fondamentaux des opérations de restructuration de la dette souveraine</w:t>
      </w:r>
      <w:r w:rsidRPr="00E72418">
        <w:rPr>
          <w:szCs w:val="20"/>
        </w:rPr>
        <w:t>, 10 septembre 2015, A/RES/69/319.</w:t>
      </w:r>
    </w:p>
  </w:footnote>
  <w:footnote w:id="781">
    <w:p w14:paraId="54B75DDB" w14:textId="72B826EF" w:rsidR="0030147D" w:rsidRPr="00E72418" w:rsidRDefault="0030147D" w:rsidP="006A4B77">
      <w:pPr>
        <w:pStyle w:val="Sansinterligne"/>
      </w:pPr>
      <w:r w:rsidRPr="00E72418">
        <w:rPr>
          <w:rStyle w:val="Appelnotedebasdep"/>
        </w:rPr>
        <w:footnoteRef/>
      </w:r>
      <w:r w:rsidRPr="00E72418">
        <w:rPr>
          <w:vertAlign w:val="superscript"/>
        </w:rPr>
        <w:t xml:space="preserve"> </w:t>
      </w:r>
      <w:r w:rsidRPr="00E72418">
        <w:t xml:space="preserve">Conseil des droits de l’homme des Nations Unies, </w:t>
      </w:r>
      <w:r w:rsidRPr="00E72418">
        <w:rPr>
          <w:i/>
        </w:rPr>
        <w:t>Effets de la dette extérieure et des obligations financières internationales connexes des États sur le plein exercice de tous les droits de l’homme, en particulier des droits économiques, sociaux et culturels : activités des fonds rapaces</w:t>
      </w:r>
      <w:r w:rsidRPr="00E72418">
        <w:t>, 26 septembre 2014, A/HRC/RES/27/30. Notons que d’importants pays, parmi lesquels les États-Unis ou encore le Royaume-Uni, ont voté contre cette résolution.</w:t>
      </w:r>
    </w:p>
  </w:footnote>
  <w:footnote w:id="782">
    <w:p w14:paraId="1998779F" w14:textId="78138315"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2.</w:t>
      </w:r>
    </w:p>
  </w:footnote>
  <w:footnote w:id="783">
    <w:p w14:paraId="0931D92B" w14:textId="07CCCADA"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 3. </w:t>
      </w:r>
      <w:r w:rsidRPr="00E72418">
        <w:t xml:space="preserve">Avant cela, dans une résolution ne visant pas spécifiquement les « fonds rapaces », le Conseil avait déjà affirmé que « du point de vue des droits de l’homme, le règlement des créances de fonds rapaces a une incidence négative directe sur la capacité qu’ont les gouvernements de s’acquitter de leurs obligations en matière de droits de l’homme, surtout en ce qui concerne les droits économiques, sociaux et culturels » (Conseil des droits de l’homme des Nations Unies, </w:t>
      </w:r>
      <w:r w:rsidRPr="00E72418">
        <w:rPr>
          <w:i/>
        </w:rPr>
        <w:t>Les effets de la dette extérieure et des obligations financières internationales connexes des États sur le plein exercice de tous les droits de l’homme, particulièrement des droits économiques, sociaux et culturels</w:t>
      </w:r>
      <w:r w:rsidRPr="00E72418">
        <w:t>, 5 juillet 2012, A/HRC/RES/20/10, p. 4).</w:t>
      </w:r>
    </w:p>
  </w:footnote>
  <w:footnote w:id="784">
    <w:p w14:paraId="58650842" w14:textId="3EDB0BF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Conseil des droits de l’homme des Nations Unies, </w:t>
      </w:r>
      <w:r w:rsidRPr="00E72418">
        <w:rPr>
          <w:i/>
          <w:szCs w:val="20"/>
        </w:rPr>
        <w:t>Effets de la dette extérieure et des obligations financières internationales connexes des États sur le plein exercice de tous les droits de l’homme, en particulier des droits économiques, sociaux et culturels : activités des fonds rapaces</w:t>
      </w:r>
      <w:r w:rsidRPr="00E72418">
        <w:rPr>
          <w:szCs w:val="20"/>
        </w:rPr>
        <w:t>, 26 septembre 2014, A/HRC/RES/27/30, p. 3. Plus qu’ « envisager » et « restreindre », dans sa résolution du 18 juillet 2012, le Conseil « </w:t>
      </w:r>
      <w:r w:rsidRPr="00E72418">
        <w:rPr>
          <w:rFonts w:ascii="Times New Roman" w:hAnsi="Times New Roman" w:cs="Times New Roman"/>
          <w:szCs w:val="20"/>
        </w:rPr>
        <w:t xml:space="preserve">engage les États à prendre des mesures pour lutter contre ces fonds » </w:t>
      </w:r>
      <w:r w:rsidRPr="00E72418">
        <w:t xml:space="preserve">(Conseil des droits de l’homme des Nations Unies, </w:t>
      </w:r>
      <w:r w:rsidRPr="00E72418">
        <w:rPr>
          <w:i/>
        </w:rPr>
        <w:t>Les effets de la dette extérieure et des obligations financières internationales connexes des États sur le plein exercice de tous les droits de l’homme, particulièrement des droits économiques, sociaux et culturels</w:t>
      </w:r>
      <w:r w:rsidRPr="00E72418">
        <w:t>, 5 juillet 2012, A/HRC/RES/20/10, p. 4).</w:t>
      </w:r>
    </w:p>
  </w:footnote>
  <w:footnote w:id="785">
    <w:p w14:paraId="36FAAA50" w14:textId="5AEEEF98"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Les créanciers sont </w:t>
      </w:r>
      <w:r w:rsidR="007C3F47">
        <w:rPr>
          <w:szCs w:val="20"/>
          <w:lang w:val="en-US"/>
        </w:rPr>
        <w:t xml:space="preserve">vraisemblablement </w:t>
      </w:r>
      <w:r w:rsidRPr="00E72418">
        <w:rPr>
          <w:szCs w:val="20"/>
          <w:lang w:val="en-US"/>
        </w:rPr>
        <w:t xml:space="preserve">conscients de l’impact négatif de leurs activités : « [i]t seems unlikely that litigating creditors are unaware of the adverse effects of their actions in view of the publicity surrounding such cases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13).</w:t>
      </w:r>
    </w:p>
  </w:footnote>
  <w:footnote w:id="786">
    <w:p w14:paraId="49648CD6" w14:textId="3E143668"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G. Brown</w:t>
      </w:r>
      <w:r w:rsidRPr="00E72418">
        <w:rPr>
          <w:szCs w:val="20"/>
          <w:lang w:val="en-US"/>
        </w:rPr>
        <w:t xml:space="preserve">, </w:t>
      </w:r>
      <w:r w:rsidRPr="00E72418">
        <w:rPr>
          <w:i/>
          <w:szCs w:val="20"/>
          <w:lang w:val="en-US"/>
        </w:rPr>
        <w:t>Speech by the Chancellor of the Exchequer at the United Nations General Assembly Special Session on children</w:t>
      </w:r>
      <w:r w:rsidRPr="00E72418">
        <w:rPr>
          <w:szCs w:val="20"/>
          <w:lang w:val="en-US"/>
        </w:rPr>
        <w:t xml:space="preserve">, New York </w:t>
      </w:r>
      <w:r w:rsidRPr="00E72418">
        <w:rPr>
          <w:b/>
          <w:szCs w:val="20"/>
        </w:rPr>
        <w:t xml:space="preserve">– </w:t>
      </w:r>
      <w:r w:rsidRPr="00E72418">
        <w:rPr>
          <w:szCs w:val="20"/>
          <w:lang w:val="en-US"/>
        </w:rPr>
        <w:t xml:space="preserve">Financing A World Fit For Children, 10 mai 2002, disponible à l’adresse </w:t>
      </w:r>
      <w:hyperlink r:id="rId36" w:history="1">
        <w:r w:rsidRPr="00E72418">
          <w:rPr>
            <w:rStyle w:val="Lienhypertexte"/>
            <w:color w:val="auto"/>
            <w:szCs w:val="20"/>
            <w:u w:val="none"/>
            <w:lang w:val="en-US"/>
          </w:rPr>
          <w:t>https://webarchive.nationalarchives.gov.uk/20100407194022/http://www.hm-treasury.gov.uk/speech_chex_100502.htm</w:t>
        </w:r>
      </w:hyperlink>
      <w:r w:rsidRPr="00E72418">
        <w:rPr>
          <w:rStyle w:val="Lienhypertexte"/>
          <w:color w:val="auto"/>
          <w:szCs w:val="20"/>
          <w:u w:val="none"/>
          <w:lang w:val="en-US"/>
        </w:rPr>
        <w:t xml:space="preserve"> (consultation le 17 octobre 2021</w:t>
      </w:r>
      <w:r w:rsidRPr="00E72418">
        <w:rPr>
          <w:szCs w:val="20"/>
          <w:lang w:val="en-US"/>
        </w:rPr>
        <w:t>).</w:t>
      </w:r>
    </w:p>
  </w:footnote>
  <w:footnote w:id="787">
    <w:p w14:paraId="317BDC6A" w14:textId="77777777" w:rsidR="0030147D" w:rsidRPr="00E72418" w:rsidRDefault="0030147D" w:rsidP="00B45C7B">
      <w:pPr>
        <w:pStyle w:val="Sansinterligne"/>
        <w:rPr>
          <w:szCs w:val="20"/>
          <w:highlight w:val="green"/>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5.</w:t>
      </w:r>
    </w:p>
  </w:footnote>
  <w:footnote w:id="788">
    <w:p w14:paraId="77C38CD8"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Propos repris in House of Commons, </w:t>
      </w:r>
      <w:r w:rsidRPr="00E72418">
        <w:rPr>
          <w:i/>
          <w:szCs w:val="20"/>
          <w:lang w:val="en-US"/>
        </w:rPr>
        <w:t>Debt Relief (Developing Countries) Bill</w:t>
      </w:r>
      <w:r w:rsidRPr="00E72418">
        <w:rPr>
          <w:szCs w:val="20"/>
          <w:lang w:val="en-US"/>
        </w:rPr>
        <w:t>, second reading, 26 février 2010, vol. 506, colonne 559.</w:t>
      </w:r>
    </w:p>
  </w:footnote>
  <w:footnote w:id="789">
    <w:p w14:paraId="23FF3F78" w14:textId="196D5651"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De l’avis de Robert Kolb, critiquer les fonds spéculatifs parce qu’ils attaquent des pays pauvres ou des pays aux revenus moyens est condescendant à l’égard de ces États et de leur gouvernement. Pour l’auteur</w:t>
      </w:r>
      <w:r w:rsidRPr="00E72418">
        <w:rPr>
          <w:szCs w:val="20"/>
          <w:lang w:val="en-US"/>
        </w:rPr>
        <w:t>, « [i]f governments are capable of floating bond issues in the sovereign debt market, then they should be responsible enough to fulfill the commitments they undertake in doing so. In the event that they cannot honor their obligations, they should be able to accept the legal consequences of their failures. To presume otherwise infantilizes those governments. Is it really the position of these critics that poor countries should be excused from fulfilling their promises because, in virtue of being poor, they are somehow less than fully capable of functioning in a responsible manner ? »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387).</w:t>
      </w:r>
    </w:p>
  </w:footnote>
  <w:footnote w:id="790">
    <w:p w14:paraId="1232A1F5" w14:textId="004E8E8E" w:rsidR="0030147D" w:rsidRPr="00E72418" w:rsidRDefault="0030147D" w:rsidP="00B929D2">
      <w:pPr>
        <w:pStyle w:val="Sansinterligne"/>
        <w:rPr>
          <w:rFonts w:ascii="Times New Roman" w:hAnsi="Times New Roman" w:cs="Times New Roman"/>
        </w:rPr>
      </w:pPr>
      <w:r w:rsidRPr="00E72418">
        <w:rPr>
          <w:rStyle w:val="Appelnotedebasdep"/>
          <w:szCs w:val="20"/>
        </w:rPr>
        <w:footnoteRef/>
      </w:r>
      <w:r w:rsidRPr="00E72418">
        <w:t xml:space="preserve"> Comme le remarquent Mary Dowell-Jones et David Kinley, « the bond markets can effectively hold states to ransom » (</w:t>
      </w:r>
      <w:r w:rsidRPr="00E72418">
        <w:rPr>
          <w:smallCaps/>
        </w:rPr>
        <w:t>M. Dowell-Jones</w:t>
      </w:r>
      <w:r w:rsidRPr="00E72418">
        <w:t xml:space="preserve"> et </w:t>
      </w:r>
      <w:r w:rsidRPr="00E72418">
        <w:rPr>
          <w:smallCaps/>
        </w:rPr>
        <w:t>D. Kinley</w:t>
      </w:r>
      <w:r w:rsidRPr="00E72418">
        <w:t xml:space="preserve">, « Minding the Gap: Global Finance and Human Rights », </w:t>
      </w:r>
      <w:r w:rsidRPr="00E72418">
        <w:rPr>
          <w:rFonts w:ascii="Times New Roman" w:hAnsi="Times New Roman" w:cs="Times New Roman"/>
          <w:i/>
        </w:rPr>
        <w:t>Ethics Int. Aff.</w:t>
      </w:r>
      <w:r w:rsidRPr="00E72418">
        <w:t>, 2011, p. 192).</w:t>
      </w:r>
    </w:p>
  </w:footnote>
  <w:footnote w:id="791">
    <w:p w14:paraId="3B7BF2CB" w14:textId="4FB8DFA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16.</w:t>
      </w:r>
    </w:p>
  </w:footnote>
  <w:footnote w:id="792">
    <w:p w14:paraId="1D1E37D4" w14:textId="0A605DD6"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Robert Kolb relativise toutefois le postulat de la richesse des fonds en relevant que « [p]rominent managers of vulture funds are often wealthy, but their investors are not necessarily wealthy at all. Mutual funds, pension funds, and other financial institutions are often the direct investors in sovereign bonds, and this is particularly true of pension funds »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388).</w:t>
      </w:r>
    </w:p>
  </w:footnote>
  <w:footnote w:id="793">
    <w:p w14:paraId="2B5090F1" w14:textId="795C1E6F" w:rsidR="0030147D" w:rsidRPr="00E72418" w:rsidRDefault="0030147D" w:rsidP="00B45C7B">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L’affaire ayant opposé la société </w:t>
      </w:r>
      <w:r w:rsidRPr="00E72418">
        <w:rPr>
          <w:i/>
          <w:szCs w:val="20"/>
        </w:rPr>
        <w:t>Donegal International Ltd.</w:t>
      </w:r>
      <w:r w:rsidRPr="00E72418">
        <w:rPr>
          <w:szCs w:val="20"/>
        </w:rPr>
        <w:t xml:space="preserve"> à la République de Zambie où le pays concéda à son créancier le bénéfice d’une clause de juridiction peut être reprise pour illustrer le manque d’expertise de certains États débiteurs mis sous pression laquelle peut les conduire à poser des actes juridiquement peu réfléchis. Dans cette affaire, </w:t>
      </w:r>
      <w:r w:rsidRPr="00E72418">
        <w:rPr>
          <w:szCs w:val="20"/>
          <w:lang w:val="en-US"/>
        </w:rPr>
        <w:t xml:space="preserve">Adesegun Akin-Olugbade, pointant l’accord désavantageux passé par le pays avec le fonds créancier, relève notamment que « [s]ome of the terms of the agreement […] would not have been agreed if Zambia had benefited from sound and proper legal advice » (« The </w:t>
      </w:r>
      <w:r w:rsidRPr="00E72418">
        <w:rPr>
          <w:i/>
          <w:szCs w:val="20"/>
          <w:lang w:val="en-US"/>
        </w:rPr>
        <w:t>Donegal</w:t>
      </w:r>
      <w:r w:rsidRPr="00E72418">
        <w:rPr>
          <w:szCs w:val="20"/>
          <w:lang w:val="en-US"/>
        </w:rPr>
        <w:t xml:space="preserve"> Case and the African Legal Support Facility », </w:t>
      </w:r>
      <w:r w:rsidRPr="00E72418">
        <w:rPr>
          <w:i/>
        </w:rPr>
        <w:t>op. cit.</w:t>
      </w:r>
      <w:r w:rsidRPr="00E72418">
        <w:rPr>
          <w:szCs w:val="20"/>
        </w:rPr>
        <w:t xml:space="preserve">, p. 414). Sur cette affaire et cet accord, voyez </w:t>
      </w:r>
      <w:r w:rsidRPr="00E72418">
        <w:rPr>
          <w:i/>
          <w:szCs w:val="20"/>
        </w:rPr>
        <w:t>supra</w:t>
      </w:r>
      <w:r w:rsidRPr="00E72418">
        <w:rPr>
          <w:szCs w:val="20"/>
        </w:rPr>
        <w:t xml:space="preserve"> n</w:t>
      </w:r>
      <w:r w:rsidRPr="00E72418">
        <w:rPr>
          <w:szCs w:val="20"/>
          <w:vertAlign w:val="superscript"/>
        </w:rPr>
        <w:t xml:space="preserve">os </w:t>
      </w:r>
      <w:r w:rsidRPr="00E72418">
        <w:rPr>
          <w:szCs w:val="20"/>
        </w:rPr>
        <w:t>104 et suiv.</w:t>
      </w:r>
    </w:p>
  </w:footnote>
  <w:footnote w:id="794">
    <w:p w14:paraId="4CD5279F" w14:textId="5D7B4E21"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supra</w:t>
      </w:r>
      <w:r w:rsidRPr="00E72418">
        <w:rPr>
          <w:szCs w:val="20"/>
          <w:lang w:val="en-US"/>
        </w:rPr>
        <w:t xml:space="preserve"> n° 106. Rappelons que la Cour épingle des témoins « deliberately evasive and even dishonest », des fonds qui « were deliberately withholding documents because they contradicted the case that they were seeking to advance » ou encore des preuves « vague and inconsistent ». </w:t>
      </w:r>
    </w:p>
  </w:footnote>
  <w:footnote w:id="795">
    <w:p w14:paraId="285DCFD6" w14:textId="4825F916"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High Court of Justice (RU), Queen’s Bench Division, Commercial Court, 15 février 2007, </w:t>
      </w:r>
      <w:r w:rsidRPr="00E72418">
        <w:rPr>
          <w:i/>
          <w:szCs w:val="20"/>
          <w:lang w:val="en-US"/>
        </w:rPr>
        <w:t>Donegal International Limited v. Republic of Zambia and Anr.</w:t>
      </w:r>
      <w:r w:rsidRPr="00E72418">
        <w:rPr>
          <w:szCs w:val="20"/>
          <w:lang w:val="en-US"/>
        </w:rPr>
        <w:t xml:space="preserve">, [2007] EWHC 197 (Comm.), paragraphe 51. </w:t>
      </w:r>
      <w:r w:rsidRPr="00E72418">
        <w:rPr>
          <w:szCs w:val="20"/>
        </w:rPr>
        <w:t>Voyez également le paragraphe 186 où la juridiction dit des réponses apportées par l’un des dirigeants de la société créancière qu’elles donnèrent « a wholly false impression ».</w:t>
      </w:r>
    </w:p>
  </w:footnote>
  <w:footnote w:id="796">
    <w:p w14:paraId="31FB0CC0" w14:textId="5D12242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paragraphe 64.</w:t>
      </w:r>
    </w:p>
  </w:footnote>
  <w:footnote w:id="797">
    <w:p w14:paraId="0724EA96" w14:textId="15BA996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paragraphe 127.</w:t>
      </w:r>
    </w:p>
  </w:footnote>
  <w:footnote w:id="798">
    <w:p w14:paraId="2E481EE3" w14:textId="0C318ED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L’</w:t>
      </w:r>
      <w:r w:rsidRPr="00E72418">
        <w:rPr>
          <w:szCs w:val="20"/>
        </w:rPr>
        <w:t>État débiteur zambien</w:t>
      </w:r>
      <w:r w:rsidRPr="00E72418">
        <w:rPr>
          <w:szCs w:val="20"/>
          <w:lang w:val="en-US"/>
        </w:rPr>
        <w:t xml:space="preserve"> faisait notamment valoir que « [t]he Settlement Agreement is unenforceable against Zambia because it is tainted with illegality and corruption » (</w:t>
      </w:r>
      <w:r w:rsidRPr="00E72418">
        <w:rPr>
          <w:i/>
          <w:szCs w:val="20"/>
          <w:lang w:val="en-US"/>
        </w:rPr>
        <w:t>ibid.</w:t>
      </w:r>
      <w:r w:rsidRPr="00E72418">
        <w:rPr>
          <w:szCs w:val="20"/>
          <w:lang w:val="en-US"/>
        </w:rPr>
        <w:t>, paragraphe 21).</w:t>
      </w:r>
    </w:p>
  </w:footnote>
  <w:footnote w:id="799">
    <w:p w14:paraId="1FD5AC41" w14:textId="3CCBC071" w:rsidR="0030147D" w:rsidRPr="00E72418" w:rsidRDefault="0030147D" w:rsidP="001464CA">
      <w:pPr>
        <w:pStyle w:val="Sansinterligne"/>
        <w:rPr>
          <w:szCs w:val="20"/>
        </w:rPr>
      </w:pPr>
      <w:r w:rsidRPr="00E72418">
        <w:rPr>
          <w:rStyle w:val="Appelnotedebasdep"/>
          <w:szCs w:val="20"/>
        </w:rPr>
        <w:footnoteRef/>
      </w:r>
      <w:r w:rsidRPr="00E72418">
        <w:rPr>
          <w:szCs w:val="20"/>
          <w:vertAlign w:val="superscript"/>
        </w:rPr>
        <w:t xml:space="preserve"> </w:t>
      </w:r>
      <w:r w:rsidRPr="00E72418">
        <w:rPr>
          <w:szCs w:val="20"/>
        </w:rPr>
        <w:t xml:space="preserve">Voyez également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107 et suiv. au sujet du conflit ayant opposé la société </w:t>
      </w:r>
      <w:r w:rsidRPr="00E72418">
        <w:rPr>
          <w:i/>
          <w:szCs w:val="20"/>
        </w:rPr>
        <w:t>FG Hemisphere Associates LLC</w:t>
      </w:r>
      <w:r w:rsidRPr="00E72418">
        <w:rPr>
          <w:szCs w:val="20"/>
        </w:rPr>
        <w:t xml:space="preserve"> à la République démocratique du Congo où </w:t>
      </w:r>
      <w:r w:rsidRPr="00E72418">
        <w:rPr>
          <w:rFonts w:ascii="Times New Roman" w:hAnsi="Times New Roman" w:cs="Times New Roman"/>
        </w:rPr>
        <w:t xml:space="preserve">la cession de la créance détenue par la société </w:t>
      </w:r>
      <w:r w:rsidRPr="00E72418">
        <w:rPr>
          <w:rFonts w:ascii="Times New Roman" w:hAnsi="Times New Roman" w:cs="Times New Roman"/>
          <w:i/>
        </w:rPr>
        <w:t>Energoinvest</w:t>
      </w:r>
      <w:r w:rsidRPr="00E72418">
        <w:rPr>
          <w:rFonts w:ascii="Times New Roman" w:hAnsi="Times New Roman" w:cs="Times New Roman"/>
        </w:rPr>
        <w:t xml:space="preserve"> au créancier secondaire fut approuvée par l’ancien Premier Ministre bosniaque, lequel fit l’objet de charges de corruption.</w:t>
      </w:r>
    </w:p>
  </w:footnote>
  <w:footnote w:id="800">
    <w:p w14:paraId="633DFF85" w14:textId="47EA6EF2" w:rsidR="0030147D" w:rsidRPr="00E72418" w:rsidRDefault="0030147D" w:rsidP="00693CF4">
      <w:pPr>
        <w:pStyle w:val="Sansinterligne"/>
        <w:rPr>
          <w:rFonts w:ascii="Times New Roman" w:hAnsi="Times New Roman" w:cs="Times New Roman"/>
        </w:rPr>
      </w:pPr>
      <w:r w:rsidRPr="00E72418">
        <w:rPr>
          <w:rStyle w:val="Appelnotedebasdep"/>
          <w:szCs w:val="20"/>
        </w:rPr>
        <w:footnoteRef/>
      </w:r>
      <w:r w:rsidRPr="00E72418">
        <w:rPr>
          <w:lang w:val="en-US"/>
        </w:rPr>
        <w:t xml:space="preserve"> </w:t>
      </w:r>
      <w:r w:rsidRPr="00E72418">
        <w:rPr>
          <w:smallCaps/>
          <w:lang w:val="en-US"/>
        </w:rPr>
        <w:t>E. Peral</w:t>
      </w:r>
      <w:r w:rsidRPr="00E72418">
        <w:rPr>
          <w:lang w:val="en-US"/>
        </w:rPr>
        <w:t xml:space="preserve">, </w:t>
      </w:r>
      <w:r w:rsidRPr="00E72418">
        <w:t>« Curtailing Vulture Funds in Low-Income Sovereign Debt Litigation: American and British Legislatives Responses »</w:t>
      </w:r>
      <w:r w:rsidRPr="00E72418">
        <w:rPr>
          <w:lang w:val="en-US"/>
        </w:rPr>
        <w:t xml:space="preserve">, </w:t>
      </w:r>
      <w:r w:rsidRPr="00E72418">
        <w:rPr>
          <w:rFonts w:ascii="Times New Roman" w:hAnsi="Times New Roman" w:cs="Times New Roman"/>
          <w:i/>
        </w:rPr>
        <w:t>Bus. Law Brief</w:t>
      </w:r>
      <w:r w:rsidRPr="00E72418">
        <w:rPr>
          <w:lang w:val="en-US"/>
        </w:rPr>
        <w:t xml:space="preserve">, 2010-2011, p. 23. </w:t>
      </w:r>
      <w:r w:rsidRPr="00E72418">
        <w:rPr>
          <w:rFonts w:cs="Times New Roman"/>
        </w:rPr>
        <w:t xml:space="preserve">Bien que les montants poursuivis par les fonds seraient indéniablement plus utiles aux populations des </w:t>
      </w:r>
      <w:r w:rsidRPr="00E72418">
        <w:t>É</w:t>
      </w:r>
      <w:r w:rsidRPr="00E72418">
        <w:rPr>
          <w:rFonts w:cs="Times New Roman"/>
        </w:rPr>
        <w:t>tats débiteurs, l’on peut toutefois relativiser le phénomène en avançant que les sommes qu’ils réclament sont, dans l’absolu, relativement peu importantes au regard, par exemple, des allègements de dettes octroyés par d’autres créanciers.</w:t>
      </w:r>
    </w:p>
  </w:footnote>
  <w:footnote w:id="801">
    <w:p w14:paraId="7AE71CB3" w14:textId="6671B239" w:rsidR="007C3F47" w:rsidRPr="007C3F47" w:rsidRDefault="007C3F47" w:rsidP="007C3F47">
      <w:pPr>
        <w:pStyle w:val="Notedebasdepage"/>
        <w:spacing w:after="0"/>
        <w:rPr>
          <w:lang w:val="fr-BE"/>
        </w:rPr>
      </w:pPr>
      <w:r>
        <w:rPr>
          <w:rStyle w:val="Appelnotedebasdep"/>
        </w:rPr>
        <w:footnoteRef/>
      </w:r>
      <w: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xml:space="preserve">, pp. 14 et 15. Le Comité a rendu d’autres rapports sur la même thématique comme par exemple celui du 20 juillet 2016 (A/HRC/33/54). Prenant l’exemple de la République du Libéria au regard de sa condamnation de 2009 au profit des fonds </w:t>
      </w:r>
      <w:r w:rsidRPr="00E72418">
        <w:rPr>
          <w:i/>
        </w:rPr>
        <w:t xml:space="preserve">Hamsah Investments Ltd. </w:t>
      </w:r>
      <w:r w:rsidRPr="00E72418">
        <w:t xml:space="preserve">et </w:t>
      </w:r>
      <w:r w:rsidRPr="00E72418">
        <w:rPr>
          <w:i/>
        </w:rPr>
        <w:t>Wall Capital Ltd</w:t>
      </w:r>
      <w:r w:rsidRPr="00E72418">
        <w:t xml:space="preserve">. (voyez </w:t>
      </w:r>
      <w:r w:rsidRPr="00E72418">
        <w:rPr>
          <w:i/>
        </w:rPr>
        <w:t>supra</w:t>
      </w:r>
      <w:r w:rsidRPr="00E72418">
        <w:t xml:space="preserve"> n° 115), </w:t>
      </w:r>
      <w:r w:rsidRPr="00E72418">
        <w:rPr>
          <w:rFonts w:cs="Times New Roman"/>
        </w:rPr>
        <w:t xml:space="preserve">Cephas </w:t>
      </w:r>
      <w:r w:rsidRPr="00E72418">
        <w:t>Lumina relève que « </w:t>
      </w:r>
      <w:r w:rsidRPr="00E72418">
        <w:rPr>
          <w:lang w:val="en-US"/>
        </w:rPr>
        <w:t>[l]</w:t>
      </w:r>
      <w:r w:rsidRPr="00E72418">
        <w:rPr>
          <w:rFonts w:ascii="Times New Roman" w:hAnsi="Times New Roman" w:cs="Times New Roman"/>
        </w:rPr>
        <w:t xml:space="preserve">e Liberia ne peut tout simplement pas rembourser sa dette sans remettre en cause ses perspectives en matière de réduction de la pauvreté et de développement économique </w:t>
      </w:r>
      <w:r w:rsidRPr="00E72418">
        <w:t>»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8).</w:t>
      </w:r>
    </w:p>
  </w:footnote>
  <w:footnote w:id="802">
    <w:p w14:paraId="164DF17A" w14:textId="1591E3C7" w:rsidR="007C3F47" w:rsidRPr="007C3F47" w:rsidRDefault="007C3F47" w:rsidP="007C3F47">
      <w:pPr>
        <w:pStyle w:val="Notedebasdepage"/>
        <w:spacing w:after="0"/>
        <w:rPr>
          <w:lang w:val="fr-BE"/>
        </w:rPr>
      </w:pPr>
      <w:r>
        <w:rPr>
          <w:rStyle w:val="Appelnotedebasdep"/>
        </w:rPr>
        <w:footnoteRef/>
      </w:r>
      <w: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xml:space="preserve">, p. 15. Le Comité fait référence aux travaux de deux experts indépendants, </w:t>
      </w:r>
      <w:r w:rsidRPr="00E72418">
        <w:rPr>
          <w:rFonts w:cs="Times New Roman"/>
        </w:rPr>
        <w:t>Cephas</w:t>
      </w:r>
      <w:r w:rsidRPr="00E72418">
        <w:t xml:space="preserve"> Lumina et Juan Pablo Bohoslavsky, mandatés par le Conseil des droits de l’homme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xml:space="preserve"> et </w:t>
      </w:r>
      <w:r w:rsidRPr="00E72418">
        <w:rPr>
          <w:rFonts w:ascii="Times New Roman" w:hAnsi="Times New Roman" w:cs="Times New Roman"/>
          <w:szCs w:val="24"/>
        </w:rPr>
        <w:t>Assemblée générale des Nations Unies</w:t>
      </w:r>
      <w:r>
        <w:rPr>
          <w:rFonts w:ascii="Times New Roman" w:hAnsi="Times New Roman" w:cs="Times New Roman"/>
          <w:i/>
          <w:szCs w:val="24"/>
        </w:rPr>
        <w:t>, Les e</w:t>
      </w:r>
      <w:r w:rsidRPr="00E72418">
        <w:rPr>
          <w:rFonts w:ascii="Times New Roman" w:hAnsi="Times New Roman" w:cs="Times New Roman"/>
          <w:i/>
          <w:szCs w:val="24"/>
        </w:rPr>
        <w:t>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de l’Expert indépendant chargé d’examiner les effets de la dette extérieure et des obligations financières internationales connexes des États sur le plein exercice de tous les droits de l’homme, en particulier les droits économiques, sociaux et culturels</w:t>
      </w:r>
      <w:r w:rsidRPr="00E72418">
        <w:rPr>
          <w:rFonts w:ascii="Times New Roman" w:hAnsi="Times New Roman" w:cs="Times New Roman"/>
          <w:szCs w:val="24"/>
        </w:rPr>
        <w:t>, 17 juillet 2017, A/72/153</w:t>
      </w:r>
      <w:r w:rsidRPr="00E72418">
        <w:t>). Le rapport du Comité reprend l’exemple de l’accord intervenu entre l’Argentine et ses créanciers en 2016 et précise que « [d]u point de vue des droits de l’homme, ce genre de règlement soulève d’importantes préoccupations », notamment en ce que « pour pouvoir payer les fonds “récalcitrants”, le pays a dû accroître son endettement, ce qui, à long terme, pourrait empêcher l’État d’honorer ses obligations en matière de droits économiques et sociaux, aggravant ainsi les inégalités et l’instabilité financière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pp. 7 et 8).</w:t>
      </w:r>
    </w:p>
  </w:footnote>
  <w:footnote w:id="803">
    <w:p w14:paraId="50E6E6EE" w14:textId="0439409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15.</w:t>
      </w:r>
    </w:p>
  </w:footnote>
  <w:footnote w:id="804">
    <w:p w14:paraId="4AEF3393" w14:textId="14F4A8AD" w:rsidR="0030147D" w:rsidRPr="00E72418" w:rsidRDefault="0030147D" w:rsidP="00C72A19">
      <w:pPr>
        <w:pStyle w:val="Sansinterligne"/>
      </w:pPr>
      <w:r w:rsidRPr="00E72418">
        <w:rPr>
          <w:rStyle w:val="Appelnotedebasdep"/>
        </w:rPr>
        <w:footnoteRef/>
      </w:r>
      <w:r w:rsidRPr="00E72418">
        <w:t xml:space="preserve"> </w:t>
      </w:r>
      <w:r w:rsidRPr="00E72418">
        <w:rPr>
          <w:szCs w:val="20"/>
        </w:rPr>
        <w:t xml:space="preserve">C. </w:t>
      </w:r>
      <w:r w:rsidRPr="00E72418">
        <w:rPr>
          <w:smallCaps/>
          <w:szCs w:val="20"/>
        </w:rPr>
        <w:t>Lumina</w:t>
      </w:r>
      <w:r w:rsidRPr="00E72418">
        <w:rPr>
          <w:szCs w:val="20"/>
        </w:rPr>
        <w:t xml:space="preserve">, « Curbing “Vulture Fund” Litigation », </w:t>
      </w:r>
      <w:r w:rsidRPr="00E72418">
        <w:rPr>
          <w:i/>
          <w:szCs w:val="20"/>
        </w:rPr>
        <w:t>op. cit.</w:t>
      </w:r>
      <w:r w:rsidRPr="00E72418">
        <w:rPr>
          <w:szCs w:val="20"/>
        </w:rPr>
        <w:t>, p.</w:t>
      </w:r>
      <w:r w:rsidRPr="00E72418">
        <w:t xml:space="preserve"> 506. Sur ces conséquences des activités des fonds spéculatifs relevées par l’auteur, voyez </w:t>
      </w:r>
      <w:r w:rsidRPr="00E72418">
        <w:rPr>
          <w:i/>
        </w:rPr>
        <w:t>infra</w:t>
      </w:r>
      <w:r w:rsidRPr="00E72418">
        <w:t xml:space="preserve"> n</w:t>
      </w:r>
      <w:r w:rsidRPr="00E72418">
        <w:rPr>
          <w:vertAlign w:val="superscript"/>
        </w:rPr>
        <w:t>os</w:t>
      </w:r>
      <w:r w:rsidRPr="00E72418">
        <w:t xml:space="preserve"> 153 et suiv.</w:t>
      </w:r>
    </w:p>
  </w:footnote>
  <w:footnote w:id="805">
    <w:p w14:paraId="45361440" w14:textId="36904C6B"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xml:space="preserve">, pp. 1673 et 1674. </w:t>
      </w:r>
    </w:p>
  </w:footnote>
  <w:footnote w:id="806">
    <w:p w14:paraId="46B3A248"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U.S. bills 110 H.R. 6796 et 111 H.R. 2932 to prevent speculation and profiteering in the defaulted debt of certain poor countries, and for other purposes, article 2(6).</w:t>
      </w:r>
    </w:p>
  </w:footnote>
  <w:footnote w:id="807">
    <w:p w14:paraId="7465857C"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Propos de Joyce Quin repris in House of Lords, </w:t>
      </w:r>
      <w:r w:rsidRPr="00E72418">
        <w:rPr>
          <w:i/>
          <w:szCs w:val="20"/>
          <w:lang w:val="en-US"/>
        </w:rPr>
        <w:t>Debt Relief (Developing Countries) Bill</w:t>
      </w:r>
      <w:r w:rsidRPr="00E72418">
        <w:rPr>
          <w:szCs w:val="20"/>
          <w:lang w:val="en-US"/>
        </w:rPr>
        <w:t>, second reading, 8 avril 2010, vol. 718, colonne 1695.</w:t>
      </w:r>
    </w:p>
  </w:footnote>
  <w:footnote w:id="808">
    <w:p w14:paraId="75BEE45F" w14:textId="6E470E45"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xml:space="preserve">, p. 13. </w:t>
      </w:r>
      <w:r w:rsidRPr="00E72418">
        <w:rPr>
          <w:szCs w:val="20"/>
          <w:lang w:val="en-US"/>
        </w:rPr>
        <w:t xml:space="preserve">Les propositions de législation anti-fonds spéculatifs étatsuniennes visent également le problème du détournement des bénéfices des allègements de dettes en constatant que « [p]referential payments to vulture creditor holders of the defaulted sovereign debt of poor countries serve to transfer the benefits of international debt relief efforts from their intended beneficiaries, the citizens of the poor nations of the world, to the speculators in sovereign debt who can experience exorbitant and usurious rates of return on their speculation » (U.S. bills 110 H.R. 6796 et 111 H.R. 2932 to prevent speculation and profiteering in the defaulted debt of certain poor countries, and for other purposes, article 2(9)). </w:t>
      </w:r>
    </w:p>
  </w:footnote>
  <w:footnote w:id="809">
    <w:p w14:paraId="374C1A4E" w14:textId="29937EBE"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16. Le Comité donne en exemple le cas congolais où le pays, après avoir vu sa situation s’améliorer à la suite de l’Initiative Pays Pauvres Très Endettés de la Banque mondiale et du Fonds monétaire international, eut à régler, sur condamnation d’une juridiction étatsunienne, une dette contractée dans les années 80 (voyez </w:t>
      </w:r>
      <w:r w:rsidRPr="00E72418">
        <w:rPr>
          <w:i/>
          <w:szCs w:val="20"/>
        </w:rPr>
        <w:t xml:space="preserve">supra </w:t>
      </w:r>
      <w:r w:rsidRPr="00E72418">
        <w:rPr>
          <w:szCs w:val="20"/>
        </w:rPr>
        <w:t xml:space="preserve">n° 110). Dans un rapport de 2013, </w:t>
      </w:r>
      <w:r w:rsidRPr="00E72418">
        <w:rPr>
          <w:rFonts w:cs="Times New Roman"/>
        </w:rPr>
        <w:t xml:space="preserve">Cephas </w:t>
      </w:r>
      <w:r w:rsidRPr="00E72418">
        <w:rPr>
          <w:szCs w:val="20"/>
        </w:rPr>
        <w:t>Lumina notait que le coût des poursuites engagées par des fonds vautours pourrait représenter, pour les Pays Pauvres Très Endettés, en moyenne dix-huit pour cent des dépenses annuelles consacrées à la santé et à l’éducation, cinquante-neuf pour cent du service de la dette et cinq pour cent des recettes budgétaires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Étude de l’impact des initiatives internationales d’allègement de la dette sur les droits de l’homme</w:t>
      </w:r>
      <w:r w:rsidRPr="00E72418">
        <w:rPr>
          <w:rFonts w:ascii="Times New Roman" w:hAnsi="Times New Roman" w:cs="Times New Roman"/>
          <w:szCs w:val="24"/>
        </w:rPr>
        <w:t>, 11 juin 2013, A/HRC/23/37</w:t>
      </w:r>
      <w:r w:rsidRPr="00E72418">
        <w:rPr>
          <w:szCs w:val="20"/>
        </w:rPr>
        <w:t>, p. 16).</w:t>
      </w:r>
    </w:p>
  </w:footnote>
  <w:footnote w:id="810">
    <w:p w14:paraId="7D99FDAC" w14:textId="1DA9FE68"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Sur la menace que font peser les fonds spéculatifs sur les restructurations des dettes souveraines,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151 et suiv.</w:t>
      </w:r>
    </w:p>
  </w:footnote>
  <w:footnote w:id="811">
    <w:p w14:paraId="17A59970" w14:textId="674D5A87" w:rsidR="0030147D" w:rsidRPr="00E72418" w:rsidRDefault="0030147D" w:rsidP="00D90600">
      <w:pPr>
        <w:pStyle w:val="Sansinterligne"/>
        <w:rPr>
          <w:szCs w:val="20"/>
        </w:rPr>
      </w:pPr>
      <w:r w:rsidRPr="00E72418">
        <w:rPr>
          <w:rStyle w:val="Appelnotedebasdep"/>
          <w:szCs w:val="20"/>
        </w:rPr>
        <w:footnoteRef/>
      </w:r>
      <w:r w:rsidRPr="00E72418">
        <w:rPr>
          <w:szCs w:val="20"/>
        </w:rPr>
        <w:t xml:space="preserve"> L’expression « taxpayer backlash » vise la situation où des contribuables constatant qu’une partie des taxes qu’ils paient devant normalement être affectée à des mesures d’aide au développement sert plutôt au paiement des créanciers de l’État récipiendaire ne souhaitent plus que de telles mesures soient octroyées (</w:t>
      </w:r>
      <w:r w:rsidRPr="00E72418">
        <w:rPr>
          <w:smallCaps/>
          <w:szCs w:val="20"/>
        </w:rPr>
        <w:t>A. Iversen</w:t>
      </w:r>
      <w:r w:rsidRPr="00E72418">
        <w:rPr>
          <w:szCs w:val="20"/>
        </w:rPr>
        <w:t xml:space="preserve">, « </w:t>
      </w:r>
      <w:r w:rsidRPr="00E72418">
        <w:rPr>
          <w:szCs w:val="20"/>
          <w:lang w:val="en-US"/>
        </w:rPr>
        <w:t xml:space="preserve">Holdout Creditor Litigation </w:t>
      </w:r>
      <w:r w:rsidRPr="00E72418">
        <w:t>–</w:t>
      </w:r>
      <w:r w:rsidRPr="00E72418">
        <w:rPr>
          <w:b/>
        </w:rPr>
        <w:t xml:space="preserve"> </w:t>
      </w:r>
      <w:r w:rsidRPr="00E72418">
        <w:rPr>
          <w:szCs w:val="20"/>
          <w:lang w:val="en-US"/>
        </w:rPr>
        <w:t>An</w:t>
      </w:r>
      <w:r w:rsidRPr="00E72418">
        <w:rPr>
          <w:szCs w:val="20"/>
        </w:rPr>
        <w:t xml:space="preserve"> assessment of legislative initiatives to counter aggressive sovereign debt creditor litigators », University of Oslo Paper n° 2015-13, pp. 7 et 8).</w:t>
      </w:r>
    </w:p>
  </w:footnote>
  <w:footnote w:id="812">
    <w:p w14:paraId="46FC0B2B" w14:textId="18BAF8DA"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94.</w:t>
      </w:r>
    </w:p>
  </w:footnote>
  <w:footnote w:id="813">
    <w:p w14:paraId="4E455446" w14:textId="2E387075"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M. Mauro</w:t>
      </w:r>
      <w:r w:rsidRPr="00E72418">
        <w:rPr>
          <w:szCs w:val="20"/>
        </w:rPr>
        <w:t xml:space="preserve">, « Sovereign Default and Litigation: </w:t>
      </w:r>
      <w:r w:rsidRPr="00E72418">
        <w:rPr>
          <w:i/>
          <w:szCs w:val="20"/>
        </w:rPr>
        <w:t>NML Capital v. Argentina</w:t>
      </w:r>
      <w:r w:rsidRPr="00E72418">
        <w:rPr>
          <w:szCs w:val="20"/>
        </w:rPr>
        <w:t xml:space="preserve"> », </w:t>
      </w:r>
      <w:r w:rsidRPr="00E72418">
        <w:rPr>
          <w:i/>
          <w:szCs w:val="20"/>
        </w:rPr>
        <w:t>op. cit.</w:t>
      </w:r>
      <w:r w:rsidRPr="00E72418">
        <w:rPr>
          <w:szCs w:val="20"/>
        </w:rPr>
        <w:t>, p. 266.</w:t>
      </w:r>
    </w:p>
  </w:footnote>
  <w:footnote w:id="814">
    <w:p w14:paraId="54BEF199" w14:textId="24F641BB" w:rsidR="0030147D" w:rsidRPr="00E72418" w:rsidRDefault="0030147D" w:rsidP="006B37E3">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E. Simon</w:t>
      </w:r>
      <w:r w:rsidRPr="00E72418">
        <w:t xml:space="preserve"> et </w:t>
      </w:r>
      <w:r w:rsidRPr="00E72418">
        <w:rPr>
          <w:smallCaps/>
        </w:rPr>
        <w:t>Q. Crawford</w:t>
      </w:r>
      <w:r w:rsidRPr="00E72418">
        <w:t xml:space="preserve">, « The Impact of </w:t>
      </w:r>
      <w:r w:rsidRPr="00E72418">
        <w:rPr>
          <w:i/>
        </w:rPr>
        <w:t>Republic of Argentina v. NML Capital, Ltd.</w:t>
      </w:r>
      <w:r w:rsidRPr="00E72418">
        <w:t xml:space="preserve">: Why the Supreme Court’s Ruling against Argentina Avoided a Host of Unintended, Negative Consequences », </w:t>
      </w:r>
      <w:r w:rsidRPr="00E72418">
        <w:rPr>
          <w:rFonts w:ascii="Times New Roman" w:hAnsi="Times New Roman" w:cs="Times New Roman"/>
          <w:i/>
        </w:rPr>
        <w:t>Md. J. Int. Law</w:t>
      </w:r>
      <w:r w:rsidRPr="00E72418">
        <w:t>, 2015, p. 67.</w:t>
      </w:r>
    </w:p>
  </w:footnote>
  <w:footnote w:id="815">
    <w:p w14:paraId="3C475133" w14:textId="6A94110F"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pp. 475 et 476. Comme le remarque Mallory Barr, « [t]he more successful vulture funds are in litigation, the less incentive creditors have to participate in restructuring negotiations »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xml:space="preserve">, p. 594). </w:t>
      </w:r>
    </w:p>
  </w:footnote>
  <w:footnote w:id="816">
    <w:p w14:paraId="36A9241A" w14:textId="6E3DEF91" w:rsidR="0030147D" w:rsidRPr="00E72418" w:rsidRDefault="0030147D" w:rsidP="00375032">
      <w:pPr>
        <w:pStyle w:val="Sansinterligne"/>
      </w:pPr>
      <w:r w:rsidRPr="00E72418">
        <w:rPr>
          <w:rStyle w:val="Appelnotedebasdep"/>
        </w:rPr>
        <w:footnoteRef/>
      </w:r>
      <w:r w:rsidRPr="00E72418">
        <w:t xml:space="preserve"> R. </w:t>
      </w:r>
      <w:r w:rsidRPr="00E72418">
        <w:rPr>
          <w:smallCaps/>
        </w:rPr>
        <w:t>Kolb</w:t>
      </w:r>
      <w:r w:rsidRPr="00E72418">
        <w:t>, « The Virtue of Vultures: Distressed Debt Investors in the Sovereign Debt Market »,</w:t>
      </w:r>
      <w:r w:rsidRPr="00E72418">
        <w:rPr>
          <w:i/>
          <w:szCs w:val="20"/>
          <w:lang w:val="en-US"/>
        </w:rPr>
        <w:t xml:space="preserve"> op. cit.</w:t>
      </w:r>
      <w:r w:rsidRPr="00E72418">
        <w:t>, p. 397. Voyez ainsi notamment les « </w:t>
      </w:r>
      <w:r w:rsidRPr="00E72418">
        <w:rPr>
          <w:szCs w:val="20"/>
        </w:rPr>
        <w:t>Me Too plaintiffs » du contentieux argentin (</w:t>
      </w:r>
      <w:r w:rsidRPr="00E72418">
        <w:rPr>
          <w:i/>
          <w:szCs w:val="20"/>
        </w:rPr>
        <w:t>infra</w:t>
      </w:r>
      <w:r w:rsidRPr="00E72418">
        <w:rPr>
          <w:szCs w:val="20"/>
        </w:rPr>
        <w:t xml:space="preserve"> n° 189). </w:t>
      </w:r>
    </w:p>
  </w:footnote>
  <w:footnote w:id="817">
    <w:p w14:paraId="26AA3E74" w14:textId="52B0DF01" w:rsidR="0030147D" w:rsidRPr="00E72418" w:rsidRDefault="0030147D" w:rsidP="00737C4B">
      <w:pPr>
        <w:pStyle w:val="Sansinterligne"/>
      </w:pPr>
      <w:r w:rsidRPr="00E72418">
        <w:rPr>
          <w:rStyle w:val="Appelnotedebasdep"/>
        </w:rPr>
        <w:footnoteRef/>
      </w:r>
      <w:r w:rsidRPr="00E72418">
        <w:t xml:space="preserve"> Sur ces clauses, voyez </w:t>
      </w:r>
      <w:r w:rsidRPr="00E72418">
        <w:rPr>
          <w:i/>
        </w:rPr>
        <w:t>infra</w:t>
      </w:r>
      <w:r w:rsidRPr="00E72418">
        <w:t xml:space="preserve"> n</w:t>
      </w:r>
      <w:r w:rsidRPr="00E72418">
        <w:rPr>
          <w:vertAlign w:val="superscript"/>
        </w:rPr>
        <w:t>os</w:t>
      </w:r>
      <w:r w:rsidRPr="00E72418">
        <w:t xml:space="preserve"> 282 et suiv.</w:t>
      </w:r>
    </w:p>
  </w:footnote>
  <w:footnote w:id="818">
    <w:p w14:paraId="1702EA78" w14:textId="6364C177"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De cette potentielle concentration de titres entre les mains de fonds spéculatifs, certains vont jusqu’à avancer que ces fonds rendraient les restructurations plus aisées car le nombre d’interlocuteurs s’en trouverait ainsi réduit (</w:t>
      </w:r>
      <w:r w:rsidRPr="00E72418">
        <w:rPr>
          <w:smallCaps/>
          <w:szCs w:val="20"/>
        </w:rPr>
        <w:t>R. Kolb</w:t>
      </w:r>
      <w:r w:rsidRPr="00E72418">
        <w:rPr>
          <w:szCs w:val="20"/>
        </w:rPr>
        <w:t xml:space="preserve">, « The Virtue of Vultures: Distressed Debt Investors in the Sovereign Debt Market », </w:t>
      </w:r>
      <w:r w:rsidRPr="00E72418">
        <w:rPr>
          <w:i/>
          <w:szCs w:val="20"/>
          <w:lang w:val="en-US"/>
        </w:rPr>
        <w:t>op. cit.</w:t>
      </w:r>
      <w:r w:rsidRPr="00E72418">
        <w:rPr>
          <w:szCs w:val="20"/>
        </w:rPr>
        <w:t>, p. 397).</w:t>
      </w:r>
    </w:p>
  </w:footnote>
  <w:footnote w:id="819">
    <w:p w14:paraId="65E9C85F"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Report of the G-10 Working Group on Contractual Clauses</w:t>
      </w:r>
      <w:r w:rsidRPr="00E72418">
        <w:rPr>
          <w:szCs w:val="20"/>
          <w:lang w:val="en-US"/>
        </w:rPr>
        <w:t>, septembre 2002, p. 6.</w:t>
      </w:r>
    </w:p>
  </w:footnote>
  <w:footnote w:id="820">
    <w:p w14:paraId="54B8C8FD" w14:textId="0194F800"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Porzecanski</w:t>
      </w:r>
      <w:r w:rsidRPr="00E72418">
        <w:rPr>
          <w:szCs w:val="20"/>
          <w:lang w:val="en-US"/>
        </w:rPr>
        <w:t>, « </w:t>
      </w:r>
      <w:r w:rsidRPr="00E72418">
        <w:rPr>
          <w:szCs w:val="20"/>
        </w:rPr>
        <w:t>From Rogue Creditors to Rogue Debtors: Implications of Argentina’s Default</w:t>
      </w:r>
      <w:r w:rsidRPr="00E72418">
        <w:rPr>
          <w:szCs w:val="20"/>
          <w:lang w:val="en-US"/>
        </w:rPr>
        <w:t xml:space="preserve"> », </w:t>
      </w:r>
      <w:r w:rsidRPr="00E72418">
        <w:rPr>
          <w:i/>
          <w:szCs w:val="20"/>
          <w:lang w:val="en-US"/>
        </w:rPr>
        <w:t>op. cit.</w:t>
      </w:r>
      <w:r w:rsidRPr="00E72418">
        <w:rPr>
          <w:szCs w:val="20"/>
          <w:lang w:val="en-US"/>
        </w:rPr>
        <w:t>, p. 314.</w:t>
      </w:r>
    </w:p>
  </w:footnote>
  <w:footnote w:id="821">
    <w:p w14:paraId="50038201" w14:textId="4161097D"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xml:space="preserve">, p. 130. </w:t>
      </w:r>
      <w:r w:rsidRPr="00E72418">
        <w:rPr>
          <w:rFonts w:cs="Times New Roman"/>
          <w:szCs w:val="20"/>
        </w:rPr>
        <w:t>D’aucuns défendent l’idée selon laquelle le pouvoir de nuisance des fonds spéculatifs serait si minime que l’expression de moustique devrait remplacer celle de vautour (</w:t>
      </w:r>
      <w:r w:rsidRPr="00E72418">
        <w:rPr>
          <w:szCs w:val="20"/>
        </w:rPr>
        <w:t xml:space="preserve">voyez notamment </w:t>
      </w:r>
      <w:r w:rsidRPr="00E72418">
        <w:rPr>
          <w:rStyle w:val="Titre5Car"/>
          <w:rFonts w:ascii="Times" w:eastAsiaTheme="minorHAnsi" w:hAnsi="Times" w:cstheme="minorBidi"/>
          <w:smallCaps/>
          <w:color w:val="auto"/>
          <w:szCs w:val="20"/>
        </w:rPr>
        <w:t>T. Samples</w:t>
      </w:r>
      <w:r w:rsidRPr="00E72418">
        <w:rPr>
          <w:rStyle w:val="Titre5Car"/>
          <w:rFonts w:ascii="Times" w:eastAsiaTheme="minorHAnsi" w:hAnsi="Times" w:cstheme="minorBidi"/>
          <w:color w:val="auto"/>
          <w:szCs w:val="20"/>
        </w:rPr>
        <w:t xml:space="preserve">, « Rogue Trends in Sovereign Debt: Argentina, Vulture Funds, and </w:t>
      </w:r>
      <w:r w:rsidRPr="00E72418">
        <w:rPr>
          <w:rStyle w:val="Titre5Car"/>
          <w:rFonts w:ascii="Times" w:eastAsiaTheme="minorHAnsi" w:hAnsi="Times" w:cstheme="minorBidi"/>
          <w:i/>
          <w:color w:val="auto"/>
          <w:szCs w:val="20"/>
        </w:rPr>
        <w:t>Pari Passu</w:t>
      </w:r>
      <w:r w:rsidRPr="00E72418">
        <w:rPr>
          <w:rStyle w:val="Titre5Car"/>
          <w:rFonts w:ascii="Times" w:eastAsiaTheme="minorHAnsi" w:hAnsi="Times" w:cstheme="minorBidi"/>
          <w:color w:val="auto"/>
          <w:szCs w:val="20"/>
        </w:rPr>
        <w:t xml:space="preserve"> Under New York Law », </w:t>
      </w:r>
      <w:r w:rsidRPr="00E72418">
        <w:rPr>
          <w:rStyle w:val="Titre5Car"/>
          <w:rFonts w:ascii="Times" w:eastAsiaTheme="minorHAnsi" w:hAnsi="Times" w:cstheme="minorBidi"/>
          <w:i/>
          <w:color w:val="auto"/>
          <w:szCs w:val="20"/>
        </w:rPr>
        <w:t>op. cit.</w:t>
      </w:r>
      <w:r w:rsidRPr="00E72418">
        <w:rPr>
          <w:rStyle w:val="Titre5Car"/>
          <w:rFonts w:ascii="Times" w:eastAsiaTheme="minorHAnsi" w:hAnsi="Times" w:cstheme="minorBidi"/>
          <w:color w:val="auto"/>
          <w:szCs w:val="20"/>
        </w:rPr>
        <w:t>, p. 84 citant M. Singh, un économiste du Fonds monétaire international)</w:t>
      </w:r>
      <w:r w:rsidRPr="00E72418">
        <w:rPr>
          <w:rFonts w:cs="Times New Roman"/>
          <w:szCs w:val="20"/>
        </w:rPr>
        <w:t>.</w:t>
      </w:r>
    </w:p>
  </w:footnote>
  <w:footnote w:id="822">
    <w:p w14:paraId="4B5C5D36" w14:textId="7E466A57" w:rsidR="0030147D" w:rsidRPr="00E72418" w:rsidRDefault="0030147D" w:rsidP="00A57E2C">
      <w:pPr>
        <w:pStyle w:val="Sansinterligne"/>
      </w:pPr>
      <w:r w:rsidRPr="00E72418">
        <w:rPr>
          <w:rStyle w:val="Appelnotedebasdep"/>
        </w:rPr>
        <w:footnoteRef/>
      </w:r>
      <w:r w:rsidRPr="00E72418">
        <w:t xml:space="preserve"> Sur ce contentieux, voyez </w:t>
      </w:r>
      <w:r w:rsidRPr="00E72418">
        <w:rPr>
          <w:i/>
        </w:rPr>
        <w:t>supra</w:t>
      </w:r>
      <w:r w:rsidRPr="00E72418">
        <w:t xml:space="preserve"> n</w:t>
      </w:r>
      <w:r w:rsidRPr="00E72418">
        <w:rPr>
          <w:vertAlign w:val="superscript"/>
        </w:rPr>
        <w:t>os</w:t>
      </w:r>
      <w:r w:rsidRPr="00E72418">
        <w:t xml:space="preserve"> 85 et suiv.</w:t>
      </w:r>
    </w:p>
  </w:footnote>
  <w:footnote w:id="823">
    <w:p w14:paraId="319F3003" w14:textId="67877F0A"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C. Wheeler</w:t>
      </w:r>
      <w:r w:rsidRPr="00E72418">
        <w:rPr>
          <w:szCs w:val="20"/>
          <w:lang w:val="en-US"/>
        </w:rPr>
        <w:t xml:space="preserve"> 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xml:space="preserve">, p. 262. </w:t>
      </w:r>
      <w:r w:rsidRPr="00E72418">
        <w:rPr>
          <w:szCs w:val="20"/>
        </w:rPr>
        <w:t xml:space="preserve">Sur l’importance de la pression dans le modèle économique poursuivi par les fonds spéculatifs, voyez </w:t>
      </w:r>
      <w:r w:rsidRPr="00E72418">
        <w:rPr>
          <w:i/>
          <w:szCs w:val="20"/>
        </w:rPr>
        <w:t>supra</w:t>
      </w:r>
      <w:r w:rsidRPr="00E72418">
        <w:rPr>
          <w:szCs w:val="20"/>
        </w:rPr>
        <w:t xml:space="preserve"> n° 138.</w:t>
      </w:r>
    </w:p>
  </w:footnote>
  <w:footnote w:id="824">
    <w:p w14:paraId="4301C027" w14:textId="54DAE13C" w:rsidR="0030147D" w:rsidRPr="00E72418" w:rsidRDefault="0030147D" w:rsidP="00B45C7B">
      <w:pPr>
        <w:pStyle w:val="Sansinterligne"/>
        <w:rPr>
          <w:szCs w:val="20"/>
          <w:highlight w:val="green"/>
        </w:rPr>
      </w:pPr>
      <w:r w:rsidRPr="00E72418">
        <w:rPr>
          <w:rStyle w:val="Appelnotedebasdep"/>
          <w:szCs w:val="20"/>
        </w:rPr>
        <w:footnoteRef/>
      </w:r>
      <w:r w:rsidRPr="00E72418">
        <w:rPr>
          <w:szCs w:val="20"/>
        </w:rPr>
        <w:t xml:space="preserve"> Assemblée générale des Nations Unies, </w:t>
      </w:r>
      <w:r w:rsidRPr="00E72418">
        <w:rPr>
          <w:i/>
          <w:szCs w:val="20"/>
        </w:rPr>
        <w:t>Principes fondamentaux des opérations de restructuration de la dette souveraine</w:t>
      </w:r>
      <w:r w:rsidRPr="00E72418">
        <w:rPr>
          <w:szCs w:val="20"/>
        </w:rPr>
        <w:t xml:space="preserve">, 10 septembre 2015, A/RES/69/319, p. 1, premier principe. Sur l’évolution de l’argument de la souveraineté pour justifier de la légitimité de l’annulation par un État souverain de sa dette, voyez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pp. 81 à 84.</w:t>
      </w:r>
    </w:p>
  </w:footnote>
  <w:footnote w:id="825">
    <w:p w14:paraId="4D8BA950" w14:textId="6485B659" w:rsidR="0030147D" w:rsidRPr="00E72418" w:rsidRDefault="0030147D" w:rsidP="00864C22">
      <w:pPr>
        <w:pStyle w:val="Sansinterligne"/>
      </w:pPr>
      <w:r w:rsidRPr="00E72418">
        <w:rPr>
          <w:rStyle w:val="Appelnotedebasdep"/>
        </w:rPr>
        <w:footnoteRef/>
      </w:r>
      <w:r w:rsidRPr="00E72418">
        <w:t xml:space="preserve"> Gautier Matray prenant l’exemple des fonds spéculatifs note ainsi que « les atteintes portées à la souveraineté nationale au nom d’intérêts économiques privés ont parfois été remarquables » (G. </w:t>
      </w:r>
      <w:r w:rsidRPr="00E72418">
        <w:rPr>
          <w:rFonts w:eastAsia="Times New Roman" w:cs="Times New Roman"/>
          <w:smallCaps/>
          <w:szCs w:val="24"/>
          <w:lang w:eastAsia="fr-BE"/>
        </w:rPr>
        <w:t>Matray</w:t>
      </w:r>
      <w:r w:rsidRPr="00E72418">
        <w:rPr>
          <w:rFonts w:eastAsia="Times New Roman" w:cs="Times New Roman"/>
          <w:szCs w:val="24"/>
          <w:lang w:eastAsia="fr-BE"/>
        </w:rPr>
        <w:t xml:space="preserve">, « Des procédures de notre temps », in </w:t>
      </w:r>
      <w:r w:rsidRPr="00E72418">
        <w:rPr>
          <w:rFonts w:eastAsia="Times New Roman" w:cs="Times New Roman"/>
          <w:i/>
          <w:szCs w:val="24"/>
          <w:lang w:eastAsia="fr-BE"/>
        </w:rPr>
        <w:t>Liber amicorum Christine Matray</w:t>
      </w:r>
      <w:r w:rsidRPr="00E72418">
        <w:rPr>
          <w:rFonts w:eastAsia="Times New Roman" w:cs="Times New Roman"/>
          <w:szCs w:val="24"/>
          <w:lang w:eastAsia="fr-BE"/>
        </w:rPr>
        <w:t>, Larcier, 2015, p. 427)</w:t>
      </w:r>
      <w:r w:rsidRPr="00E72418">
        <w:rPr>
          <w:rFonts w:eastAsia="Times New Roman" w:cs="Times New Roman"/>
          <w:szCs w:val="24"/>
          <w:lang w:val="fr-FR" w:eastAsia="fr-BE"/>
        </w:rPr>
        <w:t>.</w:t>
      </w:r>
      <w:r w:rsidRPr="00E72418">
        <w:t xml:space="preserve"> </w:t>
      </w:r>
    </w:p>
  </w:footnote>
  <w:footnote w:id="826">
    <w:p w14:paraId="35356293" w14:textId="26D0960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575.</w:t>
      </w:r>
    </w:p>
  </w:footnote>
  <w:footnote w:id="827">
    <w:p w14:paraId="5C13630A" w14:textId="45917FFC" w:rsidR="0030147D" w:rsidRPr="00E72418" w:rsidRDefault="0030147D" w:rsidP="007D1E90">
      <w:pPr>
        <w:pStyle w:val="Sansinterligne"/>
        <w:rPr>
          <w:rFonts w:ascii="Times New Roman" w:hAnsi="Times New Roman" w:cs="Times New Roman"/>
        </w:rPr>
      </w:pPr>
      <w:r w:rsidRPr="00E72418">
        <w:rPr>
          <w:rStyle w:val="Appelnotedebasdep"/>
          <w:szCs w:val="20"/>
        </w:rPr>
        <w:footnoteRef/>
      </w:r>
      <w:r w:rsidRPr="00E72418">
        <w:t xml:space="preserve"> Voyez </w:t>
      </w:r>
      <w:r w:rsidRPr="00E72418">
        <w:rPr>
          <w:smallCaps/>
        </w:rPr>
        <w:t>S. Michalowski</w:t>
      </w:r>
      <w:r w:rsidRPr="00E72418">
        <w:t xml:space="preserve">, « Sovereign Debt and Social Rights − Legal Reflections on a Difficult Relationship », </w:t>
      </w:r>
      <w:r w:rsidRPr="00E72418">
        <w:rPr>
          <w:rFonts w:ascii="Times New Roman" w:hAnsi="Times New Roman" w:cs="Times New Roman"/>
          <w:i/>
          <w:szCs w:val="20"/>
        </w:rPr>
        <w:t>Hum. Rts. Law Rev.</w:t>
      </w:r>
      <w:r w:rsidRPr="00E72418">
        <w:t>, 2008, p. 39 : « </w:t>
      </w:r>
      <w:r w:rsidRPr="00E72418">
        <w:rPr>
          <w:rFonts w:ascii="Times New Roman" w:hAnsi="Times New Roman" w:cs="Times New Roman"/>
        </w:rPr>
        <w:t xml:space="preserve">the dependency in which [the debt burden] puts the debtor countries might result in a factual loss of sovereignty over their economic and social policies, and in the imposition of policies with potentially negative consequences for the protection of social rights </w:t>
      </w:r>
      <w:r w:rsidRPr="00E72418">
        <w:t xml:space="preserve">». </w:t>
      </w:r>
    </w:p>
  </w:footnote>
  <w:footnote w:id="828">
    <w:p w14:paraId="6ECB54F7" w14:textId="32D5E2F1"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p. 39.</w:t>
      </w:r>
    </w:p>
  </w:footnote>
  <w:footnote w:id="829">
    <w:p w14:paraId="09877BDF" w14:textId="0643322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F. Ahmed, L. Alfaro</w:t>
      </w:r>
      <w:r w:rsidRPr="00E72418">
        <w:rPr>
          <w:szCs w:val="20"/>
          <w:lang w:val="en-US"/>
        </w:rPr>
        <w:t xml:space="preserve"> et </w:t>
      </w:r>
      <w:r w:rsidRPr="00E72418">
        <w:rPr>
          <w:smallCaps/>
          <w:szCs w:val="20"/>
          <w:lang w:val="en-US"/>
        </w:rPr>
        <w:t>N. Naurer</w:t>
      </w:r>
      <w:r w:rsidRPr="00E72418">
        <w:rPr>
          <w:szCs w:val="20"/>
          <w:lang w:val="en-US"/>
        </w:rPr>
        <w:t xml:space="preserve">, « Lawsuits and Empire: on the Enforcement of Sovereign Debt in Latin America », </w:t>
      </w:r>
      <w:r w:rsidRPr="00E72418">
        <w:rPr>
          <w:i/>
          <w:szCs w:val="20"/>
          <w:lang w:val="en-US"/>
        </w:rPr>
        <w:t>op. cit.</w:t>
      </w:r>
      <w:r w:rsidRPr="00E72418">
        <w:rPr>
          <w:szCs w:val="20"/>
          <w:lang w:val="en-US"/>
        </w:rPr>
        <w:t>, p. 43.</w:t>
      </w:r>
    </w:p>
  </w:footnote>
  <w:footnote w:id="830">
    <w:p w14:paraId="2DA7E278" w14:textId="47D1B5B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supra</w:t>
      </w:r>
      <w:r w:rsidRPr="00E72418">
        <w:rPr>
          <w:szCs w:val="20"/>
          <w:lang w:val="en-US"/>
        </w:rPr>
        <w:t xml:space="preserve"> n</w:t>
      </w:r>
      <w:r w:rsidRPr="00E72418">
        <w:rPr>
          <w:szCs w:val="20"/>
          <w:vertAlign w:val="superscript"/>
          <w:lang w:val="en-US"/>
        </w:rPr>
        <w:t xml:space="preserve">o </w:t>
      </w:r>
      <w:r w:rsidRPr="00E72418">
        <w:rPr>
          <w:szCs w:val="20"/>
          <w:lang w:val="en-US"/>
        </w:rPr>
        <w:t>28.</w:t>
      </w:r>
    </w:p>
  </w:footnote>
  <w:footnote w:id="831">
    <w:p w14:paraId="1CA7E1E0" w14:textId="0DFB80E7"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Andrew Kelly le remarque, « it appears that the bargaining chip held by vulture investors that wish to influence the restructuring approach taken by a defaulting sovereign relates most to the investor’s ability to impede the nation’ access to international capital markets » (</w:t>
      </w:r>
      <w:r w:rsidRPr="00E72418">
        <w:rPr>
          <w:smallCaps/>
          <w:szCs w:val="20"/>
          <w:lang w:val="en-US"/>
        </w:rPr>
        <w:t>A. Kelly</w:t>
      </w:r>
      <w:r w:rsidRPr="00E72418">
        <w:rPr>
          <w:szCs w:val="20"/>
          <w:lang w:val="en-US"/>
        </w:rPr>
        <w:t xml:space="preserve">, « Flight of the Condors: The Impact of Vulture Investors on Argentina’s Sovereign Debt Default », </w:t>
      </w:r>
      <w:r w:rsidRPr="00E72418">
        <w:rPr>
          <w:i/>
          <w:szCs w:val="20"/>
          <w:lang w:val="en-US"/>
        </w:rPr>
        <w:t>op. cit.</w:t>
      </w:r>
      <w:r w:rsidRPr="00E72418">
        <w:rPr>
          <w:szCs w:val="20"/>
          <w:lang w:val="en-US"/>
        </w:rPr>
        <w:t>, p. 29). L’auteur met l’accent sur le fait qu’ « obtaining a judgment against a sovereign nation remains arguably less important than whether some ancillary or direct aspect of that ruling, or perhaps even the perpetuation of legal action itself, hinders that nation’s access to capital ».</w:t>
      </w:r>
    </w:p>
  </w:footnote>
  <w:footnote w:id="832">
    <w:p w14:paraId="6F90FE67" w14:textId="004EB5FD"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 xml:space="preserve">background note, 26 octobre 2016, </w:t>
      </w:r>
      <w:r w:rsidRPr="00E72418">
        <w:rPr>
          <w:szCs w:val="20"/>
          <w:lang w:val="en-US"/>
        </w:rPr>
        <w:t>p. 19.</w:t>
      </w:r>
    </w:p>
  </w:footnote>
  <w:footnote w:id="833">
    <w:p w14:paraId="287C9FD1" w14:textId="6F12BDEC"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i/>
          <w:szCs w:val="20"/>
          <w:lang w:val="en-US"/>
        </w:rPr>
        <w:t>Ibid.</w:t>
      </w:r>
    </w:p>
  </w:footnote>
  <w:footnote w:id="834">
    <w:p w14:paraId="78E7578B" w14:textId="27D77BA1" w:rsidR="0030147D" w:rsidRPr="00E72418" w:rsidRDefault="0030147D" w:rsidP="00AC5756">
      <w:pPr>
        <w:pStyle w:val="Sansinterligne"/>
      </w:pPr>
      <w:r w:rsidRPr="00E72418">
        <w:rPr>
          <w:rStyle w:val="Appelnotedebasdep"/>
        </w:rPr>
        <w:footnoteRef/>
      </w:r>
      <w:r w:rsidRPr="00E72418">
        <w:rPr>
          <w:vertAlign w:val="superscript"/>
        </w:rPr>
        <w:t xml:space="preserve"> </w:t>
      </w:r>
      <w:r w:rsidRPr="00E72418">
        <w:t xml:space="preserve">Voyez, par exemple, United States Court of Appeals for the Fifth Circuit (EUA), </w:t>
      </w:r>
      <w:r w:rsidRPr="00E72418">
        <w:rPr>
          <w:rStyle w:val="injectednode"/>
        </w:rPr>
        <w:t>10 juillet 2006,</w:t>
      </w:r>
      <w:r w:rsidRPr="00E72418">
        <w:t xml:space="preserve"> </w:t>
      </w:r>
      <w:r w:rsidRPr="00E72418">
        <w:rPr>
          <w:i/>
        </w:rPr>
        <w:t>FG Hemisphere Assocs. v. Republique du Congo</w:t>
      </w:r>
      <w:r w:rsidRPr="00E72418">
        <w:rPr>
          <w:rStyle w:val="injectednode"/>
        </w:rPr>
        <w:t xml:space="preserve">, 455 F.3d 575 où le fonds poursuivit la société </w:t>
      </w:r>
      <w:r w:rsidRPr="00E72418">
        <w:rPr>
          <w:rStyle w:val="injectednode"/>
          <w:i/>
        </w:rPr>
        <w:t>CMS Nomeco</w:t>
      </w:r>
      <w:r w:rsidRPr="00E72418">
        <w:rPr>
          <w:rStyle w:val="injectednode"/>
        </w:rPr>
        <w:t xml:space="preserve"> en exécution d’une décision obtenue à l’encontre de l’</w:t>
      </w:r>
      <w:r w:rsidRPr="00E72418">
        <w:t>É</w:t>
      </w:r>
      <w:r w:rsidRPr="00E72418">
        <w:rPr>
          <w:rStyle w:val="injectednode"/>
        </w:rPr>
        <w:t xml:space="preserve">tat souverain. Voyez, comme autre exemple, </w:t>
      </w:r>
      <w:r>
        <w:t>United States Court</w:t>
      </w:r>
      <w:r w:rsidRPr="00E72418">
        <w:t xml:space="preserve"> of Appeal</w:t>
      </w:r>
      <w:r>
        <w:t>s</w:t>
      </w:r>
      <w:r w:rsidRPr="00E72418">
        <w:t xml:space="preserve"> for the Fifth Circuit (EUA), 23 août 2006, </w:t>
      </w:r>
      <w:r w:rsidRPr="00E72418">
        <w:rPr>
          <w:i/>
        </w:rPr>
        <w:t>Af-Cap, Inc., v. The Republic of Congo et al.</w:t>
      </w:r>
      <w:r w:rsidRPr="00E72418">
        <w:t>, 462 F</w:t>
      </w:r>
      <w:r w:rsidR="00824C07">
        <w:t>.3d 417 où le créancier cherchait</w:t>
      </w:r>
      <w:r w:rsidRPr="00E72418">
        <w:t xml:space="preserve"> à saisir-arrêter des redevances dues à l’</w:t>
      </w:r>
      <w:r w:rsidRPr="00E72418">
        <w:rPr>
          <w:rFonts w:ascii="Times New Roman" w:hAnsi="Times New Roman" w:cs="Times New Roman"/>
          <w:lang w:eastAsia="fr-BE"/>
        </w:rPr>
        <w:t>É</w:t>
      </w:r>
      <w:r w:rsidRPr="00E72418">
        <w:t>tat débiteur en raison de l’exploitation de pétrole.</w:t>
      </w:r>
    </w:p>
  </w:footnote>
  <w:footnote w:id="835">
    <w:p w14:paraId="7986AEC5" w14:textId="79030FF4" w:rsidR="0030147D" w:rsidRPr="00E72418" w:rsidRDefault="0030147D" w:rsidP="00845586">
      <w:pPr>
        <w:pStyle w:val="Sansinterligne"/>
      </w:pPr>
      <w:r w:rsidRPr="00E72418">
        <w:rPr>
          <w:rStyle w:val="Appelnotedebasdep"/>
        </w:rPr>
        <w:footnoteRef/>
      </w:r>
      <w:r w:rsidRPr="00E72418">
        <w:t xml:space="preserve"> Voyez </w:t>
      </w:r>
      <w:r w:rsidRPr="00E72418">
        <w:rPr>
          <w:i/>
        </w:rPr>
        <w:t>supra</w:t>
      </w:r>
      <w:r w:rsidRPr="00E72418">
        <w:t xml:space="preserve"> n° 109 pour un exemple d’attaque d’entreprises publiques.</w:t>
      </w:r>
    </w:p>
  </w:footnote>
  <w:footnote w:id="836">
    <w:p w14:paraId="500BEC11" w14:textId="0890B4B9"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714.</w:t>
      </w:r>
    </w:p>
  </w:footnote>
  <w:footnote w:id="837">
    <w:p w14:paraId="746C2B87" w14:textId="165DF873"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xml:space="preserve">, p. 477. </w:t>
      </w:r>
      <w:r w:rsidRPr="00E72418">
        <w:rPr>
          <w:szCs w:val="20"/>
        </w:rPr>
        <w:t xml:space="preserve">Les propositions de législation anti-spéculation étatsuniennes, après avoir notamment posé le constat que nombre de fonds spéculatifs sont détenus et gérés par des citoyens américains, relèvent encore que leurs activités affectent négativement le commerce interétatique des États-Unis (U.S. bills 110 H.R. 6796 et 111 H.R. 2932 to prevent speculation and profiteering in the defaulted debt of certain poor countries, and for other purposes, article 2(11) et article 2(12)). </w:t>
      </w:r>
    </w:p>
  </w:footnote>
  <w:footnote w:id="838">
    <w:p w14:paraId="74CED4B3" w14:textId="77777777"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U.S. bills 110 H.R. 6796 et 111 H.R. 2932 to prevent speculation and profiteering in the defaulted debt of certain poor countries, and for other purposes, article 2(10). Les propositions énumèrent quelques activités perturbatrices comme « attempting to levy against the embassies of foreign states, seeking to have foreign states held in contempt of court, issuing subpoenas to visiting foreign dignitaries, and accusing foreign governments of violating the Racketeer Influenced and Corrupt Organizations Act ».</w:t>
      </w:r>
    </w:p>
  </w:footnote>
  <w:footnote w:id="839">
    <w:p w14:paraId="3DC2BE34" w14:textId="27E96EE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l’exposé sommaire de l’amendement n° 1405 (Rect) présenté par Dominique Potier </w:t>
      </w:r>
      <w:r w:rsidRPr="00E72418">
        <w:rPr>
          <w:i/>
          <w:szCs w:val="20"/>
        </w:rPr>
        <w:t>et al.</w:t>
      </w:r>
      <w:r w:rsidRPr="00E72418">
        <w:rPr>
          <w:szCs w:val="20"/>
        </w:rPr>
        <w:t xml:space="preserve">, 2 juin 2016. Sur la législation visée et la mesure anti-fonds spéculatifs qu’elle comporte,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359 et suiv.</w:t>
      </w:r>
    </w:p>
  </w:footnote>
  <w:footnote w:id="840">
    <w:p w14:paraId="7307AF5F" w14:textId="5F69BB0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 principe fut par exemple repris parmi les arguments de la société </w:t>
      </w:r>
      <w:r w:rsidRPr="00E72418">
        <w:rPr>
          <w:i/>
          <w:szCs w:val="20"/>
        </w:rPr>
        <w:t>NML Capital Ltd.</w:t>
      </w:r>
      <w:r w:rsidRPr="00E72418">
        <w:rPr>
          <w:szCs w:val="20"/>
        </w:rPr>
        <w:t xml:space="preserve"> dans son recours contre la loi belge du 12 juillet 2015 relative à la lutte contre les activités des fonds vautours introduit auprès de la Cour constitutionnelle. Le fonds spéculatif y faisait valoir qu’en rachetant un titre représentant une créance dépréciée sur un État, l’acheteur rend un service à celui qui détient ce titre en lui permettant de limiter sa perte et de sortir du marché, service rémunéré par la plus-value obtenue lors de la réalisation de ce titre venu à échéance (position de la société </w:t>
      </w:r>
      <w:r w:rsidRPr="00E72418">
        <w:rPr>
          <w:i/>
          <w:szCs w:val="20"/>
        </w:rPr>
        <w:t>NML Capital Ltd.</w:t>
      </w:r>
      <w:r w:rsidRPr="00E72418">
        <w:rPr>
          <w:szCs w:val="20"/>
        </w:rPr>
        <w:t xml:space="preserve"> reprise in Cour const., 31 mai 2018, n° 61/2018, p. 9).</w:t>
      </w:r>
    </w:p>
  </w:footnote>
  <w:footnote w:id="841">
    <w:p w14:paraId="08DFD197" w14:textId="2D350FEC"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Elisa Beneze relativise l’invocation de ce principe en notant que « the combination of the erosion of sovereign immunity and the litigation success of holdout funds in recent years has reduced much of the risk for vulture funds participating in the sovereign bond market, while still opening the door for excessive reward »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266).</w:t>
      </w:r>
    </w:p>
  </w:footnote>
  <w:footnote w:id="842">
    <w:p w14:paraId="5B5215D3" w14:textId="42EE63C7" w:rsidR="0030147D" w:rsidRPr="00E72418" w:rsidRDefault="0030147D" w:rsidP="002D773E">
      <w:pPr>
        <w:pStyle w:val="Sansinterligne"/>
        <w:rPr>
          <w:szCs w:val="20"/>
        </w:rPr>
      </w:pPr>
      <w:r w:rsidRPr="00E72418">
        <w:rPr>
          <w:rStyle w:val="Appelnotedebasdep"/>
          <w:szCs w:val="20"/>
        </w:rPr>
        <w:footnoteRef/>
      </w:r>
      <w:r w:rsidRPr="00E72418">
        <w:rPr>
          <w:szCs w:val="20"/>
        </w:rPr>
        <w:t xml:space="preserve"> Voyez notre proposition de réglementation </w:t>
      </w:r>
      <w:r w:rsidRPr="00E72418">
        <w:rPr>
          <w:i/>
          <w:szCs w:val="20"/>
        </w:rPr>
        <w:t>infra</w:t>
      </w:r>
      <w:r w:rsidRPr="00E72418">
        <w:rPr>
          <w:szCs w:val="20"/>
        </w:rPr>
        <w:t xml:space="preserve"> Partie II – Sous-partie 2.</w:t>
      </w:r>
    </w:p>
  </w:footnote>
  <w:footnote w:id="843">
    <w:p w14:paraId="771C173E" w14:textId="14B475D4"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Voyez la position de la société </w:t>
      </w:r>
      <w:r w:rsidRPr="00E72418">
        <w:rPr>
          <w:i/>
          <w:szCs w:val="20"/>
        </w:rPr>
        <w:t>NML Capital Ltd.</w:t>
      </w:r>
      <w:r w:rsidRPr="00E72418">
        <w:rPr>
          <w:szCs w:val="20"/>
        </w:rPr>
        <w:t xml:space="preserve"> reprise in Cour const., 31 mai 2018, n° 61/2018, p. 6. Plus encore, d’aucuns défendent l’idée que les fonds spéculatifs permettent une augmentation de la valeur des titres. Robert </w:t>
      </w:r>
      <w:r w:rsidRPr="00E72418">
        <w:rPr>
          <w:szCs w:val="20"/>
          <w:lang w:val="en-US"/>
        </w:rPr>
        <w:t>Kolb est ainsi d’avis que « by accumulating bonds, the vulture consolidates a number of bonds from a variety of small and some large investors. In doing so, it increases the demand for the defaulted bonds and thereby helps those investors salvage more value from their holdings than would otherwise be possible »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pp. 396 et 397).</w:t>
      </w:r>
    </w:p>
  </w:footnote>
  <w:footnote w:id="844">
    <w:p w14:paraId="0BB48C54" w14:textId="418C55D8" w:rsidR="0030147D" w:rsidRPr="00E72418" w:rsidRDefault="0030147D" w:rsidP="00B45C7B">
      <w:pPr>
        <w:pStyle w:val="Sansinterligne"/>
        <w:rPr>
          <w:rFonts w:ascii="Times New Roman" w:hAnsi="Times New Roman" w:cs="Times New Roman"/>
          <w:szCs w:val="20"/>
          <w:lang w:val="en-US"/>
        </w:rPr>
      </w:pPr>
      <w:r w:rsidRPr="00E72418">
        <w:rPr>
          <w:rStyle w:val="Appelnotedebasdep"/>
          <w:szCs w:val="20"/>
        </w:rPr>
        <w:footnoteRef/>
      </w:r>
      <w:r w:rsidRPr="00E72418">
        <w:rPr>
          <w:szCs w:val="20"/>
          <w:lang w:val="en-US"/>
        </w:rPr>
        <w:t xml:space="preserve"> Comme le relève Elizabeth Broomfield, « [a] properly functioning, liquid market depends upon investors who are prepared to accept greater risk for the greater reward afforded by a discounted purchase of a debt instrument »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510).</w:t>
      </w:r>
    </w:p>
  </w:footnote>
  <w:footnote w:id="845">
    <w:p w14:paraId="28782E16" w14:textId="43A172E0"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40. L’importance qu’il y ait un équilibre entre les intérêts en balance que sont la protection des États débiteurs, d’une part, le maintien de la stabilité des marchés financiers, d’autre part, fut ainsi soulignée durant les travaux préparatoires de la loi belge anti-fonds vautours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7). Sur l’importance de la balance à pratiquer par les législateurs intervenant sur les activités des fonds spéculatifs, voyez </w:t>
      </w:r>
      <w:r w:rsidRPr="00E72418">
        <w:rPr>
          <w:i/>
          <w:szCs w:val="20"/>
        </w:rPr>
        <w:t>infra</w:t>
      </w:r>
      <w:r w:rsidRPr="00E72418">
        <w:rPr>
          <w:szCs w:val="20"/>
        </w:rPr>
        <w:t xml:space="preserve"> n° 410.</w:t>
      </w:r>
    </w:p>
  </w:footnote>
  <w:footnote w:id="846">
    <w:p w14:paraId="258CC4FB" w14:textId="346767E9"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xml:space="preserve">, p. 7. </w:t>
      </w:r>
      <w:r w:rsidRPr="00E72418">
        <w:rPr>
          <w:szCs w:val="20"/>
        </w:rPr>
        <w:t xml:space="preserve">Notons toutefois l’engagement pris par certains de ces investisseurs de ne pas vendre leurs créances à des fonds spéculatifs (voyez </w:t>
      </w:r>
      <w:r w:rsidRPr="00E72418">
        <w:rPr>
          <w:i/>
          <w:szCs w:val="20"/>
        </w:rPr>
        <w:t>supra</w:t>
      </w:r>
      <w:r w:rsidRPr="00E72418">
        <w:rPr>
          <w:szCs w:val="20"/>
        </w:rPr>
        <w:t xml:space="preserve"> n° 144).</w:t>
      </w:r>
    </w:p>
  </w:footnote>
  <w:footnote w:id="847">
    <w:p w14:paraId="246D937F" w14:textId="21DA107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 394.</w:t>
      </w:r>
    </w:p>
  </w:footnote>
  <w:footnote w:id="848">
    <w:p w14:paraId="1AC03F76" w14:textId="20F79E1E"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T. Ngosso</w:t>
      </w:r>
      <w:r w:rsidRPr="00E72418">
        <w:rPr>
          <w:szCs w:val="20"/>
        </w:rPr>
        <w:t xml:space="preserve">, « Trois raisons de s’opposer aux fonds vautours », </w:t>
      </w:r>
      <w:r w:rsidRPr="00E72418">
        <w:rPr>
          <w:i/>
          <w:szCs w:val="20"/>
        </w:rPr>
        <w:t>Dounia</w:t>
      </w:r>
      <w:r w:rsidRPr="00E72418">
        <w:rPr>
          <w:szCs w:val="20"/>
        </w:rPr>
        <w:t xml:space="preserve">, 2012, p. 33. Sur la responsabilité des bailleurs de fonds à l’endroit de l’émission de dettes souveraines, voyez </w:t>
      </w:r>
      <w:r w:rsidRPr="00E72418">
        <w:rPr>
          <w:i/>
          <w:szCs w:val="20"/>
        </w:rPr>
        <w:t>supra</w:t>
      </w:r>
      <w:r w:rsidRPr="00E72418">
        <w:rPr>
          <w:szCs w:val="20"/>
        </w:rPr>
        <w:t xml:space="preserve"> n° 38.</w:t>
      </w:r>
    </w:p>
  </w:footnote>
  <w:footnote w:id="849">
    <w:p w14:paraId="5C4F60EA" w14:textId="262037DC"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Comme le relève James Bai, les fonds spéculatifs « assist both sides of a debt relationship : initial/primary creditors guarantee themselves a return on debts regardless of risk or default, and debtors appear less risky as a result, making overall capital-raising easier »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707).</w:t>
      </w:r>
    </w:p>
  </w:footnote>
  <w:footnote w:id="850">
    <w:p w14:paraId="77285E4C" w14:textId="29C8AD0D" w:rsidR="0030147D" w:rsidRPr="00E72418" w:rsidRDefault="0030147D" w:rsidP="00077F51">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L’argument de la réduction du coût du capital fut relevé par la </w:t>
      </w:r>
      <w:r w:rsidRPr="00F1587D">
        <w:rPr>
          <w:szCs w:val="20"/>
        </w:rPr>
        <w:t xml:space="preserve">United States Court of Appeals for the Second Circuit </w:t>
      </w:r>
      <w:r w:rsidRPr="00E72418">
        <w:rPr>
          <w:szCs w:val="20"/>
        </w:rPr>
        <w:t xml:space="preserve">dans le contentieux ayant opposé la société </w:t>
      </w:r>
      <w:r w:rsidRPr="00E72418">
        <w:rPr>
          <w:i/>
          <w:szCs w:val="20"/>
        </w:rPr>
        <w:t>Elliott Associates</w:t>
      </w:r>
      <w:r w:rsidRPr="00E72418">
        <w:rPr>
          <w:szCs w:val="20"/>
        </w:rPr>
        <w:t xml:space="preserve"> à la République du Pérou. </w:t>
      </w:r>
      <w:r w:rsidRPr="00E72418">
        <w:rPr>
          <w:szCs w:val="20"/>
          <w:lang w:val="en-US"/>
        </w:rPr>
        <w:t xml:space="preserve">La Cour, cassant la décision dont il était fait appel par la société créancière, relevait que « [w]hile the district court’s rule might benefit the Debtors in the short run, the long term effect would be to cause significant harm to Peru and other developing nations and their institutions seeking to borrow capital in New York ». La Cour expliquait que la restriction à la vente des dettes souveraines serait de nature à accroître le risque des prêts consentis aux pays en voie de développement et, par conséquent, « [t]he additional risk would naturally be reflected in higher borrowing costs to such nations », voire « [i]t could even make loans to some of them unobtainable in New York » (United States Court of Appeals for the Second Circuit (EUA), 20 octobre 1999, </w:t>
      </w:r>
      <w:r w:rsidRPr="00E72418">
        <w:rPr>
          <w:i/>
          <w:szCs w:val="20"/>
          <w:lang w:val="en-US"/>
        </w:rPr>
        <w:t>Elliott Associates LP v. Banco de la Nacion</w:t>
      </w:r>
      <w:r w:rsidRPr="00E72418">
        <w:rPr>
          <w:szCs w:val="20"/>
          <w:lang w:val="en-US"/>
        </w:rPr>
        <w:t>, 194 F.3d 363, p. 380).</w:t>
      </w:r>
    </w:p>
  </w:footnote>
  <w:footnote w:id="851">
    <w:p w14:paraId="1C43087B" w14:textId="4FC43839" w:rsidR="0030147D" w:rsidRPr="00E72418" w:rsidRDefault="0030147D" w:rsidP="006B11D5">
      <w:pPr>
        <w:pStyle w:val="Sansinterligne"/>
      </w:pPr>
      <w:r w:rsidRPr="00E72418">
        <w:rPr>
          <w:rStyle w:val="Appelnotedebasdep"/>
        </w:rPr>
        <w:footnoteRef/>
      </w:r>
      <w:r w:rsidRPr="00E72418">
        <w:t xml:space="preserve"> L’argument de la réduction du coût du capital n’apparaît toutefois pas comme péremptoire dès lors que certains auteurs notent qu’ « </w:t>
      </w:r>
      <w:r w:rsidRPr="00E72418">
        <w:rPr>
          <w:rFonts w:cs="Times"/>
        </w:rPr>
        <w:t xml:space="preserve">[e]mpirical data suggests that aggressive holdout litigation may have a negative impact on the pricing of sovereign bonds and creditors may charge less for bonds that face lesser risk of holdout litigation </w:t>
      </w:r>
      <w:r w:rsidRPr="00E72418">
        <w:t xml:space="preserve">»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4).</w:t>
      </w:r>
    </w:p>
  </w:footnote>
  <w:footnote w:id="852">
    <w:p w14:paraId="50242EBB" w14:textId="000A9FEE"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15.</w:t>
      </w:r>
    </w:p>
  </w:footnote>
  <w:footnote w:id="853">
    <w:p w14:paraId="1721A104" w14:textId="7B2E442B"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Pettis</w:t>
      </w:r>
      <w:r w:rsidRPr="00E72418">
        <w:rPr>
          <w:szCs w:val="20"/>
          <w:lang w:val="en-US"/>
        </w:rPr>
        <w:t xml:space="preserve">, </w:t>
      </w:r>
      <w:r w:rsidRPr="00E72418">
        <w:rPr>
          <w:i/>
          <w:szCs w:val="20"/>
          <w:lang w:val="en-US"/>
        </w:rPr>
        <w:t>The Volatility Machine: Emerging Economies and the Threat of Financial Collapse</w:t>
      </w:r>
      <w:r w:rsidRPr="00E72418">
        <w:rPr>
          <w:szCs w:val="20"/>
          <w:lang w:val="en-US"/>
        </w:rPr>
        <w:t>, Oxford University Press, 2001, p. 166.</w:t>
      </w:r>
    </w:p>
  </w:footnote>
  <w:footnote w:id="854">
    <w:p w14:paraId="002ACB35" w14:textId="73036F7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855">
    <w:p w14:paraId="04C25EF0" w14:textId="1B11D250"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G. van Calster</w:t>
      </w:r>
      <w:r w:rsidRPr="00E72418">
        <w:rPr>
          <w:szCs w:val="20"/>
          <w:lang w:val="en-US"/>
        </w:rPr>
        <w:t xml:space="preserve">, « Do Not Kick Them While They Are Down </w:t>
      </w:r>
      <w:r w:rsidRPr="00E72418">
        <w:rPr>
          <w:b/>
          <w:szCs w:val="20"/>
        </w:rPr>
        <w:t xml:space="preserve">– </w:t>
      </w:r>
      <w:r w:rsidRPr="00E72418">
        <w:rPr>
          <w:szCs w:val="20"/>
          <w:lang w:val="en-US"/>
        </w:rPr>
        <w:t xml:space="preserve">Vulture Funds in Private International Law », </w:t>
      </w:r>
      <w:r w:rsidRPr="00E72418">
        <w:rPr>
          <w:i/>
          <w:szCs w:val="20"/>
          <w:lang w:val="en-US"/>
        </w:rPr>
        <w:t>op. cit.</w:t>
      </w:r>
      <w:r w:rsidRPr="00E72418">
        <w:rPr>
          <w:szCs w:val="20"/>
          <w:lang w:val="en-US"/>
        </w:rPr>
        <w:t>, p. 66.</w:t>
      </w:r>
    </w:p>
  </w:footnote>
  <w:footnote w:id="856">
    <w:p w14:paraId="14007F12" w14:textId="3DE09A0E"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D. Bosco</w:t>
      </w:r>
      <w:r w:rsidRPr="00E72418">
        <w:rPr>
          <w:szCs w:val="20"/>
          <w:lang w:val="en-US"/>
        </w:rPr>
        <w:t xml:space="preserve">, « The Debt Frenzy », </w:t>
      </w:r>
      <w:r w:rsidRPr="00E72418">
        <w:rPr>
          <w:i/>
          <w:szCs w:val="20"/>
          <w:lang w:val="en-US"/>
        </w:rPr>
        <w:t>op. cit.</w:t>
      </w:r>
      <w:r w:rsidRPr="00E72418">
        <w:rPr>
          <w:szCs w:val="20"/>
          <w:lang w:val="en-US"/>
        </w:rPr>
        <w:t xml:space="preserve">, p. 42. </w:t>
      </w:r>
      <w:r w:rsidRPr="00E72418">
        <w:rPr>
          <w:szCs w:val="20"/>
        </w:rPr>
        <w:t>L’auteur les qualifie d’ « avenging angels of the debt market ».</w:t>
      </w:r>
    </w:p>
  </w:footnote>
  <w:footnote w:id="857">
    <w:p w14:paraId="72179676" w14:textId="31213DC1" w:rsidR="0030147D" w:rsidRPr="00E72418" w:rsidRDefault="0030147D" w:rsidP="00B45C7B">
      <w:pPr>
        <w:pStyle w:val="Sansinterligne"/>
        <w:rPr>
          <w:rFonts w:ascii="Times New Roman" w:hAnsi="Times New Roman" w:cs="Times New Roman"/>
          <w:szCs w:val="20"/>
        </w:rPr>
      </w:pPr>
      <w:r w:rsidRPr="00E72418">
        <w:rPr>
          <w:rStyle w:val="Appelnotedebasdep"/>
          <w:szCs w:val="20"/>
        </w:rPr>
        <w:footnoteRef/>
      </w:r>
      <w:r w:rsidRPr="00E72418">
        <w:rPr>
          <w:szCs w:val="20"/>
        </w:rPr>
        <w:t xml:space="preserve"> Relevant que certains créanciers pourraient être plus facilement enclins à accepter sans trop sourciller les termes d’une restructuration conscients de ce que leur intérêt se situe dans le bon fonctionnement de l’État débiteur avec lequel ils entretiennent d’autres rapports économiques, Robert Kolb remarque qu’ « [a] single individual investor can have no such standing and therefore is much more vulnerable to the whims of the debtor and the interests of larger and more powerful creditors ». Pour l’auteur, les fonds spéculatifs protègent ces investisseurs démunis (</w:t>
      </w:r>
      <w:r w:rsidRPr="00E72418">
        <w:rPr>
          <w:smallCaps/>
          <w:szCs w:val="20"/>
        </w:rPr>
        <w:t>R. Kolb</w:t>
      </w:r>
      <w:r w:rsidRPr="00E72418">
        <w:rPr>
          <w:szCs w:val="20"/>
        </w:rPr>
        <w:t xml:space="preserve">, « The Virtue of Vultures: Distressed Debt Investors in the Sovereign Debt Market », </w:t>
      </w:r>
      <w:r w:rsidRPr="00E72418">
        <w:rPr>
          <w:i/>
          <w:szCs w:val="20"/>
          <w:lang w:val="en-US"/>
        </w:rPr>
        <w:t>op. cit.</w:t>
      </w:r>
      <w:r w:rsidRPr="00E72418">
        <w:rPr>
          <w:szCs w:val="20"/>
        </w:rPr>
        <w:t>, p. 401).</w:t>
      </w:r>
    </w:p>
  </w:footnote>
  <w:footnote w:id="858">
    <w:p w14:paraId="0DF428EA" w14:textId="509F6206"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Steven Schwartz parle de « </w:t>
      </w:r>
      <w:r w:rsidRPr="00824C07">
        <w:rPr>
          <w:szCs w:val="20"/>
        </w:rPr>
        <w:t>moral hazard</w:t>
      </w:r>
      <w:r w:rsidRPr="00E72418">
        <w:rPr>
          <w:szCs w:val="20"/>
        </w:rPr>
        <w:t> » pouvant toucher les États, qu’il définit comme la tendance accrue de certaines personnes protégées des conséquences d’un comportement de l’adopter (</w:t>
      </w:r>
      <w:r w:rsidRPr="00E72418">
        <w:rPr>
          <w:smallCaps/>
          <w:szCs w:val="20"/>
        </w:rPr>
        <w:t>S. Schwarcz</w:t>
      </w:r>
      <w:r w:rsidRPr="00E72418">
        <w:rPr>
          <w:szCs w:val="20"/>
        </w:rPr>
        <w:t xml:space="preserve">, « “Idiot’s Guide” to Sovereign Debt Restructuring », </w:t>
      </w:r>
      <w:r w:rsidRPr="00E72418">
        <w:rPr>
          <w:i/>
          <w:szCs w:val="20"/>
        </w:rPr>
        <w:t>Emory Law J.</w:t>
      </w:r>
      <w:r w:rsidRPr="00E72418">
        <w:rPr>
          <w:szCs w:val="20"/>
        </w:rPr>
        <w:t xml:space="preserve">, 2004, p. 1194). </w:t>
      </w:r>
    </w:p>
  </w:footnote>
  <w:footnote w:id="859">
    <w:p w14:paraId="6AD2546C" w14:textId="6C1E1C3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517.</w:t>
      </w:r>
    </w:p>
  </w:footnote>
  <w:footnote w:id="860">
    <w:p w14:paraId="1148DF8E" w14:textId="477D06D0" w:rsidR="0030147D" w:rsidRPr="00E72418" w:rsidRDefault="0030147D" w:rsidP="009B5B86">
      <w:pPr>
        <w:pStyle w:val="Sansinterligne"/>
        <w:rPr>
          <w:rFonts w:ascii="Times New Roman" w:hAnsi="Times New Roman" w:cs="Times New Roman"/>
        </w:rPr>
      </w:pPr>
      <w:r w:rsidRPr="00E72418">
        <w:rPr>
          <w:rStyle w:val="Appelnotedebasdep"/>
        </w:rPr>
        <w:footnoteRef/>
      </w:r>
      <w:r w:rsidRPr="00E72418">
        <w:t xml:space="preserve"> S. </w:t>
      </w:r>
      <w:r w:rsidRPr="00E72418">
        <w:rPr>
          <w:smallCaps/>
        </w:rPr>
        <w:t>Park</w:t>
      </w:r>
      <w:r w:rsidRPr="00E72418">
        <w:t xml:space="preserve"> et T. </w:t>
      </w:r>
      <w:r w:rsidRPr="00E72418">
        <w:rPr>
          <w:smallCaps/>
        </w:rPr>
        <w:t>Samples</w:t>
      </w:r>
      <w:r w:rsidRPr="00E72418">
        <w:t xml:space="preserve">, « Towards Sovereign Equity », </w:t>
      </w:r>
      <w:r w:rsidRPr="00E72418">
        <w:rPr>
          <w:i/>
          <w:iCs/>
        </w:rPr>
        <w:t>op. cit.</w:t>
      </w:r>
      <w:r w:rsidRPr="00E72418">
        <w:rPr>
          <w:iCs/>
        </w:rPr>
        <w:t>, p.</w:t>
      </w:r>
      <w:r w:rsidRPr="00E72418">
        <w:t xml:space="preserve"> 273 : « </w:t>
      </w:r>
      <w:r w:rsidRPr="00E72418">
        <w:rPr>
          <w:szCs w:val="20"/>
          <w:lang w:val="en-US"/>
        </w:rPr>
        <w:t>[w]</w:t>
      </w:r>
      <w:r w:rsidRPr="00E72418">
        <w:rPr>
          <w:rFonts w:ascii="Times New Roman" w:hAnsi="Times New Roman" w:cs="Times New Roman"/>
        </w:rPr>
        <w:t>ith respect to moral hazard, governments may be tempted to manipulate GDP data in order to reduce interest payments ».</w:t>
      </w:r>
    </w:p>
  </w:footnote>
  <w:footnote w:id="861">
    <w:p w14:paraId="21FDB503" w14:textId="00369B93"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Pottow</w:t>
      </w:r>
      <w:r w:rsidRPr="00E72418">
        <w:rPr>
          <w:szCs w:val="20"/>
          <w:lang w:val="en-US"/>
        </w:rPr>
        <w:t xml:space="preserve">, « Mitigating the Problem of Vulture Holdout: International Certification Boards for Sovereign-Debt Restructurings », </w:t>
      </w:r>
      <w:r w:rsidRPr="00E72418">
        <w:rPr>
          <w:i/>
          <w:szCs w:val="20"/>
          <w:lang w:val="en-US"/>
        </w:rPr>
        <w:t>op. cit.</w:t>
      </w:r>
      <w:r w:rsidRPr="00E72418">
        <w:rPr>
          <w:szCs w:val="20"/>
          <w:lang w:val="en-US"/>
        </w:rPr>
        <w:t>, p. 232.</w:t>
      </w:r>
    </w:p>
  </w:footnote>
  <w:footnote w:id="862">
    <w:p w14:paraId="1D15FEA5" w14:textId="43FBE29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44. </w:t>
      </w:r>
      <w:r w:rsidRPr="00E72418">
        <w:rPr>
          <w:szCs w:val="20"/>
        </w:rPr>
        <w:t xml:space="preserve">Dans le cadre du contentieux ayant opposé la République argentine à certains de ses créanciers, la Cour suprême étatsunienne a été amenée à se prononcer sur la possibilité de recourir à des mesures de </w:t>
      </w:r>
      <w:r w:rsidRPr="00E72418">
        <w:rPr>
          <w:i/>
          <w:szCs w:val="20"/>
        </w:rPr>
        <w:t>discovery</w:t>
      </w:r>
      <w:r w:rsidRPr="00E72418">
        <w:rPr>
          <w:szCs w:val="20"/>
        </w:rPr>
        <w:t xml:space="preserve"> visant les biens des États étrangers. </w:t>
      </w:r>
      <w:r w:rsidRPr="00E72418">
        <w:rPr>
          <w:szCs w:val="20"/>
          <w:lang w:val="en-US"/>
        </w:rPr>
        <w:t xml:space="preserve">Elle décida en substance que « [n]o provision in the FSIA immunizes a foreign-sovereign judgment debtor from postjudgment discovery of information concerning its extraterritorial assets » (Supreme Court of the United States (EUA), 16 juin 2014, </w:t>
      </w:r>
      <w:r w:rsidRPr="00E72418">
        <w:rPr>
          <w:i/>
          <w:szCs w:val="20"/>
          <w:lang w:val="en-US"/>
        </w:rPr>
        <w:t>Republic of Argentina v. NML Capital Ltd</w:t>
      </w:r>
      <w:r w:rsidRPr="00E72418">
        <w:rPr>
          <w:szCs w:val="20"/>
          <w:lang w:val="en-US"/>
        </w:rPr>
        <w:t xml:space="preserve">., 134 S. Ct. 2250, p. 2252). </w:t>
      </w:r>
      <w:r w:rsidRPr="00E72418">
        <w:rPr>
          <w:szCs w:val="20"/>
        </w:rPr>
        <w:t xml:space="preserve">Cette décision force les États débiteurs à la vigilance au vu de la possible exposition future de leurs </w:t>
      </w:r>
      <w:r w:rsidR="00824C07">
        <w:rPr>
          <w:szCs w:val="20"/>
        </w:rPr>
        <w:t>affaires</w:t>
      </w:r>
      <w:r w:rsidRPr="00E72418">
        <w:rPr>
          <w:szCs w:val="20"/>
        </w:rPr>
        <w:t>.</w:t>
      </w:r>
    </w:p>
  </w:footnote>
  <w:footnote w:id="863">
    <w:p w14:paraId="6FD6CF83" w14:textId="3735B6F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Robert Kolb note ainsi que « [t]he sovereign borrower that knows it may face an attack by vultures in the event of default will also tend to avoid over-borrowing, so sovereigns will be more likely to borrow only what they need and can reasonably expect to repay »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xml:space="preserve">, p. 400). </w:t>
      </w:r>
      <w:r w:rsidRPr="00E72418">
        <w:rPr>
          <w:szCs w:val="20"/>
        </w:rPr>
        <w:t xml:space="preserve">Sur l’importance de la viabilité de la dette souveraine,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34 et suiv.</w:t>
      </w:r>
    </w:p>
  </w:footnote>
  <w:footnote w:id="864">
    <w:p w14:paraId="1EE3D10C" w14:textId="0AE8DDE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Comme l’indique John Muse-Fisher, « [a]lthough the welfare of citizens typically improves with an improving economy, the considerations for a sovereign’s management of the economy are not as clearly profit oriented as a business’s »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1684).</w:t>
      </w:r>
    </w:p>
  </w:footnote>
  <w:footnote w:id="865">
    <w:p w14:paraId="24D787F6" w14:textId="58554464"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i/>
          <w:color w:val="auto"/>
          <w:szCs w:val="20"/>
          <w:lang w:val="en-US"/>
        </w:rPr>
        <w:t>Ibid.</w:t>
      </w:r>
      <w:r w:rsidRPr="00E72418">
        <w:rPr>
          <w:i/>
          <w:szCs w:val="20"/>
          <w:lang w:val="en-US"/>
        </w:rPr>
        <w:t xml:space="preserve"> </w:t>
      </w:r>
      <w:r w:rsidRPr="00E72418">
        <w:rPr>
          <w:szCs w:val="20"/>
        </w:rPr>
        <w:t>La situation est différente avec l’investissement dans des entreprises en difficulté où les fonds spéculatifs peuvent chercher à en prendre le contrôle pour les remettre sur pied et ensuite les revendre au meilleur prix (</w:t>
      </w:r>
      <w:r w:rsidRPr="00E72418">
        <w:rPr>
          <w:szCs w:val="20"/>
          <w:lang w:val="en-US"/>
        </w:rPr>
        <w:t>Conférence des Nations Unies sur le commerce et le développement</w:t>
      </w:r>
      <w:r w:rsidRPr="00E72418">
        <w:rPr>
          <w:szCs w:val="20"/>
        </w:rPr>
        <w:t xml:space="preserve">,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 background note, 26 octobre 2016, pp. 2 et 4).</w:t>
      </w:r>
    </w:p>
  </w:footnote>
  <w:footnote w:id="866">
    <w:p w14:paraId="7B87B098" w14:textId="6ADB3F8B"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247</w:t>
      </w:r>
      <w:r w:rsidRPr="00E72418">
        <w:rPr>
          <w:szCs w:val="20"/>
          <w:lang w:val="en-US"/>
        </w:rPr>
        <w:t xml:space="preserve">. Martin </w:t>
      </w:r>
      <w:r w:rsidRPr="00E72418">
        <w:rPr>
          <w:szCs w:val="20"/>
        </w:rPr>
        <w:t xml:space="preserve">Guzman critique cette qualification en ce que les juridictions étatsuniennes n’indiquent pas si ce qui les conduit à cette conclusion sont les déclarations faites par les politiciens argentins à leur population ou plutôt les modalités de restructuration proposées. </w:t>
      </w:r>
      <w:r w:rsidRPr="00E72418">
        <w:rPr>
          <w:szCs w:val="20"/>
          <w:lang w:val="en-US"/>
        </w:rPr>
        <w:t xml:space="preserve">Pour l’auteur, « [i]f it refers to the first, the judge’s view would be an imperialistic one, where domestic politics of distressed debtor countries should be circumscribed to actions that do not offend US judges </w:t>
      </w:r>
      <w:r w:rsidRPr="00E72418">
        <w:rPr>
          <w:b/>
          <w:szCs w:val="20"/>
        </w:rPr>
        <w:t xml:space="preserve">– </w:t>
      </w:r>
      <w:r w:rsidRPr="00E72418">
        <w:rPr>
          <w:szCs w:val="20"/>
          <w:lang w:val="en-US"/>
        </w:rPr>
        <w:t>or else the country will be punished; regardless, it violates basic principles that the process should respect in order to ensure the objectives of the restructuring are achieved. If it refers to the latter, the judge’s view will create a very negative precedent, as it will harm the prospects of obtaining the necessary debt relief for recovering sustainability in seriously distressed countries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18).</w:t>
      </w:r>
    </w:p>
  </w:footnote>
  <w:footnote w:id="867">
    <w:p w14:paraId="02E23D7C" w14:textId="16335A51" w:rsidR="0030147D" w:rsidRPr="00E72418" w:rsidRDefault="0030147D" w:rsidP="00BF0961">
      <w:pPr>
        <w:pStyle w:val="Sansinterligne"/>
      </w:pPr>
      <w:r w:rsidRPr="00E72418">
        <w:rPr>
          <w:rStyle w:val="Appelnotedebasdep"/>
        </w:rPr>
        <w:footnoteRef/>
      </w:r>
      <w:r w:rsidRPr="00E72418">
        <w:t xml:space="preserve"> Dans le même sens, la </w:t>
      </w:r>
      <w:r>
        <w:t xml:space="preserve">United States </w:t>
      </w:r>
      <w:r w:rsidRPr="00735BBE">
        <w:t>District Court for the Southern District of New York</w:t>
      </w:r>
      <w:r w:rsidRPr="00E72418">
        <w:t xml:space="preserve"> avait déjà, en conclusion de sa décision du 21 novembre 2012, indiqué que « [t]he court believes that the </w:t>
      </w:r>
      <w:r w:rsidRPr="00E72418">
        <w:rPr>
          <w:bCs/>
          <w:iCs/>
        </w:rPr>
        <w:t>Order</w:t>
      </w:r>
      <w:r w:rsidRPr="00E72418">
        <w:rPr>
          <w:bCs/>
          <w:i/>
          <w:iCs/>
        </w:rPr>
        <w:t xml:space="preserve"> </w:t>
      </w:r>
      <w:r w:rsidRPr="00E72418">
        <w:t xml:space="preserve">regarding Ratable Payments should be put into effect at the earliest possible time » et justifie cette rapidité en indiquant que « [t]he less time Argentina is given to devise means for evasion, the more assurance there is against such evasion » (United States District Court for the Southern District of New York (EUA), 21 novembre 2012, </w:t>
      </w:r>
      <w:r w:rsidRPr="00E72418">
        <w:rPr>
          <w:i/>
        </w:rPr>
        <w:t>NML Capital, Ltd. v. Republic of Argentina</w:t>
      </w:r>
      <w:r w:rsidRPr="00E72418">
        <w:t>, 2012 WL 5895650</w:t>
      </w:r>
      <w:r w:rsidRPr="00E72418">
        <w:rPr>
          <w:rStyle w:val="injectednode"/>
          <w:lang w:val="en-US"/>
        </w:rPr>
        <w:t>, p. 2</w:t>
      </w:r>
      <w:r w:rsidRPr="00E72418">
        <w:t>).</w:t>
      </w:r>
    </w:p>
  </w:footnote>
  <w:footnote w:id="868">
    <w:p w14:paraId="1F8EBB52" w14:textId="0EE946FE"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Voyez notamment </w:t>
      </w:r>
      <w:r w:rsidRPr="00E72418">
        <w:rPr>
          <w:smallCaps/>
          <w:szCs w:val="20"/>
          <w:lang w:val="en-US"/>
        </w:rPr>
        <w:t>A. Porzecanski</w:t>
      </w:r>
      <w:r w:rsidRPr="00E72418">
        <w:rPr>
          <w:szCs w:val="20"/>
          <w:lang w:val="en-US"/>
        </w:rPr>
        <w:t>, « </w:t>
      </w:r>
      <w:r w:rsidRPr="00E72418">
        <w:rPr>
          <w:szCs w:val="20"/>
        </w:rPr>
        <w:t>From Rogue Creditors to Rogue Debtors: Implications of Argentina’s Default</w:t>
      </w:r>
      <w:r w:rsidRPr="00E72418">
        <w:rPr>
          <w:szCs w:val="20"/>
          <w:lang w:val="en-US"/>
        </w:rPr>
        <w:t xml:space="preserve"> », </w:t>
      </w:r>
      <w:r w:rsidRPr="00E72418">
        <w:rPr>
          <w:i/>
          <w:szCs w:val="20"/>
          <w:lang w:val="en-US"/>
        </w:rPr>
        <w:t>op. cit.</w:t>
      </w:r>
      <w:r w:rsidRPr="00E72418">
        <w:rPr>
          <w:szCs w:val="20"/>
          <w:lang w:val="en-US"/>
        </w:rPr>
        <w:t xml:space="preserve">, p. 316. </w:t>
      </w:r>
      <w:r w:rsidRPr="00E72418">
        <w:rPr>
          <w:szCs w:val="20"/>
        </w:rPr>
        <w:t>Les termes « rogue debtor » font contraste avec les termes « rogue creditor » parfois utilisés pour identifier les fonds spéculatifs.</w:t>
      </w:r>
    </w:p>
  </w:footnote>
  <w:footnote w:id="869">
    <w:p w14:paraId="41B4F542" w14:textId="25CA38FF"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Ainsi, à l’argument de l’iniquité du comportement des fonds spéculatifs de s’attaquer à des États faibles, Joshua Burress avance que </w:t>
      </w:r>
      <w:r w:rsidRPr="00E72418">
        <w:rPr>
          <w:rStyle w:val="SansinterligneCar"/>
          <w:szCs w:val="20"/>
          <w:lang w:val="en-US"/>
        </w:rPr>
        <w:t>« </w:t>
      </w:r>
      <w:r w:rsidRPr="00E72418">
        <w:rPr>
          <w:szCs w:val="20"/>
          <w:lang w:val="en-US"/>
        </w:rPr>
        <w:t>[j]</w:t>
      </w:r>
      <w:r w:rsidRPr="00E72418">
        <w:rPr>
          <w:rStyle w:val="SansinterligneCar"/>
          <w:szCs w:val="20"/>
          <w:lang w:val="en-US"/>
        </w:rPr>
        <w:t>ust as it is unfair for a vulture fund to prey on weak sovereign debtors, it is equally unfair for a sovereign debtor that has the means to pay its creditors to simply elect to default on its external debt for no reason other than to leverage better terms on its debt instruments » (</w:t>
      </w:r>
      <w:r w:rsidRPr="00E72418">
        <w:rPr>
          <w:rStyle w:val="SansinterligneCar"/>
          <w:smallCaps/>
          <w:szCs w:val="20"/>
          <w:lang w:val="en-US"/>
        </w:rPr>
        <w:t>J. Burress</w:t>
      </w:r>
      <w:r w:rsidRPr="00E72418">
        <w:rPr>
          <w:rStyle w:val="SansinterligneCar"/>
          <w:szCs w:val="20"/>
          <w:lang w:val="en-US"/>
        </w:rPr>
        <w:t xml:space="preserve">, « Sovereign Disobedience: The Role of U.S. Courts in Curtailing the Proliferation of Sovereign Default », </w:t>
      </w:r>
      <w:r w:rsidRPr="00E72418">
        <w:rPr>
          <w:rStyle w:val="SansinterligneCar"/>
          <w:i/>
          <w:szCs w:val="20"/>
          <w:lang w:val="en-US"/>
        </w:rPr>
        <w:t>op. cit.</w:t>
      </w:r>
      <w:r w:rsidRPr="00E72418">
        <w:rPr>
          <w:rStyle w:val="SansinterligneCar"/>
          <w:szCs w:val="20"/>
          <w:lang w:val="en-US"/>
        </w:rPr>
        <w:t xml:space="preserve">, p. 309). </w:t>
      </w:r>
      <w:r w:rsidRPr="00E72418">
        <w:rPr>
          <w:szCs w:val="20"/>
        </w:rPr>
        <w:t xml:space="preserve">Voyez </w:t>
      </w:r>
      <w:r w:rsidRPr="00E72418">
        <w:rPr>
          <w:i/>
          <w:szCs w:val="20"/>
        </w:rPr>
        <w:t>supra</w:t>
      </w:r>
      <w:r w:rsidRPr="00E72418">
        <w:rPr>
          <w:szCs w:val="20"/>
        </w:rPr>
        <w:t xml:space="preserve"> n° 56 la différence de situations selon que le défaut est lié à la capacité de paiement ou à la volonté de paiement.</w:t>
      </w:r>
    </w:p>
  </w:footnote>
  <w:footnote w:id="870">
    <w:p w14:paraId="5631AEDB" w14:textId="0B39D94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Le défaut de la République de l’</w:t>
      </w:r>
      <w:r w:rsidRPr="00E72418">
        <w:rPr>
          <w:szCs w:val="20"/>
          <w:lang w:eastAsia="fr-BE"/>
        </w:rPr>
        <w:t>É</w:t>
      </w:r>
      <w:r w:rsidRPr="00E72418">
        <w:rPr>
          <w:szCs w:val="20"/>
        </w:rPr>
        <w:t>quateur en 2008 est un défaut politique plus qu’un défaut financier (</w:t>
      </w:r>
      <w:r w:rsidRPr="00E72418">
        <w:rPr>
          <w:smallCaps/>
          <w:szCs w:val="20"/>
        </w:rPr>
        <w:t>R. Olivares-Caminal</w:t>
      </w:r>
      <w:r w:rsidRPr="00E72418">
        <w:rPr>
          <w:szCs w:val="20"/>
        </w:rPr>
        <w:t xml:space="preserve">, « Sovereign debt defaults: Paradigms and challenges », </w:t>
      </w:r>
      <w:r w:rsidRPr="00E72418">
        <w:rPr>
          <w:i/>
          <w:szCs w:val="20"/>
        </w:rPr>
        <w:t>op. cit.</w:t>
      </w:r>
      <w:r w:rsidRPr="00E72418">
        <w:rPr>
          <w:szCs w:val="20"/>
        </w:rPr>
        <w:t>, p. 92). Comme le relèvent Lee Buchheit et Mitu Gulati, remarquant que la motivation de ce défaut équatorien est à chercher dans des raisons politiques plus que dans une quelconque nécessité financière, « [i]t was the first time in modern history that a sovereign debtor had demanded that its external commercial creditors write off most of their claims (65%, as it turned out), without advancing a plausible argument that financial distress warranted such extraordinary debt relief » (L</w:t>
      </w:r>
      <w:r w:rsidRPr="00E72418">
        <w:rPr>
          <w:smallCaps/>
          <w:szCs w:val="20"/>
        </w:rPr>
        <w:t xml:space="preserve">. Buchheit </w:t>
      </w:r>
      <w:r w:rsidRPr="00E72418">
        <w:rPr>
          <w:szCs w:val="20"/>
        </w:rPr>
        <w:t xml:space="preserve">et M. </w:t>
      </w:r>
      <w:r w:rsidRPr="00E72418">
        <w:rPr>
          <w:smallCaps/>
          <w:szCs w:val="20"/>
        </w:rPr>
        <w:t>Gulati</w:t>
      </w:r>
      <w:r w:rsidRPr="00E72418">
        <w:rPr>
          <w:szCs w:val="20"/>
        </w:rPr>
        <w:t xml:space="preserve">, « The coroner’s inquest », </w:t>
      </w:r>
      <w:r w:rsidRPr="00E72418">
        <w:rPr>
          <w:rFonts w:ascii="Times New Roman" w:hAnsi="Times New Roman" w:cs="Times New Roman"/>
          <w:i/>
        </w:rPr>
        <w:t>Int. Fin. Law Rev.</w:t>
      </w:r>
      <w:r w:rsidRPr="00E72418">
        <w:rPr>
          <w:szCs w:val="20"/>
        </w:rPr>
        <w:t>, septembre 2009, p. 22).</w:t>
      </w:r>
    </w:p>
  </w:footnote>
  <w:footnote w:id="871">
    <w:p w14:paraId="4B0DE525" w14:textId="471F2802"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P. Power</w:t>
      </w:r>
      <w:r w:rsidRPr="00E72418">
        <w:rPr>
          <w:szCs w:val="20"/>
          <w:lang w:val="en-US"/>
        </w:rPr>
        <w:t xml:space="preserve">, « Sovereign debt: The rise of the secondary market and its implication for future restructurings », </w:t>
      </w:r>
      <w:r w:rsidRPr="00E72418">
        <w:rPr>
          <w:i/>
          <w:szCs w:val="20"/>
          <w:lang w:val="en-US"/>
        </w:rPr>
        <w:t>op. cit.</w:t>
      </w:r>
      <w:r w:rsidRPr="00E72418">
        <w:rPr>
          <w:szCs w:val="20"/>
          <w:lang w:val="en-US"/>
        </w:rPr>
        <w:t xml:space="preserve">, p. 2718. </w:t>
      </w:r>
      <w:r w:rsidRPr="00E72418">
        <w:rPr>
          <w:szCs w:val="20"/>
        </w:rPr>
        <w:t xml:space="preserve">Dans le cas de la République du Pérou, il a, à certains moments, été avancé que le pays rachetait lui-même sa dette à prix réduit (United States District Court for the Southern District of New York (EUA), 24 août 1995, </w:t>
      </w:r>
      <w:r w:rsidRPr="00E72418">
        <w:rPr>
          <w:i/>
          <w:szCs w:val="20"/>
        </w:rPr>
        <w:t>Pravin Banker Assocs. v. Banco Popular Del Peru</w:t>
      </w:r>
      <w:r w:rsidRPr="00E72418">
        <w:rPr>
          <w:szCs w:val="20"/>
        </w:rPr>
        <w:t>, 895 F. Supp. 660, p. 663).</w:t>
      </w:r>
    </w:p>
  </w:footnote>
  <w:footnote w:id="872">
    <w:p w14:paraId="6C4402F5" w14:textId="524188BE" w:rsidR="0030147D" w:rsidRPr="00E72418" w:rsidRDefault="0030147D" w:rsidP="00A11FBD">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Principes pour l’octroi de prêts et la souscription d’emprunts souverains responsables</w:t>
      </w:r>
      <w:r w:rsidRPr="00E72418">
        <w:rPr>
          <w:szCs w:val="20"/>
        </w:rPr>
        <w:t>, janvier 2012, quinzième principe.</w:t>
      </w:r>
    </w:p>
  </w:footnote>
  <w:footnote w:id="873">
    <w:p w14:paraId="567F1FC4" w14:textId="088F1A56" w:rsidR="0030147D" w:rsidRPr="00E72418" w:rsidRDefault="0030147D" w:rsidP="000B3D1D">
      <w:pPr>
        <w:pStyle w:val="Sansinterligne"/>
      </w:pPr>
      <w:r w:rsidRPr="00E72418">
        <w:rPr>
          <w:rStyle w:val="Appelnotedebasdep"/>
        </w:rPr>
        <w:footnoteRef/>
      </w:r>
      <w:r w:rsidRPr="00E72418">
        <w:t xml:space="preserve"> Assemblée générale des Nations Unies, </w:t>
      </w:r>
      <w:r w:rsidRPr="00E72418">
        <w:rPr>
          <w:i/>
        </w:rPr>
        <w:t>Principes fondamentaux des opérations de restructuration de la dette souveraine</w:t>
      </w:r>
      <w:r w:rsidRPr="00E72418">
        <w:t>, 10 septembre 2015, A/RES/69/319, pp. 1 et 2, deuxième principe.</w:t>
      </w:r>
    </w:p>
  </w:footnote>
  <w:footnote w:id="874">
    <w:p w14:paraId="6F1C9142" w14:textId="14ED9B0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Partant de l’idée que « [v]ultures have little incentive to chase a sovereign that is truly incapable of paying », Robert Kolb argumente qu’ « if the restructuring imposes a much more severe haircut than necessary, the abuse of the bondholders is more severe and the residual capacity of the sovereign to pay is larger. Not surprisingly, vulture investors are attracted to those situations in which the abuse is greatest and the sovereign’s remaining capacity to pay is highest » (</w:t>
      </w:r>
      <w:r w:rsidRPr="00E72418">
        <w:rPr>
          <w:smallCaps/>
          <w:szCs w:val="20"/>
          <w:lang w:val="en-US"/>
        </w:rPr>
        <w:t>R. Kolb</w:t>
      </w:r>
      <w:r w:rsidRPr="00E72418">
        <w:rPr>
          <w:szCs w:val="20"/>
          <w:lang w:val="en-US"/>
        </w:rPr>
        <w:t xml:space="preserve">, « The Virtue of Vultures: Distressed Debt Investors in the Sovereign Debt Market », </w:t>
      </w:r>
      <w:r w:rsidRPr="00E72418">
        <w:rPr>
          <w:i/>
          <w:szCs w:val="20"/>
          <w:lang w:val="en-US"/>
        </w:rPr>
        <w:t>op. cit.</w:t>
      </w:r>
      <w:r w:rsidRPr="00E72418">
        <w:rPr>
          <w:szCs w:val="20"/>
          <w:lang w:val="en-US"/>
        </w:rPr>
        <w:t>, pp. 402 et 403).</w:t>
      </w:r>
    </w:p>
  </w:footnote>
  <w:footnote w:id="875">
    <w:p w14:paraId="35FD827E" w14:textId="62FE434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T. Araya</w:t>
      </w:r>
      <w:r w:rsidRPr="00E72418">
        <w:rPr>
          <w:szCs w:val="20"/>
          <w:lang w:val="en-US"/>
        </w:rPr>
        <w:t xml:space="preserve">, « A Decade of Sovereign Debt Litigation: Lessons from the NML v Argentina Case and the Road Ahead », </w:t>
      </w:r>
      <w:r w:rsidRPr="00E72418">
        <w:rPr>
          <w:i/>
          <w:szCs w:val="20"/>
          <w:lang w:val="en-US"/>
        </w:rPr>
        <w:t>op. cit.</w:t>
      </w:r>
      <w:r w:rsidRPr="00E72418">
        <w:rPr>
          <w:szCs w:val="20"/>
          <w:lang w:val="en-US"/>
        </w:rPr>
        <w:t>, p. 99.</w:t>
      </w:r>
    </w:p>
  </w:footnote>
  <w:footnote w:id="876">
    <w:p w14:paraId="5983FCCE" w14:textId="3C2BC7EF"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Iversen</w:t>
      </w:r>
      <w:r w:rsidRPr="00E72418">
        <w:rPr>
          <w:szCs w:val="20"/>
          <w:lang w:val="en-US"/>
        </w:rPr>
        <w:t xml:space="preserve">, « Holdout Creditor Litigation </w:t>
      </w:r>
      <w:r w:rsidRPr="00E72418">
        <w:t>–</w:t>
      </w:r>
      <w:r w:rsidRPr="00E72418">
        <w:rPr>
          <w:b/>
        </w:rPr>
        <w:t xml:space="preserve"> </w:t>
      </w:r>
      <w:r w:rsidRPr="00E72418">
        <w:rPr>
          <w:szCs w:val="20"/>
          <w:lang w:val="en-US"/>
        </w:rPr>
        <w:t xml:space="preserve">An assessment of legislative initiatives to counter aggressive sovereign debt creditor litigators », </w:t>
      </w:r>
      <w:r w:rsidRPr="00E72418">
        <w:rPr>
          <w:i/>
          <w:szCs w:val="20"/>
          <w:lang w:val="en-US"/>
        </w:rPr>
        <w:t>op. cit.</w:t>
      </w:r>
      <w:r w:rsidRPr="00E72418">
        <w:rPr>
          <w:szCs w:val="20"/>
          <w:lang w:val="en-US"/>
        </w:rPr>
        <w:t>, p. 9.</w:t>
      </w:r>
    </w:p>
  </w:footnote>
  <w:footnote w:id="877">
    <w:p w14:paraId="084E04BB" w14:textId="38983EAE" w:rsidR="0030147D" w:rsidRPr="00E72418" w:rsidRDefault="0030147D" w:rsidP="0067312A">
      <w:pPr>
        <w:pStyle w:val="Sansinterligne"/>
      </w:pPr>
      <w:r w:rsidRPr="00E72418">
        <w:rPr>
          <w:rStyle w:val="Appelnotedebasdep"/>
        </w:rPr>
        <w:footnoteRef/>
      </w:r>
      <w:r w:rsidRPr="00E72418">
        <w:t xml:space="preserve"> L’on pourrait arguer que certains comportements étatiques critiquables sont peut-être engendrés par l’agressivité des spéculateurs laquelle peut conduire certains </w:t>
      </w:r>
      <w:r w:rsidRPr="00E72418">
        <w:rPr>
          <w:rFonts w:cs="Times New Roman"/>
          <w:szCs w:val="24"/>
        </w:rPr>
        <w:t>É</w:t>
      </w:r>
      <w:r w:rsidRPr="00E72418">
        <w:t xml:space="preserve">tats à simplement chercher à en protéger leurs avoirs (A. </w:t>
      </w:r>
      <w:r w:rsidRPr="00E72418">
        <w:rPr>
          <w:smallCaps/>
        </w:rPr>
        <w:t>Mahiou</w:t>
      </w:r>
      <w:r w:rsidRPr="00E72418">
        <w:t xml:space="preserve">, « De quelques chantiers juridiques africains » in E. </w:t>
      </w:r>
      <w:r w:rsidRPr="00E72418">
        <w:rPr>
          <w:smallCaps/>
        </w:rPr>
        <w:t>Balate</w:t>
      </w:r>
      <w:r w:rsidRPr="00E72418">
        <w:t xml:space="preserve"> et S. </w:t>
      </w:r>
      <w:r w:rsidRPr="00E72418">
        <w:rPr>
          <w:smallCaps/>
        </w:rPr>
        <w:t>Menetrey</w:t>
      </w:r>
      <w:r w:rsidRPr="00E72418">
        <w:t xml:space="preserve"> (dir.), </w:t>
      </w:r>
      <w:r w:rsidRPr="00E72418">
        <w:rPr>
          <w:i/>
        </w:rPr>
        <w:t>Questions de droit économique : les défis des États africains</w:t>
      </w:r>
      <w:r w:rsidRPr="00E72418">
        <w:t xml:space="preserve">, Larcier, 2011, p. 208). Sur l’agressivité des spéculateurs, voyez </w:t>
      </w:r>
      <w:r w:rsidRPr="00E72418">
        <w:rPr>
          <w:i/>
        </w:rPr>
        <w:t>supra</w:t>
      </w:r>
      <w:r w:rsidRPr="00E72418">
        <w:t xml:space="preserve"> n</w:t>
      </w:r>
      <w:r w:rsidRPr="00E72418">
        <w:rPr>
          <w:vertAlign w:val="superscript"/>
        </w:rPr>
        <w:t>os</w:t>
      </w:r>
      <w:r w:rsidRPr="00E72418">
        <w:t xml:space="preserve"> 136 et suiv.</w:t>
      </w:r>
    </w:p>
  </w:footnote>
  <w:footnote w:id="878">
    <w:p w14:paraId="37864D4B" w14:textId="0A6BCBED"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Porzecanski</w:t>
      </w:r>
      <w:r w:rsidRPr="00E72418">
        <w:rPr>
          <w:szCs w:val="20"/>
          <w:lang w:val="en-US"/>
        </w:rPr>
        <w:t>, « </w:t>
      </w:r>
      <w:r w:rsidRPr="00E72418">
        <w:rPr>
          <w:szCs w:val="20"/>
        </w:rPr>
        <w:t>From Rogue Creditors to Rogue Debtors: Implications of Argentina’s Default</w:t>
      </w:r>
      <w:r w:rsidRPr="00E72418">
        <w:rPr>
          <w:szCs w:val="20"/>
          <w:lang w:val="en-US"/>
        </w:rPr>
        <w:t xml:space="preserve"> », </w:t>
      </w:r>
      <w:r w:rsidRPr="00E72418">
        <w:rPr>
          <w:i/>
          <w:szCs w:val="20"/>
          <w:lang w:val="en-US"/>
        </w:rPr>
        <w:t>op. cit.</w:t>
      </w:r>
      <w:r w:rsidRPr="00E72418">
        <w:rPr>
          <w:szCs w:val="20"/>
          <w:lang w:val="en-US"/>
        </w:rPr>
        <w:t>, p. 331.</w:t>
      </w:r>
    </w:p>
  </w:footnote>
  <w:footnote w:id="879">
    <w:p w14:paraId="365003A6" w14:textId="63AD8813"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Relevant que « there may be a little incentive to negotiate a restructuring deal in a timely manner if the country has no immediate need for additional capital from the financial markets », Elizabeth Broomfield conclut que « [t]he threat of litigation may […], at least in some situations, be the most effective means to force the debtor countries to negotiate with creditors »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pp. 515 et 516).</w:t>
      </w:r>
    </w:p>
  </w:footnote>
  <w:footnote w:id="880">
    <w:p w14:paraId="36A8C322" w14:textId="54596647"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Comme Robert Cohen le souligne « [t]he threat of enforcing the terms of the contract, including the promise of equal treatment, gives private creditors some leverage against a sovereign state that is cocooned in immunity, supported or pressured by international organizations, and capable of engaging in strategic defaults or promoting one-sided exchange offers » (</w:t>
      </w:r>
      <w:r w:rsidRPr="00E72418">
        <w:rPr>
          <w:smallCaps/>
          <w:szCs w:val="20"/>
          <w:lang w:val="en-US"/>
        </w:rPr>
        <w:t>R. Cohen</w:t>
      </w:r>
      <w:r w:rsidRPr="00E72418">
        <w:rPr>
          <w:szCs w:val="20"/>
          <w:lang w:val="en-US"/>
        </w:rPr>
        <w:t xml:space="preserve">, </w:t>
      </w:r>
      <w:r w:rsidRPr="00E72418">
        <w:rPr>
          <w:rFonts w:cs="Times New Roman"/>
          <w:szCs w:val="24"/>
          <w:lang w:val="en-US"/>
        </w:rPr>
        <w:t xml:space="preserve">« “Sometimes a Cigar is Just a Cigar”: the Simple Story of </w:t>
      </w:r>
      <w:r w:rsidRPr="00E72418">
        <w:rPr>
          <w:rFonts w:cs="Times New Roman"/>
          <w:i/>
          <w:szCs w:val="24"/>
          <w:lang w:val="en-US"/>
        </w:rPr>
        <w:t>Pari Passu</w:t>
      </w:r>
      <w:r w:rsidRPr="00E72418">
        <w:rPr>
          <w:rFonts w:cs="Times New Roman"/>
          <w:szCs w:val="24"/>
          <w:lang w:val="en-US"/>
        </w:rPr>
        <w:t> »</w:t>
      </w:r>
      <w:r w:rsidRPr="00E72418">
        <w:rPr>
          <w:szCs w:val="20"/>
          <w:lang w:val="en-US"/>
        </w:rPr>
        <w:t xml:space="preserve">, </w:t>
      </w:r>
      <w:r w:rsidRPr="00E72418">
        <w:rPr>
          <w:i/>
          <w:szCs w:val="20"/>
          <w:lang w:val="en-US"/>
        </w:rPr>
        <w:t>Hofstra Law Rev.</w:t>
      </w:r>
      <w:r w:rsidRPr="00E72418">
        <w:rPr>
          <w:szCs w:val="20"/>
          <w:lang w:val="en-US"/>
        </w:rPr>
        <w:t>, 2011, p. 13).</w:t>
      </w:r>
    </w:p>
  </w:footnote>
  <w:footnote w:id="881">
    <w:p w14:paraId="0352C24D" w14:textId="7006B3F6" w:rsidR="0030147D" w:rsidRPr="00E72418" w:rsidRDefault="0030147D" w:rsidP="00F177C1">
      <w:pPr>
        <w:pStyle w:val="Sansinterligne"/>
        <w:rPr>
          <w:rFonts w:ascii="Times New Roman" w:hAnsi="Times New Roman" w:cs="Times New Roman"/>
          <w:szCs w:val="20"/>
        </w:rPr>
      </w:pPr>
      <w:r w:rsidRPr="00E72418">
        <w:rPr>
          <w:rStyle w:val="Titre5Car"/>
          <w:rFonts w:ascii="Times" w:eastAsiaTheme="minorHAnsi" w:hAnsi="Times" w:cstheme="minorBidi"/>
          <w:smallCaps/>
          <w:color w:val="auto"/>
          <w:vertAlign w:val="superscript"/>
        </w:rPr>
        <w:footnoteRef/>
      </w:r>
      <w:r w:rsidRPr="00E72418">
        <w:t xml:space="preserve"> Voyez Y. </w:t>
      </w:r>
      <w:r w:rsidRPr="00E72418">
        <w:rPr>
          <w:smallCaps/>
        </w:rPr>
        <w:t>Ding</w:t>
      </w:r>
      <w:r w:rsidRPr="00E72418">
        <w:t xml:space="preserve">, « Absolute, Restrictive, or Something More: Did Beijing Choose the Right Type of Sovereign Immunity for Hong Kong ? », </w:t>
      </w:r>
      <w:r w:rsidRPr="00E72418">
        <w:rPr>
          <w:rFonts w:ascii="Times New Roman" w:hAnsi="Times New Roman" w:cs="Times New Roman"/>
          <w:i/>
          <w:szCs w:val="20"/>
        </w:rPr>
        <w:t>Emory Int. Law Rev.</w:t>
      </w:r>
      <w:r w:rsidRPr="00E72418">
        <w:t xml:space="preserve">, 2012, p. 1034 visant les propos de Peter Grossman, le dirigeant de la société </w:t>
      </w:r>
      <w:r w:rsidRPr="00E72418">
        <w:rPr>
          <w:i/>
        </w:rPr>
        <w:t>FG Hemisphere Associates LLC</w:t>
      </w:r>
      <w:r w:rsidRPr="00E72418">
        <w:t xml:space="preserve"> qui combattit la République démocratique du Congo (voyez </w:t>
      </w:r>
      <w:r w:rsidRPr="00E72418">
        <w:rPr>
          <w:i/>
        </w:rPr>
        <w:t>supra</w:t>
      </w:r>
      <w:r w:rsidRPr="00E72418">
        <w:t xml:space="preserve"> n</w:t>
      </w:r>
      <w:r w:rsidRPr="00E72418">
        <w:rPr>
          <w:vertAlign w:val="superscript"/>
        </w:rPr>
        <w:t>os</w:t>
      </w:r>
      <w:r w:rsidRPr="00E72418">
        <w:t xml:space="preserve"> 107 et suiv.). L’on peut d’ailleurs noter le propos repris sur le site internet de la société selon lequel « </w:t>
      </w:r>
      <w:r w:rsidRPr="00E72418">
        <w:rPr>
          <w:szCs w:val="20"/>
          <w:lang w:val="en-US"/>
        </w:rPr>
        <w:t>[i]</w:t>
      </w:r>
      <w:r w:rsidRPr="00E72418">
        <w:t xml:space="preserve">n the course of its groundbreaking anti-corruption work, FG Hemisphere has worked closely with donor governments and multilateral institutions to expose these lost revenues and to recommend policies that will help ensure that the abundant natural resource wealth of these countries benefits all citizens » (voyez </w:t>
      </w:r>
      <w:hyperlink r:id="rId37" w:history="1">
        <w:r w:rsidRPr="00E72418">
          <w:rPr>
            <w:rStyle w:val="Lienhypertexte"/>
            <w:color w:val="auto"/>
            <w:u w:val="none"/>
          </w:rPr>
          <w:t>http://fgcap.net/index.html</w:t>
        </w:r>
      </w:hyperlink>
      <w:r w:rsidRPr="00E72418">
        <w:t xml:space="preserve"> (consultation le 17 octobre 2021)).</w:t>
      </w:r>
    </w:p>
  </w:footnote>
  <w:footnote w:id="882">
    <w:p w14:paraId="18F4BA60" w14:textId="6526B18F"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Voyez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574.</w:t>
      </w:r>
    </w:p>
  </w:footnote>
  <w:footnote w:id="883">
    <w:p w14:paraId="7F9EA367" w14:textId="0C3E6404"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xml:space="preserve">, p. 113. </w:t>
      </w:r>
      <w:r w:rsidRPr="00E72418">
        <w:rPr>
          <w:szCs w:val="20"/>
        </w:rPr>
        <w:t>Il est notamment fait état de dépenses excédant les trois cent mille dollars pour des séjours dans des hôtels de Manhattan en 2005. Il est également question de notes de frais de service en chambre de plus de vingt mille dollars couvrant des bouteilles de champagne. La situation interpelle d’autant plus qu’on relevait un produit intérieur brut par habitant de dix-sept cents dollars (</w:t>
      </w:r>
      <w:r w:rsidRPr="00E72418">
        <w:rPr>
          <w:smallCaps/>
          <w:szCs w:val="20"/>
        </w:rPr>
        <w:t>D. Bosco</w:t>
      </w:r>
      <w:r w:rsidRPr="00E72418">
        <w:rPr>
          <w:szCs w:val="20"/>
        </w:rPr>
        <w:t xml:space="preserve">, « The Debt Frenzy », </w:t>
      </w:r>
      <w:r w:rsidRPr="00E72418">
        <w:rPr>
          <w:i/>
          <w:szCs w:val="20"/>
        </w:rPr>
        <w:t>op. cit.</w:t>
      </w:r>
      <w:r w:rsidRPr="00E72418">
        <w:rPr>
          <w:szCs w:val="20"/>
        </w:rPr>
        <w:t>, p. 36).</w:t>
      </w:r>
    </w:p>
  </w:footnote>
  <w:footnote w:id="884">
    <w:p w14:paraId="03EFB5E9" w14:textId="51473B3C" w:rsidR="0030147D" w:rsidRPr="00E72418" w:rsidRDefault="0030147D" w:rsidP="00B45C7B">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xml:space="preserve">, p. 517. </w:t>
      </w:r>
      <w:r w:rsidRPr="00E72418">
        <w:t xml:space="preserve">Voyez, par exemple, United States District Court for the Southern District of New York (EUA), 31 mars 2006, </w:t>
      </w:r>
      <w:r w:rsidRPr="00E72418">
        <w:rPr>
          <w:i/>
        </w:rPr>
        <w:t>Kensington Intern. Ltd. v. Société Nationale Des Pétroles Du Congo</w:t>
      </w:r>
      <w:r w:rsidRPr="00E72418">
        <w:t xml:space="preserve">, 2006 WL 846351 : « Kensington International Limited […] brings this action against Société Nationale Des Pétroles Du Congo, Bruno Jean-Richard Itoua, BNP Parnibas S.A. […] alleging a conspiracy to misappropriate the resources, including oil, of the Republic of Congo […] for the private use of allegedly corrupt public officials and to facilitate and conceal that misappropriation, all at the expense of the Congolese people and of legitimate creditors like Kensington ». Voyez également High Court of Justice (RU), Queen’s Bench Division, Commercial Court, 28 novembre 2005, </w:t>
      </w:r>
      <w:r w:rsidRPr="00E72418">
        <w:rPr>
          <w:i/>
        </w:rPr>
        <w:t>Kensington International Ltd. v. Republic of the Congo</w:t>
      </w:r>
      <w:r w:rsidRPr="00E72418">
        <w:t xml:space="preserve">, [2005] EWHC 2684 (Comm) où le juge, après avoir notamment indiqué que </w:t>
      </w:r>
      <w:bookmarkStart w:id="188" w:name="para24"/>
      <w:r w:rsidRPr="00E72418">
        <w:t>« Kensington was straightforward in saying that this action was a fraud case which concerned a scheme by which the Congo dishonestly sought to defraud its creditors</w:t>
      </w:r>
      <w:bookmarkEnd w:id="188"/>
      <w:r w:rsidRPr="00E72418">
        <w:t xml:space="preserve"> », retint qu’ « </w:t>
      </w:r>
      <w:bookmarkStart w:id="189" w:name="para26"/>
      <w:r w:rsidRPr="00E72418">
        <w:t>[a]s appears from this judgment, for the most part, Kensington made those points good</w:t>
      </w:r>
      <w:bookmarkEnd w:id="189"/>
      <w:r w:rsidRPr="00E72418">
        <w:t xml:space="preserve"> ».</w:t>
      </w:r>
    </w:p>
  </w:footnote>
  <w:footnote w:id="885">
    <w:p w14:paraId="1E225921" w14:textId="1BFE058D" w:rsidR="0030147D" w:rsidRPr="00E72418" w:rsidRDefault="0030147D" w:rsidP="00B45C7B">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xml:space="preserve">, p. 517. Quoique le contentieux visait spécifiquement des montants dus par la banque de Zambie, outre l’argument de la surveillance des fonds spéculatifs qui peut en être tiré, il éclaire la question de la défense de la </w:t>
      </w:r>
      <w:r w:rsidRPr="00E72418">
        <w:rPr>
          <w:i/>
          <w:szCs w:val="20"/>
          <w:lang w:val="en-US"/>
        </w:rPr>
        <w:t>champerty</w:t>
      </w:r>
      <w:r w:rsidRPr="00E72418">
        <w:rPr>
          <w:szCs w:val="20"/>
          <w:lang w:val="en-US"/>
        </w:rPr>
        <w:t xml:space="preserve"> avancée parfois en faveur des </w:t>
      </w:r>
      <w:r w:rsidRPr="00E72418">
        <w:rPr>
          <w:szCs w:val="20"/>
        </w:rPr>
        <w:t>É</w:t>
      </w:r>
      <w:r w:rsidRPr="00E72418">
        <w:rPr>
          <w:szCs w:val="20"/>
          <w:lang w:val="en-US"/>
        </w:rPr>
        <w:t xml:space="preserve">tats débiteurs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243 et suiv.).</w:t>
      </w:r>
    </w:p>
  </w:footnote>
  <w:footnote w:id="886">
    <w:p w14:paraId="26C20448" w14:textId="25F34AF4"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color w:val="auto"/>
          <w:szCs w:val="20"/>
          <w:lang w:val="en-US"/>
        </w:rPr>
        <w:t>J</w:t>
      </w:r>
      <w:r w:rsidRPr="00E72418">
        <w:rPr>
          <w:rStyle w:val="Titre5Car"/>
          <w:rFonts w:ascii="Times" w:eastAsiaTheme="minorHAnsi" w:hAnsi="Times" w:cstheme="minorBidi"/>
          <w:smallCaps/>
          <w:color w:val="auto"/>
          <w:szCs w:val="20"/>
          <w:lang w:val="en-US"/>
        </w:rPr>
        <w:t>.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1684.</w:t>
      </w:r>
    </w:p>
  </w:footnote>
  <w:footnote w:id="887">
    <w:p w14:paraId="7C2B07F5" w14:textId="58FFA285"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 2.</w:t>
      </w:r>
    </w:p>
  </w:footnote>
  <w:footnote w:id="888">
    <w:p w14:paraId="19DD3EFD" w14:textId="5C28336A"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John Muse-Fisher l’indique, « other stakeholders in the international community are similarly incentivized to seek such transparency »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1685)</w:t>
      </w:r>
      <w:r w:rsidRPr="00E72418">
        <w:rPr>
          <w:szCs w:val="20"/>
          <w:lang w:val="en-US"/>
        </w:rPr>
        <w:t>.</w:t>
      </w:r>
    </w:p>
  </w:footnote>
  <w:footnote w:id="889">
    <w:p w14:paraId="57C6227C" w14:textId="36DEAE9B"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w:t>
      </w:r>
      <w:r w:rsidRPr="00E72418">
        <w:rPr>
          <w:smallCaps/>
          <w:szCs w:val="20"/>
        </w:rPr>
        <w:t>F. Giansetto</w:t>
      </w:r>
      <w:r w:rsidRPr="00E72418">
        <w:rPr>
          <w:szCs w:val="20"/>
        </w:rPr>
        <w:t xml:space="preserve">, « Les fonds dits “vautours” et la dette souveraine – Un nouvel enjeu de la régulation financière », </w:t>
      </w:r>
      <w:r w:rsidRPr="00E72418">
        <w:rPr>
          <w:i/>
          <w:szCs w:val="20"/>
        </w:rPr>
        <w:t>C.D.E.</w:t>
      </w:r>
      <w:r w:rsidRPr="00E72418">
        <w:rPr>
          <w:szCs w:val="20"/>
        </w:rPr>
        <w:t>, 2012, p. 50.</w:t>
      </w:r>
    </w:p>
  </w:footnote>
  <w:footnote w:id="890">
    <w:p w14:paraId="6725E030" w14:textId="7777777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6.</w:t>
      </w:r>
    </w:p>
  </w:footnote>
  <w:footnote w:id="891">
    <w:p w14:paraId="331675EB" w14:textId="19E3B89D" w:rsidR="0030147D" w:rsidRPr="00E72418" w:rsidRDefault="0030147D" w:rsidP="00B45C7B">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xml:space="preserve">, p. 8. </w:t>
      </w:r>
      <w:r w:rsidRPr="00E72418">
        <w:rPr>
          <w:szCs w:val="20"/>
        </w:rPr>
        <w:t xml:space="preserve">Sur l’affaire argentine, voyez </w:t>
      </w:r>
      <w:r w:rsidRPr="00E72418">
        <w:rPr>
          <w:i/>
          <w:szCs w:val="20"/>
        </w:rPr>
        <w:t xml:space="preserve">supra </w:t>
      </w:r>
      <w:r w:rsidRPr="00E72418">
        <w:rPr>
          <w:szCs w:val="20"/>
        </w:rPr>
        <w:t>n</w:t>
      </w:r>
      <w:r w:rsidRPr="00E72418">
        <w:rPr>
          <w:szCs w:val="20"/>
          <w:vertAlign w:val="superscript"/>
        </w:rPr>
        <w:t>os</w:t>
      </w:r>
      <w:r w:rsidRPr="00E72418">
        <w:rPr>
          <w:szCs w:val="20"/>
        </w:rPr>
        <w:t xml:space="preserve"> 85 et suiv.</w:t>
      </w:r>
    </w:p>
  </w:footnote>
  <w:footnote w:id="892">
    <w:p w14:paraId="7FB68219" w14:textId="28923B38" w:rsidR="0030147D" w:rsidRPr="00E72418" w:rsidRDefault="0030147D" w:rsidP="00B45C7B">
      <w:pPr>
        <w:pStyle w:val="Sansinterligne"/>
        <w:rPr>
          <w:szCs w:val="20"/>
          <w:lang w:val="en-US"/>
        </w:rPr>
      </w:pPr>
      <w:r w:rsidRPr="00E72418">
        <w:rPr>
          <w:rStyle w:val="Appelnotedebasdep"/>
          <w:szCs w:val="20"/>
        </w:rPr>
        <w:footnoteRef/>
      </w:r>
      <w:r w:rsidRPr="00E72418">
        <w:rPr>
          <w:szCs w:val="20"/>
        </w:rPr>
        <w:t xml:space="preserve"> Certains auteurs prennent toutefois le parti de tirer une conclusion ferme de la mise en balance des arguments. </w:t>
      </w:r>
      <w:r w:rsidRPr="00E72418">
        <w:rPr>
          <w:szCs w:val="20"/>
          <w:lang w:val="en-US"/>
        </w:rPr>
        <w:t>Voyez notamment John Muse-Fisher qui indique que « [t]he importance of assuring that a sovereign can restructure in the face of default […] ought to outweigh the lesser possibility of “strategic defaults” » et que « sovereign vulture funds create problems that outweigh their spurious benefits » (</w:t>
      </w:r>
      <w:r w:rsidRPr="00E72418">
        <w:rPr>
          <w:rStyle w:val="Titre5Car"/>
          <w:rFonts w:ascii="Times" w:eastAsiaTheme="minorHAnsi" w:hAnsi="Times" w:cstheme="minorBidi"/>
          <w:color w:val="auto"/>
          <w:szCs w:val="20"/>
          <w:lang w:val="en-US"/>
        </w:rPr>
        <w:t xml:space="preserve">J. </w:t>
      </w:r>
      <w:r w:rsidRPr="00E72418">
        <w:rPr>
          <w:rStyle w:val="Titre5Car"/>
          <w:rFonts w:ascii="Times" w:eastAsiaTheme="minorHAnsi" w:hAnsi="Times" w:cstheme="minorBidi"/>
          <w:smallCaps/>
          <w:color w:val="auto"/>
          <w:szCs w:val="20"/>
          <w:lang w:val="en-US"/>
        </w:rPr>
        <w:t>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pp. 1686 et 1716).</w:t>
      </w:r>
    </w:p>
  </w:footnote>
  <w:footnote w:id="893">
    <w:p w14:paraId="17A9EF19" w14:textId="5A80084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Responsible Sovereign Lending and Borrowing », </w:t>
      </w:r>
      <w:r w:rsidRPr="00E72418">
        <w:rPr>
          <w:i/>
          <w:szCs w:val="20"/>
          <w:lang w:val="en-US"/>
        </w:rPr>
        <w:t>op. cit.</w:t>
      </w:r>
      <w:r w:rsidRPr="00E72418">
        <w:rPr>
          <w:szCs w:val="20"/>
          <w:lang w:val="en-US"/>
        </w:rPr>
        <w:t>, p. 67.</w:t>
      </w:r>
    </w:p>
  </w:footnote>
  <w:footnote w:id="894">
    <w:p w14:paraId="6D4648DA" w14:textId="7AA6CC8E"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895">
    <w:p w14:paraId="3C65CAEE" w14:textId="66EB18C9" w:rsidR="0030147D" w:rsidRPr="00E72418" w:rsidRDefault="0030147D" w:rsidP="00B45C7B">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896">
    <w:p w14:paraId="2FAB05B9" w14:textId="102BD6B6" w:rsidR="0030147D" w:rsidRPr="00E72418" w:rsidRDefault="0030147D" w:rsidP="00E44F96">
      <w:pPr>
        <w:pStyle w:val="Sansinterligne"/>
      </w:pPr>
      <w:r w:rsidRPr="00E72418">
        <w:rPr>
          <w:rStyle w:val="Appelnotedebasdep"/>
        </w:rPr>
        <w:footnoteRef/>
      </w:r>
      <w:r w:rsidRPr="00E72418">
        <w:t xml:space="preserve"> Nous ne sommes pas les seuls à affirmer l’inadéquation de l’expression, Patrick Wautelet indiquant que « there is not much to be gained by earmarking creditors as </w:t>
      </w:r>
      <w:r w:rsidRPr="00E72418">
        <w:rPr>
          <w:szCs w:val="20"/>
          <w:lang w:val="en-US"/>
        </w:rPr>
        <w:t>“</w:t>
      </w:r>
      <w:r w:rsidRPr="00E72418">
        <w:rPr>
          <w:lang w:val="en-US"/>
        </w:rPr>
        <w:t>vulture funds</w:t>
      </w:r>
      <w:r w:rsidRPr="00E72418">
        <w:rPr>
          <w:szCs w:val="20"/>
          <w:lang w:val="en-US"/>
        </w:rPr>
        <w:t>” </w:t>
      </w:r>
      <w:r w:rsidRPr="00E72418">
        <w:t>» (</w:t>
      </w:r>
      <w:r w:rsidRPr="00E72418">
        <w:rPr>
          <w:rFonts w:cs="Times New Roman"/>
          <w:szCs w:val="24"/>
          <w:lang w:val="en-US"/>
        </w:rPr>
        <w:t xml:space="preserve">P. </w:t>
      </w:r>
      <w:r w:rsidRPr="00E72418">
        <w:rPr>
          <w:rFonts w:cs="Times New Roman"/>
          <w:smallCaps/>
          <w:szCs w:val="24"/>
          <w:lang w:val="en-US"/>
        </w:rPr>
        <w:t>Wautelet</w:t>
      </w:r>
      <w:r w:rsidRPr="00E72418">
        <w:rPr>
          <w:rFonts w:cs="Times New Roman"/>
          <w:szCs w:val="24"/>
          <w:lang w:val="en-US"/>
        </w:rPr>
        <w:t xml:space="preserve">, </w:t>
      </w:r>
      <w:r w:rsidRPr="00E72418">
        <w:rPr>
          <w:rFonts w:ascii="Times New Roman" w:hAnsi="Times New Roman" w:cs="Times New Roman"/>
          <w:szCs w:val="24"/>
        </w:rPr>
        <w:t xml:space="preserve">« The Greek debt restructuring and property rights – A Greek tragedy for investors? », </w:t>
      </w:r>
      <w:r w:rsidRPr="00E72418">
        <w:rPr>
          <w:rFonts w:ascii="Times New Roman" w:hAnsi="Times New Roman" w:cs="Times New Roman"/>
          <w:i/>
          <w:szCs w:val="24"/>
        </w:rPr>
        <w:t>op. cit.</w:t>
      </w:r>
      <w:r w:rsidRPr="00E72418">
        <w:rPr>
          <w:rFonts w:ascii="Times New Roman" w:hAnsi="Times New Roman" w:cs="Times New Roman"/>
          <w:szCs w:val="24"/>
        </w:rPr>
        <w:t>, p. 905</w:t>
      </w:r>
      <w:r w:rsidRPr="00E72418">
        <w:t>).</w:t>
      </w:r>
    </w:p>
  </w:footnote>
  <w:footnote w:id="897">
    <w:p w14:paraId="2826F07E" w14:textId="64551259"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Sonya Scott </w:t>
      </w:r>
      <w:r w:rsidR="00824C07">
        <w:rPr>
          <w:szCs w:val="20"/>
        </w:rPr>
        <w:t>a étudié</w:t>
      </w:r>
      <w:r w:rsidRPr="00E72418">
        <w:rPr>
          <w:szCs w:val="20"/>
        </w:rPr>
        <w:t xml:space="preserve"> l’importance de la sémantique dans le conflit ayant opposé la société </w:t>
      </w:r>
      <w:r w:rsidRPr="00E72418">
        <w:rPr>
          <w:i/>
          <w:szCs w:val="20"/>
        </w:rPr>
        <w:t>NML Capital Ltd</w:t>
      </w:r>
      <w:r w:rsidRPr="00E72418">
        <w:rPr>
          <w:szCs w:val="20"/>
        </w:rPr>
        <w:t xml:space="preserve">. à la République argentine et notamment les arguments moraux que cherchait à en tirer l’État débiteur. L’auteure </w:t>
      </w:r>
      <w:r w:rsidR="00824C07">
        <w:rPr>
          <w:szCs w:val="20"/>
        </w:rPr>
        <w:t>a</w:t>
      </w:r>
      <w:r w:rsidRPr="00E72418">
        <w:rPr>
          <w:szCs w:val="20"/>
        </w:rPr>
        <w:t xml:space="preserve"> ainsi notamment </w:t>
      </w:r>
      <w:r w:rsidR="00824C07">
        <w:rPr>
          <w:szCs w:val="20"/>
        </w:rPr>
        <w:t xml:space="preserve">remarqué </w:t>
      </w:r>
      <w:r w:rsidRPr="00E72418">
        <w:rPr>
          <w:szCs w:val="20"/>
        </w:rPr>
        <w:t>que la société n’était pas présentée comme un créancier récalcitrant mais bien comme un fonds vautour. L’Argentine se servait de cette différence d’appellation pour démontrer que ni le créancier qu’était la société, ni la relation contractuelle qu’elle poursuivait n’étaient normaux (</w:t>
      </w:r>
      <w:r w:rsidRPr="00E72418">
        <w:rPr>
          <w:smallCaps/>
          <w:szCs w:val="20"/>
        </w:rPr>
        <w:t>S. Scott</w:t>
      </w:r>
      <w:r w:rsidRPr="00E72418">
        <w:rPr>
          <w:szCs w:val="20"/>
        </w:rPr>
        <w:t xml:space="preserve">, « Vultures, debt and desire: the vulture metaphor and Argentina’s sovereign debt crisis », </w:t>
      </w:r>
      <w:r w:rsidRPr="00E72418">
        <w:rPr>
          <w:i/>
          <w:szCs w:val="20"/>
          <w:lang w:val="en-US"/>
        </w:rPr>
        <w:t>op. cit.</w:t>
      </w:r>
      <w:r w:rsidRPr="00E72418">
        <w:rPr>
          <w:szCs w:val="20"/>
        </w:rPr>
        <w:t>, pp. 11 et 12).</w:t>
      </w:r>
    </w:p>
  </w:footnote>
  <w:footnote w:id="898">
    <w:p w14:paraId="78E4D80E" w14:textId="705D9A2F"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 73.</w:t>
      </w:r>
    </w:p>
  </w:footnote>
  <w:footnote w:id="899">
    <w:p w14:paraId="7E417975" w14:textId="6B687697" w:rsidR="0030147D" w:rsidRPr="00E72418" w:rsidRDefault="0030147D" w:rsidP="00B45C7B">
      <w:pPr>
        <w:pStyle w:val="Sansinterligne"/>
        <w:rPr>
          <w:szCs w:val="20"/>
        </w:rPr>
      </w:pPr>
      <w:r w:rsidRPr="00E72418">
        <w:rPr>
          <w:rStyle w:val="Appelnotedebasdep"/>
          <w:szCs w:val="20"/>
        </w:rPr>
        <w:footnoteRef/>
      </w:r>
      <w:r w:rsidRPr="00E72418">
        <w:rPr>
          <w:szCs w:val="20"/>
        </w:rPr>
        <w:t xml:space="preserve"> Voyez notamment, </w:t>
      </w:r>
      <w:r w:rsidRPr="00E72418">
        <w:rPr>
          <w:smallCaps/>
          <w:szCs w:val="20"/>
        </w:rPr>
        <w:t>C. Boccuzzi, M. Brennan</w:t>
      </w:r>
      <w:r w:rsidRPr="00E72418">
        <w:rPr>
          <w:szCs w:val="20"/>
        </w:rPr>
        <w:t xml:space="preserve"> et </w:t>
      </w:r>
      <w:r w:rsidRPr="00E72418">
        <w:rPr>
          <w:smallCaps/>
          <w:szCs w:val="20"/>
        </w:rPr>
        <w:t>J. Johnston</w:t>
      </w:r>
      <w:r w:rsidRPr="00E72418">
        <w:rPr>
          <w:szCs w:val="20"/>
        </w:rPr>
        <w:t xml:space="preserve">, « Defences », </w:t>
      </w:r>
      <w:r w:rsidRPr="00E72418">
        <w:rPr>
          <w:i/>
          <w:szCs w:val="20"/>
        </w:rPr>
        <w:t>op. cit.</w:t>
      </w:r>
      <w:r w:rsidRPr="00E72418">
        <w:rPr>
          <w:szCs w:val="20"/>
        </w:rPr>
        <w:t>, p. 104.</w:t>
      </w:r>
    </w:p>
  </w:footnote>
  <w:footnote w:id="900">
    <w:p w14:paraId="0BF38E38" w14:textId="65E143C1" w:rsidR="0030147D" w:rsidRPr="00E72418" w:rsidRDefault="0030147D" w:rsidP="005B5D0A">
      <w:pPr>
        <w:pStyle w:val="Sansinterligne"/>
        <w:rPr>
          <w:szCs w:val="20"/>
        </w:rPr>
      </w:pPr>
      <w:r w:rsidRPr="00E72418">
        <w:rPr>
          <w:rStyle w:val="Appelnotedebasdep"/>
          <w:szCs w:val="20"/>
        </w:rPr>
        <w:footnoteRef/>
      </w:r>
      <w:r w:rsidRPr="00E72418">
        <w:rPr>
          <w:szCs w:val="20"/>
        </w:rPr>
        <w:t xml:space="preserve"> On aurait pu également envisager de retenir l’expression « fonds de créances sinistrées » parfois utilisée par les fonds eux-mêmes mais celle-ci ne comporte pas la référence à la spéculation caractéristique et indissociable de leurs activités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rPr>
          <w:szCs w:val="20"/>
        </w:rPr>
        <w:t>, p. 5).</w:t>
      </w:r>
    </w:p>
  </w:footnote>
  <w:footnote w:id="901">
    <w:p w14:paraId="3C5498B1" w14:textId="124B9F64" w:rsidR="0030147D" w:rsidRPr="00E72418" w:rsidRDefault="0030147D" w:rsidP="00B45C7B">
      <w:pPr>
        <w:pStyle w:val="Sansinterligne"/>
        <w:rPr>
          <w:szCs w:val="20"/>
          <w:highlight w:val="magenta"/>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pp. 152 et 153.</w:t>
      </w:r>
    </w:p>
  </w:footnote>
  <w:footnote w:id="902">
    <w:p w14:paraId="21606546" w14:textId="2FF19FDD" w:rsidR="0030147D" w:rsidRPr="00E72418" w:rsidRDefault="0030147D" w:rsidP="005B5D0A">
      <w:pPr>
        <w:pStyle w:val="Sansinterligne"/>
      </w:pPr>
      <w:r w:rsidRPr="00E72418">
        <w:rPr>
          <w:rStyle w:val="Appelnotedebasdep"/>
        </w:rPr>
        <w:footnoteRef/>
      </w:r>
      <w:r w:rsidRPr="00E72418">
        <w:t xml:space="preserve"> Voyez </w:t>
      </w:r>
      <w:r w:rsidRPr="00E72418">
        <w:rPr>
          <w:i/>
        </w:rPr>
        <w:t>infra</w:t>
      </w:r>
      <w:r w:rsidRPr="00E72418">
        <w:t xml:space="preserve"> n</w:t>
      </w:r>
      <w:r w:rsidRPr="00E72418">
        <w:rPr>
          <w:vertAlign w:val="superscript"/>
        </w:rPr>
        <w:t>os</w:t>
      </w:r>
      <w:r>
        <w:t xml:space="preserve"> 421</w:t>
      </w:r>
      <w:r w:rsidRPr="00E72418">
        <w:t xml:space="preserve"> et suiv.</w:t>
      </w:r>
    </w:p>
  </w:footnote>
  <w:footnote w:id="903">
    <w:p w14:paraId="14728B54" w14:textId="0066649F" w:rsidR="0030147D" w:rsidRPr="00E72418" w:rsidRDefault="0030147D" w:rsidP="0023480F">
      <w:pPr>
        <w:pStyle w:val="Sansinterligne"/>
        <w:rPr>
          <w:szCs w:val="20"/>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p. 753.</w:t>
      </w:r>
    </w:p>
  </w:footnote>
  <w:footnote w:id="904">
    <w:p w14:paraId="07D296A4" w14:textId="0E845351" w:rsidR="0030147D" w:rsidRPr="00E72418" w:rsidRDefault="0030147D" w:rsidP="00BD3321">
      <w:pPr>
        <w:pStyle w:val="Sansinterligne"/>
      </w:pPr>
      <w:r w:rsidRPr="00E72418">
        <w:rPr>
          <w:rStyle w:val="Appelnotedebasdep"/>
        </w:rPr>
        <w:footnoteRef/>
      </w:r>
      <w:r w:rsidRPr="00E72418">
        <w:t xml:space="preserve"> La liste des arguments mobilisables n’est évidemment pas exhaustive. Il pourrait ainsi en être d’autres qui nous paraissent toutefois sortir du cadre de notre recherche comme par exemple celui de la prescription. Sur ce</w:t>
      </w:r>
      <w:r w:rsidR="00824C07">
        <w:t>t argument</w:t>
      </w:r>
      <w:r w:rsidRPr="00E72418">
        <w:t xml:space="preserve">,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186 à 193.</w:t>
      </w:r>
    </w:p>
  </w:footnote>
  <w:footnote w:id="905">
    <w:p w14:paraId="3D0002C4" w14:textId="09999101" w:rsidR="0030147D" w:rsidRPr="00E72418" w:rsidRDefault="0030147D" w:rsidP="006D5FCE">
      <w:pPr>
        <w:pStyle w:val="Sansinterligne"/>
        <w:rPr>
          <w:rFonts w:ascii="Times New Roman" w:hAnsi="Times New Roman" w:cs="Times New Roman"/>
          <w:szCs w:val="20"/>
          <w:shd w:val="clear" w:color="auto" w:fill="FFFFFF"/>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F. </w:t>
      </w:r>
      <w:r w:rsidRPr="00E72418">
        <w:rPr>
          <w:rFonts w:ascii="Times New Roman" w:hAnsi="Times New Roman" w:cs="Times New Roman"/>
          <w:smallCaps/>
          <w:szCs w:val="20"/>
          <w:shd w:val="clear" w:color="auto" w:fill="FFFFFF"/>
        </w:rPr>
        <w:t>Giansetto</w:t>
      </w:r>
      <w:r w:rsidRPr="00E72418">
        <w:rPr>
          <w:rFonts w:ascii="Times New Roman" w:hAnsi="Times New Roman" w:cs="Times New Roman"/>
          <w:szCs w:val="20"/>
          <w:shd w:val="clear" w:color="auto" w:fill="FFFFFF"/>
        </w:rPr>
        <w:t xml:space="preserve">, </w:t>
      </w:r>
      <w:r w:rsidRPr="00E72418">
        <w:rPr>
          <w:rFonts w:ascii="Times New Roman" w:hAnsi="Times New Roman" w:cs="Times New Roman"/>
          <w:i/>
          <w:szCs w:val="20"/>
          <w:shd w:val="clear" w:color="auto" w:fill="FFFFFF"/>
        </w:rPr>
        <w:t>Le traitement juridictionnel de l’insolvabilité de l’</w:t>
      </w:r>
      <w:r w:rsidRPr="00E72418">
        <w:rPr>
          <w:i/>
          <w:lang w:eastAsia="fr-BE"/>
        </w:rPr>
        <w:t>É</w:t>
      </w:r>
      <w:r w:rsidRPr="00E72418">
        <w:rPr>
          <w:rFonts w:ascii="Times New Roman" w:hAnsi="Times New Roman" w:cs="Times New Roman"/>
          <w:i/>
          <w:szCs w:val="20"/>
          <w:shd w:val="clear" w:color="auto" w:fill="FFFFFF"/>
        </w:rPr>
        <w:t>tat</w:t>
      </w:r>
      <w:r w:rsidRPr="00E72418">
        <w:rPr>
          <w:rFonts w:ascii="Times New Roman" w:hAnsi="Times New Roman" w:cs="Times New Roman"/>
          <w:szCs w:val="20"/>
          <w:shd w:val="clear" w:color="auto" w:fill="FFFFFF"/>
        </w:rPr>
        <w:t xml:space="preserve">, </w:t>
      </w:r>
      <w:r w:rsidRPr="00E72418">
        <w:rPr>
          <w:rFonts w:cs="Times New Roman"/>
          <w:i/>
          <w:szCs w:val="24"/>
          <w:shd w:val="clear" w:color="auto" w:fill="FFFFFF"/>
        </w:rPr>
        <w:t>op. cit.</w:t>
      </w:r>
      <w:r w:rsidRPr="00E72418">
        <w:rPr>
          <w:rFonts w:ascii="Times New Roman" w:hAnsi="Times New Roman" w:cs="Times New Roman"/>
          <w:szCs w:val="20"/>
          <w:shd w:val="clear" w:color="auto" w:fill="FFFFFF"/>
        </w:rPr>
        <w:t>, p. 27. Dans sa thèse, l’auteure analyse les solutions que pourrait éventuellement offrir le recours aux actions collectives et en tire une conclusion d’insatisfaction (</w:t>
      </w:r>
      <w:r w:rsidRPr="00E72418">
        <w:rPr>
          <w:rFonts w:ascii="Times New Roman" w:hAnsi="Times New Roman" w:cs="Times New Roman"/>
          <w:i/>
          <w:szCs w:val="20"/>
          <w:lang w:val="en-US"/>
        </w:rPr>
        <w:t>ibid</w:t>
      </w:r>
      <w:r w:rsidRPr="00E72418">
        <w:rPr>
          <w:rFonts w:ascii="Times New Roman" w:hAnsi="Times New Roman" w:cs="Times New Roman"/>
          <w:szCs w:val="20"/>
          <w:lang w:val="en-US"/>
        </w:rPr>
        <w:t xml:space="preserve">, pp. 104 à 125). Une déclinaison concrète de cette insatisfaction est à trouver dans le contentieux argentin. Par une première décision du 12 mai 2003, la </w:t>
      </w:r>
      <w:r w:rsidRPr="00735BBE">
        <w:rPr>
          <w:rFonts w:ascii="Times New Roman" w:hAnsi="Times New Roman" w:cs="Times New Roman"/>
          <w:szCs w:val="20"/>
          <w:lang w:val="en-US"/>
        </w:rPr>
        <w:t xml:space="preserve">United States District Court for the Southern District of New York </w:t>
      </w:r>
      <w:r w:rsidRPr="00E72418">
        <w:rPr>
          <w:rFonts w:ascii="Times New Roman" w:hAnsi="Times New Roman" w:cs="Times New Roman"/>
          <w:szCs w:val="20"/>
          <w:lang w:val="en-US"/>
        </w:rPr>
        <w:t xml:space="preserve">refusa de certifier une </w:t>
      </w:r>
      <w:r w:rsidRPr="00E72418">
        <w:rPr>
          <w:rFonts w:ascii="Times New Roman" w:hAnsi="Times New Roman" w:cs="Times New Roman"/>
          <w:i/>
          <w:szCs w:val="20"/>
          <w:lang w:val="en-US"/>
        </w:rPr>
        <w:t xml:space="preserve">class action </w:t>
      </w:r>
      <w:r w:rsidRPr="00E72418">
        <w:rPr>
          <w:rFonts w:ascii="Times New Roman" w:hAnsi="Times New Roman" w:cs="Times New Roman"/>
          <w:szCs w:val="20"/>
        </w:rPr>
        <w:t>impliquant « all persons, other than citizens of Argentina, who, as of December 23, 2001, held bonds issued by Argentina pursuant to the Fiscal Agency Agreement of October 19, 1994 » mais également « persons who have acquired such bonds since December 23, 2001 ». La juridiction relevant qu’ « [i]t is said that this class consists of thousands of bond holders around the world holding billions of dollars of bonds » décida que « what is proposed is not a reasonably manageable class action »</w:t>
      </w:r>
      <w:r w:rsidRPr="00E72418">
        <w:rPr>
          <w:rFonts w:ascii="Times New Roman" w:hAnsi="Times New Roman" w:cs="Times New Roman"/>
          <w:szCs w:val="20"/>
          <w:lang w:val="en-US"/>
        </w:rPr>
        <w:t xml:space="preserve"> (</w:t>
      </w:r>
      <w:r w:rsidRPr="00E72418">
        <w:rPr>
          <w:rFonts w:ascii="Times New Roman" w:hAnsi="Times New Roman" w:cs="Times New Roman"/>
          <w:szCs w:val="20"/>
          <w:shd w:val="clear" w:color="auto" w:fill="FFFFFF"/>
          <w:lang w:val="en-US"/>
        </w:rPr>
        <w:t>United States District Court for the Southern District of New York (EUA), 12 mai 2003,</w:t>
      </w:r>
      <w:r w:rsidRPr="00E72418">
        <w:rPr>
          <w:rFonts w:ascii="Times New Roman" w:hAnsi="Times New Roman" w:cs="Times New Roman"/>
          <w:i/>
          <w:szCs w:val="20"/>
          <w:shd w:val="clear" w:color="auto" w:fill="FFFFFF"/>
          <w:lang w:val="en-US"/>
        </w:rPr>
        <w:t xml:space="preserve"> </w:t>
      </w:r>
      <w:r w:rsidRPr="00E72418">
        <w:rPr>
          <w:rFonts w:ascii="Times New Roman" w:hAnsi="Times New Roman" w:cs="Times New Roman"/>
          <w:i/>
          <w:szCs w:val="20"/>
          <w:lang w:val="en-US"/>
        </w:rPr>
        <w:t>Allan Applestein TTEE FBO D.C.A. Grantor Trust</w:t>
      </w:r>
      <w:r w:rsidRPr="00E72418">
        <w:rPr>
          <w:rFonts w:ascii="Times New Roman" w:hAnsi="Times New Roman" w:cs="Times New Roman"/>
          <w:i/>
          <w:szCs w:val="20"/>
        </w:rPr>
        <w:t xml:space="preserve"> and Pedro Kalbermann v. The Republic of Argentina</w:t>
      </w:r>
      <w:r w:rsidRPr="00E72418">
        <w:rPr>
          <w:rFonts w:ascii="Times New Roman" w:hAnsi="Times New Roman" w:cs="Times New Roman"/>
          <w:szCs w:val="20"/>
        </w:rPr>
        <w:t>, 2003 WL 21058248, p. 1</w:t>
      </w:r>
      <w:r w:rsidRPr="00E72418">
        <w:rPr>
          <w:rFonts w:ascii="Times New Roman" w:hAnsi="Times New Roman" w:cs="Times New Roman"/>
          <w:szCs w:val="20"/>
          <w:lang w:val="en-US"/>
        </w:rPr>
        <w:t xml:space="preserve">). Devant la même cour new-yorkaise, des créanciers détenteurs de </w:t>
      </w:r>
      <w:r w:rsidRPr="00E72418">
        <w:rPr>
          <w:rFonts w:ascii="Times New Roman" w:hAnsi="Times New Roman" w:cs="Times New Roman"/>
          <w:szCs w:val="20"/>
          <w:shd w:val="clear" w:color="auto" w:fill="FFFFFF"/>
        </w:rPr>
        <w:t>soixante-huit séries d’obligations payables en six monnaies différentes</w:t>
      </w:r>
      <w:r w:rsidRPr="00E72418">
        <w:rPr>
          <w:rFonts w:ascii="Times New Roman" w:hAnsi="Times New Roman" w:cs="Times New Roman"/>
          <w:szCs w:val="20"/>
          <w:lang w:val="en-US"/>
        </w:rPr>
        <w:t xml:space="preserve"> avaient également tenté d’obtenir une certification sans succès au motif que </w:t>
      </w:r>
      <w:r w:rsidRPr="00E72418">
        <w:rPr>
          <w:rFonts w:ascii="Times New Roman" w:hAnsi="Times New Roman" w:cs="Times New Roman"/>
          <w:szCs w:val="20"/>
        </w:rPr>
        <w:t>« the proposed class is too large, too diverse, and to vaguely defined to be the basis for a manageable class action »</w:t>
      </w:r>
      <w:r w:rsidRPr="00E72418">
        <w:rPr>
          <w:rFonts w:ascii="Times New Roman" w:hAnsi="Times New Roman" w:cs="Times New Roman"/>
          <w:szCs w:val="20"/>
          <w:lang w:val="en-US"/>
        </w:rPr>
        <w:t xml:space="preserve"> (United States District Court for the Southern District of New York (EUA), 12 mai 2003, </w:t>
      </w:r>
      <w:r w:rsidRPr="00E72418">
        <w:rPr>
          <w:rFonts w:ascii="Times New Roman" w:hAnsi="Times New Roman" w:cs="Times New Roman"/>
          <w:i/>
          <w:szCs w:val="20"/>
          <w:lang w:val="en-US"/>
        </w:rPr>
        <w:t>H.W. Urban GmBH v. Republic of Argentina</w:t>
      </w:r>
      <w:r w:rsidRPr="00E72418">
        <w:rPr>
          <w:rFonts w:ascii="Times New Roman" w:hAnsi="Times New Roman" w:cs="Times New Roman"/>
          <w:szCs w:val="20"/>
          <w:lang w:val="en-US"/>
        </w:rPr>
        <w:t xml:space="preserve">, </w:t>
      </w:r>
      <w:r w:rsidRPr="00E72418">
        <w:rPr>
          <w:rFonts w:ascii="Times New Roman" w:hAnsi="Times New Roman" w:cs="Times New Roman"/>
          <w:szCs w:val="20"/>
          <w:shd w:val="clear" w:color="auto" w:fill="FFFFFF"/>
        </w:rPr>
        <w:t xml:space="preserve">02 Civ. 5699 (TPG), inédit). La </w:t>
      </w:r>
      <w:r>
        <w:rPr>
          <w:rFonts w:ascii="Times New Roman" w:hAnsi="Times New Roman" w:cs="Times New Roman"/>
          <w:szCs w:val="20"/>
          <w:shd w:val="clear" w:color="auto" w:fill="FFFFFF"/>
        </w:rPr>
        <w:t xml:space="preserve">United States </w:t>
      </w:r>
      <w:r w:rsidRPr="00735BBE">
        <w:rPr>
          <w:rFonts w:ascii="Times New Roman" w:hAnsi="Times New Roman" w:cs="Times New Roman"/>
          <w:szCs w:val="20"/>
          <w:lang w:val="en-US"/>
        </w:rPr>
        <w:t>District Court for the Southern District of New York</w:t>
      </w:r>
      <w:r w:rsidRPr="00E72418">
        <w:rPr>
          <w:rFonts w:ascii="Times New Roman" w:hAnsi="Times New Roman" w:cs="Times New Roman"/>
          <w:szCs w:val="20"/>
          <w:lang w:val="en-US"/>
        </w:rPr>
        <w:t xml:space="preserve">, encore saisie par la suite </w:t>
      </w:r>
      <w:r w:rsidRPr="00E72418">
        <w:rPr>
          <w:rFonts w:ascii="Times New Roman" w:hAnsi="Times New Roman" w:cs="Times New Roman"/>
          <w:szCs w:val="20"/>
          <w:shd w:val="clear" w:color="auto" w:fill="FFFFFF"/>
        </w:rPr>
        <w:t xml:space="preserve">d’une même demande de certification d’une </w:t>
      </w:r>
      <w:r w:rsidRPr="00E72418">
        <w:rPr>
          <w:rFonts w:ascii="Times New Roman" w:hAnsi="Times New Roman" w:cs="Times New Roman"/>
          <w:i/>
          <w:szCs w:val="20"/>
          <w:shd w:val="clear" w:color="auto" w:fill="FFFFFF"/>
        </w:rPr>
        <w:t>class action</w:t>
      </w:r>
      <w:r w:rsidRPr="00E72418">
        <w:rPr>
          <w:rFonts w:ascii="Times New Roman" w:hAnsi="Times New Roman" w:cs="Times New Roman"/>
          <w:szCs w:val="20"/>
          <w:shd w:val="clear" w:color="auto" w:fill="FFFFFF"/>
        </w:rPr>
        <w:t xml:space="preserve"> mais cette fois de la part de détenteurs d’obligations issues de deux séries, accepta qu’une telle action soit entreprise (</w:t>
      </w:r>
      <w:r w:rsidRPr="00E72418">
        <w:rPr>
          <w:rFonts w:ascii="Times New Roman" w:hAnsi="Times New Roman" w:cs="Times New Roman"/>
          <w:szCs w:val="20"/>
          <w:lang w:val="en-US"/>
        </w:rPr>
        <w:t xml:space="preserve">United States District Court for the Southern District of New York (EUA), 17 février 2004, </w:t>
      </w:r>
      <w:r w:rsidRPr="00E72418">
        <w:rPr>
          <w:rFonts w:ascii="Times New Roman" w:hAnsi="Times New Roman" w:cs="Times New Roman"/>
          <w:i/>
          <w:szCs w:val="20"/>
          <w:lang w:val="en-US"/>
        </w:rPr>
        <w:t>H.W. Urban GmBH v. Republic of Argentina</w:t>
      </w:r>
      <w:r w:rsidRPr="00E72418">
        <w:rPr>
          <w:rFonts w:ascii="Times New Roman" w:hAnsi="Times New Roman" w:cs="Times New Roman"/>
          <w:szCs w:val="20"/>
          <w:lang w:val="en-US"/>
        </w:rPr>
        <w:t xml:space="preserve">, </w:t>
      </w:r>
      <w:r w:rsidRPr="00E72418">
        <w:rPr>
          <w:rFonts w:ascii="Times New Roman" w:hAnsi="Times New Roman" w:cs="Times New Roman"/>
          <w:szCs w:val="20"/>
          <w:shd w:val="clear" w:color="auto" w:fill="FFFFFF"/>
        </w:rPr>
        <w:t xml:space="preserve">2004 WL </w:t>
      </w:r>
      <w:r w:rsidRPr="00E72418">
        <w:rPr>
          <w:rFonts w:ascii="Times New Roman" w:hAnsi="Times New Roman" w:cs="Times New Roman"/>
          <w:szCs w:val="20"/>
        </w:rPr>
        <w:t>307293).</w:t>
      </w:r>
    </w:p>
  </w:footnote>
  <w:footnote w:id="906">
    <w:p w14:paraId="2D1847F5" w14:textId="6327D95F" w:rsidR="0030147D" w:rsidRPr="00E72418" w:rsidRDefault="0030147D" w:rsidP="006B6CA2">
      <w:pPr>
        <w:pStyle w:val="Sansinterligne"/>
      </w:pPr>
      <w:r w:rsidRPr="00E72418">
        <w:rPr>
          <w:rStyle w:val="Appelnotedebasdep"/>
        </w:rPr>
        <w:footnoteRef/>
      </w:r>
      <w:r w:rsidRPr="00E72418">
        <w:t xml:space="preserve"> L. </w:t>
      </w:r>
      <w:r w:rsidRPr="00E72418">
        <w:rPr>
          <w:smallCaps/>
        </w:rPr>
        <w:t>Boggio</w:t>
      </w:r>
      <w:r w:rsidRPr="00E72418">
        <w:t xml:space="preserve">, « Investors and Sovereign Debt Restructurings: The Protection of Financial Property before International Courts and Arbitrators », </w:t>
      </w:r>
      <w:r w:rsidRPr="00E72418">
        <w:rPr>
          <w:i/>
          <w:iCs/>
        </w:rPr>
        <w:t>op. cit.</w:t>
      </w:r>
      <w:r w:rsidRPr="00E72418">
        <w:t>, p. 161.</w:t>
      </w:r>
    </w:p>
  </w:footnote>
  <w:footnote w:id="907">
    <w:p w14:paraId="0957E4DE" w14:textId="6B4E3D09" w:rsidR="0030147D" w:rsidRPr="00E72418" w:rsidRDefault="0030147D" w:rsidP="007A53CA">
      <w:pPr>
        <w:pStyle w:val="Sansinterligne"/>
        <w:rPr>
          <w:rFonts w:ascii="Times New Roman" w:hAnsi="Times New Roman" w:cs="Times New Roman"/>
        </w:rPr>
      </w:pPr>
      <w:r w:rsidRPr="00E72418">
        <w:rPr>
          <w:rStyle w:val="Appelnotedebasdep"/>
          <w:szCs w:val="20"/>
        </w:rPr>
        <w:footnoteRef/>
      </w:r>
      <w:r w:rsidRPr="00E72418">
        <w:t xml:space="preserve"> Rappelons, pour autant que de besoin, que notre recherche porte sur cet unique rapport contractuel et ne s’intéresse pas aux dettes bilatérales et multilatérales (pour quelques précisions sur celles-ci, voyez </w:t>
      </w:r>
      <w:r w:rsidRPr="00E72418">
        <w:rPr>
          <w:i/>
        </w:rPr>
        <w:t>supra</w:t>
      </w:r>
      <w:r w:rsidRPr="00E72418">
        <w:t xml:space="preserve"> n° 23. Sur la situation « highly unusual » où un </w:t>
      </w:r>
      <w:r w:rsidRPr="00E72418">
        <w:rPr>
          <w:rFonts w:ascii="Times New Roman" w:hAnsi="Times New Roman" w:cs="Times New Roman"/>
          <w:lang w:eastAsia="fr-BE"/>
        </w:rPr>
        <w:t>É</w:t>
      </w:r>
      <w:r w:rsidRPr="00E72418">
        <w:t xml:space="preserve">tat souverain détiendrait des obligations souveraines d’un autre </w:t>
      </w:r>
      <w:r w:rsidRPr="00E72418">
        <w:rPr>
          <w:rFonts w:ascii="Times New Roman" w:hAnsi="Times New Roman" w:cs="Times New Roman"/>
          <w:lang w:eastAsia="fr-BE"/>
        </w:rPr>
        <w:t>É</w:t>
      </w:r>
      <w:r w:rsidRPr="00E72418">
        <w:t xml:space="preserve">tat souverain, voyez H. </w:t>
      </w:r>
      <w:r w:rsidRPr="00E72418">
        <w:rPr>
          <w:rFonts w:cs="Times New Roman"/>
          <w:smallCaps/>
          <w:szCs w:val="24"/>
          <w:lang w:val="en-US"/>
        </w:rPr>
        <w:t>Yu</w:t>
      </w:r>
      <w:r w:rsidRPr="00E72418">
        <w:rPr>
          <w:rFonts w:cs="Times New Roman"/>
          <w:szCs w:val="24"/>
          <w:lang w:val="en-US"/>
        </w:rPr>
        <w:t xml:space="preserve">, « “Official” Bondholder: A New Holdout Creature in Sovereign Debt Restructuring after Vulture Funds? », </w:t>
      </w:r>
      <w:r w:rsidRPr="00E72418">
        <w:rPr>
          <w:rFonts w:ascii="Times New Roman" w:hAnsi="Times New Roman" w:cs="Times New Roman"/>
          <w:i/>
        </w:rPr>
        <w:t>Wash. U. Global Stud. Law Rev.</w:t>
      </w:r>
      <w:r w:rsidRPr="00E72418">
        <w:rPr>
          <w:rFonts w:cs="Times New Roman"/>
          <w:szCs w:val="24"/>
          <w:lang w:val="en-US"/>
        </w:rPr>
        <w:t>, 2017, pp. 535 à 559, spécialement p. 552</w:t>
      </w:r>
      <w:r w:rsidRPr="00E72418">
        <w:t>).</w:t>
      </w:r>
    </w:p>
  </w:footnote>
  <w:footnote w:id="908">
    <w:p w14:paraId="220882F4" w14:textId="72F3A01A" w:rsidR="0030147D" w:rsidRPr="00E72418" w:rsidRDefault="0030147D" w:rsidP="009B5B86">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xml:space="preserve">, pp. 7 et 8. Georges Delaume le notait d’ailleurs déjà en </w:t>
      </w:r>
      <w:r w:rsidRPr="00E72418">
        <w:t xml:space="preserve">1967 (G. </w:t>
      </w:r>
      <w:r w:rsidRPr="00E72418">
        <w:rPr>
          <w:smallCaps/>
        </w:rPr>
        <w:t>Delaume</w:t>
      </w:r>
      <w:r w:rsidRPr="00E72418">
        <w:t xml:space="preserve">, </w:t>
      </w:r>
      <w:r w:rsidRPr="00E72418">
        <w:rPr>
          <w:i/>
        </w:rPr>
        <w:t>Legal Aspects of International Lending and Economic Development Financing</w:t>
      </w:r>
      <w:r w:rsidRPr="00E72418">
        <w:t>, Oceana Publications, 1967, p. xxi).</w:t>
      </w:r>
      <w:r w:rsidRPr="00E72418">
        <w:rPr>
          <w:shd w:val="clear" w:color="auto" w:fill="FFFFFF"/>
        </w:rPr>
        <w:t>Voyez encore, et dans le même ordre d’idées, l’évolution qu’a connue le droit des immunités souveraines (</w:t>
      </w:r>
      <w:r w:rsidRPr="00E72418">
        <w:rPr>
          <w:i/>
          <w:shd w:val="clear" w:color="auto" w:fill="FFFFFF"/>
        </w:rPr>
        <w:t>infra</w:t>
      </w:r>
      <w:r w:rsidRPr="00E72418">
        <w:rPr>
          <w:shd w:val="clear" w:color="auto" w:fill="FFFFFF"/>
        </w:rPr>
        <w:t xml:space="preserve"> n</w:t>
      </w:r>
      <w:r w:rsidRPr="00E72418">
        <w:rPr>
          <w:shd w:val="clear" w:color="auto" w:fill="FFFFFF"/>
          <w:vertAlign w:val="superscript"/>
        </w:rPr>
        <w:t>os</w:t>
      </w:r>
      <w:r w:rsidRPr="00E72418">
        <w:rPr>
          <w:shd w:val="clear" w:color="auto" w:fill="FFFFFF"/>
        </w:rPr>
        <w:t xml:space="preserve"> 200 et suiv.).</w:t>
      </w:r>
    </w:p>
  </w:footnote>
  <w:footnote w:id="909">
    <w:p w14:paraId="0F23D501" w14:textId="01767B4F" w:rsidR="0030147D" w:rsidRPr="00E72418" w:rsidRDefault="0030147D" w:rsidP="007057D9">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Y. Wong</w:t>
      </w:r>
      <w:r w:rsidRPr="00E72418">
        <w:rPr>
          <w:i/>
          <w:szCs w:val="20"/>
          <w:lang w:val="en-US"/>
        </w:rPr>
        <w:t xml:space="preserve">, Sovereign Finance and the Poverty of Nations </w:t>
      </w:r>
      <w:r w:rsidRPr="00E72418">
        <w:rPr>
          <w:b/>
          <w:i/>
          <w:szCs w:val="20"/>
        </w:rPr>
        <w:t xml:space="preserve">– </w:t>
      </w:r>
      <w:r w:rsidRPr="00E72418">
        <w:rPr>
          <w:i/>
          <w:szCs w:val="20"/>
          <w:lang w:val="en-US"/>
        </w:rPr>
        <w:t>Odious Debt in International Law</w:t>
      </w:r>
      <w:r w:rsidRPr="00E72418">
        <w:rPr>
          <w:szCs w:val="20"/>
          <w:lang w:val="en-US"/>
        </w:rPr>
        <w:t xml:space="preserve">, Eward Elgar Publishing, 2012, p. 31 : « [t]he legal standard prescribes that foreign debt contracts are binding and continue in force until redeemed » et « [t]his means that borrowing nations are expected to repay their foreign loans from government to government, generation to generation, until repaid in full ». Sur la nuance de ce propos qu’apporterait le concept de dette odieuse, voyez </w:t>
      </w:r>
      <w:r w:rsidR="00824C07">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257 et suiv.</w:t>
      </w:r>
    </w:p>
  </w:footnote>
  <w:footnote w:id="910">
    <w:p w14:paraId="36E246F2" w14:textId="4B99A3C1" w:rsidR="0030147D" w:rsidRPr="00E72418" w:rsidRDefault="0030147D" w:rsidP="008B6D2B">
      <w:pPr>
        <w:pStyle w:val="Sansinterligne"/>
      </w:pPr>
      <w:r w:rsidRPr="00E72418">
        <w:rPr>
          <w:rStyle w:val="Appelnotedebasdep"/>
        </w:rPr>
        <w:footnoteRef/>
      </w:r>
      <w:r w:rsidRPr="00E72418">
        <w:t xml:space="preserve"> C. </w:t>
      </w:r>
      <w:r w:rsidRPr="00E72418">
        <w:rPr>
          <w:smallCaps/>
        </w:rPr>
        <w:t>Tan</w:t>
      </w:r>
      <w:r w:rsidRPr="00E72418">
        <w:t xml:space="preserve">, « </w:t>
      </w:r>
      <w:r w:rsidRPr="00E72418">
        <w:rPr>
          <w:rFonts w:cs="Times New Roman"/>
          <w:szCs w:val="24"/>
          <w:lang w:val="en-US"/>
        </w:rPr>
        <w:t>Reframing the debate: the debt relief initiative and new normative values in the governance of third world*</w:t>
      </w:r>
      <w:r w:rsidRPr="00E72418">
        <w:t xml:space="preserve"> debt</w:t>
      </w:r>
      <w:r w:rsidRPr="00E72418">
        <w:rPr>
          <w:rFonts w:cs="Times New Roman"/>
          <w:szCs w:val="24"/>
          <w:lang w:val="en-US"/>
        </w:rPr>
        <w:t xml:space="preserve"> </w:t>
      </w:r>
      <w:r w:rsidRPr="00E72418">
        <w:t xml:space="preserve">», </w:t>
      </w:r>
      <w:r w:rsidRPr="00E72418">
        <w:rPr>
          <w:i/>
        </w:rPr>
        <w:t>op. cit.</w:t>
      </w:r>
      <w:r w:rsidRPr="00E72418">
        <w:t>, p. 254.</w:t>
      </w:r>
    </w:p>
  </w:footnote>
  <w:footnote w:id="911">
    <w:p w14:paraId="6CAF4241" w14:textId="4C8AE191" w:rsidR="0030147D" w:rsidRPr="00E72418" w:rsidRDefault="0030147D" w:rsidP="007057D9">
      <w:pPr>
        <w:pStyle w:val="Sansinterligne"/>
      </w:pPr>
      <w:r w:rsidRPr="00E72418">
        <w:rPr>
          <w:rStyle w:val="Appelnotedebasdep"/>
        </w:rPr>
        <w:footnoteRef/>
      </w:r>
      <w:r w:rsidRPr="00E72418">
        <w:t xml:space="preserve"> Assemblée générale des Nations Unies, </w:t>
      </w:r>
      <w:r w:rsidRPr="00E72418">
        <w:rPr>
          <w:i/>
        </w:rPr>
        <w:t>Principes fondamentaux des opérations de restructuration de la dette souveraine</w:t>
      </w:r>
      <w:r w:rsidRPr="00E72418">
        <w:t>, A/RES/69/319, 10 septembre 2015, p. 2.</w:t>
      </w:r>
    </w:p>
  </w:footnote>
  <w:footnote w:id="912">
    <w:p w14:paraId="24F8C1A2" w14:textId="1EC208F0" w:rsidR="0030147D" w:rsidRPr="00E72418" w:rsidRDefault="0030147D" w:rsidP="0023480F">
      <w:pPr>
        <w:pStyle w:val="Sansinterligne"/>
        <w:rPr>
          <w:szCs w:val="20"/>
          <w:lang w:val="en-US"/>
        </w:rPr>
      </w:pPr>
      <w:r w:rsidRPr="00E72418">
        <w:rPr>
          <w:rStyle w:val="Appelnotedebasdep"/>
          <w:szCs w:val="20"/>
        </w:rPr>
        <w:footnoteRef/>
      </w:r>
      <w:r w:rsidRPr="00E72418">
        <w:rPr>
          <w:szCs w:val="20"/>
          <w:lang w:val="en-US"/>
        </w:rPr>
        <w:t xml:space="preserve"> Committee on Financial Services, U.S. House of Representatives, 110</w:t>
      </w:r>
      <w:r w:rsidRPr="0005101F">
        <w:rPr>
          <w:szCs w:val="20"/>
          <w:lang w:val="en-US"/>
        </w:rPr>
        <w:t>th</w:t>
      </w:r>
      <w:r w:rsidRPr="00E72418">
        <w:rPr>
          <w:szCs w:val="20"/>
          <w:lang w:val="en-US"/>
        </w:rPr>
        <w:t xml:space="preserve"> Congress, 1</w:t>
      </w:r>
      <w:r w:rsidRPr="0005101F">
        <w:rPr>
          <w:szCs w:val="20"/>
          <w:lang w:val="en-US"/>
        </w:rPr>
        <w:t xml:space="preserve">st </w:t>
      </w:r>
      <w:r w:rsidRPr="00E72418">
        <w:rPr>
          <w:szCs w:val="20"/>
          <w:lang w:val="en-US"/>
        </w:rPr>
        <w:t>session, 20 juin 2007, série n° 110-42, p. 40.</w:t>
      </w:r>
    </w:p>
  </w:footnote>
  <w:footnote w:id="913">
    <w:p w14:paraId="762923FD" w14:textId="45653FED"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Comme l’expliquent Lizzie Meager </w:t>
      </w:r>
      <w:r w:rsidRPr="00E72418">
        <w:rPr>
          <w:i/>
          <w:szCs w:val="20"/>
          <w:lang w:val="en-US"/>
        </w:rPr>
        <w:t>et al.</w:t>
      </w:r>
      <w:r w:rsidRPr="00E72418">
        <w:rPr>
          <w:szCs w:val="20"/>
          <w:lang w:val="en-US"/>
        </w:rPr>
        <w:t>, « [b]uying distressed assets trading below par then insisting on fill repayment may not be considered fair or ethical by some, but full repayment is what was promised at the time of issue, to all present and future bondholders » (</w:t>
      </w:r>
      <w:r w:rsidRPr="00E72418">
        <w:rPr>
          <w:smallCaps/>
          <w:szCs w:val="20"/>
          <w:lang w:val="en-US"/>
        </w:rPr>
        <w:t>L. Meager, E. Price</w:t>
      </w:r>
      <w:r w:rsidRPr="00E72418">
        <w:rPr>
          <w:szCs w:val="20"/>
          <w:lang w:val="en-US"/>
        </w:rPr>
        <w:t xml:space="preserve"> et </w:t>
      </w:r>
      <w:r w:rsidRPr="00E72418">
        <w:rPr>
          <w:smallCaps/>
          <w:szCs w:val="20"/>
          <w:lang w:val="en-US"/>
        </w:rPr>
        <w:t>B. Yap</w:t>
      </w:r>
      <w:r w:rsidRPr="00E72418">
        <w:rPr>
          <w:szCs w:val="20"/>
          <w:lang w:val="en-US"/>
        </w:rPr>
        <w:t xml:space="preserve">, « How to jump start sovereign debt », </w:t>
      </w:r>
      <w:r w:rsidRPr="00E72418">
        <w:rPr>
          <w:i/>
          <w:szCs w:val="20"/>
          <w:lang w:val="en-US"/>
        </w:rPr>
        <w:t>op. cit.</w:t>
      </w:r>
      <w:r w:rsidRPr="00E72418">
        <w:rPr>
          <w:szCs w:val="20"/>
          <w:lang w:val="en-US"/>
        </w:rPr>
        <w:t>, p. 24</w:t>
      </w:r>
      <w:r w:rsidR="00824C07">
        <w:rPr>
          <w:szCs w:val="20"/>
          <w:lang w:val="en-US"/>
        </w:rPr>
        <w:t xml:space="preserve"> (</w:t>
      </w:r>
      <w:r w:rsidR="00824C07" w:rsidRPr="00824C07">
        <w:rPr>
          <w:i/>
          <w:szCs w:val="20"/>
          <w:lang w:val="en-US"/>
        </w:rPr>
        <w:t>sic.</w:t>
      </w:r>
      <w:r w:rsidR="00824C07">
        <w:rPr>
          <w:szCs w:val="20"/>
          <w:lang w:val="en-US"/>
        </w:rPr>
        <w:t>)</w:t>
      </w:r>
      <w:r w:rsidRPr="00E72418">
        <w:rPr>
          <w:szCs w:val="20"/>
          <w:lang w:val="en-US"/>
        </w:rPr>
        <w:t xml:space="preserve">). </w:t>
      </w:r>
      <w:r w:rsidRPr="00E72418">
        <w:rPr>
          <w:szCs w:val="20"/>
        </w:rPr>
        <w:t xml:space="preserve">Les États débiteurs tentent parfois de braquer l’attention sur les questions morales et éthiques posées par les activités des fonds spéculant sur les dettes souveraines. Ce fut notamment le cas dans l’affaire </w:t>
      </w:r>
      <w:r w:rsidRPr="00E72418">
        <w:rPr>
          <w:i/>
          <w:szCs w:val="20"/>
        </w:rPr>
        <w:t>NML Capital</w:t>
      </w:r>
      <w:r w:rsidRPr="00E72418">
        <w:rPr>
          <w:szCs w:val="20"/>
        </w:rPr>
        <w:t xml:space="preserve"> </w:t>
      </w:r>
      <w:r w:rsidRPr="00E72418">
        <w:rPr>
          <w:i/>
          <w:szCs w:val="20"/>
        </w:rPr>
        <w:t>Ltd.</w:t>
      </w:r>
      <w:r w:rsidRPr="00E72418">
        <w:rPr>
          <w:szCs w:val="20"/>
        </w:rPr>
        <w:t xml:space="preserve"> c. la République argentine où le pays chercha à transformer en un débat moral sur le pouvoir de la spéculation ce que le fonds créancier présentait lui comme une simple question de droit des contrats (</w:t>
      </w:r>
      <w:r w:rsidRPr="00E72418">
        <w:rPr>
          <w:smallCaps/>
          <w:szCs w:val="20"/>
        </w:rPr>
        <w:t>S. Scott</w:t>
      </w:r>
      <w:r w:rsidRPr="00E72418">
        <w:rPr>
          <w:szCs w:val="20"/>
        </w:rPr>
        <w:t xml:space="preserve">, « Vultures, debt and desire: the vulture metaphor and Argentina’s sovereign debt crisis », </w:t>
      </w:r>
      <w:r w:rsidRPr="00E72418">
        <w:rPr>
          <w:i/>
          <w:szCs w:val="20"/>
          <w:lang w:val="en-US"/>
        </w:rPr>
        <w:t>op. cit.</w:t>
      </w:r>
      <w:r w:rsidRPr="00E72418">
        <w:rPr>
          <w:szCs w:val="20"/>
        </w:rPr>
        <w:t xml:space="preserve">, p. 3). Par opposition au positionnement des débiteurs, Sonya Scott remarque l’importance donnée par les fonds spéculatifs de se présenter avant tout comme de simples créanciers. </w:t>
      </w:r>
      <w:r w:rsidRPr="00E72418">
        <w:rPr>
          <w:szCs w:val="20"/>
          <w:lang w:val="en-US"/>
        </w:rPr>
        <w:t>L’auteure note ainsi que « the language of creditorship neutralizes and depoliticizes the overtly power-laden relationship in order to appear fair and objective, and more importantly to coerce payment according to an ethical order in which those who comply with the terms set by the creditor are perceived to be mature subjects and full participants in the legal order, while those who do not comply are perceived to be deviant, immature and rightfully excluded » (</w:t>
      </w:r>
      <w:r w:rsidRPr="00E72418">
        <w:rPr>
          <w:i/>
          <w:szCs w:val="20"/>
          <w:lang w:val="en-US"/>
        </w:rPr>
        <w:t>ibid</w:t>
      </w:r>
      <w:r w:rsidRPr="00E72418">
        <w:rPr>
          <w:smallCaps/>
          <w:szCs w:val="20"/>
          <w:lang w:val="en-US"/>
        </w:rPr>
        <w:t>.</w:t>
      </w:r>
      <w:r w:rsidRPr="00E72418">
        <w:rPr>
          <w:szCs w:val="20"/>
          <w:lang w:val="en-US"/>
        </w:rPr>
        <w:t>, pp. 12 et 13).</w:t>
      </w:r>
    </w:p>
  </w:footnote>
  <w:footnote w:id="914">
    <w:p w14:paraId="23568D55" w14:textId="7F2F346C"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High Court of Justice (RU), Queen’s Bench Division, Commercial Court, 15 février 2007, </w:t>
      </w:r>
      <w:r w:rsidRPr="00E72418">
        <w:rPr>
          <w:i/>
          <w:szCs w:val="20"/>
          <w:lang w:val="en-US"/>
        </w:rPr>
        <w:t>Donegal International Limited v. Republic of Zambia and Anr.</w:t>
      </w:r>
      <w:r w:rsidRPr="00E72418">
        <w:rPr>
          <w:szCs w:val="20"/>
          <w:lang w:val="en-US"/>
        </w:rPr>
        <w:t>, [2007] EWHC 197 (Comm.), p. 2.</w:t>
      </w:r>
    </w:p>
  </w:footnote>
  <w:footnote w:id="915">
    <w:p w14:paraId="4A78C96C" w14:textId="5DE5E023"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pp. 146 et 147.</w:t>
      </w:r>
    </w:p>
  </w:footnote>
  <w:footnote w:id="916">
    <w:p w14:paraId="16D42262" w14:textId="77777777"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Propos de Paul Myners repris in House of Lords, </w:t>
      </w:r>
      <w:r w:rsidRPr="00E72418">
        <w:rPr>
          <w:i/>
          <w:szCs w:val="20"/>
          <w:lang w:val="en-US"/>
        </w:rPr>
        <w:t>Debt Relief (Developing Countries) Bill</w:t>
      </w:r>
      <w:r w:rsidRPr="00E72418">
        <w:rPr>
          <w:szCs w:val="20"/>
          <w:lang w:val="en-US"/>
        </w:rPr>
        <w:t>, second reading, 8 avril 2010, vol. 718, colonne 1702.</w:t>
      </w:r>
    </w:p>
  </w:footnote>
  <w:footnote w:id="917">
    <w:p w14:paraId="6337BD86" w14:textId="19124DC4"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w:t>
      </w:r>
      <w:r w:rsidRPr="00E72418">
        <w:rPr>
          <w:smallCaps/>
          <w:szCs w:val="20"/>
        </w:rPr>
        <w:t>K. Annan</w:t>
      </w:r>
      <w:r w:rsidRPr="00E72418">
        <w:rPr>
          <w:szCs w:val="20"/>
        </w:rPr>
        <w:t xml:space="preserve">, </w:t>
      </w:r>
      <w:r w:rsidRPr="00E72418">
        <w:rPr>
          <w:i/>
          <w:szCs w:val="20"/>
        </w:rPr>
        <w:t>Discours à l’attention de la Chambre du commerce des États-Unis</w:t>
      </w:r>
      <w:r w:rsidRPr="00E72418">
        <w:rPr>
          <w:szCs w:val="20"/>
        </w:rPr>
        <w:t xml:space="preserve">, 8 juin 1999, disponible à l’adresse </w:t>
      </w:r>
      <w:hyperlink r:id="rId38" w:history="1">
        <w:r w:rsidRPr="00E72418">
          <w:rPr>
            <w:rStyle w:val="Lienhypertexte"/>
            <w:color w:val="auto"/>
            <w:szCs w:val="20"/>
            <w:u w:val="none"/>
          </w:rPr>
          <w:t>www.un.org/press/en/1999/19990608.SGSM7022.html</w:t>
        </w:r>
      </w:hyperlink>
      <w:r w:rsidRPr="00E72418">
        <w:rPr>
          <w:szCs w:val="20"/>
        </w:rPr>
        <w:t xml:space="preserve"> (consultation le 17 octobre 2021).</w:t>
      </w:r>
    </w:p>
  </w:footnote>
  <w:footnote w:id="918">
    <w:p w14:paraId="6C6EB929" w14:textId="000D3FB1"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Scott</w:t>
      </w:r>
      <w:r w:rsidRPr="00E72418">
        <w:rPr>
          <w:szCs w:val="20"/>
          <w:lang w:val="en-US"/>
        </w:rPr>
        <w:t xml:space="preserve">, « Sovereign Debt Defaults: Cry for the United States, not Argentina », </w:t>
      </w:r>
      <w:r w:rsidRPr="00E72418">
        <w:rPr>
          <w:i/>
          <w:szCs w:val="20"/>
          <w:lang w:val="en-US"/>
        </w:rPr>
        <w:t>op. cit.</w:t>
      </w:r>
      <w:r w:rsidRPr="00E72418">
        <w:rPr>
          <w:szCs w:val="20"/>
          <w:lang w:val="en-US"/>
        </w:rPr>
        <w:t>, p. 1.</w:t>
      </w:r>
    </w:p>
  </w:footnote>
  <w:footnote w:id="919">
    <w:p w14:paraId="6EC240EB" w14:textId="3F3FDB4E"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w:t>
      </w:r>
      <w:r w:rsidRPr="00E72418">
        <w:rPr>
          <w:szCs w:val="20"/>
        </w:rPr>
        <w:t xml:space="preserve">United States </w:t>
      </w:r>
      <w:r w:rsidRPr="00E72418">
        <w:rPr>
          <w:szCs w:val="20"/>
          <w:lang w:val="en-US"/>
        </w:rPr>
        <w:t xml:space="preserve">District Court for the Southern District of New York (EUA), 23 février 2012, </w:t>
      </w:r>
      <w:r w:rsidRPr="00E72418">
        <w:rPr>
          <w:i/>
          <w:szCs w:val="20"/>
          <w:lang w:val="en-US"/>
        </w:rPr>
        <w:t>NML Capital Ltd. v. Republic of Argentina</w:t>
      </w:r>
      <w:r w:rsidRPr="00E72418">
        <w:rPr>
          <w:szCs w:val="20"/>
          <w:lang w:val="en-US"/>
        </w:rPr>
        <w:t xml:space="preserve">, 08 Civ. 6978 (TPG) e.a., document 371, inédit. Pour plus de précisions sur cette décision,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184 et suiv.</w:t>
      </w:r>
    </w:p>
  </w:footnote>
  <w:footnote w:id="920">
    <w:p w14:paraId="2D416E49" w14:textId="49AD6DCB"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w:t>
      </w:r>
      <w:r w:rsidRPr="00E72418">
        <w:rPr>
          <w:rStyle w:val="SansinterligneCar"/>
          <w:smallCaps/>
          <w:szCs w:val="20"/>
        </w:rPr>
        <w:t>D. Carreau</w:t>
      </w:r>
      <w:r w:rsidRPr="00E72418">
        <w:rPr>
          <w:rStyle w:val="SansinterligneCar"/>
          <w:szCs w:val="20"/>
        </w:rPr>
        <w:t xml:space="preserve"> et </w:t>
      </w:r>
      <w:r w:rsidRPr="00E72418">
        <w:rPr>
          <w:rStyle w:val="SansinterligneCar"/>
          <w:smallCaps/>
          <w:szCs w:val="20"/>
        </w:rPr>
        <w:t>C. Kleiner</w:t>
      </w:r>
      <w:r w:rsidRPr="00E72418">
        <w:rPr>
          <w:rStyle w:val="SansinterligneCar"/>
          <w:szCs w:val="20"/>
        </w:rPr>
        <w:t>, « Dettes d’</w:t>
      </w:r>
      <w:r w:rsidRPr="00E72418">
        <w:rPr>
          <w:szCs w:val="20"/>
        </w:rPr>
        <w:t>É</w:t>
      </w:r>
      <w:r w:rsidRPr="00E72418">
        <w:rPr>
          <w:rStyle w:val="SansinterligneCar"/>
          <w:szCs w:val="20"/>
        </w:rPr>
        <w:t xml:space="preserve">tat », </w:t>
      </w:r>
      <w:r w:rsidRPr="00E72418">
        <w:rPr>
          <w:i/>
          <w:szCs w:val="20"/>
          <w:lang w:val="en-US"/>
        </w:rPr>
        <w:t>op. cit.</w:t>
      </w:r>
      <w:r w:rsidRPr="00E72418">
        <w:rPr>
          <w:rStyle w:val="SansinterligneCar"/>
          <w:szCs w:val="20"/>
        </w:rPr>
        <w:t>, n° 67.</w:t>
      </w:r>
    </w:p>
  </w:footnote>
  <w:footnote w:id="921">
    <w:p w14:paraId="4230A430" w14:textId="77777777"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25 mars 1997, </w:t>
      </w:r>
      <w:r w:rsidRPr="00E72418">
        <w:rPr>
          <w:i/>
          <w:szCs w:val="20"/>
          <w:lang w:val="en-US"/>
        </w:rPr>
        <w:t>Pravin Banker Associates Ltd. v. Banco Popular del Peru and the Republic of Peru</w:t>
      </w:r>
      <w:r w:rsidRPr="00E72418">
        <w:rPr>
          <w:szCs w:val="20"/>
          <w:lang w:val="en-US"/>
        </w:rPr>
        <w:t>, 109 F.3d 850, p. 855.</w:t>
      </w:r>
    </w:p>
  </w:footnote>
  <w:footnote w:id="922">
    <w:p w14:paraId="5F178BB8" w14:textId="766F53B8"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Propos repris in House of Commons, </w:t>
      </w:r>
      <w:r w:rsidRPr="00E72418">
        <w:rPr>
          <w:i/>
          <w:szCs w:val="20"/>
          <w:lang w:val="en-US"/>
        </w:rPr>
        <w:t>Debt Relief (Developing Countries) Bill</w:t>
      </w:r>
      <w:r w:rsidRPr="00E72418">
        <w:rPr>
          <w:szCs w:val="20"/>
          <w:lang w:val="en-US"/>
        </w:rPr>
        <w:t xml:space="preserve">, second reading, 26 février 2010, vol. 506, colonne 566. Voyez également la position du Gouvernement britannique reprise in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5. Sur cette législation,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304 et suiv.</w:t>
      </w:r>
    </w:p>
  </w:footnote>
  <w:footnote w:id="923">
    <w:p w14:paraId="244CC945" w14:textId="5FDC8BF8" w:rsidR="0030147D" w:rsidRPr="00E72418" w:rsidRDefault="0030147D" w:rsidP="000E5C8C">
      <w:pPr>
        <w:pStyle w:val="Sansinterligne"/>
      </w:pPr>
      <w:r w:rsidRPr="00E72418">
        <w:rPr>
          <w:rStyle w:val="Appelnotedebasdep"/>
        </w:rPr>
        <w:footnoteRef/>
      </w:r>
      <w:r w:rsidRPr="00E72418">
        <w:t xml:space="preserve"> Voyez </w:t>
      </w:r>
      <w:r w:rsidRPr="00E72418">
        <w:rPr>
          <w:i/>
        </w:rPr>
        <w:t>supra</w:t>
      </w:r>
      <w:r w:rsidRPr="00E72418">
        <w:t xml:space="preserve"> n° 79.</w:t>
      </w:r>
    </w:p>
  </w:footnote>
  <w:footnote w:id="924">
    <w:p w14:paraId="2557FA39" w14:textId="637EFEC0" w:rsidR="0030147D" w:rsidRPr="00E72418" w:rsidRDefault="0030147D" w:rsidP="004D68A3">
      <w:pPr>
        <w:pStyle w:val="Sansinterligne"/>
        <w:rPr>
          <w:szCs w:val="20"/>
        </w:rPr>
      </w:pPr>
      <w:r w:rsidRPr="00E72418">
        <w:rPr>
          <w:rStyle w:val="Appelnotedebasdep"/>
          <w:szCs w:val="20"/>
        </w:rPr>
        <w:footnoteRef/>
      </w:r>
      <w:r w:rsidRPr="00E72418">
        <w:rPr>
          <w:szCs w:val="20"/>
        </w:rPr>
        <w:t xml:space="preserve"> Voyez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 background note, 26 octobre 2016, p. 8.</w:t>
      </w:r>
    </w:p>
  </w:footnote>
  <w:footnote w:id="925">
    <w:p w14:paraId="3B271128" w14:textId="77777777" w:rsidR="0030147D" w:rsidRPr="00E72418" w:rsidRDefault="0030147D" w:rsidP="004D68A3">
      <w:pPr>
        <w:pStyle w:val="Sansinterligne"/>
        <w:rPr>
          <w:szCs w:val="20"/>
        </w:rPr>
      </w:pPr>
      <w:r w:rsidRPr="00E72418">
        <w:rPr>
          <w:rStyle w:val="Appelnotedebasdep"/>
          <w:szCs w:val="20"/>
        </w:rPr>
        <w:footnoteRef/>
      </w:r>
      <w:r w:rsidRPr="00E72418">
        <w:rPr>
          <w:szCs w:val="20"/>
        </w:rPr>
        <w:t xml:space="preserve"> United States Court of Appeals for the Second Circuit (EUA), 18 mars 1985, </w:t>
      </w:r>
      <w:r w:rsidRPr="00E72418">
        <w:rPr>
          <w:i/>
          <w:szCs w:val="20"/>
        </w:rPr>
        <w:t>Allied Bank International v. Banco Credito Agricola de Cartago</w:t>
      </w:r>
      <w:r w:rsidRPr="00E72418">
        <w:rPr>
          <w:rStyle w:val="injectednode"/>
          <w:szCs w:val="20"/>
        </w:rPr>
        <w:t xml:space="preserve">, 757 F.2d 516, p. 519 : </w:t>
      </w:r>
      <w:r w:rsidRPr="00E72418">
        <w:rPr>
          <w:szCs w:val="20"/>
        </w:rPr>
        <w:t>« while parties may agree to renegotiate conditions of payment, the underlying obligations to pay nevertheless remain valid and enforceable ».</w:t>
      </w:r>
    </w:p>
  </w:footnote>
  <w:footnote w:id="926">
    <w:p w14:paraId="64CA0B10" w14:textId="66F25809" w:rsidR="0030147D" w:rsidRPr="00E72418" w:rsidRDefault="0030147D" w:rsidP="004D68A3">
      <w:pPr>
        <w:pStyle w:val="Sansinterligne"/>
        <w:rPr>
          <w:szCs w:val="20"/>
        </w:rPr>
      </w:pPr>
      <w:r w:rsidRPr="00E72418">
        <w:rPr>
          <w:rStyle w:val="Appelnotedebasdep"/>
          <w:szCs w:val="20"/>
        </w:rPr>
        <w:footnoteRef/>
      </w:r>
      <w:r w:rsidRPr="00E72418">
        <w:rPr>
          <w:szCs w:val="20"/>
        </w:rPr>
        <w:t xml:space="preserve"> C. </w:t>
      </w:r>
      <w:r w:rsidRPr="00E72418">
        <w:rPr>
          <w:smallCaps/>
          <w:szCs w:val="20"/>
        </w:rPr>
        <w:t>Kleiner</w:t>
      </w:r>
      <w:r w:rsidRPr="00E72418">
        <w:rPr>
          <w:szCs w:val="20"/>
        </w:rPr>
        <w:t xml:space="preserve">, « L’affaire du siècle : </w:t>
      </w:r>
      <w:r w:rsidRPr="00E72418">
        <w:rPr>
          <w:i/>
          <w:szCs w:val="20"/>
        </w:rPr>
        <w:t>NML c/République d’Argentine</w:t>
      </w:r>
      <w:r w:rsidRPr="00E72418">
        <w:rPr>
          <w:szCs w:val="20"/>
        </w:rPr>
        <w:t xml:space="preserve"> ou la “contribution” des fonds vautours au droit international », </w:t>
      </w:r>
      <w:r w:rsidRPr="00E72418">
        <w:rPr>
          <w:i/>
          <w:szCs w:val="20"/>
        </w:rPr>
        <w:t>op. cit.</w:t>
      </w:r>
      <w:r w:rsidRPr="00E72418">
        <w:rPr>
          <w:szCs w:val="20"/>
        </w:rPr>
        <w:t>, p. 407.</w:t>
      </w:r>
    </w:p>
  </w:footnote>
  <w:footnote w:id="927">
    <w:p w14:paraId="3617555B" w14:textId="77777777" w:rsidR="0030147D" w:rsidRPr="00E72418" w:rsidRDefault="0030147D" w:rsidP="004D68A3">
      <w:pPr>
        <w:pStyle w:val="Sansinterligne"/>
        <w:rPr>
          <w:szCs w:val="20"/>
        </w:rPr>
      </w:pPr>
      <w:r w:rsidRPr="00E72418">
        <w:rPr>
          <w:rStyle w:val="Appelnotedebasdep"/>
          <w:smallCaps/>
          <w:szCs w:val="20"/>
        </w:rPr>
        <w:footnoteRef/>
      </w:r>
      <w:r w:rsidRPr="00E72418">
        <w:rPr>
          <w:szCs w:val="20"/>
        </w:rPr>
        <w:t xml:space="preserve"> United States Court of Appeals for the Second Circuit (EUA), 25 mars 1997, </w:t>
      </w:r>
      <w:r w:rsidRPr="00E72418">
        <w:rPr>
          <w:i/>
          <w:szCs w:val="20"/>
        </w:rPr>
        <w:t>Pravin Banker Associates Ltd. v. Banco Popular del Peru and the Republic of Peru</w:t>
      </w:r>
      <w:r w:rsidRPr="00E72418">
        <w:rPr>
          <w:szCs w:val="20"/>
        </w:rPr>
        <w:t>, 109 F.3d 850, p. 855.</w:t>
      </w:r>
    </w:p>
  </w:footnote>
  <w:footnote w:id="928">
    <w:p w14:paraId="38325728" w14:textId="4979D5CD"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xml:space="preserve">, n° 75. Les auteurs visent des considérations ayant trait </w:t>
      </w:r>
      <w:r w:rsidRPr="00E72418">
        <w:rPr>
          <w:szCs w:val="20"/>
        </w:rPr>
        <w:t xml:space="preserve">à la nécessité d’assurer une valeur juridique contraignante aux accords de restructuration et ainsi d’en encourager la conclusion, à la nécessité de permettre la continuité de l’accès aux marchés financiers par les pays à la dette restructurée ou encore à la nécessité de protéger la majorité des créanciers ayant accepté une réduction de leurs droits à l’issue du processus de renégociation de la dette en cause. </w:t>
      </w:r>
      <w:r w:rsidRPr="00E72418">
        <w:rPr>
          <w:rStyle w:val="SansinterligneCar"/>
        </w:rPr>
        <w:t xml:space="preserve">Voyez, par exemple, United States District Court for the Southern District of New York (EUA), 24 février 1994, </w:t>
      </w:r>
      <w:r w:rsidRPr="00E72418">
        <w:rPr>
          <w:rStyle w:val="SansinterligneCar"/>
          <w:i/>
        </w:rPr>
        <w:t>Pravin Banker Assocs. v. Banco Popular del Peru</w:t>
      </w:r>
      <w:r w:rsidRPr="00E72418">
        <w:rPr>
          <w:rStyle w:val="SansinterligneCar"/>
        </w:rPr>
        <w:t>, 165 B.R. 379 où la juridiction new-yorkaise décida d’une suspension des poursuites afin de rendre possible la restructuration péruvienne.</w:t>
      </w:r>
    </w:p>
  </w:footnote>
  <w:footnote w:id="929">
    <w:p w14:paraId="7E465DDD" w14:textId="12315B8C" w:rsidR="0030147D" w:rsidRPr="00E72418" w:rsidRDefault="0030147D" w:rsidP="005C7174">
      <w:pPr>
        <w:pStyle w:val="Sansinterligne"/>
        <w:rPr>
          <w:szCs w:val="20"/>
        </w:rPr>
      </w:pPr>
      <w:r w:rsidRPr="00E72418">
        <w:rPr>
          <w:rStyle w:val="Appelnotedebasdep"/>
          <w:szCs w:val="20"/>
        </w:rPr>
        <w:footnoteRef/>
      </w:r>
      <w:r w:rsidRPr="00E72418">
        <w:rPr>
          <w:szCs w:val="20"/>
          <w:lang w:val="en-US"/>
        </w:rPr>
        <w:t xml:space="preserve"> Voyez le propos d’Andrew Stunell repris in House of Commons, </w:t>
      </w:r>
      <w:r w:rsidRPr="00E72418">
        <w:rPr>
          <w:i/>
          <w:szCs w:val="20"/>
          <w:lang w:val="en-US"/>
        </w:rPr>
        <w:t>Debt Relief (Developing Countries) Bill</w:t>
      </w:r>
      <w:r w:rsidRPr="00E72418">
        <w:rPr>
          <w:szCs w:val="20"/>
          <w:lang w:val="en-US"/>
        </w:rPr>
        <w:t xml:space="preserve">, second reading, 26 février 2010, vol. 506, colonne 567. </w:t>
      </w:r>
      <w:r w:rsidRPr="00E72418">
        <w:rPr>
          <w:szCs w:val="20"/>
        </w:rPr>
        <w:t>De l’avis de Devi Sookun, « we should react differently as it is a matter of overriding human right » (</w:t>
      </w:r>
      <w:r w:rsidRPr="00E72418">
        <w:rPr>
          <w:smallCaps/>
          <w:szCs w:val="20"/>
        </w:rPr>
        <w:t>D. Sookun</w:t>
      </w:r>
      <w:r w:rsidRPr="00E72418">
        <w:rPr>
          <w:szCs w:val="20"/>
        </w:rPr>
        <w:t xml:space="preserve">, </w:t>
      </w:r>
      <w:r w:rsidRPr="00E72418">
        <w:rPr>
          <w:i/>
          <w:szCs w:val="20"/>
        </w:rPr>
        <w:t>Stop Vulture Fund Lawsuits: a Handbook</w:t>
      </w:r>
      <w:r w:rsidRPr="00E72418">
        <w:rPr>
          <w:szCs w:val="20"/>
        </w:rPr>
        <w:t xml:space="preserve">, </w:t>
      </w:r>
      <w:r w:rsidRPr="00E72418">
        <w:rPr>
          <w:rFonts w:ascii="Times New Roman" w:hAnsi="Times New Roman" w:cs="Times New Roman"/>
          <w:i/>
          <w:szCs w:val="20"/>
          <w:lang w:val="en-US"/>
        </w:rPr>
        <w:t>op. cit.</w:t>
      </w:r>
      <w:r w:rsidRPr="00E72418">
        <w:rPr>
          <w:szCs w:val="20"/>
        </w:rPr>
        <w:t xml:space="preserve">, p. 107). Sur l’importance de la viabilité des dettes souveraines et de l’argument qu’il peut en être tiré afin de justifier la limitation des prétentions des fonds spéculatifs,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406 et suiv.</w:t>
      </w:r>
    </w:p>
  </w:footnote>
  <w:footnote w:id="930">
    <w:p w14:paraId="6C8BDA4C" w14:textId="5CF16B45"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w:t>
      </w:r>
      <w:r w:rsidRPr="00E72418">
        <w:rPr>
          <w:smallCaps/>
          <w:szCs w:val="20"/>
        </w:rPr>
        <w:t>T. Ngosso</w:t>
      </w:r>
      <w:r w:rsidRPr="00E72418">
        <w:rPr>
          <w:szCs w:val="20"/>
        </w:rPr>
        <w:t xml:space="preserve">, « Trois raisons de s’opposer aux fonds vautours », </w:t>
      </w:r>
      <w:r w:rsidRPr="00E72418">
        <w:rPr>
          <w:i/>
          <w:szCs w:val="20"/>
        </w:rPr>
        <w:t>op. cit.</w:t>
      </w:r>
      <w:r w:rsidRPr="00E72418">
        <w:rPr>
          <w:szCs w:val="20"/>
        </w:rPr>
        <w:t>, p. 24.</w:t>
      </w:r>
    </w:p>
  </w:footnote>
  <w:footnote w:id="931">
    <w:p w14:paraId="1D011B99" w14:textId="38526990" w:rsidR="0030147D" w:rsidRPr="00E72418" w:rsidRDefault="0030147D" w:rsidP="00BA0D9D">
      <w:pPr>
        <w:pStyle w:val="Sansinterligne"/>
      </w:pPr>
      <w:r w:rsidRPr="00E72418">
        <w:rPr>
          <w:rStyle w:val="Appelnotedebasdep"/>
        </w:rPr>
        <w:footnoteRef/>
      </w:r>
      <w:r w:rsidRPr="00E72418">
        <w:t xml:space="preserve"> Quoique </w:t>
      </w:r>
      <w:r w:rsidR="00392084">
        <w:t>cette clause</w:t>
      </w:r>
      <w:r w:rsidRPr="00E72418">
        <w:t xml:space="preserve"> est indéniablement la plus connue (et la plus mobilisée par les fonds spéculatifs), elle n’est pas la seule visant à assurer l’égalité de traitement des créanciers. Ainsi, on peut également relever la clause de sûreté négative, ou </w:t>
      </w:r>
      <w:r w:rsidRPr="00E72418">
        <w:rPr>
          <w:i/>
        </w:rPr>
        <w:t>negative pledge clause</w:t>
      </w:r>
      <w:r w:rsidRPr="00E72418">
        <w:t>,</w:t>
      </w:r>
      <w:r w:rsidRPr="00E72418">
        <w:rPr>
          <w:i/>
        </w:rPr>
        <w:t xml:space="preserve"> </w:t>
      </w:r>
      <w:r w:rsidRPr="00E72418">
        <w:t xml:space="preserve">qui interdit aux </w:t>
      </w:r>
      <w:r w:rsidRPr="00E72418">
        <w:rPr>
          <w:rFonts w:cs="Times New Roman"/>
          <w:szCs w:val="24"/>
        </w:rPr>
        <w:t>É</w:t>
      </w:r>
      <w:r w:rsidRPr="00E72418">
        <w:t xml:space="preserve">tats de constituer des sûretés au profit de certains créanciers sauf exception entérinée contractuellement (sur cette clause, voyez notamment C. </w:t>
      </w:r>
      <w:r w:rsidRPr="00E72418">
        <w:rPr>
          <w:rFonts w:cs="Times New Roman"/>
          <w:smallCaps/>
          <w:szCs w:val="24"/>
          <w:shd w:val="clear" w:color="auto" w:fill="FFFFFF"/>
        </w:rPr>
        <w:t>Lequesne-Roth</w:t>
      </w:r>
      <w:r w:rsidRPr="00E72418">
        <w:rPr>
          <w:rFonts w:cs="Times New Roman"/>
          <w:szCs w:val="24"/>
          <w:shd w:val="clear" w:color="auto" w:fill="FFFFFF"/>
        </w:rPr>
        <w:t>,</w:t>
      </w:r>
      <w:r w:rsidRPr="00E72418">
        <w:rPr>
          <w:rStyle w:val="apple-converted-space"/>
          <w:rFonts w:cs="Times New Roman"/>
          <w:szCs w:val="24"/>
          <w:shd w:val="clear" w:color="auto" w:fill="FFFFFF"/>
        </w:rPr>
        <w:t xml:space="preserve"> </w:t>
      </w:r>
      <w:r w:rsidRPr="00E72418">
        <w:rPr>
          <w:rFonts w:cs="Times New Roman"/>
          <w:i/>
          <w:szCs w:val="24"/>
        </w:rPr>
        <w:t>Le régime contractuel de défaut des États débiteurs européens</w:t>
      </w:r>
      <w:r w:rsidRPr="00E72418">
        <w:rPr>
          <w:rFonts w:cs="Times New Roman"/>
          <w:szCs w:val="24"/>
        </w:rPr>
        <w:t xml:space="preserve">, </w:t>
      </w:r>
      <w:r w:rsidRPr="00E72418">
        <w:rPr>
          <w:rFonts w:cs="Times New Roman"/>
          <w:i/>
          <w:szCs w:val="24"/>
        </w:rPr>
        <w:t>op. cit.</w:t>
      </w:r>
      <w:r w:rsidRPr="00E72418">
        <w:t>, pp. 82 et suiv.).</w:t>
      </w:r>
    </w:p>
  </w:footnote>
  <w:footnote w:id="932">
    <w:p w14:paraId="4C428EEB" w14:textId="3D75D3B0"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M. Megliani</w:t>
      </w:r>
      <w:r w:rsidRPr="00E72418">
        <w:t xml:space="preserve">, « Vultures in Courts: Why the UNCTAD Principles on Responsible Financing Cannot Stop Litigation », </w:t>
      </w:r>
      <w:r w:rsidRPr="00E72418">
        <w:rPr>
          <w:rFonts w:ascii="Times New Roman" w:hAnsi="Times New Roman" w:cs="Times New Roman"/>
          <w:i/>
        </w:rPr>
        <w:t>L.J.I.L.</w:t>
      </w:r>
      <w:r w:rsidRPr="00E72418">
        <w:t>, 2015, p. 851.</w:t>
      </w:r>
    </w:p>
  </w:footnote>
  <w:footnote w:id="933">
    <w:p w14:paraId="3071AA35" w14:textId="62C51A19"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La présence d’une telle clause dans le contrat d’émission argentin, par exemple, s’explique vraisemblablement par le fait qu’un contrat d’émission concernant des sociétés privées y a servi de modèle (</w:t>
      </w:r>
      <w:r w:rsidRPr="00E72418">
        <w:rPr>
          <w:smallCaps/>
          <w:szCs w:val="20"/>
        </w:rPr>
        <w:t>M. Audit</w:t>
      </w:r>
      <w:r w:rsidRPr="00E72418">
        <w:rPr>
          <w:szCs w:val="20"/>
        </w:rPr>
        <w:t xml:space="preserve">, « </w:t>
      </w:r>
      <w:r w:rsidRPr="00E72418">
        <w:rPr>
          <w:i/>
          <w:szCs w:val="20"/>
        </w:rPr>
        <w:t>Pari passu</w:t>
      </w:r>
      <w:r w:rsidRPr="00E72418">
        <w:rPr>
          <w:szCs w:val="20"/>
        </w:rPr>
        <w:t xml:space="preserve"> est-il exportable ? Ou comment le contentieux de la dette argentine renouvelle l’exécution transnationale des jugements condamnant un État », </w:t>
      </w:r>
      <w:r w:rsidRPr="00E72418">
        <w:rPr>
          <w:i/>
          <w:szCs w:val="20"/>
        </w:rPr>
        <w:t>op. cit.</w:t>
      </w:r>
      <w:r w:rsidRPr="00E72418">
        <w:rPr>
          <w:szCs w:val="20"/>
        </w:rPr>
        <w:t>, p. 313).</w:t>
      </w:r>
    </w:p>
  </w:footnote>
  <w:footnote w:id="934">
    <w:p w14:paraId="139B8F1E" w14:textId="6509D968" w:rsidR="0030147D" w:rsidRPr="00E72418" w:rsidRDefault="0030147D" w:rsidP="005C7174">
      <w:pPr>
        <w:pStyle w:val="Sansinterligne"/>
        <w:rPr>
          <w:szCs w:val="20"/>
          <w:lang w:val="en-US"/>
        </w:rPr>
      </w:pPr>
      <w:r w:rsidRPr="00E72418">
        <w:rPr>
          <w:rStyle w:val="Appelnotedebasdep"/>
          <w:szCs w:val="20"/>
        </w:rPr>
        <w:footnoteRef/>
      </w:r>
      <w:r w:rsidRPr="00E72418">
        <w:rPr>
          <w:szCs w:val="20"/>
        </w:rPr>
        <w:t xml:space="preserve"> Voyez, parmi de très nombreuses références, Lee Buchheit et Jeremiah Pam qui parlent ainsi d’une « obscure boilerplate provision » (</w:t>
      </w:r>
      <w:r w:rsidRPr="00E72418">
        <w:rPr>
          <w:smallCaps/>
          <w:szCs w:val="20"/>
        </w:rPr>
        <w:t xml:space="preserve">L. Buchheit </w:t>
      </w:r>
      <w:r w:rsidRPr="00E72418">
        <w:rPr>
          <w:szCs w:val="20"/>
        </w:rPr>
        <w:t xml:space="preserve">et </w:t>
      </w:r>
      <w:r w:rsidRPr="00E72418">
        <w:rPr>
          <w:smallCaps/>
          <w:szCs w:val="20"/>
        </w:rPr>
        <w:t>J. Pam</w:t>
      </w:r>
      <w:r w:rsidRPr="00E72418">
        <w:rPr>
          <w:szCs w:val="20"/>
        </w:rPr>
        <w:t xml:space="preserve">, « The </w:t>
      </w:r>
      <w:r w:rsidRPr="00E72418">
        <w:rPr>
          <w:i/>
          <w:szCs w:val="20"/>
        </w:rPr>
        <w:t>Pari Passu</w:t>
      </w:r>
      <w:r w:rsidRPr="00E72418">
        <w:rPr>
          <w:szCs w:val="20"/>
        </w:rPr>
        <w:t xml:space="preserve"> Clause in Sovereign Debt Instruments », </w:t>
      </w:r>
      <w:r w:rsidRPr="00E72418">
        <w:rPr>
          <w:i/>
          <w:szCs w:val="20"/>
        </w:rPr>
        <w:t>Emory Law J.</w:t>
      </w:r>
      <w:r w:rsidRPr="00E72418">
        <w:rPr>
          <w:szCs w:val="20"/>
        </w:rPr>
        <w:t xml:space="preserve">, 2004, p. 920). </w:t>
      </w:r>
      <w:r w:rsidRPr="00E72418">
        <w:rPr>
          <w:i/>
          <w:szCs w:val="20"/>
          <w:lang w:val="en-US"/>
        </w:rPr>
        <w:t>Contra</w:t>
      </w:r>
      <w:r w:rsidRPr="00E72418">
        <w:rPr>
          <w:szCs w:val="20"/>
          <w:lang w:val="en-US"/>
        </w:rPr>
        <w:t xml:space="preserve"> </w:t>
      </w:r>
      <w:r w:rsidRPr="00E72418">
        <w:rPr>
          <w:smallCaps/>
          <w:szCs w:val="20"/>
          <w:lang w:val="en-US"/>
        </w:rPr>
        <w:t>R. Zamour</w:t>
      </w:r>
      <w:r w:rsidRPr="00E72418">
        <w:rPr>
          <w:szCs w:val="20"/>
          <w:lang w:val="en-US"/>
        </w:rPr>
        <w:t xml:space="preserve">, « </w:t>
      </w:r>
      <w:r w:rsidRPr="00E72418">
        <w:rPr>
          <w:i/>
          <w:szCs w:val="20"/>
          <w:lang w:val="en-US"/>
        </w:rPr>
        <w:t>NML v. Argentina</w:t>
      </w:r>
      <w:r w:rsidRPr="00E72418">
        <w:rPr>
          <w:szCs w:val="20"/>
          <w:lang w:val="en-US"/>
        </w:rPr>
        <w:t xml:space="preserve"> and the Ratable Payment Interpretation of the </w:t>
      </w:r>
      <w:r w:rsidRPr="00E72418">
        <w:rPr>
          <w:i/>
          <w:szCs w:val="20"/>
          <w:lang w:val="en-US"/>
        </w:rPr>
        <w:t>Pari Passu</w:t>
      </w:r>
      <w:r w:rsidRPr="00E72418">
        <w:rPr>
          <w:szCs w:val="20"/>
          <w:lang w:val="en-US"/>
        </w:rPr>
        <w:t xml:space="preserve"> Clause », </w:t>
      </w:r>
      <w:r w:rsidRPr="00E72418">
        <w:rPr>
          <w:rFonts w:ascii="Times New Roman" w:hAnsi="Times New Roman" w:cs="Times New Roman"/>
          <w:i/>
          <w:szCs w:val="20"/>
        </w:rPr>
        <w:t>Yale J. Int. Law</w:t>
      </w:r>
      <w:r w:rsidRPr="00E72418">
        <w:rPr>
          <w:szCs w:val="20"/>
          <w:lang w:val="en-US"/>
        </w:rPr>
        <w:t>, 2013, p. 65 : « [p]ari passu clauses are not boilerplate clauses ».</w:t>
      </w:r>
    </w:p>
  </w:footnote>
  <w:footnote w:id="935">
    <w:p w14:paraId="51CE3FE6" w14:textId="2ACED5DB"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M. Weidemaier, R. Scott</w:t>
      </w:r>
      <w:r w:rsidRPr="00E72418">
        <w:t xml:space="preserve"> et </w:t>
      </w:r>
      <w:r w:rsidRPr="00E72418">
        <w:rPr>
          <w:smallCaps/>
        </w:rPr>
        <w:t>M. Gulati</w:t>
      </w:r>
      <w:r w:rsidRPr="00E72418">
        <w:t xml:space="preserve">, « Origin Myths, Contracts, and the Hunt for </w:t>
      </w:r>
      <w:r w:rsidRPr="00E72418">
        <w:rPr>
          <w:i/>
        </w:rPr>
        <w:t>Pari Passu</w:t>
      </w:r>
      <w:r w:rsidRPr="00E72418">
        <w:t xml:space="preserve"> », </w:t>
      </w:r>
      <w:r w:rsidRPr="00E72418">
        <w:rPr>
          <w:rFonts w:ascii="Times New Roman" w:hAnsi="Times New Roman" w:cs="Times New Roman"/>
          <w:i/>
        </w:rPr>
        <w:t>Law Soc. Inq.</w:t>
      </w:r>
      <w:r w:rsidRPr="00E72418">
        <w:t xml:space="preserve">, 2013, p. 74. Ni les </w:t>
      </w:r>
      <w:r w:rsidRPr="00E72418">
        <w:rPr>
          <w:lang w:eastAsia="fr-BE"/>
        </w:rPr>
        <w:t>É</w:t>
      </w:r>
      <w:r w:rsidRPr="00E72418">
        <w:t xml:space="preserve">tats émetteurs de dettes souveraines, pourtant les premiers concernés, ni les spécialistes de celles-ci ne semblent en être au fait, ni même en percevoir l’intérêt (voyez S. </w:t>
      </w:r>
      <w:r w:rsidRPr="00E72418">
        <w:rPr>
          <w:rFonts w:cs="Times New Roman"/>
          <w:smallCaps/>
          <w:szCs w:val="24"/>
        </w:rPr>
        <w:t>Choi</w:t>
      </w:r>
      <w:r w:rsidRPr="00E72418">
        <w:rPr>
          <w:rFonts w:cs="Times New Roman"/>
          <w:szCs w:val="24"/>
        </w:rPr>
        <w:t xml:space="preserve"> et M. </w:t>
      </w:r>
      <w:r w:rsidRPr="00E72418">
        <w:rPr>
          <w:rFonts w:cs="Times New Roman"/>
          <w:smallCaps/>
          <w:szCs w:val="24"/>
        </w:rPr>
        <w:t>Gulati</w:t>
      </w:r>
      <w:r w:rsidRPr="00E72418">
        <w:rPr>
          <w:rFonts w:cs="Times New Roman"/>
          <w:szCs w:val="24"/>
        </w:rPr>
        <w:t xml:space="preserve">, « Innovation in Boilerplate Contracts: an Empirical Examination of Sovereign Bonds », </w:t>
      </w:r>
      <w:r w:rsidRPr="00E72418">
        <w:rPr>
          <w:rFonts w:cs="Times New Roman"/>
          <w:i/>
          <w:szCs w:val="24"/>
        </w:rPr>
        <w:t>Emory Law J.</w:t>
      </w:r>
      <w:r w:rsidRPr="00E72418">
        <w:rPr>
          <w:rFonts w:cs="Times New Roman"/>
          <w:szCs w:val="24"/>
        </w:rPr>
        <w:t xml:space="preserve">, 2004, p. 991 : </w:t>
      </w:r>
      <w:r w:rsidRPr="00E72418">
        <w:t xml:space="preserve">« no one on the sovereign issuer side seemed to have a clear understanding of what value the clause provided » et </w:t>
      </w:r>
      <w:r w:rsidRPr="00E72418">
        <w:rPr>
          <w:smallCaps/>
        </w:rPr>
        <w:t>S. Choi</w:t>
      </w:r>
      <w:r w:rsidRPr="00E72418">
        <w:t xml:space="preserve"> et </w:t>
      </w:r>
      <w:r w:rsidRPr="00E72418">
        <w:rPr>
          <w:smallCaps/>
        </w:rPr>
        <w:t>M. Gulati</w:t>
      </w:r>
      <w:r w:rsidRPr="00E72418">
        <w:t xml:space="preserve">, « Contract as Statute », </w:t>
      </w:r>
      <w:r w:rsidRPr="00E72418">
        <w:rPr>
          <w:i/>
        </w:rPr>
        <w:t>Mich. Law Rev.</w:t>
      </w:r>
      <w:r w:rsidRPr="00E72418">
        <w:t>, 2006, p. 1134 : « [t]he leading commentators on sovereign contracts acknowledged that there exists ambiguity as to the meaning of this clause »).</w:t>
      </w:r>
    </w:p>
  </w:footnote>
  <w:footnote w:id="936">
    <w:p w14:paraId="0497587E" w14:textId="2F26C481" w:rsidR="0030147D" w:rsidRPr="00E72418" w:rsidRDefault="0030147D" w:rsidP="00D361DA">
      <w:pPr>
        <w:pStyle w:val="Sansinterligne"/>
      </w:pPr>
      <w:r w:rsidRPr="00E72418">
        <w:rPr>
          <w:rStyle w:val="Appelnotedebasdep"/>
        </w:rPr>
        <w:footnoteRef/>
      </w:r>
      <w:r w:rsidRPr="00E72418">
        <w:t xml:space="preserve"> Pour un exemple d’une éventuelle troisième interprétation,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248.</w:t>
      </w:r>
    </w:p>
  </w:footnote>
  <w:footnote w:id="937">
    <w:p w14:paraId="707637C3" w14:textId="0732AE72"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Harrison</w:t>
      </w:r>
      <w:r w:rsidRPr="00E72418">
        <w:rPr>
          <w:szCs w:val="20"/>
          <w:lang w:val="en-US"/>
        </w:rPr>
        <w:t xml:space="preserve"> et </w:t>
      </w:r>
      <w:r w:rsidRPr="00E72418">
        <w:rPr>
          <w:smallCaps/>
          <w:szCs w:val="20"/>
          <w:lang w:val="en-US"/>
        </w:rPr>
        <w:t>F. Huntriss</w:t>
      </w:r>
      <w:r w:rsidRPr="00E72418">
        <w:rPr>
          <w:szCs w:val="20"/>
          <w:lang w:val="en-US"/>
        </w:rPr>
        <w:t xml:space="preserve">, « Hedge funds and litigation: a brave new world », </w:t>
      </w:r>
      <w:r w:rsidRPr="00E72418">
        <w:rPr>
          <w:i/>
          <w:szCs w:val="20"/>
          <w:lang w:val="en-US"/>
        </w:rPr>
        <w:t>op. cit.</w:t>
      </w:r>
      <w:r w:rsidRPr="00E72418">
        <w:rPr>
          <w:szCs w:val="20"/>
          <w:lang w:val="en-US"/>
        </w:rPr>
        <w:t>, p. 138 : « [the] narrow reading of the clause was that it was only breached in circumstances where the debtor subordinated the protected debt by a statutory or mandatory measure which affected the ranking of the debt ».</w:t>
      </w:r>
    </w:p>
  </w:footnote>
  <w:footnote w:id="938">
    <w:p w14:paraId="0246328C" w14:textId="6BDD8370"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 93.</w:t>
      </w:r>
    </w:p>
  </w:footnote>
  <w:footnote w:id="939">
    <w:p w14:paraId="5A0DDE54" w14:textId="77777777" w:rsidR="0030147D" w:rsidRPr="00E72418" w:rsidRDefault="0030147D" w:rsidP="005C7174">
      <w:pPr>
        <w:pStyle w:val="Sansinterligne"/>
        <w:rPr>
          <w:szCs w:val="20"/>
        </w:rPr>
      </w:pPr>
      <w:r w:rsidRPr="00E72418">
        <w:rPr>
          <w:rStyle w:val="Appelnotedebasdep"/>
          <w:szCs w:val="20"/>
        </w:rPr>
        <w:footnoteRef/>
      </w:r>
      <w:r w:rsidRPr="00E72418">
        <w:rPr>
          <w:szCs w:val="20"/>
        </w:rPr>
        <w:t xml:space="preserve"> La police est reprise.</w:t>
      </w:r>
    </w:p>
  </w:footnote>
  <w:footnote w:id="940">
    <w:p w14:paraId="61172292" w14:textId="0D2A39A7"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79.</w:t>
      </w:r>
    </w:p>
  </w:footnote>
  <w:footnote w:id="941">
    <w:p w14:paraId="4F9614A7" w14:textId="26E21BCA" w:rsidR="0030147D" w:rsidRPr="00E72418" w:rsidRDefault="0030147D" w:rsidP="005C7174">
      <w:pPr>
        <w:pStyle w:val="Sansinterligne"/>
        <w:rPr>
          <w:szCs w:val="20"/>
          <w:lang w:val="en-US"/>
        </w:rPr>
      </w:pPr>
      <w:r w:rsidRPr="00E72418">
        <w:rPr>
          <w:rStyle w:val="Appelnotedebasdep"/>
          <w:szCs w:val="20"/>
        </w:rPr>
        <w:footnoteRef/>
      </w:r>
      <w:r w:rsidRPr="00E72418">
        <w:rPr>
          <w:szCs w:val="20"/>
          <w:lang w:val="en-US"/>
        </w:rPr>
        <w:t xml:space="preserve"> Tim Samples relève dans ce sens qu’ « [e]ssentially, the broad reading extends beyond formal, legal subordination to prohibit de facto subordination as well » (</w:t>
      </w:r>
      <w:r w:rsidRPr="00E72418">
        <w:rPr>
          <w:rStyle w:val="Titre5Car"/>
          <w:rFonts w:ascii="Times" w:eastAsiaTheme="minorHAnsi" w:hAnsi="Times" w:cstheme="minorBidi"/>
          <w:i/>
          <w:color w:val="auto"/>
          <w:szCs w:val="20"/>
          <w:lang w:val="en-US"/>
        </w:rPr>
        <w:t>ibid.</w:t>
      </w:r>
      <w:r w:rsidRPr="00E72418">
        <w:rPr>
          <w:rStyle w:val="Titre5Car"/>
          <w:rFonts w:ascii="Times" w:eastAsiaTheme="minorHAnsi" w:hAnsi="Times" w:cstheme="minorBidi"/>
          <w:color w:val="auto"/>
          <w:szCs w:val="20"/>
          <w:lang w:val="en-US"/>
        </w:rPr>
        <w:t>, p. 78). L’on verra (</w:t>
      </w:r>
      <w:r w:rsidRPr="00E72418">
        <w:rPr>
          <w:rStyle w:val="Titre5Car"/>
          <w:rFonts w:ascii="Times" w:eastAsiaTheme="minorHAnsi" w:hAnsi="Times" w:cstheme="minorBidi"/>
          <w:i/>
          <w:color w:val="auto"/>
          <w:szCs w:val="20"/>
          <w:lang w:val="en-US"/>
        </w:rPr>
        <w:t>infra</w:t>
      </w:r>
      <w:r w:rsidRPr="00E72418">
        <w:rPr>
          <w:rStyle w:val="Titre5Car"/>
          <w:rFonts w:ascii="Times" w:eastAsiaTheme="minorHAnsi" w:hAnsi="Times" w:cstheme="minorBidi"/>
          <w:color w:val="auto"/>
          <w:szCs w:val="20"/>
          <w:lang w:val="en-US"/>
        </w:rPr>
        <w:t xml:space="preserve"> n° 184) que dans le cadre du contentieux argentin, c’est pour beaucoup la menace de </w:t>
      </w:r>
      <w:r w:rsidRPr="00E72418">
        <w:rPr>
          <w:rStyle w:val="Titre5Car"/>
          <w:rFonts w:ascii="Times" w:eastAsiaTheme="minorHAnsi" w:hAnsi="Times" w:cstheme="minorBidi"/>
          <w:i/>
          <w:color w:val="auto"/>
          <w:szCs w:val="20"/>
          <w:lang w:val="en-US"/>
        </w:rPr>
        <w:t>contempt of court</w:t>
      </w:r>
      <w:r w:rsidRPr="00E72418">
        <w:rPr>
          <w:rStyle w:val="Titre5Car"/>
          <w:rFonts w:ascii="Times" w:eastAsiaTheme="minorHAnsi" w:hAnsi="Times" w:cstheme="minorBidi"/>
          <w:color w:val="auto"/>
          <w:szCs w:val="20"/>
          <w:lang w:val="en-US"/>
        </w:rPr>
        <w:t xml:space="preserve"> qui donna à cette lecture de la clause toute son efficacité.</w:t>
      </w:r>
    </w:p>
  </w:footnote>
  <w:footnote w:id="942">
    <w:p w14:paraId="4BA32DCC" w14:textId="54A1C5A1" w:rsidR="0030147D" w:rsidRPr="00E72418" w:rsidRDefault="0030147D" w:rsidP="001F689C">
      <w:pPr>
        <w:pStyle w:val="Sansinterligne"/>
        <w:rPr>
          <w:szCs w:val="20"/>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p. 39.</w:t>
      </w:r>
    </w:p>
  </w:footnote>
  <w:footnote w:id="943">
    <w:p w14:paraId="4E20D0DD" w14:textId="7CC73008" w:rsidR="0030147D" w:rsidRPr="00E72418" w:rsidRDefault="0030147D" w:rsidP="00D97619">
      <w:pPr>
        <w:pStyle w:val="Sansinterligne"/>
      </w:pPr>
      <w:r w:rsidRPr="00E72418">
        <w:rPr>
          <w:rStyle w:val="Appelnotedebasdep"/>
          <w:szCs w:val="20"/>
        </w:rPr>
        <w:footnoteRef/>
      </w:r>
      <w:r w:rsidRPr="00E72418">
        <w:rPr>
          <w:vertAlign w:val="superscript"/>
        </w:rPr>
        <w:t xml:space="preserve"> </w:t>
      </w:r>
      <w:r w:rsidRPr="00E72418">
        <w:rPr>
          <w:smallCaps/>
        </w:rPr>
        <w:t>C. Lequesne-Roth</w:t>
      </w:r>
      <w:r w:rsidRPr="00E72418">
        <w:t xml:space="preserve">, « La fin des “vautours”? Retour sur le contentieux stratégique des dettes souveraines », </w:t>
      </w:r>
      <w:r w:rsidRPr="00E72418">
        <w:rPr>
          <w:i/>
          <w:szCs w:val="20"/>
        </w:rPr>
        <w:t>op. cit.</w:t>
      </w:r>
      <w:r w:rsidRPr="00E72418">
        <w:t xml:space="preserve">, p. 351. Jonathan </w:t>
      </w:r>
      <w:r w:rsidRPr="00E72418">
        <w:rPr>
          <w:lang w:val="en-US"/>
        </w:rPr>
        <w:t>Blackman et Rahul Mukhi parlent quant à eux d’une « nuclear device » (</w:t>
      </w:r>
      <w:r w:rsidRPr="00E72418">
        <w:rPr>
          <w:smallCaps/>
          <w:lang w:val="en-US"/>
        </w:rPr>
        <w:t>J. Blackman</w:t>
      </w:r>
      <w:r w:rsidRPr="00E72418">
        <w:rPr>
          <w:lang w:val="en-US"/>
        </w:rPr>
        <w:t xml:space="preserve"> et </w:t>
      </w:r>
      <w:r w:rsidRPr="00E72418">
        <w:rPr>
          <w:smallCaps/>
          <w:lang w:val="en-US"/>
        </w:rPr>
        <w:t>R. Mukhi</w:t>
      </w:r>
      <w:r w:rsidRPr="00E72418">
        <w:rPr>
          <w:lang w:val="en-US"/>
        </w:rPr>
        <w:t xml:space="preserve">, </w:t>
      </w:r>
      <w:r w:rsidRPr="00E72418">
        <w:rPr>
          <w:rStyle w:val="Titre5Car"/>
          <w:rFonts w:ascii="Times" w:eastAsiaTheme="minorHAnsi" w:hAnsi="Times" w:cstheme="minorBidi"/>
          <w:color w:val="auto"/>
          <w:szCs w:val="20"/>
          <w:lang w:val="en-US"/>
        </w:rPr>
        <w:t xml:space="preserve">« </w:t>
      </w:r>
      <w:r w:rsidRPr="00E72418">
        <w:rPr>
          <w:lang w:val="en-US"/>
        </w:rPr>
        <w:t xml:space="preserve">The Evolution of Modern Sovereign Debt Litigation: Vultures, Alter Egos, and Other Legal Fauna », </w:t>
      </w:r>
      <w:r w:rsidRPr="00E72418">
        <w:rPr>
          <w:i/>
          <w:szCs w:val="20"/>
          <w:lang w:val="en-US"/>
        </w:rPr>
        <w:t>op. cit.</w:t>
      </w:r>
      <w:r w:rsidRPr="00E72418">
        <w:rPr>
          <w:lang w:val="en-US"/>
        </w:rPr>
        <w:t xml:space="preserve">, p. 49). Anna Gelpern relève elle que </w:t>
      </w:r>
      <w:r w:rsidRPr="00E72418">
        <w:rPr>
          <w:rFonts w:ascii="Times New Roman" w:hAnsi="Times New Roman" w:cs="Times New Roman"/>
          <w:lang w:val="en-US"/>
        </w:rPr>
        <w:t xml:space="preserve">« </w:t>
      </w:r>
      <w:r w:rsidRPr="00E72418">
        <w:t xml:space="preserve">the </w:t>
      </w:r>
      <w:r w:rsidRPr="00E72418">
        <w:rPr>
          <w:i/>
        </w:rPr>
        <w:t>pari passu</w:t>
      </w:r>
      <w:r w:rsidRPr="00E72418">
        <w:t xml:space="preserve"> clause has turned into the most promising collection weapon to come along since nineteenth-century gunboats</w:t>
      </w:r>
      <w:r w:rsidRPr="00E72418">
        <w:rPr>
          <w:lang w:val="en-US"/>
        </w:rPr>
        <w:t xml:space="preserve"> » (A. </w:t>
      </w:r>
      <w:r w:rsidRPr="00E72418">
        <w:rPr>
          <w:smallCaps/>
          <w:lang w:val="en-US"/>
        </w:rPr>
        <w:t>Gelpern</w:t>
      </w:r>
      <w:r w:rsidRPr="00E72418">
        <w:rPr>
          <w:lang w:val="en-US"/>
        </w:rPr>
        <w:t xml:space="preserve">, </w:t>
      </w:r>
      <w:r w:rsidRPr="00E72418">
        <w:rPr>
          <w:rFonts w:ascii="Times New Roman" w:hAnsi="Times New Roman" w:cs="Times New Roman"/>
          <w:lang w:val="en-US"/>
        </w:rPr>
        <w:t xml:space="preserve">« Courts and sovereigns in the </w:t>
      </w:r>
      <w:r w:rsidRPr="00E72418">
        <w:rPr>
          <w:rFonts w:ascii="Times New Roman" w:hAnsi="Times New Roman" w:cs="Times New Roman"/>
          <w:i/>
          <w:lang w:val="en-US"/>
        </w:rPr>
        <w:t>pari passu</w:t>
      </w:r>
      <w:r w:rsidRPr="00E72418">
        <w:rPr>
          <w:rFonts w:ascii="Times New Roman" w:hAnsi="Times New Roman" w:cs="Times New Roman"/>
          <w:lang w:val="en-US"/>
        </w:rPr>
        <w:t xml:space="preserve"> goldmines », </w:t>
      </w:r>
      <w:r w:rsidRPr="00E72418">
        <w:rPr>
          <w:rFonts w:ascii="Times New Roman" w:hAnsi="Times New Roman" w:cs="Times New Roman"/>
          <w:i/>
          <w:szCs w:val="20"/>
        </w:rPr>
        <w:t>C.M.L.J.</w:t>
      </w:r>
      <w:r w:rsidRPr="00E72418">
        <w:rPr>
          <w:rFonts w:cs="Times New Roman"/>
          <w:lang w:val="en-US"/>
        </w:rPr>
        <w:t>, 2016, p. 254).</w:t>
      </w:r>
    </w:p>
  </w:footnote>
  <w:footnote w:id="944">
    <w:p w14:paraId="66DCBF33" w14:textId="51BCFD94" w:rsidR="0030147D" w:rsidRPr="00E72418" w:rsidRDefault="0030147D" w:rsidP="0005056B">
      <w:pPr>
        <w:pStyle w:val="Sansinterligne"/>
      </w:pPr>
      <w:r w:rsidRPr="00E72418">
        <w:rPr>
          <w:rStyle w:val="Appelnotedebasdep"/>
        </w:rPr>
        <w:footnoteRef/>
      </w:r>
      <w:r w:rsidRPr="00E72418">
        <w:t xml:space="preserve"> </w:t>
      </w:r>
      <w:r w:rsidRPr="00E72418">
        <w:rPr>
          <w:i/>
        </w:rPr>
        <w:t>Ibid.</w:t>
      </w:r>
      <w:r w:rsidRPr="00E72418">
        <w:t>, p. 273.</w:t>
      </w:r>
    </w:p>
  </w:footnote>
  <w:footnote w:id="945">
    <w:p w14:paraId="5BF97B63" w14:textId="20D1D70B"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zCs w:val="20"/>
        </w:rPr>
        <w:t xml:space="preserve">M. </w:t>
      </w:r>
      <w:r w:rsidRPr="00E72418">
        <w:rPr>
          <w:rFonts w:cs="Times New Roman"/>
          <w:smallCaps/>
          <w:szCs w:val="24"/>
          <w:shd w:val="clear" w:color="auto" w:fill="FFFFFF"/>
          <w:lang w:val="en-US"/>
        </w:rPr>
        <w:t xml:space="preserve">Megliani, M., </w:t>
      </w:r>
      <w:r w:rsidRPr="00E72418">
        <w:rPr>
          <w:rFonts w:cs="Times New Roman"/>
          <w:i/>
          <w:szCs w:val="24"/>
          <w:shd w:val="clear" w:color="auto" w:fill="FFFFFF"/>
          <w:lang w:val="en-US"/>
        </w:rPr>
        <w:t>Sovereign Debt: Genesis, Restructuring, litigation</w:t>
      </w:r>
      <w:r w:rsidRPr="00E72418">
        <w:rPr>
          <w:rFonts w:cs="Times New Roman"/>
          <w:szCs w:val="24"/>
          <w:shd w:val="clear" w:color="auto" w:fill="FFFFFF"/>
          <w:lang w:val="en-US"/>
        </w:rPr>
        <w:t>,</w:t>
      </w:r>
      <w:r w:rsidRPr="00E72418">
        <w:rPr>
          <w:rFonts w:cs="Times New Roman"/>
          <w:i/>
          <w:szCs w:val="24"/>
          <w:shd w:val="clear" w:color="auto" w:fill="FFFFFF"/>
          <w:lang w:val="en-US"/>
        </w:rPr>
        <w:t xml:space="preserve"> op. cit.</w:t>
      </w:r>
      <w:r w:rsidRPr="00E72418">
        <w:rPr>
          <w:rFonts w:cs="Times New Roman"/>
          <w:szCs w:val="24"/>
          <w:shd w:val="clear" w:color="auto" w:fill="FFFFFF"/>
          <w:lang w:val="en-US"/>
        </w:rPr>
        <w:t xml:space="preserve">, pp. 514 et 515. </w:t>
      </w:r>
    </w:p>
  </w:footnote>
  <w:footnote w:id="946">
    <w:p w14:paraId="0CFF5B49" w14:textId="51BB1CCF"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00392084">
        <w:rPr>
          <w:szCs w:val="20"/>
          <w:lang w:val="en-US"/>
        </w:rPr>
        <w:t xml:space="preserve">Clause reprise in </w:t>
      </w:r>
      <w:r w:rsidRPr="00E72418">
        <w:rPr>
          <w:smallCaps/>
          <w:szCs w:val="20"/>
          <w:lang w:val="en-US"/>
        </w:rPr>
        <w:t>T. Monteleone</w:t>
      </w:r>
      <w:r w:rsidRPr="00E72418">
        <w:rPr>
          <w:szCs w:val="20"/>
          <w:lang w:val="en-US"/>
        </w:rPr>
        <w:t xml:space="preserve">, « A vulture’s gamble: high-stakes interpretation of sovereign debt contracts in </w:t>
      </w:r>
      <w:r w:rsidRPr="00E72418">
        <w:rPr>
          <w:i/>
          <w:szCs w:val="20"/>
          <w:lang w:val="en-US"/>
        </w:rPr>
        <w:t>NML Capital, Ltd. v Republic of Argentina</w:t>
      </w:r>
      <w:r w:rsidRPr="00E72418">
        <w:rPr>
          <w:szCs w:val="20"/>
          <w:lang w:val="en-US"/>
        </w:rPr>
        <w:t xml:space="preserve"> », </w:t>
      </w:r>
      <w:r w:rsidRPr="00E72418">
        <w:rPr>
          <w:i/>
          <w:szCs w:val="20"/>
          <w:lang w:val="en-US"/>
        </w:rPr>
        <w:t>op. cit.</w:t>
      </w:r>
      <w:r w:rsidRPr="00E72418">
        <w:rPr>
          <w:szCs w:val="20"/>
          <w:lang w:val="en-US"/>
        </w:rPr>
        <w:t>, p. 155.</w:t>
      </w:r>
    </w:p>
  </w:footnote>
  <w:footnote w:id="947">
    <w:p w14:paraId="3B5DBC96" w14:textId="08A08C90" w:rsidR="0030147D" w:rsidRPr="00E72418" w:rsidRDefault="0030147D" w:rsidP="001F689C">
      <w:pPr>
        <w:pStyle w:val="Sansinterligne"/>
        <w:rPr>
          <w:szCs w:val="20"/>
        </w:rPr>
      </w:pPr>
      <w:r w:rsidRPr="00E72418">
        <w:rPr>
          <w:rStyle w:val="Appelnotedebasdep"/>
          <w:szCs w:val="20"/>
        </w:rPr>
        <w:footnoteRef/>
      </w:r>
      <w:r w:rsidRPr="00E72418">
        <w:rPr>
          <w:szCs w:val="20"/>
        </w:rPr>
        <w:t xml:space="preserve"> </w:t>
      </w:r>
      <w:r w:rsidRPr="00E72418">
        <w:rPr>
          <w:smallCaps/>
          <w:szCs w:val="20"/>
        </w:rPr>
        <w:t>A. Imbert</w:t>
      </w:r>
      <w:r w:rsidRPr="00E72418">
        <w:rPr>
          <w:szCs w:val="20"/>
        </w:rPr>
        <w:t xml:space="preserve">, « Les fonds vautours, classe particulière d’investisseurs ? », </w:t>
      </w:r>
      <w:r w:rsidRPr="00E72418">
        <w:rPr>
          <w:i/>
          <w:szCs w:val="20"/>
        </w:rPr>
        <w:t>op. cit.</w:t>
      </w:r>
      <w:r w:rsidRPr="00E72418">
        <w:rPr>
          <w:szCs w:val="20"/>
        </w:rPr>
        <w:t xml:space="preserve">, p. 40. À l’appui de son propos, la société </w:t>
      </w:r>
      <w:r w:rsidRPr="00E72418">
        <w:rPr>
          <w:i/>
          <w:szCs w:val="20"/>
        </w:rPr>
        <w:t>Elliott Associates</w:t>
      </w:r>
      <w:r w:rsidRPr="00E72418">
        <w:rPr>
          <w:szCs w:val="20"/>
        </w:rPr>
        <w:t xml:space="preserve"> déposa une argumentation juridique du Professeur Andreas Lowenfeld de la </w:t>
      </w:r>
      <w:r w:rsidRPr="00E72418">
        <w:rPr>
          <w:i/>
          <w:szCs w:val="20"/>
        </w:rPr>
        <w:t>New York University School of Law</w:t>
      </w:r>
      <w:r w:rsidRPr="00E72418">
        <w:rPr>
          <w:szCs w:val="20"/>
        </w:rPr>
        <w:t>.</w:t>
      </w:r>
    </w:p>
  </w:footnote>
  <w:footnote w:id="948">
    <w:p w14:paraId="1618A1C2" w14:textId="128DEE40" w:rsidR="0030147D" w:rsidRPr="00E72418" w:rsidRDefault="0030147D" w:rsidP="001F689C">
      <w:pPr>
        <w:pStyle w:val="Sansinterligne"/>
        <w:rPr>
          <w:szCs w:val="20"/>
        </w:rPr>
      </w:pPr>
      <w:r w:rsidRPr="00E72418">
        <w:rPr>
          <w:rStyle w:val="Appelnotedebasdep"/>
          <w:szCs w:val="20"/>
        </w:rPr>
        <w:footnoteRef/>
      </w:r>
      <w:r w:rsidRPr="00E72418">
        <w:rPr>
          <w:szCs w:val="20"/>
        </w:rPr>
        <w:t xml:space="preserve"> Bruxelles, 26 septembre 2000, n° 2000/QR/92, inédit. Notons que le président du tribunal de commerce de Bruxelles, saisi sur requête unilatérale en application de l’article 584 du Code judiciaire belge, n’avait, dans sa décision du 22 septembre 2000, pas fait droit à la demande du créancier et qu’un appel avait été formé contre cette décision.</w:t>
      </w:r>
    </w:p>
  </w:footnote>
  <w:footnote w:id="949">
    <w:p w14:paraId="7A60EED0" w14:textId="2BFB7038" w:rsidR="0030147D" w:rsidRPr="00E72418" w:rsidRDefault="0030147D" w:rsidP="00640D13">
      <w:pPr>
        <w:pStyle w:val="Sansinterligne"/>
      </w:pPr>
      <w:r w:rsidRPr="00E72418">
        <w:rPr>
          <w:rStyle w:val="Appelnotedebasdep"/>
        </w:rPr>
        <w:footnoteRef/>
      </w:r>
      <w:r w:rsidRPr="00E72418">
        <w:t xml:space="preserve"> Voyez notre traduction libre </w:t>
      </w:r>
      <w:r w:rsidRPr="00E72418">
        <w:rPr>
          <w:i/>
        </w:rPr>
        <w:t>supra</w:t>
      </w:r>
      <w:r w:rsidRPr="00E72418">
        <w:t xml:space="preserve"> n° 102.</w:t>
      </w:r>
    </w:p>
  </w:footnote>
  <w:footnote w:id="950">
    <w:p w14:paraId="552E0C89" w14:textId="3A3150C3"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N. Turchi</w:t>
      </w:r>
      <w:r w:rsidRPr="00E72418">
        <w:rPr>
          <w:szCs w:val="20"/>
          <w:lang w:val="en-US"/>
        </w:rPr>
        <w:t xml:space="preserve">, « Restructuring a Sovereign Bond Pari Passu Work-Around: Can Holdout Creditors Ever Have Equal Treatment? », </w:t>
      </w:r>
      <w:r w:rsidRPr="00E72418">
        <w:rPr>
          <w:i/>
          <w:szCs w:val="20"/>
          <w:lang w:val="en-US"/>
        </w:rPr>
        <w:t>Fordham Law Review</w:t>
      </w:r>
      <w:r w:rsidRPr="00E72418">
        <w:rPr>
          <w:szCs w:val="20"/>
          <w:lang w:val="en-US"/>
        </w:rPr>
        <w:t>, 2015, p. 2194 : « [t]he significance of the Belgian Court decision could not be mistaken; the ratable payment interpretation of the pari passu clause was born ».</w:t>
      </w:r>
    </w:p>
  </w:footnote>
  <w:footnote w:id="951">
    <w:p w14:paraId="0B36B2FF" w14:textId="0BF9F5D9" w:rsidR="0030147D" w:rsidRPr="00E72418" w:rsidRDefault="0030147D" w:rsidP="00B822FB">
      <w:pPr>
        <w:pStyle w:val="Sansinterligne"/>
      </w:pPr>
      <w:r w:rsidRPr="00E72418">
        <w:rPr>
          <w:rStyle w:val="Appelnotedebasdep"/>
        </w:rPr>
        <w:footnoteRef/>
      </w:r>
      <w:r w:rsidRPr="00E72418">
        <w:t xml:space="preserve"> L’on constate que dans de très nombreuses publications commentant la décision (ou à tout </w:t>
      </w:r>
      <w:r w:rsidR="003D13B2">
        <w:t xml:space="preserve">le moins la visant), celle-ci </w:t>
      </w:r>
      <w:r w:rsidRPr="00E72418">
        <w:t xml:space="preserve">est </w:t>
      </w:r>
      <w:r w:rsidR="003D13B2">
        <w:t>uniquement</w:t>
      </w:r>
      <w:r w:rsidRPr="00E72418">
        <w:t xml:space="preserve"> mentionnée avec la précision de son caractère inédit sans que ses termes n’en soient reproduits. De là à en déduire que nombre de commentateurs ne l’ont pas lue, il n’y a qu’un pas. Notons que certains commentaires en reprennent toutefois une traduction (voyez</w:t>
      </w:r>
      <w:r>
        <w:t>,</w:t>
      </w:r>
      <w:r w:rsidRPr="00E72418">
        <w:t xml:space="preserve"> par exemple</w:t>
      </w:r>
      <w:r>
        <w:t>,</w:t>
      </w:r>
      <w:r w:rsidRPr="00E72418">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The Evolution of Modern Sovereign Debt Litigation: Vultures, Alter Egos, and Other Legal Fauna »,</w:t>
      </w:r>
      <w:r w:rsidRPr="00E72418">
        <w:rPr>
          <w:i/>
          <w:szCs w:val="20"/>
          <w:lang w:val="en-US"/>
        </w:rPr>
        <w:t xml:space="preserve"> op. cit.</w:t>
      </w:r>
      <w:r w:rsidRPr="00E72418">
        <w:rPr>
          <w:szCs w:val="20"/>
          <w:lang w:val="en-US"/>
        </w:rPr>
        <w:t>, p. 56</w:t>
      </w:r>
      <w:r w:rsidRPr="00E72418">
        <w:rPr>
          <w:lang w:val="en-US"/>
        </w:rPr>
        <w:t>).</w:t>
      </w:r>
    </w:p>
  </w:footnote>
  <w:footnote w:id="952">
    <w:p w14:paraId="62A3B91C" w14:textId="3877F8B0"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M. Bradley, J. Cox</w:t>
      </w:r>
      <w:r w:rsidRPr="00E72418">
        <w:t xml:space="preserve"> et </w:t>
      </w:r>
      <w:r w:rsidRPr="00E72418">
        <w:rPr>
          <w:smallCaps/>
        </w:rPr>
        <w:t>M. Gulati</w:t>
      </w:r>
      <w:r w:rsidRPr="00E72418">
        <w:t xml:space="preserve">, « The Market Reaction to Legal Shocks and Their Antidotes: Lessons from the Sovereign Debt Market », </w:t>
      </w:r>
      <w:r w:rsidRPr="00E72418">
        <w:rPr>
          <w:rFonts w:ascii="Times New Roman" w:hAnsi="Times New Roman" w:cs="Times New Roman"/>
          <w:i/>
        </w:rPr>
        <w:t>J. Leg. Stud.</w:t>
      </w:r>
      <w:r w:rsidRPr="00E72418">
        <w:t xml:space="preserve">, 2010, p. 293. Avant cela, la doctrine donnait déjà à la clause un sens différent de celui retenu par la juridiction bruxelloise. Ainsi, par exemple, dans un article de 1991, Buchheit écrivait que « </w:t>
      </w:r>
      <w:r w:rsidRPr="00E72418">
        <w:rPr>
          <w:rFonts w:ascii="Times New Roman" w:hAnsi="Times New Roman" w:cs="Times New Roman"/>
        </w:rPr>
        <w:t>[t]</w:t>
      </w:r>
      <w:r w:rsidRPr="00E72418">
        <w:t xml:space="preserve">he existence of a conventional </w:t>
      </w:r>
      <w:r w:rsidRPr="00E72418">
        <w:rPr>
          <w:i/>
        </w:rPr>
        <w:t>pari passu</w:t>
      </w:r>
      <w:r w:rsidRPr="00E72418">
        <w:t xml:space="preserve"> undertaking in a loan agreement will have no effect on the sovereign borrower’s legal ability to pay one creditor even if it is then in default on its payment obligations to other creditors » (L. </w:t>
      </w:r>
      <w:r w:rsidRPr="00E72418">
        <w:rPr>
          <w:smallCaps/>
        </w:rPr>
        <w:t>Buchheit</w:t>
      </w:r>
      <w:r w:rsidRPr="00E72418">
        <w:t xml:space="preserve">, « The </w:t>
      </w:r>
      <w:r w:rsidRPr="00E72418">
        <w:rPr>
          <w:i/>
        </w:rPr>
        <w:t xml:space="preserve">pari passu </w:t>
      </w:r>
      <w:r w:rsidRPr="00E72418">
        <w:t xml:space="preserve">clause </w:t>
      </w:r>
      <w:r w:rsidRPr="00E72418">
        <w:rPr>
          <w:i/>
        </w:rPr>
        <w:t>sub specie aeternitatis</w:t>
      </w:r>
      <w:r w:rsidRPr="00E72418">
        <w:t xml:space="preserve"> », </w:t>
      </w:r>
      <w:r w:rsidRPr="00E72418">
        <w:rPr>
          <w:rFonts w:ascii="Times New Roman" w:hAnsi="Times New Roman" w:cs="Times New Roman"/>
          <w:i/>
        </w:rPr>
        <w:t>Int. Fin. Law Rev.</w:t>
      </w:r>
      <w:r w:rsidRPr="00E72418">
        <w:t>, décembre 1991, p. 12).</w:t>
      </w:r>
    </w:p>
  </w:footnote>
  <w:footnote w:id="953">
    <w:p w14:paraId="3E01631B" w14:textId="371B01C6"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Gulati</w:t>
      </w:r>
      <w:r w:rsidRPr="00E72418">
        <w:rPr>
          <w:szCs w:val="20"/>
          <w:lang w:val="en-US"/>
        </w:rPr>
        <w:t xml:space="preserve"> et </w:t>
      </w:r>
      <w:r w:rsidRPr="00E72418">
        <w:rPr>
          <w:smallCaps/>
          <w:szCs w:val="20"/>
          <w:lang w:val="en-US"/>
        </w:rPr>
        <w:t>K. Klee</w:t>
      </w:r>
      <w:r w:rsidRPr="00E72418">
        <w:rPr>
          <w:szCs w:val="20"/>
          <w:lang w:val="en-US"/>
        </w:rPr>
        <w:t xml:space="preserve">, « Sovereign Piracy », </w:t>
      </w:r>
      <w:r w:rsidRPr="00E72418">
        <w:rPr>
          <w:i/>
          <w:szCs w:val="20"/>
          <w:lang w:val="en-US"/>
        </w:rPr>
        <w:t>Bus. Lawyer</w:t>
      </w:r>
      <w:r w:rsidRPr="00E72418">
        <w:rPr>
          <w:szCs w:val="20"/>
          <w:lang w:val="en-US"/>
        </w:rPr>
        <w:t>, 2001, p. 638. Les auteurs ajoutent encore que « [t]hose inclined to be holdouts have a stronger position, and it encourages others to hold out ».</w:t>
      </w:r>
    </w:p>
  </w:footnote>
  <w:footnote w:id="954">
    <w:p w14:paraId="3357A88A" w14:textId="7FC40806" w:rsidR="0030147D" w:rsidRPr="00E72418" w:rsidRDefault="0030147D" w:rsidP="0067312A">
      <w:pPr>
        <w:pStyle w:val="Sansinterligne"/>
      </w:pPr>
      <w:r w:rsidRPr="00E72418">
        <w:rPr>
          <w:rStyle w:val="Appelnotedebasdep"/>
        </w:rPr>
        <w:footnoteRef/>
      </w:r>
      <w:r w:rsidRPr="00E72418">
        <w:t xml:space="preserve"> Comme le note Mallory Barr, </w:t>
      </w:r>
      <w:r w:rsidRPr="00E72418">
        <w:rPr>
          <w:szCs w:val="24"/>
        </w:rPr>
        <w:t>« this test case provided Elliott and other vulture funds with a viable collection strategy »</w:t>
      </w:r>
      <w:r w:rsidR="003D13B2" w:rsidRPr="003D13B2">
        <w:rPr>
          <w:szCs w:val="24"/>
        </w:rPr>
        <w:t xml:space="preserve"> </w:t>
      </w:r>
      <w:r w:rsidRPr="00E72418">
        <w:rPr>
          <w:szCs w:val="24"/>
        </w:rPr>
        <w:t>(</w:t>
      </w:r>
      <w:r w:rsidRPr="00E72418">
        <w:t xml:space="preserve">M. </w:t>
      </w:r>
      <w:r w:rsidRPr="00E72418">
        <w:rPr>
          <w:smallCaps/>
        </w:rPr>
        <w:t>Barr</w:t>
      </w:r>
      <w:r w:rsidRPr="00E72418">
        <w:t xml:space="preserve">, « </w:t>
      </w:r>
      <w:r w:rsidRPr="00E72418">
        <w:rPr>
          <w:szCs w:val="20"/>
          <w:lang w:val="en-US"/>
        </w:rPr>
        <w:t>The Litigation Tango of La Casa Rosada and the Vultures: The Political Realities of Sovereign Debt, Vulture Funds, and the Foreign Sovereign Immunities Act</w:t>
      </w:r>
      <w:r w:rsidRPr="00E72418">
        <w:t xml:space="preserve"> »,</w:t>
      </w:r>
      <w:r w:rsidRPr="00E72418">
        <w:rPr>
          <w:i/>
          <w:szCs w:val="20"/>
          <w:lang w:val="en-US"/>
        </w:rPr>
        <w:t xml:space="preserve"> op. cit.</w:t>
      </w:r>
      <w:r w:rsidRPr="00E72418">
        <w:t>, p. 581).</w:t>
      </w:r>
    </w:p>
  </w:footnote>
  <w:footnote w:id="955">
    <w:p w14:paraId="5643C6EB" w14:textId="724499A9"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8.</w:t>
      </w:r>
    </w:p>
  </w:footnote>
  <w:footnote w:id="956">
    <w:p w14:paraId="0133037C" w14:textId="3990F34E"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T. Monteleone</w:t>
      </w:r>
      <w:r w:rsidRPr="00E72418">
        <w:rPr>
          <w:szCs w:val="20"/>
          <w:lang w:val="en-US"/>
        </w:rPr>
        <w:t xml:space="preserve">, « A vulture’s gamble: high-stakes interpretation of sovereign debt contracts in </w:t>
      </w:r>
      <w:r w:rsidRPr="00E72418">
        <w:rPr>
          <w:i/>
          <w:szCs w:val="20"/>
          <w:lang w:val="en-US"/>
        </w:rPr>
        <w:t>NML Capital, Ltd. v Republic of Argentina</w:t>
      </w:r>
      <w:r w:rsidRPr="00E72418">
        <w:rPr>
          <w:szCs w:val="20"/>
          <w:lang w:val="en-US"/>
        </w:rPr>
        <w:t xml:space="preserve"> », </w:t>
      </w:r>
      <w:r w:rsidRPr="00E72418">
        <w:rPr>
          <w:i/>
          <w:szCs w:val="20"/>
          <w:lang w:val="en-US"/>
        </w:rPr>
        <w:t>op. cit.</w:t>
      </w:r>
      <w:r w:rsidRPr="00E72418">
        <w:rPr>
          <w:szCs w:val="20"/>
          <w:lang w:val="en-US"/>
        </w:rPr>
        <w:t>, p. 157.</w:t>
      </w:r>
    </w:p>
  </w:footnote>
  <w:footnote w:id="957">
    <w:p w14:paraId="510E4EB7" w14:textId="505FAAF6" w:rsidR="0030147D" w:rsidRPr="00E72418" w:rsidRDefault="0030147D" w:rsidP="001F689C">
      <w:pPr>
        <w:pStyle w:val="Sansinterligne"/>
        <w:rPr>
          <w:szCs w:val="20"/>
        </w:rPr>
      </w:pPr>
      <w:r w:rsidRPr="00E72418">
        <w:rPr>
          <w:rStyle w:val="Appelnotedebasdep"/>
          <w:szCs w:val="20"/>
        </w:rPr>
        <w:footnoteRef/>
      </w:r>
      <w:r w:rsidRPr="00E72418">
        <w:rPr>
          <w:szCs w:val="20"/>
        </w:rPr>
        <w:t xml:space="preserve"> Tribunal de commerce de Bruxelles, 11 septembre 2003, R.K. 204/03, inédit, cité par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xml:space="preserve">, p. 138. Dans cette même décision, le tribunal de commerce de Bruxelles refusa de retenir que la société </w:t>
      </w:r>
      <w:r w:rsidRPr="00E72418">
        <w:rPr>
          <w:i/>
          <w:szCs w:val="20"/>
        </w:rPr>
        <w:t>LNC Investments Inc.</w:t>
      </w:r>
      <w:r w:rsidRPr="00E72418">
        <w:rPr>
          <w:szCs w:val="20"/>
        </w:rPr>
        <w:t xml:space="preserve"> était, ce que son adversaire avançait, un « fonds vautour ». La juridiction retenait que « </w:t>
      </w:r>
      <w:r w:rsidRPr="00E72418">
        <w:rPr>
          <w:i/>
          <w:szCs w:val="20"/>
        </w:rPr>
        <w:t>LNC</w:t>
      </w:r>
      <w:r w:rsidRPr="00E72418">
        <w:rPr>
          <w:szCs w:val="20"/>
        </w:rPr>
        <w:t xml:space="preserve"> est une respectable société d’investissements détenue à 100% par la société </w:t>
      </w:r>
      <w:r w:rsidRPr="00E72418">
        <w:rPr>
          <w:i/>
          <w:szCs w:val="20"/>
        </w:rPr>
        <w:t>Leucadia National Corporation</w:t>
      </w:r>
      <w:r w:rsidRPr="00E72418">
        <w:rPr>
          <w:szCs w:val="20"/>
        </w:rPr>
        <w:t xml:space="preserve">. </w:t>
      </w:r>
      <w:r w:rsidRPr="00E72418">
        <w:rPr>
          <w:i/>
          <w:szCs w:val="20"/>
        </w:rPr>
        <w:t>Leucadia</w:t>
      </w:r>
      <w:r w:rsidRPr="00E72418">
        <w:rPr>
          <w:szCs w:val="20"/>
        </w:rPr>
        <w:t xml:space="preserve"> est une société cotée en bourse à New York dont les actifs cumulés s’élèvent à plus de USD 1 milliard et qui exerce diverses activités au travers de ses filiales telles que la promotion immobilière, la fourniture de services financiers, de services de télécommunication etc., et qui, en effet, contrairement à ce qu’affirme la République du Nicaragua, n’est nullement un fonds vautour “spécialisé dans le rachat de créances de débiteurs insolvables dans le but de réaliser des plus-values considérables” » (</w:t>
      </w:r>
      <w:r w:rsidRPr="00E72418">
        <w:rPr>
          <w:i/>
          <w:szCs w:val="20"/>
        </w:rPr>
        <w:t>ibid.</w:t>
      </w:r>
      <w:r w:rsidRPr="00E72418">
        <w:rPr>
          <w:szCs w:val="20"/>
        </w:rPr>
        <w:t>, p. 153).</w:t>
      </w:r>
    </w:p>
  </w:footnote>
  <w:footnote w:id="958">
    <w:p w14:paraId="01540497" w14:textId="5B5ED05C" w:rsidR="0030147D" w:rsidRPr="00E72418" w:rsidRDefault="0030147D" w:rsidP="004060B7">
      <w:pPr>
        <w:pStyle w:val="Sansinterligne"/>
      </w:pPr>
      <w:r w:rsidRPr="00E72418">
        <w:rPr>
          <w:rStyle w:val="Appelnotedebasdep"/>
        </w:rPr>
        <w:footnoteRef/>
      </w:r>
      <w:r w:rsidRPr="00E72418">
        <w:t xml:space="preserve"> Sur cette décision du 26 septembre 2000, voyez </w:t>
      </w:r>
      <w:r w:rsidRPr="00E72418">
        <w:rPr>
          <w:i/>
        </w:rPr>
        <w:t>supra</w:t>
      </w:r>
      <w:r w:rsidRPr="00E72418">
        <w:t xml:space="preserve"> n</w:t>
      </w:r>
      <w:r w:rsidRPr="00E72418">
        <w:rPr>
          <w:vertAlign w:val="superscript"/>
        </w:rPr>
        <w:t>os</w:t>
      </w:r>
      <w:r w:rsidRPr="00E72418">
        <w:t xml:space="preserve"> 178 et suiv.</w:t>
      </w:r>
    </w:p>
  </w:footnote>
  <w:footnote w:id="959">
    <w:p w14:paraId="2CEE9414" w14:textId="3F6DA03C"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rFonts w:ascii="Times New Roman" w:hAnsi="Times New Roman" w:cs="Times New Roman"/>
          <w:i/>
        </w:rPr>
        <w:t>R.D.C. – T.B.H.</w:t>
      </w:r>
      <w:r w:rsidRPr="00E72418">
        <w:t xml:space="preserve">, 2006, pp. 99 à 104. Les commentateurs de l’arrêt dans cette revue relèvent aussi que la cour ne se prononce pas sur l’interprétation de la clause </w:t>
      </w:r>
      <w:r w:rsidRPr="00E72418">
        <w:rPr>
          <w:i/>
        </w:rPr>
        <w:t>pari passu</w:t>
      </w:r>
      <w:r w:rsidRPr="00E72418">
        <w:t xml:space="preserve"> incriminée (</w:t>
      </w:r>
      <w:r w:rsidRPr="00E72418">
        <w:rPr>
          <w:i/>
        </w:rPr>
        <w:t>ibid.</w:t>
      </w:r>
      <w:r w:rsidRPr="00E72418">
        <w:t>, p. 104).</w:t>
      </w:r>
    </w:p>
  </w:footnote>
  <w:footnote w:id="960">
    <w:p w14:paraId="7DB161B4" w14:textId="06CA441C" w:rsidR="0030147D" w:rsidRPr="00E72418" w:rsidRDefault="0030147D" w:rsidP="00936D35">
      <w:pPr>
        <w:pStyle w:val="Sansinterligne"/>
      </w:pPr>
      <w:r w:rsidRPr="00E72418">
        <w:rPr>
          <w:rStyle w:val="Appelnotedebasdep"/>
        </w:rPr>
        <w:footnoteRef/>
      </w:r>
      <w:r w:rsidRPr="00E72418">
        <w:t xml:space="preserve"> </w:t>
      </w:r>
      <w:r w:rsidRPr="00E72418">
        <w:rPr>
          <w:smallCaps/>
        </w:rPr>
        <w:t>P. Wautelet</w:t>
      </w:r>
      <w:r w:rsidRPr="00E72418">
        <w:t xml:space="preserve">, « Vulture funds, creditors and sovereign debtors: how to find a balance? », </w:t>
      </w:r>
      <w:r w:rsidRPr="00E72418">
        <w:rPr>
          <w:i/>
        </w:rPr>
        <w:t>op. cit.</w:t>
      </w:r>
      <w:r w:rsidRPr="00E72418">
        <w:t>, p. 139.</w:t>
      </w:r>
    </w:p>
  </w:footnote>
  <w:footnote w:id="961">
    <w:p w14:paraId="35C60283" w14:textId="6D720E43" w:rsidR="0030147D" w:rsidRPr="00E72418" w:rsidRDefault="0030147D" w:rsidP="002C57CA">
      <w:pPr>
        <w:pStyle w:val="Sansinterligne"/>
      </w:pPr>
      <w:r w:rsidRPr="00E72418">
        <w:rPr>
          <w:rStyle w:val="Appelnotedebasdep"/>
        </w:rPr>
        <w:footnoteRef/>
      </w:r>
      <w:r w:rsidRPr="00E72418">
        <w:t xml:space="preserve"> Notons par souci de précision que la société </w:t>
      </w:r>
      <w:r w:rsidRPr="00E72418">
        <w:rPr>
          <w:i/>
        </w:rPr>
        <w:t>NML Capital Ltd.</w:t>
      </w:r>
      <w:r w:rsidRPr="00E72418">
        <w:t xml:space="preserve"> n’était pas le seul créancier impliqué dans le contentieux construit sur la mobilisation de la clause </w:t>
      </w:r>
      <w:r w:rsidRPr="00E72418">
        <w:rPr>
          <w:i/>
        </w:rPr>
        <w:t>pari passu</w:t>
      </w:r>
      <w:r w:rsidRPr="00E72418">
        <w:t>. Par facilité de lecture, cette société sera toutefois ici la seule mentionnée.</w:t>
      </w:r>
    </w:p>
  </w:footnote>
  <w:footnote w:id="962">
    <w:p w14:paraId="57B395B0" w14:textId="7D2E531C"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Argument repris in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009D74EB">
        <w:rPr>
          <w:rStyle w:val="injectednode"/>
          <w:szCs w:val="20"/>
          <w:lang w:val="en-US"/>
        </w:rPr>
        <w:t>699 F.3d 246, p. 258 (la police est reprise).</w:t>
      </w:r>
    </w:p>
  </w:footnote>
  <w:footnote w:id="963">
    <w:p w14:paraId="1F825349"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Voyez le dispositif de la décision</w:t>
      </w:r>
      <w:r w:rsidRPr="00E72418">
        <w:rPr>
          <w:rStyle w:val="injectednode"/>
          <w:szCs w:val="20"/>
          <w:lang w:val="en-US"/>
        </w:rPr>
        <w:t xml:space="preserve"> où il est notamment précisé qu’ </w:t>
      </w:r>
      <w:r w:rsidRPr="00E72418">
        <w:rPr>
          <w:szCs w:val="20"/>
          <w:lang w:val="en-US"/>
        </w:rPr>
        <w:t>« [i]</w:t>
      </w:r>
      <w:r w:rsidRPr="00E72418">
        <w:rPr>
          <w:rStyle w:val="injectednode"/>
          <w:szCs w:val="20"/>
          <w:lang w:val="en-US"/>
        </w:rPr>
        <w:t xml:space="preserve">t is </w:t>
      </w:r>
      <w:r w:rsidRPr="00E72418">
        <w:rPr>
          <w:szCs w:val="20"/>
          <w:lang w:val="en-US"/>
        </w:rPr>
        <w:t xml:space="preserve">DECLARED, ADJUDGED, and DECREED that the Republic is required under Paragraph 1(c) of the FAA at all times to rank its payment obligations pursuant to NML’s Bonds at least equally with all the Republic’s other present and future unsecured and unsubordinated External Indebtedness » (United States District Court for the Southern District of New York (EUA), 7 décembre 2011, </w:t>
      </w:r>
      <w:r w:rsidRPr="00E72418">
        <w:rPr>
          <w:i/>
          <w:szCs w:val="20"/>
          <w:lang w:val="en-US"/>
        </w:rPr>
        <w:t>NML Capital Ltd. v. Republic of Argentina</w:t>
      </w:r>
      <w:r w:rsidRPr="00E72418">
        <w:rPr>
          <w:szCs w:val="20"/>
          <w:lang w:val="en-US"/>
        </w:rPr>
        <w:t xml:space="preserve">, </w:t>
      </w:r>
      <w:r w:rsidRPr="00E72418">
        <w:rPr>
          <w:rStyle w:val="injectednode"/>
          <w:szCs w:val="20"/>
          <w:lang w:val="en-US"/>
        </w:rPr>
        <w:t>2011 U.S. Dist. LEXIS 158860, p. 14 – la police est partiellement reprise).</w:t>
      </w:r>
    </w:p>
  </w:footnote>
  <w:footnote w:id="964">
    <w:p w14:paraId="65C1E2E5"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 It is DECLARED, ADJUDGED, and DECREED that the Republic violates Paragraph 1(c) of the FAA whenever it lowers the rank of its payment obligations under NML’s Bonds below that of any other present or future unsecured and unsubordinated External Indebtedness, including (and without limitation) by relegating NML’s bonds to a non-paying class by failing to pay the obligations currently due under NML’s Bonds while at the same time making payments currently due to holders of other unsecured and unsubordinated External Indebtedness or by legislative enactment » et « [i]t is DECLARED, ADJUDGED, and DECREED that the Republic lowered the rank of NML’s bonds in violation of Paragraph 1(c) of the FAA when it made payments currently due under the Exchange Bonds, while persisting in its refusal to satisfy its payment obligations currently due under NML’s Bonds » (United States District Court for the Southern District of New York (EUA), 7 décembre 2011, </w:t>
      </w:r>
      <w:r w:rsidRPr="00E72418">
        <w:rPr>
          <w:i/>
          <w:szCs w:val="20"/>
          <w:lang w:val="en-US"/>
        </w:rPr>
        <w:t>NML Capital Ltd. v. Republic of Argentina</w:t>
      </w:r>
      <w:r w:rsidRPr="00E72418">
        <w:rPr>
          <w:szCs w:val="20"/>
          <w:lang w:val="en-US"/>
        </w:rPr>
        <w:t xml:space="preserve">, </w:t>
      </w:r>
      <w:r w:rsidRPr="00E72418">
        <w:rPr>
          <w:rStyle w:val="injectednode"/>
          <w:szCs w:val="20"/>
          <w:lang w:val="en-US"/>
        </w:rPr>
        <w:t>2011 U.S. Dist. LEXIS 158860, pp. 14 et 15 – la police est partiellement reprise).</w:t>
      </w:r>
    </w:p>
  </w:footnote>
  <w:footnote w:id="965">
    <w:p w14:paraId="5A2A610D"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 It is DECLARED, ADJUDGED, and DECREED that the Republic lowered the rank of NML’s bonds in violation of Paragraph 1(c) of the FAA when it enacted</w:t>
      </w:r>
      <w:r w:rsidRPr="00E72418">
        <w:rPr>
          <w:rStyle w:val="Appelnotedebasdep"/>
          <w:szCs w:val="20"/>
          <w:vertAlign w:val="baseline"/>
          <w:lang w:val="en-US"/>
        </w:rPr>
        <w:t xml:space="preserve"> </w:t>
      </w:r>
      <w:r w:rsidRPr="00E72418">
        <w:rPr>
          <w:szCs w:val="20"/>
          <w:lang w:val="en-US"/>
        </w:rPr>
        <w:t xml:space="preserve">Law 26,017 and Law 26,547 » et « [i]t is DECLARED, ADJUDGED, and DECREED that the aforesaid laws were in direct violation of the right of NML under the FAA and the bond agreements to bring a legal action in court to recover on the defaulted bonds » (United States District Court for the Southern District of New York (EUA), 7 décembre 2011, </w:t>
      </w:r>
      <w:r w:rsidRPr="00E72418">
        <w:rPr>
          <w:i/>
          <w:szCs w:val="20"/>
          <w:lang w:val="en-US"/>
        </w:rPr>
        <w:t>NML Capital Ltd. v. Republic of Argentina</w:t>
      </w:r>
      <w:r w:rsidRPr="00E72418">
        <w:rPr>
          <w:szCs w:val="20"/>
          <w:lang w:val="en-US"/>
        </w:rPr>
        <w:t xml:space="preserve">, </w:t>
      </w:r>
      <w:r w:rsidRPr="00E72418">
        <w:rPr>
          <w:rStyle w:val="injectednode"/>
          <w:szCs w:val="20"/>
          <w:lang w:val="en-US"/>
        </w:rPr>
        <w:t>2011 U.S. Dist. LEXIS 158860, p. 15 – la police est partiellement reprise).</w:t>
      </w:r>
    </w:p>
  </w:footnote>
  <w:footnote w:id="966">
    <w:p w14:paraId="26DA2536" w14:textId="6D4D2177" w:rsidR="0030147D" w:rsidRPr="00E72418" w:rsidRDefault="0030147D" w:rsidP="001F689C">
      <w:pPr>
        <w:pStyle w:val="Sansinterligne"/>
        <w:rPr>
          <w:szCs w:val="20"/>
          <w:lang w:val="en-US"/>
        </w:rPr>
      </w:pPr>
      <w:r w:rsidRPr="00E72418">
        <w:rPr>
          <w:rStyle w:val="Appelnotedebasdep"/>
          <w:szCs w:val="20"/>
        </w:rPr>
        <w:footnoteRef/>
      </w:r>
      <w:r w:rsidRPr="00E72418">
        <w:rPr>
          <w:szCs w:val="20"/>
        </w:rPr>
        <w:t xml:space="preserve"> Il est intéressant de pointer que, contrairement au </w:t>
      </w:r>
      <w:r w:rsidRPr="00E72418">
        <w:rPr>
          <w:i/>
          <w:szCs w:val="20"/>
        </w:rPr>
        <w:t>Fiscal Agency Agreement</w:t>
      </w:r>
      <w:r w:rsidRPr="00E72418">
        <w:rPr>
          <w:szCs w:val="20"/>
        </w:rPr>
        <w:t xml:space="preserve">, nombre de contrats d’emprunts souverains permettent que des actes législatifs de l’État emprunteur supplantent la clause </w:t>
      </w:r>
      <w:r w:rsidRPr="00E72418">
        <w:rPr>
          <w:i/>
          <w:szCs w:val="20"/>
        </w:rPr>
        <w:t>pari passu</w:t>
      </w:r>
      <w:r w:rsidRPr="00E72418">
        <w:rPr>
          <w:szCs w:val="20"/>
        </w:rPr>
        <w:t xml:space="preserve">. </w:t>
      </w:r>
      <w:r w:rsidRPr="00E72418">
        <w:rPr>
          <w:szCs w:val="20"/>
          <w:lang w:val="en-US"/>
        </w:rPr>
        <w:t xml:space="preserve">Comme le relèvent Howard Steel </w:t>
      </w:r>
      <w:r w:rsidRPr="00E72418">
        <w:rPr>
          <w:i/>
          <w:szCs w:val="20"/>
          <w:lang w:val="en-US"/>
        </w:rPr>
        <w:t>et al.</w:t>
      </w:r>
      <w:r w:rsidRPr="00E72418">
        <w:rPr>
          <w:szCs w:val="20"/>
          <w:lang w:val="en-US"/>
        </w:rPr>
        <w:t>, « [h]ad such a provision been present in the FAA bond indenture, the Lock Law would have accomplished its desired goal without breaching the pari passu clause » (</w:t>
      </w:r>
      <w:r w:rsidRPr="00E72418">
        <w:rPr>
          <w:smallCaps/>
          <w:szCs w:val="20"/>
          <w:lang w:val="en-US"/>
        </w:rPr>
        <w:t>H. Steel, E. Zarrini</w:t>
      </w:r>
      <w:r w:rsidRPr="00E72418">
        <w:rPr>
          <w:szCs w:val="20"/>
          <w:lang w:val="en-US"/>
        </w:rPr>
        <w:t xml:space="preserve"> et </w:t>
      </w:r>
      <w:r w:rsidRPr="00E72418">
        <w:rPr>
          <w:smallCaps/>
          <w:szCs w:val="20"/>
          <w:lang w:val="en-US"/>
        </w:rPr>
        <w:t>A. Goldinstein</w:t>
      </w:r>
      <w:r w:rsidRPr="00E72418">
        <w:rPr>
          <w:szCs w:val="20"/>
          <w:lang w:val="en-US"/>
        </w:rPr>
        <w:t>, « </w:t>
      </w:r>
      <w:r w:rsidRPr="00E72418">
        <w:rPr>
          <w:i/>
          <w:szCs w:val="20"/>
          <w:lang w:val="en-US"/>
        </w:rPr>
        <w:t>NML Capital v Argentina</w:t>
      </w:r>
      <w:r w:rsidRPr="00E72418">
        <w:rPr>
          <w:szCs w:val="20"/>
          <w:lang w:val="en-US"/>
        </w:rPr>
        <w:t xml:space="preserve">: a lesson in indenture interpretation », </w:t>
      </w:r>
      <w:r w:rsidRPr="00E72418">
        <w:rPr>
          <w:i/>
          <w:szCs w:val="20"/>
          <w:lang w:val="en-US"/>
        </w:rPr>
        <w:t>op. cit.</w:t>
      </w:r>
      <w:r w:rsidRPr="00E72418">
        <w:rPr>
          <w:szCs w:val="20"/>
          <w:lang w:val="en-US"/>
        </w:rPr>
        <w:t>, p. 32).</w:t>
      </w:r>
    </w:p>
  </w:footnote>
  <w:footnote w:id="967">
    <w:p w14:paraId="19D25B44" w14:textId="6248DDCE" w:rsidR="0030147D" w:rsidRPr="00E72418" w:rsidRDefault="0030147D" w:rsidP="001F689C">
      <w:pPr>
        <w:pStyle w:val="Sansinterligne"/>
        <w:rPr>
          <w:szCs w:val="20"/>
        </w:rPr>
      </w:pPr>
      <w:r w:rsidRPr="00E72418">
        <w:rPr>
          <w:rStyle w:val="Appelnotedebasdep"/>
          <w:szCs w:val="20"/>
        </w:rPr>
        <w:footnoteRef/>
      </w:r>
      <w:r w:rsidRPr="00E72418">
        <w:rPr>
          <w:szCs w:val="20"/>
          <w:lang w:val="en-US"/>
        </w:rPr>
        <w:t xml:space="preserve"> </w:t>
      </w:r>
      <w:r w:rsidRPr="00E72418">
        <w:rPr>
          <w:szCs w:val="20"/>
        </w:rPr>
        <w:t xml:space="preserve">United States </w:t>
      </w:r>
      <w:r w:rsidRPr="00E72418">
        <w:rPr>
          <w:szCs w:val="20"/>
          <w:lang w:val="en-US"/>
        </w:rPr>
        <w:t xml:space="preserve">District Court for the Southern District of New York (EUA), 23 février 2012, </w:t>
      </w:r>
      <w:r w:rsidRPr="00E72418">
        <w:rPr>
          <w:i/>
          <w:szCs w:val="20"/>
          <w:lang w:val="en-US"/>
        </w:rPr>
        <w:t>NML Capital Ltd. v. Republic of Argentina</w:t>
      </w:r>
      <w:r w:rsidRPr="00E72418">
        <w:rPr>
          <w:szCs w:val="20"/>
          <w:lang w:val="en-US"/>
        </w:rPr>
        <w:t xml:space="preserve">, 08 Civ. 6978 (TPG) e.a., document 371, inédit. </w:t>
      </w:r>
      <w:r w:rsidRPr="00E72418">
        <w:rPr>
          <w:rStyle w:val="injectednode"/>
          <w:szCs w:val="20"/>
        </w:rPr>
        <w:t>La décision explique plus précisément ce qu’il faut entendre par « </w:t>
      </w:r>
      <w:r w:rsidRPr="00E72418">
        <w:rPr>
          <w:szCs w:val="20"/>
        </w:rPr>
        <w:t>Ratable Payment ».</w:t>
      </w:r>
    </w:p>
  </w:footnote>
  <w:footnote w:id="968">
    <w:p w14:paraId="36040098" w14:textId="4EE309D0"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szCs w:val="20"/>
        </w:rPr>
        <w:t xml:space="preserve"> La juridiction fit application de l’article 65 des règles fédérales de procédure civile concernant les « </w:t>
      </w:r>
      <w:r w:rsidRPr="00E72418">
        <w:rPr>
          <w:rStyle w:val="lev"/>
          <w:b w:val="0"/>
          <w:bCs w:val="0"/>
          <w:szCs w:val="20"/>
        </w:rPr>
        <w:t xml:space="preserve">Injunctions and Restraining Orders ». </w:t>
      </w:r>
      <w:r w:rsidRPr="00E72418">
        <w:rPr>
          <w:rStyle w:val="lev"/>
          <w:b w:val="0"/>
          <w:bCs w:val="0"/>
          <w:szCs w:val="20"/>
          <w:lang w:val="en-US"/>
        </w:rPr>
        <w:t>Précisément, il y fut fait application de l’article 65(d)(2) qui dispose que « </w:t>
      </w:r>
      <w:r w:rsidRPr="00E72418">
        <w:rPr>
          <w:szCs w:val="20"/>
          <w:lang w:val="en-US"/>
        </w:rPr>
        <w:t xml:space="preserve">[t]he order binds only the following who receive actual notice of it by personal service or otherwise: (A) the parties; (B) the parties’ officers, agents, servants, employees, and attorneys; and (C) other persons who are in active concert or participation with anyone described in Rule 65(d)(2)(A) or (B) </w:t>
      </w:r>
      <w:r w:rsidRPr="00E72418">
        <w:rPr>
          <w:rStyle w:val="lev"/>
          <w:b w:val="0"/>
          <w:bCs w:val="0"/>
          <w:szCs w:val="20"/>
          <w:lang w:val="en-US"/>
        </w:rPr>
        <w:t>»</w:t>
      </w:r>
      <w:r w:rsidRPr="00E72418">
        <w:rPr>
          <w:szCs w:val="20"/>
          <w:lang w:val="en-US"/>
        </w:rPr>
        <w:t>.</w:t>
      </w:r>
    </w:p>
  </w:footnote>
  <w:footnote w:id="969">
    <w:p w14:paraId="34236EBA" w14:textId="04C1CCC0" w:rsidR="0030147D" w:rsidRPr="00E72418" w:rsidRDefault="0030147D" w:rsidP="0080345D">
      <w:pPr>
        <w:pStyle w:val="Sansinterligne"/>
      </w:pPr>
      <w:r w:rsidRPr="00E72418">
        <w:rPr>
          <w:rStyle w:val="Appelnotedebasdep"/>
        </w:rPr>
        <w:footnoteRef/>
      </w:r>
      <w:r w:rsidRPr="00E72418">
        <w:rPr>
          <w:vertAlign w:val="superscript"/>
        </w:rPr>
        <w:t xml:space="preserve"> </w:t>
      </w:r>
      <w:r w:rsidRPr="00E72418">
        <w:t xml:space="preserve">Comme le remarquait Martin Guzman, la large portée de l’injonction la rendait des plus efficaces. L’auteur le notait « [t]he ruling […] implied that any financial intermediary that helped Argentina could be in contempt with the US courts, even if this occurred beyond US borders </w:t>
      </w:r>
      <w:r w:rsidRPr="00E72418">
        <w:rPr>
          <w:rStyle w:val="lev"/>
          <w:b w:val="0"/>
          <w:bCs w:val="0"/>
        </w:rPr>
        <w:t xml:space="preserve">» et </w:t>
      </w:r>
      <w:r w:rsidRPr="00E72418">
        <w:t xml:space="preserve">« that is why the injunction was so powerful: it was not really threatening Argentina that made it effective, but threatening third parties willing to perform roles that would help the Argentine government’s intentions </w:t>
      </w:r>
      <w:r w:rsidRPr="00E72418">
        <w:rPr>
          <w:rStyle w:val="lev"/>
          <w:b w:val="0"/>
          <w:bCs w:val="0"/>
        </w:rPr>
        <w:t>»</w:t>
      </w:r>
      <w:r w:rsidRPr="00E72418">
        <w:t xml:space="preserve"> (M. </w:t>
      </w:r>
      <w:r w:rsidRPr="00E72418">
        <w:rPr>
          <w:smallCaps/>
        </w:rPr>
        <w:t>Guzman</w:t>
      </w:r>
      <w:r w:rsidRPr="00E72418">
        <w:t xml:space="preserve">, « An analysis of Argentina’s 2001 default resolution », </w:t>
      </w:r>
      <w:r w:rsidRPr="00E72418">
        <w:rPr>
          <w:i/>
          <w:szCs w:val="20"/>
          <w:lang w:val="en-US"/>
        </w:rPr>
        <w:t>op. cit.</w:t>
      </w:r>
      <w:r w:rsidRPr="00E72418">
        <w:t xml:space="preserve">, p. 13). Pour une critique des portées personnelle et territoriale de l’injonction qui dépassent le cadre de notre recherche, voyez notamment A. </w:t>
      </w:r>
      <w:r w:rsidRPr="00E72418">
        <w:rPr>
          <w:rFonts w:cs="Times New Roman"/>
          <w:smallCaps/>
          <w:szCs w:val="24"/>
          <w:lang w:val="en-US"/>
        </w:rPr>
        <w:t>Manzo</w:t>
      </w:r>
      <w:r w:rsidRPr="00E72418">
        <w:rPr>
          <w:rFonts w:cs="Times New Roman"/>
          <w:szCs w:val="24"/>
          <w:lang w:val="en-US"/>
        </w:rPr>
        <w:t>, «</w:t>
      </w:r>
      <w:r w:rsidRPr="00E72418">
        <w:rPr>
          <w:rFonts w:cs="Times New Roman"/>
          <w:lang w:val="en-US"/>
        </w:rPr>
        <w:t xml:space="preserve"> </w:t>
      </w:r>
      <w:r w:rsidRPr="00E72418">
        <w:rPr>
          <w:rFonts w:cs="Times New Roman"/>
          <w:szCs w:val="24"/>
          <w:lang w:val="en-US"/>
        </w:rPr>
        <w:t xml:space="preserve">Enforceability of judgments against sovereign States: critical analysis of the NML vs Argentina injunction », </w:t>
      </w:r>
      <w:r w:rsidRPr="00E72418">
        <w:rPr>
          <w:rFonts w:cs="Times New Roman"/>
          <w:i/>
          <w:szCs w:val="24"/>
          <w:lang w:val="en-US"/>
        </w:rPr>
        <w:t>Revista Direito GV</w:t>
      </w:r>
      <w:r w:rsidRPr="00E72418">
        <w:rPr>
          <w:rFonts w:cs="Times New Roman"/>
          <w:szCs w:val="24"/>
          <w:lang w:val="en-US"/>
        </w:rPr>
        <w:t xml:space="preserve">, 2018, pp. 682 à 706 pour qui il apparaît qu’il s’agit de </w:t>
      </w:r>
      <w:r w:rsidRPr="00E72418">
        <w:t>« the most powerful tool given to a creditor to execute a court judgment</w:t>
      </w:r>
      <w:r w:rsidRPr="00E72418">
        <w:rPr>
          <w:rFonts w:cs="Times New Roman"/>
          <w:szCs w:val="24"/>
          <w:lang w:val="en-US"/>
        </w:rPr>
        <w:t xml:space="preserve"> against a sovereign State </w:t>
      </w:r>
      <w:r w:rsidRPr="00E72418">
        <w:rPr>
          <w:rStyle w:val="lev"/>
          <w:b w:val="0"/>
          <w:bCs w:val="0"/>
        </w:rPr>
        <w:t>»</w:t>
      </w:r>
      <w:r w:rsidRPr="00E72418">
        <w:rPr>
          <w:rFonts w:cs="Times New Roman"/>
          <w:szCs w:val="24"/>
          <w:lang w:val="en-US"/>
        </w:rPr>
        <w:t xml:space="preserve"> (</w:t>
      </w:r>
      <w:r w:rsidRPr="00E72418">
        <w:rPr>
          <w:rFonts w:cs="Times New Roman"/>
          <w:i/>
          <w:szCs w:val="24"/>
          <w:lang w:val="en-US"/>
        </w:rPr>
        <w:t>ibid.</w:t>
      </w:r>
      <w:r w:rsidRPr="00E72418">
        <w:rPr>
          <w:rFonts w:cs="Times New Roman"/>
          <w:szCs w:val="24"/>
          <w:lang w:val="en-US"/>
        </w:rPr>
        <w:t>, p. 683).</w:t>
      </w:r>
    </w:p>
  </w:footnote>
  <w:footnote w:id="970">
    <w:p w14:paraId="5297863C" w14:textId="0A790288"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zCs w:val="20"/>
        </w:rPr>
        <w:t xml:space="preserve">United States </w:t>
      </w:r>
      <w:r w:rsidRPr="00E72418">
        <w:rPr>
          <w:szCs w:val="20"/>
          <w:lang w:val="en-US"/>
        </w:rPr>
        <w:t xml:space="preserve">District Court for the Southern District of New York (EUA), 23 février 2012, </w:t>
      </w:r>
      <w:r w:rsidRPr="00E72418">
        <w:rPr>
          <w:i/>
          <w:szCs w:val="20"/>
          <w:lang w:val="en-US"/>
        </w:rPr>
        <w:t>NML Capital Ltd. v. Republic of Argentina</w:t>
      </w:r>
      <w:r w:rsidRPr="00E72418">
        <w:rPr>
          <w:szCs w:val="20"/>
          <w:lang w:val="en-US"/>
        </w:rPr>
        <w:t>, 08 Civ. 6978 (TPG) e.a., document 371, inédit.</w:t>
      </w:r>
    </w:p>
  </w:footnote>
  <w:footnote w:id="971">
    <w:p w14:paraId="1A057C6C" w14:textId="2168D96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p>
  </w:footnote>
  <w:footnote w:id="972">
    <w:p w14:paraId="5F82FFCB" w14:textId="285613FF" w:rsidR="0030147D" w:rsidRPr="00E72418" w:rsidRDefault="0030147D" w:rsidP="001F689C">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szCs w:val="20"/>
        </w:rPr>
        <w:t xml:space="preserve"> Sur l’absence de mécanisme de faillite pour les États débiteurs rencontrant des difficultés financières, voyez </w:t>
      </w:r>
      <w:r w:rsidRPr="00E72418">
        <w:rPr>
          <w:i/>
          <w:szCs w:val="20"/>
        </w:rPr>
        <w:t>supra</w:t>
      </w:r>
      <w:r w:rsidRPr="00E72418">
        <w:rPr>
          <w:szCs w:val="20"/>
        </w:rPr>
        <w:t xml:space="preserve"> n° 66.</w:t>
      </w:r>
    </w:p>
  </w:footnote>
  <w:footnote w:id="973">
    <w:p w14:paraId="3F9BF04E" w14:textId="12011914"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 There is no adequate remedy at law for the Republic’s ongoing violations of Paragraph 1(c) of the FAA because the Republic has made clear </w:t>
      </w:r>
      <w:r w:rsidRPr="00E72418">
        <w:rPr>
          <w:b/>
          <w:szCs w:val="20"/>
        </w:rPr>
        <w:t xml:space="preserve">– </w:t>
      </w:r>
      <w:r w:rsidRPr="00E72418">
        <w:rPr>
          <w:szCs w:val="20"/>
          <w:lang w:val="en-US"/>
        </w:rPr>
        <w:t xml:space="preserve">indeed, it has codified in Law 26,017 and Law 26,547 </w:t>
      </w:r>
      <w:r w:rsidRPr="00E72418">
        <w:rPr>
          <w:b/>
          <w:szCs w:val="20"/>
        </w:rPr>
        <w:t xml:space="preserve">– </w:t>
      </w:r>
      <w:r w:rsidRPr="00E72418">
        <w:rPr>
          <w:szCs w:val="20"/>
          <w:lang w:val="en-US"/>
        </w:rPr>
        <w:t>its intention to defy any money judgment issued by this Court » (</w:t>
      </w:r>
      <w:r w:rsidRPr="00E72418">
        <w:rPr>
          <w:i/>
          <w:szCs w:val="20"/>
          <w:lang w:val="en-US"/>
        </w:rPr>
        <w:t>ibid</w:t>
      </w:r>
      <w:r w:rsidRPr="00E72418">
        <w:rPr>
          <w:szCs w:val="20"/>
          <w:lang w:val="en-US"/>
        </w:rPr>
        <w:t>.).</w:t>
      </w:r>
    </w:p>
  </w:footnote>
  <w:footnote w:id="974">
    <w:p w14:paraId="5C5EA6D8"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699 F.3d 246, p. 258.</w:t>
      </w:r>
    </w:p>
  </w:footnote>
  <w:footnote w:id="975">
    <w:p w14:paraId="36338363" w14:textId="54A891B6"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Theresa Monteleone explique que « [t]he court’s determination that Argentina had violated the pari passu clause of the FAA would have been meaningless to NML if the court had ultimately found that the District Court’s injunction was not an appropriate remedy » (</w:t>
      </w:r>
      <w:r w:rsidRPr="00E72418">
        <w:rPr>
          <w:smallCaps/>
          <w:szCs w:val="20"/>
          <w:lang w:val="en-US"/>
        </w:rPr>
        <w:t>T. Monteleone</w:t>
      </w:r>
      <w:r w:rsidRPr="00E72418">
        <w:rPr>
          <w:szCs w:val="20"/>
          <w:lang w:val="en-US"/>
        </w:rPr>
        <w:t xml:space="preserve">, « A vulture’s gamble: high-stakes interpretation of sovereign debt contracts in </w:t>
      </w:r>
      <w:r w:rsidRPr="00E72418">
        <w:rPr>
          <w:i/>
          <w:szCs w:val="20"/>
          <w:lang w:val="en-US"/>
        </w:rPr>
        <w:t>NML Capital, Ltd. v Republic of Argentina</w:t>
      </w:r>
      <w:r w:rsidRPr="00E72418">
        <w:rPr>
          <w:szCs w:val="20"/>
          <w:lang w:val="en-US"/>
        </w:rPr>
        <w:t xml:space="preserve"> », </w:t>
      </w:r>
      <w:r w:rsidRPr="00E72418">
        <w:rPr>
          <w:i/>
          <w:szCs w:val="20"/>
          <w:lang w:val="en-US"/>
        </w:rPr>
        <w:t>op. cit.</w:t>
      </w:r>
      <w:r w:rsidRPr="00E72418">
        <w:rPr>
          <w:szCs w:val="20"/>
          <w:lang w:val="en-US"/>
        </w:rPr>
        <w:t>, p. 158).</w:t>
      </w:r>
    </w:p>
  </w:footnote>
  <w:footnote w:id="976">
    <w:p w14:paraId="71443B69"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699 F.3d 246, p. 259.</w:t>
      </w:r>
    </w:p>
  </w:footnote>
  <w:footnote w:id="977">
    <w:p w14:paraId="61A8322A" w14:textId="0DC123AE"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T. Araya</w:t>
      </w:r>
      <w:r w:rsidRPr="00E72418">
        <w:rPr>
          <w:szCs w:val="20"/>
          <w:lang w:val="en-US"/>
        </w:rPr>
        <w:t xml:space="preserve">, « A Decade of Sovereign Debt Litigation: Lessons from the NML v Argentina Case and the Road Ahead », </w:t>
      </w:r>
      <w:r w:rsidRPr="00E72418">
        <w:rPr>
          <w:i/>
          <w:szCs w:val="20"/>
          <w:lang w:val="en-US"/>
        </w:rPr>
        <w:t>op. cit.</w:t>
      </w:r>
      <w:r w:rsidRPr="00E72418">
        <w:rPr>
          <w:szCs w:val="20"/>
          <w:lang w:val="en-US"/>
        </w:rPr>
        <w:t>, p. 90.</w:t>
      </w:r>
    </w:p>
  </w:footnote>
  <w:footnote w:id="978">
    <w:p w14:paraId="0C995B63" w14:textId="069254BD" w:rsidR="0030147D" w:rsidRPr="00E72418" w:rsidRDefault="0030147D" w:rsidP="001F689C">
      <w:pPr>
        <w:pStyle w:val="Sansinterligne"/>
        <w:rPr>
          <w:szCs w:val="20"/>
        </w:rPr>
      </w:pPr>
      <w:r w:rsidRPr="00E72418">
        <w:rPr>
          <w:rStyle w:val="Appelnotedebasdep"/>
          <w:szCs w:val="20"/>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 xml:space="preserve">699 F.3d 246, p. 260 </w:t>
      </w:r>
      <w:r w:rsidRPr="00E72418">
        <w:rPr>
          <w:szCs w:val="20"/>
          <w:lang w:val="en-US"/>
        </w:rPr>
        <w:t>(la police est reprise)</w:t>
      </w:r>
      <w:r w:rsidRPr="00E72418">
        <w:rPr>
          <w:rStyle w:val="injectednode"/>
          <w:szCs w:val="20"/>
          <w:lang w:val="en-US"/>
        </w:rPr>
        <w:t>.</w:t>
      </w:r>
    </w:p>
  </w:footnote>
  <w:footnote w:id="979">
    <w:p w14:paraId="0F5BF293" w14:textId="317A5EDA"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rStyle w:val="injectednode"/>
          <w:szCs w:val="20"/>
          <w:lang w:val="en-US"/>
        </w:rPr>
        <w:t xml:space="preserve">, p. 262. Sur ce </w:t>
      </w:r>
      <w:r w:rsidRPr="00E72418">
        <w:rPr>
          <w:i/>
          <w:szCs w:val="20"/>
        </w:rPr>
        <w:t xml:space="preserve">Foreign Sovereign Immunities Act </w:t>
      </w:r>
      <w:r w:rsidRPr="00E72418">
        <w:rPr>
          <w:szCs w:val="20"/>
        </w:rPr>
        <w:t xml:space="preserve">et sa mobilisation par les États débiteurs, voyez </w:t>
      </w:r>
      <w:r w:rsidRPr="00E72418">
        <w:rPr>
          <w:i/>
          <w:szCs w:val="20"/>
        </w:rPr>
        <w:t xml:space="preserve">infra </w:t>
      </w:r>
      <w:r w:rsidRPr="00E72418">
        <w:rPr>
          <w:szCs w:val="20"/>
        </w:rPr>
        <w:t>n</w:t>
      </w:r>
      <w:r w:rsidRPr="00E72418">
        <w:rPr>
          <w:szCs w:val="20"/>
          <w:vertAlign w:val="superscript"/>
        </w:rPr>
        <w:t>os</w:t>
      </w:r>
      <w:r w:rsidR="000F5FE4">
        <w:rPr>
          <w:szCs w:val="20"/>
        </w:rPr>
        <w:t xml:space="preserve"> 200 et suiv</w:t>
      </w:r>
      <w:r w:rsidRPr="00E72418">
        <w:rPr>
          <w:szCs w:val="20"/>
        </w:rPr>
        <w:t>.</w:t>
      </w:r>
    </w:p>
  </w:footnote>
  <w:footnote w:id="980">
    <w:p w14:paraId="5575B06B" w14:textId="677666E4"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rStyle w:val="injectednode"/>
          <w:szCs w:val="20"/>
          <w:lang w:val="en-US"/>
        </w:rPr>
        <w:t xml:space="preserve">, p. 265. </w:t>
      </w:r>
    </w:p>
  </w:footnote>
  <w:footnote w:id="981">
    <w:p w14:paraId="1EFDC97F" w14:textId="5AC88830" w:rsidR="0030147D" w:rsidRPr="00E72418" w:rsidRDefault="0030147D" w:rsidP="001F689C">
      <w:pPr>
        <w:pStyle w:val="Sansinterligne"/>
        <w:rPr>
          <w:rFonts w:cs="Times New Roman"/>
          <w:szCs w:val="20"/>
          <w:lang w:val="en-US"/>
        </w:rPr>
      </w:pPr>
      <w:r w:rsidRPr="00E72418">
        <w:rPr>
          <w:rStyle w:val="Appelnotedebasdep"/>
          <w:szCs w:val="20"/>
        </w:rPr>
        <w:footnoteRef/>
      </w:r>
      <w:r w:rsidRPr="00E72418">
        <w:rPr>
          <w:szCs w:val="20"/>
          <w:lang w:val="en-US"/>
        </w:rPr>
        <w:t xml:space="preserve"> United States District Court for the Southern District of New York (EUA), 21 novembre 2012, </w:t>
      </w:r>
      <w:r w:rsidRPr="00E72418">
        <w:rPr>
          <w:i/>
          <w:szCs w:val="20"/>
          <w:lang w:val="en-US"/>
        </w:rPr>
        <w:t>NML Capital v. Republic of Argentina</w:t>
      </w:r>
      <w:r w:rsidRPr="00E72418">
        <w:rPr>
          <w:szCs w:val="20"/>
          <w:lang w:val="en-US"/>
        </w:rPr>
        <w:t>, 2012 WL 5895786, p. 2.</w:t>
      </w:r>
    </w:p>
  </w:footnote>
  <w:footnote w:id="982">
    <w:p w14:paraId="0927D1B3" w14:textId="4E8268EB"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 [t]he obligation to plaintiffs under the February 23, 2012 Injunctions accrues whenever Argentina “pays any amount due” under the terms of the Exchange Bonds. The next time this will occur will be in December 2012, when Argentina is scheduled to make interest payments on the Exchange Bonds of about $3.14 billion: $42 million on December 2, $3 billion on December 15, and $100 million on December 31. When this occurs, Argentina will be required to make a “Ratable Payment” to plaintiffs. Assuming that Argentina pays 100% of what is then due on the Exchange Bonds, this is the “Payment Percentage” […]. Argentina would be required to pay 100% “multiplied by the total amount currently due” to plaintiffs » (</w:t>
      </w:r>
      <w:r w:rsidRPr="00E72418">
        <w:rPr>
          <w:i/>
          <w:szCs w:val="20"/>
          <w:lang w:val="en-US"/>
        </w:rPr>
        <w:t>ibid</w:t>
      </w:r>
      <w:r w:rsidRPr="00E72418">
        <w:rPr>
          <w:szCs w:val="20"/>
          <w:lang w:val="en-US"/>
        </w:rPr>
        <w:t>.).</w:t>
      </w:r>
    </w:p>
  </w:footnote>
  <w:footnote w:id="983">
    <w:p w14:paraId="57A47B38" w14:textId="562C9C30"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4 (la police est reprise).</w:t>
      </w:r>
    </w:p>
  </w:footnote>
  <w:footnote w:id="984">
    <w:p w14:paraId="5C180037"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3Car"/>
          <w:rFonts w:ascii="Times" w:eastAsiaTheme="minorHAnsi" w:hAnsi="Times" w:cstheme="minorBidi"/>
          <w:color w:val="auto"/>
          <w:sz w:val="20"/>
          <w:szCs w:val="20"/>
          <w:lang w:val="en-US"/>
        </w:rPr>
        <w:t xml:space="preserve">Il est précisé dans la décision du 21 novembre 2012 que les « participants » y visés « refer to those persons and entities who act in active concert or participation with the Republic, to assist the Republic in fulfilling its payment obligations under the Exchange Bonds </w:t>
      </w:r>
      <w:r w:rsidRPr="00E72418">
        <w:rPr>
          <w:szCs w:val="20"/>
          <w:lang w:val="en-US"/>
        </w:rPr>
        <w:t xml:space="preserve">[…] </w:t>
      </w:r>
      <w:r w:rsidRPr="00E72418">
        <w:rPr>
          <w:rStyle w:val="Titre3Car"/>
          <w:rFonts w:ascii="Times" w:eastAsiaTheme="minorHAnsi" w:hAnsi="Times" w:cstheme="minorBidi"/>
          <w:color w:val="auto"/>
          <w:sz w:val="20"/>
          <w:szCs w:val="20"/>
          <w:lang w:val="en-US"/>
        </w:rPr>
        <w:t xml:space="preserve">» (United States District Court for the Southern District of New York (EUA), 21 novembre 2012, </w:t>
      </w:r>
      <w:r w:rsidRPr="00E72418">
        <w:rPr>
          <w:rStyle w:val="Titre3Car"/>
          <w:rFonts w:ascii="Times" w:eastAsiaTheme="minorHAnsi" w:hAnsi="Times" w:cstheme="minorBidi"/>
          <w:i/>
          <w:color w:val="auto"/>
          <w:sz w:val="20"/>
          <w:szCs w:val="20"/>
          <w:lang w:val="en-US"/>
        </w:rPr>
        <w:t>NML Capital v. Republic of Argentina</w:t>
      </w:r>
      <w:r w:rsidRPr="00E72418">
        <w:rPr>
          <w:rStyle w:val="Titre3Car"/>
          <w:rFonts w:ascii="Times" w:eastAsiaTheme="minorHAnsi" w:hAnsi="Times" w:cstheme="minorBidi"/>
          <w:color w:val="auto"/>
          <w:sz w:val="20"/>
          <w:szCs w:val="20"/>
          <w:lang w:val="en-US"/>
        </w:rPr>
        <w:t>, “Amended February 23, 2012 Order”, 2012 WL 5895784).</w:t>
      </w:r>
    </w:p>
  </w:footnote>
  <w:footnote w:id="985">
    <w:p w14:paraId="1FCD14E6" w14:textId="65E6E5DA" w:rsidR="0030147D" w:rsidRPr="00E72418" w:rsidRDefault="0030147D" w:rsidP="00C82D18">
      <w:pPr>
        <w:pStyle w:val="Sansinterligne"/>
      </w:pPr>
      <w:r w:rsidRPr="00E72418">
        <w:rPr>
          <w:rStyle w:val="Appelnotedebasdep"/>
          <w:szCs w:val="20"/>
        </w:rPr>
        <w:footnoteRef/>
      </w:r>
      <w:r w:rsidRPr="00E72418">
        <w:t xml:space="preserve"> C’est pour faire face à cette difficulté que l’Argentine avait passé sa </w:t>
      </w:r>
      <w:r w:rsidRPr="00E72418">
        <w:rPr>
          <w:rFonts w:cs="Times New Roman"/>
          <w:i/>
          <w:szCs w:val="24"/>
        </w:rPr>
        <w:t>sovereign payment law</w:t>
      </w:r>
      <w:r w:rsidRPr="00E72418">
        <w:t xml:space="preserve"> désignant comme agent fiduciaire </w:t>
      </w:r>
      <w:r w:rsidRPr="00E72418">
        <w:rPr>
          <w:i/>
        </w:rPr>
        <w:t>Nación Fideicomisos S.A.</w:t>
      </w:r>
      <w:r w:rsidRPr="00E72418">
        <w:rPr>
          <w:rFonts w:cs="Times New Roman"/>
          <w:i/>
          <w:szCs w:val="24"/>
        </w:rPr>
        <w:t xml:space="preserve"> </w:t>
      </w:r>
      <w:r w:rsidRPr="00E72418">
        <w:t xml:space="preserve">en remplacement de la </w:t>
      </w:r>
      <w:r w:rsidRPr="00E72418">
        <w:rPr>
          <w:i/>
        </w:rPr>
        <w:t>Bank of New York Mellon</w:t>
      </w:r>
      <w:r w:rsidRPr="00E72418">
        <w:t xml:space="preserve"> afin de pouvoir payer ses créanciers ayant accepté les restructurations (voyez </w:t>
      </w:r>
      <w:r w:rsidRPr="00E72418">
        <w:rPr>
          <w:i/>
        </w:rPr>
        <w:t>supra</w:t>
      </w:r>
      <w:r w:rsidRPr="00E72418">
        <w:t xml:space="preserve"> n° 96)</w:t>
      </w:r>
      <w:r w:rsidRPr="00E72418">
        <w:rPr>
          <w:rFonts w:cs="Times New Roman"/>
          <w:szCs w:val="24"/>
        </w:rPr>
        <w:t>.</w:t>
      </w:r>
    </w:p>
  </w:footnote>
  <w:footnote w:id="986">
    <w:p w14:paraId="4B662905" w14:textId="19C187E3"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1691.</w:t>
      </w:r>
    </w:p>
  </w:footnote>
  <w:footnote w:id="987">
    <w:p w14:paraId="29408ACC" w14:textId="5BFC9DCA" w:rsidR="0030147D" w:rsidRPr="00E72418" w:rsidRDefault="0030147D" w:rsidP="008A3DB7">
      <w:pPr>
        <w:pStyle w:val="Sansinterligne"/>
      </w:pPr>
      <w:r w:rsidRPr="00E72418">
        <w:rPr>
          <w:rStyle w:val="Appelnotedebasdep"/>
        </w:rPr>
        <w:footnoteRef/>
      </w:r>
      <w:r w:rsidRPr="00E72418">
        <w:t xml:space="preserve"> Response of Appellees to the Republic of Argentina’s March 29 Proposal, 19 avril 2013, 2013 WL 1790907.</w:t>
      </w:r>
    </w:p>
  </w:footnote>
  <w:footnote w:id="988">
    <w:p w14:paraId="2C196FC1"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238</w:t>
      </w:r>
      <w:r w:rsidRPr="00E72418">
        <w:rPr>
          <w:szCs w:val="20"/>
          <w:lang w:val="en-US"/>
        </w:rPr>
        <w:t>.</w:t>
      </w:r>
    </w:p>
  </w:footnote>
  <w:footnote w:id="989">
    <w:p w14:paraId="66E10911" w14:textId="6F8DBBD5"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 Argentina and various amici assert that the amended injunctions will imperil future sovereign debt restructurings. They argue essentially that success by holdout creditors in this case will encourage other bondholders to refuse future exchange offers from other sovereigns. They warn that rather than submitting to restructuring, bondholders will hold out for the possibility of full recovery on their bonds at a later time, in turn causing second- and third-order effects detrimental to the global economy and especially to developing countries » (</w:t>
      </w:r>
      <w:r w:rsidRPr="00E72418">
        <w:rPr>
          <w:i/>
          <w:szCs w:val="20"/>
          <w:lang w:val="en-US"/>
        </w:rPr>
        <w:t>ibid</w:t>
      </w:r>
      <w:r w:rsidRPr="00E72418">
        <w:rPr>
          <w:szCs w:val="20"/>
          <w:lang w:val="en-US"/>
        </w:rPr>
        <w:t>.</w:t>
      </w:r>
      <w:r w:rsidRPr="00E72418">
        <w:rPr>
          <w:rStyle w:val="injectednode"/>
          <w:szCs w:val="20"/>
          <w:lang w:val="en-US"/>
        </w:rPr>
        <w:t>, p. 247).</w:t>
      </w:r>
    </w:p>
  </w:footnote>
  <w:footnote w:id="990">
    <w:p w14:paraId="6225B5BA" w14:textId="332368B6" w:rsidR="0030147D" w:rsidRPr="00E72418" w:rsidRDefault="0030147D" w:rsidP="001F689C">
      <w:pPr>
        <w:pStyle w:val="Sansinterligne"/>
        <w:rPr>
          <w:rFonts w:cs="Times New Roman"/>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szCs w:val="20"/>
        </w:rPr>
        <w:t xml:space="preserve"> </w:t>
      </w:r>
      <w:r w:rsidRPr="00E72418">
        <w:rPr>
          <w:rFonts w:cs="Times New Roman"/>
          <w:szCs w:val="20"/>
        </w:rPr>
        <w:t xml:space="preserve">La Cour d’appel remarqua également que la survenance future d’affaires comme celle rencontrée </w:t>
      </w:r>
      <w:r w:rsidRPr="00E72418">
        <w:rPr>
          <w:rFonts w:cs="Times New Roman"/>
          <w:i/>
          <w:szCs w:val="20"/>
        </w:rPr>
        <w:t>in casu</w:t>
      </w:r>
      <w:r w:rsidRPr="00E72418">
        <w:rPr>
          <w:rFonts w:cs="Times New Roman"/>
          <w:szCs w:val="20"/>
        </w:rPr>
        <w:t xml:space="preserve"> était peu probable en raison du fait que les nouvelles obligations souveraines incluaient presque toutes des clauses d’action collective permettant à un certain nombre de créanciers d’imposer une restructuration à de potentiels récalcitrants (sur ces clauses, voyez </w:t>
      </w:r>
      <w:r w:rsidRPr="00E72418">
        <w:rPr>
          <w:rFonts w:cs="Times New Roman"/>
          <w:i/>
          <w:szCs w:val="20"/>
        </w:rPr>
        <w:t>infra</w:t>
      </w:r>
      <w:r w:rsidRPr="00E72418">
        <w:rPr>
          <w:rFonts w:cs="Times New Roman"/>
          <w:szCs w:val="20"/>
        </w:rPr>
        <w:t xml:space="preserve"> n</w:t>
      </w:r>
      <w:r w:rsidRPr="00E72418">
        <w:rPr>
          <w:rFonts w:cs="Times New Roman"/>
          <w:szCs w:val="20"/>
          <w:vertAlign w:val="superscript"/>
        </w:rPr>
        <w:t>os</w:t>
      </w:r>
      <w:r w:rsidRPr="00E72418">
        <w:rPr>
          <w:rFonts w:cs="Times New Roman"/>
          <w:szCs w:val="20"/>
        </w:rPr>
        <w:t xml:space="preserve"> 282 et suiv.).</w:t>
      </w:r>
    </w:p>
  </w:footnote>
  <w:footnote w:id="991">
    <w:p w14:paraId="5BB997A1" w14:textId="318A3716"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rStyle w:val="injectednode"/>
          <w:szCs w:val="20"/>
          <w:lang w:val="en-US"/>
        </w:rPr>
        <w:t xml:space="preserve">, p. 237 (nous mettons en italique). Dans une décision postérieure intervenue dans l’affaire </w:t>
      </w:r>
      <w:r w:rsidRPr="00E72418">
        <w:rPr>
          <w:rStyle w:val="injectednode"/>
          <w:i/>
          <w:szCs w:val="20"/>
          <w:lang w:val="en-US"/>
        </w:rPr>
        <w:t>White Hawthorne LLC et al v. The Republic of Argentina</w:t>
      </w:r>
      <w:r w:rsidRPr="00E72418">
        <w:rPr>
          <w:rStyle w:val="injectednode"/>
          <w:szCs w:val="20"/>
          <w:lang w:val="en-US"/>
        </w:rPr>
        <w:t xml:space="preserve">, la </w:t>
      </w:r>
      <w:r w:rsidRPr="00735BBE">
        <w:rPr>
          <w:szCs w:val="20"/>
          <w:lang w:val="en-US"/>
        </w:rPr>
        <w:t xml:space="preserve">United States District Court for the Southern District of New York </w:t>
      </w:r>
      <w:r w:rsidRPr="00E72418">
        <w:rPr>
          <w:szCs w:val="20"/>
          <w:lang w:val="en-US"/>
        </w:rPr>
        <w:t>a</w:t>
      </w:r>
      <w:r w:rsidRPr="00E72418">
        <w:rPr>
          <w:rStyle w:val="injectednode"/>
          <w:szCs w:val="20"/>
          <w:lang w:val="en-US"/>
        </w:rPr>
        <w:t xml:space="preserve"> précisé que « </w:t>
      </w:r>
      <w:r w:rsidRPr="00E72418">
        <w:rPr>
          <w:szCs w:val="20"/>
          <w:lang w:val="en-US"/>
        </w:rPr>
        <w:t xml:space="preserve">[n]onpayment on defaulted debt alone is insufficient to show breach of the </w:t>
      </w:r>
      <w:r w:rsidRPr="00E72418">
        <w:rPr>
          <w:i/>
          <w:szCs w:val="20"/>
          <w:lang w:val="en-US"/>
        </w:rPr>
        <w:t>pari passu</w:t>
      </w:r>
      <w:r w:rsidRPr="00E72418">
        <w:rPr>
          <w:szCs w:val="20"/>
          <w:lang w:val="en-US"/>
        </w:rPr>
        <w:t xml:space="preserve"> clause » (United States District Court for the Southern District of New York (EUA), 22 décembre 2016, </w:t>
      </w:r>
      <w:r w:rsidRPr="00E72418">
        <w:rPr>
          <w:rStyle w:val="injectednode"/>
          <w:i/>
          <w:szCs w:val="20"/>
          <w:lang w:val="en-US"/>
        </w:rPr>
        <w:t>White Hawthorne LLC et al v. The Republic of Argentina</w:t>
      </w:r>
      <w:r w:rsidRPr="00E72418">
        <w:rPr>
          <w:rStyle w:val="injectednode"/>
          <w:szCs w:val="20"/>
          <w:lang w:val="en-US"/>
        </w:rPr>
        <w:t xml:space="preserve">, </w:t>
      </w:r>
      <w:r w:rsidRPr="00E72418">
        <w:rPr>
          <w:szCs w:val="20"/>
          <w:lang w:val="en-US"/>
        </w:rPr>
        <w:t>2016 WL 7441699, p. 3).</w:t>
      </w:r>
    </w:p>
  </w:footnote>
  <w:footnote w:id="992">
    <w:p w14:paraId="79FAED60" w14:textId="77777777" w:rsidR="0030147D" w:rsidRPr="00E72418" w:rsidRDefault="0030147D" w:rsidP="001F689C">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248.</w:t>
      </w:r>
    </w:p>
  </w:footnote>
  <w:footnote w:id="993">
    <w:p w14:paraId="2A717FAD" w14:textId="1CC66B41" w:rsidR="0030147D" w:rsidRPr="00E72418" w:rsidRDefault="0030147D" w:rsidP="001F689C">
      <w:pPr>
        <w:pStyle w:val="Sansinterligne"/>
        <w:rPr>
          <w:szCs w:val="20"/>
        </w:rPr>
      </w:pPr>
      <w:r w:rsidRPr="00E72418">
        <w:rPr>
          <w:rStyle w:val="Appelnotedebasdep"/>
          <w:szCs w:val="20"/>
        </w:rPr>
        <w:footnoteRef/>
      </w:r>
      <w:r w:rsidRPr="00E72418">
        <w:rPr>
          <w:szCs w:val="20"/>
          <w:lang w:val="en-US"/>
        </w:rPr>
        <w:t xml:space="preserve"> Supreme Court of the United States (EUA), 16 juin 2014, </w:t>
      </w:r>
      <w:r w:rsidRPr="00E72418">
        <w:rPr>
          <w:i/>
          <w:szCs w:val="20"/>
          <w:lang w:val="en-US"/>
        </w:rPr>
        <w:t>Republic of Argentina v. NML Capital Ltd.</w:t>
      </w:r>
      <w:r w:rsidRPr="00E72418">
        <w:rPr>
          <w:szCs w:val="20"/>
          <w:lang w:val="en-US"/>
        </w:rPr>
        <w:t xml:space="preserve">, 134 S. Ct. 2819 et Supreme Court of the United States (EUA), 16 juin 2014, </w:t>
      </w:r>
      <w:r w:rsidRPr="00E72418">
        <w:rPr>
          <w:i/>
          <w:szCs w:val="20"/>
          <w:lang w:val="en-US"/>
        </w:rPr>
        <w:t xml:space="preserve">Exch. </w:t>
      </w:r>
      <w:r w:rsidRPr="00E72418">
        <w:rPr>
          <w:i/>
          <w:szCs w:val="20"/>
        </w:rPr>
        <w:t>Bondholder Group v. NML Capital Ltd.</w:t>
      </w:r>
      <w:r w:rsidRPr="00E72418">
        <w:rPr>
          <w:szCs w:val="20"/>
        </w:rPr>
        <w:t>, 134 S. Ct. 2819.</w:t>
      </w:r>
    </w:p>
  </w:footnote>
  <w:footnote w:id="994">
    <w:p w14:paraId="5F3BD6CE" w14:textId="2990C52D" w:rsidR="0030147D" w:rsidRPr="00E72418" w:rsidRDefault="0030147D" w:rsidP="00A651D5">
      <w:pPr>
        <w:pStyle w:val="Sansinterligne"/>
      </w:pPr>
      <w:r w:rsidRPr="00E72418">
        <w:rPr>
          <w:rStyle w:val="Appelnotedebasdep"/>
        </w:rPr>
        <w:footnoteRef/>
      </w:r>
      <w:r w:rsidRPr="00E72418">
        <w:rPr>
          <w:vertAlign w:val="superscript"/>
        </w:rPr>
        <w:t xml:space="preserve"> </w:t>
      </w:r>
      <w:r w:rsidRPr="00E72418">
        <w:t xml:space="preserve">Notons encore que le juge Thomas Griesa octroya le même type de protection à d’autres créanciers impliqués dans d’autres actions ayant donné lieu à la condamnation de la République argentine, lequels créanciers furent qualifiés de « Me Too plaintiffs » (United States District Court for the Southern District of New York (EUA), 30 octobre 2015, </w:t>
      </w:r>
      <w:r w:rsidRPr="00E72418">
        <w:rPr>
          <w:i/>
        </w:rPr>
        <w:t>NML Capital Ltd. v. Republic of Argentina</w:t>
      </w:r>
      <w:r w:rsidRPr="00E72418">
        <w:t xml:space="preserve">, 144 F. Supp.3d 513, p. 522 : « [t]he Republic is ordered to specifically perform its obligations to plaintiffs under the </w:t>
      </w:r>
      <w:r w:rsidRPr="00E72418">
        <w:rPr>
          <w:i/>
        </w:rPr>
        <w:t>pari passu</w:t>
      </w:r>
      <w:r w:rsidRPr="00E72418">
        <w:t xml:space="preserve"> clause by making ratable payments to plaintiffs any time it makes, or attempts to make, payments on the Exchange Bonds »). De ceci, Martin Guzman retient une stratégie des créanciers préjudiciable au bon déroulement des restructurations. En effet, l’auteur l’explique, « the case reinforces the expectation that in a restructuring process, it would be enough to hold out, let a vulture fund litigate and then wait to get the same treatment the litigant would get » (M. </w:t>
      </w:r>
      <w:r w:rsidRPr="00E72418">
        <w:rPr>
          <w:smallCaps/>
        </w:rPr>
        <w:t>Guzman</w:t>
      </w:r>
      <w:r w:rsidRPr="00E72418">
        <w:t xml:space="preserve">, « An analysis of Argentina’s 2001 default resolution », </w:t>
      </w:r>
      <w:r w:rsidRPr="00E72418">
        <w:rPr>
          <w:i/>
          <w:szCs w:val="20"/>
          <w:lang w:val="en-US"/>
        </w:rPr>
        <w:t>op. cit.</w:t>
      </w:r>
      <w:r w:rsidRPr="00E72418">
        <w:t>, p. 2).</w:t>
      </w:r>
    </w:p>
  </w:footnote>
  <w:footnote w:id="995">
    <w:p w14:paraId="3CACAFEF" w14:textId="43859D5A" w:rsidR="0030147D" w:rsidRPr="00E72418" w:rsidRDefault="0030147D" w:rsidP="008C077C">
      <w:pPr>
        <w:pStyle w:val="Sansinterligne"/>
      </w:pPr>
      <w:r w:rsidRPr="00E72418">
        <w:rPr>
          <w:rStyle w:val="Appelnotedebasdep"/>
        </w:rPr>
        <w:footnoteRef/>
      </w:r>
      <w:r w:rsidRPr="00E72418">
        <w:t xml:space="preserve"> Peut-être aussi, mais nous ne pourrions l’affirmer avec certitude, la jurisprudence commentée a-t-elle été teintée par la personnalité du juge Thomas Griesa qui eut à connaître de l’affaire au sein de la </w:t>
      </w:r>
      <w:r w:rsidRPr="00735BBE">
        <w:t>United States District Court for the Southern District of New York</w:t>
      </w:r>
      <w:r w:rsidRPr="00E72418">
        <w:t xml:space="preserve"> et la perception qu’il eut de l’affaire. D’aucuns vont jusqu’à dire qu’ « it was clear that Griesa never really fathomed the issue’s complexity » (J. </w:t>
      </w:r>
      <w:r w:rsidRPr="00E72418">
        <w:rPr>
          <w:smallCaps/>
        </w:rPr>
        <w:t>Stiglitz</w:t>
      </w:r>
      <w:r w:rsidRPr="00E72418">
        <w:t xml:space="preserve"> et M. </w:t>
      </w:r>
      <w:r w:rsidRPr="00E72418">
        <w:rPr>
          <w:smallCaps/>
        </w:rPr>
        <w:t>Guzman</w:t>
      </w:r>
      <w:r w:rsidRPr="00E72418">
        <w:t xml:space="preserve">, « Argentina default ? Griesafault is much more accurate », </w:t>
      </w:r>
      <w:r w:rsidRPr="00E72418">
        <w:rPr>
          <w:i/>
        </w:rPr>
        <w:t>op cit.</w:t>
      </w:r>
      <w:r w:rsidRPr="00E72418">
        <w:t>).</w:t>
      </w:r>
    </w:p>
  </w:footnote>
  <w:footnote w:id="996">
    <w:p w14:paraId="15AC7734" w14:textId="77777777"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247.</w:t>
      </w:r>
    </w:p>
  </w:footnote>
  <w:footnote w:id="997">
    <w:p w14:paraId="1465BB9E" w14:textId="6C0EB459"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r w:rsidRPr="00E72418">
        <w:rPr>
          <w:rStyle w:val="injectednode"/>
          <w:szCs w:val="20"/>
          <w:lang w:val="en-US"/>
        </w:rPr>
        <w:t xml:space="preserve"> La Cour précisa encore qu’ </w:t>
      </w:r>
      <w:r w:rsidRPr="00E72418">
        <w:rPr>
          <w:rStyle w:val="Titre5Car"/>
          <w:rFonts w:ascii="Times" w:eastAsiaTheme="minorHAnsi" w:hAnsi="Times" w:cstheme="minorBidi"/>
          <w:color w:val="auto"/>
          <w:szCs w:val="20"/>
          <w:lang w:val="en-US"/>
        </w:rPr>
        <w:t>«</w:t>
      </w:r>
      <w:r w:rsidRPr="00E72418">
        <w:rPr>
          <w:rStyle w:val="injectednode"/>
          <w:szCs w:val="20"/>
          <w:lang w:val="en-US"/>
        </w:rPr>
        <w:t xml:space="preserve"> </w:t>
      </w:r>
      <w:r w:rsidRPr="00E72418">
        <w:rPr>
          <w:szCs w:val="20"/>
          <w:lang w:val="en-US"/>
        </w:rPr>
        <w:t xml:space="preserve">[a]s we explicitly stated in our last opinion, we have not held that a sovereign debtor breaches its </w:t>
      </w:r>
      <w:r w:rsidRPr="00E72418">
        <w:rPr>
          <w:i/>
          <w:szCs w:val="20"/>
          <w:lang w:val="en-US"/>
        </w:rPr>
        <w:t>pari passu</w:t>
      </w:r>
      <w:r w:rsidRPr="00E72418">
        <w:rPr>
          <w:szCs w:val="20"/>
          <w:lang w:val="en-US"/>
        </w:rPr>
        <w:t xml:space="preserve"> clause every time it pays one creditor and not another, or even every time it enacts a law disparately affecting a creditor’s rights </w:t>
      </w:r>
      <w:r w:rsidRPr="00E72418">
        <w:rPr>
          <w:rStyle w:val="Titre5Car"/>
          <w:rFonts w:ascii="Times" w:eastAsiaTheme="minorHAnsi" w:hAnsi="Times" w:cstheme="minorBidi"/>
          <w:color w:val="auto"/>
          <w:szCs w:val="20"/>
          <w:lang w:val="en-US"/>
        </w:rPr>
        <w:t>».</w:t>
      </w:r>
    </w:p>
  </w:footnote>
  <w:footnote w:id="998">
    <w:p w14:paraId="1DDB58F1" w14:textId="560EE40F" w:rsidR="0030147D" w:rsidRPr="00E72418" w:rsidRDefault="0030147D" w:rsidP="00C21616">
      <w:pPr>
        <w:pStyle w:val="Sansinterligne"/>
        <w:rPr>
          <w:szCs w:val="20"/>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L’affaire du siècle : </w:t>
      </w:r>
      <w:r w:rsidRPr="00E72418">
        <w:rPr>
          <w:i/>
          <w:szCs w:val="20"/>
        </w:rPr>
        <w:t>NML c/République d’Argentine</w:t>
      </w:r>
      <w:r w:rsidRPr="00E72418">
        <w:rPr>
          <w:szCs w:val="20"/>
        </w:rPr>
        <w:t xml:space="preserve"> ou la </w:t>
      </w:r>
      <w:r w:rsidRPr="00E72418">
        <w:rPr>
          <w:rStyle w:val="Titredulivre"/>
          <w:b w:val="0"/>
          <w:bCs w:val="0"/>
          <w:i w:val="0"/>
          <w:iCs w:val="0"/>
          <w:spacing w:val="0"/>
          <w:szCs w:val="20"/>
        </w:rPr>
        <w:t xml:space="preserve">“contribution” </w:t>
      </w:r>
      <w:r w:rsidRPr="00E72418">
        <w:rPr>
          <w:szCs w:val="20"/>
        </w:rPr>
        <w:t xml:space="preserve">des fonds vautours au droit international », </w:t>
      </w:r>
      <w:r w:rsidRPr="00E72418">
        <w:rPr>
          <w:i/>
          <w:szCs w:val="20"/>
        </w:rPr>
        <w:t>op. cit.</w:t>
      </w:r>
      <w:r w:rsidRPr="00E72418">
        <w:rPr>
          <w:szCs w:val="20"/>
        </w:rPr>
        <w:t>, p. 407.</w:t>
      </w:r>
    </w:p>
  </w:footnote>
  <w:footnote w:id="999">
    <w:p w14:paraId="02EFE667" w14:textId="72C042F3"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Par exemple, comme le rapportent Mark Weidemaier et Anna Gelpern, « [t]he copycat lawsuit brought by Taiwan to collect on Grenada’s defaulted debt less than six months after the Second Circuit’s NML ruling may be a sign of things to come » (M. </w:t>
      </w:r>
      <w:r w:rsidRPr="00E72418">
        <w:rPr>
          <w:smallCaps/>
          <w:szCs w:val="20"/>
          <w:lang w:val="en-US"/>
        </w:rPr>
        <w:t>Weidemaier</w:t>
      </w:r>
      <w:r w:rsidRPr="00E72418">
        <w:rPr>
          <w:szCs w:val="20"/>
          <w:lang w:val="en-US"/>
        </w:rPr>
        <w:t xml:space="preserve"> et </w:t>
      </w:r>
      <w:r w:rsidRPr="00E72418">
        <w:rPr>
          <w:smallCaps/>
          <w:szCs w:val="20"/>
          <w:lang w:val="en-US"/>
        </w:rPr>
        <w:t>A. Gelpern</w:t>
      </w:r>
      <w:r w:rsidRPr="00E72418">
        <w:rPr>
          <w:szCs w:val="20"/>
          <w:lang w:val="en-US"/>
        </w:rPr>
        <w:t xml:space="preserve">, « Injunctions in Sovereign Debt Litigation », </w:t>
      </w:r>
      <w:r w:rsidRPr="00E72418">
        <w:rPr>
          <w:rFonts w:ascii="Times New Roman" w:hAnsi="Times New Roman" w:cs="Times New Roman"/>
          <w:i/>
          <w:szCs w:val="20"/>
        </w:rPr>
        <w:t>Yale J. on Reg.</w:t>
      </w:r>
      <w:r w:rsidRPr="00E72418">
        <w:rPr>
          <w:szCs w:val="20"/>
          <w:lang w:val="en-US"/>
        </w:rPr>
        <w:t>, 2014, p. 192).</w:t>
      </w:r>
    </w:p>
  </w:footnote>
  <w:footnote w:id="1000">
    <w:p w14:paraId="4866B085" w14:textId="53F42802" w:rsidR="0030147D" w:rsidRPr="00E72418" w:rsidRDefault="0030147D" w:rsidP="00C21616">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Restructuring sovereign debt after </w:t>
      </w:r>
      <w:r w:rsidRPr="00E72418">
        <w:rPr>
          <w:i/>
          <w:szCs w:val="20"/>
          <w:lang w:val="en-US"/>
        </w:rPr>
        <w:t>NML v Argentina</w:t>
      </w:r>
      <w:r w:rsidRPr="00E72418">
        <w:rPr>
          <w:szCs w:val="20"/>
          <w:lang w:val="en-US"/>
        </w:rPr>
        <w:t xml:space="preserve"> », </w:t>
      </w:r>
      <w:r w:rsidRPr="00E72418">
        <w:rPr>
          <w:i/>
          <w:szCs w:val="20"/>
          <w:lang w:val="en-US"/>
        </w:rPr>
        <w:t>op. cit.</w:t>
      </w:r>
      <w:r w:rsidRPr="00E72418">
        <w:rPr>
          <w:szCs w:val="20"/>
          <w:lang w:val="en-US"/>
        </w:rPr>
        <w:t>, p. 225.</w:t>
      </w:r>
    </w:p>
  </w:footnote>
  <w:footnote w:id="1001">
    <w:p w14:paraId="268EB384" w14:textId="7273BA0B" w:rsidR="0030147D" w:rsidRPr="00E72418" w:rsidRDefault="0030147D" w:rsidP="00C21616">
      <w:pPr>
        <w:pStyle w:val="Sansinterligne"/>
        <w:rPr>
          <w:szCs w:val="20"/>
        </w:rPr>
      </w:pPr>
      <w:r w:rsidRPr="00E72418">
        <w:rPr>
          <w:rStyle w:val="Appelnotedebasdep"/>
          <w:szCs w:val="20"/>
        </w:rPr>
        <w:footnoteRef/>
      </w:r>
      <w:r w:rsidRPr="00E72418">
        <w:rPr>
          <w:szCs w:val="20"/>
        </w:rPr>
        <w:t xml:space="preserve"> Généralement, la position argentine fut soutenue par d’autres </w:t>
      </w:r>
      <w:r w:rsidRPr="00E72418">
        <w:rPr>
          <w:i/>
          <w:szCs w:val="20"/>
        </w:rPr>
        <w:t>amicus briefs</w:t>
      </w:r>
      <w:r w:rsidRPr="00E72418">
        <w:rPr>
          <w:szCs w:val="20"/>
        </w:rPr>
        <w:t xml:space="preserve"> déposées notamment par la France, le Brésil ou encore le Mexique mais également par le prix Nobel d’économie Joseph Stiglitz. Le soutien du Brésil et du Mexique pouvait s’expliquer par leurs importants volumes de dettes soumis au droit new-yorkais, ces pays se mobilisant en tant que victimes collatérales potentielles des décisions rendues lors du contentieux argentin. La position de la France qui assure le secrétariat du Club de Paris traduisait sans doute son souci de préservation de la stabilité de l’architecture financière internationale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pp. 53 et 57).</w:t>
      </w:r>
    </w:p>
  </w:footnote>
  <w:footnote w:id="1002">
    <w:p w14:paraId="4B898739" w14:textId="5598B192" w:rsidR="0030147D" w:rsidRPr="00E72418" w:rsidRDefault="0030147D" w:rsidP="00C21616">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Restructuring sovereign debt after </w:t>
      </w:r>
      <w:r w:rsidRPr="00E72418">
        <w:rPr>
          <w:i/>
          <w:szCs w:val="20"/>
          <w:lang w:val="en-US"/>
        </w:rPr>
        <w:t>NML v Argentina</w:t>
      </w:r>
      <w:r w:rsidRPr="00E72418">
        <w:rPr>
          <w:szCs w:val="20"/>
          <w:lang w:val="en-US"/>
        </w:rPr>
        <w:t xml:space="preserve"> », </w:t>
      </w:r>
      <w:r w:rsidRPr="00E72418">
        <w:rPr>
          <w:i/>
          <w:szCs w:val="20"/>
          <w:lang w:val="en-US"/>
        </w:rPr>
        <w:t>op. cit.</w:t>
      </w:r>
      <w:r w:rsidRPr="00E72418">
        <w:rPr>
          <w:szCs w:val="20"/>
          <w:lang w:val="en-US"/>
        </w:rPr>
        <w:t xml:space="preserve">, p. 225. Les auteurs en veulent pour preuve le modèle de clause </w:t>
      </w:r>
      <w:r w:rsidRPr="00E72418">
        <w:rPr>
          <w:i/>
          <w:szCs w:val="20"/>
          <w:lang w:val="en-US"/>
        </w:rPr>
        <w:t>pari passu</w:t>
      </w:r>
      <w:r w:rsidRPr="00E72418">
        <w:rPr>
          <w:szCs w:val="20"/>
          <w:lang w:val="en-US"/>
        </w:rPr>
        <w:t xml:space="preserve"> proposé par l’</w:t>
      </w:r>
      <w:r w:rsidRPr="00E72418">
        <w:t xml:space="preserve">Association internationale des marchés de capitaux </w:t>
      </w:r>
      <w:r w:rsidRPr="00E72418">
        <w:rPr>
          <w:szCs w:val="20"/>
          <w:lang w:val="en-US"/>
        </w:rPr>
        <w:t xml:space="preserve">dans la foulée (voyez </w:t>
      </w:r>
      <w:r w:rsidRPr="00E72418">
        <w:rPr>
          <w:i/>
          <w:szCs w:val="20"/>
          <w:lang w:val="en-US"/>
        </w:rPr>
        <w:t>infra</w:t>
      </w:r>
      <w:r w:rsidRPr="00E72418">
        <w:rPr>
          <w:szCs w:val="20"/>
          <w:lang w:val="en-US"/>
        </w:rPr>
        <w:t xml:space="preserve"> n° 197) et expliquent que « [w]hen issuers and investors take the trouble to revise their standard documents explicitly to disown an aberrant judicial interpretation of a boilerplate clause, it is pretty clear evidence that the market did not in fact understand the clause to mean what the judiciary said the market understood the clause to mean ».</w:t>
      </w:r>
    </w:p>
  </w:footnote>
  <w:footnote w:id="1003">
    <w:p w14:paraId="174DD87B" w14:textId="7DAA2829" w:rsidR="0030147D" w:rsidRPr="00E72418" w:rsidRDefault="0030147D" w:rsidP="00BA0D9D">
      <w:pPr>
        <w:pStyle w:val="Sansinterligne"/>
        <w:rPr>
          <w:rFonts w:ascii="Times New Roman" w:hAnsi="Times New Roman" w:cs="Times New Roman"/>
          <w:szCs w:val="24"/>
        </w:rPr>
      </w:pPr>
      <w:r w:rsidRPr="00E72418">
        <w:rPr>
          <w:rStyle w:val="Appelnotedebasdep"/>
          <w:rFonts w:ascii="Times New Roman" w:hAnsi="Times New Roman" w:cs="Times New Roman"/>
        </w:rPr>
        <w:footnoteRef/>
      </w:r>
      <w:r w:rsidRPr="00E72418">
        <w:rPr>
          <w:rFonts w:ascii="Times New Roman" w:hAnsi="Times New Roman" w:cs="Times New Roman"/>
        </w:rPr>
        <w:t xml:space="preserve"> R. </w:t>
      </w:r>
      <w:r w:rsidRPr="00E72418">
        <w:rPr>
          <w:rFonts w:cs="Times New Roman"/>
          <w:smallCaps/>
          <w:szCs w:val="24"/>
          <w:lang w:val="en-US"/>
        </w:rPr>
        <w:t xml:space="preserve">Zamour, </w:t>
      </w:r>
      <w:r w:rsidRPr="00E72418">
        <w:rPr>
          <w:rFonts w:cs="Times New Roman"/>
          <w:szCs w:val="24"/>
          <w:lang w:val="en-US"/>
        </w:rPr>
        <w:t xml:space="preserve">« </w:t>
      </w:r>
      <w:r w:rsidRPr="00E72418">
        <w:rPr>
          <w:rFonts w:cs="Times New Roman"/>
          <w:bCs/>
          <w:i/>
          <w:iCs/>
          <w:szCs w:val="24"/>
          <w:lang w:val="en-US"/>
        </w:rPr>
        <w:t xml:space="preserve">NML v. Argentina </w:t>
      </w:r>
      <w:r w:rsidRPr="00E72418">
        <w:rPr>
          <w:rFonts w:cs="Times New Roman"/>
          <w:bCs/>
          <w:szCs w:val="24"/>
          <w:lang w:val="en-US"/>
        </w:rPr>
        <w:t xml:space="preserve">and the Ratable Payment Interpretation of the </w:t>
      </w:r>
      <w:r w:rsidRPr="00E72418">
        <w:rPr>
          <w:rFonts w:cs="Times New Roman"/>
          <w:bCs/>
          <w:i/>
          <w:iCs/>
          <w:szCs w:val="24"/>
          <w:lang w:val="en-US"/>
        </w:rPr>
        <w:t xml:space="preserve">Pari Passu </w:t>
      </w:r>
      <w:r w:rsidRPr="00E72418">
        <w:rPr>
          <w:rFonts w:cs="Times New Roman"/>
          <w:bCs/>
          <w:szCs w:val="24"/>
          <w:lang w:val="en-US"/>
        </w:rPr>
        <w:t xml:space="preserve">Clause », </w:t>
      </w:r>
      <w:r w:rsidRPr="00E72418">
        <w:rPr>
          <w:rFonts w:cs="Times New Roman"/>
          <w:bCs/>
          <w:i/>
          <w:szCs w:val="24"/>
          <w:lang w:val="en-US"/>
        </w:rPr>
        <w:t>op. cit.</w:t>
      </w:r>
      <w:r w:rsidRPr="00E72418">
        <w:rPr>
          <w:rFonts w:cs="Times New Roman"/>
          <w:bCs/>
          <w:szCs w:val="24"/>
          <w:lang w:val="en-US"/>
        </w:rPr>
        <w:t>, pp. 64 et 65</w:t>
      </w:r>
      <w:r w:rsidRPr="00E72418">
        <w:rPr>
          <w:rFonts w:ascii="Times New Roman" w:hAnsi="Times New Roman" w:cs="Times New Roman"/>
        </w:rPr>
        <w:t>. Partageant la critique formulée, Fanny Giansetto indique qu’il eût fallu privilégier la sanction de dommages et intérêts plutôt que celle de l’exécution forcée au motif que « </w:t>
      </w:r>
      <w:r w:rsidRPr="00E72418">
        <w:rPr>
          <w:szCs w:val="20"/>
          <w:lang w:val="en-US"/>
        </w:rPr>
        <w:t xml:space="preserve">[d]ans ce cas, la clause </w:t>
      </w:r>
      <w:r w:rsidRPr="00E72418">
        <w:rPr>
          <w:i/>
          <w:szCs w:val="20"/>
          <w:lang w:val="en-US"/>
        </w:rPr>
        <w:t>pari passu</w:t>
      </w:r>
      <w:r w:rsidRPr="00E72418">
        <w:rPr>
          <w:szCs w:val="20"/>
          <w:lang w:val="en-US"/>
        </w:rPr>
        <w:t xml:space="preserve"> ne devient plus une menace mais un outil : elle permet de condamner l’</w:t>
      </w:r>
      <w:r w:rsidRPr="00E72418">
        <w:rPr>
          <w:rFonts w:ascii="Times New Roman" w:hAnsi="Times New Roman" w:cs="Times New Roman"/>
          <w:lang w:eastAsia="fr-BE"/>
        </w:rPr>
        <w:t>É</w:t>
      </w:r>
      <w:r w:rsidRPr="00E72418">
        <w:rPr>
          <w:szCs w:val="20"/>
          <w:lang w:val="en-US"/>
        </w:rPr>
        <w:t>tat à payer l’équivalent de ce que les créanciers ayant accepté le plan de restructuration ont obtenu</w:t>
      </w:r>
      <w:r w:rsidRPr="00E72418">
        <w:rPr>
          <w:rFonts w:ascii="Times New Roman" w:hAnsi="Times New Roman" w:cs="Times New Roman"/>
        </w:rPr>
        <w:t> </w:t>
      </w:r>
      <w:r w:rsidRPr="00E72418">
        <w:rPr>
          <w:szCs w:val="20"/>
          <w:lang w:val="en-US"/>
        </w:rPr>
        <w:t xml:space="preserve">». En lien avec la problématique des créanciers récalcitrants que sont les fonds que nous étudions, l’auteure ajoute qu’ </w:t>
      </w:r>
      <w:r w:rsidRPr="00E72418">
        <w:rPr>
          <w:rFonts w:ascii="Times New Roman" w:hAnsi="Times New Roman" w:cs="Times New Roman"/>
        </w:rPr>
        <w:t xml:space="preserve">« </w:t>
      </w:r>
      <w:r w:rsidRPr="00E72418">
        <w:rPr>
          <w:szCs w:val="20"/>
          <w:lang w:val="en-US"/>
        </w:rPr>
        <w:t>[a]insi, la clause assure un traitement égal de l’ensemble des créanciers, rendant la stratégie des créanciers récalcitrants superflue » (</w:t>
      </w:r>
      <w:r w:rsidRPr="00E72418">
        <w:t xml:space="preserve">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298).</w:t>
      </w:r>
    </w:p>
  </w:footnote>
  <w:footnote w:id="1004">
    <w:p w14:paraId="76157F5A" w14:textId="702DF732" w:rsidR="0030147D" w:rsidRPr="00E72418" w:rsidRDefault="0030147D" w:rsidP="00C21616">
      <w:pPr>
        <w:pStyle w:val="Sansinterligne"/>
        <w:rPr>
          <w:szCs w:val="20"/>
        </w:rPr>
      </w:pPr>
      <w:r w:rsidRPr="00E72418">
        <w:rPr>
          <w:rStyle w:val="Appelnotedebasdep"/>
          <w:szCs w:val="20"/>
        </w:rPr>
        <w:footnoteRef/>
      </w:r>
      <w:r w:rsidRPr="00E72418">
        <w:rPr>
          <w:szCs w:val="20"/>
        </w:rPr>
        <w:t xml:space="preserve"> Les décisions furent également critiquées pour d’autres raisons qui ne concernent pas directement notre recherche. Ainsi, notamment, on peut relever la critique du vocable utilisé dans l’injonction qui traite des « </w:t>
      </w:r>
      <w:r w:rsidRPr="00E72418">
        <w:rPr>
          <w:i/>
          <w:szCs w:val="20"/>
        </w:rPr>
        <w:t>exchange bonds</w:t>
      </w:r>
      <w:r w:rsidRPr="00E72418">
        <w:rPr>
          <w:szCs w:val="20"/>
        </w:rPr>
        <w:t xml:space="preserve"> » alors que le </w:t>
      </w:r>
      <w:r w:rsidRPr="00E72418">
        <w:rPr>
          <w:i/>
          <w:szCs w:val="20"/>
        </w:rPr>
        <w:t>Fiscal Agency Agreement</w:t>
      </w:r>
      <w:r w:rsidRPr="00E72418">
        <w:rPr>
          <w:szCs w:val="20"/>
        </w:rPr>
        <w:t xml:space="preserve"> pose la règle </w:t>
      </w:r>
      <w:r w:rsidRPr="00E72418">
        <w:rPr>
          <w:i/>
          <w:szCs w:val="20"/>
        </w:rPr>
        <w:t>pari passu</w:t>
      </w:r>
      <w:r w:rsidRPr="00E72418">
        <w:rPr>
          <w:szCs w:val="20"/>
        </w:rPr>
        <w:t xml:space="preserve"> en visant les « </w:t>
      </w:r>
      <w:r w:rsidRPr="000F5FE4">
        <w:rPr>
          <w:szCs w:val="20"/>
        </w:rPr>
        <w:t>External Indebtedness</w:t>
      </w:r>
      <w:r w:rsidRPr="00E72418">
        <w:rPr>
          <w:szCs w:val="20"/>
        </w:rPr>
        <w:t xml:space="preserve"> » (voyez </w:t>
      </w:r>
      <w:r w:rsidRPr="00E72418">
        <w:rPr>
          <w:smallCaps/>
          <w:szCs w:val="20"/>
        </w:rPr>
        <w:t>T. Araya</w:t>
      </w:r>
      <w:r w:rsidRPr="00E72418">
        <w:rPr>
          <w:szCs w:val="20"/>
        </w:rPr>
        <w:t xml:space="preserve">, « A Decade of Sovereign Debt Litigation: Lessons from the NML v Argentina Case and the Road Ahead », </w:t>
      </w:r>
      <w:r w:rsidRPr="00E72418">
        <w:rPr>
          <w:i/>
          <w:szCs w:val="20"/>
        </w:rPr>
        <w:t>op. cit.</w:t>
      </w:r>
      <w:r w:rsidRPr="00E72418">
        <w:rPr>
          <w:szCs w:val="20"/>
        </w:rPr>
        <w:t xml:space="preserve">, pp. 96 à 98). Une autre critique éloignée de notre question de recherche est celle de la portée extraterritoriale de l’injonction (voyez notamment </w:t>
      </w:r>
      <w:r w:rsidRPr="00E72418">
        <w:rPr>
          <w:szCs w:val="20"/>
          <w:lang w:val="en-US"/>
        </w:rPr>
        <w:t xml:space="preserve">K. </w:t>
      </w:r>
      <w:r w:rsidRPr="00E72418">
        <w:rPr>
          <w:rFonts w:cs="Times New Roman"/>
          <w:smallCaps/>
          <w:szCs w:val="24"/>
          <w:lang w:val="en-US"/>
        </w:rPr>
        <w:t>Cross</w:t>
      </w:r>
      <w:r w:rsidRPr="00E72418">
        <w:rPr>
          <w:rFonts w:cs="Times New Roman"/>
          <w:szCs w:val="24"/>
          <w:lang w:val="en-US"/>
        </w:rPr>
        <w:t xml:space="preserve">, « The Extraterritorial Reach of Sovereign Debt Enforcement », </w:t>
      </w:r>
      <w:r w:rsidRPr="00E72418">
        <w:rPr>
          <w:rFonts w:cs="Times New Roman"/>
          <w:i/>
          <w:szCs w:val="24"/>
          <w:lang w:val="en-US"/>
        </w:rPr>
        <w:t>op. cit.</w:t>
      </w:r>
      <w:r w:rsidRPr="00E72418">
        <w:rPr>
          <w:rFonts w:cs="Times New Roman"/>
          <w:szCs w:val="24"/>
          <w:lang w:val="en-US"/>
        </w:rPr>
        <w:t xml:space="preserve">, </w:t>
      </w:r>
      <w:r w:rsidRPr="00E72418">
        <w:rPr>
          <w:szCs w:val="20"/>
        </w:rPr>
        <w:t>pp. 135 et suiv.).</w:t>
      </w:r>
    </w:p>
  </w:footnote>
  <w:footnote w:id="1005">
    <w:p w14:paraId="31C3A43F" w14:textId="6ABF94EF"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J. Jrada</w:t>
      </w:r>
      <w:r w:rsidRPr="00E72418">
        <w:t xml:space="preserve">, « Closing the Book on Argentina’s Sovereign Debt Default: The Second Circuit’s Decision and its Ramifications for Sovereign Debt Restructuring in the Eurozone », </w:t>
      </w:r>
      <w:r w:rsidRPr="00E72418">
        <w:rPr>
          <w:rFonts w:ascii="Times New Roman" w:hAnsi="Times New Roman" w:cs="Times New Roman"/>
          <w:i/>
        </w:rPr>
        <w:t>Rev. Banking &amp; Fin. Law</w:t>
      </w:r>
      <w:r w:rsidRPr="00E72418">
        <w:t>, 2013, p. 232.</w:t>
      </w:r>
    </w:p>
  </w:footnote>
  <w:footnote w:id="1006">
    <w:p w14:paraId="3980C4CD" w14:textId="5DBE0CAF"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Steel, E. Zarrini</w:t>
      </w:r>
      <w:r w:rsidRPr="00E72418">
        <w:rPr>
          <w:szCs w:val="20"/>
          <w:lang w:val="en-US"/>
        </w:rPr>
        <w:t xml:space="preserve"> et </w:t>
      </w:r>
      <w:r w:rsidRPr="00E72418">
        <w:rPr>
          <w:smallCaps/>
          <w:szCs w:val="20"/>
          <w:lang w:val="en-US"/>
        </w:rPr>
        <w:t>A. Goldinstein</w:t>
      </w:r>
      <w:r w:rsidRPr="00E72418">
        <w:rPr>
          <w:szCs w:val="20"/>
          <w:lang w:val="en-US"/>
        </w:rPr>
        <w:t>, « </w:t>
      </w:r>
      <w:r w:rsidRPr="00E72418">
        <w:rPr>
          <w:i/>
          <w:szCs w:val="20"/>
          <w:lang w:val="en-US"/>
        </w:rPr>
        <w:t>NML Capital v Argentina</w:t>
      </w:r>
      <w:r w:rsidRPr="00E72418">
        <w:rPr>
          <w:szCs w:val="20"/>
          <w:lang w:val="en-US"/>
        </w:rPr>
        <w:t xml:space="preserve">: a lesson in indenture interpretation », </w:t>
      </w:r>
      <w:r w:rsidRPr="00E72418">
        <w:rPr>
          <w:i/>
          <w:szCs w:val="20"/>
          <w:lang w:val="en-US"/>
        </w:rPr>
        <w:t>op. cit.</w:t>
      </w:r>
      <w:r w:rsidRPr="00E72418">
        <w:rPr>
          <w:szCs w:val="20"/>
          <w:lang w:val="en-US"/>
        </w:rPr>
        <w:t>, p. 32.</w:t>
      </w:r>
    </w:p>
  </w:footnote>
  <w:footnote w:id="1007">
    <w:p w14:paraId="1C0AC3FE" w14:textId="74F88197"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citant United States District Court for the Southern District of New York (EUA), 12 octobre 1989, </w:t>
      </w:r>
      <w:r w:rsidRPr="00E72418">
        <w:rPr>
          <w:i/>
          <w:szCs w:val="20"/>
          <w:lang w:val="en-US"/>
        </w:rPr>
        <w:t>Hartford Fire Ins. Co. v. Federated Dep’t Stores, Inc.</w:t>
      </w:r>
      <w:r w:rsidRPr="00E72418">
        <w:rPr>
          <w:rStyle w:val="injectednode"/>
          <w:szCs w:val="20"/>
          <w:lang w:val="en-US"/>
        </w:rPr>
        <w:t xml:space="preserve">, 723 F. Supp. 976, </w:t>
      </w:r>
      <w:r w:rsidRPr="00E72418">
        <w:rPr>
          <w:szCs w:val="20"/>
          <w:lang w:val="en-US"/>
        </w:rPr>
        <w:t>p. 992.</w:t>
      </w:r>
    </w:p>
  </w:footnote>
  <w:footnote w:id="1008">
    <w:p w14:paraId="640DA0BE" w14:textId="647317B4"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xml:space="preserve">, p. 81. </w:t>
      </w:r>
      <w:r w:rsidRPr="00E72418">
        <w:rPr>
          <w:szCs w:val="20"/>
          <w:lang w:val="en-US"/>
        </w:rPr>
        <w:t xml:space="preserve">L’auteur relève encore qu’ « [i]t is difficult to imagine that sovereigns like Argentina have been signing away generations of restructuring practices </w:t>
      </w:r>
      <w:r w:rsidRPr="00E72418">
        <w:rPr>
          <w:b/>
          <w:szCs w:val="20"/>
        </w:rPr>
        <w:t xml:space="preserve">– </w:t>
      </w:r>
      <w:r w:rsidRPr="00E72418">
        <w:rPr>
          <w:szCs w:val="20"/>
          <w:lang w:val="en-US"/>
        </w:rPr>
        <w:t xml:space="preserve">essentially promising not to restructure </w:t>
      </w:r>
      <w:r w:rsidRPr="00E72418">
        <w:rPr>
          <w:b/>
          <w:szCs w:val="20"/>
        </w:rPr>
        <w:t xml:space="preserve">– </w:t>
      </w:r>
      <w:r w:rsidRPr="00E72418">
        <w:rPr>
          <w:szCs w:val="20"/>
          <w:lang w:val="en-US"/>
        </w:rPr>
        <w:t>with just two sentences of ambiguous text ».</w:t>
      </w:r>
    </w:p>
  </w:footnote>
  <w:footnote w:id="1009">
    <w:p w14:paraId="79DC7F13" w14:textId="64460C32"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Ainsi, par exemple, Maria Mauro relève que « the injunctive remedy would allow litigation to discourage rogue debtors, representing an incentive for sovereign debtors to respect the obligations they owe to their creditors and a binding measure in case of disputes between private creditors and sovereign debtors in markets where such authority is missing </w:t>
      </w:r>
      <w:r w:rsidRPr="00E72418">
        <w:rPr>
          <w:rStyle w:val="injectednode"/>
          <w:szCs w:val="20"/>
          <w:lang w:val="en-US"/>
        </w:rPr>
        <w:t>» (</w:t>
      </w:r>
      <w:r w:rsidRPr="00E72418">
        <w:rPr>
          <w:smallCaps/>
          <w:szCs w:val="20"/>
          <w:lang w:val="en-US"/>
        </w:rPr>
        <w:t>M. Mauro</w:t>
      </w:r>
      <w:r w:rsidRPr="00E72418">
        <w:rPr>
          <w:szCs w:val="20"/>
          <w:lang w:val="en-US"/>
        </w:rPr>
        <w:t xml:space="preserve">, « Sovereign Default and Litigation: </w:t>
      </w:r>
      <w:r w:rsidRPr="00E72418">
        <w:rPr>
          <w:i/>
          <w:szCs w:val="20"/>
          <w:lang w:val="en-US"/>
        </w:rPr>
        <w:t>NML Capital v. Argentina</w:t>
      </w:r>
      <w:r w:rsidRPr="00E72418">
        <w:rPr>
          <w:szCs w:val="20"/>
          <w:lang w:val="en-US"/>
        </w:rPr>
        <w:t xml:space="preserve"> », </w:t>
      </w:r>
      <w:r w:rsidRPr="00E72418">
        <w:rPr>
          <w:i/>
          <w:szCs w:val="20"/>
          <w:lang w:val="en-US"/>
        </w:rPr>
        <w:t>op. cit.</w:t>
      </w:r>
      <w:r w:rsidRPr="00E72418">
        <w:rPr>
          <w:szCs w:val="20"/>
          <w:lang w:val="en-US"/>
        </w:rPr>
        <w:t>, p. 267).</w:t>
      </w:r>
    </w:p>
  </w:footnote>
  <w:footnote w:id="1010">
    <w:p w14:paraId="1B03E4E1" w14:textId="7C5B95EC"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Sur la tentative de mise en place d’un tel système,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274 et suiv.</w:t>
      </w:r>
    </w:p>
  </w:footnote>
  <w:footnote w:id="1011">
    <w:p w14:paraId="7F7051A5" w14:textId="275BA2DC" w:rsidR="0030147D" w:rsidRPr="00E72418" w:rsidRDefault="0030147D" w:rsidP="00C21616">
      <w:pPr>
        <w:pStyle w:val="Sansinterligne"/>
        <w:rPr>
          <w:szCs w:val="20"/>
        </w:rPr>
      </w:pPr>
      <w:r w:rsidRPr="00E72418">
        <w:rPr>
          <w:szCs w:val="20"/>
          <w:vertAlign w:val="superscript"/>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699 F.3d 246, p. 263. </w:t>
      </w:r>
      <w:r w:rsidRPr="00E72418">
        <w:rPr>
          <w:szCs w:val="20"/>
        </w:rPr>
        <w:t>L’argument ne trouva pas d’écho auprès de la Cour d’appel d’avis qu’il était peu probable qu’à l’avenir d’autres pays se trouvent dans la délicate situation que fut celle dans laquelle se trouvait l’Argentine en raison des clauses d’action collective « included in 99% of the aggregate value of New York-law bonds issued since January 2005 » (</w:t>
      </w:r>
      <w:r w:rsidRPr="00E72418">
        <w:rPr>
          <w:i/>
          <w:szCs w:val="20"/>
          <w:lang w:val="en-US"/>
        </w:rPr>
        <w:t>ibid.</w:t>
      </w:r>
      <w:r w:rsidRPr="00E72418">
        <w:rPr>
          <w:szCs w:val="20"/>
        </w:rPr>
        <w:t xml:space="preserve">, p. 264). </w:t>
      </w:r>
      <w:r w:rsidRPr="00E72418">
        <w:rPr>
          <w:szCs w:val="20"/>
          <w:lang w:val="en-US"/>
        </w:rPr>
        <w:t xml:space="preserve">Ce postulat fut à nouveau avancé par la Cour dans sa décision du 23 août 2013 : « cases like this one are unlikely to occur in the future […] because newer bonds almost universally include collective action clauses (“CACs”) which permit a super-majority of bondholders to impose a restructuring on potential holdouts »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247)</w:t>
      </w:r>
      <w:r w:rsidRPr="00E72418">
        <w:rPr>
          <w:szCs w:val="20"/>
          <w:lang w:val="en-US"/>
        </w:rPr>
        <w:t xml:space="preserve">. </w:t>
      </w:r>
      <w:r w:rsidRPr="00E72418">
        <w:rPr>
          <w:szCs w:val="20"/>
        </w:rPr>
        <w:t xml:space="preserve">Sur ces clauses d’action collective et leur efficacité,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282 et suiv.</w:t>
      </w:r>
    </w:p>
  </w:footnote>
  <w:footnote w:id="1012">
    <w:p w14:paraId="12F912D7" w14:textId="348AE28F"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119. Voyez encore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Restructuring sovereign debt after </w:t>
      </w:r>
      <w:r w:rsidRPr="00E72418">
        <w:rPr>
          <w:i/>
          <w:szCs w:val="20"/>
          <w:lang w:val="en-US"/>
        </w:rPr>
        <w:t>NML v Argentina</w:t>
      </w:r>
      <w:r w:rsidRPr="00E72418">
        <w:rPr>
          <w:szCs w:val="20"/>
          <w:lang w:val="en-US"/>
        </w:rPr>
        <w:t xml:space="preserve"> », </w:t>
      </w:r>
      <w:r w:rsidRPr="00E72418">
        <w:rPr>
          <w:i/>
          <w:szCs w:val="20"/>
          <w:lang w:val="en-US"/>
        </w:rPr>
        <w:t>op. cit.</w:t>
      </w:r>
      <w:r w:rsidRPr="00E72418">
        <w:rPr>
          <w:szCs w:val="20"/>
          <w:lang w:val="en-US"/>
        </w:rPr>
        <w:t>, p. 224 : « [a] new creditor weapon had been uncloaked ».</w:t>
      </w:r>
    </w:p>
  </w:footnote>
  <w:footnote w:id="1013">
    <w:p w14:paraId="78548B28" w14:textId="755D3AFD"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Committee on International Economic Policy and Reform,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Revisiting Sovereign Bankruptcy </w:t>
      </w:r>
      <w:r w:rsidRPr="00E72418">
        <w:rPr>
          <w:rFonts w:ascii="Times New Roman" w:hAnsi="Times New Roman" w:cs="Times New Roman"/>
          <w:szCs w:val="24"/>
        </w:rPr>
        <w:t>»</w:t>
      </w:r>
      <w:r w:rsidRPr="00E72418">
        <w:rPr>
          <w:szCs w:val="20"/>
          <w:lang w:val="en-US"/>
        </w:rPr>
        <w:t xml:space="preserve">, octobre 2013, p. 16. Sur cette diplomatie de la canonnière, voyez </w:t>
      </w:r>
      <w:r w:rsidRPr="00E72418">
        <w:rPr>
          <w:i/>
          <w:szCs w:val="20"/>
          <w:lang w:val="en-US"/>
        </w:rPr>
        <w:t>supra</w:t>
      </w:r>
      <w:r w:rsidRPr="00E72418">
        <w:rPr>
          <w:szCs w:val="20"/>
          <w:lang w:val="en-US"/>
        </w:rPr>
        <w:t xml:space="preserve"> n° 75.</w:t>
      </w:r>
    </w:p>
  </w:footnote>
  <w:footnote w:id="1014">
    <w:p w14:paraId="5E6B818E" w14:textId="61344899"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Pottow</w:t>
      </w:r>
      <w:r w:rsidRPr="00E72418">
        <w:rPr>
          <w:szCs w:val="20"/>
          <w:lang w:val="en-US"/>
        </w:rPr>
        <w:t xml:space="preserve">, « Mitigating the Problem of Vulture Holdout: International Certification Boards for Sovereign-Debt Restructurings », </w:t>
      </w:r>
      <w:r w:rsidRPr="00E72418">
        <w:rPr>
          <w:i/>
          <w:szCs w:val="20"/>
          <w:lang w:val="en-US"/>
        </w:rPr>
        <w:t>op. cit.</w:t>
      </w:r>
      <w:r w:rsidRPr="00E72418">
        <w:rPr>
          <w:szCs w:val="20"/>
          <w:lang w:val="en-US"/>
        </w:rPr>
        <w:t>, p. 230.</w:t>
      </w:r>
    </w:p>
  </w:footnote>
  <w:footnote w:id="1015">
    <w:p w14:paraId="5D560086" w14:textId="7AC25833"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Voyez notamment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xml:space="preserve">, p. 1713 qui relève que </w:t>
      </w:r>
      <w:r w:rsidRPr="00E72418">
        <w:rPr>
          <w:szCs w:val="20"/>
          <w:lang w:val="en-US"/>
        </w:rPr>
        <w:t>« [t]he clause is widely regarded as “boilerplate” ».</w:t>
      </w:r>
    </w:p>
  </w:footnote>
  <w:footnote w:id="1016">
    <w:p w14:paraId="475EE9A6" w14:textId="23C2F571"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263.</w:t>
      </w:r>
    </w:p>
  </w:footnote>
  <w:footnote w:id="1017">
    <w:p w14:paraId="1F365E66" w14:textId="77777777"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241.</w:t>
      </w:r>
    </w:p>
  </w:footnote>
  <w:footnote w:id="1018">
    <w:p w14:paraId="7D642261" w14:textId="3A67509D" w:rsidR="0030147D" w:rsidRPr="00E72418" w:rsidRDefault="0030147D" w:rsidP="000E72FC">
      <w:pPr>
        <w:pStyle w:val="Sansinterligne"/>
      </w:pPr>
      <w:r w:rsidRPr="00E72418">
        <w:rPr>
          <w:rStyle w:val="Appelnotedebasdep"/>
        </w:rPr>
        <w:footnoteRef/>
      </w:r>
      <w:r w:rsidRPr="00E72418">
        <w:t xml:space="preserve"> Voyez notamment l’</w:t>
      </w:r>
      <w:r w:rsidRPr="00E72418">
        <w:rPr>
          <w:i/>
        </w:rPr>
        <w:t xml:space="preserve">amicus brief </w:t>
      </w:r>
      <w:r w:rsidRPr="00E72418">
        <w:t xml:space="preserve">déposée par les </w:t>
      </w:r>
      <w:r w:rsidRPr="00E72418">
        <w:rPr>
          <w:rFonts w:cs="Times New Roman"/>
        </w:rPr>
        <w:t>É</w:t>
      </w:r>
      <w:r w:rsidRPr="00E72418">
        <w:t>tats-Unis dont il ressortait notamment que « the decision could harm U.S. interests in promoting issuers’ use of New York law and preserving New York as a global financial jurisdiction » et que « [t]he decision could encourage issuers to issue debt in non-U.S. currencies in order to avoid the U.S. payments system, causing a detrimental effect on the systemic role of the U.S. dollar » (</w:t>
      </w:r>
      <w:r w:rsidRPr="00E72418">
        <w:rPr>
          <w:rFonts w:cs="Times"/>
          <w:iCs/>
          <w:szCs w:val="24"/>
          <w:lang w:val="en-US"/>
        </w:rPr>
        <w:t>b</w:t>
      </w:r>
      <w:r w:rsidRPr="00E72418">
        <w:rPr>
          <w:szCs w:val="20"/>
          <w:lang w:val="en-US"/>
        </w:rPr>
        <w:t>rief for the United States of America as Amicus Curiae in support of the Republic of Argentina’s petition for panel rehearing and rehearing en banc, 28 décembre 2012, 2012 WL 6777132, p. 5</w:t>
      </w:r>
      <w:r w:rsidRPr="00E72418">
        <w:t>).</w:t>
      </w:r>
    </w:p>
  </w:footnote>
  <w:footnote w:id="1019">
    <w:p w14:paraId="03D02169" w14:textId="227EC63D" w:rsidR="0030147D" w:rsidRPr="00E72418" w:rsidRDefault="0030147D" w:rsidP="00C21616">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xml:space="preserve">, 727 F.3d 230, p. 248. La Cour indiquait également que </w:t>
      </w:r>
      <w:r w:rsidRPr="00E72418">
        <w:rPr>
          <w:szCs w:val="20"/>
          <w:lang w:val="en-US"/>
        </w:rPr>
        <w:t xml:space="preserve">« we do not believe the outcome of this case threatens to steer bond issuers away from the New York marketplace. On the contrary, our decision affirms a proposition essential to the integrity of the capital markets: borrowers and lenders may, under New York law, negotiate mutually agreeable terms for their transactions, but they will be held to those terms ». L’argument </w:t>
      </w:r>
      <w:r w:rsidRPr="00E72418">
        <w:rPr>
          <w:rStyle w:val="SansinterligneCar"/>
        </w:rPr>
        <w:t xml:space="preserve">de l’intérêt des </w:t>
      </w:r>
      <w:r w:rsidRPr="00E72418">
        <w:t>É</w:t>
      </w:r>
      <w:r w:rsidRPr="00E72418">
        <w:rPr>
          <w:rStyle w:val="SansinterligneCar"/>
        </w:rPr>
        <w:t>tats-Unis à protéger le statut de New York en matière de commerce international</w:t>
      </w:r>
      <w:r w:rsidRPr="00E72418">
        <w:rPr>
          <w:szCs w:val="20"/>
          <w:lang w:val="en-US"/>
        </w:rPr>
        <w:t xml:space="preserve"> avait été avancé dans </w:t>
      </w:r>
      <w:r w:rsidRPr="00E72418">
        <w:rPr>
          <w:lang w:val="en-US"/>
        </w:rPr>
        <w:t xml:space="preserve">l’affaire </w:t>
      </w:r>
      <w:r w:rsidRPr="00E72418">
        <w:rPr>
          <w:i/>
          <w:lang w:val="en-US"/>
        </w:rPr>
        <w:t>Allied Bank International v. Banco Credito Agricola de Cartago</w:t>
      </w:r>
      <w:r w:rsidRPr="00E72418">
        <w:rPr>
          <w:rStyle w:val="injectednode"/>
          <w:lang w:val="en-US"/>
        </w:rPr>
        <w:t xml:space="preserve"> (757 F.2d 516, p. 521)</w:t>
      </w:r>
      <w:r w:rsidRPr="00E72418">
        <w:rPr>
          <w:szCs w:val="20"/>
          <w:lang w:val="en-US"/>
        </w:rPr>
        <w:t xml:space="preserve">. L’argument était toutefois critiqué par Christopher </w:t>
      </w:r>
      <w:r w:rsidRPr="00E72418">
        <w:rPr>
          <w:rStyle w:val="SansinterligneCar"/>
        </w:rPr>
        <w:t>Wheeler et Amir Attaran indiquant qu’en réalité, la situation est tout autre puisque « </w:t>
      </w:r>
      <w:r w:rsidRPr="00E72418">
        <w:t>[g]</w:t>
      </w:r>
      <w:r w:rsidRPr="00E72418">
        <w:rPr>
          <w:rStyle w:val="SansinterligneCar"/>
        </w:rPr>
        <w:t xml:space="preserve">iven the possibility of a default and subsequent restructuring, a primary lender would prefer a jurisdiction that will prevent a single creditor from disrupting a restructuring ». </w:t>
      </w:r>
      <w:r w:rsidRPr="00E72418">
        <w:rPr>
          <w:rStyle w:val="SansinterligneCar"/>
          <w:lang w:val="en-US"/>
        </w:rPr>
        <w:t>Et les auteurs d’ajouter « </w:t>
      </w:r>
      <w:r w:rsidRPr="00E72418">
        <w:rPr>
          <w:lang w:val="en-US"/>
        </w:rPr>
        <w:t>[f]</w:t>
      </w:r>
      <w:r w:rsidRPr="00E72418">
        <w:rPr>
          <w:rStyle w:val="SansinterligneCar"/>
          <w:lang w:val="en-US"/>
        </w:rPr>
        <w:t xml:space="preserve">or this reason, protecting New York as a center of international finance requires the frustration of vulture fund litigation, not allowing it to go forward unimpeded » (C. </w:t>
      </w:r>
      <w:r w:rsidRPr="00E72418">
        <w:rPr>
          <w:rStyle w:val="SansinterligneCar"/>
          <w:smallCaps/>
          <w:lang w:val="en-US"/>
        </w:rPr>
        <w:t>Wheeler</w:t>
      </w:r>
      <w:r w:rsidRPr="00E72418">
        <w:rPr>
          <w:rStyle w:val="SansinterligneCar"/>
          <w:lang w:val="en-US"/>
        </w:rPr>
        <w:t xml:space="preserve"> et A. </w:t>
      </w:r>
      <w:r w:rsidRPr="00E72418">
        <w:rPr>
          <w:rStyle w:val="SansinterligneCar"/>
          <w:smallCaps/>
          <w:lang w:val="en-US"/>
        </w:rPr>
        <w:t>Attaran</w:t>
      </w:r>
      <w:r w:rsidRPr="00E72418">
        <w:rPr>
          <w:rStyle w:val="SansinterligneCar"/>
          <w:lang w:val="en-US"/>
        </w:rPr>
        <w:t xml:space="preserve">, « Declawing the vulture funds: rehabilitation of a comity defense in Sovereign debt litigation », </w:t>
      </w:r>
      <w:r w:rsidRPr="00E72418">
        <w:rPr>
          <w:i/>
          <w:szCs w:val="20"/>
        </w:rPr>
        <w:t>op. cit.</w:t>
      </w:r>
      <w:r w:rsidRPr="00E72418">
        <w:rPr>
          <w:rStyle w:val="SansinterligneCar"/>
          <w:lang w:val="en-US"/>
        </w:rPr>
        <w:t>, p. 283).</w:t>
      </w:r>
    </w:p>
  </w:footnote>
  <w:footnote w:id="1020">
    <w:p w14:paraId="629E6F04" w14:textId="6619A3DF" w:rsidR="0030147D" w:rsidRPr="00E72418" w:rsidRDefault="0030147D" w:rsidP="00CE6C5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Steel, E. Zarrini</w:t>
      </w:r>
      <w:r w:rsidRPr="00E72418">
        <w:rPr>
          <w:szCs w:val="20"/>
          <w:lang w:val="en-US"/>
        </w:rPr>
        <w:t xml:space="preserve"> et </w:t>
      </w:r>
      <w:r w:rsidRPr="00E72418">
        <w:rPr>
          <w:smallCaps/>
          <w:szCs w:val="20"/>
          <w:lang w:val="en-US"/>
        </w:rPr>
        <w:t>A. Goldinstein</w:t>
      </w:r>
      <w:r w:rsidRPr="00E72418">
        <w:rPr>
          <w:szCs w:val="20"/>
          <w:lang w:val="en-US"/>
        </w:rPr>
        <w:t>, « </w:t>
      </w:r>
      <w:r w:rsidRPr="00E72418">
        <w:rPr>
          <w:i/>
          <w:szCs w:val="20"/>
          <w:lang w:val="en-US"/>
        </w:rPr>
        <w:t>NML Capital v Argentina</w:t>
      </w:r>
      <w:r w:rsidRPr="00E72418">
        <w:rPr>
          <w:szCs w:val="20"/>
          <w:lang w:val="en-US"/>
        </w:rPr>
        <w:t xml:space="preserve">: a lesson in indenture interpretation », </w:t>
      </w:r>
      <w:r w:rsidRPr="00E72418">
        <w:rPr>
          <w:i/>
          <w:szCs w:val="20"/>
          <w:lang w:val="en-US"/>
        </w:rPr>
        <w:t>op. cit.</w:t>
      </w:r>
      <w:r w:rsidRPr="00E72418">
        <w:rPr>
          <w:szCs w:val="20"/>
          <w:lang w:val="en-US"/>
        </w:rPr>
        <w:t>, p. 33.</w:t>
      </w:r>
    </w:p>
  </w:footnote>
  <w:footnote w:id="1021">
    <w:p w14:paraId="7315DD4B" w14:textId="4AF808FA" w:rsidR="0030147D" w:rsidRPr="00E72418" w:rsidRDefault="0030147D" w:rsidP="00CE6C5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B. Chabot</w:t>
      </w:r>
      <w:r w:rsidRPr="00E72418">
        <w:rPr>
          <w:szCs w:val="20"/>
          <w:lang w:val="en-US"/>
        </w:rPr>
        <w:t xml:space="preserve"> et </w:t>
      </w:r>
      <w:r w:rsidRPr="00E72418">
        <w:rPr>
          <w:smallCaps/>
          <w:szCs w:val="20"/>
          <w:lang w:val="en-US"/>
        </w:rPr>
        <w:t>V. Santarosa</w:t>
      </w:r>
      <w:r w:rsidRPr="00E72418">
        <w:rPr>
          <w:szCs w:val="20"/>
          <w:lang w:val="en-US"/>
        </w:rPr>
        <w:t xml:space="preserve">, </w:t>
      </w:r>
      <w:r w:rsidRPr="00E72418">
        <w:rPr>
          <w:rFonts w:cs="Times New Roman"/>
          <w:szCs w:val="24"/>
          <w:lang w:val="en-US"/>
        </w:rPr>
        <w:t>« Don’t cry for Argentina (or other Sovereign borrowers): lessons from a previous era of sovereign debt contract enforcement »</w:t>
      </w:r>
      <w:r w:rsidRPr="00E72418">
        <w:rPr>
          <w:szCs w:val="20"/>
          <w:lang w:val="en-US"/>
        </w:rPr>
        <w:t xml:space="preserve">, </w:t>
      </w:r>
      <w:r w:rsidRPr="00E72418">
        <w:rPr>
          <w:i/>
          <w:szCs w:val="20"/>
        </w:rPr>
        <w:t>op. cit.</w:t>
      </w:r>
      <w:r w:rsidRPr="00E72418">
        <w:rPr>
          <w:szCs w:val="20"/>
          <w:lang w:val="en-US"/>
        </w:rPr>
        <w:t>, p. 12.</w:t>
      </w:r>
    </w:p>
  </w:footnote>
  <w:footnote w:id="1022">
    <w:p w14:paraId="28D77537" w14:textId="753F6B16" w:rsidR="0030147D" w:rsidRPr="00E72418" w:rsidRDefault="0030147D" w:rsidP="007A164A">
      <w:pPr>
        <w:pStyle w:val="Sansinterligne"/>
        <w:rPr>
          <w:szCs w:val="20"/>
        </w:rPr>
      </w:pPr>
      <w:r w:rsidRPr="00E72418">
        <w:rPr>
          <w:rStyle w:val="Appelnotedebasdep"/>
          <w:szCs w:val="20"/>
        </w:rPr>
        <w:footnoteRef/>
      </w:r>
      <w:r w:rsidRPr="00E72418">
        <w:rPr>
          <w:szCs w:val="20"/>
        </w:rPr>
        <w:t xml:space="preserve"> La renonciation pure et simple à l’utilisation de la clause paraît illusoire dans la mesure où elle serait de nature à avoir une incidence sur le coût du capital emprunté. Comme le notent Benjamin Chabot et Veronica Santarosa, « [e]conomic theory predicts that sovereign borrowers can lower their borrowing costs by including contract terms which raise the cost of default thereby credibly signalling their intent to fulfil the contract » (</w:t>
      </w:r>
      <w:r w:rsidRPr="00E72418">
        <w:rPr>
          <w:i/>
          <w:szCs w:val="20"/>
        </w:rPr>
        <w:t>ibid.</w:t>
      </w:r>
      <w:r w:rsidRPr="00E72418">
        <w:rPr>
          <w:smallCaps/>
          <w:szCs w:val="20"/>
        </w:rPr>
        <w:t>,</w:t>
      </w:r>
      <w:r w:rsidRPr="00E72418">
        <w:rPr>
          <w:szCs w:val="20"/>
        </w:rPr>
        <w:t xml:space="preserve"> p. 28) Inversement, ne pas faire figurer dans les contrats des clauses signalant la détermination du débiteur à respecter ses engagements est de nature à accroître le coût du capital.</w:t>
      </w:r>
    </w:p>
  </w:footnote>
  <w:footnote w:id="1023">
    <w:p w14:paraId="6CB89944" w14:textId="22932E9C" w:rsidR="0030147D" w:rsidRPr="00E72418" w:rsidRDefault="0030147D" w:rsidP="00CE6C51">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Emphaseple"/>
          <w:i w:val="0"/>
          <w:color w:val="auto"/>
          <w:szCs w:val="20"/>
        </w:rPr>
        <w:t>Outre l’adaptation de la clause en vue de son insertion dans des contrats futurs, l’on pourrait imaginer que des créanciers décident de modifier la rédaction des clauses liées à des dettes déjà existantes. En règle, la modification de cette clause ne nécessite pas la volonté unanime des créanciers de l’</w:t>
      </w:r>
      <w:r w:rsidRPr="00E72418">
        <w:rPr>
          <w:szCs w:val="20"/>
          <w:lang w:eastAsia="fr-BE"/>
        </w:rPr>
        <w:t>É</w:t>
      </w:r>
      <w:r w:rsidRPr="00E72418">
        <w:rPr>
          <w:rStyle w:val="Emphaseple"/>
          <w:i w:val="0"/>
          <w:color w:val="auto"/>
          <w:szCs w:val="20"/>
        </w:rPr>
        <w:t>tat souverain, une majorité allant de cinquante à septante-cinq pour cent suffisant généralement</w:t>
      </w:r>
      <w:r w:rsidRPr="00E72418">
        <w:rPr>
          <w:szCs w:val="20"/>
          <w:lang w:val="en-US"/>
        </w:rPr>
        <w:t xml:space="preserve"> (</w:t>
      </w:r>
      <w:r w:rsidRPr="00E72418">
        <w:rPr>
          <w:smallCaps/>
          <w:szCs w:val="20"/>
          <w:lang w:val="en-US"/>
        </w:rPr>
        <w:t>T. Monteleone</w:t>
      </w:r>
      <w:r w:rsidRPr="00E72418">
        <w:rPr>
          <w:szCs w:val="20"/>
          <w:lang w:val="en-US"/>
        </w:rPr>
        <w:t xml:space="preserve">, « A vulture’s gamble: high-stakes interpretation of sovereign debt contracts in </w:t>
      </w:r>
      <w:r w:rsidRPr="00E72418">
        <w:rPr>
          <w:i/>
          <w:szCs w:val="20"/>
          <w:lang w:val="en-US"/>
        </w:rPr>
        <w:t>NML Capital, Ltd. v Republic of Argentina</w:t>
      </w:r>
      <w:r w:rsidRPr="00E72418">
        <w:rPr>
          <w:szCs w:val="20"/>
          <w:lang w:val="en-US"/>
        </w:rPr>
        <w:t xml:space="preserve"> », </w:t>
      </w:r>
      <w:r w:rsidRPr="00E72418">
        <w:rPr>
          <w:i/>
          <w:szCs w:val="20"/>
          <w:lang w:val="en-US"/>
        </w:rPr>
        <w:t>op. cit.</w:t>
      </w:r>
      <w:r w:rsidRPr="00E72418">
        <w:rPr>
          <w:szCs w:val="20"/>
          <w:lang w:val="en-US"/>
        </w:rPr>
        <w:t>, p. 164).</w:t>
      </w:r>
    </w:p>
  </w:footnote>
  <w:footnote w:id="1024">
    <w:p w14:paraId="00DCC130" w14:textId="26CF9ABE" w:rsidR="0030147D" w:rsidRPr="00E72418" w:rsidRDefault="0030147D" w:rsidP="00CE6C51">
      <w:pPr>
        <w:pStyle w:val="Sansinterligne"/>
        <w:rPr>
          <w:szCs w:val="20"/>
          <w:lang w:val="en-US"/>
        </w:rPr>
      </w:pPr>
      <w:r w:rsidRPr="00E72418">
        <w:rPr>
          <w:rStyle w:val="Appelnotedebasdep"/>
          <w:szCs w:val="20"/>
        </w:rPr>
        <w:footnoteRef/>
      </w:r>
      <w:r w:rsidRPr="00E72418">
        <w:rPr>
          <w:szCs w:val="20"/>
          <w:lang w:val="en-US"/>
        </w:rPr>
        <w:t xml:space="preserve"> </w:t>
      </w:r>
      <w:r w:rsidRPr="00E72418">
        <w:t>Celle-ci prévoit que « </w:t>
      </w:r>
      <w:r w:rsidRPr="00E72418">
        <w:rPr>
          <w:rFonts w:ascii="Times New Roman" w:hAnsi="Times New Roman" w:cs="Times New Roman"/>
        </w:rPr>
        <w:t>[t]</w:t>
      </w:r>
      <w:r w:rsidRPr="00E72418">
        <w:t xml:space="preserve">he Notes are the direct, unconditional and unsecured obligations of the Issuer and rank and will rank </w:t>
      </w:r>
      <w:r w:rsidRPr="00E72418">
        <w:rPr>
          <w:i/>
        </w:rPr>
        <w:t>pari passu</w:t>
      </w:r>
      <w:r w:rsidRPr="00E72418">
        <w:t xml:space="preserve">, without preference among themselves, with all other unsecured External Indebtedness of the Issuer, from time to time outstanding, </w:t>
      </w:r>
      <w:r w:rsidRPr="00E72418">
        <w:rPr>
          <w:i/>
        </w:rPr>
        <w:t>provided, however</w:t>
      </w:r>
      <w:r w:rsidRPr="00E72418">
        <w:t>, that the Issuer shall have no obligation to effect equal or rateable payment(s) at any time with respect to any such other External Indebtedness and, in particular, shall have no obligation to pay other External Indebtedness at the same time or as a condition of paying sums due on the Notes and vice versa » (Association internationale des marchés de capitaux</w:t>
      </w:r>
      <w:r w:rsidRPr="00E72418">
        <w:rPr>
          <w:szCs w:val="20"/>
        </w:rPr>
        <w:t xml:space="preserve">, </w:t>
      </w:r>
      <w:r w:rsidRPr="00E72418">
        <w:rPr>
          <w:i/>
          <w:szCs w:val="20"/>
        </w:rPr>
        <w:t>Standard collective action and pari passu clauses for the terms and conditions of sovereign notes</w:t>
      </w:r>
      <w:r w:rsidRPr="00E72418">
        <w:rPr>
          <w:szCs w:val="20"/>
        </w:rPr>
        <w:t>, août 2014 (la police est reprise)).</w:t>
      </w:r>
    </w:p>
  </w:footnote>
  <w:footnote w:id="1025">
    <w:p w14:paraId="2FEC0F1A" w14:textId="77777777" w:rsidR="0030147D" w:rsidRPr="00E72418" w:rsidRDefault="0030147D" w:rsidP="00CE6C51">
      <w:pPr>
        <w:pStyle w:val="Sansinterligne"/>
        <w:rPr>
          <w:szCs w:val="20"/>
          <w:lang w:val="en-US"/>
        </w:rPr>
      </w:pPr>
      <w:r w:rsidRPr="00E72418">
        <w:rPr>
          <w:rStyle w:val="Appelnotedebasdep"/>
          <w:szCs w:val="20"/>
        </w:rPr>
        <w:footnoteRef/>
      </w:r>
      <w:r w:rsidRPr="00E72418">
        <w:rPr>
          <w:szCs w:val="20"/>
          <w:lang w:val="en-US"/>
        </w:rPr>
        <w:t xml:space="preserve"> Fonds monétaire international, </w:t>
      </w:r>
      <w:r w:rsidRPr="00E72418">
        <w:rPr>
          <w:i/>
          <w:szCs w:val="20"/>
          <w:lang w:val="en-US"/>
        </w:rPr>
        <w:t>Strengthening the contractual framework to address collective action problems in sovereign debt restructuring</w:t>
      </w:r>
      <w:r w:rsidRPr="00E72418">
        <w:rPr>
          <w:szCs w:val="20"/>
          <w:lang w:val="en-US"/>
        </w:rPr>
        <w:t xml:space="preserve">, 2 septembre 2014, p. 15. Voyez également la condamnation de la jurisprudence new-yorkaise par le Fonds : « [t]o limit the impact of these decisions, there is a growing consensus within the official sector and among market participants regarding the merits of modifying the </w:t>
      </w:r>
      <w:r w:rsidRPr="00E72418">
        <w:rPr>
          <w:i/>
          <w:szCs w:val="20"/>
          <w:lang w:val="en-US"/>
        </w:rPr>
        <w:t>pari passu</w:t>
      </w:r>
      <w:r w:rsidRPr="00E72418">
        <w:rPr>
          <w:szCs w:val="20"/>
          <w:lang w:val="en-US"/>
        </w:rPr>
        <w:t xml:space="preserve"> clause in international sovereign bonds. The clause would be changed in a manner that ensures that the type of remedy provided to holdout creditors in the case of Argentina would not be replicated in future cases » (</w:t>
      </w:r>
      <w:r w:rsidRPr="00E72418">
        <w:rPr>
          <w:i/>
          <w:szCs w:val="20"/>
          <w:lang w:val="en-US"/>
        </w:rPr>
        <w:t>ibid.</w:t>
      </w:r>
      <w:r w:rsidRPr="00E72418">
        <w:rPr>
          <w:szCs w:val="20"/>
          <w:lang w:val="en-US"/>
        </w:rPr>
        <w:t>, p. 4).</w:t>
      </w:r>
    </w:p>
  </w:footnote>
  <w:footnote w:id="1026">
    <w:p w14:paraId="03FFAA31" w14:textId="7D1D602C" w:rsidR="0030147D" w:rsidRPr="00E72418" w:rsidRDefault="0030147D" w:rsidP="009F0EBD">
      <w:pPr>
        <w:pStyle w:val="Sansinterligne"/>
      </w:pPr>
      <w:r w:rsidRPr="00E72418">
        <w:rPr>
          <w:rStyle w:val="Appelnotedebasdep"/>
        </w:rPr>
        <w:footnoteRef/>
      </w:r>
      <w:r w:rsidRPr="00E72418">
        <w:t xml:space="preserve"> D. </w:t>
      </w:r>
      <w:r w:rsidRPr="00E72418">
        <w:rPr>
          <w:smallCaps/>
        </w:rPr>
        <w:t>Zandstra</w:t>
      </w:r>
      <w:r w:rsidRPr="00E72418">
        <w:t xml:space="preserve">, J. </w:t>
      </w:r>
      <w:r w:rsidRPr="00E72418">
        <w:rPr>
          <w:smallCaps/>
        </w:rPr>
        <w:t>Zonis</w:t>
      </w:r>
      <w:r w:rsidRPr="00E72418">
        <w:t xml:space="preserve">, H. </w:t>
      </w:r>
      <w:r w:rsidRPr="00E72418">
        <w:rPr>
          <w:smallCaps/>
        </w:rPr>
        <w:t>Triaca</w:t>
      </w:r>
      <w:r w:rsidRPr="00E72418">
        <w:t xml:space="preserve"> et J. </w:t>
      </w:r>
      <w:r w:rsidRPr="00E72418">
        <w:rPr>
          <w:smallCaps/>
        </w:rPr>
        <w:t>DeMarco</w:t>
      </w:r>
      <w:r w:rsidRPr="00E72418">
        <w:t xml:space="preserve">, « Proposed amendment to New York banking law through new article 7 », </w:t>
      </w:r>
      <w:r w:rsidRPr="00E72418">
        <w:rPr>
          <w:rFonts w:ascii="Times New Roman" w:hAnsi="Times New Roman" w:cs="Times New Roman"/>
          <w:szCs w:val="24"/>
        </w:rPr>
        <w:t xml:space="preserve">13 mai 2021, disponible à l’adresse </w:t>
      </w:r>
      <w:hyperlink r:id="rId39" w:history="1">
        <w:r w:rsidRPr="00E72418">
          <w:rPr>
            <w:rStyle w:val="Lienhypertexte"/>
            <w:rFonts w:ascii="Times New Roman" w:hAnsi="Times New Roman" w:cs="Times New Roman"/>
            <w:color w:val="auto"/>
            <w:szCs w:val="24"/>
            <w:u w:val="none"/>
          </w:rPr>
          <w:t>www.cliffordchance.com/briefings/2021/05/sovereign-debt-restructuring--proposed-amendment-to-new-york-ban.html</w:t>
        </w:r>
      </w:hyperlink>
      <w:r w:rsidRPr="00E72418">
        <w:rPr>
          <w:rFonts w:ascii="Times New Roman" w:hAnsi="Times New Roman" w:cs="Times New Roman"/>
          <w:szCs w:val="24"/>
        </w:rPr>
        <w:t xml:space="preserve"> (consultation le 17 octobre 2021), </w:t>
      </w:r>
      <w:r w:rsidRPr="00E72418">
        <w:t xml:space="preserve">p. 2. Sur les « enhanced CACs », voyez </w:t>
      </w:r>
      <w:r w:rsidRPr="00E72418">
        <w:rPr>
          <w:i/>
        </w:rPr>
        <w:t>infra</w:t>
      </w:r>
      <w:r w:rsidRPr="00E72418">
        <w:t xml:space="preserve"> n° 286.</w:t>
      </w:r>
    </w:p>
  </w:footnote>
  <w:footnote w:id="1027">
    <w:p w14:paraId="0E0C28EC" w14:textId="09D65CB5" w:rsidR="0030147D" w:rsidRPr="00E72418" w:rsidRDefault="0030147D" w:rsidP="007B7FDA">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w:t>
      </w:r>
      <w:r w:rsidRPr="00E72418">
        <w:rPr>
          <w:rStyle w:val="SansinterligneCar"/>
          <w:rFonts w:ascii="Times New Roman" w:hAnsi="Times New Roman" w:cs="Times New Roman"/>
          <w:smallCaps/>
          <w:szCs w:val="20"/>
        </w:rPr>
        <w:t>D. Carreau</w:t>
      </w:r>
      <w:r w:rsidRPr="00E72418">
        <w:rPr>
          <w:rStyle w:val="SansinterligneCar"/>
          <w:rFonts w:ascii="Times New Roman" w:hAnsi="Times New Roman" w:cs="Times New Roman"/>
          <w:szCs w:val="20"/>
        </w:rPr>
        <w:t xml:space="preserve"> et </w:t>
      </w:r>
      <w:r w:rsidRPr="00E72418">
        <w:rPr>
          <w:rStyle w:val="SansinterligneCar"/>
          <w:rFonts w:ascii="Times New Roman" w:hAnsi="Times New Roman" w:cs="Times New Roman"/>
          <w:smallCaps/>
          <w:szCs w:val="20"/>
        </w:rPr>
        <w:t>C. Kleiner</w:t>
      </w:r>
      <w:r w:rsidRPr="00E72418">
        <w:rPr>
          <w:rStyle w:val="SansinterligneCar"/>
          <w:rFonts w:ascii="Times New Roman" w:hAnsi="Times New Roman" w:cs="Times New Roman"/>
          <w:szCs w:val="20"/>
        </w:rPr>
        <w:t>, « Dettes d’</w:t>
      </w:r>
      <w:r w:rsidRPr="00E72418">
        <w:rPr>
          <w:rFonts w:ascii="Times New Roman" w:hAnsi="Times New Roman" w:cs="Times New Roman"/>
          <w:szCs w:val="20"/>
        </w:rPr>
        <w:t>É</w:t>
      </w:r>
      <w:r w:rsidRPr="00E72418">
        <w:rPr>
          <w:rStyle w:val="SansinterligneCar"/>
          <w:rFonts w:ascii="Times New Roman" w:hAnsi="Times New Roman" w:cs="Times New Roman"/>
          <w:szCs w:val="20"/>
        </w:rPr>
        <w:t xml:space="preserve">tat », </w:t>
      </w:r>
      <w:r w:rsidRPr="00E72418">
        <w:rPr>
          <w:i/>
          <w:szCs w:val="20"/>
          <w:lang w:val="en-US"/>
        </w:rPr>
        <w:t>op. cit.</w:t>
      </w:r>
      <w:r w:rsidRPr="00E72418">
        <w:rPr>
          <w:rStyle w:val="SansinterligneCar"/>
          <w:rFonts w:ascii="Times New Roman" w:hAnsi="Times New Roman" w:cs="Times New Roman"/>
          <w:szCs w:val="20"/>
        </w:rPr>
        <w:t>, n° 14. Les auteurs notent le souhait du Général de Gaulle en 1958 que l’</w:t>
      </w:r>
      <w:r w:rsidRPr="00E72418">
        <w:rPr>
          <w:rFonts w:ascii="Times New Roman" w:hAnsi="Times New Roman" w:cs="Times New Roman"/>
          <w:szCs w:val="20"/>
        </w:rPr>
        <w:t>É</w:t>
      </w:r>
      <w:r w:rsidRPr="00E72418">
        <w:rPr>
          <w:rStyle w:val="SansinterligneCar"/>
          <w:rFonts w:ascii="Times New Roman" w:hAnsi="Times New Roman" w:cs="Times New Roman"/>
          <w:szCs w:val="20"/>
        </w:rPr>
        <w:t>tat français puisse recouvrer la plénitude de sa souveraineté à l’issue d’un processus de désendettement qu’il entreprit.</w:t>
      </w:r>
    </w:p>
  </w:footnote>
  <w:footnote w:id="1028">
    <w:p w14:paraId="038AA7DD" w14:textId="65A59F65" w:rsidR="0030147D" w:rsidRPr="00E72418" w:rsidRDefault="0030147D" w:rsidP="007B7FDA">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M. Barr</w:t>
      </w:r>
      <w:r w:rsidRPr="00E72418">
        <w:rPr>
          <w:rFonts w:ascii="Times New Roman" w:hAnsi="Times New Roman" w:cs="Times New Roman"/>
          <w:szCs w:val="20"/>
          <w:lang w:val="en-US"/>
        </w:rPr>
        <w:t xml:space="preserve">, « </w:t>
      </w:r>
      <w:r w:rsidRPr="00E72418">
        <w:rPr>
          <w:szCs w:val="20"/>
          <w:lang w:val="en-US"/>
        </w:rPr>
        <w:t>The Litigation Tango of La Casa Rosada and the Vultures: The Political Realities of Sovereign Debt, Vulture Funds, and the Foreign Sovereign Immunities Act</w:t>
      </w:r>
      <w:r w:rsidRPr="00E72418">
        <w:rPr>
          <w:rFonts w:ascii="Times New Roman" w:hAnsi="Times New Roman" w:cs="Times New Roman"/>
          <w:szCs w:val="20"/>
          <w:lang w:val="en-US"/>
        </w:rPr>
        <w:t xml:space="preserve"> », </w:t>
      </w:r>
      <w:r w:rsidRPr="00E72418">
        <w:rPr>
          <w:i/>
          <w:szCs w:val="20"/>
          <w:lang w:val="en-US"/>
        </w:rPr>
        <w:t>op. cit.</w:t>
      </w:r>
      <w:r w:rsidRPr="00E72418">
        <w:rPr>
          <w:rFonts w:ascii="Times New Roman" w:hAnsi="Times New Roman" w:cs="Times New Roman"/>
          <w:szCs w:val="20"/>
          <w:lang w:val="en-US"/>
        </w:rPr>
        <w:t>, p. 575.</w:t>
      </w:r>
    </w:p>
  </w:footnote>
  <w:footnote w:id="1029">
    <w:p w14:paraId="79567501" w14:textId="025582F0" w:rsidR="0030147D" w:rsidRPr="00E72418" w:rsidRDefault="0030147D" w:rsidP="003B02F8">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t xml:space="preserve"> </w:t>
      </w:r>
      <w:r w:rsidRPr="00E72418">
        <w:rPr>
          <w:rFonts w:ascii="Times New Roman" w:hAnsi="Times New Roman" w:cs="Times New Roman"/>
          <w:szCs w:val="24"/>
        </w:rPr>
        <w:t>Assemblée générale des Nations Unies</w:t>
      </w:r>
      <w:r w:rsidRPr="00E72418">
        <w:rPr>
          <w:rFonts w:ascii="Times New Roman" w:hAnsi="Times New Roman" w:cs="Times New Roman"/>
          <w:i/>
          <w:szCs w:val="24"/>
        </w:rPr>
        <w:t xml:space="preserve">, Effets de la dette extérieure et des obligations financières internationales connexes des États sur le plein exercice de tous les droits de l’homme et en particulier les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bCs/>
          <w:i/>
          <w:szCs w:val="24"/>
        </w:rPr>
        <w:t>Rapport de l’Expert indépendant sur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4 août 2015, A/70/275, p. 16</w:t>
      </w:r>
      <w:r w:rsidRPr="00E72418">
        <w:t xml:space="preserve">. Nous expliquerons </w:t>
      </w:r>
      <w:r w:rsidRPr="00E72418">
        <w:rPr>
          <w:i/>
        </w:rPr>
        <w:t>infra</w:t>
      </w:r>
      <w:r w:rsidRPr="00E72418">
        <w:t xml:space="preserve"> (n</w:t>
      </w:r>
      <w:r w:rsidRPr="00E72418">
        <w:rPr>
          <w:vertAlign w:val="superscript"/>
        </w:rPr>
        <w:t>os</w:t>
      </w:r>
      <w:r w:rsidRPr="00E72418">
        <w:t xml:space="preserve"> 400 et suiv.) l’opportunité de consolider l’entorse au principe évoqué dans une réglementation spécifique. Luca Boggio souligne cette utilité lorsque, abordant la question fondamentale qu’il pose « does the </w:t>
      </w:r>
      <w:r w:rsidRPr="00E72418">
        <w:rPr>
          <w:i/>
          <w:iCs/>
        </w:rPr>
        <w:t>pacta sunt servanda</w:t>
      </w:r>
      <w:r w:rsidRPr="00E72418">
        <w:rPr>
          <w:iCs/>
        </w:rPr>
        <w:t xml:space="preserve"> </w:t>
      </w:r>
      <w:r w:rsidRPr="00E72418">
        <w:t>principle prevail over the political needs and choices of the sovereign entities ? », il indique que « </w:t>
      </w:r>
      <w:r w:rsidRPr="00E72418">
        <w:rPr>
          <w:rFonts w:ascii="Times New Roman" w:hAnsi="Times New Roman" w:cs="Times New Roman"/>
          <w:szCs w:val="20"/>
          <w:lang w:val="en-US"/>
        </w:rPr>
        <w:t>[f]</w:t>
      </w:r>
      <w:r w:rsidRPr="00E72418">
        <w:rPr>
          <w:rFonts w:ascii="Times New Roman" w:hAnsi="Times New Roman" w:cs="Times New Roman"/>
          <w:szCs w:val="20"/>
        </w:rPr>
        <w:t xml:space="preserve">rom a general point of view, this question cannot be answered without making a political choice, but, from a mere legal point of view, jurists only have the task of interpreting existing laws and suggesting the adoption of new ones aiming at solving </w:t>
      </w:r>
      <w:r w:rsidRPr="00E72418">
        <w:rPr>
          <w:szCs w:val="20"/>
          <w:lang w:val="en-US"/>
        </w:rPr>
        <w:t>“</w:t>
      </w:r>
      <w:r w:rsidRPr="00E72418">
        <w:rPr>
          <w:rFonts w:ascii="Times New Roman" w:hAnsi="Times New Roman" w:cs="Times New Roman"/>
          <w:szCs w:val="20"/>
        </w:rPr>
        <w:t>technical</w:t>
      </w:r>
      <w:r w:rsidRPr="00E72418">
        <w:rPr>
          <w:szCs w:val="20"/>
          <w:lang w:val="en-US"/>
        </w:rPr>
        <w:t>”</w:t>
      </w:r>
      <w:r w:rsidRPr="00E72418">
        <w:rPr>
          <w:rFonts w:ascii="Times New Roman" w:hAnsi="Times New Roman" w:cs="Times New Roman"/>
          <w:szCs w:val="20"/>
        </w:rPr>
        <w:t xml:space="preserve"> problems </w:t>
      </w:r>
      <w:r w:rsidRPr="00E72418">
        <w:t>» (</w:t>
      </w:r>
      <w:r w:rsidRPr="00E72418">
        <w:rPr>
          <w:szCs w:val="20"/>
        </w:rPr>
        <w:t xml:space="preserve">L. </w:t>
      </w:r>
      <w:r w:rsidRPr="00E72418">
        <w:rPr>
          <w:rFonts w:cs="Times New Roman"/>
          <w:smallCaps/>
          <w:szCs w:val="24"/>
          <w:lang w:val="en-US"/>
        </w:rPr>
        <w:t>Boggio</w:t>
      </w:r>
      <w:r w:rsidRPr="00E72418">
        <w:rPr>
          <w:rFonts w:cs="Times New Roman"/>
          <w:szCs w:val="24"/>
          <w:lang w:val="en-US"/>
        </w:rPr>
        <w:t xml:space="preserve">, « Investors and Sovereign Debt Restructurings: The Protection of Financial Property before International Courts and Arbitrators », </w:t>
      </w:r>
      <w:r w:rsidRPr="00E72418">
        <w:rPr>
          <w:rFonts w:cs="Times New Roman"/>
          <w:i/>
          <w:szCs w:val="24"/>
          <w:lang w:val="en-US"/>
        </w:rPr>
        <w:t>op. cit.</w:t>
      </w:r>
      <w:r w:rsidRPr="00E72418">
        <w:rPr>
          <w:rFonts w:cs="Times New Roman"/>
          <w:szCs w:val="24"/>
          <w:lang w:val="en-US"/>
        </w:rPr>
        <w:t>, p. 145</w:t>
      </w:r>
      <w:r w:rsidRPr="00E72418">
        <w:t>).</w:t>
      </w:r>
    </w:p>
  </w:footnote>
  <w:footnote w:id="1030">
    <w:p w14:paraId="04D393E7" w14:textId="35EC7044" w:rsidR="0030147D" w:rsidRPr="00E72418" w:rsidRDefault="0030147D" w:rsidP="007B7FDA">
      <w:pPr>
        <w:pStyle w:val="Sansinterligne"/>
        <w:rPr>
          <w:rFonts w:ascii="Times New Roman" w:hAnsi="Times New Roman" w:cs="Times New Roman"/>
          <w:szCs w:val="20"/>
          <w:lang w:val="en-US"/>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lang w:val="en-US"/>
        </w:rPr>
        <w:t xml:space="preserve"> </w:t>
      </w:r>
      <w:r w:rsidRPr="00E72418">
        <w:rPr>
          <w:rStyle w:val="SansinterligneCar"/>
          <w:rFonts w:ascii="Times New Roman" w:hAnsi="Times New Roman" w:cs="Times New Roman"/>
          <w:smallCaps/>
          <w:szCs w:val="20"/>
          <w:lang w:val="en-US"/>
        </w:rPr>
        <w:t>M. Barr</w:t>
      </w:r>
      <w:r w:rsidRPr="00E72418">
        <w:rPr>
          <w:rStyle w:val="SansinterligneCar"/>
          <w:rFonts w:ascii="Times New Roman" w:hAnsi="Times New Roman" w:cs="Times New Roman"/>
          <w:szCs w:val="20"/>
          <w:lang w:val="en-US"/>
        </w:rPr>
        <w:t xml:space="preserve">, « </w:t>
      </w:r>
      <w:r w:rsidRPr="00E72418">
        <w:rPr>
          <w:szCs w:val="20"/>
          <w:lang w:val="en-US"/>
        </w:rPr>
        <w:t>The Litigation Tango of La Casa Rosada and the Vultures: The Political Realities of Sovereign Debt, Vulture Funds, and the Foreign Sovereign Immunities Act</w:t>
      </w:r>
      <w:r w:rsidRPr="00E72418">
        <w:rPr>
          <w:rStyle w:val="SansinterligneCar"/>
          <w:rFonts w:ascii="Times New Roman" w:hAnsi="Times New Roman" w:cs="Times New Roman"/>
          <w:szCs w:val="20"/>
          <w:lang w:val="en-US"/>
        </w:rPr>
        <w:t xml:space="preserve"> », </w:t>
      </w:r>
      <w:r w:rsidRPr="00E72418">
        <w:rPr>
          <w:i/>
          <w:szCs w:val="20"/>
          <w:lang w:val="en-US"/>
        </w:rPr>
        <w:t>op. cit.</w:t>
      </w:r>
      <w:r w:rsidRPr="00E72418">
        <w:rPr>
          <w:rStyle w:val="SansinterligneCar"/>
          <w:rFonts w:ascii="Times New Roman" w:hAnsi="Times New Roman" w:cs="Times New Roman"/>
          <w:szCs w:val="20"/>
          <w:lang w:val="en-US"/>
        </w:rPr>
        <w:t xml:space="preserve">, pp. 583 et 584. </w:t>
      </w:r>
      <w:r w:rsidRPr="00E72418">
        <w:rPr>
          <w:rFonts w:ascii="Times New Roman" w:hAnsi="Times New Roman" w:cs="Times New Roman"/>
          <w:szCs w:val="20"/>
          <w:lang w:val="en-US"/>
        </w:rPr>
        <w:t xml:space="preserve">Notons que dans sa décision du 26 octobre 2012, la </w:t>
      </w:r>
      <w:r w:rsidRPr="00F1587D">
        <w:rPr>
          <w:rFonts w:ascii="Times New Roman" w:hAnsi="Times New Roman" w:cs="Times New Roman"/>
          <w:szCs w:val="20"/>
          <w:shd w:val="clear" w:color="auto" w:fill="FFFFFF"/>
          <w:lang w:val="en-US"/>
        </w:rPr>
        <w:t>United States Court of Appeals for the Second Circuit</w:t>
      </w:r>
      <w:r w:rsidRPr="00E72418">
        <w:rPr>
          <w:rFonts w:ascii="Times New Roman" w:hAnsi="Times New Roman" w:cs="Times New Roman"/>
          <w:szCs w:val="20"/>
          <w:lang w:val="en-US"/>
        </w:rPr>
        <w:t xml:space="preserve"> fit la balance entre le respect des obligations et la souveraineté en indiquant que « [t]he FAA bondholders contend with good reasons that Argentina’s disregard of its legal obligations exceeds any affront to its sovereign powers resulting from the Injunctions » (United States Court of Appeals for the Second Circuit (EUA), 26 octobre 2012, </w:t>
      </w:r>
      <w:r w:rsidRPr="00E72418">
        <w:rPr>
          <w:rFonts w:ascii="Times New Roman" w:hAnsi="Times New Roman" w:cs="Times New Roman"/>
          <w:i/>
          <w:szCs w:val="20"/>
          <w:lang w:val="en-US"/>
        </w:rPr>
        <w:t>NML Capital Ltd. and others c. Republic of Argentina</w:t>
      </w:r>
      <w:r w:rsidRPr="00E72418">
        <w:rPr>
          <w:rFonts w:ascii="Times New Roman" w:hAnsi="Times New Roman" w:cs="Times New Roman"/>
          <w:szCs w:val="20"/>
          <w:lang w:val="en-US"/>
        </w:rPr>
        <w:t xml:space="preserve">, </w:t>
      </w:r>
      <w:r w:rsidRPr="00E72418">
        <w:rPr>
          <w:rStyle w:val="injectednode"/>
          <w:rFonts w:ascii="Times New Roman" w:hAnsi="Times New Roman" w:cs="Times New Roman"/>
          <w:szCs w:val="20"/>
          <w:lang w:val="en-US"/>
        </w:rPr>
        <w:t>699 F.3d 246, p. 263).</w:t>
      </w:r>
    </w:p>
  </w:footnote>
  <w:footnote w:id="1031">
    <w:p w14:paraId="43DDA968" w14:textId="6536E4C4" w:rsidR="0030147D" w:rsidRPr="00E72418" w:rsidRDefault="0030147D" w:rsidP="007B7FDA">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Voyez le communiqué de presse de la Cour internationale de Justice du 7 août 2014 disponible à l’adresse www.icj-cij.org/public/files/press-releases/5/18355.pdf</w:t>
      </w:r>
      <w:r w:rsidRPr="00E72418">
        <w:rPr>
          <w:rStyle w:val="Lienhypertexte"/>
          <w:rFonts w:ascii="Times New Roman" w:hAnsi="Times New Roman" w:cs="Times New Roman"/>
          <w:color w:val="auto"/>
          <w:szCs w:val="20"/>
          <w:u w:val="none"/>
        </w:rPr>
        <w:t xml:space="preserve"> (consultation le 17 octobre 2021)</w:t>
      </w:r>
      <w:r w:rsidRPr="00E72418">
        <w:rPr>
          <w:rFonts w:ascii="Times New Roman" w:hAnsi="Times New Roman" w:cs="Times New Roman"/>
          <w:szCs w:val="20"/>
        </w:rPr>
        <w:t>. Dès lors que la saisine de la Cour était pratiquée par l’Argentine sur la base de l’article 38, §5, du règlement de la Cour, il revenait aux États-Unis d’accepter sa juridiction. La disposition prévoit que « [l]orsque le demandeur entend fonder la compétence de la Cour sur un consentement non encore donné ou manifesté par l’État contre lequel la requête est formée, la requête est transmise à cet État. Toutefois, elle n’est pas inscrite au rôle général de la Cour et aucun acte de procédure n’est effectué tant que l’État contre lequel la requête est formée n’a pas accepté la compétence de la Cour aux fins de l’affaire ».</w:t>
      </w:r>
    </w:p>
  </w:footnote>
  <w:footnote w:id="1032">
    <w:p w14:paraId="29B8E63B" w14:textId="30FDA6F8" w:rsidR="0030147D" w:rsidRPr="00E72418" w:rsidRDefault="0030147D" w:rsidP="00AE472C">
      <w:pPr>
        <w:pStyle w:val="Sansinterligne"/>
        <w:rPr>
          <w:szCs w:val="20"/>
        </w:rPr>
      </w:pPr>
      <w:r w:rsidRPr="00E72418">
        <w:rPr>
          <w:rStyle w:val="Appelnotedebasdep"/>
          <w:szCs w:val="20"/>
        </w:rPr>
        <w:footnoteRef/>
      </w:r>
      <w:r w:rsidRPr="00E72418">
        <w:rPr>
          <w:szCs w:val="20"/>
        </w:rPr>
        <w:t xml:space="preserve"> Les différents arrêts rendus par la Cour suprême étatsunienne concernant, d’une part, le contentieux « pari passu</w:t>
      </w:r>
      <w:r w:rsidRPr="00E72418">
        <w:rPr>
          <w:i/>
          <w:szCs w:val="20"/>
        </w:rPr>
        <w:t xml:space="preserve"> </w:t>
      </w:r>
      <w:r w:rsidRPr="00E72418">
        <w:rPr>
          <w:szCs w:val="20"/>
        </w:rPr>
        <w:t xml:space="preserve">» (sur ce contentieux,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182 et suiv.), d’autre part, le contentieux « discovery</w:t>
      </w:r>
      <w:r w:rsidRPr="00E72418">
        <w:rPr>
          <w:i/>
          <w:szCs w:val="20"/>
        </w:rPr>
        <w:t xml:space="preserve"> </w:t>
      </w:r>
      <w:r w:rsidRPr="00E72418">
        <w:rPr>
          <w:szCs w:val="20"/>
        </w:rPr>
        <w:t xml:space="preserve">» (sur ce contentieux, voyez </w:t>
      </w:r>
      <w:r w:rsidRPr="00E72418">
        <w:rPr>
          <w:i/>
          <w:szCs w:val="20"/>
        </w:rPr>
        <w:t>infra</w:t>
      </w:r>
      <w:r w:rsidRPr="00E72418">
        <w:rPr>
          <w:szCs w:val="20"/>
        </w:rPr>
        <w:t xml:space="preserve"> n° 226) firent que l’ « Argentina felt that it was fighting NML on uneven ground, namely in an imperialist U.S. judiciary that favored the interests of a small group of investors over its sovereignty » (</w:t>
      </w:r>
      <w:r w:rsidRPr="00E72418">
        <w:rPr>
          <w:smallCaps/>
          <w:szCs w:val="20"/>
          <w:lang w:val="en-US"/>
        </w:rPr>
        <w:t>J. Joiner</w:t>
      </w:r>
      <w:r w:rsidRPr="00E72418">
        <w:rPr>
          <w:szCs w:val="20"/>
          <w:lang w:val="en-US"/>
        </w:rPr>
        <w:t xml:space="preserve">, « Past Due: An Introduction to Sovereign Debt, the Ongoing Dispute between NML Capital and Argentina, and Possible Ramifications of the Dispute’s Outcome », </w:t>
      </w:r>
      <w:r w:rsidRPr="00E72418">
        <w:rPr>
          <w:i/>
          <w:szCs w:val="20"/>
          <w:lang w:val="en-US"/>
        </w:rPr>
        <w:t>op. cit.</w:t>
      </w:r>
      <w:r w:rsidRPr="00E72418">
        <w:rPr>
          <w:szCs w:val="20"/>
          <w:lang w:val="en-US"/>
        </w:rPr>
        <w:t>, p. 92).</w:t>
      </w:r>
    </w:p>
  </w:footnote>
  <w:footnote w:id="1033">
    <w:p w14:paraId="35652B0B" w14:textId="5577F6D1"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48. Relativement aux attaques des fonds spéculatifs, les auteurs sont d’avis que leur « business plan […] is constrained by the sovereign-immunity rules that national legislatures have enacted and national court have elaborated to protect the vultures’ targets from some of their attacks » (</w:t>
      </w:r>
      <w:r w:rsidRPr="00E72418">
        <w:rPr>
          <w:i/>
          <w:szCs w:val="20"/>
          <w:lang w:val="en-US"/>
        </w:rPr>
        <w:t>ibid.</w:t>
      </w:r>
      <w:r w:rsidRPr="00E72418">
        <w:rPr>
          <w:szCs w:val="20"/>
          <w:lang w:val="en-US"/>
        </w:rPr>
        <w:t>, p. 49).</w:t>
      </w:r>
    </w:p>
  </w:footnote>
  <w:footnote w:id="1034">
    <w:p w14:paraId="05311506" w14:textId="281D2AE3"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C. Lim</w:t>
      </w:r>
      <w:r w:rsidRPr="00E72418">
        <w:rPr>
          <w:szCs w:val="20"/>
          <w:lang w:val="en-US"/>
        </w:rPr>
        <w:t xml:space="preserve">, « Worldwide Litigation Over Foreign Sovereign Assets », </w:t>
      </w:r>
      <w:r w:rsidRPr="00E72418">
        <w:rPr>
          <w:rFonts w:ascii="Times New Roman" w:hAnsi="Times New Roman" w:cs="Times New Roman"/>
          <w:i/>
          <w:szCs w:val="20"/>
        </w:rPr>
        <w:t>Disp. Resol. Int.</w:t>
      </w:r>
      <w:r w:rsidRPr="00E72418">
        <w:rPr>
          <w:szCs w:val="20"/>
          <w:lang w:val="en-US"/>
        </w:rPr>
        <w:t>, 2016, p. 146.</w:t>
      </w:r>
    </w:p>
  </w:footnote>
  <w:footnote w:id="1035">
    <w:p w14:paraId="47003A5B" w14:textId="5CF6C109"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L’affaire du siècle : </w:t>
      </w:r>
      <w:r w:rsidRPr="00E72418">
        <w:rPr>
          <w:i/>
          <w:szCs w:val="20"/>
        </w:rPr>
        <w:t>NML c/République d’Argentine</w:t>
      </w:r>
      <w:r w:rsidRPr="00E72418">
        <w:rPr>
          <w:szCs w:val="20"/>
        </w:rPr>
        <w:t xml:space="preserve"> ou la “contribution” des fonds vautours au droit international », </w:t>
      </w:r>
      <w:r w:rsidRPr="00E72418">
        <w:rPr>
          <w:i/>
          <w:szCs w:val="20"/>
        </w:rPr>
        <w:t>op. cit.</w:t>
      </w:r>
      <w:r w:rsidRPr="00E72418">
        <w:rPr>
          <w:szCs w:val="20"/>
        </w:rPr>
        <w:t>, p. 394.</w:t>
      </w:r>
    </w:p>
  </w:footnote>
  <w:footnote w:id="1036">
    <w:p w14:paraId="6ECB9138" w14:textId="60789FD8" w:rsidR="0030147D" w:rsidRPr="00E72418" w:rsidRDefault="0030147D" w:rsidP="006D50CA">
      <w:pPr>
        <w:pStyle w:val="Sansinterligne"/>
        <w:rPr>
          <w:szCs w:val="20"/>
          <w:lang w:val="en-US"/>
        </w:rPr>
      </w:pPr>
      <w:r w:rsidRPr="00E72418">
        <w:rPr>
          <w:rStyle w:val="Appelnotedebasdep"/>
          <w:szCs w:val="20"/>
        </w:rPr>
        <w:footnoteRef/>
      </w:r>
      <w:r w:rsidRPr="00E72418">
        <w:rPr>
          <w:szCs w:val="20"/>
        </w:rPr>
        <w:t xml:space="preserve"> Assemblée générale des Nations Unies, </w:t>
      </w:r>
      <w:r w:rsidRPr="00E72418">
        <w:rPr>
          <w:i/>
          <w:szCs w:val="20"/>
        </w:rPr>
        <w:t>Principes fondamentaux des opérations de restructuration de la dette souveraine</w:t>
      </w:r>
      <w:r w:rsidRPr="00E72418">
        <w:rPr>
          <w:szCs w:val="20"/>
        </w:rPr>
        <w:t>, A/RES/69/319, 10 septembre 2015, p. 2, sixième principe.</w:t>
      </w:r>
    </w:p>
  </w:footnote>
  <w:footnote w:id="1037">
    <w:p w14:paraId="622E2915" w14:textId="447359AB" w:rsidR="0030147D" w:rsidRPr="00E72418" w:rsidRDefault="0030147D" w:rsidP="0028086A">
      <w:pPr>
        <w:pStyle w:val="Sansinterligne"/>
      </w:pPr>
      <w:r w:rsidRPr="00E72418">
        <w:rPr>
          <w:rStyle w:val="Appelnotedebasdep"/>
        </w:rPr>
        <w:footnoteRef/>
      </w:r>
      <w:r w:rsidRPr="00E72418">
        <w:t xml:space="preserve"> Comme le note Alexia Autenne, « </w:t>
      </w:r>
      <w:r w:rsidRPr="00E72418">
        <w:rPr>
          <w:lang w:val="en-US"/>
        </w:rPr>
        <w:t>[j</w:t>
      </w:r>
      <w:r w:rsidRPr="00E72418">
        <w:rPr>
          <w:szCs w:val="20"/>
          <w:lang w:val="en-US"/>
        </w:rPr>
        <w:t>]</w:t>
      </w:r>
      <w:r w:rsidRPr="00E72418">
        <w:rPr>
          <w:shd w:val="clear" w:color="auto" w:fill="FFFFFF"/>
        </w:rPr>
        <w:t xml:space="preserve">usque dans les années 70, peu de créanciers attaquaient des débiteurs souverains, l’environnement juridique n’y étant pas très favorable </w:t>
      </w:r>
      <w:r w:rsidRPr="00E72418">
        <w:t xml:space="preserve">» (A. </w:t>
      </w:r>
      <w:r w:rsidRPr="00E72418">
        <w:rPr>
          <w:smallCaps/>
        </w:rPr>
        <w:t>Autenne</w:t>
      </w:r>
      <w:r w:rsidRPr="00E72418">
        <w:t xml:space="preserve">, « Dette souveraine et vautours : La Belgique donne le ton », 15 septembre 2015, </w:t>
      </w:r>
      <w:r w:rsidRPr="00E72418">
        <w:rPr>
          <w:i/>
        </w:rPr>
        <w:t>La Libre</w:t>
      </w:r>
      <w:r w:rsidRPr="00E72418">
        <w:t xml:space="preserve">, disponible à l’adresse </w:t>
      </w:r>
      <w:hyperlink r:id="rId40" w:history="1">
        <w:r w:rsidRPr="00E72418">
          <w:rPr>
            <w:rStyle w:val="Lienhypertexte"/>
            <w:color w:val="auto"/>
            <w:u w:val="none"/>
          </w:rPr>
          <w:t>www.lalibre.be/debats/opinions/dette-souveraine-et-vautours-la-belgique-donne-le-ton-55f8380b35700fb92ee9e8b7</w:t>
        </w:r>
      </w:hyperlink>
      <w:r w:rsidRPr="00E72418">
        <w:t xml:space="preserve"> (consultation le 17 octobre 2021)).</w:t>
      </w:r>
    </w:p>
  </w:footnote>
  <w:footnote w:id="1038">
    <w:p w14:paraId="128EFB38" w14:textId="1431A43D"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xml:space="preserve">, p. 17. Plus précisément, depuis l’adoption du </w:t>
      </w:r>
      <w:r w:rsidRPr="00E72418">
        <w:rPr>
          <w:i/>
          <w:szCs w:val="20"/>
          <w:lang w:val="en-US"/>
        </w:rPr>
        <w:t>Foreign Sovereign Immunities Act</w:t>
      </w:r>
      <w:r w:rsidRPr="00E72418">
        <w:rPr>
          <w:szCs w:val="20"/>
          <w:lang w:val="en-US"/>
        </w:rPr>
        <w:t xml:space="preserve"> étatsunien dont question </w:t>
      </w:r>
      <w:r w:rsidRPr="00E72418">
        <w:rPr>
          <w:i/>
          <w:szCs w:val="20"/>
          <w:lang w:val="en-US"/>
        </w:rPr>
        <w:t xml:space="preserve">infra </w:t>
      </w:r>
      <w:r w:rsidRPr="00E72418">
        <w:rPr>
          <w:szCs w:val="20"/>
          <w:lang w:val="en-US"/>
        </w:rPr>
        <w:t>(n</w:t>
      </w:r>
      <w:r w:rsidRPr="00E72418">
        <w:rPr>
          <w:szCs w:val="20"/>
          <w:vertAlign w:val="superscript"/>
          <w:lang w:val="en-US"/>
        </w:rPr>
        <w:t>os</w:t>
      </w:r>
      <w:r w:rsidRPr="00E72418">
        <w:rPr>
          <w:szCs w:val="20"/>
          <w:lang w:val="en-US"/>
        </w:rPr>
        <w:t xml:space="preserve"> 207 et suiv.), Julian Schumacher</w:t>
      </w:r>
      <w:r w:rsidRPr="00E72418">
        <w:rPr>
          <w:rFonts w:ascii="Times New Roman" w:hAnsi="Times New Roman"/>
          <w:i/>
        </w:rPr>
        <w:t xml:space="preserve"> et al. </w:t>
      </w:r>
      <w:r w:rsidRPr="00E72418">
        <w:rPr>
          <w:szCs w:val="20"/>
          <w:lang w:val="en-US"/>
        </w:rPr>
        <w:t>le notent, « [t]he history of sovereign debt litigation […] can be described as a gradual erosion of government immunity »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6).</w:t>
      </w:r>
    </w:p>
  </w:footnote>
  <w:footnote w:id="1039">
    <w:p w14:paraId="12486026" w14:textId="72D0F25D" w:rsidR="0030147D" w:rsidRPr="00E72418" w:rsidRDefault="0030147D" w:rsidP="009A0DCF">
      <w:pPr>
        <w:pStyle w:val="Sansinterligne"/>
        <w:rPr>
          <w:szCs w:val="20"/>
        </w:rPr>
      </w:pPr>
      <w:r w:rsidRPr="00E72418">
        <w:rPr>
          <w:rStyle w:val="Appelnotedebasdep"/>
          <w:szCs w:val="20"/>
        </w:rPr>
        <w:footnoteRef/>
      </w:r>
      <w:r w:rsidRPr="00E72418">
        <w:rPr>
          <w:szCs w:val="20"/>
        </w:rPr>
        <w:t xml:space="preserve"> Sur l’opportunité de ces renonciations,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216 et suiv. pour ce qui est l’immunité de juridiction et n</w:t>
      </w:r>
      <w:r w:rsidRPr="00E72418">
        <w:rPr>
          <w:szCs w:val="20"/>
          <w:vertAlign w:val="superscript"/>
        </w:rPr>
        <w:t xml:space="preserve">o </w:t>
      </w:r>
      <w:r w:rsidRPr="00E72418">
        <w:rPr>
          <w:szCs w:val="20"/>
        </w:rPr>
        <w:t>227 pour ce qui est de celle d’exécution</w:t>
      </w:r>
    </w:p>
  </w:footnote>
  <w:footnote w:id="1040">
    <w:p w14:paraId="7D9D4C3F" w14:textId="77777777"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Notre propos sur la défense immunitaire sera illustré çà et là par différentes affaires ayant opposé des fonds spéculatifs à leurs débiteurs souverains. La recherche d’exhaustivité, impossible et sans doute également inutile pour notre réflexion, n’est pas poursuivie.</w:t>
      </w:r>
    </w:p>
  </w:footnote>
  <w:footnote w:id="1041">
    <w:p w14:paraId="168300CE" w14:textId="1BC17A56"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w:t>
      </w:r>
      <w:r w:rsidRPr="00E72418">
        <w:rPr>
          <w:smallCaps/>
          <w:szCs w:val="20"/>
        </w:rPr>
        <w:t>J. Vanderschuren</w:t>
      </w:r>
      <w:r w:rsidRPr="00E72418">
        <w:rPr>
          <w:szCs w:val="20"/>
        </w:rPr>
        <w:t xml:space="preserve">, « Une nouvelle déclinaison jurisprudentielle de l’érosion de l’immunité de juridiction des États », </w:t>
      </w:r>
      <w:r w:rsidRPr="00E72418">
        <w:rPr>
          <w:i/>
          <w:szCs w:val="20"/>
        </w:rPr>
        <w:t>J.T.</w:t>
      </w:r>
      <w:r w:rsidRPr="00E72418">
        <w:rPr>
          <w:szCs w:val="20"/>
        </w:rPr>
        <w:t xml:space="preserve">, 2011, p. 794. </w:t>
      </w:r>
      <w:r w:rsidRPr="00E72418">
        <w:rPr>
          <w:rFonts w:cs="Times New Roman"/>
          <w:lang w:eastAsia="fr-BE"/>
        </w:rPr>
        <w:t>À</w:t>
      </w:r>
      <w:r w:rsidRPr="00E72418">
        <w:t xml:space="preserve"> ce sujet, l</w:t>
      </w:r>
      <w:r w:rsidRPr="00E72418">
        <w:rPr>
          <w:rFonts w:ascii="Times New Roman" w:hAnsi="Times New Roman" w:cs="Times New Roman"/>
        </w:rPr>
        <w:t xml:space="preserve">e ministre des affaires étrangères argentin Drago, s’intéressant à la question de l’exécution de dettes souveraines non honorées, relevait qu’ « </w:t>
      </w:r>
      <w:r w:rsidRPr="00E72418">
        <w:rPr>
          <w:szCs w:val="20"/>
          <w:lang w:val="en-US"/>
        </w:rPr>
        <w:t>[a]</w:t>
      </w:r>
      <w:r w:rsidRPr="00E72418">
        <w:rPr>
          <w:rFonts w:ascii="Times New Roman" w:hAnsi="Times New Roman" w:cs="Times New Roman"/>
        </w:rPr>
        <w:t>mong the fundamental principles of public international law which humanity has consecrated, one of the most precious is that which decrees that all states, whatever be the force at their disposal, are entities in law, perfectly equal one to another, and mutually entitled by virtue thereof to the same consideration and respect » (</w:t>
      </w:r>
      <w:r w:rsidRPr="00E72418">
        <w:rPr>
          <w:szCs w:val="20"/>
          <w:lang w:val="en-US"/>
        </w:rPr>
        <w:t xml:space="preserve">lettre de Luis Drago à Martin Garcia Mérou reproduite in </w:t>
      </w:r>
      <w:r w:rsidRPr="00E72418">
        <w:rPr>
          <w:smallCaps/>
          <w:szCs w:val="20"/>
          <w:lang w:val="en-US"/>
        </w:rPr>
        <w:t>J. Taffet</w:t>
      </w:r>
      <w:r w:rsidRPr="00E72418">
        <w:rPr>
          <w:szCs w:val="20"/>
          <w:lang w:val="en-US"/>
        </w:rPr>
        <w:t xml:space="preserve"> et </w:t>
      </w:r>
      <w:r w:rsidRPr="00E72418">
        <w:rPr>
          <w:smallCaps/>
          <w:szCs w:val="20"/>
          <w:lang w:val="en-US"/>
        </w:rPr>
        <w:t>D. Walcher</w:t>
      </w:r>
      <w:r w:rsidRPr="00E72418">
        <w:rPr>
          <w:szCs w:val="20"/>
          <w:lang w:val="en-US"/>
        </w:rPr>
        <w:t xml:space="preserve">, </w:t>
      </w:r>
      <w:r w:rsidRPr="00E72418">
        <w:rPr>
          <w:i/>
          <w:szCs w:val="20"/>
          <w:lang w:val="en-US"/>
        </w:rPr>
        <w:t>The United States and Latin America: A History with Documents</w:t>
      </w:r>
      <w:r w:rsidRPr="00E72418">
        <w:rPr>
          <w:szCs w:val="20"/>
          <w:lang w:val="en-US"/>
        </w:rPr>
        <w:t>,</w:t>
      </w:r>
      <w:r w:rsidRPr="00E72418">
        <w:rPr>
          <w:i/>
          <w:szCs w:val="20"/>
          <w:lang w:val="en-US"/>
        </w:rPr>
        <w:t xml:space="preserve"> op. cit.</w:t>
      </w:r>
      <w:r w:rsidRPr="00E72418">
        <w:rPr>
          <w:szCs w:val="20"/>
          <w:lang w:val="en-US"/>
        </w:rPr>
        <w:t xml:space="preserve">, p. 165. Sur la doctrine </w:t>
      </w:r>
      <w:r w:rsidRPr="00E72418">
        <w:rPr>
          <w:rFonts w:ascii="Times New Roman" w:hAnsi="Times New Roman" w:cs="Times New Roman"/>
        </w:rPr>
        <w:t xml:space="preserve">« Drago », voyez </w:t>
      </w:r>
      <w:r w:rsidRPr="00E72418">
        <w:rPr>
          <w:rFonts w:ascii="Times New Roman" w:hAnsi="Times New Roman" w:cs="Times New Roman"/>
          <w:i/>
        </w:rPr>
        <w:t>supra</w:t>
      </w:r>
      <w:r w:rsidRPr="00E72418">
        <w:rPr>
          <w:rFonts w:ascii="Times New Roman" w:hAnsi="Times New Roman" w:cs="Times New Roman"/>
        </w:rPr>
        <w:t xml:space="preserve"> n° 75).</w:t>
      </w:r>
    </w:p>
  </w:footnote>
  <w:footnote w:id="1042">
    <w:p w14:paraId="5573D8BC" w14:textId="6BA6D169"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Cass. (B.), 12 mars 2001, arrêt n° S.99.0103.F, </w:t>
      </w:r>
      <w:r w:rsidRPr="00E72418">
        <w:rPr>
          <w:i/>
          <w:szCs w:val="20"/>
        </w:rPr>
        <w:t>Pas.</w:t>
      </w:r>
      <w:r w:rsidRPr="00E72418">
        <w:rPr>
          <w:szCs w:val="20"/>
        </w:rPr>
        <w:t>, 2001, p. 390. Comme l’explique en</w:t>
      </w:r>
      <w:r w:rsidR="000F5FE4">
        <w:rPr>
          <w:szCs w:val="20"/>
        </w:rPr>
        <w:t>core la Cour internationale de J</w:t>
      </w:r>
      <w:r w:rsidRPr="00E72418">
        <w:rPr>
          <w:szCs w:val="20"/>
        </w:rPr>
        <w:t xml:space="preserve">ustice, « il convient </w:t>
      </w:r>
      <w:r w:rsidRPr="00E72418">
        <w:rPr>
          <w:szCs w:val="20"/>
          <w:lang w:val="en-US"/>
        </w:rPr>
        <w:t>[…]</w:t>
      </w:r>
      <w:r w:rsidRPr="00E72418">
        <w:rPr>
          <w:szCs w:val="20"/>
        </w:rPr>
        <w:t xml:space="preserve"> de relever que les règles gouvernant la compétence des tribunaux nationaux et celles régissant les immunités juridictionnelles, doivent être soigneusement distinguées : la compétence n’implique pas l’absence d’immunité et l’absence d’immunité n’implique pas la compétence » (C.I.J., 14 février 2002, </w:t>
      </w:r>
      <w:r w:rsidRPr="00E72418">
        <w:rPr>
          <w:i/>
          <w:szCs w:val="20"/>
        </w:rPr>
        <w:t>République démocratique du Congo c. Royaume de Belgique (affaire relative au mandat d’arrêt du 11 avril 2000)</w:t>
      </w:r>
      <w:r w:rsidRPr="00E72418">
        <w:rPr>
          <w:szCs w:val="20"/>
        </w:rPr>
        <w:t>, arrêt, motif 59).</w:t>
      </w:r>
    </w:p>
  </w:footnote>
  <w:footnote w:id="1043">
    <w:p w14:paraId="584E7DAF" w14:textId="38AE56A2"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Prenant l’exemple du contentieux zambien, Devi Sookun explique qu’il est important que les États refusent d’être attraits devant des juridictions qui n’auraient pas été identifiées comme compétentes dans les contrats dont découlent les réclamations des créditeurs. </w:t>
      </w:r>
      <w:r w:rsidRPr="00E72418">
        <w:rPr>
          <w:szCs w:val="20"/>
          <w:lang w:val="en-US"/>
        </w:rPr>
        <w:t>Ainsi, l’auteur relève que « [r]efusing to submit is a powerful legal argument against the creditor which will undoubtedly lead to the withdrawal of the lawsuit »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xml:space="preserve">, p. 17). </w:t>
      </w:r>
      <w:r w:rsidRPr="00E72418">
        <w:rPr>
          <w:szCs w:val="20"/>
        </w:rPr>
        <w:t xml:space="preserve">Dans le contrat originaire entre la Zambie et la Roumanie était reprise une clause d’immunité réciproque de sorte que, si l’État débiteur n’avait pas accepté la solution ultérieure de la société </w:t>
      </w:r>
      <w:r w:rsidRPr="00E72418">
        <w:rPr>
          <w:i/>
          <w:szCs w:val="20"/>
        </w:rPr>
        <w:t xml:space="preserve">Donegal International Ltd. </w:t>
      </w:r>
      <w:r w:rsidRPr="00E72418">
        <w:rPr>
          <w:szCs w:val="20"/>
        </w:rPr>
        <w:t>emportant la renonciation à l’immunité, il aurait pu s’en servir comme argument dans le cadre de l’action diligentée par le fonds spéculatif, ce dernier étant tenu aux modalités du contrat originaire (</w:t>
      </w:r>
      <w:r w:rsidRPr="00E72418">
        <w:rPr>
          <w:i/>
          <w:szCs w:val="20"/>
        </w:rPr>
        <w:t>ibid.</w:t>
      </w:r>
      <w:r w:rsidRPr="00E72418">
        <w:rPr>
          <w:szCs w:val="20"/>
        </w:rPr>
        <w:t xml:space="preserve">, pp. 27 et 28). Sur cet accord passé par le débiteur souverain africain avec son créancier secondaire, voyez </w:t>
      </w:r>
      <w:r w:rsidRPr="00E72418">
        <w:rPr>
          <w:i/>
          <w:szCs w:val="20"/>
        </w:rPr>
        <w:t>supra</w:t>
      </w:r>
      <w:r w:rsidRPr="00E72418">
        <w:rPr>
          <w:szCs w:val="20"/>
        </w:rPr>
        <w:t xml:space="preserve"> n° 105.</w:t>
      </w:r>
    </w:p>
  </w:footnote>
  <w:footnote w:id="1044">
    <w:p w14:paraId="56389729" w14:textId="72638A37"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w:t>
      </w:r>
      <w:r w:rsidRPr="00E72418">
        <w:rPr>
          <w:rStyle w:val="SansinterligneCar"/>
          <w:szCs w:val="20"/>
        </w:rPr>
        <w:t xml:space="preserve">Cette convention a été signée le 16 mai 1972 par le Conseil de l’Europe. Son succès est relativement limité avec seulement huit ratifications dont celles de la Belgique et du Royaume-Uni (voyez </w:t>
      </w:r>
      <w:hyperlink r:id="rId41" w:history="1">
        <w:r w:rsidRPr="00E72418">
          <w:rPr>
            <w:rStyle w:val="Lienhypertexte"/>
            <w:color w:val="auto"/>
            <w:szCs w:val="20"/>
            <w:u w:val="none"/>
          </w:rPr>
          <w:t>www.coe.int/en/web/conventions/full-list/-/conventions/treaty/074/signatures?p_auth=YEpfEtWd</w:t>
        </w:r>
      </w:hyperlink>
      <w:r w:rsidRPr="00E72418">
        <w:rPr>
          <w:rStyle w:val="SansinterligneCar"/>
          <w:szCs w:val="20"/>
        </w:rPr>
        <w:t>, consultation le 17 octobre 2021).</w:t>
      </w:r>
    </w:p>
  </w:footnote>
  <w:footnote w:id="1045">
    <w:p w14:paraId="540BF202" w14:textId="7AB78B95"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Cette convention a été adoptée le 2 décembre 2004 par l’Assemblée générale des Nations Unies par la résolution A/RES/59/38. Notons qu’à la date du 17 octobre 2021, veille du dépôt du présent travail doctoral, cette convention n’était pas en vigueur; la condition suspensive des trente ratifications prévue par l’article 30 n’étant guère remplie (voyez https://treaties.un.org/Pages/ViewDetails.aspx?src=IND&amp;mtdsg_no=III-13&amp;chapter=3&amp;clang=_fr, consultation le 17 octobre 2021).</w:t>
      </w:r>
    </w:p>
  </w:footnote>
  <w:footnote w:id="1046">
    <w:p w14:paraId="69502911" w14:textId="24AE4441"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Cette convention est le fruit d’un très long travail de la Commission de droit international qui avait été invitée par l’Assemblée générale des Nations Unies à se pencher sur la question des immunités à la lumière des jurisprudences nationales sur le sujet. Le travail de cette Commission se décline</w:t>
      </w:r>
      <w:r>
        <w:rPr>
          <w:szCs w:val="20"/>
        </w:rPr>
        <w:t>,</w:t>
      </w:r>
      <w:r w:rsidRPr="00E72418">
        <w:rPr>
          <w:szCs w:val="20"/>
        </w:rPr>
        <w:t xml:space="preserve"> pour l’essentiel</w:t>
      </w:r>
      <w:r>
        <w:rPr>
          <w:szCs w:val="20"/>
        </w:rPr>
        <w:t>,</w:t>
      </w:r>
      <w:r w:rsidRPr="00E72418">
        <w:rPr>
          <w:szCs w:val="20"/>
        </w:rPr>
        <w:t xml:space="preserve"> en un projet d’articles sur les immunités juridictionnelles des États et de leurs biens adopté en 1991 et en un rapport d’un comité spécial mis sur pied par la Commission en 2003, lesquels représentent la genèse de la Convention des Nations Unies.</w:t>
      </w:r>
    </w:p>
  </w:footnote>
  <w:footnote w:id="1047">
    <w:p w14:paraId="4344520F" w14:textId="5830C900"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Cour eur. D. H., 17 juillet 2012, </w:t>
      </w:r>
      <w:r w:rsidRPr="00E72418">
        <w:rPr>
          <w:i/>
          <w:szCs w:val="20"/>
        </w:rPr>
        <w:t>Wallishauser c. Autriche</w:t>
      </w:r>
      <w:r w:rsidRPr="00E72418">
        <w:rPr>
          <w:szCs w:val="20"/>
        </w:rPr>
        <w:t>, arrêt, requête n° 156/04, paragraphe 30. Comme l’explique Régis De Gouttes, « l’ensemble de ces nouvelles dispositions conventionnelles témoigne […] d’un consensus nouveau qui s’est dégagé au sein des États membres des Nations Unies pour mieux délimiter ou canaliser l’immunité de juridiction des États étrangers et, par conséquent, pour mieux protéger le droit de tous à un accès effectif à la justice et assurer le plus grand respect des lois de l’État du for » (</w:t>
      </w:r>
      <w:r w:rsidRPr="00E72418">
        <w:rPr>
          <w:smallCaps/>
          <w:szCs w:val="20"/>
        </w:rPr>
        <w:t>R. De Gouttes</w:t>
      </w:r>
      <w:r w:rsidRPr="00E72418">
        <w:rPr>
          <w:szCs w:val="20"/>
        </w:rPr>
        <w:t xml:space="preserve">, « </w:t>
      </w:r>
      <w:r w:rsidRPr="00E72418">
        <w:t>À</w:t>
      </w:r>
      <w:r w:rsidRPr="00E72418">
        <w:rPr>
          <w:szCs w:val="20"/>
        </w:rPr>
        <w:t xml:space="preserve"> propos de l’immunité de juridiction des États étrangers », in </w:t>
      </w:r>
      <w:r w:rsidRPr="00E72418">
        <w:rPr>
          <w:i/>
          <w:szCs w:val="20"/>
        </w:rPr>
        <w:t>L’État souverain dans le monde d’aujourd’hui. Mélanges en l’honneur de Jean-Pierre Puissochet</w:t>
      </w:r>
      <w:r w:rsidRPr="00E72418">
        <w:rPr>
          <w:szCs w:val="20"/>
        </w:rPr>
        <w:t>, Pedone, 2008, p. 126).</w:t>
      </w:r>
    </w:p>
  </w:footnote>
  <w:footnote w:id="1048">
    <w:p w14:paraId="2F0CDDF8" w14:textId="6DC42728" w:rsidR="0030147D" w:rsidRPr="00E72418" w:rsidRDefault="0030147D" w:rsidP="007A53CA">
      <w:pPr>
        <w:pStyle w:val="Sansinterligne"/>
        <w:rPr>
          <w:rFonts w:ascii="Times New Roman" w:hAnsi="Times New Roman" w:cs="Times New Roman"/>
        </w:rPr>
      </w:pPr>
      <w:r w:rsidRPr="00E72418">
        <w:rPr>
          <w:rStyle w:val="Appelnotedebasdep"/>
          <w:szCs w:val="20"/>
        </w:rPr>
        <w:footnoteRef/>
      </w:r>
      <w:r w:rsidRPr="00E72418">
        <w:t xml:space="preserve"> Mark Weidemaier relève que jusqu’à la moitié du vingtième siècle, l’immunité souveraine absolue « posed a nearly insurmountable barrier to suit in English and U.S. courts » (</w:t>
      </w:r>
      <w:r w:rsidRPr="00E72418">
        <w:rPr>
          <w:smallCaps/>
        </w:rPr>
        <w:t>M. Weidemaier</w:t>
      </w:r>
      <w:r w:rsidRPr="00E72418">
        <w:t xml:space="preserve">, « Sovereign Immunity and Sovereign Debt », </w:t>
      </w:r>
      <w:r w:rsidRPr="00E72418">
        <w:rPr>
          <w:rFonts w:ascii="Times New Roman" w:hAnsi="Times New Roman" w:cs="Times New Roman"/>
          <w:i/>
        </w:rPr>
        <w:t>U. Ill. Law Rev.</w:t>
      </w:r>
      <w:r w:rsidRPr="00E72418">
        <w:t>, 2014, p. 73). Les procès intentés à l’égard d’un État souverain n’étaient alors envisageables que si ce dernier y consentait.</w:t>
      </w:r>
    </w:p>
  </w:footnote>
  <w:footnote w:id="1049">
    <w:p w14:paraId="1BAC48BD" w14:textId="70098F3C"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Comme l’expliquent d’ailleurs Hazel Fox et Philippa Webb, « </w:t>
      </w:r>
      <w:r w:rsidRPr="00E72418">
        <w:rPr>
          <w:szCs w:val="20"/>
        </w:rPr>
        <w:t>[w]here a State undertakes commitments of a private law nature there would seem no good reason why any dispute arising from such commitment should not be determined by ordinary courts of law » (</w:t>
      </w:r>
      <w:r w:rsidRPr="00E72418">
        <w:rPr>
          <w:smallCaps/>
          <w:szCs w:val="20"/>
          <w:lang w:val="en-US"/>
        </w:rPr>
        <w:t>H. Fox</w:t>
      </w:r>
      <w:r w:rsidRPr="00E72418">
        <w:rPr>
          <w:szCs w:val="20"/>
          <w:lang w:val="en-US"/>
        </w:rPr>
        <w:t xml:space="preserve"> et </w:t>
      </w:r>
      <w:r w:rsidRPr="00E72418">
        <w:rPr>
          <w:smallCaps/>
          <w:szCs w:val="20"/>
          <w:lang w:val="en-US"/>
        </w:rPr>
        <w:t>P. Webb</w:t>
      </w:r>
      <w:r w:rsidRPr="00E72418">
        <w:rPr>
          <w:szCs w:val="20"/>
          <w:lang w:val="en-US"/>
        </w:rPr>
        <w:t xml:space="preserve">, </w:t>
      </w:r>
      <w:r w:rsidRPr="00E72418">
        <w:rPr>
          <w:i/>
          <w:szCs w:val="20"/>
          <w:lang w:val="en-US"/>
        </w:rPr>
        <w:t>The Law of State Immunity</w:t>
      </w:r>
      <w:r w:rsidRPr="00E72418">
        <w:rPr>
          <w:szCs w:val="20"/>
          <w:lang w:val="en-US"/>
        </w:rPr>
        <w:t xml:space="preserve">, </w:t>
      </w:r>
      <w:r w:rsidRPr="00E72418">
        <w:rPr>
          <w:szCs w:val="20"/>
        </w:rPr>
        <w:t>3</w:t>
      </w:r>
      <w:r w:rsidRPr="00E72418">
        <w:rPr>
          <w:szCs w:val="20"/>
          <w:vertAlign w:val="superscript"/>
        </w:rPr>
        <w:t>e</w:t>
      </w:r>
      <w:r w:rsidRPr="00E72418">
        <w:rPr>
          <w:szCs w:val="20"/>
          <w:lang w:val="en-US"/>
        </w:rPr>
        <w:t xml:space="preserve"> éd., Oxford University Press, 2015, p. 36). Dans le même ordre d’idées et dans des termes que l’auteure retient comme manichéens, Florence Poirat indique que « lorsque l’</w:t>
      </w:r>
      <w:r w:rsidRPr="00E72418">
        <w:rPr>
          <w:rFonts w:cs="Times"/>
          <w:szCs w:val="20"/>
        </w:rPr>
        <w:t>É</w:t>
      </w:r>
      <w:r w:rsidRPr="00E72418">
        <w:rPr>
          <w:szCs w:val="20"/>
          <w:lang w:val="en-US"/>
        </w:rPr>
        <w:t xml:space="preserve">tat agit en dehors de ses prérogatives régaliennes, il agit comme un particulier et doit être traité comme tel </w:t>
      </w:r>
      <w:r w:rsidRPr="00E72418">
        <w:rPr>
          <w:szCs w:val="20"/>
        </w:rPr>
        <w:t>» (</w:t>
      </w:r>
      <w:r w:rsidRPr="00E72418">
        <w:rPr>
          <w:szCs w:val="20"/>
          <w:lang w:val="en-US"/>
        </w:rPr>
        <w:t xml:space="preserve">F. </w:t>
      </w:r>
      <w:r w:rsidRPr="00E72418">
        <w:rPr>
          <w:smallCaps/>
          <w:szCs w:val="20"/>
          <w:lang w:val="en-US"/>
        </w:rPr>
        <w:t>Poirat</w:t>
      </w:r>
      <w:r w:rsidRPr="00E72418">
        <w:rPr>
          <w:szCs w:val="20"/>
          <w:lang w:val="en-US"/>
        </w:rPr>
        <w:t xml:space="preserve">, </w:t>
      </w:r>
      <w:r w:rsidRPr="00E72418">
        <w:t>« Les immunités des sujets du droit international </w:t>
      </w:r>
      <w:r w:rsidRPr="00E72418">
        <w:rPr>
          <w:rFonts w:ascii="Times New Roman" w:hAnsi="Times New Roman" w:cs="Times New Roman"/>
          <w:szCs w:val="24"/>
        </w:rPr>
        <w:t>(</w:t>
      </w:r>
      <w:r w:rsidRPr="00E72418">
        <w:t>É</w:t>
      </w:r>
      <w:r w:rsidRPr="00E72418">
        <w:rPr>
          <w:rFonts w:ascii="Times New Roman" w:hAnsi="Times New Roman" w:cs="Times New Roman"/>
          <w:szCs w:val="24"/>
        </w:rPr>
        <w:t xml:space="preserve">tats et organisations internationales) </w:t>
      </w:r>
      <w:r w:rsidRPr="00E72418">
        <w:t xml:space="preserve">», in J. </w:t>
      </w:r>
      <w:r w:rsidRPr="00E72418">
        <w:rPr>
          <w:smallCaps/>
        </w:rPr>
        <w:t>Verhoeven</w:t>
      </w:r>
      <w:r w:rsidRPr="00E72418">
        <w:t xml:space="preserve"> (dir.), </w:t>
      </w:r>
      <w:r w:rsidRPr="00E72418">
        <w:rPr>
          <w:i/>
        </w:rPr>
        <w:t>Le droit international des immunités : contestation ou consolidation ?</w:t>
      </w:r>
      <w:r w:rsidRPr="00E72418">
        <w:t>, Larcier, 2004, p. 46</w:t>
      </w:r>
      <w:r w:rsidRPr="00E72418">
        <w:rPr>
          <w:szCs w:val="20"/>
        </w:rPr>
        <w:t>).</w:t>
      </w:r>
      <w:r w:rsidRPr="00E72418">
        <w:rPr>
          <w:szCs w:val="20"/>
          <w:lang w:val="en-US"/>
        </w:rPr>
        <w:t xml:space="preserve"> Cette restriction de l’immunité explique notamment, pour le sujet qui nous occupe, l’augmentation des financements privés concédés aux </w:t>
      </w:r>
      <w:r w:rsidRPr="00E72418">
        <w:rPr>
          <w:rFonts w:cs="Times New Roman"/>
          <w:szCs w:val="24"/>
        </w:rPr>
        <w:t>É</w:t>
      </w:r>
      <w:r w:rsidRPr="00E72418">
        <w:rPr>
          <w:szCs w:val="20"/>
          <w:lang w:val="en-US"/>
        </w:rPr>
        <w:t xml:space="preserve">tats constatée depuis plusieurs décennies. Comme le note Lee Buchheit, « [t]he erosion of sovereign immunity has given the financiers of our era at least a theoretical avenue of redress » (L. </w:t>
      </w:r>
      <w:r w:rsidRPr="00E72418">
        <w:rPr>
          <w:rFonts w:eastAsia="Times New Roman" w:cs="Times New Roman"/>
          <w:smallCaps/>
          <w:szCs w:val="24"/>
          <w:lang w:val="en-US" w:eastAsia="fr-BE"/>
        </w:rPr>
        <w:t>Buchheit, « </w:t>
      </w:r>
      <w:r w:rsidRPr="00E72418">
        <w:rPr>
          <w:rFonts w:eastAsia="Times New Roman" w:cs="Times New Roman"/>
          <w:szCs w:val="24"/>
          <w:lang w:val="en-US" w:eastAsia="fr-BE"/>
        </w:rPr>
        <w:t>Sovereign Debt in the Light of Eternity »</w:t>
      </w:r>
      <w:r w:rsidRPr="00E72418">
        <w:rPr>
          <w:rFonts w:eastAsia="Times New Roman" w:cs="Times New Roman"/>
          <w:smallCaps/>
          <w:szCs w:val="24"/>
          <w:lang w:val="en-US" w:eastAsia="fr-BE"/>
        </w:rPr>
        <w:t>,</w:t>
      </w:r>
      <w:r w:rsidRPr="00E72418">
        <w:rPr>
          <w:rFonts w:cs="Times New Roman"/>
          <w:i/>
          <w:szCs w:val="24"/>
          <w:lang w:val="en-US"/>
        </w:rPr>
        <w:t xml:space="preserve"> op. cit.</w:t>
      </w:r>
      <w:r w:rsidRPr="00E72418">
        <w:rPr>
          <w:rFonts w:cs="Times New Roman"/>
          <w:szCs w:val="24"/>
          <w:lang w:val="en-US"/>
        </w:rPr>
        <w:t>, pp. 465 et 466).</w:t>
      </w:r>
    </w:p>
  </w:footnote>
  <w:footnote w:id="1050">
    <w:p w14:paraId="3B6F45BD" w14:textId="1D929E67" w:rsidR="0030147D" w:rsidRPr="00E72418" w:rsidRDefault="0030147D" w:rsidP="006B37E3">
      <w:pPr>
        <w:pStyle w:val="Sansinterligne"/>
        <w:rPr>
          <w:rFonts w:ascii="Times New Roman" w:hAnsi="Times New Roman"/>
          <w:szCs w:val="20"/>
        </w:rPr>
      </w:pPr>
      <w:r w:rsidRPr="00E72418">
        <w:rPr>
          <w:rStyle w:val="Appelnotedebasdep"/>
          <w:szCs w:val="20"/>
        </w:rPr>
        <w:footnoteRef/>
      </w:r>
      <w:r w:rsidRPr="00E72418">
        <w:rPr>
          <w:rStyle w:val="Titre5Car"/>
          <w:rFonts w:ascii="Times" w:eastAsiaTheme="minorHAnsi" w:hAnsi="Times" w:cstheme="minorBidi"/>
          <w:color w:val="auto"/>
          <w:szCs w:val="20"/>
          <w:lang w:val="en-US"/>
        </w:rPr>
        <w:t xml:space="preserve"> W. </w:t>
      </w:r>
      <w:r w:rsidRPr="00E72418">
        <w:rPr>
          <w:smallCaps/>
          <w:shd w:val="clear" w:color="auto" w:fill="FFFFFF"/>
        </w:rPr>
        <w:t xml:space="preserve">Nagan </w:t>
      </w:r>
      <w:r w:rsidRPr="00E72418">
        <w:rPr>
          <w:shd w:val="clear" w:color="auto" w:fill="FFFFFF"/>
        </w:rPr>
        <w:t xml:space="preserve">et J. </w:t>
      </w:r>
      <w:r w:rsidRPr="00E72418">
        <w:rPr>
          <w:smallCaps/>
          <w:shd w:val="clear" w:color="auto" w:fill="FFFFFF"/>
        </w:rPr>
        <w:t>Root</w:t>
      </w:r>
      <w:r w:rsidRPr="00E72418">
        <w:rPr>
          <w:shd w:val="clear" w:color="auto" w:fill="FFFFFF"/>
        </w:rPr>
        <w:t xml:space="preserve">, « </w:t>
      </w:r>
      <w:r w:rsidRPr="00E72418">
        <w:t xml:space="preserve">The Emerging Restrictions on Sovereign Immunity: Peremptory Norms of International Law, the U.N. Charter, and the Application of Modern Communications Theory », </w:t>
      </w:r>
      <w:r w:rsidRPr="00E72418">
        <w:rPr>
          <w:rFonts w:ascii="Times New Roman" w:hAnsi="Times New Roman"/>
          <w:i/>
          <w:szCs w:val="20"/>
        </w:rPr>
        <w:t>N.C.J. Int. Law &amp; Com. Reg.</w:t>
      </w:r>
      <w:r w:rsidRPr="00E72418">
        <w:t>, 2013, p. 417</w:t>
      </w:r>
      <w:r w:rsidRPr="00E72418">
        <w:rPr>
          <w:rStyle w:val="Titre5Car"/>
          <w:rFonts w:ascii="Times" w:eastAsiaTheme="minorHAnsi" w:hAnsi="Times" w:cstheme="minorBidi"/>
          <w:color w:val="auto"/>
          <w:szCs w:val="20"/>
          <w:lang w:val="en-US"/>
        </w:rPr>
        <w:t xml:space="preserve">. </w:t>
      </w:r>
      <w:r w:rsidRPr="00E72418">
        <w:rPr>
          <w:szCs w:val="20"/>
        </w:rPr>
        <w:t xml:space="preserve">La Chine fait ici figure d’exception en retenant la théorie de l’immunité absolue (voyez encore le récent rappel de cette exception in W. </w:t>
      </w:r>
      <w:r w:rsidRPr="00E72418">
        <w:rPr>
          <w:iCs/>
          <w:smallCaps/>
        </w:rPr>
        <w:t xml:space="preserve">Dodge </w:t>
      </w:r>
      <w:r w:rsidRPr="00E72418">
        <w:t xml:space="preserve">« Jurisdiction, State Immunity, and Judgments in the Restatement (Fourth) of US Foreign Relation Law », </w:t>
      </w:r>
      <w:r w:rsidRPr="00E72418">
        <w:rPr>
          <w:i/>
        </w:rPr>
        <w:t>Chinese JIL</w:t>
      </w:r>
      <w:r w:rsidRPr="00E72418">
        <w:t>, 2020, p. 125</w:t>
      </w:r>
      <w:r w:rsidRPr="00E72418">
        <w:rPr>
          <w:szCs w:val="20"/>
        </w:rPr>
        <w:t>).</w:t>
      </w:r>
    </w:p>
  </w:footnote>
  <w:footnote w:id="1051">
    <w:p w14:paraId="6D3C10D7" w14:textId="613108B8" w:rsidR="0030147D" w:rsidRPr="00E72418" w:rsidRDefault="0030147D" w:rsidP="00467190">
      <w:pPr>
        <w:pStyle w:val="Sansinterligne"/>
      </w:pPr>
      <w:r w:rsidRPr="00E72418">
        <w:rPr>
          <w:rStyle w:val="Appelnotedebasdep"/>
        </w:rPr>
        <w:footnoteRef/>
      </w:r>
      <w:r w:rsidRPr="00E72418">
        <w:t xml:space="preserve"> X. </w:t>
      </w:r>
      <w:r w:rsidRPr="00E72418">
        <w:rPr>
          <w:smallCaps/>
        </w:rPr>
        <w:t>Yang</w:t>
      </w:r>
      <w:r w:rsidRPr="00E72418">
        <w:t xml:space="preserve">, </w:t>
      </w:r>
      <w:r w:rsidRPr="00E72418">
        <w:rPr>
          <w:i/>
        </w:rPr>
        <w:t>State Immunity in International Law</w:t>
      </w:r>
      <w:r w:rsidRPr="00E72418">
        <w:t>, Cambridge University Press, 2012, p. 32.</w:t>
      </w:r>
    </w:p>
  </w:footnote>
  <w:footnote w:id="1052">
    <w:p w14:paraId="36D33DA6" w14:textId="77777777" w:rsidR="0030147D" w:rsidRPr="00E72418" w:rsidRDefault="0030147D" w:rsidP="006D50CA">
      <w:pPr>
        <w:pStyle w:val="Sansinterligne"/>
        <w:rPr>
          <w:rFonts w:cs="Times"/>
          <w:szCs w:val="20"/>
        </w:rPr>
      </w:pPr>
      <w:r w:rsidRPr="00E72418">
        <w:rPr>
          <w:rStyle w:val="Appelnotedebasdep"/>
          <w:rFonts w:cs="Times"/>
          <w:szCs w:val="20"/>
        </w:rPr>
        <w:footnoteRef/>
      </w:r>
      <w:r w:rsidRPr="00E72418">
        <w:rPr>
          <w:rFonts w:cs="Times"/>
          <w:szCs w:val="20"/>
        </w:rPr>
        <w:t xml:space="preserve"> « Un État jouit, pour lui-même et pour ses biens, de l’immunité de juridiction devant les tribunaux d’un autre État, sous réserve des dispositions de la présente Convention ».</w:t>
      </w:r>
    </w:p>
  </w:footnote>
  <w:footnote w:id="1053">
    <w:p w14:paraId="60F0E8E9" w14:textId="77777777" w:rsidR="0030147D" w:rsidRPr="00E72418" w:rsidRDefault="0030147D" w:rsidP="006D50CA">
      <w:pPr>
        <w:pStyle w:val="Sansinterligne"/>
        <w:rPr>
          <w:rFonts w:cs="Times"/>
          <w:szCs w:val="20"/>
        </w:rPr>
      </w:pPr>
      <w:r w:rsidRPr="00E72418">
        <w:rPr>
          <w:rStyle w:val="Appelnotedebasdep"/>
          <w:rFonts w:cs="Times"/>
          <w:szCs w:val="20"/>
        </w:rPr>
        <w:footnoteRef/>
      </w:r>
      <w:r w:rsidRPr="00E72418">
        <w:rPr>
          <w:rFonts w:cs="Times"/>
          <w:szCs w:val="20"/>
        </w:rPr>
        <w:t xml:space="preserve"> Voyez les articles 10 et 11 de la Convention.</w:t>
      </w:r>
    </w:p>
  </w:footnote>
  <w:footnote w:id="1054">
    <w:p w14:paraId="15242A28" w14:textId="5F5AFEDD" w:rsidR="0030147D" w:rsidRPr="00E72418" w:rsidRDefault="0030147D" w:rsidP="006D50CA">
      <w:pPr>
        <w:pStyle w:val="Sansinterligne"/>
        <w:rPr>
          <w:rFonts w:cs="Times"/>
          <w:szCs w:val="20"/>
        </w:rPr>
      </w:pPr>
      <w:r w:rsidRPr="00E72418">
        <w:rPr>
          <w:rStyle w:val="Appelnotedebasdep"/>
          <w:rFonts w:cs="Times"/>
          <w:szCs w:val="20"/>
        </w:rPr>
        <w:footnoteRef/>
      </w:r>
      <w:r w:rsidRPr="00E72418">
        <w:rPr>
          <w:rFonts w:cs="Times"/>
          <w:szCs w:val="20"/>
        </w:rPr>
        <w:t xml:space="preserve"> </w:t>
      </w:r>
      <w:r w:rsidRPr="00E72418">
        <w:rPr>
          <w:rFonts w:cs="Times"/>
          <w:smallCaps/>
          <w:szCs w:val="20"/>
        </w:rPr>
        <w:t>J. Vanderschuren</w:t>
      </w:r>
      <w:r w:rsidRPr="00E72418">
        <w:rPr>
          <w:rFonts w:cs="Times"/>
          <w:szCs w:val="20"/>
        </w:rPr>
        <w:t xml:space="preserve">, « Une nouvelle déclinaison jurisprudentielle de l’érosion de l’immunité de juridiction des États », </w:t>
      </w:r>
      <w:r w:rsidRPr="00E72418">
        <w:rPr>
          <w:rFonts w:cs="Times"/>
          <w:i/>
          <w:szCs w:val="20"/>
        </w:rPr>
        <w:t>op. cit.</w:t>
      </w:r>
      <w:r w:rsidRPr="00E72418">
        <w:rPr>
          <w:rFonts w:cs="Times"/>
          <w:szCs w:val="20"/>
        </w:rPr>
        <w:t xml:space="preserve">, p. 794. Voyez les articles 12 à 16 de la Convention qui visent les </w:t>
      </w:r>
      <w:r w:rsidRPr="00E72418">
        <w:rPr>
          <w:rFonts w:cs="Times"/>
          <w:szCs w:val="20"/>
          <w:shd w:val="clear" w:color="auto" w:fill="FFFFFF"/>
        </w:rPr>
        <w:t>atteintes à l’intégrité physique d’une personne ou les dommages aux biens, la propriété, la possession et l’usage de biens, la propriété intellectuelle et industrielle, la participation à des sociétés ou autres groupements ou encore les navires dont un État est le propriétaire ou l’exploitant.</w:t>
      </w:r>
    </w:p>
  </w:footnote>
  <w:footnote w:id="1055">
    <w:p w14:paraId="27720F82" w14:textId="02D8C68C" w:rsidR="0030147D" w:rsidRPr="00E72418" w:rsidRDefault="0030147D" w:rsidP="006D50CA">
      <w:pPr>
        <w:pStyle w:val="Sansinterligne"/>
        <w:rPr>
          <w:szCs w:val="20"/>
        </w:rPr>
      </w:pPr>
      <w:r w:rsidRPr="00E72418">
        <w:rPr>
          <w:rStyle w:val="Appelnotedebasdep"/>
          <w:rFonts w:cs="Times"/>
          <w:szCs w:val="20"/>
        </w:rPr>
        <w:footnoteRef/>
      </w:r>
      <w:r w:rsidRPr="00E72418">
        <w:rPr>
          <w:rFonts w:cs="Times"/>
          <w:szCs w:val="20"/>
        </w:rPr>
        <w:t xml:space="preserve"> Dès lors que dans certains contentieux la dette acquise par les fonds spéculatifs concernait originairement un rapport bilatéral, la première exception est importante (voyez notamment le rapport initial dans l’affaire </w:t>
      </w:r>
      <w:r w:rsidRPr="00E72418">
        <w:rPr>
          <w:i/>
        </w:rPr>
        <w:t>Donegal International Ltd</w:t>
      </w:r>
      <w:r w:rsidRPr="00E72418">
        <w:t xml:space="preserve">. c. la République de Zambie, </w:t>
      </w:r>
      <w:r w:rsidRPr="00E72418">
        <w:rPr>
          <w:i/>
        </w:rPr>
        <w:t>supra</w:t>
      </w:r>
      <w:r w:rsidRPr="00E72418">
        <w:t xml:space="preserve"> n° 104).</w:t>
      </w:r>
    </w:p>
  </w:footnote>
  <w:footnote w:id="1056">
    <w:p w14:paraId="5DC9B2EF" w14:textId="53904070" w:rsidR="0030147D" w:rsidRPr="00E72418" w:rsidRDefault="0030147D" w:rsidP="00E32F89">
      <w:pPr>
        <w:pStyle w:val="Sansinterligne"/>
        <w:rPr>
          <w:rFonts w:ascii="Times New Roman" w:hAnsi="Times New Roman" w:cs="Times New Roman"/>
          <w:szCs w:val="20"/>
        </w:rPr>
      </w:pPr>
      <w:r w:rsidRPr="00E72418">
        <w:rPr>
          <w:rStyle w:val="Appelnotedebasdep"/>
          <w:szCs w:val="20"/>
        </w:rPr>
        <w:footnoteRef/>
      </w:r>
      <w:r w:rsidRPr="00E72418">
        <w:t xml:space="preserve"> L’absence de choix posé entre le critère de la nature de l’acte et celui de son but décontenance certains commentateurs. Pour Hazel Fox, si l’ « article 2(2) represents a compromise of the widely divergent views », le problème est que « by permitting the purpose of the transaction to be taken in account </w:t>
      </w:r>
      <w:r w:rsidRPr="00E72418">
        <w:rPr>
          <w:rFonts w:ascii="Times New Roman" w:hAnsi="Times New Roman"/>
        </w:rPr>
        <w:t>[…]</w:t>
      </w:r>
      <w:r w:rsidRPr="00E72418">
        <w:t xml:space="preserve"> it might be contended that no harmonization of State practice can be achieved, and that the demarcation line between public and private activity will continue to vary according to the forum » (H. </w:t>
      </w:r>
      <w:r w:rsidRPr="00E72418">
        <w:rPr>
          <w:smallCaps/>
        </w:rPr>
        <w:t>Fox</w:t>
      </w:r>
      <w:r w:rsidRPr="00E72418">
        <w:t xml:space="preserve">, « In Defence of State Immunity: Why the UN Convention on State Immunity is important », </w:t>
      </w:r>
      <w:r w:rsidRPr="00E72418">
        <w:rPr>
          <w:i/>
        </w:rPr>
        <w:t>I.C.L.Q.</w:t>
      </w:r>
      <w:r w:rsidRPr="00E72418">
        <w:t xml:space="preserve">, 2006, p. 400). Le critère du but présente cette faiblesse qu’il peut toujours être argué que les actes posés par un </w:t>
      </w:r>
      <w:r w:rsidRPr="00E72418">
        <w:rPr>
          <w:rFonts w:ascii="Times New Roman" w:hAnsi="Times New Roman" w:cs="Times New Roman"/>
          <w:lang w:eastAsia="fr-BE"/>
        </w:rPr>
        <w:t>É</w:t>
      </w:r>
      <w:r w:rsidRPr="00E72418">
        <w:t xml:space="preserve">tat participent d’un but public (voyez </w:t>
      </w:r>
      <w:r w:rsidRPr="00E72418">
        <w:rPr>
          <w:rFonts w:ascii="Times New Roman" w:hAnsi="Times New Roman" w:cs="Times New Roman"/>
          <w:szCs w:val="20"/>
        </w:rPr>
        <w:t xml:space="preserve">notamment B. </w:t>
      </w:r>
      <w:r w:rsidRPr="00E72418">
        <w:rPr>
          <w:rFonts w:ascii="Times New Roman" w:hAnsi="Times New Roman" w:cs="Times New Roman"/>
          <w:smallCaps/>
          <w:szCs w:val="20"/>
          <w:lang w:val="en-US"/>
        </w:rPr>
        <w:t xml:space="preserve">Bonafè, </w:t>
      </w:r>
      <w:r w:rsidRPr="00E72418">
        <w:rPr>
          <w:rFonts w:ascii="Times New Roman" w:hAnsi="Times New Roman" w:cs="Times New Roman"/>
          <w:szCs w:val="20"/>
          <w:lang w:val="en-US"/>
        </w:rPr>
        <w:t xml:space="preserve">« State Immunity and the Protection of Private Investors: The </w:t>
      </w:r>
      <w:r w:rsidRPr="00E72418">
        <w:rPr>
          <w:rFonts w:ascii="Times New Roman" w:hAnsi="Times New Roman" w:cs="Times New Roman"/>
          <w:i/>
          <w:szCs w:val="20"/>
          <w:lang w:val="en-US"/>
        </w:rPr>
        <w:t>Argentine Bonds</w:t>
      </w:r>
      <w:r w:rsidRPr="00E72418">
        <w:rPr>
          <w:rFonts w:ascii="Times New Roman" w:hAnsi="Times New Roman" w:cs="Times New Roman"/>
          <w:szCs w:val="20"/>
          <w:lang w:val="en-US"/>
        </w:rPr>
        <w:t xml:space="preserve"> Case before Italian Courts », </w:t>
      </w:r>
      <w:r w:rsidRPr="00E72418">
        <w:rPr>
          <w:rFonts w:ascii="Times New Roman" w:hAnsi="Times New Roman" w:cs="Times New Roman"/>
          <w:i/>
          <w:szCs w:val="20"/>
        </w:rPr>
        <w:t>Italian Y.B. Int. Law</w:t>
      </w:r>
      <w:r w:rsidRPr="00E72418">
        <w:rPr>
          <w:rFonts w:ascii="Times New Roman" w:hAnsi="Times New Roman" w:cs="Times New Roman"/>
          <w:szCs w:val="20"/>
          <w:lang w:val="en-US"/>
        </w:rPr>
        <w:t xml:space="preserve">, 2006, p. 170 </w:t>
      </w:r>
      <w:r w:rsidRPr="00E72418">
        <w:rPr>
          <w:rFonts w:ascii="Times New Roman" w:hAnsi="Times New Roman" w:cs="Times New Roman"/>
          <w:szCs w:val="20"/>
        </w:rPr>
        <w:t>: « [i]nevitably, State acts normally tend to pursue public goals, and this would ultimately reverse the development of the State immunity rule that has taken place under customary law, thus restoring the old rule of absolute State immunity »).</w:t>
      </w:r>
    </w:p>
  </w:footnote>
  <w:footnote w:id="1057">
    <w:p w14:paraId="1DE26A52" w14:textId="206C0BF0" w:rsidR="0030147D" w:rsidRPr="00E72418" w:rsidRDefault="0030147D" w:rsidP="006D50CA">
      <w:pPr>
        <w:pStyle w:val="Sansinterligne"/>
        <w:rPr>
          <w:szCs w:val="20"/>
          <w:lang w:val="en-US"/>
        </w:rPr>
      </w:pPr>
      <w:r w:rsidRPr="00E72418">
        <w:rPr>
          <w:rStyle w:val="Appelnotedebasdep"/>
          <w:szCs w:val="20"/>
        </w:rPr>
        <w:footnoteRef/>
      </w:r>
      <w:r w:rsidRPr="00E72418">
        <w:rPr>
          <w:szCs w:val="20"/>
        </w:rPr>
        <w:t xml:space="preserve"> Dans la décision de la Cour suprême </w:t>
      </w:r>
      <w:r w:rsidRPr="00E72418">
        <w:rPr>
          <w:i/>
          <w:szCs w:val="20"/>
        </w:rPr>
        <w:t>Schooner Exchange v. McFaddon</w:t>
      </w:r>
      <w:r w:rsidRPr="00E72418">
        <w:rPr>
          <w:szCs w:val="20"/>
        </w:rPr>
        <w:t xml:space="preserve"> de 1812, l’immunité y fut entendue de manière large même si on y retrouve toutefois en germe l’idée d’une immunité relative à la distinction qui y est faite entre les « public armed ships » et les « merchant vessels » (Supreme Court of the United States (EUA), 2 mars 1812, </w:t>
      </w:r>
      <w:r w:rsidRPr="00E72418">
        <w:rPr>
          <w:i/>
          <w:szCs w:val="20"/>
        </w:rPr>
        <w:t>Schooner Exchange v. McFaddon</w:t>
      </w:r>
      <w:r w:rsidRPr="00E72418">
        <w:rPr>
          <w:szCs w:val="20"/>
        </w:rPr>
        <w:t xml:space="preserve">, 11 U.S. 116, p. 144). </w:t>
      </w:r>
      <w:r w:rsidRPr="00E72418">
        <w:rPr>
          <w:szCs w:val="20"/>
          <w:lang w:val="en-US"/>
        </w:rPr>
        <w:t>De cette distinction, Ellen Simon et Monty Crawford concluent que « common law support for the distinction between the public acts of states as compared to commercial acts is centuries old » (</w:t>
      </w:r>
      <w:r w:rsidRPr="00E72418">
        <w:rPr>
          <w:smallCaps/>
          <w:szCs w:val="20"/>
          <w:lang w:val="en-US"/>
        </w:rPr>
        <w:t>E. Simon</w:t>
      </w:r>
      <w:r w:rsidRPr="00E72418">
        <w:rPr>
          <w:szCs w:val="20"/>
          <w:lang w:val="en-US"/>
        </w:rPr>
        <w:t xml:space="preserve"> et </w:t>
      </w:r>
      <w:r w:rsidRPr="00E72418">
        <w:rPr>
          <w:smallCaps/>
          <w:szCs w:val="20"/>
          <w:lang w:val="en-US"/>
        </w:rPr>
        <w:t>Q. Crawford</w:t>
      </w:r>
      <w:r w:rsidRPr="00E72418">
        <w:rPr>
          <w:szCs w:val="20"/>
          <w:lang w:val="en-US"/>
        </w:rPr>
        <w:t xml:space="preserve">, « </w:t>
      </w:r>
      <w:r w:rsidRPr="00E72418">
        <w:rPr>
          <w:rFonts w:cs="Times New Roman"/>
          <w:szCs w:val="24"/>
          <w:lang w:val="en-US"/>
        </w:rPr>
        <w:t xml:space="preserve">The Impact of </w:t>
      </w:r>
      <w:r w:rsidRPr="00E72418">
        <w:rPr>
          <w:rFonts w:cs="Times New Roman"/>
          <w:i/>
          <w:szCs w:val="24"/>
          <w:lang w:val="en-US"/>
        </w:rPr>
        <w:t>Republic of Argentina v. NML Capital, Ltd.</w:t>
      </w:r>
      <w:r w:rsidRPr="00E72418">
        <w:rPr>
          <w:rFonts w:cs="Times New Roman"/>
          <w:szCs w:val="24"/>
          <w:lang w:val="en-US"/>
        </w:rPr>
        <w:t xml:space="preserve">: Why the Supreme Court’s Ruling against Argentina Avoided a Host of Unintended, Negative Consequences </w:t>
      </w:r>
      <w:r w:rsidRPr="00E72418">
        <w:rPr>
          <w:szCs w:val="20"/>
          <w:lang w:val="en-US"/>
        </w:rPr>
        <w:t xml:space="preserve">», </w:t>
      </w:r>
      <w:r w:rsidRPr="00E72418">
        <w:rPr>
          <w:i/>
          <w:szCs w:val="20"/>
          <w:lang w:val="en-US"/>
        </w:rPr>
        <w:t>op. cit.</w:t>
      </w:r>
      <w:r w:rsidRPr="00E72418">
        <w:rPr>
          <w:szCs w:val="20"/>
          <w:lang w:val="en-US"/>
        </w:rPr>
        <w:t>, p. 60).</w:t>
      </w:r>
    </w:p>
  </w:footnote>
  <w:footnote w:id="1058">
    <w:p w14:paraId="12158A0F" w14:textId="4AE09D4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Tate</w:t>
      </w:r>
      <w:r w:rsidRPr="00E72418">
        <w:rPr>
          <w:szCs w:val="20"/>
          <w:lang w:val="en-US"/>
        </w:rPr>
        <w:t xml:space="preserve">, </w:t>
      </w:r>
      <w:r w:rsidRPr="00E72418">
        <w:rPr>
          <w:rFonts w:ascii="Times New Roman" w:hAnsi="Times New Roman" w:cs="Times New Roman"/>
          <w:szCs w:val="24"/>
        </w:rPr>
        <w:t xml:space="preserve">« </w:t>
      </w:r>
      <w:r w:rsidRPr="00E72418">
        <w:rPr>
          <w:rFonts w:ascii="Times New Roman" w:hAnsi="Times New Roman" w:cs="Times New Roman"/>
          <w:szCs w:val="24"/>
          <w:lang w:val="en-US"/>
        </w:rPr>
        <w:t xml:space="preserve">Changed Policy Concerning the Granting of Sovereign Immunity to Foreign Governments </w:t>
      </w:r>
      <w:r w:rsidRPr="00E72418">
        <w:rPr>
          <w:rFonts w:ascii="Times New Roman" w:hAnsi="Times New Roman" w:cs="Times New Roman"/>
          <w:szCs w:val="24"/>
        </w:rPr>
        <w:t>»</w:t>
      </w:r>
      <w:r w:rsidRPr="00E72418">
        <w:rPr>
          <w:szCs w:val="20"/>
          <w:lang w:val="en-US"/>
        </w:rPr>
        <w:t xml:space="preserve">, Department of State Bulletin, 1952, p. 985. </w:t>
      </w:r>
    </w:p>
  </w:footnote>
  <w:footnote w:id="1059">
    <w:p w14:paraId="5F5E12C0" w14:textId="7777777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Précisément : « [a]n Act to define the jurisdiction of United States courts in suits against foreign states, the circumstance in which foreign states are immune and in which execution may not be levied on their property, and for other purposes » (Public law n° 94-583, 21 octobre 1976).</w:t>
      </w:r>
    </w:p>
  </w:footnote>
  <w:footnote w:id="1060">
    <w:p w14:paraId="37023D85" w14:textId="41DA48B2"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Supreme Court of the United States (EUA), 23 mai 1983, </w:t>
      </w:r>
      <w:r w:rsidRPr="00E72418">
        <w:rPr>
          <w:i/>
          <w:szCs w:val="20"/>
          <w:lang w:val="en-US"/>
        </w:rPr>
        <w:t>Verlinden BV v. Central Bank of Nigeria</w:t>
      </w:r>
      <w:r w:rsidRPr="00E72418">
        <w:rPr>
          <w:szCs w:val="20"/>
          <w:lang w:val="en-US"/>
        </w:rPr>
        <w:t xml:space="preserve">, 461 U.S. 480, p. 488. Et la Cour d’encore ajouter, « [t]o accomplish these objectives, the Act contains a comprehensive set of legal standards governing claims of immunity in every civil action against a foreign state ». Dans les « findings and declaration of purpose » du </w:t>
      </w:r>
      <w:r w:rsidRPr="00E72418">
        <w:rPr>
          <w:rFonts w:cs="Times New Roman"/>
          <w:i/>
          <w:szCs w:val="20"/>
        </w:rPr>
        <w:t>Foreign Sovereign Immunities Act</w:t>
      </w:r>
      <w:r w:rsidRPr="00E72418">
        <w:rPr>
          <w:szCs w:val="20"/>
          <w:lang w:val="en-US"/>
        </w:rPr>
        <w:t>, on peut lire que « [t]he Congress finds that the determination by</w:t>
      </w:r>
      <w:hyperlink r:id="rId42" w:history="1">
        <w:r w:rsidRPr="00E72418">
          <w:rPr>
            <w:rStyle w:val="Lienhypertexte"/>
            <w:color w:val="auto"/>
            <w:szCs w:val="20"/>
            <w:u w:val="none"/>
            <w:lang w:val="en-US"/>
          </w:rPr>
          <w:t> United States </w:t>
        </w:r>
      </w:hyperlink>
      <w:r w:rsidRPr="00E72418">
        <w:rPr>
          <w:szCs w:val="20"/>
          <w:lang w:val="en-US"/>
        </w:rPr>
        <w:t>courts of the claims of foreign states to immunity from the jurisdiction of such courts would serve the interests of justice and would protect the rights of both foreign states and litigants in</w:t>
      </w:r>
      <w:hyperlink r:id="rId43" w:history="1">
        <w:r w:rsidRPr="00E72418">
          <w:rPr>
            <w:rStyle w:val="Lienhypertexte"/>
            <w:color w:val="auto"/>
            <w:szCs w:val="20"/>
            <w:u w:val="none"/>
            <w:lang w:val="en-US"/>
          </w:rPr>
          <w:t> United States </w:t>
        </w:r>
      </w:hyperlink>
      <w:r w:rsidRPr="00E72418">
        <w:rPr>
          <w:szCs w:val="20"/>
          <w:lang w:val="en-US"/>
        </w:rPr>
        <w:t>courts (…). Claims of foreign states to immunity should henceforth be decided by courts of the United States and of the States in conformity with the principle set forth in this chapter ».</w:t>
      </w:r>
    </w:p>
  </w:footnote>
  <w:footnote w:id="1061">
    <w:p w14:paraId="6BFEF520" w14:textId="0A30938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Supreme Court of the United States (EUA), </w:t>
      </w:r>
      <w:r w:rsidRPr="00E72418">
        <w:rPr>
          <w:rStyle w:val="injectednode"/>
          <w:szCs w:val="20"/>
          <w:lang w:val="en-US"/>
        </w:rPr>
        <w:t xml:space="preserve">23 janvier 1989, </w:t>
      </w:r>
      <w:r w:rsidRPr="00E72418">
        <w:rPr>
          <w:i/>
          <w:szCs w:val="20"/>
          <w:lang w:val="en-US"/>
        </w:rPr>
        <w:t>Argentine Republic v. Amerada Hess Shipping Corp.</w:t>
      </w:r>
      <w:r w:rsidRPr="00E72418">
        <w:rPr>
          <w:rStyle w:val="injectednode"/>
          <w:szCs w:val="20"/>
          <w:lang w:val="en-US"/>
        </w:rPr>
        <w:t xml:space="preserve">, 488 U.S. 428, p. 443. Durant les travaux préparatoires de la législation, il fut précisé que la proposition à l’origine de la législation </w:t>
      </w:r>
      <w:r w:rsidRPr="00E72418">
        <w:rPr>
          <w:szCs w:val="20"/>
          <w:lang w:val="en-US"/>
        </w:rPr>
        <w:t>« sets forth the sole and exclusive standards to be used in resolving questions of sovereign immunity raised by foreign states before Federal and State courts in the United States » (Committee on the Judiciary, House of Representatives, 94</w:t>
      </w:r>
      <w:r w:rsidRPr="0005101F">
        <w:rPr>
          <w:szCs w:val="20"/>
          <w:lang w:val="en-US"/>
        </w:rPr>
        <w:t>th</w:t>
      </w:r>
      <w:r w:rsidRPr="00E72418">
        <w:rPr>
          <w:szCs w:val="20"/>
          <w:lang w:val="en-US"/>
        </w:rPr>
        <w:t xml:space="preserve"> Congress, sess. 1976, n° 94-1487, p. 12).</w:t>
      </w:r>
    </w:p>
  </w:footnote>
  <w:footnote w:id="1062">
    <w:p w14:paraId="2F0EB65A" w14:textId="77777777"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Le </w:t>
      </w:r>
      <w:r w:rsidRPr="00E72418">
        <w:rPr>
          <w:i/>
          <w:szCs w:val="20"/>
        </w:rPr>
        <w:t>Foreign Sovereign Immunities Act</w:t>
      </w:r>
      <w:r w:rsidRPr="00E72418">
        <w:rPr>
          <w:szCs w:val="20"/>
        </w:rPr>
        <w:t xml:space="preserve"> reprend la distinction classique entre l’immunité de juridiction, visée aux articles 1604 et suivants, et l’immunité d’exécution, visée aux articles 1609 et suivants.</w:t>
      </w:r>
    </w:p>
  </w:footnote>
  <w:footnote w:id="1063">
    <w:p w14:paraId="6276598F" w14:textId="77777777" w:rsidR="0030147D" w:rsidRPr="00E72418" w:rsidRDefault="0030147D" w:rsidP="005D77BE">
      <w:pPr>
        <w:pStyle w:val="Sansinterligne"/>
        <w:rPr>
          <w:szCs w:val="20"/>
        </w:rPr>
      </w:pPr>
      <w:r w:rsidRPr="00E72418">
        <w:rPr>
          <w:rStyle w:val="Appelnotedebasdep"/>
          <w:szCs w:val="20"/>
        </w:rPr>
        <w:footnoteRef/>
      </w:r>
      <w:r w:rsidRPr="00E72418">
        <w:rPr>
          <w:szCs w:val="20"/>
        </w:rPr>
        <w:t xml:space="preserve"> Notre étude se limitera à l’exception commerciale intéressant seule notre propos. Il en est d’autres comme l’arbitrage repris à l’article 1605(a)(6).</w:t>
      </w:r>
    </w:p>
  </w:footnote>
  <w:footnote w:id="1064">
    <w:p w14:paraId="7156ABFF" w14:textId="7777777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Plus précisément : « [a]n Act to make new provision with respect to proceedings in the United Kingdom by or against other States; to provide for the effect of judgments given against the United Kingdom in the courts of States parties to the European Convention on State Immunity; to make new provision with respect to the immunities and privileges of heads of State; and for connected purposes » (1978 Chapter 33, 20 juillet 1978).</w:t>
      </w:r>
    </w:p>
  </w:footnote>
  <w:footnote w:id="1065">
    <w:p w14:paraId="251148CE" w14:textId="77777777" w:rsidR="0030147D" w:rsidRPr="00E72418" w:rsidRDefault="0030147D" w:rsidP="00424087">
      <w:pPr>
        <w:pStyle w:val="Sansinterligne"/>
        <w:rPr>
          <w:szCs w:val="20"/>
          <w:lang w:val="en-US"/>
        </w:rPr>
      </w:pPr>
      <w:r w:rsidRPr="00E72418">
        <w:rPr>
          <w:rStyle w:val="Appelnotedebasdep"/>
          <w:szCs w:val="20"/>
        </w:rPr>
        <w:footnoteRef/>
      </w:r>
      <w:r w:rsidRPr="00E72418">
        <w:rPr>
          <w:szCs w:val="20"/>
        </w:rPr>
        <w:t xml:space="preserve"> Il en est d’autres nous intéressant moins dans le cadre de notre recherche. L’on peut ainsi noter par exemple les « personal injuries and damage to property » (article 4). </w:t>
      </w:r>
      <w:r w:rsidRPr="00E72418">
        <w:rPr>
          <w:szCs w:val="20"/>
          <w:lang w:val="en-US"/>
        </w:rPr>
        <w:t>Notons également qu’en vertu de l’article 9, « [w]here a State has agreed in writing to submit a dispute which has arisen, or may arise, to arbitration, the State is not immune as respects proceedings in the courts of the United Kingdom which relate to the arbitration » et que « [t]his section has effect subject to any contrary provision in the arbitration agreement and does not apply to any arbitration agreement between States ».</w:t>
      </w:r>
    </w:p>
  </w:footnote>
  <w:footnote w:id="1066">
    <w:p w14:paraId="2322C15B" w14:textId="77777777"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Voyez l’article 3(2).</w:t>
      </w:r>
    </w:p>
  </w:footnote>
  <w:footnote w:id="1067">
    <w:p w14:paraId="3CD14D89" w14:textId="1BBBBD29" w:rsidR="0030147D" w:rsidRPr="00E72418" w:rsidRDefault="0030147D" w:rsidP="001E6474">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xml:space="preserve">, </w:t>
      </w:r>
      <w:r w:rsidRPr="00E72418">
        <w:t>pp. 49 à 54.</w:t>
      </w:r>
    </w:p>
  </w:footnote>
  <w:footnote w:id="1068">
    <w:p w14:paraId="5F398125" w14:textId="5EB50D29" w:rsidR="0030147D" w:rsidRPr="00E72418" w:rsidRDefault="0030147D" w:rsidP="00E51397">
      <w:pPr>
        <w:pStyle w:val="Sansinterligne"/>
        <w:rPr>
          <w:rFonts w:ascii="Times New Roman" w:hAnsi="Times New Roman" w:cs="Times New Roman"/>
          <w:sz w:val="22"/>
        </w:rPr>
      </w:pPr>
      <w:r w:rsidRPr="00E72418">
        <w:rPr>
          <w:rStyle w:val="Appelnotedebasdep"/>
        </w:rPr>
        <w:footnoteRef/>
      </w:r>
      <w:r w:rsidRPr="00E72418">
        <w:t xml:space="preserve"> </w:t>
      </w:r>
      <w:r w:rsidRPr="00E72418">
        <w:rPr>
          <w:rFonts w:ascii="Times New Roman" w:hAnsi="Times New Roman" w:cs="Times New Roman"/>
          <w:szCs w:val="20"/>
        </w:rPr>
        <w:t xml:space="preserve">C.J.U.E., 11 juin 2015, </w:t>
      </w:r>
      <w:r w:rsidRPr="00E72418">
        <w:rPr>
          <w:rFonts w:ascii="Times New Roman" w:hAnsi="Times New Roman" w:cs="Times New Roman"/>
          <w:i/>
          <w:szCs w:val="20"/>
        </w:rPr>
        <w:t>Fahnenbrock c. République hellénique</w:t>
      </w:r>
      <w:r w:rsidRPr="00E72418">
        <w:rPr>
          <w:rFonts w:ascii="Times New Roman" w:hAnsi="Times New Roman" w:cs="Times New Roman"/>
          <w:szCs w:val="20"/>
        </w:rPr>
        <w:t>, arrêt, affaires jointes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C-226/13, C-245/13, 247/13 et 578/13, paragraphe 53. Voyez également B. </w:t>
      </w:r>
      <w:r w:rsidRPr="00E72418">
        <w:rPr>
          <w:rFonts w:ascii="Times New Roman" w:hAnsi="Times New Roman" w:cs="Times New Roman"/>
          <w:smallCaps/>
          <w:szCs w:val="20"/>
          <w:lang w:val="en-US"/>
        </w:rPr>
        <w:t xml:space="preserve">Bonafè, </w:t>
      </w:r>
      <w:r w:rsidRPr="00E72418">
        <w:rPr>
          <w:rFonts w:ascii="Times New Roman" w:hAnsi="Times New Roman" w:cs="Times New Roman"/>
          <w:szCs w:val="20"/>
          <w:lang w:val="en-US"/>
        </w:rPr>
        <w:t xml:space="preserve">« State Immunity and the Protection of Private Investors: The </w:t>
      </w:r>
      <w:r w:rsidRPr="00E72418">
        <w:rPr>
          <w:rFonts w:ascii="Times New Roman" w:hAnsi="Times New Roman" w:cs="Times New Roman"/>
          <w:i/>
          <w:szCs w:val="20"/>
          <w:lang w:val="en-US"/>
        </w:rPr>
        <w:t>Argentine Bonds</w:t>
      </w:r>
      <w:r w:rsidRPr="00E72418">
        <w:rPr>
          <w:rFonts w:ascii="Times New Roman" w:hAnsi="Times New Roman" w:cs="Times New Roman"/>
          <w:szCs w:val="20"/>
          <w:lang w:val="en-US"/>
        </w:rPr>
        <w:t xml:space="preserve"> Case before Italian Courts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xml:space="preserve">, p. 169 : </w:t>
      </w:r>
      <w:r w:rsidRPr="00E72418">
        <w:rPr>
          <w:rStyle w:val="Titre4Car"/>
          <w:rFonts w:ascii="Times New Roman" w:eastAsiaTheme="minorHAnsi" w:hAnsi="Times New Roman" w:cs="Times New Roman"/>
          <w:i w:val="0"/>
          <w:iCs w:val="0"/>
          <w:color w:val="auto"/>
          <w:szCs w:val="20"/>
        </w:rPr>
        <w:t xml:space="preserve">« </w:t>
      </w:r>
      <w:r w:rsidRPr="00E72418">
        <w:rPr>
          <w:szCs w:val="20"/>
          <w:lang w:val="en-US"/>
        </w:rPr>
        <w:t>[w]</w:t>
      </w:r>
      <w:r w:rsidRPr="00E72418">
        <w:rPr>
          <w:rFonts w:ascii="Times New Roman" w:hAnsi="Times New Roman" w:cs="Times New Roman"/>
          <w:szCs w:val="20"/>
        </w:rPr>
        <w:t>hen a State issues bonds, it does not exercise a sovereign or governmental activity, nor does it regulate the market; it simply acts on the market in the same way as all other private actors, and like them it must abide by the laws that regulate financial transactions ».</w:t>
      </w:r>
    </w:p>
  </w:footnote>
  <w:footnote w:id="1069">
    <w:p w14:paraId="07609495" w14:textId="77777777" w:rsidR="0030147D" w:rsidRPr="00E72418" w:rsidRDefault="0030147D" w:rsidP="00803BA5">
      <w:pPr>
        <w:pStyle w:val="Sansinterligne"/>
        <w:rPr>
          <w:szCs w:val="20"/>
        </w:rPr>
      </w:pPr>
      <w:r w:rsidRPr="00E72418">
        <w:rPr>
          <w:rStyle w:val="Appelnotedebasdep"/>
          <w:szCs w:val="20"/>
        </w:rPr>
        <w:footnoteRef/>
      </w:r>
      <w:r w:rsidRPr="00E72418">
        <w:rPr>
          <w:szCs w:val="20"/>
        </w:rPr>
        <w:t xml:space="preserve"> La prise en considération du but est également possible si les parties au contrat ou à la transaction en sont ainsi convenues, ou si, dans la pratique de l’État du for, ce but est pertinent pour déterminer la nature non commerciale du contrat ou de la transaction.</w:t>
      </w:r>
    </w:p>
  </w:footnote>
  <w:footnote w:id="1070">
    <w:p w14:paraId="1F30C769" w14:textId="4976911A" w:rsidR="0030147D" w:rsidRPr="00E72418" w:rsidRDefault="0030147D" w:rsidP="000A7980">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Assemblée générale des Nations Unies, </w:t>
      </w:r>
      <w:r w:rsidRPr="00E72418">
        <w:rPr>
          <w:rFonts w:ascii="Times New Roman" w:hAnsi="Times New Roman" w:cs="Times New Roman"/>
          <w:i/>
          <w:szCs w:val="24"/>
        </w:rPr>
        <w:t>Rapport de la Commission du droit international sur les travaux de sa quarante-troisième session</w:t>
      </w:r>
      <w:r w:rsidRPr="00E72418">
        <w:rPr>
          <w:rFonts w:ascii="Times New Roman" w:hAnsi="Times New Roman" w:cs="Times New Roman"/>
          <w:szCs w:val="24"/>
        </w:rPr>
        <w:t>, 1991, A/46/10</w:t>
      </w:r>
      <w:r w:rsidRPr="00E72418">
        <w:rPr>
          <w:szCs w:val="20"/>
        </w:rPr>
        <w:t xml:space="preserve">, pp. 30 et 31. </w:t>
      </w:r>
      <w:r w:rsidRPr="00E72418">
        <w:rPr>
          <w:rStyle w:val="Titre4Car"/>
          <w:rFonts w:ascii="Times" w:eastAsiaTheme="minorHAnsi" w:hAnsi="Times" w:cstheme="minorBidi"/>
          <w:i w:val="0"/>
          <w:iCs w:val="0"/>
          <w:color w:val="auto"/>
          <w:szCs w:val="20"/>
        </w:rPr>
        <w:t xml:space="preserve">Voyez également S. </w:t>
      </w:r>
      <w:r w:rsidRPr="00E72418">
        <w:rPr>
          <w:rStyle w:val="Titre4Car"/>
          <w:rFonts w:ascii="Times" w:eastAsiaTheme="minorHAnsi" w:hAnsi="Times" w:cstheme="minorBidi"/>
          <w:i w:val="0"/>
          <w:iCs w:val="0"/>
          <w:smallCaps/>
          <w:color w:val="auto"/>
          <w:szCs w:val="20"/>
        </w:rPr>
        <w:t>Wittich</w:t>
      </w:r>
      <w:r w:rsidRPr="00E72418">
        <w:rPr>
          <w:rStyle w:val="Titre4Car"/>
          <w:rFonts w:ascii="Times" w:eastAsiaTheme="minorHAnsi" w:hAnsi="Times" w:cstheme="minorBidi"/>
          <w:i w:val="0"/>
          <w:iCs w:val="0"/>
          <w:color w:val="auto"/>
          <w:szCs w:val="20"/>
        </w:rPr>
        <w:t>, « Article 2 (1)(</w:t>
      </w:r>
      <w:r w:rsidRPr="00E72418">
        <w:rPr>
          <w:rStyle w:val="Titre4Car"/>
          <w:rFonts w:ascii="Times" w:eastAsiaTheme="minorHAnsi" w:hAnsi="Times" w:cstheme="minorBidi"/>
          <w:iCs w:val="0"/>
          <w:color w:val="auto"/>
          <w:szCs w:val="20"/>
        </w:rPr>
        <w:t>c</w:t>
      </w:r>
      <w:r w:rsidRPr="00E72418">
        <w:rPr>
          <w:rStyle w:val="Titre4Car"/>
          <w:rFonts w:ascii="Times" w:eastAsiaTheme="minorHAnsi" w:hAnsi="Times" w:cstheme="minorBidi"/>
          <w:i w:val="0"/>
          <w:iCs w:val="0"/>
          <w:color w:val="auto"/>
          <w:szCs w:val="20"/>
        </w:rPr>
        <w:t xml:space="preserve">) and (2) and (3) », in R. </w:t>
      </w:r>
      <w:r w:rsidRPr="00E72418">
        <w:rPr>
          <w:rStyle w:val="Titre4Car"/>
          <w:rFonts w:ascii="Times" w:eastAsiaTheme="minorHAnsi" w:hAnsi="Times" w:cstheme="minorBidi"/>
          <w:i w:val="0"/>
          <w:iCs w:val="0"/>
          <w:smallCaps/>
          <w:color w:val="auto"/>
          <w:szCs w:val="20"/>
        </w:rPr>
        <w:t>O’Keefe</w:t>
      </w:r>
      <w:r w:rsidRPr="00E72418">
        <w:rPr>
          <w:rStyle w:val="Titre4Car"/>
          <w:rFonts w:ascii="Times" w:eastAsiaTheme="minorHAnsi" w:hAnsi="Times" w:cstheme="minorBidi"/>
          <w:i w:val="0"/>
          <w:iCs w:val="0"/>
          <w:color w:val="auto"/>
          <w:szCs w:val="20"/>
        </w:rPr>
        <w:t xml:space="preserve"> et C. </w:t>
      </w:r>
      <w:r w:rsidRPr="00E72418">
        <w:rPr>
          <w:rStyle w:val="Titre4Car"/>
          <w:rFonts w:ascii="Times" w:eastAsiaTheme="minorHAnsi" w:hAnsi="Times" w:cstheme="minorBidi"/>
          <w:i w:val="0"/>
          <w:iCs w:val="0"/>
          <w:smallCaps/>
          <w:color w:val="auto"/>
          <w:szCs w:val="20"/>
        </w:rPr>
        <w:t>Tams (</w:t>
      </w:r>
      <w:r w:rsidRPr="00E72418">
        <w:rPr>
          <w:rStyle w:val="Titre4Car"/>
          <w:rFonts w:ascii="Times" w:eastAsiaTheme="minorHAnsi" w:hAnsi="Times" w:cstheme="minorBidi"/>
          <w:i w:val="0"/>
          <w:iCs w:val="0"/>
          <w:color w:val="auto"/>
          <w:szCs w:val="20"/>
        </w:rPr>
        <w:t xml:space="preserve">éd.), </w:t>
      </w:r>
      <w:r w:rsidRPr="00E72418">
        <w:rPr>
          <w:rStyle w:val="Titre4Car"/>
          <w:rFonts w:ascii="Times" w:eastAsiaTheme="minorHAnsi" w:hAnsi="Times" w:cstheme="minorBidi"/>
          <w:iCs w:val="0"/>
          <w:color w:val="auto"/>
          <w:szCs w:val="20"/>
        </w:rPr>
        <w:t>The United Nations Convention on Jurisdictional Immunities of States and Their Property</w:t>
      </w:r>
      <w:r w:rsidRPr="00E72418">
        <w:rPr>
          <w:rStyle w:val="Titre4Car"/>
          <w:rFonts w:ascii="Times" w:eastAsiaTheme="minorHAnsi" w:hAnsi="Times" w:cstheme="minorBidi"/>
          <w:i w:val="0"/>
          <w:iCs w:val="0"/>
          <w:color w:val="auto"/>
          <w:szCs w:val="20"/>
        </w:rPr>
        <w:t>, Oxford University Press, 2013, p. 65 : « </w:t>
      </w:r>
      <w:r w:rsidRPr="00E72418">
        <w:rPr>
          <w:szCs w:val="20"/>
          <w:lang w:val="en-US"/>
        </w:rPr>
        <w:t xml:space="preserve">[t]oday, the issuance of State bonds is generally viewed as coming within the purview of the “commercial transaction” or equivalent exception </w:t>
      </w:r>
      <w:r w:rsidRPr="00E72418">
        <w:rPr>
          <w:rStyle w:val="Titre4Car"/>
          <w:rFonts w:ascii="Times" w:eastAsiaTheme="minorHAnsi" w:hAnsi="Times" w:cstheme="minorBidi"/>
          <w:i w:val="0"/>
          <w:iCs w:val="0"/>
          <w:color w:val="auto"/>
          <w:szCs w:val="20"/>
        </w:rPr>
        <w:t>».</w:t>
      </w:r>
    </w:p>
  </w:footnote>
  <w:footnote w:id="1071">
    <w:p w14:paraId="2D5ED239" w14:textId="1F9B445F"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Des propositions furent faites pour qu’elles le soient sans être toutefois suivies (voyez </w:t>
      </w:r>
      <w:r w:rsidRPr="00E72418">
        <w:rPr>
          <w:smallCaps/>
          <w:szCs w:val="20"/>
        </w:rPr>
        <w:t>G. Delaume</w:t>
      </w:r>
      <w:r w:rsidRPr="00E72418">
        <w:rPr>
          <w:szCs w:val="20"/>
        </w:rPr>
        <w:t xml:space="preserve">, « The Foreign Sovereign Immunities Act and Public Debt Litigation: Some Fifteen Years Later », </w:t>
      </w:r>
      <w:r w:rsidRPr="00E72418">
        <w:rPr>
          <w:i/>
          <w:szCs w:val="20"/>
        </w:rPr>
        <w:t>A.J.I.L.</w:t>
      </w:r>
      <w:r w:rsidRPr="00E72418">
        <w:rPr>
          <w:szCs w:val="20"/>
        </w:rPr>
        <w:t>, 1994, p. 259).</w:t>
      </w:r>
    </w:p>
  </w:footnote>
  <w:footnote w:id="1072">
    <w:p w14:paraId="5E055374" w14:textId="4B8DC701" w:rsidR="0030147D" w:rsidRPr="00E72418" w:rsidRDefault="0030147D" w:rsidP="00317FE3">
      <w:pPr>
        <w:pStyle w:val="Sansinterligne"/>
      </w:pPr>
      <w:r w:rsidRPr="00E72418">
        <w:rPr>
          <w:rStyle w:val="Appelnotedebasdep"/>
        </w:rPr>
        <w:footnoteRef/>
      </w:r>
      <w:r w:rsidRPr="00E72418">
        <w:t xml:space="preserve"> J. </w:t>
      </w:r>
      <w:r w:rsidRPr="00E72418">
        <w:rPr>
          <w:smallCaps/>
          <w:shd w:val="clear" w:color="auto" w:fill="FFFFFF"/>
        </w:rPr>
        <w:t>Bröhmer</w:t>
      </w:r>
      <w:r w:rsidRPr="00E72418">
        <w:rPr>
          <w:shd w:val="clear" w:color="auto" w:fill="FFFFFF"/>
        </w:rPr>
        <w:t xml:space="preserve">, </w:t>
      </w:r>
      <w:r w:rsidRPr="00E72418">
        <w:t xml:space="preserve">« State Immunity and Sovereign Bonds », </w:t>
      </w:r>
      <w:r w:rsidRPr="00E72418">
        <w:rPr>
          <w:i/>
          <w:shd w:val="clear" w:color="auto" w:fill="FFFFFF"/>
        </w:rPr>
        <w:t>op. cit.</w:t>
      </w:r>
      <w:r w:rsidRPr="00E72418">
        <w:rPr>
          <w:rStyle w:val="fn"/>
          <w:rFonts w:cs="Times New Roman"/>
          <w:szCs w:val="24"/>
          <w:lang w:val="en-GB"/>
        </w:rPr>
        <w:t>, p. 188.</w:t>
      </w:r>
    </w:p>
  </w:footnote>
  <w:footnote w:id="1073">
    <w:p w14:paraId="29B3AEB3" w14:textId="6FBD1ACF"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Supreme Court of the United States (EUA), 12 juin 1992, </w:t>
      </w:r>
      <w:r w:rsidRPr="00E72418">
        <w:rPr>
          <w:i/>
          <w:szCs w:val="20"/>
          <w:lang w:val="en-US"/>
        </w:rPr>
        <w:t>Republic of Argentina v. Weltover, Inc.</w:t>
      </w:r>
      <w:r w:rsidRPr="00E72418">
        <w:rPr>
          <w:szCs w:val="20"/>
          <w:lang w:val="en-US"/>
        </w:rPr>
        <w:t>, 504 U.S. 607. Bien que cette décision soit généralement présentée comme une décision de principe, l’on peut noter avec Philip Power qu’ « [e]ven before Weltover was decided, courts generally held that sovereign borrowing constitutes “commercial activity” and, therefore, that the sovereign borrower is not immune from jurisdiction in actions to collect the debt » (</w:t>
      </w:r>
      <w:r w:rsidRPr="00E72418">
        <w:rPr>
          <w:smallCaps/>
          <w:szCs w:val="20"/>
          <w:lang w:val="en-US"/>
        </w:rPr>
        <w:t>P. Power</w:t>
      </w:r>
      <w:r w:rsidRPr="00E72418">
        <w:rPr>
          <w:szCs w:val="20"/>
          <w:lang w:val="en-US"/>
        </w:rPr>
        <w:t xml:space="preserve">, « Sovereign debt: The rise of the secondary market and its implication for future restructurings », </w:t>
      </w:r>
      <w:r w:rsidRPr="00E72418">
        <w:rPr>
          <w:i/>
          <w:szCs w:val="20"/>
          <w:lang w:val="en-US"/>
        </w:rPr>
        <w:t>op. cit.</w:t>
      </w:r>
      <w:r w:rsidRPr="00E72418">
        <w:rPr>
          <w:szCs w:val="20"/>
          <w:lang w:val="en-US"/>
        </w:rPr>
        <w:t xml:space="preserve">, p. 2731 et les décisions de jurisprudence visées). Cette perception étatsunienne est réaffirmée dans les propositions de législation anti-fonds spéculatifs qui donnent une définition de la dette souveraine en indiquant que « [t]he term “sovereign debt” means a commercial obligation of a foreign state, whether evidenced by a claim, contract, note, negotiable instrument, award, or judgment » (U.S. bills 110 H.R. 6796 et 111 H.R. 2932 to prevent speculation and profiteering in the defaulted debt of certain poor countries, and for other purposes, article 3(2). Sur ces propositions, voyez </w:t>
      </w:r>
      <w:r w:rsidRPr="00E72418">
        <w:rPr>
          <w:i/>
          <w:szCs w:val="20"/>
          <w:lang w:val="en-US"/>
        </w:rPr>
        <w:t xml:space="preserve">infra </w:t>
      </w:r>
      <w:r w:rsidRPr="00E72418">
        <w:rPr>
          <w:szCs w:val="20"/>
          <w:lang w:val="en-US"/>
        </w:rPr>
        <w:t>n</w:t>
      </w:r>
      <w:r w:rsidRPr="00E72418">
        <w:rPr>
          <w:szCs w:val="20"/>
          <w:vertAlign w:val="superscript"/>
          <w:lang w:val="en-US"/>
        </w:rPr>
        <w:t>os</w:t>
      </w:r>
      <w:r w:rsidRPr="00E72418">
        <w:rPr>
          <w:szCs w:val="20"/>
          <w:lang w:val="en-US"/>
        </w:rPr>
        <w:t xml:space="preserve"> 294 et suiv.).</w:t>
      </w:r>
    </w:p>
  </w:footnote>
  <w:footnote w:id="1074">
    <w:p w14:paraId="6D41C245" w14:textId="61AE4C30"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J. Schumacher, C. Trebesch</w:t>
      </w:r>
      <w:r w:rsidRPr="00E72418">
        <w:t xml:space="preserve"> et </w:t>
      </w:r>
      <w:r w:rsidRPr="00E72418">
        <w:rPr>
          <w:smallCaps/>
        </w:rPr>
        <w:t>H. Enderlein</w:t>
      </w:r>
      <w:r w:rsidRPr="00E72418">
        <w:t>, « Sovereign Defaults in Court</w:t>
      </w:r>
      <w:r w:rsidRPr="00E72418">
        <w:rPr>
          <w:i/>
        </w:rPr>
        <w:t xml:space="preserve"> </w:t>
      </w:r>
      <w:r w:rsidRPr="00E72418">
        <w:t xml:space="preserve">», </w:t>
      </w:r>
      <w:r w:rsidRPr="00E72418">
        <w:rPr>
          <w:i/>
        </w:rPr>
        <w:t>op. cit.</w:t>
      </w:r>
      <w:r w:rsidRPr="00E72418">
        <w:t xml:space="preserve">, p. 7 et J. </w:t>
      </w:r>
      <w:r w:rsidRPr="00E72418">
        <w:rPr>
          <w:smallCaps/>
        </w:rPr>
        <w:t>Schumacher, C. Trebesch</w:t>
      </w:r>
      <w:r w:rsidRPr="00E72418">
        <w:t xml:space="preserve"> et </w:t>
      </w:r>
      <w:r w:rsidRPr="00E72418">
        <w:rPr>
          <w:smallCaps/>
        </w:rPr>
        <w:t>H. Enderlein</w:t>
      </w:r>
      <w:r w:rsidRPr="00E72418">
        <w:t xml:space="preserve">, « What Explains Sovereign Debt Litigation? », </w:t>
      </w:r>
      <w:r w:rsidRPr="00E72418">
        <w:rPr>
          <w:rFonts w:ascii="Times New Roman" w:hAnsi="Times New Roman" w:cs="Times New Roman"/>
          <w:i/>
        </w:rPr>
        <w:t>J. Law Econ.</w:t>
      </w:r>
      <w:r w:rsidRPr="00E72418">
        <w:t xml:space="preserve">, 2015, p. 601. Comme le note encore Joshua Burress, « </w:t>
      </w:r>
      <w:r w:rsidRPr="00E72418">
        <w:rPr>
          <w:i/>
          <w:iCs/>
        </w:rPr>
        <w:t xml:space="preserve">Weltover </w:t>
      </w:r>
      <w:r w:rsidRPr="00E72418">
        <w:t xml:space="preserve">essentially foreclosed the possibility of invoking </w:t>
      </w:r>
      <w:r w:rsidRPr="00E72418">
        <w:rPr>
          <w:i/>
          <w:iCs/>
        </w:rPr>
        <w:t xml:space="preserve">jurisdictional </w:t>
      </w:r>
      <w:r w:rsidRPr="00E72418">
        <w:t>immunity as a defense where a foreign state issues bonds on the U.S. market, defaults, and is subsequently sued by its creditors in U.S. courts » (</w:t>
      </w:r>
      <w:r w:rsidRPr="00E72418">
        <w:rPr>
          <w:smallCaps/>
        </w:rPr>
        <w:t>J. Burress</w:t>
      </w:r>
      <w:r w:rsidRPr="00E72418">
        <w:t xml:space="preserve">, « Sovereign Disobedience: The Role of U.S. Courts in Curtailing the Proliferation of Sovereign Default », </w:t>
      </w:r>
      <w:r w:rsidRPr="00E72418">
        <w:rPr>
          <w:i/>
        </w:rPr>
        <w:t>op. cit.</w:t>
      </w:r>
      <w:r w:rsidRPr="00E72418">
        <w:t>, p. 276</w:t>
      </w:r>
      <w:r w:rsidR="000F5FE4">
        <w:t xml:space="preserve"> (la police est reprise)</w:t>
      </w:r>
      <w:r w:rsidRPr="00E72418">
        <w:t>).</w:t>
      </w:r>
    </w:p>
  </w:footnote>
  <w:footnote w:id="1075">
    <w:p w14:paraId="0EC6C895" w14:textId="2ADF3210" w:rsidR="0030147D" w:rsidRPr="00E72418" w:rsidRDefault="0030147D" w:rsidP="001D24F9">
      <w:pPr>
        <w:pStyle w:val="Sansinterligne"/>
        <w:rPr>
          <w:rFonts w:ascii="Times New Roman" w:hAnsi="Times New Roman" w:cs="Times New Roman"/>
        </w:rPr>
      </w:pPr>
      <w:r w:rsidRPr="00E72418">
        <w:rPr>
          <w:rStyle w:val="Appelnotedebasdep"/>
          <w:rFonts w:ascii="Times New Roman" w:hAnsi="Times New Roman" w:cs="Times New Roman"/>
          <w:szCs w:val="20"/>
        </w:rPr>
        <w:footnoteRef/>
      </w:r>
      <w:r w:rsidRPr="00E72418">
        <w:rPr>
          <w:rFonts w:ascii="Times New Roman" w:hAnsi="Times New Roman" w:cs="Times New Roman"/>
          <w:lang w:val="en-US"/>
        </w:rPr>
        <w:t xml:space="preserve"> Supreme Court of the United States (EUA), 12 juin 1992, </w:t>
      </w:r>
      <w:r w:rsidRPr="00E72418">
        <w:rPr>
          <w:rFonts w:ascii="Times New Roman" w:hAnsi="Times New Roman" w:cs="Times New Roman"/>
          <w:i/>
          <w:lang w:val="en-US"/>
        </w:rPr>
        <w:t>Republic of Argentina. v. Weltover, Inc.</w:t>
      </w:r>
      <w:r w:rsidRPr="00E72418">
        <w:rPr>
          <w:rFonts w:ascii="Times New Roman" w:hAnsi="Times New Roman" w:cs="Times New Roman"/>
          <w:lang w:val="en-US"/>
        </w:rPr>
        <w:t xml:space="preserve">, 504 U.S. 607, p. 614. </w:t>
      </w:r>
      <w:r w:rsidRPr="00E72418">
        <w:rPr>
          <w:rFonts w:ascii="Times New Roman" w:hAnsi="Times New Roman" w:cs="Times New Roman"/>
        </w:rPr>
        <w:t xml:space="preserve">Un contentieux existait entre la République argentine et certains de ses créanciers lequel portait sur des obligations, les </w:t>
      </w:r>
      <w:r w:rsidRPr="00E72418">
        <w:rPr>
          <w:rFonts w:ascii="Times New Roman" w:hAnsi="Times New Roman" w:cs="Times New Roman"/>
          <w:i/>
        </w:rPr>
        <w:t>bonods</w:t>
      </w:r>
      <w:r w:rsidRPr="00E72418">
        <w:rPr>
          <w:rFonts w:ascii="Times New Roman" w:hAnsi="Times New Roman" w:cs="Times New Roman"/>
        </w:rPr>
        <w:t xml:space="preserve">, que le pays avait émises afin de refinancer une partie de sa dette. L’action introduite se basait sur le refus des créanciers d’une restructuration pratiquée unilatéralement par le pays, ceux-ci souhaitant être payés selon les modalités originairement convenues. La Cour suprême retint que ces </w:t>
      </w:r>
      <w:r w:rsidRPr="00E72418">
        <w:rPr>
          <w:rFonts w:ascii="Times New Roman" w:hAnsi="Times New Roman" w:cs="Times New Roman"/>
          <w:i/>
        </w:rPr>
        <w:t>bonods</w:t>
      </w:r>
      <w:r w:rsidRPr="00E72418">
        <w:rPr>
          <w:rFonts w:ascii="Times New Roman" w:hAnsi="Times New Roman" w:cs="Times New Roman"/>
        </w:rPr>
        <w:t xml:space="preserve"> étaient « in almost all respects garden-variety debt instruments: They may be held by private parties; they are negotiable and may be traded on the international market </w:t>
      </w:r>
      <w:r w:rsidRPr="00E72418">
        <w:rPr>
          <w:rFonts w:ascii="Times New Roman" w:hAnsi="Times New Roman" w:cs="Times New Roman"/>
          <w:lang w:val="en-US"/>
        </w:rPr>
        <w:t>[…] » (</w:t>
      </w:r>
      <w:r w:rsidRPr="00E72418">
        <w:rPr>
          <w:rFonts w:ascii="Times New Roman" w:hAnsi="Times New Roman" w:cs="Times New Roman"/>
          <w:i/>
          <w:lang w:val="en-US"/>
        </w:rPr>
        <w:t>ibid.</w:t>
      </w:r>
      <w:r w:rsidRPr="00E72418">
        <w:rPr>
          <w:rFonts w:ascii="Times New Roman" w:hAnsi="Times New Roman" w:cs="Times New Roman"/>
          <w:lang w:val="en-US"/>
        </w:rPr>
        <w:t>, p. 615).</w:t>
      </w:r>
    </w:p>
  </w:footnote>
  <w:footnote w:id="1076">
    <w:p w14:paraId="7B09A4D0" w14:textId="7777777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Supreme Court of the United States (EUA), 12 juin 1992, </w:t>
      </w:r>
      <w:r w:rsidRPr="00E72418">
        <w:rPr>
          <w:i/>
          <w:szCs w:val="20"/>
          <w:lang w:val="en-US"/>
        </w:rPr>
        <w:t>Republic of Argentina v. Weltover, Inc.</w:t>
      </w:r>
      <w:r w:rsidRPr="00E72418">
        <w:rPr>
          <w:szCs w:val="20"/>
          <w:lang w:val="en-US"/>
        </w:rPr>
        <w:t>, 504 U.S. 607, p. 614.</w:t>
      </w:r>
    </w:p>
  </w:footnote>
  <w:footnote w:id="1077">
    <w:p w14:paraId="3C04B19B" w14:textId="119DCA16"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Comme le nota la Cour, « it is irrelevant why Argentina participated in the bond market in the manner of a private actor; it matters only that it did so » (</w:t>
      </w:r>
      <w:r w:rsidRPr="00E72418">
        <w:rPr>
          <w:i/>
          <w:szCs w:val="20"/>
          <w:lang w:val="en-US"/>
        </w:rPr>
        <w:t>ibid.</w:t>
      </w:r>
      <w:r w:rsidRPr="00E72418">
        <w:rPr>
          <w:szCs w:val="20"/>
          <w:lang w:val="en-US"/>
        </w:rPr>
        <w:t>, p. 617). Ainsi, la Cour répondait à l’argument de l’Argentine selon lequel « Bonods differ from ordinary debt instruments in that they […] were created by the Argentine Government to fulfill its obligations under a foreign exchange program designed to address a domestic credit crisis […] ».</w:t>
      </w:r>
    </w:p>
  </w:footnote>
  <w:footnote w:id="1078">
    <w:p w14:paraId="1B1E4C78" w14:textId="51E9E3AE"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 620. Voyez encore p. 619 : </w:t>
      </w:r>
      <w:r w:rsidRPr="00E72418">
        <w:rPr>
          <w:szCs w:val="20"/>
        </w:rPr>
        <w:t xml:space="preserve">« Bonods had a “direct effect” in the United States. </w:t>
      </w:r>
      <w:r w:rsidRPr="00E72418">
        <w:rPr>
          <w:szCs w:val="20"/>
          <w:lang w:val="en-US"/>
        </w:rPr>
        <w:t>Respondents had designated their accounts in New York as the place of payment, and Argentina made some interest payments into those accounts before announcing that it was rescheduling the payments. Because New York was thus the place of performance for Argentina’s ultimate contractual obligations, the rescheduling of those obligations necessarily had a “direct effect” in the United States ».</w:t>
      </w:r>
    </w:p>
  </w:footnote>
  <w:footnote w:id="1079">
    <w:p w14:paraId="2CECD66E" w14:textId="025B23CD" w:rsidR="0030147D" w:rsidRPr="00E72418" w:rsidRDefault="0030147D" w:rsidP="009B5B86">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xml:space="preserve">, pp. 55 à 57. L’auteure relève également la situation moins fréquente de la répudiation de la dette comme ce fut par exemple le cas au début du siècle passé avec </w:t>
      </w:r>
      <w:r w:rsidRPr="00E72418">
        <w:rPr>
          <w:rFonts w:ascii="Times New Roman" w:hAnsi="Times New Roman" w:cs="Times New Roman"/>
        </w:rPr>
        <w:t xml:space="preserve">les dettes de l’ancien empire tsariste (voyez </w:t>
      </w:r>
      <w:r w:rsidRPr="00E72418">
        <w:rPr>
          <w:rFonts w:ascii="Times New Roman" w:hAnsi="Times New Roman" w:cs="Times New Roman"/>
          <w:i/>
        </w:rPr>
        <w:t>supra</w:t>
      </w:r>
      <w:r w:rsidRPr="00E72418">
        <w:rPr>
          <w:rFonts w:ascii="Times New Roman" w:hAnsi="Times New Roman" w:cs="Times New Roman"/>
        </w:rPr>
        <w:t xml:space="preserve"> n° 53).</w:t>
      </w:r>
    </w:p>
  </w:footnote>
  <w:footnote w:id="1080">
    <w:p w14:paraId="1ED2A26B" w14:textId="20780380" w:rsidR="0030147D" w:rsidRPr="00E72418" w:rsidRDefault="0030147D" w:rsidP="0005336B">
      <w:pPr>
        <w:pStyle w:val="Sansinterligne"/>
      </w:pPr>
      <w:r w:rsidRPr="00E72418">
        <w:rPr>
          <w:rStyle w:val="Appelnotedebasdep"/>
        </w:rPr>
        <w:footnoteRef/>
      </w:r>
      <w:r w:rsidRPr="00E72418">
        <w:t xml:space="preserve"> M. </w:t>
      </w:r>
      <w:r w:rsidRPr="00E72418">
        <w:rPr>
          <w:smallCaps/>
          <w:shd w:val="clear" w:color="auto" w:fill="FFFFFF"/>
        </w:rPr>
        <w:t>Monteagudo</w:t>
      </w:r>
      <w:r w:rsidRPr="00E72418">
        <w:rPr>
          <w:shd w:val="clear" w:color="auto" w:fill="FFFFFF"/>
        </w:rPr>
        <w:t xml:space="preserve">, </w:t>
      </w:r>
      <w:r w:rsidRPr="00E72418">
        <w:t xml:space="preserve">« </w:t>
      </w:r>
      <w:r w:rsidRPr="00E72418">
        <w:rPr>
          <w:shd w:val="clear" w:color="auto" w:fill="FFFFFF"/>
          <w:lang w:val="en-GB"/>
        </w:rPr>
        <w:t xml:space="preserve">Peru’s Experience in Sovereign Debt Management and Litigation: Some Lessons for the Legal Approach to Sovereign Indebtedness </w:t>
      </w:r>
      <w:r w:rsidRPr="00E72418">
        <w:t>»</w:t>
      </w:r>
      <w:r w:rsidRPr="00E72418">
        <w:rPr>
          <w:shd w:val="clear" w:color="auto" w:fill="FFFFFF"/>
        </w:rPr>
        <w:t>,</w:t>
      </w:r>
      <w:r w:rsidRPr="00E72418">
        <w:rPr>
          <w:rStyle w:val="Accentuation"/>
          <w:rFonts w:cs="Times New Roman"/>
          <w:szCs w:val="24"/>
          <w:bdr w:val="none" w:sz="0" w:space="0" w:color="auto" w:frame="1"/>
          <w:shd w:val="clear" w:color="auto" w:fill="FFFFFF"/>
          <w:lang w:val="en-GB"/>
        </w:rPr>
        <w:t xml:space="preserve"> op. cit.</w:t>
      </w:r>
      <w:r w:rsidRPr="00E72418">
        <w:rPr>
          <w:rStyle w:val="smallcaps"/>
          <w:rFonts w:cs="Times New Roman"/>
          <w:iCs/>
          <w:szCs w:val="24"/>
          <w:bdr w:val="none" w:sz="0" w:space="0" w:color="auto" w:frame="1"/>
          <w:lang w:val="en-GB"/>
        </w:rPr>
        <w:t xml:space="preserve">, </w:t>
      </w:r>
      <w:r w:rsidRPr="00E72418">
        <w:rPr>
          <w:rStyle w:val="apple-converted-space"/>
          <w:rFonts w:cs="Times New Roman"/>
          <w:szCs w:val="24"/>
          <w:shd w:val="clear" w:color="auto" w:fill="FFFFFF"/>
          <w:lang w:val="en-GB"/>
        </w:rPr>
        <w:t xml:space="preserve">p. </w:t>
      </w:r>
      <w:r w:rsidRPr="00E72418">
        <w:rPr>
          <w:shd w:val="clear" w:color="auto" w:fill="FFFFFF"/>
        </w:rPr>
        <w:t>205.</w:t>
      </w:r>
    </w:p>
  </w:footnote>
  <w:footnote w:id="1081">
    <w:p w14:paraId="74B41AD9" w14:textId="292B2363" w:rsidR="0030147D" w:rsidRPr="00E72418" w:rsidRDefault="0030147D" w:rsidP="009B5B86">
      <w:pPr>
        <w:pStyle w:val="Sansinterligne"/>
      </w:pPr>
      <w:r w:rsidRPr="00E72418">
        <w:rPr>
          <w:rStyle w:val="Appelnotedebasdep"/>
        </w:rPr>
        <w:footnoteRef/>
      </w:r>
      <w:r w:rsidRPr="00E72418">
        <w:t xml:space="preserve"> Sur ces exemples, voyez </w:t>
      </w:r>
      <w:r w:rsidRPr="00E72418">
        <w:rPr>
          <w:i/>
        </w:rPr>
        <w:t>supra</w:t>
      </w:r>
      <w:r w:rsidRPr="00E72418">
        <w:t>, respectivement n</w:t>
      </w:r>
      <w:r w:rsidRPr="00E72418">
        <w:rPr>
          <w:vertAlign w:val="superscript"/>
        </w:rPr>
        <w:t>os</w:t>
      </w:r>
      <w:r w:rsidRPr="00E72418">
        <w:t xml:space="preserve"> 85 et 117.</w:t>
      </w:r>
    </w:p>
  </w:footnote>
  <w:footnote w:id="1082">
    <w:p w14:paraId="11C0BCE1" w14:textId="1D402CA2" w:rsidR="0030147D" w:rsidRPr="00E72418" w:rsidRDefault="0030147D" w:rsidP="005112EA">
      <w:pPr>
        <w:pStyle w:val="Sansinterligne"/>
        <w:rPr>
          <w:rFonts w:ascii="Times New Roman" w:hAnsi="Times New Roman" w:cs="Times New Roman"/>
          <w:szCs w:val="20"/>
        </w:rPr>
      </w:pPr>
      <w:r w:rsidRPr="00E72418">
        <w:rPr>
          <w:rStyle w:val="Appelnotedebasdep"/>
        </w:rPr>
        <w:footnoteRef/>
      </w:r>
      <w:r w:rsidRPr="00E72418">
        <w:t xml:space="preserve"> Cette seconde voie a été empruntée par certaines juridictions nationales dont la Cour de cassation italienne dans un arrêt remarqué du 27 mai 2005 où il fut notamment retenu que les actes posés par la République argentine afin de restructurer sa dette présentaient le « </w:t>
      </w:r>
      <w:r w:rsidRPr="00E72418">
        <w:rPr>
          <w:rFonts w:ascii="Times New Roman" w:hAnsi="Times New Roman" w:cs="Times New Roman"/>
          <w:szCs w:val="20"/>
        </w:rPr>
        <w:t xml:space="preserve">public purpose </w:t>
      </w:r>
      <w:r w:rsidRPr="00E72418">
        <w:t>[…]</w:t>
      </w:r>
      <w:r w:rsidRPr="00E72418">
        <w:rPr>
          <w:rFonts w:ascii="Arial" w:hAnsi="Arial" w:cs="Arial"/>
          <w:szCs w:val="20"/>
        </w:rPr>
        <w:t xml:space="preserve"> </w:t>
      </w:r>
      <w:r w:rsidRPr="00E72418">
        <w:rPr>
          <w:rFonts w:ascii="Times New Roman" w:hAnsi="Times New Roman" w:cs="Times New Roman"/>
          <w:szCs w:val="20"/>
        </w:rPr>
        <w:t xml:space="preserve">of protecting the primary need of economic survival of the population in a historical context of very serious national emergency </w:t>
      </w:r>
      <w:r w:rsidRPr="00E72418">
        <w:t>» (</w:t>
      </w:r>
      <w:r w:rsidRPr="00E72418">
        <w:rPr>
          <w:szCs w:val="20"/>
          <w:lang w:eastAsia="fr-BE"/>
        </w:rPr>
        <w:t>Cass. (I), 27 mai 2005, décision n</w:t>
      </w:r>
      <w:r w:rsidRPr="00E72418">
        <w:rPr>
          <w:rStyle w:val="CORPUSanyCharacter"/>
          <w:rFonts w:ascii="Times New Roman" w:hAnsi="Times New Roman" w:cs="Times New Roman"/>
          <w:color w:val="auto"/>
          <w:szCs w:val="20"/>
          <w:vertAlign w:val="superscript"/>
          <w:lang w:eastAsia="fr-BE"/>
        </w:rPr>
        <w:t>o</w:t>
      </w:r>
      <w:r w:rsidRPr="00E72418">
        <w:rPr>
          <w:szCs w:val="20"/>
          <w:lang w:eastAsia="fr-BE"/>
        </w:rPr>
        <w:t> </w:t>
      </w:r>
      <w:r w:rsidRPr="00E72418">
        <w:rPr>
          <w:rStyle w:val="CORPUSanyCharacter"/>
          <w:rFonts w:ascii="Times New Roman" w:hAnsi="Times New Roman" w:cs="Times New Roman"/>
          <w:color w:val="auto"/>
          <w:szCs w:val="20"/>
          <w:lang w:eastAsia="fr-BE"/>
        </w:rPr>
        <w:t>11225</w:t>
      </w:r>
      <w:r w:rsidRPr="00E72418">
        <w:rPr>
          <w:rFonts w:ascii="Times New Roman" w:hAnsi="Times New Roman" w:cs="Times New Roman"/>
          <w:szCs w:val="20"/>
          <w:lang w:eastAsia="fr-BE"/>
        </w:rPr>
        <w:t xml:space="preserve">, </w:t>
      </w:r>
      <w:r w:rsidRPr="00E72418">
        <w:rPr>
          <w:rFonts w:ascii="Times New Roman" w:hAnsi="Times New Roman" w:cs="Times New Roman"/>
          <w:i/>
          <w:szCs w:val="20"/>
          <w:shd w:val="clear" w:color="auto" w:fill="FFFFFF"/>
        </w:rPr>
        <w:t>Rivista di diritto internazionale privato e processuale</w:t>
      </w:r>
      <w:r w:rsidRPr="00E72418">
        <w:rPr>
          <w:rFonts w:ascii="Times New Roman" w:hAnsi="Times New Roman" w:cs="Times New Roman"/>
          <w:szCs w:val="20"/>
          <w:lang w:eastAsia="fr-BE"/>
        </w:rPr>
        <w:t xml:space="preserve">, 2005, </w:t>
      </w:r>
      <w:r w:rsidRPr="00E72418">
        <w:rPr>
          <w:rFonts w:ascii="Times New Roman" w:hAnsi="Times New Roman" w:cs="Times New Roman"/>
          <w:szCs w:val="20"/>
        </w:rPr>
        <w:t>p. 1091</w:t>
      </w:r>
      <w:r w:rsidRPr="00E72418">
        <w:rPr>
          <w:rFonts w:ascii="Times New Roman" w:hAnsi="Times New Roman" w:cs="Times New Roman"/>
          <w:szCs w:val="20"/>
          <w:lang w:eastAsia="fr-BE"/>
        </w:rPr>
        <w:t xml:space="preserve">. </w:t>
      </w:r>
      <w:r w:rsidRPr="00E72418">
        <w:rPr>
          <w:rFonts w:ascii="Times New Roman" w:hAnsi="Times New Roman" w:cs="Times New Roman"/>
          <w:szCs w:val="20"/>
        </w:rPr>
        <w:t xml:space="preserve">Traduction reprise in B. </w:t>
      </w:r>
      <w:r w:rsidRPr="00E72418">
        <w:rPr>
          <w:rFonts w:ascii="Times New Roman" w:hAnsi="Times New Roman" w:cs="Times New Roman"/>
          <w:smallCaps/>
          <w:szCs w:val="20"/>
          <w:lang w:val="en-US"/>
        </w:rPr>
        <w:t xml:space="preserve">Bonafè, </w:t>
      </w:r>
      <w:r w:rsidRPr="00E72418">
        <w:rPr>
          <w:rFonts w:ascii="Times New Roman" w:hAnsi="Times New Roman" w:cs="Times New Roman"/>
          <w:szCs w:val="20"/>
          <w:lang w:val="en-US"/>
        </w:rPr>
        <w:t xml:space="preserve">« State Immunity and the Protection of Private Investors: The </w:t>
      </w:r>
      <w:r w:rsidRPr="00E72418">
        <w:rPr>
          <w:rFonts w:ascii="Times New Roman" w:hAnsi="Times New Roman" w:cs="Times New Roman"/>
          <w:i/>
          <w:szCs w:val="20"/>
          <w:lang w:val="en-US"/>
        </w:rPr>
        <w:t>Argentine Bonds</w:t>
      </w:r>
      <w:r w:rsidRPr="00E72418">
        <w:rPr>
          <w:rFonts w:ascii="Times New Roman" w:hAnsi="Times New Roman" w:cs="Times New Roman"/>
          <w:szCs w:val="20"/>
          <w:lang w:val="en-US"/>
        </w:rPr>
        <w:t xml:space="preserve"> Case before Italian Courts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p. 166</w:t>
      </w:r>
      <w:r w:rsidRPr="00E72418">
        <w:rPr>
          <w:rFonts w:ascii="Times New Roman" w:hAnsi="Times New Roman" w:cs="Times New Roman"/>
          <w:szCs w:val="20"/>
        </w:rPr>
        <w:t>).</w:t>
      </w:r>
    </w:p>
  </w:footnote>
  <w:footnote w:id="1083">
    <w:p w14:paraId="2B3919E0" w14:textId="5146F4B4" w:rsidR="0030147D" w:rsidRPr="00E72418" w:rsidRDefault="0030147D" w:rsidP="001B38B1">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pp. 60 et suiv.</w:t>
      </w:r>
    </w:p>
  </w:footnote>
  <w:footnote w:id="1084">
    <w:p w14:paraId="2626805C" w14:textId="7A100ED2" w:rsidR="0030147D" w:rsidRPr="00E72418" w:rsidRDefault="0030147D" w:rsidP="009B5B86">
      <w:pPr>
        <w:pStyle w:val="Sansinterligne"/>
      </w:pPr>
      <w:r w:rsidRPr="00E72418">
        <w:rPr>
          <w:rStyle w:val="Appelnotedebasdep"/>
        </w:rPr>
        <w:footnoteRef/>
      </w:r>
      <w:r w:rsidRPr="00E72418">
        <w:t xml:space="preserve"> </w:t>
      </w:r>
      <w:r w:rsidRPr="00E72418">
        <w:rPr>
          <w:i/>
        </w:rPr>
        <w:t>Ibid.</w:t>
      </w:r>
      <w:r w:rsidRPr="00E72418">
        <w:rPr>
          <w:i/>
          <w:shd w:val="clear" w:color="auto" w:fill="FFFFFF"/>
        </w:rPr>
        <w:t>,</w:t>
      </w:r>
      <w:r w:rsidRPr="00E72418">
        <w:rPr>
          <w:shd w:val="clear" w:color="auto" w:fill="FFFFFF"/>
        </w:rPr>
        <w:t xml:space="preserve"> p. 63.</w:t>
      </w:r>
    </w:p>
  </w:footnote>
  <w:footnote w:id="1085">
    <w:p w14:paraId="7E036166" w14:textId="75B34AFB" w:rsidR="0030147D" w:rsidRPr="00E72418" w:rsidRDefault="0030147D" w:rsidP="009B5B86">
      <w:pPr>
        <w:pStyle w:val="Sansinterligne"/>
      </w:pPr>
      <w:r w:rsidRPr="00E72418">
        <w:rPr>
          <w:rStyle w:val="Appelnotedebasdep"/>
        </w:rPr>
        <w:footnoteRef/>
      </w:r>
      <w:r w:rsidRPr="00E72418">
        <w:t xml:space="preserve"> </w:t>
      </w:r>
      <w:r w:rsidRPr="00E72418">
        <w:rPr>
          <w:i/>
        </w:rPr>
        <w:t>Ibid.</w:t>
      </w:r>
      <w:r w:rsidRPr="00E72418">
        <w:rPr>
          <w:shd w:val="clear" w:color="auto" w:fill="FFFFFF"/>
        </w:rPr>
        <w:t>, p. 66. Le moratoire argentin de 2001 illustre la première hypothèse tandis la loi grecque de 2012 illustre la seconde.</w:t>
      </w:r>
    </w:p>
  </w:footnote>
  <w:footnote w:id="1086">
    <w:p w14:paraId="7468642B" w14:textId="42BA7FFB" w:rsidR="0030147D" w:rsidRPr="00E72418" w:rsidRDefault="0030147D" w:rsidP="00DC2FEE">
      <w:pPr>
        <w:pStyle w:val="Sansinterligne"/>
        <w:rPr>
          <w:szCs w:val="20"/>
        </w:rPr>
      </w:pPr>
      <w:r w:rsidRPr="00E72418">
        <w:rPr>
          <w:rStyle w:val="Appelnotedebasdep"/>
          <w:szCs w:val="20"/>
        </w:rPr>
        <w:footnoteRef/>
      </w:r>
      <w:r w:rsidRPr="00E72418">
        <w:rPr>
          <w:szCs w:val="20"/>
        </w:rPr>
        <w:t xml:space="preserve"> C.J.U.E., 11 juin 2015, </w:t>
      </w:r>
      <w:r w:rsidRPr="00E72418">
        <w:rPr>
          <w:i/>
          <w:szCs w:val="20"/>
        </w:rPr>
        <w:t>Fahnenbrock c. République hellénique</w:t>
      </w:r>
      <w:r w:rsidRPr="00E72418">
        <w:rPr>
          <w:szCs w:val="20"/>
        </w:rPr>
        <w:t>, arrêt, affaires jointes n</w:t>
      </w:r>
      <w:r w:rsidRPr="00E72418">
        <w:rPr>
          <w:szCs w:val="20"/>
          <w:vertAlign w:val="superscript"/>
        </w:rPr>
        <w:t xml:space="preserve">os </w:t>
      </w:r>
      <w:r w:rsidRPr="00E72418">
        <w:rPr>
          <w:szCs w:val="20"/>
        </w:rPr>
        <w:t>C-226/13, C-245/13, 247/13 et 578/13, paragraphe 59.</w:t>
      </w:r>
    </w:p>
  </w:footnote>
  <w:footnote w:id="1087">
    <w:p w14:paraId="7F796016" w14:textId="4736E52C" w:rsidR="0030147D" w:rsidRPr="00E72418" w:rsidRDefault="0030147D" w:rsidP="00BF0749">
      <w:pPr>
        <w:pStyle w:val="Sansinterligne"/>
        <w:rPr>
          <w:rFonts w:cs="Times"/>
          <w:szCs w:val="20"/>
        </w:rPr>
      </w:pPr>
      <w:r w:rsidRPr="00E72418">
        <w:rPr>
          <w:rStyle w:val="Appelnotedebasdep"/>
          <w:rFonts w:cs="Times"/>
          <w:szCs w:val="20"/>
        </w:rPr>
        <w:footnoteRef/>
      </w:r>
      <w:r w:rsidRPr="00E72418">
        <w:rPr>
          <w:rFonts w:cs="Times"/>
          <w:szCs w:val="20"/>
        </w:rPr>
        <w:t xml:space="preserve"> </w:t>
      </w:r>
      <w:r w:rsidRPr="00E72418">
        <w:rPr>
          <w:rFonts w:cs="Times"/>
          <w:i/>
          <w:szCs w:val="20"/>
        </w:rPr>
        <w:t>Ibid.</w:t>
      </w:r>
      <w:r w:rsidRPr="00E72418">
        <w:rPr>
          <w:rFonts w:cs="Times"/>
          <w:szCs w:val="20"/>
        </w:rPr>
        <w:t xml:space="preserve">, paragraphes 55 et 56. Dans ses conclusions du 9 décembre 2014 précédant l’arrêt, l’avocat général avait quant à lui retenu que « si l’émission d’un emprunt obligataire par un État relève de l’accomplissement d’un acte </w:t>
      </w:r>
      <w:r w:rsidRPr="00E72418">
        <w:rPr>
          <w:rFonts w:cs="Times"/>
          <w:i/>
          <w:szCs w:val="20"/>
        </w:rPr>
        <w:t>jure gestionis</w:t>
      </w:r>
      <w:r w:rsidRPr="00E72418">
        <w:rPr>
          <w:rFonts w:cs="Times"/>
          <w:szCs w:val="20"/>
        </w:rPr>
        <w:t xml:space="preserve">, l’exercice ultérieur par l’État de son pouvoir de législateur, qui relève, en revanche, des actes </w:t>
      </w:r>
      <w:r w:rsidRPr="00E72418">
        <w:rPr>
          <w:rFonts w:cs="Times"/>
          <w:i/>
          <w:szCs w:val="20"/>
        </w:rPr>
        <w:t>jure imperii</w:t>
      </w:r>
      <w:r w:rsidRPr="00E72418">
        <w:rPr>
          <w:rFonts w:cs="Times"/>
          <w:szCs w:val="20"/>
        </w:rPr>
        <w:t>, doit également être pris en compte, puisqu’il est évident que les actions en indemnisation exercées contre l’État grec trouvent leur fondement non seulement dans les titres initiaux, mais aussi et surtout dans la loi n° 4050/2012, ayant rendu possible l’échange des titres et, par voie de conséquence, la réduction de la dette en introduisant dans les conditions d’emprunt des clauses d’action collective » (conclusions, paragraphe 63).</w:t>
      </w:r>
    </w:p>
  </w:footnote>
  <w:footnote w:id="1088">
    <w:p w14:paraId="63D7B7E3" w14:textId="74CF080C" w:rsidR="0030147D" w:rsidRPr="00E72418" w:rsidRDefault="0030147D" w:rsidP="00184267">
      <w:pPr>
        <w:pStyle w:val="Sansinterligne"/>
        <w:rPr>
          <w:szCs w:val="20"/>
        </w:rPr>
      </w:pPr>
      <w:r w:rsidRPr="00E72418">
        <w:rPr>
          <w:rStyle w:val="Appelnotedebasdep"/>
          <w:szCs w:val="20"/>
        </w:rPr>
        <w:footnoteRef/>
      </w:r>
      <w:r w:rsidRPr="00E72418">
        <w:rPr>
          <w:szCs w:val="20"/>
        </w:rPr>
        <w:t xml:space="preserve"> C.J.U.E., 15 novembre 2018, </w:t>
      </w:r>
      <w:r w:rsidRPr="00E72418">
        <w:rPr>
          <w:i/>
          <w:szCs w:val="20"/>
        </w:rPr>
        <w:t>Hellenische Republik contre Leo Kuhn</w:t>
      </w:r>
      <w:r w:rsidRPr="00E72418">
        <w:rPr>
          <w:szCs w:val="20"/>
        </w:rPr>
        <w:t xml:space="preserve">, arrêt, n° C-308/17. Sur le contentieux grec et la loi n° 4050/2012 du </w:t>
      </w:r>
      <w:r w:rsidRPr="00E72418">
        <w:rPr>
          <w:szCs w:val="20"/>
          <w:lang w:eastAsia="fr-BE"/>
        </w:rPr>
        <w:t xml:space="preserve">23 février 2012 posant difficulté, voyez </w:t>
      </w:r>
      <w:r w:rsidRPr="00E72418">
        <w:rPr>
          <w:i/>
          <w:szCs w:val="20"/>
          <w:lang w:eastAsia="fr-BE"/>
        </w:rPr>
        <w:t>supra</w:t>
      </w:r>
      <w:r w:rsidRPr="00E72418">
        <w:rPr>
          <w:szCs w:val="20"/>
          <w:lang w:eastAsia="fr-BE"/>
        </w:rPr>
        <w:t xml:space="preserve"> n° 119.</w:t>
      </w:r>
    </w:p>
  </w:footnote>
  <w:footnote w:id="1089">
    <w:p w14:paraId="12648A88" w14:textId="4712F596"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Il apparaît qu’à l’époque où prévalait la théorie de l’immunité absolue, les juridictions anglaises et étatsuniennes déclinaient leur juridiction même si l’État souverain avait renoncé à son immunité (</w:t>
      </w:r>
      <w:r w:rsidRPr="00E72418">
        <w:rPr>
          <w:smallCaps/>
          <w:szCs w:val="20"/>
        </w:rPr>
        <w:t>M. Weidemaier</w:t>
      </w:r>
      <w:r w:rsidRPr="00E72418">
        <w:rPr>
          <w:szCs w:val="20"/>
        </w:rPr>
        <w:t xml:space="preserve">, « Sovereign Immunity and Sovereign Debt », </w:t>
      </w:r>
      <w:r w:rsidRPr="00E72418">
        <w:rPr>
          <w:i/>
          <w:szCs w:val="20"/>
        </w:rPr>
        <w:t>op. cit.</w:t>
      </w:r>
      <w:r w:rsidRPr="00E72418">
        <w:rPr>
          <w:szCs w:val="20"/>
        </w:rPr>
        <w:t>, p. 73 et la jurisprudence y visée).</w:t>
      </w:r>
    </w:p>
  </w:footnote>
  <w:footnote w:id="1090">
    <w:p w14:paraId="3623481E" w14:textId="247ADB5B"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Voyez</w:t>
      </w:r>
      <w:r>
        <w:rPr>
          <w:szCs w:val="20"/>
          <w:lang w:val="en-US"/>
        </w:rPr>
        <w:t>,</w:t>
      </w:r>
      <w:r w:rsidRPr="00E72418">
        <w:rPr>
          <w:szCs w:val="20"/>
          <w:lang w:val="en-US"/>
        </w:rPr>
        <w:t xml:space="preserve"> par exemple</w:t>
      </w:r>
      <w:r>
        <w:rPr>
          <w:szCs w:val="20"/>
          <w:lang w:val="en-US"/>
        </w:rPr>
        <w:t>,</w:t>
      </w:r>
      <w:r w:rsidRPr="00E72418">
        <w:rPr>
          <w:szCs w:val="20"/>
          <w:lang w:val="en-US"/>
        </w:rPr>
        <w:t xml:space="preserve"> l’article 22 du </w:t>
      </w:r>
      <w:r w:rsidRPr="00E72418">
        <w:rPr>
          <w:i/>
          <w:szCs w:val="20"/>
          <w:lang w:val="en-US"/>
        </w:rPr>
        <w:t>Fiscal Agency Agreement</w:t>
      </w:r>
      <w:r w:rsidRPr="00E72418">
        <w:rPr>
          <w:szCs w:val="20"/>
          <w:lang w:val="en-US"/>
        </w:rPr>
        <w:t xml:space="preserve"> argentin de 1994 qui dispose notamment que « [t]he Republic hereby irrevocably waives and agrees not to plead any immunity from the jurisdiction of any such court to which it might otherwise be entitled in any action arising out of or based on the Securities or this Agreement by the holder of any Security ». Dans le cas argentin, la clause de renonciation apparut comme étant « a necessary clause to attract private investors already wary of investing with the default-prone Argentina » (</w:t>
      </w:r>
      <w:r w:rsidRPr="00E72418">
        <w:rPr>
          <w:smallCaps/>
          <w:szCs w:val="20"/>
          <w:lang w:val="en-US"/>
        </w:rPr>
        <w:t>M. Barr</w:t>
      </w:r>
      <w:r w:rsidRPr="00E72418">
        <w:rPr>
          <w:szCs w:val="20"/>
          <w:lang w:val="en-US"/>
        </w:rPr>
        <w:t xml:space="preserve">, « The Litigation Tango of La Casa Rosada and the Vultures: The Political Realities of Sovereign Debt, Vulture Funds, and the Foreign Sovereign Immunities Act », </w:t>
      </w:r>
      <w:r w:rsidRPr="00E72418">
        <w:rPr>
          <w:i/>
          <w:szCs w:val="20"/>
          <w:lang w:val="en-US"/>
        </w:rPr>
        <w:t>op. cit.</w:t>
      </w:r>
      <w:r w:rsidRPr="00E72418">
        <w:rPr>
          <w:szCs w:val="20"/>
          <w:lang w:val="en-US"/>
        </w:rPr>
        <w:t>, p. 584). Comme l’indiquent Benjamin Chabot et Veronica Santarosa, « [a] clause waiving jurisdictional or execution immunity purports to directly make available some legal enforcement by third parties » (</w:t>
      </w:r>
      <w:r w:rsidRPr="00E72418">
        <w:rPr>
          <w:smallCaps/>
          <w:szCs w:val="20"/>
          <w:lang w:val="en-US"/>
        </w:rPr>
        <w:t>B. Chabot</w:t>
      </w:r>
      <w:r w:rsidRPr="00E72418">
        <w:rPr>
          <w:szCs w:val="20"/>
          <w:lang w:val="en-US"/>
        </w:rPr>
        <w:t xml:space="preserve"> et </w:t>
      </w:r>
      <w:r w:rsidRPr="00E72418">
        <w:rPr>
          <w:smallCaps/>
          <w:szCs w:val="20"/>
          <w:lang w:val="en-US"/>
        </w:rPr>
        <w:t>V. Santarosa</w:t>
      </w:r>
      <w:r w:rsidRPr="00E72418">
        <w:rPr>
          <w:szCs w:val="20"/>
          <w:lang w:val="en-US"/>
        </w:rPr>
        <w:t xml:space="preserve">, </w:t>
      </w:r>
      <w:r w:rsidRPr="00E72418">
        <w:rPr>
          <w:rFonts w:cs="Times New Roman"/>
          <w:szCs w:val="24"/>
          <w:lang w:val="en-US"/>
        </w:rPr>
        <w:t>« Don’t cry for Argentina (or other Sovereign borrowers): lessons from a previous era of sovereign debt contract enforcement »</w:t>
      </w:r>
      <w:r w:rsidRPr="00E72418">
        <w:rPr>
          <w:szCs w:val="20"/>
          <w:lang w:val="en-US"/>
        </w:rPr>
        <w:t xml:space="preserve">, </w:t>
      </w:r>
      <w:r w:rsidRPr="00E72418">
        <w:rPr>
          <w:i/>
          <w:szCs w:val="20"/>
        </w:rPr>
        <w:t>op. cit.</w:t>
      </w:r>
      <w:r w:rsidRPr="00E72418">
        <w:rPr>
          <w:szCs w:val="20"/>
          <w:lang w:val="en-US"/>
        </w:rPr>
        <w:t>, p. 14).</w:t>
      </w:r>
    </w:p>
  </w:footnote>
  <w:footnote w:id="1091">
    <w:p w14:paraId="02927008" w14:textId="4F4DDF4A"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Kelly</w:t>
      </w:r>
      <w:r w:rsidRPr="00E72418">
        <w:rPr>
          <w:szCs w:val="20"/>
          <w:lang w:val="en-US"/>
        </w:rPr>
        <w:t xml:space="preserve">, « Flight of the Condors: The Impact of Vulture Investors on Argentina’s Sovereign Debt Default », </w:t>
      </w:r>
      <w:r w:rsidRPr="00E72418">
        <w:rPr>
          <w:i/>
          <w:szCs w:val="20"/>
          <w:lang w:val="en-US"/>
        </w:rPr>
        <w:t>op. cit.</w:t>
      </w:r>
      <w:r w:rsidRPr="00E72418">
        <w:rPr>
          <w:szCs w:val="20"/>
          <w:lang w:val="en-US"/>
        </w:rPr>
        <w:t>, p. 33.</w:t>
      </w:r>
    </w:p>
  </w:footnote>
  <w:footnote w:id="1092">
    <w:p w14:paraId="34C4F6D5" w14:textId="78EEBBE3" w:rsidR="0030147D" w:rsidRPr="00E72418" w:rsidRDefault="0030147D" w:rsidP="009B5B86">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xml:space="preserve">, p. 70. </w:t>
      </w:r>
      <w:r w:rsidR="000F5FE4">
        <w:rPr>
          <w:shd w:val="clear" w:color="auto" w:fill="FFFFFF"/>
        </w:rPr>
        <w:t>Sur la distinction évoquée, v</w:t>
      </w:r>
      <w:r w:rsidRPr="00E72418">
        <w:rPr>
          <w:shd w:val="clear" w:color="auto" w:fill="FFFFFF"/>
        </w:rPr>
        <w:t xml:space="preserve">oyez </w:t>
      </w:r>
      <w:r w:rsidRPr="00E72418">
        <w:rPr>
          <w:i/>
          <w:shd w:val="clear" w:color="auto" w:fill="FFFFFF"/>
        </w:rPr>
        <w:t>supra</w:t>
      </w:r>
      <w:r w:rsidRPr="00E72418">
        <w:rPr>
          <w:shd w:val="clear" w:color="auto" w:fill="FFFFFF"/>
        </w:rPr>
        <w:t xml:space="preserve"> n° 215.</w:t>
      </w:r>
    </w:p>
  </w:footnote>
  <w:footnote w:id="1093">
    <w:p w14:paraId="46E0A12C" w14:textId="6E44A32D"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Weidemaier</w:t>
      </w:r>
      <w:r w:rsidRPr="00E72418">
        <w:rPr>
          <w:szCs w:val="20"/>
          <w:lang w:val="en-US"/>
        </w:rPr>
        <w:t xml:space="preserve">, « Sovereign Immunity and Sovereign Debt », </w:t>
      </w:r>
      <w:r w:rsidRPr="00E72418">
        <w:rPr>
          <w:i/>
          <w:szCs w:val="20"/>
          <w:lang w:val="en-US"/>
        </w:rPr>
        <w:t>op. cit.</w:t>
      </w:r>
      <w:r w:rsidRPr="00E72418">
        <w:rPr>
          <w:szCs w:val="20"/>
          <w:lang w:val="en-US"/>
        </w:rPr>
        <w:t>, pp. 78 et 79.</w:t>
      </w:r>
    </w:p>
  </w:footnote>
  <w:footnote w:id="1094">
    <w:p w14:paraId="3293ECA7" w14:textId="37D55F4E"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Les travaux préparatoires du </w:t>
      </w:r>
      <w:r w:rsidRPr="00E72418">
        <w:rPr>
          <w:i/>
          <w:szCs w:val="20"/>
          <w:lang w:val="en-US"/>
        </w:rPr>
        <w:t>Foreign Sovereign Immunities Act</w:t>
      </w:r>
      <w:r w:rsidRPr="00E72418">
        <w:rPr>
          <w:szCs w:val="20"/>
          <w:lang w:val="en-US"/>
        </w:rPr>
        <w:t xml:space="preserve"> expliquent la règle en indiquant qu’ « a foreign state which has induced a private person into a contract by promising not to invoke its immunity cannot, when a dispute arises, go back on its promise and seek to revoke the waiver unilaterally » (Committee on the Judiciary, House of Representatives, 94</w:t>
      </w:r>
      <w:r w:rsidRPr="0005101F">
        <w:rPr>
          <w:szCs w:val="20"/>
          <w:lang w:val="en-US"/>
        </w:rPr>
        <w:t>th</w:t>
      </w:r>
      <w:r w:rsidRPr="00E72418">
        <w:rPr>
          <w:szCs w:val="20"/>
          <w:lang w:val="en-US"/>
        </w:rPr>
        <w:t xml:space="preserve"> Congress, sess. 1976, n° 94-1487, p. 18).</w:t>
      </w:r>
    </w:p>
  </w:footnote>
  <w:footnote w:id="1095">
    <w:p w14:paraId="6FEAA113" w14:textId="77777777" w:rsidR="0030147D" w:rsidRPr="00E72418" w:rsidRDefault="0030147D" w:rsidP="0001676A">
      <w:pPr>
        <w:pStyle w:val="Sansinterligne"/>
        <w:rPr>
          <w:szCs w:val="20"/>
        </w:rPr>
      </w:pPr>
      <w:r w:rsidRPr="00E72418">
        <w:rPr>
          <w:rStyle w:val="Appelnotedebasdep"/>
          <w:szCs w:val="20"/>
        </w:rPr>
        <w:footnoteRef/>
      </w:r>
      <w:r w:rsidRPr="00E72418">
        <w:rPr>
          <w:szCs w:val="20"/>
        </w:rPr>
        <w:t xml:space="preserve"> Comme le note la Cour internationale de Justice : « l’immunité d’exécution dont jouissent les États en ce qui concerne leurs biens situés en territoire étranger va au-delà de l’immunité de juridiction dont bénéficient ces mêmes États devant les tribunaux étrangers » (C.I.J., 3 février 2012, </w:t>
      </w:r>
      <w:r w:rsidRPr="00E72418">
        <w:rPr>
          <w:i/>
          <w:szCs w:val="20"/>
        </w:rPr>
        <w:t>Immunités juridictionnelles de l’État (Allemagne c. Italie ; Grèce (intervenant))</w:t>
      </w:r>
      <w:r w:rsidRPr="00E72418">
        <w:rPr>
          <w:szCs w:val="20"/>
        </w:rPr>
        <w:t>, arrêt, C.I.J. recueil 2012, point 113).</w:t>
      </w:r>
    </w:p>
  </w:footnote>
  <w:footnote w:id="1096">
    <w:p w14:paraId="17325103" w14:textId="1A8F71EF" w:rsidR="0030147D" w:rsidRPr="00E72418" w:rsidRDefault="0030147D" w:rsidP="001E4508">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H. Fox</w:t>
      </w:r>
      <w:r w:rsidRPr="00E72418">
        <w:rPr>
          <w:szCs w:val="20"/>
          <w:lang w:val="en-US"/>
        </w:rPr>
        <w:t xml:space="preserve"> et </w:t>
      </w:r>
      <w:r w:rsidRPr="00E72418">
        <w:rPr>
          <w:smallCaps/>
          <w:szCs w:val="20"/>
          <w:lang w:val="en-US"/>
        </w:rPr>
        <w:t>P. Webb</w:t>
      </w:r>
      <w:r w:rsidRPr="00E72418">
        <w:rPr>
          <w:szCs w:val="20"/>
          <w:lang w:val="en-US"/>
        </w:rPr>
        <w:t xml:space="preserve">, </w:t>
      </w:r>
      <w:r w:rsidRPr="00E72418">
        <w:rPr>
          <w:i/>
          <w:szCs w:val="20"/>
          <w:lang w:val="en-US"/>
        </w:rPr>
        <w:t>The Law of State Immunity</w:t>
      </w:r>
      <w:r w:rsidRPr="00E72418">
        <w:rPr>
          <w:szCs w:val="20"/>
          <w:lang w:val="en-US"/>
        </w:rPr>
        <w:t xml:space="preserve">, </w:t>
      </w:r>
      <w:r w:rsidRPr="00E72418">
        <w:rPr>
          <w:i/>
          <w:szCs w:val="20"/>
        </w:rPr>
        <w:t>op. cit.</w:t>
      </w:r>
      <w:r w:rsidRPr="00E72418">
        <w:rPr>
          <w:szCs w:val="20"/>
          <w:lang w:val="en-US"/>
        </w:rPr>
        <w:t xml:space="preserve">, p. 486 et F. </w:t>
      </w:r>
      <w:r w:rsidRPr="00E72418">
        <w:rPr>
          <w:smallCaps/>
          <w:szCs w:val="20"/>
          <w:lang w:val="en-US"/>
        </w:rPr>
        <w:t>Poirat</w:t>
      </w:r>
      <w:r w:rsidRPr="00E72418">
        <w:rPr>
          <w:szCs w:val="20"/>
          <w:lang w:val="en-US"/>
        </w:rPr>
        <w:t xml:space="preserve">, </w:t>
      </w:r>
      <w:r w:rsidRPr="00E72418">
        <w:t>« Les immunités des sujets du droit international </w:t>
      </w:r>
      <w:r w:rsidRPr="00E72418">
        <w:rPr>
          <w:rFonts w:ascii="Times New Roman" w:hAnsi="Times New Roman" w:cs="Times New Roman"/>
          <w:szCs w:val="24"/>
        </w:rPr>
        <w:t>(</w:t>
      </w:r>
      <w:r w:rsidRPr="00E72418">
        <w:t>É</w:t>
      </w:r>
      <w:r w:rsidRPr="00E72418">
        <w:rPr>
          <w:rFonts w:ascii="Times New Roman" w:hAnsi="Times New Roman" w:cs="Times New Roman"/>
          <w:szCs w:val="24"/>
        </w:rPr>
        <w:t xml:space="preserve">tats et organisations internationales) </w:t>
      </w:r>
      <w:r w:rsidRPr="00E72418">
        <w:t xml:space="preserve">», </w:t>
      </w:r>
      <w:r w:rsidRPr="00E72418">
        <w:rPr>
          <w:i/>
        </w:rPr>
        <w:t>op. cit.</w:t>
      </w:r>
      <w:r w:rsidRPr="00E72418">
        <w:t>, p. 40</w:t>
      </w:r>
      <w:r w:rsidRPr="00E72418">
        <w:rPr>
          <w:szCs w:val="20"/>
          <w:lang w:val="en-US"/>
        </w:rPr>
        <w:t>. Aussi, c</w:t>
      </w:r>
      <w:r w:rsidRPr="00E72418">
        <w:t xml:space="preserve">omme le relève Michael Waibel, « the seizure of all property would be inconsistent with the state’s continued existence as an independant community » </w:t>
      </w:r>
      <w:r w:rsidRPr="00E72418">
        <w:rPr>
          <w:szCs w:val="20"/>
          <w:lang w:val="en-US"/>
        </w:rPr>
        <w:t>(</w:t>
      </w:r>
      <w:r w:rsidRPr="00E72418">
        <w:rPr>
          <w:smallCaps/>
          <w:szCs w:val="20"/>
          <w:lang w:val="en-US"/>
        </w:rPr>
        <w:t>M. Waibel</w:t>
      </w:r>
      <w:r w:rsidRPr="00E72418">
        <w:rPr>
          <w:szCs w:val="20"/>
          <w:lang w:val="en-US"/>
        </w:rPr>
        <w:t xml:space="preserve">, </w:t>
      </w:r>
      <w:r w:rsidRPr="00E72418">
        <w:rPr>
          <w:i/>
          <w:szCs w:val="20"/>
          <w:lang w:val="en-US"/>
        </w:rPr>
        <w:t>Sovereign Defaults before International Courts and Tribunals</w:t>
      </w:r>
      <w:r w:rsidRPr="00E72418">
        <w:rPr>
          <w:szCs w:val="20"/>
          <w:lang w:val="en-US"/>
        </w:rPr>
        <w:t>,</w:t>
      </w:r>
      <w:r w:rsidRPr="00E72418">
        <w:rPr>
          <w:i/>
          <w:szCs w:val="20"/>
          <w:lang w:val="en-US"/>
        </w:rPr>
        <w:t xml:space="preserve"> op. cit.</w:t>
      </w:r>
      <w:r w:rsidRPr="00E72418">
        <w:rPr>
          <w:szCs w:val="20"/>
          <w:lang w:val="en-US"/>
        </w:rPr>
        <w:t>, p. 32).</w:t>
      </w:r>
    </w:p>
  </w:footnote>
  <w:footnote w:id="1097">
    <w:p w14:paraId="3B3F0CFF" w14:textId="4AC155C0" w:rsidR="0030147D" w:rsidRPr="00E72418" w:rsidRDefault="0030147D" w:rsidP="00FE5E10">
      <w:pPr>
        <w:pStyle w:val="Sansinterligne"/>
      </w:pPr>
      <w:r w:rsidRPr="00E72418">
        <w:rPr>
          <w:rStyle w:val="Appelnotedebasdep"/>
        </w:rPr>
        <w:footnoteRef/>
      </w:r>
      <w:r w:rsidRPr="00E72418">
        <w:t xml:space="preserve"> J. </w:t>
      </w:r>
      <w:r w:rsidRPr="00E72418">
        <w:rPr>
          <w:smallCaps/>
          <w:shd w:val="clear" w:color="auto" w:fill="FFFFFF"/>
        </w:rPr>
        <w:t>Bröhmer</w:t>
      </w:r>
      <w:r w:rsidRPr="00E72418">
        <w:rPr>
          <w:shd w:val="clear" w:color="auto" w:fill="FFFFFF"/>
        </w:rPr>
        <w:t xml:space="preserve">, </w:t>
      </w:r>
      <w:r w:rsidRPr="00E72418">
        <w:t xml:space="preserve">« State Immunity and Sovereign Bonds », </w:t>
      </w:r>
      <w:r w:rsidRPr="00E72418">
        <w:rPr>
          <w:i/>
          <w:shd w:val="clear" w:color="auto" w:fill="FFFFFF"/>
        </w:rPr>
        <w:t>op. cit.</w:t>
      </w:r>
      <w:r w:rsidRPr="00E72418">
        <w:rPr>
          <w:rStyle w:val="fn"/>
          <w:rFonts w:cs="Times New Roman"/>
          <w:szCs w:val="24"/>
          <w:lang w:val="en-GB"/>
        </w:rPr>
        <w:t>, p. 203.</w:t>
      </w:r>
    </w:p>
  </w:footnote>
  <w:footnote w:id="1098">
    <w:p w14:paraId="005AA45B" w14:textId="5D322F64" w:rsidR="0030147D" w:rsidRPr="00E72418" w:rsidRDefault="0030147D" w:rsidP="00A42868">
      <w:pPr>
        <w:pStyle w:val="Sansinterligne"/>
        <w:rPr>
          <w:szCs w:val="20"/>
        </w:rPr>
      </w:pPr>
      <w:r w:rsidRPr="00E72418">
        <w:rPr>
          <w:rStyle w:val="Appelnotedebasdep"/>
          <w:szCs w:val="20"/>
        </w:rPr>
        <w:footnoteRef/>
      </w:r>
      <w:r w:rsidRPr="00E72418">
        <w:rPr>
          <w:szCs w:val="20"/>
        </w:rPr>
        <w:t xml:space="preserve"> C.I.J., 3 février 2012, </w:t>
      </w:r>
      <w:r w:rsidRPr="00E72418">
        <w:rPr>
          <w:i/>
          <w:szCs w:val="20"/>
        </w:rPr>
        <w:t>Immunités juridictionnelles de l’État (Allemagne c. Italie ; Grèce (intervenant))</w:t>
      </w:r>
      <w:r w:rsidRPr="00E72418">
        <w:rPr>
          <w:szCs w:val="20"/>
        </w:rPr>
        <w:t>, arrêt, C.I.J. recueil 2012, point 118. Sur le passage d’une immunité d’exécution absolue à une immunité d’exécution fonctionnelle, Joe Verhoeven relève que « ce sont les “besoins” de la souveraineté qui déterminent seuls aujourd’hui l’étendue d’une immunité qui a cessé d’être absolue » et que « l’immunité fondamentalement ne se justifie plus que parce qu’elle paraît utile, sinon indispensable, à l’exercice de certaines tâches ou responsabilités » (</w:t>
      </w:r>
      <w:r w:rsidRPr="00E72418">
        <w:rPr>
          <w:smallCaps/>
          <w:szCs w:val="20"/>
        </w:rPr>
        <w:t>J. Verhoeven</w:t>
      </w:r>
      <w:r w:rsidRPr="00E72418">
        <w:rPr>
          <w:szCs w:val="20"/>
        </w:rPr>
        <w:t xml:space="preserve">, « La jurisprudence belge et le droit international de l’immunité d’exécution », </w:t>
      </w:r>
      <w:r w:rsidRPr="00E72418">
        <w:rPr>
          <w:i/>
          <w:szCs w:val="20"/>
        </w:rPr>
        <w:t>Mélanges Jacques van Compernolle</w:t>
      </w:r>
      <w:r w:rsidRPr="00E72418">
        <w:rPr>
          <w:szCs w:val="20"/>
        </w:rPr>
        <w:t>, Bruylant, 2004, p. 876).</w:t>
      </w:r>
    </w:p>
  </w:footnote>
  <w:footnote w:id="1099">
    <w:p w14:paraId="305FD661" w14:textId="77777777" w:rsidR="0030147D" w:rsidRPr="00E72418" w:rsidRDefault="0030147D" w:rsidP="00C13154">
      <w:pPr>
        <w:pStyle w:val="Sansinterligne"/>
        <w:rPr>
          <w:szCs w:val="20"/>
        </w:rPr>
      </w:pPr>
      <w:r w:rsidRPr="00E72418">
        <w:rPr>
          <w:rStyle w:val="Appelnotedebasdep"/>
          <w:szCs w:val="20"/>
        </w:rPr>
        <w:footnoteRef/>
      </w:r>
      <w:r w:rsidRPr="00E72418">
        <w:rPr>
          <w:szCs w:val="20"/>
        </w:rPr>
        <w:t xml:space="preserve"> La quatrième partie de la Convention porte sur l’immunité des États à l’égard des mesures de contrainte en relation avec une procédure devant un tribunal. Une distinction y est faite entre les mesures de contrainte antérieures au jugement et celles qui lui sont postérieures (voyez respectivement l’article 18 et l’article 19 de la convention).</w:t>
      </w:r>
    </w:p>
  </w:footnote>
  <w:footnote w:id="1100">
    <w:p w14:paraId="67B01E3B" w14:textId="2944B993" w:rsidR="0030147D" w:rsidRPr="00E72418" w:rsidRDefault="0030147D" w:rsidP="00F918AA">
      <w:pPr>
        <w:pStyle w:val="Sansinterligne"/>
        <w:rPr>
          <w:szCs w:val="20"/>
        </w:rPr>
      </w:pPr>
      <w:r w:rsidRPr="00E72418">
        <w:rPr>
          <w:rStyle w:val="Appelnotedebasdep"/>
          <w:szCs w:val="20"/>
        </w:rPr>
        <w:footnoteRef/>
      </w:r>
      <w:r w:rsidRPr="00E72418">
        <w:rPr>
          <w:szCs w:val="20"/>
        </w:rPr>
        <w:t xml:space="preserve"> </w:t>
      </w:r>
      <w:r w:rsidRPr="00E72418">
        <w:rPr>
          <w:szCs w:val="20"/>
          <w:shd w:val="clear" w:color="auto" w:fill="FFFFFF"/>
        </w:rPr>
        <w:t>« </w:t>
      </w:r>
      <w:r w:rsidRPr="00E72418">
        <w:rPr>
          <w:rFonts w:ascii="Times New Roman" w:hAnsi="Times New Roman"/>
          <w:szCs w:val="20"/>
        </w:rPr>
        <w:t>[s]</w:t>
      </w:r>
      <w:r w:rsidRPr="00E72418">
        <w:rPr>
          <w:szCs w:val="20"/>
          <w:shd w:val="clear" w:color="auto" w:fill="FFFFFF"/>
        </w:rPr>
        <w:t xml:space="preserve">ubject to subsections (3) and (4) below </w:t>
      </w:r>
      <w:r w:rsidRPr="00E72418">
        <w:rPr>
          <w:rFonts w:ascii="Times New Roman" w:hAnsi="Times New Roman"/>
          <w:szCs w:val="20"/>
        </w:rPr>
        <w:t>[…]</w:t>
      </w:r>
      <w:r w:rsidRPr="00E72418">
        <w:rPr>
          <w:szCs w:val="20"/>
          <w:shd w:val="clear" w:color="auto" w:fill="FFFFFF"/>
        </w:rPr>
        <w:t xml:space="preserve"> the property of a State shall not be subject to any process for the enforcement of a judgment or arbitration award or, in an action in rem, for its arrest, detention or sale </w:t>
      </w:r>
      <w:r w:rsidRPr="00E72418">
        <w:rPr>
          <w:szCs w:val="20"/>
        </w:rPr>
        <w:t>».</w:t>
      </w:r>
    </w:p>
  </w:footnote>
  <w:footnote w:id="1101">
    <w:p w14:paraId="7D2A78E6" w14:textId="081AB703" w:rsidR="0030147D" w:rsidRPr="00E72418" w:rsidRDefault="0030147D" w:rsidP="003C3E03">
      <w:pPr>
        <w:pStyle w:val="Sansinterligne"/>
        <w:rPr>
          <w:szCs w:val="20"/>
        </w:rPr>
      </w:pPr>
      <w:r w:rsidRPr="00E72418">
        <w:rPr>
          <w:rStyle w:val="Appelnotedebasdep"/>
          <w:szCs w:val="20"/>
        </w:rPr>
        <w:footnoteRef/>
      </w:r>
      <w:r w:rsidRPr="00E72418">
        <w:rPr>
          <w:szCs w:val="20"/>
        </w:rPr>
        <w:t xml:space="preserve"> L’article 1412</w:t>
      </w:r>
      <w:r w:rsidRPr="00E72418">
        <w:rPr>
          <w:i/>
          <w:szCs w:val="20"/>
        </w:rPr>
        <w:t>quinquies</w:t>
      </w:r>
      <w:r w:rsidRPr="00E72418">
        <w:rPr>
          <w:szCs w:val="20"/>
        </w:rPr>
        <w:t xml:space="preserve"> du Code judiciaire inséré par une loi du 13 août 2015 a un champ d’application général, l’ensemble des biens situés en Belgique appartenant aux </w:t>
      </w:r>
      <w:r w:rsidRPr="00E72418">
        <w:rPr>
          <w:szCs w:val="20"/>
          <w:lang w:eastAsia="fr-BE"/>
        </w:rPr>
        <w:t>É</w:t>
      </w:r>
      <w:r w:rsidRPr="00E72418">
        <w:rPr>
          <w:szCs w:val="20"/>
        </w:rPr>
        <w:t xml:space="preserve">tats étrangers étant visé. Le législateur belge était déjà intervenu en 2004 et 2008 en adoptant des législations visant des biens particuliers des </w:t>
      </w:r>
      <w:r w:rsidRPr="00E72418">
        <w:rPr>
          <w:szCs w:val="20"/>
          <w:lang w:eastAsia="fr-BE"/>
        </w:rPr>
        <w:t>É</w:t>
      </w:r>
      <w:r w:rsidRPr="00E72418">
        <w:rPr>
          <w:szCs w:val="20"/>
        </w:rPr>
        <w:t>tats étrangers (voyez la loi du 14 juin 2004 modifiant le Code judiciaire en vue d’instituer une immunité d’exécution à l’égard des biens culturels étrangers exposés publiquement en Belgique et la loi du 24 juillet 2008 modifiant le Code judiciaire en vue d’instituer une immunité d’exécution à l’égard des avoirs de banques centrales étrangères et d’autorités monétaires internationales, lesquelles lois insérèrent respectivement les articles 1412</w:t>
      </w:r>
      <w:r w:rsidRPr="00E72418">
        <w:rPr>
          <w:i/>
          <w:szCs w:val="20"/>
        </w:rPr>
        <w:t>ter</w:t>
      </w:r>
      <w:r w:rsidRPr="00E72418">
        <w:rPr>
          <w:szCs w:val="20"/>
        </w:rPr>
        <w:t xml:space="preserve"> et 1412</w:t>
      </w:r>
      <w:r w:rsidRPr="00E72418">
        <w:rPr>
          <w:i/>
          <w:szCs w:val="20"/>
        </w:rPr>
        <w:t>quater</w:t>
      </w:r>
      <w:r w:rsidRPr="00E72418">
        <w:rPr>
          <w:szCs w:val="20"/>
        </w:rPr>
        <w:t xml:space="preserve"> dans le Code judiciaire belge). Indirectement, avec la loi de 2015, le législateur belge a compliqué les activités des fonds spéculatifs sur les dettes souveraines conduisant la société </w:t>
      </w:r>
      <w:r w:rsidRPr="00E72418">
        <w:rPr>
          <w:i/>
          <w:szCs w:val="20"/>
        </w:rPr>
        <w:t>NML Capital Ltd</w:t>
      </w:r>
      <w:r w:rsidRPr="00E72418">
        <w:rPr>
          <w:szCs w:val="20"/>
        </w:rPr>
        <w:t>. notamment à introduire un recours en annulation à son encontre</w:t>
      </w:r>
      <w:r w:rsidRPr="00E72418">
        <w:rPr>
          <w:i/>
          <w:szCs w:val="20"/>
        </w:rPr>
        <w:t xml:space="preserve">. </w:t>
      </w:r>
      <w:r w:rsidRPr="00E72418">
        <w:rPr>
          <w:szCs w:val="20"/>
        </w:rPr>
        <w:t>La Cour constitutionnelle rendit son arrêt le 27 avril 2017 dans lequel elle conclut, pour grande partie, à la constitutionnalité de l’article 1412</w:t>
      </w:r>
      <w:r w:rsidRPr="00E72418">
        <w:rPr>
          <w:i/>
          <w:szCs w:val="20"/>
        </w:rPr>
        <w:t>quinquies</w:t>
      </w:r>
      <w:r w:rsidRPr="00E72418">
        <w:rPr>
          <w:szCs w:val="20"/>
        </w:rPr>
        <w:t xml:space="preserve"> du Code judiciaire belge (sur cet arrêt n° 48/2017, voyez notamment P. </w:t>
      </w:r>
      <w:r w:rsidRPr="00E72418">
        <w:rPr>
          <w:rFonts w:cs="Times New Roman"/>
          <w:smallCaps/>
          <w:szCs w:val="24"/>
        </w:rPr>
        <w:t>d’Argent,</w:t>
      </w:r>
      <w:r w:rsidRPr="00E72418">
        <w:rPr>
          <w:rFonts w:cs="Times New Roman"/>
          <w:szCs w:val="24"/>
        </w:rPr>
        <w:t xml:space="preserve"> A. </w:t>
      </w:r>
      <w:r w:rsidRPr="00E72418">
        <w:rPr>
          <w:rFonts w:cs="Times New Roman"/>
          <w:smallCaps/>
          <w:szCs w:val="24"/>
        </w:rPr>
        <w:t>de Vaucleroy</w:t>
      </w:r>
      <w:r w:rsidRPr="00E72418">
        <w:rPr>
          <w:rFonts w:cs="Times New Roman"/>
          <w:szCs w:val="24"/>
        </w:rPr>
        <w:t xml:space="preserve">, F. </w:t>
      </w:r>
      <w:r w:rsidRPr="00E72418">
        <w:rPr>
          <w:rFonts w:cs="Times New Roman"/>
          <w:smallCaps/>
          <w:szCs w:val="24"/>
        </w:rPr>
        <w:t>Dopagne</w:t>
      </w:r>
      <w:r w:rsidRPr="00E72418">
        <w:rPr>
          <w:rFonts w:cs="Times New Roman"/>
          <w:szCs w:val="24"/>
        </w:rPr>
        <w:t xml:space="preserve"> et E. </w:t>
      </w:r>
      <w:r w:rsidRPr="00E72418">
        <w:rPr>
          <w:rFonts w:cs="Times New Roman"/>
          <w:smallCaps/>
          <w:szCs w:val="24"/>
        </w:rPr>
        <w:t>Lanotte</w:t>
      </w:r>
      <w:r w:rsidRPr="00E72418">
        <w:rPr>
          <w:rFonts w:cs="Times New Roman"/>
          <w:szCs w:val="24"/>
        </w:rPr>
        <w:t xml:space="preserve">, « Jurisprudence belge relative au droit international public (2012-2017) », </w:t>
      </w:r>
      <w:r w:rsidRPr="00E72418">
        <w:rPr>
          <w:i/>
        </w:rPr>
        <w:t>R.B.D.I.</w:t>
      </w:r>
      <w:r w:rsidRPr="00E72418">
        <w:rPr>
          <w:rFonts w:cs="Times New Roman"/>
          <w:szCs w:val="24"/>
        </w:rPr>
        <w:t>, 2018, pp</w:t>
      </w:r>
      <w:r w:rsidRPr="00E72418">
        <w:rPr>
          <w:szCs w:val="20"/>
        </w:rPr>
        <w:t xml:space="preserve">. 235 à 242 ou encore J. </w:t>
      </w:r>
      <w:r w:rsidRPr="00E72418">
        <w:rPr>
          <w:smallCaps/>
          <w:szCs w:val="20"/>
        </w:rPr>
        <w:t>Vanderschuren</w:t>
      </w:r>
      <w:r w:rsidRPr="00E72418">
        <w:rPr>
          <w:szCs w:val="20"/>
        </w:rPr>
        <w:t>, « Satisfecit constitutionnel partiel pour l’article 1412</w:t>
      </w:r>
      <w:r w:rsidRPr="00E72418">
        <w:rPr>
          <w:i/>
          <w:szCs w:val="20"/>
        </w:rPr>
        <w:t>quinquies</w:t>
      </w:r>
      <w:r w:rsidRPr="00E72418">
        <w:rPr>
          <w:szCs w:val="20"/>
        </w:rPr>
        <w:t xml:space="preserve"> du Code judiciaire », </w:t>
      </w:r>
      <w:r w:rsidRPr="00E72418">
        <w:rPr>
          <w:i/>
          <w:szCs w:val="20"/>
        </w:rPr>
        <w:t>J.T.</w:t>
      </w:r>
      <w:r w:rsidRPr="00E72418">
        <w:rPr>
          <w:szCs w:val="20"/>
        </w:rPr>
        <w:t>, 2018, pp. 560 à 564).</w:t>
      </w:r>
      <w:r w:rsidRPr="00E72418">
        <w:t xml:space="preserve"> Généralement, sur cet article 1412</w:t>
      </w:r>
      <w:r w:rsidRPr="00E72418">
        <w:rPr>
          <w:i/>
        </w:rPr>
        <w:t>quinquies</w:t>
      </w:r>
      <w:r w:rsidRPr="00E72418">
        <w:t xml:space="preserve"> du Code judiciaire, voyez notamment F. </w:t>
      </w:r>
      <w:r w:rsidRPr="00E72418">
        <w:rPr>
          <w:smallCaps/>
        </w:rPr>
        <w:t>Dopagne</w:t>
      </w:r>
      <w:r w:rsidRPr="00E72418">
        <w:t>, « L’immunité de saisie des biens de l’État étranger et de l’organisation internationale : notes sur l’article 1412</w:t>
      </w:r>
      <w:r w:rsidRPr="00E72418">
        <w:rPr>
          <w:i/>
        </w:rPr>
        <w:t>quinquies</w:t>
      </w:r>
      <w:r w:rsidRPr="00E72418">
        <w:t xml:space="preserve"> du Code judiciaire », </w:t>
      </w:r>
      <w:r w:rsidRPr="00E72418">
        <w:rPr>
          <w:i/>
          <w:szCs w:val="20"/>
        </w:rPr>
        <w:t>J.T.</w:t>
      </w:r>
      <w:r w:rsidRPr="00E72418">
        <w:t xml:space="preserve">, 2016, pp. 57 à 64, </w:t>
      </w:r>
      <w:r w:rsidRPr="00E72418">
        <w:rPr>
          <w:smallCaps/>
        </w:rPr>
        <w:t>S. Duquet</w:t>
      </w:r>
      <w:r w:rsidRPr="00E72418">
        <w:t xml:space="preserve"> et </w:t>
      </w:r>
      <w:r w:rsidRPr="00E72418">
        <w:rPr>
          <w:smallCaps/>
        </w:rPr>
        <w:t>J. Wouters</w:t>
      </w:r>
      <w:r w:rsidRPr="00E72418">
        <w:t xml:space="preserve">, « De (on)beslagbaarheid van bankrekeningen van buitenlandse ambassades », </w:t>
      </w:r>
      <w:r w:rsidRPr="00E72418">
        <w:rPr>
          <w:i/>
        </w:rPr>
        <w:t>R.W.</w:t>
      </w:r>
      <w:r w:rsidRPr="00E72418">
        <w:t xml:space="preserve">, 2015-2016, pp. 1483 à 1499 ou encore J. </w:t>
      </w:r>
      <w:r w:rsidRPr="00E72418">
        <w:rPr>
          <w:smallCaps/>
        </w:rPr>
        <w:t>Vanderschuren</w:t>
      </w:r>
      <w:r w:rsidRPr="00E72418">
        <w:t xml:space="preserve">, « La saisie de biens appartenant à une puissance étrangère en droit belge », </w:t>
      </w:r>
      <w:r w:rsidRPr="00E72418">
        <w:rPr>
          <w:i/>
        </w:rPr>
        <w:t>R.D.I.A.</w:t>
      </w:r>
      <w:r w:rsidRPr="00E72418">
        <w:t>, 2018, pp. 324 à 358.</w:t>
      </w:r>
    </w:p>
  </w:footnote>
  <w:footnote w:id="1102">
    <w:p w14:paraId="616D044B" w14:textId="751F712C" w:rsidR="0030147D" w:rsidRPr="00E72418" w:rsidRDefault="0030147D" w:rsidP="00EE260A">
      <w:pPr>
        <w:pStyle w:val="Sansinterligne"/>
        <w:rPr>
          <w:szCs w:val="20"/>
          <w:lang w:val="fr-FR"/>
        </w:rPr>
      </w:pPr>
      <w:r w:rsidRPr="00E72418">
        <w:rPr>
          <w:rStyle w:val="Appelnotedebasdep"/>
          <w:szCs w:val="20"/>
        </w:rPr>
        <w:footnoteRef/>
      </w:r>
      <w:r w:rsidRPr="00E72418">
        <w:rPr>
          <w:szCs w:val="20"/>
        </w:rPr>
        <w:t xml:space="preserve"> La loi française n° 2016-1691 du 9 décembre 2016 relative à la transparence, à la lutte contre la corruption et à la modernisation de la vie économique, dite la « loi Sapin II », a récemment codifié le régime français de l’immunité d’exécution dont bénéficient les </w:t>
      </w:r>
      <w:r w:rsidRPr="00E72418">
        <w:rPr>
          <w:szCs w:val="20"/>
          <w:lang w:eastAsia="fr-BE"/>
        </w:rPr>
        <w:t>É</w:t>
      </w:r>
      <w:r w:rsidRPr="00E72418">
        <w:rPr>
          <w:szCs w:val="20"/>
        </w:rPr>
        <w:t>tats étrangers en insérant les articles L. 111-1-1 à L. 111-1-3 dans le Code des procédures civiles d’exécution français lesquels traitent généralement de l’immunité d’exécution étatique.</w:t>
      </w:r>
    </w:p>
  </w:footnote>
  <w:footnote w:id="1103">
    <w:p w14:paraId="2E4A8B16" w14:textId="509B1153" w:rsidR="0030147D" w:rsidRPr="00E72418" w:rsidRDefault="0030147D" w:rsidP="001E4508">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xml:space="preserve">, p. 4. Pour plus de précisions sur le régime particulier des biens à fonction diplomatique,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229 et suiv.</w:t>
      </w:r>
    </w:p>
  </w:footnote>
  <w:footnote w:id="1104">
    <w:p w14:paraId="7CC69CA9" w14:textId="053B339D" w:rsidR="0030147D" w:rsidRPr="00E72418" w:rsidRDefault="0030147D" w:rsidP="001E4508">
      <w:pPr>
        <w:pStyle w:val="Sansinterligne"/>
        <w:rPr>
          <w:szCs w:val="20"/>
          <w:lang w:val="en-US"/>
        </w:rPr>
      </w:pPr>
      <w:r w:rsidRPr="00E72418">
        <w:rPr>
          <w:rStyle w:val="Appelnotedebasdep"/>
          <w:szCs w:val="20"/>
        </w:rPr>
        <w:footnoteRef/>
      </w:r>
      <w:r w:rsidRPr="00E72418">
        <w:rPr>
          <w:szCs w:val="20"/>
          <w:lang w:val="en-US"/>
        </w:rPr>
        <w:t xml:space="preserve"> Comme le relève Tim Samples, « asset hunting is increasingly crucial in modern sovereign debt disputes »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57).</w:t>
      </w:r>
    </w:p>
  </w:footnote>
  <w:footnote w:id="1105">
    <w:p w14:paraId="6A74FF25" w14:textId="5D1E820A" w:rsidR="0030147D" w:rsidRPr="00E72418" w:rsidRDefault="0030147D" w:rsidP="00EE260A">
      <w:pPr>
        <w:pStyle w:val="Sansinterligne"/>
        <w:rPr>
          <w:szCs w:val="20"/>
        </w:rPr>
      </w:pPr>
      <w:r w:rsidRPr="00E72418">
        <w:rPr>
          <w:rStyle w:val="Appelnotedebasdep"/>
          <w:szCs w:val="20"/>
        </w:rPr>
        <w:footnoteRef/>
      </w:r>
      <w:r w:rsidRPr="00E72418">
        <w:rPr>
          <w:szCs w:val="20"/>
        </w:rPr>
        <w:t xml:space="preserve"> Voyez notamment proposition de loi insérant dans le Code judiciaire un article 1412</w:t>
      </w:r>
      <w:r w:rsidRPr="00E72418">
        <w:rPr>
          <w:i/>
          <w:szCs w:val="20"/>
        </w:rPr>
        <w:t>quinquies</w:t>
      </w:r>
      <w:r w:rsidRPr="00E72418">
        <w:rPr>
          <w:szCs w:val="20"/>
        </w:rPr>
        <w:t xml:space="preserve"> régissant la saisie de biens appartenant à un </w:t>
      </w:r>
      <w:r w:rsidRPr="00E72418">
        <w:rPr>
          <w:szCs w:val="20"/>
          <w:lang w:eastAsia="fr-BE"/>
        </w:rPr>
        <w:t>É</w:t>
      </w:r>
      <w:r w:rsidRPr="00E72418">
        <w:rPr>
          <w:szCs w:val="20"/>
        </w:rPr>
        <w:t>tat tiers ou à une organisation internation</w:t>
      </w:r>
      <w:r>
        <w:rPr>
          <w:szCs w:val="20"/>
        </w:rPr>
        <w:t>ale, rapport fait au nom de la C</w:t>
      </w:r>
      <w:r w:rsidRPr="00E72418">
        <w:rPr>
          <w:szCs w:val="20"/>
        </w:rPr>
        <w:t xml:space="preserve">ommission de la Justice, Ch. repr., </w:t>
      </w:r>
      <w:r w:rsidRPr="00E72418">
        <w:rPr>
          <w:i/>
          <w:szCs w:val="20"/>
        </w:rPr>
        <w:t>Doc. parl.</w:t>
      </w:r>
      <w:r w:rsidRPr="00E72418">
        <w:rPr>
          <w:szCs w:val="20"/>
        </w:rPr>
        <w:t xml:space="preserve">, 2014-2015, doc. 54 1241/005, p. 7. Sur cette exigence d’autorisation à solliciter préalablement à toute mesure de contrainte reprise notamment dans la législation anti-fonds spéculatifs française, voyez </w:t>
      </w:r>
      <w:r w:rsidRPr="00E72418">
        <w:rPr>
          <w:i/>
          <w:szCs w:val="20"/>
        </w:rPr>
        <w:t>infra</w:t>
      </w:r>
      <w:r w:rsidRPr="00E72418">
        <w:rPr>
          <w:szCs w:val="20"/>
        </w:rPr>
        <w:t xml:space="preserve"> n° 370. </w:t>
      </w:r>
    </w:p>
  </w:footnote>
  <w:footnote w:id="1106">
    <w:p w14:paraId="4777CDA6" w14:textId="16432261" w:rsidR="0030147D" w:rsidRPr="00E72418" w:rsidRDefault="0030147D" w:rsidP="00885AE6">
      <w:pPr>
        <w:pStyle w:val="Sansinterligne"/>
      </w:pPr>
      <w:r w:rsidRPr="00E72418">
        <w:rPr>
          <w:rStyle w:val="Appelnotedebasdep"/>
        </w:rPr>
        <w:footnoteRef/>
      </w:r>
      <w:r w:rsidRPr="00E72418">
        <w:t xml:space="preserve"> Voyez toutefois l’article 1610(d) en ce qui concerne la possibilité d’éventuelles mesures antérieures au jugement.</w:t>
      </w:r>
    </w:p>
  </w:footnote>
  <w:footnote w:id="1107">
    <w:p w14:paraId="256D231B" w14:textId="77777777" w:rsidR="0030147D" w:rsidRPr="00E72418" w:rsidRDefault="0030147D" w:rsidP="00F02D1D">
      <w:pPr>
        <w:pStyle w:val="Sansinterligne"/>
        <w:rPr>
          <w:szCs w:val="20"/>
        </w:rPr>
      </w:pPr>
      <w:r w:rsidRPr="00E72418">
        <w:rPr>
          <w:rStyle w:val="Appelnotedebasdep"/>
          <w:szCs w:val="20"/>
        </w:rPr>
        <w:footnoteRef/>
      </w:r>
      <w:r w:rsidRPr="00E72418">
        <w:rPr>
          <w:szCs w:val="20"/>
        </w:rPr>
        <w:t xml:space="preserve"> C.I.J., 3 février 2012, </w:t>
      </w:r>
      <w:r w:rsidRPr="00E72418">
        <w:rPr>
          <w:i/>
          <w:szCs w:val="20"/>
        </w:rPr>
        <w:t>Immunités juridictionnelles de l’État (Allemagne c. Italie ; Grèce (intervenant))</w:t>
      </w:r>
      <w:r w:rsidRPr="00E72418">
        <w:rPr>
          <w:szCs w:val="20"/>
        </w:rPr>
        <w:t>, arrêt, C.I.J. recueil 2012, point 118.</w:t>
      </w:r>
    </w:p>
  </w:footnote>
  <w:footnote w:id="1108">
    <w:p w14:paraId="042D12BD" w14:textId="40A8E2C3" w:rsidR="0030147D" w:rsidRPr="00E72418" w:rsidRDefault="0030147D" w:rsidP="004662CD">
      <w:pPr>
        <w:pStyle w:val="Sansinterligne"/>
      </w:pPr>
      <w:r w:rsidRPr="00E72418">
        <w:rPr>
          <w:rStyle w:val="Appelnotedebasdep"/>
        </w:rPr>
        <w:footnoteRef/>
      </w:r>
      <w:r w:rsidRPr="00E72418">
        <w:rPr>
          <w:vertAlign w:val="superscript"/>
        </w:rPr>
        <w:t xml:space="preserve"> </w:t>
      </w:r>
      <w:r w:rsidRPr="00E72418">
        <w:t xml:space="preserve">Voyez P. </w:t>
      </w:r>
      <w:r w:rsidRPr="00E72418">
        <w:rPr>
          <w:smallCaps/>
        </w:rPr>
        <w:t>d</w:t>
      </w:r>
      <w:r w:rsidRPr="00E72418">
        <w:t>’</w:t>
      </w:r>
      <w:r w:rsidRPr="00E72418">
        <w:rPr>
          <w:smallCaps/>
        </w:rPr>
        <w:t>Argent</w:t>
      </w:r>
      <w:r w:rsidRPr="00E72418">
        <w:t xml:space="preserve">, « L’immunité de juridiction des </w:t>
      </w:r>
      <w:r w:rsidRPr="00E72418">
        <w:rPr>
          <w:rFonts w:ascii="Times New Roman" w:hAnsi="Times New Roman" w:cs="Times New Roman"/>
          <w:lang w:eastAsia="fr-BE"/>
        </w:rPr>
        <w:t>É</w:t>
      </w:r>
      <w:r w:rsidRPr="00E72418">
        <w:t xml:space="preserve">tats étrangers: une question de contexte », </w:t>
      </w:r>
      <w:r w:rsidRPr="00E72418">
        <w:rPr>
          <w:i/>
        </w:rPr>
        <w:t>R.C.J.B.</w:t>
      </w:r>
      <w:r w:rsidRPr="00E72418">
        <w:t xml:space="preserve">, 2018, p. 31 : « l’action “commerçante” de l’État est entourée de tellement de particularités juridiques qu’il est très artificiel de l’assimiler complètement à l’activité d’une partie privée agissant en cette dernière qualité : l’État ne peut être mis en faillite </w:t>
      </w:r>
      <w:r w:rsidRPr="00E72418">
        <w:rPr>
          <w:rFonts w:ascii="Times New Roman" w:hAnsi="Times New Roman"/>
        </w:rPr>
        <w:t>[…]</w:t>
      </w:r>
      <w:r w:rsidRPr="00E72418">
        <w:t xml:space="preserve">, ses dettes passent de génération en génération, même si elles découlent de transactions commerciales régies par le droit privé </w:t>
      </w:r>
      <w:r w:rsidRPr="00E72418">
        <w:rPr>
          <w:rFonts w:ascii="Times New Roman" w:hAnsi="Times New Roman"/>
        </w:rPr>
        <w:t xml:space="preserve">[…] </w:t>
      </w:r>
      <w:r w:rsidRPr="00E72418">
        <w:t>».</w:t>
      </w:r>
    </w:p>
  </w:footnote>
  <w:footnote w:id="1109">
    <w:p w14:paraId="66E89587" w14:textId="317C49A0"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Voyez également l’article 21 qui liste des catégories de biens n’étant pas considérés comme des biens spécifiquement utilisés ou destinés à être utilisés par l’État autrement qu’à des fins de service public non commerciales.</w:t>
      </w:r>
    </w:p>
  </w:footnote>
  <w:footnote w:id="1110">
    <w:p w14:paraId="03BD4A44" w14:textId="0CC65D41" w:rsidR="0030147D" w:rsidRPr="00E72418" w:rsidRDefault="0030147D" w:rsidP="00E77585">
      <w:pPr>
        <w:pStyle w:val="Sansinterligne"/>
        <w:rPr>
          <w:szCs w:val="20"/>
        </w:rPr>
      </w:pPr>
      <w:r w:rsidRPr="00E72418">
        <w:rPr>
          <w:rStyle w:val="Appelnotedebasdep"/>
          <w:szCs w:val="20"/>
        </w:rPr>
        <w:footnoteRef/>
      </w:r>
      <w:r w:rsidRPr="00E72418">
        <w:rPr>
          <w:szCs w:val="20"/>
        </w:rPr>
        <w:t xml:space="preserve"> L’exception commerciale à l’immunité d’exécution est reprise pour les seules mesures de contrainte postérieures au jugement. L’article 18 de la Convention consacré aux mesures de contrainte antérieures au jugement, visant uniquement le cas du consentement de l’État et le cas de la réservation ou de l’affectation de biens, ne reprend pas cette exception.</w:t>
      </w:r>
    </w:p>
  </w:footnote>
  <w:footnote w:id="1111">
    <w:p w14:paraId="0FD6CD9A" w14:textId="668FEE46"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w:t>
      </w:r>
      <w:r w:rsidRPr="00E72418">
        <w:rPr>
          <w:smallCaps/>
          <w:szCs w:val="20"/>
        </w:rPr>
        <w:t>F. Dopagne</w:t>
      </w:r>
      <w:r w:rsidRPr="00E72418">
        <w:rPr>
          <w:szCs w:val="20"/>
        </w:rPr>
        <w:t>, « L’immunité de saisie des biens de l’</w:t>
      </w:r>
      <w:r w:rsidRPr="00E72418">
        <w:rPr>
          <w:szCs w:val="20"/>
          <w:lang w:eastAsia="fr-BE"/>
        </w:rPr>
        <w:t>É</w:t>
      </w:r>
      <w:r w:rsidRPr="00E72418">
        <w:rPr>
          <w:szCs w:val="20"/>
        </w:rPr>
        <w:t>tat étranger et de l’organisation internationale : notes sur l’article 1412</w:t>
      </w:r>
      <w:r w:rsidRPr="00E72418">
        <w:rPr>
          <w:i/>
          <w:szCs w:val="20"/>
        </w:rPr>
        <w:t>quinquies</w:t>
      </w:r>
      <w:r w:rsidRPr="00E72418">
        <w:rPr>
          <w:szCs w:val="20"/>
        </w:rPr>
        <w:t xml:space="preserve"> du Code judiciaire », </w:t>
      </w:r>
      <w:r w:rsidRPr="00E72418">
        <w:rPr>
          <w:i/>
          <w:szCs w:val="20"/>
        </w:rPr>
        <w:t>op. cit.</w:t>
      </w:r>
      <w:r w:rsidRPr="00E72418">
        <w:rPr>
          <w:szCs w:val="20"/>
        </w:rPr>
        <w:t>, p. 60.</w:t>
      </w:r>
    </w:p>
  </w:footnote>
  <w:footnote w:id="1112">
    <w:p w14:paraId="3E9A3794" w14:textId="77777777"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Annexe à la Convention des Nations Unies sur les immunités juridictionnelles des États et de leurs biens </w:t>
      </w:r>
      <w:r w:rsidRPr="00E72418">
        <w:rPr>
          <w:b/>
          <w:szCs w:val="20"/>
        </w:rPr>
        <w:t xml:space="preserve">– </w:t>
      </w:r>
      <w:r w:rsidRPr="00E72418">
        <w:rPr>
          <w:szCs w:val="20"/>
        </w:rPr>
        <w:t xml:space="preserve">Points convenus en ce qui concerne la compréhension de certaines dispositions de la Convention. </w:t>
      </w:r>
    </w:p>
  </w:footnote>
  <w:footnote w:id="1113">
    <w:p w14:paraId="3D53102B" w14:textId="0297C241"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Sur les conséquences de cette précision en ce qui concerne les missions diplomatiques et leurs biens, voyez </w:t>
      </w:r>
      <w:r w:rsidRPr="00E72418">
        <w:rPr>
          <w:i/>
          <w:szCs w:val="20"/>
        </w:rPr>
        <w:t>infra</w:t>
      </w:r>
      <w:r w:rsidRPr="00E72418">
        <w:rPr>
          <w:szCs w:val="20"/>
        </w:rPr>
        <w:t xml:space="preserve"> n° 229.</w:t>
      </w:r>
    </w:p>
  </w:footnote>
  <w:footnote w:id="1114">
    <w:p w14:paraId="36A00E93" w14:textId="7FF4C6F7" w:rsidR="0030147D" w:rsidRPr="00E72418" w:rsidRDefault="0030147D" w:rsidP="00B24417">
      <w:pPr>
        <w:pStyle w:val="Sansinterligne"/>
        <w:rPr>
          <w:szCs w:val="20"/>
        </w:rPr>
      </w:pPr>
      <w:r w:rsidRPr="00E72418">
        <w:rPr>
          <w:rStyle w:val="Appelnotedebasdep"/>
          <w:szCs w:val="20"/>
        </w:rPr>
        <w:footnoteRef/>
      </w:r>
      <w:r w:rsidRPr="00E72418">
        <w:rPr>
          <w:szCs w:val="20"/>
        </w:rPr>
        <w:t xml:space="preserve"> Notons que la jurisprudence belge appliquait déjà cette limite à l’insaisissabilité des biens des États étrangers (voyez notamment </w:t>
      </w:r>
      <w:r w:rsidRPr="00E72418">
        <w:rPr>
          <w:smallCaps/>
          <w:szCs w:val="20"/>
        </w:rPr>
        <w:t>P. d’Argent</w:t>
      </w:r>
      <w:r w:rsidRPr="00E72418">
        <w:rPr>
          <w:szCs w:val="20"/>
        </w:rPr>
        <w:t xml:space="preserve">, « Jurisprudence belge relative au droit international public (2008-2011), </w:t>
      </w:r>
      <w:r w:rsidRPr="00E72418">
        <w:rPr>
          <w:i/>
        </w:rPr>
        <w:t>R.B.D.I.</w:t>
      </w:r>
      <w:r w:rsidRPr="00E72418">
        <w:rPr>
          <w:szCs w:val="20"/>
        </w:rPr>
        <w:t>, 2012, p. 309 : « la jurisprudence est acquise au principe de l’immunité d’exécution restreinte »).</w:t>
      </w:r>
    </w:p>
  </w:footnote>
  <w:footnote w:id="1115">
    <w:p w14:paraId="355BE5C9" w14:textId="1B405DCD" w:rsidR="0030147D" w:rsidRPr="00E72418" w:rsidRDefault="0030147D" w:rsidP="00B064E9">
      <w:pPr>
        <w:pStyle w:val="Sansinterligne"/>
        <w:rPr>
          <w:szCs w:val="20"/>
        </w:rPr>
      </w:pPr>
      <w:r w:rsidRPr="00E72418">
        <w:rPr>
          <w:rStyle w:val="Appelnotedebasdep"/>
          <w:szCs w:val="20"/>
        </w:rPr>
        <w:footnoteRef/>
      </w:r>
      <w:r w:rsidRPr="00E72418">
        <w:rPr>
          <w:szCs w:val="20"/>
        </w:rPr>
        <w:t xml:space="preserve"> La Cour constitutionnelle belge conclut à la conformité de la disposition belge avec le droit public international en renvoyant, pour préciser ce dernier, à l’article 19, c) de la Convention des Nations Unies de 2004 et à la coutume internationale telle que constatée notamment par la Cour internationale de Justice dans son arrêt du 3 février 2012 (Cour const., 27 avril 2017, n° 48/2017, points B.17.1. à B.17.3.). Remarquons toutefois que l’article 1412</w:t>
      </w:r>
      <w:r w:rsidRPr="00E72418">
        <w:rPr>
          <w:i/>
          <w:szCs w:val="20"/>
        </w:rPr>
        <w:t>quinquies</w:t>
      </w:r>
      <w:r w:rsidRPr="00E72418">
        <w:rPr>
          <w:szCs w:val="20"/>
        </w:rPr>
        <w:t xml:space="preserve"> du Code judiciaire prévoit l’exception commerciale à l’immunité d’exécution pour toutes les mesures de contrainte envisagées, là où la Convention des Nations Unies la prévoit pour les seules mesures de contrainte postérieures au jugement. Frédéric Dopagne relève que la coutume internationale paraît incertaine en la matière (</w:t>
      </w:r>
      <w:r w:rsidRPr="00E72418">
        <w:rPr>
          <w:smallCaps/>
          <w:szCs w:val="20"/>
        </w:rPr>
        <w:t>F. Dopagne</w:t>
      </w:r>
      <w:r w:rsidRPr="00E72418">
        <w:rPr>
          <w:szCs w:val="20"/>
        </w:rPr>
        <w:t>, « L’immunité de saisie des biens de l’État étranger et de l’organisation internationale : notes sur l’article 1412</w:t>
      </w:r>
      <w:r w:rsidRPr="00E72418">
        <w:rPr>
          <w:i/>
          <w:szCs w:val="20"/>
        </w:rPr>
        <w:t>quinquies</w:t>
      </w:r>
      <w:r w:rsidRPr="00E72418">
        <w:rPr>
          <w:szCs w:val="20"/>
        </w:rPr>
        <w:t xml:space="preserve"> du Code judiciaire », </w:t>
      </w:r>
      <w:r w:rsidRPr="00E72418">
        <w:rPr>
          <w:i/>
          <w:szCs w:val="20"/>
        </w:rPr>
        <w:t>op. cit.</w:t>
      </w:r>
      <w:r w:rsidRPr="00E72418">
        <w:rPr>
          <w:szCs w:val="20"/>
        </w:rPr>
        <w:t xml:space="preserve">, p. 59 qui renvoie à la pratique recensée par </w:t>
      </w:r>
      <w:r w:rsidRPr="00E72418">
        <w:rPr>
          <w:smallCaps/>
          <w:szCs w:val="20"/>
        </w:rPr>
        <w:t>X. Yang</w:t>
      </w:r>
      <w:r w:rsidRPr="00E72418">
        <w:rPr>
          <w:szCs w:val="20"/>
        </w:rPr>
        <w:t xml:space="preserve">, </w:t>
      </w:r>
      <w:r w:rsidRPr="00E72418">
        <w:rPr>
          <w:i/>
          <w:szCs w:val="20"/>
        </w:rPr>
        <w:t>State Immunity in International Law</w:t>
      </w:r>
      <w:r w:rsidRPr="00E72418">
        <w:rPr>
          <w:szCs w:val="20"/>
        </w:rPr>
        <w:t xml:space="preserve">, </w:t>
      </w:r>
      <w:r w:rsidRPr="00E72418">
        <w:rPr>
          <w:i/>
          <w:szCs w:val="20"/>
        </w:rPr>
        <w:t>op. cit.</w:t>
      </w:r>
      <w:r w:rsidRPr="00E72418">
        <w:rPr>
          <w:szCs w:val="20"/>
        </w:rPr>
        <w:t>, pp. 378 à 390).</w:t>
      </w:r>
    </w:p>
  </w:footnote>
  <w:footnote w:id="1116">
    <w:p w14:paraId="218B1555" w14:textId="77777777" w:rsidR="0030147D" w:rsidRPr="00E72418" w:rsidRDefault="0030147D" w:rsidP="00B064E9">
      <w:pPr>
        <w:pStyle w:val="Sansinterligne"/>
        <w:rPr>
          <w:rFonts w:cs="Times"/>
          <w:szCs w:val="20"/>
        </w:rPr>
      </w:pPr>
      <w:r w:rsidRPr="00E72418">
        <w:rPr>
          <w:rStyle w:val="Appelnotedebasdep"/>
          <w:rFonts w:cs="Times"/>
          <w:szCs w:val="20"/>
        </w:rPr>
        <w:footnoteRef/>
      </w:r>
      <w:r w:rsidRPr="00E72418">
        <w:rPr>
          <w:rFonts w:cs="Times"/>
          <w:szCs w:val="20"/>
        </w:rPr>
        <w:t xml:space="preserve"> La disposition précise les modalités lorsque sont concernés les biens d’un État partie à la Convention européenne sur les immunités des États.</w:t>
      </w:r>
    </w:p>
  </w:footnote>
  <w:footnote w:id="1117">
    <w:p w14:paraId="6FBE1207" w14:textId="77777777" w:rsidR="0030147D" w:rsidRPr="00E72418" w:rsidRDefault="0030147D" w:rsidP="00411492">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0"/>
        </w:rPr>
        <w:t>Il est intéressant de remarquer que l</w:t>
      </w:r>
      <w:r w:rsidRPr="00E72418">
        <w:rPr>
          <w:szCs w:val="20"/>
          <w:shd w:val="clear" w:color="auto" w:fill="FFFFFF"/>
        </w:rPr>
        <w:t>’article 13(5) de la législation britannique prévoit que l’</w:t>
      </w:r>
      <w:r w:rsidRPr="00E72418">
        <w:rPr>
          <w:szCs w:val="20"/>
        </w:rPr>
        <w:t>É</w:t>
      </w:r>
      <w:r w:rsidRPr="00E72418">
        <w:rPr>
          <w:szCs w:val="20"/>
          <w:shd w:val="clear" w:color="auto" w:fill="FFFFFF"/>
        </w:rPr>
        <w:t>tat peut préciser, par une déclaration du chef de sa mission diplomatique faisant foi jusqu’à preuve du contraire, que des biens ne sont pas utilisés ou destinés à être utilisés à des fins commerciales.</w:t>
      </w:r>
    </w:p>
  </w:footnote>
  <w:footnote w:id="1118">
    <w:p w14:paraId="69C68090" w14:textId="7A07568D"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w:t>
      </w:r>
      <w:r w:rsidRPr="00E72418">
        <w:rPr>
          <w:szCs w:val="20"/>
        </w:rPr>
        <w:t xml:space="preserve">Dans le cadre du contentieux qui l’opposait à la République du Nicaragua, le fonds </w:t>
      </w:r>
      <w:r w:rsidRPr="00E72418">
        <w:rPr>
          <w:i/>
          <w:szCs w:val="20"/>
        </w:rPr>
        <w:t>LNC Investments Inc.</w:t>
      </w:r>
      <w:r w:rsidRPr="00E72418">
        <w:rPr>
          <w:szCs w:val="20"/>
        </w:rPr>
        <w:t xml:space="preserve"> chercha à faire saisir des taxes payées par d’autres à son débiteur sans que cette tentative ne fut couronnée de succès. Ainsi, la juridiction new-yorkaise fit sien l’argument selon lequel « because taxation is a uniquely governmental activity in which private persons cannot and do not engage, tax revenues are non-commercial in nature and the tax obligations of the Airlines to the Republic are non-commercial property immune from execution and attachment under the FSIA »</w:t>
      </w:r>
      <w:r w:rsidRPr="00E72418">
        <w:rPr>
          <w:szCs w:val="20"/>
          <w:lang w:val="en-US"/>
        </w:rPr>
        <w:t xml:space="preserve"> (United States District Court for the Southern District of New York (EUA), 8 juin 2000, </w:t>
      </w:r>
      <w:r w:rsidRPr="00E72418">
        <w:rPr>
          <w:i/>
          <w:szCs w:val="20"/>
          <w:lang w:val="en-US"/>
        </w:rPr>
        <w:t>LNC Investments., Inc. v. The Republic of Nicaragua</w:t>
      </w:r>
      <w:r w:rsidRPr="00E72418">
        <w:rPr>
          <w:rStyle w:val="injectednode"/>
          <w:szCs w:val="20"/>
          <w:lang w:val="en-US"/>
        </w:rPr>
        <w:t xml:space="preserve">, </w:t>
      </w:r>
      <w:r w:rsidRPr="00E72418">
        <w:rPr>
          <w:szCs w:val="20"/>
          <w:lang w:val="en-US"/>
        </w:rPr>
        <w:t xml:space="preserve">2000 WL 745550, </w:t>
      </w:r>
      <w:r w:rsidRPr="00E72418">
        <w:rPr>
          <w:lang w:val="en-US"/>
        </w:rPr>
        <w:t>paragraphe 5</w:t>
      </w:r>
      <w:r w:rsidRPr="00E72418">
        <w:rPr>
          <w:szCs w:val="20"/>
          <w:lang w:val="en-US"/>
        </w:rPr>
        <w:t>).</w:t>
      </w:r>
    </w:p>
  </w:footnote>
  <w:footnote w:id="1119">
    <w:p w14:paraId="7F3F1569" w14:textId="35B1F729"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Comme le relève Jonathan Lippert, « [s]atisfying the section 1610 exceptions for execution is a very difficult task, especially establishing a link between attachable commercial property and the underlying claim » (</w:t>
      </w:r>
      <w:r w:rsidRPr="00E72418">
        <w:rPr>
          <w:smallCaps/>
          <w:szCs w:val="20"/>
          <w:lang w:val="en-US"/>
        </w:rPr>
        <w:t>J. Lippert</w:t>
      </w:r>
      <w:r w:rsidRPr="00E72418">
        <w:rPr>
          <w:szCs w:val="20"/>
          <w:lang w:val="en-US"/>
        </w:rPr>
        <w:t xml:space="preserve">, « Vulture Funds: The Reason Why Congolese Debt May Force a Revision of the Foreign Sovereign Immunities Act », </w:t>
      </w:r>
      <w:r w:rsidRPr="00E72418">
        <w:rPr>
          <w:rFonts w:ascii="Times New Roman" w:hAnsi="Times New Roman" w:cs="Times New Roman"/>
          <w:i/>
          <w:szCs w:val="20"/>
        </w:rPr>
        <w:t>N.Y. Int. Law Rev.</w:t>
      </w:r>
      <w:r w:rsidRPr="00E72418">
        <w:rPr>
          <w:szCs w:val="20"/>
          <w:lang w:val="en-US"/>
        </w:rPr>
        <w:t xml:space="preserve">, 2008, p. 14). </w:t>
      </w:r>
      <w:r w:rsidRPr="00E72418">
        <w:rPr>
          <w:szCs w:val="20"/>
        </w:rPr>
        <w:t xml:space="preserve">Pour Chin Lim encore, cette « specialty requirement that the property is or was used for the commercial activity upon which the claim is based </w:t>
      </w:r>
      <w:r w:rsidRPr="00E72418">
        <w:rPr>
          <w:rFonts w:ascii="Times New Roman" w:hAnsi="Times New Roman" w:cs="Times New Roman"/>
          <w:szCs w:val="20"/>
        </w:rPr>
        <w:t>[…]</w:t>
      </w:r>
      <w:r w:rsidRPr="00E72418">
        <w:rPr>
          <w:szCs w:val="20"/>
        </w:rPr>
        <w:t xml:space="preserve"> serves, in effect, as an anti-vulture fund clause »</w:t>
      </w:r>
      <w:r w:rsidRPr="00E72418">
        <w:rPr>
          <w:szCs w:val="20"/>
          <w:lang w:val="en-US"/>
        </w:rPr>
        <w:t xml:space="preserve"> (</w:t>
      </w:r>
      <w:r w:rsidRPr="00E72418">
        <w:rPr>
          <w:smallCaps/>
          <w:szCs w:val="20"/>
          <w:lang w:val="en-US"/>
        </w:rPr>
        <w:t>C. Lim</w:t>
      </w:r>
      <w:r w:rsidRPr="00E72418">
        <w:rPr>
          <w:szCs w:val="20"/>
          <w:lang w:val="en-US"/>
        </w:rPr>
        <w:t xml:space="preserve">, « Worldwide litigation over foreign sovereign assets », </w:t>
      </w:r>
      <w:r w:rsidRPr="00E72418">
        <w:rPr>
          <w:i/>
          <w:szCs w:val="20"/>
          <w:lang w:val="en-US"/>
        </w:rPr>
        <w:t>op. cit.</w:t>
      </w:r>
      <w:r w:rsidRPr="00E72418">
        <w:rPr>
          <w:szCs w:val="20"/>
          <w:lang w:val="en-US"/>
        </w:rPr>
        <w:t>, p. 160).</w:t>
      </w:r>
    </w:p>
  </w:footnote>
  <w:footnote w:id="1120">
    <w:p w14:paraId="32255C13" w14:textId="1B6C209D"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L’article 69(a)(2) des </w:t>
      </w:r>
      <w:r w:rsidRPr="00E72418">
        <w:rPr>
          <w:i/>
          <w:szCs w:val="20"/>
          <w:lang w:val="en-US"/>
        </w:rPr>
        <w:t>Federal Rules of Civil Procedure</w:t>
      </w:r>
      <w:r w:rsidRPr="00E72418">
        <w:rPr>
          <w:szCs w:val="20"/>
          <w:lang w:val="en-US"/>
        </w:rPr>
        <w:t xml:space="preserve"> étatsuniennes permet au créancier d’obtenir des informations utiles à l’exécution de la part du débiteur mais également de la part de tiers (« [i]n aid of the judgment or execution, the judgment creditor or a successor in interest whose interest appears of record may obtain discovery from any person </w:t>
      </w:r>
      <w:r w:rsidRPr="00E72418">
        <w:rPr>
          <w:b/>
          <w:szCs w:val="20"/>
        </w:rPr>
        <w:t xml:space="preserve">– </w:t>
      </w:r>
      <w:r w:rsidRPr="00E72418">
        <w:rPr>
          <w:szCs w:val="20"/>
          <w:lang w:val="en-US"/>
        </w:rPr>
        <w:t xml:space="preserve">including the judgment debtor </w:t>
      </w:r>
      <w:r w:rsidRPr="00E72418">
        <w:rPr>
          <w:b/>
          <w:szCs w:val="20"/>
        </w:rPr>
        <w:t xml:space="preserve">– </w:t>
      </w:r>
      <w:r w:rsidRPr="00E72418">
        <w:rPr>
          <w:szCs w:val="20"/>
          <w:lang w:val="en-US"/>
        </w:rPr>
        <w:t>as provided in these rules or by the procedure of the state where the court is located »).</w:t>
      </w:r>
    </w:p>
  </w:footnote>
  <w:footnote w:id="1121">
    <w:p w14:paraId="5E4A135A" w14:textId="0939CA3B"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United States Court of Appeals for the Second Circuit (EUA), </w:t>
      </w:r>
      <w:r w:rsidRPr="00E72418">
        <w:rPr>
          <w:rStyle w:val="Appelnotedebasdep"/>
          <w:szCs w:val="20"/>
          <w:vertAlign w:val="baseline"/>
          <w:lang w:val="en-US"/>
        </w:rPr>
        <w:t xml:space="preserve">20 août 2012, </w:t>
      </w:r>
      <w:r w:rsidRPr="00E72418">
        <w:rPr>
          <w:i/>
          <w:szCs w:val="20"/>
          <w:lang w:val="en-US"/>
        </w:rPr>
        <w:t>EM Ltd. v. Republic of Argentina</w:t>
      </w:r>
      <w:r w:rsidRPr="00E72418">
        <w:rPr>
          <w:rStyle w:val="Appelnotedebasdep"/>
          <w:szCs w:val="20"/>
          <w:vertAlign w:val="baseline"/>
          <w:lang w:val="en-US"/>
        </w:rPr>
        <w:t>, 695 F.3d 201</w:t>
      </w:r>
      <w:r w:rsidRPr="00E72418">
        <w:rPr>
          <w:szCs w:val="20"/>
          <w:lang w:val="en-US"/>
        </w:rPr>
        <w:t xml:space="preserve"> (</w:t>
      </w:r>
      <w:r w:rsidRPr="00E72418">
        <w:rPr>
          <w:rStyle w:val="Appelnotedebasdep"/>
          <w:szCs w:val="20"/>
          <w:vertAlign w:val="baseline"/>
          <w:lang w:val="en-US"/>
        </w:rPr>
        <w:t xml:space="preserve">appel de </w:t>
      </w:r>
      <w:r w:rsidRPr="00E72418">
        <w:rPr>
          <w:szCs w:val="20"/>
          <w:lang w:val="en-US"/>
        </w:rPr>
        <w:t xml:space="preserve">United States District Court for the Southern District of New York (EUA), 2 septembre 2011, </w:t>
      </w:r>
      <w:r w:rsidRPr="00E72418">
        <w:rPr>
          <w:i/>
          <w:szCs w:val="20"/>
          <w:lang w:val="en-US"/>
        </w:rPr>
        <w:t>NML Capital Ltd. v. Republic of Argentina</w:t>
      </w:r>
      <w:r w:rsidRPr="00E72418">
        <w:rPr>
          <w:szCs w:val="20"/>
          <w:lang w:val="en-US"/>
        </w:rPr>
        <w:t xml:space="preserve">, </w:t>
      </w:r>
      <w:r w:rsidRPr="00E72418">
        <w:t>2011 WL 3897828).</w:t>
      </w:r>
    </w:p>
  </w:footnote>
  <w:footnote w:id="1122">
    <w:p w14:paraId="5AD5445A" w14:textId="5B6081E4"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M. Mauro</w:t>
      </w:r>
      <w:r w:rsidRPr="00E72418">
        <w:rPr>
          <w:szCs w:val="20"/>
          <w:lang w:val="en-US"/>
        </w:rPr>
        <w:t xml:space="preserve">, « Sovereign Default and Litigation: </w:t>
      </w:r>
      <w:r w:rsidRPr="00E72418">
        <w:rPr>
          <w:i/>
          <w:szCs w:val="20"/>
          <w:lang w:val="en-US"/>
        </w:rPr>
        <w:t>NML Capital v. Argentina</w:t>
      </w:r>
      <w:r w:rsidRPr="00E72418">
        <w:rPr>
          <w:szCs w:val="20"/>
          <w:lang w:val="en-US"/>
        </w:rPr>
        <w:t xml:space="preserve"> », </w:t>
      </w:r>
      <w:r w:rsidRPr="00E72418">
        <w:rPr>
          <w:i/>
          <w:szCs w:val="20"/>
          <w:lang w:val="en-US"/>
        </w:rPr>
        <w:t>op. cit.</w:t>
      </w:r>
      <w:r w:rsidRPr="00E72418">
        <w:rPr>
          <w:szCs w:val="20"/>
          <w:lang w:val="en-US"/>
        </w:rPr>
        <w:t xml:space="preserve">, p. 253. Le </w:t>
      </w:r>
      <w:r w:rsidRPr="00E72418">
        <w:rPr>
          <w:i/>
          <w:szCs w:val="20"/>
          <w:lang w:val="en-US"/>
        </w:rPr>
        <w:t>State Immunity Act</w:t>
      </w:r>
      <w:r w:rsidRPr="00E72418">
        <w:rPr>
          <w:szCs w:val="20"/>
          <w:lang w:val="en-US"/>
        </w:rPr>
        <w:t xml:space="preserve"> b</w:t>
      </w:r>
      <w:r w:rsidRPr="00E72418">
        <w:rPr>
          <w:rStyle w:val="injectednode"/>
          <w:szCs w:val="20"/>
          <w:lang w:val="en-US"/>
        </w:rPr>
        <w:t>ritannique dispose quant à lui en son article 13(1) que «</w:t>
      </w:r>
      <w:r w:rsidRPr="00E72418">
        <w:rPr>
          <w:szCs w:val="20"/>
          <w:lang w:val="en-US"/>
        </w:rPr>
        <w:t xml:space="preserve"> [n]o penalty by way of committal or fine shall be imposed in respect of any failure or refusal by or on behalf of a State to disclose or produce any document or other information for the purposes of proceedings to which it is a party </w:t>
      </w:r>
      <w:r w:rsidRPr="00E72418">
        <w:rPr>
          <w:rStyle w:val="injectednode"/>
          <w:szCs w:val="20"/>
          <w:lang w:val="en-US"/>
        </w:rPr>
        <w:t>».</w:t>
      </w:r>
    </w:p>
  </w:footnote>
  <w:footnote w:id="1123">
    <w:p w14:paraId="42AC16AC" w14:textId="77777777"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United States Court of Appeals for the Second Circuit (EUA), </w:t>
      </w:r>
      <w:r w:rsidRPr="00E72418">
        <w:rPr>
          <w:rStyle w:val="Appelnotedebasdep"/>
          <w:szCs w:val="20"/>
          <w:vertAlign w:val="baseline"/>
          <w:lang w:val="en-US"/>
        </w:rPr>
        <w:t xml:space="preserve">20 août 2012, </w:t>
      </w:r>
      <w:r w:rsidRPr="00E72418">
        <w:rPr>
          <w:i/>
          <w:szCs w:val="20"/>
          <w:lang w:val="en-US"/>
        </w:rPr>
        <w:t>EM Ltd. v. Republic of Argentina</w:t>
      </w:r>
      <w:r w:rsidRPr="00E72418">
        <w:rPr>
          <w:rStyle w:val="Appelnotedebasdep"/>
          <w:szCs w:val="20"/>
          <w:vertAlign w:val="baseline"/>
          <w:lang w:val="en-US"/>
        </w:rPr>
        <w:t>, 695 F.3d 201, p. 203.</w:t>
      </w:r>
    </w:p>
  </w:footnote>
  <w:footnote w:id="1124">
    <w:p w14:paraId="5EEEA67D" w14:textId="402A7BF3" w:rsidR="0030147D" w:rsidRPr="00E72418" w:rsidRDefault="0030147D" w:rsidP="003D036A">
      <w:pPr>
        <w:pStyle w:val="Sansinterligne"/>
        <w:rPr>
          <w:szCs w:val="20"/>
        </w:rPr>
      </w:pPr>
      <w:r w:rsidRPr="00E72418">
        <w:rPr>
          <w:rStyle w:val="Appelnotedebasdep"/>
          <w:szCs w:val="20"/>
        </w:rPr>
        <w:footnoteRef/>
      </w:r>
      <w:r w:rsidRPr="00E72418">
        <w:rPr>
          <w:szCs w:val="20"/>
        </w:rPr>
        <w:t xml:space="preserve"> </w:t>
      </w:r>
      <w:r w:rsidRPr="00E72418">
        <w:rPr>
          <w:szCs w:val="20"/>
          <w:lang w:val="en-US"/>
        </w:rPr>
        <w:t xml:space="preserve">Supreme Court of the United States (EUA), 16 juin 2014, </w:t>
      </w:r>
      <w:r w:rsidRPr="00E72418">
        <w:rPr>
          <w:i/>
          <w:szCs w:val="20"/>
          <w:lang w:val="en-US"/>
        </w:rPr>
        <w:t>Republic of Argentina v. NML Capital Ltd</w:t>
      </w:r>
      <w:r w:rsidRPr="00E72418">
        <w:rPr>
          <w:szCs w:val="20"/>
          <w:lang w:val="en-US"/>
        </w:rPr>
        <w:t xml:space="preserve">, 134 S. Ct. 2250, p. 2252. </w:t>
      </w:r>
      <w:r w:rsidRPr="00E72418">
        <w:rPr>
          <w:rStyle w:val="injectednode"/>
          <w:rFonts w:cs="Times"/>
          <w:szCs w:val="20"/>
          <w:bdr w:val="none" w:sz="0" w:space="0" w:color="auto" w:frame="1"/>
        </w:rPr>
        <w:t xml:space="preserve">La Cour ajouta que </w:t>
      </w:r>
      <w:r w:rsidRPr="00E72418">
        <w:rPr>
          <w:szCs w:val="20"/>
        </w:rPr>
        <w:t xml:space="preserve">« [f]ar from containing the “plain statement” necessary to preclude application of federal discovery rules, […] the Act says not a word about postjudgment discovery in aid of execution </w:t>
      </w:r>
      <w:r w:rsidRPr="00E72418">
        <w:rPr>
          <w:rStyle w:val="injectednode"/>
          <w:rFonts w:cs="Times"/>
          <w:szCs w:val="20"/>
          <w:bdr w:val="none" w:sz="0" w:space="0" w:color="auto" w:frame="1"/>
        </w:rPr>
        <w:t>». Comme le remarque Eloïse Glucksmann, « </w:t>
      </w:r>
      <w:r w:rsidRPr="00E72418">
        <w:rPr>
          <w:szCs w:val="20"/>
        </w:rPr>
        <w:t>[l]</w:t>
      </w:r>
      <w:r w:rsidRPr="00E72418">
        <w:t xml:space="preserve">a Cour distingue </w:t>
      </w:r>
      <w:r w:rsidRPr="00E72418">
        <w:rPr>
          <w:szCs w:val="20"/>
        </w:rPr>
        <w:t xml:space="preserve">[…] </w:t>
      </w:r>
      <w:r w:rsidRPr="00E72418">
        <w:t xml:space="preserve">la phase de l’instruction de celle de l’exécution, et déduit du silence du FSIA qu’il n’existe, au stade de l’instruction, aucune limitation tenant au droit des immunités juridictionnelles </w:t>
      </w:r>
      <w:r w:rsidRPr="00E72418">
        <w:rPr>
          <w:rStyle w:val="injectednode"/>
          <w:rFonts w:cs="Times"/>
          <w:szCs w:val="20"/>
          <w:bdr w:val="none" w:sz="0" w:space="0" w:color="auto" w:frame="1"/>
        </w:rPr>
        <w:t xml:space="preserve">» (E. </w:t>
      </w:r>
      <w:r w:rsidRPr="00E72418">
        <w:rPr>
          <w:rStyle w:val="injectednode"/>
          <w:rFonts w:cs="Times"/>
          <w:smallCaps/>
          <w:szCs w:val="20"/>
          <w:bdr w:val="none" w:sz="0" w:space="0" w:color="auto" w:frame="1"/>
        </w:rPr>
        <w:t>Glucksmann</w:t>
      </w:r>
      <w:r w:rsidRPr="00E72418">
        <w:rPr>
          <w:rStyle w:val="injectednode"/>
          <w:rFonts w:cs="Times"/>
          <w:szCs w:val="20"/>
          <w:bdr w:val="none" w:sz="0" w:space="0" w:color="auto" w:frame="1"/>
        </w:rPr>
        <w:t>, « </w:t>
      </w:r>
      <w:r w:rsidRPr="00E72418">
        <w:t xml:space="preserve">L’affirmation de la protection des biens des États étrangers destinés aux missions diplomatiques, l’apport de la loi Sapin 2 </w:t>
      </w:r>
      <w:r w:rsidRPr="00E72418">
        <w:rPr>
          <w:rStyle w:val="injectednode"/>
          <w:rFonts w:cs="Times"/>
          <w:szCs w:val="20"/>
          <w:bdr w:val="none" w:sz="0" w:space="0" w:color="auto" w:frame="1"/>
        </w:rPr>
        <w:t xml:space="preserve">», </w:t>
      </w:r>
      <w:r w:rsidRPr="00E72418">
        <w:rPr>
          <w:i/>
          <w:szCs w:val="20"/>
        </w:rPr>
        <w:t>R.D.I.A.</w:t>
      </w:r>
      <w:r w:rsidRPr="00E72418">
        <w:rPr>
          <w:szCs w:val="20"/>
        </w:rPr>
        <w:t xml:space="preserve">, 2018, </w:t>
      </w:r>
      <w:r w:rsidRPr="00E72418">
        <w:rPr>
          <w:rStyle w:val="injectednode"/>
          <w:rFonts w:cs="Times"/>
          <w:szCs w:val="20"/>
          <w:bdr w:val="none" w:sz="0" w:space="0" w:color="auto" w:frame="1"/>
        </w:rPr>
        <w:t>p. 312).</w:t>
      </w:r>
    </w:p>
  </w:footnote>
  <w:footnote w:id="1125">
    <w:p w14:paraId="0475F9BB" w14:textId="77777777"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Supreme Court of the United States (EUA), 16 juin 2014, </w:t>
      </w:r>
      <w:r w:rsidRPr="00E72418">
        <w:rPr>
          <w:i/>
          <w:szCs w:val="20"/>
          <w:lang w:val="en-US"/>
        </w:rPr>
        <w:t>Republic of Argentina v. NML Capital Ltd</w:t>
      </w:r>
      <w:r w:rsidRPr="00E72418">
        <w:rPr>
          <w:szCs w:val="20"/>
          <w:lang w:val="en-US"/>
        </w:rPr>
        <w:t>, 134 S. Ct. 2250, holding.</w:t>
      </w:r>
    </w:p>
  </w:footnote>
  <w:footnote w:id="1126">
    <w:p w14:paraId="3CFA3920" w14:textId="0A881050"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La décision de la Cour suprême est utile aux créanciers de débiteurs souverains dans la mesure où, comme l’indique Chin Lim, « the latitude afforded by NML allows information on foreign sovereign assets outside the United States to be obtained through United States courts for attachment proceedings abroad under a foreign nation’s (foreign sovereign immunity) rules </w:t>
      </w:r>
      <w:r w:rsidRPr="00E72418">
        <w:rPr>
          <w:rStyle w:val="injectednode"/>
          <w:szCs w:val="20"/>
          <w:lang w:val="en-US"/>
        </w:rPr>
        <w:t>»</w:t>
      </w:r>
      <w:r w:rsidRPr="00E72418">
        <w:rPr>
          <w:szCs w:val="20"/>
          <w:lang w:val="en-US"/>
        </w:rPr>
        <w:t xml:space="preserve"> (</w:t>
      </w:r>
      <w:r w:rsidRPr="00E72418">
        <w:rPr>
          <w:smallCaps/>
          <w:szCs w:val="20"/>
          <w:lang w:val="en-US"/>
        </w:rPr>
        <w:t>C. Lim</w:t>
      </w:r>
      <w:r w:rsidRPr="00E72418">
        <w:rPr>
          <w:szCs w:val="20"/>
          <w:lang w:val="en-US"/>
        </w:rPr>
        <w:t xml:space="preserve">, « Worldwide litigation over foreign sovereign assets », </w:t>
      </w:r>
      <w:r w:rsidRPr="00E72418">
        <w:rPr>
          <w:i/>
          <w:szCs w:val="20"/>
          <w:lang w:val="en-US"/>
        </w:rPr>
        <w:t>op. cit.</w:t>
      </w:r>
      <w:r w:rsidRPr="00E72418">
        <w:rPr>
          <w:szCs w:val="20"/>
          <w:lang w:val="en-US"/>
        </w:rPr>
        <w:t xml:space="preserve">, p. 160). Cette décision, si elle fut critiquée notamment en ce qu’elle adopte « an acontextual reading of the FSIA’s language to reach an unreasonable result » (voyez K. </w:t>
      </w:r>
      <w:r w:rsidRPr="00E72418">
        <w:rPr>
          <w:rFonts w:cs="Times New Roman"/>
          <w:smallCaps/>
          <w:szCs w:val="24"/>
          <w:lang w:val="en-US"/>
        </w:rPr>
        <w:t>Cross</w:t>
      </w:r>
      <w:r w:rsidRPr="00E72418">
        <w:rPr>
          <w:rFonts w:cs="Times New Roman"/>
          <w:szCs w:val="24"/>
          <w:lang w:val="en-US"/>
        </w:rPr>
        <w:t xml:space="preserve">, « The Extraterritorial Reach of Sovereign Debt Enforcement », </w:t>
      </w:r>
      <w:r w:rsidRPr="00E72418">
        <w:rPr>
          <w:rFonts w:cs="Times New Roman"/>
          <w:i/>
          <w:szCs w:val="24"/>
          <w:lang w:val="en-US"/>
        </w:rPr>
        <w:t>op. cit.</w:t>
      </w:r>
      <w:r w:rsidRPr="00E72418">
        <w:rPr>
          <w:rFonts w:cs="Times New Roman"/>
          <w:szCs w:val="24"/>
          <w:lang w:val="en-US"/>
        </w:rPr>
        <w:t>, p. 115)</w:t>
      </w:r>
      <w:r w:rsidRPr="00E72418">
        <w:rPr>
          <w:szCs w:val="20"/>
          <w:lang w:val="en-US"/>
        </w:rPr>
        <w:t xml:space="preserve">, récolta également des avis positifs comme celui de Ellen Simon et Monty Crawford. Ces derniers avancent que « the Court’s decision to uphold investors’ ability to conduct discovery in aid of judgment promotes those interests by encouraging states to stand by their commercial obligations and upholding a fundamental tenet of international law – the principle of pacta sunt servanda » et que « [d]enying discovery to plaintiffs would make international investment and debt purchases less attractive, more risky, and more expensive by alienating risk-averse investors and resulting in higher interest rates for the country’s own citizens » (E. </w:t>
      </w:r>
      <w:r w:rsidRPr="00E72418">
        <w:rPr>
          <w:smallCaps/>
          <w:szCs w:val="20"/>
          <w:lang w:val="en-US"/>
        </w:rPr>
        <w:t xml:space="preserve">Simon </w:t>
      </w:r>
      <w:r w:rsidRPr="00E72418">
        <w:rPr>
          <w:szCs w:val="20"/>
          <w:lang w:val="en-US"/>
        </w:rPr>
        <w:t xml:space="preserve">et </w:t>
      </w:r>
      <w:r w:rsidRPr="00E72418">
        <w:rPr>
          <w:smallCaps/>
          <w:szCs w:val="20"/>
          <w:lang w:val="en-US"/>
        </w:rPr>
        <w:t>Q. Crawford</w:t>
      </w:r>
      <w:r w:rsidRPr="00E72418">
        <w:rPr>
          <w:szCs w:val="20"/>
          <w:lang w:val="en-US"/>
        </w:rPr>
        <w:t xml:space="preserve">, « </w:t>
      </w:r>
      <w:r w:rsidRPr="00E72418">
        <w:rPr>
          <w:rFonts w:cs="Times New Roman"/>
          <w:szCs w:val="24"/>
          <w:lang w:val="en-US"/>
        </w:rPr>
        <w:t xml:space="preserve">The Impact of </w:t>
      </w:r>
      <w:r w:rsidRPr="00E72418">
        <w:rPr>
          <w:rFonts w:cs="Times New Roman"/>
          <w:i/>
          <w:szCs w:val="24"/>
          <w:lang w:val="en-US"/>
        </w:rPr>
        <w:t>Republic of Argentina v. NML Capital, Ltd.</w:t>
      </w:r>
      <w:r w:rsidRPr="00E72418">
        <w:rPr>
          <w:rFonts w:cs="Times New Roman"/>
          <w:szCs w:val="24"/>
          <w:lang w:val="en-US"/>
        </w:rPr>
        <w:t xml:space="preserve">: Why the Supreme Court’s Ruling against Argentina Avoided a Host of Unintended, Negative Consequences </w:t>
      </w:r>
      <w:r w:rsidRPr="00E72418">
        <w:rPr>
          <w:szCs w:val="20"/>
          <w:lang w:val="en-US"/>
        </w:rPr>
        <w:t xml:space="preserve">», </w:t>
      </w:r>
      <w:r w:rsidRPr="00E72418">
        <w:rPr>
          <w:i/>
          <w:szCs w:val="20"/>
          <w:lang w:val="en-US"/>
        </w:rPr>
        <w:t>op. cit.</w:t>
      </w:r>
      <w:r w:rsidRPr="00E72418">
        <w:rPr>
          <w:szCs w:val="20"/>
          <w:lang w:val="en-US"/>
        </w:rPr>
        <w:t>, pp. 65 et 66).</w:t>
      </w:r>
    </w:p>
  </w:footnote>
  <w:footnote w:id="1127">
    <w:p w14:paraId="666E5152" w14:textId="0B4981B5" w:rsidR="0030147D" w:rsidRPr="00E72418" w:rsidRDefault="0030147D" w:rsidP="006D50CA">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Sur cette injonction,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182 et suiv.</w:t>
      </w:r>
    </w:p>
  </w:footnote>
  <w:footnote w:id="1128">
    <w:p w14:paraId="3132A8AE" w14:textId="669332AD" w:rsidR="0030147D" w:rsidRPr="00E72418" w:rsidRDefault="0030147D" w:rsidP="006D50CA">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Brief for the United States of America as Amicus Curiae in support of the Republic of Argentina’s petition for panel rehearing and rehearing en banc, 28 décembre 2012, 2012 WL 6777132, p. 6. </w:t>
      </w:r>
      <w:r w:rsidRPr="00E72418">
        <w:rPr>
          <w:szCs w:val="20"/>
        </w:rPr>
        <w:t>Notons que les États-Unis indiquèrent toutefois leur opposition à l’attitude argentine : « the United States does not condone Argentina’s actions in the international financial arena » (</w:t>
      </w:r>
      <w:r w:rsidRPr="00E72418">
        <w:rPr>
          <w:i/>
          <w:szCs w:val="20"/>
        </w:rPr>
        <w:t>ibid.</w:t>
      </w:r>
      <w:r w:rsidRPr="00E72418">
        <w:rPr>
          <w:szCs w:val="20"/>
        </w:rPr>
        <w:t xml:space="preserve">, p. 1). Ainsi, parallèlement, comme le note Theresa Monteleone, </w:t>
      </w:r>
      <w:r w:rsidRPr="00E72418">
        <w:rPr>
          <w:rFonts w:cs="Times New Roman"/>
          <w:szCs w:val="24"/>
        </w:rPr>
        <w:t>le pays tentait de mettre la pression sur l’Argentine afin qu’il trouve un accord avec ses créanciers par exemple « by voting against a multilateral development loan to Argentina by the Inter-American Development Bank in September 2011 and by threatening to similarly oppose future development loans by the World Bank » (</w:t>
      </w:r>
      <w:r w:rsidRPr="00E72418">
        <w:rPr>
          <w:lang w:val="en-US"/>
        </w:rPr>
        <w:t xml:space="preserve">T. </w:t>
      </w:r>
      <w:r w:rsidRPr="00E72418">
        <w:rPr>
          <w:smallCaps/>
          <w:lang w:val="en-US"/>
        </w:rPr>
        <w:t>Monteleone</w:t>
      </w:r>
      <w:r w:rsidRPr="00E72418">
        <w:rPr>
          <w:lang w:val="en-US"/>
        </w:rPr>
        <w:t xml:space="preserve">, « A vulture’s gamble: high-stakes interpretation of sovereign debt contracts in </w:t>
      </w:r>
      <w:r w:rsidRPr="00E72418">
        <w:rPr>
          <w:i/>
          <w:lang w:val="en-US"/>
        </w:rPr>
        <w:t>NML Capital, Ltd. v Republic of Argentina</w:t>
      </w:r>
      <w:r w:rsidRPr="00E72418">
        <w:rPr>
          <w:lang w:val="en-US"/>
        </w:rPr>
        <w:t xml:space="preserve"> »,</w:t>
      </w:r>
      <w:r w:rsidRPr="00E72418">
        <w:rPr>
          <w:i/>
          <w:lang w:val="en-US"/>
        </w:rPr>
        <w:t xml:space="preserve"> op. cit.</w:t>
      </w:r>
      <w:r w:rsidRPr="00E72418">
        <w:rPr>
          <w:lang w:val="en-US"/>
        </w:rPr>
        <w:t>, p. 152</w:t>
      </w:r>
      <w:r w:rsidRPr="00E72418">
        <w:rPr>
          <w:rFonts w:cs="Times New Roman"/>
          <w:szCs w:val="24"/>
        </w:rPr>
        <w:t>).</w:t>
      </w:r>
    </w:p>
  </w:footnote>
  <w:footnote w:id="1129">
    <w:p w14:paraId="7F7DF8A5" w14:textId="77777777" w:rsidR="0030147D" w:rsidRPr="00E72418" w:rsidRDefault="0030147D" w:rsidP="006D50CA">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La décision de la Cour d’appel fut ensuite contestée devant la Cour suprême laquelle, par décision du 7 octobre 2013, refusa la </w:t>
      </w:r>
      <w:r w:rsidRPr="00E72418">
        <w:rPr>
          <w:i/>
          <w:szCs w:val="20"/>
        </w:rPr>
        <w:t>petition for writ of certiorari to the United States Court of Appeals for the Second Circuit</w:t>
      </w:r>
      <w:r w:rsidRPr="00E72418">
        <w:rPr>
          <w:szCs w:val="20"/>
        </w:rPr>
        <w:t xml:space="preserve"> (Supreme Court of the United States (EUA), 7 octobre 2013, </w:t>
      </w:r>
      <w:r w:rsidRPr="00E72418">
        <w:rPr>
          <w:i/>
          <w:szCs w:val="20"/>
        </w:rPr>
        <w:t>Republic of Arg. v. NML Capital Ltd.</w:t>
      </w:r>
      <w:r w:rsidRPr="00E72418">
        <w:rPr>
          <w:rStyle w:val="Appelnotedebasdep"/>
          <w:szCs w:val="20"/>
          <w:vertAlign w:val="baseline"/>
        </w:rPr>
        <w:t xml:space="preserve">, </w:t>
      </w:r>
      <w:r w:rsidRPr="00E72418">
        <w:rPr>
          <w:szCs w:val="20"/>
          <w:lang w:val="en-US"/>
        </w:rPr>
        <w:t xml:space="preserve">134 S. Ct. 201). Le </w:t>
      </w:r>
      <w:r w:rsidRPr="00E72418">
        <w:rPr>
          <w:i/>
          <w:szCs w:val="20"/>
          <w:lang w:val="en-US"/>
        </w:rPr>
        <w:t>State Immunity Act</w:t>
      </w:r>
      <w:r w:rsidRPr="00E72418">
        <w:rPr>
          <w:szCs w:val="20"/>
          <w:lang w:val="en-US"/>
        </w:rPr>
        <w:t xml:space="preserve"> britannique pose lui, en son article 13(2), le principe selon lequel, sauf quelques nuances, « relief shall not be given against a State by way of injunction or order for specific performance or for the recovery of land or other property ».</w:t>
      </w:r>
    </w:p>
  </w:footnote>
  <w:footnote w:id="1130">
    <w:p w14:paraId="1EB8BF30" w14:textId="77777777" w:rsidR="0030147D" w:rsidRPr="00E72418" w:rsidRDefault="0030147D" w:rsidP="006D50CA">
      <w:pPr>
        <w:pStyle w:val="Sansinterligne"/>
        <w:rPr>
          <w:rFonts w:cs="Times"/>
          <w:szCs w:val="20"/>
          <w:lang w:val="en-US"/>
        </w:rPr>
      </w:pPr>
      <w:r w:rsidRPr="00E72418">
        <w:rPr>
          <w:rStyle w:val="Titre5Car"/>
          <w:rFonts w:ascii="Times" w:eastAsiaTheme="minorHAnsi" w:hAnsi="Times" w:cs="Times"/>
          <w:color w:val="auto"/>
          <w:szCs w:val="20"/>
          <w:vertAlign w:val="superscript"/>
        </w:rPr>
        <w:footnoteRef/>
      </w:r>
      <w:r w:rsidRPr="00E72418">
        <w:rPr>
          <w:rFonts w:cs="Times"/>
          <w:szCs w:val="20"/>
          <w:lang w:val="en-US"/>
        </w:rPr>
        <w:t xml:space="preserve"> United States Court of Appeals for the Second Circuit (EUA), 26 octobre 2012, </w:t>
      </w:r>
      <w:r w:rsidRPr="00E72418">
        <w:rPr>
          <w:rFonts w:cs="Times"/>
          <w:i/>
          <w:szCs w:val="20"/>
          <w:lang w:val="en-US"/>
        </w:rPr>
        <w:t>NML Capital Ltd. and others c. Republic of Argentina</w:t>
      </w:r>
      <w:r w:rsidRPr="00E72418">
        <w:rPr>
          <w:rFonts w:cs="Times"/>
          <w:szCs w:val="20"/>
          <w:lang w:val="en-US"/>
        </w:rPr>
        <w:t xml:space="preserve">, </w:t>
      </w:r>
      <w:r w:rsidRPr="00E72418">
        <w:rPr>
          <w:rStyle w:val="Appelnotedebasdep"/>
          <w:rFonts w:cs="Times"/>
          <w:szCs w:val="20"/>
          <w:vertAlign w:val="baseline"/>
          <w:lang w:val="en-US"/>
        </w:rPr>
        <w:t>699 F.3d 246, p. 263.</w:t>
      </w:r>
      <w:r w:rsidRPr="00E72418">
        <w:rPr>
          <w:rFonts w:cs="Times"/>
          <w:szCs w:val="20"/>
          <w:lang w:val="en-US"/>
        </w:rPr>
        <w:t xml:space="preserve"> </w:t>
      </w:r>
      <w:r w:rsidRPr="00E72418">
        <w:rPr>
          <w:rFonts w:cs="Times New Roman"/>
          <w:szCs w:val="20"/>
        </w:rPr>
        <w:t xml:space="preserve">Et la Cour d’enfoncer le clou : « </w:t>
      </w:r>
      <w:r w:rsidRPr="00E72418">
        <w:rPr>
          <w:rFonts w:ascii="Times New Roman" w:hAnsi="Times New Roman" w:cs="Times New Roman"/>
          <w:szCs w:val="20"/>
        </w:rPr>
        <w:t>[n]</w:t>
      </w:r>
      <w:r w:rsidRPr="00E72418">
        <w:rPr>
          <w:rFonts w:cs="Times New Roman"/>
          <w:szCs w:val="20"/>
        </w:rPr>
        <w:t xml:space="preserve">or does the FSIA create any other impediment to the injunctive relief ordered by the district court. Argentina voluntarily waived its immunity from the jurisdiction of the district court, and the FSIA imposes no limits on the equitable powers of a district court that has obtained jurisdiction over a foreign sovereign, at least where the district court’s use of its equitable powers does not conflict with the separate execution immunities created by </w:t>
      </w:r>
      <w:r w:rsidRPr="00E72418">
        <w:rPr>
          <w:rFonts w:cs="Times New Roman"/>
          <w:iCs/>
          <w:szCs w:val="20"/>
        </w:rPr>
        <w:t xml:space="preserve">§1609 </w:t>
      </w:r>
      <w:r w:rsidRPr="00E72418">
        <w:rPr>
          <w:rFonts w:cs="Times New Roman"/>
          <w:szCs w:val="20"/>
        </w:rPr>
        <w:t>».</w:t>
      </w:r>
    </w:p>
  </w:footnote>
  <w:footnote w:id="1131">
    <w:p w14:paraId="308B67FC" w14:textId="77777777" w:rsidR="0030147D" w:rsidRPr="00E72418" w:rsidRDefault="0030147D" w:rsidP="006D50CA">
      <w:pPr>
        <w:pStyle w:val="Sansinterligne"/>
        <w:rPr>
          <w:rFonts w:cs="Times"/>
          <w:szCs w:val="20"/>
          <w:lang w:val="en-US"/>
        </w:rPr>
      </w:pPr>
      <w:r w:rsidRPr="00E72418">
        <w:rPr>
          <w:rStyle w:val="Titre5Car"/>
          <w:rFonts w:ascii="Times" w:eastAsiaTheme="minorHAnsi" w:hAnsi="Times" w:cs="Times"/>
          <w:color w:val="auto"/>
          <w:szCs w:val="20"/>
          <w:vertAlign w:val="superscript"/>
        </w:rPr>
        <w:footnoteRef/>
      </w:r>
      <w:r w:rsidRPr="00E72418">
        <w:rPr>
          <w:rFonts w:cs="Times"/>
          <w:szCs w:val="20"/>
          <w:lang w:val="en-US"/>
        </w:rPr>
        <w:t xml:space="preserve"> United States Court of Appeals for the Second Circuit (EUA), 26 octobre 2012, </w:t>
      </w:r>
      <w:r w:rsidRPr="00E72418">
        <w:rPr>
          <w:rFonts w:cs="Times"/>
          <w:i/>
          <w:szCs w:val="20"/>
          <w:lang w:val="en-US"/>
        </w:rPr>
        <w:t>NML Capital Ltd. and others c. Republic of Argentina</w:t>
      </w:r>
      <w:r w:rsidRPr="00E72418">
        <w:rPr>
          <w:rFonts w:cs="Times"/>
          <w:szCs w:val="20"/>
          <w:lang w:val="en-US"/>
        </w:rPr>
        <w:t xml:space="preserve">, </w:t>
      </w:r>
      <w:r w:rsidRPr="00E72418">
        <w:rPr>
          <w:rStyle w:val="Appelnotedebasdep"/>
          <w:rFonts w:cs="Times"/>
          <w:szCs w:val="20"/>
          <w:vertAlign w:val="baseline"/>
          <w:lang w:val="en-US"/>
        </w:rPr>
        <w:t>699 F.3d 246, p. 262.</w:t>
      </w:r>
      <w:r w:rsidRPr="00E72418">
        <w:rPr>
          <w:rFonts w:cs="Times"/>
          <w:szCs w:val="20"/>
          <w:lang w:val="en-US"/>
        </w:rPr>
        <w:t xml:space="preserve"> </w:t>
      </w:r>
      <w:r w:rsidRPr="00E72418">
        <w:rPr>
          <w:rStyle w:val="injectednode"/>
          <w:rFonts w:cs="Times New Roman"/>
          <w:szCs w:val="20"/>
          <w:bdr w:val="none" w:sz="0" w:space="0" w:color="auto" w:frame="1"/>
        </w:rPr>
        <w:t xml:space="preserve">La Cour d’appel ajouta encore que </w:t>
      </w:r>
      <w:r w:rsidRPr="00E72418">
        <w:rPr>
          <w:rFonts w:cs="Times New Roman"/>
          <w:szCs w:val="20"/>
        </w:rPr>
        <w:t xml:space="preserve">« </w:t>
      </w:r>
      <w:r w:rsidRPr="00E72418">
        <w:rPr>
          <w:rFonts w:ascii="Times New Roman" w:hAnsi="Times New Roman" w:cs="Times New Roman"/>
          <w:szCs w:val="20"/>
        </w:rPr>
        <w:t>[</w:t>
      </w:r>
      <w:r w:rsidRPr="00E72418">
        <w:rPr>
          <w:rFonts w:cs="Times New Roman"/>
          <w:szCs w:val="20"/>
        </w:rPr>
        <w:t>the Injuctions</w:t>
      </w:r>
      <w:r w:rsidRPr="00E72418">
        <w:rPr>
          <w:rFonts w:ascii="Times New Roman" w:hAnsi="Times New Roman" w:cs="Times New Roman"/>
          <w:szCs w:val="20"/>
        </w:rPr>
        <w:t>]</w:t>
      </w:r>
      <w:r w:rsidRPr="00E72418">
        <w:rPr>
          <w:rFonts w:cs="Times New Roman"/>
          <w:szCs w:val="20"/>
        </w:rPr>
        <w:t xml:space="preserve"> </w:t>
      </w:r>
      <w:r w:rsidRPr="00E72418">
        <w:rPr>
          <w:szCs w:val="20"/>
        </w:rPr>
        <w:t xml:space="preserve">direct Argentina to comply with its contractual obligations not to alter the rank of its payment obligations. They affect Argentina’s property only incidentally to the extent that the order prohibits Argentina from transferring money to some bondholders and not others. The Injunctions can be complied with without the court’s ever exercising dominion over sovereign property </w:t>
      </w:r>
      <w:r w:rsidRPr="00E72418">
        <w:rPr>
          <w:rFonts w:cs="Times New Roman"/>
          <w:szCs w:val="20"/>
        </w:rPr>
        <w:t>».</w:t>
      </w:r>
    </w:p>
  </w:footnote>
  <w:footnote w:id="1132">
    <w:p w14:paraId="6F20F653" w14:textId="6D07F585" w:rsidR="0030147D" w:rsidRPr="00E72418" w:rsidRDefault="0030147D" w:rsidP="006D50CA">
      <w:pPr>
        <w:pStyle w:val="Sansinterligne"/>
        <w:rPr>
          <w:rFonts w:cs="Times"/>
          <w:szCs w:val="20"/>
        </w:rPr>
      </w:pPr>
      <w:r w:rsidRPr="00E72418">
        <w:rPr>
          <w:rStyle w:val="Titre5Car"/>
          <w:rFonts w:ascii="Times" w:eastAsiaTheme="minorHAnsi" w:hAnsi="Times" w:cs="Times"/>
          <w:color w:val="auto"/>
          <w:szCs w:val="20"/>
          <w:vertAlign w:val="superscript"/>
        </w:rPr>
        <w:footnoteRef/>
      </w:r>
      <w:r w:rsidRPr="00E72418">
        <w:rPr>
          <w:rFonts w:cs="Times"/>
          <w:szCs w:val="20"/>
        </w:rPr>
        <w:t xml:space="preserve"> Une importante critique formulée à l’encontre de la décision des juridictions étatsuniennes d’ordonner une injonction concerne la possibilité même d’une telle mesure en présence d’un </w:t>
      </w:r>
      <w:r w:rsidRPr="00E72418">
        <w:rPr>
          <w:rFonts w:cs="Times"/>
          <w:szCs w:val="20"/>
          <w:lang w:eastAsia="fr-BE"/>
        </w:rPr>
        <w:t>É</w:t>
      </w:r>
      <w:r w:rsidRPr="00E72418">
        <w:rPr>
          <w:rFonts w:cs="Times"/>
          <w:szCs w:val="20"/>
        </w:rPr>
        <w:t xml:space="preserve">tat. </w:t>
      </w:r>
      <w:r w:rsidRPr="00E72418">
        <w:rPr>
          <w:rFonts w:cs="Times"/>
          <w:szCs w:val="20"/>
          <w:lang w:val="en-US"/>
        </w:rPr>
        <w:t xml:space="preserve">Relevant le silence du </w:t>
      </w:r>
      <w:r w:rsidRPr="00E72418">
        <w:rPr>
          <w:rFonts w:cs="Times"/>
          <w:i/>
          <w:szCs w:val="20"/>
          <w:lang w:val="en-US"/>
        </w:rPr>
        <w:t>Foreign Sovereign Immunities Act</w:t>
      </w:r>
      <w:r w:rsidRPr="00E72418">
        <w:rPr>
          <w:rFonts w:cs="Times"/>
          <w:szCs w:val="20"/>
          <w:lang w:val="en-US"/>
        </w:rPr>
        <w:t xml:space="preserve"> quant au pouvoir octroyé aux juridictions d’enjoindre un comportement à un </w:t>
      </w:r>
      <w:r w:rsidRPr="00E72418">
        <w:rPr>
          <w:rFonts w:cs="Times"/>
          <w:szCs w:val="20"/>
          <w:lang w:val="en-US" w:eastAsia="fr-BE"/>
        </w:rPr>
        <w:t>É</w:t>
      </w:r>
      <w:r w:rsidRPr="00E72418">
        <w:rPr>
          <w:rFonts w:cs="Times"/>
          <w:szCs w:val="20"/>
          <w:lang w:val="en-US"/>
        </w:rPr>
        <w:t>tat étranger et s’arrêtant sur ses articles 1609 et 1610, Joshua Burress relève que « [t]he plain language of those two sections, together with [the] language in the legislative history, creates no basis for believing that Congress intended injunctive relief to be available » (</w:t>
      </w:r>
      <w:r w:rsidRPr="00E72418">
        <w:rPr>
          <w:rFonts w:cs="Times"/>
          <w:smallCaps/>
          <w:szCs w:val="20"/>
          <w:lang w:val="en-US"/>
        </w:rPr>
        <w:t>J. Burress</w:t>
      </w:r>
      <w:r w:rsidRPr="00E72418">
        <w:rPr>
          <w:rFonts w:cs="Times"/>
          <w:szCs w:val="20"/>
          <w:lang w:val="en-US"/>
        </w:rPr>
        <w:t xml:space="preserve">, « Sovereign Disobedience: The Role of U.S. Courts in Curtailing the Proliferation of Sovereign Default », </w:t>
      </w:r>
      <w:r w:rsidRPr="00E72418">
        <w:rPr>
          <w:rFonts w:cs="Times"/>
          <w:i/>
          <w:szCs w:val="20"/>
          <w:lang w:val="en-US"/>
        </w:rPr>
        <w:t>op. cit.</w:t>
      </w:r>
      <w:r w:rsidRPr="00E72418">
        <w:rPr>
          <w:rFonts w:cs="Times"/>
          <w:szCs w:val="20"/>
          <w:lang w:val="en-US"/>
        </w:rPr>
        <w:t xml:space="preserve">, p. 298. </w:t>
      </w:r>
      <w:r w:rsidRPr="00E72418">
        <w:rPr>
          <w:rFonts w:cs="Times"/>
          <w:szCs w:val="20"/>
        </w:rPr>
        <w:t>Voyez également les pages 298 à 307 où il détaille plus avant son argumentaire au regard de la jurisprudence).</w:t>
      </w:r>
    </w:p>
  </w:footnote>
  <w:footnote w:id="1133">
    <w:p w14:paraId="5E96CECD" w14:textId="77777777" w:rsidR="0030147D" w:rsidRPr="00E72418" w:rsidRDefault="0030147D" w:rsidP="006409C4">
      <w:pPr>
        <w:pStyle w:val="Sansinterligne"/>
        <w:rPr>
          <w:szCs w:val="20"/>
        </w:rPr>
      </w:pPr>
      <w:r w:rsidRPr="00E72418">
        <w:rPr>
          <w:rStyle w:val="Appelnotedebasdep"/>
          <w:szCs w:val="20"/>
        </w:rPr>
        <w:footnoteRef/>
      </w:r>
      <w:r w:rsidRPr="00E72418">
        <w:rPr>
          <w:szCs w:val="20"/>
        </w:rPr>
        <w:t xml:space="preserve"> C.I.J., 3 février 2012, </w:t>
      </w:r>
      <w:r w:rsidRPr="00E72418">
        <w:rPr>
          <w:i/>
          <w:szCs w:val="20"/>
        </w:rPr>
        <w:t>Immunités juridictionnelles de l’État (Allemagne c. Italie ; Grèce (intervenant))</w:t>
      </w:r>
      <w:r w:rsidRPr="00E72418">
        <w:rPr>
          <w:szCs w:val="20"/>
        </w:rPr>
        <w:t>, arrêt, C.I.J. recueil 2012, point 118.</w:t>
      </w:r>
    </w:p>
  </w:footnote>
  <w:footnote w:id="1134">
    <w:p w14:paraId="5A888A07" w14:textId="794CA12A"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L’article 21 de la Convention identifie certaines catégories spécifiques de biens pour lesquelles un régime particulier d’immunité est prévu, régime auquel les États peuvent toujours renoncer.</w:t>
      </w:r>
    </w:p>
  </w:footnote>
  <w:footnote w:id="1135">
    <w:p w14:paraId="43241C8A" w14:textId="77777777" w:rsidR="0030147D" w:rsidRPr="00E72418" w:rsidRDefault="0030147D" w:rsidP="006D50CA">
      <w:pPr>
        <w:pStyle w:val="Sansinterligne"/>
        <w:rPr>
          <w:szCs w:val="20"/>
          <w:lang w:val="en-US"/>
        </w:rPr>
      </w:pPr>
      <w:r w:rsidRPr="00E72418">
        <w:rPr>
          <w:rStyle w:val="Appelnotedebasdep"/>
          <w:szCs w:val="20"/>
        </w:rPr>
        <w:footnoteRef/>
      </w:r>
      <w:r w:rsidRPr="00E72418">
        <w:rPr>
          <w:szCs w:val="20"/>
          <w:lang w:val="en-US"/>
        </w:rPr>
        <w:t xml:space="preserve"> « [t]he </w:t>
      </w:r>
      <w:r w:rsidRPr="00E72418">
        <w:rPr>
          <w:rStyle w:val="chapeau"/>
          <w:szCs w:val="20"/>
          <w:lang w:val="en-US"/>
        </w:rPr>
        <w:t xml:space="preserve">property of a foreign state </w:t>
      </w:r>
      <w:r w:rsidRPr="00E72418">
        <w:rPr>
          <w:szCs w:val="20"/>
          <w:lang w:val="en-US"/>
        </w:rPr>
        <w:t xml:space="preserve">[…] </w:t>
      </w:r>
      <w:r w:rsidRPr="00E72418">
        <w:rPr>
          <w:rStyle w:val="chapeau"/>
          <w:szCs w:val="20"/>
          <w:lang w:val="en-US"/>
        </w:rPr>
        <w:t>used for a</w:t>
      </w:r>
      <w:hyperlink r:id="rId44" w:history="1">
        <w:r w:rsidRPr="00E72418">
          <w:rPr>
            <w:rStyle w:val="Lienhypertexte"/>
            <w:color w:val="auto"/>
            <w:szCs w:val="20"/>
            <w:u w:val="none"/>
            <w:lang w:val="en-US"/>
          </w:rPr>
          <w:t> commercial activity </w:t>
        </w:r>
      </w:hyperlink>
      <w:r w:rsidRPr="00E72418">
        <w:rPr>
          <w:rStyle w:val="chapeau"/>
          <w:szCs w:val="20"/>
          <w:lang w:val="en-US"/>
        </w:rPr>
        <w:t>in the</w:t>
      </w:r>
      <w:hyperlink r:id="rId45" w:history="1">
        <w:r w:rsidRPr="00E72418">
          <w:rPr>
            <w:rStyle w:val="Lienhypertexte"/>
            <w:color w:val="auto"/>
            <w:szCs w:val="20"/>
            <w:u w:val="none"/>
            <w:lang w:val="en-US"/>
          </w:rPr>
          <w:t> United States,</w:t>
        </w:r>
      </w:hyperlink>
      <w:r w:rsidRPr="00E72418">
        <w:rPr>
          <w:rStyle w:val="chapeau"/>
          <w:szCs w:val="20"/>
          <w:lang w:val="en-US"/>
        </w:rPr>
        <w:t> shall not be immune from attachment prior to the entry of judgment in any action brought in a court of the</w:t>
      </w:r>
      <w:hyperlink r:id="rId46" w:history="1">
        <w:r w:rsidRPr="00E72418">
          <w:rPr>
            <w:rStyle w:val="Lienhypertexte"/>
            <w:color w:val="auto"/>
            <w:szCs w:val="20"/>
            <w:u w:val="none"/>
            <w:lang w:val="en-US"/>
          </w:rPr>
          <w:t> United States </w:t>
        </w:r>
      </w:hyperlink>
      <w:r w:rsidRPr="00E72418">
        <w:rPr>
          <w:rStyle w:val="chapeau"/>
          <w:szCs w:val="20"/>
          <w:lang w:val="en-US"/>
        </w:rPr>
        <w:t>or of a State, or prior to the elapse of the period of time provided in subsection (c) of this section, if</w:t>
      </w:r>
      <w:bookmarkStart w:id="256" w:name="d_1"/>
      <w:bookmarkEnd w:id="256"/>
      <w:r w:rsidRPr="00E72418">
        <w:rPr>
          <w:rStyle w:val="chapeau"/>
          <w:szCs w:val="20"/>
          <w:lang w:val="en-US"/>
        </w:rPr>
        <w:t xml:space="preserve"> </w:t>
      </w:r>
      <w:r w:rsidRPr="00E72418">
        <w:rPr>
          <w:szCs w:val="20"/>
          <w:lang w:val="en-US"/>
        </w:rPr>
        <w:t>the foreign state has explicitly waived its immunity from attachment prior to judgment, notwithstanding any withdrawal of the waiver the foreign state may purport to effect except in accordance with the terms of the waiver ».</w:t>
      </w:r>
    </w:p>
  </w:footnote>
  <w:footnote w:id="1136">
    <w:p w14:paraId="46A624A8" w14:textId="39231E75" w:rsidR="0030147D" w:rsidRPr="00E72418" w:rsidRDefault="0030147D" w:rsidP="009331B4">
      <w:pPr>
        <w:pStyle w:val="Sansinterligne"/>
      </w:pPr>
      <w:r w:rsidRPr="00E72418">
        <w:rPr>
          <w:rStyle w:val="Appelnotedebasdep"/>
        </w:rPr>
        <w:footnoteRef/>
      </w:r>
      <w:r w:rsidRPr="00E72418">
        <w:t xml:space="preserve"> Peu avant qu’il fut légiféré (et même après), la Cour de cassation française s’est prononcée à plusieurs reprises, et avec revirement, sur la question de la renonciation à l’immunité d’exécution (voyez Cass. (F.), 28 septembre 2011, pourvoi n° 09-72.057, Cass. (F.), 28 mars 2013, pourvois n° 10-25.938, n° 11-10450</w:t>
      </w:r>
      <w:r w:rsidRPr="00E72418">
        <w:rPr>
          <w:rStyle w:val="apple-converted-space"/>
        </w:rPr>
        <w:t xml:space="preserve"> et n° 11-13.323, Cass. (F.), 13 mai 2015, pourvoi n° 13-17.751, </w:t>
      </w:r>
      <w:r w:rsidRPr="00E72418">
        <w:t xml:space="preserve">Cass. (F.), 10 janvier 2018, pourvoi n° 16-22.494 et Cass. (F.), 24 janvier 2018, pourvoi n° 16-16.511. Pour une présentation rapide de ces décisions, voyez L. </w:t>
      </w:r>
      <w:r w:rsidRPr="00E72418">
        <w:rPr>
          <w:smallCaps/>
        </w:rPr>
        <w:t>Jaeger</w:t>
      </w:r>
      <w:r w:rsidRPr="00E72418">
        <w:t xml:space="preserve">, « L’exécution des sentences face aux intérêts publics », in </w:t>
      </w:r>
      <w:r w:rsidRPr="00E72418">
        <w:rPr>
          <w:i/>
        </w:rPr>
        <w:t>Arbitrage international et intérêts publics</w:t>
      </w:r>
      <w:r w:rsidRPr="00E72418">
        <w:t>, Bruylant, 2019, pp. 134 à 137</w:t>
      </w:r>
      <w:r w:rsidRPr="00E72418">
        <w:rPr>
          <w:rStyle w:val="apple-converted-space"/>
        </w:rPr>
        <w:t>).</w:t>
      </w:r>
    </w:p>
  </w:footnote>
  <w:footnote w:id="1137">
    <w:p w14:paraId="5B67A67C" w14:textId="2D60139E"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Rappelant l’article 19, a) de la Convention des Nations Unies sur les immunités juridictionnelles des </w:t>
      </w:r>
      <w:r w:rsidRPr="00E72418">
        <w:rPr>
          <w:szCs w:val="20"/>
          <w:lang w:eastAsia="fr-BE"/>
        </w:rPr>
        <w:t>Ét</w:t>
      </w:r>
      <w:r w:rsidRPr="00E72418">
        <w:rPr>
          <w:szCs w:val="20"/>
        </w:rPr>
        <w:t xml:space="preserve">ats et de leurs biens et l’arrêt de la Cour internationale de Justice </w:t>
      </w:r>
      <w:r w:rsidRPr="00E72418">
        <w:rPr>
          <w:i/>
          <w:szCs w:val="20"/>
        </w:rPr>
        <w:t>Allemagne c. Italie ; Grèce (intervenant)</w:t>
      </w:r>
      <w:r w:rsidRPr="00E72418">
        <w:rPr>
          <w:szCs w:val="20"/>
        </w:rPr>
        <w:t xml:space="preserve"> du 3 février 2012, la Cour constitutionnelle belge décida que l’exigence d’une démonstration par le créancier d’un consentement exprès de la puissance étrangère à la saisie de biens utilisés ou destinés à être utilisés à des fins de service public non commerciales y est conforme. Le bât blesse toutefois au niveau de l’exigence que les biens aient été spécifiquement désignés par la puissance étrangère comme pouvant faire l’objet d’une mesure de contrainte. Cette exigence est absente tant de la Convention des Nations Unies que de l’arrêt de la Cour internationale de Justice précité de sorte que la Cour constitutionnelle indiqua qu’ « </w:t>
      </w:r>
      <w:r w:rsidRPr="00E72418">
        <w:rPr>
          <w:szCs w:val="20"/>
          <w:lang w:val="en-US"/>
        </w:rPr>
        <w:t>[e]</w:t>
      </w:r>
      <w:r w:rsidRPr="00E72418">
        <w:rPr>
          <w:szCs w:val="20"/>
        </w:rPr>
        <w:t>n exigeant que la renonciation à l’immunité soit, non seulement expresse, mais également spécifique, l’article 1412</w:t>
      </w:r>
      <w:r w:rsidRPr="00E72418">
        <w:rPr>
          <w:i/>
          <w:szCs w:val="20"/>
        </w:rPr>
        <w:t>quinquies</w:t>
      </w:r>
      <w:r w:rsidRPr="00E72418">
        <w:rPr>
          <w:szCs w:val="20"/>
        </w:rPr>
        <w:t>, §2, 1°, va donc au-delà de ce qu’exige la coutume internationale en la matière » (Cour const., 27 avril 2017, n° 48/2017, point B.18.2.).</w:t>
      </w:r>
    </w:p>
  </w:footnote>
  <w:footnote w:id="1138">
    <w:p w14:paraId="326AC069" w14:textId="53EA31A5" w:rsidR="0030147D" w:rsidRPr="00E72418" w:rsidRDefault="0030147D" w:rsidP="005C12E8">
      <w:pPr>
        <w:pStyle w:val="Sansinterligne"/>
        <w:rPr>
          <w:szCs w:val="20"/>
        </w:rPr>
      </w:pPr>
      <w:r w:rsidRPr="00E72418">
        <w:rPr>
          <w:rStyle w:val="Appelnotedebasdep"/>
          <w:szCs w:val="20"/>
        </w:rPr>
        <w:footnoteRef/>
      </w:r>
      <w:r w:rsidRPr="00E72418">
        <w:rPr>
          <w:szCs w:val="20"/>
        </w:rPr>
        <w:t xml:space="preserve"> Sur le régime particulier applicables aux biens, en ce compris les comptes bancaires, utilisés dans l’exercice des fonctions de la mission diplomatique de la puissance étrangère ou de ses postes consulaires, de ses missions spéciales, de ses missions auprès des organisations internationales ou de ses délégations dans les organes des organisations internationales ou aux conférences internationales, voyez </w:t>
      </w:r>
      <w:r w:rsidRPr="00E72418">
        <w:rPr>
          <w:i/>
          <w:szCs w:val="20"/>
        </w:rPr>
        <w:t xml:space="preserve">infra </w:t>
      </w:r>
      <w:r w:rsidRPr="00E72418">
        <w:rPr>
          <w:szCs w:val="20"/>
        </w:rPr>
        <w:t>n° 232.</w:t>
      </w:r>
    </w:p>
  </w:footnote>
  <w:footnote w:id="1139">
    <w:p w14:paraId="44643C0F" w14:textId="77777777" w:rsidR="0030147D" w:rsidRPr="00E72418" w:rsidRDefault="0030147D" w:rsidP="00055731">
      <w:pPr>
        <w:pStyle w:val="Sansinterligne"/>
        <w:rPr>
          <w:szCs w:val="20"/>
        </w:rPr>
      </w:pPr>
      <w:r w:rsidRPr="00E72418">
        <w:rPr>
          <w:rStyle w:val="Appelnotedebasdep"/>
          <w:szCs w:val="20"/>
        </w:rPr>
        <w:footnoteRef/>
      </w:r>
      <w:r w:rsidRPr="00E72418">
        <w:rPr>
          <w:szCs w:val="20"/>
        </w:rPr>
        <w:t xml:space="preserve"> C.I.J., 3 février 2012, </w:t>
      </w:r>
      <w:r w:rsidRPr="00E72418">
        <w:rPr>
          <w:i/>
          <w:szCs w:val="20"/>
        </w:rPr>
        <w:t>Immunités juridictionnelles de l’État (Allemagne c. Italie ; Grèce (intervenant))</w:t>
      </w:r>
      <w:r w:rsidRPr="00E72418">
        <w:rPr>
          <w:szCs w:val="20"/>
        </w:rPr>
        <w:t>, arrêt, C.I.J. recueil 2012, point 118.</w:t>
      </w:r>
    </w:p>
  </w:footnote>
  <w:footnote w:id="1140">
    <w:p w14:paraId="5460E2F7" w14:textId="74F0775C" w:rsidR="0030147D" w:rsidRPr="00E72418" w:rsidRDefault="0030147D" w:rsidP="00055731">
      <w:pPr>
        <w:pStyle w:val="Sansinterligne"/>
        <w:rPr>
          <w:szCs w:val="20"/>
        </w:rPr>
      </w:pPr>
      <w:r w:rsidRPr="00E72418">
        <w:rPr>
          <w:rStyle w:val="Appelnotedebasdep"/>
          <w:szCs w:val="20"/>
        </w:rPr>
        <w:footnoteRef/>
      </w:r>
      <w:r w:rsidRPr="00E72418">
        <w:rPr>
          <w:szCs w:val="20"/>
        </w:rPr>
        <w:t xml:space="preserve"> La Cour constitutionnelle belge eut à se prononcer sur la possible différence de traitement que cette exception à l’immunité d’exécution engendre entre les créanciers d’une puissance étrangère selon que leur créance trouve son origine dans un contrat ou dans une obligation extracontractuelle. Il était, apparemment notamment, avancé comme grief que seul le créancier dont la créance trouve son origine dans une obligation contractuelle aura pu négocier que soit incluse dans le contrat une clause par laquelle la puissance étrangère débitrice réserve ou affecte certains biens à la satisfaction de la demande si le contrat n’était pas exécuté. La Cour décida que le fait que cette possibilité n’existe pas pour le créancier extracontractuel ne crée pas de discrimination dès lors que celui-ci peut, le cas échéant, user d’autres hypothèses de dérogation au principe d’immunité d’exécution protégeant les biens des puissances étrangères (Cour const., 27 avril 2017, n° 48/2017, points B.37 à B.38.3).</w:t>
      </w:r>
    </w:p>
  </w:footnote>
  <w:footnote w:id="1141">
    <w:p w14:paraId="23EFFD91" w14:textId="630E6F74" w:rsidR="0030147D" w:rsidRPr="00E72418" w:rsidRDefault="0030147D" w:rsidP="001E2256">
      <w:pPr>
        <w:pStyle w:val="Sansinterligne"/>
      </w:pPr>
      <w:r w:rsidRPr="00E72418">
        <w:rPr>
          <w:rStyle w:val="Appelnotedebasdep"/>
          <w:szCs w:val="20"/>
        </w:rPr>
        <w:footnoteRef/>
      </w:r>
      <w:r w:rsidRPr="00E72418">
        <w:t xml:space="preserve"> Par exemple, la société </w:t>
      </w:r>
      <w:r w:rsidRPr="00E72418">
        <w:rPr>
          <w:i/>
        </w:rPr>
        <w:t>NML Capital Ltd.</w:t>
      </w:r>
      <w:r w:rsidRPr="00E72418">
        <w:t xml:space="preserve"> poursuivit en Belgique les avoirs déposés sur les comptes bancaires de la mission diplomatique de la République argentine (voyez notamment l’arrêt du 22 novembre 2012 de la Cour de cassation belge, arrêt n° C.11.0688.F, </w:t>
      </w:r>
      <w:r w:rsidRPr="00E72418">
        <w:rPr>
          <w:i/>
          <w:szCs w:val="20"/>
        </w:rPr>
        <w:t>Pas.</w:t>
      </w:r>
      <w:r w:rsidRPr="00E72418">
        <w:t xml:space="preserve">, 2012, p. 2290 et ensuite l’arrêt </w:t>
      </w:r>
      <w:r w:rsidRPr="00E72418">
        <w:rPr>
          <w:rFonts w:cs="Times New Roman"/>
        </w:rPr>
        <w:t xml:space="preserve">du 11 décembre 2014, arrêt n° C.13.0537.F., </w:t>
      </w:r>
      <w:r w:rsidRPr="00E72418">
        <w:rPr>
          <w:rFonts w:cs="Times New Roman"/>
          <w:i/>
        </w:rPr>
        <w:t>Pas.</w:t>
      </w:r>
      <w:r w:rsidRPr="00E72418">
        <w:rPr>
          <w:rFonts w:cs="Times New Roman"/>
        </w:rPr>
        <w:t>, 2014, p. 2860</w:t>
      </w:r>
      <w:r w:rsidRPr="00E72418">
        <w:t>).</w:t>
      </w:r>
    </w:p>
  </w:footnote>
  <w:footnote w:id="1142">
    <w:p w14:paraId="21D55E12" w14:textId="6452C5AD" w:rsidR="0030147D" w:rsidRPr="00E72418" w:rsidRDefault="0030147D" w:rsidP="005B5C40">
      <w:pPr>
        <w:pStyle w:val="Sansinterligne"/>
      </w:pPr>
      <w:r w:rsidRPr="00E72418">
        <w:rPr>
          <w:rStyle w:val="Appelnotedebasdep"/>
        </w:rPr>
        <w:footnoteRef/>
      </w:r>
      <w:r w:rsidRPr="00E72418">
        <w:t xml:space="preserve"> P. </w:t>
      </w:r>
      <w:r w:rsidRPr="00E72418">
        <w:rPr>
          <w:smallCaps/>
        </w:rPr>
        <w:t>d’Argent</w:t>
      </w:r>
      <w:r w:rsidRPr="00E72418">
        <w:t xml:space="preserve">, « Jurisprudence belge relative au droit international public (1993-2003) », </w:t>
      </w:r>
      <w:r w:rsidRPr="00E72418">
        <w:rPr>
          <w:i/>
        </w:rPr>
        <w:t>R.B.D.I.,</w:t>
      </w:r>
      <w:r w:rsidRPr="00E72418">
        <w:t xml:space="preserve"> 2003, p. 609.</w:t>
      </w:r>
    </w:p>
  </w:footnote>
  <w:footnote w:id="1143">
    <w:p w14:paraId="48DF635D" w14:textId="28E848BA" w:rsidR="0030147D" w:rsidRPr="00E72418" w:rsidRDefault="0030147D" w:rsidP="00CC5A04">
      <w:pPr>
        <w:pStyle w:val="Sansinterligne"/>
        <w:rPr>
          <w:szCs w:val="20"/>
        </w:rPr>
      </w:pPr>
      <w:r w:rsidRPr="00E72418">
        <w:rPr>
          <w:rStyle w:val="Appelnotedebasdep"/>
          <w:szCs w:val="20"/>
        </w:rPr>
        <w:footnoteRef/>
      </w:r>
      <w:r w:rsidRPr="00E72418">
        <w:rPr>
          <w:szCs w:val="20"/>
        </w:rPr>
        <w:t xml:space="preserve"> </w:t>
      </w:r>
      <w:r w:rsidRPr="00E72418">
        <w:rPr>
          <w:smallCaps/>
          <w:szCs w:val="20"/>
        </w:rPr>
        <w:t>N. Angelet</w:t>
      </w:r>
      <w:r w:rsidRPr="00E72418">
        <w:rPr>
          <w:szCs w:val="20"/>
        </w:rPr>
        <w:t xml:space="preserve"> et </w:t>
      </w:r>
      <w:r w:rsidRPr="00E72418">
        <w:rPr>
          <w:smallCaps/>
          <w:szCs w:val="20"/>
        </w:rPr>
        <w:t>H. Boularbah</w:t>
      </w:r>
      <w:r w:rsidRPr="00E72418">
        <w:rPr>
          <w:szCs w:val="20"/>
        </w:rPr>
        <w:t>, « L’article 1412</w:t>
      </w:r>
      <w:r w:rsidRPr="00E72418">
        <w:rPr>
          <w:i/>
          <w:szCs w:val="20"/>
        </w:rPr>
        <w:t>quinquies</w:t>
      </w:r>
      <w:r w:rsidRPr="00E72418">
        <w:rPr>
          <w:szCs w:val="20"/>
        </w:rPr>
        <w:t xml:space="preserve"> du Code judiciaire: les immunités internationales codifiées ou malmenées par le législateur ? » (l’article a disparu de l’internet depuis sa consultation, il est toutefois dans nos archives).</w:t>
      </w:r>
    </w:p>
  </w:footnote>
  <w:footnote w:id="1144">
    <w:p w14:paraId="3CF3CFC3" w14:textId="3BAB2F27" w:rsidR="0030147D" w:rsidRPr="00E72418" w:rsidRDefault="0030147D" w:rsidP="00CC5A04">
      <w:pPr>
        <w:pStyle w:val="Sansinterligne"/>
        <w:rPr>
          <w:szCs w:val="20"/>
        </w:rPr>
      </w:pPr>
      <w:r w:rsidRPr="00E72418">
        <w:rPr>
          <w:rStyle w:val="Appelnotedebasdep"/>
          <w:szCs w:val="20"/>
        </w:rPr>
        <w:footnoteRef/>
      </w:r>
      <w:r w:rsidRPr="00E72418">
        <w:rPr>
          <w:szCs w:val="20"/>
        </w:rPr>
        <w:t xml:space="preserve"> Voyez </w:t>
      </w:r>
      <w:r w:rsidRPr="00E72418">
        <w:rPr>
          <w:smallCaps/>
          <w:szCs w:val="20"/>
        </w:rPr>
        <w:t>S. Duquet</w:t>
      </w:r>
      <w:r w:rsidRPr="00E72418">
        <w:rPr>
          <w:szCs w:val="20"/>
        </w:rPr>
        <w:t xml:space="preserve"> et </w:t>
      </w:r>
      <w:r w:rsidRPr="00E72418">
        <w:rPr>
          <w:smallCaps/>
          <w:szCs w:val="20"/>
        </w:rPr>
        <w:t>J. Wouters</w:t>
      </w:r>
      <w:r w:rsidRPr="00E72418">
        <w:rPr>
          <w:szCs w:val="20"/>
        </w:rPr>
        <w:t xml:space="preserve">, « De (on)beslagbaarheid van bankrekeningen van buitenlandse ambassades », </w:t>
      </w:r>
      <w:r w:rsidRPr="00E72418">
        <w:rPr>
          <w:i/>
          <w:szCs w:val="20"/>
        </w:rPr>
        <w:t>op. cit.</w:t>
      </w:r>
      <w:r w:rsidRPr="00E72418">
        <w:rPr>
          <w:szCs w:val="20"/>
        </w:rPr>
        <w:t>, p. 1485.</w:t>
      </w:r>
    </w:p>
  </w:footnote>
  <w:footnote w:id="1145">
    <w:p w14:paraId="707631AC" w14:textId="77777777" w:rsidR="0030147D" w:rsidRPr="00E72418" w:rsidRDefault="0030147D" w:rsidP="00016C60">
      <w:pPr>
        <w:pStyle w:val="Sansinterligne"/>
        <w:rPr>
          <w:szCs w:val="20"/>
          <w:lang w:val="fr-FR"/>
        </w:rPr>
      </w:pPr>
      <w:r w:rsidRPr="00E72418">
        <w:rPr>
          <w:rStyle w:val="Appelnotedebasdep"/>
          <w:szCs w:val="20"/>
        </w:rPr>
        <w:footnoteRef/>
      </w:r>
      <w:r w:rsidRPr="00E72418">
        <w:rPr>
          <w:szCs w:val="20"/>
        </w:rPr>
        <w:t xml:space="preserve"> Plus généralement, dans le prolongement de la logique retenue en son article 19, c), selon laquelle sont saisissables les biens spécifiquement utilisés ou destinés à être utilisés par l’État autrement qu’à des fins de service public non commerciales, la Convention de Nations Unies sur les immunités juridictionnelles des </w:t>
      </w:r>
      <w:r w:rsidRPr="00E72418">
        <w:rPr>
          <w:szCs w:val="20"/>
          <w:lang w:eastAsia="fr-BE"/>
        </w:rPr>
        <w:t>É</w:t>
      </w:r>
      <w:r w:rsidRPr="00E72418">
        <w:rPr>
          <w:szCs w:val="20"/>
        </w:rPr>
        <w:t>tats et de leurs biens liste à l’article 21 toute une série de catégories de biens n’étant pas considérés comme tels dès lors qu’ils participent à l’exercice de la souveraineté étatique.</w:t>
      </w:r>
    </w:p>
  </w:footnote>
  <w:footnote w:id="1146">
    <w:p w14:paraId="015C786B" w14:textId="2AA1D3B4" w:rsidR="0030147D" w:rsidRPr="00E72418" w:rsidRDefault="0030147D" w:rsidP="00016C60">
      <w:pPr>
        <w:pStyle w:val="Sansinterligne"/>
        <w:rPr>
          <w:szCs w:val="20"/>
        </w:rPr>
      </w:pPr>
      <w:r w:rsidRPr="00E72418">
        <w:rPr>
          <w:rStyle w:val="Appelnotedebasdep"/>
          <w:szCs w:val="20"/>
        </w:rPr>
        <w:footnoteRef/>
      </w:r>
      <w:r w:rsidRPr="00E72418">
        <w:rPr>
          <w:szCs w:val="20"/>
        </w:rPr>
        <w:t xml:space="preserve"> </w:t>
      </w:r>
      <w:r w:rsidRPr="00E72418">
        <w:rPr>
          <w:smallCaps/>
          <w:szCs w:val="20"/>
        </w:rPr>
        <w:t>F. Dopagne</w:t>
      </w:r>
      <w:r w:rsidRPr="00E72418">
        <w:rPr>
          <w:szCs w:val="20"/>
        </w:rPr>
        <w:t>, « L’immunité de saisie des biens de l’État étranger et de l’organisation internationale : notes sur l’article 1412</w:t>
      </w:r>
      <w:r w:rsidRPr="00E72418">
        <w:rPr>
          <w:i/>
          <w:szCs w:val="20"/>
        </w:rPr>
        <w:t>quinquies</w:t>
      </w:r>
      <w:r w:rsidRPr="00E72418">
        <w:rPr>
          <w:szCs w:val="20"/>
        </w:rPr>
        <w:t xml:space="preserve"> du Code judiciaire », </w:t>
      </w:r>
      <w:r w:rsidRPr="00E72418">
        <w:rPr>
          <w:i/>
          <w:szCs w:val="20"/>
        </w:rPr>
        <w:t>op. cit.</w:t>
      </w:r>
      <w:r w:rsidRPr="00E72418">
        <w:rPr>
          <w:szCs w:val="20"/>
        </w:rPr>
        <w:t>, p. 61.</w:t>
      </w:r>
    </w:p>
  </w:footnote>
  <w:footnote w:id="1147">
    <w:p w14:paraId="1ED496F7" w14:textId="0C1F5F82" w:rsidR="0030147D" w:rsidRPr="00E72418" w:rsidRDefault="0030147D" w:rsidP="00F81042">
      <w:pPr>
        <w:pStyle w:val="Sansinterligne"/>
      </w:pPr>
      <w:r w:rsidRPr="00E72418">
        <w:rPr>
          <w:rStyle w:val="Appelnotedebasdep"/>
        </w:rPr>
        <w:footnoteRef/>
      </w:r>
      <w:r w:rsidRPr="00E72418">
        <w:t xml:space="preserve"> L’on peut, avec Pierre d’Argent, douter de la réelle possibilité qu’aura le créancier de rapporter une telle preuve lorsque seront, par exemple, convoitées des sommes sur des comptes d’ambassade (voyez P. </w:t>
      </w:r>
      <w:r w:rsidRPr="00E72418">
        <w:rPr>
          <w:smallCaps/>
        </w:rPr>
        <w:t>d’Argent</w:t>
      </w:r>
      <w:r w:rsidRPr="00E72418">
        <w:t xml:space="preserve">, « Le juge des saisies, le Conseil de sécurité et l’immunité d’exécution restreinte des États étrangers », </w:t>
      </w:r>
      <w:r w:rsidRPr="00E72418">
        <w:rPr>
          <w:i/>
          <w:szCs w:val="20"/>
        </w:rPr>
        <w:t>J.T.</w:t>
      </w:r>
      <w:r w:rsidRPr="00E72418">
        <w:t>, 1995, p. 572 qui note encore que « </w:t>
      </w:r>
      <w:r w:rsidRPr="00E72418">
        <w:rPr>
          <w:lang w:val="en-US"/>
        </w:rPr>
        <w:t>[c</w:t>
      </w:r>
      <w:r w:rsidRPr="00E72418">
        <w:rPr>
          <w:szCs w:val="20"/>
          <w:lang w:val="en-US"/>
        </w:rPr>
        <w:t>]</w:t>
      </w:r>
      <w:r w:rsidRPr="00E72418">
        <w:rPr>
          <w:lang w:val="en-US"/>
        </w:rPr>
        <w:t xml:space="preserve">ette difficulté semble toutefois incontournable, la rigueur du principe </w:t>
      </w:r>
      <w:r w:rsidRPr="00E72418">
        <w:rPr>
          <w:i/>
          <w:lang w:val="en-US"/>
        </w:rPr>
        <w:t>ne impediatur legatio</w:t>
      </w:r>
      <w:r w:rsidRPr="00E72418">
        <w:rPr>
          <w:lang w:val="en-US"/>
        </w:rPr>
        <w:t xml:space="preserve"> interdisant au juge de l’</w:t>
      </w:r>
      <w:r w:rsidRPr="00E72418">
        <w:rPr>
          <w:szCs w:val="20"/>
        </w:rPr>
        <w:t>É</w:t>
      </w:r>
      <w:r w:rsidRPr="00E72418">
        <w:rPr>
          <w:lang w:val="en-US"/>
        </w:rPr>
        <w:t xml:space="preserve">tat accréditaire d’exiger de l’ambassade le détail de l’utilisation de ses fonds </w:t>
      </w:r>
      <w:r w:rsidRPr="00E72418">
        <w:t>»).</w:t>
      </w:r>
    </w:p>
  </w:footnote>
  <w:footnote w:id="1148">
    <w:p w14:paraId="13828D7E" w14:textId="77E995CF" w:rsidR="0030147D" w:rsidRPr="00E72418" w:rsidRDefault="0030147D" w:rsidP="007F7216">
      <w:pPr>
        <w:pStyle w:val="Sansinterligne"/>
      </w:pPr>
      <w:r w:rsidRPr="00E72418">
        <w:rPr>
          <w:rStyle w:val="Appelnotedebasdep"/>
        </w:rPr>
        <w:footnoteRef/>
      </w:r>
      <w:r w:rsidRPr="00E72418">
        <w:t xml:space="preserve"> L’exigence d’une renonciation expresse et spéciale nécessitée par l’immunité d’exécution autonome dont bénéficient les missions diplomatiques des </w:t>
      </w:r>
      <w:r w:rsidRPr="00E72418">
        <w:rPr>
          <w:rFonts w:cs="Times New Roman"/>
          <w:szCs w:val="24"/>
        </w:rPr>
        <w:t>É</w:t>
      </w:r>
      <w:r w:rsidRPr="00E72418">
        <w:t xml:space="preserve">tats étrangers, pour le fonctionnement de la représentation de l’État accréditaire et les besoins de sa mission de souveraineté déjà retenue par la Cour de cassation française dans son arrêt du 28 septembre 2011 (pourvoi n° 09-72.057) avait conduit la société </w:t>
      </w:r>
      <w:r w:rsidRPr="00E72418">
        <w:rPr>
          <w:i/>
        </w:rPr>
        <w:t>NML Capital Ltd.</w:t>
      </w:r>
      <w:r w:rsidRPr="00E72418">
        <w:t xml:space="preserve"> à s’en plaindre auprès de la Cour européenne des droits de l’homme. Cette dernière rejeta la requête considérant que la requérante n’avait pas épuisé l’ensemble des voies de recours internes (Cour eur. D. H., 13 janvier 2015, </w:t>
      </w:r>
      <w:r w:rsidRPr="00E72418">
        <w:rPr>
          <w:i/>
        </w:rPr>
        <w:t>NML Capital Ltd. c. France</w:t>
      </w:r>
      <w:r w:rsidRPr="00E72418">
        <w:t>, décision, requête n° 23242/12).</w:t>
      </w:r>
    </w:p>
  </w:footnote>
  <w:footnote w:id="1149">
    <w:p w14:paraId="538447C2" w14:textId="1F114D42" w:rsidR="0030147D" w:rsidRPr="00E72418" w:rsidRDefault="0030147D" w:rsidP="006D50CA">
      <w:pPr>
        <w:pStyle w:val="Sansinterligne"/>
        <w:rPr>
          <w:szCs w:val="20"/>
          <w:lang w:val="en-US"/>
        </w:rPr>
      </w:pPr>
      <w:r w:rsidRPr="00E72418">
        <w:rPr>
          <w:rStyle w:val="Appelnotedebasdep"/>
          <w:szCs w:val="20"/>
        </w:rPr>
        <w:footnoteRef/>
      </w:r>
      <w:r w:rsidRPr="00E72418">
        <w:rPr>
          <w:szCs w:val="20"/>
        </w:rPr>
        <w:t xml:space="preserve"> C’est en tous cas dans ce sens que Frédéric Dopagne indique que « l’article 1412</w:t>
      </w:r>
      <w:r w:rsidRPr="00E72418">
        <w:rPr>
          <w:i/>
          <w:szCs w:val="20"/>
        </w:rPr>
        <w:t>quinquies</w:t>
      </w:r>
      <w:r w:rsidRPr="00E72418">
        <w:rPr>
          <w:szCs w:val="20"/>
        </w:rPr>
        <w:t xml:space="preserve"> du Code judiciaire n’érige pas quant à lui les biens de la mission diplomatique – ni d’autres biens – en catégorie soumise à un régime </w:t>
      </w:r>
      <w:r w:rsidRPr="00E72418">
        <w:rPr>
          <w:szCs w:val="20"/>
          <w:lang w:val="en-US"/>
        </w:rPr>
        <w:t>“autonome”</w:t>
      </w:r>
      <w:r w:rsidRPr="00E72418">
        <w:rPr>
          <w:szCs w:val="20"/>
        </w:rPr>
        <w:t xml:space="preserve"> </w:t>
      </w:r>
      <w:r w:rsidRPr="00E72418">
        <w:rPr>
          <w:rFonts w:ascii="Times New Roman" w:hAnsi="Times New Roman"/>
          <w:szCs w:val="20"/>
        </w:rPr>
        <w:t>[…]</w:t>
      </w:r>
      <w:r w:rsidRPr="00E72418">
        <w:rPr>
          <w:szCs w:val="20"/>
        </w:rPr>
        <w:t> : il assujettit au contraire l’ensemble des biens de l’</w:t>
      </w:r>
      <w:r w:rsidRPr="00E72418">
        <w:rPr>
          <w:szCs w:val="20"/>
          <w:lang w:eastAsia="fr-BE"/>
        </w:rPr>
        <w:t>É</w:t>
      </w:r>
      <w:r w:rsidRPr="00E72418">
        <w:rPr>
          <w:szCs w:val="20"/>
        </w:rPr>
        <w:t>tat étranger à la même immunité de saisie » (</w:t>
      </w:r>
      <w:r w:rsidRPr="00E72418">
        <w:rPr>
          <w:smallCaps/>
          <w:szCs w:val="20"/>
        </w:rPr>
        <w:t>F. Dopagne</w:t>
      </w:r>
      <w:r w:rsidRPr="00E72418">
        <w:rPr>
          <w:szCs w:val="20"/>
        </w:rPr>
        <w:t>, « L’immunité de saisie des biens de l’</w:t>
      </w:r>
      <w:r w:rsidRPr="00E72418">
        <w:rPr>
          <w:szCs w:val="20"/>
          <w:lang w:eastAsia="fr-BE"/>
        </w:rPr>
        <w:t>É</w:t>
      </w:r>
      <w:r w:rsidRPr="00E72418">
        <w:rPr>
          <w:szCs w:val="20"/>
        </w:rPr>
        <w:t>tat étranger et de l’organisation internationale : notes sur l’article 1412</w:t>
      </w:r>
      <w:r w:rsidRPr="00E72418">
        <w:rPr>
          <w:i/>
          <w:szCs w:val="20"/>
        </w:rPr>
        <w:t>quinquies</w:t>
      </w:r>
      <w:r w:rsidRPr="00E72418">
        <w:rPr>
          <w:szCs w:val="20"/>
        </w:rPr>
        <w:t xml:space="preserve"> du Code judiciaire », </w:t>
      </w:r>
      <w:r w:rsidRPr="00E72418">
        <w:rPr>
          <w:i/>
          <w:szCs w:val="20"/>
        </w:rPr>
        <w:t>op. cit.</w:t>
      </w:r>
      <w:r w:rsidRPr="00E72418">
        <w:rPr>
          <w:szCs w:val="20"/>
        </w:rPr>
        <w:t>, pp. 59 et 60). Selon Sanderijn Duquet et Jan Wouters, « </w:t>
      </w:r>
      <w:r w:rsidRPr="00E72418">
        <w:rPr>
          <w:rFonts w:ascii="Times New Roman" w:hAnsi="Times New Roman"/>
          <w:szCs w:val="20"/>
        </w:rPr>
        <w:t>[h]</w:t>
      </w:r>
      <w:r w:rsidRPr="00E72418">
        <w:rPr>
          <w:szCs w:val="20"/>
        </w:rPr>
        <w:t xml:space="preserve">et is onduidelijk of de wetgever daarmee het bestaan van een autonome diplomatieke immuniteit ontkent </w:t>
      </w:r>
      <w:r w:rsidRPr="00E72418">
        <w:rPr>
          <w:rFonts w:ascii="Times New Roman" w:hAnsi="Times New Roman"/>
          <w:szCs w:val="20"/>
        </w:rPr>
        <w:t xml:space="preserve">[…] </w:t>
      </w:r>
      <w:r w:rsidRPr="00E72418">
        <w:rPr>
          <w:szCs w:val="20"/>
        </w:rPr>
        <w:t xml:space="preserve">of deze simpelweg niet wenste te codificeren in het Gerechtelijk Wetboek </w:t>
      </w:r>
      <w:r w:rsidRPr="00E72418">
        <w:rPr>
          <w:rFonts w:ascii="Times New Roman" w:hAnsi="Times New Roman"/>
          <w:szCs w:val="20"/>
        </w:rPr>
        <w:t xml:space="preserve">[…] </w:t>
      </w:r>
      <w:r w:rsidRPr="00E72418">
        <w:rPr>
          <w:szCs w:val="20"/>
          <w:lang w:val="en-US"/>
        </w:rPr>
        <w:t>»</w:t>
      </w:r>
      <w:r w:rsidRPr="00E72418">
        <w:rPr>
          <w:szCs w:val="20"/>
        </w:rPr>
        <w:t xml:space="preserve"> (</w:t>
      </w:r>
      <w:r w:rsidRPr="00E72418">
        <w:rPr>
          <w:smallCaps/>
          <w:szCs w:val="20"/>
          <w:lang w:val="en-US"/>
        </w:rPr>
        <w:t>S. Duquet</w:t>
      </w:r>
      <w:r w:rsidRPr="00E72418">
        <w:rPr>
          <w:szCs w:val="20"/>
          <w:lang w:val="en-US"/>
        </w:rPr>
        <w:t xml:space="preserve"> et </w:t>
      </w:r>
      <w:r w:rsidRPr="00E72418">
        <w:rPr>
          <w:smallCaps/>
          <w:szCs w:val="20"/>
          <w:lang w:val="en-US"/>
        </w:rPr>
        <w:t>J. Wouters</w:t>
      </w:r>
      <w:r w:rsidRPr="00E72418">
        <w:rPr>
          <w:szCs w:val="20"/>
          <w:lang w:val="en-US"/>
        </w:rPr>
        <w:t xml:space="preserve">, « De (on)beslagbaarheid van bankrekeningen van buitenlandse ambassades », </w:t>
      </w:r>
      <w:r w:rsidRPr="00E72418">
        <w:rPr>
          <w:i/>
          <w:szCs w:val="20"/>
          <w:lang w:val="en-US"/>
        </w:rPr>
        <w:t>op. cit.</w:t>
      </w:r>
      <w:r w:rsidRPr="00E72418">
        <w:rPr>
          <w:szCs w:val="20"/>
          <w:lang w:val="en-US"/>
        </w:rPr>
        <w:t xml:space="preserve">, p. 1494). </w:t>
      </w:r>
      <w:r w:rsidRPr="00E72418">
        <w:rPr>
          <w:szCs w:val="20"/>
        </w:rPr>
        <w:t>La Cour de cassation belge avait pourtant retenu, dans un arrêt du 22 novembre 2012, qu’ « </w:t>
      </w:r>
      <w:r w:rsidRPr="00E72418">
        <w:rPr>
          <w:rFonts w:ascii="Times New Roman" w:hAnsi="Times New Roman"/>
          <w:szCs w:val="20"/>
        </w:rPr>
        <w:t>[e]</w:t>
      </w:r>
      <w:r w:rsidRPr="00E72418">
        <w:rPr>
          <w:szCs w:val="20"/>
        </w:rPr>
        <w:t xml:space="preserve">n vertu de la règle coutumière internationale </w:t>
      </w:r>
      <w:r w:rsidRPr="00E72418">
        <w:rPr>
          <w:i/>
          <w:szCs w:val="20"/>
        </w:rPr>
        <w:t>ne impediatur legatio</w:t>
      </w:r>
      <w:r w:rsidRPr="00E72418">
        <w:rPr>
          <w:szCs w:val="20"/>
        </w:rPr>
        <w:t xml:space="preserve">, suivant laquelle le fonctionnement de la mission diplomatique ne peut être entravé, l’ensemble des biens de cette mission qui servent à son fonctionnement bénéficie d’une immunité d’exécution autonome, se superposant à celle de l’État accréditant » </w:t>
      </w:r>
      <w:r w:rsidRPr="00E72418">
        <w:rPr>
          <w:rFonts w:cs="Times New Roman"/>
          <w:szCs w:val="20"/>
        </w:rPr>
        <w:t>et qu’ « </w:t>
      </w:r>
      <w:r w:rsidRPr="00E72418">
        <w:rPr>
          <w:rFonts w:ascii="Times New Roman" w:hAnsi="Times New Roman"/>
          <w:szCs w:val="20"/>
        </w:rPr>
        <w:t>[i]</w:t>
      </w:r>
      <w:r w:rsidRPr="00E72418">
        <w:rPr>
          <w:rFonts w:cs="Times New Roman"/>
          <w:szCs w:val="20"/>
        </w:rPr>
        <w:t>l s’ensuit qu’aucune saisie ou mesure d’exécution ne peut être pratiquée sur les biens affectés au fonctionnement d’une mission diplomatique, sauf si l’</w:t>
      </w:r>
      <w:r w:rsidRPr="00E72418">
        <w:rPr>
          <w:szCs w:val="20"/>
          <w:lang w:eastAsia="fr-BE"/>
        </w:rPr>
        <w:t>É</w:t>
      </w:r>
      <w:r w:rsidRPr="00E72418">
        <w:rPr>
          <w:rFonts w:cs="Times New Roman"/>
          <w:szCs w:val="20"/>
        </w:rPr>
        <w:t>tat accréditant consent expressément à l’adoption de mesures de contrainte pour cette catégorie de biens ou une partie de cette catégorie »</w:t>
      </w:r>
      <w:r w:rsidRPr="00E72418">
        <w:rPr>
          <w:szCs w:val="20"/>
        </w:rPr>
        <w:t xml:space="preserve"> (arrêt n° C.11.0688.F, </w:t>
      </w:r>
      <w:r w:rsidRPr="00E72418">
        <w:rPr>
          <w:i/>
          <w:szCs w:val="20"/>
        </w:rPr>
        <w:t>Pas.</w:t>
      </w:r>
      <w:r w:rsidRPr="00E72418">
        <w:rPr>
          <w:szCs w:val="20"/>
        </w:rPr>
        <w:t>, 2012, p. 2290).</w:t>
      </w:r>
    </w:p>
  </w:footnote>
  <w:footnote w:id="1150">
    <w:p w14:paraId="14C1C1BC" w14:textId="27B76225" w:rsidR="0030147D" w:rsidRPr="00E72418" w:rsidRDefault="0030147D" w:rsidP="006D50CA">
      <w:pPr>
        <w:pStyle w:val="Sansinterligne"/>
        <w:rPr>
          <w:szCs w:val="20"/>
        </w:rPr>
      </w:pPr>
      <w:r w:rsidRPr="00E72418">
        <w:rPr>
          <w:rStyle w:val="Appelnotedebasdep"/>
          <w:szCs w:val="20"/>
        </w:rPr>
        <w:footnoteRef/>
      </w:r>
      <w:r w:rsidRPr="00E72418">
        <w:rPr>
          <w:szCs w:val="20"/>
        </w:rPr>
        <w:t xml:space="preserve"> Si l’arrêt consacre cette immunité d’exécution autonome (Cour const., 27 avril 2017, n° 48/2017, points B.19.1. à B.19.4.), il n’en limite pas le bénéfice aux seuls biens utilisés dans l’exercice des fonctions de la mission diplomatique, la même exigence de renonciation expresse et spécifique étant requise pour que puissent, le cas échéant, être saisis les biens utilisés dans l’exercice des fonctions d’autres représentations visées à l’article 1412</w:t>
      </w:r>
      <w:r w:rsidRPr="00E72418">
        <w:rPr>
          <w:i/>
          <w:szCs w:val="20"/>
        </w:rPr>
        <w:t>quinquies</w:t>
      </w:r>
      <w:r w:rsidRPr="00E72418">
        <w:rPr>
          <w:szCs w:val="20"/>
        </w:rPr>
        <w:t xml:space="preserve"> du Code judiciaire. L’énonciation retenue correspond à celle contenue dans l’article 21(1), a) de la Convention des Nations Unies de 2004. Notons encore que la Cour parle, sans distinction apparente, notamment tantôt de biens affectés à l’exercice des fonctions, tantôt de biens utilisés dans l’exercice des fonctions alors qu’il nous apparaît qu’il y a sans doute là précisément matière à distinction. Cette immunité d’exécution autonome dont bénéficie l’ensemble des biens de la mission diplomatique avait déjà été retenue par la </w:t>
      </w:r>
      <w:r w:rsidR="006F23BB">
        <w:rPr>
          <w:szCs w:val="20"/>
        </w:rPr>
        <w:t>Cour de cassation belge dans l’arrêt précité d</w:t>
      </w:r>
      <w:r w:rsidRPr="00E72418">
        <w:rPr>
          <w:szCs w:val="20"/>
        </w:rPr>
        <w:t xml:space="preserve">u 22 novembre 2012 où s’opposaient la société </w:t>
      </w:r>
      <w:r w:rsidRPr="00E72418">
        <w:rPr>
          <w:i/>
          <w:szCs w:val="20"/>
        </w:rPr>
        <w:t>NML Capital Ltd.</w:t>
      </w:r>
      <w:r w:rsidRPr="00E72418">
        <w:rPr>
          <w:szCs w:val="20"/>
        </w:rPr>
        <w:t xml:space="preserve"> et la République argentine, lequel arrêt pouvait être tenu comme étant, suivant les termes de Pierre d’Argent, « une décision de principe importante » (P. </w:t>
      </w:r>
      <w:r w:rsidRPr="00E72418">
        <w:rPr>
          <w:smallCaps/>
          <w:szCs w:val="20"/>
        </w:rPr>
        <w:t>d</w:t>
      </w:r>
      <w:r w:rsidRPr="00E72418">
        <w:rPr>
          <w:szCs w:val="20"/>
        </w:rPr>
        <w:t>’</w:t>
      </w:r>
      <w:r w:rsidRPr="00E72418">
        <w:rPr>
          <w:smallCaps/>
          <w:szCs w:val="20"/>
        </w:rPr>
        <w:t>Argent</w:t>
      </w:r>
      <w:r w:rsidRPr="00E72418">
        <w:rPr>
          <w:szCs w:val="20"/>
        </w:rPr>
        <w:t xml:space="preserve">, </w:t>
      </w:r>
      <w:r w:rsidRPr="00E72418">
        <w:rPr>
          <w:rFonts w:cs="Times New Roman"/>
          <w:szCs w:val="24"/>
        </w:rPr>
        <w:t xml:space="preserve">« Saisies de comptes d’ambassade, immunité d’exécution et renonciation contractuelle », </w:t>
      </w:r>
      <w:r w:rsidRPr="00E72418">
        <w:rPr>
          <w:i/>
          <w:szCs w:val="20"/>
        </w:rPr>
        <w:t>J.T.</w:t>
      </w:r>
      <w:r w:rsidRPr="00E72418">
        <w:rPr>
          <w:rFonts w:cs="Times New Roman"/>
          <w:szCs w:val="24"/>
        </w:rPr>
        <w:t>, 2013, p. 290).</w:t>
      </w:r>
    </w:p>
  </w:footnote>
  <w:footnote w:id="1151">
    <w:p w14:paraId="68320995" w14:textId="389A49E0" w:rsidR="0030147D" w:rsidRPr="00E72418" w:rsidRDefault="0030147D" w:rsidP="002A4F00">
      <w:pPr>
        <w:pStyle w:val="Sansinterligne"/>
        <w:rPr>
          <w:szCs w:val="20"/>
        </w:rPr>
      </w:pPr>
      <w:r w:rsidRPr="00E72418">
        <w:rPr>
          <w:rStyle w:val="Appelnotedebasdep"/>
          <w:szCs w:val="20"/>
        </w:rPr>
        <w:footnoteRef/>
      </w:r>
      <w:r w:rsidRPr="00E72418">
        <w:rPr>
          <w:szCs w:val="20"/>
        </w:rPr>
        <w:t xml:space="preserve"> Voyez </w:t>
      </w:r>
      <w:r w:rsidRPr="00E72418">
        <w:rPr>
          <w:smallCaps/>
          <w:szCs w:val="20"/>
        </w:rPr>
        <w:t>D. Stewart</w:t>
      </w:r>
      <w:r w:rsidRPr="00E72418">
        <w:rPr>
          <w:szCs w:val="20"/>
        </w:rPr>
        <w:t xml:space="preserve">, </w:t>
      </w:r>
      <w:r w:rsidRPr="00E72418">
        <w:rPr>
          <w:rFonts w:ascii="Times New Roman" w:hAnsi="Times New Roman" w:cs="Times New Roman"/>
          <w:szCs w:val="24"/>
        </w:rPr>
        <w:t>« The Foreign Sovereign Immunities Act: A Guide for Judges »</w:t>
      </w:r>
      <w:r w:rsidRPr="00E72418">
        <w:rPr>
          <w:szCs w:val="20"/>
        </w:rPr>
        <w:t>, Federal Judicial Center, 2013, p 79 : « </w:t>
      </w:r>
      <w:r w:rsidRPr="00E72418">
        <w:rPr>
          <w:rFonts w:ascii="Times New Roman" w:hAnsi="Times New Roman"/>
          <w:szCs w:val="20"/>
        </w:rPr>
        <w:t>[e]</w:t>
      </w:r>
      <w:r w:rsidRPr="00E72418">
        <w:rPr>
          <w:szCs w:val="20"/>
        </w:rPr>
        <w:t>fforts to enforce judgments against property that is otherwise inviolable or immune (such as embassies, consulates, or their bank accounts falling under the Vienna Conventions on Diplomatic or Consular Relations) have been rejected ».</w:t>
      </w:r>
    </w:p>
  </w:footnote>
  <w:footnote w:id="1152">
    <w:p w14:paraId="2BDCAB25" w14:textId="6BE7124C" w:rsidR="0030147D" w:rsidRPr="00E72418" w:rsidRDefault="0030147D" w:rsidP="00B17759">
      <w:pPr>
        <w:pStyle w:val="Sansinterligne"/>
        <w:rPr>
          <w:lang w:val="en-US"/>
        </w:rPr>
      </w:pPr>
      <w:r w:rsidRPr="00E72418">
        <w:rPr>
          <w:rStyle w:val="Appelnotedebasdep"/>
        </w:rPr>
        <w:footnoteRef/>
      </w:r>
      <w:r w:rsidRPr="00E72418">
        <w:rPr>
          <w:lang w:val="en-US"/>
        </w:rPr>
        <w:t xml:space="preserve"> L. </w:t>
      </w:r>
      <w:r w:rsidRPr="00E72418">
        <w:rPr>
          <w:smallCaps/>
          <w:lang w:val="en-US"/>
        </w:rPr>
        <w:t>Buchheit</w:t>
      </w:r>
      <w:r w:rsidRPr="00E72418">
        <w:rPr>
          <w:lang w:val="en-US"/>
        </w:rPr>
        <w:t xml:space="preserve"> et E. </w:t>
      </w:r>
      <w:r w:rsidRPr="00E72418">
        <w:rPr>
          <w:smallCaps/>
          <w:lang w:val="en-US"/>
        </w:rPr>
        <w:t>Daly</w:t>
      </w:r>
      <w:r w:rsidRPr="00E72418">
        <w:rPr>
          <w:lang w:val="en-US"/>
        </w:rPr>
        <w:t>, « Minimizing Holdout Creditors – Carrots »,</w:t>
      </w:r>
      <w:r w:rsidRPr="00E72418">
        <w:rPr>
          <w:i/>
          <w:szCs w:val="20"/>
          <w:lang w:val="en-US"/>
        </w:rPr>
        <w:t xml:space="preserve"> op. cit.</w:t>
      </w:r>
      <w:r w:rsidRPr="00E72418">
        <w:rPr>
          <w:lang w:val="en-US"/>
        </w:rPr>
        <w:t>, p. 4.</w:t>
      </w:r>
    </w:p>
  </w:footnote>
  <w:footnote w:id="1153">
    <w:p w14:paraId="749F9CE4" w14:textId="247E5C4C" w:rsidR="0030147D" w:rsidRPr="00E72418" w:rsidRDefault="0030147D" w:rsidP="00717742">
      <w:pPr>
        <w:pStyle w:val="Sansinterligne"/>
      </w:pPr>
      <w:r w:rsidRPr="00E72418">
        <w:rPr>
          <w:rStyle w:val="Appelnotedebasdep"/>
        </w:rPr>
        <w:footnoteRef/>
      </w:r>
      <w:r w:rsidRPr="00E72418">
        <w:t xml:space="preserve"> Voyez toutefois la fin de l’article 14(4) pour le cas où la banque centrale (ou l’autorité monétaire) constitue une entité séparée.</w:t>
      </w:r>
    </w:p>
  </w:footnote>
  <w:footnote w:id="1154">
    <w:p w14:paraId="6EDFD79C" w14:textId="0E09B799" w:rsidR="0030147D" w:rsidRPr="00E72418" w:rsidRDefault="0030147D" w:rsidP="00B51A82">
      <w:pPr>
        <w:pStyle w:val="Sansinterligne"/>
      </w:pPr>
      <w:r w:rsidRPr="00E72418">
        <w:rPr>
          <w:rStyle w:val="Appelnotedebasdep"/>
        </w:rPr>
        <w:footnoteRef/>
      </w:r>
      <w:r w:rsidRPr="00E72418">
        <w:t xml:space="preserve"> Par un arrêt du 12 mai 2021, la Cour de cassation française a retenu que </w:t>
      </w:r>
      <w:r w:rsidRPr="00E72418">
        <w:rPr>
          <w:shd w:val="clear" w:color="auto" w:fill="FFFFFF"/>
        </w:rPr>
        <w:t xml:space="preserve">si cette insaisissabilité constitue une ingérence dans l’exercice du droit à l’exécution et du droit de propriété du créancier, elle poursuit un but légitime en ce qu’elle vise à préserver le fonctionnement d’institutions qui concourent à la définition et à la mise en </w:t>
      </w:r>
      <w:r w:rsidRPr="00E72418">
        <w:rPr>
          <w:szCs w:val="20"/>
        </w:rPr>
        <w:t>œuvre</w:t>
      </w:r>
      <w:r w:rsidRPr="00E72418">
        <w:rPr>
          <w:shd w:val="clear" w:color="auto" w:fill="FFFFFF"/>
        </w:rPr>
        <w:t xml:space="preserve"> de la politique monétaire et à prévenir un blocage des réserves de change placées en France. La Cour ajoute que l’insaisissabilité se trouve proportionnée, dès lors qu’elle ne s’applique qu’aux valeurs ou biens détenus en France par les banques centrales ou les autorités monétaires étrangères et non à l’ensemble du patrimoine de l’</w:t>
      </w:r>
      <w:r w:rsidRPr="00E72418">
        <w:rPr>
          <w:rFonts w:ascii="Times New Roman" w:eastAsia="Times New Roman" w:hAnsi="Times New Roman" w:cs="Times New Roman"/>
          <w:bCs/>
          <w:szCs w:val="24"/>
          <w:lang w:eastAsia="fr-BE"/>
        </w:rPr>
        <w:t>É</w:t>
      </w:r>
      <w:r w:rsidRPr="00E72418">
        <w:rPr>
          <w:shd w:val="clear" w:color="auto" w:fill="FFFFFF"/>
        </w:rPr>
        <w:t xml:space="preserve">tat ou des </w:t>
      </w:r>
      <w:r w:rsidRPr="00E72418">
        <w:rPr>
          <w:rFonts w:ascii="Times New Roman" w:eastAsia="Times New Roman" w:hAnsi="Times New Roman" w:cs="Times New Roman"/>
          <w:bCs/>
          <w:szCs w:val="24"/>
          <w:lang w:eastAsia="fr-BE"/>
        </w:rPr>
        <w:t>É</w:t>
      </w:r>
      <w:r w:rsidRPr="00E72418">
        <w:rPr>
          <w:shd w:val="clear" w:color="auto" w:fill="FFFFFF"/>
        </w:rPr>
        <w:t>tats étrangers dont elles relèvent</w:t>
      </w:r>
      <w:r w:rsidRPr="00E72418">
        <w:t xml:space="preserve"> (Cass. (F.), 12 mai 2021, pourvoi n° 19-13.853).</w:t>
      </w:r>
    </w:p>
  </w:footnote>
  <w:footnote w:id="1155">
    <w:p w14:paraId="4B9E74B2" w14:textId="034AEC49" w:rsidR="0030147D" w:rsidRPr="00E72418" w:rsidRDefault="0030147D" w:rsidP="00B17759">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117 et suiv.</w:t>
      </w:r>
    </w:p>
  </w:footnote>
  <w:footnote w:id="1156">
    <w:p w14:paraId="18EFAABB" w14:textId="5C3941F5" w:rsidR="0030147D" w:rsidRPr="00E72418" w:rsidRDefault="0030147D" w:rsidP="00B17759">
      <w:pPr>
        <w:pStyle w:val="Sansinterligne"/>
        <w:rPr>
          <w:lang w:val="en-US"/>
        </w:rPr>
      </w:pPr>
      <w:r w:rsidRPr="00E72418">
        <w:rPr>
          <w:rStyle w:val="Appelnotedebasdep"/>
        </w:rPr>
        <w:footnoteRef/>
      </w:r>
      <w:r w:rsidRPr="00E72418">
        <w:t xml:space="preserve"> </w:t>
      </w:r>
      <w:r w:rsidRPr="00E72418">
        <w:rPr>
          <w:rFonts w:ascii="Times New Roman" w:hAnsi="Times New Roman" w:cs="Times New Roman"/>
          <w:szCs w:val="20"/>
          <w:lang w:val="en-US"/>
        </w:rPr>
        <w:t xml:space="preserve">United States District Court for the Southern District of New York (EUA), 26 avril 2000, </w:t>
      </w:r>
      <w:r w:rsidRPr="00E72418">
        <w:rPr>
          <w:i/>
          <w:szCs w:val="20"/>
          <w:lang w:val="en-US"/>
        </w:rPr>
        <w:t>LNC Investments Inc. v. Republic of Nicaragua</w:t>
      </w:r>
      <w:r w:rsidRPr="00E72418">
        <w:rPr>
          <w:rFonts w:ascii="Times New Roman" w:hAnsi="Times New Roman" w:cs="Times New Roman"/>
          <w:szCs w:val="20"/>
          <w:lang w:val="en-US"/>
        </w:rPr>
        <w:t xml:space="preserve">, </w:t>
      </w:r>
      <w:r w:rsidRPr="00E72418">
        <w:rPr>
          <w:rFonts w:ascii="Times New Roman" w:hAnsi="Times New Roman" w:cs="Times New Roman"/>
          <w:szCs w:val="20"/>
        </w:rPr>
        <w:t>115 F. Supp. 2d 358 (c</w:t>
      </w:r>
      <w:r w:rsidRPr="00E72418">
        <w:rPr>
          <w:rFonts w:ascii="Times New Roman" w:hAnsi="Times New Roman" w:cs="Times New Roman"/>
          <w:szCs w:val="20"/>
          <w:lang w:val="en-US"/>
        </w:rPr>
        <w:t xml:space="preserve">ette décision fut confirmée </w:t>
      </w:r>
      <w:r w:rsidRPr="00E72418">
        <w:rPr>
          <w:rFonts w:cs="Times New Roman"/>
          <w:szCs w:val="20"/>
          <w:lang w:val="en-US"/>
        </w:rPr>
        <w:t xml:space="preserve">en appel, voyez </w:t>
      </w:r>
      <w:r w:rsidRPr="00E72418">
        <w:rPr>
          <w:rFonts w:ascii="Times New Roman" w:hAnsi="Times New Roman" w:cs="Times New Roman"/>
          <w:szCs w:val="20"/>
          <w:shd w:val="clear" w:color="auto" w:fill="FFFFFF"/>
        </w:rPr>
        <w:t>United States Court of Appeals for the Second Circuit (EUA)</w:t>
      </w:r>
      <w:r w:rsidRPr="00E72418">
        <w:rPr>
          <w:rFonts w:cs="Times New Roman"/>
          <w:szCs w:val="20"/>
          <w:shd w:val="clear" w:color="auto" w:fill="FFFFFF"/>
        </w:rPr>
        <w:t xml:space="preserve">, </w:t>
      </w:r>
      <w:r w:rsidRPr="00E72418">
        <w:rPr>
          <w:rFonts w:ascii="Times New Roman" w:hAnsi="Times New Roman" w:cs="Times New Roman"/>
          <w:szCs w:val="20"/>
          <w:shd w:val="clear" w:color="auto" w:fill="FFFFFF"/>
        </w:rPr>
        <w:t xml:space="preserve">20 septembre 2000, </w:t>
      </w:r>
      <w:r w:rsidRPr="00E72418">
        <w:rPr>
          <w:rFonts w:ascii="Times New Roman" w:hAnsi="Times New Roman" w:cs="Times New Roman"/>
          <w:i/>
          <w:szCs w:val="20"/>
        </w:rPr>
        <w:t xml:space="preserve">LNC Investments, Inc. v. </w:t>
      </w:r>
      <w:r w:rsidRPr="00E72418">
        <w:rPr>
          <w:rFonts w:cs="Times New Roman"/>
          <w:i/>
          <w:szCs w:val="20"/>
        </w:rPr>
        <w:t>Banco central de Nicaragua</w:t>
      </w:r>
      <w:r w:rsidRPr="00E72418">
        <w:rPr>
          <w:rFonts w:cs="Times New Roman"/>
          <w:szCs w:val="20"/>
        </w:rPr>
        <w:t xml:space="preserve">, </w:t>
      </w:r>
      <w:r w:rsidRPr="00E72418">
        <w:rPr>
          <w:rFonts w:ascii="Times New Roman" w:hAnsi="Times New Roman" w:cs="Times New Roman"/>
          <w:szCs w:val="20"/>
        </w:rPr>
        <w:t>228 F.3d 423).</w:t>
      </w:r>
    </w:p>
  </w:footnote>
  <w:footnote w:id="1157">
    <w:p w14:paraId="3D758826" w14:textId="30070D9A" w:rsidR="0030147D" w:rsidRPr="00E72418" w:rsidRDefault="0030147D" w:rsidP="00B17759">
      <w:pPr>
        <w:pStyle w:val="Sansinterligne"/>
      </w:pPr>
      <w:r w:rsidRPr="00E72418">
        <w:rPr>
          <w:rStyle w:val="Appelnotedebasdep"/>
        </w:rPr>
        <w:footnoteRef/>
      </w:r>
      <w:r w:rsidRPr="00E72418">
        <w:t xml:space="preserve"> </w:t>
      </w:r>
      <w:r w:rsidRPr="00E72418">
        <w:rPr>
          <w:rFonts w:ascii="Times New Roman" w:hAnsi="Times New Roman" w:cs="Times New Roman"/>
          <w:szCs w:val="20"/>
          <w:lang w:val="en-US"/>
        </w:rPr>
        <w:t xml:space="preserve">United States District Court for the Southern District of New York (EUA), 26 avril 2000, </w:t>
      </w:r>
      <w:r w:rsidRPr="00E72418">
        <w:rPr>
          <w:i/>
          <w:szCs w:val="20"/>
          <w:lang w:val="en-US"/>
        </w:rPr>
        <w:t>LNC Investments Inc. v. Republic of Nicaragua</w:t>
      </w:r>
      <w:r w:rsidRPr="00E72418">
        <w:rPr>
          <w:rFonts w:ascii="Times New Roman" w:hAnsi="Times New Roman" w:cs="Times New Roman"/>
          <w:szCs w:val="20"/>
          <w:lang w:val="en-US"/>
        </w:rPr>
        <w:t xml:space="preserve">, </w:t>
      </w:r>
      <w:r w:rsidRPr="00E72418">
        <w:rPr>
          <w:rFonts w:ascii="Times New Roman" w:hAnsi="Times New Roman" w:cs="Times New Roman"/>
          <w:szCs w:val="20"/>
        </w:rPr>
        <w:t>115 F. Supp. 2d 358</w:t>
      </w:r>
      <w:r w:rsidRPr="00E72418">
        <w:t>, pp. 363 et 366.</w:t>
      </w:r>
    </w:p>
  </w:footnote>
  <w:footnote w:id="1158">
    <w:p w14:paraId="60F4E6D4" w14:textId="2E1C7E0E" w:rsidR="0030147D" w:rsidRPr="00E72418" w:rsidRDefault="0030147D" w:rsidP="00B17759">
      <w:pPr>
        <w:pStyle w:val="Sansinterligne"/>
      </w:pPr>
      <w:r w:rsidRPr="00E72418">
        <w:rPr>
          <w:rStyle w:val="Appelnotedebasdep"/>
        </w:rPr>
        <w:footnoteRef/>
      </w:r>
      <w:r w:rsidRPr="00E72418">
        <w:rPr>
          <w:lang w:val="en-US"/>
        </w:rPr>
        <w:t xml:space="preserve"> </w:t>
      </w:r>
      <w:r w:rsidRPr="00E72418">
        <w:rPr>
          <w:rStyle w:val="SansinterligneCar"/>
          <w:lang w:val="en-US"/>
        </w:rPr>
        <w:t xml:space="preserve">United States Court of Appeals for the Second Circuit (EUA), 5 juillet 2011, </w:t>
      </w:r>
      <w:r w:rsidRPr="00E72418">
        <w:rPr>
          <w:rStyle w:val="SansinterligneCar"/>
          <w:i/>
          <w:lang w:val="en-US"/>
        </w:rPr>
        <w:t>NML Capital, Ltd. v. Banco Cent. De La Republica Arg.</w:t>
      </w:r>
      <w:r w:rsidRPr="00E72418">
        <w:rPr>
          <w:rStyle w:val="SansinterligneCar"/>
          <w:lang w:val="en-US"/>
        </w:rPr>
        <w:t xml:space="preserve">, 652 F.3d 172, p. 196. En première instance, devant la </w:t>
      </w:r>
      <w:r w:rsidRPr="00E72418">
        <w:rPr>
          <w:rStyle w:val="SansinterligneCar"/>
          <w:i/>
          <w:lang w:val="en-US"/>
        </w:rPr>
        <w:t>United States District Court for the Southern District of New York</w:t>
      </w:r>
      <w:r w:rsidRPr="00E72418">
        <w:rPr>
          <w:rStyle w:val="SansinterligneCar"/>
          <w:lang w:val="en-US"/>
        </w:rPr>
        <w:t xml:space="preserve">, il avait été retenu que « funds of central bank that were on deposit at federal reserve bank in United States were property used for “commercial activity in the United States” ». La Cour en avait retenu que « the provisions of the FSIA, when properly applied, permitted such attachments and restraints » poursuivis par le créancier de l’Argentine (United States District Court for the Southern District of New York (EUA), 7 avril 2010, </w:t>
      </w:r>
      <w:r w:rsidRPr="00E72418">
        <w:rPr>
          <w:rStyle w:val="SansinterligneCar"/>
          <w:i/>
          <w:lang w:val="en-US"/>
        </w:rPr>
        <w:t>EM Ltd. v. The Republic of Argentina</w:t>
      </w:r>
      <w:r w:rsidRPr="00E72418">
        <w:rPr>
          <w:rStyle w:val="SansinterligneCar"/>
          <w:lang w:val="en-US"/>
        </w:rPr>
        <w:t>, 720 F. Supp. 2d 273, pp. 273 et 304).</w:t>
      </w:r>
    </w:p>
  </w:footnote>
  <w:footnote w:id="1159">
    <w:p w14:paraId="2E4848BB" w14:textId="77777777" w:rsidR="0030147D" w:rsidRPr="00E72418" w:rsidRDefault="0030147D" w:rsidP="00B17759">
      <w:pPr>
        <w:pStyle w:val="Sansinterligne"/>
        <w:rPr>
          <w:lang w:val="en-US"/>
        </w:rPr>
      </w:pPr>
      <w:r w:rsidRPr="00E72418">
        <w:rPr>
          <w:rStyle w:val="Appelnotedebasdep"/>
        </w:rPr>
        <w:footnoteRef/>
      </w:r>
      <w:r w:rsidRPr="00E72418">
        <w:rPr>
          <w:lang w:val="en-US"/>
        </w:rPr>
        <w:t xml:space="preserve"> United States Court of Appeals for the Second Circuit (EUA), 5 juillet 2011, </w:t>
      </w:r>
      <w:r w:rsidRPr="00E72418">
        <w:rPr>
          <w:i/>
          <w:lang w:val="en-US"/>
        </w:rPr>
        <w:t>NML Capital, Ltd. v. Banco Cent. De La Republica Arg.</w:t>
      </w:r>
      <w:r w:rsidRPr="00E72418">
        <w:rPr>
          <w:lang w:val="en-US"/>
        </w:rPr>
        <w:t>, 652 F.3d 172, p. 190.</w:t>
      </w:r>
    </w:p>
  </w:footnote>
  <w:footnote w:id="1160">
    <w:p w14:paraId="261AEF20" w14:textId="05D98C35" w:rsidR="0030147D" w:rsidRPr="00E72418" w:rsidRDefault="0030147D" w:rsidP="00B17759">
      <w:pPr>
        <w:pStyle w:val="Sansinterligne"/>
        <w:rPr>
          <w:lang w:val="en-US"/>
        </w:rPr>
      </w:pPr>
      <w:r w:rsidRPr="00E72418">
        <w:rPr>
          <w:rStyle w:val="Appelnotedebasdep"/>
        </w:rPr>
        <w:footnoteRef/>
      </w:r>
      <w:r w:rsidRPr="00E72418">
        <w:rPr>
          <w:lang w:val="en-US"/>
        </w:rPr>
        <w:t xml:space="preserve"> United States Court of Appeals for the Second Circuit (EUA), </w:t>
      </w:r>
      <w:r w:rsidRPr="00E72418">
        <w:rPr>
          <w:rStyle w:val="injectednode"/>
          <w:lang w:val="en-US"/>
        </w:rPr>
        <w:t>31 août 2015,</w:t>
      </w:r>
      <w:r w:rsidRPr="00E72418">
        <w:rPr>
          <w:lang w:val="en-US"/>
        </w:rPr>
        <w:t xml:space="preserve"> </w:t>
      </w:r>
      <w:r w:rsidRPr="00E72418">
        <w:rPr>
          <w:i/>
          <w:lang w:val="en-US"/>
        </w:rPr>
        <w:t>EM Ltd. v. Banco Central de la Republica Argentina</w:t>
      </w:r>
      <w:r w:rsidRPr="00E72418">
        <w:rPr>
          <w:rStyle w:val="injectednode"/>
          <w:lang w:val="en-US"/>
        </w:rPr>
        <w:t xml:space="preserve">, 800 F.3d 78, p. 79. </w:t>
      </w:r>
      <w:r w:rsidRPr="00E72418">
        <w:t xml:space="preserve">Notant que la </w:t>
      </w:r>
      <w:r w:rsidRPr="00E72418">
        <w:rPr>
          <w:i/>
        </w:rPr>
        <w:t>Federal Reserve Bank of New York</w:t>
      </w:r>
      <w:r w:rsidRPr="00E72418">
        <w:t xml:space="preserve"> détient une très grande partie de réserves en dollars des </w:t>
      </w:r>
      <w:r w:rsidRPr="00E72418">
        <w:rPr>
          <w:lang w:eastAsia="fr-BE"/>
        </w:rPr>
        <w:t>É</w:t>
      </w:r>
      <w:r w:rsidRPr="00E72418">
        <w:t xml:space="preserve">tats étrangers, Caroline Kleiner relève la conséquence désastreuse si la juridiction avait dû faire une autre lecture du </w:t>
      </w:r>
      <w:r w:rsidRPr="00E72418">
        <w:rPr>
          <w:rFonts w:cs="Times New Roman"/>
          <w:i/>
          <w:szCs w:val="24"/>
        </w:rPr>
        <w:t xml:space="preserve">Foreign Sovereign Immunities Act. </w:t>
      </w:r>
      <w:r w:rsidRPr="00E72418">
        <w:rPr>
          <w:rFonts w:cs="Times New Roman"/>
          <w:szCs w:val="24"/>
        </w:rPr>
        <w:t xml:space="preserve">Ainsi, si </w:t>
      </w:r>
      <w:r w:rsidRPr="00E72418">
        <w:t xml:space="preserve">les avoirs des banques centrales étaient libres de toute saisie sur le territoire américain, cela aurait de lourdes conséquences négatives tant pour les </w:t>
      </w:r>
      <w:r w:rsidRPr="00E72418">
        <w:rPr>
          <w:lang w:eastAsia="fr-BE"/>
        </w:rPr>
        <w:t>É</w:t>
      </w:r>
      <w:r w:rsidRPr="00E72418">
        <w:t xml:space="preserve">tats saisis que pour l’économie étatsunienne et le rôle de place financière mondiale du pays (C. </w:t>
      </w:r>
      <w:r w:rsidRPr="00E72418">
        <w:rPr>
          <w:smallCaps/>
        </w:rPr>
        <w:t>Kleiner</w:t>
      </w:r>
      <w:r w:rsidRPr="00E72418">
        <w:t xml:space="preserve">, « Les affaires relatives à la dette souveraine argentine – Un contentieux collectif et transnational en quête de règle et de tribunal », </w:t>
      </w:r>
      <w:r w:rsidRPr="00E72418">
        <w:rPr>
          <w:i/>
          <w:szCs w:val="20"/>
          <w:lang w:val="en-US"/>
        </w:rPr>
        <w:t>op. cit.</w:t>
      </w:r>
      <w:r w:rsidRPr="00E72418">
        <w:t>, p. 771).</w:t>
      </w:r>
    </w:p>
  </w:footnote>
  <w:footnote w:id="1161">
    <w:p w14:paraId="72545326" w14:textId="58619469" w:rsidR="0030147D" w:rsidRPr="00E72418" w:rsidRDefault="0030147D" w:rsidP="00B17759">
      <w:pPr>
        <w:pStyle w:val="Sansinterligne"/>
        <w:rPr>
          <w:lang w:val="en-US"/>
        </w:rPr>
      </w:pPr>
      <w:r w:rsidRPr="00E72418">
        <w:rPr>
          <w:rStyle w:val="Appelnotedebasdep"/>
        </w:rPr>
        <w:footnoteRef/>
      </w:r>
      <w:r w:rsidRPr="00E72418">
        <w:rPr>
          <w:lang w:val="en-US"/>
        </w:rPr>
        <w:t xml:space="preserve"> J. </w:t>
      </w:r>
      <w:r w:rsidRPr="00E72418">
        <w:rPr>
          <w:smallCaps/>
          <w:lang w:val="en-US"/>
        </w:rPr>
        <w:t>Blackman</w:t>
      </w:r>
      <w:r w:rsidRPr="00E72418">
        <w:rPr>
          <w:lang w:val="en-US"/>
        </w:rPr>
        <w:t xml:space="preserve"> et R. </w:t>
      </w:r>
      <w:r w:rsidRPr="00E72418">
        <w:rPr>
          <w:smallCaps/>
          <w:lang w:val="en-US"/>
        </w:rPr>
        <w:t>Mukhi</w:t>
      </w:r>
      <w:r w:rsidRPr="00E72418">
        <w:rPr>
          <w:lang w:val="en-US"/>
        </w:rPr>
        <w:t xml:space="preserve">, </w:t>
      </w:r>
      <w:r w:rsidRPr="00E72418">
        <w:rPr>
          <w:rStyle w:val="Titre5Car"/>
          <w:color w:val="auto"/>
          <w:lang w:val="en-US"/>
        </w:rPr>
        <w:t xml:space="preserve">« </w:t>
      </w:r>
      <w:r w:rsidRPr="00E72418">
        <w:rPr>
          <w:lang w:val="en-US"/>
        </w:rPr>
        <w:t xml:space="preserve">The Evolution of Modern Sovereign Debt Litigation: Vultures, Alter Egos, and Other Legal Fauna », </w:t>
      </w:r>
      <w:r w:rsidRPr="00E72418">
        <w:rPr>
          <w:i/>
          <w:szCs w:val="20"/>
          <w:lang w:val="en-US"/>
        </w:rPr>
        <w:t>op. cit.</w:t>
      </w:r>
      <w:r w:rsidRPr="00E72418">
        <w:rPr>
          <w:lang w:val="en-US"/>
        </w:rPr>
        <w:t>, p. 59.</w:t>
      </w:r>
    </w:p>
  </w:footnote>
  <w:footnote w:id="1162">
    <w:p w14:paraId="2806BF4F" w14:textId="77777777" w:rsidR="0030147D" w:rsidRPr="00E72418" w:rsidRDefault="0030147D" w:rsidP="00B17759">
      <w:pPr>
        <w:pStyle w:val="Sansinterligne"/>
        <w:rPr>
          <w:lang w:val="en-US"/>
        </w:rPr>
      </w:pPr>
      <w:r w:rsidRPr="00E72418">
        <w:rPr>
          <w:rStyle w:val="Appelnotedebasdep"/>
        </w:rPr>
        <w:footnoteRef/>
      </w:r>
      <w:r w:rsidRPr="00E72418">
        <w:rPr>
          <w:lang w:val="en-US"/>
        </w:rPr>
        <w:t xml:space="preserve"> United States Court of Appeals for the Second Circuit (EUA), 5 janvier 2007, </w:t>
      </w:r>
      <w:r w:rsidRPr="00E72418">
        <w:rPr>
          <w:i/>
          <w:lang w:val="en-US"/>
        </w:rPr>
        <w:t>EM Ltd. v. Republic of Arg.</w:t>
      </w:r>
      <w:r w:rsidRPr="00E72418">
        <w:rPr>
          <w:rStyle w:val="injectednode"/>
          <w:lang w:val="en-US"/>
        </w:rPr>
        <w:t>, 473 F.3d 463, p. 480.</w:t>
      </w:r>
    </w:p>
  </w:footnote>
  <w:footnote w:id="1163">
    <w:p w14:paraId="25E5FFC2" w14:textId="34AC21D0" w:rsidR="0030147D" w:rsidRPr="00E72418" w:rsidRDefault="0030147D" w:rsidP="00B17759">
      <w:pPr>
        <w:pStyle w:val="Sansinterligne"/>
        <w:rPr>
          <w:lang w:val="en-US"/>
        </w:rPr>
      </w:pPr>
      <w:r w:rsidRPr="00E72418">
        <w:rPr>
          <w:rStyle w:val="Appelnotedebasdep"/>
        </w:rPr>
        <w:footnoteRef/>
      </w:r>
      <w:r w:rsidRPr="00E72418">
        <w:rPr>
          <w:lang w:val="en-US"/>
        </w:rPr>
        <w:t xml:space="preserve"> </w:t>
      </w:r>
      <w:r w:rsidRPr="00E72418">
        <w:rPr>
          <w:i/>
          <w:lang w:val="en-US"/>
        </w:rPr>
        <w:t>Ibid.</w:t>
      </w:r>
      <w:r w:rsidRPr="00E72418">
        <w:rPr>
          <w:rStyle w:val="injectednode"/>
          <w:lang w:val="en-US"/>
        </w:rPr>
        <w:t>, p. 475.</w:t>
      </w:r>
    </w:p>
  </w:footnote>
  <w:footnote w:id="1164">
    <w:p w14:paraId="62A6937C" w14:textId="51D65A01" w:rsidR="0030147D" w:rsidRPr="00E72418" w:rsidRDefault="0030147D" w:rsidP="00B929D2">
      <w:pPr>
        <w:pStyle w:val="Sansinterligne"/>
        <w:rPr>
          <w:rFonts w:ascii="Times New Roman" w:hAnsi="Times New Roman" w:cs="Times New Roman"/>
        </w:rPr>
      </w:pPr>
      <w:r w:rsidRPr="00E72418">
        <w:rPr>
          <w:rStyle w:val="Appelnotedebasdep"/>
          <w:rFonts w:cs="Times"/>
          <w:szCs w:val="20"/>
        </w:rPr>
        <w:footnoteRef/>
      </w:r>
      <w:r w:rsidRPr="00E72418">
        <w:t xml:space="preserve"> </w:t>
      </w:r>
      <w:r w:rsidRPr="00E72418">
        <w:rPr>
          <w:smallCaps/>
        </w:rPr>
        <w:t>C. Wheeler</w:t>
      </w:r>
      <w:r w:rsidRPr="00E72418">
        <w:t xml:space="preserve"> et </w:t>
      </w:r>
      <w:r w:rsidRPr="00E72418">
        <w:rPr>
          <w:smallCaps/>
        </w:rPr>
        <w:t>A. Attaran</w:t>
      </w:r>
      <w:r w:rsidRPr="00E72418">
        <w:t xml:space="preserve">, « Declawing the Vulture Funds: Rehabilitation of a Comity Defense in Sovereign Debt Litigation », </w:t>
      </w:r>
      <w:r w:rsidRPr="00E72418">
        <w:rPr>
          <w:i/>
        </w:rPr>
        <w:t>op. cit.</w:t>
      </w:r>
      <w:r w:rsidRPr="00E72418">
        <w:t>, p. 277. Les auteurs notent que « both are superficially doctrines of external deference ultimately grounded in a separation of powers concern for the executive branch’s conduct of foreign policy » (</w:t>
      </w:r>
      <w:r w:rsidRPr="00E72418">
        <w:rPr>
          <w:i/>
        </w:rPr>
        <w:t>ibid.</w:t>
      </w:r>
      <w:r w:rsidRPr="00E72418">
        <w:t xml:space="preserve">, p. 255). Comme l’indique encore Joel Paul au sujet de la </w:t>
      </w:r>
      <w:r w:rsidRPr="00E72418">
        <w:rPr>
          <w:i/>
        </w:rPr>
        <w:t>comity</w:t>
      </w:r>
      <w:r w:rsidRPr="00E72418">
        <w:t>, « of the central functions of comity [is] avoiding conflict with the political branches, especially the executive, in the conduct of foreign relations » (</w:t>
      </w:r>
      <w:r w:rsidRPr="00E72418">
        <w:rPr>
          <w:smallCaps/>
        </w:rPr>
        <w:t>J. Paul</w:t>
      </w:r>
      <w:r w:rsidRPr="00E72418">
        <w:t xml:space="preserve">, « Comity in International Law », </w:t>
      </w:r>
      <w:r w:rsidRPr="00E72418">
        <w:rPr>
          <w:rFonts w:ascii="Times New Roman" w:hAnsi="Times New Roman" w:cs="Times New Roman"/>
          <w:i/>
        </w:rPr>
        <w:t>Harv. Int. Law J.</w:t>
      </w:r>
      <w:r w:rsidRPr="00E72418">
        <w:t>, 1991, p. 68).</w:t>
      </w:r>
    </w:p>
  </w:footnote>
  <w:footnote w:id="1165">
    <w:p w14:paraId="2B74EDA4" w14:textId="669A2B0D" w:rsidR="0030147D" w:rsidRPr="00E72418" w:rsidRDefault="0030147D" w:rsidP="00EB79C4">
      <w:pPr>
        <w:pStyle w:val="Sansinterligne"/>
        <w:rPr>
          <w:rFonts w:cs="Times"/>
          <w:szCs w:val="20"/>
          <w:lang w:val="en-US"/>
        </w:rPr>
      </w:pPr>
      <w:r w:rsidRPr="00E72418">
        <w:rPr>
          <w:rStyle w:val="Appelnotedebasdep"/>
          <w:rFonts w:cs="Times"/>
          <w:szCs w:val="20"/>
        </w:rPr>
        <w:footnoteRef/>
      </w:r>
      <w:r w:rsidRPr="00E72418">
        <w:rPr>
          <w:rFonts w:cs="Times"/>
          <w:szCs w:val="20"/>
          <w:lang w:val="en-US"/>
        </w:rPr>
        <w:t xml:space="preserve"> </w:t>
      </w:r>
      <w:r w:rsidRPr="00E72418">
        <w:rPr>
          <w:rFonts w:cs="Times"/>
          <w:smallCaps/>
          <w:szCs w:val="20"/>
          <w:lang w:val="en-US"/>
        </w:rPr>
        <w:t>C. Boccuzzi, M. Brennan</w:t>
      </w:r>
      <w:r w:rsidRPr="00E72418">
        <w:rPr>
          <w:rFonts w:cs="Times"/>
          <w:szCs w:val="20"/>
          <w:lang w:val="en-US"/>
        </w:rPr>
        <w:t xml:space="preserve"> et </w:t>
      </w:r>
      <w:r w:rsidRPr="00E72418">
        <w:rPr>
          <w:rFonts w:cs="Times"/>
          <w:smallCaps/>
          <w:szCs w:val="20"/>
          <w:lang w:val="en-US"/>
        </w:rPr>
        <w:t>J. Johnston</w:t>
      </w:r>
      <w:r w:rsidRPr="00E72418">
        <w:rPr>
          <w:rFonts w:cs="Times"/>
          <w:szCs w:val="20"/>
          <w:lang w:val="en-US"/>
        </w:rPr>
        <w:t xml:space="preserve">, « Defences », </w:t>
      </w:r>
      <w:r w:rsidRPr="00E72418">
        <w:rPr>
          <w:i/>
          <w:szCs w:val="20"/>
        </w:rPr>
        <w:t>op. cit.</w:t>
      </w:r>
      <w:r w:rsidRPr="00E72418">
        <w:rPr>
          <w:rFonts w:cs="Times"/>
          <w:szCs w:val="20"/>
          <w:lang w:val="en-US"/>
        </w:rPr>
        <w:t>, p. 104.</w:t>
      </w:r>
    </w:p>
  </w:footnote>
  <w:footnote w:id="1166">
    <w:p w14:paraId="3FCD6E24" w14:textId="61816591" w:rsidR="0030147D" w:rsidRPr="00E72418" w:rsidRDefault="0030147D" w:rsidP="00EB79C4">
      <w:pPr>
        <w:pStyle w:val="Sansinterligne"/>
        <w:rPr>
          <w:rFonts w:cs="Times"/>
          <w:szCs w:val="20"/>
        </w:rPr>
      </w:pPr>
      <w:r w:rsidRPr="00E72418">
        <w:rPr>
          <w:rStyle w:val="Appelnotedebasdep"/>
          <w:rFonts w:cs="Times"/>
          <w:szCs w:val="20"/>
        </w:rPr>
        <w:footnoteRef/>
      </w:r>
      <w:r w:rsidRPr="00E72418">
        <w:rPr>
          <w:rFonts w:cs="Times"/>
          <w:szCs w:val="20"/>
        </w:rPr>
        <w:t xml:space="preserve"> </w:t>
      </w:r>
      <w:r w:rsidRPr="00E72418">
        <w:rPr>
          <w:rFonts w:cs="Times"/>
          <w:smallCaps/>
          <w:szCs w:val="20"/>
        </w:rPr>
        <w:t>M. Audit</w:t>
      </w:r>
      <w:r w:rsidRPr="00E72418">
        <w:rPr>
          <w:rFonts w:cs="Times"/>
          <w:szCs w:val="20"/>
        </w:rPr>
        <w:t xml:space="preserve">, « La dette souveraine appelle-t-elle un statut juridique particulier ? », </w:t>
      </w:r>
      <w:r w:rsidRPr="00E72418">
        <w:rPr>
          <w:rFonts w:cs="Times"/>
          <w:i/>
          <w:szCs w:val="20"/>
        </w:rPr>
        <w:t>op. cit.</w:t>
      </w:r>
      <w:r w:rsidRPr="00E72418">
        <w:rPr>
          <w:rFonts w:cs="Times"/>
          <w:szCs w:val="20"/>
        </w:rPr>
        <w:t>, p. 78.</w:t>
      </w:r>
    </w:p>
  </w:footnote>
  <w:footnote w:id="1167">
    <w:p w14:paraId="47073272" w14:textId="330EA82C" w:rsidR="0030147D" w:rsidRPr="00E72418" w:rsidRDefault="0030147D" w:rsidP="002775DD">
      <w:pPr>
        <w:pStyle w:val="Sansinterligne"/>
        <w:rPr>
          <w:rFonts w:cs="Times"/>
          <w:szCs w:val="20"/>
          <w:lang w:val="en-US"/>
        </w:rPr>
      </w:pPr>
      <w:r w:rsidRPr="00E72418">
        <w:rPr>
          <w:rStyle w:val="Appelnotedebasdep"/>
          <w:rFonts w:cs="Times"/>
          <w:szCs w:val="20"/>
        </w:rPr>
        <w:footnoteRef/>
      </w:r>
      <w:r w:rsidRPr="00E72418">
        <w:rPr>
          <w:rFonts w:cs="Times"/>
          <w:szCs w:val="20"/>
          <w:lang w:val="en-US"/>
        </w:rPr>
        <w:t xml:space="preserve"> Supreme Court of the United States (EUA), 29 novembre 1897, </w:t>
      </w:r>
      <w:r w:rsidRPr="00E72418">
        <w:rPr>
          <w:rFonts w:cs="Times"/>
          <w:i/>
          <w:szCs w:val="20"/>
          <w:lang w:val="en-US"/>
        </w:rPr>
        <w:t>Underhill v. Hernandez</w:t>
      </w:r>
      <w:r w:rsidRPr="00E72418">
        <w:rPr>
          <w:rFonts w:cs="Times"/>
          <w:szCs w:val="20"/>
          <w:lang w:val="en-US"/>
        </w:rPr>
        <w:t>, 168 U.S. 250, p. 252.</w:t>
      </w:r>
    </w:p>
  </w:footnote>
  <w:footnote w:id="1168">
    <w:p w14:paraId="7A27114F" w14:textId="69421203" w:rsidR="0030147D" w:rsidRPr="00E72418" w:rsidRDefault="0030147D" w:rsidP="002775DD">
      <w:pPr>
        <w:pStyle w:val="Sansinterligne"/>
        <w:rPr>
          <w:rFonts w:cs="Times"/>
          <w:szCs w:val="20"/>
          <w:lang w:val="en-US"/>
        </w:rPr>
      </w:pPr>
      <w:r w:rsidRPr="00E72418">
        <w:rPr>
          <w:rStyle w:val="Appelnotedebasdep"/>
          <w:rFonts w:cs="Times"/>
          <w:szCs w:val="20"/>
        </w:rPr>
        <w:footnoteRef/>
      </w:r>
      <w:r w:rsidRPr="00E72418">
        <w:rPr>
          <w:rFonts w:cs="Times"/>
          <w:szCs w:val="20"/>
          <w:lang w:val="en-US"/>
        </w:rPr>
        <w:t xml:space="preserve"> Supreme Court of the United States (EUA), 23 mars 1964, </w:t>
      </w:r>
      <w:r w:rsidRPr="00E72418">
        <w:rPr>
          <w:rFonts w:cs="Times"/>
          <w:i/>
          <w:szCs w:val="20"/>
          <w:lang w:val="en-US"/>
        </w:rPr>
        <w:t>Banco Nacional de Cuba v. Sabbatino</w:t>
      </w:r>
      <w:r w:rsidRPr="00E72418">
        <w:rPr>
          <w:rFonts w:cs="Times"/>
          <w:szCs w:val="20"/>
          <w:lang w:val="en-US"/>
        </w:rPr>
        <w:t>, 376 U.S. 398, p. 401.</w:t>
      </w:r>
    </w:p>
  </w:footnote>
  <w:footnote w:id="1169">
    <w:p w14:paraId="47CFF1FE" w14:textId="271DA95E" w:rsidR="0030147D" w:rsidRPr="00E72418" w:rsidRDefault="0030147D" w:rsidP="002775DD">
      <w:pPr>
        <w:pStyle w:val="Sansinterligne"/>
        <w:rPr>
          <w:rFonts w:cs="Times"/>
          <w:szCs w:val="20"/>
          <w:lang w:val="en-US"/>
        </w:rPr>
      </w:pPr>
      <w:r w:rsidRPr="00E72418">
        <w:rPr>
          <w:rStyle w:val="Appelnotedebasdep"/>
          <w:rFonts w:cs="Times"/>
          <w:szCs w:val="20"/>
        </w:rPr>
        <w:footnoteRef/>
      </w:r>
      <w:r w:rsidRPr="00E72418">
        <w:rPr>
          <w:rFonts w:cs="Times"/>
          <w:szCs w:val="20"/>
          <w:lang w:val="en-US"/>
        </w:rPr>
        <w:t xml:space="preserve"> Supreme Court of the United States (EUA), 3 juin 1895, </w:t>
      </w:r>
      <w:r w:rsidRPr="00E72418">
        <w:rPr>
          <w:rFonts w:cs="Times"/>
          <w:i/>
          <w:szCs w:val="20"/>
          <w:lang w:val="en-US"/>
        </w:rPr>
        <w:t>Hilton v. Guyot</w:t>
      </w:r>
      <w:r w:rsidRPr="00E72418">
        <w:rPr>
          <w:rFonts w:cs="Times"/>
          <w:szCs w:val="20"/>
          <w:lang w:val="en-US"/>
        </w:rPr>
        <w:t>, 159 U.S. 113, p. 164.</w:t>
      </w:r>
    </w:p>
  </w:footnote>
  <w:footnote w:id="1170">
    <w:p w14:paraId="0F838581" w14:textId="7052D9AC" w:rsidR="0030147D" w:rsidRPr="00E72418" w:rsidRDefault="0030147D" w:rsidP="002775DD">
      <w:pPr>
        <w:pStyle w:val="Sansinterligne"/>
        <w:rPr>
          <w:rFonts w:cs="Times"/>
          <w:szCs w:val="20"/>
          <w:lang w:val="en-US"/>
        </w:rPr>
      </w:pPr>
      <w:r w:rsidRPr="00E72418">
        <w:rPr>
          <w:rStyle w:val="Appelnotedebasdep"/>
          <w:rFonts w:cs="Times"/>
          <w:szCs w:val="20"/>
        </w:rPr>
        <w:footnoteRef/>
      </w:r>
      <w:r w:rsidRPr="00E72418">
        <w:rPr>
          <w:rFonts w:cs="Times"/>
          <w:szCs w:val="20"/>
          <w:lang w:val="en-US"/>
        </w:rPr>
        <w:t xml:space="preserve"> </w:t>
      </w:r>
      <w:r w:rsidRPr="00E72418">
        <w:rPr>
          <w:rFonts w:cs="Times"/>
          <w:smallCaps/>
          <w:szCs w:val="20"/>
          <w:lang w:val="en-US"/>
        </w:rPr>
        <w:t>E. Broomfield</w:t>
      </w:r>
      <w:r w:rsidRPr="00E72418">
        <w:rPr>
          <w:rFonts w:cs="Times"/>
          <w:szCs w:val="20"/>
          <w:lang w:val="en-US"/>
        </w:rPr>
        <w:t xml:space="preserve">, « Subduing the Vultures: Assessing Government Caps on Recovery in Sovereign Debt Litigation », </w:t>
      </w:r>
      <w:r w:rsidRPr="00E72418">
        <w:rPr>
          <w:rFonts w:cs="Times"/>
          <w:i/>
          <w:szCs w:val="20"/>
          <w:lang w:val="en-US"/>
        </w:rPr>
        <w:t>op. cit.</w:t>
      </w:r>
      <w:r w:rsidRPr="00E72418">
        <w:rPr>
          <w:rFonts w:cs="Times"/>
          <w:szCs w:val="20"/>
          <w:lang w:val="en-US"/>
        </w:rPr>
        <w:t xml:space="preserve">, p. 482. </w:t>
      </w:r>
      <w:r w:rsidRPr="00E72418">
        <w:rPr>
          <w:szCs w:val="20"/>
        </w:rPr>
        <w:t>L’idée est que le pouvoir exécutif est plus à même que le pouvoir judiciaire à conduire la politique étrangère. L</w:t>
      </w:r>
      <w:r w:rsidRPr="00E72418">
        <w:rPr>
          <w:rFonts w:cs="Times"/>
          <w:szCs w:val="20"/>
        </w:rPr>
        <w:t>a tâche pour le pouvoir judiciaire n’est toutefois pas toujours aisée. En effet, si le respect d’une conduite décidée par le pouvoir exécutif est relativement simple quand ce dernier s’est exprimé clairement, la situation devient beaucoup plus complexe quand cette clarté est inexistante (</w:t>
      </w:r>
      <w:r w:rsidRPr="00E72418">
        <w:rPr>
          <w:rFonts w:cs="Times"/>
          <w:smallCaps/>
          <w:szCs w:val="20"/>
        </w:rPr>
        <w:t>C. Wheeler</w:t>
      </w:r>
      <w:r w:rsidRPr="00E72418">
        <w:rPr>
          <w:rFonts w:cs="Times"/>
          <w:szCs w:val="20"/>
        </w:rPr>
        <w:t xml:space="preserve"> et </w:t>
      </w:r>
      <w:r w:rsidRPr="00E72418">
        <w:rPr>
          <w:rFonts w:cs="Times"/>
          <w:smallCaps/>
          <w:szCs w:val="20"/>
        </w:rPr>
        <w:t>A. Attaran</w:t>
      </w:r>
      <w:r w:rsidRPr="00E72418">
        <w:rPr>
          <w:rFonts w:cs="Times"/>
          <w:szCs w:val="20"/>
        </w:rPr>
        <w:t xml:space="preserve">, « Declawing the vulture funds : rehabilitation of a comity defense in Sovereign debt litigation », </w:t>
      </w:r>
      <w:r w:rsidRPr="00E72418">
        <w:rPr>
          <w:i/>
          <w:szCs w:val="20"/>
        </w:rPr>
        <w:t>op. cit.</w:t>
      </w:r>
      <w:r w:rsidRPr="00E72418">
        <w:rPr>
          <w:rFonts w:cs="Times"/>
          <w:szCs w:val="20"/>
        </w:rPr>
        <w:t>, p. 267).</w:t>
      </w:r>
    </w:p>
  </w:footnote>
  <w:footnote w:id="1171">
    <w:p w14:paraId="43A54C60" w14:textId="390BCCF7"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t xml:space="preserve">Ce n’est pas le seul point intéressant de la décision. Julian </w:t>
      </w:r>
      <w:r w:rsidRPr="00E72418">
        <w:rPr>
          <w:lang w:val="en-US"/>
        </w:rPr>
        <w:t xml:space="preserve">Schumacher </w:t>
      </w:r>
      <w:r w:rsidRPr="00E72418">
        <w:rPr>
          <w:rFonts w:ascii="Times New Roman" w:hAnsi="Times New Roman"/>
          <w:i/>
        </w:rPr>
        <w:t xml:space="preserve">et al. </w:t>
      </w:r>
      <w:r w:rsidRPr="00E72418">
        <w:rPr>
          <w:lang w:val="en-US"/>
        </w:rPr>
        <w:t xml:space="preserve">expliquent ainsi que « the success of Allied v. Costa Rica set an important precedent: it showed that holdout strategies could work and that classic defenses such as sovereign immunity, the act of state doctrine or the principle of international comity were insufficient to protect a sovereign from lawsuits » (J. </w:t>
      </w:r>
      <w:r w:rsidRPr="00E72418">
        <w:rPr>
          <w:smallCaps/>
          <w:lang w:val="en-US"/>
        </w:rPr>
        <w:t>Schumacher</w:t>
      </w:r>
      <w:r w:rsidRPr="00E72418">
        <w:rPr>
          <w:lang w:val="en-US"/>
        </w:rPr>
        <w:t xml:space="preserve">, C. </w:t>
      </w:r>
      <w:r w:rsidRPr="00E72418">
        <w:rPr>
          <w:smallCaps/>
          <w:lang w:val="en-US"/>
        </w:rPr>
        <w:t>Trebesch</w:t>
      </w:r>
      <w:r w:rsidRPr="00E72418">
        <w:rPr>
          <w:lang w:val="en-US"/>
        </w:rPr>
        <w:t xml:space="preserve"> et H. </w:t>
      </w:r>
      <w:r w:rsidRPr="00E72418">
        <w:rPr>
          <w:smallCaps/>
          <w:lang w:val="en-US"/>
        </w:rPr>
        <w:t>Enderlein</w:t>
      </w:r>
      <w:r w:rsidRPr="00E72418">
        <w:rPr>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lang w:val="en-US"/>
        </w:rPr>
        <w:t xml:space="preserve">, </w:t>
      </w:r>
      <w:r w:rsidRPr="00E72418">
        <w:rPr>
          <w:i/>
          <w:lang w:val="en-US"/>
        </w:rPr>
        <w:t>op. cit.</w:t>
      </w:r>
      <w:r w:rsidRPr="00E72418">
        <w:rPr>
          <w:lang w:val="en-US"/>
        </w:rPr>
        <w:t xml:space="preserve">, pp. 6 et 7). </w:t>
      </w:r>
      <w:r w:rsidRPr="00E72418">
        <w:rPr>
          <w:szCs w:val="20"/>
          <w:lang w:val="en-US"/>
        </w:rPr>
        <w:t xml:space="preserve">Plus généralement, l’affaire est présentée comme la </w:t>
      </w:r>
      <w:r w:rsidRPr="00E72418">
        <w:rPr>
          <w:lang w:val="en-US"/>
        </w:rPr>
        <w:t>« key case interpreting comity and the act-of-state doctrine in the contexte of sovereign debt litigation »</w:t>
      </w:r>
      <w:r w:rsidRPr="00E72418">
        <w:rPr>
          <w:szCs w:val="20"/>
          <w:lang w:val="en-US"/>
        </w:rPr>
        <w:t xml:space="preserve"> (</w:t>
      </w:r>
      <w:r w:rsidRPr="00E72418">
        <w:rPr>
          <w:smallCaps/>
          <w:szCs w:val="20"/>
          <w:lang w:val="en-US"/>
        </w:rPr>
        <w:t>C. Boccuzzi, M. Brennan</w:t>
      </w:r>
      <w:r w:rsidRPr="00E72418">
        <w:rPr>
          <w:szCs w:val="20"/>
          <w:lang w:val="en-US"/>
        </w:rPr>
        <w:t xml:space="preserve"> et </w:t>
      </w:r>
      <w:r w:rsidRPr="00E72418">
        <w:rPr>
          <w:smallCaps/>
          <w:szCs w:val="20"/>
          <w:lang w:val="en-US"/>
        </w:rPr>
        <w:t>J. Johnston</w:t>
      </w:r>
      <w:r w:rsidRPr="00E72418">
        <w:rPr>
          <w:szCs w:val="20"/>
          <w:lang w:val="en-US"/>
        </w:rPr>
        <w:t>, « Defences »,</w:t>
      </w:r>
      <w:r w:rsidRPr="00E72418">
        <w:rPr>
          <w:i/>
          <w:szCs w:val="20"/>
        </w:rPr>
        <w:t xml:space="preserve"> op. cit.</w:t>
      </w:r>
      <w:r w:rsidRPr="00E72418">
        <w:rPr>
          <w:szCs w:val="20"/>
          <w:lang w:val="en-US"/>
        </w:rPr>
        <w:t>, p. 107).</w:t>
      </w:r>
    </w:p>
  </w:footnote>
  <w:footnote w:id="1172">
    <w:p w14:paraId="376FE6A7" w14:textId="77777777"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United States District Court for the Southern District of New York (EUA), 8 juillet 1983, </w:t>
      </w:r>
      <w:r w:rsidRPr="00E72418">
        <w:rPr>
          <w:i/>
          <w:szCs w:val="20"/>
          <w:lang w:val="en-US"/>
        </w:rPr>
        <w:t>Allied Bank International v. Banco Credito Agricola de Cartago</w:t>
      </w:r>
      <w:r w:rsidRPr="00E72418">
        <w:rPr>
          <w:rStyle w:val="Titre5Car"/>
          <w:rFonts w:ascii="Times" w:eastAsiaTheme="minorHAnsi" w:hAnsi="Times" w:cstheme="minorBidi"/>
          <w:color w:val="auto"/>
          <w:szCs w:val="20"/>
          <w:lang w:val="en-US"/>
        </w:rPr>
        <w:t>, 566 F. Supp. 1440, p. 1444.</w:t>
      </w:r>
    </w:p>
  </w:footnote>
  <w:footnote w:id="1173">
    <w:p w14:paraId="5AF05E19" w14:textId="5749F215"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i/>
          <w:szCs w:val="20"/>
          <w:lang w:val="en-US"/>
        </w:rPr>
        <w:t>Ibid</w:t>
      </w:r>
      <w:r w:rsidRPr="00E72418">
        <w:rPr>
          <w:rStyle w:val="Titre5Car"/>
          <w:rFonts w:ascii="Times" w:eastAsiaTheme="minorHAnsi" w:hAnsi="Times" w:cstheme="minorBidi"/>
          <w:i/>
          <w:color w:val="auto"/>
          <w:szCs w:val="20"/>
          <w:lang w:val="en-US"/>
        </w:rPr>
        <w:t>.</w:t>
      </w:r>
    </w:p>
  </w:footnote>
  <w:footnote w:id="1174">
    <w:p w14:paraId="5256BF38" w14:textId="1BB18476"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C. Boccuzzi, M. Brennan</w:t>
      </w:r>
      <w:r w:rsidRPr="00E72418">
        <w:rPr>
          <w:szCs w:val="20"/>
          <w:lang w:val="en-US"/>
        </w:rPr>
        <w:t xml:space="preserve"> et </w:t>
      </w:r>
      <w:r w:rsidRPr="00E72418">
        <w:rPr>
          <w:smallCaps/>
          <w:szCs w:val="20"/>
          <w:lang w:val="en-US"/>
        </w:rPr>
        <w:t>J. Johnston</w:t>
      </w:r>
      <w:r w:rsidRPr="00E72418">
        <w:rPr>
          <w:szCs w:val="20"/>
          <w:lang w:val="en-US"/>
        </w:rPr>
        <w:t xml:space="preserve">, « Defences », </w:t>
      </w:r>
      <w:r w:rsidRPr="00E72418">
        <w:rPr>
          <w:i/>
          <w:szCs w:val="20"/>
        </w:rPr>
        <w:t>op. cit.</w:t>
      </w:r>
      <w:r w:rsidRPr="00E72418">
        <w:rPr>
          <w:szCs w:val="20"/>
          <w:lang w:val="en-US"/>
        </w:rPr>
        <w:t>, p. 108.</w:t>
      </w:r>
    </w:p>
  </w:footnote>
  <w:footnote w:id="1175">
    <w:p w14:paraId="64F2B4E3" w14:textId="77777777"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United States Court of Appeals for the Second Circuit (EUA), 23 avril 1984, </w:t>
      </w:r>
      <w:r w:rsidRPr="00E72418">
        <w:rPr>
          <w:i/>
          <w:szCs w:val="20"/>
          <w:lang w:val="en-US"/>
        </w:rPr>
        <w:t>Allied Bank Int’l v. Banco Credito Agricola de Cartago</w:t>
      </w:r>
      <w:r w:rsidRPr="00E72418">
        <w:rPr>
          <w:rStyle w:val="Titre5Car"/>
          <w:rFonts w:ascii="Times" w:eastAsiaTheme="minorHAnsi" w:hAnsi="Times" w:cstheme="minorBidi"/>
          <w:color w:val="auto"/>
          <w:szCs w:val="20"/>
          <w:lang w:val="en-US"/>
        </w:rPr>
        <w:t>, 733 F.2d 23, p. 27.</w:t>
      </w:r>
    </w:p>
  </w:footnote>
  <w:footnote w:id="1176">
    <w:p w14:paraId="4E1257BC" w14:textId="71EBA70C"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 108.</w:t>
      </w:r>
    </w:p>
  </w:footnote>
  <w:footnote w:id="1177">
    <w:p w14:paraId="30BC9706" w14:textId="77777777"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United States Court of Appeals for the Second Circuit (EUA), 18 mars 1985, </w:t>
      </w:r>
      <w:r w:rsidRPr="00E72418">
        <w:rPr>
          <w:i/>
          <w:szCs w:val="20"/>
          <w:lang w:val="en-US"/>
        </w:rPr>
        <w:t>Allied Bank International v. Banco Credito Agricola de Cartago</w:t>
      </w:r>
      <w:r w:rsidRPr="00E72418">
        <w:rPr>
          <w:rStyle w:val="Titre5Car"/>
          <w:rFonts w:ascii="Times" w:eastAsiaTheme="minorHAnsi" w:hAnsi="Times" w:cstheme="minorBidi"/>
          <w:color w:val="auto"/>
          <w:szCs w:val="20"/>
          <w:lang w:val="en-US"/>
        </w:rPr>
        <w:t>, 757 F.2d 516, p. 519.</w:t>
      </w:r>
    </w:p>
  </w:footnote>
  <w:footnote w:id="1178">
    <w:p w14:paraId="4DFA7ED8" w14:textId="72DE9D32" w:rsidR="0030147D" w:rsidRPr="00E72418" w:rsidRDefault="0030147D" w:rsidP="002775DD">
      <w:pPr>
        <w:pStyle w:val="Sansinterligne"/>
        <w:rPr>
          <w:szCs w:val="20"/>
          <w:lang w:val="en-US"/>
        </w:rPr>
      </w:pPr>
      <w:r w:rsidRPr="00E72418">
        <w:rPr>
          <w:szCs w:val="20"/>
          <w:vertAlign w:val="superscript"/>
        </w:rPr>
        <w:footnoteRef/>
      </w:r>
      <w:r w:rsidRPr="00E72418">
        <w:rPr>
          <w:szCs w:val="20"/>
          <w:lang w:val="en-US"/>
        </w:rPr>
        <w:t xml:space="preserve"> </w:t>
      </w:r>
      <w:r w:rsidRPr="00E72418">
        <w:rPr>
          <w:i/>
          <w:szCs w:val="20"/>
          <w:lang w:val="en-US"/>
        </w:rPr>
        <w:t>Ibid.</w:t>
      </w:r>
      <w:r w:rsidRPr="00E72418">
        <w:rPr>
          <w:szCs w:val="20"/>
          <w:lang w:val="en-US"/>
        </w:rPr>
        <w:t>, p. 522. La Cour retint notamment que « [t]he Costa Rican banks conceded jurisdiction in New York and they agreed to pay the debt in New York City in United States dollars » et qu’ « Allied, the designated syndicate agent, is located in the United States, specifically in New York; some of the negotiations between the parties took place in the United States » (</w:t>
      </w:r>
      <w:r w:rsidRPr="00E72418">
        <w:rPr>
          <w:i/>
          <w:szCs w:val="20"/>
          <w:lang w:val="en-US"/>
        </w:rPr>
        <w:t>ibid.</w:t>
      </w:r>
      <w:r w:rsidRPr="00E72418">
        <w:rPr>
          <w:szCs w:val="20"/>
          <w:lang w:val="en-US"/>
        </w:rPr>
        <w:t>, p. 521).</w:t>
      </w:r>
    </w:p>
  </w:footnote>
  <w:footnote w:id="1179">
    <w:p w14:paraId="1DE1111E" w14:textId="27AA4C95" w:rsidR="0030147D" w:rsidRPr="00E72418" w:rsidRDefault="0030147D" w:rsidP="002775D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injectednode"/>
          <w:szCs w:val="20"/>
          <w:lang w:val="en-US"/>
        </w:rPr>
        <w:t>, p. 520.</w:t>
      </w:r>
    </w:p>
  </w:footnote>
  <w:footnote w:id="1180">
    <w:p w14:paraId="5E5A6DE9" w14:textId="6CC64C41" w:rsidR="0030147D" w:rsidRPr="00E72418" w:rsidRDefault="0030147D" w:rsidP="002775D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injectednode"/>
          <w:szCs w:val="20"/>
          <w:lang w:val="en-US"/>
        </w:rPr>
        <w:t>, p. 522.</w:t>
      </w:r>
    </w:p>
  </w:footnote>
  <w:footnote w:id="1181">
    <w:p w14:paraId="4E375E75" w14:textId="49FFB9B7" w:rsidR="0030147D" w:rsidRPr="00E72418" w:rsidRDefault="0030147D" w:rsidP="002775D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injectednode"/>
          <w:szCs w:val="20"/>
          <w:lang w:val="en-US"/>
        </w:rPr>
        <w:t>, pp. 521 et 522.</w:t>
      </w:r>
    </w:p>
  </w:footnote>
  <w:footnote w:id="1182">
    <w:p w14:paraId="3D2F8E0A" w14:textId="340CE35B" w:rsidR="0030147D" w:rsidRPr="00E72418" w:rsidRDefault="0030147D" w:rsidP="002775D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injectednode"/>
          <w:szCs w:val="20"/>
          <w:lang w:val="en-US"/>
        </w:rPr>
        <w:t>, p. 522.</w:t>
      </w:r>
    </w:p>
  </w:footnote>
  <w:footnote w:id="1183">
    <w:p w14:paraId="6468DFCF" w14:textId="77777777" w:rsidR="0030147D" w:rsidRPr="00E72418" w:rsidRDefault="0030147D" w:rsidP="002775DD">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24 février 1994, </w:t>
      </w:r>
      <w:r w:rsidRPr="00E72418">
        <w:rPr>
          <w:i/>
          <w:szCs w:val="20"/>
          <w:lang w:val="en-US"/>
        </w:rPr>
        <w:t>Pravin Banker Assocs. v. Banco Popular del Peru</w:t>
      </w:r>
      <w:r w:rsidRPr="00E72418">
        <w:rPr>
          <w:rStyle w:val="injectednode"/>
          <w:szCs w:val="20"/>
          <w:lang w:val="en-US"/>
        </w:rPr>
        <w:t>, 165 B.R. 379, p. 387.</w:t>
      </w:r>
    </w:p>
  </w:footnote>
  <w:footnote w:id="1184">
    <w:p w14:paraId="265F01A9" w14:textId="44BF6720"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i/>
          <w:szCs w:val="20"/>
          <w:lang w:val="en-US"/>
        </w:rPr>
        <w:t>Ibid.</w:t>
      </w:r>
      <w:r w:rsidRPr="00E72418">
        <w:rPr>
          <w:rStyle w:val="Titre5Car"/>
          <w:rFonts w:ascii="Times" w:eastAsiaTheme="minorHAnsi" w:hAnsi="Times" w:cstheme="minorBidi"/>
          <w:color w:val="auto"/>
          <w:szCs w:val="20"/>
          <w:lang w:val="en-US"/>
        </w:rPr>
        <w:t xml:space="preserve">, p. 389 et, au sujet de la prolongation, </w:t>
      </w:r>
      <w:r w:rsidRPr="00E72418">
        <w:rPr>
          <w:szCs w:val="20"/>
          <w:lang w:val="en-US"/>
        </w:rPr>
        <w:t xml:space="preserve">United States District Court for the Southern District of New York (EUA), 8 mars 1995, </w:t>
      </w:r>
      <w:r w:rsidRPr="00E72418">
        <w:rPr>
          <w:i/>
          <w:szCs w:val="20"/>
          <w:lang w:val="en-US"/>
        </w:rPr>
        <w:t>Pravin Banker Associates Ltd. v. Banco Popular del Peru and the Republic of Peru</w:t>
      </w:r>
      <w:r w:rsidRPr="00E72418">
        <w:rPr>
          <w:rStyle w:val="Titre5Car"/>
          <w:rFonts w:ascii="Times" w:eastAsiaTheme="minorHAnsi" w:hAnsi="Times" w:cstheme="minorBidi"/>
          <w:color w:val="auto"/>
          <w:szCs w:val="20"/>
          <w:lang w:val="en-US"/>
        </w:rPr>
        <w:t xml:space="preserve">, 1995 WL 102840. </w:t>
      </w:r>
      <w:r w:rsidRPr="00E72418">
        <w:rPr>
          <w:szCs w:val="20"/>
        </w:rPr>
        <w:t>Les juridictions étatsuniennes vont finalement refuser que l’</w:t>
      </w:r>
      <w:r w:rsidRPr="00E72418">
        <w:rPr>
          <w:szCs w:val="20"/>
          <w:lang w:eastAsia="fr-BE"/>
        </w:rPr>
        <w:t>É</w:t>
      </w:r>
      <w:r w:rsidRPr="00E72418">
        <w:rPr>
          <w:szCs w:val="20"/>
        </w:rPr>
        <w:t xml:space="preserve">tat débiteur bénéficie d’une énième </w:t>
      </w:r>
      <w:r w:rsidRPr="00E72418">
        <w:rPr>
          <w:rFonts w:cs="Times New Roman"/>
          <w:szCs w:val="20"/>
        </w:rPr>
        <w:t>suspension (</w:t>
      </w:r>
      <w:r w:rsidRPr="00E72418">
        <w:rPr>
          <w:szCs w:val="20"/>
          <w:lang w:val="en-US"/>
        </w:rPr>
        <w:t xml:space="preserve">United States District Court for the Southern District of New York (EUA), 24 août 1995, </w:t>
      </w:r>
      <w:r w:rsidRPr="00E72418">
        <w:rPr>
          <w:i/>
          <w:szCs w:val="20"/>
          <w:lang w:val="en-US"/>
        </w:rPr>
        <w:t>Pravin Banker Assocs. v. Banco Popular Del Peru</w:t>
      </w:r>
      <w:r w:rsidRPr="00E72418">
        <w:rPr>
          <w:szCs w:val="20"/>
          <w:lang w:val="en-US"/>
        </w:rPr>
        <w:t>, 895 F. Supp. 660).</w:t>
      </w:r>
    </w:p>
  </w:footnote>
  <w:footnote w:id="1185">
    <w:p w14:paraId="25CF74BB" w14:textId="77777777" w:rsidR="0030147D" w:rsidRPr="00E72418" w:rsidRDefault="0030147D" w:rsidP="002775D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United States Court of Appeals for the Second Circuit (EUA), 25 mars 1997, </w:t>
      </w:r>
      <w:r w:rsidRPr="00E72418">
        <w:rPr>
          <w:i/>
          <w:szCs w:val="20"/>
          <w:lang w:val="en-US"/>
        </w:rPr>
        <w:t>Pravin Banker Associates Ltd. v. Banco Popular del Peru and the Republic of Peru</w:t>
      </w:r>
      <w:r w:rsidRPr="00E72418">
        <w:rPr>
          <w:szCs w:val="20"/>
          <w:lang w:val="en-US"/>
        </w:rPr>
        <w:t>, 109 F.3d 850, p. 855.</w:t>
      </w:r>
    </w:p>
  </w:footnote>
  <w:footnote w:id="1186">
    <w:p w14:paraId="22BDF696" w14:textId="021EE4FE" w:rsidR="0030147D" w:rsidRPr="00E72418" w:rsidRDefault="0030147D" w:rsidP="002D5ECC">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i/>
          <w:szCs w:val="20"/>
          <w:lang w:val="en-US"/>
        </w:rPr>
        <w:t>Ibid.</w:t>
      </w:r>
      <w:r w:rsidRPr="00E72418">
        <w:rPr>
          <w:szCs w:val="20"/>
          <w:lang w:val="en-US"/>
        </w:rPr>
        <w:t xml:space="preserve"> Au sujet des deux aspects de la politique étatsunienne, Marcus Miller et Dania Thomas retiennent de cette jurisprudence qu’ </w:t>
      </w:r>
      <w:r w:rsidRPr="00E72418">
        <w:rPr>
          <w:rStyle w:val="Titre1Car"/>
          <w:rFonts w:ascii="Times" w:eastAsiaTheme="minorHAnsi" w:hAnsi="Times" w:cstheme="minorBidi"/>
          <w:color w:val="auto"/>
          <w:sz w:val="20"/>
          <w:szCs w:val="20"/>
          <w:lang w:val="en-US"/>
        </w:rPr>
        <w:t>« in a situation in which ongoing debt restructuring negotiations were at the cost of the claims of U.S. creditors, the courts were bound to concede to the latter »</w:t>
      </w:r>
      <w:r w:rsidRPr="00E72418">
        <w:rPr>
          <w:szCs w:val="20"/>
          <w:lang w:val="en-US"/>
        </w:rPr>
        <w:t xml:space="preserve"> (</w:t>
      </w:r>
      <w:r w:rsidRPr="00E72418">
        <w:rPr>
          <w:smallCaps/>
          <w:szCs w:val="20"/>
          <w:lang w:val="en-US"/>
        </w:rPr>
        <w:t>M. Miller</w:t>
      </w:r>
      <w:r w:rsidRPr="00E72418">
        <w:rPr>
          <w:szCs w:val="20"/>
          <w:lang w:val="en-US"/>
        </w:rPr>
        <w:t xml:space="preserve"> et </w:t>
      </w:r>
      <w:r w:rsidRPr="00E72418">
        <w:rPr>
          <w:smallCaps/>
          <w:szCs w:val="20"/>
          <w:lang w:val="en-US"/>
        </w:rPr>
        <w:t>D. Thomas</w:t>
      </w:r>
      <w:r w:rsidRPr="00E72418">
        <w:rPr>
          <w:szCs w:val="20"/>
          <w:lang w:val="en-US"/>
        </w:rPr>
        <w:t xml:space="preserve">, « Sovereign Debt Restructuring: The Judge, the Vultures and Creditor Rights », </w:t>
      </w:r>
      <w:r w:rsidRPr="00E72418">
        <w:rPr>
          <w:i/>
          <w:szCs w:val="20"/>
        </w:rPr>
        <w:t>op. cit.</w:t>
      </w:r>
      <w:r w:rsidRPr="00E72418">
        <w:rPr>
          <w:szCs w:val="20"/>
          <w:lang w:val="en-US"/>
        </w:rPr>
        <w:t>, p. 217).</w:t>
      </w:r>
    </w:p>
  </w:footnote>
  <w:footnote w:id="1187">
    <w:p w14:paraId="6CA9AB5C" w14:textId="4CC3E82B" w:rsidR="0030147D" w:rsidRPr="00E72418" w:rsidRDefault="0030147D" w:rsidP="002D5EC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C. Boccuzzi, M. Brennan</w:t>
      </w:r>
      <w:r w:rsidRPr="00E72418">
        <w:rPr>
          <w:szCs w:val="20"/>
          <w:lang w:val="en-US"/>
        </w:rPr>
        <w:t xml:space="preserve"> et </w:t>
      </w:r>
      <w:r w:rsidRPr="00E72418">
        <w:rPr>
          <w:smallCaps/>
          <w:szCs w:val="20"/>
          <w:lang w:val="en-US"/>
        </w:rPr>
        <w:t>J. Johnston</w:t>
      </w:r>
      <w:r w:rsidRPr="00E72418">
        <w:rPr>
          <w:szCs w:val="20"/>
          <w:lang w:val="en-US"/>
        </w:rPr>
        <w:t xml:space="preserve">, « Defences », </w:t>
      </w:r>
      <w:r w:rsidRPr="00E72418">
        <w:rPr>
          <w:i/>
          <w:szCs w:val="20"/>
        </w:rPr>
        <w:t>op. cit.</w:t>
      </w:r>
      <w:r w:rsidRPr="00E72418">
        <w:rPr>
          <w:szCs w:val="20"/>
          <w:lang w:val="en-US"/>
        </w:rPr>
        <w:t>, p. 109.</w:t>
      </w:r>
    </w:p>
  </w:footnote>
  <w:footnote w:id="1188">
    <w:p w14:paraId="441FE494" w14:textId="3703783C" w:rsidR="0030147D" w:rsidRPr="00E72418" w:rsidRDefault="0030147D" w:rsidP="002D5EC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 xml:space="preserve">C. Wheeler </w:t>
      </w:r>
      <w:r w:rsidRPr="00E72418">
        <w:rPr>
          <w:szCs w:val="20"/>
          <w:lang w:val="en-US"/>
        </w:rPr>
        <w:t xml:space="preserve">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p. 255.</w:t>
      </w:r>
    </w:p>
  </w:footnote>
  <w:footnote w:id="1189">
    <w:p w14:paraId="1690DADC" w14:textId="512C0BDF" w:rsidR="0030147D" w:rsidRPr="00E72418" w:rsidRDefault="0030147D" w:rsidP="002D5EC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280.</w:t>
      </w:r>
    </w:p>
  </w:footnote>
  <w:footnote w:id="1190">
    <w:p w14:paraId="4E28DC46" w14:textId="6177566A" w:rsidR="0030147D" w:rsidRPr="00E72418" w:rsidRDefault="0030147D" w:rsidP="002D5ECC">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R. Avery</w:t>
      </w:r>
      <w:r w:rsidRPr="00E72418">
        <w:rPr>
          <w:szCs w:val="20"/>
          <w:lang w:val="en-US"/>
        </w:rPr>
        <w:t>, « </w:t>
      </w:r>
      <w:r w:rsidRPr="00E72418">
        <w:rPr>
          <w:szCs w:val="20"/>
        </w:rPr>
        <w:t>Out of the Desert and to the Oasis: Legislation on Predatory Debt Investing</w:t>
      </w:r>
      <w:r w:rsidRPr="00E72418">
        <w:rPr>
          <w:szCs w:val="20"/>
          <w:lang w:val="en-US"/>
        </w:rPr>
        <w:t xml:space="preserve"> », </w:t>
      </w:r>
      <w:r w:rsidRPr="00E72418">
        <w:rPr>
          <w:i/>
          <w:szCs w:val="20"/>
          <w:lang w:val="en-US"/>
        </w:rPr>
        <w:t>op. cit.</w:t>
      </w:r>
      <w:r w:rsidRPr="00E72418">
        <w:rPr>
          <w:szCs w:val="20"/>
          <w:lang w:val="en-US"/>
        </w:rPr>
        <w:t xml:space="preserve">, p. 287. </w:t>
      </w:r>
    </w:p>
  </w:footnote>
  <w:footnote w:id="1191">
    <w:p w14:paraId="109745AB" w14:textId="68D839FD" w:rsidR="0030147D" w:rsidRPr="00E72418" w:rsidRDefault="0030147D" w:rsidP="00C37AF3">
      <w:pPr>
        <w:pStyle w:val="Sansinterligne"/>
        <w:rPr>
          <w:szCs w:val="20"/>
        </w:rPr>
      </w:pPr>
      <w:r w:rsidRPr="00E72418">
        <w:rPr>
          <w:rStyle w:val="Appelnotedebasdep"/>
          <w:szCs w:val="20"/>
        </w:rPr>
        <w:footnoteRef/>
      </w:r>
      <w:r w:rsidRPr="00E72418">
        <w:rPr>
          <w:szCs w:val="20"/>
        </w:rPr>
        <w:t xml:space="preserve"> Voyez les propositions 110 H.R. 6796 et 111 H.R. 2932, visant toutes deux l’adoption d’une législation titrée « Stop Very Unscrupulous Loan Transfers from Underprivileged countries to Rich, Exploitive Funds Act » ou encore « Stop VULTURE funds Act ». Sur ces propositions étatsuniennes,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294 et suiv.</w:t>
      </w:r>
    </w:p>
  </w:footnote>
  <w:footnote w:id="1192">
    <w:p w14:paraId="16587B9A" w14:textId="1D49BB96" w:rsidR="0030147D" w:rsidRPr="00E72418" w:rsidRDefault="0030147D" w:rsidP="003C212B">
      <w:pPr>
        <w:pStyle w:val="Sansinterligne"/>
        <w:rPr>
          <w:rFonts w:ascii="Times New Roman" w:hAnsi="Times New Roman" w:cs="Times New Roman"/>
          <w:sz w:val="22"/>
        </w:rPr>
      </w:pPr>
      <w:r w:rsidRPr="00E72418">
        <w:rPr>
          <w:rStyle w:val="Appelnotedebasdep"/>
          <w:szCs w:val="20"/>
        </w:rPr>
        <w:footnoteRef/>
      </w:r>
      <w:r w:rsidRPr="00E72418">
        <w:t xml:space="preserve"> </w:t>
      </w:r>
      <w:r w:rsidRPr="00E72418">
        <w:rPr>
          <w:rStyle w:val="injectednode"/>
          <w:rFonts w:cs="Times New Roman"/>
          <w:szCs w:val="20"/>
          <w:bdr w:val="none" w:sz="0" w:space="0" w:color="auto" w:frame="1"/>
        </w:rPr>
        <w:t xml:space="preserve">Comme l’expliquent Federico </w:t>
      </w:r>
      <w:r w:rsidRPr="00E72418">
        <w:rPr>
          <w:shd w:val="clear" w:color="auto" w:fill="FFFFFF"/>
        </w:rPr>
        <w:t>Sturzenegger et Jeromin Zettelmeyer</w:t>
      </w:r>
      <w:r w:rsidRPr="00E72418">
        <w:rPr>
          <w:smallCaps/>
          <w:shd w:val="clear" w:color="auto" w:fill="FFFFFF"/>
        </w:rPr>
        <w:t>,</w:t>
      </w:r>
      <w:r w:rsidRPr="00E72418">
        <w:t xml:space="preserve"> « [i]n practice, comity considerations seem to have boiled down to a court assessment on whether a debtor’s actions could be viewed as broadly justified in light of U.S. policies on how international debt crises ought to be resolved » (</w:t>
      </w:r>
      <w:r w:rsidRPr="00E72418">
        <w:rPr>
          <w:smallCaps/>
        </w:rPr>
        <w:t>F. Sturzenegger</w:t>
      </w:r>
      <w:r w:rsidRPr="00E72418">
        <w:t xml:space="preserve"> et J</w:t>
      </w:r>
      <w:r w:rsidRPr="00E72418">
        <w:rPr>
          <w:smallCaps/>
        </w:rPr>
        <w:t>. Zettelmeyer</w:t>
      </w:r>
      <w:r w:rsidRPr="00E72418">
        <w:t xml:space="preserve">, « Has the Legal Threat to Sovereign Debt Restructuring Become Real? », Centro de Investigación en Finanzas Documento de Trabajo 04/2006, p. 13). </w:t>
      </w:r>
      <w:r w:rsidRPr="00E72418">
        <w:rPr>
          <w:rFonts w:ascii="Times New Roman" w:hAnsi="Times New Roman" w:cs="Times New Roman"/>
          <w:szCs w:val="20"/>
        </w:rPr>
        <w:t xml:space="preserve">En découle une incertitude qu’illustre Philip Power (que les précédents auteurs citent d’ailleurs) en tirant exemple de l’affaire </w:t>
      </w:r>
      <w:r w:rsidRPr="00E72418">
        <w:rPr>
          <w:rFonts w:ascii="Times New Roman" w:hAnsi="Times New Roman" w:cs="Times New Roman"/>
          <w:i/>
          <w:szCs w:val="20"/>
        </w:rPr>
        <w:t xml:space="preserve">Allied Bank International v. Banco Credito Agricola de Cartago </w:t>
      </w:r>
      <w:r w:rsidRPr="00E72418">
        <w:rPr>
          <w:rFonts w:ascii="Times New Roman" w:hAnsi="Times New Roman" w:cs="Times New Roman"/>
          <w:szCs w:val="20"/>
        </w:rPr>
        <w:t>(</w:t>
      </w:r>
      <w:r w:rsidRPr="00E72418">
        <w:rPr>
          <w:rFonts w:ascii="Times New Roman" w:hAnsi="Times New Roman" w:cs="Times New Roman"/>
          <w:i/>
          <w:szCs w:val="20"/>
        </w:rPr>
        <w:t>supra</w:t>
      </w:r>
      <w:r w:rsidRPr="00E72418">
        <w:rPr>
          <w:rFonts w:ascii="Times New Roman" w:hAnsi="Times New Roman" w:cs="Times New Roman"/>
          <w:szCs w:val="20"/>
        </w:rPr>
        <w:t xml:space="preserve"> n° 239), « the court’s abrupt reversal exposed a limitation of the comity doctrine as a defense to sovereign debt collection actions: the defense’s likelihood of success is subject to reassessment with each shift in U.S. policy on sovereign debt restructuring »</w:t>
      </w:r>
      <w:r w:rsidRPr="00E72418">
        <w:t xml:space="preserve"> (</w:t>
      </w:r>
      <w:r w:rsidRPr="00E72418">
        <w:rPr>
          <w:smallCaps/>
          <w:szCs w:val="20"/>
          <w:lang w:val="en-US"/>
        </w:rPr>
        <w:t>P. Power</w:t>
      </w:r>
      <w:r w:rsidRPr="00E72418">
        <w:rPr>
          <w:szCs w:val="20"/>
          <w:lang w:val="en-US"/>
        </w:rPr>
        <w:t>, « Sovereign debt: The rise of the secondary market and its implication for future restructurings »,</w:t>
      </w:r>
      <w:r w:rsidRPr="00E72418">
        <w:rPr>
          <w:i/>
          <w:szCs w:val="20"/>
          <w:lang w:val="en-US"/>
        </w:rPr>
        <w:t xml:space="preserve"> op. cit.</w:t>
      </w:r>
      <w:r w:rsidRPr="00E72418">
        <w:rPr>
          <w:szCs w:val="20"/>
          <w:lang w:val="en-US"/>
        </w:rPr>
        <w:t>, p. 2741</w:t>
      </w:r>
      <w:r w:rsidRPr="00E72418">
        <w:t>).</w:t>
      </w:r>
    </w:p>
  </w:footnote>
  <w:footnote w:id="1193">
    <w:p w14:paraId="678F318C" w14:textId="6B389631" w:rsidR="0030147D" w:rsidRPr="00E72418" w:rsidRDefault="0030147D" w:rsidP="002424E9">
      <w:pPr>
        <w:pStyle w:val="Sansinterligne"/>
      </w:pPr>
      <w:r w:rsidRPr="00E72418">
        <w:rPr>
          <w:rStyle w:val="Appelnotedebasdep"/>
        </w:rPr>
        <w:footnoteRef/>
      </w:r>
      <w:r w:rsidRPr="00E72418">
        <w:t xml:space="preserve"> Pour une explication de la portée limitée de l’argument de la </w:t>
      </w:r>
      <w:r w:rsidRPr="00E72418">
        <w:rPr>
          <w:i/>
        </w:rPr>
        <w:t>comity</w:t>
      </w:r>
      <w:r w:rsidRPr="00E72418">
        <w:t xml:space="preserve"> en droit britannique,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34 et suiv. qui retient notamment qu’ « </w:t>
      </w:r>
      <w:r w:rsidRPr="00E72418">
        <w:rPr>
          <w:rFonts w:ascii="Times New Roman" w:hAnsi="Times New Roman"/>
        </w:rPr>
        <w:t xml:space="preserve">[i]n any case, the doctrine of comity will rarely hold sway </w:t>
      </w:r>
      <w:r w:rsidRPr="00E72418">
        <w:t>» (</w:t>
      </w:r>
      <w:r w:rsidRPr="00E72418">
        <w:rPr>
          <w:i/>
        </w:rPr>
        <w:t>ibid.</w:t>
      </w:r>
      <w:r w:rsidRPr="00E72418">
        <w:t>, p. 35).</w:t>
      </w:r>
    </w:p>
  </w:footnote>
  <w:footnote w:id="1194">
    <w:p w14:paraId="5B8A8B8D" w14:textId="779E0841"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Comme le relèvent Jonathan Blackman et Rahul Mukhi, « [t]he defense had a natural application to the claims brought by vulture funds against foreign states since the funds’ strategy necessarily anticipated litigation following the purchase of nonperforming debt »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54).</w:t>
      </w:r>
    </w:p>
  </w:footnote>
  <w:footnote w:id="1195">
    <w:p w14:paraId="6D187A6F" w14:textId="25D2707C" w:rsidR="0030147D" w:rsidRPr="00E72418" w:rsidRDefault="0030147D" w:rsidP="00BE4BD3">
      <w:pPr>
        <w:pStyle w:val="Sansinterligne"/>
        <w:rPr>
          <w:szCs w:val="20"/>
        </w:rPr>
      </w:pPr>
      <w:r w:rsidRPr="00E72418">
        <w:rPr>
          <w:rStyle w:val="Appelnotedebasdep"/>
          <w:szCs w:val="20"/>
        </w:rPr>
        <w:footnoteRef/>
      </w:r>
      <w:r w:rsidRPr="00E72418">
        <w:rPr>
          <w:szCs w:val="20"/>
        </w:rPr>
        <w:t xml:space="preserve"> </w:t>
      </w:r>
      <w:r w:rsidRPr="00E72418">
        <w:rPr>
          <w:smallCaps/>
          <w:szCs w:val="20"/>
        </w:rPr>
        <w:t>H. Muir Watt</w:t>
      </w:r>
      <w:r w:rsidRPr="00E72418">
        <w:rPr>
          <w:szCs w:val="20"/>
        </w:rPr>
        <w:t>,</w:t>
      </w:r>
      <w:r w:rsidRPr="00E72418">
        <w:rPr>
          <w:rStyle w:val="apple-converted-space"/>
          <w:szCs w:val="20"/>
        </w:rPr>
        <w:t xml:space="preserve"> « Le retrait litigieux et le fonds vautours », </w:t>
      </w:r>
      <w:r w:rsidRPr="00E72418">
        <w:rPr>
          <w:rStyle w:val="apple-converted-space"/>
          <w:i/>
          <w:szCs w:val="20"/>
        </w:rPr>
        <w:t>op. cit.</w:t>
      </w:r>
      <w:r w:rsidRPr="00E72418">
        <w:rPr>
          <w:rStyle w:val="apple-converted-space"/>
          <w:szCs w:val="20"/>
        </w:rPr>
        <w:t>, p. 865.</w:t>
      </w:r>
    </w:p>
  </w:footnote>
  <w:footnote w:id="1196">
    <w:p w14:paraId="5F1DE8D6" w14:textId="3D31AE00" w:rsidR="0030147D" w:rsidRPr="00E72418" w:rsidRDefault="0030147D" w:rsidP="00BE4BD3">
      <w:pPr>
        <w:pStyle w:val="Sansinterligne"/>
        <w:rPr>
          <w:szCs w:val="20"/>
          <w:lang w:val="en-US"/>
        </w:rPr>
      </w:pPr>
      <w:r w:rsidRPr="00E72418">
        <w:rPr>
          <w:rStyle w:val="Appelnotedebasdep"/>
          <w:szCs w:val="20"/>
        </w:rPr>
        <w:footnoteRef/>
      </w:r>
      <w:r w:rsidRPr="00E72418">
        <w:rPr>
          <w:szCs w:val="20"/>
        </w:rPr>
        <w:t xml:space="preserve"> </w:t>
      </w:r>
      <w:r w:rsidRPr="00E72418">
        <w:rPr>
          <w:i/>
          <w:szCs w:val="20"/>
        </w:rPr>
        <w:t>Ibid</w:t>
      </w:r>
      <w:r w:rsidRPr="00E72418">
        <w:rPr>
          <w:rStyle w:val="apple-converted-space"/>
          <w:i/>
          <w:szCs w:val="20"/>
        </w:rPr>
        <w:t>.</w:t>
      </w:r>
      <w:r w:rsidRPr="00E72418">
        <w:rPr>
          <w:rStyle w:val="apple-converted-space"/>
          <w:szCs w:val="20"/>
        </w:rPr>
        <w:t xml:space="preserve"> Leentje </w:t>
      </w:r>
      <w:r w:rsidRPr="00E72418">
        <w:rPr>
          <w:rStyle w:val="apple-converted-space"/>
          <w:szCs w:val="20"/>
          <w:lang w:val="en-US"/>
        </w:rPr>
        <w:t>Sourbron et Lode Vereeck le soulignent « </w:t>
      </w:r>
      <w:r w:rsidRPr="00E72418">
        <w:rPr>
          <w:szCs w:val="20"/>
          <w:lang w:val="en-US"/>
        </w:rPr>
        <w:t xml:space="preserve">Champerty is not the easiest of arguments […], since it requires proof of intent </w:t>
      </w:r>
      <w:r w:rsidRPr="00E72418">
        <w:rPr>
          <w:rStyle w:val="apple-converted-space"/>
          <w:szCs w:val="20"/>
          <w:lang w:val="en-US"/>
        </w:rPr>
        <w:t>»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 11).</w:t>
      </w:r>
    </w:p>
  </w:footnote>
  <w:footnote w:id="1197">
    <w:p w14:paraId="197A44F8" w14:textId="40147A6F" w:rsidR="0030147D" w:rsidRPr="00E72418" w:rsidRDefault="0030147D" w:rsidP="00A25A4F">
      <w:pPr>
        <w:pStyle w:val="Sansinterligne"/>
      </w:pPr>
      <w:r w:rsidRPr="00E72418">
        <w:rPr>
          <w:rStyle w:val="Appelnotedebasdep"/>
          <w:szCs w:val="20"/>
        </w:rPr>
        <w:footnoteRef/>
      </w:r>
      <w:r w:rsidRPr="00E72418">
        <w:t xml:space="preserve"> À côté de ces deux contentieux, il en est d’autres lors desquels une défense basée sur la règle de la </w:t>
      </w:r>
      <w:r w:rsidRPr="00E72418">
        <w:rPr>
          <w:i/>
        </w:rPr>
        <w:t>champerty</w:t>
      </w:r>
      <w:r w:rsidRPr="00E72418">
        <w:t xml:space="preserve"> fut avancée. Voyez encore, par exemple, United States District Court for the District of Columbia (EUA), </w:t>
      </w:r>
      <w:r w:rsidRPr="00E72418">
        <w:rPr>
          <w:rStyle w:val="injectednode"/>
          <w:szCs w:val="20"/>
        </w:rPr>
        <w:t xml:space="preserve">28 mars 2002, </w:t>
      </w:r>
      <w:r w:rsidRPr="00E72418">
        <w:rPr>
          <w:i/>
        </w:rPr>
        <w:t>Turkmani v. Republic of Bol.</w:t>
      </w:r>
      <w:r w:rsidRPr="00E72418">
        <w:rPr>
          <w:rStyle w:val="injectednode"/>
          <w:szCs w:val="20"/>
        </w:rPr>
        <w:t xml:space="preserve">, 193 F. Supp. 2d 165 et, de l’autre côté de l’Atlantique, </w:t>
      </w:r>
      <w:r w:rsidRPr="00E72418">
        <w:t xml:space="preserve">Court of Appeal (RU), 3 avril 1996, </w:t>
      </w:r>
      <w:r w:rsidRPr="00E72418">
        <w:rPr>
          <w:i/>
        </w:rPr>
        <w:t>Camdex International Ltd. v Bank of Zambia &amp; Anor</w:t>
      </w:r>
      <w:r w:rsidRPr="00E72418">
        <w:t>,</w:t>
      </w:r>
      <w:r w:rsidRPr="00E72418">
        <w:rPr>
          <w:i/>
        </w:rPr>
        <w:t xml:space="preserve"> </w:t>
      </w:r>
      <w:r w:rsidRPr="00E72418">
        <w:rPr>
          <w:shd w:val="clear" w:color="auto" w:fill="FFFFFF"/>
        </w:rPr>
        <w:t xml:space="preserve">[1996] EWCA Civ 1356, </w:t>
      </w:r>
      <w:r w:rsidRPr="00E72418">
        <w:rPr>
          <w:rStyle w:val="injectednode"/>
          <w:szCs w:val="20"/>
        </w:rPr>
        <w:t>où la juridiction retenait notamment que «</w:t>
      </w:r>
      <w:r w:rsidRPr="00E72418">
        <w:t> </w:t>
      </w:r>
      <w:r w:rsidRPr="00E72418">
        <w:rPr>
          <w:rFonts w:ascii="Times New Roman" w:hAnsi="Times New Roman"/>
        </w:rPr>
        <w:t>[t]</w:t>
      </w:r>
      <w:r w:rsidRPr="00E72418">
        <w:t>he defendant has been unable to show any arguable case that the assignment of the debt […</w:t>
      </w:r>
      <w:r w:rsidRPr="00E72418">
        <w:rPr>
          <w:rFonts w:ascii="Times New Roman" w:hAnsi="Times New Roman"/>
        </w:rPr>
        <w:t>]</w:t>
      </w:r>
      <w:r w:rsidRPr="00E72418">
        <w:t xml:space="preserve"> to the plaintiff was anything other than a bona fide purchase of a debt </w:t>
      </w:r>
      <w:r w:rsidRPr="00E72418">
        <w:rPr>
          <w:rStyle w:val="injectednode"/>
          <w:szCs w:val="20"/>
        </w:rPr>
        <w:t>» (notons qu’il était dans cette dernière affaire précisément question d’une dette due par la Banque de Zambie).</w:t>
      </w:r>
    </w:p>
  </w:footnote>
  <w:footnote w:id="1198">
    <w:p w14:paraId="02B48ECD" w14:textId="77777777"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9 mai 1995, </w:t>
      </w:r>
      <w:r w:rsidRPr="00E72418">
        <w:rPr>
          <w:i/>
          <w:szCs w:val="20"/>
          <w:lang w:val="en-US"/>
        </w:rPr>
        <w:t>CIBC Bank &amp; Trust Co. v. Banco Cent. do Brasil</w:t>
      </w:r>
      <w:r w:rsidRPr="00E72418">
        <w:rPr>
          <w:szCs w:val="20"/>
          <w:lang w:val="en-US"/>
        </w:rPr>
        <w:t>, 886 F. supp. 1105, p. 1111.</w:t>
      </w:r>
    </w:p>
  </w:footnote>
  <w:footnote w:id="1199">
    <w:p w14:paraId="63D7047E" w14:textId="0FB8BBBB"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1200">
    <w:p w14:paraId="4AD4548E" w14:textId="3DD805A0"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w:t>
      </w:r>
      <w:r w:rsidRPr="00E72418">
        <w:rPr>
          <w:rStyle w:val="injectednode"/>
          <w:szCs w:val="20"/>
          <w:lang w:val="en-US"/>
        </w:rPr>
        <w:t xml:space="preserve">6 août 1998, </w:t>
      </w:r>
      <w:r w:rsidRPr="00E72418">
        <w:rPr>
          <w:i/>
          <w:szCs w:val="20"/>
          <w:lang w:val="en-US"/>
        </w:rPr>
        <w:t>Elliott Assocs. L.P. v. Republic of Peru</w:t>
      </w:r>
      <w:r w:rsidRPr="00E72418">
        <w:rPr>
          <w:rStyle w:val="injectednode"/>
          <w:szCs w:val="20"/>
          <w:lang w:val="en-US"/>
        </w:rPr>
        <w:t xml:space="preserve">, 12 F. Supp. 2d 328, p. 332 : </w:t>
      </w:r>
      <w:r w:rsidRPr="00E72418">
        <w:rPr>
          <w:szCs w:val="20"/>
          <w:lang w:val="en-US"/>
        </w:rPr>
        <w:t>« Elliott purchased the Peruvian debt with the intent and purpose to sue ». Comme le note Sonya Scott, « [t]he Court’s initial admission of the champerty claim by Peru was crucial both in terms of the understanding of the relative positions of power of vulture funds and sovereign nations, and in terms of the legal tolerance for the vulture strategy of bond purchases with the intention of litigation » (</w:t>
      </w:r>
      <w:r w:rsidRPr="00E72418">
        <w:rPr>
          <w:smallCaps/>
          <w:szCs w:val="20"/>
          <w:lang w:val="en-US"/>
        </w:rPr>
        <w:t>S. Scott</w:t>
      </w:r>
      <w:r w:rsidRPr="00E72418">
        <w:rPr>
          <w:szCs w:val="20"/>
          <w:lang w:val="en-US"/>
        </w:rPr>
        <w:t xml:space="preserve">, « Vultures, debt and desire: the vulture metaphor and Argentina’s sovereign debt crisis », </w:t>
      </w:r>
      <w:r w:rsidRPr="00E72418">
        <w:rPr>
          <w:i/>
          <w:szCs w:val="20"/>
          <w:lang w:val="en-US"/>
        </w:rPr>
        <w:t>op. cit.</w:t>
      </w:r>
      <w:r w:rsidRPr="00E72418">
        <w:rPr>
          <w:szCs w:val="20"/>
          <w:lang w:val="en-US"/>
        </w:rPr>
        <w:t>, p. 6).</w:t>
      </w:r>
    </w:p>
  </w:footnote>
  <w:footnote w:id="1201">
    <w:p w14:paraId="4EBCA2F4" w14:textId="77777777"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w:t>
      </w:r>
      <w:r w:rsidRPr="00E72418">
        <w:rPr>
          <w:rStyle w:val="injectednode"/>
          <w:szCs w:val="20"/>
          <w:lang w:val="en-US"/>
        </w:rPr>
        <w:t xml:space="preserve">6 août 1998, </w:t>
      </w:r>
      <w:r w:rsidRPr="00E72418">
        <w:rPr>
          <w:i/>
          <w:szCs w:val="20"/>
          <w:lang w:val="en-US"/>
        </w:rPr>
        <w:t>Elliott Assocs. L.P. v. Republic of Peru</w:t>
      </w:r>
      <w:r w:rsidRPr="00E72418">
        <w:rPr>
          <w:rStyle w:val="injectednode"/>
          <w:szCs w:val="20"/>
          <w:lang w:val="en-US"/>
        </w:rPr>
        <w:t xml:space="preserve">, 12 F. Supp. 2d 328, p. 342. On peut lire dans la décision qu’ </w:t>
      </w:r>
      <w:r w:rsidRPr="00E72418">
        <w:rPr>
          <w:szCs w:val="20"/>
          <w:lang w:val="en-US"/>
        </w:rPr>
        <w:t>« Elliott’s negotiations with Peru after its purchases were a pretext ».</w:t>
      </w:r>
      <w:r w:rsidRPr="00E72418">
        <w:rPr>
          <w:rStyle w:val="injectednode"/>
          <w:szCs w:val="20"/>
          <w:lang w:val="en-US"/>
        </w:rPr>
        <w:t xml:space="preserve"> </w:t>
      </w:r>
    </w:p>
  </w:footnote>
  <w:footnote w:id="1202">
    <w:p w14:paraId="35C43C8A" w14:textId="77777777"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20 octobre 1999, </w:t>
      </w:r>
      <w:r w:rsidRPr="00E72418">
        <w:rPr>
          <w:i/>
          <w:szCs w:val="20"/>
          <w:lang w:val="en-US"/>
        </w:rPr>
        <w:t>Elliott Associates LP v. Banco de la Nacion</w:t>
      </w:r>
      <w:r w:rsidRPr="00E72418">
        <w:rPr>
          <w:szCs w:val="20"/>
          <w:lang w:val="en-US"/>
        </w:rPr>
        <w:t>, 194 F.3d 363, p. 381.</w:t>
      </w:r>
    </w:p>
  </w:footnote>
  <w:footnote w:id="1203">
    <w:p w14:paraId="44534210" w14:textId="562CCAAD" w:rsidR="0030147D" w:rsidRPr="00E72418" w:rsidRDefault="0030147D" w:rsidP="00BE4BD3">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 378 visant Court of Appeals of New York (EUA), 7 février 1882, </w:t>
      </w:r>
      <w:r w:rsidRPr="00E72418">
        <w:rPr>
          <w:i/>
          <w:szCs w:val="20"/>
          <w:lang w:val="en-US"/>
        </w:rPr>
        <w:t>Moses v. McDivitt</w:t>
      </w:r>
      <w:r w:rsidRPr="00E72418">
        <w:rPr>
          <w:szCs w:val="20"/>
          <w:lang w:val="en-US"/>
        </w:rPr>
        <w:t>, 88 N.Y. 62.</w:t>
      </w:r>
    </w:p>
  </w:footnote>
  <w:footnote w:id="1204">
    <w:p w14:paraId="491A480A" w14:textId="07F6D3B7" w:rsidR="0030147D" w:rsidRPr="00E72418" w:rsidRDefault="0030147D" w:rsidP="00BE4BD3">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Sur le caractère accessoire, la juridiction releva qu’ « [i]t was “incidental” because […] </w:t>
      </w:r>
      <w:r w:rsidRPr="00E72418">
        <w:rPr>
          <w:szCs w:val="20"/>
          <w:lang w:val="en-US"/>
        </w:rPr>
        <w:t xml:space="preserve">Elliott’s “primary goal” in purchasing the debt was to be paid in full » et que « [t]hat Elliott had to bring suit to achieve that “primary goal” was therefore “incidental” to its achievement ». La juridiction examina ensuite le caractère contingent et indiqua qu’ « Elliott’s suit was also “contingent” because, had the Debtors agreed to Elliott’s request for the money […] Elliott was owed […] then there would have been no lawsuit ». Pour la Cour, le fait qu’ « Elliott “knew Peru would not, under the circumstances, pay in full” […] does not make Elliott’s intent to file suit any less contingent » (United States Court of Appeals for the Second Circuit (EUA), 20 octobre 1999, </w:t>
      </w:r>
      <w:r w:rsidRPr="00E72418">
        <w:rPr>
          <w:i/>
          <w:szCs w:val="20"/>
          <w:lang w:val="en-US"/>
        </w:rPr>
        <w:t>Elliott Associates LP v. Banco de la Nacion</w:t>
      </w:r>
      <w:r w:rsidRPr="00E72418">
        <w:rPr>
          <w:szCs w:val="20"/>
          <w:lang w:val="en-US"/>
        </w:rPr>
        <w:t xml:space="preserve">, 194 F.3d 363, p. 379). </w:t>
      </w:r>
      <w:r w:rsidRPr="00E72418">
        <w:rPr>
          <w:szCs w:val="20"/>
        </w:rPr>
        <w:t xml:space="preserve">Un problème ici relevé par Christopher Wheeler et Amir Attaran est le possible travestissement de la règle. </w:t>
      </w:r>
      <w:r w:rsidRPr="00E72418">
        <w:rPr>
          <w:szCs w:val="20"/>
          <w:lang w:val="en-US"/>
        </w:rPr>
        <w:t xml:space="preserve">Comme ils l’expliquent « [a] plaintiff who, prior to suit, simply wrote a demand letter to the debtor asking for full payment evidently would not be engaged in purely champertous conduct » (C. </w:t>
      </w:r>
      <w:r w:rsidRPr="00E72418">
        <w:rPr>
          <w:smallCaps/>
          <w:szCs w:val="20"/>
          <w:lang w:val="en-US"/>
        </w:rPr>
        <w:t xml:space="preserve">Wheeler </w:t>
      </w:r>
      <w:r w:rsidRPr="00E72418">
        <w:rPr>
          <w:szCs w:val="20"/>
          <w:lang w:val="en-US"/>
        </w:rPr>
        <w:t xml:space="preserve">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p. 266).</w:t>
      </w:r>
    </w:p>
  </w:footnote>
  <w:footnote w:id="1205">
    <w:p w14:paraId="104A7483" w14:textId="20F1082B" w:rsidR="0030147D" w:rsidRPr="00E72418" w:rsidRDefault="0030147D" w:rsidP="00BE4BD3">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United States Court of Appeals for the Second Circuit (EUA), 20 octobre 1999, </w:t>
      </w:r>
      <w:r w:rsidRPr="00E72418">
        <w:rPr>
          <w:i/>
          <w:szCs w:val="20"/>
          <w:lang w:val="en-US"/>
        </w:rPr>
        <w:t>Elliott Associates LP v. Banco de la Nacion</w:t>
      </w:r>
      <w:r w:rsidRPr="00E72418">
        <w:rPr>
          <w:szCs w:val="20"/>
          <w:lang w:val="en-US"/>
        </w:rPr>
        <w:t xml:space="preserve">, 194 F.3d 363, p. 380. Carmine Boccuzzi </w:t>
      </w:r>
      <w:r w:rsidRPr="00E72418">
        <w:rPr>
          <w:i/>
          <w:szCs w:val="20"/>
          <w:lang w:val="en-US"/>
        </w:rPr>
        <w:t xml:space="preserve">et al. </w:t>
      </w:r>
      <w:r w:rsidRPr="00E72418">
        <w:rPr>
          <w:szCs w:val="20"/>
          <w:lang w:val="en-US"/>
        </w:rPr>
        <w:t>relèvent une autre conséquence à laquelle une décision en sens contraire aurait pu conduire : « ruling against Elliott Associates would create a perverse incentive for sovereign debtors, because their litigating position would be stronger if they were clearly and publicly to refuse to honour their debts. Once investors received notice that a state did not intend voluntarily to pay its debt, the only reason to acquire it would be to collect through litigation – a circumstance that, if governed by the District Court’s holding, would create a champerty defence » (</w:t>
      </w:r>
      <w:r w:rsidRPr="00E72418">
        <w:rPr>
          <w:smallCaps/>
          <w:szCs w:val="20"/>
          <w:lang w:val="en-US"/>
        </w:rPr>
        <w:t>C. Boccuzzi, M. Brennan</w:t>
      </w:r>
      <w:r w:rsidRPr="00E72418">
        <w:rPr>
          <w:szCs w:val="20"/>
          <w:lang w:val="en-US"/>
        </w:rPr>
        <w:t xml:space="preserve"> et </w:t>
      </w:r>
      <w:r w:rsidRPr="00E72418">
        <w:rPr>
          <w:smallCaps/>
          <w:szCs w:val="20"/>
          <w:lang w:val="en-US"/>
        </w:rPr>
        <w:t>J. Johnston</w:t>
      </w:r>
      <w:r w:rsidRPr="00E72418">
        <w:rPr>
          <w:szCs w:val="20"/>
          <w:lang w:val="en-US"/>
        </w:rPr>
        <w:t xml:space="preserve">, « Defences », </w:t>
      </w:r>
      <w:r w:rsidRPr="00E72418">
        <w:rPr>
          <w:i/>
          <w:szCs w:val="20"/>
        </w:rPr>
        <w:t>op. cit.</w:t>
      </w:r>
      <w:r w:rsidRPr="00E72418">
        <w:rPr>
          <w:szCs w:val="20"/>
          <w:lang w:val="en-US"/>
        </w:rPr>
        <w:t xml:space="preserve">, p. 111). Sur le problème des défauts opportunistes et des « rogue debtors », voyez </w:t>
      </w:r>
      <w:r w:rsidRPr="00E72418">
        <w:rPr>
          <w:i/>
          <w:szCs w:val="20"/>
          <w:lang w:val="en-US"/>
        </w:rPr>
        <w:t>supra</w:t>
      </w:r>
      <w:r w:rsidRPr="00E72418">
        <w:rPr>
          <w:szCs w:val="20"/>
          <w:lang w:val="en-US"/>
        </w:rPr>
        <w:t xml:space="preserve"> n° 163.</w:t>
      </w:r>
    </w:p>
  </w:footnote>
  <w:footnote w:id="1206">
    <w:p w14:paraId="13648701" w14:textId="4E72F567" w:rsidR="0030147D" w:rsidRPr="00E72418" w:rsidRDefault="0030147D" w:rsidP="002D5ECC">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xml:space="preserve">, p. 7. </w:t>
      </w:r>
      <w:r w:rsidRPr="00E72418">
        <w:rPr>
          <w:szCs w:val="20"/>
        </w:rPr>
        <w:t xml:space="preserve">L’initiative parlementaire à l’origine de la modification a été présentée par le sénateur </w:t>
      </w:r>
      <w:r w:rsidR="006F23BB">
        <w:rPr>
          <w:szCs w:val="20"/>
        </w:rPr>
        <w:t xml:space="preserve">John </w:t>
      </w:r>
      <w:r w:rsidRPr="00E72418">
        <w:rPr>
          <w:szCs w:val="20"/>
        </w:rPr>
        <w:t xml:space="preserve">Marchi ayant des connexions avec Paul Singer, le co-fondateur du fonds </w:t>
      </w:r>
      <w:r w:rsidRPr="00E72418">
        <w:rPr>
          <w:i/>
          <w:szCs w:val="20"/>
        </w:rPr>
        <w:t>Elliott</w:t>
      </w:r>
      <w:r w:rsidRPr="00E72418">
        <w:rPr>
          <w:szCs w:val="20"/>
        </w:rPr>
        <w:t>, qui aurait notamment fait une donation au politicien en mars 2004 (</w:t>
      </w:r>
      <w:r w:rsidRPr="00E72418">
        <w:rPr>
          <w:smallCaps/>
          <w:szCs w:val="20"/>
        </w:rPr>
        <w:t>M. Guzman</w:t>
      </w:r>
      <w:r w:rsidRPr="00E72418">
        <w:rPr>
          <w:szCs w:val="20"/>
        </w:rPr>
        <w:t xml:space="preserve">, « An analysis of Argentina’s 2001 default resolution », </w:t>
      </w:r>
      <w:r w:rsidRPr="00E72418">
        <w:rPr>
          <w:i/>
          <w:szCs w:val="20"/>
          <w:lang w:val="en-US"/>
        </w:rPr>
        <w:t>op. cit.</w:t>
      </w:r>
      <w:r w:rsidRPr="00E72418">
        <w:rPr>
          <w:szCs w:val="20"/>
        </w:rPr>
        <w:t>, p. 12).</w:t>
      </w:r>
    </w:p>
  </w:footnote>
  <w:footnote w:id="1207">
    <w:p w14:paraId="129BFACC" w14:textId="1C2D8511" w:rsidR="0030147D" w:rsidRPr="00E72418" w:rsidRDefault="0030147D" w:rsidP="002D5ECC">
      <w:pPr>
        <w:pStyle w:val="Sansinterligne"/>
        <w:rPr>
          <w:szCs w:val="20"/>
          <w:lang w:val="en-US"/>
        </w:rPr>
      </w:pPr>
      <w:r w:rsidRPr="00E72418">
        <w:rPr>
          <w:rStyle w:val="Appelnotedebasdep"/>
          <w:szCs w:val="20"/>
        </w:rPr>
        <w:footnoteRef/>
      </w:r>
      <w:r w:rsidRPr="00E72418">
        <w:rPr>
          <w:szCs w:val="20"/>
          <w:lang w:val="en-US"/>
        </w:rPr>
        <w:t xml:space="preserve"> New York State Assembly, </w:t>
      </w:r>
      <w:r w:rsidRPr="00E72418">
        <w:rPr>
          <w:i/>
          <w:szCs w:val="20"/>
          <w:lang w:val="en-US"/>
        </w:rPr>
        <w:t>An act to amend the judiciary law, in relation to the purchase of claims for valuable consideration</w:t>
      </w:r>
      <w:r w:rsidRPr="00E72418">
        <w:rPr>
          <w:szCs w:val="20"/>
          <w:lang w:val="en-US"/>
        </w:rPr>
        <w:t>, memorandum in support of legislation, bill n° 7244C.</w:t>
      </w:r>
    </w:p>
  </w:footnote>
  <w:footnote w:id="1208">
    <w:p w14:paraId="04F117E4" w14:textId="63267716" w:rsidR="0030147D" w:rsidRPr="00E72418" w:rsidRDefault="0030147D" w:rsidP="002D5EC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xml:space="preserve">, p. 113. Voyez également </w:t>
      </w:r>
      <w:r w:rsidRPr="00E72418">
        <w:rPr>
          <w:szCs w:val="20"/>
        </w:rPr>
        <w:t xml:space="preserve">Conférence des Nations Unies sur le commerce et le développement, </w:t>
      </w:r>
      <w:r w:rsidRPr="00E72418">
        <w:rPr>
          <w:i/>
          <w:szCs w:val="20"/>
        </w:rPr>
        <w:t>Rapport sur le commerce et le développement, 2015 : Mettre l’architecture financière internationale au service du développement</w:t>
      </w:r>
      <w:r w:rsidRPr="00E72418">
        <w:rPr>
          <w:szCs w:val="20"/>
        </w:rPr>
        <w:t>, 2015, p. 159 qui note une « nouvelle brèche en faveur des “fonds vautours” ».</w:t>
      </w:r>
    </w:p>
  </w:footnote>
  <w:footnote w:id="1209">
    <w:p w14:paraId="302E26A6" w14:textId="641AC54C" w:rsidR="0030147D" w:rsidRPr="00E72418" w:rsidRDefault="0030147D" w:rsidP="00CC5A04">
      <w:pPr>
        <w:pStyle w:val="Sansinterligne"/>
        <w:rPr>
          <w:szCs w:val="20"/>
          <w:lang w:val="en-US"/>
        </w:rPr>
      </w:pPr>
      <w:r w:rsidRPr="00E72418">
        <w:rPr>
          <w:rStyle w:val="Appelnotedebasdep"/>
          <w:szCs w:val="20"/>
        </w:rPr>
        <w:footnoteRef/>
      </w:r>
      <w:r w:rsidRPr="00E72418">
        <w:rPr>
          <w:szCs w:val="20"/>
          <w:lang w:val="en-US"/>
        </w:rPr>
        <w:t xml:space="preserve"> Au sujet de l’incidence de la révision de la règle de la </w:t>
      </w:r>
      <w:r w:rsidRPr="00E72418">
        <w:rPr>
          <w:i/>
          <w:szCs w:val="20"/>
          <w:lang w:val="en-US"/>
        </w:rPr>
        <w:t>champerty</w:t>
      </w:r>
      <w:r w:rsidRPr="00E72418">
        <w:rPr>
          <w:szCs w:val="20"/>
          <w:lang w:val="en-US"/>
        </w:rPr>
        <w:t xml:space="preserve"> sur le contentieux argentin par exemple, Martin Guzman note qu’ « [a]ll the Argentine bonds under dispute had been issued before Champerty was repealed </w:t>
      </w:r>
      <w:r w:rsidRPr="00E72418">
        <w:rPr>
          <w:rStyle w:val="apple-converted-space"/>
          <w:szCs w:val="20"/>
          <w:lang w:val="en-US"/>
        </w:rPr>
        <w:t>»</w:t>
      </w:r>
      <w:r w:rsidRPr="00E72418">
        <w:rPr>
          <w:szCs w:val="20"/>
          <w:lang w:val="en-US"/>
        </w:rPr>
        <w:t xml:space="preserve"> et que « [t]herefore, the elimination of Champerty constituted de facto a change in property rights that favoured vulture funds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12).</w:t>
      </w:r>
    </w:p>
  </w:footnote>
  <w:footnote w:id="1210">
    <w:p w14:paraId="758D7735" w14:textId="7BCC3A42" w:rsidR="0030147D" w:rsidRPr="00E72418" w:rsidRDefault="0030147D" w:rsidP="007E522B">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6.</w:t>
      </w:r>
    </w:p>
  </w:footnote>
  <w:footnote w:id="1211">
    <w:p w14:paraId="4F232257" w14:textId="66DEFBF3" w:rsidR="0030147D" w:rsidRPr="00E72418" w:rsidRDefault="0030147D" w:rsidP="007E522B">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Principes pour l’octroi de prêts et la souscription d’emprunts souverains responsables</w:t>
      </w:r>
      <w:r w:rsidRPr="00E72418">
        <w:rPr>
          <w:szCs w:val="20"/>
        </w:rPr>
        <w:t>, janvier 2012.</w:t>
      </w:r>
    </w:p>
  </w:footnote>
  <w:footnote w:id="1212">
    <w:p w14:paraId="11E947A3" w14:textId="0A863228" w:rsidR="0030147D" w:rsidRPr="00E72418" w:rsidRDefault="0030147D" w:rsidP="007E522B">
      <w:pPr>
        <w:pStyle w:val="Sansinterligne"/>
        <w:rPr>
          <w:szCs w:val="20"/>
        </w:rPr>
      </w:pPr>
      <w:r w:rsidRPr="00E72418">
        <w:rPr>
          <w:rStyle w:val="Appelnotedebasdep"/>
          <w:szCs w:val="20"/>
        </w:rPr>
        <w:footnoteRef/>
      </w:r>
      <w:r w:rsidRPr="00E72418">
        <w:rPr>
          <w:szCs w:val="20"/>
        </w:rPr>
        <w:t xml:space="preserve"> Mauro Megliani relève que cette implication doit être correctement comprise; l’abus ne réside pas dans le seul rachat de la créance mais bien dans la tentative d’en obtenir un paiement préférentiel. La seule absence de participation au processus de restructuration ne saurait suffire à retenir l’abus, il faut qu’une poursuite soit entamée par le créancier (</w:t>
      </w:r>
      <w:r w:rsidRPr="00E72418">
        <w:rPr>
          <w:smallCaps/>
          <w:szCs w:val="20"/>
        </w:rPr>
        <w:t>M. Megliani</w:t>
      </w:r>
      <w:r w:rsidRPr="00E72418">
        <w:rPr>
          <w:szCs w:val="20"/>
        </w:rPr>
        <w:t xml:space="preserve">, « For the Orphan, the Widow, the Poor: How to Curb Enforcing by Vulture Funds against the Highly Indebted Poor Countries », </w:t>
      </w:r>
      <w:r w:rsidRPr="00E72418">
        <w:rPr>
          <w:i/>
          <w:szCs w:val="20"/>
          <w:lang w:val="en-US"/>
        </w:rPr>
        <w:t>op. cit.</w:t>
      </w:r>
      <w:r w:rsidRPr="00E72418">
        <w:rPr>
          <w:szCs w:val="20"/>
        </w:rPr>
        <w:t>, p. 372).</w:t>
      </w:r>
    </w:p>
  </w:footnote>
  <w:footnote w:id="1213">
    <w:p w14:paraId="3D6DFE80" w14:textId="428DE6AB" w:rsidR="0030147D" w:rsidRPr="00E72418" w:rsidRDefault="0030147D" w:rsidP="00E32F89">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i/>
        </w:rPr>
        <w:t xml:space="preserve">Ibid. </w:t>
      </w:r>
      <w:r w:rsidRPr="00E72418">
        <w:t xml:space="preserve">et </w:t>
      </w:r>
      <w:r w:rsidRPr="00E72418">
        <w:rPr>
          <w:smallCaps/>
        </w:rPr>
        <w:t>M. Megliani</w:t>
      </w:r>
      <w:r w:rsidRPr="00E72418">
        <w:t xml:space="preserve">, « Vultures in Courts: Why the UNCTAD Principles on Responsible Financing Cannot Stop Litigation », </w:t>
      </w:r>
      <w:r w:rsidRPr="00E72418">
        <w:rPr>
          <w:i/>
        </w:rPr>
        <w:t>op. cit.</w:t>
      </w:r>
      <w:r w:rsidRPr="00E72418">
        <w:t xml:space="preserve">, p. 856. L’auteur fait référence dans ses deux articles à </w:t>
      </w:r>
      <w:r w:rsidRPr="00E72418">
        <w:rPr>
          <w:smallCaps/>
        </w:rPr>
        <w:t>C. Brummer</w:t>
      </w:r>
      <w:r w:rsidRPr="00E72418">
        <w:t xml:space="preserve">, « Why Soft Law Dominates International Finance – and not Trade », </w:t>
      </w:r>
      <w:r w:rsidRPr="00E72418">
        <w:rPr>
          <w:rFonts w:ascii="Times New Roman" w:hAnsi="Times New Roman" w:cs="Times New Roman"/>
          <w:i/>
        </w:rPr>
        <w:t>J.I.E.L.</w:t>
      </w:r>
      <w:r w:rsidRPr="00E72418">
        <w:t>, 2010, p. 623.</w:t>
      </w:r>
    </w:p>
  </w:footnote>
  <w:footnote w:id="1214">
    <w:p w14:paraId="3FC93683" w14:textId="474D34D8" w:rsidR="0030147D" w:rsidRPr="00E72418" w:rsidRDefault="0030147D" w:rsidP="00FE3616">
      <w:pPr>
        <w:pStyle w:val="Sansinterligne"/>
        <w:rPr>
          <w:szCs w:val="20"/>
        </w:rPr>
      </w:pPr>
      <w:r w:rsidRPr="00E72418">
        <w:rPr>
          <w:rStyle w:val="Appelnotedebasdep"/>
          <w:szCs w:val="20"/>
        </w:rPr>
        <w:footnoteRef/>
      </w:r>
      <w:r w:rsidRPr="00E72418">
        <w:rPr>
          <w:szCs w:val="20"/>
        </w:rPr>
        <w:t xml:space="preserve"> </w:t>
      </w:r>
      <w:bookmarkStart w:id="273" w:name="_Toc47442967"/>
      <w:r w:rsidRPr="00E72418">
        <w:rPr>
          <w:szCs w:val="20"/>
        </w:rPr>
        <w:t xml:space="preserve">Parlement européen, </w:t>
      </w:r>
      <w:r w:rsidRPr="00E72418">
        <w:rPr>
          <w:i/>
          <w:szCs w:val="20"/>
        </w:rPr>
        <w:t>Résolution sur l’amélioration de la viabilité de la dette des pays en développement</w:t>
      </w:r>
      <w:r w:rsidRPr="00E72418">
        <w:rPr>
          <w:szCs w:val="20"/>
        </w:rPr>
        <w:t xml:space="preserve">, </w:t>
      </w:r>
      <w:r w:rsidRPr="00E72418">
        <w:rPr>
          <w:rStyle w:val="Titre5Car"/>
          <w:rFonts w:ascii="Times" w:eastAsiaTheme="minorHAnsi" w:hAnsi="Times" w:cstheme="minorBidi"/>
          <w:color w:val="auto"/>
          <w:szCs w:val="20"/>
        </w:rPr>
        <w:t xml:space="preserve">17 avril 2018, </w:t>
      </w:r>
      <w:r w:rsidRPr="00E72418">
        <w:rPr>
          <w:szCs w:val="20"/>
        </w:rPr>
        <w:t>2016/2241(INI), p</w:t>
      </w:r>
      <w:bookmarkEnd w:id="273"/>
      <w:r w:rsidRPr="00E72418">
        <w:rPr>
          <w:szCs w:val="20"/>
        </w:rPr>
        <w:t>oint 27.</w:t>
      </w:r>
    </w:p>
  </w:footnote>
  <w:footnote w:id="1215">
    <w:p w14:paraId="253D1A68" w14:textId="09220B9E" w:rsidR="0030147D" w:rsidRPr="00E72418" w:rsidRDefault="0030147D" w:rsidP="007E522B">
      <w:pPr>
        <w:pStyle w:val="Sansinterligne"/>
        <w:rPr>
          <w:szCs w:val="20"/>
        </w:rPr>
      </w:pPr>
      <w:r w:rsidRPr="00E72418">
        <w:rPr>
          <w:rStyle w:val="Appelnotedebasdep"/>
          <w:szCs w:val="20"/>
        </w:rPr>
        <w:footnoteRef/>
      </w:r>
      <w:r w:rsidRPr="00E72418">
        <w:rPr>
          <w:szCs w:val="20"/>
        </w:rPr>
        <w:t xml:space="preserve">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rPr>
        <w:t>R.B.D.I.</w:t>
      </w:r>
      <w:r w:rsidRPr="00E72418">
        <w:rPr>
          <w:szCs w:val="20"/>
        </w:rPr>
        <w:t xml:space="preserve">, 2018, pp. 186 et 187. </w:t>
      </w:r>
    </w:p>
  </w:footnote>
  <w:footnote w:id="1216">
    <w:p w14:paraId="342AC0F4" w14:textId="77777777" w:rsidR="0030147D" w:rsidRPr="00E72418" w:rsidRDefault="0030147D" w:rsidP="00FE3616">
      <w:pPr>
        <w:pStyle w:val="Sansinterligne"/>
        <w:rPr>
          <w:szCs w:val="20"/>
          <w:lang w:val="en-US"/>
        </w:rPr>
      </w:pPr>
      <w:r w:rsidRPr="00E72418">
        <w:rPr>
          <w:rStyle w:val="Appelnotedebasdep"/>
          <w:szCs w:val="20"/>
        </w:rPr>
        <w:footnoteRef/>
      </w:r>
      <w:r w:rsidRPr="00E72418">
        <w:rPr>
          <w:szCs w:val="20"/>
          <w:lang w:val="en-US"/>
        </w:rPr>
        <w:t xml:space="preserve"> United States District Court for the Southern District of New York (EUA), 14 avril 2003, </w:t>
      </w:r>
      <w:r w:rsidRPr="00E72418">
        <w:rPr>
          <w:i/>
          <w:szCs w:val="20"/>
          <w:lang w:val="en-US"/>
        </w:rPr>
        <w:t>Lightwater Corp. v. Republic of Argentina</w:t>
      </w:r>
      <w:r w:rsidRPr="00E72418">
        <w:rPr>
          <w:szCs w:val="20"/>
          <w:lang w:val="en-US"/>
        </w:rPr>
        <w:t>, 2003 WL 1878420, p. 5.</w:t>
      </w:r>
    </w:p>
  </w:footnote>
  <w:footnote w:id="1217">
    <w:p w14:paraId="2FCA1FC9" w14:textId="66CF487A" w:rsidR="0030147D" w:rsidRPr="00E72418" w:rsidRDefault="0030147D" w:rsidP="00662B02">
      <w:pPr>
        <w:pStyle w:val="Sansinterligne"/>
      </w:pPr>
      <w:r w:rsidRPr="00E72418">
        <w:rPr>
          <w:rStyle w:val="Appelnotedebasdep"/>
        </w:rPr>
        <w:footnoteRef/>
      </w:r>
      <w:r w:rsidRPr="00E72418">
        <w:t xml:space="preserve"> Cass. (B), 10 septembre 1971, </w:t>
      </w:r>
      <w:r w:rsidRPr="00E72418">
        <w:rPr>
          <w:i/>
          <w:szCs w:val="20"/>
        </w:rPr>
        <w:t>Pas.</w:t>
      </w:r>
      <w:r w:rsidRPr="00E72418">
        <w:t>, 1972, I, p. 28.</w:t>
      </w:r>
    </w:p>
  </w:footnote>
  <w:footnote w:id="1218">
    <w:p w14:paraId="2CA95973" w14:textId="47DD57AB" w:rsidR="0030147D" w:rsidRPr="00E72418" w:rsidRDefault="0030147D" w:rsidP="00A17BDC">
      <w:pPr>
        <w:pStyle w:val="Sansinterligne"/>
      </w:pPr>
      <w:r w:rsidRPr="00E72418">
        <w:rPr>
          <w:rStyle w:val="Appelnotedebasdep"/>
        </w:rPr>
        <w:footnoteRef/>
      </w:r>
      <w:r w:rsidRPr="00E72418">
        <w:t xml:space="preserve"> Nous verrons que le principe de l’abus de droit servira au législateur belge afin de justifier du mécanisme anti-spéculation qu’il mettra en place en 2015 (voyez </w:t>
      </w:r>
      <w:r w:rsidRPr="00E72418">
        <w:rPr>
          <w:i/>
        </w:rPr>
        <w:t>infra</w:t>
      </w:r>
      <w:r w:rsidRPr="00E72418">
        <w:t xml:space="preserve"> n° 339).</w:t>
      </w:r>
    </w:p>
  </w:footnote>
  <w:footnote w:id="1219">
    <w:p w14:paraId="5BB9A440" w14:textId="011DD6ED" w:rsidR="0030147D" w:rsidRPr="00E72418" w:rsidRDefault="0030147D" w:rsidP="000D6BA6">
      <w:pPr>
        <w:pStyle w:val="Sansinterligne"/>
      </w:pPr>
      <w:r w:rsidRPr="00E72418">
        <w:rPr>
          <w:rStyle w:val="Appelnotedebasdep"/>
        </w:rPr>
        <w:footnoteRef/>
      </w:r>
      <w:r w:rsidRPr="00E72418">
        <w:t xml:space="preserve"> Voyez notamment Cass. (B), 18 février 1988, arrêt n° RG 7965, </w:t>
      </w:r>
      <w:r w:rsidRPr="00E72418">
        <w:rPr>
          <w:i/>
          <w:szCs w:val="20"/>
        </w:rPr>
        <w:t>Pas.</w:t>
      </w:r>
      <w:r w:rsidRPr="00E72418">
        <w:t xml:space="preserve">, 1988, I, p. 729 où la Cour retient le pouvoir de réduction du juge confronté à une situation où une partie commet un abus de droit. Épinglant cet arrêt, Sophie Stijns et Françoise Auvray expliquent qu’ « en cas d’abus d’une clause pénale, […] le juge peut modérer le droit contractuel en le ramenant à un exercice normal du droit » (S. </w:t>
      </w:r>
      <w:r w:rsidRPr="00E72418">
        <w:rPr>
          <w:smallCaps/>
        </w:rPr>
        <w:t>Stijns</w:t>
      </w:r>
      <w:r w:rsidRPr="00E72418">
        <w:t xml:space="preserve"> et F. </w:t>
      </w:r>
      <w:r w:rsidRPr="00E72418">
        <w:rPr>
          <w:smallCaps/>
        </w:rPr>
        <w:t>Auvray</w:t>
      </w:r>
      <w:r w:rsidRPr="00E72418">
        <w:t xml:space="preserve">, « Abus de droit contractuel dans l’exécution du contrat : critères et sanctions », in M. </w:t>
      </w:r>
      <w:r w:rsidRPr="00E72418">
        <w:rPr>
          <w:smallCaps/>
        </w:rPr>
        <w:t>Dupont</w:t>
      </w:r>
      <w:r w:rsidRPr="00E72418">
        <w:t xml:space="preserve"> (dir.), </w:t>
      </w:r>
      <w:r w:rsidRPr="00E72418">
        <w:rPr>
          <w:i/>
        </w:rPr>
        <w:t>Les obligations contractuelles</w:t>
      </w:r>
      <w:r w:rsidRPr="00E72418">
        <w:t>, Larcier, 2016, p. 275).</w:t>
      </w:r>
    </w:p>
  </w:footnote>
  <w:footnote w:id="1220">
    <w:p w14:paraId="5AEA6014" w14:textId="21D65674" w:rsidR="0030147D" w:rsidRPr="00E72418" w:rsidRDefault="0030147D" w:rsidP="001B57F1">
      <w:pPr>
        <w:pStyle w:val="Sansinterligne"/>
      </w:pPr>
      <w:r w:rsidRPr="00E72418">
        <w:rPr>
          <w:rStyle w:val="Appelnotedebasdep"/>
        </w:rPr>
        <w:footnoteRef/>
      </w:r>
      <w:r w:rsidRPr="00E72418">
        <w:t xml:space="preserve"> P. </w:t>
      </w:r>
      <w:r w:rsidRPr="00E72418">
        <w:rPr>
          <w:smallCaps/>
          <w:shd w:val="clear" w:color="auto" w:fill="FFFFFF"/>
        </w:rPr>
        <w:t xml:space="preserve">Malaurie, L. Aynès </w:t>
      </w:r>
      <w:r w:rsidRPr="00E72418">
        <w:rPr>
          <w:shd w:val="clear" w:color="auto" w:fill="FFFFFF"/>
        </w:rPr>
        <w:t xml:space="preserve">et P. </w:t>
      </w:r>
      <w:r w:rsidRPr="00E72418">
        <w:rPr>
          <w:smallCaps/>
          <w:shd w:val="clear" w:color="auto" w:fill="FFFFFF"/>
        </w:rPr>
        <w:t xml:space="preserve">Stoffel-Munck, </w:t>
      </w:r>
      <w:r w:rsidRPr="00E72418">
        <w:rPr>
          <w:i/>
          <w:smallCaps/>
          <w:shd w:val="clear" w:color="auto" w:fill="FFFFFF"/>
        </w:rPr>
        <w:t>D</w:t>
      </w:r>
      <w:r w:rsidRPr="00E72418">
        <w:rPr>
          <w:i/>
          <w:shd w:val="clear" w:color="auto" w:fill="FFFFFF"/>
        </w:rPr>
        <w:t>roit des obligations</w:t>
      </w:r>
      <w:r w:rsidRPr="00E72418">
        <w:rPr>
          <w:shd w:val="clear" w:color="auto" w:fill="FFFFFF"/>
        </w:rPr>
        <w:t>, L.G.D.J., 2020, p. 485.</w:t>
      </w:r>
    </w:p>
  </w:footnote>
  <w:footnote w:id="1221">
    <w:p w14:paraId="047D48B8" w14:textId="254431A2" w:rsidR="0030147D" w:rsidRPr="00E72418" w:rsidRDefault="0030147D" w:rsidP="00A81302">
      <w:pPr>
        <w:pStyle w:val="Sansinterligne"/>
      </w:pPr>
      <w:r w:rsidRPr="00E72418">
        <w:rPr>
          <w:rStyle w:val="Appelnotedebasdep"/>
        </w:rPr>
        <w:footnoteRef/>
      </w:r>
      <w:r w:rsidRPr="00E72418">
        <w:t xml:space="preserve"> G. </w:t>
      </w:r>
      <w:r w:rsidRPr="00E72418">
        <w:rPr>
          <w:smallCaps/>
        </w:rPr>
        <w:t>Keutgen</w:t>
      </w:r>
      <w:r w:rsidRPr="00E72418">
        <w:t xml:space="preserve"> et D. </w:t>
      </w:r>
      <w:r w:rsidRPr="00E72418">
        <w:rPr>
          <w:smallCaps/>
        </w:rPr>
        <w:t>Matray</w:t>
      </w:r>
      <w:r w:rsidRPr="00E72418">
        <w:t xml:space="preserve">, « Le financement du contentieux arbitral international par un tiers », in </w:t>
      </w:r>
      <w:r w:rsidRPr="00E72418">
        <w:rPr>
          <w:i/>
        </w:rPr>
        <w:t>Liber Amicorum Georges-Albert Dal</w:t>
      </w:r>
      <w:r w:rsidRPr="00E72418">
        <w:t xml:space="preserve">, Larcier, 2013, p. 520. Comme le note encore Marguerite Charlier, « [c]ette disposition a été approuvée par Pothier qui y voyait une manifestation légitime du </w:t>
      </w:r>
      <w:r w:rsidRPr="00E72418">
        <w:rPr>
          <w:szCs w:val="20"/>
          <w:lang w:val="en-US"/>
        </w:rPr>
        <w:t>“</w:t>
      </w:r>
      <w:r w:rsidRPr="00E72418">
        <w:t>mépris</w:t>
      </w:r>
      <w:r w:rsidRPr="00E72418">
        <w:rPr>
          <w:szCs w:val="20"/>
          <w:lang w:val="en-US"/>
        </w:rPr>
        <w:t>”</w:t>
      </w:r>
      <w:r w:rsidRPr="00E72418">
        <w:t xml:space="preserve"> que méritent ceux qu’il appelle les </w:t>
      </w:r>
      <w:r w:rsidRPr="00E72418">
        <w:rPr>
          <w:szCs w:val="20"/>
          <w:lang w:val="en-US"/>
        </w:rPr>
        <w:t>“</w:t>
      </w:r>
      <w:r w:rsidRPr="00E72418">
        <w:t>acheteurs de procès et spéculateurs odieux</w:t>
      </w:r>
      <w:r w:rsidRPr="00E72418">
        <w:rPr>
          <w:szCs w:val="20"/>
          <w:lang w:val="en-US"/>
        </w:rPr>
        <w:t>”</w:t>
      </w:r>
      <w:r w:rsidRPr="00E72418">
        <w:t xml:space="preserve"> » (M. </w:t>
      </w:r>
      <w:r w:rsidRPr="00E72418">
        <w:rPr>
          <w:smallCaps/>
        </w:rPr>
        <w:t>Charlier</w:t>
      </w:r>
      <w:r w:rsidRPr="00E72418">
        <w:t xml:space="preserve">, « Le retrait de droits litigieux », in </w:t>
      </w:r>
      <w:r w:rsidRPr="00E72418">
        <w:rPr>
          <w:i/>
        </w:rPr>
        <w:t>Liber Amicorum Marc Châtel</w:t>
      </w:r>
      <w:r w:rsidRPr="00E72418">
        <w:t>, Kluwer, 1991, p. 49).</w:t>
      </w:r>
    </w:p>
  </w:footnote>
  <w:footnote w:id="1222">
    <w:p w14:paraId="07AA067B" w14:textId="7418485B" w:rsidR="0030147D" w:rsidRPr="00E72418" w:rsidRDefault="0030147D" w:rsidP="006B37E3">
      <w:pPr>
        <w:pStyle w:val="Sansinterligne"/>
      </w:pPr>
      <w:r w:rsidRPr="00E72418">
        <w:rPr>
          <w:rStyle w:val="Appelnotedebasdep"/>
        </w:rPr>
        <w:footnoteRef/>
      </w:r>
      <w:r w:rsidRPr="00E72418">
        <w:t xml:space="preserve"> Pour une indication d’autres droits contenant également ce mécanisme, voyez M. </w:t>
      </w:r>
      <w:r w:rsidRPr="00E72418">
        <w:rPr>
          <w:smallCaps/>
        </w:rPr>
        <w:t>Laazouzi</w:t>
      </w:r>
      <w:r w:rsidRPr="00E72418">
        <w:t xml:space="preserve">, « Réflexions sur le retrait litigieux des créances en situation internationale », in </w:t>
      </w:r>
      <w:r w:rsidRPr="00E72418">
        <w:rPr>
          <w:i/>
        </w:rPr>
        <w:t>Mélanges en l’honneur du Professeur Bertrand Ancel</w:t>
      </w:r>
      <w:r w:rsidRPr="00E72418">
        <w:t>, L.G.D.J., 2018, p. 1021.</w:t>
      </w:r>
    </w:p>
  </w:footnote>
  <w:footnote w:id="1223">
    <w:p w14:paraId="4A25548E" w14:textId="0425B5C0" w:rsidR="0030147D" w:rsidRPr="00E72418" w:rsidRDefault="0030147D" w:rsidP="00F10AFD">
      <w:pPr>
        <w:pStyle w:val="Sansinterligne"/>
      </w:pPr>
      <w:r w:rsidRPr="00E72418">
        <w:rPr>
          <w:rStyle w:val="Appelnotedebasdep"/>
        </w:rPr>
        <w:footnoteRef/>
      </w:r>
      <w:r w:rsidRPr="00E72418">
        <w:t xml:space="preserve"> Notons que l’article 1071 des codes civils belge et français précise que la disposition portée à l’article 1699 cesse dans différents cas parmi lesquels celui où la cession a été faite à un créancier en paiement de ce qui lui est dû puisque, dans ce cas et sauf fraude démontrée par le débiteur, le créancier ne serait pas un spéculateur (voyez. Civ. Bruxelles, 21 mars 1997, </w:t>
      </w:r>
      <w:r w:rsidRPr="00E72418">
        <w:rPr>
          <w:i/>
        </w:rPr>
        <w:t>J.L.M.B.</w:t>
      </w:r>
      <w:r w:rsidRPr="00E72418">
        <w:t>, 1997, p. 811). Il pourrait peut-être y avoir là une faiblesse juridique dont les fonds spéculatifs pourraient tirer parti afin de rendre inopérante la défense en créant artificiellement un dû à leur profit.</w:t>
      </w:r>
    </w:p>
  </w:footnote>
  <w:footnote w:id="1224">
    <w:p w14:paraId="54BA32AC" w14:textId="14C35A5A" w:rsidR="0030147D" w:rsidRPr="00E72418" w:rsidRDefault="0030147D" w:rsidP="006B2DB2">
      <w:pPr>
        <w:pStyle w:val="Sansinterligne"/>
        <w:rPr>
          <w:rFonts w:ascii="ITCGaramondStd-Bk" w:hAnsi="ITCGaramondStd-Bk" w:cs="ITCGaramondStd-Bk"/>
          <w:sz w:val="19"/>
          <w:szCs w:val="19"/>
        </w:rPr>
      </w:pPr>
      <w:r w:rsidRPr="00E72418">
        <w:rPr>
          <w:rStyle w:val="Appelnotedebasdep"/>
        </w:rPr>
        <w:footnoteRef/>
      </w:r>
      <w:r w:rsidRPr="00E72418">
        <w:t xml:space="preserve"> C</w:t>
      </w:r>
      <w:r w:rsidRPr="00E72418">
        <w:rPr>
          <w:rFonts w:ascii="Times New Roman" w:hAnsi="Times New Roman" w:cs="Times New Roman"/>
          <w:szCs w:val="20"/>
        </w:rPr>
        <w:t xml:space="preserve">. </w:t>
      </w:r>
      <w:r w:rsidRPr="00E72418">
        <w:rPr>
          <w:rFonts w:ascii="Times New Roman" w:hAnsi="Times New Roman" w:cs="Times New Roman"/>
          <w:smallCaps/>
          <w:szCs w:val="20"/>
        </w:rPr>
        <w:t>Deschamp-Moulin</w:t>
      </w:r>
      <w:r w:rsidRPr="00E72418">
        <w:rPr>
          <w:rFonts w:ascii="Times New Roman" w:hAnsi="Times New Roman" w:cs="Times New Roman"/>
          <w:szCs w:val="20"/>
        </w:rPr>
        <w:t xml:space="preserve">, </w:t>
      </w:r>
      <w:r w:rsidRPr="00E72418">
        <w:rPr>
          <w:rFonts w:ascii="Times New Roman" w:hAnsi="Times New Roman" w:cs="Times New Roman"/>
          <w:i/>
          <w:szCs w:val="20"/>
        </w:rPr>
        <w:t>La cause du paiement</w:t>
      </w:r>
      <w:r w:rsidRPr="00E72418">
        <w:rPr>
          <w:rFonts w:ascii="Times New Roman" w:hAnsi="Times New Roman" w:cs="Times New Roman"/>
          <w:szCs w:val="20"/>
        </w:rPr>
        <w:t xml:space="preserve">, Larcier, 2010, p. 336. Guy Rulkin qualifie le mécanisme de « sorte d’expropriation de droit privé » (G. </w:t>
      </w:r>
      <w:r w:rsidRPr="00E72418">
        <w:rPr>
          <w:rFonts w:ascii="Times New Roman" w:hAnsi="Times New Roman" w:cs="Times New Roman"/>
          <w:smallCaps/>
          <w:szCs w:val="20"/>
        </w:rPr>
        <w:t>Rulkin</w:t>
      </w:r>
      <w:r w:rsidRPr="00E72418">
        <w:rPr>
          <w:rFonts w:ascii="Times New Roman" w:hAnsi="Times New Roman" w:cs="Times New Roman"/>
          <w:szCs w:val="20"/>
        </w:rPr>
        <w:t xml:space="preserve">, « Le financement des litiges en droit des affaires – Plaidoyer pour un encadrement contractuel du </w:t>
      </w:r>
      <w:r w:rsidRPr="00E72418">
        <w:rPr>
          <w:rFonts w:ascii="Times New Roman" w:hAnsi="Times New Roman" w:cs="Times New Roman"/>
          <w:szCs w:val="20"/>
          <w:lang w:val="en-US"/>
        </w:rPr>
        <w:t>“</w:t>
      </w:r>
      <w:r w:rsidRPr="00E72418">
        <w:rPr>
          <w:rFonts w:ascii="Times New Roman" w:hAnsi="Times New Roman" w:cs="Times New Roman"/>
          <w:i/>
          <w:iCs/>
          <w:szCs w:val="20"/>
        </w:rPr>
        <w:t>Third Party Litigation Funding</w:t>
      </w:r>
      <w:r w:rsidRPr="00E72418">
        <w:rPr>
          <w:rFonts w:ascii="Times New Roman" w:hAnsi="Times New Roman" w:cs="Times New Roman"/>
          <w:szCs w:val="20"/>
          <w:lang w:val="en-US"/>
        </w:rPr>
        <w:t>”</w:t>
      </w:r>
      <w:r w:rsidRPr="00E72418">
        <w:rPr>
          <w:rFonts w:ascii="Times New Roman" w:hAnsi="Times New Roman" w:cs="Times New Roman"/>
          <w:i/>
          <w:iCs/>
          <w:szCs w:val="20"/>
        </w:rPr>
        <w:t xml:space="preserve"> </w:t>
      </w:r>
      <w:r w:rsidRPr="00E72418">
        <w:rPr>
          <w:rFonts w:ascii="Times New Roman" w:hAnsi="Times New Roman" w:cs="Times New Roman"/>
          <w:szCs w:val="20"/>
        </w:rPr>
        <w:t xml:space="preserve">», </w:t>
      </w:r>
      <w:r w:rsidRPr="00E72418">
        <w:rPr>
          <w:rFonts w:ascii="Times New Roman" w:hAnsi="Times New Roman" w:cs="Times New Roman"/>
          <w:i/>
          <w:szCs w:val="20"/>
        </w:rPr>
        <w:t>Ius &amp; Actores</w:t>
      </w:r>
      <w:r w:rsidRPr="00E72418">
        <w:rPr>
          <w:rFonts w:ascii="Times New Roman" w:hAnsi="Times New Roman" w:cs="Times New Roman"/>
          <w:szCs w:val="20"/>
        </w:rPr>
        <w:t>, 2016, p. 71).</w:t>
      </w:r>
    </w:p>
  </w:footnote>
  <w:footnote w:id="1225">
    <w:p w14:paraId="2008C238" w14:textId="02837619" w:rsidR="0030147D" w:rsidRPr="00E72418" w:rsidRDefault="0030147D" w:rsidP="00530736">
      <w:pPr>
        <w:pStyle w:val="Sansinterligne"/>
        <w:rPr>
          <w:rFonts w:ascii="Times New Roman" w:hAnsi="Times New Roman" w:cs="Times New Roman"/>
          <w:szCs w:val="20"/>
          <w:lang w:val="en-US"/>
        </w:rPr>
      </w:pPr>
      <w:r w:rsidRPr="00E72418">
        <w:rPr>
          <w:rStyle w:val="Appelnotedebasdep"/>
        </w:rPr>
        <w:footnoteRef/>
      </w:r>
      <w:r w:rsidRPr="00E72418">
        <w:t xml:space="preserve"> Relevons que l’immoralité que le mécanisme combat pourrait se trouver en quelque sorte inversée. Ainsi, Pierre-Yves Gautier remarque que « le retrait peut receler des effets pervers, lorsque c’est le débiteur qui fait au contraire la spéculation douteuse d’éteindre à bas prix […], avec l’aval du juge, une dette qu’il se refusait à payer, jusqu’à être assigné par son créancier ». L’auteur ajoute qu’ « [e]n effet, le juge, lorsqu’il entérine le retrait […] ne s’intéresse pas au point de savoir si la contestation est vraiment sérieuse, ou si l’on n’est pas en présence d’un débiteur qui ne cherche pas à payer sa dette, ou le moins possible, avec mauvaise foi » (P.-Y. </w:t>
      </w:r>
      <w:r w:rsidRPr="00E72418">
        <w:rPr>
          <w:smallCaps/>
        </w:rPr>
        <w:t>Gautier</w:t>
      </w:r>
      <w:r w:rsidRPr="00E72418">
        <w:t xml:space="preserve">, « Contrats spéciaux », </w:t>
      </w:r>
      <w:r w:rsidRPr="00E72418">
        <w:rPr>
          <w:rFonts w:ascii="Times New Roman" w:hAnsi="Times New Roman" w:cs="Times New Roman"/>
          <w:i/>
          <w:szCs w:val="20"/>
          <w:lang w:val="en-US"/>
        </w:rPr>
        <w:t>RTDCiv.</w:t>
      </w:r>
      <w:r w:rsidRPr="00E72418">
        <w:t>, 2018, p. 431).</w:t>
      </w:r>
    </w:p>
  </w:footnote>
  <w:footnote w:id="1226">
    <w:p w14:paraId="70916FB8" w14:textId="2B684CC1" w:rsidR="0030147D" w:rsidRPr="00E72418" w:rsidRDefault="0030147D" w:rsidP="002D6CEC">
      <w:pPr>
        <w:pStyle w:val="Sansinterligne"/>
      </w:pPr>
      <w:r w:rsidRPr="00E72418">
        <w:rPr>
          <w:rStyle w:val="Appelnotedebasdep"/>
        </w:rPr>
        <w:footnoteRef/>
      </w:r>
      <w:r w:rsidRPr="00E72418">
        <w:t xml:space="preserve"> La finalité du mécanisme relevée par Henri De Page, à savoir que « le retrait litigieux a pour but de parer au danger résultant du fait que les acquéreurs de créances ou de droits litigieux sont souvent, en fait, des spéculateurs animés d’un esprit de lucre, qui achètent le droit à vil prix et exploitent ensuite à fond tous les artifices de la procédure pour faire pression sur l’autre partie, et l’amener à abandonner le procès ou à consentir une transaction défavorable » fait d’ailleurs singulièrement penser à l’action des fonds spéculant sur les dettes souveraines (H. </w:t>
      </w:r>
      <w:r w:rsidRPr="00E72418">
        <w:rPr>
          <w:smallCaps/>
        </w:rPr>
        <w:t>De Page,</w:t>
      </w:r>
      <w:r w:rsidRPr="00E72418">
        <w:rPr>
          <w:i/>
        </w:rPr>
        <w:t xml:space="preserve"> Traité élémentaire de droit civil belge – Tome quatrième – Les principaux contrats (première partie)</w:t>
      </w:r>
      <w:r w:rsidRPr="00E72418">
        <w:t>, vol. 1, 4</w:t>
      </w:r>
      <w:r w:rsidRPr="00E72418">
        <w:rPr>
          <w:vertAlign w:val="superscript"/>
        </w:rPr>
        <w:t>e</w:t>
      </w:r>
      <w:r w:rsidRPr="00E72418">
        <w:t xml:space="preserve"> éd. complétée et mise à jour par A. </w:t>
      </w:r>
      <w:r w:rsidRPr="00E72418">
        <w:rPr>
          <w:smallCaps/>
        </w:rPr>
        <w:t>Meinertzhagen-Limpens</w:t>
      </w:r>
      <w:r w:rsidRPr="00E72418">
        <w:t>, Bruylant, 1997, p. 668).</w:t>
      </w:r>
    </w:p>
  </w:footnote>
  <w:footnote w:id="1227">
    <w:p w14:paraId="18EB4DC7" w14:textId="1655758A" w:rsidR="0030147D" w:rsidRPr="00E72418" w:rsidRDefault="0030147D" w:rsidP="00D04B6C">
      <w:pPr>
        <w:pStyle w:val="Sansinterligne"/>
      </w:pPr>
      <w:r w:rsidRPr="00E72418">
        <w:rPr>
          <w:rStyle w:val="Appelnotedebasdep"/>
        </w:rPr>
        <w:footnoteRef/>
      </w:r>
      <w:r w:rsidRPr="00E72418">
        <w:t xml:space="preserve"> La solution que nous proposerons à l’issue de notre thèse se basera d’ailleurs sur ce mécanisme (voyez </w:t>
      </w:r>
      <w:r w:rsidRPr="00E72418">
        <w:rPr>
          <w:i/>
        </w:rPr>
        <w:t>infra</w:t>
      </w:r>
      <w:r>
        <w:t xml:space="preserve"> n° 417</w:t>
      </w:r>
      <w:r w:rsidRPr="00E72418">
        <w:t>).</w:t>
      </w:r>
    </w:p>
  </w:footnote>
  <w:footnote w:id="1228">
    <w:p w14:paraId="14C6BD63" w14:textId="12829014" w:rsidR="0030147D" w:rsidRPr="00E72418" w:rsidRDefault="0030147D" w:rsidP="0079091D">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H. Muir Watt</w:t>
      </w:r>
      <w:r w:rsidRPr="00E72418">
        <w:rPr>
          <w:szCs w:val="20"/>
        </w:rPr>
        <w:t>,</w:t>
      </w:r>
      <w:r w:rsidRPr="00E72418">
        <w:rPr>
          <w:rStyle w:val="Titre6Car"/>
          <w:rFonts w:ascii="Times" w:eastAsiaTheme="minorHAnsi" w:hAnsi="Times" w:cstheme="minorBidi"/>
          <w:color w:val="auto"/>
          <w:szCs w:val="20"/>
        </w:rPr>
        <w:t xml:space="preserve"> « Le retrait litigieux et le fonds vautours », </w:t>
      </w:r>
      <w:r w:rsidRPr="00E72418">
        <w:rPr>
          <w:rStyle w:val="Titre6Car"/>
          <w:rFonts w:ascii="Times" w:eastAsiaTheme="minorHAnsi" w:hAnsi="Times" w:cstheme="minorBidi"/>
          <w:i/>
          <w:color w:val="auto"/>
          <w:szCs w:val="20"/>
        </w:rPr>
        <w:t>op. cit.</w:t>
      </w:r>
      <w:r w:rsidRPr="00E72418">
        <w:rPr>
          <w:rStyle w:val="Titre6Car"/>
          <w:rFonts w:ascii="Times" w:eastAsiaTheme="minorHAnsi" w:hAnsi="Times" w:cstheme="minorBidi"/>
          <w:color w:val="auto"/>
          <w:szCs w:val="20"/>
        </w:rPr>
        <w:t>, p. 866.</w:t>
      </w:r>
    </w:p>
  </w:footnote>
  <w:footnote w:id="1229">
    <w:p w14:paraId="275C434D" w14:textId="4169658A" w:rsidR="0030147D" w:rsidRPr="00E72418" w:rsidRDefault="0030147D" w:rsidP="0079091D">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rStyle w:val="Titre6Car"/>
          <w:rFonts w:ascii="Times" w:eastAsiaTheme="minorHAnsi" w:hAnsi="Times" w:cstheme="minorBidi"/>
          <w:color w:val="auto"/>
          <w:szCs w:val="20"/>
        </w:rPr>
        <w:t xml:space="preserve"> </w:t>
      </w:r>
      <w:r w:rsidRPr="00E72418">
        <w:rPr>
          <w:rStyle w:val="Titre6Car"/>
          <w:rFonts w:ascii="Times" w:eastAsiaTheme="minorHAnsi" w:hAnsi="Times" w:cstheme="minorBidi"/>
          <w:i/>
          <w:color w:val="auto"/>
          <w:szCs w:val="20"/>
        </w:rPr>
        <w:t>Ibid.</w:t>
      </w:r>
      <w:r w:rsidRPr="00E72418">
        <w:rPr>
          <w:rStyle w:val="Titre6Car"/>
          <w:rFonts w:ascii="Times" w:eastAsiaTheme="minorHAnsi" w:hAnsi="Times" w:cstheme="minorBidi"/>
          <w:color w:val="auto"/>
          <w:szCs w:val="20"/>
        </w:rPr>
        <w:t>, p. 864.</w:t>
      </w:r>
    </w:p>
  </w:footnote>
  <w:footnote w:id="1230">
    <w:p w14:paraId="79935402" w14:textId="5F229A94" w:rsidR="0030147D" w:rsidRPr="00E72418" w:rsidRDefault="0030147D" w:rsidP="009C3E40">
      <w:pPr>
        <w:pStyle w:val="Sansinterligne"/>
      </w:pPr>
      <w:r w:rsidRPr="00E72418">
        <w:rPr>
          <w:rStyle w:val="Appelnotedebasdep"/>
        </w:rPr>
        <w:footnoteRef/>
      </w:r>
      <w:r w:rsidRPr="00E72418">
        <w:t xml:space="preserve"> M. </w:t>
      </w:r>
      <w:r w:rsidRPr="00E72418">
        <w:rPr>
          <w:smallCaps/>
        </w:rPr>
        <w:t>Charlier</w:t>
      </w:r>
      <w:r w:rsidRPr="00E72418">
        <w:t xml:space="preserve">, « Le retrait de droits litigieux », </w:t>
      </w:r>
      <w:r w:rsidRPr="00E72418">
        <w:rPr>
          <w:i/>
        </w:rPr>
        <w:t>op. cit.</w:t>
      </w:r>
      <w:r w:rsidRPr="00E72418">
        <w:t>, p. 52.</w:t>
      </w:r>
    </w:p>
  </w:footnote>
  <w:footnote w:id="1231">
    <w:p w14:paraId="50D5676E" w14:textId="26E6EA66" w:rsidR="0030147D" w:rsidRPr="00E72418" w:rsidRDefault="0030147D" w:rsidP="00A22F8B">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i/>
          <w:szCs w:val="20"/>
        </w:rPr>
        <w:t>Ibid</w:t>
      </w:r>
      <w:r w:rsidRPr="00E72418">
        <w:rPr>
          <w:rStyle w:val="Titre6Car"/>
          <w:rFonts w:ascii="Times" w:eastAsiaTheme="minorHAnsi" w:hAnsi="Times" w:cstheme="minorBidi"/>
          <w:i/>
          <w:color w:val="auto"/>
          <w:szCs w:val="20"/>
        </w:rPr>
        <w:t>.</w:t>
      </w:r>
      <w:r w:rsidRPr="00E72418">
        <w:rPr>
          <w:rStyle w:val="Titre6Car"/>
          <w:rFonts w:ascii="Times" w:eastAsiaTheme="minorHAnsi" w:hAnsi="Times" w:cstheme="minorBidi"/>
          <w:color w:val="auto"/>
          <w:szCs w:val="20"/>
        </w:rPr>
        <w:t xml:space="preserve"> C’est un point auquel il faudra être attentif lorsque l’on s’inspirera de la figure du retrait litigieux afin de façonner notre solution aux problèmes posés par les fonds spéculatifs, lesquels se posent au niveau de la poursuite de condamnation mais également au moment de la recherche d’exécution (voyez </w:t>
      </w:r>
      <w:r w:rsidRPr="00E72418">
        <w:rPr>
          <w:rStyle w:val="Titre6Car"/>
          <w:rFonts w:ascii="Times" w:eastAsiaTheme="minorHAnsi" w:hAnsi="Times" w:cstheme="minorBidi"/>
          <w:i/>
          <w:color w:val="auto"/>
          <w:szCs w:val="20"/>
        </w:rPr>
        <w:t>infra</w:t>
      </w:r>
      <w:r>
        <w:rPr>
          <w:rStyle w:val="Titre6Car"/>
          <w:rFonts w:ascii="Times" w:eastAsiaTheme="minorHAnsi" w:hAnsi="Times" w:cstheme="minorBidi"/>
          <w:color w:val="auto"/>
          <w:szCs w:val="20"/>
        </w:rPr>
        <w:t xml:space="preserve"> n° 416</w:t>
      </w:r>
      <w:r w:rsidRPr="00E72418">
        <w:rPr>
          <w:rStyle w:val="Titre6Car"/>
          <w:rFonts w:ascii="Times" w:eastAsiaTheme="minorHAnsi" w:hAnsi="Times" w:cstheme="minorBidi"/>
          <w:color w:val="auto"/>
          <w:szCs w:val="20"/>
        </w:rPr>
        <w:t>).</w:t>
      </w:r>
    </w:p>
  </w:footnote>
  <w:footnote w:id="1232">
    <w:p w14:paraId="198EADA1" w14:textId="38ED30F5" w:rsidR="0030147D" w:rsidRPr="00E72418" w:rsidRDefault="0030147D" w:rsidP="00530736">
      <w:pPr>
        <w:pStyle w:val="Sansinterligne"/>
        <w:rPr>
          <w:rFonts w:ascii="Times New Roman" w:hAnsi="Times New Roman" w:cs="Times New Roman"/>
          <w:lang w:val="en-US"/>
        </w:rPr>
      </w:pPr>
      <w:r w:rsidRPr="00E72418">
        <w:rPr>
          <w:rStyle w:val="Titre2Car"/>
          <w:rFonts w:ascii="Times" w:eastAsiaTheme="minorHAnsi" w:hAnsi="Times" w:cstheme="minorBidi"/>
          <w:color w:val="auto"/>
          <w:sz w:val="20"/>
          <w:szCs w:val="20"/>
          <w:vertAlign w:val="superscript"/>
        </w:rPr>
        <w:footnoteRef/>
      </w:r>
      <w:r w:rsidRPr="00E72418">
        <w:t xml:space="preserve"> </w:t>
      </w:r>
      <w:r w:rsidRPr="00E72418">
        <w:rPr>
          <w:rStyle w:val="Titre6Car"/>
          <w:rFonts w:ascii="Times" w:eastAsiaTheme="minorHAnsi" w:hAnsi="Times" w:cstheme="minorBidi"/>
          <w:color w:val="auto"/>
          <w:szCs w:val="20"/>
        </w:rPr>
        <w:t xml:space="preserve">Cass. (F.), 28 février 2018, pourvoi n° 16-22.112. Voyez, en des termes similaires, Cass. (F.), 28 février 2018, pourvoi n° 16-22.126. Notez, au sujet de la temporalité de l’activation du mécanisme, la critique de Louis d’Avout et Sylvain Bollée notant que « permettre au débiteur d’exercer le retrait litigieux </w:t>
      </w:r>
      <w:r w:rsidRPr="00E72418">
        <w:rPr>
          <w:rStyle w:val="Titre6Car"/>
          <w:rFonts w:ascii="Times" w:eastAsiaTheme="minorHAnsi" w:hAnsi="Times" w:cstheme="minorBidi"/>
          <w:i/>
          <w:color w:val="auto"/>
          <w:szCs w:val="20"/>
        </w:rPr>
        <w:t>une fois le résultat de l’arbitrage connu</w:t>
      </w:r>
      <w:r w:rsidRPr="00E72418">
        <w:rPr>
          <w:rStyle w:val="Titre6Car"/>
          <w:rFonts w:ascii="Times" w:eastAsiaTheme="minorHAnsi" w:hAnsi="Times" w:cstheme="minorBidi"/>
          <w:color w:val="auto"/>
          <w:szCs w:val="20"/>
        </w:rPr>
        <w:t xml:space="preserve"> revient à lui offrir une faveur rationnellement indue ; c’est, pour ainsi dire, comme permettre à un joueur d’attendre les résultats du tirage pour juger de l’opportunité de se faire rembourser son billet de loterie » (L. </w:t>
      </w:r>
      <w:r w:rsidRPr="00E72418">
        <w:rPr>
          <w:rStyle w:val="Titre6Car"/>
          <w:rFonts w:ascii="Times" w:eastAsiaTheme="minorHAnsi" w:hAnsi="Times" w:cstheme="minorBidi"/>
          <w:smallCaps/>
          <w:color w:val="auto"/>
          <w:szCs w:val="20"/>
        </w:rPr>
        <w:t>d’Avout</w:t>
      </w:r>
      <w:r w:rsidRPr="00E72418">
        <w:rPr>
          <w:rStyle w:val="Titre6Car"/>
          <w:rFonts w:ascii="Times" w:eastAsiaTheme="minorHAnsi" w:hAnsi="Times" w:cstheme="minorBidi"/>
          <w:color w:val="auto"/>
          <w:szCs w:val="20"/>
        </w:rPr>
        <w:t xml:space="preserve"> et S. </w:t>
      </w:r>
      <w:r w:rsidRPr="00E72418">
        <w:rPr>
          <w:rStyle w:val="Titre6Car"/>
          <w:rFonts w:ascii="Times" w:eastAsiaTheme="minorHAnsi" w:hAnsi="Times" w:cstheme="minorBidi"/>
          <w:smallCaps/>
          <w:color w:val="auto"/>
          <w:szCs w:val="20"/>
        </w:rPr>
        <w:t>Bollée</w:t>
      </w:r>
      <w:r w:rsidRPr="00E72418">
        <w:rPr>
          <w:rStyle w:val="Titre6Car"/>
          <w:rFonts w:ascii="Times" w:eastAsiaTheme="minorHAnsi" w:hAnsi="Times" w:cstheme="minorBidi"/>
          <w:color w:val="auto"/>
          <w:szCs w:val="20"/>
        </w:rPr>
        <w:t xml:space="preserve">, « Panorama – Droit du commerce international – août 2017-juillet 2018 », </w:t>
      </w:r>
      <w:r w:rsidRPr="00E72418">
        <w:rPr>
          <w:rStyle w:val="Titre6Car"/>
          <w:rFonts w:ascii="Times" w:eastAsiaTheme="minorHAnsi" w:hAnsi="Times" w:cstheme="minorBidi"/>
          <w:i/>
          <w:color w:val="auto"/>
          <w:szCs w:val="20"/>
        </w:rPr>
        <w:t>D.</w:t>
      </w:r>
      <w:r w:rsidRPr="00E72418">
        <w:rPr>
          <w:rStyle w:val="Titre6Car"/>
          <w:rFonts w:ascii="Times" w:eastAsiaTheme="minorHAnsi" w:hAnsi="Times" w:cstheme="minorBidi"/>
          <w:color w:val="auto"/>
          <w:szCs w:val="20"/>
        </w:rPr>
        <w:t xml:space="preserve">, 2018, p. 1943 </w:t>
      </w:r>
      <w:r w:rsidRPr="00E72418">
        <w:rPr>
          <w:b/>
        </w:rPr>
        <w:t>–</w:t>
      </w:r>
      <w:r w:rsidRPr="00E72418">
        <w:rPr>
          <w:rStyle w:val="Titre6Car"/>
          <w:rFonts w:ascii="Times" w:eastAsiaTheme="minorHAnsi" w:hAnsi="Times" w:cstheme="minorBidi"/>
          <w:color w:val="auto"/>
          <w:szCs w:val="20"/>
        </w:rPr>
        <w:t xml:space="preserve"> la police est reprise. Mais cette critique n’est pas partagée par tous. Voyez ainsi notamment H. </w:t>
      </w:r>
      <w:r w:rsidRPr="00E72418">
        <w:rPr>
          <w:rStyle w:val="Titre6Car"/>
          <w:rFonts w:ascii="Times" w:eastAsiaTheme="minorHAnsi" w:hAnsi="Times" w:cstheme="minorBidi"/>
          <w:smallCaps/>
          <w:color w:val="auto"/>
          <w:szCs w:val="20"/>
        </w:rPr>
        <w:t>Barbier</w:t>
      </w:r>
      <w:r w:rsidRPr="00E72418">
        <w:rPr>
          <w:rStyle w:val="Titre6Car"/>
          <w:rFonts w:ascii="Times" w:eastAsiaTheme="minorHAnsi" w:hAnsi="Times" w:cstheme="minorBidi"/>
          <w:color w:val="auto"/>
          <w:szCs w:val="20"/>
        </w:rPr>
        <w:t xml:space="preserve">, « Obligations et contrats – Obligations en général », </w:t>
      </w:r>
      <w:r w:rsidRPr="00E72418">
        <w:rPr>
          <w:rFonts w:ascii="Times New Roman" w:hAnsi="Times New Roman" w:cs="Times New Roman"/>
          <w:i/>
          <w:lang w:val="en-US"/>
        </w:rPr>
        <w:t>RTDCiv.</w:t>
      </w:r>
      <w:r w:rsidRPr="00E72418">
        <w:rPr>
          <w:rStyle w:val="Titre6Car"/>
          <w:rFonts w:ascii="Times" w:eastAsiaTheme="minorHAnsi" w:hAnsi="Times" w:cstheme="minorBidi"/>
          <w:color w:val="auto"/>
          <w:szCs w:val="20"/>
        </w:rPr>
        <w:t>, 2018, pp. 411 à 414).</w:t>
      </w:r>
    </w:p>
  </w:footnote>
  <w:footnote w:id="1233">
    <w:p w14:paraId="111786EE" w14:textId="32CDE535" w:rsidR="0030147D" w:rsidRPr="00E72418" w:rsidRDefault="0030147D" w:rsidP="00C77F9F">
      <w:pPr>
        <w:pStyle w:val="Sansinterligne"/>
        <w:rPr>
          <w:rStyle w:val="SansinterligneCar"/>
        </w:rPr>
      </w:pPr>
      <w:r w:rsidRPr="00E72418">
        <w:rPr>
          <w:rStyle w:val="Appelnotedebasdep"/>
        </w:rPr>
        <w:footnoteRef/>
      </w:r>
      <w:r w:rsidRPr="00E72418">
        <w:t xml:space="preserve"> </w:t>
      </w:r>
      <w:r w:rsidRPr="00E72418">
        <w:rPr>
          <w:rStyle w:val="SansinterligneCar"/>
          <w:smallCaps/>
        </w:rPr>
        <w:t>J. Fischer Williams</w:t>
      </w:r>
      <w:r w:rsidRPr="00E72418">
        <w:rPr>
          <w:rStyle w:val="SansinterligneCar"/>
        </w:rPr>
        <w:t>, « Le droit international et les obligations financières internationales qui naissent d’un contrat »,</w:t>
      </w:r>
      <w:r w:rsidRPr="00E72418">
        <w:rPr>
          <w:rStyle w:val="SansinterligneCar"/>
          <w:i/>
        </w:rPr>
        <w:t xml:space="preserve"> op. cit.</w:t>
      </w:r>
      <w:r w:rsidRPr="00E72418">
        <w:rPr>
          <w:rStyle w:val="SansinterligneCar"/>
        </w:rPr>
        <w:t>, p. 344.</w:t>
      </w:r>
    </w:p>
  </w:footnote>
  <w:footnote w:id="1234">
    <w:p w14:paraId="51D62099" w14:textId="11637151" w:rsidR="0030147D" w:rsidRPr="00E72418" w:rsidRDefault="0030147D" w:rsidP="00CB3398">
      <w:pPr>
        <w:pStyle w:val="Sansinterligne"/>
      </w:pPr>
      <w:r w:rsidRPr="00E72418">
        <w:rPr>
          <w:rStyle w:val="Appelnotedebasdep"/>
        </w:rPr>
        <w:footnoteRef/>
      </w:r>
      <w:r w:rsidRPr="00E72418">
        <w:t xml:space="preserve"> La Cour internationale de Justice définit l’ordre public comme une « notion dont la définition dans un pays déterminé dépend dans une large mesure de l’opinion qui prévaut à chaque moment dans ce pays même »</w:t>
      </w:r>
      <w:r w:rsidRPr="00E72418">
        <w:rPr>
          <w:szCs w:val="20"/>
        </w:rPr>
        <w:t xml:space="preserve"> (C.I.J., 12 juillet 1929, </w:t>
      </w:r>
      <w:r w:rsidRPr="00E72418">
        <w:rPr>
          <w:i/>
          <w:szCs w:val="20"/>
        </w:rPr>
        <w:t>Affaire concernant le paiement de divers emprunts serbes émis en France et affaire relative au paiement, en or, des emprunts fédéraux brésiliens émis en France</w:t>
      </w:r>
      <w:r w:rsidRPr="00E72418">
        <w:rPr>
          <w:szCs w:val="20"/>
        </w:rPr>
        <w:t xml:space="preserve">, arrêt, Série A, n° 20/21, p. 46). </w:t>
      </w:r>
      <w:r w:rsidRPr="00E72418">
        <w:t>Comme le note Régis Bismuth, le contenu de l’ordre public n’est figé ni dans le temps, ni dans l’espace. Il est variable dans le temps en ce que de nouvelles exigences relatives au maintien de l’ordre social peuvent être concrétisées par l’intervention du législateur tout autant qu’il sera façonné par le juge. Le contenu de l’ordre public n’est pas non plus figé dans l’espace dès lors que les valeurs et les intérêts qu’il entend protéger ne sont pas nécessairement partagées par l’ensemble des ordres juridiques (</w:t>
      </w:r>
      <w:r w:rsidRPr="00E72418">
        <w:rPr>
          <w:smallCaps/>
        </w:rPr>
        <w:t>R. Bismuth</w:t>
      </w:r>
      <w:r w:rsidRPr="00E72418">
        <w:t xml:space="preserve">, « L’émergence d’un “ordre public de la dette souveraine” pour et par le contrat d’emprunt souverain ? Quelques réflexions inspirées par une actualité très mouvementée », </w:t>
      </w:r>
      <w:r w:rsidRPr="00E72418">
        <w:rPr>
          <w:rStyle w:val="Accentuation"/>
          <w:iCs w:val="0"/>
        </w:rPr>
        <w:t>op. cit.</w:t>
      </w:r>
      <w:r w:rsidRPr="00E72418">
        <w:t>, p. 494).</w:t>
      </w:r>
    </w:p>
  </w:footnote>
  <w:footnote w:id="1235">
    <w:p w14:paraId="4DA36FA4" w14:textId="23434635" w:rsidR="0030147D" w:rsidRPr="00E72418" w:rsidRDefault="0030147D" w:rsidP="0067312A">
      <w:pPr>
        <w:pStyle w:val="Sansinterligne"/>
      </w:pPr>
      <w:r w:rsidRPr="00E72418">
        <w:rPr>
          <w:rStyle w:val="Appelnotedebasdep"/>
        </w:rPr>
        <w:footnoteRef/>
      </w:r>
      <w:r w:rsidRPr="00E72418">
        <w:t xml:space="preserve"> Sur l’importance des restructurations des dettes souveraines, voyez déjà </w:t>
      </w:r>
      <w:r w:rsidRPr="00E72418">
        <w:rPr>
          <w:i/>
        </w:rPr>
        <w:t>supra</w:t>
      </w:r>
      <w:r w:rsidRPr="00E72418">
        <w:t xml:space="preserve"> n</w:t>
      </w:r>
      <w:r w:rsidRPr="00E72418">
        <w:rPr>
          <w:vertAlign w:val="superscript"/>
        </w:rPr>
        <w:t>os</w:t>
      </w:r>
      <w:r w:rsidRPr="00E72418">
        <w:t xml:space="preserve"> 60 et suiv. les considérations sur la soutenabilité des dettes souveraines et les résolutions des Nations Unies (notamment la r</w:t>
      </w:r>
      <w:r w:rsidRPr="00E72418">
        <w:rPr>
          <w:szCs w:val="20"/>
        </w:rPr>
        <w:t>ésolution sur l’établissement d’un cadre juridique multilatéral applicable aux opérations de restructuration de la dette souveraine du 9 septembre 2014 (A/RES/68/304))</w:t>
      </w:r>
      <w:r w:rsidRPr="00E72418">
        <w:t xml:space="preserve"> ainsi qu’</w:t>
      </w:r>
      <w:r w:rsidRPr="00E72418">
        <w:rPr>
          <w:i/>
        </w:rPr>
        <w:t>infra</w:t>
      </w:r>
      <w:r w:rsidRPr="00E72418">
        <w:t xml:space="preserve"> n</w:t>
      </w:r>
      <w:r w:rsidRPr="00E72418">
        <w:rPr>
          <w:vertAlign w:val="superscript"/>
        </w:rPr>
        <w:t>os</w:t>
      </w:r>
      <w:r w:rsidRPr="00E72418">
        <w:t xml:space="preserve"> 274 et suiv. les initiatives visant à réguler les restructurations.</w:t>
      </w:r>
    </w:p>
  </w:footnote>
  <w:footnote w:id="1236">
    <w:p w14:paraId="232A62C0" w14:textId="61CB04E4" w:rsidR="0030147D" w:rsidRPr="00E72418" w:rsidRDefault="0030147D" w:rsidP="00602DE1">
      <w:pPr>
        <w:pStyle w:val="Sansinterligne"/>
      </w:pPr>
      <w:r w:rsidRPr="00E72418">
        <w:rPr>
          <w:rStyle w:val="Appelnotedebasdep"/>
        </w:rPr>
        <w:footnoteRef/>
      </w:r>
      <w:r w:rsidRPr="00E72418">
        <w:t xml:space="preserve"> Fanny Giansetto le note, « l’exception d’ordre public international ne peut permettre que de priver d’effet une loi ou une décision qui, appliquée dans le cadre de l’insolvabilité, apparaît comme choquante ». Relativement aux contentieux qui nous occupent, l’auteure ajoute que « [c’]est ainsi pour les droit jugés excessifs des fonds vautours, droits reconnus par certaines lois et consacrés par certains jugements, que le mécanisme pourrait être pertinent »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349).</w:t>
      </w:r>
    </w:p>
  </w:footnote>
  <w:footnote w:id="1237">
    <w:p w14:paraId="08764D9C" w14:textId="2D3F9406" w:rsidR="0030147D" w:rsidRPr="00E72418" w:rsidRDefault="0030147D" w:rsidP="00EB7BE1">
      <w:pPr>
        <w:pStyle w:val="Sansinterligne"/>
      </w:pPr>
      <w:r w:rsidRPr="00E72418">
        <w:rPr>
          <w:rStyle w:val="Appelnotedebasdep"/>
        </w:rPr>
        <w:footnoteRef/>
      </w:r>
      <w:r w:rsidRPr="00E72418">
        <w:t xml:space="preserve"> Outre-Atlantique, l’exploitabilité de l’argument de l’ordre public peut s’apprécier à l’aune du paragraphe 178.1 du </w:t>
      </w:r>
      <w:r w:rsidRPr="00E72418">
        <w:rPr>
          <w:i/>
        </w:rPr>
        <w:t>Restatement (Second) of Contracts</w:t>
      </w:r>
      <w:r w:rsidRPr="00E72418">
        <w:t xml:space="preserve"> qui dispose qu’ « [a]</w:t>
      </w:r>
      <w:r w:rsidRPr="00E72418">
        <w:rPr>
          <w:rStyle w:val="lev"/>
          <w:b w:val="0"/>
          <w:bCs w:val="0"/>
        </w:rPr>
        <w:t xml:space="preserve"> promise or other term of an agreement is unenforceable on grounds of public policy if legislation provides that it is unenforceable or the interest in its enforcement is clearly outweighed in the circumstances by a public policy against the enforcement of such terms ».</w:t>
      </w:r>
    </w:p>
  </w:footnote>
  <w:footnote w:id="1238">
    <w:p w14:paraId="1F4AF587" w14:textId="7CA96C73" w:rsidR="0030147D" w:rsidRPr="00E72418" w:rsidRDefault="0030147D" w:rsidP="002D3E20">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xml:space="preserve">, explanatory notes, paragraphe 42. Sur cette législation,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304 et suiv.</w:t>
      </w:r>
    </w:p>
  </w:footnote>
  <w:footnote w:id="1239">
    <w:p w14:paraId="7BA9525A" w14:textId="221095D5" w:rsidR="0030147D" w:rsidRPr="00E72418" w:rsidRDefault="0030147D" w:rsidP="00A12335">
      <w:pPr>
        <w:pStyle w:val="Sansinterligne"/>
      </w:pPr>
      <w:r w:rsidRPr="00E72418">
        <w:rPr>
          <w:rStyle w:val="Appelnotedebasdep"/>
        </w:rPr>
        <w:footnoteRef/>
      </w:r>
      <w:r w:rsidRPr="00E72418">
        <w:t xml:space="preserve"> Proposition de loi relative à la lutte contre les activités des fonds vautours, Ch. repr., </w:t>
      </w:r>
      <w:r w:rsidRPr="00E72418">
        <w:rPr>
          <w:i/>
        </w:rPr>
        <w:t>Doc. parl.</w:t>
      </w:r>
      <w:r w:rsidRPr="00E72418">
        <w:t xml:space="preserve">, 2014-2015, doc. 54 1057/001, p. 14. Cette formulation ne sera toutefois pas reprise comme telle dans la loi ensuite adoptée (voyez </w:t>
      </w:r>
      <w:r w:rsidRPr="00E72418">
        <w:rPr>
          <w:i/>
        </w:rPr>
        <w:t>infra</w:t>
      </w:r>
      <w:r w:rsidRPr="00E72418">
        <w:t xml:space="preserve"> n° 356). Selon la Cour de cassation belge, « [c]e qui touche aux intérêts essentiels de l’État ou de la communauté ou détermine dans le droit privé les fondements juridiques sur lesquels repose l’ordre économique ou moral de la société est d’ordre public » (Cass. (B.), 13 décembre 2016, arrêt n° P.16.0421.N, </w:t>
      </w:r>
      <w:r w:rsidRPr="00E72418">
        <w:rPr>
          <w:i/>
          <w:szCs w:val="20"/>
        </w:rPr>
        <w:t>Pas.</w:t>
      </w:r>
      <w:r w:rsidRPr="00E72418">
        <w:t xml:space="preserve">, 2016, p. 2484). </w:t>
      </w:r>
    </w:p>
  </w:footnote>
  <w:footnote w:id="1240">
    <w:p w14:paraId="4CE23DFA" w14:textId="6B6DC0E5" w:rsidR="0030147D" w:rsidRPr="00E72418" w:rsidRDefault="0030147D" w:rsidP="00B5521B">
      <w:pPr>
        <w:pStyle w:val="Sansinterligne"/>
        <w:rPr>
          <w:szCs w:val="20"/>
        </w:rPr>
      </w:pPr>
      <w:r w:rsidRPr="00E72418">
        <w:rPr>
          <w:rStyle w:val="Appelnotedebasdep"/>
          <w:szCs w:val="20"/>
        </w:rPr>
        <w:footnoteRef/>
      </w:r>
      <w:r w:rsidRPr="00E72418">
        <w:rPr>
          <w:szCs w:val="20"/>
        </w:rPr>
        <w:t xml:space="preserve"> Le soutien apporté à la République argentine durant le contentieux l’ayant opposé au fonds spéculatif </w:t>
      </w:r>
      <w:r w:rsidRPr="00E72418">
        <w:rPr>
          <w:i/>
          <w:szCs w:val="20"/>
        </w:rPr>
        <w:t>NML Capital Ltd.</w:t>
      </w:r>
      <w:r w:rsidRPr="00E72418">
        <w:rPr>
          <w:szCs w:val="20"/>
        </w:rPr>
        <w:t xml:space="preserve"> témoigne de ce que les restructurations des dettes souveraines s’inscrivent dans l’intérêt public (</w:t>
      </w:r>
      <w:r w:rsidRPr="00E72418">
        <w:rPr>
          <w:smallCaps/>
          <w:szCs w:val="20"/>
        </w:rPr>
        <w:t>C. Kleiner</w:t>
      </w:r>
      <w:r w:rsidRPr="00E72418">
        <w:rPr>
          <w:szCs w:val="20"/>
        </w:rPr>
        <w:t xml:space="preserve">, « L’affaire du siècle : </w:t>
      </w:r>
      <w:r w:rsidRPr="00E72418">
        <w:rPr>
          <w:i/>
          <w:szCs w:val="20"/>
        </w:rPr>
        <w:t>NML c/République d’Argentine</w:t>
      </w:r>
      <w:r w:rsidRPr="00E72418">
        <w:rPr>
          <w:szCs w:val="20"/>
        </w:rPr>
        <w:t xml:space="preserve"> ou la “contribution” des fonds vautours au droit international », </w:t>
      </w:r>
      <w:r w:rsidRPr="00E72418">
        <w:rPr>
          <w:i/>
          <w:szCs w:val="20"/>
        </w:rPr>
        <w:t>op. cit.</w:t>
      </w:r>
      <w:r w:rsidRPr="00E72418">
        <w:rPr>
          <w:szCs w:val="20"/>
        </w:rPr>
        <w:t xml:space="preserve">, pp. 408 et 409 qui vise notamment les </w:t>
      </w:r>
      <w:r w:rsidRPr="00E72418">
        <w:rPr>
          <w:i/>
          <w:szCs w:val="20"/>
        </w:rPr>
        <w:t>amicus briefs</w:t>
      </w:r>
      <w:r w:rsidRPr="00E72418">
        <w:rPr>
          <w:szCs w:val="20"/>
        </w:rPr>
        <w:t xml:space="preserve"> déposées par la France et par le prix Nobel d’économie Joseph Stiglitz). L’on peut également, comme Régis Bismuth </w:t>
      </w:r>
      <w:r w:rsidRPr="00E72418">
        <w:t xml:space="preserve">(« L’émergence d’un </w:t>
      </w:r>
      <w:r w:rsidRPr="00E72418">
        <w:rPr>
          <w:szCs w:val="20"/>
        </w:rPr>
        <w:t>“</w:t>
      </w:r>
      <w:r w:rsidRPr="00E72418">
        <w:t>ordre public de la dette souveraine</w:t>
      </w:r>
      <w:r w:rsidRPr="00E72418">
        <w:rPr>
          <w:szCs w:val="20"/>
        </w:rPr>
        <w:t>”</w:t>
      </w:r>
      <w:r w:rsidRPr="00E72418">
        <w:t xml:space="preserve"> pour et par le contrat d’emprunt souverain ? Quelques réflexions inspirées par une actualité très mouvementée », </w:t>
      </w:r>
      <w:r w:rsidRPr="00E72418">
        <w:rPr>
          <w:rStyle w:val="Accentuation"/>
        </w:rPr>
        <w:t>op. cit.</w:t>
      </w:r>
      <w:r w:rsidRPr="00E72418">
        <w:t>, p. 499)</w:t>
      </w:r>
      <w:r w:rsidRPr="00E72418">
        <w:rPr>
          <w:szCs w:val="20"/>
        </w:rPr>
        <w:t xml:space="preserve">, voir dans le soutien étatsunien apporté par son </w:t>
      </w:r>
      <w:r w:rsidRPr="00E72418">
        <w:rPr>
          <w:i/>
          <w:szCs w:val="20"/>
        </w:rPr>
        <w:t>amicus brief</w:t>
      </w:r>
      <w:r w:rsidRPr="00E72418">
        <w:rPr>
          <w:szCs w:val="20"/>
        </w:rPr>
        <w:t xml:space="preserve"> la reconnaissance d’un ordre public international, les </w:t>
      </w:r>
      <w:r w:rsidRPr="00E72418">
        <w:t>É</w:t>
      </w:r>
      <w:r w:rsidRPr="00E72418">
        <w:rPr>
          <w:szCs w:val="20"/>
        </w:rPr>
        <w:t>tats-Unis notant que «</w:t>
      </w:r>
      <w:r w:rsidRPr="00E72418">
        <w:rPr>
          <w:rFonts w:cs="Times"/>
          <w:szCs w:val="24"/>
        </w:rPr>
        <w:t> </w:t>
      </w:r>
      <w:r w:rsidRPr="00E72418">
        <w:rPr>
          <w:rFonts w:cs="Times"/>
          <w:iCs/>
          <w:szCs w:val="24"/>
          <w:lang w:val="en-US"/>
        </w:rPr>
        <w:t>[t]</w:t>
      </w:r>
      <w:r w:rsidRPr="00E72418">
        <w:rPr>
          <w:rFonts w:cs="Times"/>
          <w:iCs/>
          <w:szCs w:val="24"/>
        </w:rPr>
        <w:t>he effect could extend well beyond Argentina […] » et que « v</w:t>
      </w:r>
      <w:r w:rsidRPr="00E72418">
        <w:rPr>
          <w:rFonts w:cs="Times"/>
          <w:iCs/>
          <w:szCs w:val="24"/>
          <w:lang w:val="en-US"/>
        </w:rPr>
        <w:t xml:space="preserve">oluntary sovereign debt restructuring will become far more difficult if holdout creditors can use novel interpretations of boilerplate bond provisions to interfere with the performance of a restructuring plan accepted by most creditors, and to greatly tilt incentives away from voluntary debt exchanges and negotiated restructuring in the first place </w:t>
      </w:r>
      <w:r w:rsidRPr="00E72418">
        <w:rPr>
          <w:rFonts w:cs="Times"/>
          <w:iCs/>
          <w:szCs w:val="24"/>
        </w:rPr>
        <w:t>»</w:t>
      </w:r>
      <w:r w:rsidRPr="00E72418">
        <w:rPr>
          <w:rFonts w:cs="Times"/>
          <w:iCs/>
          <w:szCs w:val="24"/>
          <w:lang w:val="en-US"/>
        </w:rPr>
        <w:t xml:space="preserve"> (b</w:t>
      </w:r>
      <w:r w:rsidRPr="00E72418">
        <w:rPr>
          <w:szCs w:val="20"/>
          <w:lang w:val="en-US"/>
        </w:rPr>
        <w:t>rief for the United States of America as amicus curiae in support of the Republic of Argentina’s petition for panel rehearing and rehearing en banc, 28 décembre 2012, 2012 WL 6777132, pp. 3 et 4</w:t>
      </w:r>
      <w:r w:rsidRPr="00E72418">
        <w:rPr>
          <w:rFonts w:cs="Times"/>
          <w:iCs/>
          <w:szCs w:val="24"/>
          <w:lang w:val="en-US"/>
        </w:rPr>
        <w:t>).</w:t>
      </w:r>
    </w:p>
  </w:footnote>
  <w:footnote w:id="1241">
    <w:p w14:paraId="1E707192" w14:textId="1ED47C69" w:rsidR="0030147D" w:rsidRPr="00E72418" w:rsidRDefault="0030147D" w:rsidP="006B37E3">
      <w:pPr>
        <w:pStyle w:val="Sansinterligne"/>
        <w:rPr>
          <w:rFonts w:ascii="Times New Roman" w:hAnsi="Times New Roman" w:cs="Times New Roman"/>
          <w:lang w:val="fr-FR"/>
        </w:rPr>
      </w:pPr>
      <w:r w:rsidRPr="00E72418">
        <w:rPr>
          <w:rStyle w:val="Appelnotedebasdep"/>
          <w:szCs w:val="20"/>
        </w:rPr>
        <w:footnoteRef/>
      </w:r>
      <w:r w:rsidRPr="00E72418">
        <w:t xml:space="preserve"> </w:t>
      </w:r>
      <w:r w:rsidRPr="00E72418">
        <w:rPr>
          <w:smallCaps/>
        </w:rPr>
        <w:t>A. Berends</w:t>
      </w:r>
      <w:r w:rsidRPr="00E72418">
        <w:t xml:space="preserve">, « Why overriding mandatory provisions that protect financial stability deserve special treatment », </w:t>
      </w:r>
      <w:r w:rsidRPr="00E72418">
        <w:rPr>
          <w:rFonts w:ascii="Times New Roman" w:hAnsi="Times New Roman" w:cs="Times New Roman"/>
          <w:i/>
        </w:rPr>
        <w:t>N.I.L.R.</w:t>
      </w:r>
      <w:r w:rsidRPr="00E72418">
        <w:t>, 2014, p. 95.</w:t>
      </w:r>
    </w:p>
  </w:footnote>
  <w:footnote w:id="1242">
    <w:p w14:paraId="5AC1A808" w14:textId="786A3CD8" w:rsidR="0030147D" w:rsidRPr="00E72418" w:rsidRDefault="0030147D" w:rsidP="00B5521B">
      <w:pPr>
        <w:pStyle w:val="Sansinterligne"/>
        <w:rPr>
          <w:szCs w:val="20"/>
        </w:rPr>
      </w:pPr>
      <w:r w:rsidRPr="00E72418">
        <w:rPr>
          <w:rStyle w:val="Appelnotedebasdep"/>
          <w:szCs w:val="20"/>
        </w:rPr>
        <w:footnoteRef/>
      </w:r>
      <w:r w:rsidRPr="00E72418">
        <w:rPr>
          <w:szCs w:val="20"/>
        </w:rPr>
        <w:t xml:space="preserve"> Cour suprême de justice de la Nation (A.), 6 mars 2014, </w:t>
      </w:r>
      <w:r w:rsidRPr="00E72418">
        <w:rPr>
          <w:i/>
          <w:szCs w:val="20"/>
        </w:rPr>
        <w:t>Claren Corporation c/ Estado Nacional</w:t>
      </w:r>
      <w:r w:rsidRPr="00E72418">
        <w:rPr>
          <w:szCs w:val="20"/>
        </w:rPr>
        <w:t xml:space="preserve"> et Cour suprême de justice de la Nation (A.), 11 novembre 2014, </w:t>
      </w:r>
      <w:r w:rsidRPr="00E72418">
        <w:rPr>
          <w:i/>
          <w:szCs w:val="20"/>
        </w:rPr>
        <w:t xml:space="preserve">Crostelli, Fernando y otros c. EN </w:t>
      </w:r>
      <w:r w:rsidRPr="00E72418">
        <w:rPr>
          <w:b/>
          <w:i/>
          <w:szCs w:val="20"/>
        </w:rPr>
        <w:t xml:space="preserve">– </w:t>
      </w:r>
      <w:r w:rsidRPr="00E72418">
        <w:rPr>
          <w:i/>
          <w:szCs w:val="20"/>
        </w:rPr>
        <w:t>M. Economía</w:t>
      </w:r>
      <w:r w:rsidRPr="00E72418">
        <w:rPr>
          <w:szCs w:val="20"/>
        </w:rPr>
        <w:t>.</w:t>
      </w:r>
    </w:p>
  </w:footnote>
  <w:footnote w:id="1243">
    <w:p w14:paraId="52582B5F" w14:textId="7D87823E" w:rsidR="0030147D" w:rsidRPr="00E72418" w:rsidRDefault="0030147D" w:rsidP="00B5521B">
      <w:pPr>
        <w:pStyle w:val="Sansinterligne"/>
        <w:rPr>
          <w:szCs w:val="20"/>
        </w:rPr>
      </w:pPr>
      <w:r w:rsidRPr="00E72418">
        <w:rPr>
          <w:rStyle w:val="Appelnotedebasdep"/>
          <w:szCs w:val="20"/>
        </w:rPr>
        <w:footnoteRef/>
      </w:r>
      <w:r w:rsidRPr="00E72418">
        <w:rPr>
          <w:szCs w:val="20"/>
        </w:rPr>
        <w:t xml:space="preserve"> </w:t>
      </w:r>
      <w:r w:rsidRPr="00E72418">
        <w:rPr>
          <w:smallCaps/>
          <w:szCs w:val="20"/>
        </w:rPr>
        <w:t>D. Fernandez Arroyo</w:t>
      </w:r>
      <w:r w:rsidRPr="00E72418">
        <w:rPr>
          <w:szCs w:val="20"/>
        </w:rPr>
        <w:t xml:space="preserve">, « Chronique de jurisprudence argentine de droit international privé (2012-2015) », </w:t>
      </w:r>
      <w:r w:rsidRPr="00E72418">
        <w:rPr>
          <w:i/>
          <w:szCs w:val="20"/>
        </w:rPr>
        <w:t>J.D.I.</w:t>
      </w:r>
      <w:r w:rsidRPr="00E72418">
        <w:rPr>
          <w:szCs w:val="20"/>
        </w:rPr>
        <w:t>, 2016, p. 966.  L’auteur note que la Cour semble d’avis que la notion d’ordre public évoquée n’est pas exclusivement propre à l’ordre juridique</w:t>
      </w:r>
      <w:r w:rsidRPr="00E72418">
        <w:rPr>
          <w:rStyle w:val="highlight"/>
          <w:rFonts w:cs="Times New Roman"/>
          <w:szCs w:val="20"/>
          <w:bdr w:val="none" w:sz="0" w:space="0" w:color="auto" w:frame="1"/>
        </w:rPr>
        <w:t> argentin</w:t>
      </w:r>
      <w:r w:rsidRPr="00E72418">
        <w:rPr>
          <w:szCs w:val="20"/>
        </w:rPr>
        <w:t xml:space="preserve"> mais une notion liée à un principe de droit international général selon lequel, dans des situations de grave crise économique, les États auraient la faculté de limiter, suspendre ou restructurer les paiements de leur dette afin de faire en sorte que ceux-ci s’accommodent de leurs réelles possibilités financières évitant ainsi l’entrave à la prestation de services essentiels et fonctions étatiques basiques.</w:t>
      </w:r>
    </w:p>
  </w:footnote>
  <w:footnote w:id="1244">
    <w:p w14:paraId="1B84CE01" w14:textId="01C46606" w:rsidR="0030147D" w:rsidRPr="00E72418" w:rsidRDefault="0030147D" w:rsidP="00B5521B">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68.</w:t>
      </w:r>
    </w:p>
  </w:footnote>
  <w:footnote w:id="1245">
    <w:p w14:paraId="1B5BA39B" w14:textId="723A0584" w:rsidR="0030147D" w:rsidRPr="00E72418" w:rsidRDefault="0030147D" w:rsidP="00B16E75">
      <w:pPr>
        <w:pStyle w:val="Sansinterligne"/>
      </w:pPr>
      <w:r w:rsidRPr="00E72418">
        <w:rPr>
          <w:rStyle w:val="Appelnotedebasdep"/>
        </w:rPr>
        <w:footnoteRef/>
      </w:r>
      <w:r w:rsidRPr="00E72418">
        <w:rPr>
          <w:vertAlign w:val="superscript"/>
        </w:rPr>
        <w:t xml:space="preserve"> </w:t>
      </w:r>
      <w:r w:rsidRPr="00E72418">
        <w:t>Brief for the United States of America as amicus curiae in support of reversal (United States Court of Appeals, Second Circuit), 4 avril 2012, 2012 WL 1150791, pp. 4 et 5 et brief for the Republic of France as amicus curiae in support of the Republic of Argentina’s petition for a writ of certiorari (Supreme Court), 24 mars 2014, 2014 WL 1246725, p. 10.</w:t>
      </w:r>
    </w:p>
  </w:footnote>
  <w:footnote w:id="1246">
    <w:p w14:paraId="50DFC4D1" w14:textId="4F1D896D" w:rsidR="0030147D" w:rsidRPr="00E72418" w:rsidRDefault="0030147D" w:rsidP="00EA6B66">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xml:space="preserve">, p. 494. </w:t>
      </w:r>
      <w:r w:rsidRPr="00E72418">
        <w:rPr>
          <w:rFonts w:ascii="Proforma-Book" w:hAnsi="Proforma-Book" w:cs="Proforma-Book"/>
          <w:szCs w:val="20"/>
        </w:rPr>
        <w:t xml:space="preserve">Ainsi, par exemple, le </w:t>
      </w:r>
      <w:r w:rsidRPr="00216133">
        <w:rPr>
          <w:rFonts w:ascii="Proforma-Book" w:hAnsi="Proforma-Book" w:cs="Proforma-Book"/>
          <w:szCs w:val="20"/>
        </w:rPr>
        <w:t>Hoge Raad</w:t>
      </w:r>
      <w:r w:rsidRPr="00E72418">
        <w:rPr>
          <w:rFonts w:ascii="Proforma-Book" w:hAnsi="Proforma-Book" w:cs="Proforma-Book"/>
          <w:szCs w:val="20"/>
        </w:rPr>
        <w:t xml:space="preserve"> néerlandais décida que les ressources destinées au Suriname dans le cadre d’un accord de développement avec les Pays-Bas n’étaient pas saisissables pour des raisons d’ordre public (</w:t>
      </w:r>
      <w:r w:rsidRPr="00E72418">
        <w:rPr>
          <w:szCs w:val="20"/>
          <w:lang w:val="en-US"/>
        </w:rPr>
        <w:t>Hoge Raad (P</w:t>
      </w:r>
      <w:r>
        <w:rPr>
          <w:szCs w:val="20"/>
          <w:lang w:val="en-US"/>
        </w:rPr>
        <w:t>.</w:t>
      </w:r>
      <w:r w:rsidRPr="00E72418">
        <w:rPr>
          <w:szCs w:val="20"/>
          <w:lang w:val="en-US"/>
        </w:rPr>
        <w:t>-B</w:t>
      </w:r>
      <w:r>
        <w:rPr>
          <w:szCs w:val="20"/>
          <w:lang w:val="en-US"/>
        </w:rPr>
        <w:t>.</w:t>
      </w:r>
      <w:r w:rsidRPr="00E72418">
        <w:rPr>
          <w:szCs w:val="20"/>
          <w:lang w:val="en-US"/>
        </w:rPr>
        <w:t xml:space="preserve">), 3 mai 1985, </w:t>
      </w:r>
      <w:r w:rsidRPr="00E72418">
        <w:rPr>
          <w:i/>
          <w:szCs w:val="20"/>
          <w:lang w:val="en-US"/>
        </w:rPr>
        <w:t>Vriesde v. The State of the Netherlands and the National Bank for Developing Countries</w:t>
      </w:r>
      <w:r w:rsidRPr="00E72418">
        <w:rPr>
          <w:szCs w:val="20"/>
          <w:lang w:val="en-US"/>
        </w:rPr>
        <w:t xml:space="preserve">, </w:t>
      </w:r>
      <w:r w:rsidRPr="00E72418">
        <w:rPr>
          <w:i/>
          <w:szCs w:val="20"/>
          <w:lang w:val="en-US"/>
        </w:rPr>
        <w:t>Netherland Yearbook of International Law</w:t>
      </w:r>
      <w:r w:rsidRPr="00E72418">
        <w:rPr>
          <w:szCs w:val="20"/>
          <w:lang w:val="en-US"/>
        </w:rPr>
        <w:t xml:space="preserve">, 1986, p. 307 cité par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367).</w:t>
      </w:r>
    </w:p>
  </w:footnote>
  <w:footnote w:id="1247">
    <w:p w14:paraId="13FA2EF9" w14:textId="4EDACBFC" w:rsidR="0030147D" w:rsidRPr="00E72418" w:rsidRDefault="0030147D" w:rsidP="00B16E75">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w:t>
      </w:r>
      <w:r w:rsidRPr="00E72418">
        <w:rPr>
          <w:i/>
          <w:shd w:val="clear" w:color="auto" w:fill="FFFFFF"/>
        </w:rPr>
        <w:t>op. cit.,</w:t>
      </w:r>
      <w:r w:rsidRPr="00E72418">
        <w:rPr>
          <w:shd w:val="clear" w:color="auto" w:fill="FFFFFF"/>
        </w:rPr>
        <w:t xml:space="preserve"> p. 358.</w:t>
      </w:r>
    </w:p>
  </w:footnote>
  <w:footnote w:id="1248">
    <w:p w14:paraId="338E7891" w14:textId="0273041C" w:rsidR="0030147D" w:rsidRPr="00E72418" w:rsidRDefault="0030147D" w:rsidP="007140D8">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379.</w:t>
      </w:r>
    </w:p>
  </w:footnote>
  <w:footnote w:id="1249">
    <w:p w14:paraId="7BB42911" w14:textId="60352E7C" w:rsidR="0030147D" w:rsidRPr="00E72418" w:rsidRDefault="0030147D" w:rsidP="007140D8">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1250">
    <w:p w14:paraId="6967FB6D" w14:textId="77777777" w:rsidR="0030147D" w:rsidRPr="00E72418" w:rsidRDefault="0030147D" w:rsidP="00A06818">
      <w:pPr>
        <w:pStyle w:val="Sansinterligne"/>
      </w:pPr>
      <w:r w:rsidRPr="00E72418">
        <w:rPr>
          <w:rStyle w:val="Appelnotedebasdep"/>
        </w:rPr>
        <w:footnoteRef/>
      </w:r>
      <w:r w:rsidRPr="00E72418">
        <w:t xml:space="preserve"> Voyez ainsi par exemple, en droit européen, l’article 21 du règlement n° 593/2008 du Parlement européen et du Conseil du 17 juin 2008 sur la loi applicable aux obligations contractuelles, dit règlement Rome I.</w:t>
      </w:r>
    </w:p>
  </w:footnote>
  <w:footnote w:id="1251">
    <w:p w14:paraId="55256CD2" w14:textId="77777777" w:rsidR="0030147D" w:rsidRPr="00E72418" w:rsidRDefault="0030147D" w:rsidP="00A06818">
      <w:pPr>
        <w:pStyle w:val="Sansinterligne"/>
      </w:pPr>
      <w:r w:rsidRPr="00E72418">
        <w:rPr>
          <w:rStyle w:val="Appelnotedebasdep"/>
        </w:rPr>
        <w:footnoteRef/>
      </w:r>
      <w:r w:rsidRPr="00E72418">
        <w:t xml:space="preserve"> Voyez ainsi par exemple, en droit européen, les articles 45 et 46 du règlement n° 1215/2012 </w:t>
      </w:r>
      <w:r w:rsidRPr="00E72418">
        <w:rPr>
          <w:szCs w:val="20"/>
        </w:rPr>
        <w:t>du Parlement européen et du Conseil du 12 décembre 2012 concernant la compétence judiciaire, la reconnaissance et l’exécution des décisions en matière civile et commerciale</w:t>
      </w:r>
      <w:r w:rsidRPr="00E72418">
        <w:t>, dit règlement Bruxelles I</w:t>
      </w:r>
      <w:r w:rsidRPr="00E72418">
        <w:rPr>
          <w:i/>
        </w:rPr>
        <w:t>bis</w:t>
      </w:r>
      <w:r w:rsidRPr="00E72418">
        <w:t>.</w:t>
      </w:r>
    </w:p>
  </w:footnote>
  <w:footnote w:id="1252">
    <w:p w14:paraId="17CCA788" w14:textId="2420AE26" w:rsidR="0030147D" w:rsidRPr="00E72418" w:rsidRDefault="0030147D" w:rsidP="00A06818">
      <w:pPr>
        <w:pStyle w:val="Sansinterligne"/>
        <w:rPr>
          <w:szCs w:val="18"/>
        </w:rPr>
      </w:pPr>
      <w:r w:rsidRPr="00E72418">
        <w:rPr>
          <w:rStyle w:val="Appelnotedebasdep"/>
          <w:szCs w:val="18"/>
        </w:rPr>
        <w:footnoteRef/>
      </w:r>
      <w:r w:rsidRPr="00E72418">
        <w:rPr>
          <w:szCs w:val="18"/>
        </w:rPr>
        <w:t xml:space="preserve"> </w:t>
      </w:r>
      <w:r w:rsidRPr="00E72418">
        <w:rPr>
          <w:smallCaps/>
          <w:szCs w:val="18"/>
        </w:rPr>
        <w:t>M. Audit</w:t>
      </w:r>
      <w:r w:rsidRPr="00E72418">
        <w:rPr>
          <w:szCs w:val="18"/>
        </w:rPr>
        <w:t>, « La dette souveraine appelle-t-elle un statut juridique particulier ? »,</w:t>
      </w:r>
      <w:r w:rsidRPr="00E72418">
        <w:rPr>
          <w:i/>
          <w:szCs w:val="18"/>
        </w:rPr>
        <w:t xml:space="preserve"> op. cit.</w:t>
      </w:r>
      <w:r w:rsidRPr="00E72418">
        <w:rPr>
          <w:szCs w:val="18"/>
        </w:rPr>
        <w:t>, p. 78. Plus généralement, on peut retenir que le juge devrait</w:t>
      </w:r>
      <w:r w:rsidRPr="00E72418">
        <w:t xml:space="preserve"> </w:t>
      </w:r>
      <w:r w:rsidRPr="00E72418">
        <w:rPr>
          <w:szCs w:val="18"/>
        </w:rPr>
        <w:t xml:space="preserve">imposer l’observation de la loi de police étrangère lorsque cela lui semble nécessaire à la réalisation du but de celle-ci, et ce, pour autant que ce dernier lui paraisse légitime (P. </w:t>
      </w:r>
      <w:r w:rsidRPr="00E72418">
        <w:rPr>
          <w:smallCaps/>
          <w:szCs w:val="18"/>
        </w:rPr>
        <w:t>Mayer</w:t>
      </w:r>
      <w:r w:rsidRPr="00E72418">
        <w:rPr>
          <w:szCs w:val="18"/>
        </w:rPr>
        <w:t xml:space="preserve">, V. </w:t>
      </w:r>
      <w:r w:rsidRPr="00E72418">
        <w:rPr>
          <w:smallCaps/>
          <w:szCs w:val="18"/>
        </w:rPr>
        <w:t>Heuzé</w:t>
      </w:r>
      <w:r w:rsidRPr="00E72418">
        <w:rPr>
          <w:szCs w:val="18"/>
        </w:rPr>
        <w:t xml:space="preserve"> et B. </w:t>
      </w:r>
      <w:r w:rsidRPr="00E72418">
        <w:rPr>
          <w:smallCaps/>
          <w:szCs w:val="18"/>
        </w:rPr>
        <w:t>Remy</w:t>
      </w:r>
      <w:r w:rsidRPr="00E72418">
        <w:rPr>
          <w:szCs w:val="18"/>
        </w:rPr>
        <w:t xml:space="preserve">, </w:t>
      </w:r>
      <w:r w:rsidRPr="00E72418">
        <w:rPr>
          <w:i/>
          <w:szCs w:val="18"/>
        </w:rPr>
        <w:t>Droit international privé</w:t>
      </w:r>
      <w:r w:rsidRPr="00E72418">
        <w:rPr>
          <w:szCs w:val="18"/>
        </w:rPr>
        <w:t>, 12</w:t>
      </w:r>
      <w:r w:rsidRPr="00E72418">
        <w:rPr>
          <w:szCs w:val="18"/>
          <w:vertAlign w:val="superscript"/>
        </w:rPr>
        <w:t>e</w:t>
      </w:r>
      <w:r w:rsidRPr="00E72418">
        <w:rPr>
          <w:szCs w:val="18"/>
        </w:rPr>
        <w:t xml:space="preserve"> éd., L.G.D.J., 2019, p. 106).</w:t>
      </w:r>
    </w:p>
  </w:footnote>
  <w:footnote w:id="1253">
    <w:p w14:paraId="2143CDD2" w14:textId="4F8EDD77" w:rsidR="0030147D" w:rsidRPr="00E72418" w:rsidRDefault="0030147D" w:rsidP="00A06818">
      <w:pPr>
        <w:pStyle w:val="Sansinterligne"/>
        <w:rPr>
          <w:szCs w:val="18"/>
        </w:rPr>
      </w:pPr>
      <w:r w:rsidRPr="00E72418">
        <w:rPr>
          <w:rStyle w:val="Appelnotedebasdep"/>
          <w:szCs w:val="18"/>
        </w:rPr>
        <w:footnoteRef/>
      </w:r>
      <w:r w:rsidRPr="00E72418">
        <w:rPr>
          <w:szCs w:val="18"/>
        </w:rPr>
        <w:t xml:space="preserve"> </w:t>
      </w:r>
      <w:r w:rsidRPr="00E72418">
        <w:rPr>
          <w:smallCaps/>
          <w:szCs w:val="18"/>
        </w:rPr>
        <w:t>F. Giansetto</w:t>
      </w:r>
      <w:r w:rsidRPr="00E72418">
        <w:rPr>
          <w:szCs w:val="18"/>
        </w:rPr>
        <w:t xml:space="preserve">, </w:t>
      </w:r>
      <w:r w:rsidRPr="00E72418">
        <w:rPr>
          <w:i/>
          <w:szCs w:val="18"/>
        </w:rPr>
        <w:t>Le traitement juridictionnel de l’insolvabilité de l’</w:t>
      </w:r>
      <w:r w:rsidRPr="00E72418">
        <w:rPr>
          <w:i/>
          <w:lang w:eastAsia="fr-BE"/>
        </w:rPr>
        <w:t>É</w:t>
      </w:r>
      <w:r w:rsidRPr="00E72418">
        <w:rPr>
          <w:i/>
          <w:szCs w:val="18"/>
        </w:rPr>
        <w:t>tat</w:t>
      </w:r>
      <w:r w:rsidRPr="00E72418">
        <w:rPr>
          <w:szCs w:val="18"/>
        </w:rPr>
        <w:t xml:space="preserve">, </w:t>
      </w:r>
      <w:r w:rsidRPr="00E72418">
        <w:rPr>
          <w:rFonts w:cs="Times New Roman"/>
          <w:i/>
          <w:szCs w:val="24"/>
          <w:shd w:val="clear" w:color="auto" w:fill="FFFFFF"/>
        </w:rPr>
        <w:t>op. cit.</w:t>
      </w:r>
      <w:r w:rsidRPr="00E72418">
        <w:rPr>
          <w:szCs w:val="18"/>
        </w:rPr>
        <w:t>, pp. 330 à 340.</w:t>
      </w:r>
    </w:p>
  </w:footnote>
  <w:footnote w:id="1254">
    <w:p w14:paraId="49985B93" w14:textId="73CF5175" w:rsidR="0030147D" w:rsidRPr="00E72418" w:rsidRDefault="0030147D" w:rsidP="00D15B17">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xml:space="preserve">, p. 375. </w:t>
      </w:r>
      <w:r w:rsidRPr="00E72418">
        <w:rPr>
          <w:szCs w:val="20"/>
        </w:rPr>
        <w:t>L’auteur étudie dans sa contribution la mesure dans laquelle l’argument de la nécessité à assurer les missions qui sont les siennes peut conduire un État à suspendre le service de sa dette (</w:t>
      </w:r>
      <w:r w:rsidRPr="00E72418">
        <w:rPr>
          <w:i/>
          <w:szCs w:val="20"/>
        </w:rPr>
        <w:t>ibid.</w:t>
      </w:r>
      <w:r w:rsidRPr="00E72418">
        <w:rPr>
          <w:szCs w:val="20"/>
        </w:rPr>
        <w:t>, pp. 375 à 377).</w:t>
      </w:r>
    </w:p>
  </w:footnote>
  <w:footnote w:id="1255">
    <w:p w14:paraId="74FDED8B" w14:textId="4F9EF407" w:rsidR="0030147D" w:rsidRPr="00E72418" w:rsidRDefault="0030147D" w:rsidP="00D15B17">
      <w:pPr>
        <w:pStyle w:val="Sansinterligne"/>
        <w:rPr>
          <w:szCs w:val="20"/>
          <w:highlight w:val="yellow"/>
        </w:rPr>
      </w:pPr>
      <w:r w:rsidRPr="00E72418">
        <w:rPr>
          <w:rStyle w:val="Appelnotedebasdep"/>
          <w:szCs w:val="20"/>
        </w:rPr>
        <w:footnoteRef/>
      </w:r>
      <w:r w:rsidRPr="00E72418">
        <w:rPr>
          <w:szCs w:val="20"/>
          <w:lang w:val="en-US"/>
        </w:rPr>
        <w:t xml:space="preserve"> </w:t>
      </w:r>
      <w:r w:rsidRPr="00E72418">
        <w:rPr>
          <w:smallCaps/>
          <w:szCs w:val="20"/>
          <w:lang w:val="en-US"/>
        </w:rPr>
        <w:t>A. Reinisch</w:t>
      </w:r>
      <w:r w:rsidRPr="00E72418">
        <w:rPr>
          <w:szCs w:val="20"/>
          <w:lang w:val="en-US"/>
        </w:rPr>
        <w:t xml:space="preserve"> et </w:t>
      </w:r>
      <w:r w:rsidRPr="00E72418">
        <w:rPr>
          <w:smallCaps/>
          <w:szCs w:val="20"/>
          <w:lang w:val="en-US"/>
        </w:rPr>
        <w:t>C. Binder</w:t>
      </w:r>
      <w:r w:rsidRPr="00E72418">
        <w:rPr>
          <w:szCs w:val="20"/>
          <w:lang w:val="en-US"/>
        </w:rPr>
        <w:t xml:space="preserve">, « Debts and State of Necessity », in J. </w:t>
      </w:r>
      <w:r w:rsidRPr="00E72418">
        <w:rPr>
          <w:smallCaps/>
          <w:szCs w:val="20"/>
          <w:lang w:val="en-US"/>
        </w:rPr>
        <w:t>Bohoslavsky</w:t>
      </w:r>
      <w:r w:rsidRPr="00E72418">
        <w:rPr>
          <w:szCs w:val="20"/>
          <w:lang w:val="en-US"/>
        </w:rPr>
        <w:t xml:space="preserve"> et J. </w:t>
      </w:r>
      <w:r w:rsidRPr="00E72418">
        <w:rPr>
          <w:smallCaps/>
          <w:szCs w:val="20"/>
          <w:lang w:val="en-US"/>
        </w:rPr>
        <w:t>Cernic</w:t>
      </w:r>
      <w:r w:rsidRPr="00E72418">
        <w:rPr>
          <w:szCs w:val="20"/>
          <w:lang w:val="en-US"/>
        </w:rPr>
        <w:t xml:space="preserve"> (éd.), </w:t>
      </w:r>
      <w:r w:rsidRPr="00E72418">
        <w:rPr>
          <w:i/>
          <w:szCs w:val="20"/>
          <w:lang w:val="en-US"/>
        </w:rPr>
        <w:t>Making Sovereign Financing and Human Rights Work</w:t>
      </w:r>
      <w:r w:rsidRPr="00E72418">
        <w:rPr>
          <w:szCs w:val="20"/>
          <w:lang w:val="en-US"/>
        </w:rPr>
        <w:t>, Hart Publishing, 2014, p. 119.</w:t>
      </w:r>
    </w:p>
  </w:footnote>
  <w:footnote w:id="1256">
    <w:p w14:paraId="4C8ED0DA" w14:textId="167DED9A" w:rsidR="0030147D" w:rsidRPr="00E72418" w:rsidRDefault="0030147D" w:rsidP="00D15B17">
      <w:pPr>
        <w:pStyle w:val="Sansinterligne"/>
        <w:rPr>
          <w:szCs w:val="20"/>
        </w:rPr>
      </w:pPr>
      <w:r w:rsidRPr="00E72418">
        <w:rPr>
          <w:rStyle w:val="Appelnotedebasdep"/>
          <w:szCs w:val="20"/>
        </w:rPr>
        <w:footnoteRef/>
      </w:r>
      <w:r w:rsidRPr="00E72418">
        <w:rPr>
          <w:szCs w:val="20"/>
        </w:rPr>
        <w:t xml:space="preserve"> Conférence des Nations Unies sur le commerce et le développement, </w:t>
      </w:r>
      <w:r w:rsidRPr="00E72418">
        <w:rPr>
          <w:i/>
          <w:szCs w:val="20"/>
        </w:rPr>
        <w:t>Principes pour l’octroi de prêts et la souscription d’emprunts souverains responsables</w:t>
      </w:r>
      <w:r w:rsidRPr="00E72418">
        <w:rPr>
          <w:szCs w:val="20"/>
        </w:rPr>
        <w:t>, neuvième principe, janvier 2012.</w:t>
      </w:r>
    </w:p>
  </w:footnote>
  <w:footnote w:id="1257">
    <w:p w14:paraId="79D60CA9" w14:textId="03B332B4" w:rsidR="0030147D" w:rsidRPr="00E72418" w:rsidRDefault="0030147D" w:rsidP="00A06818">
      <w:pPr>
        <w:pStyle w:val="Sansinterligne"/>
      </w:pPr>
      <w:r w:rsidRPr="00E72418">
        <w:rPr>
          <w:rStyle w:val="Appelnotedebasdep"/>
        </w:rPr>
        <w:footnoteRef/>
      </w:r>
      <w:r w:rsidRPr="00E72418">
        <w:t xml:space="preserve"> Le projet est disponible à l’adresse </w:t>
      </w:r>
      <w:hyperlink r:id="rId47" w:history="1">
        <w:r w:rsidRPr="00E72418">
          <w:rPr>
            <w:rStyle w:val="Lienhypertexte"/>
            <w:color w:val="auto"/>
            <w:u w:val="none"/>
          </w:rPr>
          <w:t>https://legal.un.org/ilc/texts/instruments/french/commentaries/9_6_2001.pdf</w:t>
        </w:r>
      </w:hyperlink>
      <w:r w:rsidRPr="00E72418">
        <w:t xml:space="preserve"> (consultation le 17 octobre 2021).</w:t>
      </w:r>
    </w:p>
  </w:footnote>
  <w:footnote w:id="1258">
    <w:p w14:paraId="340BA410" w14:textId="0A27268E" w:rsidR="0030147D" w:rsidRPr="00E72418" w:rsidRDefault="0030147D" w:rsidP="00731513">
      <w:pPr>
        <w:pStyle w:val="Sansinterligne"/>
      </w:pPr>
      <w:r w:rsidRPr="00E72418">
        <w:rPr>
          <w:rStyle w:val="Appelnotedebasdep"/>
        </w:rPr>
        <w:footnoteRef/>
      </w:r>
      <w:r w:rsidRPr="00E72418">
        <w:t xml:space="preserve"> Juan Pablo Bohoslavsky et Matthias Goldmann font un lien avec le manque de considération des juridictions pour le principe de la soutenabilité des dettes souveraines notant ainsi que </w:t>
      </w:r>
      <w:r w:rsidRPr="00E72418">
        <w:rPr>
          <w:smallCaps/>
        </w:rPr>
        <w:t xml:space="preserve">« </w:t>
      </w:r>
      <w:r w:rsidRPr="00E72418">
        <w:t>[d]ebtor states have often claimed a state of necessity, but this has also been rejected by many courts around the world, demonstrating their unawareness of developments in debt restructuring practice and the emergence of the principle of debt sustainability »</w:t>
      </w:r>
      <w:r w:rsidRPr="00E72418">
        <w:rPr>
          <w:smallCaps/>
        </w:rPr>
        <w:t xml:space="preserve"> (J. </w:t>
      </w:r>
      <w:r w:rsidRPr="00E72418">
        <w:rPr>
          <w:rFonts w:cs="Times New Roman"/>
          <w:smallCaps/>
          <w:szCs w:val="24"/>
          <w:lang w:val="en-US"/>
        </w:rPr>
        <w:t xml:space="preserve">Bohoslavsky </w:t>
      </w:r>
      <w:r w:rsidRPr="00E72418">
        <w:rPr>
          <w:rFonts w:cs="Times New Roman"/>
          <w:szCs w:val="24"/>
          <w:lang w:val="en-US"/>
        </w:rPr>
        <w:t xml:space="preserve">et M. </w:t>
      </w:r>
      <w:r w:rsidRPr="00E72418">
        <w:rPr>
          <w:rFonts w:cs="Times New Roman"/>
          <w:smallCaps/>
          <w:szCs w:val="24"/>
          <w:lang w:val="en-US"/>
        </w:rPr>
        <w:t xml:space="preserve">Goldmann, </w:t>
      </w:r>
      <w:r w:rsidRPr="00E72418">
        <w:rPr>
          <w:smallCaps/>
        </w:rPr>
        <w:t>« </w:t>
      </w:r>
      <w:r w:rsidRPr="00E72418">
        <w:t xml:space="preserve">An Incremental Approach to Sovereign Debt Restructuring: Sovereign Debt Sustainability as a Principle of Public International Law », </w:t>
      </w:r>
      <w:r w:rsidRPr="00E72418">
        <w:rPr>
          <w:i/>
        </w:rPr>
        <w:t>op. cit.</w:t>
      </w:r>
      <w:r w:rsidRPr="00E72418">
        <w:t xml:space="preserve">, p. 28. Sur ce principe, voyez </w:t>
      </w:r>
      <w:r w:rsidRPr="00E72418">
        <w:rPr>
          <w:i/>
        </w:rPr>
        <w:t>supra</w:t>
      </w:r>
      <w:r w:rsidRPr="00E72418">
        <w:t xml:space="preserve"> n</w:t>
      </w:r>
      <w:r w:rsidRPr="00E72418">
        <w:rPr>
          <w:vertAlign w:val="superscript"/>
        </w:rPr>
        <w:t>os</w:t>
      </w:r>
      <w:r w:rsidRPr="00E72418">
        <w:t xml:space="preserve"> 33 et suiv.).</w:t>
      </w:r>
    </w:p>
  </w:footnote>
  <w:footnote w:id="1259">
    <w:p w14:paraId="49852E0C" w14:textId="41EC0D62" w:rsidR="0030147D" w:rsidRPr="00E72418" w:rsidRDefault="0030147D" w:rsidP="008813AF">
      <w:pPr>
        <w:pStyle w:val="Sansinterligne"/>
      </w:pPr>
      <w:r w:rsidRPr="00E72418">
        <w:rPr>
          <w:rStyle w:val="Appelnotedebasdep"/>
        </w:rPr>
        <w:footnoteRef/>
      </w:r>
      <w:r w:rsidRPr="00E72418">
        <w:t xml:space="preserve"> </w:t>
      </w:r>
      <w:r w:rsidRPr="00E72418">
        <w:rPr>
          <w:lang w:val="en-US"/>
        </w:rPr>
        <w:t xml:space="preserve">P. </w:t>
      </w:r>
      <w:r w:rsidRPr="00E72418">
        <w:rPr>
          <w:smallCaps/>
          <w:lang w:val="en-US"/>
        </w:rPr>
        <w:t>Wautelet</w:t>
      </w:r>
      <w:r w:rsidRPr="00E72418">
        <w:rPr>
          <w:lang w:val="en-US"/>
        </w:rPr>
        <w:t xml:space="preserve">, </w:t>
      </w:r>
      <w:r w:rsidRPr="00E72418">
        <w:t xml:space="preserve">« The Greek debt restructuring and property rights – A Greek tragedy for investors? », </w:t>
      </w:r>
      <w:r w:rsidRPr="00E72418">
        <w:rPr>
          <w:i/>
        </w:rPr>
        <w:t>op. cit.</w:t>
      </w:r>
      <w:r w:rsidRPr="00E72418">
        <w:t>, p. 919.</w:t>
      </w:r>
    </w:p>
  </w:footnote>
  <w:footnote w:id="1260">
    <w:p w14:paraId="7737D540" w14:textId="77777777" w:rsidR="0030147D" w:rsidRPr="00E72418" w:rsidRDefault="0030147D" w:rsidP="00D15B17">
      <w:pPr>
        <w:pStyle w:val="Sansinterligne"/>
        <w:rPr>
          <w:szCs w:val="20"/>
        </w:rPr>
      </w:pPr>
      <w:r w:rsidRPr="00E72418">
        <w:rPr>
          <w:rStyle w:val="Appelnotedebasdep"/>
          <w:szCs w:val="20"/>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 xml:space="preserve">699 F.3d 246, p. 263. </w:t>
      </w:r>
      <w:r w:rsidRPr="00E72418">
        <w:rPr>
          <w:rStyle w:val="injectednode"/>
          <w:szCs w:val="20"/>
        </w:rPr>
        <w:t>La cour reprit le constat fait en première instance de l’existence de moyens argentins suffisants et releva que le pays ne démontrait pas que ce constat était erroné.</w:t>
      </w:r>
    </w:p>
  </w:footnote>
  <w:footnote w:id="1261">
    <w:p w14:paraId="33FCEDD0" w14:textId="77777777" w:rsidR="0030147D" w:rsidRPr="00E72418" w:rsidRDefault="0030147D" w:rsidP="00D15B17">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246.</w:t>
      </w:r>
    </w:p>
  </w:footnote>
  <w:footnote w:id="1262">
    <w:p w14:paraId="093C1E41" w14:textId="43E2DF0E" w:rsidR="0030147D" w:rsidRPr="00E72418" w:rsidRDefault="0030147D" w:rsidP="00D15B17">
      <w:pPr>
        <w:pStyle w:val="Sansinterligne"/>
        <w:rPr>
          <w:szCs w:val="20"/>
        </w:rPr>
      </w:pPr>
      <w:r w:rsidRPr="00E72418">
        <w:rPr>
          <w:rStyle w:val="Appelnotedebasdep"/>
          <w:szCs w:val="20"/>
        </w:rPr>
        <w:footnoteRef/>
      </w:r>
      <w:r w:rsidRPr="00E72418">
        <w:rPr>
          <w:szCs w:val="20"/>
        </w:rPr>
        <w:t xml:space="preserve"> L’argument de l’état de nécessité fut également avancé à de nombreuses reprises par la République argentine dans des contentieux d’investissement lancés à son encontre. Dans les décisions rendues, s’il était relevé qu’en principe les urgences économiques pouvaient représenter un état de nécessité, </w:t>
      </w:r>
      <w:r w:rsidRPr="00E72418">
        <w:rPr>
          <w:rFonts w:cs="Times New Roman"/>
          <w:szCs w:val="20"/>
        </w:rPr>
        <w:t>la discussion et les débats portaient sur la reconnaissance des difficultés financières argentines comme formant un tel état</w:t>
      </w:r>
      <w:r w:rsidRPr="00E72418">
        <w:rPr>
          <w:szCs w:val="20"/>
          <w:lang w:val="en-US"/>
        </w:rPr>
        <w:t xml:space="preserve"> (</w:t>
      </w:r>
      <w:r w:rsidRPr="00E72418">
        <w:rPr>
          <w:smallCaps/>
          <w:szCs w:val="20"/>
          <w:lang w:val="en-US"/>
        </w:rPr>
        <w:t>A. Reinisch</w:t>
      </w:r>
      <w:r w:rsidRPr="00E72418">
        <w:rPr>
          <w:szCs w:val="20"/>
          <w:lang w:val="en-US"/>
        </w:rPr>
        <w:t xml:space="preserve"> et </w:t>
      </w:r>
      <w:r w:rsidRPr="00E72418">
        <w:rPr>
          <w:smallCaps/>
          <w:szCs w:val="20"/>
          <w:lang w:val="en-US"/>
        </w:rPr>
        <w:t>C. Binder</w:t>
      </w:r>
      <w:r w:rsidRPr="00E72418">
        <w:rPr>
          <w:szCs w:val="20"/>
          <w:lang w:val="en-US"/>
        </w:rPr>
        <w:t xml:space="preserve">, « Debts and State of Necessity », </w:t>
      </w:r>
      <w:r w:rsidRPr="00E72418">
        <w:rPr>
          <w:i/>
          <w:szCs w:val="20"/>
          <w:lang w:val="en-US"/>
        </w:rPr>
        <w:t>op. cit.</w:t>
      </w:r>
      <w:r w:rsidRPr="00E72418">
        <w:rPr>
          <w:szCs w:val="20"/>
          <w:lang w:val="en-US"/>
        </w:rPr>
        <w:t xml:space="preserve">, p. 117 et les références y visées dont notamment les décisions </w:t>
      </w:r>
      <w:r w:rsidRPr="00E72418">
        <w:rPr>
          <w:i/>
          <w:lang w:eastAsia="fr-BE"/>
        </w:rPr>
        <w:t>CMS Gas Transmission Company v. The Republic of Argentina</w:t>
      </w:r>
      <w:r w:rsidRPr="00E72418">
        <w:rPr>
          <w:szCs w:val="20"/>
          <w:lang w:val="en-US"/>
        </w:rPr>
        <w:t xml:space="preserve"> (</w:t>
      </w:r>
      <w:r w:rsidRPr="00E72418">
        <w:t>CIRDI, case n° ARB/01/8)</w:t>
      </w:r>
      <w:r w:rsidRPr="00E72418">
        <w:rPr>
          <w:szCs w:val="20"/>
          <w:lang w:val="en-US"/>
        </w:rPr>
        <w:t xml:space="preserve">, </w:t>
      </w:r>
      <w:r w:rsidRPr="00E72418">
        <w:rPr>
          <w:i/>
        </w:rPr>
        <w:t>LG&amp;E Energy Corp., LG&amp;E Capital Corp., and LG&amp;E International, Inc.v. Argentine Republic</w:t>
      </w:r>
      <w:r w:rsidRPr="00E72418">
        <w:rPr>
          <w:i/>
          <w:szCs w:val="20"/>
          <w:lang w:val="en-US"/>
        </w:rPr>
        <w:t xml:space="preserve"> </w:t>
      </w:r>
      <w:r w:rsidRPr="00E72418">
        <w:rPr>
          <w:szCs w:val="20"/>
          <w:lang w:val="en-US"/>
        </w:rPr>
        <w:t>(</w:t>
      </w:r>
      <w:r w:rsidRPr="00E72418">
        <w:t>CIRDI, case n° ARB/02/1)</w:t>
      </w:r>
      <w:r w:rsidRPr="00E72418">
        <w:rPr>
          <w:szCs w:val="20"/>
          <w:lang w:val="en-US"/>
        </w:rPr>
        <w:t xml:space="preserve"> ou encore </w:t>
      </w:r>
      <w:r w:rsidRPr="00E72418">
        <w:rPr>
          <w:i/>
        </w:rPr>
        <w:t>Sempra Energy International v. The Argentine Republic</w:t>
      </w:r>
      <w:r w:rsidRPr="00E72418">
        <w:rPr>
          <w:szCs w:val="20"/>
          <w:lang w:val="en-US"/>
        </w:rPr>
        <w:t xml:space="preserve"> (</w:t>
      </w:r>
      <w:r w:rsidRPr="00E72418">
        <w:t xml:space="preserve">CIRDI, case n° ARB/02/16) </w:t>
      </w:r>
      <w:r w:rsidRPr="00E72418">
        <w:rPr>
          <w:szCs w:val="20"/>
          <w:lang w:val="en-US"/>
        </w:rPr>
        <w:t>qui furent abondamment commentées).</w:t>
      </w:r>
    </w:p>
  </w:footnote>
  <w:footnote w:id="1263">
    <w:p w14:paraId="746A380B" w14:textId="2AD86A27" w:rsidR="0030147D" w:rsidRPr="00E72418" w:rsidRDefault="0030147D" w:rsidP="00B16E75">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w:t>
      </w:r>
      <w:r w:rsidRPr="00E72418">
        <w:rPr>
          <w:i/>
        </w:rPr>
        <w:t xml:space="preserve"> op. cit.</w:t>
      </w:r>
      <w:r w:rsidRPr="00E72418">
        <w:t>, pp. 56 et 57.</w:t>
      </w:r>
    </w:p>
  </w:footnote>
  <w:footnote w:id="1264">
    <w:p w14:paraId="4870275A" w14:textId="3DEC76C7" w:rsidR="0030147D" w:rsidRPr="00E72418" w:rsidRDefault="0030147D" w:rsidP="00A06818">
      <w:pPr>
        <w:pStyle w:val="Sansinterligne"/>
      </w:pPr>
      <w:r w:rsidRPr="00E72418">
        <w:rPr>
          <w:rStyle w:val="Appelnotedebasdep"/>
        </w:rPr>
        <w:footnoteRef/>
      </w:r>
      <w:r w:rsidRPr="00E72418">
        <w:t xml:space="preserve"> Voyez notamment R. </w:t>
      </w:r>
      <w:r w:rsidRPr="00E72418">
        <w:rPr>
          <w:smallCaps/>
        </w:rPr>
        <w:t>Sloane</w:t>
      </w:r>
      <w:r w:rsidRPr="00E72418">
        <w:t xml:space="preserve">, </w:t>
      </w:r>
      <w:r w:rsidRPr="00E72418">
        <w:rPr>
          <w:rFonts w:cs="Times New Roman"/>
          <w:szCs w:val="24"/>
        </w:rPr>
        <w:t xml:space="preserve">« </w:t>
      </w:r>
      <w:r w:rsidRPr="00E72418">
        <w:t xml:space="preserve">On the Use and Abuse of Necessity in the Law of State Responsibility </w:t>
      </w:r>
      <w:r w:rsidRPr="00E72418">
        <w:rPr>
          <w:rFonts w:cs="Times New Roman"/>
          <w:szCs w:val="24"/>
        </w:rPr>
        <w:t>»</w:t>
      </w:r>
      <w:r w:rsidRPr="00E72418">
        <w:t xml:space="preserve">, </w:t>
      </w:r>
      <w:r w:rsidRPr="00E72418">
        <w:rPr>
          <w:i/>
        </w:rPr>
        <w:t>A.J.I.L.</w:t>
      </w:r>
      <w:r w:rsidRPr="00E72418">
        <w:t xml:space="preserve">, 2012, pp. 460 à 466 ou encore A. </w:t>
      </w:r>
      <w:r w:rsidRPr="00E72418">
        <w:rPr>
          <w:smallCaps/>
        </w:rPr>
        <w:t>Sykes</w:t>
      </w:r>
      <w:r w:rsidRPr="00E72418">
        <w:t xml:space="preserve">, </w:t>
      </w:r>
      <w:r w:rsidRPr="00E72418">
        <w:rPr>
          <w:rFonts w:cs="Times New Roman"/>
          <w:szCs w:val="24"/>
        </w:rPr>
        <w:t xml:space="preserve">« </w:t>
      </w:r>
      <w:r w:rsidRPr="00E72418">
        <w:t xml:space="preserve">Economic “Necessity” in International Law </w:t>
      </w:r>
      <w:r w:rsidRPr="00E72418">
        <w:rPr>
          <w:rFonts w:cs="Times New Roman"/>
          <w:szCs w:val="24"/>
        </w:rPr>
        <w:t>»</w:t>
      </w:r>
      <w:r w:rsidRPr="00E72418">
        <w:t xml:space="preserve">, </w:t>
      </w:r>
      <w:r w:rsidRPr="00E72418">
        <w:rPr>
          <w:i/>
        </w:rPr>
        <w:t>A.J.I.L.</w:t>
      </w:r>
      <w:r w:rsidRPr="00E72418">
        <w:t>, 2015, pp. 296 à 323.</w:t>
      </w:r>
    </w:p>
  </w:footnote>
  <w:footnote w:id="1265">
    <w:p w14:paraId="4489B6F0" w14:textId="21E435DD" w:rsidR="0030147D" w:rsidRPr="00E72418" w:rsidRDefault="0030147D" w:rsidP="00B81E07">
      <w:pPr>
        <w:pStyle w:val="Sansinterligne"/>
        <w:rPr>
          <w:szCs w:val="20"/>
        </w:rPr>
      </w:pPr>
      <w:r w:rsidRPr="00E72418">
        <w:rPr>
          <w:rStyle w:val="Appelnotedebasdep"/>
        </w:rPr>
        <w:footnoteRef/>
      </w:r>
      <w:r w:rsidRPr="00E72418">
        <w:t xml:space="preserve"> Une autre question pourrait encore être celle de la possible application de l’argument dans le cadre d’un rapport privé entretenu par l’État, rapport qui nous intéresse dans le cadre de notre recherche. Au sujet de cette interrogation, on peut lire dans le commentaire général des articles en projet que « les présents articles portent sur l’ensemble du domaine de la responsabilité des États » et qu’ « [i]ls ne sont donc pas limités aux violations d’obligations bilatérales […] mais s’appliquent à l’ensemble des obligations internationales des États, que l’obligation existe envers un ou plusieurs États, envers un individu ou un groupe, ou envers la communauté internationale dans son ensemble » (voyez </w:t>
      </w:r>
      <w:hyperlink r:id="rId48" w:history="1">
        <w:r w:rsidRPr="00E72418">
          <w:rPr>
            <w:rStyle w:val="Lienhypertexte"/>
            <w:color w:val="auto"/>
            <w:u w:val="none"/>
          </w:rPr>
          <w:t>https://legal.un.org/ilc/texts/instruments/french/commentaries/9_6_2001.pdf</w:t>
        </w:r>
      </w:hyperlink>
      <w:r w:rsidRPr="00E72418">
        <w:t>, p. 64). L</w:t>
      </w:r>
      <w:r w:rsidRPr="00E72418">
        <w:rPr>
          <w:szCs w:val="20"/>
          <w:lang w:eastAsia="fr-BE"/>
        </w:rPr>
        <w:t>a Cour constitutionnelle allemande retenait toutefois en 2007 que « </w:t>
      </w:r>
      <w:r w:rsidRPr="00E72418">
        <w:t xml:space="preserve">[n]o general rule of international law is ascertainable which entitles a state to temporarily refuse to meet private-law payment claims due towards private individuals by invoking state necessity declared because of inability to pay </w:t>
      </w:r>
      <w:r w:rsidRPr="00E72418">
        <w:rPr>
          <w:szCs w:val="20"/>
          <w:lang w:eastAsia="fr-BE"/>
        </w:rPr>
        <w:t>» (</w:t>
      </w:r>
      <w:r w:rsidRPr="00E72418">
        <w:rPr>
          <w:szCs w:val="20"/>
          <w:lang w:val="en-US"/>
        </w:rPr>
        <w:t>Bundesverfassungsgericht</w:t>
      </w:r>
      <w:r w:rsidRPr="00E72418">
        <w:rPr>
          <w:szCs w:val="20"/>
        </w:rPr>
        <w:t xml:space="preserve">, </w:t>
      </w:r>
      <w:r w:rsidRPr="00E72418">
        <w:rPr>
          <w:szCs w:val="20"/>
          <w:lang w:eastAsia="fr-BE"/>
        </w:rPr>
        <w:t>8 mai 2007, 2 BvM 1-5/03, 1, 2/06, sommaire</w:t>
      </w:r>
      <w:r w:rsidRPr="00E72418">
        <w:rPr>
          <w:szCs w:val="20"/>
          <w:lang w:val="en-US"/>
        </w:rPr>
        <w:t>). Notons l’</w:t>
      </w:r>
      <w:r w:rsidRPr="00E72418">
        <w:rPr>
          <w:szCs w:val="20"/>
        </w:rPr>
        <w:t>opinion dissidente du juge Lübbe-Wolff pour qui notamment « </w:t>
      </w:r>
      <w:r w:rsidRPr="00E72418">
        <w:t xml:space="preserve">[a]n enforcement of state payment obligations vis-à-vis foreign creditors that would risk an interruption of elementary state functions caused, increased or extended by such enforcement would be violative of human rights – insofar as no equally essential interests were also at stake on the creditor side </w:t>
      </w:r>
      <w:r w:rsidRPr="00E72418">
        <w:rPr>
          <w:szCs w:val="20"/>
        </w:rPr>
        <w:t>» (</w:t>
      </w:r>
      <w:r w:rsidRPr="00E72418">
        <w:rPr>
          <w:i/>
          <w:szCs w:val="20"/>
        </w:rPr>
        <w:t>ibid.</w:t>
      </w:r>
      <w:r w:rsidRPr="00E72418">
        <w:rPr>
          <w:szCs w:val="20"/>
        </w:rPr>
        <w:t xml:space="preserve">, paragraphe 87). Dans le même sens que la majorité de la </w:t>
      </w:r>
      <w:r w:rsidRPr="00216133">
        <w:rPr>
          <w:szCs w:val="20"/>
          <w:lang w:val="en-US"/>
        </w:rPr>
        <w:t>Bundesverfassungsgericht,</w:t>
      </w:r>
      <w:r w:rsidRPr="00E72418">
        <w:rPr>
          <w:szCs w:val="20"/>
        </w:rPr>
        <w:t xml:space="preserve"> la </w:t>
      </w:r>
      <w:r w:rsidRPr="00216133">
        <w:rPr>
          <w:szCs w:val="20"/>
        </w:rPr>
        <w:t>Bundesgerichtshof</w:t>
      </w:r>
      <w:r w:rsidRPr="00E72418">
        <w:rPr>
          <w:szCs w:val="20"/>
        </w:rPr>
        <w:t xml:space="preserve"> allemande décida en 2015 qu’ « </w:t>
      </w:r>
      <w:r w:rsidRPr="00E72418">
        <w:t xml:space="preserve">[a]ccording to the rules of international law, a state cannot refuse to fulfill private law payment claims against private individuals on the basis of a state emergency declared due to insolvency </w:t>
      </w:r>
      <w:r w:rsidRPr="00E72418">
        <w:rPr>
          <w:szCs w:val="20"/>
        </w:rPr>
        <w:t>» (24 février 2015, XI ZR 47/14. Voyez également la décision XI ZR 193/14 de la même juridiction allemande du même jour).</w:t>
      </w:r>
    </w:p>
  </w:footnote>
  <w:footnote w:id="1266">
    <w:p w14:paraId="213C42DC" w14:textId="7916766B" w:rsidR="0030147D" w:rsidRPr="00E72418" w:rsidRDefault="0030147D" w:rsidP="00A06818">
      <w:pPr>
        <w:pStyle w:val="Sansinterligne"/>
        <w:rPr>
          <w:lang w:val="en-US"/>
        </w:rPr>
      </w:pPr>
      <w:r w:rsidRPr="00E72418">
        <w:rPr>
          <w:rStyle w:val="Appelnotedebasdep"/>
        </w:rPr>
        <w:footnoteRef/>
      </w:r>
      <w:r w:rsidRPr="00E72418">
        <w:rPr>
          <w:lang w:val="en-US"/>
        </w:rPr>
        <w:t xml:space="preserve"> </w:t>
      </w:r>
      <w:r w:rsidRPr="00E72418">
        <w:rPr>
          <w:smallCaps/>
          <w:lang w:val="en-US"/>
        </w:rPr>
        <w:t>A. Reinisch</w:t>
      </w:r>
      <w:r w:rsidRPr="00E72418">
        <w:rPr>
          <w:lang w:val="en-US"/>
        </w:rPr>
        <w:t xml:space="preserve"> et </w:t>
      </w:r>
      <w:r w:rsidRPr="00E72418">
        <w:rPr>
          <w:smallCaps/>
          <w:lang w:val="en-US"/>
        </w:rPr>
        <w:t>C. Binder</w:t>
      </w:r>
      <w:r w:rsidRPr="00E72418">
        <w:rPr>
          <w:lang w:val="en-US"/>
        </w:rPr>
        <w:t>, « Debts and State of Necessity »,</w:t>
      </w:r>
      <w:r w:rsidRPr="00E72418">
        <w:rPr>
          <w:i/>
          <w:lang w:val="en-US"/>
        </w:rPr>
        <w:t xml:space="preserve"> op. cit.</w:t>
      </w:r>
      <w:r w:rsidRPr="00E72418">
        <w:rPr>
          <w:lang w:val="en-US"/>
        </w:rPr>
        <w:t>, p. 125. Voyez ainsi notamment au sujet des difficultés rencontrées au début du siècle par la République argentine (</w:t>
      </w:r>
      <w:r w:rsidRPr="00E72418">
        <w:rPr>
          <w:i/>
          <w:lang w:val="en-US"/>
        </w:rPr>
        <w:t>supra</w:t>
      </w:r>
      <w:r w:rsidRPr="00E72418">
        <w:rPr>
          <w:lang w:val="en-US"/>
        </w:rPr>
        <w:t xml:space="preserve"> n</w:t>
      </w:r>
      <w:r w:rsidRPr="00E72418">
        <w:rPr>
          <w:vertAlign w:val="superscript"/>
          <w:lang w:val="en-US"/>
        </w:rPr>
        <w:t>os</w:t>
      </w:r>
      <w:r w:rsidRPr="00E72418">
        <w:rPr>
          <w:lang w:val="en-US"/>
        </w:rPr>
        <w:t xml:space="preserve"> 86 et suiv.), </w:t>
      </w:r>
      <w:r w:rsidRPr="00E72418">
        <w:t xml:space="preserve">CIRDI, 5 septembre 2008, </w:t>
      </w:r>
      <w:r w:rsidRPr="00E72418">
        <w:rPr>
          <w:i/>
        </w:rPr>
        <w:t>Continental Casualty Company v. Argentine Republic</w:t>
      </w:r>
      <w:r w:rsidRPr="00E72418">
        <w:t>, case n° ARB/03/9, award, paragraphe 222 : « </w:t>
      </w:r>
      <w:r w:rsidRPr="00E72418">
        <w:rPr>
          <w:rFonts w:cs="Times"/>
          <w:szCs w:val="24"/>
        </w:rPr>
        <w:t>[s]</w:t>
      </w:r>
      <w:r w:rsidRPr="00E72418">
        <w:t xml:space="preserve">ince </w:t>
      </w:r>
      <w:r w:rsidRPr="00E72418">
        <w:rPr>
          <w:rFonts w:cs="Times"/>
          <w:szCs w:val="24"/>
        </w:rPr>
        <w:t>[…]</w:t>
      </w:r>
      <w:r w:rsidRPr="00E72418">
        <w:t xml:space="preserve"> Argentina’s financial situation was evolving towards normality when the LETEs (</w:t>
      </w:r>
      <w:r w:rsidRPr="00E72418">
        <w:rPr>
          <w:i/>
        </w:rPr>
        <w:t>i.e.</w:t>
      </w:r>
      <w:r w:rsidRPr="00E72418">
        <w:t xml:space="preserve"> Argentine Government Treasury Bills) were restructured, Argentina cannot avail itself in this respect of the alternative defense based on state of necessity in customary international law » puisque « </w:t>
      </w:r>
      <w:r w:rsidRPr="00E72418">
        <w:rPr>
          <w:rFonts w:cs="Times"/>
          <w:szCs w:val="24"/>
        </w:rPr>
        <w:t>[t]</w:t>
      </w:r>
      <w:r w:rsidRPr="00E72418">
        <w:t>he fundamental requirement that the conduct be “the only way for a State to safeguard an essential interest against a grave and imminent peril” (Art. 25 (1) (i) ILC Articles) was lacking </w:t>
      </w:r>
      <w:r w:rsidRPr="00E72418">
        <w:rPr>
          <w:rFonts w:cs="Times"/>
          <w:szCs w:val="24"/>
        </w:rPr>
        <w:t xml:space="preserve">[…] </w:t>
      </w:r>
      <w:r w:rsidRPr="00E72418">
        <w:t>».</w:t>
      </w:r>
    </w:p>
  </w:footnote>
  <w:footnote w:id="1267">
    <w:p w14:paraId="1FDDB0F0" w14:textId="27172320" w:rsidR="0030147D" w:rsidRPr="00E72418" w:rsidRDefault="0030147D" w:rsidP="00A06818">
      <w:pPr>
        <w:pStyle w:val="Sansinterligne"/>
        <w:rPr>
          <w:lang w:val="en-US"/>
        </w:rPr>
      </w:pPr>
      <w:r w:rsidRPr="00E72418">
        <w:rPr>
          <w:rStyle w:val="Appelnotedebasdep"/>
        </w:rPr>
        <w:footnoteRef/>
      </w:r>
      <w:r w:rsidRPr="00E72418">
        <w:rPr>
          <w:lang w:val="en-US"/>
        </w:rPr>
        <w:t xml:space="preserve"> </w:t>
      </w:r>
      <w:r w:rsidRPr="00E72418">
        <w:rPr>
          <w:smallCaps/>
          <w:lang w:val="en-US"/>
        </w:rPr>
        <w:t>A. Reinisch</w:t>
      </w:r>
      <w:r w:rsidRPr="00E72418">
        <w:rPr>
          <w:lang w:val="en-US"/>
        </w:rPr>
        <w:t xml:space="preserve"> et </w:t>
      </w:r>
      <w:r w:rsidRPr="00E72418">
        <w:rPr>
          <w:smallCaps/>
          <w:lang w:val="en-US"/>
        </w:rPr>
        <w:t>C. Binder</w:t>
      </w:r>
      <w:r w:rsidRPr="00E72418">
        <w:rPr>
          <w:lang w:val="en-US"/>
        </w:rPr>
        <w:t>, « Debts and State of Necessity »,</w:t>
      </w:r>
      <w:r w:rsidRPr="00E72418">
        <w:rPr>
          <w:i/>
          <w:lang w:val="en-US"/>
        </w:rPr>
        <w:t xml:space="preserve"> op. cit.</w:t>
      </w:r>
      <w:r w:rsidRPr="00E72418">
        <w:rPr>
          <w:lang w:val="en-US"/>
        </w:rPr>
        <w:t>, p. 126.</w:t>
      </w:r>
    </w:p>
  </w:footnote>
  <w:footnote w:id="1268">
    <w:p w14:paraId="6741F8BA" w14:textId="77777777" w:rsidR="0030147D" w:rsidRPr="00E72418" w:rsidRDefault="0030147D" w:rsidP="008567F3">
      <w:pPr>
        <w:pStyle w:val="Sansinterligne"/>
      </w:pPr>
      <w:r w:rsidRPr="00E72418">
        <w:rPr>
          <w:rStyle w:val="Appelnotedebasdep"/>
        </w:rPr>
        <w:footnoteRef/>
      </w:r>
      <w:r w:rsidRPr="00E72418">
        <w:t xml:space="preserve"> Comme le souligne Buchheit, « [s]overeign debt involves one group of people – the incumbent generation – borrowing money that must be paid by subsequent generation » (L. </w:t>
      </w:r>
      <w:r w:rsidRPr="00E72418">
        <w:rPr>
          <w:rFonts w:eastAsia="Times New Roman"/>
          <w:smallCaps/>
          <w:lang w:val="en-US" w:eastAsia="fr-BE"/>
        </w:rPr>
        <w:t>Buchheit, « </w:t>
      </w:r>
      <w:r w:rsidRPr="00E72418">
        <w:rPr>
          <w:rFonts w:eastAsia="Times New Roman"/>
          <w:lang w:val="en-US" w:eastAsia="fr-BE"/>
        </w:rPr>
        <w:t>Sovereign Debt in the Light of Eternity »</w:t>
      </w:r>
      <w:r w:rsidRPr="00E72418">
        <w:rPr>
          <w:rFonts w:eastAsia="Times New Roman"/>
          <w:smallCaps/>
          <w:lang w:val="en-US" w:eastAsia="fr-BE"/>
        </w:rPr>
        <w:t xml:space="preserve">, </w:t>
      </w:r>
      <w:r w:rsidRPr="00E72418">
        <w:rPr>
          <w:rFonts w:cs="Times New Roman"/>
          <w:i/>
          <w:szCs w:val="24"/>
          <w:lang w:val="en-US"/>
        </w:rPr>
        <w:t>op. cit.</w:t>
      </w:r>
      <w:r w:rsidRPr="00E72418">
        <w:rPr>
          <w:lang w:val="en-US"/>
        </w:rPr>
        <w:t>, p. 464).</w:t>
      </w:r>
    </w:p>
  </w:footnote>
  <w:footnote w:id="1269">
    <w:p w14:paraId="68EFE62A" w14:textId="0C5DE437" w:rsidR="0030147D" w:rsidRPr="00E72418" w:rsidRDefault="0030147D" w:rsidP="008567F3">
      <w:pPr>
        <w:pStyle w:val="Sansinterligne"/>
        <w:rPr>
          <w:rFonts w:ascii="Times New Roman" w:hAnsi="Times New Roman" w:cs="Times New Roman"/>
          <w:szCs w:val="20"/>
          <w:lang w:val="en-US"/>
        </w:rPr>
      </w:pPr>
      <w:r w:rsidRPr="00E72418">
        <w:rPr>
          <w:rStyle w:val="Titre5Car"/>
          <w:rFonts w:ascii="Times New Roman" w:eastAsiaTheme="minorHAnsi" w:hAnsi="Times New Roman" w:cs="Times New Roman"/>
          <w:color w:val="auto"/>
          <w:szCs w:val="20"/>
          <w:vertAlign w:val="superscript"/>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L. Buchheit</w:t>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M. Gulati</w:t>
      </w:r>
      <w:r w:rsidRPr="00E72418">
        <w:rPr>
          <w:rFonts w:ascii="Times New Roman" w:hAnsi="Times New Roman" w:cs="Times New Roman"/>
          <w:szCs w:val="20"/>
          <w:lang w:val="en-US"/>
        </w:rPr>
        <w:t xml:space="preserve"> et </w:t>
      </w:r>
      <w:r w:rsidRPr="00E72418">
        <w:rPr>
          <w:rFonts w:ascii="Times New Roman" w:hAnsi="Times New Roman" w:cs="Times New Roman"/>
          <w:smallCaps/>
          <w:szCs w:val="20"/>
          <w:lang w:val="en-US"/>
        </w:rPr>
        <w:t>R. Thompson</w:t>
      </w:r>
      <w:r w:rsidRPr="00E72418">
        <w:rPr>
          <w:rFonts w:ascii="Times New Roman" w:hAnsi="Times New Roman" w:cs="Times New Roman"/>
          <w:szCs w:val="20"/>
          <w:lang w:val="en-US"/>
        </w:rPr>
        <w:t xml:space="preserve">, « The Dilemma of Odious Debts », </w:t>
      </w:r>
      <w:r w:rsidRPr="00E72418">
        <w:rPr>
          <w:rFonts w:ascii="Times New Roman" w:hAnsi="Times New Roman" w:cs="Times New Roman"/>
          <w:i/>
          <w:szCs w:val="20"/>
          <w:lang w:val="en-US"/>
        </w:rPr>
        <w:t>Duke Law J.</w:t>
      </w:r>
      <w:r w:rsidRPr="00E72418">
        <w:rPr>
          <w:rFonts w:ascii="Times New Roman" w:hAnsi="Times New Roman" w:cs="Times New Roman"/>
          <w:szCs w:val="20"/>
          <w:lang w:val="en-US"/>
        </w:rPr>
        <w:t>, 2007, p. 1203.</w:t>
      </w:r>
    </w:p>
  </w:footnote>
  <w:footnote w:id="1270">
    <w:p w14:paraId="565DB6FE" w14:textId="6D013798" w:rsidR="0030147D" w:rsidRPr="00E72418" w:rsidRDefault="0030147D" w:rsidP="008567F3">
      <w:pPr>
        <w:pStyle w:val="Sansinterligne"/>
        <w:rPr>
          <w:rFonts w:ascii="Times New Roman" w:hAnsi="Times New Roman" w:cs="Times New Roman"/>
          <w:szCs w:val="20"/>
          <w:lang w:val="en-US"/>
        </w:rPr>
      </w:pPr>
      <w:r w:rsidRPr="00E72418">
        <w:rPr>
          <w:rStyle w:val="Titre5Car"/>
          <w:rFonts w:ascii="Times New Roman" w:eastAsiaTheme="minorHAnsi" w:hAnsi="Times New Roman" w:cs="Times New Roman"/>
          <w:color w:val="auto"/>
          <w:szCs w:val="20"/>
          <w:vertAlign w:val="superscript"/>
        </w:rPr>
        <w:footnoteRef/>
      </w:r>
      <w:r w:rsidRPr="00E72418">
        <w:rPr>
          <w:rFonts w:ascii="Times New Roman" w:hAnsi="Times New Roman" w:cs="Times New Roman"/>
          <w:szCs w:val="20"/>
          <w:lang w:val="en-US"/>
        </w:rPr>
        <w:t xml:space="preserve"> </w:t>
      </w:r>
      <w:r w:rsidRPr="00E72418">
        <w:rPr>
          <w:rFonts w:ascii="Times New Roman" w:hAnsi="Times New Roman" w:cs="Times New Roman"/>
          <w:smallCaps/>
          <w:szCs w:val="20"/>
          <w:lang w:val="en-US"/>
        </w:rPr>
        <w:t>L. Buchheit</w:t>
      </w:r>
      <w:r w:rsidRPr="00E72418">
        <w:rPr>
          <w:rFonts w:ascii="Times New Roman" w:hAnsi="Times New Roman" w:cs="Times New Roman"/>
          <w:szCs w:val="20"/>
          <w:lang w:val="en-US"/>
        </w:rPr>
        <w:t xml:space="preserve"> et </w:t>
      </w:r>
      <w:r w:rsidRPr="00E72418">
        <w:rPr>
          <w:rFonts w:ascii="Times New Roman" w:hAnsi="Times New Roman" w:cs="Times New Roman"/>
          <w:smallCaps/>
          <w:szCs w:val="20"/>
          <w:lang w:val="en-US"/>
        </w:rPr>
        <w:t>M. Gulati</w:t>
      </w:r>
      <w:r w:rsidRPr="00E72418">
        <w:rPr>
          <w:rFonts w:ascii="Times New Roman" w:hAnsi="Times New Roman" w:cs="Times New Roman"/>
          <w:szCs w:val="20"/>
          <w:lang w:val="en-US"/>
        </w:rPr>
        <w:t xml:space="preserve">, « Responsible Sovereign Lending and Borrowing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p. 69.</w:t>
      </w:r>
    </w:p>
  </w:footnote>
  <w:footnote w:id="1271">
    <w:p w14:paraId="64421107" w14:textId="0B47B499" w:rsidR="0030147D" w:rsidRPr="00E72418" w:rsidRDefault="0030147D" w:rsidP="008567F3">
      <w:pPr>
        <w:pStyle w:val="Sansinterligne"/>
        <w:rPr>
          <w:rFonts w:ascii="Times New Roman" w:hAnsi="Times New Roman" w:cs="Times New Roman"/>
          <w:szCs w:val="20"/>
        </w:rPr>
      </w:pPr>
      <w:r w:rsidRPr="00E72418">
        <w:rPr>
          <w:rStyle w:val="Titre5Car"/>
          <w:rFonts w:ascii="Times New Roman" w:eastAsiaTheme="minorHAnsi" w:hAnsi="Times New Roman" w:cs="Times New Roman"/>
          <w:color w:val="auto"/>
          <w:szCs w:val="20"/>
          <w:vertAlign w:val="superscript"/>
        </w:rPr>
        <w:footnoteRef/>
      </w:r>
      <w:r w:rsidRPr="00E72418">
        <w:rPr>
          <w:rStyle w:val="Titre7Car"/>
          <w:rFonts w:ascii="Times New Roman" w:eastAsiaTheme="minorHAnsi" w:hAnsi="Times New Roman" w:cs="Times New Roman"/>
          <w:i w:val="0"/>
          <w:iCs w:val="0"/>
          <w:color w:val="auto"/>
          <w:szCs w:val="20"/>
        </w:rPr>
        <w:t xml:space="preserve"> </w:t>
      </w:r>
      <w:r w:rsidRPr="00E72418">
        <w:rPr>
          <w:rStyle w:val="Titre7Car"/>
          <w:rFonts w:ascii="Times New Roman" w:eastAsiaTheme="minorHAnsi" w:hAnsi="Times New Roman" w:cs="Times New Roman"/>
          <w:i w:val="0"/>
          <w:iCs w:val="0"/>
          <w:smallCaps/>
          <w:color w:val="auto"/>
          <w:szCs w:val="20"/>
        </w:rPr>
        <w:t>D. Carreau</w:t>
      </w:r>
      <w:r w:rsidRPr="00E72418">
        <w:rPr>
          <w:rStyle w:val="Titre7Car"/>
          <w:rFonts w:ascii="Times New Roman" w:eastAsiaTheme="minorHAnsi" w:hAnsi="Times New Roman" w:cs="Times New Roman"/>
          <w:i w:val="0"/>
          <w:iCs w:val="0"/>
          <w:color w:val="auto"/>
          <w:szCs w:val="20"/>
        </w:rPr>
        <w:t xml:space="preserve"> et </w:t>
      </w:r>
      <w:r w:rsidRPr="00E72418">
        <w:rPr>
          <w:rStyle w:val="Titre7Car"/>
          <w:rFonts w:ascii="Times New Roman" w:eastAsiaTheme="minorHAnsi" w:hAnsi="Times New Roman" w:cs="Times New Roman"/>
          <w:i w:val="0"/>
          <w:iCs w:val="0"/>
          <w:smallCaps/>
          <w:color w:val="auto"/>
          <w:szCs w:val="20"/>
        </w:rPr>
        <w:t>C. Kleiner</w:t>
      </w:r>
      <w:r w:rsidRPr="00E72418">
        <w:rPr>
          <w:rStyle w:val="Titre7Car"/>
          <w:rFonts w:ascii="Times New Roman" w:eastAsiaTheme="minorHAnsi" w:hAnsi="Times New Roman" w:cs="Times New Roman"/>
          <w:i w:val="0"/>
          <w:iCs w:val="0"/>
          <w:color w:val="auto"/>
          <w:szCs w:val="20"/>
        </w:rPr>
        <w:t>, « Dettes d’</w:t>
      </w:r>
      <w:r w:rsidRPr="00E72418">
        <w:rPr>
          <w:rFonts w:ascii="Times New Roman" w:hAnsi="Times New Roman" w:cs="Times New Roman"/>
          <w:szCs w:val="20"/>
        </w:rPr>
        <w:t>É</w:t>
      </w:r>
      <w:r w:rsidRPr="00E72418">
        <w:rPr>
          <w:rStyle w:val="Titre7Car"/>
          <w:rFonts w:ascii="Times New Roman" w:eastAsiaTheme="minorHAnsi" w:hAnsi="Times New Roman" w:cs="Times New Roman"/>
          <w:i w:val="0"/>
          <w:iCs w:val="0"/>
          <w:color w:val="auto"/>
          <w:szCs w:val="20"/>
        </w:rPr>
        <w:t xml:space="preserve">tat », </w:t>
      </w:r>
      <w:r w:rsidRPr="00E72418">
        <w:rPr>
          <w:i/>
          <w:szCs w:val="20"/>
          <w:lang w:val="en-US"/>
        </w:rPr>
        <w:t>op. cit.</w:t>
      </w:r>
      <w:r w:rsidRPr="00E72418">
        <w:rPr>
          <w:rStyle w:val="Titre7Car"/>
          <w:rFonts w:ascii="Times New Roman" w:eastAsiaTheme="minorHAnsi" w:hAnsi="Times New Roman" w:cs="Times New Roman"/>
          <w:i w:val="0"/>
          <w:iCs w:val="0"/>
          <w:color w:val="auto"/>
          <w:szCs w:val="20"/>
        </w:rPr>
        <w:t>, n° 26.</w:t>
      </w:r>
    </w:p>
  </w:footnote>
  <w:footnote w:id="1272">
    <w:p w14:paraId="559422D1" w14:textId="77777777" w:rsidR="0030147D" w:rsidRPr="00E72418" w:rsidRDefault="0030147D" w:rsidP="008567F3">
      <w:pPr>
        <w:pStyle w:val="Sansinterligne"/>
        <w:rPr>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w:t>
      </w:r>
      <w:r w:rsidRPr="00E72418">
        <w:rPr>
          <w:rFonts w:ascii="Times New Roman" w:hAnsi="Times New Roman" w:cs="Times New Roman"/>
          <w:smallCaps/>
          <w:szCs w:val="20"/>
        </w:rPr>
        <w:t>A. Sack</w:t>
      </w:r>
      <w:r w:rsidRPr="00E72418">
        <w:rPr>
          <w:rFonts w:ascii="Times New Roman" w:hAnsi="Times New Roman" w:cs="Times New Roman"/>
          <w:szCs w:val="20"/>
        </w:rPr>
        <w:t xml:space="preserve">, </w:t>
      </w:r>
      <w:r w:rsidRPr="00E72418">
        <w:rPr>
          <w:rFonts w:ascii="Times New Roman" w:hAnsi="Times New Roman" w:cs="Times New Roman"/>
          <w:i/>
          <w:szCs w:val="20"/>
        </w:rPr>
        <w:t>Les effets des transformations des États sur leurs dettes publiques et autres obligations financières</w:t>
      </w:r>
      <w:r w:rsidRPr="00E72418">
        <w:rPr>
          <w:rFonts w:ascii="Times New Roman" w:hAnsi="Times New Roman" w:cs="Times New Roman"/>
          <w:szCs w:val="20"/>
        </w:rPr>
        <w:t>, Sirey, 1927, p. 157 (la police est reprise).</w:t>
      </w:r>
    </w:p>
  </w:footnote>
  <w:footnote w:id="1273">
    <w:p w14:paraId="2F088DA2" w14:textId="77777777"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p. 375.</w:t>
      </w:r>
    </w:p>
  </w:footnote>
  <w:footnote w:id="1274">
    <w:p w14:paraId="762E544B" w14:textId="4C0A9BF5"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526. L’auteure donne l’exemple du Libéria. Comme le note Olufunmilayo Arewa, « loans involving tyrants have in many instances facilitated repression by giving tyrants funds for purchases of weaponry intended for internal control purposes » (</w:t>
      </w:r>
      <w:r w:rsidRPr="00E72418">
        <w:rPr>
          <w:smallCaps/>
          <w:szCs w:val="20"/>
          <w:lang w:val="en-US"/>
        </w:rPr>
        <w:t>O. Arewa</w:t>
      </w:r>
      <w:r w:rsidRPr="00E72418">
        <w:rPr>
          <w:szCs w:val="20"/>
          <w:lang w:val="en-US"/>
        </w:rPr>
        <w:t xml:space="preserve">, « Vultures, Hyenas, and African Debt: Private Equity and Zambia », </w:t>
      </w:r>
      <w:r w:rsidRPr="00E72418">
        <w:rPr>
          <w:i/>
          <w:szCs w:val="20"/>
          <w:lang w:val="en-US"/>
        </w:rPr>
        <w:t>op. cit.</w:t>
      </w:r>
      <w:r w:rsidRPr="00E72418">
        <w:rPr>
          <w:szCs w:val="20"/>
          <w:lang w:val="en-US"/>
        </w:rPr>
        <w:t>, p. 668). Plus généralement, l’auteure note que « [t]he widespread presence of tyranny in Africa raises significant issues of consent in contexts of commercial transactions that are far too often ignored » (</w:t>
      </w:r>
      <w:r w:rsidRPr="00E72418">
        <w:rPr>
          <w:i/>
          <w:szCs w:val="20"/>
          <w:lang w:val="en-US"/>
        </w:rPr>
        <w:t>ibid.</w:t>
      </w:r>
      <w:r w:rsidRPr="00E72418">
        <w:rPr>
          <w:szCs w:val="20"/>
          <w:lang w:val="en-US"/>
        </w:rPr>
        <w:t xml:space="preserve">, p. 653). Par exemple, un conseiller du président zambien fit valoir au sujet du contentieux opposant le pays à la société </w:t>
      </w:r>
      <w:r w:rsidRPr="00E72418">
        <w:rPr>
          <w:i/>
          <w:szCs w:val="20"/>
          <w:lang w:val="en-US"/>
        </w:rPr>
        <w:t>Donegal International Ltd.</w:t>
      </w:r>
      <w:r w:rsidRPr="00E72418">
        <w:rPr>
          <w:szCs w:val="20"/>
          <w:lang w:val="en-US"/>
        </w:rPr>
        <w:t xml:space="preserve"> que « [w]hile the repayment might be legal, it arose from debts accrued when the country was under an undemocratic system. The Zambians at that time did not even have the capacity to know this was happening and that is probably what brings in this issue of unfairness. </w:t>
      </w:r>
      <w:r w:rsidRPr="00E72418">
        <w:rPr>
          <w:szCs w:val="20"/>
        </w:rPr>
        <w:t xml:space="preserve">The consequences of the debt are impacting on the people of Zambia » (propos repris in proposition belge de résolution visant à limiter l’impact des « fonds vautours » sur l’allègement de la dette des pays du tiers-monde, développements, Sénat, </w:t>
      </w:r>
      <w:r w:rsidRPr="00E72418">
        <w:rPr>
          <w:i/>
          <w:szCs w:val="20"/>
        </w:rPr>
        <w:t>Doc. parl.</w:t>
      </w:r>
      <w:r w:rsidRPr="00E72418">
        <w:rPr>
          <w:szCs w:val="20"/>
        </w:rPr>
        <w:t xml:space="preserve">, sess. ex. 2007, doc. 4 244/1, p. 2). Sur ce conflit, voyez </w:t>
      </w:r>
      <w:r w:rsidR="00372DFE">
        <w:rPr>
          <w:i/>
          <w:szCs w:val="20"/>
        </w:rPr>
        <w:t>supra</w:t>
      </w:r>
      <w:r w:rsidRPr="00E72418">
        <w:rPr>
          <w:i/>
          <w:szCs w:val="20"/>
        </w:rPr>
        <w:t xml:space="preserve"> </w:t>
      </w:r>
      <w:r w:rsidRPr="00E72418">
        <w:rPr>
          <w:szCs w:val="20"/>
        </w:rPr>
        <w:t>n</w:t>
      </w:r>
      <w:r w:rsidRPr="00E72418">
        <w:rPr>
          <w:szCs w:val="20"/>
          <w:vertAlign w:val="superscript"/>
        </w:rPr>
        <w:t>os</w:t>
      </w:r>
      <w:r w:rsidRPr="00E72418">
        <w:rPr>
          <w:szCs w:val="20"/>
        </w:rPr>
        <w:t xml:space="preserve"> 104 et suiv.</w:t>
      </w:r>
    </w:p>
  </w:footnote>
  <w:footnote w:id="1275">
    <w:p w14:paraId="6A64B648" w14:textId="77777777" w:rsidR="0030147D" w:rsidRPr="00E72418" w:rsidRDefault="0030147D" w:rsidP="008567F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2Car"/>
          <w:rFonts w:ascii="Times" w:eastAsiaTheme="minorHAnsi" w:hAnsi="Times" w:cstheme="minorBidi"/>
          <w:color w:val="auto"/>
          <w:sz w:val="20"/>
          <w:szCs w:val="20"/>
        </w:rPr>
        <w:t xml:space="preserve">Parlement européen, </w:t>
      </w:r>
      <w:r w:rsidRPr="00E72418">
        <w:rPr>
          <w:i/>
          <w:szCs w:val="20"/>
        </w:rPr>
        <w:t>Résolution</w:t>
      </w:r>
      <w:r w:rsidRPr="00E72418">
        <w:rPr>
          <w:rStyle w:val="Titre2Car"/>
          <w:rFonts w:ascii="Times" w:eastAsiaTheme="minorHAnsi" w:hAnsi="Times" w:cstheme="minorBidi"/>
          <w:i/>
          <w:color w:val="auto"/>
          <w:sz w:val="20"/>
          <w:szCs w:val="20"/>
        </w:rPr>
        <w:t xml:space="preserve"> sur l’amélioration de la viabilité de la dette des pays en développement</w:t>
      </w:r>
      <w:r w:rsidRPr="00E72418">
        <w:rPr>
          <w:rStyle w:val="Titre2Car"/>
          <w:rFonts w:ascii="Times" w:eastAsiaTheme="minorHAnsi" w:hAnsi="Times" w:cstheme="minorBidi"/>
          <w:color w:val="auto"/>
          <w:sz w:val="20"/>
          <w:szCs w:val="20"/>
        </w:rPr>
        <w:t xml:space="preserve">, </w:t>
      </w:r>
      <w:r w:rsidRPr="00E72418">
        <w:rPr>
          <w:rStyle w:val="Titre5Car"/>
          <w:rFonts w:ascii="Times" w:eastAsiaTheme="minorHAnsi" w:hAnsi="Times" w:cstheme="minorBidi"/>
          <w:color w:val="auto"/>
          <w:szCs w:val="20"/>
        </w:rPr>
        <w:t xml:space="preserve">17 avril 2018, </w:t>
      </w:r>
      <w:r w:rsidRPr="00E72418">
        <w:rPr>
          <w:rStyle w:val="Titre2Car"/>
          <w:rFonts w:ascii="Times" w:eastAsiaTheme="minorHAnsi" w:hAnsi="Times" w:cstheme="minorBidi"/>
          <w:color w:val="auto"/>
          <w:sz w:val="20"/>
          <w:szCs w:val="20"/>
        </w:rPr>
        <w:t>2016/2241(INI), considérant V.</w:t>
      </w:r>
    </w:p>
  </w:footnote>
  <w:footnote w:id="1276">
    <w:p w14:paraId="34B1DDDF" w14:textId="2ABC588D" w:rsidR="0030147D" w:rsidRPr="00E72418" w:rsidRDefault="0030147D" w:rsidP="008567F3">
      <w:pPr>
        <w:pStyle w:val="Sansinterligne"/>
        <w:rPr>
          <w:szCs w:val="20"/>
        </w:rPr>
      </w:pPr>
      <w:r w:rsidRPr="00E72418">
        <w:rPr>
          <w:rStyle w:val="Appelnotedebasdep"/>
          <w:szCs w:val="20"/>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n° 26 et J.</w:t>
      </w:r>
      <w:r w:rsidRPr="00E72418">
        <w:t xml:space="preserve"> </w:t>
      </w:r>
      <w:r w:rsidRPr="00E72418">
        <w:rPr>
          <w:smallCaps/>
        </w:rPr>
        <w:t xml:space="preserve">King, </w:t>
      </w:r>
      <w:r w:rsidRPr="00E72418">
        <w:rPr>
          <w:i/>
        </w:rPr>
        <w:t>The Doctrine of Odious Debt in International Law</w:t>
      </w:r>
      <w:r w:rsidRPr="00E72418">
        <w:rPr>
          <w:smallCaps/>
        </w:rPr>
        <w:t xml:space="preserve">, </w:t>
      </w:r>
      <w:r w:rsidRPr="00E72418">
        <w:t xml:space="preserve">Cambridge University Press, </w:t>
      </w:r>
      <w:r w:rsidRPr="00E72418">
        <w:rPr>
          <w:smallCaps/>
        </w:rPr>
        <w:t xml:space="preserve">2016, </w:t>
      </w:r>
      <w:r w:rsidRPr="00E72418">
        <w:t>pp. 52 et 53.</w:t>
      </w:r>
    </w:p>
  </w:footnote>
  <w:footnote w:id="1277">
    <w:p w14:paraId="26997534" w14:textId="77777777"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 526.</w:t>
      </w:r>
    </w:p>
  </w:footnote>
  <w:footnote w:id="1278">
    <w:p w14:paraId="6832006A" w14:textId="75F228F1" w:rsidR="0030147D" w:rsidRPr="00E72418" w:rsidRDefault="0030147D" w:rsidP="008567F3">
      <w:pPr>
        <w:pStyle w:val="Sansinterligne"/>
        <w:rPr>
          <w:szCs w:val="20"/>
        </w:rPr>
      </w:pPr>
      <w:r w:rsidRPr="00E72418">
        <w:rPr>
          <w:rStyle w:val="Appelnotedebasdep"/>
          <w:szCs w:val="20"/>
        </w:rPr>
        <w:footnoteRef/>
      </w:r>
      <w:r w:rsidRPr="00E72418">
        <w:rPr>
          <w:szCs w:val="20"/>
        </w:rPr>
        <w:t xml:space="preserve"> </w:t>
      </w:r>
      <w:r w:rsidRPr="00E72418">
        <w:rPr>
          <w:smallCaps/>
          <w:szCs w:val="20"/>
        </w:rPr>
        <w:t>M. Audit</w:t>
      </w:r>
      <w:r w:rsidRPr="00E72418">
        <w:rPr>
          <w:szCs w:val="20"/>
        </w:rPr>
        <w:t xml:space="preserve">, « La dette souveraine appelle-t-elle un statut juridique particulier ? », </w:t>
      </w:r>
      <w:r w:rsidRPr="00E72418">
        <w:rPr>
          <w:i/>
          <w:szCs w:val="20"/>
        </w:rPr>
        <w:t>op. cit.</w:t>
      </w:r>
      <w:r w:rsidRPr="00E72418">
        <w:rPr>
          <w:szCs w:val="20"/>
        </w:rPr>
        <w:t xml:space="preserve">, p. 79. </w:t>
      </w:r>
      <w:r w:rsidRPr="00E72418">
        <w:rPr>
          <w:lang w:val="en-US"/>
        </w:rPr>
        <w:t xml:space="preserve">Sur la mobilisation de l’argument dans le contexte iraquien post-Hussein, voyez </w:t>
      </w:r>
      <w:r w:rsidRPr="00E72418">
        <w:t xml:space="preserve">O. </w:t>
      </w:r>
      <w:r w:rsidRPr="00E72418">
        <w:rPr>
          <w:rFonts w:cs="Times New Roman"/>
          <w:smallCaps/>
          <w:szCs w:val="24"/>
          <w:shd w:val="clear" w:color="auto" w:fill="FFFFFF"/>
          <w:lang w:val="en-US"/>
        </w:rPr>
        <w:t xml:space="preserve">Lienau, </w:t>
      </w:r>
      <w:r w:rsidRPr="00E72418">
        <w:rPr>
          <w:rFonts w:cs="Times New Roman"/>
          <w:i/>
          <w:szCs w:val="24"/>
          <w:lang w:val="en-US"/>
        </w:rPr>
        <w:t xml:space="preserve">Rethinking Sovereign Debt </w:t>
      </w:r>
      <w:r w:rsidRPr="00E72418">
        <w:rPr>
          <w:b/>
          <w:i/>
          <w:szCs w:val="20"/>
        </w:rPr>
        <w:t>–</w:t>
      </w:r>
      <w:r w:rsidRPr="00E72418">
        <w:rPr>
          <w:rFonts w:cs="Times New Roman"/>
          <w:i/>
          <w:szCs w:val="24"/>
          <w:lang w:val="en-US"/>
        </w:rPr>
        <w:t xml:space="preserve"> Politics, Reputation, and Legitimacy in Modern Finance</w:t>
      </w:r>
      <w:r w:rsidRPr="00E72418">
        <w:rPr>
          <w:rFonts w:cs="Times New Roman"/>
          <w:szCs w:val="24"/>
          <w:lang w:val="en-US"/>
        </w:rPr>
        <w:t xml:space="preserve">, </w:t>
      </w:r>
      <w:r w:rsidRPr="00E72418">
        <w:rPr>
          <w:rFonts w:cs="Times New Roman"/>
          <w:i/>
          <w:szCs w:val="24"/>
          <w:lang w:val="en-US"/>
        </w:rPr>
        <w:t>op. cit.</w:t>
      </w:r>
      <w:r w:rsidRPr="00E72418">
        <w:rPr>
          <w:rFonts w:cs="Times New Roman"/>
          <w:szCs w:val="24"/>
          <w:shd w:val="clear" w:color="auto" w:fill="FFFFFF"/>
          <w:lang w:val="en-US"/>
        </w:rPr>
        <w:t>, pp. 210 à 215.</w:t>
      </w:r>
    </w:p>
  </w:footnote>
  <w:footnote w:id="1279">
    <w:p w14:paraId="6146C902" w14:textId="29159453" w:rsidR="0030147D" w:rsidRPr="00E72418" w:rsidRDefault="0030147D" w:rsidP="008567F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D. Carreau</w:t>
      </w:r>
      <w:r w:rsidRPr="00E72418">
        <w:rPr>
          <w:szCs w:val="20"/>
        </w:rPr>
        <w:t xml:space="preserve"> et </w:t>
      </w:r>
      <w:r w:rsidRPr="00E72418">
        <w:rPr>
          <w:smallCaps/>
          <w:szCs w:val="20"/>
        </w:rPr>
        <w:t>C. Kleiner</w:t>
      </w:r>
      <w:r w:rsidRPr="00E72418">
        <w:rPr>
          <w:szCs w:val="20"/>
        </w:rPr>
        <w:t xml:space="preserve">, « Dettes d’État », </w:t>
      </w:r>
      <w:r w:rsidRPr="00E72418">
        <w:rPr>
          <w:i/>
          <w:szCs w:val="20"/>
          <w:lang w:val="en-US"/>
        </w:rPr>
        <w:t>op. cit.</w:t>
      </w:r>
      <w:r w:rsidRPr="00E72418">
        <w:rPr>
          <w:szCs w:val="20"/>
        </w:rPr>
        <w:t>, n° 26.</w:t>
      </w:r>
    </w:p>
  </w:footnote>
  <w:footnote w:id="1280">
    <w:p w14:paraId="739A3E25" w14:textId="77777777" w:rsidR="0030147D" w:rsidRPr="00E72418" w:rsidRDefault="0030147D" w:rsidP="008567F3">
      <w:pPr>
        <w:pStyle w:val="Sansinterligne"/>
      </w:pPr>
      <w:r w:rsidRPr="00E72418">
        <w:rPr>
          <w:rStyle w:val="Appelnotedebasdep"/>
        </w:rPr>
        <w:footnoteRef/>
      </w:r>
      <w:r w:rsidRPr="00E72418">
        <w:t xml:space="preserve"> R. </w:t>
      </w:r>
      <w:r w:rsidRPr="00E72418">
        <w:rPr>
          <w:smallCaps/>
        </w:rPr>
        <w:t>Howse</w:t>
      </w:r>
      <w:r w:rsidRPr="00E72418">
        <w:t>, « The Concept of Odious Debt in Public International Law », Discussion papers – United Nations Conference on Trade and Development, UNCTAD/OSG/DP/2007/4, juillet 2007, p. 21.</w:t>
      </w:r>
    </w:p>
  </w:footnote>
  <w:footnote w:id="1281">
    <w:p w14:paraId="7F4F0B45" w14:textId="23A9E797" w:rsidR="0030147D" w:rsidRPr="00E72418" w:rsidRDefault="0030147D" w:rsidP="008567F3">
      <w:pPr>
        <w:pStyle w:val="Sansinterligne"/>
        <w:rPr>
          <w:rFonts w:cs="Times New Roman"/>
          <w:lang w:val="fr-FR"/>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O. Arewa</w:t>
      </w:r>
      <w:r w:rsidRPr="00E72418">
        <w:rPr>
          <w:szCs w:val="20"/>
          <w:lang w:val="en-US"/>
        </w:rPr>
        <w:t xml:space="preserve">, « Vultures, Hyenas, and African Debt: Private Equity and Zambia », </w:t>
      </w:r>
      <w:r w:rsidRPr="00E72418">
        <w:rPr>
          <w:i/>
          <w:szCs w:val="20"/>
          <w:lang w:val="en-US"/>
        </w:rPr>
        <w:t>op. cit.</w:t>
      </w:r>
      <w:r w:rsidRPr="00E72418">
        <w:rPr>
          <w:szCs w:val="20"/>
          <w:lang w:val="en-US"/>
        </w:rPr>
        <w:t xml:space="preserve">, p. 668. </w:t>
      </w:r>
      <w:r w:rsidRPr="00E72418">
        <w:t>La Conférence des Nations Unies sur le commerce et le développement consacre en quelque sorte l’argument en reprenant comme implication au neuvième principe pour l’octroi de prêts et la souscription d’emprunts souverains responsables que « </w:t>
      </w:r>
      <w:r w:rsidRPr="00E72418">
        <w:rPr>
          <w:rFonts w:cs="Times"/>
        </w:rPr>
        <w:t>[d]</w:t>
      </w:r>
      <w:r w:rsidRPr="00E72418">
        <w:t>ans certains cas, les circonstances qui entourent un prêt souverain peuvent constituer des motifs de défense juridique relatifs à l’exécution du contrat par l’emprunteur souverain » et que « </w:t>
      </w:r>
      <w:r w:rsidRPr="00E72418">
        <w:rPr>
          <w:rFonts w:cs="Times"/>
        </w:rPr>
        <w:t>[l]</w:t>
      </w:r>
      <w:r w:rsidRPr="00E72418">
        <w:t xml:space="preserve">a complicité du créancier dans la corruption de représentants du gouvernement en est une » </w:t>
      </w:r>
      <w:r w:rsidRPr="00E72418">
        <w:rPr>
          <w:szCs w:val="20"/>
        </w:rPr>
        <w:t xml:space="preserve">(Conférence des Nations Unies sur le commerce et le développement, </w:t>
      </w:r>
      <w:r w:rsidRPr="00E72418">
        <w:rPr>
          <w:i/>
          <w:szCs w:val="20"/>
        </w:rPr>
        <w:t>Principes pour l’octroi de prêts et la souscription d’emprunts souverains responsables</w:t>
      </w:r>
      <w:r w:rsidRPr="00E72418">
        <w:rPr>
          <w:szCs w:val="20"/>
        </w:rPr>
        <w:t>, neuvième principe, janvier 2012).</w:t>
      </w:r>
    </w:p>
  </w:footnote>
  <w:footnote w:id="1282">
    <w:p w14:paraId="167063C2" w14:textId="72C99E06"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O. Arewa</w:t>
      </w:r>
      <w:r w:rsidRPr="00E72418">
        <w:rPr>
          <w:szCs w:val="20"/>
          <w:lang w:val="en-US"/>
        </w:rPr>
        <w:t xml:space="preserve">, « Vultures, Hyenas, and African Debt: Private Equity and Zambia », </w:t>
      </w:r>
      <w:r w:rsidRPr="00E72418">
        <w:rPr>
          <w:i/>
          <w:szCs w:val="20"/>
          <w:lang w:val="en-US"/>
        </w:rPr>
        <w:t>op. cit.</w:t>
      </w:r>
      <w:r w:rsidRPr="00E72418">
        <w:rPr>
          <w:szCs w:val="20"/>
          <w:lang w:val="en-US"/>
        </w:rPr>
        <w:t xml:space="preserve">, p. 669. D’aucuns affirment encore que </w:t>
      </w:r>
      <w:r w:rsidRPr="00E72418">
        <w:rPr>
          <w:szCs w:val="20"/>
        </w:rPr>
        <w:t>les seules les portions « légitimes » des dettes seraient récupérables (</w:t>
      </w:r>
      <w:r w:rsidRPr="00E72418">
        <w:rPr>
          <w:smallCaps/>
          <w:szCs w:val="20"/>
        </w:rPr>
        <w:t>J.-M. Kilolo-Malambwe</w:t>
      </w:r>
      <w:r w:rsidRPr="00E72418">
        <w:rPr>
          <w:szCs w:val="20"/>
        </w:rPr>
        <w:t xml:space="preserve">, « L’Afrique, un terrain fertile aux activités des fonds vautours ? », </w:t>
      </w:r>
      <w:r w:rsidRPr="00E72418">
        <w:rPr>
          <w:i/>
          <w:szCs w:val="20"/>
        </w:rPr>
        <w:t>Dounia</w:t>
      </w:r>
      <w:r w:rsidRPr="00E72418">
        <w:rPr>
          <w:szCs w:val="20"/>
        </w:rPr>
        <w:t>, 2012, p. 39).</w:t>
      </w:r>
    </w:p>
  </w:footnote>
  <w:footnote w:id="1283">
    <w:p w14:paraId="70AFCF88" w14:textId="77777777"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O. Arewa</w:t>
      </w:r>
      <w:r w:rsidRPr="00E72418">
        <w:rPr>
          <w:szCs w:val="20"/>
          <w:lang w:val="en-US"/>
        </w:rPr>
        <w:t xml:space="preserve">, « Vultures, Hyenas, and African Debt: Private Equity and Zambia », </w:t>
      </w:r>
      <w:r w:rsidRPr="00E72418">
        <w:rPr>
          <w:i/>
          <w:szCs w:val="20"/>
          <w:lang w:val="en-US"/>
        </w:rPr>
        <w:t>op. cit.</w:t>
      </w:r>
      <w:r w:rsidRPr="00E72418">
        <w:rPr>
          <w:szCs w:val="20"/>
          <w:lang w:val="en-US"/>
        </w:rPr>
        <w:t>, p. 663.</w:t>
      </w:r>
    </w:p>
  </w:footnote>
  <w:footnote w:id="1284">
    <w:p w14:paraId="23B98E3E" w14:textId="1CE16222"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S. Scott</w:t>
      </w:r>
      <w:r w:rsidRPr="00E72418">
        <w:rPr>
          <w:szCs w:val="20"/>
        </w:rPr>
        <w:t xml:space="preserve">, « Vultures, debt and desire: the vulture metaphor and Argentina’s sovereign debt crisis », </w:t>
      </w:r>
      <w:r w:rsidRPr="00E72418">
        <w:rPr>
          <w:i/>
          <w:szCs w:val="20"/>
        </w:rPr>
        <w:t>op. cit.</w:t>
      </w:r>
      <w:r w:rsidRPr="00E72418">
        <w:rPr>
          <w:szCs w:val="20"/>
        </w:rPr>
        <w:t xml:space="preserve">, p. 9. </w:t>
      </w:r>
      <w:r w:rsidRPr="00E72418">
        <w:rPr>
          <w:szCs w:val="20"/>
          <w:lang w:val="en-US"/>
        </w:rPr>
        <w:t xml:space="preserve">Voyez également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 5 : « [a] bold, but controversial step in fighting off vulture funds is addressing the illegitimate character of the sovereign debt ».</w:t>
      </w:r>
    </w:p>
  </w:footnote>
  <w:footnote w:id="1285">
    <w:p w14:paraId="2092A17D" w14:textId="1447BBE9" w:rsidR="0030147D" w:rsidRPr="00E72418" w:rsidRDefault="0030147D" w:rsidP="008567F3">
      <w:pPr>
        <w:pStyle w:val="Sansinterligne"/>
      </w:pPr>
      <w:r w:rsidRPr="00E72418">
        <w:rPr>
          <w:rStyle w:val="Appelnotedebasdep"/>
        </w:rPr>
        <w:footnoteRef/>
      </w:r>
      <w:r w:rsidRPr="00E72418">
        <w:t xml:space="preserve"> Le </w:t>
      </w:r>
      <w:r w:rsidRPr="00E72418">
        <w:rPr>
          <w:rFonts w:cs="Times New Roman"/>
        </w:rPr>
        <w:t>Comité consultatif du Conseil des droits de l’homme des Nations Unies</w:t>
      </w:r>
      <w:r w:rsidRPr="00E72418">
        <w:t xml:space="preserve"> retient que « le fait de chercher à obtenir le remboursement intégral d’une dette souveraine auprès d’un pays qui a déjà fait défaut sur sa dette ou qui est proche du défaut de paiement est un objectif illégitime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19</w:t>
      </w:r>
      <w:r w:rsidRPr="00E72418">
        <w:t xml:space="preserve">). Voyez la mobilisation de cet argument dans la partie prospective de notre thèse, </w:t>
      </w:r>
      <w:r w:rsidRPr="00E72418">
        <w:rPr>
          <w:i/>
        </w:rPr>
        <w:t>infra</w:t>
      </w:r>
      <w:r>
        <w:t xml:space="preserve"> n° 417</w:t>
      </w:r>
      <w:r w:rsidRPr="00E72418">
        <w:t>.</w:t>
      </w:r>
    </w:p>
  </w:footnote>
  <w:footnote w:id="1286">
    <w:p w14:paraId="3449FE65" w14:textId="54BE3E30" w:rsidR="0030147D" w:rsidRPr="00E72418" w:rsidRDefault="0030147D" w:rsidP="00F177C1">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S. Hagan</w:t>
      </w:r>
      <w:r w:rsidRPr="00E72418">
        <w:t xml:space="preserve">, « The IMF’s Role in a Post-Conflict Situation », </w:t>
      </w:r>
      <w:r w:rsidRPr="00E72418">
        <w:rPr>
          <w:rFonts w:ascii="Times New Roman" w:hAnsi="Times New Roman" w:cs="Times New Roman"/>
          <w:i/>
        </w:rPr>
        <w:t>Case West Reserve J. Int. Law</w:t>
      </w:r>
      <w:r w:rsidRPr="00E72418">
        <w:t>, 2006, p. 60.</w:t>
      </w:r>
    </w:p>
  </w:footnote>
  <w:footnote w:id="1287">
    <w:p w14:paraId="15B13532" w14:textId="77777777" w:rsidR="0030147D" w:rsidRPr="00E72418" w:rsidRDefault="0030147D" w:rsidP="008567F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2Car"/>
          <w:rFonts w:ascii="Times" w:eastAsiaTheme="minorHAnsi" w:hAnsi="Times" w:cstheme="minorBidi"/>
          <w:color w:val="auto"/>
          <w:sz w:val="20"/>
          <w:szCs w:val="20"/>
        </w:rPr>
        <w:t xml:space="preserve">Parlement européen, </w:t>
      </w:r>
      <w:r w:rsidRPr="00E72418">
        <w:rPr>
          <w:i/>
          <w:szCs w:val="20"/>
        </w:rPr>
        <w:t>Résolution</w:t>
      </w:r>
      <w:r w:rsidRPr="00E72418">
        <w:rPr>
          <w:rStyle w:val="Titre2Car"/>
          <w:rFonts w:ascii="Times" w:eastAsiaTheme="minorHAnsi" w:hAnsi="Times" w:cstheme="minorBidi"/>
          <w:i/>
          <w:color w:val="auto"/>
          <w:sz w:val="20"/>
          <w:szCs w:val="20"/>
        </w:rPr>
        <w:t xml:space="preserve"> sur l’amélioration de la viabilité de la dette des pays en développement</w:t>
      </w:r>
      <w:r w:rsidRPr="00E72418">
        <w:rPr>
          <w:rStyle w:val="Titre2Car"/>
          <w:rFonts w:ascii="Times" w:eastAsiaTheme="minorHAnsi" w:hAnsi="Times" w:cstheme="minorBidi"/>
          <w:color w:val="auto"/>
          <w:sz w:val="20"/>
          <w:szCs w:val="20"/>
        </w:rPr>
        <w:t xml:space="preserve">, </w:t>
      </w:r>
      <w:r w:rsidRPr="00E72418">
        <w:rPr>
          <w:rStyle w:val="Titre5Car"/>
          <w:rFonts w:ascii="Times" w:eastAsiaTheme="minorHAnsi" w:hAnsi="Times" w:cstheme="minorBidi"/>
          <w:color w:val="auto"/>
          <w:szCs w:val="20"/>
        </w:rPr>
        <w:t xml:space="preserve">17 avril 2018, </w:t>
      </w:r>
      <w:r w:rsidRPr="00E72418">
        <w:rPr>
          <w:rStyle w:val="Titre2Car"/>
          <w:rFonts w:ascii="Times" w:eastAsiaTheme="minorHAnsi" w:hAnsi="Times" w:cstheme="minorBidi"/>
          <w:color w:val="auto"/>
          <w:sz w:val="20"/>
          <w:szCs w:val="20"/>
        </w:rPr>
        <w:t xml:space="preserve">2016/2241(INI), considérants T et V. </w:t>
      </w:r>
      <w:r w:rsidRPr="00E72418">
        <w:rPr>
          <w:szCs w:val="20"/>
        </w:rPr>
        <w:t>Quoi qu’il en soit, il demande l’élaboration d’une réglementation visant à prévenir l’octroi de prêts à des gouvernements manifestement corrompus et à sanctionner tout créancier leur octroyant des prêts en connaissance de cause (</w:t>
      </w:r>
      <w:r w:rsidRPr="00E72418">
        <w:rPr>
          <w:rStyle w:val="Titre2Car"/>
          <w:rFonts w:ascii="Times" w:eastAsiaTheme="minorHAnsi" w:hAnsi="Times" w:cstheme="minorBidi"/>
          <w:i/>
          <w:color w:val="auto"/>
          <w:sz w:val="20"/>
          <w:szCs w:val="20"/>
        </w:rPr>
        <w:t>ibid.</w:t>
      </w:r>
      <w:r w:rsidRPr="00E72418">
        <w:rPr>
          <w:rStyle w:val="Titre2Car"/>
          <w:rFonts w:ascii="Times" w:eastAsiaTheme="minorHAnsi" w:hAnsi="Times" w:cstheme="minorBidi"/>
          <w:color w:val="auto"/>
          <w:sz w:val="20"/>
          <w:szCs w:val="20"/>
        </w:rPr>
        <w:t>, point 16).</w:t>
      </w:r>
    </w:p>
  </w:footnote>
  <w:footnote w:id="1288">
    <w:p w14:paraId="4A528419" w14:textId="77777777" w:rsidR="0030147D" w:rsidRPr="00E72418" w:rsidRDefault="0030147D" w:rsidP="008567F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2Car"/>
          <w:rFonts w:ascii="Times" w:eastAsiaTheme="minorHAnsi" w:hAnsi="Times" w:cstheme="minorBidi"/>
          <w:i/>
          <w:color w:val="auto"/>
          <w:sz w:val="20"/>
          <w:szCs w:val="20"/>
        </w:rPr>
        <w:t>Ibid.</w:t>
      </w:r>
      <w:r w:rsidRPr="00E72418">
        <w:rPr>
          <w:rStyle w:val="Titre2Car"/>
          <w:rFonts w:ascii="Times" w:eastAsiaTheme="minorHAnsi" w:hAnsi="Times" w:cstheme="minorBidi"/>
          <w:color w:val="auto"/>
          <w:sz w:val="20"/>
          <w:szCs w:val="20"/>
        </w:rPr>
        <w:t>, point 29.</w:t>
      </w:r>
    </w:p>
  </w:footnote>
  <w:footnote w:id="1289">
    <w:p w14:paraId="5AA2911E" w14:textId="77777777" w:rsidR="0030147D" w:rsidRPr="00E72418" w:rsidRDefault="0030147D" w:rsidP="008567F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2Car"/>
          <w:rFonts w:ascii="Times" w:eastAsiaTheme="minorHAnsi" w:hAnsi="Times" w:cstheme="minorBidi"/>
          <w:i/>
          <w:color w:val="auto"/>
          <w:sz w:val="20"/>
          <w:szCs w:val="20"/>
        </w:rPr>
        <w:t>Ibid.</w:t>
      </w:r>
      <w:r w:rsidRPr="00E72418">
        <w:rPr>
          <w:rStyle w:val="Titre2Car"/>
          <w:rFonts w:ascii="Times" w:eastAsiaTheme="minorHAnsi" w:hAnsi="Times" w:cstheme="minorBidi"/>
          <w:color w:val="auto"/>
          <w:sz w:val="20"/>
          <w:szCs w:val="20"/>
        </w:rPr>
        <w:t xml:space="preserve">, point 36. </w:t>
      </w:r>
      <w:r w:rsidRPr="00E72418">
        <w:rPr>
          <w:rStyle w:val="Titre2Car"/>
          <w:rFonts w:ascii="Times" w:eastAsiaTheme="minorHAnsi" w:hAnsi="Times" w:cstheme="minorBidi"/>
          <w:color w:val="auto"/>
          <w:sz w:val="20"/>
          <w:szCs w:val="20"/>
          <w:lang w:val="en-US"/>
        </w:rPr>
        <w:t xml:space="preserve">Comme l’expliquent </w:t>
      </w:r>
      <w:r w:rsidRPr="00E72418">
        <w:rPr>
          <w:szCs w:val="20"/>
          <w:lang w:val="en-US"/>
        </w:rPr>
        <w:t>Leentje Sourbron et Lode Vereeck</w:t>
      </w:r>
      <w:r w:rsidRPr="00E72418">
        <w:rPr>
          <w:rStyle w:val="Titre2Car"/>
          <w:rFonts w:ascii="Times" w:eastAsiaTheme="minorHAnsi" w:hAnsi="Times" w:cstheme="minorBidi"/>
          <w:color w:val="auto"/>
          <w:sz w:val="20"/>
          <w:szCs w:val="20"/>
          <w:lang w:val="en-US"/>
        </w:rPr>
        <w:t>, « </w:t>
      </w:r>
      <w:r w:rsidRPr="00E72418">
        <w:rPr>
          <w:szCs w:val="20"/>
          <w:lang w:val="en-US"/>
        </w:rPr>
        <w:t>[s]ince a nation’s budget is a law that authorizes the government to tax, spend and borrow, it requires parliamentary approval. Without the latter’s consent, the financial activities of the government are illegal. A public audit of a nation’s loans should assess whether the debt issuance was illegitimate or illegal, which would destroy the value of the bonds »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pp. 5 et 6).</w:t>
      </w:r>
    </w:p>
  </w:footnote>
  <w:footnote w:id="1290">
    <w:p w14:paraId="29A6042A" w14:textId="77777777" w:rsidR="0030147D" w:rsidRPr="00E72418" w:rsidRDefault="0030147D" w:rsidP="008567F3">
      <w:pPr>
        <w:pStyle w:val="Sansinterligne"/>
      </w:pPr>
      <w:r w:rsidRPr="00E72418">
        <w:rPr>
          <w:rStyle w:val="Appelnotedebasdep"/>
        </w:rPr>
        <w:footnoteRef/>
      </w:r>
      <w:r w:rsidRPr="00E72418">
        <w:t xml:space="preserve"> J. </w:t>
      </w:r>
      <w:r w:rsidRPr="00E72418">
        <w:rPr>
          <w:smallCaps/>
        </w:rPr>
        <w:t xml:space="preserve">King, </w:t>
      </w:r>
      <w:r w:rsidRPr="00E72418">
        <w:rPr>
          <w:i/>
        </w:rPr>
        <w:t>The Doctrine of Odious Debt in International Law</w:t>
      </w:r>
      <w:r w:rsidRPr="00E72418">
        <w:rPr>
          <w:smallCaps/>
        </w:rPr>
        <w:t xml:space="preserve">, </w:t>
      </w:r>
      <w:r w:rsidRPr="00E72418">
        <w:rPr>
          <w:i/>
        </w:rPr>
        <w:t>op. cit.</w:t>
      </w:r>
      <w:r w:rsidRPr="00E72418">
        <w:rPr>
          <w:smallCaps/>
        </w:rPr>
        <w:t xml:space="preserve">, </w:t>
      </w:r>
      <w:r w:rsidRPr="00E72418">
        <w:t>p. 27.</w:t>
      </w:r>
    </w:p>
  </w:footnote>
  <w:footnote w:id="1291">
    <w:p w14:paraId="60FA980C" w14:textId="78EC5AFC" w:rsidR="0030147D" w:rsidRPr="00E72418" w:rsidRDefault="0030147D" w:rsidP="008567F3">
      <w:pPr>
        <w:pStyle w:val="Sansinterligne"/>
      </w:pPr>
      <w:r w:rsidRPr="00E72418">
        <w:rPr>
          <w:rStyle w:val="Appelnotedebasdep"/>
        </w:rPr>
        <w:footnoteRef/>
      </w:r>
      <w:r w:rsidRPr="00E72418">
        <w:t xml:space="preserve"> </w:t>
      </w:r>
      <w:r w:rsidRPr="00E72418">
        <w:rPr>
          <w:i/>
        </w:rPr>
        <w:t>Ibid.</w:t>
      </w:r>
      <w:r w:rsidRPr="00E72418">
        <w:t xml:space="preserve">, pp. 27 et 28. Sur l’argument de la prééminence des droits de l’homme justifiant l’atteinte portée aux droits des créanciers spéculatifs, voyez </w:t>
      </w:r>
      <w:r w:rsidRPr="00E72418">
        <w:rPr>
          <w:i/>
        </w:rPr>
        <w:t>infra</w:t>
      </w:r>
      <w:r w:rsidRPr="00E72418">
        <w:t xml:space="preserve"> n° 406.</w:t>
      </w:r>
    </w:p>
  </w:footnote>
  <w:footnote w:id="1292">
    <w:p w14:paraId="6F3247F9" w14:textId="4ED77E76" w:rsidR="0030147D" w:rsidRPr="00E72418" w:rsidRDefault="0030147D" w:rsidP="00865EA9">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Fanny </w:t>
      </w:r>
      <w:r w:rsidRPr="00E72418">
        <w:rPr>
          <w:rStyle w:val="Appelnotedebasdep"/>
          <w:szCs w:val="20"/>
          <w:vertAlign w:val="baseline"/>
        </w:rPr>
        <w:t xml:space="preserve">Giansetto </w:t>
      </w:r>
      <w:r w:rsidRPr="00E72418">
        <w:rPr>
          <w:szCs w:val="20"/>
        </w:rPr>
        <w:t>se demande ce que font les fonds vautours hormis utiliser les outils juridiques disponibles pour exécuter un contrat légalement conclu (</w:t>
      </w:r>
      <w:r w:rsidRPr="00E72418">
        <w:rPr>
          <w:smallCaps/>
          <w:szCs w:val="20"/>
        </w:rPr>
        <w:t>F. Giansetto</w:t>
      </w:r>
      <w:r w:rsidRPr="00E72418">
        <w:rPr>
          <w:szCs w:val="20"/>
        </w:rPr>
        <w:t xml:space="preserve">, « Les fonds dits </w:t>
      </w:r>
      <w:r w:rsidRPr="00E72418">
        <w:rPr>
          <w:rStyle w:val="Titre6Car"/>
          <w:rFonts w:ascii="Times" w:eastAsiaTheme="minorHAnsi" w:hAnsi="Times" w:cstheme="minorBidi"/>
          <w:color w:val="auto"/>
          <w:szCs w:val="20"/>
        </w:rPr>
        <w:t>“vautours”</w:t>
      </w:r>
      <w:r w:rsidRPr="00E72418">
        <w:rPr>
          <w:szCs w:val="20"/>
        </w:rPr>
        <w:t xml:space="preserve"> et la dette souveraine – Un nouvel enjeu de la régulation financière », </w:t>
      </w:r>
      <w:r w:rsidRPr="00E72418">
        <w:rPr>
          <w:i/>
          <w:szCs w:val="20"/>
        </w:rPr>
        <w:t>op. cit.</w:t>
      </w:r>
      <w:r w:rsidRPr="00E72418">
        <w:rPr>
          <w:szCs w:val="20"/>
        </w:rPr>
        <w:t>, p. 50).</w:t>
      </w:r>
    </w:p>
  </w:footnote>
  <w:footnote w:id="1293">
    <w:p w14:paraId="76FFFEE2" w14:textId="67E09044" w:rsidR="0030147D" w:rsidRPr="00E72418" w:rsidRDefault="0030147D" w:rsidP="00B929D2">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w:t>
      </w:r>
      <w:r w:rsidRPr="00E72418">
        <w:rPr>
          <w:smallCaps/>
        </w:rPr>
        <w:t>T. Krever</w:t>
      </w:r>
      <w:r w:rsidRPr="00E72418">
        <w:t xml:space="preserve">, « The Legal Turn in Late Development Theory: The Rule of Law and the World Bank’s Development Model », </w:t>
      </w:r>
      <w:r w:rsidRPr="00E72418">
        <w:rPr>
          <w:rFonts w:ascii="Times New Roman" w:hAnsi="Times New Roman" w:cs="Times New Roman"/>
          <w:i/>
        </w:rPr>
        <w:t>Harv. Int. Law J.</w:t>
      </w:r>
      <w:r w:rsidRPr="00E72418">
        <w:t>, 2011, p. 288.</w:t>
      </w:r>
    </w:p>
  </w:footnote>
  <w:footnote w:id="1294">
    <w:p w14:paraId="55E225CD" w14:textId="56F9D056" w:rsidR="0030147D" w:rsidRPr="00E72418" w:rsidRDefault="0030147D" w:rsidP="00865EA9">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259.</w:t>
      </w:r>
    </w:p>
  </w:footnote>
  <w:footnote w:id="1295">
    <w:p w14:paraId="5FD1137F" w14:textId="77777777" w:rsidR="0030147D" w:rsidRPr="00E72418" w:rsidRDefault="0030147D" w:rsidP="00865EA9">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United States Court of Appeals for the Second Circuit (EUA), 28 septembre 1982, </w:t>
      </w:r>
      <w:r w:rsidRPr="00E72418">
        <w:rPr>
          <w:i/>
          <w:szCs w:val="20"/>
          <w:lang w:val="en-US"/>
        </w:rPr>
        <w:t>Sharon Steel Corp. v. Chase Manhattan Bank, N.A.</w:t>
      </w:r>
      <w:r w:rsidRPr="00E72418">
        <w:rPr>
          <w:rStyle w:val="Appelnotedebasdep"/>
          <w:szCs w:val="20"/>
          <w:vertAlign w:val="baseline"/>
          <w:lang w:val="en-US"/>
        </w:rPr>
        <w:t>, 691 F.2d 1039, p. 1048.</w:t>
      </w:r>
    </w:p>
  </w:footnote>
  <w:footnote w:id="1296">
    <w:p w14:paraId="72E5C9CC" w14:textId="77777777" w:rsidR="0030147D" w:rsidRPr="00E72418" w:rsidRDefault="0030147D" w:rsidP="001C77D8">
      <w:pPr>
        <w:pStyle w:val="Sansinterligne"/>
        <w:rPr>
          <w:szCs w:val="20"/>
        </w:rPr>
      </w:pPr>
      <w:r w:rsidRPr="00E72418">
        <w:rPr>
          <w:rStyle w:val="Appelnotedebasdep"/>
          <w:szCs w:val="20"/>
        </w:rPr>
        <w:footnoteRef/>
      </w:r>
      <w:r w:rsidRPr="00E72418">
        <w:rPr>
          <w:szCs w:val="20"/>
        </w:rPr>
        <w:t xml:space="preserve"> Ce fut ainsi notamment le cas lorsque l’argument de la clause </w:t>
      </w:r>
      <w:r w:rsidRPr="00E72418">
        <w:rPr>
          <w:i/>
          <w:szCs w:val="20"/>
        </w:rPr>
        <w:t>pari passu</w:t>
      </w:r>
      <w:r w:rsidRPr="00E72418">
        <w:rPr>
          <w:szCs w:val="20"/>
        </w:rPr>
        <w:t xml:space="preserve"> fut mobilisé par les créanciers ou lorsque l’absence de renonciation à l’immunité fut arguée par les débiteurs souverains.</w:t>
      </w:r>
    </w:p>
  </w:footnote>
  <w:footnote w:id="1297">
    <w:p w14:paraId="4F8B414C" w14:textId="77777777"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G. Brown</w:t>
      </w:r>
      <w:r w:rsidRPr="00E72418">
        <w:rPr>
          <w:szCs w:val="20"/>
          <w:lang w:val="en-US"/>
        </w:rPr>
        <w:t xml:space="preserve">, </w:t>
      </w:r>
      <w:r w:rsidRPr="00E72418">
        <w:rPr>
          <w:i/>
          <w:szCs w:val="20"/>
          <w:lang w:val="en-US"/>
        </w:rPr>
        <w:t>Speech by the Chancellor of the Exchequer at the United Nations General Assembly Special Session on children</w:t>
      </w:r>
      <w:r w:rsidRPr="00E72418">
        <w:rPr>
          <w:szCs w:val="20"/>
          <w:lang w:val="en-US"/>
        </w:rPr>
        <w:t xml:space="preserve">, </w:t>
      </w:r>
      <w:r w:rsidRPr="00E72418">
        <w:rPr>
          <w:i/>
          <w:szCs w:val="20"/>
          <w:lang w:val="en-US"/>
        </w:rPr>
        <w:t>op. cit.</w:t>
      </w:r>
      <w:r w:rsidRPr="00E72418">
        <w:rPr>
          <w:szCs w:val="20"/>
          <w:lang w:val="en-US"/>
        </w:rPr>
        <w:t xml:space="preserve"> </w:t>
      </w:r>
      <w:r w:rsidRPr="00E72418">
        <w:rPr>
          <w:szCs w:val="20"/>
        </w:rPr>
        <w:t xml:space="preserve">Voyez également notamment la résolution du Parlement belge où il est demandé au Gouvernement d’ « assister juridiquement et financièrement les pays partenaires avec lesquels la Belgique collabore dans le cadre de la coopération au développement lorsque ces pays sont cités devant un tribunal par un fonds vautour » (proposition belge de résolution visant à limiter l’impact des « fonds vautours » sur l’allègement de la dette des pays du tiers-monde, texte adopté par la commission des relations extérieures et de la défense, Sénat, </w:t>
      </w:r>
      <w:r w:rsidRPr="00E72418">
        <w:rPr>
          <w:i/>
          <w:szCs w:val="20"/>
        </w:rPr>
        <w:t>Doc. parl.</w:t>
      </w:r>
      <w:r w:rsidRPr="00E72418">
        <w:rPr>
          <w:szCs w:val="20"/>
        </w:rPr>
        <w:t xml:space="preserve">, 2007-2008, doc. 4 244/4, p. 4). Voyez encore la demande de l’Assemblée parlementaire du Conseil de l’Europe aux gouvernement des États membres d’offrir aux pays partenaires avec lesquels ils collaborent, dans le cadre de la coopération au développement, une assistance technique et juridique dans le domaine de la politique et de la gestion de la dette, afin d’éviter, entre autres, des procédures judiciaires avec des créanciers (Assemblée parlementaire du Conseil de l’Europe, </w:t>
      </w:r>
      <w:r w:rsidRPr="00E72418">
        <w:rPr>
          <w:i/>
          <w:szCs w:val="20"/>
        </w:rPr>
        <w:t>Recommandation sur la protection de l’aide financière des États membres du Conseil de l’Europe aux pays pauvres contre les fonds financiers dits « fonds vautours »</w:t>
      </w:r>
      <w:r w:rsidRPr="00E72418">
        <w:rPr>
          <w:szCs w:val="20"/>
        </w:rPr>
        <w:t>, 29 mai 2009, 1870 (2009), point 9.4.).</w:t>
      </w:r>
    </w:p>
  </w:footnote>
  <w:footnote w:id="1298">
    <w:p w14:paraId="2C54E6D0" w14:textId="77777777"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Un exemple cocasse de cette faiblesse peut être trouvé dans le contentieux ayant opposé la société </w:t>
      </w:r>
      <w:r w:rsidRPr="00E72418">
        <w:rPr>
          <w:i/>
          <w:szCs w:val="20"/>
        </w:rPr>
        <w:t>FG Hemisphere Associates LLC</w:t>
      </w:r>
      <w:r w:rsidRPr="00E72418">
        <w:rPr>
          <w:szCs w:val="20"/>
        </w:rPr>
        <w:t xml:space="preserve"> à la République démocratique du Congo où une procédure avait été introduite et une décision était intervenue avant même que le pays n’ait eu le temps de traduire la demande de son créancier (</w:t>
      </w:r>
      <w:r w:rsidRPr="00E72418">
        <w:rPr>
          <w:smallCaps/>
          <w:szCs w:val="20"/>
        </w:rPr>
        <w:t>J. Bai</w:t>
      </w:r>
      <w:r w:rsidRPr="00E72418">
        <w:rPr>
          <w:szCs w:val="20"/>
        </w:rPr>
        <w:t xml:space="preserve">, « Stop Them Circling: Addressing Vulture Funds in Australian Law », </w:t>
      </w:r>
      <w:r w:rsidRPr="00E72418">
        <w:rPr>
          <w:i/>
          <w:szCs w:val="20"/>
          <w:lang w:val="en-US"/>
        </w:rPr>
        <w:t>op. cit.</w:t>
      </w:r>
      <w:r w:rsidRPr="00E72418">
        <w:rPr>
          <w:szCs w:val="20"/>
        </w:rPr>
        <w:t>, p. 704. L’auteur relève encore que le contentieux coïncide temporellement avec le désastre humanitaire ayant suivi les conflits traversés par le pays qui occupa l’attention du Gouvernement (</w:t>
      </w:r>
      <w:r w:rsidRPr="00E72418">
        <w:rPr>
          <w:i/>
          <w:szCs w:val="20"/>
        </w:rPr>
        <w:t>ibid.</w:t>
      </w:r>
      <w:r w:rsidRPr="00E72418">
        <w:rPr>
          <w:szCs w:val="20"/>
        </w:rPr>
        <w:t>, p. 705)).</w:t>
      </w:r>
    </w:p>
  </w:footnote>
  <w:footnote w:id="1299">
    <w:p w14:paraId="50278A1C" w14:textId="77777777"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A. Zacharie</w:t>
      </w:r>
      <w:r w:rsidRPr="00E72418">
        <w:rPr>
          <w:szCs w:val="20"/>
        </w:rPr>
        <w:t xml:space="preserve">, « L’économie politique des fonds vautours », </w:t>
      </w:r>
      <w:r w:rsidRPr="00E72418">
        <w:rPr>
          <w:i/>
          <w:szCs w:val="20"/>
          <w:lang w:val="en-US"/>
        </w:rPr>
        <w:t>op. cit.</w:t>
      </w:r>
      <w:r w:rsidRPr="00E72418">
        <w:rPr>
          <w:szCs w:val="20"/>
        </w:rPr>
        <w:t>, p. 19.</w:t>
      </w:r>
    </w:p>
  </w:footnote>
  <w:footnote w:id="1300">
    <w:p w14:paraId="17EA3821" w14:textId="1E80C06C" w:rsidR="0030147D" w:rsidRPr="00E72418" w:rsidRDefault="0030147D" w:rsidP="00A728E5">
      <w:pPr>
        <w:pStyle w:val="Sansinterligne"/>
        <w:rPr>
          <w:szCs w:val="20"/>
        </w:rPr>
      </w:pPr>
      <w:r w:rsidRPr="00E72418">
        <w:rPr>
          <w:rStyle w:val="Appelnotedebasdep"/>
          <w:szCs w:val="20"/>
        </w:rPr>
        <w:footnoteRef/>
      </w:r>
      <w:r w:rsidRPr="00E72418">
        <w:rPr>
          <w:szCs w:val="20"/>
        </w:rPr>
        <w:t xml:space="preserve"> HM </w:t>
      </w:r>
      <w:r w:rsidRPr="00E72418">
        <w:rPr>
          <w:smallCaps/>
          <w:szCs w:val="20"/>
        </w:rPr>
        <w:t>Treasury</w:t>
      </w:r>
      <w:r w:rsidRPr="00E72418">
        <w:rPr>
          <w:szCs w:val="20"/>
        </w:rPr>
        <w:t xml:space="preserve">, </w:t>
      </w:r>
      <w:r w:rsidRPr="00E72418">
        <w:rPr>
          <w:i/>
          <w:szCs w:val="20"/>
        </w:rPr>
        <w:t>Ensuring effective debt relief for poor countries: a consultation on legislation</w:t>
      </w:r>
      <w:r w:rsidRPr="00E72418">
        <w:rPr>
          <w:szCs w:val="20"/>
        </w:rPr>
        <w:t xml:space="preserve">, 2009, p. 17. </w:t>
      </w:r>
      <w:r w:rsidRPr="00E72418">
        <w:t>Ian Pearson, en sa qualité d’</w:t>
      </w:r>
      <w:r w:rsidRPr="00E72418">
        <w:rPr>
          <w:i/>
        </w:rPr>
        <w:t>Economic Secretary to the Treasury</w:t>
      </w:r>
      <w:r w:rsidRPr="00E72418">
        <w:t>, illustrait ainsi le propos avec l’exemple zambien notant que « [t]he value of good legal advice was illustrated by the case of Donegal International Ltd. </w:t>
      </w:r>
      <w:r w:rsidRPr="00E72418">
        <w:rPr>
          <w:i/>
        </w:rPr>
        <w:t>v.</w:t>
      </w:r>
      <w:r w:rsidRPr="00E72418">
        <w:t xml:space="preserve"> Zambia, where our funding for legal advice helped Zambia reduce its liability by around $40 million » (House of Commons, Debt Relief (Developing Countries) Bill, second reading, 26 février 2010, vol. 506, colonne 573).</w:t>
      </w:r>
      <w:r w:rsidRPr="00E72418">
        <w:rPr>
          <w:lang w:val="en-US"/>
        </w:rPr>
        <w:t xml:space="preserve"> </w:t>
      </w:r>
      <w:r w:rsidRPr="00E72418">
        <w:t xml:space="preserve">Dans le même sens, le Fonds monétaire international soulignait encore récemment que « the international community should further […] help countries strengthen their public debt management frameworks ex ante through, for instance, technical assistance » (Fonds monétaire international, </w:t>
      </w:r>
      <w:r w:rsidRPr="00E72418">
        <w:rPr>
          <w:i/>
        </w:rPr>
        <w:t>The international architecture for resolving sovereign debt involving private-sector creditors – Recent developments, challenges, and reform options</w:t>
      </w:r>
      <w:r w:rsidRPr="00E72418">
        <w:t>, 23 septembre 2020, p. 8).</w:t>
      </w:r>
    </w:p>
  </w:footnote>
  <w:footnote w:id="1301">
    <w:p w14:paraId="0F78094E" w14:textId="77777777"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Il est généralement fait usage des acronymes FASJ en français et ALSF en anglais pour « African Legal Support Facility ».</w:t>
      </w:r>
    </w:p>
  </w:footnote>
  <w:footnote w:id="1302">
    <w:p w14:paraId="0B09BB79" w14:textId="5281F8C6"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Cette clinique n’est pas la seule. On peut également relever par exemple la « Commonwealth Secretariat Legal Debt Clinic » dont l’expérience est reprise dans l’ouvrage de Devi</w:t>
      </w:r>
      <w:r w:rsidRPr="00E72418">
        <w:rPr>
          <w:smallCaps/>
          <w:szCs w:val="20"/>
        </w:rPr>
        <w:t xml:space="preserve"> Sookun</w:t>
      </w:r>
      <w:r w:rsidRPr="00E72418">
        <w:rPr>
          <w:szCs w:val="20"/>
        </w:rPr>
        <w:t xml:space="preserve">, </w:t>
      </w:r>
      <w:r w:rsidRPr="00E72418">
        <w:rPr>
          <w:i/>
          <w:szCs w:val="20"/>
        </w:rPr>
        <w:t>Stop Vulture Fund Lawsuits: a Handbook</w:t>
      </w:r>
      <w:r w:rsidRPr="00E72418">
        <w:rPr>
          <w:szCs w:val="20"/>
        </w:rPr>
        <w:t>. Voyez pour une description de cette clinique et de certaines de ses réalisations les pages 2 et 79 à 81 de l’ouvrage.</w:t>
      </w:r>
    </w:p>
  </w:footnote>
  <w:footnote w:id="1303">
    <w:p w14:paraId="0F69C509" w14:textId="30A03540" w:rsidR="0030147D" w:rsidRPr="00E72418" w:rsidRDefault="0030147D" w:rsidP="00A728E5">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Voyez www.africa-eu-partnership.org/en/projects/african-legal-support-facility-alsf</w:t>
      </w:r>
      <w:r w:rsidRPr="00E72418">
        <w:rPr>
          <w:rStyle w:val="Lienhypertexte"/>
          <w:color w:val="auto"/>
          <w:szCs w:val="20"/>
          <w:u w:val="none"/>
          <w:lang w:val="en-US"/>
        </w:rPr>
        <w:t xml:space="preserve"> (consultation le 17 octobre 2021)</w:t>
      </w:r>
      <w:r w:rsidRPr="00E72418">
        <w:rPr>
          <w:szCs w:val="20"/>
          <w:lang w:val="en-US"/>
        </w:rPr>
        <w:t xml:space="preserve">. Sur l’historique et l’organisation de cette institution, voyez notamment </w:t>
      </w:r>
      <w:r w:rsidRPr="00E72418">
        <w:rPr>
          <w:smallCaps/>
          <w:szCs w:val="20"/>
          <w:lang w:val="en-US"/>
        </w:rPr>
        <w:t>A. Akin-Olugbade</w:t>
      </w:r>
      <w:r w:rsidRPr="00E72418">
        <w:rPr>
          <w:szCs w:val="20"/>
          <w:lang w:val="en-US"/>
        </w:rPr>
        <w:t xml:space="preserve">, « The </w:t>
      </w:r>
      <w:r w:rsidRPr="00E72418">
        <w:rPr>
          <w:i/>
          <w:szCs w:val="20"/>
          <w:lang w:val="en-US"/>
        </w:rPr>
        <w:t>Donegal</w:t>
      </w:r>
      <w:r w:rsidRPr="00E72418">
        <w:rPr>
          <w:szCs w:val="20"/>
          <w:lang w:val="en-US"/>
        </w:rPr>
        <w:t xml:space="preserve"> Case and the African Legal Support Facility », </w:t>
      </w:r>
      <w:r w:rsidRPr="00E72418">
        <w:rPr>
          <w:i/>
        </w:rPr>
        <w:t>op. cit.</w:t>
      </w:r>
      <w:r w:rsidRPr="00E72418">
        <w:rPr>
          <w:szCs w:val="20"/>
          <w:lang w:val="en-US"/>
        </w:rPr>
        <w:t>, pp. 410 à 417.</w:t>
      </w:r>
    </w:p>
  </w:footnote>
  <w:footnote w:id="1304">
    <w:p w14:paraId="67B8A6F6" w14:textId="77777777" w:rsidR="0030147D" w:rsidRPr="00E72418" w:rsidRDefault="0030147D" w:rsidP="00A728E5">
      <w:pPr>
        <w:pStyle w:val="Sansinterligne"/>
      </w:pPr>
      <w:r w:rsidRPr="00E72418">
        <w:rPr>
          <w:rStyle w:val="Appelnotedebasdep"/>
        </w:rPr>
        <w:footnoteRef/>
      </w:r>
      <w:r w:rsidRPr="00E72418">
        <w:rPr>
          <w:vertAlign w:val="superscript"/>
        </w:rPr>
        <w:t xml:space="preserve"> </w:t>
      </w:r>
      <w:r w:rsidRPr="00E72418">
        <w:t xml:space="preserve">Notons que les termes « fonds vautours » sont ainsi utilisés dans l’accord portant création de la Facilité pour préciser certaines fonctions et activités exercées par elle : « investissement et organisation de la formation des conseillers juridiques provenant des </w:t>
      </w:r>
      <w:r w:rsidRPr="00E72418">
        <w:rPr>
          <w:rFonts w:cs="Times New Roman"/>
          <w:szCs w:val="24"/>
        </w:rPr>
        <w:t>É</w:t>
      </w:r>
      <w:r w:rsidRPr="00E72418">
        <w:t xml:space="preserve">tats africains membres de la facilité en vue de leur permettre d’acquérir l’expertise juridique nécessaire en matière de procès contre les créanciers/fonds vautours » et « promotion d’une meilleure compréhension, au sein des pays africains, des questions d’identification et de résolution des problèmes ayant trait aux litiges avec les créanciers, impliquant des débiteurs souverains contre des fonds vautours, </w:t>
      </w:r>
      <w:r w:rsidRPr="00E72418">
        <w:rPr>
          <w:szCs w:val="20"/>
          <w:lang w:val="en-US"/>
        </w:rPr>
        <w:t xml:space="preserve">[…] </w:t>
      </w:r>
      <w:r w:rsidRPr="00E72418">
        <w:t>».</w:t>
      </w:r>
    </w:p>
  </w:footnote>
  <w:footnote w:id="1305">
    <w:p w14:paraId="31EA0A27" w14:textId="7C6BE771"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Et l’on comprend cette mission quand Olufunmilayo Arewa note que « [t]he weakness of states in much of sub-Saharan Africa and the lack of robust institutional framework form a poor foundation for the types of transactions in which private equity funds might engage ». </w:t>
      </w:r>
      <w:r w:rsidRPr="00E72418">
        <w:rPr>
          <w:szCs w:val="20"/>
        </w:rPr>
        <w:t>L’auteure disserte plus largement dans son article sur les raisons expliquant ce manque de structure institutionnelle (</w:t>
      </w:r>
      <w:r w:rsidRPr="00E72418">
        <w:rPr>
          <w:smallCaps/>
          <w:szCs w:val="20"/>
        </w:rPr>
        <w:t>O. Arewa</w:t>
      </w:r>
      <w:r w:rsidRPr="00E72418">
        <w:rPr>
          <w:szCs w:val="20"/>
        </w:rPr>
        <w:t xml:space="preserve">, « Vultures, Hyenas, and African Debt: Private Equity and Zambia », </w:t>
      </w:r>
      <w:r w:rsidRPr="00E72418">
        <w:rPr>
          <w:i/>
          <w:szCs w:val="20"/>
        </w:rPr>
        <w:t>op. cit.</w:t>
      </w:r>
      <w:r w:rsidRPr="00E72418">
        <w:rPr>
          <w:szCs w:val="20"/>
        </w:rPr>
        <w:t xml:space="preserve">, p. 652). La République démocratique du Congo est le premier pays à avoir reçu un soutien de l’organisation lors du contentieux l’ayant opposée à la société </w:t>
      </w:r>
      <w:r w:rsidRPr="00E72418">
        <w:rPr>
          <w:i/>
          <w:szCs w:val="20"/>
        </w:rPr>
        <w:t>FG Hemisphere Associates LLC</w:t>
      </w:r>
      <w:r w:rsidRPr="00E72418">
        <w:rPr>
          <w:szCs w:val="20"/>
        </w:rPr>
        <w:t xml:space="preserve"> (</w:t>
      </w:r>
      <w:r w:rsidRPr="00E72418">
        <w:rPr>
          <w:smallCaps/>
          <w:szCs w:val="20"/>
        </w:rPr>
        <w:t>R. Vivien</w:t>
      </w:r>
      <w:r w:rsidRPr="00E72418">
        <w:rPr>
          <w:szCs w:val="20"/>
        </w:rPr>
        <w:t xml:space="preserve">, « Les fonds vautours en République démocratique du Congo : le cas de FG Hemisphere », </w:t>
      </w:r>
      <w:r w:rsidRPr="00E72418">
        <w:rPr>
          <w:i/>
          <w:szCs w:val="20"/>
        </w:rPr>
        <w:t>op. cit.</w:t>
      </w:r>
      <w:r w:rsidRPr="00E72418">
        <w:rPr>
          <w:szCs w:val="20"/>
        </w:rPr>
        <w:t>, p. 68).</w:t>
      </w:r>
    </w:p>
  </w:footnote>
  <w:footnote w:id="1306">
    <w:p w14:paraId="7A944B63" w14:textId="67F9F313" w:rsidR="0030147D" w:rsidRPr="00E72418" w:rsidRDefault="0030147D" w:rsidP="00A728E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20.</w:t>
      </w:r>
    </w:p>
  </w:footnote>
  <w:footnote w:id="1307">
    <w:p w14:paraId="3B3BA268" w14:textId="063CEDC4" w:rsidR="0030147D" w:rsidRPr="00E72418" w:rsidRDefault="0030147D" w:rsidP="00BA0D9D">
      <w:pPr>
        <w:pStyle w:val="Sansinterligne"/>
      </w:pPr>
      <w:r w:rsidRPr="00E72418">
        <w:rPr>
          <w:rStyle w:val="Appelnotedebasdep"/>
        </w:rPr>
        <w:footnoteRef/>
      </w:r>
      <w:r w:rsidRPr="00E72418">
        <w:t xml:space="preserve"> L’on peut encore noter les difficultés qu’auraient les juridictions saisies de parvenir à saisir la </w:t>
      </w:r>
      <w:r w:rsidRPr="00E72418">
        <w:rPr>
          <w:i/>
        </w:rPr>
        <w:t>big picture</w:t>
      </w:r>
      <w:r w:rsidRPr="00E72418">
        <w:t xml:space="preserve"> dans laquelle interviennent des demandes ponctuelles auprès d’elles formulées (cette vue comprend notamment l’ensemble des contrats matérialisant la dette souveraine en difficulté, les autres procéd</w:t>
      </w:r>
      <w:r w:rsidR="007C3F47">
        <w:t xml:space="preserve">ures qui auraient été engagées, </w:t>
      </w:r>
      <w:r w:rsidR="007C3F47" w:rsidRPr="007C3F47">
        <w:rPr>
          <w:i/>
        </w:rPr>
        <w:t>etc.</w:t>
      </w:r>
      <w:r w:rsidRPr="00E72418">
        <w:t xml:space="preserve">). Les actions intentées par les fonds spéculatifs s’inscrivent en effet généralement plus largement dans un contexte de difficultés financières importantes rencontrées par les </w:t>
      </w:r>
      <w:r w:rsidRPr="00E72418">
        <w:rPr>
          <w:rFonts w:cs="Times New Roman"/>
          <w:szCs w:val="24"/>
        </w:rPr>
        <w:t>É</w:t>
      </w:r>
      <w:r w:rsidRPr="00E72418">
        <w:t>tats débiteurs. S’intéressant aux difficultés posées par la multiplicité des juridictions potentiellement saisies de litiges relatifs à une dette souveraine, Fanny Giansetto relève qu’ « </w:t>
      </w:r>
      <w:r w:rsidRPr="00E72418">
        <w:rPr>
          <w:rFonts w:ascii="Times New Roman" w:hAnsi="Times New Roman" w:cs="Times New Roman"/>
        </w:rPr>
        <w:t>[u]</w:t>
      </w:r>
      <w:r w:rsidRPr="00E72418">
        <w:t>n dialogue entre les juges intéressés par l’insolvabilité de l’</w:t>
      </w:r>
      <w:r w:rsidRPr="00E72418">
        <w:rPr>
          <w:rFonts w:ascii="Times New Roman" w:hAnsi="Times New Roman" w:cs="Times New Roman"/>
          <w:lang w:eastAsia="fr-BE"/>
        </w:rPr>
        <w:t>É</w:t>
      </w:r>
      <w:r w:rsidRPr="00E72418">
        <w:t>tat permettrait d’atténuer les difficultés liées à la diversité des tribunaux compétents » et ajoute, même si la concrétisation est douteuse, que « </w:t>
      </w:r>
      <w:r w:rsidRPr="00E72418">
        <w:rPr>
          <w:rFonts w:ascii="Times New Roman" w:hAnsi="Times New Roman" w:cs="Times New Roman"/>
        </w:rPr>
        <w:t xml:space="preserve">[l]es juges pourraient tenter de coordonner les procédures et d’adopter une solution uniforme pour les créanciers »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135).</w:t>
      </w:r>
    </w:p>
  </w:footnote>
  <w:footnote w:id="1308">
    <w:p w14:paraId="73CFE2FC" w14:textId="77777777" w:rsidR="0030147D" w:rsidRPr="00E72418" w:rsidRDefault="0030147D" w:rsidP="009471F9">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i/>
          <w:szCs w:val="20"/>
          <w:lang w:val="en-US"/>
        </w:rPr>
        <w:t>Legislation to assist in the provision of debt relief to poorer countries: update</w:t>
      </w:r>
      <w:r w:rsidRPr="00E72418">
        <w:rPr>
          <w:szCs w:val="20"/>
          <w:lang w:val="en-US"/>
        </w:rPr>
        <w:t xml:space="preserve">, 31 janvier 2012. Dans la consultation de 2011 sur l’opportunité et la mesure d’une législation, le </w:t>
      </w:r>
      <w:r w:rsidRPr="00E72418">
        <w:rPr>
          <w:i/>
          <w:szCs w:val="20"/>
          <w:lang w:val="en-US"/>
        </w:rPr>
        <w:t>Chief Minister</w:t>
      </w:r>
      <w:r w:rsidRPr="00E72418">
        <w:rPr>
          <w:szCs w:val="20"/>
          <w:lang w:val="en-US"/>
        </w:rPr>
        <w:t xml:space="preserve"> de Jersey faisait valoir qu’ « [i]t will be necessary both to preserve Jersey’s commercial reputation as a jurisdiction which honours and enforces the sanctity of contractual relations, and to maintain Jersey’s political reputation as a transparent, well-regulated and respected international finance centre » (</w:t>
      </w:r>
      <w:r w:rsidRPr="00E72418">
        <w:rPr>
          <w:i/>
          <w:szCs w:val="20"/>
          <w:lang w:val="en-US"/>
        </w:rPr>
        <w:t>Debt Relief for Poorer Countries: Green paper consultation</w:t>
      </w:r>
      <w:r w:rsidRPr="00E72418">
        <w:rPr>
          <w:szCs w:val="20"/>
          <w:lang w:val="en-US"/>
        </w:rPr>
        <w:t>, 15 septembre 2011, paragraphe 12.3.).</w:t>
      </w:r>
    </w:p>
  </w:footnote>
  <w:footnote w:id="1309">
    <w:p w14:paraId="432C7809" w14:textId="5A178E81" w:rsidR="0030147D" w:rsidRPr="00E72418" w:rsidRDefault="0030147D" w:rsidP="00C73E2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12. Voyez notamment le considérant AC de la résolution du Parlement européen du 17 avril 2018 : « considérant que les fonds vautours ciblant des débiteurs en détresse et interférant avec des processus de restructuration de leurs dettes ne doivent pas bénéficier d’appui légal et judiciaire pour ces activités destructrices, et que des mesures supplémentaires doivent être prises à cet égard » (</w:t>
      </w:r>
      <w:r w:rsidRPr="00E72418">
        <w:rPr>
          <w:rStyle w:val="Titre2Car"/>
          <w:rFonts w:ascii="Times" w:eastAsiaTheme="minorHAnsi" w:hAnsi="Times" w:cstheme="minorBidi"/>
          <w:color w:val="auto"/>
          <w:sz w:val="20"/>
          <w:szCs w:val="20"/>
        </w:rPr>
        <w:t xml:space="preserve">Parlement européen, </w:t>
      </w:r>
      <w:r w:rsidRPr="00E72418">
        <w:rPr>
          <w:i/>
          <w:szCs w:val="20"/>
        </w:rPr>
        <w:t>Résolution</w:t>
      </w:r>
      <w:r w:rsidRPr="00E72418">
        <w:rPr>
          <w:rStyle w:val="Titre2Car"/>
          <w:rFonts w:ascii="Times" w:eastAsiaTheme="minorHAnsi" w:hAnsi="Times" w:cstheme="minorBidi"/>
          <w:i/>
          <w:color w:val="auto"/>
          <w:sz w:val="20"/>
          <w:szCs w:val="20"/>
        </w:rPr>
        <w:t xml:space="preserve"> sur l’amélioration de la viabilité de la dette des pays en développement</w:t>
      </w:r>
      <w:r w:rsidRPr="00E72418">
        <w:rPr>
          <w:rStyle w:val="Titre2Car"/>
          <w:rFonts w:ascii="Times" w:eastAsiaTheme="minorHAnsi" w:hAnsi="Times" w:cstheme="minorBidi"/>
          <w:color w:val="auto"/>
          <w:sz w:val="20"/>
          <w:szCs w:val="20"/>
        </w:rPr>
        <w:t xml:space="preserve">, </w:t>
      </w:r>
      <w:r w:rsidRPr="00E72418">
        <w:rPr>
          <w:rStyle w:val="Titre5Car"/>
          <w:rFonts w:ascii="Times" w:eastAsiaTheme="minorHAnsi" w:hAnsi="Times" w:cstheme="minorBidi"/>
          <w:color w:val="auto"/>
          <w:szCs w:val="20"/>
        </w:rPr>
        <w:t xml:space="preserve">17 avril 2018, </w:t>
      </w:r>
      <w:r w:rsidRPr="00E72418">
        <w:rPr>
          <w:rStyle w:val="Titre2Car"/>
          <w:rFonts w:ascii="Times" w:eastAsiaTheme="minorHAnsi" w:hAnsi="Times" w:cstheme="minorBidi"/>
          <w:color w:val="auto"/>
          <w:sz w:val="20"/>
          <w:szCs w:val="20"/>
        </w:rPr>
        <w:t>2016/2241(INI)).</w:t>
      </w:r>
    </w:p>
  </w:footnote>
  <w:footnote w:id="1310">
    <w:p w14:paraId="1C05CAA9" w14:textId="145DFC84" w:rsidR="0030147D" w:rsidRPr="00E72418" w:rsidRDefault="0030147D" w:rsidP="00C73E28">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94.</w:t>
      </w:r>
    </w:p>
  </w:footnote>
  <w:footnote w:id="1311">
    <w:p w14:paraId="356B7614" w14:textId="7D1B635B" w:rsidR="0030147D" w:rsidRPr="00E72418" w:rsidRDefault="0030147D" w:rsidP="00B54FC9">
      <w:pPr>
        <w:pStyle w:val="Sansinterligne"/>
      </w:pPr>
      <w:r w:rsidRPr="00E72418">
        <w:rPr>
          <w:rStyle w:val="Appelnotedebasdep"/>
        </w:rPr>
        <w:footnoteRef/>
      </w:r>
      <w:r w:rsidRPr="00E72418">
        <w:t xml:space="preserve"> A. </w:t>
      </w:r>
      <w:r w:rsidRPr="00E72418">
        <w:rPr>
          <w:smallCaps/>
        </w:rPr>
        <w:t>Autenne</w:t>
      </w:r>
      <w:r w:rsidRPr="00E72418">
        <w:t xml:space="preserve">, « Dette souveraine et vautours : La Belgique donne le ton », </w:t>
      </w:r>
      <w:r w:rsidRPr="00E72418">
        <w:rPr>
          <w:i/>
        </w:rPr>
        <w:t>op. cit.</w:t>
      </w:r>
      <w:r w:rsidRPr="00E72418">
        <w:t xml:space="preserve"> L’auteure relève les cas où des </w:t>
      </w:r>
      <w:r w:rsidRPr="00E72418">
        <w:rPr>
          <w:rFonts w:ascii="Times New Roman" w:hAnsi="Times New Roman" w:cs="Times New Roman"/>
          <w:lang w:eastAsia="fr-BE"/>
        </w:rPr>
        <w:t>É</w:t>
      </w:r>
      <w:r w:rsidRPr="00E72418">
        <w:t xml:space="preserve">tats débiteurs se sont comportés de manière opportuniste (voyez </w:t>
      </w:r>
      <w:r w:rsidRPr="00E72418">
        <w:rPr>
          <w:i/>
        </w:rPr>
        <w:t>supra</w:t>
      </w:r>
      <w:r w:rsidRPr="00E72418">
        <w:t xml:space="preserve"> n° 163).</w:t>
      </w:r>
    </w:p>
  </w:footnote>
  <w:footnote w:id="1312">
    <w:p w14:paraId="253C839F" w14:textId="51EF3807" w:rsidR="0030147D" w:rsidRPr="00E72418" w:rsidRDefault="0030147D" w:rsidP="00530736">
      <w:pPr>
        <w:pStyle w:val="Sansinterligne"/>
        <w:rPr>
          <w:rFonts w:ascii="Times New Roman" w:hAnsi="Times New Roman" w:cs="Times New Roman"/>
        </w:rPr>
      </w:pPr>
      <w:r w:rsidRPr="00E72418">
        <w:rPr>
          <w:rStyle w:val="Titre5Car"/>
          <w:rFonts w:ascii="Times" w:eastAsiaTheme="minorHAnsi" w:hAnsi="Times" w:cstheme="minorBidi"/>
          <w:color w:val="auto"/>
          <w:szCs w:val="20"/>
          <w:vertAlign w:val="superscript"/>
        </w:rPr>
        <w:footnoteRef/>
      </w:r>
      <w:r w:rsidRPr="00E72418">
        <w:t xml:space="preserve"> Xavier Miny et Inès Troisfontaine notent le paradoxe des actions humanitaires qui ouvrent « une brèche en optimisant l’assiette sur laquelle les fonds vautours peuvent exercer leur droit de poursuite » (</w:t>
      </w:r>
      <w:r w:rsidRPr="00E72418">
        <w:rPr>
          <w:smallCaps/>
        </w:rPr>
        <w:t>X. Miny</w:t>
      </w:r>
      <w:r w:rsidRPr="00E72418">
        <w:t xml:space="preserve"> et </w:t>
      </w:r>
      <w:r w:rsidRPr="00E72418">
        <w:rPr>
          <w:smallCaps/>
        </w:rPr>
        <w:t>I. Troisfontaine</w:t>
      </w:r>
      <w:r w:rsidRPr="00E72418">
        <w:t xml:space="preserve">, « Quand les vautours attaquent </w:t>
      </w:r>
      <w:r w:rsidRPr="00E72418">
        <w:rPr>
          <w:b/>
        </w:rPr>
        <w:t xml:space="preserve">– </w:t>
      </w:r>
      <w:r w:rsidRPr="00E72418">
        <w:t xml:space="preserve">Fonds spéculatifs spécialisés dans le rachat des dettes des États: synthèse et perspectives en droit belge », </w:t>
      </w:r>
      <w:r w:rsidRPr="00E72418">
        <w:rPr>
          <w:rFonts w:ascii="Times New Roman" w:hAnsi="Times New Roman" w:cs="Times New Roman"/>
          <w:i/>
        </w:rPr>
        <w:t>Rev. Dr. Ulg</w:t>
      </w:r>
      <w:r w:rsidRPr="00E72418">
        <w:t>, 2013, p. 123).</w:t>
      </w:r>
    </w:p>
  </w:footnote>
  <w:footnote w:id="1313">
    <w:p w14:paraId="1D923684" w14:textId="6B586922" w:rsidR="0030147D" w:rsidRPr="00E72418" w:rsidRDefault="0030147D" w:rsidP="00C73E28">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pp. 719 et 720 (la police est reprise).</w:t>
      </w:r>
    </w:p>
  </w:footnote>
  <w:footnote w:id="1314">
    <w:p w14:paraId="41E5989E" w14:textId="01BA4DEC" w:rsidR="0030147D" w:rsidRPr="00E72418" w:rsidRDefault="0030147D" w:rsidP="007520B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Barr</w:t>
      </w:r>
      <w:r w:rsidRPr="00E72418">
        <w:rPr>
          <w:szCs w:val="20"/>
          <w:lang w:val="en-US"/>
        </w:rPr>
        <w:t>, « The Litigation Tango of La Casa Rosada and the Vultures: The Political Realities of Sovereign Debt, Vulture Funds, and the Foreign Sovereign Immunities Act »,</w:t>
      </w:r>
      <w:r w:rsidRPr="00E72418">
        <w:rPr>
          <w:i/>
          <w:szCs w:val="20"/>
          <w:lang w:val="en-US"/>
        </w:rPr>
        <w:t xml:space="preserve"> op. cit.</w:t>
      </w:r>
      <w:r w:rsidRPr="00E72418">
        <w:rPr>
          <w:szCs w:val="20"/>
          <w:lang w:val="en-US"/>
        </w:rPr>
        <w:t>, p. 576.</w:t>
      </w:r>
    </w:p>
  </w:footnote>
  <w:footnote w:id="1315">
    <w:p w14:paraId="7F4A97B0" w14:textId="28D5AE35" w:rsidR="0030147D" w:rsidRPr="00E72418" w:rsidRDefault="0030147D" w:rsidP="00301EA3">
      <w:pPr>
        <w:pStyle w:val="Sansinterligne"/>
      </w:pPr>
      <w:r w:rsidRPr="00E72418">
        <w:rPr>
          <w:rStyle w:val="Appelnotedebasdep"/>
        </w:rPr>
        <w:footnoteRef/>
      </w:r>
      <w:r w:rsidRPr="00E72418">
        <w:t xml:space="preserve"> Sans qu’il ne débouche sur l’adoption d’un texte, l’argument de la consistance fut brandi par une parlementaire australien pour qui « [i]t does not make sense for Australia and other countries to give debt relief and foreign aid so generously while allowing vulture funds to take this money through litigation » (propos de Melissa Parke repris in House of Representatives, Speech, 25 juin 2012, p. 7791).</w:t>
      </w:r>
    </w:p>
  </w:footnote>
  <w:footnote w:id="1316">
    <w:p w14:paraId="3F825858" w14:textId="77777777" w:rsidR="0030147D" w:rsidRPr="00E72418" w:rsidRDefault="0030147D" w:rsidP="00C73E2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Assemblée nationale française, </w:t>
      </w:r>
      <w:r w:rsidRPr="00E72418">
        <w:rPr>
          <w:i/>
          <w:szCs w:val="20"/>
        </w:rPr>
        <w:t>proposition de loi visant à lutter contre l’action des fonds financiers dits « fonds vautours »</w:t>
      </w:r>
      <w:r w:rsidRPr="00E72418">
        <w:rPr>
          <w:szCs w:val="20"/>
        </w:rPr>
        <w:t xml:space="preserve">, 28 juin 2006, n° 3214, p. 3 et Assemblée nationale française, </w:t>
      </w:r>
      <w:r w:rsidRPr="00E72418">
        <w:rPr>
          <w:i/>
          <w:szCs w:val="20"/>
        </w:rPr>
        <w:t>proposition de loi visant à lutter contre l’action des fonds financiers dits « fonds vautours »</w:t>
      </w:r>
      <w:r w:rsidRPr="00E72418">
        <w:rPr>
          <w:szCs w:val="20"/>
        </w:rPr>
        <w:t>, 2 août 2007, n° 131, p. 5.</w:t>
      </w:r>
    </w:p>
  </w:footnote>
  <w:footnote w:id="1317">
    <w:p w14:paraId="0683FC7E" w14:textId="14E7442D" w:rsidR="0030147D" w:rsidRPr="00E72418" w:rsidRDefault="0030147D" w:rsidP="00C73E2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Assemblée nationale française,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 4236.</w:t>
      </w:r>
    </w:p>
  </w:footnote>
  <w:footnote w:id="1318">
    <w:p w14:paraId="107A1D0E" w14:textId="77777777" w:rsidR="0030147D" w:rsidRPr="00E72418" w:rsidRDefault="0030147D" w:rsidP="00C73E28">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U.S. bills 110 H.R. 6796 et 111 H.R. 2932 to prevent speculation and profiteering in the defaulted debt of certain poor countries, and for other purposes, article 2(6).</w:t>
      </w:r>
    </w:p>
  </w:footnote>
  <w:footnote w:id="1319">
    <w:p w14:paraId="37B96D2A" w14:textId="74C7320D" w:rsidR="0030147D" w:rsidRPr="00E72418" w:rsidRDefault="0030147D" w:rsidP="00C73E28">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Propos repris in Public Bill Committee, </w:t>
      </w:r>
      <w:r w:rsidRPr="00E72418">
        <w:rPr>
          <w:i/>
          <w:szCs w:val="20"/>
          <w:lang w:val="en-US"/>
        </w:rPr>
        <w:t>Debt Relief (Developing Countries) Bill</w:t>
      </w:r>
      <w:r w:rsidRPr="00E72418">
        <w:rPr>
          <w:szCs w:val="20"/>
          <w:lang w:val="en-US"/>
        </w:rPr>
        <w:t xml:space="preserve">, 9 mars 2010, colonne 10. Voyez également la consultation du Gouvernement britannique antérieure au </w:t>
      </w:r>
      <w:r w:rsidRPr="00E72418">
        <w:rPr>
          <w:i/>
          <w:szCs w:val="20"/>
          <w:lang w:val="en-US"/>
        </w:rPr>
        <w:t>Debt Relief (Developing Countries) Act</w:t>
      </w:r>
      <w:r w:rsidRPr="00E72418">
        <w:rPr>
          <w:szCs w:val="20"/>
          <w:lang w:val="en-US"/>
        </w:rPr>
        <w:t xml:space="preserve">, où après avoir affirmé que les activités de certains créanciers étaient de nature à détourner des montants libérés par les allègements de dettes, le Gouvernement ajoutait : « we firmly believe it is right to act to prevent this from happening at the expense of debt relief funded by the UK taxpayer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3).</w:t>
      </w:r>
    </w:p>
  </w:footnote>
  <w:footnote w:id="1320">
    <w:p w14:paraId="5F9DBE3F" w14:textId="77777777" w:rsidR="0030147D" w:rsidRPr="00E72418" w:rsidRDefault="0030147D" w:rsidP="00C73E2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Proposition de loi visant à sauvegarder la coopération au développement et l’allègement de la dette à la suite de l’intervention de fonds vautours, développements, Sénat, </w:t>
      </w:r>
      <w:r w:rsidRPr="00E72418">
        <w:rPr>
          <w:i/>
          <w:szCs w:val="20"/>
        </w:rPr>
        <w:t>Doc. parl.</w:t>
      </w:r>
      <w:r w:rsidRPr="00E72418">
        <w:rPr>
          <w:szCs w:val="20"/>
        </w:rPr>
        <w:t>, 2007-2008, doc. 4-482/1, p. 11.</w:t>
      </w:r>
    </w:p>
  </w:footnote>
  <w:footnote w:id="1321">
    <w:p w14:paraId="23066950" w14:textId="359BDC01" w:rsidR="0030147D" w:rsidRPr="00E72418" w:rsidRDefault="0030147D" w:rsidP="00E32F89">
      <w:pPr>
        <w:pStyle w:val="Sansinterligne"/>
        <w:rPr>
          <w:rFonts w:ascii="Times New Roman" w:hAnsi="Times New Roman" w:cs="Times New Roman"/>
          <w:szCs w:val="20"/>
        </w:rPr>
      </w:pPr>
      <w:r w:rsidRPr="00E72418">
        <w:rPr>
          <w:rStyle w:val="Appelnotedebasdep"/>
        </w:rPr>
        <w:footnoteRef/>
      </w:r>
      <w:r w:rsidRPr="00E72418">
        <w:t xml:space="preserve"> Du côté des </w:t>
      </w:r>
      <w:r w:rsidRPr="00E72418">
        <w:rPr>
          <w:rFonts w:cs="Times New Roman"/>
          <w:szCs w:val="24"/>
        </w:rPr>
        <w:t>É</w:t>
      </w:r>
      <w:r w:rsidRPr="00E72418">
        <w:t>tats débiteurs, Noel Villaroman indique qu’ « </w:t>
      </w:r>
      <w:r w:rsidRPr="00E72418">
        <w:rPr>
          <w:rFonts w:cs="Times New Roman"/>
        </w:rPr>
        <w:t>[e]</w:t>
      </w:r>
      <w:r w:rsidRPr="00E72418">
        <w:t xml:space="preserve">njoying the status of a higher law, ICESCR obligations must take priority and precedence before any contractual obligation assumed by states, including loan agreements, in the event of an unavoidable conflict » (N. </w:t>
      </w:r>
      <w:r w:rsidRPr="00E72418">
        <w:rPr>
          <w:rFonts w:cs="Times New Roman"/>
          <w:smallCaps/>
          <w:szCs w:val="24"/>
          <w:lang w:val="en-US"/>
        </w:rPr>
        <w:t xml:space="preserve">Villaroman, </w:t>
      </w:r>
      <w:r w:rsidRPr="00E72418">
        <w:rPr>
          <w:rFonts w:cs="Times New Roman"/>
          <w:szCs w:val="24"/>
          <w:lang w:val="en-US"/>
        </w:rPr>
        <w:t xml:space="preserve">« Debt Servicing and its Adverse Impact on Economic, Social and Cultural Rights in Developing Countries », </w:t>
      </w:r>
      <w:r w:rsidRPr="00E72418">
        <w:rPr>
          <w:rFonts w:ascii="Times New Roman" w:hAnsi="Times New Roman" w:cs="Times New Roman"/>
          <w:i/>
          <w:szCs w:val="20"/>
        </w:rPr>
        <w:t>J. Hum. Rts</w:t>
      </w:r>
      <w:r w:rsidRPr="00E72418">
        <w:rPr>
          <w:rFonts w:cs="Times New Roman"/>
          <w:szCs w:val="24"/>
          <w:lang w:val="en-US"/>
        </w:rPr>
        <w:t>, 2010, p. 499).</w:t>
      </w:r>
    </w:p>
  </w:footnote>
  <w:footnote w:id="1322">
    <w:p w14:paraId="785A8908" w14:textId="26E39D4A" w:rsidR="0030147D" w:rsidRPr="00E72418" w:rsidRDefault="0030147D" w:rsidP="0078304D">
      <w:pPr>
        <w:pStyle w:val="Sansinterligne"/>
        <w:rPr>
          <w:lang w:eastAsia="fr-BE"/>
        </w:rPr>
      </w:pPr>
      <w:r w:rsidRPr="00E72418">
        <w:rPr>
          <w:rStyle w:val="Appelnotedebasdep"/>
        </w:rPr>
        <w:footnoteRef/>
      </w:r>
      <w:r w:rsidRPr="00E72418">
        <w:t xml:space="preserve"> L’on peut relever que l’argument de la responsabilité est brandi par le sénateur new-yorkais Gustavo Rivera afin de justifier de sa proposition de loi visant à permettre la restructuration de dettes souveraines insoutenables. Il note ainsi notamment qu’ « </w:t>
      </w:r>
      <w:r w:rsidRPr="00E72418">
        <w:rPr>
          <w:rFonts w:cs="Times New Roman"/>
        </w:rPr>
        <w:t>[a]</w:t>
      </w:r>
      <w:r w:rsidRPr="00E72418">
        <w:rPr>
          <w:lang w:eastAsia="fr-BE"/>
        </w:rPr>
        <w:t xml:space="preserve">bsent an actual federal treaty, New York has the right and responsibility to fill this clear legal void </w:t>
      </w:r>
      <w:r w:rsidRPr="00E72418">
        <w:t xml:space="preserve">» (propos repris à l’adresse </w:t>
      </w:r>
      <w:hyperlink r:id="rId49" w:history="1">
        <w:r w:rsidRPr="00E72418">
          <w:rPr>
            <w:rStyle w:val="Lienhypertexte"/>
            <w:color w:val="auto"/>
            <w:u w:val="none"/>
          </w:rPr>
          <w:t>www.nysenate.gov/legislation/bills/2021/S6627</w:t>
        </w:r>
      </w:hyperlink>
      <w:r w:rsidRPr="00E72418">
        <w:t xml:space="preserve">. Sur cette proposition, voyez </w:t>
      </w:r>
      <w:r w:rsidRPr="00E72418">
        <w:rPr>
          <w:i/>
        </w:rPr>
        <w:t>infra</w:t>
      </w:r>
      <w:r w:rsidRPr="00E72418">
        <w:t xml:space="preserve"> n° 278).</w:t>
      </w:r>
    </w:p>
  </w:footnote>
  <w:footnote w:id="1323">
    <w:p w14:paraId="4198567F" w14:textId="78CAD154" w:rsidR="0030147D" w:rsidRPr="00E72418" w:rsidRDefault="0030147D" w:rsidP="00FC418F">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1Car"/>
          <w:rFonts w:ascii="Times" w:eastAsiaTheme="minorHAnsi" w:hAnsi="Times" w:cstheme="minorBidi"/>
          <w:color w:val="auto"/>
          <w:sz w:val="20"/>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p. 61.</w:t>
      </w:r>
    </w:p>
  </w:footnote>
  <w:footnote w:id="1324">
    <w:p w14:paraId="0C3B174A" w14:textId="02E3742B" w:rsidR="0030147D" w:rsidRPr="00E72418" w:rsidRDefault="0030147D" w:rsidP="00FC418F">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Comme le relève Tim Samples, « [m]ost of the legal innovation in sovereign debt litigation stems from cases brought by distressed debt hedge funds, also known as “vulture” funds » (</w:t>
      </w:r>
      <w:r w:rsidRPr="00E72418">
        <w:rPr>
          <w:rStyle w:val="Titre1Car"/>
          <w:rFonts w:ascii="Times" w:eastAsiaTheme="minorHAnsi" w:hAnsi="Times" w:cstheme="minorBidi"/>
          <w:smallCaps/>
          <w:color w:val="auto"/>
          <w:sz w:val="20"/>
          <w:szCs w:val="20"/>
          <w:lang w:val="en-US"/>
        </w:rPr>
        <w:t>T. Samples</w:t>
      </w:r>
      <w:r w:rsidRPr="00E72418">
        <w:rPr>
          <w:rStyle w:val="Titre1Car"/>
          <w:rFonts w:ascii="Times" w:eastAsiaTheme="minorHAnsi" w:hAnsi="Times" w:cstheme="minorBidi"/>
          <w:color w:val="auto"/>
          <w:sz w:val="20"/>
          <w:szCs w:val="20"/>
          <w:lang w:val="en-US"/>
        </w:rPr>
        <w:t xml:space="preserve">, « Rogue Trends in Sovereign Debt: Argentina, Vulture Funds, and </w:t>
      </w:r>
      <w:r w:rsidRPr="00E72418">
        <w:rPr>
          <w:rStyle w:val="Titre1Car"/>
          <w:rFonts w:ascii="Times" w:eastAsiaTheme="minorHAnsi" w:hAnsi="Times" w:cstheme="minorBidi"/>
          <w:i/>
          <w:color w:val="auto"/>
          <w:sz w:val="20"/>
          <w:szCs w:val="20"/>
          <w:lang w:val="en-US"/>
        </w:rPr>
        <w:t>Pari Passu</w:t>
      </w:r>
      <w:r w:rsidRPr="00E72418">
        <w:rPr>
          <w:rStyle w:val="Titre1Car"/>
          <w:rFonts w:ascii="Times" w:eastAsiaTheme="minorHAnsi" w:hAnsi="Times" w:cstheme="minorBidi"/>
          <w:color w:val="auto"/>
          <w:sz w:val="20"/>
          <w:szCs w:val="20"/>
          <w:lang w:val="en-US"/>
        </w:rPr>
        <w:t xml:space="preserve"> Under New York Law », </w:t>
      </w:r>
      <w:r w:rsidRPr="00E72418">
        <w:rPr>
          <w:rStyle w:val="Titre1Car"/>
          <w:rFonts w:ascii="Times" w:eastAsiaTheme="minorHAnsi" w:hAnsi="Times" w:cstheme="minorBidi"/>
          <w:i/>
          <w:color w:val="auto"/>
          <w:sz w:val="20"/>
          <w:szCs w:val="20"/>
          <w:lang w:val="en-US"/>
        </w:rPr>
        <w:t>op. cit.</w:t>
      </w:r>
      <w:r w:rsidRPr="00E72418">
        <w:rPr>
          <w:rStyle w:val="Titre1Car"/>
          <w:rFonts w:ascii="Times" w:eastAsiaTheme="minorHAnsi" w:hAnsi="Times" w:cstheme="minorBidi"/>
          <w:color w:val="auto"/>
          <w:sz w:val="20"/>
          <w:szCs w:val="20"/>
          <w:lang w:val="en-US"/>
        </w:rPr>
        <w:t>, p. 59).</w:t>
      </w:r>
    </w:p>
  </w:footnote>
  <w:footnote w:id="1325">
    <w:p w14:paraId="59FFDE5E" w14:textId="0AF0F45B" w:rsidR="0030147D" w:rsidRPr="00E72418" w:rsidRDefault="0030147D" w:rsidP="009B5B86">
      <w:pPr>
        <w:pStyle w:val="Sansinterligne"/>
      </w:pPr>
      <w:r w:rsidRPr="00E72418">
        <w:rPr>
          <w:rStyle w:val="Appelnotedebasdep"/>
        </w:rPr>
        <w:footnoteRef/>
      </w:r>
      <w:r w:rsidRPr="00E72418">
        <w:t xml:space="preserve"> Voyez également dans ce sens et de manière on ne peut plus imagée, D. </w:t>
      </w:r>
      <w:r w:rsidRPr="00E72418">
        <w:rPr>
          <w:smallCaps/>
        </w:rPr>
        <w:t xml:space="preserve">Brutti, </w:t>
      </w:r>
      <w:r w:rsidRPr="00E72418">
        <w:t>« Sovereign debt crises and vulture hedge funds: issues and policy solutions »,</w:t>
      </w:r>
      <w:r w:rsidRPr="00E72418">
        <w:rPr>
          <w:i/>
        </w:rPr>
        <w:t xml:space="preserve"> op. cit.</w:t>
      </w:r>
      <w:r w:rsidRPr="00E72418">
        <w:t>, p. 1819 : « [d</w:t>
      </w:r>
      <w:r w:rsidRPr="00E72418">
        <w:rPr>
          <w:szCs w:val="20"/>
        </w:rPr>
        <w:t>]espite the real benefits vultures provide to the secondary market for sovereign debt, something mus</w:t>
      </w:r>
      <w:r w:rsidRPr="00E72418">
        <w:t>t be done to dull their talons ».</w:t>
      </w:r>
    </w:p>
  </w:footnote>
  <w:footnote w:id="1326">
    <w:p w14:paraId="51F91A7E" w14:textId="60676630" w:rsidR="0030147D" w:rsidRPr="00E72418" w:rsidRDefault="0030147D" w:rsidP="00FC418F">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Burress</w:t>
      </w:r>
      <w:r w:rsidRPr="00E72418">
        <w:rPr>
          <w:szCs w:val="20"/>
          <w:lang w:val="en-US"/>
        </w:rPr>
        <w:t xml:space="preserve">, « Sovereign Disobedience: The Role of U.S. Courts in Curtailing the Proliferation of Sovereign Default », </w:t>
      </w:r>
      <w:r w:rsidRPr="00E72418">
        <w:rPr>
          <w:i/>
          <w:szCs w:val="20"/>
          <w:lang w:val="en-US"/>
        </w:rPr>
        <w:t>op. cit.</w:t>
      </w:r>
      <w:r w:rsidRPr="00E72418">
        <w:rPr>
          <w:szCs w:val="20"/>
          <w:lang w:val="en-US"/>
        </w:rPr>
        <w:t>, p. 309.</w:t>
      </w:r>
    </w:p>
  </w:footnote>
  <w:footnote w:id="1327">
    <w:p w14:paraId="5C7A3ED8" w14:textId="6E3AA330" w:rsidR="0030147D" w:rsidRPr="00E72418" w:rsidRDefault="0030147D" w:rsidP="00FC418F">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Voyez l’exposé sommaire de l’amendement n° 1405 (Rect) </w:t>
      </w:r>
      <w:r w:rsidRPr="00E72418">
        <w:rPr>
          <w:szCs w:val="24"/>
        </w:rPr>
        <w:t>à l’origine de l’article 60 de la loi Sapin II</w:t>
      </w:r>
      <w:r w:rsidRPr="00E72418">
        <w:rPr>
          <w:szCs w:val="20"/>
        </w:rPr>
        <w:t xml:space="preserve"> présenté par Dominique Potier </w:t>
      </w:r>
      <w:r w:rsidRPr="00E72418">
        <w:rPr>
          <w:i/>
          <w:szCs w:val="20"/>
        </w:rPr>
        <w:t>et al.</w:t>
      </w:r>
      <w:r w:rsidRPr="00E72418">
        <w:rPr>
          <w:szCs w:val="20"/>
        </w:rPr>
        <w:t xml:space="preserve">, 2 juin 2016, p. 4. Sur cette disposition anti-fonds spéculatifs française,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359 et suiv.</w:t>
      </w:r>
    </w:p>
  </w:footnote>
  <w:footnote w:id="1328">
    <w:p w14:paraId="58C9D3F6" w14:textId="2383CC80" w:rsidR="0030147D" w:rsidRPr="00E72418" w:rsidRDefault="0030147D" w:rsidP="00B75FE2">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128.</w:t>
      </w:r>
    </w:p>
  </w:footnote>
  <w:footnote w:id="1329">
    <w:p w14:paraId="51D568FF" w14:textId="1A77BED4" w:rsidR="0030147D" w:rsidRPr="00E72418" w:rsidRDefault="0030147D" w:rsidP="00FC418F">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11.</w:t>
      </w:r>
    </w:p>
  </w:footnote>
  <w:footnote w:id="1330">
    <w:p w14:paraId="67B15486" w14:textId="4EC19486" w:rsidR="0030147D" w:rsidRPr="00E72418" w:rsidRDefault="0030147D" w:rsidP="0039525E">
      <w:pPr>
        <w:pStyle w:val="Sansinterligne"/>
      </w:pPr>
      <w:r w:rsidRPr="00E72418">
        <w:rPr>
          <w:rStyle w:val="Appelnotedebasdep"/>
        </w:rPr>
        <w:footnoteRef/>
      </w:r>
      <w:r w:rsidRPr="00E72418">
        <w:t xml:space="preserve"> Voyez </w:t>
      </w:r>
      <w:r w:rsidRPr="00E72418">
        <w:rPr>
          <w:i/>
        </w:rPr>
        <w:t>infra</w:t>
      </w:r>
      <w:r w:rsidRPr="00E72418">
        <w:t xml:space="preserve"> n</w:t>
      </w:r>
      <w:r w:rsidRPr="00E72418">
        <w:rPr>
          <w:vertAlign w:val="superscript"/>
        </w:rPr>
        <w:t xml:space="preserve">os </w:t>
      </w:r>
      <w:r w:rsidRPr="00E72418">
        <w:t>406 et suiv.</w:t>
      </w:r>
    </w:p>
  </w:footnote>
  <w:footnote w:id="1331">
    <w:p w14:paraId="0329D64F" w14:textId="07BFF96B" w:rsidR="0030147D" w:rsidRPr="00E72418" w:rsidRDefault="0030147D" w:rsidP="00FC418F">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J. Rossi</w:t>
      </w:r>
      <w:r w:rsidRPr="00E72418">
        <w:rPr>
          <w:szCs w:val="20"/>
        </w:rPr>
        <w:t xml:space="preserve">, « Sovereign Debt Restructuring, National Development and Human </w:t>
      </w:r>
      <w:r w:rsidRPr="00E72418">
        <w:rPr>
          <w:szCs w:val="20"/>
          <w:lang w:val="en-US"/>
        </w:rPr>
        <w:t xml:space="preserve">Rights </w:t>
      </w:r>
      <w:r w:rsidRPr="00E72418">
        <w:rPr>
          <w:szCs w:val="20"/>
        </w:rPr>
        <w:t xml:space="preserve">», </w:t>
      </w:r>
      <w:r w:rsidRPr="00E72418">
        <w:rPr>
          <w:i/>
          <w:szCs w:val="20"/>
          <w:lang w:val="en-US"/>
        </w:rPr>
        <w:t>op. cit.</w:t>
      </w:r>
      <w:r w:rsidRPr="00E72418">
        <w:rPr>
          <w:szCs w:val="20"/>
        </w:rPr>
        <w:t>, p. 191.</w:t>
      </w:r>
    </w:p>
  </w:footnote>
  <w:footnote w:id="1332">
    <w:p w14:paraId="770F35BD" w14:textId="65DB0AB3" w:rsidR="0030147D" w:rsidRPr="00E72418" w:rsidRDefault="0030147D" w:rsidP="00F11B56">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Restructurer », </w:t>
      </w:r>
      <w:r w:rsidRPr="00E72418">
        <w:rPr>
          <w:i/>
          <w:szCs w:val="20"/>
        </w:rPr>
        <w:t>op. cit.</w:t>
      </w:r>
      <w:r w:rsidRPr="00E72418">
        <w:rPr>
          <w:szCs w:val="20"/>
        </w:rPr>
        <w:t>, p. 35.</w:t>
      </w:r>
    </w:p>
  </w:footnote>
  <w:footnote w:id="1333">
    <w:p w14:paraId="1D8D97D7" w14:textId="0FC00572" w:rsidR="0030147D" w:rsidRPr="00E72418" w:rsidRDefault="0030147D" w:rsidP="00102EBD">
      <w:pPr>
        <w:pStyle w:val="Sansinterligne"/>
        <w:rPr>
          <w:szCs w:val="20"/>
        </w:rPr>
      </w:pPr>
      <w:r w:rsidRPr="00E72418">
        <w:rPr>
          <w:rStyle w:val="Appelnotedebasdep"/>
          <w:szCs w:val="20"/>
        </w:rPr>
        <w:footnoteRef/>
      </w:r>
      <w:r w:rsidRPr="00E72418">
        <w:rPr>
          <w:szCs w:val="20"/>
        </w:rPr>
        <w:t xml:space="preserve"> Voyez notamment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p. 493.</w:t>
      </w:r>
    </w:p>
  </w:footnote>
  <w:footnote w:id="1334">
    <w:p w14:paraId="0F388C4D" w14:textId="412DC731" w:rsidR="0030147D" w:rsidRPr="00E72418" w:rsidRDefault="0030147D" w:rsidP="00B50982">
      <w:pPr>
        <w:pStyle w:val="Sansinterligne"/>
        <w:rPr>
          <w:szCs w:val="20"/>
          <w:lang w:val="en-US"/>
        </w:rPr>
      </w:pPr>
      <w:r w:rsidRPr="00E72418">
        <w:rPr>
          <w:rStyle w:val="Appelnotedebasdep"/>
          <w:szCs w:val="20"/>
        </w:rPr>
        <w:footnoteRef/>
      </w:r>
      <w:r w:rsidRPr="00E72418">
        <w:rPr>
          <w:szCs w:val="20"/>
          <w:lang w:val="en-US"/>
        </w:rPr>
        <w:t xml:space="preserve"> Les propositions de législation étatsuniennes visant à lutter contre les fonds spéculatifs relèvent ainsi que « [p]rofiteering in defaulted sovereign debt is made possible by the absence of the same type of bankruptcy protections for sovereign debtors that are available to private debtors » et que « [b]ankruptcy or other insolvency laws protect private debtors through, among other things, stays of execution pending reorganization or restructuring of debt, suspension of the accrual of interest, “cram-down” powers which allow the majority of creditors to force so-called “hold-out” creditors to accept a debt restructuring that will optimize the recovery of all creditors and avoid preferential payments to a minority of creditors, and the ability to discharge debts and obligations as part of a debt restructuring process » (U.S. bills 110 H.R. 6796 et 111 H.R. 2932 to prevent speculation and profiteering in the defaulted debt of certain poor countries, and for other purposes, article 2(8)). Voyez également</w:t>
      </w:r>
      <w:r w:rsidRPr="00E72418">
        <w:rPr>
          <w:rStyle w:val="SansinterligneCar"/>
          <w:szCs w:val="20"/>
          <w:lang w:val="en-US"/>
        </w:rPr>
        <w:t xml:space="preserve"> </w:t>
      </w:r>
      <w:r w:rsidRPr="00E72418">
        <w:rPr>
          <w:rStyle w:val="SansinterligneCar"/>
          <w:smallCaps/>
          <w:szCs w:val="20"/>
          <w:lang w:val="en-US"/>
        </w:rPr>
        <w:t>M. Goldmann</w:t>
      </w:r>
      <w:r w:rsidRPr="00E72418">
        <w:rPr>
          <w:rStyle w:val="SansinterligneCar"/>
          <w:szCs w:val="20"/>
          <w:lang w:val="en-US"/>
        </w:rPr>
        <w:t xml:space="preserve">, « Responsible sovereign lending and borrowing: the view from domestic jurisdictions », 2012, disponible à l’adresse </w:t>
      </w:r>
      <w:hyperlink r:id="rId50" w:history="1">
        <w:r w:rsidRPr="00E72418">
          <w:rPr>
            <w:rStyle w:val="SansinterligneCar"/>
            <w:szCs w:val="20"/>
            <w:lang w:val="en-US"/>
          </w:rPr>
          <w:t>https://unctad.org/en/PublicationsLibrary/gdsddf2012misc3_en.pdf</w:t>
        </w:r>
      </w:hyperlink>
      <w:r w:rsidRPr="00E72418">
        <w:rPr>
          <w:rStyle w:val="SansinterligneCar"/>
          <w:szCs w:val="20"/>
          <w:lang w:val="en-US"/>
        </w:rPr>
        <w:t xml:space="preserve"> (consultation le 17 octobre 2021), p. 5, qui explique que </w:t>
      </w:r>
      <w:r w:rsidRPr="00E72418">
        <w:rPr>
          <w:szCs w:val="20"/>
          <w:lang w:val="en-US"/>
        </w:rPr>
        <w:t>« [c]ertain general principles of insolvency law seem to enjoy virtually universal acceptance. Those principles include the automatic stay of other proceedings, the equality of borrowers with respect to payments, the priority of creditors holding collateral or privileges which are in the public interest, and majority decision-making by creditors. These principles could also be applied to international negotiations about, and procedures for, the rescheduling of sovereign debt ».</w:t>
      </w:r>
    </w:p>
  </w:footnote>
  <w:footnote w:id="1335">
    <w:p w14:paraId="076B2464" w14:textId="3B0B3B76" w:rsidR="0030147D" w:rsidRPr="00E72418" w:rsidRDefault="0030147D" w:rsidP="00B50982">
      <w:pPr>
        <w:pStyle w:val="Sansinterligne"/>
        <w:rPr>
          <w:szCs w:val="20"/>
          <w:lang w:val="en-US"/>
        </w:rPr>
      </w:pPr>
      <w:r w:rsidRPr="00E72418">
        <w:rPr>
          <w:rStyle w:val="Appelnotedebasdep"/>
          <w:szCs w:val="20"/>
        </w:rPr>
        <w:footnoteRef/>
      </w:r>
      <w:r w:rsidRPr="00E72418">
        <w:rPr>
          <w:szCs w:val="20"/>
        </w:rPr>
        <w:t xml:space="preserve"> Remarquons ainsi que, même si les fonds spéculant sur les dettes souveraines n’étaient pas visés </w:t>
      </w:r>
      <w:r w:rsidRPr="00E72418">
        <w:rPr>
          <w:i/>
          <w:szCs w:val="20"/>
        </w:rPr>
        <w:t>expressis verbis</w:t>
      </w:r>
      <w:r w:rsidRPr="00E72418">
        <w:rPr>
          <w:szCs w:val="20"/>
        </w:rPr>
        <w:t xml:space="preserve"> dans la proposition de </w:t>
      </w:r>
      <w:r w:rsidRPr="00E72418">
        <w:rPr>
          <w:i/>
          <w:szCs w:val="20"/>
        </w:rPr>
        <w:t>Sovereign Debt Restructuring Mechanism</w:t>
      </w:r>
      <w:r w:rsidRPr="00E72418">
        <w:rPr>
          <w:szCs w:val="20"/>
        </w:rPr>
        <w:t xml:space="preserve"> du Fonds monétaire international de 2002, ils étaient toutefois à l’esprit de ses concepteurs. Anne Krueger visait ainsi notamment, dans une allocution consacrée au mécanisme, les « rogue creditors » et la « vulture company called Elliott Associates » (</w:t>
      </w:r>
      <w:r w:rsidRPr="00E72418">
        <w:t xml:space="preserve">« A New Approach to Sovereign Debt Restructuring », 26 novembre 2001, discours disponible à l’adresse </w:t>
      </w:r>
      <w:hyperlink r:id="rId51" w:history="1">
        <w:r w:rsidRPr="00E72418">
          <w:rPr>
            <w:rStyle w:val="Lienhypertexte"/>
            <w:color w:val="auto"/>
            <w:u w:val="none"/>
          </w:rPr>
          <w:t>www.imf.org/en/News/Articles/2015/09/28/04/53/sp112601</w:t>
        </w:r>
      </w:hyperlink>
      <w:r w:rsidRPr="00E72418">
        <w:rPr>
          <w:rStyle w:val="Lienhypertexte"/>
          <w:color w:val="auto"/>
          <w:u w:val="none"/>
        </w:rPr>
        <w:t>, consultation le 17 octobre 2021)</w:t>
      </w:r>
      <w:r w:rsidRPr="00E72418">
        <w:t>.</w:t>
      </w:r>
      <w:r w:rsidR="00372DFE">
        <w:t xml:space="preserve"> Sur ce mécanisme, voyez </w:t>
      </w:r>
      <w:r w:rsidR="00372DFE" w:rsidRPr="00372DFE">
        <w:rPr>
          <w:i/>
        </w:rPr>
        <w:t>infra</w:t>
      </w:r>
      <w:r w:rsidR="00372DFE">
        <w:t xml:space="preserve"> n° 275.</w:t>
      </w:r>
    </w:p>
  </w:footnote>
  <w:footnote w:id="1336">
    <w:p w14:paraId="345FCF92" w14:textId="77777777" w:rsidR="0030147D" w:rsidRPr="00E72418" w:rsidRDefault="0030147D" w:rsidP="00B50982">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 xml:space="preserve">background note, 26 octobre 2016, </w:t>
      </w:r>
      <w:r w:rsidRPr="00E72418">
        <w:rPr>
          <w:szCs w:val="20"/>
          <w:lang w:val="en-US"/>
        </w:rPr>
        <w:t>p. 24.</w:t>
      </w:r>
    </w:p>
  </w:footnote>
  <w:footnote w:id="1337">
    <w:p w14:paraId="45CC54A2" w14:textId="5AEDB942" w:rsidR="0030147D" w:rsidRPr="00E72418" w:rsidRDefault="0030147D" w:rsidP="0011623A">
      <w:pPr>
        <w:pStyle w:val="Sansinterligne"/>
      </w:pPr>
      <w:r w:rsidRPr="00E72418">
        <w:rPr>
          <w:rStyle w:val="Appelnotedebasdep"/>
        </w:rPr>
        <w:footnoteRef/>
      </w:r>
      <w:r w:rsidRPr="00E72418">
        <w:t xml:space="preserve"> </w:t>
      </w:r>
      <w:r w:rsidRPr="00E72418">
        <w:rPr>
          <w:szCs w:val="20"/>
        </w:rPr>
        <w:t xml:space="preserve">S. </w:t>
      </w:r>
      <w:r w:rsidRPr="00E72418">
        <w:rPr>
          <w:smallCaps/>
        </w:rPr>
        <w:t>Park</w:t>
      </w:r>
      <w:r w:rsidRPr="00E72418">
        <w:t xml:space="preserve"> et T. </w:t>
      </w:r>
      <w:r w:rsidRPr="00E72418">
        <w:rPr>
          <w:smallCaps/>
        </w:rPr>
        <w:t>Samples</w:t>
      </w:r>
      <w:r w:rsidRPr="00E72418">
        <w:t>, « Towards Sovereign Equity »,</w:t>
      </w:r>
      <w:r w:rsidRPr="00E72418">
        <w:rPr>
          <w:i/>
          <w:iCs/>
        </w:rPr>
        <w:t xml:space="preserve"> op. cit.</w:t>
      </w:r>
      <w:r w:rsidRPr="00E72418">
        <w:rPr>
          <w:iCs/>
        </w:rPr>
        <w:t>, p.</w:t>
      </w:r>
      <w:r w:rsidRPr="00E72418">
        <w:t xml:space="preserve"> 242.</w:t>
      </w:r>
    </w:p>
  </w:footnote>
  <w:footnote w:id="1338">
    <w:p w14:paraId="5C06C72E" w14:textId="77777777" w:rsidR="0030147D" w:rsidRPr="00E72418" w:rsidRDefault="0030147D" w:rsidP="00E5760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Propos d’Ian Pearson repris in House of Commons, </w:t>
      </w:r>
      <w:r w:rsidRPr="00E72418">
        <w:rPr>
          <w:i/>
          <w:szCs w:val="20"/>
          <w:lang w:val="en-US"/>
        </w:rPr>
        <w:t>Debt Relief (Developing Countries) Bill</w:t>
      </w:r>
      <w:r w:rsidRPr="00E72418">
        <w:rPr>
          <w:szCs w:val="20"/>
          <w:lang w:val="en-US"/>
        </w:rPr>
        <w:t>, second reading, 26 février 2010, vol. 506, colonne 572.</w:t>
      </w:r>
    </w:p>
  </w:footnote>
  <w:footnote w:id="1339">
    <w:p w14:paraId="0B1412C5" w14:textId="5353652C"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Iversen</w:t>
      </w:r>
      <w:r w:rsidRPr="00E72418">
        <w:rPr>
          <w:szCs w:val="20"/>
          <w:lang w:val="en-US"/>
        </w:rPr>
        <w:t xml:space="preserve">, « Vulture Fund Legislation », </w:t>
      </w:r>
      <w:r w:rsidRPr="00E72418">
        <w:rPr>
          <w:i/>
          <w:szCs w:val="20"/>
          <w:lang w:val="en-US"/>
        </w:rPr>
        <w:t>op. cit.</w:t>
      </w:r>
      <w:r w:rsidRPr="00E72418">
        <w:rPr>
          <w:szCs w:val="20"/>
          <w:lang w:val="en-US"/>
        </w:rPr>
        <w:t>, p. 11.</w:t>
      </w:r>
    </w:p>
  </w:footnote>
  <w:footnote w:id="1340">
    <w:p w14:paraId="1C20C7FD" w14:textId="0A09013B" w:rsidR="0030147D" w:rsidRPr="00E72418" w:rsidRDefault="0030147D" w:rsidP="006F6AF9">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Conférence des Nations Unies sur le commerce et le développement, « Sovereign Debt Restructurings: Lessons learned from legislative steps taken by certain countries and other appropriate action to reduce the vulnerability of sovereigns to holdout creditors</w:t>
      </w:r>
      <w:r w:rsidRPr="00E72418">
        <w:rPr>
          <w:i/>
          <w:szCs w:val="20"/>
          <w:lang w:val="en-US"/>
        </w:rPr>
        <w:t xml:space="preserve"> </w:t>
      </w:r>
      <w:r w:rsidRPr="00E72418">
        <w:rPr>
          <w:szCs w:val="20"/>
          <w:lang w:val="en-US"/>
        </w:rPr>
        <w:t>», présentation, 26 octobre 2016.</w:t>
      </w:r>
    </w:p>
  </w:footnote>
  <w:footnote w:id="1341">
    <w:p w14:paraId="30A50622" w14:textId="38E02994"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Lopez</w:t>
      </w:r>
      <w:r w:rsidRPr="00E72418">
        <w:rPr>
          <w:szCs w:val="20"/>
          <w:lang w:val="en-US"/>
        </w:rPr>
        <w:t xml:space="preserve"> et </w:t>
      </w:r>
      <w:r w:rsidRPr="00E72418">
        <w:rPr>
          <w:smallCaps/>
          <w:szCs w:val="20"/>
          <w:lang w:val="en-US"/>
        </w:rPr>
        <w:t>C. Nahon</w:t>
      </w:r>
      <w:r w:rsidRPr="00E72418">
        <w:rPr>
          <w:szCs w:val="20"/>
          <w:lang w:val="en-US"/>
        </w:rPr>
        <w:t xml:space="preserve">, « The Growth of Debt and the Debt of Growth: Lessons from the Case of Argentina », </w:t>
      </w:r>
      <w:r w:rsidRPr="00E72418">
        <w:rPr>
          <w:i/>
          <w:szCs w:val="20"/>
          <w:lang w:val="en-US"/>
        </w:rPr>
        <w:t>op. cit.</w:t>
      </w:r>
      <w:r w:rsidRPr="00E72418">
        <w:rPr>
          <w:szCs w:val="20"/>
          <w:lang w:val="en-US"/>
        </w:rPr>
        <w:t>, p. 99.</w:t>
      </w:r>
    </w:p>
  </w:footnote>
  <w:footnote w:id="1342">
    <w:p w14:paraId="45E91C4B" w14:textId="7BB0A24F" w:rsidR="0030147D" w:rsidRPr="00E72418" w:rsidRDefault="0030147D" w:rsidP="00E5760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i/>
          <w:szCs w:val="20"/>
          <w:lang w:val="en-US"/>
        </w:rPr>
        <w:t>Ibid.</w:t>
      </w:r>
    </w:p>
  </w:footnote>
  <w:footnote w:id="1343">
    <w:p w14:paraId="1AEF5033" w14:textId="7E024861" w:rsidR="0030147D" w:rsidRPr="00E72418" w:rsidRDefault="0030147D" w:rsidP="00E5760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Voyez</w:t>
      </w:r>
      <w:r>
        <w:rPr>
          <w:szCs w:val="20"/>
          <w:lang w:val="en-US"/>
        </w:rPr>
        <w:t>,</w:t>
      </w:r>
      <w:r w:rsidRPr="00E72418">
        <w:rPr>
          <w:szCs w:val="20"/>
          <w:lang w:val="en-US"/>
        </w:rPr>
        <w:t xml:space="preserve"> par exemple</w:t>
      </w:r>
      <w:r>
        <w:rPr>
          <w:szCs w:val="20"/>
          <w:lang w:val="en-US"/>
        </w:rPr>
        <w:t>,</w:t>
      </w:r>
      <w:r w:rsidRPr="00E72418">
        <w:rPr>
          <w:szCs w:val="20"/>
          <w:lang w:val="en-US"/>
        </w:rPr>
        <w:t xml:space="preserve">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p. 189 : « the lack of regulation on the processes for collecting on sovereign debt [is a legal gap] that must be filled ».</w:t>
      </w:r>
    </w:p>
  </w:footnote>
  <w:footnote w:id="1344">
    <w:p w14:paraId="69E47E08" w14:textId="0B751EDA"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Westbrook</w:t>
      </w:r>
      <w:r w:rsidRPr="00E72418">
        <w:rPr>
          <w:szCs w:val="20"/>
          <w:lang w:val="en-US"/>
        </w:rPr>
        <w:t xml:space="preserve">, « Sovereign Debt and Exclusion from Insolvency Proceedings », in C. </w:t>
      </w:r>
      <w:r w:rsidRPr="00E72418">
        <w:rPr>
          <w:smallCaps/>
          <w:szCs w:val="20"/>
          <w:lang w:val="en-US"/>
        </w:rPr>
        <w:t>Paulus</w:t>
      </w:r>
      <w:r w:rsidRPr="00E72418">
        <w:rPr>
          <w:szCs w:val="20"/>
          <w:lang w:val="en-US"/>
        </w:rPr>
        <w:t xml:space="preserve"> (éd.), </w:t>
      </w:r>
      <w:r w:rsidRPr="00E72418">
        <w:rPr>
          <w:i/>
          <w:szCs w:val="20"/>
          <w:lang w:val="en-US"/>
        </w:rPr>
        <w:t>A Debt Restructuring Mechanism for Sovereigns: Do We Need a Legal Procedure?</w:t>
      </w:r>
      <w:r w:rsidRPr="00E72418">
        <w:rPr>
          <w:szCs w:val="20"/>
          <w:lang w:val="en-US"/>
        </w:rPr>
        <w:t>, Beck.Hart.Nomos, 2014, p. 251.</w:t>
      </w:r>
    </w:p>
  </w:footnote>
  <w:footnote w:id="1345">
    <w:p w14:paraId="7DC3DA03" w14:textId="6DC3E1BE" w:rsidR="0030147D" w:rsidRPr="00E72418" w:rsidRDefault="0030147D" w:rsidP="00E57603">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rStyle w:val="Titre2Car"/>
          <w:rFonts w:ascii="Times" w:eastAsiaTheme="minorHAnsi" w:hAnsi="Times" w:cstheme="minorBidi"/>
          <w:smallCaps/>
          <w:color w:val="auto"/>
          <w:sz w:val="20"/>
          <w:szCs w:val="20"/>
          <w:lang w:val="en-US"/>
        </w:rPr>
        <w:t>J. Muse-Fisher</w:t>
      </w:r>
      <w:r w:rsidRPr="00E72418">
        <w:rPr>
          <w:rStyle w:val="Titre2Car"/>
          <w:rFonts w:ascii="Times" w:eastAsiaTheme="minorHAnsi" w:hAnsi="Times" w:cstheme="minorBidi"/>
          <w:color w:val="auto"/>
          <w:sz w:val="20"/>
          <w:szCs w:val="20"/>
          <w:lang w:val="en-US"/>
        </w:rPr>
        <w:t xml:space="preserve">, « Starving the Vultures: </w:t>
      </w:r>
      <w:r w:rsidRPr="00E72418">
        <w:rPr>
          <w:rStyle w:val="Titre2Car"/>
          <w:rFonts w:ascii="Times" w:eastAsiaTheme="minorHAnsi" w:hAnsi="Times" w:cstheme="minorBidi"/>
          <w:i/>
          <w:color w:val="auto"/>
          <w:sz w:val="20"/>
          <w:szCs w:val="20"/>
          <w:lang w:val="en-US"/>
        </w:rPr>
        <w:t>NML Capital v. Republic of Argentina</w:t>
      </w:r>
      <w:r w:rsidRPr="00E72418">
        <w:rPr>
          <w:rStyle w:val="Titre2Car"/>
          <w:rFonts w:ascii="Times" w:eastAsiaTheme="minorHAnsi" w:hAnsi="Times" w:cstheme="minorBidi"/>
          <w:color w:val="auto"/>
          <w:sz w:val="20"/>
          <w:szCs w:val="20"/>
          <w:lang w:val="en-US"/>
        </w:rPr>
        <w:t xml:space="preserve"> and Solutions to the Problem of Distressed-Debt Funds », </w:t>
      </w:r>
      <w:r w:rsidRPr="00E72418">
        <w:rPr>
          <w:i/>
          <w:szCs w:val="20"/>
          <w:lang w:val="en-US"/>
        </w:rPr>
        <w:t>op. cit.</w:t>
      </w:r>
      <w:r w:rsidRPr="00E72418">
        <w:rPr>
          <w:rStyle w:val="Titre2Car"/>
          <w:rFonts w:ascii="Times" w:eastAsiaTheme="minorHAnsi" w:hAnsi="Times" w:cstheme="minorBidi"/>
          <w:color w:val="auto"/>
          <w:sz w:val="20"/>
          <w:szCs w:val="20"/>
          <w:lang w:val="en-US"/>
        </w:rPr>
        <w:t xml:space="preserve">, p. 1709. Faisant le parallèle avec le chaos entourant les difficultés financières rencontrées par un débiteur </w:t>
      </w:r>
      <w:r w:rsidRPr="00E72418">
        <w:rPr>
          <w:szCs w:val="20"/>
          <w:lang w:val="en-US"/>
        </w:rPr>
        <w:t xml:space="preserve">« </w:t>
      </w:r>
      <w:r w:rsidRPr="00E72418">
        <w:rPr>
          <w:rStyle w:val="Titre2Car"/>
          <w:rFonts w:ascii="Times" w:eastAsiaTheme="minorHAnsi" w:hAnsi="Times" w:cstheme="minorBidi"/>
          <w:color w:val="auto"/>
          <w:sz w:val="20"/>
          <w:szCs w:val="20"/>
          <w:lang w:val="en-US"/>
        </w:rPr>
        <w:t xml:space="preserve">classique </w:t>
      </w:r>
      <w:r w:rsidRPr="00E72418">
        <w:rPr>
          <w:szCs w:val="20"/>
          <w:lang w:val="en-US"/>
        </w:rPr>
        <w:t>»</w:t>
      </w:r>
      <w:r w:rsidRPr="00E72418">
        <w:rPr>
          <w:rStyle w:val="Titre2Car"/>
          <w:rFonts w:ascii="Times" w:eastAsiaTheme="minorHAnsi" w:hAnsi="Times" w:cstheme="minorBidi"/>
          <w:color w:val="auto"/>
          <w:sz w:val="20"/>
          <w:szCs w:val="20"/>
          <w:lang w:val="en-US"/>
        </w:rPr>
        <w:t xml:space="preserve"> et notant l’effet bénéfique suivant la saisine d’une juridiction pour connaître de ces difficultés, Christoph Paulus retient que </w:t>
      </w:r>
      <w:r w:rsidRPr="00E72418">
        <w:rPr>
          <w:szCs w:val="20"/>
          <w:lang w:val="en-US"/>
        </w:rPr>
        <w:t xml:space="preserve">« </w:t>
      </w:r>
      <w:r w:rsidRPr="00E72418">
        <w:rPr>
          <w:rFonts w:cs="Times New Roman"/>
        </w:rPr>
        <w:t xml:space="preserve">[t]here is no reason whatsoever visible why this should not also be the case if there existed a comparable legal procedure for sovereigns </w:t>
      </w:r>
      <w:r w:rsidRPr="00E72418">
        <w:rPr>
          <w:szCs w:val="20"/>
          <w:lang w:val="en-US"/>
        </w:rPr>
        <w:t xml:space="preserve">» (C. </w:t>
      </w:r>
      <w:r w:rsidRPr="00E72418">
        <w:rPr>
          <w:rFonts w:cs="Times New Roman"/>
          <w:smallCaps/>
          <w:szCs w:val="24"/>
          <w:lang w:val="en-US"/>
        </w:rPr>
        <w:t xml:space="preserve">Paulus, </w:t>
      </w:r>
      <w:r w:rsidRPr="00E72418">
        <w:rPr>
          <w:rFonts w:cs="Times New Roman"/>
          <w:szCs w:val="24"/>
          <w:lang w:val="en-US"/>
        </w:rPr>
        <w:t xml:space="preserve">« Sovereign defaults to be solved by politicians or by legal proceeding? », </w:t>
      </w:r>
      <w:r w:rsidRPr="00E72418">
        <w:rPr>
          <w:rFonts w:cs="Times New Roman"/>
          <w:i/>
          <w:szCs w:val="24"/>
          <w:lang w:val="en-US"/>
        </w:rPr>
        <w:t>op. cit.</w:t>
      </w:r>
      <w:r w:rsidRPr="00E72418">
        <w:rPr>
          <w:rFonts w:cs="Times New Roman"/>
          <w:szCs w:val="24"/>
          <w:lang w:val="en-US"/>
        </w:rPr>
        <w:t>, p. 215).</w:t>
      </w:r>
    </w:p>
  </w:footnote>
  <w:footnote w:id="1346">
    <w:p w14:paraId="5D8F8E83" w14:textId="77777777"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Smith</w:t>
      </w:r>
      <w:r w:rsidRPr="00E72418">
        <w:rPr>
          <w:szCs w:val="20"/>
          <w:lang w:val="en-US"/>
        </w:rPr>
        <w:t xml:space="preserve">, </w:t>
      </w:r>
      <w:r w:rsidRPr="00E72418">
        <w:rPr>
          <w:i/>
          <w:szCs w:val="20"/>
          <w:lang w:val="en-US"/>
        </w:rPr>
        <w:t>An Inquiry into the Nature and Causes of the Wealth of Nations</w:t>
      </w:r>
      <w:r w:rsidRPr="00E72418">
        <w:rPr>
          <w:szCs w:val="20"/>
          <w:lang w:val="en-US"/>
        </w:rPr>
        <w:t xml:space="preserve">, 1776, Livre 5, Chapitre III. </w:t>
      </w:r>
    </w:p>
  </w:footnote>
  <w:footnote w:id="1347">
    <w:p w14:paraId="675B274E" w14:textId="0FB2C448" w:rsidR="0030147D" w:rsidRPr="00E72418" w:rsidRDefault="0030147D" w:rsidP="00E57603">
      <w:pPr>
        <w:pStyle w:val="Sansinterligne"/>
        <w:rPr>
          <w:szCs w:val="20"/>
        </w:rPr>
      </w:pPr>
      <w:r w:rsidRPr="00E72418">
        <w:rPr>
          <w:rStyle w:val="Appelnotedebasdep"/>
          <w:szCs w:val="20"/>
        </w:rPr>
        <w:footnoteRef/>
      </w:r>
      <w:r w:rsidRPr="00E72418">
        <w:rPr>
          <w:szCs w:val="20"/>
        </w:rPr>
        <w:t xml:space="preserve"> Société des Nations, </w:t>
      </w:r>
      <w:r w:rsidRPr="00E72418">
        <w:rPr>
          <w:i/>
          <w:szCs w:val="20"/>
        </w:rPr>
        <w:t>Rapport du Comité pour l’étude des contrats d’emprunts internationaux</w:t>
      </w:r>
      <w:r w:rsidRPr="00E72418">
        <w:rPr>
          <w:szCs w:val="20"/>
        </w:rPr>
        <w:t>, 12 mai 1939, doc. C.145.M.93, p. 28. Mathias Audit relève que l’approche exclusivement contentieuse retenue dans le projet est aujourd’hui dépassée (</w:t>
      </w:r>
      <w:r w:rsidRPr="00E72418">
        <w:rPr>
          <w:smallCaps/>
          <w:szCs w:val="20"/>
        </w:rPr>
        <w:t>M. Audit</w:t>
      </w:r>
      <w:r w:rsidRPr="00E72418">
        <w:rPr>
          <w:szCs w:val="20"/>
        </w:rPr>
        <w:t xml:space="preserve">, « Dissection du défaut souverain », </w:t>
      </w:r>
      <w:r w:rsidRPr="00E72418">
        <w:rPr>
          <w:i/>
          <w:szCs w:val="20"/>
        </w:rPr>
        <w:t>op. cit.</w:t>
      </w:r>
      <w:r w:rsidRPr="00E72418">
        <w:rPr>
          <w:szCs w:val="20"/>
        </w:rPr>
        <w:t>, p. 20).</w:t>
      </w:r>
    </w:p>
  </w:footnote>
  <w:footnote w:id="1348">
    <w:p w14:paraId="2EFFD4DF" w14:textId="6BC8B87A" w:rsidR="0030147D" w:rsidRPr="00E72418" w:rsidRDefault="0030147D" w:rsidP="00E5760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p. 350.</w:t>
      </w:r>
    </w:p>
  </w:footnote>
  <w:footnote w:id="1349">
    <w:p w14:paraId="2EC36667" w14:textId="2739CD71" w:rsidR="0030147D" w:rsidRPr="00E72418" w:rsidRDefault="0030147D" w:rsidP="0011623A">
      <w:pPr>
        <w:pStyle w:val="Sansinterligne"/>
      </w:pPr>
      <w:r w:rsidRPr="00E72418">
        <w:rPr>
          <w:rStyle w:val="Appelnotedebasdep"/>
        </w:rPr>
        <w:footnoteRef/>
      </w:r>
      <w:r w:rsidRPr="00E72418">
        <w:t xml:space="preserve"> Elle ne fut pas l’unique idée du Fonds comme l’expliquent Kenneth Rogoff et Jeromin Zettelemeyer (K. </w:t>
      </w:r>
      <w:r w:rsidRPr="00E72418">
        <w:rPr>
          <w:smallCaps/>
        </w:rPr>
        <w:t xml:space="preserve">Rogoff </w:t>
      </w:r>
      <w:r w:rsidRPr="00E72418">
        <w:t xml:space="preserve">et J. </w:t>
      </w:r>
      <w:r w:rsidRPr="00E72418">
        <w:rPr>
          <w:smallCaps/>
        </w:rPr>
        <w:t>Zettelmeyer</w:t>
      </w:r>
      <w:r w:rsidRPr="00E72418">
        <w:t>, « Bankruptcy Procedures for Sovereigns: A History of Ideas, 1976 - 2001 »,</w:t>
      </w:r>
      <w:r w:rsidRPr="00E72418">
        <w:rPr>
          <w:bCs/>
        </w:rPr>
        <w:t xml:space="preserve"> </w:t>
      </w:r>
      <w:r w:rsidRPr="00E72418">
        <w:rPr>
          <w:bCs/>
          <w:i/>
        </w:rPr>
        <w:t>IMF Staff Papers 49/3</w:t>
      </w:r>
      <w:r w:rsidRPr="00E72418">
        <w:rPr>
          <w:bCs/>
        </w:rPr>
        <w:t>, 2002, pp. 470 à 507).</w:t>
      </w:r>
    </w:p>
  </w:footnote>
  <w:footnote w:id="1350">
    <w:p w14:paraId="27963A51" w14:textId="506BF91A"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Krueger</w:t>
      </w:r>
      <w:r w:rsidRPr="00E72418">
        <w:rPr>
          <w:szCs w:val="20"/>
          <w:lang w:val="en-US"/>
        </w:rPr>
        <w:t>, « A New Approach to Sovereign Debt Restructurings », International Monetary Fund, avril 2002, p. 40.</w:t>
      </w:r>
    </w:p>
  </w:footnote>
  <w:footnote w:id="1351">
    <w:p w14:paraId="4947FDF5" w14:textId="036177F3" w:rsidR="0030147D" w:rsidRPr="00E72418" w:rsidRDefault="0030147D" w:rsidP="00E57603">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154.</w:t>
      </w:r>
    </w:p>
  </w:footnote>
  <w:footnote w:id="1352">
    <w:p w14:paraId="404645E3" w14:textId="5857708E" w:rsidR="0030147D" w:rsidRPr="00E72418" w:rsidRDefault="0030147D" w:rsidP="0011623A">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w:t>
      </w:r>
      <w:r w:rsidRPr="00E72418">
        <w:rPr>
          <w:i/>
        </w:rPr>
        <w:t xml:space="preserve"> op. cit.</w:t>
      </w:r>
      <w:r w:rsidRPr="00E72418">
        <w:t>, p. 183.</w:t>
      </w:r>
    </w:p>
  </w:footnote>
  <w:footnote w:id="1353">
    <w:p w14:paraId="69E6733F" w14:textId="2974D9A1"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Fonds monétaire international, </w:t>
      </w:r>
      <w:r w:rsidRPr="00E72418">
        <w:rPr>
          <w:i/>
          <w:szCs w:val="20"/>
          <w:lang w:val="en-US"/>
        </w:rPr>
        <w:t xml:space="preserve">The design of the sovereign debt restructuring mechanism </w:t>
      </w:r>
      <w:r w:rsidRPr="00E72418">
        <w:rPr>
          <w:b/>
          <w:i/>
          <w:szCs w:val="20"/>
        </w:rPr>
        <w:t xml:space="preserve">– </w:t>
      </w:r>
      <w:r w:rsidRPr="00E72418">
        <w:rPr>
          <w:i/>
          <w:szCs w:val="20"/>
          <w:lang w:val="en-US"/>
        </w:rPr>
        <w:t>Further Considerations</w:t>
      </w:r>
      <w:r w:rsidRPr="00E72418">
        <w:rPr>
          <w:szCs w:val="20"/>
          <w:lang w:val="en-US"/>
        </w:rPr>
        <w:t xml:space="preserve">, 27 novembre 2002, p. 9. Ainsi, Christoph Paulus note de façon on ne peut plus imagée qu’ </w:t>
      </w:r>
      <w:r w:rsidRPr="00E72418">
        <w:rPr>
          <w:rStyle w:val="Titre4Car"/>
          <w:rFonts w:ascii="Times" w:eastAsiaTheme="minorHAnsi" w:hAnsi="Times" w:cstheme="minorBidi"/>
          <w:i w:val="0"/>
          <w:iCs w:val="0"/>
          <w:color w:val="auto"/>
          <w:szCs w:val="20"/>
        </w:rPr>
        <w:t>« a creditor’s petition would urge the debtor into a straitjacket of actions » (</w:t>
      </w:r>
      <w:r w:rsidRPr="00E72418">
        <w:t xml:space="preserve">C. </w:t>
      </w:r>
      <w:r w:rsidRPr="00E72418">
        <w:rPr>
          <w:smallCaps/>
        </w:rPr>
        <w:t xml:space="preserve">Paulus, </w:t>
      </w:r>
      <w:r w:rsidRPr="00E72418">
        <w:t xml:space="preserve">« Sovereign defaults to be solved by politicians or by legal proceeding? », </w:t>
      </w:r>
      <w:r w:rsidRPr="00E72418">
        <w:rPr>
          <w:i/>
        </w:rPr>
        <w:t>op. cit.</w:t>
      </w:r>
      <w:r w:rsidRPr="00E72418">
        <w:t>, p. 227).</w:t>
      </w:r>
    </w:p>
  </w:footnote>
  <w:footnote w:id="1354">
    <w:p w14:paraId="48E03085" w14:textId="4F67870F" w:rsidR="0030147D" w:rsidRPr="00E72418" w:rsidRDefault="0030147D" w:rsidP="00E57603">
      <w:pPr>
        <w:pStyle w:val="Sansinterligne"/>
        <w:rPr>
          <w:szCs w:val="20"/>
          <w:lang w:val="en-US"/>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xml:space="preserve">, n° 157. Et le conditionnel est de mise. En effet, comme l’explique le Fonds monétaire international, </w:t>
      </w:r>
      <w:r w:rsidRPr="00E72418">
        <w:rPr>
          <w:rStyle w:val="SansinterligneCar"/>
          <w:szCs w:val="20"/>
        </w:rPr>
        <w:t xml:space="preserve">« </w:t>
      </w:r>
      <w:r w:rsidRPr="00E72418">
        <w:rPr>
          <w:szCs w:val="20"/>
        </w:rPr>
        <w:t>[a]</w:t>
      </w:r>
      <w:r w:rsidRPr="00E72418">
        <w:rPr>
          <w:rStyle w:val="SansinterligneCar"/>
          <w:szCs w:val="20"/>
        </w:rPr>
        <w:t xml:space="preserve">ctivation would not automatically trigger any suspension of creditor rights. </w:t>
      </w:r>
      <w:r w:rsidRPr="00E72418">
        <w:rPr>
          <w:rStyle w:val="SansinterligneCar"/>
          <w:szCs w:val="20"/>
          <w:lang w:val="en-US"/>
        </w:rPr>
        <w:t>There would be no generalized stay on enforcement and no suspension of contractual provisions » (</w:t>
      </w:r>
      <w:r w:rsidRPr="00E72418">
        <w:rPr>
          <w:szCs w:val="20"/>
          <w:lang w:val="en-US"/>
        </w:rPr>
        <w:t>Fonds monétaire international</w:t>
      </w:r>
      <w:r w:rsidRPr="00E72418">
        <w:rPr>
          <w:rStyle w:val="SansinterligneCar"/>
          <w:szCs w:val="20"/>
          <w:lang w:val="en-US"/>
        </w:rPr>
        <w:t xml:space="preserve">, </w:t>
      </w:r>
      <w:r w:rsidRPr="00E72418">
        <w:rPr>
          <w:rStyle w:val="SansinterligneCar"/>
          <w:i/>
          <w:szCs w:val="20"/>
          <w:lang w:val="en-US"/>
        </w:rPr>
        <w:t xml:space="preserve">The design of the sovereign debt restructuring mechanism </w:t>
      </w:r>
      <w:r w:rsidRPr="00E72418">
        <w:rPr>
          <w:b/>
          <w:i/>
          <w:szCs w:val="20"/>
        </w:rPr>
        <w:t xml:space="preserve">– </w:t>
      </w:r>
      <w:r w:rsidRPr="00E72418">
        <w:rPr>
          <w:rStyle w:val="SansinterligneCar"/>
          <w:i/>
          <w:szCs w:val="20"/>
          <w:lang w:val="en-US"/>
        </w:rPr>
        <w:t>Further Considerations</w:t>
      </w:r>
      <w:r w:rsidRPr="00E72418">
        <w:rPr>
          <w:rStyle w:val="SansinterligneCar"/>
          <w:szCs w:val="20"/>
          <w:lang w:val="en-US"/>
        </w:rPr>
        <w:t>, 27 novembre 2002, p. 9).</w:t>
      </w:r>
    </w:p>
  </w:footnote>
  <w:footnote w:id="1355">
    <w:p w14:paraId="5BB24916" w14:textId="4990B5B0"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Comme cela ressort des explications du Fonds monétaire international : « creditor approval of proposals made by the debtor regarding either priority financing or the terms of restructuring would be made by 75 percent of the outstanding principal of those registered and verified claims that are subject to the restructuring » (</w:t>
      </w:r>
      <w:r w:rsidRPr="00E72418">
        <w:rPr>
          <w:i/>
          <w:szCs w:val="20"/>
          <w:lang w:val="en-US"/>
        </w:rPr>
        <w:t>ibid.,</w:t>
      </w:r>
      <w:r w:rsidRPr="00E72418">
        <w:rPr>
          <w:szCs w:val="20"/>
          <w:lang w:val="en-US"/>
        </w:rPr>
        <w:t xml:space="preserve"> p. 10).</w:t>
      </w:r>
    </w:p>
  </w:footnote>
  <w:footnote w:id="1356">
    <w:p w14:paraId="61AACAF9" w14:textId="105029DB" w:rsidR="0030147D" w:rsidRPr="00E72418" w:rsidRDefault="0030147D" w:rsidP="00E5760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Style w:val="Titre1Car"/>
          <w:rFonts w:ascii="Times" w:eastAsiaTheme="minorHAnsi" w:hAnsi="Times" w:cstheme="minorBidi"/>
          <w:smallCaps/>
          <w:color w:val="auto"/>
          <w:sz w:val="20"/>
          <w:szCs w:val="20"/>
        </w:rPr>
        <w:t>D. Carreau</w:t>
      </w:r>
      <w:r w:rsidRPr="00E72418">
        <w:rPr>
          <w:rStyle w:val="Titre1Car"/>
          <w:rFonts w:ascii="Times" w:eastAsiaTheme="minorHAnsi" w:hAnsi="Times" w:cstheme="minorBidi"/>
          <w:color w:val="auto"/>
          <w:sz w:val="20"/>
          <w:szCs w:val="20"/>
        </w:rPr>
        <w:t xml:space="preserve"> et </w:t>
      </w:r>
      <w:r w:rsidRPr="00E72418">
        <w:rPr>
          <w:rStyle w:val="Titre1Car"/>
          <w:rFonts w:ascii="Times" w:eastAsiaTheme="minorHAnsi" w:hAnsi="Times" w:cstheme="minorBidi"/>
          <w:smallCaps/>
          <w:color w:val="auto"/>
          <w:sz w:val="20"/>
          <w:szCs w:val="20"/>
        </w:rPr>
        <w:t>C. Kleiner</w:t>
      </w:r>
      <w:r w:rsidRPr="00E72418">
        <w:rPr>
          <w:rStyle w:val="Titre1Car"/>
          <w:rFonts w:ascii="Times" w:eastAsiaTheme="minorHAnsi" w:hAnsi="Times" w:cstheme="minorBidi"/>
          <w:color w:val="auto"/>
          <w:sz w:val="20"/>
          <w:szCs w:val="20"/>
        </w:rPr>
        <w:t>, « Dettes d’</w:t>
      </w:r>
      <w:r w:rsidRPr="00E72418">
        <w:rPr>
          <w:szCs w:val="20"/>
        </w:rPr>
        <w:t>É</w:t>
      </w:r>
      <w:r w:rsidRPr="00E72418">
        <w:rPr>
          <w:rStyle w:val="Titre1Car"/>
          <w:rFonts w:ascii="Times" w:eastAsiaTheme="minorHAnsi" w:hAnsi="Times" w:cstheme="minorBidi"/>
          <w:color w:val="auto"/>
          <w:sz w:val="20"/>
          <w:szCs w:val="20"/>
        </w:rPr>
        <w:t xml:space="preserve">tat », </w:t>
      </w:r>
      <w:r w:rsidRPr="00E72418">
        <w:rPr>
          <w:i/>
          <w:szCs w:val="20"/>
          <w:lang w:val="en-US"/>
        </w:rPr>
        <w:t>op. cit.</w:t>
      </w:r>
      <w:r w:rsidRPr="00E72418">
        <w:rPr>
          <w:rStyle w:val="Titre1Car"/>
          <w:rFonts w:ascii="Times" w:eastAsiaTheme="minorHAnsi" w:hAnsi="Times" w:cstheme="minorBidi"/>
          <w:color w:val="auto"/>
          <w:sz w:val="20"/>
          <w:szCs w:val="20"/>
        </w:rPr>
        <w:t>, n° 160.</w:t>
      </w:r>
    </w:p>
  </w:footnote>
  <w:footnote w:id="1357">
    <w:p w14:paraId="7039A791" w14:textId="78FC6668" w:rsidR="0030147D" w:rsidRPr="00E72418" w:rsidRDefault="0030147D" w:rsidP="00E57603">
      <w:pPr>
        <w:pStyle w:val="Sansinterligne"/>
        <w:rPr>
          <w:szCs w:val="20"/>
        </w:rPr>
      </w:pPr>
      <w:r w:rsidRPr="00E72418">
        <w:rPr>
          <w:rStyle w:val="Appelnotedebasdep"/>
          <w:szCs w:val="20"/>
        </w:rPr>
        <w:footnoteRef/>
      </w:r>
      <w:r w:rsidRPr="00E72418">
        <w:rPr>
          <w:szCs w:val="20"/>
          <w:lang w:val="en-US"/>
        </w:rPr>
        <w:t xml:space="preserve"> Voyez  </w:t>
      </w:r>
      <w:r w:rsidRPr="00E72418">
        <w:rPr>
          <w:i/>
          <w:szCs w:val="20"/>
          <w:lang w:val="en-US"/>
        </w:rPr>
        <w:t xml:space="preserve">Statutory Sovereign Debt Restructuring Mechanism (SDRM) </w:t>
      </w:r>
      <w:r w:rsidRPr="00E72418">
        <w:rPr>
          <w:b/>
          <w:i/>
          <w:szCs w:val="20"/>
        </w:rPr>
        <w:t xml:space="preserve">– </w:t>
      </w:r>
      <w:r w:rsidRPr="00E72418">
        <w:rPr>
          <w:i/>
          <w:szCs w:val="20"/>
          <w:lang w:val="en-US"/>
        </w:rPr>
        <w:t>Revised Report of the Managing Director to the International Monetary and Financial Committee</w:t>
      </w:r>
      <w:r w:rsidRPr="00E72418">
        <w:rPr>
          <w:szCs w:val="20"/>
          <w:lang w:val="en-US"/>
        </w:rPr>
        <w:t>, 8 avril 2003 (</w:t>
      </w:r>
      <w:hyperlink w:history="1">
        <w:r w:rsidRPr="00E72418">
          <w:rPr>
            <w:rStyle w:val="Lienhypertexte"/>
            <w:color w:val="auto"/>
            <w:szCs w:val="20"/>
            <w:u w:val="none"/>
            <w:lang w:val="en-US"/>
          </w:rPr>
          <w:t>disponible à l’adresse www.imf.org/en/Publications/Policy-Papers/Issues/2016/12/31/Statutory-Sovereign-Debt-Restructuring-Mechanism-SDRM-Revised-Report-of-the-Managing-PP201</w:t>
        </w:r>
      </w:hyperlink>
      <w:r w:rsidRPr="00E72418">
        <w:rPr>
          <w:rStyle w:val="Lienhypertexte"/>
          <w:color w:val="auto"/>
          <w:szCs w:val="20"/>
          <w:u w:val="none"/>
          <w:lang w:val="en-US"/>
        </w:rPr>
        <w:t xml:space="preserve"> (consultation le 17 octobre 2021)</w:t>
      </w:r>
      <w:r w:rsidRPr="00E72418">
        <w:rPr>
          <w:szCs w:val="20"/>
          <w:lang w:val="en-US"/>
        </w:rPr>
        <w:t xml:space="preserve">) : « [n]otwithstanding the substantial convergence of views within the Board on the key features of the SDRM, differences remain among Executive Directors on a number of substantive issues. More fundamentally, not all Executive Directors agree on the desirability of a statutory sovereign debt restructuring mechanism. At this stage, there does not appear to be the requisite support among the Fund membership to establish the SDRM through an amendment of the Fund’s Articles ». </w:t>
      </w:r>
      <w:r w:rsidRPr="00E72418">
        <w:rPr>
          <w:szCs w:val="20"/>
        </w:rPr>
        <w:t xml:space="preserve">Pour plus de détails sur les coulisses de l’abandon du projet du Fonds monétaire international, voyez l’article de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pp. 41 à 48 où les auteurs font état de témoignages exclusifs d’acteurs du projet.</w:t>
      </w:r>
    </w:p>
  </w:footnote>
  <w:footnote w:id="1358">
    <w:p w14:paraId="6EDE6234" w14:textId="1A3E0930"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C. Wheeler</w:t>
      </w:r>
      <w:r w:rsidRPr="00E72418">
        <w:rPr>
          <w:szCs w:val="20"/>
          <w:lang w:val="en-US"/>
        </w:rPr>
        <w:t xml:space="preserve"> 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p. 264. Dans le même sens, Jeffrey Butensky relève que la raison la plus importante expliquant l’impossible adoption de la proposition est que « the SDRM gave the IMF too much power at the cost of infringement on the sovereingty of both creditor and debtor nations » (</w:t>
      </w:r>
      <w:r w:rsidRPr="00E72418">
        <w:rPr>
          <w:rStyle w:val="Titre5Car"/>
          <w:rFonts w:ascii="Times" w:eastAsiaTheme="minorHAnsi" w:hAnsi="Times" w:cstheme="minorBidi"/>
          <w:smallCaps/>
          <w:color w:val="auto"/>
          <w:szCs w:val="20"/>
          <w:lang w:val="en-US"/>
        </w:rPr>
        <w:t>J. Butensky</w:t>
      </w:r>
      <w:r w:rsidRPr="00E72418">
        <w:rPr>
          <w:rStyle w:val="Titre5Car"/>
          <w:rFonts w:ascii="Times" w:eastAsiaTheme="minorHAnsi" w:hAnsi="Times" w:cstheme="minorBidi"/>
          <w:color w:val="auto"/>
          <w:szCs w:val="20"/>
          <w:lang w:val="en-US"/>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182).</w:t>
      </w:r>
    </w:p>
  </w:footnote>
  <w:footnote w:id="1359">
    <w:p w14:paraId="646A60E5" w14:textId="69CDB11D"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p. 351.</w:t>
      </w:r>
    </w:p>
  </w:footnote>
  <w:footnote w:id="1360">
    <w:p w14:paraId="0B1DF26B" w14:textId="42ACAE2A" w:rsidR="0030147D" w:rsidRPr="00E72418" w:rsidRDefault="0030147D" w:rsidP="003A6998">
      <w:pPr>
        <w:pStyle w:val="Sansinterligne"/>
      </w:pPr>
      <w:r w:rsidRPr="00E72418">
        <w:rPr>
          <w:rStyle w:val="Appelnotedebasdep"/>
        </w:rPr>
        <w:footnoteRef/>
      </w:r>
      <w:r w:rsidRPr="00E72418">
        <w:t xml:space="preserve"> </w:t>
      </w:r>
      <w:r w:rsidRPr="00E72418">
        <w:rPr>
          <w:smallCaps/>
          <w:szCs w:val="20"/>
          <w:lang w:val="en-US"/>
        </w:rPr>
        <w:t xml:space="preserve">B. </w:t>
      </w:r>
      <w:hyperlink r:id="rId52" w:history="1">
        <w:r w:rsidRPr="00E72418">
          <w:rPr>
            <w:smallCaps/>
            <w:szCs w:val="20"/>
            <w:lang w:val="en-US"/>
          </w:rPr>
          <w:t>Eichengreen</w:t>
        </w:r>
      </w:hyperlink>
      <w:r w:rsidRPr="00E72418">
        <w:rPr>
          <w:szCs w:val="20"/>
          <w:lang w:val="en-US"/>
        </w:rPr>
        <w:t xml:space="preserve">, </w:t>
      </w:r>
      <w:r w:rsidRPr="00E72418">
        <w:rPr>
          <w:i/>
          <w:szCs w:val="20"/>
          <w:lang w:val="en-US"/>
        </w:rPr>
        <w:t>Financial Crises and What to Do About Them</w:t>
      </w:r>
      <w:r w:rsidRPr="00E72418">
        <w:rPr>
          <w:szCs w:val="20"/>
          <w:lang w:val="en-US"/>
        </w:rPr>
        <w:t xml:space="preserve">, </w:t>
      </w:r>
      <w:r w:rsidRPr="00E72418">
        <w:rPr>
          <w:i/>
          <w:lang w:val="en-US"/>
        </w:rPr>
        <w:t>op. cit.</w:t>
      </w:r>
      <w:r w:rsidRPr="00E72418">
        <w:rPr>
          <w:lang w:val="en-US"/>
        </w:rPr>
        <w:t>, p. 10.</w:t>
      </w:r>
    </w:p>
  </w:footnote>
  <w:footnote w:id="1361">
    <w:p w14:paraId="538BE350" w14:textId="4A8D304D" w:rsidR="0030147D" w:rsidRPr="00E72418" w:rsidRDefault="0030147D" w:rsidP="0011623A">
      <w:pPr>
        <w:pStyle w:val="Sansinterligne"/>
      </w:pPr>
      <w:r w:rsidRPr="00E72418">
        <w:rPr>
          <w:rStyle w:val="Appelnotedebasdep"/>
        </w:rPr>
        <w:footnoteRef/>
      </w:r>
      <w:r w:rsidRPr="00E72418">
        <w:t xml:space="preserve"> </w:t>
      </w:r>
      <w:r w:rsidRPr="00E72418">
        <w:rPr>
          <w:smallCaps/>
          <w:szCs w:val="20"/>
        </w:rPr>
        <w:t>S. Hagan</w:t>
      </w:r>
      <w:r w:rsidRPr="00E72418">
        <w:rPr>
          <w:szCs w:val="20"/>
        </w:rPr>
        <w:t xml:space="preserve">, « Designing a Legal Framework to Restructure Sovereign Debt », </w:t>
      </w:r>
      <w:r w:rsidRPr="00E72418">
        <w:rPr>
          <w:i/>
          <w:szCs w:val="20"/>
        </w:rPr>
        <w:t>op. cit.</w:t>
      </w:r>
      <w:r w:rsidRPr="00E72418">
        <w:t>, pp. 391 et 392. L’auteur liste une série d’associations parmi lesquelles on retrouve l’</w:t>
      </w:r>
      <w:r w:rsidRPr="00E72418">
        <w:rPr>
          <w:i/>
        </w:rPr>
        <w:t xml:space="preserve">Institute of International Finance </w:t>
      </w:r>
      <w:r w:rsidRPr="00E72418">
        <w:t xml:space="preserve">qui se fit remarquer par son lobby lors de l’adoption de la loi anti-spéculation belge de 2015 (voyez </w:t>
      </w:r>
      <w:r w:rsidRPr="00E72418">
        <w:rPr>
          <w:i/>
        </w:rPr>
        <w:t>infra</w:t>
      </w:r>
      <w:r w:rsidRPr="00E72418">
        <w:t xml:space="preserve"> notamment n° 349). Sur cette organisation, voyez notamment J. </w:t>
      </w:r>
      <w:r w:rsidRPr="00E72418">
        <w:rPr>
          <w:smallCaps/>
        </w:rPr>
        <w:t>Blom</w:t>
      </w:r>
      <w:r w:rsidRPr="00E72418">
        <w:t>, « The Institute of International Finance: From Poacher to Gamekeeper ? »,</w:t>
      </w:r>
      <w:r w:rsidRPr="00E72418">
        <w:rPr>
          <w:i/>
        </w:rPr>
        <w:t xml:space="preserve"> op. cit.</w:t>
      </w:r>
      <w:r w:rsidRPr="00E72418">
        <w:t>, pp. 153 à 178.</w:t>
      </w:r>
    </w:p>
  </w:footnote>
  <w:footnote w:id="1362">
    <w:p w14:paraId="43C84F05" w14:textId="4B5B2F30" w:rsidR="0030147D" w:rsidRPr="00E72418" w:rsidRDefault="0030147D" w:rsidP="00135F3B">
      <w:pPr>
        <w:pStyle w:val="Sansinterligne"/>
      </w:pPr>
      <w:r w:rsidRPr="00E72418">
        <w:rPr>
          <w:rStyle w:val="Appelnotedebasdep"/>
        </w:rPr>
        <w:footnoteRef/>
      </w:r>
      <w:r w:rsidRPr="00E72418">
        <w:t xml:space="preserve"> Pourtant, comme le note Pierre d’Argent, « because of the decentralized character of international law, any centralization of the power to make law will always need to be traced back to State consent and </w:t>
      </w:r>
      <w:r w:rsidRPr="00E72418">
        <w:rPr>
          <w:i/>
        </w:rPr>
        <w:t>pacta sunt servanda</w:t>
      </w:r>
      <w:r w:rsidRPr="00E72418">
        <w:t xml:space="preserve"> » (P. </w:t>
      </w:r>
      <w:r w:rsidRPr="00E72418">
        <w:rPr>
          <w:smallCaps/>
        </w:rPr>
        <w:t>d’Argent</w:t>
      </w:r>
      <w:r w:rsidRPr="00E72418">
        <w:t xml:space="preserve">, « Sources and the Legality and Validity of International Law : What Makes Law </w:t>
      </w:r>
      <w:r w:rsidRPr="00E72418">
        <w:rPr>
          <w:szCs w:val="20"/>
          <w:lang w:val="en-US"/>
        </w:rPr>
        <w:t>“</w:t>
      </w:r>
      <w:r w:rsidRPr="00E72418">
        <w:t>International</w:t>
      </w:r>
      <w:r w:rsidRPr="00E72418">
        <w:rPr>
          <w:szCs w:val="20"/>
          <w:lang w:val="en-US"/>
        </w:rPr>
        <w:t>”</w:t>
      </w:r>
      <w:r w:rsidRPr="00E72418">
        <w:t xml:space="preserve"> ? », </w:t>
      </w:r>
      <w:r w:rsidRPr="00E72418">
        <w:rPr>
          <w:i/>
        </w:rPr>
        <w:t>op. cit.</w:t>
      </w:r>
      <w:r w:rsidRPr="00E72418">
        <w:t>, p. 545).</w:t>
      </w:r>
    </w:p>
  </w:footnote>
  <w:footnote w:id="1363">
    <w:p w14:paraId="7F845AB5" w14:textId="1788249F" w:rsidR="0030147D" w:rsidRPr="00E72418" w:rsidRDefault="0030147D" w:rsidP="00E5760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L’argument du coût est contesté par certains faisant notamment valoir qu’un mécanisme de restructuration des dettes souveraines en permet la rationalisation laquelle est de nature à en réduire le coût pour les créanciers (</w:t>
      </w:r>
      <w:r w:rsidRPr="00E72418">
        <w:rPr>
          <w:rStyle w:val="Titre2Car"/>
          <w:rFonts w:ascii="Times" w:eastAsiaTheme="minorHAnsi" w:hAnsi="Times" w:cstheme="minorBidi"/>
          <w:smallCaps/>
          <w:color w:val="auto"/>
          <w:sz w:val="20"/>
          <w:szCs w:val="20"/>
        </w:rPr>
        <w:t>J. Butensky</w:t>
      </w:r>
      <w:r w:rsidRPr="00E72418">
        <w:rPr>
          <w:rStyle w:val="Titre2Car"/>
          <w:rFonts w:ascii="Times" w:eastAsiaTheme="minorHAnsi" w:hAnsi="Times" w:cstheme="minorBidi"/>
          <w:color w:val="auto"/>
          <w:sz w:val="20"/>
          <w:szCs w:val="20"/>
        </w:rPr>
        <w:t xml:space="preserve">, « Tango or Sirtaki? The Argentine and Greek Dance with Sovereignty and a Multilateral Sovereign Debt Restructuring Framework », </w:t>
      </w:r>
      <w:r w:rsidRPr="00E72418">
        <w:rPr>
          <w:rStyle w:val="Titre2Car"/>
          <w:rFonts w:ascii="Times" w:eastAsiaTheme="minorHAnsi" w:hAnsi="Times" w:cstheme="minorBidi"/>
          <w:i/>
          <w:color w:val="auto"/>
          <w:sz w:val="20"/>
          <w:szCs w:val="20"/>
        </w:rPr>
        <w:t>op. cit.</w:t>
      </w:r>
      <w:r w:rsidRPr="00E72418">
        <w:rPr>
          <w:rStyle w:val="Titre2Car"/>
          <w:rFonts w:ascii="Times" w:eastAsiaTheme="minorHAnsi" w:hAnsi="Times" w:cstheme="minorBidi"/>
          <w:color w:val="auto"/>
          <w:sz w:val="20"/>
          <w:szCs w:val="20"/>
        </w:rPr>
        <w:t>, p. 194). Dans la même veine, d’autres auteurs reprennent l’argument suivant lequel l’insécurité découlant de l’absence d’un tel mécanisme augmente le coût du capital (</w:t>
      </w:r>
      <w:r w:rsidRPr="00E72418">
        <w:rPr>
          <w:szCs w:val="20"/>
        </w:rPr>
        <w:t xml:space="preserve">S. </w:t>
      </w:r>
      <w:r w:rsidRPr="00E72418">
        <w:rPr>
          <w:rFonts w:cs="Times New Roman"/>
          <w:smallCaps/>
          <w:szCs w:val="24"/>
          <w:lang w:val="en-US"/>
        </w:rPr>
        <w:t>Schwarcz</w:t>
      </w:r>
      <w:r w:rsidRPr="00E72418">
        <w:rPr>
          <w:rFonts w:cs="Times New Roman"/>
          <w:szCs w:val="24"/>
          <w:lang w:val="en-US"/>
        </w:rPr>
        <w:t xml:space="preserve">, « Sovereign Debt Restructuring and English Governing Law », </w:t>
      </w:r>
      <w:r w:rsidRPr="00E72418">
        <w:rPr>
          <w:rFonts w:cs="Times New Roman"/>
          <w:i/>
          <w:szCs w:val="24"/>
          <w:lang w:val="en-US"/>
        </w:rPr>
        <w:t>Brooklyn Journal of Corporate, Financial and Commercial Law</w:t>
      </w:r>
      <w:r w:rsidRPr="00E72418">
        <w:rPr>
          <w:rFonts w:cs="Times New Roman"/>
          <w:szCs w:val="24"/>
          <w:lang w:val="en-US"/>
        </w:rPr>
        <w:t>, 2017, p. 93</w:t>
      </w:r>
      <w:r w:rsidRPr="00E72418">
        <w:rPr>
          <w:rStyle w:val="Titre2Car"/>
          <w:rFonts w:ascii="Times" w:eastAsiaTheme="minorHAnsi" w:hAnsi="Times" w:cstheme="minorBidi"/>
          <w:color w:val="auto"/>
          <w:sz w:val="20"/>
          <w:szCs w:val="20"/>
        </w:rPr>
        <w:t>).</w:t>
      </w:r>
    </w:p>
  </w:footnote>
  <w:footnote w:id="1364">
    <w:p w14:paraId="4856D3F0" w14:textId="17B7E480" w:rsidR="0030147D" w:rsidRPr="00E72418" w:rsidRDefault="0030147D" w:rsidP="0011623A">
      <w:pPr>
        <w:pStyle w:val="Sansinterligne"/>
      </w:pPr>
      <w:r w:rsidRPr="00E72418">
        <w:rPr>
          <w:rStyle w:val="Appelnotedebasdep"/>
        </w:rPr>
        <w:footnoteRef/>
      </w:r>
      <w:r w:rsidRPr="00E72418">
        <w:t xml:space="preserve"> V. </w:t>
      </w:r>
      <w:r w:rsidRPr="00E72418">
        <w:rPr>
          <w:smallCaps/>
        </w:rPr>
        <w:t>Heuzé</w:t>
      </w:r>
      <w:r w:rsidRPr="00E72418">
        <w:t xml:space="preserve"> et H. </w:t>
      </w:r>
      <w:r w:rsidRPr="00E72418">
        <w:rPr>
          <w:smallCaps/>
        </w:rPr>
        <w:t>Muir Watt</w:t>
      </w:r>
      <w:r w:rsidRPr="00E72418">
        <w:t xml:space="preserve">, « Préface », in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i/>
          <w:lang w:eastAsia="fr-BE"/>
        </w:rPr>
        <w:t>É</w:t>
      </w:r>
      <w:r w:rsidRPr="00E72418">
        <w:rPr>
          <w:i/>
          <w:shd w:val="clear" w:color="auto" w:fill="FFFFFF"/>
        </w:rPr>
        <w:t>tat</w:t>
      </w:r>
      <w:r w:rsidRPr="00E72418">
        <w:rPr>
          <w:shd w:val="clear" w:color="auto" w:fill="FFFFFF"/>
        </w:rPr>
        <w:t xml:space="preserve">, L.G.D.J., 2017, </w:t>
      </w:r>
      <w:r w:rsidRPr="00E72418">
        <w:t>pp. XIV et XV.</w:t>
      </w:r>
    </w:p>
  </w:footnote>
  <w:footnote w:id="1365">
    <w:p w14:paraId="1398D39C" w14:textId="43CC1B53" w:rsidR="0030147D" w:rsidRPr="00E72418" w:rsidRDefault="0030147D" w:rsidP="00E57603">
      <w:pPr>
        <w:pStyle w:val="Sansinterligne"/>
        <w:rPr>
          <w:szCs w:val="20"/>
          <w:lang w:val="en-US"/>
        </w:rPr>
      </w:pPr>
      <w:r w:rsidRPr="00E72418">
        <w:rPr>
          <w:rStyle w:val="Appelnotedebasdep"/>
          <w:szCs w:val="20"/>
        </w:rPr>
        <w:footnoteRef/>
      </w:r>
      <w:r w:rsidRPr="00E72418">
        <w:rPr>
          <w:szCs w:val="20"/>
          <w:lang w:val="en-US"/>
        </w:rPr>
        <w:t xml:space="preserve"> Comme le relève Georgios Pavlidis, depuis la tentative avortée du Fonds monétaire international, « there has been no real progress made for the establishment of hard international laws on sovereign debt restructuring »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96).</w:t>
      </w:r>
    </w:p>
  </w:footnote>
  <w:footnote w:id="1366">
    <w:p w14:paraId="68FAB2E7" w14:textId="0C73171C" w:rsidR="0030147D" w:rsidRPr="00E72418" w:rsidRDefault="0030147D" w:rsidP="00E213E0">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xml:space="preserve">, n° 123.Voyez le traité du 2 février 2012 </w:t>
      </w:r>
      <w:r w:rsidRPr="00E72418">
        <w:rPr>
          <w:szCs w:val="24"/>
        </w:rPr>
        <w:t xml:space="preserve">instituant le mécanisme européen de stabilité dont l’article 3 précise que le but de cette institution est de </w:t>
      </w:r>
      <w:r w:rsidRPr="00E72418">
        <w:t>« mobiliser des ressources financières et de fournir […] un soutien à la stabilité à ses membres qui connaissent ou risquent de connaître de graves problèmes de financement, si cela est indispensable pour préserver la stabilité financière de la zone euro dans son ensemble et de ses États membres. […] ».</w:t>
      </w:r>
      <w:bookmarkStart w:id="324" w:name="_Toc47442896"/>
      <w:r w:rsidRPr="00E72418">
        <w:rPr>
          <w:rStyle w:val="Titre1Car"/>
          <w:rFonts w:ascii="Times" w:eastAsiaTheme="minorHAnsi" w:hAnsi="Times" w:cstheme="minorBidi"/>
          <w:color w:val="auto"/>
          <w:sz w:val="20"/>
          <w:szCs w:val="20"/>
        </w:rPr>
        <w:t xml:space="preserve"> </w:t>
      </w:r>
      <w:bookmarkEnd w:id="324"/>
    </w:p>
  </w:footnote>
  <w:footnote w:id="1367">
    <w:p w14:paraId="74AE40B3" w14:textId="64B7969E" w:rsidR="0030147D" w:rsidRPr="00E72418" w:rsidRDefault="0030147D" w:rsidP="00E57603">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14. La résolution visée est celle du 10 septembre 2015 intitulée </w:t>
      </w:r>
      <w:r w:rsidRPr="00E72418">
        <w:rPr>
          <w:i/>
          <w:szCs w:val="20"/>
        </w:rPr>
        <w:t>Résolution sur les principes fondamentaux des opérations de restructuration de la dette souveraine</w:t>
      </w:r>
      <w:r w:rsidRPr="00E72418">
        <w:rPr>
          <w:szCs w:val="20"/>
        </w:rPr>
        <w:t xml:space="preserve">. L’on pourrait encore notamment viser Assemblée générale des Nations Unies, </w:t>
      </w:r>
      <w:r w:rsidRPr="00E72418">
        <w:rPr>
          <w:rFonts w:ascii="Times New Roman" w:hAnsi="Times New Roman" w:cs="Times New Roman"/>
          <w:i/>
          <w:szCs w:val="24"/>
        </w:rPr>
        <w:t>É</w:t>
      </w:r>
      <w:r w:rsidRPr="00E72418">
        <w:rPr>
          <w:i/>
          <w:szCs w:val="20"/>
        </w:rPr>
        <w:t>tablissement d’un cadre juridique multilatéral applicable aux opérations de restructuration de la dette souveraine</w:t>
      </w:r>
      <w:r w:rsidRPr="00E72418">
        <w:rPr>
          <w:szCs w:val="20"/>
        </w:rPr>
        <w:t>, 9 septembre 2014, A/RES/68/304.</w:t>
      </w:r>
    </w:p>
  </w:footnote>
  <w:footnote w:id="1368">
    <w:p w14:paraId="5BF50BBC" w14:textId="2348C767" w:rsidR="0030147D" w:rsidRPr="00E72418" w:rsidRDefault="0030147D" w:rsidP="00E57603">
      <w:pPr>
        <w:pStyle w:val="Sansinterligne"/>
        <w:rPr>
          <w:szCs w:val="20"/>
          <w:lang w:val="en-US"/>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xml:space="preserve">, 17 avril 2018, 2016/2241(INI), point 32. </w:t>
      </w:r>
      <w:r w:rsidRPr="00E72418">
        <w:rPr>
          <w:rStyle w:val="Titre5Car"/>
          <w:rFonts w:ascii="Times" w:eastAsiaTheme="minorHAnsi" w:hAnsi="Times" w:cstheme="minorBidi"/>
          <w:color w:val="auto"/>
          <w:szCs w:val="20"/>
          <w:lang w:val="en-US"/>
        </w:rPr>
        <w:t>L’on peut lire dans l’explication de la résolution l’importance d’un «</w:t>
      </w:r>
      <w:r w:rsidRPr="00E72418">
        <w:rPr>
          <w:szCs w:val="20"/>
          <w:lang w:val="en-US"/>
        </w:rPr>
        <w:t xml:space="preserve"> code of conduct designed to ensure that credit facilities are part of the solution rather than a slippery slope towards an inexorable spiral of economic decline, social deprivation, insecurity and further crises of governance in the developing countries </w:t>
      </w:r>
      <w:r w:rsidRPr="00E72418">
        <w:rPr>
          <w:rStyle w:val="Titre5Car"/>
          <w:rFonts w:ascii="Times" w:eastAsiaTheme="minorHAnsi" w:hAnsi="Times" w:cstheme="minorBidi"/>
          <w:color w:val="auto"/>
          <w:szCs w:val="20"/>
          <w:lang w:val="en-US"/>
        </w:rPr>
        <w:t xml:space="preserve">» (Comité sur le développement du Parlement européen, </w:t>
      </w:r>
      <w:r w:rsidRPr="00E72418">
        <w:rPr>
          <w:rStyle w:val="Titre5Car"/>
          <w:rFonts w:ascii="Times" w:eastAsiaTheme="minorHAnsi" w:hAnsi="Times" w:cstheme="minorBidi"/>
          <w:i/>
          <w:color w:val="auto"/>
          <w:szCs w:val="20"/>
          <w:lang w:val="en-US"/>
        </w:rPr>
        <w:t>Report on enhancing developing countries’ debt sustainability (</w:t>
      </w:r>
      <w:r w:rsidRPr="00E72418">
        <w:rPr>
          <w:i/>
          <w:szCs w:val="20"/>
          <w:lang w:val="en-US"/>
        </w:rPr>
        <w:t>2016/2241(INI))</w:t>
      </w:r>
      <w:r w:rsidRPr="00E72418">
        <w:rPr>
          <w:szCs w:val="20"/>
          <w:lang w:val="en-US"/>
        </w:rPr>
        <w:t>, 28 mars 2018, A8-0129/2018, p. 12).</w:t>
      </w:r>
    </w:p>
  </w:footnote>
  <w:footnote w:id="1369">
    <w:p w14:paraId="62D01D1C" w14:textId="5F4ADCD8" w:rsidR="0030147D" w:rsidRPr="00E72418" w:rsidRDefault="0030147D" w:rsidP="005235B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Pottow</w:t>
      </w:r>
      <w:r w:rsidRPr="00E72418">
        <w:rPr>
          <w:szCs w:val="20"/>
          <w:lang w:val="en-US"/>
        </w:rPr>
        <w:t xml:space="preserve">, « Mitigating the Problem of Vulture Holdout: International Certification Boards for Sovereign-Debt Restructurings », </w:t>
      </w:r>
      <w:r w:rsidRPr="00E72418">
        <w:rPr>
          <w:i/>
          <w:szCs w:val="20"/>
          <w:lang w:val="en-US"/>
        </w:rPr>
        <w:t>op. cit.</w:t>
      </w:r>
      <w:r w:rsidRPr="00E72418">
        <w:rPr>
          <w:szCs w:val="20"/>
          <w:lang w:val="en-US"/>
        </w:rPr>
        <w:t>, p. 236.</w:t>
      </w:r>
    </w:p>
  </w:footnote>
  <w:footnote w:id="1370">
    <w:p w14:paraId="64F9B800" w14:textId="5362D4AF" w:rsidR="0030147D" w:rsidRPr="00E72418" w:rsidRDefault="0030147D" w:rsidP="005235B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Au sujet de l’objet de notre étude précisément, de l’avis du Professeur, le comité d’homologation des propositions de restructuration des dettes souveraines « could be a small step in corralling the vulture funds and other actors in the sovereign-debt world into more rational resolution of sovereign financial distress » (</w:t>
      </w:r>
      <w:r w:rsidRPr="00E72418">
        <w:rPr>
          <w:i/>
          <w:szCs w:val="20"/>
          <w:lang w:val="en-US"/>
        </w:rPr>
        <w:t>ibid.</w:t>
      </w:r>
      <w:r w:rsidRPr="00E72418">
        <w:rPr>
          <w:szCs w:val="20"/>
          <w:lang w:val="en-US"/>
        </w:rPr>
        <w:t>, p. 243).</w:t>
      </w:r>
    </w:p>
  </w:footnote>
  <w:footnote w:id="1371">
    <w:p w14:paraId="0D9DE0D4" w14:textId="497D4064" w:rsidR="0030147D" w:rsidRPr="00E72418" w:rsidRDefault="0030147D" w:rsidP="00832BEF">
      <w:pPr>
        <w:pStyle w:val="Sansinterligne"/>
      </w:pPr>
      <w:r w:rsidRPr="00E72418">
        <w:rPr>
          <w:rStyle w:val="Appelnotedebasdep"/>
        </w:rPr>
        <w:footnoteRef/>
      </w:r>
      <w:r w:rsidRPr="00E72418">
        <w:t xml:space="preserve"> L’on pourrait imaginer que les </w:t>
      </w:r>
      <w:r w:rsidRPr="00E72418">
        <w:rPr>
          <w:rFonts w:cs="Times New Roman"/>
          <w:szCs w:val="24"/>
        </w:rPr>
        <w:t>É</w:t>
      </w:r>
      <w:r w:rsidRPr="00E72418">
        <w:t>tats se saisissent de l’intérêt d’une telle législation qui aurait été adoptée par l’un ou l’autre pays en désignant comme applicable à leur dette le droit d’un tel pays.</w:t>
      </w:r>
    </w:p>
  </w:footnote>
  <w:footnote w:id="1372">
    <w:p w14:paraId="5B14C95D" w14:textId="7C14FD35" w:rsidR="0030147D" w:rsidRPr="00E72418" w:rsidRDefault="0030147D" w:rsidP="00F51EA6">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xml:space="preserve">, pp. 377 à 381. </w:t>
      </w:r>
    </w:p>
  </w:footnote>
  <w:footnote w:id="1373">
    <w:p w14:paraId="09CCEAA3" w14:textId="037B0748" w:rsidR="0030147D" w:rsidRPr="00E72418" w:rsidRDefault="0030147D" w:rsidP="00832BEF">
      <w:pPr>
        <w:pStyle w:val="Sansinterligne"/>
      </w:pPr>
      <w:r w:rsidRPr="00E72418">
        <w:rPr>
          <w:rStyle w:val="Appelnotedebasdep"/>
        </w:rPr>
        <w:footnoteRef/>
      </w:r>
      <w:r w:rsidRPr="00E72418">
        <w:t xml:space="preserve"> Voyez C. </w:t>
      </w:r>
      <w:r w:rsidRPr="00E72418">
        <w:rPr>
          <w:smallCaps/>
        </w:rPr>
        <w:t xml:space="preserve">Paulus, </w:t>
      </w:r>
      <w:r w:rsidRPr="00E72418">
        <w:t xml:space="preserve">« Sovereign defaults to be solved by politicians or by legal proceeding? », </w:t>
      </w:r>
      <w:r w:rsidRPr="00E72418">
        <w:rPr>
          <w:i/>
        </w:rPr>
        <w:t>op. cit.</w:t>
      </w:r>
      <w:r w:rsidRPr="00E72418">
        <w:t>, pp. 215 et suiv.</w:t>
      </w:r>
    </w:p>
  </w:footnote>
  <w:footnote w:id="1374">
    <w:p w14:paraId="4FCF6D25" w14:textId="77777777" w:rsidR="0030147D" w:rsidRPr="00E72418" w:rsidRDefault="0030147D" w:rsidP="00A60EB7">
      <w:pPr>
        <w:pStyle w:val="Sansinterligne"/>
      </w:pPr>
      <w:r w:rsidRPr="00E72418">
        <w:rPr>
          <w:rStyle w:val="Appelnotedebasdep"/>
        </w:rPr>
        <w:footnoteRef/>
      </w:r>
      <w:r w:rsidRPr="00E72418">
        <w:t xml:space="preserve"> Le texte n° S6627 dont le titre est « </w:t>
      </w:r>
      <w:r w:rsidRPr="00E72418">
        <w:rPr>
          <w:szCs w:val="20"/>
        </w:rPr>
        <w:t>[a]</w:t>
      </w:r>
      <w:r w:rsidRPr="00E72418">
        <w:t xml:space="preserve">n act to amend the banking law, in relation to restructuring unsustainable sovereign and subnational debt » a été introduit en mai 2021 et a été envoyé au </w:t>
      </w:r>
      <w:r w:rsidRPr="00E72418">
        <w:rPr>
          <w:i/>
        </w:rPr>
        <w:t>Banks Committee</w:t>
      </w:r>
      <w:r w:rsidRPr="00E72418">
        <w:t xml:space="preserve">. Il est disponible à l’adresse </w:t>
      </w:r>
      <w:hyperlink r:id="rId53" w:history="1">
        <w:r w:rsidRPr="00E72418">
          <w:rPr>
            <w:rStyle w:val="Lienhypertexte"/>
            <w:color w:val="auto"/>
            <w:u w:val="none"/>
          </w:rPr>
          <w:t>www.nysenate.gov/legislation/bills/2021/S6627</w:t>
        </w:r>
      </w:hyperlink>
      <w:r w:rsidRPr="00E72418">
        <w:t>. Notons que le texte vise également les dettes « subnational » qui sortent toutefois du champ de notre recherche.</w:t>
      </w:r>
    </w:p>
  </w:footnote>
  <w:footnote w:id="1375">
    <w:p w14:paraId="639B01CD" w14:textId="77777777" w:rsidR="0030147D" w:rsidRPr="00E72418" w:rsidRDefault="0030147D" w:rsidP="00A60EB7">
      <w:pPr>
        <w:pStyle w:val="Sansinterligne"/>
      </w:pPr>
      <w:r w:rsidRPr="00E72418">
        <w:rPr>
          <w:rStyle w:val="Appelnotedebasdep"/>
        </w:rPr>
        <w:footnoteRef/>
      </w:r>
      <w:r w:rsidRPr="00E72418">
        <w:t xml:space="preserve"> Propos repris à l’adresse </w:t>
      </w:r>
      <w:hyperlink r:id="rId54" w:history="1">
        <w:r w:rsidRPr="00E72418">
          <w:rPr>
            <w:rStyle w:val="Lienhypertexte"/>
            <w:color w:val="auto"/>
            <w:u w:val="none"/>
          </w:rPr>
          <w:t>www.nysenate.gov/legislation/bills/2021/S6627</w:t>
        </w:r>
      </w:hyperlink>
      <w:r w:rsidRPr="00E72418">
        <w:t>.</w:t>
      </w:r>
    </w:p>
  </w:footnote>
  <w:footnote w:id="1376">
    <w:p w14:paraId="669B45E0" w14:textId="7A5DD61E" w:rsidR="0030147D" w:rsidRPr="00E72418" w:rsidRDefault="0030147D" w:rsidP="00B470EF">
      <w:pPr>
        <w:pStyle w:val="Sansinterligne"/>
      </w:pPr>
      <w:r w:rsidRPr="00E72418">
        <w:rPr>
          <w:rStyle w:val="Appelnotedebasdep"/>
        </w:rPr>
        <w:footnoteRef/>
      </w:r>
      <w:r w:rsidRPr="00E72418">
        <w:t xml:space="preserve"> Voyez </w:t>
      </w:r>
      <w:r w:rsidRPr="00E72418">
        <w:rPr>
          <w:i/>
        </w:rPr>
        <w:t>supra</w:t>
      </w:r>
      <w:r w:rsidRPr="00E72418">
        <w:t xml:space="preserve"> n° 79.</w:t>
      </w:r>
    </w:p>
  </w:footnote>
  <w:footnote w:id="1377">
    <w:p w14:paraId="4CA0FBC0"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w:t>
      </w:r>
      <w:r w:rsidRPr="00E72418">
        <w:t xml:space="preserve"> 300 du texte en projet.</w:t>
      </w:r>
    </w:p>
  </w:footnote>
  <w:footnote w:id="1378">
    <w:p w14:paraId="27B75F92" w14:textId="27A4957F" w:rsidR="0030147D" w:rsidRPr="00E72418" w:rsidRDefault="0030147D" w:rsidP="00A66DCC">
      <w:pPr>
        <w:pStyle w:val="Sansinterligne"/>
      </w:pPr>
      <w:r w:rsidRPr="00E72418">
        <w:rPr>
          <w:rStyle w:val="Appelnotedebasdep"/>
        </w:rPr>
        <w:footnoteRef/>
      </w:r>
      <w:r w:rsidRPr="00E72418">
        <w:t xml:space="preserve"> Cette rétroactivité d’une mesure pouvant être décidée par une majorité de créanciers fait penser à la loi grecque </w:t>
      </w:r>
      <w:r w:rsidRPr="00E72418">
        <w:rPr>
          <w:lang w:eastAsia="fr-BE"/>
        </w:rPr>
        <w:t xml:space="preserve">n° 4050/2012 du 23 février 2012 par laquelle la République hellénique introduisit rétroactivement, pour les obligations soumises à la loi grecque, une clause d’action collective (sur cette loi, voyez </w:t>
      </w:r>
      <w:r w:rsidRPr="00E72418">
        <w:rPr>
          <w:i/>
          <w:lang w:eastAsia="fr-BE"/>
        </w:rPr>
        <w:t>supra</w:t>
      </w:r>
      <w:r w:rsidRPr="00E72418">
        <w:rPr>
          <w:lang w:eastAsia="fr-BE"/>
        </w:rPr>
        <w:t xml:space="preserve"> n° 119).</w:t>
      </w:r>
    </w:p>
  </w:footnote>
  <w:footnote w:id="1379">
    <w:p w14:paraId="56E6CC44"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w:t>
      </w:r>
      <w:r w:rsidRPr="00E72418">
        <w:t xml:space="preserve"> 302 du texte en projet.</w:t>
      </w:r>
    </w:p>
  </w:footnote>
  <w:footnote w:id="1380">
    <w:p w14:paraId="6F372C89"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w:t>
      </w:r>
      <w:r w:rsidRPr="00E72418">
        <w:t xml:space="preserve"> 303 du texte en projet.</w:t>
      </w:r>
    </w:p>
  </w:footnote>
  <w:footnote w:id="1381">
    <w:p w14:paraId="32B469D3"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Sections</w:t>
      </w:r>
      <w:r w:rsidRPr="00E72418">
        <w:t xml:space="preserve"> 301.3. et 304 du texte en projet.</w:t>
      </w:r>
    </w:p>
  </w:footnote>
  <w:footnote w:id="1382">
    <w:p w14:paraId="4E4C866A"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w:t>
      </w:r>
      <w:r w:rsidRPr="00E72418">
        <w:t xml:space="preserve"> 305.3. du texte en projet. Pour plus de précisions sur la façon dont ces catégories sont constituées, voyez la </w:t>
      </w:r>
      <w:r w:rsidRPr="00E72418">
        <w:rPr>
          <w:i/>
        </w:rPr>
        <w:t>section</w:t>
      </w:r>
      <w:r w:rsidRPr="00E72418">
        <w:t xml:space="preserve"> 305.6.</w:t>
      </w:r>
    </w:p>
  </w:footnote>
  <w:footnote w:id="1383">
    <w:p w14:paraId="68CD6447" w14:textId="77777777" w:rsidR="0030147D" w:rsidRPr="00E72418" w:rsidRDefault="0030147D" w:rsidP="00A60EB7">
      <w:pPr>
        <w:pStyle w:val="Sansinterligne"/>
      </w:pPr>
      <w:r w:rsidRPr="00E72418">
        <w:rPr>
          <w:rStyle w:val="Appelnotedebasdep"/>
        </w:rPr>
        <w:footnoteRef/>
      </w:r>
      <w:r w:rsidRPr="00E72418">
        <w:t xml:space="preserve"> </w:t>
      </w:r>
      <w:r w:rsidRPr="00E72418">
        <w:rPr>
          <w:i/>
        </w:rPr>
        <w:t>Sections</w:t>
      </w:r>
      <w:r w:rsidRPr="00E72418">
        <w:t xml:space="preserve"> 305.4. et 305.5. du texte en projet.</w:t>
      </w:r>
    </w:p>
  </w:footnote>
  <w:footnote w:id="1384">
    <w:p w14:paraId="2A8CD47B" w14:textId="77777777" w:rsidR="0030147D" w:rsidRPr="00E72418" w:rsidRDefault="0030147D" w:rsidP="00A60EB7">
      <w:pPr>
        <w:pStyle w:val="Sansinterligne"/>
      </w:pPr>
      <w:r w:rsidRPr="00E72418">
        <w:rPr>
          <w:rStyle w:val="Appelnotedebasdep"/>
        </w:rPr>
        <w:footnoteRef/>
      </w:r>
      <w:r w:rsidRPr="00E72418">
        <w:t xml:space="preserve"> Sur ces modalités, voyez la </w:t>
      </w:r>
      <w:r w:rsidRPr="00E72418">
        <w:rPr>
          <w:i/>
        </w:rPr>
        <w:t>section</w:t>
      </w:r>
      <w:r w:rsidRPr="00E72418">
        <w:t xml:space="preserve"> 306 qui traite de l’accord des créanciers pouvant devoir être obtenu et la </w:t>
      </w:r>
      <w:r w:rsidRPr="00E72418">
        <w:rPr>
          <w:i/>
        </w:rPr>
        <w:t>section</w:t>
      </w:r>
      <w:r w:rsidRPr="00E72418">
        <w:t xml:space="preserve"> 307 qui précise la question de la priorité conférée au paiement de ces nouveaux montants empruntés.</w:t>
      </w:r>
    </w:p>
  </w:footnote>
  <w:footnote w:id="1385">
    <w:p w14:paraId="6AEDEEFD" w14:textId="5B639640" w:rsidR="0030147D" w:rsidRPr="00E72418" w:rsidRDefault="0030147D" w:rsidP="005F1C94">
      <w:pPr>
        <w:pStyle w:val="Sansinterligne"/>
        <w:rPr>
          <w:lang w:val="fr-FR"/>
        </w:rPr>
      </w:pPr>
      <w:r w:rsidRPr="00E72418">
        <w:rPr>
          <w:rStyle w:val="Appelnotedebasdep"/>
        </w:rPr>
        <w:footnoteRef/>
      </w:r>
      <w:r w:rsidRPr="00E72418">
        <w:t xml:space="preserve"> N. </w:t>
      </w:r>
      <w:r w:rsidRPr="00E72418">
        <w:rPr>
          <w:smallCaps/>
        </w:rPr>
        <w:t>Zuss</w:t>
      </w:r>
      <w:r w:rsidRPr="00E72418">
        <w:t xml:space="preserve">, « New York’s </w:t>
      </w:r>
      <w:r w:rsidRPr="00E72418">
        <w:rPr>
          <w:lang w:val="en-US"/>
        </w:rPr>
        <w:t xml:space="preserve">“atypical” </w:t>
      </w:r>
      <w:r w:rsidRPr="00E72418">
        <w:t xml:space="preserve">sovereign debt bill faces an uphill battle », </w:t>
      </w:r>
      <w:r w:rsidRPr="00E72418">
        <w:rPr>
          <w:rFonts w:ascii="Times New Roman" w:hAnsi="Times New Roman" w:cs="Times New Roman"/>
          <w:i/>
        </w:rPr>
        <w:t>Int. Fin. Law Rev.</w:t>
      </w:r>
      <w:r w:rsidRPr="00E72418">
        <w:t>, juillet 2021, p. 4.</w:t>
      </w:r>
    </w:p>
  </w:footnote>
  <w:footnote w:id="1386">
    <w:p w14:paraId="24893B1B" w14:textId="282CD9E4" w:rsidR="0030147D" w:rsidRPr="00E72418" w:rsidRDefault="0030147D" w:rsidP="005F1C94">
      <w:pPr>
        <w:pStyle w:val="Sansinterligne"/>
      </w:pPr>
      <w:r w:rsidRPr="00E72418">
        <w:rPr>
          <w:rStyle w:val="Appelnotedebasdep"/>
        </w:rPr>
        <w:footnoteRef/>
      </w:r>
      <w:r w:rsidRPr="00E72418">
        <w:t xml:space="preserve"> D. </w:t>
      </w:r>
      <w:r w:rsidRPr="00E72418">
        <w:rPr>
          <w:smallCaps/>
        </w:rPr>
        <w:t>Zandstra</w:t>
      </w:r>
      <w:r w:rsidRPr="00E72418">
        <w:t xml:space="preserve">, J. </w:t>
      </w:r>
      <w:r w:rsidRPr="00E72418">
        <w:rPr>
          <w:smallCaps/>
        </w:rPr>
        <w:t>Zonis</w:t>
      </w:r>
      <w:r w:rsidRPr="00E72418">
        <w:t xml:space="preserve">, H. </w:t>
      </w:r>
      <w:r w:rsidRPr="00E72418">
        <w:rPr>
          <w:smallCaps/>
        </w:rPr>
        <w:t>Triaca</w:t>
      </w:r>
      <w:r w:rsidRPr="00E72418">
        <w:t xml:space="preserve"> et J. </w:t>
      </w:r>
      <w:r w:rsidRPr="00E72418">
        <w:rPr>
          <w:smallCaps/>
        </w:rPr>
        <w:t>DeMarco</w:t>
      </w:r>
      <w:r w:rsidRPr="00E72418">
        <w:t xml:space="preserve">, « Proposed amendment to New York banking law through new article 7 », </w:t>
      </w:r>
      <w:r w:rsidRPr="00E72418">
        <w:rPr>
          <w:i/>
        </w:rPr>
        <w:t>op. cit.</w:t>
      </w:r>
      <w:r w:rsidRPr="00E72418">
        <w:t>, p. 12. Ainsi, par exemple, la notion cardinale d’ « unsustainable debt » n’y est pas précisée. Voyez leur contribution pour une critique détaillée de l’ensemble du texte en projet.</w:t>
      </w:r>
    </w:p>
  </w:footnote>
  <w:footnote w:id="1387">
    <w:p w14:paraId="4471D773" w14:textId="10A80FCB" w:rsidR="0030147D" w:rsidRPr="00E72418" w:rsidRDefault="0030147D" w:rsidP="00A60EB7">
      <w:pPr>
        <w:pStyle w:val="Sansinterligne"/>
      </w:pPr>
      <w:r w:rsidRPr="00E72418">
        <w:rPr>
          <w:rStyle w:val="Appelnotedebasdep"/>
        </w:rPr>
        <w:footnoteRef/>
      </w:r>
      <w:r w:rsidRPr="00E72418">
        <w:t xml:space="preserve"> Plus généralement, sur l’importance de l’impartialité dans les processus de restructuration, voyez O. </w:t>
      </w:r>
      <w:r w:rsidRPr="00E72418">
        <w:rPr>
          <w:bCs/>
          <w:smallCaps/>
        </w:rPr>
        <w:t>Lienau</w:t>
      </w:r>
      <w:r w:rsidRPr="00E72418">
        <w:rPr>
          <w:bCs/>
        </w:rPr>
        <w:t xml:space="preserve">, « </w:t>
      </w:r>
      <w:r w:rsidRPr="00E72418">
        <w:t>Legitimacy and Impartiality as Basic Principles</w:t>
      </w:r>
      <w:r w:rsidRPr="00E72418">
        <w:rPr>
          <w:bCs/>
        </w:rPr>
        <w:t xml:space="preserve"> </w:t>
      </w:r>
      <w:r w:rsidRPr="00E72418">
        <w:t xml:space="preserve">for Sovereign Debt Restructuring », </w:t>
      </w:r>
      <w:r w:rsidRPr="00E72418">
        <w:rPr>
          <w:rFonts w:ascii="Times New Roman" w:hAnsi="Times New Roman" w:cs="Times New Roman"/>
          <w:i/>
          <w:szCs w:val="20"/>
        </w:rPr>
        <w:t>Yale J. Int. Law</w:t>
      </w:r>
      <w:r w:rsidRPr="00E72418">
        <w:rPr>
          <w:bCs/>
        </w:rPr>
        <w:t xml:space="preserve">, 2016, </w:t>
      </w:r>
      <w:r w:rsidRPr="00E72418">
        <w:t>pp. 97 à 116.</w:t>
      </w:r>
    </w:p>
  </w:footnote>
  <w:footnote w:id="1388">
    <w:p w14:paraId="3F6F2A17" w14:textId="09B1FE85" w:rsidR="0030147D" w:rsidRPr="00E72418" w:rsidRDefault="0030147D" w:rsidP="00E752D6">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272. S</w:t>
      </w:r>
      <w:r w:rsidRPr="00E72418">
        <w:rPr>
          <w:szCs w:val="20"/>
        </w:rPr>
        <w:t xml:space="preserve">ur la problématique des défauts opportunistes, voyez </w:t>
      </w:r>
      <w:r w:rsidRPr="00E72418">
        <w:rPr>
          <w:i/>
          <w:szCs w:val="20"/>
        </w:rPr>
        <w:t>supra</w:t>
      </w:r>
      <w:r w:rsidRPr="00E72418">
        <w:rPr>
          <w:szCs w:val="20"/>
        </w:rPr>
        <w:t xml:space="preserve"> n° 163 et sur la problématique de la réticence au défaut, </w:t>
      </w:r>
      <w:r w:rsidRPr="00E72418">
        <w:rPr>
          <w:i/>
          <w:szCs w:val="20"/>
        </w:rPr>
        <w:t>supra</w:t>
      </w:r>
      <w:r w:rsidRPr="00E72418">
        <w:rPr>
          <w:szCs w:val="20"/>
        </w:rPr>
        <w:t xml:space="preserve"> n° 56.</w:t>
      </w:r>
    </w:p>
  </w:footnote>
  <w:footnote w:id="1389">
    <w:p w14:paraId="26AE8DBF" w14:textId="656CF540" w:rsidR="0030147D" w:rsidRPr="00E72418" w:rsidRDefault="0030147D" w:rsidP="006B01CA">
      <w:pPr>
        <w:pStyle w:val="Sansinterligne"/>
        <w:rPr>
          <w:szCs w:val="20"/>
        </w:rPr>
      </w:pPr>
      <w:r w:rsidRPr="00E72418">
        <w:rPr>
          <w:rStyle w:val="Appelnotedebasdep"/>
          <w:szCs w:val="20"/>
        </w:rPr>
        <w:footnoteRef/>
      </w:r>
      <w:r w:rsidRPr="00E72418">
        <w:rPr>
          <w:szCs w:val="20"/>
        </w:rPr>
        <w:t xml:space="preserve"> </w:t>
      </w:r>
      <w:r w:rsidRPr="00E72418">
        <w:rPr>
          <w:szCs w:val="20"/>
          <w:shd w:val="clear" w:color="auto" w:fill="FFFFFF"/>
        </w:rPr>
        <w:t>Dans leur papier, Marcus Miller et Dania Thomas expliquent le rôle de tiers impartial qu’ont cherché à prendre les juridictions new-yorkaises lors des restructurations de la dette argentine du début du siècle, les auteurs parlant d’un « judge-mediated debt restructuring ». Ils expliquent le processus sur la base de décisions rendues dans le cadre du contentieux argentin : « </w:t>
      </w:r>
      <w:r w:rsidRPr="00E72418">
        <w:rPr>
          <w:szCs w:val="20"/>
        </w:rPr>
        <w:t>[f]</w:t>
      </w:r>
      <w:r w:rsidRPr="00E72418">
        <w:rPr>
          <w:szCs w:val="20"/>
          <w:shd w:val="clear" w:color="auto" w:fill="FFFFFF"/>
        </w:rPr>
        <w:t xml:space="preserve">ollowing default by the debtor, the court grants summary judgments in favor of holdout creditors as a means to prompt the debtor to make an offer », « </w:t>
      </w:r>
      <w:r w:rsidRPr="00E72418">
        <w:rPr>
          <w:szCs w:val="20"/>
        </w:rPr>
        <w:t>[t]</w:t>
      </w:r>
      <w:r w:rsidRPr="00E72418">
        <w:rPr>
          <w:szCs w:val="20"/>
          <w:shd w:val="clear" w:color="auto" w:fill="FFFFFF"/>
        </w:rPr>
        <w:t>hen, in marked contrast to precedent, Judge Griesa reins in the holdout creditors so as to promote a settlement »</w:t>
      </w:r>
      <w:r w:rsidRPr="00E72418">
        <w:rPr>
          <w:szCs w:val="20"/>
        </w:rPr>
        <w:t xml:space="preserve"> </w:t>
      </w:r>
      <w:r w:rsidRPr="00E72418">
        <w:rPr>
          <w:szCs w:val="20"/>
          <w:lang w:val="en-US"/>
        </w:rPr>
        <w:t>(</w:t>
      </w:r>
      <w:r w:rsidRPr="00E72418">
        <w:rPr>
          <w:smallCaps/>
          <w:szCs w:val="20"/>
          <w:lang w:val="en-US"/>
        </w:rPr>
        <w:t>M. Miller</w:t>
      </w:r>
      <w:r w:rsidRPr="00E72418">
        <w:rPr>
          <w:szCs w:val="20"/>
          <w:lang w:val="en-US"/>
        </w:rPr>
        <w:t xml:space="preserve"> et </w:t>
      </w:r>
      <w:r w:rsidRPr="00E72418">
        <w:rPr>
          <w:smallCaps/>
          <w:szCs w:val="20"/>
          <w:lang w:val="en-US"/>
        </w:rPr>
        <w:t>D. Thomas</w:t>
      </w:r>
      <w:r w:rsidRPr="00E72418">
        <w:rPr>
          <w:szCs w:val="20"/>
          <w:lang w:val="en-US"/>
        </w:rPr>
        <w:t xml:space="preserve">, « Sovereign Debt Restructuring: The Judge, the Vultures and Creditor Rights », </w:t>
      </w:r>
      <w:r w:rsidRPr="00E72418">
        <w:rPr>
          <w:i/>
          <w:szCs w:val="20"/>
        </w:rPr>
        <w:t>op. cit.</w:t>
      </w:r>
      <w:r w:rsidRPr="00E72418">
        <w:rPr>
          <w:szCs w:val="20"/>
          <w:lang w:val="en-US"/>
        </w:rPr>
        <w:t>, p. 218).</w:t>
      </w:r>
    </w:p>
  </w:footnote>
  <w:footnote w:id="1390">
    <w:p w14:paraId="1180A69D" w14:textId="542CDA7B" w:rsidR="0030147D" w:rsidRPr="00E72418" w:rsidRDefault="0030147D" w:rsidP="00E752D6">
      <w:pPr>
        <w:pStyle w:val="Sansinterligne"/>
        <w:rPr>
          <w:szCs w:val="20"/>
        </w:rPr>
      </w:pPr>
      <w:r w:rsidRPr="00E72418">
        <w:rPr>
          <w:rStyle w:val="Appelnotedebasdep"/>
          <w:szCs w:val="20"/>
        </w:rPr>
        <w:footnoteRef/>
      </w:r>
      <w:r w:rsidRPr="00E72418">
        <w:rPr>
          <w:szCs w:val="20"/>
        </w:rPr>
        <w:t xml:space="preserve">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xml:space="preserve">, p. 783. Partant de ce constat, sur l’utile équipement des juridictions nationales afin d’appréhender les contentieux diligentés par des fonds spéculatifs, voyez </w:t>
      </w:r>
      <w:r w:rsidRPr="00E72418">
        <w:rPr>
          <w:i/>
          <w:szCs w:val="20"/>
        </w:rPr>
        <w:t>infra</w:t>
      </w:r>
      <w:r w:rsidRPr="00E72418">
        <w:rPr>
          <w:szCs w:val="20"/>
        </w:rPr>
        <w:t xml:space="preserve"> n° 404.</w:t>
      </w:r>
    </w:p>
  </w:footnote>
  <w:footnote w:id="1391">
    <w:p w14:paraId="0F84A0CA" w14:textId="3A981AA3" w:rsidR="0030147D" w:rsidRPr="00E72418" w:rsidRDefault="0030147D" w:rsidP="00E752D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260. L’auteure indique que « with different courts in different countries handing down inconsistent interpretations on key clauses integral to sovereign debt restructuring, the entire process is plagued with uncertainty and will undoubtedly lead to greater difficulty in restructuring sovereign debt in the future ».</w:t>
      </w:r>
    </w:p>
  </w:footnote>
  <w:footnote w:id="1392">
    <w:p w14:paraId="6E19315C" w14:textId="2CC64706" w:rsidR="0030147D" w:rsidRPr="00E72418" w:rsidRDefault="0030147D" w:rsidP="001E7274">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Butensky</w:t>
      </w:r>
      <w:r w:rsidRPr="00E72418">
        <w:rPr>
          <w:rStyle w:val="Titre5Car"/>
          <w:rFonts w:ascii="Times" w:eastAsiaTheme="minorHAnsi" w:hAnsi="Times" w:cstheme="minorBidi"/>
          <w:color w:val="auto"/>
          <w:szCs w:val="20"/>
          <w:lang w:val="en-US"/>
        </w:rPr>
        <w:t xml:space="preserve">, « Tango or Sirtaki? The Argentine and Greek Dance with Sovereignty and a Multilateral Sovereign Debt Restructuring Framework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xml:space="preserve">, p. 188. </w:t>
      </w:r>
      <w:r w:rsidRPr="00E72418">
        <w:rPr>
          <w:rStyle w:val="Titre5Car"/>
          <w:rFonts w:ascii="Times" w:eastAsiaTheme="minorHAnsi" w:hAnsi="Times" w:cstheme="minorBidi"/>
          <w:color w:val="auto"/>
          <w:szCs w:val="20"/>
        </w:rPr>
        <w:t xml:space="preserve">L’auteur propose un mécanisme de restructuration s’apparentant à celui prévu dans le neuvième chapitre du Code de la faillite </w:t>
      </w:r>
      <w:r w:rsidRPr="00E72418">
        <w:rPr>
          <w:szCs w:val="20"/>
        </w:rPr>
        <w:t xml:space="preserve">étatsunien traitant de la restructuration des dettes des municipalités. </w:t>
      </w:r>
      <w:r w:rsidRPr="00E72418">
        <w:rPr>
          <w:szCs w:val="20"/>
          <w:lang w:val="en-US"/>
        </w:rPr>
        <w:t xml:space="preserve">L’auteur relève ainsi que « [t]he majority voting, cramdown provisions, automatic stay, and limitation on creditor and court imposition provisions of Chapter 9 would increase the sovereignty of nations in debt restructuring processes while ensuring that creditors have a fair opportunity of repayment of their investments </w:t>
      </w:r>
      <w:r w:rsidRPr="00E72418">
        <w:rPr>
          <w:rStyle w:val="Titre5Car"/>
          <w:rFonts w:ascii="Times" w:eastAsiaTheme="minorHAnsi" w:hAnsi="Times" w:cstheme="minorBidi"/>
          <w:color w:val="auto"/>
          <w:szCs w:val="20"/>
          <w:lang w:val="en-US"/>
        </w:rPr>
        <w:t>» (</w:t>
      </w:r>
      <w:r w:rsidRPr="00E72418">
        <w:rPr>
          <w:rStyle w:val="Titre5Car"/>
          <w:rFonts w:ascii="Times" w:eastAsiaTheme="minorHAnsi" w:hAnsi="Times" w:cstheme="minorBidi"/>
          <w:i/>
          <w:color w:val="auto"/>
          <w:szCs w:val="20"/>
          <w:lang w:val="en-US"/>
        </w:rPr>
        <w:t>ibid.</w:t>
      </w:r>
      <w:r w:rsidRPr="00E72418">
        <w:rPr>
          <w:rStyle w:val="Titre5Car"/>
          <w:rFonts w:ascii="Times" w:eastAsiaTheme="minorHAnsi" w:hAnsi="Times" w:cstheme="minorBidi"/>
          <w:color w:val="auto"/>
          <w:szCs w:val="20"/>
          <w:lang w:val="en-US"/>
        </w:rPr>
        <w:t xml:space="preserve">, p. 193). </w:t>
      </w:r>
      <w:r w:rsidRPr="00E72418">
        <w:rPr>
          <w:rStyle w:val="Titre5Car"/>
          <w:rFonts w:ascii="Times" w:eastAsiaTheme="minorHAnsi" w:hAnsi="Times" w:cstheme="minorBidi"/>
          <w:color w:val="auto"/>
          <w:szCs w:val="20"/>
        </w:rPr>
        <w:t xml:space="preserve">Pour plus d’informations sur le </w:t>
      </w:r>
      <w:r w:rsidRPr="00E72418">
        <w:rPr>
          <w:rStyle w:val="Titre5Car"/>
          <w:rFonts w:ascii="Times" w:eastAsiaTheme="minorHAnsi" w:hAnsi="Times" w:cstheme="minorBidi"/>
          <w:i/>
          <w:color w:val="auto"/>
          <w:szCs w:val="20"/>
        </w:rPr>
        <w:t>Chapter 9 of the Bankruptcy Code</w:t>
      </w:r>
      <w:r w:rsidRPr="00E72418">
        <w:rPr>
          <w:rStyle w:val="Titre5Car"/>
          <w:rFonts w:ascii="Times" w:eastAsiaTheme="minorHAnsi" w:hAnsi="Times" w:cstheme="minorBidi"/>
          <w:color w:val="auto"/>
          <w:szCs w:val="20"/>
        </w:rPr>
        <w:t xml:space="preserve">, voyez </w:t>
      </w:r>
      <w:r w:rsidR="00372DFE">
        <w:rPr>
          <w:rStyle w:val="Titre5Car"/>
          <w:rFonts w:ascii="Times" w:eastAsiaTheme="minorHAnsi" w:hAnsi="Times" w:cstheme="minorBidi"/>
          <w:color w:val="auto"/>
          <w:szCs w:val="20"/>
        </w:rPr>
        <w:t xml:space="preserve">notamment </w:t>
      </w:r>
      <w:r w:rsidRPr="00E72418">
        <w:rPr>
          <w:rStyle w:val="Titre5Car"/>
          <w:rFonts w:ascii="Times" w:eastAsiaTheme="minorHAnsi" w:hAnsi="Times" w:cstheme="minorBidi"/>
          <w:color w:val="auto"/>
          <w:szCs w:val="20"/>
        </w:rPr>
        <w:t xml:space="preserve">la description qui en est donnée à l’adresse </w:t>
      </w:r>
      <w:hyperlink r:id="rId55" w:history="1">
        <w:r w:rsidRPr="00E72418">
          <w:rPr>
            <w:rStyle w:val="Lienhypertexte"/>
            <w:color w:val="auto"/>
            <w:szCs w:val="20"/>
            <w:u w:val="none"/>
          </w:rPr>
          <w:t>www.uscourts.gov/services-forms/bankruptcy/bankruptcy-basics/chapter-9-bankruptcy-basics</w:t>
        </w:r>
      </w:hyperlink>
      <w:r w:rsidRPr="00E72418">
        <w:rPr>
          <w:rStyle w:val="Lienhypertexte"/>
          <w:color w:val="auto"/>
          <w:szCs w:val="20"/>
          <w:u w:val="none"/>
        </w:rPr>
        <w:t xml:space="preserve"> (consultation le 17 octobre 2020)</w:t>
      </w:r>
      <w:r w:rsidRPr="00E72418">
        <w:rPr>
          <w:szCs w:val="20"/>
        </w:rPr>
        <w:t>.</w:t>
      </w:r>
    </w:p>
  </w:footnote>
  <w:footnote w:id="1393">
    <w:p w14:paraId="5787774E" w14:textId="3152B3F3" w:rsidR="0030147D" w:rsidRPr="00E72418" w:rsidRDefault="0030147D" w:rsidP="002D06E6">
      <w:pPr>
        <w:pStyle w:val="Sansinterligne"/>
        <w:rPr>
          <w:szCs w:val="20"/>
        </w:rPr>
      </w:pPr>
      <w:r w:rsidRPr="00E72418">
        <w:rPr>
          <w:rStyle w:val="Appelnotedebasdep"/>
          <w:szCs w:val="20"/>
        </w:rPr>
        <w:footnoteRef/>
      </w:r>
      <w:r w:rsidRPr="00E72418">
        <w:rPr>
          <w:szCs w:val="20"/>
        </w:rPr>
        <w:t xml:space="preserve"> Sur les clauses d’action collective,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282 et suiv.</w:t>
      </w:r>
    </w:p>
  </w:footnote>
  <w:footnote w:id="1394">
    <w:p w14:paraId="02F8BFEF" w14:textId="3F08C86F" w:rsidR="0030147D" w:rsidRPr="00E72418" w:rsidRDefault="0030147D" w:rsidP="001E7274">
      <w:pPr>
        <w:pStyle w:val="Sansinterligne"/>
        <w:rPr>
          <w:szCs w:val="20"/>
          <w:lang w:val="en-US"/>
        </w:rPr>
      </w:pPr>
      <w:r w:rsidRPr="00E72418">
        <w:rPr>
          <w:rStyle w:val="Appelnotedebasdep"/>
          <w:szCs w:val="20"/>
        </w:rPr>
        <w:footnoteRef/>
      </w:r>
      <w:r w:rsidRPr="00E72418">
        <w:rPr>
          <w:szCs w:val="20"/>
          <w:lang w:val="en-US"/>
        </w:rPr>
        <w:t xml:space="preserve"> Pour Christopher Wheeler et Amir Attaran, « the power to […] impose, or “cramdown”, restructuring terms on holdout creditors […] would, no doubt, put an end to vulture fund litigation » (</w:t>
      </w:r>
      <w:r w:rsidRPr="00E72418">
        <w:rPr>
          <w:smallCaps/>
          <w:szCs w:val="20"/>
          <w:lang w:val="en-US"/>
        </w:rPr>
        <w:t>C. Wheeler</w:t>
      </w:r>
      <w:r w:rsidRPr="00E72418">
        <w:rPr>
          <w:szCs w:val="20"/>
          <w:lang w:val="en-US"/>
        </w:rPr>
        <w:t xml:space="preserve"> 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p. 264).</w:t>
      </w:r>
    </w:p>
  </w:footnote>
  <w:footnote w:id="1395">
    <w:p w14:paraId="34E7433B" w14:textId="37AEC910" w:rsidR="0030147D" w:rsidRPr="00E72418" w:rsidRDefault="0030147D" w:rsidP="004F7143">
      <w:pPr>
        <w:pStyle w:val="Sansinterligne"/>
      </w:pPr>
      <w:r w:rsidRPr="00E72418">
        <w:rPr>
          <w:rStyle w:val="Appelnotedebasdep"/>
        </w:rPr>
        <w:footnoteRef/>
      </w:r>
      <w:r w:rsidRPr="00E72418">
        <w:t xml:space="preserve"> L’utilité de l’immunisation le temps que dure une restructuration a été déclinée dans la résolution 1483 du Conseil de Sécurité des Nations Unies du 22 mai 2003 (S/RES/1483 (2003)) où il fut décidé d’immuniser les produits pétroliers iraquiens dans le souhait de restructurer rapidement la dette iraquienne. Comme le notent Lee Buchheit et Elena Daly, « </w:t>
      </w:r>
      <w:r w:rsidRPr="00E72418">
        <w:rPr>
          <w:lang w:val="en-US"/>
        </w:rPr>
        <w:t>[t</w:t>
      </w:r>
      <w:r w:rsidRPr="00E72418">
        <w:rPr>
          <w:szCs w:val="20"/>
          <w:lang w:val="en-US"/>
        </w:rPr>
        <w:t>]</w:t>
      </w:r>
      <w:r w:rsidRPr="00E72418">
        <w:rPr>
          <w:lang w:val="en-US"/>
        </w:rPr>
        <w:t xml:space="preserve">he obvious and intended effect of immunizing Iraqi assets in this way was to deflate any expectation on the part of prospective holdout creditors that a better recovery might follow litigation and enforcement of a judgment </w:t>
      </w:r>
      <w:r w:rsidRPr="00E72418">
        <w:t>»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Sticks », </w:t>
      </w:r>
      <w:r w:rsidRPr="00E72418">
        <w:rPr>
          <w:i/>
          <w:szCs w:val="20"/>
          <w:lang w:val="en-US"/>
        </w:rPr>
        <w:t>op. cit.</w:t>
      </w:r>
      <w:r w:rsidRPr="00E72418">
        <w:rPr>
          <w:lang w:val="en-US"/>
        </w:rPr>
        <w:t>, p. 20).</w:t>
      </w:r>
    </w:p>
  </w:footnote>
  <w:footnote w:id="1396">
    <w:p w14:paraId="1BE7EA13" w14:textId="09B39417" w:rsidR="0030147D" w:rsidRPr="00E72418" w:rsidRDefault="0030147D" w:rsidP="00B145F3">
      <w:pPr>
        <w:pStyle w:val="Sansinterligne"/>
        <w:rPr>
          <w:szCs w:val="20"/>
          <w:lang w:val="en-US"/>
        </w:rPr>
      </w:pPr>
      <w:r w:rsidRPr="00E72418">
        <w:rPr>
          <w:szCs w:val="20"/>
          <w:vertAlign w:val="superscript"/>
        </w:rPr>
        <w:footnoteRef/>
      </w:r>
      <w:r w:rsidRPr="00E72418">
        <w:rPr>
          <w:szCs w:val="20"/>
          <w:lang w:val="en-US"/>
        </w:rPr>
        <w:t xml:space="preserve"> Comme le note Mark Jewett, « [s]tays protect debtors from creditors while they attempt to salvage their financial situation, and also protect creditors from one another’s opportunistic behaviour » (</w:t>
      </w:r>
      <w:r w:rsidRPr="00E72418">
        <w:rPr>
          <w:smallCaps/>
          <w:szCs w:val="20"/>
          <w:lang w:val="en-US"/>
        </w:rPr>
        <w:t>M. Jewett</w:t>
      </w:r>
      <w:r w:rsidRPr="00E72418">
        <w:rPr>
          <w:szCs w:val="20"/>
          <w:lang w:val="en-US"/>
        </w:rPr>
        <w:t xml:space="preserve">, « Approaches to Sovereign Debt Resolution: Recent Developments », </w:t>
      </w:r>
      <w:r w:rsidRPr="00E72418">
        <w:rPr>
          <w:i/>
          <w:szCs w:val="20"/>
          <w:lang w:val="en-US"/>
        </w:rPr>
        <w:t>B.F.L.R.</w:t>
      </w:r>
      <w:r w:rsidRPr="00E72418">
        <w:rPr>
          <w:szCs w:val="20"/>
          <w:lang w:val="en-US"/>
        </w:rPr>
        <w:t xml:space="preserve">, 2015, p. 313). Dans la décision de la </w:t>
      </w:r>
      <w:r w:rsidRPr="00F1587D">
        <w:rPr>
          <w:szCs w:val="20"/>
          <w:lang w:val="en-US"/>
        </w:rPr>
        <w:t>United States Court of Appeals for the Second Circuit</w:t>
      </w:r>
      <w:r w:rsidRPr="00E72418">
        <w:rPr>
          <w:szCs w:val="20"/>
          <w:lang w:val="en-US"/>
        </w:rPr>
        <w:t xml:space="preserve"> du 25 mars 1997 intervenue dans l’affaire </w:t>
      </w:r>
      <w:r w:rsidRPr="00E72418">
        <w:rPr>
          <w:i/>
          <w:szCs w:val="20"/>
          <w:lang w:val="en-US"/>
        </w:rPr>
        <w:t>Pravin Banker Associates Ltd. v. Banco Popular del Peru and the Republic of Peru</w:t>
      </w:r>
      <w:r w:rsidRPr="00E72418">
        <w:rPr>
          <w:szCs w:val="20"/>
          <w:lang w:val="en-US"/>
        </w:rPr>
        <w:t>, la juridiction retenait</w:t>
      </w:r>
      <w:r w:rsidRPr="00E72418">
        <w:rPr>
          <w:rFonts w:ascii="Times New Roman" w:hAnsi="Times New Roman" w:cs="Times New Roman"/>
          <w:szCs w:val="20"/>
          <w:lang w:val="en-US"/>
        </w:rPr>
        <w:t xml:space="preserve"> qu’ « [a]n </w:t>
      </w:r>
      <w:r w:rsidRPr="00E72418">
        <w:rPr>
          <w:szCs w:val="20"/>
          <w:lang w:val="en-US"/>
        </w:rPr>
        <w:t xml:space="preserve">argument might be made that […] the circumstances of this case justified a stay of the proceedings or, in the alternative, a stay of the execution of the judgment because either stay might allow the completion of Peru’s negotiations with its creditors without unduly threatening the ultimate enforceability of the debt » (United States Court of Appeals for the Second Circuit (EUA), 25 mars 1997, </w:t>
      </w:r>
      <w:r w:rsidRPr="00E72418">
        <w:rPr>
          <w:i/>
          <w:szCs w:val="20"/>
          <w:lang w:val="en-US"/>
        </w:rPr>
        <w:t>Pravin Banker Associates Ltd. v. Banco Popular del Peru and the Republic of Peru</w:t>
      </w:r>
      <w:r w:rsidRPr="00E72418">
        <w:rPr>
          <w:szCs w:val="20"/>
          <w:lang w:val="en-US"/>
        </w:rPr>
        <w:t xml:space="preserve">, 109 F.3d 850, pp. 855 et 856). Dans cette même affaire, des suspensions des poursuites avaient été décidées par la </w:t>
      </w:r>
      <w:r w:rsidRPr="00735BBE">
        <w:rPr>
          <w:szCs w:val="20"/>
          <w:lang w:val="en-US"/>
        </w:rPr>
        <w:t>United States District Court for the Southern District of New York</w:t>
      </w:r>
      <w:r w:rsidRPr="00E72418">
        <w:rPr>
          <w:szCs w:val="20"/>
          <w:lang w:val="en-US"/>
        </w:rPr>
        <w:t xml:space="preserve"> (voyez United States District Court for the Southern District of New York (EUA), 24 février 1994, </w:t>
      </w:r>
      <w:r w:rsidRPr="00E72418">
        <w:rPr>
          <w:i/>
          <w:szCs w:val="20"/>
          <w:lang w:val="en-US"/>
        </w:rPr>
        <w:t>Pravin Banker Assocs. v. Banco Popular del Peru</w:t>
      </w:r>
      <w:r w:rsidRPr="00E72418">
        <w:rPr>
          <w:szCs w:val="20"/>
          <w:lang w:val="en-US"/>
        </w:rPr>
        <w:t xml:space="preserve">, 165 B.R. 379 et United States District Court for the Southern District of New York (EUA), 8 mars 1995, </w:t>
      </w:r>
      <w:r w:rsidRPr="00E72418">
        <w:rPr>
          <w:i/>
          <w:szCs w:val="20"/>
          <w:lang w:val="en-US"/>
        </w:rPr>
        <w:t>Pravin Banker Associates Ltd. v. Banco Popular del Peru and the Republic of Peru</w:t>
      </w:r>
      <w:r w:rsidRPr="00E72418">
        <w:rPr>
          <w:szCs w:val="20"/>
          <w:lang w:val="en-US"/>
        </w:rPr>
        <w:t>, 1995 WL 102840).</w:t>
      </w:r>
    </w:p>
  </w:footnote>
  <w:footnote w:id="1397">
    <w:p w14:paraId="2B0BA1DD" w14:textId="238081FA" w:rsidR="0030147D" w:rsidRPr="00E72418" w:rsidRDefault="0030147D" w:rsidP="004B4DA6">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p. 48. Comparant la solution structurelle à l’approche contractuelle, Patrick Wautelet considère que la seconde est « lighter »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xml:space="preserve">, p. 104). </w:t>
      </w:r>
      <w:r w:rsidRPr="00E72418">
        <w:rPr>
          <w:szCs w:val="20"/>
          <w:lang w:val="en-US"/>
        </w:rPr>
        <w:t>Pour Georgios Pavlidis, elle est par contre « more promising »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96).</w:t>
      </w:r>
    </w:p>
  </w:footnote>
  <w:footnote w:id="1398">
    <w:p w14:paraId="784D6649" w14:textId="02F352B6" w:rsidR="0030147D" w:rsidRPr="00E72418" w:rsidRDefault="0030147D" w:rsidP="004B4DA6">
      <w:pPr>
        <w:pStyle w:val="Sansinterligne"/>
        <w:rPr>
          <w:szCs w:val="20"/>
          <w:lang w:val="en-US"/>
        </w:rPr>
      </w:pPr>
      <w:r w:rsidRPr="00E72418">
        <w:rPr>
          <w:rStyle w:val="Appelnotedebasdep"/>
          <w:szCs w:val="20"/>
        </w:rPr>
        <w:footnoteRef/>
      </w:r>
      <w:r w:rsidRPr="00E72418">
        <w:rPr>
          <w:szCs w:val="20"/>
          <w:lang w:val="en-US"/>
        </w:rPr>
        <w:t xml:space="preserve"> On peut notamment donner l’exemple du Belize qui activa la clause d’action collective afin de restructurer sa dette en 2006 (</w:t>
      </w:r>
      <w:r w:rsidRPr="00E72418">
        <w:rPr>
          <w:smallCaps/>
          <w:szCs w:val="20"/>
          <w:lang w:val="en-US"/>
        </w:rPr>
        <w:t>L. Buchheit</w:t>
      </w:r>
      <w:r w:rsidRPr="00E72418">
        <w:rPr>
          <w:szCs w:val="20"/>
          <w:lang w:val="en-US"/>
        </w:rPr>
        <w:t xml:space="preserve">, « Supermajority Control Wins Out </w:t>
      </w:r>
      <w:r w:rsidRPr="00E72418">
        <w:rPr>
          <w:b/>
          <w:szCs w:val="20"/>
        </w:rPr>
        <w:t xml:space="preserve">– </w:t>
      </w:r>
      <w:r w:rsidRPr="00E72418">
        <w:rPr>
          <w:szCs w:val="20"/>
          <w:lang w:val="en-US"/>
        </w:rPr>
        <w:t xml:space="preserve">Creditors Have Turned away from Litigation to Majority Rule », </w:t>
      </w:r>
      <w:r w:rsidRPr="00E72418">
        <w:rPr>
          <w:rFonts w:ascii="Times New Roman" w:hAnsi="Times New Roman" w:cs="Times New Roman"/>
          <w:i/>
        </w:rPr>
        <w:t>Int. Fin. Law Rev.</w:t>
      </w:r>
      <w:r w:rsidRPr="00E72418">
        <w:rPr>
          <w:szCs w:val="20"/>
          <w:lang w:val="en-US"/>
        </w:rPr>
        <w:t>, avril 2007, p. 21).</w:t>
      </w:r>
    </w:p>
  </w:footnote>
  <w:footnote w:id="1399">
    <w:p w14:paraId="63E18447" w14:textId="6C7A1AC9" w:rsidR="0030147D" w:rsidRPr="00E72418" w:rsidRDefault="0030147D" w:rsidP="003009E0">
      <w:pPr>
        <w:pStyle w:val="Sansinterligne"/>
      </w:pPr>
      <w:r w:rsidRPr="00E72418">
        <w:rPr>
          <w:rStyle w:val="Appelnotedebasdep"/>
        </w:rPr>
        <w:footnoteRef/>
      </w:r>
      <w:r w:rsidRPr="00E72418">
        <w:t xml:space="preserve"> </w:t>
      </w:r>
      <w:r w:rsidRPr="00E72418">
        <w:rPr>
          <w:shd w:val="clear" w:color="auto" w:fill="FFFFFF"/>
        </w:rPr>
        <w:t xml:space="preserve">H. </w:t>
      </w:r>
      <w:r w:rsidRPr="00E72418">
        <w:rPr>
          <w:smallCaps/>
        </w:rPr>
        <w:t>Muir Watt</w:t>
      </w:r>
      <w:r w:rsidRPr="00E72418">
        <w:t xml:space="preserve">, « Private International Law Beyond the Schism », </w:t>
      </w:r>
      <w:r w:rsidRPr="00E72418">
        <w:rPr>
          <w:i/>
        </w:rPr>
        <w:t>op. cit.</w:t>
      </w:r>
      <w:r w:rsidRPr="00E72418">
        <w:t>, p. 373.</w:t>
      </w:r>
    </w:p>
  </w:footnote>
  <w:footnote w:id="1400">
    <w:p w14:paraId="4C59F7E7" w14:textId="65AEC17D" w:rsidR="0030147D" w:rsidRPr="00E72418" w:rsidRDefault="0030147D" w:rsidP="004B4DA6">
      <w:pPr>
        <w:pStyle w:val="Sansinterligne"/>
        <w:rPr>
          <w:szCs w:val="20"/>
        </w:rPr>
      </w:pPr>
      <w:r w:rsidRPr="00E72418">
        <w:rPr>
          <w:rStyle w:val="Appelnotedebasdep"/>
          <w:szCs w:val="20"/>
        </w:rPr>
        <w:footnoteRef/>
      </w:r>
      <w:r w:rsidRPr="00E72418">
        <w:rPr>
          <w:szCs w:val="20"/>
        </w:rPr>
        <w:t xml:space="preserve"> Il n’apparaît pas que les créanciers se voyant imposer des modalités par la majorité soient fondés à invoquer une méconnaissance de leur droit de propriété. </w:t>
      </w:r>
      <w:r w:rsidRPr="00E72418">
        <w:rPr>
          <w:szCs w:val="20"/>
          <w:lang w:val="en-US"/>
        </w:rPr>
        <w:t>Comme le relève Patrick Wautelet, « CAC’s are indeed ex ante limitations, which are well known to the market and which each investor may carefully weigh before deciding to invest »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xml:space="preserve">, p. 156). </w:t>
      </w:r>
      <w:r w:rsidRPr="00E72418">
        <w:rPr>
          <w:szCs w:val="20"/>
        </w:rPr>
        <w:t>La critique de l’absence de prise en considération de l’intérêt des créanciers minoritaires peut néanmoins être formulée (</w:t>
      </w:r>
      <w:r w:rsidRPr="00E72418">
        <w:rPr>
          <w:smallCaps/>
          <w:szCs w:val="20"/>
        </w:rPr>
        <w:t>F. Giansetto</w:t>
      </w:r>
      <w:r w:rsidRPr="00E72418">
        <w:rPr>
          <w:szCs w:val="20"/>
        </w:rPr>
        <w:t xml:space="preserve">, « Les fonds dits “vautours” et la dette souveraine – Un nouvel enjeu de la régulation financière », </w:t>
      </w:r>
      <w:r w:rsidRPr="00E72418">
        <w:rPr>
          <w:i/>
          <w:szCs w:val="20"/>
        </w:rPr>
        <w:t>op. cit.</w:t>
      </w:r>
      <w:r w:rsidRPr="00E72418">
        <w:rPr>
          <w:szCs w:val="20"/>
        </w:rPr>
        <w:t xml:space="preserve">, p. 50). Sur les potentiels contentieux judiciaires entourant l’activation des clauses par une majorité de créanciers, voyez </w:t>
      </w:r>
      <w:r w:rsidRPr="00E72418">
        <w:t xml:space="preserve">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209 et suiv. qui note notamment que « </w:t>
      </w:r>
      <w:r w:rsidRPr="00E72418">
        <w:rPr>
          <w:szCs w:val="20"/>
          <w:lang w:val="en-US"/>
        </w:rPr>
        <w:t xml:space="preserve">[c]ourts may be called to intervene when the sovereign debtor restructures its debt through an arguably invalid or objectionable application of collective action clauses […] and the disgruntled creditor argues that such an application of CACs was invalid, perhaps because the restructuring was exorbitant, discriminatory, or abusive </w:t>
      </w:r>
      <w:r w:rsidRPr="00E72418">
        <w:t>» (</w:t>
      </w:r>
      <w:r w:rsidRPr="00E72418">
        <w:rPr>
          <w:i/>
        </w:rPr>
        <w:t>ibid.</w:t>
      </w:r>
      <w:r w:rsidRPr="00E72418">
        <w:t>, p. 209).</w:t>
      </w:r>
    </w:p>
  </w:footnote>
  <w:footnote w:id="1401">
    <w:p w14:paraId="32883CA6" w14:textId="174F3FF6" w:rsidR="0030147D" w:rsidRPr="00E72418" w:rsidRDefault="0030147D" w:rsidP="004B4DA6">
      <w:pPr>
        <w:pStyle w:val="Sansinterligne"/>
        <w:rPr>
          <w:szCs w:val="20"/>
        </w:rPr>
      </w:pPr>
      <w:r w:rsidRPr="00E72418">
        <w:rPr>
          <w:rStyle w:val="Appelnotedebasdep"/>
          <w:szCs w:val="20"/>
        </w:rPr>
        <w:footnoteRef/>
      </w:r>
      <w:r w:rsidRPr="00E72418">
        <w:rPr>
          <w:szCs w:val="20"/>
        </w:rPr>
        <w:t xml:space="preserve">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125.</w:t>
      </w:r>
    </w:p>
  </w:footnote>
  <w:footnote w:id="1402">
    <w:p w14:paraId="2F8B7D14" w14:textId="2634699E" w:rsidR="0030147D" w:rsidRPr="00E72418" w:rsidRDefault="0030147D" w:rsidP="004B4DA6">
      <w:pPr>
        <w:pStyle w:val="Sansinterligne"/>
        <w:rPr>
          <w:szCs w:val="20"/>
          <w:lang w:val="en-US"/>
        </w:rPr>
      </w:pPr>
      <w:r w:rsidRPr="00E72418">
        <w:rPr>
          <w:rStyle w:val="Appelnotedebasdep"/>
          <w:szCs w:val="20"/>
        </w:rPr>
        <w:footnoteRef/>
      </w:r>
      <w:r w:rsidRPr="00E72418">
        <w:rPr>
          <w:szCs w:val="20"/>
          <w:lang w:val="en-US"/>
        </w:rPr>
        <w:t xml:space="preserve"> G-10, </w:t>
      </w:r>
      <w:r w:rsidRPr="00E72418">
        <w:rPr>
          <w:i/>
          <w:szCs w:val="20"/>
          <w:lang w:val="en-US"/>
        </w:rPr>
        <w:t>The Resolution of sovereign liquidity crises</w:t>
      </w:r>
      <w:r w:rsidRPr="00E72418">
        <w:rPr>
          <w:szCs w:val="20"/>
          <w:lang w:val="en-US"/>
        </w:rPr>
        <w:t xml:space="preserve">, Report to the Ministers and Governors prepared under the auspices of the Deputies, mai 1996, disponible à l’adresse </w:t>
      </w:r>
      <w:hyperlink r:id="rId56" w:history="1">
        <w:r w:rsidRPr="00E72418">
          <w:rPr>
            <w:rStyle w:val="Lienhypertexte"/>
            <w:color w:val="auto"/>
            <w:szCs w:val="20"/>
            <w:u w:val="none"/>
            <w:lang w:val="en-US"/>
          </w:rPr>
          <w:t>www.bis.org/publ/gten03.pdf</w:t>
        </w:r>
      </w:hyperlink>
      <w:r w:rsidRPr="00E72418">
        <w:rPr>
          <w:szCs w:val="20"/>
          <w:lang w:val="en-US"/>
        </w:rPr>
        <w:t xml:space="preserve"> (consultation le 17 octobre 2021). On peut notamment y lire que « </w:t>
      </w:r>
      <w:r w:rsidRPr="00E72418">
        <w:t xml:space="preserve">certain contractual or statutory provisions governing debt contracts can facilitate the resolution of a crisis by fostering dialogue and consultation between the sovereign debtor and its creditors and among creditors, and by reducing the incentive for, or ability of, a small number of dissident creditors to disrupt, delay or prevent arrangements to support a credible adjustment programme that is acceptable to the vast majority of concerned parties </w:t>
      </w:r>
      <w:r w:rsidRPr="00E72418">
        <w:rPr>
          <w:szCs w:val="20"/>
          <w:lang w:val="en-US"/>
        </w:rPr>
        <w:t>».</w:t>
      </w:r>
    </w:p>
  </w:footnote>
  <w:footnote w:id="1403">
    <w:p w14:paraId="154A3AC4" w14:textId="286137CF" w:rsidR="0030147D" w:rsidRPr="00E72418" w:rsidRDefault="0030147D" w:rsidP="004B4DA6">
      <w:pPr>
        <w:pStyle w:val="Sansinterligne"/>
        <w:rPr>
          <w:szCs w:val="20"/>
        </w:rPr>
      </w:pPr>
      <w:r w:rsidRPr="00E72418">
        <w:rPr>
          <w:rStyle w:val="Appelnotedebasdep"/>
          <w:szCs w:val="20"/>
        </w:rPr>
        <w:footnoteRef/>
      </w:r>
      <w:r w:rsidRPr="00E72418">
        <w:rPr>
          <w:szCs w:val="20"/>
        </w:rPr>
        <w:t xml:space="preserve"> </w:t>
      </w:r>
      <w:r w:rsidRPr="00E72418">
        <w:rPr>
          <w:rFonts w:cs="Times New Roman"/>
          <w:szCs w:val="24"/>
          <w:lang w:val="en-US"/>
        </w:rPr>
        <w:t xml:space="preserve">Groupe du G10, </w:t>
      </w:r>
      <w:r w:rsidRPr="00E72418">
        <w:rPr>
          <w:rFonts w:cs="Times New Roman"/>
          <w:i/>
          <w:szCs w:val="24"/>
          <w:lang w:val="en-US"/>
        </w:rPr>
        <w:t>Report of the G-10 Working Group on Contractual Clauses</w:t>
      </w:r>
      <w:r w:rsidRPr="00E72418">
        <w:rPr>
          <w:rFonts w:cs="Times New Roman"/>
          <w:szCs w:val="24"/>
          <w:lang w:val="en-US"/>
        </w:rPr>
        <w:t>, 26 septembre 2002, disponible à l’adresse www.bis.org/publ/gten08.pdf (consultation le 17 octobre 2021).</w:t>
      </w:r>
      <w:r w:rsidRPr="00E72418">
        <w:rPr>
          <w:szCs w:val="20"/>
        </w:rPr>
        <w:t xml:space="preserve"> La même année, le Fonds monétaire international encourageait le développement de l’usage des clauses d’action collective (</w:t>
      </w:r>
      <w:r w:rsidRPr="00E72418">
        <w:rPr>
          <w:szCs w:val="20"/>
          <w:lang w:val="en-US"/>
        </w:rPr>
        <w:t>Fonds monétaire international</w:t>
      </w:r>
      <w:r w:rsidRPr="00E72418">
        <w:rPr>
          <w:szCs w:val="20"/>
        </w:rPr>
        <w:t xml:space="preserve">, </w:t>
      </w:r>
      <w:r w:rsidRPr="00E72418">
        <w:rPr>
          <w:i/>
          <w:szCs w:val="20"/>
        </w:rPr>
        <w:t xml:space="preserve">Collective Action Clauses in Sovereign Bond Contracts </w:t>
      </w:r>
      <w:r w:rsidRPr="00E72418">
        <w:rPr>
          <w:b/>
          <w:i/>
          <w:szCs w:val="20"/>
        </w:rPr>
        <w:t xml:space="preserve">– </w:t>
      </w:r>
      <w:r w:rsidRPr="00E72418">
        <w:rPr>
          <w:i/>
          <w:szCs w:val="20"/>
        </w:rPr>
        <w:t>Encouraging Greater Use</w:t>
      </w:r>
      <w:r w:rsidRPr="00E72418">
        <w:rPr>
          <w:szCs w:val="20"/>
        </w:rPr>
        <w:t>, 6 juin 2002).</w:t>
      </w:r>
    </w:p>
  </w:footnote>
  <w:footnote w:id="1404">
    <w:p w14:paraId="5BBD2427" w14:textId="28268C69" w:rsidR="0030147D" w:rsidRPr="00E72418" w:rsidRDefault="0030147D" w:rsidP="004B4DA6">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Q. Deforge</w:t>
      </w:r>
      <w:r w:rsidRPr="00E72418">
        <w:rPr>
          <w:szCs w:val="20"/>
        </w:rPr>
        <w:t xml:space="preserve"> et </w:t>
      </w:r>
      <w:r w:rsidRPr="00E72418">
        <w:rPr>
          <w:smallCaps/>
          <w:szCs w:val="20"/>
        </w:rPr>
        <w:t>B. Lemoine</w:t>
      </w:r>
      <w:r w:rsidRPr="00E72418">
        <w:rPr>
          <w:szCs w:val="20"/>
        </w:rPr>
        <w:t xml:space="preserve">, « Faillite d’État et fragilité juridique – L’Argentine face à l’ordre financier international », </w:t>
      </w:r>
      <w:r w:rsidRPr="00E72418">
        <w:rPr>
          <w:i/>
          <w:szCs w:val="20"/>
        </w:rPr>
        <w:t>op. cit.</w:t>
      </w:r>
      <w:r w:rsidRPr="00E72418">
        <w:rPr>
          <w:szCs w:val="20"/>
        </w:rPr>
        <w:t xml:space="preserve">, p. 48. </w:t>
      </w:r>
      <w:r w:rsidRPr="00E72418">
        <w:rPr>
          <w:szCs w:val="20"/>
          <w:lang w:val="en-US"/>
        </w:rPr>
        <w:t>Plus précisément, Lee Buchheit remarque que « collective action clauses were reintroduced in sovereign bonds governed by New York law in early 2003, after an absence of over 70 years » (</w:t>
      </w:r>
      <w:r w:rsidRPr="00E72418">
        <w:rPr>
          <w:smallCaps/>
          <w:szCs w:val="20"/>
          <w:lang w:val="en-US"/>
        </w:rPr>
        <w:t>L. Buchheit</w:t>
      </w:r>
      <w:r w:rsidRPr="00E72418">
        <w:rPr>
          <w:szCs w:val="20"/>
          <w:lang w:val="en-US"/>
        </w:rPr>
        <w:t xml:space="preserve">, « Supermajority Control Wins Out </w:t>
      </w:r>
      <w:r w:rsidRPr="00E72418">
        <w:rPr>
          <w:b/>
          <w:szCs w:val="20"/>
        </w:rPr>
        <w:t xml:space="preserve">– </w:t>
      </w:r>
      <w:r w:rsidRPr="00E72418">
        <w:rPr>
          <w:szCs w:val="20"/>
          <w:lang w:val="en-US"/>
        </w:rPr>
        <w:t xml:space="preserve">Creditors Have Turned away from Litigation to Majority Rule », </w:t>
      </w:r>
      <w:r w:rsidRPr="00E72418">
        <w:rPr>
          <w:i/>
          <w:szCs w:val="20"/>
          <w:lang w:val="en-US"/>
        </w:rPr>
        <w:t>op. cit.</w:t>
      </w:r>
      <w:r w:rsidRPr="00E72418">
        <w:rPr>
          <w:szCs w:val="20"/>
          <w:lang w:val="en-US"/>
        </w:rPr>
        <w:t>, p. 21).</w:t>
      </w:r>
    </w:p>
  </w:footnote>
  <w:footnote w:id="1405">
    <w:p w14:paraId="0220D9CB" w14:textId="065EF6D3" w:rsidR="0030147D" w:rsidRPr="00E72418" w:rsidRDefault="0030147D" w:rsidP="004B4DA6">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Fonds monétaire international, </w:t>
      </w:r>
      <w:r w:rsidRPr="00E72418">
        <w:rPr>
          <w:i/>
          <w:szCs w:val="20"/>
          <w:lang w:val="en-US"/>
        </w:rPr>
        <w:t>A survey of experiences with emerging market sovereign debt restructurings</w:t>
      </w:r>
      <w:r w:rsidRPr="00E72418">
        <w:rPr>
          <w:szCs w:val="20"/>
          <w:lang w:val="en-US"/>
        </w:rPr>
        <w:t xml:space="preserve">, 5 juin 2012, p. 14. Pour des détails sur cette inclusion mexicaine, voyez notamment </w:t>
      </w:r>
      <w:r w:rsidRPr="00E72418">
        <w:rPr>
          <w:smallCaps/>
          <w:szCs w:val="20"/>
          <w:lang w:val="en-US"/>
        </w:rPr>
        <w:t>A. Gelpern</w:t>
      </w:r>
      <w:r w:rsidRPr="00E72418">
        <w:rPr>
          <w:szCs w:val="20"/>
          <w:lang w:val="en-US"/>
        </w:rPr>
        <w:t xml:space="preserve"> et </w:t>
      </w:r>
      <w:r w:rsidRPr="00E72418">
        <w:rPr>
          <w:smallCaps/>
          <w:szCs w:val="20"/>
          <w:lang w:val="en-US"/>
        </w:rPr>
        <w:t>M. Gulati</w:t>
      </w:r>
      <w:r w:rsidRPr="00E72418">
        <w:rPr>
          <w:szCs w:val="20"/>
          <w:lang w:val="en-US"/>
        </w:rPr>
        <w:t xml:space="preserve">, « Public Symbol in Private Contract: A Case Study », </w:t>
      </w:r>
      <w:r w:rsidRPr="00E72418">
        <w:rPr>
          <w:i/>
          <w:szCs w:val="20"/>
          <w:lang w:val="en-US"/>
        </w:rPr>
        <w:t>Wash. U. Law Rev.</w:t>
      </w:r>
      <w:r w:rsidRPr="00E72418">
        <w:rPr>
          <w:szCs w:val="20"/>
          <w:lang w:val="en-US"/>
        </w:rPr>
        <w:t>, 2006, p. 1641.</w:t>
      </w:r>
    </w:p>
  </w:footnote>
  <w:footnote w:id="1406">
    <w:p w14:paraId="414FEA42" w14:textId="77777777" w:rsidR="0030147D" w:rsidRPr="00E72418" w:rsidRDefault="0030147D" w:rsidP="004B4DA6">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rStyle w:val="Titre1Car"/>
          <w:rFonts w:ascii="Times" w:eastAsiaTheme="minorHAnsi" w:hAnsi="Times" w:cstheme="minorBidi"/>
          <w:color w:val="auto"/>
          <w:sz w:val="20"/>
          <w:szCs w:val="20"/>
          <w:lang w:val="en-US"/>
        </w:rPr>
        <w:t xml:space="preserve"> </w:t>
      </w:r>
      <w:r w:rsidRPr="00E72418">
        <w:rPr>
          <w:szCs w:val="20"/>
          <w:lang w:val="en-US"/>
        </w:rPr>
        <w:t xml:space="preserve">En 2012, la </w:t>
      </w:r>
      <w:r w:rsidRPr="00F1587D">
        <w:rPr>
          <w:szCs w:val="20"/>
          <w:lang w:val="en-US"/>
        </w:rPr>
        <w:t>United States Court of Appeals for the Second Circuit</w:t>
      </w:r>
      <w:r w:rsidRPr="00E72418">
        <w:rPr>
          <w:szCs w:val="20"/>
          <w:lang w:val="en-US"/>
        </w:rPr>
        <w:t xml:space="preserve"> relevait que « [c]ollective action clauses have been included in 99% of the aggregate value of New York-law bonds issued since January 2005 »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NotedebasdepageCar"/>
          <w:rFonts w:ascii="Times" w:hAnsi="Times"/>
          <w:lang w:val="en-US"/>
        </w:rPr>
        <w:t>699 F.3d 246, p. 264)</w:t>
      </w:r>
      <w:r w:rsidRPr="00E72418">
        <w:rPr>
          <w:szCs w:val="20"/>
          <w:lang w:val="en-US"/>
        </w:rPr>
        <w:t>.</w:t>
      </w:r>
    </w:p>
  </w:footnote>
  <w:footnote w:id="1407">
    <w:p w14:paraId="31DAB195" w14:textId="70C8A66D" w:rsidR="0030147D" w:rsidRPr="00E72418" w:rsidRDefault="0030147D" w:rsidP="004B4DA6">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Déclaration du 28 novembre 2010 de l’Eurogroupe, disponible à l’adresse </w:t>
      </w:r>
      <w:hyperlink r:id="rId57" w:history="1">
        <w:r w:rsidRPr="00E72418">
          <w:rPr>
            <w:rStyle w:val="Lienhypertexte"/>
            <w:color w:val="auto"/>
            <w:szCs w:val="20"/>
            <w:u w:val="none"/>
          </w:rPr>
          <w:t>www.consilium.europa.eu/uedocs/cms_data/docs/pressdata/en/ecofin/118050.pdf</w:t>
        </w:r>
      </w:hyperlink>
      <w:r w:rsidRPr="00E72418">
        <w:rPr>
          <w:szCs w:val="20"/>
        </w:rPr>
        <w:t xml:space="preserve"> (consultation le 17 octobre 2021). Avant cela, dès 2002, les États membres de l’Union européenne s’étaient engagés à inclure des clauses d’action collective dans leurs seules nouvelles émissions obligataires internationales, les émissions sur le marché domestique n’étant pas concernées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Titredulivre"/>
          <w:b w:val="0"/>
          <w:bCs w:val="0"/>
          <w:iCs w:val="0"/>
          <w:spacing w:val="0"/>
          <w:szCs w:val="20"/>
        </w:rPr>
        <w:t>op. cit.</w:t>
      </w:r>
      <w:r w:rsidRPr="00E72418">
        <w:rPr>
          <w:szCs w:val="20"/>
        </w:rPr>
        <w:t>, p. 509). Le but de cette insertion est de faciliter la restructuration des dettes d’</w:t>
      </w:r>
      <w:r w:rsidRPr="00E72418">
        <w:rPr>
          <w:szCs w:val="20"/>
          <w:lang w:eastAsia="fr-BE"/>
        </w:rPr>
        <w:t>É</w:t>
      </w:r>
      <w:r w:rsidRPr="00E72418">
        <w:rPr>
          <w:szCs w:val="20"/>
        </w:rPr>
        <w:t xml:space="preserve">tats européens souffrant de la crise financière sans que d’autres </w:t>
      </w:r>
      <w:r w:rsidRPr="00E72418">
        <w:rPr>
          <w:szCs w:val="20"/>
          <w:lang w:eastAsia="fr-BE"/>
        </w:rPr>
        <w:t>É</w:t>
      </w:r>
      <w:r w:rsidRPr="00E72418">
        <w:rPr>
          <w:szCs w:val="20"/>
        </w:rPr>
        <w:t>tats européens n’aient à devoir renflouer</w:t>
      </w:r>
      <w:r w:rsidRPr="00E72418">
        <w:rPr>
          <w:szCs w:val="20"/>
          <w:lang w:val="en-US"/>
        </w:rPr>
        <w:t xml:space="preserve"> (</w:t>
      </w:r>
      <w:r w:rsidRPr="00E72418">
        <w:rPr>
          <w:smallCaps/>
          <w:szCs w:val="20"/>
          <w:lang w:val="en-US"/>
        </w:rPr>
        <w:t>A. Iversen</w:t>
      </w:r>
      <w:r w:rsidRPr="00E72418">
        <w:rPr>
          <w:szCs w:val="20"/>
          <w:lang w:val="en-US"/>
        </w:rPr>
        <w:t xml:space="preserve">, « Vulture Fund Legislation », </w:t>
      </w:r>
      <w:r w:rsidRPr="00E72418">
        <w:rPr>
          <w:i/>
          <w:szCs w:val="20"/>
          <w:lang w:val="en-US"/>
        </w:rPr>
        <w:t>op. cit.</w:t>
      </w:r>
      <w:r w:rsidRPr="00E72418">
        <w:rPr>
          <w:szCs w:val="20"/>
          <w:lang w:val="en-US"/>
        </w:rPr>
        <w:t>, p. 16).</w:t>
      </w:r>
    </w:p>
  </w:footnote>
  <w:footnote w:id="1408">
    <w:p w14:paraId="2DDB762D" w14:textId="3A5AA2CF" w:rsidR="0030147D" w:rsidRPr="00E72418" w:rsidRDefault="0030147D" w:rsidP="004B4DA6">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Assemblée générale des Nations Unies, </w:t>
      </w:r>
      <w:r w:rsidRPr="00E72418">
        <w:rPr>
          <w:i/>
          <w:szCs w:val="20"/>
        </w:rPr>
        <w:t>Principes fondamentaux des opérations de restructuration de la dette souveraine</w:t>
      </w:r>
      <w:r w:rsidRPr="00E72418">
        <w:rPr>
          <w:szCs w:val="20"/>
        </w:rPr>
        <w:t>, A/RES/69/319, 10 septembre 2015, p. 2.</w:t>
      </w:r>
    </w:p>
  </w:footnote>
  <w:footnote w:id="1409">
    <w:p w14:paraId="507F21EF" w14:textId="405B31D4" w:rsidR="0030147D" w:rsidRPr="00E72418" w:rsidRDefault="0030147D" w:rsidP="009B5B86">
      <w:pPr>
        <w:pStyle w:val="Sansinterligne"/>
      </w:pPr>
      <w:r w:rsidRPr="00E72418">
        <w:rPr>
          <w:rStyle w:val="Appelnotedebasdep"/>
        </w:rPr>
        <w:footnoteRef/>
      </w:r>
      <w:r w:rsidRPr="00E72418">
        <w:t xml:space="preserve"> C. </w:t>
      </w:r>
      <w:r w:rsidRPr="00E72418">
        <w:rPr>
          <w:rFonts w:cs="Times New Roman"/>
          <w:smallCaps/>
          <w:szCs w:val="24"/>
          <w:lang w:val="en-US"/>
        </w:rPr>
        <w:t xml:space="preserve">Rault, </w:t>
      </w:r>
      <w:r w:rsidRPr="00E72418">
        <w:rPr>
          <w:rFonts w:cs="Times New Roman"/>
          <w:i/>
          <w:szCs w:val="24"/>
          <w:lang w:val="en-US"/>
        </w:rPr>
        <w:t>The Legal Framework of Sovereign Debt Management</w:t>
      </w:r>
      <w:r w:rsidRPr="00E72418">
        <w:rPr>
          <w:rFonts w:cs="Times New Roman"/>
          <w:szCs w:val="24"/>
          <w:lang w:val="en-US"/>
        </w:rPr>
        <w:t>,</w:t>
      </w:r>
      <w:r w:rsidRPr="00E72418">
        <w:rPr>
          <w:i/>
        </w:rPr>
        <w:t xml:space="preserve"> op. cit.</w:t>
      </w:r>
      <w:r w:rsidRPr="00E72418">
        <w:rPr>
          <w:rFonts w:cs="Times New Roman"/>
          <w:szCs w:val="24"/>
          <w:lang w:val="en-US"/>
        </w:rPr>
        <w:t xml:space="preserve">, pp. 99 et 100. </w:t>
      </w:r>
      <w:r w:rsidRPr="00E72418">
        <w:t xml:space="preserve">Les difficultés pouvant découler de cette absence d’attention sont potentiellement multiples comme notamment celles entourant la clause </w:t>
      </w:r>
      <w:r w:rsidRPr="00E72418">
        <w:rPr>
          <w:i/>
        </w:rPr>
        <w:t>pari passu</w:t>
      </w:r>
      <w:r w:rsidRPr="00E72418">
        <w:t xml:space="preserve"> dont il fut question </w:t>
      </w:r>
      <w:r w:rsidRPr="00E72418">
        <w:rPr>
          <w:i/>
        </w:rPr>
        <w:t>supra</w:t>
      </w:r>
      <w:r w:rsidRPr="00E72418">
        <w:t xml:space="preserve"> n</w:t>
      </w:r>
      <w:r w:rsidRPr="00E72418">
        <w:rPr>
          <w:vertAlign w:val="superscript"/>
        </w:rPr>
        <w:t>os</w:t>
      </w:r>
      <w:r w:rsidRPr="00E72418">
        <w:t xml:space="preserve"> 173 et suiv.</w:t>
      </w:r>
    </w:p>
  </w:footnote>
  <w:footnote w:id="1410">
    <w:p w14:paraId="5751560B" w14:textId="77294D21" w:rsidR="0030147D" w:rsidRPr="00E72418" w:rsidRDefault="0030147D" w:rsidP="004B4DA6">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361. Voyez encore la thèse défendue par l’auteure : </w:t>
      </w:r>
      <w:r w:rsidRPr="00E72418">
        <w:rPr>
          <w:i/>
          <w:szCs w:val="20"/>
        </w:rPr>
        <w:t>L’évolution du régime contractuel de défaut des États débiteurs européens</w:t>
      </w:r>
      <w:r w:rsidRPr="00E72418">
        <w:rPr>
          <w:szCs w:val="20"/>
        </w:rPr>
        <w:t>, L.G.D.J., 2018. Elle ajoute que cet événement doit être salué comme un progrès de l’élaboration architecturale du régime de défaut souverain.</w:t>
      </w:r>
    </w:p>
  </w:footnote>
  <w:footnote w:id="1411">
    <w:p w14:paraId="665EB897" w14:textId="30883BD3" w:rsidR="0030147D" w:rsidRPr="00E72418" w:rsidRDefault="0030147D" w:rsidP="004B4DA6">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szCs w:val="20"/>
        </w:rPr>
        <w:t xml:space="preserve">, p. 508. </w:t>
      </w:r>
      <w:r w:rsidRPr="00E72418">
        <w:rPr>
          <w:rFonts w:cs="Times New Roman"/>
          <w:szCs w:val="20"/>
        </w:rPr>
        <w:t xml:space="preserve">Dans le même ordre d’idées, Dominique </w:t>
      </w:r>
      <w:r w:rsidRPr="00E72418">
        <w:rPr>
          <w:szCs w:val="20"/>
        </w:rPr>
        <w:t>Carreau et Caroline Kleiner retiennent que les clauses d’action collective font désormais partie du droit international/transnational commun applicable aux dettes d’</w:t>
      </w:r>
      <w:r w:rsidRPr="00E72418">
        <w:rPr>
          <w:szCs w:val="20"/>
          <w:lang w:eastAsia="fr-BE"/>
        </w:rPr>
        <w:t>É</w:t>
      </w:r>
      <w:r w:rsidRPr="00E72418">
        <w:rPr>
          <w:szCs w:val="20"/>
        </w:rPr>
        <w:t>tat (</w:t>
      </w:r>
      <w:r w:rsidRPr="00E72418">
        <w:rPr>
          <w:smallCaps/>
          <w:szCs w:val="20"/>
        </w:rPr>
        <w:t xml:space="preserve">D. </w:t>
      </w:r>
      <w:r w:rsidRPr="00E72418">
        <w:rPr>
          <w:rStyle w:val="Titre4Car"/>
          <w:rFonts w:ascii="Times" w:eastAsiaTheme="minorHAnsi" w:hAnsi="Times" w:cstheme="minorBidi"/>
          <w:i w:val="0"/>
          <w:iCs w:val="0"/>
          <w:smallCaps/>
          <w:color w:val="auto"/>
          <w:szCs w:val="20"/>
        </w:rPr>
        <w:t>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133. Pour ce qui est des pays de la zone euro, ces auteurs font à plus forte raison valoir que « </w:t>
      </w:r>
      <w:r w:rsidRPr="00E72418">
        <w:rPr>
          <w:szCs w:val="20"/>
          <w:lang w:eastAsia="fr-BE"/>
        </w:rPr>
        <w:t>ces clauses d’action collective à contenu identique font désormais partie de l’ordre public applicable au régime juridique de la dette souveraine »).</w:t>
      </w:r>
    </w:p>
  </w:footnote>
  <w:footnote w:id="1412">
    <w:p w14:paraId="72DA3295" w14:textId="0B002495" w:rsidR="0030147D" w:rsidRPr="00E72418" w:rsidRDefault="0030147D" w:rsidP="004437D5">
      <w:pPr>
        <w:pStyle w:val="Sansinterligne"/>
        <w:rPr>
          <w:szCs w:val="20"/>
        </w:rPr>
      </w:pPr>
      <w:r w:rsidRPr="00E72418">
        <w:rPr>
          <w:rStyle w:val="Appelnotedebasdep"/>
          <w:szCs w:val="20"/>
        </w:rPr>
        <w:footnoteRef/>
      </w:r>
      <w:r w:rsidRPr="00E72418">
        <w:rPr>
          <w:szCs w:val="20"/>
        </w:rPr>
        <w:t xml:space="preserve">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rPr>
          <w:rStyle w:val="Accentuation"/>
          <w:i w:val="0"/>
          <w:iCs w:val="0"/>
          <w:szCs w:val="20"/>
        </w:rPr>
        <w:t>,</w:t>
      </w:r>
      <w:r w:rsidRPr="00E72418">
        <w:rPr>
          <w:szCs w:val="20"/>
        </w:rPr>
        <w:t xml:space="preserve"> p. 504.</w:t>
      </w:r>
    </w:p>
  </w:footnote>
  <w:footnote w:id="1413">
    <w:p w14:paraId="37D38094" w14:textId="14B295FB" w:rsidR="0030147D" w:rsidRPr="00E72418" w:rsidRDefault="0030147D" w:rsidP="001F5045">
      <w:pPr>
        <w:pStyle w:val="Sansinterligne"/>
        <w:rPr>
          <w:szCs w:val="20"/>
        </w:rPr>
      </w:pPr>
      <w:r w:rsidRPr="00E72418">
        <w:rPr>
          <w:rStyle w:val="Appelnotedebasdep"/>
          <w:szCs w:val="20"/>
        </w:rPr>
        <w:footnoteRef/>
      </w:r>
      <w:r w:rsidRPr="00E72418">
        <w:rPr>
          <w:szCs w:val="20"/>
        </w:rPr>
        <w:t xml:space="preserve"> Lors de l’émission de la dette, l’</w:t>
      </w:r>
      <w:r w:rsidRPr="00E72418">
        <w:rPr>
          <w:szCs w:val="20"/>
          <w:lang w:eastAsia="fr-BE"/>
        </w:rPr>
        <w:t>É</w:t>
      </w:r>
      <w:r w:rsidRPr="00E72418">
        <w:rPr>
          <w:szCs w:val="20"/>
        </w:rPr>
        <w:t xml:space="preserve">tat souverain peut choisir de recourir à une </w:t>
      </w:r>
      <w:r w:rsidRPr="00E72418">
        <w:rPr>
          <w:i/>
          <w:szCs w:val="20"/>
        </w:rPr>
        <w:t>trust structure</w:t>
      </w:r>
      <w:r w:rsidRPr="00E72418">
        <w:rPr>
          <w:szCs w:val="20"/>
        </w:rPr>
        <w:t xml:space="preserve"> plutôt qu’à une </w:t>
      </w:r>
      <w:r w:rsidRPr="00E72418">
        <w:rPr>
          <w:i/>
          <w:szCs w:val="20"/>
        </w:rPr>
        <w:t>fiscal agency structure</w:t>
      </w:r>
      <w:r w:rsidRPr="00E72418">
        <w:rPr>
          <w:szCs w:val="20"/>
        </w:rPr>
        <w:t xml:space="preserve">. La différence est que dans la première situation les droits d’exécution sont largement concentrés dans les mains d’un </w:t>
      </w:r>
      <w:r w:rsidRPr="00E72418">
        <w:rPr>
          <w:i/>
          <w:szCs w:val="20"/>
        </w:rPr>
        <w:t>trustee</w:t>
      </w:r>
      <w:r w:rsidRPr="00E72418">
        <w:rPr>
          <w:szCs w:val="20"/>
        </w:rPr>
        <w:t xml:space="preserve"> tandis que, dans la seconde, plus commune, les créanciers conservent individuellement ces droits (</w:t>
      </w:r>
      <w:r w:rsidRPr="00E72418">
        <w:rPr>
          <w:smallCaps/>
          <w:szCs w:val="20"/>
        </w:rPr>
        <w:t>L. Buchheit</w:t>
      </w:r>
      <w:r w:rsidRPr="00E72418">
        <w:rPr>
          <w:szCs w:val="20"/>
        </w:rPr>
        <w:t xml:space="preserve"> et </w:t>
      </w:r>
      <w:r w:rsidRPr="00E72418">
        <w:rPr>
          <w:smallCaps/>
          <w:szCs w:val="20"/>
        </w:rPr>
        <w:t>M. Gulati</w:t>
      </w:r>
      <w:r w:rsidRPr="00E72418">
        <w:rPr>
          <w:szCs w:val="20"/>
        </w:rPr>
        <w:t xml:space="preserve">, « Restructuring sovereign debt after </w:t>
      </w:r>
      <w:r w:rsidRPr="00E72418">
        <w:rPr>
          <w:i/>
          <w:szCs w:val="20"/>
        </w:rPr>
        <w:t>NML v Argentina</w:t>
      </w:r>
      <w:r w:rsidRPr="00E72418">
        <w:rPr>
          <w:szCs w:val="20"/>
        </w:rPr>
        <w:t xml:space="preserve"> », </w:t>
      </w:r>
      <w:r w:rsidRPr="00E72418">
        <w:rPr>
          <w:i/>
          <w:szCs w:val="20"/>
        </w:rPr>
        <w:t>op. cit.</w:t>
      </w:r>
      <w:r w:rsidRPr="00E72418">
        <w:rPr>
          <w:szCs w:val="20"/>
        </w:rPr>
        <w:t xml:space="preserve">, p. 230). Le </w:t>
      </w:r>
      <w:r w:rsidRPr="00E72418">
        <w:rPr>
          <w:i/>
          <w:szCs w:val="20"/>
        </w:rPr>
        <w:t>trustee</w:t>
      </w:r>
      <w:r w:rsidRPr="00E72418">
        <w:rPr>
          <w:szCs w:val="20"/>
        </w:rPr>
        <w:t xml:space="preserve"> est en charge de la gestion des affaires liées à l’émission souveraine et représente les créanciers (</w:t>
      </w:r>
      <w:r w:rsidRPr="00E72418">
        <w:rPr>
          <w:smallCaps/>
          <w:szCs w:val="20"/>
          <w:lang w:val="en-US"/>
        </w:rPr>
        <w:t>R. Olivares-Caminal</w:t>
      </w:r>
      <w:r w:rsidRPr="00E72418">
        <w:rPr>
          <w:szCs w:val="20"/>
          <w:lang w:val="en-US"/>
        </w:rPr>
        <w:t xml:space="preserve">, « Understanding the Pari Passu Clause in Sovereign Debt Instruments: A Complex Quest », </w:t>
      </w:r>
      <w:r w:rsidRPr="00E72418">
        <w:rPr>
          <w:i/>
          <w:szCs w:val="20"/>
          <w:lang w:val="en-US"/>
        </w:rPr>
        <w:t>The International Lawyer</w:t>
      </w:r>
      <w:r w:rsidRPr="00E72418">
        <w:rPr>
          <w:szCs w:val="20"/>
          <w:lang w:val="en-US"/>
        </w:rPr>
        <w:t>, 2009, p. 1221)</w:t>
      </w:r>
      <w:r w:rsidRPr="00E72418">
        <w:rPr>
          <w:szCs w:val="20"/>
        </w:rPr>
        <w:t xml:space="preserve">. La clause reprenant la mise en place de cette structure peut prévoir que les actions en justice intentées par le </w:t>
      </w:r>
      <w:r w:rsidRPr="00E72418">
        <w:rPr>
          <w:i/>
          <w:szCs w:val="20"/>
        </w:rPr>
        <w:t>trustee</w:t>
      </w:r>
      <w:r w:rsidRPr="00E72418">
        <w:rPr>
          <w:szCs w:val="20"/>
        </w:rPr>
        <w:t xml:space="preserve"> ne pourront l’être que pour autant qu’un certain pourcentage des créanciers l’en mandate </w:t>
      </w:r>
      <w:r w:rsidRPr="00E72418">
        <w:rPr>
          <w:szCs w:val="20"/>
          <w:lang w:val="en-US"/>
        </w:rPr>
        <w:t>(</w:t>
      </w:r>
      <w:r w:rsidRPr="00E72418">
        <w:rPr>
          <w:smallCaps/>
          <w:szCs w:val="20"/>
          <w:lang w:val="en-US"/>
        </w:rPr>
        <w:t>H. Scott</w:t>
      </w:r>
      <w:r w:rsidRPr="00E72418">
        <w:rPr>
          <w:szCs w:val="20"/>
          <w:lang w:val="en-US"/>
        </w:rPr>
        <w:t xml:space="preserve">, « Sovereign Debt Defaults: Cry for the United States, not Argentina », </w:t>
      </w:r>
      <w:r w:rsidRPr="00E72418">
        <w:rPr>
          <w:i/>
          <w:szCs w:val="20"/>
          <w:lang w:val="en-US"/>
        </w:rPr>
        <w:t>op. cit.</w:t>
      </w:r>
      <w:r w:rsidRPr="00E72418">
        <w:rPr>
          <w:szCs w:val="20"/>
          <w:lang w:val="en-US"/>
        </w:rPr>
        <w:t xml:space="preserve">, p. 31). </w:t>
      </w:r>
      <w:r w:rsidRPr="00E72418">
        <w:rPr>
          <w:szCs w:val="20"/>
        </w:rPr>
        <w:t xml:space="preserve">Le recours à la </w:t>
      </w:r>
      <w:r w:rsidRPr="00E72418">
        <w:rPr>
          <w:i/>
          <w:szCs w:val="20"/>
        </w:rPr>
        <w:t>trust structure</w:t>
      </w:r>
      <w:r w:rsidRPr="00E72418">
        <w:rPr>
          <w:szCs w:val="20"/>
        </w:rPr>
        <w:t xml:space="preserve"> permet également de protéger certains montants qui pourraient être convoités par les fonds spéculatifs. </w:t>
      </w:r>
      <w:r w:rsidRPr="00E72418">
        <w:rPr>
          <w:szCs w:val="20"/>
          <w:lang w:val="en-US"/>
        </w:rPr>
        <w:t>Ainsi, comme le relève Rodrigo Olivares-Caminal, « payments done through a trustee cannot be attached because as soon as the funds are deposited in the trustee’s account they are no longer the sovereign’s funds; on the contrary, they are held by the trustee acting on behalf of the creditors » (</w:t>
      </w:r>
      <w:r w:rsidRPr="00E72418">
        <w:rPr>
          <w:smallCaps/>
          <w:szCs w:val="20"/>
          <w:lang w:val="en-US"/>
        </w:rPr>
        <w:t>R. Olivares-Caminal</w:t>
      </w:r>
      <w:r w:rsidRPr="00E72418">
        <w:rPr>
          <w:szCs w:val="20"/>
          <w:lang w:val="en-US"/>
        </w:rPr>
        <w:t xml:space="preserve">, « Understanding the Pari Passu Clause in Sovereign Debt Instruments: A Complex Quest », </w:t>
      </w:r>
      <w:r w:rsidRPr="00E72418">
        <w:rPr>
          <w:i/>
          <w:szCs w:val="20"/>
          <w:lang w:val="en-US"/>
        </w:rPr>
        <w:t>op. cit.</w:t>
      </w:r>
      <w:r w:rsidRPr="00E72418">
        <w:rPr>
          <w:szCs w:val="20"/>
          <w:lang w:val="en-US"/>
        </w:rPr>
        <w:t xml:space="preserve">, p. 1221. Voyez, dans ce sens, la jurisprudence récente de la </w:t>
      </w:r>
      <w:r w:rsidRPr="00735BBE">
        <w:rPr>
          <w:szCs w:val="20"/>
        </w:rPr>
        <w:t>United States District Court for the Southern District of New York</w:t>
      </w:r>
      <w:r w:rsidRPr="00E72418">
        <w:rPr>
          <w:i/>
          <w:szCs w:val="20"/>
        </w:rPr>
        <w:t xml:space="preserve"> </w:t>
      </w:r>
      <w:r w:rsidRPr="00E72418">
        <w:rPr>
          <w:szCs w:val="20"/>
          <w:lang w:val="en-US"/>
        </w:rPr>
        <w:t xml:space="preserve">citée </w:t>
      </w:r>
      <w:r w:rsidRPr="00E72418">
        <w:rPr>
          <w:i/>
          <w:szCs w:val="20"/>
          <w:lang w:val="en-US"/>
        </w:rPr>
        <w:t>in</w:t>
      </w:r>
      <w:r w:rsidRPr="00E72418">
        <w:rPr>
          <w:szCs w:val="20"/>
          <w:lang w:val="en-US"/>
        </w:rPr>
        <w:t xml:space="preserve"> L. </w:t>
      </w:r>
      <w:r w:rsidRPr="00E72418">
        <w:rPr>
          <w:rFonts w:cs="Times New Roman"/>
          <w:smallCaps/>
          <w:szCs w:val="24"/>
          <w:lang w:val="en-US"/>
        </w:rPr>
        <w:t>Buchheit</w:t>
      </w:r>
      <w:r w:rsidRPr="00E72418">
        <w:rPr>
          <w:rFonts w:cs="Times New Roman"/>
          <w:szCs w:val="24"/>
          <w:lang w:val="en-US"/>
        </w:rPr>
        <w:t xml:space="preserve">, « </w:t>
      </w:r>
      <w:r w:rsidRPr="00E72418">
        <w:t xml:space="preserve">Trustees versus fiscal agents for sovereign bonds », </w:t>
      </w:r>
      <w:r w:rsidRPr="00E72418">
        <w:rPr>
          <w:i/>
          <w:lang w:val="en-US"/>
        </w:rPr>
        <w:t>op. cit.</w:t>
      </w:r>
      <w:r w:rsidRPr="00E72418">
        <w:rPr>
          <w:lang w:val="en-US"/>
        </w:rPr>
        <w:t>, p. 413</w:t>
      </w:r>
      <w:r w:rsidRPr="00E72418">
        <w:rPr>
          <w:szCs w:val="20"/>
          <w:lang w:val="en-US"/>
        </w:rPr>
        <w:t xml:space="preserve">). </w:t>
      </w:r>
      <w:r w:rsidRPr="00E72418">
        <w:rPr>
          <w:szCs w:val="20"/>
        </w:rPr>
        <w:t xml:space="preserve">La figure du </w:t>
      </w:r>
      <w:r w:rsidRPr="00E72418">
        <w:rPr>
          <w:i/>
          <w:szCs w:val="20"/>
        </w:rPr>
        <w:t>trustee</w:t>
      </w:r>
      <w:r w:rsidRPr="00E72418">
        <w:rPr>
          <w:szCs w:val="20"/>
        </w:rPr>
        <w:t xml:space="preserve"> a également ceci de positif qu’il permet que les créanciers participent, par une sorte de représentation collective, aux discussions entourant un projet de restructuration, laquelle participation est essentielle afin </w:t>
      </w:r>
      <w:r w:rsidR="00372DFE">
        <w:rPr>
          <w:szCs w:val="20"/>
        </w:rPr>
        <w:t>d’emporter</w:t>
      </w:r>
      <w:r w:rsidRPr="00E72418">
        <w:rPr>
          <w:szCs w:val="20"/>
        </w:rPr>
        <w:t xml:space="preserve"> leur accord. </w:t>
      </w:r>
    </w:p>
  </w:footnote>
  <w:footnote w:id="1414">
    <w:p w14:paraId="3A0D4415" w14:textId="5E248B59" w:rsidR="0030147D" w:rsidRPr="00E72418" w:rsidRDefault="0030147D" w:rsidP="009B5B86">
      <w:pPr>
        <w:pStyle w:val="Sansinterligne"/>
      </w:pPr>
      <w:r w:rsidRPr="00E72418">
        <w:rPr>
          <w:rStyle w:val="Appelnotedebasdep"/>
        </w:rPr>
        <w:footnoteRef/>
      </w:r>
      <w:r w:rsidRPr="00E72418">
        <w:t xml:space="preserve"> Voyez notamment L. </w:t>
      </w:r>
      <w:r w:rsidRPr="00E72418">
        <w:rPr>
          <w:smallCaps/>
        </w:rPr>
        <w:t>Buchheit</w:t>
      </w:r>
      <w:r w:rsidRPr="00E72418">
        <w:t xml:space="preserve">, « The sharing clause as a litigation shield », </w:t>
      </w:r>
      <w:r w:rsidRPr="00E72418">
        <w:rPr>
          <w:rFonts w:ascii="Times New Roman" w:hAnsi="Times New Roman" w:cs="Times New Roman"/>
          <w:i/>
        </w:rPr>
        <w:t>Int. Fin. Law Rev.</w:t>
      </w:r>
      <w:r w:rsidRPr="00E72418">
        <w:t>, octobre 1990, pp. 15 et 16.</w:t>
      </w:r>
    </w:p>
  </w:footnote>
  <w:footnote w:id="1415">
    <w:p w14:paraId="47F890BF" w14:textId="628D900D" w:rsidR="0030147D" w:rsidRPr="00E72418" w:rsidRDefault="0030147D" w:rsidP="004437D5">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Sticks », </w:t>
      </w:r>
      <w:r w:rsidRPr="00E72418">
        <w:rPr>
          <w:i/>
          <w:szCs w:val="20"/>
          <w:lang w:val="en-US"/>
        </w:rPr>
        <w:t>op. cit.</w:t>
      </w:r>
      <w:r w:rsidRPr="00E72418">
        <w:rPr>
          <w:szCs w:val="20"/>
          <w:lang w:val="en-US"/>
        </w:rPr>
        <w:t>, p. 18. L’</w:t>
      </w:r>
      <w:r w:rsidRPr="00E72418">
        <w:rPr>
          <w:szCs w:val="20"/>
          <w:lang w:eastAsia="fr-BE"/>
        </w:rPr>
        <w:t>É</w:t>
      </w:r>
      <w:r w:rsidRPr="00E72418">
        <w:rPr>
          <w:szCs w:val="20"/>
          <w:lang w:val="en-US"/>
        </w:rPr>
        <w:t xml:space="preserve">quateur fut le premier à faire usage des </w:t>
      </w:r>
      <w:r w:rsidRPr="00E72418">
        <w:rPr>
          <w:i/>
          <w:szCs w:val="20"/>
          <w:lang w:val="en-US"/>
        </w:rPr>
        <w:t>exit consents</w:t>
      </w:r>
      <w:r w:rsidRPr="00E72418">
        <w:rPr>
          <w:szCs w:val="20"/>
          <w:lang w:val="en-US"/>
        </w:rPr>
        <w:t xml:space="preserve"> lors de sa restructuration de 2000 lesquels eurent un effet significatif sur la propension des créanciers à y participer (L. </w:t>
      </w:r>
      <w:r w:rsidRPr="00E72418">
        <w:rPr>
          <w:rFonts w:cs="Times New Roman"/>
          <w:smallCaps/>
          <w:szCs w:val="24"/>
          <w:lang w:val="en-US"/>
        </w:rPr>
        <w:t xml:space="preserve">Buchheit </w:t>
      </w:r>
      <w:r w:rsidRPr="00E72418">
        <w:rPr>
          <w:rFonts w:cs="Times New Roman"/>
          <w:szCs w:val="24"/>
          <w:lang w:val="en-US"/>
        </w:rPr>
        <w:t>et</w:t>
      </w:r>
      <w:r w:rsidRPr="00E72418">
        <w:rPr>
          <w:rFonts w:cs="Times New Roman"/>
          <w:smallCaps/>
          <w:szCs w:val="24"/>
          <w:lang w:val="en-US"/>
        </w:rPr>
        <w:t xml:space="preserve"> M. Gulati, </w:t>
      </w:r>
      <w:r w:rsidRPr="00E72418">
        <w:rPr>
          <w:rFonts w:cs="Times New Roman"/>
          <w:szCs w:val="24"/>
          <w:lang w:val="en-US"/>
        </w:rPr>
        <w:t xml:space="preserve">« Exit Consents in Sovereign Bond Exchanges », </w:t>
      </w:r>
      <w:r w:rsidRPr="00E72418">
        <w:rPr>
          <w:rFonts w:cs="Times New Roman"/>
          <w:i/>
          <w:szCs w:val="24"/>
          <w:lang w:val="en-US"/>
        </w:rPr>
        <w:t>op. cit.</w:t>
      </w:r>
      <w:r w:rsidRPr="00E72418">
        <w:rPr>
          <w:rFonts w:cs="Times New Roman"/>
          <w:szCs w:val="24"/>
          <w:lang w:val="en-US"/>
        </w:rPr>
        <w:t>, p. 84</w:t>
      </w:r>
      <w:r w:rsidRPr="00E72418">
        <w:rPr>
          <w:szCs w:val="20"/>
          <w:lang w:val="en-US"/>
        </w:rPr>
        <w:t>).</w:t>
      </w:r>
    </w:p>
  </w:footnote>
  <w:footnote w:id="1416">
    <w:p w14:paraId="25D5C734" w14:textId="11AE3F46"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Bruno</w:t>
      </w:r>
      <w:r w:rsidRPr="00E72418">
        <w:rPr>
          <w:szCs w:val="20"/>
          <w:lang w:val="en-US"/>
        </w:rPr>
        <w:t xml:space="preserve">, « How to restructure », in E. </w:t>
      </w:r>
      <w:r w:rsidRPr="00E72418">
        <w:rPr>
          <w:smallCaps/>
          <w:szCs w:val="20"/>
          <w:lang w:val="en-US"/>
        </w:rPr>
        <w:t>Bruno</w:t>
      </w:r>
      <w:r w:rsidRPr="00E72418">
        <w:rPr>
          <w:szCs w:val="20"/>
          <w:lang w:val="en-US"/>
        </w:rPr>
        <w:t xml:space="preserve"> (éd.), </w:t>
      </w:r>
      <w:r w:rsidRPr="00E72418">
        <w:rPr>
          <w:i/>
          <w:szCs w:val="20"/>
          <w:lang w:val="en-US"/>
        </w:rPr>
        <w:t>Sovereign Debt and Debt Restructuring – Legal, Financial and Regulatory Aspects</w:t>
      </w:r>
      <w:r w:rsidRPr="00E72418">
        <w:rPr>
          <w:szCs w:val="20"/>
          <w:lang w:val="en-US"/>
        </w:rPr>
        <w:t>, Globe Law and Business, 2013, p. 142.</w:t>
      </w:r>
    </w:p>
  </w:footnote>
  <w:footnote w:id="1417">
    <w:p w14:paraId="1547EB3D" w14:textId="14A85169" w:rsidR="0030147D" w:rsidRPr="00E72418" w:rsidRDefault="0030147D" w:rsidP="004437D5">
      <w:pPr>
        <w:pStyle w:val="Sansinterligne"/>
        <w:rPr>
          <w:szCs w:val="20"/>
          <w:lang w:val="en-US"/>
        </w:rPr>
      </w:pPr>
      <w:r w:rsidRPr="00E72418">
        <w:rPr>
          <w:rStyle w:val="Appelnotedebasdep"/>
          <w:szCs w:val="20"/>
        </w:rPr>
        <w:footnoteRef/>
      </w:r>
      <w:r w:rsidRPr="00E72418">
        <w:rPr>
          <w:smallCaps/>
          <w:szCs w:val="20"/>
          <w:lang w:val="en-US"/>
        </w:rPr>
        <w:t xml:space="preserve"> </w:t>
      </w:r>
      <w:r w:rsidRPr="00E72418">
        <w:rPr>
          <w:i/>
          <w:szCs w:val="20"/>
          <w:lang w:val="en-US"/>
        </w:rPr>
        <w:t>Ibid.</w:t>
      </w:r>
    </w:p>
  </w:footnote>
  <w:footnote w:id="1418">
    <w:p w14:paraId="0318325E" w14:textId="640F662B"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pp. 497 et 498.</w:t>
      </w:r>
    </w:p>
  </w:footnote>
  <w:footnote w:id="1419">
    <w:p w14:paraId="52510442" w14:textId="079E2EBD" w:rsidR="0030147D" w:rsidRPr="00E72418" w:rsidRDefault="0030147D" w:rsidP="0026278D">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E. Bruno</w:t>
      </w:r>
      <w:r w:rsidRPr="00E72418">
        <w:rPr>
          <w:szCs w:val="20"/>
          <w:lang w:val="en-US"/>
        </w:rPr>
        <w:t xml:space="preserve">, « Fundamentals of sovereign debt », </w:t>
      </w:r>
      <w:r w:rsidRPr="00E72418">
        <w:rPr>
          <w:i/>
          <w:szCs w:val="20"/>
          <w:lang w:val="en-US"/>
        </w:rPr>
        <w:t>op. cit.</w:t>
      </w:r>
      <w:r w:rsidRPr="00E72418">
        <w:rPr>
          <w:szCs w:val="20"/>
          <w:lang w:val="en-US"/>
        </w:rPr>
        <w:t xml:space="preserve">, p. 6. </w:t>
      </w:r>
      <w:r w:rsidRPr="00E72418">
        <w:rPr>
          <w:szCs w:val="20"/>
        </w:rPr>
        <w:t>Cette attitude est d’ailleurs assez logique en ce qu’ils peuvent espérer tirer profit de ce que les créanciers des autres séries acceptent la restructuration et son coût et permettent ainsi une amélioration de la situation financière du débiteur (</w:t>
      </w:r>
      <w:r w:rsidRPr="00E72418">
        <w:rPr>
          <w:smallCaps/>
          <w:szCs w:val="20"/>
        </w:rPr>
        <w:t>A. Iversen</w:t>
      </w:r>
      <w:r w:rsidRPr="00E72418">
        <w:rPr>
          <w:szCs w:val="20"/>
        </w:rPr>
        <w:t xml:space="preserve">, « Vulture Fund Legislation », </w:t>
      </w:r>
      <w:r w:rsidRPr="00E72418">
        <w:rPr>
          <w:i/>
          <w:szCs w:val="20"/>
        </w:rPr>
        <w:t>op. cit.</w:t>
      </w:r>
      <w:r w:rsidRPr="00E72418">
        <w:rPr>
          <w:szCs w:val="20"/>
        </w:rPr>
        <w:t>, p. 17).</w:t>
      </w:r>
    </w:p>
  </w:footnote>
  <w:footnote w:id="1420">
    <w:p w14:paraId="091D3618" w14:textId="33369468" w:rsidR="0030147D" w:rsidRPr="00E72418" w:rsidRDefault="0030147D" w:rsidP="004437D5">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361.</w:t>
      </w:r>
    </w:p>
  </w:footnote>
  <w:footnote w:id="1421">
    <w:p w14:paraId="40B0E03B" w14:textId="77777777"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Fonds monétaire international, </w:t>
      </w:r>
      <w:r w:rsidRPr="00E72418">
        <w:rPr>
          <w:i/>
          <w:szCs w:val="20"/>
          <w:lang w:val="en-US"/>
        </w:rPr>
        <w:t>Strengthening the contractual framework to address collective action problems in sovereign debt restructuring</w:t>
      </w:r>
      <w:r w:rsidRPr="00E72418">
        <w:rPr>
          <w:szCs w:val="20"/>
          <w:lang w:val="en-US"/>
        </w:rPr>
        <w:t>, 2 septembre 2014, p. 1.</w:t>
      </w:r>
    </w:p>
  </w:footnote>
  <w:footnote w:id="1422">
    <w:p w14:paraId="5C970309" w14:textId="550D7760"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p. 360.</w:t>
      </w:r>
    </w:p>
  </w:footnote>
  <w:footnote w:id="1423">
    <w:p w14:paraId="285C54AD" w14:textId="243A27DC" w:rsidR="0030147D" w:rsidRPr="00E72418" w:rsidRDefault="0030147D" w:rsidP="004437D5">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w:t>
      </w:r>
      <w:r w:rsidRPr="00E72418">
        <w:t>Association internationale des marchés de capitaux</w:t>
      </w:r>
      <w:r w:rsidRPr="00E72418">
        <w:rPr>
          <w:szCs w:val="20"/>
          <w:lang w:val="en-US"/>
        </w:rPr>
        <w:t xml:space="preserve">, </w:t>
      </w:r>
      <w:r w:rsidRPr="00E72418">
        <w:rPr>
          <w:i/>
          <w:szCs w:val="20"/>
          <w:lang w:val="en-US"/>
        </w:rPr>
        <w:t>Standard aggregated collective action clauses (“CACS”) for the terms and conditions of sovereign notes</w:t>
      </w:r>
      <w:r w:rsidRPr="00E72418">
        <w:rPr>
          <w:szCs w:val="20"/>
          <w:lang w:val="en-US"/>
        </w:rPr>
        <w:t xml:space="preserve">, août 2014 (voyez déjà sur ces clauses, </w:t>
      </w:r>
      <w:r w:rsidRPr="00E72418">
        <w:rPr>
          <w:i/>
          <w:szCs w:val="20"/>
          <w:lang w:val="en-US"/>
        </w:rPr>
        <w:t>supra</w:t>
      </w:r>
      <w:r w:rsidRPr="00E72418">
        <w:rPr>
          <w:szCs w:val="20"/>
          <w:lang w:val="en-US"/>
        </w:rPr>
        <w:t xml:space="preserve"> n° 197). </w:t>
      </w:r>
      <w:r w:rsidRPr="00E72418">
        <w:rPr>
          <w:szCs w:val="20"/>
        </w:rPr>
        <w:t>Le Kazakhstan, rapidement suivi par le Mexique, fut le premier État à émettre des obligations reprenant la clause modèle de l’</w:t>
      </w:r>
      <w:r w:rsidRPr="00E72418">
        <w:t>Association internationale des marchés de capitaux</w:t>
      </w:r>
      <w:r w:rsidRPr="00E72418">
        <w:rPr>
          <w:szCs w:val="20"/>
        </w:rPr>
        <w:t xml:space="preserve"> (</w:t>
      </w:r>
      <w:r w:rsidRPr="00E72418">
        <w:rPr>
          <w:smallCaps/>
          <w:szCs w:val="20"/>
        </w:rPr>
        <w:t>M. Jewett</w:t>
      </w:r>
      <w:r w:rsidRPr="00E72418">
        <w:rPr>
          <w:szCs w:val="20"/>
        </w:rPr>
        <w:t xml:space="preserve">, « Approaches to Sovereign Debt Resolution: Recent Developments », </w:t>
      </w:r>
      <w:r w:rsidRPr="00E72418">
        <w:rPr>
          <w:i/>
          <w:szCs w:val="20"/>
        </w:rPr>
        <w:t>B.F.L.R.</w:t>
      </w:r>
      <w:r w:rsidRPr="00E72418">
        <w:rPr>
          <w:szCs w:val="20"/>
        </w:rPr>
        <w:t>, 2015, p. 317).</w:t>
      </w:r>
    </w:p>
  </w:footnote>
  <w:footnote w:id="1424">
    <w:p w14:paraId="7929339B" w14:textId="30C32D76"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T. Araya</w:t>
      </w:r>
      <w:r w:rsidRPr="00E72418">
        <w:rPr>
          <w:szCs w:val="20"/>
          <w:lang w:val="en-US"/>
        </w:rPr>
        <w:t xml:space="preserve">, « A Decade of Sovereign Debt Litigation: Lessons from the NML v Argentina Case and the Road Ahead », </w:t>
      </w:r>
      <w:r w:rsidRPr="00E72418">
        <w:rPr>
          <w:i/>
          <w:szCs w:val="20"/>
          <w:lang w:val="en-US"/>
        </w:rPr>
        <w:t>op. cit.</w:t>
      </w:r>
      <w:r w:rsidRPr="00E72418">
        <w:rPr>
          <w:szCs w:val="20"/>
          <w:lang w:val="en-US"/>
        </w:rPr>
        <w:t>, p. 85.</w:t>
      </w:r>
    </w:p>
  </w:footnote>
  <w:footnote w:id="1425">
    <w:p w14:paraId="3CADBB71" w14:textId="1536CB7E"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Restructuring sovereign debt after </w:t>
      </w:r>
      <w:r w:rsidRPr="00E72418">
        <w:rPr>
          <w:i/>
          <w:szCs w:val="20"/>
          <w:lang w:val="en-US"/>
        </w:rPr>
        <w:t>NML v Argentina</w:t>
      </w:r>
      <w:r w:rsidRPr="00E72418">
        <w:rPr>
          <w:szCs w:val="20"/>
          <w:lang w:val="en-US"/>
        </w:rPr>
        <w:t xml:space="preserve"> », </w:t>
      </w:r>
      <w:r w:rsidRPr="00E72418">
        <w:rPr>
          <w:i/>
          <w:szCs w:val="20"/>
          <w:lang w:val="en-US"/>
        </w:rPr>
        <w:t>op. cit.</w:t>
      </w:r>
      <w:r w:rsidRPr="00E72418">
        <w:rPr>
          <w:szCs w:val="20"/>
          <w:lang w:val="en-US"/>
        </w:rPr>
        <w:t>, p. 230.</w:t>
      </w:r>
    </w:p>
  </w:footnote>
  <w:footnote w:id="1426">
    <w:p w14:paraId="6FFCBAE2" w14:textId="77777777" w:rsidR="0030147D" w:rsidRPr="00E72418" w:rsidRDefault="0030147D" w:rsidP="004437D5">
      <w:pPr>
        <w:pStyle w:val="Sansinterligne"/>
        <w:rPr>
          <w:szCs w:val="20"/>
          <w:lang w:val="en-US"/>
        </w:rPr>
      </w:pPr>
      <w:r w:rsidRPr="00E72418">
        <w:rPr>
          <w:rStyle w:val="Appelnotedebasdep"/>
          <w:szCs w:val="20"/>
        </w:rPr>
        <w:footnoteRef/>
      </w:r>
      <w:r w:rsidRPr="00E72418">
        <w:rPr>
          <w:szCs w:val="20"/>
          <w:lang w:val="en-US"/>
        </w:rPr>
        <w:t xml:space="preserve"> Voyez Fonds monétaire international, </w:t>
      </w:r>
      <w:r w:rsidRPr="00E72418">
        <w:rPr>
          <w:i/>
          <w:szCs w:val="20"/>
          <w:lang w:val="en-US"/>
        </w:rPr>
        <w:t>Strengthening the contractual framework to address collective action problems in sovereign debt restructuring</w:t>
      </w:r>
      <w:r w:rsidRPr="00E72418">
        <w:rPr>
          <w:szCs w:val="20"/>
          <w:lang w:val="en-US"/>
        </w:rPr>
        <w:t>, 2 septembre 2014.</w:t>
      </w:r>
    </w:p>
  </w:footnote>
  <w:footnote w:id="1427">
    <w:p w14:paraId="4D9A7254" w14:textId="1AC04C96" w:rsidR="0030147D" w:rsidRPr="00E72418" w:rsidRDefault="0030147D" w:rsidP="000460ED">
      <w:pPr>
        <w:pStyle w:val="Sansinterligne"/>
        <w:rPr>
          <w:szCs w:val="20"/>
        </w:rPr>
      </w:pPr>
      <w:r w:rsidRPr="00E72418">
        <w:rPr>
          <w:rStyle w:val="Appelnotedebasdep"/>
          <w:szCs w:val="20"/>
        </w:rPr>
        <w:footnoteRef/>
      </w:r>
      <w:r w:rsidRPr="00E72418">
        <w:rPr>
          <w:szCs w:val="20"/>
          <w:lang w:val="en-US"/>
        </w:rPr>
        <w:t xml:space="preserve"> Fonds monétaire international, </w:t>
      </w:r>
      <w:r w:rsidRPr="00E72418">
        <w:rPr>
          <w:i/>
          <w:szCs w:val="20"/>
          <w:lang w:val="en-US"/>
        </w:rPr>
        <w:t>Fourth progress report on inclusion of enhanced contractual provisions in international sovereign bond contracts</w:t>
      </w:r>
      <w:r w:rsidRPr="00E72418">
        <w:rPr>
          <w:szCs w:val="20"/>
          <w:lang w:val="en-US"/>
        </w:rPr>
        <w:t>, 6 mars 2019, p. 3.</w:t>
      </w:r>
    </w:p>
  </w:footnote>
  <w:footnote w:id="1428">
    <w:p w14:paraId="3920CEAB" w14:textId="18365EAB"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Voyez notamment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96 : « [t]his would effectively close the door to vulture funds’ attempts to recover the face value of debt instruments purchased at a discount ».</w:t>
      </w:r>
    </w:p>
  </w:footnote>
  <w:footnote w:id="1429">
    <w:p w14:paraId="3AA53AE8" w14:textId="73C9CE08" w:rsidR="0030147D" w:rsidRPr="00E72418" w:rsidRDefault="0030147D" w:rsidP="00B929D2">
      <w:pPr>
        <w:pStyle w:val="Sansinterligne"/>
        <w:rPr>
          <w:rFonts w:ascii="Times New Roman" w:hAnsi="Times New Roman" w:cs="Times New Roman"/>
        </w:rPr>
      </w:pPr>
      <w:r w:rsidRPr="00E72418">
        <w:rPr>
          <w:rStyle w:val="Appelnotedebasdep"/>
          <w:szCs w:val="20"/>
        </w:rPr>
        <w:footnoteRef/>
      </w:r>
      <w:r w:rsidRPr="00E72418">
        <w:t xml:space="preserve"> United States Court of Appeals for the Second Circuit (EUA), 26 octobre 2012, </w:t>
      </w:r>
      <w:r w:rsidRPr="00E72418">
        <w:rPr>
          <w:i/>
        </w:rPr>
        <w:t>NML Capital Ltd. and others c. Republic of Argentina</w:t>
      </w:r>
      <w:r w:rsidRPr="00E72418">
        <w:t xml:space="preserve">, </w:t>
      </w:r>
      <w:r w:rsidRPr="00E72418">
        <w:rPr>
          <w:rStyle w:val="injectednode"/>
          <w:szCs w:val="20"/>
          <w:lang w:val="en-US"/>
        </w:rPr>
        <w:t xml:space="preserve">699 F.3d 246, p. 264. </w:t>
      </w:r>
      <w:r w:rsidRPr="00E72418">
        <w:t xml:space="preserve">La Cour remarquait que ces clauses étaient « included in 99% of the aggregate value of New York-law bonds issued since January 2005 ». La cour d’appel faisait encore valoir qu’ « [o]nly 5 of 211 issuances under New York law during that period did not include collective action clauses, and all of those issuances came from a single nation, Jamaica ». Le </w:t>
      </w:r>
      <w:r w:rsidRPr="00E72418">
        <w:rPr>
          <w:i/>
        </w:rPr>
        <w:t>Fiscal Agency Agreement</w:t>
      </w:r>
      <w:r w:rsidRPr="00E72418">
        <w:t xml:space="preserve"> argentin ne contenait pas une telle clause qui aurait pu contraindre l’ensemble des créanciers à respecter les accords de restructuration décidés par la majorité (</w:t>
      </w:r>
      <w:r w:rsidRPr="00E72418">
        <w:rPr>
          <w:smallCaps/>
        </w:rPr>
        <w:t>E. Atkins</w:t>
      </w:r>
      <w:r w:rsidRPr="00E72418">
        <w:t xml:space="preserve">, « Collateral Damage: An American Judge’s Innovative but Misguided Attempt to Resolve the Enforcement Problem of Sovereign Debt », </w:t>
      </w:r>
      <w:r w:rsidRPr="00E72418">
        <w:rPr>
          <w:rFonts w:ascii="Times New Roman" w:hAnsi="Times New Roman" w:cs="Times New Roman"/>
          <w:i/>
        </w:rPr>
        <w:t>Geo. J. Leg. Ethics</w:t>
      </w:r>
      <w:r w:rsidRPr="00E72418">
        <w:t xml:space="preserve">, 2015, p. 375). Notons encore que les obligations argentines proposées lors des échanges de 2005 et 2010 incluaient des clauses d’action collective (United States Court of Appeals for the Second Circuit (EUA), 26 octobre 2012, </w:t>
      </w:r>
      <w:r w:rsidRPr="00E72418">
        <w:rPr>
          <w:i/>
        </w:rPr>
        <w:t>NML Capital Ltd. and others c. Republic of Argentina</w:t>
      </w:r>
      <w:r w:rsidRPr="00E72418">
        <w:t xml:space="preserve">, </w:t>
      </w:r>
      <w:r w:rsidRPr="00E72418">
        <w:rPr>
          <w:rStyle w:val="injectednode"/>
          <w:szCs w:val="20"/>
          <w:lang w:val="en-US"/>
        </w:rPr>
        <w:t xml:space="preserve">699 F.3d 246, p. 253. </w:t>
      </w:r>
      <w:r w:rsidRPr="00E72418">
        <w:t>Il est relevé dans la décision que « [t]hese clauses permit Argentina to amend the terms of the bonds and to bind dissenting bondholders if a sufficient number of bondholders (66 2/3% to 75% of the aggregate principal amount of a given series) agree »).</w:t>
      </w:r>
    </w:p>
  </w:footnote>
  <w:footnote w:id="1430">
    <w:p w14:paraId="6FD1A661" w14:textId="5D6863A1"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United States Court of Appeals for the Second Circuit (EUA), 26 octobre 2012, </w:t>
      </w:r>
      <w:r w:rsidRPr="00E72418">
        <w:rPr>
          <w:i/>
          <w:szCs w:val="20"/>
          <w:lang w:val="en-US"/>
        </w:rPr>
        <w:t>NML Capital Ltd. and others c. Republic of Argentina</w:t>
      </w:r>
      <w:r w:rsidRPr="00E72418">
        <w:rPr>
          <w:szCs w:val="20"/>
          <w:lang w:val="en-US"/>
        </w:rPr>
        <w:t xml:space="preserve">, </w:t>
      </w:r>
      <w:r w:rsidRPr="00E72418">
        <w:rPr>
          <w:rStyle w:val="injectednode"/>
          <w:szCs w:val="20"/>
          <w:lang w:val="en-US"/>
        </w:rPr>
        <w:t xml:space="preserve">699 F.3d 246, p. 253. </w:t>
      </w:r>
      <w:r w:rsidRPr="00E72418">
        <w:rPr>
          <w:szCs w:val="20"/>
          <w:lang w:val="en-US"/>
        </w:rPr>
        <w:t xml:space="preserve">Ce postulat fut à nouveau </w:t>
      </w:r>
      <w:r w:rsidR="00372DFE">
        <w:rPr>
          <w:szCs w:val="20"/>
          <w:lang w:val="en-US"/>
        </w:rPr>
        <w:t>avancé par la c</w:t>
      </w:r>
      <w:r w:rsidRPr="00E72418">
        <w:rPr>
          <w:szCs w:val="20"/>
          <w:lang w:val="en-US"/>
        </w:rPr>
        <w:t>our dans sa décision du 23 août 2013 : « cases like this one are unlikely to occur in the future […] because newer bonds almost universally include collective action clauses (“CACs”) which permit a super-majority of bondholders to impose a restructuring on potential holdouts »</w:t>
      </w:r>
      <w:r w:rsidRPr="00E72418">
        <w:rPr>
          <w:rStyle w:val="injectednode"/>
          <w:szCs w:val="20"/>
          <w:lang w:val="en-US"/>
        </w:rPr>
        <w:t xml:space="preserve"> (</w:t>
      </w:r>
      <w:r w:rsidRPr="00E72418">
        <w:rPr>
          <w:szCs w:val="20"/>
          <w:lang w:val="en-US"/>
        </w:rPr>
        <w:t xml:space="preserve">United States Court of Appeals for the Second Circuit (EUA), </w:t>
      </w:r>
      <w:r w:rsidRPr="00E72418">
        <w:rPr>
          <w:rStyle w:val="injectednode"/>
          <w:szCs w:val="20"/>
          <w:lang w:val="en-US"/>
        </w:rPr>
        <w:t xml:space="preserve">23 août 2013, </w:t>
      </w:r>
      <w:r w:rsidRPr="00E72418">
        <w:rPr>
          <w:i/>
          <w:szCs w:val="20"/>
          <w:lang w:val="en-US"/>
        </w:rPr>
        <w:t>NML Capital Ltd. v. Republic of Arg.</w:t>
      </w:r>
      <w:r w:rsidRPr="00E72418">
        <w:rPr>
          <w:rStyle w:val="injectednode"/>
          <w:szCs w:val="20"/>
          <w:lang w:val="en-US"/>
        </w:rPr>
        <w:t>, 727 F.3d 230, p. 247).</w:t>
      </w:r>
    </w:p>
  </w:footnote>
  <w:footnote w:id="1431">
    <w:p w14:paraId="58E8B7BF" w14:textId="5421B5B1"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Schumacher, C. Trebesch</w:t>
      </w:r>
      <w:r w:rsidRPr="00E72418">
        <w:rPr>
          <w:szCs w:val="20"/>
          <w:lang w:val="en-US"/>
        </w:rPr>
        <w:t xml:space="preserve"> et </w:t>
      </w:r>
      <w:r w:rsidRPr="00E72418">
        <w:rPr>
          <w:smallCaps/>
          <w:szCs w:val="20"/>
          <w:lang w:val="en-US"/>
        </w:rPr>
        <w:t>H. Enderlein</w:t>
      </w:r>
      <w:r w:rsidRPr="00E72418">
        <w:rPr>
          <w:szCs w:val="20"/>
          <w:lang w:val="en-US"/>
        </w:rPr>
        <w:t xml:space="preserve">, </w:t>
      </w:r>
      <w:r w:rsidRPr="00E72418">
        <w:t xml:space="preserve">« </w:t>
      </w:r>
      <w:r w:rsidRPr="00E72418">
        <w:rPr>
          <w:lang w:val="en-US"/>
        </w:rPr>
        <w:t>Sovereign Defaults in Court</w:t>
      </w:r>
      <w:r w:rsidRPr="00E72418">
        <w:rPr>
          <w:i/>
          <w:lang w:val="en-US"/>
        </w:rPr>
        <w:t xml:space="preserve"> </w:t>
      </w:r>
      <w:r w:rsidRPr="00E72418">
        <w:rPr>
          <w:szCs w:val="20"/>
        </w:rPr>
        <w:t>»</w:t>
      </w:r>
      <w:r w:rsidRPr="00E72418">
        <w:rPr>
          <w:szCs w:val="20"/>
          <w:lang w:val="en-US"/>
        </w:rPr>
        <w:t xml:space="preserve">, </w:t>
      </w:r>
      <w:r w:rsidRPr="00E72418">
        <w:rPr>
          <w:i/>
          <w:szCs w:val="20"/>
          <w:lang w:val="en-US"/>
        </w:rPr>
        <w:t>op. cit.</w:t>
      </w:r>
      <w:r w:rsidRPr="00E72418">
        <w:rPr>
          <w:szCs w:val="20"/>
          <w:lang w:val="en-US"/>
        </w:rPr>
        <w:t>, p. 37.</w:t>
      </w:r>
    </w:p>
  </w:footnote>
  <w:footnote w:id="1432">
    <w:p w14:paraId="72DDF26D" w14:textId="77777777"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Stiglitz</w:t>
      </w:r>
      <w:r w:rsidRPr="00E72418">
        <w:rPr>
          <w:szCs w:val="20"/>
          <w:lang w:val="en-US"/>
        </w:rPr>
        <w:t xml:space="preserve">, </w:t>
      </w:r>
      <w:r w:rsidRPr="00E72418">
        <w:rPr>
          <w:i/>
          <w:szCs w:val="20"/>
          <w:lang w:val="en-US"/>
        </w:rPr>
        <w:t>Making Globalization Work</w:t>
      </w:r>
      <w:r w:rsidRPr="00E72418">
        <w:rPr>
          <w:szCs w:val="20"/>
          <w:lang w:val="en-US"/>
        </w:rPr>
        <w:t>, Norton &amp; Company, 2006, p. 239.</w:t>
      </w:r>
    </w:p>
  </w:footnote>
  <w:footnote w:id="1433">
    <w:p w14:paraId="47AA29D9" w14:textId="53FC8561"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Elisa Beneze relève que « [n]o sovereign debt restructuring process is the same, so any solution that is purely ex-ante will be insufficient because any determination about what is fair or just in one restructuring may not be applicable to another </w:t>
      </w:r>
      <w:r w:rsidRPr="00E72418">
        <w:rPr>
          <w:b/>
          <w:szCs w:val="20"/>
        </w:rPr>
        <w:t xml:space="preserve">– </w:t>
      </w:r>
      <w:r w:rsidRPr="00E72418">
        <w:rPr>
          <w:szCs w:val="20"/>
          <w:lang w:val="en-US"/>
        </w:rPr>
        <w:t>there are simply too many variables to fully correct the vulture fund problem in sovereign debt restructuring through changes to contract language »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270).</w:t>
      </w:r>
    </w:p>
  </w:footnote>
  <w:footnote w:id="1434">
    <w:p w14:paraId="6614332F" w14:textId="64E6FB54" w:rsidR="0030147D" w:rsidRPr="00E72418" w:rsidRDefault="0030147D" w:rsidP="000460ED">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lang w:val="en-US"/>
        </w:rPr>
        <w:t xml:space="preserve"> Cecilia Nahon relève ainsi que « there can be no guarantee that novel judicial interpretations, which contradict the spirit of these clauses […] will not be crafted in the future » (</w:t>
      </w:r>
      <w:r w:rsidRPr="00E72418">
        <w:rPr>
          <w:smallCaps/>
          <w:szCs w:val="20"/>
          <w:lang w:val="en-US"/>
        </w:rPr>
        <w:t>C. Nahon</w:t>
      </w:r>
      <w:r w:rsidRPr="00E72418">
        <w:rPr>
          <w:szCs w:val="20"/>
          <w:lang w:val="en-US"/>
        </w:rPr>
        <w:t xml:space="preserve">, « The case against the “vulture funds” », </w:t>
      </w:r>
      <w:r w:rsidRPr="00E72418">
        <w:rPr>
          <w:i/>
          <w:szCs w:val="20"/>
          <w:lang w:val="en-US"/>
        </w:rPr>
        <w:t>op. cit.</w:t>
      </w:r>
      <w:r w:rsidRPr="00E72418">
        <w:rPr>
          <w:szCs w:val="20"/>
          <w:lang w:val="en-US"/>
        </w:rPr>
        <w:t xml:space="preserve">, p. 112). </w:t>
      </w:r>
      <w:r w:rsidRPr="00E72418">
        <w:rPr>
          <w:szCs w:val="20"/>
        </w:rPr>
        <w:t xml:space="preserve">Ramenant le propos à la protection de ces clauses de l’action des fonds spéculant sur les dettes souveraines, l’auteure ajoute que « [t]here are no fully “vulture-proof” clauses ». L’exemple de l’interprétation de la clause </w:t>
      </w:r>
      <w:r w:rsidRPr="00E72418">
        <w:rPr>
          <w:i/>
          <w:szCs w:val="20"/>
        </w:rPr>
        <w:t>pari passu</w:t>
      </w:r>
      <w:r w:rsidRPr="00E72418">
        <w:rPr>
          <w:szCs w:val="20"/>
        </w:rPr>
        <w:t xml:space="preserve"> en 2012 par les juridictions new-yorkaises peut être donné comme illustration de la possible versatilité de la jurisprudence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182 et suiv.).</w:t>
      </w:r>
    </w:p>
  </w:footnote>
  <w:footnote w:id="1435">
    <w:p w14:paraId="0EBCED95" w14:textId="695CC370" w:rsidR="0030147D" w:rsidRPr="00E72418" w:rsidRDefault="0030147D" w:rsidP="004C1039">
      <w:pPr>
        <w:pStyle w:val="Sansinterligne"/>
      </w:pPr>
      <w:r w:rsidRPr="00E72418">
        <w:rPr>
          <w:rStyle w:val="Appelnotedebasdep"/>
        </w:rPr>
        <w:footnoteRef/>
      </w:r>
      <w:r w:rsidRPr="00E72418">
        <w:t xml:space="preserve"> Réfléchissant aux clauses d’action collective européennes obligatoires telles qu’issues </w:t>
      </w:r>
      <w:r w:rsidRPr="00E72418">
        <w:rPr>
          <w:szCs w:val="24"/>
        </w:rPr>
        <w:t xml:space="preserve">de l’article 12.3. du Traité instituant le mécanisme européen de stabilité du 2 février 2012 (voyez </w:t>
      </w:r>
      <w:r w:rsidRPr="00E72418">
        <w:rPr>
          <w:i/>
          <w:szCs w:val="24"/>
        </w:rPr>
        <w:t>supra</w:t>
      </w:r>
      <w:r w:rsidRPr="00E72418">
        <w:rPr>
          <w:szCs w:val="24"/>
        </w:rPr>
        <w:t xml:space="preserve"> n° 284), Mathias Audit relève que « the compatibility between the CAC and the applicable law of the relevant bond has not been clearly determined » et conclut qu’il pourrait être des cas où un créancier pourrait chercher à contester leur validité (M. </w:t>
      </w:r>
      <w:r w:rsidRPr="00E72418">
        <w:rPr>
          <w:rFonts w:cs="Times New Roman"/>
          <w:smallCaps/>
          <w:szCs w:val="24"/>
          <w:lang w:val="en-GB"/>
        </w:rPr>
        <w:t>Audit</w:t>
      </w:r>
      <w:r w:rsidRPr="00E72418">
        <w:rPr>
          <w:rFonts w:cs="Times New Roman"/>
          <w:szCs w:val="24"/>
          <w:lang w:val="en-GB"/>
        </w:rPr>
        <w:t xml:space="preserve">, </w:t>
      </w:r>
      <w:r w:rsidRPr="00E72418">
        <w:rPr>
          <w:rFonts w:cs="Times New Roman"/>
          <w:szCs w:val="24"/>
          <w:lang w:val="en-US"/>
        </w:rPr>
        <w:t>« A Debt Restructuring Mechanism for European Sovereigns: An Emerging Idea  »</w:t>
      </w:r>
      <w:r w:rsidRPr="00E72418">
        <w:rPr>
          <w:rFonts w:cs="Times New Roman"/>
          <w:szCs w:val="24"/>
          <w:shd w:val="clear" w:color="auto" w:fill="FFFFFF"/>
          <w:lang w:val="en-GB"/>
        </w:rPr>
        <w:t xml:space="preserve">, in C. </w:t>
      </w:r>
      <w:r w:rsidRPr="00E72418">
        <w:rPr>
          <w:rFonts w:cs="Times New Roman"/>
          <w:smallCaps/>
          <w:szCs w:val="24"/>
          <w:shd w:val="clear" w:color="auto" w:fill="FFFFFF"/>
          <w:lang w:val="en-GB"/>
        </w:rPr>
        <w:t>Paulus (</w:t>
      </w:r>
      <w:r w:rsidRPr="00E72418">
        <w:rPr>
          <w:rFonts w:cs="Times New Roman"/>
          <w:szCs w:val="24"/>
          <w:shd w:val="clear" w:color="auto" w:fill="FFFFFF"/>
          <w:lang w:val="en-GB"/>
        </w:rPr>
        <w:t xml:space="preserve">éd.), </w:t>
      </w:r>
      <w:r w:rsidRPr="00E72418">
        <w:rPr>
          <w:i/>
          <w:szCs w:val="20"/>
          <w:lang w:val="en-US"/>
        </w:rPr>
        <w:t xml:space="preserve">A Debt Restructuring Mechanism for Sovereigns </w:t>
      </w:r>
      <w:r w:rsidRPr="00E72418">
        <w:t xml:space="preserve">– </w:t>
      </w:r>
      <w:r w:rsidRPr="00E72418">
        <w:rPr>
          <w:i/>
          <w:szCs w:val="20"/>
          <w:lang w:val="en-US"/>
        </w:rPr>
        <w:t>Do We Need a Legal Procedure?</w:t>
      </w:r>
      <w:r w:rsidRPr="00E72418">
        <w:rPr>
          <w:rFonts w:cs="Times New Roman"/>
          <w:szCs w:val="24"/>
          <w:shd w:val="clear" w:color="auto" w:fill="FFFFFF"/>
          <w:lang w:val="en-US"/>
        </w:rPr>
        <w:t>, Beck.Hart.Nomos, 2014, pp. 218 à 220)</w:t>
      </w:r>
      <w:r w:rsidRPr="00E72418">
        <w:rPr>
          <w:szCs w:val="24"/>
        </w:rPr>
        <w:t>.</w:t>
      </w:r>
      <w:r w:rsidRPr="00E72418">
        <w:t xml:space="preserve"> Dans la situation où une telle poursuite de l’annulation d’une clause d’action collective il y aurait, Fanny Giansetto rassure toutefois en relevant qu’ « on peut présumer qu’un juge sera tenté de faire primer l’intérêt général de l’</w:t>
      </w:r>
      <w:r w:rsidRPr="00E72418">
        <w:rPr>
          <w:rFonts w:ascii="Times New Roman" w:hAnsi="Times New Roman" w:cs="Times New Roman"/>
          <w:lang w:eastAsia="fr-BE"/>
        </w:rPr>
        <w:t>É</w:t>
      </w:r>
      <w:r w:rsidRPr="00E72418">
        <w:t xml:space="preserve">tat à la restructuration plutôt que le droit particulier d’une personne »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271)</w:t>
      </w:r>
      <w:r w:rsidRPr="00E72418">
        <w:t>.</w:t>
      </w:r>
    </w:p>
  </w:footnote>
  <w:footnote w:id="1436">
    <w:p w14:paraId="2FFC8B9C" w14:textId="78076795" w:rsidR="0030147D" w:rsidRPr="00E72418" w:rsidRDefault="0030147D" w:rsidP="000460ED">
      <w:pPr>
        <w:pStyle w:val="Sansinterligne"/>
        <w:rPr>
          <w:szCs w:val="20"/>
        </w:rPr>
      </w:pPr>
      <w:r w:rsidRPr="00E72418">
        <w:rPr>
          <w:rStyle w:val="Appelnotedebasdep"/>
          <w:szCs w:val="20"/>
        </w:rPr>
        <w:footnoteRef/>
      </w:r>
      <w:r w:rsidRPr="00E72418">
        <w:rPr>
          <w:szCs w:val="20"/>
        </w:rPr>
        <w:t xml:space="preserve"> </w:t>
      </w:r>
      <w:r w:rsidRPr="00E72418">
        <w:rPr>
          <w:smallCaps/>
          <w:szCs w:val="20"/>
        </w:rPr>
        <w:t>F. Giansetto</w:t>
      </w:r>
      <w:r w:rsidRPr="00E72418">
        <w:rPr>
          <w:szCs w:val="20"/>
        </w:rPr>
        <w:t xml:space="preserve">, « Les fonds dits “vautours” et la dette souveraine – Un nouvel enjeu de la régulation financière », </w:t>
      </w:r>
      <w:r w:rsidRPr="00E72418">
        <w:rPr>
          <w:i/>
          <w:szCs w:val="20"/>
        </w:rPr>
        <w:t>op. cit.</w:t>
      </w:r>
      <w:r w:rsidRPr="00E72418">
        <w:rPr>
          <w:szCs w:val="20"/>
        </w:rPr>
        <w:t xml:space="preserve">, p. 50. Voyez également l’analyse précise de cette chronologie in </w:t>
      </w:r>
      <w:r w:rsidRPr="00E72418">
        <w:t xml:space="preserve">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99 à 102 qui note notamment que « [t]he dominant narrative is that once the holdout creditor obtains a favourable judgment from the court, the decision of the majority of bondholders is incapable of overruling the judicial ruling ».</w:t>
      </w:r>
    </w:p>
  </w:footnote>
  <w:footnote w:id="1437">
    <w:p w14:paraId="0684AAFB" w14:textId="16577738" w:rsidR="0030147D" w:rsidRPr="00E72418" w:rsidRDefault="0030147D" w:rsidP="000460E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M. Jewett</w:t>
      </w:r>
      <w:r w:rsidRPr="00E72418">
        <w:rPr>
          <w:szCs w:val="20"/>
          <w:lang w:val="en-US"/>
        </w:rPr>
        <w:t xml:space="preserve">, « Approaches to Sovereign Debt Resolution: Recent Developments », in L. </w:t>
      </w:r>
      <w:r w:rsidRPr="00E72418">
        <w:rPr>
          <w:smallCaps/>
          <w:szCs w:val="20"/>
          <w:lang w:val="en-US"/>
        </w:rPr>
        <w:t>Buchheit</w:t>
      </w:r>
      <w:r w:rsidRPr="00E72418">
        <w:rPr>
          <w:szCs w:val="20"/>
          <w:lang w:val="en-US"/>
        </w:rPr>
        <w:t xml:space="preserve"> et R. </w:t>
      </w:r>
      <w:r w:rsidRPr="00E72418">
        <w:rPr>
          <w:smallCaps/>
          <w:szCs w:val="20"/>
          <w:lang w:val="en-US"/>
        </w:rPr>
        <w:t>Lastra</w:t>
      </w:r>
      <w:r w:rsidRPr="00E72418">
        <w:rPr>
          <w:szCs w:val="20"/>
          <w:lang w:val="en-US"/>
        </w:rPr>
        <w:t xml:space="preserve"> (éd.), </w:t>
      </w:r>
      <w:r w:rsidRPr="00E72418">
        <w:rPr>
          <w:i/>
          <w:szCs w:val="20"/>
          <w:lang w:val="en-US"/>
        </w:rPr>
        <w:t>Sovereign Debt Management</w:t>
      </w:r>
      <w:r w:rsidRPr="00E72418">
        <w:rPr>
          <w:szCs w:val="20"/>
          <w:lang w:val="en-US"/>
        </w:rPr>
        <w:t>, Oxford University Press, 2014, p. XXII.</w:t>
      </w:r>
    </w:p>
  </w:footnote>
  <w:footnote w:id="1438">
    <w:p w14:paraId="5CDD826D" w14:textId="7EED322E" w:rsidR="0030147D" w:rsidRPr="00E72418" w:rsidRDefault="0030147D" w:rsidP="00BE1B1A">
      <w:pPr>
        <w:pStyle w:val="Sansinterligne"/>
        <w:rPr>
          <w:rFonts w:ascii="TimesNewRoman" w:hAnsi="TimesNewRoman" w:cs="TimesNewRoman"/>
          <w:szCs w:val="20"/>
        </w:rPr>
      </w:pPr>
      <w:r w:rsidRPr="00E72418">
        <w:rPr>
          <w:rStyle w:val="Appelnotedebasdep"/>
        </w:rPr>
        <w:footnoteRef/>
      </w:r>
      <w:r w:rsidRPr="00E72418">
        <w:t xml:space="preserve"> Assemblée générale des Nations Unies, </w:t>
      </w:r>
      <w:r w:rsidRPr="00E72418">
        <w:rPr>
          <w:i/>
        </w:rPr>
        <w:t>Principes fondamentaux des opérations de restructuration de la dette souveraine</w:t>
      </w:r>
      <w:r w:rsidRPr="00E72418">
        <w:t>, 10 septembre 2015, A/RES/69/319, p. 2, neuvième principe. L’on ne saurait d’ailleurs douter de la portée que l’on retient à ce principe à la lecture de la précision reprise sous le même principe selon laquelle « [i]</w:t>
      </w:r>
      <w:r w:rsidRPr="00E72418">
        <w:rPr>
          <w:rFonts w:ascii="TimesNewRoman" w:hAnsi="TimesNewRoman" w:cs="TimesNewRoman"/>
          <w:szCs w:val="20"/>
        </w:rPr>
        <w:t>l faut inciter les États à inclure des clauses d’action collective dans leurs futures émissions d’emprunts souverains ».</w:t>
      </w:r>
    </w:p>
  </w:footnote>
  <w:footnote w:id="1439">
    <w:p w14:paraId="2AA0015A" w14:textId="312BE614" w:rsidR="0030147D" w:rsidRPr="00E72418" w:rsidRDefault="0030147D" w:rsidP="000460ED">
      <w:pPr>
        <w:pStyle w:val="Sansinterligne"/>
        <w:rPr>
          <w:szCs w:val="20"/>
        </w:rPr>
      </w:pPr>
      <w:r w:rsidRPr="00E72418">
        <w:rPr>
          <w:rStyle w:val="Appelnotedebasdep"/>
          <w:szCs w:val="20"/>
        </w:rPr>
        <w:footnoteRef/>
      </w:r>
      <w:r w:rsidRPr="00E72418">
        <w:rPr>
          <w:szCs w:val="20"/>
        </w:rPr>
        <w:t xml:space="preserve"> Le problème est que la plupart des contrats ont des maturités calculées en décennies (</w:t>
      </w:r>
      <w:r w:rsidRPr="00E72418">
        <w:rPr>
          <w:smallCaps/>
          <w:szCs w:val="20"/>
        </w:rPr>
        <w:t>C. Wheeler</w:t>
      </w:r>
      <w:r w:rsidRPr="00E72418">
        <w:rPr>
          <w:szCs w:val="20"/>
        </w:rPr>
        <w:t xml:space="preserve"> et </w:t>
      </w:r>
      <w:r w:rsidRPr="00E72418">
        <w:rPr>
          <w:smallCaps/>
          <w:szCs w:val="20"/>
        </w:rPr>
        <w:t>A. Attaran</w:t>
      </w:r>
      <w:r w:rsidRPr="00E72418">
        <w:rPr>
          <w:szCs w:val="20"/>
        </w:rPr>
        <w:t>, « </w:t>
      </w:r>
      <w:r w:rsidRPr="00E72418">
        <w:rPr>
          <w:szCs w:val="20"/>
          <w:lang w:val="en-US"/>
        </w:rPr>
        <w:t xml:space="preserve">Declawing the Vulture Funds: Rehabilitation of a Comity Defense in Sovereign Debt Litigation </w:t>
      </w:r>
      <w:r w:rsidRPr="00E72418">
        <w:rPr>
          <w:szCs w:val="20"/>
        </w:rPr>
        <w:t xml:space="preserve">», </w:t>
      </w:r>
      <w:r w:rsidRPr="00E72418">
        <w:rPr>
          <w:i/>
          <w:szCs w:val="20"/>
        </w:rPr>
        <w:t>op. cit.</w:t>
      </w:r>
      <w:r w:rsidRPr="00E72418">
        <w:rPr>
          <w:szCs w:val="20"/>
        </w:rPr>
        <w:t xml:space="preserve">, p. 265). Ce problème d’absence de couverture a été également épinglé par le Gouvernement britannique au sujet des dettes des Pays Pauvres Très Endettés qu’il tentait de protéger par l’adoption d’une législation (voyez HM </w:t>
      </w:r>
      <w:r w:rsidRPr="00E72418">
        <w:rPr>
          <w:smallCaps/>
          <w:szCs w:val="20"/>
        </w:rPr>
        <w:t>Treasury</w:t>
      </w:r>
      <w:r w:rsidRPr="00E72418">
        <w:rPr>
          <w:szCs w:val="20"/>
        </w:rPr>
        <w:t xml:space="preserve">, </w:t>
      </w:r>
      <w:r w:rsidRPr="00E72418">
        <w:rPr>
          <w:i/>
          <w:szCs w:val="20"/>
        </w:rPr>
        <w:t>Ensuring effective debt relief for poor countries: a consultation on legislation</w:t>
      </w:r>
      <w:r w:rsidRPr="00E72418">
        <w:rPr>
          <w:szCs w:val="20"/>
        </w:rPr>
        <w:t xml:space="preserve">, 2009, p. 16. Sur la législation adoptée,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304 et suiv.). L’argument est encore repris par le sénateur new-yorkais Gustavo Rivera à l’appui de sa proposition législative de 2021 (voyez www.nysenate.gov/legislation/bills/2021/S6627. Sur cette proposition, voyez </w:t>
      </w:r>
      <w:r w:rsidRPr="00E72418">
        <w:rPr>
          <w:i/>
          <w:szCs w:val="20"/>
        </w:rPr>
        <w:t>supra</w:t>
      </w:r>
      <w:r w:rsidRPr="00E72418">
        <w:rPr>
          <w:szCs w:val="20"/>
        </w:rPr>
        <w:t xml:space="preserve"> n° 278).</w:t>
      </w:r>
    </w:p>
  </w:footnote>
  <w:footnote w:id="1440">
    <w:p w14:paraId="5760ACF1" w14:textId="28C43F3F" w:rsidR="0030147D" w:rsidRPr="00E72418" w:rsidRDefault="0030147D" w:rsidP="000460ED">
      <w:pPr>
        <w:pStyle w:val="Sansinterligne"/>
        <w:rPr>
          <w:szCs w:val="20"/>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xml:space="preserve">, p. 1702. </w:t>
      </w:r>
      <w:r w:rsidRPr="00E72418">
        <w:rPr>
          <w:szCs w:val="20"/>
        </w:rPr>
        <w:t>Dans un rapport de 2019, le Fonds monétaire international épinglait également la lacune au sujet cette fois des « </w:t>
      </w:r>
      <w:r w:rsidRPr="00372DFE">
        <w:rPr>
          <w:szCs w:val="20"/>
        </w:rPr>
        <w:t>enhanced clauses</w:t>
      </w:r>
      <w:r w:rsidRPr="00E72418">
        <w:rPr>
          <w:szCs w:val="20"/>
        </w:rPr>
        <w:t> » (</w:t>
      </w:r>
      <w:r w:rsidRPr="00E72418">
        <w:rPr>
          <w:szCs w:val="20"/>
          <w:lang w:val="en-US"/>
        </w:rPr>
        <w:t>Fonds monétaire international</w:t>
      </w:r>
      <w:r w:rsidRPr="00E72418">
        <w:rPr>
          <w:szCs w:val="20"/>
        </w:rPr>
        <w:t xml:space="preserve">, </w:t>
      </w:r>
      <w:r w:rsidRPr="00E72418">
        <w:rPr>
          <w:i/>
          <w:szCs w:val="20"/>
        </w:rPr>
        <w:t>Fourth progress report on inclusion of enhanced contractual provisions in international sovereign bond contracts</w:t>
      </w:r>
      <w:r w:rsidRPr="00E72418">
        <w:rPr>
          <w:szCs w:val="20"/>
        </w:rPr>
        <w:t>, 6 mars 2019, p. 7).</w:t>
      </w:r>
    </w:p>
  </w:footnote>
  <w:footnote w:id="1441">
    <w:p w14:paraId="39950B98" w14:textId="6938D84A" w:rsidR="0030147D" w:rsidRPr="00E72418" w:rsidRDefault="0030147D" w:rsidP="009B5B86">
      <w:pPr>
        <w:pStyle w:val="Sansinterligne"/>
      </w:pPr>
      <w:r w:rsidRPr="00E72418">
        <w:rPr>
          <w:rStyle w:val="Appelnotedebasdep"/>
        </w:rPr>
        <w:footnoteRef/>
      </w:r>
      <w:r w:rsidRPr="00E72418">
        <w:t xml:space="preserve"> D. </w:t>
      </w:r>
      <w:r w:rsidRPr="00E72418">
        <w:rPr>
          <w:smallCaps/>
        </w:rPr>
        <w:t xml:space="preserve">Brutti, </w:t>
      </w:r>
      <w:r w:rsidRPr="00E72418">
        <w:t xml:space="preserve">« Sovereign debt crises and vulture hedge funds: issues and policy solutions », </w:t>
      </w:r>
      <w:r w:rsidRPr="00E72418">
        <w:rPr>
          <w:i/>
        </w:rPr>
        <w:t>op. cit.</w:t>
      </w:r>
      <w:r w:rsidRPr="00E72418">
        <w:t>, p. 1821.</w:t>
      </w:r>
    </w:p>
  </w:footnote>
  <w:footnote w:id="1442">
    <w:p w14:paraId="32D76BD3" w14:textId="2790CBDB" w:rsidR="0030147D" w:rsidRPr="00E72418" w:rsidRDefault="0030147D" w:rsidP="000460ED">
      <w:pPr>
        <w:pStyle w:val="Sansinterligne"/>
        <w:rPr>
          <w:szCs w:val="20"/>
          <w:lang w:val="en-US"/>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362. Certains auteurs comme Lizzie Meager </w:t>
      </w:r>
      <w:r w:rsidRPr="00E72418">
        <w:rPr>
          <w:i/>
          <w:szCs w:val="20"/>
        </w:rPr>
        <w:t>et al.</w:t>
      </w:r>
      <w:r w:rsidRPr="00E72418">
        <w:rPr>
          <w:szCs w:val="20"/>
        </w:rPr>
        <w:t xml:space="preserve"> suggèrent l’inclusion de clauses d’action collective dans des dettes déjà émises. </w:t>
      </w:r>
      <w:r w:rsidRPr="00E72418">
        <w:rPr>
          <w:szCs w:val="20"/>
          <w:lang w:val="en-US"/>
        </w:rPr>
        <w:t>Pour eux, « [o]ne thing governments can do to protect from vulture creditors is embark on vast active liability management exercises, adopting the new CACs as they go. This could be done by either conventional refinancings or bond amendments. It would be complicated, but many believe the ultimate benefit would ultimately be worth it » (</w:t>
      </w:r>
      <w:r w:rsidRPr="00E72418">
        <w:rPr>
          <w:smallCaps/>
          <w:szCs w:val="20"/>
          <w:lang w:val="en-US"/>
        </w:rPr>
        <w:t>L. Meager, E. Price</w:t>
      </w:r>
      <w:r w:rsidRPr="00E72418">
        <w:rPr>
          <w:szCs w:val="20"/>
          <w:lang w:val="en-US"/>
        </w:rPr>
        <w:t xml:space="preserve"> et </w:t>
      </w:r>
      <w:r w:rsidRPr="00E72418">
        <w:rPr>
          <w:smallCaps/>
          <w:szCs w:val="20"/>
          <w:lang w:val="en-US"/>
        </w:rPr>
        <w:t>B. Yap</w:t>
      </w:r>
      <w:r w:rsidRPr="00E72418">
        <w:rPr>
          <w:szCs w:val="20"/>
          <w:lang w:val="en-US"/>
        </w:rPr>
        <w:t xml:space="preserve">, « How to jump start sovereign debt », </w:t>
      </w:r>
      <w:r w:rsidRPr="00E72418">
        <w:rPr>
          <w:i/>
          <w:szCs w:val="20"/>
          <w:lang w:val="en-US"/>
        </w:rPr>
        <w:t>op. cit.</w:t>
      </w:r>
      <w:r w:rsidRPr="00E72418">
        <w:rPr>
          <w:szCs w:val="20"/>
          <w:lang w:val="en-US"/>
        </w:rPr>
        <w:t>, p. 24).</w:t>
      </w:r>
    </w:p>
  </w:footnote>
  <w:footnote w:id="1443">
    <w:p w14:paraId="60A74E9A" w14:textId="088F3D28" w:rsidR="0030147D" w:rsidRPr="00E72418" w:rsidRDefault="0030147D" w:rsidP="000C715A">
      <w:pPr>
        <w:pStyle w:val="Sansinterligne"/>
      </w:pPr>
      <w:r w:rsidRPr="00E72418">
        <w:rPr>
          <w:rStyle w:val="Appelnotedebasdep"/>
        </w:rPr>
        <w:footnoteRef/>
      </w:r>
      <w:r w:rsidRPr="00E72418">
        <w:t xml:space="preserve"> Voyez J. </w:t>
      </w:r>
      <w:r w:rsidRPr="00E72418">
        <w:rPr>
          <w:smallCaps/>
        </w:rPr>
        <w:t>Stiglitz</w:t>
      </w:r>
      <w:r w:rsidRPr="00E72418">
        <w:t xml:space="preserve">, R. </w:t>
      </w:r>
      <w:r w:rsidRPr="00E72418">
        <w:rPr>
          <w:smallCaps/>
        </w:rPr>
        <w:t>Howse</w:t>
      </w:r>
      <w:r w:rsidRPr="00E72418">
        <w:t xml:space="preserve"> et A.-M. </w:t>
      </w:r>
      <w:r w:rsidRPr="00E72418">
        <w:rPr>
          <w:smallCaps/>
        </w:rPr>
        <w:t>Slaughter</w:t>
      </w:r>
      <w:r w:rsidRPr="00E72418">
        <w:t xml:space="preserve">, « Covid-19 is no excuse for sovereign creditors to move the goalposts on debt », </w:t>
      </w:r>
      <w:r w:rsidRPr="00E72418">
        <w:rPr>
          <w:i/>
        </w:rPr>
        <w:t>op. cit.</w:t>
      </w:r>
    </w:p>
  </w:footnote>
  <w:footnote w:id="1444">
    <w:p w14:paraId="0B750582" w14:textId="7F07D23B" w:rsidR="0030147D" w:rsidRPr="00E72418" w:rsidRDefault="0030147D" w:rsidP="00293ED2">
      <w:pPr>
        <w:pStyle w:val="Sansinterligne"/>
      </w:pPr>
      <w:r w:rsidRPr="00E72418">
        <w:rPr>
          <w:rStyle w:val="Appelnotedebasdep"/>
        </w:rPr>
        <w:footnoteRef/>
      </w:r>
      <w:r w:rsidRPr="00E72418">
        <w:t xml:space="preserve"> Fonds monétaire international, </w:t>
      </w:r>
      <w:r w:rsidRPr="00E72418">
        <w:rPr>
          <w:i/>
        </w:rPr>
        <w:t>Fourth progress report on inclusion of enhanced contractual provisions in international sovereign bond contracts</w:t>
      </w:r>
      <w:r w:rsidRPr="00E72418">
        <w:t>, 6 mars 2019, p. 4.</w:t>
      </w:r>
    </w:p>
  </w:footnote>
  <w:footnote w:id="1445">
    <w:p w14:paraId="0D504211" w14:textId="2F20B913" w:rsidR="0030147D" w:rsidRPr="00E72418" w:rsidRDefault="0030147D" w:rsidP="000460ED">
      <w:pPr>
        <w:pStyle w:val="Sansinterligne"/>
        <w:rPr>
          <w:szCs w:val="20"/>
        </w:rPr>
      </w:pPr>
      <w:r w:rsidRPr="00E72418">
        <w:rPr>
          <w:rStyle w:val="Appelnotedebasdep"/>
          <w:szCs w:val="20"/>
        </w:rPr>
        <w:footnoteRef/>
      </w:r>
      <w:r w:rsidRPr="00E72418">
        <w:rPr>
          <w:szCs w:val="20"/>
        </w:rPr>
        <w:t xml:space="preserve"> Voyez l’exposé sommaire de l’amendement n° 1405 (Rect) </w:t>
      </w:r>
      <w:r w:rsidRPr="00E72418">
        <w:rPr>
          <w:szCs w:val="24"/>
        </w:rPr>
        <w:t>à l’origine de l’article 60 de la loi Sapin II</w:t>
      </w:r>
      <w:r w:rsidRPr="00E72418">
        <w:rPr>
          <w:szCs w:val="20"/>
        </w:rPr>
        <w:t xml:space="preserve"> présenté par Dominique Potier </w:t>
      </w:r>
      <w:r w:rsidRPr="00E72418">
        <w:rPr>
          <w:i/>
          <w:szCs w:val="20"/>
        </w:rPr>
        <w:t>et al.</w:t>
      </w:r>
      <w:r w:rsidRPr="00E72418">
        <w:rPr>
          <w:szCs w:val="20"/>
        </w:rPr>
        <w:t xml:space="preserve">, 2 juin 2016, p. 3. Sur cette loi et sa disposition anti-fonds spéculatifs,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359 et suiv. </w:t>
      </w:r>
    </w:p>
  </w:footnote>
  <w:footnote w:id="1446">
    <w:p w14:paraId="5B03336E" w14:textId="69546DBE" w:rsidR="0030147D" w:rsidRPr="00E72418" w:rsidRDefault="0030147D" w:rsidP="004268F2">
      <w:pPr>
        <w:pStyle w:val="Sansinterligne"/>
        <w:rPr>
          <w:lang w:val="fr-FR"/>
        </w:rPr>
      </w:pPr>
      <w:r w:rsidRPr="00E72418">
        <w:rPr>
          <w:rStyle w:val="Appelnotedebasdep"/>
          <w:szCs w:val="20"/>
        </w:rPr>
        <w:footnoteRef/>
      </w:r>
      <w:r w:rsidRPr="00E72418">
        <w:t xml:space="preserve"> </w:t>
      </w:r>
      <w:r w:rsidRPr="00E72418">
        <w:rPr>
          <w:smallCaps/>
        </w:rPr>
        <w:t>C. Lequesne-Roth</w:t>
      </w:r>
      <w:r w:rsidRPr="00E72418">
        <w:t xml:space="preserve">, « Restructurer », </w:t>
      </w:r>
      <w:r w:rsidRPr="00E72418">
        <w:rPr>
          <w:i/>
        </w:rPr>
        <w:t>op. cit.</w:t>
      </w:r>
      <w:r w:rsidRPr="00E72418">
        <w:t xml:space="preserve">, p. 36. Il apparaît toutefois que l’idée de l’augmentation du coût du capital doit être nuancée ; des économistes ayant étudié les effets des clauses d’action collective arrivent à la conclusion qu’elles n’entrainent pas nécessairement une telle augmentation (voyez à ce sujet, déjà en 2004, </w:t>
      </w:r>
      <w:r w:rsidRPr="00E72418">
        <w:rPr>
          <w:smallCaps/>
        </w:rPr>
        <w:t>B. Eichengreen</w:t>
      </w:r>
      <w:r w:rsidRPr="00E72418">
        <w:t xml:space="preserve"> et </w:t>
      </w:r>
      <w:r w:rsidRPr="00E72418">
        <w:rPr>
          <w:smallCaps/>
        </w:rPr>
        <w:t>A. Mody</w:t>
      </w:r>
      <w:r w:rsidRPr="00E72418">
        <w:t xml:space="preserve">, </w:t>
      </w:r>
      <w:r w:rsidRPr="00E72418">
        <w:rPr>
          <w:rStyle w:val="Titre5Car"/>
          <w:rFonts w:ascii="Times" w:eastAsiaTheme="minorHAnsi" w:hAnsi="Times" w:cstheme="minorBidi"/>
          <w:color w:val="auto"/>
          <w:szCs w:val="20"/>
        </w:rPr>
        <w:t xml:space="preserve">« </w:t>
      </w:r>
      <w:r w:rsidRPr="00E72418">
        <w:t xml:space="preserve">Do Collective Action Clauses Raise Borrowing Costs? </w:t>
      </w:r>
      <w:r w:rsidRPr="00E72418">
        <w:rPr>
          <w:rStyle w:val="Titre5Car"/>
          <w:rFonts w:ascii="Times" w:eastAsiaTheme="minorHAnsi" w:hAnsi="Times" w:cstheme="minorBidi"/>
          <w:color w:val="auto"/>
          <w:szCs w:val="20"/>
        </w:rPr>
        <w:t xml:space="preserve">», </w:t>
      </w:r>
      <w:r w:rsidRPr="00E72418">
        <w:rPr>
          <w:rStyle w:val="Titre5Car"/>
          <w:rFonts w:ascii="Times" w:eastAsiaTheme="minorHAnsi" w:hAnsi="Times" w:cstheme="minorBidi"/>
          <w:i/>
          <w:color w:val="auto"/>
          <w:szCs w:val="20"/>
        </w:rPr>
        <w:t>op. cit.</w:t>
      </w:r>
      <w:r w:rsidRPr="00E72418">
        <w:rPr>
          <w:rStyle w:val="Titre5Car"/>
          <w:rFonts w:ascii="Times" w:eastAsiaTheme="minorHAnsi" w:hAnsi="Times" w:cstheme="minorBidi"/>
          <w:color w:val="auto"/>
          <w:szCs w:val="20"/>
        </w:rPr>
        <w:t xml:space="preserve">, pp. 247 à 264 et particulièrement p. 262 : </w:t>
      </w:r>
      <w:r w:rsidRPr="00E72418">
        <w:t xml:space="preserve">« [t]hese results do not suggest that mandating the inclusion of collective-action clauses in all sovereign bonds admitted for trading in the US and UK or making the use of CACs in new bond issues a condition of IMF assistance […] would necessarily raise borrowing costs for emerging markets as a class ». Plus récemment, le Fonds monétaire international relevait dans l’un de ses rapports que « the inclusion of enhanced CACs does not seem to have an observable pricing effect, according to either primary or secondary market data » (Fonds monétaire international, </w:t>
      </w:r>
      <w:r w:rsidRPr="00E72418">
        <w:rPr>
          <w:i/>
        </w:rPr>
        <w:t>Fourth progress report on inclusion of enhanced contractual provisions in international sovereign bond contracts</w:t>
      </w:r>
      <w:r w:rsidRPr="00E72418">
        <w:t>, 6 mars 2019, p. 6)).</w:t>
      </w:r>
    </w:p>
  </w:footnote>
  <w:footnote w:id="1447">
    <w:p w14:paraId="24D8F813" w14:textId="76D252E3" w:rsidR="0030147D" w:rsidRPr="00E72418" w:rsidRDefault="0030147D" w:rsidP="005C23E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362. Voyez l’exemple grec </w:t>
      </w:r>
      <w:r w:rsidRPr="00E72418">
        <w:rPr>
          <w:i/>
          <w:szCs w:val="20"/>
        </w:rPr>
        <w:t>supra</w:t>
      </w:r>
      <w:r w:rsidRPr="00E72418">
        <w:rPr>
          <w:szCs w:val="20"/>
        </w:rPr>
        <w:t xml:space="preserve"> n° 119.</w:t>
      </w:r>
    </w:p>
  </w:footnote>
  <w:footnote w:id="1448">
    <w:p w14:paraId="32B1C712" w14:textId="3F3DCD8D" w:rsidR="0030147D" w:rsidRPr="00E72418" w:rsidRDefault="0030147D" w:rsidP="005C23E8">
      <w:pPr>
        <w:pStyle w:val="Sansinterligne"/>
        <w:rPr>
          <w:szCs w:val="20"/>
        </w:rPr>
      </w:pPr>
      <w:r w:rsidRPr="00E72418">
        <w:rPr>
          <w:rStyle w:val="Appelnotedebasdep"/>
          <w:szCs w:val="20"/>
        </w:rPr>
        <w:footnoteRef/>
      </w:r>
      <w:r w:rsidRPr="00E72418">
        <w:rPr>
          <w:szCs w:val="20"/>
        </w:rPr>
        <w:t xml:space="preserve"> </w:t>
      </w:r>
      <w:r w:rsidRPr="00E72418">
        <w:rPr>
          <w:caps/>
          <w:szCs w:val="20"/>
        </w:rPr>
        <w:t>à</w:t>
      </w:r>
      <w:r w:rsidRPr="00E72418">
        <w:rPr>
          <w:szCs w:val="20"/>
        </w:rPr>
        <w:t xml:space="preserve"> la fin des années 90, alors que le Pakistan cherchait à restructurer des obligations comportant une clause d’action collective, les autorités décidèrent néanmoins de ne pas user de la clause permettant la modification des termes de paiement des obligations par une majorité de leurs détenteurs craignant que la rencontre de ceux-ci ne conduise à l’organisation d’une opposition à la restructuration (</w:t>
      </w:r>
      <w:r w:rsidRPr="00E72418">
        <w:rPr>
          <w:smallCaps/>
          <w:szCs w:val="20"/>
        </w:rPr>
        <w:t>E. Bruno</w:t>
      </w:r>
      <w:r w:rsidRPr="00E72418">
        <w:rPr>
          <w:szCs w:val="20"/>
        </w:rPr>
        <w:t xml:space="preserve">, « Lessons from the most recent restructurings », </w:t>
      </w:r>
      <w:r w:rsidRPr="00E72418">
        <w:rPr>
          <w:i/>
          <w:szCs w:val="20"/>
        </w:rPr>
        <w:t>op. cit.</w:t>
      </w:r>
      <w:r w:rsidRPr="00E72418">
        <w:rPr>
          <w:szCs w:val="20"/>
        </w:rPr>
        <w:t>, p. 195).</w:t>
      </w:r>
    </w:p>
  </w:footnote>
  <w:footnote w:id="1449">
    <w:p w14:paraId="692ED308" w14:textId="39FDFE30" w:rsidR="0030147D" w:rsidRPr="00E72418" w:rsidRDefault="0030147D" w:rsidP="005C23E8">
      <w:pPr>
        <w:pStyle w:val="Sansinterligne"/>
        <w:rPr>
          <w:szCs w:val="20"/>
        </w:rPr>
      </w:pPr>
      <w:r w:rsidRPr="00E72418">
        <w:rPr>
          <w:rStyle w:val="Titre5Car"/>
          <w:rFonts w:ascii="Times" w:eastAsiaTheme="minorHAnsi" w:hAnsi="Times" w:cstheme="minorBidi"/>
          <w:color w:val="auto"/>
          <w:szCs w:val="20"/>
          <w:vertAlign w:val="superscript"/>
        </w:rPr>
        <w:footnoteRef/>
      </w:r>
      <w:r w:rsidRPr="00E72418">
        <w:rPr>
          <w:szCs w:val="20"/>
        </w:rPr>
        <w:t xml:space="preserve"> Le pendant de la crainte des positions de blocage que peuvent acquérir les créanciers est, pour les créanciers, la crainte de créanciers téléguidés par l’État débiteur qui acquerraient des titres afin de constituer une majorité suffisante à contrôler le processus de restructuration (</w:t>
      </w:r>
      <w:r w:rsidRPr="00E72418">
        <w:rPr>
          <w:smallCaps/>
          <w:szCs w:val="20"/>
        </w:rPr>
        <w:t>R. Bismuth</w:t>
      </w:r>
      <w:r w:rsidRPr="00E72418">
        <w:rPr>
          <w:szCs w:val="20"/>
        </w:rPr>
        <w:t xml:space="preserve">, « L’émergence d’un “ordre public de la dette souveraine” pour et par le contrat d’emprunt souverain ? Quelques réflexions inspirées par une actualité très mouvementée », </w:t>
      </w:r>
      <w:r w:rsidRPr="00E72418">
        <w:rPr>
          <w:rStyle w:val="Titredulivre"/>
          <w:b w:val="0"/>
          <w:bCs w:val="0"/>
          <w:iCs w:val="0"/>
          <w:spacing w:val="0"/>
          <w:szCs w:val="20"/>
        </w:rPr>
        <w:t>op. cit.</w:t>
      </w:r>
      <w:r w:rsidRPr="00E72418">
        <w:rPr>
          <w:szCs w:val="20"/>
        </w:rPr>
        <w:t>, p. 505).</w:t>
      </w:r>
    </w:p>
  </w:footnote>
  <w:footnote w:id="1450">
    <w:p w14:paraId="4462BD69" w14:textId="7EA7B583" w:rsidR="0030147D" w:rsidRPr="00E72418" w:rsidRDefault="0030147D" w:rsidP="005C23E8">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1707.</w:t>
      </w:r>
    </w:p>
  </w:footnote>
  <w:footnote w:id="1451">
    <w:p w14:paraId="1B094761" w14:textId="2C6C2A5B" w:rsidR="0030147D" w:rsidRPr="00E72418" w:rsidRDefault="0030147D" w:rsidP="005C23E8">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T. Samples</w:t>
      </w:r>
      <w:r w:rsidRPr="00E72418">
        <w:rPr>
          <w:rStyle w:val="Titre5Car"/>
          <w:rFonts w:ascii="Times" w:eastAsiaTheme="minorHAnsi" w:hAnsi="Times" w:cstheme="minorBidi"/>
          <w:color w:val="auto"/>
          <w:szCs w:val="20"/>
          <w:lang w:val="en-US"/>
        </w:rPr>
        <w:t xml:space="preserve">, « Rogue Trends in Sovereign Debt: Argentina, Vulture Funds, and </w:t>
      </w:r>
      <w:r w:rsidRPr="00E72418">
        <w:rPr>
          <w:rStyle w:val="Titre5Car"/>
          <w:rFonts w:ascii="Times" w:eastAsiaTheme="minorHAnsi" w:hAnsi="Times" w:cstheme="minorBidi"/>
          <w:i/>
          <w:color w:val="auto"/>
          <w:szCs w:val="20"/>
          <w:lang w:val="en-US"/>
        </w:rPr>
        <w:t>Pari Passu</w:t>
      </w:r>
      <w:r w:rsidRPr="00E72418">
        <w:rPr>
          <w:rStyle w:val="Titre5Car"/>
          <w:rFonts w:ascii="Times" w:eastAsiaTheme="minorHAnsi" w:hAnsi="Times" w:cstheme="minorBidi"/>
          <w:color w:val="auto"/>
          <w:szCs w:val="20"/>
          <w:lang w:val="en-US"/>
        </w:rPr>
        <w:t xml:space="preserve"> Under New York Law », </w:t>
      </w:r>
      <w:r w:rsidRPr="00E72418">
        <w:rPr>
          <w:rStyle w:val="Titre5Car"/>
          <w:rFonts w:ascii="Times" w:eastAsiaTheme="minorHAnsi" w:hAnsi="Times" w:cstheme="minorBidi"/>
          <w:i/>
          <w:color w:val="auto"/>
          <w:szCs w:val="20"/>
          <w:lang w:val="en-US"/>
        </w:rPr>
        <w:t>op. cit.</w:t>
      </w:r>
      <w:r w:rsidRPr="00E72418">
        <w:rPr>
          <w:rStyle w:val="Titre5Car"/>
          <w:rFonts w:ascii="Times" w:eastAsiaTheme="minorHAnsi" w:hAnsi="Times" w:cstheme="minorBidi"/>
          <w:color w:val="auto"/>
          <w:szCs w:val="20"/>
          <w:lang w:val="en-US"/>
        </w:rPr>
        <w:t>, p. 83.</w:t>
      </w:r>
    </w:p>
  </w:footnote>
  <w:footnote w:id="1452">
    <w:p w14:paraId="36349185" w14:textId="6F55B19F" w:rsidR="0030147D" w:rsidRPr="00E72418" w:rsidRDefault="0030147D" w:rsidP="00BA0D9D">
      <w:pPr>
        <w:pStyle w:val="Sansinterligne"/>
        <w:rPr>
          <w:rFonts w:ascii="Times New Roman" w:hAnsi="Times New Roman" w:cs="Times New Roman"/>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Si l’on reprend l’exemple hellénique du début de la décennie</w:t>
      </w:r>
      <w:r>
        <w:rPr>
          <w:rFonts w:ascii="Times New Roman" w:hAnsi="Times New Roman" w:cs="Times New Roman"/>
          <w:szCs w:val="20"/>
        </w:rPr>
        <w:t xml:space="preserve"> passée</w:t>
      </w:r>
      <w:r w:rsidRPr="00E72418">
        <w:rPr>
          <w:rFonts w:ascii="Times New Roman" w:hAnsi="Times New Roman" w:cs="Times New Roman"/>
          <w:szCs w:val="20"/>
        </w:rPr>
        <w:t xml:space="preserve">, on peut noter qu’alors que certains contrats d’émission ne comprenaient pas de clause d’action collective, quand il y en avait de prévu, elles présentaient des exigences différentes (voyez, au sujet des obligations soumises au droit anglais, J. </w:t>
      </w:r>
      <w:r w:rsidRPr="00E72418">
        <w:rPr>
          <w:rFonts w:ascii="Times New Roman" w:hAnsi="Times New Roman" w:cs="Times New Roman"/>
          <w:smallCaps/>
          <w:szCs w:val="20"/>
          <w:lang w:val="en-US"/>
        </w:rPr>
        <w:t xml:space="preserve">Zettelmeyer, C. Trebesch </w:t>
      </w:r>
      <w:r w:rsidRPr="00E72418">
        <w:rPr>
          <w:rFonts w:ascii="Times New Roman" w:hAnsi="Times New Roman" w:cs="Times New Roman"/>
          <w:szCs w:val="20"/>
          <w:lang w:val="en-US"/>
        </w:rPr>
        <w:t xml:space="preserve">et M. </w:t>
      </w:r>
      <w:r w:rsidRPr="00E72418">
        <w:rPr>
          <w:rFonts w:ascii="Times New Roman" w:hAnsi="Times New Roman" w:cs="Times New Roman"/>
          <w:smallCaps/>
          <w:szCs w:val="20"/>
          <w:lang w:val="en-US"/>
        </w:rPr>
        <w:t>Gulati</w:t>
      </w:r>
      <w:r w:rsidRPr="00E72418">
        <w:rPr>
          <w:rFonts w:ascii="Times New Roman" w:hAnsi="Times New Roman" w:cs="Times New Roman"/>
          <w:szCs w:val="20"/>
          <w:lang w:val="en-US"/>
        </w:rPr>
        <w:t xml:space="preserve">, « The Greek debt restructuring: an autopsy », </w:t>
      </w:r>
      <w:r w:rsidRPr="00E72418">
        <w:rPr>
          <w:rFonts w:ascii="Times New Roman" w:hAnsi="Times New Roman" w:cs="Times New Roman"/>
          <w:i/>
          <w:szCs w:val="20"/>
          <w:lang w:val="en-US"/>
        </w:rPr>
        <w:t>op. cit.</w:t>
      </w:r>
      <w:r w:rsidRPr="00E72418">
        <w:rPr>
          <w:rFonts w:ascii="Times New Roman" w:hAnsi="Times New Roman" w:cs="Times New Roman"/>
          <w:szCs w:val="20"/>
          <w:lang w:val="en-US"/>
        </w:rPr>
        <w:t xml:space="preserve">, </w:t>
      </w:r>
      <w:r w:rsidRPr="00E72418">
        <w:rPr>
          <w:rFonts w:ascii="Times New Roman" w:hAnsi="Times New Roman" w:cs="Times New Roman"/>
          <w:szCs w:val="20"/>
        </w:rPr>
        <w:t>p. 525 : « [t]he threshold for passing the amendment was usually between 66.67% and 75 per cent of face value in the first meeting, and as low as 33.33 per cent in the second meeting » ).</w:t>
      </w:r>
    </w:p>
  </w:footnote>
  <w:footnote w:id="1453">
    <w:p w14:paraId="4E040CBC" w14:textId="4C56ADE9" w:rsidR="0030147D" w:rsidRPr="00E72418" w:rsidRDefault="0030147D" w:rsidP="005C23E8">
      <w:pPr>
        <w:pStyle w:val="Sansinterligne"/>
        <w:rPr>
          <w:szCs w:val="20"/>
        </w:rPr>
      </w:pPr>
      <w:r w:rsidRPr="00E72418">
        <w:rPr>
          <w:rStyle w:val="Appelnotedebasdep"/>
          <w:szCs w:val="20"/>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xml:space="preserve">, p. 35. </w:t>
      </w:r>
    </w:p>
  </w:footnote>
  <w:footnote w:id="1454">
    <w:p w14:paraId="53560F6D" w14:textId="3C0BF106" w:rsidR="0030147D" w:rsidRPr="00E72418" w:rsidRDefault="0030147D" w:rsidP="009C3394">
      <w:pPr>
        <w:pStyle w:val="Sansinterligne"/>
      </w:pPr>
      <w:r w:rsidRPr="00E72418">
        <w:rPr>
          <w:rStyle w:val="Appelnotedebasdep"/>
          <w:rFonts w:ascii="Times New Roman" w:hAnsi="Times New Roman" w:cs="Times New Roman"/>
        </w:rPr>
        <w:footnoteRef/>
      </w:r>
      <w:r w:rsidRPr="00E72418">
        <w:t xml:space="preserve"> Voyez, par exemple, la loi grecque n° 4050/2012 dont l’article 1</w:t>
      </w:r>
      <w:r w:rsidRPr="00E72418">
        <w:rPr>
          <w:vertAlign w:val="superscript"/>
        </w:rPr>
        <w:t>er</w:t>
      </w:r>
      <w:r w:rsidRPr="00E72418">
        <w:t>, alinéa 11, dispose notamment que « [l]</w:t>
      </w:r>
      <w:r w:rsidRPr="00E72418">
        <w:rPr>
          <w:shd w:val="clear" w:color="auto" w:fill="FFFFFF"/>
        </w:rPr>
        <w:t xml:space="preserve">es dispositions du présent article visent à la protection d’un intérêt public péremptoire </w:t>
      </w:r>
      <w:r w:rsidRPr="00E72418">
        <w:t>[et]</w:t>
      </w:r>
      <w:r w:rsidRPr="00E72418">
        <w:rPr>
          <w:shd w:val="clear" w:color="auto" w:fill="FFFFFF"/>
        </w:rPr>
        <w:t xml:space="preserve"> sont des dispositions impératives et d’applicabilité directe </w:t>
      </w:r>
      <w:r w:rsidRPr="00E72418">
        <w:t xml:space="preserve">» (traduction reprise </w:t>
      </w:r>
      <w:r w:rsidRPr="00E72418">
        <w:rPr>
          <w:i/>
        </w:rPr>
        <w:t>in</w:t>
      </w:r>
      <w:r w:rsidRPr="00E72418">
        <w:t xml:space="preserve"> conclusions générales de l’Avocat général Y. Bot prises dans l’affaire </w:t>
      </w:r>
      <w:r w:rsidRPr="00E72418">
        <w:rPr>
          <w:bCs/>
          <w:i/>
          <w:szCs w:val="24"/>
        </w:rPr>
        <w:t xml:space="preserve">Hellenische Republik contre Leo Kuhn </w:t>
      </w:r>
      <w:r w:rsidRPr="00E72418">
        <w:rPr>
          <w:bCs/>
          <w:szCs w:val="24"/>
        </w:rPr>
        <w:t>(</w:t>
      </w:r>
      <w:r w:rsidRPr="00E72418">
        <w:rPr>
          <w:szCs w:val="20"/>
        </w:rPr>
        <w:t>C-308/17</w:t>
      </w:r>
      <w:r w:rsidRPr="00E72418">
        <w:t xml:space="preserve">) </w:t>
      </w:r>
      <w:r w:rsidRPr="00E72418">
        <w:rPr>
          <w:bCs/>
          <w:szCs w:val="24"/>
        </w:rPr>
        <w:t xml:space="preserve">soumise à la Cour de justice de l’Union européenne, paragraphe 32). </w:t>
      </w:r>
    </w:p>
  </w:footnote>
  <w:footnote w:id="1455">
    <w:p w14:paraId="713D52FB" w14:textId="02196AB7" w:rsidR="0030147D" w:rsidRPr="00E72418" w:rsidRDefault="0030147D" w:rsidP="00BA0D9D">
      <w:pPr>
        <w:pStyle w:val="Sansinterligne"/>
      </w:pPr>
      <w:r w:rsidRPr="00E72418">
        <w:rPr>
          <w:rStyle w:val="Appelnotedebasdep"/>
        </w:rPr>
        <w:footnoteRef/>
      </w:r>
      <w:r w:rsidRPr="00E72418">
        <w:t xml:space="preserve"> </w:t>
      </w:r>
      <w:r w:rsidRPr="00E72418">
        <w:rPr>
          <w:bCs/>
          <w:szCs w:val="24"/>
        </w:rPr>
        <w:t>Sur l’application de ces lois adoptées par l’</w:t>
      </w:r>
      <w:r w:rsidRPr="00E72418">
        <w:rPr>
          <w:rFonts w:ascii="Times New Roman" w:hAnsi="Times New Roman" w:cs="Times New Roman"/>
          <w:lang w:eastAsia="fr-BE"/>
        </w:rPr>
        <w:t>É</w:t>
      </w:r>
      <w:r w:rsidRPr="00E72418">
        <w:rPr>
          <w:bCs/>
          <w:szCs w:val="24"/>
        </w:rPr>
        <w:t xml:space="preserve">tat débiteur, voyez notamment </w:t>
      </w:r>
      <w:r w:rsidRPr="00E72418">
        <w:t xml:space="preserve">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pp. 330 à 343.</w:t>
      </w:r>
    </w:p>
  </w:footnote>
  <w:footnote w:id="1456">
    <w:p w14:paraId="2DA4160A" w14:textId="070AB5DC" w:rsidR="0030147D" w:rsidRPr="00E72418" w:rsidRDefault="0030147D" w:rsidP="00BA0D9D">
      <w:pPr>
        <w:pStyle w:val="Sansinterligne"/>
      </w:pPr>
      <w:r w:rsidRPr="00E72418">
        <w:rPr>
          <w:rStyle w:val="Appelnotedebasdep"/>
        </w:rPr>
        <w:footnoteRef/>
      </w:r>
      <w:r w:rsidRPr="00E72418">
        <w:t xml:space="preserve"> Il va sans dire que les lois étudiées sont de nature à plus généralement contribuer au traitement de l’insolvabilité souveraine. Ainsi, Jeremy Bulow </w:t>
      </w:r>
      <w:r w:rsidRPr="00E72418">
        <w:rPr>
          <w:i/>
        </w:rPr>
        <w:t>et al.</w:t>
      </w:r>
      <w:r w:rsidRPr="00E72418">
        <w:t>, prenant en exemples les lois britannique et belge dont question dans le présent titre (</w:t>
      </w:r>
      <w:r w:rsidRPr="00E72418">
        <w:rPr>
          <w:i/>
        </w:rPr>
        <w:t>infra</w:t>
      </w:r>
      <w:r w:rsidRPr="00E72418">
        <w:t xml:space="preserve"> respectivement n</w:t>
      </w:r>
      <w:r w:rsidRPr="00E72418">
        <w:rPr>
          <w:vertAlign w:val="superscript"/>
        </w:rPr>
        <w:t>os</w:t>
      </w:r>
      <w:r w:rsidRPr="00E72418">
        <w:t xml:space="preserve"> 304 et suiv. et n</w:t>
      </w:r>
      <w:r w:rsidRPr="00E72418">
        <w:rPr>
          <w:vertAlign w:val="superscript"/>
        </w:rPr>
        <w:t>os</w:t>
      </w:r>
      <w:r w:rsidRPr="00E72418">
        <w:t xml:space="preserve"> 324 et suiv.), notent que « [l]egal steps in jurisdictions that govern international bonds […] or where payments are processed can contribute to more orderly restructuring by promoting a more level playing field between sovereign debtors and creditors » (J. </w:t>
      </w:r>
      <w:r w:rsidRPr="00E72418">
        <w:rPr>
          <w:smallCaps/>
        </w:rPr>
        <w:t>Bulow</w:t>
      </w:r>
      <w:r w:rsidRPr="00E72418">
        <w:t xml:space="preserve">, C. </w:t>
      </w:r>
      <w:r w:rsidRPr="00E72418">
        <w:rPr>
          <w:smallCaps/>
        </w:rPr>
        <w:t>Reinhart</w:t>
      </w:r>
      <w:r w:rsidRPr="00E72418">
        <w:t xml:space="preserve">, K. </w:t>
      </w:r>
      <w:r w:rsidRPr="00E72418">
        <w:rPr>
          <w:smallCaps/>
        </w:rPr>
        <w:t>Rogoff</w:t>
      </w:r>
      <w:r w:rsidRPr="00E72418">
        <w:t xml:space="preserve"> et C. </w:t>
      </w:r>
      <w:r w:rsidRPr="00E72418">
        <w:rPr>
          <w:smallCaps/>
        </w:rPr>
        <w:t>Trebesch</w:t>
      </w:r>
      <w:r w:rsidRPr="00E72418">
        <w:t>, « The Debt Pandemic – New steps are needed to improve sovereign debt workouts »,</w:t>
      </w:r>
      <w:r w:rsidRPr="00E72418">
        <w:rPr>
          <w:i/>
        </w:rPr>
        <w:t xml:space="preserve"> op. cit.</w:t>
      </w:r>
      <w:r w:rsidRPr="00E72418">
        <w:t xml:space="preserve">, pp. 15 et 16). C’est sans doute pour cette raison que le rôle que peuvent jouer ces lois attire de plus en plus l’attention (M. </w:t>
      </w:r>
      <w:r w:rsidRPr="00E72418">
        <w:rPr>
          <w:rFonts w:cs="Times New Roman"/>
          <w:smallCaps/>
          <w:szCs w:val="24"/>
        </w:rPr>
        <w:t xml:space="preserve">Uy </w:t>
      </w:r>
      <w:r w:rsidRPr="00E72418">
        <w:rPr>
          <w:rFonts w:cs="Times New Roman"/>
          <w:szCs w:val="24"/>
        </w:rPr>
        <w:t xml:space="preserve">et S. </w:t>
      </w:r>
      <w:r w:rsidRPr="00E72418">
        <w:rPr>
          <w:rFonts w:cs="Times New Roman"/>
          <w:smallCaps/>
          <w:szCs w:val="24"/>
        </w:rPr>
        <w:t>Zhou</w:t>
      </w:r>
      <w:r w:rsidRPr="00E72418">
        <w:rPr>
          <w:rFonts w:cs="Times New Roman"/>
          <w:szCs w:val="24"/>
        </w:rPr>
        <w:t xml:space="preserve">, « Sovereign Debt of Developing Countries: Overview of Trends and Policy Perspectives », in M. </w:t>
      </w:r>
      <w:r w:rsidRPr="00E72418">
        <w:rPr>
          <w:smallCaps/>
          <w:lang w:val="en-US"/>
        </w:rPr>
        <w:t xml:space="preserve">Guzman, J. Ocampo </w:t>
      </w:r>
      <w:r w:rsidRPr="00E72418">
        <w:rPr>
          <w:lang w:val="en-US"/>
        </w:rPr>
        <w:t xml:space="preserve">et J. </w:t>
      </w:r>
      <w:r w:rsidRPr="00E72418">
        <w:rPr>
          <w:smallCaps/>
          <w:lang w:val="en-US"/>
        </w:rPr>
        <w:t>Stiglitz</w:t>
      </w:r>
      <w:r w:rsidRPr="00E72418">
        <w:rPr>
          <w:lang w:val="en-US"/>
        </w:rPr>
        <w:t xml:space="preserve"> (éd.), </w:t>
      </w:r>
      <w:r w:rsidRPr="00E72418">
        <w:rPr>
          <w:i/>
          <w:lang w:val="en-US"/>
        </w:rPr>
        <w:t>Too Little, Too Late – The Quest to Resolve Sovereign Debt Crises</w:t>
      </w:r>
      <w:r w:rsidRPr="00E72418">
        <w:rPr>
          <w:lang w:val="en-US"/>
        </w:rPr>
        <w:t>, Columbia University Press, 2016, p. 48).</w:t>
      </w:r>
    </w:p>
  </w:footnote>
  <w:footnote w:id="1457">
    <w:p w14:paraId="41A76D3B" w14:textId="77777777" w:rsidR="0030147D" w:rsidRPr="00E72418" w:rsidRDefault="0030147D" w:rsidP="000460ED">
      <w:pPr>
        <w:pStyle w:val="Sansinterligne"/>
        <w:rPr>
          <w:szCs w:val="20"/>
        </w:rPr>
      </w:pPr>
      <w:r w:rsidRPr="00E72418">
        <w:rPr>
          <w:rStyle w:val="Appelnotedebasdep"/>
          <w:szCs w:val="20"/>
        </w:rPr>
        <w:footnoteRef/>
      </w:r>
      <w:r w:rsidRPr="00E72418">
        <w:rPr>
          <w:szCs w:val="20"/>
        </w:rPr>
        <w:t xml:space="preserve"> Sénat de Belgique, séance du jeudi 31 janvier 2008 après-midi, annales, séances plénières, </w:t>
      </w:r>
      <w:r w:rsidRPr="00E72418">
        <w:rPr>
          <w:i/>
          <w:szCs w:val="20"/>
        </w:rPr>
        <w:t>Doc. parl.</w:t>
      </w:r>
      <w:r w:rsidRPr="00E72418">
        <w:rPr>
          <w:szCs w:val="20"/>
        </w:rPr>
        <w:t>, 2007-2008, doc. 4-15, p. 42.</w:t>
      </w:r>
    </w:p>
  </w:footnote>
  <w:footnote w:id="1458">
    <w:p w14:paraId="4F1657C2" w14:textId="7034936F" w:rsidR="0030147D" w:rsidRPr="00E72418" w:rsidRDefault="0030147D" w:rsidP="000460ED">
      <w:pPr>
        <w:pStyle w:val="Sansinterligne"/>
        <w:rPr>
          <w:szCs w:val="20"/>
        </w:rPr>
      </w:pPr>
      <w:r w:rsidRPr="00E72418">
        <w:rPr>
          <w:rStyle w:val="Appelnotedebasdep"/>
          <w:szCs w:val="20"/>
        </w:rPr>
        <w:footnoteRef/>
      </w:r>
      <w:r w:rsidRPr="00E72418">
        <w:rPr>
          <w:szCs w:val="20"/>
        </w:rPr>
        <w:t xml:space="preserve"> Notons qu’en adoptant sa législation n° 4050/2012 du 23 février 2012 visant à permettre la restructuration de sa dette dont question </w:t>
      </w:r>
      <w:r w:rsidRPr="00E72418">
        <w:rPr>
          <w:i/>
          <w:szCs w:val="20"/>
        </w:rPr>
        <w:t>supra</w:t>
      </w:r>
      <w:r w:rsidRPr="00E72418">
        <w:rPr>
          <w:szCs w:val="20"/>
        </w:rPr>
        <w:t xml:space="preserve"> n° 119, la Grèce a en quelque sorte adopté indirectement une loi anti-fonds spéculatifs (</w:t>
      </w:r>
      <w:r w:rsidRPr="00E72418">
        <w:rPr>
          <w:smallCaps/>
          <w:szCs w:val="20"/>
        </w:rPr>
        <w:t>A. Iversen</w:t>
      </w:r>
      <w:r w:rsidRPr="00E72418">
        <w:rPr>
          <w:szCs w:val="20"/>
        </w:rPr>
        <w:t xml:space="preserve">, « Vulture Fund Legislation », </w:t>
      </w:r>
      <w:r w:rsidRPr="00E72418">
        <w:rPr>
          <w:i/>
          <w:szCs w:val="20"/>
        </w:rPr>
        <w:t>op. cit.</w:t>
      </w:r>
      <w:r w:rsidRPr="00E72418">
        <w:rPr>
          <w:szCs w:val="20"/>
        </w:rPr>
        <w:t>, p. 16). Comparez avec la proposition new-yorkaise n° S6627 du 10 mai 2021 dont la portée est plus large puisqu’elle vise l’ensemble des dettes souveraines (</w:t>
      </w:r>
      <w:r w:rsidR="00372DFE">
        <w:rPr>
          <w:i/>
          <w:szCs w:val="20"/>
        </w:rPr>
        <w:t>supra</w:t>
      </w:r>
      <w:r w:rsidRPr="00E72418">
        <w:rPr>
          <w:szCs w:val="20"/>
        </w:rPr>
        <w:t xml:space="preserve"> n° 278).</w:t>
      </w:r>
    </w:p>
  </w:footnote>
  <w:footnote w:id="1459">
    <w:p w14:paraId="23D731DB" w14:textId="3F9C0388" w:rsidR="0030147D" w:rsidRPr="00E72418" w:rsidRDefault="0030147D" w:rsidP="00504FDF">
      <w:pPr>
        <w:pStyle w:val="Sansinterligne"/>
      </w:pPr>
      <w:r w:rsidRPr="00E72418">
        <w:rPr>
          <w:rStyle w:val="Appelnotedebasdep"/>
        </w:rPr>
        <w:footnoteRef/>
      </w:r>
      <w:r w:rsidRPr="00E72418">
        <w:t xml:space="preserve"> Peut-être l’Union européenne se dotera-t-elle bientôt d’un instrument régulateur si l’on s’arrête à la demande du Parlement européen aux </w:t>
      </w:r>
      <w:r w:rsidRPr="00E72418">
        <w:rPr>
          <w:lang w:eastAsia="fr-BE"/>
        </w:rPr>
        <w:t>É</w:t>
      </w:r>
      <w:r w:rsidRPr="00E72418">
        <w:t>tats membres « d’adopter, sous l’impulsion de la Commission, un règlement s’inspirant de la loi belge portant sur la lutte contre la spéculation des fonds vautours sur la dette »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point 37</w:t>
      </w:r>
      <w:r w:rsidRPr="00E72418">
        <w:t xml:space="preserve">). Aussi, il est tentant de voir dans la réussite européenne et l’échec étatsunien la déclinaison d’une différence de mentalité entre les deux rives de l’Atlantique que décrit Pierre d’Argent en expliquant que « [l’]Europe, qui n’arrête pas de se chercher, a ses certitudes, et s’il en est une communément partagée, c’est bien la conscience de la supériorité de sa </w:t>
      </w:r>
      <w:r w:rsidRPr="00E72418">
        <w:rPr>
          <w:szCs w:val="20"/>
          <w:lang w:val="en-US"/>
        </w:rPr>
        <w:t>“</w:t>
      </w:r>
      <w:r w:rsidRPr="00E72418">
        <w:t>civilisation</w:t>
      </w:r>
      <w:r w:rsidRPr="00E72418">
        <w:rPr>
          <w:szCs w:val="20"/>
          <w:lang w:val="en-US"/>
        </w:rPr>
        <w:t>”</w:t>
      </w:r>
      <w:r w:rsidRPr="00E72418">
        <w:t xml:space="preserve"> et de son modèle sociétal, supposément fondé sur la paix, la solidarité et le respect de chacun, face à la sauvagerie égoïste et belliciste qu’entretiendrait la société capitaliste nord-américaine, toute entièrement vouée à la maximalisation du profit » (</w:t>
      </w:r>
      <w:r w:rsidRPr="00E72418">
        <w:rPr>
          <w:smallCaps/>
        </w:rPr>
        <w:t>P. d’Argent</w:t>
      </w:r>
      <w:r w:rsidRPr="00E72418">
        <w:t xml:space="preserve">, « Puissance et responsabilité ; autorité, ordre et violence. Quelques brèves remarques impertinentes », in M. </w:t>
      </w:r>
      <w:r w:rsidRPr="00E72418">
        <w:rPr>
          <w:smallCaps/>
        </w:rPr>
        <w:t>Dumoulin</w:t>
      </w:r>
      <w:r w:rsidRPr="00E72418">
        <w:t xml:space="preserve"> et G. </w:t>
      </w:r>
      <w:r w:rsidRPr="00E72418">
        <w:rPr>
          <w:smallCaps/>
        </w:rPr>
        <w:t>Duchenne</w:t>
      </w:r>
      <w:r w:rsidRPr="00E72418">
        <w:t xml:space="preserve"> (éd.), </w:t>
      </w:r>
      <w:r w:rsidRPr="00E72418">
        <w:rPr>
          <w:i/>
        </w:rPr>
        <w:t xml:space="preserve">L’Union européenne et les </w:t>
      </w:r>
      <w:r w:rsidRPr="00E72418">
        <w:rPr>
          <w:i/>
          <w:lang w:eastAsia="fr-BE"/>
        </w:rPr>
        <w:t>É</w:t>
      </w:r>
      <w:r w:rsidRPr="00E72418">
        <w:rPr>
          <w:i/>
        </w:rPr>
        <w:t xml:space="preserve">tats-Unis </w:t>
      </w:r>
      <w:r w:rsidRPr="00E72418">
        <w:rPr>
          <w:b/>
        </w:rPr>
        <w:t>–</w:t>
      </w:r>
      <w:r w:rsidRPr="00E72418">
        <w:rPr>
          <w:i/>
        </w:rPr>
        <w:t xml:space="preserve"> Actes de la VIII</w:t>
      </w:r>
      <w:r w:rsidRPr="00E72418">
        <w:rPr>
          <w:i/>
          <w:vertAlign w:val="superscript"/>
        </w:rPr>
        <w:t>e</w:t>
      </w:r>
      <w:r w:rsidRPr="00E72418">
        <w:rPr>
          <w:i/>
        </w:rPr>
        <w:t xml:space="preserve"> Chaire Glaverbel d’études européennes 2002-2003</w:t>
      </w:r>
      <w:r w:rsidRPr="00E72418">
        <w:t>, Presses Interuniversitaires Européennes, 2003, p. 415).</w:t>
      </w:r>
    </w:p>
  </w:footnote>
  <w:footnote w:id="1460">
    <w:p w14:paraId="2EC3F29D" w14:textId="663D0F00" w:rsidR="0030147D" w:rsidRPr="00E72418" w:rsidRDefault="0030147D" w:rsidP="00E22B31">
      <w:pPr>
        <w:pStyle w:val="Sansinterligne"/>
      </w:pPr>
      <w:r w:rsidRPr="00E72418">
        <w:rPr>
          <w:rStyle w:val="Appelnotedebasdep"/>
        </w:rPr>
        <w:footnoteRef/>
      </w:r>
      <w:r w:rsidRPr="00E72418">
        <w:t xml:space="preserve"> Sur ces prééminences étatsunienne et britannique, voyez </w:t>
      </w:r>
      <w:r w:rsidRPr="00E72418">
        <w:rPr>
          <w:i/>
        </w:rPr>
        <w:t>supra</w:t>
      </w:r>
      <w:r w:rsidRPr="00E72418">
        <w:t xml:space="preserve"> n° 79.</w:t>
      </w:r>
    </w:p>
  </w:footnote>
  <w:footnote w:id="1461">
    <w:p w14:paraId="1F8C5651" w14:textId="0630D4B8" w:rsidR="0030147D" w:rsidRPr="00E72418" w:rsidRDefault="0030147D" w:rsidP="00ED313F">
      <w:pPr>
        <w:pStyle w:val="Sansinterligne"/>
      </w:pPr>
      <w:r w:rsidRPr="00E72418">
        <w:rPr>
          <w:rStyle w:val="Appelnotedebasdep"/>
        </w:rPr>
        <w:footnoteRef/>
      </w:r>
      <w:r w:rsidRPr="00E72418">
        <w:t xml:space="preserve"> Voyez </w:t>
      </w:r>
      <w:r w:rsidRPr="00E72418">
        <w:rPr>
          <w:i/>
        </w:rPr>
        <w:t>infra</w:t>
      </w:r>
      <w:r w:rsidRPr="00E72418">
        <w:t xml:space="preserve"> n</w:t>
      </w:r>
      <w:r w:rsidRPr="00E72418">
        <w:rPr>
          <w:vertAlign w:val="superscript"/>
        </w:rPr>
        <w:t>os</w:t>
      </w:r>
      <w:r w:rsidRPr="00E72418">
        <w:t xml:space="preserve"> 412 et suiv.</w:t>
      </w:r>
    </w:p>
  </w:footnote>
  <w:footnote w:id="1462">
    <w:p w14:paraId="26025D83" w14:textId="5EF396E7" w:rsidR="0030147D" w:rsidRPr="00E72418" w:rsidRDefault="0030147D" w:rsidP="003C2D8D">
      <w:pPr>
        <w:pStyle w:val="Sansinterligne"/>
      </w:pPr>
      <w:r w:rsidRPr="00E72418">
        <w:rPr>
          <w:rStyle w:val="Appelnotedebasdep"/>
        </w:rPr>
        <w:footnoteRef/>
      </w:r>
      <w:r w:rsidRPr="00E72418">
        <w:t xml:space="preserve"> Voyez </w:t>
      </w:r>
      <w:r w:rsidRPr="00E72418">
        <w:rPr>
          <w:i/>
        </w:rPr>
        <w:t>supra</w:t>
      </w:r>
      <w:r w:rsidRPr="00E72418">
        <w:t xml:space="preserve"> n° 278. Comme le note Noah Zuss, « [f]or hedge fund buyers of debt, sometimes labelled </w:t>
      </w:r>
      <w:r w:rsidRPr="00E72418">
        <w:rPr>
          <w:i/>
        </w:rPr>
        <w:t>vulture creditors</w:t>
      </w:r>
      <w:r w:rsidRPr="00E72418">
        <w:t xml:space="preserve">, the bill shuts an important business line » (N. </w:t>
      </w:r>
      <w:r w:rsidRPr="00E72418">
        <w:rPr>
          <w:smallCaps/>
        </w:rPr>
        <w:t>Zuss</w:t>
      </w:r>
      <w:r w:rsidRPr="00E72418">
        <w:t xml:space="preserve">, « New York’s “atypical” sovereign debt bill faces an uphill battle », </w:t>
      </w:r>
      <w:r w:rsidRPr="00E72418">
        <w:rPr>
          <w:i/>
        </w:rPr>
        <w:t>op. cit.</w:t>
      </w:r>
      <w:r w:rsidRPr="00E72418">
        <w:t>, p. 4).</w:t>
      </w:r>
    </w:p>
  </w:footnote>
  <w:footnote w:id="1463">
    <w:p w14:paraId="273199D3" w14:textId="5409E245"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Une proposition similaire avait déjà été introduite en 2008 (</w:t>
      </w:r>
      <w:r w:rsidRPr="00E72418">
        <w:rPr>
          <w:rFonts w:cs="Times New Roman"/>
          <w:szCs w:val="20"/>
        </w:rPr>
        <w:t xml:space="preserve">110 H.R. 6796). </w:t>
      </w:r>
      <w:r w:rsidRPr="00E72418">
        <w:rPr>
          <w:rStyle w:val="Titre5Car"/>
          <w:rFonts w:ascii="Times" w:eastAsiaTheme="minorHAnsi" w:hAnsi="Times" w:cstheme="minorBidi"/>
          <w:color w:val="auto"/>
          <w:szCs w:val="20"/>
        </w:rPr>
        <w:t xml:space="preserve">Relevons que si la première proposition avait été soutenue par neuf parlementaires démocrates, la seconde l’était par trente démocrates et un républicain. Au vu de la similarité des propositions, la seule plus récente est visée </w:t>
      </w:r>
      <w:r w:rsidR="00372DFE">
        <w:rPr>
          <w:rStyle w:val="Titre5Car"/>
          <w:rFonts w:ascii="Times" w:eastAsiaTheme="minorHAnsi" w:hAnsi="Times" w:cstheme="minorBidi"/>
          <w:color w:val="auto"/>
          <w:szCs w:val="20"/>
        </w:rPr>
        <w:t>dans notre texte</w:t>
      </w:r>
      <w:r w:rsidRPr="00E72418">
        <w:rPr>
          <w:rStyle w:val="Titre5Car"/>
          <w:rFonts w:ascii="Times" w:eastAsiaTheme="minorHAnsi" w:hAnsi="Times" w:cstheme="minorBidi"/>
          <w:color w:val="auto"/>
          <w:szCs w:val="20"/>
        </w:rPr>
        <w:t>.</w:t>
      </w:r>
    </w:p>
  </w:footnote>
  <w:footnote w:id="1464">
    <w:p w14:paraId="34E70028" w14:textId="77777777" w:rsidR="0030147D" w:rsidRPr="00E72418" w:rsidRDefault="0030147D" w:rsidP="00EF4E2A">
      <w:pPr>
        <w:pStyle w:val="Sansinterligne"/>
        <w:rPr>
          <w:szCs w:val="20"/>
        </w:rPr>
      </w:pPr>
      <w:r w:rsidRPr="00E72418">
        <w:rPr>
          <w:rStyle w:val="Appelnotedebasdep"/>
          <w:szCs w:val="20"/>
        </w:rPr>
        <w:footnoteRef/>
      </w:r>
      <w:r w:rsidRPr="00E72418">
        <w:rPr>
          <w:szCs w:val="20"/>
        </w:rPr>
        <w:t xml:space="preserve"> Voyez l’article 1 de la proposition (la police est reprise).</w:t>
      </w:r>
    </w:p>
  </w:footnote>
  <w:footnote w:id="1465">
    <w:p w14:paraId="1CFDC378" w14:textId="5F477BDE" w:rsidR="0030147D" w:rsidRPr="00E72418" w:rsidRDefault="0030147D" w:rsidP="00EF4E2A">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96.</w:t>
      </w:r>
    </w:p>
  </w:footnote>
  <w:footnote w:id="1466">
    <w:p w14:paraId="02EA31CD" w14:textId="58A0B361" w:rsidR="0030147D" w:rsidRPr="00E72418" w:rsidRDefault="0030147D" w:rsidP="00A14440">
      <w:pPr>
        <w:pStyle w:val="Sansinterligne"/>
      </w:pPr>
      <w:r w:rsidRPr="00E72418">
        <w:rPr>
          <w:rStyle w:val="Appelnotedebasdep"/>
        </w:rPr>
        <w:footnoteRef/>
      </w:r>
      <w:r w:rsidRPr="00E72418">
        <w:t xml:space="preserve"> Voyez </w:t>
      </w:r>
      <w:r w:rsidRPr="00E72418">
        <w:rPr>
          <w:i/>
        </w:rPr>
        <w:t>supra</w:t>
      </w:r>
      <w:r w:rsidRPr="00E72418">
        <w:t xml:space="preserve"> n° 278.</w:t>
      </w:r>
    </w:p>
  </w:footnote>
  <w:footnote w:id="1467">
    <w:p w14:paraId="4E408A44" w14:textId="0AD5CF4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Voyez les articles 2(1) à 2(6) de la pr</w:t>
      </w:r>
      <w:r w:rsidR="00372DFE">
        <w:rPr>
          <w:szCs w:val="20"/>
        </w:rPr>
        <w:t>oposition. L’article 2(4) vise</w:t>
      </w:r>
      <w:r w:rsidRPr="00E72418">
        <w:rPr>
          <w:szCs w:val="20"/>
        </w:rPr>
        <w:t xml:space="preserve"> une série de législations étatsuniennes s’inscrivant dans une logique d’aide aux pays en difficulté.</w:t>
      </w:r>
    </w:p>
  </w:footnote>
  <w:footnote w:id="1468">
    <w:p w14:paraId="1D052AF9" w14:textId="3E5B3538"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Voyez l’article 2(7) et l’article 2(11) de la proposition. </w:t>
      </w:r>
      <w:r w:rsidRPr="00E72418">
        <w:rPr>
          <w:rFonts w:cs="Times New Roman"/>
          <w:szCs w:val="20"/>
        </w:rPr>
        <w:t xml:space="preserve">Il y est noté que cette pratique spéculative est rendue possible par l’absence de mécanisme de faillite pour les </w:t>
      </w:r>
      <w:r w:rsidRPr="00E72418">
        <w:rPr>
          <w:szCs w:val="20"/>
          <w:lang w:eastAsia="fr-BE"/>
        </w:rPr>
        <w:t>É</w:t>
      </w:r>
      <w:r w:rsidRPr="00E72418">
        <w:rPr>
          <w:rFonts w:cs="Times New Roman"/>
          <w:szCs w:val="20"/>
        </w:rPr>
        <w:t>tats débiteurs (</w:t>
      </w:r>
      <w:r w:rsidRPr="00E72418">
        <w:rPr>
          <w:szCs w:val="20"/>
        </w:rPr>
        <w:t xml:space="preserve">voyez l’article 2(8) de la proposition. Sur cette absence, voyez </w:t>
      </w:r>
      <w:r w:rsidRPr="00E72418">
        <w:rPr>
          <w:i/>
          <w:szCs w:val="20"/>
        </w:rPr>
        <w:t>supra</w:t>
      </w:r>
      <w:r w:rsidRPr="00E72418">
        <w:rPr>
          <w:szCs w:val="20"/>
        </w:rPr>
        <w:t xml:space="preserve"> n° 66 ainsi que n</w:t>
      </w:r>
      <w:r w:rsidRPr="00E72418">
        <w:rPr>
          <w:szCs w:val="20"/>
          <w:vertAlign w:val="superscript"/>
        </w:rPr>
        <w:t>os</w:t>
      </w:r>
      <w:r w:rsidRPr="00E72418">
        <w:rPr>
          <w:szCs w:val="20"/>
        </w:rPr>
        <w:t xml:space="preserve"> 272 et suiv.).</w:t>
      </w:r>
    </w:p>
  </w:footnote>
  <w:footnote w:id="1469">
    <w:p w14:paraId="6A4E44E2"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Voyez l’article 2(10) et l’article 2(12) de la proposition.</w:t>
      </w:r>
    </w:p>
  </w:footnote>
  <w:footnote w:id="1470">
    <w:p w14:paraId="57B5754E"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Voyez l’article 2(13) de la proposition.</w:t>
      </w:r>
    </w:p>
  </w:footnote>
  <w:footnote w:id="1471">
    <w:p w14:paraId="67621E0E" w14:textId="77777777" w:rsidR="0030147D" w:rsidRPr="00E72418" w:rsidRDefault="0030147D" w:rsidP="00F7366D">
      <w:pPr>
        <w:pStyle w:val="Sansinterligne"/>
        <w:rPr>
          <w:szCs w:val="20"/>
          <w:lang w:val="en-US"/>
        </w:rPr>
      </w:pPr>
      <w:r w:rsidRPr="00E72418">
        <w:rPr>
          <w:rStyle w:val="Appelnotedebasdep"/>
          <w:szCs w:val="20"/>
        </w:rPr>
        <w:footnoteRef/>
      </w:r>
      <w:r w:rsidRPr="00E72418">
        <w:rPr>
          <w:szCs w:val="20"/>
        </w:rPr>
        <w:t xml:space="preserve"> Voyez l’article 2(13) de la proposition. </w:t>
      </w:r>
      <w:r w:rsidRPr="00E72418">
        <w:rPr>
          <w:szCs w:val="20"/>
          <w:lang w:val="en-US"/>
        </w:rPr>
        <w:t xml:space="preserve">Signe de l’importante préoccupation générée par ces créanciers spéculateurs, l’article 6(d)(3) de la proposition prévoit que le Secrétariat du Trésor, dans un rapport annuel, « discusses how this Act has advanced the policies of the United States with respect to poor countries and supported the goals and purposes of the Enhanced HIPC Initiative </w:t>
      </w:r>
      <w:r w:rsidRPr="00E72418">
        <w:rPr>
          <w:szCs w:val="20"/>
        </w:rPr>
        <w:t>[…]</w:t>
      </w:r>
      <w:r w:rsidRPr="00E72418">
        <w:rPr>
          <w:szCs w:val="20"/>
          <w:lang w:val="en-US"/>
        </w:rPr>
        <w:t xml:space="preserve">, the Multilateral Debt Relief Initiative, and other international efforts to provide debt relief to poor countries ». Il est prévu que ce rapport soit, d’une part, soumis aux </w:t>
      </w:r>
      <w:r w:rsidRPr="00E72418">
        <w:rPr>
          <w:i/>
          <w:szCs w:val="20"/>
          <w:lang w:val="en-US"/>
        </w:rPr>
        <w:t>Committees on Financial Services and on the Judiciary of the House of Representatives</w:t>
      </w:r>
      <w:r w:rsidRPr="00E72418">
        <w:rPr>
          <w:szCs w:val="20"/>
          <w:lang w:val="en-US"/>
        </w:rPr>
        <w:t xml:space="preserve"> et aux </w:t>
      </w:r>
      <w:r w:rsidRPr="00E72418">
        <w:rPr>
          <w:i/>
          <w:szCs w:val="20"/>
          <w:lang w:val="en-US"/>
        </w:rPr>
        <w:t>Committees on Foreign Relations and on the Judiciary of the Senate</w:t>
      </w:r>
      <w:r w:rsidRPr="00E72418">
        <w:rPr>
          <w:szCs w:val="20"/>
          <w:lang w:val="en-US"/>
        </w:rPr>
        <w:t xml:space="preserve">, d’autre part, rendu disponible au public. </w:t>
      </w:r>
    </w:p>
  </w:footnote>
  <w:footnote w:id="1472">
    <w:p w14:paraId="3A27EE6E" w14:textId="77777777" w:rsidR="0030147D" w:rsidRPr="00E72418" w:rsidRDefault="0030147D" w:rsidP="009269EF">
      <w:pPr>
        <w:pStyle w:val="Sansinterligne"/>
        <w:rPr>
          <w:szCs w:val="20"/>
          <w:lang w:val="en-US"/>
        </w:rPr>
      </w:pPr>
      <w:r w:rsidRPr="00E72418">
        <w:rPr>
          <w:rStyle w:val="Appelnotedebasdep"/>
          <w:szCs w:val="20"/>
        </w:rPr>
        <w:footnoteRef/>
      </w:r>
      <w:r w:rsidRPr="00E72418">
        <w:rPr>
          <w:szCs w:val="20"/>
        </w:rPr>
        <w:t xml:space="preserve"> L’article 7 de la proposition étatsunienne règle sa relation aux droits étatiques en prévoyant que si conflit il y a, alors la loi en projet prévaudra. </w:t>
      </w:r>
      <w:r w:rsidRPr="00E72418">
        <w:rPr>
          <w:szCs w:val="20"/>
          <w:lang w:val="en-US"/>
        </w:rPr>
        <w:t>L</w:t>
      </w:r>
      <w:r w:rsidRPr="00E72418">
        <w:rPr>
          <w:rStyle w:val="SansinterligneCar"/>
          <w:szCs w:val="20"/>
          <w:lang w:val="en-US"/>
        </w:rPr>
        <w:t>’article 8 de la proposition prévoit quant à lui qu’ « </w:t>
      </w:r>
      <w:r w:rsidRPr="00E72418">
        <w:rPr>
          <w:szCs w:val="20"/>
          <w:lang w:val="en-US"/>
        </w:rPr>
        <w:t>[i]f</w:t>
      </w:r>
      <w:r w:rsidRPr="00E72418">
        <w:rPr>
          <w:rStyle w:val="SansinterligneCar"/>
          <w:szCs w:val="20"/>
          <w:lang w:val="en-US"/>
        </w:rPr>
        <w:t xml:space="preserve"> any provision of this Act or the application thereof to any person or circumstance is held invalid, the invalidity does not affect other provisions or applications of this Act which can be given effect without the invalid provision or application, and to this end, the provisions of this Act are severable ».</w:t>
      </w:r>
    </w:p>
  </w:footnote>
  <w:footnote w:id="1473">
    <w:p w14:paraId="28F2C8A8" w14:textId="77777777" w:rsidR="0030147D" w:rsidRPr="00E72418" w:rsidRDefault="0030147D" w:rsidP="007C7AE6">
      <w:pPr>
        <w:pStyle w:val="Sansinterligne"/>
        <w:rPr>
          <w:szCs w:val="20"/>
        </w:rPr>
      </w:pPr>
      <w:r w:rsidRPr="00E72418">
        <w:rPr>
          <w:rStyle w:val="Appelnotedebasdep"/>
          <w:szCs w:val="20"/>
        </w:rPr>
        <w:footnoteRef/>
      </w:r>
      <w:r w:rsidRPr="00E72418">
        <w:rPr>
          <w:szCs w:val="20"/>
        </w:rPr>
        <w:t xml:space="preserve"> Article 3(4) de la proposition.</w:t>
      </w:r>
    </w:p>
  </w:footnote>
  <w:footnote w:id="1474">
    <w:p w14:paraId="05088E95"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Article 3(4) de la proposition.</w:t>
      </w:r>
    </w:p>
  </w:footnote>
  <w:footnote w:id="1475">
    <w:p w14:paraId="34528A6D" w14:textId="235DC0C0" w:rsidR="0030147D" w:rsidRPr="00E72418" w:rsidRDefault="0030147D" w:rsidP="003658BE">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21.</w:t>
      </w:r>
    </w:p>
  </w:footnote>
  <w:footnote w:id="1476">
    <w:p w14:paraId="0B3D4EE6" w14:textId="134A2A9F" w:rsidR="0030147D" w:rsidRPr="00E72418" w:rsidRDefault="0030147D" w:rsidP="001E39D4">
      <w:pPr>
        <w:pStyle w:val="Sansinterligne"/>
      </w:pPr>
      <w:r w:rsidRPr="00E72418">
        <w:rPr>
          <w:rStyle w:val="Appelnotedebasdep"/>
        </w:rPr>
        <w:footnoteRef/>
      </w:r>
      <w:r w:rsidRPr="00E72418">
        <w:t xml:space="preserve"> Sur la pertinence de l’idée de retenir un montant maximal servant de limitation à la spéculation, voyez </w:t>
      </w:r>
      <w:r w:rsidRPr="00E72418">
        <w:rPr>
          <w:i/>
        </w:rPr>
        <w:t>infra</w:t>
      </w:r>
      <w:r w:rsidRPr="00E72418">
        <w:t xml:space="preserve"> n</w:t>
      </w:r>
      <w:r w:rsidRPr="00E72418">
        <w:rPr>
          <w:vertAlign w:val="superscript"/>
        </w:rPr>
        <w:t>os</w:t>
      </w:r>
      <w:r w:rsidRPr="00E72418">
        <w:t xml:space="preserve"> </w:t>
      </w:r>
      <w:r>
        <w:t>415</w:t>
      </w:r>
      <w:r w:rsidRPr="00E72418">
        <w:t xml:space="preserve"> et suiv.</w:t>
      </w:r>
    </w:p>
  </w:footnote>
  <w:footnote w:id="1477">
    <w:p w14:paraId="5D953616" w14:textId="466CA079" w:rsidR="0030147D" w:rsidRPr="00E72418" w:rsidRDefault="0030147D" w:rsidP="003658BE">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14.</w:t>
      </w:r>
    </w:p>
  </w:footnote>
  <w:footnote w:id="1478">
    <w:p w14:paraId="4048D690" w14:textId="2A21AB27" w:rsidR="0030147D" w:rsidRPr="00E72418" w:rsidRDefault="0030147D" w:rsidP="007C7AE6">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1680.</w:t>
      </w:r>
    </w:p>
  </w:footnote>
  <w:footnote w:id="1479">
    <w:p w14:paraId="455C33B8" w14:textId="77777777" w:rsidR="0030147D" w:rsidRPr="00E72418" w:rsidRDefault="0030147D" w:rsidP="00194CAA">
      <w:pPr>
        <w:pStyle w:val="Sansinterligne"/>
        <w:rPr>
          <w:szCs w:val="20"/>
        </w:rPr>
      </w:pPr>
      <w:r w:rsidRPr="00E72418">
        <w:rPr>
          <w:rStyle w:val="Appelnotedebasdep"/>
          <w:szCs w:val="20"/>
        </w:rPr>
        <w:footnoteRef/>
      </w:r>
      <w:r w:rsidRPr="00E72418">
        <w:rPr>
          <w:szCs w:val="20"/>
        </w:rPr>
        <w:t xml:space="preserve"> Il est prévu que ces interdiction et pénalisation seront d’application nonante jours après la date de l’adoption du texte (voyez l’article 4(c) de la proposition).</w:t>
      </w:r>
    </w:p>
  </w:footnote>
  <w:footnote w:id="1480">
    <w:p w14:paraId="7D38F8C6" w14:textId="30AD9258" w:rsidR="0030147D" w:rsidRPr="00E72418" w:rsidRDefault="0030147D" w:rsidP="007D29B6">
      <w:pPr>
        <w:pStyle w:val="Sansinterligne"/>
        <w:rPr>
          <w:szCs w:val="20"/>
          <w:lang w:val="en-US"/>
        </w:rPr>
      </w:pPr>
      <w:r w:rsidRPr="00E72418">
        <w:rPr>
          <w:rStyle w:val="Appelnotedebasdep"/>
          <w:szCs w:val="20"/>
        </w:rPr>
        <w:footnoteRef/>
      </w:r>
      <w:r w:rsidRPr="00E72418">
        <w:rPr>
          <w:szCs w:val="20"/>
          <w:lang w:val="en-US"/>
        </w:rPr>
        <w:t xml:space="preserve"> L’article 3(5) de la proposition caractérise cette « United States person » en précisant qu’il s’agit d’ « a national of the United States (as defined in section 101(a)(22) of the Immigration and Nationality Act) » et d’ « a corporation, partnership, association, joint stock company, business trust, unincorporated organization, or sole proprietorship that is organized under the laws of the United States or of any political subdivision thereof; or owned or controlled by a citizen or resident of the United States ». L’article 3(8) précise quant à lui que les termes « United States » incluent « all territory and waters, continental of insular, subject to the jurisdiction of the United States ».</w:t>
      </w:r>
    </w:p>
  </w:footnote>
  <w:footnote w:id="1481">
    <w:p w14:paraId="31CE484E" w14:textId="1536ACEE" w:rsidR="0030147D" w:rsidRPr="00E72418" w:rsidRDefault="0030147D" w:rsidP="002730DB">
      <w:pPr>
        <w:pStyle w:val="Sansinterligne"/>
      </w:pPr>
      <w:r w:rsidRPr="00E72418">
        <w:rPr>
          <w:rStyle w:val="Appelnotedebasdep"/>
        </w:rPr>
        <w:footnoteRef/>
      </w:r>
      <w:r w:rsidRPr="00E72418">
        <w:t xml:space="preserve"> Voyez </w:t>
      </w:r>
      <w:r w:rsidRPr="00E72418">
        <w:rPr>
          <w:i/>
        </w:rPr>
        <w:t>infra</w:t>
      </w:r>
      <w:r w:rsidRPr="00E72418">
        <w:t xml:space="preserve"> n° 413.</w:t>
      </w:r>
    </w:p>
  </w:footnote>
  <w:footnote w:id="1482">
    <w:p w14:paraId="0DACC975" w14:textId="77777777" w:rsidR="0030147D" w:rsidRPr="00E72418" w:rsidRDefault="0030147D" w:rsidP="00E2479E">
      <w:pPr>
        <w:pStyle w:val="Sansinterligne"/>
        <w:rPr>
          <w:szCs w:val="20"/>
        </w:rPr>
      </w:pPr>
      <w:r w:rsidRPr="00E72418">
        <w:rPr>
          <w:rStyle w:val="Appelnotedebasdep"/>
          <w:szCs w:val="20"/>
        </w:rPr>
        <w:footnoteRef/>
      </w:r>
      <w:r w:rsidRPr="00E72418">
        <w:rPr>
          <w:szCs w:val="20"/>
        </w:rPr>
        <w:t xml:space="preserve"> Voyez l’article 5(h) de la proposition.</w:t>
      </w:r>
    </w:p>
  </w:footnote>
  <w:footnote w:id="1483">
    <w:p w14:paraId="08BCD75F" w14:textId="46373197" w:rsidR="0030147D" w:rsidRPr="00E72418" w:rsidRDefault="0030147D" w:rsidP="00CA3A06">
      <w:pPr>
        <w:pStyle w:val="Sansinterligne"/>
      </w:pPr>
      <w:r w:rsidRPr="00E72418">
        <w:rPr>
          <w:rStyle w:val="Appelnotedebasdep"/>
        </w:rPr>
        <w:footnoteRef/>
      </w:r>
      <w:r w:rsidRPr="00E72418">
        <w:t xml:space="preserve"> Sur ce manque de pugnacité, voyez </w:t>
      </w:r>
      <w:r w:rsidRPr="00E72418">
        <w:rPr>
          <w:i/>
        </w:rPr>
        <w:t>supra</w:t>
      </w:r>
      <w:r w:rsidRPr="00E72418">
        <w:t xml:space="preserve"> n° 139.</w:t>
      </w:r>
    </w:p>
  </w:footnote>
  <w:footnote w:id="1484">
    <w:p w14:paraId="3432C38C"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szCs w:val="20"/>
        </w:rPr>
        <w:t>Ces démarches sont requises pour toutes les actions introduites ou pendantes à partir de la date de l’adoption du texte</w:t>
      </w:r>
      <w:r w:rsidRPr="00E72418">
        <w:rPr>
          <w:szCs w:val="20"/>
        </w:rPr>
        <w:t xml:space="preserve"> (voyez l’article 5(h) de la proposition).</w:t>
      </w:r>
    </w:p>
  </w:footnote>
  <w:footnote w:id="1485">
    <w:p w14:paraId="1A84B272"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Article 2(14) de la proposition.</w:t>
      </w:r>
    </w:p>
  </w:footnote>
  <w:footnote w:id="1486">
    <w:p w14:paraId="6FBE780F" w14:textId="073BDD15"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Sur cette notion, voyez </w:t>
      </w:r>
      <w:r w:rsidRPr="00E72418">
        <w:rPr>
          <w:i/>
          <w:szCs w:val="20"/>
        </w:rPr>
        <w:t>infra</w:t>
      </w:r>
      <w:r w:rsidRPr="00E72418">
        <w:rPr>
          <w:szCs w:val="20"/>
        </w:rPr>
        <w:t xml:space="preserve"> n° 303.</w:t>
      </w:r>
    </w:p>
  </w:footnote>
  <w:footnote w:id="1487">
    <w:p w14:paraId="7910BD93" w14:textId="77777777" w:rsidR="0030147D" w:rsidRPr="00E72418" w:rsidRDefault="0030147D" w:rsidP="004E24AA">
      <w:pPr>
        <w:pStyle w:val="Sansinterligne"/>
        <w:rPr>
          <w:szCs w:val="20"/>
        </w:rPr>
      </w:pPr>
      <w:r w:rsidRPr="00E72418">
        <w:rPr>
          <w:rStyle w:val="Appelnotedebasdep"/>
          <w:szCs w:val="20"/>
        </w:rPr>
        <w:footnoteRef/>
      </w:r>
      <w:r w:rsidRPr="00E72418">
        <w:rPr>
          <w:szCs w:val="20"/>
        </w:rPr>
        <w:t xml:space="preserve"> Voyez l’article 5(b) pour la liste précise des déclarations.</w:t>
      </w:r>
    </w:p>
  </w:footnote>
  <w:footnote w:id="1488">
    <w:p w14:paraId="1245A06C" w14:textId="374FD2B8" w:rsidR="0030147D" w:rsidRPr="00E72418" w:rsidRDefault="0030147D" w:rsidP="007D29B6">
      <w:pPr>
        <w:pStyle w:val="Sansinterligne"/>
        <w:rPr>
          <w:szCs w:val="20"/>
        </w:rPr>
      </w:pPr>
      <w:r w:rsidRPr="00E72418">
        <w:rPr>
          <w:rStyle w:val="SansinterligneCar"/>
          <w:szCs w:val="20"/>
          <w:vertAlign w:val="superscript"/>
        </w:rPr>
        <w:footnoteRef/>
      </w:r>
      <w:r w:rsidRPr="00E72418">
        <w:rPr>
          <w:rStyle w:val="SansinterligneCar"/>
          <w:szCs w:val="20"/>
        </w:rPr>
        <w:t xml:space="preserve"> Voyez l’article 5(g) de la proposition. </w:t>
      </w:r>
      <w:r w:rsidRPr="00E72418">
        <w:rPr>
          <w:rStyle w:val="SansinterligneCar"/>
          <w:szCs w:val="20"/>
          <w:lang w:val="en-US"/>
        </w:rPr>
        <w:t>L’article 6(b) dipose quant à lui qu’ « [o]n presentation of an affidavit pursuant to section 5(g), the Secretary of the Treasury shall accept the affidavit and maintain the affidavit as a public record ».</w:t>
      </w:r>
      <w:r w:rsidRPr="00E72418">
        <w:rPr>
          <w:szCs w:val="20"/>
          <w:lang w:val="en-US"/>
        </w:rPr>
        <w:t xml:space="preserve"> </w:t>
      </w:r>
      <w:r w:rsidRPr="00E72418">
        <w:rPr>
          <w:szCs w:val="20"/>
        </w:rPr>
        <w:t xml:space="preserve">L’article 6(d)(2) prévoit que ces </w:t>
      </w:r>
      <w:r w:rsidRPr="00E72418">
        <w:rPr>
          <w:i/>
          <w:szCs w:val="20"/>
        </w:rPr>
        <w:t>affidavits</w:t>
      </w:r>
      <w:r w:rsidRPr="00E72418">
        <w:rPr>
          <w:szCs w:val="20"/>
        </w:rPr>
        <w:t xml:space="preserve"> sont repris dans un rapport annuel dressé par le Secrétariat du Trésor lequel rapport est, d’une part, soumis aux </w:t>
      </w:r>
      <w:r w:rsidRPr="00E72418">
        <w:rPr>
          <w:i/>
          <w:szCs w:val="20"/>
        </w:rPr>
        <w:t>Committees on Financial Services and on the Judiciary of the House of Representatives</w:t>
      </w:r>
      <w:r w:rsidRPr="00E72418">
        <w:rPr>
          <w:szCs w:val="20"/>
        </w:rPr>
        <w:t xml:space="preserve"> et aux </w:t>
      </w:r>
      <w:r w:rsidRPr="00E72418">
        <w:rPr>
          <w:i/>
          <w:szCs w:val="20"/>
        </w:rPr>
        <w:t>Committees on Foreign Relations and on the Judiciary of the Senate</w:t>
      </w:r>
      <w:r w:rsidRPr="00E72418">
        <w:rPr>
          <w:szCs w:val="20"/>
        </w:rPr>
        <w:t>, d’autre part, rendu disponible au public.</w:t>
      </w:r>
    </w:p>
  </w:footnote>
  <w:footnote w:id="1489">
    <w:p w14:paraId="142817FE" w14:textId="77777777" w:rsidR="0030147D" w:rsidRPr="00E72418" w:rsidRDefault="0030147D" w:rsidP="000D1FE2">
      <w:pPr>
        <w:pStyle w:val="Sansinterligne"/>
        <w:rPr>
          <w:szCs w:val="20"/>
        </w:rPr>
      </w:pPr>
      <w:r w:rsidRPr="00E72418">
        <w:rPr>
          <w:rStyle w:val="Appelnotedebasdep"/>
          <w:szCs w:val="20"/>
        </w:rPr>
        <w:footnoteRef/>
      </w:r>
      <w:r w:rsidRPr="00E72418">
        <w:rPr>
          <w:szCs w:val="20"/>
        </w:rPr>
        <w:t xml:space="preserve"> Voyez l’article 5(f) de la proposition.</w:t>
      </w:r>
    </w:p>
  </w:footnote>
  <w:footnote w:id="1490">
    <w:p w14:paraId="419712F0" w14:textId="64EEC9F4" w:rsidR="0030147D" w:rsidRPr="00E72418" w:rsidRDefault="0030147D" w:rsidP="00965497">
      <w:pPr>
        <w:pStyle w:val="Sansinterligne"/>
      </w:pPr>
      <w:r w:rsidRPr="00E72418">
        <w:rPr>
          <w:rStyle w:val="Appelnotedebasdep"/>
        </w:rPr>
        <w:footnoteRef/>
      </w:r>
      <w:r w:rsidRPr="00E72418">
        <w:t xml:space="preserve"> Nous reprendrons cette obligation de transparence dans notre proposition en en réduisant toutefois la portée (voyez </w:t>
      </w:r>
      <w:r w:rsidRPr="00E72418">
        <w:rPr>
          <w:i/>
        </w:rPr>
        <w:t>infra</w:t>
      </w:r>
      <w:r>
        <w:t xml:space="preserve"> n° 417</w:t>
      </w:r>
      <w:r w:rsidRPr="00E72418">
        <w:t>).</w:t>
      </w:r>
    </w:p>
  </w:footnote>
  <w:footnote w:id="1491">
    <w:p w14:paraId="612D2D0F" w14:textId="2BECD699" w:rsidR="0030147D" w:rsidRPr="00E72418" w:rsidRDefault="0030147D" w:rsidP="00B719BE">
      <w:pPr>
        <w:pStyle w:val="Sansinterligne"/>
        <w:rPr>
          <w:szCs w:val="20"/>
        </w:rPr>
      </w:pPr>
      <w:r w:rsidRPr="00E72418">
        <w:rPr>
          <w:rStyle w:val="Appelnotedebasdep"/>
          <w:szCs w:val="20"/>
        </w:rPr>
        <w:footnoteRef/>
      </w:r>
      <w:r w:rsidRPr="00E72418">
        <w:rPr>
          <w:szCs w:val="20"/>
        </w:rPr>
        <w:t xml:space="preserve"> </w:t>
      </w:r>
      <w:r w:rsidRPr="00E72418">
        <w:rPr>
          <w:smallCaps/>
          <w:szCs w:val="20"/>
        </w:rPr>
        <w:t>J. Bai</w:t>
      </w:r>
      <w:r w:rsidRPr="00E72418">
        <w:rPr>
          <w:szCs w:val="20"/>
        </w:rPr>
        <w:t xml:space="preserve">, « Stop Them Circling: Addressing Vulture Funds in Australian Law », </w:t>
      </w:r>
      <w:r w:rsidRPr="00E72418">
        <w:rPr>
          <w:i/>
          <w:szCs w:val="20"/>
          <w:lang w:val="en-US"/>
        </w:rPr>
        <w:t>op. cit.</w:t>
      </w:r>
      <w:r w:rsidRPr="00E72418">
        <w:rPr>
          <w:szCs w:val="20"/>
        </w:rPr>
        <w:t>, p. 729.</w:t>
      </w:r>
    </w:p>
  </w:footnote>
  <w:footnote w:id="1492">
    <w:p w14:paraId="1D2684B9" w14:textId="032835C8" w:rsidR="0030147D" w:rsidRPr="00E72418" w:rsidRDefault="0030147D" w:rsidP="007D29B6">
      <w:pPr>
        <w:pStyle w:val="Sansinterligne"/>
        <w:rPr>
          <w:szCs w:val="20"/>
          <w:lang w:val="en-US"/>
        </w:rPr>
      </w:pPr>
      <w:r w:rsidRPr="00E72418">
        <w:rPr>
          <w:rStyle w:val="Appelnotedebasdep"/>
          <w:szCs w:val="20"/>
        </w:rPr>
        <w:footnoteRef/>
      </w:r>
      <w:r w:rsidRPr="00E72418">
        <w:rPr>
          <w:szCs w:val="20"/>
          <w:lang w:val="en-US"/>
        </w:rPr>
        <w:t xml:space="preserve"> Comme le relève Eloy Peral, « the U.S. Vulture Act would not apply to original lenders and trade creditors »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21).</w:t>
      </w:r>
    </w:p>
  </w:footnote>
  <w:footnote w:id="1493">
    <w:p w14:paraId="69BE72BD" w14:textId="0DD739EE" w:rsidR="0030147D" w:rsidRPr="00E72418" w:rsidRDefault="0030147D" w:rsidP="00004FDE">
      <w:pPr>
        <w:pStyle w:val="Sansinterligne"/>
        <w:rPr>
          <w:szCs w:val="20"/>
        </w:rPr>
      </w:pPr>
      <w:r w:rsidRPr="00E72418">
        <w:rPr>
          <w:rStyle w:val="Appelnotedebasdep"/>
          <w:szCs w:val="20"/>
        </w:rPr>
        <w:footnoteRef/>
      </w:r>
      <w:r w:rsidRPr="00E72418">
        <w:rPr>
          <w:szCs w:val="20"/>
        </w:rPr>
        <w:t xml:space="preserve"> Voyez l’article 3(4) de la proposition et les explications données </w:t>
      </w:r>
      <w:r w:rsidRPr="00E72418">
        <w:rPr>
          <w:i/>
          <w:szCs w:val="20"/>
        </w:rPr>
        <w:t>supra</w:t>
      </w:r>
      <w:r w:rsidRPr="00E72418">
        <w:rPr>
          <w:szCs w:val="20"/>
        </w:rPr>
        <w:t xml:space="preserve"> n° 297.</w:t>
      </w:r>
    </w:p>
  </w:footnote>
  <w:footnote w:id="1494">
    <w:p w14:paraId="4A44AC14" w14:textId="77777777" w:rsidR="0030147D" w:rsidRPr="00E72418" w:rsidRDefault="0030147D" w:rsidP="006A6A70">
      <w:pPr>
        <w:pStyle w:val="Sansinterligne"/>
        <w:rPr>
          <w:szCs w:val="20"/>
        </w:rPr>
      </w:pPr>
      <w:r w:rsidRPr="00E72418">
        <w:rPr>
          <w:rStyle w:val="Appelnotedebasdep"/>
          <w:szCs w:val="20"/>
        </w:rPr>
        <w:footnoteRef/>
      </w:r>
      <w:r w:rsidRPr="00E72418">
        <w:rPr>
          <w:szCs w:val="20"/>
        </w:rPr>
        <w:t xml:space="preserve"> Respectivement articles 3(2) et 3(3) de la proposition.</w:t>
      </w:r>
    </w:p>
  </w:footnote>
  <w:footnote w:id="1495">
    <w:p w14:paraId="478A58ED" w14:textId="524A666C" w:rsidR="0030147D" w:rsidRPr="00E72418" w:rsidRDefault="0030147D" w:rsidP="006A6A70">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xml:space="preserve">, p. 21. Par opposition, voyez, d’une part, la </w:t>
      </w:r>
      <w:r w:rsidRPr="00E72418">
        <w:t>disposition VI de l’article 60 de la loi Sapin II qui dispose qu’il s’applique aux titres de créance acquis à compter de son entrée en vigueur (</w:t>
      </w:r>
      <w:r w:rsidRPr="00E72418">
        <w:rPr>
          <w:i/>
        </w:rPr>
        <w:t>infra</w:t>
      </w:r>
      <w:r w:rsidRPr="00E72418">
        <w:t xml:space="preserve"> n° 374), d’autre part, l’article 1(3) du </w:t>
      </w:r>
      <w:r w:rsidRPr="00E72418">
        <w:rPr>
          <w:i/>
        </w:rPr>
        <w:t>Debt Relief (Developing Countries) Act</w:t>
      </w:r>
      <w:r w:rsidRPr="00E72418">
        <w:t xml:space="preserve"> qui prévoit que pour être protégée, la dette doit avoir été encourue avant l’entrée en vigueur de la loi.</w:t>
      </w:r>
    </w:p>
  </w:footnote>
  <w:footnote w:id="1496">
    <w:p w14:paraId="218257E3" w14:textId="77777777" w:rsidR="0030147D" w:rsidRPr="00E72418" w:rsidRDefault="0030147D" w:rsidP="006A6A70">
      <w:pPr>
        <w:pStyle w:val="Sansinterligne"/>
        <w:rPr>
          <w:szCs w:val="20"/>
        </w:rPr>
      </w:pPr>
      <w:r w:rsidRPr="00E72418">
        <w:rPr>
          <w:rStyle w:val="Appelnotedebasdep"/>
          <w:szCs w:val="20"/>
        </w:rPr>
        <w:footnoteRef/>
      </w:r>
      <w:r w:rsidRPr="00E72418">
        <w:rPr>
          <w:szCs w:val="20"/>
        </w:rPr>
        <w:t xml:space="preserve"> L’article 6(d)(1) prévoit encore que le Secrétariat du Trésor doit, dans un rapport annuel, expliquer la manière dont il identifie les </w:t>
      </w:r>
      <w:r w:rsidRPr="00E72418">
        <w:rPr>
          <w:szCs w:val="20"/>
          <w:lang w:eastAsia="fr-BE"/>
        </w:rPr>
        <w:t>É</w:t>
      </w:r>
      <w:r w:rsidRPr="00E72418">
        <w:rPr>
          <w:szCs w:val="20"/>
        </w:rPr>
        <w:t xml:space="preserve">tat repris dans la liste. Le rapport est, d’une part, soumis aux </w:t>
      </w:r>
      <w:r w:rsidRPr="00E72418">
        <w:rPr>
          <w:i/>
          <w:szCs w:val="20"/>
        </w:rPr>
        <w:t>Committees on Financial Services and on the Judiciary of the House of Representatives</w:t>
      </w:r>
      <w:r w:rsidRPr="00E72418">
        <w:rPr>
          <w:szCs w:val="20"/>
        </w:rPr>
        <w:t xml:space="preserve"> et aux </w:t>
      </w:r>
      <w:r w:rsidRPr="00E72418">
        <w:rPr>
          <w:i/>
          <w:szCs w:val="20"/>
        </w:rPr>
        <w:t>Committees on Foreign Relations and on the Judiciary of the Senate</w:t>
      </w:r>
      <w:r w:rsidRPr="00E72418">
        <w:rPr>
          <w:szCs w:val="20"/>
        </w:rPr>
        <w:t>, d’autre part, rendu disponible au public.</w:t>
      </w:r>
    </w:p>
  </w:footnote>
  <w:footnote w:id="1497">
    <w:p w14:paraId="20726680" w14:textId="2C0AF020" w:rsidR="0030147D" w:rsidRPr="00E72418" w:rsidRDefault="0030147D" w:rsidP="006A6A70">
      <w:pPr>
        <w:pStyle w:val="Sansinterligne"/>
        <w:rPr>
          <w:szCs w:val="20"/>
        </w:rPr>
      </w:pPr>
      <w:r w:rsidRPr="00E72418">
        <w:rPr>
          <w:rStyle w:val="Appelnotedebasdep"/>
          <w:szCs w:val="20"/>
        </w:rPr>
        <w:footnoteRef/>
      </w:r>
      <w:r w:rsidRPr="00E72418">
        <w:rPr>
          <w:szCs w:val="20"/>
        </w:rPr>
        <w:t xml:space="preserve"> James Bai relève que le fait que soient repris parmi les </w:t>
      </w:r>
      <w:r w:rsidRPr="00E72418">
        <w:rPr>
          <w:i/>
          <w:szCs w:val="20"/>
        </w:rPr>
        <w:t>qualified poor countries</w:t>
      </w:r>
      <w:r w:rsidRPr="00E72418">
        <w:rPr>
          <w:szCs w:val="20"/>
        </w:rPr>
        <w:t xml:space="preserve"> les </w:t>
      </w:r>
      <w:r w:rsidRPr="00E72418">
        <w:rPr>
          <w:szCs w:val="20"/>
          <w:lang w:eastAsia="fr-BE"/>
        </w:rPr>
        <w:t>É</w:t>
      </w:r>
      <w:r w:rsidRPr="00E72418">
        <w:rPr>
          <w:szCs w:val="20"/>
        </w:rPr>
        <w:t>tats éligibles à un financement de l’</w:t>
      </w:r>
      <w:r w:rsidRPr="00E72418">
        <w:rPr>
          <w:i/>
          <w:szCs w:val="20"/>
        </w:rPr>
        <w:t xml:space="preserve">International Development Association </w:t>
      </w:r>
      <w:r w:rsidRPr="00E72418">
        <w:rPr>
          <w:szCs w:val="20"/>
        </w:rPr>
        <w:t xml:space="preserve">sans être forcément des Pays Pauvres Très Endettés au sens de l’Initiative de la Banque mondiale et du Fonds monétaire international est problématique. Selon l’auteur, « it extends the </w:t>
      </w:r>
      <w:r w:rsidRPr="00E72418">
        <w:rPr>
          <w:i/>
          <w:iCs/>
          <w:szCs w:val="20"/>
        </w:rPr>
        <w:t xml:space="preserve">Stop </w:t>
      </w:r>
      <w:r w:rsidRPr="00E72418">
        <w:rPr>
          <w:bCs/>
          <w:i/>
          <w:iCs/>
          <w:szCs w:val="20"/>
        </w:rPr>
        <w:t xml:space="preserve">VULTURE </w:t>
      </w:r>
      <w:r w:rsidRPr="00E72418">
        <w:rPr>
          <w:i/>
          <w:iCs/>
          <w:szCs w:val="20"/>
        </w:rPr>
        <w:t>Funds Bill</w:t>
      </w:r>
      <w:r w:rsidRPr="00E72418">
        <w:rPr>
          <w:iCs/>
          <w:szCs w:val="20"/>
        </w:rPr>
        <w:t>’s</w:t>
      </w:r>
      <w:r w:rsidRPr="00E72418">
        <w:rPr>
          <w:i/>
          <w:iCs/>
          <w:szCs w:val="20"/>
        </w:rPr>
        <w:t xml:space="preserve"> </w:t>
      </w:r>
      <w:r w:rsidRPr="00E72418">
        <w:rPr>
          <w:szCs w:val="20"/>
        </w:rPr>
        <w:t>protection to a much larger class of debtors, while placing hefty disincentives on virtually all secondary creditors, due to the very wide net of “profiteering” »</w:t>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xml:space="preserve">, p. 724). </w:t>
      </w:r>
      <w:r w:rsidRPr="00E72418">
        <w:rPr>
          <w:szCs w:val="20"/>
        </w:rPr>
        <w:t xml:space="preserve">Il peut être notamment objecté à ce propos que le problème des fonds spéculatifs n’est pas limité aux seuls Pays Pauvres Très Endettés (voyez d’ailleurs </w:t>
      </w:r>
      <w:r w:rsidRPr="00E72418">
        <w:rPr>
          <w:i/>
          <w:szCs w:val="20"/>
        </w:rPr>
        <w:t>infra</w:t>
      </w:r>
      <w:r>
        <w:rPr>
          <w:szCs w:val="20"/>
        </w:rPr>
        <w:t xml:space="preserve"> n° 423</w:t>
      </w:r>
      <w:r w:rsidRPr="00E72418">
        <w:rPr>
          <w:szCs w:val="20"/>
        </w:rPr>
        <w:t>).</w:t>
      </w:r>
    </w:p>
  </w:footnote>
  <w:footnote w:id="1498">
    <w:p w14:paraId="5FD2F778"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Dans un souci de bonne information de ces </w:t>
      </w:r>
      <w:r w:rsidRPr="00E72418">
        <w:rPr>
          <w:szCs w:val="20"/>
          <w:lang w:eastAsia="fr-BE"/>
        </w:rPr>
        <w:t>É</w:t>
      </w:r>
      <w:r w:rsidRPr="00E72418">
        <w:rPr>
          <w:szCs w:val="20"/>
        </w:rPr>
        <w:t>tats, l’article 6(c) prévoit que la loi en devenir leur soit communiquée par le Secrétariat du Trésor dans les nonante jours de la date de son adoption.</w:t>
      </w:r>
    </w:p>
  </w:footnote>
  <w:footnote w:id="1499">
    <w:p w14:paraId="3B6C8E8F" w14:textId="77777777" w:rsidR="0030147D" w:rsidRPr="00E72418" w:rsidRDefault="0030147D" w:rsidP="007D29B6">
      <w:pPr>
        <w:pStyle w:val="Sansinterligne"/>
        <w:rPr>
          <w:szCs w:val="20"/>
        </w:rPr>
      </w:pPr>
      <w:r w:rsidRPr="00E72418">
        <w:rPr>
          <w:rStyle w:val="Appelnotedebasdep"/>
          <w:szCs w:val="20"/>
        </w:rPr>
        <w:footnoteRef/>
      </w:r>
      <w:r w:rsidRPr="00E72418">
        <w:rPr>
          <w:szCs w:val="20"/>
        </w:rPr>
        <w:t xml:space="preserve"> Les catégories de pays bannis sont déterminées par le Secrétariat du Trésor qui consulte le Secrétariat d’</w:t>
      </w:r>
      <w:r w:rsidRPr="00E72418">
        <w:rPr>
          <w:szCs w:val="20"/>
          <w:lang w:eastAsia="fr-BE"/>
        </w:rPr>
        <w:t>É</w:t>
      </w:r>
      <w:r w:rsidRPr="00E72418">
        <w:rPr>
          <w:szCs w:val="20"/>
        </w:rPr>
        <w:t>tat.</w:t>
      </w:r>
    </w:p>
  </w:footnote>
  <w:footnote w:id="1500">
    <w:p w14:paraId="4EA5E73B" w14:textId="57C8C5E1"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1698.</w:t>
      </w:r>
    </w:p>
  </w:footnote>
  <w:footnote w:id="1501">
    <w:p w14:paraId="4DA48FC2" w14:textId="77822D5D" w:rsidR="0030147D" w:rsidRPr="00E72418" w:rsidRDefault="0030147D" w:rsidP="00C90984">
      <w:pPr>
        <w:pStyle w:val="Sansinterligne"/>
        <w:rPr>
          <w:szCs w:val="20"/>
        </w:rPr>
      </w:pPr>
      <w:r w:rsidRPr="00E72418">
        <w:rPr>
          <w:rStyle w:val="Appelnotedebasdep"/>
          <w:szCs w:val="20"/>
        </w:rPr>
        <w:footnoteRef/>
      </w:r>
      <w:r w:rsidRPr="00E72418">
        <w:rPr>
          <w:szCs w:val="20"/>
        </w:rPr>
        <w:t xml:space="preserve"> Voyez plus de précisions sur les activités qui disqualifient à l’article 6(a)(2).</w:t>
      </w:r>
    </w:p>
  </w:footnote>
  <w:footnote w:id="1502">
    <w:p w14:paraId="3D2BF0B3" w14:textId="7777777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Article 3(7) de la proposition.</w:t>
      </w:r>
    </w:p>
  </w:footnote>
  <w:footnote w:id="1503">
    <w:p w14:paraId="59BDDA18" w14:textId="279D1413" w:rsidR="0030147D" w:rsidRPr="00E72418" w:rsidRDefault="0030147D" w:rsidP="00615A3D">
      <w:pPr>
        <w:pStyle w:val="Sansinterligne"/>
        <w:rPr>
          <w:szCs w:val="20"/>
          <w:lang w:val="en-US"/>
        </w:rPr>
      </w:pPr>
      <w:r w:rsidRPr="00E72418">
        <w:rPr>
          <w:rStyle w:val="Appelnotedebasdep"/>
          <w:szCs w:val="20"/>
        </w:rPr>
        <w:footnoteRef/>
      </w:r>
      <w:r w:rsidRPr="00E72418">
        <w:rPr>
          <w:szCs w:val="20"/>
        </w:rPr>
        <w:t xml:space="preserve"> Très rapidement après ce contentieux (sur celui-ci,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104 et suiv.), plus d’une centaine de parlementaires de la </w:t>
      </w:r>
      <w:r w:rsidRPr="00E72418">
        <w:rPr>
          <w:i/>
          <w:szCs w:val="20"/>
        </w:rPr>
        <w:t>House of Commons</w:t>
      </w:r>
      <w:r w:rsidRPr="00E72418">
        <w:rPr>
          <w:szCs w:val="20"/>
        </w:rPr>
        <w:t xml:space="preserve"> signèrent la </w:t>
      </w:r>
      <w:r w:rsidRPr="00E72418">
        <w:rPr>
          <w:i/>
          <w:szCs w:val="20"/>
        </w:rPr>
        <w:t>Early Day Motion</w:t>
      </w:r>
      <w:r w:rsidRPr="00E72418">
        <w:rPr>
          <w:szCs w:val="20"/>
        </w:rPr>
        <w:t xml:space="preserve"> du 1</w:t>
      </w:r>
      <w:r w:rsidRPr="00E72418">
        <w:rPr>
          <w:szCs w:val="20"/>
          <w:vertAlign w:val="superscript"/>
        </w:rPr>
        <w:t>er</w:t>
      </w:r>
      <w:r w:rsidRPr="00E72418">
        <w:rPr>
          <w:szCs w:val="20"/>
        </w:rPr>
        <w:t xml:space="preserve"> mars 2007 intitulée « Vulture fund debt claim against Zambia » condamnant la démarche du fonds spéculatif (Early Day Motion n° 1016, 1</w:t>
      </w:r>
      <w:r w:rsidRPr="00E72418">
        <w:rPr>
          <w:szCs w:val="20"/>
          <w:vertAlign w:val="superscript"/>
        </w:rPr>
        <w:t>er</w:t>
      </w:r>
      <w:r w:rsidRPr="00E72418">
        <w:rPr>
          <w:szCs w:val="20"/>
        </w:rPr>
        <w:t xml:space="preserve"> mars 2007, </w:t>
      </w:r>
      <w:r w:rsidRPr="00E72418">
        <w:rPr>
          <w:i/>
          <w:szCs w:val="20"/>
        </w:rPr>
        <w:t>Vulture fund debt claim against Zambia</w:t>
      </w:r>
      <w:r w:rsidRPr="00E72418">
        <w:rPr>
          <w:szCs w:val="20"/>
        </w:rPr>
        <w:t>, session 2006-2007, disponible à l’adresse </w:t>
      </w:r>
      <w:hyperlink r:id="rId58" w:history="1">
        <w:r w:rsidRPr="00E72418">
          <w:rPr>
            <w:rStyle w:val="Lienhypertexte"/>
            <w:color w:val="auto"/>
            <w:szCs w:val="20"/>
            <w:u w:val="none"/>
          </w:rPr>
          <w:t>https://edm.parliament.uk/early-day-motion/32749/vulture-fund-debt-claim-against-zambia</w:t>
        </w:r>
      </w:hyperlink>
      <w:r w:rsidRPr="00E72418">
        <w:rPr>
          <w:rStyle w:val="Lienhypertexte"/>
          <w:color w:val="auto"/>
          <w:szCs w:val="20"/>
          <w:u w:val="none"/>
        </w:rPr>
        <w:t xml:space="preserve"> (consultation le 17 octobre 2021)</w:t>
      </w:r>
      <w:r w:rsidRPr="00E72418">
        <w:rPr>
          <w:szCs w:val="20"/>
        </w:rPr>
        <w:t xml:space="preserve">). Comme le note Ryan Avery, les propositions de texte britanniques </w:t>
      </w:r>
      <w:r w:rsidRPr="00E72418">
        <w:rPr>
          <w:rFonts w:cs="Times New Roman"/>
          <w:szCs w:val="20"/>
        </w:rPr>
        <w:t>firent suite à pas moins de sept affaires visant des Pays Pauvres Très Endettés soumises aux juridictions britanniques (</w:t>
      </w:r>
      <w:r w:rsidRPr="00E72418">
        <w:rPr>
          <w:smallCaps/>
          <w:szCs w:val="20"/>
        </w:rPr>
        <w:t>R. Avery</w:t>
      </w:r>
      <w:r w:rsidRPr="00E72418">
        <w:rPr>
          <w:szCs w:val="20"/>
        </w:rPr>
        <w:t xml:space="preserve">, « Out of the Desert and to the Oasis: Legislation on Predatory Debt Investing », </w:t>
      </w:r>
      <w:r w:rsidRPr="00E72418">
        <w:rPr>
          <w:i/>
          <w:szCs w:val="20"/>
          <w:lang w:val="en-US"/>
        </w:rPr>
        <w:t>op. cit.</w:t>
      </w:r>
      <w:r w:rsidRPr="00E72418">
        <w:rPr>
          <w:szCs w:val="20"/>
        </w:rPr>
        <w:t>, p. 280)</w:t>
      </w:r>
      <w:r w:rsidRPr="00E72418">
        <w:rPr>
          <w:rFonts w:cs="Times New Roman"/>
          <w:szCs w:val="20"/>
        </w:rPr>
        <w:t xml:space="preserve">. </w:t>
      </w:r>
      <w:r w:rsidRPr="00E72418">
        <w:rPr>
          <w:rFonts w:cs="Times New Roman"/>
          <w:szCs w:val="20"/>
          <w:lang w:val="en-US"/>
        </w:rPr>
        <w:t xml:space="preserve">Néanmoins, </w:t>
      </w:r>
      <w:r w:rsidRPr="00E72418">
        <w:rPr>
          <w:szCs w:val="20"/>
          <w:lang w:val="en-US"/>
        </w:rPr>
        <w:t>comme le remarque Thomas Laryea, « </w:t>
      </w:r>
      <w:r w:rsidRPr="00E72418">
        <w:rPr>
          <w:rFonts w:cs="Times New Roman"/>
          <w:szCs w:val="20"/>
          <w:lang w:val="en-US"/>
        </w:rPr>
        <w:t>[o]</w:t>
      </w:r>
      <w:r w:rsidRPr="00E72418">
        <w:rPr>
          <w:szCs w:val="20"/>
          <w:lang w:val="en-US"/>
        </w:rPr>
        <w:t>ne cannot avoid speculating that perhaps Donegal’s notorious outcome in the English courts may have been seen as a taint on the United Kingdom’s reputation in this field, which the recent proposals may be aimed at addressing » (</w:t>
      </w:r>
      <w:r w:rsidRPr="00E72418">
        <w:rPr>
          <w:smallCaps/>
          <w:szCs w:val="20"/>
          <w:lang w:val="en-US"/>
        </w:rPr>
        <w:t>T. Laryea</w:t>
      </w:r>
      <w:r w:rsidRPr="00E72418">
        <w:rPr>
          <w:szCs w:val="20"/>
          <w:lang w:val="en-US"/>
        </w:rPr>
        <w:t xml:space="preserve">, « </w:t>
      </w:r>
      <w:r w:rsidRPr="00E72418">
        <w:rPr>
          <w:i/>
          <w:lang w:val="en-GB"/>
        </w:rPr>
        <w:t>Donegal v. Zambia</w:t>
      </w:r>
      <w:r w:rsidRPr="00E72418">
        <w:rPr>
          <w:lang w:val="en-GB"/>
        </w:rPr>
        <w:t xml:space="preserve"> and the Persistent Debt Problems of Low-Income Countries</w:t>
      </w:r>
      <w:r w:rsidRPr="00E72418">
        <w:rPr>
          <w:szCs w:val="20"/>
          <w:lang w:val="en-US"/>
        </w:rPr>
        <w:t xml:space="preserve"> », </w:t>
      </w:r>
      <w:r w:rsidRPr="00E72418">
        <w:rPr>
          <w:i/>
          <w:szCs w:val="20"/>
          <w:lang w:val="en-US"/>
        </w:rPr>
        <w:t>op. cit.</w:t>
      </w:r>
      <w:r w:rsidRPr="00E72418">
        <w:rPr>
          <w:szCs w:val="20"/>
          <w:lang w:val="en-US"/>
        </w:rPr>
        <w:t>, p. 197).</w:t>
      </w:r>
    </w:p>
  </w:footnote>
  <w:footnote w:id="1504">
    <w:p w14:paraId="6364A71A" w14:textId="421475AB" w:rsidR="0030147D" w:rsidRPr="00E72418" w:rsidRDefault="0030147D" w:rsidP="00615A3D">
      <w:pPr>
        <w:pStyle w:val="Sansinterligne"/>
        <w:rPr>
          <w:szCs w:val="20"/>
        </w:rPr>
      </w:pPr>
      <w:r w:rsidRPr="00E72418">
        <w:rPr>
          <w:rStyle w:val="Appelnotedebasdep"/>
          <w:szCs w:val="20"/>
        </w:rPr>
        <w:footnoteRef/>
      </w:r>
      <w:r w:rsidRPr="00E72418">
        <w:rPr>
          <w:szCs w:val="20"/>
        </w:rPr>
        <w:t xml:space="preserve"> Propos de Gordon Brown repris in House of Commons, Déclarations écrites, 10 mai 2007, colonnes 16WS et 17WS. </w:t>
      </w:r>
      <w:r w:rsidRPr="00E72418">
        <w:rPr>
          <w:szCs w:val="20"/>
          <w:lang w:val="en-US"/>
        </w:rPr>
        <w:t xml:space="preserve">Voyez la décision de la High Court of Justice (RU), Queen’s Bench Division, Commercial Court, 15 février 2007, </w:t>
      </w:r>
      <w:r w:rsidRPr="00E72418">
        <w:rPr>
          <w:i/>
          <w:szCs w:val="20"/>
          <w:lang w:val="en-US"/>
        </w:rPr>
        <w:t>Donegal International limited v. Republic of Zambia and Anr.</w:t>
      </w:r>
      <w:r w:rsidRPr="00E72418">
        <w:rPr>
          <w:szCs w:val="20"/>
          <w:lang w:val="en-US"/>
        </w:rPr>
        <w:t xml:space="preserve">, [2007] EWHC 197 (Comm.) et le commentaire donné </w:t>
      </w:r>
      <w:r w:rsidRPr="00E72418">
        <w:rPr>
          <w:i/>
          <w:szCs w:val="20"/>
          <w:lang w:val="en-US"/>
        </w:rPr>
        <w:t>supra</w:t>
      </w:r>
      <w:r w:rsidRPr="00E72418">
        <w:rPr>
          <w:szCs w:val="20"/>
          <w:lang w:val="en-US"/>
        </w:rPr>
        <w:t xml:space="preserve"> n° 106.</w:t>
      </w:r>
    </w:p>
  </w:footnote>
  <w:footnote w:id="1505">
    <w:p w14:paraId="276B8F3A" w14:textId="51BDDD8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Voyez le propos de Sally Keeble repris in House of Commons, </w:t>
      </w:r>
      <w:r w:rsidRPr="00E72418">
        <w:rPr>
          <w:i/>
          <w:szCs w:val="20"/>
          <w:lang w:val="en-US"/>
        </w:rPr>
        <w:t>Debt Relief (Developing Countries) Bill</w:t>
      </w:r>
      <w:r w:rsidRPr="00E72418">
        <w:rPr>
          <w:szCs w:val="20"/>
          <w:lang w:val="en-US"/>
        </w:rPr>
        <w:t>, second reading, 26 février 2010, vol. 506, colonne 560 : « action must start somewhere, and if it starts in this country that is fine, particularly given the global role of our financial services industry and the fact that our courts are often, unfortunately, the locus for action ». Sur le recours fréquent au droit britannique, Alexander Horne note que « [t]he UK has a distinctive role in this issue, as its contract law is, for historical reasons, a common framework for international business » (</w:t>
      </w:r>
      <w:r w:rsidRPr="00E72418">
        <w:rPr>
          <w:smallCaps/>
          <w:szCs w:val="20"/>
        </w:rPr>
        <w:t>A. Horne</w:t>
      </w:r>
      <w:r w:rsidRPr="00E72418">
        <w:rPr>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rPr>
        <w:t>, p. 17</w:t>
      </w:r>
      <w:r w:rsidRPr="00E72418">
        <w:rPr>
          <w:szCs w:val="20"/>
          <w:lang w:val="en-US"/>
        </w:rPr>
        <w:t xml:space="preserve">). Sur la prééminence britannique ainsi que l’étatsunienne, voyez </w:t>
      </w:r>
      <w:r w:rsidRPr="00E72418">
        <w:rPr>
          <w:i/>
          <w:szCs w:val="20"/>
          <w:lang w:val="en-US"/>
        </w:rPr>
        <w:t>supra</w:t>
      </w:r>
      <w:r w:rsidRPr="00E72418">
        <w:rPr>
          <w:szCs w:val="20"/>
          <w:lang w:val="en-US"/>
        </w:rPr>
        <w:t xml:space="preserve"> n° 79.</w:t>
      </w:r>
    </w:p>
  </w:footnote>
  <w:footnote w:id="1506">
    <w:p w14:paraId="6462646F" w14:textId="0A6D4689" w:rsidR="0030147D" w:rsidRPr="00E72418" w:rsidRDefault="0030147D" w:rsidP="00D97067">
      <w:pPr>
        <w:pStyle w:val="Sansinterligne"/>
        <w:rPr>
          <w:szCs w:val="20"/>
          <w:highlight w:val="green"/>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11.</w:t>
      </w:r>
    </w:p>
  </w:footnote>
  <w:footnote w:id="1507">
    <w:p w14:paraId="2DB3D14A" w14:textId="7777777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House of Commons, </w:t>
      </w:r>
      <w:r w:rsidRPr="00E72418">
        <w:rPr>
          <w:i/>
          <w:szCs w:val="20"/>
          <w:lang w:val="en-US"/>
        </w:rPr>
        <w:t>Developing Country Debt (Restriction of Recovery) Bill</w:t>
      </w:r>
      <w:r w:rsidRPr="00E72418">
        <w:rPr>
          <w:rFonts w:cs="Times New Roman"/>
          <w:szCs w:val="20"/>
          <w:lang w:val="en-US"/>
        </w:rPr>
        <w:t xml:space="preserve">, </w:t>
      </w:r>
      <w:r w:rsidRPr="00E72418">
        <w:rPr>
          <w:szCs w:val="20"/>
          <w:lang w:val="en-US"/>
        </w:rPr>
        <w:t>6 mai 2009, vol. 492, colonnes 175 à 177. L’intitulé exact du texte était « a Bill to regulate the recovery of the defaulted sovereign debt of developing countries; and for connected purposes ».</w:t>
      </w:r>
    </w:p>
  </w:footnote>
  <w:footnote w:id="1508">
    <w:p w14:paraId="6670CAFD" w14:textId="3D064E83" w:rsidR="0030147D" w:rsidRPr="00E72418" w:rsidRDefault="0030147D" w:rsidP="00615A3D">
      <w:pPr>
        <w:pStyle w:val="Sansinterligne"/>
        <w:rPr>
          <w:szCs w:val="20"/>
        </w:rPr>
      </w:pPr>
      <w:r w:rsidRPr="00E72418">
        <w:rPr>
          <w:rStyle w:val="Appelnotedebasdep"/>
          <w:szCs w:val="20"/>
        </w:rPr>
        <w:footnoteRef/>
      </w:r>
      <w:r w:rsidRPr="00E72418">
        <w:rPr>
          <w:szCs w:val="20"/>
        </w:rPr>
        <w:t xml:space="preserve"> Early Day Motion n° 1440, 6 mai 2009, </w:t>
      </w:r>
      <w:r w:rsidRPr="00E72418">
        <w:rPr>
          <w:i/>
        </w:rPr>
        <w:t>Regulation of vulture funds</w:t>
      </w:r>
      <w:r w:rsidRPr="00E72418">
        <w:t>,</w:t>
      </w:r>
      <w:r w:rsidRPr="00E72418">
        <w:rPr>
          <w:szCs w:val="20"/>
        </w:rPr>
        <w:t xml:space="preserve"> session 2008-2009, disponible à l’adresse </w:t>
      </w:r>
      <w:hyperlink r:id="rId59" w:history="1">
        <w:r w:rsidRPr="00E72418">
          <w:rPr>
            <w:rStyle w:val="Lienhypertexte"/>
            <w:color w:val="auto"/>
            <w:szCs w:val="20"/>
            <w:u w:val="none"/>
          </w:rPr>
          <w:t>https://edm.parliament.uk/early-day-motion/38604/regulation-of-vulture-funds</w:t>
        </w:r>
      </w:hyperlink>
      <w:r w:rsidRPr="00E72418">
        <w:rPr>
          <w:rStyle w:val="Lienhypertexte"/>
          <w:color w:val="auto"/>
          <w:szCs w:val="20"/>
          <w:u w:val="none"/>
        </w:rPr>
        <w:t xml:space="preserve"> (consultation le 17 octobre 2021)</w:t>
      </w:r>
      <w:r w:rsidRPr="00E72418">
        <w:rPr>
          <w:szCs w:val="20"/>
        </w:rPr>
        <w:t>.</w:t>
      </w:r>
    </w:p>
  </w:footnote>
  <w:footnote w:id="1509">
    <w:p w14:paraId="10283437" w14:textId="02B99079" w:rsidR="0030147D" w:rsidRPr="00E72418" w:rsidRDefault="0030147D" w:rsidP="00196270">
      <w:pPr>
        <w:pStyle w:val="Sansinterligne"/>
        <w:rPr>
          <w:szCs w:val="20"/>
        </w:rPr>
      </w:pPr>
      <w:r w:rsidRPr="00E72418">
        <w:rPr>
          <w:rStyle w:val="Appelnotedebasdep"/>
          <w:szCs w:val="20"/>
        </w:rPr>
        <w:footnoteRef/>
      </w:r>
      <w:r w:rsidRPr="00E72418">
        <w:rPr>
          <w:szCs w:val="20"/>
        </w:rPr>
        <w:t xml:space="preserve"> Sur cette proposition,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294 et suiv.</w:t>
      </w:r>
    </w:p>
  </w:footnote>
  <w:footnote w:id="1510">
    <w:p w14:paraId="7167CF76" w14:textId="5B04192E"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Sally Keeble, la parlementaire à l’initiative du texte, indiquait à la </w:t>
      </w:r>
      <w:r w:rsidRPr="00E72418">
        <w:rPr>
          <w:i/>
          <w:szCs w:val="20"/>
          <w:lang w:val="en-US"/>
        </w:rPr>
        <w:t>House of Commons</w:t>
      </w:r>
      <w:r w:rsidRPr="00E72418">
        <w:rPr>
          <w:szCs w:val="20"/>
          <w:lang w:val="en-US"/>
        </w:rPr>
        <w:t xml:space="preserve"> que « [t]his small Bill touches on some of the big issues of our times: the unbridled profiteering of some financial institutions; the pressing need for regulation of the excesses of those institutions; and the gulf between their massive wealth and the desperate poverty of millions of people in developing countries. The Bill aims to put some simple regulations in place to stem the worst of the abuses by the vulture funds that profiteer from the debts of some of the poorest people in the world ». Pour Sally Keeble, « we have all been appalled by some of the extraordinary greed in the financial sector […] but the impact of these vulture funds on developing countries is far worse than anything that we see here in the UK » et « [t]hat level of profiteering is well in excess of anything that we have seen in the UK, and it is wrong that this country, which has such a proud record on international aid and debt relief, should be used as a haven for secretive and exploitative funds operating without scrutiny or regulation » (House of Commons, </w:t>
      </w:r>
      <w:r w:rsidRPr="00E72418">
        <w:rPr>
          <w:i/>
          <w:szCs w:val="20"/>
          <w:lang w:val="en-US"/>
        </w:rPr>
        <w:t>Developing Country Debt (Restriction of Recovery) Bill</w:t>
      </w:r>
      <w:r w:rsidRPr="00E72418">
        <w:rPr>
          <w:rFonts w:cs="Times New Roman"/>
          <w:szCs w:val="20"/>
          <w:lang w:val="en-US"/>
        </w:rPr>
        <w:t xml:space="preserve">, </w:t>
      </w:r>
      <w:r w:rsidRPr="00E72418">
        <w:rPr>
          <w:szCs w:val="20"/>
          <w:lang w:val="en-US"/>
        </w:rPr>
        <w:t>6 mai 2009, vol. 492, colonnes 175 et 177).</w:t>
      </w:r>
    </w:p>
  </w:footnote>
  <w:footnote w:id="1511">
    <w:p w14:paraId="368EC586" w14:textId="77777777" w:rsidR="0030147D" w:rsidRPr="00E72418" w:rsidRDefault="0030147D" w:rsidP="00615A3D">
      <w:pPr>
        <w:pStyle w:val="Sansinterligne"/>
        <w:rPr>
          <w:szCs w:val="20"/>
        </w:rPr>
      </w:pPr>
      <w:r w:rsidRPr="00E72418">
        <w:rPr>
          <w:rStyle w:val="Appelnotedebasdep"/>
          <w:szCs w:val="20"/>
        </w:rPr>
        <w:footnoteRef/>
      </w:r>
      <w:r w:rsidRPr="00E72418">
        <w:rPr>
          <w:szCs w:val="20"/>
          <w:lang w:val="en-US"/>
        </w:rPr>
        <w:t xml:space="preserve"> L’article 4 du texte en projet disposait ainsi qu’ « [a] creditor must make an application to, and receive the consent of, a court before commencing proceedings in the United Kingdom for payment of any amount of defaulted sovereign debt ». </w:t>
      </w:r>
      <w:r w:rsidRPr="00E72418">
        <w:rPr>
          <w:szCs w:val="20"/>
        </w:rPr>
        <w:t>Des copies de la demande d’autorisation devaient être envoyées par le créancier, d’une part, à l’agent diplomatique de l’</w:t>
      </w:r>
      <w:r w:rsidRPr="00E72418">
        <w:rPr>
          <w:szCs w:val="20"/>
          <w:lang w:eastAsia="fr-BE"/>
        </w:rPr>
        <w:t>É</w:t>
      </w:r>
      <w:r w:rsidRPr="00E72418">
        <w:rPr>
          <w:szCs w:val="20"/>
        </w:rPr>
        <w:t xml:space="preserve">tat débiteur au Royaume-Uni, d’autre part, au </w:t>
      </w:r>
      <w:r w:rsidRPr="00E72418">
        <w:rPr>
          <w:i/>
          <w:szCs w:val="20"/>
        </w:rPr>
        <w:t>Secretary of State</w:t>
      </w:r>
      <w:r w:rsidRPr="00E72418">
        <w:rPr>
          <w:szCs w:val="20"/>
        </w:rPr>
        <w:t xml:space="preserve"> (voyez l’article 5).</w:t>
      </w:r>
    </w:p>
  </w:footnote>
  <w:footnote w:id="1512">
    <w:p w14:paraId="1E3C6FA3" w14:textId="494D1D1F" w:rsidR="0030147D" w:rsidRPr="00E72418" w:rsidRDefault="0030147D" w:rsidP="00017278">
      <w:pPr>
        <w:pStyle w:val="Sansinterligne"/>
        <w:rPr>
          <w:szCs w:val="20"/>
        </w:rPr>
      </w:pPr>
      <w:r w:rsidRPr="00E72418">
        <w:rPr>
          <w:rStyle w:val="Appelnotedebasdep"/>
          <w:szCs w:val="20"/>
        </w:rPr>
        <w:footnoteRef/>
      </w:r>
      <w:r w:rsidRPr="00E72418">
        <w:rPr>
          <w:szCs w:val="20"/>
          <w:lang w:val="en-US"/>
        </w:rPr>
        <w:t xml:space="preserve"> Les mesures envisagées en vue d’assurer la transparence ne furent reprises d’aucune façon dans le </w:t>
      </w:r>
      <w:r w:rsidRPr="00E72418">
        <w:rPr>
          <w:i/>
          <w:szCs w:val="20"/>
          <w:lang w:val="en-US"/>
        </w:rPr>
        <w:t>Debt Relief (Developing Countries) Act</w:t>
      </w:r>
      <w:r w:rsidRPr="00E72418">
        <w:rPr>
          <w:szCs w:val="20"/>
          <w:lang w:val="en-US"/>
        </w:rPr>
        <w:t xml:space="preserve"> finalement adopté quoique la demande fut formulée par certains (voyez</w:t>
      </w:r>
      <w:r>
        <w:rPr>
          <w:szCs w:val="20"/>
          <w:lang w:val="en-US"/>
        </w:rPr>
        <w:t>,</w:t>
      </w:r>
      <w:r w:rsidRPr="00E72418">
        <w:rPr>
          <w:szCs w:val="20"/>
          <w:lang w:val="en-US"/>
        </w:rPr>
        <w:t xml:space="preserve"> par exemple</w:t>
      </w:r>
      <w:r>
        <w:rPr>
          <w:szCs w:val="20"/>
          <w:lang w:val="en-US"/>
        </w:rPr>
        <w:t>,</w:t>
      </w:r>
      <w:r w:rsidRPr="00E72418">
        <w:rPr>
          <w:szCs w:val="20"/>
          <w:lang w:val="en-US"/>
        </w:rPr>
        <w:t xml:space="preserve"> la réponse de la </w:t>
      </w:r>
      <w:r w:rsidRPr="00E72418">
        <w:rPr>
          <w:i/>
          <w:szCs w:val="20"/>
          <w:lang w:val="en-US"/>
        </w:rPr>
        <w:t>Jubilee Debt Campaign</w:t>
      </w:r>
      <w:r w:rsidRPr="00E72418">
        <w:rPr>
          <w:szCs w:val="20"/>
          <w:lang w:val="en-US"/>
        </w:rPr>
        <w:t xml:space="preserve"> à la consultation du Gouvernement britannique reprise in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consultation responses received</w:t>
      </w:r>
      <w:r w:rsidRPr="00E72418">
        <w:rPr>
          <w:szCs w:val="20"/>
          <w:lang w:val="en-US"/>
        </w:rPr>
        <w:t>, 2010, p. 199 : « </w:t>
      </w:r>
      <w:r w:rsidRPr="00E72418">
        <w:rPr>
          <w:rFonts w:cs="TTE1BDB438t00"/>
          <w:szCs w:val="20"/>
          <w:lang w:val="en-US"/>
        </w:rPr>
        <w:t xml:space="preserve">we would also like to see </w:t>
      </w:r>
      <w:r w:rsidRPr="00E72418">
        <w:rPr>
          <w:szCs w:val="20"/>
          <w:lang w:val="en-US"/>
        </w:rPr>
        <w:t xml:space="preserve">[…] transparency requirements forcing companies who wish to bring cases to disclose information about themselves and their claim). L’argument du Gouvernement britannique était que « [t]he purpose of legislation is not to suppress or stigmatise the use of litigation by creditors where necessary to realise the proportion of debts owed to them on which they can expect repayment under the HIPC Initiative » et que « [l]egislation that is effective in ensuring that creditors cannot recoup in excess of this proportion under UK laws and in UK courts will achieve its purpose without needing disclosure provisions that might place an additional burden on creditors and are not required from creditors litigating on other debts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pp. 16 et 17).</w:t>
      </w:r>
    </w:p>
  </w:footnote>
  <w:footnote w:id="1513">
    <w:p w14:paraId="0F937E69" w14:textId="77777777" w:rsidR="0030147D" w:rsidRPr="00E72418" w:rsidRDefault="0030147D" w:rsidP="009500C3">
      <w:pPr>
        <w:pStyle w:val="Sansinterligne"/>
        <w:rPr>
          <w:szCs w:val="20"/>
          <w:lang w:val="en-US"/>
        </w:rPr>
      </w:pPr>
      <w:r w:rsidRPr="00E72418">
        <w:rPr>
          <w:rStyle w:val="Appelnotedebasdep"/>
          <w:szCs w:val="20"/>
        </w:rPr>
        <w:footnoteRef/>
      </w:r>
      <w:r w:rsidRPr="00E72418">
        <w:rPr>
          <w:szCs w:val="20"/>
          <w:lang w:val="en-US"/>
        </w:rPr>
        <w:t xml:space="preserve"> Ainsi, l’article 7 décrétait qu’ « [o]n application by the diplomatic agent in the United Kingdom of the debtor country or his representative, another creditor of the debtor country, or the Secretary of State, a court may order that recovery proceedings be discontinued on the grounds that the requirements of this Act have not been met ».</w:t>
      </w:r>
    </w:p>
  </w:footnote>
  <w:footnote w:id="1514">
    <w:p w14:paraId="28652C7B" w14:textId="7777777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L’article 2 de la proposition prévoyait qu’ « [a] court may not award a creditor of the defaulted sovereign debt of a Low or Middle Income country the right to recover in excess of the maximum recovery amount as defined in section 3 of this Act ». L’article 3 prévoyait quant à lui qu’ « [i]n this Act the maximum recovery amount is the amount that equals –</w:t>
      </w:r>
    </w:p>
    <w:p w14:paraId="4C683636" w14:textId="77777777" w:rsidR="0030147D" w:rsidRPr="00E72418" w:rsidRDefault="0030147D" w:rsidP="00615A3D">
      <w:pPr>
        <w:pStyle w:val="Sansinterligne"/>
        <w:rPr>
          <w:szCs w:val="20"/>
          <w:lang w:val="en-US"/>
        </w:rPr>
      </w:pPr>
      <w:r w:rsidRPr="00E72418">
        <w:rPr>
          <w:szCs w:val="20"/>
          <w:lang w:val="en-US"/>
        </w:rPr>
        <w:t xml:space="preserve">(a) the amount paid by a creditor to acquire the interest the creditor has in the defaulted sovereign debt (excluding any legal fees or other fees and costs associated with collection); and </w:t>
      </w:r>
    </w:p>
    <w:p w14:paraId="54F4930D" w14:textId="77777777" w:rsidR="0030147D" w:rsidRPr="00E72418" w:rsidRDefault="0030147D" w:rsidP="00615A3D">
      <w:pPr>
        <w:pStyle w:val="Sansinterligne"/>
        <w:rPr>
          <w:szCs w:val="20"/>
          <w:lang w:val="en-US"/>
        </w:rPr>
      </w:pPr>
      <w:r w:rsidRPr="00E72418">
        <w:rPr>
          <w:szCs w:val="20"/>
          <w:lang w:val="en-US"/>
        </w:rPr>
        <w:t xml:space="preserve">(b) interest, calculated as simple interest only, on the amount the creditor paid to acquire the interest in the defaulted sovereign debt, from the date the creditor acquired rights over the defaulted sovereign debt, and at an interest rate which is the lower of – </w:t>
      </w:r>
    </w:p>
    <w:p w14:paraId="45BA46F8" w14:textId="77777777" w:rsidR="0030147D" w:rsidRPr="00E72418" w:rsidRDefault="0030147D" w:rsidP="00615A3D">
      <w:pPr>
        <w:pStyle w:val="Sansinterligne"/>
        <w:rPr>
          <w:szCs w:val="20"/>
          <w:lang w:val="en-US"/>
        </w:rPr>
      </w:pPr>
      <w:r w:rsidRPr="00E72418">
        <w:rPr>
          <w:szCs w:val="20"/>
          <w:lang w:val="en-US"/>
        </w:rPr>
        <w:t>(i) the interest rate in the loan agreement for the sovereign debt; or</w:t>
      </w:r>
    </w:p>
    <w:p w14:paraId="16416B7E" w14:textId="77777777" w:rsidR="0030147D" w:rsidRPr="00E72418" w:rsidRDefault="0030147D" w:rsidP="00615A3D">
      <w:pPr>
        <w:pStyle w:val="Sansinterligne"/>
        <w:rPr>
          <w:szCs w:val="20"/>
          <w:lang w:val="en-US"/>
        </w:rPr>
      </w:pPr>
      <w:r w:rsidRPr="00E72418">
        <w:rPr>
          <w:szCs w:val="20"/>
          <w:lang w:val="en-US"/>
        </w:rPr>
        <w:t>(ii) the interest rate set in accordance with section 17 of the Judgments Act 1838 (c. 110);</w:t>
      </w:r>
    </w:p>
    <w:p w14:paraId="66C57A9E" w14:textId="77777777" w:rsidR="0030147D" w:rsidRPr="00E72418" w:rsidRDefault="0030147D" w:rsidP="00615A3D">
      <w:pPr>
        <w:pStyle w:val="Sansinterligne"/>
        <w:rPr>
          <w:szCs w:val="20"/>
          <w:lang w:val="en-US"/>
        </w:rPr>
      </w:pPr>
      <w:r w:rsidRPr="00E72418">
        <w:rPr>
          <w:szCs w:val="20"/>
          <w:lang w:val="en-US"/>
        </w:rPr>
        <w:t>provided that the maximum recovery amount calculated under (a) and (b) above shall be reduced by a sum equal to any amounts recovered from other actions related to the same defaulted sovereign debt ».</w:t>
      </w:r>
    </w:p>
  </w:footnote>
  <w:footnote w:id="1515">
    <w:p w14:paraId="40FDE1EE" w14:textId="6F777505" w:rsidR="0030147D" w:rsidRPr="00E72418" w:rsidRDefault="0030147D" w:rsidP="00615A3D">
      <w:pPr>
        <w:pStyle w:val="Sansinterligne"/>
        <w:rPr>
          <w:szCs w:val="20"/>
          <w:lang w:val="en-US"/>
        </w:rPr>
      </w:pPr>
      <w:r w:rsidRPr="00E72418">
        <w:rPr>
          <w:rStyle w:val="Appelnotedebasdep"/>
          <w:szCs w:val="20"/>
        </w:rPr>
        <w:footnoteRef/>
      </w:r>
      <w:r w:rsidRPr="00E72418">
        <w:rPr>
          <w:szCs w:val="20"/>
        </w:rPr>
        <w:t xml:space="preserve"> Voyez l</w:t>
      </w:r>
      <w:r w:rsidR="00BB3B73">
        <w:rPr>
          <w:szCs w:val="20"/>
        </w:rPr>
        <w:t>es articles 2 et</w:t>
      </w:r>
      <w:r w:rsidRPr="00E72418">
        <w:rPr>
          <w:szCs w:val="20"/>
        </w:rPr>
        <w:t xml:space="preserve"> 8 en projet. </w:t>
      </w:r>
      <w:r w:rsidRPr="00E72418">
        <w:rPr>
          <w:szCs w:val="20"/>
          <w:lang w:val="en-US"/>
        </w:rPr>
        <w:t>L’article 9 prévoyait quant à lui qu’ « [i]f, as a result of an order of a foreign court, or a dispute resolution procedure that does not involve court proceedings, a creditor who is a British citizen, or a business carrying on business within the United Kingdom, has received payment from the debtor country in excess of the maximum recovery amount, the debtor country or interested party may apply for, and a court may order, the creditor to repay to the debtor country the amount that exceeds the maximum recovery amount ».</w:t>
      </w:r>
    </w:p>
  </w:footnote>
  <w:footnote w:id="1516">
    <w:p w14:paraId="66D13BD4" w14:textId="307F6B26" w:rsidR="0030147D" w:rsidRPr="00E72418" w:rsidRDefault="0030147D" w:rsidP="00017278">
      <w:pPr>
        <w:pStyle w:val="Sansinterligne"/>
        <w:rPr>
          <w:szCs w:val="20"/>
        </w:rPr>
      </w:pPr>
      <w:r w:rsidRPr="00E72418">
        <w:rPr>
          <w:rStyle w:val="Appelnotedebasdep"/>
          <w:szCs w:val="20"/>
        </w:rPr>
        <w:footnoteRef/>
      </w:r>
      <w:r w:rsidRPr="00E72418">
        <w:rPr>
          <w:szCs w:val="20"/>
        </w:rPr>
        <w:t xml:space="preserve"> Cette référence permettait de retenir qu’étaient notamment visés par le texte, l’Argentine, la Turquie, la Pologne, le Brésil ou encore l’Inde (</w:t>
      </w:r>
      <w:r w:rsidRPr="00E72418">
        <w:rPr>
          <w:smallCaps/>
          <w:szCs w:val="20"/>
        </w:rPr>
        <w:t>E. Peral</w:t>
      </w:r>
      <w:r w:rsidRPr="00E72418">
        <w:rPr>
          <w:szCs w:val="20"/>
        </w:rPr>
        <w:t xml:space="preserve">, </w:t>
      </w:r>
      <w:r w:rsidRPr="00E72418">
        <w:t>« Curtailing Vulture Funds in Low-Income Sovereign Debt Litigation: American and British Legislatives Responses »</w:t>
      </w:r>
      <w:r w:rsidRPr="00E72418">
        <w:rPr>
          <w:szCs w:val="20"/>
        </w:rPr>
        <w:t xml:space="preserve">, </w:t>
      </w:r>
      <w:r w:rsidRPr="00E72418">
        <w:rPr>
          <w:i/>
          <w:szCs w:val="20"/>
          <w:lang w:val="en-US"/>
        </w:rPr>
        <w:t>op. cit.</w:t>
      </w:r>
      <w:r w:rsidRPr="00E72418">
        <w:rPr>
          <w:szCs w:val="20"/>
        </w:rPr>
        <w:t>, pp. 20 et 26).</w:t>
      </w:r>
    </w:p>
  </w:footnote>
  <w:footnote w:id="1517">
    <w:p w14:paraId="03F12217" w14:textId="59BF7644" w:rsidR="0030147D" w:rsidRPr="00E72418" w:rsidRDefault="0030147D" w:rsidP="00260F89">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5 : « the measure put forward for consultation is designed to be tightly targeted to avoid any impact on new lending and control the impact on existing creditors ».</w:t>
      </w:r>
    </w:p>
  </w:footnote>
  <w:footnote w:id="1518">
    <w:p w14:paraId="54B57950" w14:textId="52C3B965" w:rsidR="0030147D" w:rsidRPr="00E72418" w:rsidRDefault="0030147D" w:rsidP="00260F89">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p>
  </w:footnote>
  <w:footnote w:id="1519">
    <w:p w14:paraId="50FBCB4D" w14:textId="4C1683C2" w:rsidR="0030147D" w:rsidRPr="00E72418" w:rsidRDefault="0030147D" w:rsidP="00D27089">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15.</w:t>
      </w:r>
    </w:p>
  </w:footnote>
  <w:footnote w:id="1520">
    <w:p w14:paraId="66B32F9F" w14:textId="7DAF5936" w:rsidR="0030147D" w:rsidRPr="00E72418" w:rsidRDefault="0030147D" w:rsidP="00D27089">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16.</w:t>
      </w:r>
    </w:p>
  </w:footnote>
  <w:footnote w:id="1521">
    <w:p w14:paraId="0336E120" w14:textId="1C8B730F" w:rsidR="0030147D" w:rsidRPr="00E72418" w:rsidRDefault="0030147D" w:rsidP="00D27089">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19.</w:t>
      </w:r>
    </w:p>
  </w:footnote>
  <w:footnote w:id="1522">
    <w:p w14:paraId="6B672D7D" w14:textId="7B804C76" w:rsidR="0030147D" w:rsidRPr="00E72418" w:rsidRDefault="0030147D" w:rsidP="00615A3D">
      <w:pPr>
        <w:pStyle w:val="Sansinterligne"/>
        <w:rPr>
          <w:szCs w:val="20"/>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5. </w:t>
      </w:r>
      <w:r w:rsidRPr="00E72418">
        <w:rPr>
          <w:szCs w:val="20"/>
        </w:rPr>
        <w:t>Deux réunions consultatives furent également tenues de même que le Gouvernement britannique recueillit des avis de gouvernements de différents pays à faibles revenus.</w:t>
      </w:r>
    </w:p>
  </w:footnote>
  <w:footnote w:id="1523">
    <w:p w14:paraId="7048FC56" w14:textId="4DA115A9"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5.</w:t>
      </w:r>
    </w:p>
  </w:footnote>
  <w:footnote w:id="1524">
    <w:p w14:paraId="3B055D9D" w14:textId="2ACD104A" w:rsidR="0030147D" w:rsidRPr="00E72418" w:rsidRDefault="0030147D" w:rsidP="00250C9C">
      <w:pPr>
        <w:pStyle w:val="Sansinterligne"/>
        <w:rPr>
          <w:szCs w:val="20"/>
        </w:rPr>
      </w:pPr>
      <w:r w:rsidRPr="00E72418">
        <w:rPr>
          <w:rStyle w:val="Appelnotedebasdep"/>
          <w:szCs w:val="20"/>
        </w:rPr>
        <w:footnoteRef/>
      </w:r>
      <w:r w:rsidRPr="00E72418">
        <w:rPr>
          <w:szCs w:val="20"/>
        </w:rPr>
        <w:t xml:space="preserve"> </w:t>
      </w:r>
      <w:r w:rsidRPr="00E72418">
        <w:rPr>
          <w:i/>
          <w:szCs w:val="20"/>
          <w:lang w:val="en-US"/>
        </w:rPr>
        <w:t>Ibid.</w:t>
      </w:r>
      <w:r w:rsidRPr="00E72418">
        <w:rPr>
          <w:szCs w:val="20"/>
        </w:rPr>
        <w:t xml:space="preserve">, pp. 5 à 9 et </w:t>
      </w:r>
      <w:r w:rsidRPr="00E72418">
        <w:rPr>
          <w:smallCaps/>
          <w:szCs w:val="20"/>
        </w:rPr>
        <w:t>A. Horne</w:t>
      </w:r>
      <w:r w:rsidRPr="00E72418">
        <w:rPr>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rPr>
        <w:t>, pp. 1 et 19 à 21. Ces inquiétudes furent reformulées lors des discussions sur la législation en projet (voyez ainsi, par exemple, les propos de Christopher Chope repris in House of Commons,</w:t>
      </w:r>
      <w:r w:rsidRPr="00E72418">
        <w:rPr>
          <w:i/>
          <w:szCs w:val="20"/>
        </w:rPr>
        <w:t xml:space="preserve"> Debt Relief (Developing Countries) Bill</w:t>
      </w:r>
      <w:r w:rsidRPr="00E72418">
        <w:rPr>
          <w:szCs w:val="20"/>
        </w:rPr>
        <w:t>, second reading, 26 février 2010, vol. 506, colonne 579 : « if we are unable in future to demonstrate some consistency in how we organise our legal affairs in this country, potential creditors will engage in forum shopping and make sure that the contracts are drawn up in law other than English law and that the forum where they are determined are courts other than the British courts »).</w:t>
      </w:r>
    </w:p>
  </w:footnote>
  <w:footnote w:id="1525">
    <w:p w14:paraId="57E518F0" w14:textId="4253CCB2"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22.</w:t>
      </w:r>
    </w:p>
  </w:footnote>
  <w:footnote w:id="1526">
    <w:p w14:paraId="0AFAA547" w14:textId="111EFFC8"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pp. 8 et 9.</w:t>
      </w:r>
    </w:p>
  </w:footnote>
  <w:footnote w:id="1527">
    <w:p w14:paraId="4CA35275" w14:textId="77777777" w:rsidR="0030147D" w:rsidRPr="00E72418" w:rsidRDefault="0030147D" w:rsidP="00B774C9">
      <w:pPr>
        <w:pStyle w:val="Sansinterligne"/>
        <w:rPr>
          <w:szCs w:val="20"/>
          <w:lang w:val="en-US"/>
        </w:rPr>
      </w:pPr>
      <w:r w:rsidRPr="00E72418">
        <w:rPr>
          <w:rStyle w:val="Appelnotedebasdep"/>
          <w:szCs w:val="20"/>
        </w:rPr>
        <w:footnoteRef/>
      </w:r>
      <w:r w:rsidRPr="00E72418">
        <w:rPr>
          <w:szCs w:val="20"/>
          <w:lang w:val="en-US"/>
        </w:rPr>
        <w:t xml:space="preserve"> House of Commons, 16 décembre 2009, vol. 502, colonne 978. Le titre complet de la proposition est « [a] Bill to make provision for or in connection with the relief of debts of certain developing countries ».</w:t>
      </w:r>
    </w:p>
  </w:footnote>
  <w:footnote w:id="1528">
    <w:p w14:paraId="309F3F27" w14:textId="65E98860" w:rsidR="0030147D" w:rsidRPr="00E72418" w:rsidRDefault="0030147D" w:rsidP="00B774C9">
      <w:pPr>
        <w:pStyle w:val="Sansinterligne"/>
        <w:rPr>
          <w:szCs w:val="20"/>
          <w:lang w:val="en-US"/>
        </w:rPr>
      </w:pPr>
      <w:r w:rsidRPr="00E72418">
        <w:rPr>
          <w:rStyle w:val="Appelnotedebasdep"/>
          <w:szCs w:val="20"/>
        </w:rPr>
        <w:footnoteRef/>
      </w:r>
      <w:r w:rsidRPr="00E72418">
        <w:rPr>
          <w:szCs w:val="20"/>
          <w:lang w:val="en-US"/>
        </w:rPr>
        <w:t xml:space="preserve"> Early Day Motion n° 618, 14 janvier 2010, </w:t>
      </w:r>
      <w:r w:rsidRPr="00E72418">
        <w:rPr>
          <w:i/>
          <w:szCs w:val="20"/>
          <w:lang w:val="en-US"/>
        </w:rPr>
        <w:t>Vulture Funds</w:t>
      </w:r>
      <w:r w:rsidRPr="00E72418">
        <w:rPr>
          <w:szCs w:val="20"/>
          <w:lang w:val="en-US"/>
        </w:rPr>
        <w:t xml:space="preserve">, session 2009-2010, </w:t>
      </w:r>
      <w:r w:rsidRPr="00E72418">
        <w:rPr>
          <w:szCs w:val="20"/>
        </w:rPr>
        <w:t xml:space="preserve">disponible à l’adresse </w:t>
      </w:r>
      <w:hyperlink r:id="rId60" w:history="1">
        <w:r w:rsidRPr="00E72418">
          <w:rPr>
            <w:rStyle w:val="Lienhypertexte"/>
            <w:color w:val="auto"/>
            <w:szCs w:val="20"/>
            <w:u w:val="none"/>
            <w:lang w:val="en-US"/>
          </w:rPr>
          <w:t>https://edm.parliament.uk/early-day-motion/40198</w:t>
        </w:r>
      </w:hyperlink>
      <w:r w:rsidRPr="00E72418">
        <w:rPr>
          <w:rStyle w:val="Lienhypertexte"/>
          <w:color w:val="auto"/>
          <w:szCs w:val="20"/>
          <w:u w:val="none"/>
          <w:lang w:val="en-US"/>
        </w:rPr>
        <w:t xml:space="preserve"> (consultation le 17 octobre 2021)</w:t>
      </w:r>
      <w:r w:rsidRPr="00E72418">
        <w:rPr>
          <w:szCs w:val="20"/>
          <w:lang w:val="en-US"/>
        </w:rPr>
        <w:t xml:space="preserve"> : « this House expresses concern at the activities of so-called vulture funds, which seek to profit unfairly from the defaulted debts of heavily-indebted poor countries; notes that the international community has already deemed many of these countries’ debts unsustainable by agreeing to reduce or cancel them; further notes the actions of a minority of creditors who litigate to seek full repayment of defaulted debt by claiming payment via international trade and even aid transactions; is concerned at the use of UK courts for a high proportion of these cases; welcomes the work by the Jubilee Debt Campaign to highlight the activities of the vulture funds; and supports the provisions of the Debt Relief (Developing Countries) Bill introduced by the hon. Member for Denton and Reddish to limit the activities of vulture funds </w:t>
      </w:r>
      <w:r w:rsidRPr="00E72418">
        <w:rPr>
          <w:rStyle w:val="SansinterligneCar"/>
          <w:szCs w:val="20"/>
          <w:lang w:val="en-US"/>
        </w:rPr>
        <w:t>»</w:t>
      </w:r>
      <w:r w:rsidRPr="00E72418">
        <w:rPr>
          <w:szCs w:val="20"/>
          <w:lang w:val="en-US"/>
        </w:rPr>
        <w:t>.</w:t>
      </w:r>
    </w:p>
  </w:footnote>
  <w:footnote w:id="1529">
    <w:p w14:paraId="68467D2D" w14:textId="0ECABA26" w:rsidR="0030147D" w:rsidRPr="00E72418" w:rsidRDefault="0030147D" w:rsidP="00B774C9">
      <w:pPr>
        <w:pStyle w:val="Sansinterligne"/>
        <w:rPr>
          <w:szCs w:val="20"/>
          <w:lang w:val="en-US"/>
        </w:rPr>
      </w:pPr>
      <w:r w:rsidRPr="00E72418">
        <w:rPr>
          <w:rStyle w:val="Appelnotedebasdep"/>
          <w:szCs w:val="20"/>
        </w:rPr>
        <w:footnoteRef/>
      </w:r>
      <w:r w:rsidRPr="00E72418">
        <w:rPr>
          <w:szCs w:val="20"/>
        </w:rPr>
        <w:t xml:space="preserve"> </w:t>
      </w:r>
      <w:r w:rsidRPr="00E72418">
        <w:rPr>
          <w:caps/>
          <w:szCs w:val="20"/>
        </w:rPr>
        <w:t>à</w:t>
      </w:r>
      <w:r w:rsidRPr="00E72418">
        <w:rPr>
          <w:szCs w:val="20"/>
        </w:rPr>
        <w:t xml:space="preserve"> la suite de la consultation qu’il avait menée en 2009, le Gouvernement avait indiqué en février 2010 qu’il ne déposerait pas de projet de législation sous la législature qui était en cours mais qu’il soutiendrait la proposition déposée par Andrew Gwynne pour autant que son contenu fut en lien avec les considérations retenues dans sa réponse à la consultation menée (HM </w:t>
      </w:r>
      <w:r w:rsidRPr="00E72418">
        <w:rPr>
          <w:smallCaps/>
          <w:szCs w:val="20"/>
        </w:rPr>
        <w:t>Treasury</w:t>
      </w:r>
      <w:r w:rsidRPr="00E72418">
        <w:rPr>
          <w:szCs w:val="20"/>
        </w:rPr>
        <w:t xml:space="preserve">, </w:t>
      </w:r>
      <w:r w:rsidRPr="00E72418">
        <w:rPr>
          <w:i/>
          <w:szCs w:val="20"/>
        </w:rPr>
        <w:t>Ensuring effective debt relief for poor countries: a response to consultation</w:t>
      </w:r>
      <w:r w:rsidRPr="00E72418">
        <w:rPr>
          <w:szCs w:val="20"/>
        </w:rPr>
        <w:t>, 2010, p. 19). Lors des travaux préparatoires, l’</w:t>
      </w:r>
      <w:r w:rsidRPr="00E72418">
        <w:rPr>
          <w:i/>
          <w:szCs w:val="20"/>
        </w:rPr>
        <w:t>Economic Secretary to the Treasury</w:t>
      </w:r>
      <w:r w:rsidRPr="00E72418">
        <w:rPr>
          <w:szCs w:val="20"/>
        </w:rPr>
        <w:t xml:space="preserve"> indiqua le soutien du Gouvernement à la proposition de texte (House of Commons, </w:t>
      </w:r>
      <w:r w:rsidRPr="00E72418">
        <w:rPr>
          <w:i/>
          <w:szCs w:val="20"/>
        </w:rPr>
        <w:t>Debt Relief (Developing Countries) Bill</w:t>
      </w:r>
      <w:r w:rsidRPr="00E72418">
        <w:rPr>
          <w:szCs w:val="20"/>
        </w:rPr>
        <w:t xml:space="preserve">, second reading, 26 février 2010, vol. 506, colonne 571). </w:t>
      </w:r>
      <w:r w:rsidRPr="00E72418">
        <w:rPr>
          <w:szCs w:val="20"/>
          <w:lang w:val="en-US"/>
        </w:rPr>
        <w:t xml:space="preserve">Un membre de la </w:t>
      </w:r>
      <w:r w:rsidRPr="00E72418">
        <w:rPr>
          <w:i/>
          <w:szCs w:val="20"/>
          <w:lang w:val="en-US"/>
        </w:rPr>
        <w:t>House of Lords</w:t>
      </w:r>
      <w:r w:rsidRPr="00E72418">
        <w:rPr>
          <w:szCs w:val="20"/>
          <w:lang w:val="en-US"/>
        </w:rPr>
        <w:t xml:space="preserve"> ira jusqu’à dire que « the House should be under no illusion that this is none other than a government Bill in Private Member’s clothing » (House of Lords, </w:t>
      </w:r>
      <w:r w:rsidRPr="00E72418">
        <w:rPr>
          <w:i/>
          <w:szCs w:val="20"/>
          <w:lang w:val="en-US"/>
        </w:rPr>
        <w:t>Debt Relief (Developing Countries) Bill</w:t>
      </w:r>
      <w:r w:rsidRPr="00E72418">
        <w:rPr>
          <w:szCs w:val="20"/>
          <w:lang w:val="en-US"/>
        </w:rPr>
        <w:t xml:space="preserve">, second reading, 8 avril 2010, vol. 718, colonne 1698). Le Gouvernement participa d’ailleurs à la rédaction des </w:t>
      </w:r>
      <w:r w:rsidR="00BB3B73" w:rsidRPr="00BB3B73">
        <w:rPr>
          <w:i/>
          <w:szCs w:val="20"/>
          <w:lang w:val="en-US"/>
        </w:rPr>
        <w:t>explanatory notes</w:t>
      </w:r>
      <w:r w:rsidRPr="00E72418">
        <w:rPr>
          <w:szCs w:val="20"/>
          <w:lang w:val="en-US"/>
        </w:rPr>
        <w:t xml:space="preserve"> du texte (</w:t>
      </w:r>
      <w:r w:rsidRPr="00E72418">
        <w:rPr>
          <w:smallCaps/>
          <w:szCs w:val="20"/>
        </w:rPr>
        <w:t>A. Horne</w:t>
      </w:r>
      <w:r w:rsidRPr="00E72418">
        <w:rPr>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rPr>
        <w:t>, p. 32</w:t>
      </w:r>
      <w:r w:rsidRPr="00E72418">
        <w:rPr>
          <w:szCs w:val="20"/>
          <w:lang w:val="en-US"/>
        </w:rPr>
        <w:t>).</w:t>
      </w:r>
    </w:p>
  </w:footnote>
  <w:footnote w:id="1530">
    <w:p w14:paraId="733D2885" w14:textId="77777777" w:rsidR="0030147D" w:rsidRPr="00E72418" w:rsidRDefault="0030147D" w:rsidP="00B774C9">
      <w:pPr>
        <w:pStyle w:val="Sansinterligne"/>
        <w:rPr>
          <w:szCs w:val="20"/>
        </w:rPr>
      </w:pPr>
      <w:r w:rsidRPr="00E72418">
        <w:rPr>
          <w:rStyle w:val="Appelnotedebasdep"/>
          <w:szCs w:val="20"/>
        </w:rPr>
        <w:footnoteRef/>
      </w:r>
      <w:r w:rsidRPr="00E72418">
        <w:rPr>
          <w:szCs w:val="20"/>
        </w:rPr>
        <w:t xml:space="preserve"> House of Commons, 8 avril 2010, vol. 508, colonne 1256 et House of Lords, 8 avril 2010, vol. 718, colonne 1738.</w:t>
      </w:r>
    </w:p>
  </w:footnote>
  <w:footnote w:id="1531">
    <w:p w14:paraId="0C487C37" w14:textId="77777777" w:rsidR="0030147D" w:rsidRPr="00E72418" w:rsidRDefault="0030147D" w:rsidP="00B774C9">
      <w:pPr>
        <w:pStyle w:val="Sansinterligne"/>
        <w:rPr>
          <w:szCs w:val="20"/>
        </w:rPr>
      </w:pPr>
      <w:r w:rsidRPr="00E72418">
        <w:rPr>
          <w:rStyle w:val="Appelnotedebasdep"/>
          <w:szCs w:val="20"/>
        </w:rPr>
        <w:footnoteRef/>
      </w:r>
      <w:r w:rsidRPr="00E72418">
        <w:rPr>
          <w:szCs w:val="20"/>
        </w:rPr>
        <w:t xml:space="preserve"> Voyez les articles 9(1) à 9(3).</w:t>
      </w:r>
    </w:p>
  </w:footnote>
  <w:footnote w:id="1532">
    <w:p w14:paraId="53D2143C" w14:textId="77777777" w:rsidR="0030147D" w:rsidRPr="00E72418" w:rsidRDefault="0030147D" w:rsidP="00B774C9">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 (Permanent effect) Order</w:t>
      </w:r>
      <w:r w:rsidRPr="00E72418">
        <w:rPr>
          <w:szCs w:val="20"/>
          <w:lang w:val="en-US"/>
        </w:rPr>
        <w:t xml:space="preserve">, explanatory memorandum, paragraphe 8.1. Voyez également Public Bill Committee, </w:t>
      </w:r>
      <w:r w:rsidRPr="00E72418">
        <w:rPr>
          <w:i/>
          <w:szCs w:val="20"/>
          <w:lang w:val="en-US"/>
        </w:rPr>
        <w:t>Debt Relief (Developing Countries) Bill</w:t>
      </w:r>
      <w:r w:rsidRPr="00E72418">
        <w:rPr>
          <w:szCs w:val="20"/>
          <w:lang w:val="en-US"/>
        </w:rPr>
        <w:t xml:space="preserve">, 9 mars 2010, colonnes 24 à 26 et </w:t>
      </w:r>
      <w:r w:rsidRPr="00E72418">
        <w:rPr>
          <w:i/>
          <w:szCs w:val="20"/>
          <w:lang w:val="en-US"/>
        </w:rPr>
        <w:t>Debt Relief (Developing Countries) Bill</w:t>
      </w:r>
      <w:r w:rsidRPr="00E72418">
        <w:rPr>
          <w:szCs w:val="20"/>
          <w:lang w:val="en-US"/>
        </w:rPr>
        <w:t>, Committee Stage Report, Research paper 10/26, 11 mars 2010, pp. 13 et 14.</w:t>
      </w:r>
    </w:p>
  </w:footnote>
  <w:footnote w:id="1533">
    <w:p w14:paraId="3D5F1BDC" w14:textId="77ADFBC5" w:rsidR="0030147D" w:rsidRPr="00E72418" w:rsidRDefault="0030147D" w:rsidP="007D2730">
      <w:pPr>
        <w:pStyle w:val="Sansinterligne"/>
        <w:rPr>
          <w:szCs w:val="20"/>
          <w:lang w:val="en-US"/>
        </w:rPr>
      </w:pPr>
      <w:r w:rsidRPr="00E72418">
        <w:rPr>
          <w:rStyle w:val="Appelnotedebasdep"/>
          <w:szCs w:val="20"/>
        </w:rPr>
        <w:footnoteRef/>
      </w:r>
      <w:r w:rsidRPr="00E72418">
        <w:rPr>
          <w:szCs w:val="20"/>
          <w:lang w:val="en-US"/>
        </w:rPr>
        <w:t xml:space="preserve"> House of Lords, </w:t>
      </w:r>
      <w:r w:rsidRPr="00E72418">
        <w:rPr>
          <w:i/>
          <w:szCs w:val="20"/>
          <w:lang w:val="en-US"/>
        </w:rPr>
        <w:t>Debt Relief (Developing Countries) Act 2010 (Permanent Effect) Order 2011</w:t>
      </w:r>
      <w:r w:rsidRPr="00E72418">
        <w:rPr>
          <w:szCs w:val="20"/>
          <w:lang w:val="en-US"/>
        </w:rPr>
        <w:t xml:space="preserve">, 17 mai 2011, colonnes 27 et 28. Voyez également </w:t>
      </w:r>
      <w:r w:rsidRPr="00E72418">
        <w:rPr>
          <w:i/>
          <w:szCs w:val="20"/>
          <w:lang w:val="en-US"/>
        </w:rPr>
        <w:t>Debt Relief (Developing Countries) Act 2010 (Permanent effect) Order</w:t>
      </w:r>
      <w:r w:rsidRPr="00E72418">
        <w:rPr>
          <w:szCs w:val="20"/>
          <w:lang w:val="en-US"/>
        </w:rPr>
        <w:t xml:space="preserve">, explanatory memorandum, paragraphe 7.4. : « [e]vidence suggests that the Act has had some benefit on HIPCs and no evidence has been found of unintended adverse effects </w:t>
      </w:r>
      <w:r w:rsidRPr="00E72418">
        <w:rPr>
          <w:rFonts w:cs="Times New Roman"/>
          <w:szCs w:val="20"/>
          <w:lang w:val="en-US"/>
        </w:rPr>
        <w:t xml:space="preserve">[…] </w:t>
      </w:r>
      <w:r w:rsidRPr="00E72418">
        <w:rPr>
          <w:szCs w:val="20"/>
          <w:lang w:val="en-US"/>
        </w:rPr>
        <w:t xml:space="preserve">». </w:t>
      </w:r>
      <w:r w:rsidRPr="00E72418">
        <w:rPr>
          <w:szCs w:val="20"/>
        </w:rPr>
        <w:t xml:space="preserve">L’exemple de la République du Libéria fut donné pour illustrer l’effet positif de la législation adoptée en ce que les créanciers avaient finalement accepté le rachat de leur créance selon les modalités de l’Initiative Pays Pauvres Très Endettés </w:t>
      </w:r>
      <w:r w:rsidRPr="00E72418">
        <w:rPr>
          <w:szCs w:val="20"/>
          <w:lang w:val="en-US"/>
        </w:rPr>
        <w:t xml:space="preserve">(Second Delegated Legislation Committee, </w:t>
      </w:r>
      <w:r w:rsidRPr="00E72418">
        <w:rPr>
          <w:i/>
          <w:szCs w:val="20"/>
          <w:lang w:val="en-US"/>
        </w:rPr>
        <w:t>Debt Relief (Developing Countries) Act 2010 (Permanent Effect) Order 2011</w:t>
      </w:r>
      <w:r w:rsidRPr="00E72418">
        <w:rPr>
          <w:szCs w:val="20"/>
          <w:lang w:val="en-US"/>
        </w:rPr>
        <w:t xml:space="preserve">, 16 mai 2011, colonne 4). </w:t>
      </w:r>
      <w:r w:rsidRPr="00E72418">
        <w:rPr>
          <w:szCs w:val="20"/>
        </w:rPr>
        <w:t xml:space="preserve">Précisément, la loi britannique avait permis que soit réduit le montant réclamé par les fonds </w:t>
      </w:r>
      <w:r w:rsidRPr="00E72418">
        <w:rPr>
          <w:i/>
          <w:szCs w:val="20"/>
        </w:rPr>
        <w:t xml:space="preserve">Hamsah Investments Ltd. </w:t>
      </w:r>
      <w:r w:rsidRPr="00E72418">
        <w:rPr>
          <w:szCs w:val="20"/>
        </w:rPr>
        <w:t>et</w:t>
      </w:r>
      <w:r w:rsidRPr="00E72418">
        <w:rPr>
          <w:i/>
          <w:szCs w:val="20"/>
        </w:rPr>
        <w:t xml:space="preserve"> Wall Capital</w:t>
      </w:r>
      <w:r w:rsidRPr="00E72418">
        <w:rPr>
          <w:szCs w:val="20"/>
        </w:rPr>
        <w:t xml:space="preserve"> </w:t>
      </w:r>
      <w:r w:rsidRPr="00E72418">
        <w:rPr>
          <w:i/>
          <w:szCs w:val="20"/>
        </w:rPr>
        <w:t>Ltd.</w:t>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xml:space="preserve">, p. 33. Sur cette affaire,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114 et suiv.). Un autre exemple donné était celui du contentieux ayant opposé le fonds </w:t>
      </w:r>
      <w:r w:rsidRPr="00E72418">
        <w:rPr>
          <w:i/>
          <w:szCs w:val="20"/>
        </w:rPr>
        <w:t>FG Hemisphere Associates LLC</w:t>
      </w:r>
      <w:r w:rsidRPr="00E72418">
        <w:rPr>
          <w:szCs w:val="20"/>
        </w:rPr>
        <w:t xml:space="preserve"> à la République démocratique du Congo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107 et suiv.) où le fonds n’avait pas cherché à poursuivre l’exécution de sa créance au Royaume-Uni mais s’était plutôt adressé aux juridictions de Jersey (HM </w:t>
      </w:r>
      <w:r w:rsidRPr="00E72418">
        <w:rPr>
          <w:smallCaps/>
          <w:szCs w:val="20"/>
        </w:rPr>
        <w:t>Treasury</w:t>
      </w:r>
      <w:r w:rsidRPr="00E72418">
        <w:rPr>
          <w:szCs w:val="20"/>
        </w:rPr>
        <w:t xml:space="preserve">, </w:t>
      </w:r>
      <w:r w:rsidRPr="00E72418">
        <w:rPr>
          <w:i/>
          <w:szCs w:val="20"/>
        </w:rPr>
        <w:t>Draft Debt Relief (Developing Countries) Act 2010 (Permanent Effect) Order 2011: further information</w:t>
      </w:r>
      <w:r w:rsidRPr="00E72418">
        <w:rPr>
          <w:szCs w:val="20"/>
        </w:rPr>
        <w:t xml:space="preserve">, avril 2011, disponible à l’adresse </w:t>
      </w:r>
      <w:hyperlink r:id="rId61" w:history="1">
        <w:r w:rsidRPr="00E72418">
          <w:rPr>
            <w:rStyle w:val="Lienhypertexte"/>
            <w:color w:val="auto"/>
            <w:szCs w:val="20"/>
            <w:u w:val="none"/>
          </w:rPr>
          <w:t>https://publications.parliament.uk/pa/ld201012/ldselect/ldmerit/137/13707.htm</w:t>
        </w:r>
      </w:hyperlink>
      <w:r w:rsidRPr="00E72418">
        <w:rPr>
          <w:rStyle w:val="Lienhypertexte"/>
          <w:color w:val="auto"/>
          <w:szCs w:val="20"/>
          <w:u w:val="none"/>
        </w:rPr>
        <w:t xml:space="preserve"> (consultation le 17 octobre 2021)</w:t>
      </w:r>
      <w:r w:rsidRPr="00E72418">
        <w:rPr>
          <w:szCs w:val="20"/>
        </w:rPr>
        <w:t xml:space="preserve">). Sur la législation adoptée ensuite par le Bailliage de Jersey, voyez </w:t>
      </w:r>
      <w:r w:rsidRPr="00E72418">
        <w:rPr>
          <w:i/>
          <w:szCs w:val="20"/>
        </w:rPr>
        <w:t xml:space="preserve">infra </w:t>
      </w:r>
      <w:r w:rsidRPr="00E72418">
        <w:rPr>
          <w:szCs w:val="20"/>
        </w:rPr>
        <w:t>n° 311.</w:t>
      </w:r>
    </w:p>
  </w:footnote>
  <w:footnote w:id="1534">
    <w:p w14:paraId="04BCAD81" w14:textId="77777777" w:rsidR="0030147D" w:rsidRPr="00E72418" w:rsidRDefault="0030147D" w:rsidP="00B774C9">
      <w:pPr>
        <w:pStyle w:val="Sansinterligne"/>
        <w:rPr>
          <w:szCs w:val="20"/>
        </w:rPr>
      </w:pPr>
      <w:r w:rsidRPr="00E72418">
        <w:rPr>
          <w:rStyle w:val="Appelnotedebasdep"/>
          <w:szCs w:val="20"/>
        </w:rPr>
        <w:footnoteRef/>
      </w:r>
      <w:r w:rsidRPr="00E72418">
        <w:rPr>
          <w:szCs w:val="20"/>
        </w:rPr>
        <w:t xml:space="preserve"> L’option de rendre la législation permanente plutôt que d’en prolonger l’application d’un an se justifiait, d’une part, par les bénéfices engendrés, d’autre part, par le fait que la prolongation aurait été de nature à décaler dans le temps les démarches qu’auraient pu entreprendre les créanciers désireux de poursuivre leur dette (</w:t>
      </w:r>
      <w:r w:rsidRPr="00E72418">
        <w:rPr>
          <w:i/>
          <w:szCs w:val="20"/>
        </w:rPr>
        <w:t>Debt Relief (Developing Countries) Act 2010 (Permanent effect) Order</w:t>
      </w:r>
      <w:r w:rsidRPr="00E72418">
        <w:rPr>
          <w:szCs w:val="20"/>
        </w:rPr>
        <w:t>, explanatory memorandum, paragraphe 7.4.).</w:t>
      </w:r>
    </w:p>
  </w:footnote>
  <w:footnote w:id="1535">
    <w:p w14:paraId="5558D486" w14:textId="74CDF78F" w:rsidR="0030147D" w:rsidRPr="00E72418" w:rsidRDefault="0030147D" w:rsidP="00B774C9">
      <w:pPr>
        <w:pStyle w:val="Sansinterligne"/>
        <w:rPr>
          <w:szCs w:val="20"/>
        </w:rPr>
      </w:pPr>
      <w:r w:rsidRPr="00E72418">
        <w:rPr>
          <w:rStyle w:val="Appelnotedebasdep"/>
          <w:szCs w:val="20"/>
        </w:rPr>
        <w:footnoteRef/>
      </w:r>
      <w:r w:rsidRPr="00E72418">
        <w:rPr>
          <w:szCs w:val="20"/>
          <w:lang w:val="en-US"/>
        </w:rPr>
        <w:t xml:space="preserve"> Cet </w:t>
      </w:r>
      <w:r w:rsidRPr="00E72418">
        <w:rPr>
          <w:i/>
          <w:szCs w:val="20"/>
          <w:lang w:val="en-US"/>
        </w:rPr>
        <w:t>order</w:t>
      </w:r>
      <w:r w:rsidRPr="00E72418">
        <w:rPr>
          <w:szCs w:val="20"/>
          <w:lang w:val="en-US"/>
        </w:rPr>
        <w:t xml:space="preserve"> fut adopté en application de l’article 9(3) du </w:t>
      </w:r>
      <w:r w:rsidRPr="00E72418">
        <w:rPr>
          <w:i/>
          <w:szCs w:val="20"/>
          <w:lang w:val="en-US"/>
        </w:rPr>
        <w:t>Debt Relief (Developing Countries) Act 2010</w:t>
      </w:r>
      <w:r w:rsidRPr="00E72418">
        <w:rPr>
          <w:szCs w:val="20"/>
          <w:lang w:val="en-US"/>
        </w:rPr>
        <w:t xml:space="preserve"> disposant que « [t]he Treasury may by order provide that this Act has permanent effect » et de son article 9(4) précisant qu’ « [a]n order under this section is to be made by statutory instrument ». En application de l’article 9(5) décrétant qu’ « [a]n order under this section may be made only if a draft of the statutory instrument containing it has been laid before, and approved by a resolution of, each House of Parliament », un projet avait été déposé, lequel avait été approuvé comme requis. </w:t>
      </w:r>
      <w:r w:rsidRPr="00E72418">
        <w:rPr>
          <w:szCs w:val="20"/>
        </w:rPr>
        <w:t>Notez finalement la disposition inusitée de l’article 9(6) qui indique que, dans le cas où la législation aurait pris fin, il convenait de faire comme si elle n’avait jamais existé et de mettre à néant les limitations pratiquées sur son fondement.</w:t>
      </w:r>
    </w:p>
  </w:footnote>
  <w:footnote w:id="1536">
    <w:p w14:paraId="4BDE0E64" w14:textId="618FF994" w:rsidR="0030147D" w:rsidRPr="00E72418" w:rsidRDefault="0030147D" w:rsidP="00CA6F05">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11. Sur cette initiative, voyez </w:t>
      </w:r>
      <w:r w:rsidRPr="00E72418">
        <w:rPr>
          <w:i/>
          <w:szCs w:val="20"/>
        </w:rPr>
        <w:t xml:space="preserve">supra </w:t>
      </w:r>
      <w:r w:rsidRPr="00E72418">
        <w:rPr>
          <w:szCs w:val="20"/>
        </w:rPr>
        <w:t>n</w:t>
      </w:r>
      <w:r w:rsidRPr="00E72418">
        <w:rPr>
          <w:szCs w:val="20"/>
          <w:vertAlign w:val="superscript"/>
        </w:rPr>
        <w:t>os</w:t>
      </w:r>
      <w:r w:rsidRPr="00E72418">
        <w:rPr>
          <w:szCs w:val="20"/>
        </w:rPr>
        <w:t xml:space="preserve"> 41 et suiv.</w:t>
      </w:r>
    </w:p>
  </w:footnote>
  <w:footnote w:id="1537">
    <w:p w14:paraId="20DAF9E2" w14:textId="178C5E8A" w:rsidR="0030147D" w:rsidRPr="00E72418" w:rsidRDefault="0030147D" w:rsidP="00660210">
      <w:pPr>
        <w:pStyle w:val="Sansinterligne"/>
        <w:rPr>
          <w:szCs w:val="20"/>
          <w:lang w:val="en-US"/>
        </w:rPr>
      </w:pPr>
      <w:r w:rsidRPr="00E72418">
        <w:rPr>
          <w:rStyle w:val="Appelnotedebasdep"/>
          <w:szCs w:val="20"/>
        </w:rPr>
        <w:footnoteRef/>
      </w:r>
      <w:r w:rsidRPr="00E72418">
        <w:rPr>
          <w:szCs w:val="20"/>
          <w:lang w:val="en-US"/>
        </w:rPr>
        <w:t xml:space="preserve"> Le Gouvernement britannique était conscient de l’importance de sa démarche en ce sens qu’ « as domestic legislation should be effective for all qualifying debt contracts governed by UK laws, the Government’s view is that a legislative approach would make a significant contribution to addressing creditor non-participation in the HIPC Initiative, even in the absence of international action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21).</w:t>
      </w:r>
    </w:p>
  </w:footnote>
  <w:footnote w:id="1538">
    <w:p w14:paraId="0BB107A1" w14:textId="77777777" w:rsidR="0030147D" w:rsidRPr="00E72418" w:rsidRDefault="0030147D" w:rsidP="0070519A">
      <w:pPr>
        <w:pStyle w:val="Sansinterligne"/>
        <w:rPr>
          <w:szCs w:val="20"/>
          <w:lang w:val="en-US"/>
        </w:rPr>
      </w:pPr>
      <w:r w:rsidRPr="00E72418">
        <w:rPr>
          <w:rStyle w:val="Appelnotedebasdep"/>
          <w:szCs w:val="20"/>
        </w:rPr>
        <w:footnoteRef/>
      </w:r>
      <w:r w:rsidRPr="00E72418">
        <w:rPr>
          <w:szCs w:val="20"/>
          <w:lang w:val="en-US"/>
        </w:rPr>
        <w:t xml:space="preserve"> Certains parlementaires doutaient de la bonne réussite du premier objectif notant que « [t]here is too much evidence that greed, corruption and sheer bad management will account for most of any resources released as a result of this Bill » (propos de Sheila Noakes repris in House of Lords, </w:t>
      </w:r>
      <w:r w:rsidRPr="00E72418">
        <w:rPr>
          <w:i/>
          <w:szCs w:val="20"/>
          <w:lang w:val="en-US"/>
        </w:rPr>
        <w:t>Debt Relief (Developing Countries) Bill</w:t>
      </w:r>
      <w:r w:rsidRPr="00E72418">
        <w:rPr>
          <w:szCs w:val="20"/>
          <w:lang w:val="en-US"/>
        </w:rPr>
        <w:t xml:space="preserve">, second reading, 8 avril 2010, vol. 718, colonne 1699). Le second objectif découle de ce que « the Bill provides an insolvency procedure for developing countries that find themselves in great difficulty, because they will be able to reduce their debts equitably and share them out among creditors, whereas without such a mechanism no creditor would receive anything, or such payments would be made inequitably » (propos de David Gauke repris in House of Commons, </w:t>
      </w:r>
      <w:r w:rsidRPr="00E72418">
        <w:rPr>
          <w:i/>
          <w:szCs w:val="20"/>
          <w:lang w:val="en-US"/>
        </w:rPr>
        <w:t>Debt Relief (Developing Countries) Bill</w:t>
      </w:r>
      <w:r w:rsidRPr="00E72418">
        <w:rPr>
          <w:szCs w:val="20"/>
          <w:lang w:val="en-US"/>
        </w:rPr>
        <w:t>, third reading, 7 avril 2010, vol. 508, colonne 1054).</w:t>
      </w:r>
    </w:p>
  </w:footnote>
  <w:footnote w:id="1539">
    <w:p w14:paraId="217E6BA1" w14:textId="21676FD5" w:rsidR="0030147D" w:rsidRPr="00E72418" w:rsidRDefault="0030147D" w:rsidP="001F3D7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264. Comme le relève encore Astrid Iversen, « the Act will provide an incentive to participate in restructuring initiatives and grant debt relief, rather than to hold out from such proceedings and litigate for the full amount » (</w:t>
      </w:r>
      <w:r w:rsidRPr="00E72418">
        <w:rPr>
          <w:smallCaps/>
          <w:szCs w:val="20"/>
          <w:lang w:val="en-US"/>
        </w:rPr>
        <w:t>A. Iversen</w:t>
      </w:r>
      <w:r w:rsidRPr="00E72418">
        <w:rPr>
          <w:szCs w:val="20"/>
          <w:lang w:val="en-US"/>
        </w:rPr>
        <w:t xml:space="preserve">, « Holdout Creditor Litigation </w:t>
      </w:r>
      <w:r w:rsidRPr="00E72418">
        <w:t>–</w:t>
      </w:r>
      <w:r w:rsidRPr="00E72418">
        <w:rPr>
          <w:b/>
        </w:rPr>
        <w:t xml:space="preserve"> </w:t>
      </w:r>
      <w:r w:rsidRPr="00E72418">
        <w:rPr>
          <w:szCs w:val="20"/>
          <w:lang w:val="en-US"/>
        </w:rPr>
        <w:t xml:space="preserve">An assessment of legislative initiatives to counter aggressive sovereign debt creditor litigators », </w:t>
      </w:r>
      <w:r w:rsidRPr="00E72418">
        <w:rPr>
          <w:i/>
          <w:szCs w:val="20"/>
          <w:lang w:val="en-US"/>
        </w:rPr>
        <w:t>op. cit.</w:t>
      </w:r>
      <w:r w:rsidRPr="00E72418">
        <w:rPr>
          <w:szCs w:val="20"/>
          <w:lang w:val="en-US"/>
        </w:rPr>
        <w:t>, p. 36).</w:t>
      </w:r>
    </w:p>
  </w:footnote>
  <w:footnote w:id="1540">
    <w:p w14:paraId="09F3C58D" w14:textId="55E52C23" w:rsidR="0030147D" w:rsidRPr="00E72418" w:rsidRDefault="0030147D" w:rsidP="006B37E3">
      <w:pPr>
        <w:pStyle w:val="Sansinterligne"/>
        <w:rPr>
          <w:rFonts w:ascii="Times New Roman" w:hAnsi="Times New Roman" w:cs="Times New Roman"/>
        </w:rPr>
      </w:pPr>
      <w:r w:rsidRPr="00E72418">
        <w:rPr>
          <w:rStyle w:val="Appelnotedebasdep"/>
          <w:szCs w:val="20"/>
        </w:rPr>
        <w:footnoteRef/>
      </w:r>
      <w:r w:rsidRPr="00E72418">
        <w:rPr>
          <w:lang w:val="en-US"/>
        </w:rPr>
        <w:t xml:space="preserve"> </w:t>
      </w:r>
      <w:r w:rsidRPr="00E72418">
        <w:rPr>
          <w:smallCaps/>
          <w:lang w:val="en-US"/>
        </w:rPr>
        <w:t>S. Hughes, S. James, A. Yianni</w:t>
      </w:r>
      <w:r w:rsidRPr="00E72418">
        <w:rPr>
          <w:lang w:val="en-US"/>
        </w:rPr>
        <w:t xml:space="preserve"> et </w:t>
      </w:r>
      <w:r w:rsidRPr="00E72418">
        <w:rPr>
          <w:smallCaps/>
          <w:lang w:val="en-US"/>
        </w:rPr>
        <w:t>D. Zandstra</w:t>
      </w:r>
      <w:r w:rsidRPr="00E72418">
        <w:rPr>
          <w:lang w:val="en-US"/>
        </w:rPr>
        <w:t xml:space="preserve">, </w:t>
      </w:r>
      <w:r w:rsidRPr="00E72418">
        <w:rPr>
          <w:rStyle w:val="apple-converted-space"/>
          <w:szCs w:val="20"/>
          <w:lang w:val="en-US"/>
        </w:rPr>
        <w:t xml:space="preserve">« </w:t>
      </w:r>
      <w:r w:rsidRPr="00E72418">
        <w:rPr>
          <w:lang w:val="en-US"/>
        </w:rPr>
        <w:t xml:space="preserve">The HIPC Debt Relief Bill: Making Forgiveness Compulsory », </w:t>
      </w:r>
      <w:r w:rsidRPr="00E72418">
        <w:rPr>
          <w:rFonts w:ascii="Times New Roman" w:hAnsi="Times New Roman" w:cs="Times New Roman"/>
          <w:i/>
        </w:rPr>
        <w:t>Law &amp; Fin. Mkt. Rev.</w:t>
      </w:r>
      <w:r w:rsidRPr="00E72418">
        <w:rPr>
          <w:lang w:val="en-US"/>
        </w:rPr>
        <w:t xml:space="preserve">, 2010, p. 270. </w:t>
      </w:r>
      <w:r w:rsidRPr="00E72418">
        <w:t xml:space="preserve">Notons déjà que la limitation de la protection mise en place aux seuls pays auxquels l’Initiative Pays Pauvres Très Endettés s’applique ainsi qu’aux pays qui y sont potentiellement éligibles est de nature à déforcer l’appréhension </w:t>
      </w:r>
      <w:r w:rsidR="00BB3B73">
        <w:t xml:space="preserve">générale </w:t>
      </w:r>
      <w:r w:rsidRPr="00E72418">
        <w:t xml:space="preserve">du phénomène des fonds spéculatifs sachant que leurs proies n’y sont pas limitées (voyez </w:t>
      </w:r>
      <w:r w:rsidRPr="00E72418">
        <w:rPr>
          <w:i/>
        </w:rPr>
        <w:t xml:space="preserve">infra </w:t>
      </w:r>
      <w:r>
        <w:t>n° 423</w:t>
      </w:r>
      <w:r w:rsidRPr="00E72418">
        <w:t>).</w:t>
      </w:r>
    </w:p>
  </w:footnote>
  <w:footnote w:id="1541">
    <w:p w14:paraId="67EE5F54" w14:textId="44DB89DA" w:rsidR="0030147D" w:rsidRPr="00E72418" w:rsidRDefault="0030147D" w:rsidP="00FB26D7">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5.</w:t>
      </w:r>
    </w:p>
  </w:footnote>
  <w:footnote w:id="1542">
    <w:p w14:paraId="3ECC00B1" w14:textId="1D58C548" w:rsidR="0030147D" w:rsidRPr="00E72418" w:rsidRDefault="0030147D" w:rsidP="00FB26D7">
      <w:pPr>
        <w:pStyle w:val="Sansinterligne"/>
        <w:rPr>
          <w:szCs w:val="20"/>
          <w:lang w:val="en-US"/>
        </w:rPr>
      </w:pPr>
      <w:r w:rsidRPr="00E72418">
        <w:rPr>
          <w:rStyle w:val="Appelnotedebasdep"/>
          <w:szCs w:val="20"/>
        </w:rPr>
        <w:footnoteRef/>
      </w:r>
      <w:r w:rsidRPr="00E72418">
        <w:rPr>
          <w:szCs w:val="20"/>
          <w:lang w:val="en-US"/>
        </w:rPr>
        <w:t xml:space="preserve"> Voyez</w:t>
      </w:r>
      <w:r>
        <w:rPr>
          <w:szCs w:val="20"/>
          <w:lang w:val="en-US"/>
        </w:rPr>
        <w:t>,</w:t>
      </w:r>
      <w:r w:rsidRPr="00E72418">
        <w:rPr>
          <w:szCs w:val="20"/>
          <w:lang w:val="en-US"/>
        </w:rPr>
        <w:t xml:space="preserve"> par exemple</w:t>
      </w:r>
      <w:r>
        <w:rPr>
          <w:szCs w:val="20"/>
          <w:lang w:val="en-US"/>
        </w:rPr>
        <w:t>,</w:t>
      </w:r>
      <w:r w:rsidRPr="00E72418">
        <w:rPr>
          <w:szCs w:val="20"/>
          <w:lang w:val="en-US"/>
        </w:rPr>
        <w:t> </w:t>
      </w:r>
      <w:r w:rsidRPr="00E72418">
        <w:rPr>
          <w:i/>
          <w:szCs w:val="20"/>
          <w:lang w:val="en-US"/>
        </w:rPr>
        <w:t>Debt Relief (Developing Countries) Bill</w:t>
      </w:r>
      <w:r w:rsidRPr="00E72418">
        <w:rPr>
          <w:szCs w:val="20"/>
          <w:lang w:val="en-US"/>
        </w:rPr>
        <w:t xml:space="preserve">, Committee Stage Report, Research paper 10/26, 11 mars 2010 : « [t]he legislation would restrict the activities of so-called “vulture funds” ». Voyez encore les propos de Joyce Quin repris in House of Lords, </w:t>
      </w:r>
      <w:r w:rsidRPr="00E72418">
        <w:rPr>
          <w:i/>
          <w:szCs w:val="20"/>
          <w:lang w:val="en-US"/>
        </w:rPr>
        <w:t>Debt Relief (Developing Countries) Bill</w:t>
      </w:r>
      <w:r w:rsidRPr="00E72418">
        <w:rPr>
          <w:szCs w:val="20"/>
          <w:lang w:val="en-US"/>
        </w:rPr>
        <w:t>, second reading, 8 avril 2010, vol. 718, colonne 1695 : « [t]he Bill’s main aim is to curtail the activities of what have come to be called vulture funds-commercial entities that buy developing countries’ sovereign debt at discounted prices when those countries are in economic distress and aggressively litigate to recoup the debt’s full value, thereby causing financial difficulties and consequent severe economic, and indeed social, hardship in the countries concerned ».</w:t>
      </w:r>
    </w:p>
  </w:footnote>
  <w:footnote w:id="1543">
    <w:p w14:paraId="334364B6" w14:textId="6F81D6C1" w:rsidR="0030147D" w:rsidRPr="00E72418" w:rsidRDefault="0030147D" w:rsidP="00250C9C">
      <w:pPr>
        <w:pStyle w:val="Sansinterligne"/>
        <w:rPr>
          <w:szCs w:val="20"/>
        </w:rPr>
      </w:pPr>
      <w:r w:rsidRPr="00E72418">
        <w:rPr>
          <w:rStyle w:val="Appelnotedebasdep"/>
          <w:szCs w:val="20"/>
        </w:rPr>
        <w:footnoteRef/>
      </w:r>
      <w:r w:rsidRPr="00E72418">
        <w:rPr>
          <w:szCs w:val="20"/>
        </w:rPr>
        <w:t xml:space="preserve"> </w:t>
      </w:r>
      <w:r w:rsidRPr="00E72418">
        <w:rPr>
          <w:smallCaps/>
          <w:szCs w:val="20"/>
        </w:rPr>
        <w:t>A. Horne</w:t>
      </w:r>
      <w:r w:rsidRPr="00E72418">
        <w:rPr>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rPr>
        <w:t>, p. 2.</w:t>
      </w:r>
    </w:p>
  </w:footnote>
  <w:footnote w:id="1544">
    <w:p w14:paraId="3B7B6EDD" w14:textId="5042A56D" w:rsidR="0030147D" w:rsidRPr="00E72418" w:rsidRDefault="0030147D" w:rsidP="00694BFA">
      <w:pPr>
        <w:pStyle w:val="Sansinterligne"/>
        <w:rPr>
          <w:szCs w:val="20"/>
          <w:lang w:val="en-US"/>
        </w:rPr>
      </w:pPr>
      <w:r w:rsidRPr="00E72418">
        <w:rPr>
          <w:rStyle w:val="Appelnotedebasdep"/>
          <w:szCs w:val="20"/>
        </w:rPr>
        <w:footnoteRef/>
      </w:r>
      <w:r w:rsidRPr="00E72418">
        <w:rPr>
          <w:szCs w:val="20"/>
          <w:lang w:val="en-US"/>
        </w:rPr>
        <w:t xml:space="preserve"> Comme le relevait le Gouvernement britannique lors de sa consultation de 2009, </w:t>
      </w:r>
      <w:r w:rsidRPr="00E72418">
        <w:rPr>
          <w:rStyle w:val="SansinterligneCar"/>
          <w:szCs w:val="20"/>
          <w:lang w:val="en-US"/>
        </w:rPr>
        <w:t xml:space="preserve">« </w:t>
      </w:r>
      <w:r w:rsidRPr="00E72418">
        <w:rPr>
          <w:szCs w:val="20"/>
          <w:lang w:val="en-US"/>
        </w:rPr>
        <w:t>[s]</w:t>
      </w:r>
      <w:r w:rsidRPr="00E72418">
        <w:rPr>
          <w:rStyle w:val="SansinterligneCar"/>
          <w:szCs w:val="20"/>
          <w:lang w:val="en-US"/>
        </w:rPr>
        <w:t xml:space="preserve">o long as it remains possible and potentially highly profitable (depending on the price paid for the debt) to litigate for payment of the full value once other creditors have provided relief, some creditors are likely to take this route » (HM </w:t>
      </w:r>
      <w:r w:rsidRPr="00E72418">
        <w:rPr>
          <w:rStyle w:val="SansinterligneCar"/>
          <w:smallCaps/>
          <w:szCs w:val="20"/>
          <w:lang w:val="en-US"/>
        </w:rPr>
        <w:t>Treasury</w:t>
      </w:r>
      <w:r w:rsidRPr="00E72418">
        <w:rPr>
          <w:rStyle w:val="SansinterligneCar"/>
          <w:szCs w:val="20"/>
          <w:lang w:val="en-US"/>
        </w:rPr>
        <w:t xml:space="preserve">, </w:t>
      </w:r>
      <w:r w:rsidRPr="00E72418">
        <w:rPr>
          <w:rStyle w:val="SansinterligneCar"/>
          <w:i/>
          <w:szCs w:val="20"/>
          <w:lang w:val="en-US"/>
        </w:rPr>
        <w:t>Ensuring effective debt relief for poor countries: a consultation on legislation</w:t>
      </w:r>
      <w:r w:rsidRPr="00E72418">
        <w:rPr>
          <w:rStyle w:val="SansinterligneCar"/>
          <w:szCs w:val="20"/>
          <w:lang w:val="en-US"/>
        </w:rPr>
        <w:t>, 2009, p. 19).</w:t>
      </w:r>
    </w:p>
  </w:footnote>
  <w:footnote w:id="1545">
    <w:p w14:paraId="0958D879" w14:textId="5FA40A3A" w:rsidR="0030147D" w:rsidRPr="00E72418" w:rsidRDefault="0030147D" w:rsidP="008027C3">
      <w:pPr>
        <w:pStyle w:val="Sansinterligne"/>
        <w:rPr>
          <w:szCs w:val="20"/>
        </w:rPr>
      </w:pPr>
      <w:r w:rsidRPr="00E72418">
        <w:rPr>
          <w:rStyle w:val="Appelnotedebasdep"/>
          <w:szCs w:val="20"/>
        </w:rPr>
        <w:footnoteRef/>
      </w:r>
      <w:r w:rsidRPr="00E72418">
        <w:rPr>
          <w:szCs w:val="20"/>
        </w:rPr>
        <w:t xml:space="preserve"> Pour plus de précisions sur les dettes concernées,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317 et suiv.</w:t>
      </w:r>
    </w:p>
  </w:footnote>
  <w:footnote w:id="1546">
    <w:p w14:paraId="307558AC" w14:textId="0ADDEFCD" w:rsidR="0030147D" w:rsidRPr="00E72418" w:rsidRDefault="0030147D" w:rsidP="00D052A1">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49</w:t>
      </w:r>
      <w:r w:rsidRPr="00E72418">
        <w:rPr>
          <w:rStyle w:val="Lienhypertexte"/>
          <w:color w:val="auto"/>
          <w:szCs w:val="20"/>
          <w:u w:val="none"/>
          <w:lang w:val="en-US"/>
        </w:rPr>
        <w:t>.</w:t>
      </w:r>
    </w:p>
  </w:footnote>
  <w:footnote w:id="1547">
    <w:p w14:paraId="20D79999" w14:textId="3E90453D"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Voyez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8. Sur les dettes concernées, voyez </w:t>
      </w:r>
      <w:r w:rsidRPr="00E72418">
        <w:rPr>
          <w:i/>
          <w:szCs w:val="20"/>
          <w:lang w:val="en-US"/>
        </w:rPr>
        <w:t>infra</w:t>
      </w:r>
      <w:r w:rsidRPr="00E72418">
        <w:rPr>
          <w:szCs w:val="20"/>
          <w:lang w:val="en-US"/>
        </w:rPr>
        <w:t xml:space="preserve"> n</w:t>
      </w:r>
      <w:r w:rsidRPr="00E72418">
        <w:rPr>
          <w:szCs w:val="20"/>
          <w:vertAlign w:val="superscript"/>
          <w:lang w:val="en-US"/>
        </w:rPr>
        <w:t>os</w:t>
      </w:r>
      <w:r w:rsidRPr="00E72418">
        <w:rPr>
          <w:szCs w:val="20"/>
          <w:lang w:val="en-US"/>
        </w:rPr>
        <w:t xml:space="preserve"> 317 et suiv. et particulièrement le n° 320.</w:t>
      </w:r>
    </w:p>
  </w:footnote>
  <w:footnote w:id="1548">
    <w:p w14:paraId="0A2C57A1" w14:textId="7777777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Propos repris in Public Bill Committee, </w:t>
      </w:r>
      <w:r w:rsidRPr="00E72418">
        <w:rPr>
          <w:i/>
          <w:szCs w:val="20"/>
          <w:lang w:val="en-US"/>
        </w:rPr>
        <w:t>Debt Relief (Developing Countries) Bill</w:t>
      </w:r>
      <w:r w:rsidRPr="00E72418">
        <w:rPr>
          <w:szCs w:val="20"/>
          <w:lang w:val="en-US"/>
        </w:rPr>
        <w:t>, 9 mars 2010, colonne 11.</w:t>
      </w:r>
    </w:p>
  </w:footnote>
  <w:footnote w:id="1549">
    <w:p w14:paraId="622A752E" w14:textId="6CFFB2F2" w:rsidR="0030147D" w:rsidRPr="00E72418" w:rsidRDefault="0030147D" w:rsidP="00615A3D">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w:t>
      </w:r>
      <w:r w:rsidRPr="00E72418">
        <w:rPr>
          <w:szCs w:val="20"/>
        </w:rPr>
        <w:t xml:space="preserve">Lors des travaux préparatoires de la </w:t>
      </w:r>
      <w:r w:rsidRPr="00E72418">
        <w:rPr>
          <w:i/>
          <w:szCs w:val="20"/>
        </w:rPr>
        <w:t>Debt Relief (Developing Countries) (Guernsey and Alderney) Law 2013</w:t>
      </w:r>
      <w:r w:rsidRPr="00E72418">
        <w:rPr>
          <w:szCs w:val="20"/>
        </w:rPr>
        <w:t xml:space="preserve"> similaire à la législation britannique, une critique plus large avait été formulée et concernait en amont l’avantage octroyé à certains </w:t>
      </w:r>
      <w:r w:rsidRPr="00E72418">
        <w:rPr>
          <w:szCs w:val="20"/>
          <w:lang w:eastAsia="fr-BE"/>
        </w:rPr>
        <w:t>É</w:t>
      </w:r>
      <w:r w:rsidRPr="00E72418">
        <w:rPr>
          <w:szCs w:val="20"/>
        </w:rPr>
        <w:t>tats en les faisant bénéficier d’allègements de dettes. À</w:t>
      </w:r>
      <w:r w:rsidRPr="00E72418">
        <w:rPr>
          <w:szCs w:val="20"/>
          <w:lang w:val="en-US"/>
        </w:rPr>
        <w:t xml:space="preserve"> cette critique, il avait été répondu que « [t]hese countries involved where debt forgiveness is a feature do not entirely escape scot-free. Applicant countries must meet certain criteria, commit to poverty reduction through policy changes and demonstrate a good track record over time. So there is another side to the coin which is that, essentially, they are asked to reform their ways » (Island of Alderney, </w:t>
      </w:r>
      <w:r w:rsidRPr="00E72418">
        <w:rPr>
          <w:i/>
          <w:szCs w:val="20"/>
          <w:lang w:val="en-US"/>
        </w:rPr>
        <w:t>The Debt Relief (Developing Countries) (Guernsey and Alderney) Law 2013</w:t>
      </w:r>
      <w:r w:rsidRPr="00E72418">
        <w:rPr>
          <w:szCs w:val="20"/>
          <w:lang w:val="en-US"/>
        </w:rPr>
        <w:t xml:space="preserve">, Official Report, 18 septembre 2013, vol. 1, n° 4, lignes 1180 à 1183). </w:t>
      </w:r>
      <w:r w:rsidRPr="00E72418">
        <w:rPr>
          <w:szCs w:val="20"/>
        </w:rPr>
        <w:t xml:space="preserve">Sur les conditions et modalités des allègements de dettes pratiqués via l’Initiative Pays Pauvres Très Endettés, voyez </w:t>
      </w:r>
      <w:r w:rsidRPr="00E72418">
        <w:rPr>
          <w:i/>
          <w:szCs w:val="20"/>
        </w:rPr>
        <w:t>supra</w:t>
      </w:r>
      <w:r w:rsidRPr="00E72418">
        <w:rPr>
          <w:szCs w:val="20"/>
        </w:rPr>
        <w:t xml:space="preserve"> n° 42.</w:t>
      </w:r>
    </w:p>
  </w:footnote>
  <w:footnote w:id="1550">
    <w:p w14:paraId="11DE60AC" w14:textId="77777777" w:rsidR="0030147D" w:rsidRPr="00E72418" w:rsidRDefault="0030147D" w:rsidP="009F6532">
      <w:pPr>
        <w:pStyle w:val="Sansinterligne"/>
        <w:rPr>
          <w:szCs w:val="20"/>
          <w:lang w:val="en-US"/>
        </w:rPr>
      </w:pPr>
      <w:r w:rsidRPr="00E72418">
        <w:rPr>
          <w:rStyle w:val="Appelnotedebasdep"/>
          <w:szCs w:val="20"/>
        </w:rPr>
        <w:footnoteRef/>
      </w:r>
      <w:r w:rsidRPr="00E72418">
        <w:rPr>
          <w:szCs w:val="20"/>
          <w:lang w:val="en-US"/>
        </w:rPr>
        <w:t xml:space="preserve"> Notons que le </w:t>
      </w:r>
      <w:r w:rsidRPr="00E72418">
        <w:rPr>
          <w:i/>
          <w:szCs w:val="20"/>
          <w:lang w:val="en-US"/>
        </w:rPr>
        <w:t>Debt Relief (Developing Countries) Act</w:t>
      </w:r>
      <w:r w:rsidRPr="00E72418">
        <w:rPr>
          <w:szCs w:val="20"/>
          <w:lang w:val="en-US"/>
        </w:rPr>
        <w:t xml:space="preserve"> prévoit en son article 10(2) que « [t]his Act extends to each part of the United Kingdom ».</w:t>
      </w:r>
    </w:p>
  </w:footnote>
  <w:footnote w:id="1551">
    <w:p w14:paraId="1B2F5CBC" w14:textId="1DC34046" w:rsidR="0030147D" w:rsidRPr="00E72418" w:rsidRDefault="0030147D" w:rsidP="00D33D96">
      <w:pPr>
        <w:pStyle w:val="Sansinterligne"/>
        <w:rPr>
          <w:szCs w:val="20"/>
          <w:lang w:val="en-US"/>
        </w:rPr>
      </w:pPr>
      <w:r w:rsidRPr="00E72418">
        <w:rPr>
          <w:rStyle w:val="Appelnotedebasdep"/>
          <w:szCs w:val="20"/>
        </w:rPr>
        <w:footnoteRef/>
      </w:r>
      <w:r w:rsidRPr="00E72418">
        <w:rPr>
          <w:szCs w:val="20"/>
        </w:rPr>
        <w:t xml:space="preserve"> Bien qu’en 2012, la </w:t>
      </w:r>
      <w:r w:rsidRPr="00E72418">
        <w:rPr>
          <w:i/>
          <w:szCs w:val="20"/>
        </w:rPr>
        <w:t>House of Representatives</w:t>
      </w:r>
      <w:r w:rsidRPr="00E72418">
        <w:rPr>
          <w:szCs w:val="20"/>
        </w:rPr>
        <w:t xml:space="preserve"> australienne demanda au Gouvernement d’examiner les risques et bénéfices liés à l’adoption d’une législation similaire au </w:t>
      </w:r>
      <w:r w:rsidRPr="00E72418">
        <w:rPr>
          <w:i/>
          <w:szCs w:val="20"/>
        </w:rPr>
        <w:t>Debt Relief (Developing Countries) Act</w:t>
      </w:r>
      <w:r w:rsidRPr="00E72418">
        <w:rPr>
          <w:szCs w:val="20"/>
        </w:rPr>
        <w:t xml:space="preserve"> </w:t>
      </w:r>
      <w:r w:rsidRPr="00E72418">
        <w:rPr>
          <w:i/>
          <w:szCs w:val="20"/>
        </w:rPr>
        <w:t>2010</w:t>
      </w:r>
      <w:r w:rsidRPr="00E72418">
        <w:rPr>
          <w:szCs w:val="20"/>
        </w:rPr>
        <w:t xml:space="preserve"> britannique visant à limiter la possibilité d’attaquer en Australie des </w:t>
      </w:r>
      <w:r w:rsidRPr="00E72418">
        <w:rPr>
          <w:szCs w:val="20"/>
          <w:lang w:eastAsia="fr-BE"/>
        </w:rPr>
        <w:t>É</w:t>
      </w:r>
      <w:r w:rsidRPr="00E72418">
        <w:rPr>
          <w:szCs w:val="20"/>
        </w:rPr>
        <w:t xml:space="preserve">tats ayant été jugés éligibles à un allègement de la dette dans le cadre de l’Initiative Pays Pauvres Très Endettés, aucune telle législation n’a à ce jour été adoptée (Commonwealth of Australia, House of Representatives, Votes and proceedings, 11 octobre 2012, 2010-11-12, n° 138, p. 1875). </w:t>
      </w:r>
      <w:r w:rsidRPr="00E72418">
        <w:rPr>
          <w:szCs w:val="20"/>
          <w:lang w:val="en-US"/>
        </w:rPr>
        <w:t>Pour James Bai, « [t]he close legal heritage between the United Kingdom and Australia suggests the legislation’s suitability for Australia’s purposes »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726).</w:t>
      </w:r>
    </w:p>
  </w:footnote>
  <w:footnote w:id="1552">
    <w:p w14:paraId="4A85B80E" w14:textId="311A0587" w:rsidR="0030147D" w:rsidRPr="00E72418" w:rsidRDefault="0030147D" w:rsidP="00C374C7">
      <w:pPr>
        <w:pStyle w:val="Sansinterligne"/>
      </w:pPr>
      <w:r w:rsidRPr="00E72418">
        <w:rPr>
          <w:rStyle w:val="Appelnotedebasdep"/>
        </w:rPr>
        <w:footnoteRef/>
      </w:r>
      <w:r w:rsidRPr="00E72418">
        <w:t xml:space="preserve"> Dans un rapport de 2003, l’Association internationale de développement de la Banque mondiale et le Fonds monétaire international envisageaient déjà la solution de faire en sorte que les législations nationales empêchent les créanciers de recevoir plus que ce que prévoit l’initiative Pays Pauvres Très Endettés</w:t>
      </w:r>
      <w:r w:rsidRPr="00E72418">
        <w:rPr>
          <w:lang w:val="en-US"/>
        </w:rPr>
        <w:t xml:space="preserve"> (International Development Association and International Monetary Fund, </w:t>
      </w:r>
      <w:r w:rsidRPr="00E72418">
        <w:rPr>
          <w:i/>
          <w:lang w:val="en-US"/>
        </w:rPr>
        <w:t xml:space="preserve">Enhanced HIPC Initiative </w:t>
      </w:r>
      <w:r w:rsidRPr="00E72418">
        <w:rPr>
          <w:b/>
          <w:i/>
        </w:rPr>
        <w:t xml:space="preserve">– </w:t>
      </w:r>
      <w:r w:rsidRPr="00E72418">
        <w:rPr>
          <w:i/>
          <w:lang w:val="en-US"/>
        </w:rPr>
        <w:t>Creditor Participation Issues</w:t>
      </w:r>
      <w:r w:rsidRPr="00E72418">
        <w:rPr>
          <w:lang w:val="en-US"/>
        </w:rPr>
        <w:t>, 8 avril 2003, p. 7).</w:t>
      </w:r>
    </w:p>
  </w:footnote>
  <w:footnote w:id="1553">
    <w:p w14:paraId="03055F42" w14:textId="1C7D843A" w:rsidR="0030147D" w:rsidRPr="00E72418" w:rsidRDefault="0030147D" w:rsidP="00033C23">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25. </w:t>
      </w:r>
      <w:r w:rsidRPr="00E72418">
        <w:t>L’inadéquation du</w:t>
      </w:r>
      <w:r w:rsidRPr="00E72418">
        <w:rPr>
          <w:rFonts w:cs="Times New Roman"/>
          <w:szCs w:val="24"/>
        </w:rPr>
        <w:t xml:space="preserve"> recours aux termes de l’Initiative de la Banque mondiale et du Fonds monétaire international fut néanmoins relevée lors de la consultation menée </w:t>
      </w:r>
      <w:r w:rsidRPr="00E72418">
        <w:t xml:space="preserve">où il fut notamment noté que </w:t>
      </w:r>
      <w:r w:rsidRPr="00E72418">
        <w:rPr>
          <w:rFonts w:cs="Times New Roman"/>
          <w:szCs w:val="24"/>
        </w:rPr>
        <w:t xml:space="preserve">« </w:t>
      </w:r>
      <w:r w:rsidRPr="00E72418">
        <w:rPr>
          <w:szCs w:val="20"/>
          <w:lang w:val="en-US"/>
        </w:rPr>
        <w:t xml:space="preserve">[the] </w:t>
      </w:r>
      <w:r w:rsidRPr="00E72418">
        <w:t xml:space="preserve">application of the HIPC Initiative to commercial as well as bilateral and multilateral debts assumed an equivalence in the origin and merits of these loans » alors que, pour certains, </w:t>
      </w:r>
      <w:r w:rsidRPr="00E72418">
        <w:rPr>
          <w:rFonts w:cs="Times New Roman"/>
          <w:szCs w:val="24"/>
        </w:rPr>
        <w:t>«</w:t>
      </w:r>
      <w:r w:rsidRPr="00E72418">
        <w:t xml:space="preserve"> it was seen as inappropriate that commercial creditors that had lent prudently would share in a reduction made necessary by excessive past lending from the official sector claimed to have been motivated by geopolitical interests » </w:t>
      </w:r>
      <w:r w:rsidRPr="00E72418">
        <w:rPr>
          <w:lang w:val="en-US"/>
        </w:rPr>
        <w:t xml:space="preserve">(HM. </w:t>
      </w:r>
      <w:r w:rsidRPr="00E72418">
        <w:rPr>
          <w:smallCaps/>
          <w:lang w:val="en-US"/>
        </w:rPr>
        <w:t>Treasury</w:t>
      </w:r>
      <w:r w:rsidRPr="00E72418">
        <w:rPr>
          <w:lang w:val="en-US"/>
        </w:rPr>
        <w:t xml:space="preserve">, </w:t>
      </w:r>
      <w:r w:rsidRPr="00E72418">
        <w:rPr>
          <w:i/>
          <w:lang w:val="en-US"/>
        </w:rPr>
        <w:t>Ensuring effective debt relief for poor countries: a response to consultation</w:t>
      </w:r>
      <w:r w:rsidRPr="00E72418">
        <w:rPr>
          <w:lang w:val="en-US"/>
        </w:rPr>
        <w:t>, 2010, p. 6).</w:t>
      </w:r>
    </w:p>
  </w:footnote>
  <w:footnote w:id="1554">
    <w:p w14:paraId="00241AFB" w14:textId="7ED57F2E" w:rsidR="0030147D" w:rsidRPr="00E72418" w:rsidRDefault="0030147D" w:rsidP="00821898">
      <w:pPr>
        <w:pStyle w:val="Sansinterligne"/>
        <w:rPr>
          <w:szCs w:val="20"/>
          <w:lang w:val="en-US"/>
        </w:rPr>
      </w:pPr>
      <w:r w:rsidRPr="00E72418">
        <w:rPr>
          <w:rStyle w:val="Appelnotedebasdep"/>
          <w:szCs w:val="20"/>
        </w:rPr>
        <w:footnoteRef/>
      </w:r>
      <w:r w:rsidRPr="00E72418">
        <w:rPr>
          <w:szCs w:val="20"/>
          <w:lang w:val="en-US"/>
        </w:rPr>
        <w:t xml:space="preserve"> L’article 3(8) dispose que « [r]eferences in this section to the amount recoverable include the amount recoverable on the enforcement of any security ». Les notes explicatives de la loi renseignent que</w:t>
      </w:r>
      <w:r w:rsidRPr="00E72418">
        <w:rPr>
          <w:rStyle w:val="Lienhypertexte"/>
          <w:color w:val="auto"/>
          <w:szCs w:val="20"/>
          <w:u w:val="none"/>
          <w:lang w:val="en-US"/>
        </w:rPr>
        <w:t xml:space="preserve"> </w:t>
      </w:r>
      <w:r w:rsidRPr="00E72418">
        <w:rPr>
          <w:rStyle w:val="SansinterligneCar"/>
          <w:szCs w:val="20"/>
          <w:lang w:val="en-US"/>
        </w:rPr>
        <w:t xml:space="preserve">« </w:t>
      </w:r>
      <w:r w:rsidRPr="00E72418">
        <w:rPr>
          <w:szCs w:val="20"/>
          <w:lang w:val="en-US"/>
        </w:rPr>
        <w:t>[s]ubsection (8) ensures that the reduction will apply when the qualifying debt is a secured debt, and the secured creditor attempts to enforce the security » (</w:t>
      </w:r>
      <w:r w:rsidRPr="00E72418">
        <w:rPr>
          <w:i/>
          <w:szCs w:val="20"/>
          <w:lang w:val="en-US"/>
        </w:rPr>
        <w:t>Debt Relief (Developing Countries) Act 2010</w:t>
      </w:r>
      <w:r w:rsidRPr="00E72418">
        <w:rPr>
          <w:szCs w:val="20"/>
          <w:lang w:val="en-US"/>
        </w:rPr>
        <w:t>, explanatory notes, paragraphe 19</w:t>
      </w:r>
      <w:r w:rsidRPr="00E72418">
        <w:rPr>
          <w:rStyle w:val="Lienhypertexte"/>
          <w:color w:val="auto"/>
          <w:szCs w:val="20"/>
          <w:u w:val="none"/>
          <w:lang w:val="en-US"/>
        </w:rPr>
        <w:t>)</w:t>
      </w:r>
      <w:r w:rsidRPr="00E72418">
        <w:rPr>
          <w:szCs w:val="20"/>
          <w:lang w:val="en-US"/>
        </w:rPr>
        <w:t>.</w:t>
      </w:r>
    </w:p>
  </w:footnote>
  <w:footnote w:id="1555">
    <w:p w14:paraId="042BC4EA" w14:textId="5587B53F"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Les notes explicatives de la loi britannique expliquent la façon dont les choses sont réglées en application de l’Initiative : « [a]t Decision Point, the IMF and World Bank calculate the percentage reduction which is required from all creditors holding debts included in the Initiative in order to reduce the country’s indebtedness to a sustainable level. These organisations publish within their Decision Point document the Common Reduction Factor. This sets the reduction expected from all creditors after they have provided so-called traditional relief of 67%. The amount the debt would be if it were reduced in accordance with the Initiative is the amount it would be if firstly reduced by the application of traditional relief at 67% and secondly if further reduced by the proportion set by the Common Reduction Factor ». Par souci de clarté, un exemple est donné : « [f]or example, the Common Reduction Factor for an eligible country might be 33%. A debt of £100, if reduced in accordance with the Initiative, would first be reduced by 67% through traditional relief, to a new value of £33. Further reduction by the Common Reduction Factor gives the amount the debt would be if it were reduced in accordance with the Initiative […] as £22, and hence the relevant proportion as 22% » (</w:t>
      </w:r>
      <w:r w:rsidRPr="00E72418">
        <w:rPr>
          <w:i/>
          <w:szCs w:val="20"/>
          <w:lang w:val="en-US"/>
        </w:rPr>
        <w:t>Debt Relief (Developing Countries) Act 2010</w:t>
      </w:r>
      <w:r w:rsidRPr="00E72418">
        <w:rPr>
          <w:szCs w:val="20"/>
          <w:lang w:val="en-US"/>
        </w:rPr>
        <w:t>, explanatory notes, paragraphes 22 et 23</w:t>
      </w:r>
      <w:r w:rsidRPr="00E72418">
        <w:rPr>
          <w:rStyle w:val="Lienhypertexte"/>
          <w:color w:val="auto"/>
          <w:szCs w:val="20"/>
          <w:u w:val="none"/>
          <w:lang w:val="en-US"/>
        </w:rPr>
        <w:t>)</w:t>
      </w:r>
      <w:r w:rsidRPr="00E72418">
        <w:rPr>
          <w:szCs w:val="20"/>
          <w:lang w:val="en-US"/>
        </w:rPr>
        <w:t xml:space="preserve">. Pour plus de précisions sur les allègements prévus par l’Initiative Pays Pauvres Très Endettés, voyez </w:t>
      </w:r>
      <w:r w:rsidRPr="00E72418">
        <w:rPr>
          <w:i/>
          <w:szCs w:val="20"/>
          <w:lang w:val="en-US"/>
        </w:rPr>
        <w:t>supra</w:t>
      </w:r>
      <w:r w:rsidRPr="00E72418">
        <w:rPr>
          <w:szCs w:val="20"/>
          <w:lang w:val="en-US"/>
        </w:rPr>
        <w:t xml:space="preserve"> n</w:t>
      </w:r>
      <w:r w:rsidRPr="00E72418">
        <w:rPr>
          <w:szCs w:val="20"/>
          <w:vertAlign w:val="superscript"/>
          <w:lang w:val="en-US"/>
        </w:rPr>
        <w:t>os</w:t>
      </w:r>
      <w:r w:rsidRPr="00E72418">
        <w:rPr>
          <w:szCs w:val="20"/>
          <w:lang w:val="en-US"/>
        </w:rPr>
        <w:t xml:space="preserve"> 41 et suiv.</w:t>
      </w:r>
    </w:p>
  </w:footnote>
  <w:footnote w:id="1556">
    <w:p w14:paraId="1E2DF230" w14:textId="5EE67617"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Dans la division, on reprend comme numérateur le montant tel qu’il serait réduit en application de l’Initiative, et ce, nous dit le texte, « on the assumption, if it is not the case, that completion point has been reached, for the purposes of the Initiative, in respect of the country whose debt it is ». Ce postulat se justifie par le fait que « [w]hile individual Decision Point documents set out the debt relief a country needs in order for that country’s debt burden to become sustainable, under the Initiative debt relief need not be provided until a country reaches Completion Point ». Ainsi, « [t]he purpose of the Act is to ensure that once a country has reached Decision Point, creditors should only be able to recover that proportion of their debts that is consistent with the reduction expected in the IMF’s Decision Point analysis. That is done by the assumption that countries have reached Completion Point » (</w:t>
      </w:r>
      <w:r w:rsidRPr="00E72418">
        <w:rPr>
          <w:i/>
          <w:szCs w:val="20"/>
          <w:lang w:val="en-US"/>
        </w:rPr>
        <w:t>Debt Relief (Developing Countries) Act 2010</w:t>
      </w:r>
      <w:r w:rsidRPr="00E72418">
        <w:rPr>
          <w:szCs w:val="20"/>
          <w:lang w:val="en-US"/>
        </w:rPr>
        <w:t>, explanatory notes, paragraphe 24</w:t>
      </w:r>
      <w:r w:rsidRPr="00E72418">
        <w:rPr>
          <w:rStyle w:val="Lienhypertexte"/>
          <w:color w:val="auto"/>
          <w:szCs w:val="20"/>
          <w:u w:val="none"/>
          <w:lang w:val="en-US"/>
        </w:rPr>
        <w:t>).</w:t>
      </w:r>
    </w:p>
  </w:footnote>
  <w:footnote w:id="1557">
    <w:p w14:paraId="63B0D2F8" w14:textId="566DDC0F"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Comme on peut le lire dans les notes explicatives de la loi britannique : « [s]</w:t>
      </w:r>
      <w:r w:rsidRPr="00E72418">
        <w:rPr>
          <w:rStyle w:val="Accentuation"/>
          <w:i w:val="0"/>
          <w:iCs w:val="0"/>
          <w:szCs w:val="20"/>
          <w:lang w:val="en-US"/>
        </w:rPr>
        <w:t>ubsection (3)</w:t>
      </w:r>
      <w:r w:rsidRPr="00E72418">
        <w:rPr>
          <w:szCs w:val="20"/>
          <w:lang w:val="en-US"/>
        </w:rPr>
        <w:t> applies to the debts of countries yet to reach Decision Point. For these countries, the World Bank and IMF will not (in general) have calculated the Common Reduction Factor by which debts must be reduced in addition to the provision of the traditional reduction of 67%. To be designated as a country potentially eligible for the Initiative, its debts must be sufficiently high as to remain unsustainable even if creditors provided this traditional relief. It is known that, upon reaching Decision Point, the expected reduction will be assessed as at least 67%. As its value cannot be determined beyond this, the subsection applies the 67% reduction alone to these debts and sets the relevant proportion at 33% » (</w:t>
      </w:r>
      <w:r w:rsidRPr="00E72418">
        <w:rPr>
          <w:i/>
          <w:szCs w:val="20"/>
          <w:lang w:val="en-US"/>
        </w:rPr>
        <w:t>Debt Relief (Developing Countries) Act 2010</w:t>
      </w:r>
      <w:r w:rsidRPr="00E72418">
        <w:rPr>
          <w:szCs w:val="20"/>
          <w:lang w:val="en-US"/>
        </w:rPr>
        <w:t>, explanatory notes, paragraphe 26</w:t>
      </w:r>
      <w:r w:rsidRPr="00E72418">
        <w:rPr>
          <w:rStyle w:val="Lienhypertexte"/>
          <w:color w:val="auto"/>
          <w:szCs w:val="20"/>
          <w:u w:val="none"/>
          <w:lang w:val="en-US"/>
        </w:rPr>
        <w:t>).</w:t>
      </w:r>
    </w:p>
  </w:footnote>
  <w:footnote w:id="1558">
    <w:p w14:paraId="119A4DAC" w14:textId="761121EA" w:rsidR="0030147D" w:rsidRPr="00E72418" w:rsidRDefault="0030147D" w:rsidP="00033C23">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pp. 20 et 27.</w:t>
      </w:r>
    </w:p>
  </w:footnote>
  <w:footnote w:id="1559">
    <w:p w14:paraId="67A28BE9" w14:textId="515EFF07" w:rsidR="0030147D" w:rsidRPr="00E72418" w:rsidRDefault="0030147D" w:rsidP="00694BFA">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15.</w:t>
      </w:r>
    </w:p>
  </w:footnote>
  <w:footnote w:id="1560">
    <w:p w14:paraId="61DE4DF9" w14:textId="77777777" w:rsidR="0030147D" w:rsidRPr="00E72418" w:rsidRDefault="0030147D" w:rsidP="00721496">
      <w:pPr>
        <w:pStyle w:val="Sansinterligne"/>
        <w:rPr>
          <w:szCs w:val="20"/>
          <w:lang w:val="en-US"/>
        </w:rPr>
      </w:pPr>
      <w:r w:rsidRPr="00E72418">
        <w:rPr>
          <w:rStyle w:val="Appelnotedebasdep"/>
          <w:szCs w:val="20"/>
        </w:rPr>
        <w:footnoteRef/>
      </w:r>
      <w:r w:rsidRPr="00E72418">
        <w:rPr>
          <w:szCs w:val="20"/>
          <w:vertAlign w:val="superscript"/>
          <w:lang w:val="en-US"/>
        </w:rPr>
        <w:t xml:space="preserve"> </w:t>
      </w:r>
      <w:r w:rsidRPr="00E72418">
        <w:rPr>
          <w:szCs w:val="20"/>
          <w:lang w:val="en-US"/>
        </w:rPr>
        <w:t>Voyez l’article 5(4) : « [s]ubsection (3) does not apply in relation to a claim if the effect of it so applying would be to increase the amount of the judgment or award ».</w:t>
      </w:r>
    </w:p>
  </w:footnote>
  <w:footnote w:id="1561">
    <w:p w14:paraId="28622B9D" w14:textId="3EED56DD" w:rsidR="0030147D" w:rsidRPr="00E72418" w:rsidRDefault="0030147D" w:rsidP="00221754">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27</w:t>
      </w:r>
      <w:r w:rsidRPr="00E72418">
        <w:rPr>
          <w:rStyle w:val="Lienhypertexte"/>
          <w:color w:val="auto"/>
          <w:szCs w:val="20"/>
          <w:u w:val="none"/>
          <w:lang w:val="en-US"/>
        </w:rPr>
        <w:t>.</w:t>
      </w:r>
    </w:p>
  </w:footnote>
  <w:footnote w:id="1562">
    <w:p w14:paraId="592FFDED" w14:textId="77777777" w:rsidR="0030147D" w:rsidRPr="00E72418" w:rsidRDefault="0030147D" w:rsidP="00221754">
      <w:pPr>
        <w:pStyle w:val="Sansinterligne"/>
        <w:rPr>
          <w:szCs w:val="20"/>
          <w:lang w:val="en-US"/>
        </w:rPr>
      </w:pPr>
      <w:r w:rsidRPr="00E72418">
        <w:rPr>
          <w:rStyle w:val="Appelnotedebasdep"/>
          <w:szCs w:val="20"/>
        </w:rPr>
        <w:footnoteRef/>
      </w:r>
      <w:r w:rsidRPr="00E72418">
        <w:rPr>
          <w:szCs w:val="20"/>
        </w:rPr>
        <w:t xml:space="preserve"> Les notions de « judgment » et de « foreign judgment » utilisées sont précisées à l’article 5(5). </w:t>
      </w:r>
      <w:r w:rsidRPr="00E72418">
        <w:rPr>
          <w:szCs w:val="20"/>
          <w:lang w:val="en-US"/>
        </w:rPr>
        <w:t xml:space="preserve">La première « includes an order (and references to the giving of a judgment are to be read accordingly) » et la seconde « means a judgment (however described) of a court or tribunal of a country outside the United Kingdom, and includes anything (other than an arbitration award) which is enforceable as if it were such a judgment ». L’article 5(1) précise qu’il s’agit de décisions et de sentences rendues au sujet d’une « relevant claim » qui signifie, nous dit l’article 5(2), « a claim for, or relating to, a qualifying debt » ou « a claim under an agreement compromising a claim </w:t>
      </w:r>
      <w:r w:rsidRPr="00E72418">
        <w:rPr>
          <w:rFonts w:ascii="Times New Roman" w:hAnsi="Times New Roman"/>
          <w:szCs w:val="20"/>
          <w:lang w:val="en-US"/>
        </w:rPr>
        <w:t>[</w:t>
      </w:r>
      <w:r w:rsidRPr="00E72418">
        <w:rPr>
          <w:szCs w:val="20"/>
          <w:lang w:val="en-US"/>
        </w:rPr>
        <w:t>for, or relating to, a qualifying debt</w:t>
      </w:r>
      <w:r w:rsidRPr="00E72418">
        <w:rPr>
          <w:rFonts w:ascii="Times New Roman" w:hAnsi="Times New Roman"/>
          <w:szCs w:val="20"/>
          <w:lang w:val="en-US"/>
        </w:rPr>
        <w:t>]</w:t>
      </w:r>
      <w:r w:rsidRPr="00E72418">
        <w:rPr>
          <w:szCs w:val="20"/>
          <w:lang w:val="en-US"/>
        </w:rPr>
        <w:t xml:space="preserve"> ».</w:t>
      </w:r>
    </w:p>
  </w:footnote>
  <w:footnote w:id="1563">
    <w:p w14:paraId="212D4969" w14:textId="6E702DDB" w:rsidR="0030147D" w:rsidRPr="00E72418" w:rsidRDefault="0030147D" w:rsidP="0022175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F. Chukwu</w:t>
      </w:r>
      <w:r w:rsidRPr="00E72418">
        <w:rPr>
          <w:szCs w:val="20"/>
          <w:lang w:val="en-US"/>
        </w:rPr>
        <w:t xml:space="preserve">, « Refocusing on the Objectives: A Critique of the U.K.’s Debt Relief (Developing Countries) Act, 2010 », disponible à l’adresse </w:t>
      </w:r>
      <w:hyperlink r:id="rId62" w:history="1">
        <w:r w:rsidRPr="00E72418">
          <w:rPr>
            <w:rStyle w:val="Lienhypertexte"/>
            <w:color w:val="auto"/>
            <w:szCs w:val="20"/>
            <w:u w:val="none"/>
            <w:lang w:val="en-US"/>
          </w:rPr>
          <w:t>https://papers.ssrn.com/sol3/papers.cfm?abstract_id=3202517</w:t>
        </w:r>
      </w:hyperlink>
      <w:r w:rsidRPr="00E72418">
        <w:rPr>
          <w:rStyle w:val="Lienhypertexte"/>
          <w:color w:val="auto"/>
          <w:szCs w:val="20"/>
          <w:u w:val="none"/>
          <w:lang w:val="en-US"/>
        </w:rPr>
        <w:t xml:space="preserve"> (consultation le 17 octobre 2021), p. 18.</w:t>
      </w:r>
    </w:p>
  </w:footnote>
  <w:footnote w:id="1564">
    <w:p w14:paraId="61661297" w14:textId="7D41A5CD" w:rsidR="0030147D" w:rsidRPr="00E72418" w:rsidRDefault="0030147D" w:rsidP="00221754">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29. Voyez également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17. Pour ce qui est des chiffres, il fut relevé qu’ « [e]xcluding them was thought to reduce the potential benefits under the Bill by a third » (</w:t>
      </w:r>
      <w:r w:rsidRPr="00E72418">
        <w:rPr>
          <w:i/>
          <w:szCs w:val="20"/>
          <w:lang w:val="en-US"/>
        </w:rPr>
        <w:t>Debt Relief (Developing Countries) Bill</w:t>
      </w:r>
      <w:r w:rsidRPr="00E72418">
        <w:rPr>
          <w:szCs w:val="20"/>
          <w:lang w:val="en-US"/>
        </w:rPr>
        <w:t xml:space="preserve">, Committee Stage Report, Research paper 10/26, 11 mars 2010, p. 1). </w:t>
      </w:r>
    </w:p>
  </w:footnote>
  <w:footnote w:id="1565">
    <w:p w14:paraId="23E415B5" w14:textId="0C77CA9F" w:rsidR="0030147D" w:rsidRPr="00E72418" w:rsidRDefault="0030147D" w:rsidP="00221754">
      <w:pPr>
        <w:pStyle w:val="Sansinterligne"/>
        <w:rPr>
          <w:szCs w:val="20"/>
        </w:rPr>
      </w:pPr>
      <w:r w:rsidRPr="00E72418">
        <w:rPr>
          <w:rStyle w:val="Appelnotedebasdep"/>
          <w:szCs w:val="20"/>
        </w:rPr>
        <w:footnoteRef/>
      </w:r>
      <w:r w:rsidRPr="00E72418">
        <w:rPr>
          <w:szCs w:val="20"/>
        </w:rPr>
        <w:t xml:space="preserve"> Relevons que dès lors que sont visées les décisions rendues par les juridictions britanniques avant l’entrée en vigueur de la loi, la décision de fin 2009 rendue dans l’affaire ayant opposé les fonds </w:t>
      </w:r>
      <w:r w:rsidRPr="00E72418">
        <w:rPr>
          <w:i/>
          <w:szCs w:val="20"/>
        </w:rPr>
        <w:t>Hamsah Investments Ltd.</w:t>
      </w:r>
      <w:r w:rsidRPr="00E72418">
        <w:rPr>
          <w:szCs w:val="20"/>
        </w:rPr>
        <w:t xml:space="preserve"> et </w:t>
      </w:r>
      <w:r w:rsidRPr="00E72418">
        <w:rPr>
          <w:i/>
          <w:szCs w:val="20"/>
        </w:rPr>
        <w:t>Wall Capital Ltd.</w:t>
      </w:r>
      <w:r w:rsidRPr="00E72418">
        <w:rPr>
          <w:szCs w:val="20"/>
        </w:rPr>
        <w:t xml:space="preserve"> au Libéria est par exemple concernée (</w:t>
      </w:r>
      <w:r w:rsidRPr="00E72418">
        <w:rPr>
          <w:i/>
          <w:szCs w:val="20"/>
        </w:rPr>
        <w:t>Debt Relief (Developing Countries) Bill</w:t>
      </w:r>
      <w:r w:rsidRPr="00E72418">
        <w:rPr>
          <w:szCs w:val="20"/>
        </w:rPr>
        <w:t xml:space="preserve">, Committee Stage Report, Research paper 10/26, 11 mars 2010, pp. 11 et 12. Sur cette décision, voyez </w:t>
      </w:r>
      <w:r w:rsidRPr="00E72418">
        <w:rPr>
          <w:i/>
          <w:szCs w:val="20"/>
        </w:rPr>
        <w:t>supra</w:t>
      </w:r>
      <w:r w:rsidRPr="00E72418">
        <w:rPr>
          <w:szCs w:val="20"/>
        </w:rPr>
        <w:t xml:space="preserve"> n° 115).</w:t>
      </w:r>
    </w:p>
  </w:footnote>
  <w:footnote w:id="1566">
    <w:p w14:paraId="002174FC" w14:textId="7E143554" w:rsidR="0030147D" w:rsidRPr="00E72418" w:rsidRDefault="0030147D" w:rsidP="00C51EE5">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29 et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17. Pour le Gouvernement encore, l’exclusion des décisions déjà prononcées « would also lead to inequity amongst creditors by leaving substantially different rights of recovery between two creditors, otherwise identical, where one chose to litigate on the claim in advance of this legislation being proposed ». Lors des travaux préparatoires, John Hemming relevait l’analogie avec le droit de l’insolvabilité où « judgment debt is treated the same as non-judgment debt » (Public Bill Committee, </w:t>
      </w:r>
      <w:r w:rsidRPr="00E72418">
        <w:rPr>
          <w:i/>
          <w:szCs w:val="20"/>
          <w:lang w:val="en-US"/>
        </w:rPr>
        <w:t>Debt Relief (Developing Countries) Bill</w:t>
      </w:r>
      <w:r w:rsidRPr="00E72418">
        <w:rPr>
          <w:szCs w:val="20"/>
          <w:lang w:val="en-US"/>
        </w:rPr>
        <w:t xml:space="preserve">, 9 mars 2010, colonne 22). Dans le même sens, Stephen Timms expliquait qu’ « in insolvency law, a debt on which there is already a judgment is not, in general, treated more favourably </w:t>
      </w:r>
      <w:r w:rsidRPr="00E72418">
        <w:rPr>
          <w:b/>
          <w:szCs w:val="20"/>
        </w:rPr>
        <w:t xml:space="preserve">– </w:t>
      </w:r>
      <w:r w:rsidRPr="00E72418">
        <w:rPr>
          <w:szCs w:val="20"/>
          <w:lang w:val="en-US"/>
        </w:rPr>
        <w:t>that is, to be repaid at the expense of other debts » (</w:t>
      </w:r>
      <w:r w:rsidRPr="00E72418">
        <w:rPr>
          <w:i/>
          <w:szCs w:val="20"/>
        </w:rPr>
        <w:t>ibid.</w:t>
      </w:r>
      <w:r w:rsidRPr="00E72418">
        <w:rPr>
          <w:szCs w:val="20"/>
          <w:lang w:val="en-US"/>
        </w:rPr>
        <w:t xml:space="preserve">). </w:t>
      </w:r>
    </w:p>
  </w:footnote>
  <w:footnote w:id="1567">
    <w:p w14:paraId="129C9675" w14:textId="3A44A557" w:rsidR="0030147D" w:rsidRPr="00E72418" w:rsidRDefault="0030147D" w:rsidP="002D3282">
      <w:pPr>
        <w:pStyle w:val="Sansinterligne"/>
      </w:pPr>
      <w:r w:rsidRPr="00E72418">
        <w:rPr>
          <w:rStyle w:val="Appelnotedebasdep"/>
        </w:rPr>
        <w:footnoteRef/>
      </w:r>
      <w:r w:rsidRPr="00E72418">
        <w:t xml:space="preserve"> Sur ces considérations permettant de valider le respect de l’article premier du Premier Protocole additionnel à la Convention européenne des droits de l’homme, voyez </w:t>
      </w:r>
      <w:r w:rsidRPr="00E72418">
        <w:rPr>
          <w:i/>
        </w:rPr>
        <w:t>infra</w:t>
      </w:r>
      <w:r w:rsidRPr="00E72418">
        <w:t xml:space="preserve"> n</w:t>
      </w:r>
      <w:r w:rsidRPr="00E72418">
        <w:rPr>
          <w:vertAlign w:val="superscript"/>
        </w:rPr>
        <w:t>os</w:t>
      </w:r>
      <w:r w:rsidRPr="00E72418">
        <w:t xml:space="preserve"> 381 et suiv.</w:t>
      </w:r>
    </w:p>
  </w:footnote>
  <w:footnote w:id="1568">
    <w:p w14:paraId="1E918BD1" w14:textId="77777777" w:rsidR="0030147D" w:rsidRPr="00E72418" w:rsidRDefault="0030147D" w:rsidP="00CD5B9D">
      <w:pPr>
        <w:pStyle w:val="Sansinterligne"/>
        <w:rPr>
          <w:szCs w:val="20"/>
          <w:lang w:val="en-US"/>
        </w:rPr>
      </w:pPr>
      <w:r w:rsidRPr="00E72418">
        <w:rPr>
          <w:rStyle w:val="Appelnotedebasdep"/>
          <w:szCs w:val="20"/>
        </w:rPr>
        <w:footnoteRef/>
      </w:r>
      <w:r w:rsidRPr="00E72418">
        <w:rPr>
          <w:szCs w:val="20"/>
          <w:lang w:val="en-US"/>
        </w:rPr>
        <w:t xml:space="preserve"> L’article dispose que « [n]othing in this Act enables a person to recover anything paid in (total or partial) satisfaction of any liability (whether arising under an agreement, judgment, order, award or otherwise) ».</w:t>
      </w:r>
    </w:p>
  </w:footnote>
  <w:footnote w:id="1569">
    <w:p w14:paraId="50AD811B" w14:textId="77777777" w:rsidR="0030147D" w:rsidRPr="00E72418" w:rsidRDefault="0030147D" w:rsidP="00CD5B9D">
      <w:pPr>
        <w:pStyle w:val="Sansinterligne"/>
        <w:rPr>
          <w:szCs w:val="20"/>
        </w:rPr>
      </w:pPr>
      <w:r w:rsidRPr="00E72418">
        <w:rPr>
          <w:rStyle w:val="Appelnotedebasdep"/>
          <w:szCs w:val="20"/>
        </w:rPr>
        <w:footnoteRef/>
      </w:r>
      <w:r w:rsidRPr="00E72418">
        <w:rPr>
          <w:szCs w:val="20"/>
          <w:lang w:val="en-US"/>
        </w:rPr>
        <w:t xml:space="preserve"> Cette règle est prévue à l’article 10(2) du </w:t>
      </w:r>
      <w:r w:rsidRPr="00E72418">
        <w:rPr>
          <w:i/>
          <w:szCs w:val="20"/>
          <w:lang w:val="en-US"/>
        </w:rPr>
        <w:t>Heavily Indebted Poor Countries (Limitation on Debt Recovery) Act 2012</w:t>
      </w:r>
      <w:r w:rsidRPr="00E72418">
        <w:rPr>
          <w:szCs w:val="20"/>
          <w:lang w:val="en-US"/>
        </w:rPr>
        <w:t xml:space="preserve"> de l’</w:t>
      </w:r>
      <w:r w:rsidRPr="00E72418">
        <w:rPr>
          <w:caps/>
          <w:szCs w:val="20"/>
          <w:lang w:val="en-US"/>
        </w:rPr>
        <w:t>î</w:t>
      </w:r>
      <w:r w:rsidRPr="00E72418">
        <w:rPr>
          <w:szCs w:val="20"/>
          <w:lang w:val="en-US"/>
        </w:rPr>
        <w:t xml:space="preserve">le de Man. </w:t>
      </w:r>
      <w:r w:rsidRPr="00E72418">
        <w:rPr>
          <w:szCs w:val="20"/>
        </w:rPr>
        <w:t>Cette législation est similaire à la législation britannique qui ne comporte toutefois pas la règle dans ses termes.</w:t>
      </w:r>
    </w:p>
  </w:footnote>
  <w:footnote w:id="1570">
    <w:p w14:paraId="2B3EC92B" w14:textId="38F927D5" w:rsidR="0030147D" w:rsidRPr="00E72418" w:rsidRDefault="0030147D" w:rsidP="00721496">
      <w:pPr>
        <w:pStyle w:val="Sansinterligne"/>
        <w:rPr>
          <w:szCs w:val="20"/>
          <w:lang w:val="en-US"/>
        </w:rPr>
      </w:pPr>
      <w:r w:rsidRPr="00E72418">
        <w:rPr>
          <w:rStyle w:val="Appelnotedebasdep"/>
          <w:szCs w:val="20"/>
        </w:rPr>
        <w:footnoteRef/>
      </w:r>
      <w:r w:rsidRPr="00E72418">
        <w:rPr>
          <w:szCs w:val="20"/>
        </w:rPr>
        <w:t xml:space="preserve"> Les notes explicatives à la loi indiquent qu’un tel accord ne saurait toutefois nuire au créancier pour qui la limitation à la « relevant proportion » sera calculée sur la base du montant original de la dette (</w:t>
      </w:r>
      <w:r w:rsidRPr="00E72418">
        <w:rPr>
          <w:i/>
          <w:szCs w:val="20"/>
        </w:rPr>
        <w:t>Debt Relief (Developing Countries) Act 2010</w:t>
      </w:r>
      <w:r w:rsidRPr="00E72418">
        <w:rPr>
          <w:szCs w:val="20"/>
        </w:rPr>
        <w:t>, explanatory notes, paragraphe 17</w:t>
      </w:r>
      <w:r w:rsidRPr="00E72418">
        <w:rPr>
          <w:rStyle w:val="Lienhypertexte"/>
          <w:color w:val="auto"/>
          <w:szCs w:val="20"/>
          <w:u w:val="none"/>
        </w:rPr>
        <w:t xml:space="preserve">). </w:t>
      </w:r>
      <w:r w:rsidRPr="00E72418">
        <w:rPr>
          <w:szCs w:val="20"/>
          <w:lang w:val="en-US"/>
        </w:rPr>
        <w:t xml:space="preserve">Les notes donnent un exemple concret : « [f]or example, the creditor and debtor may have agreed to reduce a debt from £100 to £50, while the level of reduction expected under the HIPC Initiative is 90%. The effect of these sections is to apply that 90% reduction to the original £100, rather than the £50 value of the debt at the time the legislation is applied. In the example, the amount recoverable would be £10 rather than £5 ». Voyez encore les propos de William Teare durant les travaux préparatoires du </w:t>
      </w:r>
      <w:r w:rsidRPr="00E72418">
        <w:rPr>
          <w:i/>
          <w:szCs w:val="20"/>
          <w:lang w:val="en-US"/>
        </w:rPr>
        <w:t>Heavily Indebted Poor Countries (Limitation on Debt Recovery) Act 2012</w:t>
      </w:r>
      <w:r w:rsidRPr="00E72418">
        <w:rPr>
          <w:szCs w:val="20"/>
          <w:lang w:val="en-US"/>
        </w:rPr>
        <w:t xml:space="preserve"> in House of Keys, </w:t>
      </w:r>
      <w:r w:rsidRPr="00E72418">
        <w:rPr>
          <w:i/>
          <w:szCs w:val="20"/>
          <w:lang w:val="en-US"/>
        </w:rPr>
        <w:t>Heavily Indebted Poor Countries (Limitation on Debt Recovery) Bill 2012</w:t>
      </w:r>
      <w:r w:rsidRPr="00E72418">
        <w:rPr>
          <w:szCs w:val="20"/>
          <w:lang w:val="en-US"/>
        </w:rPr>
        <w:t>, Clauses considered, 22 mai 2012, vol. 129, n° 21, lignes 1789 à 1791.</w:t>
      </w:r>
    </w:p>
  </w:footnote>
  <w:footnote w:id="1571">
    <w:p w14:paraId="22B840BA" w14:textId="10FD27C8" w:rsidR="0030147D" w:rsidRPr="00E72418" w:rsidRDefault="0030147D" w:rsidP="00721496">
      <w:pPr>
        <w:pStyle w:val="Sansinterligne"/>
        <w:rPr>
          <w:szCs w:val="20"/>
          <w:lang w:val="en-US"/>
        </w:rPr>
      </w:pPr>
      <w:r w:rsidRPr="00E72418">
        <w:rPr>
          <w:rStyle w:val="Appelnotedebasdep"/>
          <w:szCs w:val="20"/>
        </w:rPr>
        <w:footnoteRef/>
      </w:r>
      <w:r w:rsidRPr="00E72418">
        <w:rPr>
          <w:szCs w:val="20"/>
          <w:lang w:val="en-US"/>
        </w:rPr>
        <w:t xml:space="preserve"> Les notes explicatives de la loi indiquent que </w:t>
      </w:r>
      <w:r w:rsidRPr="00E72418">
        <w:rPr>
          <w:rStyle w:val="SansinterligneCar"/>
          <w:szCs w:val="20"/>
          <w:lang w:val="en-US"/>
        </w:rPr>
        <w:t xml:space="preserve">« </w:t>
      </w:r>
      <w:r w:rsidRPr="00E72418">
        <w:rPr>
          <w:szCs w:val="20"/>
          <w:lang w:val="en-US"/>
        </w:rPr>
        <w:t>[s]ubsection (5) refers to the net present value of future payments » et que « [t]he discount rate applied in association with the Initiative is the relevant Commercial Interest Reference Rate, as published by the Organisation for Economic Co-operation and Development (“the OECD”) » (</w:t>
      </w:r>
      <w:r w:rsidRPr="00E72418">
        <w:rPr>
          <w:i/>
          <w:szCs w:val="20"/>
          <w:lang w:val="en-US"/>
        </w:rPr>
        <w:t>Debt Relief (Developing Countries) Act 2010</w:t>
      </w:r>
      <w:r w:rsidRPr="00E72418">
        <w:rPr>
          <w:szCs w:val="20"/>
          <w:lang w:val="en-US"/>
        </w:rPr>
        <w:t>, explanatory notes, paragraphe 18</w:t>
      </w:r>
      <w:r w:rsidRPr="00E72418">
        <w:rPr>
          <w:rStyle w:val="Lienhypertexte"/>
          <w:color w:val="auto"/>
          <w:szCs w:val="20"/>
          <w:u w:val="none"/>
          <w:lang w:val="en-US"/>
        </w:rPr>
        <w:t>).</w:t>
      </w:r>
    </w:p>
  </w:footnote>
  <w:footnote w:id="1572">
    <w:p w14:paraId="0C39FA7D" w14:textId="6B1EFCB4" w:rsidR="0030147D" w:rsidRPr="00E72418" w:rsidRDefault="0030147D" w:rsidP="0012029C">
      <w:pPr>
        <w:pStyle w:val="Sansinterligne"/>
        <w:rPr>
          <w:szCs w:val="20"/>
        </w:rPr>
      </w:pPr>
      <w:r w:rsidRPr="00E72418">
        <w:rPr>
          <w:rStyle w:val="Appelnotedebasdep"/>
          <w:szCs w:val="20"/>
        </w:rPr>
        <w:footnoteRef/>
      </w:r>
      <w:r w:rsidRPr="00E72418">
        <w:rPr>
          <w:szCs w:val="20"/>
        </w:rPr>
        <w:t xml:space="preserve"> Les notes explicatives de la loi britannique renvoient aux précisions données au sujet des articles 3(3) et 3(4) (</w:t>
      </w:r>
      <w:r w:rsidRPr="00E72418">
        <w:rPr>
          <w:i/>
          <w:szCs w:val="20"/>
        </w:rPr>
        <w:t>ibid.</w:t>
      </w:r>
      <w:r w:rsidRPr="00E72418">
        <w:rPr>
          <w:szCs w:val="20"/>
        </w:rPr>
        <w:t>, paragraphe 28</w:t>
      </w:r>
      <w:r w:rsidRPr="00E72418">
        <w:rPr>
          <w:rStyle w:val="Lienhypertexte"/>
          <w:color w:val="auto"/>
          <w:szCs w:val="20"/>
          <w:u w:val="none"/>
        </w:rPr>
        <w:t>)</w:t>
      </w:r>
      <w:r w:rsidRPr="00E72418">
        <w:rPr>
          <w:szCs w:val="20"/>
        </w:rPr>
        <w:t>.</w:t>
      </w:r>
    </w:p>
  </w:footnote>
  <w:footnote w:id="1573">
    <w:p w14:paraId="274B3353" w14:textId="77777777" w:rsidR="0030147D" w:rsidRPr="00E72418" w:rsidRDefault="0030147D" w:rsidP="00615A3D">
      <w:pPr>
        <w:pStyle w:val="Sansinterligne"/>
        <w:rPr>
          <w:szCs w:val="20"/>
        </w:rPr>
      </w:pPr>
      <w:r w:rsidRPr="00E72418">
        <w:rPr>
          <w:rStyle w:val="Appelnotedebasdep"/>
          <w:szCs w:val="20"/>
        </w:rPr>
        <w:footnoteRef/>
      </w:r>
      <w:r w:rsidRPr="00E72418">
        <w:rPr>
          <w:szCs w:val="20"/>
        </w:rPr>
        <w:t xml:space="preserve"> Cette exception intitulée dans le texte britannique « Exception where debtor fails to make offer to pay recoverable amount », n’existe pas dans l’Initiative de la Banque mondiale et du Fonds monétaire international.</w:t>
      </w:r>
    </w:p>
  </w:footnote>
  <w:footnote w:id="1574">
    <w:p w14:paraId="0AFCCD8C" w14:textId="44141393" w:rsidR="0030147D" w:rsidRPr="00E72418" w:rsidRDefault="0030147D" w:rsidP="00BF61A6">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29</w:t>
      </w:r>
      <w:r w:rsidRPr="00E72418">
        <w:rPr>
          <w:rStyle w:val="Lienhypertexte"/>
          <w:color w:val="auto"/>
          <w:szCs w:val="20"/>
          <w:u w:val="none"/>
          <w:lang w:val="en-US"/>
        </w:rPr>
        <w:t>. Voyez également </w:t>
      </w:r>
      <w:r w:rsidRPr="00E72418">
        <w:rPr>
          <w:i/>
          <w:szCs w:val="20"/>
          <w:lang w:val="en-US"/>
        </w:rPr>
        <w:t>Debt Relief (Developing Countries) Bill</w:t>
      </w:r>
      <w:r w:rsidRPr="00E72418">
        <w:rPr>
          <w:szCs w:val="20"/>
          <w:lang w:val="en-US"/>
        </w:rPr>
        <w:t xml:space="preserve">, explanatory notes, paragraphe 48 </w:t>
      </w:r>
      <w:r w:rsidRPr="00E72418">
        <w:rPr>
          <w:rStyle w:val="Lienhypertexte"/>
          <w:color w:val="auto"/>
          <w:szCs w:val="20"/>
          <w:u w:val="none"/>
          <w:lang w:val="en-US"/>
        </w:rPr>
        <w:t>: « </w:t>
      </w:r>
      <w:r w:rsidRPr="00E72418">
        <w:rPr>
          <w:szCs w:val="20"/>
          <w:lang w:val="en-US"/>
        </w:rPr>
        <w:t>[t]his exception is intended to promote settlement on HIPC terms, and will assist creditors who wish to settle on those terms, in circumstances where the debtor is uncooperative ». Le Gouvernement britannique était d’avis que « </w:t>
      </w:r>
      <w:r w:rsidRPr="00E72418">
        <w:rPr>
          <w:rFonts w:cs="Humanist 77 7 BT"/>
          <w:szCs w:val="20"/>
          <w:lang w:val="en-US"/>
        </w:rPr>
        <w:t xml:space="preserve">where creditors and debtors can reach a negotiated restructuring in line with the HIPC Initiative and to the satisfaction of all parties involved, this represents the best resolution of these debts </w:t>
      </w:r>
      <w:r w:rsidRPr="00E72418">
        <w:rPr>
          <w:szCs w:val="20"/>
          <w:lang w:val="en-US"/>
        </w:rPr>
        <w:t xml:space="preserve">». Ainsi, « </w:t>
      </w:r>
      <w:r w:rsidRPr="00E72418">
        <w:rPr>
          <w:rFonts w:cs="Humanist 77 7 BT"/>
          <w:szCs w:val="20"/>
          <w:lang w:val="en-US"/>
        </w:rPr>
        <w:t xml:space="preserve">the Government supports providing an incentive in any legislation for HIPC governments to seek to settle their debts on compatible terms without litigation </w:t>
      </w:r>
      <w:r w:rsidRPr="00E72418">
        <w:rPr>
          <w:szCs w:val="20"/>
          <w:lang w:val="en-US"/>
        </w:rPr>
        <w:t>». Le Gouvernement notait encore que « [t]</w:t>
      </w:r>
      <w:r w:rsidRPr="00E72418">
        <w:rPr>
          <w:rFonts w:cs="Humanist 77 7 BT"/>
          <w:szCs w:val="20"/>
          <w:lang w:val="en-US"/>
        </w:rPr>
        <w:t xml:space="preserve">he aim of the exception is to improve the creditor’s position, because it places a strong incentive on debtors to offer to settle on HIPC compatible terms </w:t>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16).</w:t>
      </w:r>
    </w:p>
  </w:footnote>
  <w:footnote w:id="1575">
    <w:p w14:paraId="1F6637E6" w14:textId="5CBC0CCE" w:rsidR="0030147D" w:rsidRPr="00E72418" w:rsidRDefault="0030147D" w:rsidP="00BF61A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727.</w:t>
      </w:r>
    </w:p>
  </w:footnote>
  <w:footnote w:id="1576">
    <w:p w14:paraId="2F7B2356" w14:textId="1B54BDC3" w:rsidR="0030147D" w:rsidRPr="00E72418" w:rsidRDefault="0030147D" w:rsidP="00615A3D">
      <w:pPr>
        <w:pStyle w:val="Sansinterligne"/>
        <w:rPr>
          <w:szCs w:val="20"/>
          <w:lang w:val="en-US"/>
        </w:rPr>
      </w:pPr>
      <w:r w:rsidRPr="00E72418">
        <w:rPr>
          <w:rStyle w:val="Appelnotedebasdep"/>
          <w:szCs w:val="20"/>
        </w:rPr>
        <w:footnoteRef/>
      </w:r>
      <w:r w:rsidRPr="00E72418">
        <w:rPr>
          <w:szCs w:val="20"/>
        </w:rPr>
        <w:t xml:space="preserve"> On peut lire dans les notes explicatives de la loi que « [s]</w:t>
      </w:r>
      <w:r w:rsidRPr="00E72418">
        <w:rPr>
          <w:rStyle w:val="Accentuation"/>
          <w:i w:val="0"/>
          <w:iCs w:val="0"/>
          <w:szCs w:val="20"/>
        </w:rPr>
        <w:t>ubsection (2)</w:t>
      </w:r>
      <w:r w:rsidRPr="00E72418">
        <w:rPr>
          <w:szCs w:val="20"/>
        </w:rPr>
        <w:t xml:space="preserve"> refers to the net present value of future payments. </w:t>
      </w:r>
      <w:r w:rsidRPr="00E72418">
        <w:rPr>
          <w:szCs w:val="20"/>
          <w:lang w:val="en-US"/>
        </w:rPr>
        <w:t>The discount rate applied in association with the Initiative is the relevant Commercial Interest Reference Rate, as published by the OECD » (</w:t>
      </w:r>
      <w:r w:rsidRPr="00E72418">
        <w:rPr>
          <w:i/>
          <w:szCs w:val="20"/>
          <w:lang w:val="en-US"/>
        </w:rPr>
        <w:t>Debt Relief (Developing Countries) Act 2010</w:t>
      </w:r>
      <w:r w:rsidRPr="00E72418">
        <w:rPr>
          <w:szCs w:val="20"/>
          <w:lang w:val="en-US"/>
        </w:rPr>
        <w:t>, explanatory notes, paragraphe 31</w:t>
      </w:r>
      <w:r w:rsidRPr="00E72418">
        <w:rPr>
          <w:rStyle w:val="Lienhypertexte"/>
          <w:color w:val="auto"/>
          <w:szCs w:val="20"/>
          <w:u w:val="none"/>
          <w:lang w:val="en-US"/>
        </w:rPr>
        <w:t>).</w:t>
      </w:r>
    </w:p>
  </w:footnote>
  <w:footnote w:id="1577">
    <w:p w14:paraId="2207573C" w14:textId="6B5EBE66" w:rsidR="0030147D" w:rsidRPr="00E72418" w:rsidRDefault="0030147D" w:rsidP="00615A3D">
      <w:pPr>
        <w:pStyle w:val="Sansinterligne"/>
        <w:rPr>
          <w:szCs w:val="20"/>
          <w:lang w:val="en-US"/>
        </w:rPr>
      </w:pPr>
      <w:r w:rsidRPr="00E72418">
        <w:rPr>
          <w:rStyle w:val="Appelnotedebasdep"/>
          <w:szCs w:val="20"/>
        </w:rPr>
        <w:footnoteRef/>
      </w:r>
      <w:r w:rsidRPr="00E72418">
        <w:rPr>
          <w:szCs w:val="20"/>
          <w:lang w:val="en-US"/>
        </w:rPr>
        <w:t xml:space="preserve"> Les notes explicatives de la législation prévoient que « [t]</w:t>
      </w:r>
      <w:r w:rsidRPr="00E72418">
        <w:rPr>
          <w:szCs w:val="20"/>
          <w:shd w:val="clear" w:color="auto" w:fill="FFFFFF"/>
          <w:lang w:val="en-US"/>
        </w:rPr>
        <w:t xml:space="preserve">his provision will not apply to proceedings to enforce domestic judgments given before the commencement of this legislation (or proceedings to enforce foreign judgments registered before that date, or to enforce arbitration awards where permission has been given before that date for the award to be enforced as if it were a judgment.) In those situations, the reduction will apply to the judgment or award, without the need for the debtor to make an offer </w:t>
      </w:r>
      <w:r w:rsidRPr="00E72418">
        <w:rPr>
          <w:szCs w:val="20"/>
          <w:lang w:val="en-US"/>
        </w:rPr>
        <w:t>» (</w:t>
      </w:r>
      <w:r w:rsidRPr="00E72418">
        <w:rPr>
          <w:i/>
          <w:szCs w:val="20"/>
          <w:lang w:val="en-US"/>
        </w:rPr>
        <w:t>ibid.</w:t>
      </w:r>
      <w:r w:rsidRPr="00E72418">
        <w:rPr>
          <w:szCs w:val="20"/>
          <w:lang w:val="en-US"/>
        </w:rPr>
        <w:t>, paragraphe 30</w:t>
      </w:r>
      <w:r w:rsidRPr="00E72418">
        <w:rPr>
          <w:rStyle w:val="Lienhypertexte"/>
          <w:color w:val="auto"/>
          <w:szCs w:val="20"/>
          <w:u w:val="none"/>
          <w:lang w:val="en-US"/>
        </w:rPr>
        <w:t>)</w:t>
      </w:r>
      <w:r w:rsidRPr="00E72418">
        <w:rPr>
          <w:szCs w:val="20"/>
          <w:lang w:val="en-US"/>
        </w:rPr>
        <w:t>.</w:t>
      </w:r>
    </w:p>
  </w:footnote>
  <w:footnote w:id="1578">
    <w:p w14:paraId="0EAA6D18" w14:textId="400DABFA" w:rsidR="0030147D" w:rsidRPr="00E72418" w:rsidRDefault="0030147D" w:rsidP="00AA208F">
      <w:pPr>
        <w:pStyle w:val="Sansinterligne"/>
        <w:rPr>
          <w:szCs w:val="20"/>
          <w:lang w:val="en-US"/>
        </w:rPr>
      </w:pPr>
      <w:r w:rsidRPr="00E72418">
        <w:rPr>
          <w:rStyle w:val="Appelnotedebasdep"/>
          <w:szCs w:val="20"/>
        </w:rPr>
        <w:footnoteRef/>
      </w:r>
      <w:r w:rsidRPr="00E72418">
        <w:rPr>
          <w:szCs w:val="20"/>
        </w:rPr>
        <w:t xml:space="preserve"> Voyez l’article 1(3)(c) de la loi. L’article 1(9) de la loi précise que le terme « country » qui y est utilisé « includes a territory ».</w:t>
      </w:r>
    </w:p>
  </w:footnote>
  <w:footnote w:id="1579">
    <w:p w14:paraId="3B27F275" w14:textId="43697D49" w:rsidR="0030147D" w:rsidRPr="00E72418" w:rsidRDefault="0030147D" w:rsidP="00280CDD">
      <w:pPr>
        <w:pStyle w:val="Sansinterligne"/>
        <w:rPr>
          <w:szCs w:val="20"/>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21. </w:t>
      </w:r>
      <w:r w:rsidRPr="00E72418">
        <w:rPr>
          <w:szCs w:val="20"/>
        </w:rPr>
        <w:t xml:space="preserve">Voyez également HM </w:t>
      </w:r>
      <w:r w:rsidRPr="00E72418">
        <w:rPr>
          <w:smallCaps/>
          <w:szCs w:val="20"/>
        </w:rPr>
        <w:t>Treasury</w:t>
      </w:r>
      <w:r w:rsidRPr="00E72418">
        <w:rPr>
          <w:szCs w:val="20"/>
        </w:rPr>
        <w:t xml:space="preserve">, </w:t>
      </w:r>
      <w:r w:rsidRPr="00E72418">
        <w:rPr>
          <w:i/>
          <w:szCs w:val="20"/>
        </w:rPr>
        <w:t>Ensuring effective debt relief for poor countries: a response to consultation</w:t>
      </w:r>
      <w:r w:rsidRPr="00E72418">
        <w:rPr>
          <w:szCs w:val="20"/>
        </w:rPr>
        <w:t>, 2010, p. 10 où le Gouvernement notait que le seul consensus valable internationalement relativement aux allègements de dettes souveraines était l’Initiative Pays Pauvres Très Endettés.</w:t>
      </w:r>
    </w:p>
  </w:footnote>
  <w:footnote w:id="1580">
    <w:p w14:paraId="068D49F3" w14:textId="7CFBED10" w:rsidR="0030147D" w:rsidRPr="00E72418" w:rsidRDefault="0030147D" w:rsidP="00DB7642">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10. </w:t>
      </w:r>
    </w:p>
  </w:footnote>
  <w:footnote w:id="1581">
    <w:p w14:paraId="755AA1C7" w14:textId="18BF41E6" w:rsidR="0030147D" w:rsidRPr="00E72418" w:rsidRDefault="0030147D" w:rsidP="00F35156">
      <w:pPr>
        <w:pStyle w:val="Sansinterligne"/>
        <w:rPr>
          <w:szCs w:val="20"/>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21. Lors de la consultation sur la loi en projet, il était remarqué « the relatively low proportion (6%) of debt within the scope of the HIPC Initiative held by commercial creditors, the minority of this governed by UK laws, the limited proportion of claims on which creditors would litigate, and the low rate of enforcement of claims awarded »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xml:space="preserve">, 2010, p. 6). </w:t>
      </w:r>
      <w:r w:rsidRPr="00E72418">
        <w:rPr>
          <w:szCs w:val="20"/>
        </w:rPr>
        <w:t xml:space="preserve">Si les dettes visées sont peu nombreuses, l’étude d’impact de la loi évaluait à cent quarante-cinq millions de livres le montant sur lequel les créanciers commerciaux ne pourraient pas mettre la main, montant somme toute important quand on connaît l’état de pauvreté dans lequel se trouvent les Pays Pauvres Très Endettés (HM </w:t>
      </w:r>
      <w:r w:rsidRPr="00E72418">
        <w:rPr>
          <w:smallCaps/>
          <w:szCs w:val="20"/>
        </w:rPr>
        <w:t>Treasury</w:t>
      </w:r>
      <w:r w:rsidRPr="00E72418">
        <w:rPr>
          <w:szCs w:val="20"/>
        </w:rPr>
        <w:t xml:space="preserve">, </w:t>
      </w:r>
      <w:r w:rsidRPr="00E72418">
        <w:rPr>
          <w:i/>
          <w:szCs w:val="20"/>
        </w:rPr>
        <w:t>Impact Assessment of measures to address non-participation in debt relief</w:t>
      </w:r>
      <w:r w:rsidRPr="00E72418">
        <w:rPr>
          <w:szCs w:val="20"/>
        </w:rPr>
        <w:t xml:space="preserve">, 2010, p. 2. </w:t>
      </w:r>
      <w:r w:rsidRPr="00E72418">
        <w:rPr>
          <w:szCs w:val="20"/>
          <w:lang w:val="en-US"/>
        </w:rPr>
        <w:t>Il s’agit d’ « a resource transfer of £145m from creditors that would otherwise have recovered sums in excess of that expected under the Initiative to the HIPCs that would otherwise have had to pay » (</w:t>
      </w:r>
      <w:r w:rsidRPr="00E72418">
        <w:rPr>
          <w:i/>
          <w:szCs w:val="20"/>
          <w:lang w:val="en-US"/>
        </w:rPr>
        <w:t>Debt Relief (Developing Countries) Bill</w:t>
      </w:r>
      <w:r w:rsidRPr="00E72418">
        <w:rPr>
          <w:szCs w:val="20"/>
          <w:lang w:val="en-US"/>
        </w:rPr>
        <w:t>, explanatory notes, paragraphe 38</w:t>
      </w:r>
      <w:r w:rsidRPr="00E72418">
        <w:rPr>
          <w:rStyle w:val="Titre4Car"/>
          <w:rFonts w:ascii="Times" w:eastAsiaTheme="minorHAnsi" w:hAnsi="Times" w:cstheme="minorBidi"/>
          <w:i w:val="0"/>
          <w:iCs w:val="0"/>
          <w:color w:val="auto"/>
          <w:szCs w:val="20"/>
          <w:lang w:val="en-US"/>
        </w:rPr>
        <w:t xml:space="preserve">). </w:t>
      </w:r>
      <w:r w:rsidRPr="00E72418">
        <w:rPr>
          <w:rStyle w:val="Titre4Car"/>
          <w:rFonts w:ascii="Times" w:eastAsiaTheme="minorHAnsi" w:hAnsi="Times" w:cstheme="minorBidi"/>
          <w:i w:val="0"/>
          <w:iCs w:val="0"/>
          <w:color w:val="auto"/>
          <w:szCs w:val="20"/>
        </w:rPr>
        <w:t>Notons toutefois la relative superficialité de ce montant qui, initialement, avait été annoncé à deux cents cinquante-quatre millions de livres (</w:t>
      </w:r>
      <w:r w:rsidRPr="00E72418">
        <w:rPr>
          <w:i/>
          <w:szCs w:val="20"/>
        </w:rPr>
        <w:t>Debt Relief (Developing Countries) Bill</w:t>
      </w:r>
      <w:r w:rsidRPr="00E72418">
        <w:rPr>
          <w:szCs w:val="20"/>
        </w:rPr>
        <w:t>, Committee Stage Report, Research paper 10/26, 11 mars 2010, p. 4)).</w:t>
      </w:r>
    </w:p>
  </w:footnote>
  <w:footnote w:id="1582">
    <w:p w14:paraId="30FD3978" w14:textId="77777777" w:rsidR="0030147D" w:rsidRPr="00E72418" w:rsidRDefault="0030147D" w:rsidP="00AA208F">
      <w:pPr>
        <w:pStyle w:val="Sansinterligne"/>
        <w:rPr>
          <w:szCs w:val="20"/>
        </w:rPr>
      </w:pPr>
      <w:r w:rsidRPr="00E72418">
        <w:rPr>
          <w:rStyle w:val="Appelnotedebasdep"/>
          <w:szCs w:val="20"/>
        </w:rPr>
        <w:footnoteRef/>
      </w:r>
      <w:r w:rsidRPr="00E72418">
        <w:rPr>
          <w:szCs w:val="20"/>
        </w:rPr>
        <w:t xml:space="preserve"> Voyez ainsi notamment la proposition d’amendement de David Gauke discutée in Public Bill Committee, </w:t>
      </w:r>
      <w:r w:rsidRPr="00E72418">
        <w:rPr>
          <w:i/>
          <w:szCs w:val="20"/>
        </w:rPr>
        <w:t>Debt Relief (Developing Countries) Bill</w:t>
      </w:r>
      <w:r w:rsidRPr="00E72418">
        <w:rPr>
          <w:szCs w:val="20"/>
        </w:rPr>
        <w:t>, 9 mars 2010, colonnes 3 à 7.</w:t>
      </w:r>
    </w:p>
  </w:footnote>
  <w:footnote w:id="1583">
    <w:p w14:paraId="7D9272E7" w14:textId="66171379" w:rsidR="0030147D" w:rsidRPr="00E72418" w:rsidRDefault="0030147D" w:rsidP="00565D02">
      <w:pPr>
        <w:pStyle w:val="Sansinterligne"/>
        <w:rPr>
          <w:szCs w:val="20"/>
        </w:rPr>
      </w:pPr>
      <w:r w:rsidRPr="00E72418">
        <w:rPr>
          <w:rStyle w:val="Appelnotedebasdep"/>
          <w:szCs w:val="20"/>
        </w:rPr>
        <w:footnoteRef/>
      </w:r>
      <w:r w:rsidRPr="00E72418">
        <w:rPr>
          <w:szCs w:val="20"/>
          <w:lang w:val="en-US"/>
        </w:rPr>
        <w:t xml:space="preserve"> Dans le même sens, les notes explicatives de la loi précisent que « future changes that might be made to the conditions for eligibility for the Initiative would not extend or reduce the debts to which the Act applies » (</w:t>
      </w:r>
      <w:r w:rsidRPr="00E72418">
        <w:rPr>
          <w:i/>
          <w:szCs w:val="20"/>
          <w:lang w:val="en-US"/>
        </w:rPr>
        <w:t>Debt Relief (Developing Countries) Act 2010</w:t>
      </w:r>
      <w:r w:rsidRPr="00E72418">
        <w:rPr>
          <w:szCs w:val="20"/>
          <w:lang w:val="en-US"/>
        </w:rPr>
        <w:t>, explanatory notes, paragraphe 9</w:t>
      </w:r>
      <w:r w:rsidRPr="00E72418">
        <w:rPr>
          <w:rStyle w:val="Lienhypertexte"/>
          <w:color w:val="auto"/>
          <w:szCs w:val="20"/>
          <w:u w:val="none"/>
          <w:lang w:val="en-US"/>
        </w:rPr>
        <w:t xml:space="preserve">). </w:t>
      </w:r>
      <w:r w:rsidRPr="00E72418">
        <w:rPr>
          <w:rStyle w:val="Lienhypertexte"/>
          <w:color w:val="auto"/>
          <w:szCs w:val="20"/>
          <w:u w:val="none"/>
        </w:rPr>
        <w:t xml:space="preserve">Voyez encore les discussions sur l’importance d’une circonscription claire et fixe des dettes protégées reprises in </w:t>
      </w:r>
      <w:r w:rsidRPr="00E72418">
        <w:rPr>
          <w:i/>
          <w:szCs w:val="20"/>
        </w:rPr>
        <w:t>Debt Relief (Developing Countries) Bill</w:t>
      </w:r>
      <w:r w:rsidRPr="00E72418">
        <w:rPr>
          <w:szCs w:val="20"/>
        </w:rPr>
        <w:t>, Committee Stage Report, Research paper 10/26, 11 mars 2010, pp. 8 et 9.</w:t>
      </w:r>
    </w:p>
  </w:footnote>
  <w:footnote w:id="1584">
    <w:p w14:paraId="764EFE9A" w14:textId="77777777" w:rsidR="0030147D" w:rsidRPr="00E72418" w:rsidRDefault="0030147D" w:rsidP="00131D5F">
      <w:pPr>
        <w:pStyle w:val="Sansinterligne"/>
        <w:rPr>
          <w:szCs w:val="20"/>
          <w:lang w:val="en-US"/>
        </w:rPr>
      </w:pPr>
      <w:r w:rsidRPr="00E72418">
        <w:rPr>
          <w:rStyle w:val="Appelnotedebasdep"/>
          <w:szCs w:val="20"/>
        </w:rPr>
        <w:footnoteRef/>
      </w:r>
      <w:r w:rsidRPr="00E72418">
        <w:rPr>
          <w:szCs w:val="20"/>
          <w:lang w:val="en-US"/>
        </w:rPr>
        <w:t xml:space="preserve"> L’article 1(12) précise ce qu’il faut entendre par « relevant eligibility condition », à savoir « a condition as to the level of a country’s income or debt or the size of its economy that must be met in order for the country to be eligible for debt relief under the Initiative ».</w:t>
      </w:r>
    </w:p>
  </w:footnote>
  <w:footnote w:id="1585">
    <w:p w14:paraId="4F8A4F5B" w14:textId="33443A6F" w:rsidR="0030147D" w:rsidRPr="00E72418" w:rsidRDefault="0030147D" w:rsidP="006C747E">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16.</w:t>
      </w:r>
    </w:p>
  </w:footnote>
  <w:footnote w:id="1586">
    <w:p w14:paraId="0813482E" w14:textId="0E3B1904"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paragraphe 14</w:t>
      </w:r>
      <w:r w:rsidRPr="00E72418">
        <w:rPr>
          <w:rStyle w:val="Lienhypertexte"/>
          <w:color w:val="auto"/>
          <w:szCs w:val="20"/>
          <w:u w:val="none"/>
          <w:lang w:val="en-US"/>
        </w:rPr>
        <w:t>.</w:t>
      </w:r>
    </w:p>
  </w:footnote>
  <w:footnote w:id="1587">
    <w:p w14:paraId="66C4B253" w14:textId="5D39F817" w:rsidR="0030147D" w:rsidRPr="00E72418" w:rsidRDefault="0030147D" w:rsidP="00285332">
      <w:pPr>
        <w:pStyle w:val="Sansinterligne"/>
        <w:rPr>
          <w:szCs w:val="20"/>
        </w:rPr>
      </w:pPr>
      <w:r w:rsidRPr="00E72418">
        <w:rPr>
          <w:rStyle w:val="Appelnotedebasdep"/>
          <w:szCs w:val="20"/>
        </w:rPr>
        <w:footnoteRef/>
      </w:r>
      <w:r w:rsidRPr="00E72418">
        <w:rPr>
          <w:szCs w:val="20"/>
        </w:rPr>
        <w:t xml:space="preserve"> L’usage fait du terme « includes » laisse penser </w:t>
      </w:r>
      <w:r w:rsidR="00BB3B73">
        <w:rPr>
          <w:szCs w:val="20"/>
        </w:rPr>
        <w:t xml:space="preserve">à Francis Chukwu </w:t>
      </w:r>
      <w:r w:rsidRPr="00E72418">
        <w:rPr>
          <w:szCs w:val="20"/>
        </w:rPr>
        <w:t>que la liste reprise dans la loi n’est pas exhaustive (</w:t>
      </w:r>
      <w:r w:rsidRPr="00E72418">
        <w:rPr>
          <w:smallCaps/>
          <w:szCs w:val="20"/>
        </w:rPr>
        <w:t>F. Chukwu</w:t>
      </w:r>
      <w:r w:rsidRPr="00E72418">
        <w:rPr>
          <w:szCs w:val="20"/>
        </w:rPr>
        <w:t xml:space="preserve">, « Refocusing on the Objectives: A Critique of the U.K.’s Debt Relief (Developing Countries) Act, 2010 », </w:t>
      </w:r>
      <w:r w:rsidRPr="00E72418">
        <w:rPr>
          <w:i/>
          <w:szCs w:val="20"/>
        </w:rPr>
        <w:t>op. cit.</w:t>
      </w:r>
      <w:r w:rsidRPr="00E72418">
        <w:rPr>
          <w:rStyle w:val="Lienhypertexte"/>
          <w:color w:val="auto"/>
          <w:szCs w:val="20"/>
          <w:u w:val="none"/>
        </w:rPr>
        <w:t>, p.</w:t>
      </w:r>
      <w:r w:rsidRPr="00E72418">
        <w:rPr>
          <w:szCs w:val="20"/>
        </w:rPr>
        <w:t xml:space="preserve"> 9).</w:t>
      </w:r>
    </w:p>
  </w:footnote>
  <w:footnote w:id="1588">
    <w:p w14:paraId="22F9FB09" w14:textId="15C7ECF7"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Lienhypertexte"/>
          <w:color w:val="auto"/>
          <w:szCs w:val="20"/>
          <w:u w:val="none"/>
          <w:lang w:val="en-US"/>
        </w:rPr>
        <w:t>, p.</w:t>
      </w:r>
      <w:r w:rsidRPr="00E72418">
        <w:rPr>
          <w:szCs w:val="20"/>
          <w:lang w:val="en-US"/>
        </w:rPr>
        <w:t xml:space="preserve"> 10.</w:t>
      </w:r>
    </w:p>
  </w:footnote>
  <w:footnote w:id="1589">
    <w:p w14:paraId="6B205CC9" w14:textId="77777777" w:rsidR="0030147D" w:rsidRPr="00E72418" w:rsidRDefault="0030147D" w:rsidP="00E74661">
      <w:pPr>
        <w:pStyle w:val="Sansinterligne"/>
        <w:rPr>
          <w:szCs w:val="20"/>
          <w:lang w:val="en-US"/>
        </w:rPr>
      </w:pPr>
      <w:r w:rsidRPr="00E72418">
        <w:rPr>
          <w:rStyle w:val="Appelnotedebasdep"/>
          <w:szCs w:val="20"/>
        </w:rPr>
        <w:footnoteRef/>
      </w:r>
      <w:r w:rsidRPr="00E72418">
        <w:rPr>
          <w:szCs w:val="20"/>
          <w:lang w:val="en-US"/>
        </w:rPr>
        <w:t xml:space="preserve"> Voyez le propos de Sally Keeble repris in Public Bill Committee, </w:t>
      </w:r>
      <w:r w:rsidRPr="00E72418">
        <w:rPr>
          <w:i/>
          <w:szCs w:val="20"/>
          <w:lang w:val="en-US"/>
        </w:rPr>
        <w:t>Debt Relief (Developing Countries) Bill</w:t>
      </w:r>
      <w:r w:rsidRPr="00E72418">
        <w:rPr>
          <w:szCs w:val="20"/>
          <w:lang w:val="en-US"/>
        </w:rPr>
        <w:t>, 9 mars 2010, colonne 13.</w:t>
      </w:r>
    </w:p>
  </w:footnote>
  <w:footnote w:id="1590">
    <w:p w14:paraId="53948706" w14:textId="76262857" w:rsidR="0030147D" w:rsidRPr="00E72418" w:rsidRDefault="0030147D" w:rsidP="003D4BD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F. Chukwu</w:t>
      </w:r>
      <w:r w:rsidRPr="00E72418">
        <w:rPr>
          <w:szCs w:val="20"/>
          <w:lang w:val="en-US"/>
        </w:rPr>
        <w:t xml:space="preserve">, « Refocusing on the Objectives: A Critique of the U.K.’s Debt Relief (Developing Countries) Act, 2010 », </w:t>
      </w:r>
      <w:r w:rsidRPr="00E72418">
        <w:rPr>
          <w:i/>
          <w:szCs w:val="20"/>
        </w:rPr>
        <w:t>op. cit.</w:t>
      </w:r>
      <w:r w:rsidRPr="00E72418">
        <w:rPr>
          <w:rStyle w:val="Lienhypertexte"/>
          <w:color w:val="auto"/>
          <w:szCs w:val="20"/>
          <w:u w:val="none"/>
          <w:lang w:val="en-US"/>
        </w:rPr>
        <w:t>, p.</w:t>
      </w:r>
      <w:r w:rsidRPr="00E72418">
        <w:rPr>
          <w:szCs w:val="20"/>
          <w:lang w:val="en-US"/>
        </w:rPr>
        <w:t xml:space="preserve"> 10.</w:t>
      </w:r>
    </w:p>
  </w:footnote>
  <w:footnote w:id="1591">
    <w:p w14:paraId="040CE2B3" w14:textId="77777777" w:rsidR="0030147D" w:rsidRPr="00E72418" w:rsidRDefault="0030147D" w:rsidP="003D4BD6">
      <w:pPr>
        <w:pStyle w:val="Sansinterligne"/>
        <w:rPr>
          <w:szCs w:val="20"/>
        </w:rPr>
      </w:pPr>
      <w:r w:rsidRPr="00E72418">
        <w:rPr>
          <w:rStyle w:val="Appelnotedebasdep"/>
          <w:szCs w:val="20"/>
        </w:rPr>
        <w:footnoteRef/>
      </w:r>
      <w:r w:rsidRPr="00E72418">
        <w:rPr>
          <w:szCs w:val="20"/>
        </w:rPr>
        <w:t xml:space="preserve"> Voyez l’article 2(4) auquel l’article 2(3) renvoie.</w:t>
      </w:r>
    </w:p>
  </w:footnote>
  <w:footnote w:id="1592">
    <w:p w14:paraId="7D61A79E" w14:textId="3B1D9B87" w:rsidR="0030147D" w:rsidRPr="00E72418" w:rsidRDefault="0030147D" w:rsidP="001040F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F. Chukwu</w:t>
      </w:r>
      <w:r w:rsidRPr="00E72418">
        <w:rPr>
          <w:szCs w:val="20"/>
          <w:lang w:val="en-US"/>
        </w:rPr>
        <w:t xml:space="preserve">, « Refocusing on the Objectives: A Critique of the U.K.’s Debt Relief (Developing Countries) Act, 2010 », </w:t>
      </w:r>
      <w:r w:rsidRPr="00E72418">
        <w:rPr>
          <w:i/>
          <w:szCs w:val="20"/>
        </w:rPr>
        <w:t>op. cit.</w:t>
      </w:r>
      <w:r w:rsidRPr="00E72418">
        <w:rPr>
          <w:rStyle w:val="Lienhypertexte"/>
          <w:color w:val="auto"/>
          <w:szCs w:val="20"/>
          <w:u w:val="none"/>
          <w:lang w:val="en-US"/>
        </w:rPr>
        <w:t>, p. 41.</w:t>
      </w:r>
    </w:p>
  </w:footnote>
  <w:footnote w:id="1593">
    <w:p w14:paraId="26685A40" w14:textId="7C2D3E6F" w:rsidR="0030147D" w:rsidRPr="00E72418" w:rsidRDefault="0030147D" w:rsidP="006C0FB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xml:space="preserve">, p. 726. Voyez dans le même sens,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 5 : « [e]xcluded from protection are short-term debts and liabilities for goods and services. This way, it seeks to mitigate moral hazard behavior by the debtor state. Furthermore, it makes its protection contingent upon genuine engagement in debt restructuring and relief efforts ».</w:t>
      </w:r>
    </w:p>
  </w:footnote>
  <w:footnote w:id="1594">
    <w:p w14:paraId="0C5B1ADA" w14:textId="085E5EE2" w:rsidR="0030147D" w:rsidRPr="00E72418" w:rsidRDefault="0030147D" w:rsidP="00BF3A55">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 164.</w:t>
      </w:r>
    </w:p>
  </w:footnote>
  <w:footnote w:id="1595">
    <w:p w14:paraId="1E21C941" w14:textId="77777777"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Ces parties incluent « any municipality of other local government area in the country » (voyez l’article 2(6)).</w:t>
      </w:r>
    </w:p>
  </w:footnote>
  <w:footnote w:id="1596">
    <w:p w14:paraId="113294F6" w14:textId="77777777" w:rsidR="0030147D" w:rsidRPr="00E72418" w:rsidRDefault="0030147D" w:rsidP="0029048D">
      <w:pPr>
        <w:pStyle w:val="Sansinterligne"/>
        <w:rPr>
          <w:szCs w:val="20"/>
          <w:lang w:val="en-US"/>
        </w:rPr>
      </w:pPr>
      <w:r w:rsidRPr="00E72418">
        <w:rPr>
          <w:rStyle w:val="Appelnotedebasdep"/>
          <w:szCs w:val="20"/>
        </w:rPr>
        <w:footnoteRef/>
      </w:r>
      <w:r w:rsidRPr="00E72418">
        <w:rPr>
          <w:szCs w:val="20"/>
          <w:lang w:val="en-US"/>
        </w:rPr>
        <w:t xml:space="preserve"> Voyez l’article 2(8).</w:t>
      </w:r>
    </w:p>
  </w:footnote>
  <w:footnote w:id="1597">
    <w:p w14:paraId="5C896CBE" w14:textId="77777777"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Certaines possibles difficultés entourant cette définition avaient été soulevées durant les travaux préparatoires auxquelles il avait été répondu que « the Government have consulted the IMF and […] they have been able to apply the residence test without difficulty » (propos de Sally Keeble repris in Public Bill Committee, </w:t>
      </w:r>
      <w:r w:rsidRPr="00E72418">
        <w:rPr>
          <w:i/>
          <w:szCs w:val="20"/>
          <w:lang w:val="en-US"/>
        </w:rPr>
        <w:t>Debt Relief (Developing Countries) Bill</w:t>
      </w:r>
      <w:r w:rsidRPr="00E72418">
        <w:rPr>
          <w:szCs w:val="20"/>
          <w:lang w:val="en-US"/>
        </w:rPr>
        <w:t>, 9 mars 2010, colonne 13).</w:t>
      </w:r>
    </w:p>
  </w:footnote>
  <w:footnote w:id="1598">
    <w:p w14:paraId="1F1DAAE3" w14:textId="135BE2F9" w:rsidR="0030147D" w:rsidRPr="00E72418" w:rsidRDefault="0030147D" w:rsidP="00AA208F">
      <w:pPr>
        <w:pStyle w:val="Sansinterligne"/>
        <w:rPr>
          <w:szCs w:val="20"/>
        </w:rPr>
      </w:pPr>
      <w:r w:rsidRPr="00E72418">
        <w:rPr>
          <w:rStyle w:val="Appelnotedebasdep"/>
          <w:szCs w:val="20"/>
        </w:rPr>
        <w:footnoteRef/>
      </w:r>
      <w:r w:rsidRPr="00E72418">
        <w:rPr>
          <w:szCs w:val="20"/>
          <w:lang w:val="en-US"/>
        </w:rPr>
        <w:t xml:space="preserve"> </w:t>
      </w:r>
      <w:r w:rsidRPr="00E72418">
        <w:rPr>
          <w:rStyle w:val="SansinterligneCar"/>
          <w:smallCaps/>
          <w:szCs w:val="20"/>
          <w:lang w:val="en-US"/>
        </w:rPr>
        <w:t>M. Waibel</w:t>
      </w:r>
      <w:r w:rsidRPr="00E72418">
        <w:rPr>
          <w:rStyle w:val="SansinterligneCar"/>
          <w:szCs w:val="20"/>
          <w:lang w:val="en-US"/>
        </w:rPr>
        <w:t xml:space="preserve">, « Debt relief to poor countries: Rules v. Discretion », </w:t>
      </w:r>
      <w:r w:rsidRPr="00E72418">
        <w:rPr>
          <w:rStyle w:val="SansinterligneCar"/>
          <w:i/>
          <w:szCs w:val="20"/>
          <w:lang w:val="en-US"/>
        </w:rPr>
        <w:t>op. cit.</w:t>
      </w:r>
      <w:r w:rsidRPr="00E72418">
        <w:rPr>
          <w:rStyle w:val="SansinterligneCar"/>
          <w:szCs w:val="20"/>
          <w:lang w:val="en-US"/>
        </w:rPr>
        <w:t xml:space="preserve">, p. 295. </w:t>
      </w:r>
      <w:r w:rsidRPr="00E72418">
        <w:rPr>
          <w:rStyle w:val="SansinterligneCar"/>
          <w:szCs w:val="20"/>
        </w:rPr>
        <w:t xml:space="preserve">Comme l’auteur le note, les critères de la loi applicable à la dette, de l’endroit de son émission ou encore de sa monnaie n’entrent pas en ligne de compte. Sur la distinction entre dette interne et dette externe, voyez </w:t>
      </w:r>
      <w:r w:rsidRPr="00E72418">
        <w:rPr>
          <w:rStyle w:val="SansinterligneCar"/>
          <w:i/>
          <w:szCs w:val="20"/>
        </w:rPr>
        <w:t>supra</w:t>
      </w:r>
      <w:r w:rsidRPr="00E72418">
        <w:rPr>
          <w:rStyle w:val="SansinterligneCar"/>
          <w:szCs w:val="20"/>
        </w:rPr>
        <w:t xml:space="preserve"> n</w:t>
      </w:r>
      <w:r w:rsidRPr="00E72418">
        <w:rPr>
          <w:rStyle w:val="SansinterligneCar"/>
          <w:szCs w:val="20"/>
          <w:vertAlign w:val="superscript"/>
        </w:rPr>
        <w:t xml:space="preserve">os </w:t>
      </w:r>
      <w:r w:rsidRPr="00E72418">
        <w:rPr>
          <w:rStyle w:val="SansinterligneCar"/>
          <w:szCs w:val="20"/>
        </w:rPr>
        <w:t>20 et suiv.</w:t>
      </w:r>
    </w:p>
  </w:footnote>
  <w:footnote w:id="1599">
    <w:p w14:paraId="50319597" w14:textId="0D7A5B0D" w:rsidR="0030147D" w:rsidRPr="00E72418" w:rsidRDefault="0030147D" w:rsidP="000E39D0">
      <w:pPr>
        <w:pStyle w:val="Sansinterligne"/>
        <w:rPr>
          <w:szCs w:val="20"/>
        </w:rPr>
      </w:pPr>
      <w:r w:rsidRPr="00E72418">
        <w:rPr>
          <w:rStyle w:val="Appelnotedebasdep"/>
          <w:szCs w:val="20"/>
        </w:rPr>
        <w:footnoteRef/>
      </w:r>
      <w:r w:rsidRPr="00E72418">
        <w:rPr>
          <w:szCs w:val="20"/>
        </w:rPr>
        <w:t xml:space="preserve"> La dette encourue postérieurement à cette entrée en vigueur mais qui remplace une dette encourue antérieurement est considérée comme encourue avant l’entrée en vigueur (voyez l’article 1(4) de la loi). </w:t>
      </w:r>
      <w:r w:rsidRPr="00E72418">
        <w:rPr>
          <w:szCs w:val="20"/>
          <w:lang w:val="en-US"/>
        </w:rPr>
        <w:t>Comme les notes explicatives de la loi le précisent : « [t]he Act follows the practice of the Initiative in determining whether or not a debt is included in the Initiative on the basis of the nature of the original debt, rather than of a replacement that arises through a restructuring » (</w:t>
      </w:r>
      <w:r w:rsidRPr="00E72418">
        <w:rPr>
          <w:i/>
          <w:szCs w:val="20"/>
          <w:lang w:val="en-US"/>
        </w:rPr>
        <w:t>Debt Relief (Developing Countries) Act 2010</w:t>
      </w:r>
      <w:r w:rsidRPr="00E72418">
        <w:rPr>
          <w:szCs w:val="20"/>
          <w:lang w:val="en-US"/>
        </w:rPr>
        <w:t>, explanatory notes, paragraphe 12</w:t>
      </w:r>
      <w:r w:rsidRPr="00E72418">
        <w:rPr>
          <w:rStyle w:val="Lienhypertexte"/>
          <w:color w:val="auto"/>
          <w:szCs w:val="20"/>
          <w:u w:val="none"/>
          <w:lang w:val="en-US"/>
        </w:rPr>
        <w:t>).</w:t>
      </w:r>
    </w:p>
  </w:footnote>
  <w:footnote w:id="1600">
    <w:p w14:paraId="19449481" w14:textId="32E01204" w:rsidR="0030147D" w:rsidRPr="00E72418" w:rsidRDefault="0030147D" w:rsidP="0029048D">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22. </w:t>
      </w:r>
      <w:r w:rsidRPr="00E72418">
        <w:rPr>
          <w:szCs w:val="20"/>
        </w:rPr>
        <w:t xml:space="preserve">On peut ainsi par exemple penser aux clauses d’action collective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282 et suiv.). </w:t>
      </w:r>
      <w:r w:rsidRPr="00E72418">
        <w:rPr>
          <w:szCs w:val="20"/>
          <w:lang w:val="en-US"/>
        </w:rPr>
        <w:t xml:space="preserve">Comme le notait Sally Keeble durant les travaux préparatoires, « the HIPC process manages the debts of heavily indebted poor countries, so that they can start with a clean sheet and manage their economies in the future. If they take on further debt, they can do so on reasonable terms, and not be subject to the vagaries of misfortune to which they have been in the past » (propos repris in Public Bill Committee, </w:t>
      </w:r>
      <w:r w:rsidRPr="00E72418">
        <w:rPr>
          <w:i/>
          <w:szCs w:val="20"/>
          <w:lang w:val="en-US"/>
        </w:rPr>
        <w:t>Debt Relief (Developing Countries) Bill</w:t>
      </w:r>
      <w:r w:rsidRPr="00E72418">
        <w:rPr>
          <w:szCs w:val="20"/>
          <w:lang w:val="en-US"/>
        </w:rPr>
        <w:t>, 9 mars 2010, colonne 6).</w:t>
      </w:r>
    </w:p>
  </w:footnote>
  <w:footnote w:id="1601">
    <w:p w14:paraId="7701D9C0" w14:textId="707DEC56" w:rsidR="0030147D" w:rsidRPr="00E72418" w:rsidRDefault="0030147D" w:rsidP="0029048D">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22.</w:t>
      </w:r>
    </w:p>
  </w:footnote>
  <w:footnote w:id="1602">
    <w:p w14:paraId="1D0B8021" w14:textId="1C23F0C5" w:rsidR="0030147D" w:rsidRPr="00E72418" w:rsidRDefault="0030147D" w:rsidP="0029048D">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Debt Relief (Developing Countries) Bill</w:t>
      </w:r>
      <w:r w:rsidRPr="00E72418">
        <w:rPr>
          <w:szCs w:val="20"/>
          <w:lang w:val="en-US"/>
        </w:rPr>
        <w:t xml:space="preserve">, explanatory notes, paragraphe 45. Voyez également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xml:space="preserve">, 2009, p. 22 et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11. Voyez finalement l’</w:t>
      </w:r>
      <w:r w:rsidRPr="00E72418">
        <w:rPr>
          <w:i/>
          <w:szCs w:val="20"/>
          <w:lang w:val="en-US"/>
        </w:rPr>
        <w:t xml:space="preserve">explanatory memorandum </w:t>
      </w:r>
      <w:r w:rsidRPr="00E72418">
        <w:rPr>
          <w:szCs w:val="20"/>
          <w:lang w:val="en-US"/>
        </w:rPr>
        <w:t xml:space="preserve">à la </w:t>
      </w:r>
      <w:r w:rsidRPr="00E72418">
        <w:rPr>
          <w:i/>
          <w:szCs w:val="20"/>
          <w:lang w:val="en-US"/>
        </w:rPr>
        <w:t>Heavily Indebted Poor Countries (Limitation on Debt Recovery) Bill 2012</w:t>
      </w:r>
      <w:r w:rsidRPr="00E72418">
        <w:rPr>
          <w:szCs w:val="20"/>
          <w:lang w:val="en-US"/>
        </w:rPr>
        <w:t xml:space="preserve"> de l’</w:t>
      </w:r>
      <w:r w:rsidRPr="00E72418">
        <w:rPr>
          <w:caps/>
          <w:szCs w:val="20"/>
          <w:lang w:val="en-US"/>
        </w:rPr>
        <w:t>î</w:t>
      </w:r>
      <w:r w:rsidRPr="00E72418">
        <w:rPr>
          <w:szCs w:val="20"/>
          <w:lang w:val="en-US"/>
        </w:rPr>
        <w:t>le de Man, paragraphe 9.</w:t>
      </w:r>
    </w:p>
  </w:footnote>
  <w:footnote w:id="1603">
    <w:p w14:paraId="5D3F42AF" w14:textId="77777777"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Notons que l’article 1(7) précise que « [d]ecision point is regarded as reached in respect of a country if it is so regarded for the purposes of the Initiative ».</w:t>
      </w:r>
    </w:p>
  </w:footnote>
  <w:footnote w:id="1604">
    <w:p w14:paraId="5EEE2577" w14:textId="77777777" w:rsidR="0030147D" w:rsidRPr="00E72418" w:rsidRDefault="0030147D" w:rsidP="00EB340E">
      <w:pPr>
        <w:pStyle w:val="Sansinterligne"/>
        <w:rPr>
          <w:szCs w:val="20"/>
          <w:lang w:val="en-US"/>
        </w:rPr>
      </w:pPr>
      <w:r w:rsidRPr="00E72418">
        <w:rPr>
          <w:rStyle w:val="Appelnotedebasdep"/>
          <w:szCs w:val="20"/>
        </w:rPr>
        <w:footnoteRef/>
      </w:r>
      <w:r w:rsidRPr="00E72418">
        <w:rPr>
          <w:szCs w:val="20"/>
          <w:lang w:val="en-US"/>
        </w:rPr>
        <w:t xml:space="preserve"> </w:t>
      </w:r>
      <w:r w:rsidRPr="00E72418">
        <w:rPr>
          <w:szCs w:val="20"/>
        </w:rPr>
        <w:t>La dette encourue postérieurement à ce point de décision mais qui remplace une dette encourue antérieurement est considérée comme encourue avant que le point de décision ait été atteint</w:t>
      </w:r>
      <w:r w:rsidRPr="00E72418">
        <w:rPr>
          <w:szCs w:val="20"/>
          <w:lang w:val="en-US"/>
        </w:rPr>
        <w:t xml:space="preserve"> (voyez l’article 1(5) de la loi).</w:t>
      </w:r>
    </w:p>
  </w:footnote>
  <w:footnote w:id="1605">
    <w:p w14:paraId="712023AA" w14:textId="60A41DE9" w:rsidR="0030147D" w:rsidRPr="00E72418" w:rsidRDefault="0030147D" w:rsidP="00AA208F">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28.</w:t>
      </w:r>
    </w:p>
  </w:footnote>
  <w:footnote w:id="1606">
    <w:p w14:paraId="79051E00" w14:textId="29C64692" w:rsidR="0030147D" w:rsidRPr="00E72418" w:rsidRDefault="0030147D" w:rsidP="00243D0C">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27.</w:t>
      </w:r>
    </w:p>
  </w:footnote>
  <w:footnote w:id="1607">
    <w:p w14:paraId="545CDFE8" w14:textId="6A3EBABE" w:rsidR="0030147D" w:rsidRPr="00E72418" w:rsidRDefault="0030147D" w:rsidP="00243D0C">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14.</w:t>
      </w:r>
    </w:p>
  </w:footnote>
  <w:footnote w:id="1608">
    <w:p w14:paraId="0A06B581" w14:textId="2D16D94E" w:rsidR="0030147D" w:rsidRPr="00E72418" w:rsidRDefault="0030147D" w:rsidP="00243D0C">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22.</w:t>
      </w:r>
    </w:p>
  </w:footnote>
  <w:footnote w:id="1609">
    <w:p w14:paraId="02A93DC8" w14:textId="103F6C35" w:rsidR="0030147D" w:rsidRPr="00E72418" w:rsidRDefault="0030147D" w:rsidP="005A3EB9">
      <w:pPr>
        <w:pStyle w:val="Sansinterligne"/>
        <w:rPr>
          <w:szCs w:val="20"/>
          <w:lang w:val="en-US"/>
        </w:rPr>
      </w:pPr>
      <w:r w:rsidRPr="00E72418">
        <w:rPr>
          <w:rStyle w:val="Appelnotedebasdep"/>
          <w:szCs w:val="20"/>
        </w:rPr>
        <w:footnoteRef/>
      </w:r>
      <w:r w:rsidRPr="00E72418">
        <w:rPr>
          <w:szCs w:val="20"/>
          <w:lang w:val="en-US"/>
        </w:rPr>
        <w:t xml:space="preserve"> Voyez </w:t>
      </w:r>
      <w:r w:rsidRPr="00E72418">
        <w:rPr>
          <w:i/>
          <w:szCs w:val="20"/>
          <w:lang w:val="en-US"/>
        </w:rPr>
        <w:t>Debt Relief (Developing Countries) Act 2010</w:t>
      </w:r>
      <w:r w:rsidRPr="00E72418">
        <w:rPr>
          <w:szCs w:val="20"/>
          <w:lang w:val="en-US"/>
        </w:rPr>
        <w:t>, explanatory notes, paragraphe 20</w:t>
      </w:r>
      <w:r w:rsidRPr="00E72418">
        <w:rPr>
          <w:rStyle w:val="Lienhypertexte"/>
          <w:color w:val="auto"/>
          <w:szCs w:val="20"/>
          <w:u w:val="none"/>
          <w:lang w:val="en-US"/>
        </w:rPr>
        <w:t>.</w:t>
      </w:r>
    </w:p>
  </w:footnote>
  <w:footnote w:id="1610">
    <w:p w14:paraId="3E6DD0C2" w14:textId="7FF95760" w:rsidR="0030147D" w:rsidRPr="00E72418" w:rsidRDefault="0030147D" w:rsidP="0005253E">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42. Sur l</w:t>
      </w:r>
      <w:r w:rsidRPr="00E72418">
        <w:rPr>
          <w:rFonts w:ascii="Times New Roman" w:hAnsi="Times New Roman" w:cs="Times New Roman"/>
          <w:szCs w:val="24"/>
        </w:rPr>
        <w:t xml:space="preserve">’émergence d’un « ordre public de la dette souveraine », voyez </w:t>
      </w:r>
      <w:r w:rsidRPr="00E72418">
        <w:rPr>
          <w:rFonts w:ascii="Times New Roman" w:hAnsi="Times New Roman" w:cs="Times New Roman"/>
          <w:i/>
          <w:szCs w:val="24"/>
        </w:rPr>
        <w:t>infra</w:t>
      </w:r>
      <w:r w:rsidRPr="00E72418">
        <w:rPr>
          <w:rFonts w:ascii="Times New Roman" w:hAnsi="Times New Roman" w:cs="Times New Roman"/>
          <w:szCs w:val="24"/>
        </w:rPr>
        <w:t xml:space="preserve"> n° 393.</w:t>
      </w:r>
    </w:p>
  </w:footnote>
  <w:footnote w:id="1611">
    <w:p w14:paraId="15EE737A" w14:textId="26C8C5BC" w:rsidR="0030147D" w:rsidRPr="00E72418" w:rsidRDefault="0030147D" w:rsidP="0005253E">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11.</w:t>
      </w:r>
    </w:p>
  </w:footnote>
  <w:footnote w:id="1612">
    <w:p w14:paraId="77D0D05B" w14:textId="77777777" w:rsidR="0030147D" w:rsidRPr="00E72418" w:rsidRDefault="0030147D" w:rsidP="0005253E">
      <w:pPr>
        <w:pStyle w:val="Sansinterligne"/>
        <w:rPr>
          <w:szCs w:val="20"/>
          <w:lang w:val="en-US"/>
        </w:rPr>
      </w:pPr>
      <w:r w:rsidRPr="00E72418">
        <w:rPr>
          <w:rStyle w:val="Appelnotedebasdep"/>
          <w:szCs w:val="20"/>
        </w:rPr>
        <w:footnoteRef/>
      </w:r>
      <w:r w:rsidRPr="00E72418">
        <w:rPr>
          <w:szCs w:val="20"/>
          <w:lang w:val="en-US"/>
        </w:rPr>
        <w:t xml:space="preserve"> Propos repris in Public Bill Committee, </w:t>
      </w:r>
      <w:r w:rsidRPr="00E72418">
        <w:rPr>
          <w:i/>
          <w:szCs w:val="20"/>
          <w:lang w:val="en-US"/>
        </w:rPr>
        <w:t>Debt Relief (Developing Countries) Bill</w:t>
      </w:r>
      <w:r w:rsidRPr="00E72418">
        <w:rPr>
          <w:szCs w:val="20"/>
          <w:lang w:val="en-US"/>
        </w:rPr>
        <w:t>, 9 mars 2010, colonne 17.</w:t>
      </w:r>
    </w:p>
  </w:footnote>
  <w:footnote w:id="1613">
    <w:p w14:paraId="20D62660" w14:textId="59F066F8" w:rsidR="0030147D" w:rsidRPr="00E72418" w:rsidRDefault="0030147D" w:rsidP="0005253E">
      <w:pPr>
        <w:pStyle w:val="Sansinterligne"/>
        <w:rPr>
          <w:rFonts w:cs="Times New Roman"/>
          <w:szCs w:val="20"/>
        </w:rPr>
      </w:pPr>
      <w:r w:rsidRPr="00E72418">
        <w:rPr>
          <w:rStyle w:val="Appelnotedebasdep"/>
          <w:szCs w:val="20"/>
        </w:rPr>
        <w:footnoteRef/>
      </w:r>
      <w:r w:rsidRPr="00E72418">
        <w:rPr>
          <w:szCs w:val="20"/>
          <w:lang w:val="en-US"/>
        </w:rPr>
        <w:t xml:space="preserve"> Voyez dans le même sens </w:t>
      </w:r>
      <w:r w:rsidRPr="00E72418">
        <w:rPr>
          <w:rStyle w:val="SansinterligneCar"/>
          <w:smallCaps/>
          <w:szCs w:val="20"/>
          <w:lang w:val="en-US"/>
        </w:rPr>
        <w:t>M. Waibel</w:t>
      </w:r>
      <w:r w:rsidRPr="00E72418">
        <w:rPr>
          <w:rStyle w:val="SansinterligneCar"/>
          <w:szCs w:val="20"/>
          <w:lang w:val="en-US"/>
        </w:rPr>
        <w:t xml:space="preserve">, « Debt relief to poor countries: Rules v. Discretion », </w:t>
      </w:r>
      <w:r w:rsidRPr="00E72418">
        <w:rPr>
          <w:rStyle w:val="SansinterligneCar"/>
          <w:i/>
          <w:szCs w:val="20"/>
          <w:lang w:val="en-US"/>
        </w:rPr>
        <w:t>op. cit.</w:t>
      </w:r>
      <w:r w:rsidRPr="00E72418">
        <w:rPr>
          <w:rStyle w:val="SansinterligneCar"/>
          <w:szCs w:val="20"/>
          <w:lang w:val="en-US"/>
        </w:rPr>
        <w:t>, p. 295</w:t>
      </w:r>
      <w:r w:rsidRPr="00E72418">
        <w:rPr>
          <w:szCs w:val="20"/>
          <w:lang w:val="en-US"/>
        </w:rPr>
        <w:t xml:space="preserve">. Voyez encore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xml:space="preserve">, pp. 371, 372 et 380 où notamment l’auteur relève </w:t>
      </w:r>
      <w:r w:rsidRPr="00E72418">
        <w:rPr>
          <w:rFonts w:cs="Times New Roman"/>
          <w:szCs w:val="20"/>
          <w:lang w:val="en-US"/>
        </w:rPr>
        <w:t xml:space="preserve">la jurisprudence britannique </w:t>
      </w:r>
      <w:r w:rsidRPr="00E72418">
        <w:rPr>
          <w:rFonts w:cs="Times New Roman"/>
          <w:i/>
          <w:szCs w:val="20"/>
          <w:lang w:val="en-US"/>
        </w:rPr>
        <w:t>King v. Michael Faraday &amp; Partners Ltd.</w:t>
      </w:r>
      <w:r w:rsidRPr="00E72418">
        <w:rPr>
          <w:rFonts w:cs="Times New Roman"/>
          <w:szCs w:val="20"/>
          <w:lang w:val="en-US"/>
        </w:rPr>
        <w:t xml:space="preserve"> (</w:t>
      </w:r>
      <w:r w:rsidRPr="00E72418">
        <w:rPr>
          <w:szCs w:val="20"/>
          <w:lang w:val="en-US"/>
        </w:rPr>
        <w:t xml:space="preserve">High Court of Justice (RU), King’s bench </w:t>
      </w:r>
      <w:r w:rsidRPr="00E72418">
        <w:rPr>
          <w:rFonts w:ascii="Times New Roman" w:hAnsi="Times New Roman" w:cs="Times New Roman"/>
          <w:szCs w:val="20"/>
          <w:lang w:val="en-US"/>
        </w:rPr>
        <w:t xml:space="preserve">division, </w:t>
      </w:r>
      <w:r w:rsidRPr="00E72418">
        <w:rPr>
          <w:rFonts w:ascii="Times New Roman" w:hAnsi="Times New Roman" w:cs="Times New Roman"/>
          <w:szCs w:val="20"/>
        </w:rPr>
        <w:t>[1939] 2 All ER 478</w:t>
      </w:r>
      <w:r w:rsidRPr="00E72418">
        <w:rPr>
          <w:rFonts w:ascii="Times New Roman" w:hAnsi="Times New Roman" w:cs="Times New Roman"/>
          <w:szCs w:val="20"/>
          <w:lang w:val="en-US"/>
        </w:rPr>
        <w:t>)</w:t>
      </w:r>
      <w:r w:rsidRPr="00E72418">
        <w:rPr>
          <w:rFonts w:cs="Times New Roman"/>
          <w:szCs w:val="20"/>
          <w:lang w:val="en-US"/>
        </w:rPr>
        <w:t xml:space="preserve"> dont il ressort qu’est contraire à l’ordre public l’exécution d’un contrat qui priverait une partie de ses moyens de subsistance et explique que « [b]y analogy, this test can be applied when paying the claims would imply a state reducing essential services to the population significantly ».</w:t>
      </w:r>
    </w:p>
  </w:footnote>
  <w:footnote w:id="1614">
    <w:p w14:paraId="6DA21AEC" w14:textId="5508E70B" w:rsidR="0030147D" w:rsidRPr="00E72418" w:rsidRDefault="0030147D" w:rsidP="004027C9">
      <w:pPr>
        <w:pStyle w:val="Sansinterligne"/>
        <w:rPr>
          <w:szCs w:val="20"/>
          <w:lang w:val="en-US"/>
        </w:rPr>
      </w:pPr>
      <w:r w:rsidRPr="00E72418">
        <w:rPr>
          <w:rStyle w:val="Appelnotedebasdep"/>
          <w:szCs w:val="20"/>
        </w:rPr>
        <w:footnoteRef/>
      </w:r>
      <w:r w:rsidRPr="00E72418">
        <w:rPr>
          <w:szCs w:val="20"/>
          <w:lang w:val="en-US"/>
        </w:rPr>
        <w:t xml:space="preserve"> Francis Chukwu est critique à l’égard de cette exception générale relevant que « the question of what constitutes an enforceable international obligation of the UK, as envisaged under the wide net cast by section 7(1) of the Act, may well be stretched ad infinitum thus potentially stripping the Act of substantial protective and remedial value » (</w:t>
      </w:r>
      <w:r w:rsidRPr="00E72418">
        <w:rPr>
          <w:smallCaps/>
          <w:szCs w:val="20"/>
          <w:lang w:val="en-US"/>
        </w:rPr>
        <w:t>F. Chukwu</w:t>
      </w:r>
      <w:r w:rsidRPr="00E72418">
        <w:rPr>
          <w:szCs w:val="20"/>
          <w:lang w:val="en-US"/>
        </w:rPr>
        <w:t xml:space="preserve">, « Refocusing on the Objectives: A Critique of the U.K.’s Debt Relief (Developing Countries) Act, 2010 », </w:t>
      </w:r>
      <w:r w:rsidRPr="00E72418">
        <w:rPr>
          <w:i/>
          <w:szCs w:val="20"/>
        </w:rPr>
        <w:t>op. cit.</w:t>
      </w:r>
      <w:r w:rsidRPr="00E72418">
        <w:rPr>
          <w:rStyle w:val="Lienhypertexte"/>
          <w:color w:val="auto"/>
          <w:szCs w:val="20"/>
          <w:u w:val="none"/>
          <w:lang w:val="en-US"/>
        </w:rPr>
        <w:t>, p. 45).</w:t>
      </w:r>
    </w:p>
  </w:footnote>
  <w:footnote w:id="1615">
    <w:p w14:paraId="05DAF808" w14:textId="659A23A2" w:rsidR="0030147D" w:rsidRPr="00E72418" w:rsidRDefault="0030147D" w:rsidP="0084478E">
      <w:pPr>
        <w:pStyle w:val="Sansinterligne"/>
        <w:rPr>
          <w:szCs w:val="20"/>
        </w:rPr>
      </w:pPr>
      <w:r w:rsidRPr="00E72418">
        <w:rPr>
          <w:rStyle w:val="Appelnotedebasdep"/>
          <w:szCs w:val="20"/>
        </w:rPr>
        <w:footnoteRef/>
      </w:r>
      <w:r w:rsidRPr="00E72418">
        <w:rPr>
          <w:szCs w:val="20"/>
        </w:rPr>
        <w:t xml:space="preserve"> La version </w:t>
      </w:r>
      <w:r w:rsidRPr="00E72418">
        <w:rPr>
          <w:i/>
          <w:szCs w:val="20"/>
        </w:rPr>
        <w:t>ante</w:t>
      </w:r>
      <w:r w:rsidRPr="00E72418">
        <w:rPr>
          <w:szCs w:val="20"/>
        </w:rPr>
        <w:t>-Brexit de la disposition disposait que « </w:t>
      </w:r>
      <w:r w:rsidRPr="00E72418">
        <w:t xml:space="preserve">[n]othing in this Act applies to a foreign judgment or an arbitration award of a kind required by European Union law, or by an international obligation of the United Kingdom, to be enforced in full even in cases where such enforcement is contrary to the public policy of the United Kingdom </w:t>
      </w:r>
      <w:r w:rsidRPr="00E72418">
        <w:rPr>
          <w:szCs w:val="20"/>
          <w:shd w:val="clear" w:color="auto" w:fill="FFFFFF"/>
        </w:rPr>
        <w:t xml:space="preserve">» (sur la modification, voyez </w:t>
      </w:r>
      <w:r w:rsidRPr="00E72418">
        <w:rPr>
          <w:bCs/>
          <w:i/>
          <w:szCs w:val="20"/>
        </w:rPr>
        <w:t>The European Enforcement Order, European Order for Payment and European Small Claims Procedure (Amendment etc.) (EU Exit) Regulations 2018</w:t>
      </w:r>
      <w:r w:rsidRPr="00E72418">
        <w:rPr>
          <w:bCs/>
          <w:szCs w:val="20"/>
        </w:rPr>
        <w:t>).</w:t>
      </w:r>
    </w:p>
  </w:footnote>
  <w:footnote w:id="1616">
    <w:p w14:paraId="7EEFBA21" w14:textId="5803329F" w:rsidR="0030147D" w:rsidRPr="00E72418" w:rsidRDefault="0030147D" w:rsidP="004027C9">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32</w:t>
      </w:r>
      <w:r w:rsidRPr="00E72418">
        <w:rPr>
          <w:rStyle w:val="Lienhypertexte"/>
          <w:color w:val="auto"/>
          <w:szCs w:val="20"/>
          <w:u w:val="none"/>
          <w:lang w:val="en-US"/>
        </w:rPr>
        <w:t xml:space="preserve">. </w:t>
      </w:r>
      <w:r w:rsidRPr="00E72418">
        <w:rPr>
          <w:rStyle w:val="Lienhypertexte"/>
          <w:color w:val="auto"/>
          <w:szCs w:val="20"/>
          <w:u w:val="none"/>
        </w:rPr>
        <w:t xml:space="preserve">L’exemple y était donné du règlement </w:t>
      </w:r>
      <w:r w:rsidRPr="00E72418">
        <w:rPr>
          <w:rStyle w:val="lev"/>
          <w:b w:val="0"/>
          <w:bCs w:val="0"/>
          <w:szCs w:val="20"/>
        </w:rPr>
        <w:t xml:space="preserve">n° 44/2001 du Conseil du 22 décembre 2000 concernant la compétence judiciaire, la reconnaissance et l’exécution des décisions en matière civile et commerciale, dit « Bruxelles I », depuis abrogé. L’on pouvait, avant le Brexit, donner comme nouvel exemple le règlement </w:t>
      </w:r>
      <w:r w:rsidRPr="00E72418">
        <w:rPr>
          <w:szCs w:val="20"/>
        </w:rPr>
        <w:t>n° 1215/2012 du Parlement européen et du Conseil du 12 décembre 2012 concernant la compétence judiciaire, la reconnaissance et l’exécution des décisions en matière civile et commerciale, dit règlement Bruxelles I</w:t>
      </w:r>
      <w:r w:rsidRPr="00E72418">
        <w:rPr>
          <w:i/>
          <w:szCs w:val="20"/>
        </w:rPr>
        <w:t>bis</w:t>
      </w:r>
      <w:r w:rsidRPr="00E72418">
        <w:rPr>
          <w:szCs w:val="20"/>
        </w:rPr>
        <w:t>, et particulièrement ses articles 45 et 58.</w:t>
      </w:r>
    </w:p>
  </w:footnote>
  <w:footnote w:id="1617">
    <w:p w14:paraId="1E078A2D" w14:textId="7D356677" w:rsidR="0030147D" w:rsidRPr="00E72418" w:rsidRDefault="0030147D" w:rsidP="002E1192">
      <w:pPr>
        <w:pStyle w:val="Sansinterligne"/>
      </w:pPr>
      <w:r w:rsidRPr="00E72418">
        <w:rPr>
          <w:rStyle w:val="Appelnotedebasdep"/>
        </w:rPr>
        <w:footnoteRef/>
      </w:r>
      <w:r w:rsidRPr="00E72418">
        <w:t xml:space="preserve"> </w:t>
      </w:r>
      <w:r w:rsidRPr="00E72418">
        <w:rPr>
          <w:szCs w:val="20"/>
        </w:rPr>
        <w:t xml:space="preserve">La version </w:t>
      </w:r>
      <w:r w:rsidRPr="00E72418">
        <w:rPr>
          <w:i/>
          <w:szCs w:val="20"/>
        </w:rPr>
        <w:t>ante</w:t>
      </w:r>
      <w:r w:rsidRPr="00E72418">
        <w:rPr>
          <w:szCs w:val="20"/>
        </w:rPr>
        <w:t>-Brexit de la disposition</w:t>
      </w:r>
      <w:r w:rsidRPr="00E72418">
        <w:t xml:space="preserve"> précisait que le</w:t>
      </w:r>
      <w:r w:rsidRPr="00E72418">
        <w:rPr>
          <w:i/>
          <w:szCs w:val="24"/>
        </w:rPr>
        <w:t xml:space="preserve"> Debt Relief (Developing Countries) Act</w:t>
      </w:r>
      <w:r w:rsidRPr="00E72418">
        <w:rPr>
          <w:szCs w:val="24"/>
        </w:rPr>
        <w:t xml:space="preserve"> ne s’appliquait pas non plus aux </w:t>
      </w:r>
      <w:r w:rsidRPr="00E72418">
        <w:t xml:space="preserve">décisions étrangères certifiées comme étant des titres exécutoires européens au sens du règlement n° 805/2004 du Parlement européen et du Conseil du 21 avril 2004 portant création d’un titre exécutoire européen pour les créances incontestées et aux décisions étrangères étant des injonctions de payer européennes exécutoires au sens du règlement n° 1896/2006 du Parlement européen et du Conseil du 12 décembre 2006 instituant une procédure européenne d’injonction de payer. </w:t>
      </w:r>
      <w:r w:rsidRPr="00E72418">
        <w:rPr>
          <w:szCs w:val="20"/>
        </w:rPr>
        <w:t xml:space="preserve">L’inapplication de la loi britannique aux titres exécutoires européens pour des créances incontestées </w:t>
      </w:r>
      <w:r w:rsidRPr="00E72418">
        <w:t>était</w:t>
      </w:r>
      <w:r w:rsidRPr="00E72418">
        <w:rPr>
          <w:szCs w:val="20"/>
        </w:rPr>
        <w:t xml:space="preserve"> interpellant quand on sait qu’il est des cas où les </w:t>
      </w:r>
      <w:r w:rsidRPr="00E72418">
        <w:rPr>
          <w:szCs w:val="20"/>
          <w:lang w:eastAsia="fr-BE"/>
        </w:rPr>
        <w:t>É</w:t>
      </w:r>
      <w:r w:rsidRPr="00E72418">
        <w:rPr>
          <w:szCs w:val="20"/>
        </w:rPr>
        <w:t>tats débiteurs attaqués par des fonds spéculatifs ne contestent pas les créances poursuivies faute de moyens juridiques suffisants (</w:t>
      </w:r>
      <w:r w:rsidRPr="00E72418">
        <w:rPr>
          <w:smallCaps/>
          <w:szCs w:val="20"/>
          <w:lang w:val="en-US"/>
        </w:rPr>
        <w:t>F. Chukwu</w:t>
      </w:r>
      <w:r w:rsidRPr="00E72418">
        <w:rPr>
          <w:szCs w:val="20"/>
          <w:lang w:val="en-US"/>
        </w:rPr>
        <w:t xml:space="preserve">, « Refocusing on the Objectives: A Critique of the U.K.’s Debt Relief (Developing Countries) Act, 2010 », </w:t>
      </w:r>
      <w:r w:rsidRPr="00E72418">
        <w:rPr>
          <w:i/>
          <w:szCs w:val="20"/>
        </w:rPr>
        <w:t>op. cit.</w:t>
      </w:r>
      <w:r w:rsidRPr="00E72418">
        <w:rPr>
          <w:rStyle w:val="Lienhypertexte"/>
          <w:color w:val="auto"/>
          <w:szCs w:val="20"/>
          <w:u w:val="none"/>
          <w:lang w:val="en-US"/>
        </w:rPr>
        <w:t>, pp. 22 et 23).</w:t>
      </w:r>
    </w:p>
  </w:footnote>
  <w:footnote w:id="1618">
    <w:p w14:paraId="4DC4817E" w14:textId="77777777" w:rsidR="0030147D" w:rsidRPr="00E72418" w:rsidRDefault="0030147D" w:rsidP="00366C19">
      <w:pPr>
        <w:pStyle w:val="Sansinterligne"/>
        <w:rPr>
          <w:szCs w:val="20"/>
        </w:rPr>
      </w:pPr>
      <w:r w:rsidRPr="00E72418">
        <w:rPr>
          <w:rStyle w:val="Appelnotedebasdep"/>
          <w:szCs w:val="20"/>
        </w:rPr>
        <w:footnoteRef/>
      </w:r>
      <w:r w:rsidRPr="00E72418">
        <w:rPr>
          <w:szCs w:val="20"/>
        </w:rPr>
        <w:t xml:space="preserve"> Des exemples avaient été demandés lors de l’étude de la </w:t>
      </w:r>
      <w:r w:rsidRPr="00E72418">
        <w:rPr>
          <w:i/>
          <w:szCs w:val="20"/>
        </w:rPr>
        <w:t>Debt Relief (Developing Countries) (Jersey) Law</w:t>
      </w:r>
      <w:r w:rsidRPr="00E72418">
        <w:rPr>
          <w:szCs w:val="20"/>
        </w:rPr>
        <w:t xml:space="preserve"> et il y avait été répondu que « [t]here are a number of bilateral treaties that are called Investment Promotion and Protection Agreements that have been entered into by the United Kingdom with other countries and some 33 of these agreements have been, in fact, extended to Jersey. The purpose of the agreement is to provide a higher level of protection to the person providing the money to the country concerned and, therefore, given that the purpose is to protect the investor so as to get the capital into the country, those particular agreements fall within Article 9 (</w:t>
      </w:r>
      <w:r w:rsidRPr="00E72418">
        <w:rPr>
          <w:i/>
          <w:szCs w:val="20"/>
        </w:rPr>
        <w:t>i.e.</w:t>
      </w:r>
      <w:r w:rsidRPr="00E72418">
        <w:rPr>
          <w:szCs w:val="20"/>
        </w:rPr>
        <w:t xml:space="preserve"> l’article 7 du </w:t>
      </w:r>
      <w:r w:rsidRPr="00E72418">
        <w:rPr>
          <w:i/>
          <w:szCs w:val="20"/>
        </w:rPr>
        <w:t>Debt Relief (Developing Countries) Act</w:t>
      </w:r>
      <w:r w:rsidRPr="00E72418">
        <w:rPr>
          <w:szCs w:val="20"/>
        </w:rPr>
        <w:t>) and are the sort of exception that the law has in mind » (State of Jersey, Official Report, 20 novembre 2012, p. 77).</w:t>
      </w:r>
    </w:p>
  </w:footnote>
  <w:footnote w:id="1619">
    <w:p w14:paraId="2959023A" w14:textId="21068AD4" w:rsidR="0030147D" w:rsidRPr="00E72418" w:rsidRDefault="0030147D" w:rsidP="002E1192">
      <w:pPr>
        <w:pStyle w:val="Sansinterligne"/>
      </w:pPr>
      <w:r w:rsidRPr="00E72418">
        <w:rPr>
          <w:rStyle w:val="Appelnotedebasdep"/>
        </w:rPr>
        <w:footnoteRef/>
      </w:r>
      <w:r w:rsidRPr="00E72418">
        <w:t xml:space="preserve"> Sur piste arbitrale en matière de dettes souveraines, voyez </w:t>
      </w:r>
      <w:r w:rsidRPr="00E72418">
        <w:rPr>
          <w:i/>
        </w:rPr>
        <w:t>supra</w:t>
      </w:r>
      <w:r w:rsidRPr="00E72418">
        <w:t xml:space="preserve"> n° 80.</w:t>
      </w:r>
    </w:p>
  </w:footnote>
  <w:footnote w:id="1620">
    <w:p w14:paraId="1A383B27" w14:textId="4F417788" w:rsidR="0030147D" w:rsidRPr="00E72418" w:rsidRDefault="0030147D" w:rsidP="00B05936">
      <w:pPr>
        <w:pStyle w:val="Sansinterligne"/>
        <w:rPr>
          <w:szCs w:val="20"/>
        </w:rPr>
      </w:pPr>
      <w:r w:rsidRPr="00E72418">
        <w:rPr>
          <w:rStyle w:val="Appelnotedebasdep"/>
          <w:szCs w:val="20"/>
        </w:rPr>
        <w:footnoteRef/>
      </w:r>
      <w:r w:rsidRPr="00E72418">
        <w:rPr>
          <w:szCs w:val="20"/>
        </w:rPr>
        <w:t xml:space="preserve"> Plus encore mais sans les viser précisément, la Belgique a indirectement compliqué la tâche des fonds spéculatifs en consacrant dans l’article 1412</w:t>
      </w:r>
      <w:r w:rsidRPr="00E72418">
        <w:rPr>
          <w:i/>
          <w:szCs w:val="20"/>
        </w:rPr>
        <w:t>quinquies</w:t>
      </w:r>
      <w:r w:rsidRPr="00E72418">
        <w:rPr>
          <w:szCs w:val="20"/>
        </w:rPr>
        <w:t xml:space="preserve"> du Code judiciaire l’insaisissabilité de principe des biens appartenant à une puissance étrangère qui se trouvent sur le territoire du Royaume (sur cette récente disposition du Code judiciaire belge, voyez </w:t>
      </w:r>
      <w:r w:rsidRPr="00E72418">
        <w:rPr>
          <w:i/>
          <w:szCs w:val="20"/>
        </w:rPr>
        <w:t>supra</w:t>
      </w:r>
      <w:r w:rsidRPr="00E72418">
        <w:rPr>
          <w:szCs w:val="20"/>
        </w:rPr>
        <w:t xml:space="preserve"> n° 218).</w:t>
      </w:r>
    </w:p>
  </w:footnote>
  <w:footnote w:id="1621">
    <w:p w14:paraId="7A41F89E" w14:textId="77777777" w:rsidR="0030147D" w:rsidRPr="00E72418" w:rsidRDefault="0030147D" w:rsidP="002625FD">
      <w:pPr>
        <w:pStyle w:val="Sansinterligne"/>
        <w:rPr>
          <w:szCs w:val="20"/>
        </w:rPr>
      </w:pPr>
      <w:r w:rsidRPr="00E72418">
        <w:rPr>
          <w:rStyle w:val="Appelnotedebasdep"/>
          <w:szCs w:val="20"/>
        </w:rPr>
        <w:footnoteRef/>
      </w:r>
      <w:r w:rsidRPr="00E72418">
        <w:rPr>
          <w:szCs w:val="20"/>
        </w:rPr>
        <w:t xml:space="preserve"> Loi modifiant la loi du 22 mars 1993 relative au statut et au contrôle des établissements de crédit, la loi du 9 juillet 1975 relative au contrôle des entreprises d’assurances, la loi du 2 août 2002 relative à la surveillance du secteur financier et aux services financiers et la loi du 28 avril 1999 visant à transposer la Directive 98/26/CE du 19 mai 1998 concernant le caractère définitif du règlement dans les systèmes de paiement et de règlement des opérations sur titres, </w:t>
      </w:r>
      <w:r w:rsidRPr="00E72418">
        <w:rPr>
          <w:i/>
          <w:szCs w:val="20"/>
        </w:rPr>
        <w:t>Moniteur belge</w:t>
      </w:r>
      <w:r w:rsidRPr="00E72418">
        <w:rPr>
          <w:szCs w:val="20"/>
        </w:rPr>
        <w:t>, 28 décembre 2004.</w:t>
      </w:r>
    </w:p>
  </w:footnote>
  <w:footnote w:id="1622">
    <w:p w14:paraId="4FEBC11B"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Projet de loi modifiant notamment, en matière de procédures d’insolvabilité, la loi du 22 mars 1993 relative au statut et au contrôle des établissements de crédit et la loi du 9 juillet 1975 relative au contrôle des entreprises d’assurances, Ch. repr., </w:t>
      </w:r>
      <w:r w:rsidRPr="00E72418">
        <w:rPr>
          <w:i/>
          <w:szCs w:val="20"/>
        </w:rPr>
        <w:t>Doc. parl.</w:t>
      </w:r>
      <w:r w:rsidRPr="00E72418">
        <w:rPr>
          <w:szCs w:val="20"/>
        </w:rPr>
        <w:t>, 2003-2004, doc. 51 1157/001, p. 64.</w:t>
      </w:r>
    </w:p>
  </w:footnote>
  <w:footnote w:id="1623">
    <w:p w14:paraId="225BFE74"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Projet de loi modifiant notamment, en matière de procédures d’insolvabilité, la loi du 22 mars 1993 relative au statut et au contrôle des établissements de crédit et la loi du 9 juillet 1975 relative au contrôle des entreprises d’assurances, Ch. repr., </w:t>
      </w:r>
      <w:r w:rsidRPr="00E72418">
        <w:rPr>
          <w:i/>
          <w:szCs w:val="20"/>
        </w:rPr>
        <w:t>Doc. parl.</w:t>
      </w:r>
      <w:r w:rsidRPr="00E72418">
        <w:rPr>
          <w:szCs w:val="20"/>
        </w:rPr>
        <w:t>, 2003-2004, doc. 51 1157/001, p. 64.</w:t>
      </w:r>
    </w:p>
  </w:footnote>
  <w:footnote w:id="1624">
    <w:p w14:paraId="3E3D7338" w14:textId="2535F6B4" w:rsidR="0030147D" w:rsidRPr="00E72418" w:rsidRDefault="0030147D" w:rsidP="002625FD">
      <w:pPr>
        <w:pStyle w:val="Sansinterligne"/>
        <w:rPr>
          <w:szCs w:val="20"/>
        </w:rPr>
      </w:pPr>
      <w:r w:rsidRPr="00E72418">
        <w:rPr>
          <w:rStyle w:val="Appelnotedebasdep"/>
          <w:szCs w:val="20"/>
        </w:rPr>
        <w:footnoteRef/>
      </w:r>
      <w:r w:rsidRPr="00E72418">
        <w:rPr>
          <w:szCs w:val="20"/>
        </w:rPr>
        <w:t xml:space="preserve"> Sur cette affaire et l’arrêt de la cour d’appel de Bruxelles du 26 septembre 2000,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178 et suiv. Notons qu’</w:t>
      </w:r>
      <w:r w:rsidRPr="00E72418">
        <w:rPr>
          <w:i/>
          <w:szCs w:val="20"/>
        </w:rPr>
        <w:t>Elliott Associates</w:t>
      </w:r>
      <w:r w:rsidRPr="00E72418">
        <w:rPr>
          <w:szCs w:val="20"/>
        </w:rPr>
        <w:t xml:space="preserve"> prit la précaution de ne pas solliciter de la juridiction bruxelloise une saisie à proprement parler mais uniquement une injonction interdisant des paiements. Ce faisant, quoique le résultat soit pour le créancier identique, la juridiction retint que l’injonction ne contrevenait notamment pas, remarque Patrick Wautelet, à l’arrêté royal n° 62 du 10 novembre 1967 favorisant la circulation des instruments financiers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142). L’article 9, alinéa 1</w:t>
      </w:r>
      <w:r w:rsidRPr="00E72418">
        <w:rPr>
          <w:szCs w:val="20"/>
          <w:vertAlign w:val="superscript"/>
        </w:rPr>
        <w:t>er</w:t>
      </w:r>
      <w:r w:rsidRPr="00E72418">
        <w:rPr>
          <w:szCs w:val="20"/>
        </w:rPr>
        <w:t>, de cet arrêté royal prévoit en effet qu’ « [a]ucune saisie-arrêt n’est admise sur les comptes courants de valeurs mobilières ouverts dans les écritures de l’organisme de liquidation » et qu’ « [e]n outre, aucune saisie-arrêt n’est admise sur les titres donnés en dépôt par l’organisme de liquidation ».</w:t>
      </w:r>
    </w:p>
  </w:footnote>
  <w:footnote w:id="1625">
    <w:p w14:paraId="0B6CCFB8" w14:textId="3B32D988" w:rsidR="0030147D" w:rsidRPr="00E72418" w:rsidRDefault="0030147D" w:rsidP="00444645">
      <w:pPr>
        <w:pStyle w:val="Sansinterligne"/>
      </w:pPr>
      <w:r w:rsidRPr="00E72418">
        <w:rPr>
          <w:rStyle w:val="Appelnotedebasdep"/>
        </w:rPr>
        <w:footnoteRef/>
      </w:r>
      <w:r w:rsidRPr="00E72418">
        <w:rPr>
          <w:vertAlign w:val="superscript"/>
        </w:rPr>
        <w:t xml:space="preserve"> </w:t>
      </w:r>
      <w:r w:rsidRPr="00E72418">
        <w:t xml:space="preserve">L’on peut ici faire un lien direct avec l’exemple de l’injonction new-yorkaise de 2012 intervenue dans le cadre du contentieux argentin (voyez </w:t>
      </w:r>
      <w:r w:rsidRPr="00E72418">
        <w:rPr>
          <w:i/>
        </w:rPr>
        <w:t>supra</w:t>
      </w:r>
      <w:r w:rsidRPr="00E72418">
        <w:t xml:space="preserve"> n</w:t>
      </w:r>
      <w:r w:rsidRPr="00E72418">
        <w:rPr>
          <w:vertAlign w:val="superscript"/>
        </w:rPr>
        <w:t>os</w:t>
      </w:r>
      <w:r w:rsidRPr="00E72418">
        <w:t xml:space="preserve"> 182 et suiv.). L’argument fut d’ailleurs mobilisé par </w:t>
      </w:r>
      <w:r w:rsidRPr="00E72418">
        <w:rPr>
          <w:i/>
        </w:rPr>
        <w:t>Euroclear</w:t>
      </w:r>
      <w:r w:rsidRPr="00E72418">
        <w:t xml:space="preserve"> devant la Cour suprême des </w:t>
      </w:r>
      <w:r w:rsidRPr="00E72418">
        <w:rPr>
          <w:rFonts w:ascii="Times New Roman" w:hAnsi="Times New Roman" w:cs="Times New Roman"/>
          <w:lang w:eastAsia="fr-BE"/>
        </w:rPr>
        <w:t>É</w:t>
      </w:r>
      <w:r w:rsidRPr="00E72418">
        <w:t xml:space="preserve">tats-Unis saisie de la question (voyez </w:t>
      </w:r>
      <w:r w:rsidRPr="00E72418">
        <w:rPr>
          <w:i/>
        </w:rPr>
        <w:t>supra</w:t>
      </w:r>
      <w:r w:rsidRPr="00E72418">
        <w:t xml:space="preserve"> n° 189) en faisant notamment valoir que « </w:t>
      </w:r>
      <w:r w:rsidRPr="00E72418">
        <w:rPr>
          <w:szCs w:val="20"/>
        </w:rPr>
        <w:t>[t]</w:t>
      </w:r>
      <w:r w:rsidRPr="00E72418">
        <w:t>he implementation of the Order on the terms set by the District Court would likely lead to a direct violation of this rule of Belgian law to the extent that Euroclear Bank would be prohibited from receiving cash payments in relation to the Exchange Bonds from its correspondents and from crediting the cash so received to its clients’ cash settlement accounts » (brief of Amicus Curiae Euroclear Bank SA/NV in Support of Petitioner, 24 mars 2014, 2014 WL 1245456, p. 10).</w:t>
      </w:r>
    </w:p>
  </w:footnote>
  <w:footnote w:id="1626">
    <w:p w14:paraId="567A0555" w14:textId="34573445" w:rsidR="0030147D" w:rsidRPr="00E72418" w:rsidRDefault="0030147D" w:rsidP="00B71734">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Blackman</w:t>
      </w:r>
      <w:r w:rsidRPr="00E72418">
        <w:rPr>
          <w:szCs w:val="20"/>
          <w:lang w:val="en-US"/>
        </w:rPr>
        <w:t xml:space="preserve"> et </w:t>
      </w:r>
      <w:r w:rsidRPr="00E72418">
        <w:rPr>
          <w:smallCaps/>
          <w:szCs w:val="20"/>
          <w:lang w:val="en-US"/>
        </w:rPr>
        <w:t>R. Mukhi</w:t>
      </w:r>
      <w:r w:rsidRPr="00E72418">
        <w:rPr>
          <w:szCs w:val="20"/>
          <w:lang w:val="en-US"/>
        </w:rPr>
        <w:t xml:space="preserve">, </w:t>
      </w:r>
      <w:r w:rsidRPr="00E72418">
        <w:rPr>
          <w:rStyle w:val="Titre5Car"/>
          <w:rFonts w:ascii="Times" w:eastAsiaTheme="minorHAnsi" w:hAnsi="Times" w:cstheme="minorBidi"/>
          <w:color w:val="auto"/>
          <w:szCs w:val="20"/>
          <w:lang w:val="en-US"/>
        </w:rPr>
        <w:t xml:space="preserve">« </w:t>
      </w:r>
      <w:r w:rsidRPr="00E72418">
        <w:rPr>
          <w:szCs w:val="20"/>
          <w:lang w:val="en-US"/>
        </w:rPr>
        <w:t xml:space="preserve">The Evolution of Modern Sovereign Debt Litigation: Vultures, Alter Egos, and Other Legal Fauna », </w:t>
      </w:r>
      <w:r w:rsidRPr="00E72418">
        <w:rPr>
          <w:i/>
          <w:szCs w:val="20"/>
          <w:lang w:val="en-US"/>
        </w:rPr>
        <w:t>op. cit.</w:t>
      </w:r>
      <w:r w:rsidRPr="00E72418">
        <w:rPr>
          <w:szCs w:val="20"/>
          <w:lang w:val="en-US"/>
        </w:rPr>
        <w:t xml:space="preserve">, p. 57 et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xml:space="preserve">, p. 21. Pour une application de la loi dans une affaire impliquant </w:t>
      </w:r>
      <w:r w:rsidRPr="00E72418">
        <w:rPr>
          <w:i/>
          <w:szCs w:val="20"/>
          <w:lang w:val="en-US"/>
        </w:rPr>
        <w:t>Euroclear</w:t>
      </w:r>
      <w:r w:rsidRPr="00E72418">
        <w:rPr>
          <w:szCs w:val="20"/>
          <w:lang w:val="en-US"/>
        </w:rPr>
        <w:t>, voyez notamment Tribunal de commerce de Bruxelles, 7 septembre 2015</w:t>
      </w:r>
      <w:r w:rsidRPr="00E72418">
        <w:rPr>
          <w:i/>
          <w:szCs w:val="20"/>
          <w:lang w:val="en-US"/>
        </w:rPr>
        <w:t>, Dr. banc. fin.</w:t>
      </w:r>
      <w:r w:rsidRPr="00E72418">
        <w:rPr>
          <w:szCs w:val="20"/>
          <w:lang w:val="en-US"/>
        </w:rPr>
        <w:t>, 2016, p. 176.</w:t>
      </w:r>
    </w:p>
  </w:footnote>
  <w:footnote w:id="1627">
    <w:p w14:paraId="222B6D7D" w14:textId="77777777" w:rsidR="0030147D" w:rsidRPr="00E72418" w:rsidRDefault="0030147D" w:rsidP="00B1587A">
      <w:pPr>
        <w:pStyle w:val="Sansinterligne"/>
        <w:rPr>
          <w:szCs w:val="20"/>
        </w:rPr>
      </w:pPr>
      <w:r w:rsidRPr="00E72418">
        <w:rPr>
          <w:rStyle w:val="Appelnotedebasdep"/>
          <w:szCs w:val="20"/>
        </w:rPr>
        <w:footnoteRef/>
      </w:r>
      <w:r w:rsidRPr="00E72418">
        <w:rPr>
          <w:szCs w:val="20"/>
        </w:rPr>
        <w:t xml:space="preserve"> Dans son projet de texte, le Gouvernement belge ne condamnait pas en tant que telle la tactique des fonds spéculatifs décrite. Il indiquait en effet ne pas vouloir entrer dans la discussion très technique des arguments généralement invoqués par les créanciers et les débiteurs pour justifier de leur position respective (projet de loi modifiant notamment, en matière de procédures d’insolvabilité, la loi du 22 mars 1993 relative au statut et au contrôle des établissements de crédit et la loi du 9 juillet 1975 relative au contrôle des entreprises d’assurances, Ch. repr., </w:t>
      </w:r>
      <w:r w:rsidRPr="00E72418">
        <w:rPr>
          <w:i/>
          <w:szCs w:val="20"/>
        </w:rPr>
        <w:t>Doc. parl.</w:t>
      </w:r>
      <w:r w:rsidRPr="00E72418">
        <w:rPr>
          <w:szCs w:val="20"/>
        </w:rPr>
        <w:t>, 2003-2004, doc. 51 1157/001, p. 64).</w:t>
      </w:r>
    </w:p>
  </w:footnote>
  <w:footnote w:id="1628">
    <w:p w14:paraId="7714258E" w14:textId="5ADDEC99" w:rsidR="0030147D" w:rsidRPr="00E72418" w:rsidRDefault="0030147D" w:rsidP="00E76D6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pp. 63 et 64.</w:t>
      </w:r>
    </w:p>
  </w:footnote>
  <w:footnote w:id="1629">
    <w:p w14:paraId="5AF1ADEC" w14:textId="5995A392" w:rsidR="0030147D" w:rsidRPr="00E72418" w:rsidRDefault="0030147D" w:rsidP="00E76D6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64.</w:t>
      </w:r>
    </w:p>
  </w:footnote>
  <w:footnote w:id="1630">
    <w:p w14:paraId="04AA21F6" w14:textId="06413DFC" w:rsidR="0030147D" w:rsidRPr="00E72418" w:rsidRDefault="0030147D" w:rsidP="00061BCB">
      <w:pPr>
        <w:pStyle w:val="Sansinterligne"/>
        <w:rPr>
          <w:szCs w:val="20"/>
        </w:rPr>
      </w:pPr>
      <w:r w:rsidRPr="00E72418">
        <w:rPr>
          <w:rStyle w:val="Appelnotedebasdep"/>
          <w:szCs w:val="20"/>
        </w:rPr>
        <w:footnoteRef/>
      </w:r>
      <w:r w:rsidRPr="00E72418">
        <w:rPr>
          <w:szCs w:val="20"/>
        </w:rPr>
        <w:t xml:space="preserve"> La modification opérée par la loi du 19 novembre 2004 consistait précisément à insérer entre les mots « système » et « ne peut être saisi », les mots « de même que tout transfert de sommes, via un établissement de crédit de droit belge ou étranger, à porter à un tel compte de règlement sur espèces ». Modifié depuis, l’article 9 de la loi du 28 avril 1999 dispose aujourd’hui que « [t]out compte de règlement auprès de l’opérateur ou de l’organe de règlement du système utilisé pour le dépôt de fonds, de même que tout transfert de fonds, à l’intervention d’un établissement de crédit de droit belge ou étranger, à porter à un tel compte de règlement, ne peut être saisi, mis sous séquestre ou bloqué d’une manière quelconque par un participant, une contrepartie ou un tiers autre que l’opérateur ou l’organe de règlement du système ».</w:t>
      </w:r>
    </w:p>
  </w:footnote>
  <w:footnote w:id="1631">
    <w:p w14:paraId="0DE58B13"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résolution visant à limiter l’impact des « fonds vautours » sur l’allègement de la dette des pays du tiers-monde, développements, Sénat, </w:t>
      </w:r>
      <w:r w:rsidRPr="00E72418">
        <w:rPr>
          <w:i/>
          <w:szCs w:val="20"/>
        </w:rPr>
        <w:t>Doc. parl.</w:t>
      </w:r>
      <w:r w:rsidRPr="00E72418">
        <w:rPr>
          <w:szCs w:val="20"/>
        </w:rPr>
        <w:t xml:space="preserve">, sess. ex. 2007, doc. 4 244/1. Notons qu’une autre proposition de résolution portant le même titre et reprenant des explications et des conclusions semblables mais moins étoffées avait déjà été déposée en avril 2007 (proposition de résolution visant à limiter l’impact des « fonds vautours » sur l’allègement de la dette des pays du tiers-monde, Sénat, </w:t>
      </w:r>
      <w:r w:rsidRPr="00E72418">
        <w:rPr>
          <w:i/>
          <w:szCs w:val="20"/>
        </w:rPr>
        <w:t>Doc. parl.</w:t>
      </w:r>
      <w:r w:rsidRPr="00E72418">
        <w:rPr>
          <w:szCs w:val="20"/>
        </w:rPr>
        <w:t>, 2006-2007, doc. 3 2414/1).</w:t>
      </w:r>
    </w:p>
  </w:footnote>
  <w:footnote w:id="1632">
    <w:p w14:paraId="3A150DED" w14:textId="184851F6"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résolution visant à limiter l’impact des « fonds vautours » sur l’allègement de la dette des pays du tiers-monde, Sénat, </w:t>
      </w:r>
      <w:r w:rsidRPr="00E72418">
        <w:rPr>
          <w:i/>
          <w:szCs w:val="20"/>
        </w:rPr>
        <w:t>Doc. parl.</w:t>
      </w:r>
      <w:r w:rsidRPr="00E72418">
        <w:rPr>
          <w:szCs w:val="20"/>
        </w:rPr>
        <w:t xml:space="preserve">, sess. ex. 2007, doc. 4 244/1, p. 9. Sur ce contentieux,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111 et suiv.</w:t>
      </w:r>
    </w:p>
  </w:footnote>
  <w:footnote w:id="1633">
    <w:p w14:paraId="54C41583" w14:textId="5CE6096F" w:rsidR="0030147D" w:rsidRPr="00E72418" w:rsidRDefault="0030147D" w:rsidP="00B1406D">
      <w:pPr>
        <w:pStyle w:val="Sansinterligne"/>
        <w:rPr>
          <w:szCs w:val="20"/>
        </w:rPr>
      </w:pPr>
      <w:r w:rsidRPr="00E72418">
        <w:rPr>
          <w:rStyle w:val="Appelnotedebasdep"/>
          <w:szCs w:val="20"/>
        </w:rPr>
        <w:footnoteRef/>
      </w:r>
      <w:r w:rsidRPr="00E72418">
        <w:rPr>
          <w:szCs w:val="20"/>
        </w:rPr>
        <w:t xml:space="preserve"> Sénat de Belgique, séance du jeudi 31 janvier 2008 après-midi, annales, séances plénières, </w:t>
      </w:r>
      <w:r w:rsidRPr="00E72418">
        <w:rPr>
          <w:i/>
          <w:szCs w:val="20"/>
        </w:rPr>
        <w:t>Doc. parl.</w:t>
      </w:r>
      <w:r w:rsidRPr="00E72418">
        <w:rPr>
          <w:szCs w:val="20"/>
        </w:rPr>
        <w:t>, 2007-2008, doc. 4-15, p. 61.</w:t>
      </w:r>
    </w:p>
  </w:footnote>
  <w:footnote w:id="1634">
    <w:p w14:paraId="017A2952" w14:textId="297A1426"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Les auteurs de la proposition de résolution estimaient qu’une possibilité de solution consistait à insérer une clause résolutoire dans les contrats bilatéraux d’aide que la Belgique concluait avec des pays en développement prévoyant que si l’argent octroyé n’était pas utilisé pour l’aide au développement, il devait revenir en Belgique (proposition de résolution visant à limiter l’impact des « fonds vautours » sur l’allègement de la dette des pays du tiers-monde, développements, Sénat, </w:t>
      </w:r>
      <w:r w:rsidRPr="00E72418">
        <w:rPr>
          <w:i/>
          <w:szCs w:val="20"/>
        </w:rPr>
        <w:t>Doc. parl.</w:t>
      </w:r>
      <w:r w:rsidRPr="00E72418">
        <w:rPr>
          <w:szCs w:val="20"/>
        </w:rPr>
        <w:t xml:space="preserve">, sess. ex. 2007, doc. 4 244/1, p. 10). Cette idée de clause fut reprise dans la recommandation sur la protection de l’aide financière des </w:t>
      </w:r>
      <w:r w:rsidRPr="00E72418">
        <w:rPr>
          <w:szCs w:val="20"/>
          <w:lang w:eastAsia="fr-BE"/>
        </w:rPr>
        <w:t>É</w:t>
      </w:r>
      <w:r w:rsidRPr="00E72418">
        <w:rPr>
          <w:szCs w:val="20"/>
        </w:rPr>
        <w:t xml:space="preserve">tats membres du Conseil de l’Europe aux pays pauvres contre les fonds financiers dits « fonds vautours » adoptée par l’Assemblée parlementaire du Conseil de l’Europe (Assemblée parlementaire du Conseil de l’Europe, </w:t>
      </w:r>
      <w:r w:rsidRPr="00E72418">
        <w:rPr>
          <w:i/>
          <w:szCs w:val="20"/>
        </w:rPr>
        <w:t xml:space="preserve">Recommandation sur la protection de l’aide financière des </w:t>
      </w:r>
      <w:r w:rsidRPr="00E72418">
        <w:rPr>
          <w:i/>
          <w:szCs w:val="20"/>
          <w:lang w:eastAsia="fr-BE"/>
        </w:rPr>
        <w:t>É</w:t>
      </w:r>
      <w:r w:rsidRPr="00E72418">
        <w:rPr>
          <w:i/>
          <w:szCs w:val="20"/>
        </w:rPr>
        <w:t>tats membres du Conseil de l’Europe aux pays pauvres contre les fonds financiers dits « fonds vautours »</w:t>
      </w:r>
      <w:r w:rsidRPr="00E72418">
        <w:rPr>
          <w:szCs w:val="20"/>
        </w:rPr>
        <w:t>, 29 mai 2009, 1870 (2009), point 9.2.).</w:t>
      </w:r>
    </w:p>
  </w:footnote>
  <w:footnote w:id="1635">
    <w:p w14:paraId="468FE363"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L’ensemble des demandes formulées par le Sénat au Gouvernement belge sont reprises in proposition de résolution visant à limiter l’impact des « fonds vautours » sur l’allègement de la dette des pays du tiers-monde, texte adopté par la Commission des relations extérieures et de la défense, Sénat, </w:t>
      </w:r>
      <w:r w:rsidRPr="00E72418">
        <w:rPr>
          <w:i/>
          <w:szCs w:val="20"/>
        </w:rPr>
        <w:t>Doc. parl.</w:t>
      </w:r>
      <w:r w:rsidRPr="00E72418">
        <w:rPr>
          <w:szCs w:val="20"/>
        </w:rPr>
        <w:t>, 2007-2008, doc. 4 244/4, pp. 3 et 4.</w:t>
      </w:r>
    </w:p>
  </w:footnote>
  <w:footnote w:id="1636">
    <w:p w14:paraId="19133A70" w14:textId="4826D41E"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En commission des relations extérieures, le Gouvernement fit valoir qu’il apportait un soutien déterminé à la proposition parlementaire relevant l’importance de « s’équiper juridiquement pour faire barrage à des pratiques immorales » (projet de loi visant à empêcher la saisie ou la cession des fonds publics destinés à la coopération internationale, notamment par la technique des fonds vauto</w:t>
      </w:r>
      <w:r>
        <w:rPr>
          <w:szCs w:val="20"/>
        </w:rPr>
        <w:t>urs, rapport fait au nom de la C</w:t>
      </w:r>
      <w:r w:rsidRPr="00E72418">
        <w:rPr>
          <w:szCs w:val="20"/>
        </w:rPr>
        <w:t xml:space="preserve">ommission des relations extérieures, Ch. repr., </w:t>
      </w:r>
      <w:r w:rsidRPr="00E72418">
        <w:rPr>
          <w:i/>
          <w:szCs w:val="20"/>
        </w:rPr>
        <w:t>Doc. parl.</w:t>
      </w:r>
      <w:r w:rsidRPr="00E72418">
        <w:rPr>
          <w:szCs w:val="20"/>
        </w:rPr>
        <w:t>, 2007-2008, doc. 52 0762/002, p. 3).</w:t>
      </w:r>
    </w:p>
  </w:footnote>
  <w:footnote w:id="1637">
    <w:p w14:paraId="11B5A817"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w:t>
      </w:r>
      <w:r w:rsidRPr="00E72418">
        <w:rPr>
          <w:i/>
          <w:szCs w:val="20"/>
        </w:rPr>
        <w:t>Moniteur belge</w:t>
      </w:r>
      <w:r w:rsidRPr="00E72418">
        <w:rPr>
          <w:szCs w:val="20"/>
        </w:rPr>
        <w:t>, 16 mai 2008.</w:t>
      </w:r>
    </w:p>
  </w:footnote>
  <w:footnote w:id="1638">
    <w:p w14:paraId="00FE4630" w14:textId="3F2A7EDA"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visant à sauvegarder la coopération au développement et l’allègement de la dette à la suite de l’intervention de fonds vautours, développements, Sénat, </w:t>
      </w:r>
      <w:r w:rsidRPr="00E72418">
        <w:rPr>
          <w:i/>
          <w:szCs w:val="20"/>
        </w:rPr>
        <w:t>Doc. parl.</w:t>
      </w:r>
      <w:r w:rsidRPr="00E72418">
        <w:rPr>
          <w:szCs w:val="20"/>
        </w:rPr>
        <w:t xml:space="preserve">, 2007-2008, doc. 4-482/1, pp. 4 et 10. Cette demande d’élaboration d’une loi visant à empêcher la saisie de fonds publics destinés à la coopération internationale avait déjà été proposée au titre de recommandation à insérer dans la résolution visant à limiter l’impact des fonds vautours sur l’allègement de la dette des pays du tiers-monde (proposition de résolution visant à limiter l’impact des « fonds vautours » sur l’allègement de la dette des pays du tiers-monde, amendements, Sénat, </w:t>
      </w:r>
      <w:r w:rsidRPr="00E72418">
        <w:rPr>
          <w:i/>
          <w:szCs w:val="20"/>
        </w:rPr>
        <w:t>Doc. parl.</w:t>
      </w:r>
      <w:r w:rsidRPr="00E72418">
        <w:rPr>
          <w:szCs w:val="20"/>
        </w:rPr>
        <w:t>, 2007-2008, doc. 4 244/2, p. 2). Cette recommandation ne fut finalement pas reprise dans la résolution en raison de la proposition de loi déposée (proposition de résolution visant à limiter l’impact des « fonds vautours » sur l’allègement de la dette des pays du tiers-monde, rapport fait au nom</w:t>
      </w:r>
      <w:r>
        <w:rPr>
          <w:szCs w:val="20"/>
        </w:rPr>
        <w:t xml:space="preserve"> de la C</w:t>
      </w:r>
      <w:r w:rsidRPr="00E72418">
        <w:rPr>
          <w:szCs w:val="20"/>
        </w:rPr>
        <w:t xml:space="preserve">ommission des relations extérieures et de la défense, Sénat, </w:t>
      </w:r>
      <w:r w:rsidRPr="00E72418">
        <w:rPr>
          <w:i/>
          <w:szCs w:val="20"/>
        </w:rPr>
        <w:t>Doc. parl.</w:t>
      </w:r>
      <w:r w:rsidRPr="00E72418">
        <w:rPr>
          <w:szCs w:val="20"/>
        </w:rPr>
        <w:t>, 2007-2008, doc. 4 244/3, p. 15).</w:t>
      </w:r>
    </w:p>
  </w:footnote>
  <w:footnote w:id="1639">
    <w:p w14:paraId="35D74C05"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visant à sauvegarder la coopération au développement et l’allègement de la dette à la suite de l’intervention de fonds vautours, développements, Sénat, </w:t>
      </w:r>
      <w:r w:rsidRPr="00E72418">
        <w:rPr>
          <w:i/>
          <w:szCs w:val="20"/>
        </w:rPr>
        <w:t>Doc. parl.</w:t>
      </w:r>
      <w:r w:rsidRPr="00E72418">
        <w:rPr>
          <w:szCs w:val="20"/>
        </w:rPr>
        <w:t>, 2007-2008, doc. 4-482/1, p. 12.</w:t>
      </w:r>
    </w:p>
  </w:footnote>
  <w:footnote w:id="1640">
    <w:p w14:paraId="1F8C3895" w14:textId="36EEB246" w:rsidR="0030147D" w:rsidRPr="00E72418" w:rsidRDefault="0030147D" w:rsidP="00481E8E">
      <w:pPr>
        <w:pStyle w:val="Sansinterligne"/>
        <w:rPr>
          <w:szCs w:val="20"/>
        </w:rPr>
      </w:pPr>
      <w:r w:rsidRPr="00E72418">
        <w:rPr>
          <w:rStyle w:val="Appelnotedebasdep"/>
          <w:szCs w:val="20"/>
        </w:rPr>
        <w:footnoteRef/>
      </w:r>
      <w:r w:rsidRPr="00E72418">
        <w:rPr>
          <w:szCs w:val="20"/>
        </w:rPr>
        <w:t xml:space="preserve"> Sur le conflit ayant opposé la société </w:t>
      </w:r>
      <w:r w:rsidRPr="00E72418">
        <w:rPr>
          <w:i/>
          <w:szCs w:val="20"/>
        </w:rPr>
        <w:t>Kensington International Ltd.</w:t>
      </w:r>
      <w:r w:rsidRPr="00E72418">
        <w:rPr>
          <w:szCs w:val="20"/>
        </w:rPr>
        <w:t xml:space="preserve"> à la République du Congo à l’origine de cette saisie,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111 et suiv.</w:t>
      </w:r>
    </w:p>
  </w:footnote>
  <w:footnote w:id="1641">
    <w:p w14:paraId="6163661F"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Sénat de Belgique, séance du jeudi 31 janvier 2008 après-midi, annales, séances plénières, </w:t>
      </w:r>
      <w:r w:rsidRPr="00E72418">
        <w:rPr>
          <w:i/>
          <w:szCs w:val="20"/>
        </w:rPr>
        <w:t>Doc. parl.</w:t>
      </w:r>
      <w:r w:rsidRPr="00E72418">
        <w:rPr>
          <w:szCs w:val="20"/>
        </w:rPr>
        <w:t>, 2007-2008, doc. 4-15, p. 41.</w:t>
      </w:r>
    </w:p>
  </w:footnote>
  <w:footnote w:id="1642">
    <w:p w14:paraId="3D51A3BB" w14:textId="523925F8"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visant à sauvegarder la coopération au développement et l’allègement de la dette à la suite de l’intervention de fonds vautours, commentaires des articles, Sénat, </w:t>
      </w:r>
      <w:r w:rsidRPr="00E72418">
        <w:rPr>
          <w:i/>
          <w:szCs w:val="20"/>
        </w:rPr>
        <w:t>Doc. parl.</w:t>
      </w:r>
      <w:r w:rsidRPr="00E72418">
        <w:rPr>
          <w:szCs w:val="20"/>
        </w:rPr>
        <w:t>, 2007-2008, doc. 4-482/1, p. 13. La proposition de loi insistait sur l’importance des prêts concédés par la Belgique pour le développement social et économique de leurs récipiendaires ainsi que pour l’économie et les exportations belges.</w:t>
      </w:r>
    </w:p>
  </w:footnote>
  <w:footnote w:id="1643">
    <w:p w14:paraId="00030911" w14:textId="564AB85F"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C. De Jonghe</w:t>
      </w:r>
      <w:r w:rsidRPr="00E72418">
        <w:t xml:space="preserve">, « Le retrait litigieux à l’épreuve de la pratique financière contemporaine », </w:t>
      </w:r>
      <w:r w:rsidRPr="00E72418">
        <w:rPr>
          <w:rFonts w:ascii="Times New Roman" w:hAnsi="Times New Roman" w:cs="Times New Roman"/>
          <w:i/>
        </w:rPr>
        <w:t>R.D.C. – T.B.H.</w:t>
      </w:r>
      <w:r w:rsidRPr="00E72418">
        <w:t xml:space="preserve">, 2019, p. 238. L’intervention du législateur belge répond, souligne Corentin De Jonghe, à des considérations morales assez proches de celles ayant conduit à la consécration du retrait litigieux (sur ce retrait, voyez </w:t>
      </w:r>
      <w:r w:rsidRPr="00E72418">
        <w:rPr>
          <w:i/>
        </w:rPr>
        <w:t>supra</w:t>
      </w:r>
      <w:r w:rsidRPr="00E72418">
        <w:t xml:space="preserve"> n</w:t>
      </w:r>
      <w:r w:rsidRPr="00E72418">
        <w:rPr>
          <w:vertAlign w:val="superscript"/>
        </w:rPr>
        <w:t>os</w:t>
      </w:r>
      <w:r w:rsidRPr="00E72418">
        <w:t xml:space="preserve"> 249 et suiv.). </w:t>
      </w:r>
      <w:r w:rsidRPr="00E72418">
        <w:rPr>
          <w:lang w:val="en-US"/>
        </w:rPr>
        <w:t>Comme le relève Astrid Iversen, « [t]he Belgian legislation protects property that is probably viewed by politicians and the population at large as amongst the most cynical assets to seize » (</w:t>
      </w:r>
      <w:r w:rsidRPr="00E72418">
        <w:rPr>
          <w:smallCaps/>
          <w:lang w:val="en-US"/>
        </w:rPr>
        <w:t>A. Iversen</w:t>
      </w:r>
      <w:r w:rsidRPr="00E72418">
        <w:rPr>
          <w:lang w:val="en-US"/>
        </w:rPr>
        <w:t xml:space="preserve">, « Holdout Creditor Litigation </w:t>
      </w:r>
      <w:r w:rsidRPr="00E72418">
        <w:t>–</w:t>
      </w:r>
      <w:r w:rsidRPr="00E72418">
        <w:rPr>
          <w:b/>
        </w:rPr>
        <w:t xml:space="preserve"> </w:t>
      </w:r>
      <w:r w:rsidRPr="00E72418">
        <w:rPr>
          <w:lang w:val="en-US"/>
        </w:rPr>
        <w:t xml:space="preserve">An assessment of legislative initiatives to counter aggressive sovereign debt creditor litigators », </w:t>
      </w:r>
      <w:r w:rsidRPr="00E72418">
        <w:rPr>
          <w:i/>
          <w:lang w:val="en-US"/>
        </w:rPr>
        <w:t>op. cit.</w:t>
      </w:r>
      <w:r w:rsidRPr="00E72418">
        <w:rPr>
          <w:lang w:val="en-US"/>
        </w:rPr>
        <w:t>, p. 32).</w:t>
      </w:r>
    </w:p>
  </w:footnote>
  <w:footnote w:id="1644">
    <w:p w14:paraId="0F7F7345" w14:textId="77777777" w:rsidR="0030147D" w:rsidRPr="00E72418" w:rsidRDefault="0030147D" w:rsidP="00C93658">
      <w:pPr>
        <w:pStyle w:val="Sansinterligne"/>
        <w:rPr>
          <w:szCs w:val="20"/>
        </w:rPr>
      </w:pPr>
      <w:r w:rsidRPr="00E72418">
        <w:rPr>
          <w:rStyle w:val="Appelnotedebasdep"/>
          <w:szCs w:val="20"/>
        </w:rPr>
        <w:footnoteRef/>
      </w:r>
      <w:r w:rsidRPr="00E72418">
        <w:rPr>
          <w:szCs w:val="20"/>
        </w:rPr>
        <w:t xml:space="preserve"> La règle d’origine reprise à l’article 11</w:t>
      </w:r>
      <w:r w:rsidRPr="00E72418">
        <w:rPr>
          <w:i/>
          <w:szCs w:val="20"/>
        </w:rPr>
        <w:t>bis</w:t>
      </w:r>
      <w:r w:rsidRPr="00E72418">
        <w:rPr>
          <w:szCs w:val="20"/>
        </w:rPr>
        <w:t xml:space="preserve"> de la loi du 25 mai 1999 précisait que « [l]es sommes et les biens destinés à la coopération internationale belge ainsi que les sommes et les biens destinés à l’aide publique belge au développement – autres que ceux relevant de la coopération internationale belge – sont insaisissables et incessibles ».</w:t>
      </w:r>
    </w:p>
  </w:footnote>
  <w:footnote w:id="1645">
    <w:p w14:paraId="2775EA59" w14:textId="7AF17035" w:rsidR="0030147D" w:rsidRPr="00E72418" w:rsidRDefault="0030147D" w:rsidP="006C2A3B">
      <w:pPr>
        <w:pStyle w:val="Sansinterligne"/>
        <w:rPr>
          <w:szCs w:val="20"/>
        </w:rPr>
      </w:pPr>
      <w:r w:rsidRPr="00E72418">
        <w:rPr>
          <w:rStyle w:val="Appelnotedebasdep"/>
          <w:szCs w:val="20"/>
        </w:rPr>
        <w:footnoteRef/>
      </w:r>
      <w:r w:rsidRPr="00E72418">
        <w:rPr>
          <w:szCs w:val="20"/>
        </w:rPr>
        <w:t xml:space="preserve"> Il fut un temps regretté que les personnes morales de droit privé, acteurs de la coopération, ne puissent bénéficier, à hauteur de leur apport concret dans la coopération internationale belge au développement, de l’immunité prévue par la loi de 2008 (</w:t>
      </w:r>
      <w:r w:rsidRPr="00E72418">
        <w:rPr>
          <w:smallCaps/>
          <w:szCs w:val="20"/>
        </w:rPr>
        <w:t>D. Philippe</w:t>
      </w:r>
      <w:r w:rsidRPr="00E72418">
        <w:rPr>
          <w:szCs w:val="20"/>
        </w:rPr>
        <w:t xml:space="preserve">, « Initiatives législatives en matière de fonds vautours : portée et efficacité », </w:t>
      </w:r>
      <w:r w:rsidRPr="00E72418">
        <w:rPr>
          <w:i/>
          <w:szCs w:val="20"/>
        </w:rPr>
        <w:t>Dounia</w:t>
      </w:r>
      <w:r w:rsidRPr="00E72418">
        <w:rPr>
          <w:szCs w:val="20"/>
        </w:rPr>
        <w:t xml:space="preserve">, 2012, p. 88). Ce regret était d’autant plus significatif qu’avait été soulignée, lors des travaux préparatoires de la loi du 6 avril 2008, l’importance que les personnes morales de droit privé bénéficient de l’immunité à hauteur de leur apport concret dans la coopération internationale belge au développement (proposition de loi visant à sauvegarder la coopération au développement et l’allègement de la dette à la suite de l’intervention de fonds vautours, amendements, Sénat, </w:t>
      </w:r>
      <w:r w:rsidRPr="00E72418">
        <w:rPr>
          <w:i/>
          <w:szCs w:val="20"/>
        </w:rPr>
        <w:t>Doc. parl.</w:t>
      </w:r>
      <w:r w:rsidRPr="00E72418">
        <w:rPr>
          <w:szCs w:val="20"/>
        </w:rPr>
        <w:t>, 2007-2008, doc. 4-482/2, p. 2). Ce regret ne semble toutefois plus de mise depuis l’adoption de la loi du 19 mars 2013 qui retient expressément dans la définition de la Coopération belge au Développement, la coopération menée par des canaux non gouvernementaux.</w:t>
      </w:r>
    </w:p>
  </w:footnote>
  <w:footnote w:id="1646">
    <w:p w14:paraId="71AC162F" w14:textId="3A607836"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visant à sauvegarder la coopération au développement et l’allègement de la dette à la suite de l’intervention de fonds vautours, commentaires des articles, Sénat, </w:t>
      </w:r>
      <w:r w:rsidRPr="00E72418">
        <w:rPr>
          <w:i/>
          <w:szCs w:val="20"/>
        </w:rPr>
        <w:t>Doc. parl.</w:t>
      </w:r>
      <w:r w:rsidRPr="00E72418">
        <w:rPr>
          <w:szCs w:val="20"/>
        </w:rPr>
        <w:t>, 2007-2008, doc. 4-482/1, p. 12. Vu cette précision, l’on peut se demander, comme Alexander Hansebout, s’il n’eût pas été plus opportun, dans un souci de cohérence, d’insérer la disposition dans le Code judiciaire à la suite de l’article 1412</w:t>
      </w:r>
      <w:r w:rsidRPr="00E72418">
        <w:rPr>
          <w:i/>
          <w:szCs w:val="20"/>
        </w:rPr>
        <w:t>bis</w:t>
      </w:r>
      <w:r w:rsidRPr="00E72418">
        <w:rPr>
          <w:szCs w:val="20"/>
        </w:rPr>
        <w:t xml:space="preserve"> (</w:t>
      </w:r>
      <w:r w:rsidRPr="00E72418">
        <w:rPr>
          <w:smallCaps/>
          <w:szCs w:val="20"/>
        </w:rPr>
        <w:t>A. Hansebout</w:t>
      </w:r>
      <w:r w:rsidRPr="00E72418">
        <w:rPr>
          <w:szCs w:val="20"/>
        </w:rPr>
        <w:t xml:space="preserve">, « De wet van 6 april 2008: over onbeslagbaarheid en aasgierfondsen », </w:t>
      </w:r>
      <w:r w:rsidRPr="00E72418">
        <w:rPr>
          <w:i/>
          <w:szCs w:val="20"/>
        </w:rPr>
        <w:t>R.W.</w:t>
      </w:r>
      <w:r w:rsidRPr="00E72418">
        <w:rPr>
          <w:szCs w:val="20"/>
        </w:rPr>
        <w:t>, 2008-2009, pp. 595 et 596).</w:t>
      </w:r>
    </w:p>
  </w:footnote>
  <w:footnote w:id="1647">
    <w:p w14:paraId="71DBF3F5" w14:textId="77777777" w:rsidR="0030147D" w:rsidRPr="00E72418" w:rsidRDefault="0030147D" w:rsidP="00C93658">
      <w:pPr>
        <w:pStyle w:val="Sansinterligne"/>
        <w:rPr>
          <w:szCs w:val="20"/>
        </w:rPr>
      </w:pPr>
      <w:r w:rsidRPr="00E72418">
        <w:rPr>
          <w:rStyle w:val="Appelnotedebasdep"/>
          <w:szCs w:val="20"/>
        </w:rPr>
        <w:footnoteRef/>
      </w:r>
      <w:r w:rsidRPr="00E72418">
        <w:rPr>
          <w:szCs w:val="20"/>
        </w:rPr>
        <w:t xml:space="preserve"> Voyez l’article 5 de la loi du 3 juin 1964 modifiant l’arrêté royal n° 42 du 31 août 1939 réorganisant l’Office national du Ducroire et autorisant le Ministre des Finances et le Ministre qui a les relations commerciales extérieures dans ses attributions, à consentir des prêts à des </w:t>
      </w:r>
      <w:r w:rsidRPr="00E72418">
        <w:rPr>
          <w:szCs w:val="20"/>
          <w:lang w:eastAsia="fr-BE"/>
        </w:rPr>
        <w:t>É</w:t>
      </w:r>
      <w:r w:rsidRPr="00E72418">
        <w:rPr>
          <w:szCs w:val="20"/>
        </w:rPr>
        <w:t xml:space="preserve">tats ou à des organismes étrangers. Cet article dispose en son premier alinéa qu’ « [à] concurrence du montant des crédits ouverts à cette fin au budget du Ministère des Finances, le Ministre des Finances et le Ministre ayant les relations commerciales extérieures dans ses attributions sont autorisés à consentir, conjointement, des prêts à des </w:t>
      </w:r>
      <w:r w:rsidRPr="00E72418">
        <w:rPr>
          <w:szCs w:val="20"/>
          <w:lang w:eastAsia="fr-BE"/>
        </w:rPr>
        <w:t>É</w:t>
      </w:r>
      <w:r w:rsidRPr="00E72418">
        <w:rPr>
          <w:szCs w:val="20"/>
        </w:rPr>
        <w:t xml:space="preserve">tats ou à des organismes étrangers ayant obtenu la garantie de leur gouvernement, de leur banque centrale ou d’une institution qui exécute la politique de développement d’un </w:t>
      </w:r>
      <w:r w:rsidRPr="00E72418">
        <w:rPr>
          <w:szCs w:val="20"/>
          <w:lang w:eastAsia="fr-BE"/>
        </w:rPr>
        <w:t>É</w:t>
      </w:r>
      <w:r w:rsidRPr="00E72418">
        <w:rPr>
          <w:szCs w:val="20"/>
        </w:rPr>
        <w:t>tat étranger. Ces prêts peuvent être liés à la fourniture de prestations belges ». L’alinéa 2, inséré par la loi du 6 avril 2008, dispose que « [l]es montants des prêts consentis en application de l’alinéa 1</w:t>
      </w:r>
      <w:r w:rsidRPr="00E72418">
        <w:rPr>
          <w:szCs w:val="20"/>
          <w:vertAlign w:val="superscript"/>
        </w:rPr>
        <w:t>er</w:t>
      </w:r>
      <w:r w:rsidRPr="00E72418">
        <w:rPr>
          <w:szCs w:val="20"/>
        </w:rPr>
        <w:t xml:space="preserve"> sont insaisissables et incessibles ».</w:t>
      </w:r>
    </w:p>
  </w:footnote>
  <w:footnote w:id="1648">
    <w:p w14:paraId="1E2AEF5F" w14:textId="76273D4F"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w:t>
      </w:r>
      <w:r w:rsidRPr="00E72418">
        <w:rPr>
          <w:smallCaps/>
          <w:szCs w:val="20"/>
        </w:rPr>
        <w:t>D. Philippe</w:t>
      </w:r>
      <w:r w:rsidRPr="00E72418">
        <w:rPr>
          <w:szCs w:val="20"/>
        </w:rPr>
        <w:t xml:space="preserve">, « Initiatives législatives en matière de fonds vautours : portée et efficacité », </w:t>
      </w:r>
      <w:r w:rsidRPr="00E72418">
        <w:rPr>
          <w:i/>
          <w:szCs w:val="20"/>
        </w:rPr>
        <w:t>op. cit.</w:t>
      </w:r>
      <w:r w:rsidRPr="00E72418">
        <w:rPr>
          <w:szCs w:val="20"/>
        </w:rPr>
        <w:t>, pp. 87 et 88.</w:t>
      </w:r>
    </w:p>
  </w:footnote>
  <w:footnote w:id="1649">
    <w:p w14:paraId="702DE29B" w14:textId="51C8A326" w:rsidR="0030147D" w:rsidRPr="00E72418" w:rsidRDefault="0030147D" w:rsidP="0012579D">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pp. 155 et 156. Le problème du manque de cohérence entre les objectifs affichés par la législation belge et les résultats auxquels sa rédaction peut produire avait été soulevé par le Service de l’évaluation de la législation (proposition de loi visant à sauvegarder la coopération au développement et l’allègement de la dette à la suite de l’intervention de fonds vauto</w:t>
      </w:r>
      <w:r>
        <w:rPr>
          <w:szCs w:val="20"/>
        </w:rPr>
        <w:t>urs, rapport fait au nom de la C</w:t>
      </w:r>
      <w:r w:rsidRPr="00E72418">
        <w:rPr>
          <w:szCs w:val="20"/>
        </w:rPr>
        <w:t xml:space="preserve">ommission des relations extérieures et de la défense, annexe, Sénat, </w:t>
      </w:r>
      <w:r w:rsidRPr="00E72418">
        <w:rPr>
          <w:i/>
          <w:szCs w:val="20"/>
        </w:rPr>
        <w:t xml:space="preserve">Doc. </w:t>
      </w:r>
      <w:r w:rsidRPr="00E72418">
        <w:rPr>
          <w:i/>
          <w:szCs w:val="20"/>
          <w:lang w:val="en-US"/>
        </w:rPr>
        <w:t>Parl.</w:t>
      </w:r>
      <w:r w:rsidRPr="00E72418">
        <w:rPr>
          <w:szCs w:val="20"/>
          <w:lang w:val="en-US"/>
        </w:rPr>
        <w:t>, 2007-2008, doc. 4-482/3, p. 7).</w:t>
      </w:r>
    </w:p>
  </w:footnote>
  <w:footnote w:id="1650">
    <w:p w14:paraId="2B5B3F02" w14:textId="46BDC351" w:rsidR="0030147D" w:rsidRPr="00E72418" w:rsidRDefault="0030147D" w:rsidP="0012579D">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A. Hansebout</w:t>
      </w:r>
      <w:r w:rsidRPr="00E72418">
        <w:rPr>
          <w:szCs w:val="20"/>
          <w:lang w:val="en-US"/>
        </w:rPr>
        <w:t xml:space="preserve">, « De wet van 6 april 2008: over onbeslagbaarheid en aasgierfondsen », </w:t>
      </w:r>
      <w:r w:rsidRPr="00E72418">
        <w:rPr>
          <w:i/>
          <w:szCs w:val="20"/>
          <w:lang w:val="en-US"/>
        </w:rPr>
        <w:t>op. cit.</w:t>
      </w:r>
      <w:r w:rsidRPr="00E72418">
        <w:rPr>
          <w:szCs w:val="20"/>
          <w:lang w:val="en-US"/>
        </w:rPr>
        <w:t>, p. 597.</w:t>
      </w:r>
    </w:p>
  </w:footnote>
  <w:footnote w:id="1651">
    <w:p w14:paraId="668CFC60" w14:textId="6D4FAED2" w:rsidR="0030147D" w:rsidRPr="00E72418" w:rsidRDefault="0030147D" w:rsidP="009E63C4">
      <w:pPr>
        <w:pStyle w:val="Sansinterligne"/>
        <w:rPr>
          <w:szCs w:val="20"/>
          <w:lang w:val="en-US"/>
        </w:rPr>
      </w:pPr>
      <w:r w:rsidRPr="00E72418">
        <w:rPr>
          <w:rStyle w:val="Appelnotedebasdep"/>
          <w:szCs w:val="20"/>
        </w:rPr>
        <w:footnoteRef/>
      </w:r>
      <w:r w:rsidRPr="00E72418">
        <w:rPr>
          <w:szCs w:val="20"/>
        </w:rPr>
        <w:t xml:space="preserve"> </w:t>
      </w:r>
      <w:r w:rsidRPr="00E72418">
        <w:rPr>
          <w:rFonts w:cs="Times New Roman"/>
          <w:szCs w:val="20"/>
        </w:rPr>
        <w:t>Si la question n’est à ce jour sans doute plus d’actualité, le Service de l’évaluation de la législation s’interrogea en son temps sur le sort à réserver aux procédures visant la saisie ou la cession des montants destinés à la coopération, qui étaient en cours à la date d’entrée en vigueur de la loi (</w:t>
      </w:r>
      <w:r w:rsidRPr="00E72418">
        <w:rPr>
          <w:szCs w:val="20"/>
        </w:rPr>
        <w:t>proposition de loi visant à sauvegarder la coopération au développement et l’allègement de la dette à la suite de l’intervention de fonds vautours, rapport fai</w:t>
      </w:r>
      <w:r>
        <w:rPr>
          <w:szCs w:val="20"/>
        </w:rPr>
        <w:t>t au nom de la C</w:t>
      </w:r>
      <w:r w:rsidRPr="00E72418">
        <w:rPr>
          <w:szCs w:val="20"/>
        </w:rPr>
        <w:t xml:space="preserve">ommission des relations extérieures et de la défense, annexe, Sénat, </w:t>
      </w:r>
      <w:r w:rsidRPr="00E72418">
        <w:rPr>
          <w:i/>
          <w:szCs w:val="20"/>
        </w:rPr>
        <w:t xml:space="preserve">Doc. </w:t>
      </w:r>
      <w:r w:rsidRPr="00E72418">
        <w:rPr>
          <w:i/>
          <w:szCs w:val="20"/>
          <w:lang w:val="en-US"/>
        </w:rPr>
        <w:t>Parl.</w:t>
      </w:r>
      <w:r w:rsidRPr="00E72418">
        <w:rPr>
          <w:szCs w:val="20"/>
          <w:lang w:val="en-US"/>
        </w:rPr>
        <w:t>, 2007-2008, doc. 4-482/3, p. 7)</w:t>
      </w:r>
      <w:r w:rsidRPr="00E72418">
        <w:rPr>
          <w:rFonts w:cs="Times New Roman"/>
          <w:szCs w:val="20"/>
          <w:lang w:val="en-US"/>
        </w:rPr>
        <w:t xml:space="preserve">. </w:t>
      </w:r>
      <w:r w:rsidRPr="00E72418">
        <w:rPr>
          <w:szCs w:val="20"/>
          <w:lang w:val="en-US"/>
        </w:rPr>
        <w:t>Comme le relevait Patrick Wautelet, « [t]he law […] did not solve all issues as it only applied for court proceedings introduced after its entry into force »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lang w:val="en-US"/>
        </w:rPr>
        <w:t>op. cit.</w:t>
      </w:r>
      <w:r w:rsidRPr="00E72418">
        <w:rPr>
          <w:szCs w:val="20"/>
          <w:lang w:val="en-US"/>
        </w:rPr>
        <w:t>, p. 125).</w:t>
      </w:r>
    </w:p>
  </w:footnote>
  <w:footnote w:id="1652">
    <w:p w14:paraId="22674FF8"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xml:space="preserve">, 2014-2015, doc. 54 1057/001, p. 8. </w:t>
      </w:r>
      <w:r w:rsidRPr="00E72418">
        <w:rPr>
          <w:rFonts w:cs="Times New Roman"/>
          <w:szCs w:val="20"/>
        </w:rPr>
        <w:t>Il fut également pointé, lors des travaux préparatoires, que la saisie de fonds belges destinés à des projets d’investissements n’est pas empêchée par la législation de 2008</w:t>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5).</w:t>
      </w:r>
    </w:p>
  </w:footnote>
  <w:footnote w:id="1653">
    <w:p w14:paraId="70738FBE"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9.</w:t>
      </w:r>
    </w:p>
  </w:footnote>
  <w:footnote w:id="1654">
    <w:p w14:paraId="1C5E6423"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6 et 7.</w:t>
      </w:r>
    </w:p>
  </w:footnote>
  <w:footnote w:id="1655">
    <w:p w14:paraId="6C344CC8"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3.</w:t>
      </w:r>
    </w:p>
  </w:footnote>
  <w:footnote w:id="1656">
    <w:p w14:paraId="2D728C18" w14:textId="648148F6"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pp. 5 et 6. Dans son avis rendu sur la proposition de loi, la Banque nationale de Belgique reconnut la pertinence des préoccupations qui sont à l’origine de la proposition à l’origine de la loi du 12 juillet 2015 au regard des entraves au règlement ordonné des crises de dettes souveraines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31).</w:t>
      </w:r>
    </w:p>
  </w:footnote>
  <w:footnote w:id="1657">
    <w:p w14:paraId="1E753CE1" w14:textId="7777777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Propos d’Ahmed Laaouej repris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4. Le parlementaire Georges Gilkinet releva quant à lui que l’activité des fonds spéculatifs participe de la même logique de maximisation des profits au mépris de toutes règles que d’autres phénomènes financiers apparus depuis les années 90 tels que le développement de banques systémiques, l’explosion des paradis fiscaux et l’émergence de produits financiers de plus en plus complexes, dangereux et spéculatifs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6). Ce même parlementaire, balayant les arguments qui furent avancés à l’encontre de l’adoption de la loi, indiqua que réagir à la forme de mainmise de la finance sur notre société que représente l’action des fonds spéculatifs est « une urgence fondamentale qui doit bousculer tous les mauvais prétextes évoqués pour ne pas agir, tels que l’attente d’un consensus international, la peur des conséquences économiques de choix radicaux, la confiance dans l’autorégulation ou dans l’éthique personnelle des gestionnaires financiers et la faiblesse du dispositif de droit » (propos repris in Chambre des représentants, compte rendu intégral avec compte rendu analytique traduit des interventions, séance plénière, 25 juin 2015, CRIV 54 PLEN 057, p. 59).</w:t>
      </w:r>
    </w:p>
  </w:footnote>
  <w:footnote w:id="1658">
    <w:p w14:paraId="12AD3425" w14:textId="7E81668A"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Nous verrons toutefois que le mécanisme mis en place par la loi ne bénéficie pas aux seuls </w:t>
      </w:r>
      <w:r w:rsidRPr="00E72418">
        <w:rPr>
          <w:szCs w:val="20"/>
          <w:lang w:eastAsia="fr-BE"/>
        </w:rPr>
        <w:t>É</w:t>
      </w:r>
      <w:r w:rsidRPr="00E72418">
        <w:rPr>
          <w:szCs w:val="20"/>
        </w:rPr>
        <w:t>tats « en état d’insolvabilité » (</w:t>
      </w:r>
      <w:r w:rsidRPr="00E72418">
        <w:rPr>
          <w:i/>
          <w:szCs w:val="20"/>
        </w:rPr>
        <w:t xml:space="preserve">infra </w:t>
      </w:r>
      <w:r w:rsidRPr="00E72418">
        <w:rPr>
          <w:szCs w:val="20"/>
        </w:rPr>
        <w:t>n° 342).</w:t>
      </w:r>
    </w:p>
  </w:footnote>
  <w:footnote w:id="1659">
    <w:p w14:paraId="19B62FF5" w14:textId="77777777" w:rsidR="0030147D" w:rsidRPr="00E72418" w:rsidRDefault="0030147D" w:rsidP="00B32BE6">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6.</w:t>
      </w:r>
    </w:p>
  </w:footnote>
  <w:footnote w:id="1660">
    <w:p w14:paraId="7D5A8C89" w14:textId="77777777" w:rsidR="0030147D" w:rsidRPr="00E72418" w:rsidRDefault="0030147D" w:rsidP="00570841">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1</w:t>
      </w:r>
      <w:r w:rsidRPr="00E72418">
        <w:rPr>
          <w:szCs w:val="20"/>
          <w:vertAlign w:val="superscript"/>
        </w:rPr>
        <w:t>er</w:t>
      </w:r>
      <w:r w:rsidRPr="00E72418">
        <w:rPr>
          <w:szCs w:val="20"/>
        </w:rPr>
        <w:t xml:space="preserve"> juillet 2015, CRIV 54 PLEN 059, p. 5. Autre signe de la quasi-unanimité quant à la façon d’appréhender le phénomène des fonds spéculant sur les dettes souveraines, </w:t>
      </w:r>
      <w:r w:rsidRPr="00E72418">
        <w:rPr>
          <w:rFonts w:cs="Times New Roman"/>
          <w:szCs w:val="20"/>
        </w:rPr>
        <w:t xml:space="preserve">le texte de la proposition de loi avait été cosigné par des députés issus de la quasi-totalité des groupes politiques à la Chambre des représentants. </w:t>
      </w:r>
      <w:r w:rsidRPr="00E72418">
        <w:rPr>
          <w:szCs w:val="20"/>
        </w:rPr>
        <w:t>D’autres parlementaires auraient également souhaité la signer mais en furent empêchés par la limitation du nombre de signatures permises (Chambre des représentants, compte rendu intégral avec compte rendu analytique traduit des interventions, séance plénière, 25 juin 2015, CRIV 54 PLEN 057, pp. 51 et 62).</w:t>
      </w:r>
    </w:p>
  </w:footnote>
  <w:footnote w:id="1661">
    <w:p w14:paraId="15CE6F5D" w14:textId="7CCB9767" w:rsidR="0030147D" w:rsidRPr="00E72418" w:rsidRDefault="0030147D" w:rsidP="00CE5726">
      <w:pPr>
        <w:pStyle w:val="Sansinterligne"/>
        <w:rPr>
          <w:szCs w:val="20"/>
        </w:rPr>
      </w:pPr>
      <w:r w:rsidRPr="00E72418">
        <w:rPr>
          <w:rStyle w:val="Appelnotedebasdep"/>
          <w:szCs w:val="20"/>
        </w:rPr>
        <w:footnoteRef/>
      </w:r>
      <w:r w:rsidRPr="00E72418">
        <w:rPr>
          <w:szCs w:val="20"/>
        </w:rPr>
        <w:t xml:space="preserve"> </w:t>
      </w:r>
      <w:r w:rsidRPr="00E72418">
        <w:rPr>
          <w:i/>
          <w:szCs w:val="20"/>
        </w:rPr>
        <w:t>Moniteur belge</w:t>
      </w:r>
      <w:r w:rsidRPr="00E72418">
        <w:rPr>
          <w:szCs w:val="20"/>
        </w:rPr>
        <w:t>, 11 septembre 2015 (</w:t>
      </w:r>
      <w:r w:rsidRPr="00E72418">
        <w:rPr>
          <w:i/>
          <w:szCs w:val="20"/>
        </w:rPr>
        <w:t>erratum</w:t>
      </w:r>
      <w:r w:rsidRPr="00E72418">
        <w:rPr>
          <w:szCs w:val="20"/>
        </w:rPr>
        <w:t xml:space="preserve"> au Moniteur belge du 16 septembre 2015). La proposition a été déposée à la Chambre des représentants le 30 avril 2015, adoptée en séance plénière de cette chambre le 1</w:t>
      </w:r>
      <w:r w:rsidRPr="00E72418">
        <w:rPr>
          <w:szCs w:val="20"/>
          <w:vertAlign w:val="superscript"/>
        </w:rPr>
        <w:t>er</w:t>
      </w:r>
      <w:r w:rsidRPr="00E72418">
        <w:rPr>
          <w:szCs w:val="20"/>
        </w:rPr>
        <w:t xml:space="preserve"> juillet 2015 et finalement promulguée le 12 juillet 2015. Notons qu’en octobre 2014, une première proposition de loi concernant la lutte contre les activités des fonds vautours avait déjà été déposée à la Chambre des représentants mais qu’elle avait été retirée en mai 2015 (proposition de loi concernant la lutte contre les activités des fonds vautours, Ch. repr., </w:t>
      </w:r>
      <w:r w:rsidRPr="00E72418">
        <w:rPr>
          <w:i/>
          <w:szCs w:val="20"/>
        </w:rPr>
        <w:t>Doc. parl.</w:t>
      </w:r>
      <w:r w:rsidRPr="00E72418">
        <w:rPr>
          <w:szCs w:val="20"/>
        </w:rPr>
        <w:t>, session extraordinaire 2014, doc. 54 0394/001 et Chambre des représentants, annexe au compte rendu intégral, séance plénière, 21 mai 2015, CRIV 54 PLEN 047, pp. 6 et 7). D’aucuns regrettent ainsi que « [t]he drafting of the statute is very poor » (</w:t>
      </w:r>
      <w:r w:rsidRPr="00E72418">
        <w:t xml:space="preserve">H. </w:t>
      </w:r>
      <w:r w:rsidRPr="00E72418">
        <w:rPr>
          <w:rFonts w:eastAsia="Times New Roman" w:cs="Times New Roman"/>
          <w:smallCaps/>
          <w:szCs w:val="24"/>
          <w:lang w:val="en-US" w:eastAsia="fr-BE"/>
        </w:rPr>
        <w:t>Boularbah</w:t>
      </w:r>
      <w:r w:rsidRPr="00E72418">
        <w:rPr>
          <w:rFonts w:eastAsia="Times New Roman" w:cs="Times New Roman"/>
          <w:szCs w:val="24"/>
          <w:lang w:val="en-US" w:eastAsia="fr-BE"/>
        </w:rPr>
        <w:t xml:space="preserve">, « Successfully enforcing an arbitral award », in V. </w:t>
      </w:r>
      <w:r w:rsidRPr="00E72418">
        <w:rPr>
          <w:rFonts w:eastAsia="Times New Roman" w:cs="Times New Roman"/>
          <w:smallCaps/>
          <w:szCs w:val="24"/>
          <w:lang w:val="en-US" w:eastAsia="fr-BE"/>
        </w:rPr>
        <w:t>Foncke</w:t>
      </w:r>
      <w:r w:rsidRPr="00E72418">
        <w:rPr>
          <w:rFonts w:eastAsia="Times New Roman" w:cs="Times New Roman"/>
          <w:szCs w:val="24"/>
          <w:lang w:val="en-US" w:eastAsia="fr-BE"/>
        </w:rPr>
        <w:t xml:space="preserve"> et B. </w:t>
      </w:r>
      <w:r w:rsidRPr="00E72418">
        <w:rPr>
          <w:rFonts w:eastAsia="Times New Roman" w:cs="Times New Roman"/>
          <w:smallCaps/>
          <w:szCs w:val="24"/>
          <w:lang w:val="en-US" w:eastAsia="fr-BE"/>
        </w:rPr>
        <w:t>Kohl</w:t>
      </w:r>
      <w:r w:rsidRPr="00E72418">
        <w:rPr>
          <w:rFonts w:eastAsia="Times New Roman" w:cs="Times New Roman"/>
          <w:szCs w:val="24"/>
          <w:lang w:val="en-US" w:eastAsia="fr-BE"/>
        </w:rPr>
        <w:t xml:space="preserve"> (éd.), </w:t>
      </w:r>
      <w:r w:rsidRPr="00E72418">
        <w:rPr>
          <w:rFonts w:eastAsia="Times New Roman" w:cs="Times New Roman"/>
          <w:i/>
          <w:szCs w:val="24"/>
          <w:lang w:val="en-US" w:eastAsia="fr-BE"/>
        </w:rPr>
        <w:t>What Counsel in Arbitration can do, must do or must not do?</w:t>
      </w:r>
      <w:r w:rsidRPr="00E72418">
        <w:rPr>
          <w:rFonts w:eastAsia="Times New Roman" w:cs="Times New Roman"/>
          <w:szCs w:val="24"/>
          <w:lang w:val="en-US" w:eastAsia="fr-BE"/>
        </w:rPr>
        <w:t>, Bruylant, 2015, p. 99).</w:t>
      </w:r>
    </w:p>
  </w:footnote>
  <w:footnote w:id="1662">
    <w:p w14:paraId="2B93058C" w14:textId="4A97F135" w:rsidR="0030147D" w:rsidRPr="00E72418" w:rsidRDefault="0030147D" w:rsidP="00FF2249">
      <w:pPr>
        <w:pStyle w:val="Sansinterligne"/>
        <w:rPr>
          <w:szCs w:val="20"/>
        </w:rPr>
      </w:pPr>
      <w:r w:rsidRPr="00E72418">
        <w:rPr>
          <w:rStyle w:val="Appelnotedebasdep"/>
          <w:szCs w:val="20"/>
        </w:rPr>
        <w:footnoteRef/>
      </w:r>
      <w:r w:rsidRPr="00E72418">
        <w:rPr>
          <w:szCs w:val="20"/>
        </w:rPr>
        <w:t xml:space="preserve"> Sur ce contentieux, voyez </w:t>
      </w:r>
      <w:r w:rsidRPr="00E72418">
        <w:rPr>
          <w:i/>
          <w:szCs w:val="20"/>
        </w:rPr>
        <w:t>supra</w:t>
      </w:r>
      <w:r w:rsidRPr="00E72418">
        <w:rPr>
          <w:szCs w:val="20"/>
        </w:rPr>
        <w:t xml:space="preserve"> n</w:t>
      </w:r>
      <w:r w:rsidRPr="00E72418">
        <w:rPr>
          <w:szCs w:val="20"/>
          <w:vertAlign w:val="superscript"/>
        </w:rPr>
        <w:t xml:space="preserve">os </w:t>
      </w:r>
      <w:r w:rsidRPr="00E72418">
        <w:rPr>
          <w:szCs w:val="20"/>
        </w:rPr>
        <w:t xml:space="preserve">86 et suiv. Cette société aurait fait saisir plusieurs comptes de l’ambassade d’Argentine à Bruxelles le lendemain de la présentation de la proposition de loi à la presse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4 et 5).</w:t>
      </w:r>
    </w:p>
  </w:footnote>
  <w:footnote w:id="1663">
    <w:p w14:paraId="42489FA1" w14:textId="192A0513" w:rsidR="0030147D" w:rsidRPr="00E72418" w:rsidRDefault="0030147D" w:rsidP="00FF2249">
      <w:pPr>
        <w:pStyle w:val="Sansinterligne"/>
        <w:rPr>
          <w:szCs w:val="20"/>
        </w:rPr>
      </w:pPr>
      <w:r w:rsidRPr="00E72418">
        <w:rPr>
          <w:rStyle w:val="Appelnotedebasdep"/>
          <w:szCs w:val="20"/>
        </w:rPr>
        <w:footnoteRef/>
      </w:r>
      <w:r w:rsidRPr="00E72418">
        <w:rPr>
          <w:szCs w:val="20"/>
        </w:rPr>
        <w:t xml:space="preserve"> Alexandre Belle explique que ce recours faisait sens dans la mesure où « [u]ne reconnaissance de la nature inconstitutionnelle des mesures déployées par la Belgique pourrait faire douter de la légalité des mesures proposées au niveau international, en particulier en ce qu’elles affectent le droit de propriété d’une minorité de créanciers »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szCs w:val="20"/>
        </w:rPr>
        <w:t>op. cit.</w:t>
      </w:r>
      <w:r w:rsidRPr="00E72418">
        <w:rPr>
          <w:szCs w:val="20"/>
        </w:rPr>
        <w:t>, p. 197).</w:t>
      </w:r>
    </w:p>
  </w:footnote>
  <w:footnote w:id="1664">
    <w:p w14:paraId="7720C02C" w14:textId="5D4AC6DA" w:rsidR="0030147D" w:rsidRPr="00E72418" w:rsidRDefault="0030147D" w:rsidP="00043C7E">
      <w:pPr>
        <w:pStyle w:val="Sansinterligne"/>
        <w:rPr>
          <w:szCs w:val="20"/>
        </w:rPr>
      </w:pPr>
      <w:r w:rsidRPr="00E72418">
        <w:rPr>
          <w:rStyle w:val="Appelnotedebasdep"/>
          <w:szCs w:val="20"/>
        </w:rPr>
        <w:footnoteRef/>
      </w:r>
      <w:r w:rsidRPr="00E72418">
        <w:rPr>
          <w:szCs w:val="20"/>
        </w:rPr>
        <w:t xml:space="preserve"> Arrêt n° 61/2018 du 31 mai 2018, disponible à l’adresse </w:t>
      </w:r>
      <w:r w:rsidRPr="00E72418">
        <w:t>www.const-court.be/public/f/2018/2018-061f.pdf</w:t>
      </w:r>
      <w:r w:rsidRPr="00E72418">
        <w:rPr>
          <w:rStyle w:val="Lienhypertexte"/>
          <w:color w:val="auto"/>
          <w:szCs w:val="20"/>
          <w:u w:val="none"/>
        </w:rPr>
        <w:t xml:space="preserve"> (consultation le 17 octobre 2021). Sur ce contentieux constitutionnel auquel prirent part différentes associations sans but lucratif telles </w:t>
      </w:r>
      <w:r w:rsidRPr="00E72418">
        <w:rPr>
          <w:szCs w:val="20"/>
        </w:rPr>
        <w:t xml:space="preserve">« CADTM », « CNCD-11.11.11 » ou encore « Koepel van de Vlaamse Noord-Zuidbeweging </w:t>
      </w:r>
      <w:r w:rsidRPr="00E72418">
        <w:rPr>
          <w:b/>
          <w:szCs w:val="20"/>
        </w:rPr>
        <w:t xml:space="preserve">– </w:t>
      </w:r>
      <w:r w:rsidRPr="00E72418">
        <w:rPr>
          <w:szCs w:val="20"/>
        </w:rPr>
        <w:t xml:space="preserve">11.11.11 » </w:t>
      </w:r>
      <w:r w:rsidRPr="00E72418">
        <w:rPr>
          <w:rStyle w:val="Lienhypertexte"/>
          <w:color w:val="auto"/>
          <w:szCs w:val="20"/>
          <w:u w:val="none"/>
        </w:rPr>
        <w:t xml:space="preserve">et cet arrêt dont les apports seront analysés en même temps que le dispositif mis en place par la loi belge, voyez notamment J. </w:t>
      </w:r>
      <w:r w:rsidRPr="00E72418">
        <w:rPr>
          <w:rStyle w:val="Lienhypertexte"/>
          <w:smallCaps/>
          <w:color w:val="auto"/>
          <w:szCs w:val="20"/>
          <w:u w:val="none"/>
        </w:rPr>
        <w:t>Vanderschuren</w:t>
      </w:r>
      <w:r w:rsidRPr="00E72418">
        <w:rPr>
          <w:rStyle w:val="Lienhypertexte"/>
          <w:color w:val="auto"/>
          <w:szCs w:val="20"/>
          <w:u w:val="none"/>
        </w:rPr>
        <w:t xml:space="preserve">, </w:t>
      </w:r>
      <w:r w:rsidRPr="00E72418">
        <w:rPr>
          <w:szCs w:val="20"/>
        </w:rPr>
        <w:t xml:space="preserve">« La loi anti-fonds vautours belge réussit son examen constitutionnel », </w:t>
      </w:r>
      <w:r w:rsidRPr="00E72418">
        <w:rPr>
          <w:i/>
          <w:szCs w:val="20"/>
        </w:rPr>
        <w:t>J.T.</w:t>
      </w:r>
      <w:r w:rsidRPr="00E72418">
        <w:rPr>
          <w:szCs w:val="20"/>
        </w:rPr>
        <w:t>, 2018, pp. 870 à 874.</w:t>
      </w:r>
    </w:p>
  </w:footnote>
  <w:footnote w:id="1665">
    <w:p w14:paraId="3E794C46" w14:textId="05BC5876" w:rsidR="0030147D" w:rsidRPr="00E72418" w:rsidRDefault="0030147D" w:rsidP="00D7603A">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10.</w:t>
      </w:r>
    </w:p>
  </w:footnote>
  <w:footnote w:id="1666">
    <w:p w14:paraId="4E6FEFAC" w14:textId="31C2DA9A" w:rsidR="0030147D" w:rsidRPr="00E72418" w:rsidRDefault="0030147D" w:rsidP="00FF2249">
      <w:pPr>
        <w:pStyle w:val="Sansinterligne"/>
        <w:rPr>
          <w:szCs w:val="20"/>
        </w:rPr>
      </w:pPr>
      <w:r w:rsidRPr="00E72418">
        <w:rPr>
          <w:rStyle w:val="Appelnotedebasdep"/>
          <w:szCs w:val="20"/>
        </w:rPr>
        <w:footnoteRef/>
      </w:r>
      <w:r w:rsidRPr="00E72418">
        <w:rPr>
          <w:szCs w:val="20"/>
        </w:rPr>
        <w:t xml:space="preserve"> </w:t>
      </w:r>
      <w:r w:rsidRPr="00E72418">
        <w:rPr>
          <w:smallCaps/>
          <w:szCs w:val="20"/>
        </w:rPr>
        <w:t>M. Grégoire</w:t>
      </w:r>
      <w:r w:rsidRPr="00E72418">
        <w:rPr>
          <w:szCs w:val="20"/>
        </w:rPr>
        <w:t xml:space="preserve">, </w:t>
      </w:r>
      <w:r w:rsidRPr="00E72418">
        <w:rPr>
          <w:smallCaps/>
          <w:szCs w:val="20"/>
        </w:rPr>
        <w:t>C. De Jonghe</w:t>
      </w:r>
      <w:r w:rsidRPr="00E72418">
        <w:rPr>
          <w:szCs w:val="20"/>
        </w:rPr>
        <w:t xml:space="preserve"> et </w:t>
      </w:r>
      <w:r w:rsidRPr="00E72418">
        <w:rPr>
          <w:smallCaps/>
          <w:szCs w:val="20"/>
        </w:rPr>
        <w:t>D. Zygas</w:t>
      </w:r>
      <w:r w:rsidRPr="00E72418">
        <w:rPr>
          <w:szCs w:val="20"/>
        </w:rPr>
        <w:t>, « Droit financier », in « Chronique de législation en droit privé (1</w:t>
      </w:r>
      <w:r w:rsidRPr="00E72418">
        <w:rPr>
          <w:szCs w:val="20"/>
          <w:vertAlign w:val="superscript"/>
        </w:rPr>
        <w:t>er</w:t>
      </w:r>
      <w:r w:rsidRPr="00E72418">
        <w:rPr>
          <w:szCs w:val="20"/>
        </w:rPr>
        <w:t xml:space="preserve"> juillet – 31 décembre 2015) (1</w:t>
      </w:r>
      <w:r w:rsidRPr="00E72418">
        <w:rPr>
          <w:szCs w:val="20"/>
          <w:vertAlign w:val="superscript"/>
        </w:rPr>
        <w:t>ère</w:t>
      </w:r>
      <w:r w:rsidRPr="00E72418">
        <w:rPr>
          <w:szCs w:val="20"/>
        </w:rPr>
        <w:t xml:space="preserve"> partie) », </w:t>
      </w:r>
      <w:r w:rsidRPr="00E72418">
        <w:rPr>
          <w:i/>
          <w:szCs w:val="20"/>
        </w:rPr>
        <w:t>J.T.</w:t>
      </w:r>
      <w:r w:rsidRPr="00E72418">
        <w:rPr>
          <w:szCs w:val="20"/>
        </w:rPr>
        <w:t xml:space="preserve">, 2016, p. 330 visant les développements de la proposition de loi relative à la lutte contre les activités des fonds vautours (Ch. repr., </w:t>
      </w:r>
      <w:r w:rsidRPr="00E72418">
        <w:rPr>
          <w:i/>
          <w:szCs w:val="20"/>
        </w:rPr>
        <w:t>Doc. parl.</w:t>
      </w:r>
      <w:r w:rsidRPr="00E72418">
        <w:rPr>
          <w:szCs w:val="20"/>
        </w:rPr>
        <w:t xml:space="preserve">, 2014-2015, doc. 54 1057/001, p. 7). Durant les travaux préparatoires de la loi, Veerle Wouters posa le constat selon lequel « sans les législateurs nationaux qui prennent l’initiative, une initiative internationale ne verra jamais le jour »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14). Ainsi, le parlementaire Georges Gilkinet releva que « [l]a Belgique sera le premier État à disposer d’une législation aussi ambitieuse dans la lutte contre les fonds vautours », espérant qu’ « elle inspirera d’autres pays » (</w:t>
      </w:r>
      <w:r w:rsidRPr="00E72418">
        <w:rPr>
          <w:i/>
          <w:szCs w:val="20"/>
        </w:rPr>
        <w:t>ibid.</w:t>
      </w:r>
      <w:r w:rsidRPr="00E72418">
        <w:rPr>
          <w:szCs w:val="20"/>
        </w:rPr>
        <w:t xml:space="preserve">, p. 6). En séance plénière, le député indiqua qu’ « [i]l s’agit de légiférer non pas par le haut, mais par le bas, par les nations, en espérant que d’autres États copient notre législation et qu’elle devienne petit à petit la norme internationale, de façon à ce que nous puissions combattre au niveau de tous les États ces fonds vautours » (Chambre des représentants, compte rendu intégral avec compte rendu analytique traduit des interventions, séance plénière, 25 juin 2015, CRIV 54 PLEN 057, p. 60). Voyez encore par la suite la Note de politique générale – Coopération au développement et grandes villes, Ch. repr., </w:t>
      </w:r>
      <w:r w:rsidRPr="00E72418">
        <w:rPr>
          <w:i/>
          <w:szCs w:val="20"/>
        </w:rPr>
        <w:t>Doc. parl.</w:t>
      </w:r>
      <w:r w:rsidRPr="00E72418">
        <w:rPr>
          <w:szCs w:val="20"/>
        </w:rPr>
        <w:t>, 2020-2021, doc. 55 1580/018, p. 9 : « [n]</w:t>
      </w:r>
      <w:r w:rsidRPr="00E72418">
        <w:t xml:space="preserve">otre rôle de pionnier dans la lutte contre les fonds vautours a montré que l’action d’un seul pays peut aussi avoir un effet de levier </w:t>
      </w:r>
      <w:r w:rsidRPr="00E72418">
        <w:rPr>
          <w:szCs w:val="20"/>
        </w:rPr>
        <w:t>».</w:t>
      </w:r>
    </w:p>
  </w:footnote>
  <w:footnote w:id="1667">
    <w:p w14:paraId="374A75F2" w14:textId="600024BB" w:rsidR="0030147D" w:rsidRPr="00E72418" w:rsidRDefault="0030147D" w:rsidP="00FF2249">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20. Pour l’anecdote relevons que, dans son rapport antérieur de 2016, le Comité consultatif du Conseil des droits de l’homme des Nations Unies relevait qu’il s’agissait d’un modèle « dont s’inspirer dans l’élaboration de lois nationales destinées à limiter les pratiques des fonds vautours », comme s’il avait avec le temps relativisé son enthousiasme à l’égard de la loi belge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p. 23).</w:t>
      </w:r>
    </w:p>
  </w:footnote>
  <w:footnote w:id="1668">
    <w:p w14:paraId="3E9BA44C" w14:textId="2A0710F2" w:rsidR="0030147D" w:rsidRPr="00E72418" w:rsidRDefault="0030147D" w:rsidP="00FF2249">
      <w:pPr>
        <w:pStyle w:val="Sansinterligne"/>
        <w:rPr>
          <w:szCs w:val="20"/>
        </w:rPr>
      </w:pPr>
      <w:r w:rsidRPr="00E72418">
        <w:rPr>
          <w:rStyle w:val="Appelnotedebasdep"/>
          <w:szCs w:val="20"/>
        </w:rPr>
        <w:footnoteRef/>
      </w:r>
      <w:r w:rsidRPr="00E72418">
        <w:rPr>
          <w:szCs w:val="20"/>
        </w:rPr>
        <w:t xml:space="preserve"> </w:t>
      </w:r>
      <w:r w:rsidRPr="00E72418">
        <w:rPr>
          <w:rStyle w:val="Titre5Car"/>
          <w:rFonts w:ascii="Times" w:eastAsiaTheme="minorHAnsi" w:hAnsi="Times" w:cstheme="minorBidi"/>
          <w:color w:val="auto"/>
          <w:szCs w:val="20"/>
        </w:rPr>
        <w:t xml:space="preserve">Parlement européen, </w:t>
      </w:r>
      <w:r w:rsidRPr="00E72418">
        <w:rPr>
          <w:i/>
          <w:szCs w:val="20"/>
        </w:rPr>
        <w:t>Résolution</w:t>
      </w:r>
      <w:r w:rsidRPr="00E72418">
        <w:rPr>
          <w:rStyle w:val="Titre5Car"/>
          <w:rFonts w:ascii="Times" w:eastAsiaTheme="minorHAnsi" w:hAnsi="Times" w:cstheme="minorBidi"/>
          <w:i/>
          <w:color w:val="auto"/>
          <w:szCs w:val="20"/>
        </w:rPr>
        <w:t xml:space="preserve"> sur l’amélioration de la viabilité de la dette des pays en développement</w:t>
      </w:r>
      <w:r w:rsidRPr="00E72418">
        <w:rPr>
          <w:rStyle w:val="Titre5Car"/>
          <w:rFonts w:ascii="Times" w:eastAsiaTheme="minorHAnsi" w:hAnsi="Times" w:cstheme="minorBidi"/>
          <w:color w:val="auto"/>
          <w:szCs w:val="20"/>
        </w:rPr>
        <w:t>, 17 avril 2018, 2016/2241(INI), point 37.</w:t>
      </w:r>
    </w:p>
  </w:footnote>
  <w:footnote w:id="1669">
    <w:p w14:paraId="73FADA36" w14:textId="2BC2A7D6" w:rsidR="0030147D" w:rsidRPr="00E72418" w:rsidRDefault="0030147D" w:rsidP="00FF2249">
      <w:pPr>
        <w:pStyle w:val="Sansinterligne"/>
        <w:rPr>
          <w:szCs w:val="20"/>
          <w:lang w:val="en-US"/>
        </w:rPr>
      </w:pPr>
      <w:r w:rsidRPr="00E72418">
        <w:rPr>
          <w:rStyle w:val="Appelnotedebasdep"/>
          <w:szCs w:val="20"/>
        </w:rPr>
        <w:footnoteRef/>
      </w:r>
      <w:r w:rsidRPr="00E72418">
        <w:rPr>
          <w:szCs w:val="20"/>
        </w:rPr>
        <w:t xml:space="preserve"> </w:t>
      </w:r>
      <w:r w:rsidRPr="00E72418">
        <w:rPr>
          <w:smallCaps/>
          <w:szCs w:val="20"/>
        </w:rPr>
        <w:t>A. Zacharie</w:t>
      </w:r>
      <w:r w:rsidRPr="00E72418">
        <w:rPr>
          <w:szCs w:val="20"/>
        </w:rPr>
        <w:t xml:space="preserve">, « Fonds vautours : contrer la stratégie du passager clandestin », </w:t>
      </w:r>
      <w:r w:rsidRPr="00E72418">
        <w:rPr>
          <w:i/>
          <w:szCs w:val="20"/>
          <w:lang w:val="en-US"/>
        </w:rPr>
        <w:t>op. cit.</w:t>
      </w:r>
      <w:r w:rsidRPr="00E72418">
        <w:rPr>
          <w:szCs w:val="20"/>
        </w:rPr>
        <w:t>, p. 34.</w:t>
      </w:r>
    </w:p>
  </w:footnote>
  <w:footnote w:id="1670">
    <w:p w14:paraId="79924B51" w14:textId="254976D8" w:rsidR="0030147D" w:rsidRPr="00E72418" w:rsidRDefault="0030147D" w:rsidP="00231A17">
      <w:pPr>
        <w:pStyle w:val="Sansinterligne"/>
        <w:rPr>
          <w:szCs w:val="20"/>
        </w:rPr>
      </w:pPr>
      <w:r w:rsidRPr="00E72418">
        <w:rPr>
          <w:rStyle w:val="Appelnotedebasdep"/>
          <w:szCs w:val="20"/>
        </w:rPr>
        <w:footnoteRef/>
      </w:r>
      <w:r w:rsidRPr="00E72418">
        <w:rPr>
          <w:szCs w:val="20"/>
        </w:rPr>
        <w:t xml:space="preserve"> </w:t>
      </w:r>
      <w:r w:rsidRPr="00E72418">
        <w:rPr>
          <w:smallCaps/>
          <w:szCs w:val="20"/>
        </w:rPr>
        <w:t>L. Meager, E. Price</w:t>
      </w:r>
      <w:r w:rsidRPr="00E72418">
        <w:rPr>
          <w:szCs w:val="20"/>
        </w:rPr>
        <w:t xml:space="preserve"> et </w:t>
      </w:r>
      <w:r w:rsidRPr="00E72418">
        <w:rPr>
          <w:smallCaps/>
          <w:szCs w:val="20"/>
        </w:rPr>
        <w:t>B. Yap</w:t>
      </w:r>
      <w:r w:rsidRPr="00E72418">
        <w:rPr>
          <w:szCs w:val="20"/>
        </w:rPr>
        <w:t xml:space="preserve">, « How to jump start sovereign debt », </w:t>
      </w:r>
      <w:r w:rsidRPr="00E72418">
        <w:rPr>
          <w:i/>
          <w:szCs w:val="20"/>
        </w:rPr>
        <w:t>op. cit.</w:t>
      </w:r>
      <w:r w:rsidRPr="00E72418">
        <w:rPr>
          <w:szCs w:val="20"/>
        </w:rPr>
        <w:t>, p. 24 citant Leland Goss, le directeur général de l’</w:t>
      </w:r>
      <w:r w:rsidRPr="00E72418">
        <w:rPr>
          <w:i/>
          <w:szCs w:val="20"/>
        </w:rPr>
        <w:t>International Capital Markets Association.</w:t>
      </w:r>
    </w:p>
  </w:footnote>
  <w:footnote w:id="1671">
    <w:p w14:paraId="7C604C72" w14:textId="67C0CFA2" w:rsidR="0030147D" w:rsidRPr="00E72418" w:rsidRDefault="0030147D" w:rsidP="00ED384F">
      <w:pPr>
        <w:pStyle w:val="Sansinterligne"/>
        <w:rPr>
          <w:szCs w:val="20"/>
        </w:rPr>
      </w:pPr>
      <w:r w:rsidRPr="00E72418">
        <w:rPr>
          <w:rStyle w:val="Appelnotedebasdep"/>
          <w:szCs w:val="20"/>
        </w:rPr>
        <w:footnoteRef/>
      </w:r>
      <w:r w:rsidRPr="00E72418">
        <w:rPr>
          <w:szCs w:val="20"/>
          <w:lang w:val="en-US"/>
        </w:rPr>
        <w:t xml:space="preserve"> Dès lors qu’il y a lieu à limitation des droits d’un créancier uniquement lorsqu’il poursuit un avantage illégitime, nous ne sommes pas parfaitement d’accord avec le propos de Lucas Wozny selon lequel « [b]y pegging the recovery price to the purchase price, the Belgian Laws vanquish the ability of sovereign distressed debt investors to recover any profit on their investments », l’auteur poursuivant en indiquant que « by eliminating the ability for distressed debt investors to profit, the Belgian Laws eliminate liquidity-providers and essentially shut down the secondary market for sovereign distressed debt » (</w:t>
      </w:r>
      <w:r w:rsidRPr="00E72418">
        <w:rPr>
          <w:smallCaps/>
          <w:szCs w:val="20"/>
          <w:lang w:val="en-US"/>
        </w:rPr>
        <w:t>L. Wozny</w:t>
      </w:r>
      <w:r w:rsidRPr="00E72418">
        <w:rPr>
          <w:szCs w:val="20"/>
          <w:lang w:val="en-US"/>
        </w:rPr>
        <w:t>, « </w:t>
      </w:r>
      <w:r w:rsidRPr="00E72418">
        <w:rPr>
          <w:rFonts w:cs="Times New Roman"/>
          <w:szCs w:val="24"/>
          <w:lang w:val="en-GB"/>
        </w:rPr>
        <w:t>National Anti-Vulture Funds Legislation: Belgium’s Turn</w:t>
      </w:r>
      <w:r w:rsidRPr="00E72418">
        <w:rPr>
          <w:szCs w:val="20"/>
          <w:lang w:val="en-US"/>
        </w:rPr>
        <w:t xml:space="preserve"> », </w:t>
      </w:r>
      <w:r w:rsidRPr="00E72418">
        <w:rPr>
          <w:rFonts w:ascii="Times New Roman" w:hAnsi="Times New Roman" w:cs="Times New Roman"/>
          <w:i/>
          <w:szCs w:val="20"/>
        </w:rPr>
        <w:t>Colum. Bus. Law Rev.</w:t>
      </w:r>
      <w:r w:rsidRPr="00E72418">
        <w:rPr>
          <w:szCs w:val="20"/>
          <w:lang w:val="en-US"/>
        </w:rPr>
        <w:t xml:space="preserve">, 2017, p. 742). </w:t>
      </w:r>
      <w:r w:rsidRPr="00E72418">
        <w:rPr>
          <w:szCs w:val="20"/>
        </w:rPr>
        <w:t xml:space="preserve">Le critère mobilisé par le législateur belge ne nous paraît toutefois pas adéquat en raison de son manque de précision de sorte que nous ne le retiendrons pas dans notre proposition (voyez </w:t>
      </w:r>
      <w:r w:rsidRPr="00E72418">
        <w:rPr>
          <w:i/>
          <w:szCs w:val="20"/>
        </w:rPr>
        <w:t>infra</w:t>
      </w:r>
      <w:r w:rsidRPr="00E72418">
        <w:rPr>
          <w:szCs w:val="20"/>
        </w:rPr>
        <w:t xml:space="preserve"> n° 413).</w:t>
      </w:r>
    </w:p>
  </w:footnote>
  <w:footnote w:id="1672">
    <w:p w14:paraId="600A4A97" w14:textId="77777777"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6 et 7.</w:t>
      </w:r>
    </w:p>
  </w:footnote>
  <w:footnote w:id="1673">
    <w:p w14:paraId="05DC7E7E" w14:textId="77777777"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Revue luxembourgeoise de bancassurfinance</w:t>
      </w:r>
      <w:r w:rsidRPr="00E72418">
        <w:rPr>
          <w:szCs w:val="20"/>
        </w:rPr>
        <w:t>, 2016, p. 79.</w:t>
      </w:r>
    </w:p>
  </w:footnote>
  <w:footnote w:id="1674">
    <w:p w14:paraId="76ED5002" w14:textId="781FBDDF"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Sur le choix de la loi applicable aux contrats de dettes souveraines, voyez </w:t>
      </w:r>
      <w:r w:rsidRPr="00E72418">
        <w:rPr>
          <w:i/>
          <w:szCs w:val="20"/>
        </w:rPr>
        <w:t>supra</w:t>
      </w:r>
      <w:r w:rsidRPr="00E72418">
        <w:rPr>
          <w:szCs w:val="20"/>
        </w:rPr>
        <w:t xml:space="preserve"> n° 78.</w:t>
      </w:r>
    </w:p>
  </w:footnote>
  <w:footnote w:id="1675">
    <w:p w14:paraId="09234B53" w14:textId="4FD566DD"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La contradiction précise entre la limitation de la demande, d’une part, l’impossible obtention d’un titre exécutoire, d’autre part, sera relevée lors des travaux préparatoires de la loi sans que cela n’engendre une quelconque modification du texte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22. Voyez également </w:t>
      </w:r>
      <w:r w:rsidRPr="00E72418">
        <w:rPr>
          <w:smallCaps/>
          <w:szCs w:val="20"/>
        </w:rPr>
        <w:t>A. Nicolas</w:t>
      </w:r>
      <w:r w:rsidRPr="00E72418">
        <w:rPr>
          <w:szCs w:val="20"/>
        </w:rPr>
        <w:t>, « L’article 1412</w:t>
      </w:r>
      <w:r w:rsidRPr="00E72418">
        <w:rPr>
          <w:i/>
          <w:szCs w:val="20"/>
        </w:rPr>
        <w:t>quinquies</w:t>
      </w:r>
      <w:r w:rsidRPr="00E72418">
        <w:rPr>
          <w:szCs w:val="20"/>
        </w:rPr>
        <w:t xml:space="preserve"> du Code judiciaire : les eaux du Styx ? », </w:t>
      </w:r>
      <w:r w:rsidRPr="00E72418">
        <w:rPr>
          <w:i/>
          <w:szCs w:val="20"/>
        </w:rPr>
        <w:t>Dr. banc. fin.</w:t>
      </w:r>
      <w:r w:rsidRPr="00E72418">
        <w:rPr>
          <w:szCs w:val="20"/>
        </w:rPr>
        <w:t>, 2016, pp. 50 et 51).</w:t>
      </w:r>
    </w:p>
  </w:footnote>
  <w:footnote w:id="1676">
    <w:p w14:paraId="2A0D6687" w14:textId="40DFB882"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L’on peut lire dans les travaux préparatoires que </w:t>
      </w:r>
      <w:r w:rsidRPr="00E72418">
        <w:rPr>
          <w:rFonts w:cs="Times New Roman"/>
          <w:szCs w:val="20"/>
        </w:rPr>
        <w:t>« [les fonds vautours] ne pourront plus agir qu’à concurrence du prix qu’ils auront payé pour racheter des dettes souveraines, ce qui supprime pour eux l’intérêt spéculatif de l’opération : ils ne pourront pas espérer plus que leur mise » et que « [le texte de loi] rendra leur activité plus compliquée, en les empêchant de procéder à des saisies sur des biens ou des fonds situés en Belgique, pour tout ce qui excède le plafond fixé par la loi » (</w:t>
      </w:r>
      <w:r w:rsidRPr="00E72418">
        <w:rPr>
          <w:szCs w:val="20"/>
        </w:rPr>
        <w:t xml:space="preserve">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7). Voyez encore notamment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11 : « [l]a loi n’exclut pas totalement le droit du créancier de saisir les tribunaux belges, mais plafonne à la valeur réelle de la dette souveraine le remboursement auquel celui-ci peut prétendre ».</w:t>
      </w:r>
    </w:p>
  </w:footnote>
  <w:footnote w:id="1677">
    <w:p w14:paraId="5F23056F" w14:textId="09564287" w:rsidR="0030147D" w:rsidRPr="00E72418" w:rsidRDefault="0030147D" w:rsidP="00452DF5">
      <w:pPr>
        <w:pStyle w:val="Sansinterligne"/>
        <w:rPr>
          <w:szCs w:val="20"/>
        </w:rPr>
      </w:pPr>
      <w:r w:rsidRPr="00E72418">
        <w:rPr>
          <w:rStyle w:val="Appelnotedebasdep"/>
          <w:szCs w:val="20"/>
        </w:rPr>
        <w:footnoteRef/>
      </w:r>
      <w:r w:rsidRPr="00E72418">
        <w:rPr>
          <w:szCs w:val="20"/>
        </w:rPr>
        <w:t xml:space="preserve"> De l’avis de l’</w:t>
      </w:r>
      <w:r w:rsidRPr="00E72418">
        <w:rPr>
          <w:i/>
          <w:szCs w:val="20"/>
        </w:rPr>
        <w:t>Institute of International Finance</w:t>
      </w:r>
      <w:r w:rsidRPr="00E72418">
        <w:rPr>
          <w:szCs w:val="20"/>
        </w:rPr>
        <w:t>, « [u]n cadre légal sain et prévisible qui puisse régir les relations entre les débiteurs et leurs créanciers et investisseurs privés est un élément […] indispensable au bon fonctionnement des marchés des capitaux, y compris la possibilité d’engager des procédures de recouvrement devant les tribunaux »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39). Notons qu’une autre limitation découle du régime immunitaire belge repris notamment à l’article 1412</w:t>
      </w:r>
      <w:r w:rsidRPr="00E72418">
        <w:rPr>
          <w:i/>
          <w:szCs w:val="20"/>
        </w:rPr>
        <w:t>quinquies</w:t>
      </w:r>
      <w:r w:rsidRPr="00E72418">
        <w:rPr>
          <w:szCs w:val="20"/>
        </w:rPr>
        <w:t xml:space="preserve"> du Code judiciaire (sur cette disposition, voyez </w:t>
      </w:r>
      <w:r w:rsidRPr="00E72418">
        <w:rPr>
          <w:i/>
          <w:szCs w:val="20"/>
        </w:rPr>
        <w:t>supra</w:t>
      </w:r>
      <w:r w:rsidRPr="00E72418">
        <w:rPr>
          <w:szCs w:val="20"/>
        </w:rPr>
        <w:t xml:space="preserve"> n° 218).</w:t>
      </w:r>
    </w:p>
  </w:footnote>
  <w:footnote w:id="1678">
    <w:p w14:paraId="5D945C99" w14:textId="0D8436B6" w:rsidR="0030147D" w:rsidRPr="00E72418" w:rsidRDefault="0030147D" w:rsidP="004C191B">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18 et 19 et Chambre des représentants, compte rendu intégral avec compte rendu analytique traduit des interventions, séance plénière, 25 juin 2015, CRIV 54 PLEN 057, p. 54.</w:t>
      </w:r>
    </w:p>
  </w:footnote>
  <w:footnote w:id="1679">
    <w:p w14:paraId="1FB13B4A" w14:textId="0F93636D"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Cour const., 31 mai 2018, n° 61/2018, point B.16.3.1.</w:t>
      </w:r>
    </w:p>
  </w:footnote>
  <w:footnote w:id="1680">
    <w:p w14:paraId="6D3C5A53" w14:textId="7D635CF6"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w:t>
      </w:r>
      <w:r w:rsidRPr="00E72418">
        <w:rPr>
          <w:i/>
          <w:szCs w:val="20"/>
        </w:rPr>
        <w:t>Ibid.</w:t>
      </w:r>
    </w:p>
  </w:footnote>
  <w:footnote w:id="1681">
    <w:p w14:paraId="3F621731" w14:textId="310CFD84"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 79 (les auteurs soulignent).</w:t>
      </w:r>
    </w:p>
  </w:footnote>
  <w:footnote w:id="1682">
    <w:p w14:paraId="31208227" w14:textId="77777777"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4.</w:t>
      </w:r>
    </w:p>
  </w:footnote>
  <w:footnote w:id="1683">
    <w:p w14:paraId="472DD35B" w14:textId="5ACA4350" w:rsidR="0030147D" w:rsidRPr="00E72418" w:rsidRDefault="0030147D" w:rsidP="007A77DB">
      <w:pPr>
        <w:pStyle w:val="Sansinterligne"/>
        <w:rPr>
          <w:rFonts w:ascii="Times New Roman" w:hAnsi="Times New Roman" w:cs="Times New Roman"/>
          <w:szCs w:val="20"/>
          <w:shd w:val="clear" w:color="auto" w:fill="FFFFFF"/>
          <w:lang w:val="fr-FR"/>
        </w:rPr>
      </w:pPr>
      <w:r w:rsidRPr="00E72418">
        <w:rPr>
          <w:rStyle w:val="Appelnotedebasdep"/>
          <w:szCs w:val="20"/>
        </w:rPr>
        <w:footnoteRef/>
      </w:r>
      <w:r w:rsidRPr="00E72418">
        <w:rPr>
          <w:szCs w:val="20"/>
        </w:rPr>
        <w:t xml:space="preserve"> Rappelons plus généralement que l’article 1412</w:t>
      </w:r>
      <w:r w:rsidRPr="00E72418">
        <w:rPr>
          <w:i/>
          <w:szCs w:val="20"/>
        </w:rPr>
        <w:t>quinquies</w:t>
      </w:r>
      <w:r w:rsidRPr="00E72418">
        <w:rPr>
          <w:szCs w:val="20"/>
        </w:rPr>
        <w:t xml:space="preserve"> du Code judiciaire belge prévoit l’insaisissabilité de principe des biens appartenant à une puissance étrangère qui se trouvent sur le territoire du Royaume de Belgique sauf dans certaines situations particulières que l’article précise et pour autant que la saisie soit autorisée préalablement par le juge des saisies (voyez </w:t>
      </w:r>
      <w:r w:rsidRPr="00E72418">
        <w:rPr>
          <w:i/>
          <w:szCs w:val="20"/>
        </w:rPr>
        <w:t>supra</w:t>
      </w:r>
      <w:r w:rsidRPr="00E72418">
        <w:rPr>
          <w:szCs w:val="20"/>
        </w:rPr>
        <w:t xml:space="preserve"> n° 219). La Cour constitutionnelle belge saisie d’un recours en annulation de la loi ayant inséré l’article 1412</w:t>
      </w:r>
      <w:r w:rsidRPr="00E72418">
        <w:rPr>
          <w:i/>
          <w:szCs w:val="20"/>
        </w:rPr>
        <w:t>quinquies</w:t>
      </w:r>
      <w:r w:rsidRPr="00E72418">
        <w:rPr>
          <w:szCs w:val="20"/>
        </w:rPr>
        <w:t xml:space="preserve"> dans le Code judiciaire examina si l’obligation d’autorisation préalable du juge des saisies porte une atteinte disproportionnée aux droits des créanciers. Après avoir rappelé que la différence de traitement entre les créanciers des puissances étrangères et les autres créanciers était notamment justifiée par les règles relatives à la souveraineté des </w:t>
      </w:r>
      <w:r w:rsidRPr="00E72418">
        <w:rPr>
          <w:szCs w:val="20"/>
          <w:lang w:eastAsia="fr-BE"/>
        </w:rPr>
        <w:t>É</w:t>
      </w:r>
      <w:r w:rsidRPr="00E72418">
        <w:rPr>
          <w:szCs w:val="20"/>
        </w:rPr>
        <w:t>tats, la Cour étudia le grief selon lequel la procédure préalable à la saisie occasionne un renversement de la charge de la preuve, preuve qui serait impossible à administrer. Elle conclut que le fait qu’il revient au créancier seul de démontrer qu’une des conditions permettant la saisie est remplie n’occasionne pas un renversement injustifié de la charge de la preuve ou une impossibilité pour celui-ci d’administrer cette preuve (Cour const., 27 avril 2017, n° 48/2017, point B.25.2).</w:t>
      </w:r>
    </w:p>
  </w:footnote>
  <w:footnote w:id="1684">
    <w:p w14:paraId="441224F2" w14:textId="77777777"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52.</w:t>
      </w:r>
    </w:p>
  </w:footnote>
  <w:footnote w:id="1685">
    <w:p w14:paraId="07203E6B" w14:textId="77777777" w:rsidR="0030147D" w:rsidRPr="00E72418" w:rsidRDefault="0030147D" w:rsidP="009F1CB5">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7.</w:t>
      </w:r>
    </w:p>
  </w:footnote>
  <w:footnote w:id="1686">
    <w:p w14:paraId="7B0754ED" w14:textId="7FB585A4"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pp. 13 et 15. Sur cette inquiétude de voir les institutions financières établies en Belgique contraintes de contrôler les opérations qu’elles sont en charge d’exécuter, voyez également l’avis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32.</w:t>
      </w:r>
    </w:p>
  </w:footnote>
  <w:footnote w:id="1687">
    <w:p w14:paraId="635201EE" w14:textId="3D87FE3D"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64 (notre traduction libre pour nos lecteurs français : « ce n’est pas l’intention que désormais en Belgique chaque transaction financière soit d’abord analysée par un juge afin de déterminer qu’il ne s’agit pas d’une manœuvre d’un fonds vautour »). Olivier Creplet et Julien Courbis relèvent que cette absence d’obligation d’effectuer un tel contrôle se situe dans la droite ligne d’acquis bien établis en droit financier commun concernant le devoir de non-ingérence de l’intermédiaire financier appelé à exécuter une opération financière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 83).</w:t>
      </w:r>
    </w:p>
  </w:footnote>
  <w:footnote w:id="1688">
    <w:p w14:paraId="5C20EEC9" w14:textId="29721829" w:rsidR="0030147D" w:rsidRPr="00E72418" w:rsidRDefault="0030147D" w:rsidP="00ED384F">
      <w:pPr>
        <w:pStyle w:val="Sansinterligne"/>
        <w:rPr>
          <w:szCs w:val="20"/>
        </w:rPr>
      </w:pPr>
      <w:r w:rsidRPr="00E72418">
        <w:rPr>
          <w:rStyle w:val="Appelnotedebasdep"/>
          <w:szCs w:val="20"/>
        </w:rPr>
        <w:footnoteRef/>
      </w:r>
      <w:r w:rsidRPr="00E72418">
        <w:rPr>
          <w:szCs w:val="20"/>
        </w:rPr>
        <w:t xml:space="preserve"> Dans un sens contraire, Corentin </w:t>
      </w:r>
      <w:r w:rsidRPr="00E72418">
        <w:rPr>
          <w:rFonts w:cs="Times New Roman"/>
          <w:szCs w:val="20"/>
        </w:rPr>
        <w:t>De Jonghe est d’avis que « [l]a constatation de l’existence d’un ou plusieurs des six critères consacrés par le législateur ne devrait […] pas empêcher le juge d’arriver à la conclusion que l’avantage poursuivi par le créancier demeure, dans les circonstances concrètes de l’espèce, légitime », l’auteur relevant que « le libellé du texte de loi ne […] paraît en tous cas pas s’opposer à une telle méthodologie »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xml:space="preserve">, p. 15. Voyez également </w:t>
      </w:r>
      <w:r w:rsidRPr="00E72418">
        <w:rPr>
          <w:smallCaps/>
          <w:szCs w:val="20"/>
        </w:rPr>
        <w:t>C. De Jonghe</w:t>
      </w:r>
      <w:r w:rsidRPr="00E72418">
        <w:rPr>
          <w:szCs w:val="20"/>
        </w:rPr>
        <w:t xml:space="preserve">, « Le retrait litigieux à l’épreuve de la pratique financière contemporaine », </w:t>
      </w:r>
      <w:r w:rsidRPr="00E72418">
        <w:rPr>
          <w:i/>
          <w:szCs w:val="20"/>
        </w:rPr>
        <w:t>op. cit.</w:t>
      </w:r>
      <w:r w:rsidRPr="00E72418">
        <w:rPr>
          <w:szCs w:val="20"/>
        </w:rPr>
        <w:t>, p. 239).</w:t>
      </w:r>
    </w:p>
  </w:footnote>
  <w:footnote w:id="1689">
    <w:p w14:paraId="7675815D" w14:textId="3C411DDD"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11. Il est particulier de relever que les parlementaires ayant déposé la proposition de loi indiquaient que les critères utilisés permettront au juge de compenser les carences éventuelles dans la défense de l’</w:t>
      </w:r>
      <w:r w:rsidRPr="00E72418">
        <w:rPr>
          <w:szCs w:val="20"/>
          <w:lang w:eastAsia="fr-BE"/>
        </w:rPr>
        <w:t>É</w:t>
      </w:r>
      <w:r w:rsidRPr="00E72418">
        <w:rPr>
          <w:szCs w:val="20"/>
        </w:rPr>
        <w:t xml:space="preserve">tat débiteur. Sans doute, justifiaient-ils leur propos par l’idée selon laquelle les </w:t>
      </w:r>
      <w:r w:rsidRPr="00E72418">
        <w:rPr>
          <w:szCs w:val="20"/>
          <w:lang w:eastAsia="fr-BE"/>
        </w:rPr>
        <w:t>É</w:t>
      </w:r>
      <w:r w:rsidRPr="00E72418">
        <w:rPr>
          <w:szCs w:val="20"/>
        </w:rPr>
        <w:t>tats victimes des fonds spéculatifs ne disposent pas toujours de l’assistance juridique adéquate pour se défendre (</w:t>
      </w:r>
      <w:r w:rsidRPr="00E72418">
        <w:rPr>
          <w:i/>
          <w:szCs w:val="20"/>
        </w:rPr>
        <w:t>ibid.</w:t>
      </w:r>
      <w:r w:rsidRPr="00E72418">
        <w:rPr>
          <w:szCs w:val="20"/>
        </w:rPr>
        <w:t xml:space="preserve">, pp. 6 et 11). Sur ces lacunes des </w:t>
      </w:r>
      <w:r w:rsidRPr="00E72418">
        <w:rPr>
          <w:szCs w:val="20"/>
          <w:lang w:eastAsia="fr-BE"/>
        </w:rPr>
        <w:t>É</w:t>
      </w:r>
      <w:r w:rsidRPr="00E72418">
        <w:rPr>
          <w:szCs w:val="20"/>
        </w:rPr>
        <w:t xml:space="preserve">tats débiteurs, voyez </w:t>
      </w:r>
      <w:r w:rsidRPr="00E72418">
        <w:rPr>
          <w:i/>
          <w:szCs w:val="20"/>
        </w:rPr>
        <w:t>supra</w:t>
      </w:r>
      <w:r w:rsidRPr="00E72418">
        <w:rPr>
          <w:szCs w:val="20"/>
        </w:rPr>
        <w:t xml:space="preserve"> n° 263.</w:t>
      </w:r>
    </w:p>
  </w:footnote>
  <w:footnote w:id="1690">
    <w:p w14:paraId="14F0BFA7" w14:textId="777777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in </w:t>
      </w:r>
      <w:r w:rsidRPr="00E72418">
        <w:rPr>
          <w:i/>
          <w:szCs w:val="20"/>
        </w:rPr>
        <w:t>Liber amicorum Nadine Watté</w:t>
      </w:r>
      <w:r w:rsidRPr="00E72418">
        <w:rPr>
          <w:szCs w:val="20"/>
        </w:rPr>
        <w:t>, Bruylant, 2017, p. 581.</w:t>
      </w:r>
    </w:p>
  </w:footnote>
  <w:footnote w:id="1691">
    <w:p w14:paraId="72F52EAD" w14:textId="1E4126B4" w:rsidR="0030147D" w:rsidRPr="00E72418" w:rsidRDefault="0030147D" w:rsidP="00DD7FB0">
      <w:pPr>
        <w:pStyle w:val="Sansinterligne"/>
        <w:rPr>
          <w:szCs w:val="20"/>
          <w:lang w:val="en-US"/>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w:t>
      </w:r>
      <w:r w:rsidRPr="00E72418">
        <w:rPr>
          <w:szCs w:val="20"/>
          <w:lang w:val="en-US"/>
        </w:rPr>
        <w:t xml:space="preserve">repr., </w:t>
      </w:r>
      <w:r w:rsidRPr="00E72418">
        <w:rPr>
          <w:i/>
          <w:szCs w:val="20"/>
          <w:lang w:val="en-US"/>
        </w:rPr>
        <w:t>Doc. parl.</w:t>
      </w:r>
      <w:r w:rsidRPr="00E72418">
        <w:rPr>
          <w:szCs w:val="20"/>
          <w:lang w:val="en-US"/>
        </w:rPr>
        <w:t xml:space="preserve">, 2014-2015, doc. 54 1057/003, p. 18. </w:t>
      </w:r>
      <w:r w:rsidRPr="00E72418">
        <w:t>Notons que c</w:t>
      </w:r>
      <w:r w:rsidRPr="00E72418">
        <w:rPr>
          <w:rFonts w:cs="Times New Roman"/>
        </w:rPr>
        <w:t>e propos se concilie mal, pour ne pas dire qu’il est inconciliable, avec celui repris dans les développements de la proposition de loi selon lequel</w:t>
      </w:r>
      <w:r w:rsidRPr="00E72418">
        <w:rPr>
          <w:rFonts w:cs="Times New Roman"/>
          <w:bCs/>
        </w:rPr>
        <w:t xml:space="preserve"> « </w:t>
      </w:r>
      <w:r w:rsidRPr="00E72418">
        <w:rPr>
          <w:rFonts w:cs="Times New Roman"/>
        </w:rPr>
        <w:t>[</w:t>
      </w:r>
      <w:r w:rsidRPr="00E72418">
        <w:rPr>
          <w:rFonts w:cs="Times New Roman"/>
          <w:bCs/>
        </w:rPr>
        <w:t>la proposition de loi</w:t>
      </w:r>
      <w:r w:rsidRPr="00E72418">
        <w:rPr>
          <w:rFonts w:cs="Times New Roman"/>
        </w:rPr>
        <w:t>]</w:t>
      </w:r>
      <w:r w:rsidRPr="00E72418">
        <w:rPr>
          <w:rFonts w:cs="Times New Roman"/>
          <w:bCs/>
        </w:rPr>
        <w:t xml:space="preserve"> tente, par une liste de critères objectifs proposés, d’identifier avec un maximum de précision les circonstances dans lesquelles l’action du fonds créancier contre l’</w:t>
      </w:r>
      <w:r w:rsidRPr="00E72418">
        <w:rPr>
          <w:rFonts w:cs="Times New Roman"/>
        </w:rPr>
        <w:t>É</w:t>
      </w:r>
      <w:r w:rsidRPr="00E72418">
        <w:rPr>
          <w:rFonts w:cs="Times New Roman"/>
          <w:bCs/>
        </w:rPr>
        <w:t xml:space="preserve">tat débiteur constitue une spéculation malsaine et dangereuse pour le débiteur, sans que le juge doive se livrer à la recherche de l’intention du fonds créancier » </w:t>
      </w:r>
      <w:r w:rsidRPr="00E72418">
        <w:t xml:space="preserve">(proposition de loi relative à la lutte contre les activités des fonds vautours, développements, Ch. </w:t>
      </w:r>
      <w:r w:rsidRPr="00E72418">
        <w:rPr>
          <w:lang w:val="en-US"/>
        </w:rPr>
        <w:t xml:space="preserve">repr., </w:t>
      </w:r>
      <w:r w:rsidRPr="00E72418">
        <w:rPr>
          <w:i/>
          <w:lang w:val="en-US"/>
        </w:rPr>
        <w:t>Doc. parl.</w:t>
      </w:r>
      <w:r w:rsidRPr="00E72418">
        <w:rPr>
          <w:lang w:val="en-US"/>
        </w:rPr>
        <w:t>, 2014-2015, doc. 54 1057/001, p. 10)</w:t>
      </w:r>
      <w:r w:rsidRPr="00E72418">
        <w:rPr>
          <w:rFonts w:cs="Times New Roman"/>
          <w:bCs/>
        </w:rPr>
        <w:t xml:space="preserve">. Sur l’inadéquation de l’égard à l’intention du créancier, voyez </w:t>
      </w:r>
      <w:r w:rsidRPr="00E72418">
        <w:rPr>
          <w:rFonts w:cs="Times New Roman"/>
          <w:bCs/>
          <w:i/>
        </w:rPr>
        <w:t>infra</w:t>
      </w:r>
      <w:r>
        <w:rPr>
          <w:rFonts w:cs="Times New Roman"/>
          <w:bCs/>
        </w:rPr>
        <w:t xml:space="preserve"> n° 421</w:t>
      </w:r>
      <w:r w:rsidRPr="00E72418">
        <w:rPr>
          <w:rFonts w:cs="Times New Roman"/>
          <w:bCs/>
        </w:rPr>
        <w:t>.</w:t>
      </w:r>
    </w:p>
  </w:footnote>
  <w:footnote w:id="1692">
    <w:p w14:paraId="430C87DA" w14:textId="78ED94D4" w:rsidR="0030147D" w:rsidRPr="00E72418" w:rsidRDefault="0030147D" w:rsidP="00C42A20">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xml:space="preserve">, p. 7. </w:t>
      </w:r>
      <w:r w:rsidRPr="00E72418">
        <w:rPr>
          <w:szCs w:val="20"/>
        </w:rPr>
        <w:t xml:space="preserve">Les auteurs notent que le lien peut être ici fait avec la doctrine de la </w:t>
      </w:r>
      <w:r w:rsidRPr="00E72418">
        <w:rPr>
          <w:i/>
          <w:szCs w:val="20"/>
        </w:rPr>
        <w:t>champerty</w:t>
      </w:r>
      <w:r w:rsidRPr="00E72418">
        <w:rPr>
          <w:szCs w:val="20"/>
        </w:rPr>
        <w:t xml:space="preserve"> sans toutefois que le juge n’ait à se lancer dans l’appréciation de l’intention du créancier (</w:t>
      </w:r>
      <w:r w:rsidRPr="00E72418">
        <w:rPr>
          <w:i/>
          <w:szCs w:val="20"/>
        </w:rPr>
        <w:t>ibid.</w:t>
      </w:r>
      <w:r w:rsidRPr="00E72418">
        <w:rPr>
          <w:szCs w:val="20"/>
        </w:rPr>
        <w:t xml:space="preserve">, p. 11). Sur la règle de la </w:t>
      </w:r>
      <w:r w:rsidRPr="00E72418">
        <w:rPr>
          <w:i/>
          <w:szCs w:val="20"/>
        </w:rPr>
        <w:t>champerty</w:t>
      </w:r>
      <w:r w:rsidRPr="00E72418">
        <w:rPr>
          <w:szCs w:val="20"/>
        </w:rPr>
        <w:t xml:space="preser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243 et suiv.</w:t>
      </w:r>
    </w:p>
  </w:footnote>
  <w:footnote w:id="1693">
    <w:p w14:paraId="52C48A57" w14:textId="0C5B4E00" w:rsidR="0030147D" w:rsidRPr="00E72418" w:rsidRDefault="0030147D" w:rsidP="008F7A53">
      <w:pPr>
        <w:pStyle w:val="Sansinterligne"/>
        <w:rPr>
          <w:szCs w:val="20"/>
        </w:rPr>
      </w:pPr>
      <w:r w:rsidRPr="00E72418">
        <w:rPr>
          <w:rStyle w:val="Appelnotedebasdep"/>
          <w:szCs w:val="20"/>
        </w:rPr>
        <w:footnoteRef/>
      </w:r>
      <w:r w:rsidRPr="00E72418">
        <w:rPr>
          <w:szCs w:val="20"/>
        </w:rPr>
        <w:t xml:space="preserve"> Dans le cadre du recours introduit contre la loi belge devant la Cour constitutionnelle, la société requérante reprochait, outre un manque de précision, un manque de pertinence des critères visés aux alinéas 3 et 4 de l’article 2 de la loi (sur ces arguments avancés par la société </w:t>
      </w:r>
      <w:r w:rsidRPr="00E72418">
        <w:rPr>
          <w:i/>
          <w:szCs w:val="20"/>
        </w:rPr>
        <w:t>NML Capital Ltd</w:t>
      </w:r>
      <w:r w:rsidRPr="00E72418">
        <w:rPr>
          <w:szCs w:val="20"/>
        </w:rPr>
        <w:t>., voyez les points A.37. à A.40.2.2. de l’arrêt n° 61/2018). La Cour constitutionnelle répondit à cette critique en indiquant qu’elle n’a pas le pouvoir d’annuler des dispositions législatives pour le seul motif qu’elles manquent de pertinence (voyez les points B.6.1. à B.6.3. de l’arrêt n° 61/2018).</w:t>
      </w:r>
    </w:p>
  </w:footnote>
  <w:footnote w:id="1694">
    <w:p w14:paraId="58FC04C5" w14:textId="12379326" w:rsidR="0030147D" w:rsidRPr="00E72418" w:rsidRDefault="0030147D" w:rsidP="0014319F">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9 visant Cass. (B), 10 septembre 1971, </w:t>
      </w:r>
      <w:r w:rsidRPr="00E72418">
        <w:rPr>
          <w:i/>
          <w:szCs w:val="20"/>
        </w:rPr>
        <w:t>Pas.</w:t>
      </w:r>
      <w:r w:rsidRPr="00E72418">
        <w:rPr>
          <w:szCs w:val="20"/>
        </w:rPr>
        <w:t>, 1972, I, p. 28. Le lien avec la théorie de l’abus de droit peut être questionné dès lors que, premièrement, alors que l’abus de droit doit être soulevé par la partie l’ayant subi, dans le mécanisme mis en place par la loi de 2015, le juge doit vérifier d’office l’existence d’une disproportion manifeste, deuxièmement, alors que la sanction de l’abus de droit est la réduction de celui-ci à son exercice normal, dans le mécanisme étudié, la sanction est la limitation automatique des droits du créancier au prix qu’il a payé pour racheter l’emprunt ou la créance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 83). L’on peut encore ajouter que la limitation des prétentions du créancier au montant déboursé ne paraît pas correspondre non plus à la réparation du préjudice que l’abus aurait causé au débiteur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xml:space="preserve">, p. 14. L’auteur fait valoir que la limitation, totalement détachée des circonstances concrètes de l’espèce, paraît en désaccord avec le principe de l’évaluation </w:t>
      </w:r>
      <w:r w:rsidRPr="00E72418">
        <w:rPr>
          <w:i/>
          <w:szCs w:val="20"/>
        </w:rPr>
        <w:t>in concreto</w:t>
      </w:r>
      <w:r w:rsidRPr="00E72418">
        <w:rPr>
          <w:szCs w:val="20"/>
        </w:rPr>
        <w:t xml:space="preserve"> du dommage subi par la victime).</w:t>
      </w:r>
    </w:p>
  </w:footnote>
  <w:footnote w:id="1695">
    <w:p w14:paraId="574FD940" w14:textId="777777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18.</w:t>
      </w:r>
    </w:p>
  </w:footnote>
  <w:footnote w:id="1696">
    <w:p w14:paraId="2D4E445E" w14:textId="27C3FC8A" w:rsidR="0030147D" w:rsidRPr="00E72418" w:rsidRDefault="0030147D" w:rsidP="008502EE">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pp. 81 et 82.</w:t>
      </w:r>
    </w:p>
  </w:footnote>
  <w:footnote w:id="1697">
    <w:p w14:paraId="2EA19501" w14:textId="10133643" w:rsidR="0030147D" w:rsidRPr="00E72418" w:rsidRDefault="0030147D" w:rsidP="00277702">
      <w:pPr>
        <w:pStyle w:val="Sansinterligne"/>
        <w:rPr>
          <w:szCs w:val="20"/>
        </w:rPr>
      </w:pPr>
      <w:r w:rsidRPr="00E72418">
        <w:rPr>
          <w:rStyle w:val="Appelnotedebasdep"/>
          <w:szCs w:val="20"/>
        </w:rPr>
        <w:footnoteRef/>
      </w:r>
      <w:r w:rsidRPr="00E72418">
        <w:rPr>
          <w:szCs w:val="20"/>
        </w:rPr>
        <w:t xml:space="preserve"> Il est donné dans les travaux préparatoires l’exemple d’une augmentation artificielle de la valeur de rachat pour dépasser le seuil critique (proposition de loi relative à la lutte contre les activités des fonds vautours, développements, Ch. repr., </w:t>
      </w:r>
      <w:r w:rsidRPr="00E72418">
        <w:rPr>
          <w:i/>
          <w:szCs w:val="20"/>
        </w:rPr>
        <w:t>Doc. parl.</w:t>
      </w:r>
      <w:r w:rsidRPr="00E72418">
        <w:rPr>
          <w:szCs w:val="20"/>
        </w:rPr>
        <w:t>, 2014-2015, doc. 54 1057/001, pp. 11 et 12).</w:t>
      </w:r>
    </w:p>
  </w:footnote>
  <w:footnote w:id="1698">
    <w:p w14:paraId="07DE0C73" w14:textId="30D2E2EC" w:rsidR="0030147D" w:rsidRPr="00E72418" w:rsidRDefault="0030147D" w:rsidP="00277702">
      <w:pPr>
        <w:pStyle w:val="Sansinterligne"/>
        <w:rPr>
          <w:szCs w:val="20"/>
        </w:rPr>
      </w:pPr>
      <w:r w:rsidRPr="00E72418">
        <w:rPr>
          <w:rStyle w:val="Appelnotedebasdep"/>
          <w:szCs w:val="20"/>
        </w:rPr>
        <w:footnoteRef/>
      </w:r>
      <w:r w:rsidRPr="00E72418">
        <w:rPr>
          <w:szCs w:val="20"/>
        </w:rPr>
        <w:t xml:space="preserve"> Pour la Banque nationale de Belgique, l’argument du législateur « devrait céder le pas devant l’impératif de sécurité juridique »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33). Veerle Wouters répondit à la critique en indiquant que le critère de l’existence d’une disproportion manifeste qui confère au juge une certaine marge d’appréciation est bien un critère adéquat. La parlementaire reprit l’exemple de la rescision pour lésion prévue à l’article 1674 du Code civil pour laquelle le critère arithmétique qui y est retenu est jugé insuffisant par la jurisprudence et la doctrine qui utilisent le critère de « déséquilibre majeur » résultant de l’abus commis par la partie avantagée. Veerle Wouters alla plus loin en visant un arrêt de la Cour de cassation du 9 novembre 2012 dans lequel la notion de « disproportion manifeste » est utilisée pour préciser la lésion qualifiée, « c’est-à-dire le préjudice qui consiste en une disproportion manifeste entre les prestations stipulées entre les parties et qui résulte du fait qu’une des parties abuse de la position de faiblesse de l’autre »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15 où est visé Cass. (B), 9 novembre 2012, arrêt n° C.12.0051.N, </w:t>
      </w:r>
      <w:r w:rsidRPr="00E72418">
        <w:rPr>
          <w:i/>
          <w:szCs w:val="20"/>
        </w:rPr>
        <w:t>Pas.</w:t>
      </w:r>
      <w:r w:rsidRPr="00E72418">
        <w:rPr>
          <w:szCs w:val="20"/>
        </w:rPr>
        <w:t>, 2012, p. 2178).</w:t>
      </w:r>
    </w:p>
  </w:footnote>
  <w:footnote w:id="1699">
    <w:p w14:paraId="6C905D62" w14:textId="24A42437" w:rsidR="0030147D" w:rsidRPr="00E72418" w:rsidRDefault="0030147D" w:rsidP="00277702">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 82.</w:t>
      </w:r>
    </w:p>
  </w:footnote>
  <w:footnote w:id="1700">
    <w:p w14:paraId="795B6EFC" w14:textId="777777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Notons la petite coquille dans le texte qui vise l’alinéa 2 de la disposition pour situer la disproportion manifeste laquelle est précisée à l’alinéa 3.</w:t>
      </w:r>
    </w:p>
  </w:footnote>
  <w:footnote w:id="1701">
    <w:p w14:paraId="43BDB973" w14:textId="517FB23E" w:rsidR="0030147D" w:rsidRPr="00E72418" w:rsidRDefault="0030147D" w:rsidP="000836AD">
      <w:pPr>
        <w:pStyle w:val="Sansinterligne"/>
        <w:rPr>
          <w:szCs w:val="20"/>
        </w:rPr>
      </w:pPr>
      <w:r w:rsidRPr="00E72418">
        <w:rPr>
          <w:rStyle w:val="Appelnotedebasdep"/>
          <w:szCs w:val="20"/>
        </w:rPr>
        <w:footnoteRef/>
      </w:r>
      <w:r w:rsidRPr="00E72418">
        <w:rPr>
          <w:szCs w:val="20"/>
        </w:rPr>
        <w:t xml:space="preserve"> </w:t>
      </w:r>
      <w:r w:rsidRPr="00E72418">
        <w:rPr>
          <w:smallCaps/>
          <w:szCs w:val="20"/>
        </w:rPr>
        <w:t>A. Nicolas</w:t>
      </w:r>
      <w:r w:rsidRPr="00E72418">
        <w:rPr>
          <w:szCs w:val="20"/>
        </w:rPr>
        <w:t>, « L’article 1412</w:t>
      </w:r>
      <w:r w:rsidRPr="00E72418">
        <w:rPr>
          <w:i/>
          <w:szCs w:val="20"/>
        </w:rPr>
        <w:t>quinquies</w:t>
      </w:r>
      <w:r w:rsidRPr="00E72418">
        <w:rPr>
          <w:szCs w:val="20"/>
        </w:rPr>
        <w:t xml:space="preserve"> du Code judiciaire : les eaux du Styx ? », </w:t>
      </w:r>
      <w:r w:rsidRPr="00E72418">
        <w:rPr>
          <w:i/>
          <w:szCs w:val="20"/>
        </w:rPr>
        <w:t>op. cit.</w:t>
      </w:r>
      <w:r w:rsidRPr="00E72418">
        <w:rPr>
          <w:szCs w:val="20"/>
        </w:rPr>
        <w:t xml:space="preserve">, p. 51.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348 et suiv. notre critique du caractère alternatif des critères et les arguments en faveur d’une utilisation cumulative.</w:t>
      </w:r>
    </w:p>
  </w:footnote>
  <w:footnote w:id="1702">
    <w:p w14:paraId="60804D03" w14:textId="77777777" w:rsidR="0030147D" w:rsidRPr="00E72418" w:rsidRDefault="0030147D" w:rsidP="00A53DD8">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13. Il était indiqué au sujet du sixième critère qu’ « il n’est pas utilisé de manière isolée, mais en conjugaison avec les autres critères ».</w:t>
      </w:r>
    </w:p>
  </w:footnote>
  <w:footnote w:id="1703">
    <w:p w14:paraId="35175CEF" w14:textId="6140A1D4" w:rsidR="0030147D" w:rsidRPr="00E72418" w:rsidRDefault="0030147D" w:rsidP="00DD7FB0">
      <w:pPr>
        <w:pStyle w:val="Sansinterligne"/>
        <w:rPr>
          <w:szCs w:val="20"/>
          <w:lang w:val="en-US"/>
        </w:rPr>
      </w:pPr>
      <w:r w:rsidRPr="00E72418">
        <w:rPr>
          <w:rStyle w:val="Appelnotedebasdep"/>
          <w:szCs w:val="20"/>
        </w:rPr>
        <w:footnoteRef/>
      </w:r>
      <w:r w:rsidRPr="00E72418">
        <w:rPr>
          <w:szCs w:val="20"/>
          <w:lang w:val="en-US"/>
        </w:rPr>
        <w:t xml:space="preserve"> Leentje Sourbron et Lode Vereeck parlent ainsi de « vulture criteria »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p. 7).</w:t>
      </w:r>
    </w:p>
  </w:footnote>
  <w:footnote w:id="1704">
    <w:p w14:paraId="5C55056E" w14:textId="77777777" w:rsidR="0030147D" w:rsidRPr="00E72418" w:rsidRDefault="0030147D" w:rsidP="000429C7">
      <w:pPr>
        <w:pStyle w:val="Sansinterligne"/>
        <w:rPr>
          <w:szCs w:val="20"/>
        </w:rPr>
      </w:pPr>
      <w:r w:rsidRPr="00E72418">
        <w:rPr>
          <w:rStyle w:val="Appelnotedebasdep"/>
          <w:szCs w:val="20"/>
        </w:rPr>
        <w:footnoteRef/>
      </w:r>
      <w:r w:rsidRPr="00E72418">
        <w:rPr>
          <w:szCs w:val="20"/>
        </w:rPr>
        <w:t xml:space="preserve"> La proposition de loi déposée précisait ainsi que « si les critères proposés constituent des caractéristiques récurrentes dans les activités des fonds vautours, il n’est cependant pas exclu que des situations nouvelles peuvent se présenter qui n’ont pas pu être envisagées par le législateur » (proposition de loi relative à la lutte contre les activités des fonds vautours, développements, Ch. repr., </w:t>
      </w:r>
      <w:r w:rsidRPr="00E72418">
        <w:rPr>
          <w:i/>
          <w:szCs w:val="20"/>
        </w:rPr>
        <w:t>Doc. parl.</w:t>
      </w:r>
      <w:r w:rsidRPr="00E72418">
        <w:rPr>
          <w:szCs w:val="20"/>
        </w:rPr>
        <w:t xml:space="preserve">, 2014-2015, doc. 54 1057/001, p. 11). </w:t>
      </w:r>
    </w:p>
  </w:footnote>
  <w:footnote w:id="1705">
    <w:p w14:paraId="44BE272D" w14:textId="427372A5" w:rsidR="0030147D" w:rsidRPr="00E72418" w:rsidRDefault="0030147D" w:rsidP="00877B9C">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xml:space="preserve">, p. 81. C’est sans doute dans ce sens que la proposition de loi précisait que « la liste n’est […] pas non plus exhaustive » (proposition de loi relative à la lutte contre les activités des fonds vautours, développements, Ch. repr., </w:t>
      </w:r>
      <w:r w:rsidRPr="00E72418">
        <w:rPr>
          <w:i/>
          <w:szCs w:val="20"/>
        </w:rPr>
        <w:t>Doc. parl.</w:t>
      </w:r>
      <w:r w:rsidRPr="00E72418">
        <w:rPr>
          <w:szCs w:val="20"/>
        </w:rPr>
        <w:t>, 2014-2015, doc. 54 1057/001, p. 11).</w:t>
      </w:r>
    </w:p>
  </w:footnote>
  <w:footnote w:id="1706">
    <w:p w14:paraId="4DF1B77F" w14:textId="246E6D4A"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p. 12. La Banque nationale de Belgique releva qu’il eût été plus opportun de parler de « défaut » d’un </w:t>
      </w:r>
      <w:r w:rsidRPr="00E72418">
        <w:rPr>
          <w:szCs w:val="20"/>
          <w:lang w:eastAsia="fr-BE"/>
        </w:rPr>
        <w:t>É</w:t>
      </w:r>
      <w:r w:rsidRPr="00E72418">
        <w:rPr>
          <w:szCs w:val="20"/>
        </w:rPr>
        <w:t>tat plutôt que d’ « insolvabilité », ce défaut pouvant être défini par référence au constat dressé par les agences de notation ou autres, suivant par exemple la pratique de la Banque centrale européenne en la matière, ou par le fait que l’</w:t>
      </w:r>
      <w:r w:rsidRPr="00E72418">
        <w:rPr>
          <w:szCs w:val="20"/>
          <w:lang w:eastAsia="fr-BE"/>
        </w:rPr>
        <w:t>É</w:t>
      </w:r>
      <w:r w:rsidRPr="00E72418">
        <w:rPr>
          <w:szCs w:val="20"/>
        </w:rPr>
        <w:t xml:space="preserve">tat a fait l’objet de mesures de restructuration de sa dette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33).</w:t>
      </w:r>
    </w:p>
  </w:footnote>
  <w:footnote w:id="1707">
    <w:p w14:paraId="4D196E49" w14:textId="0D922616"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Voyez l’intervention de Rob Van de Velde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22. Le découragement s’explique par la seule possibilité offerte aux créanciers de récupérer le prix payé pour faire l’acquisition du titre, raison pour laquelle notre proposition reprend la possibilité pour le créancier de poursuivre, outre ce prix, un intérêt ainsi que les frais légaux (voyez </w:t>
      </w:r>
      <w:r w:rsidRPr="00E72418">
        <w:rPr>
          <w:i/>
          <w:szCs w:val="20"/>
        </w:rPr>
        <w:t>infra</w:t>
      </w:r>
      <w:r w:rsidRPr="00E72418">
        <w:rPr>
          <w:szCs w:val="20"/>
        </w:rPr>
        <w:t xml:space="preserve"> n</w:t>
      </w:r>
      <w:r w:rsidRPr="00E72418">
        <w:rPr>
          <w:szCs w:val="20"/>
          <w:vertAlign w:val="superscript"/>
        </w:rPr>
        <w:t>os</w:t>
      </w:r>
      <w:r>
        <w:rPr>
          <w:szCs w:val="20"/>
        </w:rPr>
        <w:t xml:space="preserve"> 418 et 419</w:t>
      </w:r>
      <w:r w:rsidRPr="00E72418">
        <w:rPr>
          <w:szCs w:val="20"/>
        </w:rPr>
        <w:t>).</w:t>
      </w:r>
    </w:p>
  </w:footnote>
  <w:footnote w:id="1708">
    <w:p w14:paraId="63A8B69E" w14:textId="61131C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Voyez les propos de Rob Van de Velde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pp. 22 et 23. Il fut proposé lors du processus législatif de supprimer le mot « imminente » du premier critère sans que cela ne reçoive d’écho positif. Notons, pour autant que de besoin, que Veerle Wouters précisa au sujet des notions utilisées dans ce premier critère qu’elles « [d]oivent être appréhendées de manière juridique et non de manière factuelle » et indiqua à titre d’exemple que « [d]ès lors, </w:t>
      </w:r>
      <w:r w:rsidRPr="00E72418">
        <w:rPr>
          <w:i/>
          <w:szCs w:val="20"/>
        </w:rPr>
        <w:t>sensu stricto</w:t>
      </w:r>
      <w:r w:rsidRPr="00E72418">
        <w:rPr>
          <w:szCs w:val="20"/>
        </w:rPr>
        <w:t xml:space="preserve"> la Grèce ne peut à ce stade être considérée comme un pays en état d’insolvabilité »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9). Caroline Lequesne-Roth illustre l’écueil de la référence à l’imminence avec le cas vénézuélien où, bien que l’annonce d’une cessation de paiement sur les obligations internationales fut faite dès 2016, la cessation n’intervint qu’en décembre 2017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357).</w:t>
      </w:r>
    </w:p>
  </w:footnote>
  <w:footnote w:id="1709">
    <w:p w14:paraId="5A72ABE8" w14:textId="787AD6BB"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Le législateur belge prend l’exemple de la société </w:t>
      </w:r>
      <w:r w:rsidRPr="00E72418">
        <w:rPr>
          <w:i/>
          <w:szCs w:val="20"/>
        </w:rPr>
        <w:t>Donegal International Ltd.</w:t>
      </w:r>
      <w:r w:rsidRPr="00E72418">
        <w:rPr>
          <w:szCs w:val="20"/>
        </w:rPr>
        <w:t xml:space="preserve"> enregistrée aux Îles Vierges britanniques, de la société </w:t>
      </w:r>
      <w:r w:rsidRPr="00E72418">
        <w:rPr>
          <w:i/>
          <w:szCs w:val="20"/>
        </w:rPr>
        <w:t>Kensington International Ltd.</w:t>
      </w:r>
      <w:r w:rsidRPr="00E72418">
        <w:rPr>
          <w:szCs w:val="20"/>
        </w:rPr>
        <w:t xml:space="preserve"> aux Îles Caïmans ou encore de la société </w:t>
      </w:r>
      <w:r w:rsidRPr="00E72418">
        <w:rPr>
          <w:i/>
          <w:szCs w:val="20"/>
        </w:rPr>
        <w:t>FG Hemisphere Associates LLC</w:t>
      </w:r>
      <w:r w:rsidRPr="00E72418">
        <w:rPr>
          <w:szCs w:val="20"/>
        </w:rPr>
        <w:t xml:space="preserve"> dans l’</w:t>
      </w:r>
      <w:r w:rsidRPr="00E72418">
        <w:rPr>
          <w:szCs w:val="20"/>
          <w:lang w:eastAsia="fr-BE"/>
        </w:rPr>
        <w:t>É</w:t>
      </w:r>
      <w:r w:rsidRPr="00E72418">
        <w:rPr>
          <w:szCs w:val="20"/>
        </w:rPr>
        <w:t xml:space="preserve">tat étatsunien du Delaware (proposition de loi relative à la lutte contre les activités des fonds vautours, développements, Ch. repr., </w:t>
      </w:r>
      <w:r w:rsidRPr="00E72418">
        <w:rPr>
          <w:i/>
          <w:szCs w:val="20"/>
        </w:rPr>
        <w:t>Doc. parl.</w:t>
      </w:r>
      <w:r w:rsidRPr="00E72418">
        <w:rPr>
          <w:szCs w:val="20"/>
        </w:rPr>
        <w:t xml:space="preserve">, 2014-2015, doc. 54 1057/001, pp. 3 et 12). Sur l’opacité des fonds étudiés,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141 et suiv.</w:t>
      </w:r>
    </w:p>
  </w:footnote>
  <w:footnote w:id="1710">
    <w:p w14:paraId="7C39BB52" w14:textId="0B89BDB3" w:rsidR="0030147D" w:rsidRPr="00E72418" w:rsidRDefault="0030147D" w:rsidP="002E57E0">
      <w:pPr>
        <w:pStyle w:val="Sansinterligne"/>
        <w:rPr>
          <w:szCs w:val="20"/>
          <w:lang w:val="fr-FR"/>
        </w:rPr>
      </w:pPr>
      <w:r w:rsidRPr="00E72418">
        <w:rPr>
          <w:rStyle w:val="Appelnotedebasdep"/>
          <w:szCs w:val="20"/>
        </w:rPr>
        <w:footnoteRef/>
      </w:r>
      <w:r w:rsidRPr="00E72418">
        <w:rPr>
          <w:szCs w:val="20"/>
        </w:rPr>
        <w:t xml:space="preserve"> Dès lors qu’aucune liste exhaustive des paradis fiscaux ou bancaires n’existe, l’article 2, alinéa 4, 2</w:t>
      </w:r>
      <w:r w:rsidRPr="00E72418">
        <w:rPr>
          <w:szCs w:val="20"/>
          <w:vertAlign w:val="superscript"/>
        </w:rPr>
        <w:t>e</w:t>
      </w:r>
      <w:r w:rsidRPr="00E72418">
        <w:rPr>
          <w:szCs w:val="20"/>
        </w:rPr>
        <w:t xml:space="preserve"> tiret, de la loi du 12 juillet 2015 renvoie à différentes listes. Les listes visées sont la liste des </w:t>
      </w:r>
      <w:r w:rsidRPr="00E72418">
        <w:rPr>
          <w:szCs w:val="20"/>
          <w:lang w:eastAsia="fr-BE"/>
        </w:rPr>
        <w:t>É</w:t>
      </w:r>
      <w:r w:rsidRPr="00E72418">
        <w:rPr>
          <w:szCs w:val="20"/>
        </w:rPr>
        <w:t xml:space="preserve">tats ou territoires non-coopératifs établie par le Groupe d’action financière et la liste, établie par le Roi, des </w:t>
      </w:r>
      <w:r w:rsidRPr="00E72418">
        <w:rPr>
          <w:szCs w:val="20"/>
          <w:lang w:eastAsia="fr-BE"/>
        </w:rPr>
        <w:t>É</w:t>
      </w:r>
      <w:r w:rsidRPr="00E72418">
        <w:rPr>
          <w:szCs w:val="20"/>
        </w:rPr>
        <w:t>tats qui refusent de négocier et de signer un accord qui prévoit, conformément aux normes de l’Organisation de coopération et de développement économiques, l’échange automatique de renseignements en matière fiscale et bancaire avec la Belgique à partir de 2015. Il est également prévu à l’article 2, alinéa 4, 2</w:t>
      </w:r>
      <w:r w:rsidRPr="00E72418">
        <w:rPr>
          <w:szCs w:val="20"/>
          <w:vertAlign w:val="superscript"/>
        </w:rPr>
        <w:t>e</w:t>
      </w:r>
      <w:r w:rsidRPr="00E72418">
        <w:rPr>
          <w:szCs w:val="20"/>
        </w:rPr>
        <w:t xml:space="preserve"> tiret, de la loi qu’il peut s’agir des </w:t>
      </w:r>
      <w:r w:rsidRPr="00E72418">
        <w:rPr>
          <w:szCs w:val="20"/>
          <w:lang w:eastAsia="fr-BE"/>
        </w:rPr>
        <w:t>É</w:t>
      </w:r>
      <w:r w:rsidRPr="00E72418">
        <w:rPr>
          <w:szCs w:val="20"/>
        </w:rPr>
        <w:t>tats visés à l’article 307, §1</w:t>
      </w:r>
      <w:r w:rsidRPr="00E72418">
        <w:rPr>
          <w:szCs w:val="20"/>
          <w:vertAlign w:val="superscript"/>
        </w:rPr>
        <w:t>er</w:t>
      </w:r>
      <w:r w:rsidRPr="00E72418">
        <w:rPr>
          <w:szCs w:val="20"/>
        </w:rPr>
        <w:t>, alinéa 5, du Code des impôts sur les revenus de 1992.</w:t>
      </w:r>
    </w:p>
  </w:footnote>
  <w:footnote w:id="1711">
    <w:p w14:paraId="4DD42309" w14:textId="739BB78A"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Relevons d’ailleurs les dires des auteurs de la proposition de loi pour lesquels « [c]e critère n’est pas déterminant » (</w:t>
      </w:r>
      <w:r w:rsidRPr="00E72418">
        <w:rPr>
          <w:i/>
          <w:szCs w:val="20"/>
        </w:rPr>
        <w:t>ibid.</w:t>
      </w:r>
      <w:r w:rsidRPr="00E72418">
        <w:rPr>
          <w:szCs w:val="20"/>
        </w:rPr>
        <w:t>, p. 12).</w:t>
      </w:r>
    </w:p>
  </w:footnote>
  <w:footnote w:id="1712">
    <w:p w14:paraId="08760538" w14:textId="6C77EB91" w:rsidR="0030147D" w:rsidRPr="00E72418" w:rsidRDefault="0030147D" w:rsidP="007A2CED">
      <w:pPr>
        <w:pStyle w:val="Sansinterligne"/>
        <w:rPr>
          <w:szCs w:val="24"/>
          <w:shd w:val="clear" w:color="auto" w:fill="FFFFFF"/>
        </w:rPr>
      </w:pPr>
      <w:r w:rsidRPr="00E72418">
        <w:rPr>
          <w:rStyle w:val="Appelnotedebasdep"/>
        </w:rPr>
        <w:footnoteRef/>
      </w:r>
      <w:r w:rsidRPr="00E72418">
        <w:t xml:space="preserve"> Il fut fait référence au critère du siège du créancier lors des travaux préparatoires de la loi à l’origine du mécanisme anti-fonds spéculatifs français sans qu’il ne fut toutefois finalement retenu au motif que </w:t>
      </w:r>
      <w:r w:rsidRPr="00E72418">
        <w:rPr>
          <w:szCs w:val="24"/>
          <w:shd w:val="clear" w:color="auto" w:fill="FFFFFF"/>
        </w:rPr>
        <w:t>la localisation du siège social du fonds dans une juridiction non coopérative n’est pas systématique, d’une part, constitue un critère trop aisément contournable, d’autre part (</w:t>
      </w:r>
      <w:r w:rsidRPr="00E72418">
        <w:t xml:space="preserve">amendement n° 1405 (Rect) présenté par </w:t>
      </w:r>
      <w:r w:rsidRPr="00E72418">
        <w:rPr>
          <w:szCs w:val="20"/>
        </w:rPr>
        <w:t>Dominique</w:t>
      </w:r>
      <w:r w:rsidRPr="00E72418">
        <w:t xml:space="preserve"> Potier </w:t>
      </w:r>
      <w:r w:rsidRPr="00E72418">
        <w:rPr>
          <w:i/>
          <w:szCs w:val="20"/>
        </w:rPr>
        <w:t>et al.</w:t>
      </w:r>
      <w:r w:rsidRPr="00E72418">
        <w:t>, 2 juin 2016, p. 4. Remarquons néanmoins que cet amendement indique, sans que nous en comprenions le sens, que le critère « doit toutefois constituer un élément supplémentaire d’attention pour le juge amené à statuer sur une demande d’ordonnance sur requête »).</w:t>
      </w:r>
      <w:r w:rsidRPr="00E72418">
        <w:rPr>
          <w:szCs w:val="24"/>
          <w:shd w:val="clear" w:color="auto" w:fill="FFFFFF"/>
        </w:rPr>
        <w:t xml:space="preserve"> Notons encore que le constat de l’établissement des fonds spéculatifs dans des paradis fiscaux, s’il est fait dans la proposition de législation étatsunienne, n’est pas retenu comme un critère d’application du mécanisme envisagé (voyez</w:t>
      </w:r>
      <w:r w:rsidRPr="00E72418">
        <w:rPr>
          <w:i/>
          <w:szCs w:val="24"/>
          <w:shd w:val="clear" w:color="auto" w:fill="FFFFFF"/>
        </w:rPr>
        <w:t xml:space="preserve"> supra</w:t>
      </w:r>
      <w:r w:rsidRPr="00E72418">
        <w:rPr>
          <w:szCs w:val="24"/>
          <w:shd w:val="clear" w:color="auto" w:fill="FFFFFF"/>
        </w:rPr>
        <w:t xml:space="preserve"> n° 295).</w:t>
      </w:r>
    </w:p>
  </w:footnote>
  <w:footnote w:id="1713">
    <w:p w14:paraId="5E50FFFC" w14:textId="6562B7D2"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xml:space="preserve">, p. 13. Dans le même sens, </w:t>
      </w:r>
      <w:r w:rsidRPr="00E72418">
        <w:rPr>
          <w:bCs/>
          <w:szCs w:val="20"/>
        </w:rPr>
        <w:t>la Banque nationale de Belgique s’interrogea sur la pertinence de ce critère étant d’avis qu’il est préférable de s’en tenir à des éléments objectifs propres à l’opération elle-même plutôt qu’à des éléments purement circonstanciels qui lui sont étrangers (</w:t>
      </w:r>
      <w:r w:rsidRPr="00E72418">
        <w:rPr>
          <w:szCs w:val="20"/>
        </w:rPr>
        <w:t xml:space="preserve">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33)</w:t>
      </w:r>
      <w:r w:rsidRPr="00E72418">
        <w:rPr>
          <w:bCs/>
          <w:szCs w:val="20"/>
        </w:rPr>
        <w:t>.</w:t>
      </w:r>
    </w:p>
  </w:footnote>
  <w:footnote w:id="1714">
    <w:p w14:paraId="64796014" w14:textId="77777777" w:rsidR="0030147D" w:rsidRPr="00E72418" w:rsidRDefault="0030147D" w:rsidP="001977AD">
      <w:pPr>
        <w:pStyle w:val="Sansinterligne"/>
        <w:rPr>
          <w:szCs w:val="20"/>
        </w:rPr>
      </w:pPr>
      <w:r w:rsidRPr="00E72418">
        <w:rPr>
          <w:rStyle w:val="Appelnotedebasdep"/>
          <w:szCs w:val="20"/>
        </w:rPr>
        <w:footnoteRef/>
      </w:r>
      <w:r w:rsidRPr="00E72418">
        <w:rPr>
          <w:szCs w:val="20"/>
        </w:rPr>
        <w:t xml:space="preserve"> Voyez également proposition de loi relative à la lutte contre les activités des fonds vautours, développements, Ch. repr., </w:t>
      </w:r>
      <w:r w:rsidRPr="00E72418">
        <w:rPr>
          <w:i/>
          <w:szCs w:val="20"/>
        </w:rPr>
        <w:t>Doc. parl.</w:t>
      </w:r>
      <w:r w:rsidRPr="00E72418">
        <w:rPr>
          <w:szCs w:val="20"/>
        </w:rPr>
        <w:t>, 2014-2015, doc. 54 1057/001, p. 12.</w:t>
      </w:r>
    </w:p>
  </w:footnote>
  <w:footnote w:id="1715">
    <w:p w14:paraId="1F67D0EF" w14:textId="3B12B518" w:rsidR="0030147D" w:rsidRPr="00E72418" w:rsidRDefault="0030147D" w:rsidP="00F11D0B">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 577.</w:t>
      </w:r>
    </w:p>
  </w:footnote>
  <w:footnote w:id="1716">
    <w:p w14:paraId="6CC7295A" w14:textId="0D05F5F4" w:rsidR="0030147D" w:rsidRPr="00E72418" w:rsidRDefault="0030147D" w:rsidP="00811973">
      <w:pPr>
        <w:pStyle w:val="Sansinterligne"/>
      </w:pPr>
      <w:r w:rsidRPr="00E72418">
        <w:rPr>
          <w:rStyle w:val="Appelnotedebasdep"/>
          <w:szCs w:val="20"/>
        </w:rPr>
        <w:footnoteRef/>
      </w:r>
      <w:r w:rsidRPr="00E72418">
        <w:t xml:space="preserve"> Avis du 4 juin 2015 de la Banque nationale de Belgique repris in proposition de loi relative à la lutte contre les activités des fonds vautours, rapport fait au nom de la Commission des finances et du budget, Ch. repr., </w:t>
      </w:r>
      <w:r w:rsidRPr="00E72418">
        <w:rPr>
          <w:i/>
        </w:rPr>
        <w:t>Doc. parl.</w:t>
      </w:r>
      <w:r w:rsidRPr="00E72418">
        <w:t xml:space="preserve">, 2014-2015, doc. 54 1057/003, p. 33. </w:t>
      </w:r>
      <w:r w:rsidRPr="00E72418">
        <w:rPr>
          <w:bCs/>
        </w:rPr>
        <w:t xml:space="preserve">Dans le cadre du recours introduit devant la Cour constitutionnelle, </w:t>
      </w:r>
      <w:r w:rsidRPr="00E72418">
        <w:t xml:space="preserve">la société </w:t>
      </w:r>
      <w:r w:rsidRPr="00E72418">
        <w:rPr>
          <w:i/>
        </w:rPr>
        <w:t>NML Capital Ltd.</w:t>
      </w:r>
      <w:r w:rsidRPr="00E72418">
        <w:t xml:space="preserve"> contestait également le critère alternatif repris au troisième tiret de l’alinéa 4 de l’article 2 de la loi en ce que cette disposition porterait atteinte au droit d’un créancier d’agir en justice en pénalisant le créancier ayant sollicité d’une juridiction la condamnation de son débiteur souverain au paiement de sa dette (voyez le point A.38.2. de l’arrêt n° 61/2018 du 31 mai 2018). </w:t>
      </w:r>
      <w:r w:rsidRPr="00E72418">
        <w:rPr>
          <w:bCs/>
        </w:rPr>
        <w:t xml:space="preserve">De l’avis de la Cour, le critère de l’usage systématique de procédures judiciaires n’a pas pour objet de pénaliser un créancier agissant en justice. La juridiction est d’avis que le créancier visé par la loi de 2015 n’est pas privé de son droit d’accès au tribunal garanti par l’article 6 de la Convention européenne des droits de l’homme, la loi ne faisant que limiter ses droits </w:t>
      </w:r>
      <w:r w:rsidRPr="00E72418">
        <w:t>(voyez les points B.19.1. à B.19.3. de l’arrêt</w:t>
      </w:r>
      <w:r w:rsidRPr="00E72418">
        <w:rPr>
          <w:rStyle w:val="SansinterligneCar"/>
        </w:rPr>
        <w:t>). Au demeurant, la quérulence excessive pourrait être sanctionnée d’abus de droit procédural suivant l’article 780</w:t>
      </w:r>
      <w:r w:rsidRPr="00E72418">
        <w:rPr>
          <w:rStyle w:val="SansinterligneCar"/>
          <w:i/>
        </w:rPr>
        <w:t>bis</w:t>
      </w:r>
      <w:r w:rsidRPr="00E72418">
        <w:rPr>
          <w:rStyle w:val="SansinterligneCar"/>
        </w:rPr>
        <w:t xml:space="preserve"> du Code judiciaire dont le premier alinéa dispose que « </w:t>
      </w:r>
      <w:r w:rsidRPr="00E72418">
        <w:rPr>
          <w:szCs w:val="20"/>
        </w:rPr>
        <w:t>[l]</w:t>
      </w:r>
      <w:r w:rsidRPr="00E72418">
        <w:rPr>
          <w:rStyle w:val="SansinterligneCar"/>
        </w:rPr>
        <w:t>a partie qui utilise la procédure à des fins manifestement dilatoires ou abusives peut être condamnée à une amende de 15 euros à 2.500 euros sans préjudice des dommages-intérêts qui seraient réclamés ».</w:t>
      </w:r>
    </w:p>
  </w:footnote>
  <w:footnote w:id="1717">
    <w:p w14:paraId="393C6E69" w14:textId="50A893EA" w:rsidR="0030147D" w:rsidRPr="00E72418" w:rsidRDefault="0030147D" w:rsidP="00C04077">
      <w:pPr>
        <w:pStyle w:val="Sansinterligne"/>
      </w:pPr>
      <w:r w:rsidRPr="00E72418">
        <w:rPr>
          <w:rStyle w:val="Appelnotedebasdep"/>
        </w:rPr>
        <w:footnoteRef/>
      </w:r>
      <w:r w:rsidRPr="00E72418">
        <w:t xml:space="preserve"> Voyez </w:t>
      </w:r>
      <w:r w:rsidRPr="00E72418">
        <w:rPr>
          <w:i/>
        </w:rPr>
        <w:t>supra</w:t>
      </w:r>
      <w:r w:rsidRPr="00E72418">
        <w:t xml:space="preserve"> n° 138.</w:t>
      </w:r>
    </w:p>
  </w:footnote>
  <w:footnote w:id="1718">
    <w:p w14:paraId="2F8A5B4E" w14:textId="17BF66F5" w:rsidR="0030147D" w:rsidRPr="00E72418" w:rsidRDefault="0030147D" w:rsidP="00DE1B2A">
      <w:pPr>
        <w:pStyle w:val="Sansinterligne"/>
        <w:rPr>
          <w:szCs w:val="20"/>
        </w:rPr>
      </w:pPr>
      <w:r w:rsidRPr="00E72418">
        <w:rPr>
          <w:rStyle w:val="Appelnotedebasdep"/>
          <w:szCs w:val="20"/>
        </w:rPr>
        <w:footnoteRef/>
      </w:r>
      <w:r w:rsidR="00FB0D7A">
        <w:rPr>
          <w:szCs w:val="20"/>
        </w:rPr>
        <w:t xml:space="preserve"> Sur cette inexistence </w:t>
      </w:r>
      <w:r w:rsidRPr="00E72418">
        <w:rPr>
          <w:szCs w:val="20"/>
        </w:rPr>
        <w:t xml:space="preserve">et les tentatives d’y pallier,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272 et suiv.</w:t>
      </w:r>
    </w:p>
  </w:footnote>
  <w:footnote w:id="1719">
    <w:p w14:paraId="69DD91AE" w14:textId="77777777" w:rsidR="0030147D" w:rsidRPr="00E72418" w:rsidRDefault="0030147D" w:rsidP="00DE1B2A">
      <w:pPr>
        <w:pStyle w:val="Sansinterligne"/>
        <w:rPr>
          <w:szCs w:val="20"/>
        </w:rPr>
      </w:pPr>
      <w:r w:rsidRPr="00E72418">
        <w:rPr>
          <w:rStyle w:val="Appelnotedebasdep"/>
          <w:szCs w:val="20"/>
        </w:rPr>
        <w:footnoteRef/>
      </w:r>
      <w:r w:rsidRPr="00E72418">
        <w:rPr>
          <w:szCs w:val="20"/>
        </w:rPr>
        <w:t xml:space="preserve">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33.</w:t>
      </w:r>
    </w:p>
  </w:footnote>
  <w:footnote w:id="1720">
    <w:p w14:paraId="742AB1F3" w14:textId="5A63AB5F"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xml:space="preserve">, p. 577. Sur ces possibles défauts opportunistes, voyez </w:t>
      </w:r>
      <w:r w:rsidRPr="00E72418">
        <w:rPr>
          <w:i/>
          <w:szCs w:val="20"/>
        </w:rPr>
        <w:t>supra</w:t>
      </w:r>
      <w:r w:rsidRPr="00E72418">
        <w:rPr>
          <w:szCs w:val="20"/>
        </w:rPr>
        <w:t xml:space="preserve"> n° 163.</w:t>
      </w:r>
    </w:p>
  </w:footnote>
  <w:footnote w:id="1721">
    <w:p w14:paraId="24F9AD24" w14:textId="3EF2E250"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xml:space="preserve">, 2014-2015, doc. 54 1057/001, pp. 12 et 13. Les parlementaires avaient à l’esprit l’affaire ayant opposé le fonds </w:t>
      </w:r>
      <w:r w:rsidRPr="00E72418">
        <w:rPr>
          <w:i/>
          <w:szCs w:val="20"/>
        </w:rPr>
        <w:t xml:space="preserve">Donegal International Ltd. </w:t>
      </w:r>
      <w:r w:rsidRPr="00E72418">
        <w:rPr>
          <w:szCs w:val="20"/>
        </w:rPr>
        <w:t>à la République de Zambie où l’</w:t>
      </w:r>
      <w:r w:rsidRPr="00E72418">
        <w:rPr>
          <w:szCs w:val="20"/>
          <w:lang w:eastAsia="fr-BE"/>
        </w:rPr>
        <w:t>É</w:t>
      </w:r>
      <w:r w:rsidRPr="00E72418">
        <w:rPr>
          <w:szCs w:val="20"/>
        </w:rPr>
        <w:t xml:space="preserve">tat débiteur avait, par convention, renoncé à son immunité d’exécution accordant à la société créancière un avantage procédural exorbitant (sur cet accord passé par le débiteur souverain africain avec son créancier secondaire, voyez </w:t>
      </w:r>
      <w:r w:rsidRPr="00E72418">
        <w:rPr>
          <w:i/>
          <w:szCs w:val="20"/>
        </w:rPr>
        <w:t>supra</w:t>
      </w:r>
      <w:r w:rsidRPr="00E72418">
        <w:rPr>
          <w:szCs w:val="20"/>
        </w:rPr>
        <w:t xml:space="preserve"> n° 105). Durant les travaux préparatoires de la loi, le critère de l’abus de faiblesse fut critiqué au motif que la remise en cause d’accords négociés contrevenait à toute forme de sécurité juridique sans pour autant toutefois qu’un amendement ne s’ensuive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24).</w:t>
      </w:r>
    </w:p>
  </w:footnote>
  <w:footnote w:id="1722">
    <w:p w14:paraId="19740D48" w14:textId="777777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13.</w:t>
      </w:r>
    </w:p>
  </w:footnote>
  <w:footnote w:id="1723">
    <w:p w14:paraId="142E3669" w14:textId="70337828" w:rsidR="0030147D" w:rsidRPr="00E72418" w:rsidRDefault="0030147D" w:rsidP="00CC3EE2">
      <w:pPr>
        <w:pStyle w:val="Sansinterligne"/>
        <w:rPr>
          <w:szCs w:val="20"/>
        </w:rPr>
      </w:pPr>
      <w:r w:rsidRPr="00E72418">
        <w:rPr>
          <w:rStyle w:val="Appelnotedebasdep"/>
          <w:szCs w:val="20"/>
        </w:rPr>
        <w:footnoteRef/>
      </w:r>
      <w:r w:rsidRPr="00E72418">
        <w:rPr>
          <w:szCs w:val="20"/>
        </w:rPr>
        <w:t xml:space="preserve">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33. Pour Olivier Creplet et Julien Courbis, il est </w:t>
      </w:r>
      <w:r w:rsidRPr="00E72418">
        <w:rPr>
          <w:i/>
          <w:szCs w:val="20"/>
        </w:rPr>
        <w:t>a priori</w:t>
      </w:r>
      <w:r w:rsidRPr="00E72418">
        <w:rPr>
          <w:szCs w:val="20"/>
        </w:rPr>
        <w:t xml:space="preserve"> assez insolite de vouloir attribuer une position de faiblesse à un </w:t>
      </w:r>
      <w:r w:rsidRPr="00E72418">
        <w:rPr>
          <w:szCs w:val="20"/>
          <w:lang w:eastAsia="fr-BE"/>
        </w:rPr>
        <w:t>É</w:t>
      </w:r>
      <w:r w:rsidRPr="00E72418">
        <w:rPr>
          <w:szCs w:val="20"/>
        </w:rPr>
        <w:t>tat, fût-il dans une situation financière délicate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xml:space="preserve">, pp. 72, 81 et 83). Ces auteurs relativisent, au regard de la position exorbitante qu’est celle d’un </w:t>
      </w:r>
      <w:r w:rsidRPr="00E72418">
        <w:rPr>
          <w:szCs w:val="20"/>
          <w:lang w:eastAsia="fr-BE"/>
        </w:rPr>
        <w:t>É</w:t>
      </w:r>
      <w:r w:rsidRPr="00E72418">
        <w:rPr>
          <w:szCs w:val="20"/>
        </w:rPr>
        <w:t xml:space="preserve">tat, la situation de faiblesse et de détresse dans laquelle celui-ci est généralement décrit se trouver dans le contexte des litiges l’opposant aux fonds spéculatifs. Ils expliquent également en quoi la référence à la lésion qualifiée est malheureuse en analysant la nature du rapport entre les parties. Voyez également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pp. 357 et 358 pour qui « la “vulnérabilité” d’un </w:t>
      </w:r>
      <w:r w:rsidRPr="00E72418">
        <w:rPr>
          <w:szCs w:val="20"/>
          <w:lang w:eastAsia="fr-BE"/>
        </w:rPr>
        <w:t>É</w:t>
      </w:r>
      <w:r w:rsidRPr="00E72418">
        <w:rPr>
          <w:szCs w:val="20"/>
        </w:rPr>
        <w:t>tat, drapé dans le linceul de la souveraineté, peut s’avérer délicate à établir ». L’auteure se demande ainsi à quel endroit le déséquilibre doit-il se trouver ; au niveau des modalités de remboursement, au niveau de la capacité financière de l’</w:t>
      </w:r>
      <w:r w:rsidRPr="00E72418">
        <w:rPr>
          <w:szCs w:val="20"/>
          <w:lang w:eastAsia="fr-BE"/>
        </w:rPr>
        <w:t>É</w:t>
      </w:r>
      <w:r w:rsidR="007C3F47">
        <w:rPr>
          <w:szCs w:val="20"/>
        </w:rPr>
        <w:t xml:space="preserve">tat débiteur, </w:t>
      </w:r>
      <w:r w:rsidR="007C3F47" w:rsidRPr="007C3F47">
        <w:rPr>
          <w:i/>
          <w:szCs w:val="20"/>
        </w:rPr>
        <w:t>etc.</w:t>
      </w:r>
      <w:r w:rsidRPr="00E72418">
        <w:rPr>
          <w:szCs w:val="20"/>
        </w:rPr>
        <w:t>?</w:t>
      </w:r>
    </w:p>
  </w:footnote>
  <w:footnote w:id="1724">
    <w:p w14:paraId="4BEA16E9" w14:textId="1B04CCB4" w:rsidR="0030147D" w:rsidRPr="00E72418" w:rsidRDefault="0030147D" w:rsidP="0040291E">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L. Sourbron</w:t>
      </w:r>
      <w:r w:rsidRPr="00E72418">
        <w:rPr>
          <w:szCs w:val="20"/>
          <w:lang w:val="en-US"/>
        </w:rPr>
        <w:t xml:space="preserve"> et </w:t>
      </w:r>
      <w:r w:rsidRPr="00E72418">
        <w:rPr>
          <w:smallCaps/>
          <w:szCs w:val="20"/>
          <w:lang w:val="en-US"/>
        </w:rPr>
        <w:t>L. Vereeck</w:t>
      </w:r>
      <w:r w:rsidRPr="00E72418">
        <w:rPr>
          <w:szCs w:val="20"/>
          <w:lang w:val="en-US"/>
        </w:rPr>
        <w:t xml:space="preserve">, « To Pay or Not to Pay? Evaluating the Belgian Law Against Vulture Funds », </w:t>
      </w:r>
      <w:r w:rsidRPr="00E72418">
        <w:rPr>
          <w:rFonts w:ascii="Times New Roman" w:hAnsi="Times New Roman" w:cs="Times New Roman"/>
          <w:i/>
          <w:szCs w:val="20"/>
          <w:lang w:val="en-US"/>
        </w:rPr>
        <w:t>op. cit.</w:t>
      </w:r>
      <w:r w:rsidRPr="00E72418">
        <w:rPr>
          <w:szCs w:val="20"/>
          <w:lang w:val="en-US"/>
        </w:rPr>
        <w:t xml:space="preserve">, p. 7. </w:t>
      </w:r>
      <w:r w:rsidRPr="00E72418">
        <w:rPr>
          <w:szCs w:val="20"/>
        </w:rPr>
        <w:t xml:space="preserve">Sur le principe de soutenabilité de la dette et la portée qui peut lui être donnée,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33 et suiv. </w:t>
      </w:r>
      <w:r w:rsidRPr="00E72418">
        <w:rPr>
          <w:bCs/>
          <w:szCs w:val="20"/>
        </w:rPr>
        <w:t>Comme cela fut souligné lors des travaux préparatoires de la loi, « les montants en jeu sont tels que le remboursement de la créance peut avoir un impact significatif sur le budget de l’</w:t>
      </w:r>
      <w:r w:rsidRPr="00E72418">
        <w:rPr>
          <w:szCs w:val="20"/>
          <w:lang w:eastAsia="fr-BE"/>
        </w:rPr>
        <w:t>É</w:t>
      </w:r>
      <w:r w:rsidRPr="00E72418">
        <w:rPr>
          <w:bCs/>
          <w:szCs w:val="20"/>
        </w:rPr>
        <w:t>tat débiteur et contrecarrer son développement et donc, par voie de conséquence, porter atteinte au bien-être de la population locale » (</w:t>
      </w:r>
      <w:r w:rsidRPr="00E72418">
        <w:rPr>
          <w:szCs w:val="20"/>
        </w:rPr>
        <w:t xml:space="preserve">proposition de loi relative à la lutte contre les activités des fonds vautours, développements, Ch. repr., </w:t>
      </w:r>
      <w:r w:rsidRPr="00E72418">
        <w:rPr>
          <w:i/>
          <w:szCs w:val="20"/>
        </w:rPr>
        <w:t>Doc. parl.</w:t>
      </w:r>
      <w:r w:rsidRPr="00E72418">
        <w:rPr>
          <w:szCs w:val="20"/>
        </w:rPr>
        <w:t>, 2014-2015, doc. 54 1057/001, p. 13)</w:t>
      </w:r>
      <w:r w:rsidRPr="00E72418">
        <w:rPr>
          <w:bCs/>
          <w:szCs w:val="20"/>
        </w:rPr>
        <w:t>.</w:t>
      </w:r>
    </w:p>
  </w:footnote>
  <w:footnote w:id="1725">
    <w:p w14:paraId="6E7DCE65" w14:textId="2C026C7A" w:rsidR="0030147D" w:rsidRPr="00E72418" w:rsidRDefault="0030147D" w:rsidP="00AE75E6">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358. Voyez également l’argument avancé par la société </w:t>
      </w:r>
      <w:r w:rsidRPr="00E72418">
        <w:rPr>
          <w:i/>
          <w:szCs w:val="20"/>
        </w:rPr>
        <w:t>NML Capital Ltd</w:t>
      </w:r>
      <w:r w:rsidRPr="00E72418">
        <w:rPr>
          <w:szCs w:val="20"/>
        </w:rPr>
        <w:t xml:space="preserve">. lors de son recours contre la loi selon lequel, logiquement, tout remboursement de sommes par un </w:t>
      </w:r>
      <w:r w:rsidRPr="00E72418">
        <w:rPr>
          <w:szCs w:val="20"/>
          <w:lang w:eastAsia="fr-BE"/>
        </w:rPr>
        <w:t>É</w:t>
      </w:r>
      <w:r w:rsidRPr="00E72418">
        <w:rPr>
          <w:szCs w:val="20"/>
        </w:rPr>
        <w:t xml:space="preserve">tat a une incidence défavorable sur ses finances (position de la société </w:t>
      </w:r>
      <w:r w:rsidRPr="00E72418">
        <w:rPr>
          <w:i/>
          <w:szCs w:val="20"/>
        </w:rPr>
        <w:t>NML Capital Ltd</w:t>
      </w:r>
      <w:r w:rsidRPr="00E72418">
        <w:rPr>
          <w:szCs w:val="20"/>
        </w:rPr>
        <w:t xml:space="preserve">. reprise in Cour const., 31 mai 2018, n° 61/2018, p. 17). Nous rejoignons l’analyse d’Alexandre Belle selon laquelle la déclinaison en pratique du critère est malaisée ; « [s]oit il paraît trop large, auquel cas toute action par un créancier contre un </w:t>
      </w:r>
      <w:r w:rsidRPr="00E72418">
        <w:rPr>
          <w:szCs w:val="20"/>
          <w:lang w:eastAsia="fr-BE"/>
        </w:rPr>
        <w:t>É</w:t>
      </w:r>
      <w:r w:rsidRPr="00E72418">
        <w:rPr>
          <w:szCs w:val="20"/>
        </w:rPr>
        <w:t xml:space="preserve">tat en restructuration conduit </w:t>
      </w:r>
      <w:r w:rsidRPr="00E72418">
        <w:rPr>
          <w:i/>
          <w:szCs w:val="20"/>
        </w:rPr>
        <w:t>ipso facto</w:t>
      </w:r>
      <w:r w:rsidRPr="00E72418">
        <w:rPr>
          <w:szCs w:val="20"/>
        </w:rPr>
        <w:t xml:space="preserve"> à sa satisfaction[,] [s]oit il est trop étroit, et dès lors, il devient impossible de prouver que les actions spécifiques d’un demandeur en particulier impactent les finances publiques d’un </w:t>
      </w:r>
      <w:r w:rsidRPr="00E72418">
        <w:rPr>
          <w:szCs w:val="20"/>
          <w:lang w:eastAsia="fr-BE"/>
        </w:rPr>
        <w:t>É</w:t>
      </w:r>
      <w:r w:rsidRPr="00E72418">
        <w:rPr>
          <w:szCs w:val="20"/>
        </w:rPr>
        <w:t>tat de façon identifiable, en particulier lorsqu’elles prennent place dans un contexte macro-économique complexe »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szCs w:val="20"/>
        </w:rPr>
        <w:t>op. cit.</w:t>
      </w:r>
      <w:r w:rsidRPr="00E72418">
        <w:rPr>
          <w:szCs w:val="20"/>
        </w:rPr>
        <w:t>, p. 177).</w:t>
      </w:r>
    </w:p>
  </w:footnote>
  <w:footnote w:id="1726">
    <w:p w14:paraId="6B63EC27" w14:textId="77777777"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Les travaux préparatoires de la loi visaient quant à eux un impact « significatif » (proposition de loi relative à la lutte contre les activités des fonds vautours, développements, Ch. repr., </w:t>
      </w:r>
      <w:r w:rsidRPr="00E72418">
        <w:rPr>
          <w:i/>
          <w:szCs w:val="20"/>
        </w:rPr>
        <w:t>Doc. parl.</w:t>
      </w:r>
      <w:r w:rsidRPr="00E72418">
        <w:rPr>
          <w:szCs w:val="20"/>
        </w:rPr>
        <w:t>, 2014-2015, doc. 54 1057/001, p. 13).</w:t>
      </w:r>
    </w:p>
  </w:footnote>
  <w:footnote w:id="1727">
    <w:p w14:paraId="736790EC" w14:textId="2B09CC84" w:rsidR="0030147D" w:rsidRPr="00E72418" w:rsidRDefault="0030147D" w:rsidP="00DD7FB0">
      <w:pPr>
        <w:pStyle w:val="Sansinterligne"/>
        <w:rPr>
          <w:szCs w:val="20"/>
        </w:rPr>
      </w:pPr>
      <w:r w:rsidRPr="00E72418">
        <w:rPr>
          <w:rStyle w:val="Appelnotedebasdep"/>
          <w:szCs w:val="20"/>
        </w:rPr>
        <w:footnoteRef/>
      </w:r>
      <w:r w:rsidRPr="00E72418">
        <w:rPr>
          <w:szCs w:val="20"/>
        </w:rPr>
        <w:t xml:space="preserve"> Voyez la position du Conseil des ministres face au recours introduit par la société </w:t>
      </w:r>
      <w:r w:rsidRPr="00E72418">
        <w:rPr>
          <w:i/>
          <w:szCs w:val="20"/>
        </w:rPr>
        <w:t>NML Capital Ltd</w:t>
      </w:r>
      <w:r w:rsidRPr="00E72418">
        <w:rPr>
          <w:szCs w:val="20"/>
        </w:rPr>
        <w:t>. contre la loi belge (Cour const., 31 mai 2018, n° 61/2018, p. 19). Pour les associations intervenues lors du recours, « [l’]existence d’une incidence “identifiable” sur les finances publiques suppose […] que le remboursement soit d’une importance telle qu’il détourne visiblement des ressources de l’</w:t>
      </w:r>
      <w:r w:rsidRPr="00E72418">
        <w:rPr>
          <w:szCs w:val="20"/>
          <w:lang w:eastAsia="fr-BE"/>
        </w:rPr>
        <w:t>É</w:t>
      </w:r>
      <w:r w:rsidRPr="00E72418">
        <w:rPr>
          <w:szCs w:val="20"/>
        </w:rPr>
        <w:t>tat de la satisfaction des besoins de la population » (position des associations intervenantes reprise in Cour const., 31 mai 2018, n° 61/2018, p. 19).</w:t>
      </w:r>
    </w:p>
  </w:footnote>
  <w:footnote w:id="1728">
    <w:p w14:paraId="672F9835" w14:textId="1CF9F037" w:rsidR="0030147D" w:rsidRPr="00E72418" w:rsidRDefault="0030147D" w:rsidP="00142B39">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xml:space="preserve">, pp. 570 et 571. L’auteur donne l’exemple d’un créancier faisant l’acquisition, pour cinq millions de dollars, de titres de créance d’une valeur de vingt-cinq millions émis par la République démocratique du Congo. Sachant que le budget total de cet </w:t>
      </w:r>
      <w:r w:rsidRPr="00E72418">
        <w:rPr>
          <w:szCs w:val="20"/>
          <w:lang w:eastAsia="fr-BE"/>
        </w:rPr>
        <w:t>É</w:t>
      </w:r>
      <w:r w:rsidRPr="00E72418">
        <w:rPr>
          <w:szCs w:val="20"/>
        </w:rPr>
        <w:t>tat s’élevait, en 2015, à six milliards de dollars, l’on peut se demander si le remboursement du créancier provoquera un impact défavorable identifiable sur les finances du pays alors même qu’il est manifeste qu’une partie de sa population est dans un état de pauvreté important.</w:t>
      </w:r>
    </w:p>
  </w:footnote>
  <w:footnote w:id="1729">
    <w:p w14:paraId="27EF0771" w14:textId="77777777" w:rsidR="0030147D" w:rsidRPr="00E72418" w:rsidRDefault="0030147D" w:rsidP="0040291E">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58.</w:t>
      </w:r>
    </w:p>
  </w:footnote>
  <w:footnote w:id="1730">
    <w:p w14:paraId="17FD39E4" w14:textId="77777777" w:rsidR="0030147D" w:rsidRPr="00E72418" w:rsidRDefault="0030147D" w:rsidP="00142B39">
      <w:pPr>
        <w:pStyle w:val="Sansinterligne"/>
        <w:rPr>
          <w:szCs w:val="20"/>
        </w:rPr>
      </w:pPr>
      <w:r w:rsidRPr="00E72418">
        <w:rPr>
          <w:rStyle w:val="Appelnotedebasdep"/>
          <w:szCs w:val="20"/>
        </w:rPr>
        <w:footnoteRef/>
      </w:r>
      <w:r w:rsidRPr="00E72418">
        <w:rPr>
          <w:szCs w:val="20"/>
        </w:rPr>
        <w:t xml:space="preserve"> Les parlementaires ayant déposé la proposition de loi, après avoir précisé qu’en principe le fait que le remboursement de la créance provoque la ruine du débiteur n’est pas un motif de rejet de la demande du créancier, justifiaient du critère retenu notamment par le fait qu’ « il n’est pas utilisé de manière isolée, mais en conjugaison avec les autres critères » (proposition de loi relative à la lutte contre les activités des fonds vautours, développements, Ch. repr., </w:t>
      </w:r>
      <w:r w:rsidRPr="00E72418">
        <w:rPr>
          <w:i/>
          <w:szCs w:val="20"/>
        </w:rPr>
        <w:t>Doc. parl.</w:t>
      </w:r>
      <w:r w:rsidRPr="00E72418">
        <w:rPr>
          <w:szCs w:val="20"/>
        </w:rPr>
        <w:t>, 2014-2015, doc. 54 1057/001, p. 13). Cette précision est contraire au texte de loi qui dispose que les critères sont alternatifs.</w:t>
      </w:r>
    </w:p>
  </w:footnote>
  <w:footnote w:id="1731">
    <w:p w14:paraId="68A2B060" w14:textId="2BA2229C" w:rsidR="0030147D" w:rsidRPr="00E72418" w:rsidRDefault="0030147D" w:rsidP="00CF2990">
      <w:pPr>
        <w:pStyle w:val="Sansinterligne"/>
        <w:rPr>
          <w:szCs w:val="20"/>
        </w:rPr>
      </w:pPr>
      <w:r w:rsidRPr="00E72418">
        <w:rPr>
          <w:rStyle w:val="Appelnotedebasdep"/>
          <w:szCs w:val="20"/>
        </w:rPr>
        <w:footnoteRef/>
      </w:r>
      <w:r w:rsidRPr="00E72418">
        <w:rPr>
          <w:szCs w:val="20"/>
        </w:rPr>
        <w:t xml:space="preserve"> Ce risque, qui à notre connaissance n’a pas donné lieu aux conséquences redoutées, ne semble pas avoir été clairement perçu lors des discussions parlementaires à en lire les retranscriptions reprenant que « </w:t>
      </w:r>
      <w:r w:rsidRPr="00E72418">
        <w:rPr>
          <w:rFonts w:cs="Times New Roman"/>
          <w:szCs w:val="20"/>
        </w:rPr>
        <w:t>[d]</w:t>
      </w:r>
      <w:r w:rsidRPr="00E72418">
        <w:rPr>
          <w:szCs w:val="20"/>
        </w:rPr>
        <w:t>e wet is niet uitgewerkt tot op een technisch niveau waarop men vele ontsnappingsroutes zou kunnen organiseren » (propos de Roel Deseyn repris in Chambre des représentants, compte rendu intégral avec compte rendu analytique traduit des interventions, séance plénière, 25 juin 2015, CRIV 54 PLEN 057, p. 57. Notre traduction libre pour nos lecteurs français : « la loi n’est pas élaborée à un niveau technique dont on pourrait trouver de nombreux échappatoires »).</w:t>
      </w:r>
    </w:p>
  </w:footnote>
  <w:footnote w:id="1732">
    <w:p w14:paraId="445536D4" w14:textId="77777777"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6.</w:t>
      </w:r>
    </w:p>
  </w:footnote>
  <w:footnote w:id="1733">
    <w:p w14:paraId="142548B2" w14:textId="571468CD"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Propos de Georges Gilkinet repris in Chambre des représentants, compte rendu intégral avec compte rendu analytique traduit des interventions, séance plénière, 25 juin 2015, CRIV 54 PLEN 057, p. 59. </w:t>
      </w:r>
      <w:r w:rsidRPr="00E72418">
        <w:rPr>
          <w:rFonts w:cs="Times New Roman"/>
          <w:szCs w:val="20"/>
        </w:rPr>
        <w:t>Il fut également relevé lors des travaux préparatoires, l’importance de donner au juge « un corps, une colonne vertébrale suffisamment explicite pour qu’il puisse s’y rattacher »</w:t>
      </w:r>
      <w:r w:rsidRPr="00E72418">
        <w:rPr>
          <w:szCs w:val="20"/>
        </w:rPr>
        <w:t xml:space="preserve"> (</w:t>
      </w:r>
      <w:r w:rsidRPr="00E72418">
        <w:rPr>
          <w:i/>
          <w:szCs w:val="20"/>
        </w:rPr>
        <w:t>ibid.</w:t>
      </w:r>
      <w:r w:rsidRPr="00E72418">
        <w:rPr>
          <w:szCs w:val="20"/>
        </w:rPr>
        <w:t>).</w:t>
      </w:r>
    </w:p>
  </w:footnote>
  <w:footnote w:id="1734">
    <w:p w14:paraId="75629ACB" w14:textId="53FC0114"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60.</w:t>
      </w:r>
    </w:p>
  </w:footnote>
  <w:footnote w:id="1735">
    <w:p w14:paraId="6D998CC1" w14:textId="006DCEFD" w:rsidR="0030147D" w:rsidRPr="00E72418" w:rsidRDefault="0030147D" w:rsidP="000100DC">
      <w:pPr>
        <w:pStyle w:val="Sansinterligne"/>
      </w:pPr>
      <w:r w:rsidRPr="00E72418">
        <w:rPr>
          <w:rStyle w:val="Appelnotedebasdep"/>
        </w:rPr>
        <w:footnoteRef/>
      </w:r>
      <w:r w:rsidRPr="00E72418">
        <w:t xml:space="preserve"> Le problème est pourtant, comme le note Hakim Boularbah, que le texte est « ambiguous on numerous issues » et qu’ainsi « [t]here is no doubt that it will provoke a lot of discussions and controversy when it will come to its application to a particular case » (H. </w:t>
      </w:r>
      <w:r w:rsidRPr="00E72418">
        <w:rPr>
          <w:rFonts w:eastAsia="Times New Roman" w:cs="Times New Roman"/>
          <w:smallCaps/>
          <w:szCs w:val="24"/>
          <w:lang w:val="en-US" w:eastAsia="fr-BE"/>
        </w:rPr>
        <w:t>Boularbah</w:t>
      </w:r>
      <w:r w:rsidRPr="00E72418">
        <w:rPr>
          <w:rFonts w:eastAsia="Times New Roman" w:cs="Times New Roman"/>
          <w:szCs w:val="24"/>
          <w:lang w:val="en-US" w:eastAsia="fr-BE"/>
        </w:rPr>
        <w:t xml:space="preserve">, « Successfully enforcing an arbitral award », </w:t>
      </w:r>
      <w:r w:rsidRPr="00E72418">
        <w:rPr>
          <w:rFonts w:eastAsia="Times New Roman" w:cs="Times New Roman"/>
          <w:i/>
          <w:szCs w:val="24"/>
          <w:lang w:val="en-US" w:eastAsia="fr-BE"/>
        </w:rPr>
        <w:t>op. cit.</w:t>
      </w:r>
      <w:r w:rsidRPr="00E72418">
        <w:rPr>
          <w:rFonts w:eastAsia="Times New Roman" w:cs="Times New Roman"/>
          <w:szCs w:val="24"/>
          <w:lang w:val="en-US" w:eastAsia="fr-BE"/>
        </w:rPr>
        <w:t>, p. 99).</w:t>
      </w:r>
    </w:p>
  </w:footnote>
  <w:footnote w:id="1736">
    <w:p w14:paraId="63062A87" w14:textId="6ED8907D" w:rsidR="0030147D" w:rsidRPr="00E72418" w:rsidRDefault="0030147D" w:rsidP="0069039F">
      <w:pPr>
        <w:pStyle w:val="Sansinterligne"/>
      </w:pPr>
      <w:r w:rsidRPr="00E72418">
        <w:rPr>
          <w:rStyle w:val="Appelnotedebasdep"/>
        </w:rPr>
        <w:footnoteRef/>
      </w:r>
      <w:r w:rsidRPr="00E72418">
        <w:t xml:space="preserve"> Sur l’utile équipement des juridictions que la complexité des contentieux souverains fait souhaiter, voyez </w:t>
      </w:r>
      <w:r w:rsidRPr="00E72418">
        <w:rPr>
          <w:i/>
        </w:rPr>
        <w:t>infra</w:t>
      </w:r>
      <w:r w:rsidRPr="00E72418">
        <w:t xml:space="preserve"> n° 404.</w:t>
      </w:r>
    </w:p>
  </w:footnote>
  <w:footnote w:id="1737">
    <w:p w14:paraId="6A6764A7" w14:textId="77777777" w:rsidR="0030147D" w:rsidRPr="00E72418" w:rsidRDefault="0030147D" w:rsidP="00DB6EAC">
      <w:pPr>
        <w:pStyle w:val="Sansinterligne"/>
        <w:rPr>
          <w:szCs w:val="20"/>
        </w:rPr>
      </w:pPr>
      <w:r w:rsidRPr="00E72418">
        <w:rPr>
          <w:szCs w:val="20"/>
          <w:vertAlign w:val="superscript"/>
        </w:rPr>
        <w:footnoteRef/>
      </w:r>
      <w:r w:rsidRPr="00E72418">
        <w:rPr>
          <w:szCs w:val="20"/>
        </w:rPr>
        <w:t xml:space="preserve"> Voyez le point A.38.1. de l’arrêt n° 61/2018.</w:t>
      </w:r>
    </w:p>
  </w:footnote>
  <w:footnote w:id="1738">
    <w:p w14:paraId="1B8D5BFF" w14:textId="77777777" w:rsidR="0030147D" w:rsidRPr="00E72418" w:rsidRDefault="0030147D" w:rsidP="00DB6EAC">
      <w:pPr>
        <w:pStyle w:val="Sansinterligne"/>
        <w:rPr>
          <w:szCs w:val="20"/>
        </w:rPr>
      </w:pPr>
      <w:r w:rsidRPr="00E72418">
        <w:rPr>
          <w:rStyle w:val="Appelnotedebasdep"/>
          <w:szCs w:val="20"/>
        </w:rPr>
        <w:footnoteRef/>
      </w:r>
      <w:r w:rsidRPr="00E72418">
        <w:rPr>
          <w:szCs w:val="20"/>
        </w:rPr>
        <w:t xml:space="preserve"> Voyez le point B.18.4. de l’arrêt n° 61/2018.</w:t>
      </w:r>
    </w:p>
  </w:footnote>
  <w:footnote w:id="1739">
    <w:p w14:paraId="190F0CBF" w14:textId="77777777" w:rsidR="0030147D" w:rsidRPr="00E72418" w:rsidRDefault="0030147D" w:rsidP="00DB6EAC">
      <w:pPr>
        <w:pStyle w:val="Sansinterligne"/>
        <w:rPr>
          <w:szCs w:val="20"/>
        </w:rPr>
      </w:pPr>
      <w:r w:rsidRPr="00E72418">
        <w:rPr>
          <w:rStyle w:val="Appelnotedebasdep"/>
          <w:szCs w:val="20"/>
        </w:rPr>
        <w:footnoteRef/>
      </w:r>
      <w:r w:rsidRPr="00E72418">
        <w:rPr>
          <w:szCs w:val="20"/>
        </w:rPr>
        <w:t xml:space="preserve"> Voyez le point B.18.6. de l’arrêt n° 61/2018.</w:t>
      </w:r>
    </w:p>
  </w:footnote>
  <w:footnote w:id="1740">
    <w:p w14:paraId="62D95E8C" w14:textId="0105ED78" w:rsidR="0030147D" w:rsidRPr="00E72418" w:rsidRDefault="0030147D" w:rsidP="001F2523">
      <w:pPr>
        <w:pStyle w:val="Sansinterligne"/>
        <w:rPr>
          <w:rFonts w:ascii="Times New Roman" w:hAnsi="Times New Roman" w:cs="Times New Roman"/>
          <w:szCs w:val="24"/>
        </w:rPr>
      </w:pPr>
      <w:r w:rsidRPr="00E72418">
        <w:rPr>
          <w:rStyle w:val="Titre1Car"/>
          <w:rFonts w:ascii="Times" w:eastAsiaTheme="minorHAnsi" w:hAnsi="Times" w:cstheme="minorBidi"/>
          <w:color w:val="auto"/>
          <w:sz w:val="20"/>
          <w:szCs w:val="20"/>
          <w:vertAlign w:val="superscript"/>
        </w:rPr>
        <w:footnoteRef/>
      </w:r>
      <w:r w:rsidRPr="00E72418">
        <w:t xml:space="preserve"> Avis du 4 juin 2015 de la Banque nationale de Belgique repris in proposition de loi relative à la lutte contre les activités des fonds vautours, rapport fait au nom de la Commission des finances et du budget, Ch. repr., </w:t>
      </w:r>
      <w:r w:rsidRPr="00E72418">
        <w:rPr>
          <w:i/>
        </w:rPr>
        <w:t>Doc. parl.</w:t>
      </w:r>
      <w:r w:rsidRPr="00E72418">
        <w:t>, 2014-2015, doc. 54 1057/003, p. 32. Nombreux sont ceux à avoir tiré la sonnette d’alarme. Ainsi encore, l’</w:t>
      </w:r>
      <w:r w:rsidRPr="00E72418">
        <w:rPr>
          <w:i/>
        </w:rPr>
        <w:t>Institute of International Finance</w:t>
      </w:r>
      <w:r w:rsidRPr="00E72418">
        <w:t xml:space="preserve"> fit remarquer au sujet du cadre juridique du marché des dettes souveraines que « [l]a “loi sur les fonds vautours” […] minerait ce cadre légal prévisible en introduisant des critères imprécis et subjectifs, appliqués </w:t>
      </w:r>
      <w:r w:rsidRPr="00E72418">
        <w:rPr>
          <w:i/>
        </w:rPr>
        <w:t>a posteriori</w:t>
      </w:r>
      <w:r w:rsidRPr="00E72418">
        <w:t xml:space="preserve"> à tout effort engagé par un créancier pour obtenir l’application de droits négociés »</w:t>
      </w:r>
      <w:r w:rsidRPr="00E72418">
        <w:rPr>
          <w:rStyle w:val="Titre1Car"/>
          <w:rFonts w:ascii="Times" w:eastAsiaTheme="minorHAnsi" w:hAnsi="Times" w:cstheme="minorBidi"/>
          <w:color w:val="auto"/>
          <w:sz w:val="20"/>
          <w:szCs w:val="20"/>
        </w:rPr>
        <w:t xml:space="preserve"> </w:t>
      </w:r>
      <w:r w:rsidRPr="00E72418">
        <w:t>(lettre du 19 mai 2015 de l’</w:t>
      </w:r>
      <w:r w:rsidRPr="00E72418">
        <w:rPr>
          <w:i/>
        </w:rPr>
        <w:t>Institute of International Finance</w:t>
      </w:r>
      <w:r w:rsidRPr="00E72418">
        <w:t xml:space="preserve"> reprise in proposition de loi relative à la lutte contre les activités des fonds vautours, rapport fait au nom de la Commission des finances et du budget, Ch. repr., </w:t>
      </w:r>
      <w:r w:rsidRPr="00E72418">
        <w:rPr>
          <w:i/>
        </w:rPr>
        <w:t>Doc. parl.</w:t>
      </w:r>
      <w:r w:rsidRPr="00E72418">
        <w:t xml:space="preserve">, 2014-2015, doc. 54 1057/003, p. 39). Relevons encore que la Fédération Financière Belge (Febelfin) a également pointé l’insécurité juridique et les nombreuses questions d’interprétation (proposition de loi relative à la lutte contre les activités des fonds vautours, rapport fait au nom de la Commission des finances et du budget, Ch. repr., </w:t>
      </w:r>
      <w:r w:rsidRPr="00E72418">
        <w:rPr>
          <w:i/>
        </w:rPr>
        <w:t>Doc. parl.</w:t>
      </w:r>
      <w:r w:rsidRPr="00E72418">
        <w:t>, 2014-2015, doc. 54 1057/003, p. 8). La critique du manque de précision des critères de la loi et de leur importante subjectivité est également faite par la doctrine (v</w:t>
      </w:r>
      <w:r w:rsidRPr="00E72418">
        <w:rPr>
          <w:lang w:val="en-US"/>
        </w:rPr>
        <w:t xml:space="preserve">oyez, par exemple, </w:t>
      </w:r>
      <w:r w:rsidRPr="00E72418">
        <w:rPr>
          <w:smallCaps/>
          <w:lang w:val="en-US"/>
        </w:rPr>
        <w:t>G. Pavlidis</w:t>
      </w:r>
      <w:r w:rsidRPr="00E72418">
        <w:rPr>
          <w:lang w:val="en-US"/>
        </w:rPr>
        <w:t xml:space="preserve">, « Vulture litigation in the context of sovereign debt: global or local solution? », </w:t>
      </w:r>
      <w:r w:rsidRPr="00E72418">
        <w:rPr>
          <w:i/>
        </w:rPr>
        <w:t>op. cit.</w:t>
      </w:r>
      <w:r w:rsidRPr="00E72418">
        <w:rPr>
          <w:lang w:val="en-US"/>
        </w:rPr>
        <w:t xml:space="preserve">, p. 94 : « there are legitimate concerns regarding the non-quantifiable and subjective nature of some of [the] standards […] which leave too much to the courts’ discretion and increase legal uncertainty ». </w:t>
      </w:r>
      <w:r w:rsidRPr="00E72418">
        <w:t>L’auteur relève particulièrement les critères de l’abus de faiblesse et de l’impact défavorable du remboursement).</w:t>
      </w:r>
    </w:p>
  </w:footnote>
  <w:footnote w:id="1741">
    <w:p w14:paraId="480D03FD" w14:textId="77777777"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14 et 15.</w:t>
      </w:r>
    </w:p>
  </w:footnote>
  <w:footnote w:id="1742">
    <w:p w14:paraId="365EE6AA" w14:textId="5CE175E0"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Pour l’</w:t>
      </w:r>
      <w:r w:rsidRPr="00E72418">
        <w:rPr>
          <w:i/>
          <w:szCs w:val="20"/>
        </w:rPr>
        <w:t>Institute of International Finance</w:t>
      </w:r>
      <w:r w:rsidRPr="00E72418">
        <w:rPr>
          <w:szCs w:val="20"/>
        </w:rPr>
        <w:t xml:space="preserve">, « [l]es paramètres hautement subjectifs contenus dans la proposition de loi […] sont de nature à décourager les acheteurs de tout genre, actifs sur le marché secondaire, d’acquérir la dette d’un </w:t>
      </w:r>
      <w:r w:rsidRPr="00E72418">
        <w:rPr>
          <w:szCs w:val="20"/>
          <w:lang w:eastAsia="fr-BE"/>
        </w:rPr>
        <w:t>É</w:t>
      </w:r>
      <w:r w:rsidRPr="00E72418">
        <w:rPr>
          <w:szCs w:val="20"/>
        </w:rPr>
        <w:t>tat souverain, en particulier si celui-ci se trouve dans une situation de détresse » alors qu’ « [u]ne réduction de la participation sur le marché provoquerait inutilement une baisse plus importante encore du prix de la dette détenue par le détenteur primaire et pourrait déboucher sur l’effondrement du marché ». L’</w:t>
      </w:r>
      <w:r w:rsidRPr="00E72418">
        <w:rPr>
          <w:i/>
          <w:szCs w:val="20"/>
        </w:rPr>
        <w:t xml:space="preserve">Institute of International Finance </w:t>
      </w:r>
      <w:r w:rsidRPr="00E72418">
        <w:rPr>
          <w:szCs w:val="20"/>
        </w:rPr>
        <w:t>souligne que « toute inefficience du marché secondaire freine l’activité sur le marché primaire, décourageant dans le même temps les émissions de dettes ou rendant les émissions d’origine plus coûteuses pour le pays émetteur »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 40). Sans doute la critique du caractère vague et subjectif des critères pourrait-elle s’estomper si l’on retenait que ces critères devaient être cumulativement rencontrés (voyez </w:t>
      </w:r>
      <w:r w:rsidRPr="00E72418">
        <w:rPr>
          <w:i/>
          <w:szCs w:val="20"/>
        </w:rPr>
        <w:t>infra</w:t>
      </w:r>
      <w:r w:rsidRPr="00E72418">
        <w:rPr>
          <w:szCs w:val="20"/>
        </w:rPr>
        <w:t xml:space="preserve"> n° 350).</w:t>
      </w:r>
    </w:p>
  </w:footnote>
  <w:footnote w:id="1743">
    <w:p w14:paraId="71C3D4DB" w14:textId="128BAF98"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 Une autre parlementaire était d’avis que la loi établit des critères objectifs aidant les magistrats à identifier les fonds spéculatifs, le but de ceux-ci étant de guider le pouvoir judiciaire dans son raisonnement et d’éviter des décisions trop subjectives ou imprévisibles (Chambre des représentants, compte rendu intégral avec compte rendu analytique traduit des interventions, séance plénière, 25 juin 2015, CRIV 54 PLEN 057, p. 61). Le Comité consultatif du Conseil des droits de l’homme des Nations Unies est également d’avis que la loi belge fixe, à l’intention des juges, des critères objectifs de désignation des créanciers qui cherchent à se procurer un avantage illégitime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11).</w:t>
      </w:r>
    </w:p>
  </w:footnote>
  <w:footnote w:id="1744">
    <w:p w14:paraId="00C9D23E" w14:textId="77777777" w:rsidR="0030147D" w:rsidRPr="00E72418" w:rsidRDefault="0030147D" w:rsidP="00AD3A44">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54.</w:t>
      </w:r>
    </w:p>
  </w:footnote>
  <w:footnote w:id="1745">
    <w:p w14:paraId="3D1E8B30" w14:textId="77777777" w:rsidR="0030147D" w:rsidRPr="00E72418" w:rsidRDefault="0030147D" w:rsidP="003A1B32">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w:t>
      </w:r>
      <w:r w:rsidRPr="00E72418">
        <w:rPr>
          <w:i/>
          <w:szCs w:val="20"/>
        </w:rPr>
        <w:t>Doc. Parl.</w:t>
      </w:r>
      <w:r w:rsidRPr="00E72418">
        <w:rPr>
          <w:szCs w:val="20"/>
        </w:rPr>
        <w:t>, Ch., 2014-2015, doc. 54 1057/001, pp. 10 et 11.</w:t>
      </w:r>
    </w:p>
  </w:footnote>
  <w:footnote w:id="1746">
    <w:p w14:paraId="57CE9417" w14:textId="77777777" w:rsidR="0030147D" w:rsidRPr="00E72418" w:rsidRDefault="0030147D" w:rsidP="003A1B32">
      <w:pPr>
        <w:pStyle w:val="Sansinterligne"/>
      </w:pPr>
      <w:r w:rsidRPr="00E72418">
        <w:rPr>
          <w:rStyle w:val="Appelnotedebasdep"/>
        </w:rPr>
        <w:footnoteRef/>
      </w:r>
      <w:r w:rsidRPr="00E72418">
        <w:t xml:space="preserve"> Sur l’affirmation de ce que le mécanisme prévu dans la loi anti-fonds vautours belge est une application de la règle relative à la cession de droits litigieux, voyez proposition de loi portant le Livre 5 « Les obligations » du Code civil, commentaire des articles, </w:t>
      </w:r>
      <w:r w:rsidRPr="00E72418">
        <w:rPr>
          <w:szCs w:val="20"/>
        </w:rPr>
        <w:t xml:space="preserve">Ch. repr., </w:t>
      </w:r>
      <w:r w:rsidRPr="00E72418">
        <w:rPr>
          <w:i/>
          <w:szCs w:val="20"/>
        </w:rPr>
        <w:t>Doc. parl.</w:t>
      </w:r>
      <w:r w:rsidRPr="00E72418">
        <w:rPr>
          <w:szCs w:val="20"/>
        </w:rPr>
        <w:t xml:space="preserve">, </w:t>
      </w:r>
      <w:r w:rsidRPr="00E72418">
        <w:t>2020-2021, doc. 55 1806/001, p. 234.</w:t>
      </w:r>
    </w:p>
  </w:footnote>
  <w:footnote w:id="1747">
    <w:p w14:paraId="2B142686" w14:textId="2ABFC6EB" w:rsidR="0030147D" w:rsidRPr="00E72418" w:rsidRDefault="0030147D" w:rsidP="003A1B32">
      <w:pPr>
        <w:pStyle w:val="Sansinterligne"/>
        <w:rPr>
          <w:szCs w:val="20"/>
        </w:rPr>
      </w:pPr>
      <w:r w:rsidRPr="00E72418">
        <w:rPr>
          <w:rStyle w:val="Appelnotedebasdep"/>
          <w:szCs w:val="20"/>
        </w:rPr>
        <w:footnoteRef/>
      </w:r>
      <w:r w:rsidRPr="00E72418">
        <w:rPr>
          <w:szCs w:val="20"/>
        </w:rPr>
        <w:t xml:space="preserve"> Notons toutefois la même logique dissuasive d’une limitation des droits du créancier retenue dans la loi belge de 2015 (</w:t>
      </w:r>
      <w:r w:rsidRPr="00E72418">
        <w:rPr>
          <w:smallCaps/>
          <w:szCs w:val="20"/>
        </w:rPr>
        <w:t>C. De Jonghe</w:t>
      </w:r>
      <w:r w:rsidRPr="00E72418">
        <w:rPr>
          <w:szCs w:val="20"/>
        </w:rPr>
        <w:t xml:space="preserve">, « Le retrait litigieux à l’épreuve de la pratique financière contemporaine », </w:t>
      </w:r>
      <w:r w:rsidRPr="00E72418">
        <w:rPr>
          <w:i/>
          <w:szCs w:val="20"/>
        </w:rPr>
        <w:t>op. cit.</w:t>
      </w:r>
      <w:r w:rsidRPr="00E72418">
        <w:rPr>
          <w:szCs w:val="20"/>
        </w:rPr>
        <w:t xml:space="preserve">, p. 239). Cette logique dissuasive qui nous paraît cardinale sera reprise dans notre proposition en y comprenant, comme pour le </w:t>
      </w:r>
      <w:r w:rsidRPr="00E72418">
        <w:t xml:space="preserve">mécanisme de la cession de droit litigieux, la possibilité pour le créancier de réclamer, en plus du prix payé, un intérêt ainsi que les frais engagés (voyez </w:t>
      </w:r>
      <w:r w:rsidRPr="00E72418">
        <w:rPr>
          <w:i/>
        </w:rPr>
        <w:t>infra</w:t>
      </w:r>
      <w:r w:rsidRPr="00E72418">
        <w:t xml:space="preserve"> n</w:t>
      </w:r>
      <w:r w:rsidRPr="00E72418">
        <w:rPr>
          <w:vertAlign w:val="superscript"/>
        </w:rPr>
        <w:t xml:space="preserve">os </w:t>
      </w:r>
      <w:r>
        <w:t>418 et 419</w:t>
      </w:r>
      <w:r w:rsidRPr="00E72418">
        <w:t>).</w:t>
      </w:r>
    </w:p>
  </w:footnote>
  <w:footnote w:id="1748">
    <w:p w14:paraId="3F16B94C" w14:textId="77777777" w:rsidR="0030147D" w:rsidRPr="00E72418" w:rsidRDefault="0030147D" w:rsidP="003A1B32">
      <w:pPr>
        <w:pStyle w:val="Sansinterligne"/>
      </w:pPr>
      <w:r w:rsidRPr="00E72418">
        <w:rPr>
          <w:rStyle w:val="Appelnotedebasdep"/>
        </w:rPr>
        <w:footnoteRef/>
      </w:r>
      <w:r w:rsidRPr="00E72418">
        <w:t xml:space="preserve"> </w:t>
      </w:r>
      <w:r w:rsidRPr="00E72418">
        <w:rPr>
          <w:smallCaps/>
        </w:rPr>
        <w:t>A. Belle</w:t>
      </w:r>
      <w:r w:rsidRPr="00E72418">
        <w:t xml:space="preserve">, « La loi belge anti-fonds vautours au sein du droit international sur la dette souveraine : le droit national comme outil de signalement et de gestion de risques de défaut », </w:t>
      </w:r>
      <w:r w:rsidRPr="00E72418">
        <w:rPr>
          <w:i/>
        </w:rPr>
        <w:t>op. cit.</w:t>
      </w:r>
      <w:r w:rsidRPr="00E72418">
        <w:t>, p. 173.</w:t>
      </w:r>
    </w:p>
  </w:footnote>
  <w:footnote w:id="1749">
    <w:p w14:paraId="4ED04978" w14:textId="6CBCB2BD" w:rsidR="0030147D" w:rsidRPr="00E72418" w:rsidRDefault="0030147D" w:rsidP="00672558">
      <w:pPr>
        <w:pStyle w:val="Sansinterligne"/>
        <w:rPr>
          <w:rFonts w:ascii="TimesNewRoman" w:hAnsi="TimesNewRoman" w:cs="TimesNewRoman"/>
          <w:szCs w:val="20"/>
        </w:rPr>
      </w:pPr>
      <w:r w:rsidRPr="00E72418">
        <w:rPr>
          <w:rStyle w:val="Appelnotedebasdep"/>
        </w:rPr>
        <w:footnoteRef/>
      </w:r>
      <w:r w:rsidRPr="00E72418">
        <w:t xml:space="preserve"> </w:t>
      </w:r>
      <w:r w:rsidRPr="00E72418">
        <w:rPr>
          <w:smallCaps/>
        </w:rPr>
        <w:t>P. Wautelet</w:t>
      </w:r>
      <w:r w:rsidRPr="00E72418">
        <w:t xml:space="preserve">, « La chasse aux “vautours” est ouverte </w:t>
      </w:r>
      <w:r w:rsidRPr="00E72418">
        <w:rPr>
          <w:b/>
        </w:rPr>
        <w:t xml:space="preserve">– </w:t>
      </w:r>
      <w:r w:rsidRPr="00E72418">
        <w:t xml:space="preserve">Du bon usage de la loi du 12 juillet 2015 », </w:t>
      </w:r>
      <w:r w:rsidRPr="00E72418">
        <w:rPr>
          <w:i/>
        </w:rPr>
        <w:t>op. cit.</w:t>
      </w:r>
      <w:r w:rsidRPr="00E72418">
        <w:t>, pp. 562 à 578. Pour Corentin De Jonghe aussi, « </w:t>
      </w:r>
      <w:r w:rsidRPr="00E72418">
        <w:rPr>
          <w:rFonts w:ascii="TimesNewRoman" w:hAnsi="TimesNewRoman" w:cs="TimesNewRoman"/>
          <w:szCs w:val="20"/>
        </w:rPr>
        <w:t>la loi du 12 juillet 2015 permet au mécanisme qu’elle consacre de sortir ses effets dans des situations ne répondant que très partiellement aux préoccupations invoquées afin de justifier son adoption » (</w:t>
      </w:r>
      <w:r w:rsidRPr="00E72418">
        <w:rPr>
          <w:smallCaps/>
        </w:rPr>
        <w:t>C. De Jonghe</w:t>
      </w:r>
      <w:r w:rsidRPr="00E72418">
        <w:t xml:space="preserve">, « Le retrait litigieux à l’épreuve de la pratique financière contemporaine », </w:t>
      </w:r>
      <w:r w:rsidRPr="00E72418">
        <w:rPr>
          <w:i/>
        </w:rPr>
        <w:t>op. cit.</w:t>
      </w:r>
      <w:r w:rsidRPr="00E72418">
        <w:t>, p. 242).</w:t>
      </w:r>
    </w:p>
  </w:footnote>
  <w:footnote w:id="1750">
    <w:p w14:paraId="279F6081" w14:textId="4A67EAD1" w:rsidR="0030147D" w:rsidRPr="00E72418" w:rsidRDefault="0030147D" w:rsidP="00672558">
      <w:pPr>
        <w:pStyle w:val="Sansinterligne"/>
        <w:rPr>
          <w:lang w:val="en-US"/>
        </w:rPr>
      </w:pPr>
      <w:r w:rsidRPr="00E72418">
        <w:rPr>
          <w:rStyle w:val="Appelnotedebasdep"/>
        </w:rPr>
        <w:footnoteRef/>
      </w:r>
      <w:r w:rsidRPr="00E72418">
        <w:rPr>
          <w:lang w:val="en-US"/>
        </w:rPr>
        <w:t xml:space="preserve"> </w:t>
      </w:r>
      <w:r w:rsidRPr="00E72418">
        <w:rPr>
          <w:smallCaps/>
          <w:lang w:val="en-US"/>
        </w:rPr>
        <w:t>L. Wozny</w:t>
      </w:r>
      <w:r w:rsidRPr="00E72418">
        <w:rPr>
          <w:lang w:val="en-US"/>
        </w:rPr>
        <w:t>, « </w:t>
      </w:r>
      <w:r w:rsidRPr="00E72418">
        <w:rPr>
          <w:rFonts w:cs="Times New Roman"/>
          <w:szCs w:val="24"/>
          <w:lang w:val="en-GB"/>
        </w:rPr>
        <w:t xml:space="preserve">National Anti-Vulture Funds Legislation: Belgium’s Turn </w:t>
      </w:r>
      <w:r w:rsidRPr="00E72418">
        <w:rPr>
          <w:lang w:val="en-US"/>
        </w:rPr>
        <w:t xml:space="preserve">», </w:t>
      </w:r>
      <w:r w:rsidRPr="00E72418">
        <w:rPr>
          <w:i/>
        </w:rPr>
        <w:t>op. cit.</w:t>
      </w:r>
      <w:r w:rsidRPr="00E72418">
        <w:rPr>
          <w:lang w:val="en-US"/>
        </w:rPr>
        <w:t>, p. 744.</w:t>
      </w:r>
    </w:p>
  </w:footnote>
  <w:footnote w:id="1751">
    <w:p w14:paraId="2845FB86" w14:textId="7D431A46" w:rsidR="0030147D" w:rsidRPr="00E72418" w:rsidRDefault="0030147D" w:rsidP="00672558">
      <w:pPr>
        <w:pStyle w:val="Sansinterligne"/>
      </w:pPr>
      <w:r w:rsidRPr="00E72418">
        <w:rPr>
          <w:rStyle w:val="Appelnotedebasdep"/>
        </w:rPr>
        <w:footnoteRef/>
      </w:r>
      <w:r w:rsidRPr="00E72418">
        <w:t xml:space="preserve"> </w:t>
      </w:r>
      <w:r w:rsidRPr="00E72418">
        <w:rPr>
          <w:smallCaps/>
        </w:rPr>
        <w:t>P. Wautelet</w:t>
      </w:r>
      <w:r w:rsidRPr="00E72418">
        <w:t xml:space="preserve">, « La chasse aux “vautours” est ouverte </w:t>
      </w:r>
      <w:r w:rsidRPr="00E72418">
        <w:rPr>
          <w:b/>
        </w:rPr>
        <w:t xml:space="preserve">– </w:t>
      </w:r>
      <w:r w:rsidRPr="00E72418">
        <w:t xml:space="preserve">Du bon usage de la loi du 12 juillet 2015 », </w:t>
      </w:r>
      <w:r w:rsidRPr="00E72418">
        <w:rPr>
          <w:i/>
        </w:rPr>
        <w:t>op. cit.</w:t>
      </w:r>
      <w:r w:rsidRPr="00E72418">
        <w:t>, p. 577.</w:t>
      </w:r>
    </w:p>
  </w:footnote>
  <w:footnote w:id="1752">
    <w:p w14:paraId="7FF3E3FF" w14:textId="77777777" w:rsidR="0030147D" w:rsidRPr="00E72418" w:rsidRDefault="0030147D" w:rsidP="002948B0">
      <w:pPr>
        <w:pStyle w:val="Sansinterligne"/>
      </w:pPr>
      <w:r w:rsidRPr="00E72418">
        <w:rPr>
          <w:rStyle w:val="Appelnotedebasdep"/>
        </w:rPr>
        <w:footnoteRef/>
      </w:r>
      <w:r w:rsidRPr="00E72418">
        <w:t xml:space="preserve"> Voyez les points A.33. à A.36.2. de l’arrêt </w:t>
      </w:r>
      <w:r w:rsidRPr="00E72418">
        <w:rPr>
          <w:szCs w:val="20"/>
        </w:rPr>
        <w:t>n° 61/2018.</w:t>
      </w:r>
    </w:p>
  </w:footnote>
  <w:footnote w:id="1753">
    <w:p w14:paraId="4A7EB495" w14:textId="77777777" w:rsidR="0030147D" w:rsidRPr="00E72418" w:rsidRDefault="0030147D" w:rsidP="002948B0">
      <w:pPr>
        <w:pStyle w:val="Sansinterligne"/>
      </w:pPr>
      <w:r w:rsidRPr="00E72418">
        <w:rPr>
          <w:rStyle w:val="Appelnotedebasdep"/>
        </w:rPr>
        <w:footnoteRef/>
      </w:r>
      <w:r w:rsidRPr="00E72418">
        <w:t xml:space="preserve"> Voyez les points B.17.1. à B.17.4. de l’arrêt </w:t>
      </w:r>
      <w:r w:rsidRPr="00E72418">
        <w:rPr>
          <w:szCs w:val="20"/>
        </w:rPr>
        <w:t>n° 61/2018.</w:t>
      </w:r>
    </w:p>
  </w:footnote>
  <w:footnote w:id="1754">
    <w:p w14:paraId="7E35DB78" w14:textId="77777777"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développements, Ch. repr., </w:t>
      </w:r>
      <w:r w:rsidRPr="00E72418">
        <w:rPr>
          <w:i/>
          <w:szCs w:val="20"/>
        </w:rPr>
        <w:t>Doc. parl.</w:t>
      </w:r>
      <w:r w:rsidRPr="00E72418">
        <w:rPr>
          <w:szCs w:val="20"/>
        </w:rPr>
        <w:t>, 2014-2015, doc. 54 1057/001, p. 11.</w:t>
      </w:r>
    </w:p>
  </w:footnote>
  <w:footnote w:id="1755">
    <w:p w14:paraId="7331883F" w14:textId="280DAAF4"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C’est d’ailleurs ce qui fut précisé durant les travaux préparatoires, « [la proposition de loi] vise un type particulier de créanciers, à savoir ceux qui recherchent un profit jugé illégitime » (</w:t>
      </w:r>
      <w:r w:rsidRPr="00E72418">
        <w:rPr>
          <w:i/>
          <w:szCs w:val="20"/>
        </w:rPr>
        <w:t>ibid.</w:t>
      </w:r>
      <w:r w:rsidRPr="00E72418">
        <w:rPr>
          <w:szCs w:val="20"/>
        </w:rPr>
        <w:t xml:space="preserve">, p. 9). Sont ainsi visés « ceux qui ont pour seul but de profiter de la misère d’un pays pour contraindre celui-ci à honorer intégralement une dette que les fonds ont acquise pour une bouchée de pain »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5). Il fut encore précisé que l’ensemble des banques et des fonds d’investissement ne sont donc pas visés, « [t]ous ceux qui agissent de bonne foi doivent pouvoir continuer à le faire » (</w:t>
      </w:r>
      <w:r w:rsidRPr="00E72418">
        <w:rPr>
          <w:i/>
          <w:szCs w:val="20"/>
        </w:rPr>
        <w:t>ibid.</w:t>
      </w:r>
      <w:r w:rsidRPr="00E72418">
        <w:rPr>
          <w:szCs w:val="20"/>
        </w:rPr>
        <w:t xml:space="preserve">, p. 16). Le législateur belge releva que les transactions commerciales ou financières « normales » ne sont pas concernées par le mécanisme mis en place (Chambre des représentants, compte rendu intégral avec compte rendu analytique traduit des interventions, séance plénière, 25 juin 2015, CRIV 54 PLEN 057, p. 53). Il fut précisé durant les travaux préparatoires de la loi que celle-ci ne s’applique pas aux établissements soumis au contrôle légal et prudentiel de la Banque centrale européenne ou de la Banque nationale de Belgique, leur intention n’étant pas de poursuivre l’avantage illégitime visé par la loi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18). Il en est de même pour les établissements placés sous la surveillance de l’Autorité des services et marchés financiers (Chambre des représentants, compte rendu intégral avec compte rendu analytique traduit des interventions, séance plénière, 25 juin 2015, CRIV 54 PLEN 057, p. 53)</w:t>
      </w:r>
      <w:r w:rsidR="00FB0D7A">
        <w:rPr>
          <w:szCs w:val="20"/>
        </w:rPr>
        <w:t>.</w:t>
      </w:r>
      <w:r w:rsidRPr="00E72418">
        <w:rPr>
          <w:szCs w:val="20"/>
        </w:rPr>
        <w:t xml:space="preserve"> Comme Olivier Creplet et Julien Courbis, remarquons toutefois qu’il s’agit là de déclarations qui ne sont pas de nature à altérer la portée d’un texte qui s’est voulu délibérément général et qui n’a entendu exclure </w:t>
      </w:r>
      <w:r w:rsidRPr="00E72418">
        <w:rPr>
          <w:i/>
          <w:szCs w:val="20"/>
        </w:rPr>
        <w:t>a priori</w:t>
      </w:r>
      <w:r w:rsidRPr="00E72418">
        <w:rPr>
          <w:szCs w:val="20"/>
        </w:rPr>
        <w:t xml:space="preserve"> aucun créancier de son champ d’application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xml:space="preserve">, p. 81). </w:t>
      </w:r>
    </w:p>
  </w:footnote>
  <w:footnote w:id="1756">
    <w:p w14:paraId="4E44CA41" w14:textId="77777777" w:rsidR="0030147D" w:rsidRPr="00E72418" w:rsidRDefault="0030147D" w:rsidP="00D13EFD">
      <w:pPr>
        <w:pStyle w:val="Sansinterligne"/>
        <w:rPr>
          <w:szCs w:val="20"/>
        </w:rPr>
      </w:pPr>
      <w:r w:rsidRPr="00E72418">
        <w:rPr>
          <w:rStyle w:val="Appelnotedebasdep"/>
          <w:szCs w:val="20"/>
        </w:rPr>
        <w:footnoteRef/>
      </w:r>
      <w:r w:rsidRPr="00E72418">
        <w:rPr>
          <w:szCs w:val="20"/>
        </w:rPr>
        <w:t xml:space="preserve"> Sur ce lien, voyez X., « Aasgierfondsen », </w:t>
      </w:r>
      <w:r w:rsidRPr="00E72418">
        <w:rPr>
          <w:i/>
          <w:szCs w:val="20"/>
        </w:rPr>
        <w:t>De Juristenkrant</w:t>
      </w:r>
      <w:r w:rsidRPr="00E72418">
        <w:rPr>
          <w:szCs w:val="20"/>
        </w:rPr>
        <w:t>, 2015, liv. 314, p. 2 : « [w]anneer is er dan sprake van een ongeoorloofd voordeel, en kunnen de rechters er dus van uitgaan dat ze een aasgierfonds voor zich hebben ? ».</w:t>
      </w:r>
    </w:p>
  </w:footnote>
  <w:footnote w:id="1757">
    <w:p w14:paraId="400FF2B6" w14:textId="77777777"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Voyez notamment la mise en garde de l’</w:t>
      </w:r>
      <w:r w:rsidRPr="00E72418">
        <w:rPr>
          <w:i/>
          <w:szCs w:val="20"/>
        </w:rPr>
        <w:t>Institute of International Finance</w:t>
      </w:r>
      <w:r w:rsidRPr="00E72418">
        <w:rPr>
          <w:szCs w:val="20"/>
        </w:rPr>
        <w:t xml:space="preserve"> pour qui « [l]a proposition de loi a ceci d’ironique qu’en décourageant les participants au marché de rechercher un rendement ajusté au risque approprié, elle approfondit et précipite une crise de la dette pour les pays les plus fragiles et les plus défavorisés »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40).</w:t>
      </w:r>
    </w:p>
  </w:footnote>
  <w:footnote w:id="1758">
    <w:p w14:paraId="3EDEF474" w14:textId="40303A2D" w:rsidR="0030147D" w:rsidRPr="00E72418" w:rsidRDefault="0030147D" w:rsidP="005D3812">
      <w:pPr>
        <w:pStyle w:val="Sansinterligne"/>
        <w:rPr>
          <w:szCs w:val="20"/>
          <w:highlight w:val="green"/>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53 (notre traduction libre pour nos lecteurs français : « la nouvelle loi cible bien les fonds vautours que nous voulons freiner. Nous ne nous intéressons pas aux transactions normales ni ne souhaitons gêner ou compliquer les marchés secondaires. Ce n’est absolument pas l’intention »).</w:t>
      </w:r>
    </w:p>
  </w:footnote>
  <w:footnote w:id="1759">
    <w:p w14:paraId="0A54D2CC" w14:textId="619BD944"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55. Nous verrons que la rémunération de la prise de risque passe par la possibilité laissée au créancier de poursuivre le paiement d’un intérêt sur le montant déboursé pour faire l’acquisition du titre (</w:t>
      </w:r>
      <w:r w:rsidRPr="00E72418">
        <w:rPr>
          <w:i/>
          <w:szCs w:val="20"/>
        </w:rPr>
        <w:t>infra</w:t>
      </w:r>
      <w:r>
        <w:rPr>
          <w:szCs w:val="20"/>
        </w:rPr>
        <w:t xml:space="preserve"> n° 418</w:t>
      </w:r>
      <w:r w:rsidRPr="00E72418">
        <w:rPr>
          <w:szCs w:val="20"/>
        </w:rPr>
        <w:t>).</w:t>
      </w:r>
    </w:p>
  </w:footnote>
  <w:footnote w:id="1760">
    <w:p w14:paraId="7327889D" w14:textId="3FB77A40"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Les États de la zone euro pourraient donc être concernés (proposition de loi relative à la lutte contre les activités des fonds vautours, développements, Ch. repr., </w:t>
      </w:r>
      <w:r w:rsidRPr="00E72418">
        <w:rPr>
          <w:i/>
          <w:szCs w:val="20"/>
        </w:rPr>
        <w:t>Doc. parl.</w:t>
      </w:r>
      <w:r w:rsidRPr="00E72418">
        <w:rPr>
          <w:szCs w:val="20"/>
        </w:rPr>
        <w:t>, 2014-2015, doc. 54 1057/001, p. 10). Il fut à l’époque relevé l’intérêt grec au vu de la détention par des fonds spéculatifs de certaines créances dues par le pays (</w:t>
      </w:r>
      <w:r w:rsidRPr="00E72418">
        <w:rPr>
          <w:i/>
          <w:szCs w:val="20"/>
        </w:rPr>
        <w:t>ibid.</w:t>
      </w:r>
      <w:r w:rsidRPr="00E72418">
        <w:rPr>
          <w:szCs w:val="20"/>
        </w:rPr>
        <w:t xml:space="preserve">, p. 5. Au sujet de la spéculation sur la dette hellénique, voyez </w:t>
      </w:r>
      <w:r w:rsidRPr="00E72418">
        <w:rPr>
          <w:i/>
          <w:szCs w:val="20"/>
        </w:rPr>
        <w:t>supra</w:t>
      </w:r>
      <w:r w:rsidRPr="00E72418">
        <w:rPr>
          <w:szCs w:val="20"/>
        </w:rPr>
        <w:t xml:space="preserve"> n° 119).</w:t>
      </w:r>
    </w:p>
  </w:footnote>
  <w:footnote w:id="1761">
    <w:p w14:paraId="4EB0EB31" w14:textId="55D92D45"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342 et suiv. le critère de l’État débiteur en état d’insolvabilité ou de cessation de paiements avérée ou imminente au moment du rachat de l’emprunt ou de la créance, celui de l’État débiteur ayant fait l’objet de mesures de restructuration de sa dette auxquelles le créancier a refusé de participer, celui de la situation de faiblesse de l’État débiteur dont le créancier a abusé pour négocier un accord de remboursement manifestement déséquilibré et celui de l’impact défavorable identifiable sur les finances publiques de l’État débiteur et de la susceptible compromission du développement socio-économique de sa population qu’aurait le remboursement intégral des sommes réclamées par le créancier.</w:t>
      </w:r>
    </w:p>
  </w:footnote>
  <w:footnote w:id="1762">
    <w:p w14:paraId="743B8FE3" w14:textId="42C0F413"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Lors des travaux préparatoires, le député Rob Van de Velde releva l’importance que les États débiteurs limitent la spéculation dès le départ en prévoyant des conditions contractuelles qui lient l’ensemble des créanciers lors d’un rééchelonnement de la dette. Il insista sur le devoir de rigueur devant exister dans le chef de l’émetteur de titres souverains et indiqua qu’un État prudent prévoira par exemple une clause d’action collective (sur les clauses d’action collective,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282 et suiv.). L’intervenant alla plus loin en indiquant qu’un État manquant de rigueur ne devrait pas bénéficier d’un traitement autre que celui d’un créancier privé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21 et 22). Cette idée ne fut toutefois pas retenue dans le texte de loi qui ne conditionne pas l’application du mécanisme mis en place à un quelconque comportement adopté par l’État.</w:t>
      </w:r>
    </w:p>
  </w:footnote>
  <w:footnote w:id="1763">
    <w:p w14:paraId="61FE0EBB" w14:textId="72D5412A" w:rsidR="0030147D" w:rsidRPr="00E72418" w:rsidRDefault="0030147D" w:rsidP="00224FD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pp. 560 et 561.</w:t>
      </w:r>
    </w:p>
  </w:footnote>
  <w:footnote w:id="1764">
    <w:p w14:paraId="6A880CC6" w14:textId="3F0E2097" w:rsidR="0030147D" w:rsidRPr="00E72418" w:rsidRDefault="0030147D" w:rsidP="00224FDF">
      <w:pPr>
        <w:pStyle w:val="Sansinterligne"/>
        <w:rPr>
          <w:szCs w:val="20"/>
        </w:rPr>
      </w:pPr>
      <w:r w:rsidRPr="00E72418">
        <w:rPr>
          <w:rStyle w:val="Appelnotedebasdep"/>
          <w:szCs w:val="20"/>
        </w:rPr>
        <w:footnoteRef/>
      </w:r>
      <w:r w:rsidRPr="00E72418">
        <w:rPr>
          <w:szCs w:val="20"/>
        </w:rPr>
        <w:t xml:space="preserv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xml:space="preserve">, p. 80 et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szCs w:val="20"/>
        </w:rPr>
        <w:t>op. cit.</w:t>
      </w:r>
      <w:r w:rsidRPr="00E72418">
        <w:rPr>
          <w:szCs w:val="20"/>
        </w:rPr>
        <w:t>, p. 170. Alexandre Belle donne les exemples d’un prêt transféré via cession de créance et d’un billet à ordre transférable émis par un État.</w:t>
      </w:r>
    </w:p>
  </w:footnote>
  <w:footnote w:id="1765">
    <w:p w14:paraId="005EF6E7" w14:textId="3B784748" w:rsidR="0030147D" w:rsidRPr="00E72418" w:rsidRDefault="0030147D" w:rsidP="00224FDF">
      <w:pPr>
        <w:pStyle w:val="Sansinterligne"/>
        <w:rPr>
          <w:szCs w:val="20"/>
        </w:rPr>
      </w:pPr>
      <w:r w:rsidRPr="00E72418">
        <w:rPr>
          <w:rStyle w:val="Appelnotedebasdep"/>
          <w:szCs w:val="20"/>
        </w:rPr>
        <w:footnoteRef/>
      </w:r>
      <w:r w:rsidRPr="00E72418">
        <w:rPr>
          <w:szCs w:val="20"/>
        </w:rPr>
        <w:t xml:space="preserve"> Sur ce critère complétif et alternatif, voyez </w:t>
      </w:r>
      <w:r w:rsidRPr="00E72418">
        <w:rPr>
          <w:i/>
          <w:szCs w:val="20"/>
        </w:rPr>
        <w:t>supra</w:t>
      </w:r>
      <w:r w:rsidRPr="00E72418">
        <w:rPr>
          <w:szCs w:val="20"/>
        </w:rPr>
        <w:t xml:space="preserve"> n° 342.</w:t>
      </w:r>
    </w:p>
  </w:footnote>
  <w:footnote w:id="1766">
    <w:p w14:paraId="5632AFC4" w14:textId="77777777"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24. Voyez également l’argument du Conseil des ministres dans le contentieux tissé devant la Cour constitutionnelle (point A.43.2. de l’arrêt n° 61/2018 du 31 mai 2018).</w:t>
      </w:r>
    </w:p>
  </w:footnote>
  <w:footnote w:id="1767">
    <w:p w14:paraId="718DE6B7" w14:textId="77777777" w:rsidR="0030147D" w:rsidRPr="00E72418" w:rsidRDefault="0030147D" w:rsidP="005A51FC">
      <w:pPr>
        <w:pStyle w:val="Sansinterligne"/>
        <w:rPr>
          <w:szCs w:val="20"/>
        </w:rPr>
      </w:pPr>
      <w:r w:rsidRPr="00E72418">
        <w:rPr>
          <w:rStyle w:val="Appelnotedebasdep"/>
          <w:szCs w:val="20"/>
        </w:rPr>
        <w:footnoteRef/>
      </w:r>
      <w:r w:rsidRPr="00E72418">
        <w:rPr>
          <w:szCs w:val="20"/>
        </w:rPr>
        <w:t xml:space="preserve"> Voyez les points A.41. à A.44.2. de l’arrêt.</w:t>
      </w:r>
    </w:p>
  </w:footnote>
  <w:footnote w:id="1768">
    <w:p w14:paraId="74D66377" w14:textId="42325693" w:rsidR="0030147D" w:rsidRPr="00E72418" w:rsidRDefault="0030147D" w:rsidP="00125AFE">
      <w:pPr>
        <w:pStyle w:val="Sansinterligne"/>
      </w:pPr>
      <w:r w:rsidRPr="00E72418">
        <w:rPr>
          <w:rStyle w:val="Appelnotedebasdep"/>
        </w:rPr>
        <w:footnoteRef/>
      </w:r>
      <w:r w:rsidRPr="00E72418">
        <w:rPr>
          <w:vertAlign w:val="superscript"/>
        </w:rPr>
        <w:t xml:space="preserve"> </w:t>
      </w:r>
      <w:r w:rsidRPr="00E72418">
        <w:t xml:space="preserve">Cette application temporelle fit l’objet, lors des travaux préparatoires de la loi, de critiques au motif de l’importance que la loi produise ses effets uniquement sur les rachats ayant lieu après son entrée en vigueur afin de garantir notamment la sécurité juridique aux investisseurs étrangers (proposition de loi relative à la lutte contre les activités des fonds vautour, rapport fait au nom de la commission des finances et du budget, Ch. Repr., </w:t>
      </w:r>
      <w:r w:rsidRPr="00E72418">
        <w:rPr>
          <w:i/>
        </w:rPr>
        <w:t>Doc. parl.</w:t>
      </w:r>
      <w:r w:rsidRPr="00E72418">
        <w:t>, 2014-2015, doc. 54 1057/003, pp. 23 et 24).</w:t>
      </w:r>
    </w:p>
  </w:footnote>
  <w:footnote w:id="1769">
    <w:p w14:paraId="6BD8F403" w14:textId="095C9B30" w:rsidR="0030147D" w:rsidRPr="00E72418" w:rsidRDefault="0030147D" w:rsidP="005A51FC">
      <w:pPr>
        <w:pStyle w:val="Sansinterligne"/>
        <w:rPr>
          <w:szCs w:val="20"/>
        </w:rPr>
      </w:pPr>
      <w:r w:rsidRPr="00E72418">
        <w:rPr>
          <w:rStyle w:val="Appelnotedebasdep"/>
          <w:szCs w:val="20"/>
        </w:rPr>
        <w:footnoteRef/>
      </w:r>
      <w:r w:rsidRPr="00E72418">
        <w:rPr>
          <w:szCs w:val="20"/>
        </w:rPr>
        <w:t xml:space="preserve"> Voyez les points B.22.1. à B.22.5. de l’arrêt. La Cour précisa encore qu’il était erroné de retenir, comme le faisait la société </w:t>
      </w:r>
      <w:r w:rsidRPr="00E72418">
        <w:rPr>
          <w:i/>
          <w:szCs w:val="20"/>
        </w:rPr>
        <w:t>NML Capital Ltd.</w:t>
      </w:r>
      <w:r w:rsidRPr="00E72418">
        <w:rPr>
          <w:szCs w:val="20"/>
        </w:rPr>
        <w:t xml:space="preserve">, que la loi empêcherait la poursuite de procédures judiciaires introduites avant son entrée en vigueur par des personnes ayant racheté une créance sur un </w:t>
      </w:r>
      <w:r w:rsidRPr="00E72418">
        <w:rPr>
          <w:rFonts w:cs="Times New Roman"/>
          <w:szCs w:val="20"/>
          <w:shd w:val="clear" w:color="auto" w:fill="FFFFFF"/>
        </w:rPr>
        <w:t>É</w:t>
      </w:r>
      <w:r w:rsidRPr="00E72418">
        <w:rPr>
          <w:szCs w:val="20"/>
        </w:rPr>
        <w:t>tat en vue d’en obtenir le paiement (voyez les points B.23.1. à B.23.3. de l’arrêt).</w:t>
      </w:r>
    </w:p>
  </w:footnote>
  <w:footnote w:id="1770">
    <w:p w14:paraId="7D1608E7" w14:textId="1E74589F" w:rsidR="0030147D" w:rsidRPr="00E72418" w:rsidRDefault="0030147D" w:rsidP="005D3812">
      <w:pPr>
        <w:pStyle w:val="Sansinterligne"/>
        <w:rPr>
          <w:szCs w:val="20"/>
        </w:rPr>
      </w:pPr>
      <w:r w:rsidRPr="00E72418">
        <w:rPr>
          <w:rStyle w:val="Appelnotedebasdep"/>
          <w:szCs w:val="20"/>
        </w:rPr>
        <w:footnoteRef/>
      </w:r>
      <w:r w:rsidRPr="00E72418">
        <w:rPr>
          <w:szCs w:val="20"/>
        </w:rPr>
        <w:t xml:space="preserve"> Chambre des représentants, compte rendu intégral avec compte rendu analytique traduit des interventions, séance plénière, 25 juin 2015, CRIV 54 PLEN 057, p. 52. Notons que la proposition de loi originaire était formulée différemment. Elle indiquait que « </w:t>
      </w:r>
      <w:r w:rsidRPr="00E72418">
        <w:rPr>
          <w:rFonts w:cs="Times New Roman"/>
          <w:szCs w:val="20"/>
        </w:rPr>
        <w:t>[q]</w:t>
      </w:r>
      <w:r w:rsidRPr="00E72418">
        <w:rPr>
          <w:szCs w:val="20"/>
        </w:rPr>
        <w:t>uel que soit le droit applicable à la relation juridique avec l’État, débiteur de l’obligation de paiement, l’ordre public belge s’oppose à un ordre de paiement sur le fond, à l’</w:t>
      </w:r>
      <w:r w:rsidRPr="00E72418">
        <w:rPr>
          <w:i/>
          <w:szCs w:val="20"/>
        </w:rPr>
        <w:t>exequatur</w:t>
      </w:r>
      <w:r w:rsidRPr="00E72418">
        <w:rPr>
          <w:szCs w:val="20"/>
        </w:rPr>
        <w:t xml:space="preserve"> d’une décision judiciaire ou d’une sentence arbitrale étrangère, pour autant qu’un tel paiement donne lieu à un avantage illégitime pour la partie qui rachète l’emprunt ou la créance à un tiers » (proposition de loi relative à la lutte contre les activités des fonds vautours, Ch. repr., </w:t>
      </w:r>
      <w:r w:rsidRPr="00E72418">
        <w:rPr>
          <w:i/>
          <w:szCs w:val="20"/>
        </w:rPr>
        <w:t>Doc. parl.</w:t>
      </w:r>
      <w:r w:rsidRPr="00E72418">
        <w:rPr>
          <w:szCs w:val="20"/>
        </w:rPr>
        <w:t xml:space="preserve">, 2014-2015, doc. 54 1057/001, p. 14). Les parlementaires à l’origine de l’amendement qui conduisit à la modification de l’article 2 constatèrent que cette formulation pouvait conduire à ce qu’un dépositaire central établi en Belgique soit confronté à une situation dans laquelle il ne pourrait jamais exécuter le jugement d’un juge étranger si ce jugement est jugé contraire à l’ordre public belge, même si ce jugement n’est pas exécuté en Belgique mais à l’étranger (proposition de loi relative à la lutte contre les activités des fonds vautours, amendement, Ch. repr., </w:t>
      </w:r>
      <w:r w:rsidRPr="00E72418">
        <w:rPr>
          <w:i/>
          <w:szCs w:val="20"/>
        </w:rPr>
        <w:t>Doc. parl.</w:t>
      </w:r>
      <w:r w:rsidRPr="00E72418">
        <w:rPr>
          <w:szCs w:val="20"/>
        </w:rPr>
        <w:t xml:space="preserve">, 2014-2015, doc. 54 1057/002, p. 2. Voyez également l’appréciation de la proposition de loi initiale par le ministre belge des Finances, chargé de la Lutte contre la fraude fiscale (proposition de loi relative à la lutte contre les activités des fonds vautours, rapport fait au nom de la Commission des finances et du budget, Ch. repr., </w:t>
      </w:r>
      <w:r w:rsidRPr="00E72418">
        <w:rPr>
          <w:i/>
          <w:szCs w:val="20"/>
        </w:rPr>
        <w:t>Doc. parl.</w:t>
      </w:r>
      <w:r w:rsidRPr="00E72418">
        <w:rPr>
          <w:szCs w:val="20"/>
        </w:rPr>
        <w:t xml:space="preserve">, 2014-2015, doc. 54 1057/003, pp. 12 et 13). Voyez finalement l’avis de la Banque nationale de Belgique sur la proposition de loi initiale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32)). Soucieux d’éviter cette situation qui, à terme, aurait pu conduire à ce qu’un pays étranger prenne des mesures empêchant le dépositaire central d’y déployer ses activités, la disposition fut amendée pour désormais prévoir l’impossible obtention en Belgique d’un titre exécutoire et l’impossible prise en Belgique de mesures en vue d’un paiement à percevoir en Belgique. Bien qu’ils soulignent l’amélioration du texte de loi du fait de l’amendement déposé et adopté, Olivier Creplet et Julien Courbis relèvent toutefois que la précision introduite selon laquelle la mesure d’exécution doit être entreprise « en vue d’un paiement à percevoir en Belgique » est maladroite dès lors que le lieu du paiement est un concept juridique qui ne saurait se confondre, nécessairement, avec le lieu où les mesures d’exécution sont prises. Ces mêmes auteurs notent que cette précision est en outre inutile dès lors que l’ordre public belge ne saurait valablement s’opposer qu’à une exécution en Belgique (</w:t>
      </w:r>
      <w:r w:rsidRPr="00E72418">
        <w:rPr>
          <w:smallCaps/>
          <w:szCs w:val="20"/>
        </w:rPr>
        <w:t>O. Creplet</w:t>
      </w:r>
      <w:r w:rsidRPr="00E72418">
        <w:rPr>
          <w:szCs w:val="20"/>
        </w:rPr>
        <w:t xml:space="preserve"> et </w:t>
      </w:r>
      <w:r w:rsidRPr="00E72418">
        <w:rPr>
          <w:smallCaps/>
          <w:szCs w:val="20"/>
        </w:rPr>
        <w:t>J. Courbis</w:t>
      </w:r>
      <w:r w:rsidRPr="00E72418">
        <w:rPr>
          <w:szCs w:val="20"/>
        </w:rPr>
        <w:t xml:space="preserve">, « La loi belge du 12 juillet 2015 relative à la lutte contre les activités des fonds vautours », </w:t>
      </w:r>
      <w:r w:rsidRPr="00E72418">
        <w:rPr>
          <w:i/>
          <w:szCs w:val="20"/>
        </w:rPr>
        <w:t>op. cit.</w:t>
      </w:r>
      <w:r w:rsidRPr="00E72418">
        <w:rPr>
          <w:szCs w:val="20"/>
        </w:rPr>
        <w:t>, p. 79).</w:t>
      </w:r>
    </w:p>
  </w:footnote>
  <w:footnote w:id="1771">
    <w:p w14:paraId="516082D3" w14:textId="2A4821E5" w:rsidR="0030147D" w:rsidRPr="00E72418" w:rsidRDefault="0030147D" w:rsidP="00B70F2D">
      <w:pPr>
        <w:pStyle w:val="Sansinterligne"/>
        <w:rPr>
          <w:szCs w:val="20"/>
        </w:rPr>
      </w:pPr>
      <w:r w:rsidRPr="00E72418">
        <w:rPr>
          <w:rStyle w:val="Appelnotedebasdep"/>
          <w:szCs w:val="20"/>
        </w:rPr>
        <w:footnoteRef/>
      </w:r>
      <w:r w:rsidRPr="00E72418">
        <w:rPr>
          <w:szCs w:val="20"/>
        </w:rPr>
        <w:t xml:space="preserve">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szCs w:val="20"/>
        </w:rPr>
        <w:t>op. cit.</w:t>
      </w:r>
      <w:r w:rsidRPr="00E72418">
        <w:rPr>
          <w:szCs w:val="20"/>
        </w:rPr>
        <w:t>, p. 180. Voyez également ce que dit la Conférence des Nations Unies sur le commerce et le développement de la loi belge notant que « </w:t>
      </w:r>
      <w:r w:rsidRPr="00E72418">
        <w:rPr>
          <w:rFonts w:cs="Times New Roman"/>
          <w:szCs w:val="20"/>
        </w:rPr>
        <w:t>[c’]</w:t>
      </w:r>
      <w:r w:rsidRPr="00E72418">
        <w:rPr>
          <w:szCs w:val="20"/>
        </w:rPr>
        <w:t xml:space="preserve">est d’autant plus important que la Belgique accueille sur son sol Euroclear, l’une des plus grandes chambres de compensation au monde, par laquelle transitent la plupart des transactions financières internationales » (Conférence des Nations Unies sur le commerce et le développement, </w:t>
      </w:r>
      <w:r w:rsidRPr="00E72418">
        <w:rPr>
          <w:i/>
          <w:szCs w:val="20"/>
        </w:rPr>
        <w:t>Rapport sur le commerce et le développement, 2015 : Mettre l’architecture financière internationale au service du développement</w:t>
      </w:r>
      <w:r w:rsidRPr="00E72418">
        <w:rPr>
          <w:szCs w:val="20"/>
        </w:rPr>
        <w:t xml:space="preserve">, 2015, p. 167. Voyez déjà la protection que peut tirer </w:t>
      </w:r>
      <w:r w:rsidRPr="00E72418">
        <w:rPr>
          <w:i/>
          <w:szCs w:val="20"/>
        </w:rPr>
        <w:t>Euroclear</w:t>
      </w:r>
      <w:r w:rsidRPr="00E72418">
        <w:rPr>
          <w:szCs w:val="20"/>
        </w:rPr>
        <w:t xml:space="preserve"> de la loi belge du 19 novembre 2004 dont question </w:t>
      </w:r>
      <w:r w:rsidRPr="00E72418">
        <w:rPr>
          <w:i/>
          <w:szCs w:val="20"/>
        </w:rPr>
        <w:t>supra</w:t>
      </w:r>
      <w:r w:rsidRPr="00E72418">
        <w:rPr>
          <w:szCs w:val="20"/>
        </w:rPr>
        <w:t xml:space="preserve"> n</w:t>
      </w:r>
      <w:r w:rsidRPr="00E72418">
        <w:rPr>
          <w:szCs w:val="20"/>
          <w:vertAlign w:val="superscript"/>
        </w:rPr>
        <w:t xml:space="preserve">os </w:t>
      </w:r>
      <w:r w:rsidRPr="00E72418">
        <w:rPr>
          <w:szCs w:val="20"/>
        </w:rPr>
        <w:t>326 et 327).</w:t>
      </w:r>
    </w:p>
  </w:footnote>
  <w:footnote w:id="1772">
    <w:p w14:paraId="7E87AAB2" w14:textId="0CB28107" w:rsidR="0030147D" w:rsidRPr="00E72418" w:rsidRDefault="0030147D" w:rsidP="00B70F2D">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 138. </w:t>
      </w:r>
      <w:r w:rsidR="00FB0D7A">
        <w:rPr>
          <w:szCs w:val="20"/>
        </w:rPr>
        <w:t>Un bon</w:t>
      </w:r>
      <w:r w:rsidRPr="00E72418">
        <w:rPr>
          <w:szCs w:val="20"/>
        </w:rPr>
        <w:t xml:space="preserve"> exemple concernant la loi belge est sans doute celui de la saisie diligentée par la société </w:t>
      </w:r>
      <w:r w:rsidRPr="00E72418">
        <w:rPr>
          <w:i/>
          <w:szCs w:val="20"/>
        </w:rPr>
        <w:t>NML Capital Ltd</w:t>
      </w:r>
      <w:r w:rsidRPr="00E72418">
        <w:rPr>
          <w:szCs w:val="20"/>
        </w:rPr>
        <w:t xml:space="preserve">. à l’encontre de plusieurs comptes de l’ambassade d’Argentine à Bruxelles le lendemain de la présentation de la proposition de loi à la presse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4</w:t>
      </w:r>
      <w:r w:rsidRPr="00E72418">
        <w:rPr>
          <w:szCs w:val="20"/>
          <w:vertAlign w:val="superscript"/>
        </w:rPr>
        <w:t xml:space="preserve"> </w:t>
      </w:r>
      <w:r w:rsidRPr="00E72418">
        <w:rPr>
          <w:szCs w:val="20"/>
        </w:rPr>
        <w:t>et 5).</w:t>
      </w:r>
    </w:p>
  </w:footnote>
  <w:footnote w:id="1773">
    <w:p w14:paraId="35AC6AE5" w14:textId="5438B8C3" w:rsidR="0030147D" w:rsidRPr="00E72418" w:rsidRDefault="0030147D" w:rsidP="00741720">
      <w:pPr>
        <w:pStyle w:val="Sansinterligne"/>
        <w:rPr>
          <w:szCs w:val="20"/>
        </w:rPr>
      </w:pPr>
      <w:r w:rsidRPr="00E72418">
        <w:rPr>
          <w:rStyle w:val="Appelnotedebasdep"/>
          <w:szCs w:val="20"/>
        </w:rPr>
        <w:footnoteRef/>
      </w:r>
      <w:r w:rsidRPr="00E72418">
        <w:rPr>
          <w:szCs w:val="20"/>
        </w:rPr>
        <w:t xml:space="preserve"> Cette précision est importante au constat des clauses de loi applicable très fréquemment contenues dans les contrats de dettes souveraines (voyez </w:t>
      </w:r>
      <w:r w:rsidRPr="00E72418">
        <w:rPr>
          <w:i/>
          <w:szCs w:val="20"/>
        </w:rPr>
        <w:t>supra</w:t>
      </w:r>
      <w:r w:rsidRPr="00E72418">
        <w:rPr>
          <w:szCs w:val="20"/>
        </w:rPr>
        <w:t xml:space="preserve"> n° 78).</w:t>
      </w:r>
    </w:p>
  </w:footnote>
  <w:footnote w:id="1774">
    <w:p w14:paraId="328DB353" w14:textId="56367691" w:rsidR="0030147D" w:rsidRPr="00E72418" w:rsidRDefault="0030147D" w:rsidP="00741720">
      <w:pPr>
        <w:pStyle w:val="Sansinterligne"/>
        <w:rPr>
          <w:szCs w:val="20"/>
          <w:lang w:val="en-US"/>
        </w:rPr>
      </w:pPr>
      <w:r w:rsidRPr="00E72418">
        <w:rPr>
          <w:rStyle w:val="Appelnotedebasdep"/>
          <w:szCs w:val="20"/>
        </w:rPr>
        <w:footnoteRef/>
      </w:r>
      <w:r w:rsidRPr="00E72418">
        <w:rPr>
          <w:szCs w:val="20"/>
          <w:lang w:val="en-US"/>
        </w:rPr>
        <w:t xml:space="preserve"> Geert </w:t>
      </w:r>
      <w:r w:rsidRPr="00E72418">
        <w:rPr>
          <w:szCs w:val="20"/>
        </w:rPr>
        <w:t>van Calster indique qu’ « </w:t>
      </w:r>
      <w:r w:rsidRPr="00E72418">
        <w:rPr>
          <w:rFonts w:cs="Times New Roman"/>
          <w:szCs w:val="20"/>
        </w:rPr>
        <w:t>[a]</w:t>
      </w:r>
      <w:r w:rsidRPr="00E72418">
        <w:rPr>
          <w:szCs w:val="20"/>
        </w:rPr>
        <w:t xml:space="preserve">rticle 2(1) of the Act arguably is a provision of Belgian substantive (or </w:t>
      </w:r>
      <w:r w:rsidRPr="00E72418">
        <w:rPr>
          <w:rFonts w:cs="Times New Roman"/>
          <w:iCs/>
          <w:szCs w:val="20"/>
        </w:rPr>
        <w:t>“material”</w:t>
      </w:r>
      <w:r w:rsidRPr="00E72418">
        <w:rPr>
          <w:szCs w:val="20"/>
        </w:rPr>
        <w:t xml:space="preserve">) law. This article also most probably qualifies as </w:t>
      </w:r>
      <w:r w:rsidRPr="00E72418">
        <w:rPr>
          <w:rFonts w:cs="Times New Roman"/>
          <w:iCs/>
          <w:szCs w:val="20"/>
        </w:rPr>
        <w:t>“</w:t>
      </w:r>
      <w:r w:rsidRPr="00E72418">
        <w:rPr>
          <w:szCs w:val="20"/>
        </w:rPr>
        <w:t>mandatory law</w:t>
      </w:r>
      <w:r w:rsidRPr="00E72418">
        <w:rPr>
          <w:rFonts w:cs="Times New Roman"/>
          <w:iCs/>
          <w:szCs w:val="20"/>
        </w:rPr>
        <w:t>”</w:t>
      </w:r>
      <w:r w:rsidRPr="00E72418">
        <w:rPr>
          <w:szCs w:val="20"/>
        </w:rPr>
        <w:t xml:space="preserve">, </w:t>
      </w:r>
      <w:r w:rsidRPr="00E72418">
        <w:rPr>
          <w:i/>
          <w:szCs w:val="20"/>
        </w:rPr>
        <w:t>i.e.</w:t>
      </w:r>
      <w:r w:rsidRPr="00E72418">
        <w:rPr>
          <w:szCs w:val="20"/>
        </w:rPr>
        <w:t xml:space="preserve"> provisions of Belgian law which apply regardless of the parties’ intentions to deviate from it, but only if Belgian law is the governing law of the contract (not a likely scenario) ». Il ajoute qu’ « </w:t>
      </w:r>
      <w:r w:rsidRPr="00E72418">
        <w:rPr>
          <w:rFonts w:cs="Times New Roman"/>
          <w:szCs w:val="20"/>
        </w:rPr>
        <w:t>[a]</w:t>
      </w:r>
      <w:r w:rsidRPr="00E72418">
        <w:rPr>
          <w:szCs w:val="20"/>
        </w:rPr>
        <w:t xml:space="preserve"> suggestion can also be made that article 2 is part of Belgium’s overriding mandatory law, meaning that at least under European private international law, a Belgian court hearing any application requiring consideration of the underlying contractual relationship, will apply these provisions of Belgian law regardless of the law chosen. The first indent of article 2 suggests that a Belgian court will in such case reduce the amount of possible compensation to the price actually paid for the bonds or receivables » </w:t>
      </w:r>
      <w:r w:rsidRPr="00E72418">
        <w:rPr>
          <w:szCs w:val="20"/>
          <w:lang w:val="en-US"/>
        </w:rPr>
        <w:t>(</w:t>
      </w:r>
      <w:r w:rsidRPr="00E72418">
        <w:rPr>
          <w:smallCaps/>
          <w:szCs w:val="20"/>
          <w:lang w:val="en-US"/>
        </w:rPr>
        <w:t>G. van Calster</w:t>
      </w:r>
      <w:r w:rsidRPr="00E72418">
        <w:rPr>
          <w:szCs w:val="20"/>
          <w:lang w:val="en-US"/>
        </w:rPr>
        <w:t xml:space="preserve">, « Do Not Kick Them While They Are Down </w:t>
      </w:r>
      <w:r w:rsidRPr="00E72418">
        <w:rPr>
          <w:b/>
          <w:szCs w:val="20"/>
        </w:rPr>
        <w:t xml:space="preserve">– </w:t>
      </w:r>
      <w:r w:rsidRPr="00E72418">
        <w:rPr>
          <w:szCs w:val="20"/>
          <w:lang w:val="en-US"/>
        </w:rPr>
        <w:t xml:space="preserve">Vulture Funds in Private International Law », </w:t>
      </w:r>
      <w:r w:rsidRPr="00E72418">
        <w:rPr>
          <w:i/>
          <w:szCs w:val="20"/>
          <w:lang w:val="en-US"/>
        </w:rPr>
        <w:t>op. cit.</w:t>
      </w:r>
      <w:r w:rsidRPr="00E72418">
        <w:rPr>
          <w:szCs w:val="20"/>
          <w:lang w:val="en-US"/>
        </w:rPr>
        <w:t>, p. 62).</w:t>
      </w:r>
    </w:p>
  </w:footnote>
  <w:footnote w:id="1775">
    <w:p w14:paraId="012552B8" w14:textId="76D18A5A" w:rsidR="0030147D" w:rsidRPr="00E72418" w:rsidRDefault="0030147D" w:rsidP="00797C28">
      <w:pPr>
        <w:pStyle w:val="Sansinterligne"/>
        <w:rPr>
          <w:szCs w:val="20"/>
        </w:rPr>
      </w:pPr>
      <w:r w:rsidRPr="00E72418">
        <w:rPr>
          <w:rStyle w:val="Appelnotedebasdep"/>
          <w:szCs w:val="20"/>
        </w:rPr>
        <w:footnoteRef/>
      </w:r>
      <w:r w:rsidRPr="00E72418">
        <w:rPr>
          <w:szCs w:val="20"/>
        </w:rPr>
        <w:t xml:space="preserve"> Cass. (B), 27 mai 1971, </w:t>
      </w:r>
      <w:r w:rsidRPr="00E72418">
        <w:rPr>
          <w:i/>
          <w:szCs w:val="20"/>
        </w:rPr>
        <w:t>Pas.</w:t>
      </w:r>
      <w:r w:rsidRPr="00E72418">
        <w:rPr>
          <w:szCs w:val="20"/>
        </w:rPr>
        <w:t xml:space="preserve">, 1971, I, p. 886. L’arrêt dispose notamment que « lorsque le conflit existe entre une norme de droit interne et une norme de droit international qui a des effets directs dans l’ordre juridique interne, la règle établie par le traité doit prévaloir ; </w:t>
      </w:r>
      <w:r w:rsidRPr="00E72418">
        <w:rPr>
          <w:rFonts w:cs="Times New Roman"/>
          <w:szCs w:val="20"/>
        </w:rPr>
        <w:t xml:space="preserve">[…] </w:t>
      </w:r>
      <w:r w:rsidRPr="00E72418">
        <w:rPr>
          <w:szCs w:val="20"/>
        </w:rPr>
        <w:t>la prééminence de celle-ci résulte de la nature même du droit international conventionnel » (</w:t>
      </w:r>
      <w:r w:rsidRPr="00E72418">
        <w:rPr>
          <w:i/>
          <w:szCs w:val="20"/>
        </w:rPr>
        <w:t>ibid</w:t>
      </w:r>
      <w:r w:rsidRPr="00E72418">
        <w:rPr>
          <w:szCs w:val="20"/>
        </w:rPr>
        <w:t>., p. 919).</w:t>
      </w:r>
    </w:p>
  </w:footnote>
  <w:footnote w:id="1776">
    <w:p w14:paraId="0FE30EF9" w14:textId="75E8BABC" w:rsidR="0030147D" w:rsidRPr="00E72418" w:rsidRDefault="0030147D" w:rsidP="00D11ACD">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 », </w:t>
      </w:r>
      <w:r w:rsidRPr="00E72418">
        <w:rPr>
          <w:i/>
          <w:szCs w:val="20"/>
        </w:rPr>
        <w:t>op. cit.</w:t>
      </w:r>
      <w:r w:rsidRPr="00E72418">
        <w:rPr>
          <w:szCs w:val="20"/>
          <w:lang w:val="en-US"/>
        </w:rPr>
        <w:t xml:space="preserve">, p. 94. </w:t>
      </w:r>
      <w:r w:rsidRPr="00E72418">
        <w:rPr>
          <w:szCs w:val="20"/>
        </w:rPr>
        <w:t xml:space="preserve">L’on peut ainsi donner ici l’exemple de l’article 54(1) de la Convention pour le règlement des différends relatifs aux investissements entre </w:t>
      </w:r>
      <w:r w:rsidRPr="00E72418">
        <w:rPr>
          <w:szCs w:val="20"/>
          <w:lang w:eastAsia="fr-BE"/>
        </w:rPr>
        <w:t>É</w:t>
      </w:r>
      <w:r w:rsidRPr="00E72418">
        <w:rPr>
          <w:szCs w:val="20"/>
        </w:rPr>
        <w:t xml:space="preserve">tats et ressortissants d’autres </w:t>
      </w:r>
      <w:r w:rsidRPr="00E72418">
        <w:rPr>
          <w:szCs w:val="20"/>
          <w:lang w:eastAsia="fr-BE"/>
        </w:rPr>
        <w:t>É</w:t>
      </w:r>
      <w:r w:rsidRPr="00E72418">
        <w:rPr>
          <w:szCs w:val="20"/>
        </w:rPr>
        <w:t xml:space="preserve">tats repris expressément dans le </w:t>
      </w:r>
      <w:r w:rsidRPr="00E72418">
        <w:rPr>
          <w:i/>
          <w:szCs w:val="20"/>
        </w:rPr>
        <w:t>Debt Relief (Developing Countries) Act</w:t>
      </w:r>
      <w:r w:rsidRPr="00E72418">
        <w:rPr>
          <w:szCs w:val="20"/>
        </w:rPr>
        <w:t xml:space="preserve"> britannique (voyez </w:t>
      </w:r>
      <w:r w:rsidRPr="00E72418">
        <w:rPr>
          <w:i/>
          <w:szCs w:val="20"/>
        </w:rPr>
        <w:t>supra</w:t>
      </w:r>
      <w:r w:rsidRPr="00E72418">
        <w:rPr>
          <w:szCs w:val="20"/>
        </w:rPr>
        <w:t xml:space="preserve"> n° 323).</w:t>
      </w:r>
    </w:p>
  </w:footnote>
  <w:footnote w:id="1777">
    <w:p w14:paraId="580B8870" w14:textId="5A04D8E2" w:rsidR="0030147D" w:rsidRPr="00E72418" w:rsidRDefault="0030147D" w:rsidP="001725C9">
      <w:pPr>
        <w:pStyle w:val="Sansinterligne"/>
      </w:pPr>
      <w:r w:rsidRPr="00E72418">
        <w:rPr>
          <w:rStyle w:val="Appelnotedebasdep"/>
        </w:rPr>
        <w:footnoteRef/>
      </w:r>
      <w:r w:rsidRPr="00E72418">
        <w:t xml:space="preserve"> Voyez et comparez avec la loi belge du 6 avril 2008 dont question </w:t>
      </w:r>
      <w:r w:rsidRPr="00E72418">
        <w:rPr>
          <w:i/>
        </w:rPr>
        <w:t>supra</w:t>
      </w:r>
      <w:r w:rsidRPr="00E72418">
        <w:t xml:space="preserve"> n</w:t>
      </w:r>
      <w:r w:rsidRPr="00E72418">
        <w:rPr>
          <w:vertAlign w:val="superscript"/>
        </w:rPr>
        <w:t>os</w:t>
      </w:r>
      <w:r w:rsidRPr="00E72418">
        <w:t xml:space="preserve"> 328 à 330 qui, elle, vise spécifiquement ces créanciers particuliers.</w:t>
      </w:r>
    </w:p>
  </w:footnote>
  <w:footnote w:id="1778">
    <w:p w14:paraId="14C22DCB" w14:textId="77777777" w:rsidR="0030147D" w:rsidRPr="00E72418" w:rsidRDefault="0030147D" w:rsidP="005F6F52">
      <w:pPr>
        <w:pStyle w:val="Sansinterligne"/>
        <w:rPr>
          <w:szCs w:val="20"/>
        </w:rPr>
      </w:pPr>
      <w:r w:rsidRPr="00E72418">
        <w:rPr>
          <w:rStyle w:val="Appelnotedebasdep"/>
          <w:szCs w:val="20"/>
        </w:rPr>
        <w:footnoteRef/>
      </w:r>
      <w:r w:rsidRPr="00E72418">
        <w:rPr>
          <w:szCs w:val="20"/>
        </w:rPr>
        <w:t xml:space="preserve"> Proposition de loi visant à lutter contre l’action des fonds financiers dits « fonds vautours », Assemblée nationale, 2 août 2007, n° 131. Notons qu’en 2006 une proposition semblable avait déjà été déposée (proposition de loi visant à lutter contre l’action des fonds financiers dits « fonds vautours », Assemblée nationale, 28 juin 2006, n° 3214). </w:t>
      </w:r>
      <w:r w:rsidRPr="00E72418">
        <w:rPr>
          <w:rStyle w:val="Titre5Car"/>
          <w:rFonts w:ascii="Times" w:eastAsiaTheme="minorHAnsi" w:hAnsi="Times" w:cstheme="minorBidi"/>
          <w:color w:val="auto"/>
          <w:szCs w:val="20"/>
        </w:rPr>
        <w:t>Au vu de la similarité des propositions, la plus récente sera uniquement visée lors de notre analyse.</w:t>
      </w:r>
    </w:p>
  </w:footnote>
  <w:footnote w:id="1779">
    <w:p w14:paraId="124566D5" w14:textId="2FF72DC4" w:rsidR="0030147D" w:rsidRPr="00E72418" w:rsidRDefault="0030147D" w:rsidP="0061620F">
      <w:pPr>
        <w:pStyle w:val="Sansinterligne"/>
      </w:pPr>
      <w:r w:rsidRPr="00E72418">
        <w:rPr>
          <w:rStyle w:val="Appelnotedebasdep"/>
        </w:rPr>
        <w:footnoteRef/>
      </w:r>
      <w:r w:rsidRPr="00E72418">
        <w:t xml:space="preserve"> Face au constat qu’ « en France, aucun des moyens procéduraux à sa disposition ne permettra à l’</w:t>
      </w:r>
      <w:r w:rsidRPr="00E72418">
        <w:rPr>
          <w:rFonts w:ascii="Times New Roman" w:hAnsi="Times New Roman" w:cs="Times New Roman"/>
          <w:lang w:eastAsia="fr-BE"/>
        </w:rPr>
        <w:t>É</w:t>
      </w:r>
      <w:r w:rsidRPr="00E72418">
        <w:t xml:space="preserve">tat de ne pas payer, </w:t>
      </w:r>
      <w:r w:rsidRPr="00E72418">
        <w:rPr>
          <w:i/>
        </w:rPr>
        <w:t>in fine</w:t>
      </w:r>
      <w:r w:rsidRPr="00E72418">
        <w:t xml:space="preserve">, sa dette au créancier tenace », Renaud Thominette remarquait que « si la volonté politique est de protéger les </w:t>
      </w:r>
      <w:r w:rsidRPr="00E72418">
        <w:rPr>
          <w:rFonts w:ascii="Times New Roman" w:hAnsi="Times New Roman" w:cs="Times New Roman"/>
          <w:lang w:eastAsia="fr-BE"/>
        </w:rPr>
        <w:t>É</w:t>
      </w:r>
      <w:r w:rsidRPr="00E72418">
        <w:t xml:space="preserve">tats contre les fonds, il semble indispensable de légiférer » (R. </w:t>
      </w:r>
      <w:r w:rsidRPr="00E72418">
        <w:rPr>
          <w:smallCaps/>
        </w:rPr>
        <w:t>Thominette</w:t>
      </w:r>
      <w:r w:rsidRPr="00E72418">
        <w:t xml:space="preserve">, « Faut-il vraiment couper les ailes des fonds vautours ? », </w:t>
      </w:r>
      <w:r w:rsidRPr="00E72418">
        <w:rPr>
          <w:i/>
        </w:rPr>
        <w:t>L.J.A.</w:t>
      </w:r>
      <w:r w:rsidRPr="00E72418">
        <w:t xml:space="preserve">, 3 septembre 2007, p. 1). Sur l’état actuel du droit des immunités en France, voyez </w:t>
      </w:r>
      <w:r w:rsidRPr="00E72418">
        <w:rPr>
          <w:i/>
        </w:rPr>
        <w:t>supra</w:t>
      </w:r>
      <w:r w:rsidRPr="00E72418">
        <w:t xml:space="preserve"> n</w:t>
      </w:r>
      <w:r w:rsidRPr="00E72418">
        <w:rPr>
          <w:vertAlign w:val="superscript"/>
        </w:rPr>
        <w:t>os</w:t>
      </w:r>
      <w:r w:rsidRPr="00E72418">
        <w:t xml:space="preserve"> 200 et suiv.</w:t>
      </w:r>
    </w:p>
  </w:footnote>
  <w:footnote w:id="1780">
    <w:p w14:paraId="786380B9" w14:textId="77777777" w:rsidR="0030147D" w:rsidRPr="00E72418" w:rsidRDefault="0030147D" w:rsidP="00CA132E">
      <w:pPr>
        <w:pStyle w:val="Sansinterligne"/>
        <w:rPr>
          <w:szCs w:val="20"/>
        </w:rPr>
      </w:pPr>
      <w:r w:rsidRPr="00E72418">
        <w:rPr>
          <w:rStyle w:val="Appelnotedebasdep"/>
          <w:szCs w:val="20"/>
        </w:rPr>
        <w:footnoteRef/>
      </w:r>
      <w:r w:rsidRPr="00E72418">
        <w:rPr>
          <w:szCs w:val="20"/>
        </w:rPr>
        <w:t xml:space="preserve"> Respectivement, les deux alinéas prévoyaient que « </w:t>
      </w:r>
      <w:r w:rsidRPr="00E72418">
        <w:rPr>
          <w:rFonts w:cs="Times New Roman"/>
          <w:szCs w:val="20"/>
        </w:rPr>
        <w:t>[l]</w:t>
      </w:r>
      <w:r w:rsidRPr="00E72418">
        <w:rPr>
          <w:szCs w:val="20"/>
        </w:rPr>
        <w:t>orsque le cessionnaire d’une créance née à raison d’une activité autre qu’industrielle et commerciale sur un État souverain ou l’un de ses établissements publics bénéficiant, sous quelque forme que ce soit, y compris d’abandon ou de différé de paiement, d’une aide financière consentie par l’État, l’un de ses établissements publics, ou toute institution internationale à laquelle appartient la France, en poursuit le recouvrement devant un tribunal français, le juge ne fait droit à la demande que dans la limite qu’il estime satisfaisante compte tenu de l’aide consentie par la collectivité publique, des efforts des autres créanciers, et des facultés du débiteur. Les dispositions ci-dessus sont applicables devant toute juridiction » et qu’ « </w:t>
      </w:r>
      <w:r w:rsidRPr="00E72418">
        <w:rPr>
          <w:rFonts w:cs="Times New Roman"/>
          <w:szCs w:val="20"/>
        </w:rPr>
        <w:t>[i]</w:t>
      </w:r>
      <w:r w:rsidRPr="00E72418">
        <w:rPr>
          <w:szCs w:val="20"/>
        </w:rPr>
        <w:t xml:space="preserve">l ne peut être prononcé aucune condamnation ni donné aucun effet en France à un jugement étranger prononcé contre un débiteur visé à l’alinéa précédent ni procédé à aucune voie d’exécution lorsqu’il apparaît au vu des circonstances que l’acquisition de la créance procède d’une spéculation sur les procédures susceptibles d’être intentées contre le cédé et les tiers et non sur la valeur de marché de la créance et son évolution ». </w:t>
      </w:r>
    </w:p>
  </w:footnote>
  <w:footnote w:id="1781">
    <w:p w14:paraId="1C4E35B4" w14:textId="7350168E"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Proposition de loi visant à lutter contre l’action des fonds financiers dits « fonds vautours », Assemblée nationale, 2 août 2007, n° 131, p. 4. Le mécanisme est repris à l’article 1699 du Code civil français qui dispose que « [c]elui contre lequel on a cédé un droit litigieux peut s’en faire tenir quitte par le cessionnaire, en lui remboursant le prix réel de la cession avec les frais et loyaux coûts, et avec les intérêts à compter du jour où le cessionnaire a payé le prix de la cession à lui faite ». Sur ce mécanisme, voyez </w:t>
      </w:r>
      <w:r w:rsidRPr="00E72418">
        <w:rPr>
          <w:i/>
          <w:szCs w:val="20"/>
        </w:rPr>
        <w:t>supra</w:t>
      </w:r>
      <w:r w:rsidRPr="00E72418">
        <w:rPr>
          <w:szCs w:val="20"/>
        </w:rPr>
        <w:t xml:space="preserve"> n° 249.</w:t>
      </w:r>
    </w:p>
  </w:footnote>
  <w:footnote w:id="1782">
    <w:p w14:paraId="7F6EF940" w14:textId="77777777"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Proposition de loi visant à lutter contre l’action des fonds financiers dits « fonds vautours », Assemblée nationale, 2 août 2007, n° 131, p. 4.</w:t>
      </w:r>
    </w:p>
  </w:footnote>
  <w:footnote w:id="1783">
    <w:p w14:paraId="5F5D1BA9" w14:textId="12510BCE"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Sur </w:t>
      </w:r>
      <w:r w:rsidR="00947A08">
        <w:rPr>
          <w:szCs w:val="20"/>
        </w:rPr>
        <w:t>cette</w:t>
      </w:r>
      <w:r w:rsidRPr="00E72418">
        <w:rPr>
          <w:szCs w:val="20"/>
        </w:rPr>
        <w:t xml:space="preserve"> règle,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243 et suiv.</w:t>
      </w:r>
    </w:p>
  </w:footnote>
  <w:footnote w:id="1784">
    <w:p w14:paraId="11FB15B6" w14:textId="6FC28F8A" w:rsidR="0030147D" w:rsidRPr="00E72418" w:rsidRDefault="0030147D" w:rsidP="00290DA5">
      <w:pPr>
        <w:pStyle w:val="Sansinterligne"/>
      </w:pPr>
      <w:r w:rsidRPr="00E72418">
        <w:rPr>
          <w:rStyle w:val="Appelnotedebasdep"/>
          <w:szCs w:val="20"/>
        </w:rPr>
        <w:footnoteRef/>
      </w:r>
      <w:r w:rsidRPr="00E72418">
        <w:t xml:space="preserve"> </w:t>
      </w:r>
      <w:r w:rsidRPr="00E72418">
        <w:rPr>
          <w:i/>
        </w:rPr>
        <w:t xml:space="preserve">Ibid. </w:t>
      </w:r>
      <w:r w:rsidRPr="00E72418">
        <w:t>Analysant la proposition de 2007, Renaud Thominette s’interroge sur la légitimité de distinguer les « bons » et les « mauvais » créanciers notant que les derniers (</w:t>
      </w:r>
      <w:r w:rsidRPr="00E72418">
        <w:rPr>
          <w:i/>
        </w:rPr>
        <w:t>i.e.</w:t>
      </w:r>
      <w:r w:rsidRPr="00E72418">
        <w:t xml:space="preserve"> les fonds </w:t>
      </w:r>
      <w:r w:rsidR="00947A08">
        <w:t>« </w:t>
      </w:r>
      <w:r w:rsidRPr="00E72418">
        <w:t>vautours</w:t>
      </w:r>
      <w:r w:rsidR="00947A08">
        <w:t> »</w:t>
      </w:r>
      <w:r w:rsidRPr="00E72418">
        <w:t xml:space="preserve"> au sens de la proposition) assurent une certaine liquidité des créances de sorte que l’on peut se demander si « </w:t>
      </w:r>
      <w:r w:rsidRPr="00E72418">
        <w:rPr>
          <w:szCs w:val="20"/>
        </w:rPr>
        <w:t>[l]</w:t>
      </w:r>
      <w:r w:rsidRPr="00E72418">
        <w:t xml:space="preserve">eur couper les ailes, comme le veut la proposition de loi déposée à l’Assemblée nationale, ne serait </w:t>
      </w:r>
      <w:r w:rsidRPr="00E72418">
        <w:rPr>
          <w:szCs w:val="20"/>
        </w:rPr>
        <w:t>[…]</w:t>
      </w:r>
      <w:r w:rsidRPr="00E72418">
        <w:t xml:space="preserve"> pas, à terme, contre-productif ? » (R. </w:t>
      </w:r>
      <w:r w:rsidRPr="00E72418">
        <w:rPr>
          <w:rFonts w:cs="Times New Roman"/>
          <w:smallCaps/>
          <w:szCs w:val="24"/>
        </w:rPr>
        <w:t>Thominette</w:t>
      </w:r>
      <w:r w:rsidRPr="00E72418">
        <w:rPr>
          <w:rFonts w:cs="Times New Roman"/>
          <w:szCs w:val="24"/>
        </w:rPr>
        <w:t xml:space="preserve">, « Faut-il interdire au créancier d’un </w:t>
      </w:r>
      <w:r w:rsidRPr="00E72418">
        <w:rPr>
          <w:rFonts w:cs="Times New Roman"/>
          <w:caps/>
          <w:szCs w:val="24"/>
        </w:rPr>
        <w:t>é</w:t>
      </w:r>
      <w:r w:rsidRPr="00E72418">
        <w:rPr>
          <w:rFonts w:cs="Times New Roman"/>
          <w:szCs w:val="24"/>
        </w:rPr>
        <w:t xml:space="preserve">tat d’avoir accès aux juridictions françaises ? », </w:t>
      </w:r>
      <w:r w:rsidRPr="00E72418">
        <w:rPr>
          <w:i/>
          <w:szCs w:val="20"/>
        </w:rPr>
        <w:t>D.</w:t>
      </w:r>
      <w:r w:rsidRPr="00E72418">
        <w:rPr>
          <w:rFonts w:cs="Times New Roman"/>
          <w:szCs w:val="24"/>
        </w:rPr>
        <w:t xml:space="preserve">, 2007, p. 1900). Sur les mérites reconnus aux spéculateurs sur les dettes souveraines, voyez </w:t>
      </w:r>
      <w:r w:rsidRPr="00E72418">
        <w:rPr>
          <w:rFonts w:cs="Times New Roman"/>
          <w:i/>
          <w:szCs w:val="24"/>
        </w:rPr>
        <w:t>supra</w:t>
      </w:r>
      <w:r w:rsidRPr="00E72418">
        <w:rPr>
          <w:rFonts w:cs="Times New Roman"/>
          <w:szCs w:val="24"/>
        </w:rPr>
        <w:t xml:space="preserve"> n</w:t>
      </w:r>
      <w:r w:rsidRPr="00E72418">
        <w:rPr>
          <w:rFonts w:cs="Times New Roman"/>
          <w:szCs w:val="24"/>
          <w:vertAlign w:val="superscript"/>
        </w:rPr>
        <w:t>os</w:t>
      </w:r>
      <w:r w:rsidRPr="00E72418">
        <w:rPr>
          <w:rFonts w:cs="Times New Roman"/>
          <w:szCs w:val="24"/>
        </w:rPr>
        <w:t xml:space="preserve"> 157 et suiv.</w:t>
      </w:r>
    </w:p>
  </w:footnote>
  <w:footnote w:id="1785">
    <w:p w14:paraId="687CAF7F" w14:textId="39070373"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155.</w:t>
      </w:r>
    </w:p>
  </w:footnote>
  <w:footnote w:id="1786">
    <w:p w14:paraId="01102445" w14:textId="790E904F" w:rsidR="0030147D" w:rsidRPr="00E72418" w:rsidRDefault="0030147D" w:rsidP="00E37960">
      <w:pPr>
        <w:pStyle w:val="Sansinterligne"/>
      </w:pPr>
      <w:r w:rsidRPr="00E72418">
        <w:rPr>
          <w:rStyle w:val="Appelnotedebasdep"/>
        </w:rPr>
        <w:footnoteRef/>
      </w:r>
      <w:r w:rsidRPr="00E72418">
        <w:t xml:space="preserve"> Sur la précision nécessaire au bon fonctionnement de ce marché, voyez </w:t>
      </w:r>
      <w:r w:rsidRPr="00E72418">
        <w:rPr>
          <w:i/>
        </w:rPr>
        <w:t>supra</w:t>
      </w:r>
      <w:r w:rsidRPr="00E72418">
        <w:t xml:space="preserve"> n° 171.</w:t>
      </w:r>
    </w:p>
  </w:footnote>
  <w:footnote w:id="1787">
    <w:p w14:paraId="126586D0" w14:textId="77777777" w:rsidR="0030147D" w:rsidRPr="00E72418" w:rsidRDefault="0030147D" w:rsidP="004971F3">
      <w:pPr>
        <w:pStyle w:val="Sansinterligne"/>
        <w:rPr>
          <w:szCs w:val="20"/>
        </w:rPr>
      </w:pPr>
      <w:r w:rsidRPr="00E72418">
        <w:rPr>
          <w:rStyle w:val="Appelnotedebasdep"/>
          <w:szCs w:val="20"/>
        </w:rPr>
        <w:footnoteRef/>
      </w:r>
      <w:r w:rsidRPr="00E72418">
        <w:rPr>
          <w:szCs w:val="20"/>
        </w:rPr>
        <w:t xml:space="preserve"> </w:t>
      </w:r>
      <w:r w:rsidRPr="00E72418">
        <w:rPr>
          <w:i/>
          <w:szCs w:val="20"/>
        </w:rPr>
        <w:t>Journal officiel de la République française</w:t>
      </w:r>
      <w:r w:rsidRPr="00E72418">
        <w:rPr>
          <w:szCs w:val="20"/>
        </w:rPr>
        <w:t>, n° 0287, 10 décembre 2016.</w:t>
      </w:r>
    </w:p>
  </w:footnote>
  <w:footnote w:id="1788">
    <w:p w14:paraId="5BF18DB6" w14:textId="54A07CBE" w:rsidR="0030147D" w:rsidRPr="00E72418" w:rsidRDefault="0030147D" w:rsidP="004971F3">
      <w:pPr>
        <w:pStyle w:val="Sansinterligne"/>
        <w:rPr>
          <w:szCs w:val="20"/>
        </w:rPr>
      </w:pPr>
      <w:r w:rsidRPr="00E72418">
        <w:rPr>
          <w:rStyle w:val="Appelnotedebasdep"/>
          <w:szCs w:val="20"/>
        </w:rPr>
        <w:footnoteRef/>
      </w:r>
      <w:r w:rsidRPr="00E72418">
        <w:rPr>
          <w:szCs w:val="20"/>
        </w:rPr>
        <w:t xml:space="preserve"> Sur le régime de l’immunité d’exécution étatique général français,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218 et suiv.</w:t>
      </w:r>
    </w:p>
  </w:footnote>
  <w:footnote w:id="1789">
    <w:p w14:paraId="5CD66924" w14:textId="41ABCE41" w:rsidR="0030147D" w:rsidRPr="00E72418" w:rsidRDefault="0030147D" w:rsidP="006B37E3">
      <w:pPr>
        <w:pStyle w:val="Sansinterligne"/>
        <w:rPr>
          <w:rFonts w:ascii="Times New Roman" w:hAnsi="Times New Roman" w:cs="Times New Roman"/>
          <w:shd w:val="clear" w:color="auto" w:fill="FFFFFF"/>
        </w:rPr>
      </w:pPr>
      <w:r w:rsidRPr="00E72418">
        <w:rPr>
          <w:rStyle w:val="Appelnotedebasdep"/>
          <w:szCs w:val="20"/>
        </w:rPr>
        <w:footnoteRef/>
      </w:r>
      <w:r w:rsidRPr="00E72418">
        <w:t xml:space="preserve"> Au sujet de l’enchâssement des articles 59 et 60 de la loi Sapin II, Dominique Bureau et Horatia Muir Watt parlent d’un « régime spécial des immunités d’exécution, voulu comme un mécanisme de défense contre les fonds vautour » (D. </w:t>
      </w:r>
      <w:r w:rsidRPr="00E72418">
        <w:rPr>
          <w:smallCaps/>
        </w:rPr>
        <w:t>Bureau</w:t>
      </w:r>
      <w:r w:rsidRPr="00E72418">
        <w:t xml:space="preserve"> et H. </w:t>
      </w:r>
      <w:r w:rsidRPr="00E72418">
        <w:rPr>
          <w:smallCaps/>
        </w:rPr>
        <w:t>Muir Watt</w:t>
      </w:r>
      <w:r w:rsidRPr="00E72418">
        <w:t xml:space="preserve">, </w:t>
      </w:r>
      <w:r w:rsidRPr="00E72418">
        <w:rPr>
          <w:i/>
        </w:rPr>
        <w:t>Droit international privé – Tome I – Partie générale</w:t>
      </w:r>
      <w:r w:rsidRPr="00E72418">
        <w:t xml:space="preserve">, </w:t>
      </w:r>
      <w:r w:rsidRPr="00E72418">
        <w:rPr>
          <w:i/>
        </w:rPr>
        <w:t>op. cit.</w:t>
      </w:r>
      <w:r w:rsidRPr="00E72418">
        <w:t xml:space="preserve">, p. 126). Jérémy Heymann indique quant à lui que </w:t>
      </w:r>
      <w:r w:rsidRPr="00E72418">
        <w:rPr>
          <w:rStyle w:val="lev"/>
          <w:b w:val="0"/>
          <w:bCs w:val="0"/>
          <w:szCs w:val="20"/>
        </w:rPr>
        <w:t>« </w:t>
      </w:r>
      <w:r w:rsidRPr="00E72418">
        <w:t>[l</w:t>
      </w:r>
      <w:r>
        <w:t>’</w:t>
      </w:r>
      <w:r w:rsidRPr="00E72418">
        <w:t>]</w:t>
      </w:r>
      <w:r w:rsidRPr="00E72418">
        <w:rPr>
          <w:rStyle w:val="lev"/>
          <w:b w:val="0"/>
          <w:bCs w:val="0"/>
          <w:szCs w:val="20"/>
        </w:rPr>
        <w:t xml:space="preserve">article 60 </w:t>
      </w:r>
      <w:r w:rsidRPr="00E72418">
        <w:t>[…] </w:t>
      </w:r>
      <w:r w:rsidRPr="00E72418">
        <w:rPr>
          <w:rStyle w:val="lev"/>
          <w:b w:val="0"/>
          <w:bCs w:val="0"/>
          <w:szCs w:val="20"/>
        </w:rPr>
        <w:t>est venu créer un régime spécial d’immunité d’exécution, dérogatoire aux dispositions des articles L. 111-1-1 et suivants du Code des procédures civiles d’exécution » (</w:t>
      </w:r>
      <w:r w:rsidRPr="00E72418">
        <w:rPr>
          <w:smallCaps/>
        </w:rPr>
        <w:t>J. Heymann</w:t>
      </w:r>
      <w:r w:rsidRPr="00E72418">
        <w:t xml:space="preserve">, « La loi Sapin 2 et les immunités d’exécution – À propos de la loi n° 2016-1691 du 9 décembre 2016 », </w:t>
      </w:r>
      <w:r w:rsidRPr="00E72418">
        <w:rPr>
          <w:rFonts w:ascii="Times New Roman" w:hAnsi="Times New Roman" w:cs="Times New Roman"/>
          <w:i/>
          <w:shd w:val="clear" w:color="auto" w:fill="FFFFFF"/>
        </w:rPr>
        <w:t>JCP G.</w:t>
      </w:r>
      <w:r w:rsidRPr="00E72418">
        <w:t>, 30 janvier 2017, p. 178)</w:t>
      </w:r>
      <w:r w:rsidRPr="00E72418">
        <w:rPr>
          <w:rStyle w:val="lev"/>
          <w:b w:val="0"/>
          <w:bCs w:val="0"/>
          <w:szCs w:val="20"/>
        </w:rPr>
        <w:t xml:space="preserve">. Hélène Gaudemet-Tallon et Fabienne </w:t>
      </w:r>
      <w:r w:rsidRPr="00E72418">
        <w:t xml:space="preserve">Jault-Seseke parlent également de « régime spécial » à l’endroit de l’article 60 (H. </w:t>
      </w:r>
      <w:r w:rsidRPr="00E72418">
        <w:rPr>
          <w:rFonts w:ascii="Times New Roman" w:hAnsi="Times New Roman" w:cs="Times New Roman"/>
          <w:smallCaps/>
          <w:szCs w:val="24"/>
        </w:rPr>
        <w:t xml:space="preserve">Gaudemet-Tallon </w:t>
      </w:r>
      <w:r w:rsidRPr="00E72418">
        <w:rPr>
          <w:rFonts w:ascii="Times New Roman" w:hAnsi="Times New Roman" w:cs="Times New Roman"/>
          <w:szCs w:val="24"/>
        </w:rPr>
        <w:t>et</w:t>
      </w:r>
      <w:r w:rsidRPr="00E72418">
        <w:rPr>
          <w:rFonts w:ascii="Times New Roman" w:hAnsi="Times New Roman" w:cs="Times New Roman"/>
          <w:smallCaps/>
          <w:szCs w:val="24"/>
        </w:rPr>
        <w:t xml:space="preserve"> </w:t>
      </w:r>
      <w:r w:rsidRPr="00E72418">
        <w:rPr>
          <w:smallCaps/>
        </w:rPr>
        <w:t>F. Jault-Seseke</w:t>
      </w:r>
      <w:r w:rsidRPr="00E72418">
        <w:t xml:space="preserve">, « Panorama – Droit international privé – mars 2016-février 2017 », </w:t>
      </w:r>
      <w:r w:rsidRPr="00E72418">
        <w:rPr>
          <w:i/>
        </w:rPr>
        <w:t>D.</w:t>
      </w:r>
      <w:r w:rsidRPr="00E72418">
        <w:t>, 2017, p. 1026). Jean-François Giacuzzo vise quant à lui une protection originale introduite dans le droit des immunités (</w:t>
      </w:r>
      <w:r w:rsidRPr="00E72418">
        <w:rPr>
          <w:smallCaps/>
        </w:rPr>
        <w:t>J.-F. Giacuzzo</w:t>
      </w:r>
      <w:r w:rsidRPr="00E72418">
        <w:t xml:space="preserve">, « La loi Sapin 2 : modernisation de la gestion domaniale et restrictions de la propriété privée », </w:t>
      </w:r>
      <w:r w:rsidRPr="00E72418">
        <w:rPr>
          <w:i/>
        </w:rPr>
        <w:t>Constitutions</w:t>
      </w:r>
      <w:r w:rsidRPr="00E72418">
        <w:t>, 2017, p. 75), là où Sylvain Bollée parle de « solutions s’éloign[a]nt des principes classiques du droit des immunités » (</w:t>
      </w:r>
      <w:r w:rsidRPr="00E72418">
        <w:rPr>
          <w:smallCaps/>
        </w:rPr>
        <w:t>S. Bollée</w:t>
      </w:r>
      <w:r w:rsidRPr="00E72418">
        <w:t xml:space="preserve">, « Les dispositions de la loi Sapin 2 relatives à l’immunité d’exécution », </w:t>
      </w:r>
      <w:r w:rsidRPr="00E72418">
        <w:rPr>
          <w:i/>
        </w:rPr>
        <w:t>D.</w:t>
      </w:r>
      <w:r w:rsidRPr="00E72418">
        <w:t>, 2016, p. 2560). Régis Bismuth évoque lui un « régime plus restrictif d’immunité » (</w:t>
      </w:r>
      <w:r w:rsidRPr="00E72418">
        <w:rPr>
          <w:smallCaps/>
        </w:rPr>
        <w:t>R. Bismuth</w:t>
      </w:r>
      <w:r w:rsidRPr="00E72418">
        <w:t xml:space="preserve">, « L’immunité d’exécution après la loi Sapin 2 », </w:t>
      </w:r>
      <w:r w:rsidRPr="00E72418">
        <w:rPr>
          <w:i/>
        </w:rPr>
        <w:t>J.D.I.</w:t>
      </w:r>
      <w:r w:rsidRPr="00E72418">
        <w:t>, 2018, p. 447).</w:t>
      </w:r>
    </w:p>
  </w:footnote>
  <w:footnote w:id="1790">
    <w:p w14:paraId="288C64BE" w14:textId="42A5563C"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Commission des lois constitutionnelles, de la législation et de l’administration générale de la République, session ordinaire de 2015-2016, compte rendu n° 83 du 24 mai 2016, p. 12. Notons qu’il n’était à ce moment précis du processus législatif pas encore question de lutte contre les activités spéculatives sur les dettes souveraines. En effet, la réglementation des activités des « fonds vautours », absente du projet de loi originel, fut abordée pour la première fois dans un amendement postérieur au texte de la Commission des lois constitutionnelles, de la législation et de l’administration générale de la République. Nous y reviendrons </w:t>
      </w:r>
      <w:r w:rsidRPr="00E72418">
        <w:rPr>
          <w:i/>
          <w:szCs w:val="20"/>
        </w:rPr>
        <w:t>infra</w:t>
      </w:r>
      <w:r w:rsidRPr="00E72418">
        <w:rPr>
          <w:szCs w:val="20"/>
        </w:rPr>
        <w:t>, n° 349.</w:t>
      </w:r>
    </w:p>
  </w:footnote>
  <w:footnote w:id="1791">
    <w:p w14:paraId="2D019E9F" w14:textId="3CD4B6DB"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Assemblée nationale, compte rendu intégral, session ordinaire de 2015-2016, 1</w:t>
      </w:r>
      <w:r w:rsidRPr="00E72418">
        <w:rPr>
          <w:szCs w:val="20"/>
          <w:vertAlign w:val="superscript"/>
        </w:rPr>
        <w:t>ère</w:t>
      </w:r>
      <w:r w:rsidRPr="00E72418">
        <w:rPr>
          <w:szCs w:val="20"/>
        </w:rPr>
        <w:t xml:space="preserve"> séance du lundi 6 juin 2016, </w:t>
      </w:r>
      <w:r w:rsidRPr="00E72418">
        <w:rPr>
          <w:i/>
          <w:szCs w:val="20"/>
        </w:rPr>
        <w:t>Journal officiel de la République française</w:t>
      </w:r>
      <w:r w:rsidRPr="00E72418">
        <w:rPr>
          <w:szCs w:val="20"/>
        </w:rPr>
        <w:t>, p. 3886.</w:t>
      </w:r>
    </w:p>
  </w:footnote>
  <w:footnote w:id="1792">
    <w:p w14:paraId="322F0C2F" w14:textId="0B99FA26"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3888. Plus tard dans le processus législatif, Dominique Potier, après avoir indiqué que la mise en place d’une législation sur les fonds spéculatifs lui tenait à cœur, releva que « nous sommes tous d’accord pour en finir enfin avec des pratiques nuisant à la saine économie et à la dignité humaine ». Et le député de ponctuer, « [a]llons vite et rassemblons-nous : nous sommes attendus ! » (rapport n</w:t>
      </w:r>
      <w:r w:rsidRPr="00E72418">
        <w:rPr>
          <w:szCs w:val="20"/>
          <w:vertAlign w:val="superscript"/>
        </w:rPr>
        <w:t>os</w:t>
      </w:r>
      <w:r w:rsidRPr="00E72418">
        <w:rPr>
          <w:szCs w:val="20"/>
        </w:rPr>
        <w:t xml:space="preserve"> 4032 et 4033 (Assemblée nationale) et n° 830 (Sénat) fait au nom des commissions mixtes paritaires […] chargées de proposer un texte sur les dispositions restant en discussion du projet de loi relatif à la transparence, à la lutte contre la corruption et à la modernisation de la vie économique […], par Sébastien Denaja et François Pillet, 14 septembre 2016, p. 10).</w:t>
      </w:r>
    </w:p>
  </w:footnote>
  <w:footnote w:id="1793">
    <w:p w14:paraId="51F3396B" w14:textId="7DDF1929"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Assemblée nationale, compte rendu intégral, session ordinaire de 2015-2016, 2</w:t>
      </w:r>
      <w:r w:rsidRPr="00E72418">
        <w:rPr>
          <w:szCs w:val="20"/>
          <w:vertAlign w:val="superscript"/>
        </w:rPr>
        <w:t>e</w:t>
      </w:r>
      <w:r w:rsidRPr="00E72418">
        <w:rPr>
          <w:szCs w:val="20"/>
        </w:rPr>
        <w:t xml:space="preserve"> séance du mardi 14 juin 2016, </w:t>
      </w:r>
      <w:r w:rsidRPr="00E72418">
        <w:rPr>
          <w:i/>
          <w:szCs w:val="20"/>
        </w:rPr>
        <w:t>Journal officiel de la République française</w:t>
      </w:r>
      <w:r w:rsidRPr="00E72418">
        <w:rPr>
          <w:szCs w:val="20"/>
        </w:rPr>
        <w:t>, p. 4340. Le député saluera encore la transparence poursuivie par le texte de loi en projet, soulignant la « transparence contre les trous noirs de la finance internationale, contre l’opacité grâce à laquelle les fonds vautours ruinent des économies » (Assemblée nationale, compte rendu intégral, 2</w:t>
      </w:r>
      <w:r w:rsidRPr="00E72418">
        <w:rPr>
          <w:szCs w:val="20"/>
          <w:vertAlign w:val="superscript"/>
        </w:rPr>
        <w:t>e</w:t>
      </w:r>
      <w:r w:rsidRPr="00E72418">
        <w:rPr>
          <w:szCs w:val="20"/>
        </w:rPr>
        <w:t xml:space="preserve"> session extraordinaire de 2015-2016, 1</w:t>
      </w:r>
      <w:r w:rsidRPr="00E72418">
        <w:rPr>
          <w:szCs w:val="20"/>
          <w:vertAlign w:val="superscript"/>
        </w:rPr>
        <w:t>ère</w:t>
      </w:r>
      <w:r w:rsidRPr="00E72418">
        <w:rPr>
          <w:szCs w:val="20"/>
        </w:rPr>
        <w:t xml:space="preserve"> séance du mercredi 28 septembre 2016, </w:t>
      </w:r>
      <w:r w:rsidRPr="00E72418">
        <w:rPr>
          <w:i/>
          <w:szCs w:val="20"/>
        </w:rPr>
        <w:t>Journal officiel de la République française</w:t>
      </w:r>
      <w:r w:rsidRPr="00E72418">
        <w:rPr>
          <w:szCs w:val="20"/>
        </w:rPr>
        <w:t>, p. 5683).</w:t>
      </w:r>
    </w:p>
  </w:footnote>
  <w:footnote w:id="1794">
    <w:p w14:paraId="7AEEAF9C" w14:textId="77777777"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Sénat, compte rendu intégral, session extraordinaire de 2015-2016, séance du jeudi 7 juillet 2016, </w:t>
      </w:r>
      <w:r w:rsidRPr="00E72418">
        <w:rPr>
          <w:i/>
          <w:szCs w:val="20"/>
        </w:rPr>
        <w:t>Journal officiel de la République française</w:t>
      </w:r>
      <w:r w:rsidRPr="00E72418">
        <w:rPr>
          <w:szCs w:val="20"/>
        </w:rPr>
        <w:t>, p. 12543.</w:t>
      </w:r>
    </w:p>
  </w:footnote>
  <w:footnote w:id="1795">
    <w:p w14:paraId="3FE9E908" w14:textId="44878888" w:rsidR="0030147D" w:rsidRPr="00E72418" w:rsidRDefault="0030147D" w:rsidP="00077C2C">
      <w:pPr>
        <w:pStyle w:val="Sansinterligne"/>
      </w:pPr>
      <w:r w:rsidRPr="00E72418">
        <w:rPr>
          <w:rStyle w:val="Appelnotedebasdep"/>
        </w:rPr>
        <w:footnoteRef/>
      </w:r>
      <w:r w:rsidRPr="00E72418">
        <w:t xml:space="preserve"> </w:t>
      </w:r>
      <w:r w:rsidRPr="00E72418">
        <w:rPr>
          <w:szCs w:val="24"/>
        </w:rPr>
        <w:t>P</w:t>
      </w:r>
      <w:r w:rsidRPr="00E72418">
        <w:t>ropos repris in ra</w:t>
      </w:r>
      <w:r>
        <w:t>pport n° 712 fait au nom de la C</w:t>
      </w:r>
      <w:r w:rsidRPr="00E72418">
        <w:t xml:space="preserve">ommission des lois constitutionnelles, de législation, du suffrage universel, du Règlement et d’administration générale […] sur le projet de loi, adopté par l’Assemblée nationale […], relatif à la transparence, à la lutte contre la corruption et à la modernisation de la vie économique […], par </w:t>
      </w:r>
      <w:r w:rsidRPr="00E72418">
        <w:rPr>
          <w:szCs w:val="20"/>
        </w:rPr>
        <w:t>François</w:t>
      </w:r>
      <w:r w:rsidRPr="00E72418">
        <w:t xml:space="preserve"> Pillet, 22 juin 2016, p. 234.</w:t>
      </w:r>
    </w:p>
  </w:footnote>
  <w:footnote w:id="1796">
    <w:p w14:paraId="31D3E989" w14:textId="030D2EA2" w:rsidR="0030147D" w:rsidRPr="00E72418" w:rsidRDefault="0030147D" w:rsidP="00A66B05">
      <w:pPr>
        <w:pStyle w:val="Sansinterligne"/>
        <w:rPr>
          <w:szCs w:val="20"/>
        </w:rPr>
      </w:pPr>
      <w:r w:rsidRPr="00E72418">
        <w:rPr>
          <w:rStyle w:val="Appelnotedebasdep"/>
          <w:szCs w:val="20"/>
        </w:rPr>
        <w:footnoteRef/>
      </w:r>
      <w:r w:rsidRPr="00E72418">
        <w:rPr>
          <w:szCs w:val="20"/>
        </w:rPr>
        <w:t xml:space="preserve"> Les termes « détenteur du titre de créance » utilisés dans la loi française font qu’elle stigmatise moins que ne le fait la loi belge dont l’intitulé vise les « fonds vautours »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360). Notons toutefois que le titre « Renforcement de la protection conférée aux biens d’un </w:t>
      </w:r>
      <w:r w:rsidRPr="00E72418">
        <w:rPr>
          <w:rFonts w:cs="Times New Roman"/>
          <w:szCs w:val="20"/>
          <w:shd w:val="clear" w:color="auto" w:fill="FFFFFF"/>
        </w:rPr>
        <w:t>É</w:t>
      </w:r>
      <w:r w:rsidRPr="00E72418">
        <w:rPr>
          <w:szCs w:val="20"/>
        </w:rPr>
        <w:t xml:space="preserve">tat étranger contre les fonds </w:t>
      </w:r>
      <w:r w:rsidRPr="00E72418">
        <w:rPr>
          <w:rFonts w:cs="Times New Roman"/>
          <w:szCs w:val="20"/>
        </w:rPr>
        <w:t>“vautours” »</w:t>
      </w:r>
      <w:r w:rsidRPr="00E72418">
        <w:rPr>
          <w:szCs w:val="20"/>
        </w:rPr>
        <w:t xml:space="preserve"> fut un temps donné à l’article 24</w:t>
      </w:r>
      <w:r w:rsidRPr="00E72418">
        <w:rPr>
          <w:i/>
          <w:szCs w:val="20"/>
        </w:rPr>
        <w:t>bis</w:t>
      </w:r>
      <w:r w:rsidRPr="00E72418">
        <w:rPr>
          <w:szCs w:val="20"/>
        </w:rPr>
        <w:t xml:space="preserve"> qui devint l’article 60 de la loi adoptée (voyez notamment le rapport n° 4045 et 4046 fait au nom de la Commission des lois constitutionnelles, de la législation et de l’administration générale de la République, en nouvelle lecture, sur le projet de loi (n° 3939) relatif à la transparence, à la lutte contre la corruption et à la modernisation de la vie économique […], par Sébastien Denaja, 21 septembre 2016, p. 121). </w:t>
      </w:r>
      <w:r w:rsidRPr="00E72418">
        <w:t xml:space="preserve">Notons finalement que l’expression n’était pas inconnue de la France qui l’avait mobilisée dans une </w:t>
      </w:r>
      <w:r w:rsidRPr="00E72418">
        <w:rPr>
          <w:i/>
        </w:rPr>
        <w:t>amicus brief</w:t>
      </w:r>
      <w:r w:rsidRPr="00E72418">
        <w:t xml:space="preserve"> déposée dans le cadre du contentieux argentin tissé devant les juridictions new-yorkaises où elle notait notamment que leur comportement devait être découragé (brief for the Republic of France as amicus curiae in support of the Republic of Argentina’s petition for a writ of certiorari (Supreme Court), 2013 WL 3930517, 26 juillet 2013, p. 11).</w:t>
      </w:r>
    </w:p>
  </w:footnote>
  <w:footnote w:id="1797">
    <w:p w14:paraId="29B2FBF8" w14:textId="5C4AA964" w:rsidR="0030147D" w:rsidRPr="00E72418" w:rsidRDefault="0030147D" w:rsidP="00A66B05">
      <w:pPr>
        <w:pStyle w:val="Sansinterligne"/>
        <w:rPr>
          <w:szCs w:val="20"/>
        </w:rPr>
      </w:pPr>
      <w:r w:rsidRPr="00E72418">
        <w:rPr>
          <w:rStyle w:val="Appelnotedebasdep"/>
          <w:szCs w:val="20"/>
        </w:rPr>
        <w:footnoteRef/>
      </w:r>
      <w:r w:rsidRPr="00E72418">
        <w:rPr>
          <w:szCs w:val="20"/>
        </w:rPr>
        <w:t xml:space="preserve"> Voyez les propos de Dominique Potier in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 4236.</w:t>
      </w:r>
    </w:p>
  </w:footnote>
  <w:footnote w:id="1798">
    <w:p w14:paraId="527932B5" w14:textId="673D21FF" w:rsidR="0030147D" w:rsidRPr="00E72418" w:rsidRDefault="0030147D" w:rsidP="00A66B05">
      <w:pPr>
        <w:pStyle w:val="Sansinterligne"/>
        <w:rPr>
          <w:szCs w:val="20"/>
        </w:rPr>
      </w:pPr>
      <w:r w:rsidRPr="00E72418">
        <w:rPr>
          <w:rStyle w:val="Appelnotedebasdep"/>
          <w:szCs w:val="20"/>
        </w:rPr>
        <w:footnoteRef/>
      </w:r>
      <w:r w:rsidRPr="00E72418">
        <w:rPr>
          <w:szCs w:val="20"/>
        </w:rPr>
        <w:t xml:space="preserve"> Sénat, compte rendu intégral, session extraordinaire de 2015-2016, séance du lundi 4 juillet 2016, </w:t>
      </w:r>
      <w:r w:rsidRPr="00E72418">
        <w:rPr>
          <w:i/>
          <w:szCs w:val="20"/>
        </w:rPr>
        <w:t>Journal officiel de la République française</w:t>
      </w:r>
      <w:r w:rsidRPr="00E72418">
        <w:rPr>
          <w:szCs w:val="20"/>
        </w:rPr>
        <w:t>, p. 12115.</w:t>
      </w:r>
    </w:p>
  </w:footnote>
  <w:footnote w:id="1799">
    <w:p w14:paraId="0E9B2CE3" w14:textId="40CA4D06" w:rsidR="0030147D" w:rsidRPr="00E72418" w:rsidRDefault="0030147D" w:rsidP="00A66B05">
      <w:pPr>
        <w:pStyle w:val="Sansinterligne"/>
        <w:rPr>
          <w:szCs w:val="20"/>
        </w:rPr>
      </w:pPr>
      <w:r w:rsidRPr="00E72418">
        <w:rPr>
          <w:rStyle w:val="Appelnotedebasdep"/>
          <w:szCs w:val="20"/>
        </w:rPr>
        <w:footnoteRef/>
      </w:r>
      <w:r w:rsidRPr="00E72418">
        <w:rPr>
          <w:szCs w:val="20"/>
        </w:rPr>
        <w:t xml:space="preserve"> Assemblée nationale, compte rendu intégral, 2</w:t>
      </w:r>
      <w:r w:rsidRPr="00E72418">
        <w:rPr>
          <w:szCs w:val="20"/>
          <w:vertAlign w:val="superscript"/>
        </w:rPr>
        <w:t>e</w:t>
      </w:r>
      <w:r w:rsidRPr="00E72418">
        <w:rPr>
          <w:szCs w:val="20"/>
        </w:rPr>
        <w:t xml:space="preserve"> session extraordinaire de 2015-2016, 1</w:t>
      </w:r>
      <w:r w:rsidRPr="00E72418">
        <w:rPr>
          <w:szCs w:val="20"/>
          <w:vertAlign w:val="superscript"/>
        </w:rPr>
        <w:t>ère</w:t>
      </w:r>
      <w:r w:rsidRPr="00E72418">
        <w:rPr>
          <w:szCs w:val="20"/>
        </w:rPr>
        <w:t xml:space="preserve"> séance du mercredi 28 septembre 2016, </w:t>
      </w:r>
      <w:r w:rsidRPr="00E72418">
        <w:rPr>
          <w:i/>
          <w:szCs w:val="20"/>
        </w:rPr>
        <w:t>Journal officiel de la République française</w:t>
      </w:r>
      <w:r w:rsidRPr="00E72418">
        <w:rPr>
          <w:szCs w:val="20"/>
        </w:rPr>
        <w:t>, p. 5677.</w:t>
      </w:r>
    </w:p>
  </w:footnote>
  <w:footnote w:id="1800">
    <w:p w14:paraId="7215BFDA" w14:textId="2BDC7DC9" w:rsidR="0030147D" w:rsidRPr="00E72418" w:rsidRDefault="0030147D" w:rsidP="007C3F2D">
      <w:pPr>
        <w:pStyle w:val="Sansinterligne"/>
        <w:rPr>
          <w:szCs w:val="20"/>
        </w:rPr>
      </w:pPr>
      <w:r w:rsidRPr="00E72418">
        <w:rPr>
          <w:rStyle w:val="Appelnotedebasdep"/>
          <w:szCs w:val="20"/>
        </w:rPr>
        <w:footnoteRef/>
      </w:r>
      <w:r w:rsidRPr="00E72418">
        <w:rPr>
          <w:szCs w:val="20"/>
        </w:rPr>
        <w:t xml:space="preserve">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 4236.</w:t>
      </w:r>
    </w:p>
  </w:footnote>
  <w:footnote w:id="1801">
    <w:p w14:paraId="476E01A9" w14:textId="0B032716"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i/>
          <w:szCs w:val="20"/>
        </w:rPr>
        <w:t>Ibid.</w:t>
      </w:r>
    </w:p>
  </w:footnote>
  <w:footnote w:id="1802">
    <w:p w14:paraId="624286C9" w14:textId="6FEC3216"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Amendement n° 1405 (Rect) présenté par Dominique Potier</w:t>
      </w:r>
      <w:r w:rsidRPr="00E72418">
        <w:rPr>
          <w:i/>
          <w:szCs w:val="20"/>
        </w:rPr>
        <w:t xml:space="preserve"> et al.</w:t>
      </w:r>
      <w:r w:rsidRPr="00E72418">
        <w:rPr>
          <w:szCs w:val="20"/>
        </w:rPr>
        <w:t xml:space="preserve">, 2 juin 2016, p. 2 (voyez les critiques similaires reprises dans l’amendement n° 634 présenté par le Gouvernement français le 30 juin 2016). </w:t>
      </w:r>
      <w:r w:rsidRPr="00E72418">
        <w:rPr>
          <w:rFonts w:cs="Times New Roman"/>
          <w:szCs w:val="20"/>
        </w:rPr>
        <w:t>Le phénomène des fonds spéculant sur les dettes souveraines est décrit dans l’amendement à l’origine de l’article 60 de la loi Sapin II comme suit : « </w:t>
      </w:r>
      <w:r w:rsidRPr="00E72418">
        <w:rPr>
          <w:rFonts w:ascii="Times New Roman" w:hAnsi="Times New Roman" w:cs="Times New Roman"/>
          <w:szCs w:val="20"/>
        </w:rPr>
        <w:t>[c]</w:t>
      </w:r>
      <w:r w:rsidRPr="00E72418">
        <w:rPr>
          <w:rFonts w:cs="Times New Roman"/>
          <w:szCs w:val="20"/>
          <w:shd w:val="clear" w:color="auto" w:fill="FFFFFF"/>
        </w:rPr>
        <w:t xml:space="preserve">es fonds mettent en œuvre une stratégie qui consiste à racheter au rabais la dette d’un État alors que celui-ci se trouve déjà en situation de difficulté économique grave, voire en situation de défaut de paiement ou en phase de restructuration de sa dette ; ils refusent ensuite de participer à toute restructuration, quand bien même une large majorité de créanciers y </w:t>
      </w:r>
      <w:r w:rsidRPr="00E72418">
        <w:rPr>
          <w:rFonts w:cs="Times New Roman"/>
          <w:szCs w:val="20"/>
        </w:rPr>
        <w:t>[</w:t>
      </w:r>
      <w:r w:rsidRPr="00E72418">
        <w:rPr>
          <w:rFonts w:cs="Times New Roman"/>
          <w:szCs w:val="20"/>
          <w:shd w:val="clear" w:color="auto" w:fill="FFFFFF"/>
        </w:rPr>
        <w:t>participe</w:t>
      </w:r>
      <w:r w:rsidRPr="00E72418">
        <w:rPr>
          <w:rFonts w:cs="Times New Roman"/>
          <w:szCs w:val="20"/>
        </w:rPr>
        <w:t>]</w:t>
      </w:r>
      <w:r w:rsidRPr="00E72418">
        <w:rPr>
          <w:rFonts w:cs="Times New Roman"/>
          <w:szCs w:val="20"/>
          <w:shd w:val="clear" w:color="auto" w:fill="FFFFFF"/>
        </w:rPr>
        <w:t xml:space="preserve">, ou même font en sorte de les bloquer quand la restructuration est soumise à la règle de l’unanimité. Ils exigent alors par la voie judiciaire, alors qu’ils ont payé des sommes très inférieures au montant nominal des créances, le paiement en plein du titre de créance ainsi racheté ainsi que les intérêts et pénalités accumulés </w:t>
      </w:r>
      <w:r w:rsidRPr="00E72418">
        <w:rPr>
          <w:rFonts w:cs="Times New Roman"/>
          <w:szCs w:val="20"/>
        </w:rPr>
        <w:t xml:space="preserve">[…] </w:t>
      </w:r>
      <w:r w:rsidRPr="00E72418">
        <w:rPr>
          <w:rFonts w:cs="Times New Roman"/>
          <w:szCs w:val="20"/>
          <w:shd w:val="clear" w:color="auto" w:fill="FFFFFF"/>
        </w:rPr>
        <w:t>en multipliant les recours judiciaires, le cas échéant, dans un grand nombre de juridictions » (a</w:t>
      </w:r>
      <w:r w:rsidRPr="00E72418">
        <w:rPr>
          <w:szCs w:val="20"/>
        </w:rPr>
        <w:t xml:space="preserve">mendement n° 1405 (Rect) présenté par Dominique Potier </w:t>
      </w:r>
      <w:r w:rsidRPr="00E72418">
        <w:rPr>
          <w:i/>
          <w:szCs w:val="20"/>
        </w:rPr>
        <w:t>et al.</w:t>
      </w:r>
      <w:r w:rsidRPr="00E72418">
        <w:rPr>
          <w:szCs w:val="20"/>
        </w:rPr>
        <w:t xml:space="preserve">, 2 juin 2016, pp. 2 et 3). Voyez encore la description qui en est faite dans l’amendement n° 634 du Gouvernement visant à rétablir l’article anti-fonds </w:t>
      </w:r>
      <w:r w:rsidR="00947A08">
        <w:rPr>
          <w:szCs w:val="20"/>
        </w:rPr>
        <w:t>spéculatifs</w:t>
      </w:r>
      <w:r w:rsidRPr="00E72418">
        <w:rPr>
          <w:szCs w:val="20"/>
        </w:rPr>
        <w:t xml:space="preserve"> supprimé en Commission des lois constitutionnelles, de législation, du suffrage universel, du Règlement et d’administration générale […] du Sénat (amendement n° 634 présenté par le Gouvernement)</w:t>
      </w:r>
      <w:r w:rsidRPr="00E72418">
        <w:rPr>
          <w:rStyle w:val="Lienhypertexte"/>
          <w:color w:val="auto"/>
          <w:szCs w:val="20"/>
          <w:u w:val="none"/>
        </w:rPr>
        <w:t>.</w:t>
      </w:r>
    </w:p>
  </w:footnote>
  <w:footnote w:id="1803">
    <w:p w14:paraId="2D39B76B" w14:textId="12DF52E8"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Voyez l’exposé sommaire de l’amendement n° 1405 (Rect) présenté par Dominique Potier </w:t>
      </w:r>
      <w:r w:rsidRPr="00E72418">
        <w:rPr>
          <w:i/>
          <w:szCs w:val="20"/>
        </w:rPr>
        <w:t>et al.</w:t>
      </w:r>
      <w:r w:rsidRPr="00E72418">
        <w:rPr>
          <w:szCs w:val="20"/>
        </w:rPr>
        <w:t>, 2 juin 2016.</w:t>
      </w:r>
    </w:p>
  </w:footnote>
  <w:footnote w:id="1804">
    <w:p w14:paraId="0A1DEA2C" w14:textId="3A4DCB91" w:rsidR="0030147D" w:rsidRPr="00E72418" w:rsidRDefault="0030147D" w:rsidP="001E514B">
      <w:pPr>
        <w:pStyle w:val="Sansinterligne"/>
      </w:pPr>
      <w:r w:rsidRPr="00E72418">
        <w:rPr>
          <w:rStyle w:val="Appelnotedebasdep"/>
        </w:rPr>
        <w:footnoteRef/>
      </w:r>
      <w:r w:rsidRPr="00E72418">
        <w:t xml:space="preserve"> Sur l’importance de la soutenabilité des dettes souveraines, argument qui fondera notre proposition, voyez </w:t>
      </w:r>
      <w:r w:rsidRPr="00E72418">
        <w:rPr>
          <w:i/>
        </w:rPr>
        <w:t>infra</w:t>
      </w:r>
      <w:r w:rsidRPr="00E72418">
        <w:t xml:space="preserve"> n</w:t>
      </w:r>
      <w:r w:rsidRPr="00E72418">
        <w:rPr>
          <w:vertAlign w:val="superscript"/>
        </w:rPr>
        <w:t>os</w:t>
      </w:r>
      <w:r w:rsidRPr="00E72418">
        <w:t xml:space="preserve"> 406 et suiv.</w:t>
      </w:r>
    </w:p>
  </w:footnote>
  <w:footnote w:id="1805">
    <w:p w14:paraId="5F296DBE" w14:textId="3490DB28" w:rsidR="0030147D" w:rsidRPr="00E72418" w:rsidRDefault="0030147D" w:rsidP="001E514B">
      <w:pPr>
        <w:pStyle w:val="Sansinterligne"/>
      </w:pPr>
      <w:r w:rsidRPr="00E72418">
        <w:rPr>
          <w:rStyle w:val="Appelnotedebasdep"/>
        </w:rPr>
        <w:footnoteRef/>
      </w:r>
      <w:r w:rsidRPr="00E72418">
        <w:t xml:space="preserve"> Sur la faiblesse des </w:t>
      </w:r>
      <w:r w:rsidRPr="00E72418">
        <w:rPr>
          <w:rFonts w:cs="Times New Roman"/>
          <w:shd w:val="clear" w:color="auto" w:fill="FFFFFF"/>
        </w:rPr>
        <w:t>É</w:t>
      </w:r>
      <w:r w:rsidRPr="00E72418">
        <w:t xml:space="preserve">tats souvent attaqués par les fonds spéculatifs, voyez </w:t>
      </w:r>
      <w:r w:rsidRPr="00E72418">
        <w:rPr>
          <w:i/>
        </w:rPr>
        <w:t>supra</w:t>
      </w:r>
      <w:r w:rsidRPr="00E72418">
        <w:t xml:space="preserve"> n</w:t>
      </w:r>
      <w:r w:rsidRPr="00E72418">
        <w:rPr>
          <w:vertAlign w:val="superscript"/>
        </w:rPr>
        <w:t>os</w:t>
      </w:r>
      <w:r w:rsidRPr="00E72418">
        <w:t xml:space="preserve"> 133 et 134.</w:t>
      </w:r>
    </w:p>
  </w:footnote>
  <w:footnote w:id="1806">
    <w:p w14:paraId="1A3E5B04" w14:textId="4864D6F2"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Les parlementaires remarquaient toutefois que des clauses d’action collective avec agrégation avaient été récemment introduites dans la plupart des contrats obligataires permettant qu’une restructuration s’impose à tous dès lors qu’elle emporte l’adhésion d’une très large majorité des créanciers. Toutefois, ils relevaient, d’une part, que nombre de créances souveraines restaient dépourvues de telles clauses, d’autre part, que les États en développement ne disposaient pas toujours des ressources juridiques suffisantes pour s’assurer que leurs levées de dettes obligataires soient dûment protégées de l’action des fonds spéculatifs. Sur ces clauses d’action collective,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282 et suiv.</w:t>
      </w:r>
    </w:p>
  </w:footnote>
  <w:footnote w:id="1807">
    <w:p w14:paraId="65366571" w14:textId="0024C7A5" w:rsidR="0030147D" w:rsidRPr="00E72418" w:rsidRDefault="0030147D" w:rsidP="00A142D9">
      <w:pPr>
        <w:pStyle w:val="Sansinterligne"/>
        <w:rPr>
          <w:rFonts w:ascii="Times New Roman" w:hAnsi="Times New Roman"/>
          <w:szCs w:val="20"/>
        </w:rPr>
      </w:pPr>
      <w:r w:rsidRPr="00E72418">
        <w:rPr>
          <w:rStyle w:val="Appelnotedebasdep"/>
          <w:szCs w:val="20"/>
        </w:rPr>
        <w:footnoteRef/>
      </w:r>
      <w:r w:rsidRPr="00E72418">
        <w:rPr>
          <w:szCs w:val="20"/>
        </w:rPr>
        <w:t xml:space="preserve"> Les parlementaires à l’origine de l’amendement « anti-fonds vautours » indiquaient ainsi qu’ « [e]n refusant de participer aux efforts financiers réalisés par toute la communauté financière internationale, ces fonds peuvent […] perturber […] les restructurations de dette accordées par l’État français dans le cadre du Club de Paris » (amendement n° 1405 (Rect) présenté par Dominique Potier </w:t>
      </w:r>
      <w:r w:rsidRPr="00E72418">
        <w:rPr>
          <w:i/>
          <w:szCs w:val="20"/>
        </w:rPr>
        <w:t>et al.</w:t>
      </w:r>
      <w:r w:rsidRPr="00E72418">
        <w:rPr>
          <w:szCs w:val="20"/>
        </w:rPr>
        <w:t xml:space="preserve">, 2 juin 2016, p. 3). Le Gouvernement français releva quant à lui que « ces fonds peuvent même bloquer toute perspective de sortie de crise […] » (voyez l’amendement n° 634 présenté par le Gouvernement). Sur le risque d’échec faisant peser ces spéculateurs sur les perspectives de restructuration,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151 et 152.</w:t>
      </w:r>
    </w:p>
  </w:footnote>
  <w:footnote w:id="1808">
    <w:p w14:paraId="72DE9AB5" w14:textId="6EE38D46"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Amendement n° 1405 (Rect) présenté par Dominique Potier </w:t>
      </w:r>
      <w:r w:rsidRPr="00E72418">
        <w:rPr>
          <w:i/>
          <w:szCs w:val="20"/>
        </w:rPr>
        <w:t>et al.</w:t>
      </w:r>
      <w:r w:rsidRPr="00E72418">
        <w:rPr>
          <w:szCs w:val="20"/>
        </w:rPr>
        <w:t>, 2 juin 2016, p. 4.</w:t>
      </w:r>
    </w:p>
  </w:footnote>
  <w:footnote w:id="1809">
    <w:p w14:paraId="60E1F8DB" w14:textId="68EA5FDB" w:rsidR="0030147D" w:rsidRPr="00E72418" w:rsidRDefault="0030147D" w:rsidP="006B37E3">
      <w:pPr>
        <w:pStyle w:val="Sansinterligne"/>
        <w:rPr>
          <w:rFonts w:ascii="Times New Roman" w:hAnsi="Times New Roman" w:cs="Times New Roman"/>
          <w:shd w:val="clear" w:color="auto" w:fill="FFFFFF"/>
        </w:rPr>
      </w:pPr>
      <w:r w:rsidRPr="00E72418">
        <w:rPr>
          <w:rStyle w:val="Appelnotedebasdep"/>
          <w:szCs w:val="20"/>
        </w:rPr>
        <w:footnoteRef/>
      </w:r>
      <w:r w:rsidRPr="00E72418">
        <w:t xml:space="preserve"> </w:t>
      </w:r>
      <w:r w:rsidRPr="00E72418">
        <w:rPr>
          <w:smallCaps/>
        </w:rPr>
        <w:t>J. Morel-Maroger</w:t>
      </w:r>
      <w:r w:rsidRPr="00E72418">
        <w:t xml:space="preserve">, « Jurisprudence du tribunal de grande instance de Paris », </w:t>
      </w:r>
      <w:r w:rsidRPr="00E72418">
        <w:rPr>
          <w:rFonts w:ascii="Times New Roman" w:hAnsi="Times New Roman" w:cs="Times New Roman"/>
          <w:i/>
          <w:shd w:val="clear" w:color="auto" w:fill="FFFFFF"/>
        </w:rPr>
        <w:t>JCP G.</w:t>
      </w:r>
      <w:r w:rsidRPr="00E72418">
        <w:t>, 11 juin 2018, p. 1185.</w:t>
      </w:r>
    </w:p>
  </w:footnote>
  <w:footnote w:id="1810">
    <w:p w14:paraId="5814C100" w14:textId="6F5C1609"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Amendement n° 1405 (Rect) présenté par Dominique Potier </w:t>
      </w:r>
      <w:r w:rsidRPr="00E72418">
        <w:rPr>
          <w:i/>
          <w:szCs w:val="20"/>
        </w:rPr>
        <w:t>et al.</w:t>
      </w:r>
      <w:r w:rsidRPr="00E72418">
        <w:rPr>
          <w:szCs w:val="20"/>
        </w:rPr>
        <w:t>, 2 juin 2016.</w:t>
      </w:r>
    </w:p>
  </w:footnote>
  <w:footnote w:id="1811">
    <w:p w14:paraId="2F3CF5DE" w14:textId="64C15C38"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Dominique Potier indiqua à l’Assemblée nationale que le sujet, qui aurait dû être traité dans une proposition de loi, trouva sa place dans le texte du projet de loi Sapin II sous forme d’amendement à la suite de l’accord du ministre Michel Sapin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xml:space="preserve">, p. 4236). Le ministre indiquait être </w:t>
      </w:r>
      <w:r w:rsidRPr="00E72418">
        <w:rPr>
          <w:rFonts w:cs="Times New Roman"/>
          <w:szCs w:val="20"/>
        </w:rPr>
        <w:t xml:space="preserve">« globalement favorable </w:t>
      </w:r>
      <w:r w:rsidRPr="00E72418">
        <w:rPr>
          <w:szCs w:val="20"/>
        </w:rPr>
        <w:t>[…] </w:t>
      </w:r>
      <w:r w:rsidRPr="00E72418">
        <w:rPr>
          <w:rFonts w:cs="Times New Roman"/>
          <w:szCs w:val="20"/>
        </w:rPr>
        <w:t>à la disposition novatrice introduite par les députés pour lutter contre les pratiques prédatrices des fonds vautours » (</w:t>
      </w:r>
      <w:r w:rsidRPr="00E72418">
        <w:rPr>
          <w:szCs w:val="20"/>
        </w:rPr>
        <w:t>compte rendu de l’audition de Michel Sapin repris in rapport n° 712 fait au nom de la Commission des lois constitutionnelles, de législation, du suffrage universel, du Règlement et d’administration générale […] sur le projet de loi, adopté par l’Assemblée nationale […], relatif à la transparence, à la lutte contre la corruption et à la modernisation de la vie économique […], par François Pillet, 22 juin 2016, p. 269).</w:t>
      </w:r>
    </w:p>
  </w:footnote>
  <w:footnote w:id="1812">
    <w:p w14:paraId="50B10975" w14:textId="74BDD2B7"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Projet de loi relatif à la transparence, à la lutte contre la corruption et à la modernisation de la vie économique, adopté par l’Assemblée nationale en première lecture, texte adopté n° 755, 14 juin 2016. </w:t>
      </w:r>
    </w:p>
  </w:footnote>
  <w:footnote w:id="1813">
    <w:p w14:paraId="32C4B61B" w14:textId="59787E4A"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Voyez le texte n° 713 (22 juin 2016) de la Commission des lois constitutionnelles, de législation, du suffrage universel, du règlement et d’administration générale.</w:t>
      </w:r>
    </w:p>
  </w:footnote>
  <w:footnote w:id="1814">
    <w:p w14:paraId="3F8AF32A" w14:textId="30906041"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Amendement n° COM-232 présenté par François Pillet. Cet amendement reprenait (de manière non parfaitement pertinente à notre estime) les mêmes arguments que l’amendement n° COM-231 qui conduisit à la suppression de l’article 24 relatif à l’immunité d’exécution des États étrangers.</w:t>
      </w:r>
    </w:p>
  </w:footnote>
  <w:footnote w:id="1815">
    <w:p w14:paraId="509F656D" w14:textId="64584E03"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Rapport n° 712 fait au nom de la Commission des lois constitutionnelles, de législation, du suffrage universel, du Règlement et d’administration générale […] sur le projet de loi, adopté par l’Assemblée nationale […], relatif à la transparence, à la lutte contre la corruption et à la modernisation de la vie économique […], par François Pillet, 22 juin 2016, p. 145. Voyez encore le rapport n° 79 fait au nom de la Commission des lois constitutionnelles, de législation, du suffrage universel, du Règlement et d’administration générale […] sur le projet de loi, adopté par l’Assemblée nationale en nouvelle lecture, relatif à la transparence, à la lutte contre la corruption et à la modernisation de la vie économique […], par François Pillet, 26 octobre 2016, p. 75.</w:t>
      </w:r>
    </w:p>
  </w:footnote>
  <w:footnote w:id="1816">
    <w:p w14:paraId="0E02F844" w14:textId="4E733EAD"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Notons que les amendements n° 192 rectifié </w:t>
      </w:r>
      <w:r w:rsidRPr="00E72418">
        <w:rPr>
          <w:i/>
          <w:szCs w:val="20"/>
        </w:rPr>
        <w:t xml:space="preserve">bis </w:t>
      </w:r>
      <w:r w:rsidRPr="00E72418">
        <w:rPr>
          <w:szCs w:val="20"/>
        </w:rPr>
        <w:t xml:space="preserve">et n° 492 rectifié, présentés respectivement par </w:t>
      </w:r>
      <w:r w:rsidRPr="00E72418">
        <w:rPr>
          <w:rFonts w:ascii="Times New Roman" w:hAnsi="Times New Roman" w:cs="Times New Roman"/>
          <w:szCs w:val="24"/>
        </w:rPr>
        <w:t>Marie-Noëlle</w:t>
      </w:r>
      <w:r w:rsidRPr="00E72418">
        <w:rPr>
          <w:szCs w:val="20"/>
        </w:rPr>
        <w:t xml:space="preserve"> Lienemann et Jérôme Durain et par Joël Labbé et André Gattolin, visaient à rétablir l’article anti-fonds spéculatifs dans la même rédaction que celle issue du projet de loi adopté par l’Assemblée nationale en première lecture (texte adopté n° 755, 14 juin 2016 </w:t>
      </w:r>
      <w:r w:rsidRPr="00E72418">
        <w:rPr>
          <w:b/>
          <w:szCs w:val="20"/>
        </w:rPr>
        <w:t xml:space="preserve">– </w:t>
      </w:r>
      <w:r w:rsidRPr="00E72418">
        <w:rPr>
          <w:szCs w:val="20"/>
        </w:rPr>
        <w:t xml:space="preserve">à quelques différences de forme près), rédaction qui pourtant avait conduit à son annulation par la Commission des lois constitutionnelles, de législation, du suffrage universel, du règlement et d’administration générale du Sénat. L’amendement n° 192 rectifié </w:t>
      </w:r>
      <w:r w:rsidRPr="00E72418">
        <w:rPr>
          <w:i/>
          <w:szCs w:val="20"/>
        </w:rPr>
        <w:t xml:space="preserve">bis </w:t>
      </w:r>
      <w:r w:rsidRPr="00E72418">
        <w:rPr>
          <w:szCs w:val="20"/>
        </w:rPr>
        <w:t xml:space="preserve">qui fut retiré était identique à l’amendement n° 492 rectifié présenté par Joël Labbé et André Gattolin qui fut également retiré au profit du sous-amendement n° 677 à l’amendement n° 634 du Gouvernement présenté par les mêmes sénateurs. Ce sous-amendement n° 677 ne fut finalement toutefois pas adopté (Sénat, compte rendu intégral, session extraordinaire de 2015-2016, séance du jeudi 7 juillet 2016, </w:t>
      </w:r>
      <w:r w:rsidRPr="00E72418">
        <w:rPr>
          <w:i/>
          <w:szCs w:val="20"/>
        </w:rPr>
        <w:t>Journal officiel de la République française</w:t>
      </w:r>
      <w:r w:rsidRPr="00E72418">
        <w:rPr>
          <w:szCs w:val="20"/>
        </w:rPr>
        <w:t>, p. 12546).</w:t>
      </w:r>
    </w:p>
  </w:footnote>
  <w:footnote w:id="1817">
    <w:p w14:paraId="22FB113C" w14:textId="242ADDAB"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De l’avis du ministre Michel Sapin, l’article 24</w:t>
      </w:r>
      <w:r w:rsidRPr="00E72418">
        <w:rPr>
          <w:i/>
          <w:szCs w:val="20"/>
        </w:rPr>
        <w:t>bis</w:t>
      </w:r>
      <w:r w:rsidRPr="00E72418">
        <w:rPr>
          <w:szCs w:val="20"/>
        </w:rPr>
        <w:t xml:space="preserve"> était dans sa nouvelle version mieux articulé avec l’article 24 traitant de l’immunité d’exécution des États (</w:t>
      </w:r>
      <w:r w:rsidRPr="00E72418">
        <w:rPr>
          <w:i/>
          <w:szCs w:val="20"/>
        </w:rPr>
        <w:t>ibid.</w:t>
      </w:r>
      <w:r w:rsidRPr="00E72418">
        <w:rPr>
          <w:szCs w:val="20"/>
        </w:rPr>
        <w:t>, p. 12544). L’articulation est effectivement accrue, le renvoi étant par exemple opéré dans l’article 24</w:t>
      </w:r>
      <w:r w:rsidRPr="00E72418">
        <w:rPr>
          <w:i/>
          <w:szCs w:val="20"/>
        </w:rPr>
        <w:t>bis</w:t>
      </w:r>
      <w:r w:rsidRPr="00E72418">
        <w:rPr>
          <w:szCs w:val="20"/>
        </w:rPr>
        <w:t xml:space="preserve"> à une disposition de l’article 24 (« dans le cadre de l’article L. 111-1-1 du Code des procédures civiles d’exécution »). Le ministre relevait encore l’importance de l’article ayant pour objet de « lutter contre ce que l’on appelle parfois “les fonds vautours” ou, en tous cas, contre les comportements anormaux d’un certain nombre de fonds spéculatifs » (</w:t>
      </w:r>
      <w:r w:rsidRPr="00E72418">
        <w:rPr>
          <w:i/>
          <w:szCs w:val="20"/>
        </w:rPr>
        <w:t>ibid.</w:t>
      </w:r>
      <w:r w:rsidRPr="00E72418">
        <w:rPr>
          <w:szCs w:val="20"/>
        </w:rPr>
        <w:t>).</w:t>
      </w:r>
    </w:p>
  </w:footnote>
  <w:footnote w:id="1818">
    <w:p w14:paraId="14D0FE0C" w14:textId="3BF733DE"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Le ministre Michel Sapin eut l’occasion, à plusieurs reprises lors des travaux préparatoires de la loi, d’affirmer l’importance qu’il accordait à la conformité du mécanisme anti-fonds spéculatifs au droit constitutionnel français mais également aux droits européen et international. Au Sénat, il souligna le « bon équilibre entre efficacité et constitutionnalité » de l’article visant à lutter contre les pratiques prédatrices des fonds (Sénat, compte rendu intégral, session extraordinaire de 2015-2016, séance du lundi 4 juillet 2016, </w:t>
      </w:r>
      <w:r w:rsidRPr="00E72418">
        <w:rPr>
          <w:i/>
          <w:szCs w:val="20"/>
        </w:rPr>
        <w:t>Journal officiel de la République française</w:t>
      </w:r>
      <w:r w:rsidRPr="00E72418">
        <w:rPr>
          <w:szCs w:val="20"/>
        </w:rPr>
        <w:t xml:space="preserve">, p. 12115). Plus tard au cours des travaux préparatoires de la loi, alors qu’un sous-amendement proposait d’élargir triplement le champ d’application de l’article, à savoir à l’ensemble des États étrangers, à tous les comportements manifestement abusifs sans limitation temporelle ou encore à l’ensemble des titres qu’ils aient été acquis antérieurement ou postérieurement à l’entrée en vigueur de la loi (voyez le sous-amendement n° 677 présenté par Joël Labbé et André Gattolin à l’amendement n° 634 du Gouvernement. Avec cette triple extension, ce sous-amendement faisait ainsi des propositions similaires à certaines faites par </w:t>
      </w:r>
      <w:r w:rsidRPr="00E72418">
        <w:rPr>
          <w:rFonts w:ascii="Times New Roman" w:hAnsi="Times New Roman" w:cs="Times New Roman"/>
          <w:szCs w:val="24"/>
        </w:rPr>
        <w:t xml:space="preserve">Marie-Noëlle </w:t>
      </w:r>
      <w:r w:rsidRPr="00E72418">
        <w:rPr>
          <w:szCs w:val="20"/>
        </w:rPr>
        <w:t xml:space="preserve">Lienemann et de Jérôme Durain avec leur amendement n° 193 rectifié </w:t>
      </w:r>
      <w:r w:rsidRPr="00E72418">
        <w:rPr>
          <w:i/>
          <w:szCs w:val="20"/>
        </w:rPr>
        <w:t>bis</w:t>
      </w:r>
      <w:r w:rsidRPr="00E72418">
        <w:rPr>
          <w:szCs w:val="20"/>
        </w:rPr>
        <w:t xml:space="preserve">), le ministre Michel Sapin y répondit en indiquant : « je crains qu’il n’aille au-delà de ce que les conventions internationales permettent et qu’il ne nous fasse courir un risque juridique réel, y compris de nature constitutionnelle ». Il ajouta : « [j]e ne voudrais pas que, à vouloir trop bien faire, nous allions trop loin et que le Conseil constitutionnel ne vienne alors remettre en cause […] ce que nous avons voulu faire, le tout au terme d’un redoutable processus » et « [a]lors que nous voulons protéger les États contre les fonds vautours, nous aboutirions à une situation exactement inverse » (Sénat, compte rendu intégral, session extraordinaire de 2015-2016, séance du jeudi 7 juillet 2016, </w:t>
      </w:r>
      <w:r w:rsidRPr="00E72418">
        <w:rPr>
          <w:i/>
          <w:szCs w:val="20"/>
        </w:rPr>
        <w:t>Journal officiel de la République française</w:t>
      </w:r>
      <w:r w:rsidRPr="00E72418">
        <w:rPr>
          <w:szCs w:val="20"/>
        </w:rPr>
        <w:t>, p. 12546. Le ministre Michel Sapin, parlant erronément du sous-amendement n° 673 au lieu du sous-amendement n° 677, conclut en indiquant qu’il souhaitait que ce sous-amendement soit retiré, ce qu’il fut).</w:t>
      </w:r>
    </w:p>
  </w:footnote>
  <w:footnote w:id="1819">
    <w:p w14:paraId="30AEBE45" w14:textId="6C78438D"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Il fut proposé, au cours des travaux préparatoires de la loi, sans que cela soit suivi, de substituer les mots « saisie-attribution » aux mots « mesure d’exécution forcée »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 4237).</w:t>
      </w:r>
    </w:p>
  </w:footnote>
  <w:footnote w:id="1820">
    <w:p w14:paraId="3AC6217A" w14:textId="70EF7431"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Sur cette autorisation, voyez </w:t>
      </w:r>
      <w:r w:rsidRPr="00E72418">
        <w:rPr>
          <w:i/>
          <w:szCs w:val="20"/>
        </w:rPr>
        <w:t xml:space="preserve">infra </w:t>
      </w:r>
      <w:r w:rsidRPr="00E72418">
        <w:rPr>
          <w:szCs w:val="20"/>
        </w:rPr>
        <w:t>n</w:t>
      </w:r>
      <w:r w:rsidRPr="00E72418">
        <w:rPr>
          <w:szCs w:val="20"/>
          <w:vertAlign w:val="superscript"/>
        </w:rPr>
        <w:t>os</w:t>
      </w:r>
      <w:r w:rsidRPr="00E72418">
        <w:rPr>
          <w:szCs w:val="20"/>
        </w:rPr>
        <w:t xml:space="preserve"> 370.</w:t>
      </w:r>
    </w:p>
  </w:footnote>
  <w:footnote w:id="1821">
    <w:p w14:paraId="5DFF18F0" w14:textId="7F43BDEF" w:rsidR="0030147D" w:rsidRPr="00E72418" w:rsidRDefault="0030147D" w:rsidP="00D60365">
      <w:pPr>
        <w:pStyle w:val="Sansinterligne"/>
      </w:pPr>
      <w:r w:rsidRPr="00E72418">
        <w:rPr>
          <w:rStyle w:val="Appelnotedebasdep"/>
          <w:szCs w:val="20"/>
        </w:rPr>
        <w:footnoteRef/>
      </w:r>
      <w:r w:rsidRPr="00E72418">
        <w:t xml:space="preserve"> C’est ainsi que les parlementaires présentant l’amendement ayant conduit à l’adoption de l’article 60 indiquèrent que celui-ci a pour objectif « de priver d’effet les mesures conservatoires et les mesures d’exécution forcée lorsque sont réunies les caractéristiques du comportement d’un fonds “procédurier” » (amendement n° 1405 (Rect) présenté par </w:t>
      </w:r>
      <w:r w:rsidRPr="00E72418">
        <w:rPr>
          <w:szCs w:val="20"/>
        </w:rPr>
        <w:t>Dominique</w:t>
      </w:r>
      <w:r w:rsidRPr="00E72418">
        <w:t xml:space="preserve"> Potier </w:t>
      </w:r>
      <w:r w:rsidRPr="00E72418">
        <w:rPr>
          <w:i/>
        </w:rPr>
        <w:t>et al.</w:t>
      </w:r>
      <w:r w:rsidRPr="00E72418">
        <w:t>, 2 juin 2016, p. 4). Voyez également le rappel de cet objectif dans l’amendement n° 634 du Gouvernement visant à rétablir l’article anti-fonds spéculatifs supprimé en Commission des lois constitutionnelles, de législation, du suffrage universel, du Règlement et d’administration générale […] du Sénat.</w:t>
      </w:r>
    </w:p>
  </w:footnote>
  <w:footnote w:id="1822">
    <w:p w14:paraId="143B580E" w14:textId="157250F3" w:rsidR="0030147D" w:rsidRPr="00E72418" w:rsidRDefault="0030147D" w:rsidP="000B4E5D">
      <w:pPr>
        <w:pStyle w:val="Sansinterligne"/>
      </w:pPr>
      <w:r w:rsidRPr="00E72418">
        <w:rPr>
          <w:rStyle w:val="Appelnotedebasdep"/>
        </w:rPr>
        <w:footnoteRef/>
      </w:r>
      <w:r w:rsidRPr="00E72418">
        <w:t xml:space="preserve"> Dès lors qu’une des conditions est d’ordre temporel, il faudrait sans doute, comme Louis d’Avout l’indique, nuancer l’idée d’interdiction et retenir que « l’exécution forcée n’est pas proscrite, mais retardée » (L. </w:t>
      </w:r>
      <w:r w:rsidRPr="00E72418">
        <w:rPr>
          <w:smallCaps/>
        </w:rPr>
        <w:t>d’Avout</w:t>
      </w:r>
      <w:r w:rsidRPr="00E72418">
        <w:t xml:space="preserve">, « Immunité d’exécution des </w:t>
      </w:r>
      <w:r w:rsidRPr="00E72418">
        <w:rPr>
          <w:rFonts w:cs="Times New Roman"/>
          <w:szCs w:val="24"/>
        </w:rPr>
        <w:t>É</w:t>
      </w:r>
      <w:r w:rsidRPr="00E72418">
        <w:rPr>
          <w:rFonts w:ascii="Times New Roman" w:hAnsi="Times New Roman" w:cs="Times New Roman"/>
          <w:szCs w:val="24"/>
        </w:rPr>
        <w:t>tats</w:t>
      </w:r>
      <w:r w:rsidRPr="00E72418">
        <w:t xml:space="preserve"> étrangers », </w:t>
      </w:r>
      <w:r w:rsidRPr="00E72418">
        <w:rPr>
          <w:i/>
        </w:rPr>
        <w:t>D.</w:t>
      </w:r>
      <w:r w:rsidRPr="00E72418">
        <w:t xml:space="preserve">, 2017, p. 2057). Sur cette condition, voyez </w:t>
      </w:r>
      <w:r w:rsidRPr="00E72418">
        <w:rPr>
          <w:i/>
        </w:rPr>
        <w:t>infra</w:t>
      </w:r>
      <w:r w:rsidRPr="00E72418">
        <w:t xml:space="preserve"> n° 369.</w:t>
      </w:r>
    </w:p>
  </w:footnote>
  <w:footnote w:id="1823">
    <w:p w14:paraId="1E6CA44E" w14:textId="1A3D39FF"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R.D.I.A.</w:t>
      </w:r>
      <w:r w:rsidRPr="00E72418">
        <w:rPr>
          <w:szCs w:val="20"/>
        </w:rPr>
        <w:t>, 2018, p. 368.</w:t>
      </w:r>
    </w:p>
  </w:footnote>
  <w:footnote w:id="1824">
    <w:p w14:paraId="48E7F424" w14:textId="52409BDA"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Cela va sans dire, dans l’hypothèse d’une autorisation requise sur la base de l’article 60.IV., les mesures de contrainte ne pourront être autorisées que moyennant le respect du régime immunitaire général (voyez ainsi les articles L. 111-1 et suivants du Code des procédures civiles d’exécution dont question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218 et suiv.). </w:t>
      </w:r>
    </w:p>
  </w:footnote>
  <w:footnote w:id="1825">
    <w:p w14:paraId="058DDE93" w14:textId="4CE0E75A"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La justification de l’exception est reprise dans l’exposé sommaire de l’amendement à l’origine de l’article 60 de la loi Sapin II où il est précisé que « dans la mesure où une offre de restructuration est supposée avoir été calibrée pour permettre un retour de l’État étranger à une situation d’équilibre si elle est acceptée par tous les créanciers auxquels elle a été proposée, le créancier retrouve le plein bénéfice du recours aux procédures civiles d’exécution s’il se contente de réclamer le paiement des montants auxquels lui aurait donné droit la proposition de restructuration acceptée par une large majorité de créanciers, à laquelle il n’a pas participé et/ou consenti pour une quelconque raison (par exemple, parce qu’il n’a pas répondu à temps à l’offre de restructuration) » (amendement n° 1405 (Rect) présenté par Dominique Potier </w:t>
      </w:r>
      <w:r w:rsidRPr="00E72418">
        <w:rPr>
          <w:i/>
          <w:szCs w:val="20"/>
        </w:rPr>
        <w:t>et al.</w:t>
      </w:r>
      <w:r w:rsidRPr="00E72418">
        <w:rPr>
          <w:szCs w:val="20"/>
        </w:rPr>
        <w:t>, 2 juin 2016, p. 4. Ce recours retrouvé est rappelé dans l’amendement n° 634 présenté par le Gouvernement français).</w:t>
      </w:r>
    </w:p>
  </w:footnote>
  <w:footnote w:id="1826">
    <w:p w14:paraId="2EA06A8C" w14:textId="6CEA5DFD"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smallCaps/>
          <w:szCs w:val="20"/>
        </w:rPr>
        <w:t>S. Bollée</w:t>
      </w:r>
      <w:r w:rsidRPr="00E72418">
        <w:rPr>
          <w:szCs w:val="20"/>
        </w:rPr>
        <w:t xml:space="preserve">, « Les dispositions de la loi Sapin 2 relatives à l’immunité d’exécution », </w:t>
      </w:r>
      <w:r w:rsidRPr="00E72418">
        <w:rPr>
          <w:i/>
          <w:szCs w:val="20"/>
        </w:rPr>
        <w:t>op. cit.</w:t>
      </w:r>
      <w:r w:rsidRPr="00E72418">
        <w:rPr>
          <w:szCs w:val="20"/>
        </w:rPr>
        <w:t xml:space="preserve">, p. 2560. Sur ces clauses d’action collective,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282 et suiv.</w:t>
      </w:r>
    </w:p>
  </w:footnote>
  <w:footnote w:id="1827">
    <w:p w14:paraId="5B2438BA" w14:textId="604BCF3A"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pp. 369 et 370.</w:t>
      </w:r>
    </w:p>
  </w:footnote>
  <w:footnote w:id="1828">
    <w:p w14:paraId="17A1166F" w14:textId="565506AF"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Cette liste est disponible à l’adresse </w:t>
      </w:r>
      <w:hyperlink r:id="rId63" w:history="1">
        <w:r w:rsidRPr="00E72418">
          <w:rPr>
            <w:rStyle w:val="Lienhypertexte"/>
            <w:color w:val="auto"/>
            <w:szCs w:val="20"/>
            <w:u w:val="none"/>
          </w:rPr>
          <w:t>www.oecd.org/fr/cad/financementpourledeveloppementdurable/normes-financement-developpement/DAC_List_ODA_Recipients2018to2020_flows_Fr.pdf</w:t>
        </w:r>
      </w:hyperlink>
      <w:r w:rsidRPr="00E72418">
        <w:rPr>
          <w:rStyle w:val="Lienhypertexte"/>
          <w:color w:val="auto"/>
          <w:szCs w:val="20"/>
          <w:u w:val="none"/>
        </w:rPr>
        <w:t xml:space="preserve"> (consultation le 17 octobre 2021)</w:t>
      </w:r>
      <w:r w:rsidRPr="00E72418">
        <w:rPr>
          <w:szCs w:val="20"/>
        </w:rPr>
        <w:t>.</w:t>
      </w:r>
    </w:p>
  </w:footnote>
  <w:footnote w:id="1829">
    <w:p w14:paraId="19E65227" w14:textId="45F71D09"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Certaines initiatives visant à supprimer la limitation ont été prises sans être suivies. Les sénateurs Marie-Noëlle Lienemann et Jérôme Durain expliquaient ainsi dans un amendement leur souhait d’élargissement du champ d’application de l’article anti-fonds spéculatifs « afin de tenir compte de la réalité de la pratique des fonds vautours, qui, s’ils privilégient la spéculation sur les créances des pauvres endettés, ne s’y limitent pas ». Les auteurs de l’amendement relevaient que « [l]a Grèce, qui ne figurait pas sur la liste des pays bénéficiaires de l’</w:t>
      </w:r>
      <w:r w:rsidRPr="00E72418">
        <w:rPr>
          <w:rFonts w:cs="Times New Roman"/>
          <w:szCs w:val="20"/>
        </w:rPr>
        <w:t>[aide publique au développement]</w:t>
      </w:r>
      <w:r w:rsidRPr="00E72418">
        <w:rPr>
          <w:szCs w:val="20"/>
        </w:rPr>
        <w:t xml:space="preserve">, a ainsi été victime en 2012 de plusieurs fonds vautours ». Les sénateurs indiquaient encore que la limitation de l’article anti-fonds spéculatifs aux créances sur les dettes de pays bénéficiaires de l’aide publique au développement pourrait aboutir à inciter ces fonds à développer leurs activités spéculatives sur les pays qui n’en seraient pas bénéficiaires (amendement n° 193 rectifié </w:t>
      </w:r>
      <w:r w:rsidRPr="00E72418">
        <w:rPr>
          <w:i/>
          <w:szCs w:val="20"/>
        </w:rPr>
        <w:t xml:space="preserve">bis </w:t>
      </w:r>
      <w:r w:rsidRPr="00E72418">
        <w:rPr>
          <w:szCs w:val="20"/>
        </w:rPr>
        <w:t xml:space="preserve">de </w:t>
      </w:r>
      <w:r w:rsidRPr="00E72418">
        <w:rPr>
          <w:rFonts w:ascii="Times New Roman" w:hAnsi="Times New Roman" w:cs="Times New Roman"/>
          <w:szCs w:val="24"/>
        </w:rPr>
        <w:t>Marie-Noëlle</w:t>
      </w:r>
      <w:r w:rsidRPr="00E72418">
        <w:rPr>
          <w:szCs w:val="20"/>
        </w:rPr>
        <w:t xml:space="preserve"> Lienemann et Jérôme Durain. Voyez également, dans le sens de la suppression de la limitation, le sous-amendement n° 677 à l’amendement n° 634 du Gouvernement présenté par Joël Labbé et André Gattolin). </w:t>
      </w:r>
      <w:r w:rsidRPr="00E72418">
        <w:rPr>
          <w:rFonts w:cs="Times New Roman"/>
          <w:szCs w:val="20"/>
          <w:shd w:val="clear" w:color="auto" w:fill="FFFFFF"/>
        </w:rPr>
        <w:t>Selon Paul Giraud, le refus d’extension du champ d’application du mécanisme s’explique peut-être par la crainte d’une censure conventionnelle ou constitutionnelle, le but légitime et la proportionnalité de la mesure étant plus facilement défendables si les États protégés</w:t>
      </w:r>
      <w:r w:rsidRPr="00E72418">
        <w:rPr>
          <w:rFonts w:cs="Times New Roman"/>
          <w:szCs w:val="20"/>
        </w:rPr>
        <w:t xml:space="preserve"> </w:t>
      </w:r>
      <w:r w:rsidRPr="00E72418">
        <w:rPr>
          <w:rFonts w:cs="Times New Roman"/>
          <w:szCs w:val="20"/>
          <w:shd w:val="clear" w:color="auto" w:fill="FFFFFF"/>
        </w:rPr>
        <w:t>sont moins nombreux. Et cet auteur de cependant relever que « la restriction aux seuls pays bénéficiaires de l’aide au développement affaiblit la force de conviction de la dénonciation générale de l’immoralité de l’activité des fonds vautours », que « </w:t>
      </w:r>
      <w:r w:rsidRPr="00E72418">
        <w:rPr>
          <w:rFonts w:cs="Times New Roman"/>
          <w:szCs w:val="20"/>
        </w:rPr>
        <w:t>[s]</w:t>
      </w:r>
      <w:r w:rsidRPr="00E72418">
        <w:rPr>
          <w:rFonts w:cs="Times New Roman"/>
          <w:szCs w:val="20"/>
          <w:shd w:val="clear" w:color="auto" w:fill="FFFFFF"/>
        </w:rPr>
        <w:t xml:space="preserve">i ces fonds doivent être combattus car leur enrichissement est immoral, alors il l’est quel que soit l’État concerné » et que </w:t>
      </w:r>
      <w:r w:rsidRPr="00E72418">
        <w:rPr>
          <w:szCs w:val="20"/>
        </w:rPr>
        <w:t>« </w:t>
      </w:r>
      <w:r w:rsidRPr="00E72418">
        <w:rPr>
          <w:rFonts w:cs="Times New Roman"/>
          <w:szCs w:val="20"/>
        </w:rPr>
        <w:t>[l]</w:t>
      </w:r>
      <w:r w:rsidRPr="00E72418">
        <w:rPr>
          <w:szCs w:val="20"/>
        </w:rPr>
        <w:t>e contraire donne le sentiment d’une indignation limitée aux seuls cas où l’argent versé aux fonds provient originairement de l’aide occidentale »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pp. 364 et 365)</w:t>
      </w:r>
      <w:r w:rsidRPr="00E72418">
        <w:rPr>
          <w:rFonts w:cs="Times New Roman"/>
          <w:szCs w:val="20"/>
          <w:shd w:val="clear" w:color="auto" w:fill="FFFFFF"/>
        </w:rPr>
        <w:t>.</w:t>
      </w:r>
    </w:p>
  </w:footnote>
  <w:footnote w:id="1830">
    <w:p w14:paraId="33EA73FE" w14:textId="5D8D4112"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15.</w:t>
      </w:r>
    </w:p>
  </w:footnote>
  <w:footnote w:id="1831">
    <w:p w14:paraId="4470983C" w14:textId="1C395497" w:rsidR="0030147D" w:rsidRPr="00E72418" w:rsidRDefault="0030147D" w:rsidP="00A9693B">
      <w:pPr>
        <w:pStyle w:val="Sansinterligne"/>
        <w:rPr>
          <w:szCs w:val="20"/>
        </w:rPr>
      </w:pPr>
      <w:r w:rsidRPr="00E72418">
        <w:rPr>
          <w:rStyle w:val="Appelnotedebasdep"/>
          <w:szCs w:val="20"/>
        </w:rPr>
        <w:footnoteRef/>
      </w:r>
      <w:r w:rsidRPr="00E72418">
        <w:rPr>
          <w:szCs w:val="20"/>
        </w:rPr>
        <w:t xml:space="preserv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xml:space="preserve">, p. 365. Sur ce critère temporel repris dans notre proposition, voyez </w:t>
      </w:r>
      <w:r w:rsidRPr="00E72418">
        <w:rPr>
          <w:i/>
          <w:szCs w:val="20"/>
        </w:rPr>
        <w:t>infra</w:t>
      </w:r>
      <w:r w:rsidRPr="00E72418">
        <w:rPr>
          <w:szCs w:val="20"/>
        </w:rPr>
        <w:t xml:space="preserve"> n° 4</w:t>
      </w:r>
      <w:r>
        <w:rPr>
          <w:szCs w:val="20"/>
        </w:rPr>
        <w:t>24</w:t>
      </w:r>
      <w:r w:rsidRPr="00E72418">
        <w:rPr>
          <w:szCs w:val="20"/>
        </w:rPr>
        <w:t>.</w:t>
      </w:r>
    </w:p>
  </w:footnote>
  <w:footnote w:id="1832">
    <w:p w14:paraId="01B8357A" w14:textId="25C6BBC4" w:rsidR="0030147D" w:rsidRPr="00E72418" w:rsidRDefault="0030147D" w:rsidP="007031D0">
      <w:pPr>
        <w:pStyle w:val="Sansinterligne"/>
      </w:pPr>
      <w:r w:rsidRPr="00E72418">
        <w:rPr>
          <w:rStyle w:val="Appelnotedebasdep"/>
        </w:rPr>
        <w:footnoteRef/>
      </w:r>
      <w:r w:rsidRPr="00E72418">
        <w:t xml:space="preserve"> Sur la modélisation contractuelle des événements de défaut, voyez </w:t>
      </w:r>
      <w:r w:rsidRPr="00E72418">
        <w:rPr>
          <w:i/>
        </w:rPr>
        <w:t>supra</w:t>
      </w:r>
      <w:r w:rsidRPr="00E72418">
        <w:t xml:space="preserve"> n° 52.</w:t>
      </w:r>
    </w:p>
  </w:footnote>
  <w:footnote w:id="1833">
    <w:p w14:paraId="2E8D2225" w14:textId="03B24F89"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xml:space="preserve">, p. 15. Sur la variété des mesures de restructuration, voyez </w:t>
      </w:r>
      <w:r w:rsidRPr="00E72418">
        <w:rPr>
          <w:i/>
          <w:szCs w:val="20"/>
        </w:rPr>
        <w:t>supra</w:t>
      </w:r>
      <w:r w:rsidRPr="00E72418">
        <w:rPr>
          <w:rFonts w:ascii="Times New Roman" w:hAnsi="Times New Roman" w:cs="Times New Roman"/>
          <w:lang w:eastAsia="fr-BE"/>
        </w:rPr>
        <w:t xml:space="preserve"> n° 62.</w:t>
      </w:r>
    </w:p>
  </w:footnote>
  <w:footnote w:id="1834">
    <w:p w14:paraId="7763B1F1" w14:textId="77777777"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Nous mettons en italique.</w:t>
      </w:r>
    </w:p>
  </w:footnote>
  <w:footnote w:id="1835">
    <w:p w14:paraId="46AE55D9" w14:textId="20755937" w:rsidR="0030147D" w:rsidRPr="00E72418" w:rsidRDefault="0030147D" w:rsidP="00D04C6A">
      <w:pPr>
        <w:pStyle w:val="Sansinterligne"/>
        <w:rPr>
          <w:szCs w:val="20"/>
        </w:rPr>
      </w:pPr>
      <w:r w:rsidRPr="00E72418">
        <w:rPr>
          <w:rStyle w:val="Appelnotedebasdep"/>
          <w:szCs w:val="20"/>
        </w:rPr>
        <w:footnoteRef/>
      </w:r>
      <w:r w:rsidRPr="00E72418">
        <w:rPr>
          <w:szCs w:val="20"/>
        </w:rPr>
        <w:t xml:space="preserve"> Certains sénateurs voulurent aller encore plus loin en proposant que le dispositif anti-fonds spéculatifs s’applique à l’ensemble des cas où un « comportement manifestement abusif » de la part du créancier est établi, et non simplement pendant un délai de soixante-douze mois (voyez l’amendement n° 193 rectifié </w:t>
      </w:r>
      <w:r w:rsidRPr="00E72418">
        <w:rPr>
          <w:i/>
          <w:szCs w:val="20"/>
        </w:rPr>
        <w:t xml:space="preserve">bis </w:t>
      </w:r>
      <w:r w:rsidRPr="00E72418">
        <w:rPr>
          <w:szCs w:val="20"/>
        </w:rPr>
        <w:t xml:space="preserve">de </w:t>
      </w:r>
      <w:r w:rsidRPr="00E72418">
        <w:rPr>
          <w:rFonts w:ascii="Times New Roman" w:hAnsi="Times New Roman" w:cs="Times New Roman"/>
          <w:szCs w:val="24"/>
        </w:rPr>
        <w:t xml:space="preserve">Marie-Noëlle </w:t>
      </w:r>
      <w:r w:rsidRPr="00E72418">
        <w:rPr>
          <w:szCs w:val="20"/>
        </w:rPr>
        <w:t>Lienemann et de Jérôme Durain. Voyez encore, pour l’extension de l’application, le sous-amendement n° 677 à l’amendement n° 634 du Gouvernement présenté par Joël Labbé et André Gattolin). À l’Assemblée nationale, Dominique Potier parla lui de « mauvaise foi manifeste »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 4236).</w:t>
      </w:r>
    </w:p>
  </w:footnote>
  <w:footnote w:id="1836">
    <w:p w14:paraId="292043DE" w14:textId="0BC6F5E3" w:rsidR="0030147D" w:rsidRPr="00E72418" w:rsidRDefault="0030147D" w:rsidP="00D04C6A">
      <w:pPr>
        <w:pStyle w:val="Sansinterligne"/>
        <w:rPr>
          <w:szCs w:val="20"/>
        </w:rPr>
      </w:pPr>
      <w:r w:rsidRPr="00E72418">
        <w:rPr>
          <w:rStyle w:val="Appelnotedebasdep"/>
          <w:szCs w:val="20"/>
        </w:rPr>
        <w:footnoteRef/>
      </w:r>
      <w:r w:rsidRPr="00E72418">
        <w:rPr>
          <w:szCs w:val="20"/>
        </w:rPr>
        <w:t xml:space="preserve"> </w:t>
      </w:r>
      <w:r w:rsidRPr="00E72418">
        <w:rPr>
          <w:rFonts w:cs="Times New Roman"/>
          <w:szCs w:val="20"/>
          <w:shd w:val="clear" w:color="auto" w:fill="FFFFFF"/>
        </w:rPr>
        <w:t xml:space="preserve">Les adverbe et adjectif choisis nous paraissent rendre l’appréciation qu’aura à en faire le juge très subjective, et ce, au détriment de la sécurité juridique (sur cette sécurité pourtant nécessaire au bon fonctionnement du marché des dettes souveraines, voyez </w:t>
      </w:r>
      <w:r w:rsidRPr="00E72418">
        <w:rPr>
          <w:rFonts w:cs="Times New Roman"/>
          <w:i/>
          <w:szCs w:val="20"/>
          <w:shd w:val="clear" w:color="auto" w:fill="FFFFFF"/>
        </w:rPr>
        <w:t>supra</w:t>
      </w:r>
      <w:r w:rsidRPr="00E72418">
        <w:rPr>
          <w:rFonts w:cs="Times New Roman"/>
          <w:szCs w:val="20"/>
          <w:shd w:val="clear" w:color="auto" w:fill="FFFFFF"/>
        </w:rPr>
        <w:t xml:space="preserve"> n° 171)</w:t>
      </w:r>
      <w:r w:rsidRPr="00E72418">
        <w:rPr>
          <w:szCs w:val="20"/>
        </w:rPr>
        <w:t>. Paul Giraud se demande si le refus d’un fonds d’accepter une offre étatique de renégociation ou d’échelonnement pourrait équivaloir à un tel comportement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366).</w:t>
      </w:r>
    </w:p>
  </w:footnote>
  <w:footnote w:id="1837">
    <w:p w14:paraId="55D873EA" w14:textId="564A4075"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xml:space="preserve"> Il ressort de l’exposé sommaire de l’amendement à l’origine de la disposition qu’ « [u]n délai de 48 mois est prévu pour permettre à l’État étranger de mener à bien la restructuration de sa dette et de parvenir à une proposition de restructuration convainquant une large majorité de créanciers ». Il y est également précisé qu’ « [a]fin de ne pas pénaliser le créancier, ce dernier recouvre le bénéfice des mesures d’exécution au-delà de ce délai » (amendement n° 1405 (Rect) présenté par Dominique Potier </w:t>
      </w:r>
      <w:r w:rsidRPr="00E72418">
        <w:rPr>
          <w:i/>
          <w:szCs w:val="20"/>
        </w:rPr>
        <w:t>et al.</w:t>
      </w:r>
      <w:r w:rsidRPr="00E72418">
        <w:rPr>
          <w:szCs w:val="20"/>
        </w:rPr>
        <w:t>, 2 juin 2016, p. 4. Voyez le rappel de ce propos dans l’amendement n° 634 présenté par le Gouvernement).</w:t>
      </w:r>
    </w:p>
  </w:footnote>
  <w:footnote w:id="1838">
    <w:p w14:paraId="6BE3B0CC" w14:textId="77777777" w:rsidR="0030147D" w:rsidRPr="00E72418" w:rsidRDefault="0030147D" w:rsidP="00573D6D">
      <w:pPr>
        <w:pStyle w:val="Sansinterligne"/>
        <w:rPr>
          <w:szCs w:val="20"/>
        </w:rPr>
      </w:pPr>
      <w:r w:rsidRPr="00E72418">
        <w:rPr>
          <w:rStyle w:val="Appelnotedebasdep"/>
          <w:szCs w:val="20"/>
        </w:rPr>
        <w:footnoteRef/>
      </w:r>
      <w:r w:rsidRPr="00E72418">
        <w:rPr>
          <w:szCs w:val="20"/>
        </w:rPr>
        <w:t xml:space="preserve"> Notons encore que s’agissant de la situation où une proposition de modification des termes du titre de créance a été faite, le Conseil constitutionnel ne semble pas retenir qu’il faille qu’il s’agisse d’une première proposition, le Conseil se limitant à viser « la proposition de modification des termes du titre de créance » sans autre indication (Conseil constitutionnel, décision n° 2016-741 DC du 8 décembre 2016, point 63). </w:t>
      </w:r>
    </w:p>
  </w:footnote>
  <w:footnote w:id="1839">
    <w:p w14:paraId="19026551" w14:textId="6867A922"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w:t>
      </w:r>
      <w:r w:rsidRPr="00E72418">
        <w:rPr>
          <w:szCs w:val="20"/>
          <w:shd w:val="clear" w:color="auto" w:fill="FFFFFF"/>
        </w:rPr>
        <w:t>É</w:t>
      </w:r>
      <w:r w:rsidRPr="00E72418">
        <w:rPr>
          <w:szCs w:val="20"/>
        </w:rPr>
        <w:t>tonnamment, le Conseil constitutionnel français semble retenir que la limite de délai de quarante-huit mois relative à la situation de défaut et à la première proposition de modification des termes du titre de créance s’applique également à la proposition de modification applicable au titre de créance acceptée par des créanciers représentant au moins deux tiers du montant en principal des créances éligibles (</w:t>
      </w:r>
      <w:r w:rsidRPr="00E72418">
        <w:rPr>
          <w:i/>
          <w:szCs w:val="20"/>
        </w:rPr>
        <w:t>ibid.</w:t>
      </w:r>
      <w:r w:rsidRPr="00E72418">
        <w:rPr>
          <w:szCs w:val="20"/>
        </w:rPr>
        <w:t>).</w:t>
      </w:r>
    </w:p>
  </w:footnote>
  <w:footnote w:id="1840">
    <w:p w14:paraId="0BF59AC9" w14:textId="33D909F2"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pp. 4236 et 4237. Dominique Carreau et Caroline Kleiner indiquent dans ce sens que la disposition française « contribue […] à la reconnaissance des effets obligatoires des accords de restructuration de dettes souveraines approuvés par une majorité qualifiée au titre des nouvelles “clauses d’action collective” » (</w:t>
      </w:r>
      <w:r w:rsidRPr="00E72418">
        <w:rPr>
          <w:rStyle w:val="Titre4Car"/>
          <w:rFonts w:ascii="Times" w:eastAsiaTheme="minorHAnsi" w:hAnsi="Times" w:cstheme="minorBidi"/>
          <w:i w:val="0"/>
          <w:iCs w:val="0"/>
          <w:smallCaps/>
          <w:color w:val="auto"/>
          <w:szCs w:val="20"/>
        </w:rPr>
        <w:t>D. Carreau</w:t>
      </w:r>
      <w:r w:rsidRPr="00E72418">
        <w:rPr>
          <w:rStyle w:val="Titre4Car"/>
          <w:rFonts w:ascii="Times" w:eastAsiaTheme="minorHAnsi" w:hAnsi="Times" w:cstheme="minorBidi"/>
          <w:i w:val="0"/>
          <w:iCs w:val="0"/>
          <w:color w:val="auto"/>
          <w:szCs w:val="20"/>
        </w:rPr>
        <w:t xml:space="preserve"> et </w:t>
      </w:r>
      <w:r w:rsidRPr="00E72418">
        <w:rPr>
          <w:rStyle w:val="Titre4Car"/>
          <w:rFonts w:ascii="Times" w:eastAsiaTheme="minorHAnsi" w:hAnsi="Times" w:cstheme="minorBidi"/>
          <w:i w:val="0"/>
          <w:iCs w:val="0"/>
          <w:smallCaps/>
          <w:color w:val="auto"/>
          <w:szCs w:val="20"/>
        </w:rPr>
        <w:t>C. Kleiner</w:t>
      </w:r>
      <w:r w:rsidRPr="00E72418">
        <w:rPr>
          <w:rStyle w:val="Titre4Car"/>
          <w:rFonts w:ascii="Times" w:eastAsiaTheme="minorHAnsi" w:hAnsi="Times" w:cstheme="minorBidi"/>
          <w:i w:val="0"/>
          <w:iCs w:val="0"/>
          <w:color w:val="auto"/>
          <w:szCs w:val="20"/>
        </w:rPr>
        <w:t>, « Dettes d’</w:t>
      </w:r>
      <w:r w:rsidRPr="00E72418">
        <w:rPr>
          <w:szCs w:val="20"/>
          <w:lang w:eastAsia="fr-BE"/>
        </w:rPr>
        <w:t>É</w:t>
      </w:r>
      <w:r w:rsidRPr="00E72418">
        <w:rPr>
          <w:rStyle w:val="Titre4Car"/>
          <w:rFonts w:ascii="Times" w:eastAsiaTheme="minorHAnsi" w:hAnsi="Times" w:cstheme="minorBidi"/>
          <w:i w:val="0"/>
          <w:iCs w:val="0"/>
          <w:color w:val="auto"/>
          <w:szCs w:val="20"/>
        </w:rPr>
        <w:t xml:space="preserve">tat », </w:t>
      </w:r>
      <w:r w:rsidRPr="00E72418">
        <w:rPr>
          <w:i/>
          <w:szCs w:val="20"/>
          <w:lang w:val="en-US"/>
        </w:rPr>
        <w:t>op. cit.</w:t>
      </w:r>
      <w:r w:rsidRPr="00E72418">
        <w:rPr>
          <w:rStyle w:val="Titre4Car"/>
          <w:rFonts w:ascii="Times" w:eastAsiaTheme="minorHAnsi" w:hAnsi="Times" w:cstheme="minorBidi"/>
          <w:i w:val="0"/>
          <w:iCs w:val="0"/>
          <w:color w:val="auto"/>
          <w:szCs w:val="20"/>
        </w:rPr>
        <w:t>, n° 169).</w:t>
      </w:r>
    </w:p>
  </w:footnote>
  <w:footnote w:id="1841">
    <w:p w14:paraId="683FD9FF" w14:textId="2C2FF09A" w:rsidR="0030147D" w:rsidRPr="00E72418" w:rsidRDefault="0030147D" w:rsidP="000A07C9">
      <w:pPr>
        <w:pStyle w:val="Sansinterligne"/>
        <w:rPr>
          <w:szCs w:val="20"/>
        </w:rPr>
      </w:pPr>
      <w:r w:rsidRPr="00E72418">
        <w:rPr>
          <w:rStyle w:val="Appelnotedebasdep"/>
          <w:szCs w:val="20"/>
        </w:rPr>
        <w:footnoteRef/>
      </w:r>
      <w:r w:rsidRPr="00E72418">
        <w:rPr>
          <w:szCs w:val="20"/>
        </w:rPr>
        <w:t xml:space="preserve"> L’amendement dont découle l’adoption de cette disposition visait la seule acceptation de la proposition de modification, peu importe que « cette modification ait pu ou non entrer en vigueur » (amendement n° 1405 (Rect) présenté par Dominique Potier </w:t>
      </w:r>
      <w:r w:rsidRPr="00E72418">
        <w:rPr>
          <w:i/>
          <w:szCs w:val="20"/>
        </w:rPr>
        <w:t>et al.</w:t>
      </w:r>
      <w:r w:rsidRPr="00E72418">
        <w:rPr>
          <w:szCs w:val="20"/>
        </w:rPr>
        <w:t xml:space="preserve">, 2 juin 2016, p. 4). Un sous-amendement visant à préciser la situation dans les cas où le seuil d’entrée en vigueur contractuel d’une offre de restructuration serait plus élevé que le seuil de soixante-six pour cent fut adopté. L’exposé sommaire du sous-amendement précisait que « [c]oncrètement, la rédaction actuelle augmente le champ d’application aux contrats d’émission de titres qui comportent déjà des CAC (clauses d’action collective) ou autres procédures de décision pour les renégociations, mais avec des seuils de majorité supérieurs à 66% » et que « [l]e dispositif proposé en matière de mesures conservatoires ou de mesures d’exécution jouera donc, s’agissant des créanciers qui relèvent de son champ d’application, dès lors que 66% des créanciers auront voté positivement en faveur d’une renégociation, même si ce seuil est inférieur à ce qui est contractuellement requis » (sous-amendement n° 1567, présenté par </w:t>
      </w:r>
      <w:r w:rsidRPr="00E72418">
        <w:rPr>
          <w:rFonts w:ascii="Times New Roman" w:hAnsi="Times New Roman" w:cs="Times New Roman"/>
          <w:szCs w:val="24"/>
        </w:rPr>
        <w:t>Éric</w:t>
      </w:r>
      <w:r w:rsidRPr="00E72418">
        <w:rPr>
          <w:szCs w:val="20"/>
        </w:rPr>
        <w:t xml:space="preserve"> Alauzet, à l’amendement n° 1405 (Rect)</w:t>
      </w:r>
      <w:r w:rsidRPr="00E72418">
        <w:rPr>
          <w:rStyle w:val="Lienhypertexte"/>
          <w:color w:val="auto"/>
          <w:szCs w:val="20"/>
          <w:u w:val="none"/>
        </w:rPr>
        <w:t>)</w:t>
      </w:r>
      <w:r w:rsidRPr="00E72418">
        <w:rPr>
          <w:szCs w:val="20"/>
        </w:rPr>
        <w:t>. Comme cela fut noté à l’Assemblée nationale où fut discuté le sous-amendement, ce dernier « vise à faciliter l’activation du dispositif de renégociation de la dette […] en abaissant le seuil requis de participation à 66% des créanciers, quel que soit le seuil antérieurement requis par contrat » (Assemblée nationale, compte rendu intégral, session ordinaire de 2015-2016, 3</w:t>
      </w:r>
      <w:r w:rsidRPr="00E72418">
        <w:rPr>
          <w:szCs w:val="20"/>
          <w:vertAlign w:val="superscript"/>
        </w:rPr>
        <w:t>e</w:t>
      </w:r>
      <w:r w:rsidRPr="00E72418">
        <w:rPr>
          <w:szCs w:val="20"/>
        </w:rPr>
        <w:t xml:space="preserve"> séance du jeudi 9 juin 2016, </w:t>
      </w:r>
      <w:r w:rsidRPr="00E72418">
        <w:rPr>
          <w:i/>
          <w:szCs w:val="20"/>
        </w:rPr>
        <w:t>Journal officiel de la République française</w:t>
      </w:r>
      <w:r w:rsidRPr="00E72418">
        <w:rPr>
          <w:szCs w:val="20"/>
        </w:rPr>
        <w:t xml:space="preserve">, p. 4237). Dans l’hypothèse où le taux conventionnel serait inférieur aux soixante-six pour cent de </w:t>
      </w:r>
      <w:r w:rsidRPr="00E72418">
        <w:rPr>
          <w:rFonts w:cs="Times New Roman"/>
          <w:szCs w:val="24"/>
          <w:shd w:val="clear" w:color="auto" w:fill="FFFFFF"/>
        </w:rPr>
        <w:t>l</w:t>
      </w:r>
      <w:r w:rsidRPr="00E72418">
        <w:rPr>
          <w:szCs w:val="24"/>
        </w:rPr>
        <w:t xml:space="preserve">’article 60.I.3°., </w:t>
      </w:r>
      <w:r w:rsidRPr="00E72418">
        <w:rPr>
          <w:i/>
          <w:szCs w:val="24"/>
        </w:rPr>
        <w:t>in fine</w:t>
      </w:r>
      <w:r w:rsidRPr="00E72418">
        <w:rPr>
          <w:szCs w:val="20"/>
        </w:rPr>
        <w:t>, Paul Giraud indique qu’ « il semble possible d’appliquer […] la logique de l’ordre public de protection pour écarter le taux légal au bénéfice d’un éventuel taux conventionnel inférieur à 66%, plus favorable à l’État »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367).</w:t>
      </w:r>
    </w:p>
  </w:footnote>
  <w:footnote w:id="1842">
    <w:p w14:paraId="749B08B0" w14:textId="72D0DD3B" w:rsidR="0030147D" w:rsidRPr="00E72418" w:rsidRDefault="0030147D" w:rsidP="00433A00">
      <w:pPr>
        <w:pStyle w:val="Sansinterligne"/>
        <w:rPr>
          <w:szCs w:val="20"/>
        </w:rPr>
      </w:pPr>
      <w:r w:rsidRPr="00E72418">
        <w:rPr>
          <w:rStyle w:val="Appelnotedebasdep"/>
          <w:szCs w:val="20"/>
        </w:rPr>
        <w:footnoteRef/>
      </w:r>
      <w:r w:rsidRPr="00E72418">
        <w:rPr>
          <w:szCs w:val="20"/>
        </w:rPr>
        <w:t xml:space="preserve"> Rapport n</w:t>
      </w:r>
      <w:r w:rsidRPr="00E72418">
        <w:rPr>
          <w:szCs w:val="20"/>
          <w:vertAlign w:val="superscript"/>
        </w:rPr>
        <w:t>os</w:t>
      </w:r>
      <w:r w:rsidRPr="00E72418">
        <w:rPr>
          <w:szCs w:val="20"/>
        </w:rPr>
        <w:t xml:space="preserve"> 3785 et 3786 fait au nom de la Commission des lois constitutionnelles, de la législation et de l’administration générale de la République, sur le projet de loi (n° 3623) […] relatif à la transparence, à la lutte contre la corruption et à la modernisation de la vie économique […], par Sébastien Denaja, 26 mai 2016, p. 278. Voyez également rapport n</w:t>
      </w:r>
      <w:r w:rsidRPr="00E72418">
        <w:rPr>
          <w:szCs w:val="20"/>
          <w:vertAlign w:val="superscript"/>
        </w:rPr>
        <w:t>os</w:t>
      </w:r>
      <w:r w:rsidRPr="00E72418">
        <w:rPr>
          <w:szCs w:val="20"/>
        </w:rPr>
        <w:t xml:space="preserve"> 4045 et 4046 fait au nom de la Commission des lois constitutionnelles, de la législation et de l’administration générale de la République, en nouvelle lecture, sur le projet de loi (n° 3939) relatif à la transparence, à la lutte contre la corruption et à la modernisation de la vie économique […], par Sébastien Denaja, 21 septembre 2016, p. 120. L’explication précise de l’exigence de l’autorisation judicaire préalable à toute mesure de contrainte reprise dans le projet de loi déposé par le Gouvernement français se trouve dans l’étude d’impact du projet. On peut y lire que l’instauration d’un passage préalable par le juge avant toute mesure de contrainte à l’encontre des biens d’États étrangers suit le constat que « la France apparaît relativement isolée au plan international sur la procédure en vigueur pour obtenir la mise en place de mesures de saisie » et, qu’au moment de la présentation du projet de loi, « aucune autorisation judiciaire préalable n’est nécessaire (sauf s’agissant des mesures conservatoires sans titre), ce qui revient à faire courir un risque sérieux aux États étrangers, qui peuvent voir leurs biens saisis alors même que les conditions pour ce faire ne seraient pas réunies ». L’on peut encore lire dans l’étude d’impact que « [b]ien que non exigée par les traités internationaux dont la France est signataire, une autorisation judiciaire préalable, qui serait instaurée à titre dérogatoire pour les mesures d’exécution portant sur les biens des États étrangers, se justifie donc par la complexité des vérifications à opérer […] » (projet de loi n° 3623 relatif à la transparence, à la lutte contre la corruption et à la modernisation de la vie économique, étude d’impact, Assemblée nationale, 30 mars 2016, p. 94).</w:t>
      </w:r>
    </w:p>
  </w:footnote>
  <w:footnote w:id="1843">
    <w:p w14:paraId="7AA94E35" w14:textId="56075FB2"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Cette absence du débiteur permet de prévenir le déplacement ou la dissimulation des biens visés par la saisie (rapport n</w:t>
      </w:r>
      <w:r w:rsidRPr="00E72418">
        <w:rPr>
          <w:szCs w:val="20"/>
          <w:vertAlign w:val="superscript"/>
        </w:rPr>
        <w:t>os</w:t>
      </w:r>
      <w:r w:rsidRPr="00E72418">
        <w:rPr>
          <w:szCs w:val="20"/>
        </w:rPr>
        <w:t xml:space="preserve"> 3785 et 3786 fait au nom de la Commission des lois constitutionnelles, de la législation et de l’administration générale de la République, sur le projet de loi (n° 3623) […] relatif à la transparence, à la lutte contre la corruption et à la modernisation de la vie économique […], par Sébastien Denaja, 26 mai 2016, p. 278. Voyez également rapport n° 4045 et 4046 fait au nom de la Commission des lois constitutionnelles, de la législation et de l’administration générale de la République, en nouvelle lecture, sur le projet de loi (n° 3939) relatif à la transparence, à la lutte contre la corruption et à la modernisation de la vie économique […], par Sébastien Denaja, 21 septembre 2016, p. 120).</w:t>
      </w:r>
    </w:p>
  </w:footnote>
  <w:footnote w:id="1844">
    <w:p w14:paraId="4C2A3446" w14:textId="058B1421" w:rsidR="0030147D" w:rsidRPr="00E72418" w:rsidRDefault="0030147D" w:rsidP="00925915">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Voyez le point 72 de la décision du Conseil constitutionnel n° 2016-741 DC du 8 décembre 2016. Le créancier doit justifier de la nature saisissable des biens devant le juge qui rendra une décision </w:t>
      </w:r>
      <w:r w:rsidRPr="00E72418">
        <w:rPr>
          <w:i/>
          <w:szCs w:val="20"/>
        </w:rPr>
        <w:t>prima facie</w:t>
      </w:r>
      <w:r w:rsidRPr="00E72418">
        <w:rPr>
          <w:szCs w:val="20"/>
        </w:rPr>
        <w:t xml:space="preserve"> autorisant ou non de procéder aux saisies (rapport n</w:t>
      </w:r>
      <w:r w:rsidRPr="00E72418">
        <w:rPr>
          <w:szCs w:val="20"/>
          <w:vertAlign w:val="superscript"/>
        </w:rPr>
        <w:t>os</w:t>
      </w:r>
      <w:r w:rsidRPr="00E72418">
        <w:rPr>
          <w:szCs w:val="20"/>
        </w:rPr>
        <w:t xml:space="preserve"> 3785 et 3786 fait au nom de la Commission des lois constitutionnelles, de la législation et de l’administration générale de la République, sur le projet de loi (n° 3623) […] relatif à la transparence, à la lutte contre la corruption et à la modernisation de la vie économique […], par Sébastien Denaja, 26 mai 2016, p. 278. Voyez également rapport n</w:t>
      </w:r>
      <w:r w:rsidRPr="00E72418">
        <w:rPr>
          <w:szCs w:val="20"/>
          <w:vertAlign w:val="superscript"/>
        </w:rPr>
        <w:t>os</w:t>
      </w:r>
      <w:r w:rsidRPr="00E72418">
        <w:rPr>
          <w:szCs w:val="20"/>
        </w:rPr>
        <w:t xml:space="preserve"> 4045 et 4046 fait au nom de la Commission des lois constitutionnelles, de la législation et de l’administration générale de la République, en nouvelle lecture, sur le projet de loi (n° 3939) relatif à la transparence, à la lutte contre la corruption et à la modernisation de la vie économique […], par Sébastien Denaja, 21 septembre 2016, p. 120). Caroline Lequesne-Roth relève que « l’obstacle introduit par la requête préalable est difficilement surmontable pour les créanciers eu égard, notamment, à la répartition de la charge de la preuve et l’asymétrie informationnelle qui les opposent aux </w:t>
      </w:r>
      <w:r w:rsidRPr="00E72418">
        <w:rPr>
          <w:szCs w:val="20"/>
          <w:lang w:eastAsia="fr-BE"/>
        </w:rPr>
        <w:t>É</w:t>
      </w:r>
      <w:r w:rsidRPr="00E72418">
        <w:rPr>
          <w:szCs w:val="20"/>
        </w:rPr>
        <w:t>tats débiteurs »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358). Laurent Jaeger va lui plus loin en indiquant que « dans beaucoup de cas, cette preuve est impossible » (</w:t>
      </w:r>
      <w:r w:rsidRPr="00E72418">
        <w:t xml:space="preserve">L. </w:t>
      </w:r>
      <w:r w:rsidRPr="00E72418">
        <w:rPr>
          <w:smallCaps/>
        </w:rPr>
        <w:t>Jaeger</w:t>
      </w:r>
      <w:r w:rsidRPr="00E72418">
        <w:t xml:space="preserve">, « L’exécution des sentences face aux intérêts publics », </w:t>
      </w:r>
      <w:r w:rsidRPr="00E72418">
        <w:rPr>
          <w:i/>
        </w:rPr>
        <w:t>op. cit.</w:t>
      </w:r>
      <w:r w:rsidRPr="00E72418">
        <w:t>, p. 131</w:t>
      </w:r>
      <w:r w:rsidRPr="00E72418">
        <w:rPr>
          <w:szCs w:val="20"/>
        </w:rPr>
        <w:t>).</w:t>
      </w:r>
    </w:p>
  </w:footnote>
  <w:footnote w:id="1845">
    <w:p w14:paraId="0A24465D" w14:textId="6579C357"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L’article 493 du Code de procédure civile est</w:t>
      </w:r>
      <w:r>
        <w:rPr>
          <w:szCs w:val="20"/>
        </w:rPr>
        <w:t xml:space="preserve"> ici visé. Il dispose que « [l’]</w:t>
      </w:r>
      <w:r w:rsidRPr="00E72418">
        <w:rPr>
          <w:szCs w:val="20"/>
        </w:rPr>
        <w:t>ordonnance sur requête est une décision provisoire rendue non contradictoirement dans les cas où le requérant est fondé à ne pas appeler de partie adverse ». Les articles R. 111-1 à R. 111-6 du Code des procédures civiles d’exécution donnent les précisions.</w:t>
      </w:r>
    </w:p>
  </w:footnote>
  <w:footnote w:id="1846">
    <w:p w14:paraId="2CAC0499" w14:textId="6EFF01AF"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L’option de l’autorisation judiciaire préalable dans le cadre d’une procédure non contradictoire engagée par requête a été préférée à celle de l’autorisation dans le cadre d’une instance contradictoire engagée par assignation. Si la rapidité de la procédure fut notamment relevée par le Gouvernement français (voyez les observations du Gouvernement français sur les recours dirigés contre la loi relative à la transparence, à la lutte contre la corruption et à la modernisation de la vie économique, disponibles à l’adresse </w:t>
      </w:r>
      <w:hyperlink r:id="rId64" w:history="1">
        <w:r w:rsidRPr="00E72418">
          <w:rPr>
            <w:rStyle w:val="Lienhypertexte"/>
            <w:color w:val="auto"/>
            <w:szCs w:val="20"/>
            <w:u w:val="none"/>
          </w:rPr>
          <w:t>www.conseil-constitutionnel.fr/les-decisions/decision-n-2016-741-dc-du-8-decembre-2016-observations-du-gouvernement</w:t>
        </w:r>
      </w:hyperlink>
      <w:r w:rsidRPr="00E72418">
        <w:rPr>
          <w:rStyle w:val="Lienhypertexte"/>
          <w:color w:val="auto"/>
          <w:szCs w:val="20"/>
          <w:u w:val="none"/>
        </w:rPr>
        <w:t xml:space="preserve"> (consultation le 17 octobre 2021)</w:t>
      </w:r>
      <w:r w:rsidRPr="00E72418">
        <w:rPr>
          <w:szCs w:val="20"/>
        </w:rPr>
        <w:t>), il ressort de l’étude d’impact du projet de loi que ce choix s’explique par le fait que l’effet de surprise induit par la procédure non contradictoire permet « d’assurer une protection plus efficace […], tout en ménageant à l’État poursuivi un recours juridictionnel dans le cadre d’un débat contradictoire », là où une instance contradictoire risque de mettre à néant l’effet de surprise conféré aux voies d’exécution et de porter une atteinte excessive aux intérêts du créancier (projet de loi n° 3623 relatif à la transparence, à la lutte contre la corruption et à la modernisation de la vie économique, étude d’impact, Assemblée nationale, 30 mars 2016, p. 94). Paul Giraud critique la référence au « contrôle judiciaire renforcé » faite par le Conseil constitutionnel en se demandant si la procédure sur requête peut véritablement être estampillée « contrôle renforcé »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371).</w:t>
      </w:r>
    </w:p>
  </w:footnote>
  <w:footnote w:id="1847">
    <w:p w14:paraId="5E393EDE" w14:textId="77777777"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Ce juge est également </w:t>
      </w:r>
      <w:r w:rsidRPr="00E72418">
        <w:rPr>
          <w:szCs w:val="20"/>
          <w:shd w:val="clear" w:color="auto" w:fill="FFFFFF"/>
        </w:rPr>
        <w:t>seul compétent pour statuer sur les contestations relatives aux mesures conservatoires et d’exécution forcée mobilières qu’il autorise, ainsi que pour connaître des procédures de saisie immobilière qu’il autorise, à l’exception des procédures d’exécution forcée sur les immeubles situés dans les départements du Bas-Rhin, du Haut-Rhin et de la Moselle.</w:t>
      </w:r>
    </w:p>
  </w:footnote>
  <w:footnote w:id="1848">
    <w:p w14:paraId="552DA9F5" w14:textId="000D46B9"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w:t>
      </w:r>
      <w:r w:rsidRPr="00E72418">
        <w:rPr>
          <w:smallCaps/>
          <w:szCs w:val="20"/>
        </w:rPr>
        <w:t>J. Morel-Maroger</w:t>
      </w:r>
      <w:r w:rsidRPr="00E72418">
        <w:rPr>
          <w:szCs w:val="20"/>
        </w:rPr>
        <w:t xml:space="preserve">, « Jurisprudence du tribunal de grande instance de Paris », </w:t>
      </w:r>
      <w:r w:rsidRPr="00E72418">
        <w:rPr>
          <w:i/>
          <w:szCs w:val="20"/>
        </w:rPr>
        <w:t>op. cit.</w:t>
      </w:r>
      <w:r w:rsidRPr="00E72418">
        <w:rPr>
          <w:szCs w:val="20"/>
        </w:rPr>
        <w:t xml:space="preserve">, p. 1186. Pour Juliette Morel-Maroger, </w:t>
      </w:r>
      <w:r w:rsidRPr="00E72418">
        <w:rPr>
          <w:szCs w:val="20"/>
          <w:shd w:val="clear" w:color="auto" w:fill="FFFFFF"/>
        </w:rPr>
        <w:t>ce souci se comprend au regard du caractère particulièrement complexe des conditions dans lesquelles les mesures de contrainte peuvent être engagées à l’égard d’États étrangers.</w:t>
      </w:r>
      <w:r w:rsidRPr="00E72418">
        <w:rPr>
          <w:szCs w:val="20"/>
        </w:rPr>
        <w:t xml:space="preserve"> </w:t>
      </w:r>
      <w:r w:rsidRPr="00E72418">
        <w:rPr>
          <w:i/>
          <w:szCs w:val="20"/>
        </w:rPr>
        <w:t>Contra</w:t>
      </w:r>
      <w:r w:rsidRPr="00E72418">
        <w:rPr>
          <w:szCs w:val="20"/>
        </w:rPr>
        <w:t xml:space="preserve"> </w:t>
      </w:r>
      <w:r w:rsidRPr="00E72418">
        <w:rPr>
          <w:smallCaps/>
          <w:szCs w:val="20"/>
        </w:rPr>
        <w:t>R. Bismuth</w:t>
      </w:r>
      <w:r w:rsidRPr="00E72418">
        <w:rPr>
          <w:szCs w:val="20"/>
        </w:rPr>
        <w:t xml:space="preserve">, « L’immunité d’exécution après la loi Sapin 2 », </w:t>
      </w:r>
      <w:r w:rsidRPr="00E72418">
        <w:rPr>
          <w:i/>
          <w:szCs w:val="20"/>
        </w:rPr>
        <w:t>op. cit.</w:t>
      </w:r>
      <w:r w:rsidRPr="00E72418">
        <w:rPr>
          <w:szCs w:val="20"/>
        </w:rPr>
        <w:t>, pp. 451 et 452 pour qui « [l]a matière ne fait certes pas partie du contentieux quotidien du juge de l’exécution, mais elle n’est pas excessivement technique au point de la confier à une seule juridiction destinée à se spécialiser dans cette matière ».</w:t>
      </w:r>
    </w:p>
  </w:footnote>
  <w:footnote w:id="1849">
    <w:p w14:paraId="2657057A" w14:textId="091853E1" w:rsidR="0030147D" w:rsidRPr="00E72418" w:rsidRDefault="0030147D" w:rsidP="00DF61A2">
      <w:pPr>
        <w:pStyle w:val="Sansinterligne"/>
      </w:pPr>
      <w:r w:rsidRPr="00E72418">
        <w:rPr>
          <w:rStyle w:val="Appelnotedebasdep"/>
        </w:rPr>
        <w:footnoteRef/>
      </w:r>
      <w:r w:rsidRPr="00E72418">
        <w:t xml:space="preserve"> L. </w:t>
      </w:r>
      <w:r w:rsidRPr="00E72418">
        <w:rPr>
          <w:smallCaps/>
        </w:rPr>
        <w:t>Jaeger</w:t>
      </w:r>
      <w:r w:rsidRPr="00E72418">
        <w:t xml:space="preserve">, « L’exécution des sentences face aux intérêts publics », </w:t>
      </w:r>
      <w:r w:rsidRPr="00E72418">
        <w:rPr>
          <w:i/>
        </w:rPr>
        <w:t>op. cit.</w:t>
      </w:r>
      <w:r w:rsidRPr="00E72418">
        <w:t>, p. 130.</w:t>
      </w:r>
    </w:p>
  </w:footnote>
  <w:footnote w:id="1850">
    <w:p w14:paraId="53DDF7A4" w14:textId="77777777" w:rsidR="0030147D" w:rsidRPr="00E72418" w:rsidRDefault="0030147D" w:rsidP="00410B0F">
      <w:pPr>
        <w:pStyle w:val="Sansinterligne"/>
        <w:rPr>
          <w:szCs w:val="20"/>
        </w:rPr>
      </w:pPr>
      <w:r w:rsidRPr="00E72418">
        <w:rPr>
          <w:rStyle w:val="Appelnotedebasdep"/>
          <w:szCs w:val="20"/>
        </w:rPr>
        <w:footnoteRef/>
      </w:r>
      <w:r w:rsidRPr="00E72418">
        <w:rPr>
          <w:szCs w:val="20"/>
        </w:rPr>
        <w:t xml:space="preserve"> Le fer fut croisé tantôt lors des discussions relatives à l’article régissant généralement l’immunité d’exécution des États étrangers, tantôt lors de celles relatives à l’article luttant spécifiquement contre les activités des fonds spéculatifs. Le double sujet de discussion s’explique par le renvoi opéré par le second au premier.</w:t>
      </w:r>
    </w:p>
  </w:footnote>
  <w:footnote w:id="1851">
    <w:p w14:paraId="05722E0A" w14:textId="48426CE1"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Rapport n° 79 fait au nom de la Commission des lois constitutionnelles, de législation, du suffrage universel, du Règlement et d’administration générale […] sur le projet de loi, adopté par l’Assemblée nationale en nouvelle lecture, relatif à la transparence, à la lutte contre la corruption et à la modernisation de la vie économique […], par François Pillet, 26 octobre 2016, pp. 73 à 75. Le sénateur présenta ainsi notamment un amendement n° COM-57 visant à « mettre en conformité l’article 24</w:t>
      </w:r>
      <w:r w:rsidRPr="00E72418">
        <w:rPr>
          <w:i/>
          <w:szCs w:val="20"/>
        </w:rPr>
        <w:t xml:space="preserve">bis </w:t>
      </w:r>
      <w:r w:rsidRPr="00E72418">
        <w:rPr>
          <w:szCs w:val="20"/>
        </w:rPr>
        <w:t>avec les principes constitutionnels qui garantissent le droit de propriété, protègent le droit des créanciers et garantit le droit d’obtenir l’exécution des décisions juridictionnelles » et, par coordination avec son autre amendement n° COM-56, visant à « supprimer l’autorisation préalable d’un juge qui aurait </w:t>
      </w:r>
      <w:r w:rsidRPr="00E72418">
        <w:rPr>
          <w:i/>
          <w:szCs w:val="20"/>
        </w:rPr>
        <w:t>de facto</w:t>
      </w:r>
      <w:r w:rsidRPr="00E72418">
        <w:rPr>
          <w:szCs w:val="20"/>
        </w:rPr>
        <w:t> pour conséquence d’empêcher toute saisie » (amendements n</w:t>
      </w:r>
      <w:r w:rsidRPr="00E72418">
        <w:rPr>
          <w:szCs w:val="20"/>
          <w:vertAlign w:val="superscript"/>
        </w:rPr>
        <w:t>os</w:t>
      </w:r>
      <w:r w:rsidRPr="00E72418">
        <w:rPr>
          <w:szCs w:val="20"/>
        </w:rPr>
        <w:t xml:space="preserve"> COM-56 et COM-57, 24 octobre 2016). Voyez déjà avant le rapport n° 79, le rapport n° 712 fait au nom de la Commission des lois constitutionnelles, de législation, du suffrage universel, du Règlement et d’administration générale […] sur le projet de loi, adopté par l’Assemblée nationale […], relatif à la transparence, à la lutte contre la corruption et à la modernisation de la vie économique […], par François Pillet, 22 juin 2016, pp. 143 à 145.</w:t>
      </w:r>
    </w:p>
  </w:footnote>
  <w:footnote w:id="1852">
    <w:p w14:paraId="085CF8D9" w14:textId="72EDB718" w:rsidR="0030147D" w:rsidRPr="00E72418" w:rsidRDefault="0030147D" w:rsidP="00077A41">
      <w:pPr>
        <w:pStyle w:val="Sansinterligne"/>
        <w:rPr>
          <w:szCs w:val="20"/>
        </w:rPr>
      </w:pPr>
      <w:r w:rsidRPr="00E72418">
        <w:rPr>
          <w:rStyle w:val="Appelnotedebasdep"/>
          <w:szCs w:val="20"/>
        </w:rPr>
        <w:footnoteRef/>
      </w:r>
      <w:r w:rsidRPr="00E72418">
        <w:rPr>
          <w:szCs w:val="20"/>
        </w:rPr>
        <w:t xml:space="preserve"> Quoique l’analyse n’ait pas spécifiquement porté sur l’article anti-fonds spéculatifs absent du projet de loi originel présenté au Conseil d’État, ce dernier considéra que les nouvelles dispositions en matière d’immunité d’exécution des États étrangers envisagées par le projet de loi à l’origine de la loi Sapin II, et l’on peut donc en conclure celle prévoyant l’autorisation préalable du juge par ordonnance rendue sur requête, « ne soulevaient pas de difficulté constitutionnelle, ni ne se heurtaient aux stipulations de la Convention européenne de sauvegarde des droits de l’homme et des libertés fondamentales » (Conseil d’État, avis n° 391262 sur un projet de loi relatif à la transparence, à la lutte contre la corruption et à la modernisation de la vie économique, 24 mars 2016, pp. 19 et 20). Dans </w:t>
      </w:r>
      <w:r w:rsidRPr="00E72418">
        <w:rPr>
          <w:rStyle w:val="lev"/>
          <w:b w:val="0"/>
          <w:bCs w:val="0"/>
          <w:szCs w:val="20"/>
        </w:rPr>
        <w:t xml:space="preserve">la saisine du Conseil constitutionnel sur laquelle nous reviendrons (voyez </w:t>
      </w:r>
      <w:r w:rsidRPr="00E72418">
        <w:rPr>
          <w:rStyle w:val="lev"/>
          <w:b w:val="0"/>
          <w:bCs w:val="0"/>
          <w:i/>
          <w:szCs w:val="20"/>
        </w:rPr>
        <w:t xml:space="preserve">infra </w:t>
      </w:r>
      <w:r w:rsidRPr="00E72418">
        <w:rPr>
          <w:rStyle w:val="lev"/>
          <w:b w:val="0"/>
          <w:bCs w:val="0"/>
          <w:szCs w:val="20"/>
        </w:rPr>
        <w:t>le chapitre 5 portant sur la conformité des lois nationales au droit supranational aux n</w:t>
      </w:r>
      <w:r w:rsidRPr="00E72418">
        <w:rPr>
          <w:rStyle w:val="lev"/>
          <w:b w:val="0"/>
          <w:bCs w:val="0"/>
          <w:szCs w:val="20"/>
          <w:vertAlign w:val="superscript"/>
        </w:rPr>
        <w:t>os</w:t>
      </w:r>
      <w:r w:rsidRPr="00E72418">
        <w:rPr>
          <w:rStyle w:val="lev"/>
          <w:b w:val="0"/>
          <w:bCs w:val="0"/>
          <w:szCs w:val="20"/>
        </w:rPr>
        <w:t xml:space="preserve"> 375 et suiv.), il fut argumenté que «</w:t>
      </w:r>
      <w:r w:rsidRPr="00E72418">
        <w:rPr>
          <w:szCs w:val="20"/>
        </w:rPr>
        <w:t xml:space="preserve"> cette autorisation judiciaire préalable oblige les personnes ayant fait condamner un État par un jugement à saisir à nouveau un juge pour obtenir l’autorisation d’exécution d’une décision » (</w:t>
      </w:r>
      <w:r w:rsidRPr="00E72418">
        <w:rPr>
          <w:rStyle w:val="lev"/>
          <w:b w:val="0"/>
          <w:bCs w:val="0"/>
          <w:szCs w:val="20"/>
        </w:rPr>
        <w:t>saisine du Conseil constitutionnel en date du 15 novembre 2016 présentée par au moins soixante sénateurs, en application de l’article 61, alinéa 2, de la Constitution</w:t>
      </w:r>
      <w:r w:rsidRPr="00E72418">
        <w:rPr>
          <w:szCs w:val="20"/>
        </w:rPr>
        <w:t>). Notons déjà que le Conseil constitutionnel considéra cette autorisation préalable comme étant conforme à la Constitution française.</w:t>
      </w:r>
    </w:p>
  </w:footnote>
  <w:footnote w:id="1853">
    <w:p w14:paraId="71C34DAF" w14:textId="6799B704" w:rsidR="0030147D" w:rsidRPr="00E72418" w:rsidRDefault="0030147D" w:rsidP="00A142D9">
      <w:pPr>
        <w:pStyle w:val="Sansinterligne"/>
        <w:rPr>
          <w:rFonts w:ascii="Times New Roman" w:hAnsi="Times New Roman"/>
          <w:szCs w:val="20"/>
        </w:rPr>
      </w:pPr>
      <w:r w:rsidRPr="00E72418">
        <w:rPr>
          <w:rStyle w:val="Appelnotedebasdep"/>
          <w:szCs w:val="20"/>
        </w:rPr>
        <w:footnoteRef/>
      </w:r>
      <w:r w:rsidRPr="00E72418">
        <w:rPr>
          <w:szCs w:val="20"/>
        </w:rPr>
        <w:t xml:space="preserve"> Amendement n° COM-231 présenté par François Pillet. Voyez encore les propos de Sandrine Mazetier in Commission des lois constitutionnelles, de la législation et de l’administration générale de la République, session ordinaire de 2015-2016, compte rendu n° 87 du 25 mai 2016, p. 40. </w:t>
      </w:r>
      <w:r w:rsidRPr="00E72418">
        <w:rPr>
          <w:rStyle w:val="SansinterligneCar"/>
          <w:szCs w:val="20"/>
        </w:rPr>
        <w:t>Relativement à cette critique concernant l’adéquation avec la Convention des Nations Unies du 2 décembre 2004, le ministre Michel Sapin indiqua, lors de la discussion au Sénat : « Je le dis d’emblée, cette disposition n’est pas nécessaire pour respecter la Convention des Nations Unies », précisant ensuite qu’ « </w:t>
      </w:r>
      <w:r w:rsidRPr="00E72418">
        <w:rPr>
          <w:szCs w:val="20"/>
        </w:rPr>
        <w:t>[e]</w:t>
      </w:r>
      <w:r w:rsidRPr="00E72418">
        <w:rPr>
          <w:rStyle w:val="SansinterligneCar"/>
          <w:szCs w:val="20"/>
        </w:rPr>
        <w:t xml:space="preserve">lle n’y est pas contraire non plus… » (Sénat, compte rendu intégral, session extraordinaire de 2015-2016, séance du jeudi 7 juillet 2016, </w:t>
      </w:r>
      <w:r w:rsidRPr="00E72418">
        <w:rPr>
          <w:rStyle w:val="SansinterligneCar"/>
          <w:i/>
          <w:szCs w:val="20"/>
        </w:rPr>
        <w:t>Journal officiel de la République française</w:t>
      </w:r>
      <w:r w:rsidRPr="00E72418">
        <w:rPr>
          <w:rStyle w:val="SansinterligneCar"/>
          <w:szCs w:val="20"/>
        </w:rPr>
        <w:t xml:space="preserve">, p. 12541). Du côté de la doctrine, </w:t>
      </w:r>
      <w:r w:rsidRPr="00E72418">
        <w:rPr>
          <w:szCs w:val="20"/>
        </w:rPr>
        <w:t>pour Régis Bismuth, la procédure d’autorisation n’est pas en elle-même contraire à la Convention dès lors qu’un État peut accorder des protections supplémentaires, l’idée étant que « le droit international des immunités se conçoit comme un plancher et non comme un plafond » (</w:t>
      </w:r>
      <w:r w:rsidRPr="00E72418">
        <w:rPr>
          <w:smallCaps/>
          <w:szCs w:val="20"/>
        </w:rPr>
        <w:t>R. Bismuth</w:t>
      </w:r>
      <w:r w:rsidRPr="00E72418">
        <w:rPr>
          <w:szCs w:val="20"/>
        </w:rPr>
        <w:t xml:space="preserve">, « L’immunité d’exécution après la loi Sapin 2 », </w:t>
      </w:r>
      <w:r w:rsidRPr="00E72418">
        <w:rPr>
          <w:i/>
          <w:szCs w:val="20"/>
        </w:rPr>
        <w:t>op. cit.</w:t>
      </w:r>
      <w:r w:rsidRPr="00E72418">
        <w:rPr>
          <w:szCs w:val="20"/>
        </w:rPr>
        <w:t xml:space="preserve">, pp. 456 et 457. Voyez encore </w:t>
      </w:r>
      <w:r w:rsidRPr="00E72418">
        <w:rPr>
          <w:smallCaps/>
          <w:szCs w:val="20"/>
        </w:rPr>
        <w:t>J. Heymann</w:t>
      </w:r>
      <w:r w:rsidRPr="00E72418">
        <w:rPr>
          <w:szCs w:val="20"/>
        </w:rPr>
        <w:t xml:space="preserve">, « La loi Sapin 2 et les immunités d’exécution – À propos de la loi n° 2016-1691 du 9 décembre 2016 », </w:t>
      </w:r>
      <w:r w:rsidRPr="00E72418">
        <w:rPr>
          <w:i/>
          <w:szCs w:val="20"/>
        </w:rPr>
        <w:t>op. cit.</w:t>
      </w:r>
      <w:r w:rsidRPr="00E72418">
        <w:rPr>
          <w:szCs w:val="20"/>
        </w:rPr>
        <w:t>, p. 180). Sylvain Bollée et Paul Giraud doutent, quant à eux tous deux, du fondement de la crainte d’une violation de la Convention de 2004 en ce que l’article 60 pourrait ne pas relever de la même logique et n’opèrerait pas sur le même plan, le dernier auteur se demandant si l’intervention judiciaire préalable met en cause l’immunité de l’État débiteur (</w:t>
      </w:r>
      <w:r w:rsidRPr="00E72418">
        <w:rPr>
          <w:smallCaps/>
          <w:szCs w:val="20"/>
        </w:rPr>
        <w:t>S. Bollée</w:t>
      </w:r>
      <w:r w:rsidRPr="00E72418">
        <w:rPr>
          <w:szCs w:val="20"/>
        </w:rPr>
        <w:t xml:space="preserve">, « Les dispositions de la loi Sapin 2 relatives à l’immunité d’exécution », </w:t>
      </w:r>
      <w:r w:rsidRPr="00E72418">
        <w:rPr>
          <w:i/>
          <w:szCs w:val="20"/>
        </w:rPr>
        <w:t>op. cit.</w:t>
      </w:r>
      <w:r w:rsidRPr="00E72418">
        <w:rPr>
          <w:szCs w:val="20"/>
        </w:rPr>
        <w:t xml:space="preserve">, p. 2560 et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372).</w:t>
      </w:r>
      <w:r w:rsidRPr="00E72418">
        <w:rPr>
          <w:rStyle w:val="SansinterligneCar"/>
          <w:szCs w:val="20"/>
        </w:rPr>
        <w:t xml:space="preserve"> </w:t>
      </w:r>
    </w:p>
  </w:footnote>
  <w:footnote w:id="1854">
    <w:p w14:paraId="6C881CE5" w14:textId="0BEB4AFD"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Sous-amendement n° 1566, présenté par </w:t>
      </w:r>
      <w:r w:rsidRPr="00E72418">
        <w:rPr>
          <w:rFonts w:ascii="Times New Roman" w:hAnsi="Times New Roman" w:cs="Times New Roman"/>
          <w:szCs w:val="24"/>
        </w:rPr>
        <w:t>Noël</w:t>
      </w:r>
      <w:r w:rsidRPr="00E72418">
        <w:rPr>
          <w:szCs w:val="20"/>
        </w:rPr>
        <w:t xml:space="preserve"> Mamère </w:t>
      </w:r>
      <w:r w:rsidRPr="00E72418">
        <w:rPr>
          <w:i/>
          <w:szCs w:val="20"/>
        </w:rPr>
        <w:t>et al.</w:t>
      </w:r>
      <w:r w:rsidRPr="00E72418">
        <w:rPr>
          <w:szCs w:val="20"/>
        </w:rPr>
        <w:t xml:space="preserve">, à l’amendement n° 1470 du Gouvernement français. Les parlementaires à l’origine du sous-amendement n° 1566 avaient déposé, avec Philippe Noguès, un autre sous-amendement n° 1499, à l’amendement n° 1405 cette fois, visant à supprimer l’exigence de l’autorisation préalable du juge au motif que « si cet amendement propose de lutter avec efficacité contre les “fonds-vautours”, l’alinéa premier viendrait poser un verrou en sollicitant du juge une autorisation préalable, par ordonnance, rendue sur requête, qui contreviendrait à la bonne application de l’ensemble du dispositif » (sous-amendement n° 1499, présenté par </w:t>
      </w:r>
      <w:r w:rsidRPr="00E72418">
        <w:rPr>
          <w:rFonts w:ascii="Times New Roman" w:hAnsi="Times New Roman" w:cs="Times New Roman"/>
          <w:szCs w:val="24"/>
        </w:rPr>
        <w:t>Noël</w:t>
      </w:r>
      <w:r w:rsidRPr="00E72418">
        <w:rPr>
          <w:szCs w:val="20"/>
        </w:rPr>
        <w:t> Mamère</w:t>
      </w:r>
      <w:r w:rsidRPr="00E72418">
        <w:rPr>
          <w:i/>
          <w:szCs w:val="20"/>
        </w:rPr>
        <w:t xml:space="preserve"> et al.</w:t>
      </w:r>
      <w:r w:rsidRPr="00E72418">
        <w:rPr>
          <w:szCs w:val="20"/>
        </w:rPr>
        <w:t>, à l’amendement n° 1</w:t>
      </w:r>
      <w:r w:rsidR="00947A08">
        <w:rPr>
          <w:szCs w:val="20"/>
        </w:rPr>
        <w:t xml:space="preserve">405 (Rect), sous-amendement non </w:t>
      </w:r>
      <w:r w:rsidRPr="00E72418">
        <w:rPr>
          <w:szCs w:val="20"/>
        </w:rPr>
        <w:t>soutenu).</w:t>
      </w:r>
    </w:p>
  </w:footnote>
  <w:footnote w:id="1855">
    <w:p w14:paraId="3CC973CE" w14:textId="55BD0B83"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w:t>
      </w:r>
      <w:r w:rsidRPr="00E72418">
        <w:rPr>
          <w:smallCaps/>
          <w:szCs w:val="20"/>
        </w:rPr>
        <w:t>T. Clay</w:t>
      </w:r>
      <w:r w:rsidRPr="00E72418">
        <w:rPr>
          <w:szCs w:val="20"/>
        </w:rPr>
        <w:t xml:space="preserve">, « Arbitrage et modes alternatifs de règlement des litiges », </w:t>
      </w:r>
      <w:r w:rsidRPr="00E72418">
        <w:rPr>
          <w:i/>
          <w:szCs w:val="20"/>
        </w:rPr>
        <w:t>D.</w:t>
      </w:r>
      <w:r w:rsidRPr="00E72418">
        <w:rPr>
          <w:szCs w:val="20"/>
        </w:rPr>
        <w:t xml:space="preserve">, 29 décembre 2016, p. 2593. </w:t>
      </w:r>
      <w:r w:rsidRPr="00E72418">
        <w:t>Ainsi, l’article R. 111-2 du Code des procédures civiles d’exécution précise que la requête est « motivée et comporte l’indication précise des pièces invoquées ».</w:t>
      </w:r>
    </w:p>
  </w:footnote>
  <w:footnote w:id="1856">
    <w:p w14:paraId="176C6DFF" w14:textId="6480D4BE"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Sous-amendement n° 1566, présenté par </w:t>
      </w:r>
      <w:r w:rsidRPr="00E72418">
        <w:rPr>
          <w:rFonts w:ascii="Times New Roman" w:hAnsi="Times New Roman" w:cs="Times New Roman"/>
          <w:szCs w:val="24"/>
        </w:rPr>
        <w:t>Noël</w:t>
      </w:r>
      <w:r w:rsidRPr="00E72418">
        <w:rPr>
          <w:szCs w:val="20"/>
        </w:rPr>
        <w:t xml:space="preserve"> Mamère </w:t>
      </w:r>
      <w:r w:rsidRPr="00E72418">
        <w:rPr>
          <w:i/>
          <w:szCs w:val="20"/>
        </w:rPr>
        <w:t>et al.</w:t>
      </w:r>
      <w:r w:rsidRPr="00E72418">
        <w:rPr>
          <w:szCs w:val="20"/>
        </w:rPr>
        <w:t xml:space="preserve">, à l’amendement n° 1470 du Gouvernement français. </w:t>
      </w:r>
      <w:r w:rsidRPr="00E72418">
        <w:rPr>
          <w:szCs w:val="20"/>
          <w:shd w:val="clear" w:color="auto" w:fill="FFFFFF"/>
        </w:rPr>
        <w:t>Il y était encore reproché que « </w:t>
      </w:r>
      <w:r w:rsidRPr="00E72418">
        <w:rPr>
          <w:szCs w:val="20"/>
        </w:rPr>
        <w:t>[l’]</w:t>
      </w:r>
      <w:r w:rsidRPr="00E72418">
        <w:rPr>
          <w:szCs w:val="20"/>
          <w:shd w:val="clear" w:color="auto" w:fill="FFFFFF"/>
        </w:rPr>
        <w:t xml:space="preserve">impossibilité qui en résulterait pour les </w:t>
      </w:r>
      <w:r w:rsidRPr="00E72418">
        <w:rPr>
          <w:szCs w:val="20"/>
        </w:rPr>
        <w:t>créanciers</w:t>
      </w:r>
      <w:r w:rsidRPr="00E72418">
        <w:rPr>
          <w:szCs w:val="20"/>
          <w:shd w:val="clear" w:color="auto" w:fill="FFFFFF"/>
        </w:rPr>
        <w:t xml:space="preserve"> des États de faire exécuter les décisions de justice rendues en leur faveur rendrait, dès lors, illusoire le droit d’action des particuliers à l’encontre des États reconnu par le droit international ». </w:t>
      </w:r>
      <w:r w:rsidRPr="00E72418">
        <w:rPr>
          <w:szCs w:val="20"/>
        </w:rPr>
        <w:t>Dans la prolongation de cet argument, Régis Bismuth relève la possibilité que les États soient tenus informés des tentatives de saisie à une phase très préliminaire du litige (</w:t>
      </w:r>
      <w:r w:rsidRPr="00E72418">
        <w:rPr>
          <w:smallCaps/>
          <w:szCs w:val="20"/>
        </w:rPr>
        <w:t>R. Bismuth</w:t>
      </w:r>
      <w:r w:rsidRPr="00E72418">
        <w:rPr>
          <w:szCs w:val="20"/>
        </w:rPr>
        <w:t xml:space="preserve">, « L’immunité d’exécution après la loi Sapin 2 », </w:t>
      </w:r>
      <w:r w:rsidRPr="00E72418">
        <w:rPr>
          <w:i/>
          <w:szCs w:val="20"/>
        </w:rPr>
        <w:t>op. cit.</w:t>
      </w:r>
      <w:r w:rsidRPr="00E72418">
        <w:rPr>
          <w:szCs w:val="20"/>
        </w:rPr>
        <w:t>, p. 454).</w:t>
      </w:r>
    </w:p>
  </w:footnote>
  <w:footnote w:id="1857">
    <w:p w14:paraId="35C4800B" w14:textId="25D8B73D"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Amendement n° 632 présenté par le Gouvernement français le 30 juin 2016.</w:t>
      </w:r>
    </w:p>
  </w:footnote>
  <w:footnote w:id="1858">
    <w:p w14:paraId="4E70E682" w14:textId="77777777" w:rsidR="0030147D" w:rsidRPr="00E72418" w:rsidRDefault="0030147D" w:rsidP="00A142D9">
      <w:pPr>
        <w:pStyle w:val="Sansinterligne"/>
        <w:rPr>
          <w:szCs w:val="20"/>
        </w:rPr>
      </w:pPr>
      <w:r w:rsidRPr="00E72418">
        <w:rPr>
          <w:rStyle w:val="Appelnotedebasdep"/>
          <w:szCs w:val="20"/>
        </w:rPr>
        <w:footnoteRef/>
      </w:r>
      <w:r w:rsidRPr="00E72418">
        <w:rPr>
          <w:szCs w:val="20"/>
        </w:rPr>
        <w:t xml:space="preserve"> Sénat, compte rendu intégral, session extraordinaire de 2015-2016, séance du jeudi 7 juillet 2016, </w:t>
      </w:r>
      <w:r w:rsidRPr="00E72418">
        <w:rPr>
          <w:i/>
          <w:szCs w:val="20"/>
        </w:rPr>
        <w:t>Journal officiel de la République française</w:t>
      </w:r>
      <w:r w:rsidRPr="00E72418">
        <w:rPr>
          <w:szCs w:val="20"/>
        </w:rPr>
        <w:t>, pp. 12540 et 12541.</w:t>
      </w:r>
    </w:p>
  </w:footnote>
  <w:footnote w:id="1859">
    <w:p w14:paraId="5C47F220" w14:textId="77472B55" w:rsidR="0030147D" w:rsidRPr="00E72418" w:rsidRDefault="0030147D" w:rsidP="00925915">
      <w:pPr>
        <w:pStyle w:val="Sansinterligne"/>
        <w:rPr>
          <w:szCs w:val="20"/>
        </w:rPr>
      </w:pPr>
      <w:r w:rsidRPr="00E72418">
        <w:rPr>
          <w:rStyle w:val="Appelnotedebasdep"/>
          <w:szCs w:val="20"/>
        </w:rPr>
        <w:footnoteRef/>
      </w:r>
      <w:r w:rsidRPr="00E72418">
        <w:rPr>
          <w:szCs w:val="20"/>
        </w:rPr>
        <w:t xml:space="preserve"> Sous-amendement n° 1568, présenté par </w:t>
      </w:r>
      <w:r w:rsidRPr="00E72418">
        <w:rPr>
          <w:rFonts w:ascii="Times New Roman" w:hAnsi="Times New Roman" w:cs="Times New Roman"/>
          <w:szCs w:val="24"/>
        </w:rPr>
        <w:t>Éric</w:t>
      </w:r>
      <w:r w:rsidRPr="00E72418">
        <w:rPr>
          <w:szCs w:val="20"/>
        </w:rPr>
        <w:t xml:space="preserve"> Alauzet, à l’amendement n° 1405 (Rect). L’exposé sommaire du sous-amendement dont découle cette exigence précise que « [p]ratiquée dans d’autres domaines, la certification par un commissaire aux comptes, et donc par un expert indépendant des parties et qui se prononcera sous sa responsabilité, est nécessaire à l’efficacité du dispositif ».</w:t>
      </w:r>
    </w:p>
  </w:footnote>
  <w:footnote w:id="1860">
    <w:p w14:paraId="4F209ADA" w14:textId="26A6B434" w:rsidR="0030147D" w:rsidRPr="00E72418" w:rsidRDefault="0030147D" w:rsidP="001828E7">
      <w:pPr>
        <w:pStyle w:val="Sansinterligne"/>
        <w:rPr>
          <w:szCs w:val="20"/>
        </w:rPr>
      </w:pPr>
      <w:r w:rsidRPr="00E72418">
        <w:rPr>
          <w:rStyle w:val="Appelnotedebasdep"/>
          <w:szCs w:val="20"/>
        </w:rPr>
        <w:footnoteRef/>
      </w:r>
      <w:r w:rsidRPr="00E72418">
        <w:rPr>
          <w:szCs w:val="20"/>
        </w:rPr>
        <w:t xml:space="preserve"> Sur cette condition, voyez </w:t>
      </w:r>
      <w:r w:rsidRPr="00E72418">
        <w:rPr>
          <w:i/>
          <w:szCs w:val="20"/>
        </w:rPr>
        <w:t>supra</w:t>
      </w:r>
      <w:r w:rsidRPr="00E72418">
        <w:rPr>
          <w:szCs w:val="20"/>
        </w:rPr>
        <w:t xml:space="preserve"> n° 369.</w:t>
      </w:r>
    </w:p>
  </w:footnote>
  <w:footnote w:id="1861">
    <w:p w14:paraId="30E1863F" w14:textId="2B59F0E5" w:rsidR="0030147D" w:rsidRPr="00E72418" w:rsidRDefault="0030147D" w:rsidP="006B76EF">
      <w:pPr>
        <w:pStyle w:val="Sansinterligne"/>
        <w:rPr>
          <w:szCs w:val="20"/>
        </w:rPr>
      </w:pPr>
      <w:r w:rsidRPr="00E72418">
        <w:rPr>
          <w:rStyle w:val="Appelnotedebasdep"/>
          <w:szCs w:val="20"/>
        </w:rPr>
        <w:footnoteRef/>
      </w:r>
      <w:r w:rsidRPr="00E72418">
        <w:rPr>
          <w:szCs w:val="20"/>
        </w:rPr>
        <w:t xml:space="preserve"> La précision des termes permet de retenir que les autres types de subdivisions territoriales ne peuvent bénéficier de la protection mise en place (</w:t>
      </w:r>
      <w:r w:rsidRPr="00E72418">
        <w:rPr>
          <w:smallCaps/>
          <w:szCs w:val="20"/>
        </w:rPr>
        <w:t>R. Bismuth</w:t>
      </w:r>
      <w:r w:rsidRPr="00E72418">
        <w:rPr>
          <w:szCs w:val="20"/>
        </w:rPr>
        <w:t xml:space="preserve">, « L’immunité d’exécution après la loi Sapin 2 », </w:t>
      </w:r>
      <w:r w:rsidRPr="00E72418">
        <w:rPr>
          <w:i/>
          <w:szCs w:val="20"/>
        </w:rPr>
        <w:t>op. cit.</w:t>
      </w:r>
      <w:r w:rsidRPr="00E72418">
        <w:rPr>
          <w:szCs w:val="20"/>
        </w:rPr>
        <w:t>, p. 460). Paul Giraud s’étonne de l’exclusion des collectivités territoriales dès lors que ces collectivités empruntant de l’argent, elles peuvent être exposées aux activités des fonds spéculatifs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365).</w:t>
      </w:r>
    </w:p>
  </w:footnote>
  <w:footnote w:id="1862">
    <w:p w14:paraId="56E7EBB0" w14:textId="65043087" w:rsidR="0030147D" w:rsidRPr="00E72418" w:rsidRDefault="0030147D" w:rsidP="001828E7">
      <w:pPr>
        <w:pStyle w:val="Sansinterligne"/>
        <w:rPr>
          <w:szCs w:val="20"/>
        </w:rPr>
      </w:pPr>
      <w:r w:rsidRPr="00E72418">
        <w:rPr>
          <w:rStyle w:val="Appelnotedebasdep"/>
          <w:szCs w:val="20"/>
        </w:rPr>
        <w:footnoteRef/>
      </w:r>
      <w:r w:rsidRPr="00E72418">
        <w:rPr>
          <w:szCs w:val="20"/>
        </w:rPr>
        <w:t xml:space="preserve">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p. 360.</w:t>
      </w:r>
    </w:p>
  </w:footnote>
  <w:footnote w:id="1863">
    <w:p w14:paraId="1A499FBF" w14:textId="77777777" w:rsidR="0030147D" w:rsidRPr="00E72418" w:rsidRDefault="0030147D" w:rsidP="00C16511">
      <w:pPr>
        <w:pStyle w:val="Sansinterligne"/>
        <w:rPr>
          <w:szCs w:val="20"/>
        </w:rPr>
      </w:pPr>
      <w:r w:rsidRPr="00E72418">
        <w:rPr>
          <w:rStyle w:val="Appelnotedebasdep"/>
          <w:szCs w:val="20"/>
        </w:rPr>
        <w:footnoteRef/>
      </w:r>
      <w:r w:rsidRPr="00E72418">
        <w:rPr>
          <w:szCs w:val="20"/>
        </w:rPr>
        <w:t xml:space="preserve"> Cet article du Code monétaire et financier prévoit que « [l]es titres de créance représentent chacun un droit de créance sur la personne morale ou le fonds commun de titrisation qui les émet.</w:t>
      </w:r>
    </w:p>
    <w:p w14:paraId="15822FF1" w14:textId="77777777" w:rsidR="0030147D" w:rsidRPr="00E72418" w:rsidRDefault="0030147D" w:rsidP="00C16511">
      <w:pPr>
        <w:pStyle w:val="Sansinterligne"/>
        <w:rPr>
          <w:szCs w:val="20"/>
        </w:rPr>
      </w:pPr>
      <w:r w:rsidRPr="00E72418">
        <w:rPr>
          <w:szCs w:val="20"/>
        </w:rPr>
        <w:t>Par dérogation à </w:t>
      </w:r>
      <w:hyperlink r:id="rId65" w:history="1">
        <w:r w:rsidRPr="00E72418">
          <w:rPr>
            <w:rStyle w:val="Lienhypertexte"/>
            <w:color w:val="auto"/>
            <w:szCs w:val="20"/>
            <w:u w:val="none"/>
          </w:rPr>
          <w:t>l’article 1349 du Code civil</w:t>
        </w:r>
      </w:hyperlink>
      <w:r w:rsidRPr="00E72418">
        <w:rPr>
          <w:szCs w:val="20"/>
        </w:rPr>
        <w:t> et à l’</w:t>
      </w:r>
      <w:hyperlink r:id="rId66" w:history="1">
        <w:r w:rsidRPr="00E72418">
          <w:rPr>
            <w:rStyle w:val="Lienhypertexte"/>
            <w:color w:val="auto"/>
            <w:szCs w:val="20"/>
            <w:u w:val="none"/>
          </w:rPr>
          <w:t>article L. 228-74 du Code de commerce</w:t>
        </w:r>
      </w:hyperlink>
      <w:r w:rsidRPr="00E72418">
        <w:rPr>
          <w:szCs w:val="20"/>
        </w:rPr>
        <w:t>, peuvent être acquis et conservés par leurs émetteurs aux fins de favoriser la liquidité desdits titres :</w:t>
      </w:r>
    </w:p>
    <w:p w14:paraId="3E75E3F4" w14:textId="77777777" w:rsidR="0030147D" w:rsidRPr="00E72418" w:rsidRDefault="0030147D" w:rsidP="00C16511">
      <w:pPr>
        <w:pStyle w:val="Sansinterligne"/>
        <w:rPr>
          <w:szCs w:val="20"/>
        </w:rPr>
      </w:pPr>
      <w:r w:rsidRPr="00E72418">
        <w:rPr>
          <w:szCs w:val="20"/>
        </w:rPr>
        <w:t>1° Les titres de créances négociables ;</w:t>
      </w:r>
    </w:p>
    <w:p w14:paraId="4BB6D258" w14:textId="77777777" w:rsidR="0030147D" w:rsidRPr="00E72418" w:rsidRDefault="0030147D" w:rsidP="00C16511">
      <w:pPr>
        <w:pStyle w:val="Sansinterligne"/>
        <w:rPr>
          <w:szCs w:val="20"/>
        </w:rPr>
      </w:pPr>
      <w:r w:rsidRPr="00E72418">
        <w:rPr>
          <w:szCs w:val="20"/>
        </w:rPr>
        <w:t>2° Les titres de créance ne donnant pas accès au capital admis aux négociations sur un marché réglementé ou sur un système multilatéral de négociation soumis aux dispositions du II de l’article L. 433-3 du présent code dans les conditions déterminées par le règlement général de l’Autorité des marchés financiers.</w:t>
      </w:r>
    </w:p>
    <w:p w14:paraId="3FB0577B" w14:textId="77777777" w:rsidR="0030147D" w:rsidRPr="00E72418" w:rsidRDefault="0030147D" w:rsidP="00C16511">
      <w:pPr>
        <w:pStyle w:val="Sansinterligne"/>
        <w:rPr>
          <w:szCs w:val="20"/>
        </w:rPr>
      </w:pPr>
      <w:r w:rsidRPr="00E72418">
        <w:rPr>
          <w:szCs w:val="20"/>
        </w:rPr>
        <w:t>Pendant le temps de leur conservation par l’émetteur, tous les droits attachés aux titres de créance visés au 2° sont suspendus.</w:t>
      </w:r>
    </w:p>
    <w:p w14:paraId="6B18D788" w14:textId="77777777" w:rsidR="0030147D" w:rsidRPr="00E72418" w:rsidRDefault="0030147D" w:rsidP="00C16511">
      <w:pPr>
        <w:pStyle w:val="Sansinterligne"/>
        <w:rPr>
          <w:szCs w:val="20"/>
        </w:rPr>
      </w:pPr>
      <w:r w:rsidRPr="00E72418">
        <w:rPr>
          <w:szCs w:val="20"/>
        </w:rPr>
        <w:t>Le règlement général de l’Autorité des marchés financiers détermine les conditions dans lesquelles l’émetteur rend public le rachat d’une quantité de titres de créance visés au 2°.</w:t>
      </w:r>
    </w:p>
    <w:p w14:paraId="3311720B" w14:textId="77777777" w:rsidR="0030147D" w:rsidRPr="00E72418" w:rsidRDefault="0030147D" w:rsidP="00C16511">
      <w:pPr>
        <w:pStyle w:val="Sansinterligne"/>
        <w:rPr>
          <w:szCs w:val="20"/>
        </w:rPr>
      </w:pPr>
      <w:r w:rsidRPr="00E72418">
        <w:rPr>
          <w:szCs w:val="20"/>
        </w:rPr>
        <w:t>Un décret détermine la durée maximale de détention des titres de créance visés au 2° acquis ou conservés par l’émetteur.</w:t>
      </w:r>
    </w:p>
    <w:p w14:paraId="3F50F0BB" w14:textId="77777777" w:rsidR="0030147D" w:rsidRPr="00E72418" w:rsidRDefault="0030147D" w:rsidP="00C16511">
      <w:pPr>
        <w:pStyle w:val="Sansinterligne"/>
        <w:rPr>
          <w:szCs w:val="20"/>
        </w:rPr>
      </w:pPr>
      <w:r w:rsidRPr="00E72418">
        <w:rPr>
          <w:szCs w:val="20"/>
        </w:rPr>
        <w:t>Un émetteur ne peut détenir plus de 15% d’une même émission d’un titre de créance visé au 2°.</w:t>
      </w:r>
    </w:p>
    <w:p w14:paraId="1F2FFC85" w14:textId="77777777" w:rsidR="0030147D" w:rsidRPr="00E72418" w:rsidRDefault="0030147D" w:rsidP="00C16511">
      <w:pPr>
        <w:pStyle w:val="Sansinterligne"/>
        <w:rPr>
          <w:szCs w:val="20"/>
        </w:rPr>
      </w:pPr>
      <w:r w:rsidRPr="00E72418">
        <w:rPr>
          <w:szCs w:val="20"/>
        </w:rPr>
        <w:t>Un décret détermine les conditions dans lesquelles l’émetteur peut racheter des titres de créances négociables qu’il a émis et doit informer la Banque de France de ces rachats ».</w:t>
      </w:r>
    </w:p>
  </w:footnote>
  <w:footnote w:id="1864">
    <w:p w14:paraId="0EF731D7" w14:textId="0E5C851D" w:rsidR="0030147D" w:rsidRPr="00E72418" w:rsidRDefault="0030147D" w:rsidP="00450D4C">
      <w:pPr>
        <w:pStyle w:val="Sansinterligne"/>
        <w:rPr>
          <w:szCs w:val="20"/>
        </w:rPr>
      </w:pPr>
      <w:r w:rsidRPr="00E72418">
        <w:rPr>
          <w:rStyle w:val="Appelnotedebasdep"/>
          <w:szCs w:val="20"/>
        </w:rPr>
        <w:footnoteRef/>
      </w:r>
      <w:r w:rsidRPr="00E72418">
        <w:rPr>
          <w:szCs w:val="20"/>
        </w:rPr>
        <w:t xml:space="preserv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pp. 362 et 363.</w:t>
      </w:r>
    </w:p>
  </w:footnote>
  <w:footnote w:id="1865">
    <w:p w14:paraId="3C3FCF6F" w14:textId="2FBD8115" w:rsidR="0030147D" w:rsidRPr="00E72418" w:rsidRDefault="0030147D" w:rsidP="00450D4C">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363.</w:t>
      </w:r>
    </w:p>
  </w:footnote>
  <w:footnote w:id="1866">
    <w:p w14:paraId="7705B65A" w14:textId="2C083E07" w:rsidR="0030147D" w:rsidRPr="00E72418" w:rsidRDefault="0030147D" w:rsidP="00C16511">
      <w:pPr>
        <w:pStyle w:val="Sansinterligne"/>
        <w:rPr>
          <w:szCs w:val="20"/>
        </w:rPr>
      </w:pPr>
      <w:r w:rsidRPr="00E72418">
        <w:rPr>
          <w:rStyle w:val="Appelnotedebasdep"/>
          <w:szCs w:val="20"/>
        </w:rPr>
        <w:footnoteRef/>
      </w:r>
      <w:r w:rsidRPr="00E72418">
        <w:rPr>
          <w:szCs w:val="20"/>
        </w:rPr>
        <w:t xml:space="preserve"> Cet article du Code monétaire et financier disposant que « </w:t>
      </w:r>
      <w:r w:rsidRPr="00E72418">
        <w:rPr>
          <w:rFonts w:cs="Times New Roman"/>
          <w:szCs w:val="20"/>
        </w:rPr>
        <w:t>[l</w:t>
      </w:r>
      <w:r w:rsidRPr="00E72418">
        <w:rPr>
          <w:rFonts w:ascii="Times New Roman" w:hAnsi="Times New Roman" w:cs="Times New Roman"/>
          <w:szCs w:val="20"/>
        </w:rPr>
        <w:t>]</w:t>
      </w:r>
      <w:r w:rsidRPr="00E72418">
        <w:rPr>
          <w:szCs w:val="20"/>
        </w:rPr>
        <w:t>es opérations de banque comprennent la réception de fonds remboursables du public, les opérations de crédit, ainsi que les services bancaires de paiement », Paul Giraud se demande si le législateur n’a pas plutôt entendu renvoyer à l’article L. 313-1 du même code qui dispose que « </w:t>
      </w:r>
      <w:r w:rsidRPr="00E72418">
        <w:rPr>
          <w:rFonts w:cs="Times New Roman"/>
          <w:szCs w:val="20"/>
        </w:rPr>
        <w:t>[c</w:t>
      </w:r>
      <w:r w:rsidRPr="00E72418">
        <w:rPr>
          <w:rFonts w:ascii="Times New Roman" w:hAnsi="Times New Roman" w:cs="Times New Roman"/>
          <w:szCs w:val="20"/>
        </w:rPr>
        <w:t>]</w:t>
      </w:r>
      <w:r w:rsidRPr="00E72418">
        <w:rPr>
          <w:szCs w:val="20"/>
        </w:rPr>
        <w:t>onstitue une opération de crédit tout acte par lequel une personne agissant à titre onéreux met ou promet de mettre des fonds à la disposition d’une autre personne ou prend, dans l’intérêt de celle-ci, un engagement par signature tel qu’un aval, un cautionnement, ou une garantie » et que « </w:t>
      </w:r>
      <w:r w:rsidRPr="00E72418">
        <w:rPr>
          <w:rFonts w:cs="Times New Roman"/>
          <w:szCs w:val="20"/>
        </w:rPr>
        <w:t>[s</w:t>
      </w:r>
      <w:r w:rsidRPr="00E72418">
        <w:rPr>
          <w:rFonts w:ascii="Times New Roman" w:hAnsi="Times New Roman" w:cs="Times New Roman"/>
          <w:szCs w:val="20"/>
        </w:rPr>
        <w:t>]</w:t>
      </w:r>
      <w:r w:rsidRPr="00E72418">
        <w:rPr>
          <w:szCs w:val="20"/>
        </w:rPr>
        <w:t>ont assimilés à des opérations de crédit le crédit-bail, et, de manière générale, toute opération de location assortie d’une option d’achat » (</w:t>
      </w:r>
      <w:r w:rsidRPr="00E72418">
        <w:rPr>
          <w:i/>
          <w:szCs w:val="20"/>
        </w:rPr>
        <w:t>ibid.</w:t>
      </w:r>
      <w:r w:rsidRPr="00E72418">
        <w:rPr>
          <w:szCs w:val="20"/>
        </w:rPr>
        <w:t>).</w:t>
      </w:r>
    </w:p>
  </w:footnote>
  <w:footnote w:id="1867">
    <w:p w14:paraId="3131A384" w14:textId="34D940DC"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Amendement n° 1405 (Rect) présenté par Dominique Potier </w:t>
      </w:r>
      <w:r w:rsidRPr="00E72418">
        <w:rPr>
          <w:i/>
          <w:szCs w:val="20"/>
        </w:rPr>
        <w:t>et al.</w:t>
      </w:r>
      <w:r w:rsidRPr="00E72418">
        <w:rPr>
          <w:szCs w:val="20"/>
        </w:rPr>
        <w:t>, 2 juin 2016, p. 4. Au cours de l’élaboration de la loi Sapin II toutefois, certains sénateurs tentèrent de faire supprimer cette limitation temporelle, sans succès. Marie-Noëlle Lienemann et Jérôme Durain, souhaitant que l’article anti-fonds spéculatifs s’applique à tous les titres de créance, soulignaient que les créances acquises à compter de l’entrée en vigueur de l’article (</w:t>
      </w:r>
      <w:r w:rsidRPr="00E72418">
        <w:rPr>
          <w:i/>
          <w:szCs w:val="20"/>
        </w:rPr>
        <w:t>i.e.</w:t>
      </w:r>
      <w:r w:rsidRPr="00E72418">
        <w:rPr>
          <w:szCs w:val="20"/>
        </w:rPr>
        <w:t xml:space="preserve"> les seules visées) comprenaient pour la plupart des clauses d’action collective les protégeant des actions de blocage des fonds spéculatifs et que les créances les plus exposées étaient les plus anciennes dépourvues de telles clauses (voyez l’amendement n° 193 rectifié </w:t>
      </w:r>
      <w:r w:rsidRPr="00E72418">
        <w:rPr>
          <w:i/>
          <w:szCs w:val="20"/>
        </w:rPr>
        <w:t xml:space="preserve">bis </w:t>
      </w:r>
      <w:r w:rsidRPr="00E72418">
        <w:rPr>
          <w:szCs w:val="20"/>
        </w:rPr>
        <w:t xml:space="preserve">de </w:t>
      </w:r>
      <w:r w:rsidRPr="00E72418">
        <w:rPr>
          <w:rFonts w:ascii="Times New Roman" w:hAnsi="Times New Roman" w:cs="Times New Roman"/>
          <w:szCs w:val="24"/>
        </w:rPr>
        <w:t xml:space="preserve">Marie-Noëlle </w:t>
      </w:r>
      <w:r w:rsidRPr="00E72418">
        <w:rPr>
          <w:szCs w:val="20"/>
        </w:rPr>
        <w:t xml:space="preserve">Lienemann et Jérôme Durain. Voyez également le sous-amendement n° 677 à l’amendement n° 634 du Gouvernement français présenté par Joël Labbé et André Gattolin). Le ministre Michel Sapin craignait quant à lui la censure de la mesure (Sénat, compte rendu intégral, session extraordinaire de 2015-2016, séance du jeudi 7 juillet 2016, </w:t>
      </w:r>
      <w:r w:rsidRPr="00E72418">
        <w:rPr>
          <w:i/>
          <w:szCs w:val="20"/>
        </w:rPr>
        <w:t>Journal officiel de la République française</w:t>
      </w:r>
      <w:r w:rsidRPr="00E72418">
        <w:rPr>
          <w:szCs w:val="20"/>
        </w:rPr>
        <w:t>, p. 12546).</w:t>
      </w:r>
    </w:p>
  </w:footnote>
  <w:footnote w:id="1868">
    <w:p w14:paraId="585ACC81" w14:textId="45D1F9E3"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95.</w:t>
      </w:r>
    </w:p>
  </w:footnote>
  <w:footnote w:id="1869">
    <w:p w14:paraId="2E644AA1" w14:textId="6DA18AA6" w:rsidR="0030147D" w:rsidRPr="00E72418" w:rsidRDefault="0030147D" w:rsidP="0020386F">
      <w:pPr>
        <w:pStyle w:val="Sansinterligne"/>
        <w:rPr>
          <w:rFonts w:ascii="Times New Roman" w:hAnsi="Times New Roman" w:cs="Times New Roman"/>
          <w:szCs w:val="20"/>
          <w:shd w:val="clear" w:color="auto" w:fill="FFFFFF"/>
        </w:rPr>
      </w:pPr>
      <w:r w:rsidRPr="00E72418">
        <w:rPr>
          <w:rStyle w:val="Appelnotedebasdep"/>
          <w:szCs w:val="20"/>
        </w:rPr>
        <w:footnoteRef/>
      </w:r>
      <w:r w:rsidRPr="00E72418">
        <w:rPr>
          <w:szCs w:val="20"/>
        </w:rPr>
        <w:t xml:space="preserve"> Il fut précisé lors des travaux préparatoires de la loi que les dispositions devaient être rendues expressément applicables à certains territoires français en raison de leurs statuts spécifiques. Fut également relevée la nécessité, pour l’application des dispositions de l’article 60 en Nouvelle-Calédonie et en Polynésie française, d’un renvoi aux dispositions applicables localement, renvoi nécessaire en raison de la compétence locale de ces territoires en matière de procédures d’exécution (amendement n° 1405 (Rect) présenté par Dominique Potier </w:t>
      </w:r>
      <w:r w:rsidRPr="00E72418">
        <w:rPr>
          <w:i/>
          <w:szCs w:val="20"/>
        </w:rPr>
        <w:t>et al.</w:t>
      </w:r>
      <w:r w:rsidRPr="00E72418">
        <w:rPr>
          <w:szCs w:val="20"/>
        </w:rPr>
        <w:t>, 2 juin 2016, p. 5).</w:t>
      </w:r>
    </w:p>
  </w:footnote>
  <w:footnote w:id="1870">
    <w:p w14:paraId="588FCD31" w14:textId="4C4CB35C"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Le Royaume-Uni a ratifié la Convention le 8 mars 1951 laquelle y est entrée en vigueur le 3 septembre 1953 et a ratifié le Premier Protocole le 3 novembre 1952 lequel y est entré en vigueur le 18 mai 1954. La Belgique a ratifié la Convention et le Premier Protocole le 14 juin 1955 lesquels y sont entrés en vigueur le même jour. La France a ratifié la Convention et le Premier Protocole le 3 mai 1974 lesquels y sont entrés en vigueur le même jour (voyez </w:t>
      </w:r>
      <w:hyperlink r:id="rId67" w:history="1">
        <w:r w:rsidRPr="00E72418">
          <w:rPr>
            <w:rStyle w:val="Lienhypertexte"/>
            <w:color w:val="auto"/>
            <w:szCs w:val="20"/>
            <w:u w:val="none"/>
          </w:rPr>
          <w:t>www.coe.int/fr/web/conventions/full-list</w:t>
        </w:r>
      </w:hyperlink>
      <w:r w:rsidRPr="00E72418">
        <w:rPr>
          <w:rStyle w:val="Lienhypertexte"/>
          <w:color w:val="auto"/>
          <w:szCs w:val="20"/>
          <w:u w:val="none"/>
        </w:rPr>
        <w:t xml:space="preserve"> (consultation le 17 octobre 2021)</w:t>
      </w:r>
      <w:r w:rsidRPr="00E72418">
        <w:rPr>
          <w:szCs w:val="20"/>
        </w:rPr>
        <w:t>).</w:t>
      </w:r>
    </w:p>
  </w:footnote>
  <w:footnote w:id="1871">
    <w:p w14:paraId="1FBFAE50" w14:textId="520AA480" w:rsidR="0030147D" w:rsidRPr="00E72418" w:rsidRDefault="0030147D" w:rsidP="00971F14">
      <w:pPr>
        <w:pStyle w:val="Sansinterligne"/>
        <w:rPr>
          <w:szCs w:val="20"/>
        </w:rPr>
      </w:pPr>
      <w:r w:rsidRPr="00E72418">
        <w:rPr>
          <w:rStyle w:val="Appelnotedebasdep"/>
          <w:szCs w:val="20"/>
        </w:rPr>
        <w:footnoteRef/>
      </w:r>
      <w:r w:rsidRPr="00E72418">
        <w:rPr>
          <w:szCs w:val="20"/>
        </w:rPr>
        <w:t xml:space="preserve"> Voyez les considérations de Veerle Wouters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19. Roel Deseyn, un autre parlementaire belge dira même au sujet du droit de propriété des fonds spéculatifs que « [h]et eigendomsrecht wordt helemaal niet aangetast » et qu’ « [i]ets wat men nooit heeft gehad, kan men namelijk ook niet rechtmatig recupereren » (Chambre des représentants, compte rendu intégral avec compte rendu analytique traduit des interventions, séance plénière, 25 juin 2015, CRIV 54 PLEN 057, p. 57. Notre traduction libre pour nos lecteurs français : « le droit de propriété n’est aucunement affecté. On ne peut en effet légitimement récupérer quelque chose que l’on n’a jamais eu »).</w:t>
      </w:r>
    </w:p>
  </w:footnote>
  <w:footnote w:id="1872">
    <w:p w14:paraId="178F00EA" w14:textId="44B88AB3"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9.</w:t>
      </w:r>
    </w:p>
  </w:footnote>
  <w:footnote w:id="1873">
    <w:p w14:paraId="6422E048"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40.</w:t>
      </w:r>
    </w:p>
  </w:footnote>
  <w:footnote w:id="1874">
    <w:p w14:paraId="29030ABE"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7.</w:t>
      </w:r>
    </w:p>
  </w:footnote>
  <w:footnote w:id="1875">
    <w:p w14:paraId="74BFD3AB" w14:textId="17195EA6"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Amendement n° 1405 (Rect) présenté par Dominique Potier </w:t>
      </w:r>
      <w:r w:rsidRPr="00E72418">
        <w:rPr>
          <w:i/>
          <w:szCs w:val="20"/>
        </w:rPr>
        <w:t>et al.</w:t>
      </w:r>
      <w:r w:rsidRPr="00E72418">
        <w:rPr>
          <w:szCs w:val="20"/>
        </w:rPr>
        <w:t>, 2 juin 2016, p. 5. Certains parlementaires comme François Pillet étaient eux d’avis que l’article en projet portait une atteinte manifestement excessive au droit des créanciers et proposaient une réécriture globale du texte afin de le rendre conforme au droit de propriété (voyez le rapport n° 79 fait au nom de la Commission des lois constitutionnelles, de législation, du suffrage universel, du Règlement et d’administration générale […] sur le projet de loi, adopté par l’Assemblée nationale en nouvelle lecture, relatif à la transparence, à la lutte contre la corruption et à la modernisation de la vie économique […], 26 octobre 2016, p. 75).</w:t>
      </w:r>
    </w:p>
  </w:footnote>
  <w:footnote w:id="1876">
    <w:p w14:paraId="7E282D3F" w14:textId="7D450799" w:rsidR="0030147D" w:rsidRPr="00E72418" w:rsidRDefault="0030147D" w:rsidP="00945D0E">
      <w:pPr>
        <w:pStyle w:val="Sansinterligne"/>
        <w:rPr>
          <w:szCs w:val="20"/>
        </w:rPr>
      </w:pPr>
      <w:r w:rsidRPr="00E72418">
        <w:rPr>
          <w:rStyle w:val="Appelnotedebasdep"/>
          <w:szCs w:val="20"/>
        </w:rPr>
        <w:footnoteRef/>
      </w:r>
      <w:r w:rsidRPr="00E72418">
        <w:rPr>
          <w:szCs w:val="20"/>
        </w:rPr>
        <w:t xml:space="preserve"> Des sénateurs déférèrent toutefois la loi Sapin II au Conseil constitutionnel français soutenant que ses articles 59 et 60 méconnaissaient notamment le droit de propriété des créanciers dans la mesure où ils imposaient une autorisation judiciaire préalable à la mise en œuvre de toute mesure conservatoire ou d’exécution forcée (voyez leurs reproches repris in Conseil constitutionnel, décision n° 2016-741 DC du 8 décembre 2016, point 65). Sur les discussions autour de cette autorisation judiciaire préalable, voyez </w:t>
      </w:r>
      <w:r w:rsidRPr="00E72418">
        <w:rPr>
          <w:i/>
          <w:szCs w:val="20"/>
        </w:rPr>
        <w:t>supra</w:t>
      </w:r>
      <w:r w:rsidRPr="00E72418">
        <w:rPr>
          <w:szCs w:val="20"/>
        </w:rPr>
        <w:t xml:space="preserve"> n° 370.</w:t>
      </w:r>
    </w:p>
  </w:footnote>
  <w:footnote w:id="1877">
    <w:p w14:paraId="665CB9E7" w14:textId="483F87FB"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les observations du Gouvernement français sur les recours dirigés contre la loi relative à la transparence, à la lutte contre la corruption et à la modernisation de la vie économique, disponibles à l’adresse </w:t>
      </w:r>
      <w:hyperlink r:id="rId68" w:history="1">
        <w:r w:rsidRPr="00E72418">
          <w:rPr>
            <w:rStyle w:val="Lienhypertexte"/>
            <w:color w:val="auto"/>
            <w:szCs w:val="20"/>
            <w:u w:val="none"/>
          </w:rPr>
          <w:t>www.conseil-constitutionnel.fr/les-decisions/decision-n-2016-741-dc-du-8-decembre-2016-observations-du-gouvernement</w:t>
        </w:r>
      </w:hyperlink>
      <w:r w:rsidRPr="00E72418">
        <w:rPr>
          <w:szCs w:val="20"/>
        </w:rPr>
        <w:t>.</w:t>
      </w:r>
    </w:p>
  </w:footnote>
  <w:footnote w:id="1878">
    <w:p w14:paraId="65F9422E" w14:textId="5AF26D46" w:rsidR="0030147D" w:rsidRPr="00E72418" w:rsidRDefault="0030147D" w:rsidP="00F11897">
      <w:pPr>
        <w:pStyle w:val="Sansinterligne"/>
      </w:pPr>
      <w:r w:rsidRPr="00E72418">
        <w:rPr>
          <w:rStyle w:val="Appelnotedebasdep"/>
        </w:rPr>
        <w:footnoteRef/>
      </w:r>
      <w:r w:rsidRPr="00E72418">
        <w:t xml:space="preserve"> Il est de nombreux cas où les fonds spéculatifs étant parvenus à obtenir la condamnation de leur débiteur souverain devant une juridiction étatsunienne cherchent ensuite à la faire exécuter à travers le monde et ainsi notamment en Europe (voyez </w:t>
      </w:r>
      <w:r w:rsidRPr="00E72418">
        <w:rPr>
          <w:i/>
        </w:rPr>
        <w:t>supra</w:t>
      </w:r>
      <w:r w:rsidRPr="00E72418">
        <w:t xml:space="preserve"> n° 137).</w:t>
      </w:r>
    </w:p>
  </w:footnote>
  <w:footnote w:id="1879">
    <w:p w14:paraId="0E54C20A" w14:textId="10E53B79"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Cour eur. D. H., 10 décembre 2013, </w:t>
      </w:r>
      <w:r w:rsidRPr="00E72418">
        <w:rPr>
          <w:i/>
          <w:szCs w:val="20"/>
        </w:rPr>
        <w:t>Krstic c. Serbie</w:t>
      </w:r>
      <w:r w:rsidRPr="00E72418">
        <w:rPr>
          <w:szCs w:val="20"/>
        </w:rPr>
        <w:t xml:space="preserve">, arrêt, requête n° 45394/06, paragraphe 77. Sur l’autre violation potentielle de l’article 6 de la Convention européenne des droits de l’homme qui consacre lui le droit à un procès équitable, voyez </w:t>
      </w:r>
      <w:r w:rsidRPr="00E72418">
        <w:rPr>
          <w:i/>
          <w:szCs w:val="20"/>
        </w:rPr>
        <w:t>infra</w:t>
      </w:r>
      <w:r w:rsidRPr="00E72418">
        <w:rPr>
          <w:szCs w:val="20"/>
        </w:rPr>
        <w:t xml:space="preserve"> n</w:t>
      </w:r>
      <w:r w:rsidRPr="00E72418">
        <w:rPr>
          <w:szCs w:val="20"/>
          <w:vertAlign w:val="superscript"/>
        </w:rPr>
        <w:t>os</w:t>
      </w:r>
      <w:r w:rsidRPr="00E72418">
        <w:rPr>
          <w:szCs w:val="20"/>
        </w:rPr>
        <w:t xml:space="preserve"> 387 et suiv.</w:t>
      </w:r>
    </w:p>
  </w:footnote>
  <w:footnote w:id="1880">
    <w:p w14:paraId="3D3A4CAA" w14:textId="67DEBE1E" w:rsidR="0030147D" w:rsidRPr="00E72418" w:rsidRDefault="0030147D" w:rsidP="00A02DAE">
      <w:pPr>
        <w:pStyle w:val="Sansinterligne"/>
        <w:rPr>
          <w:lang w:eastAsia="fr-BE"/>
        </w:rPr>
      </w:pPr>
      <w:r w:rsidRPr="00E72418">
        <w:rPr>
          <w:rStyle w:val="Appelnotedebasdep"/>
        </w:rPr>
        <w:footnoteRef/>
      </w:r>
      <w:r w:rsidRPr="00E72418">
        <w:t xml:space="preserve"> Voyez </w:t>
      </w:r>
      <w:r w:rsidRPr="00E72418">
        <w:rPr>
          <w:lang w:val="en-US"/>
        </w:rPr>
        <w:t xml:space="preserve">P. </w:t>
      </w:r>
      <w:r w:rsidRPr="00E72418">
        <w:rPr>
          <w:smallCaps/>
          <w:lang w:val="en-US"/>
        </w:rPr>
        <w:t>Wautelet</w:t>
      </w:r>
      <w:r w:rsidRPr="00E72418">
        <w:rPr>
          <w:lang w:val="en-US"/>
        </w:rPr>
        <w:t xml:space="preserve">, </w:t>
      </w:r>
      <w:r w:rsidRPr="00E72418">
        <w:t xml:space="preserve">« The Greek debt restructuring and property rights – A Greek tragedy for investors? », </w:t>
      </w:r>
      <w:r w:rsidRPr="00E72418">
        <w:rPr>
          <w:i/>
        </w:rPr>
        <w:t>op. cit.</w:t>
      </w:r>
      <w:r w:rsidRPr="00E72418">
        <w:t xml:space="preserve">, pp. 910 et suiv. pour une analyse, au regard de ce même article, de la situation des créanciers de la République hellénique dont les titres furent affectés, quoiqu’ils n’y aient guère consenti, par la restructuration permise suivant l’adoption de la loi </w:t>
      </w:r>
      <w:r w:rsidRPr="00E72418">
        <w:rPr>
          <w:lang w:eastAsia="fr-BE"/>
        </w:rPr>
        <w:t xml:space="preserve">n° 4050/2012 du 23 février 2012 (sur cette législation, voyez </w:t>
      </w:r>
      <w:r w:rsidRPr="00E72418">
        <w:rPr>
          <w:i/>
          <w:lang w:eastAsia="fr-BE"/>
        </w:rPr>
        <w:t>supra</w:t>
      </w:r>
      <w:r w:rsidRPr="00E72418">
        <w:rPr>
          <w:lang w:eastAsia="fr-BE"/>
        </w:rPr>
        <w:t xml:space="preserve"> n° 119).</w:t>
      </w:r>
    </w:p>
  </w:footnote>
  <w:footnote w:id="1881">
    <w:p w14:paraId="695B24F9" w14:textId="7F2AD5B3" w:rsidR="0030147D" w:rsidRPr="00E72418" w:rsidRDefault="0030147D" w:rsidP="00FA4EA3">
      <w:pPr>
        <w:pStyle w:val="Sansinterligne"/>
        <w:rPr>
          <w:szCs w:val="20"/>
          <w:lang w:val="fr-FR"/>
        </w:rPr>
      </w:pPr>
      <w:r w:rsidRPr="00E72418">
        <w:rPr>
          <w:rStyle w:val="Appelnotedebasdep"/>
          <w:szCs w:val="20"/>
        </w:rPr>
        <w:footnoteRef/>
      </w:r>
      <w:r w:rsidRPr="00E72418">
        <w:rPr>
          <w:szCs w:val="20"/>
        </w:rPr>
        <w:t xml:space="preserve"> Alors qu’une telle affirmation ne fut pas faite par les législateurs belge et français, les notes explicatives de la proposition de loi britannique indiquaient quant à elles que les « debts and judgment debts » visées sont des biens au sens de l’article premier du Premier Protocole additionnel </w:t>
      </w:r>
      <w:r w:rsidRPr="00E72418">
        <w:rPr>
          <w:szCs w:val="20"/>
          <w:lang w:val="en-US"/>
        </w:rPr>
        <w:t>(</w:t>
      </w:r>
      <w:r w:rsidRPr="00E72418">
        <w:rPr>
          <w:i/>
          <w:szCs w:val="20"/>
          <w:lang w:val="en-US"/>
        </w:rPr>
        <w:t>Debt Relief (Developing Countries) Bill</w:t>
      </w:r>
      <w:r w:rsidRPr="00E72418">
        <w:rPr>
          <w:szCs w:val="20"/>
          <w:lang w:val="en-US"/>
        </w:rPr>
        <w:t>, explanatory notes, paragraphe 43</w:t>
      </w:r>
      <w:r w:rsidRPr="00E72418">
        <w:rPr>
          <w:rStyle w:val="Lienhypertexte"/>
          <w:color w:val="auto"/>
          <w:szCs w:val="20"/>
          <w:u w:val="none"/>
          <w:lang w:val="en-US"/>
        </w:rPr>
        <w:t>)</w:t>
      </w:r>
      <w:r w:rsidRPr="00E72418">
        <w:rPr>
          <w:szCs w:val="20"/>
          <w:lang w:val="en-US"/>
        </w:rPr>
        <w:t>.</w:t>
      </w:r>
    </w:p>
  </w:footnote>
  <w:footnote w:id="1882">
    <w:p w14:paraId="68A653E0" w14:textId="6E51E796"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bookmarkStart w:id="439" w:name="To"/>
      <w:r w:rsidRPr="00E72418">
        <w:rPr>
          <w:rStyle w:val="s7d2086b4"/>
          <w:szCs w:val="20"/>
        </w:rPr>
        <w:t xml:space="preserve">Cour eur. D. H., 4 février 2014, </w:t>
      </w:r>
      <w:r w:rsidRPr="00E72418">
        <w:rPr>
          <w:rStyle w:val="s7d2086b4"/>
          <w:i/>
          <w:szCs w:val="20"/>
        </w:rPr>
        <w:t>Staibano et autres c. Italie</w:t>
      </w:r>
      <w:r w:rsidRPr="00E72418">
        <w:rPr>
          <w:rStyle w:val="s7d2086b4"/>
          <w:szCs w:val="20"/>
        </w:rPr>
        <w:t xml:space="preserve">, arrêt, </w:t>
      </w:r>
      <w:r w:rsidRPr="00E72418">
        <w:rPr>
          <w:szCs w:val="20"/>
        </w:rPr>
        <w:t>requête n°</w:t>
      </w:r>
      <w:bookmarkEnd w:id="439"/>
      <w:r w:rsidRPr="00E72418">
        <w:rPr>
          <w:szCs w:val="20"/>
        </w:rPr>
        <w:t xml:space="preserve"> 29907/07</w:t>
      </w:r>
      <w:r w:rsidRPr="00E72418">
        <w:rPr>
          <w:rStyle w:val="s7d2086b4"/>
          <w:szCs w:val="20"/>
        </w:rPr>
        <w:t xml:space="preserve">, paragraphe 40. Avant cela, </w:t>
      </w:r>
      <w:r w:rsidRPr="00E72418">
        <w:rPr>
          <w:szCs w:val="20"/>
        </w:rPr>
        <w:t xml:space="preserve">dans son arrêt </w:t>
      </w:r>
      <w:r w:rsidRPr="00E72418">
        <w:rPr>
          <w:i/>
          <w:szCs w:val="20"/>
        </w:rPr>
        <w:t>Bourdov c. Russie</w:t>
      </w:r>
      <w:r w:rsidRPr="00E72418">
        <w:rPr>
          <w:szCs w:val="20"/>
        </w:rPr>
        <w:t xml:space="preserve">, la Cour européenne des droits de l’homme indiquait déjà qu’ « une “créance” peut constituer un “bien” au sens de l’article 1 du Protocole n° 1 si elle est suffisamment établie pour être exigible » (Cour eur. D. H., 4 septembre 2002, </w:t>
      </w:r>
      <w:r w:rsidRPr="00E72418">
        <w:rPr>
          <w:i/>
          <w:szCs w:val="20"/>
        </w:rPr>
        <w:t>Bourdov. c. Russie</w:t>
      </w:r>
      <w:r w:rsidRPr="00E72418">
        <w:rPr>
          <w:szCs w:val="20"/>
        </w:rPr>
        <w:t>, arrêt, requête n° 59498/00, paragraphe 40).</w:t>
      </w:r>
    </w:p>
  </w:footnote>
  <w:footnote w:id="1883">
    <w:p w14:paraId="4FEC9609" w14:textId="1CA6AAB0"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rStyle w:val="s7d2086b4"/>
          <w:szCs w:val="20"/>
        </w:rPr>
        <w:t xml:space="preserve">Cour eur. D. H., 4 février 2014, </w:t>
      </w:r>
      <w:r w:rsidRPr="00E72418">
        <w:rPr>
          <w:rStyle w:val="s7d2086b4"/>
          <w:i/>
          <w:szCs w:val="20"/>
        </w:rPr>
        <w:t>Staibano et autres c. Italie</w:t>
      </w:r>
      <w:r w:rsidRPr="00E72418">
        <w:rPr>
          <w:rStyle w:val="s7d2086b4"/>
          <w:szCs w:val="20"/>
        </w:rPr>
        <w:t xml:space="preserve">, arrêt, </w:t>
      </w:r>
      <w:r w:rsidRPr="00E72418">
        <w:rPr>
          <w:szCs w:val="20"/>
        </w:rPr>
        <w:t>requête n° 29907/07</w:t>
      </w:r>
      <w:r w:rsidRPr="00E72418">
        <w:rPr>
          <w:rStyle w:val="s7d2086b4"/>
          <w:szCs w:val="20"/>
        </w:rPr>
        <w:t xml:space="preserve">, paragraphe 40. </w:t>
      </w:r>
      <w:r w:rsidRPr="00E72418">
        <w:rPr>
          <w:szCs w:val="20"/>
        </w:rPr>
        <w:t xml:space="preserve">Voyez également l’arrêt </w:t>
      </w:r>
      <w:r w:rsidRPr="00E72418">
        <w:rPr>
          <w:i/>
          <w:szCs w:val="20"/>
        </w:rPr>
        <w:t>Raffineries grecques Stran et Stratis Andreadis c. Grèce</w:t>
      </w:r>
      <w:r w:rsidRPr="00E72418">
        <w:rPr>
          <w:szCs w:val="20"/>
        </w:rPr>
        <w:t xml:space="preserve"> où la Cour releva qu’une décision faisant naître une créance suffisamment établie pour être exigible est un bien au sens de l’article premier du Premier Protocole additionnel (Cour eur. D. H., 9 décembre 1994, </w:t>
      </w:r>
      <w:r w:rsidRPr="00E72418">
        <w:rPr>
          <w:i/>
          <w:szCs w:val="20"/>
        </w:rPr>
        <w:t>Raffineries grecques Stran et Stratis Andreadis c. Grèce</w:t>
      </w:r>
      <w:r w:rsidRPr="00E72418">
        <w:rPr>
          <w:szCs w:val="20"/>
        </w:rPr>
        <w:t>, arrêt, requête n° 13427/87, paragraphe 59). La Cour constitutionnelle belge retint encore qu’une créance à charge d’une puissance étrangère constatée par une décision judiciaire définitive peut constituer un bien (Cour const., 27 avril 2017, n° 48/2017, point B.5.3).</w:t>
      </w:r>
    </w:p>
  </w:footnote>
  <w:footnote w:id="1884">
    <w:p w14:paraId="5EB1557D" w14:textId="1AC15C35" w:rsidR="0030147D" w:rsidRPr="00E72418" w:rsidRDefault="0030147D" w:rsidP="009855CE">
      <w:pPr>
        <w:pStyle w:val="Sansinterligne"/>
      </w:pPr>
      <w:r w:rsidRPr="00E72418">
        <w:rPr>
          <w:rStyle w:val="Appelnotedebasdep"/>
        </w:rPr>
        <w:footnoteRef/>
      </w:r>
      <w:r w:rsidRPr="00E72418">
        <w:t xml:space="preserve"> Cour eur. D. H., 10 février 2010, </w:t>
      </w:r>
      <w:r w:rsidRPr="00E72418">
        <w:rPr>
          <w:i/>
        </w:rPr>
        <w:t>Malysh et autres c. Russie</w:t>
      </w:r>
      <w:r w:rsidRPr="00E72418">
        <w:t>, arrêt, requête n° 30280/03, paragraphe 68.</w:t>
      </w:r>
    </w:p>
  </w:footnote>
  <w:footnote w:id="1885">
    <w:p w14:paraId="4244B30F" w14:textId="1C5D097C" w:rsidR="0030147D" w:rsidRPr="00E72418" w:rsidRDefault="0030147D" w:rsidP="004149EA">
      <w:pPr>
        <w:pStyle w:val="Sansinterligne"/>
      </w:pPr>
      <w:r w:rsidRPr="00E72418">
        <w:rPr>
          <w:rStyle w:val="Appelnotedebasdep"/>
        </w:rPr>
        <w:footnoteRef/>
      </w:r>
      <w:r w:rsidRPr="00E72418">
        <w:rPr>
          <w:vertAlign w:val="superscript"/>
        </w:rPr>
        <w:t xml:space="preserve"> </w:t>
      </w:r>
      <w:r w:rsidRPr="00E72418">
        <w:rPr>
          <w:rStyle w:val="s7d2086b4"/>
        </w:rPr>
        <w:t xml:space="preserve">Cour eur. D. H., 21 juillet 2016, </w:t>
      </w:r>
      <w:r w:rsidRPr="00E72418">
        <w:rPr>
          <w:rStyle w:val="s7d2086b4"/>
          <w:i/>
        </w:rPr>
        <w:t>Mamatas et autres c. Grèce</w:t>
      </w:r>
      <w:r w:rsidRPr="00E72418">
        <w:rPr>
          <w:rStyle w:val="s7d2086b4"/>
        </w:rPr>
        <w:t xml:space="preserve">, arrêt, </w:t>
      </w:r>
      <w:r w:rsidRPr="00E72418">
        <w:t>requêtes n</w:t>
      </w:r>
      <w:r w:rsidRPr="00E72418">
        <w:rPr>
          <w:vertAlign w:val="superscript"/>
        </w:rPr>
        <w:t>os</w:t>
      </w:r>
      <w:r w:rsidRPr="00E72418">
        <w:t xml:space="preserve"> 63066/14, 64297/14 et 66106/14, paragraphe 91. La juridiction notait ainsi qu’ « </w:t>
      </w:r>
      <w:r w:rsidRPr="00E72418">
        <w:rPr>
          <w:rStyle w:val="sb8d990e2"/>
        </w:rPr>
        <w:t>à l’instar des titres qui font l’objet de transactions sur le marché des capitaux, les obligations sont négociables en bourse, se transfèrent d’un porteur à l’autre, et que leur valeur peut fluctuer en fonction de divers facteurs » mais que « </w:t>
      </w:r>
      <w:r w:rsidRPr="00E72418">
        <w:t>[t]</w:t>
      </w:r>
      <w:r w:rsidRPr="00E72418">
        <w:rPr>
          <w:rStyle w:val="sb8d990e2"/>
        </w:rPr>
        <w:t xml:space="preserve">outefois, à leur arrivée à maturité, elles doivent, en principe, être remboursées à leur valeur nominale </w:t>
      </w:r>
      <w:r w:rsidRPr="00E72418">
        <w:t>» (</w:t>
      </w:r>
      <w:r w:rsidRPr="00E72418">
        <w:rPr>
          <w:i/>
        </w:rPr>
        <w:t>ibid.</w:t>
      </w:r>
      <w:r w:rsidRPr="00E72418">
        <w:t>, paragraphe 90).</w:t>
      </w:r>
    </w:p>
  </w:footnote>
  <w:footnote w:id="1886">
    <w:p w14:paraId="60960D7B" w14:textId="44BEF76A"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Cour eur. D. H., 20 octobre 2005, </w:t>
      </w:r>
      <w:r w:rsidRPr="00E72418">
        <w:rPr>
          <w:i/>
          <w:szCs w:val="20"/>
        </w:rPr>
        <w:t>Nosov c. Russie</w:t>
      </w:r>
      <w:r w:rsidRPr="00E72418">
        <w:rPr>
          <w:szCs w:val="20"/>
        </w:rPr>
        <w:t>, décision, requête n° 30877/02, p. 9.</w:t>
      </w:r>
    </w:p>
  </w:footnote>
  <w:footnote w:id="1887">
    <w:p w14:paraId="6B969492" w14:textId="62C97F4C" w:rsidR="0030147D" w:rsidRPr="00E72418" w:rsidRDefault="0030147D" w:rsidP="007B5C7C">
      <w:pPr>
        <w:pStyle w:val="Sansinterligne"/>
      </w:pPr>
      <w:r w:rsidRPr="00E72418">
        <w:rPr>
          <w:rStyle w:val="Appelnotedebasdep"/>
        </w:rPr>
        <w:footnoteRef/>
      </w:r>
      <w:r w:rsidRPr="00E72418">
        <w:t xml:space="preserve"> Voyez </w:t>
      </w:r>
      <w:r w:rsidRPr="00E72418">
        <w:rPr>
          <w:i/>
        </w:rPr>
        <w:t>supra</w:t>
      </w:r>
      <w:r w:rsidRPr="00E72418">
        <w:t xml:space="preserve"> n° 134.</w:t>
      </w:r>
    </w:p>
  </w:footnote>
  <w:footnote w:id="1888">
    <w:p w14:paraId="46D597DA" w14:textId="24D50568" w:rsidR="0030147D" w:rsidRPr="00E72418" w:rsidRDefault="0030147D" w:rsidP="007B5C7C">
      <w:pPr>
        <w:pStyle w:val="Sansinterligne"/>
      </w:pPr>
      <w:r w:rsidRPr="00E72418">
        <w:rPr>
          <w:rStyle w:val="Appelnotedebasdep"/>
        </w:rPr>
        <w:footnoteRef/>
      </w:r>
      <w:r w:rsidRPr="00E72418">
        <w:t xml:space="preserve"> </w:t>
      </w:r>
      <w:r w:rsidRPr="00E72418">
        <w:rPr>
          <w:lang w:val="en-US"/>
        </w:rPr>
        <w:t xml:space="preserve">P. </w:t>
      </w:r>
      <w:r w:rsidRPr="00E72418">
        <w:rPr>
          <w:smallCaps/>
          <w:lang w:val="en-US"/>
        </w:rPr>
        <w:t>Wautelet</w:t>
      </w:r>
      <w:r w:rsidRPr="00E72418">
        <w:rPr>
          <w:lang w:val="en-US"/>
        </w:rPr>
        <w:t xml:space="preserve">, </w:t>
      </w:r>
      <w:r w:rsidRPr="00E72418">
        <w:t xml:space="preserve">« The Greek debt restructuring and property rights – A Greek tragedy for investors? », </w:t>
      </w:r>
      <w:r w:rsidRPr="00E72418">
        <w:rPr>
          <w:i/>
        </w:rPr>
        <w:t>op. cit.</w:t>
      </w:r>
      <w:r w:rsidRPr="00E72418">
        <w:t>, p. 912.</w:t>
      </w:r>
    </w:p>
  </w:footnote>
  <w:footnote w:id="1889">
    <w:p w14:paraId="2CF1AF7E" w14:textId="492479B8" w:rsidR="0030147D" w:rsidRPr="00E72418" w:rsidRDefault="0030147D" w:rsidP="00B07ECA">
      <w:pPr>
        <w:pStyle w:val="Sansinterligne"/>
      </w:pPr>
      <w:r w:rsidRPr="00E72418">
        <w:rPr>
          <w:rStyle w:val="Appelnotedebasdep"/>
        </w:rPr>
        <w:footnoteRef/>
      </w:r>
      <w:r w:rsidRPr="00E72418">
        <w:t xml:space="preserve"> </w:t>
      </w:r>
      <w:r w:rsidRPr="00E72418">
        <w:rPr>
          <w:i/>
        </w:rPr>
        <w:t>Ibid.</w:t>
      </w:r>
    </w:p>
  </w:footnote>
  <w:footnote w:id="1890">
    <w:p w14:paraId="77900903" w14:textId="0D894226"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Cour eur. D. H., 28 septembre 2004, </w:t>
      </w:r>
      <w:r w:rsidRPr="00E72418">
        <w:rPr>
          <w:i/>
          <w:szCs w:val="20"/>
        </w:rPr>
        <w:t>Kopecky c. Slovaquie</w:t>
      </w:r>
      <w:r w:rsidRPr="00E72418">
        <w:rPr>
          <w:szCs w:val="20"/>
        </w:rPr>
        <w:t>, arrêt, requête n° 44912/98, paragraphe 35.</w:t>
      </w:r>
    </w:p>
  </w:footnote>
  <w:footnote w:id="1891">
    <w:p w14:paraId="6BB6B66B" w14:textId="192D0232"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rStyle w:val="s7d2086b4"/>
          <w:i/>
          <w:szCs w:val="20"/>
        </w:rPr>
        <w:t>Ibid</w:t>
      </w:r>
      <w:r w:rsidRPr="00E72418">
        <w:rPr>
          <w:i/>
          <w:szCs w:val="20"/>
        </w:rPr>
        <w:t>.</w:t>
      </w:r>
      <w:r w:rsidRPr="00E72418">
        <w:rPr>
          <w:szCs w:val="20"/>
        </w:rPr>
        <w:t xml:space="preserve"> </w:t>
      </w:r>
      <w:r w:rsidRPr="00E72418">
        <w:rPr>
          <w:rFonts w:cs="Times New Roman"/>
          <w:szCs w:val="20"/>
          <w:shd w:val="clear" w:color="auto" w:fill="FFFFFF"/>
        </w:rPr>
        <w:t xml:space="preserve">Pour Patrick Wautelet, le fait qu’un créancier d’un </w:t>
      </w:r>
      <w:r w:rsidRPr="00E72418">
        <w:rPr>
          <w:rFonts w:cs="Times New Roman"/>
          <w:szCs w:val="20"/>
        </w:rPr>
        <w:t>É</w:t>
      </w:r>
      <w:r w:rsidRPr="00E72418">
        <w:rPr>
          <w:rFonts w:cs="Times New Roman"/>
          <w:szCs w:val="20"/>
          <w:shd w:val="clear" w:color="auto" w:fill="FFFFFF"/>
        </w:rPr>
        <w:t xml:space="preserve">tat souverain ait rencontré des difficultés mêmes substantielles et longues afin de faire honorer ce qui lui est dû ne saurait conduire à retenir que sa créance n’est plus un bien au sens de l’article premier du Premier Protocole additionnel </w:t>
      </w:r>
      <w:r w:rsidRPr="00E72418">
        <w:rPr>
          <w:szCs w:val="20"/>
        </w:rPr>
        <w:t>(</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156). L’appréciation est toutefois complexe ; la Cour européenne des droits de l’homme estimant que l’article ne protège pas le simple espoir de voir reconnaître un droit de propriété dont l’exercice pratique est impossible, Patrick Wautelet affine sa réflexion et remarque qu’il pourrait être des cas dans lesquels le créancier s’est porté acquéreur d’une dette très ancienne dont il a longtemps été admis qu’elle ne pourrait pas faire l’objet d’un paiement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 580).</w:t>
      </w:r>
    </w:p>
  </w:footnote>
  <w:footnote w:id="1892">
    <w:p w14:paraId="3A893A6E" w14:textId="56B6CCF3" w:rsidR="0030147D" w:rsidRPr="00E72418" w:rsidRDefault="0030147D" w:rsidP="006B17F5">
      <w:pPr>
        <w:pStyle w:val="Sansinterligne"/>
      </w:pPr>
      <w:r w:rsidRPr="00E72418">
        <w:rPr>
          <w:rStyle w:val="Appelnotedebasdep"/>
        </w:rPr>
        <w:footnoteRef/>
      </w:r>
      <w:r w:rsidRPr="00E72418">
        <w:t xml:space="preserve"> </w:t>
      </w:r>
      <w:r w:rsidRPr="00E72418">
        <w:rPr>
          <w:szCs w:val="20"/>
        </w:rPr>
        <w:t xml:space="preserve">Cour eur. D. H., </w:t>
      </w:r>
      <w:r w:rsidRPr="00E72418">
        <w:t>13 décembre 2016</w:t>
      </w:r>
      <w:r w:rsidRPr="00E72418">
        <w:rPr>
          <w:szCs w:val="20"/>
        </w:rPr>
        <w:t xml:space="preserve">, </w:t>
      </w:r>
      <w:r w:rsidRPr="00E72418">
        <w:rPr>
          <w:i/>
        </w:rPr>
        <w:t>Béláné Nagy</w:t>
      </w:r>
      <w:r w:rsidRPr="00E72418">
        <w:rPr>
          <w:i/>
          <w:szCs w:val="20"/>
        </w:rPr>
        <w:t xml:space="preserve"> c. </w:t>
      </w:r>
      <w:r w:rsidRPr="00E72418">
        <w:rPr>
          <w:i/>
        </w:rPr>
        <w:t>Hongrie</w:t>
      </w:r>
      <w:r w:rsidRPr="00E72418">
        <w:rPr>
          <w:szCs w:val="20"/>
        </w:rPr>
        <w:t>, arrêt, requête n° 30877/02,</w:t>
      </w:r>
      <w:r w:rsidRPr="00E72418">
        <w:t xml:space="preserve"> paragraphe 112.</w:t>
      </w:r>
    </w:p>
  </w:footnote>
  <w:footnote w:id="1893">
    <w:p w14:paraId="46BE4A61" w14:textId="174C4E4C" w:rsidR="0030147D" w:rsidRPr="00E72418" w:rsidRDefault="0030147D" w:rsidP="00D33D71">
      <w:pPr>
        <w:pStyle w:val="Sansinterligne"/>
      </w:pPr>
      <w:r w:rsidRPr="00E72418">
        <w:rPr>
          <w:rStyle w:val="Appelnotedebasdep"/>
        </w:rPr>
        <w:footnoteRef/>
      </w:r>
      <w:r w:rsidRPr="00E72418">
        <w:t xml:space="preserve"> Cour eur. D. H., 25 mars 1999, </w:t>
      </w:r>
      <w:r w:rsidRPr="00E72418">
        <w:rPr>
          <w:i/>
        </w:rPr>
        <w:t>Iatridis c. Grèce</w:t>
      </w:r>
      <w:r w:rsidRPr="00E72418">
        <w:t xml:space="preserve">, arrêt, requête n° 31107/96, paragraphe 58. La Cour s’arrêtant sur la rédaction de l’article premier du Premier Protocole additionnel relève ainsi que la seconde phrase de son premier alinéa prévoit une possible privation de propriété « dans les conditions prévues par la loi » tandis que </w:t>
      </w:r>
      <w:r w:rsidRPr="00E72418">
        <w:rPr>
          <w:rStyle w:val="sb8d990e2"/>
        </w:rPr>
        <w:t xml:space="preserve">son second alinéa reconnaît aux </w:t>
      </w:r>
      <w:r w:rsidRPr="00E72418">
        <w:rPr>
          <w:lang w:eastAsia="fr-BE"/>
        </w:rPr>
        <w:t>É</w:t>
      </w:r>
      <w:r w:rsidRPr="00E72418">
        <w:rPr>
          <w:rStyle w:val="sb8d990e2"/>
        </w:rPr>
        <w:t>tats le droit de réglementer l’usage des biens en mettant en vigueur des « lois ».</w:t>
      </w:r>
    </w:p>
  </w:footnote>
  <w:footnote w:id="1894">
    <w:p w14:paraId="5B810A4D" w14:textId="51A35E12"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Voyez notamment l’avis de la firme </w:t>
      </w:r>
      <w:r w:rsidRPr="00E72418">
        <w:rPr>
          <w:i/>
          <w:szCs w:val="20"/>
          <w:lang w:val="en-US"/>
        </w:rPr>
        <w:t>Dechert LLP</w:t>
      </w:r>
      <w:r w:rsidRPr="00E72418">
        <w:rPr>
          <w:szCs w:val="20"/>
          <w:lang w:val="en-US"/>
        </w:rPr>
        <w:t xml:space="preserve"> repris in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consultation responses received</w:t>
      </w:r>
      <w:r w:rsidRPr="00E72418">
        <w:rPr>
          <w:szCs w:val="20"/>
          <w:lang w:val="en-US"/>
        </w:rPr>
        <w:t xml:space="preserve">, 2010 cité par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20.</w:t>
      </w:r>
    </w:p>
  </w:footnote>
  <w:footnote w:id="1895">
    <w:p w14:paraId="24A64BA6" w14:textId="07393527" w:rsidR="0030147D" w:rsidRPr="00E72418" w:rsidRDefault="0030147D" w:rsidP="0020386F">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44</w:t>
      </w:r>
      <w:r w:rsidRPr="00E72418">
        <w:rPr>
          <w:rStyle w:val="Lienhypertexte"/>
          <w:color w:val="auto"/>
          <w:szCs w:val="20"/>
          <w:u w:val="none"/>
          <w:lang w:val="en-US"/>
        </w:rPr>
        <w:t xml:space="preserve">. </w:t>
      </w:r>
      <w:r w:rsidRPr="00E72418">
        <w:rPr>
          <w:rStyle w:val="Lienhypertexte"/>
          <w:color w:val="auto"/>
          <w:szCs w:val="20"/>
          <w:u w:val="none"/>
        </w:rPr>
        <w:t xml:space="preserve">Voyez </w:t>
      </w:r>
      <w:r w:rsidRPr="00E72418">
        <w:rPr>
          <w:szCs w:val="20"/>
        </w:rPr>
        <w:t xml:space="preserve">Cour eur. D. H., 29 mars 2006, </w:t>
      </w:r>
      <w:r w:rsidRPr="00E72418">
        <w:rPr>
          <w:i/>
          <w:szCs w:val="20"/>
        </w:rPr>
        <w:t>Scordino c. Italie (n° 1)</w:t>
      </w:r>
      <w:r w:rsidRPr="00E72418">
        <w:rPr>
          <w:szCs w:val="20"/>
        </w:rPr>
        <w:t>, arrêt, requête n° 36813/97, paragraphe 132.</w:t>
      </w:r>
    </w:p>
  </w:footnote>
  <w:footnote w:id="1896">
    <w:p w14:paraId="1AB0F301" w14:textId="270A3B7C"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45. Voyez également l’</w:t>
      </w:r>
      <w:r w:rsidRPr="00E72418">
        <w:rPr>
          <w:i/>
          <w:szCs w:val="20"/>
          <w:lang w:val="en-US"/>
        </w:rPr>
        <w:t xml:space="preserve">explanatory memorandum </w:t>
      </w:r>
      <w:r w:rsidRPr="00E72418">
        <w:rPr>
          <w:szCs w:val="20"/>
          <w:lang w:val="en-US"/>
        </w:rPr>
        <w:t xml:space="preserve">à la </w:t>
      </w:r>
      <w:r w:rsidRPr="00E72418">
        <w:rPr>
          <w:i/>
          <w:szCs w:val="20"/>
          <w:lang w:val="en-US"/>
        </w:rPr>
        <w:t>Heavily Indebted Poor Countries (Limitation on Debt Recovery) Bill 2012</w:t>
      </w:r>
      <w:r w:rsidRPr="00E72418">
        <w:rPr>
          <w:szCs w:val="20"/>
          <w:lang w:val="en-US"/>
        </w:rPr>
        <w:t xml:space="preserve"> de l’</w:t>
      </w:r>
      <w:r w:rsidRPr="00E72418">
        <w:rPr>
          <w:caps/>
          <w:szCs w:val="20"/>
          <w:lang w:val="en-US"/>
        </w:rPr>
        <w:t>î</w:t>
      </w:r>
      <w:r w:rsidRPr="00E72418">
        <w:rPr>
          <w:szCs w:val="20"/>
          <w:lang w:val="en-US"/>
        </w:rPr>
        <w:t>le de Man, paragraphe 9.</w:t>
      </w:r>
    </w:p>
  </w:footnote>
  <w:footnote w:id="1897">
    <w:p w14:paraId="70F1B03D" w14:textId="30A1B660" w:rsidR="0030147D" w:rsidRPr="00E72418" w:rsidRDefault="0030147D" w:rsidP="000C3CEA">
      <w:pPr>
        <w:pStyle w:val="Sansinterligne"/>
      </w:pPr>
      <w:r w:rsidRPr="00E72418">
        <w:rPr>
          <w:rStyle w:val="Appelnotedebasdep"/>
        </w:rPr>
        <w:footnoteRef/>
      </w:r>
      <w:r w:rsidRPr="00E72418">
        <w:t xml:space="preserve"> Nous l’avons étudié, l’entame de l’article 1(3) du </w:t>
      </w:r>
      <w:r w:rsidRPr="00E72418">
        <w:rPr>
          <w:i/>
        </w:rPr>
        <w:t>Debt Relief (Developing Countries) Act</w:t>
      </w:r>
      <w:r w:rsidRPr="00E72418">
        <w:t xml:space="preserve"> prévoit que pour être qualifiée et donc être protégée, la dette doit avoir été encourue avant l’entrée en vigueur de la loi. Par ailleurs, la limitation retenue par la loi s’applique aux décisions déjà rendues (voyez </w:t>
      </w:r>
      <w:r w:rsidRPr="00E72418">
        <w:rPr>
          <w:i/>
        </w:rPr>
        <w:t>supra</w:t>
      </w:r>
      <w:r w:rsidRPr="00E72418">
        <w:t xml:space="preserve"> n° 313).</w:t>
      </w:r>
    </w:p>
  </w:footnote>
  <w:footnote w:id="1898">
    <w:p w14:paraId="11672839" w14:textId="77777777"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Propos de Paul Myners repris in House of Lords, </w:t>
      </w:r>
      <w:r w:rsidRPr="00E72418">
        <w:rPr>
          <w:i/>
          <w:szCs w:val="20"/>
          <w:lang w:val="en-US"/>
        </w:rPr>
        <w:t>Debt Relief (Developing Countries) Bill</w:t>
      </w:r>
      <w:r w:rsidRPr="00E72418">
        <w:rPr>
          <w:szCs w:val="20"/>
          <w:lang w:val="en-US"/>
        </w:rPr>
        <w:t>, second reading, 8 avril 2010, vol. 718, colonne 1702.</w:t>
      </w:r>
    </w:p>
  </w:footnote>
  <w:footnote w:id="1899">
    <w:p w14:paraId="3D7ECD0A" w14:textId="0DCD4801"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Prenant l’argument à contre-pied, d’aucuns étaient d’avis que la portée limitée de la législation découlant des dettes concrètement protégées était de nature à poser la question de la réalité d’un </w:t>
      </w:r>
      <w:r w:rsidRPr="00E72418">
        <w:rPr>
          <w:szCs w:val="20"/>
          <w:shd w:val="clear" w:color="auto" w:fill="FFFFFF"/>
        </w:rPr>
        <w:t>intérêt général évident et impérieux</w:t>
      </w:r>
      <w:r w:rsidRPr="00E72418">
        <w:rPr>
          <w:szCs w:val="20"/>
        </w:rPr>
        <w:t xml:space="preserve"> </w:t>
      </w:r>
      <w:r w:rsidRPr="00E72418">
        <w:rPr>
          <w:szCs w:val="20"/>
          <w:lang w:val="en-US"/>
        </w:rPr>
        <w:t xml:space="preserve">: « such is the narrowness of the Bill that the benefit for developing countries </w:t>
      </w:r>
      <w:r w:rsidRPr="00E72418">
        <w:rPr>
          <w:b/>
          <w:szCs w:val="20"/>
        </w:rPr>
        <w:t xml:space="preserve">– </w:t>
      </w:r>
      <w:r w:rsidRPr="00E72418">
        <w:rPr>
          <w:szCs w:val="20"/>
          <w:lang w:val="en-US"/>
        </w:rPr>
        <w:t xml:space="preserve">the sums concerned </w:t>
      </w:r>
      <w:r w:rsidRPr="00E72418">
        <w:rPr>
          <w:b/>
          <w:szCs w:val="20"/>
        </w:rPr>
        <w:t xml:space="preserve">– </w:t>
      </w:r>
      <w:r w:rsidRPr="00E72418">
        <w:rPr>
          <w:szCs w:val="20"/>
          <w:lang w:val="en-US"/>
        </w:rPr>
        <w:t xml:space="preserve">is now so small that the compelling nature of the public interest has diminished » (Public Bill Committee, </w:t>
      </w:r>
      <w:r w:rsidRPr="00E72418">
        <w:rPr>
          <w:i/>
          <w:szCs w:val="20"/>
          <w:lang w:val="en-US"/>
        </w:rPr>
        <w:t>Debt Relief (Developing Countries) Bill</w:t>
      </w:r>
      <w:r w:rsidRPr="00E72418">
        <w:rPr>
          <w:szCs w:val="20"/>
          <w:lang w:val="en-US"/>
        </w:rPr>
        <w:t>, 9 mars 2010, colonne 14).</w:t>
      </w:r>
    </w:p>
  </w:footnote>
  <w:footnote w:id="1900">
    <w:p w14:paraId="448CCEEA" w14:textId="3E7685DF"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pp. 583 et 584.</w:t>
      </w:r>
    </w:p>
  </w:footnote>
  <w:footnote w:id="1901">
    <w:p w14:paraId="68EAB3BB"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Conseil constitutionnel, décision n° 2016-741 DC du 8 décembre 2016, points 66 à 74.</w:t>
      </w:r>
    </w:p>
  </w:footnote>
  <w:footnote w:id="1902">
    <w:p w14:paraId="0EFE0D24" w14:textId="30B3EAD5"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point 71. Paul Giraud déplore le fait que le Conseil n’ait ni détaillé, ni précisé les « conditions strictement définies » auxquelles il fait référence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371).</w:t>
      </w:r>
    </w:p>
  </w:footnote>
  <w:footnote w:id="1903">
    <w:p w14:paraId="434AC963"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Conseil constitutionnel, décision n° 2016-741 DC du 8 décembre 2016, point 72.</w:t>
      </w:r>
    </w:p>
  </w:footnote>
  <w:footnote w:id="1904">
    <w:p w14:paraId="787966D4" w14:textId="306D69D7" w:rsidR="0030147D" w:rsidRPr="00E72418" w:rsidRDefault="0030147D" w:rsidP="002E58FD">
      <w:pPr>
        <w:pStyle w:val="Sansinterligne"/>
      </w:pPr>
      <w:r w:rsidRPr="00E72418">
        <w:rPr>
          <w:rStyle w:val="Appelnotedebasdep"/>
        </w:rPr>
        <w:footnoteRef/>
      </w:r>
      <w:r w:rsidRPr="00E72418">
        <w:t xml:space="preserve"> Voyez notamment </w:t>
      </w:r>
      <w:r w:rsidRPr="00E72418">
        <w:rPr>
          <w:szCs w:val="20"/>
        </w:rPr>
        <w:t xml:space="preserve">Cour eur. D. H., </w:t>
      </w:r>
      <w:r w:rsidRPr="00E72418">
        <w:t>13 décembre 2016</w:t>
      </w:r>
      <w:r w:rsidRPr="00E72418">
        <w:rPr>
          <w:szCs w:val="20"/>
        </w:rPr>
        <w:t xml:space="preserve">, </w:t>
      </w:r>
      <w:r w:rsidRPr="00E72418">
        <w:rPr>
          <w:i/>
        </w:rPr>
        <w:t>Béláné Nagy</w:t>
      </w:r>
      <w:r w:rsidRPr="00E72418">
        <w:rPr>
          <w:i/>
          <w:szCs w:val="20"/>
        </w:rPr>
        <w:t xml:space="preserve"> c. </w:t>
      </w:r>
      <w:r w:rsidRPr="00E72418">
        <w:rPr>
          <w:i/>
        </w:rPr>
        <w:t>Hongrie</w:t>
      </w:r>
      <w:r w:rsidRPr="00E72418">
        <w:rPr>
          <w:szCs w:val="20"/>
        </w:rPr>
        <w:t xml:space="preserve">, arrêt, requête n° 30877/02, </w:t>
      </w:r>
      <w:r w:rsidRPr="00E72418">
        <w:t>paragraphe 113.</w:t>
      </w:r>
    </w:p>
  </w:footnote>
  <w:footnote w:id="1905">
    <w:p w14:paraId="4B990498" w14:textId="4F289FBC" w:rsidR="0030147D" w:rsidRPr="00E72418" w:rsidRDefault="0030147D" w:rsidP="000478B7">
      <w:pPr>
        <w:pStyle w:val="Sansinterligne"/>
        <w:rPr>
          <w:szCs w:val="20"/>
        </w:rPr>
      </w:pPr>
      <w:r w:rsidRPr="00E72418">
        <w:rPr>
          <w:rStyle w:val="Appelnotedebasdep"/>
          <w:szCs w:val="20"/>
        </w:rPr>
        <w:footnoteRef/>
      </w:r>
      <w:r w:rsidRPr="00E72418">
        <w:rPr>
          <w:szCs w:val="20"/>
        </w:rPr>
        <w:t xml:space="preserve"> </w:t>
      </w:r>
      <w:r w:rsidRPr="00E72418">
        <w:rPr>
          <w:smallCaps/>
          <w:szCs w:val="20"/>
          <w:lang w:val="en-US"/>
        </w:rPr>
        <w:t>D. Harris, M. O’Boyle, E. Bates</w:t>
      </w:r>
      <w:r w:rsidRPr="00E72418">
        <w:rPr>
          <w:szCs w:val="20"/>
          <w:lang w:val="en-US"/>
        </w:rPr>
        <w:t xml:space="preserve"> et </w:t>
      </w:r>
      <w:r w:rsidRPr="00E72418">
        <w:rPr>
          <w:smallCaps/>
          <w:szCs w:val="20"/>
          <w:lang w:val="en-US"/>
        </w:rPr>
        <w:t>C. Buckley</w:t>
      </w:r>
      <w:r w:rsidRPr="00E72418">
        <w:rPr>
          <w:szCs w:val="20"/>
          <w:lang w:val="en-US"/>
        </w:rPr>
        <w:t xml:space="preserve">, </w:t>
      </w:r>
      <w:r w:rsidRPr="00E72418">
        <w:rPr>
          <w:i/>
          <w:szCs w:val="20"/>
          <w:lang w:val="en-US"/>
        </w:rPr>
        <w:t>Law of the European Convention on Human Rights</w:t>
      </w:r>
      <w:r w:rsidRPr="00E72418">
        <w:rPr>
          <w:szCs w:val="20"/>
          <w:lang w:val="en-US"/>
        </w:rPr>
        <w:t xml:space="preserve">, </w:t>
      </w:r>
      <w:r w:rsidRPr="00E72418">
        <w:rPr>
          <w:szCs w:val="20"/>
        </w:rPr>
        <w:t>3</w:t>
      </w:r>
      <w:r w:rsidRPr="00E72418">
        <w:rPr>
          <w:szCs w:val="20"/>
          <w:vertAlign w:val="superscript"/>
        </w:rPr>
        <w:t>e</w:t>
      </w:r>
      <w:r w:rsidRPr="00E72418">
        <w:rPr>
          <w:szCs w:val="20"/>
          <w:lang w:val="en-US"/>
        </w:rPr>
        <w:t xml:space="preserve"> éd., Oxford University Press, 2014, p. 876.</w:t>
      </w:r>
    </w:p>
  </w:footnote>
  <w:footnote w:id="1906">
    <w:p w14:paraId="12DD485E" w14:textId="7D5A4262" w:rsidR="0030147D" w:rsidRPr="00E72418" w:rsidRDefault="0030147D" w:rsidP="00F978DD">
      <w:pPr>
        <w:pStyle w:val="Sansinterligne"/>
      </w:pPr>
      <w:r w:rsidRPr="00E72418">
        <w:rPr>
          <w:rStyle w:val="Appelnotedebasdep"/>
        </w:rPr>
        <w:footnoteRef/>
      </w:r>
      <w:r w:rsidRPr="00E72418">
        <w:t xml:space="preserve"> Cour eur. D. H., 22 juin 2004, </w:t>
      </w:r>
      <w:r w:rsidRPr="00E72418">
        <w:rPr>
          <w:i/>
        </w:rPr>
        <w:t>Broniowski c. Pologne</w:t>
      </w:r>
      <w:r w:rsidRPr="00E72418">
        <w:t>, arrêt, requête n° 31443/96, paragraphe 148. Faisant référence à cette décision, Patrick Wautelet note que « [t]he Court has indeed taken a holistic approach » (</w:t>
      </w:r>
      <w:r w:rsidRPr="00E72418">
        <w:rPr>
          <w:lang w:val="en-US"/>
        </w:rPr>
        <w:t xml:space="preserve">P. </w:t>
      </w:r>
      <w:r w:rsidRPr="00E72418">
        <w:rPr>
          <w:smallCaps/>
          <w:lang w:val="en-US"/>
        </w:rPr>
        <w:t>Wautelet</w:t>
      </w:r>
      <w:r w:rsidRPr="00E72418">
        <w:rPr>
          <w:lang w:val="en-US"/>
        </w:rPr>
        <w:t xml:space="preserve">, </w:t>
      </w:r>
      <w:r w:rsidRPr="00E72418">
        <w:t xml:space="preserve">« The Greek debt restructuring and property rights – A Greek tragedy for investors? », </w:t>
      </w:r>
      <w:r w:rsidRPr="00E72418">
        <w:rPr>
          <w:i/>
        </w:rPr>
        <w:t>op. cit.</w:t>
      </w:r>
      <w:r w:rsidRPr="00E72418">
        <w:t>, p. 914).</w:t>
      </w:r>
    </w:p>
  </w:footnote>
  <w:footnote w:id="1907">
    <w:p w14:paraId="133FD549" w14:textId="493CCA43"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xml:space="preserve">, explanatory notes, paragraphe 43. Il y était encore précisé que « there are cases in which state actions led to a considerable diminution in the value of property but which were nonetheless categorised as “controls on use” » et fait référence à l’arrêt </w:t>
      </w:r>
      <w:r w:rsidRPr="00E72418">
        <w:rPr>
          <w:i/>
          <w:szCs w:val="20"/>
          <w:lang w:val="en-US"/>
        </w:rPr>
        <w:t>Fredin contre Suède (n° 1)</w:t>
      </w:r>
      <w:r w:rsidRPr="00E72418">
        <w:rPr>
          <w:szCs w:val="20"/>
          <w:lang w:val="en-US"/>
        </w:rPr>
        <w:t xml:space="preserve"> de la Cour européenne des droits de l’homme (18 février 1991, arrêt, requête n° </w:t>
      </w:r>
      <w:hyperlink r:id="rId69" w:anchor="{%22appno%22:[%2212033/86%22]}" w:tgtFrame="_blank" w:history="1">
        <w:r w:rsidRPr="00E72418">
          <w:rPr>
            <w:szCs w:val="20"/>
            <w:lang w:val="en-US"/>
          </w:rPr>
          <w:t>12033/86</w:t>
        </w:r>
      </w:hyperlink>
      <w:r w:rsidRPr="00E72418">
        <w:rPr>
          <w:szCs w:val="20"/>
          <w:lang w:val="en-US"/>
        </w:rPr>
        <w:t xml:space="preserve">). Lors des travaux préparatoires, Stephen Timms fit encore valoir que « [t]he European Court of Human Rights has found there to be a deprivation only where there is a total practical or legal extinction of the rights of ownership » (propos repris in Public Bill Committee, </w:t>
      </w:r>
      <w:r w:rsidRPr="00E72418">
        <w:rPr>
          <w:i/>
          <w:szCs w:val="20"/>
          <w:lang w:val="en-US"/>
        </w:rPr>
        <w:t>Debt Relief (Developing Countries) Bill</w:t>
      </w:r>
      <w:r w:rsidRPr="00E72418">
        <w:rPr>
          <w:szCs w:val="20"/>
          <w:lang w:val="en-US"/>
        </w:rPr>
        <w:t>, 9 mars 2010, colonne 18).</w:t>
      </w:r>
    </w:p>
  </w:footnote>
  <w:footnote w:id="1908">
    <w:p w14:paraId="12E61D46"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19.</w:t>
      </w:r>
    </w:p>
  </w:footnote>
  <w:footnote w:id="1909">
    <w:p w14:paraId="20FDD269" w14:textId="67CF7FD3"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Par exemple, de l’avis de Patrick Wautelet, « the prohibition imposed to courts to render a judgment for the full value of the claim render the creditor’s title to its claim effectively useless, at least for the part for which no title may be obtained ». L’auteur en conclut qu’ « [i]n that sense, there is deprivation of property, even though the formal title to the sovereign debt continues to rest with the creditor »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 158).</w:t>
      </w:r>
    </w:p>
  </w:footnote>
  <w:footnote w:id="1910">
    <w:p w14:paraId="056B5D96" w14:textId="77777777" w:rsidR="0030147D" w:rsidRPr="00E72418" w:rsidRDefault="0030147D" w:rsidP="008F1C5A">
      <w:pPr>
        <w:pStyle w:val="Sansinterligne"/>
      </w:pPr>
      <w:r w:rsidRPr="00E72418">
        <w:rPr>
          <w:rStyle w:val="Appelnotedebasdep"/>
        </w:rPr>
        <w:footnoteRef/>
      </w:r>
      <w:r w:rsidRPr="00E72418">
        <w:t xml:space="preserve"> Cour eur. D. H., 10 février 2010, </w:t>
      </w:r>
      <w:r w:rsidRPr="00E72418">
        <w:rPr>
          <w:i/>
        </w:rPr>
        <w:t>Malysh et autres c. Russie</w:t>
      </w:r>
      <w:r w:rsidRPr="00E72418">
        <w:t>, arrêt, requête n° 30280/03, paragraphe 80.</w:t>
      </w:r>
    </w:p>
  </w:footnote>
  <w:footnote w:id="1911">
    <w:p w14:paraId="02F1F58C" w14:textId="1FA59B53" w:rsidR="0030147D" w:rsidRPr="00E72418" w:rsidRDefault="0030147D" w:rsidP="008F1C5A">
      <w:pPr>
        <w:pStyle w:val="Sansinterligne"/>
      </w:pPr>
      <w:r w:rsidRPr="00E72418">
        <w:rPr>
          <w:rStyle w:val="Appelnotedebasdep"/>
        </w:rPr>
        <w:footnoteRef/>
      </w:r>
      <w:r w:rsidRPr="00E72418">
        <w:rPr>
          <w:vertAlign w:val="superscript"/>
        </w:rPr>
        <w:t xml:space="preserve"> </w:t>
      </w:r>
      <w:r w:rsidRPr="00E72418">
        <w:rPr>
          <w:rStyle w:val="s7d2086b4"/>
        </w:rPr>
        <w:t xml:space="preserve">Cour eur. D. H., 21 juillet 2016, </w:t>
      </w:r>
      <w:r w:rsidRPr="00E72418">
        <w:rPr>
          <w:rStyle w:val="s7d2086b4"/>
          <w:i/>
        </w:rPr>
        <w:t>Mamatas et autres c. Grèce</w:t>
      </w:r>
      <w:r w:rsidRPr="00E72418">
        <w:rPr>
          <w:rStyle w:val="s7d2086b4"/>
        </w:rPr>
        <w:t xml:space="preserve">, arrêt, </w:t>
      </w:r>
      <w:r w:rsidRPr="00E72418">
        <w:t>requêtes n</w:t>
      </w:r>
      <w:r w:rsidRPr="00E72418">
        <w:rPr>
          <w:vertAlign w:val="superscript"/>
        </w:rPr>
        <w:t>os</w:t>
      </w:r>
      <w:r w:rsidRPr="00E72418">
        <w:t xml:space="preserve"> 63066/14, 64297/14 et 66106/14, paragraphe 103. La Cour réunie en grande chambre avait déjà jugé que « </w:t>
      </w:r>
      <w:r w:rsidRPr="00E72418">
        <w:rPr>
          <w:szCs w:val="20"/>
          <w:lang w:val="en-US"/>
        </w:rPr>
        <w:t>[l]a mise en balance des droits en jeu et des gains et pertes des différentes personnes touchées par le processus de transformation de l’économie et du système juridique de l’</w:t>
      </w:r>
      <w:r w:rsidRPr="00E72418">
        <w:rPr>
          <w:rFonts w:ascii="Times New Roman" w:hAnsi="Times New Roman" w:cs="Times New Roman"/>
          <w:lang w:eastAsia="fr-BE"/>
        </w:rPr>
        <w:t>É</w:t>
      </w:r>
      <w:r w:rsidRPr="00E72418">
        <w:rPr>
          <w:szCs w:val="20"/>
          <w:lang w:val="en-US"/>
        </w:rPr>
        <w:t xml:space="preserve">tat constitue un exercice d’une exceptionnelle difficulté </w:t>
      </w:r>
      <w:r w:rsidRPr="00E72418">
        <w:rPr>
          <w:rStyle w:val="sb8d990e2"/>
        </w:rPr>
        <w:t xml:space="preserve">» </w:t>
      </w:r>
      <w:r w:rsidRPr="00E72418">
        <w:rPr>
          <w:szCs w:val="20"/>
          <w:lang w:val="en-US"/>
        </w:rPr>
        <w:t xml:space="preserve">et qu’ </w:t>
      </w:r>
      <w:r w:rsidRPr="00E72418">
        <w:rPr>
          <w:rStyle w:val="sb8d990e2"/>
        </w:rPr>
        <w:t>« </w:t>
      </w:r>
      <w:r w:rsidRPr="00E72418">
        <w:rPr>
          <w:szCs w:val="20"/>
          <w:lang w:val="en-US"/>
        </w:rPr>
        <w:t>[e]n pareilles circonstances, vu la nature des choses, il convient de laisser à l’</w:t>
      </w:r>
      <w:r w:rsidRPr="00E72418">
        <w:rPr>
          <w:rFonts w:ascii="Times New Roman" w:hAnsi="Times New Roman" w:cs="Times New Roman"/>
          <w:lang w:eastAsia="fr-BE"/>
        </w:rPr>
        <w:t>É</w:t>
      </w:r>
      <w:r w:rsidRPr="00E72418">
        <w:rPr>
          <w:szCs w:val="20"/>
          <w:lang w:val="en-US"/>
        </w:rPr>
        <w:t xml:space="preserve">tat défendeur une ample marge d’appréciation </w:t>
      </w:r>
      <w:r w:rsidRPr="00E72418">
        <w:rPr>
          <w:rStyle w:val="sb8d990e2"/>
        </w:rPr>
        <w:t xml:space="preserve">» </w:t>
      </w:r>
      <w:r w:rsidRPr="00E72418">
        <w:t xml:space="preserve">(Cour eur. D. H., 22 juin 2004, </w:t>
      </w:r>
      <w:r w:rsidRPr="00E72418">
        <w:rPr>
          <w:i/>
        </w:rPr>
        <w:t>Broniowski c. Pologne</w:t>
      </w:r>
      <w:r w:rsidRPr="00E72418">
        <w:t xml:space="preserve">, arrêt, requête n° 31443/96, paragraphe 182. Sur la marge d’appréciation et la confiance accordées aux législateurs nationaux, voyez </w:t>
      </w:r>
      <w:r w:rsidRPr="00E72418">
        <w:rPr>
          <w:i/>
        </w:rPr>
        <w:t>infra</w:t>
      </w:r>
      <w:r w:rsidRPr="00E72418">
        <w:t xml:space="preserve"> n° 383).</w:t>
      </w:r>
    </w:p>
  </w:footnote>
  <w:footnote w:id="1912">
    <w:p w14:paraId="1765BC3A" w14:textId="77777777" w:rsidR="0030147D" w:rsidRPr="00E72418" w:rsidRDefault="0030147D" w:rsidP="008F1C5A">
      <w:pPr>
        <w:pStyle w:val="Sansinterligne"/>
        <w:rPr>
          <w:szCs w:val="20"/>
        </w:rPr>
      </w:pPr>
      <w:r w:rsidRPr="00E72418">
        <w:rPr>
          <w:rStyle w:val="Appelnotedebasdep"/>
          <w:rFonts w:cs="Times New Roman"/>
          <w:szCs w:val="20"/>
        </w:rPr>
        <w:footnoteRef/>
      </w:r>
      <w:r w:rsidRPr="00E72418">
        <w:rPr>
          <w:szCs w:val="20"/>
        </w:rPr>
        <w:t xml:space="preserve"> Cour eur. D. H., 12 décembre 2002, </w:t>
      </w:r>
      <w:r w:rsidRPr="00E72418">
        <w:rPr>
          <w:i/>
          <w:szCs w:val="20"/>
        </w:rPr>
        <w:t>Kalogeropoulou e.a. c. Grèce et Allemagne</w:t>
      </w:r>
      <w:r w:rsidRPr="00E72418">
        <w:rPr>
          <w:szCs w:val="20"/>
        </w:rPr>
        <w:t>, décision, requête n° 59021/00, p. 11.</w:t>
      </w:r>
    </w:p>
  </w:footnote>
  <w:footnote w:id="1913">
    <w:p w14:paraId="1A564598" w14:textId="3BADE033" w:rsidR="0030147D" w:rsidRPr="00E72418" w:rsidRDefault="0030147D" w:rsidP="00934202">
      <w:pPr>
        <w:pStyle w:val="Sansinterligne"/>
        <w:rPr>
          <w:szCs w:val="20"/>
          <w:lang w:val="fr-FR"/>
        </w:rPr>
      </w:pPr>
      <w:r w:rsidRPr="00E72418">
        <w:rPr>
          <w:rStyle w:val="Appelnotedebasdep"/>
          <w:szCs w:val="20"/>
        </w:rPr>
        <w:footnoteRef/>
      </w:r>
      <w:r w:rsidRPr="00E72418">
        <w:rPr>
          <w:szCs w:val="20"/>
        </w:rPr>
        <w:t xml:space="preserve"> Au sujet de la loi britannique, Ian Pearson relevait ainsi qu’ « </w:t>
      </w:r>
      <w:r w:rsidRPr="00E72418">
        <w:rPr>
          <w:szCs w:val="20"/>
          <w:shd w:val="clear" w:color="auto" w:fill="FFFFFF"/>
        </w:rPr>
        <w:t xml:space="preserve">it would be unfair if one or two creditors were able to operate as </w:t>
      </w:r>
      <w:r w:rsidRPr="00E72418">
        <w:rPr>
          <w:szCs w:val="20"/>
        </w:rPr>
        <w:t xml:space="preserve">free riders when everyone else had decided to participate in the initiative » </w:t>
      </w:r>
      <w:r w:rsidRPr="00E72418">
        <w:rPr>
          <w:szCs w:val="20"/>
          <w:lang w:val="en-US"/>
        </w:rPr>
        <w:t xml:space="preserve">(propos repris in House of Commons, </w:t>
      </w:r>
      <w:r w:rsidRPr="00E72418">
        <w:rPr>
          <w:i/>
          <w:szCs w:val="20"/>
          <w:lang w:val="en-US"/>
        </w:rPr>
        <w:t>Debt Relief (Developing Countries) Bill</w:t>
      </w:r>
      <w:r w:rsidRPr="00E72418">
        <w:rPr>
          <w:szCs w:val="20"/>
          <w:lang w:val="en-US"/>
        </w:rPr>
        <w:t>, second reading, 26 février 2010, vol. 506, colonne 577).</w:t>
      </w:r>
      <w:r w:rsidRPr="00E72418">
        <w:rPr>
          <w:szCs w:val="20"/>
        </w:rPr>
        <w:t xml:space="preserve"> Durant les discussions parlementaires, Stephen Timms fit encore valoir que « [w]e consider that control of use to be justified in the interests of promoting fairness among creditors and promoting the development of poor countries » </w:t>
      </w:r>
      <w:r w:rsidRPr="00E72418">
        <w:rPr>
          <w:szCs w:val="20"/>
          <w:lang w:val="en-US"/>
        </w:rPr>
        <w:t xml:space="preserve">(propos repris in Public Bill Committee, </w:t>
      </w:r>
      <w:r w:rsidRPr="00E72418">
        <w:rPr>
          <w:i/>
          <w:szCs w:val="20"/>
          <w:lang w:val="en-US"/>
        </w:rPr>
        <w:t>Debt Relief (Developing Countries) Bill</w:t>
      </w:r>
      <w:r w:rsidRPr="00E72418">
        <w:rPr>
          <w:szCs w:val="20"/>
          <w:lang w:val="en-US"/>
        </w:rPr>
        <w:t xml:space="preserve">, 9 mars 2010, colonne 18). </w:t>
      </w:r>
      <w:r w:rsidRPr="00E72418">
        <w:rPr>
          <w:szCs w:val="20"/>
        </w:rPr>
        <w:t xml:space="preserve">Plus spécifiquement, le parallèle entre le mécanisme mis en place par la législation britannique et le droit de la faillite fut fait durant les travaux préparatoires de la loi. </w:t>
      </w:r>
      <w:r w:rsidRPr="00E72418">
        <w:rPr>
          <w:szCs w:val="20"/>
          <w:lang w:val="en-US"/>
        </w:rPr>
        <w:t>Ainsi, John Hemming releva que « we are effectively dealing with the insolvency of countries, which do not have the revenue. If there is insolvency of countries, we are asking whether the poundage applies to everyone. That is a fair process to resolve a situation » (</w:t>
      </w:r>
      <w:r w:rsidRPr="00E72418">
        <w:rPr>
          <w:i/>
          <w:szCs w:val="20"/>
          <w:lang w:val="en-US"/>
        </w:rPr>
        <w:t>ibid.</w:t>
      </w:r>
      <w:r w:rsidRPr="00E72418">
        <w:rPr>
          <w:szCs w:val="20"/>
          <w:lang w:val="en-US"/>
        </w:rPr>
        <w:t xml:space="preserve">, colonne 9). </w:t>
      </w:r>
      <w:r w:rsidRPr="00E72418">
        <w:rPr>
          <w:szCs w:val="20"/>
        </w:rPr>
        <w:t>La mise en balance des intérêts des créanciers spéculatifs avec celui des autres fut également avancée par le Gouvernement français qui notait que « [les pratiques de certains fonds spéculatifs] </w:t>
      </w:r>
      <w:r w:rsidRPr="00E72418">
        <w:rPr>
          <w:shd w:val="clear" w:color="auto" w:fill="FFFFFF"/>
        </w:rPr>
        <w:t>portent atteinte aux droits des autres créanciers privés mais aussi publics qui, en acceptant la proposition de restructuration de la dette, concourent à la stabilité du système financier international et partagent l’effort financier » (</w:t>
      </w:r>
      <w:r w:rsidRPr="00E72418">
        <w:rPr>
          <w:szCs w:val="20"/>
        </w:rPr>
        <w:t xml:space="preserve">voyez les observations du Gouvernement français sur les recours dirigés contre la loi relative à la transparence, à la lutte contre la corruption et à la modernisation de la vie économique, disponibles à l’adresse </w:t>
      </w:r>
      <w:hyperlink r:id="rId70" w:history="1">
        <w:r w:rsidRPr="00E72418">
          <w:rPr>
            <w:rStyle w:val="Lienhypertexte"/>
            <w:color w:val="auto"/>
            <w:szCs w:val="20"/>
            <w:u w:val="none"/>
          </w:rPr>
          <w:t>www.conseil-constitutionnel.fr/les-decisions/decision-n-2016-741-dc-du-8-decembre-2016-observations-du-gouvernement</w:t>
        </w:r>
      </w:hyperlink>
      <w:r w:rsidRPr="00E72418">
        <w:rPr>
          <w:rStyle w:val="Lienhypertexte"/>
          <w:color w:val="auto"/>
          <w:szCs w:val="20"/>
          <w:u w:val="none"/>
        </w:rPr>
        <w:t>)</w:t>
      </w:r>
      <w:r w:rsidRPr="00E72418">
        <w:rPr>
          <w:shd w:val="clear" w:color="auto" w:fill="FFFFFF"/>
        </w:rPr>
        <w:t>.</w:t>
      </w:r>
    </w:p>
  </w:footnote>
  <w:footnote w:id="1914">
    <w:p w14:paraId="7AB8A0F9" w14:textId="35FBBBA6" w:rsidR="0030147D" w:rsidRPr="00E72418" w:rsidRDefault="0030147D" w:rsidP="00934202">
      <w:pPr>
        <w:pStyle w:val="Sansinterligne"/>
        <w:rPr>
          <w:szCs w:val="20"/>
        </w:rPr>
      </w:pPr>
      <w:r w:rsidRPr="00E72418">
        <w:rPr>
          <w:rStyle w:val="Appelnotedebasdep"/>
          <w:szCs w:val="20"/>
        </w:rPr>
        <w:footnoteRef/>
      </w:r>
      <w:r w:rsidRPr="00E72418">
        <w:rPr>
          <w:szCs w:val="20"/>
        </w:rPr>
        <w:t xml:space="preserve"> Ce souci se retrouve particulièrement dans le mécanisme mis en place par la législation britannique qui, nous l’avons vu, </w:t>
      </w:r>
      <w:r w:rsidRPr="00E72418">
        <w:t>empêche les créanciers d’obtenir plus que ce qu’ils auraient pu recevoir en application de l’Initiative</w:t>
      </w:r>
      <w:r w:rsidRPr="00E72418">
        <w:rPr>
          <w:szCs w:val="20"/>
        </w:rPr>
        <w:t xml:space="preserve"> Pays Pauvres Très Endettés (voyez </w:t>
      </w:r>
      <w:r w:rsidRPr="00E72418">
        <w:rPr>
          <w:i/>
          <w:szCs w:val="20"/>
        </w:rPr>
        <w:t>supra</w:t>
      </w:r>
      <w:r w:rsidRPr="00E72418">
        <w:rPr>
          <w:szCs w:val="20"/>
        </w:rPr>
        <w:t xml:space="preserve"> n° 312). Ian Pearson relevait ainsi que « t</w:t>
      </w:r>
      <w:r w:rsidRPr="00E72418">
        <w:rPr>
          <w:szCs w:val="20"/>
          <w:shd w:val="clear" w:color="auto" w:fill="FFFFFF"/>
        </w:rPr>
        <w:t xml:space="preserve">he need to stop the resources that the UK and others provide through debt relief being diverted from poor countries justifies reducing contractual rights </w:t>
      </w:r>
      <w:r w:rsidRPr="00E72418">
        <w:rPr>
          <w:szCs w:val="20"/>
        </w:rPr>
        <w:t xml:space="preserve">» </w:t>
      </w:r>
      <w:r w:rsidRPr="00E72418">
        <w:rPr>
          <w:szCs w:val="20"/>
          <w:lang w:val="en-US"/>
        </w:rPr>
        <w:t xml:space="preserve">(propos repris in House of Commons, </w:t>
      </w:r>
      <w:r w:rsidRPr="00E72418">
        <w:rPr>
          <w:i/>
          <w:szCs w:val="20"/>
          <w:lang w:val="en-US"/>
        </w:rPr>
        <w:t>Debt Relief (Developing Countries) Bill</w:t>
      </w:r>
      <w:r w:rsidRPr="00E72418">
        <w:rPr>
          <w:szCs w:val="20"/>
          <w:lang w:val="en-US"/>
        </w:rPr>
        <w:t>, second reading, 26 février 2010, vol. 506, colonne 575).</w:t>
      </w:r>
    </w:p>
  </w:footnote>
  <w:footnote w:id="1915">
    <w:p w14:paraId="0AB2B9DA" w14:textId="0E6E5DB4" w:rsidR="0030147D" w:rsidRPr="00E72418" w:rsidRDefault="0030147D" w:rsidP="00AB2AD9">
      <w:pPr>
        <w:pStyle w:val="Sansinterligne"/>
      </w:pPr>
      <w:r w:rsidRPr="00E72418">
        <w:rPr>
          <w:rStyle w:val="Appelnotedebasdep"/>
        </w:rPr>
        <w:footnoteRef/>
      </w:r>
      <w:r w:rsidRPr="00E72418">
        <w:t xml:space="preserve"> Cour eur. D. H., 22 juin 2004, </w:t>
      </w:r>
      <w:r w:rsidRPr="00E72418">
        <w:rPr>
          <w:i/>
        </w:rPr>
        <w:t>Broniowski c. Pologne</w:t>
      </w:r>
      <w:r w:rsidRPr="00E72418">
        <w:t>, arrêt, requête n° 31443/96, paragraphe 149.</w:t>
      </w:r>
    </w:p>
  </w:footnote>
  <w:footnote w:id="1916">
    <w:p w14:paraId="05118F71" w14:textId="328928F2"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pp. 585 à 587.</w:t>
      </w:r>
    </w:p>
  </w:footnote>
  <w:footnote w:id="1917">
    <w:p w14:paraId="0DB886C5" w14:textId="655B70A7" w:rsidR="0030147D" w:rsidRPr="00E72418" w:rsidRDefault="0030147D" w:rsidP="00EE68DE">
      <w:pPr>
        <w:pStyle w:val="Sansinterligne"/>
        <w:rPr>
          <w:shd w:val="clear" w:color="auto" w:fill="FFFFFF"/>
        </w:rPr>
      </w:pPr>
      <w:r w:rsidRPr="00E72418">
        <w:rPr>
          <w:rStyle w:val="Appelnotedebasdep"/>
          <w:szCs w:val="20"/>
        </w:rPr>
        <w:footnoteRef/>
      </w:r>
      <w:r w:rsidRPr="00E72418">
        <w:rPr>
          <w:szCs w:val="20"/>
        </w:rPr>
        <w:t xml:space="preserve"> Cour eur. D. H., 21 février 1986, </w:t>
      </w:r>
      <w:r w:rsidRPr="00E72418">
        <w:rPr>
          <w:i/>
          <w:szCs w:val="20"/>
        </w:rPr>
        <w:t>James et autres c. Royaume-Uni</w:t>
      </w:r>
      <w:r w:rsidRPr="00E72418">
        <w:rPr>
          <w:szCs w:val="20"/>
        </w:rPr>
        <w:t>, arrêt, requête n° 8793/79, paragraphe 54.</w:t>
      </w:r>
    </w:p>
  </w:footnote>
  <w:footnote w:id="1918">
    <w:p w14:paraId="21F6555B" w14:textId="0CFC40B3" w:rsidR="0030147D" w:rsidRPr="00E72418" w:rsidRDefault="0030147D" w:rsidP="00F46A17">
      <w:pPr>
        <w:pStyle w:val="Sansinterligne"/>
      </w:pPr>
      <w:r w:rsidRPr="00E72418">
        <w:rPr>
          <w:rStyle w:val="Appelnotedebasdep"/>
        </w:rPr>
        <w:footnoteRef/>
      </w:r>
      <w:r w:rsidRPr="00E72418">
        <w:t xml:space="preserve"> Cour eur. D.H., 19 février 2009, </w:t>
      </w:r>
      <w:r w:rsidRPr="00E72418">
        <w:rPr>
          <w:i/>
        </w:rPr>
        <w:t>Kozacioglu c. Turquie</w:t>
      </w:r>
      <w:r w:rsidRPr="00E72418">
        <w:t>, arrêt, requête n° 2334/03, paragraphe 64.</w:t>
      </w:r>
    </w:p>
  </w:footnote>
  <w:footnote w:id="1919">
    <w:p w14:paraId="5824E74A" w14:textId="08EFDF38"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47.</w:t>
      </w:r>
    </w:p>
  </w:footnote>
  <w:footnote w:id="1920">
    <w:p w14:paraId="1AC9F739" w14:textId="77777777" w:rsidR="0030147D" w:rsidRPr="00E72418" w:rsidRDefault="0030147D" w:rsidP="00354DD0">
      <w:pPr>
        <w:pStyle w:val="Sansinterligne"/>
        <w:rPr>
          <w:szCs w:val="20"/>
          <w:lang w:val="en-US"/>
        </w:rPr>
      </w:pPr>
      <w:r w:rsidRPr="00E72418">
        <w:rPr>
          <w:rStyle w:val="Appelnotedebasdep"/>
          <w:szCs w:val="20"/>
        </w:rPr>
        <w:footnoteRef/>
      </w:r>
      <w:r w:rsidRPr="00E72418">
        <w:rPr>
          <w:szCs w:val="20"/>
          <w:lang w:val="en-US"/>
        </w:rPr>
        <w:t xml:space="preserve"> Voyez House of Commons, </w:t>
      </w:r>
      <w:r w:rsidRPr="00E72418">
        <w:rPr>
          <w:i/>
          <w:szCs w:val="20"/>
          <w:lang w:val="en-US"/>
        </w:rPr>
        <w:t>Debt Relief (Developing Countries) Bill</w:t>
      </w:r>
      <w:r w:rsidRPr="00E72418">
        <w:rPr>
          <w:szCs w:val="20"/>
          <w:lang w:val="en-US"/>
        </w:rPr>
        <w:t>, second reading, 26 février 2010, vol. 506, colonnes 574, 575 et 577.</w:t>
      </w:r>
    </w:p>
  </w:footnote>
  <w:footnote w:id="1921">
    <w:p w14:paraId="511E0A6A" w14:textId="0D92F51F"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xml:space="preserve">, colonnes 577 et 578. </w:t>
      </w:r>
    </w:p>
  </w:footnote>
  <w:footnote w:id="1922">
    <w:p w14:paraId="08827401" w14:textId="7ABCD25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Patrick Wautelet relève que même si la pertinence de l’Initiative peut être remise en question, cela ne suffit pas à retenir que cette dernière ne s’inscrit pas dans la poursuite de l’intérêt général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xml:space="preserve">, p. 160). Sur la </w:t>
      </w:r>
      <w:r w:rsidRPr="00E72418">
        <w:rPr>
          <w:rFonts w:ascii="Times New Roman" w:hAnsi="Times New Roman" w:cs="Times New Roman"/>
          <w:szCs w:val="24"/>
        </w:rPr>
        <w:t xml:space="preserve">critique des analyses de viabilité pratiquées, voyez </w:t>
      </w:r>
      <w:r w:rsidRPr="00E72418">
        <w:rPr>
          <w:rFonts w:ascii="Times New Roman" w:hAnsi="Times New Roman" w:cs="Times New Roman"/>
          <w:i/>
          <w:szCs w:val="24"/>
        </w:rPr>
        <w:t>supra</w:t>
      </w:r>
      <w:r w:rsidRPr="00E72418">
        <w:rPr>
          <w:rFonts w:ascii="Times New Roman" w:hAnsi="Times New Roman" w:cs="Times New Roman"/>
          <w:szCs w:val="24"/>
        </w:rPr>
        <w:t xml:space="preserve"> ° 37.</w:t>
      </w:r>
    </w:p>
  </w:footnote>
  <w:footnote w:id="1923">
    <w:p w14:paraId="5EE72B9C" w14:textId="661E8473" w:rsidR="0030147D" w:rsidRPr="00E72418" w:rsidRDefault="0030147D" w:rsidP="005A3EB9">
      <w:pPr>
        <w:pStyle w:val="Sansinterligne"/>
        <w:rPr>
          <w:szCs w:val="20"/>
          <w:lang w:val="en-US"/>
        </w:rPr>
      </w:pPr>
      <w:r w:rsidRPr="00E72418">
        <w:rPr>
          <w:rStyle w:val="Appelnotedebasdep"/>
          <w:szCs w:val="20"/>
        </w:rPr>
        <w:footnoteRef/>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11.</w:t>
      </w:r>
    </w:p>
  </w:footnote>
  <w:footnote w:id="1924">
    <w:p w14:paraId="30949D7E" w14:textId="5444EA51" w:rsidR="0030147D" w:rsidRPr="00E72418" w:rsidRDefault="0030147D" w:rsidP="00F51E67">
      <w:pPr>
        <w:pStyle w:val="Sansinterligne"/>
      </w:pPr>
      <w:r w:rsidRPr="00E72418">
        <w:rPr>
          <w:rStyle w:val="Appelnotedebasdep"/>
        </w:rPr>
        <w:footnoteRef/>
      </w:r>
      <w:r w:rsidRPr="00E72418">
        <w:t xml:space="preserve"> Prenant comme angle d’analyse la première phrase de l’article 1</w:t>
      </w:r>
      <w:r w:rsidRPr="00E72418">
        <w:rPr>
          <w:vertAlign w:val="superscript"/>
        </w:rPr>
        <w:t>er</w:t>
      </w:r>
      <w:r w:rsidRPr="00E72418">
        <w:t xml:space="preserve"> du Premier Protocole additionnel et sa jurisprudence, Patrick Wautelet relève que, globalement, la loi belge répond aux exigences posées tant en droit interne qu’en droit international pour la protection du droit de propriété mais que des difficultés subsistent lesquelles tiennent principalement au caractère très général du mécanisme mis en place qui n’est pas réservé aux situations les plus désespérées. Il plaide donc pour une application modeste de la loi par le juge qui doit être confinée aux situations dans lesquelles le comportement du créancier dépasse la simple spéculation inhérente aux marchés financiers (</w:t>
      </w:r>
      <w:r w:rsidRPr="00E72418">
        <w:rPr>
          <w:smallCaps/>
        </w:rPr>
        <w:t>P. Wautelet</w:t>
      </w:r>
      <w:r w:rsidRPr="00E72418">
        <w:t xml:space="preserve">, « La chasse aux “vautours” est ouverte </w:t>
      </w:r>
      <w:r w:rsidRPr="00E72418">
        <w:rPr>
          <w:b/>
        </w:rPr>
        <w:t xml:space="preserve">– </w:t>
      </w:r>
      <w:r w:rsidRPr="00E72418">
        <w:t xml:space="preserve">Du bon usage de la loi du 12 juillet 2015 », </w:t>
      </w:r>
      <w:r w:rsidRPr="00E72418">
        <w:rPr>
          <w:i/>
          <w:szCs w:val="20"/>
        </w:rPr>
        <w:t>op. cit.</w:t>
      </w:r>
      <w:r w:rsidRPr="00E72418">
        <w:t>, pp. 581, 593 et 594).</w:t>
      </w:r>
    </w:p>
  </w:footnote>
  <w:footnote w:id="1925">
    <w:p w14:paraId="0FA908A2" w14:textId="354C2ABD"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les points A.13. à A.15.2. de l’arrêt n° 61/2018.</w:t>
      </w:r>
    </w:p>
  </w:footnote>
  <w:footnote w:id="1926">
    <w:p w14:paraId="62BCE027" w14:textId="493D71B3"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les points B.11.4. et B.11.5. de l’arrêt n° 61/2018. Devant la Cour constitutionnelle, le Conseil des ministres faisait valoir que le but légitime poursuivi était celui d’entraver les activités immorales, malsaines et abusives de fonds d’investissement qui spéculent sur la situation financière d’États en difficulté pour obtenir un avantage disproportionné et de préserver, de la sorte, les droits fondamentaux des citoyens de ces États. Le Conseil des ministres soulevait la proportionnalité de la mesure en ce que le juge, chargé de vérifier que les conditions précises d’application de la loi sont réunies, ne peut empêcher le fonds d’investissement créancier de récupérer le prix d’achat de la créance litigieuse (position du Conseil des ministres reprise in Cour const., 31 mai 2018, n° 61/2018, p. 8).</w:t>
      </w:r>
    </w:p>
  </w:footnote>
  <w:footnote w:id="1927">
    <w:p w14:paraId="02F025F1" w14:textId="77777777" w:rsidR="0030147D" w:rsidRPr="00E72418" w:rsidRDefault="0030147D" w:rsidP="005656FA">
      <w:pPr>
        <w:pStyle w:val="Sansinterligne"/>
        <w:rPr>
          <w:szCs w:val="20"/>
        </w:rPr>
      </w:pPr>
      <w:r w:rsidRPr="00E72418">
        <w:rPr>
          <w:rStyle w:val="Appelnotedebasdep"/>
          <w:szCs w:val="20"/>
        </w:rPr>
        <w:footnoteRef/>
      </w:r>
      <w:r w:rsidRPr="00E72418">
        <w:rPr>
          <w:szCs w:val="20"/>
        </w:rPr>
        <w:t xml:space="preserve"> Voyez les points B.11.6. et B.11.7. de l’arrêt n° 61/2018.</w:t>
      </w:r>
    </w:p>
  </w:footnote>
  <w:footnote w:id="1928">
    <w:p w14:paraId="113039A4" w14:textId="25A4F4DE" w:rsidR="0030147D" w:rsidRPr="00E72418" w:rsidRDefault="0030147D" w:rsidP="008742A7">
      <w:pPr>
        <w:pStyle w:val="Sansinterligne"/>
      </w:pPr>
      <w:r w:rsidRPr="00E72418">
        <w:rPr>
          <w:rStyle w:val="Appelnotedebasdep"/>
        </w:rPr>
        <w:footnoteRef/>
      </w:r>
      <w:r w:rsidRPr="00E72418">
        <w:t xml:space="preserve"> La Cour constitutionnelle belge eut également l’occasion de se prononcer spécifiquement sur la critique formulée à l’encontre du critère </w:t>
      </w:r>
      <w:r w:rsidRPr="00E72418">
        <w:rPr>
          <w:bCs/>
        </w:rPr>
        <w:t>du refus de participation aux mesures de restructuration (</w:t>
      </w:r>
      <w:r w:rsidRPr="00E72418">
        <w:rPr>
          <w:szCs w:val="20"/>
        </w:rPr>
        <w:t>sur ce critère complétif et alternatif repris à l’article 2, alinéa 4, 4</w:t>
      </w:r>
      <w:r w:rsidRPr="00E72418">
        <w:rPr>
          <w:szCs w:val="20"/>
          <w:vertAlign w:val="superscript"/>
        </w:rPr>
        <w:t>e</w:t>
      </w:r>
      <w:r w:rsidRPr="00E72418">
        <w:rPr>
          <w:szCs w:val="20"/>
        </w:rPr>
        <w:t xml:space="preserve"> tiret, de la loi, voyez </w:t>
      </w:r>
      <w:r w:rsidRPr="00E72418">
        <w:rPr>
          <w:i/>
          <w:szCs w:val="20"/>
        </w:rPr>
        <w:t>supra</w:t>
      </w:r>
      <w:r w:rsidRPr="00E72418">
        <w:rPr>
          <w:szCs w:val="20"/>
        </w:rPr>
        <w:t xml:space="preserve"> n° 345)</w:t>
      </w:r>
      <w:r w:rsidRPr="00E72418">
        <w:rPr>
          <w:bCs/>
        </w:rPr>
        <w:t>. Selon la Cour, le critère du refus de participation aux mesures de restructuration n’est pas incompatible avec le droit au respect des biens en ce qu’il est uniquement question dans la loi de 2015 d’une limitation des droits des créanciers qui y est conforme (</w:t>
      </w:r>
      <w:r w:rsidRPr="00E72418">
        <w:rPr>
          <w:szCs w:val="20"/>
        </w:rPr>
        <w:t>voyez les points B.20.1. à B.20.3. de l’arrêt n° 61/2018)</w:t>
      </w:r>
      <w:r w:rsidRPr="00E72418">
        <w:t>.</w:t>
      </w:r>
    </w:p>
  </w:footnote>
  <w:footnote w:id="1929">
    <w:p w14:paraId="4FE09294" w14:textId="2EC4B130" w:rsidR="0030147D" w:rsidRPr="00E72418" w:rsidRDefault="0030147D" w:rsidP="005656FA">
      <w:pPr>
        <w:pStyle w:val="Sansinterligne"/>
        <w:rPr>
          <w:szCs w:val="20"/>
        </w:rPr>
      </w:pPr>
      <w:r w:rsidRPr="00E72418">
        <w:rPr>
          <w:rStyle w:val="Appelnotedebasdep"/>
          <w:szCs w:val="20"/>
        </w:rPr>
        <w:footnoteRef/>
      </w:r>
      <w:r w:rsidRPr="00E72418">
        <w:rPr>
          <w:szCs w:val="20"/>
        </w:rPr>
        <w:t xml:space="preserve"> Conseil constitutionnel, décision n° 2016-741 DC du 8 décembre 2016, point 69. Outre l’article 60 de la loi Sapin II, l’article 59 réglant la façon dont des mesures de contrainte sur les biens appartenant à des États étrangers peuvent être mises en œuvre était contesté (sur le régime immunitaire mis en place par cet article, voyez</w:t>
      </w:r>
      <w:r w:rsidRPr="00E72418">
        <w:rPr>
          <w:i/>
          <w:szCs w:val="20"/>
        </w:rPr>
        <w:t xml:space="preserve"> supra</w:t>
      </w:r>
      <w:r w:rsidRPr="00E72418">
        <w:rPr>
          <w:szCs w:val="20"/>
        </w:rPr>
        <w:t xml:space="preserve"> n</w:t>
      </w:r>
      <w:r w:rsidRPr="00E72418">
        <w:rPr>
          <w:szCs w:val="20"/>
          <w:vertAlign w:val="superscript"/>
        </w:rPr>
        <w:t>os</w:t>
      </w:r>
      <w:r w:rsidRPr="00E72418">
        <w:rPr>
          <w:szCs w:val="20"/>
        </w:rPr>
        <w:t xml:space="preserve"> 218 et suiv.).</w:t>
      </w:r>
    </w:p>
  </w:footnote>
  <w:footnote w:id="1930">
    <w:p w14:paraId="756410DA" w14:textId="6266CF62" w:rsidR="0030147D" w:rsidRPr="00E72418" w:rsidRDefault="0030147D" w:rsidP="005656FA">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points 68 et 74. Le propos rencontrait également la critique de l’article 59 de la loi.</w:t>
      </w:r>
    </w:p>
  </w:footnote>
  <w:footnote w:id="1931">
    <w:p w14:paraId="0255A6D1" w14:textId="30B48DD3" w:rsidR="0030147D" w:rsidRPr="00E72418" w:rsidRDefault="0030147D" w:rsidP="002D5DFC">
      <w:pPr>
        <w:pStyle w:val="Sansinterligne"/>
      </w:pPr>
      <w:r w:rsidRPr="00E72418">
        <w:rPr>
          <w:rStyle w:val="Appelnotedebasdep"/>
        </w:rPr>
        <w:footnoteRef/>
      </w:r>
      <w:r w:rsidRPr="00E72418">
        <w:t xml:space="preserve"> Cour eur. D. H., 23 septembre 1982, </w:t>
      </w:r>
      <w:r w:rsidRPr="00E72418">
        <w:rPr>
          <w:i/>
        </w:rPr>
        <w:t>Sporrong et Lönnroth c. Suède</w:t>
      </w:r>
      <w:r w:rsidRPr="00E72418">
        <w:t>, arrêt, requêtes n</w:t>
      </w:r>
      <w:r w:rsidRPr="00E72418">
        <w:rPr>
          <w:vertAlign w:val="superscript"/>
        </w:rPr>
        <w:t>os</w:t>
      </w:r>
      <w:r w:rsidRPr="00E72418">
        <w:t xml:space="preserve"> 7151/75 et 7152/75, paragraphe 69.</w:t>
      </w:r>
    </w:p>
  </w:footnote>
  <w:footnote w:id="1932">
    <w:p w14:paraId="3E7056DC" w14:textId="536E27C8" w:rsidR="0030147D" w:rsidRPr="00E72418" w:rsidRDefault="0030147D" w:rsidP="00C77EE7">
      <w:pPr>
        <w:pStyle w:val="Sansinterligne"/>
      </w:pPr>
      <w:r w:rsidRPr="00E72418">
        <w:rPr>
          <w:rStyle w:val="Appelnotedebasdep"/>
        </w:rPr>
        <w:footnoteRef/>
      </w:r>
      <w:r w:rsidRPr="00E72418">
        <w:t xml:space="preserve"> Voyez </w:t>
      </w:r>
      <w:r w:rsidRPr="00E72418">
        <w:rPr>
          <w:i/>
        </w:rPr>
        <w:t>supra</w:t>
      </w:r>
      <w:r w:rsidRPr="00E72418">
        <w:t xml:space="preserve"> n° 383.</w:t>
      </w:r>
    </w:p>
  </w:footnote>
  <w:footnote w:id="1933">
    <w:p w14:paraId="355D7F8E" w14:textId="6EF699E7" w:rsidR="0030147D" w:rsidRPr="00E72418" w:rsidRDefault="0030147D" w:rsidP="00C77EE7">
      <w:pPr>
        <w:pStyle w:val="Sansinterligne"/>
      </w:pPr>
      <w:r w:rsidRPr="00E72418">
        <w:rPr>
          <w:rStyle w:val="Appelnotedebasdep"/>
        </w:rPr>
        <w:footnoteRef/>
      </w:r>
      <w:r w:rsidRPr="00E72418">
        <w:t xml:space="preserve"> </w:t>
      </w:r>
      <w:r w:rsidRPr="00E72418">
        <w:rPr>
          <w:rFonts w:cs="Times New Roman"/>
          <w:szCs w:val="24"/>
        </w:rPr>
        <w:t xml:space="preserve">Cour eur. D. H., </w:t>
      </w:r>
      <w:r w:rsidRPr="00E72418">
        <w:rPr>
          <w:rFonts w:cs="Times New Roman"/>
          <w:i/>
          <w:szCs w:val="24"/>
        </w:rPr>
        <w:t>Guide sur l’article 1 du Protocole n° 1 à la Convention européenne des droits de l’homme – Protection de la propriété</w:t>
      </w:r>
      <w:r w:rsidRPr="00E72418">
        <w:rPr>
          <w:rFonts w:cs="Times New Roman"/>
          <w:szCs w:val="24"/>
        </w:rPr>
        <w:t xml:space="preserve">, 2020, pp. 27 et 28, disponible à l’adresse  </w:t>
      </w:r>
      <w:hyperlink r:id="rId71" w:history="1">
        <w:r w:rsidRPr="00E72418">
          <w:rPr>
            <w:rStyle w:val="Lienhypertexte"/>
            <w:rFonts w:cs="Times New Roman"/>
            <w:color w:val="auto"/>
            <w:szCs w:val="24"/>
            <w:u w:val="none"/>
          </w:rPr>
          <w:t>www.echr.coe.int/Documents/Guide_Art_1_Protocol_1_FRA.pdf</w:t>
        </w:r>
      </w:hyperlink>
      <w:r w:rsidRPr="00E72418">
        <w:rPr>
          <w:rFonts w:cs="Times New Roman"/>
          <w:szCs w:val="24"/>
        </w:rPr>
        <w:t xml:space="preserve"> (consultation le 17 octobre 2021).</w:t>
      </w:r>
    </w:p>
  </w:footnote>
  <w:footnote w:id="1934">
    <w:p w14:paraId="26E273A7" w14:textId="45C4CE19" w:rsidR="0030147D" w:rsidRPr="00E72418" w:rsidRDefault="0030147D" w:rsidP="00FA682C">
      <w:pPr>
        <w:pStyle w:val="Sansinterligne"/>
      </w:pPr>
      <w:r w:rsidRPr="00E72418">
        <w:rPr>
          <w:rStyle w:val="Appelnotedebasdep"/>
        </w:rPr>
        <w:footnoteRef/>
      </w:r>
      <w:r w:rsidRPr="00E72418">
        <w:t xml:space="preserve"> Comme le note Michael Waibel, « bondholders bear the risk of deteriorating sovereign creditworthiness » (</w:t>
      </w:r>
      <w:r w:rsidRPr="00E72418">
        <w:rPr>
          <w:rStyle w:val="Titre1Car"/>
          <w:rFonts w:ascii="Times" w:eastAsiaTheme="minorHAnsi" w:hAnsi="Times" w:cstheme="minorBidi"/>
          <w:smallCaps/>
          <w:color w:val="auto"/>
          <w:sz w:val="20"/>
          <w:szCs w:val="20"/>
          <w:lang w:val="en-US"/>
        </w:rPr>
        <w:t>M. Waibel</w:t>
      </w:r>
      <w:r w:rsidRPr="00E72418">
        <w:rPr>
          <w:rStyle w:val="Titre1Car"/>
          <w:rFonts w:ascii="Times" w:eastAsiaTheme="minorHAnsi" w:hAnsi="Times" w:cstheme="minorBidi"/>
          <w:color w:val="auto"/>
          <w:sz w:val="20"/>
          <w:szCs w:val="20"/>
          <w:lang w:val="en-US"/>
        </w:rPr>
        <w:t xml:space="preserve">, « Opening Pandora’s Box: Sovereign Bonds in International Arbitration », </w:t>
      </w:r>
      <w:r w:rsidRPr="00E72418">
        <w:rPr>
          <w:rStyle w:val="Titre1Car"/>
          <w:rFonts w:ascii="Times" w:eastAsiaTheme="minorHAnsi" w:hAnsi="Times" w:cstheme="minorBidi"/>
          <w:i/>
          <w:color w:val="auto"/>
          <w:sz w:val="20"/>
          <w:szCs w:val="20"/>
          <w:lang w:val="en-US"/>
        </w:rPr>
        <w:t>op. cit.</w:t>
      </w:r>
      <w:r w:rsidRPr="00E72418">
        <w:rPr>
          <w:rStyle w:val="Titre1Car"/>
          <w:rFonts w:ascii="Times" w:eastAsiaTheme="minorHAnsi" w:hAnsi="Times" w:cstheme="minorBidi"/>
          <w:color w:val="auto"/>
          <w:sz w:val="20"/>
          <w:szCs w:val="20"/>
          <w:lang w:val="en-US"/>
        </w:rPr>
        <w:t>, p. 755</w:t>
      </w:r>
      <w:r w:rsidRPr="00E72418">
        <w:t>).</w:t>
      </w:r>
    </w:p>
  </w:footnote>
  <w:footnote w:id="1935">
    <w:p w14:paraId="1AE77A47" w14:textId="64CA6963"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Tribunal U.E., 7 octobre 2015, </w:t>
      </w:r>
      <w:r w:rsidRPr="00E72418">
        <w:rPr>
          <w:i/>
          <w:szCs w:val="20"/>
        </w:rPr>
        <w:t>Alessandro Accorinti e.a. c. Banque centrale européenne</w:t>
      </w:r>
      <w:r w:rsidRPr="00E72418">
        <w:rPr>
          <w:szCs w:val="20"/>
        </w:rPr>
        <w:t xml:space="preserve">, </w:t>
      </w:r>
      <w:r w:rsidRPr="00E72418">
        <w:rPr>
          <w:rFonts w:ascii="Times New Roman" w:hAnsi="Times New Roman" w:cs="Times New Roman"/>
          <w:szCs w:val="24"/>
        </w:rPr>
        <w:t xml:space="preserve">arrêt, n° </w:t>
      </w:r>
      <w:r w:rsidRPr="00E72418">
        <w:rPr>
          <w:szCs w:val="20"/>
        </w:rPr>
        <w:t>T-79/13, paragraphe 82. Il fut d’ailleurs remarqué que certains des requérants avaient acquis des titres de créance grecs durant la période au cours de laquelle la crise financière de la République hellénique était à son comble. La juridiction retint ainsi que les investisseurs concernés n’auraient pu prétendre avoir agi en tant qu’opérateurs économiques prudents et avisés pouvant se prévaloir d’attentes légitimes.</w:t>
      </w:r>
    </w:p>
  </w:footnote>
  <w:footnote w:id="1936">
    <w:p w14:paraId="68B16F97" w14:textId="2BCEDD31" w:rsidR="0030147D" w:rsidRPr="00E72418" w:rsidRDefault="0030147D" w:rsidP="006A6239">
      <w:pPr>
        <w:pStyle w:val="Sansinterligne"/>
      </w:pPr>
      <w:r w:rsidRPr="00E72418">
        <w:rPr>
          <w:rStyle w:val="Appelnotedebasdep"/>
        </w:rPr>
        <w:footnoteRef/>
      </w:r>
      <w:r w:rsidRPr="00E72418">
        <w:t xml:space="preserve"> </w:t>
      </w:r>
      <w:r w:rsidRPr="00E72418">
        <w:rPr>
          <w:i/>
        </w:rPr>
        <w:t>Ibid</w:t>
      </w:r>
      <w:r w:rsidRPr="00E72418">
        <w:t>.</w:t>
      </w:r>
      <w:r w:rsidRPr="00E72418">
        <w:rPr>
          <w:i/>
        </w:rPr>
        <w:t>,</w:t>
      </w:r>
      <w:r w:rsidRPr="00E72418">
        <w:t xml:space="preserve"> paragraphe 121. Au sujet des dettes souveraines, l</w:t>
      </w:r>
      <w:r w:rsidRPr="00E72418">
        <w:rPr>
          <w:rFonts w:ascii="Times New Roman" w:hAnsi="Times New Roman" w:cs="Times New Roman"/>
        </w:rPr>
        <w:t>e ministre des affaires étrangères argentin Drago relevait déjà au début du siècle passé que « the capitalist who lends his money to a foreign state always takes into account the resources of the country and the probability, greater or less, that the obligations contracted will be fulfilled without delay » (</w:t>
      </w:r>
      <w:r w:rsidRPr="00E72418">
        <w:rPr>
          <w:szCs w:val="20"/>
          <w:lang w:val="en-US"/>
        </w:rPr>
        <w:t xml:space="preserve">lettre de L. Drago à M. Garcia Mérou reproduite in </w:t>
      </w:r>
      <w:r w:rsidRPr="00E72418">
        <w:rPr>
          <w:smallCaps/>
          <w:szCs w:val="20"/>
          <w:lang w:val="en-US"/>
        </w:rPr>
        <w:t>J. Taffet</w:t>
      </w:r>
      <w:r w:rsidRPr="00E72418">
        <w:rPr>
          <w:szCs w:val="20"/>
          <w:lang w:val="en-US"/>
        </w:rPr>
        <w:t xml:space="preserve"> et </w:t>
      </w:r>
      <w:r w:rsidRPr="00E72418">
        <w:rPr>
          <w:smallCaps/>
          <w:szCs w:val="20"/>
          <w:lang w:val="en-US"/>
        </w:rPr>
        <w:t>D. Walcher</w:t>
      </w:r>
      <w:r w:rsidRPr="00E72418">
        <w:rPr>
          <w:szCs w:val="20"/>
          <w:lang w:val="en-US"/>
        </w:rPr>
        <w:t xml:space="preserve">, </w:t>
      </w:r>
      <w:r w:rsidRPr="00E72418">
        <w:rPr>
          <w:i/>
          <w:szCs w:val="20"/>
          <w:lang w:val="en-US"/>
        </w:rPr>
        <w:t>The United States and Latin America: A History with Documents</w:t>
      </w:r>
      <w:r w:rsidRPr="00E72418">
        <w:rPr>
          <w:szCs w:val="20"/>
          <w:lang w:val="en-US"/>
        </w:rPr>
        <w:t xml:space="preserve">, </w:t>
      </w:r>
      <w:r w:rsidRPr="00E72418">
        <w:rPr>
          <w:i/>
          <w:szCs w:val="20"/>
          <w:lang w:val="en-US"/>
        </w:rPr>
        <w:t>op. cit.</w:t>
      </w:r>
      <w:r w:rsidRPr="00E72418">
        <w:rPr>
          <w:szCs w:val="20"/>
          <w:lang w:val="en-US"/>
        </w:rPr>
        <w:t xml:space="preserve">, p. 165. Sur la doctrine </w:t>
      </w:r>
      <w:r w:rsidRPr="00E72418">
        <w:rPr>
          <w:rFonts w:ascii="Times New Roman" w:hAnsi="Times New Roman" w:cs="Times New Roman"/>
        </w:rPr>
        <w:t xml:space="preserve">« Drago », voyez </w:t>
      </w:r>
      <w:r w:rsidRPr="00E72418">
        <w:rPr>
          <w:rFonts w:ascii="Times New Roman" w:hAnsi="Times New Roman" w:cs="Times New Roman"/>
          <w:i/>
        </w:rPr>
        <w:t>supra</w:t>
      </w:r>
      <w:r w:rsidRPr="00E72418">
        <w:rPr>
          <w:rFonts w:ascii="Times New Roman" w:hAnsi="Times New Roman" w:cs="Times New Roman"/>
        </w:rPr>
        <w:t xml:space="preserve"> n° 75).</w:t>
      </w:r>
    </w:p>
  </w:footnote>
  <w:footnote w:id="1937">
    <w:p w14:paraId="007F105C" w14:textId="3A766899" w:rsidR="0030147D" w:rsidRPr="00E72418" w:rsidRDefault="0030147D" w:rsidP="00DA0227">
      <w:pPr>
        <w:pStyle w:val="Sansinterligne"/>
      </w:pPr>
      <w:r w:rsidRPr="00E72418">
        <w:rPr>
          <w:rStyle w:val="Appelnotedebasdep"/>
        </w:rPr>
        <w:footnoteRef/>
      </w:r>
      <w:r w:rsidRPr="00E72418">
        <w:t xml:space="preserve"> Cour eur. D. H., 21 février 1990, </w:t>
      </w:r>
      <w:r w:rsidRPr="00E72418">
        <w:rPr>
          <w:i/>
        </w:rPr>
        <w:t>Håkansson et Sturesson c. Suède</w:t>
      </w:r>
      <w:r w:rsidRPr="00E72418">
        <w:t>, arrêt, requête n° 11855/85, paragraphes 53 à 55 où il est notamment décidé que « les requérants n’ont pas eu à subir une charge spéciale et exorbitante, compte tenu notamment des risques délibérés qu’ils avaient assumés en achetant Risböke 1:3 ».</w:t>
      </w:r>
    </w:p>
  </w:footnote>
  <w:footnote w:id="1938">
    <w:p w14:paraId="0DC816E8" w14:textId="0987C0F5" w:rsidR="0030147D" w:rsidRPr="00E72418" w:rsidRDefault="0030147D" w:rsidP="00C36BA6">
      <w:pPr>
        <w:pStyle w:val="Sansinterligne"/>
      </w:pPr>
      <w:r w:rsidRPr="00E72418">
        <w:rPr>
          <w:rStyle w:val="Appelnotedebasdep"/>
        </w:rPr>
        <w:footnoteRef/>
      </w:r>
      <w:r w:rsidRPr="00E72418">
        <w:t xml:space="preserve"> Voyez </w:t>
      </w:r>
      <w:r w:rsidRPr="00E72418">
        <w:rPr>
          <w:szCs w:val="20"/>
        </w:rPr>
        <w:t xml:space="preserve">Cour eur. D. H., </w:t>
      </w:r>
      <w:r w:rsidRPr="00E72418">
        <w:t>11 décembre 2018</w:t>
      </w:r>
      <w:r w:rsidRPr="00E72418">
        <w:rPr>
          <w:szCs w:val="20"/>
        </w:rPr>
        <w:t xml:space="preserve">, </w:t>
      </w:r>
      <w:r w:rsidRPr="00E72418">
        <w:rPr>
          <w:i/>
        </w:rPr>
        <w:t>Lekic</w:t>
      </w:r>
      <w:r w:rsidRPr="00E72418">
        <w:rPr>
          <w:i/>
          <w:szCs w:val="20"/>
        </w:rPr>
        <w:t xml:space="preserve"> c. </w:t>
      </w:r>
      <w:r w:rsidRPr="00E72418">
        <w:rPr>
          <w:i/>
        </w:rPr>
        <w:t>Slovénie</w:t>
      </w:r>
      <w:r w:rsidRPr="00E72418">
        <w:rPr>
          <w:szCs w:val="20"/>
        </w:rPr>
        <w:t xml:space="preserve">, arrêt, requête n° </w:t>
      </w:r>
      <w:r w:rsidRPr="00E72418">
        <w:t>36480/07, paragraphe 97.</w:t>
      </w:r>
    </w:p>
  </w:footnote>
  <w:footnote w:id="1939">
    <w:p w14:paraId="32A5A4D4" w14:textId="726847BA" w:rsidR="0030147D" w:rsidRPr="00E72418" w:rsidRDefault="0030147D" w:rsidP="006C28B7">
      <w:pPr>
        <w:pStyle w:val="Sansinterligne"/>
      </w:pPr>
      <w:r w:rsidRPr="00E72418">
        <w:rPr>
          <w:rStyle w:val="Appelnotedebasdep"/>
        </w:rPr>
        <w:footnoteRef/>
      </w:r>
      <w:r w:rsidRPr="00E72418">
        <w:t xml:space="preserve"> Comme le note Hayk Kupelyants, « </w:t>
      </w:r>
      <w:r w:rsidRPr="00E72418">
        <w:rPr>
          <w:szCs w:val="20"/>
        </w:rPr>
        <w:t>[t]he</w:t>
      </w:r>
      <w:r w:rsidRPr="00E72418">
        <w:t xml:space="preserve"> larger the discount on the par value on the secondary market, the larger the risk undertaken by the bondholder »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174 et 175).</w:t>
      </w:r>
    </w:p>
  </w:footnote>
  <w:footnote w:id="1940">
    <w:p w14:paraId="74A88999" w14:textId="7B3ADB44"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smallCaps/>
          <w:szCs w:val="20"/>
        </w:rPr>
        <w:t>A. Belle</w:t>
      </w:r>
      <w:r w:rsidRPr="00E72418">
        <w:rPr>
          <w:szCs w:val="20"/>
        </w:rPr>
        <w:t xml:space="preserve">, « La loi belge anti-fonds vautours au sein du droit international sur la dette souveraine : le droit national comme outil de signalement et de gestion de risques de défaut », </w:t>
      </w:r>
      <w:r w:rsidRPr="00E72418">
        <w:rPr>
          <w:i/>
          <w:szCs w:val="20"/>
        </w:rPr>
        <w:t>op. cit.</w:t>
      </w:r>
      <w:r w:rsidRPr="00E72418">
        <w:rPr>
          <w:szCs w:val="20"/>
        </w:rPr>
        <w:t>, p. 182.</w:t>
      </w:r>
    </w:p>
  </w:footnote>
  <w:footnote w:id="1941">
    <w:p w14:paraId="4B1FBB80" w14:textId="5C67EE11" w:rsidR="0030147D" w:rsidRPr="00E72418" w:rsidRDefault="0030147D" w:rsidP="00E1686E">
      <w:pPr>
        <w:pStyle w:val="Sansinterligne"/>
      </w:pPr>
      <w:r w:rsidRPr="00E72418">
        <w:rPr>
          <w:rStyle w:val="Appelnotedebasdep"/>
        </w:rPr>
        <w:footnoteRef/>
      </w:r>
      <w:r w:rsidRPr="00E72418">
        <w:t xml:space="preserve"> </w:t>
      </w:r>
      <w:r w:rsidRPr="00E72418">
        <w:rPr>
          <w:rStyle w:val="s7d2086b4"/>
          <w:szCs w:val="20"/>
        </w:rPr>
        <w:t xml:space="preserve">Cour </w:t>
      </w:r>
      <w:r w:rsidRPr="00E72418">
        <w:rPr>
          <w:rStyle w:val="s7d2086b4"/>
        </w:rPr>
        <w:t xml:space="preserve">eur. D. H., 11 avril 2002, </w:t>
      </w:r>
      <w:r w:rsidRPr="00E72418">
        <w:rPr>
          <w:rStyle w:val="s7d2086b4"/>
          <w:i/>
        </w:rPr>
        <w:t>Lallement c. France</w:t>
      </w:r>
      <w:r w:rsidRPr="00E72418">
        <w:rPr>
          <w:rStyle w:val="s7d2086b4"/>
        </w:rPr>
        <w:t>, arrêt, requête n° 46044/99, paragraphe 23.</w:t>
      </w:r>
    </w:p>
  </w:footnote>
  <w:footnote w:id="1942">
    <w:p w14:paraId="00B3A18E" w14:textId="6D3A0209"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rStyle w:val="s7d2086b4"/>
          <w:szCs w:val="20"/>
        </w:rPr>
        <w:t xml:space="preserve">Cour eur. D. H., 21 juillet 2016, </w:t>
      </w:r>
      <w:r w:rsidRPr="00E72418">
        <w:rPr>
          <w:rStyle w:val="s7d2086b4"/>
          <w:i/>
          <w:szCs w:val="20"/>
        </w:rPr>
        <w:t>Mamatas et autres c. Grèce</w:t>
      </w:r>
      <w:r w:rsidRPr="00E72418">
        <w:rPr>
          <w:rStyle w:val="s7d2086b4"/>
          <w:szCs w:val="20"/>
        </w:rPr>
        <w:t xml:space="preserve">, arrêt, </w:t>
      </w:r>
      <w:r w:rsidRPr="00E72418">
        <w:rPr>
          <w:szCs w:val="20"/>
        </w:rPr>
        <w:t>requêtes n</w:t>
      </w:r>
      <w:r w:rsidRPr="00E72418">
        <w:rPr>
          <w:szCs w:val="20"/>
          <w:vertAlign w:val="superscript"/>
        </w:rPr>
        <w:t>os</w:t>
      </w:r>
      <w:r w:rsidRPr="00E72418">
        <w:rPr>
          <w:szCs w:val="20"/>
        </w:rPr>
        <w:t xml:space="preserve"> 63066/14, 64297/14 et 66106/14, paragraphe 112. Sur la réglementation litigieuse dont question, voyez </w:t>
      </w:r>
      <w:r w:rsidRPr="00E72418">
        <w:rPr>
          <w:i/>
          <w:szCs w:val="20"/>
        </w:rPr>
        <w:t>supra</w:t>
      </w:r>
      <w:r w:rsidRPr="00E72418">
        <w:rPr>
          <w:szCs w:val="20"/>
        </w:rPr>
        <w:t xml:space="preserve"> n° 119.</w:t>
      </w:r>
    </w:p>
  </w:footnote>
  <w:footnote w:id="1943">
    <w:p w14:paraId="069072D2" w14:textId="6A49834E" w:rsidR="0030147D" w:rsidRPr="00E72418" w:rsidRDefault="0030147D" w:rsidP="000478B7">
      <w:pPr>
        <w:pStyle w:val="Sansinterligne"/>
        <w:rPr>
          <w:lang w:val="fr-FR"/>
        </w:rPr>
      </w:pPr>
      <w:r w:rsidRPr="00E72418">
        <w:rPr>
          <w:rStyle w:val="Appelnotedebasdep"/>
        </w:rPr>
        <w:footnoteRef/>
      </w:r>
      <w:r w:rsidRPr="00E72418">
        <w:t xml:space="preserve"> </w:t>
      </w:r>
      <w:r w:rsidRPr="00E72418">
        <w:rPr>
          <w:rStyle w:val="s7d2086b4"/>
          <w:i/>
          <w:szCs w:val="20"/>
        </w:rPr>
        <w:t>Ibid.</w:t>
      </w:r>
      <w:r w:rsidRPr="00E72418">
        <w:t>, paragraphe 117.</w:t>
      </w:r>
    </w:p>
  </w:footnote>
  <w:footnote w:id="1944">
    <w:p w14:paraId="06497884" w14:textId="29B65FFD"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Cour eur. D. H., 28 novembre 2002, </w:t>
      </w:r>
      <w:r w:rsidRPr="00E72418">
        <w:rPr>
          <w:i/>
          <w:szCs w:val="20"/>
        </w:rPr>
        <w:t>ex-Roi de Grèce et autres c. Grèce</w:t>
      </w:r>
      <w:r w:rsidRPr="00E72418">
        <w:rPr>
          <w:szCs w:val="20"/>
        </w:rPr>
        <w:t>, arrêt, requête n° 25701/94, paragraphes 82 et 83.</w:t>
      </w:r>
    </w:p>
  </w:footnote>
  <w:footnote w:id="1945">
    <w:p w14:paraId="4BA10EB6" w14:textId="254D199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Vulture funds, creditors and sovereign debtors: how to find a balance? », </w:t>
      </w:r>
      <w:r w:rsidRPr="00E72418">
        <w:rPr>
          <w:i/>
          <w:szCs w:val="20"/>
        </w:rPr>
        <w:t>op. cit.</w:t>
      </w:r>
      <w:r w:rsidRPr="00E72418">
        <w:rPr>
          <w:szCs w:val="20"/>
        </w:rPr>
        <w:t>, p. 163.</w:t>
      </w:r>
    </w:p>
  </w:footnote>
  <w:footnote w:id="1946">
    <w:p w14:paraId="1E0E928E" w14:textId="6152194A" w:rsidR="0030147D" w:rsidRPr="00E72418" w:rsidRDefault="0030147D" w:rsidP="008F719D">
      <w:pPr>
        <w:pStyle w:val="Sansinterligne"/>
      </w:pPr>
      <w:r w:rsidRPr="00E72418">
        <w:rPr>
          <w:rStyle w:val="Appelnotedebasdep"/>
        </w:rPr>
        <w:footnoteRef/>
      </w:r>
      <w:r w:rsidRPr="00E72418">
        <w:t xml:space="preserve"> Le Gouvernement britannique soulignait l’importance de l’équilibre de la législation projetée notant que « [t]he approach taken in legislation should deliver a fair balance between the aim of promoting debt relief for HIPCs, and the interests of different groups of creditors » </w:t>
      </w:r>
      <w:r w:rsidRPr="00E72418">
        <w:rPr>
          <w:szCs w:val="20"/>
          <w:lang w:val="en-US"/>
        </w:rPr>
        <w:t xml:space="preserve">(HM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25).</w:t>
      </w:r>
      <w:r w:rsidRPr="00E72418">
        <w:rPr>
          <w:b/>
        </w:rPr>
        <w:t xml:space="preserve"> </w:t>
      </w:r>
      <w:r w:rsidRPr="00E72418">
        <w:t xml:space="preserve">Aussi, il relevait qu’à son estime, si les bénéfices de la loi en projet étaient difficilement quantifiables, l’on s’attendait à ce qu’ils en dépassent les coûts </w:t>
      </w:r>
      <w:r w:rsidRPr="00E72418">
        <w:rPr>
          <w:szCs w:val="20"/>
        </w:rPr>
        <w:t xml:space="preserve">(HM </w:t>
      </w:r>
      <w:r w:rsidRPr="00E72418">
        <w:rPr>
          <w:smallCaps/>
          <w:szCs w:val="20"/>
        </w:rPr>
        <w:t>Treasury</w:t>
      </w:r>
      <w:r w:rsidRPr="00E72418">
        <w:rPr>
          <w:szCs w:val="20"/>
        </w:rPr>
        <w:t xml:space="preserve">, </w:t>
      </w:r>
      <w:r w:rsidRPr="00E72418">
        <w:rPr>
          <w:i/>
          <w:szCs w:val="20"/>
        </w:rPr>
        <w:t>Ensuring effective debt relief for poor countries: a response to consultation</w:t>
      </w:r>
      <w:r w:rsidRPr="00E72418">
        <w:rPr>
          <w:szCs w:val="20"/>
        </w:rPr>
        <w:t>, 2010, p. 8).</w:t>
      </w:r>
      <w:r w:rsidRPr="00E72418">
        <w:t xml:space="preserve"> Il importait ainsi que les bénéfices attendus de la législation excèdent l’interférence avec le droit de propriété des créanciers </w:t>
      </w:r>
      <w:r w:rsidRPr="00E72418">
        <w:rPr>
          <w:szCs w:val="20"/>
        </w:rPr>
        <w:t>(</w:t>
      </w:r>
      <w:r w:rsidRPr="00E72418">
        <w:rPr>
          <w:smallCaps/>
          <w:szCs w:val="20"/>
        </w:rPr>
        <w:t>A. Horne</w:t>
      </w:r>
      <w:r w:rsidRPr="00E72418">
        <w:rPr>
          <w:szCs w:val="20"/>
        </w:rPr>
        <w:t xml:space="preserve">, « Debt Relief (Developing Countries) Bill », </w:t>
      </w:r>
      <w:r w:rsidRPr="00E72418">
        <w:rPr>
          <w:rStyle w:val="Titre1Car"/>
          <w:rFonts w:ascii="Times" w:eastAsiaTheme="minorHAnsi" w:hAnsi="Times" w:cstheme="minorBidi"/>
          <w:i/>
          <w:color w:val="auto"/>
          <w:sz w:val="20"/>
          <w:szCs w:val="20"/>
          <w:lang w:val="en-US"/>
        </w:rPr>
        <w:t>op. cit.</w:t>
      </w:r>
      <w:r w:rsidRPr="00E72418">
        <w:rPr>
          <w:szCs w:val="20"/>
        </w:rPr>
        <w:t>, p. 20).</w:t>
      </w:r>
    </w:p>
  </w:footnote>
  <w:footnote w:id="1947">
    <w:p w14:paraId="7554C075" w14:textId="2A87646D" w:rsidR="0030147D" w:rsidRPr="00E72418" w:rsidRDefault="0030147D" w:rsidP="008A6229">
      <w:pPr>
        <w:pStyle w:val="Sansinterligne"/>
        <w:rPr>
          <w:lang w:val="fr-FR"/>
        </w:rPr>
      </w:pPr>
      <w:r w:rsidRPr="00E72418">
        <w:rPr>
          <w:rStyle w:val="Appelnotedebasdep"/>
          <w:szCs w:val="20"/>
        </w:rPr>
        <w:footnoteRef/>
      </w:r>
      <w:r w:rsidRPr="00E72418">
        <w:t xml:space="preserve"> </w:t>
      </w:r>
      <w:r w:rsidRPr="00E72418">
        <w:rPr>
          <w:i/>
        </w:rPr>
        <w:t>Debt Relief (Developing Countries) Bill</w:t>
      </w:r>
      <w:r w:rsidRPr="00E72418">
        <w:t>, explanatory notes, paragraphe 48</w:t>
      </w:r>
      <w:r w:rsidRPr="00E72418">
        <w:rPr>
          <w:rStyle w:val="Lienhypertexte"/>
          <w:color w:val="auto"/>
          <w:szCs w:val="20"/>
          <w:u w:val="none"/>
          <w:lang w:val="en-US"/>
        </w:rPr>
        <w:t xml:space="preserve">. </w:t>
      </w:r>
      <w:r w:rsidRPr="00E72418">
        <w:t xml:space="preserve">Dès lors que nombre de créanciers ont accepté de réduire leur créance dans la mesure fixée par l’Initiative Pays Pauvres Très Endettés de la Banque mondiale et du Fonds monétaire international, ceux-ci ne sont pas touchés par le mécanisme mis en place (propos d’Ian Pearson repris in House of Commons, </w:t>
      </w:r>
      <w:r w:rsidRPr="00E72418">
        <w:rPr>
          <w:i/>
        </w:rPr>
        <w:t>Debt Relief (Developing Countries) Bill</w:t>
      </w:r>
      <w:r w:rsidRPr="00E72418">
        <w:t>, second reading, 26 février 2010, vol. 506, colonne 574).</w:t>
      </w:r>
    </w:p>
  </w:footnote>
  <w:footnote w:id="1948">
    <w:p w14:paraId="4F68317A" w14:textId="4B6FDB3D"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t>Ainsi, les choses sont objectivables comme le notait Sally Keeble lors des travaux préparatoires de la loi en indiquant que « [t]hose amounts are assessed internationally and there is a set assessment procedure, so the amount will not be at the discretion of one Government or another Government »</w:t>
      </w:r>
      <w:r w:rsidRPr="00E72418">
        <w:rPr>
          <w:szCs w:val="20"/>
          <w:lang w:val="en-US"/>
        </w:rPr>
        <w:t xml:space="preserve"> (propos repris in House of Commons, </w:t>
      </w:r>
      <w:r w:rsidRPr="00E72418">
        <w:rPr>
          <w:i/>
          <w:szCs w:val="20"/>
          <w:lang w:val="en-US"/>
        </w:rPr>
        <w:t>Debt Relief (Developing Countries) Bill</w:t>
      </w:r>
      <w:r w:rsidRPr="00E72418">
        <w:rPr>
          <w:szCs w:val="20"/>
          <w:lang w:val="en-US"/>
        </w:rPr>
        <w:t xml:space="preserve">, second reading, 26 février 2010, vol. 506, colonne 562). </w:t>
      </w:r>
      <w:r w:rsidRPr="00E72418">
        <w:rPr>
          <w:rStyle w:val="Lienhypertexte"/>
          <w:color w:val="auto"/>
          <w:szCs w:val="20"/>
          <w:u w:val="none"/>
          <w:lang w:val="en-US"/>
        </w:rPr>
        <w:t xml:space="preserve">La parlementaire expliquait encore que </w:t>
      </w:r>
      <w:r w:rsidRPr="00E72418">
        <w:rPr>
          <w:szCs w:val="20"/>
          <w:lang w:val="en-US"/>
        </w:rPr>
        <w:t xml:space="preserve">« [t]he approach in the legislation is not about inventing new procedures, but about using tried and tested mechanisms that have been subject to scrutiny and international negotiation to deal with the issues connected to the remainder of the private sector debt » (propos repris in Public Bill Committee, </w:t>
      </w:r>
      <w:r w:rsidRPr="00E72418">
        <w:rPr>
          <w:i/>
          <w:szCs w:val="20"/>
          <w:lang w:val="en-US"/>
        </w:rPr>
        <w:t>Debt Relief (Developing Countries) Bill</w:t>
      </w:r>
      <w:r w:rsidRPr="00E72418">
        <w:rPr>
          <w:szCs w:val="20"/>
          <w:lang w:val="en-US"/>
        </w:rPr>
        <w:t>, 9 mars 2010, colonne 13).</w:t>
      </w:r>
    </w:p>
  </w:footnote>
  <w:footnote w:id="1949">
    <w:p w14:paraId="35105A2B" w14:textId="77777777"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Propos de Sally Keeble repris in House of Commons, </w:t>
      </w:r>
      <w:r w:rsidRPr="00E72418">
        <w:rPr>
          <w:i/>
          <w:szCs w:val="20"/>
          <w:lang w:val="en-US"/>
        </w:rPr>
        <w:t>Debt Relief (Developing Countries) Bill</w:t>
      </w:r>
      <w:r w:rsidRPr="00E72418">
        <w:rPr>
          <w:szCs w:val="20"/>
          <w:lang w:val="en-US"/>
        </w:rPr>
        <w:t>, second reading, 26 février 2010, vol. 506, colonnes 563 et 575.</w:t>
      </w:r>
    </w:p>
  </w:footnote>
  <w:footnote w:id="1950">
    <w:p w14:paraId="4F60015B" w14:textId="77777777" w:rsidR="0030147D" w:rsidRPr="00E72418" w:rsidRDefault="0030147D" w:rsidP="002E4D31">
      <w:pPr>
        <w:pStyle w:val="Sansinterligne"/>
        <w:rPr>
          <w:szCs w:val="20"/>
        </w:rPr>
      </w:pPr>
      <w:r w:rsidRPr="00E72418">
        <w:rPr>
          <w:rStyle w:val="Appelnotedebasdep"/>
          <w:szCs w:val="20"/>
        </w:rPr>
        <w:footnoteRef/>
      </w:r>
      <w:r w:rsidRPr="00E72418">
        <w:rPr>
          <w:szCs w:val="20"/>
        </w:rPr>
        <w:t xml:space="preserve"> </w:t>
      </w:r>
      <w:r w:rsidRPr="00E72418">
        <w:rPr>
          <w:i/>
          <w:szCs w:val="20"/>
        </w:rPr>
        <w:t>Explanatory memorandum</w:t>
      </w:r>
      <w:r w:rsidRPr="00E72418">
        <w:rPr>
          <w:szCs w:val="20"/>
        </w:rPr>
        <w:t xml:space="preserve"> à la </w:t>
      </w:r>
      <w:r w:rsidRPr="00E72418">
        <w:rPr>
          <w:i/>
          <w:szCs w:val="20"/>
        </w:rPr>
        <w:t>Heavily Indebted Poor Countries (Limitation on Debt Recovery) Bill 2012</w:t>
      </w:r>
      <w:r w:rsidRPr="00E72418">
        <w:rPr>
          <w:szCs w:val="20"/>
        </w:rPr>
        <w:t>, paragraphe 9.</w:t>
      </w:r>
    </w:p>
  </w:footnote>
  <w:footnote w:id="1951">
    <w:p w14:paraId="59D221D2" w14:textId="41A5B514" w:rsidR="0030147D" w:rsidRPr="00E72418" w:rsidRDefault="0030147D" w:rsidP="008A6229">
      <w:pPr>
        <w:pStyle w:val="Sansinterligne"/>
        <w:rPr>
          <w:szCs w:val="20"/>
        </w:rPr>
      </w:pPr>
      <w:r w:rsidRPr="00E72418">
        <w:rPr>
          <w:rStyle w:val="Appelnotedebasdep"/>
          <w:szCs w:val="20"/>
        </w:rPr>
        <w:footnoteRef/>
      </w:r>
      <w:r w:rsidRPr="00E72418">
        <w:rPr>
          <w:szCs w:val="20"/>
        </w:rPr>
        <w:t xml:space="preserve"> </w:t>
      </w:r>
      <w:r w:rsidRPr="00E72418">
        <w:t xml:space="preserve">Comme l’indiquent les notes explicatives de la proposition de législation britannique, « although the face value of the debts concerned will be considerably reduced by the Bill, the current market value of those debts is likely to be much lower than their face value » et « the evidence indicates that HIPC debts currently trade at or slightly below the levels to which they would be reduced under the provisions of this Bill » </w:t>
      </w:r>
      <w:r w:rsidRPr="00E72418">
        <w:rPr>
          <w:szCs w:val="20"/>
          <w:lang w:val="en-US"/>
        </w:rPr>
        <w:t>(</w:t>
      </w:r>
      <w:r w:rsidRPr="00E72418">
        <w:rPr>
          <w:i/>
          <w:szCs w:val="20"/>
          <w:lang w:val="en-US"/>
        </w:rPr>
        <w:t>Debt Relief (Developing Countries) Bill</w:t>
      </w:r>
      <w:r w:rsidRPr="00E72418">
        <w:rPr>
          <w:szCs w:val="20"/>
          <w:lang w:val="en-US"/>
        </w:rPr>
        <w:t>, explanatory notes, paragraphe 43</w:t>
      </w:r>
      <w:r w:rsidRPr="00E72418">
        <w:rPr>
          <w:rStyle w:val="Lienhypertexte"/>
          <w:color w:val="auto"/>
          <w:szCs w:val="20"/>
          <w:u w:val="none"/>
          <w:lang w:val="en-US"/>
        </w:rPr>
        <w:t>)</w:t>
      </w:r>
      <w:r w:rsidRPr="00E72418">
        <w:rPr>
          <w:szCs w:val="20"/>
          <w:lang w:val="en-US"/>
        </w:rPr>
        <w:t>.</w:t>
      </w:r>
      <w:r w:rsidRPr="00E72418">
        <w:t xml:space="preserve"> </w:t>
      </w:r>
      <w:r w:rsidRPr="00E72418">
        <w:rPr>
          <w:szCs w:val="20"/>
        </w:rPr>
        <w:t xml:space="preserve">Pour ce qui concerne les créanciers originaires ne s’étant pas engagés dans la réduction de dettes prévue par l’Initiative, l’impact de la législation est vu comme limité. Ainsi, les dettes concernées étant souvent fort anciennes, sans doute ont-elles été dévalorisées dans leurs actifs </w:t>
      </w:r>
      <w:r w:rsidRPr="00E72418">
        <w:rPr>
          <w:szCs w:val="20"/>
          <w:lang w:val="en-US"/>
        </w:rPr>
        <w:t>(</w:t>
      </w:r>
      <w:r w:rsidRPr="00E72418">
        <w:rPr>
          <w:i/>
          <w:szCs w:val="20"/>
          <w:lang w:val="en-US"/>
        </w:rPr>
        <w:t>Debt Relief (Developing Countries) Act 2010 (Permanent effect) Order</w:t>
      </w:r>
      <w:r w:rsidRPr="00E72418">
        <w:rPr>
          <w:szCs w:val="20"/>
          <w:lang w:val="en-US"/>
        </w:rPr>
        <w:t>, explanatory memorandum, paragraphe 11.3).</w:t>
      </w:r>
    </w:p>
  </w:footnote>
  <w:footnote w:id="1952">
    <w:p w14:paraId="55AA2ED6" w14:textId="0B3FE5AE"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w:t>
      </w:r>
    </w:p>
  </w:footnote>
  <w:footnote w:id="1953">
    <w:p w14:paraId="7CD3A972" w14:textId="27F1F48C"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smallCaps/>
          <w:szCs w:val="20"/>
        </w:rPr>
        <w:t>P. Wautelet</w:t>
      </w:r>
      <w:r w:rsidRPr="00E72418">
        <w:rPr>
          <w:szCs w:val="20"/>
        </w:rPr>
        <w:t xml:space="preserve">, « La chasse aux “vautours” est ouverte </w:t>
      </w:r>
      <w:r w:rsidRPr="00E72418">
        <w:rPr>
          <w:b/>
          <w:szCs w:val="20"/>
        </w:rPr>
        <w:t xml:space="preserve">– </w:t>
      </w:r>
      <w:r w:rsidRPr="00E72418">
        <w:rPr>
          <w:szCs w:val="20"/>
        </w:rPr>
        <w:t xml:space="preserve">Du bon usage de la loi du 12 juillet 2015 », </w:t>
      </w:r>
      <w:r w:rsidRPr="00E72418">
        <w:rPr>
          <w:i/>
          <w:szCs w:val="20"/>
        </w:rPr>
        <w:t>op. cit.</w:t>
      </w:r>
      <w:r w:rsidRPr="00E72418">
        <w:rPr>
          <w:szCs w:val="20"/>
        </w:rPr>
        <w:t>, p. 591.</w:t>
      </w:r>
    </w:p>
  </w:footnote>
  <w:footnote w:id="1954">
    <w:p w14:paraId="22C01E8D" w14:textId="6BB18F4C" w:rsidR="0030147D" w:rsidRPr="00E72418" w:rsidRDefault="0030147D" w:rsidP="00331059">
      <w:pPr>
        <w:pStyle w:val="Sansinterligne"/>
      </w:pPr>
      <w:r w:rsidRPr="00E72418">
        <w:rPr>
          <w:rStyle w:val="Appelnotedebasdep"/>
        </w:rPr>
        <w:footnoteRef/>
      </w:r>
      <w:r w:rsidRPr="00E72418">
        <w:t xml:space="preserve"> Voyez le point B.11.6. de l’arrêt n° 61/2018.</w:t>
      </w:r>
    </w:p>
  </w:footnote>
  <w:footnote w:id="1955">
    <w:p w14:paraId="5F187538"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Conseil constitutionnel, décision n° 2016-741 DC du 8 décembre 2016, point 71.</w:t>
      </w:r>
    </w:p>
  </w:footnote>
  <w:footnote w:id="1956">
    <w:p w14:paraId="4855DA75" w14:textId="61CA134E" w:rsidR="0030147D" w:rsidRPr="00E72418" w:rsidRDefault="0030147D" w:rsidP="007F5A94">
      <w:pPr>
        <w:pStyle w:val="Sansinterligne"/>
        <w:rPr>
          <w:szCs w:val="20"/>
        </w:rPr>
      </w:pPr>
      <w:r w:rsidRPr="00E72418">
        <w:rPr>
          <w:rStyle w:val="Appelnotedebasdep"/>
          <w:szCs w:val="20"/>
        </w:rPr>
        <w:footnoteRef/>
      </w:r>
      <w:r w:rsidRPr="00E72418">
        <w:rPr>
          <w:szCs w:val="20"/>
        </w:rPr>
        <w:t xml:space="preserv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 374. Bien que l’auteur semble d’avis que le droit de propriété n’est pas atteint dans sa substance et que le but de l’article 60 est légitime, son interrogation se situe toutefois au niveau de l’appréciation de la proportionnalité de la restriction opérée par la loi.</w:t>
      </w:r>
    </w:p>
  </w:footnote>
  <w:footnote w:id="1957">
    <w:p w14:paraId="20AA90AC" w14:textId="4CCA1F15"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Les alinéas 2 et 3 de l’article posent des règles spécifiques à la matière pénale et ne sont, par conséquent, pas étudiés.</w:t>
      </w:r>
    </w:p>
  </w:footnote>
  <w:footnote w:id="1958">
    <w:p w14:paraId="4A7CEBFA" w14:textId="64D0E6A5" w:rsidR="0030147D" w:rsidRPr="00E72418" w:rsidRDefault="0030147D" w:rsidP="005700B2">
      <w:pPr>
        <w:pStyle w:val="Sansinterligne"/>
        <w:rPr>
          <w:szCs w:val="20"/>
        </w:rPr>
      </w:pPr>
      <w:r w:rsidRPr="00E72418">
        <w:rPr>
          <w:rStyle w:val="Appelnotedebasdep"/>
          <w:szCs w:val="20"/>
        </w:rPr>
        <w:footnoteRef/>
      </w:r>
      <w:r w:rsidRPr="00E72418">
        <w:rPr>
          <w:szCs w:val="20"/>
        </w:rPr>
        <w:t xml:space="preserve"> D’autres dispositions comme l’article 8 de la Déclaration universelle des droits de l’homme, l’article 14 du Pacte international relatif aux droits civils et politiques ou encore l’article 47 de la Charte des droits fondamentaux de l’Union européenne consacrent ce droit à la protection juridictionnelle.</w:t>
      </w:r>
    </w:p>
  </w:footnote>
  <w:footnote w:id="1959">
    <w:p w14:paraId="3575B953" w14:textId="235D51E2" w:rsidR="0030147D" w:rsidRPr="00E72418" w:rsidRDefault="0030147D" w:rsidP="00147828">
      <w:pPr>
        <w:pStyle w:val="Sansinterligne"/>
        <w:rPr>
          <w:szCs w:val="20"/>
        </w:rPr>
      </w:pPr>
      <w:r w:rsidRPr="00E72418">
        <w:rPr>
          <w:rStyle w:val="Appelnotedebasdep"/>
          <w:szCs w:val="20"/>
        </w:rPr>
        <w:footnoteRef/>
      </w:r>
      <w:r w:rsidRPr="00E72418">
        <w:rPr>
          <w:szCs w:val="20"/>
        </w:rPr>
        <w:t xml:space="preserve"> Cour eur. D. H., 19 mars 1997, </w:t>
      </w:r>
      <w:r w:rsidRPr="00E72418">
        <w:rPr>
          <w:i/>
          <w:szCs w:val="20"/>
        </w:rPr>
        <w:t>Hornsby c. Grèce</w:t>
      </w:r>
      <w:r w:rsidRPr="00E72418">
        <w:rPr>
          <w:szCs w:val="20"/>
        </w:rPr>
        <w:t xml:space="preserve">, arrêt, </w:t>
      </w:r>
      <w:r w:rsidRPr="00E72418">
        <w:rPr>
          <w:rStyle w:val="s6b621b36"/>
          <w:szCs w:val="20"/>
        </w:rPr>
        <w:t>r</w:t>
      </w:r>
      <w:r w:rsidRPr="00E72418">
        <w:rPr>
          <w:szCs w:val="20"/>
        </w:rPr>
        <w:t>equête n</w:t>
      </w:r>
      <w:r w:rsidRPr="00E72418">
        <w:rPr>
          <w:rStyle w:val="sf1c7242d"/>
          <w:szCs w:val="20"/>
        </w:rPr>
        <w:t xml:space="preserve">° </w:t>
      </w:r>
      <w:hyperlink r:id="rId72" w:anchor="{%22appno%22:[%2218357/91%22]}" w:tgtFrame="_blank" w:history="1">
        <w:r w:rsidRPr="00E72418">
          <w:rPr>
            <w:rStyle w:val="Lienhypertexte"/>
            <w:color w:val="auto"/>
            <w:szCs w:val="20"/>
            <w:u w:val="none"/>
          </w:rPr>
          <w:t>18357/91</w:t>
        </w:r>
      </w:hyperlink>
      <w:r w:rsidRPr="00E72418">
        <w:rPr>
          <w:szCs w:val="20"/>
        </w:rPr>
        <w:t>, paragraphe 40.</w:t>
      </w:r>
    </w:p>
  </w:footnote>
  <w:footnote w:id="1960">
    <w:p w14:paraId="6C5360B9" w14:textId="54314595" w:rsidR="0030147D" w:rsidRPr="00E72418" w:rsidRDefault="0030147D" w:rsidP="00C556BC">
      <w:pPr>
        <w:pStyle w:val="Sansinterligne"/>
        <w:rPr>
          <w:szCs w:val="20"/>
        </w:rPr>
      </w:pPr>
      <w:r w:rsidRPr="00E72418">
        <w:rPr>
          <w:rStyle w:val="Appelnotedebasdep"/>
          <w:szCs w:val="20"/>
        </w:rPr>
        <w:footnoteRef/>
      </w:r>
      <w:r w:rsidRPr="00E72418">
        <w:rPr>
          <w:szCs w:val="20"/>
        </w:rPr>
        <w:t xml:space="preserve"> Cour eur. D. H., 23 mai 2016, </w:t>
      </w:r>
      <w:r w:rsidRPr="00E72418">
        <w:rPr>
          <w:i/>
          <w:szCs w:val="20"/>
        </w:rPr>
        <w:t>Avotiņš c. Lettonie</w:t>
      </w:r>
      <w:r w:rsidRPr="00E72418">
        <w:rPr>
          <w:szCs w:val="20"/>
        </w:rPr>
        <w:t xml:space="preserve">, arrêt, </w:t>
      </w:r>
      <w:r w:rsidRPr="00E72418">
        <w:rPr>
          <w:rStyle w:val="s6b621b36"/>
          <w:szCs w:val="20"/>
        </w:rPr>
        <w:t>r</w:t>
      </w:r>
      <w:r w:rsidRPr="00E72418">
        <w:rPr>
          <w:szCs w:val="20"/>
        </w:rPr>
        <w:t>equête n</w:t>
      </w:r>
      <w:r w:rsidRPr="00E72418">
        <w:rPr>
          <w:rStyle w:val="sf1c7242d"/>
          <w:szCs w:val="20"/>
        </w:rPr>
        <w:t xml:space="preserve">° </w:t>
      </w:r>
      <w:hyperlink r:id="rId73" w:anchor="{%22appno%22:[%2218357/91%22]}" w:tgtFrame="_blank" w:history="1">
        <w:r w:rsidRPr="00E72418">
          <w:rPr>
            <w:rStyle w:val="Lienhypertexte"/>
            <w:color w:val="auto"/>
            <w:szCs w:val="20"/>
            <w:u w:val="none"/>
          </w:rPr>
          <w:t>17502/07</w:t>
        </w:r>
      </w:hyperlink>
      <w:r w:rsidRPr="00E72418">
        <w:rPr>
          <w:szCs w:val="20"/>
        </w:rPr>
        <w:t>, paragraphe 96.</w:t>
      </w:r>
    </w:p>
  </w:footnote>
  <w:footnote w:id="1961">
    <w:p w14:paraId="0C6B9424" w14:textId="3EF78BBF" w:rsidR="0030147D" w:rsidRPr="00E72418" w:rsidRDefault="0030147D" w:rsidP="00C556BC">
      <w:pPr>
        <w:pStyle w:val="Sansinterligne"/>
      </w:pPr>
      <w:r w:rsidRPr="00E72418">
        <w:rPr>
          <w:rStyle w:val="Appelnotedebasdep"/>
          <w:szCs w:val="20"/>
        </w:rPr>
        <w:footnoteRef/>
      </w:r>
      <w:r w:rsidRPr="00E72418">
        <w:rPr>
          <w:szCs w:val="20"/>
        </w:rPr>
        <w:t xml:space="preserve"> Cour eur. D. H., 19 juillet 2016, </w:t>
      </w:r>
      <w:r w:rsidRPr="00E72418">
        <w:rPr>
          <w:rFonts w:ascii="Times New Roman" w:hAnsi="Times New Roman" w:cs="Times New Roman"/>
          <w:i/>
          <w:iCs/>
          <w:szCs w:val="20"/>
        </w:rPr>
        <w:t xml:space="preserve">Flores Quiros </w:t>
      </w:r>
      <w:r w:rsidRPr="00E72418">
        <w:rPr>
          <w:rFonts w:ascii="Times New Roman" w:hAnsi="Times New Roman" w:cs="Times New Roman"/>
          <w:i/>
          <w:szCs w:val="20"/>
        </w:rPr>
        <w:t>c. Espagne</w:t>
      </w:r>
      <w:r w:rsidRPr="00E72418">
        <w:rPr>
          <w:szCs w:val="20"/>
        </w:rPr>
        <w:t xml:space="preserve">, arrêt, </w:t>
      </w:r>
      <w:r w:rsidRPr="00E72418">
        <w:rPr>
          <w:rStyle w:val="s6b621b36"/>
          <w:szCs w:val="20"/>
        </w:rPr>
        <w:t>r</w:t>
      </w:r>
      <w:r w:rsidRPr="00E72418">
        <w:rPr>
          <w:szCs w:val="20"/>
        </w:rPr>
        <w:t>equête n</w:t>
      </w:r>
      <w:r w:rsidRPr="00E72418">
        <w:rPr>
          <w:rStyle w:val="sf1c7242d"/>
          <w:szCs w:val="20"/>
        </w:rPr>
        <w:t xml:space="preserve">° </w:t>
      </w:r>
      <w:r w:rsidRPr="00E72418">
        <w:rPr>
          <w:szCs w:val="20"/>
        </w:rPr>
        <w:t>75183/10, paragraphe 36.</w:t>
      </w:r>
    </w:p>
  </w:footnote>
  <w:footnote w:id="1962">
    <w:p w14:paraId="2F829FE4" w14:textId="71CE9259" w:rsidR="0030147D" w:rsidRPr="00E72418" w:rsidRDefault="0030147D" w:rsidP="008F462A">
      <w:pPr>
        <w:pStyle w:val="Sansinterligne"/>
      </w:pPr>
      <w:r w:rsidRPr="00E72418">
        <w:rPr>
          <w:rStyle w:val="Appelnotedebasdep"/>
        </w:rPr>
        <w:footnoteRef/>
      </w:r>
      <w:r w:rsidRPr="00E72418">
        <w:t xml:space="preserve"> Rappelons, pour autant que de besoin, que le Brexit ne fait pas échapper le Royaume-Uni à l’application de la Convention européenne des droits de l’homme de sorte que l’analyse de la conventionnalité du </w:t>
      </w:r>
      <w:r w:rsidRPr="00E72418">
        <w:rPr>
          <w:i/>
        </w:rPr>
        <w:t>Debt Relief (Developing Countries) Act</w:t>
      </w:r>
      <w:r w:rsidRPr="00E72418">
        <w:t xml:space="preserve"> demeure pertinente.</w:t>
      </w:r>
    </w:p>
  </w:footnote>
  <w:footnote w:id="1963">
    <w:p w14:paraId="6B894FDB" w14:textId="24A8A5F3" w:rsidR="0030147D" w:rsidRPr="00E72418" w:rsidRDefault="0030147D" w:rsidP="00B86D9F">
      <w:pPr>
        <w:pStyle w:val="Sansinterligne"/>
      </w:pPr>
      <w:r w:rsidRPr="00E72418">
        <w:rPr>
          <w:rStyle w:val="Appelnotedebasdep"/>
        </w:rPr>
        <w:footnoteRef/>
      </w:r>
      <w:r w:rsidRPr="00E72418">
        <w:t xml:space="preserve"> Voyez notamment Cour eur. D. H., 21 février 1975, </w:t>
      </w:r>
      <w:r w:rsidRPr="00E72418">
        <w:rPr>
          <w:i/>
        </w:rPr>
        <w:t>Golder c. Royaume-Uni</w:t>
      </w:r>
      <w:r w:rsidRPr="00E72418">
        <w:t>, arrêt, requête n° 4451/70, paragraphe 38.</w:t>
      </w:r>
    </w:p>
  </w:footnote>
  <w:footnote w:id="1964">
    <w:p w14:paraId="55D325F8" w14:textId="0299D157" w:rsidR="0030147D" w:rsidRPr="00E72418" w:rsidRDefault="0030147D" w:rsidP="00B86D9F">
      <w:pPr>
        <w:pStyle w:val="Sansinterligne"/>
      </w:pPr>
      <w:r w:rsidRPr="00E72418">
        <w:rPr>
          <w:rStyle w:val="Appelnotedebasdep"/>
        </w:rPr>
        <w:footnoteRef/>
      </w:r>
      <w:r w:rsidRPr="00E72418">
        <w:t xml:space="preserve"> Voyez notamment Cour eur. D. H., 28 mai 1985, </w:t>
      </w:r>
      <w:r w:rsidRPr="00E72418">
        <w:rPr>
          <w:i/>
        </w:rPr>
        <w:t>Ashingdane c. Royaume-Uni</w:t>
      </w:r>
      <w:r w:rsidRPr="00E72418">
        <w:t>, arrêt, requête n° 8225/78, paragraphe 57.</w:t>
      </w:r>
    </w:p>
  </w:footnote>
  <w:footnote w:id="1965">
    <w:p w14:paraId="2EC39E46" w14:textId="052611AF" w:rsidR="0030147D" w:rsidRPr="00E72418" w:rsidRDefault="0030147D" w:rsidP="00B86D9F">
      <w:pPr>
        <w:pStyle w:val="Sansinterligne"/>
        <w:rPr>
          <w:lang w:val="fr-FR"/>
        </w:rPr>
      </w:pPr>
      <w:r w:rsidRPr="00E72418">
        <w:rPr>
          <w:rStyle w:val="Appelnotedebasdep"/>
        </w:rPr>
        <w:footnoteRef/>
      </w:r>
      <w:r w:rsidRPr="00E72418">
        <w:t xml:space="preserve"> Voyez notamment Cour eur. D. H., 8 juillet 1986, </w:t>
      </w:r>
      <w:r w:rsidRPr="00E72418">
        <w:rPr>
          <w:i/>
        </w:rPr>
        <w:t>Lithgow et autres c. Royaume-Uni</w:t>
      </w:r>
      <w:r w:rsidRPr="00E72418">
        <w:t>, arrêt, requêtes n</w:t>
      </w:r>
      <w:r w:rsidRPr="00E72418">
        <w:rPr>
          <w:vertAlign w:val="superscript"/>
        </w:rPr>
        <w:t>os</w:t>
      </w:r>
      <w:r w:rsidRPr="00E72418">
        <w:t xml:space="preserve"> 9006/80 </w:t>
      </w:r>
      <w:r w:rsidRPr="00E72418">
        <w:rPr>
          <w:i/>
        </w:rPr>
        <w:t>et al.</w:t>
      </w:r>
      <w:r w:rsidRPr="00E72418">
        <w:t>, paragraphe 194.</w:t>
      </w:r>
    </w:p>
  </w:footnote>
  <w:footnote w:id="1966">
    <w:p w14:paraId="5A01CE45" w14:textId="77777777" w:rsidR="0030147D" w:rsidRPr="00E72418" w:rsidRDefault="0030147D" w:rsidP="009F26EF">
      <w:pPr>
        <w:pStyle w:val="Sansinterligne"/>
      </w:pPr>
      <w:r w:rsidRPr="00E72418">
        <w:rPr>
          <w:rStyle w:val="Appelnotedebasdep"/>
        </w:rPr>
        <w:footnoteRef/>
      </w:r>
      <w:r w:rsidRPr="00E72418">
        <w:t xml:space="preserve"> Cour eur. D. H., 21 novembre 2001, </w:t>
      </w:r>
      <w:r w:rsidRPr="00E72418">
        <w:rPr>
          <w:i/>
        </w:rPr>
        <w:t>McElhinney c. Irlande</w:t>
      </w:r>
      <w:r w:rsidRPr="00E72418">
        <w:t xml:space="preserve">, arrêt, requête n° 31253/96, paragraphe 35, Cour eur. D. H., 21 novembre 2001, </w:t>
      </w:r>
      <w:r w:rsidRPr="00E72418">
        <w:rPr>
          <w:i/>
        </w:rPr>
        <w:t>Al Adsany c. Royaume-Uni</w:t>
      </w:r>
      <w:r w:rsidRPr="00E72418">
        <w:t xml:space="preserve">, arrêt, requête n° 35763/97, paragraphe 54 et Cour eur. D. H., 21 novembre 2001, </w:t>
      </w:r>
      <w:r w:rsidRPr="00E72418">
        <w:rPr>
          <w:i/>
        </w:rPr>
        <w:t>Fogarty c. Royaume-Uni</w:t>
      </w:r>
      <w:r w:rsidRPr="00E72418">
        <w:t xml:space="preserve">, arrêt, requête n° 37112/97, paragraphe 34. </w:t>
      </w:r>
    </w:p>
  </w:footnote>
  <w:footnote w:id="1967">
    <w:p w14:paraId="12531C43" w14:textId="77777777" w:rsidR="0030147D" w:rsidRPr="00E72418" w:rsidRDefault="0030147D" w:rsidP="009F26EF">
      <w:pPr>
        <w:pStyle w:val="Sansinterligne"/>
      </w:pPr>
      <w:r w:rsidRPr="00E72418">
        <w:rPr>
          <w:rStyle w:val="Appelnotedebasdep"/>
        </w:rPr>
        <w:footnoteRef/>
      </w:r>
      <w:r w:rsidRPr="00E72418">
        <w:t xml:space="preserve"> </w:t>
      </w:r>
      <w:r w:rsidRPr="00E72418">
        <w:rPr>
          <w:i/>
        </w:rPr>
        <w:t>Ibid.</w:t>
      </w:r>
      <w:r w:rsidRPr="00E72418">
        <w:t>, respectivement paragraphes 36 et 37, 55 et 56, 35 et 36.</w:t>
      </w:r>
    </w:p>
  </w:footnote>
  <w:footnote w:id="1968">
    <w:p w14:paraId="196FFF19" w14:textId="77777777" w:rsidR="0030147D" w:rsidRPr="00E72418" w:rsidRDefault="0030147D" w:rsidP="009F26EF">
      <w:pPr>
        <w:pStyle w:val="Sansinterligne"/>
      </w:pPr>
      <w:r w:rsidRPr="00E72418">
        <w:rPr>
          <w:rStyle w:val="Appelnotedebasdep"/>
        </w:rPr>
        <w:footnoteRef/>
      </w:r>
      <w:r w:rsidRPr="00E72418">
        <w:t xml:space="preserve"> </w:t>
      </w:r>
      <w:r w:rsidRPr="00E72418">
        <w:rPr>
          <w:i/>
        </w:rPr>
        <w:t>Ibid.</w:t>
      </w:r>
      <w:r w:rsidRPr="00E72418">
        <w:t>, respectivement paragraphes 37, 56 et 36.</w:t>
      </w:r>
    </w:p>
  </w:footnote>
  <w:footnote w:id="1969">
    <w:p w14:paraId="789A23DE" w14:textId="1ED1AEE8" w:rsidR="0030147D" w:rsidRPr="00E72418" w:rsidRDefault="0030147D" w:rsidP="009F26EF">
      <w:pPr>
        <w:pStyle w:val="Sansinterligne"/>
      </w:pPr>
      <w:r w:rsidRPr="00E72418">
        <w:rPr>
          <w:rStyle w:val="Appelnotedebasdep"/>
        </w:rPr>
        <w:footnoteRef/>
      </w:r>
      <w:r w:rsidRPr="00E72418">
        <w:t xml:space="preserve"> Les considérations qui précèdent ont été reprises par la cour dans une autre affaire où se posait précisément la question de la limitation du droit d’accès au juge consistant en un refus opposé par un </w:t>
      </w:r>
      <w:r w:rsidRPr="00E72418">
        <w:rPr>
          <w:lang w:eastAsia="fr-BE"/>
        </w:rPr>
        <w:t>É</w:t>
      </w:r>
      <w:r w:rsidRPr="00E72418">
        <w:t xml:space="preserve">tat à l’exécution forcée sur son territoire d’une décision de justice sur les biens d’un autre </w:t>
      </w:r>
      <w:r w:rsidRPr="00E72418">
        <w:rPr>
          <w:lang w:eastAsia="fr-BE"/>
        </w:rPr>
        <w:t>É</w:t>
      </w:r>
      <w:r w:rsidRPr="00E72418">
        <w:t>tat (</w:t>
      </w:r>
      <w:r w:rsidRPr="00E72418">
        <w:rPr>
          <w:szCs w:val="20"/>
        </w:rPr>
        <w:t xml:space="preserve">Cour eur. D. H., 12 décembre 2002, </w:t>
      </w:r>
      <w:r w:rsidRPr="00E72418">
        <w:rPr>
          <w:i/>
          <w:szCs w:val="20"/>
        </w:rPr>
        <w:t>Kalogeropoulou e.a. c. Grèce et Allemagne</w:t>
      </w:r>
      <w:r w:rsidRPr="00E72418">
        <w:rPr>
          <w:szCs w:val="20"/>
        </w:rPr>
        <w:t xml:space="preserve">, décision, </w:t>
      </w:r>
      <w:r w:rsidRPr="00E72418">
        <w:t>requête n° 59021/00, pp. 8 et suiv.).</w:t>
      </w:r>
    </w:p>
  </w:footnote>
  <w:footnote w:id="1970">
    <w:p w14:paraId="4C5EE7EB" w14:textId="0D3F6A6B" w:rsidR="0030147D" w:rsidRPr="00E72418" w:rsidRDefault="0030147D" w:rsidP="009F26EF">
      <w:pPr>
        <w:pStyle w:val="Sansinterligne"/>
      </w:pPr>
      <w:r w:rsidRPr="00E72418">
        <w:rPr>
          <w:rStyle w:val="Appelnotedebasdep"/>
        </w:rPr>
        <w:footnoteRef/>
      </w:r>
      <w:r w:rsidRPr="00E72418">
        <w:rPr>
          <w:vertAlign w:val="superscript"/>
        </w:rPr>
        <w:t xml:space="preserve"> </w:t>
      </w:r>
      <w:r w:rsidRPr="00E72418">
        <w:t xml:space="preserve">Conférence des Nations Unies sur le commerce et le développement, </w:t>
      </w:r>
      <w:r w:rsidRPr="00E72418">
        <w:rPr>
          <w:i/>
        </w:rPr>
        <w:t>Roadmap and Guide on Sovereign Debt Workouts</w:t>
      </w:r>
      <w:r w:rsidRPr="00E72418">
        <w:t xml:space="preserve">, </w:t>
      </w:r>
      <w:r w:rsidRPr="00E72418">
        <w:rPr>
          <w:i/>
        </w:rPr>
        <w:t>op. cit.</w:t>
      </w:r>
      <w:r w:rsidRPr="00E72418">
        <w:t xml:space="preserve">, p. 24. Sur la soutenabilité des dettes souveraines et son importance répétée, voyez </w:t>
      </w:r>
      <w:r w:rsidRPr="00E72418">
        <w:rPr>
          <w:i/>
        </w:rPr>
        <w:t>supra</w:t>
      </w:r>
      <w:r w:rsidRPr="00E72418">
        <w:t xml:space="preserve"> n</w:t>
      </w:r>
      <w:r w:rsidRPr="00E72418">
        <w:rPr>
          <w:vertAlign w:val="superscript"/>
        </w:rPr>
        <w:t>os</w:t>
      </w:r>
      <w:r w:rsidRPr="00E72418">
        <w:t xml:space="preserve"> 33 et suiv.</w:t>
      </w:r>
    </w:p>
  </w:footnote>
  <w:footnote w:id="1971">
    <w:p w14:paraId="6FF40E57" w14:textId="77777777" w:rsidR="0030147D" w:rsidRPr="00E72418" w:rsidRDefault="0030147D" w:rsidP="009F26EF">
      <w:pPr>
        <w:pStyle w:val="Sansinterligne"/>
      </w:pPr>
      <w:r w:rsidRPr="00E72418">
        <w:rPr>
          <w:rStyle w:val="Appelnotedebasdep"/>
        </w:rPr>
        <w:footnoteRef/>
      </w:r>
      <w:r w:rsidRPr="00E72418">
        <w:rPr>
          <w:vertAlign w:val="superscript"/>
        </w:rPr>
        <w:t xml:space="preserve"> </w:t>
      </w:r>
      <w:r w:rsidRPr="00E72418">
        <w:t xml:space="preserve">Cour eur. D. H., 15 mars 2018, </w:t>
      </w:r>
      <w:r w:rsidRPr="00E72418">
        <w:rPr>
          <w:i/>
        </w:rPr>
        <w:t>Naït-Liman c. Suisse</w:t>
      </w:r>
      <w:r w:rsidRPr="00E72418">
        <w:t>, arrêt, requête n° 51357/07, points 174 et 175.</w:t>
      </w:r>
    </w:p>
  </w:footnote>
  <w:footnote w:id="1972">
    <w:p w14:paraId="00D715FF" w14:textId="6DED5C8D" w:rsidR="0030147D" w:rsidRPr="00E72418" w:rsidRDefault="0030147D" w:rsidP="009F26EF">
      <w:pPr>
        <w:pStyle w:val="Sansinterligne"/>
      </w:pPr>
      <w:r w:rsidRPr="00E72418">
        <w:rPr>
          <w:rStyle w:val="Titre1Car"/>
          <w:rFonts w:ascii="Times" w:eastAsiaTheme="minorHAnsi" w:hAnsi="Times" w:cstheme="minorBidi"/>
          <w:color w:val="auto"/>
          <w:sz w:val="20"/>
          <w:szCs w:val="22"/>
          <w:vertAlign w:val="superscript"/>
        </w:rPr>
        <w:footnoteRef/>
      </w:r>
      <w:r w:rsidRPr="00E72418">
        <w:t xml:space="preserve"> </w:t>
      </w:r>
      <w:r w:rsidRPr="00E72418">
        <w:rPr>
          <w:rStyle w:val="Titre7Car"/>
          <w:rFonts w:ascii="Times" w:eastAsiaTheme="minorHAnsi" w:hAnsi="Times" w:cstheme="minorBidi"/>
          <w:i w:val="0"/>
          <w:iCs w:val="0"/>
          <w:color w:val="auto"/>
        </w:rPr>
        <w:t xml:space="preserve">Parlement européen, </w:t>
      </w:r>
      <w:r w:rsidRPr="00E72418">
        <w:rPr>
          <w:i/>
        </w:rPr>
        <w:t>Résolution</w:t>
      </w:r>
      <w:r w:rsidRPr="00E72418">
        <w:rPr>
          <w:rStyle w:val="Titre7Car"/>
          <w:rFonts w:ascii="Times" w:eastAsiaTheme="minorHAnsi" w:hAnsi="Times" w:cstheme="minorBidi"/>
          <w:i w:val="0"/>
          <w:iCs w:val="0"/>
          <w:color w:val="auto"/>
        </w:rPr>
        <w:t xml:space="preserve"> sur l’amélioration de la viabilité de la dette des pays en développement, </w:t>
      </w:r>
      <w:r w:rsidRPr="00E72418">
        <w:rPr>
          <w:rStyle w:val="Titre5Car"/>
          <w:rFonts w:ascii="Times" w:eastAsiaTheme="minorHAnsi" w:hAnsi="Times" w:cstheme="minorBidi"/>
          <w:color w:val="auto"/>
          <w:szCs w:val="20"/>
        </w:rPr>
        <w:t xml:space="preserve">17 avril 2018, </w:t>
      </w:r>
      <w:r w:rsidRPr="00E72418">
        <w:rPr>
          <w:rStyle w:val="Titre7Car"/>
          <w:rFonts w:ascii="Times" w:eastAsiaTheme="minorHAnsi" w:hAnsi="Times" w:cstheme="minorBidi"/>
          <w:i w:val="0"/>
          <w:iCs w:val="0"/>
          <w:color w:val="auto"/>
        </w:rPr>
        <w:t>2016/2241(INI), point 37. Plus encore, le Parlement y donne comme exemple concret pour ce faire la loi belge de 2015.</w:t>
      </w:r>
    </w:p>
  </w:footnote>
  <w:footnote w:id="1973">
    <w:p w14:paraId="30751C0F" w14:textId="045F701F"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Act 2010</w:t>
      </w:r>
      <w:r w:rsidRPr="00E72418">
        <w:rPr>
          <w:szCs w:val="20"/>
          <w:lang w:val="en-US"/>
        </w:rPr>
        <w:t>, explanatory notes, paragraphe 27</w:t>
      </w:r>
      <w:r w:rsidRPr="00E72418">
        <w:rPr>
          <w:rStyle w:val="Lienhypertexte"/>
          <w:color w:val="auto"/>
          <w:szCs w:val="20"/>
          <w:u w:val="none"/>
          <w:lang w:val="en-US"/>
        </w:rPr>
        <w:t>.</w:t>
      </w:r>
    </w:p>
  </w:footnote>
  <w:footnote w:id="1974">
    <w:p w14:paraId="17C24BA9" w14:textId="6B1BDD34"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50</w:t>
      </w:r>
      <w:r w:rsidRPr="00E72418">
        <w:rPr>
          <w:rStyle w:val="Lienhypertexte"/>
          <w:color w:val="auto"/>
          <w:szCs w:val="20"/>
          <w:u w:val="none"/>
          <w:lang w:val="en-US"/>
        </w:rPr>
        <w:t xml:space="preserve">. </w:t>
      </w:r>
      <w:r w:rsidRPr="00E72418">
        <w:rPr>
          <w:szCs w:val="20"/>
          <w:lang w:val="en-US"/>
        </w:rPr>
        <w:t xml:space="preserve">Voyez également le propos de Phil Braidwood durant les travaux préparatoires du </w:t>
      </w:r>
      <w:r w:rsidRPr="00E72418">
        <w:rPr>
          <w:i/>
          <w:szCs w:val="20"/>
          <w:lang w:val="en-US"/>
        </w:rPr>
        <w:t>Heavily Indebted Poor Countries (Limitation on Debt Recovery) Act 2012</w:t>
      </w:r>
      <w:r w:rsidRPr="00E72418">
        <w:rPr>
          <w:szCs w:val="20"/>
          <w:lang w:val="en-US"/>
        </w:rPr>
        <w:t xml:space="preserve"> de l’</w:t>
      </w:r>
      <w:r w:rsidRPr="00E72418">
        <w:rPr>
          <w:caps/>
          <w:szCs w:val="20"/>
          <w:lang w:val="en-US"/>
        </w:rPr>
        <w:t>î</w:t>
      </w:r>
      <w:r w:rsidRPr="00E72418">
        <w:rPr>
          <w:szCs w:val="20"/>
          <w:lang w:val="en-US"/>
        </w:rPr>
        <w:t xml:space="preserve">le de Man in Legislative Council, </w:t>
      </w:r>
      <w:r w:rsidRPr="00E72418">
        <w:rPr>
          <w:i/>
          <w:szCs w:val="20"/>
          <w:lang w:val="en-US"/>
        </w:rPr>
        <w:t>Heavily Indebted Poor Countries (Limitation on Debt Recovery) Bill 2012</w:t>
      </w:r>
      <w:r w:rsidRPr="00E72418">
        <w:rPr>
          <w:szCs w:val="20"/>
          <w:lang w:val="en-US"/>
        </w:rPr>
        <w:t>, second reading, 23 octobre 2012, vol. 130, n° 1, lignes 550 à 554 : « there are no other measures that could be adopted to achieve the objectives of this Bill. The effectiveness of this legislation would be severely hampered if the scope of application did not include judgment debts. This assertion is borne out by evidence that there are a number of creditors who obtain judgments on their debts against countries that are covered by the initiative ».</w:t>
      </w:r>
    </w:p>
  </w:footnote>
  <w:footnote w:id="1975">
    <w:p w14:paraId="13DD4E91" w14:textId="7153DF47"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Debt Relief (Developing Countries) Bill</w:t>
      </w:r>
      <w:r w:rsidRPr="00E72418">
        <w:rPr>
          <w:szCs w:val="20"/>
          <w:lang w:val="en-US"/>
        </w:rPr>
        <w:t>, explanatory notes, paragraphe 50</w:t>
      </w:r>
      <w:r w:rsidRPr="00E72418">
        <w:rPr>
          <w:rStyle w:val="Lienhypertexte"/>
          <w:color w:val="auto"/>
          <w:szCs w:val="20"/>
          <w:u w:val="none"/>
          <w:lang w:val="en-US"/>
        </w:rPr>
        <w:t>.</w:t>
      </w:r>
    </w:p>
  </w:footnote>
  <w:footnote w:id="1976">
    <w:p w14:paraId="2C1BBEAF" w14:textId="01356356" w:rsidR="0030147D" w:rsidRPr="00E72418" w:rsidRDefault="0030147D" w:rsidP="0020386F">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rStyle w:val="Lienhypertexte"/>
          <w:color w:val="auto"/>
          <w:szCs w:val="20"/>
          <w:u w:val="none"/>
          <w:lang w:val="en-US"/>
        </w:rPr>
        <w:t>.</w:t>
      </w:r>
    </w:p>
  </w:footnote>
  <w:footnote w:id="1977">
    <w:p w14:paraId="3F6F0748" w14:textId="529AF14B"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les points A.27. à A.29. de l’arrêt n° 61/2018.</w:t>
      </w:r>
    </w:p>
  </w:footnote>
  <w:footnote w:id="1978">
    <w:p w14:paraId="2177287B" w14:textId="2F317C7E"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les points B.16.1. à B.16.4. de l’arrêt n° 61/2018. Devant la Cour, le Conseil des ministres soulignait l’objectif légitime de protéger le système financier international et des valeurs morales. Il jugeait l’atteinte proportionnée en ce qu’elle concerne uniquement des créanciers recherchant un profit jugé illégitime et ne les empêche pas d’obtenir un titre exécutoire ou des mesures conservatoires ou d’exécution forcée en vue de récupérer la valeur du prix payé pour le rachat des créances (position du Conseil des ministres reprise in Cour const., 31 mai 2018, n° 61/2018, point A.28.).</w:t>
      </w:r>
    </w:p>
  </w:footnote>
  <w:footnote w:id="1979">
    <w:p w14:paraId="2B761D17" w14:textId="77777777" w:rsidR="0030147D" w:rsidRPr="00E72418" w:rsidRDefault="0030147D" w:rsidP="0084770B">
      <w:pPr>
        <w:pStyle w:val="Sansinterligne"/>
        <w:rPr>
          <w:szCs w:val="20"/>
        </w:rPr>
      </w:pPr>
      <w:r w:rsidRPr="00E72418">
        <w:rPr>
          <w:rStyle w:val="Appelnotedebasdep"/>
          <w:szCs w:val="20"/>
        </w:rPr>
        <w:footnoteRef/>
      </w:r>
      <w:r w:rsidRPr="00E72418">
        <w:rPr>
          <w:szCs w:val="20"/>
        </w:rPr>
        <w:t xml:space="preserve"> Projet de loi n° 3623 relatif à la transparence, à la lutte contre la corruption et à la modernisation de la vie économique, Assemblée nationale, 30 mars 2016, p. 16.</w:t>
      </w:r>
    </w:p>
  </w:footnote>
  <w:footnote w:id="1980">
    <w:p w14:paraId="5153D200" w14:textId="6C8A5AF5" w:rsidR="0030147D" w:rsidRPr="00E72418" w:rsidRDefault="0030147D" w:rsidP="00530736">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J. Heymann</w:t>
      </w:r>
      <w:r w:rsidRPr="00E72418">
        <w:t xml:space="preserve">, « La loi Sapin 2 et les immunités d’exécution – À propos de la loi n° 2016-1691 du 9 décembre 2016 », </w:t>
      </w:r>
      <w:r w:rsidRPr="00E72418">
        <w:rPr>
          <w:i/>
        </w:rPr>
        <w:t>op. cit.</w:t>
      </w:r>
      <w:r w:rsidRPr="00E72418">
        <w:t>, p. 180. À cette interrogation, Baptiste T</w:t>
      </w:r>
      <w:r w:rsidRPr="00E72418">
        <w:rPr>
          <w:rFonts w:cs="Times New Roman"/>
        </w:rPr>
        <w:t>ranchant répond qu’il pourrait être relevé que les règles internationales codifiées dans la Convention des Nations Unies imposent un résultat à atteindre, qui est celui de préserver certains biens étatiques étrangers de toute mesure de contrainte et que la procédure d’autorisation judiciaire préalable vise ce résultat (</w:t>
      </w:r>
      <w:r w:rsidRPr="00E72418">
        <w:rPr>
          <w:smallCaps/>
        </w:rPr>
        <w:t>B. Tranchant</w:t>
      </w:r>
      <w:r w:rsidRPr="00E72418">
        <w:t xml:space="preserve">, « L’immunité étatique et l’exécution en France des sentences arbitrales internationale », </w:t>
      </w:r>
      <w:r w:rsidRPr="00E72418">
        <w:rPr>
          <w:rFonts w:ascii="Times New Roman" w:hAnsi="Times New Roman" w:cs="Times New Roman"/>
          <w:i/>
        </w:rPr>
        <w:t>R.G.D.I.P.</w:t>
      </w:r>
      <w:r w:rsidRPr="00E72418">
        <w:t>, 2017, pp. 844 et 845).</w:t>
      </w:r>
    </w:p>
  </w:footnote>
  <w:footnote w:id="1981">
    <w:p w14:paraId="17AC2232" w14:textId="77777777"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Voyez leurs reproches repris in Conseil constitutionnel, décision n° 2016-741 DC du 8 décembre 2016, point 65. De l’avis du Gouvernement français, « [l]e dispositif retenu est strictement proportionné à cet objectif [de lutte contre les pratiques spéculatives de certains fonds] et ne porte aucune atteinte aux droits des créanciers de bonne foi » (voyez les observations du Gouvernement français sur les recours dirigés contre la loi relative à la transparence, à la lutte contre la corruption et à la modernisation de la vie économique, disponibles à l’adresse </w:t>
      </w:r>
      <w:hyperlink r:id="rId74" w:history="1">
        <w:r w:rsidRPr="00E72418">
          <w:rPr>
            <w:rStyle w:val="Lienhypertexte"/>
            <w:color w:val="auto"/>
            <w:szCs w:val="20"/>
            <w:u w:val="none"/>
          </w:rPr>
          <w:t>www.conseil-constitutionnel.fr/les-decisions/decision-n-2016-741-dc-du-8-decembre-2016-observations-du-gouvernement</w:t>
        </w:r>
      </w:hyperlink>
      <w:r w:rsidRPr="00E72418">
        <w:rPr>
          <w:szCs w:val="20"/>
        </w:rPr>
        <w:t>).</w:t>
      </w:r>
    </w:p>
  </w:footnote>
  <w:footnote w:id="1982">
    <w:p w14:paraId="41A8839F" w14:textId="77777777" w:rsidR="0030147D" w:rsidRPr="00E72418" w:rsidRDefault="0030147D" w:rsidP="009002D4">
      <w:pPr>
        <w:pStyle w:val="Sansinterligne"/>
        <w:rPr>
          <w:szCs w:val="20"/>
        </w:rPr>
      </w:pPr>
      <w:r w:rsidRPr="00E72418">
        <w:rPr>
          <w:rStyle w:val="Appelnotedebasdep"/>
          <w:szCs w:val="20"/>
        </w:rPr>
        <w:footnoteRef/>
      </w:r>
      <w:r w:rsidRPr="00E72418">
        <w:rPr>
          <w:szCs w:val="20"/>
        </w:rPr>
        <w:t xml:space="preserve"> Conseil constitutionnel, décision n° 2016-741 DC du 8 décembre 2016, points 66 à 74.</w:t>
      </w:r>
    </w:p>
  </w:footnote>
  <w:footnote w:id="1983">
    <w:p w14:paraId="78CE5216" w14:textId="73392CF0" w:rsidR="0030147D" w:rsidRPr="00E72418" w:rsidRDefault="0030147D" w:rsidP="009B5B86">
      <w:pPr>
        <w:pStyle w:val="Sansinterligne"/>
      </w:pPr>
      <w:r w:rsidRPr="00E72418">
        <w:rPr>
          <w:rStyle w:val="Appelnotedebasdep"/>
        </w:rPr>
        <w:footnoteRef/>
      </w:r>
      <w:r w:rsidRPr="00E72418">
        <w:t xml:space="preserve"> Notre ignorance d’une quelconque invocation des outils britannique, belge et français étudiés est confirmée par un rapport du Fonds monétaire international de septembre 2020 (</w:t>
      </w:r>
      <w:r w:rsidRPr="00E72418">
        <w:rPr>
          <w:i/>
        </w:rPr>
        <w:t>The international architecture for resolving sovereign debt involving private-sector creditors – Recent developments, challenges, and reform options</w:t>
      </w:r>
      <w:r w:rsidRPr="00E72418">
        <w:t>, 23 septembre 2020, p. 27).</w:t>
      </w:r>
    </w:p>
  </w:footnote>
  <w:footnote w:id="1984">
    <w:p w14:paraId="0C5A0041" w14:textId="44C22939" w:rsidR="0030147D" w:rsidRPr="00E72418" w:rsidRDefault="0030147D" w:rsidP="00992BCE">
      <w:pPr>
        <w:pStyle w:val="Sansinterligne"/>
      </w:pPr>
      <w:r w:rsidRPr="00E72418">
        <w:rPr>
          <w:rStyle w:val="Appelnotedebasdep"/>
        </w:rPr>
        <w:footnoteRef/>
      </w:r>
      <w:r w:rsidRPr="00E72418">
        <w:t xml:space="preserve"> Le Comité consultatif du Conseil des droits de l’homme des Nations Unies fait ainsi valoir que « [c]es législations ont joué un rôle dissuasif important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9).</w:t>
      </w:r>
    </w:p>
  </w:footnote>
  <w:footnote w:id="1985">
    <w:p w14:paraId="1E300257" w14:textId="62E4B310" w:rsidR="0030147D" w:rsidRPr="00E72418" w:rsidRDefault="0030147D" w:rsidP="004A135C">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w:t>
      </w:r>
      <w:r w:rsidRPr="00E72418">
        <w:rPr>
          <w:rFonts w:ascii="Times New Roman" w:hAnsi="Times New Roman" w:cs="Times New Roman"/>
          <w:smallCaps/>
          <w:szCs w:val="20"/>
        </w:rPr>
        <w:t>R. Bismuth</w:t>
      </w:r>
      <w:r w:rsidRPr="00E72418">
        <w:rPr>
          <w:rFonts w:ascii="Times New Roman" w:hAnsi="Times New Roman" w:cs="Times New Roman"/>
          <w:szCs w:val="20"/>
        </w:rPr>
        <w:t xml:space="preserve">, « L’émergence d’un “ordre public de la dette souveraine” pour et par le contrat d’emprunt souverain ? Quelques réflexions inspirées par une actualité très mouvementée », </w:t>
      </w:r>
      <w:r w:rsidRPr="00E72418">
        <w:rPr>
          <w:rStyle w:val="Accentuation"/>
          <w:rFonts w:ascii="Times New Roman" w:hAnsi="Times New Roman" w:cs="Times New Roman"/>
          <w:iCs w:val="0"/>
          <w:szCs w:val="20"/>
        </w:rPr>
        <w:t>op. cit.</w:t>
      </w:r>
      <w:r w:rsidRPr="00E72418">
        <w:rPr>
          <w:rFonts w:ascii="Times New Roman" w:hAnsi="Times New Roman" w:cs="Times New Roman"/>
          <w:szCs w:val="20"/>
        </w:rPr>
        <w:t xml:space="preserve">, p. 499. L’auteur visait les propositions de loi françaises des 28 juin 2006 et 2 août 2007 (sur ces propositions, voyez </w:t>
      </w:r>
      <w:r w:rsidRPr="00E72418">
        <w:rPr>
          <w:rFonts w:ascii="Times New Roman" w:hAnsi="Times New Roman" w:cs="Times New Roman"/>
          <w:i/>
          <w:szCs w:val="20"/>
        </w:rPr>
        <w:t>supra</w:t>
      </w:r>
      <w:r w:rsidRPr="00E72418">
        <w:rPr>
          <w:rFonts w:ascii="Times New Roman" w:hAnsi="Times New Roman" w:cs="Times New Roman"/>
          <w:szCs w:val="20"/>
        </w:rPr>
        <w:t xml:space="preserve">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360 et suiv.), les propositions étatsuniennes de 2008 et 2009 (sur ces propositions, voyez </w:t>
      </w:r>
      <w:r w:rsidRPr="00E72418">
        <w:rPr>
          <w:rFonts w:ascii="Times New Roman" w:hAnsi="Times New Roman" w:cs="Times New Roman"/>
          <w:i/>
          <w:szCs w:val="20"/>
        </w:rPr>
        <w:t>supra</w:t>
      </w:r>
      <w:r w:rsidRPr="00E72418">
        <w:rPr>
          <w:rFonts w:ascii="Times New Roman" w:hAnsi="Times New Roman" w:cs="Times New Roman"/>
          <w:szCs w:val="20"/>
        </w:rPr>
        <w:t xml:space="preserve">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294 et suiv.) et le </w:t>
      </w:r>
      <w:r w:rsidRPr="00E72418">
        <w:rPr>
          <w:rFonts w:ascii="Times New Roman" w:hAnsi="Times New Roman" w:cs="Times New Roman"/>
          <w:i/>
          <w:szCs w:val="20"/>
        </w:rPr>
        <w:t>Debt Relief (Developing Countries) Act</w:t>
      </w:r>
      <w:r w:rsidRPr="00E72418">
        <w:rPr>
          <w:rFonts w:ascii="Times New Roman" w:hAnsi="Times New Roman" w:cs="Times New Roman"/>
          <w:szCs w:val="20"/>
        </w:rPr>
        <w:t xml:space="preserve"> britannique de 2010 (sur cette législation, voyez </w:t>
      </w:r>
      <w:r w:rsidRPr="00E72418">
        <w:rPr>
          <w:rFonts w:ascii="Times New Roman" w:hAnsi="Times New Roman" w:cs="Times New Roman"/>
          <w:i/>
          <w:szCs w:val="20"/>
        </w:rPr>
        <w:t>supra</w:t>
      </w:r>
      <w:r w:rsidRPr="00E72418">
        <w:rPr>
          <w:rFonts w:ascii="Times New Roman" w:hAnsi="Times New Roman" w:cs="Times New Roman"/>
          <w:szCs w:val="20"/>
        </w:rPr>
        <w:t xml:space="preserve">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304 et suiv.). Il ne faisait que mentionner la loi belge du 6 avril 2008 (sur cette législation, voyez </w:t>
      </w:r>
      <w:r w:rsidRPr="00E72418">
        <w:rPr>
          <w:rFonts w:ascii="Times New Roman" w:hAnsi="Times New Roman" w:cs="Times New Roman"/>
          <w:i/>
          <w:szCs w:val="20"/>
        </w:rPr>
        <w:t>supra</w:t>
      </w:r>
      <w:r w:rsidRPr="00E72418">
        <w:rPr>
          <w:rFonts w:ascii="Times New Roman" w:hAnsi="Times New Roman" w:cs="Times New Roman"/>
          <w:szCs w:val="20"/>
        </w:rPr>
        <w:t xml:space="preserve"> n</w:t>
      </w:r>
      <w:r w:rsidRPr="00E72418">
        <w:rPr>
          <w:rFonts w:ascii="Times New Roman" w:hAnsi="Times New Roman" w:cs="Times New Roman"/>
          <w:szCs w:val="20"/>
          <w:vertAlign w:val="superscript"/>
        </w:rPr>
        <w:t>os</w:t>
      </w:r>
      <w:r w:rsidRPr="00E72418">
        <w:rPr>
          <w:rFonts w:ascii="Times New Roman" w:hAnsi="Times New Roman" w:cs="Times New Roman"/>
          <w:szCs w:val="20"/>
        </w:rPr>
        <w:t xml:space="preserve"> 328 et suiv.). Pour l’auteur, « [u]n bref panorama de ces quelques initiatives législatives nationales dénote que l’émergence d’un “ordre public de la dette souveraine” est concevable si elles venaient à être plus largement concrétisées dans les droits nationaux » (</w:t>
      </w:r>
      <w:r w:rsidRPr="00E72418">
        <w:rPr>
          <w:rFonts w:ascii="Times New Roman" w:hAnsi="Times New Roman" w:cs="Times New Roman"/>
          <w:i/>
          <w:szCs w:val="20"/>
        </w:rPr>
        <w:t>ibid.</w:t>
      </w:r>
      <w:r w:rsidRPr="00E72418">
        <w:rPr>
          <w:rFonts w:ascii="Times New Roman" w:hAnsi="Times New Roman" w:cs="Times New Roman"/>
          <w:szCs w:val="20"/>
        </w:rPr>
        <w:t>, p. 502).</w:t>
      </w:r>
    </w:p>
  </w:footnote>
  <w:footnote w:id="1986">
    <w:p w14:paraId="32D69042" w14:textId="6401BB72" w:rsidR="0030147D" w:rsidRPr="00E72418" w:rsidRDefault="0030147D" w:rsidP="0020386F">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mallCaps/>
          <w:szCs w:val="20"/>
        </w:rPr>
        <w:t>,</w:t>
      </w:r>
      <w:r w:rsidRPr="00E72418">
        <w:rPr>
          <w:szCs w:val="20"/>
        </w:rPr>
        <w:t xml:space="preserve"> pp. 502 et 503.</w:t>
      </w:r>
    </w:p>
  </w:footnote>
  <w:footnote w:id="1987">
    <w:p w14:paraId="6C6906D8" w14:textId="7A7150FB" w:rsidR="0030147D" w:rsidRPr="00E72418" w:rsidRDefault="0030147D" w:rsidP="00494D68">
      <w:pPr>
        <w:pStyle w:val="Sansinterligne"/>
        <w:rPr>
          <w:szCs w:val="20"/>
        </w:rPr>
      </w:pPr>
      <w:r w:rsidRPr="00E72418">
        <w:rPr>
          <w:rStyle w:val="Appelnotedebasdep"/>
          <w:szCs w:val="20"/>
        </w:rPr>
        <w:footnoteRef/>
      </w:r>
      <w:r w:rsidRPr="00E72418">
        <w:rPr>
          <w:szCs w:val="20"/>
        </w:rPr>
        <w:t xml:space="preserve"> </w:t>
      </w:r>
      <w:r w:rsidRPr="00E72418">
        <w:rPr>
          <w:smallCaps/>
          <w:szCs w:val="20"/>
        </w:rPr>
        <w:t>M. Megliani</w:t>
      </w:r>
      <w:r w:rsidRPr="00E72418">
        <w:rPr>
          <w:szCs w:val="20"/>
        </w:rPr>
        <w:t xml:space="preserve">, « </w:t>
      </w:r>
      <w:r w:rsidRPr="00E72418">
        <w:rPr>
          <w:szCs w:val="20"/>
          <w:lang w:val="en-US"/>
        </w:rPr>
        <w:t xml:space="preserve">Vultures in Courts: Why the UNCTAD Principles on Responsible Financing Cannot Stop Litigation </w:t>
      </w:r>
      <w:r w:rsidRPr="00E72418">
        <w:rPr>
          <w:szCs w:val="20"/>
        </w:rPr>
        <w:t xml:space="preserve">», </w:t>
      </w:r>
      <w:r w:rsidRPr="00E72418">
        <w:rPr>
          <w:i/>
          <w:szCs w:val="20"/>
        </w:rPr>
        <w:t>op. cit.</w:t>
      </w:r>
      <w:r w:rsidRPr="00E72418">
        <w:rPr>
          <w:szCs w:val="20"/>
        </w:rPr>
        <w:t xml:space="preserve">, p. 858. L’auteur faisait précisément référence à la proposition de loi française n° 131 de 2007, à la loi belge du 8 avril 2008, à la proposition étatsunienne H.R. 2932 de 2009 et au </w:t>
      </w:r>
      <w:r w:rsidRPr="00E72418">
        <w:rPr>
          <w:i/>
          <w:szCs w:val="20"/>
        </w:rPr>
        <w:t>Debt Relief (Developing Countries) Act</w:t>
      </w:r>
      <w:r w:rsidRPr="00E72418">
        <w:rPr>
          <w:szCs w:val="20"/>
        </w:rPr>
        <w:t xml:space="preserve"> britannique de 2010.</w:t>
      </w:r>
    </w:p>
  </w:footnote>
  <w:footnote w:id="1988">
    <w:p w14:paraId="10AA70A7" w14:textId="125837C4" w:rsidR="0030147D" w:rsidRPr="00E72418" w:rsidRDefault="0030147D" w:rsidP="00AD2A2F">
      <w:pPr>
        <w:pStyle w:val="Sansinterligne"/>
      </w:pPr>
      <w:r w:rsidRPr="00E72418">
        <w:rPr>
          <w:rStyle w:val="Appelnotedebasdep"/>
        </w:rPr>
        <w:footnoteRef/>
      </w:r>
      <w:r w:rsidRPr="00E72418">
        <w:t xml:space="preserve"> </w:t>
      </w:r>
      <w:r w:rsidRPr="00E72418">
        <w:rPr>
          <w:rFonts w:cs="Times New Roman"/>
        </w:rPr>
        <w:t xml:space="preserve">Voyez </w:t>
      </w:r>
      <w:r w:rsidRPr="00E72418">
        <w:rPr>
          <w:smallCaps/>
        </w:rPr>
        <w:t>C. Lequesne-Roth</w:t>
      </w:r>
      <w:r w:rsidRPr="00E72418">
        <w:t>, « La fin des “vautours”? Retour sur le contentieux stratégique des dettes souveraines »,</w:t>
      </w:r>
      <w:r w:rsidRPr="00E72418">
        <w:rPr>
          <w:i/>
          <w:szCs w:val="20"/>
        </w:rPr>
        <w:t xml:space="preserve"> op. cit.</w:t>
      </w:r>
      <w:r w:rsidRPr="00E72418">
        <w:t>, p. 360 qui souligne également la création d’un précédent.</w:t>
      </w:r>
    </w:p>
  </w:footnote>
  <w:footnote w:id="1989">
    <w:p w14:paraId="201D69D5" w14:textId="422EF5EF" w:rsidR="0030147D" w:rsidRPr="00E72418" w:rsidRDefault="0030147D" w:rsidP="001614B7">
      <w:pPr>
        <w:pStyle w:val="Sansinterligne"/>
      </w:pPr>
      <w:r w:rsidRPr="00E72418">
        <w:rPr>
          <w:rStyle w:val="Appelnotedebasdep"/>
        </w:rPr>
        <w:footnoteRef/>
      </w:r>
      <w:r w:rsidRPr="00E72418">
        <w:t xml:space="preserve"> Voyez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xml:space="preserve">, p. 95 : « </w:t>
      </w:r>
      <w:r w:rsidRPr="00E72418">
        <w:rPr>
          <w:rFonts w:ascii="Times New Roman" w:hAnsi="Times New Roman" w:cs="Times New Roman"/>
          <w:szCs w:val="24"/>
        </w:rPr>
        <w:t xml:space="preserve">[t]he concept of </w:t>
      </w:r>
      <w:r w:rsidRPr="00E72418">
        <w:rPr>
          <w:szCs w:val="20"/>
          <w:lang w:val="en-US"/>
        </w:rPr>
        <w:t>“public interest”, extensively construed by the ECtHR, may extend to the goal of assisting distressed States – a concern shared by the whole international community</w:t>
      </w:r>
      <w:r w:rsidRPr="00E72418">
        <w:t xml:space="preserve"> ». Voyez également </w:t>
      </w:r>
      <w:r w:rsidRPr="00E72418">
        <w:rPr>
          <w:i/>
        </w:rPr>
        <w:t>supra</w:t>
      </w:r>
      <w:r w:rsidRPr="00E72418">
        <w:t xml:space="preserve"> n° 382.</w:t>
      </w:r>
    </w:p>
  </w:footnote>
  <w:footnote w:id="1990">
    <w:p w14:paraId="0826ABAF" w14:textId="56AF1B49" w:rsidR="0030147D" w:rsidRPr="00E72418" w:rsidRDefault="0030147D" w:rsidP="00C252E8">
      <w:pPr>
        <w:pStyle w:val="Sansinterligne"/>
      </w:pPr>
      <w:r w:rsidRPr="00E72418">
        <w:rPr>
          <w:rStyle w:val="Appelnotedebasdep"/>
        </w:rPr>
        <w:footnoteRef/>
      </w:r>
      <w:r w:rsidRPr="00E72418">
        <w:t xml:space="preserve"> Voyez</w:t>
      </w:r>
      <w:r>
        <w:t>,</w:t>
      </w:r>
      <w:r w:rsidRPr="00E72418">
        <w:t xml:space="preserve"> par exemple</w:t>
      </w:r>
      <w:r>
        <w:t>,</w:t>
      </w:r>
      <w:r w:rsidRPr="00E72418">
        <w:t xml:space="preserve"> le déclencheur que fut l’affaire </w:t>
      </w:r>
      <w:r w:rsidRPr="00E72418">
        <w:rPr>
          <w:i/>
        </w:rPr>
        <w:t>Donegal International Ltd. v. Republic of Zambia</w:t>
      </w:r>
      <w:r w:rsidRPr="00E72418">
        <w:t xml:space="preserve"> au Royaume-Uni (</w:t>
      </w:r>
      <w:r w:rsidRPr="00E72418">
        <w:rPr>
          <w:i/>
        </w:rPr>
        <w:t>supra</w:t>
      </w:r>
      <w:r w:rsidRPr="00E72418">
        <w:t xml:space="preserve"> n° 305).</w:t>
      </w:r>
    </w:p>
  </w:footnote>
  <w:footnote w:id="1991">
    <w:p w14:paraId="596B5284" w14:textId="7DDC6B25" w:rsidR="0030147D" w:rsidRPr="00E72418" w:rsidRDefault="0030147D" w:rsidP="00C252E8">
      <w:pPr>
        <w:pStyle w:val="Sansinterligne"/>
      </w:pPr>
      <w:r w:rsidRPr="00E72418">
        <w:rPr>
          <w:rStyle w:val="Appelnotedebasdep"/>
        </w:rPr>
        <w:footnoteRef/>
      </w:r>
      <w:r w:rsidRPr="00E72418">
        <w:t xml:space="preserve"> L’on peut ainsi par exemple relever la rapidité du processus législatif belge faisant regretter à certains la pauvreté d’élaboration de la loi (voyez </w:t>
      </w:r>
      <w:r w:rsidRPr="00E72418">
        <w:rPr>
          <w:i/>
        </w:rPr>
        <w:t>supra</w:t>
      </w:r>
      <w:r w:rsidRPr="00E72418">
        <w:t xml:space="preserve"> n° 333). </w:t>
      </w:r>
    </w:p>
  </w:footnote>
  <w:footnote w:id="1992">
    <w:p w14:paraId="143888A1" w14:textId="0DCB65D6" w:rsidR="0030147D" w:rsidRPr="00E72418" w:rsidRDefault="0030147D" w:rsidP="00A00CBA">
      <w:pPr>
        <w:pStyle w:val="Sansinterligne"/>
      </w:pPr>
      <w:r w:rsidRPr="00E72418">
        <w:rPr>
          <w:rStyle w:val="Appelnotedebasdep"/>
        </w:rPr>
        <w:footnoteRef/>
      </w:r>
      <w:r w:rsidRPr="00E72418">
        <w:rPr>
          <w:vertAlign w:val="superscript"/>
        </w:rPr>
        <w:t xml:space="preserve"> </w:t>
      </w:r>
      <w:r w:rsidRPr="00E72418">
        <w:t xml:space="preserve">Fonds monétaire international, </w:t>
      </w:r>
      <w:r w:rsidRPr="00E72418">
        <w:rPr>
          <w:i/>
        </w:rPr>
        <w:t>The international architecture for resolving sovereign debt involving private-sector creditors – Recent developments, challenges, and reform options</w:t>
      </w:r>
      <w:r w:rsidRPr="00E72418">
        <w:t xml:space="preserve">, 23 septembre 2020, p. 2. Certains auteurs comme Daniel Brutti critiquent la mise à mal des </w:t>
      </w:r>
      <w:r w:rsidRPr="00E72418">
        <w:rPr>
          <w:rFonts w:cs="Times New Roman"/>
          <w:szCs w:val="24"/>
        </w:rPr>
        <w:t>qualités et effets bénéfiques des activités spéculatives</w:t>
      </w:r>
      <w:r w:rsidRPr="00E72418">
        <w:t xml:space="preserve"> sur les dettes souveraines (</w:t>
      </w:r>
      <w:r w:rsidRPr="00E72418">
        <w:rPr>
          <w:szCs w:val="20"/>
        </w:rPr>
        <w:t xml:space="preserve">D. </w:t>
      </w:r>
      <w:r w:rsidRPr="00E72418">
        <w:rPr>
          <w:smallCaps/>
          <w:szCs w:val="20"/>
        </w:rPr>
        <w:t xml:space="preserve">Brutti, </w:t>
      </w:r>
      <w:r w:rsidRPr="00E72418">
        <w:rPr>
          <w:szCs w:val="20"/>
        </w:rPr>
        <w:t xml:space="preserve">« Sovereign debt crises and vulture hedge funds: issues and policy solutions », </w:t>
      </w:r>
      <w:r w:rsidRPr="00E72418">
        <w:rPr>
          <w:i/>
          <w:szCs w:val="20"/>
        </w:rPr>
        <w:t>op. cit.</w:t>
      </w:r>
      <w:r w:rsidRPr="00E72418">
        <w:rPr>
          <w:szCs w:val="20"/>
        </w:rPr>
        <w:t xml:space="preserve">, p. 1851 : « these laws likely go too far in eliminating the liquidity, information, and moral hazard check provided by vultures »). Sur ces </w:t>
      </w:r>
      <w:r w:rsidRPr="00E72418">
        <w:rPr>
          <w:rFonts w:cs="Times New Roman"/>
          <w:szCs w:val="24"/>
        </w:rPr>
        <w:t xml:space="preserve">qualités et effets bénéfiques, voyez </w:t>
      </w:r>
      <w:r w:rsidRPr="00E72418">
        <w:rPr>
          <w:rFonts w:cs="Times New Roman"/>
          <w:i/>
          <w:szCs w:val="24"/>
        </w:rPr>
        <w:t>supra</w:t>
      </w:r>
      <w:r w:rsidRPr="00E72418">
        <w:rPr>
          <w:rFonts w:cs="Times New Roman"/>
          <w:szCs w:val="24"/>
        </w:rPr>
        <w:t xml:space="preserve"> n</w:t>
      </w:r>
      <w:r w:rsidRPr="00E72418">
        <w:rPr>
          <w:rFonts w:cs="Times New Roman"/>
          <w:szCs w:val="24"/>
          <w:vertAlign w:val="superscript"/>
        </w:rPr>
        <w:t>os</w:t>
      </w:r>
      <w:r w:rsidRPr="00E72418">
        <w:rPr>
          <w:rFonts w:cs="Times New Roman"/>
          <w:szCs w:val="24"/>
        </w:rPr>
        <w:t xml:space="preserve"> 157 et suiv.</w:t>
      </w:r>
    </w:p>
  </w:footnote>
  <w:footnote w:id="1993">
    <w:p w14:paraId="54FF3CC2" w14:textId="640BD461" w:rsidR="0030147D" w:rsidRPr="00E72418" w:rsidRDefault="0030147D" w:rsidP="00826548">
      <w:pPr>
        <w:pStyle w:val="Sansinterligne"/>
      </w:pPr>
      <w:r w:rsidRPr="00E72418">
        <w:rPr>
          <w:rStyle w:val="Appelnotedebasdep"/>
        </w:rPr>
        <w:footnoteRef/>
      </w:r>
      <w:r w:rsidRPr="00E72418">
        <w:t xml:space="preserve"> A. </w:t>
      </w:r>
      <w:r w:rsidRPr="00E72418">
        <w:rPr>
          <w:smallCaps/>
        </w:rPr>
        <w:t>Autenne</w:t>
      </w:r>
      <w:r w:rsidRPr="00E72418">
        <w:t xml:space="preserve">, « Dette souveraine et vautours : La Belgique donne le ton », </w:t>
      </w:r>
      <w:r w:rsidRPr="00E72418">
        <w:rPr>
          <w:i/>
        </w:rPr>
        <w:t>op. cit.</w:t>
      </w:r>
    </w:p>
  </w:footnote>
  <w:footnote w:id="1994">
    <w:p w14:paraId="2B50278D" w14:textId="255935D3" w:rsidR="0030147D" w:rsidRPr="00E72418" w:rsidRDefault="0030147D" w:rsidP="00507B7F">
      <w:pPr>
        <w:pStyle w:val="Sansinterligne"/>
      </w:pPr>
      <w:r w:rsidRPr="00E72418">
        <w:rPr>
          <w:rStyle w:val="Appelnotedebasdep"/>
        </w:rPr>
        <w:footnoteRef/>
      </w:r>
      <w:r w:rsidRPr="00E72418">
        <w:t xml:space="preserve"> Cette volonté d’équipement ne revient pas à dire que les juges sont confrontés à un </w:t>
      </w:r>
      <w:r w:rsidRPr="00E72418">
        <w:rPr>
          <w:i/>
        </w:rPr>
        <w:t>non liquet</w:t>
      </w:r>
      <w:r w:rsidRPr="00E72418">
        <w:t xml:space="preserve"> mais plutôt que les règles qu’ils sont amenés à mobiliser, singulièrement celles tirées du droit des contrats, ne permettent pas d’apprécier toutes les nuances qu’appellent les contentieux judiciaires en lien avec des dettes souveraines.</w:t>
      </w:r>
    </w:p>
  </w:footnote>
  <w:footnote w:id="1995">
    <w:p w14:paraId="497F509A" w14:textId="2691DBAA" w:rsidR="0030147D" w:rsidRPr="00E72418" w:rsidRDefault="0030147D" w:rsidP="00826548">
      <w:pPr>
        <w:pStyle w:val="Sansinterligne"/>
      </w:pPr>
      <w:r w:rsidRPr="00E72418">
        <w:rPr>
          <w:rStyle w:val="Appelnotedebasdep"/>
        </w:rPr>
        <w:footnoteRef/>
      </w:r>
      <w:r w:rsidRPr="00E72418">
        <w:t xml:space="preserve"> Voyez L. </w:t>
      </w:r>
      <w:r w:rsidRPr="00E72418">
        <w:rPr>
          <w:rFonts w:eastAsia="Times New Roman"/>
          <w:smallCaps/>
          <w:lang w:eastAsia="fr-BE"/>
        </w:rPr>
        <w:t>Buchheit, « </w:t>
      </w:r>
      <w:r w:rsidRPr="00E72418">
        <w:rPr>
          <w:rFonts w:eastAsia="Times New Roman"/>
          <w:lang w:eastAsia="fr-BE"/>
        </w:rPr>
        <w:t>Sovereign Debt in the Light of Eternity »</w:t>
      </w:r>
      <w:r w:rsidRPr="00E72418">
        <w:rPr>
          <w:rFonts w:eastAsia="Times New Roman"/>
          <w:smallCaps/>
          <w:lang w:eastAsia="fr-BE"/>
        </w:rPr>
        <w:t xml:space="preserve">, </w:t>
      </w:r>
      <w:r w:rsidRPr="00E72418">
        <w:rPr>
          <w:rFonts w:cs="Times New Roman"/>
          <w:i/>
          <w:szCs w:val="24"/>
          <w:lang w:val="en-US"/>
        </w:rPr>
        <w:t>op. cit.</w:t>
      </w:r>
      <w:r w:rsidRPr="00E72418">
        <w:t xml:space="preserve">, p. 466 : </w:t>
      </w:r>
      <w:r w:rsidRPr="00E72418">
        <w:rPr>
          <w:rFonts w:eastAsia="Times New Roman"/>
          <w:smallCaps/>
          <w:lang w:eastAsia="fr-BE"/>
        </w:rPr>
        <w:t>« </w:t>
      </w:r>
      <w:r w:rsidRPr="00E72418">
        <w:t>[j]udges, powerful as they may be within the four walls of their own courtrooms, are ill-equipped and ill-positioned to decide how the discomfort of financial crisis should be apportioned among the citizens of the debtor country and the various classes of its creditos [; they] can only hand down judgments saying that, as a matter of law, the sovereign is bound to pay ».</w:t>
      </w:r>
      <w:r w:rsidRPr="00E72418">
        <w:rPr>
          <w:rFonts w:eastAsia="Times New Roman"/>
          <w:smallCaps/>
          <w:lang w:eastAsia="fr-BE"/>
        </w:rPr>
        <w:t xml:space="preserve"> </w:t>
      </w:r>
    </w:p>
  </w:footnote>
  <w:footnote w:id="1996">
    <w:p w14:paraId="57DE3B37" w14:textId="7129EB52" w:rsidR="0030147D" w:rsidRPr="00E72418" w:rsidRDefault="0030147D" w:rsidP="004106B1">
      <w:pPr>
        <w:pStyle w:val="Sansinterligne"/>
        <w:rPr>
          <w:szCs w:val="20"/>
          <w:lang w:val="en-US"/>
        </w:rPr>
      </w:pPr>
      <w:r w:rsidRPr="00E72418">
        <w:rPr>
          <w:rStyle w:val="Appelnotedebasdep"/>
          <w:szCs w:val="20"/>
        </w:rPr>
        <w:footnoteRef/>
      </w:r>
      <w:r w:rsidRPr="00E72418">
        <w:rPr>
          <w:szCs w:val="20"/>
        </w:rPr>
        <w:t xml:space="preserve"> Sur cette préoccupation,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144 et suiv. Le fait que la question de la nécessité de limiter les opérations des fonds spéculatifs ait été mise à l’agenda d’organes des Nations Unies en raison de leur impact sur le développement et sur les droits de l’homme est, comme le note Julieta Rossi, important. </w:t>
      </w:r>
      <w:r w:rsidRPr="00E72418">
        <w:rPr>
          <w:szCs w:val="20"/>
          <w:lang w:val="en-US"/>
        </w:rPr>
        <w:t>Pour l’auteure, cela « reveals a transnational consensus “under construction” on the need to impose (certain) limits on the “deregulated” functioning of the world economy and financial capitalism » (</w:t>
      </w:r>
      <w:r w:rsidRPr="00E72418">
        <w:rPr>
          <w:smallCaps/>
          <w:szCs w:val="20"/>
          <w:lang w:val="en-US"/>
        </w:rPr>
        <w:t>J. Rossi</w:t>
      </w:r>
      <w:r w:rsidRPr="00E72418">
        <w:rPr>
          <w:szCs w:val="20"/>
          <w:lang w:val="en-US"/>
        </w:rPr>
        <w:t xml:space="preserve">, « Sovereign Debt Restructuring, National Development and Human Rights », </w:t>
      </w:r>
      <w:r w:rsidRPr="00E72418">
        <w:rPr>
          <w:i/>
          <w:szCs w:val="20"/>
          <w:lang w:val="en-US"/>
        </w:rPr>
        <w:t>op. cit.</w:t>
      </w:r>
      <w:r w:rsidRPr="00E72418">
        <w:rPr>
          <w:szCs w:val="20"/>
          <w:lang w:val="en-US"/>
        </w:rPr>
        <w:t>, p. 192).</w:t>
      </w:r>
    </w:p>
  </w:footnote>
  <w:footnote w:id="1997">
    <w:p w14:paraId="039285B3" w14:textId="1EA4C773"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rStyle w:val="Titre1Car"/>
          <w:rFonts w:ascii="Times" w:eastAsiaTheme="minorHAnsi" w:hAnsi="Times" w:cstheme="minorBidi"/>
          <w:color w:val="auto"/>
          <w:sz w:val="20"/>
          <w:szCs w:val="20"/>
        </w:rPr>
        <w:t xml:space="preserve">Conseil des droits de l’homme des Nations Unies, </w:t>
      </w:r>
      <w:r w:rsidRPr="00E72418">
        <w:rPr>
          <w:i/>
          <w:szCs w:val="20"/>
        </w:rPr>
        <w:t>Effets de la dette extérieure et des obligations financières internationales connexes des États sur le plein exercice de tous les droits de l’homme, en particulier des droits économiques, sociaux et culturels : activités des fonds rapaces</w:t>
      </w:r>
      <w:r w:rsidRPr="00E72418">
        <w:rPr>
          <w:rStyle w:val="Titre1Car"/>
          <w:rFonts w:ascii="Times" w:eastAsiaTheme="minorHAnsi" w:hAnsi="Times" w:cstheme="minorBidi"/>
          <w:color w:val="auto"/>
          <w:sz w:val="20"/>
          <w:szCs w:val="20"/>
        </w:rPr>
        <w:t>, A/HRC/RES/</w:t>
      </w:r>
      <w:r w:rsidR="00410AA1">
        <w:rPr>
          <w:rStyle w:val="Titre1Car"/>
          <w:rFonts w:ascii="Times" w:eastAsiaTheme="minorHAnsi" w:hAnsi="Times" w:cstheme="minorBidi"/>
          <w:color w:val="auto"/>
          <w:sz w:val="20"/>
          <w:szCs w:val="20"/>
        </w:rPr>
        <w:t>27/30, 26 septembre 2014, p. 3.</w:t>
      </w:r>
    </w:p>
  </w:footnote>
  <w:footnote w:id="1998">
    <w:p w14:paraId="03C7F4EB" w14:textId="2506D4D7" w:rsidR="0030147D" w:rsidRPr="00E72418" w:rsidRDefault="0030147D" w:rsidP="004A358F">
      <w:pPr>
        <w:pStyle w:val="Sansinterligne"/>
      </w:pPr>
      <w:r w:rsidRPr="00E72418">
        <w:rPr>
          <w:rStyle w:val="Appelnotedebasdep"/>
        </w:rPr>
        <w:footnoteRef/>
      </w:r>
      <w:r w:rsidRPr="00E72418">
        <w:t xml:space="preserve"> Le Conseil remarque plus largement que les activités des fonds spéculatifs mettent en évidence certains des problèmes du système financier mondial et témoignent du caractère injuste du système tel qu’il existe, lequel porte directement atteinte à l’exercice des droits de l’homme dans les </w:t>
      </w:r>
      <w:r w:rsidRPr="00E72418">
        <w:rPr>
          <w:lang w:eastAsia="fr-BE"/>
        </w:rPr>
        <w:t>É</w:t>
      </w:r>
      <w:r w:rsidRPr="00E72418">
        <w:t xml:space="preserve">tats débiteurs (Conseil des droits de l’homme des Nations Unies, </w:t>
      </w:r>
      <w:r w:rsidRPr="00E72418">
        <w:rPr>
          <w:i/>
        </w:rPr>
        <w:t>Effets de la dette extérieure et des obligations financières internationales connexes des États sur le plein exercice de tous les droits de l’homme, en particulier des droits économiques, sociaux et culturels : activités des fonds rapaces</w:t>
      </w:r>
      <w:r w:rsidRPr="00E72418">
        <w:t xml:space="preserve">, 26 septembre 2014, A/HRC/RES/27/30, p. 3. Cette remarque sera faite à de nombreuses reprises, voyez ainsi encore notamment Conseil des droits de l’homme des Nations Unies, </w:t>
      </w:r>
      <w:r w:rsidRPr="00E72418">
        <w:rPr>
          <w:i/>
        </w:rPr>
        <w:t>Mandat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t>, 23 mars 2017, A/HRC/RES/34/3, p. 3). Si cette large préoccupation doit être soulignée, notre modeste ambition se limite à proposer une réponse aux seules questions posées par les activités des fonds spéculatifs.</w:t>
      </w:r>
    </w:p>
  </w:footnote>
  <w:footnote w:id="1999">
    <w:p w14:paraId="271FD9E7" w14:textId="4889F753" w:rsidR="0030147D" w:rsidRPr="00E72418" w:rsidRDefault="0030147D" w:rsidP="004106B1">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Conférence des Nations Unies sur le commerce et le développement, </w:t>
      </w:r>
      <w:r w:rsidRPr="00E72418">
        <w:rPr>
          <w:i/>
          <w:szCs w:val="20"/>
        </w:rPr>
        <w:t>Roadmap and Guide on Sovereign Debt Workouts</w:t>
      </w:r>
      <w:r w:rsidRPr="00E72418">
        <w:rPr>
          <w:szCs w:val="20"/>
        </w:rPr>
        <w:t xml:space="preserve">, </w:t>
      </w:r>
      <w:r w:rsidRPr="00E72418">
        <w:rPr>
          <w:i/>
          <w:szCs w:val="20"/>
        </w:rPr>
        <w:t>op. cit.</w:t>
      </w:r>
      <w:r w:rsidRPr="00E72418">
        <w:rPr>
          <w:szCs w:val="20"/>
        </w:rPr>
        <w:t xml:space="preserve">, p. 60. </w:t>
      </w:r>
      <w:r w:rsidRPr="00E72418">
        <w:rPr>
          <w:szCs w:val="20"/>
          <w:lang w:val="en-US"/>
        </w:rPr>
        <w:t>La Conférence poursuit en indiquant que « [s]uch legislation should protect the outcomes of negotiated debt workouts respecting good faith ».</w:t>
      </w:r>
    </w:p>
  </w:footnote>
  <w:footnote w:id="2000">
    <w:p w14:paraId="0BF73D66" w14:textId="779B63C0"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21.</w:t>
      </w:r>
    </w:p>
  </w:footnote>
  <w:footnote w:id="2001">
    <w:p w14:paraId="26FB3AA9" w14:textId="7E06998A"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Assemblée générale des Nations Unies, </w:t>
      </w:r>
      <w:r w:rsidRPr="00E72418">
        <w:rPr>
          <w:i/>
          <w:szCs w:val="20"/>
        </w:rPr>
        <w:t>Programme d’action d’Addis-Abeba issu de la troisième Conférence internationale sur le financement du développement (programme d’action d’Addis-Abeba)</w:t>
      </w:r>
      <w:r w:rsidRPr="00E72418">
        <w:rPr>
          <w:szCs w:val="20"/>
        </w:rPr>
        <w:t>, A/RES/69/313, 17 août 2015, pp. 32 et 33.</w:t>
      </w:r>
    </w:p>
  </w:footnote>
  <w:footnote w:id="2002">
    <w:p w14:paraId="0F063F9D" w14:textId="407CB858"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pp. 18 et 20. Voyez également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Rapport du Comité consultatif du Conseil des droits de l’homme sur les activités des fonds vautours et leurs incidences sur les droits de l’homme</w:t>
      </w:r>
      <w:r w:rsidRPr="00E72418">
        <w:rPr>
          <w:rFonts w:ascii="Times New Roman" w:hAnsi="Times New Roman" w:cs="Times New Roman"/>
          <w:szCs w:val="24"/>
        </w:rPr>
        <w:t>, 20 juillet 2016, A/HRC/33/54</w:t>
      </w:r>
      <w:r w:rsidRPr="00E72418">
        <w:rPr>
          <w:szCs w:val="20"/>
        </w:rPr>
        <w:t>, pp. 21 et 23.</w:t>
      </w:r>
    </w:p>
  </w:footnote>
  <w:footnote w:id="2003">
    <w:p w14:paraId="75F072D4" w14:textId="3F01FAF0" w:rsidR="0030147D" w:rsidRPr="00E72418" w:rsidRDefault="0030147D" w:rsidP="00801C3E">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20. Nous ne comprenons pas l’absence de renvoi à la loi française qui, peut-être, procède d’un oubli</w:t>
      </w:r>
      <w:r>
        <w:t>,</w:t>
      </w:r>
      <w:r w:rsidRPr="00E72418">
        <w:t xml:space="preserve"> à moins qu’elle se justifie par la critique que fait le Comité de sa temporalité (</w:t>
      </w:r>
      <w:r w:rsidRPr="00E72418">
        <w:rPr>
          <w:i/>
        </w:rPr>
        <w:t>ibid.</w:t>
      </w:r>
      <w:r w:rsidRPr="00E72418">
        <w:t>, p. 12 : « </w:t>
      </w:r>
      <w:r w:rsidRPr="00E72418">
        <w:rPr>
          <w:szCs w:val="20"/>
          <w:lang w:val="en-US"/>
        </w:rPr>
        <w:t xml:space="preserve">[d]ans la mesure où cette loi française constitue un pas en avant dans la lutte contre les activités des fonds vautours, il est regrettable qu’elle ne s’applique pas aux titres de dette acquis avant son entrée en vigueur </w:t>
      </w:r>
      <w:r w:rsidRPr="00E72418">
        <w:t xml:space="preserve">». Sur cette limitation temporelle, voyez </w:t>
      </w:r>
      <w:r w:rsidRPr="00E72418">
        <w:rPr>
          <w:i/>
        </w:rPr>
        <w:t>supra</w:t>
      </w:r>
      <w:r w:rsidRPr="00E72418">
        <w:t xml:space="preserve"> n° 374).</w:t>
      </w:r>
    </w:p>
  </w:footnote>
  <w:footnote w:id="2004">
    <w:p w14:paraId="4758F19A" w14:textId="21EB1767" w:rsidR="0030147D" w:rsidRPr="00E72418" w:rsidRDefault="0030147D" w:rsidP="002B685E">
      <w:pPr>
        <w:pStyle w:val="Sansinterligne"/>
      </w:pPr>
      <w:r w:rsidRPr="00E72418">
        <w:rPr>
          <w:rStyle w:val="Appelnotedebasdep"/>
        </w:rPr>
        <w:footnoteRef/>
      </w:r>
      <w:r w:rsidRPr="00E72418">
        <w:t xml:space="preserve"> Le fait que les deux lois soient mises en avant alors que leur logique est très différente rend leur simple duplication impossible et convainc encore davantage de l’opportunité de proposer une nouvelle solution.</w:t>
      </w:r>
    </w:p>
  </w:footnote>
  <w:footnote w:id="2005">
    <w:p w14:paraId="33415208" w14:textId="77777777" w:rsidR="0030147D" w:rsidRPr="00E72418" w:rsidRDefault="0030147D" w:rsidP="00A55A97">
      <w:pPr>
        <w:pStyle w:val="Sansinterligne"/>
      </w:pPr>
      <w:r w:rsidRPr="00E72418">
        <w:rPr>
          <w:rStyle w:val="Appelnotedebasdep"/>
        </w:rPr>
        <w:footnoteRef/>
      </w:r>
      <w:r w:rsidRPr="00E72418">
        <w:t xml:space="preserve"> Fonds monétaire international, </w:t>
      </w:r>
      <w:r w:rsidRPr="00E72418">
        <w:rPr>
          <w:i/>
        </w:rPr>
        <w:t>The international architecture for resolving sovereign debt involving private-sector creditors – Recent developments, challenges, and reform options</w:t>
      </w:r>
      <w:r w:rsidRPr="00E72418">
        <w:t>, 23 septembre 2020, p. 47.</w:t>
      </w:r>
    </w:p>
  </w:footnote>
  <w:footnote w:id="2006">
    <w:p w14:paraId="3F8F9070" w14:textId="77777777"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Assemblée parlementaire du Conseil de l’Europe, </w:t>
      </w:r>
      <w:r w:rsidRPr="00E72418">
        <w:rPr>
          <w:i/>
          <w:szCs w:val="20"/>
        </w:rPr>
        <w:t>Recommandation sur la protection de l’aide financière des États membres du Conseil de l’Europe aux pays pauvres contre les fonds financiers dits « fonds vautours »</w:t>
      </w:r>
      <w:r w:rsidRPr="00E72418">
        <w:rPr>
          <w:szCs w:val="20"/>
        </w:rPr>
        <w:t>, 29 mai 2009, 1870 (2009).</w:t>
      </w:r>
    </w:p>
  </w:footnote>
  <w:footnote w:id="2007">
    <w:p w14:paraId="01A4E8F1" w14:textId="598B98B5"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i/>
          <w:szCs w:val="20"/>
        </w:rPr>
        <w:t>Ibid.</w:t>
      </w:r>
      <w:r w:rsidRPr="00E72418">
        <w:rPr>
          <w:szCs w:val="20"/>
        </w:rPr>
        <w:t>, point 9.1.</w:t>
      </w:r>
    </w:p>
  </w:footnote>
  <w:footnote w:id="2008">
    <w:p w14:paraId="2E890745" w14:textId="046B237F"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rStyle w:val="Titre1Car"/>
          <w:rFonts w:ascii="Times" w:eastAsiaTheme="minorHAnsi" w:hAnsi="Times" w:cstheme="minorBidi"/>
          <w:color w:val="auto"/>
          <w:sz w:val="20"/>
          <w:szCs w:val="20"/>
        </w:rPr>
        <w:t xml:space="preserve">Parlement européen, </w:t>
      </w:r>
      <w:r w:rsidRPr="00E72418">
        <w:rPr>
          <w:i/>
          <w:szCs w:val="20"/>
        </w:rPr>
        <w:t>Résolution</w:t>
      </w:r>
      <w:r w:rsidRPr="00E72418">
        <w:rPr>
          <w:rStyle w:val="Titre1Car"/>
          <w:rFonts w:ascii="Times" w:eastAsiaTheme="minorHAnsi" w:hAnsi="Times" w:cstheme="minorBidi"/>
          <w:i/>
          <w:color w:val="auto"/>
          <w:sz w:val="20"/>
          <w:szCs w:val="20"/>
        </w:rPr>
        <w:t xml:space="preserve"> sur l’amélioration de la viabilité de la dette des pays en développement</w:t>
      </w:r>
      <w:r w:rsidRPr="00E72418">
        <w:rPr>
          <w:rStyle w:val="Titre1Car"/>
          <w:rFonts w:ascii="Times" w:eastAsiaTheme="minorHAnsi" w:hAnsi="Times" w:cstheme="minorBidi"/>
          <w:color w:val="auto"/>
          <w:sz w:val="20"/>
          <w:szCs w:val="20"/>
        </w:rPr>
        <w:t xml:space="preserve">, </w:t>
      </w:r>
      <w:r w:rsidRPr="00E72418">
        <w:rPr>
          <w:rStyle w:val="Titre5Car"/>
          <w:rFonts w:ascii="Times" w:eastAsiaTheme="minorHAnsi" w:hAnsi="Times" w:cstheme="minorBidi"/>
          <w:color w:val="auto"/>
          <w:szCs w:val="20"/>
        </w:rPr>
        <w:t xml:space="preserve">17 avril 2018, </w:t>
      </w:r>
      <w:r w:rsidRPr="00E72418">
        <w:rPr>
          <w:rStyle w:val="Titre1Car"/>
          <w:rFonts w:ascii="Times" w:eastAsiaTheme="minorHAnsi" w:hAnsi="Times" w:cstheme="minorBidi"/>
          <w:color w:val="auto"/>
          <w:sz w:val="20"/>
          <w:szCs w:val="20"/>
        </w:rPr>
        <w:t xml:space="preserve">2016/2241(INI), point 37. Sur la législation belge visée, voyez </w:t>
      </w:r>
      <w:r w:rsidRPr="00E72418">
        <w:rPr>
          <w:rStyle w:val="Titre1Car"/>
          <w:rFonts w:ascii="Times" w:eastAsiaTheme="minorHAnsi" w:hAnsi="Times" w:cstheme="minorBidi"/>
          <w:i/>
          <w:color w:val="auto"/>
          <w:sz w:val="20"/>
          <w:szCs w:val="20"/>
        </w:rPr>
        <w:t>supra</w:t>
      </w:r>
      <w:r w:rsidRPr="00E72418">
        <w:rPr>
          <w:rStyle w:val="Titre1Car"/>
          <w:rFonts w:ascii="Times" w:eastAsiaTheme="minorHAnsi" w:hAnsi="Times" w:cstheme="minorBidi"/>
          <w:color w:val="auto"/>
          <w:sz w:val="20"/>
          <w:szCs w:val="20"/>
        </w:rPr>
        <w:t xml:space="preserve"> n</w:t>
      </w:r>
      <w:r w:rsidRPr="00E72418">
        <w:rPr>
          <w:rStyle w:val="Titre1Car"/>
          <w:rFonts w:ascii="Times" w:eastAsiaTheme="minorHAnsi" w:hAnsi="Times" w:cstheme="minorBidi"/>
          <w:color w:val="auto"/>
          <w:sz w:val="20"/>
          <w:szCs w:val="20"/>
          <w:vertAlign w:val="superscript"/>
        </w:rPr>
        <w:t xml:space="preserve">os </w:t>
      </w:r>
      <w:r w:rsidRPr="00E72418">
        <w:rPr>
          <w:rStyle w:val="Titre1Car"/>
          <w:rFonts w:ascii="Times" w:eastAsiaTheme="minorHAnsi" w:hAnsi="Times" w:cstheme="minorBidi"/>
          <w:color w:val="auto"/>
          <w:sz w:val="20"/>
          <w:szCs w:val="20"/>
        </w:rPr>
        <w:t>324 et suiv.</w:t>
      </w:r>
    </w:p>
  </w:footnote>
  <w:footnote w:id="2009">
    <w:p w14:paraId="59E8B1DD" w14:textId="7C477798"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w:t>
      </w:r>
      <w:r w:rsidRPr="00E72418">
        <w:rPr>
          <w:rStyle w:val="Titre1Car"/>
          <w:rFonts w:ascii="Times" w:eastAsiaTheme="minorHAnsi" w:hAnsi="Times" w:cstheme="minorBidi"/>
          <w:i/>
          <w:color w:val="auto"/>
          <w:sz w:val="20"/>
          <w:szCs w:val="20"/>
        </w:rPr>
        <w:t>Ibid.</w:t>
      </w:r>
      <w:r w:rsidRPr="00E72418">
        <w:rPr>
          <w:rStyle w:val="Titre1Car"/>
          <w:rFonts w:ascii="Times" w:eastAsiaTheme="minorHAnsi" w:hAnsi="Times" w:cstheme="minorBidi"/>
          <w:color w:val="auto"/>
          <w:sz w:val="20"/>
          <w:szCs w:val="20"/>
        </w:rPr>
        <w:t xml:space="preserve">, </w:t>
      </w:r>
      <w:r w:rsidRPr="00E72418">
        <w:rPr>
          <w:szCs w:val="20"/>
        </w:rPr>
        <w:t>considérant AC. Le Parlement met plus largement l’accent sur la nécessité de résoudre la crise de la dette d’une manière équitable, rapide et durable à travers la mise en place d’un mécanisme international de restructuration de la dette (</w:t>
      </w:r>
      <w:r w:rsidRPr="00E72418">
        <w:rPr>
          <w:i/>
          <w:szCs w:val="20"/>
        </w:rPr>
        <w:t>ibid.</w:t>
      </w:r>
      <w:r w:rsidRPr="00E72418">
        <w:rPr>
          <w:szCs w:val="20"/>
        </w:rPr>
        <w:t>, paragraphe 32).</w:t>
      </w:r>
    </w:p>
  </w:footnote>
  <w:footnote w:id="2010">
    <w:p w14:paraId="4EFC61C9" w14:textId="75A175AF" w:rsidR="0030147D" w:rsidRPr="00E72418" w:rsidRDefault="0030147D" w:rsidP="004106B1">
      <w:pPr>
        <w:pStyle w:val="Sansinterligne"/>
        <w:rPr>
          <w:szCs w:val="20"/>
        </w:rPr>
      </w:pPr>
      <w:r w:rsidRPr="00E72418">
        <w:rPr>
          <w:rStyle w:val="Titre2Car"/>
          <w:rFonts w:ascii="Times" w:eastAsiaTheme="minorHAnsi" w:hAnsi="Times" w:cstheme="minorBidi"/>
          <w:color w:val="auto"/>
          <w:sz w:val="20"/>
          <w:szCs w:val="20"/>
          <w:vertAlign w:val="superscript"/>
        </w:rPr>
        <w:footnoteRef/>
      </w:r>
      <w:r w:rsidRPr="00E72418">
        <w:rPr>
          <w:szCs w:val="20"/>
        </w:rPr>
        <w:t xml:space="preserve"> Rappelons, entre autres exemples, celui des interventions des associations sans but lucratif </w:t>
      </w:r>
      <w:r w:rsidRPr="00E72418">
        <w:rPr>
          <w:i/>
          <w:szCs w:val="20"/>
        </w:rPr>
        <w:t>CADTM</w:t>
      </w:r>
      <w:r w:rsidRPr="00E72418">
        <w:rPr>
          <w:szCs w:val="20"/>
        </w:rPr>
        <w:t xml:space="preserve">, </w:t>
      </w:r>
      <w:r w:rsidRPr="00E72418">
        <w:rPr>
          <w:i/>
          <w:szCs w:val="20"/>
        </w:rPr>
        <w:t>CNCD-11.11.11</w:t>
      </w:r>
      <w:r w:rsidRPr="00E72418">
        <w:rPr>
          <w:szCs w:val="20"/>
        </w:rPr>
        <w:t xml:space="preserve"> et </w:t>
      </w:r>
      <w:r w:rsidRPr="00E72418">
        <w:rPr>
          <w:i/>
          <w:szCs w:val="20"/>
        </w:rPr>
        <w:t xml:space="preserve">Koepel van de Vlaamse Noord-Zuidbeweging </w:t>
      </w:r>
      <w:r w:rsidRPr="00E72418">
        <w:rPr>
          <w:b/>
          <w:i/>
          <w:szCs w:val="20"/>
        </w:rPr>
        <w:t xml:space="preserve">– </w:t>
      </w:r>
      <w:r w:rsidRPr="00E72418">
        <w:rPr>
          <w:i/>
          <w:szCs w:val="20"/>
        </w:rPr>
        <w:t>11.11.11</w:t>
      </w:r>
      <w:r w:rsidRPr="00E72418">
        <w:rPr>
          <w:szCs w:val="20"/>
        </w:rPr>
        <w:t xml:space="preserve"> lors du recours en annulation introduit par la société </w:t>
      </w:r>
      <w:r w:rsidRPr="00E72418">
        <w:rPr>
          <w:i/>
          <w:szCs w:val="20"/>
        </w:rPr>
        <w:t>NML Capital Ltd.</w:t>
      </w:r>
      <w:r w:rsidRPr="00E72418">
        <w:rPr>
          <w:szCs w:val="20"/>
        </w:rPr>
        <w:t xml:space="preserve"> contre la loi belge du 12 juillet 2015 relative à la lutte contre les activités des fonds vautours (voyez </w:t>
      </w:r>
      <w:r w:rsidRPr="00E72418">
        <w:rPr>
          <w:i/>
          <w:szCs w:val="20"/>
        </w:rPr>
        <w:t>supra</w:t>
      </w:r>
      <w:r w:rsidRPr="00E72418">
        <w:rPr>
          <w:szCs w:val="20"/>
        </w:rPr>
        <w:t xml:space="preserve"> n° 334) ou encore celui de la mobilisation de la coalition </w:t>
      </w:r>
      <w:r w:rsidRPr="00E72418">
        <w:rPr>
          <w:i/>
          <w:szCs w:val="20"/>
        </w:rPr>
        <w:t>Jubilee 2000</w:t>
      </w:r>
      <w:r w:rsidRPr="00E72418">
        <w:rPr>
          <w:szCs w:val="20"/>
        </w:rPr>
        <w:t xml:space="preserve"> et de son rôle lors de l’adoption outre-Manche des législations anti-fonds spéculatifs (voyez </w:t>
      </w:r>
      <w:r w:rsidRPr="00E72418">
        <w:rPr>
          <w:i/>
          <w:szCs w:val="20"/>
        </w:rPr>
        <w:t>supra</w:t>
      </w:r>
      <w:r w:rsidRPr="00E72418">
        <w:rPr>
          <w:szCs w:val="20"/>
        </w:rPr>
        <w:t xml:space="preserve"> n° 41).</w:t>
      </w:r>
    </w:p>
  </w:footnote>
  <w:footnote w:id="2011">
    <w:p w14:paraId="43402CCB" w14:textId="5AB92430" w:rsidR="0030147D" w:rsidRPr="00E72418" w:rsidRDefault="0030147D" w:rsidP="004106B1">
      <w:pPr>
        <w:pStyle w:val="Sansinterligne"/>
        <w:rPr>
          <w:szCs w:val="20"/>
          <w:lang w:val="en-US"/>
        </w:rPr>
      </w:pPr>
      <w:r w:rsidRPr="00E72418">
        <w:rPr>
          <w:rStyle w:val="Titre2Car"/>
          <w:rFonts w:ascii="Times" w:eastAsiaTheme="minorHAnsi" w:hAnsi="Times" w:cstheme="minorBidi"/>
          <w:color w:val="auto"/>
          <w:sz w:val="20"/>
          <w:szCs w:val="20"/>
          <w:vertAlign w:val="superscript"/>
        </w:rPr>
        <w:footnoteRef/>
      </w:r>
      <w:r w:rsidRPr="00E72418">
        <w:rPr>
          <w:szCs w:val="20"/>
          <w:lang w:val="en-US"/>
        </w:rPr>
        <w:t xml:space="preserve"> Par exemple, relevant que les restructurations de dettes souveraines « do not always promote timely, orderly and equitable solutions to sovereign debt crises », Georgios Pavlidis est d’avis que « [t]o promote such solutions, an enterprising approach favours the adoption of “anti-vulture legislation”, </w:t>
      </w:r>
      <w:r w:rsidRPr="00E72418">
        <w:rPr>
          <w:i/>
          <w:szCs w:val="20"/>
          <w:lang w:val="en-US"/>
        </w:rPr>
        <w:t>i.e.</w:t>
      </w:r>
      <w:r w:rsidRPr="00E72418">
        <w:rPr>
          <w:szCs w:val="20"/>
          <w:lang w:val="en-US"/>
        </w:rPr>
        <w:t xml:space="preserve"> domestic law dealing with holdout strategies and “vulture” litigation against a sovereign debtor in financial distress »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xml:space="preserve">, p. 93). Indirectement, Jeremy </w:t>
      </w:r>
      <w:r w:rsidRPr="00E72418">
        <w:t xml:space="preserve">Bulow </w:t>
      </w:r>
      <w:r w:rsidRPr="00E72418">
        <w:rPr>
          <w:i/>
        </w:rPr>
        <w:t>et al.</w:t>
      </w:r>
      <w:r w:rsidRPr="00E72418">
        <w:t xml:space="preserve">, prenant en exemples les lois anti-fonds spéculatifs britannique et belge (voyez </w:t>
      </w:r>
      <w:r w:rsidRPr="00E72418">
        <w:rPr>
          <w:i/>
        </w:rPr>
        <w:t>supra</w:t>
      </w:r>
      <w:r w:rsidRPr="00E72418">
        <w:t xml:space="preserve"> respectivement n</w:t>
      </w:r>
      <w:r w:rsidRPr="00E72418">
        <w:rPr>
          <w:vertAlign w:val="superscript"/>
        </w:rPr>
        <w:t>os</w:t>
      </w:r>
      <w:r w:rsidRPr="00E72418">
        <w:t xml:space="preserve"> 304 et suiv. et n</w:t>
      </w:r>
      <w:r w:rsidRPr="00E72418">
        <w:rPr>
          <w:vertAlign w:val="superscript"/>
        </w:rPr>
        <w:t>os</w:t>
      </w:r>
      <w:r w:rsidRPr="00E72418">
        <w:t xml:space="preserve"> 324 et suiv.), notent que « [l]egal steps in jurisdictions that govern international bonds […] or where payments are processed can contribute to more orderly restructuring by promoting a more level playing field between sovereign debtors and creditors » (J. </w:t>
      </w:r>
      <w:r w:rsidRPr="00E72418">
        <w:rPr>
          <w:smallCaps/>
        </w:rPr>
        <w:t>Bulow</w:t>
      </w:r>
      <w:r w:rsidRPr="00E72418">
        <w:t xml:space="preserve">, C. </w:t>
      </w:r>
      <w:r w:rsidRPr="00E72418">
        <w:rPr>
          <w:smallCaps/>
        </w:rPr>
        <w:t>Reinhart</w:t>
      </w:r>
      <w:r w:rsidRPr="00E72418">
        <w:t xml:space="preserve">, K. </w:t>
      </w:r>
      <w:r w:rsidRPr="00E72418">
        <w:rPr>
          <w:smallCaps/>
        </w:rPr>
        <w:t>Rogoff</w:t>
      </w:r>
      <w:r w:rsidRPr="00E72418">
        <w:t xml:space="preserve"> et C. </w:t>
      </w:r>
      <w:r w:rsidRPr="00E72418">
        <w:rPr>
          <w:smallCaps/>
        </w:rPr>
        <w:t>Trebesch</w:t>
      </w:r>
      <w:r w:rsidRPr="00E72418">
        <w:t xml:space="preserve">, « The Debt Pandemic – New steps are needed to improve sovereign debt workouts », </w:t>
      </w:r>
      <w:r w:rsidRPr="00E72418">
        <w:rPr>
          <w:i/>
        </w:rPr>
        <w:t>op. cit.</w:t>
      </w:r>
      <w:r w:rsidRPr="00E72418">
        <w:t>, pp. 15 et 16).</w:t>
      </w:r>
    </w:p>
  </w:footnote>
  <w:footnote w:id="2012">
    <w:p w14:paraId="69D50E93" w14:textId="33C7B4EA" w:rsidR="0030147D" w:rsidRPr="00E72418" w:rsidRDefault="0030147D" w:rsidP="00646A4C">
      <w:pPr>
        <w:pStyle w:val="Sansinterligne"/>
      </w:pPr>
      <w:r w:rsidRPr="00E72418">
        <w:rPr>
          <w:rStyle w:val="Appelnotedebasdep"/>
        </w:rPr>
        <w:footnoteRef/>
      </w:r>
      <w:r w:rsidRPr="00E72418">
        <w:t xml:space="preserve"> </w:t>
      </w:r>
      <w:r w:rsidRPr="00E72418">
        <w:rPr>
          <w:i/>
        </w:rPr>
        <w:t>The Economist</w:t>
      </w:r>
      <w:r w:rsidRPr="00E72418">
        <w:t xml:space="preserve">, « Many countries need debt relief », 21 novembre 2020, </w:t>
      </w:r>
      <w:r w:rsidRPr="00E72418">
        <w:rPr>
          <w:i/>
        </w:rPr>
        <w:t>op. cit.</w:t>
      </w:r>
    </w:p>
  </w:footnote>
  <w:footnote w:id="2013">
    <w:p w14:paraId="10033A3F" w14:textId="1787173F"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C’est minimalement à notre sens un moyen pour les États légiférant d’assumer leur responsabilité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266 et 267).</w:t>
      </w:r>
    </w:p>
  </w:footnote>
  <w:footnote w:id="2014">
    <w:p w14:paraId="66DE35D6" w14:textId="1D0341EC"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19.</w:t>
      </w:r>
    </w:p>
  </w:footnote>
  <w:footnote w:id="2015">
    <w:p w14:paraId="75C4405C" w14:textId="77777777"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Propos d’Ian Pearson repris in House of Commons, </w:t>
      </w:r>
      <w:r w:rsidRPr="00E72418">
        <w:rPr>
          <w:i/>
          <w:szCs w:val="20"/>
        </w:rPr>
        <w:t>Debt Relief (Developing Countries) Bill</w:t>
      </w:r>
      <w:r w:rsidRPr="00E72418">
        <w:rPr>
          <w:szCs w:val="20"/>
        </w:rPr>
        <w:t>, third reading, 7 avril 2010, vol. 508, colonne 1052.</w:t>
      </w:r>
    </w:p>
  </w:footnote>
  <w:footnote w:id="2016">
    <w:p w14:paraId="04E5FFAA" w14:textId="1EA16A47"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D. Sookun</w:t>
      </w:r>
      <w:r w:rsidRPr="00E72418">
        <w:rPr>
          <w:szCs w:val="20"/>
        </w:rPr>
        <w:t xml:space="preserve">, </w:t>
      </w:r>
      <w:r w:rsidRPr="00E72418">
        <w:rPr>
          <w:i/>
          <w:szCs w:val="20"/>
        </w:rPr>
        <w:t>Stop Vulture Fund Lawsuits: a Handbook</w:t>
      </w:r>
      <w:r w:rsidRPr="00E72418">
        <w:rPr>
          <w:szCs w:val="20"/>
        </w:rPr>
        <w:t xml:space="preserve">, </w:t>
      </w:r>
      <w:r w:rsidRPr="00E72418">
        <w:rPr>
          <w:rFonts w:ascii="Times New Roman" w:hAnsi="Times New Roman" w:cs="Times New Roman"/>
          <w:i/>
          <w:szCs w:val="20"/>
          <w:lang w:val="en-US"/>
        </w:rPr>
        <w:t>op. cit.</w:t>
      </w:r>
      <w:r w:rsidRPr="00E72418">
        <w:rPr>
          <w:szCs w:val="20"/>
        </w:rPr>
        <w:t xml:space="preserve">, p. 106 (notons que la loi belge visée par l’auteur est la loi du 6 avril 2008 et non celle du 12 juillet 2015, lois dont il est respectivement question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328 à 330 et n</w:t>
      </w:r>
      <w:r w:rsidRPr="00E72418">
        <w:rPr>
          <w:szCs w:val="20"/>
          <w:vertAlign w:val="superscript"/>
        </w:rPr>
        <w:t>os</w:t>
      </w:r>
      <w:r w:rsidRPr="00E72418">
        <w:rPr>
          <w:szCs w:val="20"/>
        </w:rPr>
        <w:t xml:space="preserve"> 331 et suiv.). </w:t>
      </w:r>
      <w:r w:rsidRPr="00E72418">
        <w:rPr>
          <w:szCs w:val="20"/>
          <w:lang w:val="en-US"/>
        </w:rPr>
        <w:t xml:space="preserve">Voyez encore notamment </w:t>
      </w:r>
      <w:r w:rsidRPr="00E72418">
        <w:rPr>
          <w:smallCaps/>
          <w:szCs w:val="20"/>
          <w:lang w:val="en-US"/>
        </w:rPr>
        <w:t>E. Beneze</w:t>
      </w:r>
      <w:r w:rsidRPr="00E72418">
        <w:rPr>
          <w:szCs w:val="20"/>
          <w:lang w:val="en-US"/>
        </w:rPr>
        <w:t xml:space="preserve">, « Stopping the Circling Vultures: Restructuring a Solution to Sovereign Debt Profiteering », </w:t>
      </w:r>
      <w:r w:rsidRPr="00E72418">
        <w:rPr>
          <w:i/>
          <w:szCs w:val="20"/>
          <w:lang w:val="en-US"/>
        </w:rPr>
        <w:t>op. cit.</w:t>
      </w:r>
      <w:r w:rsidRPr="00E72418">
        <w:rPr>
          <w:szCs w:val="20"/>
          <w:lang w:val="en-US"/>
        </w:rPr>
        <w:t>, p. 265 : « [t]he ability of a small minority of bondholders to hijack the debt restructuring process after a vast majority agreed to its terms is a clear sign that the process deserves the attention of lawmakers ».</w:t>
      </w:r>
    </w:p>
  </w:footnote>
  <w:footnote w:id="2017">
    <w:p w14:paraId="4A333CEF" w14:textId="509AB249" w:rsidR="0030147D" w:rsidRPr="00E72418" w:rsidRDefault="0030147D" w:rsidP="00F749B0">
      <w:pPr>
        <w:pStyle w:val="Sansinterligne"/>
      </w:pPr>
      <w:r w:rsidRPr="00E72418">
        <w:rPr>
          <w:rStyle w:val="Appelnotedebasdep"/>
        </w:rPr>
        <w:footnoteRef/>
      </w:r>
      <w:r w:rsidRPr="00E72418">
        <w:t xml:space="preserve"> Sur l’ensemble des défenses dont disposent les débiteurs souverains, voyez le titre 2 de la partie I – sous-partie 2, </w:t>
      </w:r>
      <w:r w:rsidRPr="00E72418">
        <w:rPr>
          <w:i/>
        </w:rPr>
        <w:t>supra</w:t>
      </w:r>
      <w:r w:rsidRPr="00E72418">
        <w:t xml:space="preserve"> n</w:t>
      </w:r>
      <w:r w:rsidRPr="00E72418">
        <w:rPr>
          <w:vertAlign w:val="superscript"/>
        </w:rPr>
        <w:t>os</w:t>
      </w:r>
      <w:r w:rsidRPr="00E72418">
        <w:t xml:space="preserve"> 198 et suiv.</w:t>
      </w:r>
    </w:p>
  </w:footnote>
  <w:footnote w:id="2018">
    <w:p w14:paraId="068DC227" w14:textId="3D92B756"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w:t>
      </w:r>
      <w:r w:rsidRPr="00E72418">
        <w:rPr>
          <w:smallCaps/>
          <w:szCs w:val="20"/>
        </w:rPr>
        <w:t>H. Muir Watt</w:t>
      </w:r>
      <w:r w:rsidRPr="00E72418">
        <w:rPr>
          <w:szCs w:val="20"/>
        </w:rPr>
        <w:t xml:space="preserve">, « Dette souveraine et main visible du marché : de nouveaux enjeux du droit international privé des contrats », </w:t>
      </w:r>
      <w:r w:rsidRPr="00E72418">
        <w:rPr>
          <w:i/>
          <w:szCs w:val="20"/>
        </w:rPr>
        <w:t>op. cit.</w:t>
      </w:r>
      <w:r w:rsidRPr="00E72418">
        <w:rPr>
          <w:szCs w:val="20"/>
        </w:rPr>
        <w:t>, p. 352.</w:t>
      </w:r>
    </w:p>
  </w:footnote>
  <w:footnote w:id="2019">
    <w:p w14:paraId="075DF7C9" w14:textId="1F2A1050"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Frédéric Dopagne est du même avis lorsque, commentant l’article 1412</w:t>
      </w:r>
      <w:r w:rsidRPr="00E72418">
        <w:rPr>
          <w:i/>
          <w:szCs w:val="20"/>
        </w:rPr>
        <w:t>quinquies</w:t>
      </w:r>
      <w:r w:rsidRPr="00E72418">
        <w:rPr>
          <w:szCs w:val="20"/>
        </w:rPr>
        <w:t xml:space="preserve"> du Code judiciaire belge régissant notamment la saisie de biens appartenant à une puissance étrangère (voyez </w:t>
      </w:r>
      <w:r w:rsidRPr="00E72418">
        <w:rPr>
          <w:i/>
          <w:szCs w:val="20"/>
        </w:rPr>
        <w:t>supra</w:t>
      </w:r>
      <w:r w:rsidRPr="00E72418">
        <w:rPr>
          <w:szCs w:val="20"/>
        </w:rPr>
        <w:t xml:space="preserve"> n° 218), il indique qu’ « [a]ussi légitime que puisse être la lutte contre l’activité de ces créanciers peu scrupuleux, elle ne semble pas justifier de rendre excessivement difficile la tâche des créanciers “ordinaires” – l’immense majorité des créanciers » (</w:t>
      </w:r>
      <w:r w:rsidRPr="00E72418">
        <w:rPr>
          <w:smallCaps/>
          <w:szCs w:val="20"/>
        </w:rPr>
        <w:t>F. Dopagne</w:t>
      </w:r>
      <w:r w:rsidRPr="00E72418">
        <w:rPr>
          <w:szCs w:val="20"/>
        </w:rPr>
        <w:t>, « L’immunité de saisie des biens de l’État étranger et de l’organisation internationale : notes sur l’article 1412</w:t>
      </w:r>
      <w:r w:rsidRPr="00E72418">
        <w:rPr>
          <w:i/>
          <w:szCs w:val="20"/>
        </w:rPr>
        <w:t>quinquies</w:t>
      </w:r>
      <w:r w:rsidRPr="00E72418">
        <w:rPr>
          <w:szCs w:val="20"/>
        </w:rPr>
        <w:t xml:space="preserve"> du Code judiciaire », </w:t>
      </w:r>
      <w:r w:rsidRPr="00E72418">
        <w:rPr>
          <w:i/>
          <w:szCs w:val="20"/>
        </w:rPr>
        <w:t>op. cit.</w:t>
      </w:r>
      <w:r w:rsidRPr="00E72418">
        <w:rPr>
          <w:szCs w:val="20"/>
        </w:rPr>
        <w:t>, p. 62). Dans le même ordre d’idées, Horatia Muir Watt note qu’ « [i]</w:t>
      </w:r>
      <w:r w:rsidRPr="00E72418">
        <w:t>l est difficile en effet d’élaborer, à travers le seul droit des immunités juridictionnelles, un régime équilibré, qui devrait sanctionner les abus des vautours tout en évitant de supprimer l’accès des pays pauvres au crédit</w:t>
      </w:r>
      <w:r w:rsidRPr="00E72418">
        <w:rPr>
          <w:szCs w:val="20"/>
        </w:rPr>
        <w:t xml:space="preserve"> » (H. </w:t>
      </w:r>
      <w:r w:rsidRPr="00E72418">
        <w:rPr>
          <w:smallCaps/>
          <w:szCs w:val="20"/>
        </w:rPr>
        <w:t>Muir Watt</w:t>
      </w:r>
      <w:r w:rsidRPr="00E72418">
        <w:rPr>
          <w:szCs w:val="20"/>
        </w:rPr>
        <w:t xml:space="preserve">, « Note sous Cass., 28 mars 2013 », </w:t>
      </w:r>
      <w:r w:rsidRPr="00E72418">
        <w:rPr>
          <w:i/>
          <w:szCs w:val="20"/>
        </w:rPr>
        <w:t>op. cit.</w:t>
      </w:r>
      <w:r w:rsidRPr="00E72418">
        <w:rPr>
          <w:szCs w:val="20"/>
        </w:rPr>
        <w:t>, p. 675).</w:t>
      </w:r>
    </w:p>
  </w:footnote>
  <w:footnote w:id="2020">
    <w:p w14:paraId="46AD8569" w14:textId="3B071E94" w:rsidR="0030147D" w:rsidRPr="00E72418" w:rsidRDefault="0030147D" w:rsidP="00011E05">
      <w:pPr>
        <w:pStyle w:val="Sansinterligne"/>
      </w:pPr>
      <w:r w:rsidRPr="00E72418">
        <w:rPr>
          <w:rStyle w:val="Appelnotedebasdep"/>
        </w:rPr>
        <w:footnoteRef/>
      </w:r>
      <w:r w:rsidRPr="00E72418">
        <w:t xml:space="preserve"> Il reste que les législations immunitaires continueront à s’appliquer lorsqu’un créancier entreprendra une action en justice à l’encontre de son débiteur souverain (sur les règles ayant trait à l’immunité de juridiction, voyez </w:t>
      </w:r>
      <w:r w:rsidRPr="00E72418">
        <w:rPr>
          <w:i/>
        </w:rPr>
        <w:t>supra</w:t>
      </w:r>
      <w:r w:rsidRPr="00E72418">
        <w:t xml:space="preserve"> n</w:t>
      </w:r>
      <w:r w:rsidRPr="00E72418">
        <w:rPr>
          <w:vertAlign w:val="superscript"/>
        </w:rPr>
        <w:t>os</w:t>
      </w:r>
      <w:r w:rsidRPr="00E72418">
        <w:t xml:space="preserve"> 202 et suiv.) ainsi que, lorsqu’ayant obtenu une condamnation à son encontre dans la mesure raisonnable proposée (voyez </w:t>
      </w:r>
      <w:r w:rsidRPr="00E72418">
        <w:rPr>
          <w:i/>
        </w:rPr>
        <w:t>infra</w:t>
      </w:r>
      <w:r w:rsidRPr="00E72418">
        <w:t xml:space="preserve"> n</w:t>
      </w:r>
      <w:r w:rsidRPr="00E72418">
        <w:rPr>
          <w:vertAlign w:val="superscript"/>
        </w:rPr>
        <w:t>os</w:t>
      </w:r>
      <w:r>
        <w:t xml:space="preserve"> 415</w:t>
      </w:r>
      <w:r w:rsidRPr="00E72418">
        <w:t xml:space="preserve"> et suiv.), il cherchera à la faire exécuter (sur les règles ayant trait à l’immunité d’exécution, voyez </w:t>
      </w:r>
      <w:r w:rsidRPr="00E72418">
        <w:rPr>
          <w:i/>
        </w:rPr>
        <w:t>supra</w:t>
      </w:r>
      <w:r w:rsidRPr="00E72418">
        <w:t xml:space="preserve"> n</w:t>
      </w:r>
      <w:r w:rsidRPr="00E72418">
        <w:rPr>
          <w:vertAlign w:val="superscript"/>
        </w:rPr>
        <w:t xml:space="preserve">os </w:t>
      </w:r>
      <w:r w:rsidRPr="00E72418">
        <w:t>218 et suiv.).</w:t>
      </w:r>
    </w:p>
  </w:footnote>
  <w:footnote w:id="2021">
    <w:p w14:paraId="3AF7948A" w14:textId="161DACC1"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Cela fut d’ailleurs relevé durant les travaux préparatoires de la loi anti-spéculation belge de 2015 (</w:t>
      </w:r>
      <w:r w:rsidRPr="00E72418">
        <w:rPr>
          <w:i/>
          <w:szCs w:val="20"/>
        </w:rPr>
        <w:t>supra</w:t>
      </w:r>
      <w:r w:rsidRPr="00E72418">
        <w:rPr>
          <w:szCs w:val="20"/>
        </w:rPr>
        <w:t xml:space="preserve"> n° 335) où l’on peut lire que « [l]es fonds vautours exploitent les failles du système financier international […] » et que « seule une stratégie concertée de la part d’un maximum d’États pourra contrecarrer leur action […] » (proposition de loi relative à la lutte contre les activités des fonds vautours, développements, Ch. repr., </w:t>
      </w:r>
      <w:r w:rsidRPr="00E72418">
        <w:rPr>
          <w:i/>
          <w:szCs w:val="20"/>
        </w:rPr>
        <w:t>Doc. parl.</w:t>
      </w:r>
      <w:r w:rsidRPr="00E72418">
        <w:rPr>
          <w:szCs w:val="20"/>
        </w:rPr>
        <w:t xml:space="preserve">, 2014-2015, doc. 54 1057/001, p. 7). Pour la Banque nationale de Belgique, « seule une initiative internationale peut être réellement efficace pour lutter contre les entraves au règlement ordonné des crises de dettes souveraines créées par les activités desdits “fonds vautours” », l’appréhension internationale du problème permettant également d’éviter le risque de « conflits entre des décisions de justice contradictoires en Belgique et à l’étranger » (avis du 4 juin 2015 de la Banque nationale de Belgique repris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pp. 31 et 32).</w:t>
      </w:r>
    </w:p>
  </w:footnote>
  <w:footnote w:id="2022">
    <w:p w14:paraId="581260B9" w14:textId="635700BC" w:rsidR="0030147D" w:rsidRPr="00E72418" w:rsidRDefault="0030147D" w:rsidP="0011443E">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w:t>
      </w:r>
      <w:r w:rsidRPr="00E72418">
        <w:t xml:space="preserve"> 276.</w:t>
      </w:r>
    </w:p>
  </w:footnote>
  <w:footnote w:id="2023">
    <w:p w14:paraId="470A46A7" w14:textId="62A1B619"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Les députés français ayant déposé en 2006 et 2007 les propositions de législation visant à lutter contre l’action des fonds spéculant sur les dettes souveraines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360 à 362) relevaient déjà qu’il était illusoire d’espérer l’aboutissement d’une solution internationale tant la complexité juridique du système était grande (proposition de loi visant à lutter contre l’action des fonds financiers dits « fonds vautours », Assemblée nationale, 28 juin 2006, n° 3214, p. 2 et proposition de loi visant à lutter contre l’action des fonds financiers dits « fonds vautours », Assemblée nationale, 2 août 2007, n° 131, p. 4).</w:t>
      </w:r>
    </w:p>
  </w:footnote>
  <w:footnote w:id="2024">
    <w:p w14:paraId="70454A4F" w14:textId="54D6CAE4" w:rsidR="0030147D" w:rsidRPr="00E72418" w:rsidRDefault="0030147D" w:rsidP="00B623DC">
      <w:pPr>
        <w:pStyle w:val="Sansinterligne"/>
      </w:pPr>
      <w:r w:rsidRPr="00E72418">
        <w:rPr>
          <w:rStyle w:val="Titre1Car"/>
          <w:rFonts w:ascii="Times" w:eastAsiaTheme="minorHAnsi" w:hAnsi="Times" w:cstheme="minorBidi"/>
          <w:color w:val="auto"/>
          <w:sz w:val="20"/>
          <w:szCs w:val="20"/>
          <w:vertAlign w:val="superscript"/>
        </w:rPr>
        <w:footnoteRef/>
      </w:r>
      <w:r w:rsidRPr="00E72418">
        <w:t xml:space="preserve"> </w:t>
      </w:r>
      <w:r w:rsidRPr="00E72418">
        <w:rPr>
          <w:smallCaps/>
        </w:rPr>
        <w:t>L. Sourbron</w:t>
      </w:r>
      <w:r w:rsidRPr="00E72418">
        <w:t xml:space="preserve"> et </w:t>
      </w:r>
      <w:r w:rsidRPr="00E72418">
        <w:rPr>
          <w:smallCaps/>
        </w:rPr>
        <w:t>L. Vereeck</w:t>
      </w:r>
      <w:r w:rsidRPr="00E72418">
        <w:t xml:space="preserve">, « To Pay or Not to Pay? Evaluating the Belgian Law Against Vulture Funds », </w:t>
      </w:r>
      <w:r w:rsidRPr="00E72418">
        <w:rPr>
          <w:rFonts w:ascii="Times New Roman" w:hAnsi="Times New Roman" w:cs="Times New Roman"/>
          <w:i/>
          <w:szCs w:val="20"/>
          <w:lang w:val="en-US"/>
        </w:rPr>
        <w:t>op. cit.</w:t>
      </w:r>
      <w:r w:rsidRPr="00E72418">
        <w:t xml:space="preserve">, p. 6. Voyez également, en lien avec les difficultés que la crise du </w:t>
      </w:r>
      <w:r>
        <w:t>coronavirus</w:t>
      </w:r>
      <w:r w:rsidRPr="00E72418">
        <w:t xml:space="preserve"> a dessinées, J. </w:t>
      </w:r>
      <w:r w:rsidRPr="00E72418">
        <w:rPr>
          <w:smallCaps/>
        </w:rPr>
        <w:t>Stiglitz</w:t>
      </w:r>
      <w:r w:rsidRPr="00E72418">
        <w:t xml:space="preserve">, R. </w:t>
      </w:r>
      <w:r w:rsidRPr="00E72418">
        <w:rPr>
          <w:smallCaps/>
        </w:rPr>
        <w:t>Howse</w:t>
      </w:r>
      <w:r w:rsidRPr="00E72418">
        <w:t xml:space="preserve"> et A.-M. </w:t>
      </w:r>
      <w:r w:rsidRPr="00E72418">
        <w:rPr>
          <w:smallCaps/>
        </w:rPr>
        <w:t>Slaughter</w:t>
      </w:r>
      <w:r w:rsidRPr="00E72418">
        <w:t xml:space="preserve">, « Covid-19 is no excuse for sovereign creditors to move the goalposts on debt », </w:t>
      </w:r>
      <w:r w:rsidRPr="00E72418">
        <w:rPr>
          <w:i/>
        </w:rPr>
        <w:t>op. cit.</w:t>
      </w:r>
      <w:r w:rsidRPr="00E72418">
        <w:t xml:space="preserve"> :  « [t]he problem of negotiating socially and economically sustainable sovereign-debt workouts may simply not be solvable without moving to a global restructuring regime » et, par conséquent, « [i]n the meantime, however, under the ever-present shadow of the current global crisis, it is critical to move forward with such limited solutions as exist ».</w:t>
      </w:r>
    </w:p>
  </w:footnote>
  <w:footnote w:id="2025">
    <w:p w14:paraId="2D40AA24" w14:textId="17E671CC" w:rsidR="0030147D" w:rsidRPr="00E72418" w:rsidRDefault="0030147D" w:rsidP="004106B1">
      <w:pPr>
        <w:pStyle w:val="Sansinterligne"/>
        <w:rPr>
          <w:szCs w:val="20"/>
          <w:lang w:val="fr-FR"/>
        </w:rPr>
      </w:pPr>
      <w:r w:rsidRPr="00E72418">
        <w:rPr>
          <w:rStyle w:val="Appelnotedebasdep"/>
          <w:szCs w:val="20"/>
        </w:rPr>
        <w:footnoteRef/>
      </w:r>
      <w:r w:rsidRPr="00E72418">
        <w:rPr>
          <w:szCs w:val="20"/>
        </w:rPr>
        <w:t xml:space="preserve"> </w:t>
      </w:r>
      <w:r w:rsidRPr="00E72418">
        <w:rPr>
          <w:rFonts w:ascii="Times New Roman" w:hAnsi="Times New Roman" w:cs="Times New Roman"/>
          <w:szCs w:val="20"/>
        </w:rPr>
        <w:t>Les législations adoptées ont déjà témoigné de leurs effets sur les activités spéculatives. Ainsi, par exemple, d</w:t>
      </w:r>
      <w:r w:rsidRPr="00E72418">
        <w:rPr>
          <w:szCs w:val="20"/>
        </w:rPr>
        <w:t xml:space="preserve">ans un rapport postérieur à l’adoption du </w:t>
      </w:r>
      <w:r w:rsidRPr="00E72418">
        <w:rPr>
          <w:i/>
          <w:szCs w:val="20"/>
        </w:rPr>
        <w:t>Debt Relief (Developing Countries) Act</w:t>
      </w:r>
      <w:r w:rsidRPr="00E72418">
        <w:rPr>
          <w:szCs w:val="20"/>
        </w:rPr>
        <w:t xml:space="preserve"> britannique, l’Association internationale de développement et le Fonds monétaire international relevaient que le texte aurait encouragé deux créanciers récalcitrants de la République du Libéria à accepter une offre de la </w:t>
      </w:r>
      <w:r w:rsidRPr="00E72418">
        <w:rPr>
          <w:i/>
          <w:szCs w:val="20"/>
        </w:rPr>
        <w:t xml:space="preserve">Debt Reduction Facility </w:t>
      </w:r>
      <w:r w:rsidRPr="00E72418">
        <w:rPr>
          <w:szCs w:val="20"/>
        </w:rPr>
        <w:t>(</w:t>
      </w:r>
      <w:r w:rsidRPr="00E72418">
        <w:rPr>
          <w:i/>
          <w:szCs w:val="20"/>
          <w:lang w:val="en-US"/>
        </w:rPr>
        <w:t xml:space="preserve">Heavily Indebted Poor Countries (HIPC) Initiative and Multilateral Debt Relief Initiative (MDRI) </w:t>
      </w:r>
      <w:r w:rsidRPr="00E72418">
        <w:rPr>
          <w:b/>
          <w:i/>
          <w:szCs w:val="20"/>
        </w:rPr>
        <w:t xml:space="preserve">– </w:t>
      </w:r>
      <w:r w:rsidRPr="00E72418">
        <w:rPr>
          <w:i/>
          <w:szCs w:val="20"/>
          <w:lang w:val="en-US"/>
        </w:rPr>
        <w:t>Status of Implementation and Proposals for the Future of the HIPC Initiative</w:t>
      </w:r>
      <w:r w:rsidRPr="00E72418">
        <w:rPr>
          <w:szCs w:val="20"/>
          <w:lang w:val="en-US"/>
        </w:rPr>
        <w:t xml:space="preserve">, 8 novembre 2011, pp. 16 et 17. Sur le contentieux libérien, voyez </w:t>
      </w:r>
      <w:r w:rsidRPr="00E72418">
        <w:rPr>
          <w:i/>
          <w:szCs w:val="20"/>
          <w:lang w:val="en-US"/>
        </w:rPr>
        <w:t>supra</w:t>
      </w:r>
      <w:r w:rsidRPr="00E72418">
        <w:rPr>
          <w:szCs w:val="20"/>
          <w:lang w:val="en-US"/>
        </w:rPr>
        <w:t xml:space="preserve"> n</w:t>
      </w:r>
      <w:r w:rsidRPr="00E72418">
        <w:rPr>
          <w:szCs w:val="20"/>
          <w:vertAlign w:val="superscript"/>
          <w:lang w:val="en-US"/>
        </w:rPr>
        <w:t>os</w:t>
      </w:r>
      <w:r w:rsidRPr="00E72418">
        <w:rPr>
          <w:szCs w:val="20"/>
          <w:lang w:val="en-US"/>
        </w:rPr>
        <w:t xml:space="preserve"> 114 et suiv.)</w:t>
      </w:r>
      <w:r w:rsidRPr="00E72418">
        <w:rPr>
          <w:szCs w:val="20"/>
        </w:rPr>
        <w:t xml:space="preserve">. Une autre illustration des effets des législations anti-fonds spéculatifs peut être trouvée à l’endroit de la loi belge du 12 juillet 2015. Cette législation, que Georges Gilkinet qualifia de « novatrice, audacieuse, utile [et] participant au combat de la finance folle et destructrice » (Chambre des représentants, compte rendu intégral avec compte rendu analytique traduit des interventions, séance plénière, 25 juin 2015, CRIV 54 PLEN 057, p. 57), semble atteindre l’objectif de lutte contre les activités des fonds spéculatifs qu’elle s’assigne si l’on relève le recours en annulation introduit par l’un d’entre eux, la société </w:t>
      </w:r>
      <w:r w:rsidRPr="00E72418">
        <w:rPr>
          <w:i/>
          <w:szCs w:val="20"/>
        </w:rPr>
        <w:t xml:space="preserve">NML Capital Ltd., </w:t>
      </w:r>
      <w:r w:rsidRPr="00E72418">
        <w:rPr>
          <w:szCs w:val="20"/>
        </w:rPr>
        <w:t>à son encontre (sur ce recours rejeté</w:t>
      </w:r>
      <w:r>
        <w:rPr>
          <w:szCs w:val="20"/>
        </w:rPr>
        <w:t xml:space="preserve"> par la Cour constitutionnelle belge</w:t>
      </w:r>
      <w:r w:rsidRPr="00E72418">
        <w:rPr>
          <w:szCs w:val="20"/>
        </w:rPr>
        <w:t xml:space="preserve">, voyez notamment </w:t>
      </w:r>
      <w:r w:rsidRPr="00E72418">
        <w:rPr>
          <w:i/>
          <w:szCs w:val="20"/>
        </w:rPr>
        <w:t>supra</w:t>
      </w:r>
      <w:r w:rsidRPr="00E72418">
        <w:rPr>
          <w:szCs w:val="20"/>
        </w:rPr>
        <w:t xml:space="preserve"> n° 334).</w:t>
      </w:r>
    </w:p>
  </w:footnote>
  <w:footnote w:id="2026">
    <w:p w14:paraId="24CC0138" w14:textId="7D740391"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Relevant le rôle dissuasif joué par les législations britannique, belge et française, le Comité consultatif du Conseil des droits de l’homme des Nations Unies remarque que les inquiétudes suscitées par les activités des fonds spéculant sur les dettes souveraines ne pourront véritablement être dissipées que si un plus grand nombre de pays promulguent des lois nationales pour limiter le montant que ces fonds peuvent réclamer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9).</w:t>
      </w:r>
    </w:p>
  </w:footnote>
  <w:footnote w:id="2027">
    <w:p w14:paraId="00F609A4" w14:textId="6472A42A" w:rsidR="0030147D" w:rsidRPr="00E72418" w:rsidRDefault="0030147D" w:rsidP="00F50600">
      <w:pPr>
        <w:pStyle w:val="Sansinterligne"/>
      </w:pPr>
      <w:r w:rsidRPr="00E72418">
        <w:rPr>
          <w:rStyle w:val="Appelnotedebasdep"/>
        </w:rPr>
        <w:footnoteRef/>
      </w:r>
      <w:r w:rsidRPr="00E72418">
        <w:t xml:space="preserve"> J. </w:t>
      </w:r>
      <w:r w:rsidRPr="00E72418">
        <w:rPr>
          <w:smallCaps/>
        </w:rPr>
        <w:t xml:space="preserve">King, </w:t>
      </w:r>
      <w:r w:rsidRPr="00E72418">
        <w:rPr>
          <w:i/>
        </w:rPr>
        <w:t>The Doctrine of Odious Debt in International Law</w:t>
      </w:r>
      <w:r w:rsidRPr="00E72418">
        <w:rPr>
          <w:smallCaps/>
        </w:rPr>
        <w:t xml:space="preserve">, </w:t>
      </w:r>
      <w:r w:rsidRPr="00E72418">
        <w:rPr>
          <w:i/>
        </w:rPr>
        <w:t>op. cit.</w:t>
      </w:r>
      <w:r w:rsidRPr="00E72418">
        <w:rPr>
          <w:smallCaps/>
        </w:rPr>
        <w:t xml:space="preserve">, </w:t>
      </w:r>
      <w:r w:rsidRPr="00E72418">
        <w:t>p. 27.</w:t>
      </w:r>
    </w:p>
  </w:footnote>
  <w:footnote w:id="2028">
    <w:p w14:paraId="41578887" w14:textId="5A3223AF"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Andrew Dismore, un parlementaire britannique, le notait lors des discussions précédant l’adoption du </w:t>
      </w:r>
      <w:r w:rsidRPr="00E72418">
        <w:rPr>
          <w:i/>
          <w:szCs w:val="20"/>
        </w:rPr>
        <w:t>Debt Relief (Developing Countries) Act</w:t>
      </w:r>
      <w:r w:rsidRPr="00E72418">
        <w:rPr>
          <w:szCs w:val="20"/>
        </w:rPr>
        <w:t xml:space="preserve"> britannique : « </w:t>
      </w:r>
      <w:r w:rsidRPr="00E72418">
        <w:rPr>
          <w:szCs w:val="20"/>
          <w:lang w:val="en-US"/>
        </w:rPr>
        <w:t>[w]</w:t>
      </w:r>
      <w:r w:rsidRPr="00E72418">
        <w:rPr>
          <w:szCs w:val="20"/>
        </w:rPr>
        <w:t xml:space="preserve">e, in just one country, cannot solve the problem » (propos repris in House of Commons, </w:t>
      </w:r>
      <w:r w:rsidRPr="00E72418">
        <w:rPr>
          <w:i/>
          <w:szCs w:val="20"/>
        </w:rPr>
        <w:t>Debt Relief (Developing Countries) Bill</w:t>
      </w:r>
      <w:r w:rsidRPr="00E72418">
        <w:rPr>
          <w:szCs w:val="20"/>
        </w:rPr>
        <w:t xml:space="preserve">, second reading, 26 février 2010, vol. 506, colonne 560). Voyez encore D. </w:t>
      </w:r>
      <w:r w:rsidRPr="00E72418">
        <w:rPr>
          <w:smallCaps/>
          <w:szCs w:val="20"/>
        </w:rPr>
        <w:t xml:space="preserve">Brutti, </w:t>
      </w:r>
      <w:r w:rsidRPr="00E72418">
        <w:rPr>
          <w:szCs w:val="20"/>
        </w:rPr>
        <w:t xml:space="preserve">« Sovereign debt crises and vulture hedge funds: issues and policy solutions », </w:t>
      </w:r>
      <w:r w:rsidRPr="00E72418">
        <w:rPr>
          <w:i/>
          <w:szCs w:val="20"/>
        </w:rPr>
        <w:t>op. cit.</w:t>
      </w:r>
      <w:r w:rsidRPr="00E72418">
        <w:rPr>
          <w:szCs w:val="20"/>
        </w:rPr>
        <w:t>, p. 1847 : « </w:t>
      </w:r>
      <w:r w:rsidRPr="00E72418">
        <w:rPr>
          <w:szCs w:val="20"/>
          <w:lang w:val="en-US"/>
        </w:rPr>
        <w:t xml:space="preserve">[a]s </w:t>
      </w:r>
      <w:r w:rsidRPr="00E72418">
        <w:rPr>
          <w:szCs w:val="20"/>
        </w:rPr>
        <w:t>only a handful of creditor nations have adopted such laws, however, vulture fund activity is alive and well ».</w:t>
      </w:r>
    </w:p>
  </w:footnote>
  <w:footnote w:id="2029">
    <w:p w14:paraId="561D6BF2" w14:textId="359C9563"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Voyez notamment </w:t>
      </w:r>
      <w:r w:rsidRPr="00E72418">
        <w:rPr>
          <w:i/>
          <w:szCs w:val="20"/>
          <w:lang w:val="en-US"/>
        </w:rPr>
        <w:t>Debt Relief (Developing Countries) Bill</w:t>
      </w:r>
      <w:r w:rsidRPr="00E72418">
        <w:rPr>
          <w:szCs w:val="20"/>
          <w:lang w:val="en-US"/>
        </w:rPr>
        <w:t xml:space="preserve">, explanatory notes, paragraphe 46 </w:t>
      </w:r>
      <w:r w:rsidRPr="00E72418">
        <w:rPr>
          <w:rStyle w:val="Titre4Car"/>
          <w:rFonts w:ascii="Times" w:eastAsiaTheme="minorHAnsi" w:hAnsi="Times" w:cstheme="minorBidi"/>
          <w:i w:val="0"/>
          <w:iCs w:val="0"/>
          <w:color w:val="auto"/>
          <w:szCs w:val="20"/>
          <w:lang w:val="en-US"/>
        </w:rPr>
        <w:t xml:space="preserve">: </w:t>
      </w:r>
      <w:r w:rsidRPr="00E72418">
        <w:rPr>
          <w:szCs w:val="20"/>
          <w:lang w:val="en-US"/>
        </w:rPr>
        <w:t>« [i]n supporting the Bill, the Government hopes to provide international leadership, and to encourage other countries to consider further steps to address the issue of uncooperative creditor litigation against HIPCs ».</w:t>
      </w:r>
    </w:p>
  </w:footnote>
  <w:footnote w:id="2030">
    <w:p w14:paraId="45D6F1AA" w14:textId="7A72A7A2" w:rsidR="0030147D" w:rsidRPr="00E72418" w:rsidRDefault="0030147D" w:rsidP="00C26412">
      <w:pPr>
        <w:pStyle w:val="Sansinterligne"/>
      </w:pPr>
      <w:r w:rsidRPr="00E72418">
        <w:rPr>
          <w:rStyle w:val="Titre1Car"/>
          <w:rFonts w:ascii="Times" w:eastAsiaTheme="minorHAnsi" w:hAnsi="Times" w:cstheme="minorBidi"/>
          <w:color w:val="auto"/>
          <w:sz w:val="20"/>
          <w:szCs w:val="20"/>
          <w:vertAlign w:val="superscript"/>
        </w:rPr>
        <w:footnoteRef/>
      </w:r>
      <w:r w:rsidRPr="00E72418">
        <w:rPr>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t>Sovereign Debt Restructurings: Lessons learned from legislative steps taken by certain countries and other appropriate action to reduce the vulnerability of sovereigns to holdout creditors »</w:t>
      </w:r>
      <w:r w:rsidRPr="00E72418">
        <w:rPr>
          <w:lang w:val="en-US"/>
        </w:rPr>
        <w:t xml:space="preserve">, </w:t>
      </w:r>
      <w:r w:rsidRPr="00E72418">
        <w:t>background note, 26 octobre 2016</w:t>
      </w:r>
      <w:r w:rsidRPr="00E72418">
        <w:rPr>
          <w:lang w:val="en-US"/>
        </w:rPr>
        <w:t xml:space="preserve">, p. 21: « [t]he enactment of national legislation is particularly needed in jurisdictions that govern international bonds or where payments are processed ». Voyez encore les propos de Dudley Butt durant les travaux préparatoires du </w:t>
      </w:r>
      <w:r w:rsidRPr="00E72418">
        <w:rPr>
          <w:i/>
          <w:lang w:val="en-US"/>
        </w:rPr>
        <w:t>Heavily Indebted Poor Countries (Limitation on Debt Recovery) Act 2012</w:t>
      </w:r>
      <w:r w:rsidRPr="00E72418">
        <w:rPr>
          <w:lang w:val="en-US"/>
        </w:rPr>
        <w:t xml:space="preserve"> in Legislative Council, </w:t>
      </w:r>
      <w:r w:rsidRPr="00E72418">
        <w:rPr>
          <w:i/>
          <w:lang w:val="en-US"/>
        </w:rPr>
        <w:t>Heavily Indebted Poor Countries (Limitation on Debt Recovery) Bill 2012</w:t>
      </w:r>
      <w:r w:rsidRPr="00E72418">
        <w:rPr>
          <w:lang w:val="en-US"/>
        </w:rPr>
        <w:t xml:space="preserve">, third reading, 30 octobre 2012, vol. 130, n° 2 : « [i]t is important that we are not used as a legal loophole ». </w:t>
      </w:r>
      <w:r w:rsidRPr="00E72418">
        <w:rPr>
          <w:rFonts w:ascii="Times New Roman" w:hAnsi="Times New Roman" w:cs="Times New Roman"/>
        </w:rPr>
        <w:t xml:space="preserve">C’est ainsi notamment que le Gouvernement britannique notait qu’ « as domestic legislation should be effective for all qualifying debt contracts governed by UK laws, the Government’s view is that a legislative approach would make a significant contribution to addressing creditor non-participation in the HIPC Initiative, even in the absence of international action » </w:t>
      </w:r>
      <w:r w:rsidRPr="00E72418">
        <w:rPr>
          <w:lang w:val="en-US"/>
        </w:rPr>
        <w:t xml:space="preserve">(HM </w:t>
      </w:r>
      <w:r w:rsidRPr="00E72418">
        <w:rPr>
          <w:smallCaps/>
          <w:lang w:val="en-US"/>
        </w:rPr>
        <w:t>Treasury</w:t>
      </w:r>
      <w:r w:rsidRPr="00E72418">
        <w:rPr>
          <w:lang w:val="en-US"/>
        </w:rPr>
        <w:t xml:space="preserve">, </w:t>
      </w:r>
      <w:r w:rsidRPr="00E72418">
        <w:rPr>
          <w:i/>
          <w:lang w:val="en-US"/>
        </w:rPr>
        <w:t>Ensuring effective debt relief for poor countries: a consultation on legislation</w:t>
      </w:r>
      <w:r w:rsidRPr="00E72418">
        <w:rPr>
          <w:lang w:val="en-US"/>
        </w:rPr>
        <w:t xml:space="preserve">, 2009, p. 21). L’argument fut encore avancé par le sénateur Gustavo Rivera à l’appui de sa proposition de législation visant la restructuration des dettes souveraines insoutenables. Il notait que </w:t>
      </w:r>
      <w:r w:rsidRPr="00E72418">
        <w:t xml:space="preserve">« </w:t>
      </w:r>
      <w:r w:rsidRPr="00E72418">
        <w:rPr>
          <w:szCs w:val="20"/>
          <w:lang w:val="en-US"/>
        </w:rPr>
        <w:t>[b]</w:t>
      </w:r>
      <w:r w:rsidRPr="00E72418">
        <w:t xml:space="preserve">ecause of its role in the sovereign debt market, New York is uniquely positioned to help solve the sovereign debt crisis </w:t>
      </w:r>
      <w:r w:rsidRPr="00E72418">
        <w:rPr>
          <w:rFonts w:cs="Times New Roman"/>
          <w:szCs w:val="24"/>
        </w:rPr>
        <w:t>» (</w:t>
      </w:r>
      <w:r w:rsidRPr="00E72418">
        <w:t xml:space="preserve">propos repris à l’adresse </w:t>
      </w:r>
      <w:hyperlink r:id="rId75" w:history="1">
        <w:r w:rsidRPr="00E72418">
          <w:rPr>
            <w:rStyle w:val="Lienhypertexte"/>
            <w:color w:val="auto"/>
            <w:u w:val="none"/>
          </w:rPr>
          <w:t>www.nysenate.gov/legislation/bills/2021/S6627</w:t>
        </w:r>
      </w:hyperlink>
      <w:r w:rsidRPr="00E72418">
        <w:t>. Ces propos servent de justification à la proposition de législation qu’il a déposée en mai 2021 au Sénat de l’</w:t>
      </w:r>
      <w:r w:rsidRPr="00E72418">
        <w:rPr>
          <w:lang w:eastAsia="fr-BE"/>
        </w:rPr>
        <w:t>É</w:t>
      </w:r>
      <w:r w:rsidRPr="00E72418">
        <w:t xml:space="preserve">tat de New York. Sur cette proposition, voyez </w:t>
      </w:r>
      <w:r w:rsidRPr="00E72418">
        <w:rPr>
          <w:i/>
        </w:rPr>
        <w:t>supra</w:t>
      </w:r>
      <w:r w:rsidRPr="00E72418">
        <w:t xml:space="preserve"> n° 278).</w:t>
      </w:r>
    </w:p>
  </w:footnote>
  <w:footnote w:id="2031">
    <w:p w14:paraId="44C28227" w14:textId="423F006E" w:rsidR="0030147D" w:rsidRPr="00E72418" w:rsidRDefault="0030147D" w:rsidP="00FE73A8">
      <w:pPr>
        <w:pStyle w:val="Sansinterligne"/>
      </w:pPr>
      <w:r w:rsidRPr="00E72418">
        <w:rPr>
          <w:rStyle w:val="Appelnotedebasdep"/>
        </w:rPr>
        <w:footnoteRef/>
      </w:r>
      <w:r w:rsidRPr="00E72418">
        <w:t xml:space="preserve"> Voyez </w:t>
      </w:r>
      <w:r w:rsidRPr="00E72418">
        <w:rPr>
          <w:i/>
        </w:rPr>
        <w:t>infra</w:t>
      </w:r>
      <w:r w:rsidRPr="00E72418">
        <w:t xml:space="preserve"> n° 42</w:t>
      </w:r>
      <w:r>
        <w:t>8</w:t>
      </w:r>
      <w:r w:rsidRPr="00E72418">
        <w:t>.</w:t>
      </w:r>
    </w:p>
  </w:footnote>
  <w:footnote w:id="2032">
    <w:p w14:paraId="41C31900" w14:textId="3124CEFE"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Voyez </w:t>
      </w:r>
      <w:r w:rsidRPr="00E72418">
        <w:rPr>
          <w:i/>
          <w:szCs w:val="20"/>
          <w:lang w:val="en-US"/>
        </w:rPr>
        <w:t>supra</w:t>
      </w:r>
      <w:r w:rsidRPr="00E72418">
        <w:rPr>
          <w:szCs w:val="20"/>
          <w:lang w:val="en-US"/>
        </w:rPr>
        <w:t xml:space="preserve"> n</w:t>
      </w:r>
      <w:r w:rsidRPr="00E72418">
        <w:rPr>
          <w:szCs w:val="20"/>
          <w:vertAlign w:val="superscript"/>
          <w:lang w:val="en-US"/>
        </w:rPr>
        <w:t>os</w:t>
      </w:r>
      <w:r w:rsidRPr="00E72418">
        <w:rPr>
          <w:szCs w:val="20"/>
          <w:lang w:val="en-US"/>
        </w:rPr>
        <w:t xml:space="preserve"> 396 à 399.</w:t>
      </w:r>
    </w:p>
  </w:footnote>
  <w:footnote w:id="2033">
    <w:p w14:paraId="74A2F907" w14:textId="6033F0A8"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J. </w:t>
      </w:r>
      <w:r w:rsidRPr="00E72418">
        <w:rPr>
          <w:smallCaps/>
          <w:szCs w:val="20"/>
          <w:lang w:val="en-US"/>
        </w:rPr>
        <w:t>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xml:space="preserve">, p. 720. </w:t>
      </w:r>
      <w:r w:rsidRPr="00E72418">
        <w:rPr>
          <w:szCs w:val="20"/>
        </w:rPr>
        <w:t>Nous défendons toutefois l’adoption de législations aussi uniformes que possi</w:t>
      </w:r>
      <w:r>
        <w:rPr>
          <w:szCs w:val="20"/>
        </w:rPr>
        <w:t>ble</w:t>
      </w:r>
      <w:r w:rsidRPr="00E72418">
        <w:rPr>
          <w:szCs w:val="20"/>
        </w:rPr>
        <w:t xml:space="preserve"> (voyez </w:t>
      </w:r>
      <w:r w:rsidRPr="00E72418">
        <w:rPr>
          <w:i/>
          <w:szCs w:val="20"/>
        </w:rPr>
        <w:t xml:space="preserve">infra </w:t>
      </w:r>
      <w:r w:rsidRPr="00E72418">
        <w:rPr>
          <w:szCs w:val="20"/>
        </w:rPr>
        <w:t xml:space="preserve">n° 403). Comme le remarquait Steven </w:t>
      </w:r>
      <w:r w:rsidRPr="00E72418">
        <w:rPr>
          <w:rFonts w:cs="Times New Roman"/>
          <w:lang w:val="en-US"/>
        </w:rPr>
        <w:t>Schwarcz au sujet de l’adoption d’une réglementation entourant les restructurations des dettes souveraines, remarque pouvant être reprise pour notre étude d’une solution aux problèmes spécifiques posés par les fonds spéculatifs,</w:t>
      </w:r>
      <w:r w:rsidRPr="00E72418">
        <w:rPr>
          <w:rFonts w:cs="Times New Roman"/>
          <w:smallCaps/>
          <w:lang w:val="en-US"/>
        </w:rPr>
        <w:t xml:space="preserve"> </w:t>
      </w:r>
      <w:r w:rsidRPr="00E72418">
        <w:t xml:space="preserve">« </w:t>
      </w:r>
      <w:r w:rsidRPr="00E72418">
        <w:rPr>
          <w:szCs w:val="20"/>
          <w:lang w:val="en-US"/>
        </w:rPr>
        <w:t>[e]</w:t>
      </w:r>
      <w:r w:rsidRPr="00E72418">
        <w:rPr>
          <w:lang w:val="en-US"/>
        </w:rPr>
        <w:t xml:space="preserve">xperience </w:t>
      </w:r>
      <w:r w:rsidRPr="00E72418">
        <w:rPr>
          <w:szCs w:val="20"/>
          <w:lang w:val="en-US"/>
        </w:rPr>
        <w:t xml:space="preserve">[…] </w:t>
      </w:r>
      <w:r w:rsidRPr="00E72418">
        <w:rPr>
          <w:lang w:val="en-US"/>
        </w:rPr>
        <w:t xml:space="preserve">shows that a model law’s more relaxed nature, being domestic law, and (for that reason) less formal enactment process and minimal interference with sovereignty can succeed where a formal treaty approach can languish </w:t>
      </w:r>
      <w:r w:rsidRPr="00E72418">
        <w:rPr>
          <w:szCs w:val="20"/>
          <w:lang w:val="en-US"/>
        </w:rPr>
        <w:t>» (</w:t>
      </w:r>
      <w:r w:rsidRPr="00E72418">
        <w:rPr>
          <w:rFonts w:cs="Times New Roman"/>
          <w:lang w:val="en-US"/>
        </w:rPr>
        <w:t xml:space="preserve">S. </w:t>
      </w:r>
      <w:r w:rsidRPr="00E72418">
        <w:rPr>
          <w:rFonts w:cs="Times New Roman"/>
          <w:smallCaps/>
          <w:lang w:val="en-US"/>
        </w:rPr>
        <w:t>Schwarcz</w:t>
      </w:r>
      <w:r w:rsidRPr="00E72418">
        <w:rPr>
          <w:rFonts w:cs="Times New Roman"/>
          <w:lang w:val="en-US"/>
        </w:rPr>
        <w:t xml:space="preserve">, « Sovereign Debt Restructuring: A Model-law Approach », </w:t>
      </w:r>
      <w:r w:rsidRPr="00E72418">
        <w:rPr>
          <w:rFonts w:cs="Times New Roman"/>
          <w:i/>
          <w:lang w:val="en-US"/>
        </w:rPr>
        <w:t>op. cit.</w:t>
      </w:r>
      <w:r w:rsidRPr="00E72418">
        <w:rPr>
          <w:rFonts w:cs="Times New Roman"/>
          <w:lang w:val="en-US"/>
        </w:rPr>
        <w:t>, p. 372).</w:t>
      </w:r>
    </w:p>
  </w:footnote>
  <w:footnote w:id="2034">
    <w:p w14:paraId="6299CE0C" w14:textId="5957CF47" w:rsidR="0030147D" w:rsidRPr="00E72418" w:rsidRDefault="0030147D" w:rsidP="00F80A11">
      <w:pPr>
        <w:pStyle w:val="Sansinterligne"/>
      </w:pPr>
      <w:r w:rsidRPr="00E72418">
        <w:rPr>
          <w:rStyle w:val="Appelnotedebasdep"/>
        </w:rPr>
        <w:footnoteRef/>
      </w:r>
      <w:r w:rsidRPr="00E72418">
        <w:t xml:space="preserve"> </w:t>
      </w:r>
      <w:r w:rsidRPr="00E72418">
        <w:rPr>
          <w:rStyle w:val="Titre5Car"/>
          <w:rFonts w:ascii="Times" w:eastAsiaTheme="minorHAnsi" w:hAnsi="Times" w:cstheme="minorBidi"/>
          <w:color w:val="auto"/>
          <w:szCs w:val="20"/>
          <w:lang w:val="en-US"/>
        </w:rPr>
        <w:t xml:space="preserve">J. </w:t>
      </w:r>
      <w:r w:rsidRPr="00E72418">
        <w:rPr>
          <w:rFonts w:cs="Times New Roman"/>
          <w:smallCaps/>
          <w:szCs w:val="24"/>
        </w:rPr>
        <w:t xml:space="preserve">Bohoslavsky </w:t>
      </w:r>
      <w:r w:rsidRPr="00E72418">
        <w:rPr>
          <w:rFonts w:cs="Times New Roman"/>
          <w:szCs w:val="24"/>
        </w:rPr>
        <w:t xml:space="preserve">et </w:t>
      </w:r>
      <w:r w:rsidRPr="00E72418">
        <w:rPr>
          <w:rFonts w:cs="Times New Roman"/>
          <w:smallCaps/>
          <w:szCs w:val="24"/>
        </w:rPr>
        <w:t>M.</w:t>
      </w:r>
      <w:r w:rsidRPr="00E72418">
        <w:rPr>
          <w:rFonts w:cs="Times New Roman"/>
          <w:szCs w:val="24"/>
        </w:rPr>
        <w:t xml:space="preserve"> </w:t>
      </w:r>
      <w:r w:rsidRPr="00E72418">
        <w:rPr>
          <w:rFonts w:cs="Times New Roman"/>
          <w:smallCaps/>
          <w:szCs w:val="24"/>
        </w:rPr>
        <w:t>Goldmann, « </w:t>
      </w:r>
      <w:r w:rsidRPr="00E72418">
        <w:t xml:space="preserve">An Incremental Approach to Sovereign Debt Restructuring: Sovereign Debt Sustainability as a Principle of Public International Law </w:t>
      </w:r>
      <w:r w:rsidRPr="00E72418">
        <w:rPr>
          <w:rFonts w:cs="Times New Roman"/>
          <w:szCs w:val="24"/>
        </w:rPr>
        <w:t xml:space="preserve">», </w:t>
      </w:r>
      <w:r w:rsidRPr="00E72418">
        <w:rPr>
          <w:rFonts w:cs="Times New Roman"/>
          <w:i/>
          <w:szCs w:val="24"/>
        </w:rPr>
        <w:t>op. cit.</w:t>
      </w:r>
      <w:r w:rsidRPr="00E72418">
        <w:rPr>
          <w:rFonts w:cs="Times New Roman"/>
          <w:szCs w:val="24"/>
        </w:rPr>
        <w:t>, p. 39. L’on verra que pourrait s’ensuivre la consolidation du principe de la soutenabilité des dettes souveraines lequel justifie à notre estime le sort réservé aux prétentions des spéculateurs (</w:t>
      </w:r>
      <w:r w:rsidRPr="00E72418">
        <w:rPr>
          <w:rFonts w:cs="Times New Roman"/>
          <w:i/>
          <w:szCs w:val="24"/>
        </w:rPr>
        <w:t>infra</w:t>
      </w:r>
      <w:r w:rsidRPr="00E72418">
        <w:rPr>
          <w:rFonts w:cs="Times New Roman"/>
          <w:szCs w:val="24"/>
        </w:rPr>
        <w:t xml:space="preserve"> n</w:t>
      </w:r>
      <w:r w:rsidRPr="00E72418">
        <w:rPr>
          <w:rFonts w:cs="Times New Roman"/>
          <w:szCs w:val="24"/>
          <w:vertAlign w:val="superscript"/>
        </w:rPr>
        <w:t>os</w:t>
      </w:r>
      <w:r w:rsidRPr="00E72418">
        <w:rPr>
          <w:rFonts w:cs="Times New Roman"/>
          <w:szCs w:val="24"/>
        </w:rPr>
        <w:t xml:space="preserve"> 406 et suiv.).</w:t>
      </w:r>
    </w:p>
  </w:footnote>
  <w:footnote w:id="2035">
    <w:p w14:paraId="4FC1BA63" w14:textId="3C6244C8" w:rsidR="0030147D" w:rsidRPr="00E72418" w:rsidRDefault="0030147D" w:rsidP="00151083">
      <w:pPr>
        <w:pStyle w:val="Sansinterligne"/>
      </w:pPr>
      <w:r w:rsidRPr="00E72418">
        <w:rPr>
          <w:rStyle w:val="Appelnotedebasdep"/>
        </w:rPr>
        <w:footnoteRef/>
      </w:r>
      <w:r w:rsidRPr="00E72418">
        <w:t xml:space="preserve"> Voyez </w:t>
      </w:r>
      <w:r w:rsidRPr="00E72418">
        <w:rPr>
          <w:i/>
        </w:rPr>
        <w:t>supra</w:t>
      </w:r>
      <w:r w:rsidRPr="00E72418">
        <w:t xml:space="preserve"> n° 137.</w:t>
      </w:r>
    </w:p>
  </w:footnote>
  <w:footnote w:id="2036">
    <w:p w14:paraId="17B9391F" w14:textId="3B187A55" w:rsidR="0030147D" w:rsidRPr="00E72418" w:rsidRDefault="0030147D" w:rsidP="0065458E">
      <w:pPr>
        <w:pStyle w:val="Sansinterligne"/>
      </w:pPr>
      <w:r w:rsidRPr="00E72418">
        <w:rPr>
          <w:rStyle w:val="Appelnotedebasdep"/>
        </w:rPr>
        <w:footnoteRef/>
      </w:r>
      <w:r w:rsidRPr="00E72418">
        <w:t xml:space="preserve"> Anne Krueger faisait valoir comme argument à l’utile adoption d’un mécanisme de restructuration des dettes souveraines un constat que l’on peut ici reprendre : « [i]f we are to restrict the ability of creditors to enforce their claims in national courts, then the mechanism must have the force of law in those countries where enforcement might be sought » et qu’ « [i]t would not be enough to pass laws in a few leading countries ». Ainsi, l’ancienne première directrice adjointe du Fonds monétaire international remarquait qu’ « [i]n practice, the mechanism must have the force of law universally » étant donné qu’ « [o]therwise creditors will deliberately seek out the jurisdictions in which they have the best chance of enforcing their claims » (A. </w:t>
      </w:r>
      <w:r w:rsidRPr="00E72418">
        <w:rPr>
          <w:smallCaps/>
        </w:rPr>
        <w:t>Krueger</w:t>
      </w:r>
      <w:r w:rsidRPr="00E72418">
        <w:t xml:space="preserve">, « A New Approach to Sovereign Debt Restructuring », </w:t>
      </w:r>
      <w:r w:rsidRPr="00E72418">
        <w:rPr>
          <w:i/>
        </w:rPr>
        <w:t>op. cit.</w:t>
      </w:r>
      <w:r w:rsidRPr="00E72418">
        <w:t>).</w:t>
      </w:r>
    </w:p>
  </w:footnote>
  <w:footnote w:id="2037">
    <w:p w14:paraId="37D10B31" w14:textId="06B0E3AA" w:rsidR="0030147D" w:rsidRPr="00E72418" w:rsidRDefault="0030147D" w:rsidP="00B24398">
      <w:pPr>
        <w:pStyle w:val="Sansinterligne"/>
      </w:pPr>
      <w:r w:rsidRPr="00E72418">
        <w:rPr>
          <w:rStyle w:val="Appelnotedebasdep"/>
        </w:rPr>
        <w:footnoteRef/>
      </w:r>
      <w:r w:rsidRPr="00E72418">
        <w:t xml:space="preserve"> </w:t>
      </w:r>
      <w:r w:rsidRPr="00E72418">
        <w:rPr>
          <w:smallCaps/>
        </w:rPr>
        <w:t>G. Pavlidis</w:t>
      </w:r>
      <w:r w:rsidRPr="00E72418">
        <w:t xml:space="preserve">, « Vulture litigation in the context of sovereign debt: global or local solutions? », </w:t>
      </w:r>
      <w:r w:rsidRPr="00E72418">
        <w:rPr>
          <w:i/>
          <w:szCs w:val="20"/>
        </w:rPr>
        <w:t>op. cit.</w:t>
      </w:r>
      <w:r w:rsidRPr="00E72418">
        <w:t>, p. 96.</w:t>
      </w:r>
    </w:p>
  </w:footnote>
  <w:footnote w:id="2038">
    <w:p w14:paraId="69A721BA" w14:textId="77777777"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Lettre du 19 mai 2015 de l’</w:t>
      </w:r>
      <w:r w:rsidRPr="00E72418">
        <w:rPr>
          <w:i/>
          <w:szCs w:val="20"/>
        </w:rPr>
        <w:t>Institute of International Finance</w:t>
      </w:r>
      <w:r w:rsidRPr="00E72418">
        <w:rPr>
          <w:szCs w:val="20"/>
        </w:rPr>
        <w:t xml:space="preserve"> reprise in proposition de loi relative à la lutte contre les activités des fonds vautours, rapport fait au nom de la Commission des finances et du budget, Ch. repr., </w:t>
      </w:r>
      <w:r w:rsidRPr="00E72418">
        <w:rPr>
          <w:i/>
          <w:szCs w:val="20"/>
        </w:rPr>
        <w:t>Doc. parl.</w:t>
      </w:r>
      <w:r w:rsidRPr="00E72418">
        <w:rPr>
          <w:szCs w:val="20"/>
        </w:rPr>
        <w:t>, 2014-2015, doc. 54 1057/003, p. 40.</w:t>
      </w:r>
    </w:p>
  </w:footnote>
  <w:footnote w:id="2039">
    <w:p w14:paraId="3606914E" w14:textId="52EAFDC7" w:rsidR="0030147D" w:rsidRPr="00E72418" w:rsidRDefault="0030147D" w:rsidP="00C44E93">
      <w:pPr>
        <w:pStyle w:val="Sansinterligne"/>
      </w:pPr>
      <w:r w:rsidRPr="00E72418">
        <w:rPr>
          <w:rStyle w:val="Appelnotedebasdep"/>
        </w:rPr>
        <w:footnoteRef/>
      </w:r>
      <w:r w:rsidRPr="00E72418">
        <w:t xml:space="preserve"> Voyez </w:t>
      </w:r>
      <w:r w:rsidRPr="00E72418">
        <w:rPr>
          <w:smallCaps/>
        </w:rPr>
        <w:t>E. Peral</w:t>
      </w:r>
      <w:r w:rsidRPr="00E72418">
        <w:t xml:space="preserve">, « Curtailing Vulture Funds in Low-Income Sovereign Debt Litigation: American and British Legislatives Responses », </w:t>
      </w:r>
      <w:r w:rsidRPr="00E72418">
        <w:rPr>
          <w:i/>
          <w:szCs w:val="20"/>
          <w:lang w:val="en-US"/>
        </w:rPr>
        <w:t>op. cit.</w:t>
      </w:r>
      <w:r w:rsidRPr="00E72418">
        <w:t>, p. 27.</w:t>
      </w:r>
    </w:p>
  </w:footnote>
  <w:footnote w:id="2040">
    <w:p w14:paraId="4BC5CEFC" w14:textId="4F396A31"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Comme le relevait Caroline Kleiner au sujet du contentieux argentin, </w:t>
      </w:r>
      <w:r w:rsidRPr="00E72418">
        <w:rPr>
          <w:rFonts w:cs="Times New Roman"/>
          <w:szCs w:val="20"/>
        </w:rPr>
        <w:t>« [l]a divergence de solutions adoptées par les diverses juridictions saisies montre l’incohérence de soumettre ce contentieux par essence collectif et transnational à des règles de droit national ou au risque d’interprétation divergente de règles de droit international »</w:t>
      </w:r>
      <w:r w:rsidRPr="00E72418">
        <w:rPr>
          <w:szCs w:val="20"/>
        </w:rPr>
        <w:t xml:space="preserve"> (</w:t>
      </w:r>
      <w:r w:rsidRPr="00E72418">
        <w:rPr>
          <w:smallCaps/>
          <w:szCs w:val="20"/>
        </w:rPr>
        <w:t>C. Kleiner</w:t>
      </w:r>
      <w:r w:rsidRPr="00E72418">
        <w:rPr>
          <w:szCs w:val="20"/>
        </w:rPr>
        <w:t xml:space="preserve">, « Les affaires relatives à la dette souveraine argentine – Un contentieux collectif et transnational en quête de règles et de tribunal », </w:t>
      </w:r>
      <w:r w:rsidRPr="00E72418">
        <w:rPr>
          <w:i/>
          <w:szCs w:val="20"/>
          <w:lang w:val="en-US"/>
        </w:rPr>
        <w:t>op. cit.</w:t>
      </w:r>
      <w:r w:rsidRPr="00E72418">
        <w:rPr>
          <w:szCs w:val="20"/>
        </w:rPr>
        <w:t>, p. 751).</w:t>
      </w:r>
    </w:p>
  </w:footnote>
  <w:footnote w:id="2041">
    <w:p w14:paraId="7EA28165" w14:textId="6F632399"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Caroline Lequesne-Roth dit des lois anti-fonds spéculatifs belge de 2015 et française de 2016 qu’elles participent d’un « mouvement de contre-offensive […] protéiforme et désordonné » (</w:t>
      </w:r>
      <w:r w:rsidRPr="00E72418">
        <w:rPr>
          <w:smallCaps/>
          <w:szCs w:val="20"/>
        </w:rPr>
        <w:t>C. Lequesne-Roth</w:t>
      </w:r>
      <w:r w:rsidRPr="00E72418">
        <w:rPr>
          <w:szCs w:val="20"/>
        </w:rPr>
        <w:t xml:space="preserve">, « La fin des “vautours”? Retour sur le contentieux stratégique des dettes souveraines », </w:t>
      </w:r>
      <w:r w:rsidRPr="00E72418">
        <w:rPr>
          <w:i/>
          <w:szCs w:val="20"/>
        </w:rPr>
        <w:t>op. cit.</w:t>
      </w:r>
      <w:r w:rsidRPr="00E72418">
        <w:rPr>
          <w:szCs w:val="20"/>
        </w:rPr>
        <w:t xml:space="preserve">, p. 356). Pour un visuel rapide des différences entre les lois britannique, belge et française reprises dans un tableau comparatif, voyez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12.</w:t>
      </w:r>
    </w:p>
  </w:footnote>
  <w:footnote w:id="2042">
    <w:p w14:paraId="3B4AF674" w14:textId="662E8A5C"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p. 348.</w:t>
      </w:r>
    </w:p>
  </w:footnote>
  <w:footnote w:id="2043">
    <w:p w14:paraId="039555D0" w14:textId="0CA2C5ED" w:rsidR="0030147D" w:rsidRPr="00E72418" w:rsidRDefault="0030147D" w:rsidP="00EA0EBD">
      <w:pPr>
        <w:pStyle w:val="Sansinterligne"/>
      </w:pPr>
      <w:r w:rsidRPr="00E72418">
        <w:rPr>
          <w:rStyle w:val="Appelnotedebasdep"/>
        </w:rPr>
        <w:footnoteRef/>
      </w:r>
      <w:r w:rsidRPr="00E72418">
        <w:t xml:space="preserve"> F. </w:t>
      </w:r>
      <w:r w:rsidRPr="00E72418">
        <w:rPr>
          <w:smallCaps/>
          <w:shd w:val="clear" w:color="auto" w:fill="FFFFFF"/>
        </w:rPr>
        <w:t>Giansetto</w:t>
      </w:r>
      <w:r w:rsidRPr="00E72418">
        <w:rPr>
          <w:shd w:val="clear" w:color="auto" w:fill="FFFFFF"/>
        </w:rPr>
        <w:t xml:space="preserve">, </w:t>
      </w:r>
      <w:r w:rsidRPr="00E72418">
        <w:rPr>
          <w:i/>
          <w:shd w:val="clear" w:color="auto" w:fill="FFFFFF"/>
        </w:rPr>
        <w:t>Le traitement juridictionnel de l’insolvabilité de l’</w:t>
      </w:r>
      <w:r w:rsidRPr="00E72418">
        <w:rPr>
          <w:rFonts w:ascii="Times New Roman" w:hAnsi="Times New Roman" w:cs="Times New Roman"/>
          <w:i/>
          <w:lang w:eastAsia="fr-BE"/>
        </w:rPr>
        <w:t>É</w:t>
      </w:r>
      <w:r w:rsidRPr="00E72418">
        <w:rPr>
          <w:i/>
          <w:shd w:val="clear" w:color="auto" w:fill="FFFFFF"/>
        </w:rPr>
        <w:t>tat</w:t>
      </w:r>
      <w:r w:rsidRPr="00E72418">
        <w:rPr>
          <w:shd w:val="clear" w:color="auto" w:fill="FFFFFF"/>
        </w:rPr>
        <w:t xml:space="preserve">, </w:t>
      </w:r>
      <w:r w:rsidRPr="00E72418">
        <w:rPr>
          <w:rFonts w:cs="Times New Roman"/>
          <w:i/>
          <w:szCs w:val="24"/>
          <w:shd w:val="clear" w:color="auto" w:fill="FFFFFF"/>
        </w:rPr>
        <w:t>op. cit.</w:t>
      </w:r>
      <w:r w:rsidRPr="00E72418">
        <w:rPr>
          <w:shd w:val="clear" w:color="auto" w:fill="FFFFFF"/>
        </w:rPr>
        <w:t>, p. 18. S</w:t>
      </w:r>
      <w:r w:rsidRPr="00E72418">
        <w:t xml:space="preserve">ur la possible arbitrabilité des dettes souveraines, voyez </w:t>
      </w:r>
      <w:r w:rsidRPr="00E72418">
        <w:rPr>
          <w:i/>
        </w:rPr>
        <w:t>supra</w:t>
      </w:r>
      <w:r w:rsidRPr="00E72418">
        <w:t xml:space="preserve"> n° 80.</w:t>
      </w:r>
    </w:p>
  </w:footnote>
  <w:footnote w:id="2044">
    <w:p w14:paraId="534AA3BC" w14:textId="14938FE4" w:rsidR="0030147D" w:rsidRPr="00E72418" w:rsidRDefault="0030147D" w:rsidP="00CD1613">
      <w:pPr>
        <w:pStyle w:val="Sansinterligne"/>
      </w:pPr>
      <w:r w:rsidRPr="00E72418">
        <w:rPr>
          <w:rStyle w:val="Appelnotedebasdep"/>
        </w:rPr>
        <w:footnoteRef/>
      </w:r>
      <w:r w:rsidRPr="00E72418">
        <w:t xml:space="preserve"> Entre autres exemples, la complexité des contentieux conduit parfois à ce que les juridictions perdent le fil comme ce fut par exemple le cas dans le cadre du contentieux</w:t>
      </w:r>
      <w:r w:rsidRPr="00E72418">
        <w:rPr>
          <w:i/>
        </w:rPr>
        <w:t xml:space="preserve"> FG Hemisphere Associates LLC</w:t>
      </w:r>
      <w:r w:rsidRPr="00E72418">
        <w:t xml:space="preserve"> c. la Républi</w:t>
      </w:r>
      <w:r>
        <w:t xml:space="preserve">que démocratique du Congo où une juridiction étatsunienne </w:t>
      </w:r>
      <w:r w:rsidRPr="00E72418">
        <w:t xml:space="preserve">ne fit pas la distinction entre le créancier primaire et le secondaire (voyez United States Court of Appeals for the District of Columbia Circuit (EUA), 15 mars 2011, </w:t>
      </w:r>
      <w:r w:rsidRPr="00E72418">
        <w:rPr>
          <w:i/>
        </w:rPr>
        <w:t>FG Hemisphere Associates LLC v. Democratic Republic of Congo</w:t>
      </w:r>
      <w:r w:rsidRPr="00E72418">
        <w:t>, 637 F.3d 373, p. 375 : « </w:t>
      </w:r>
      <w:r w:rsidRPr="00E72418">
        <w:rPr>
          <w:rStyle w:val="SansinterligneCar"/>
          <w:szCs w:val="20"/>
        </w:rPr>
        <w:t>[i]</w:t>
      </w:r>
      <w:r w:rsidRPr="00E72418">
        <w:t xml:space="preserve">n 1980, the DRC and its state-owned electric company entered into a credit agreement with Hemisphere to finance construction of an electric power transmission facility », alors qu’en réalité, le créancier primaire était la société </w:t>
      </w:r>
      <w:r w:rsidRPr="00E72418">
        <w:rPr>
          <w:i/>
        </w:rPr>
        <w:t>Energoinvest</w:t>
      </w:r>
      <w:r w:rsidRPr="00E72418">
        <w:t xml:space="preserve"> laquelle vendit </w:t>
      </w:r>
      <w:r>
        <w:t xml:space="preserve">ensuite </w:t>
      </w:r>
      <w:r w:rsidRPr="00E72418">
        <w:t xml:space="preserve">sa créance à la société </w:t>
      </w:r>
      <w:r w:rsidRPr="00E72418">
        <w:rPr>
          <w:i/>
        </w:rPr>
        <w:t xml:space="preserve">FG Hemisphere Associates LLC. </w:t>
      </w:r>
      <w:r w:rsidRPr="00E72418">
        <w:t xml:space="preserve">Sur ce contentieux, voyez </w:t>
      </w:r>
      <w:r w:rsidRPr="00E72418">
        <w:rPr>
          <w:i/>
        </w:rPr>
        <w:t>supra</w:t>
      </w:r>
      <w:r w:rsidRPr="00E72418">
        <w:t xml:space="preserve"> n</w:t>
      </w:r>
      <w:r w:rsidRPr="00E72418">
        <w:rPr>
          <w:vertAlign w:val="superscript"/>
        </w:rPr>
        <w:t>os</w:t>
      </w:r>
      <w:r w:rsidRPr="00E72418">
        <w:t xml:space="preserve"> 107 et suiv.).</w:t>
      </w:r>
    </w:p>
  </w:footnote>
  <w:footnote w:id="2045">
    <w:p w14:paraId="45DD963C" w14:textId="0AFEDE46"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w:t>
      </w:r>
      <w:r w:rsidRPr="00E72418">
        <w:rPr>
          <w:smallCaps/>
          <w:szCs w:val="20"/>
          <w:lang w:val="en-US"/>
        </w:rPr>
        <w:t>J. Pottow</w:t>
      </w:r>
      <w:r w:rsidRPr="00E72418">
        <w:rPr>
          <w:szCs w:val="20"/>
          <w:lang w:val="en-US"/>
        </w:rPr>
        <w:t xml:space="preserve">, « Mitigating the Problem of Vulture Holdout: International Certification Boards for Sovereign-Debt Restructurings », </w:t>
      </w:r>
      <w:r w:rsidRPr="00E72418">
        <w:rPr>
          <w:i/>
          <w:szCs w:val="20"/>
          <w:lang w:val="en-US"/>
        </w:rPr>
        <w:t>op. cit.</w:t>
      </w:r>
      <w:r w:rsidRPr="00E72418">
        <w:rPr>
          <w:szCs w:val="20"/>
          <w:lang w:val="en-US"/>
        </w:rPr>
        <w:t>, p. 230. Plus généralement, Martin Guzman soulève les problèmes posés par le fait que « domestic judges of major lending jurisdictions such as New York, who do not understand the nature of sovereign debt restructuring processes, are still the ones in charge of deciding what the ultimate goals of a restructuring should be, and what remedies should be implemented to achieve those goals » (</w:t>
      </w:r>
      <w:r w:rsidRPr="00E72418">
        <w:rPr>
          <w:smallCaps/>
          <w:szCs w:val="20"/>
          <w:lang w:val="en-US"/>
        </w:rPr>
        <w:t>M. Guzman</w:t>
      </w:r>
      <w:r w:rsidRPr="00E72418">
        <w:rPr>
          <w:szCs w:val="20"/>
          <w:lang w:val="en-US"/>
        </w:rPr>
        <w:t xml:space="preserve">, « An analysis of Argentina’s 2001 default resolution », </w:t>
      </w:r>
      <w:r w:rsidRPr="00E72418">
        <w:rPr>
          <w:i/>
          <w:szCs w:val="20"/>
          <w:lang w:val="en-US"/>
        </w:rPr>
        <w:t>op. cit.</w:t>
      </w:r>
      <w:r w:rsidRPr="00E72418">
        <w:rPr>
          <w:szCs w:val="20"/>
          <w:lang w:val="en-US"/>
        </w:rPr>
        <w:t>, p. 15).</w:t>
      </w:r>
    </w:p>
  </w:footnote>
  <w:footnote w:id="2046">
    <w:p w14:paraId="60D94A52" w14:textId="65515CC7" w:rsidR="0030147D" w:rsidRPr="00E72418" w:rsidRDefault="0030147D" w:rsidP="00BC5315">
      <w:pPr>
        <w:pStyle w:val="Sansinterligne"/>
      </w:pPr>
      <w:r w:rsidRPr="00E72418">
        <w:rPr>
          <w:rStyle w:val="Titre1Car"/>
          <w:rFonts w:ascii="Times" w:eastAsiaTheme="minorHAnsi" w:hAnsi="Times" w:cstheme="minorBidi"/>
          <w:color w:val="auto"/>
          <w:sz w:val="20"/>
          <w:szCs w:val="20"/>
          <w:vertAlign w:val="superscript"/>
        </w:rPr>
        <w:footnoteRef/>
      </w:r>
      <w:r w:rsidRPr="00E72418">
        <w:t xml:space="preserve"> L’on peut ici donner l’exemple de l’interprétation de la clause </w:t>
      </w:r>
      <w:r w:rsidRPr="00E72418">
        <w:rPr>
          <w:i/>
        </w:rPr>
        <w:t>pari passu</w:t>
      </w:r>
      <w:r w:rsidRPr="00E72418">
        <w:t xml:space="preserve"> retenue par la cour d’appel de Bruxelles dans son arrêt du 26 septembre 2000 (voyez </w:t>
      </w:r>
      <w:r w:rsidRPr="00E72418">
        <w:rPr>
          <w:i/>
        </w:rPr>
        <w:t>supra</w:t>
      </w:r>
      <w:r w:rsidRPr="00E72418">
        <w:t xml:space="preserve"> n</w:t>
      </w:r>
      <w:r w:rsidRPr="00E72418">
        <w:rPr>
          <w:vertAlign w:val="superscript"/>
        </w:rPr>
        <w:t xml:space="preserve">os </w:t>
      </w:r>
      <w:r w:rsidRPr="00E72418">
        <w:t>178 et suiv.). Comme le note encore Alexia Autenne, « </w:t>
      </w:r>
      <w:r w:rsidRPr="00E72418">
        <w:rPr>
          <w:shd w:val="clear" w:color="auto" w:fill="FFFFFF"/>
        </w:rPr>
        <w:t xml:space="preserve">les arbitrages se font finalement via des négociations contractuelles individuelles sous le contrôle des tribunaux, avec le risque que les grands équilibres reposent, </w:t>
      </w:r>
      <w:r w:rsidRPr="00E72418">
        <w:rPr>
          <w:i/>
          <w:shd w:val="clear" w:color="auto" w:fill="FFFFFF"/>
        </w:rPr>
        <w:t>in fine</w:t>
      </w:r>
      <w:r w:rsidRPr="00E72418">
        <w:rPr>
          <w:shd w:val="clear" w:color="auto" w:fill="FFFFFF"/>
        </w:rPr>
        <w:t xml:space="preserve">, sur des arguments de casuistique juridique, hors contexte politico-économique </w:t>
      </w:r>
      <w:r w:rsidRPr="00E72418">
        <w:t xml:space="preserve">» (A. </w:t>
      </w:r>
      <w:r w:rsidRPr="00E72418">
        <w:rPr>
          <w:smallCaps/>
        </w:rPr>
        <w:t>Autenne</w:t>
      </w:r>
      <w:r w:rsidRPr="00E72418">
        <w:t>, « Dette souveraine et vautours : La Belgique donne le ton »,</w:t>
      </w:r>
      <w:r w:rsidRPr="00E72418">
        <w:rPr>
          <w:i/>
        </w:rPr>
        <w:t xml:space="preserve"> op. cit.</w:t>
      </w:r>
      <w:r w:rsidRPr="00E72418">
        <w:t>).</w:t>
      </w:r>
    </w:p>
  </w:footnote>
  <w:footnote w:id="2047">
    <w:p w14:paraId="0B05136B" w14:textId="7900EA7B" w:rsidR="0030147D" w:rsidRPr="00E72418" w:rsidRDefault="0030147D" w:rsidP="004106B1">
      <w:pPr>
        <w:pStyle w:val="Sansinterligne"/>
        <w:rPr>
          <w:szCs w:val="20"/>
        </w:rPr>
      </w:pPr>
      <w:r w:rsidRPr="00E72418">
        <w:rPr>
          <w:rStyle w:val="Titre1Car"/>
          <w:rFonts w:ascii="Times" w:eastAsiaTheme="minorHAnsi" w:hAnsi="Times" w:cstheme="minorBidi"/>
          <w:color w:val="auto"/>
          <w:sz w:val="20"/>
          <w:szCs w:val="20"/>
          <w:vertAlign w:val="superscript"/>
        </w:rPr>
        <w:footnoteRef/>
      </w:r>
      <w:r w:rsidRPr="00E72418">
        <w:rPr>
          <w:szCs w:val="20"/>
        </w:rPr>
        <w:t xml:space="preserve"> Par exemple, commentant la décision de la </w:t>
      </w:r>
      <w:r w:rsidRPr="00735BBE">
        <w:rPr>
          <w:szCs w:val="20"/>
        </w:rPr>
        <w:t>Supreme Court of New South Wales</w:t>
      </w:r>
      <w:r w:rsidRPr="00E72418">
        <w:rPr>
          <w:szCs w:val="20"/>
        </w:rPr>
        <w:t xml:space="preserve"> du 1</w:t>
      </w:r>
      <w:r w:rsidRPr="00E72418">
        <w:rPr>
          <w:szCs w:val="20"/>
          <w:vertAlign w:val="superscript"/>
        </w:rPr>
        <w:t>er</w:t>
      </w:r>
      <w:r w:rsidRPr="00E72418">
        <w:rPr>
          <w:szCs w:val="20"/>
        </w:rPr>
        <w:t xml:space="preserve"> novembre 2010 rendue dans le cadre du contentieux ayant opposé le fonds </w:t>
      </w:r>
      <w:r w:rsidRPr="00E72418">
        <w:rPr>
          <w:i/>
          <w:szCs w:val="20"/>
        </w:rPr>
        <w:t>FG Hemisphere Associates LLC</w:t>
      </w:r>
      <w:r w:rsidRPr="00E72418">
        <w:rPr>
          <w:szCs w:val="20"/>
        </w:rPr>
        <w:t xml:space="preserve"> à la République Démocratique du Congo, James Bai indique que « [c]onsistent with the neutral role of courts within common law systems, the Supreme Court of New South Wales gave no consideration to the relative positions of either party, nor did it consider the wider implications that this judgment would have for the millions of impoverished citizens within the DRC » (</w:t>
      </w:r>
      <w:r w:rsidRPr="00E72418">
        <w:rPr>
          <w:smallCaps/>
          <w:szCs w:val="20"/>
        </w:rPr>
        <w:t>J. Bai</w:t>
      </w:r>
      <w:r w:rsidRPr="00E72418">
        <w:rPr>
          <w:szCs w:val="20"/>
        </w:rPr>
        <w:t xml:space="preserve">, « Stop Them Circling: Addressing Vulture Funds in Australian Law », </w:t>
      </w:r>
      <w:r w:rsidRPr="00E72418">
        <w:rPr>
          <w:i/>
          <w:szCs w:val="20"/>
          <w:lang w:val="en-US"/>
        </w:rPr>
        <w:t>op. cit.</w:t>
      </w:r>
      <w:r w:rsidRPr="00E72418">
        <w:rPr>
          <w:szCs w:val="20"/>
        </w:rPr>
        <w:t xml:space="preserve">, p. 706). Voyez, plus généralement, United States District Court for the Southern District of New York (EUA), 20 août 1987, </w:t>
      </w:r>
      <w:r w:rsidRPr="00E72418">
        <w:rPr>
          <w:i/>
          <w:szCs w:val="20"/>
        </w:rPr>
        <w:t>A.I. Credit Corp. v.  The government of Jamaica</w:t>
      </w:r>
      <w:r w:rsidRPr="00E72418">
        <w:rPr>
          <w:szCs w:val="20"/>
        </w:rPr>
        <w:t xml:space="preserve">, 666 F. Supp. 629, p. 633 : « it is not the function of a federal district court in an action such as this to evaluate the consequences to the debtor of its inability to pay nor the foreign policy or other repercussions of Jamaica’s default » ou encore United States District Court for the Southern District of New York (EUA), 22 décembre 1989, </w:t>
      </w:r>
      <w:r w:rsidRPr="00E72418">
        <w:rPr>
          <w:i/>
          <w:szCs w:val="20"/>
        </w:rPr>
        <w:t>National Union Fire Ins. Co. v. People’s Republic of Congo</w:t>
      </w:r>
      <w:r w:rsidRPr="00E72418">
        <w:rPr>
          <w:rStyle w:val="Titre5Car"/>
          <w:rFonts w:ascii="Times" w:eastAsiaTheme="minorHAnsi" w:hAnsi="Times" w:cstheme="minorBidi"/>
          <w:color w:val="auto"/>
          <w:szCs w:val="20"/>
        </w:rPr>
        <w:t xml:space="preserve">, 729 F. Supp. 936, p. 945 </w:t>
      </w:r>
      <w:r w:rsidRPr="00E72418">
        <w:rPr>
          <w:rStyle w:val="injectednode"/>
          <w:szCs w:val="20"/>
        </w:rPr>
        <w:t xml:space="preserve">: </w:t>
      </w:r>
      <w:r w:rsidRPr="00E72418">
        <w:rPr>
          <w:szCs w:val="20"/>
        </w:rPr>
        <w:t>« [t]his Court is not the appropriate government institution to weigh the harm to the Congo of paying a valid judgment, against the harm to an insurer (including its shareholders, and, ultimately, other policy holders) that would flow from its being denied its legal right to enforcement of the judgment ».</w:t>
      </w:r>
    </w:p>
  </w:footnote>
  <w:footnote w:id="2048">
    <w:p w14:paraId="5CC6AB5D" w14:textId="6618C37D"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Réfléchissant aux seules lois belge de 2008 et britannique de 2010 ainsi qu’à la proposition anti-fonds spéculatifs étatsunienne (respectivement </w:t>
      </w:r>
      <w:r w:rsidRPr="00E72418">
        <w:rPr>
          <w:i/>
          <w:szCs w:val="20"/>
          <w:lang w:val="en-US"/>
        </w:rPr>
        <w:t>supra</w:t>
      </w:r>
      <w:r w:rsidRPr="00E72418">
        <w:rPr>
          <w:szCs w:val="20"/>
          <w:lang w:val="en-US"/>
        </w:rPr>
        <w:t xml:space="preserve"> n</w:t>
      </w:r>
      <w:r w:rsidRPr="00E72418">
        <w:rPr>
          <w:szCs w:val="20"/>
          <w:vertAlign w:val="superscript"/>
          <w:lang w:val="en-US"/>
        </w:rPr>
        <w:t>os</w:t>
      </w:r>
      <w:r w:rsidRPr="00E72418">
        <w:rPr>
          <w:szCs w:val="20"/>
          <w:lang w:val="en-US"/>
        </w:rPr>
        <w:t xml:space="preserve"> 328 à 390, n</w:t>
      </w:r>
      <w:r w:rsidRPr="00E72418">
        <w:rPr>
          <w:szCs w:val="20"/>
          <w:vertAlign w:val="superscript"/>
          <w:lang w:val="en-US"/>
        </w:rPr>
        <w:t>os</w:t>
      </w:r>
      <w:r w:rsidRPr="00E72418">
        <w:rPr>
          <w:szCs w:val="20"/>
          <w:lang w:val="en-US"/>
        </w:rPr>
        <w:t xml:space="preserve"> 304 à 323 et n</w:t>
      </w:r>
      <w:r w:rsidRPr="00E72418">
        <w:rPr>
          <w:szCs w:val="20"/>
          <w:vertAlign w:val="superscript"/>
          <w:lang w:val="en-US"/>
        </w:rPr>
        <w:t>os</w:t>
      </w:r>
      <w:r w:rsidRPr="00E72418">
        <w:rPr>
          <w:szCs w:val="20"/>
          <w:lang w:val="en-US"/>
        </w:rPr>
        <w:t xml:space="preserve"> 294 à 303), Ryan Avery est d’avis que ces législations offrent « a reasonable remedy considering that courts lack the financial expertise to render proper judgments, especially considering the broad effect that these decisions have on international markets » (</w:t>
      </w:r>
      <w:r w:rsidRPr="00E72418">
        <w:rPr>
          <w:smallCaps/>
          <w:szCs w:val="20"/>
          <w:lang w:val="en-US"/>
        </w:rPr>
        <w:t>R. Avery</w:t>
      </w:r>
      <w:r w:rsidRPr="00E72418">
        <w:rPr>
          <w:szCs w:val="20"/>
          <w:lang w:val="en-US"/>
        </w:rPr>
        <w:t>, « </w:t>
      </w:r>
      <w:r w:rsidRPr="00E72418">
        <w:rPr>
          <w:szCs w:val="20"/>
        </w:rPr>
        <w:t>Out of the Desert and to the Oasis: Legislation on Predatory Debt Investing</w:t>
      </w:r>
      <w:r w:rsidRPr="00E72418">
        <w:rPr>
          <w:szCs w:val="20"/>
          <w:lang w:val="en-US"/>
        </w:rPr>
        <w:t xml:space="preserve"> », </w:t>
      </w:r>
      <w:r w:rsidRPr="00E72418">
        <w:rPr>
          <w:i/>
          <w:szCs w:val="20"/>
          <w:lang w:val="en-US"/>
        </w:rPr>
        <w:t>op. cit.</w:t>
      </w:r>
      <w:r w:rsidRPr="00E72418">
        <w:rPr>
          <w:szCs w:val="20"/>
          <w:lang w:val="en-US"/>
        </w:rPr>
        <w:t>, p. 268).</w:t>
      </w:r>
    </w:p>
  </w:footnote>
  <w:footnote w:id="2049">
    <w:p w14:paraId="73020407" w14:textId="35A3CC24" w:rsidR="0030147D" w:rsidRPr="00E72418" w:rsidRDefault="0030147D" w:rsidP="00FE631D">
      <w:pPr>
        <w:pStyle w:val="Sansinterligne"/>
      </w:pPr>
      <w:r w:rsidRPr="00E72418">
        <w:rPr>
          <w:rStyle w:val="Appelnotedebasdep"/>
        </w:rPr>
        <w:footnoteRef/>
      </w:r>
      <w:r w:rsidRPr="00E72418">
        <w:t xml:space="preserve"> Hayk Kupelyants défend l’idée </w:t>
      </w:r>
      <w:r>
        <w:t>selon</w:t>
      </w:r>
      <w:r w:rsidRPr="00E72418">
        <w:t xml:space="preserve"> laquelle « courts should virtually never consider broader public policy arguments […] to override contractual language and established legal rules ». Il justifie son argument notamment par le fait que « the courts are not well suited to weigh various conflicting and irreconcilable public policy considerations that might arise in sovereign debt litigation (subject to the policy considerations embedded in the law) »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pp. 24 et 25).</w:t>
      </w:r>
    </w:p>
  </w:footnote>
  <w:footnote w:id="2050">
    <w:p w14:paraId="4CA8F12A" w14:textId="77777777" w:rsidR="0030147D" w:rsidRPr="00E72418" w:rsidRDefault="0030147D" w:rsidP="004106B1">
      <w:pPr>
        <w:pStyle w:val="Sansinterligne"/>
        <w:rPr>
          <w:szCs w:val="20"/>
          <w:lang w:val="en-US"/>
        </w:rPr>
      </w:pPr>
      <w:r w:rsidRPr="00E72418">
        <w:rPr>
          <w:rStyle w:val="Titre1Car"/>
          <w:rFonts w:ascii="Times" w:eastAsiaTheme="minorHAnsi" w:hAnsi="Times" w:cstheme="minorBidi"/>
          <w:color w:val="auto"/>
          <w:sz w:val="20"/>
          <w:szCs w:val="20"/>
          <w:vertAlign w:val="superscript"/>
        </w:rPr>
        <w:footnoteRef/>
      </w:r>
      <w:r w:rsidRPr="00E72418">
        <w:rPr>
          <w:szCs w:val="20"/>
          <w:lang w:val="en-US"/>
        </w:rPr>
        <w:t xml:space="preserve"> Propos repris in House of Keys, </w:t>
      </w:r>
      <w:r w:rsidRPr="00E72418">
        <w:rPr>
          <w:i/>
          <w:szCs w:val="20"/>
          <w:lang w:val="en-US"/>
        </w:rPr>
        <w:t>Heavily Indebted Poor Countries (Limitation on Debt Recovery) Bill 2012</w:t>
      </w:r>
      <w:r w:rsidRPr="00E72418">
        <w:rPr>
          <w:szCs w:val="20"/>
          <w:lang w:val="en-US"/>
        </w:rPr>
        <w:t>, second reading, 8 mai 2012, vol. 129, n° 20, lignes 1708 à 1710.</w:t>
      </w:r>
    </w:p>
  </w:footnote>
  <w:footnote w:id="2051">
    <w:p w14:paraId="44FBAFAD" w14:textId="2DB7587A" w:rsidR="0030147D" w:rsidRPr="00E72418" w:rsidRDefault="0030147D" w:rsidP="009B5B86">
      <w:pPr>
        <w:pStyle w:val="Sansinterligne"/>
      </w:pPr>
      <w:r w:rsidRPr="00E72418">
        <w:rPr>
          <w:rStyle w:val="Appelnotedebasdep"/>
        </w:rPr>
        <w:footnoteRef/>
      </w:r>
      <w:r w:rsidRPr="00E72418">
        <w:rPr>
          <w:vertAlign w:val="superscript"/>
        </w:rPr>
        <w:t xml:space="preserve"> </w:t>
      </w:r>
      <w:r w:rsidRPr="00E72418">
        <w:t xml:space="preserve">Sur la piste arbitrale potentiellement empruntée par les créanciers récalcitrants et donc, possiblement par les fonds spéculatifs, voyez </w:t>
      </w:r>
      <w:r w:rsidRPr="00E72418">
        <w:rPr>
          <w:i/>
        </w:rPr>
        <w:t>supra</w:t>
      </w:r>
      <w:r w:rsidRPr="00E72418">
        <w:t xml:space="preserve"> n° 80.</w:t>
      </w:r>
    </w:p>
  </w:footnote>
  <w:footnote w:id="2052">
    <w:p w14:paraId="41BD8645" w14:textId="7834C057" w:rsidR="0030147D" w:rsidRPr="00E72418" w:rsidRDefault="0030147D" w:rsidP="009B5B86">
      <w:pPr>
        <w:pStyle w:val="Sansinterligne"/>
        <w:rPr>
          <w:lang w:eastAsia="fr-BE"/>
        </w:rPr>
      </w:pPr>
      <w:r w:rsidRPr="00E72418">
        <w:rPr>
          <w:rStyle w:val="Appelnotedebasdep"/>
        </w:rPr>
        <w:footnoteRef/>
      </w:r>
      <w:r w:rsidRPr="00E72418">
        <w:t xml:space="preserve"> Voyez </w:t>
      </w:r>
      <w:r>
        <w:t>toutefois l’article 54(1</w:t>
      </w:r>
      <w:r w:rsidRPr="00E72418">
        <w:t xml:space="preserve">) de la Convention </w:t>
      </w:r>
      <w:hyperlink r:id="rId76" w:tgtFrame="_top" w:history="1">
        <w:r w:rsidRPr="00E72418">
          <w:rPr>
            <w:rStyle w:val="Lienhypertexte"/>
            <w:rFonts w:ascii="Times New Roman" w:hAnsi="Times New Roman" w:cs="Times New Roman"/>
            <w:color w:val="auto"/>
            <w:u w:val="none"/>
          </w:rPr>
          <w:t>pour le règlement des différends</w:t>
        </w:r>
      </w:hyperlink>
      <w:r w:rsidRPr="00E72418">
        <w:t xml:space="preserve"> </w:t>
      </w:r>
      <w:hyperlink r:id="rId77" w:tgtFrame="_top" w:history="1">
        <w:r w:rsidRPr="00E72418">
          <w:rPr>
            <w:rStyle w:val="Lienhypertexte"/>
            <w:rFonts w:ascii="Times New Roman" w:hAnsi="Times New Roman" w:cs="Times New Roman"/>
            <w:color w:val="auto"/>
            <w:u w:val="none"/>
          </w:rPr>
          <w:t xml:space="preserve">relatifs aux investissements entre </w:t>
        </w:r>
        <w:r w:rsidRPr="00E72418">
          <w:rPr>
            <w:rFonts w:cs="Times New Roman"/>
            <w:szCs w:val="24"/>
          </w:rPr>
          <w:t>É</w:t>
        </w:r>
        <w:r w:rsidRPr="00E72418">
          <w:rPr>
            <w:rStyle w:val="Lienhypertexte"/>
            <w:rFonts w:ascii="Times New Roman" w:hAnsi="Times New Roman" w:cs="Times New Roman"/>
            <w:color w:val="auto"/>
            <w:u w:val="none"/>
          </w:rPr>
          <w:t>tats et</w:t>
        </w:r>
      </w:hyperlink>
      <w:r w:rsidRPr="00E72418">
        <w:t xml:space="preserve"> </w:t>
      </w:r>
      <w:hyperlink r:id="rId78" w:tgtFrame="_top" w:history="1">
        <w:r w:rsidRPr="00E72418">
          <w:rPr>
            <w:rStyle w:val="Lienhypertexte"/>
            <w:rFonts w:ascii="Times New Roman" w:hAnsi="Times New Roman" w:cs="Times New Roman"/>
            <w:color w:val="auto"/>
            <w:u w:val="none"/>
          </w:rPr>
          <w:t xml:space="preserve">ressortissants d’autres </w:t>
        </w:r>
        <w:r w:rsidRPr="00E72418">
          <w:rPr>
            <w:rFonts w:cs="Times New Roman"/>
            <w:szCs w:val="24"/>
          </w:rPr>
          <w:t>É</w:t>
        </w:r>
        <w:r w:rsidRPr="00E72418">
          <w:rPr>
            <w:rStyle w:val="Lienhypertexte"/>
            <w:rFonts w:ascii="Times New Roman" w:hAnsi="Times New Roman" w:cs="Times New Roman"/>
            <w:color w:val="auto"/>
            <w:u w:val="none"/>
          </w:rPr>
          <w:t>tats</w:t>
        </w:r>
      </w:hyperlink>
      <w:r w:rsidRPr="00E72418">
        <w:t xml:space="preserve"> </w:t>
      </w:r>
      <w:r w:rsidRPr="00E72418">
        <w:rPr>
          <w:szCs w:val="20"/>
        </w:rPr>
        <w:t xml:space="preserve">dont il ressort que chaque </w:t>
      </w:r>
      <w:r w:rsidRPr="00E72418">
        <w:rPr>
          <w:szCs w:val="20"/>
          <w:lang w:eastAsia="fr-BE"/>
        </w:rPr>
        <w:t>É</w:t>
      </w:r>
      <w:r w:rsidRPr="00E72418">
        <w:rPr>
          <w:szCs w:val="20"/>
        </w:rPr>
        <w:t>tat contractant reconnaît toute sentence rendue dans le cadre de la présente Convention comme obligatoire et assure l’exécution sur son territoire des obligations pécuniaires que la sentence impose comme s’il s’agissait d’une décision émanant d’une de ses juridictions</w:t>
      </w:r>
      <w:r w:rsidRPr="00E72418">
        <w:t>.</w:t>
      </w:r>
      <w:r>
        <w:t xml:space="preserve"> L’on pourrait toutefois arguer que la réglementation envisagée a trait à l’ordre public, encore que cet argument n’apparaît pas comme péremptoire (voyez G. </w:t>
      </w:r>
      <w:r w:rsidRPr="009F119C">
        <w:rPr>
          <w:smallCaps/>
        </w:rPr>
        <w:t>Bermann</w:t>
      </w:r>
      <w:r>
        <w:t xml:space="preserve">, « Understanding ICSID Article 54 », </w:t>
      </w:r>
      <w:r w:rsidRPr="009F119C">
        <w:rPr>
          <w:i/>
        </w:rPr>
        <w:t>ICSID Rev.</w:t>
      </w:r>
      <w:r>
        <w:t>, 2020, pp. 311 et suiv.).</w:t>
      </w:r>
    </w:p>
  </w:footnote>
  <w:footnote w:id="2053">
    <w:p w14:paraId="6B3223A9" w14:textId="344CBCC0" w:rsidR="0030147D" w:rsidRPr="00E72418" w:rsidRDefault="0030147D" w:rsidP="00A67829">
      <w:pPr>
        <w:pStyle w:val="Sansinterligne"/>
      </w:pPr>
      <w:r w:rsidRPr="00E72418">
        <w:rPr>
          <w:rStyle w:val="Appelnotedebasdep"/>
        </w:rPr>
        <w:footnoteRef/>
      </w:r>
      <w:r w:rsidRPr="00E72418">
        <w:t xml:space="preserve"> Assemblée générale des Nations Unies, </w:t>
      </w:r>
      <w:r w:rsidRPr="00E72418">
        <w:rPr>
          <w:i/>
        </w:rPr>
        <w:t>Principes fondamentaux des opérations de restructuration de la dette souveraine</w:t>
      </w:r>
      <w:r w:rsidRPr="00E72418">
        <w:t xml:space="preserve">, 10 septembre 2015, A/RES/69/319. Sur cet instrument, voyez notamment </w:t>
      </w:r>
      <w:r w:rsidRPr="00E72418">
        <w:rPr>
          <w:i/>
        </w:rPr>
        <w:t>supra</w:t>
      </w:r>
      <w:r w:rsidRPr="00E72418">
        <w:t xml:space="preserve"> n° 65.</w:t>
      </w:r>
    </w:p>
  </w:footnote>
  <w:footnote w:id="2054">
    <w:p w14:paraId="2A0E54FF" w14:textId="600E3163" w:rsidR="0030147D" w:rsidRPr="00E72418" w:rsidRDefault="0030147D" w:rsidP="00A67829">
      <w:pPr>
        <w:pStyle w:val="Sansinterligne"/>
      </w:pPr>
      <w:r w:rsidRPr="00E72418">
        <w:rPr>
          <w:rStyle w:val="Appelnotedebasdep"/>
        </w:rPr>
        <w:footnoteRef/>
      </w:r>
      <w:r w:rsidRPr="00E72418">
        <w:t xml:space="preserve"> C. </w:t>
      </w:r>
      <w:r w:rsidRPr="00E72418">
        <w:rPr>
          <w:smallCaps/>
        </w:rPr>
        <w:t>Tan</w:t>
      </w:r>
      <w:r w:rsidRPr="00E72418">
        <w:t xml:space="preserve">, « </w:t>
      </w:r>
      <w:r w:rsidRPr="00E72418">
        <w:rPr>
          <w:rFonts w:cs="Times New Roman"/>
          <w:szCs w:val="24"/>
          <w:lang w:val="en-US"/>
        </w:rPr>
        <w:t>Reframing the debate: the debt relief initiative and new normative values in the governance of third world*</w:t>
      </w:r>
      <w:r w:rsidRPr="00E72418">
        <w:t xml:space="preserve"> debt », </w:t>
      </w:r>
      <w:r w:rsidRPr="00E72418">
        <w:rPr>
          <w:i/>
        </w:rPr>
        <w:t>op. cit.</w:t>
      </w:r>
      <w:r w:rsidRPr="00E72418">
        <w:t>, p. 251.</w:t>
      </w:r>
    </w:p>
  </w:footnote>
  <w:footnote w:id="2055">
    <w:p w14:paraId="4B2EC1A6" w14:textId="40DE97C3" w:rsidR="0030147D" w:rsidRPr="00E72418" w:rsidRDefault="0030147D" w:rsidP="009B5B86">
      <w:pPr>
        <w:pStyle w:val="Sansinterligne"/>
      </w:pPr>
      <w:r w:rsidRPr="00E72418">
        <w:rPr>
          <w:rStyle w:val="Appelnotedebasdep"/>
        </w:rPr>
        <w:footnoteRef/>
      </w:r>
      <w:r w:rsidRPr="00E72418">
        <w:t xml:space="preserve"> C. </w:t>
      </w:r>
      <w:r w:rsidRPr="00E72418">
        <w:rPr>
          <w:smallCaps/>
        </w:rPr>
        <w:t xml:space="preserve">Rault, </w:t>
      </w:r>
      <w:r w:rsidRPr="00E72418">
        <w:rPr>
          <w:i/>
        </w:rPr>
        <w:t>The Legal Framework of Sovereign Debt Management</w:t>
      </w:r>
      <w:r w:rsidRPr="00E72418">
        <w:t xml:space="preserve">, </w:t>
      </w:r>
      <w:r w:rsidRPr="00E72418">
        <w:rPr>
          <w:i/>
        </w:rPr>
        <w:t>op. cit.</w:t>
      </w:r>
      <w:r w:rsidRPr="00E72418">
        <w:t xml:space="preserve">, p. 228. L’auteure défend toutefois l’idée dans sa thèse d’une opportune intégration de règles de </w:t>
      </w:r>
      <w:r w:rsidRPr="00E72418">
        <w:rPr>
          <w:i/>
        </w:rPr>
        <w:t>soft law</w:t>
      </w:r>
      <w:r w:rsidRPr="00E72418">
        <w:t xml:space="preserve"> dans le préambule des contrats de dettes dès lors que « such integration would reinforce compliance by a phenomenon of convergence » (</w:t>
      </w:r>
      <w:r w:rsidRPr="00E72418">
        <w:rPr>
          <w:i/>
        </w:rPr>
        <w:t>ibid</w:t>
      </w:r>
      <w:r w:rsidRPr="00E72418">
        <w:t>., p. 239).</w:t>
      </w:r>
    </w:p>
  </w:footnote>
  <w:footnote w:id="2056">
    <w:p w14:paraId="1A1E2344" w14:textId="329F8CEA" w:rsidR="0030147D" w:rsidRPr="00E72418" w:rsidRDefault="0030147D" w:rsidP="009F4DF3">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w:t>
      </w:r>
      <w:r w:rsidRPr="00E72418">
        <w:t xml:space="preserve"> 36. Plus généralement, </w:t>
      </w:r>
      <w:r w:rsidRPr="00E72418">
        <w:rPr>
          <w:szCs w:val="20"/>
        </w:rPr>
        <w:t xml:space="preserve">sur la soutenabilité des dettes souveraines,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33 et suiv.</w:t>
      </w:r>
    </w:p>
  </w:footnote>
  <w:footnote w:id="2057">
    <w:p w14:paraId="6F0CABAB" w14:textId="595E755E" w:rsidR="0030147D" w:rsidRPr="00E72418" w:rsidRDefault="0030147D" w:rsidP="009F4DF3">
      <w:pPr>
        <w:pStyle w:val="Sansinterligne"/>
      </w:pPr>
      <w:r w:rsidRPr="00E72418">
        <w:rPr>
          <w:rStyle w:val="Appelnotedebasdep"/>
        </w:rPr>
        <w:footnoteRef/>
      </w:r>
      <w:r w:rsidRPr="00E72418">
        <w:t xml:space="preserve"> </w:t>
      </w:r>
      <w:r w:rsidRPr="00E72418">
        <w:rPr>
          <w:rStyle w:val="Titre5Car"/>
          <w:rFonts w:ascii="Times" w:eastAsiaTheme="minorHAnsi" w:hAnsi="Times" w:cstheme="minorBidi"/>
          <w:color w:val="auto"/>
          <w:szCs w:val="20"/>
          <w:lang w:val="en-US"/>
        </w:rPr>
        <w:t xml:space="preserve">J. </w:t>
      </w:r>
      <w:r w:rsidRPr="00E72418">
        <w:rPr>
          <w:rFonts w:cs="Times New Roman"/>
          <w:smallCaps/>
          <w:szCs w:val="24"/>
        </w:rPr>
        <w:t xml:space="preserve">Bohoslavsky </w:t>
      </w:r>
      <w:r w:rsidRPr="00E72418">
        <w:rPr>
          <w:rFonts w:cs="Times New Roman"/>
          <w:szCs w:val="24"/>
        </w:rPr>
        <w:t xml:space="preserve">et </w:t>
      </w:r>
      <w:r w:rsidRPr="00E72418">
        <w:rPr>
          <w:rFonts w:cs="Times New Roman"/>
          <w:smallCaps/>
          <w:szCs w:val="24"/>
        </w:rPr>
        <w:t>M.</w:t>
      </w:r>
      <w:r w:rsidRPr="00E72418">
        <w:rPr>
          <w:rFonts w:cs="Times New Roman"/>
          <w:szCs w:val="24"/>
        </w:rPr>
        <w:t xml:space="preserve"> </w:t>
      </w:r>
      <w:r w:rsidRPr="00E72418">
        <w:rPr>
          <w:rFonts w:cs="Times New Roman"/>
          <w:smallCaps/>
          <w:szCs w:val="24"/>
        </w:rPr>
        <w:t>Goldmann, « </w:t>
      </w:r>
      <w:r w:rsidRPr="00E72418">
        <w:t xml:space="preserve">An Incremental Approach to Sovereign Debt Restructuring: Sovereign Debt Sustainability as a Principle of Public International Law </w:t>
      </w:r>
      <w:r w:rsidRPr="00E72418">
        <w:rPr>
          <w:rFonts w:cs="Times New Roman"/>
          <w:szCs w:val="24"/>
        </w:rPr>
        <w:t xml:space="preserve">», </w:t>
      </w:r>
      <w:r w:rsidRPr="00E72418">
        <w:rPr>
          <w:rFonts w:cs="Times New Roman"/>
          <w:i/>
          <w:szCs w:val="24"/>
        </w:rPr>
        <w:t>op. cit.</w:t>
      </w:r>
      <w:r w:rsidRPr="00E72418">
        <w:rPr>
          <w:rFonts w:cs="Times New Roman"/>
          <w:szCs w:val="24"/>
        </w:rPr>
        <w:t>, p. 21.</w:t>
      </w:r>
    </w:p>
  </w:footnote>
  <w:footnote w:id="2058">
    <w:p w14:paraId="15619A03" w14:textId="3A737473" w:rsidR="0030147D" w:rsidRPr="00E72418" w:rsidRDefault="0030147D" w:rsidP="008679F5">
      <w:pPr>
        <w:pStyle w:val="Sansinterligne"/>
      </w:pPr>
      <w:r w:rsidRPr="00E72418">
        <w:rPr>
          <w:rStyle w:val="Appelnotedebasdep"/>
        </w:rPr>
        <w:footnoteRef/>
      </w:r>
      <w:r w:rsidRPr="00E72418">
        <w:t xml:space="preserve"> </w:t>
      </w:r>
      <w:r w:rsidRPr="00E72418">
        <w:rPr>
          <w:i/>
        </w:rPr>
        <w:t>Ibid.</w:t>
      </w:r>
      <w:r w:rsidRPr="00E72418">
        <w:t>, p. 26.</w:t>
      </w:r>
    </w:p>
  </w:footnote>
  <w:footnote w:id="2059">
    <w:p w14:paraId="0838C50F" w14:textId="45422193"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Assemblée générale des Nations Unies, </w:t>
      </w:r>
      <w:r w:rsidRPr="00E72418">
        <w:rPr>
          <w:rFonts w:ascii="Times New Roman" w:hAnsi="Times New Roman" w:cs="Times New Roman"/>
          <w:i/>
          <w:szCs w:val="24"/>
        </w:rPr>
        <w:t>Effets de la dette extérieure et des obligations financières internationales connexes des États sur le plein exercice de tous les droits de l’homme et en particulier les droits économiques, sociaux et culturels</w:t>
      </w:r>
      <w:r w:rsidRPr="00E72418">
        <w:rPr>
          <w:rFonts w:ascii="Times New Roman" w:hAnsi="Times New Roman" w:cs="Times New Roman"/>
          <w:szCs w:val="24"/>
        </w:rPr>
        <w:t xml:space="preserve"> </w:t>
      </w:r>
      <w:r w:rsidRPr="00E72418">
        <w:rPr>
          <w:rFonts w:ascii="Times New Roman" w:hAnsi="Times New Roman" w:cs="Times New Roman"/>
          <w:i/>
          <w:szCs w:val="24"/>
        </w:rPr>
        <w:t xml:space="preserve">l’homme </w:t>
      </w:r>
      <w:r w:rsidRPr="00E72418">
        <w:rPr>
          <w:rFonts w:ascii="Times New Roman" w:hAnsi="Times New Roman" w:cs="Times New Roman"/>
          <w:b/>
          <w:i/>
          <w:szCs w:val="24"/>
        </w:rPr>
        <w:t xml:space="preserve">– </w:t>
      </w:r>
      <w:r w:rsidRPr="00E72418">
        <w:rPr>
          <w:rFonts w:ascii="Times New Roman" w:hAnsi="Times New Roman" w:cs="Times New Roman"/>
          <w:bCs/>
          <w:i/>
          <w:szCs w:val="24"/>
        </w:rPr>
        <w:t>Rapport de l’Expert indépendant sur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5 août 2016, A/71/305</w:t>
      </w:r>
      <w:r w:rsidRPr="00E72418">
        <w:rPr>
          <w:szCs w:val="20"/>
        </w:rPr>
        <w:t xml:space="preserve">, p. 22. </w:t>
      </w:r>
    </w:p>
  </w:footnote>
  <w:footnote w:id="2060">
    <w:p w14:paraId="7179D7F1" w14:textId="73A8FB16" w:rsidR="0030147D" w:rsidRPr="00E72418" w:rsidRDefault="0030147D" w:rsidP="00793C99">
      <w:pPr>
        <w:pStyle w:val="Sansinterligne"/>
      </w:pPr>
      <w:r w:rsidRPr="00E72418">
        <w:rPr>
          <w:rStyle w:val="Appelnotedebasdep"/>
        </w:rPr>
        <w:footnoteRef/>
      </w:r>
      <w:r w:rsidRPr="00E72418">
        <w:t xml:space="preserve"> Les travaux préparatoires de la loi anti-fonds spéculatifs belge mobilisant le critère de l’ « </w:t>
      </w:r>
      <w:r w:rsidRPr="00E72418">
        <w:rPr>
          <w:szCs w:val="24"/>
        </w:rPr>
        <w:t xml:space="preserve">impact défavorable » (voyez </w:t>
      </w:r>
      <w:r w:rsidRPr="00E72418">
        <w:rPr>
          <w:i/>
          <w:szCs w:val="24"/>
        </w:rPr>
        <w:t>supra</w:t>
      </w:r>
      <w:r w:rsidRPr="00E72418">
        <w:rPr>
          <w:szCs w:val="24"/>
        </w:rPr>
        <w:t xml:space="preserve"> n° 347) </w:t>
      </w:r>
      <w:r w:rsidRPr="00E72418">
        <w:t xml:space="preserve">donnent quelques indications de ce qui peut être considéré comme représentant des tâches essentielles d’un </w:t>
      </w:r>
      <w:r w:rsidRPr="00E72418">
        <w:rPr>
          <w:lang w:eastAsia="fr-BE"/>
        </w:rPr>
        <w:t>É</w:t>
      </w:r>
      <w:r w:rsidRPr="00E72418">
        <w:t>tat : « assurer une vie décente à tous [les] concitoyens, organiser un enseignement de qualité, assurer la sécurité, contribuer à un développement économique durable, rendre les soins de santé accessibles à tous ou encore créer une prospérité à partager » (</w:t>
      </w:r>
      <w:r w:rsidRPr="00E72418">
        <w:rPr>
          <w:szCs w:val="20"/>
        </w:rPr>
        <w:t>Chambre des représentants, compte rendu intégral avec compte rendu analytique traduit des interventions, séance plénière, 25 juin 2015, CRIV 54 PLEN 057, p. 58</w:t>
      </w:r>
      <w:r w:rsidRPr="00E72418">
        <w:t>).</w:t>
      </w:r>
    </w:p>
  </w:footnote>
  <w:footnote w:id="2061">
    <w:p w14:paraId="04EC7A0A" w14:textId="223880B4" w:rsidR="0030147D" w:rsidRPr="00E72418" w:rsidRDefault="0030147D" w:rsidP="00591E3E">
      <w:pPr>
        <w:pStyle w:val="Sansinterligne"/>
        <w:rPr>
          <w:rFonts w:ascii="Times New Roman" w:hAnsi="Times New Roman" w:cs="Times New Roman"/>
        </w:rPr>
      </w:pPr>
      <w:r w:rsidRPr="00E72418">
        <w:rPr>
          <w:rStyle w:val="Appelnotedebasdep"/>
          <w:szCs w:val="20"/>
        </w:rPr>
        <w:footnoteRef/>
      </w:r>
      <w:r w:rsidRPr="00E72418">
        <w:t xml:space="preserve"> </w:t>
      </w:r>
      <w:r w:rsidRPr="00E72418">
        <w:rPr>
          <w:smallCaps/>
        </w:rPr>
        <w:t>G. Jèze</w:t>
      </w:r>
      <w:r w:rsidRPr="00E72418">
        <w:t xml:space="preserve">, « Les défaillances d’État », </w:t>
      </w:r>
      <w:r w:rsidRPr="00E72418">
        <w:rPr>
          <w:i/>
        </w:rPr>
        <w:t>op. cit.</w:t>
      </w:r>
      <w:r w:rsidRPr="00E72418">
        <w:t>, p. 391 (la police est reprise). Voyez également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xml:space="preserve">, principe 49 </w:t>
      </w:r>
      <w:r w:rsidRPr="00E72418">
        <w:t>: « </w:t>
      </w:r>
      <w:r w:rsidRPr="00E72418">
        <w:rPr>
          <w:szCs w:val="20"/>
          <w:lang w:val="en-US"/>
        </w:rPr>
        <w:t>[s]</w:t>
      </w:r>
      <w:r w:rsidRPr="00E72418">
        <w:rPr>
          <w:rFonts w:ascii="Times New Roman" w:hAnsi="Times New Roman" w:cs="Times New Roman"/>
        </w:rPr>
        <w:t xml:space="preserve">i le service de la dette est excessif ou disproportionné et absorbe des ressources financières destinées à la réalisation des droits de l’homme, il devrait être ajusté ou modifié de manière à refléter la primauté de ces droits </w:t>
      </w:r>
      <w:r w:rsidRPr="00E72418">
        <w:t>». Bien avant cela, Montesquieu notait déjà que « </w:t>
      </w:r>
      <w:r w:rsidRPr="00E72418">
        <w:rPr>
          <w:szCs w:val="20"/>
          <w:lang w:val="en-US"/>
        </w:rPr>
        <w:t xml:space="preserve">[l’]état peut être créancier à l’infini, mais il ne peut être débiteur qu’à un certain degré ; et, quand on est parvenu à passer ce degré, le titre de créancier s’évanouit </w:t>
      </w:r>
      <w:r w:rsidRPr="00E72418">
        <w:t>» (</w:t>
      </w:r>
      <w:r w:rsidRPr="00E72418">
        <w:rPr>
          <w:i/>
        </w:rPr>
        <w:t>L’Esprit des Lois</w:t>
      </w:r>
      <w:r w:rsidRPr="00E72418">
        <w:t>, Belin, 1817 (publication originale : 1748), Livre XXII, Chapitre XVIII, p. 344).</w:t>
      </w:r>
    </w:p>
  </w:footnote>
  <w:footnote w:id="2062">
    <w:p w14:paraId="3872FE07" w14:textId="2276C7FE" w:rsidR="0030147D" w:rsidRPr="00E72418" w:rsidRDefault="0030147D" w:rsidP="0067312A">
      <w:pPr>
        <w:pStyle w:val="Sansinterligne"/>
      </w:pPr>
      <w:r w:rsidRPr="00E72418">
        <w:rPr>
          <w:rStyle w:val="Appelnotedebasdep"/>
        </w:rPr>
        <w:footnoteRef/>
      </w:r>
      <w:r w:rsidRPr="00E72418">
        <w:t xml:space="preserve"> E. </w:t>
      </w:r>
      <w:r w:rsidRPr="00E72418">
        <w:rPr>
          <w:smallCaps/>
        </w:rPr>
        <w:t>Borchard</w:t>
      </w:r>
      <w:r w:rsidRPr="00E72418">
        <w:t xml:space="preserve">, </w:t>
      </w:r>
      <w:r w:rsidRPr="00E72418">
        <w:rPr>
          <w:i/>
        </w:rPr>
        <w:t>State Insolvency and Foreign Bondholders – General Principles</w:t>
      </w:r>
      <w:r w:rsidRPr="00E72418">
        <w:t xml:space="preserve">, </w:t>
      </w:r>
      <w:r w:rsidRPr="00E72418">
        <w:rPr>
          <w:i/>
        </w:rPr>
        <w:t>op. cit.</w:t>
      </w:r>
      <w:r w:rsidRPr="00E72418">
        <w:t>, p. 81.</w:t>
      </w:r>
    </w:p>
  </w:footnote>
  <w:footnote w:id="2063">
    <w:p w14:paraId="7F127DD6" w14:textId="294AEAB3"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18.</w:t>
      </w:r>
    </w:p>
  </w:footnote>
  <w:footnote w:id="2064">
    <w:p w14:paraId="03728164" w14:textId="6AC922F4"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w:t>
      </w:r>
      <w:r w:rsidRPr="00E72418">
        <w:rPr>
          <w:i/>
          <w:szCs w:val="20"/>
        </w:rPr>
        <w:t>Ibid.</w:t>
      </w:r>
      <w:r w:rsidRPr="00E72418">
        <w:rPr>
          <w:szCs w:val="20"/>
        </w:rPr>
        <w:t>, p. 9.</w:t>
      </w:r>
    </w:p>
  </w:footnote>
  <w:footnote w:id="2065">
    <w:p w14:paraId="5ADA9C8A" w14:textId="77777777"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color w:val="auto"/>
          <w:szCs w:val="20"/>
          <w:lang w:val="en-US"/>
        </w:rPr>
        <w:t xml:space="preserve">Comité sur le développement du Parlement européen, </w:t>
      </w:r>
      <w:r w:rsidRPr="00E72418">
        <w:rPr>
          <w:rStyle w:val="Titre5Car"/>
          <w:rFonts w:ascii="Times" w:eastAsiaTheme="minorHAnsi" w:hAnsi="Times" w:cstheme="minorBidi"/>
          <w:i/>
          <w:color w:val="auto"/>
          <w:szCs w:val="20"/>
          <w:lang w:val="en-US"/>
        </w:rPr>
        <w:t>Report on enhancing developing countries’ debt sustainability (</w:t>
      </w:r>
      <w:r w:rsidRPr="00E72418">
        <w:rPr>
          <w:i/>
          <w:szCs w:val="20"/>
          <w:lang w:val="en-US"/>
        </w:rPr>
        <w:t>2016/2241(INI))</w:t>
      </w:r>
      <w:r w:rsidRPr="00E72418">
        <w:rPr>
          <w:szCs w:val="20"/>
          <w:lang w:val="en-US"/>
        </w:rPr>
        <w:t>, 28 mars 2018, A8-0129/2018, p. 13.</w:t>
      </w:r>
    </w:p>
  </w:footnote>
  <w:footnote w:id="2066">
    <w:p w14:paraId="6E5106B1" w14:textId="168FCFEC" w:rsidR="0030147D" w:rsidRPr="00E72418" w:rsidRDefault="0030147D" w:rsidP="00EA0EBD">
      <w:pPr>
        <w:pStyle w:val="Sansinterligne"/>
      </w:pPr>
      <w:r w:rsidRPr="00E72418">
        <w:rPr>
          <w:rStyle w:val="Appelnotedebasdep"/>
        </w:rPr>
        <w:footnoteRef/>
      </w:r>
      <w:r w:rsidRPr="00E72418">
        <w:t xml:space="preserve"> Cour eur. D. H., 10 février 2010, </w:t>
      </w:r>
      <w:r w:rsidRPr="00E72418">
        <w:rPr>
          <w:i/>
        </w:rPr>
        <w:t>Malysh et autres c. Russie</w:t>
      </w:r>
      <w:r w:rsidRPr="00E72418">
        <w:t>, arrêt, requête n° 30280/03, paragraphe 80.</w:t>
      </w:r>
    </w:p>
  </w:footnote>
  <w:footnote w:id="2067">
    <w:p w14:paraId="58DA60FC" w14:textId="4B8A6DED" w:rsidR="0030147D" w:rsidRPr="00E72418" w:rsidRDefault="0030147D" w:rsidP="00D70EAD">
      <w:pPr>
        <w:pStyle w:val="Sansinterligne"/>
        <w:rPr>
          <w:szCs w:val="20"/>
        </w:rPr>
      </w:pPr>
      <w:r w:rsidRPr="00E72418">
        <w:rPr>
          <w:rStyle w:val="Appelnotedebasdep"/>
          <w:szCs w:val="20"/>
        </w:rPr>
        <w:footnoteRef/>
      </w:r>
      <w:r w:rsidRPr="00E72418">
        <w:rPr>
          <w:szCs w:val="20"/>
        </w:rPr>
        <w:t xml:space="preserve"> Lors des difficultés rencontrées par la République argentine au début du siècle, son gouvernement fit usage de l’argument selon lequel ses créanciers avaient à partager les difficultés dans lesquelles était plongé le pays (</w:t>
      </w:r>
      <w:r w:rsidRPr="00E72418">
        <w:rPr>
          <w:smallCaps/>
          <w:szCs w:val="20"/>
        </w:rPr>
        <w:t>J. Hornbeck</w:t>
      </w:r>
      <w:r w:rsidRPr="00E72418">
        <w:rPr>
          <w:szCs w:val="20"/>
        </w:rPr>
        <w:t xml:space="preserve">, « </w:t>
      </w:r>
      <w:r w:rsidRPr="00E72418">
        <w:rPr>
          <w:szCs w:val="20"/>
          <w:lang w:val="en-US"/>
        </w:rPr>
        <w:t>Argentina’s Defaulted Sovereign Debt: Dealing with the “Holdouts”</w:t>
      </w:r>
      <w:r w:rsidRPr="00E72418">
        <w:rPr>
          <w:szCs w:val="20"/>
        </w:rPr>
        <w:t xml:space="preserve"> », </w:t>
      </w:r>
      <w:r w:rsidRPr="00E72418">
        <w:rPr>
          <w:i/>
          <w:szCs w:val="20"/>
          <w:lang w:val="en-US"/>
        </w:rPr>
        <w:t>op. cit.</w:t>
      </w:r>
      <w:r w:rsidRPr="00E72418">
        <w:rPr>
          <w:szCs w:val="20"/>
        </w:rPr>
        <w:t>, p. 4).</w:t>
      </w:r>
    </w:p>
  </w:footnote>
  <w:footnote w:id="2068">
    <w:p w14:paraId="38E7A9B3" w14:textId="72F68E48" w:rsidR="0030147D" w:rsidRPr="00E72418" w:rsidRDefault="0030147D" w:rsidP="00D70EAD">
      <w:pPr>
        <w:pStyle w:val="Sansinterligne"/>
      </w:pPr>
      <w:r w:rsidRPr="00E72418">
        <w:rPr>
          <w:rStyle w:val="Appelnotedebasdep"/>
        </w:rPr>
        <w:footnoteRef/>
      </w:r>
      <w:r w:rsidRPr="00E72418">
        <w:t xml:space="preserve"> Sur le modèle économique poursuivi par les fonds spéculatifs, voyez </w:t>
      </w:r>
      <w:r w:rsidRPr="00E72418">
        <w:rPr>
          <w:i/>
        </w:rPr>
        <w:t>supra</w:t>
      </w:r>
      <w:r w:rsidRPr="00E72418">
        <w:t xml:space="preserve"> n</w:t>
      </w:r>
      <w:r w:rsidRPr="00E72418">
        <w:rPr>
          <w:vertAlign w:val="superscript"/>
        </w:rPr>
        <w:t>os</w:t>
      </w:r>
      <w:r w:rsidRPr="00E72418">
        <w:t xml:space="preserve"> 130 et suiv.</w:t>
      </w:r>
    </w:p>
  </w:footnote>
  <w:footnote w:id="2069">
    <w:p w14:paraId="0ED60DA9" w14:textId="6F6A6550" w:rsidR="0030147D" w:rsidRPr="00E72418" w:rsidRDefault="0030147D" w:rsidP="004106B1">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xml:space="preserve">, p. 381. </w:t>
      </w:r>
      <w:r w:rsidRPr="00E72418">
        <w:rPr>
          <w:szCs w:val="20"/>
        </w:rPr>
        <w:t xml:space="preserve">L’auteur semble limiter son argument aux Pays Pauvres Très Endettés au sens de l’Initiative de la Banque mondiale et du Fonds monétaire international alors </w:t>
      </w:r>
      <w:r>
        <w:rPr>
          <w:szCs w:val="20"/>
        </w:rPr>
        <w:t xml:space="preserve">qu’il nous apparaît </w:t>
      </w:r>
      <w:r w:rsidRPr="00E72418">
        <w:rPr>
          <w:szCs w:val="20"/>
        </w:rPr>
        <w:t>qu’il pourrait être mobilisé plus largement.</w:t>
      </w:r>
    </w:p>
  </w:footnote>
  <w:footnote w:id="2070">
    <w:p w14:paraId="2B451D18" w14:textId="152A3F38" w:rsidR="0030147D" w:rsidRPr="00E72418" w:rsidRDefault="0030147D" w:rsidP="001B386D">
      <w:pPr>
        <w:pStyle w:val="Sansinterligne"/>
      </w:pPr>
      <w:r w:rsidRPr="00E72418">
        <w:rPr>
          <w:rStyle w:val="Appelnotedebasdep"/>
        </w:rPr>
        <w:footnoteRef/>
      </w:r>
      <w:r w:rsidRPr="00E72418">
        <w:t xml:space="preserve"> </w:t>
      </w:r>
      <w:r w:rsidRPr="00E72418">
        <w:rPr>
          <w:rFonts w:ascii="Times New Roman" w:hAnsi="Times New Roman" w:cs="Times New Roman"/>
          <w:szCs w:val="24"/>
        </w:rPr>
        <w:t>Conseil des droits de l’homme des Nations Unies</w:t>
      </w:r>
      <w:r w:rsidRPr="00E72418">
        <w:rPr>
          <w:rFonts w:ascii="Times New Roman" w:hAnsi="Times New Roman" w:cs="Times New Roman"/>
          <w:i/>
          <w:szCs w:val="24"/>
        </w:rPr>
        <w:t>, Rapport de l’expert indépendant chargé d’examiner les effets de la dette extérieure et des obligations financières internationales connexes des États sur le plein exercice de tous les droits de l’homme, en particulier des droits économiques, sociaux et culturels</w:t>
      </w:r>
      <w:r w:rsidRPr="00E72418">
        <w:rPr>
          <w:rFonts w:ascii="Times New Roman" w:hAnsi="Times New Roman" w:cs="Times New Roman"/>
          <w:szCs w:val="24"/>
        </w:rPr>
        <w:t>, 29 avril 2010, A/HRC/14/21</w:t>
      </w:r>
      <w:r w:rsidRPr="00E72418">
        <w:t>, p. 22.</w:t>
      </w:r>
    </w:p>
  </w:footnote>
  <w:footnote w:id="2071">
    <w:p w14:paraId="44D6B634" w14:textId="05173CC9" w:rsidR="0030147D" w:rsidRPr="00E72418" w:rsidRDefault="0030147D" w:rsidP="004106B1">
      <w:pPr>
        <w:pStyle w:val="Sansinterligne"/>
        <w:rPr>
          <w:szCs w:val="20"/>
        </w:rPr>
      </w:pPr>
      <w:r w:rsidRPr="00E72418">
        <w:rPr>
          <w:rStyle w:val="Appelnotedebasdep"/>
          <w:szCs w:val="20"/>
        </w:rPr>
        <w:footnoteRef/>
      </w:r>
      <w:r w:rsidRPr="00E72418">
        <w:rPr>
          <w:szCs w:val="20"/>
          <w:lang w:val="en-US"/>
        </w:rPr>
        <w:t xml:space="preserve"> </w:t>
      </w:r>
      <w:r w:rsidRPr="00E72418">
        <w:rPr>
          <w:smallCaps/>
          <w:szCs w:val="20"/>
          <w:lang w:val="en-US"/>
        </w:rPr>
        <w:t>M. Megliani</w:t>
      </w:r>
      <w:r w:rsidRPr="00E72418">
        <w:rPr>
          <w:szCs w:val="20"/>
          <w:lang w:val="en-US"/>
        </w:rPr>
        <w:t xml:space="preserve">, « For the Orphan, the Widow, the Poor: How to Curb Enforcing by Vulture Funds against the Highly Indebted Poor Countries », </w:t>
      </w:r>
      <w:r w:rsidRPr="00E72418">
        <w:rPr>
          <w:i/>
          <w:szCs w:val="20"/>
          <w:lang w:val="en-US"/>
        </w:rPr>
        <w:t>op. cit.</w:t>
      </w:r>
      <w:r w:rsidRPr="00E72418">
        <w:rPr>
          <w:szCs w:val="20"/>
          <w:lang w:val="en-US"/>
        </w:rPr>
        <w:t xml:space="preserve">, p. 375. Caroline </w:t>
      </w:r>
      <w:r w:rsidRPr="00E72418">
        <w:rPr>
          <w:szCs w:val="20"/>
        </w:rPr>
        <w:t>Lequesne-Roth pose alors ces questions : « le remboursement des titres de dette à la valeur faciale, au bénéfice de créanciers récalcitrants, par une administration défaillante, ne met-il pas en péril le bien commun qui constitue la permanence de son service public ? » et « [l]a saisie du patrimoine de l’État au bénéfice de ces mêmes créanciers ne constitue-t-elle pas une expropriation disproportionnée de nos biens publics ? » (</w:t>
      </w:r>
      <w:r w:rsidRPr="00E72418">
        <w:rPr>
          <w:smallCaps/>
          <w:szCs w:val="20"/>
        </w:rPr>
        <w:t>C. Lequesne-Roth</w:t>
      </w:r>
      <w:r w:rsidRPr="00E72418">
        <w:rPr>
          <w:szCs w:val="20"/>
        </w:rPr>
        <w:t xml:space="preserve">, « Restructurer », </w:t>
      </w:r>
      <w:r w:rsidRPr="00E72418">
        <w:rPr>
          <w:i/>
          <w:szCs w:val="20"/>
        </w:rPr>
        <w:t>op. cit.</w:t>
      </w:r>
      <w:r w:rsidRPr="00E72418">
        <w:rPr>
          <w:szCs w:val="20"/>
        </w:rPr>
        <w:t>, p. 34).</w:t>
      </w:r>
    </w:p>
  </w:footnote>
  <w:footnote w:id="2072">
    <w:p w14:paraId="61765E21" w14:textId="29BD8C15" w:rsidR="0030147D" w:rsidRPr="00E72418" w:rsidRDefault="0030147D" w:rsidP="001D6F6A">
      <w:pPr>
        <w:pStyle w:val="Sansinterligne"/>
      </w:pPr>
      <w:r w:rsidRPr="00E72418">
        <w:rPr>
          <w:rStyle w:val="Appelnotedebasdep"/>
        </w:rPr>
        <w:footnoteRef/>
      </w:r>
      <w:r w:rsidRPr="00E72418">
        <w:t xml:space="preserve"> Sur les obligations en matière de droits de l’homme pesant sur les créanciers privés, voyez M. </w:t>
      </w:r>
      <w:r w:rsidRPr="00E72418">
        <w:rPr>
          <w:smallCaps/>
        </w:rPr>
        <w:t>Goldmann</w:t>
      </w:r>
      <w:r w:rsidRPr="00E72418">
        <w:t xml:space="preserve">, « Human Rights and Sovereign Debt Workouts </w:t>
      </w:r>
      <w:r w:rsidRPr="00E72418">
        <w:rPr>
          <w:rFonts w:eastAsia="Times New Roman"/>
          <w:lang w:eastAsia="fr-BE"/>
        </w:rPr>
        <w:t>»</w:t>
      </w:r>
      <w:r w:rsidRPr="00E72418">
        <w:t xml:space="preserve">, </w:t>
      </w:r>
      <w:r w:rsidRPr="00E72418">
        <w:rPr>
          <w:i/>
        </w:rPr>
        <w:t>op. cit.</w:t>
      </w:r>
      <w:r w:rsidRPr="00E72418">
        <w:t>, pp. 98 et 99 qui note notamment que « [s</w:t>
      </w:r>
      <w:r w:rsidRPr="00E72418">
        <w:rPr>
          <w:szCs w:val="20"/>
        </w:rPr>
        <w:t>]</w:t>
      </w:r>
      <w:r w:rsidRPr="00E72418">
        <w:t>uch horizontal human rights effects […</w:t>
      </w:r>
      <w:r w:rsidRPr="00E72418">
        <w:rPr>
          <w:szCs w:val="20"/>
        </w:rPr>
        <w:t>]</w:t>
      </w:r>
      <w:r w:rsidRPr="00E72418">
        <w:t xml:space="preserve"> find theoretical support in the very idea of human rights as the expression of the minimum of mutual respect which individuals owe each other in a society ».</w:t>
      </w:r>
    </w:p>
  </w:footnote>
  <w:footnote w:id="2073">
    <w:p w14:paraId="7C18D05D" w14:textId="7B8B69AD"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N. Jagers</w:t>
      </w:r>
      <w:r w:rsidRPr="00E72418">
        <w:rPr>
          <w:szCs w:val="20"/>
          <w:lang w:val="en-US"/>
        </w:rPr>
        <w:t xml:space="preserve">, « Sovereign Financing and the Human Rights Responsibilities of Private Creditors », </w:t>
      </w:r>
      <w:r w:rsidRPr="00E72418">
        <w:rPr>
          <w:i/>
          <w:szCs w:val="20"/>
          <w:lang w:val="en-US"/>
        </w:rPr>
        <w:t>op. cit.</w:t>
      </w:r>
      <w:r w:rsidRPr="00E72418">
        <w:rPr>
          <w:szCs w:val="20"/>
          <w:lang w:val="en-US"/>
        </w:rPr>
        <w:t>, p. 185.</w:t>
      </w:r>
    </w:p>
  </w:footnote>
  <w:footnote w:id="2074">
    <w:p w14:paraId="5EFE7A11" w14:textId="40290BFA" w:rsidR="0030147D" w:rsidRPr="00E72418" w:rsidRDefault="0030147D" w:rsidP="004106B1">
      <w:pPr>
        <w:pStyle w:val="Sansinterligne"/>
        <w:rPr>
          <w:szCs w:val="20"/>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190. Pour l’auteur toutefois cette responsabilité se dilue lorsque les titres sont acquis sur le marché secondaire. Il note ainsi que « [t]he private creditors may then be so remote from the lenders’ human rights violations that it is simply impossible to attribute any human rights responsibility to those private creditors » (</w:t>
      </w:r>
      <w:r w:rsidRPr="00E72418">
        <w:rPr>
          <w:i/>
          <w:szCs w:val="20"/>
          <w:lang w:val="en-US"/>
        </w:rPr>
        <w:t>ibid.</w:t>
      </w:r>
      <w:r w:rsidRPr="00E72418">
        <w:rPr>
          <w:szCs w:val="20"/>
          <w:lang w:val="en-US"/>
        </w:rPr>
        <w:t xml:space="preserve">, p. 196). </w:t>
      </w:r>
      <w:r w:rsidRPr="00E72418">
        <w:rPr>
          <w:szCs w:val="20"/>
        </w:rPr>
        <w:t>L’existence d’un lien de causalité directe entre les activités des fonds spéculatifs et leurs incidences négatives sur les droits de l’homme ne nous paraît toutefois pas requise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19). Dès lors que l’on donne poids au risque des activités des fonds spéculatifs caractérisé par le statut particulier des débiteurs visés, l’argument de l’inexistence d’un lien de causalité ne saurait prospérer sous peine de mettre à néant la considération de la soutenabilité. Il est en effet difficile, pour ne pas dire impossible, de tracer l’argent en matière de dettes souveraines et d’ainsi juger de son impact immédiat sur les droits des populations concernées </w:t>
      </w:r>
      <w:r w:rsidRPr="00E72418">
        <w:rPr>
          <w:szCs w:val="20"/>
          <w:lang w:val="en-US"/>
        </w:rPr>
        <w:t>(</w:t>
      </w:r>
      <w:r w:rsidRPr="00E72418">
        <w:rPr>
          <w:rStyle w:val="Titre5Car"/>
          <w:rFonts w:ascii="Times" w:eastAsiaTheme="minorHAnsi" w:hAnsi="Times" w:cstheme="minorBidi"/>
          <w:smallCaps/>
          <w:color w:val="auto"/>
          <w:szCs w:val="20"/>
          <w:lang w:val="en-US"/>
        </w:rPr>
        <w:t xml:space="preserve">J. </w:t>
      </w:r>
      <w:r w:rsidRPr="00E72418">
        <w:rPr>
          <w:smallCaps/>
          <w:szCs w:val="20"/>
          <w:lang w:val="en-US"/>
        </w:rPr>
        <w:t>Bohoslavsky</w:t>
      </w:r>
      <w:r w:rsidRPr="00E72418">
        <w:rPr>
          <w:szCs w:val="20"/>
          <w:lang w:val="en-US"/>
        </w:rPr>
        <w:t xml:space="preserve"> et </w:t>
      </w:r>
      <w:r w:rsidRPr="00E72418">
        <w:rPr>
          <w:smallCaps/>
          <w:szCs w:val="20"/>
          <w:lang w:val="en-US"/>
        </w:rPr>
        <w:t>J. Cernic</w:t>
      </w:r>
      <w:r w:rsidRPr="00E72418">
        <w:rPr>
          <w:szCs w:val="20"/>
          <w:lang w:val="en-US"/>
        </w:rPr>
        <w:t xml:space="preserve">, « Placing Human Rights at the Centre of Sovereign Financing », </w:t>
      </w:r>
      <w:r w:rsidRPr="00E72418">
        <w:rPr>
          <w:i/>
          <w:szCs w:val="20"/>
          <w:lang w:val="en-US"/>
        </w:rPr>
        <w:t>op. cit.</w:t>
      </w:r>
      <w:r w:rsidRPr="00E72418">
        <w:rPr>
          <w:szCs w:val="20"/>
          <w:lang w:val="en-US"/>
        </w:rPr>
        <w:t>, p. 4 : « there is an inherent difficulty in tracing money and then assessing its impact on a given human rights context, aggravated in part because international law has historically dealt exclusively with the nation state system and corporations have largely evaded oversight given their status in the cracks of that particular legal regime »).</w:t>
      </w:r>
    </w:p>
  </w:footnote>
  <w:footnote w:id="2075">
    <w:p w14:paraId="0914CC52" w14:textId="39BF1658" w:rsidR="0030147D" w:rsidRPr="00E72418" w:rsidRDefault="0030147D" w:rsidP="000B23A9">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du Représentant spécial du Secrétaire général chargé de la question des droits de l’homme et des sociétés transnationales et autres entreprises </w:t>
      </w:r>
      <w:r w:rsidRPr="00E72418">
        <w:rPr>
          <w:rFonts w:ascii="Times New Roman" w:hAnsi="Times New Roman" w:cs="Times New Roman"/>
          <w:b/>
          <w:i/>
          <w:szCs w:val="24"/>
        </w:rPr>
        <w:t>–</w:t>
      </w:r>
      <w:r w:rsidRPr="00E72418">
        <w:rPr>
          <w:rFonts w:ascii="Times New Roman" w:hAnsi="Times New Roman" w:cs="Times New Roman"/>
          <w:i/>
          <w:szCs w:val="24"/>
        </w:rPr>
        <w:t xml:space="preserve"> Principes directeurs relatifs aux entreprises et aux droits de l’homme: mise en </w:t>
      </w:r>
      <w:r w:rsidRPr="00E72418">
        <w:rPr>
          <w:i/>
          <w:szCs w:val="20"/>
        </w:rPr>
        <w:t>œuvre</w:t>
      </w:r>
      <w:r w:rsidRPr="00E72418">
        <w:rPr>
          <w:rFonts w:ascii="Times New Roman" w:hAnsi="Times New Roman" w:cs="Times New Roman"/>
          <w:i/>
          <w:szCs w:val="24"/>
        </w:rPr>
        <w:t xml:space="preserve"> du cadre de référence « protéger, respecter et réparer » des Nations Unies</w:t>
      </w:r>
      <w:r w:rsidRPr="00E72418">
        <w:rPr>
          <w:rFonts w:ascii="Times New Roman" w:hAnsi="Times New Roman" w:cs="Times New Roman"/>
          <w:szCs w:val="24"/>
        </w:rPr>
        <w:t>, 21 mars 2011, A/HRC/17/31</w:t>
      </w:r>
      <w:r w:rsidRPr="00E72418">
        <w:t xml:space="preserve">. Voyez déjà </w:t>
      </w:r>
      <w:r w:rsidRPr="00E72418">
        <w:rPr>
          <w:i/>
        </w:rPr>
        <w:t>supra</w:t>
      </w:r>
      <w:r w:rsidRPr="00E72418">
        <w:t xml:space="preserve"> n° 38 sur ces principes.</w:t>
      </w:r>
    </w:p>
  </w:footnote>
  <w:footnote w:id="2076">
    <w:p w14:paraId="0AE73774" w14:textId="7E1A6089" w:rsidR="0030147D" w:rsidRPr="00E72418" w:rsidRDefault="0030147D" w:rsidP="00C826EA">
      <w:pPr>
        <w:pStyle w:val="Sansinterligne"/>
      </w:pPr>
      <w:r w:rsidRPr="00E72418">
        <w:rPr>
          <w:rStyle w:val="Appelnotedebasdep"/>
        </w:rPr>
        <w:footnoteRef/>
      </w:r>
      <w:r w:rsidRPr="00E72418">
        <w:t xml:space="preserve"> Conseil des droits de l’homme des Nations Unies, </w:t>
      </w:r>
      <w:r w:rsidRPr="00E72418">
        <w:rPr>
          <w:i/>
        </w:rPr>
        <w:t>Les effets de la dette extérieure et des obligations financières internationales connexes des États sur le plein exercice de tous les droits de l’homme, particulièrement des droits économiques, sociaux et culturels</w:t>
      </w:r>
      <w:r w:rsidRPr="00E72418">
        <w:t xml:space="preserve">, 5 juillet 2012, A/HRC/RES/20/10, p. 4. Sur la préoccupation des Nations Unies au sujet des activités des fonds </w:t>
      </w:r>
      <w:r>
        <w:t>spéculatifs</w:t>
      </w:r>
      <w:r w:rsidRPr="00E72418">
        <w:t xml:space="preserve">, voyez </w:t>
      </w:r>
      <w:r w:rsidRPr="00E72418">
        <w:rPr>
          <w:i/>
        </w:rPr>
        <w:t>supra</w:t>
      </w:r>
      <w:r w:rsidRPr="00E72418">
        <w:t xml:space="preserve"> n</w:t>
      </w:r>
      <w:r w:rsidRPr="00E72418">
        <w:rPr>
          <w:vertAlign w:val="superscript"/>
        </w:rPr>
        <w:t>os</w:t>
      </w:r>
      <w:r w:rsidRPr="00E72418">
        <w:t xml:space="preserve"> 144 et suiv.</w:t>
      </w:r>
    </w:p>
  </w:footnote>
  <w:footnote w:id="2077">
    <w:p w14:paraId="0732F684" w14:textId="1AEBD441" w:rsidR="0030147D" w:rsidRPr="00E72418" w:rsidRDefault="0030147D" w:rsidP="009B5B86">
      <w:pPr>
        <w:pStyle w:val="Sansinterligne"/>
      </w:pPr>
      <w:r w:rsidRPr="00E72418">
        <w:rPr>
          <w:rStyle w:val="Appelnotedebasdep"/>
        </w:rPr>
        <w:footnoteRef/>
      </w:r>
      <w:r w:rsidRPr="00E72418">
        <w:t xml:space="preserve"> P. </w:t>
      </w:r>
      <w:r w:rsidRPr="00E72418">
        <w:rPr>
          <w:smallCaps/>
        </w:rPr>
        <w:t>Weil</w:t>
      </w:r>
      <w:r w:rsidRPr="00E72418">
        <w:t xml:space="preserve">, « Problèmes relatifs aux contrats passés entre un </w:t>
      </w:r>
      <w:r w:rsidRPr="00E72418">
        <w:rPr>
          <w:rFonts w:ascii="Times New Roman" w:hAnsi="Times New Roman" w:cs="Times New Roman"/>
          <w:lang w:eastAsia="fr-BE"/>
        </w:rPr>
        <w:t>É</w:t>
      </w:r>
      <w:r w:rsidRPr="00E72418">
        <w:t>tat et un particulier », </w:t>
      </w:r>
      <w:r w:rsidRPr="00E72418">
        <w:rPr>
          <w:i/>
        </w:rPr>
        <w:t>Recueil des Cours de l’Académie de Droit International de La Haye</w:t>
      </w:r>
      <w:r w:rsidRPr="00E72418">
        <w:t>, 1969, p. 188.</w:t>
      </w:r>
    </w:p>
  </w:footnote>
  <w:footnote w:id="2078">
    <w:p w14:paraId="639DC8CC" w14:textId="5FE90C93"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Sommet des chefs d’État et de gouvernement du Groupe des 77, </w:t>
      </w:r>
      <w:r w:rsidRPr="00E72418">
        <w:rPr>
          <w:rFonts w:ascii="Times New Roman" w:hAnsi="Times New Roman" w:cs="Times New Roman"/>
          <w:szCs w:val="24"/>
        </w:rPr>
        <w:t>« Vers un nouvel ordre mondial pour bien vivre</w:t>
      </w:r>
      <w:r w:rsidRPr="00E72418">
        <w:rPr>
          <w:rFonts w:ascii="Times New Roman" w:hAnsi="Times New Roman" w:cs="Times New Roman"/>
          <w:i/>
          <w:szCs w:val="24"/>
        </w:rPr>
        <w:t xml:space="preserve"> </w:t>
      </w:r>
      <w:r w:rsidRPr="00E72418">
        <w:rPr>
          <w:rFonts w:ascii="Times New Roman" w:hAnsi="Times New Roman" w:cs="Times New Roman"/>
          <w:szCs w:val="24"/>
        </w:rPr>
        <w:t>»</w:t>
      </w:r>
      <w:r w:rsidRPr="00E72418">
        <w:rPr>
          <w:szCs w:val="20"/>
        </w:rPr>
        <w:t>, 7 juillet 2014, A/68/948, point 128.</w:t>
      </w:r>
    </w:p>
  </w:footnote>
  <w:footnote w:id="2079">
    <w:p w14:paraId="372D2628" w14:textId="690B4D7E" w:rsidR="0030147D" w:rsidRPr="00E72418" w:rsidRDefault="0030147D" w:rsidP="004106B1">
      <w:pPr>
        <w:pStyle w:val="Sansinterligne"/>
        <w:rPr>
          <w:rFonts w:cs="Times"/>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xml:space="preserve">, p. 17. </w:t>
      </w:r>
      <w:r w:rsidRPr="00E72418">
        <w:rPr>
          <w:rFonts w:cs="Times"/>
          <w:szCs w:val="20"/>
        </w:rPr>
        <w:t xml:space="preserve">Le Comité remarque néanmoins qu’est controversée la question de l’obligation pour les </w:t>
      </w:r>
      <w:r w:rsidRPr="00E72418">
        <w:rPr>
          <w:rFonts w:cs="Times New Roman"/>
          <w:szCs w:val="20"/>
        </w:rPr>
        <w:t>É</w:t>
      </w:r>
      <w:r w:rsidRPr="00E72418">
        <w:rPr>
          <w:rFonts w:cs="Times"/>
          <w:szCs w:val="20"/>
        </w:rPr>
        <w:t xml:space="preserve">tats de rembourser leur dette aux fonds spéculatifs même s’ils ne peuvent le faire qu’en renonçant à satisfaire les besoins sociaux essentiels de leur population. </w:t>
      </w:r>
    </w:p>
  </w:footnote>
  <w:footnote w:id="2080">
    <w:p w14:paraId="5A1DA386" w14:textId="6E1F5871" w:rsidR="0030147D" w:rsidRPr="00E72418" w:rsidRDefault="0030147D" w:rsidP="007429E8">
      <w:pPr>
        <w:pStyle w:val="Sansinterligne"/>
        <w:rPr>
          <w:lang w:val="fr-FR"/>
        </w:rPr>
      </w:pPr>
      <w:r w:rsidRPr="00E72418">
        <w:rPr>
          <w:rStyle w:val="Appelnotedebasdep"/>
          <w:szCs w:val="20"/>
        </w:rPr>
        <w:footnoteRef/>
      </w:r>
      <w:r w:rsidRPr="00E72418">
        <w:t xml:space="preserve"> </w:t>
      </w:r>
      <w:r w:rsidRPr="00E72418">
        <w:rPr>
          <w:smallCaps/>
        </w:rPr>
        <w:t>M. Megliani</w:t>
      </w:r>
      <w:r w:rsidRPr="00E72418">
        <w:t xml:space="preserve">, « For the Orphan, the Widow, the Poor: How to Curb Enforcing by Vulture Funds against the Highly Indebted Poor Countries », </w:t>
      </w:r>
      <w:r w:rsidRPr="00E72418">
        <w:rPr>
          <w:i/>
        </w:rPr>
        <w:t>op. cit.</w:t>
      </w:r>
      <w:r w:rsidRPr="00E72418">
        <w:t>, p. 374. Notons néanmoins que l’argument trouve une forme de déclinaison dans le critère complétif et alternatif de la loi belge de 2015 repris en son article 2, alinéa 4, dernier alinéa, suivant lequel « le remboursement intégral des sommes réclamées par le créancier aurait un impact défavorable identifiable sur les finances publiques de l’</w:t>
      </w:r>
      <w:r w:rsidRPr="00E72418">
        <w:rPr>
          <w:rFonts w:cs="Times New Roman"/>
          <w:szCs w:val="20"/>
        </w:rPr>
        <w:t>É</w:t>
      </w:r>
      <w:r w:rsidRPr="00E72418">
        <w:t xml:space="preserve">tat débiteur et est susceptible de compromettre le développement socio-économique de sa population » (sur ce critère, voyez </w:t>
      </w:r>
      <w:r w:rsidRPr="00E72418">
        <w:rPr>
          <w:i/>
        </w:rPr>
        <w:t>supra</w:t>
      </w:r>
      <w:r w:rsidRPr="00E72418">
        <w:t xml:space="preserve"> n° 347).</w:t>
      </w:r>
    </w:p>
  </w:footnote>
  <w:footnote w:id="2081">
    <w:p w14:paraId="4E5444A6" w14:textId="39FB9FA6" w:rsidR="0030147D" w:rsidRPr="00E72418" w:rsidRDefault="0030147D" w:rsidP="00F079F4">
      <w:pPr>
        <w:pStyle w:val="Sansinterligne"/>
      </w:pPr>
      <w:r w:rsidRPr="00E72418">
        <w:rPr>
          <w:rStyle w:val="Appelnotedebasdep"/>
        </w:rPr>
        <w:footnoteRef/>
      </w:r>
      <w:r w:rsidRPr="00E72418">
        <w:t xml:space="preserve"> Il nous paraît préférable que cet argument soit traduit dans le mécanisme anti-spéculation mis en place plutôt qu’il soit directement formulé comme défense dans le cadre de contentieux comme l’avait, par exemple, avancé la République argentine devant la </w:t>
      </w:r>
      <w:r w:rsidRPr="00F1587D">
        <w:rPr>
          <w:shd w:val="clear" w:color="auto" w:fill="FFFFFF"/>
        </w:rPr>
        <w:t>United States Court of Appeals for the Second Circuit au</w:t>
      </w:r>
      <w:r w:rsidRPr="00E72418">
        <w:rPr>
          <w:shd w:val="clear" w:color="auto" w:fill="FFFFFF"/>
        </w:rPr>
        <w:t xml:space="preserve"> sujet de l’injonction </w:t>
      </w:r>
      <w:r w:rsidRPr="00E72418">
        <w:t xml:space="preserve">poursuivie par la société </w:t>
      </w:r>
      <w:r w:rsidRPr="00E72418">
        <w:rPr>
          <w:i/>
        </w:rPr>
        <w:t xml:space="preserve">NML Capital Ltd. </w:t>
      </w:r>
      <w:r w:rsidRPr="00E72418">
        <w:t xml:space="preserve">(voyez </w:t>
      </w:r>
      <w:r w:rsidRPr="00E72418">
        <w:rPr>
          <w:i/>
        </w:rPr>
        <w:t>supra</w:t>
      </w:r>
      <w:r w:rsidRPr="00E72418">
        <w:t xml:space="preserve"> n</w:t>
      </w:r>
      <w:r w:rsidRPr="00E72418">
        <w:rPr>
          <w:vertAlign w:val="superscript"/>
        </w:rPr>
        <w:t>os</w:t>
      </w:r>
      <w:r w:rsidRPr="00E72418">
        <w:t xml:space="preserve"> 182 et suiv.). Le pays attaqué excipait que le paiement sollicité allait le faire plonger dans une nouvelle crise financière et économique. L’argument ne fit toutefois pas mouche, la juridiction jugeant dans sa décision du 26 octobre 2012 que la République argentine avait suffisamment d’argent pour payer (</w:t>
      </w:r>
      <w:r w:rsidRPr="00E72418">
        <w:rPr>
          <w:lang w:val="en-US"/>
        </w:rPr>
        <w:t xml:space="preserve">United States Court of Appeals for the Second Circuit (EUA), 26 octobre 2012, </w:t>
      </w:r>
      <w:r w:rsidRPr="00E72418">
        <w:rPr>
          <w:i/>
          <w:lang w:val="en-US"/>
        </w:rPr>
        <w:t>NML Capital, Ltd. and others c. Republic of Argentina</w:t>
      </w:r>
      <w:r w:rsidRPr="00E72418">
        <w:rPr>
          <w:lang w:val="en-US"/>
        </w:rPr>
        <w:t xml:space="preserve">, </w:t>
      </w:r>
      <w:r w:rsidRPr="00E72418">
        <w:rPr>
          <w:rStyle w:val="injectednode"/>
          <w:lang w:val="en-US"/>
        </w:rPr>
        <w:t>699 F.3d 246, p. 263)</w:t>
      </w:r>
      <w:r w:rsidRPr="00E72418">
        <w:t xml:space="preserve">. </w:t>
      </w:r>
      <w:r w:rsidRPr="00E72418">
        <w:rPr>
          <w:lang w:val="en-US"/>
        </w:rPr>
        <w:t xml:space="preserve">Dans sa décision du 23 août 2013, la cour d’appel maintint son propos en l’explicitant comme suit : </w:t>
      </w:r>
      <w:r w:rsidRPr="002330A9">
        <w:rPr>
          <w:rFonts w:cs="Times New Roman"/>
          <w:szCs w:val="24"/>
          <w:lang w:val="en-US"/>
        </w:rPr>
        <w:t>« </w:t>
      </w:r>
      <w:r w:rsidRPr="00E72418">
        <w:rPr>
          <w:rFonts w:cs="Times New Roman"/>
          <w:szCs w:val="24"/>
          <w:lang w:val="en-US"/>
        </w:rPr>
        <w:t xml:space="preserve">Argentina and the Euro Bondholders warn that Argentina may not be able to pay or that paying will cause problems in the Argentine economy, which could affect the global economy. But as we observed in our last opinion, other than this speculation, “Argentina makes no real argument that, to avoid defaulting on its other debt, it cannot afford to service the defaulted debt, and it certainly fails to demonstrate that the district court’s finding to the contrary was clearly erroneous.” </w:t>
      </w:r>
      <w:r w:rsidRPr="00E72418">
        <w:rPr>
          <w:lang w:val="en-US"/>
        </w:rPr>
        <w:t xml:space="preserve">[…] </w:t>
      </w:r>
      <w:r w:rsidRPr="00E72418">
        <w:rPr>
          <w:rFonts w:cs="Times New Roman"/>
          <w:szCs w:val="24"/>
          <w:lang w:val="en-US"/>
        </w:rPr>
        <w:t>Moreover, and perhaps more critically, Argentina failed to present the district court with any record evidence to support its assertions » (</w:t>
      </w:r>
      <w:r w:rsidRPr="00E72418">
        <w:rPr>
          <w:lang w:val="en-US"/>
        </w:rPr>
        <w:t xml:space="preserve">United States Court of Appeals for the Second Circuit (EUA), </w:t>
      </w:r>
      <w:r w:rsidRPr="00E72418">
        <w:rPr>
          <w:rStyle w:val="injectednode"/>
          <w:lang w:val="en-US"/>
        </w:rPr>
        <w:t xml:space="preserve">23 août 2013, </w:t>
      </w:r>
      <w:r w:rsidRPr="00E72418">
        <w:rPr>
          <w:i/>
          <w:lang w:val="en-US"/>
        </w:rPr>
        <w:t>NML Capital, Ltd. v. Republic of Arg.</w:t>
      </w:r>
      <w:r w:rsidRPr="00E72418">
        <w:rPr>
          <w:rStyle w:val="injectednode"/>
          <w:lang w:val="en-US"/>
        </w:rPr>
        <w:t>, 727 F.3d 230, p. 246).</w:t>
      </w:r>
    </w:p>
  </w:footnote>
  <w:footnote w:id="2082">
    <w:p w14:paraId="3E172119" w14:textId="59DB9C49"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 xml:space="preserve">J. </w:t>
      </w:r>
      <w:r w:rsidRPr="00E72418">
        <w:rPr>
          <w:smallCaps/>
          <w:szCs w:val="20"/>
          <w:lang w:val="en-US"/>
        </w:rPr>
        <w:t>Bohoslavsky</w:t>
      </w:r>
      <w:r w:rsidRPr="00E72418">
        <w:rPr>
          <w:szCs w:val="20"/>
          <w:lang w:val="en-US"/>
        </w:rPr>
        <w:t xml:space="preserve"> et </w:t>
      </w:r>
      <w:r w:rsidRPr="00E72418">
        <w:rPr>
          <w:smallCaps/>
          <w:szCs w:val="20"/>
          <w:lang w:val="en-US"/>
        </w:rPr>
        <w:t>J. Cernic</w:t>
      </w:r>
      <w:r w:rsidRPr="00E72418">
        <w:rPr>
          <w:szCs w:val="20"/>
          <w:lang w:val="en-US"/>
        </w:rPr>
        <w:t xml:space="preserve">, « Placing Human Rights at the Centre of Sovereign Financing », </w:t>
      </w:r>
      <w:r w:rsidRPr="00E72418">
        <w:rPr>
          <w:i/>
          <w:szCs w:val="20"/>
          <w:lang w:val="en-US"/>
        </w:rPr>
        <w:t>op. cit.</w:t>
      </w:r>
      <w:r w:rsidRPr="00E72418">
        <w:rPr>
          <w:szCs w:val="20"/>
          <w:lang w:val="en-US"/>
        </w:rPr>
        <w:t>, p. 5.</w:t>
      </w:r>
    </w:p>
  </w:footnote>
  <w:footnote w:id="2083">
    <w:p w14:paraId="602CA838" w14:textId="6A4BAE00" w:rsidR="0030147D" w:rsidRPr="00E72418" w:rsidRDefault="0030147D" w:rsidP="0041018E">
      <w:pPr>
        <w:pStyle w:val="Sansinterligne"/>
        <w:rPr>
          <w:rFonts w:ascii="Times New Roman" w:hAnsi="Times New Roman" w:cs="Times New Roman"/>
          <w:szCs w:val="20"/>
        </w:rPr>
      </w:pPr>
      <w:r w:rsidRPr="00E72418">
        <w:rPr>
          <w:rStyle w:val="Appelnotedebasdep"/>
        </w:rPr>
        <w:footnoteRef/>
      </w:r>
      <w:r w:rsidRPr="00E72418">
        <w:t xml:space="preserve"> L’on verra (</w:t>
      </w:r>
      <w:r w:rsidRPr="00E72418">
        <w:rPr>
          <w:i/>
        </w:rPr>
        <w:t>infra</w:t>
      </w:r>
      <w:r>
        <w:t xml:space="preserve"> n° 415</w:t>
      </w:r>
      <w:r w:rsidRPr="00E72418">
        <w:t xml:space="preserve">) que la voie de la limitation doit être empruntée plutôt que celle de l’interdiction dans le souci notamment de ne pas torpiller certains mérites accordés aux fonds spéculateurs (sur ces mérites, voyez </w:t>
      </w:r>
      <w:r w:rsidRPr="00E72418">
        <w:rPr>
          <w:i/>
        </w:rPr>
        <w:t>supra</w:t>
      </w:r>
      <w:r w:rsidRPr="00E72418">
        <w:t xml:space="preserve"> n</w:t>
      </w:r>
      <w:r w:rsidRPr="00E72418">
        <w:rPr>
          <w:vertAlign w:val="superscript"/>
        </w:rPr>
        <w:t>os</w:t>
      </w:r>
      <w:r w:rsidRPr="00E72418">
        <w:t xml:space="preserve"> 157 et suiv.). Ceci s’inscrit dans l’idée de l’Assemblée générale des Nations Unies suivant laquelle « </w:t>
      </w:r>
      <w:r w:rsidRPr="00E72418">
        <w:rPr>
          <w:rFonts w:ascii="Times New Roman" w:hAnsi="Times New Roman" w:cs="Times New Roman"/>
          <w:szCs w:val="20"/>
        </w:rPr>
        <w:t>une sortie de crise de la dette souveraine doit viser à rétablir la viabilité de la dette publique tout en préservant l’accès à des financements assortis de conditions favorables</w:t>
      </w:r>
      <w:r w:rsidRPr="00E72418">
        <w:t> » (</w:t>
      </w:r>
      <w:r w:rsidRPr="00E72418">
        <w:rPr>
          <w:szCs w:val="20"/>
        </w:rPr>
        <w:t xml:space="preserve">Assemblée générale des Nations Unies, </w:t>
      </w:r>
      <w:r w:rsidRPr="00E72418">
        <w:rPr>
          <w:i/>
          <w:szCs w:val="20"/>
        </w:rPr>
        <w:t>Programme d’action d’Addis-Abeba issu de la troisième Conférence internationale sur le financement du développement (programme d’action d’Addis-Abeba)</w:t>
      </w:r>
      <w:r w:rsidRPr="00E72418">
        <w:rPr>
          <w:szCs w:val="20"/>
        </w:rPr>
        <w:t>, A/RES/69/313, 17 août 2015, p. 32</w:t>
      </w:r>
      <w:r w:rsidRPr="00E72418">
        <w:t>).</w:t>
      </w:r>
    </w:p>
  </w:footnote>
  <w:footnote w:id="2084">
    <w:p w14:paraId="00106F26" w14:textId="676B9E41" w:rsidR="0030147D" w:rsidRPr="00E72418" w:rsidRDefault="0030147D" w:rsidP="00C92D3D">
      <w:pPr>
        <w:pStyle w:val="Sansinterligne"/>
      </w:pPr>
      <w:r w:rsidRPr="00E72418">
        <w:rPr>
          <w:rStyle w:val="Appelnotedebasdep"/>
        </w:rPr>
        <w:footnoteRef/>
      </w:r>
      <w:r w:rsidRPr="00E72418">
        <w:t xml:space="preserve"> Supreme Court of the United States (EUA), 4 décembre 1905, </w:t>
      </w:r>
      <w:r w:rsidRPr="00E72418">
        <w:rPr>
          <w:rFonts w:cs="Times"/>
          <w:i/>
        </w:rPr>
        <w:t>Manigault c. Springs</w:t>
      </w:r>
      <w:r w:rsidRPr="00E72418">
        <w:t>, 26 S. Ct. 127, p. 130.</w:t>
      </w:r>
    </w:p>
  </w:footnote>
  <w:footnote w:id="2085">
    <w:p w14:paraId="77EC8F97" w14:textId="34F00587" w:rsidR="0030147D" w:rsidRPr="00E72418" w:rsidRDefault="0030147D" w:rsidP="00570C78">
      <w:pPr>
        <w:pStyle w:val="Sansinterligne"/>
      </w:pPr>
      <w:r w:rsidRPr="00E72418">
        <w:rPr>
          <w:rStyle w:val="Appelnotedebasdep"/>
        </w:rPr>
        <w:footnoteRef/>
      </w:r>
      <w:r w:rsidRPr="00E72418">
        <w:t xml:space="preserve"> M.-A. </w:t>
      </w:r>
      <w:r w:rsidRPr="00E72418">
        <w:rPr>
          <w:smallCaps/>
        </w:rPr>
        <w:t xml:space="preserve">Frison-Roche, </w:t>
      </w:r>
      <w:r w:rsidRPr="00E72418">
        <w:t xml:space="preserve">« La mondialisation du point de vue du Droit », in </w:t>
      </w:r>
      <w:r w:rsidRPr="00E72418">
        <w:rPr>
          <w:i/>
        </w:rPr>
        <w:t>La mondialisation</w:t>
      </w:r>
      <w:r w:rsidRPr="00E72418">
        <w:t>, Larcier, 2017, p. 29. L’auteure y prend l’exemple des fonds spéculatifs et indique que « </w:t>
      </w:r>
      <w:r w:rsidRPr="00E72418">
        <w:rPr>
          <w:lang w:val="en-US"/>
        </w:rPr>
        <w:t>[l]</w:t>
      </w:r>
      <w:r w:rsidRPr="00E72418">
        <w:t>es fonds souverains ont pour but de protéger les personnes, les fonds vautours sont indifférents à la destruction des personnes que leur voracité provoque. En conséquence, les tribunaux vont donner des droits supplémentaires aux premiers et priver de prérogatives essentielles, notamment du droit d’être payé, les seconds ».</w:t>
      </w:r>
    </w:p>
  </w:footnote>
  <w:footnote w:id="2086">
    <w:p w14:paraId="785AF79E" w14:textId="2BEB1C9C" w:rsidR="0030147D" w:rsidRPr="00E72418" w:rsidRDefault="0030147D" w:rsidP="00C62826">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 xml:space="preserve">os </w:t>
      </w:r>
      <w:r w:rsidRPr="00E72418">
        <w:t>360 à 369 pour le premier droit et n</w:t>
      </w:r>
      <w:r w:rsidRPr="00E72418">
        <w:rPr>
          <w:vertAlign w:val="superscript"/>
        </w:rPr>
        <w:t>os</w:t>
      </w:r>
      <w:r w:rsidRPr="00E72418">
        <w:t xml:space="preserve"> 370 à 374 pour le second.</w:t>
      </w:r>
    </w:p>
  </w:footnote>
  <w:footnote w:id="2087">
    <w:p w14:paraId="13BBFD0E" w14:textId="2E46F541" w:rsidR="0030147D" w:rsidRPr="00E72418" w:rsidRDefault="0030147D" w:rsidP="00277D7D">
      <w:pPr>
        <w:pStyle w:val="Sansinterligne"/>
      </w:pPr>
      <w:r w:rsidRPr="00E72418">
        <w:rPr>
          <w:rStyle w:val="Appelnotedebasdep"/>
        </w:rPr>
        <w:footnoteRef/>
      </w:r>
      <w:r w:rsidRPr="00E72418">
        <w:t xml:space="preserve"> Comme le note Caroline Lequesne-Roth généralement au sujet de l’appréhension qu’il importe de faire des crises des dettes souveraines : « </w:t>
      </w:r>
      <w:r w:rsidRPr="00E72418">
        <w:rPr>
          <w:lang w:val="en-US"/>
        </w:rPr>
        <w:t>[i]l s’agit de garantir les droits des créanciers contre l’arbitraire étatique tout en prévenant les abus de droit que la protection effective de ces derniers peut inspirer » (</w:t>
      </w:r>
      <w:r w:rsidRPr="00E72418">
        <w:rPr>
          <w:smallCaps/>
        </w:rPr>
        <w:t>C. Lequesne-Roth</w:t>
      </w:r>
      <w:r w:rsidRPr="00E72418">
        <w:t xml:space="preserve">, « Remédier à l’insolvabilité des </w:t>
      </w:r>
      <w:r w:rsidRPr="00E72418">
        <w:rPr>
          <w:lang w:eastAsia="fr-BE"/>
        </w:rPr>
        <w:t>É</w:t>
      </w:r>
      <w:r w:rsidRPr="00E72418">
        <w:t xml:space="preserve">tats », </w:t>
      </w:r>
      <w:r w:rsidRPr="00E72418">
        <w:rPr>
          <w:i/>
        </w:rPr>
        <w:t>op. cit.</w:t>
      </w:r>
      <w:r w:rsidRPr="00E72418">
        <w:t>, p. 154).</w:t>
      </w:r>
    </w:p>
  </w:footnote>
  <w:footnote w:id="2088">
    <w:p w14:paraId="2DE7C2E6" w14:textId="65E47C52" w:rsidR="0030147D" w:rsidRPr="00E72418" w:rsidRDefault="0030147D" w:rsidP="00277D7D">
      <w:pPr>
        <w:pStyle w:val="Sansinterligne"/>
        <w:rPr>
          <w:szCs w:val="20"/>
          <w:lang w:val="en-US"/>
        </w:rPr>
      </w:pPr>
      <w:r w:rsidRPr="00E72418">
        <w:rPr>
          <w:rStyle w:val="Appelnotedebasdep"/>
          <w:szCs w:val="20"/>
        </w:rPr>
        <w:footnoteRef/>
      </w:r>
      <w:r w:rsidRPr="00E72418">
        <w:rPr>
          <w:szCs w:val="20"/>
          <w:lang w:val="en-US"/>
        </w:rPr>
        <w:t xml:space="preserve"> Joshua Burress le souligne, « [o]ne thing is for certain, when it comes to issues that have the potential to significantly impact sovereign relations, decision-makers should tread lightly » (</w:t>
      </w:r>
      <w:r w:rsidRPr="00E72418">
        <w:rPr>
          <w:smallCaps/>
          <w:szCs w:val="20"/>
          <w:lang w:val="en-US"/>
        </w:rPr>
        <w:t>J. Burress</w:t>
      </w:r>
      <w:r w:rsidRPr="00E72418">
        <w:rPr>
          <w:szCs w:val="20"/>
          <w:lang w:val="en-US"/>
        </w:rPr>
        <w:t xml:space="preserve">, « Sovereign Disobedience: The Role of U.S. Courts in Curtailing the Proliferation of Sovereign Default », </w:t>
      </w:r>
      <w:r w:rsidRPr="00E72418">
        <w:rPr>
          <w:i/>
          <w:szCs w:val="20"/>
          <w:lang w:val="en-US"/>
        </w:rPr>
        <w:t>op. cit.</w:t>
      </w:r>
      <w:r w:rsidRPr="00E72418">
        <w:rPr>
          <w:szCs w:val="20"/>
          <w:lang w:val="en-US"/>
        </w:rPr>
        <w:t xml:space="preserve">, p. 308). </w:t>
      </w:r>
      <w:r w:rsidRPr="00E72418">
        <w:rPr>
          <w:szCs w:val="20"/>
        </w:rPr>
        <w:t xml:space="preserve">La mesure est d’autant plus importante que, comme le note Georgios </w:t>
      </w:r>
      <w:r w:rsidRPr="00E72418">
        <w:rPr>
          <w:rFonts w:cs="Times New Roman"/>
          <w:szCs w:val="20"/>
        </w:rPr>
        <w:t>Pavlidis, « [u]necessary or hastily designed impediments to debt recovery risk hurting sovereign debt markets »</w:t>
      </w:r>
      <w:r w:rsidRPr="00E72418">
        <w:rPr>
          <w:szCs w:val="20"/>
          <w:lang w:val="en-US"/>
        </w:rPr>
        <w:t xml:space="preserve"> (</w:t>
      </w:r>
      <w:r w:rsidRPr="00E72418">
        <w:rPr>
          <w:smallCaps/>
          <w:szCs w:val="20"/>
          <w:lang w:val="en-US"/>
        </w:rPr>
        <w:t>G. Pavlidis</w:t>
      </w:r>
      <w:r w:rsidRPr="00E72418">
        <w:rPr>
          <w:szCs w:val="20"/>
          <w:lang w:val="en-US"/>
        </w:rPr>
        <w:t xml:space="preserve">, « Vulture litigation in the context of sovereign debt: global or local solutions? », </w:t>
      </w:r>
      <w:r w:rsidRPr="00E72418">
        <w:rPr>
          <w:i/>
          <w:szCs w:val="20"/>
        </w:rPr>
        <w:t>op. cit.</w:t>
      </w:r>
      <w:r w:rsidRPr="00E72418">
        <w:rPr>
          <w:szCs w:val="20"/>
          <w:lang w:val="en-US"/>
        </w:rPr>
        <w:t>, p. 97).</w:t>
      </w:r>
    </w:p>
  </w:footnote>
  <w:footnote w:id="2089">
    <w:p w14:paraId="185D989F" w14:textId="22E3CB81"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Bai</w:t>
      </w:r>
      <w:r w:rsidRPr="00E72418">
        <w:rPr>
          <w:szCs w:val="20"/>
          <w:lang w:val="en-US"/>
        </w:rPr>
        <w:t xml:space="preserve">, « Stop Them Circling: Addressing Vulture Funds in Australian Law », </w:t>
      </w:r>
      <w:r w:rsidRPr="00E72418">
        <w:rPr>
          <w:i/>
          <w:szCs w:val="20"/>
          <w:lang w:val="en-US"/>
        </w:rPr>
        <w:t>op. cit.</w:t>
      </w:r>
      <w:r w:rsidRPr="00E72418">
        <w:rPr>
          <w:szCs w:val="20"/>
          <w:lang w:val="en-US"/>
        </w:rPr>
        <w:t>, p. 715.</w:t>
      </w:r>
    </w:p>
  </w:footnote>
  <w:footnote w:id="2090">
    <w:p w14:paraId="59B4CBC0" w14:textId="69EB51DD" w:rsidR="0030147D" w:rsidRPr="00E72418" w:rsidRDefault="0030147D" w:rsidP="004106B1">
      <w:pPr>
        <w:pStyle w:val="Sansinterligne"/>
        <w:rPr>
          <w:szCs w:val="20"/>
          <w:lang w:val="fr-FR"/>
        </w:rPr>
      </w:pPr>
      <w:r w:rsidRPr="00E72418">
        <w:rPr>
          <w:rStyle w:val="Appelnotedebasdep"/>
          <w:szCs w:val="20"/>
        </w:rPr>
        <w:footnoteRef/>
      </w:r>
      <w:r w:rsidRPr="00E72418">
        <w:rPr>
          <w:szCs w:val="20"/>
        </w:rPr>
        <w:t xml:space="preserve"> Le traitement de l’ensemble des arguments pouvant être avancés de part et d’autre doit être prudent et dépasser la conclusion intuitive souvent tirée (voyez, par exemple, le postulat de la Conférence des Nations Unies sur le commerce et le développement selon lequel « [t]he disruptive effects of holdout litigation are </w:t>
      </w:r>
      <w:r w:rsidRPr="00E72418">
        <w:rPr>
          <w:i/>
          <w:szCs w:val="20"/>
        </w:rPr>
        <w:t>very likely</w:t>
      </w:r>
      <w:r w:rsidRPr="00E72418">
        <w:rPr>
          <w:szCs w:val="20"/>
        </w:rPr>
        <w:t xml:space="preserve"> to largely outweigh any benefits in terms of increased market liquidity arising from vulture funds bond purchases » </w:t>
      </w:r>
      <w:r w:rsidRPr="00E72418">
        <w:rPr>
          <w:szCs w:val="20"/>
          <w:lang w:val="en-US"/>
        </w:rPr>
        <w:t xml:space="preserve">(Conférence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p. 7. La police est nôtre)).</w:t>
      </w:r>
    </w:p>
  </w:footnote>
  <w:footnote w:id="2091">
    <w:p w14:paraId="0560D083" w14:textId="25CD9A37"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Goren</w:t>
      </w:r>
      <w:r w:rsidRPr="00E72418">
        <w:rPr>
          <w:szCs w:val="20"/>
          <w:lang w:val="en-US"/>
        </w:rPr>
        <w:t xml:space="preserve">, « State-to-State Debts: Sovereign Immunity and the “Vulture” Hunt », </w:t>
      </w:r>
      <w:r w:rsidRPr="00E72418">
        <w:rPr>
          <w:i/>
          <w:szCs w:val="20"/>
          <w:lang w:val="en-US"/>
        </w:rPr>
        <w:t>op. cit.</w:t>
      </w:r>
      <w:r w:rsidRPr="00E72418">
        <w:rPr>
          <w:szCs w:val="20"/>
          <w:lang w:val="en-US"/>
        </w:rPr>
        <w:t>, pp. 693 et 694.</w:t>
      </w:r>
    </w:p>
  </w:footnote>
  <w:footnote w:id="2092">
    <w:p w14:paraId="6E2BF1A7" w14:textId="71C75BCA"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23.</w:t>
      </w:r>
    </w:p>
  </w:footnote>
  <w:footnote w:id="2093">
    <w:p w14:paraId="7FAAF02B" w14:textId="2E6BC631" w:rsidR="0030147D" w:rsidRPr="00E72418" w:rsidRDefault="0030147D" w:rsidP="005D6FCD">
      <w:pPr>
        <w:pStyle w:val="Sansinterligne"/>
      </w:pPr>
      <w:r w:rsidRPr="00E72418">
        <w:rPr>
          <w:rStyle w:val="Appelnotedebasdep"/>
        </w:rPr>
        <w:footnoteRef/>
      </w:r>
      <w:r w:rsidRPr="00E72418">
        <w:t xml:space="preserve"> Sur la conformité des lois anti-fonds spéculatifs adoptées au Royaume-Uni, en Belgique et en France </w:t>
      </w:r>
      <w:r w:rsidRPr="00E72418">
        <w:rPr>
          <w:szCs w:val="24"/>
        </w:rPr>
        <w:t>à l’article premier du Premier Protocole additionnel à la Convention européenne des droits de l’homme et à l’article 6 de ladite convention</w:t>
      </w:r>
      <w:r w:rsidRPr="00E72418">
        <w:t xml:space="preserve">, voyez </w:t>
      </w:r>
      <w:r w:rsidRPr="00E72418">
        <w:rPr>
          <w:i/>
        </w:rPr>
        <w:t>supra</w:t>
      </w:r>
      <w:r w:rsidRPr="00E72418">
        <w:t xml:space="preserve"> n</w:t>
      </w:r>
      <w:r w:rsidRPr="00E72418">
        <w:rPr>
          <w:vertAlign w:val="superscript"/>
        </w:rPr>
        <w:t>os</w:t>
      </w:r>
      <w:r w:rsidRPr="00E72418">
        <w:t xml:space="preserve"> 375 et suiv.</w:t>
      </w:r>
    </w:p>
  </w:footnote>
  <w:footnote w:id="2094">
    <w:p w14:paraId="26E2791F" w14:textId="57BBA1DE" w:rsidR="0030147D" w:rsidRPr="00E72418" w:rsidRDefault="0030147D" w:rsidP="004106B1">
      <w:pPr>
        <w:pStyle w:val="Sansinterligne"/>
        <w:rPr>
          <w:szCs w:val="20"/>
          <w:lang w:val="en-US"/>
        </w:rPr>
      </w:pPr>
      <w:r w:rsidRPr="00E72418">
        <w:rPr>
          <w:rStyle w:val="Appelnotedebasdep"/>
          <w:szCs w:val="20"/>
        </w:rPr>
        <w:footnoteRef/>
      </w:r>
      <w:r w:rsidRPr="00E72418">
        <w:rPr>
          <w:szCs w:val="20"/>
          <w:lang w:val="en-US"/>
        </w:rPr>
        <w:t xml:space="preserve"> C’est dans cet ordre d’idées que Andrew Kelly souligne que « firms such as NML will help further shape the law regarding investment disputes with sovereign nations » (</w:t>
      </w:r>
      <w:r w:rsidRPr="00E72418">
        <w:rPr>
          <w:smallCaps/>
          <w:szCs w:val="20"/>
          <w:lang w:val="en-US"/>
        </w:rPr>
        <w:t>A. Kelly</w:t>
      </w:r>
      <w:r w:rsidRPr="00E72418">
        <w:rPr>
          <w:szCs w:val="20"/>
          <w:lang w:val="en-US"/>
        </w:rPr>
        <w:t xml:space="preserve">, « Flight of the Condors: The Impact of Vulture Investors on Argentina’s Sovereign Debt Default », </w:t>
      </w:r>
      <w:r w:rsidRPr="00E72418">
        <w:rPr>
          <w:i/>
          <w:szCs w:val="20"/>
          <w:lang w:val="en-US"/>
        </w:rPr>
        <w:t>op. cit.</w:t>
      </w:r>
      <w:r w:rsidRPr="00E72418">
        <w:rPr>
          <w:szCs w:val="20"/>
          <w:lang w:val="en-US"/>
        </w:rPr>
        <w:t>, p. 41).</w:t>
      </w:r>
    </w:p>
  </w:footnote>
  <w:footnote w:id="2095">
    <w:p w14:paraId="594D7200" w14:textId="244F11BF"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Alexander Hansebout regrette par exemple que la loi belge du 6 avril 2008 visant à empêcher la saisie ou la cession des fonds publics destinés à la coopération internationale, notamment par la technique des fonds vautours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328 à 330), ait été dictée par la seule expérience d’affaires condamnées par le politique sans qu’un travail d’analyse des activités des fonds combattus ne soit pratiqué (</w:t>
      </w:r>
      <w:r w:rsidRPr="00E72418">
        <w:rPr>
          <w:smallCaps/>
          <w:szCs w:val="20"/>
        </w:rPr>
        <w:t>A. Hansebout</w:t>
      </w:r>
      <w:r w:rsidRPr="00E72418">
        <w:rPr>
          <w:szCs w:val="20"/>
        </w:rPr>
        <w:t xml:space="preserve">, « De wet van 6 april 2008: over onbeslagbaarheid en aasgierfondsen », </w:t>
      </w:r>
      <w:r w:rsidRPr="00E72418">
        <w:rPr>
          <w:i/>
          <w:szCs w:val="20"/>
        </w:rPr>
        <w:t>op. cit.</w:t>
      </w:r>
      <w:r w:rsidRPr="00E72418">
        <w:rPr>
          <w:szCs w:val="20"/>
        </w:rPr>
        <w:t>, p. 595).</w:t>
      </w:r>
    </w:p>
  </w:footnote>
  <w:footnote w:id="2096">
    <w:p w14:paraId="0B1B5EBE" w14:textId="77777777"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Les législateurs en paraissent conscients comme en témoignent les propos de Georges Gilkinet, un parlementaire belge, au sujet de la loi du 12 juillet 2015 pour qui « [i]l faudra l’évaluer, sans doute l’ajuster » et « [i]l faudra qu’elle soit appliquée sur le terrain par les juges » (Chambre des représentants, compte rendu intégral avec compte rendu analytique traduit des interventions, séance plénière, 25 juin 2015, CRIV 54 PLEN 057, p. 60).</w:t>
      </w:r>
    </w:p>
  </w:footnote>
  <w:footnote w:id="2097">
    <w:p w14:paraId="67F63FF5" w14:textId="4F7B8D49" w:rsidR="0030147D" w:rsidRPr="00E72418" w:rsidRDefault="0030147D" w:rsidP="0017725C">
      <w:pPr>
        <w:pStyle w:val="Sansinterligne"/>
      </w:pPr>
      <w:r w:rsidRPr="00E72418">
        <w:rPr>
          <w:rStyle w:val="Appelnotedebasdep"/>
        </w:rPr>
        <w:footnoteRef/>
      </w:r>
      <w:r w:rsidRPr="00E72418">
        <w:t xml:space="preserve"> Deborah Zandstra </w:t>
      </w:r>
      <w:r w:rsidRPr="00E72418">
        <w:rPr>
          <w:i/>
        </w:rPr>
        <w:t>et al.</w:t>
      </w:r>
      <w:r w:rsidRPr="00E72418">
        <w:t xml:space="preserve"> notent d’ailleurs qu’ « </w:t>
      </w:r>
      <w:r w:rsidRPr="00E72418">
        <w:rPr>
          <w:szCs w:val="20"/>
        </w:rPr>
        <w:t>[i]</w:t>
      </w:r>
      <w:r w:rsidRPr="00E72418">
        <w:t xml:space="preserve">t has become customary for there to be market consultations with varying degrees of formality in respect of proposed significant initiatives in the field of sovereign debt restructurings » (D. </w:t>
      </w:r>
      <w:r w:rsidRPr="00E72418">
        <w:rPr>
          <w:smallCaps/>
        </w:rPr>
        <w:t>Zandstra</w:t>
      </w:r>
      <w:r w:rsidRPr="00E72418">
        <w:t xml:space="preserve">, J. </w:t>
      </w:r>
      <w:r w:rsidRPr="00E72418">
        <w:rPr>
          <w:smallCaps/>
        </w:rPr>
        <w:t>Zonis</w:t>
      </w:r>
      <w:r w:rsidRPr="00E72418">
        <w:t xml:space="preserve">, H. </w:t>
      </w:r>
      <w:r w:rsidRPr="00E72418">
        <w:rPr>
          <w:smallCaps/>
        </w:rPr>
        <w:t>Triaca</w:t>
      </w:r>
      <w:r w:rsidRPr="00E72418">
        <w:t xml:space="preserve"> et J. </w:t>
      </w:r>
      <w:r w:rsidRPr="00E72418">
        <w:rPr>
          <w:smallCaps/>
        </w:rPr>
        <w:t>DeMarco</w:t>
      </w:r>
      <w:r w:rsidRPr="00E72418">
        <w:t xml:space="preserve">, « Proposed amendment to New York banking law through new article 7 », </w:t>
      </w:r>
      <w:r w:rsidRPr="00E72418">
        <w:rPr>
          <w:i/>
        </w:rPr>
        <w:t>op. cit.</w:t>
      </w:r>
      <w:r w:rsidRPr="00E72418">
        <w:t>, p. 3).</w:t>
      </w:r>
    </w:p>
  </w:footnote>
  <w:footnote w:id="2098">
    <w:p w14:paraId="6B59D9A4" w14:textId="5CCE38B5" w:rsidR="0030147D" w:rsidRPr="00E72418" w:rsidRDefault="0030147D" w:rsidP="0004131E">
      <w:pPr>
        <w:pStyle w:val="Sansinterligne"/>
      </w:pPr>
      <w:r w:rsidRPr="00E72418">
        <w:rPr>
          <w:rStyle w:val="Appelnotedebasdep"/>
        </w:rPr>
        <w:footnoteRef/>
      </w:r>
      <w:r w:rsidRPr="00E72418">
        <w:t xml:space="preserve"> Voyez </w:t>
      </w:r>
      <w:r w:rsidRPr="00E72418">
        <w:rPr>
          <w:i/>
        </w:rPr>
        <w:t>infra</w:t>
      </w:r>
      <w:r w:rsidRPr="00E72418">
        <w:t xml:space="preserve"> n</w:t>
      </w:r>
      <w:r w:rsidRPr="00E72418">
        <w:rPr>
          <w:vertAlign w:val="superscript"/>
        </w:rPr>
        <w:t>os</w:t>
      </w:r>
      <w:r w:rsidRPr="00E72418">
        <w:t xml:space="preserve"> 412 et suiv.</w:t>
      </w:r>
    </w:p>
  </w:footnote>
  <w:footnote w:id="2099">
    <w:p w14:paraId="03D037B3" w14:textId="12732F5B" w:rsidR="0030147D" w:rsidRPr="00E72418" w:rsidRDefault="0030147D" w:rsidP="004106B1">
      <w:pPr>
        <w:pStyle w:val="Sansinterligne"/>
        <w:rPr>
          <w:szCs w:val="20"/>
        </w:rPr>
      </w:pPr>
      <w:r w:rsidRPr="00E72418">
        <w:rPr>
          <w:rStyle w:val="Appelnotedebasdep"/>
          <w:szCs w:val="20"/>
        </w:rPr>
        <w:footnoteRef/>
      </w:r>
      <w:r w:rsidRPr="00E72418">
        <w:rPr>
          <w:szCs w:val="20"/>
        </w:rPr>
        <w:t xml:space="preserve"> Au sujet du </w:t>
      </w:r>
      <w:r w:rsidRPr="00E72418">
        <w:rPr>
          <w:i/>
          <w:szCs w:val="20"/>
        </w:rPr>
        <w:t>Debt Relief (Developing Countries) Act</w:t>
      </w:r>
      <w:r w:rsidRPr="00E72418">
        <w:rPr>
          <w:szCs w:val="20"/>
        </w:rPr>
        <w:t xml:space="preserve"> britannique construit en lien direct avec l’Initiative Pays Pauvres Très Endettés de</w:t>
      </w:r>
      <w:r w:rsidRPr="00E72418">
        <w:t xml:space="preserve"> la Banque mondiale et du Fonds monétaire international</w:t>
      </w:r>
      <w:r w:rsidRPr="00E72418">
        <w:rPr>
          <w:szCs w:val="20"/>
        </w:rPr>
        <w:t xml:space="preserve">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305 et suiv.), Michael Waibel relève que « </w:t>
      </w:r>
      <w:r w:rsidRPr="00E72418">
        <w:rPr>
          <w:rFonts w:ascii="Times New Roman" w:hAnsi="Times New Roman"/>
          <w:szCs w:val="20"/>
        </w:rPr>
        <w:t>[t]</w:t>
      </w:r>
      <w:r w:rsidRPr="00E72418">
        <w:rPr>
          <w:szCs w:val="20"/>
        </w:rPr>
        <w:t>he Act closes an important loophole for the effective implementation of multilateral debt relief » (</w:t>
      </w:r>
      <w:r w:rsidRPr="00E72418">
        <w:rPr>
          <w:rStyle w:val="SansinterligneCar"/>
          <w:smallCaps/>
          <w:szCs w:val="20"/>
          <w:lang w:val="en-US"/>
        </w:rPr>
        <w:t>M. Waibel</w:t>
      </w:r>
      <w:r w:rsidRPr="00E72418">
        <w:rPr>
          <w:rStyle w:val="SansinterligneCar"/>
          <w:szCs w:val="20"/>
          <w:lang w:val="en-US"/>
        </w:rPr>
        <w:t xml:space="preserve">, « Debt relief to poor countries: Rules v. Discretion », </w:t>
      </w:r>
      <w:r w:rsidRPr="00E72418">
        <w:rPr>
          <w:rStyle w:val="SansinterligneCar"/>
          <w:i/>
          <w:szCs w:val="20"/>
          <w:lang w:val="en-US"/>
        </w:rPr>
        <w:t>op. cit.</w:t>
      </w:r>
      <w:r w:rsidRPr="00E72418">
        <w:rPr>
          <w:rStyle w:val="SansinterligneCar"/>
          <w:szCs w:val="20"/>
          <w:lang w:val="en-US"/>
        </w:rPr>
        <w:t>, p. 295)</w:t>
      </w:r>
      <w:r w:rsidRPr="00E72418">
        <w:rPr>
          <w:szCs w:val="20"/>
        </w:rPr>
        <w:t xml:space="preserve">. Notons toutefois d’ores et déjà que la solution que nous proposons se veut relativement autonome en ce qu’elle emprunte peu à d’autres utiles outils de régulation générale des difficultés rencontrées par les </w:t>
      </w:r>
      <w:r w:rsidRPr="00E72418">
        <w:rPr>
          <w:lang w:eastAsia="fr-BE"/>
        </w:rPr>
        <w:t>É</w:t>
      </w:r>
      <w:r w:rsidRPr="00E72418">
        <w:rPr>
          <w:szCs w:val="20"/>
        </w:rPr>
        <w:t>tats sur leur dette.</w:t>
      </w:r>
    </w:p>
  </w:footnote>
  <w:footnote w:id="2100">
    <w:p w14:paraId="614DA464" w14:textId="4BB4FC38" w:rsidR="0030147D" w:rsidRPr="00E72418" w:rsidRDefault="0030147D" w:rsidP="007F2750">
      <w:pPr>
        <w:pStyle w:val="Sansinterligne"/>
      </w:pPr>
      <w:r w:rsidRPr="00E72418">
        <w:rPr>
          <w:rStyle w:val="Appelnotedebasdep"/>
        </w:rPr>
        <w:footnoteRef/>
      </w:r>
      <w:r w:rsidRPr="00E72418">
        <w:t xml:space="preserve"> Fonds monétaire international, </w:t>
      </w:r>
      <w:r w:rsidRPr="00E72418">
        <w:rPr>
          <w:i/>
        </w:rPr>
        <w:t>The international architecture for resolving sovereign debt involving private-sector creditors – Recent developments, challenges, and reform options</w:t>
      </w:r>
      <w:r w:rsidRPr="00E72418">
        <w:t xml:space="preserve">, 23 septembre 2020, pp. 1 et 44. Sur cette </w:t>
      </w:r>
      <w:r w:rsidRPr="00E72418">
        <w:rPr>
          <w:i/>
        </w:rPr>
        <w:t>contractual approach</w:t>
      </w:r>
      <w:r w:rsidRPr="00E72418">
        <w:t xml:space="preserve">, voyez </w:t>
      </w:r>
      <w:r w:rsidRPr="00E72418">
        <w:rPr>
          <w:i/>
        </w:rPr>
        <w:t>supra</w:t>
      </w:r>
      <w:r w:rsidRPr="00E72418">
        <w:t xml:space="preserve"> n</w:t>
      </w:r>
      <w:r w:rsidRPr="00E72418">
        <w:rPr>
          <w:vertAlign w:val="superscript"/>
        </w:rPr>
        <w:t>os</w:t>
      </w:r>
      <w:r w:rsidRPr="00E72418">
        <w:t xml:space="preserve"> 282 et suiv.</w:t>
      </w:r>
    </w:p>
  </w:footnote>
  <w:footnote w:id="2101">
    <w:p w14:paraId="15866729" w14:textId="04AD6B14" w:rsidR="0030147D" w:rsidRPr="00E72418" w:rsidRDefault="0030147D" w:rsidP="00F04748">
      <w:pPr>
        <w:pStyle w:val="Sansinterligne"/>
      </w:pPr>
      <w:r w:rsidRPr="00E72418">
        <w:rPr>
          <w:rStyle w:val="Appelnotedebasdep"/>
        </w:rPr>
        <w:footnoteRef/>
      </w:r>
      <w:r w:rsidRPr="00E72418">
        <w:t xml:space="preserve"> Réfléchissant à la question et mettant l’accent sur l’opportunité de légiférer au niveau local, le </w:t>
      </w:r>
      <w:r w:rsidRPr="00E72418">
        <w:rPr>
          <w:szCs w:val="20"/>
        </w:rPr>
        <w:t>Comité consultatif du Conseil des droits de l’homme des Nations Unies</w:t>
      </w:r>
      <w:r w:rsidRPr="00E72418">
        <w:t>, étudiant les lois britannique, belge et française, notait que « </w:t>
      </w:r>
      <w:r w:rsidRPr="00E72418">
        <w:rPr>
          <w:szCs w:val="20"/>
          <w:lang w:val="en-US"/>
        </w:rPr>
        <w:t>[l]</w:t>
      </w:r>
      <w:r w:rsidRPr="00E72418">
        <w:rPr>
          <w:szCs w:val="20"/>
        </w:rPr>
        <w:t>es législateurs nationaux peuvent tirer des enseignements utiles du droit interne en vigueur et de son application, à savoir que : a) les mesures de protection devraient s’appliquer à tous les pays surendettés et pas seulement aux PPTE ; b) des procédures devraient permettre de désigner, sur la base de critères objectifs, les dettes protégées contre les réclamations des fonds vautours ; c) les préoccupations suscitées par la situation socioéconomique de l’État débiteur et le bien-être de sa population devraient être dûment prises en compte ; d) les questions relatives au manque de transparence du marché secondaire des titres de dette et aux activités des fonds vautours dans les paradis fiscaux dev</w:t>
      </w:r>
      <w:r w:rsidRPr="00E72418">
        <w:t>raient également être examinées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9</w:t>
      </w:r>
      <w:r w:rsidRPr="00E72418">
        <w:t>).</w:t>
      </w:r>
    </w:p>
  </w:footnote>
  <w:footnote w:id="2102">
    <w:p w14:paraId="0195AFE8" w14:textId="2CAF212B" w:rsidR="0030147D" w:rsidRPr="00E72418" w:rsidRDefault="0030147D" w:rsidP="00E57940">
      <w:pPr>
        <w:pStyle w:val="Sansinterligne"/>
      </w:pPr>
      <w:r w:rsidRPr="00E72418">
        <w:rPr>
          <w:rStyle w:val="Appelnotedebasdep"/>
        </w:rPr>
        <w:footnoteRef/>
      </w:r>
      <w:r w:rsidRPr="00E72418">
        <w:t xml:space="preserve"> De la même manière, les fonds pourraient souhaiter « tenter leur chance » face à l’imprécision de termes pouvant les faire espérer que le juge saisi de leur prétention n’estime pas qu’elle </w:t>
      </w:r>
      <w:r>
        <w:t>est</w:t>
      </w:r>
      <w:r w:rsidRPr="00E72418">
        <w:t>, pour l’une ou l’autre raison appréciée subjectivement, concernée par la réglementation mise en place.</w:t>
      </w:r>
    </w:p>
  </w:footnote>
  <w:footnote w:id="2103">
    <w:p w14:paraId="69E8770F" w14:textId="1AD645B8" w:rsidR="0030147D" w:rsidRPr="00E72418" w:rsidRDefault="0030147D" w:rsidP="00544C82">
      <w:pPr>
        <w:pStyle w:val="Sansinterligne"/>
        <w:rPr>
          <w:szCs w:val="20"/>
        </w:rPr>
      </w:pPr>
      <w:r w:rsidRPr="00E72418">
        <w:rPr>
          <w:rStyle w:val="Appelnotedebasdep"/>
          <w:szCs w:val="20"/>
        </w:rPr>
        <w:footnoteRef/>
      </w:r>
      <w:r w:rsidRPr="00E72418">
        <w:rPr>
          <w:szCs w:val="20"/>
        </w:rPr>
        <w:t xml:space="preserve"> </w:t>
      </w:r>
      <w:r w:rsidRPr="00E72418">
        <w:rPr>
          <w:rStyle w:val="injectednode"/>
          <w:szCs w:val="20"/>
        </w:rPr>
        <w:t xml:space="preserve">Dans le projet antérieur au </w:t>
      </w:r>
      <w:r w:rsidRPr="00E72418">
        <w:rPr>
          <w:i/>
          <w:szCs w:val="20"/>
        </w:rPr>
        <w:t>Debt Relief (Developing Countries) Act</w:t>
      </w:r>
      <w:r w:rsidRPr="00E72418">
        <w:rPr>
          <w:rStyle w:val="injectednode"/>
          <w:szCs w:val="20"/>
        </w:rPr>
        <w:t xml:space="preserve"> britannique (</w:t>
      </w:r>
      <w:r w:rsidRPr="00E72418">
        <w:rPr>
          <w:rStyle w:val="injectednode"/>
          <w:i/>
          <w:szCs w:val="20"/>
        </w:rPr>
        <w:t>supra</w:t>
      </w:r>
      <w:r w:rsidRPr="00E72418">
        <w:rPr>
          <w:rStyle w:val="injectednode"/>
          <w:szCs w:val="20"/>
        </w:rPr>
        <w:t xml:space="preserve"> n° 306), l’idée avait été avancée de laisser une marge d’appréciation aux juridictions afin qu’elles puissent avoir égard au caractère juste et équitable des situations (</w:t>
      </w:r>
      <w:r w:rsidRPr="00E72418">
        <w:rPr>
          <w:szCs w:val="20"/>
          <w:lang w:val="en-US"/>
        </w:rPr>
        <w:t xml:space="preserve">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27 : « [t]he Government believes it is merited to include a provision for discretion because there may be exceptional cases where circumstances provide particularly strong arguments for overriding the presumption in favour of the specified terms. This discretion would ensure that the court is always in a position to strike a fair balance between property rights and the wider public interest »)</w:t>
      </w:r>
      <w:r w:rsidRPr="00E72418">
        <w:rPr>
          <w:rStyle w:val="injectednode"/>
          <w:szCs w:val="20"/>
        </w:rPr>
        <w:t xml:space="preserve">. </w:t>
      </w:r>
      <w:r w:rsidRPr="00E72418">
        <w:rPr>
          <w:szCs w:val="20"/>
        </w:rPr>
        <w:t>L’idée n’avait toutefois heureusement pas été retenue au motif qu’ « </w:t>
      </w:r>
      <w:r w:rsidRPr="00E72418">
        <w:rPr>
          <w:rFonts w:cs="Humanist 77 7 BT"/>
          <w:szCs w:val="20"/>
        </w:rPr>
        <w:t xml:space="preserve">it would be difficult for courts to apply in the absence of precedent in this area of law and would remove the legal certainty and clarity provided by legislation that specifies the maximum level of return </w:t>
      </w:r>
      <w:r w:rsidRPr="00E72418">
        <w:rPr>
          <w:szCs w:val="20"/>
        </w:rPr>
        <w:t>»</w:t>
      </w:r>
      <w:r w:rsidRPr="00E72418">
        <w:rPr>
          <w:szCs w:val="20"/>
          <w:lang w:val="en-US"/>
        </w:rPr>
        <w:t xml:space="preserve"> (HM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response to consultation</w:t>
      </w:r>
      <w:r w:rsidRPr="00E72418">
        <w:rPr>
          <w:szCs w:val="20"/>
          <w:lang w:val="en-US"/>
        </w:rPr>
        <w:t>, 2010, p. 15).</w:t>
      </w:r>
    </w:p>
  </w:footnote>
  <w:footnote w:id="2104">
    <w:p w14:paraId="7E8DA8D8" w14:textId="35BA801D" w:rsidR="0030147D" w:rsidRPr="00E72418" w:rsidRDefault="0030147D" w:rsidP="00EE16A2">
      <w:pPr>
        <w:pStyle w:val="Sansinterligne"/>
      </w:pPr>
      <w:r w:rsidRPr="00E72418">
        <w:rPr>
          <w:rStyle w:val="Appelnotedebasdep"/>
        </w:rPr>
        <w:footnoteRef/>
      </w:r>
      <w:r w:rsidRPr="00E72418">
        <w:t xml:space="preserve"> Cour eur. D. H., 22 juin 2004, </w:t>
      </w:r>
      <w:r w:rsidRPr="00E72418">
        <w:rPr>
          <w:i/>
        </w:rPr>
        <w:t>Broniowski c. Pologne</w:t>
      </w:r>
      <w:r w:rsidRPr="00E72418">
        <w:t>, arrêt, requête n° 31443/96, paragraphe 147.</w:t>
      </w:r>
    </w:p>
  </w:footnote>
  <w:footnote w:id="2105">
    <w:p w14:paraId="0F1F4319" w14:textId="00D09300" w:rsidR="0030147D" w:rsidRPr="00E72418" w:rsidRDefault="0030147D" w:rsidP="00917E0A">
      <w:pPr>
        <w:pStyle w:val="Sansinterligne"/>
      </w:pPr>
      <w:r w:rsidRPr="00E72418">
        <w:rPr>
          <w:rStyle w:val="Appelnotedebasdep"/>
        </w:rPr>
        <w:footnoteRef/>
      </w:r>
      <w:r w:rsidRPr="00E72418">
        <w:t xml:space="preserve"> Voyez </w:t>
      </w:r>
      <w:r w:rsidRPr="00E72418">
        <w:rPr>
          <w:i/>
        </w:rPr>
        <w:t>supra</w:t>
      </w:r>
      <w:r w:rsidRPr="00E72418">
        <w:t xml:space="preserve"> n° 370 au sujet de la règle française.</w:t>
      </w:r>
    </w:p>
  </w:footnote>
  <w:footnote w:id="2106">
    <w:p w14:paraId="6C047519" w14:textId="3EA5915D" w:rsidR="0030147D" w:rsidRPr="00E72418" w:rsidRDefault="0030147D" w:rsidP="003A3824">
      <w:pPr>
        <w:pStyle w:val="Sansinterligne"/>
      </w:pPr>
      <w:r w:rsidRPr="00E72418">
        <w:rPr>
          <w:rStyle w:val="Appelnotedebasdep"/>
        </w:rPr>
        <w:footnoteRef/>
      </w:r>
      <w:r w:rsidRPr="00E72418">
        <w:t xml:space="preserve"> La règle a d’ailleurs été retenue par le législateur français dans sa disposition anti-spéculation (v</w:t>
      </w:r>
      <w:r w:rsidRPr="00E72418">
        <w:rPr>
          <w:shd w:val="clear" w:color="auto" w:fill="FFFFFF"/>
        </w:rPr>
        <w:t xml:space="preserve">oyez </w:t>
      </w:r>
      <w:r w:rsidRPr="00E72418">
        <w:rPr>
          <w:i/>
          <w:shd w:val="clear" w:color="auto" w:fill="FFFFFF"/>
        </w:rPr>
        <w:t>supra</w:t>
      </w:r>
      <w:r w:rsidRPr="00E72418">
        <w:rPr>
          <w:shd w:val="clear" w:color="auto" w:fill="FFFFFF"/>
        </w:rPr>
        <w:t xml:space="preserve"> n° 370).</w:t>
      </w:r>
    </w:p>
  </w:footnote>
  <w:footnote w:id="2107">
    <w:p w14:paraId="58589390" w14:textId="51E3D964" w:rsidR="0030147D" w:rsidRPr="00E72418" w:rsidRDefault="0030147D" w:rsidP="006910C5">
      <w:pPr>
        <w:pStyle w:val="Sansinterligne"/>
      </w:pPr>
      <w:r w:rsidRPr="00E72418">
        <w:rPr>
          <w:rStyle w:val="Appelnotedebasdep"/>
        </w:rPr>
        <w:footnoteRef/>
      </w:r>
      <w:r w:rsidRPr="00E72418">
        <w:t xml:space="preserve"> Voyez l’article 5.1. de la </w:t>
      </w:r>
      <w:r w:rsidRPr="00E72418">
        <w:rPr>
          <w:i/>
        </w:rPr>
        <w:t>Developing Country Debt (Restriction of Recovery) Bill</w:t>
      </w:r>
      <w:r w:rsidRPr="00E72418">
        <w:t xml:space="preserve"> dont question </w:t>
      </w:r>
      <w:r w:rsidRPr="00E72418">
        <w:rPr>
          <w:i/>
        </w:rPr>
        <w:t>supra</w:t>
      </w:r>
      <w:r w:rsidRPr="00E72418">
        <w:t xml:space="preserve"> n° 306 qui prévoyait que : « </w:t>
      </w:r>
      <w:r w:rsidRPr="00E72418">
        <w:rPr>
          <w:rFonts w:cs="Times New Roman"/>
        </w:rPr>
        <w:t xml:space="preserve">[f]or each consent application, a copy of the consent application and this Act must be sent by the creditor to the diplomatic agent in the United Kingdom of the debtor country, or his representative </w:t>
      </w:r>
      <w:r w:rsidRPr="00E72418">
        <w:t>».</w:t>
      </w:r>
    </w:p>
  </w:footnote>
  <w:footnote w:id="2108">
    <w:p w14:paraId="162C7928" w14:textId="0C6AB15F"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R. Avery</w:t>
      </w:r>
      <w:r w:rsidRPr="00E72418">
        <w:rPr>
          <w:szCs w:val="20"/>
          <w:lang w:val="en-US"/>
        </w:rPr>
        <w:t>, « </w:t>
      </w:r>
      <w:r w:rsidRPr="00E72418">
        <w:rPr>
          <w:szCs w:val="20"/>
        </w:rPr>
        <w:t>Out of the Desert and to the Oasis: Legislation on Predatory Debt Investing</w:t>
      </w:r>
      <w:r w:rsidRPr="00E72418">
        <w:rPr>
          <w:szCs w:val="20"/>
          <w:lang w:val="en-US"/>
        </w:rPr>
        <w:t xml:space="preserve"> », </w:t>
      </w:r>
      <w:r w:rsidRPr="00E72418">
        <w:rPr>
          <w:i/>
          <w:szCs w:val="20"/>
          <w:lang w:val="en-US"/>
        </w:rPr>
        <w:t>op. cit.</w:t>
      </w:r>
      <w:r w:rsidRPr="00E72418">
        <w:rPr>
          <w:szCs w:val="20"/>
          <w:lang w:val="en-US"/>
        </w:rPr>
        <w:t>, p. 286.</w:t>
      </w:r>
    </w:p>
  </w:footnote>
  <w:footnote w:id="2109">
    <w:p w14:paraId="4330ACED" w14:textId="357DBD8E"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E. Broomfield</w:t>
      </w:r>
      <w:r w:rsidRPr="00E72418">
        <w:rPr>
          <w:szCs w:val="20"/>
          <w:lang w:val="en-US"/>
        </w:rPr>
        <w:t xml:space="preserve">, « Subduing the Vultures: Assessing Government Caps on Recovery in Sovereign Debt Litigation », </w:t>
      </w:r>
      <w:r w:rsidRPr="00E72418">
        <w:rPr>
          <w:i/>
          <w:szCs w:val="20"/>
          <w:lang w:val="en-US"/>
        </w:rPr>
        <w:t>op. cit.</w:t>
      </w:r>
      <w:r w:rsidRPr="00E72418">
        <w:rPr>
          <w:szCs w:val="20"/>
          <w:lang w:val="en-US"/>
        </w:rPr>
        <w:t>, pp. 510 et 511.</w:t>
      </w:r>
    </w:p>
  </w:footnote>
  <w:footnote w:id="2110">
    <w:p w14:paraId="4D0F900A" w14:textId="53CCA23C" w:rsidR="0030147D" w:rsidRPr="00E72418" w:rsidRDefault="0030147D" w:rsidP="00557743">
      <w:pPr>
        <w:pStyle w:val="Sansinterligne"/>
      </w:pPr>
      <w:r w:rsidRPr="00E72418">
        <w:rPr>
          <w:rStyle w:val="Appelnotedebasdep"/>
        </w:rPr>
        <w:footnoteRef/>
      </w:r>
      <w:r w:rsidRPr="00E72418">
        <w:t xml:space="preserve"> Voyez </w:t>
      </w:r>
      <w:r w:rsidRPr="008F42F8">
        <w:rPr>
          <w:i/>
        </w:rPr>
        <w:t>supra</w:t>
      </w:r>
      <w:r w:rsidRPr="00E72418">
        <w:t xml:space="preserve"> n</w:t>
      </w:r>
      <w:r w:rsidRPr="00E72418">
        <w:rPr>
          <w:vertAlign w:val="superscript"/>
        </w:rPr>
        <w:t>os</w:t>
      </w:r>
      <w:r w:rsidRPr="00E72418">
        <w:t xml:space="preserve"> 12 et suiv.</w:t>
      </w:r>
    </w:p>
  </w:footnote>
  <w:footnote w:id="2111">
    <w:p w14:paraId="3EBBFC38" w14:textId="729971C9" w:rsidR="0030147D" w:rsidRPr="00E72418" w:rsidRDefault="0030147D" w:rsidP="0041018E">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 xml:space="preserve">os </w:t>
      </w:r>
      <w:r w:rsidRPr="00E72418">
        <w:t>158 et suiv.</w:t>
      </w:r>
    </w:p>
  </w:footnote>
  <w:footnote w:id="2112">
    <w:p w14:paraId="23BD8E50" w14:textId="0AF02F8D" w:rsidR="0030147D" w:rsidRPr="00E72418" w:rsidRDefault="0030147D" w:rsidP="0041018E">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161 et suiv. </w:t>
      </w:r>
      <w:r w:rsidRPr="00E72418">
        <w:rPr>
          <w:rFonts w:cs="Times New Roman"/>
          <w:szCs w:val="24"/>
        </w:rPr>
        <w:t>Relevant la mission de surveillance assurée, de l’avis de Steven Schwarcz, « </w:t>
      </w:r>
      <w:r w:rsidRPr="00E72418">
        <w:rPr>
          <w:rFonts w:cs="Times New Roman"/>
        </w:rPr>
        <w:t>[i]</w:t>
      </w:r>
      <w:r w:rsidRPr="00E72418">
        <w:rPr>
          <w:rFonts w:cs="Times New Roman"/>
          <w:szCs w:val="24"/>
        </w:rPr>
        <w:t xml:space="preserve">t should be emphasized that the Model Law preserves the holdout threat to the extent needed to motivate debtor-states to bargain fairly, and only seeks to limit that threat for rent-seeking holdouts who try to unreasonably extract value » </w:t>
      </w:r>
      <w:r w:rsidRPr="00E72418">
        <w:rPr>
          <w:szCs w:val="20"/>
          <w:lang w:val="en-US"/>
        </w:rPr>
        <w:t>(</w:t>
      </w:r>
      <w:r w:rsidRPr="00E72418">
        <w:rPr>
          <w:smallCaps/>
          <w:szCs w:val="20"/>
          <w:lang w:val="en-US"/>
        </w:rPr>
        <w:t>S. Schwarcz</w:t>
      </w:r>
      <w:r w:rsidRPr="00E72418">
        <w:rPr>
          <w:szCs w:val="20"/>
          <w:lang w:val="en-US"/>
        </w:rPr>
        <w:t xml:space="preserve">, « Sovereign Debt Restructuring: A Model-law Approach », </w:t>
      </w:r>
      <w:r w:rsidRPr="00E72418">
        <w:rPr>
          <w:i/>
          <w:szCs w:val="20"/>
          <w:lang w:val="en-US"/>
        </w:rPr>
        <w:t>op. cit.</w:t>
      </w:r>
      <w:r w:rsidRPr="00E72418">
        <w:rPr>
          <w:szCs w:val="20"/>
          <w:lang w:val="en-US"/>
        </w:rPr>
        <w:t>, p. 359).</w:t>
      </w:r>
    </w:p>
  </w:footnote>
  <w:footnote w:id="2113">
    <w:p w14:paraId="6BCCCEA8" w14:textId="785575EC" w:rsidR="0030147D" w:rsidRPr="00E72418" w:rsidRDefault="0030147D" w:rsidP="00544C82">
      <w:pPr>
        <w:pStyle w:val="Sansinterligne"/>
        <w:rPr>
          <w:szCs w:val="20"/>
        </w:rPr>
      </w:pPr>
      <w:r w:rsidRPr="00E72418">
        <w:rPr>
          <w:rStyle w:val="Appelnotedebasdep"/>
          <w:szCs w:val="20"/>
        </w:rPr>
        <w:footnoteRef/>
      </w:r>
      <w:r w:rsidRPr="00E72418">
        <w:rPr>
          <w:szCs w:val="20"/>
        </w:rPr>
        <w:t xml:space="preserve"> Voyez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20. Épinglons l’incohérence du Comité de toutefois retenir comme « bonne pratique » la limitation des montants réclamés par les fonds spéculant sur les dettes souveraines au prix réduit auquel les titres de dette ont été acquis (</w:t>
      </w:r>
      <w:r w:rsidRPr="00E72418">
        <w:rPr>
          <w:i/>
          <w:szCs w:val="20"/>
        </w:rPr>
        <w:t>ibid.</w:t>
      </w:r>
      <w:r w:rsidRPr="00E72418">
        <w:rPr>
          <w:szCs w:val="20"/>
        </w:rPr>
        <w:t xml:space="preserve">). Sur la pertinence de cette dernière voie, voyez </w:t>
      </w:r>
      <w:r w:rsidRPr="00E72418">
        <w:rPr>
          <w:i/>
          <w:szCs w:val="20"/>
        </w:rPr>
        <w:t>infra</w:t>
      </w:r>
      <w:r>
        <w:rPr>
          <w:szCs w:val="20"/>
        </w:rPr>
        <w:t xml:space="preserve"> n° 417</w:t>
      </w:r>
      <w:r w:rsidRPr="00E72418">
        <w:rPr>
          <w:szCs w:val="20"/>
        </w:rPr>
        <w:t>.</w:t>
      </w:r>
    </w:p>
  </w:footnote>
  <w:footnote w:id="2114">
    <w:p w14:paraId="176EAF9C" w14:textId="7563104E" w:rsidR="0030147D" w:rsidRPr="00E72418" w:rsidRDefault="0030147D" w:rsidP="00AA6908">
      <w:pPr>
        <w:pStyle w:val="Sansinterligne"/>
      </w:pPr>
      <w:r w:rsidRPr="00E72418">
        <w:rPr>
          <w:rStyle w:val="Appelnotedebasdep"/>
        </w:rPr>
        <w:footnoteRef/>
      </w:r>
      <w:r w:rsidRPr="00E72418">
        <w:t xml:space="preserve"> Cette double détente est par exemple prévue dans la loi anti-spéculation belge de 2015 dont le mécanisme vise tant l’obtention d’un titre exécutoire que l’adoption d’une mesure conservatoire ou d’exécution forcée (</w:t>
      </w:r>
      <w:r w:rsidRPr="00E72418">
        <w:rPr>
          <w:i/>
        </w:rPr>
        <w:t>supra</w:t>
      </w:r>
      <w:r w:rsidRPr="00E72418">
        <w:t xml:space="preserve"> n° 336).</w:t>
      </w:r>
    </w:p>
  </w:footnote>
  <w:footnote w:id="2115">
    <w:p w14:paraId="2B2B72CC" w14:textId="6DD2BC26" w:rsidR="0030147D" w:rsidRPr="00E72418" w:rsidRDefault="0030147D" w:rsidP="00BE4D26">
      <w:pPr>
        <w:pStyle w:val="Sansinterligne"/>
      </w:pPr>
      <w:r w:rsidRPr="00E72418">
        <w:rPr>
          <w:rStyle w:val="Appelnotedebasdep"/>
        </w:rPr>
        <w:footnoteRef/>
      </w:r>
      <w:r w:rsidRPr="00E72418">
        <w:t xml:space="preserve"> Voyez </w:t>
      </w:r>
      <w:r w:rsidRPr="00E72418">
        <w:rPr>
          <w:i/>
        </w:rPr>
        <w:t>supra</w:t>
      </w:r>
      <w:r w:rsidRPr="00E72418">
        <w:t xml:space="preserve"> n° 367.</w:t>
      </w:r>
    </w:p>
  </w:footnote>
  <w:footnote w:id="2116">
    <w:p w14:paraId="06B506FD" w14:textId="72147CCB" w:rsidR="0030147D" w:rsidRPr="00E72418" w:rsidRDefault="0030147D" w:rsidP="00FA2EAF">
      <w:pPr>
        <w:pStyle w:val="Sansinterligne"/>
      </w:pPr>
      <w:r w:rsidRPr="00E72418">
        <w:rPr>
          <w:rStyle w:val="Appelnotedebasdep"/>
        </w:rPr>
        <w:footnoteRef/>
      </w:r>
      <w:r w:rsidRPr="00E72418">
        <w:t xml:space="preserve"> Voyez déjà l’article 3 de la </w:t>
      </w:r>
      <w:r w:rsidRPr="00E72418">
        <w:rPr>
          <w:i/>
        </w:rPr>
        <w:t>Developing Country Debt (Restriction of Recovery) Bill</w:t>
      </w:r>
      <w:r w:rsidRPr="00E72418">
        <w:t xml:space="preserve"> britannique ayant précédé le </w:t>
      </w:r>
      <w:r w:rsidRPr="00E72418">
        <w:rPr>
          <w:i/>
        </w:rPr>
        <w:t>Debt Relief (Developing Countries) Act</w:t>
      </w:r>
      <w:r w:rsidRPr="00E72418">
        <w:t xml:space="preserve"> : « the maximum recovery amount calculated under (a) and (b) above shall be reduced by a sum equal to any amounts recovered from other actions related to the same defaulted sovereign debt ». Voyez également sur la même considération au sujet de la loi française, </w:t>
      </w:r>
      <w:r w:rsidRPr="00E72418">
        <w:rPr>
          <w:smallCaps/>
          <w:szCs w:val="20"/>
        </w:rPr>
        <w:t>P. Giraud</w:t>
      </w:r>
      <w:r w:rsidRPr="00E72418">
        <w:rPr>
          <w:szCs w:val="20"/>
        </w:rPr>
        <w:t xml:space="preserve">, « La restriction des mesures conservatoires et d’exécution forcée exercées par les fonds dits vautours : le syndrome du “milieu de gué” », </w:t>
      </w:r>
      <w:r w:rsidRPr="00E72418">
        <w:rPr>
          <w:i/>
          <w:szCs w:val="20"/>
        </w:rPr>
        <w:t>op. cit.</w:t>
      </w:r>
      <w:r w:rsidRPr="00E72418">
        <w:rPr>
          <w:szCs w:val="20"/>
        </w:rPr>
        <w:t>, pp. 369 et 370.</w:t>
      </w:r>
    </w:p>
  </w:footnote>
  <w:footnote w:id="2117">
    <w:p w14:paraId="6FD8044E" w14:textId="7F5DB303" w:rsidR="0030147D" w:rsidRPr="00E72418" w:rsidRDefault="0030147D" w:rsidP="0012485C">
      <w:pPr>
        <w:pStyle w:val="Sansinterligne"/>
        <w:rPr>
          <w:szCs w:val="20"/>
        </w:rPr>
      </w:pPr>
      <w:r w:rsidRPr="00E72418">
        <w:rPr>
          <w:rStyle w:val="Appelnotedebasdep"/>
          <w:szCs w:val="20"/>
        </w:rPr>
        <w:footnoteRef/>
      </w:r>
      <w:r w:rsidRPr="00E72418">
        <w:rPr>
          <w:szCs w:val="20"/>
        </w:rPr>
        <w:t xml:space="preserve"> Voyez </w:t>
      </w:r>
      <w:r w:rsidRPr="00E72418">
        <w:rPr>
          <w:i/>
          <w:szCs w:val="20"/>
        </w:rPr>
        <w:t>supra</w:t>
      </w:r>
      <w:r w:rsidRPr="00E72418">
        <w:rPr>
          <w:szCs w:val="20"/>
        </w:rPr>
        <w:t xml:space="preserve"> n° 297 le commentaire de l’article 3(4) de la proposition étatsunienne.</w:t>
      </w:r>
    </w:p>
  </w:footnote>
  <w:footnote w:id="2118">
    <w:p w14:paraId="009F32BC" w14:textId="7C6E04CE" w:rsidR="0030147D" w:rsidRPr="00E72418" w:rsidRDefault="0030147D" w:rsidP="00B406FE">
      <w:pPr>
        <w:pStyle w:val="Sansinterligne"/>
      </w:pPr>
      <w:r w:rsidRPr="00E72418">
        <w:rPr>
          <w:rStyle w:val="Appelnotedebasdep"/>
        </w:rPr>
        <w:footnoteRef/>
      </w:r>
      <w:r w:rsidRPr="00E72418">
        <w:t xml:space="preserve"> Voyez, dans le même sens,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18 : « </w:t>
      </w:r>
      <w:r w:rsidRPr="00E72418">
        <w:rPr>
          <w:rFonts w:cs="Times New Roman"/>
        </w:rPr>
        <w:t>[u</w:t>
      </w:r>
      <w:r w:rsidRPr="00E72418">
        <w:rPr>
          <w:rFonts w:cs="Times New Roman"/>
          <w:szCs w:val="20"/>
        </w:rPr>
        <w:t>]</w:t>
      </w:r>
      <w:r w:rsidRPr="00E72418">
        <w:rPr>
          <w:szCs w:val="20"/>
        </w:rPr>
        <w:t>ne bonne pratique consiste à limiter le montant qui peut être réclamé afin qu’il ne dépasse pas le prix de rachat des titres de dette</w:t>
      </w:r>
      <w:r w:rsidRPr="00E72418">
        <w:t> ».</w:t>
      </w:r>
    </w:p>
  </w:footnote>
  <w:footnote w:id="2119">
    <w:p w14:paraId="6486D3D8" w14:textId="557DDC47" w:rsidR="0030147D" w:rsidRPr="00E72418" w:rsidRDefault="0030147D" w:rsidP="00C374C7">
      <w:pPr>
        <w:pStyle w:val="Sansinterligne"/>
      </w:pPr>
      <w:r w:rsidRPr="00E72418">
        <w:rPr>
          <w:rStyle w:val="Appelnotedebasdep"/>
        </w:rPr>
        <w:footnoteRef/>
      </w:r>
      <w:r w:rsidRPr="00E72418">
        <w:t xml:space="preserve"> Voyez </w:t>
      </w:r>
      <w:r w:rsidRPr="00E72418">
        <w:rPr>
          <w:i/>
        </w:rPr>
        <w:t>supra</w:t>
      </w:r>
      <w:r w:rsidRPr="00E72418">
        <w:t xml:space="preserve"> respectivement n</w:t>
      </w:r>
      <w:r w:rsidRPr="00E72418">
        <w:rPr>
          <w:vertAlign w:val="superscript"/>
        </w:rPr>
        <w:t>os</w:t>
      </w:r>
      <w:r w:rsidRPr="00E72418">
        <w:t xml:space="preserve"> 298 et 336. Le gouvernement britannique ne fit quant à lui pas le choix de la limite du montant payé relevant que </w:t>
      </w:r>
      <w:r w:rsidRPr="00E72418">
        <w:rPr>
          <w:rFonts w:cs="Times New Roman"/>
          <w:szCs w:val="24"/>
        </w:rPr>
        <w:t xml:space="preserve">ladite limite aurait pour conséquence que des créanciers puissent ainsi obtenir plus que ce qu’ils auraient obtenu en application des modalités de l’Initiative Pays Pauvres Très Endettés </w:t>
      </w:r>
      <w:r w:rsidRPr="00E72418">
        <w:rPr>
          <w:lang w:val="en-US"/>
        </w:rPr>
        <w:t xml:space="preserve">(HM Treasury, </w:t>
      </w:r>
      <w:r w:rsidRPr="00E72418">
        <w:rPr>
          <w:i/>
          <w:lang w:val="en-US"/>
        </w:rPr>
        <w:t>Ensuring effective debt relief for poor countries: a consultation on legislation</w:t>
      </w:r>
      <w:r w:rsidRPr="00E72418">
        <w:rPr>
          <w:lang w:val="en-US"/>
        </w:rPr>
        <w:t>, 2009, p. 26 : « debtor countries would continue to be legally obliged to repay some commercial creditors at above HIPC terms, leading to a smaller development benefit and an outcome that may not be consistent with debt sustainability »)</w:t>
      </w:r>
      <w:r w:rsidRPr="00E72418">
        <w:rPr>
          <w:rFonts w:cs="Times New Roman"/>
          <w:szCs w:val="24"/>
        </w:rPr>
        <w:t>.</w:t>
      </w:r>
      <w:r w:rsidRPr="00E72418">
        <w:t xml:space="preserve"> Si l’argument peut être compris, il ne saurait à notre estime prospérer dans la mesure où il est de nature à faire peser un risque trop important sur le marché secondaire des dettes souveraines lequel est, nous l’avons vu, essentiel. Autant l’étalon de la soutenabilité des dettes souveraines permet de justifier qu’une limitation soit posée aux prétentions des spéculateurs, autant il ne nous paraît pas suffisant à leur refuser l’exercice de leurs droits jugés légitimes. </w:t>
      </w:r>
    </w:p>
  </w:footnote>
  <w:footnote w:id="2120">
    <w:p w14:paraId="4EBB0AD8" w14:textId="2B2C7465" w:rsidR="0030147D" w:rsidRPr="00E72418" w:rsidRDefault="0030147D" w:rsidP="00A81302">
      <w:pPr>
        <w:pStyle w:val="Sansinterligne"/>
      </w:pPr>
      <w:r w:rsidRPr="00E72418">
        <w:rPr>
          <w:rStyle w:val="Appelnotedebasdep"/>
        </w:rPr>
        <w:footnoteRef/>
      </w:r>
      <w:r w:rsidRPr="00E72418">
        <w:t xml:space="preserve"> V. </w:t>
      </w:r>
      <w:r w:rsidRPr="00E72418">
        <w:rPr>
          <w:smallCaps/>
        </w:rPr>
        <w:t>Mazeaud</w:t>
      </w:r>
      <w:r w:rsidRPr="00E72418">
        <w:t xml:space="preserve">, « L’affacturage en droit français », in P. </w:t>
      </w:r>
      <w:r w:rsidRPr="00E72418">
        <w:rPr>
          <w:smallCaps/>
        </w:rPr>
        <w:t>Jourdain</w:t>
      </w:r>
      <w:r w:rsidRPr="00E72418">
        <w:t xml:space="preserve"> et P. </w:t>
      </w:r>
      <w:r w:rsidRPr="00E72418">
        <w:rPr>
          <w:smallCaps/>
        </w:rPr>
        <w:t>Wéry</w:t>
      </w:r>
      <w:r w:rsidRPr="00E72418">
        <w:t xml:space="preserve"> (dir.), </w:t>
      </w:r>
      <w:r w:rsidRPr="00E72418">
        <w:rPr>
          <w:i/>
        </w:rPr>
        <w:t>La transmission des obligations en droit français et en droit belge</w:t>
      </w:r>
      <w:r w:rsidRPr="00E72418">
        <w:t>, Larcier, 2019, p. 543.</w:t>
      </w:r>
    </w:p>
  </w:footnote>
  <w:footnote w:id="2121">
    <w:p w14:paraId="2B20EB7C" w14:textId="47E29978" w:rsidR="0030147D" w:rsidRPr="00E72418" w:rsidRDefault="0030147D" w:rsidP="00544C82">
      <w:pPr>
        <w:pStyle w:val="Sansinterligne"/>
        <w:rPr>
          <w:szCs w:val="20"/>
        </w:rPr>
      </w:pPr>
      <w:r w:rsidRPr="00E72418">
        <w:rPr>
          <w:rStyle w:val="Appelnotedebasdep"/>
          <w:szCs w:val="20"/>
          <w:lang w:val="fr-FR"/>
        </w:rPr>
        <w:footnoteRef/>
      </w:r>
      <w:r w:rsidRPr="00E72418">
        <w:rPr>
          <w:szCs w:val="20"/>
        </w:rPr>
        <w:t xml:space="preserve"> </w:t>
      </w:r>
      <w:r w:rsidRPr="00E72418">
        <w:rPr>
          <w:smallCaps/>
          <w:szCs w:val="20"/>
        </w:rPr>
        <w:t>A. Berger</w:t>
      </w:r>
      <w:r w:rsidRPr="00E72418">
        <w:rPr>
          <w:szCs w:val="20"/>
        </w:rPr>
        <w:t xml:space="preserve">, </w:t>
      </w:r>
      <w:r w:rsidRPr="00E72418">
        <w:rPr>
          <w:i/>
          <w:szCs w:val="20"/>
        </w:rPr>
        <w:t>Encyclopedic Dictionary of Roman Law</w:t>
      </w:r>
      <w:r w:rsidRPr="00E72418">
        <w:rPr>
          <w:szCs w:val="20"/>
        </w:rPr>
        <w:t xml:space="preserve">, The American Philosophical Society, 1953, p. 547. Sur la défense que peut offrir le mécanisme du retrait litigieux,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249. </w:t>
      </w:r>
      <w:r w:rsidRPr="00E72418">
        <w:rPr>
          <w:rFonts w:cs="Times New Roman"/>
        </w:rPr>
        <w:t>Épinglons encore ce que dit Henri De Page des principes gouvernant ce mécanisme tant son propos est évocateur de la réglementation que l’on propose des activités spéculatives sur les dettes souveraines : « </w:t>
      </w:r>
      <w:r w:rsidRPr="00E72418">
        <w:rPr>
          <w:rFonts w:cs="Times New Roman"/>
          <w:szCs w:val="20"/>
        </w:rPr>
        <w:t>[c]elui qui le [</w:t>
      </w:r>
      <w:r w:rsidRPr="00E72418">
        <w:rPr>
          <w:rFonts w:cs="Times New Roman"/>
          <w:i/>
          <w:szCs w:val="20"/>
        </w:rPr>
        <w:t>i.e.</w:t>
      </w:r>
      <w:r w:rsidRPr="00E72418">
        <w:rPr>
          <w:rFonts w:cs="Times New Roman"/>
          <w:szCs w:val="20"/>
        </w:rPr>
        <w:t xml:space="preserve"> le droit litigieux] cède, […] désire s’en débarrasser à raison des ennuis ou des déceptions qu’il peut procurer. Pour ce faire, il consent, d’ordinaire, un sérieux abattement sur le prix. Il en retire ainsi une valeur diminuée, qu’il préfère à l’incertitude résultant des contestations sur le droit. Pareille opération ne présente, en soi, rien d’anormal, puisque </w:t>
      </w:r>
      <w:r w:rsidRPr="00E72418">
        <w:rPr>
          <w:rFonts w:cs="Times New Roman"/>
          <w:i/>
          <w:szCs w:val="20"/>
        </w:rPr>
        <w:t>le cessionnaire est averti de ce qu’il acquiert</w:t>
      </w:r>
      <w:r w:rsidRPr="00E72418">
        <w:rPr>
          <w:rFonts w:cs="Times New Roman"/>
          <w:szCs w:val="20"/>
        </w:rPr>
        <w:t>, et qu’</w:t>
      </w:r>
      <w:r w:rsidRPr="00E72418">
        <w:rPr>
          <w:rFonts w:cs="Times New Roman"/>
          <w:i/>
          <w:szCs w:val="20"/>
        </w:rPr>
        <w:t>il conclut à ses risques et périls</w:t>
      </w:r>
      <w:r w:rsidRPr="00E72418">
        <w:rPr>
          <w:rFonts w:cs="Times New Roman"/>
          <w:szCs w:val="20"/>
        </w:rPr>
        <w:t xml:space="preserve"> </w:t>
      </w:r>
      <w:r w:rsidRPr="00E72418">
        <w:rPr>
          <w:rFonts w:cs="Times New Roman"/>
        </w:rPr>
        <w:t>» (</w:t>
      </w:r>
      <w:r w:rsidRPr="00E72418">
        <w:t xml:space="preserve">H. </w:t>
      </w:r>
      <w:r w:rsidRPr="00E72418">
        <w:rPr>
          <w:smallCaps/>
        </w:rPr>
        <w:t>De Page,</w:t>
      </w:r>
      <w:r w:rsidRPr="00E72418">
        <w:rPr>
          <w:i/>
        </w:rPr>
        <w:t xml:space="preserve"> Traité élémentaire de droit civil belge – Tome quatrième – Les principaux contrats (première partie)</w:t>
      </w:r>
      <w:r w:rsidRPr="00E72418">
        <w:t xml:space="preserve">, </w:t>
      </w:r>
      <w:r w:rsidRPr="00E72418">
        <w:rPr>
          <w:i/>
        </w:rPr>
        <w:t>op. cit.</w:t>
      </w:r>
      <w:r w:rsidRPr="00E72418">
        <w:t xml:space="preserve">, p. 668 – nous soulignons). </w:t>
      </w:r>
      <w:r w:rsidRPr="00E72418">
        <w:rPr>
          <w:rFonts w:cs="Times New Roman"/>
        </w:rPr>
        <w:t>É</w:t>
      </w:r>
      <w:r w:rsidRPr="00E72418">
        <w:t xml:space="preserve">videmment, le cessionnaire ne saurait argumenter que les titres acquis sont mieux valorisés dans ses comptes tant cette appréciation travestirait le mécanisme (voyez G. </w:t>
      </w:r>
      <w:r w:rsidRPr="00E72418">
        <w:rPr>
          <w:smallCaps/>
        </w:rPr>
        <w:t>de Foestraets</w:t>
      </w:r>
      <w:r w:rsidRPr="00E72418">
        <w:t xml:space="preserve">, « Retrait litigieux et cessions d’universalité », </w:t>
      </w:r>
      <w:r w:rsidRPr="00E72418">
        <w:rPr>
          <w:i/>
          <w:szCs w:val="20"/>
        </w:rPr>
        <w:t>J.T.</w:t>
      </w:r>
      <w:r w:rsidRPr="00E72418">
        <w:t>, 2010, p. 606).</w:t>
      </w:r>
    </w:p>
  </w:footnote>
  <w:footnote w:id="2122">
    <w:p w14:paraId="28F6AF9E" w14:textId="6BE4E6A8" w:rsidR="0030147D" w:rsidRPr="00E72418" w:rsidRDefault="0030147D" w:rsidP="00544C82">
      <w:pPr>
        <w:pStyle w:val="Sansinterligne"/>
        <w:rPr>
          <w:szCs w:val="20"/>
        </w:rPr>
      </w:pPr>
      <w:r w:rsidRPr="00E72418">
        <w:rPr>
          <w:rStyle w:val="Appelnotedebasdep"/>
          <w:szCs w:val="20"/>
        </w:rPr>
        <w:footnoteRef/>
      </w:r>
      <w:r w:rsidRPr="00E72418">
        <w:rPr>
          <w:szCs w:val="20"/>
        </w:rPr>
        <w:t xml:space="preserve"> </w:t>
      </w:r>
      <w:r w:rsidRPr="00E72418">
        <w:rPr>
          <w:smallCaps/>
          <w:szCs w:val="20"/>
          <w:lang w:val="en-US"/>
        </w:rPr>
        <w:t>M. Storme</w:t>
      </w:r>
      <w:r w:rsidRPr="00E72418">
        <w:rPr>
          <w:szCs w:val="20"/>
          <w:lang w:val="en-US"/>
        </w:rPr>
        <w:t xml:space="preserve">, « Cherry-Picking Vultures and Other Speculations », </w:t>
      </w:r>
      <w:r w:rsidRPr="00E72418">
        <w:rPr>
          <w:i/>
          <w:szCs w:val="20"/>
          <w:lang w:val="en-US"/>
        </w:rPr>
        <w:t>op. cit.</w:t>
      </w:r>
      <w:r w:rsidRPr="00E72418">
        <w:rPr>
          <w:szCs w:val="20"/>
          <w:lang w:val="en-US"/>
        </w:rPr>
        <w:t xml:space="preserve">, p. 814. </w:t>
      </w:r>
      <w:r w:rsidRPr="00E72418">
        <w:rPr>
          <w:szCs w:val="20"/>
        </w:rPr>
        <w:t xml:space="preserve">Commentant la décision de la </w:t>
      </w:r>
      <w:r w:rsidRPr="00F1587D">
        <w:rPr>
          <w:szCs w:val="20"/>
        </w:rPr>
        <w:t>High Court of Justice</w:t>
      </w:r>
      <w:r w:rsidRPr="00E72418">
        <w:rPr>
          <w:szCs w:val="20"/>
        </w:rPr>
        <w:t xml:space="preserve"> britannique intervenue en 2007 dans le contentieux ayant opposé </w:t>
      </w:r>
      <w:r w:rsidRPr="00E72418">
        <w:rPr>
          <w:i/>
          <w:szCs w:val="20"/>
        </w:rPr>
        <w:t>Donegal International Ltd.</w:t>
      </w:r>
      <w:r w:rsidRPr="00E72418">
        <w:rPr>
          <w:szCs w:val="20"/>
        </w:rPr>
        <w:t xml:space="preserve"> à la République de Zambie (</w:t>
      </w:r>
      <w:r w:rsidRPr="00E72418">
        <w:rPr>
          <w:i/>
          <w:szCs w:val="20"/>
        </w:rPr>
        <w:t>supra</w:t>
      </w:r>
      <w:r w:rsidRPr="00E72418">
        <w:rPr>
          <w:szCs w:val="20"/>
        </w:rPr>
        <w:t xml:space="preserve"> n° 106), Michael Waibel relevait qu’ « </w:t>
      </w:r>
      <w:r w:rsidRPr="00E72418">
        <w:rPr>
          <w:rFonts w:cs="Times New Roman"/>
          <w:szCs w:val="20"/>
        </w:rPr>
        <w:t>[i]</w:t>
      </w:r>
      <w:r w:rsidRPr="00E72418">
        <w:rPr>
          <w:szCs w:val="20"/>
        </w:rPr>
        <w:t>t is the first time a national court has awarded less than the full face value of the debt, despite affirming liability in principle » et que « </w:t>
      </w:r>
      <w:r w:rsidRPr="00E72418">
        <w:rPr>
          <w:rFonts w:cs="Times New Roman"/>
          <w:szCs w:val="20"/>
        </w:rPr>
        <w:t>[p]</w:t>
      </w:r>
      <w:r w:rsidRPr="00E72418">
        <w:rPr>
          <w:szCs w:val="20"/>
        </w:rPr>
        <w:t>reviously, courts refused to find that secondary market purchases of sovereign debt at large discounts ruled out full repayment » (</w:t>
      </w:r>
      <w:r w:rsidRPr="00E72418">
        <w:rPr>
          <w:smallCaps/>
          <w:szCs w:val="20"/>
          <w:lang w:val="en-US"/>
        </w:rPr>
        <w:t>M. Waibel</w:t>
      </w:r>
      <w:r w:rsidRPr="00E72418">
        <w:rPr>
          <w:szCs w:val="20"/>
          <w:lang w:val="en-US"/>
        </w:rPr>
        <w:t xml:space="preserve">, « </w:t>
      </w:r>
      <w:r w:rsidRPr="00E72418">
        <w:rPr>
          <w:szCs w:val="20"/>
        </w:rPr>
        <w:t xml:space="preserve">An elusive quest – After the </w:t>
      </w:r>
      <w:r w:rsidRPr="00E72418">
        <w:rPr>
          <w:i/>
          <w:szCs w:val="20"/>
        </w:rPr>
        <w:t>Donegal</w:t>
      </w:r>
      <w:r w:rsidRPr="00E72418">
        <w:rPr>
          <w:szCs w:val="20"/>
        </w:rPr>
        <w:t xml:space="preserve"> case, compensation for sovereign defaults remains uncertain</w:t>
      </w:r>
      <w:r w:rsidRPr="00E72418">
        <w:rPr>
          <w:szCs w:val="20"/>
          <w:lang w:val="en-US"/>
        </w:rPr>
        <w:t xml:space="preserve"> », </w:t>
      </w:r>
      <w:r w:rsidRPr="00E72418">
        <w:rPr>
          <w:i/>
          <w:szCs w:val="20"/>
          <w:lang w:val="en-US"/>
        </w:rPr>
        <w:t>op. cit.</w:t>
      </w:r>
      <w:r w:rsidRPr="00E72418">
        <w:rPr>
          <w:szCs w:val="20"/>
          <w:lang w:val="en-US"/>
        </w:rPr>
        <w:t>, p. 32)</w:t>
      </w:r>
      <w:r w:rsidRPr="00E72418">
        <w:rPr>
          <w:szCs w:val="20"/>
        </w:rPr>
        <w:t xml:space="preserve">. L’auteur remarquait toutefois que « the legal basis in English law to award less than the debt’s nominal amount remains murky » </w:t>
      </w:r>
      <w:r w:rsidRPr="00E72418">
        <w:rPr>
          <w:szCs w:val="20"/>
          <w:lang w:val="en-US"/>
        </w:rPr>
        <w:t>(</w:t>
      </w:r>
      <w:r w:rsidRPr="00E72418">
        <w:rPr>
          <w:i/>
          <w:szCs w:val="20"/>
          <w:lang w:val="en-US"/>
        </w:rPr>
        <w:t>ibid.</w:t>
      </w:r>
      <w:r w:rsidRPr="00E72418">
        <w:rPr>
          <w:szCs w:val="20"/>
          <w:lang w:val="en-US"/>
        </w:rPr>
        <w:t>, p. 33)</w:t>
      </w:r>
      <w:r w:rsidRPr="00E72418">
        <w:rPr>
          <w:szCs w:val="20"/>
        </w:rPr>
        <w:t>.</w:t>
      </w:r>
    </w:p>
  </w:footnote>
  <w:footnote w:id="2123">
    <w:p w14:paraId="1ABC0363" w14:textId="4F3F6C24" w:rsidR="0030147D" w:rsidRPr="00E72418" w:rsidRDefault="0030147D" w:rsidP="00544C82">
      <w:pPr>
        <w:pStyle w:val="Sansinterligne"/>
        <w:rPr>
          <w:szCs w:val="20"/>
        </w:rPr>
      </w:pPr>
      <w:r w:rsidRPr="00E72418">
        <w:rPr>
          <w:rStyle w:val="Appelnotedebasdep"/>
          <w:szCs w:val="20"/>
        </w:rPr>
        <w:footnoteRef/>
      </w:r>
      <w:r w:rsidRPr="00E72418">
        <w:rPr>
          <w:szCs w:val="20"/>
        </w:rPr>
        <w:t xml:space="preserve"> Eloy Peral critique la limite du montant déboursé par le créancier afin de racheter une créance en raison du fait qu’ « [i]mposing an arbitrary recovery ceiling […] not only seems unfair as it would lead to the same debts having different values merely based on when they were bought […] » </w:t>
      </w:r>
      <w:r w:rsidRPr="00E72418">
        <w:rPr>
          <w:szCs w:val="20"/>
          <w:lang w:val="en-US"/>
        </w:rPr>
        <w:t>(</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24).</w:t>
      </w:r>
      <w:r w:rsidRPr="00E72418">
        <w:rPr>
          <w:szCs w:val="20"/>
        </w:rPr>
        <w:t xml:space="preserve"> Le Gouvernement britannique relevait également que cette limite avait pour conséquence que les créanciers seraient traités différemment pour une dette identique, et ce, en fonction du moment de son acquisition (</w:t>
      </w:r>
      <w:r w:rsidRPr="00E72418">
        <w:rPr>
          <w:szCs w:val="20"/>
          <w:lang w:val="en-US"/>
        </w:rPr>
        <w:t xml:space="preserve">HM </w:t>
      </w:r>
      <w:r w:rsidRPr="00E72418">
        <w:rPr>
          <w:smallCaps/>
          <w:szCs w:val="20"/>
          <w:lang w:val="en-US"/>
        </w:rPr>
        <w:t>Treasury</w:t>
      </w:r>
      <w:r w:rsidRPr="00E72418">
        <w:rPr>
          <w:szCs w:val="20"/>
          <w:lang w:val="en-US"/>
        </w:rPr>
        <w:t xml:space="preserve">, </w:t>
      </w:r>
      <w:r w:rsidRPr="00E72418">
        <w:rPr>
          <w:i/>
          <w:szCs w:val="20"/>
          <w:lang w:val="en-US"/>
        </w:rPr>
        <w:t>Ensuring effective debt relief for poor countries: a consultation on legislation</w:t>
      </w:r>
      <w:r w:rsidRPr="00E72418">
        <w:rPr>
          <w:szCs w:val="20"/>
          <w:lang w:val="en-US"/>
        </w:rPr>
        <w:t>, 2009, p. 26)</w:t>
      </w:r>
      <w:r w:rsidRPr="00E72418">
        <w:rPr>
          <w:szCs w:val="20"/>
        </w:rPr>
        <w:t>. Le Gouvernement notait toutefois l’aspect positif de cette façon de procéder indiquant qu’ « [e]nsuring that any individual creditor remains entitled to a reasonable return on their investment could be argued to balance the position of that creditor and the benefits of full participation in debt relief. This approach would focus on preventing creditors earning high profits at the expense of debt relief, which constitutes the clearest contravention of international efforts » (</w:t>
      </w:r>
      <w:r w:rsidRPr="00E72418">
        <w:rPr>
          <w:i/>
          <w:szCs w:val="20"/>
        </w:rPr>
        <w:t>ibid.</w:t>
      </w:r>
      <w:r w:rsidRPr="00E72418">
        <w:rPr>
          <w:szCs w:val="20"/>
        </w:rPr>
        <w:t>). Ces critiques de la différence de traitement ne nous paraissent pas de nature à mettre à mal la limitation retenue dans la mesure où le traitement différencié des créanciers découle de la spéculation dont ils cherchent à profiter. Comme l’a d’ailleurs rappelé la Cour constitutionnelle belge lorsqu’elle rejeta le recours contre la loi anti-spéculation belge (</w:t>
      </w:r>
      <w:r w:rsidRPr="00E72418">
        <w:rPr>
          <w:i/>
          <w:szCs w:val="20"/>
        </w:rPr>
        <w:t>supra</w:t>
      </w:r>
      <w:r w:rsidRPr="00E72418">
        <w:rPr>
          <w:szCs w:val="20"/>
        </w:rPr>
        <w:t xml:space="preserve"> n° 334), </w:t>
      </w:r>
      <w:r w:rsidRPr="00E72418">
        <w:t>le principe d’égalité et de non-discrimination n’exclut pas qu’une différence de traitement soit établie entre des catégories de personnes, pour autant qu’elle repose sur un critère objectif et qu’elle soit raisonnablement justifiée (</w:t>
      </w:r>
      <w:r w:rsidRPr="00E72418">
        <w:rPr>
          <w:szCs w:val="20"/>
        </w:rPr>
        <w:t>arrêt n° 61/2018, p. 28)</w:t>
      </w:r>
      <w:r w:rsidRPr="00E72418">
        <w:t>.</w:t>
      </w:r>
    </w:p>
  </w:footnote>
  <w:footnote w:id="2124">
    <w:p w14:paraId="385B24EC" w14:textId="3AB3E59C" w:rsidR="0030147D" w:rsidRPr="00E72418" w:rsidRDefault="0030147D" w:rsidP="00A4124B">
      <w:pPr>
        <w:pStyle w:val="Sansinterligne"/>
      </w:pPr>
      <w:r w:rsidRPr="00E72418">
        <w:rPr>
          <w:rStyle w:val="Appelnotedebasdep"/>
        </w:rPr>
        <w:footnoteRef/>
      </w:r>
      <w:r w:rsidRPr="00E72418">
        <w:t xml:space="preserve"> Cass. (F.), 14 juin 2017, pourvoi n° 16-11.389.</w:t>
      </w:r>
    </w:p>
  </w:footnote>
  <w:footnote w:id="2125">
    <w:p w14:paraId="55B1574C" w14:textId="107F74F6" w:rsidR="0030147D" w:rsidRPr="00E72418" w:rsidRDefault="0030147D" w:rsidP="001C5011">
      <w:pPr>
        <w:pStyle w:val="Sansinterligne"/>
      </w:pPr>
      <w:r w:rsidRPr="00E72418">
        <w:rPr>
          <w:rStyle w:val="Appelnotedebasdep"/>
        </w:rPr>
        <w:footnoteRef/>
      </w:r>
      <w:r w:rsidRPr="00E72418">
        <w:t xml:space="preserve"> M. </w:t>
      </w:r>
      <w:r w:rsidRPr="00E72418">
        <w:rPr>
          <w:smallCaps/>
        </w:rPr>
        <w:t>Laazouzi</w:t>
      </w:r>
      <w:r w:rsidRPr="00E72418">
        <w:t xml:space="preserve">, « Réflexions sur le retrait litigieux des créances en situation internationale », </w:t>
      </w:r>
      <w:r w:rsidRPr="00E72418">
        <w:rPr>
          <w:i/>
        </w:rPr>
        <w:t>op. cit.</w:t>
      </w:r>
      <w:r w:rsidRPr="00E72418">
        <w:t>, p. 1019.</w:t>
      </w:r>
    </w:p>
  </w:footnote>
  <w:footnote w:id="2126">
    <w:p w14:paraId="069704CE" w14:textId="195A7046" w:rsidR="0030147D" w:rsidRPr="00E72418" w:rsidRDefault="0030147D" w:rsidP="00635955">
      <w:pPr>
        <w:pStyle w:val="Sansinterligne"/>
      </w:pPr>
      <w:r w:rsidRPr="00E72418">
        <w:rPr>
          <w:rStyle w:val="Appelnotedebasdep"/>
        </w:rPr>
        <w:footnoteRef/>
      </w:r>
      <w:r w:rsidRPr="00E72418">
        <w:t xml:space="preserve"> </w:t>
      </w:r>
      <w:r w:rsidRPr="00E72418">
        <w:rPr>
          <w:i/>
        </w:rPr>
        <w:t>Ibid.</w:t>
      </w:r>
      <w:r w:rsidRPr="00E72418">
        <w:t>, p. 1020.</w:t>
      </w:r>
    </w:p>
  </w:footnote>
  <w:footnote w:id="2127">
    <w:p w14:paraId="7C16F5C1" w14:textId="5BA9AA82" w:rsidR="0030147D" w:rsidRPr="00E72418" w:rsidRDefault="0030147D" w:rsidP="002A59A7">
      <w:pPr>
        <w:pStyle w:val="Sansinterligne"/>
      </w:pPr>
      <w:r w:rsidRPr="00E72418">
        <w:rPr>
          <w:rStyle w:val="Appelnotedebasdep"/>
        </w:rPr>
        <w:footnoteRef/>
      </w:r>
      <w:r w:rsidRPr="00E72418">
        <w:t xml:space="preserve"> H. </w:t>
      </w:r>
      <w:r w:rsidRPr="00E72418">
        <w:rPr>
          <w:smallCaps/>
        </w:rPr>
        <w:t>Muir Watt</w:t>
      </w:r>
      <w:r w:rsidRPr="00E72418">
        <w:t xml:space="preserve">, « Note sous Cass., 28 mars 2013 », </w:t>
      </w:r>
      <w:r w:rsidRPr="00E72418">
        <w:rPr>
          <w:i/>
        </w:rPr>
        <w:t>op. cit.</w:t>
      </w:r>
      <w:r w:rsidRPr="00E72418">
        <w:t>, p. 677.</w:t>
      </w:r>
    </w:p>
  </w:footnote>
  <w:footnote w:id="2128">
    <w:p w14:paraId="4C1C15FB" w14:textId="776C3B23" w:rsidR="0030147D" w:rsidRPr="00E72418" w:rsidRDefault="0030147D" w:rsidP="006B6B61">
      <w:pPr>
        <w:pStyle w:val="Sansinterligne"/>
      </w:pPr>
      <w:r w:rsidRPr="00E72418">
        <w:rPr>
          <w:rStyle w:val="Appelnotedebasdep"/>
        </w:rPr>
        <w:footnoteRef/>
      </w:r>
      <w:r w:rsidRPr="00E72418">
        <w:t xml:space="preserve"> Dans le même ordre d’idées, le </w:t>
      </w:r>
      <w:r w:rsidRPr="00E72418">
        <w:rPr>
          <w:szCs w:val="20"/>
        </w:rPr>
        <w:t>Comité consultatif du Conseil des droits de l’homme des Nations Unies</w:t>
      </w:r>
      <w:r w:rsidRPr="00E72418">
        <w:t xml:space="preserve"> étudiant la limitation au prix payé pour faire l’acquisition du titre poursuivi contenue dans la loi belge qualifie ce prix de « </w:t>
      </w:r>
      <w:r w:rsidRPr="00E72418">
        <w:rPr>
          <w:szCs w:val="20"/>
        </w:rPr>
        <w:t>valeur réelle de la dette souveraine</w:t>
      </w:r>
      <w:r w:rsidRPr="00E72418">
        <w:t xml:space="preserve"> »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11</w:t>
      </w:r>
      <w:r w:rsidRPr="00E72418">
        <w:t xml:space="preserve">). Voyez encore les propos de Roel Deseyn à la Chambre des représentants belge selon lesquels </w:t>
      </w:r>
      <w:r w:rsidRPr="00E72418">
        <w:rPr>
          <w:szCs w:val="20"/>
        </w:rPr>
        <w:t>« [i]ets wat men nooit heeft gehad, kan men namelijk ook niet rechtmatig recupereren » (Chambre des représentants, compte rendu intégral avec compte rendu analytique traduit des interventions, séance plénière, 25 juin 2015, CRIV 54 PLEN 057, p. 57</w:t>
      </w:r>
      <w:r>
        <w:rPr>
          <w:szCs w:val="20"/>
        </w:rPr>
        <w:t xml:space="preserve">. </w:t>
      </w:r>
      <w:r w:rsidRPr="00E72418">
        <w:rPr>
          <w:szCs w:val="20"/>
        </w:rPr>
        <w:t>Notre traduction libre pour nos lecteurs français : « </w:t>
      </w:r>
      <w:r>
        <w:rPr>
          <w:szCs w:val="20"/>
        </w:rPr>
        <w:t>o</w:t>
      </w:r>
      <w:r w:rsidRPr="00E72418">
        <w:rPr>
          <w:szCs w:val="20"/>
        </w:rPr>
        <w:t xml:space="preserve">n ne peut en effet légitimement récupérer quelque chose que l’on n’a jamais eu »). Christopher </w:t>
      </w:r>
      <w:r w:rsidRPr="00E72418">
        <w:rPr>
          <w:szCs w:val="20"/>
          <w:lang w:val="en-US"/>
        </w:rPr>
        <w:t>Wheeler et Amir Attaran</w:t>
      </w:r>
      <w:r w:rsidRPr="00E72418">
        <w:rPr>
          <w:rStyle w:val="SansinterligneCar"/>
          <w:szCs w:val="20"/>
          <w:lang w:val="en-US"/>
        </w:rPr>
        <w:t xml:space="preserve"> relèvent que « </w:t>
      </w:r>
      <w:r w:rsidRPr="00E72418">
        <w:rPr>
          <w:szCs w:val="20"/>
          <w:lang w:val="en-US"/>
        </w:rPr>
        <w:t>[c]</w:t>
      </w:r>
      <w:r w:rsidRPr="00E72418">
        <w:rPr>
          <w:rStyle w:val="SansinterligneCar"/>
          <w:szCs w:val="20"/>
          <w:lang w:val="en-US"/>
        </w:rPr>
        <w:t>reditors who acquire sovereign debt for pennies on the dollar in the secondary market can have no reasonable expectation of full payment » (</w:t>
      </w:r>
      <w:r w:rsidRPr="00E72418">
        <w:rPr>
          <w:smallCaps/>
          <w:szCs w:val="20"/>
          <w:lang w:val="en-US"/>
        </w:rPr>
        <w:t>C. Wheeler</w:t>
      </w:r>
      <w:r w:rsidRPr="00E72418">
        <w:rPr>
          <w:szCs w:val="20"/>
          <w:lang w:val="en-US"/>
        </w:rPr>
        <w:t xml:space="preserve"> et </w:t>
      </w:r>
      <w:r w:rsidRPr="00E72418">
        <w:rPr>
          <w:smallCaps/>
          <w:szCs w:val="20"/>
          <w:lang w:val="en-US"/>
        </w:rPr>
        <w:t>A. Attaran</w:t>
      </w:r>
      <w:r w:rsidRPr="00E72418">
        <w:rPr>
          <w:szCs w:val="20"/>
          <w:lang w:val="en-US"/>
        </w:rPr>
        <w:t xml:space="preserve">, « Declawing the Vulture Funds: Rehabilitation of a Comity Defense in Sovereign Debt Litigation », </w:t>
      </w:r>
      <w:r w:rsidRPr="00E72418">
        <w:rPr>
          <w:i/>
          <w:szCs w:val="20"/>
        </w:rPr>
        <w:t>op. cit.</w:t>
      </w:r>
      <w:r w:rsidRPr="00E72418">
        <w:rPr>
          <w:szCs w:val="20"/>
          <w:lang w:val="en-US"/>
        </w:rPr>
        <w:t>, p. 263).</w:t>
      </w:r>
    </w:p>
  </w:footnote>
  <w:footnote w:id="2129">
    <w:p w14:paraId="2BD09C2E" w14:textId="373E7A2E" w:rsidR="0030147D" w:rsidRPr="00E72418" w:rsidRDefault="0030147D" w:rsidP="000E6BB7">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19</w:t>
      </w:r>
      <w:r w:rsidRPr="00E72418">
        <w:t>.</w:t>
      </w:r>
      <w:r w:rsidR="00B55498">
        <w:t xml:space="preserve"> </w:t>
      </w:r>
      <w:r w:rsidR="00B55498" w:rsidRPr="00E72418">
        <w:t>L’on pourrait encore rechercher dans une faute qu’auraient commise les fonds spéculatifs une justification à la limitation de leurs prétentions puisque, comme le relève Horatia Muir Watt, « [l]e fait de faciliter et d’encourager l’octroi de crédit à une économie déjà endettée ou vivant au-dessus de ses moyens peut aussi être perçu comme un acte irresponsable qui appelle à son tour la mise en œuvre de sanctions du droit privé »</w:t>
      </w:r>
      <w:r w:rsidR="00B55498" w:rsidRPr="00E72418">
        <w:rPr>
          <w:szCs w:val="20"/>
        </w:rPr>
        <w:t xml:space="preserve"> (</w:t>
      </w:r>
      <w:r w:rsidR="00B55498" w:rsidRPr="00E72418">
        <w:rPr>
          <w:smallCaps/>
          <w:szCs w:val="20"/>
        </w:rPr>
        <w:t>H. Muir Watt</w:t>
      </w:r>
      <w:r w:rsidR="00B55498" w:rsidRPr="00E72418">
        <w:rPr>
          <w:szCs w:val="20"/>
        </w:rPr>
        <w:t xml:space="preserve">, « Dette souveraine et main visible du marché : de nouveaux enjeux du droit international privé des contrats », </w:t>
      </w:r>
      <w:r w:rsidR="00B55498" w:rsidRPr="00E72418">
        <w:rPr>
          <w:i/>
          <w:szCs w:val="20"/>
        </w:rPr>
        <w:t>op. cit.</w:t>
      </w:r>
      <w:r w:rsidR="00B55498" w:rsidRPr="00E72418">
        <w:rPr>
          <w:szCs w:val="20"/>
        </w:rPr>
        <w:t>, p. 352).</w:t>
      </w:r>
    </w:p>
  </w:footnote>
  <w:footnote w:id="2130">
    <w:p w14:paraId="43C619F2" w14:textId="15DD634F" w:rsidR="0030147D" w:rsidRPr="00E72418" w:rsidRDefault="0030147D" w:rsidP="003F0194">
      <w:pPr>
        <w:pStyle w:val="Sansinterligne"/>
        <w:rPr>
          <w:lang w:val="fr-FR"/>
        </w:rPr>
      </w:pPr>
      <w:r w:rsidRPr="00E72418">
        <w:rPr>
          <w:rStyle w:val="Appelnotedebasdep"/>
        </w:rPr>
        <w:footnoteRef/>
      </w:r>
      <w:r w:rsidRPr="00E72418">
        <w:t xml:space="preserve"> Rappelons que la Cour constitutionnelle belge a validé la limitation de la possible récupération au prix payé jugeant que cette restriction posée par la loi anti-spéculation belge est dans un rapport raisonnable de proportionnalité avec l’objectif de lutte contre les activités de certains fonds d’investissement qui rachètent à bas prix des créances ou des obligations dont les débiteurs sont des </w:t>
      </w:r>
      <w:r w:rsidRPr="00E72418">
        <w:rPr>
          <w:rFonts w:cs="Times New Roman"/>
          <w:szCs w:val="24"/>
        </w:rPr>
        <w:t>É</w:t>
      </w:r>
      <w:r w:rsidRPr="00E72418">
        <w:t>tats en difficulté pour ensuite en poursuivre le remboursement à leur valeur nominale majorée le cas échéant d’intérêts ou de pénalités, et ce, en spéculant sur un mieux-être à venir (</w:t>
      </w:r>
      <w:r w:rsidRPr="00E72418">
        <w:rPr>
          <w:szCs w:val="20"/>
        </w:rPr>
        <w:t>voyez les points B.16.1. à B.16.4. de l’arrêt n° 61/2018 du 31 mai 2018).</w:t>
      </w:r>
    </w:p>
  </w:footnote>
  <w:footnote w:id="2131">
    <w:p w14:paraId="1C62B747" w14:textId="497B1530" w:rsidR="0030147D" w:rsidRPr="00E72418" w:rsidRDefault="0030147D" w:rsidP="00D46AE5">
      <w:pPr>
        <w:pStyle w:val="Sansinterligne"/>
      </w:pPr>
      <w:r w:rsidRPr="00E72418">
        <w:rPr>
          <w:rStyle w:val="Appelnotedebasdep"/>
        </w:rPr>
        <w:footnoteRef/>
      </w:r>
      <w:r w:rsidRPr="00E72418">
        <w:t xml:space="preserve"> Cour eur. D. H., 28 septembre 2004, </w:t>
      </w:r>
      <w:r w:rsidRPr="00E72418">
        <w:rPr>
          <w:i/>
        </w:rPr>
        <w:t>Kopecky c. Slovaquie</w:t>
      </w:r>
      <w:r w:rsidRPr="00E72418">
        <w:t>, arrêt, requête n° 44912/98, paragraphe 35.</w:t>
      </w:r>
    </w:p>
  </w:footnote>
  <w:footnote w:id="2132">
    <w:p w14:paraId="7E550F7B" w14:textId="03A7F894" w:rsidR="0030147D" w:rsidRPr="00E72418" w:rsidRDefault="0030147D" w:rsidP="00F96B72">
      <w:pPr>
        <w:pStyle w:val="Sansinterligne"/>
      </w:pPr>
      <w:r w:rsidRPr="00E72418">
        <w:rPr>
          <w:rStyle w:val="Appelnotedebasdep"/>
        </w:rPr>
        <w:footnoteRef/>
      </w:r>
      <w:r w:rsidRPr="00E72418">
        <w:t xml:space="preserve"> Cass. (B.), 10 octobre 2013, arrêt n° C.12.0274.N, </w:t>
      </w:r>
      <w:r w:rsidRPr="00E72418">
        <w:rPr>
          <w:i/>
          <w:szCs w:val="20"/>
        </w:rPr>
        <w:t>Pas.</w:t>
      </w:r>
      <w:r w:rsidRPr="00E72418">
        <w:t>, 2013, p. 1906.</w:t>
      </w:r>
    </w:p>
  </w:footnote>
  <w:footnote w:id="2133">
    <w:p w14:paraId="1FF3ADE0" w14:textId="3DC2FFC2" w:rsidR="0030147D" w:rsidRPr="00E72418" w:rsidRDefault="0030147D" w:rsidP="00AD4160">
      <w:pPr>
        <w:pStyle w:val="Sansinterligne"/>
      </w:pPr>
      <w:r w:rsidRPr="00E72418">
        <w:rPr>
          <w:rStyle w:val="Appelnotedebasdep"/>
        </w:rPr>
        <w:footnoteRef/>
      </w:r>
      <w:r w:rsidRPr="00E72418">
        <w:t xml:space="preserve"> L. </w:t>
      </w:r>
      <w:r w:rsidRPr="00E72418">
        <w:rPr>
          <w:smallCaps/>
        </w:rPr>
        <w:t>Cadiet</w:t>
      </w:r>
      <w:r w:rsidRPr="00E72418">
        <w:t xml:space="preserve"> et E. </w:t>
      </w:r>
      <w:r w:rsidRPr="00E72418">
        <w:rPr>
          <w:smallCaps/>
        </w:rPr>
        <w:t>Jeuland</w:t>
      </w:r>
      <w:r w:rsidRPr="00E72418">
        <w:t xml:space="preserve">, </w:t>
      </w:r>
      <w:r w:rsidRPr="00E72418">
        <w:rPr>
          <w:i/>
        </w:rPr>
        <w:t>Droit judiciaire privé</w:t>
      </w:r>
      <w:r w:rsidRPr="00E72418">
        <w:t>, 11</w:t>
      </w:r>
      <w:r w:rsidRPr="00E72418">
        <w:rPr>
          <w:vertAlign w:val="superscript"/>
        </w:rPr>
        <w:t>e</w:t>
      </w:r>
      <w:r w:rsidRPr="00E72418">
        <w:t xml:space="preserve"> éd., LexisNexis, 2020, p. 311. Pour Yves Strickler et Alexey Varnek qui abordent également la notion d’intérêt légitime reprise dans le Code de procédure civile français, « </w:t>
      </w:r>
      <w:r w:rsidRPr="00E72418">
        <w:rPr>
          <w:rFonts w:ascii="Times New Roman" w:hAnsi="Times New Roman"/>
        </w:rPr>
        <w:t>[c]</w:t>
      </w:r>
      <w:r w:rsidRPr="00E72418">
        <w:t xml:space="preserve">e qui illégitime est en général illicite ou immoral » (Y. </w:t>
      </w:r>
      <w:r w:rsidRPr="00E72418">
        <w:rPr>
          <w:smallCaps/>
        </w:rPr>
        <w:t>Strickler</w:t>
      </w:r>
      <w:r w:rsidRPr="00E72418">
        <w:t xml:space="preserve"> et A. </w:t>
      </w:r>
      <w:r w:rsidRPr="00E72418">
        <w:rPr>
          <w:smallCaps/>
        </w:rPr>
        <w:t>Varnek</w:t>
      </w:r>
      <w:r w:rsidRPr="00E72418">
        <w:t xml:space="preserve">, </w:t>
      </w:r>
      <w:r w:rsidRPr="00E72418">
        <w:rPr>
          <w:i/>
        </w:rPr>
        <w:t>Procédure civile</w:t>
      </w:r>
      <w:r w:rsidRPr="00E72418">
        <w:t>, 11</w:t>
      </w:r>
      <w:r w:rsidRPr="00E72418">
        <w:rPr>
          <w:vertAlign w:val="superscript"/>
        </w:rPr>
        <w:t xml:space="preserve">e </w:t>
      </w:r>
      <w:r w:rsidRPr="00E72418">
        <w:t xml:space="preserve">éd., Bruylant, 2021, p. 124). </w:t>
      </w:r>
    </w:p>
  </w:footnote>
  <w:footnote w:id="2134">
    <w:p w14:paraId="322F19D0" w14:textId="56531C48" w:rsidR="0030147D" w:rsidRPr="00E72418" w:rsidRDefault="0030147D" w:rsidP="00D11928">
      <w:pPr>
        <w:pStyle w:val="Sansinterligne"/>
      </w:pPr>
      <w:r w:rsidRPr="00E72418">
        <w:rPr>
          <w:rStyle w:val="Appelnotedebasdep"/>
        </w:rPr>
        <w:footnoteRef/>
      </w:r>
      <w:r w:rsidRPr="00E72418">
        <w:t xml:space="preserve"> C. </w:t>
      </w:r>
      <w:r w:rsidRPr="00E72418">
        <w:rPr>
          <w:smallCaps/>
        </w:rPr>
        <w:t>Chainais</w:t>
      </w:r>
      <w:r w:rsidRPr="00E72418">
        <w:t xml:space="preserve">, F. </w:t>
      </w:r>
      <w:r w:rsidRPr="00E72418">
        <w:rPr>
          <w:smallCaps/>
        </w:rPr>
        <w:t>Ferrand</w:t>
      </w:r>
      <w:r w:rsidRPr="00E72418">
        <w:t xml:space="preserve">, L. </w:t>
      </w:r>
      <w:r w:rsidRPr="00E72418">
        <w:rPr>
          <w:smallCaps/>
        </w:rPr>
        <w:t>Mayer</w:t>
      </w:r>
      <w:r w:rsidRPr="00E72418">
        <w:t xml:space="preserve"> et S. </w:t>
      </w:r>
      <w:r w:rsidRPr="00E72418">
        <w:rPr>
          <w:smallCaps/>
        </w:rPr>
        <w:t>Guinchard</w:t>
      </w:r>
      <w:r w:rsidRPr="00E72418">
        <w:t xml:space="preserve">, </w:t>
      </w:r>
      <w:r w:rsidRPr="00E72418">
        <w:rPr>
          <w:i/>
        </w:rPr>
        <w:t>Procédure civile – Droit commun et spécial du procès civil, MARD et arbitrage</w:t>
      </w:r>
      <w:r w:rsidRPr="00E72418">
        <w:t>, 35</w:t>
      </w:r>
      <w:r w:rsidRPr="00E72418">
        <w:rPr>
          <w:vertAlign w:val="superscript"/>
        </w:rPr>
        <w:t>e</w:t>
      </w:r>
      <w:r w:rsidRPr="00E72418">
        <w:t xml:space="preserve"> éd., Dalloz, 2020, p. 165. Outre-Quiévrain, voyez notamment G. </w:t>
      </w:r>
      <w:r w:rsidRPr="00E72418">
        <w:rPr>
          <w:smallCaps/>
        </w:rPr>
        <w:t>de Leval</w:t>
      </w:r>
      <w:r w:rsidRPr="00E72418">
        <w:t xml:space="preserve"> et H. </w:t>
      </w:r>
      <w:r w:rsidRPr="00E72418">
        <w:rPr>
          <w:smallCaps/>
        </w:rPr>
        <w:t>Boularbah</w:t>
      </w:r>
      <w:r w:rsidRPr="00E72418">
        <w:t xml:space="preserve">, « L’action en justice », in G. </w:t>
      </w:r>
      <w:r w:rsidRPr="00E72418">
        <w:rPr>
          <w:smallCaps/>
        </w:rPr>
        <w:t>de Leval</w:t>
      </w:r>
      <w:r w:rsidRPr="00E72418">
        <w:t xml:space="preserve"> (dir.), </w:t>
      </w:r>
      <w:r w:rsidRPr="00E72418">
        <w:rPr>
          <w:i/>
        </w:rPr>
        <w:t>Droit judiciaire – Tome 2 :  Procédure civile – Volume 1 : Principes directeurs du procès civil, Compétence-Action-Instance-Jugement</w:t>
      </w:r>
      <w:r w:rsidRPr="00E72418">
        <w:t>, 2</w:t>
      </w:r>
      <w:r w:rsidRPr="00E72418">
        <w:rPr>
          <w:vertAlign w:val="superscript"/>
        </w:rPr>
        <w:t>e</w:t>
      </w:r>
      <w:r w:rsidRPr="00E72418">
        <w:t xml:space="preserve"> éd., Larcier, 2021, pp. 244 et 245. Ces auteurs belges notent que « l’intérêt légitime est d’ordre processuel et, dans une certaine mesure, substantiel ». Georges de Leval et Hakim Boularbah précisent ainsi que l’examen de la demande au regard de l’exigence de l’intérêt légitime peut se faire sous les deux aspects successivement abordés mais estiment qu’en tant que condition de recevabilité, il convient de donner à l’exigence une portée limitée.</w:t>
      </w:r>
    </w:p>
  </w:footnote>
  <w:footnote w:id="2135">
    <w:p w14:paraId="75B39410" w14:textId="37D827C5" w:rsidR="0030147D" w:rsidRPr="00E72418" w:rsidRDefault="0030147D" w:rsidP="00F05AE6">
      <w:pPr>
        <w:pStyle w:val="Sansinterligne"/>
      </w:pPr>
      <w:r w:rsidRPr="00E72418">
        <w:rPr>
          <w:rStyle w:val="Appelnotedebasdep"/>
        </w:rPr>
        <w:footnoteRef/>
      </w:r>
      <w:r w:rsidRPr="00E72418">
        <w:t xml:space="preserve"> L’on peut encore tirer enseignement de la </w:t>
      </w:r>
      <w:r w:rsidRPr="00E72418">
        <w:rPr>
          <w:i/>
        </w:rPr>
        <w:t>Lex Anastasiana</w:t>
      </w:r>
      <w:r w:rsidRPr="00E72418">
        <w:t xml:space="preserve"> où le cessionnaire, ne pouvant exiger du débiteur une somme supérieure à celle réglée au cédant, devait prouver ce montant (voyez M. </w:t>
      </w:r>
      <w:r w:rsidRPr="00E72418">
        <w:rPr>
          <w:smallCaps/>
        </w:rPr>
        <w:t>Laazouzi</w:t>
      </w:r>
      <w:r w:rsidRPr="00E72418">
        <w:t xml:space="preserve">, « Réflexions sur le retrait litigieux des créances en situation internationale », </w:t>
      </w:r>
      <w:r w:rsidRPr="00E72418">
        <w:rPr>
          <w:i/>
        </w:rPr>
        <w:t>op. cit.</w:t>
      </w:r>
      <w:r w:rsidRPr="00E72418">
        <w:t>, p. 1026. L’auteur remarque la différence de paradigme avec le retrait litigieux où ce dernier est possible pour autant que le débiteur ait eu connaissance de la cession et de son prix (</w:t>
      </w:r>
      <w:r w:rsidRPr="00E72418">
        <w:rPr>
          <w:i/>
        </w:rPr>
        <w:t>ibid.</w:t>
      </w:r>
      <w:r w:rsidRPr="00E72418">
        <w:t>)).</w:t>
      </w:r>
    </w:p>
  </w:footnote>
  <w:footnote w:id="2136">
    <w:p w14:paraId="23723C7E" w14:textId="62B004F2" w:rsidR="0030147D" w:rsidRPr="00E72418" w:rsidRDefault="0030147D" w:rsidP="00863C20">
      <w:pPr>
        <w:pStyle w:val="Sansinterligne"/>
        <w:rPr>
          <w:szCs w:val="20"/>
        </w:rPr>
      </w:pPr>
      <w:r w:rsidRPr="00E72418">
        <w:rPr>
          <w:rStyle w:val="Appelnotedebasdep"/>
          <w:szCs w:val="20"/>
        </w:rPr>
        <w:footnoteRef/>
      </w:r>
      <w:r w:rsidRPr="00E72418">
        <w:rPr>
          <w:szCs w:val="20"/>
        </w:rPr>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rPr>
          <w:szCs w:val="20"/>
        </w:rPr>
        <w:t>, p. 20.</w:t>
      </w:r>
    </w:p>
  </w:footnote>
  <w:footnote w:id="2137">
    <w:p w14:paraId="4A9FC467" w14:textId="4D04C0FA" w:rsidR="0030147D" w:rsidRPr="00E72418" w:rsidRDefault="0030147D" w:rsidP="009A5537">
      <w:pPr>
        <w:pStyle w:val="Sansinterligne"/>
      </w:pPr>
      <w:r w:rsidRPr="00E72418">
        <w:rPr>
          <w:rStyle w:val="Appelnotedebasdep"/>
        </w:rPr>
        <w:footnoteRef/>
      </w:r>
      <w:r w:rsidRPr="00E72418">
        <w:t xml:space="preserve"> Sur l’obligation de transparence, certes plus étendue quant aux informations à fournir, reprise dans la proposition étatsunienne, voyez </w:t>
      </w:r>
      <w:r w:rsidRPr="00E72418">
        <w:rPr>
          <w:i/>
        </w:rPr>
        <w:t>supra</w:t>
      </w:r>
      <w:r w:rsidRPr="00E72418">
        <w:t xml:space="preserve"> n° 301. Sur la même obligation du dispositif français qui coïncide davantage avec celle reprise par notre proposition en ce qu’elle prévoit que « </w:t>
      </w:r>
      <w:r w:rsidRPr="00E72418">
        <w:rPr>
          <w:szCs w:val="20"/>
          <w:lang w:val="en-US"/>
        </w:rPr>
        <w:t>[l]</w:t>
      </w:r>
      <w:r w:rsidRPr="00E72418">
        <w:t xml:space="preserve">e détenteur du titre de créance communique, à peine d’irrecevabilité, l’acte par lequel il a acquis la créance à raison de laquelle il demande une mesure conservatoire ou une mesure d’exécution forcée et fait connaître la date et l’intégralité des conditions financières de l’acquisition », voyez </w:t>
      </w:r>
      <w:r w:rsidRPr="00E72418">
        <w:rPr>
          <w:i/>
        </w:rPr>
        <w:t>supra</w:t>
      </w:r>
      <w:r w:rsidRPr="00E72418">
        <w:t xml:space="preserve"> n° 371.</w:t>
      </w:r>
    </w:p>
  </w:footnote>
  <w:footnote w:id="2138">
    <w:p w14:paraId="39DAAF47" w14:textId="411D2AC9"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Pr>
          <w:szCs w:val="20"/>
          <w:lang w:val="en-US"/>
        </w:rPr>
        <w:t xml:space="preserve">Voyez </w:t>
      </w:r>
      <w:r w:rsidRPr="00E72418">
        <w:rPr>
          <w:smallCaps/>
          <w:szCs w:val="20"/>
          <w:lang w:val="en-US"/>
        </w:rPr>
        <w:t>E. Peral</w:t>
      </w:r>
      <w:r w:rsidRPr="00E72418">
        <w:rPr>
          <w:szCs w:val="20"/>
          <w:lang w:val="en-US"/>
        </w:rPr>
        <w:t xml:space="preserve">, </w:t>
      </w:r>
      <w:r w:rsidRPr="00E72418">
        <w:t>« Curtailing Vulture Funds in Low-Income Sovereign Debt Litigation: American and British Legislatives Responses »</w:t>
      </w:r>
      <w:r w:rsidRPr="00E72418">
        <w:rPr>
          <w:szCs w:val="20"/>
          <w:lang w:val="en-US"/>
        </w:rPr>
        <w:t xml:space="preserve">, </w:t>
      </w:r>
      <w:r w:rsidRPr="00E72418">
        <w:rPr>
          <w:i/>
          <w:szCs w:val="20"/>
          <w:lang w:val="en-US"/>
        </w:rPr>
        <w:t>op. cit.</w:t>
      </w:r>
      <w:r w:rsidRPr="00E72418">
        <w:rPr>
          <w:szCs w:val="20"/>
          <w:lang w:val="en-US"/>
        </w:rPr>
        <w:t>, p. 23.</w:t>
      </w:r>
    </w:p>
  </w:footnote>
  <w:footnote w:id="2139">
    <w:p w14:paraId="13875802" w14:textId="4DDB0F51" w:rsidR="0030147D" w:rsidRPr="00E72418" w:rsidRDefault="0030147D" w:rsidP="004063A5">
      <w:pPr>
        <w:pStyle w:val="Sansinterligne"/>
      </w:pPr>
      <w:r w:rsidRPr="00E72418">
        <w:rPr>
          <w:rStyle w:val="Appelnotedebasdep"/>
        </w:rPr>
        <w:footnoteRef/>
      </w:r>
      <w:r w:rsidRPr="00E72418">
        <w:t xml:space="preserve"> Voyez </w:t>
      </w:r>
      <w:r w:rsidRPr="00E72418">
        <w:rPr>
          <w:i/>
        </w:rPr>
        <w:t>supra</w:t>
      </w:r>
      <w:r w:rsidRPr="00E72418">
        <w:t xml:space="preserve"> n° 298. Il y était question d’un intérêt de six pour cent l’an sur le montant réglé pour faire l’acquisition de la dette sur le marché secondaire.</w:t>
      </w:r>
    </w:p>
  </w:footnote>
  <w:footnote w:id="2140">
    <w:p w14:paraId="5AC99ECF" w14:textId="761E17A8" w:rsidR="0030147D" w:rsidRPr="00E72418" w:rsidRDefault="0030147D" w:rsidP="00FA2EAF">
      <w:pPr>
        <w:pStyle w:val="Sansinterligne"/>
      </w:pPr>
      <w:r w:rsidRPr="00E72418">
        <w:rPr>
          <w:rStyle w:val="Appelnotedebasdep"/>
        </w:rPr>
        <w:footnoteRef/>
      </w:r>
      <w:r w:rsidRPr="00E72418">
        <w:t xml:space="preserve"> Voyez </w:t>
      </w:r>
      <w:r w:rsidRPr="00E72418">
        <w:rPr>
          <w:i/>
        </w:rPr>
        <w:t>supra</w:t>
      </w:r>
      <w:r w:rsidRPr="00E72418">
        <w:t xml:space="preserve"> n° 306. La proposition retenait une alternative pour fixer cet intérêt entre, d’une part, le taux d’intérêt tel que fixé dans le contrat de dette, d’autre part, le taux d’intérêt fixé dans le </w:t>
      </w:r>
      <w:r w:rsidRPr="00E72418">
        <w:rPr>
          <w:i/>
        </w:rPr>
        <w:t>Judgment Act 1838</w:t>
      </w:r>
      <w:r w:rsidRPr="00E72418">
        <w:t>.</w:t>
      </w:r>
    </w:p>
  </w:footnote>
  <w:footnote w:id="2141">
    <w:p w14:paraId="1583071E" w14:textId="2EA63D7B" w:rsidR="0030147D" w:rsidRPr="00E72418" w:rsidRDefault="0030147D" w:rsidP="00544C82">
      <w:pPr>
        <w:pStyle w:val="Sansinterligne"/>
        <w:rPr>
          <w:szCs w:val="20"/>
        </w:rPr>
      </w:pPr>
      <w:r w:rsidRPr="00E72418">
        <w:rPr>
          <w:rStyle w:val="Appelnotedebasdep"/>
          <w:szCs w:val="20"/>
        </w:rPr>
        <w:footnoteRef/>
      </w:r>
      <w:r w:rsidRPr="00E72418">
        <w:rPr>
          <w:szCs w:val="20"/>
        </w:rPr>
        <w:t xml:space="preserve"> </w:t>
      </w:r>
      <w:r w:rsidRPr="00E72418">
        <w:rPr>
          <w:smallCaps/>
          <w:szCs w:val="20"/>
        </w:rPr>
        <w:t>C. De Jonghe</w:t>
      </w:r>
      <w:r w:rsidRPr="00E72418">
        <w:rPr>
          <w:szCs w:val="20"/>
        </w:rPr>
        <w:t xml:space="preserve">, « Vers un encadrement européen de l’activité des fonds vautours ? », </w:t>
      </w:r>
      <w:r w:rsidRPr="00E72418">
        <w:rPr>
          <w:i/>
          <w:szCs w:val="20"/>
        </w:rPr>
        <w:t>op. cit.</w:t>
      </w:r>
      <w:r w:rsidRPr="00E72418">
        <w:rPr>
          <w:szCs w:val="20"/>
        </w:rPr>
        <w:t>, p. 14.</w:t>
      </w:r>
    </w:p>
  </w:footnote>
  <w:footnote w:id="2142">
    <w:p w14:paraId="64FCD90B" w14:textId="03DF5069" w:rsidR="0030147D" w:rsidRPr="00E72418" w:rsidRDefault="0030147D" w:rsidP="00C81D3F">
      <w:pPr>
        <w:pStyle w:val="Sansinterligne"/>
      </w:pPr>
      <w:r w:rsidRPr="00E72418">
        <w:rPr>
          <w:rStyle w:val="Appelnotedebasdep"/>
        </w:rPr>
        <w:footnoteRef/>
      </w:r>
      <w:r w:rsidRPr="00E72418">
        <w:t xml:space="preserve"> C’est d’ailleurs là une des faiblesses de la loi belge relevée par Daniel Brutti, « Belgium’s law, which caps creditor recovery at price paid, effectively extinguishes incentives to trade in distressed sovereign bonds, as no rational investor would incur transaction costs to acquire an asset that can never appreciate » (D. </w:t>
      </w:r>
      <w:r w:rsidRPr="00E72418">
        <w:rPr>
          <w:smallCaps/>
        </w:rPr>
        <w:t xml:space="preserve">Brutti, </w:t>
      </w:r>
      <w:r w:rsidRPr="00E72418">
        <w:t xml:space="preserve">« Sovereign debt crises and vulture hedge funds: issues and policy solutions », </w:t>
      </w:r>
      <w:r w:rsidRPr="00E72418">
        <w:rPr>
          <w:i/>
        </w:rPr>
        <w:t>op. cit.</w:t>
      </w:r>
      <w:r w:rsidRPr="00E72418">
        <w:t>, p. 1847).</w:t>
      </w:r>
    </w:p>
  </w:footnote>
  <w:footnote w:id="2143">
    <w:p w14:paraId="5EB4D8F2" w14:textId="11BDDDEA"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rStyle w:val="Titre5Car"/>
          <w:rFonts w:ascii="Times" w:eastAsiaTheme="minorHAnsi" w:hAnsi="Times" w:cstheme="minorBidi"/>
          <w:smallCaps/>
          <w:color w:val="auto"/>
          <w:szCs w:val="20"/>
          <w:lang w:val="en-US"/>
        </w:rPr>
        <w:t>J. Muse-Fisher</w:t>
      </w:r>
      <w:r w:rsidRPr="00E72418">
        <w:rPr>
          <w:rStyle w:val="Titre5Car"/>
          <w:rFonts w:ascii="Times" w:eastAsiaTheme="minorHAnsi" w:hAnsi="Times" w:cstheme="minorBidi"/>
          <w:color w:val="auto"/>
          <w:szCs w:val="20"/>
          <w:lang w:val="en-US"/>
        </w:rPr>
        <w:t xml:space="preserve">, « Starving the Vultures: </w:t>
      </w:r>
      <w:r w:rsidRPr="00E72418">
        <w:rPr>
          <w:rStyle w:val="Titre5Car"/>
          <w:rFonts w:ascii="Times" w:eastAsiaTheme="minorHAnsi" w:hAnsi="Times" w:cstheme="minorBidi"/>
          <w:i/>
          <w:color w:val="auto"/>
          <w:szCs w:val="20"/>
          <w:lang w:val="en-US"/>
        </w:rPr>
        <w:t>NML Capital v. Republic of Argentina</w:t>
      </w:r>
      <w:r w:rsidRPr="00E72418">
        <w:rPr>
          <w:rStyle w:val="Titre5Car"/>
          <w:rFonts w:ascii="Times" w:eastAsiaTheme="minorHAnsi" w:hAnsi="Times" w:cstheme="minorBidi"/>
          <w:color w:val="auto"/>
          <w:szCs w:val="20"/>
          <w:lang w:val="en-US"/>
        </w:rPr>
        <w:t xml:space="preserve"> and Solutions to the Problem of Distressed-Debt Funds », </w:t>
      </w:r>
      <w:r w:rsidRPr="00E72418">
        <w:rPr>
          <w:i/>
          <w:szCs w:val="20"/>
          <w:lang w:val="en-US"/>
        </w:rPr>
        <w:t>op. cit.</w:t>
      </w:r>
      <w:r w:rsidRPr="00E72418">
        <w:rPr>
          <w:rStyle w:val="Titre5Car"/>
          <w:rFonts w:ascii="Times" w:eastAsiaTheme="minorHAnsi" w:hAnsi="Times" w:cstheme="minorBidi"/>
          <w:color w:val="auto"/>
          <w:szCs w:val="20"/>
          <w:lang w:val="en-US"/>
        </w:rPr>
        <w:t>, p. 1680.</w:t>
      </w:r>
    </w:p>
  </w:footnote>
  <w:footnote w:id="2144">
    <w:p w14:paraId="6B2D98B7" w14:textId="7F212B53" w:rsidR="0030147D" w:rsidRPr="00E72418" w:rsidRDefault="0030147D" w:rsidP="00DA7F5F">
      <w:pPr>
        <w:pStyle w:val="Sansinterligne"/>
      </w:pPr>
      <w:r w:rsidRPr="00E72418">
        <w:rPr>
          <w:rStyle w:val="Appelnotedebasdep"/>
        </w:rPr>
        <w:footnoteRef/>
      </w:r>
      <w:r w:rsidRPr="00E72418">
        <w:t xml:space="preserve"> Cette possibilité semble du reste avoir été envisagée par Georges Gilkinet lors des discussions en séance plénière de la loi anti-fonds vautours (Chambre des représentants, </w:t>
      </w:r>
      <w:r w:rsidRPr="00E72418">
        <w:rPr>
          <w:i/>
        </w:rPr>
        <w:t>Compte rendu intégral avec compte rendu analytique traduit des interventions</w:t>
      </w:r>
      <w:r w:rsidRPr="00E72418">
        <w:t>, séance plénière, 25 juin 2015, CRIV 54 PLEN 057, p. 59) sans qu’une traduction de l’idée ne se retrouve dans la loi finalement adoptée.</w:t>
      </w:r>
    </w:p>
  </w:footnote>
  <w:footnote w:id="2145">
    <w:p w14:paraId="61A81101" w14:textId="14BB2F99" w:rsidR="0030147D" w:rsidRPr="00E72418" w:rsidRDefault="0030147D" w:rsidP="004063A5">
      <w:pPr>
        <w:pStyle w:val="Sansinterligne"/>
      </w:pPr>
      <w:r w:rsidRPr="00E72418">
        <w:rPr>
          <w:rStyle w:val="Appelnotedebasdep"/>
        </w:rPr>
        <w:footnoteRef/>
      </w:r>
      <w:r w:rsidRPr="00E72418">
        <w:t xml:space="preserve"> Au sujet des conséquences d’une restructuration décidée, voyez </w:t>
      </w:r>
      <w:r w:rsidRPr="00E72418">
        <w:rPr>
          <w:i/>
        </w:rPr>
        <w:t>infra</w:t>
      </w:r>
      <w:r>
        <w:t xml:space="preserve"> n° 420</w:t>
      </w:r>
      <w:r w:rsidRPr="00E72418">
        <w:t>.</w:t>
      </w:r>
    </w:p>
  </w:footnote>
  <w:footnote w:id="2146">
    <w:p w14:paraId="0290676B" w14:textId="21F422EE" w:rsidR="0030147D" w:rsidRPr="00E72418" w:rsidRDefault="0030147D" w:rsidP="00C81D3F">
      <w:pPr>
        <w:pStyle w:val="Sansinterligne"/>
      </w:pPr>
      <w:r w:rsidRPr="00E72418">
        <w:rPr>
          <w:rStyle w:val="Appelnotedebasdep"/>
        </w:rPr>
        <w:footnoteRef/>
      </w:r>
      <w:r w:rsidRPr="00E72418">
        <w:t xml:space="preserve"> </w:t>
      </w:r>
      <w:r w:rsidRPr="00E72418">
        <w:rPr>
          <w:i/>
        </w:rPr>
        <w:t>Ibid.</w:t>
      </w:r>
      <w:r w:rsidRPr="00E72418">
        <w:t>, p. 58.</w:t>
      </w:r>
    </w:p>
  </w:footnote>
  <w:footnote w:id="2147">
    <w:p w14:paraId="521E7C51" w14:textId="6E7E456E" w:rsidR="0030147D" w:rsidRPr="00E72418" w:rsidRDefault="0030147D" w:rsidP="00E762FA">
      <w:pPr>
        <w:pStyle w:val="Sansinterligne"/>
      </w:pPr>
      <w:r w:rsidRPr="00E72418">
        <w:rPr>
          <w:rStyle w:val="Appelnotedebasdep"/>
        </w:rPr>
        <w:footnoteRef/>
      </w:r>
      <w:r w:rsidRPr="00E72418">
        <w:t xml:space="preserve"> Voyez le troisième alinéa de l’article 1022 du Code judiciaire. Pour plus de précisions sur l’indemnité de procédure en droit belge, voyez notamment B. </w:t>
      </w:r>
      <w:r w:rsidRPr="00E72418">
        <w:rPr>
          <w:smallCaps/>
        </w:rPr>
        <w:t>Biemar</w:t>
      </w:r>
      <w:r w:rsidRPr="00E72418">
        <w:t xml:space="preserve">, « L’accès économique à la justice », in G. </w:t>
      </w:r>
      <w:r w:rsidRPr="00E72418">
        <w:rPr>
          <w:smallCaps/>
        </w:rPr>
        <w:t>de Leval</w:t>
      </w:r>
      <w:r w:rsidRPr="00E72418">
        <w:t xml:space="preserve"> (dir.), </w:t>
      </w:r>
      <w:r w:rsidRPr="00E72418">
        <w:rPr>
          <w:i/>
        </w:rPr>
        <w:t>Droit judiciaire – Tome 2 :  Procédure civile – Volume 1 : Principes directeurs du procès civil, Compétence-Action-Instance-Jugement</w:t>
      </w:r>
      <w:r w:rsidRPr="00E72418">
        <w:t>, 2</w:t>
      </w:r>
      <w:r w:rsidRPr="00E72418">
        <w:rPr>
          <w:vertAlign w:val="superscript"/>
        </w:rPr>
        <w:t>e</w:t>
      </w:r>
      <w:r w:rsidRPr="00E72418">
        <w:t xml:space="preserve"> éd., Larcier, 2021, pp. 478 et suiv.</w:t>
      </w:r>
    </w:p>
  </w:footnote>
  <w:footnote w:id="2148">
    <w:p w14:paraId="67E2BDA5" w14:textId="24BBF5FC" w:rsidR="0030147D" w:rsidRPr="00E72418" w:rsidRDefault="0030147D" w:rsidP="004E40E6">
      <w:pPr>
        <w:pStyle w:val="Sansinterligne"/>
      </w:pPr>
      <w:r w:rsidRPr="00E72418">
        <w:rPr>
          <w:rStyle w:val="Appelnotedebasdep"/>
        </w:rPr>
        <w:footnoteRef/>
      </w:r>
      <w:r w:rsidRPr="00E72418">
        <w:t xml:space="preserve"> Voyez </w:t>
      </w:r>
      <w:r w:rsidRPr="00E72418">
        <w:rPr>
          <w:i/>
        </w:rPr>
        <w:t>supra</w:t>
      </w:r>
      <w:r>
        <w:t xml:space="preserve"> n° 418</w:t>
      </w:r>
      <w:r w:rsidRPr="00E72418">
        <w:t>.</w:t>
      </w:r>
    </w:p>
  </w:footnote>
  <w:footnote w:id="2149">
    <w:p w14:paraId="67D88CB5" w14:textId="5E7311C5" w:rsidR="0030147D" w:rsidRPr="00E72418" w:rsidRDefault="0030147D" w:rsidP="00264450">
      <w:pPr>
        <w:pStyle w:val="Sansinterligne"/>
      </w:pPr>
      <w:r w:rsidRPr="00E72418">
        <w:rPr>
          <w:rStyle w:val="Appelnotedebasdep"/>
        </w:rPr>
        <w:footnoteRef/>
      </w:r>
      <w:r w:rsidRPr="00E72418">
        <w:t xml:space="preserve"> Sur cette différence dont peuvent chercher à tirer profit les spéculateurs, voyez </w:t>
      </w:r>
      <w:r w:rsidRPr="00E72418">
        <w:rPr>
          <w:i/>
        </w:rPr>
        <w:t>supra</w:t>
      </w:r>
      <w:r w:rsidRPr="00E72418">
        <w:t xml:space="preserve"> n° 140.</w:t>
      </w:r>
    </w:p>
  </w:footnote>
  <w:footnote w:id="2150">
    <w:p w14:paraId="622D3A40" w14:textId="6478272A" w:rsidR="0030147D" w:rsidRPr="00E72418" w:rsidRDefault="0030147D" w:rsidP="002556A3">
      <w:pPr>
        <w:pStyle w:val="Sansinterligne"/>
      </w:pPr>
      <w:r w:rsidRPr="00E72418">
        <w:rPr>
          <w:rStyle w:val="Appelnotedebasdep"/>
        </w:rPr>
        <w:footnoteRef/>
      </w:r>
      <w:r w:rsidRPr="00E72418">
        <w:t xml:space="preserve"> Sur ce rôle, voyez </w:t>
      </w:r>
      <w:r w:rsidRPr="00E72418">
        <w:rPr>
          <w:i/>
        </w:rPr>
        <w:t>supra</w:t>
      </w:r>
      <w:r w:rsidRPr="00E72418">
        <w:t xml:space="preserve"> n</w:t>
      </w:r>
      <w:r w:rsidRPr="00E72418">
        <w:rPr>
          <w:vertAlign w:val="superscript"/>
        </w:rPr>
        <w:t>os</w:t>
      </w:r>
      <w:r w:rsidRPr="00E72418">
        <w:t xml:space="preserve"> 161</w:t>
      </w:r>
      <w:r w:rsidRPr="00E72418">
        <w:rPr>
          <w:vertAlign w:val="superscript"/>
        </w:rPr>
        <w:t xml:space="preserve"> </w:t>
      </w:r>
      <w:r w:rsidRPr="00E72418">
        <w:t>et suiv.</w:t>
      </w:r>
    </w:p>
  </w:footnote>
  <w:footnote w:id="2151">
    <w:p w14:paraId="2244C19A" w14:textId="6773B07C" w:rsidR="0030147D" w:rsidRPr="00E72418" w:rsidRDefault="0030147D" w:rsidP="00EC48A9">
      <w:pPr>
        <w:pStyle w:val="Sansinterligne"/>
      </w:pPr>
      <w:r w:rsidRPr="00E72418">
        <w:rPr>
          <w:rStyle w:val="Appelnotedebasdep"/>
        </w:rPr>
        <w:footnoteRef/>
      </w:r>
      <w:r w:rsidRPr="00E72418">
        <w:t xml:space="preserve"> A. </w:t>
      </w:r>
      <w:r w:rsidRPr="00E72418">
        <w:rPr>
          <w:smallCaps/>
        </w:rPr>
        <w:t>Autenne</w:t>
      </w:r>
      <w:r w:rsidRPr="00E72418">
        <w:t xml:space="preserve">, « Dette souveraine et vautours : La Belgique donne le ton », </w:t>
      </w:r>
      <w:r w:rsidRPr="00E72418">
        <w:rPr>
          <w:i/>
        </w:rPr>
        <w:t>op. cit.</w:t>
      </w:r>
    </w:p>
  </w:footnote>
  <w:footnote w:id="2152">
    <w:p w14:paraId="7AF3103E" w14:textId="50C7DE0D" w:rsidR="0030147D" w:rsidRPr="00E72418" w:rsidRDefault="0030147D" w:rsidP="00EC48A9">
      <w:pPr>
        <w:pStyle w:val="Sansinterligne"/>
      </w:pPr>
      <w:r w:rsidRPr="00E72418">
        <w:rPr>
          <w:rStyle w:val="Appelnotedebasdep"/>
        </w:rPr>
        <w:footnoteRef/>
      </w:r>
      <w:r w:rsidRPr="00E72418">
        <w:t xml:space="preserve"> </w:t>
      </w:r>
      <w:r w:rsidRPr="00E72418">
        <w:rPr>
          <w:smallCaps/>
        </w:rPr>
        <w:t>O. Creplet</w:t>
      </w:r>
      <w:r w:rsidRPr="00E72418">
        <w:t xml:space="preserve"> et </w:t>
      </w:r>
      <w:r w:rsidRPr="00E72418">
        <w:rPr>
          <w:smallCaps/>
        </w:rPr>
        <w:t>J. Courbis</w:t>
      </w:r>
      <w:r w:rsidRPr="00E72418">
        <w:t xml:space="preserve">, « La loi belge du 12 juillet 2015 relative à la lutte contre les activités des fonds vautours », </w:t>
      </w:r>
      <w:r w:rsidRPr="00E72418">
        <w:rPr>
          <w:i/>
          <w:szCs w:val="20"/>
        </w:rPr>
        <w:t>op. cit.</w:t>
      </w:r>
      <w:r w:rsidRPr="00E72418">
        <w:t>, p. 75.</w:t>
      </w:r>
    </w:p>
  </w:footnote>
  <w:footnote w:id="2153">
    <w:p w14:paraId="5AF3ADF4" w14:textId="2308DF3B"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L. Buchheit</w:t>
      </w:r>
      <w:r w:rsidRPr="00E72418">
        <w:rPr>
          <w:szCs w:val="20"/>
          <w:lang w:val="en-US"/>
        </w:rPr>
        <w:t xml:space="preserve"> et </w:t>
      </w:r>
      <w:r w:rsidRPr="00E72418">
        <w:rPr>
          <w:smallCaps/>
          <w:szCs w:val="20"/>
          <w:lang w:val="en-US"/>
        </w:rPr>
        <w:t>M. Gulati</w:t>
      </w:r>
      <w:r w:rsidRPr="00E72418">
        <w:rPr>
          <w:szCs w:val="20"/>
          <w:lang w:val="en-US"/>
        </w:rPr>
        <w:t xml:space="preserve">, « Responsible Sovereign Lending and Borrowing », </w:t>
      </w:r>
      <w:r w:rsidRPr="00E72418">
        <w:rPr>
          <w:i/>
          <w:szCs w:val="20"/>
          <w:lang w:val="en-US"/>
        </w:rPr>
        <w:t>op. cit.</w:t>
      </w:r>
      <w:r w:rsidRPr="00E72418">
        <w:rPr>
          <w:szCs w:val="20"/>
          <w:lang w:val="en-US"/>
        </w:rPr>
        <w:t xml:space="preserve">, p. 67. Voyez également sur cette « malice aforethought », </w:t>
      </w:r>
      <w:r w:rsidRPr="00E72418">
        <w:rPr>
          <w:smallCaps/>
          <w:szCs w:val="20"/>
          <w:lang w:val="en-US"/>
        </w:rPr>
        <w:t>L. Buchheit</w:t>
      </w:r>
      <w:r w:rsidRPr="00E72418">
        <w:rPr>
          <w:szCs w:val="20"/>
          <w:lang w:val="en-US"/>
        </w:rPr>
        <w:t xml:space="preserve"> et </w:t>
      </w:r>
      <w:r w:rsidRPr="00E72418">
        <w:rPr>
          <w:smallCaps/>
          <w:szCs w:val="20"/>
          <w:lang w:val="en-US"/>
        </w:rPr>
        <w:t>E. Daly</w:t>
      </w:r>
      <w:r w:rsidRPr="00E72418">
        <w:rPr>
          <w:szCs w:val="20"/>
          <w:lang w:val="en-US"/>
        </w:rPr>
        <w:t xml:space="preserve">, « Minimizing Holdout Creditors – Carrots », </w:t>
      </w:r>
      <w:r w:rsidRPr="00E72418">
        <w:rPr>
          <w:i/>
          <w:szCs w:val="20"/>
          <w:lang w:val="en-US"/>
        </w:rPr>
        <w:t>op. cit.</w:t>
      </w:r>
      <w:r w:rsidRPr="00E72418">
        <w:rPr>
          <w:szCs w:val="20"/>
          <w:lang w:val="en-US"/>
        </w:rPr>
        <w:t>, p. 5. Sonya Scott relève que « vultures are marked both by the selection of an asset in distress, and by the intention to later litigate » (</w:t>
      </w:r>
      <w:r w:rsidRPr="00E72418">
        <w:rPr>
          <w:smallCaps/>
          <w:szCs w:val="20"/>
          <w:lang w:val="en-US"/>
        </w:rPr>
        <w:t>S. Scott</w:t>
      </w:r>
      <w:r w:rsidRPr="00E72418">
        <w:rPr>
          <w:szCs w:val="20"/>
          <w:lang w:val="en-US"/>
        </w:rPr>
        <w:t xml:space="preserve">, « Vultures, debt and desire: the vulture metaphor and Argentina’s sovereign debt crisis », </w:t>
      </w:r>
      <w:r w:rsidRPr="00E72418">
        <w:rPr>
          <w:i/>
          <w:szCs w:val="20"/>
          <w:lang w:val="en-US"/>
        </w:rPr>
        <w:t>op. cit.</w:t>
      </w:r>
      <w:r w:rsidRPr="00E72418">
        <w:rPr>
          <w:szCs w:val="20"/>
          <w:lang w:val="en-US"/>
        </w:rPr>
        <w:t>, p. 2).</w:t>
      </w:r>
    </w:p>
  </w:footnote>
  <w:footnote w:id="2154">
    <w:p w14:paraId="51655503" w14:textId="2DA6B177"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P. Wautelet</w:t>
      </w:r>
      <w:r w:rsidRPr="00E72418">
        <w:rPr>
          <w:szCs w:val="20"/>
          <w:lang w:val="en-US"/>
        </w:rPr>
        <w:t xml:space="preserve">, « Vulture funds, creditors and sovereign debtors: how to find a balance? », </w:t>
      </w:r>
      <w:r w:rsidRPr="00E72418">
        <w:rPr>
          <w:i/>
          <w:szCs w:val="20"/>
        </w:rPr>
        <w:t>op. cit.</w:t>
      </w:r>
      <w:r w:rsidRPr="00E72418">
        <w:rPr>
          <w:szCs w:val="20"/>
          <w:lang w:val="en-US"/>
        </w:rPr>
        <w:t>, p. 155.</w:t>
      </w:r>
    </w:p>
  </w:footnote>
  <w:footnote w:id="2155">
    <w:p w14:paraId="633AE43C" w14:textId="7C69F273" w:rsidR="0030147D" w:rsidRPr="00E72418" w:rsidRDefault="0030147D" w:rsidP="00EC48A9">
      <w:pPr>
        <w:pStyle w:val="Sansinterligne"/>
      </w:pPr>
      <w:r w:rsidRPr="00E72418">
        <w:rPr>
          <w:rStyle w:val="Appelnotedebasdep"/>
        </w:rPr>
        <w:footnoteRef/>
      </w:r>
      <w:r w:rsidRPr="00E72418">
        <w:t xml:space="preserve"> HM Treasury, </w:t>
      </w:r>
      <w:r w:rsidRPr="00E72418">
        <w:rPr>
          <w:i/>
        </w:rPr>
        <w:t>Ensuring effective debt relief for poor countries: a response to consultation</w:t>
      </w:r>
      <w:r w:rsidRPr="00E72418">
        <w:t>, 2010, p. 9.</w:t>
      </w:r>
    </w:p>
  </w:footnote>
  <w:footnote w:id="2156">
    <w:p w14:paraId="51A7DA40" w14:textId="0996FF2F" w:rsidR="0030147D" w:rsidRPr="00E72418" w:rsidRDefault="0030147D" w:rsidP="00EC48A9">
      <w:pPr>
        <w:pStyle w:val="Sansinterligne"/>
      </w:pPr>
      <w:r w:rsidRPr="00E72418">
        <w:rPr>
          <w:rStyle w:val="Appelnotedebasdep"/>
        </w:rPr>
        <w:footnoteRef/>
      </w:r>
      <w:r w:rsidRPr="00E72418">
        <w:t xml:space="preserve"> </w:t>
      </w:r>
      <w:r w:rsidRPr="00E72418">
        <w:rPr>
          <w:szCs w:val="20"/>
        </w:rPr>
        <w:t xml:space="preserve">United States Court of Appeals for the Second Circuit (EUA), </w:t>
      </w:r>
      <w:r w:rsidRPr="00E72418">
        <w:rPr>
          <w:rStyle w:val="injectednode"/>
          <w:szCs w:val="20"/>
          <w:lang w:val="en-US"/>
        </w:rPr>
        <w:t xml:space="preserve">23 août 2013, </w:t>
      </w:r>
      <w:r w:rsidRPr="00E72418">
        <w:rPr>
          <w:i/>
          <w:szCs w:val="20"/>
        </w:rPr>
        <w:t>NML Capital Ltd. v. Republic of Arg.</w:t>
      </w:r>
      <w:r w:rsidRPr="00E72418">
        <w:rPr>
          <w:rStyle w:val="injectednode"/>
          <w:i/>
          <w:szCs w:val="20"/>
          <w:lang w:val="en-US"/>
        </w:rPr>
        <w:t>,</w:t>
      </w:r>
      <w:r w:rsidRPr="00E72418">
        <w:rPr>
          <w:rStyle w:val="injectednode"/>
          <w:szCs w:val="20"/>
          <w:lang w:val="en-US"/>
        </w:rPr>
        <w:t xml:space="preserve"> 727 F.3d 230, p. 247</w:t>
      </w:r>
      <w:r w:rsidRPr="00E72418">
        <w:rPr>
          <w:rStyle w:val="injectednode"/>
          <w:lang w:val="en-US"/>
        </w:rPr>
        <w:t>.</w:t>
      </w:r>
    </w:p>
  </w:footnote>
  <w:footnote w:id="2157">
    <w:p w14:paraId="3D39D568" w14:textId="601189E0" w:rsidR="0030147D" w:rsidRPr="00E72418" w:rsidRDefault="0030147D" w:rsidP="00EC48A9">
      <w:pPr>
        <w:pStyle w:val="Sansinterligne"/>
      </w:pPr>
      <w:r w:rsidRPr="00E72418">
        <w:rPr>
          <w:rStyle w:val="Appelnotedebasdep"/>
        </w:rPr>
        <w:footnoteRef/>
      </w:r>
      <w:r w:rsidRPr="00E72418">
        <w:t xml:space="preserve"> United States District Court for the Southern District of New York (EUA), </w:t>
      </w:r>
      <w:r w:rsidRPr="00E72418">
        <w:rPr>
          <w:rStyle w:val="injectednode"/>
          <w:szCs w:val="20"/>
          <w:lang w:val="en-US"/>
        </w:rPr>
        <w:t xml:space="preserve">2 mars 2016, </w:t>
      </w:r>
      <w:r w:rsidRPr="00E72418">
        <w:rPr>
          <w:i/>
        </w:rPr>
        <w:t>NML Capital Ltd. v. Republic of Arg.</w:t>
      </w:r>
      <w:r w:rsidRPr="00E72418">
        <w:rPr>
          <w:rStyle w:val="injectednode"/>
          <w:szCs w:val="20"/>
          <w:lang w:val="en-US"/>
        </w:rPr>
        <w:t>, 2016 U.S. Dist. LEXIS 26355, p. 178</w:t>
      </w:r>
      <w:r w:rsidRPr="00E72418">
        <w:rPr>
          <w:rStyle w:val="injectednode"/>
          <w:lang w:val="en-US"/>
        </w:rPr>
        <w:t>.</w:t>
      </w:r>
    </w:p>
  </w:footnote>
  <w:footnote w:id="2158">
    <w:p w14:paraId="0EF1F486" w14:textId="2D6B1C7B" w:rsidR="0030147D" w:rsidRPr="00E72418" w:rsidRDefault="0030147D" w:rsidP="00F46F08">
      <w:pPr>
        <w:pStyle w:val="Sansinterligne"/>
      </w:pPr>
      <w:r w:rsidRPr="00E72418">
        <w:rPr>
          <w:rStyle w:val="Appelnotedebasdep"/>
        </w:rPr>
        <w:footnoteRef/>
      </w:r>
      <w:r w:rsidRPr="00E72418">
        <w:t xml:space="preserve"> Sur cette disproportion, voyez </w:t>
      </w:r>
      <w:r w:rsidRPr="00E72418">
        <w:rPr>
          <w:i/>
        </w:rPr>
        <w:t>supra</w:t>
      </w:r>
      <w:r w:rsidRPr="00E72418">
        <w:t xml:space="preserve"> n</w:t>
      </w:r>
      <w:r w:rsidRPr="00E72418">
        <w:rPr>
          <w:vertAlign w:val="superscript"/>
        </w:rPr>
        <w:t>os</w:t>
      </w:r>
      <w:r w:rsidRPr="00E72418">
        <w:t xml:space="preserve"> 339 et 340.</w:t>
      </w:r>
    </w:p>
  </w:footnote>
  <w:footnote w:id="2159">
    <w:p w14:paraId="0D4A21DE" w14:textId="5D137C11"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Conférence des Nations Unies sur le commerce et le développement, </w:t>
      </w:r>
      <w:r w:rsidRPr="00E72418">
        <w:rPr>
          <w:rStyle w:val="Titre1Car"/>
          <w:rFonts w:ascii="Times" w:eastAsiaTheme="minorHAnsi" w:hAnsi="Times" w:cstheme="minorBidi"/>
          <w:color w:val="auto"/>
          <w:sz w:val="20"/>
          <w:szCs w:val="20"/>
          <w:lang w:val="en-US"/>
        </w:rPr>
        <w:t xml:space="preserve">« </w:t>
      </w:r>
      <w:r w:rsidRPr="00E72418">
        <w:rPr>
          <w:szCs w:val="20"/>
        </w:rPr>
        <w:t>Sovereign Debt Restructurings: Lessons learned from legislative steps taken by certain countries and other appropriate action to reduce the vulnerability of sovereigns to holdout creditors »</w:t>
      </w:r>
      <w:r w:rsidRPr="00E72418">
        <w:rPr>
          <w:szCs w:val="20"/>
          <w:lang w:val="en-US"/>
        </w:rPr>
        <w:t xml:space="preserve">, </w:t>
      </w:r>
      <w:r w:rsidRPr="00E72418">
        <w:rPr>
          <w:szCs w:val="20"/>
        </w:rPr>
        <w:t>background note, 26 octobre 2016</w:t>
      </w:r>
      <w:r w:rsidRPr="00E72418">
        <w:rPr>
          <w:szCs w:val="20"/>
          <w:lang w:val="en-US"/>
        </w:rPr>
        <w:t xml:space="preserve">, p. 6. </w:t>
      </w:r>
      <w:r w:rsidRPr="00E72418">
        <w:rPr>
          <w:szCs w:val="20"/>
        </w:rPr>
        <w:t xml:space="preserve">Et la Conférence d’ajouter, « [t]he legitimacy and effectiveness of future regulation of secondary markets for sovereign debt instruments may need to take into consideration that such thresholds have to be defined ». </w:t>
      </w:r>
      <w:r w:rsidRPr="00E72418">
        <w:t>À</w:t>
      </w:r>
      <w:r w:rsidRPr="00E72418">
        <w:rPr>
          <w:szCs w:val="20"/>
        </w:rPr>
        <w:t xml:space="preserve"> notre estime, l’unique limite envisageable est celle des intérêts que l’on permet aux investisseurs de recevoir (voyez </w:t>
      </w:r>
      <w:r w:rsidRPr="00E72418">
        <w:rPr>
          <w:i/>
          <w:szCs w:val="20"/>
        </w:rPr>
        <w:t>supra</w:t>
      </w:r>
      <w:r>
        <w:rPr>
          <w:szCs w:val="20"/>
        </w:rPr>
        <w:t xml:space="preserve"> n° 418</w:t>
      </w:r>
      <w:r w:rsidRPr="00E72418">
        <w:rPr>
          <w:szCs w:val="20"/>
        </w:rPr>
        <w:t>).</w:t>
      </w:r>
    </w:p>
  </w:footnote>
  <w:footnote w:id="2160">
    <w:p w14:paraId="6283CD19" w14:textId="18DE1054" w:rsidR="0030147D" w:rsidRPr="00E72418" w:rsidRDefault="0030147D" w:rsidP="001406E1">
      <w:pPr>
        <w:pStyle w:val="Sansinterligne"/>
      </w:pPr>
      <w:r w:rsidRPr="00E72418">
        <w:rPr>
          <w:rStyle w:val="Appelnotedebasdep"/>
        </w:rPr>
        <w:footnoteRef/>
      </w:r>
      <w:r w:rsidRPr="00E72418">
        <w:t xml:space="preserve"> Sur la notion de créanciers récalcitrants, voyez </w:t>
      </w:r>
      <w:r w:rsidRPr="00E72418">
        <w:rPr>
          <w:i/>
        </w:rPr>
        <w:t>supra</w:t>
      </w:r>
      <w:r w:rsidRPr="00E72418">
        <w:t xml:space="preserve"> n</w:t>
      </w:r>
      <w:r w:rsidRPr="00E72418">
        <w:rPr>
          <w:vertAlign w:val="superscript"/>
        </w:rPr>
        <w:t xml:space="preserve">os </w:t>
      </w:r>
      <w:r w:rsidRPr="00E72418">
        <w:t>71 et suiv.</w:t>
      </w:r>
    </w:p>
  </w:footnote>
  <w:footnote w:id="2161">
    <w:p w14:paraId="7001F472" w14:textId="5EFA14A4" w:rsidR="0030147D" w:rsidRPr="00E72418" w:rsidRDefault="0030147D" w:rsidP="00544C82">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J. Fisch</w:t>
      </w:r>
      <w:r w:rsidRPr="00E72418">
        <w:rPr>
          <w:szCs w:val="20"/>
          <w:lang w:val="en-US"/>
        </w:rPr>
        <w:t xml:space="preserve"> et </w:t>
      </w:r>
      <w:r w:rsidRPr="00E72418">
        <w:rPr>
          <w:smallCaps/>
          <w:szCs w:val="20"/>
          <w:lang w:val="en-US"/>
        </w:rPr>
        <w:t>C. Gentile</w:t>
      </w:r>
      <w:r w:rsidRPr="00E72418">
        <w:rPr>
          <w:szCs w:val="20"/>
          <w:lang w:val="en-US"/>
        </w:rPr>
        <w:t xml:space="preserve">, </w:t>
      </w:r>
      <w:r w:rsidRPr="00E72418">
        <w:rPr>
          <w:rFonts w:cs="Times New Roman"/>
          <w:szCs w:val="24"/>
          <w:lang w:val="en-US"/>
        </w:rPr>
        <w:t>« Vultures or Vanguards? : The Role of Litigation in Sovereign Debt Restructuring »</w:t>
      </w:r>
      <w:r w:rsidRPr="00E72418">
        <w:rPr>
          <w:szCs w:val="20"/>
          <w:lang w:val="en-US"/>
        </w:rPr>
        <w:t xml:space="preserve">, </w:t>
      </w:r>
      <w:r w:rsidRPr="00E72418">
        <w:rPr>
          <w:i/>
          <w:szCs w:val="20"/>
          <w:lang w:val="en-US"/>
        </w:rPr>
        <w:t>op. cit.</w:t>
      </w:r>
      <w:r w:rsidRPr="00E72418">
        <w:rPr>
          <w:szCs w:val="20"/>
          <w:lang w:val="en-US"/>
        </w:rPr>
        <w:t>, p. 1075 : « [r]etail investors […] often hold sovereign bonds as part of a long-term investment strategy, such as to provide income during their retirement years ». C’était notamment le cas de certains créanciers de la République argentine.</w:t>
      </w:r>
    </w:p>
  </w:footnote>
  <w:footnote w:id="2162">
    <w:p w14:paraId="3E3030E0" w14:textId="381FA7BF" w:rsidR="0030147D" w:rsidRPr="00E72418" w:rsidRDefault="0030147D" w:rsidP="002F54C2">
      <w:pPr>
        <w:pStyle w:val="Sansinterligne"/>
      </w:pPr>
      <w:r w:rsidRPr="00E72418">
        <w:rPr>
          <w:rStyle w:val="Appelnotedebasdep"/>
        </w:rPr>
        <w:footnoteRef/>
      </w:r>
      <w:r w:rsidRPr="00E72418">
        <w:t xml:space="preserve"> J. </w:t>
      </w:r>
      <w:r w:rsidRPr="00E72418">
        <w:rPr>
          <w:smallCaps/>
          <w:shd w:val="clear" w:color="auto" w:fill="FFFFFF"/>
        </w:rPr>
        <w:t>Bröhmer</w:t>
      </w:r>
      <w:r w:rsidRPr="00E72418">
        <w:rPr>
          <w:shd w:val="clear" w:color="auto" w:fill="FFFFFF"/>
        </w:rPr>
        <w:t xml:space="preserve">, </w:t>
      </w:r>
      <w:r w:rsidRPr="00E72418">
        <w:t xml:space="preserve">« State Immunity and Sovereign Bonds », </w:t>
      </w:r>
      <w:r w:rsidRPr="00E72418">
        <w:rPr>
          <w:i/>
          <w:shd w:val="clear" w:color="auto" w:fill="FFFFFF"/>
        </w:rPr>
        <w:t>op. cit.</w:t>
      </w:r>
      <w:r w:rsidRPr="00E72418">
        <w:rPr>
          <w:rStyle w:val="fn"/>
          <w:rFonts w:cs="Times New Roman"/>
          <w:szCs w:val="24"/>
          <w:lang w:val="en-GB"/>
        </w:rPr>
        <w:t xml:space="preserve">, pp. 192 et 193. L’auteur donne également l’exemple d’une banque qui n’aurait d’autre choix que celui de refuser une restructuration en raison d’obligations prudentielles s’imposant à elle (sur l’utilité que présente l’existence d’un marché secondaire dans ce cas, voyez </w:t>
      </w:r>
      <w:r w:rsidRPr="00E72418">
        <w:rPr>
          <w:rStyle w:val="fn"/>
          <w:rFonts w:cs="Times New Roman"/>
          <w:i/>
          <w:szCs w:val="24"/>
          <w:lang w:val="en-GB"/>
        </w:rPr>
        <w:t>supra</w:t>
      </w:r>
      <w:r w:rsidRPr="00E72418">
        <w:rPr>
          <w:rStyle w:val="fn"/>
          <w:rFonts w:cs="Times New Roman"/>
          <w:szCs w:val="24"/>
          <w:lang w:val="en-GB"/>
        </w:rPr>
        <w:t xml:space="preserve"> n° 31).</w:t>
      </w:r>
    </w:p>
  </w:footnote>
  <w:footnote w:id="2163">
    <w:p w14:paraId="21D8FA3F" w14:textId="520464F4" w:rsidR="0030147D" w:rsidRPr="00E72418" w:rsidRDefault="0030147D" w:rsidP="00F54C31">
      <w:pPr>
        <w:pStyle w:val="Sansinterligne"/>
      </w:pPr>
      <w:r w:rsidRPr="00E72418">
        <w:rPr>
          <w:rStyle w:val="Appelnotedebasdep"/>
        </w:rPr>
        <w:footnoteRef/>
      </w:r>
      <w:r w:rsidRPr="00E72418">
        <w:t xml:space="preserve"> </w:t>
      </w:r>
      <w:r w:rsidRPr="00E72418">
        <w:rPr>
          <w:szCs w:val="24"/>
        </w:rPr>
        <w:t>Nous ne sommes pas convaincu par l’idée d’élaboration de listes de fonds spéculatifs préconisée par certains (</w:t>
      </w:r>
      <w:r w:rsidRPr="00E72418">
        <w:t xml:space="preserve">voyez notamment </w:t>
      </w:r>
      <w:r w:rsidRPr="00E72418">
        <w:rPr>
          <w:rStyle w:val="A4"/>
          <w:rFonts w:cstheme="minorBidi"/>
          <w:color w:val="auto"/>
          <w:sz w:val="20"/>
          <w:szCs w:val="20"/>
        </w:rPr>
        <w:t>European Network on Debt and Development</w:t>
      </w:r>
      <w:r w:rsidRPr="00E72418">
        <w:t>, « Tackling the vultures: A briefing on legislative action to address vulture funds », septembre 2014, p. 3 : « [t]he creation of public registries of vulture funds would be a good solution to this problem »).</w:t>
      </w:r>
    </w:p>
  </w:footnote>
  <w:footnote w:id="2164">
    <w:p w14:paraId="4F79EF34" w14:textId="56BA69BA" w:rsidR="0030147D" w:rsidRPr="00E72418" w:rsidRDefault="0030147D" w:rsidP="004250CC">
      <w:pPr>
        <w:pStyle w:val="Sansinterligne"/>
      </w:pPr>
      <w:r w:rsidRPr="00E72418">
        <w:rPr>
          <w:rStyle w:val="Appelnotedebasdep"/>
        </w:rPr>
        <w:footnoteRef/>
      </w:r>
      <w:r w:rsidRPr="00E72418">
        <w:t xml:space="preserve"> Ceci ne préjuge en rien du débat entourant l’obligation de participer à certains efforts d’allègement. La règle n’entame en rien non plus les restructurations décidées à la majorité convenue dans des clauses d’action collective (voyez </w:t>
      </w:r>
      <w:r w:rsidRPr="00E72418">
        <w:rPr>
          <w:i/>
        </w:rPr>
        <w:t>supra</w:t>
      </w:r>
      <w:r>
        <w:t xml:space="preserve"> n° 420</w:t>
      </w:r>
      <w:r w:rsidRPr="00E72418">
        <w:t>).</w:t>
      </w:r>
    </w:p>
  </w:footnote>
  <w:footnote w:id="2165">
    <w:p w14:paraId="2FE04120" w14:textId="4AEB148F" w:rsidR="0030147D" w:rsidRPr="00E72418" w:rsidRDefault="0030147D" w:rsidP="004250CC">
      <w:pPr>
        <w:pStyle w:val="Sansinterligne"/>
      </w:pPr>
      <w:r w:rsidRPr="00E72418">
        <w:rPr>
          <w:rStyle w:val="Appelnotedebasdep"/>
        </w:rPr>
        <w:footnoteRef/>
      </w:r>
      <w:r w:rsidRPr="00E72418">
        <w:t xml:space="preserve"> Sur la pertinence d’une solution globale toutefois illusoire, voyez </w:t>
      </w:r>
      <w:r w:rsidRPr="00E72418">
        <w:rPr>
          <w:i/>
        </w:rPr>
        <w:t>supra</w:t>
      </w:r>
      <w:r w:rsidRPr="00E72418">
        <w:t xml:space="preserve"> n° 401.</w:t>
      </w:r>
    </w:p>
  </w:footnote>
  <w:footnote w:id="2166">
    <w:p w14:paraId="75ACDF46" w14:textId="7C200D0E" w:rsidR="0030147D" w:rsidRPr="00E72418" w:rsidRDefault="0030147D" w:rsidP="004250CC">
      <w:pPr>
        <w:pStyle w:val="Sansinterligne"/>
      </w:pPr>
      <w:r w:rsidRPr="00E72418">
        <w:rPr>
          <w:rStyle w:val="Appelnotedebasdep"/>
        </w:rPr>
        <w:footnoteRef/>
      </w:r>
      <w:r w:rsidRPr="00E72418">
        <w:t xml:space="preserve"> Voyez </w:t>
      </w:r>
      <w:r w:rsidRPr="00E72418">
        <w:rPr>
          <w:smallCaps/>
        </w:rPr>
        <w:t>P. Giraud</w:t>
      </w:r>
      <w:r w:rsidRPr="00E72418">
        <w:t xml:space="preserve">, « La restriction des mesures conservatoires et d’exécution forcée exercées par les fonds dits vautours : le syndrome du “milieu du gué” », </w:t>
      </w:r>
      <w:r w:rsidRPr="00E72418">
        <w:rPr>
          <w:i/>
        </w:rPr>
        <w:t>op. cit.</w:t>
      </w:r>
      <w:r w:rsidRPr="00E72418">
        <w:t>, p. 365.</w:t>
      </w:r>
    </w:p>
  </w:footnote>
  <w:footnote w:id="2167">
    <w:p w14:paraId="2538F5A4" w14:textId="6089E49D" w:rsidR="0030147D" w:rsidRPr="00E72418" w:rsidRDefault="0030147D" w:rsidP="00F34550">
      <w:pPr>
        <w:pStyle w:val="Sansinterligne"/>
      </w:pPr>
      <w:r w:rsidRPr="00E72418">
        <w:rPr>
          <w:rStyle w:val="Appelnotedebasdep"/>
        </w:rPr>
        <w:footnoteRef/>
      </w:r>
      <w:r w:rsidRPr="00E72418">
        <w:rPr>
          <w:smallCaps/>
        </w:rPr>
        <w:t xml:space="preserve"> R. Bismuth</w:t>
      </w:r>
      <w:r w:rsidRPr="00E72418">
        <w:t xml:space="preserve">, « L’émergence d’un “ordre public de la dette souveraine” pour et par le contrat d’emprunt souverain ? Quelques réflexions inspirées par une actualité très mouvementée », </w:t>
      </w:r>
      <w:r w:rsidRPr="00E72418">
        <w:rPr>
          <w:rStyle w:val="Accentuation"/>
          <w:iCs w:val="0"/>
          <w:szCs w:val="20"/>
        </w:rPr>
        <w:t>op. cit.</w:t>
      </w:r>
      <w:r w:rsidRPr="00E72418">
        <w:t>, p. 502.</w:t>
      </w:r>
    </w:p>
  </w:footnote>
  <w:footnote w:id="2168">
    <w:p w14:paraId="1404035E" w14:textId="25FE5489" w:rsidR="0030147D" w:rsidRPr="00E72418" w:rsidRDefault="0030147D" w:rsidP="00F34550">
      <w:pPr>
        <w:pStyle w:val="Sansinterligne"/>
      </w:pPr>
      <w:r w:rsidRPr="00E72418">
        <w:rPr>
          <w:rStyle w:val="Appelnotedebasdep"/>
        </w:rPr>
        <w:footnoteRef/>
      </w:r>
      <w:r w:rsidRPr="00E72418">
        <w:t xml:space="preserve"> </w:t>
      </w:r>
      <w:r w:rsidRPr="00E72418">
        <w:rPr>
          <w:i/>
        </w:rPr>
        <w:t>Ibid.</w:t>
      </w:r>
    </w:p>
  </w:footnote>
  <w:footnote w:id="2169">
    <w:p w14:paraId="658ADD0C" w14:textId="19B15063" w:rsidR="0030147D" w:rsidRPr="00E72418" w:rsidRDefault="0030147D" w:rsidP="00F04748">
      <w:pPr>
        <w:pStyle w:val="Sansinterligne"/>
      </w:pPr>
      <w:r w:rsidRPr="00E72418">
        <w:rPr>
          <w:rStyle w:val="Appelnotedebasdep"/>
        </w:rPr>
        <w:footnoteRef/>
      </w:r>
      <w:r w:rsidRPr="00E72418">
        <w:t xml:space="preserve"> Ainsi, le </w:t>
      </w:r>
      <w:r w:rsidRPr="00E72418">
        <w:rPr>
          <w:i/>
        </w:rPr>
        <w:t>Debt Relief (Developing Countries) Act</w:t>
      </w:r>
      <w:r w:rsidRPr="00E72418">
        <w:t xml:space="preserve"> britannique présente cette faiblesse que sa portée est à ce point limitée que la législation ne permet pas d’appréhender largement les activités des fonds spéculatifs. Ainsi, par exemple, tant la République argentine que la République hellénique n’auraient pu se trouver protégées.</w:t>
      </w:r>
    </w:p>
  </w:footnote>
  <w:footnote w:id="2170">
    <w:p w14:paraId="6B84A23C" w14:textId="0C6028E0" w:rsidR="0030147D" w:rsidRPr="00E72418" w:rsidRDefault="0030147D" w:rsidP="00935051">
      <w:pPr>
        <w:pStyle w:val="Sansinterligne"/>
        <w:rPr>
          <w:shd w:val="clear" w:color="auto" w:fill="FFFFFF"/>
          <w:lang w:val="fr-FR"/>
        </w:rPr>
      </w:pPr>
      <w:r w:rsidRPr="00E72418">
        <w:rPr>
          <w:rStyle w:val="Appelnotedebasdep"/>
        </w:rPr>
        <w:footnoteRef/>
      </w:r>
      <w:r w:rsidRPr="00E72418">
        <w:t xml:space="preserve"> Ainsi, u</w:t>
      </w:r>
      <w:r w:rsidRPr="00E72418">
        <w:rPr>
          <w:shd w:val="clear" w:color="auto" w:fill="FFFFFF"/>
        </w:rPr>
        <w:t>ne faiblesse du dispositif français posant comme condition à son application que « </w:t>
      </w:r>
      <w:r w:rsidRPr="00E72418">
        <w:t>[l]</w:t>
      </w:r>
      <w:r w:rsidRPr="00E72418">
        <w:rPr>
          <w:shd w:val="clear" w:color="auto" w:fill="FFFFFF"/>
        </w:rPr>
        <w:t>e détenteur du titre de créance a acquis ce titre alors que l’État étranger se trouvait en situation de défaut sur ce titre de créance ou avait proposé une modification des termes du titre de créance » réside dans le fait qu’il protège uniquement l’</w:t>
      </w:r>
      <w:r w:rsidRPr="00E72418">
        <w:t>É</w:t>
      </w:r>
      <w:r w:rsidRPr="00E72418">
        <w:rPr>
          <w:shd w:val="clear" w:color="auto" w:fill="FFFFFF"/>
        </w:rPr>
        <w:t xml:space="preserve">tat qui a fait défaut ou qui a entamé une restructuration alors que l’impact délétère des activités spéculatives existe hors ces cas (sur cette condition française, voyez </w:t>
      </w:r>
      <w:r w:rsidRPr="00E72418">
        <w:rPr>
          <w:i/>
          <w:shd w:val="clear" w:color="auto" w:fill="FFFFFF"/>
        </w:rPr>
        <w:t>supra</w:t>
      </w:r>
      <w:r w:rsidRPr="00E72418">
        <w:rPr>
          <w:shd w:val="clear" w:color="auto" w:fill="FFFFFF"/>
        </w:rPr>
        <w:t xml:space="preserve"> n° 369).</w:t>
      </w:r>
    </w:p>
  </w:footnote>
  <w:footnote w:id="2171">
    <w:p w14:paraId="02BBDC9C" w14:textId="26A23471" w:rsidR="0030147D" w:rsidRPr="00E72418" w:rsidRDefault="0030147D" w:rsidP="007D68C3">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406 et suiv.</w:t>
      </w:r>
    </w:p>
  </w:footnote>
  <w:footnote w:id="2172">
    <w:p w14:paraId="242AFD53" w14:textId="270F8011" w:rsidR="0030147D" w:rsidRPr="00E72418" w:rsidRDefault="0030147D" w:rsidP="00D1515A">
      <w:pPr>
        <w:pStyle w:val="Sansinterligne"/>
      </w:pPr>
      <w:r w:rsidRPr="00E72418">
        <w:rPr>
          <w:rStyle w:val="Appelnotedebasdep"/>
          <w:szCs w:val="20"/>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9.</w:t>
      </w:r>
    </w:p>
  </w:footnote>
  <w:footnote w:id="2173">
    <w:p w14:paraId="3FAB3325" w14:textId="589439B1" w:rsidR="0030147D" w:rsidRPr="00E72418" w:rsidRDefault="0030147D" w:rsidP="00555FC2">
      <w:pPr>
        <w:pStyle w:val="Sansinterligne"/>
      </w:pPr>
      <w:r w:rsidRPr="00E72418">
        <w:rPr>
          <w:rStyle w:val="Appelnotedebasdep"/>
        </w:rPr>
        <w:footnoteRef/>
      </w:r>
      <w:r w:rsidRPr="00E72418">
        <w:t xml:space="preserve"> Si parmi les critères d’application du mécanisme mis en place par la loi belge il en est certains qui sont liés à des problèmes de soutenabilité de la dette souveraine comme celui de l’impact défavorable du remboursement (</w:t>
      </w:r>
      <w:r w:rsidRPr="00E72418">
        <w:rPr>
          <w:i/>
        </w:rPr>
        <w:t>supra</w:t>
      </w:r>
      <w:r w:rsidRPr="00E72418">
        <w:t xml:space="preserve"> n° 347), il en est d’autres qui ne le sont pas comme par exemple celui du siège du créancier (</w:t>
      </w:r>
      <w:r w:rsidRPr="00E72418">
        <w:rPr>
          <w:i/>
        </w:rPr>
        <w:t>supra</w:t>
      </w:r>
      <w:r w:rsidRPr="00E72418">
        <w:t xml:space="preserve"> n° 343). Ainsi, comme nous avons déjà eu l’occasion de le déplorer (</w:t>
      </w:r>
      <w:r w:rsidRPr="00E72418">
        <w:rPr>
          <w:i/>
        </w:rPr>
        <w:t>supra</w:t>
      </w:r>
      <w:r w:rsidRPr="00E72418">
        <w:t xml:space="preserve"> n° 350), le mécanisme protecteur belge pourrait trouver à s’appliquer à des situations où il n’est pas question de dettes souveraines insoutenables.</w:t>
      </w:r>
    </w:p>
  </w:footnote>
  <w:footnote w:id="2174">
    <w:p w14:paraId="13F83B7D" w14:textId="0D80FD7B" w:rsidR="0030147D" w:rsidRPr="00E72418" w:rsidRDefault="0030147D" w:rsidP="00F32926">
      <w:pPr>
        <w:pStyle w:val="Sansinterligne"/>
      </w:pPr>
      <w:r w:rsidRPr="00E72418">
        <w:rPr>
          <w:rStyle w:val="Appelnotedebasdep"/>
        </w:rPr>
        <w:footnoteRef/>
      </w:r>
      <w:r w:rsidRPr="00E72418">
        <w:t xml:space="preserve"> Rappelons ici en guise d’exemple le constat de la situation difficile de la République démocratique du Congo qui conduisit, entre autres considérations, à ce qu’une juridiction étatsunienne suive l</w:t>
      </w:r>
      <w:r w:rsidRPr="00E72418">
        <w:rPr>
          <w:rStyle w:val="injectednode"/>
          <w:szCs w:val="20"/>
        </w:rPr>
        <w:t xml:space="preserve">a justification d’ « excusable neglect » avancée par le pays dans une procédure spécifique où il avait fait défaut (voyez </w:t>
      </w:r>
      <w:r w:rsidRPr="00E72418">
        <w:t xml:space="preserve">United States Court of Appeals for the District of Columbia Circuit (EUA), 19 mai 2006, </w:t>
      </w:r>
      <w:r w:rsidRPr="00E72418">
        <w:rPr>
          <w:i/>
        </w:rPr>
        <w:t>FG Hemisphere Assocs. v. Democratic Republic of Congo</w:t>
      </w:r>
      <w:r w:rsidRPr="00E72418">
        <w:rPr>
          <w:rStyle w:val="injectednode"/>
          <w:szCs w:val="20"/>
        </w:rPr>
        <w:t>, 447 F.3d 835).</w:t>
      </w:r>
      <w:r w:rsidRPr="00E72418">
        <w:rPr>
          <w:rStyle w:val="injectednode"/>
        </w:rPr>
        <w:t xml:space="preserve"> Sur cette affaire, voyez </w:t>
      </w:r>
      <w:r w:rsidRPr="00E72418">
        <w:rPr>
          <w:rStyle w:val="injectednode"/>
          <w:i/>
        </w:rPr>
        <w:t>supra</w:t>
      </w:r>
      <w:r w:rsidRPr="00E72418">
        <w:rPr>
          <w:rStyle w:val="injectednode"/>
        </w:rPr>
        <w:t xml:space="preserve"> n</w:t>
      </w:r>
      <w:r w:rsidRPr="00E72418">
        <w:rPr>
          <w:rStyle w:val="injectednode"/>
          <w:vertAlign w:val="superscript"/>
        </w:rPr>
        <w:t>os</w:t>
      </w:r>
      <w:r w:rsidRPr="00E72418">
        <w:rPr>
          <w:rStyle w:val="injectednode"/>
        </w:rPr>
        <w:t xml:space="preserve"> 107 et suiv.</w:t>
      </w:r>
    </w:p>
  </w:footnote>
  <w:footnote w:id="2175">
    <w:p w14:paraId="25CB4578" w14:textId="075E5FB2" w:rsidR="0030147D" w:rsidRPr="00E72418" w:rsidRDefault="0030147D" w:rsidP="00555FC2">
      <w:pPr>
        <w:pStyle w:val="Sansinterligne"/>
      </w:pPr>
      <w:r w:rsidRPr="00E72418">
        <w:rPr>
          <w:rStyle w:val="Appelnotedebasdep"/>
        </w:rPr>
        <w:footnoteRef/>
      </w:r>
      <w:r w:rsidRPr="00E72418">
        <w:t xml:space="preserve"> Sur le critère repris dans la loi française mobilisant cette liste et la critique de sa mobilisation temporelle, voyez </w:t>
      </w:r>
      <w:r w:rsidRPr="00E72418">
        <w:rPr>
          <w:i/>
        </w:rPr>
        <w:t>supra</w:t>
      </w:r>
      <w:r w:rsidRPr="00E72418">
        <w:t xml:space="preserve"> n° 369. L’idée du recours à une liste était également reprise dans la proposition étatsunienne qui retenait que les « qualified poor countries » protégés s’entendent des « foreign states that are eligible for financing from the International Development Association but not from the International Bank for Reconstruction and Development » (voyez </w:t>
      </w:r>
      <w:r w:rsidRPr="00E72418">
        <w:rPr>
          <w:i/>
        </w:rPr>
        <w:t>supra</w:t>
      </w:r>
      <w:r w:rsidRPr="00E72418">
        <w:t xml:space="preserve"> n° 303). Il en allait encore de même dans la </w:t>
      </w:r>
      <w:r w:rsidRPr="00E72418">
        <w:rPr>
          <w:i/>
        </w:rPr>
        <w:t>Developing Country Debt (Restriction of Recovery) Bill</w:t>
      </w:r>
      <w:r w:rsidRPr="00E72418">
        <w:t xml:space="preserve"> où les « Low or Middle Income countries » protégés étaient « any country whose income group is classified as low income, lower middle income or higher middle income by the International Bank for Reconstruction and Development and the International Development Association » (voyez </w:t>
      </w:r>
      <w:r w:rsidRPr="00E72418">
        <w:rPr>
          <w:i/>
        </w:rPr>
        <w:t>supra</w:t>
      </w:r>
      <w:r w:rsidRPr="00E72418">
        <w:t xml:space="preserve"> n° 306).</w:t>
      </w:r>
    </w:p>
  </w:footnote>
  <w:footnote w:id="2176">
    <w:p w14:paraId="20956529" w14:textId="319ABA99" w:rsidR="0030147D" w:rsidRPr="00E72418" w:rsidRDefault="0030147D" w:rsidP="00555FC2">
      <w:pPr>
        <w:pStyle w:val="Sansinterligne"/>
      </w:pPr>
      <w:r w:rsidRPr="00E72418">
        <w:rPr>
          <w:rStyle w:val="Appelnotedebasdep"/>
        </w:rPr>
        <w:footnoteRef/>
      </w:r>
      <w:r w:rsidRPr="00E72418">
        <w:t xml:space="preserve"> Voyez </w:t>
      </w:r>
      <w:r w:rsidRPr="00E72418">
        <w:rPr>
          <w:i/>
        </w:rPr>
        <w:t>supra</w:t>
      </w:r>
      <w:r w:rsidRPr="00E72418">
        <w:t xml:space="preserve"> n° 414.</w:t>
      </w:r>
    </w:p>
  </w:footnote>
  <w:footnote w:id="2177">
    <w:p w14:paraId="486A0E04" w14:textId="4EA6A660" w:rsidR="0030147D" w:rsidRPr="00E72418" w:rsidRDefault="0030147D" w:rsidP="00F417F4">
      <w:pPr>
        <w:pStyle w:val="Sansinterligne"/>
      </w:pPr>
      <w:r w:rsidRPr="00E72418">
        <w:rPr>
          <w:rStyle w:val="Appelnotedebasdep"/>
        </w:rPr>
        <w:footnoteRef/>
      </w:r>
      <w:r w:rsidRPr="00E72418">
        <w:t xml:space="preserve"> H. </w:t>
      </w:r>
      <w:r w:rsidRPr="00E72418">
        <w:rPr>
          <w:smallCaps/>
        </w:rPr>
        <w:t xml:space="preserve">Kupelyants, </w:t>
      </w:r>
      <w:r w:rsidRPr="00E72418">
        <w:rPr>
          <w:i/>
        </w:rPr>
        <w:t>Sovereign Defaults before Domestic Courts</w:t>
      </w:r>
      <w:r w:rsidRPr="00E72418">
        <w:t xml:space="preserve">, </w:t>
      </w:r>
      <w:r w:rsidRPr="00E72418">
        <w:rPr>
          <w:i/>
        </w:rPr>
        <w:t>op. cit.</w:t>
      </w:r>
      <w:r w:rsidRPr="00E72418">
        <w:t>, p. 202.</w:t>
      </w:r>
    </w:p>
  </w:footnote>
  <w:footnote w:id="2178">
    <w:p w14:paraId="4BCBFFAE" w14:textId="15210D5D" w:rsidR="0030147D" w:rsidRPr="00E72418" w:rsidRDefault="0030147D" w:rsidP="00555FC2">
      <w:pPr>
        <w:pStyle w:val="Sansinterligne"/>
      </w:pPr>
      <w:r w:rsidRPr="00E72418">
        <w:rPr>
          <w:rStyle w:val="Appelnotedebasdep"/>
        </w:rPr>
        <w:footnoteRef/>
      </w:r>
      <w:r w:rsidRPr="00E72418">
        <w:t xml:space="preserve"> La société </w:t>
      </w:r>
      <w:r w:rsidRPr="00E72418">
        <w:rPr>
          <w:i/>
        </w:rPr>
        <w:t>NML Capital Ltd</w:t>
      </w:r>
      <w:r w:rsidRPr="00E72418">
        <w:t xml:space="preserve">. notait lors de son recours en annulation de la loi belge qu’ « il n’est pas raisonnablement justifié de limiter les droits qu’une personne tire d’une créance sur un État qu’elle a rachetée alors que celui-ci était insolvable, si l’État est redevenu solvable au moment de la demande de paiement de cette créance » (position de la société </w:t>
      </w:r>
      <w:r w:rsidRPr="00E72418">
        <w:rPr>
          <w:i/>
        </w:rPr>
        <w:t>NML Capital Ltd</w:t>
      </w:r>
      <w:r w:rsidRPr="00E72418">
        <w:t xml:space="preserve">. reprise in </w:t>
      </w:r>
      <w:r w:rsidRPr="00E72418">
        <w:rPr>
          <w:szCs w:val="20"/>
        </w:rPr>
        <w:t>Cour const., 31 mai 2018, n° 61/2018</w:t>
      </w:r>
      <w:r w:rsidRPr="00E72418">
        <w:t>, p. 17).</w:t>
      </w:r>
    </w:p>
  </w:footnote>
  <w:footnote w:id="2179">
    <w:p w14:paraId="1BB4B2B4" w14:textId="406EEBE3" w:rsidR="0030147D" w:rsidRPr="00E72418" w:rsidRDefault="0030147D" w:rsidP="009A72FE">
      <w:pPr>
        <w:pStyle w:val="Sansinterligne"/>
      </w:pPr>
      <w:r w:rsidRPr="00E72418">
        <w:rPr>
          <w:rStyle w:val="Appelnotedebasdep"/>
        </w:rPr>
        <w:footnoteRef/>
      </w:r>
      <w:r w:rsidRPr="00E72418">
        <w:t xml:space="preserve"> Voyez </w:t>
      </w:r>
      <w:r w:rsidRPr="00E72418">
        <w:rPr>
          <w:i/>
        </w:rPr>
        <w:t>supra</w:t>
      </w:r>
      <w:r w:rsidRPr="00E72418">
        <w:t xml:space="preserve"> n° 303. On peut encore faire le lien de l’exclusion de certains </w:t>
      </w:r>
      <w:r w:rsidRPr="00E72418">
        <w:rPr>
          <w:rFonts w:cs="Times New Roman"/>
          <w:szCs w:val="24"/>
        </w:rPr>
        <w:t>É</w:t>
      </w:r>
      <w:r w:rsidRPr="00E72418">
        <w:t xml:space="preserve">tats du bénéfice du mécanisme étatsunien avec une remarque qu’avait faite Elis Bebb lors des travaux préparatoires du </w:t>
      </w:r>
      <w:r w:rsidRPr="00E72418">
        <w:rPr>
          <w:i/>
        </w:rPr>
        <w:t>Debt Relief (Developing Countries) (Guernsey and Alderney) Law 2013</w:t>
      </w:r>
      <w:r w:rsidRPr="00E72418">
        <w:t xml:space="preserve"> où il contestait le fait que la législation en projet allait bénéficier à des </w:t>
      </w:r>
      <w:r w:rsidRPr="00E72418">
        <w:rPr>
          <w:rFonts w:cs="Times New Roman"/>
          <w:szCs w:val="24"/>
        </w:rPr>
        <w:t>É</w:t>
      </w:r>
      <w:r w:rsidRPr="00E72418">
        <w:t>tats finançant le terrorisme</w:t>
      </w:r>
      <w:r w:rsidRPr="00E72418">
        <w:rPr>
          <w:lang w:val="en-US"/>
        </w:rPr>
        <w:t xml:space="preserve"> (intervention reprise in Island of Guernsey, </w:t>
      </w:r>
      <w:r w:rsidRPr="00E72418">
        <w:rPr>
          <w:i/>
          <w:lang w:val="en-US"/>
        </w:rPr>
        <w:t>Heavily Indebted Poor Countries Initiative</w:t>
      </w:r>
      <w:r w:rsidRPr="00E72418">
        <w:rPr>
          <w:lang w:val="en-US"/>
        </w:rPr>
        <w:t xml:space="preserve">, Official report, 28 novembre 2012, vol. 1, n° 12, lignes 1208 à 1218. </w:t>
      </w:r>
      <w:r w:rsidRPr="00E72418">
        <w:t>Le parlementaire donnait l’exemple du Rwanda figurant parmi les États visés par l’Initiative Pays Pauvres Très Endettés qui finançait des activités rebelles en République démocratique du Congo).</w:t>
      </w:r>
    </w:p>
  </w:footnote>
  <w:footnote w:id="2180">
    <w:p w14:paraId="50ACFAB5" w14:textId="30D34785" w:rsidR="0030147D" w:rsidRPr="00E72418" w:rsidRDefault="0030147D" w:rsidP="00607C5C">
      <w:pPr>
        <w:pStyle w:val="Sansinterligne"/>
      </w:pPr>
      <w:r w:rsidRPr="00E72418">
        <w:rPr>
          <w:rStyle w:val="Appelnotedebasdep"/>
        </w:rPr>
        <w:footnoteRef/>
      </w:r>
      <w:r w:rsidRPr="00E72418">
        <w:t xml:space="preserve"> Sur cette créativité, voyez </w:t>
      </w:r>
      <w:r w:rsidRPr="00E72418">
        <w:rPr>
          <w:i/>
        </w:rPr>
        <w:t>supra</w:t>
      </w:r>
      <w:r w:rsidRPr="00E72418">
        <w:t xml:space="preserve"> n° 139.</w:t>
      </w:r>
    </w:p>
  </w:footnote>
  <w:footnote w:id="2181">
    <w:p w14:paraId="5B75281B" w14:textId="504381AC" w:rsidR="0030147D" w:rsidRPr="00E72418" w:rsidRDefault="0030147D" w:rsidP="000A0D7E">
      <w:pPr>
        <w:pStyle w:val="Sansinterligne"/>
      </w:pPr>
      <w:r w:rsidRPr="00E72418">
        <w:rPr>
          <w:rStyle w:val="Appelnotedebasdep"/>
        </w:rPr>
        <w:footnoteRef/>
      </w:r>
      <w:r w:rsidRPr="00E72418">
        <w:t xml:space="preserve"> Sur cette limitation temporelle britannique, voyez </w:t>
      </w:r>
      <w:r w:rsidRPr="00E72418">
        <w:rPr>
          <w:i/>
        </w:rPr>
        <w:t>supra</w:t>
      </w:r>
      <w:r w:rsidRPr="00E72418">
        <w:t xml:space="preserve"> n° 320.</w:t>
      </w:r>
    </w:p>
  </w:footnote>
  <w:footnote w:id="2182">
    <w:p w14:paraId="42416884" w14:textId="13CE974C" w:rsidR="0030147D" w:rsidRPr="00E72418" w:rsidRDefault="0030147D" w:rsidP="000A0D7E">
      <w:pPr>
        <w:pStyle w:val="Sansinterligne"/>
      </w:pPr>
      <w:r w:rsidRPr="00E72418">
        <w:rPr>
          <w:rStyle w:val="Appelnotedebasdep"/>
        </w:rPr>
        <w:footnoteRef/>
      </w:r>
      <w:r w:rsidRPr="00E72418">
        <w:t xml:space="preserve"> Sur cette limitation temporelle française, voyez </w:t>
      </w:r>
      <w:r w:rsidRPr="00E72418">
        <w:rPr>
          <w:i/>
        </w:rPr>
        <w:t>supra</w:t>
      </w:r>
      <w:r w:rsidRPr="00E72418">
        <w:t xml:space="preserve"> n° 374.</w:t>
      </w:r>
    </w:p>
  </w:footnote>
  <w:footnote w:id="2183">
    <w:p w14:paraId="5C9DC614" w14:textId="655A68FF" w:rsidR="0030147D" w:rsidRPr="00E72418" w:rsidRDefault="0030147D" w:rsidP="0078304D">
      <w:pPr>
        <w:pStyle w:val="Sansinterligne"/>
        <w:rPr>
          <w:rFonts w:ascii="Courier New" w:hAnsi="Courier New"/>
          <w:sz w:val="24"/>
        </w:rPr>
      </w:pPr>
      <w:r w:rsidRPr="00E72418">
        <w:rPr>
          <w:rStyle w:val="Appelnotedebasdep"/>
        </w:rPr>
        <w:footnoteRef/>
      </w:r>
      <w:r w:rsidRPr="00E72418">
        <w:t xml:space="preserve"> Rappelons la validation de la Cour constitutionnelle belge de l’application du mécanisme anti-spéculation belge </w:t>
      </w:r>
      <w:r w:rsidRPr="00E72418">
        <w:rPr>
          <w:rFonts w:cs="Times New Roman"/>
          <w:szCs w:val="24"/>
        </w:rPr>
        <w:t>aux emprunts et créances rachetés tant avant qu’après l’entrée en vigueur</w:t>
      </w:r>
      <w:r w:rsidRPr="00E72418">
        <w:t xml:space="preserve"> de la loi du 12 juillet 2015 instituant </w:t>
      </w:r>
      <w:r w:rsidRPr="00E72418">
        <w:rPr>
          <w:szCs w:val="20"/>
        </w:rPr>
        <w:t xml:space="preserve">ce mécanisme (voyez </w:t>
      </w:r>
      <w:r w:rsidRPr="00E72418">
        <w:rPr>
          <w:i/>
          <w:szCs w:val="20"/>
        </w:rPr>
        <w:t>supra</w:t>
      </w:r>
      <w:r w:rsidRPr="00E72418">
        <w:rPr>
          <w:szCs w:val="20"/>
        </w:rPr>
        <w:t xml:space="preserve"> n° 355). Notons que certains auteurs font peu de cas du problème que pourrait poser la rétroactivité d’une mesure portant sur des dettes souveraines déjà encourues. C’est notamment le cas de Steven Schwarcz qui, dans la proposition qu’il fait d’une </w:t>
      </w:r>
      <w:r w:rsidRPr="00E72418">
        <w:rPr>
          <w:i/>
          <w:szCs w:val="20"/>
        </w:rPr>
        <w:t>model law</w:t>
      </w:r>
      <w:r w:rsidRPr="00E72418">
        <w:rPr>
          <w:szCs w:val="20"/>
        </w:rPr>
        <w:t xml:space="preserve"> visant à faciliter les restructurations, tire argument de la justification de l’utilité publique et de l’intérêt général reprise à l’article premier du Premier Protocole additionnel </w:t>
      </w:r>
      <w:r w:rsidRPr="00E72418">
        <w:t>à la Convention européenne des droits de l’homme</w:t>
      </w:r>
      <w:r w:rsidRPr="00E72418">
        <w:rPr>
          <w:szCs w:val="20"/>
        </w:rPr>
        <w:t xml:space="preserve"> et retient que « [r]etroactivity under the Model Law should arguably satisfy both tests […] because unsustainable sovereign debt can harm debtor nations, their citizens, and their creditors, and can also jeopardize the stability of the financial system » (S. </w:t>
      </w:r>
      <w:r w:rsidRPr="00E72418">
        <w:rPr>
          <w:rFonts w:cs="Times New Roman"/>
          <w:smallCaps/>
          <w:szCs w:val="24"/>
          <w:lang w:val="en-US"/>
        </w:rPr>
        <w:t>Schwarcz</w:t>
      </w:r>
      <w:r w:rsidRPr="00E72418">
        <w:rPr>
          <w:rFonts w:cs="Times New Roman"/>
          <w:szCs w:val="24"/>
          <w:lang w:val="en-US"/>
        </w:rPr>
        <w:t xml:space="preserve">, « Sovereign Debt Restructuring and English Governing Law », </w:t>
      </w:r>
      <w:r w:rsidRPr="00E72418">
        <w:rPr>
          <w:rFonts w:cs="Times New Roman"/>
          <w:i/>
          <w:szCs w:val="24"/>
          <w:lang w:val="en-US"/>
        </w:rPr>
        <w:t>op. cit.</w:t>
      </w:r>
      <w:r w:rsidRPr="00E72418">
        <w:rPr>
          <w:rFonts w:cs="Times New Roman"/>
          <w:szCs w:val="24"/>
          <w:lang w:val="en-US"/>
        </w:rPr>
        <w:t xml:space="preserve">, p. 90. Plus largement, sur l’analyse de la conformité des lois anti-spéculation nationales existantes à cette disposition européenne, voyez </w:t>
      </w:r>
      <w:r w:rsidRPr="00E72418">
        <w:rPr>
          <w:rFonts w:cs="Times New Roman"/>
          <w:i/>
          <w:szCs w:val="24"/>
          <w:lang w:val="en-US"/>
        </w:rPr>
        <w:t>supra</w:t>
      </w:r>
      <w:r w:rsidRPr="00E72418">
        <w:rPr>
          <w:rFonts w:cs="Times New Roman"/>
          <w:szCs w:val="24"/>
          <w:lang w:val="en-US"/>
        </w:rPr>
        <w:t xml:space="preserve"> n</w:t>
      </w:r>
      <w:r w:rsidRPr="00E72418">
        <w:rPr>
          <w:rFonts w:cs="Times New Roman"/>
          <w:szCs w:val="24"/>
          <w:vertAlign w:val="superscript"/>
          <w:lang w:val="en-US"/>
        </w:rPr>
        <w:t>os</w:t>
      </w:r>
      <w:r w:rsidRPr="00E72418">
        <w:rPr>
          <w:rFonts w:cs="Times New Roman"/>
          <w:szCs w:val="24"/>
          <w:lang w:val="en-US"/>
        </w:rPr>
        <w:t xml:space="preserve"> 377 et suiv). Dans la même veine, le sénateur new-yorkais Gustavo Rivera justifie de sa proposition de législation opérant rétroactivement en indiquant qu’ « </w:t>
      </w:r>
      <w:r w:rsidRPr="00E72418">
        <w:rPr>
          <w:szCs w:val="20"/>
        </w:rPr>
        <w:t>[e]</w:t>
      </w:r>
      <w:r w:rsidRPr="00E72418">
        <w:t xml:space="preserve">ven though the model law could retroactively impair contract rights, any impairment would be a reasonable exercise of the state’s police powers to protect its economy </w:t>
      </w:r>
      <w:r w:rsidRPr="00E72418">
        <w:rPr>
          <w:rFonts w:ascii="Times New Roman" w:hAnsi="Times New Roman" w:cs="Times New Roman"/>
          <w:b/>
        </w:rPr>
        <w:t>–</w:t>
      </w:r>
      <w:r w:rsidRPr="00E72418">
        <w:t xml:space="preserve"> reducing the likelihood that a country-debt default could trigger a systemic collapse, as occurred in 2008 when mortgage-debt defaults triggered a global economic meltdown </w:t>
      </w:r>
      <w:r w:rsidRPr="00E72418">
        <w:rPr>
          <w:rFonts w:cs="Times New Roman"/>
          <w:szCs w:val="24"/>
          <w:lang w:val="en-US"/>
        </w:rPr>
        <w:t>» (</w:t>
      </w:r>
      <w:r w:rsidRPr="00E72418">
        <w:t xml:space="preserve">propos repris à l’adresse </w:t>
      </w:r>
      <w:hyperlink r:id="rId79" w:history="1">
        <w:r w:rsidRPr="00E72418">
          <w:rPr>
            <w:rStyle w:val="Lienhypertexte"/>
            <w:color w:val="auto"/>
            <w:u w:val="none"/>
          </w:rPr>
          <w:t>www.nysenate.gov/legislation/bills/2021/S6627</w:t>
        </w:r>
      </w:hyperlink>
      <w:r w:rsidRPr="00E72418">
        <w:t xml:space="preserve">. Sur cette proposition, voyez </w:t>
      </w:r>
      <w:r w:rsidRPr="00E72418">
        <w:rPr>
          <w:i/>
        </w:rPr>
        <w:t>supra</w:t>
      </w:r>
      <w:r w:rsidRPr="00E72418">
        <w:t xml:space="preserve"> n° 278).</w:t>
      </w:r>
    </w:p>
  </w:footnote>
  <w:footnote w:id="2184">
    <w:p w14:paraId="563B2C46" w14:textId="77777777" w:rsidR="0030147D" w:rsidRPr="00E72418" w:rsidRDefault="0030147D" w:rsidP="00F32926">
      <w:pPr>
        <w:pStyle w:val="Sansinterligne"/>
      </w:pPr>
      <w:r w:rsidRPr="00E72418">
        <w:rPr>
          <w:rStyle w:val="Appelnotedebasdep"/>
        </w:rPr>
        <w:footnoteRef/>
      </w:r>
      <w:r w:rsidRPr="00E72418">
        <w:t xml:space="preserve"> </w:t>
      </w:r>
      <w:r w:rsidRPr="00E72418">
        <w:rPr>
          <w:rStyle w:val="s7d2086b4"/>
        </w:rPr>
        <w:t xml:space="preserve">Cour eur. D. H., 20 juillet 2004, </w:t>
      </w:r>
      <w:r w:rsidRPr="00E72418">
        <w:rPr>
          <w:i/>
        </w:rPr>
        <w:t>Bäck c. Finlande</w:t>
      </w:r>
      <w:r w:rsidRPr="00E72418">
        <w:rPr>
          <w:rStyle w:val="s7d2086b4"/>
        </w:rPr>
        <w:t xml:space="preserve">, arrêt, </w:t>
      </w:r>
      <w:r w:rsidRPr="00E72418">
        <w:t xml:space="preserve">requête n° 37598/97, paragraphe 68. Quoiqu’il n’y était pas question de spéculation sur une dette souveraine, les données factuelles de cette affaire sont à certains égards semblables à notre problématique de recherche. Il est toutefois des cas, comme l’affaire </w:t>
      </w:r>
      <w:r w:rsidRPr="00E72418">
        <w:rPr>
          <w:i/>
        </w:rPr>
        <w:t>Maurice c. France</w:t>
      </w:r>
      <w:r w:rsidRPr="00E72418">
        <w:t>, où la rétroactivité n’a pas été jugée acceptable (</w:t>
      </w:r>
      <w:r w:rsidRPr="00E72418">
        <w:rPr>
          <w:rStyle w:val="s7d2086b4"/>
        </w:rPr>
        <w:t xml:space="preserve">Cour eur. D. H., 6 octobre 2005, </w:t>
      </w:r>
      <w:r w:rsidRPr="00E72418">
        <w:rPr>
          <w:i/>
        </w:rPr>
        <w:t>Maurice c. France</w:t>
      </w:r>
      <w:r w:rsidRPr="00E72418">
        <w:rPr>
          <w:rStyle w:val="s7d2086b4"/>
        </w:rPr>
        <w:t xml:space="preserve">, arrêt, </w:t>
      </w:r>
      <w:r w:rsidRPr="00E72418">
        <w:t>requête n° 11810/03, paragraphe 90. Notons toutefois qu’il y était question d’une mesure rétroactive ayant privé des parents d’enfants souffrant d’handicap non décelé avant la naissance d’une importante créance de réparation qui aurait pu être réclamée à l’établissement hospitalier responsable…).</w:t>
      </w:r>
    </w:p>
  </w:footnote>
  <w:footnote w:id="2185">
    <w:p w14:paraId="09173422" w14:textId="64FFE762" w:rsidR="0030147D" w:rsidRPr="00E72418" w:rsidRDefault="0030147D" w:rsidP="00D45744">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317 et suiv.</w:t>
      </w:r>
    </w:p>
  </w:footnote>
  <w:footnote w:id="2186">
    <w:p w14:paraId="3F3E85BC" w14:textId="6C60F840" w:rsidR="0030147D" w:rsidRPr="00E72418" w:rsidRDefault="0030147D" w:rsidP="004B2F06">
      <w:pPr>
        <w:pStyle w:val="Sansinterligne"/>
        <w:rPr>
          <w:szCs w:val="20"/>
        </w:rPr>
      </w:pPr>
      <w:r w:rsidRPr="00E72418">
        <w:rPr>
          <w:rStyle w:val="Appelnotedebasdep"/>
          <w:szCs w:val="20"/>
        </w:rPr>
        <w:footnoteRef/>
      </w:r>
      <w:r w:rsidRPr="00E72418">
        <w:rPr>
          <w:szCs w:val="20"/>
        </w:rPr>
        <w:t xml:space="preserve"> Des déclinaisons indirectes existent déjà si l’on prend par exemple l’incessibilité prévue par la loi belge du 6 avril 2008 visant à empêcher la saisie ou la cession des fonds publics destinés à la coopération internationale, notamment par la technique des fonds vautours (D. </w:t>
      </w:r>
      <w:r w:rsidRPr="00E72418">
        <w:rPr>
          <w:smallCaps/>
          <w:szCs w:val="20"/>
        </w:rPr>
        <w:t>Philippe</w:t>
      </w:r>
      <w:r w:rsidRPr="00E72418">
        <w:rPr>
          <w:szCs w:val="20"/>
        </w:rPr>
        <w:t xml:space="preserve">, « Initiatives législatives en matière de fonds vautours : portée et efficacité », </w:t>
      </w:r>
      <w:r w:rsidRPr="00E72418">
        <w:rPr>
          <w:i/>
          <w:szCs w:val="20"/>
        </w:rPr>
        <w:t>op. cit.</w:t>
      </w:r>
      <w:r w:rsidRPr="00E72418">
        <w:rPr>
          <w:szCs w:val="20"/>
        </w:rPr>
        <w:t>, p. 87). Sur cette législation qui prévoit notamment l’</w:t>
      </w:r>
      <w:r w:rsidRPr="00E72418">
        <w:t xml:space="preserve">incessibilité des montants des prêts consentis à des </w:t>
      </w:r>
      <w:r w:rsidRPr="00E72418">
        <w:rPr>
          <w:lang w:eastAsia="fr-BE"/>
        </w:rPr>
        <w:t>É</w:t>
      </w:r>
      <w:r w:rsidRPr="00E72418">
        <w:t xml:space="preserve">tats ou à des organismes étrangers ayant obtenu la garantie de leur gouvernement, de leur banque centrale ou d’une institution qui exécute la politique de développement d’un </w:t>
      </w:r>
      <w:r w:rsidRPr="00E72418">
        <w:rPr>
          <w:lang w:eastAsia="fr-BE"/>
        </w:rPr>
        <w:t>É</w:t>
      </w:r>
      <w:r w:rsidRPr="00E72418">
        <w:t>tat étranger</w:t>
      </w:r>
      <w:r w:rsidRPr="00E72418">
        <w:rPr>
          <w:szCs w:val="20"/>
        </w:rPr>
        <w:t xml:space="preserve">, voyez </w:t>
      </w:r>
      <w:r w:rsidRPr="00E72418">
        <w:rPr>
          <w:i/>
          <w:szCs w:val="20"/>
        </w:rPr>
        <w:t>supra</w:t>
      </w:r>
      <w:r w:rsidRPr="00E72418">
        <w:rPr>
          <w:szCs w:val="20"/>
        </w:rPr>
        <w:t xml:space="preserve"> n</w:t>
      </w:r>
      <w:r w:rsidRPr="00E72418">
        <w:rPr>
          <w:szCs w:val="20"/>
          <w:vertAlign w:val="superscript"/>
        </w:rPr>
        <w:t>os</w:t>
      </w:r>
      <w:r w:rsidRPr="00E72418">
        <w:rPr>
          <w:szCs w:val="20"/>
        </w:rPr>
        <w:t xml:space="preserve"> 328 et suiv.</w:t>
      </w:r>
    </w:p>
  </w:footnote>
  <w:footnote w:id="2187">
    <w:p w14:paraId="730BF51E" w14:textId="4DFEF3FF" w:rsidR="0030147D" w:rsidRPr="00E72418" w:rsidRDefault="0030147D" w:rsidP="004B2F06">
      <w:pPr>
        <w:pStyle w:val="Sansinterligne"/>
        <w:rPr>
          <w:szCs w:val="20"/>
          <w:lang w:val="en-US"/>
        </w:rPr>
      </w:pPr>
      <w:r w:rsidRPr="00E72418">
        <w:rPr>
          <w:rStyle w:val="Appelnotedebasdep"/>
          <w:szCs w:val="20"/>
        </w:rPr>
        <w:footnoteRef/>
      </w:r>
      <w:r w:rsidRPr="00E72418">
        <w:rPr>
          <w:szCs w:val="20"/>
          <w:lang w:val="en-US"/>
        </w:rPr>
        <w:t xml:space="preserve"> </w:t>
      </w:r>
      <w:r w:rsidRPr="00E72418">
        <w:rPr>
          <w:smallCaps/>
          <w:szCs w:val="20"/>
          <w:lang w:val="en-US"/>
        </w:rPr>
        <w:t>D. Sookun</w:t>
      </w:r>
      <w:r w:rsidRPr="00E72418">
        <w:rPr>
          <w:szCs w:val="20"/>
          <w:lang w:val="en-US"/>
        </w:rPr>
        <w:t xml:space="preserve">, </w:t>
      </w:r>
      <w:r w:rsidRPr="00E72418">
        <w:rPr>
          <w:i/>
          <w:szCs w:val="20"/>
          <w:lang w:val="en-US"/>
        </w:rPr>
        <w:t>Stop Vulture Fund Lawsuits: a Handbook</w:t>
      </w:r>
      <w:r w:rsidRPr="00E72418">
        <w:rPr>
          <w:szCs w:val="20"/>
          <w:lang w:val="en-US"/>
        </w:rPr>
        <w:t xml:space="preserve">, </w:t>
      </w:r>
      <w:r w:rsidRPr="00E72418">
        <w:rPr>
          <w:rFonts w:ascii="Times New Roman" w:hAnsi="Times New Roman" w:cs="Times New Roman"/>
          <w:i/>
          <w:szCs w:val="20"/>
          <w:lang w:val="en-US"/>
        </w:rPr>
        <w:t>op. cit.</w:t>
      </w:r>
      <w:r w:rsidRPr="00E72418">
        <w:rPr>
          <w:szCs w:val="20"/>
          <w:lang w:val="en-US"/>
        </w:rPr>
        <w:t>, p. 39.</w:t>
      </w:r>
    </w:p>
  </w:footnote>
  <w:footnote w:id="2188">
    <w:p w14:paraId="2CC777EF" w14:textId="77777777" w:rsidR="0030147D" w:rsidRPr="00E72418" w:rsidRDefault="0030147D" w:rsidP="004B2F06">
      <w:pPr>
        <w:pStyle w:val="Sansinterligne"/>
        <w:rPr>
          <w:szCs w:val="20"/>
        </w:rPr>
      </w:pPr>
      <w:r w:rsidRPr="00E72418">
        <w:rPr>
          <w:rStyle w:val="Appelnotedebasdep"/>
          <w:szCs w:val="20"/>
        </w:rPr>
        <w:footnoteRef/>
      </w:r>
      <w:r w:rsidRPr="00E72418">
        <w:rPr>
          <w:szCs w:val="20"/>
        </w:rPr>
        <w:t xml:space="preserve"> </w:t>
      </w:r>
      <w:r w:rsidRPr="00E72418">
        <w:rPr>
          <w:rStyle w:val="SansinterligneCar"/>
          <w:szCs w:val="20"/>
        </w:rPr>
        <w:t xml:space="preserve">Dans l’affaire </w:t>
      </w:r>
      <w:r w:rsidRPr="00E72418">
        <w:rPr>
          <w:rStyle w:val="SansinterligneCar"/>
          <w:i/>
          <w:szCs w:val="20"/>
        </w:rPr>
        <w:t>Pravin Banker Associates Ltd. v. Banco Popular del Peru and the Republic of Peru</w:t>
      </w:r>
      <w:r w:rsidRPr="00E72418">
        <w:rPr>
          <w:rStyle w:val="SansinterligneCar"/>
          <w:szCs w:val="20"/>
        </w:rPr>
        <w:t xml:space="preserve">, la </w:t>
      </w:r>
      <w:r w:rsidRPr="00F1587D">
        <w:rPr>
          <w:rStyle w:val="SansinterligneCar"/>
          <w:szCs w:val="20"/>
        </w:rPr>
        <w:t>United States Court of Appeals for the Second Circuit</w:t>
      </w:r>
      <w:r w:rsidRPr="00E72418">
        <w:rPr>
          <w:rStyle w:val="SansinterligneCar"/>
          <w:szCs w:val="20"/>
        </w:rPr>
        <w:t xml:space="preserve"> relevait que les cessions étaient valides lorsque rien dans les contrats matérialisant les créances ne les empêchait. Pour la Cour, « [t]o reveal the intent necessary to preclude the power to assign, or cause an assignment violative of contractual provisions to be wholly void, a contractual clause must contain express provisions that any assignment shall be void or invalid if not made in a certain specified way » (United States Court of Appeals for the Second Circuit (EUA), 25 mars 1997, </w:t>
      </w:r>
      <w:r w:rsidRPr="00E72418">
        <w:rPr>
          <w:rStyle w:val="SansinterligneCar"/>
          <w:i/>
          <w:szCs w:val="20"/>
        </w:rPr>
        <w:t>Pravin Banker Associates Ltd. v. Banco Popular del Peru and the Republic of Peru</w:t>
      </w:r>
      <w:r w:rsidRPr="00E72418">
        <w:rPr>
          <w:rStyle w:val="SansinterligneCar"/>
          <w:szCs w:val="20"/>
        </w:rPr>
        <w:t>, 109 F.3d 850, p. 856).</w:t>
      </w:r>
    </w:p>
  </w:footnote>
  <w:footnote w:id="2189">
    <w:p w14:paraId="7B50E55C" w14:textId="57B728F5" w:rsidR="0030147D" w:rsidRPr="00E72418" w:rsidRDefault="0030147D" w:rsidP="004B2F06">
      <w:pPr>
        <w:pStyle w:val="Sansinterligne"/>
        <w:rPr>
          <w:szCs w:val="20"/>
        </w:rPr>
      </w:pPr>
      <w:r w:rsidRPr="00E72418">
        <w:rPr>
          <w:rStyle w:val="Appelnotedebasdep"/>
          <w:szCs w:val="20"/>
        </w:rPr>
        <w:footnoteRef/>
      </w:r>
      <w:r w:rsidRPr="00E72418">
        <w:rPr>
          <w:szCs w:val="20"/>
        </w:rPr>
        <w:t xml:space="preserve"> Voyez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Rapport de l’expert indépendant chargé d’examiner les effets de la dette extérieure et des obligations financières internationales connexes des États sur le plein exercice de tous les droits de l’homme, en particulier des droits économiques, sociaux et culturels </w:t>
      </w:r>
      <w:r w:rsidRPr="00E72418">
        <w:rPr>
          <w:rFonts w:ascii="Times New Roman" w:hAnsi="Times New Roman" w:cs="Times New Roman"/>
          <w:b/>
          <w:i/>
          <w:szCs w:val="24"/>
        </w:rPr>
        <w:t xml:space="preserve">– </w:t>
      </w:r>
      <w:r w:rsidRPr="00E72418">
        <w:rPr>
          <w:rFonts w:ascii="Times New Roman" w:hAnsi="Times New Roman" w:cs="Times New Roman"/>
          <w:i/>
          <w:szCs w:val="24"/>
        </w:rPr>
        <w:t>Principes directeurs relatifs à la dette extérieure et aux droits de l’homme</w:t>
      </w:r>
      <w:r w:rsidRPr="00E72418">
        <w:rPr>
          <w:rFonts w:ascii="Times New Roman" w:hAnsi="Times New Roman" w:cs="Times New Roman"/>
          <w:szCs w:val="24"/>
        </w:rPr>
        <w:t>, 10 avril 2012, A/HRC/20/23</w:t>
      </w:r>
      <w:r w:rsidRPr="00E72418">
        <w:rPr>
          <w:szCs w:val="20"/>
        </w:rPr>
        <w:t>, principe 59. Cette idée était déjà contenue dans un rapport de la Plate-forme Dette &amp; Développement et du CNCD-11.11.11 de mai 2009 où l’interdiction de revente unilatérale de dettes souveraines sans consentement éclairé préalable du pays débiteur était vue comme une manière d’ « assécher le marché secondaire de la dette » (</w:t>
      </w:r>
      <w:r w:rsidRPr="00E72418">
        <w:rPr>
          <w:rFonts w:ascii="Times New Roman" w:hAnsi="Times New Roman" w:cs="Times New Roman"/>
          <w:szCs w:val="24"/>
        </w:rPr>
        <w:t>« Un vautour peut en cacher un autre, ou comment nos lois encouragent les prédateurs des pays pauvres endettés – Rapport de la plate-forme dette &amp; développementet du CNCD-11.11.11 »</w:t>
      </w:r>
      <w:r w:rsidRPr="00E72418">
        <w:rPr>
          <w:rFonts w:cs="Times New Roman"/>
          <w:szCs w:val="24"/>
        </w:rPr>
        <w:t xml:space="preserve">, disponible à l’adresse </w:t>
      </w:r>
      <w:hyperlink r:id="rId80" w:history="1">
        <w:r w:rsidRPr="00E72418">
          <w:rPr>
            <w:rStyle w:val="Lienhypertexte"/>
            <w:rFonts w:cs="Times New Roman"/>
            <w:color w:val="auto"/>
            <w:szCs w:val="24"/>
            <w:u w:val="none"/>
          </w:rPr>
          <w:t>www.cncd.be/IMG/pdf/RAPPORT_FONDS_VAUTOURS_2009.pdf</w:t>
        </w:r>
      </w:hyperlink>
      <w:r w:rsidRPr="00E72418">
        <w:rPr>
          <w:rFonts w:cs="Times New Roman"/>
          <w:szCs w:val="24"/>
        </w:rPr>
        <w:t>, consultation le 17 octobre 2021).</w:t>
      </w:r>
    </w:p>
  </w:footnote>
  <w:footnote w:id="2190">
    <w:p w14:paraId="697BFCF2" w14:textId="41D9DE9B" w:rsidR="0030147D" w:rsidRPr="00E72418" w:rsidRDefault="0030147D" w:rsidP="004B2F06">
      <w:pPr>
        <w:pStyle w:val="Sansinterligne"/>
        <w:rPr>
          <w:szCs w:val="20"/>
        </w:rPr>
      </w:pPr>
      <w:r w:rsidRPr="00E72418">
        <w:rPr>
          <w:rStyle w:val="Appelnotedebasdep"/>
          <w:szCs w:val="20"/>
        </w:rPr>
        <w:footnoteRef/>
      </w:r>
      <w:r w:rsidRPr="00E72418">
        <w:rPr>
          <w:szCs w:val="20"/>
        </w:rPr>
        <w:t xml:space="preserve"> Dans l’affaire </w:t>
      </w:r>
      <w:r w:rsidRPr="00E72418">
        <w:rPr>
          <w:i/>
          <w:szCs w:val="20"/>
        </w:rPr>
        <w:t>Barbados Trust Company Ltd. v. Bank of Zambia and Anr.</w:t>
      </w:r>
      <w:r w:rsidRPr="00E72418">
        <w:rPr>
          <w:szCs w:val="20"/>
        </w:rPr>
        <w:t xml:space="preserve"> portée devant la</w:t>
      </w:r>
      <w:r w:rsidRPr="00E72418">
        <w:rPr>
          <w:i/>
          <w:szCs w:val="20"/>
        </w:rPr>
        <w:t xml:space="preserve"> </w:t>
      </w:r>
      <w:r w:rsidRPr="00F1587D">
        <w:rPr>
          <w:szCs w:val="20"/>
        </w:rPr>
        <w:t>Court of Appeal</w:t>
      </w:r>
      <w:r w:rsidRPr="00E72418">
        <w:rPr>
          <w:szCs w:val="20"/>
        </w:rPr>
        <w:t xml:space="preserve"> (</w:t>
      </w:r>
      <w:r w:rsidRPr="00F1587D">
        <w:rPr>
          <w:szCs w:val="20"/>
        </w:rPr>
        <w:t>Court of Appeal</w:t>
      </w:r>
      <w:r w:rsidRPr="00E72418">
        <w:rPr>
          <w:szCs w:val="20"/>
        </w:rPr>
        <w:t xml:space="preserve"> </w:t>
      </w:r>
      <w:r>
        <w:rPr>
          <w:szCs w:val="20"/>
        </w:rPr>
        <w:t xml:space="preserve">(RU), </w:t>
      </w:r>
      <w:r w:rsidRPr="00E72418">
        <w:rPr>
          <w:szCs w:val="20"/>
        </w:rPr>
        <w:t xml:space="preserve">27 février 2007, [2007] EWCA Civ 148), le créancier n’obtint pas gain de cause au motif que la cession n’était pas respectueuse des termes du contrat qui prévoyait un délai minimal entre la notification de la cession et la cession à proprement parler. Ce délai n’avait pas été respecté de sorte que le créancier poursuivant ne pouvait justifier d’un titre valide à l’encontre du débiteur poursuivi (voyez </w:t>
      </w:r>
      <w:r w:rsidRPr="00E72418">
        <w:rPr>
          <w:smallCaps/>
          <w:szCs w:val="20"/>
        </w:rPr>
        <w:t>D. Sookun</w:t>
      </w:r>
      <w:r w:rsidRPr="00E72418">
        <w:rPr>
          <w:szCs w:val="20"/>
        </w:rPr>
        <w:t xml:space="preserve">, </w:t>
      </w:r>
      <w:r w:rsidRPr="00E72418">
        <w:rPr>
          <w:i/>
          <w:szCs w:val="20"/>
        </w:rPr>
        <w:t>Stop Vulture Fund Lawsuits: a Handbook</w:t>
      </w:r>
      <w:r w:rsidRPr="00E72418">
        <w:rPr>
          <w:szCs w:val="20"/>
        </w:rPr>
        <w:t xml:space="preserve">, </w:t>
      </w:r>
      <w:r w:rsidRPr="00E72418">
        <w:rPr>
          <w:rFonts w:ascii="Times New Roman" w:hAnsi="Times New Roman" w:cs="Times New Roman"/>
          <w:i/>
          <w:szCs w:val="20"/>
          <w:lang w:val="en-US"/>
        </w:rPr>
        <w:t>op. cit.</w:t>
      </w:r>
      <w:r w:rsidRPr="00E72418">
        <w:rPr>
          <w:szCs w:val="20"/>
        </w:rPr>
        <w:t>, p. 40).</w:t>
      </w:r>
    </w:p>
  </w:footnote>
  <w:footnote w:id="2191">
    <w:p w14:paraId="54A3B9F0" w14:textId="735BBA8F" w:rsidR="0030147D" w:rsidRPr="00E72418" w:rsidRDefault="0030147D" w:rsidP="004B2F06">
      <w:pPr>
        <w:pStyle w:val="Sansinterligne"/>
        <w:rPr>
          <w:szCs w:val="20"/>
          <w:lang w:val="en-US"/>
        </w:rPr>
      </w:pPr>
      <w:r w:rsidRPr="00E72418">
        <w:rPr>
          <w:rStyle w:val="Appelnotedebasdep"/>
          <w:szCs w:val="20"/>
        </w:rPr>
        <w:footnoteRef/>
      </w:r>
      <w:r w:rsidRPr="00E72418">
        <w:rPr>
          <w:szCs w:val="20"/>
          <w:lang w:val="en-US"/>
        </w:rPr>
        <w:t xml:space="preserve"> </w:t>
      </w:r>
      <w:r w:rsidRPr="00E72418">
        <w:rPr>
          <w:i/>
          <w:szCs w:val="20"/>
          <w:lang w:val="en-US"/>
        </w:rPr>
        <w:t>Ibid.</w:t>
      </w:r>
      <w:r w:rsidRPr="00E72418">
        <w:rPr>
          <w:szCs w:val="20"/>
          <w:lang w:val="en-US"/>
        </w:rPr>
        <w:t>, p. 75.</w:t>
      </w:r>
    </w:p>
  </w:footnote>
  <w:footnote w:id="2192">
    <w:p w14:paraId="7E54BDD6" w14:textId="132DF570" w:rsidR="0030147D" w:rsidRPr="00E72418" w:rsidRDefault="0030147D" w:rsidP="001825B4">
      <w:pPr>
        <w:pStyle w:val="Sansinterligne"/>
      </w:pPr>
      <w:r w:rsidRPr="00E72418">
        <w:rPr>
          <w:rStyle w:val="Appelnotedebasdep"/>
        </w:rPr>
        <w:footnoteRef/>
      </w:r>
      <w:r w:rsidRPr="00E72418">
        <w:t xml:space="preserve"> </w:t>
      </w:r>
      <w:r w:rsidRPr="00E72418">
        <w:rPr>
          <w:rFonts w:ascii="Times New Roman" w:hAnsi="Times New Roman" w:cs="Times New Roman"/>
          <w:szCs w:val="24"/>
        </w:rPr>
        <w:t xml:space="preserve">Conseil des droits de l’homme des Nations Unies, </w:t>
      </w:r>
      <w:r w:rsidRPr="00E72418">
        <w:rPr>
          <w:rFonts w:ascii="Times New Roman" w:hAnsi="Times New Roman" w:cs="Times New Roman"/>
          <w:i/>
          <w:szCs w:val="24"/>
        </w:rPr>
        <w:t xml:space="preserve">Activités des fonds vautours et leurs incidences sur les droits de l’homme </w:t>
      </w:r>
      <w:r w:rsidRPr="00E72418">
        <w:rPr>
          <w:rFonts w:ascii="Times New Roman" w:hAnsi="Times New Roman" w:cs="Times New Roman"/>
          <w:b/>
          <w:i/>
          <w:szCs w:val="24"/>
        </w:rPr>
        <w:t xml:space="preserve">– </w:t>
      </w:r>
      <w:r w:rsidRPr="00E72418">
        <w:rPr>
          <w:rFonts w:ascii="Times New Roman" w:hAnsi="Times New Roman" w:cs="Times New Roman"/>
          <w:i/>
          <w:szCs w:val="24"/>
        </w:rPr>
        <w:t>Rapport final du Comité consultatif du Conseil des droits de l’homme</w:t>
      </w:r>
      <w:r w:rsidRPr="00E72418">
        <w:rPr>
          <w:rFonts w:ascii="Times New Roman" w:hAnsi="Times New Roman" w:cs="Times New Roman"/>
          <w:szCs w:val="24"/>
        </w:rPr>
        <w:t>, 7 mai 2019, A/HRC/41/51</w:t>
      </w:r>
      <w:r w:rsidRPr="00E72418">
        <w:t>, p. 18.</w:t>
      </w:r>
    </w:p>
  </w:footnote>
  <w:footnote w:id="2193">
    <w:p w14:paraId="1403C1B1" w14:textId="23ACAA1D" w:rsidR="0030147D" w:rsidRPr="00E72418" w:rsidRDefault="0030147D" w:rsidP="001825B4">
      <w:pPr>
        <w:pStyle w:val="Sansinterligne"/>
      </w:pPr>
      <w:r w:rsidRPr="00E72418">
        <w:rPr>
          <w:rStyle w:val="Appelnotedebasdep"/>
        </w:rPr>
        <w:footnoteRef/>
      </w:r>
      <w:r w:rsidRPr="00E72418">
        <w:t xml:space="preserve"> Sur cette législation, voyez </w:t>
      </w:r>
      <w:r w:rsidRPr="00E72418">
        <w:rPr>
          <w:i/>
        </w:rPr>
        <w:t>supra</w:t>
      </w:r>
      <w:r w:rsidRPr="00E72418">
        <w:rPr>
          <w:szCs w:val="20"/>
        </w:rPr>
        <w:t xml:space="preserve"> n</w:t>
      </w:r>
      <w:r w:rsidRPr="00E72418">
        <w:rPr>
          <w:szCs w:val="20"/>
          <w:vertAlign w:val="superscript"/>
        </w:rPr>
        <w:t>os</w:t>
      </w:r>
      <w:r w:rsidRPr="00E72418">
        <w:rPr>
          <w:szCs w:val="20"/>
        </w:rPr>
        <w:t xml:space="preserve"> 328 et suiv</w:t>
      </w:r>
      <w:r w:rsidRPr="00E72418">
        <w:t>.</w:t>
      </w:r>
    </w:p>
  </w:footnote>
  <w:footnote w:id="2194">
    <w:p w14:paraId="6F2A5C05" w14:textId="15FBDD9B" w:rsidR="0030147D" w:rsidRPr="00E72418" w:rsidRDefault="0030147D" w:rsidP="001825B4">
      <w:pPr>
        <w:pStyle w:val="Sansinterligne"/>
      </w:pPr>
      <w:r w:rsidRPr="00E72418">
        <w:rPr>
          <w:rStyle w:val="Appelnotedebasdep"/>
        </w:rPr>
        <w:footnoteRef/>
      </w:r>
      <w:r w:rsidRPr="00E72418">
        <w:t xml:space="preserve"> Voyez les propos de la parlementaire belge Véronique Caprasse</w:t>
      </w:r>
      <w:r>
        <w:t xml:space="preserve"> repris</w:t>
      </w:r>
      <w:r w:rsidRPr="00E72418">
        <w:t xml:space="preserve"> in Chambre des représentants, </w:t>
      </w:r>
      <w:r w:rsidRPr="00E72418">
        <w:rPr>
          <w:i/>
        </w:rPr>
        <w:t>Compte rendu intégral avec compte rendu analytique traduit des interventions</w:t>
      </w:r>
      <w:r w:rsidRPr="00E72418">
        <w:t>, séance plénière, 25 juin 2015, CRIV 54 PLEN 057, p. 62</w:t>
      </w:r>
      <w:r w:rsidRPr="00E72418">
        <w:rPr>
          <w:rStyle w:val="injectednode"/>
          <w:rFonts w:cs="Times New Roman"/>
          <w:szCs w:val="24"/>
          <w:bdr w:val="none" w:sz="0" w:space="0" w:color="auto" w:frame="1"/>
        </w:rPr>
        <w:t>.</w:t>
      </w:r>
    </w:p>
  </w:footnote>
  <w:footnote w:id="2195">
    <w:p w14:paraId="6BBB641A" w14:textId="5E03A1FA" w:rsidR="0030147D" w:rsidRPr="00E72418" w:rsidRDefault="0030147D" w:rsidP="00D80EE3">
      <w:pPr>
        <w:pStyle w:val="Sansinterligne"/>
      </w:pPr>
      <w:r w:rsidRPr="00E72418">
        <w:rPr>
          <w:rStyle w:val="Appelnotedebasdep"/>
        </w:rPr>
        <w:footnoteRef/>
      </w:r>
      <w:r w:rsidRPr="00E72418">
        <w:t xml:space="preserve"> </w:t>
      </w:r>
      <w:r w:rsidRPr="00E72418">
        <w:rPr>
          <w:szCs w:val="24"/>
        </w:rPr>
        <w:t>L’on peut ainsi rappeler l’exemple du</w:t>
      </w:r>
      <w:r w:rsidRPr="00E72418">
        <w:t xml:space="preserve"> fonds </w:t>
      </w:r>
      <w:r w:rsidRPr="00E72418">
        <w:rPr>
          <w:i/>
        </w:rPr>
        <w:t>NML Capital Ltd.</w:t>
      </w:r>
      <w:r w:rsidRPr="00E72418">
        <w:t xml:space="preserve"> qui, dans le cadre de son contentieux avec la République argentine, avait cherché à faire saisir des fonds de la sécurité sociale argentine (</w:t>
      </w:r>
      <w:r w:rsidRPr="00E72418">
        <w:rPr>
          <w:shd w:val="clear" w:color="auto" w:fill="FFFFFF"/>
        </w:rPr>
        <w:t xml:space="preserve">United States Court of Appeals for the Second Circuit (EUA), </w:t>
      </w:r>
      <w:r w:rsidRPr="00E72418">
        <w:rPr>
          <w:rStyle w:val="injectednode"/>
          <w:rFonts w:cs="Times New Roman"/>
          <w:szCs w:val="24"/>
          <w:bdr w:val="none" w:sz="0" w:space="0" w:color="auto" w:frame="1"/>
        </w:rPr>
        <w:t xml:space="preserve">15 octobre 2009, </w:t>
      </w:r>
      <w:r w:rsidRPr="00E72418">
        <w:rPr>
          <w:i/>
        </w:rPr>
        <w:t>Aurelius Capital Partners, LP v. Republic of Arg.</w:t>
      </w:r>
      <w:r w:rsidRPr="00E72418">
        <w:rPr>
          <w:rStyle w:val="injectednode"/>
          <w:rFonts w:cs="Times New Roman"/>
          <w:szCs w:val="24"/>
          <w:bdr w:val="none" w:sz="0" w:space="0" w:color="auto" w:frame="1"/>
        </w:rPr>
        <w:t>, 584 F.3d 120).</w:t>
      </w:r>
    </w:p>
  </w:footnote>
  <w:footnote w:id="2196">
    <w:p w14:paraId="1647E7D6" w14:textId="2AED3CFB" w:rsidR="0030147D" w:rsidRPr="00E72418" w:rsidRDefault="0030147D" w:rsidP="007602F1">
      <w:pPr>
        <w:pStyle w:val="Sansinterligne"/>
      </w:pPr>
      <w:r w:rsidRPr="00E72418">
        <w:rPr>
          <w:rStyle w:val="Appelnotedebasdep"/>
        </w:rPr>
        <w:footnoteRef/>
      </w:r>
      <w:r w:rsidRPr="00E72418">
        <w:t xml:space="preserve"> Sur l</w:t>
      </w:r>
      <w:r>
        <w:t xml:space="preserve">a défense immunitaire générale et sa traduction dans la </w:t>
      </w:r>
      <w:r w:rsidRPr="00E72418">
        <w:t xml:space="preserve">Convention des Nations Unies sur les immunités juridictionnelles des </w:t>
      </w:r>
      <w:r w:rsidRPr="00E72418">
        <w:rPr>
          <w:lang w:eastAsia="fr-BE"/>
        </w:rPr>
        <w:t>É</w:t>
      </w:r>
      <w:r w:rsidRPr="00E72418">
        <w:t>tats et de leurs biens</w:t>
      </w:r>
      <w:r>
        <w:t xml:space="preserve"> de 2004 ainsi que dans les lois étatsunienne, britannique, belge et française, </w:t>
      </w:r>
      <w:r w:rsidRPr="00E72418">
        <w:t xml:space="preserve">voyez </w:t>
      </w:r>
      <w:r w:rsidRPr="00E72418">
        <w:rPr>
          <w:i/>
        </w:rPr>
        <w:t>supra</w:t>
      </w:r>
      <w:r w:rsidRPr="00E72418">
        <w:t xml:space="preserve"> n</w:t>
      </w:r>
      <w:r w:rsidRPr="00E72418">
        <w:rPr>
          <w:vertAlign w:val="superscript"/>
        </w:rPr>
        <w:t>os</w:t>
      </w:r>
      <w:r w:rsidRPr="00E72418">
        <w:t xml:space="preserve"> 200 et suiv.</w:t>
      </w:r>
    </w:p>
  </w:footnote>
  <w:footnote w:id="2197">
    <w:p w14:paraId="3527CAF0" w14:textId="57459660" w:rsidR="0030147D" w:rsidRPr="00E72418" w:rsidRDefault="0030147D" w:rsidP="00B57918">
      <w:pPr>
        <w:pStyle w:val="Sansinterligne"/>
      </w:pPr>
      <w:r w:rsidRPr="00E72418">
        <w:rPr>
          <w:rStyle w:val="Appelnotedebasdep"/>
        </w:rPr>
        <w:footnoteRef/>
      </w:r>
      <w:r w:rsidRPr="00E72418">
        <w:t xml:space="preserve"> Voyez notamment </w:t>
      </w:r>
      <w:r w:rsidRPr="00E72418">
        <w:rPr>
          <w:i/>
        </w:rPr>
        <w:t>supra</w:t>
      </w:r>
      <w:r w:rsidRPr="00E72418">
        <w:t xml:space="preserve"> n</w:t>
      </w:r>
      <w:r w:rsidRPr="00E72418">
        <w:rPr>
          <w:vertAlign w:val="superscript"/>
        </w:rPr>
        <w:t>os</w:t>
      </w:r>
      <w:r w:rsidRPr="00E72418">
        <w:t xml:space="preserve"> 139 et 263.</w:t>
      </w:r>
    </w:p>
  </w:footnote>
  <w:footnote w:id="2198">
    <w:p w14:paraId="0B2917AB" w14:textId="583B4E33" w:rsidR="0030147D" w:rsidRPr="00E72418" w:rsidRDefault="0030147D" w:rsidP="000843AD">
      <w:pPr>
        <w:pStyle w:val="Sansinterligne"/>
      </w:pPr>
      <w:r w:rsidRPr="00E72418">
        <w:rPr>
          <w:rStyle w:val="Appelnotedebasdep"/>
        </w:rPr>
        <w:footnoteRef/>
      </w:r>
      <w:r w:rsidRPr="00E72418">
        <w:t xml:space="preserve"> Voyez notamment </w:t>
      </w:r>
      <w:r w:rsidRPr="00E72418">
        <w:rPr>
          <w:smallCaps/>
        </w:rPr>
        <w:t xml:space="preserve">D. </w:t>
      </w:r>
      <w:r w:rsidRPr="00E72418">
        <w:rPr>
          <w:rStyle w:val="Titre4Car"/>
          <w:rFonts w:ascii="Times" w:hAnsi="Times"/>
          <w:i w:val="0"/>
          <w:iCs w:val="0"/>
          <w:smallCaps/>
          <w:color w:val="auto"/>
        </w:rPr>
        <w:t>Carreau</w:t>
      </w:r>
      <w:r w:rsidRPr="00E72418">
        <w:rPr>
          <w:rStyle w:val="Titre4Car"/>
          <w:rFonts w:ascii="Times" w:hAnsi="Times"/>
          <w:i w:val="0"/>
          <w:iCs w:val="0"/>
          <w:color w:val="auto"/>
        </w:rPr>
        <w:t xml:space="preserve"> et </w:t>
      </w:r>
      <w:r w:rsidRPr="00E72418">
        <w:rPr>
          <w:rStyle w:val="Titre4Car"/>
          <w:rFonts w:ascii="Times" w:hAnsi="Times"/>
          <w:i w:val="0"/>
          <w:iCs w:val="0"/>
          <w:smallCaps/>
          <w:color w:val="auto"/>
        </w:rPr>
        <w:t>C. Kleiner</w:t>
      </w:r>
      <w:r w:rsidRPr="00E72418">
        <w:rPr>
          <w:rStyle w:val="Titre4Car"/>
          <w:rFonts w:ascii="Times" w:hAnsi="Times"/>
          <w:i w:val="0"/>
          <w:iCs w:val="0"/>
          <w:color w:val="auto"/>
        </w:rPr>
        <w:t>, « Dettes d’</w:t>
      </w:r>
      <w:r w:rsidRPr="00E72418">
        <w:t>É</w:t>
      </w:r>
      <w:r w:rsidRPr="00E72418">
        <w:rPr>
          <w:rStyle w:val="Titre4Car"/>
          <w:rFonts w:ascii="Times" w:hAnsi="Times"/>
          <w:i w:val="0"/>
          <w:iCs w:val="0"/>
          <w:color w:val="auto"/>
        </w:rPr>
        <w:t xml:space="preserve">tat », </w:t>
      </w:r>
      <w:r w:rsidRPr="00E72418">
        <w:rPr>
          <w:i/>
          <w:szCs w:val="20"/>
          <w:lang w:val="en-US"/>
        </w:rPr>
        <w:t>op. cit.</w:t>
      </w:r>
      <w:r w:rsidRPr="00E72418">
        <w:rPr>
          <w:rStyle w:val="Titre4Car"/>
          <w:rFonts w:ascii="Times" w:hAnsi="Times"/>
          <w:i w:val="0"/>
          <w:iCs w:val="0"/>
          <w:color w:val="auto"/>
        </w:rPr>
        <w:t>, n° 65.</w:t>
      </w:r>
      <w:r w:rsidRPr="00E72418">
        <w:t xml:space="preserve"> Les associations intervenues lors des débats noués devant la Cour constitutionnelle belge au sujet de la loi du 12 juillet 2015 relative à la lutte contre les activités des fonds vautours avançaient que l’article 2 de cette législation est « une loi de police au sens de l’article 9, paragraphe 1, du règlement n° 593/2008, puisqu’il a pour objectif d’empêcher des agissements immoraux et malhonnêtes, de défendre des droits fondamentaux ainsi que la coopération au développement, de maintenir de bonnes relations diplomatiques avec les États qui sont victimes de ces agissements, et de protéger l’économie de ces États et, si nécessaire, celle de la Belgique et d’autres États membres de l’Union européenne » (voyez le point A.23.2. de l’arrêt </w:t>
      </w:r>
      <w:r w:rsidRPr="00E72418">
        <w:rPr>
          <w:szCs w:val="20"/>
        </w:rPr>
        <w:t xml:space="preserve">n° 61/2018 de la Cour. Sur cette décision, voyez notamment </w:t>
      </w:r>
      <w:r w:rsidRPr="00E72418">
        <w:rPr>
          <w:i/>
          <w:szCs w:val="20"/>
        </w:rPr>
        <w:t>supra</w:t>
      </w:r>
      <w:r w:rsidRPr="00E72418">
        <w:rPr>
          <w:szCs w:val="20"/>
        </w:rPr>
        <w:t xml:space="preserve"> n° 334</w:t>
      </w:r>
      <w:r w:rsidRPr="00E72418">
        <w:t>).</w:t>
      </w:r>
    </w:p>
  </w:footnote>
  <w:footnote w:id="2199">
    <w:p w14:paraId="4180A5EF" w14:textId="4F3F7F9C" w:rsidR="0030147D" w:rsidRPr="00E72418" w:rsidRDefault="0030147D" w:rsidP="00DA1873">
      <w:pPr>
        <w:pStyle w:val="Sansinterligne"/>
      </w:pPr>
      <w:r w:rsidRPr="00E72418">
        <w:rPr>
          <w:rStyle w:val="Appelnotedebasdep"/>
        </w:rPr>
        <w:footnoteRef/>
      </w:r>
      <w:r w:rsidRPr="00E72418">
        <w:t xml:space="preserve"> P. </w:t>
      </w:r>
      <w:r w:rsidRPr="00E72418">
        <w:rPr>
          <w:smallCaps/>
        </w:rPr>
        <w:t>Mayer</w:t>
      </w:r>
      <w:r w:rsidRPr="00E72418">
        <w:t xml:space="preserve">, V. </w:t>
      </w:r>
      <w:r w:rsidRPr="00E72418">
        <w:rPr>
          <w:smallCaps/>
        </w:rPr>
        <w:t>Heuzé</w:t>
      </w:r>
      <w:r w:rsidRPr="00E72418">
        <w:t xml:space="preserve"> et B. </w:t>
      </w:r>
      <w:r w:rsidRPr="00E72418">
        <w:rPr>
          <w:smallCaps/>
        </w:rPr>
        <w:t>Remy</w:t>
      </w:r>
      <w:r w:rsidRPr="00E72418">
        <w:t xml:space="preserve">, </w:t>
      </w:r>
      <w:r w:rsidRPr="00E72418">
        <w:rPr>
          <w:i/>
        </w:rPr>
        <w:t>Droit international privé</w:t>
      </w:r>
      <w:r w:rsidRPr="00E72418">
        <w:t xml:space="preserve">, </w:t>
      </w:r>
      <w:r w:rsidRPr="00E72418">
        <w:rPr>
          <w:i/>
        </w:rPr>
        <w:t>op. cit.</w:t>
      </w:r>
      <w:r w:rsidRPr="00E72418">
        <w:t>, pp. 102 et 103.</w:t>
      </w:r>
    </w:p>
  </w:footnote>
  <w:footnote w:id="2200">
    <w:p w14:paraId="125B3C60" w14:textId="7A21A4E6" w:rsidR="0030147D" w:rsidRPr="00E72418" w:rsidRDefault="0030147D" w:rsidP="006D51B8">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265 à 267.</w:t>
      </w:r>
    </w:p>
  </w:footnote>
  <w:footnote w:id="2201">
    <w:p w14:paraId="5127EEF0" w14:textId="3E0122F0" w:rsidR="0030147D" w:rsidRPr="00E72418" w:rsidRDefault="0030147D" w:rsidP="006D51B8">
      <w:pPr>
        <w:pStyle w:val="Sansinterligne"/>
      </w:pPr>
      <w:r w:rsidRPr="00E72418">
        <w:rPr>
          <w:rStyle w:val="Appelnotedebasdep"/>
        </w:rPr>
        <w:footnoteRef/>
      </w:r>
      <w:r w:rsidRPr="00E72418">
        <w:t xml:space="preserve"> Voyez </w:t>
      </w:r>
      <w:r w:rsidRPr="00E72418">
        <w:rPr>
          <w:i/>
        </w:rPr>
        <w:t>supra</w:t>
      </w:r>
      <w:r w:rsidRPr="00E72418">
        <w:t xml:space="preserve"> n° 268.</w:t>
      </w:r>
    </w:p>
  </w:footnote>
  <w:footnote w:id="2202">
    <w:p w14:paraId="040652A5" w14:textId="5B3408F5" w:rsidR="0030147D" w:rsidRPr="00E72418" w:rsidRDefault="0030147D" w:rsidP="006D51B8">
      <w:pPr>
        <w:pStyle w:val="Sansinterligne"/>
      </w:pPr>
      <w:r w:rsidRPr="00E72418">
        <w:rPr>
          <w:rStyle w:val="Appelnotedebasdep"/>
        </w:rPr>
        <w:footnoteRef/>
      </w:r>
      <w:r w:rsidRPr="00E72418">
        <w:t xml:space="preserve"> Voyez </w:t>
      </w:r>
      <w:r w:rsidRPr="00E72418">
        <w:rPr>
          <w:i/>
        </w:rPr>
        <w:t>supra</w:t>
      </w:r>
      <w:r w:rsidRPr="00E72418">
        <w:t xml:space="preserve"> n</w:t>
      </w:r>
      <w:r w:rsidRPr="00E72418">
        <w:rPr>
          <w:vertAlign w:val="superscript"/>
        </w:rPr>
        <w:t>os</w:t>
      </w:r>
      <w:r w:rsidRPr="00E72418">
        <w:t xml:space="preserve"> 270 et suiv.</w:t>
      </w:r>
    </w:p>
  </w:footnote>
  <w:footnote w:id="2203">
    <w:p w14:paraId="019D352C" w14:textId="1026D81A" w:rsidR="0030147D" w:rsidRPr="00E72418" w:rsidRDefault="0030147D" w:rsidP="006D51B8">
      <w:pPr>
        <w:pStyle w:val="Sansinterligne"/>
      </w:pPr>
      <w:r w:rsidRPr="00E72418">
        <w:rPr>
          <w:rStyle w:val="Appelnotedebasdep"/>
        </w:rPr>
        <w:footnoteRef/>
      </w:r>
      <w:r w:rsidRPr="00E72418">
        <w:t xml:space="preserve"> L’expression est reprise entre guillemets dans la mesure où, alors que c’était là l’idée que se faisaient </w:t>
      </w:r>
      <w:r w:rsidR="00B55498">
        <w:t xml:space="preserve">généralement </w:t>
      </w:r>
      <w:r w:rsidRPr="00E72418">
        <w:t xml:space="preserve">les législateurs concernés du phénomène qu’ils cherchaient à juguler, nous sommes d’avis que l’expression est malheureuse (voyez </w:t>
      </w:r>
      <w:r w:rsidRPr="00E72418">
        <w:rPr>
          <w:i/>
        </w:rPr>
        <w:t>supra</w:t>
      </w:r>
      <w:r w:rsidRPr="00E72418">
        <w:t xml:space="preserve"> n° 166).</w:t>
      </w:r>
    </w:p>
  </w:footnote>
  <w:footnote w:id="2204">
    <w:p w14:paraId="0BFD45EB" w14:textId="77777777" w:rsidR="0030147D" w:rsidRPr="00E72418" w:rsidRDefault="0030147D" w:rsidP="001A0A8B">
      <w:pPr>
        <w:pStyle w:val="Sansinterligne"/>
        <w:rPr>
          <w:rFonts w:ascii="Times New Roman" w:hAnsi="Times New Roman" w:cs="Times New Roman"/>
          <w:szCs w:val="20"/>
        </w:rPr>
      </w:pPr>
      <w:r w:rsidRPr="00E72418">
        <w:rPr>
          <w:rStyle w:val="Appelnotedebasdep"/>
          <w:rFonts w:ascii="Times New Roman" w:hAnsi="Times New Roman" w:cs="Times New Roman"/>
          <w:szCs w:val="20"/>
        </w:rPr>
        <w:footnoteRef/>
      </w:r>
      <w:r w:rsidRPr="00E72418">
        <w:rPr>
          <w:rFonts w:ascii="Times New Roman" w:hAnsi="Times New Roman" w:cs="Times New Roman"/>
          <w:szCs w:val="20"/>
        </w:rPr>
        <w:t xml:space="preserve"> Fonds monétaire international, </w:t>
      </w:r>
      <w:r w:rsidRPr="00E72418">
        <w:rPr>
          <w:rFonts w:ascii="Times New Roman" w:hAnsi="Times New Roman" w:cs="Times New Roman"/>
          <w:i/>
          <w:szCs w:val="20"/>
        </w:rPr>
        <w:t>The international architecture for resolving sovereign debt involving private-sector creditors – Recent developments, challenges, and reform options</w:t>
      </w:r>
      <w:r w:rsidRPr="00E72418">
        <w:rPr>
          <w:rFonts w:ascii="Times New Roman" w:hAnsi="Times New Roman" w:cs="Times New Roman"/>
          <w:szCs w:val="20"/>
        </w:rPr>
        <w:t>, 23 septembre 2020, p. 47.</w:t>
      </w:r>
    </w:p>
  </w:footnote>
  <w:footnote w:id="2205">
    <w:p w14:paraId="63F84D1A" w14:textId="74093CE8" w:rsidR="0030147D" w:rsidRPr="00E72418" w:rsidRDefault="0030147D" w:rsidP="00921BB5">
      <w:pPr>
        <w:rPr>
          <w:rFonts w:ascii="Times New Roman" w:hAnsi="Times New Roman" w:cs="Times New Roman"/>
          <w:sz w:val="20"/>
          <w:szCs w:val="20"/>
        </w:rPr>
      </w:pPr>
      <w:r w:rsidRPr="00E72418">
        <w:rPr>
          <w:rFonts w:ascii="Times New Roman" w:hAnsi="Times New Roman" w:cs="Times New Roman"/>
          <w:i/>
          <w:sz w:val="20"/>
          <w:szCs w:val="20"/>
        </w:rPr>
        <w:t>Avertissements</w:t>
      </w:r>
      <w:r w:rsidRPr="00E72418">
        <w:rPr>
          <w:rFonts w:ascii="Times New Roman" w:hAnsi="Times New Roman" w:cs="Times New Roman"/>
          <w:sz w:val="20"/>
          <w:szCs w:val="20"/>
        </w:rPr>
        <w:t xml:space="preserve"> : </w:t>
      </w:r>
    </w:p>
    <w:p w14:paraId="299C5D76" w14:textId="6C9F3D3E" w:rsidR="0030147D" w:rsidRPr="00E72418" w:rsidRDefault="0030147D" w:rsidP="00F82AEF">
      <w:pPr>
        <w:ind w:firstLine="708"/>
        <w:rPr>
          <w:rFonts w:ascii="Times New Roman" w:hAnsi="Times New Roman" w:cs="Times New Roman"/>
          <w:sz w:val="20"/>
          <w:szCs w:val="20"/>
        </w:rPr>
      </w:pPr>
      <w:r w:rsidRPr="00E72418">
        <w:rPr>
          <w:rFonts w:ascii="Times New Roman" w:hAnsi="Times New Roman" w:cs="Times New Roman"/>
          <w:sz w:val="20"/>
          <w:szCs w:val="20"/>
        </w:rPr>
        <w:t xml:space="preserve">Dans un souci de lisibilité de la partie « documents législatifs » de la bibliographie, nous avons fait le choix de n’y reprendre que les sources premières </w:t>
      </w:r>
      <w:r>
        <w:rPr>
          <w:rFonts w:ascii="Times New Roman" w:hAnsi="Times New Roman" w:cs="Times New Roman"/>
          <w:sz w:val="20"/>
          <w:szCs w:val="20"/>
        </w:rPr>
        <w:t xml:space="preserve">intéressant directement notre thématique de recherche et </w:t>
      </w:r>
      <w:r w:rsidRPr="00E72418">
        <w:rPr>
          <w:rFonts w:ascii="Times New Roman" w:hAnsi="Times New Roman" w:cs="Times New Roman"/>
          <w:sz w:val="20"/>
          <w:szCs w:val="20"/>
        </w:rPr>
        <w:t>sur lesquelles nos travaux se sont appuyés. Ainsi, n’y sont pas repris, entre autres exemples, les travaux prépartoires des lois analysées. Les documents secondaires sont évidemment référencés aux endroits où ils sont mobilisés dans le texte. Par ailleurs, les instruments classiques que sont, par exemple, les Codes civils, ne sont également pas repris.</w:t>
      </w:r>
    </w:p>
    <w:p w14:paraId="78828BC0" w14:textId="1ABF0A53" w:rsidR="0030147D" w:rsidRPr="00E72418" w:rsidRDefault="0030147D" w:rsidP="00F82AEF">
      <w:pPr>
        <w:ind w:firstLine="708"/>
        <w:rPr>
          <w:rFonts w:ascii="Times New Roman" w:hAnsi="Times New Roman" w:cs="Times New Roman"/>
          <w:sz w:val="20"/>
          <w:szCs w:val="20"/>
        </w:rPr>
      </w:pPr>
      <w:r w:rsidRPr="00E72418">
        <w:rPr>
          <w:rFonts w:ascii="Times New Roman" w:hAnsi="Times New Roman" w:cs="Times New Roman"/>
          <w:sz w:val="20"/>
          <w:szCs w:val="20"/>
        </w:rPr>
        <w:t xml:space="preserve">Dans le même souci de lisibilité, mais cette fois de la partie « doctrine », nous n’y avons repris que les sources qui sont référencées dans le </w:t>
      </w:r>
      <w:r>
        <w:rPr>
          <w:rFonts w:ascii="Times New Roman" w:hAnsi="Times New Roman" w:cs="Times New Roman"/>
          <w:sz w:val="20"/>
          <w:szCs w:val="20"/>
        </w:rPr>
        <w:t>présent texte</w:t>
      </w:r>
      <w:r w:rsidRPr="00E72418">
        <w:rPr>
          <w:rFonts w:ascii="Times New Roman" w:hAnsi="Times New Roman" w:cs="Times New Roman"/>
          <w:sz w:val="20"/>
          <w:szCs w:val="20"/>
        </w:rPr>
        <w:t xml:space="preserve">. Il en est d’autres dont la lecture a permis une meilleure compréhension de notre question de recherche mais, puisqu’elles ne sont pas en tant que telles visées dans </w:t>
      </w:r>
      <w:r>
        <w:rPr>
          <w:rFonts w:ascii="Times New Roman" w:hAnsi="Times New Roman" w:cs="Times New Roman"/>
          <w:sz w:val="20"/>
          <w:szCs w:val="20"/>
        </w:rPr>
        <w:t>le</w:t>
      </w:r>
      <w:r w:rsidRPr="00E72418">
        <w:rPr>
          <w:rFonts w:ascii="Times New Roman" w:hAnsi="Times New Roman" w:cs="Times New Roman"/>
          <w:sz w:val="20"/>
          <w:szCs w:val="20"/>
        </w:rPr>
        <w:t xml:space="preserve"> texte, ne sont pas reprises dans cette bibliographie. Nous les tenons à la disposition du lecteur qui souhaiterait en prendre connaissance.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AADA62"/>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79228BF"/>
    <w:multiLevelType w:val="hybridMultilevel"/>
    <w:tmpl w:val="331AE9DA"/>
    <w:lvl w:ilvl="0" w:tplc="E8C6A618">
      <w:start w:val="1"/>
      <w:numFmt w:val="bullet"/>
      <w:lvlText w:val="·"/>
      <w:lvlJc w:val="left"/>
      <w:pPr>
        <w:ind w:left="720" w:hanging="360"/>
      </w:pPr>
      <w:rPr>
        <w:rFonts w:ascii="Courier New" w:hAnsi="Courier New" w:hint="default"/>
      </w:rPr>
    </w:lvl>
    <w:lvl w:ilvl="1" w:tplc="E8C6A618">
      <w:start w:val="1"/>
      <w:numFmt w:val="bullet"/>
      <w:lvlText w:val="·"/>
      <w:lvlJc w:val="left"/>
      <w:pPr>
        <w:ind w:left="1440" w:hanging="360"/>
      </w:pPr>
      <w:rPr>
        <w:rFonts w:ascii="Courier New" w:hAnsi="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 w15:restartNumberingAfterBreak="0">
    <w:nsid w:val="07AE5686"/>
    <w:multiLevelType w:val="hybridMultilevel"/>
    <w:tmpl w:val="32CE4F96"/>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 w15:restartNumberingAfterBreak="0">
    <w:nsid w:val="0A092D85"/>
    <w:multiLevelType w:val="hybridMultilevel"/>
    <w:tmpl w:val="164CCEB2"/>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4" w15:restartNumberingAfterBreak="0">
    <w:nsid w:val="0E4D4055"/>
    <w:multiLevelType w:val="hybridMultilevel"/>
    <w:tmpl w:val="64C0A03C"/>
    <w:lvl w:ilvl="0" w:tplc="E8C6A618">
      <w:start w:val="1"/>
      <w:numFmt w:val="bullet"/>
      <w:lvlText w:val="·"/>
      <w:lvlJc w:val="left"/>
      <w:pPr>
        <w:ind w:left="720" w:hanging="360"/>
      </w:pPr>
      <w:rPr>
        <w:rFonts w:ascii="Courier New" w:hAnsi="Courier New"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C7B62F4"/>
    <w:multiLevelType w:val="hybridMultilevel"/>
    <w:tmpl w:val="277ADE4C"/>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359D0EEE"/>
    <w:multiLevelType w:val="hybridMultilevel"/>
    <w:tmpl w:val="4300A9FE"/>
    <w:lvl w:ilvl="0" w:tplc="0F209D0C">
      <w:start w:val="6"/>
      <w:numFmt w:val="upperLetter"/>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7" w15:restartNumberingAfterBreak="0">
    <w:nsid w:val="36B1543F"/>
    <w:multiLevelType w:val="hybridMultilevel"/>
    <w:tmpl w:val="611262CE"/>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8" w15:restartNumberingAfterBreak="0">
    <w:nsid w:val="384D0FC5"/>
    <w:multiLevelType w:val="hybridMultilevel"/>
    <w:tmpl w:val="8CB2F65C"/>
    <w:lvl w:ilvl="0" w:tplc="E8C6A618">
      <w:start w:val="1"/>
      <w:numFmt w:val="bullet"/>
      <w:lvlText w:val="·"/>
      <w:lvlJc w:val="left"/>
      <w:pPr>
        <w:ind w:left="720" w:hanging="360"/>
      </w:pPr>
      <w:rPr>
        <w:rFonts w:ascii="Courier New" w:hAnsi="Courier New" w:cs="Times New Roman" w:hint="default"/>
      </w:rPr>
    </w:lvl>
    <w:lvl w:ilvl="1" w:tplc="E8C6A618">
      <w:start w:val="1"/>
      <w:numFmt w:val="bullet"/>
      <w:lvlText w:val="·"/>
      <w:lvlJc w:val="left"/>
      <w:pPr>
        <w:ind w:left="1440" w:hanging="360"/>
      </w:pPr>
      <w:rPr>
        <w:rFonts w:ascii="Courier New" w:hAnsi="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9" w15:restartNumberingAfterBreak="0">
    <w:nsid w:val="3BFD0D11"/>
    <w:multiLevelType w:val="hybridMultilevel"/>
    <w:tmpl w:val="8AC29DC0"/>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0" w15:restartNumberingAfterBreak="0">
    <w:nsid w:val="3C2A6969"/>
    <w:multiLevelType w:val="hybridMultilevel"/>
    <w:tmpl w:val="6A944800"/>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1" w15:restartNumberingAfterBreak="0">
    <w:nsid w:val="478E4F7A"/>
    <w:multiLevelType w:val="hybridMultilevel"/>
    <w:tmpl w:val="89CAB16C"/>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2" w15:restartNumberingAfterBreak="0">
    <w:nsid w:val="4B7635C9"/>
    <w:multiLevelType w:val="hybridMultilevel"/>
    <w:tmpl w:val="D2F0F536"/>
    <w:lvl w:ilvl="0" w:tplc="E8C6A618">
      <w:start w:val="1"/>
      <w:numFmt w:val="bullet"/>
      <w:lvlText w:val="·"/>
      <w:lvlJc w:val="left"/>
      <w:pPr>
        <w:ind w:left="720" w:hanging="360"/>
      </w:pPr>
      <w:rPr>
        <w:rFonts w:ascii="Courier New" w:hAnsi="Courier New" w:cs="Times New Roman" w:hint="default"/>
      </w:rPr>
    </w:lvl>
    <w:lvl w:ilvl="1" w:tplc="E8C6A618">
      <w:start w:val="1"/>
      <w:numFmt w:val="bullet"/>
      <w:lvlText w:val="·"/>
      <w:lvlJc w:val="left"/>
      <w:pPr>
        <w:ind w:left="1440" w:hanging="360"/>
      </w:pPr>
      <w:rPr>
        <w:rFonts w:ascii="Courier New" w:hAnsi="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3" w15:restartNumberingAfterBreak="0">
    <w:nsid w:val="4D282B3A"/>
    <w:multiLevelType w:val="hybridMultilevel"/>
    <w:tmpl w:val="0E02BCB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4" w15:restartNumberingAfterBreak="0">
    <w:nsid w:val="4DDC399B"/>
    <w:multiLevelType w:val="hybridMultilevel"/>
    <w:tmpl w:val="0E02BCB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5" w15:restartNumberingAfterBreak="0">
    <w:nsid w:val="4DE62F0C"/>
    <w:multiLevelType w:val="hybridMultilevel"/>
    <w:tmpl w:val="5394B332"/>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6" w15:restartNumberingAfterBreak="0">
    <w:nsid w:val="4F1B76AD"/>
    <w:multiLevelType w:val="hybridMultilevel"/>
    <w:tmpl w:val="0E02BCB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7" w15:restartNumberingAfterBreak="0">
    <w:nsid w:val="56C04601"/>
    <w:multiLevelType w:val="hybridMultilevel"/>
    <w:tmpl w:val="95009E76"/>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8" w15:restartNumberingAfterBreak="0">
    <w:nsid w:val="58C42E70"/>
    <w:multiLevelType w:val="hybridMultilevel"/>
    <w:tmpl w:val="2202FC3A"/>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9" w15:restartNumberingAfterBreak="0">
    <w:nsid w:val="5DB12C03"/>
    <w:multiLevelType w:val="hybridMultilevel"/>
    <w:tmpl w:val="D23606EA"/>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0" w15:restartNumberingAfterBreak="0">
    <w:nsid w:val="61653609"/>
    <w:multiLevelType w:val="hybridMultilevel"/>
    <w:tmpl w:val="4F7CA5BE"/>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1" w15:restartNumberingAfterBreak="0">
    <w:nsid w:val="64D51392"/>
    <w:multiLevelType w:val="hybridMultilevel"/>
    <w:tmpl w:val="08B6836C"/>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2" w15:restartNumberingAfterBreak="0">
    <w:nsid w:val="67712F3E"/>
    <w:multiLevelType w:val="hybridMultilevel"/>
    <w:tmpl w:val="4BF0ADF8"/>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3" w15:restartNumberingAfterBreak="0">
    <w:nsid w:val="6BD35F29"/>
    <w:multiLevelType w:val="hybridMultilevel"/>
    <w:tmpl w:val="0E02BCB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4" w15:restartNumberingAfterBreak="0">
    <w:nsid w:val="6D8440F0"/>
    <w:multiLevelType w:val="hybridMultilevel"/>
    <w:tmpl w:val="DABACE2C"/>
    <w:lvl w:ilvl="0" w:tplc="E8C6A618">
      <w:start w:val="1"/>
      <w:numFmt w:val="bullet"/>
      <w:lvlText w:val="·"/>
      <w:lvlJc w:val="left"/>
      <w:pPr>
        <w:ind w:left="720" w:hanging="360"/>
      </w:pPr>
      <w:rPr>
        <w:rFonts w:ascii="Courier New" w:hAnsi="Courier New" w:cs="Times New Roman" w:hint="default"/>
      </w:rPr>
    </w:lvl>
    <w:lvl w:ilvl="1" w:tplc="080C0019">
      <w:start w:val="1"/>
      <w:numFmt w:val="lowerLetter"/>
      <w:lvlText w:val="%2."/>
      <w:lvlJc w:val="left"/>
      <w:pPr>
        <w:ind w:left="1440" w:hanging="360"/>
      </w:pPr>
    </w:lvl>
    <w:lvl w:ilvl="2" w:tplc="080C001B">
      <w:start w:val="1"/>
      <w:numFmt w:val="lowerRoman"/>
      <w:lvlText w:val="%3."/>
      <w:lvlJc w:val="right"/>
      <w:pPr>
        <w:ind w:left="2160" w:hanging="180"/>
      </w:pPr>
    </w:lvl>
    <w:lvl w:ilvl="3" w:tplc="080C000F">
      <w:start w:val="1"/>
      <w:numFmt w:val="decimal"/>
      <w:lvlText w:val="%4."/>
      <w:lvlJc w:val="left"/>
      <w:pPr>
        <w:ind w:left="2880" w:hanging="360"/>
      </w:pPr>
    </w:lvl>
    <w:lvl w:ilvl="4" w:tplc="080C0019">
      <w:start w:val="1"/>
      <w:numFmt w:val="lowerLetter"/>
      <w:lvlText w:val="%5."/>
      <w:lvlJc w:val="left"/>
      <w:pPr>
        <w:ind w:left="3600" w:hanging="360"/>
      </w:pPr>
    </w:lvl>
    <w:lvl w:ilvl="5" w:tplc="080C001B">
      <w:start w:val="1"/>
      <w:numFmt w:val="lowerRoman"/>
      <w:lvlText w:val="%6."/>
      <w:lvlJc w:val="right"/>
      <w:pPr>
        <w:ind w:left="4320" w:hanging="180"/>
      </w:pPr>
    </w:lvl>
    <w:lvl w:ilvl="6" w:tplc="080C000F">
      <w:start w:val="1"/>
      <w:numFmt w:val="decimal"/>
      <w:lvlText w:val="%7."/>
      <w:lvlJc w:val="left"/>
      <w:pPr>
        <w:ind w:left="5040" w:hanging="360"/>
      </w:pPr>
    </w:lvl>
    <w:lvl w:ilvl="7" w:tplc="080C0019">
      <w:start w:val="1"/>
      <w:numFmt w:val="lowerLetter"/>
      <w:lvlText w:val="%8."/>
      <w:lvlJc w:val="left"/>
      <w:pPr>
        <w:ind w:left="5760" w:hanging="360"/>
      </w:pPr>
    </w:lvl>
    <w:lvl w:ilvl="8" w:tplc="080C001B">
      <w:start w:val="1"/>
      <w:numFmt w:val="lowerRoman"/>
      <w:lvlText w:val="%9."/>
      <w:lvlJc w:val="right"/>
      <w:pPr>
        <w:ind w:left="6480" w:hanging="180"/>
      </w:pPr>
    </w:lvl>
  </w:abstractNum>
  <w:abstractNum w:abstractNumId="25" w15:restartNumberingAfterBreak="0">
    <w:nsid w:val="761A069B"/>
    <w:multiLevelType w:val="hybridMultilevel"/>
    <w:tmpl w:val="93189414"/>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6" w15:restartNumberingAfterBreak="0">
    <w:nsid w:val="7FE140BE"/>
    <w:multiLevelType w:val="hybridMultilevel"/>
    <w:tmpl w:val="FB8CD048"/>
    <w:lvl w:ilvl="0" w:tplc="E8C6A618">
      <w:start w:val="1"/>
      <w:numFmt w:val="bullet"/>
      <w:lvlText w:val="·"/>
      <w:lvlJc w:val="left"/>
      <w:pPr>
        <w:ind w:left="720" w:hanging="360"/>
      </w:pPr>
      <w:rPr>
        <w:rFonts w:ascii="Courier New" w:hAnsi="Courier New"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5"/>
  </w:num>
  <w:num w:numId="4">
    <w:abstractNumId w:val="6"/>
  </w:num>
  <w:num w:numId="5">
    <w:abstractNumId w:val="20"/>
  </w:num>
  <w:num w:numId="6">
    <w:abstractNumId w:val="9"/>
  </w:num>
  <w:num w:numId="7">
    <w:abstractNumId w:val="19"/>
  </w:num>
  <w:num w:numId="8">
    <w:abstractNumId w:val="3"/>
  </w:num>
  <w:num w:numId="9">
    <w:abstractNumId w:val="2"/>
  </w:num>
  <w:num w:numId="10">
    <w:abstractNumId w:val="4"/>
  </w:num>
  <w:num w:numId="11">
    <w:abstractNumId w:val="15"/>
  </w:num>
  <w:num w:numId="12">
    <w:abstractNumId w:val="25"/>
  </w:num>
  <w:num w:numId="13">
    <w:abstractNumId w:val="21"/>
  </w:num>
  <w:num w:numId="14">
    <w:abstractNumId w:val="11"/>
  </w:num>
  <w:num w:numId="15">
    <w:abstractNumId w:val="17"/>
  </w:num>
  <w:num w:numId="16">
    <w:abstractNumId w:val="1"/>
  </w:num>
  <w:num w:numId="17">
    <w:abstractNumId w:val="8"/>
  </w:num>
  <w:num w:numId="18">
    <w:abstractNumId w:val="12"/>
  </w:num>
  <w:num w:numId="19">
    <w:abstractNumId w:val="10"/>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2"/>
  </w:num>
  <w:num w:numId="23">
    <w:abstractNumId w:val="26"/>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4"/>
  </w:num>
  <w:num w:numId="27">
    <w:abstractNumId w:val="16"/>
  </w:num>
  <w:num w:numId="2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fr-BE" w:vendorID="64" w:dllVersion="131078" w:nlCheck="1" w:checkStyle="0"/>
  <w:activeWritingStyle w:appName="MSWord" w:lang="en-GB" w:vendorID="64" w:dllVersion="131078" w:nlCheck="1" w:checkStyle="1"/>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035"/>
    <w:rsid w:val="0000023E"/>
    <w:rsid w:val="000004D5"/>
    <w:rsid w:val="0000105B"/>
    <w:rsid w:val="00001231"/>
    <w:rsid w:val="000013AF"/>
    <w:rsid w:val="00001427"/>
    <w:rsid w:val="00001AC8"/>
    <w:rsid w:val="00001D31"/>
    <w:rsid w:val="000030BA"/>
    <w:rsid w:val="00003DC7"/>
    <w:rsid w:val="000042DE"/>
    <w:rsid w:val="00004E43"/>
    <w:rsid w:val="00004FDE"/>
    <w:rsid w:val="000054EC"/>
    <w:rsid w:val="000055C6"/>
    <w:rsid w:val="00006345"/>
    <w:rsid w:val="00006400"/>
    <w:rsid w:val="00006EBF"/>
    <w:rsid w:val="00007230"/>
    <w:rsid w:val="00007412"/>
    <w:rsid w:val="000078DC"/>
    <w:rsid w:val="000100DC"/>
    <w:rsid w:val="0001045C"/>
    <w:rsid w:val="000105C1"/>
    <w:rsid w:val="00010CC2"/>
    <w:rsid w:val="00010E58"/>
    <w:rsid w:val="00011E05"/>
    <w:rsid w:val="00013512"/>
    <w:rsid w:val="00013660"/>
    <w:rsid w:val="00013738"/>
    <w:rsid w:val="00013A39"/>
    <w:rsid w:val="00013EE1"/>
    <w:rsid w:val="00014394"/>
    <w:rsid w:val="000143EF"/>
    <w:rsid w:val="000147B8"/>
    <w:rsid w:val="00014929"/>
    <w:rsid w:val="00015212"/>
    <w:rsid w:val="0001537E"/>
    <w:rsid w:val="0001551A"/>
    <w:rsid w:val="00015586"/>
    <w:rsid w:val="0001676A"/>
    <w:rsid w:val="000167FD"/>
    <w:rsid w:val="00016C60"/>
    <w:rsid w:val="00016E0F"/>
    <w:rsid w:val="00017278"/>
    <w:rsid w:val="00020134"/>
    <w:rsid w:val="00020936"/>
    <w:rsid w:val="00021587"/>
    <w:rsid w:val="00022586"/>
    <w:rsid w:val="000227F9"/>
    <w:rsid w:val="00022A51"/>
    <w:rsid w:val="00023279"/>
    <w:rsid w:val="00023283"/>
    <w:rsid w:val="00024568"/>
    <w:rsid w:val="00024D6B"/>
    <w:rsid w:val="00024F26"/>
    <w:rsid w:val="00025355"/>
    <w:rsid w:val="000259FE"/>
    <w:rsid w:val="00025A8C"/>
    <w:rsid w:val="00025DAE"/>
    <w:rsid w:val="00027057"/>
    <w:rsid w:val="00027383"/>
    <w:rsid w:val="00027450"/>
    <w:rsid w:val="000275C3"/>
    <w:rsid w:val="000275F0"/>
    <w:rsid w:val="000278C1"/>
    <w:rsid w:val="000301FF"/>
    <w:rsid w:val="000312A9"/>
    <w:rsid w:val="0003149B"/>
    <w:rsid w:val="00031735"/>
    <w:rsid w:val="0003221B"/>
    <w:rsid w:val="00032243"/>
    <w:rsid w:val="0003238A"/>
    <w:rsid w:val="00032559"/>
    <w:rsid w:val="000325E9"/>
    <w:rsid w:val="00032720"/>
    <w:rsid w:val="000332F4"/>
    <w:rsid w:val="00033355"/>
    <w:rsid w:val="00033C23"/>
    <w:rsid w:val="00033C58"/>
    <w:rsid w:val="00034395"/>
    <w:rsid w:val="00036F80"/>
    <w:rsid w:val="00036FC5"/>
    <w:rsid w:val="000370B1"/>
    <w:rsid w:val="000400D3"/>
    <w:rsid w:val="000402F3"/>
    <w:rsid w:val="000404A7"/>
    <w:rsid w:val="0004079A"/>
    <w:rsid w:val="00040EC1"/>
    <w:rsid w:val="0004131E"/>
    <w:rsid w:val="0004239E"/>
    <w:rsid w:val="000429C7"/>
    <w:rsid w:val="00042E82"/>
    <w:rsid w:val="00043932"/>
    <w:rsid w:val="00043987"/>
    <w:rsid w:val="00043C7E"/>
    <w:rsid w:val="00043CBC"/>
    <w:rsid w:val="00043EC0"/>
    <w:rsid w:val="000441C6"/>
    <w:rsid w:val="000444ED"/>
    <w:rsid w:val="00044557"/>
    <w:rsid w:val="000446B7"/>
    <w:rsid w:val="00044A1A"/>
    <w:rsid w:val="00044AA3"/>
    <w:rsid w:val="00044B9B"/>
    <w:rsid w:val="0004522C"/>
    <w:rsid w:val="000453A9"/>
    <w:rsid w:val="00045449"/>
    <w:rsid w:val="00045729"/>
    <w:rsid w:val="0004589A"/>
    <w:rsid w:val="000459FC"/>
    <w:rsid w:val="00045FCA"/>
    <w:rsid w:val="000460ED"/>
    <w:rsid w:val="0004621F"/>
    <w:rsid w:val="00046720"/>
    <w:rsid w:val="000468DA"/>
    <w:rsid w:val="000478B7"/>
    <w:rsid w:val="00047A9B"/>
    <w:rsid w:val="00050109"/>
    <w:rsid w:val="0005056B"/>
    <w:rsid w:val="0005101F"/>
    <w:rsid w:val="00051616"/>
    <w:rsid w:val="00051F41"/>
    <w:rsid w:val="000521D5"/>
    <w:rsid w:val="000522B2"/>
    <w:rsid w:val="0005253E"/>
    <w:rsid w:val="000525B0"/>
    <w:rsid w:val="0005306F"/>
    <w:rsid w:val="0005336B"/>
    <w:rsid w:val="00053467"/>
    <w:rsid w:val="00053576"/>
    <w:rsid w:val="00053ED5"/>
    <w:rsid w:val="0005536F"/>
    <w:rsid w:val="00055731"/>
    <w:rsid w:val="0005598C"/>
    <w:rsid w:val="00055C11"/>
    <w:rsid w:val="0005627B"/>
    <w:rsid w:val="00056378"/>
    <w:rsid w:val="000563A9"/>
    <w:rsid w:val="00056B82"/>
    <w:rsid w:val="00056D62"/>
    <w:rsid w:val="00056D7F"/>
    <w:rsid w:val="000578BD"/>
    <w:rsid w:val="00057A40"/>
    <w:rsid w:val="000603F3"/>
    <w:rsid w:val="0006084E"/>
    <w:rsid w:val="00060C18"/>
    <w:rsid w:val="00061BCB"/>
    <w:rsid w:val="00062360"/>
    <w:rsid w:val="000626CA"/>
    <w:rsid w:val="00063D68"/>
    <w:rsid w:val="000641D7"/>
    <w:rsid w:val="00064272"/>
    <w:rsid w:val="00064670"/>
    <w:rsid w:val="00064B4A"/>
    <w:rsid w:val="00064D66"/>
    <w:rsid w:val="000651AC"/>
    <w:rsid w:val="000652ED"/>
    <w:rsid w:val="0006577A"/>
    <w:rsid w:val="000662EF"/>
    <w:rsid w:val="000667E4"/>
    <w:rsid w:val="00066868"/>
    <w:rsid w:val="00066951"/>
    <w:rsid w:val="00066A23"/>
    <w:rsid w:val="00066A46"/>
    <w:rsid w:val="00067619"/>
    <w:rsid w:val="0006764D"/>
    <w:rsid w:val="00067C09"/>
    <w:rsid w:val="00067FA3"/>
    <w:rsid w:val="000709DA"/>
    <w:rsid w:val="00070A60"/>
    <w:rsid w:val="00071479"/>
    <w:rsid w:val="000714C3"/>
    <w:rsid w:val="00071811"/>
    <w:rsid w:val="00071FB5"/>
    <w:rsid w:val="00072604"/>
    <w:rsid w:val="00073BF5"/>
    <w:rsid w:val="00073F0E"/>
    <w:rsid w:val="00074247"/>
    <w:rsid w:val="000745E2"/>
    <w:rsid w:val="00074730"/>
    <w:rsid w:val="00074B5F"/>
    <w:rsid w:val="00074E2C"/>
    <w:rsid w:val="00074E8E"/>
    <w:rsid w:val="000756DA"/>
    <w:rsid w:val="00075B17"/>
    <w:rsid w:val="00075B8A"/>
    <w:rsid w:val="0007627E"/>
    <w:rsid w:val="000764CE"/>
    <w:rsid w:val="000769E2"/>
    <w:rsid w:val="0007712C"/>
    <w:rsid w:val="00077272"/>
    <w:rsid w:val="000772C3"/>
    <w:rsid w:val="00077639"/>
    <w:rsid w:val="00077A41"/>
    <w:rsid w:val="00077C2C"/>
    <w:rsid w:val="00077F51"/>
    <w:rsid w:val="000813A1"/>
    <w:rsid w:val="000815BB"/>
    <w:rsid w:val="00081C83"/>
    <w:rsid w:val="0008209C"/>
    <w:rsid w:val="000824BE"/>
    <w:rsid w:val="000824FB"/>
    <w:rsid w:val="00082A2B"/>
    <w:rsid w:val="00082C73"/>
    <w:rsid w:val="00082E57"/>
    <w:rsid w:val="00082F04"/>
    <w:rsid w:val="000836AD"/>
    <w:rsid w:val="00083E79"/>
    <w:rsid w:val="00083F44"/>
    <w:rsid w:val="00084003"/>
    <w:rsid w:val="0008404E"/>
    <w:rsid w:val="000843AD"/>
    <w:rsid w:val="000843EA"/>
    <w:rsid w:val="000845E2"/>
    <w:rsid w:val="0008465F"/>
    <w:rsid w:val="000846C7"/>
    <w:rsid w:val="00084A45"/>
    <w:rsid w:val="00085071"/>
    <w:rsid w:val="000850B9"/>
    <w:rsid w:val="000850BF"/>
    <w:rsid w:val="000853FA"/>
    <w:rsid w:val="000857C0"/>
    <w:rsid w:val="0008637F"/>
    <w:rsid w:val="00086390"/>
    <w:rsid w:val="00086B86"/>
    <w:rsid w:val="00090322"/>
    <w:rsid w:val="00090BDA"/>
    <w:rsid w:val="00091646"/>
    <w:rsid w:val="00091A62"/>
    <w:rsid w:val="00091A68"/>
    <w:rsid w:val="00091B5E"/>
    <w:rsid w:val="00091E7D"/>
    <w:rsid w:val="000923FE"/>
    <w:rsid w:val="00092741"/>
    <w:rsid w:val="0009355F"/>
    <w:rsid w:val="00093E40"/>
    <w:rsid w:val="00093F76"/>
    <w:rsid w:val="00093FBE"/>
    <w:rsid w:val="000951C3"/>
    <w:rsid w:val="00095E92"/>
    <w:rsid w:val="00095F9F"/>
    <w:rsid w:val="00096995"/>
    <w:rsid w:val="00097087"/>
    <w:rsid w:val="0009753F"/>
    <w:rsid w:val="00097C60"/>
    <w:rsid w:val="000A07C9"/>
    <w:rsid w:val="000A086F"/>
    <w:rsid w:val="000A0D7E"/>
    <w:rsid w:val="000A11AF"/>
    <w:rsid w:val="000A1362"/>
    <w:rsid w:val="000A139C"/>
    <w:rsid w:val="000A13E6"/>
    <w:rsid w:val="000A180B"/>
    <w:rsid w:val="000A1FCB"/>
    <w:rsid w:val="000A2016"/>
    <w:rsid w:val="000A2042"/>
    <w:rsid w:val="000A222A"/>
    <w:rsid w:val="000A2D81"/>
    <w:rsid w:val="000A4067"/>
    <w:rsid w:val="000A448C"/>
    <w:rsid w:val="000A4ED1"/>
    <w:rsid w:val="000A52D5"/>
    <w:rsid w:val="000A5327"/>
    <w:rsid w:val="000A5402"/>
    <w:rsid w:val="000A551B"/>
    <w:rsid w:val="000A5548"/>
    <w:rsid w:val="000A5654"/>
    <w:rsid w:val="000A632B"/>
    <w:rsid w:val="000A645B"/>
    <w:rsid w:val="000A66ED"/>
    <w:rsid w:val="000A6EFD"/>
    <w:rsid w:val="000A7742"/>
    <w:rsid w:val="000A7980"/>
    <w:rsid w:val="000A7DB4"/>
    <w:rsid w:val="000B007B"/>
    <w:rsid w:val="000B053C"/>
    <w:rsid w:val="000B06C9"/>
    <w:rsid w:val="000B0E13"/>
    <w:rsid w:val="000B147A"/>
    <w:rsid w:val="000B1CE8"/>
    <w:rsid w:val="000B23A9"/>
    <w:rsid w:val="000B244D"/>
    <w:rsid w:val="000B29C1"/>
    <w:rsid w:val="000B2E94"/>
    <w:rsid w:val="000B3448"/>
    <w:rsid w:val="000B3ACE"/>
    <w:rsid w:val="000B3D1D"/>
    <w:rsid w:val="000B4CBA"/>
    <w:rsid w:val="000B4E3D"/>
    <w:rsid w:val="000B4E5D"/>
    <w:rsid w:val="000B4E6A"/>
    <w:rsid w:val="000B57A0"/>
    <w:rsid w:val="000B5A26"/>
    <w:rsid w:val="000B5D63"/>
    <w:rsid w:val="000B600C"/>
    <w:rsid w:val="000B6065"/>
    <w:rsid w:val="000B692E"/>
    <w:rsid w:val="000B707C"/>
    <w:rsid w:val="000C00AF"/>
    <w:rsid w:val="000C0B4E"/>
    <w:rsid w:val="000C0CB9"/>
    <w:rsid w:val="000C191E"/>
    <w:rsid w:val="000C1B64"/>
    <w:rsid w:val="000C1C9D"/>
    <w:rsid w:val="000C1E38"/>
    <w:rsid w:val="000C21AF"/>
    <w:rsid w:val="000C266A"/>
    <w:rsid w:val="000C2966"/>
    <w:rsid w:val="000C2C49"/>
    <w:rsid w:val="000C2DD8"/>
    <w:rsid w:val="000C380F"/>
    <w:rsid w:val="000C3A9D"/>
    <w:rsid w:val="000C3CEA"/>
    <w:rsid w:val="000C4049"/>
    <w:rsid w:val="000C45D9"/>
    <w:rsid w:val="000C4ED6"/>
    <w:rsid w:val="000C4F50"/>
    <w:rsid w:val="000C5A12"/>
    <w:rsid w:val="000C5B83"/>
    <w:rsid w:val="000C5D7E"/>
    <w:rsid w:val="000C5EF6"/>
    <w:rsid w:val="000C610C"/>
    <w:rsid w:val="000C61A5"/>
    <w:rsid w:val="000C65AC"/>
    <w:rsid w:val="000C6A36"/>
    <w:rsid w:val="000C7043"/>
    <w:rsid w:val="000C715A"/>
    <w:rsid w:val="000C73D1"/>
    <w:rsid w:val="000C760B"/>
    <w:rsid w:val="000C7EB0"/>
    <w:rsid w:val="000D00CD"/>
    <w:rsid w:val="000D0259"/>
    <w:rsid w:val="000D05F9"/>
    <w:rsid w:val="000D065E"/>
    <w:rsid w:val="000D0BC3"/>
    <w:rsid w:val="000D0EC3"/>
    <w:rsid w:val="000D15CC"/>
    <w:rsid w:val="000D1A1E"/>
    <w:rsid w:val="000D1FE2"/>
    <w:rsid w:val="000D2153"/>
    <w:rsid w:val="000D29D9"/>
    <w:rsid w:val="000D2B6C"/>
    <w:rsid w:val="000D2C6A"/>
    <w:rsid w:val="000D3101"/>
    <w:rsid w:val="000D37E9"/>
    <w:rsid w:val="000D4240"/>
    <w:rsid w:val="000D4EFF"/>
    <w:rsid w:val="000D5118"/>
    <w:rsid w:val="000D51AF"/>
    <w:rsid w:val="000D5E38"/>
    <w:rsid w:val="000D616D"/>
    <w:rsid w:val="000D6BA6"/>
    <w:rsid w:val="000D6DEF"/>
    <w:rsid w:val="000D7174"/>
    <w:rsid w:val="000E0541"/>
    <w:rsid w:val="000E0CB4"/>
    <w:rsid w:val="000E0D3F"/>
    <w:rsid w:val="000E0EEE"/>
    <w:rsid w:val="000E19A6"/>
    <w:rsid w:val="000E1A28"/>
    <w:rsid w:val="000E1EE0"/>
    <w:rsid w:val="000E33CD"/>
    <w:rsid w:val="000E35F7"/>
    <w:rsid w:val="000E3653"/>
    <w:rsid w:val="000E39D0"/>
    <w:rsid w:val="000E46BD"/>
    <w:rsid w:val="000E4939"/>
    <w:rsid w:val="000E4BA7"/>
    <w:rsid w:val="000E4C5D"/>
    <w:rsid w:val="000E55B0"/>
    <w:rsid w:val="000E574D"/>
    <w:rsid w:val="000E5BA1"/>
    <w:rsid w:val="000E5C8C"/>
    <w:rsid w:val="000E614F"/>
    <w:rsid w:val="000E64B7"/>
    <w:rsid w:val="000E6BB7"/>
    <w:rsid w:val="000E6CEF"/>
    <w:rsid w:val="000E71BE"/>
    <w:rsid w:val="000E72FC"/>
    <w:rsid w:val="000F061D"/>
    <w:rsid w:val="000F0EF3"/>
    <w:rsid w:val="000F0F1A"/>
    <w:rsid w:val="000F1836"/>
    <w:rsid w:val="000F1A9F"/>
    <w:rsid w:val="000F1CF3"/>
    <w:rsid w:val="000F1E35"/>
    <w:rsid w:val="000F20AD"/>
    <w:rsid w:val="000F2F62"/>
    <w:rsid w:val="000F3153"/>
    <w:rsid w:val="000F3BAB"/>
    <w:rsid w:val="000F4A0F"/>
    <w:rsid w:val="000F516A"/>
    <w:rsid w:val="000F5299"/>
    <w:rsid w:val="000F568F"/>
    <w:rsid w:val="000F5901"/>
    <w:rsid w:val="000F59CC"/>
    <w:rsid w:val="000F5FE4"/>
    <w:rsid w:val="000F6CC9"/>
    <w:rsid w:val="000F6E8F"/>
    <w:rsid w:val="000F7429"/>
    <w:rsid w:val="000F7981"/>
    <w:rsid w:val="00100AF2"/>
    <w:rsid w:val="00100F70"/>
    <w:rsid w:val="001014F6"/>
    <w:rsid w:val="00101C35"/>
    <w:rsid w:val="00101D64"/>
    <w:rsid w:val="00101FDF"/>
    <w:rsid w:val="001022A6"/>
    <w:rsid w:val="00102EBD"/>
    <w:rsid w:val="00103242"/>
    <w:rsid w:val="00103956"/>
    <w:rsid w:val="00103AEC"/>
    <w:rsid w:val="001040FD"/>
    <w:rsid w:val="00104862"/>
    <w:rsid w:val="001051E9"/>
    <w:rsid w:val="00105947"/>
    <w:rsid w:val="00105CCD"/>
    <w:rsid w:val="00105F6B"/>
    <w:rsid w:val="00105FB8"/>
    <w:rsid w:val="00106187"/>
    <w:rsid w:val="00106710"/>
    <w:rsid w:val="00106CB6"/>
    <w:rsid w:val="001075A1"/>
    <w:rsid w:val="001075E5"/>
    <w:rsid w:val="00107656"/>
    <w:rsid w:val="001076B9"/>
    <w:rsid w:val="0010778B"/>
    <w:rsid w:val="00107AFC"/>
    <w:rsid w:val="00107F00"/>
    <w:rsid w:val="0011029A"/>
    <w:rsid w:val="00110779"/>
    <w:rsid w:val="00110BAF"/>
    <w:rsid w:val="00110DDC"/>
    <w:rsid w:val="00110EC4"/>
    <w:rsid w:val="001112FA"/>
    <w:rsid w:val="00111E73"/>
    <w:rsid w:val="001124C5"/>
    <w:rsid w:val="00112DAC"/>
    <w:rsid w:val="00112DFE"/>
    <w:rsid w:val="00113707"/>
    <w:rsid w:val="00113A93"/>
    <w:rsid w:val="00113D00"/>
    <w:rsid w:val="00114086"/>
    <w:rsid w:val="0011443E"/>
    <w:rsid w:val="0011461A"/>
    <w:rsid w:val="00114D58"/>
    <w:rsid w:val="001156B2"/>
    <w:rsid w:val="00115E2D"/>
    <w:rsid w:val="0011623A"/>
    <w:rsid w:val="00116BFB"/>
    <w:rsid w:val="001172A2"/>
    <w:rsid w:val="001172F0"/>
    <w:rsid w:val="001174CC"/>
    <w:rsid w:val="001177F6"/>
    <w:rsid w:val="001178DB"/>
    <w:rsid w:val="00117AD2"/>
    <w:rsid w:val="00117BED"/>
    <w:rsid w:val="00120053"/>
    <w:rsid w:val="00120236"/>
    <w:rsid w:val="00120260"/>
    <w:rsid w:val="0012029C"/>
    <w:rsid w:val="0012068A"/>
    <w:rsid w:val="001206D9"/>
    <w:rsid w:val="001208F3"/>
    <w:rsid w:val="00120C88"/>
    <w:rsid w:val="00121C09"/>
    <w:rsid w:val="001222F5"/>
    <w:rsid w:val="00122393"/>
    <w:rsid w:val="00122A02"/>
    <w:rsid w:val="00123246"/>
    <w:rsid w:val="00123501"/>
    <w:rsid w:val="00123CAA"/>
    <w:rsid w:val="00123F80"/>
    <w:rsid w:val="00124251"/>
    <w:rsid w:val="001243C1"/>
    <w:rsid w:val="001246BD"/>
    <w:rsid w:val="0012485C"/>
    <w:rsid w:val="00124DD0"/>
    <w:rsid w:val="0012579D"/>
    <w:rsid w:val="00125AFE"/>
    <w:rsid w:val="00125D0A"/>
    <w:rsid w:val="00125D99"/>
    <w:rsid w:val="00125EFF"/>
    <w:rsid w:val="00125FC0"/>
    <w:rsid w:val="001263F0"/>
    <w:rsid w:val="00126CE6"/>
    <w:rsid w:val="00127043"/>
    <w:rsid w:val="00127AC9"/>
    <w:rsid w:val="00127C09"/>
    <w:rsid w:val="00130946"/>
    <w:rsid w:val="00130C6D"/>
    <w:rsid w:val="00130D18"/>
    <w:rsid w:val="00130F16"/>
    <w:rsid w:val="00130FFC"/>
    <w:rsid w:val="001311E8"/>
    <w:rsid w:val="0013153F"/>
    <w:rsid w:val="001315E9"/>
    <w:rsid w:val="00131D5F"/>
    <w:rsid w:val="00132024"/>
    <w:rsid w:val="001323A7"/>
    <w:rsid w:val="0013290D"/>
    <w:rsid w:val="00132CE7"/>
    <w:rsid w:val="001331AA"/>
    <w:rsid w:val="0013370D"/>
    <w:rsid w:val="0013563F"/>
    <w:rsid w:val="00135AC5"/>
    <w:rsid w:val="00135B95"/>
    <w:rsid w:val="00135F3B"/>
    <w:rsid w:val="001362A7"/>
    <w:rsid w:val="001366EB"/>
    <w:rsid w:val="00137051"/>
    <w:rsid w:val="0013731C"/>
    <w:rsid w:val="00137361"/>
    <w:rsid w:val="0013794A"/>
    <w:rsid w:val="001400FE"/>
    <w:rsid w:val="0014023F"/>
    <w:rsid w:val="001406E1"/>
    <w:rsid w:val="001408D2"/>
    <w:rsid w:val="00140B0C"/>
    <w:rsid w:val="00141788"/>
    <w:rsid w:val="00142B39"/>
    <w:rsid w:val="00142F6E"/>
    <w:rsid w:val="001430E5"/>
    <w:rsid w:val="0014319F"/>
    <w:rsid w:val="00143264"/>
    <w:rsid w:val="00143601"/>
    <w:rsid w:val="001441FE"/>
    <w:rsid w:val="00144225"/>
    <w:rsid w:val="001442EF"/>
    <w:rsid w:val="00144645"/>
    <w:rsid w:val="0014472C"/>
    <w:rsid w:val="00144A26"/>
    <w:rsid w:val="0014574F"/>
    <w:rsid w:val="00145A5A"/>
    <w:rsid w:val="001464CA"/>
    <w:rsid w:val="001469E8"/>
    <w:rsid w:val="00146B66"/>
    <w:rsid w:val="00146D9E"/>
    <w:rsid w:val="0014720F"/>
    <w:rsid w:val="001473AE"/>
    <w:rsid w:val="00147828"/>
    <w:rsid w:val="00147895"/>
    <w:rsid w:val="00147B1E"/>
    <w:rsid w:val="001505ED"/>
    <w:rsid w:val="0015094F"/>
    <w:rsid w:val="00151083"/>
    <w:rsid w:val="00151659"/>
    <w:rsid w:val="00151B86"/>
    <w:rsid w:val="00151E4E"/>
    <w:rsid w:val="00151EB7"/>
    <w:rsid w:val="00152980"/>
    <w:rsid w:val="00153288"/>
    <w:rsid w:val="00153406"/>
    <w:rsid w:val="00153A2D"/>
    <w:rsid w:val="00153C65"/>
    <w:rsid w:val="00154CFF"/>
    <w:rsid w:val="00155E6D"/>
    <w:rsid w:val="00156010"/>
    <w:rsid w:val="0015608B"/>
    <w:rsid w:val="00156763"/>
    <w:rsid w:val="001567CA"/>
    <w:rsid w:val="001602A7"/>
    <w:rsid w:val="0016052B"/>
    <w:rsid w:val="00160E14"/>
    <w:rsid w:val="001614B7"/>
    <w:rsid w:val="00161738"/>
    <w:rsid w:val="001617D6"/>
    <w:rsid w:val="00162729"/>
    <w:rsid w:val="00162746"/>
    <w:rsid w:val="00163B23"/>
    <w:rsid w:val="001646C2"/>
    <w:rsid w:val="0016490F"/>
    <w:rsid w:val="001651CA"/>
    <w:rsid w:val="001659F6"/>
    <w:rsid w:val="00165C1D"/>
    <w:rsid w:val="00166034"/>
    <w:rsid w:val="00166F08"/>
    <w:rsid w:val="00167361"/>
    <w:rsid w:val="00170662"/>
    <w:rsid w:val="0017079C"/>
    <w:rsid w:val="0017251A"/>
    <w:rsid w:val="001725C9"/>
    <w:rsid w:val="00172BFB"/>
    <w:rsid w:val="00172C46"/>
    <w:rsid w:val="00172D95"/>
    <w:rsid w:val="001734A8"/>
    <w:rsid w:val="001737E0"/>
    <w:rsid w:val="00173937"/>
    <w:rsid w:val="00173A3B"/>
    <w:rsid w:val="00174077"/>
    <w:rsid w:val="001741B8"/>
    <w:rsid w:val="001746D3"/>
    <w:rsid w:val="00174BA3"/>
    <w:rsid w:val="001751C9"/>
    <w:rsid w:val="001756BE"/>
    <w:rsid w:val="0017601F"/>
    <w:rsid w:val="0017603F"/>
    <w:rsid w:val="001760FE"/>
    <w:rsid w:val="001763E0"/>
    <w:rsid w:val="00176892"/>
    <w:rsid w:val="001768D4"/>
    <w:rsid w:val="0017725C"/>
    <w:rsid w:val="0017729F"/>
    <w:rsid w:val="001773D6"/>
    <w:rsid w:val="001775C3"/>
    <w:rsid w:val="0017762F"/>
    <w:rsid w:val="0017783A"/>
    <w:rsid w:val="001779CD"/>
    <w:rsid w:val="00177BBC"/>
    <w:rsid w:val="00177C2D"/>
    <w:rsid w:val="001806F3"/>
    <w:rsid w:val="00181210"/>
    <w:rsid w:val="0018122B"/>
    <w:rsid w:val="00182334"/>
    <w:rsid w:val="001825B4"/>
    <w:rsid w:val="001828E7"/>
    <w:rsid w:val="00182C71"/>
    <w:rsid w:val="00182DF5"/>
    <w:rsid w:val="00183103"/>
    <w:rsid w:val="00183743"/>
    <w:rsid w:val="00184267"/>
    <w:rsid w:val="001844CE"/>
    <w:rsid w:val="00184A16"/>
    <w:rsid w:val="001852AD"/>
    <w:rsid w:val="001853CB"/>
    <w:rsid w:val="001856E0"/>
    <w:rsid w:val="00185891"/>
    <w:rsid w:val="0018685C"/>
    <w:rsid w:val="00186C8E"/>
    <w:rsid w:val="00186F81"/>
    <w:rsid w:val="0019015D"/>
    <w:rsid w:val="0019016D"/>
    <w:rsid w:val="001904A4"/>
    <w:rsid w:val="001907B1"/>
    <w:rsid w:val="001913ED"/>
    <w:rsid w:val="001914F1"/>
    <w:rsid w:val="001920CA"/>
    <w:rsid w:val="00192D8B"/>
    <w:rsid w:val="00192E61"/>
    <w:rsid w:val="001938B4"/>
    <w:rsid w:val="00193F87"/>
    <w:rsid w:val="00194380"/>
    <w:rsid w:val="00194451"/>
    <w:rsid w:val="00194A6B"/>
    <w:rsid w:val="00194B05"/>
    <w:rsid w:val="00194C97"/>
    <w:rsid w:val="00194CAA"/>
    <w:rsid w:val="001956F6"/>
    <w:rsid w:val="00195B4E"/>
    <w:rsid w:val="00195B6A"/>
    <w:rsid w:val="00195E15"/>
    <w:rsid w:val="00195F6C"/>
    <w:rsid w:val="00196270"/>
    <w:rsid w:val="00196AA6"/>
    <w:rsid w:val="00196BB2"/>
    <w:rsid w:val="00196BD1"/>
    <w:rsid w:val="00196C6D"/>
    <w:rsid w:val="001971A7"/>
    <w:rsid w:val="00197328"/>
    <w:rsid w:val="001977AD"/>
    <w:rsid w:val="001A01FF"/>
    <w:rsid w:val="001A064F"/>
    <w:rsid w:val="001A0A8B"/>
    <w:rsid w:val="001A115C"/>
    <w:rsid w:val="001A156F"/>
    <w:rsid w:val="001A163B"/>
    <w:rsid w:val="001A1903"/>
    <w:rsid w:val="001A1B5C"/>
    <w:rsid w:val="001A1BFB"/>
    <w:rsid w:val="001A1FFB"/>
    <w:rsid w:val="001A2B18"/>
    <w:rsid w:val="001A3AF4"/>
    <w:rsid w:val="001A3FBA"/>
    <w:rsid w:val="001A408C"/>
    <w:rsid w:val="001A440F"/>
    <w:rsid w:val="001A4DD1"/>
    <w:rsid w:val="001A5390"/>
    <w:rsid w:val="001A541A"/>
    <w:rsid w:val="001A56A9"/>
    <w:rsid w:val="001A6427"/>
    <w:rsid w:val="001A77EF"/>
    <w:rsid w:val="001A7C42"/>
    <w:rsid w:val="001A7E21"/>
    <w:rsid w:val="001B0547"/>
    <w:rsid w:val="001B0584"/>
    <w:rsid w:val="001B0B9E"/>
    <w:rsid w:val="001B16F4"/>
    <w:rsid w:val="001B175F"/>
    <w:rsid w:val="001B1B4C"/>
    <w:rsid w:val="001B28ED"/>
    <w:rsid w:val="001B386D"/>
    <w:rsid w:val="001B38B1"/>
    <w:rsid w:val="001B3B74"/>
    <w:rsid w:val="001B42E5"/>
    <w:rsid w:val="001B48F2"/>
    <w:rsid w:val="001B4C11"/>
    <w:rsid w:val="001B57F1"/>
    <w:rsid w:val="001B6CD5"/>
    <w:rsid w:val="001B7999"/>
    <w:rsid w:val="001B7AB7"/>
    <w:rsid w:val="001B7DB4"/>
    <w:rsid w:val="001C07BE"/>
    <w:rsid w:val="001C0902"/>
    <w:rsid w:val="001C0F59"/>
    <w:rsid w:val="001C1920"/>
    <w:rsid w:val="001C1D1E"/>
    <w:rsid w:val="001C1E2C"/>
    <w:rsid w:val="001C1FFE"/>
    <w:rsid w:val="001C241B"/>
    <w:rsid w:val="001C2888"/>
    <w:rsid w:val="001C3191"/>
    <w:rsid w:val="001C32A1"/>
    <w:rsid w:val="001C3421"/>
    <w:rsid w:val="001C36C9"/>
    <w:rsid w:val="001C39D0"/>
    <w:rsid w:val="001C3B37"/>
    <w:rsid w:val="001C3DE2"/>
    <w:rsid w:val="001C4576"/>
    <w:rsid w:val="001C5011"/>
    <w:rsid w:val="001C5E3C"/>
    <w:rsid w:val="001C647E"/>
    <w:rsid w:val="001C685A"/>
    <w:rsid w:val="001C727C"/>
    <w:rsid w:val="001C73BA"/>
    <w:rsid w:val="001C73C9"/>
    <w:rsid w:val="001C77D8"/>
    <w:rsid w:val="001C7801"/>
    <w:rsid w:val="001C7AA3"/>
    <w:rsid w:val="001D0774"/>
    <w:rsid w:val="001D0B3F"/>
    <w:rsid w:val="001D0C19"/>
    <w:rsid w:val="001D0C61"/>
    <w:rsid w:val="001D104A"/>
    <w:rsid w:val="001D18BE"/>
    <w:rsid w:val="001D18CE"/>
    <w:rsid w:val="001D1F40"/>
    <w:rsid w:val="001D22F5"/>
    <w:rsid w:val="001D24F9"/>
    <w:rsid w:val="001D26EC"/>
    <w:rsid w:val="001D2C19"/>
    <w:rsid w:val="001D2CEA"/>
    <w:rsid w:val="001D327C"/>
    <w:rsid w:val="001D3B17"/>
    <w:rsid w:val="001D3E0E"/>
    <w:rsid w:val="001D4016"/>
    <w:rsid w:val="001D4034"/>
    <w:rsid w:val="001D4658"/>
    <w:rsid w:val="001D63F6"/>
    <w:rsid w:val="001D6A92"/>
    <w:rsid w:val="001D6F6A"/>
    <w:rsid w:val="001D7CFD"/>
    <w:rsid w:val="001E0FF9"/>
    <w:rsid w:val="001E1279"/>
    <w:rsid w:val="001E1889"/>
    <w:rsid w:val="001E1AE4"/>
    <w:rsid w:val="001E1DAB"/>
    <w:rsid w:val="001E210E"/>
    <w:rsid w:val="001E2256"/>
    <w:rsid w:val="001E2753"/>
    <w:rsid w:val="001E27B1"/>
    <w:rsid w:val="001E2836"/>
    <w:rsid w:val="001E2B60"/>
    <w:rsid w:val="001E2C4C"/>
    <w:rsid w:val="001E2CE5"/>
    <w:rsid w:val="001E39D4"/>
    <w:rsid w:val="001E3C24"/>
    <w:rsid w:val="001E4508"/>
    <w:rsid w:val="001E4C29"/>
    <w:rsid w:val="001E4CDD"/>
    <w:rsid w:val="001E514B"/>
    <w:rsid w:val="001E5239"/>
    <w:rsid w:val="001E5949"/>
    <w:rsid w:val="001E5C7B"/>
    <w:rsid w:val="001E5CDB"/>
    <w:rsid w:val="001E6030"/>
    <w:rsid w:val="001E62E2"/>
    <w:rsid w:val="001E6474"/>
    <w:rsid w:val="001E6E44"/>
    <w:rsid w:val="001E6F2B"/>
    <w:rsid w:val="001E7274"/>
    <w:rsid w:val="001E77CE"/>
    <w:rsid w:val="001E7AF2"/>
    <w:rsid w:val="001F0A16"/>
    <w:rsid w:val="001F120A"/>
    <w:rsid w:val="001F2192"/>
    <w:rsid w:val="001F2523"/>
    <w:rsid w:val="001F2571"/>
    <w:rsid w:val="001F2989"/>
    <w:rsid w:val="001F3496"/>
    <w:rsid w:val="001F3BE2"/>
    <w:rsid w:val="001F3D76"/>
    <w:rsid w:val="001F4278"/>
    <w:rsid w:val="001F5045"/>
    <w:rsid w:val="001F51E1"/>
    <w:rsid w:val="001F560D"/>
    <w:rsid w:val="001F57DD"/>
    <w:rsid w:val="001F5E67"/>
    <w:rsid w:val="001F60D0"/>
    <w:rsid w:val="001F62BE"/>
    <w:rsid w:val="001F64B7"/>
    <w:rsid w:val="001F689C"/>
    <w:rsid w:val="001F69E3"/>
    <w:rsid w:val="001F6C98"/>
    <w:rsid w:val="001F6CC4"/>
    <w:rsid w:val="001F72B3"/>
    <w:rsid w:val="001F739B"/>
    <w:rsid w:val="001F7424"/>
    <w:rsid w:val="00200AD7"/>
    <w:rsid w:val="00200CED"/>
    <w:rsid w:val="002011BC"/>
    <w:rsid w:val="002015B8"/>
    <w:rsid w:val="00201853"/>
    <w:rsid w:val="00201868"/>
    <w:rsid w:val="00201C14"/>
    <w:rsid w:val="00201D67"/>
    <w:rsid w:val="0020264B"/>
    <w:rsid w:val="002026B2"/>
    <w:rsid w:val="00202931"/>
    <w:rsid w:val="00202994"/>
    <w:rsid w:val="00202A3C"/>
    <w:rsid w:val="00203454"/>
    <w:rsid w:val="00203555"/>
    <w:rsid w:val="0020386F"/>
    <w:rsid w:val="00203979"/>
    <w:rsid w:val="00203EB0"/>
    <w:rsid w:val="00204B97"/>
    <w:rsid w:val="00205009"/>
    <w:rsid w:val="00205BA8"/>
    <w:rsid w:val="00206531"/>
    <w:rsid w:val="00206A9D"/>
    <w:rsid w:val="0020706F"/>
    <w:rsid w:val="0020728A"/>
    <w:rsid w:val="002076E4"/>
    <w:rsid w:val="002076FF"/>
    <w:rsid w:val="0020777B"/>
    <w:rsid w:val="00207919"/>
    <w:rsid w:val="00207BB9"/>
    <w:rsid w:val="0021008D"/>
    <w:rsid w:val="00210274"/>
    <w:rsid w:val="002107AF"/>
    <w:rsid w:val="002108B4"/>
    <w:rsid w:val="00210B34"/>
    <w:rsid w:val="00210B9D"/>
    <w:rsid w:val="002134E4"/>
    <w:rsid w:val="00213750"/>
    <w:rsid w:val="0021376A"/>
    <w:rsid w:val="00213BD6"/>
    <w:rsid w:val="00213BED"/>
    <w:rsid w:val="00213D19"/>
    <w:rsid w:val="00213FC8"/>
    <w:rsid w:val="00214655"/>
    <w:rsid w:val="00214664"/>
    <w:rsid w:val="00214735"/>
    <w:rsid w:val="00214762"/>
    <w:rsid w:val="002151AA"/>
    <w:rsid w:val="002153C5"/>
    <w:rsid w:val="0021594C"/>
    <w:rsid w:val="00215E9C"/>
    <w:rsid w:val="00216133"/>
    <w:rsid w:val="00216149"/>
    <w:rsid w:val="00216A46"/>
    <w:rsid w:val="00216C1B"/>
    <w:rsid w:val="00217231"/>
    <w:rsid w:val="0021738D"/>
    <w:rsid w:val="0021772E"/>
    <w:rsid w:val="0022029A"/>
    <w:rsid w:val="0022078C"/>
    <w:rsid w:val="00220AF8"/>
    <w:rsid w:val="00220EDF"/>
    <w:rsid w:val="00220F32"/>
    <w:rsid w:val="00221525"/>
    <w:rsid w:val="002215FF"/>
    <w:rsid w:val="00221608"/>
    <w:rsid w:val="00221754"/>
    <w:rsid w:val="002218D0"/>
    <w:rsid w:val="0022196B"/>
    <w:rsid w:val="00221BBF"/>
    <w:rsid w:val="00221E2C"/>
    <w:rsid w:val="002220F5"/>
    <w:rsid w:val="002221CB"/>
    <w:rsid w:val="0022289C"/>
    <w:rsid w:val="00222E60"/>
    <w:rsid w:val="002235B4"/>
    <w:rsid w:val="00223845"/>
    <w:rsid w:val="00223AEB"/>
    <w:rsid w:val="00223B66"/>
    <w:rsid w:val="002246A8"/>
    <w:rsid w:val="00224FDF"/>
    <w:rsid w:val="00225388"/>
    <w:rsid w:val="002254B2"/>
    <w:rsid w:val="00225C04"/>
    <w:rsid w:val="00225E51"/>
    <w:rsid w:val="00225FF4"/>
    <w:rsid w:val="00226175"/>
    <w:rsid w:val="002263AD"/>
    <w:rsid w:val="002268ED"/>
    <w:rsid w:val="0022695C"/>
    <w:rsid w:val="002272EF"/>
    <w:rsid w:val="002276D7"/>
    <w:rsid w:val="00230159"/>
    <w:rsid w:val="00230773"/>
    <w:rsid w:val="00230D18"/>
    <w:rsid w:val="00231337"/>
    <w:rsid w:val="00231448"/>
    <w:rsid w:val="00231A17"/>
    <w:rsid w:val="00231E03"/>
    <w:rsid w:val="0023242B"/>
    <w:rsid w:val="00232ACF"/>
    <w:rsid w:val="00232E41"/>
    <w:rsid w:val="002330A9"/>
    <w:rsid w:val="002332F1"/>
    <w:rsid w:val="002333FA"/>
    <w:rsid w:val="00233A2A"/>
    <w:rsid w:val="00233CDD"/>
    <w:rsid w:val="002343CF"/>
    <w:rsid w:val="0023480F"/>
    <w:rsid w:val="0023481E"/>
    <w:rsid w:val="00234A3A"/>
    <w:rsid w:val="00234F90"/>
    <w:rsid w:val="002350EF"/>
    <w:rsid w:val="002351CE"/>
    <w:rsid w:val="00235356"/>
    <w:rsid w:val="00235436"/>
    <w:rsid w:val="002356A7"/>
    <w:rsid w:val="00235765"/>
    <w:rsid w:val="00235B50"/>
    <w:rsid w:val="00235EE6"/>
    <w:rsid w:val="002362D3"/>
    <w:rsid w:val="00237802"/>
    <w:rsid w:val="00240431"/>
    <w:rsid w:val="002409AA"/>
    <w:rsid w:val="00240EEF"/>
    <w:rsid w:val="002410A3"/>
    <w:rsid w:val="002416D8"/>
    <w:rsid w:val="002416DF"/>
    <w:rsid w:val="00241877"/>
    <w:rsid w:val="00241934"/>
    <w:rsid w:val="002419FB"/>
    <w:rsid w:val="00242224"/>
    <w:rsid w:val="00242481"/>
    <w:rsid w:val="002424E9"/>
    <w:rsid w:val="00243C92"/>
    <w:rsid w:val="00243D0C"/>
    <w:rsid w:val="002446C7"/>
    <w:rsid w:val="00245568"/>
    <w:rsid w:val="00245B4B"/>
    <w:rsid w:val="00245C0C"/>
    <w:rsid w:val="00245FBD"/>
    <w:rsid w:val="00246998"/>
    <w:rsid w:val="00247195"/>
    <w:rsid w:val="0024739F"/>
    <w:rsid w:val="00247830"/>
    <w:rsid w:val="0025053A"/>
    <w:rsid w:val="002506EC"/>
    <w:rsid w:val="00250C9C"/>
    <w:rsid w:val="00250CEE"/>
    <w:rsid w:val="00250D43"/>
    <w:rsid w:val="00250DA7"/>
    <w:rsid w:val="00250EFB"/>
    <w:rsid w:val="0025120E"/>
    <w:rsid w:val="002513AE"/>
    <w:rsid w:val="00252042"/>
    <w:rsid w:val="00252113"/>
    <w:rsid w:val="0025282A"/>
    <w:rsid w:val="00252AEE"/>
    <w:rsid w:val="00252CB5"/>
    <w:rsid w:val="002533F1"/>
    <w:rsid w:val="0025346E"/>
    <w:rsid w:val="002537A1"/>
    <w:rsid w:val="00253C06"/>
    <w:rsid w:val="0025407D"/>
    <w:rsid w:val="002541E7"/>
    <w:rsid w:val="00254823"/>
    <w:rsid w:val="002549A7"/>
    <w:rsid w:val="002556A3"/>
    <w:rsid w:val="002564FA"/>
    <w:rsid w:val="002567E4"/>
    <w:rsid w:val="00256887"/>
    <w:rsid w:val="00257DE8"/>
    <w:rsid w:val="00260380"/>
    <w:rsid w:val="002607A1"/>
    <w:rsid w:val="0026087B"/>
    <w:rsid w:val="00260D07"/>
    <w:rsid w:val="00260DB0"/>
    <w:rsid w:val="00260F89"/>
    <w:rsid w:val="002611A5"/>
    <w:rsid w:val="002611B8"/>
    <w:rsid w:val="00261524"/>
    <w:rsid w:val="00261BAD"/>
    <w:rsid w:val="00262026"/>
    <w:rsid w:val="0026219F"/>
    <w:rsid w:val="0026233F"/>
    <w:rsid w:val="002625FD"/>
    <w:rsid w:val="0026278D"/>
    <w:rsid w:val="002629A8"/>
    <w:rsid w:val="00262BD3"/>
    <w:rsid w:val="002631B4"/>
    <w:rsid w:val="00263981"/>
    <w:rsid w:val="00263A84"/>
    <w:rsid w:val="00263DE6"/>
    <w:rsid w:val="00264086"/>
    <w:rsid w:val="002640E3"/>
    <w:rsid w:val="002643B6"/>
    <w:rsid w:val="00264450"/>
    <w:rsid w:val="00264480"/>
    <w:rsid w:val="00264BB3"/>
    <w:rsid w:val="00264D87"/>
    <w:rsid w:val="00266400"/>
    <w:rsid w:val="00266438"/>
    <w:rsid w:val="002665EF"/>
    <w:rsid w:val="00266FC9"/>
    <w:rsid w:val="00267007"/>
    <w:rsid w:val="002672B1"/>
    <w:rsid w:val="00267E4B"/>
    <w:rsid w:val="0027020B"/>
    <w:rsid w:val="00270304"/>
    <w:rsid w:val="002703D4"/>
    <w:rsid w:val="00270F95"/>
    <w:rsid w:val="00271BCA"/>
    <w:rsid w:val="00272ACE"/>
    <w:rsid w:val="00272D52"/>
    <w:rsid w:val="00272E03"/>
    <w:rsid w:val="00272FD1"/>
    <w:rsid w:val="002730DB"/>
    <w:rsid w:val="00273309"/>
    <w:rsid w:val="002734F7"/>
    <w:rsid w:val="002747A6"/>
    <w:rsid w:val="002749AD"/>
    <w:rsid w:val="002749DD"/>
    <w:rsid w:val="00274EA0"/>
    <w:rsid w:val="0027530A"/>
    <w:rsid w:val="00276051"/>
    <w:rsid w:val="002763E6"/>
    <w:rsid w:val="0027647E"/>
    <w:rsid w:val="00276525"/>
    <w:rsid w:val="002765CD"/>
    <w:rsid w:val="00276A42"/>
    <w:rsid w:val="002775DD"/>
    <w:rsid w:val="00277702"/>
    <w:rsid w:val="002778BA"/>
    <w:rsid w:val="00277D7D"/>
    <w:rsid w:val="00277F4B"/>
    <w:rsid w:val="00277FC6"/>
    <w:rsid w:val="0028086A"/>
    <w:rsid w:val="00280AE2"/>
    <w:rsid w:val="00280CDD"/>
    <w:rsid w:val="00280E36"/>
    <w:rsid w:val="0028141F"/>
    <w:rsid w:val="0028179E"/>
    <w:rsid w:val="00281C39"/>
    <w:rsid w:val="00281D4E"/>
    <w:rsid w:val="00282C74"/>
    <w:rsid w:val="002831D8"/>
    <w:rsid w:val="002835FE"/>
    <w:rsid w:val="00283CE6"/>
    <w:rsid w:val="00283F0F"/>
    <w:rsid w:val="00283F90"/>
    <w:rsid w:val="0028434C"/>
    <w:rsid w:val="00284585"/>
    <w:rsid w:val="0028460A"/>
    <w:rsid w:val="0028497D"/>
    <w:rsid w:val="00284EDE"/>
    <w:rsid w:val="0028528F"/>
    <w:rsid w:val="00285332"/>
    <w:rsid w:val="00285CC3"/>
    <w:rsid w:val="00286184"/>
    <w:rsid w:val="00286789"/>
    <w:rsid w:val="00287029"/>
    <w:rsid w:val="002871CC"/>
    <w:rsid w:val="00287754"/>
    <w:rsid w:val="00287D5E"/>
    <w:rsid w:val="00287E53"/>
    <w:rsid w:val="0029033E"/>
    <w:rsid w:val="0029048D"/>
    <w:rsid w:val="00290740"/>
    <w:rsid w:val="00290A92"/>
    <w:rsid w:val="00290AC4"/>
    <w:rsid w:val="00290DA5"/>
    <w:rsid w:val="002910D9"/>
    <w:rsid w:val="00291745"/>
    <w:rsid w:val="0029230E"/>
    <w:rsid w:val="002926C6"/>
    <w:rsid w:val="00292906"/>
    <w:rsid w:val="00292F1C"/>
    <w:rsid w:val="002933E6"/>
    <w:rsid w:val="00293BBD"/>
    <w:rsid w:val="00293ED2"/>
    <w:rsid w:val="00294224"/>
    <w:rsid w:val="00294324"/>
    <w:rsid w:val="00294341"/>
    <w:rsid w:val="002945DC"/>
    <w:rsid w:val="00294683"/>
    <w:rsid w:val="002948B0"/>
    <w:rsid w:val="00294A6F"/>
    <w:rsid w:val="002954F0"/>
    <w:rsid w:val="0029595F"/>
    <w:rsid w:val="002959EE"/>
    <w:rsid w:val="00296241"/>
    <w:rsid w:val="00296323"/>
    <w:rsid w:val="0029641C"/>
    <w:rsid w:val="0029693C"/>
    <w:rsid w:val="00296957"/>
    <w:rsid w:val="00296B07"/>
    <w:rsid w:val="00296C51"/>
    <w:rsid w:val="00296C5A"/>
    <w:rsid w:val="00296F23"/>
    <w:rsid w:val="002970D3"/>
    <w:rsid w:val="00297C9B"/>
    <w:rsid w:val="002A2BCE"/>
    <w:rsid w:val="002A320D"/>
    <w:rsid w:val="002A3306"/>
    <w:rsid w:val="002A353B"/>
    <w:rsid w:val="002A3665"/>
    <w:rsid w:val="002A37DC"/>
    <w:rsid w:val="002A39CA"/>
    <w:rsid w:val="002A3FDD"/>
    <w:rsid w:val="002A4564"/>
    <w:rsid w:val="002A456D"/>
    <w:rsid w:val="002A4F00"/>
    <w:rsid w:val="002A4FE9"/>
    <w:rsid w:val="002A5123"/>
    <w:rsid w:val="002A5235"/>
    <w:rsid w:val="002A52BB"/>
    <w:rsid w:val="002A54AD"/>
    <w:rsid w:val="002A5663"/>
    <w:rsid w:val="002A593B"/>
    <w:rsid w:val="002A59A7"/>
    <w:rsid w:val="002A5EF7"/>
    <w:rsid w:val="002A6997"/>
    <w:rsid w:val="002A6BD0"/>
    <w:rsid w:val="002A71EC"/>
    <w:rsid w:val="002A72C5"/>
    <w:rsid w:val="002A7B59"/>
    <w:rsid w:val="002A7D7A"/>
    <w:rsid w:val="002B0420"/>
    <w:rsid w:val="002B0B3A"/>
    <w:rsid w:val="002B0D8B"/>
    <w:rsid w:val="002B141F"/>
    <w:rsid w:val="002B165B"/>
    <w:rsid w:val="002B18B7"/>
    <w:rsid w:val="002B1EE4"/>
    <w:rsid w:val="002B2322"/>
    <w:rsid w:val="002B34B9"/>
    <w:rsid w:val="002B38D9"/>
    <w:rsid w:val="002B3ACB"/>
    <w:rsid w:val="002B3D91"/>
    <w:rsid w:val="002B3E58"/>
    <w:rsid w:val="002B46E4"/>
    <w:rsid w:val="002B513D"/>
    <w:rsid w:val="002B5AA2"/>
    <w:rsid w:val="002B5EF4"/>
    <w:rsid w:val="002B685E"/>
    <w:rsid w:val="002B799D"/>
    <w:rsid w:val="002B7B98"/>
    <w:rsid w:val="002B7CA8"/>
    <w:rsid w:val="002B7FB1"/>
    <w:rsid w:val="002C0506"/>
    <w:rsid w:val="002C0D3B"/>
    <w:rsid w:val="002C0EDC"/>
    <w:rsid w:val="002C123A"/>
    <w:rsid w:val="002C13FE"/>
    <w:rsid w:val="002C1A63"/>
    <w:rsid w:val="002C1EC4"/>
    <w:rsid w:val="002C27B1"/>
    <w:rsid w:val="002C2E9A"/>
    <w:rsid w:val="002C3720"/>
    <w:rsid w:val="002C38B7"/>
    <w:rsid w:val="002C4074"/>
    <w:rsid w:val="002C441A"/>
    <w:rsid w:val="002C444C"/>
    <w:rsid w:val="002C4505"/>
    <w:rsid w:val="002C4535"/>
    <w:rsid w:val="002C46A8"/>
    <w:rsid w:val="002C4EDB"/>
    <w:rsid w:val="002C4F3E"/>
    <w:rsid w:val="002C57CA"/>
    <w:rsid w:val="002C5B11"/>
    <w:rsid w:val="002C69B3"/>
    <w:rsid w:val="002C6A11"/>
    <w:rsid w:val="002C6EF8"/>
    <w:rsid w:val="002C73D2"/>
    <w:rsid w:val="002C7E9D"/>
    <w:rsid w:val="002D0600"/>
    <w:rsid w:val="002D06E6"/>
    <w:rsid w:val="002D0E39"/>
    <w:rsid w:val="002D118B"/>
    <w:rsid w:val="002D1407"/>
    <w:rsid w:val="002D2AF9"/>
    <w:rsid w:val="002D2C4A"/>
    <w:rsid w:val="002D2E62"/>
    <w:rsid w:val="002D2F18"/>
    <w:rsid w:val="002D3282"/>
    <w:rsid w:val="002D34EF"/>
    <w:rsid w:val="002D3736"/>
    <w:rsid w:val="002D39F3"/>
    <w:rsid w:val="002D3B30"/>
    <w:rsid w:val="002D3D3F"/>
    <w:rsid w:val="002D3DA4"/>
    <w:rsid w:val="002D3E20"/>
    <w:rsid w:val="002D3ECE"/>
    <w:rsid w:val="002D46F3"/>
    <w:rsid w:val="002D4EA6"/>
    <w:rsid w:val="002D4F78"/>
    <w:rsid w:val="002D5533"/>
    <w:rsid w:val="002D5DFC"/>
    <w:rsid w:val="002D5ECC"/>
    <w:rsid w:val="002D6500"/>
    <w:rsid w:val="002D68BC"/>
    <w:rsid w:val="002D6B48"/>
    <w:rsid w:val="002D6CEC"/>
    <w:rsid w:val="002D72A0"/>
    <w:rsid w:val="002D7558"/>
    <w:rsid w:val="002D773E"/>
    <w:rsid w:val="002D78C7"/>
    <w:rsid w:val="002D7D7D"/>
    <w:rsid w:val="002D7E78"/>
    <w:rsid w:val="002D7FD3"/>
    <w:rsid w:val="002E0126"/>
    <w:rsid w:val="002E0658"/>
    <w:rsid w:val="002E10ED"/>
    <w:rsid w:val="002E1192"/>
    <w:rsid w:val="002E150B"/>
    <w:rsid w:val="002E1D7E"/>
    <w:rsid w:val="002E1EB2"/>
    <w:rsid w:val="002E2262"/>
    <w:rsid w:val="002E238C"/>
    <w:rsid w:val="002E2BE1"/>
    <w:rsid w:val="002E2C77"/>
    <w:rsid w:val="002E2CFA"/>
    <w:rsid w:val="002E39BC"/>
    <w:rsid w:val="002E3D06"/>
    <w:rsid w:val="002E3DE5"/>
    <w:rsid w:val="002E3F0A"/>
    <w:rsid w:val="002E44D9"/>
    <w:rsid w:val="002E49EF"/>
    <w:rsid w:val="002E4BA0"/>
    <w:rsid w:val="002E4D25"/>
    <w:rsid w:val="002E4D31"/>
    <w:rsid w:val="002E503F"/>
    <w:rsid w:val="002E5188"/>
    <w:rsid w:val="002E57E0"/>
    <w:rsid w:val="002E58FD"/>
    <w:rsid w:val="002E5A8A"/>
    <w:rsid w:val="002E5AA7"/>
    <w:rsid w:val="002E62FA"/>
    <w:rsid w:val="002E7096"/>
    <w:rsid w:val="002E79EB"/>
    <w:rsid w:val="002F0448"/>
    <w:rsid w:val="002F06CB"/>
    <w:rsid w:val="002F0722"/>
    <w:rsid w:val="002F08AD"/>
    <w:rsid w:val="002F0C71"/>
    <w:rsid w:val="002F1135"/>
    <w:rsid w:val="002F11A4"/>
    <w:rsid w:val="002F11AE"/>
    <w:rsid w:val="002F12B5"/>
    <w:rsid w:val="002F1495"/>
    <w:rsid w:val="002F1AA5"/>
    <w:rsid w:val="002F1BD3"/>
    <w:rsid w:val="002F2524"/>
    <w:rsid w:val="002F25E2"/>
    <w:rsid w:val="002F280D"/>
    <w:rsid w:val="002F2D96"/>
    <w:rsid w:val="002F2FC2"/>
    <w:rsid w:val="002F36BC"/>
    <w:rsid w:val="002F3B74"/>
    <w:rsid w:val="002F40A1"/>
    <w:rsid w:val="002F4499"/>
    <w:rsid w:val="002F4568"/>
    <w:rsid w:val="002F4A4D"/>
    <w:rsid w:val="002F4A7F"/>
    <w:rsid w:val="002F5264"/>
    <w:rsid w:val="002F52BB"/>
    <w:rsid w:val="002F54C2"/>
    <w:rsid w:val="002F580E"/>
    <w:rsid w:val="002F590C"/>
    <w:rsid w:val="002F5E41"/>
    <w:rsid w:val="002F5E5D"/>
    <w:rsid w:val="002F63C7"/>
    <w:rsid w:val="002F684D"/>
    <w:rsid w:val="002F6C07"/>
    <w:rsid w:val="002F6E1B"/>
    <w:rsid w:val="002F747E"/>
    <w:rsid w:val="002F7CB2"/>
    <w:rsid w:val="002F7FBF"/>
    <w:rsid w:val="00300268"/>
    <w:rsid w:val="0030036D"/>
    <w:rsid w:val="00300538"/>
    <w:rsid w:val="003007AD"/>
    <w:rsid w:val="003009E0"/>
    <w:rsid w:val="0030147D"/>
    <w:rsid w:val="0030168B"/>
    <w:rsid w:val="00301A06"/>
    <w:rsid w:val="00301EA3"/>
    <w:rsid w:val="003020BD"/>
    <w:rsid w:val="003022FB"/>
    <w:rsid w:val="00303288"/>
    <w:rsid w:val="00303E2A"/>
    <w:rsid w:val="00303F75"/>
    <w:rsid w:val="003049FD"/>
    <w:rsid w:val="0030527A"/>
    <w:rsid w:val="00305399"/>
    <w:rsid w:val="003055DA"/>
    <w:rsid w:val="0030568D"/>
    <w:rsid w:val="0030578A"/>
    <w:rsid w:val="0030580D"/>
    <w:rsid w:val="00305DF8"/>
    <w:rsid w:val="00306E84"/>
    <w:rsid w:val="00307105"/>
    <w:rsid w:val="003101C0"/>
    <w:rsid w:val="0031028C"/>
    <w:rsid w:val="0031049F"/>
    <w:rsid w:val="00310ECC"/>
    <w:rsid w:val="00310F84"/>
    <w:rsid w:val="003114EB"/>
    <w:rsid w:val="00311FC9"/>
    <w:rsid w:val="0031207E"/>
    <w:rsid w:val="00312F6E"/>
    <w:rsid w:val="00313AEF"/>
    <w:rsid w:val="00313AF9"/>
    <w:rsid w:val="0031400A"/>
    <w:rsid w:val="00314601"/>
    <w:rsid w:val="0031516B"/>
    <w:rsid w:val="003151F8"/>
    <w:rsid w:val="0031548B"/>
    <w:rsid w:val="003154A7"/>
    <w:rsid w:val="003160FD"/>
    <w:rsid w:val="003161A2"/>
    <w:rsid w:val="00317824"/>
    <w:rsid w:val="00317E07"/>
    <w:rsid w:val="00317FE3"/>
    <w:rsid w:val="003201A2"/>
    <w:rsid w:val="003202C7"/>
    <w:rsid w:val="00320885"/>
    <w:rsid w:val="00320A12"/>
    <w:rsid w:val="00321032"/>
    <w:rsid w:val="00321A09"/>
    <w:rsid w:val="0032213F"/>
    <w:rsid w:val="00322148"/>
    <w:rsid w:val="003225A4"/>
    <w:rsid w:val="003225AF"/>
    <w:rsid w:val="003225EC"/>
    <w:rsid w:val="00322973"/>
    <w:rsid w:val="00322B56"/>
    <w:rsid w:val="0032392D"/>
    <w:rsid w:val="00324232"/>
    <w:rsid w:val="003244B5"/>
    <w:rsid w:val="003248A4"/>
    <w:rsid w:val="00324D7C"/>
    <w:rsid w:val="0032525A"/>
    <w:rsid w:val="00325374"/>
    <w:rsid w:val="003253C6"/>
    <w:rsid w:val="003256DC"/>
    <w:rsid w:val="003263DE"/>
    <w:rsid w:val="00326424"/>
    <w:rsid w:val="00326543"/>
    <w:rsid w:val="00326D33"/>
    <w:rsid w:val="003273C5"/>
    <w:rsid w:val="00327E3F"/>
    <w:rsid w:val="0033023D"/>
    <w:rsid w:val="0033093B"/>
    <w:rsid w:val="003309A5"/>
    <w:rsid w:val="00330BE9"/>
    <w:rsid w:val="00330E23"/>
    <w:rsid w:val="00330E2F"/>
    <w:rsid w:val="00331059"/>
    <w:rsid w:val="0033121F"/>
    <w:rsid w:val="00331721"/>
    <w:rsid w:val="00331BF6"/>
    <w:rsid w:val="00331FAE"/>
    <w:rsid w:val="003321DF"/>
    <w:rsid w:val="00333B4E"/>
    <w:rsid w:val="00333B57"/>
    <w:rsid w:val="00333B8F"/>
    <w:rsid w:val="00334712"/>
    <w:rsid w:val="00334BE6"/>
    <w:rsid w:val="00334DB1"/>
    <w:rsid w:val="003350F3"/>
    <w:rsid w:val="0033545A"/>
    <w:rsid w:val="0033589A"/>
    <w:rsid w:val="003358EF"/>
    <w:rsid w:val="003364AE"/>
    <w:rsid w:val="00336609"/>
    <w:rsid w:val="0033674E"/>
    <w:rsid w:val="00337354"/>
    <w:rsid w:val="00337B54"/>
    <w:rsid w:val="00340168"/>
    <w:rsid w:val="00341920"/>
    <w:rsid w:val="0034265F"/>
    <w:rsid w:val="00342D7D"/>
    <w:rsid w:val="00342E3B"/>
    <w:rsid w:val="00343D1A"/>
    <w:rsid w:val="00344471"/>
    <w:rsid w:val="003454C4"/>
    <w:rsid w:val="003459BA"/>
    <w:rsid w:val="00345E5A"/>
    <w:rsid w:val="003464FE"/>
    <w:rsid w:val="00346522"/>
    <w:rsid w:val="003466AE"/>
    <w:rsid w:val="00346FD2"/>
    <w:rsid w:val="003470D2"/>
    <w:rsid w:val="00347777"/>
    <w:rsid w:val="00347964"/>
    <w:rsid w:val="00347C60"/>
    <w:rsid w:val="00347F72"/>
    <w:rsid w:val="003507EA"/>
    <w:rsid w:val="0035086C"/>
    <w:rsid w:val="0035092D"/>
    <w:rsid w:val="00350A20"/>
    <w:rsid w:val="00350C1C"/>
    <w:rsid w:val="00350C21"/>
    <w:rsid w:val="00352176"/>
    <w:rsid w:val="003527A3"/>
    <w:rsid w:val="00353CB2"/>
    <w:rsid w:val="0035425F"/>
    <w:rsid w:val="00354DD0"/>
    <w:rsid w:val="00355508"/>
    <w:rsid w:val="00355D84"/>
    <w:rsid w:val="00356072"/>
    <w:rsid w:val="0035608B"/>
    <w:rsid w:val="003565F4"/>
    <w:rsid w:val="0035661C"/>
    <w:rsid w:val="00356804"/>
    <w:rsid w:val="0035681C"/>
    <w:rsid w:val="0035693C"/>
    <w:rsid w:val="003573AE"/>
    <w:rsid w:val="00357400"/>
    <w:rsid w:val="003576D3"/>
    <w:rsid w:val="00357CB7"/>
    <w:rsid w:val="003600DC"/>
    <w:rsid w:val="003605FD"/>
    <w:rsid w:val="003623D5"/>
    <w:rsid w:val="00362551"/>
    <w:rsid w:val="003629F8"/>
    <w:rsid w:val="00362C91"/>
    <w:rsid w:val="00362FB1"/>
    <w:rsid w:val="003633DE"/>
    <w:rsid w:val="00363474"/>
    <w:rsid w:val="00363FF7"/>
    <w:rsid w:val="003643D7"/>
    <w:rsid w:val="00364879"/>
    <w:rsid w:val="0036491F"/>
    <w:rsid w:val="00364B2B"/>
    <w:rsid w:val="00364CEE"/>
    <w:rsid w:val="00365201"/>
    <w:rsid w:val="0036541B"/>
    <w:rsid w:val="00365505"/>
    <w:rsid w:val="0036555A"/>
    <w:rsid w:val="003658BE"/>
    <w:rsid w:val="00365A2E"/>
    <w:rsid w:val="00365FC2"/>
    <w:rsid w:val="003661A6"/>
    <w:rsid w:val="00366C19"/>
    <w:rsid w:val="003673E0"/>
    <w:rsid w:val="003675E8"/>
    <w:rsid w:val="0036771C"/>
    <w:rsid w:val="00367BE3"/>
    <w:rsid w:val="00367F04"/>
    <w:rsid w:val="00370493"/>
    <w:rsid w:val="003704C6"/>
    <w:rsid w:val="0037051C"/>
    <w:rsid w:val="003705E8"/>
    <w:rsid w:val="003714CA"/>
    <w:rsid w:val="00371D48"/>
    <w:rsid w:val="0037228F"/>
    <w:rsid w:val="003722A8"/>
    <w:rsid w:val="00372979"/>
    <w:rsid w:val="00372B83"/>
    <w:rsid w:val="00372BCA"/>
    <w:rsid w:val="00372D27"/>
    <w:rsid w:val="00372D33"/>
    <w:rsid w:val="00372DFE"/>
    <w:rsid w:val="00372E1E"/>
    <w:rsid w:val="00372ED8"/>
    <w:rsid w:val="00373207"/>
    <w:rsid w:val="003735D6"/>
    <w:rsid w:val="00373B28"/>
    <w:rsid w:val="00373BE9"/>
    <w:rsid w:val="00373C14"/>
    <w:rsid w:val="00374BEE"/>
    <w:rsid w:val="00374BFC"/>
    <w:rsid w:val="00374CEA"/>
    <w:rsid w:val="00374E83"/>
    <w:rsid w:val="00375032"/>
    <w:rsid w:val="003759BB"/>
    <w:rsid w:val="00376ACE"/>
    <w:rsid w:val="00377560"/>
    <w:rsid w:val="003775B9"/>
    <w:rsid w:val="00377E0C"/>
    <w:rsid w:val="003802AF"/>
    <w:rsid w:val="00381211"/>
    <w:rsid w:val="003819FF"/>
    <w:rsid w:val="00381B3F"/>
    <w:rsid w:val="00382923"/>
    <w:rsid w:val="0038426E"/>
    <w:rsid w:val="00384E07"/>
    <w:rsid w:val="00385EFF"/>
    <w:rsid w:val="003860F6"/>
    <w:rsid w:val="0038644E"/>
    <w:rsid w:val="00386554"/>
    <w:rsid w:val="00386AB4"/>
    <w:rsid w:val="00386CFC"/>
    <w:rsid w:val="00386ED8"/>
    <w:rsid w:val="00386F1D"/>
    <w:rsid w:val="00387194"/>
    <w:rsid w:val="00387252"/>
    <w:rsid w:val="00387621"/>
    <w:rsid w:val="00387708"/>
    <w:rsid w:val="00390A88"/>
    <w:rsid w:val="00390D1B"/>
    <w:rsid w:val="0039108D"/>
    <w:rsid w:val="00391297"/>
    <w:rsid w:val="00392084"/>
    <w:rsid w:val="003935A0"/>
    <w:rsid w:val="00393F65"/>
    <w:rsid w:val="0039420D"/>
    <w:rsid w:val="003946DD"/>
    <w:rsid w:val="003948E0"/>
    <w:rsid w:val="003949AC"/>
    <w:rsid w:val="0039518B"/>
    <w:rsid w:val="0039521D"/>
    <w:rsid w:val="0039525E"/>
    <w:rsid w:val="00395449"/>
    <w:rsid w:val="00395801"/>
    <w:rsid w:val="00395C28"/>
    <w:rsid w:val="00395D59"/>
    <w:rsid w:val="00395F92"/>
    <w:rsid w:val="00396F24"/>
    <w:rsid w:val="0039722C"/>
    <w:rsid w:val="00397833"/>
    <w:rsid w:val="003A0596"/>
    <w:rsid w:val="003A11E4"/>
    <w:rsid w:val="003A130A"/>
    <w:rsid w:val="003A15D2"/>
    <w:rsid w:val="003A1B32"/>
    <w:rsid w:val="003A1BF9"/>
    <w:rsid w:val="003A2628"/>
    <w:rsid w:val="003A2829"/>
    <w:rsid w:val="003A381C"/>
    <w:rsid w:val="003A3824"/>
    <w:rsid w:val="003A3912"/>
    <w:rsid w:val="003A5206"/>
    <w:rsid w:val="003A5411"/>
    <w:rsid w:val="003A5B6C"/>
    <w:rsid w:val="003A5C72"/>
    <w:rsid w:val="003A6228"/>
    <w:rsid w:val="003A6998"/>
    <w:rsid w:val="003A6BB3"/>
    <w:rsid w:val="003A727E"/>
    <w:rsid w:val="003B02F8"/>
    <w:rsid w:val="003B0336"/>
    <w:rsid w:val="003B04B9"/>
    <w:rsid w:val="003B0B1E"/>
    <w:rsid w:val="003B0CAF"/>
    <w:rsid w:val="003B10A6"/>
    <w:rsid w:val="003B1716"/>
    <w:rsid w:val="003B2B62"/>
    <w:rsid w:val="003B2EDC"/>
    <w:rsid w:val="003B2F51"/>
    <w:rsid w:val="003B3B8A"/>
    <w:rsid w:val="003B3C4E"/>
    <w:rsid w:val="003B41EA"/>
    <w:rsid w:val="003B5A06"/>
    <w:rsid w:val="003B5B83"/>
    <w:rsid w:val="003B5BF4"/>
    <w:rsid w:val="003B5FE0"/>
    <w:rsid w:val="003B653A"/>
    <w:rsid w:val="003B66B4"/>
    <w:rsid w:val="003B6C93"/>
    <w:rsid w:val="003B71B6"/>
    <w:rsid w:val="003B7618"/>
    <w:rsid w:val="003C059B"/>
    <w:rsid w:val="003C125F"/>
    <w:rsid w:val="003C1EF4"/>
    <w:rsid w:val="003C212B"/>
    <w:rsid w:val="003C2491"/>
    <w:rsid w:val="003C2584"/>
    <w:rsid w:val="003C2684"/>
    <w:rsid w:val="003C2D8D"/>
    <w:rsid w:val="003C32DE"/>
    <w:rsid w:val="003C3618"/>
    <w:rsid w:val="003C362F"/>
    <w:rsid w:val="003C3E03"/>
    <w:rsid w:val="003C3FCC"/>
    <w:rsid w:val="003C487F"/>
    <w:rsid w:val="003C4B10"/>
    <w:rsid w:val="003C4DA2"/>
    <w:rsid w:val="003C570E"/>
    <w:rsid w:val="003C66B0"/>
    <w:rsid w:val="003C6998"/>
    <w:rsid w:val="003C6CB1"/>
    <w:rsid w:val="003C6E97"/>
    <w:rsid w:val="003C779D"/>
    <w:rsid w:val="003D036A"/>
    <w:rsid w:val="003D0760"/>
    <w:rsid w:val="003D085E"/>
    <w:rsid w:val="003D0B26"/>
    <w:rsid w:val="003D0BCB"/>
    <w:rsid w:val="003D1042"/>
    <w:rsid w:val="003D1252"/>
    <w:rsid w:val="003D13B2"/>
    <w:rsid w:val="003D16A2"/>
    <w:rsid w:val="003D1C60"/>
    <w:rsid w:val="003D1D05"/>
    <w:rsid w:val="003D20F2"/>
    <w:rsid w:val="003D2BF9"/>
    <w:rsid w:val="003D2DD9"/>
    <w:rsid w:val="003D310F"/>
    <w:rsid w:val="003D31ED"/>
    <w:rsid w:val="003D33E7"/>
    <w:rsid w:val="003D382F"/>
    <w:rsid w:val="003D3AD5"/>
    <w:rsid w:val="003D4BD6"/>
    <w:rsid w:val="003D5517"/>
    <w:rsid w:val="003D5693"/>
    <w:rsid w:val="003D5CA4"/>
    <w:rsid w:val="003D5F51"/>
    <w:rsid w:val="003D5F96"/>
    <w:rsid w:val="003D636E"/>
    <w:rsid w:val="003D681C"/>
    <w:rsid w:val="003D6CFE"/>
    <w:rsid w:val="003D6F14"/>
    <w:rsid w:val="003D6F2D"/>
    <w:rsid w:val="003D7049"/>
    <w:rsid w:val="003D71CD"/>
    <w:rsid w:val="003D7792"/>
    <w:rsid w:val="003D790F"/>
    <w:rsid w:val="003D7F91"/>
    <w:rsid w:val="003E0ACA"/>
    <w:rsid w:val="003E102F"/>
    <w:rsid w:val="003E1426"/>
    <w:rsid w:val="003E232A"/>
    <w:rsid w:val="003E2AB2"/>
    <w:rsid w:val="003E340B"/>
    <w:rsid w:val="003E382B"/>
    <w:rsid w:val="003E3A69"/>
    <w:rsid w:val="003E3D1D"/>
    <w:rsid w:val="003E42D6"/>
    <w:rsid w:val="003E4D2D"/>
    <w:rsid w:val="003E53E6"/>
    <w:rsid w:val="003E597E"/>
    <w:rsid w:val="003E5B38"/>
    <w:rsid w:val="003E5DA4"/>
    <w:rsid w:val="003E65CA"/>
    <w:rsid w:val="003E6C54"/>
    <w:rsid w:val="003E7828"/>
    <w:rsid w:val="003E7923"/>
    <w:rsid w:val="003F0194"/>
    <w:rsid w:val="003F09AF"/>
    <w:rsid w:val="003F0F73"/>
    <w:rsid w:val="003F0FC9"/>
    <w:rsid w:val="003F1656"/>
    <w:rsid w:val="003F1B3A"/>
    <w:rsid w:val="003F1C54"/>
    <w:rsid w:val="003F1FC5"/>
    <w:rsid w:val="003F1FD3"/>
    <w:rsid w:val="003F20EC"/>
    <w:rsid w:val="003F2BE5"/>
    <w:rsid w:val="003F2C7B"/>
    <w:rsid w:val="003F2E0F"/>
    <w:rsid w:val="003F3455"/>
    <w:rsid w:val="003F34FD"/>
    <w:rsid w:val="003F3C67"/>
    <w:rsid w:val="003F3EA3"/>
    <w:rsid w:val="003F4523"/>
    <w:rsid w:val="003F6363"/>
    <w:rsid w:val="003F6C32"/>
    <w:rsid w:val="003F7797"/>
    <w:rsid w:val="003F79A4"/>
    <w:rsid w:val="004000B1"/>
    <w:rsid w:val="004002BE"/>
    <w:rsid w:val="0040067C"/>
    <w:rsid w:val="004007D2"/>
    <w:rsid w:val="00400ECA"/>
    <w:rsid w:val="00401048"/>
    <w:rsid w:val="00401C1E"/>
    <w:rsid w:val="00401C5A"/>
    <w:rsid w:val="004027C9"/>
    <w:rsid w:val="0040291E"/>
    <w:rsid w:val="00402CF0"/>
    <w:rsid w:val="00403801"/>
    <w:rsid w:val="00404DB7"/>
    <w:rsid w:val="00405057"/>
    <w:rsid w:val="00405098"/>
    <w:rsid w:val="00406088"/>
    <w:rsid w:val="004060B7"/>
    <w:rsid w:val="004063A5"/>
    <w:rsid w:val="00406467"/>
    <w:rsid w:val="00406A14"/>
    <w:rsid w:val="00406E32"/>
    <w:rsid w:val="00407942"/>
    <w:rsid w:val="00407A9E"/>
    <w:rsid w:val="00407B73"/>
    <w:rsid w:val="00407FDB"/>
    <w:rsid w:val="00407FDE"/>
    <w:rsid w:val="004100A0"/>
    <w:rsid w:val="0041018E"/>
    <w:rsid w:val="004103C9"/>
    <w:rsid w:val="004106B1"/>
    <w:rsid w:val="00410A47"/>
    <w:rsid w:val="00410AA1"/>
    <w:rsid w:val="00410B0F"/>
    <w:rsid w:val="00411492"/>
    <w:rsid w:val="00411AF9"/>
    <w:rsid w:val="00411D28"/>
    <w:rsid w:val="0041224C"/>
    <w:rsid w:val="00413A86"/>
    <w:rsid w:val="00413D5A"/>
    <w:rsid w:val="00414408"/>
    <w:rsid w:val="004149EA"/>
    <w:rsid w:val="0041512C"/>
    <w:rsid w:val="00415FD2"/>
    <w:rsid w:val="00416642"/>
    <w:rsid w:val="00416705"/>
    <w:rsid w:val="00416E84"/>
    <w:rsid w:val="004171C5"/>
    <w:rsid w:val="00417CC4"/>
    <w:rsid w:val="00420C2B"/>
    <w:rsid w:val="00420DD7"/>
    <w:rsid w:val="00421102"/>
    <w:rsid w:val="00421385"/>
    <w:rsid w:val="004214A9"/>
    <w:rsid w:val="0042210F"/>
    <w:rsid w:val="00422CC8"/>
    <w:rsid w:val="00422D49"/>
    <w:rsid w:val="00422FAD"/>
    <w:rsid w:val="00423062"/>
    <w:rsid w:val="0042351C"/>
    <w:rsid w:val="00423B60"/>
    <w:rsid w:val="00423C96"/>
    <w:rsid w:val="0042400D"/>
    <w:rsid w:val="00424087"/>
    <w:rsid w:val="00424E72"/>
    <w:rsid w:val="004250CC"/>
    <w:rsid w:val="00425111"/>
    <w:rsid w:val="0042530D"/>
    <w:rsid w:val="00425E35"/>
    <w:rsid w:val="00426228"/>
    <w:rsid w:val="0042665E"/>
    <w:rsid w:val="004268F2"/>
    <w:rsid w:val="00426B04"/>
    <w:rsid w:val="00426F66"/>
    <w:rsid w:val="0042758A"/>
    <w:rsid w:val="004276FA"/>
    <w:rsid w:val="00427B7F"/>
    <w:rsid w:val="00430471"/>
    <w:rsid w:val="00430A10"/>
    <w:rsid w:val="00430FD0"/>
    <w:rsid w:val="004314D7"/>
    <w:rsid w:val="0043159E"/>
    <w:rsid w:val="00431812"/>
    <w:rsid w:val="0043198B"/>
    <w:rsid w:val="00431B14"/>
    <w:rsid w:val="004324D0"/>
    <w:rsid w:val="00432819"/>
    <w:rsid w:val="00433328"/>
    <w:rsid w:val="00433462"/>
    <w:rsid w:val="00433532"/>
    <w:rsid w:val="00433A00"/>
    <w:rsid w:val="00433B65"/>
    <w:rsid w:val="00433B83"/>
    <w:rsid w:val="00433E67"/>
    <w:rsid w:val="0043433A"/>
    <w:rsid w:val="00434ACC"/>
    <w:rsid w:val="00434AF5"/>
    <w:rsid w:val="00434C0C"/>
    <w:rsid w:val="00435D16"/>
    <w:rsid w:val="00435E98"/>
    <w:rsid w:val="004367D9"/>
    <w:rsid w:val="00436891"/>
    <w:rsid w:val="00436A81"/>
    <w:rsid w:val="0044014E"/>
    <w:rsid w:val="0044071B"/>
    <w:rsid w:val="0044093F"/>
    <w:rsid w:val="0044103C"/>
    <w:rsid w:val="00442F49"/>
    <w:rsid w:val="00443144"/>
    <w:rsid w:val="004431D4"/>
    <w:rsid w:val="004437D5"/>
    <w:rsid w:val="00443BA7"/>
    <w:rsid w:val="00444645"/>
    <w:rsid w:val="004449B7"/>
    <w:rsid w:val="00444D4B"/>
    <w:rsid w:val="00444F1F"/>
    <w:rsid w:val="004450A2"/>
    <w:rsid w:val="0044552B"/>
    <w:rsid w:val="0044558C"/>
    <w:rsid w:val="00445619"/>
    <w:rsid w:val="00445A4E"/>
    <w:rsid w:val="00445D0C"/>
    <w:rsid w:val="00445E0E"/>
    <w:rsid w:val="00446589"/>
    <w:rsid w:val="004467E8"/>
    <w:rsid w:val="004469AC"/>
    <w:rsid w:val="00446B7A"/>
    <w:rsid w:val="00447737"/>
    <w:rsid w:val="00450095"/>
    <w:rsid w:val="004509FC"/>
    <w:rsid w:val="00450D4C"/>
    <w:rsid w:val="0045107E"/>
    <w:rsid w:val="00451AE5"/>
    <w:rsid w:val="00451D52"/>
    <w:rsid w:val="0045255E"/>
    <w:rsid w:val="00452DF5"/>
    <w:rsid w:val="00452E98"/>
    <w:rsid w:val="00452EB3"/>
    <w:rsid w:val="00453486"/>
    <w:rsid w:val="00453575"/>
    <w:rsid w:val="00453892"/>
    <w:rsid w:val="00454274"/>
    <w:rsid w:val="00454342"/>
    <w:rsid w:val="0045444D"/>
    <w:rsid w:val="004548A8"/>
    <w:rsid w:val="00455026"/>
    <w:rsid w:val="004551B8"/>
    <w:rsid w:val="00455321"/>
    <w:rsid w:val="00456498"/>
    <w:rsid w:val="004565F9"/>
    <w:rsid w:val="00456A62"/>
    <w:rsid w:val="00456D29"/>
    <w:rsid w:val="0045737E"/>
    <w:rsid w:val="00457B55"/>
    <w:rsid w:val="00460015"/>
    <w:rsid w:val="00460455"/>
    <w:rsid w:val="00460A65"/>
    <w:rsid w:val="00460A98"/>
    <w:rsid w:val="00460CFC"/>
    <w:rsid w:val="004610A8"/>
    <w:rsid w:val="00461D85"/>
    <w:rsid w:val="00462013"/>
    <w:rsid w:val="00462236"/>
    <w:rsid w:val="0046245D"/>
    <w:rsid w:val="004624D1"/>
    <w:rsid w:val="00462CD0"/>
    <w:rsid w:val="00463960"/>
    <w:rsid w:val="00463F58"/>
    <w:rsid w:val="00463F85"/>
    <w:rsid w:val="004645F3"/>
    <w:rsid w:val="00464D3A"/>
    <w:rsid w:val="00464E90"/>
    <w:rsid w:val="00465DCC"/>
    <w:rsid w:val="00465E67"/>
    <w:rsid w:val="004662CD"/>
    <w:rsid w:val="004665B1"/>
    <w:rsid w:val="00466CAE"/>
    <w:rsid w:val="00466D64"/>
    <w:rsid w:val="00467190"/>
    <w:rsid w:val="004676DE"/>
    <w:rsid w:val="00467DB3"/>
    <w:rsid w:val="00467DD5"/>
    <w:rsid w:val="00467FC6"/>
    <w:rsid w:val="00470F74"/>
    <w:rsid w:val="00471ABD"/>
    <w:rsid w:val="00471BD6"/>
    <w:rsid w:val="004721AA"/>
    <w:rsid w:val="0047277A"/>
    <w:rsid w:val="00472DEF"/>
    <w:rsid w:val="0047304C"/>
    <w:rsid w:val="00473BB7"/>
    <w:rsid w:val="004748BE"/>
    <w:rsid w:val="004752AF"/>
    <w:rsid w:val="00476ACB"/>
    <w:rsid w:val="00476EFC"/>
    <w:rsid w:val="004775AA"/>
    <w:rsid w:val="004800E4"/>
    <w:rsid w:val="00480200"/>
    <w:rsid w:val="004804D8"/>
    <w:rsid w:val="004809AD"/>
    <w:rsid w:val="004816EF"/>
    <w:rsid w:val="00481E8E"/>
    <w:rsid w:val="00483804"/>
    <w:rsid w:val="00483BE2"/>
    <w:rsid w:val="00483E7E"/>
    <w:rsid w:val="0048425C"/>
    <w:rsid w:val="004844FE"/>
    <w:rsid w:val="00484ABB"/>
    <w:rsid w:val="0048505C"/>
    <w:rsid w:val="00485466"/>
    <w:rsid w:val="004855A9"/>
    <w:rsid w:val="0048584D"/>
    <w:rsid w:val="00485F3A"/>
    <w:rsid w:val="00485FA8"/>
    <w:rsid w:val="00486978"/>
    <w:rsid w:val="00486CDC"/>
    <w:rsid w:val="00487693"/>
    <w:rsid w:val="004879FD"/>
    <w:rsid w:val="00487A0D"/>
    <w:rsid w:val="00490243"/>
    <w:rsid w:val="004903E9"/>
    <w:rsid w:val="00490AE7"/>
    <w:rsid w:val="00490BBB"/>
    <w:rsid w:val="00490C69"/>
    <w:rsid w:val="0049121F"/>
    <w:rsid w:val="00491290"/>
    <w:rsid w:val="004912FA"/>
    <w:rsid w:val="004915EB"/>
    <w:rsid w:val="00491CAE"/>
    <w:rsid w:val="00491E38"/>
    <w:rsid w:val="00492281"/>
    <w:rsid w:val="004927F0"/>
    <w:rsid w:val="00492CD0"/>
    <w:rsid w:val="004940CC"/>
    <w:rsid w:val="0049424F"/>
    <w:rsid w:val="00494311"/>
    <w:rsid w:val="004943C1"/>
    <w:rsid w:val="004943D1"/>
    <w:rsid w:val="004948D9"/>
    <w:rsid w:val="00494BAA"/>
    <w:rsid w:val="00494D68"/>
    <w:rsid w:val="00495480"/>
    <w:rsid w:val="004959D2"/>
    <w:rsid w:val="00495B79"/>
    <w:rsid w:val="0049606C"/>
    <w:rsid w:val="00496B0A"/>
    <w:rsid w:val="00497141"/>
    <w:rsid w:val="004971F3"/>
    <w:rsid w:val="00497A8D"/>
    <w:rsid w:val="004A0552"/>
    <w:rsid w:val="004A05D9"/>
    <w:rsid w:val="004A08DF"/>
    <w:rsid w:val="004A0A1F"/>
    <w:rsid w:val="004A1053"/>
    <w:rsid w:val="004A113E"/>
    <w:rsid w:val="004A135C"/>
    <w:rsid w:val="004A15D1"/>
    <w:rsid w:val="004A19D4"/>
    <w:rsid w:val="004A19E9"/>
    <w:rsid w:val="004A1C1D"/>
    <w:rsid w:val="004A2184"/>
    <w:rsid w:val="004A2437"/>
    <w:rsid w:val="004A248F"/>
    <w:rsid w:val="004A265D"/>
    <w:rsid w:val="004A2729"/>
    <w:rsid w:val="004A358F"/>
    <w:rsid w:val="004A3676"/>
    <w:rsid w:val="004A3DA9"/>
    <w:rsid w:val="004A4B7E"/>
    <w:rsid w:val="004A4C17"/>
    <w:rsid w:val="004A4F70"/>
    <w:rsid w:val="004A593D"/>
    <w:rsid w:val="004A5B7D"/>
    <w:rsid w:val="004A5CA6"/>
    <w:rsid w:val="004A5FE7"/>
    <w:rsid w:val="004A6403"/>
    <w:rsid w:val="004A66E3"/>
    <w:rsid w:val="004A68E1"/>
    <w:rsid w:val="004A6C31"/>
    <w:rsid w:val="004A74A0"/>
    <w:rsid w:val="004A760D"/>
    <w:rsid w:val="004A786F"/>
    <w:rsid w:val="004A7C10"/>
    <w:rsid w:val="004B099A"/>
    <w:rsid w:val="004B0FA3"/>
    <w:rsid w:val="004B1057"/>
    <w:rsid w:val="004B14B2"/>
    <w:rsid w:val="004B165E"/>
    <w:rsid w:val="004B190D"/>
    <w:rsid w:val="004B19D9"/>
    <w:rsid w:val="004B1AD5"/>
    <w:rsid w:val="004B2521"/>
    <w:rsid w:val="004B28DC"/>
    <w:rsid w:val="004B2993"/>
    <w:rsid w:val="004B2EFF"/>
    <w:rsid w:val="004B2F06"/>
    <w:rsid w:val="004B31DB"/>
    <w:rsid w:val="004B34F0"/>
    <w:rsid w:val="004B3D08"/>
    <w:rsid w:val="004B4059"/>
    <w:rsid w:val="004B4299"/>
    <w:rsid w:val="004B4C5D"/>
    <w:rsid w:val="004B4DA6"/>
    <w:rsid w:val="004B50D3"/>
    <w:rsid w:val="004B527E"/>
    <w:rsid w:val="004B5352"/>
    <w:rsid w:val="004B5401"/>
    <w:rsid w:val="004B55C9"/>
    <w:rsid w:val="004B5646"/>
    <w:rsid w:val="004B56E0"/>
    <w:rsid w:val="004B595C"/>
    <w:rsid w:val="004B61A4"/>
    <w:rsid w:val="004B7040"/>
    <w:rsid w:val="004B7376"/>
    <w:rsid w:val="004C0099"/>
    <w:rsid w:val="004C0434"/>
    <w:rsid w:val="004C0811"/>
    <w:rsid w:val="004C1039"/>
    <w:rsid w:val="004C191B"/>
    <w:rsid w:val="004C1DC0"/>
    <w:rsid w:val="004C209F"/>
    <w:rsid w:val="004C2254"/>
    <w:rsid w:val="004C285A"/>
    <w:rsid w:val="004C35A5"/>
    <w:rsid w:val="004C39E9"/>
    <w:rsid w:val="004C3A0B"/>
    <w:rsid w:val="004C3BE9"/>
    <w:rsid w:val="004C3C54"/>
    <w:rsid w:val="004C43E5"/>
    <w:rsid w:val="004C491A"/>
    <w:rsid w:val="004C4A8B"/>
    <w:rsid w:val="004C5543"/>
    <w:rsid w:val="004C5847"/>
    <w:rsid w:val="004C5C83"/>
    <w:rsid w:val="004C632A"/>
    <w:rsid w:val="004C6879"/>
    <w:rsid w:val="004C6F8E"/>
    <w:rsid w:val="004C74B4"/>
    <w:rsid w:val="004C78C9"/>
    <w:rsid w:val="004C79EB"/>
    <w:rsid w:val="004C7F5C"/>
    <w:rsid w:val="004D007F"/>
    <w:rsid w:val="004D010B"/>
    <w:rsid w:val="004D1BEC"/>
    <w:rsid w:val="004D1E62"/>
    <w:rsid w:val="004D21E2"/>
    <w:rsid w:val="004D2B6F"/>
    <w:rsid w:val="004D2CE8"/>
    <w:rsid w:val="004D2D94"/>
    <w:rsid w:val="004D33BC"/>
    <w:rsid w:val="004D387C"/>
    <w:rsid w:val="004D3AA6"/>
    <w:rsid w:val="004D3E7C"/>
    <w:rsid w:val="004D4014"/>
    <w:rsid w:val="004D4441"/>
    <w:rsid w:val="004D44BE"/>
    <w:rsid w:val="004D4788"/>
    <w:rsid w:val="004D4852"/>
    <w:rsid w:val="004D4C9F"/>
    <w:rsid w:val="004D4EB3"/>
    <w:rsid w:val="004D50A3"/>
    <w:rsid w:val="004D56A8"/>
    <w:rsid w:val="004D6314"/>
    <w:rsid w:val="004D6784"/>
    <w:rsid w:val="004D688C"/>
    <w:rsid w:val="004D68A3"/>
    <w:rsid w:val="004D6E90"/>
    <w:rsid w:val="004D6FCB"/>
    <w:rsid w:val="004D73F8"/>
    <w:rsid w:val="004D743D"/>
    <w:rsid w:val="004D776A"/>
    <w:rsid w:val="004D77C4"/>
    <w:rsid w:val="004D7B52"/>
    <w:rsid w:val="004E04BA"/>
    <w:rsid w:val="004E0951"/>
    <w:rsid w:val="004E10F9"/>
    <w:rsid w:val="004E12BA"/>
    <w:rsid w:val="004E1C3F"/>
    <w:rsid w:val="004E1F25"/>
    <w:rsid w:val="004E2011"/>
    <w:rsid w:val="004E2134"/>
    <w:rsid w:val="004E24AA"/>
    <w:rsid w:val="004E3031"/>
    <w:rsid w:val="004E3783"/>
    <w:rsid w:val="004E3BCE"/>
    <w:rsid w:val="004E3DF6"/>
    <w:rsid w:val="004E40E6"/>
    <w:rsid w:val="004E414A"/>
    <w:rsid w:val="004E481E"/>
    <w:rsid w:val="004E56C2"/>
    <w:rsid w:val="004E5CD5"/>
    <w:rsid w:val="004E64CD"/>
    <w:rsid w:val="004E6D52"/>
    <w:rsid w:val="004E6F03"/>
    <w:rsid w:val="004E72CF"/>
    <w:rsid w:val="004E7760"/>
    <w:rsid w:val="004E7D0E"/>
    <w:rsid w:val="004F0432"/>
    <w:rsid w:val="004F0464"/>
    <w:rsid w:val="004F13F6"/>
    <w:rsid w:val="004F1501"/>
    <w:rsid w:val="004F151F"/>
    <w:rsid w:val="004F19C1"/>
    <w:rsid w:val="004F2058"/>
    <w:rsid w:val="004F2AD2"/>
    <w:rsid w:val="004F2B2B"/>
    <w:rsid w:val="004F2E1B"/>
    <w:rsid w:val="004F386D"/>
    <w:rsid w:val="004F399A"/>
    <w:rsid w:val="004F3C90"/>
    <w:rsid w:val="004F4580"/>
    <w:rsid w:val="004F4AC3"/>
    <w:rsid w:val="004F520F"/>
    <w:rsid w:val="004F5E89"/>
    <w:rsid w:val="004F6604"/>
    <w:rsid w:val="004F67AA"/>
    <w:rsid w:val="004F70C8"/>
    <w:rsid w:val="004F7143"/>
    <w:rsid w:val="004F74F9"/>
    <w:rsid w:val="004F7711"/>
    <w:rsid w:val="00500160"/>
    <w:rsid w:val="005005AD"/>
    <w:rsid w:val="005010FE"/>
    <w:rsid w:val="0050172A"/>
    <w:rsid w:val="00501A77"/>
    <w:rsid w:val="00501B8A"/>
    <w:rsid w:val="00502383"/>
    <w:rsid w:val="00502474"/>
    <w:rsid w:val="00503122"/>
    <w:rsid w:val="005035B2"/>
    <w:rsid w:val="005036D6"/>
    <w:rsid w:val="0050371F"/>
    <w:rsid w:val="0050386E"/>
    <w:rsid w:val="005039A5"/>
    <w:rsid w:val="00503FD1"/>
    <w:rsid w:val="00504175"/>
    <w:rsid w:val="005047A9"/>
    <w:rsid w:val="00504DBF"/>
    <w:rsid w:val="00504FDF"/>
    <w:rsid w:val="005061EF"/>
    <w:rsid w:val="0050625E"/>
    <w:rsid w:val="00506276"/>
    <w:rsid w:val="00506B97"/>
    <w:rsid w:val="005072EA"/>
    <w:rsid w:val="005075BB"/>
    <w:rsid w:val="005075C7"/>
    <w:rsid w:val="00507816"/>
    <w:rsid w:val="00507B7F"/>
    <w:rsid w:val="00507C14"/>
    <w:rsid w:val="005100CD"/>
    <w:rsid w:val="0051011A"/>
    <w:rsid w:val="00510741"/>
    <w:rsid w:val="005108A9"/>
    <w:rsid w:val="0051124B"/>
    <w:rsid w:val="005112EA"/>
    <w:rsid w:val="00511AA5"/>
    <w:rsid w:val="00511BDC"/>
    <w:rsid w:val="00511CA5"/>
    <w:rsid w:val="0051259B"/>
    <w:rsid w:val="00512873"/>
    <w:rsid w:val="005130A2"/>
    <w:rsid w:val="00513703"/>
    <w:rsid w:val="0051390B"/>
    <w:rsid w:val="00513BC5"/>
    <w:rsid w:val="00513E41"/>
    <w:rsid w:val="0051444F"/>
    <w:rsid w:val="00514CA0"/>
    <w:rsid w:val="0051582E"/>
    <w:rsid w:val="00515997"/>
    <w:rsid w:val="00515CD3"/>
    <w:rsid w:val="00515ED5"/>
    <w:rsid w:val="00517260"/>
    <w:rsid w:val="0051781E"/>
    <w:rsid w:val="00517CF2"/>
    <w:rsid w:val="005203B6"/>
    <w:rsid w:val="00520CD8"/>
    <w:rsid w:val="0052100B"/>
    <w:rsid w:val="00521298"/>
    <w:rsid w:val="00521733"/>
    <w:rsid w:val="00521910"/>
    <w:rsid w:val="00521ACD"/>
    <w:rsid w:val="00522195"/>
    <w:rsid w:val="005221EA"/>
    <w:rsid w:val="0052241F"/>
    <w:rsid w:val="005224B2"/>
    <w:rsid w:val="00522811"/>
    <w:rsid w:val="00522BEE"/>
    <w:rsid w:val="00522CF7"/>
    <w:rsid w:val="005235BD"/>
    <w:rsid w:val="00523A72"/>
    <w:rsid w:val="00524186"/>
    <w:rsid w:val="00524240"/>
    <w:rsid w:val="005247CB"/>
    <w:rsid w:val="00524A67"/>
    <w:rsid w:val="00524BC6"/>
    <w:rsid w:val="00524F26"/>
    <w:rsid w:val="0052560B"/>
    <w:rsid w:val="00525807"/>
    <w:rsid w:val="0052587C"/>
    <w:rsid w:val="005258D9"/>
    <w:rsid w:val="00525CA6"/>
    <w:rsid w:val="00525DD4"/>
    <w:rsid w:val="00526056"/>
    <w:rsid w:val="005262C3"/>
    <w:rsid w:val="0052675F"/>
    <w:rsid w:val="00526825"/>
    <w:rsid w:val="00526937"/>
    <w:rsid w:val="00526CD2"/>
    <w:rsid w:val="005270C7"/>
    <w:rsid w:val="00527164"/>
    <w:rsid w:val="00527261"/>
    <w:rsid w:val="005273D3"/>
    <w:rsid w:val="005275BE"/>
    <w:rsid w:val="00527A15"/>
    <w:rsid w:val="00527ADB"/>
    <w:rsid w:val="00527B10"/>
    <w:rsid w:val="00527C72"/>
    <w:rsid w:val="00527CF6"/>
    <w:rsid w:val="00530021"/>
    <w:rsid w:val="005301A0"/>
    <w:rsid w:val="00530736"/>
    <w:rsid w:val="00530AA8"/>
    <w:rsid w:val="0053144F"/>
    <w:rsid w:val="00531478"/>
    <w:rsid w:val="00531A27"/>
    <w:rsid w:val="00531D52"/>
    <w:rsid w:val="00531F0B"/>
    <w:rsid w:val="005325E3"/>
    <w:rsid w:val="00532B3E"/>
    <w:rsid w:val="00532FDC"/>
    <w:rsid w:val="00533D9C"/>
    <w:rsid w:val="0053408E"/>
    <w:rsid w:val="0053434B"/>
    <w:rsid w:val="005357FD"/>
    <w:rsid w:val="00535842"/>
    <w:rsid w:val="00535C1F"/>
    <w:rsid w:val="00535D49"/>
    <w:rsid w:val="005360E0"/>
    <w:rsid w:val="005365BD"/>
    <w:rsid w:val="005374AE"/>
    <w:rsid w:val="00540853"/>
    <w:rsid w:val="0054132E"/>
    <w:rsid w:val="0054150E"/>
    <w:rsid w:val="00541AD8"/>
    <w:rsid w:val="0054213B"/>
    <w:rsid w:val="005421D0"/>
    <w:rsid w:val="00542B7F"/>
    <w:rsid w:val="0054314B"/>
    <w:rsid w:val="00543AD3"/>
    <w:rsid w:val="00544592"/>
    <w:rsid w:val="00544B15"/>
    <w:rsid w:val="00544C82"/>
    <w:rsid w:val="00545255"/>
    <w:rsid w:val="00545F30"/>
    <w:rsid w:val="005460AB"/>
    <w:rsid w:val="005465DE"/>
    <w:rsid w:val="00547665"/>
    <w:rsid w:val="00547C2A"/>
    <w:rsid w:val="00547D55"/>
    <w:rsid w:val="005503CA"/>
    <w:rsid w:val="00550645"/>
    <w:rsid w:val="005506DE"/>
    <w:rsid w:val="00550E41"/>
    <w:rsid w:val="0055106A"/>
    <w:rsid w:val="0055113D"/>
    <w:rsid w:val="005515B4"/>
    <w:rsid w:val="005519F3"/>
    <w:rsid w:val="00551C38"/>
    <w:rsid w:val="00551FD2"/>
    <w:rsid w:val="005531C4"/>
    <w:rsid w:val="0055471D"/>
    <w:rsid w:val="00555049"/>
    <w:rsid w:val="00555344"/>
    <w:rsid w:val="00555B52"/>
    <w:rsid w:val="00555B98"/>
    <w:rsid w:val="00555FC2"/>
    <w:rsid w:val="00556153"/>
    <w:rsid w:val="005563FE"/>
    <w:rsid w:val="00557743"/>
    <w:rsid w:val="005578C4"/>
    <w:rsid w:val="00557FD6"/>
    <w:rsid w:val="0056074C"/>
    <w:rsid w:val="0056081B"/>
    <w:rsid w:val="00560C9E"/>
    <w:rsid w:val="0056136F"/>
    <w:rsid w:val="005616EF"/>
    <w:rsid w:val="005619A9"/>
    <w:rsid w:val="00561F0D"/>
    <w:rsid w:val="00561FDF"/>
    <w:rsid w:val="0056205B"/>
    <w:rsid w:val="0056218E"/>
    <w:rsid w:val="005624B5"/>
    <w:rsid w:val="00562ACB"/>
    <w:rsid w:val="0056416B"/>
    <w:rsid w:val="00564632"/>
    <w:rsid w:val="00564C2C"/>
    <w:rsid w:val="00564C5C"/>
    <w:rsid w:val="005654A4"/>
    <w:rsid w:val="00565655"/>
    <w:rsid w:val="005656FA"/>
    <w:rsid w:val="0056594B"/>
    <w:rsid w:val="005659FD"/>
    <w:rsid w:val="00565A49"/>
    <w:rsid w:val="00565D02"/>
    <w:rsid w:val="00565FF7"/>
    <w:rsid w:val="005660AA"/>
    <w:rsid w:val="0056626D"/>
    <w:rsid w:val="0056683E"/>
    <w:rsid w:val="00566CE1"/>
    <w:rsid w:val="0056792D"/>
    <w:rsid w:val="005700B2"/>
    <w:rsid w:val="00570841"/>
    <w:rsid w:val="00570C78"/>
    <w:rsid w:val="00570DE4"/>
    <w:rsid w:val="00571308"/>
    <w:rsid w:val="00571630"/>
    <w:rsid w:val="005716CC"/>
    <w:rsid w:val="00572017"/>
    <w:rsid w:val="00572608"/>
    <w:rsid w:val="00572ADA"/>
    <w:rsid w:val="00572C2E"/>
    <w:rsid w:val="005733D1"/>
    <w:rsid w:val="005734AE"/>
    <w:rsid w:val="00573588"/>
    <w:rsid w:val="005735F9"/>
    <w:rsid w:val="00573708"/>
    <w:rsid w:val="00573815"/>
    <w:rsid w:val="00573868"/>
    <w:rsid w:val="00573D6D"/>
    <w:rsid w:val="00573FA9"/>
    <w:rsid w:val="00574021"/>
    <w:rsid w:val="0057449E"/>
    <w:rsid w:val="005756BD"/>
    <w:rsid w:val="005758E3"/>
    <w:rsid w:val="00575A97"/>
    <w:rsid w:val="005763AD"/>
    <w:rsid w:val="0057692D"/>
    <w:rsid w:val="00576C93"/>
    <w:rsid w:val="005778B3"/>
    <w:rsid w:val="00580319"/>
    <w:rsid w:val="0058047E"/>
    <w:rsid w:val="00580A00"/>
    <w:rsid w:val="00581C6F"/>
    <w:rsid w:val="00581C71"/>
    <w:rsid w:val="0058274D"/>
    <w:rsid w:val="005827C3"/>
    <w:rsid w:val="00582AEA"/>
    <w:rsid w:val="00583160"/>
    <w:rsid w:val="00583539"/>
    <w:rsid w:val="005836D2"/>
    <w:rsid w:val="0058389E"/>
    <w:rsid w:val="005839D1"/>
    <w:rsid w:val="00584F8E"/>
    <w:rsid w:val="00585D7A"/>
    <w:rsid w:val="00585FC1"/>
    <w:rsid w:val="0058603E"/>
    <w:rsid w:val="00586473"/>
    <w:rsid w:val="005864A2"/>
    <w:rsid w:val="00586E48"/>
    <w:rsid w:val="0058703D"/>
    <w:rsid w:val="005870EA"/>
    <w:rsid w:val="00587206"/>
    <w:rsid w:val="0058725A"/>
    <w:rsid w:val="0058748B"/>
    <w:rsid w:val="005876BA"/>
    <w:rsid w:val="00590BFB"/>
    <w:rsid w:val="00590CF5"/>
    <w:rsid w:val="00590DD7"/>
    <w:rsid w:val="00590E27"/>
    <w:rsid w:val="0059104B"/>
    <w:rsid w:val="0059115E"/>
    <w:rsid w:val="005912F5"/>
    <w:rsid w:val="00591E3E"/>
    <w:rsid w:val="005924C0"/>
    <w:rsid w:val="00592A43"/>
    <w:rsid w:val="00593372"/>
    <w:rsid w:val="00593580"/>
    <w:rsid w:val="005935DE"/>
    <w:rsid w:val="0059372D"/>
    <w:rsid w:val="00593A24"/>
    <w:rsid w:val="00593AD1"/>
    <w:rsid w:val="00593D00"/>
    <w:rsid w:val="005947DC"/>
    <w:rsid w:val="005949D6"/>
    <w:rsid w:val="00594AC2"/>
    <w:rsid w:val="00595E13"/>
    <w:rsid w:val="00596033"/>
    <w:rsid w:val="00596049"/>
    <w:rsid w:val="005965E7"/>
    <w:rsid w:val="00596613"/>
    <w:rsid w:val="00596A89"/>
    <w:rsid w:val="00596AE7"/>
    <w:rsid w:val="005977E7"/>
    <w:rsid w:val="00597CA9"/>
    <w:rsid w:val="00597F67"/>
    <w:rsid w:val="005A001F"/>
    <w:rsid w:val="005A0033"/>
    <w:rsid w:val="005A08AD"/>
    <w:rsid w:val="005A09CD"/>
    <w:rsid w:val="005A0F86"/>
    <w:rsid w:val="005A108B"/>
    <w:rsid w:val="005A16FB"/>
    <w:rsid w:val="005A2163"/>
    <w:rsid w:val="005A2641"/>
    <w:rsid w:val="005A2B65"/>
    <w:rsid w:val="005A315E"/>
    <w:rsid w:val="005A386B"/>
    <w:rsid w:val="005A3D9C"/>
    <w:rsid w:val="005A3EB9"/>
    <w:rsid w:val="005A3F12"/>
    <w:rsid w:val="005A4356"/>
    <w:rsid w:val="005A45B8"/>
    <w:rsid w:val="005A4FF8"/>
    <w:rsid w:val="005A51FC"/>
    <w:rsid w:val="005A53E1"/>
    <w:rsid w:val="005A58F1"/>
    <w:rsid w:val="005A6570"/>
    <w:rsid w:val="005A756F"/>
    <w:rsid w:val="005A77B7"/>
    <w:rsid w:val="005A786B"/>
    <w:rsid w:val="005A7BA9"/>
    <w:rsid w:val="005B0A40"/>
    <w:rsid w:val="005B1B88"/>
    <w:rsid w:val="005B1BE1"/>
    <w:rsid w:val="005B2127"/>
    <w:rsid w:val="005B2163"/>
    <w:rsid w:val="005B2279"/>
    <w:rsid w:val="005B22FA"/>
    <w:rsid w:val="005B28C9"/>
    <w:rsid w:val="005B2D51"/>
    <w:rsid w:val="005B3187"/>
    <w:rsid w:val="005B3204"/>
    <w:rsid w:val="005B326A"/>
    <w:rsid w:val="005B45A4"/>
    <w:rsid w:val="005B4A76"/>
    <w:rsid w:val="005B4ED6"/>
    <w:rsid w:val="005B51D3"/>
    <w:rsid w:val="005B5850"/>
    <w:rsid w:val="005B5C40"/>
    <w:rsid w:val="005B5CA1"/>
    <w:rsid w:val="005B5D0A"/>
    <w:rsid w:val="005B5FAC"/>
    <w:rsid w:val="005B6040"/>
    <w:rsid w:val="005B62E3"/>
    <w:rsid w:val="005B661B"/>
    <w:rsid w:val="005B6A73"/>
    <w:rsid w:val="005B6F1B"/>
    <w:rsid w:val="005B7A6C"/>
    <w:rsid w:val="005B7EF1"/>
    <w:rsid w:val="005B7F44"/>
    <w:rsid w:val="005C12E8"/>
    <w:rsid w:val="005C18A8"/>
    <w:rsid w:val="005C1D3E"/>
    <w:rsid w:val="005C21EF"/>
    <w:rsid w:val="005C23E8"/>
    <w:rsid w:val="005C24A1"/>
    <w:rsid w:val="005C2643"/>
    <w:rsid w:val="005C2ED0"/>
    <w:rsid w:val="005C3322"/>
    <w:rsid w:val="005C34EB"/>
    <w:rsid w:val="005C3758"/>
    <w:rsid w:val="005C37BB"/>
    <w:rsid w:val="005C3F3D"/>
    <w:rsid w:val="005C4741"/>
    <w:rsid w:val="005C4B41"/>
    <w:rsid w:val="005C50A7"/>
    <w:rsid w:val="005C54F7"/>
    <w:rsid w:val="005C56CF"/>
    <w:rsid w:val="005C57BF"/>
    <w:rsid w:val="005C5AF5"/>
    <w:rsid w:val="005C5F56"/>
    <w:rsid w:val="005C61D6"/>
    <w:rsid w:val="005C67E8"/>
    <w:rsid w:val="005C6851"/>
    <w:rsid w:val="005C7163"/>
    <w:rsid w:val="005C7174"/>
    <w:rsid w:val="005C734E"/>
    <w:rsid w:val="005C7948"/>
    <w:rsid w:val="005C7B3E"/>
    <w:rsid w:val="005C7BD0"/>
    <w:rsid w:val="005D023B"/>
    <w:rsid w:val="005D0AE7"/>
    <w:rsid w:val="005D185A"/>
    <w:rsid w:val="005D1930"/>
    <w:rsid w:val="005D2556"/>
    <w:rsid w:val="005D2D0D"/>
    <w:rsid w:val="005D354F"/>
    <w:rsid w:val="005D3812"/>
    <w:rsid w:val="005D3B59"/>
    <w:rsid w:val="005D410D"/>
    <w:rsid w:val="005D49E4"/>
    <w:rsid w:val="005D5185"/>
    <w:rsid w:val="005D52F1"/>
    <w:rsid w:val="005D538F"/>
    <w:rsid w:val="005D5430"/>
    <w:rsid w:val="005D5895"/>
    <w:rsid w:val="005D5EF5"/>
    <w:rsid w:val="005D6FCD"/>
    <w:rsid w:val="005D77BE"/>
    <w:rsid w:val="005D7903"/>
    <w:rsid w:val="005D79AD"/>
    <w:rsid w:val="005D7C34"/>
    <w:rsid w:val="005D7C6E"/>
    <w:rsid w:val="005D7FBA"/>
    <w:rsid w:val="005E07C8"/>
    <w:rsid w:val="005E086A"/>
    <w:rsid w:val="005E0956"/>
    <w:rsid w:val="005E1556"/>
    <w:rsid w:val="005E1D04"/>
    <w:rsid w:val="005E2035"/>
    <w:rsid w:val="005E2676"/>
    <w:rsid w:val="005E28EF"/>
    <w:rsid w:val="005E4156"/>
    <w:rsid w:val="005E48F0"/>
    <w:rsid w:val="005E4A41"/>
    <w:rsid w:val="005E4AC1"/>
    <w:rsid w:val="005E4C9E"/>
    <w:rsid w:val="005E5B84"/>
    <w:rsid w:val="005E5D00"/>
    <w:rsid w:val="005E5F3B"/>
    <w:rsid w:val="005E6891"/>
    <w:rsid w:val="005E68B8"/>
    <w:rsid w:val="005E73DB"/>
    <w:rsid w:val="005E7E09"/>
    <w:rsid w:val="005E7E77"/>
    <w:rsid w:val="005F05DA"/>
    <w:rsid w:val="005F09E9"/>
    <w:rsid w:val="005F0C17"/>
    <w:rsid w:val="005F11CB"/>
    <w:rsid w:val="005F132F"/>
    <w:rsid w:val="005F1C94"/>
    <w:rsid w:val="005F1FA2"/>
    <w:rsid w:val="005F2007"/>
    <w:rsid w:val="005F23AF"/>
    <w:rsid w:val="005F27C6"/>
    <w:rsid w:val="005F2DA2"/>
    <w:rsid w:val="005F53F6"/>
    <w:rsid w:val="005F5DC5"/>
    <w:rsid w:val="005F6228"/>
    <w:rsid w:val="005F66AB"/>
    <w:rsid w:val="005F69B5"/>
    <w:rsid w:val="005F6B5A"/>
    <w:rsid w:val="005F6F52"/>
    <w:rsid w:val="005F762D"/>
    <w:rsid w:val="005F78EC"/>
    <w:rsid w:val="006001E6"/>
    <w:rsid w:val="00600491"/>
    <w:rsid w:val="006008D8"/>
    <w:rsid w:val="00600CFA"/>
    <w:rsid w:val="00600DB4"/>
    <w:rsid w:val="006010D0"/>
    <w:rsid w:val="006018DC"/>
    <w:rsid w:val="00601A97"/>
    <w:rsid w:val="006028B8"/>
    <w:rsid w:val="00602944"/>
    <w:rsid w:val="00602DE1"/>
    <w:rsid w:val="006032C9"/>
    <w:rsid w:val="00603446"/>
    <w:rsid w:val="00603B2D"/>
    <w:rsid w:val="00603B55"/>
    <w:rsid w:val="00603E77"/>
    <w:rsid w:val="0060404E"/>
    <w:rsid w:val="00604229"/>
    <w:rsid w:val="006045C3"/>
    <w:rsid w:val="006048D4"/>
    <w:rsid w:val="00605C73"/>
    <w:rsid w:val="00606202"/>
    <w:rsid w:val="006063A4"/>
    <w:rsid w:val="0060667C"/>
    <w:rsid w:val="00606F0E"/>
    <w:rsid w:val="00607BB2"/>
    <w:rsid w:val="00607C5C"/>
    <w:rsid w:val="00607C71"/>
    <w:rsid w:val="00607DC5"/>
    <w:rsid w:val="00610101"/>
    <w:rsid w:val="006103B1"/>
    <w:rsid w:val="006107B9"/>
    <w:rsid w:val="00610996"/>
    <w:rsid w:val="00610ACC"/>
    <w:rsid w:val="00611043"/>
    <w:rsid w:val="00611842"/>
    <w:rsid w:val="0061189C"/>
    <w:rsid w:val="006118DB"/>
    <w:rsid w:val="0061192A"/>
    <w:rsid w:val="00611B0F"/>
    <w:rsid w:val="00611E9A"/>
    <w:rsid w:val="00612420"/>
    <w:rsid w:val="00612670"/>
    <w:rsid w:val="006128E0"/>
    <w:rsid w:val="00612A87"/>
    <w:rsid w:val="00612CA5"/>
    <w:rsid w:val="00612E6E"/>
    <w:rsid w:val="00612FC8"/>
    <w:rsid w:val="00613F59"/>
    <w:rsid w:val="006148A0"/>
    <w:rsid w:val="006151A9"/>
    <w:rsid w:val="00615A3D"/>
    <w:rsid w:val="00615AE1"/>
    <w:rsid w:val="00615C42"/>
    <w:rsid w:val="00615C90"/>
    <w:rsid w:val="00615D56"/>
    <w:rsid w:val="006161BB"/>
    <w:rsid w:val="0061620F"/>
    <w:rsid w:val="006163F7"/>
    <w:rsid w:val="00616DB8"/>
    <w:rsid w:val="006171B3"/>
    <w:rsid w:val="00617842"/>
    <w:rsid w:val="006179B1"/>
    <w:rsid w:val="00617AB2"/>
    <w:rsid w:val="00617FD4"/>
    <w:rsid w:val="0062015B"/>
    <w:rsid w:val="00620A06"/>
    <w:rsid w:val="00620BDE"/>
    <w:rsid w:val="00620C5A"/>
    <w:rsid w:val="00620D80"/>
    <w:rsid w:val="0062183D"/>
    <w:rsid w:val="00621E62"/>
    <w:rsid w:val="00621FE2"/>
    <w:rsid w:val="006220E4"/>
    <w:rsid w:val="00622C2B"/>
    <w:rsid w:val="00623108"/>
    <w:rsid w:val="00623730"/>
    <w:rsid w:val="0062420A"/>
    <w:rsid w:val="00624C68"/>
    <w:rsid w:val="00624CDE"/>
    <w:rsid w:val="00624E51"/>
    <w:rsid w:val="00625082"/>
    <w:rsid w:val="00626820"/>
    <w:rsid w:val="00626821"/>
    <w:rsid w:val="006268F5"/>
    <w:rsid w:val="00626F37"/>
    <w:rsid w:val="0062749D"/>
    <w:rsid w:val="00630121"/>
    <w:rsid w:val="00630176"/>
    <w:rsid w:val="00630213"/>
    <w:rsid w:val="00630558"/>
    <w:rsid w:val="006309FE"/>
    <w:rsid w:val="00630C6F"/>
    <w:rsid w:val="00630EB9"/>
    <w:rsid w:val="00631157"/>
    <w:rsid w:val="00631347"/>
    <w:rsid w:val="00631818"/>
    <w:rsid w:val="0063186C"/>
    <w:rsid w:val="00631BC8"/>
    <w:rsid w:val="00632541"/>
    <w:rsid w:val="0063276C"/>
    <w:rsid w:val="00633C6D"/>
    <w:rsid w:val="00633DEE"/>
    <w:rsid w:val="0063438A"/>
    <w:rsid w:val="00634713"/>
    <w:rsid w:val="00634DBD"/>
    <w:rsid w:val="00634EFF"/>
    <w:rsid w:val="0063520D"/>
    <w:rsid w:val="006357C3"/>
    <w:rsid w:val="00635955"/>
    <w:rsid w:val="00635D38"/>
    <w:rsid w:val="00635FE8"/>
    <w:rsid w:val="006361CE"/>
    <w:rsid w:val="00636248"/>
    <w:rsid w:val="00636896"/>
    <w:rsid w:val="00636B94"/>
    <w:rsid w:val="00636BD1"/>
    <w:rsid w:val="00636DC3"/>
    <w:rsid w:val="00637415"/>
    <w:rsid w:val="006377AF"/>
    <w:rsid w:val="00637C59"/>
    <w:rsid w:val="006403CB"/>
    <w:rsid w:val="00640405"/>
    <w:rsid w:val="006409C4"/>
    <w:rsid w:val="00640B3B"/>
    <w:rsid w:val="00640D13"/>
    <w:rsid w:val="00641A35"/>
    <w:rsid w:val="00641ED5"/>
    <w:rsid w:val="006421DC"/>
    <w:rsid w:val="006429F3"/>
    <w:rsid w:val="00642FC3"/>
    <w:rsid w:val="00643EC8"/>
    <w:rsid w:val="006442A2"/>
    <w:rsid w:val="006445D4"/>
    <w:rsid w:val="00644C1C"/>
    <w:rsid w:val="00644C9A"/>
    <w:rsid w:val="00645130"/>
    <w:rsid w:val="0064513E"/>
    <w:rsid w:val="006451B1"/>
    <w:rsid w:val="006454C6"/>
    <w:rsid w:val="00645CCD"/>
    <w:rsid w:val="00646134"/>
    <w:rsid w:val="00646407"/>
    <w:rsid w:val="006468D5"/>
    <w:rsid w:val="00646A4C"/>
    <w:rsid w:val="006476C4"/>
    <w:rsid w:val="00647A09"/>
    <w:rsid w:val="00647D90"/>
    <w:rsid w:val="00647F8D"/>
    <w:rsid w:val="006501B5"/>
    <w:rsid w:val="006501BB"/>
    <w:rsid w:val="00650677"/>
    <w:rsid w:val="00650B59"/>
    <w:rsid w:val="00651B37"/>
    <w:rsid w:val="00651E6B"/>
    <w:rsid w:val="00652158"/>
    <w:rsid w:val="006529B3"/>
    <w:rsid w:val="00652CE4"/>
    <w:rsid w:val="00653F1C"/>
    <w:rsid w:val="00653F27"/>
    <w:rsid w:val="0065417D"/>
    <w:rsid w:val="00654368"/>
    <w:rsid w:val="0065458E"/>
    <w:rsid w:val="00654772"/>
    <w:rsid w:val="006549AB"/>
    <w:rsid w:val="00654AC6"/>
    <w:rsid w:val="00654CCC"/>
    <w:rsid w:val="00654DED"/>
    <w:rsid w:val="00654F52"/>
    <w:rsid w:val="006557D2"/>
    <w:rsid w:val="00655D58"/>
    <w:rsid w:val="00656744"/>
    <w:rsid w:val="00656902"/>
    <w:rsid w:val="00656CD6"/>
    <w:rsid w:val="00656EDF"/>
    <w:rsid w:val="0065795B"/>
    <w:rsid w:val="00657A13"/>
    <w:rsid w:val="00657AC1"/>
    <w:rsid w:val="00657E89"/>
    <w:rsid w:val="00660127"/>
    <w:rsid w:val="006601F0"/>
    <w:rsid w:val="00660210"/>
    <w:rsid w:val="00660C53"/>
    <w:rsid w:val="0066118F"/>
    <w:rsid w:val="006615BD"/>
    <w:rsid w:val="00661AFB"/>
    <w:rsid w:val="00661B9B"/>
    <w:rsid w:val="006620BF"/>
    <w:rsid w:val="00662B02"/>
    <w:rsid w:val="0066300C"/>
    <w:rsid w:val="006630E4"/>
    <w:rsid w:val="006637ED"/>
    <w:rsid w:val="006639E7"/>
    <w:rsid w:val="00663C80"/>
    <w:rsid w:val="0066452C"/>
    <w:rsid w:val="00664670"/>
    <w:rsid w:val="006646D4"/>
    <w:rsid w:val="00664C00"/>
    <w:rsid w:val="00664E7C"/>
    <w:rsid w:val="00664ECC"/>
    <w:rsid w:val="006655FE"/>
    <w:rsid w:val="006656D9"/>
    <w:rsid w:val="00665E0D"/>
    <w:rsid w:val="006662C9"/>
    <w:rsid w:val="006667F9"/>
    <w:rsid w:val="0066689D"/>
    <w:rsid w:val="00666AC6"/>
    <w:rsid w:val="0066708D"/>
    <w:rsid w:val="00667B43"/>
    <w:rsid w:val="00667D0D"/>
    <w:rsid w:val="0067093A"/>
    <w:rsid w:val="00670CCE"/>
    <w:rsid w:val="00671300"/>
    <w:rsid w:val="00671841"/>
    <w:rsid w:val="00671B69"/>
    <w:rsid w:val="00671CE2"/>
    <w:rsid w:val="00671E17"/>
    <w:rsid w:val="00672163"/>
    <w:rsid w:val="00672558"/>
    <w:rsid w:val="00672658"/>
    <w:rsid w:val="00672A81"/>
    <w:rsid w:val="00672C8D"/>
    <w:rsid w:val="0067312A"/>
    <w:rsid w:val="006740F6"/>
    <w:rsid w:val="006741B6"/>
    <w:rsid w:val="006747D3"/>
    <w:rsid w:val="00674C1A"/>
    <w:rsid w:val="00675175"/>
    <w:rsid w:val="00675855"/>
    <w:rsid w:val="00675F79"/>
    <w:rsid w:val="00675FEB"/>
    <w:rsid w:val="0067741A"/>
    <w:rsid w:val="00677AC3"/>
    <w:rsid w:val="00680266"/>
    <w:rsid w:val="006810D0"/>
    <w:rsid w:val="00681513"/>
    <w:rsid w:val="00681802"/>
    <w:rsid w:val="00681A71"/>
    <w:rsid w:val="00682173"/>
    <w:rsid w:val="0068226E"/>
    <w:rsid w:val="00682CE2"/>
    <w:rsid w:val="00683487"/>
    <w:rsid w:val="00683604"/>
    <w:rsid w:val="00683B7C"/>
    <w:rsid w:val="00684030"/>
    <w:rsid w:val="00685764"/>
    <w:rsid w:val="0068582E"/>
    <w:rsid w:val="0068676D"/>
    <w:rsid w:val="0068690A"/>
    <w:rsid w:val="00686943"/>
    <w:rsid w:val="00687794"/>
    <w:rsid w:val="00687E85"/>
    <w:rsid w:val="00690328"/>
    <w:rsid w:val="0069039F"/>
    <w:rsid w:val="006905CB"/>
    <w:rsid w:val="006907CE"/>
    <w:rsid w:val="006908EB"/>
    <w:rsid w:val="00690906"/>
    <w:rsid w:val="006910C5"/>
    <w:rsid w:val="00691247"/>
    <w:rsid w:val="0069145D"/>
    <w:rsid w:val="006915E7"/>
    <w:rsid w:val="00692855"/>
    <w:rsid w:val="00692CE5"/>
    <w:rsid w:val="00693074"/>
    <w:rsid w:val="0069357B"/>
    <w:rsid w:val="00693777"/>
    <w:rsid w:val="00693CF4"/>
    <w:rsid w:val="006940EB"/>
    <w:rsid w:val="006943B0"/>
    <w:rsid w:val="006946FF"/>
    <w:rsid w:val="0069478A"/>
    <w:rsid w:val="00694BFA"/>
    <w:rsid w:val="00694C57"/>
    <w:rsid w:val="00695EF4"/>
    <w:rsid w:val="00697640"/>
    <w:rsid w:val="006979BC"/>
    <w:rsid w:val="00697E83"/>
    <w:rsid w:val="00697ECC"/>
    <w:rsid w:val="00697FE0"/>
    <w:rsid w:val="006A04CF"/>
    <w:rsid w:val="006A07F4"/>
    <w:rsid w:val="006A0A3A"/>
    <w:rsid w:val="006A0A4E"/>
    <w:rsid w:val="006A0B9C"/>
    <w:rsid w:val="006A0C57"/>
    <w:rsid w:val="006A0C7B"/>
    <w:rsid w:val="006A0C82"/>
    <w:rsid w:val="006A1677"/>
    <w:rsid w:val="006A16D5"/>
    <w:rsid w:val="006A173A"/>
    <w:rsid w:val="006A2F78"/>
    <w:rsid w:val="006A30C4"/>
    <w:rsid w:val="006A3836"/>
    <w:rsid w:val="006A4135"/>
    <w:rsid w:val="006A4307"/>
    <w:rsid w:val="006A4838"/>
    <w:rsid w:val="006A4A6D"/>
    <w:rsid w:val="006A4B77"/>
    <w:rsid w:val="006A5BD1"/>
    <w:rsid w:val="006A6169"/>
    <w:rsid w:val="006A6239"/>
    <w:rsid w:val="006A62E7"/>
    <w:rsid w:val="006A6339"/>
    <w:rsid w:val="006A6687"/>
    <w:rsid w:val="006A67A3"/>
    <w:rsid w:val="006A6928"/>
    <w:rsid w:val="006A6A70"/>
    <w:rsid w:val="006A6DA5"/>
    <w:rsid w:val="006A72A9"/>
    <w:rsid w:val="006B01BC"/>
    <w:rsid w:val="006B01CA"/>
    <w:rsid w:val="006B0845"/>
    <w:rsid w:val="006B0C2E"/>
    <w:rsid w:val="006B11D5"/>
    <w:rsid w:val="006B1246"/>
    <w:rsid w:val="006B17CA"/>
    <w:rsid w:val="006B17F5"/>
    <w:rsid w:val="006B195C"/>
    <w:rsid w:val="006B200F"/>
    <w:rsid w:val="006B214A"/>
    <w:rsid w:val="006B2DB2"/>
    <w:rsid w:val="006B30C0"/>
    <w:rsid w:val="006B3123"/>
    <w:rsid w:val="006B359F"/>
    <w:rsid w:val="006B37E3"/>
    <w:rsid w:val="006B46E6"/>
    <w:rsid w:val="006B4775"/>
    <w:rsid w:val="006B50B5"/>
    <w:rsid w:val="006B5553"/>
    <w:rsid w:val="006B5C07"/>
    <w:rsid w:val="006B5D82"/>
    <w:rsid w:val="006B6302"/>
    <w:rsid w:val="006B6331"/>
    <w:rsid w:val="006B66E2"/>
    <w:rsid w:val="006B67E3"/>
    <w:rsid w:val="006B6B61"/>
    <w:rsid w:val="006B6CA2"/>
    <w:rsid w:val="006B76EF"/>
    <w:rsid w:val="006C0FB6"/>
    <w:rsid w:val="006C148D"/>
    <w:rsid w:val="006C1B93"/>
    <w:rsid w:val="006C1CFA"/>
    <w:rsid w:val="006C227E"/>
    <w:rsid w:val="006C26B0"/>
    <w:rsid w:val="006C26C0"/>
    <w:rsid w:val="006C28B7"/>
    <w:rsid w:val="006C299E"/>
    <w:rsid w:val="006C2A3B"/>
    <w:rsid w:val="006C2A79"/>
    <w:rsid w:val="006C2BC6"/>
    <w:rsid w:val="006C2CA2"/>
    <w:rsid w:val="006C300E"/>
    <w:rsid w:val="006C3040"/>
    <w:rsid w:val="006C35F9"/>
    <w:rsid w:val="006C36F3"/>
    <w:rsid w:val="006C3917"/>
    <w:rsid w:val="006C3C48"/>
    <w:rsid w:val="006C40A5"/>
    <w:rsid w:val="006C4666"/>
    <w:rsid w:val="006C4F70"/>
    <w:rsid w:val="006C5121"/>
    <w:rsid w:val="006C5E22"/>
    <w:rsid w:val="006C60B0"/>
    <w:rsid w:val="006C6D7B"/>
    <w:rsid w:val="006C6DF5"/>
    <w:rsid w:val="006C6F0D"/>
    <w:rsid w:val="006C72E2"/>
    <w:rsid w:val="006C747E"/>
    <w:rsid w:val="006C75CC"/>
    <w:rsid w:val="006C798B"/>
    <w:rsid w:val="006D0220"/>
    <w:rsid w:val="006D1125"/>
    <w:rsid w:val="006D1163"/>
    <w:rsid w:val="006D1243"/>
    <w:rsid w:val="006D1847"/>
    <w:rsid w:val="006D25CE"/>
    <w:rsid w:val="006D2891"/>
    <w:rsid w:val="006D2C9F"/>
    <w:rsid w:val="006D2D8D"/>
    <w:rsid w:val="006D2E52"/>
    <w:rsid w:val="006D3307"/>
    <w:rsid w:val="006D4108"/>
    <w:rsid w:val="006D4303"/>
    <w:rsid w:val="006D4763"/>
    <w:rsid w:val="006D4E09"/>
    <w:rsid w:val="006D50CA"/>
    <w:rsid w:val="006D51B8"/>
    <w:rsid w:val="006D53F6"/>
    <w:rsid w:val="006D5538"/>
    <w:rsid w:val="006D5FCE"/>
    <w:rsid w:val="006D6018"/>
    <w:rsid w:val="006D63A9"/>
    <w:rsid w:val="006D64E7"/>
    <w:rsid w:val="006D65AF"/>
    <w:rsid w:val="006D6BF4"/>
    <w:rsid w:val="006D6C5F"/>
    <w:rsid w:val="006D6CAE"/>
    <w:rsid w:val="006D71EC"/>
    <w:rsid w:val="006D7551"/>
    <w:rsid w:val="006D7801"/>
    <w:rsid w:val="006D7B5D"/>
    <w:rsid w:val="006E00E9"/>
    <w:rsid w:val="006E03B7"/>
    <w:rsid w:val="006E059E"/>
    <w:rsid w:val="006E096A"/>
    <w:rsid w:val="006E0BA9"/>
    <w:rsid w:val="006E0EEA"/>
    <w:rsid w:val="006E1246"/>
    <w:rsid w:val="006E1BBD"/>
    <w:rsid w:val="006E1C78"/>
    <w:rsid w:val="006E1F62"/>
    <w:rsid w:val="006E23AB"/>
    <w:rsid w:val="006E29AD"/>
    <w:rsid w:val="006E2B9F"/>
    <w:rsid w:val="006E3540"/>
    <w:rsid w:val="006E36C2"/>
    <w:rsid w:val="006E3B68"/>
    <w:rsid w:val="006E4116"/>
    <w:rsid w:val="006E437B"/>
    <w:rsid w:val="006E45F5"/>
    <w:rsid w:val="006E4B57"/>
    <w:rsid w:val="006E534E"/>
    <w:rsid w:val="006E58A8"/>
    <w:rsid w:val="006E59BA"/>
    <w:rsid w:val="006E5C45"/>
    <w:rsid w:val="006E5CE0"/>
    <w:rsid w:val="006E60C4"/>
    <w:rsid w:val="006E64F5"/>
    <w:rsid w:val="006E6BC2"/>
    <w:rsid w:val="006E7441"/>
    <w:rsid w:val="006E76E8"/>
    <w:rsid w:val="006F0599"/>
    <w:rsid w:val="006F0785"/>
    <w:rsid w:val="006F1327"/>
    <w:rsid w:val="006F1757"/>
    <w:rsid w:val="006F1895"/>
    <w:rsid w:val="006F1A75"/>
    <w:rsid w:val="006F211A"/>
    <w:rsid w:val="006F23BB"/>
    <w:rsid w:val="006F2673"/>
    <w:rsid w:val="006F2C52"/>
    <w:rsid w:val="006F2FFD"/>
    <w:rsid w:val="006F30F6"/>
    <w:rsid w:val="006F315A"/>
    <w:rsid w:val="006F3249"/>
    <w:rsid w:val="006F3407"/>
    <w:rsid w:val="006F383A"/>
    <w:rsid w:val="006F3AFD"/>
    <w:rsid w:val="006F3BAD"/>
    <w:rsid w:val="006F3D84"/>
    <w:rsid w:val="006F400B"/>
    <w:rsid w:val="006F4178"/>
    <w:rsid w:val="006F474B"/>
    <w:rsid w:val="006F4E12"/>
    <w:rsid w:val="006F4F7F"/>
    <w:rsid w:val="006F5806"/>
    <w:rsid w:val="006F5990"/>
    <w:rsid w:val="006F5A70"/>
    <w:rsid w:val="006F5BDC"/>
    <w:rsid w:val="006F5D81"/>
    <w:rsid w:val="006F658F"/>
    <w:rsid w:val="006F6608"/>
    <w:rsid w:val="006F6AF9"/>
    <w:rsid w:val="006F7102"/>
    <w:rsid w:val="006F76F9"/>
    <w:rsid w:val="006F7973"/>
    <w:rsid w:val="006F79D4"/>
    <w:rsid w:val="006F7F89"/>
    <w:rsid w:val="00700528"/>
    <w:rsid w:val="00700854"/>
    <w:rsid w:val="00700BF7"/>
    <w:rsid w:val="007016F6"/>
    <w:rsid w:val="0070187C"/>
    <w:rsid w:val="00702420"/>
    <w:rsid w:val="007024E0"/>
    <w:rsid w:val="00702E89"/>
    <w:rsid w:val="00702EA6"/>
    <w:rsid w:val="007031D0"/>
    <w:rsid w:val="00703CF2"/>
    <w:rsid w:val="00703D48"/>
    <w:rsid w:val="00703D8C"/>
    <w:rsid w:val="00704068"/>
    <w:rsid w:val="007041C0"/>
    <w:rsid w:val="0070455A"/>
    <w:rsid w:val="00704790"/>
    <w:rsid w:val="0070488B"/>
    <w:rsid w:val="00704932"/>
    <w:rsid w:val="0070519A"/>
    <w:rsid w:val="007055F2"/>
    <w:rsid w:val="007057D9"/>
    <w:rsid w:val="00705B32"/>
    <w:rsid w:val="00705D16"/>
    <w:rsid w:val="00706052"/>
    <w:rsid w:val="00706787"/>
    <w:rsid w:val="007068F1"/>
    <w:rsid w:val="00706EE5"/>
    <w:rsid w:val="007077A0"/>
    <w:rsid w:val="00707CF5"/>
    <w:rsid w:val="007102E9"/>
    <w:rsid w:val="007106E8"/>
    <w:rsid w:val="00710CA2"/>
    <w:rsid w:val="007111FF"/>
    <w:rsid w:val="007118DE"/>
    <w:rsid w:val="00711CEA"/>
    <w:rsid w:val="0071219A"/>
    <w:rsid w:val="00712571"/>
    <w:rsid w:val="00712CFA"/>
    <w:rsid w:val="007130A5"/>
    <w:rsid w:val="00713214"/>
    <w:rsid w:val="0071364A"/>
    <w:rsid w:val="00713B85"/>
    <w:rsid w:val="007140D8"/>
    <w:rsid w:val="007143FF"/>
    <w:rsid w:val="00714B4B"/>
    <w:rsid w:val="007152DF"/>
    <w:rsid w:val="007159E2"/>
    <w:rsid w:val="00715A9A"/>
    <w:rsid w:val="00715BD2"/>
    <w:rsid w:val="00715F91"/>
    <w:rsid w:val="0071622B"/>
    <w:rsid w:val="007165A1"/>
    <w:rsid w:val="00716904"/>
    <w:rsid w:val="00716D30"/>
    <w:rsid w:val="00716D63"/>
    <w:rsid w:val="007173F1"/>
    <w:rsid w:val="00717742"/>
    <w:rsid w:val="0071796A"/>
    <w:rsid w:val="00717F7D"/>
    <w:rsid w:val="00720007"/>
    <w:rsid w:val="00720445"/>
    <w:rsid w:val="00720E8F"/>
    <w:rsid w:val="00721082"/>
    <w:rsid w:val="007211AD"/>
    <w:rsid w:val="00721496"/>
    <w:rsid w:val="00721C30"/>
    <w:rsid w:val="00721D84"/>
    <w:rsid w:val="0072213A"/>
    <w:rsid w:val="007225D4"/>
    <w:rsid w:val="00722620"/>
    <w:rsid w:val="007226E0"/>
    <w:rsid w:val="00722882"/>
    <w:rsid w:val="00722A05"/>
    <w:rsid w:val="00723729"/>
    <w:rsid w:val="007239B7"/>
    <w:rsid w:val="007263A1"/>
    <w:rsid w:val="00726BA9"/>
    <w:rsid w:val="00726FCA"/>
    <w:rsid w:val="007272EC"/>
    <w:rsid w:val="007279A3"/>
    <w:rsid w:val="00727DD5"/>
    <w:rsid w:val="007301C2"/>
    <w:rsid w:val="00730B63"/>
    <w:rsid w:val="00731513"/>
    <w:rsid w:val="00731914"/>
    <w:rsid w:val="00731FD7"/>
    <w:rsid w:val="00732FB6"/>
    <w:rsid w:val="00733019"/>
    <w:rsid w:val="0073304B"/>
    <w:rsid w:val="00733D89"/>
    <w:rsid w:val="00733EB9"/>
    <w:rsid w:val="007344C5"/>
    <w:rsid w:val="00734605"/>
    <w:rsid w:val="00734704"/>
    <w:rsid w:val="007349C5"/>
    <w:rsid w:val="00734A72"/>
    <w:rsid w:val="00734B2E"/>
    <w:rsid w:val="00734F3B"/>
    <w:rsid w:val="007350C1"/>
    <w:rsid w:val="007353A5"/>
    <w:rsid w:val="00735975"/>
    <w:rsid w:val="00735BBE"/>
    <w:rsid w:val="00735D37"/>
    <w:rsid w:val="0073644B"/>
    <w:rsid w:val="00736AC6"/>
    <w:rsid w:val="00736B67"/>
    <w:rsid w:val="00736F3F"/>
    <w:rsid w:val="00737642"/>
    <w:rsid w:val="00737861"/>
    <w:rsid w:val="00737C4B"/>
    <w:rsid w:val="00740059"/>
    <w:rsid w:val="00740198"/>
    <w:rsid w:val="0074144D"/>
    <w:rsid w:val="00741720"/>
    <w:rsid w:val="00741F68"/>
    <w:rsid w:val="00742557"/>
    <w:rsid w:val="007428BD"/>
    <w:rsid w:val="007429E8"/>
    <w:rsid w:val="00742B24"/>
    <w:rsid w:val="00742F0A"/>
    <w:rsid w:val="00743526"/>
    <w:rsid w:val="00743841"/>
    <w:rsid w:val="00743E7F"/>
    <w:rsid w:val="00743F20"/>
    <w:rsid w:val="00744455"/>
    <w:rsid w:val="00744506"/>
    <w:rsid w:val="007445B6"/>
    <w:rsid w:val="00744FF8"/>
    <w:rsid w:val="00745AEE"/>
    <w:rsid w:val="00745C71"/>
    <w:rsid w:val="00745DF2"/>
    <w:rsid w:val="00746177"/>
    <w:rsid w:val="0074685B"/>
    <w:rsid w:val="0074699D"/>
    <w:rsid w:val="00747300"/>
    <w:rsid w:val="007479E5"/>
    <w:rsid w:val="00747C76"/>
    <w:rsid w:val="00747FFE"/>
    <w:rsid w:val="0075027A"/>
    <w:rsid w:val="00750661"/>
    <w:rsid w:val="0075072E"/>
    <w:rsid w:val="00750B40"/>
    <w:rsid w:val="00751156"/>
    <w:rsid w:val="007511DA"/>
    <w:rsid w:val="00751673"/>
    <w:rsid w:val="00751D84"/>
    <w:rsid w:val="007520B5"/>
    <w:rsid w:val="007529CE"/>
    <w:rsid w:val="00752BF1"/>
    <w:rsid w:val="00752FDF"/>
    <w:rsid w:val="00753410"/>
    <w:rsid w:val="007534B7"/>
    <w:rsid w:val="0075359C"/>
    <w:rsid w:val="00753AB1"/>
    <w:rsid w:val="00754723"/>
    <w:rsid w:val="00754C8E"/>
    <w:rsid w:val="00756296"/>
    <w:rsid w:val="0075652A"/>
    <w:rsid w:val="007565AC"/>
    <w:rsid w:val="007578CC"/>
    <w:rsid w:val="007602F1"/>
    <w:rsid w:val="00760AB3"/>
    <w:rsid w:val="00760B3D"/>
    <w:rsid w:val="00760B56"/>
    <w:rsid w:val="00760BA1"/>
    <w:rsid w:val="00761387"/>
    <w:rsid w:val="00762382"/>
    <w:rsid w:val="007633D6"/>
    <w:rsid w:val="007635BB"/>
    <w:rsid w:val="00763960"/>
    <w:rsid w:val="00764683"/>
    <w:rsid w:val="00764A56"/>
    <w:rsid w:val="00764B9E"/>
    <w:rsid w:val="00764DFB"/>
    <w:rsid w:val="00765129"/>
    <w:rsid w:val="007652F3"/>
    <w:rsid w:val="007656FF"/>
    <w:rsid w:val="00765936"/>
    <w:rsid w:val="00765A3A"/>
    <w:rsid w:val="00765B53"/>
    <w:rsid w:val="00766649"/>
    <w:rsid w:val="00766EF8"/>
    <w:rsid w:val="0076785C"/>
    <w:rsid w:val="00767BB0"/>
    <w:rsid w:val="007701C0"/>
    <w:rsid w:val="007701F6"/>
    <w:rsid w:val="007704EE"/>
    <w:rsid w:val="00770E51"/>
    <w:rsid w:val="007714ED"/>
    <w:rsid w:val="007719BF"/>
    <w:rsid w:val="00772217"/>
    <w:rsid w:val="00772C82"/>
    <w:rsid w:val="007730DD"/>
    <w:rsid w:val="00773117"/>
    <w:rsid w:val="007731F0"/>
    <w:rsid w:val="007736FE"/>
    <w:rsid w:val="00774419"/>
    <w:rsid w:val="007744AE"/>
    <w:rsid w:val="007748D9"/>
    <w:rsid w:val="00774C61"/>
    <w:rsid w:val="00774E9C"/>
    <w:rsid w:val="007763A7"/>
    <w:rsid w:val="007770F4"/>
    <w:rsid w:val="00777223"/>
    <w:rsid w:val="00777342"/>
    <w:rsid w:val="00777674"/>
    <w:rsid w:val="007776AA"/>
    <w:rsid w:val="00777830"/>
    <w:rsid w:val="00781AF2"/>
    <w:rsid w:val="00782094"/>
    <w:rsid w:val="00782226"/>
    <w:rsid w:val="007823E9"/>
    <w:rsid w:val="0078304D"/>
    <w:rsid w:val="007830B8"/>
    <w:rsid w:val="00783291"/>
    <w:rsid w:val="007833C7"/>
    <w:rsid w:val="007835D1"/>
    <w:rsid w:val="007836A3"/>
    <w:rsid w:val="00783C8B"/>
    <w:rsid w:val="00783E2D"/>
    <w:rsid w:val="00783E8D"/>
    <w:rsid w:val="0078463A"/>
    <w:rsid w:val="007847BA"/>
    <w:rsid w:val="007848E6"/>
    <w:rsid w:val="00784B37"/>
    <w:rsid w:val="00786364"/>
    <w:rsid w:val="00786BB9"/>
    <w:rsid w:val="00786E6E"/>
    <w:rsid w:val="0078751F"/>
    <w:rsid w:val="007879D7"/>
    <w:rsid w:val="00787C88"/>
    <w:rsid w:val="00787D04"/>
    <w:rsid w:val="00787D6A"/>
    <w:rsid w:val="0079091D"/>
    <w:rsid w:val="00790BDE"/>
    <w:rsid w:val="00790D91"/>
    <w:rsid w:val="007916F1"/>
    <w:rsid w:val="00791980"/>
    <w:rsid w:val="00791C9C"/>
    <w:rsid w:val="007921B4"/>
    <w:rsid w:val="00792223"/>
    <w:rsid w:val="0079230B"/>
    <w:rsid w:val="00792A8A"/>
    <w:rsid w:val="00793110"/>
    <w:rsid w:val="00793715"/>
    <w:rsid w:val="007938BE"/>
    <w:rsid w:val="00793C99"/>
    <w:rsid w:val="007949B5"/>
    <w:rsid w:val="00794BE9"/>
    <w:rsid w:val="00794E97"/>
    <w:rsid w:val="00794E9A"/>
    <w:rsid w:val="007954D9"/>
    <w:rsid w:val="00796D15"/>
    <w:rsid w:val="00797163"/>
    <w:rsid w:val="00797167"/>
    <w:rsid w:val="00797A9B"/>
    <w:rsid w:val="00797C28"/>
    <w:rsid w:val="007A0127"/>
    <w:rsid w:val="007A05EA"/>
    <w:rsid w:val="007A0901"/>
    <w:rsid w:val="007A12E9"/>
    <w:rsid w:val="007A140B"/>
    <w:rsid w:val="007A164A"/>
    <w:rsid w:val="007A197A"/>
    <w:rsid w:val="007A2277"/>
    <w:rsid w:val="007A243D"/>
    <w:rsid w:val="007A2CED"/>
    <w:rsid w:val="007A2CF6"/>
    <w:rsid w:val="007A32AD"/>
    <w:rsid w:val="007A407D"/>
    <w:rsid w:val="007A4CB2"/>
    <w:rsid w:val="007A4F05"/>
    <w:rsid w:val="007A53CA"/>
    <w:rsid w:val="007A654B"/>
    <w:rsid w:val="007A69C9"/>
    <w:rsid w:val="007A71F0"/>
    <w:rsid w:val="007A75BC"/>
    <w:rsid w:val="007A77DB"/>
    <w:rsid w:val="007A7F0A"/>
    <w:rsid w:val="007A7FE2"/>
    <w:rsid w:val="007B0522"/>
    <w:rsid w:val="007B0898"/>
    <w:rsid w:val="007B0911"/>
    <w:rsid w:val="007B0D7B"/>
    <w:rsid w:val="007B0DDD"/>
    <w:rsid w:val="007B1269"/>
    <w:rsid w:val="007B213A"/>
    <w:rsid w:val="007B23A7"/>
    <w:rsid w:val="007B373D"/>
    <w:rsid w:val="007B3796"/>
    <w:rsid w:val="007B402B"/>
    <w:rsid w:val="007B4AF9"/>
    <w:rsid w:val="007B4B78"/>
    <w:rsid w:val="007B4C82"/>
    <w:rsid w:val="007B5C7C"/>
    <w:rsid w:val="007B5D5E"/>
    <w:rsid w:val="007B616E"/>
    <w:rsid w:val="007B63A2"/>
    <w:rsid w:val="007B6ACF"/>
    <w:rsid w:val="007B6FCF"/>
    <w:rsid w:val="007B73CD"/>
    <w:rsid w:val="007B769E"/>
    <w:rsid w:val="007B786A"/>
    <w:rsid w:val="007B7AC5"/>
    <w:rsid w:val="007B7FDA"/>
    <w:rsid w:val="007C087F"/>
    <w:rsid w:val="007C114B"/>
    <w:rsid w:val="007C133C"/>
    <w:rsid w:val="007C13C4"/>
    <w:rsid w:val="007C1A72"/>
    <w:rsid w:val="007C1D4C"/>
    <w:rsid w:val="007C2073"/>
    <w:rsid w:val="007C22BA"/>
    <w:rsid w:val="007C2F80"/>
    <w:rsid w:val="007C39A0"/>
    <w:rsid w:val="007C3D5D"/>
    <w:rsid w:val="007C3F2D"/>
    <w:rsid w:val="007C3F47"/>
    <w:rsid w:val="007C4078"/>
    <w:rsid w:val="007C4A03"/>
    <w:rsid w:val="007C4B20"/>
    <w:rsid w:val="007C4E86"/>
    <w:rsid w:val="007C57EF"/>
    <w:rsid w:val="007C5A82"/>
    <w:rsid w:val="007C6512"/>
    <w:rsid w:val="007C65F5"/>
    <w:rsid w:val="007C7511"/>
    <w:rsid w:val="007C7AE6"/>
    <w:rsid w:val="007C7B1A"/>
    <w:rsid w:val="007C7D6A"/>
    <w:rsid w:val="007C7EA8"/>
    <w:rsid w:val="007D0762"/>
    <w:rsid w:val="007D0D2B"/>
    <w:rsid w:val="007D0FD0"/>
    <w:rsid w:val="007D10B6"/>
    <w:rsid w:val="007D10FB"/>
    <w:rsid w:val="007D141D"/>
    <w:rsid w:val="007D1E90"/>
    <w:rsid w:val="007D2502"/>
    <w:rsid w:val="007D251D"/>
    <w:rsid w:val="007D2730"/>
    <w:rsid w:val="007D29B6"/>
    <w:rsid w:val="007D30F7"/>
    <w:rsid w:val="007D316C"/>
    <w:rsid w:val="007D4021"/>
    <w:rsid w:val="007D42F7"/>
    <w:rsid w:val="007D4542"/>
    <w:rsid w:val="007D45E0"/>
    <w:rsid w:val="007D5A30"/>
    <w:rsid w:val="007D5A6E"/>
    <w:rsid w:val="007D68C3"/>
    <w:rsid w:val="007D6C51"/>
    <w:rsid w:val="007D74FB"/>
    <w:rsid w:val="007D780E"/>
    <w:rsid w:val="007D7CBE"/>
    <w:rsid w:val="007D7D59"/>
    <w:rsid w:val="007E13BA"/>
    <w:rsid w:val="007E2497"/>
    <w:rsid w:val="007E2F22"/>
    <w:rsid w:val="007E31CD"/>
    <w:rsid w:val="007E3589"/>
    <w:rsid w:val="007E3758"/>
    <w:rsid w:val="007E3D13"/>
    <w:rsid w:val="007E3DC1"/>
    <w:rsid w:val="007E3E41"/>
    <w:rsid w:val="007E4217"/>
    <w:rsid w:val="007E4A66"/>
    <w:rsid w:val="007E522B"/>
    <w:rsid w:val="007E57DD"/>
    <w:rsid w:val="007E621D"/>
    <w:rsid w:val="007E6802"/>
    <w:rsid w:val="007E6B7A"/>
    <w:rsid w:val="007E6C35"/>
    <w:rsid w:val="007E751C"/>
    <w:rsid w:val="007F011F"/>
    <w:rsid w:val="007F038F"/>
    <w:rsid w:val="007F0D72"/>
    <w:rsid w:val="007F1149"/>
    <w:rsid w:val="007F1619"/>
    <w:rsid w:val="007F19C6"/>
    <w:rsid w:val="007F1B80"/>
    <w:rsid w:val="007F1F63"/>
    <w:rsid w:val="007F2750"/>
    <w:rsid w:val="007F2AFB"/>
    <w:rsid w:val="007F2CC1"/>
    <w:rsid w:val="007F2DEB"/>
    <w:rsid w:val="007F3325"/>
    <w:rsid w:val="007F3765"/>
    <w:rsid w:val="007F37F0"/>
    <w:rsid w:val="007F39DB"/>
    <w:rsid w:val="007F3C8D"/>
    <w:rsid w:val="007F4164"/>
    <w:rsid w:val="007F5655"/>
    <w:rsid w:val="007F56E8"/>
    <w:rsid w:val="007F5715"/>
    <w:rsid w:val="007F582B"/>
    <w:rsid w:val="007F5A94"/>
    <w:rsid w:val="007F5AD3"/>
    <w:rsid w:val="007F604A"/>
    <w:rsid w:val="007F6202"/>
    <w:rsid w:val="007F635D"/>
    <w:rsid w:val="007F63F2"/>
    <w:rsid w:val="007F67FB"/>
    <w:rsid w:val="007F7216"/>
    <w:rsid w:val="007F73B9"/>
    <w:rsid w:val="007F771E"/>
    <w:rsid w:val="008006A9"/>
    <w:rsid w:val="00800C76"/>
    <w:rsid w:val="00801236"/>
    <w:rsid w:val="008014AE"/>
    <w:rsid w:val="00801A3A"/>
    <w:rsid w:val="00801C3E"/>
    <w:rsid w:val="00801D40"/>
    <w:rsid w:val="0080258B"/>
    <w:rsid w:val="008027C3"/>
    <w:rsid w:val="00802A9E"/>
    <w:rsid w:val="00802AAB"/>
    <w:rsid w:val="00802B54"/>
    <w:rsid w:val="00802F36"/>
    <w:rsid w:val="0080332F"/>
    <w:rsid w:val="0080344F"/>
    <w:rsid w:val="0080345D"/>
    <w:rsid w:val="008035E3"/>
    <w:rsid w:val="008035F8"/>
    <w:rsid w:val="00803BA5"/>
    <w:rsid w:val="00803F20"/>
    <w:rsid w:val="008040AD"/>
    <w:rsid w:val="00804486"/>
    <w:rsid w:val="008048B9"/>
    <w:rsid w:val="00804FB8"/>
    <w:rsid w:val="008052EA"/>
    <w:rsid w:val="0080588E"/>
    <w:rsid w:val="008060DE"/>
    <w:rsid w:val="00806DB0"/>
    <w:rsid w:val="00807199"/>
    <w:rsid w:val="008071B7"/>
    <w:rsid w:val="0080747C"/>
    <w:rsid w:val="008077A5"/>
    <w:rsid w:val="0080791E"/>
    <w:rsid w:val="008079C8"/>
    <w:rsid w:val="00810290"/>
    <w:rsid w:val="008104B1"/>
    <w:rsid w:val="008107E3"/>
    <w:rsid w:val="00810B5E"/>
    <w:rsid w:val="00811973"/>
    <w:rsid w:val="00812210"/>
    <w:rsid w:val="008124A9"/>
    <w:rsid w:val="00812A03"/>
    <w:rsid w:val="008134D0"/>
    <w:rsid w:val="00813769"/>
    <w:rsid w:val="00813B03"/>
    <w:rsid w:val="00813C82"/>
    <w:rsid w:val="00813D96"/>
    <w:rsid w:val="008142FB"/>
    <w:rsid w:val="00814867"/>
    <w:rsid w:val="00814E6C"/>
    <w:rsid w:val="008151C3"/>
    <w:rsid w:val="00815372"/>
    <w:rsid w:val="008153DE"/>
    <w:rsid w:val="00815750"/>
    <w:rsid w:val="00815C34"/>
    <w:rsid w:val="00815E6C"/>
    <w:rsid w:val="00815F97"/>
    <w:rsid w:val="00817D62"/>
    <w:rsid w:val="00817D92"/>
    <w:rsid w:val="00820C29"/>
    <w:rsid w:val="00821510"/>
    <w:rsid w:val="00821898"/>
    <w:rsid w:val="00821BC2"/>
    <w:rsid w:val="00821C47"/>
    <w:rsid w:val="00821D09"/>
    <w:rsid w:val="00822236"/>
    <w:rsid w:val="0082247A"/>
    <w:rsid w:val="00822620"/>
    <w:rsid w:val="008227D8"/>
    <w:rsid w:val="00823747"/>
    <w:rsid w:val="00824C07"/>
    <w:rsid w:val="00824CA2"/>
    <w:rsid w:val="00825026"/>
    <w:rsid w:val="00826548"/>
    <w:rsid w:val="008270E3"/>
    <w:rsid w:val="0082719C"/>
    <w:rsid w:val="0082727A"/>
    <w:rsid w:val="008274AC"/>
    <w:rsid w:val="008276BD"/>
    <w:rsid w:val="00827D68"/>
    <w:rsid w:val="00827E6E"/>
    <w:rsid w:val="008300AB"/>
    <w:rsid w:val="0083119B"/>
    <w:rsid w:val="00831366"/>
    <w:rsid w:val="00831E52"/>
    <w:rsid w:val="00831FA9"/>
    <w:rsid w:val="00832165"/>
    <w:rsid w:val="008323D7"/>
    <w:rsid w:val="00832BEF"/>
    <w:rsid w:val="00833229"/>
    <w:rsid w:val="008333DF"/>
    <w:rsid w:val="0083351E"/>
    <w:rsid w:val="008335C2"/>
    <w:rsid w:val="00833FAA"/>
    <w:rsid w:val="008343E7"/>
    <w:rsid w:val="00834572"/>
    <w:rsid w:val="008349FA"/>
    <w:rsid w:val="00834DA7"/>
    <w:rsid w:val="00834E4F"/>
    <w:rsid w:val="00834E90"/>
    <w:rsid w:val="008350EB"/>
    <w:rsid w:val="008353D8"/>
    <w:rsid w:val="00835455"/>
    <w:rsid w:val="00835A26"/>
    <w:rsid w:val="008361F2"/>
    <w:rsid w:val="0083679E"/>
    <w:rsid w:val="00836E5E"/>
    <w:rsid w:val="00837289"/>
    <w:rsid w:val="00837DF4"/>
    <w:rsid w:val="00837ECF"/>
    <w:rsid w:val="00840012"/>
    <w:rsid w:val="00840331"/>
    <w:rsid w:val="00840542"/>
    <w:rsid w:val="00841010"/>
    <w:rsid w:val="00841961"/>
    <w:rsid w:val="00841C4C"/>
    <w:rsid w:val="008422DD"/>
    <w:rsid w:val="00842415"/>
    <w:rsid w:val="00843265"/>
    <w:rsid w:val="0084346D"/>
    <w:rsid w:val="0084362D"/>
    <w:rsid w:val="0084379C"/>
    <w:rsid w:val="00843CBB"/>
    <w:rsid w:val="00843D4F"/>
    <w:rsid w:val="00844259"/>
    <w:rsid w:val="0084426E"/>
    <w:rsid w:val="0084478E"/>
    <w:rsid w:val="00844C70"/>
    <w:rsid w:val="00844DE4"/>
    <w:rsid w:val="008450F2"/>
    <w:rsid w:val="00845195"/>
    <w:rsid w:val="008452F0"/>
    <w:rsid w:val="00845496"/>
    <w:rsid w:val="00845586"/>
    <w:rsid w:val="008455BA"/>
    <w:rsid w:val="00845D92"/>
    <w:rsid w:val="00845FD4"/>
    <w:rsid w:val="00846478"/>
    <w:rsid w:val="008465BC"/>
    <w:rsid w:val="0084770B"/>
    <w:rsid w:val="008479F9"/>
    <w:rsid w:val="00847F9C"/>
    <w:rsid w:val="008502EE"/>
    <w:rsid w:val="008507BF"/>
    <w:rsid w:val="00850D29"/>
    <w:rsid w:val="00851479"/>
    <w:rsid w:val="0085187F"/>
    <w:rsid w:val="00851BD3"/>
    <w:rsid w:val="00851DCB"/>
    <w:rsid w:val="008524F0"/>
    <w:rsid w:val="00852BE9"/>
    <w:rsid w:val="00852E89"/>
    <w:rsid w:val="008530C4"/>
    <w:rsid w:val="00853BE3"/>
    <w:rsid w:val="0085400A"/>
    <w:rsid w:val="00854443"/>
    <w:rsid w:val="0085466E"/>
    <w:rsid w:val="008546CB"/>
    <w:rsid w:val="0085490D"/>
    <w:rsid w:val="0085537F"/>
    <w:rsid w:val="00855749"/>
    <w:rsid w:val="00855764"/>
    <w:rsid w:val="008558C0"/>
    <w:rsid w:val="00855B8C"/>
    <w:rsid w:val="008565A8"/>
    <w:rsid w:val="008567F3"/>
    <w:rsid w:val="00856BFD"/>
    <w:rsid w:val="008578BD"/>
    <w:rsid w:val="00860764"/>
    <w:rsid w:val="00860ACD"/>
    <w:rsid w:val="00860BF0"/>
    <w:rsid w:val="008614B3"/>
    <w:rsid w:val="00861533"/>
    <w:rsid w:val="008619CC"/>
    <w:rsid w:val="00861A45"/>
    <w:rsid w:val="00861AE3"/>
    <w:rsid w:val="00861DB1"/>
    <w:rsid w:val="00861DB3"/>
    <w:rsid w:val="00861DE7"/>
    <w:rsid w:val="00861F58"/>
    <w:rsid w:val="00861FCD"/>
    <w:rsid w:val="00863323"/>
    <w:rsid w:val="00863C20"/>
    <w:rsid w:val="00863D47"/>
    <w:rsid w:val="0086488E"/>
    <w:rsid w:val="00864AD9"/>
    <w:rsid w:val="00864C22"/>
    <w:rsid w:val="0086535F"/>
    <w:rsid w:val="0086558D"/>
    <w:rsid w:val="008659EF"/>
    <w:rsid w:val="00865D15"/>
    <w:rsid w:val="00865EA9"/>
    <w:rsid w:val="0086610C"/>
    <w:rsid w:val="008665DF"/>
    <w:rsid w:val="008667FD"/>
    <w:rsid w:val="00866A88"/>
    <w:rsid w:val="00866C05"/>
    <w:rsid w:val="00866DE2"/>
    <w:rsid w:val="0086718A"/>
    <w:rsid w:val="008679F5"/>
    <w:rsid w:val="00867AE8"/>
    <w:rsid w:val="008701C9"/>
    <w:rsid w:val="00870968"/>
    <w:rsid w:val="00870A26"/>
    <w:rsid w:val="00870D21"/>
    <w:rsid w:val="00870FB1"/>
    <w:rsid w:val="00871217"/>
    <w:rsid w:val="0087142A"/>
    <w:rsid w:val="00872235"/>
    <w:rsid w:val="0087228D"/>
    <w:rsid w:val="00872453"/>
    <w:rsid w:val="008726EA"/>
    <w:rsid w:val="00872D60"/>
    <w:rsid w:val="00873F44"/>
    <w:rsid w:val="008742A7"/>
    <w:rsid w:val="0087482F"/>
    <w:rsid w:val="00874BF3"/>
    <w:rsid w:val="00874C88"/>
    <w:rsid w:val="0087506D"/>
    <w:rsid w:val="00875281"/>
    <w:rsid w:val="0087530E"/>
    <w:rsid w:val="008758C5"/>
    <w:rsid w:val="008767D4"/>
    <w:rsid w:val="00876EFF"/>
    <w:rsid w:val="00877208"/>
    <w:rsid w:val="008778ED"/>
    <w:rsid w:val="00877A27"/>
    <w:rsid w:val="00877B9C"/>
    <w:rsid w:val="00877D2C"/>
    <w:rsid w:val="008803E8"/>
    <w:rsid w:val="00880840"/>
    <w:rsid w:val="00880AE0"/>
    <w:rsid w:val="00880EAB"/>
    <w:rsid w:val="00880F5E"/>
    <w:rsid w:val="008813AF"/>
    <w:rsid w:val="008815E3"/>
    <w:rsid w:val="00881623"/>
    <w:rsid w:val="00881D48"/>
    <w:rsid w:val="00882688"/>
    <w:rsid w:val="00882B45"/>
    <w:rsid w:val="0088306B"/>
    <w:rsid w:val="008839E8"/>
    <w:rsid w:val="0088449C"/>
    <w:rsid w:val="00884550"/>
    <w:rsid w:val="008846C5"/>
    <w:rsid w:val="00884BBE"/>
    <w:rsid w:val="008852F3"/>
    <w:rsid w:val="008858EE"/>
    <w:rsid w:val="00885AE6"/>
    <w:rsid w:val="00886646"/>
    <w:rsid w:val="00886A73"/>
    <w:rsid w:val="00886B54"/>
    <w:rsid w:val="00886CF6"/>
    <w:rsid w:val="0088713A"/>
    <w:rsid w:val="00887423"/>
    <w:rsid w:val="008878C1"/>
    <w:rsid w:val="008900E0"/>
    <w:rsid w:val="00890387"/>
    <w:rsid w:val="008908FF"/>
    <w:rsid w:val="00890CFA"/>
    <w:rsid w:val="0089177C"/>
    <w:rsid w:val="00892E4B"/>
    <w:rsid w:val="00893136"/>
    <w:rsid w:val="00893696"/>
    <w:rsid w:val="00893A4D"/>
    <w:rsid w:val="00894346"/>
    <w:rsid w:val="00895442"/>
    <w:rsid w:val="0089559A"/>
    <w:rsid w:val="00896018"/>
    <w:rsid w:val="00896589"/>
    <w:rsid w:val="008967B8"/>
    <w:rsid w:val="0089694C"/>
    <w:rsid w:val="008970CC"/>
    <w:rsid w:val="0089722C"/>
    <w:rsid w:val="008A00BD"/>
    <w:rsid w:val="008A062E"/>
    <w:rsid w:val="008A063B"/>
    <w:rsid w:val="008A11D0"/>
    <w:rsid w:val="008A146C"/>
    <w:rsid w:val="008A236B"/>
    <w:rsid w:val="008A245C"/>
    <w:rsid w:val="008A24D8"/>
    <w:rsid w:val="008A325F"/>
    <w:rsid w:val="008A3579"/>
    <w:rsid w:val="008A39B8"/>
    <w:rsid w:val="008A3DB7"/>
    <w:rsid w:val="008A459B"/>
    <w:rsid w:val="008A4A20"/>
    <w:rsid w:val="008A5833"/>
    <w:rsid w:val="008A5A4F"/>
    <w:rsid w:val="008A5AEB"/>
    <w:rsid w:val="008A60CA"/>
    <w:rsid w:val="008A6229"/>
    <w:rsid w:val="008A62B0"/>
    <w:rsid w:val="008A63F9"/>
    <w:rsid w:val="008A6922"/>
    <w:rsid w:val="008A69DB"/>
    <w:rsid w:val="008A6F3F"/>
    <w:rsid w:val="008A7884"/>
    <w:rsid w:val="008A7B98"/>
    <w:rsid w:val="008A7C17"/>
    <w:rsid w:val="008A7E42"/>
    <w:rsid w:val="008A7F52"/>
    <w:rsid w:val="008A7FC7"/>
    <w:rsid w:val="008B0170"/>
    <w:rsid w:val="008B01FC"/>
    <w:rsid w:val="008B046D"/>
    <w:rsid w:val="008B0791"/>
    <w:rsid w:val="008B07A1"/>
    <w:rsid w:val="008B0BD6"/>
    <w:rsid w:val="008B0E28"/>
    <w:rsid w:val="008B12A6"/>
    <w:rsid w:val="008B1751"/>
    <w:rsid w:val="008B1936"/>
    <w:rsid w:val="008B19DB"/>
    <w:rsid w:val="008B20B3"/>
    <w:rsid w:val="008B22FB"/>
    <w:rsid w:val="008B2EC6"/>
    <w:rsid w:val="008B3194"/>
    <w:rsid w:val="008B31DE"/>
    <w:rsid w:val="008B4431"/>
    <w:rsid w:val="008B5364"/>
    <w:rsid w:val="008B543F"/>
    <w:rsid w:val="008B6819"/>
    <w:rsid w:val="008B69CC"/>
    <w:rsid w:val="008B6D2B"/>
    <w:rsid w:val="008C045F"/>
    <w:rsid w:val="008C077C"/>
    <w:rsid w:val="008C0BF5"/>
    <w:rsid w:val="008C0EB6"/>
    <w:rsid w:val="008C194B"/>
    <w:rsid w:val="008C1F27"/>
    <w:rsid w:val="008C31F6"/>
    <w:rsid w:val="008C3323"/>
    <w:rsid w:val="008C3403"/>
    <w:rsid w:val="008C3446"/>
    <w:rsid w:val="008C358B"/>
    <w:rsid w:val="008C36F2"/>
    <w:rsid w:val="008C37A7"/>
    <w:rsid w:val="008C3E09"/>
    <w:rsid w:val="008C4B0E"/>
    <w:rsid w:val="008C527E"/>
    <w:rsid w:val="008C5B03"/>
    <w:rsid w:val="008C5B58"/>
    <w:rsid w:val="008C5C34"/>
    <w:rsid w:val="008C6099"/>
    <w:rsid w:val="008C670F"/>
    <w:rsid w:val="008C6BF5"/>
    <w:rsid w:val="008C6C2A"/>
    <w:rsid w:val="008C6DE6"/>
    <w:rsid w:val="008C75AA"/>
    <w:rsid w:val="008C7A68"/>
    <w:rsid w:val="008D05C8"/>
    <w:rsid w:val="008D0C3E"/>
    <w:rsid w:val="008D1D70"/>
    <w:rsid w:val="008D2963"/>
    <w:rsid w:val="008D2B1C"/>
    <w:rsid w:val="008D3546"/>
    <w:rsid w:val="008D37C9"/>
    <w:rsid w:val="008D3CB3"/>
    <w:rsid w:val="008D47E0"/>
    <w:rsid w:val="008D4B57"/>
    <w:rsid w:val="008D4DC4"/>
    <w:rsid w:val="008D56B4"/>
    <w:rsid w:val="008D56EA"/>
    <w:rsid w:val="008D6031"/>
    <w:rsid w:val="008D678B"/>
    <w:rsid w:val="008D6803"/>
    <w:rsid w:val="008D6FF6"/>
    <w:rsid w:val="008D7504"/>
    <w:rsid w:val="008D7A36"/>
    <w:rsid w:val="008D7F73"/>
    <w:rsid w:val="008E004C"/>
    <w:rsid w:val="008E0471"/>
    <w:rsid w:val="008E1471"/>
    <w:rsid w:val="008E20C2"/>
    <w:rsid w:val="008E2E04"/>
    <w:rsid w:val="008E2E80"/>
    <w:rsid w:val="008E336A"/>
    <w:rsid w:val="008E47B7"/>
    <w:rsid w:val="008E5302"/>
    <w:rsid w:val="008E5634"/>
    <w:rsid w:val="008E5744"/>
    <w:rsid w:val="008E618E"/>
    <w:rsid w:val="008E63FB"/>
    <w:rsid w:val="008E6447"/>
    <w:rsid w:val="008E6556"/>
    <w:rsid w:val="008E682B"/>
    <w:rsid w:val="008E6B1A"/>
    <w:rsid w:val="008E6E8B"/>
    <w:rsid w:val="008E7284"/>
    <w:rsid w:val="008E7A5E"/>
    <w:rsid w:val="008E7C37"/>
    <w:rsid w:val="008E7DA8"/>
    <w:rsid w:val="008F0A2F"/>
    <w:rsid w:val="008F0B57"/>
    <w:rsid w:val="008F0E93"/>
    <w:rsid w:val="008F10F9"/>
    <w:rsid w:val="008F118C"/>
    <w:rsid w:val="008F133F"/>
    <w:rsid w:val="008F13C8"/>
    <w:rsid w:val="008F1C5A"/>
    <w:rsid w:val="008F24D6"/>
    <w:rsid w:val="008F2D3A"/>
    <w:rsid w:val="008F30BB"/>
    <w:rsid w:val="008F31B2"/>
    <w:rsid w:val="008F3A4E"/>
    <w:rsid w:val="008F3EC7"/>
    <w:rsid w:val="008F3FF1"/>
    <w:rsid w:val="008F4208"/>
    <w:rsid w:val="008F42F8"/>
    <w:rsid w:val="008F43EE"/>
    <w:rsid w:val="008F4526"/>
    <w:rsid w:val="008F462A"/>
    <w:rsid w:val="008F4DC7"/>
    <w:rsid w:val="008F504F"/>
    <w:rsid w:val="008F5D1F"/>
    <w:rsid w:val="008F5DA3"/>
    <w:rsid w:val="008F6B29"/>
    <w:rsid w:val="008F6D0B"/>
    <w:rsid w:val="008F6D4C"/>
    <w:rsid w:val="008F719D"/>
    <w:rsid w:val="008F7524"/>
    <w:rsid w:val="008F7A53"/>
    <w:rsid w:val="008F7C41"/>
    <w:rsid w:val="00900001"/>
    <w:rsid w:val="009002D4"/>
    <w:rsid w:val="0090049E"/>
    <w:rsid w:val="0090174B"/>
    <w:rsid w:val="009020BD"/>
    <w:rsid w:val="009026EA"/>
    <w:rsid w:val="00902C26"/>
    <w:rsid w:val="00902D91"/>
    <w:rsid w:val="009037AA"/>
    <w:rsid w:val="00904053"/>
    <w:rsid w:val="009044C2"/>
    <w:rsid w:val="00904C1D"/>
    <w:rsid w:val="009053EC"/>
    <w:rsid w:val="00906196"/>
    <w:rsid w:val="00906802"/>
    <w:rsid w:val="00906C71"/>
    <w:rsid w:val="00906C84"/>
    <w:rsid w:val="00907488"/>
    <w:rsid w:val="0090752F"/>
    <w:rsid w:val="00907596"/>
    <w:rsid w:val="0090766C"/>
    <w:rsid w:val="009078C6"/>
    <w:rsid w:val="00907D74"/>
    <w:rsid w:val="00910DD0"/>
    <w:rsid w:val="009117CE"/>
    <w:rsid w:val="00912454"/>
    <w:rsid w:val="009125E0"/>
    <w:rsid w:val="009131AA"/>
    <w:rsid w:val="009133C4"/>
    <w:rsid w:val="00913659"/>
    <w:rsid w:val="009138B9"/>
    <w:rsid w:val="00913B73"/>
    <w:rsid w:val="009140A2"/>
    <w:rsid w:val="00914B16"/>
    <w:rsid w:val="00914EC6"/>
    <w:rsid w:val="00915037"/>
    <w:rsid w:val="00915173"/>
    <w:rsid w:val="00915476"/>
    <w:rsid w:val="009158FA"/>
    <w:rsid w:val="00915D2C"/>
    <w:rsid w:val="00916352"/>
    <w:rsid w:val="009163BA"/>
    <w:rsid w:val="0091643D"/>
    <w:rsid w:val="00916892"/>
    <w:rsid w:val="0091693F"/>
    <w:rsid w:val="00916CF2"/>
    <w:rsid w:val="00916E51"/>
    <w:rsid w:val="00917122"/>
    <w:rsid w:val="0091730B"/>
    <w:rsid w:val="00917A09"/>
    <w:rsid w:val="00917A0A"/>
    <w:rsid w:val="00917B8F"/>
    <w:rsid w:val="00917E0A"/>
    <w:rsid w:val="009200A2"/>
    <w:rsid w:val="00920724"/>
    <w:rsid w:val="009213D4"/>
    <w:rsid w:val="00921521"/>
    <w:rsid w:val="00921BB5"/>
    <w:rsid w:val="00921D40"/>
    <w:rsid w:val="00921E0B"/>
    <w:rsid w:val="00922023"/>
    <w:rsid w:val="009220C3"/>
    <w:rsid w:val="0092247E"/>
    <w:rsid w:val="00922858"/>
    <w:rsid w:val="00922A47"/>
    <w:rsid w:val="009232C4"/>
    <w:rsid w:val="0092369F"/>
    <w:rsid w:val="00923733"/>
    <w:rsid w:val="00923B9E"/>
    <w:rsid w:val="00923F05"/>
    <w:rsid w:val="0092403D"/>
    <w:rsid w:val="009240B6"/>
    <w:rsid w:val="00924D6E"/>
    <w:rsid w:val="00924EDD"/>
    <w:rsid w:val="0092534A"/>
    <w:rsid w:val="009257D2"/>
    <w:rsid w:val="00925915"/>
    <w:rsid w:val="00925960"/>
    <w:rsid w:val="0092597C"/>
    <w:rsid w:val="00926186"/>
    <w:rsid w:val="00926305"/>
    <w:rsid w:val="009269EF"/>
    <w:rsid w:val="0092722D"/>
    <w:rsid w:val="00927B46"/>
    <w:rsid w:val="00930D7D"/>
    <w:rsid w:val="009324CC"/>
    <w:rsid w:val="00932D4E"/>
    <w:rsid w:val="00933185"/>
    <w:rsid w:val="009331B4"/>
    <w:rsid w:val="0093352F"/>
    <w:rsid w:val="00933BFB"/>
    <w:rsid w:val="0093409D"/>
    <w:rsid w:val="00934202"/>
    <w:rsid w:val="00934391"/>
    <w:rsid w:val="00934852"/>
    <w:rsid w:val="00934946"/>
    <w:rsid w:val="00934A9E"/>
    <w:rsid w:val="00934F22"/>
    <w:rsid w:val="00935051"/>
    <w:rsid w:val="0093524B"/>
    <w:rsid w:val="00935C05"/>
    <w:rsid w:val="00935CBA"/>
    <w:rsid w:val="00936A3F"/>
    <w:rsid w:val="00936A69"/>
    <w:rsid w:val="00936D35"/>
    <w:rsid w:val="00936F2E"/>
    <w:rsid w:val="009372B5"/>
    <w:rsid w:val="00937FA2"/>
    <w:rsid w:val="00940A8A"/>
    <w:rsid w:val="00940B84"/>
    <w:rsid w:val="00940C22"/>
    <w:rsid w:val="00940FFE"/>
    <w:rsid w:val="009415D2"/>
    <w:rsid w:val="009418F0"/>
    <w:rsid w:val="00942574"/>
    <w:rsid w:val="00942841"/>
    <w:rsid w:val="009429F2"/>
    <w:rsid w:val="00942FAA"/>
    <w:rsid w:val="00943085"/>
    <w:rsid w:val="0094311E"/>
    <w:rsid w:val="00943279"/>
    <w:rsid w:val="00943468"/>
    <w:rsid w:val="00943A87"/>
    <w:rsid w:val="00943BFB"/>
    <w:rsid w:val="0094429C"/>
    <w:rsid w:val="009442B2"/>
    <w:rsid w:val="00944BB8"/>
    <w:rsid w:val="00945607"/>
    <w:rsid w:val="00945727"/>
    <w:rsid w:val="00945D0E"/>
    <w:rsid w:val="00946114"/>
    <w:rsid w:val="009467A2"/>
    <w:rsid w:val="009471F9"/>
    <w:rsid w:val="0094728D"/>
    <w:rsid w:val="009476CE"/>
    <w:rsid w:val="00947A08"/>
    <w:rsid w:val="00947A0A"/>
    <w:rsid w:val="00947A15"/>
    <w:rsid w:val="00947E28"/>
    <w:rsid w:val="00947F98"/>
    <w:rsid w:val="009500C3"/>
    <w:rsid w:val="009506DE"/>
    <w:rsid w:val="00950A58"/>
    <w:rsid w:val="00950EE8"/>
    <w:rsid w:val="00951BA4"/>
    <w:rsid w:val="00952B47"/>
    <w:rsid w:val="00953562"/>
    <w:rsid w:val="00953755"/>
    <w:rsid w:val="00954877"/>
    <w:rsid w:val="00954B2F"/>
    <w:rsid w:val="0095511E"/>
    <w:rsid w:val="00955187"/>
    <w:rsid w:val="009554DA"/>
    <w:rsid w:val="00955712"/>
    <w:rsid w:val="00955724"/>
    <w:rsid w:val="00955FB0"/>
    <w:rsid w:val="009561F1"/>
    <w:rsid w:val="009563CC"/>
    <w:rsid w:val="009568CC"/>
    <w:rsid w:val="00957436"/>
    <w:rsid w:val="00957B27"/>
    <w:rsid w:val="00957D54"/>
    <w:rsid w:val="00960304"/>
    <w:rsid w:val="00960538"/>
    <w:rsid w:val="0096094A"/>
    <w:rsid w:val="00960E30"/>
    <w:rsid w:val="00960F09"/>
    <w:rsid w:val="00960F23"/>
    <w:rsid w:val="00961046"/>
    <w:rsid w:val="009611EB"/>
    <w:rsid w:val="0096176F"/>
    <w:rsid w:val="00961DEA"/>
    <w:rsid w:val="009620D3"/>
    <w:rsid w:val="0096290C"/>
    <w:rsid w:val="00962D62"/>
    <w:rsid w:val="00963475"/>
    <w:rsid w:val="00963897"/>
    <w:rsid w:val="00963F14"/>
    <w:rsid w:val="00963F5B"/>
    <w:rsid w:val="009643FF"/>
    <w:rsid w:val="00964AD2"/>
    <w:rsid w:val="00964EF8"/>
    <w:rsid w:val="00965334"/>
    <w:rsid w:val="00965497"/>
    <w:rsid w:val="0096554A"/>
    <w:rsid w:val="00965DF9"/>
    <w:rsid w:val="00965EE3"/>
    <w:rsid w:val="00966A4D"/>
    <w:rsid w:val="00966C31"/>
    <w:rsid w:val="00966E64"/>
    <w:rsid w:val="00967343"/>
    <w:rsid w:val="00967633"/>
    <w:rsid w:val="00967A58"/>
    <w:rsid w:val="00967C5D"/>
    <w:rsid w:val="00970353"/>
    <w:rsid w:val="009703B6"/>
    <w:rsid w:val="009706B4"/>
    <w:rsid w:val="00970871"/>
    <w:rsid w:val="0097095F"/>
    <w:rsid w:val="00970EC1"/>
    <w:rsid w:val="00971681"/>
    <w:rsid w:val="00971F14"/>
    <w:rsid w:val="00972404"/>
    <w:rsid w:val="00972857"/>
    <w:rsid w:val="00972B57"/>
    <w:rsid w:val="009741D7"/>
    <w:rsid w:val="0097444F"/>
    <w:rsid w:val="009745C0"/>
    <w:rsid w:val="009747BE"/>
    <w:rsid w:val="0097505E"/>
    <w:rsid w:val="00975223"/>
    <w:rsid w:val="009754D7"/>
    <w:rsid w:val="00976022"/>
    <w:rsid w:val="009766FC"/>
    <w:rsid w:val="009767CE"/>
    <w:rsid w:val="009769C6"/>
    <w:rsid w:val="0097736D"/>
    <w:rsid w:val="00977CD7"/>
    <w:rsid w:val="00977EC9"/>
    <w:rsid w:val="00980020"/>
    <w:rsid w:val="00980455"/>
    <w:rsid w:val="0098049D"/>
    <w:rsid w:val="009806FB"/>
    <w:rsid w:val="00980ACA"/>
    <w:rsid w:val="00980CDB"/>
    <w:rsid w:val="00980DB7"/>
    <w:rsid w:val="00981255"/>
    <w:rsid w:val="00981441"/>
    <w:rsid w:val="00981667"/>
    <w:rsid w:val="0098186F"/>
    <w:rsid w:val="00982609"/>
    <w:rsid w:val="00982739"/>
    <w:rsid w:val="00982869"/>
    <w:rsid w:val="0098290A"/>
    <w:rsid w:val="0098420B"/>
    <w:rsid w:val="00984370"/>
    <w:rsid w:val="0098452C"/>
    <w:rsid w:val="0098472E"/>
    <w:rsid w:val="00984BC0"/>
    <w:rsid w:val="00984EA5"/>
    <w:rsid w:val="00985339"/>
    <w:rsid w:val="009855CE"/>
    <w:rsid w:val="00985C96"/>
    <w:rsid w:val="00985F9E"/>
    <w:rsid w:val="009861AD"/>
    <w:rsid w:val="009868A6"/>
    <w:rsid w:val="00987288"/>
    <w:rsid w:val="00987644"/>
    <w:rsid w:val="00987657"/>
    <w:rsid w:val="00990AEC"/>
    <w:rsid w:val="00990CB5"/>
    <w:rsid w:val="009915D9"/>
    <w:rsid w:val="0099171D"/>
    <w:rsid w:val="00991CB8"/>
    <w:rsid w:val="00991E84"/>
    <w:rsid w:val="00992BCE"/>
    <w:rsid w:val="00992D1E"/>
    <w:rsid w:val="0099361A"/>
    <w:rsid w:val="00993B59"/>
    <w:rsid w:val="00994610"/>
    <w:rsid w:val="00994D25"/>
    <w:rsid w:val="009950CC"/>
    <w:rsid w:val="0099513F"/>
    <w:rsid w:val="00995C5F"/>
    <w:rsid w:val="00996011"/>
    <w:rsid w:val="00996407"/>
    <w:rsid w:val="00996914"/>
    <w:rsid w:val="00996DC0"/>
    <w:rsid w:val="00997380"/>
    <w:rsid w:val="009974C1"/>
    <w:rsid w:val="00997FC9"/>
    <w:rsid w:val="009A041A"/>
    <w:rsid w:val="009A0450"/>
    <w:rsid w:val="009A049D"/>
    <w:rsid w:val="009A0868"/>
    <w:rsid w:val="009A0DCF"/>
    <w:rsid w:val="009A1B6F"/>
    <w:rsid w:val="009A1C23"/>
    <w:rsid w:val="009A1E7D"/>
    <w:rsid w:val="009A299B"/>
    <w:rsid w:val="009A3050"/>
    <w:rsid w:val="009A312E"/>
    <w:rsid w:val="009A3143"/>
    <w:rsid w:val="009A31B1"/>
    <w:rsid w:val="009A3DCC"/>
    <w:rsid w:val="009A3DEA"/>
    <w:rsid w:val="009A417B"/>
    <w:rsid w:val="009A489B"/>
    <w:rsid w:val="009A495E"/>
    <w:rsid w:val="009A4A2C"/>
    <w:rsid w:val="009A4D47"/>
    <w:rsid w:val="009A51D9"/>
    <w:rsid w:val="009A541E"/>
    <w:rsid w:val="009A5537"/>
    <w:rsid w:val="009A5B39"/>
    <w:rsid w:val="009A6365"/>
    <w:rsid w:val="009A665B"/>
    <w:rsid w:val="009A6F4E"/>
    <w:rsid w:val="009A71F9"/>
    <w:rsid w:val="009A723F"/>
    <w:rsid w:val="009A72FE"/>
    <w:rsid w:val="009B01E3"/>
    <w:rsid w:val="009B057B"/>
    <w:rsid w:val="009B0DCE"/>
    <w:rsid w:val="009B1445"/>
    <w:rsid w:val="009B19B0"/>
    <w:rsid w:val="009B25B6"/>
    <w:rsid w:val="009B2657"/>
    <w:rsid w:val="009B2B07"/>
    <w:rsid w:val="009B2B64"/>
    <w:rsid w:val="009B2CCE"/>
    <w:rsid w:val="009B38C1"/>
    <w:rsid w:val="009B3FBC"/>
    <w:rsid w:val="009B427F"/>
    <w:rsid w:val="009B4B0E"/>
    <w:rsid w:val="009B5000"/>
    <w:rsid w:val="009B56F2"/>
    <w:rsid w:val="009B57FE"/>
    <w:rsid w:val="009B5849"/>
    <w:rsid w:val="009B5B86"/>
    <w:rsid w:val="009B5D91"/>
    <w:rsid w:val="009B62B2"/>
    <w:rsid w:val="009B6444"/>
    <w:rsid w:val="009B64B5"/>
    <w:rsid w:val="009B66EC"/>
    <w:rsid w:val="009B6AF8"/>
    <w:rsid w:val="009B7317"/>
    <w:rsid w:val="009B74A4"/>
    <w:rsid w:val="009B7742"/>
    <w:rsid w:val="009B7998"/>
    <w:rsid w:val="009B79E1"/>
    <w:rsid w:val="009B7F9D"/>
    <w:rsid w:val="009C08F5"/>
    <w:rsid w:val="009C0E59"/>
    <w:rsid w:val="009C1034"/>
    <w:rsid w:val="009C167A"/>
    <w:rsid w:val="009C1867"/>
    <w:rsid w:val="009C2079"/>
    <w:rsid w:val="009C2409"/>
    <w:rsid w:val="009C2E78"/>
    <w:rsid w:val="009C3161"/>
    <w:rsid w:val="009C3394"/>
    <w:rsid w:val="009C3E40"/>
    <w:rsid w:val="009C3F79"/>
    <w:rsid w:val="009C40EB"/>
    <w:rsid w:val="009C4479"/>
    <w:rsid w:val="009C47BE"/>
    <w:rsid w:val="009C52EA"/>
    <w:rsid w:val="009C5B3D"/>
    <w:rsid w:val="009C5C3D"/>
    <w:rsid w:val="009C5FAE"/>
    <w:rsid w:val="009C684B"/>
    <w:rsid w:val="009C72A2"/>
    <w:rsid w:val="009C7623"/>
    <w:rsid w:val="009C7E2A"/>
    <w:rsid w:val="009D0802"/>
    <w:rsid w:val="009D1444"/>
    <w:rsid w:val="009D181F"/>
    <w:rsid w:val="009D1B5C"/>
    <w:rsid w:val="009D1B8C"/>
    <w:rsid w:val="009D21F8"/>
    <w:rsid w:val="009D2A7D"/>
    <w:rsid w:val="009D31FC"/>
    <w:rsid w:val="009D39C9"/>
    <w:rsid w:val="009D4137"/>
    <w:rsid w:val="009D41C8"/>
    <w:rsid w:val="009D4779"/>
    <w:rsid w:val="009D55F5"/>
    <w:rsid w:val="009D57FB"/>
    <w:rsid w:val="009D58B6"/>
    <w:rsid w:val="009D58FE"/>
    <w:rsid w:val="009D5A78"/>
    <w:rsid w:val="009D5AF4"/>
    <w:rsid w:val="009D5E13"/>
    <w:rsid w:val="009D5F77"/>
    <w:rsid w:val="009D5FE1"/>
    <w:rsid w:val="009D6179"/>
    <w:rsid w:val="009D74EB"/>
    <w:rsid w:val="009D75B2"/>
    <w:rsid w:val="009E0738"/>
    <w:rsid w:val="009E08AB"/>
    <w:rsid w:val="009E1122"/>
    <w:rsid w:val="009E1401"/>
    <w:rsid w:val="009E186C"/>
    <w:rsid w:val="009E1F13"/>
    <w:rsid w:val="009E2153"/>
    <w:rsid w:val="009E31EB"/>
    <w:rsid w:val="009E3603"/>
    <w:rsid w:val="009E44DE"/>
    <w:rsid w:val="009E4607"/>
    <w:rsid w:val="009E4F86"/>
    <w:rsid w:val="009E58EA"/>
    <w:rsid w:val="009E59B2"/>
    <w:rsid w:val="009E63C4"/>
    <w:rsid w:val="009E655D"/>
    <w:rsid w:val="009E6F7E"/>
    <w:rsid w:val="009E72E5"/>
    <w:rsid w:val="009E7ABB"/>
    <w:rsid w:val="009F01A1"/>
    <w:rsid w:val="009F09A6"/>
    <w:rsid w:val="009F09D9"/>
    <w:rsid w:val="009F0EBD"/>
    <w:rsid w:val="009F119C"/>
    <w:rsid w:val="009F1ABB"/>
    <w:rsid w:val="009F1CB5"/>
    <w:rsid w:val="009F26EF"/>
    <w:rsid w:val="009F28E0"/>
    <w:rsid w:val="009F3059"/>
    <w:rsid w:val="009F367D"/>
    <w:rsid w:val="009F375D"/>
    <w:rsid w:val="009F4739"/>
    <w:rsid w:val="009F4DF3"/>
    <w:rsid w:val="009F55AA"/>
    <w:rsid w:val="009F579D"/>
    <w:rsid w:val="009F5812"/>
    <w:rsid w:val="009F5819"/>
    <w:rsid w:val="009F5B64"/>
    <w:rsid w:val="009F5D04"/>
    <w:rsid w:val="009F63FC"/>
    <w:rsid w:val="009F642F"/>
    <w:rsid w:val="009F645F"/>
    <w:rsid w:val="009F64C2"/>
    <w:rsid w:val="009F6532"/>
    <w:rsid w:val="009F6631"/>
    <w:rsid w:val="009F6B12"/>
    <w:rsid w:val="009F6C94"/>
    <w:rsid w:val="009F70BF"/>
    <w:rsid w:val="009F7751"/>
    <w:rsid w:val="009F7AA8"/>
    <w:rsid w:val="009F7E73"/>
    <w:rsid w:val="00A00307"/>
    <w:rsid w:val="00A00CBA"/>
    <w:rsid w:val="00A0109E"/>
    <w:rsid w:val="00A01355"/>
    <w:rsid w:val="00A016BF"/>
    <w:rsid w:val="00A01F39"/>
    <w:rsid w:val="00A020AB"/>
    <w:rsid w:val="00A025DC"/>
    <w:rsid w:val="00A027C5"/>
    <w:rsid w:val="00A02A12"/>
    <w:rsid w:val="00A02DAE"/>
    <w:rsid w:val="00A03087"/>
    <w:rsid w:val="00A039B1"/>
    <w:rsid w:val="00A06424"/>
    <w:rsid w:val="00A06818"/>
    <w:rsid w:val="00A06834"/>
    <w:rsid w:val="00A071F8"/>
    <w:rsid w:val="00A07260"/>
    <w:rsid w:val="00A07C50"/>
    <w:rsid w:val="00A07EDC"/>
    <w:rsid w:val="00A11917"/>
    <w:rsid w:val="00A11FBD"/>
    <w:rsid w:val="00A12335"/>
    <w:rsid w:val="00A1255F"/>
    <w:rsid w:val="00A127CF"/>
    <w:rsid w:val="00A12906"/>
    <w:rsid w:val="00A12ED3"/>
    <w:rsid w:val="00A130B4"/>
    <w:rsid w:val="00A13255"/>
    <w:rsid w:val="00A13BFE"/>
    <w:rsid w:val="00A13CCB"/>
    <w:rsid w:val="00A13FBB"/>
    <w:rsid w:val="00A142D9"/>
    <w:rsid w:val="00A143C7"/>
    <w:rsid w:val="00A14440"/>
    <w:rsid w:val="00A1454B"/>
    <w:rsid w:val="00A1496E"/>
    <w:rsid w:val="00A14DD3"/>
    <w:rsid w:val="00A153A0"/>
    <w:rsid w:val="00A15B5C"/>
    <w:rsid w:val="00A15D68"/>
    <w:rsid w:val="00A1610A"/>
    <w:rsid w:val="00A1647B"/>
    <w:rsid w:val="00A16F07"/>
    <w:rsid w:val="00A17224"/>
    <w:rsid w:val="00A17338"/>
    <w:rsid w:val="00A1764D"/>
    <w:rsid w:val="00A17BDC"/>
    <w:rsid w:val="00A17D6A"/>
    <w:rsid w:val="00A20884"/>
    <w:rsid w:val="00A20DFA"/>
    <w:rsid w:val="00A20E03"/>
    <w:rsid w:val="00A20F7D"/>
    <w:rsid w:val="00A21194"/>
    <w:rsid w:val="00A212AF"/>
    <w:rsid w:val="00A21ADB"/>
    <w:rsid w:val="00A22F8B"/>
    <w:rsid w:val="00A23BF8"/>
    <w:rsid w:val="00A23E92"/>
    <w:rsid w:val="00A24A8E"/>
    <w:rsid w:val="00A24ADB"/>
    <w:rsid w:val="00A25A4F"/>
    <w:rsid w:val="00A25AAD"/>
    <w:rsid w:val="00A267B9"/>
    <w:rsid w:val="00A26AC3"/>
    <w:rsid w:val="00A2719F"/>
    <w:rsid w:val="00A2731F"/>
    <w:rsid w:val="00A273FD"/>
    <w:rsid w:val="00A304EA"/>
    <w:rsid w:val="00A308D7"/>
    <w:rsid w:val="00A311E0"/>
    <w:rsid w:val="00A31799"/>
    <w:rsid w:val="00A31978"/>
    <w:rsid w:val="00A329A9"/>
    <w:rsid w:val="00A32B6A"/>
    <w:rsid w:val="00A32C72"/>
    <w:rsid w:val="00A32D13"/>
    <w:rsid w:val="00A336E9"/>
    <w:rsid w:val="00A33A55"/>
    <w:rsid w:val="00A34386"/>
    <w:rsid w:val="00A344F3"/>
    <w:rsid w:val="00A34F44"/>
    <w:rsid w:val="00A359F4"/>
    <w:rsid w:val="00A35B2B"/>
    <w:rsid w:val="00A35F7B"/>
    <w:rsid w:val="00A36096"/>
    <w:rsid w:val="00A369C1"/>
    <w:rsid w:val="00A36D9D"/>
    <w:rsid w:val="00A37140"/>
    <w:rsid w:val="00A40FD7"/>
    <w:rsid w:val="00A4124B"/>
    <w:rsid w:val="00A4202A"/>
    <w:rsid w:val="00A42195"/>
    <w:rsid w:val="00A42294"/>
    <w:rsid w:val="00A42530"/>
    <w:rsid w:val="00A42868"/>
    <w:rsid w:val="00A42CFF"/>
    <w:rsid w:val="00A42E79"/>
    <w:rsid w:val="00A4376A"/>
    <w:rsid w:val="00A437EE"/>
    <w:rsid w:val="00A4394B"/>
    <w:rsid w:val="00A43B89"/>
    <w:rsid w:val="00A43E16"/>
    <w:rsid w:val="00A44377"/>
    <w:rsid w:val="00A44686"/>
    <w:rsid w:val="00A44959"/>
    <w:rsid w:val="00A44BCA"/>
    <w:rsid w:val="00A44E35"/>
    <w:rsid w:val="00A454C3"/>
    <w:rsid w:val="00A45909"/>
    <w:rsid w:val="00A4690C"/>
    <w:rsid w:val="00A469E1"/>
    <w:rsid w:val="00A46BA5"/>
    <w:rsid w:val="00A4752F"/>
    <w:rsid w:val="00A47EAC"/>
    <w:rsid w:val="00A50A7E"/>
    <w:rsid w:val="00A511A8"/>
    <w:rsid w:val="00A51418"/>
    <w:rsid w:val="00A51648"/>
    <w:rsid w:val="00A52928"/>
    <w:rsid w:val="00A529BF"/>
    <w:rsid w:val="00A5318E"/>
    <w:rsid w:val="00A53DD8"/>
    <w:rsid w:val="00A543C7"/>
    <w:rsid w:val="00A54BAA"/>
    <w:rsid w:val="00A552BF"/>
    <w:rsid w:val="00A5571A"/>
    <w:rsid w:val="00A55941"/>
    <w:rsid w:val="00A559AD"/>
    <w:rsid w:val="00A55A97"/>
    <w:rsid w:val="00A55CB8"/>
    <w:rsid w:val="00A564E4"/>
    <w:rsid w:val="00A56AF8"/>
    <w:rsid w:val="00A56C69"/>
    <w:rsid w:val="00A574CE"/>
    <w:rsid w:val="00A57BD3"/>
    <w:rsid w:val="00A57E2C"/>
    <w:rsid w:val="00A601A2"/>
    <w:rsid w:val="00A6020E"/>
    <w:rsid w:val="00A602D0"/>
    <w:rsid w:val="00A60BD4"/>
    <w:rsid w:val="00A60CD5"/>
    <w:rsid w:val="00A60D1C"/>
    <w:rsid w:val="00A60EB7"/>
    <w:rsid w:val="00A60F0D"/>
    <w:rsid w:val="00A62004"/>
    <w:rsid w:val="00A62443"/>
    <w:rsid w:val="00A62CA3"/>
    <w:rsid w:val="00A62E63"/>
    <w:rsid w:val="00A62EB1"/>
    <w:rsid w:val="00A63ADA"/>
    <w:rsid w:val="00A63F89"/>
    <w:rsid w:val="00A64291"/>
    <w:rsid w:val="00A64848"/>
    <w:rsid w:val="00A64C6C"/>
    <w:rsid w:val="00A651D5"/>
    <w:rsid w:val="00A65274"/>
    <w:rsid w:val="00A659A2"/>
    <w:rsid w:val="00A66254"/>
    <w:rsid w:val="00A663E3"/>
    <w:rsid w:val="00A667FB"/>
    <w:rsid w:val="00A66B05"/>
    <w:rsid w:val="00A66D2E"/>
    <w:rsid w:val="00A66DCC"/>
    <w:rsid w:val="00A676DB"/>
    <w:rsid w:val="00A67829"/>
    <w:rsid w:val="00A70367"/>
    <w:rsid w:val="00A707C5"/>
    <w:rsid w:val="00A708B9"/>
    <w:rsid w:val="00A70C5E"/>
    <w:rsid w:val="00A71494"/>
    <w:rsid w:val="00A7207C"/>
    <w:rsid w:val="00A72569"/>
    <w:rsid w:val="00A726F9"/>
    <w:rsid w:val="00A727B4"/>
    <w:rsid w:val="00A7287A"/>
    <w:rsid w:val="00A728E5"/>
    <w:rsid w:val="00A72C74"/>
    <w:rsid w:val="00A73796"/>
    <w:rsid w:val="00A73A26"/>
    <w:rsid w:val="00A73CC1"/>
    <w:rsid w:val="00A73D84"/>
    <w:rsid w:val="00A73EBA"/>
    <w:rsid w:val="00A74321"/>
    <w:rsid w:val="00A7448E"/>
    <w:rsid w:val="00A74BF3"/>
    <w:rsid w:val="00A74C78"/>
    <w:rsid w:val="00A75040"/>
    <w:rsid w:val="00A7522F"/>
    <w:rsid w:val="00A75367"/>
    <w:rsid w:val="00A75E14"/>
    <w:rsid w:val="00A75F68"/>
    <w:rsid w:val="00A764DB"/>
    <w:rsid w:val="00A76C33"/>
    <w:rsid w:val="00A76ECD"/>
    <w:rsid w:val="00A77297"/>
    <w:rsid w:val="00A774A7"/>
    <w:rsid w:val="00A77DAF"/>
    <w:rsid w:val="00A800A9"/>
    <w:rsid w:val="00A81261"/>
    <w:rsid w:val="00A81302"/>
    <w:rsid w:val="00A819FA"/>
    <w:rsid w:val="00A81FEE"/>
    <w:rsid w:val="00A8259C"/>
    <w:rsid w:val="00A82669"/>
    <w:rsid w:val="00A827CB"/>
    <w:rsid w:val="00A82B87"/>
    <w:rsid w:val="00A8313F"/>
    <w:rsid w:val="00A8341B"/>
    <w:rsid w:val="00A834EA"/>
    <w:rsid w:val="00A83586"/>
    <w:rsid w:val="00A83B28"/>
    <w:rsid w:val="00A83CED"/>
    <w:rsid w:val="00A841AB"/>
    <w:rsid w:val="00A8432C"/>
    <w:rsid w:val="00A84842"/>
    <w:rsid w:val="00A849CB"/>
    <w:rsid w:val="00A8510D"/>
    <w:rsid w:val="00A86125"/>
    <w:rsid w:val="00A8701A"/>
    <w:rsid w:val="00A87117"/>
    <w:rsid w:val="00A8742C"/>
    <w:rsid w:val="00A8758D"/>
    <w:rsid w:val="00A87E7E"/>
    <w:rsid w:val="00A9063C"/>
    <w:rsid w:val="00A90749"/>
    <w:rsid w:val="00A91208"/>
    <w:rsid w:val="00A91CD9"/>
    <w:rsid w:val="00A920CA"/>
    <w:rsid w:val="00A92D44"/>
    <w:rsid w:val="00A93CD1"/>
    <w:rsid w:val="00A94314"/>
    <w:rsid w:val="00A94369"/>
    <w:rsid w:val="00A94535"/>
    <w:rsid w:val="00A9512C"/>
    <w:rsid w:val="00A9568F"/>
    <w:rsid w:val="00A960A0"/>
    <w:rsid w:val="00A9616F"/>
    <w:rsid w:val="00A96174"/>
    <w:rsid w:val="00A96589"/>
    <w:rsid w:val="00A9693B"/>
    <w:rsid w:val="00A96FBD"/>
    <w:rsid w:val="00A9718E"/>
    <w:rsid w:val="00A9725B"/>
    <w:rsid w:val="00A97678"/>
    <w:rsid w:val="00A97C5B"/>
    <w:rsid w:val="00AA0672"/>
    <w:rsid w:val="00AA0CAA"/>
    <w:rsid w:val="00AA0CFA"/>
    <w:rsid w:val="00AA100C"/>
    <w:rsid w:val="00AA119B"/>
    <w:rsid w:val="00AA1302"/>
    <w:rsid w:val="00AA1F09"/>
    <w:rsid w:val="00AA208F"/>
    <w:rsid w:val="00AA28F5"/>
    <w:rsid w:val="00AA2BE7"/>
    <w:rsid w:val="00AA3395"/>
    <w:rsid w:val="00AA36D1"/>
    <w:rsid w:val="00AA3778"/>
    <w:rsid w:val="00AA38C9"/>
    <w:rsid w:val="00AA38E8"/>
    <w:rsid w:val="00AA41A1"/>
    <w:rsid w:val="00AA45A2"/>
    <w:rsid w:val="00AA45A7"/>
    <w:rsid w:val="00AA479E"/>
    <w:rsid w:val="00AA4893"/>
    <w:rsid w:val="00AA4A2B"/>
    <w:rsid w:val="00AA4B6D"/>
    <w:rsid w:val="00AA50EE"/>
    <w:rsid w:val="00AA53C1"/>
    <w:rsid w:val="00AA54EC"/>
    <w:rsid w:val="00AA5E93"/>
    <w:rsid w:val="00AA5F94"/>
    <w:rsid w:val="00AA60C9"/>
    <w:rsid w:val="00AA6577"/>
    <w:rsid w:val="00AA6908"/>
    <w:rsid w:val="00AA6E12"/>
    <w:rsid w:val="00AB02E7"/>
    <w:rsid w:val="00AB0365"/>
    <w:rsid w:val="00AB0709"/>
    <w:rsid w:val="00AB1622"/>
    <w:rsid w:val="00AB16F4"/>
    <w:rsid w:val="00AB1840"/>
    <w:rsid w:val="00AB1BBC"/>
    <w:rsid w:val="00AB1C23"/>
    <w:rsid w:val="00AB1E17"/>
    <w:rsid w:val="00AB2AD9"/>
    <w:rsid w:val="00AB2C0F"/>
    <w:rsid w:val="00AB2F41"/>
    <w:rsid w:val="00AB317B"/>
    <w:rsid w:val="00AB32C0"/>
    <w:rsid w:val="00AB3D14"/>
    <w:rsid w:val="00AB3DE0"/>
    <w:rsid w:val="00AB40D4"/>
    <w:rsid w:val="00AB4A24"/>
    <w:rsid w:val="00AB4ADD"/>
    <w:rsid w:val="00AB50AF"/>
    <w:rsid w:val="00AB51CE"/>
    <w:rsid w:val="00AB53C9"/>
    <w:rsid w:val="00AB5D31"/>
    <w:rsid w:val="00AB5E13"/>
    <w:rsid w:val="00AB5E2F"/>
    <w:rsid w:val="00AB62A8"/>
    <w:rsid w:val="00AB64E3"/>
    <w:rsid w:val="00AB6EB2"/>
    <w:rsid w:val="00AB70A0"/>
    <w:rsid w:val="00AB715E"/>
    <w:rsid w:val="00AB7605"/>
    <w:rsid w:val="00AB7FEC"/>
    <w:rsid w:val="00AC00F0"/>
    <w:rsid w:val="00AC0C36"/>
    <w:rsid w:val="00AC0E1A"/>
    <w:rsid w:val="00AC10BF"/>
    <w:rsid w:val="00AC1AB8"/>
    <w:rsid w:val="00AC1D6B"/>
    <w:rsid w:val="00AC27A4"/>
    <w:rsid w:val="00AC27E1"/>
    <w:rsid w:val="00AC2D99"/>
    <w:rsid w:val="00AC314D"/>
    <w:rsid w:val="00AC33EF"/>
    <w:rsid w:val="00AC3486"/>
    <w:rsid w:val="00AC370C"/>
    <w:rsid w:val="00AC3836"/>
    <w:rsid w:val="00AC38A3"/>
    <w:rsid w:val="00AC4001"/>
    <w:rsid w:val="00AC43C5"/>
    <w:rsid w:val="00AC448D"/>
    <w:rsid w:val="00AC4687"/>
    <w:rsid w:val="00AC4D76"/>
    <w:rsid w:val="00AC5578"/>
    <w:rsid w:val="00AC55E4"/>
    <w:rsid w:val="00AC5756"/>
    <w:rsid w:val="00AC5880"/>
    <w:rsid w:val="00AC5DE4"/>
    <w:rsid w:val="00AC5F0E"/>
    <w:rsid w:val="00AC6477"/>
    <w:rsid w:val="00AC6A3B"/>
    <w:rsid w:val="00AC7553"/>
    <w:rsid w:val="00AC7DFD"/>
    <w:rsid w:val="00AD0494"/>
    <w:rsid w:val="00AD07BE"/>
    <w:rsid w:val="00AD09BA"/>
    <w:rsid w:val="00AD0B76"/>
    <w:rsid w:val="00AD1371"/>
    <w:rsid w:val="00AD1ABE"/>
    <w:rsid w:val="00AD204B"/>
    <w:rsid w:val="00AD24EC"/>
    <w:rsid w:val="00AD27CA"/>
    <w:rsid w:val="00AD2A2F"/>
    <w:rsid w:val="00AD3A44"/>
    <w:rsid w:val="00AD4047"/>
    <w:rsid w:val="00AD4160"/>
    <w:rsid w:val="00AD458A"/>
    <w:rsid w:val="00AD46D2"/>
    <w:rsid w:val="00AD5421"/>
    <w:rsid w:val="00AD54D4"/>
    <w:rsid w:val="00AD564F"/>
    <w:rsid w:val="00AD5B6A"/>
    <w:rsid w:val="00AD6A1C"/>
    <w:rsid w:val="00AD7212"/>
    <w:rsid w:val="00AD7738"/>
    <w:rsid w:val="00AD7CCA"/>
    <w:rsid w:val="00AE0489"/>
    <w:rsid w:val="00AE079C"/>
    <w:rsid w:val="00AE0A04"/>
    <w:rsid w:val="00AE0F6A"/>
    <w:rsid w:val="00AE10C6"/>
    <w:rsid w:val="00AE1866"/>
    <w:rsid w:val="00AE1CEF"/>
    <w:rsid w:val="00AE1E51"/>
    <w:rsid w:val="00AE2D72"/>
    <w:rsid w:val="00AE3E9B"/>
    <w:rsid w:val="00AE46D4"/>
    <w:rsid w:val="00AE4723"/>
    <w:rsid w:val="00AE472C"/>
    <w:rsid w:val="00AE5F3E"/>
    <w:rsid w:val="00AE5F9B"/>
    <w:rsid w:val="00AE6365"/>
    <w:rsid w:val="00AE71D7"/>
    <w:rsid w:val="00AE724D"/>
    <w:rsid w:val="00AE75E6"/>
    <w:rsid w:val="00AE7CCD"/>
    <w:rsid w:val="00AF0821"/>
    <w:rsid w:val="00AF0D42"/>
    <w:rsid w:val="00AF0F93"/>
    <w:rsid w:val="00AF1314"/>
    <w:rsid w:val="00AF140C"/>
    <w:rsid w:val="00AF154E"/>
    <w:rsid w:val="00AF1778"/>
    <w:rsid w:val="00AF1A73"/>
    <w:rsid w:val="00AF1D05"/>
    <w:rsid w:val="00AF1F72"/>
    <w:rsid w:val="00AF2584"/>
    <w:rsid w:val="00AF27A3"/>
    <w:rsid w:val="00AF2EE8"/>
    <w:rsid w:val="00AF2F12"/>
    <w:rsid w:val="00AF32D5"/>
    <w:rsid w:val="00AF3833"/>
    <w:rsid w:val="00AF3A44"/>
    <w:rsid w:val="00AF413E"/>
    <w:rsid w:val="00AF473B"/>
    <w:rsid w:val="00AF4C78"/>
    <w:rsid w:val="00AF533E"/>
    <w:rsid w:val="00AF5D20"/>
    <w:rsid w:val="00AF6385"/>
    <w:rsid w:val="00AF6419"/>
    <w:rsid w:val="00AF68D3"/>
    <w:rsid w:val="00AF6B20"/>
    <w:rsid w:val="00AF6CD8"/>
    <w:rsid w:val="00AF6D6A"/>
    <w:rsid w:val="00AF6DAD"/>
    <w:rsid w:val="00AF7420"/>
    <w:rsid w:val="00AF7421"/>
    <w:rsid w:val="00AF76D3"/>
    <w:rsid w:val="00AF7A05"/>
    <w:rsid w:val="00AF7A18"/>
    <w:rsid w:val="00AF7C90"/>
    <w:rsid w:val="00B008B9"/>
    <w:rsid w:val="00B009E5"/>
    <w:rsid w:val="00B01603"/>
    <w:rsid w:val="00B01E80"/>
    <w:rsid w:val="00B027BD"/>
    <w:rsid w:val="00B028A4"/>
    <w:rsid w:val="00B02F8E"/>
    <w:rsid w:val="00B03198"/>
    <w:rsid w:val="00B0360E"/>
    <w:rsid w:val="00B0366B"/>
    <w:rsid w:val="00B03EA8"/>
    <w:rsid w:val="00B03EE3"/>
    <w:rsid w:val="00B03F63"/>
    <w:rsid w:val="00B0457B"/>
    <w:rsid w:val="00B057AD"/>
    <w:rsid w:val="00B05936"/>
    <w:rsid w:val="00B05967"/>
    <w:rsid w:val="00B05FA9"/>
    <w:rsid w:val="00B064E9"/>
    <w:rsid w:val="00B06783"/>
    <w:rsid w:val="00B06B5A"/>
    <w:rsid w:val="00B06F15"/>
    <w:rsid w:val="00B07393"/>
    <w:rsid w:val="00B07457"/>
    <w:rsid w:val="00B07ECA"/>
    <w:rsid w:val="00B10007"/>
    <w:rsid w:val="00B1006E"/>
    <w:rsid w:val="00B10B32"/>
    <w:rsid w:val="00B10C19"/>
    <w:rsid w:val="00B10CAA"/>
    <w:rsid w:val="00B10ED4"/>
    <w:rsid w:val="00B1137C"/>
    <w:rsid w:val="00B117A6"/>
    <w:rsid w:val="00B123D6"/>
    <w:rsid w:val="00B1267B"/>
    <w:rsid w:val="00B131DC"/>
    <w:rsid w:val="00B13B27"/>
    <w:rsid w:val="00B13C2B"/>
    <w:rsid w:val="00B1406D"/>
    <w:rsid w:val="00B1431C"/>
    <w:rsid w:val="00B14485"/>
    <w:rsid w:val="00B1451A"/>
    <w:rsid w:val="00B145F3"/>
    <w:rsid w:val="00B147F2"/>
    <w:rsid w:val="00B14B26"/>
    <w:rsid w:val="00B15148"/>
    <w:rsid w:val="00B1549F"/>
    <w:rsid w:val="00B1571B"/>
    <w:rsid w:val="00B1587A"/>
    <w:rsid w:val="00B158AB"/>
    <w:rsid w:val="00B1614D"/>
    <w:rsid w:val="00B16172"/>
    <w:rsid w:val="00B16229"/>
    <w:rsid w:val="00B1638C"/>
    <w:rsid w:val="00B16760"/>
    <w:rsid w:val="00B167DA"/>
    <w:rsid w:val="00B16B88"/>
    <w:rsid w:val="00B16E25"/>
    <w:rsid w:val="00B16E75"/>
    <w:rsid w:val="00B16EAC"/>
    <w:rsid w:val="00B16F7A"/>
    <w:rsid w:val="00B17190"/>
    <w:rsid w:val="00B176FD"/>
    <w:rsid w:val="00B17759"/>
    <w:rsid w:val="00B17BE9"/>
    <w:rsid w:val="00B17E69"/>
    <w:rsid w:val="00B17F57"/>
    <w:rsid w:val="00B21194"/>
    <w:rsid w:val="00B2119A"/>
    <w:rsid w:val="00B212D1"/>
    <w:rsid w:val="00B215C2"/>
    <w:rsid w:val="00B21766"/>
    <w:rsid w:val="00B219BD"/>
    <w:rsid w:val="00B22B11"/>
    <w:rsid w:val="00B22D10"/>
    <w:rsid w:val="00B22E02"/>
    <w:rsid w:val="00B2342B"/>
    <w:rsid w:val="00B2375F"/>
    <w:rsid w:val="00B24398"/>
    <w:rsid w:val="00B24417"/>
    <w:rsid w:val="00B24AE7"/>
    <w:rsid w:val="00B25470"/>
    <w:rsid w:val="00B25817"/>
    <w:rsid w:val="00B25DA0"/>
    <w:rsid w:val="00B26469"/>
    <w:rsid w:val="00B26AAE"/>
    <w:rsid w:val="00B26ED2"/>
    <w:rsid w:val="00B27698"/>
    <w:rsid w:val="00B277E2"/>
    <w:rsid w:val="00B30090"/>
    <w:rsid w:val="00B3030C"/>
    <w:rsid w:val="00B304EF"/>
    <w:rsid w:val="00B30CE9"/>
    <w:rsid w:val="00B31752"/>
    <w:rsid w:val="00B31B59"/>
    <w:rsid w:val="00B3200D"/>
    <w:rsid w:val="00B32BE6"/>
    <w:rsid w:val="00B32C8B"/>
    <w:rsid w:val="00B32D2E"/>
    <w:rsid w:val="00B333B4"/>
    <w:rsid w:val="00B3349A"/>
    <w:rsid w:val="00B33544"/>
    <w:rsid w:val="00B33715"/>
    <w:rsid w:val="00B33C65"/>
    <w:rsid w:val="00B33C7E"/>
    <w:rsid w:val="00B34CC8"/>
    <w:rsid w:val="00B34D1E"/>
    <w:rsid w:val="00B359C0"/>
    <w:rsid w:val="00B35CDE"/>
    <w:rsid w:val="00B36472"/>
    <w:rsid w:val="00B37BED"/>
    <w:rsid w:val="00B37D8E"/>
    <w:rsid w:val="00B37F5E"/>
    <w:rsid w:val="00B406FE"/>
    <w:rsid w:val="00B4099F"/>
    <w:rsid w:val="00B40DE5"/>
    <w:rsid w:val="00B41CCF"/>
    <w:rsid w:val="00B42047"/>
    <w:rsid w:val="00B42590"/>
    <w:rsid w:val="00B42645"/>
    <w:rsid w:val="00B42732"/>
    <w:rsid w:val="00B427B3"/>
    <w:rsid w:val="00B42BB1"/>
    <w:rsid w:val="00B42E4D"/>
    <w:rsid w:val="00B4396A"/>
    <w:rsid w:val="00B44835"/>
    <w:rsid w:val="00B45119"/>
    <w:rsid w:val="00B453A0"/>
    <w:rsid w:val="00B45564"/>
    <w:rsid w:val="00B45571"/>
    <w:rsid w:val="00B455A4"/>
    <w:rsid w:val="00B45C7B"/>
    <w:rsid w:val="00B46004"/>
    <w:rsid w:val="00B464BD"/>
    <w:rsid w:val="00B46609"/>
    <w:rsid w:val="00B46ACF"/>
    <w:rsid w:val="00B46BD0"/>
    <w:rsid w:val="00B46F8F"/>
    <w:rsid w:val="00B470EF"/>
    <w:rsid w:val="00B47A08"/>
    <w:rsid w:val="00B47E33"/>
    <w:rsid w:val="00B47EC2"/>
    <w:rsid w:val="00B506BA"/>
    <w:rsid w:val="00B5089F"/>
    <w:rsid w:val="00B50982"/>
    <w:rsid w:val="00B5136C"/>
    <w:rsid w:val="00B51A82"/>
    <w:rsid w:val="00B51C8C"/>
    <w:rsid w:val="00B52118"/>
    <w:rsid w:val="00B521A0"/>
    <w:rsid w:val="00B52697"/>
    <w:rsid w:val="00B530A8"/>
    <w:rsid w:val="00B534A1"/>
    <w:rsid w:val="00B535C9"/>
    <w:rsid w:val="00B53BB1"/>
    <w:rsid w:val="00B54DB4"/>
    <w:rsid w:val="00B54EB4"/>
    <w:rsid w:val="00B54FC9"/>
    <w:rsid w:val="00B5521B"/>
    <w:rsid w:val="00B55498"/>
    <w:rsid w:val="00B5557E"/>
    <w:rsid w:val="00B55830"/>
    <w:rsid w:val="00B55B0F"/>
    <w:rsid w:val="00B55B69"/>
    <w:rsid w:val="00B56466"/>
    <w:rsid w:val="00B5648D"/>
    <w:rsid w:val="00B566B1"/>
    <w:rsid w:val="00B566F5"/>
    <w:rsid w:val="00B56B4D"/>
    <w:rsid w:val="00B56E2B"/>
    <w:rsid w:val="00B57820"/>
    <w:rsid w:val="00B57918"/>
    <w:rsid w:val="00B60B15"/>
    <w:rsid w:val="00B60CB9"/>
    <w:rsid w:val="00B6120E"/>
    <w:rsid w:val="00B61CF2"/>
    <w:rsid w:val="00B6212E"/>
    <w:rsid w:val="00B623DC"/>
    <w:rsid w:val="00B62CF7"/>
    <w:rsid w:val="00B635BD"/>
    <w:rsid w:val="00B64578"/>
    <w:rsid w:val="00B64991"/>
    <w:rsid w:val="00B64B0C"/>
    <w:rsid w:val="00B64CA7"/>
    <w:rsid w:val="00B65A0D"/>
    <w:rsid w:val="00B660E3"/>
    <w:rsid w:val="00B66150"/>
    <w:rsid w:val="00B66209"/>
    <w:rsid w:val="00B663C7"/>
    <w:rsid w:val="00B665A4"/>
    <w:rsid w:val="00B6695D"/>
    <w:rsid w:val="00B66D7E"/>
    <w:rsid w:val="00B66E6D"/>
    <w:rsid w:val="00B67641"/>
    <w:rsid w:val="00B67699"/>
    <w:rsid w:val="00B67772"/>
    <w:rsid w:val="00B703D0"/>
    <w:rsid w:val="00B7072C"/>
    <w:rsid w:val="00B70F2D"/>
    <w:rsid w:val="00B71052"/>
    <w:rsid w:val="00B71596"/>
    <w:rsid w:val="00B7169D"/>
    <w:rsid w:val="00B71734"/>
    <w:rsid w:val="00B71835"/>
    <w:rsid w:val="00B719BE"/>
    <w:rsid w:val="00B71CAB"/>
    <w:rsid w:val="00B72096"/>
    <w:rsid w:val="00B728A6"/>
    <w:rsid w:val="00B72B62"/>
    <w:rsid w:val="00B73412"/>
    <w:rsid w:val="00B7358F"/>
    <w:rsid w:val="00B73ABF"/>
    <w:rsid w:val="00B74144"/>
    <w:rsid w:val="00B74250"/>
    <w:rsid w:val="00B74844"/>
    <w:rsid w:val="00B74BE1"/>
    <w:rsid w:val="00B75CD8"/>
    <w:rsid w:val="00B75FE2"/>
    <w:rsid w:val="00B762CD"/>
    <w:rsid w:val="00B76BEC"/>
    <w:rsid w:val="00B76E0D"/>
    <w:rsid w:val="00B774C9"/>
    <w:rsid w:val="00B777C3"/>
    <w:rsid w:val="00B80083"/>
    <w:rsid w:val="00B80193"/>
    <w:rsid w:val="00B815BE"/>
    <w:rsid w:val="00B817B6"/>
    <w:rsid w:val="00B81DDE"/>
    <w:rsid w:val="00B81E07"/>
    <w:rsid w:val="00B822FB"/>
    <w:rsid w:val="00B83316"/>
    <w:rsid w:val="00B83329"/>
    <w:rsid w:val="00B83A85"/>
    <w:rsid w:val="00B8427B"/>
    <w:rsid w:val="00B8431B"/>
    <w:rsid w:val="00B84A65"/>
    <w:rsid w:val="00B84B61"/>
    <w:rsid w:val="00B852A5"/>
    <w:rsid w:val="00B852C0"/>
    <w:rsid w:val="00B85664"/>
    <w:rsid w:val="00B85F7F"/>
    <w:rsid w:val="00B86471"/>
    <w:rsid w:val="00B86C1D"/>
    <w:rsid w:val="00B86D9F"/>
    <w:rsid w:val="00B86E9F"/>
    <w:rsid w:val="00B86FA7"/>
    <w:rsid w:val="00B87502"/>
    <w:rsid w:val="00B87D9E"/>
    <w:rsid w:val="00B87DAD"/>
    <w:rsid w:val="00B90202"/>
    <w:rsid w:val="00B9071F"/>
    <w:rsid w:val="00B90E86"/>
    <w:rsid w:val="00B9150D"/>
    <w:rsid w:val="00B91DB7"/>
    <w:rsid w:val="00B9216C"/>
    <w:rsid w:val="00B9274C"/>
    <w:rsid w:val="00B929D2"/>
    <w:rsid w:val="00B92EDB"/>
    <w:rsid w:val="00B93ECD"/>
    <w:rsid w:val="00B93ED3"/>
    <w:rsid w:val="00B93EDF"/>
    <w:rsid w:val="00B945E8"/>
    <w:rsid w:val="00B9491B"/>
    <w:rsid w:val="00B94999"/>
    <w:rsid w:val="00B94E6E"/>
    <w:rsid w:val="00B95026"/>
    <w:rsid w:val="00B95166"/>
    <w:rsid w:val="00B951F0"/>
    <w:rsid w:val="00B95792"/>
    <w:rsid w:val="00B95ABE"/>
    <w:rsid w:val="00B95B0B"/>
    <w:rsid w:val="00B95B4F"/>
    <w:rsid w:val="00B95C2B"/>
    <w:rsid w:val="00B968BE"/>
    <w:rsid w:val="00B96969"/>
    <w:rsid w:val="00B969F6"/>
    <w:rsid w:val="00B96E09"/>
    <w:rsid w:val="00B97234"/>
    <w:rsid w:val="00B97E00"/>
    <w:rsid w:val="00BA0913"/>
    <w:rsid w:val="00BA0D9D"/>
    <w:rsid w:val="00BA0EC6"/>
    <w:rsid w:val="00BA12D6"/>
    <w:rsid w:val="00BA1A7F"/>
    <w:rsid w:val="00BA1BD1"/>
    <w:rsid w:val="00BA1E9D"/>
    <w:rsid w:val="00BA20F8"/>
    <w:rsid w:val="00BA28D1"/>
    <w:rsid w:val="00BA2BD3"/>
    <w:rsid w:val="00BA2E44"/>
    <w:rsid w:val="00BA3A2E"/>
    <w:rsid w:val="00BA50E8"/>
    <w:rsid w:val="00BA5242"/>
    <w:rsid w:val="00BA58CD"/>
    <w:rsid w:val="00BA5BDE"/>
    <w:rsid w:val="00BA5D77"/>
    <w:rsid w:val="00BA649D"/>
    <w:rsid w:val="00BA649E"/>
    <w:rsid w:val="00BA657D"/>
    <w:rsid w:val="00BA78C0"/>
    <w:rsid w:val="00BA7A2E"/>
    <w:rsid w:val="00BA7D30"/>
    <w:rsid w:val="00BA7D72"/>
    <w:rsid w:val="00BB0074"/>
    <w:rsid w:val="00BB012A"/>
    <w:rsid w:val="00BB107B"/>
    <w:rsid w:val="00BB1BF3"/>
    <w:rsid w:val="00BB1C7E"/>
    <w:rsid w:val="00BB1DAA"/>
    <w:rsid w:val="00BB2054"/>
    <w:rsid w:val="00BB2F05"/>
    <w:rsid w:val="00BB2FB2"/>
    <w:rsid w:val="00BB3B73"/>
    <w:rsid w:val="00BB3BF8"/>
    <w:rsid w:val="00BB3DB9"/>
    <w:rsid w:val="00BB3F5C"/>
    <w:rsid w:val="00BB498A"/>
    <w:rsid w:val="00BB4B4A"/>
    <w:rsid w:val="00BB536F"/>
    <w:rsid w:val="00BB6331"/>
    <w:rsid w:val="00BB672E"/>
    <w:rsid w:val="00BB6A37"/>
    <w:rsid w:val="00BB7ECA"/>
    <w:rsid w:val="00BC0186"/>
    <w:rsid w:val="00BC01CE"/>
    <w:rsid w:val="00BC0959"/>
    <w:rsid w:val="00BC0FB1"/>
    <w:rsid w:val="00BC101F"/>
    <w:rsid w:val="00BC1039"/>
    <w:rsid w:val="00BC17D0"/>
    <w:rsid w:val="00BC1817"/>
    <w:rsid w:val="00BC1B1E"/>
    <w:rsid w:val="00BC1BC8"/>
    <w:rsid w:val="00BC1F96"/>
    <w:rsid w:val="00BC219C"/>
    <w:rsid w:val="00BC2872"/>
    <w:rsid w:val="00BC2ECD"/>
    <w:rsid w:val="00BC2FE9"/>
    <w:rsid w:val="00BC38D1"/>
    <w:rsid w:val="00BC3D63"/>
    <w:rsid w:val="00BC4046"/>
    <w:rsid w:val="00BC521F"/>
    <w:rsid w:val="00BC5315"/>
    <w:rsid w:val="00BC542C"/>
    <w:rsid w:val="00BC5813"/>
    <w:rsid w:val="00BC5D5C"/>
    <w:rsid w:val="00BC6903"/>
    <w:rsid w:val="00BC69B4"/>
    <w:rsid w:val="00BC6DE5"/>
    <w:rsid w:val="00BC717B"/>
    <w:rsid w:val="00BC75DC"/>
    <w:rsid w:val="00BD0948"/>
    <w:rsid w:val="00BD0EC2"/>
    <w:rsid w:val="00BD1BE6"/>
    <w:rsid w:val="00BD2099"/>
    <w:rsid w:val="00BD2124"/>
    <w:rsid w:val="00BD27D3"/>
    <w:rsid w:val="00BD29A0"/>
    <w:rsid w:val="00BD3321"/>
    <w:rsid w:val="00BD3A60"/>
    <w:rsid w:val="00BD3CC2"/>
    <w:rsid w:val="00BD47D6"/>
    <w:rsid w:val="00BD4D8C"/>
    <w:rsid w:val="00BD4EC0"/>
    <w:rsid w:val="00BD531C"/>
    <w:rsid w:val="00BD541C"/>
    <w:rsid w:val="00BD570B"/>
    <w:rsid w:val="00BD5D02"/>
    <w:rsid w:val="00BD6E2B"/>
    <w:rsid w:val="00BE0D9B"/>
    <w:rsid w:val="00BE0E61"/>
    <w:rsid w:val="00BE0FB2"/>
    <w:rsid w:val="00BE1463"/>
    <w:rsid w:val="00BE166B"/>
    <w:rsid w:val="00BE17B8"/>
    <w:rsid w:val="00BE18AA"/>
    <w:rsid w:val="00BE1B1A"/>
    <w:rsid w:val="00BE1CC3"/>
    <w:rsid w:val="00BE216B"/>
    <w:rsid w:val="00BE2EF1"/>
    <w:rsid w:val="00BE3093"/>
    <w:rsid w:val="00BE313E"/>
    <w:rsid w:val="00BE3BB9"/>
    <w:rsid w:val="00BE433A"/>
    <w:rsid w:val="00BE440A"/>
    <w:rsid w:val="00BE470D"/>
    <w:rsid w:val="00BE47E9"/>
    <w:rsid w:val="00BE47FA"/>
    <w:rsid w:val="00BE49B5"/>
    <w:rsid w:val="00BE4BD3"/>
    <w:rsid w:val="00BE4D26"/>
    <w:rsid w:val="00BE57D7"/>
    <w:rsid w:val="00BE5A2A"/>
    <w:rsid w:val="00BE5C79"/>
    <w:rsid w:val="00BE60D5"/>
    <w:rsid w:val="00BE61E0"/>
    <w:rsid w:val="00BE6469"/>
    <w:rsid w:val="00BE6960"/>
    <w:rsid w:val="00BE6A09"/>
    <w:rsid w:val="00BE6EFC"/>
    <w:rsid w:val="00BE736E"/>
    <w:rsid w:val="00BE7756"/>
    <w:rsid w:val="00BE7C20"/>
    <w:rsid w:val="00BE7C77"/>
    <w:rsid w:val="00BF0277"/>
    <w:rsid w:val="00BF02B8"/>
    <w:rsid w:val="00BF0574"/>
    <w:rsid w:val="00BF06A4"/>
    <w:rsid w:val="00BF0749"/>
    <w:rsid w:val="00BF0961"/>
    <w:rsid w:val="00BF1644"/>
    <w:rsid w:val="00BF1C47"/>
    <w:rsid w:val="00BF2402"/>
    <w:rsid w:val="00BF2F67"/>
    <w:rsid w:val="00BF335B"/>
    <w:rsid w:val="00BF3391"/>
    <w:rsid w:val="00BF33C8"/>
    <w:rsid w:val="00BF371A"/>
    <w:rsid w:val="00BF3782"/>
    <w:rsid w:val="00BF3A55"/>
    <w:rsid w:val="00BF4064"/>
    <w:rsid w:val="00BF44ED"/>
    <w:rsid w:val="00BF4615"/>
    <w:rsid w:val="00BF47FE"/>
    <w:rsid w:val="00BF4835"/>
    <w:rsid w:val="00BF4ACD"/>
    <w:rsid w:val="00BF4AEE"/>
    <w:rsid w:val="00BF4F26"/>
    <w:rsid w:val="00BF541A"/>
    <w:rsid w:val="00BF563A"/>
    <w:rsid w:val="00BF5BDA"/>
    <w:rsid w:val="00BF61A6"/>
    <w:rsid w:val="00BF66B5"/>
    <w:rsid w:val="00BF6A75"/>
    <w:rsid w:val="00BF6AEB"/>
    <w:rsid w:val="00BF6CE7"/>
    <w:rsid w:val="00BF76A1"/>
    <w:rsid w:val="00BF798A"/>
    <w:rsid w:val="00BF7DBF"/>
    <w:rsid w:val="00C001F7"/>
    <w:rsid w:val="00C0034D"/>
    <w:rsid w:val="00C007A8"/>
    <w:rsid w:val="00C007C0"/>
    <w:rsid w:val="00C00876"/>
    <w:rsid w:val="00C00C78"/>
    <w:rsid w:val="00C0199E"/>
    <w:rsid w:val="00C01C75"/>
    <w:rsid w:val="00C04077"/>
    <w:rsid w:val="00C045AE"/>
    <w:rsid w:val="00C04ADA"/>
    <w:rsid w:val="00C04BB4"/>
    <w:rsid w:val="00C04EB6"/>
    <w:rsid w:val="00C052BA"/>
    <w:rsid w:val="00C058ED"/>
    <w:rsid w:val="00C05E0B"/>
    <w:rsid w:val="00C063A2"/>
    <w:rsid w:val="00C063D0"/>
    <w:rsid w:val="00C06911"/>
    <w:rsid w:val="00C069F9"/>
    <w:rsid w:val="00C072D5"/>
    <w:rsid w:val="00C072F7"/>
    <w:rsid w:val="00C0739B"/>
    <w:rsid w:val="00C07620"/>
    <w:rsid w:val="00C07F02"/>
    <w:rsid w:val="00C07FA5"/>
    <w:rsid w:val="00C110B4"/>
    <w:rsid w:val="00C11494"/>
    <w:rsid w:val="00C125B3"/>
    <w:rsid w:val="00C125F8"/>
    <w:rsid w:val="00C129A4"/>
    <w:rsid w:val="00C13154"/>
    <w:rsid w:val="00C14F6D"/>
    <w:rsid w:val="00C152BF"/>
    <w:rsid w:val="00C154F8"/>
    <w:rsid w:val="00C15BF1"/>
    <w:rsid w:val="00C15CF8"/>
    <w:rsid w:val="00C15EC7"/>
    <w:rsid w:val="00C160B0"/>
    <w:rsid w:val="00C16511"/>
    <w:rsid w:val="00C17052"/>
    <w:rsid w:val="00C171E4"/>
    <w:rsid w:val="00C1762C"/>
    <w:rsid w:val="00C17994"/>
    <w:rsid w:val="00C17C23"/>
    <w:rsid w:val="00C17CDE"/>
    <w:rsid w:val="00C2092E"/>
    <w:rsid w:val="00C20F23"/>
    <w:rsid w:val="00C21032"/>
    <w:rsid w:val="00C21616"/>
    <w:rsid w:val="00C2183F"/>
    <w:rsid w:val="00C21A05"/>
    <w:rsid w:val="00C2213B"/>
    <w:rsid w:val="00C22786"/>
    <w:rsid w:val="00C22982"/>
    <w:rsid w:val="00C234AA"/>
    <w:rsid w:val="00C2369E"/>
    <w:rsid w:val="00C237E5"/>
    <w:rsid w:val="00C23997"/>
    <w:rsid w:val="00C23B0C"/>
    <w:rsid w:val="00C23E32"/>
    <w:rsid w:val="00C2407E"/>
    <w:rsid w:val="00C24216"/>
    <w:rsid w:val="00C24330"/>
    <w:rsid w:val="00C24B56"/>
    <w:rsid w:val="00C24B57"/>
    <w:rsid w:val="00C24F8E"/>
    <w:rsid w:val="00C25136"/>
    <w:rsid w:val="00C252E8"/>
    <w:rsid w:val="00C25780"/>
    <w:rsid w:val="00C25E4D"/>
    <w:rsid w:val="00C26412"/>
    <w:rsid w:val="00C26DDC"/>
    <w:rsid w:val="00C27234"/>
    <w:rsid w:val="00C273C7"/>
    <w:rsid w:val="00C275CA"/>
    <w:rsid w:val="00C27666"/>
    <w:rsid w:val="00C30152"/>
    <w:rsid w:val="00C30290"/>
    <w:rsid w:val="00C31021"/>
    <w:rsid w:val="00C31B01"/>
    <w:rsid w:val="00C31C46"/>
    <w:rsid w:val="00C31D95"/>
    <w:rsid w:val="00C31F2A"/>
    <w:rsid w:val="00C33739"/>
    <w:rsid w:val="00C33F0B"/>
    <w:rsid w:val="00C340D3"/>
    <w:rsid w:val="00C347B4"/>
    <w:rsid w:val="00C34977"/>
    <w:rsid w:val="00C34AB7"/>
    <w:rsid w:val="00C34FC7"/>
    <w:rsid w:val="00C35026"/>
    <w:rsid w:val="00C35E85"/>
    <w:rsid w:val="00C3652E"/>
    <w:rsid w:val="00C36BA6"/>
    <w:rsid w:val="00C36BCF"/>
    <w:rsid w:val="00C36C44"/>
    <w:rsid w:val="00C36FEF"/>
    <w:rsid w:val="00C374C7"/>
    <w:rsid w:val="00C37A5D"/>
    <w:rsid w:val="00C37AF3"/>
    <w:rsid w:val="00C402BF"/>
    <w:rsid w:val="00C40CD7"/>
    <w:rsid w:val="00C40FF3"/>
    <w:rsid w:val="00C4131F"/>
    <w:rsid w:val="00C415EA"/>
    <w:rsid w:val="00C42164"/>
    <w:rsid w:val="00C42935"/>
    <w:rsid w:val="00C42A20"/>
    <w:rsid w:val="00C42B53"/>
    <w:rsid w:val="00C435E7"/>
    <w:rsid w:val="00C435E8"/>
    <w:rsid w:val="00C4433A"/>
    <w:rsid w:val="00C445AF"/>
    <w:rsid w:val="00C447B0"/>
    <w:rsid w:val="00C447C3"/>
    <w:rsid w:val="00C44B9C"/>
    <w:rsid w:val="00C44DE1"/>
    <w:rsid w:val="00C44E93"/>
    <w:rsid w:val="00C44F53"/>
    <w:rsid w:val="00C4515C"/>
    <w:rsid w:val="00C452CF"/>
    <w:rsid w:val="00C45984"/>
    <w:rsid w:val="00C45B6F"/>
    <w:rsid w:val="00C45D10"/>
    <w:rsid w:val="00C46093"/>
    <w:rsid w:val="00C461F2"/>
    <w:rsid w:val="00C46771"/>
    <w:rsid w:val="00C467F8"/>
    <w:rsid w:val="00C46884"/>
    <w:rsid w:val="00C46E1F"/>
    <w:rsid w:val="00C472BB"/>
    <w:rsid w:val="00C4759E"/>
    <w:rsid w:val="00C47DFB"/>
    <w:rsid w:val="00C47F88"/>
    <w:rsid w:val="00C50185"/>
    <w:rsid w:val="00C51348"/>
    <w:rsid w:val="00C51EE5"/>
    <w:rsid w:val="00C52349"/>
    <w:rsid w:val="00C528FC"/>
    <w:rsid w:val="00C52D99"/>
    <w:rsid w:val="00C537E0"/>
    <w:rsid w:val="00C53871"/>
    <w:rsid w:val="00C5393D"/>
    <w:rsid w:val="00C53B9F"/>
    <w:rsid w:val="00C53D4D"/>
    <w:rsid w:val="00C54936"/>
    <w:rsid w:val="00C552F6"/>
    <w:rsid w:val="00C556BC"/>
    <w:rsid w:val="00C55E19"/>
    <w:rsid w:val="00C57022"/>
    <w:rsid w:val="00C570C4"/>
    <w:rsid w:val="00C57F00"/>
    <w:rsid w:val="00C600C6"/>
    <w:rsid w:val="00C60216"/>
    <w:rsid w:val="00C607F4"/>
    <w:rsid w:val="00C609A1"/>
    <w:rsid w:val="00C60CAF"/>
    <w:rsid w:val="00C61E70"/>
    <w:rsid w:val="00C61ECB"/>
    <w:rsid w:val="00C623D6"/>
    <w:rsid w:val="00C62826"/>
    <w:rsid w:val="00C631E7"/>
    <w:rsid w:val="00C638D5"/>
    <w:rsid w:val="00C63E71"/>
    <w:rsid w:val="00C64161"/>
    <w:rsid w:val="00C641A5"/>
    <w:rsid w:val="00C646BB"/>
    <w:rsid w:val="00C64A59"/>
    <w:rsid w:val="00C65136"/>
    <w:rsid w:val="00C65BEB"/>
    <w:rsid w:val="00C6627B"/>
    <w:rsid w:val="00C66A1B"/>
    <w:rsid w:val="00C66D8C"/>
    <w:rsid w:val="00C66FB1"/>
    <w:rsid w:val="00C67574"/>
    <w:rsid w:val="00C678AA"/>
    <w:rsid w:val="00C67CD6"/>
    <w:rsid w:val="00C70672"/>
    <w:rsid w:val="00C709CD"/>
    <w:rsid w:val="00C70BA2"/>
    <w:rsid w:val="00C71292"/>
    <w:rsid w:val="00C71891"/>
    <w:rsid w:val="00C71AD8"/>
    <w:rsid w:val="00C71F4C"/>
    <w:rsid w:val="00C7296F"/>
    <w:rsid w:val="00C729A5"/>
    <w:rsid w:val="00C72A19"/>
    <w:rsid w:val="00C72AF9"/>
    <w:rsid w:val="00C7338F"/>
    <w:rsid w:val="00C73A48"/>
    <w:rsid w:val="00C73DC4"/>
    <w:rsid w:val="00C73E28"/>
    <w:rsid w:val="00C746FD"/>
    <w:rsid w:val="00C74BDF"/>
    <w:rsid w:val="00C75554"/>
    <w:rsid w:val="00C757C1"/>
    <w:rsid w:val="00C75994"/>
    <w:rsid w:val="00C75A4B"/>
    <w:rsid w:val="00C75E09"/>
    <w:rsid w:val="00C75FBE"/>
    <w:rsid w:val="00C76981"/>
    <w:rsid w:val="00C7761B"/>
    <w:rsid w:val="00C77EE7"/>
    <w:rsid w:val="00C77F9F"/>
    <w:rsid w:val="00C80150"/>
    <w:rsid w:val="00C80293"/>
    <w:rsid w:val="00C80309"/>
    <w:rsid w:val="00C80A41"/>
    <w:rsid w:val="00C80E79"/>
    <w:rsid w:val="00C80ED5"/>
    <w:rsid w:val="00C81007"/>
    <w:rsid w:val="00C816A6"/>
    <w:rsid w:val="00C81D3F"/>
    <w:rsid w:val="00C82037"/>
    <w:rsid w:val="00C8235C"/>
    <w:rsid w:val="00C826EA"/>
    <w:rsid w:val="00C8281E"/>
    <w:rsid w:val="00C82D18"/>
    <w:rsid w:val="00C82E25"/>
    <w:rsid w:val="00C8381D"/>
    <w:rsid w:val="00C83864"/>
    <w:rsid w:val="00C83918"/>
    <w:rsid w:val="00C83B7C"/>
    <w:rsid w:val="00C84812"/>
    <w:rsid w:val="00C84FD6"/>
    <w:rsid w:val="00C87892"/>
    <w:rsid w:val="00C879EF"/>
    <w:rsid w:val="00C90464"/>
    <w:rsid w:val="00C9049D"/>
    <w:rsid w:val="00C90984"/>
    <w:rsid w:val="00C91186"/>
    <w:rsid w:val="00C9227A"/>
    <w:rsid w:val="00C92835"/>
    <w:rsid w:val="00C92C00"/>
    <w:rsid w:val="00C92D3D"/>
    <w:rsid w:val="00C9311A"/>
    <w:rsid w:val="00C93237"/>
    <w:rsid w:val="00C93273"/>
    <w:rsid w:val="00C93658"/>
    <w:rsid w:val="00C94B3C"/>
    <w:rsid w:val="00C94CAB"/>
    <w:rsid w:val="00C95017"/>
    <w:rsid w:val="00C952C4"/>
    <w:rsid w:val="00C96767"/>
    <w:rsid w:val="00C9681E"/>
    <w:rsid w:val="00C96ED8"/>
    <w:rsid w:val="00C97DA2"/>
    <w:rsid w:val="00CA06FA"/>
    <w:rsid w:val="00CA0790"/>
    <w:rsid w:val="00CA08A8"/>
    <w:rsid w:val="00CA0A1B"/>
    <w:rsid w:val="00CA132E"/>
    <w:rsid w:val="00CA197B"/>
    <w:rsid w:val="00CA1A77"/>
    <w:rsid w:val="00CA1DE1"/>
    <w:rsid w:val="00CA2B01"/>
    <w:rsid w:val="00CA3636"/>
    <w:rsid w:val="00CA38FA"/>
    <w:rsid w:val="00CA3A06"/>
    <w:rsid w:val="00CA3F8E"/>
    <w:rsid w:val="00CA430D"/>
    <w:rsid w:val="00CA4576"/>
    <w:rsid w:val="00CA4963"/>
    <w:rsid w:val="00CA54E9"/>
    <w:rsid w:val="00CA5C49"/>
    <w:rsid w:val="00CA5D75"/>
    <w:rsid w:val="00CA5F59"/>
    <w:rsid w:val="00CA61D7"/>
    <w:rsid w:val="00CA6F05"/>
    <w:rsid w:val="00CA790D"/>
    <w:rsid w:val="00CA7FCA"/>
    <w:rsid w:val="00CB0242"/>
    <w:rsid w:val="00CB0812"/>
    <w:rsid w:val="00CB0B41"/>
    <w:rsid w:val="00CB116B"/>
    <w:rsid w:val="00CB182E"/>
    <w:rsid w:val="00CB1837"/>
    <w:rsid w:val="00CB1C09"/>
    <w:rsid w:val="00CB234B"/>
    <w:rsid w:val="00CB27F6"/>
    <w:rsid w:val="00CB30A5"/>
    <w:rsid w:val="00CB3398"/>
    <w:rsid w:val="00CB386D"/>
    <w:rsid w:val="00CB3D2F"/>
    <w:rsid w:val="00CB3D30"/>
    <w:rsid w:val="00CB3F9B"/>
    <w:rsid w:val="00CB4465"/>
    <w:rsid w:val="00CB4C4F"/>
    <w:rsid w:val="00CB4C6B"/>
    <w:rsid w:val="00CB52C5"/>
    <w:rsid w:val="00CB52D6"/>
    <w:rsid w:val="00CB5793"/>
    <w:rsid w:val="00CB59A8"/>
    <w:rsid w:val="00CB59FE"/>
    <w:rsid w:val="00CB5A83"/>
    <w:rsid w:val="00CB6F20"/>
    <w:rsid w:val="00CB7586"/>
    <w:rsid w:val="00CC026A"/>
    <w:rsid w:val="00CC0E87"/>
    <w:rsid w:val="00CC1021"/>
    <w:rsid w:val="00CC1228"/>
    <w:rsid w:val="00CC13A1"/>
    <w:rsid w:val="00CC15FF"/>
    <w:rsid w:val="00CC191D"/>
    <w:rsid w:val="00CC1A71"/>
    <w:rsid w:val="00CC21CE"/>
    <w:rsid w:val="00CC2244"/>
    <w:rsid w:val="00CC257B"/>
    <w:rsid w:val="00CC28E5"/>
    <w:rsid w:val="00CC3DBC"/>
    <w:rsid w:val="00CC3E1A"/>
    <w:rsid w:val="00CC3EE2"/>
    <w:rsid w:val="00CC422B"/>
    <w:rsid w:val="00CC4605"/>
    <w:rsid w:val="00CC48D0"/>
    <w:rsid w:val="00CC4BA8"/>
    <w:rsid w:val="00CC4CA4"/>
    <w:rsid w:val="00CC4CEF"/>
    <w:rsid w:val="00CC59AB"/>
    <w:rsid w:val="00CC5A04"/>
    <w:rsid w:val="00CC5D45"/>
    <w:rsid w:val="00CC5DF9"/>
    <w:rsid w:val="00CC6336"/>
    <w:rsid w:val="00CC63BC"/>
    <w:rsid w:val="00CC69BA"/>
    <w:rsid w:val="00CC7481"/>
    <w:rsid w:val="00CC77AE"/>
    <w:rsid w:val="00CC7A47"/>
    <w:rsid w:val="00CC7E21"/>
    <w:rsid w:val="00CD0231"/>
    <w:rsid w:val="00CD0325"/>
    <w:rsid w:val="00CD0F7C"/>
    <w:rsid w:val="00CD1047"/>
    <w:rsid w:val="00CD13A5"/>
    <w:rsid w:val="00CD1572"/>
    <w:rsid w:val="00CD1613"/>
    <w:rsid w:val="00CD182E"/>
    <w:rsid w:val="00CD24BF"/>
    <w:rsid w:val="00CD3C9E"/>
    <w:rsid w:val="00CD4206"/>
    <w:rsid w:val="00CD478D"/>
    <w:rsid w:val="00CD47BC"/>
    <w:rsid w:val="00CD48CD"/>
    <w:rsid w:val="00CD49DA"/>
    <w:rsid w:val="00CD4A48"/>
    <w:rsid w:val="00CD4CBE"/>
    <w:rsid w:val="00CD56CB"/>
    <w:rsid w:val="00CD58CC"/>
    <w:rsid w:val="00CD5B9D"/>
    <w:rsid w:val="00CD5C6F"/>
    <w:rsid w:val="00CD67F9"/>
    <w:rsid w:val="00CD6F63"/>
    <w:rsid w:val="00CD7477"/>
    <w:rsid w:val="00CD74E0"/>
    <w:rsid w:val="00CD7F40"/>
    <w:rsid w:val="00CE048D"/>
    <w:rsid w:val="00CE04B0"/>
    <w:rsid w:val="00CE06DE"/>
    <w:rsid w:val="00CE087D"/>
    <w:rsid w:val="00CE0909"/>
    <w:rsid w:val="00CE0D1C"/>
    <w:rsid w:val="00CE0E28"/>
    <w:rsid w:val="00CE29CB"/>
    <w:rsid w:val="00CE2BD3"/>
    <w:rsid w:val="00CE2D0C"/>
    <w:rsid w:val="00CE30AD"/>
    <w:rsid w:val="00CE3A82"/>
    <w:rsid w:val="00CE3FA6"/>
    <w:rsid w:val="00CE4045"/>
    <w:rsid w:val="00CE478C"/>
    <w:rsid w:val="00CE5283"/>
    <w:rsid w:val="00CE53EE"/>
    <w:rsid w:val="00CE544B"/>
    <w:rsid w:val="00CE5726"/>
    <w:rsid w:val="00CE610B"/>
    <w:rsid w:val="00CE6540"/>
    <w:rsid w:val="00CE660E"/>
    <w:rsid w:val="00CE69F9"/>
    <w:rsid w:val="00CE6B1F"/>
    <w:rsid w:val="00CE6BBB"/>
    <w:rsid w:val="00CE6C51"/>
    <w:rsid w:val="00CE7955"/>
    <w:rsid w:val="00CE7A2E"/>
    <w:rsid w:val="00CE7DD4"/>
    <w:rsid w:val="00CF00CD"/>
    <w:rsid w:val="00CF0507"/>
    <w:rsid w:val="00CF2990"/>
    <w:rsid w:val="00CF30AC"/>
    <w:rsid w:val="00CF3198"/>
    <w:rsid w:val="00CF38BE"/>
    <w:rsid w:val="00CF3ABE"/>
    <w:rsid w:val="00CF4231"/>
    <w:rsid w:val="00CF54F5"/>
    <w:rsid w:val="00CF674C"/>
    <w:rsid w:val="00CF67B6"/>
    <w:rsid w:val="00CF6B58"/>
    <w:rsid w:val="00CF76E1"/>
    <w:rsid w:val="00CF79E7"/>
    <w:rsid w:val="00CF7A69"/>
    <w:rsid w:val="00D00250"/>
    <w:rsid w:val="00D005C9"/>
    <w:rsid w:val="00D00616"/>
    <w:rsid w:val="00D00FAA"/>
    <w:rsid w:val="00D016C1"/>
    <w:rsid w:val="00D02118"/>
    <w:rsid w:val="00D029CF"/>
    <w:rsid w:val="00D02AF5"/>
    <w:rsid w:val="00D02B37"/>
    <w:rsid w:val="00D02C8E"/>
    <w:rsid w:val="00D032E1"/>
    <w:rsid w:val="00D0331E"/>
    <w:rsid w:val="00D03339"/>
    <w:rsid w:val="00D0344A"/>
    <w:rsid w:val="00D04456"/>
    <w:rsid w:val="00D0483A"/>
    <w:rsid w:val="00D04B6C"/>
    <w:rsid w:val="00D04BD5"/>
    <w:rsid w:val="00D04C6A"/>
    <w:rsid w:val="00D04F1E"/>
    <w:rsid w:val="00D04FA9"/>
    <w:rsid w:val="00D052A1"/>
    <w:rsid w:val="00D0597B"/>
    <w:rsid w:val="00D06120"/>
    <w:rsid w:val="00D073F1"/>
    <w:rsid w:val="00D104B7"/>
    <w:rsid w:val="00D1123C"/>
    <w:rsid w:val="00D113AE"/>
    <w:rsid w:val="00D11603"/>
    <w:rsid w:val="00D11928"/>
    <w:rsid w:val="00D11ACD"/>
    <w:rsid w:val="00D11BCC"/>
    <w:rsid w:val="00D11F13"/>
    <w:rsid w:val="00D12280"/>
    <w:rsid w:val="00D126BA"/>
    <w:rsid w:val="00D13C19"/>
    <w:rsid w:val="00D13EFD"/>
    <w:rsid w:val="00D13F97"/>
    <w:rsid w:val="00D14575"/>
    <w:rsid w:val="00D148B6"/>
    <w:rsid w:val="00D1515A"/>
    <w:rsid w:val="00D15B17"/>
    <w:rsid w:val="00D15C80"/>
    <w:rsid w:val="00D15CD1"/>
    <w:rsid w:val="00D16B25"/>
    <w:rsid w:val="00D1714B"/>
    <w:rsid w:val="00D20A45"/>
    <w:rsid w:val="00D21DAF"/>
    <w:rsid w:val="00D229B6"/>
    <w:rsid w:val="00D22CFF"/>
    <w:rsid w:val="00D22E33"/>
    <w:rsid w:val="00D23291"/>
    <w:rsid w:val="00D2389C"/>
    <w:rsid w:val="00D23C0C"/>
    <w:rsid w:val="00D23D1C"/>
    <w:rsid w:val="00D2426F"/>
    <w:rsid w:val="00D2537F"/>
    <w:rsid w:val="00D2539A"/>
    <w:rsid w:val="00D25977"/>
    <w:rsid w:val="00D25AB1"/>
    <w:rsid w:val="00D25DE0"/>
    <w:rsid w:val="00D25F27"/>
    <w:rsid w:val="00D26184"/>
    <w:rsid w:val="00D26B8F"/>
    <w:rsid w:val="00D26C31"/>
    <w:rsid w:val="00D26C88"/>
    <w:rsid w:val="00D27089"/>
    <w:rsid w:val="00D27126"/>
    <w:rsid w:val="00D302B7"/>
    <w:rsid w:val="00D30385"/>
    <w:rsid w:val="00D30486"/>
    <w:rsid w:val="00D3062A"/>
    <w:rsid w:val="00D312EA"/>
    <w:rsid w:val="00D3280F"/>
    <w:rsid w:val="00D32AE7"/>
    <w:rsid w:val="00D32C54"/>
    <w:rsid w:val="00D33A79"/>
    <w:rsid w:val="00D33B18"/>
    <w:rsid w:val="00D33D71"/>
    <w:rsid w:val="00D33D96"/>
    <w:rsid w:val="00D33E65"/>
    <w:rsid w:val="00D34C2D"/>
    <w:rsid w:val="00D35C5B"/>
    <w:rsid w:val="00D35E34"/>
    <w:rsid w:val="00D35ECF"/>
    <w:rsid w:val="00D36183"/>
    <w:rsid w:val="00D361DA"/>
    <w:rsid w:val="00D366BE"/>
    <w:rsid w:val="00D36ABF"/>
    <w:rsid w:val="00D36C7D"/>
    <w:rsid w:val="00D37272"/>
    <w:rsid w:val="00D375D7"/>
    <w:rsid w:val="00D4013A"/>
    <w:rsid w:val="00D4026F"/>
    <w:rsid w:val="00D40AC8"/>
    <w:rsid w:val="00D40BC3"/>
    <w:rsid w:val="00D40E7A"/>
    <w:rsid w:val="00D41378"/>
    <w:rsid w:val="00D415C8"/>
    <w:rsid w:val="00D41887"/>
    <w:rsid w:val="00D41F95"/>
    <w:rsid w:val="00D42755"/>
    <w:rsid w:val="00D42E0A"/>
    <w:rsid w:val="00D4325E"/>
    <w:rsid w:val="00D433DF"/>
    <w:rsid w:val="00D4341F"/>
    <w:rsid w:val="00D435D6"/>
    <w:rsid w:val="00D43877"/>
    <w:rsid w:val="00D441C2"/>
    <w:rsid w:val="00D45744"/>
    <w:rsid w:val="00D458F1"/>
    <w:rsid w:val="00D45FDF"/>
    <w:rsid w:val="00D4610F"/>
    <w:rsid w:val="00D461DF"/>
    <w:rsid w:val="00D46274"/>
    <w:rsid w:val="00D4650A"/>
    <w:rsid w:val="00D466B0"/>
    <w:rsid w:val="00D46907"/>
    <w:rsid w:val="00D46932"/>
    <w:rsid w:val="00D4697E"/>
    <w:rsid w:val="00D46A0E"/>
    <w:rsid w:val="00D46AE5"/>
    <w:rsid w:val="00D46B82"/>
    <w:rsid w:val="00D46CB9"/>
    <w:rsid w:val="00D478C0"/>
    <w:rsid w:val="00D47A33"/>
    <w:rsid w:val="00D50166"/>
    <w:rsid w:val="00D507DF"/>
    <w:rsid w:val="00D51723"/>
    <w:rsid w:val="00D51FAC"/>
    <w:rsid w:val="00D52523"/>
    <w:rsid w:val="00D531F4"/>
    <w:rsid w:val="00D534B9"/>
    <w:rsid w:val="00D53857"/>
    <w:rsid w:val="00D54005"/>
    <w:rsid w:val="00D54AD5"/>
    <w:rsid w:val="00D551BF"/>
    <w:rsid w:val="00D555A8"/>
    <w:rsid w:val="00D56658"/>
    <w:rsid w:val="00D56A5D"/>
    <w:rsid w:val="00D60365"/>
    <w:rsid w:val="00D60665"/>
    <w:rsid w:val="00D6087D"/>
    <w:rsid w:val="00D60AF8"/>
    <w:rsid w:val="00D60F91"/>
    <w:rsid w:val="00D6143F"/>
    <w:rsid w:val="00D61B2B"/>
    <w:rsid w:val="00D621B4"/>
    <w:rsid w:val="00D62C82"/>
    <w:rsid w:val="00D62F86"/>
    <w:rsid w:val="00D63238"/>
    <w:rsid w:val="00D63360"/>
    <w:rsid w:val="00D6336C"/>
    <w:rsid w:val="00D6387A"/>
    <w:rsid w:val="00D6391C"/>
    <w:rsid w:val="00D647E2"/>
    <w:rsid w:val="00D6485E"/>
    <w:rsid w:val="00D64FB3"/>
    <w:rsid w:val="00D65E53"/>
    <w:rsid w:val="00D66A64"/>
    <w:rsid w:val="00D70A28"/>
    <w:rsid w:val="00D70BB5"/>
    <w:rsid w:val="00D70DFF"/>
    <w:rsid w:val="00D70EAD"/>
    <w:rsid w:val="00D712B7"/>
    <w:rsid w:val="00D713D2"/>
    <w:rsid w:val="00D71D7F"/>
    <w:rsid w:val="00D72258"/>
    <w:rsid w:val="00D72C2E"/>
    <w:rsid w:val="00D7356E"/>
    <w:rsid w:val="00D73611"/>
    <w:rsid w:val="00D73EC1"/>
    <w:rsid w:val="00D74AE2"/>
    <w:rsid w:val="00D75429"/>
    <w:rsid w:val="00D758C2"/>
    <w:rsid w:val="00D75AF5"/>
    <w:rsid w:val="00D7603A"/>
    <w:rsid w:val="00D767F3"/>
    <w:rsid w:val="00D76942"/>
    <w:rsid w:val="00D77A1B"/>
    <w:rsid w:val="00D77E23"/>
    <w:rsid w:val="00D77F7F"/>
    <w:rsid w:val="00D800A3"/>
    <w:rsid w:val="00D801A6"/>
    <w:rsid w:val="00D80456"/>
    <w:rsid w:val="00D80674"/>
    <w:rsid w:val="00D808E4"/>
    <w:rsid w:val="00D808F4"/>
    <w:rsid w:val="00D80EE3"/>
    <w:rsid w:val="00D81277"/>
    <w:rsid w:val="00D813A1"/>
    <w:rsid w:val="00D8153B"/>
    <w:rsid w:val="00D81AD5"/>
    <w:rsid w:val="00D81F0F"/>
    <w:rsid w:val="00D8208E"/>
    <w:rsid w:val="00D821BC"/>
    <w:rsid w:val="00D8228C"/>
    <w:rsid w:val="00D823D3"/>
    <w:rsid w:val="00D827F0"/>
    <w:rsid w:val="00D829D7"/>
    <w:rsid w:val="00D82F16"/>
    <w:rsid w:val="00D83D88"/>
    <w:rsid w:val="00D846CF"/>
    <w:rsid w:val="00D84D9E"/>
    <w:rsid w:val="00D84FB8"/>
    <w:rsid w:val="00D85205"/>
    <w:rsid w:val="00D855CF"/>
    <w:rsid w:val="00D8585C"/>
    <w:rsid w:val="00D858EC"/>
    <w:rsid w:val="00D85E2F"/>
    <w:rsid w:val="00D85E87"/>
    <w:rsid w:val="00D862CC"/>
    <w:rsid w:val="00D875BF"/>
    <w:rsid w:val="00D878FB"/>
    <w:rsid w:val="00D87C6D"/>
    <w:rsid w:val="00D87D06"/>
    <w:rsid w:val="00D90096"/>
    <w:rsid w:val="00D902BD"/>
    <w:rsid w:val="00D90600"/>
    <w:rsid w:val="00D90BEC"/>
    <w:rsid w:val="00D913F2"/>
    <w:rsid w:val="00D917B1"/>
    <w:rsid w:val="00D9191A"/>
    <w:rsid w:val="00D9255C"/>
    <w:rsid w:val="00D92617"/>
    <w:rsid w:val="00D927AB"/>
    <w:rsid w:val="00D9286A"/>
    <w:rsid w:val="00D92D56"/>
    <w:rsid w:val="00D9391E"/>
    <w:rsid w:val="00D93D72"/>
    <w:rsid w:val="00D9462D"/>
    <w:rsid w:val="00D94C66"/>
    <w:rsid w:val="00D95353"/>
    <w:rsid w:val="00D963BB"/>
    <w:rsid w:val="00D96466"/>
    <w:rsid w:val="00D9672A"/>
    <w:rsid w:val="00D96A62"/>
    <w:rsid w:val="00D97067"/>
    <w:rsid w:val="00D97095"/>
    <w:rsid w:val="00D973F3"/>
    <w:rsid w:val="00D974C5"/>
    <w:rsid w:val="00D97619"/>
    <w:rsid w:val="00DA0227"/>
    <w:rsid w:val="00DA0583"/>
    <w:rsid w:val="00DA07DD"/>
    <w:rsid w:val="00DA0BA6"/>
    <w:rsid w:val="00DA0E89"/>
    <w:rsid w:val="00DA10E3"/>
    <w:rsid w:val="00DA1478"/>
    <w:rsid w:val="00DA17D7"/>
    <w:rsid w:val="00DA1873"/>
    <w:rsid w:val="00DA1D45"/>
    <w:rsid w:val="00DA212F"/>
    <w:rsid w:val="00DA2F5F"/>
    <w:rsid w:val="00DA338A"/>
    <w:rsid w:val="00DA38E4"/>
    <w:rsid w:val="00DA4C02"/>
    <w:rsid w:val="00DA4D9C"/>
    <w:rsid w:val="00DA5026"/>
    <w:rsid w:val="00DA5213"/>
    <w:rsid w:val="00DA540D"/>
    <w:rsid w:val="00DA5DCA"/>
    <w:rsid w:val="00DA5EB7"/>
    <w:rsid w:val="00DA6680"/>
    <w:rsid w:val="00DA6E4E"/>
    <w:rsid w:val="00DA6FDF"/>
    <w:rsid w:val="00DA72FA"/>
    <w:rsid w:val="00DA73A6"/>
    <w:rsid w:val="00DA7B49"/>
    <w:rsid w:val="00DA7E0E"/>
    <w:rsid w:val="00DA7F5F"/>
    <w:rsid w:val="00DB05C9"/>
    <w:rsid w:val="00DB0734"/>
    <w:rsid w:val="00DB08A0"/>
    <w:rsid w:val="00DB090B"/>
    <w:rsid w:val="00DB0A6C"/>
    <w:rsid w:val="00DB1311"/>
    <w:rsid w:val="00DB180C"/>
    <w:rsid w:val="00DB2E9C"/>
    <w:rsid w:val="00DB2ED0"/>
    <w:rsid w:val="00DB2F76"/>
    <w:rsid w:val="00DB3D43"/>
    <w:rsid w:val="00DB4274"/>
    <w:rsid w:val="00DB46C0"/>
    <w:rsid w:val="00DB46FB"/>
    <w:rsid w:val="00DB498F"/>
    <w:rsid w:val="00DB4F5C"/>
    <w:rsid w:val="00DB4FDC"/>
    <w:rsid w:val="00DB631A"/>
    <w:rsid w:val="00DB6AB7"/>
    <w:rsid w:val="00DB6DE1"/>
    <w:rsid w:val="00DB6EAC"/>
    <w:rsid w:val="00DB7221"/>
    <w:rsid w:val="00DB7238"/>
    <w:rsid w:val="00DB757A"/>
    <w:rsid w:val="00DB7642"/>
    <w:rsid w:val="00DB770B"/>
    <w:rsid w:val="00DB773D"/>
    <w:rsid w:val="00DB77EE"/>
    <w:rsid w:val="00DB7BEB"/>
    <w:rsid w:val="00DB7DFC"/>
    <w:rsid w:val="00DB7E75"/>
    <w:rsid w:val="00DC0045"/>
    <w:rsid w:val="00DC0D52"/>
    <w:rsid w:val="00DC14B6"/>
    <w:rsid w:val="00DC162F"/>
    <w:rsid w:val="00DC180C"/>
    <w:rsid w:val="00DC19D0"/>
    <w:rsid w:val="00DC1E43"/>
    <w:rsid w:val="00DC287E"/>
    <w:rsid w:val="00DC2D19"/>
    <w:rsid w:val="00DC2D5D"/>
    <w:rsid w:val="00DC2FEE"/>
    <w:rsid w:val="00DC3330"/>
    <w:rsid w:val="00DC3357"/>
    <w:rsid w:val="00DC34CE"/>
    <w:rsid w:val="00DC41D6"/>
    <w:rsid w:val="00DC451B"/>
    <w:rsid w:val="00DC60C1"/>
    <w:rsid w:val="00DC6180"/>
    <w:rsid w:val="00DC6288"/>
    <w:rsid w:val="00DC62FD"/>
    <w:rsid w:val="00DC6838"/>
    <w:rsid w:val="00DC6A71"/>
    <w:rsid w:val="00DC6ADD"/>
    <w:rsid w:val="00DC6FDD"/>
    <w:rsid w:val="00DC7729"/>
    <w:rsid w:val="00DC7917"/>
    <w:rsid w:val="00DC7E43"/>
    <w:rsid w:val="00DC7F69"/>
    <w:rsid w:val="00DD0CF9"/>
    <w:rsid w:val="00DD0FEB"/>
    <w:rsid w:val="00DD110C"/>
    <w:rsid w:val="00DD118C"/>
    <w:rsid w:val="00DD1F52"/>
    <w:rsid w:val="00DD2310"/>
    <w:rsid w:val="00DD25D7"/>
    <w:rsid w:val="00DD2638"/>
    <w:rsid w:val="00DD3B9D"/>
    <w:rsid w:val="00DD3C80"/>
    <w:rsid w:val="00DD3D5B"/>
    <w:rsid w:val="00DD4612"/>
    <w:rsid w:val="00DD48A7"/>
    <w:rsid w:val="00DD4D28"/>
    <w:rsid w:val="00DD5054"/>
    <w:rsid w:val="00DD5308"/>
    <w:rsid w:val="00DD53C2"/>
    <w:rsid w:val="00DD556D"/>
    <w:rsid w:val="00DD5686"/>
    <w:rsid w:val="00DD5B4F"/>
    <w:rsid w:val="00DD660A"/>
    <w:rsid w:val="00DD6626"/>
    <w:rsid w:val="00DD6DCC"/>
    <w:rsid w:val="00DD7281"/>
    <w:rsid w:val="00DD72CD"/>
    <w:rsid w:val="00DD7FB0"/>
    <w:rsid w:val="00DE0691"/>
    <w:rsid w:val="00DE0752"/>
    <w:rsid w:val="00DE1287"/>
    <w:rsid w:val="00DE138E"/>
    <w:rsid w:val="00DE1714"/>
    <w:rsid w:val="00DE1A94"/>
    <w:rsid w:val="00DE1B2A"/>
    <w:rsid w:val="00DE2142"/>
    <w:rsid w:val="00DE26A7"/>
    <w:rsid w:val="00DE27EA"/>
    <w:rsid w:val="00DE2BCE"/>
    <w:rsid w:val="00DE2EE7"/>
    <w:rsid w:val="00DE2FB8"/>
    <w:rsid w:val="00DE337B"/>
    <w:rsid w:val="00DE409D"/>
    <w:rsid w:val="00DE432E"/>
    <w:rsid w:val="00DE4C73"/>
    <w:rsid w:val="00DE4D33"/>
    <w:rsid w:val="00DE5746"/>
    <w:rsid w:val="00DE617E"/>
    <w:rsid w:val="00DE6353"/>
    <w:rsid w:val="00DE6649"/>
    <w:rsid w:val="00DE688C"/>
    <w:rsid w:val="00DE764B"/>
    <w:rsid w:val="00DE775E"/>
    <w:rsid w:val="00DF04FD"/>
    <w:rsid w:val="00DF1094"/>
    <w:rsid w:val="00DF1A40"/>
    <w:rsid w:val="00DF1C54"/>
    <w:rsid w:val="00DF2FC8"/>
    <w:rsid w:val="00DF35D5"/>
    <w:rsid w:val="00DF3D6B"/>
    <w:rsid w:val="00DF5335"/>
    <w:rsid w:val="00DF61A2"/>
    <w:rsid w:val="00DF6DFE"/>
    <w:rsid w:val="00DF7457"/>
    <w:rsid w:val="00DF779F"/>
    <w:rsid w:val="00DF7AE1"/>
    <w:rsid w:val="00DF7C81"/>
    <w:rsid w:val="00E00987"/>
    <w:rsid w:val="00E01F90"/>
    <w:rsid w:val="00E029BE"/>
    <w:rsid w:val="00E02FAE"/>
    <w:rsid w:val="00E03086"/>
    <w:rsid w:val="00E03825"/>
    <w:rsid w:val="00E04155"/>
    <w:rsid w:val="00E0438D"/>
    <w:rsid w:val="00E059D2"/>
    <w:rsid w:val="00E05BF4"/>
    <w:rsid w:val="00E05C80"/>
    <w:rsid w:val="00E0633C"/>
    <w:rsid w:val="00E06435"/>
    <w:rsid w:val="00E065CA"/>
    <w:rsid w:val="00E068F2"/>
    <w:rsid w:val="00E06B70"/>
    <w:rsid w:val="00E07ABA"/>
    <w:rsid w:val="00E07CB3"/>
    <w:rsid w:val="00E103DE"/>
    <w:rsid w:val="00E104E1"/>
    <w:rsid w:val="00E1070A"/>
    <w:rsid w:val="00E10AA8"/>
    <w:rsid w:val="00E10C2E"/>
    <w:rsid w:val="00E1291D"/>
    <w:rsid w:val="00E12C71"/>
    <w:rsid w:val="00E13C85"/>
    <w:rsid w:val="00E14589"/>
    <w:rsid w:val="00E14615"/>
    <w:rsid w:val="00E1476A"/>
    <w:rsid w:val="00E1539A"/>
    <w:rsid w:val="00E154F4"/>
    <w:rsid w:val="00E15DC5"/>
    <w:rsid w:val="00E15FD8"/>
    <w:rsid w:val="00E1604B"/>
    <w:rsid w:val="00E16644"/>
    <w:rsid w:val="00E167AE"/>
    <w:rsid w:val="00E1686E"/>
    <w:rsid w:val="00E168B9"/>
    <w:rsid w:val="00E16964"/>
    <w:rsid w:val="00E16F06"/>
    <w:rsid w:val="00E17389"/>
    <w:rsid w:val="00E177F3"/>
    <w:rsid w:val="00E2028A"/>
    <w:rsid w:val="00E2044B"/>
    <w:rsid w:val="00E20D48"/>
    <w:rsid w:val="00E213E0"/>
    <w:rsid w:val="00E2175A"/>
    <w:rsid w:val="00E21985"/>
    <w:rsid w:val="00E22B31"/>
    <w:rsid w:val="00E22B8B"/>
    <w:rsid w:val="00E22BF3"/>
    <w:rsid w:val="00E22C1B"/>
    <w:rsid w:val="00E23034"/>
    <w:rsid w:val="00E23316"/>
    <w:rsid w:val="00E2479E"/>
    <w:rsid w:val="00E24E25"/>
    <w:rsid w:val="00E25003"/>
    <w:rsid w:val="00E25DBC"/>
    <w:rsid w:val="00E261BA"/>
    <w:rsid w:val="00E263CF"/>
    <w:rsid w:val="00E26664"/>
    <w:rsid w:val="00E268A0"/>
    <w:rsid w:val="00E269AE"/>
    <w:rsid w:val="00E26D2B"/>
    <w:rsid w:val="00E2763B"/>
    <w:rsid w:val="00E27FE2"/>
    <w:rsid w:val="00E309B1"/>
    <w:rsid w:val="00E310B0"/>
    <w:rsid w:val="00E31B5D"/>
    <w:rsid w:val="00E31DC8"/>
    <w:rsid w:val="00E32387"/>
    <w:rsid w:val="00E326C8"/>
    <w:rsid w:val="00E32921"/>
    <w:rsid w:val="00E32B4F"/>
    <w:rsid w:val="00E32E7F"/>
    <w:rsid w:val="00E32F89"/>
    <w:rsid w:val="00E33737"/>
    <w:rsid w:val="00E33A73"/>
    <w:rsid w:val="00E34452"/>
    <w:rsid w:val="00E34B4F"/>
    <w:rsid w:val="00E34B97"/>
    <w:rsid w:val="00E35598"/>
    <w:rsid w:val="00E358A3"/>
    <w:rsid w:val="00E35998"/>
    <w:rsid w:val="00E35B94"/>
    <w:rsid w:val="00E36691"/>
    <w:rsid w:val="00E37070"/>
    <w:rsid w:val="00E37960"/>
    <w:rsid w:val="00E37B64"/>
    <w:rsid w:val="00E4047F"/>
    <w:rsid w:val="00E40EE7"/>
    <w:rsid w:val="00E41806"/>
    <w:rsid w:val="00E41F52"/>
    <w:rsid w:val="00E424D8"/>
    <w:rsid w:val="00E4255F"/>
    <w:rsid w:val="00E42ABF"/>
    <w:rsid w:val="00E42B83"/>
    <w:rsid w:val="00E43978"/>
    <w:rsid w:val="00E43E4A"/>
    <w:rsid w:val="00E44479"/>
    <w:rsid w:val="00E44F96"/>
    <w:rsid w:val="00E45119"/>
    <w:rsid w:val="00E4546D"/>
    <w:rsid w:val="00E45598"/>
    <w:rsid w:val="00E458D4"/>
    <w:rsid w:val="00E45946"/>
    <w:rsid w:val="00E4599B"/>
    <w:rsid w:val="00E45CD3"/>
    <w:rsid w:val="00E45EB7"/>
    <w:rsid w:val="00E45F54"/>
    <w:rsid w:val="00E46177"/>
    <w:rsid w:val="00E46363"/>
    <w:rsid w:val="00E46486"/>
    <w:rsid w:val="00E466E8"/>
    <w:rsid w:val="00E46911"/>
    <w:rsid w:val="00E46D6C"/>
    <w:rsid w:val="00E47125"/>
    <w:rsid w:val="00E47569"/>
    <w:rsid w:val="00E47E00"/>
    <w:rsid w:val="00E47E8D"/>
    <w:rsid w:val="00E47FF9"/>
    <w:rsid w:val="00E509AD"/>
    <w:rsid w:val="00E51397"/>
    <w:rsid w:val="00E518E4"/>
    <w:rsid w:val="00E51F32"/>
    <w:rsid w:val="00E52089"/>
    <w:rsid w:val="00E52AA2"/>
    <w:rsid w:val="00E52B3B"/>
    <w:rsid w:val="00E52CBD"/>
    <w:rsid w:val="00E53088"/>
    <w:rsid w:val="00E53780"/>
    <w:rsid w:val="00E5479A"/>
    <w:rsid w:val="00E547C2"/>
    <w:rsid w:val="00E551BE"/>
    <w:rsid w:val="00E558EA"/>
    <w:rsid w:val="00E55E7C"/>
    <w:rsid w:val="00E56D04"/>
    <w:rsid w:val="00E57603"/>
    <w:rsid w:val="00E57863"/>
    <w:rsid w:val="00E57940"/>
    <w:rsid w:val="00E57B17"/>
    <w:rsid w:val="00E57C17"/>
    <w:rsid w:val="00E57C33"/>
    <w:rsid w:val="00E57F35"/>
    <w:rsid w:val="00E60206"/>
    <w:rsid w:val="00E607DD"/>
    <w:rsid w:val="00E61848"/>
    <w:rsid w:val="00E61D07"/>
    <w:rsid w:val="00E62148"/>
    <w:rsid w:val="00E62CC6"/>
    <w:rsid w:val="00E62CFC"/>
    <w:rsid w:val="00E62DEA"/>
    <w:rsid w:val="00E6525A"/>
    <w:rsid w:val="00E653AC"/>
    <w:rsid w:val="00E659B6"/>
    <w:rsid w:val="00E65D29"/>
    <w:rsid w:val="00E65E69"/>
    <w:rsid w:val="00E6631C"/>
    <w:rsid w:val="00E67227"/>
    <w:rsid w:val="00E677EE"/>
    <w:rsid w:val="00E67B4D"/>
    <w:rsid w:val="00E67C3E"/>
    <w:rsid w:val="00E70034"/>
    <w:rsid w:val="00E705D8"/>
    <w:rsid w:val="00E7089C"/>
    <w:rsid w:val="00E70C42"/>
    <w:rsid w:val="00E70FEF"/>
    <w:rsid w:val="00E71803"/>
    <w:rsid w:val="00E71B36"/>
    <w:rsid w:val="00E72418"/>
    <w:rsid w:val="00E7285B"/>
    <w:rsid w:val="00E72949"/>
    <w:rsid w:val="00E73043"/>
    <w:rsid w:val="00E73434"/>
    <w:rsid w:val="00E73D3B"/>
    <w:rsid w:val="00E73D76"/>
    <w:rsid w:val="00E74661"/>
    <w:rsid w:val="00E748A0"/>
    <w:rsid w:val="00E74A08"/>
    <w:rsid w:val="00E74E67"/>
    <w:rsid w:val="00E752D6"/>
    <w:rsid w:val="00E7577A"/>
    <w:rsid w:val="00E757B6"/>
    <w:rsid w:val="00E75870"/>
    <w:rsid w:val="00E76173"/>
    <w:rsid w:val="00E762FA"/>
    <w:rsid w:val="00E76A99"/>
    <w:rsid w:val="00E76D69"/>
    <w:rsid w:val="00E76F5E"/>
    <w:rsid w:val="00E772C7"/>
    <w:rsid w:val="00E77439"/>
    <w:rsid w:val="00E77585"/>
    <w:rsid w:val="00E77882"/>
    <w:rsid w:val="00E80169"/>
    <w:rsid w:val="00E8016A"/>
    <w:rsid w:val="00E80978"/>
    <w:rsid w:val="00E81995"/>
    <w:rsid w:val="00E82A5F"/>
    <w:rsid w:val="00E831BE"/>
    <w:rsid w:val="00E83492"/>
    <w:rsid w:val="00E849E0"/>
    <w:rsid w:val="00E85125"/>
    <w:rsid w:val="00E855C3"/>
    <w:rsid w:val="00E85D79"/>
    <w:rsid w:val="00E860DB"/>
    <w:rsid w:val="00E8619C"/>
    <w:rsid w:val="00E862EA"/>
    <w:rsid w:val="00E86B4D"/>
    <w:rsid w:val="00E86C2C"/>
    <w:rsid w:val="00E8718C"/>
    <w:rsid w:val="00E9069B"/>
    <w:rsid w:val="00E906B4"/>
    <w:rsid w:val="00E9072A"/>
    <w:rsid w:val="00E90B03"/>
    <w:rsid w:val="00E90D5D"/>
    <w:rsid w:val="00E91E70"/>
    <w:rsid w:val="00E91FCE"/>
    <w:rsid w:val="00E92A0C"/>
    <w:rsid w:val="00E93407"/>
    <w:rsid w:val="00E9386C"/>
    <w:rsid w:val="00E939C7"/>
    <w:rsid w:val="00E942BD"/>
    <w:rsid w:val="00E94392"/>
    <w:rsid w:val="00E94CAF"/>
    <w:rsid w:val="00E94ED6"/>
    <w:rsid w:val="00E952CA"/>
    <w:rsid w:val="00E9580A"/>
    <w:rsid w:val="00E958EA"/>
    <w:rsid w:val="00E95A4B"/>
    <w:rsid w:val="00E95B48"/>
    <w:rsid w:val="00E95C5A"/>
    <w:rsid w:val="00E9652F"/>
    <w:rsid w:val="00E9694B"/>
    <w:rsid w:val="00E97D4B"/>
    <w:rsid w:val="00E97E78"/>
    <w:rsid w:val="00EA0D09"/>
    <w:rsid w:val="00EA0EBD"/>
    <w:rsid w:val="00EA1824"/>
    <w:rsid w:val="00EA18EC"/>
    <w:rsid w:val="00EA1DEA"/>
    <w:rsid w:val="00EA1E3E"/>
    <w:rsid w:val="00EA1EA8"/>
    <w:rsid w:val="00EA2364"/>
    <w:rsid w:val="00EA2686"/>
    <w:rsid w:val="00EA29CE"/>
    <w:rsid w:val="00EA29E3"/>
    <w:rsid w:val="00EA2FAA"/>
    <w:rsid w:val="00EA3447"/>
    <w:rsid w:val="00EA391A"/>
    <w:rsid w:val="00EA4276"/>
    <w:rsid w:val="00EA431C"/>
    <w:rsid w:val="00EA4416"/>
    <w:rsid w:val="00EA5112"/>
    <w:rsid w:val="00EA5315"/>
    <w:rsid w:val="00EA5CC8"/>
    <w:rsid w:val="00EA5E7F"/>
    <w:rsid w:val="00EA6B66"/>
    <w:rsid w:val="00EA7236"/>
    <w:rsid w:val="00EA73B2"/>
    <w:rsid w:val="00EA77DB"/>
    <w:rsid w:val="00EA77F5"/>
    <w:rsid w:val="00EA7FD2"/>
    <w:rsid w:val="00EB01D4"/>
    <w:rsid w:val="00EB1901"/>
    <w:rsid w:val="00EB1B96"/>
    <w:rsid w:val="00EB1C49"/>
    <w:rsid w:val="00EB1E0A"/>
    <w:rsid w:val="00EB30DF"/>
    <w:rsid w:val="00EB320D"/>
    <w:rsid w:val="00EB340E"/>
    <w:rsid w:val="00EB351F"/>
    <w:rsid w:val="00EB39F9"/>
    <w:rsid w:val="00EB3B86"/>
    <w:rsid w:val="00EB3C84"/>
    <w:rsid w:val="00EB3DAC"/>
    <w:rsid w:val="00EB3E81"/>
    <w:rsid w:val="00EB4042"/>
    <w:rsid w:val="00EB512E"/>
    <w:rsid w:val="00EB5256"/>
    <w:rsid w:val="00EB52DF"/>
    <w:rsid w:val="00EB5439"/>
    <w:rsid w:val="00EB5F8F"/>
    <w:rsid w:val="00EB66A4"/>
    <w:rsid w:val="00EB6BA8"/>
    <w:rsid w:val="00EB79C4"/>
    <w:rsid w:val="00EB7ABD"/>
    <w:rsid w:val="00EB7BE1"/>
    <w:rsid w:val="00EC031A"/>
    <w:rsid w:val="00EC0920"/>
    <w:rsid w:val="00EC0A9D"/>
    <w:rsid w:val="00EC0BE2"/>
    <w:rsid w:val="00EC0E31"/>
    <w:rsid w:val="00EC14C0"/>
    <w:rsid w:val="00EC1557"/>
    <w:rsid w:val="00EC2484"/>
    <w:rsid w:val="00EC2D28"/>
    <w:rsid w:val="00EC3A53"/>
    <w:rsid w:val="00EC3B22"/>
    <w:rsid w:val="00EC4394"/>
    <w:rsid w:val="00EC48A9"/>
    <w:rsid w:val="00EC4EFB"/>
    <w:rsid w:val="00EC4FA9"/>
    <w:rsid w:val="00EC5216"/>
    <w:rsid w:val="00EC5671"/>
    <w:rsid w:val="00EC5896"/>
    <w:rsid w:val="00EC5938"/>
    <w:rsid w:val="00EC5AD0"/>
    <w:rsid w:val="00EC611D"/>
    <w:rsid w:val="00EC7337"/>
    <w:rsid w:val="00EC75A6"/>
    <w:rsid w:val="00EC7B21"/>
    <w:rsid w:val="00EC7CFD"/>
    <w:rsid w:val="00EC7EDA"/>
    <w:rsid w:val="00ED02B1"/>
    <w:rsid w:val="00ED04B5"/>
    <w:rsid w:val="00ED04ED"/>
    <w:rsid w:val="00ED06DD"/>
    <w:rsid w:val="00ED0E8E"/>
    <w:rsid w:val="00ED1BFF"/>
    <w:rsid w:val="00ED205F"/>
    <w:rsid w:val="00ED2105"/>
    <w:rsid w:val="00ED2111"/>
    <w:rsid w:val="00ED2377"/>
    <w:rsid w:val="00ED24A2"/>
    <w:rsid w:val="00ED26D2"/>
    <w:rsid w:val="00ED282F"/>
    <w:rsid w:val="00ED291A"/>
    <w:rsid w:val="00ED2933"/>
    <w:rsid w:val="00ED313F"/>
    <w:rsid w:val="00ED3606"/>
    <w:rsid w:val="00ED384F"/>
    <w:rsid w:val="00ED3AF9"/>
    <w:rsid w:val="00ED3E20"/>
    <w:rsid w:val="00ED4C9C"/>
    <w:rsid w:val="00ED51C4"/>
    <w:rsid w:val="00ED5ADB"/>
    <w:rsid w:val="00ED5F33"/>
    <w:rsid w:val="00ED5F73"/>
    <w:rsid w:val="00ED62AC"/>
    <w:rsid w:val="00ED659C"/>
    <w:rsid w:val="00ED65BC"/>
    <w:rsid w:val="00ED65E6"/>
    <w:rsid w:val="00ED6880"/>
    <w:rsid w:val="00ED6D17"/>
    <w:rsid w:val="00ED764F"/>
    <w:rsid w:val="00ED77A4"/>
    <w:rsid w:val="00EE0094"/>
    <w:rsid w:val="00EE06B1"/>
    <w:rsid w:val="00EE0984"/>
    <w:rsid w:val="00EE15B4"/>
    <w:rsid w:val="00EE16A2"/>
    <w:rsid w:val="00EE1753"/>
    <w:rsid w:val="00EE1B83"/>
    <w:rsid w:val="00EE1C27"/>
    <w:rsid w:val="00EE2307"/>
    <w:rsid w:val="00EE260A"/>
    <w:rsid w:val="00EE2951"/>
    <w:rsid w:val="00EE2AC5"/>
    <w:rsid w:val="00EE2D23"/>
    <w:rsid w:val="00EE334E"/>
    <w:rsid w:val="00EE3A1B"/>
    <w:rsid w:val="00EE4623"/>
    <w:rsid w:val="00EE4886"/>
    <w:rsid w:val="00EE5151"/>
    <w:rsid w:val="00EE535C"/>
    <w:rsid w:val="00EE5A8F"/>
    <w:rsid w:val="00EE5F85"/>
    <w:rsid w:val="00EE60C4"/>
    <w:rsid w:val="00EE68DE"/>
    <w:rsid w:val="00EE73F7"/>
    <w:rsid w:val="00EE7702"/>
    <w:rsid w:val="00EE7C16"/>
    <w:rsid w:val="00EF0577"/>
    <w:rsid w:val="00EF125A"/>
    <w:rsid w:val="00EF15C1"/>
    <w:rsid w:val="00EF1D3A"/>
    <w:rsid w:val="00EF21D2"/>
    <w:rsid w:val="00EF4E2A"/>
    <w:rsid w:val="00EF57BB"/>
    <w:rsid w:val="00EF5C12"/>
    <w:rsid w:val="00EF5FDC"/>
    <w:rsid w:val="00EF654D"/>
    <w:rsid w:val="00EF66DC"/>
    <w:rsid w:val="00EF685A"/>
    <w:rsid w:val="00EF688A"/>
    <w:rsid w:val="00EF6F47"/>
    <w:rsid w:val="00EF711B"/>
    <w:rsid w:val="00EF71E7"/>
    <w:rsid w:val="00EF7543"/>
    <w:rsid w:val="00EF76B7"/>
    <w:rsid w:val="00EF7726"/>
    <w:rsid w:val="00EF79B3"/>
    <w:rsid w:val="00EF7F25"/>
    <w:rsid w:val="00F002C8"/>
    <w:rsid w:val="00F00694"/>
    <w:rsid w:val="00F0155B"/>
    <w:rsid w:val="00F016C6"/>
    <w:rsid w:val="00F018AB"/>
    <w:rsid w:val="00F0197F"/>
    <w:rsid w:val="00F02D1D"/>
    <w:rsid w:val="00F03235"/>
    <w:rsid w:val="00F03CFD"/>
    <w:rsid w:val="00F03FB3"/>
    <w:rsid w:val="00F04084"/>
    <w:rsid w:val="00F04748"/>
    <w:rsid w:val="00F04CA0"/>
    <w:rsid w:val="00F05637"/>
    <w:rsid w:val="00F05AE6"/>
    <w:rsid w:val="00F05C89"/>
    <w:rsid w:val="00F063EA"/>
    <w:rsid w:val="00F0697B"/>
    <w:rsid w:val="00F07128"/>
    <w:rsid w:val="00F07215"/>
    <w:rsid w:val="00F07567"/>
    <w:rsid w:val="00F07603"/>
    <w:rsid w:val="00F079F4"/>
    <w:rsid w:val="00F10434"/>
    <w:rsid w:val="00F1047A"/>
    <w:rsid w:val="00F105C9"/>
    <w:rsid w:val="00F1074A"/>
    <w:rsid w:val="00F10A94"/>
    <w:rsid w:val="00F10AFD"/>
    <w:rsid w:val="00F10F7D"/>
    <w:rsid w:val="00F112B8"/>
    <w:rsid w:val="00F11450"/>
    <w:rsid w:val="00F11770"/>
    <w:rsid w:val="00F11897"/>
    <w:rsid w:val="00F11B56"/>
    <w:rsid w:val="00F11CD8"/>
    <w:rsid w:val="00F11D0B"/>
    <w:rsid w:val="00F127B0"/>
    <w:rsid w:val="00F12AE3"/>
    <w:rsid w:val="00F130FC"/>
    <w:rsid w:val="00F1346E"/>
    <w:rsid w:val="00F134C5"/>
    <w:rsid w:val="00F13B0A"/>
    <w:rsid w:val="00F1412E"/>
    <w:rsid w:val="00F14D1F"/>
    <w:rsid w:val="00F15189"/>
    <w:rsid w:val="00F15441"/>
    <w:rsid w:val="00F15493"/>
    <w:rsid w:val="00F1587D"/>
    <w:rsid w:val="00F158B3"/>
    <w:rsid w:val="00F160C7"/>
    <w:rsid w:val="00F1633A"/>
    <w:rsid w:val="00F16819"/>
    <w:rsid w:val="00F16877"/>
    <w:rsid w:val="00F16A29"/>
    <w:rsid w:val="00F16B5C"/>
    <w:rsid w:val="00F16CB8"/>
    <w:rsid w:val="00F16DA9"/>
    <w:rsid w:val="00F177C1"/>
    <w:rsid w:val="00F177D1"/>
    <w:rsid w:val="00F17D03"/>
    <w:rsid w:val="00F20608"/>
    <w:rsid w:val="00F206BE"/>
    <w:rsid w:val="00F212F6"/>
    <w:rsid w:val="00F21628"/>
    <w:rsid w:val="00F21B58"/>
    <w:rsid w:val="00F22A92"/>
    <w:rsid w:val="00F22DBF"/>
    <w:rsid w:val="00F235C8"/>
    <w:rsid w:val="00F23B56"/>
    <w:rsid w:val="00F23C46"/>
    <w:rsid w:val="00F23EE9"/>
    <w:rsid w:val="00F23FC0"/>
    <w:rsid w:val="00F24118"/>
    <w:rsid w:val="00F24336"/>
    <w:rsid w:val="00F2521F"/>
    <w:rsid w:val="00F25880"/>
    <w:rsid w:val="00F2627D"/>
    <w:rsid w:val="00F26469"/>
    <w:rsid w:val="00F26651"/>
    <w:rsid w:val="00F26AB6"/>
    <w:rsid w:val="00F27842"/>
    <w:rsid w:val="00F300C6"/>
    <w:rsid w:val="00F30203"/>
    <w:rsid w:val="00F30575"/>
    <w:rsid w:val="00F30691"/>
    <w:rsid w:val="00F30A60"/>
    <w:rsid w:val="00F319EC"/>
    <w:rsid w:val="00F326C5"/>
    <w:rsid w:val="00F32926"/>
    <w:rsid w:val="00F335D9"/>
    <w:rsid w:val="00F3376F"/>
    <w:rsid w:val="00F34550"/>
    <w:rsid w:val="00F34DAA"/>
    <w:rsid w:val="00F35156"/>
    <w:rsid w:val="00F354F7"/>
    <w:rsid w:val="00F35917"/>
    <w:rsid w:val="00F35D21"/>
    <w:rsid w:val="00F35E1E"/>
    <w:rsid w:val="00F37208"/>
    <w:rsid w:val="00F37252"/>
    <w:rsid w:val="00F37A7D"/>
    <w:rsid w:val="00F37C23"/>
    <w:rsid w:val="00F37EF6"/>
    <w:rsid w:val="00F4064A"/>
    <w:rsid w:val="00F4098B"/>
    <w:rsid w:val="00F417F4"/>
    <w:rsid w:val="00F42B8E"/>
    <w:rsid w:val="00F4381F"/>
    <w:rsid w:val="00F438C8"/>
    <w:rsid w:val="00F43C91"/>
    <w:rsid w:val="00F43F30"/>
    <w:rsid w:val="00F4416E"/>
    <w:rsid w:val="00F44490"/>
    <w:rsid w:val="00F445B7"/>
    <w:rsid w:val="00F45B69"/>
    <w:rsid w:val="00F45CAA"/>
    <w:rsid w:val="00F461FB"/>
    <w:rsid w:val="00F46425"/>
    <w:rsid w:val="00F46A17"/>
    <w:rsid w:val="00F46D26"/>
    <w:rsid w:val="00F46F08"/>
    <w:rsid w:val="00F500E9"/>
    <w:rsid w:val="00F50600"/>
    <w:rsid w:val="00F5095B"/>
    <w:rsid w:val="00F509F9"/>
    <w:rsid w:val="00F50D78"/>
    <w:rsid w:val="00F510E4"/>
    <w:rsid w:val="00F516CE"/>
    <w:rsid w:val="00F51E67"/>
    <w:rsid w:val="00F51EA6"/>
    <w:rsid w:val="00F522EE"/>
    <w:rsid w:val="00F524DF"/>
    <w:rsid w:val="00F528EA"/>
    <w:rsid w:val="00F52B9D"/>
    <w:rsid w:val="00F535D9"/>
    <w:rsid w:val="00F537DD"/>
    <w:rsid w:val="00F54C31"/>
    <w:rsid w:val="00F54E31"/>
    <w:rsid w:val="00F550C9"/>
    <w:rsid w:val="00F552BC"/>
    <w:rsid w:val="00F55334"/>
    <w:rsid w:val="00F559CA"/>
    <w:rsid w:val="00F55A6C"/>
    <w:rsid w:val="00F5634B"/>
    <w:rsid w:val="00F566DD"/>
    <w:rsid w:val="00F56AD6"/>
    <w:rsid w:val="00F600EA"/>
    <w:rsid w:val="00F60681"/>
    <w:rsid w:val="00F60CFF"/>
    <w:rsid w:val="00F60FB4"/>
    <w:rsid w:val="00F60FD6"/>
    <w:rsid w:val="00F61095"/>
    <w:rsid w:val="00F6137B"/>
    <w:rsid w:val="00F613E3"/>
    <w:rsid w:val="00F618EA"/>
    <w:rsid w:val="00F621B0"/>
    <w:rsid w:val="00F62A30"/>
    <w:rsid w:val="00F62FD7"/>
    <w:rsid w:val="00F63383"/>
    <w:rsid w:val="00F633CF"/>
    <w:rsid w:val="00F6352E"/>
    <w:rsid w:val="00F64696"/>
    <w:rsid w:val="00F64771"/>
    <w:rsid w:val="00F64A70"/>
    <w:rsid w:val="00F64AFF"/>
    <w:rsid w:val="00F64B4C"/>
    <w:rsid w:val="00F652B7"/>
    <w:rsid w:val="00F65363"/>
    <w:rsid w:val="00F65487"/>
    <w:rsid w:val="00F656F1"/>
    <w:rsid w:val="00F65ED0"/>
    <w:rsid w:val="00F66234"/>
    <w:rsid w:val="00F66A8A"/>
    <w:rsid w:val="00F66B21"/>
    <w:rsid w:val="00F6723A"/>
    <w:rsid w:val="00F672C4"/>
    <w:rsid w:val="00F67572"/>
    <w:rsid w:val="00F676FA"/>
    <w:rsid w:val="00F67804"/>
    <w:rsid w:val="00F67A03"/>
    <w:rsid w:val="00F67EE8"/>
    <w:rsid w:val="00F70099"/>
    <w:rsid w:val="00F7042B"/>
    <w:rsid w:val="00F70DB7"/>
    <w:rsid w:val="00F70EA0"/>
    <w:rsid w:val="00F710E7"/>
    <w:rsid w:val="00F71425"/>
    <w:rsid w:val="00F718C8"/>
    <w:rsid w:val="00F71942"/>
    <w:rsid w:val="00F71BF5"/>
    <w:rsid w:val="00F71DC8"/>
    <w:rsid w:val="00F71F7A"/>
    <w:rsid w:val="00F72494"/>
    <w:rsid w:val="00F724EC"/>
    <w:rsid w:val="00F726D7"/>
    <w:rsid w:val="00F72EC6"/>
    <w:rsid w:val="00F73278"/>
    <w:rsid w:val="00F7342E"/>
    <w:rsid w:val="00F735C0"/>
    <w:rsid w:val="00F7366D"/>
    <w:rsid w:val="00F73E9F"/>
    <w:rsid w:val="00F740A5"/>
    <w:rsid w:val="00F7467C"/>
    <w:rsid w:val="00F749B0"/>
    <w:rsid w:val="00F74BB8"/>
    <w:rsid w:val="00F74CC6"/>
    <w:rsid w:val="00F74CEB"/>
    <w:rsid w:val="00F75557"/>
    <w:rsid w:val="00F768D1"/>
    <w:rsid w:val="00F768FD"/>
    <w:rsid w:val="00F76A2C"/>
    <w:rsid w:val="00F76F13"/>
    <w:rsid w:val="00F7711D"/>
    <w:rsid w:val="00F77F0B"/>
    <w:rsid w:val="00F8000E"/>
    <w:rsid w:val="00F800FC"/>
    <w:rsid w:val="00F804B8"/>
    <w:rsid w:val="00F808F0"/>
    <w:rsid w:val="00F80A11"/>
    <w:rsid w:val="00F81042"/>
    <w:rsid w:val="00F81267"/>
    <w:rsid w:val="00F816CD"/>
    <w:rsid w:val="00F81AA5"/>
    <w:rsid w:val="00F822C4"/>
    <w:rsid w:val="00F82AEF"/>
    <w:rsid w:val="00F82C01"/>
    <w:rsid w:val="00F8302E"/>
    <w:rsid w:val="00F83683"/>
    <w:rsid w:val="00F83784"/>
    <w:rsid w:val="00F84381"/>
    <w:rsid w:val="00F849BC"/>
    <w:rsid w:val="00F84D53"/>
    <w:rsid w:val="00F84DE0"/>
    <w:rsid w:val="00F8506B"/>
    <w:rsid w:val="00F8535C"/>
    <w:rsid w:val="00F85964"/>
    <w:rsid w:val="00F86021"/>
    <w:rsid w:val="00F863BE"/>
    <w:rsid w:val="00F864FE"/>
    <w:rsid w:val="00F86660"/>
    <w:rsid w:val="00F868DE"/>
    <w:rsid w:val="00F86B25"/>
    <w:rsid w:val="00F870DF"/>
    <w:rsid w:val="00F8749A"/>
    <w:rsid w:val="00F87704"/>
    <w:rsid w:val="00F878A9"/>
    <w:rsid w:val="00F87A71"/>
    <w:rsid w:val="00F87B08"/>
    <w:rsid w:val="00F90328"/>
    <w:rsid w:val="00F9110D"/>
    <w:rsid w:val="00F9133A"/>
    <w:rsid w:val="00F915E8"/>
    <w:rsid w:val="00F91806"/>
    <w:rsid w:val="00F918AA"/>
    <w:rsid w:val="00F919BC"/>
    <w:rsid w:val="00F91EEE"/>
    <w:rsid w:val="00F922A7"/>
    <w:rsid w:val="00F9266E"/>
    <w:rsid w:val="00F928DE"/>
    <w:rsid w:val="00F933C4"/>
    <w:rsid w:val="00F93D2B"/>
    <w:rsid w:val="00F93F7F"/>
    <w:rsid w:val="00F94613"/>
    <w:rsid w:val="00F95286"/>
    <w:rsid w:val="00F95BBE"/>
    <w:rsid w:val="00F96B72"/>
    <w:rsid w:val="00F96CE5"/>
    <w:rsid w:val="00F96D6C"/>
    <w:rsid w:val="00F97473"/>
    <w:rsid w:val="00F976FA"/>
    <w:rsid w:val="00F978DD"/>
    <w:rsid w:val="00F97A9A"/>
    <w:rsid w:val="00F97AE3"/>
    <w:rsid w:val="00F97E8A"/>
    <w:rsid w:val="00FA002F"/>
    <w:rsid w:val="00FA0C2A"/>
    <w:rsid w:val="00FA0DCF"/>
    <w:rsid w:val="00FA0E75"/>
    <w:rsid w:val="00FA1106"/>
    <w:rsid w:val="00FA2323"/>
    <w:rsid w:val="00FA2584"/>
    <w:rsid w:val="00FA2EAF"/>
    <w:rsid w:val="00FA2FE9"/>
    <w:rsid w:val="00FA3A75"/>
    <w:rsid w:val="00FA476C"/>
    <w:rsid w:val="00FA4EA3"/>
    <w:rsid w:val="00FA5633"/>
    <w:rsid w:val="00FA64CD"/>
    <w:rsid w:val="00FA682C"/>
    <w:rsid w:val="00FA6DCC"/>
    <w:rsid w:val="00FB04C5"/>
    <w:rsid w:val="00FB08CD"/>
    <w:rsid w:val="00FB0C7D"/>
    <w:rsid w:val="00FB0CFB"/>
    <w:rsid w:val="00FB0D7A"/>
    <w:rsid w:val="00FB12F0"/>
    <w:rsid w:val="00FB1614"/>
    <w:rsid w:val="00FB26D7"/>
    <w:rsid w:val="00FB28D6"/>
    <w:rsid w:val="00FB28DC"/>
    <w:rsid w:val="00FB33B7"/>
    <w:rsid w:val="00FB343E"/>
    <w:rsid w:val="00FB381E"/>
    <w:rsid w:val="00FB3C94"/>
    <w:rsid w:val="00FB3E1E"/>
    <w:rsid w:val="00FB3E52"/>
    <w:rsid w:val="00FB4582"/>
    <w:rsid w:val="00FB53CD"/>
    <w:rsid w:val="00FB5C19"/>
    <w:rsid w:val="00FB5C28"/>
    <w:rsid w:val="00FB644B"/>
    <w:rsid w:val="00FB66A8"/>
    <w:rsid w:val="00FB72E8"/>
    <w:rsid w:val="00FB72EC"/>
    <w:rsid w:val="00FB745E"/>
    <w:rsid w:val="00FB78DA"/>
    <w:rsid w:val="00FB7B1F"/>
    <w:rsid w:val="00FC0723"/>
    <w:rsid w:val="00FC097A"/>
    <w:rsid w:val="00FC118E"/>
    <w:rsid w:val="00FC218F"/>
    <w:rsid w:val="00FC2493"/>
    <w:rsid w:val="00FC268D"/>
    <w:rsid w:val="00FC2766"/>
    <w:rsid w:val="00FC2AB0"/>
    <w:rsid w:val="00FC2F7A"/>
    <w:rsid w:val="00FC30D7"/>
    <w:rsid w:val="00FC3399"/>
    <w:rsid w:val="00FC3482"/>
    <w:rsid w:val="00FC3AC2"/>
    <w:rsid w:val="00FC3E69"/>
    <w:rsid w:val="00FC4103"/>
    <w:rsid w:val="00FC418F"/>
    <w:rsid w:val="00FC4E03"/>
    <w:rsid w:val="00FC504B"/>
    <w:rsid w:val="00FC509B"/>
    <w:rsid w:val="00FC51FC"/>
    <w:rsid w:val="00FC5315"/>
    <w:rsid w:val="00FC59C8"/>
    <w:rsid w:val="00FC5C30"/>
    <w:rsid w:val="00FC6961"/>
    <w:rsid w:val="00FC7121"/>
    <w:rsid w:val="00FC7410"/>
    <w:rsid w:val="00FC742D"/>
    <w:rsid w:val="00FC757E"/>
    <w:rsid w:val="00FC7877"/>
    <w:rsid w:val="00FC7957"/>
    <w:rsid w:val="00FC7B78"/>
    <w:rsid w:val="00FC7E32"/>
    <w:rsid w:val="00FD0720"/>
    <w:rsid w:val="00FD07FC"/>
    <w:rsid w:val="00FD08D2"/>
    <w:rsid w:val="00FD0B82"/>
    <w:rsid w:val="00FD0FD5"/>
    <w:rsid w:val="00FD154C"/>
    <w:rsid w:val="00FD180B"/>
    <w:rsid w:val="00FD2681"/>
    <w:rsid w:val="00FD2AB7"/>
    <w:rsid w:val="00FD2DA2"/>
    <w:rsid w:val="00FD35A4"/>
    <w:rsid w:val="00FD3D3F"/>
    <w:rsid w:val="00FD4250"/>
    <w:rsid w:val="00FD4B31"/>
    <w:rsid w:val="00FD51D8"/>
    <w:rsid w:val="00FD5B9D"/>
    <w:rsid w:val="00FD6021"/>
    <w:rsid w:val="00FD621C"/>
    <w:rsid w:val="00FD69DA"/>
    <w:rsid w:val="00FD6B7C"/>
    <w:rsid w:val="00FD72DF"/>
    <w:rsid w:val="00FE043A"/>
    <w:rsid w:val="00FE0787"/>
    <w:rsid w:val="00FE0A11"/>
    <w:rsid w:val="00FE1596"/>
    <w:rsid w:val="00FE1622"/>
    <w:rsid w:val="00FE1812"/>
    <w:rsid w:val="00FE1C91"/>
    <w:rsid w:val="00FE1F45"/>
    <w:rsid w:val="00FE20AE"/>
    <w:rsid w:val="00FE2A99"/>
    <w:rsid w:val="00FE2E6F"/>
    <w:rsid w:val="00FE310D"/>
    <w:rsid w:val="00FE3616"/>
    <w:rsid w:val="00FE3C4F"/>
    <w:rsid w:val="00FE40FF"/>
    <w:rsid w:val="00FE4E3B"/>
    <w:rsid w:val="00FE4ECE"/>
    <w:rsid w:val="00FE53F2"/>
    <w:rsid w:val="00FE55A6"/>
    <w:rsid w:val="00FE5670"/>
    <w:rsid w:val="00FE5A30"/>
    <w:rsid w:val="00FE5E10"/>
    <w:rsid w:val="00FE6128"/>
    <w:rsid w:val="00FE6164"/>
    <w:rsid w:val="00FE631D"/>
    <w:rsid w:val="00FE64BF"/>
    <w:rsid w:val="00FE6C4A"/>
    <w:rsid w:val="00FE6CE6"/>
    <w:rsid w:val="00FE6FA4"/>
    <w:rsid w:val="00FE706D"/>
    <w:rsid w:val="00FE73A8"/>
    <w:rsid w:val="00FE751E"/>
    <w:rsid w:val="00FE79EF"/>
    <w:rsid w:val="00FE7A9B"/>
    <w:rsid w:val="00FE7BE9"/>
    <w:rsid w:val="00FE7FEB"/>
    <w:rsid w:val="00FF0589"/>
    <w:rsid w:val="00FF0614"/>
    <w:rsid w:val="00FF0B3D"/>
    <w:rsid w:val="00FF0FFF"/>
    <w:rsid w:val="00FF129B"/>
    <w:rsid w:val="00FF1324"/>
    <w:rsid w:val="00FF1B76"/>
    <w:rsid w:val="00FF2249"/>
    <w:rsid w:val="00FF2372"/>
    <w:rsid w:val="00FF256C"/>
    <w:rsid w:val="00FF2976"/>
    <w:rsid w:val="00FF3CC4"/>
    <w:rsid w:val="00FF3DDD"/>
    <w:rsid w:val="00FF43A9"/>
    <w:rsid w:val="00FF49A6"/>
    <w:rsid w:val="00FF4F61"/>
    <w:rsid w:val="00FF51BF"/>
    <w:rsid w:val="00FF527F"/>
    <w:rsid w:val="00FF5D35"/>
    <w:rsid w:val="00FF5E08"/>
    <w:rsid w:val="00FF5FCD"/>
    <w:rsid w:val="00FF6378"/>
    <w:rsid w:val="00FF6A0A"/>
    <w:rsid w:val="00FF6C82"/>
    <w:rsid w:val="00FF73DF"/>
    <w:rsid w:val="00FF75CD"/>
    <w:rsid w:val="00FF76AF"/>
    <w:rsid w:val="00FF76FE"/>
    <w:rsid w:val="00FF7A98"/>
    <w:rsid w:val="00FF7EA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3767E"/>
  <w15:chartTrackingRefBased/>
  <w15:docId w15:val="{B36702F0-B6EE-42CD-ACB0-59E8AB49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70F"/>
    <w:pPr>
      <w:jc w:val="both"/>
    </w:pPr>
    <w:rPr>
      <w:rFonts w:ascii="Times" w:hAnsi="Times"/>
      <w:sz w:val="24"/>
      <w:lang w:val="fr-FR"/>
    </w:rPr>
  </w:style>
  <w:style w:type="paragraph" w:styleId="Titre1">
    <w:name w:val="heading 1"/>
    <w:aliases w:val="Texte courant,1 Titre"/>
    <w:basedOn w:val="Normal"/>
    <w:next w:val="Normal"/>
    <w:link w:val="Titre1Car"/>
    <w:uiPriority w:val="9"/>
    <w:qFormat/>
    <w:rsid w:val="005E203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5E203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re3">
    <w:name w:val="heading 3"/>
    <w:aliases w:val="titre,3 Section"/>
    <w:basedOn w:val="Normal"/>
    <w:next w:val="Normal"/>
    <w:link w:val="Titre3Car"/>
    <w:uiPriority w:val="9"/>
    <w:semiHidden/>
    <w:unhideWhenUsed/>
    <w:qFormat/>
    <w:rsid w:val="005E2035"/>
    <w:pPr>
      <w:keepNext/>
      <w:keepLines/>
      <w:spacing w:before="40"/>
      <w:outlineLvl w:val="2"/>
    </w:pPr>
    <w:rPr>
      <w:rFonts w:asciiTheme="majorHAnsi" w:eastAsiaTheme="majorEastAsia" w:hAnsiTheme="majorHAnsi" w:cstheme="majorBidi"/>
      <w:color w:val="1F4D78" w:themeColor="accent1" w:themeShade="7F"/>
      <w:szCs w:val="24"/>
    </w:rPr>
  </w:style>
  <w:style w:type="paragraph" w:styleId="Titre4">
    <w:name w:val="heading 4"/>
    <w:aliases w:val="BBBBB"/>
    <w:basedOn w:val="Normal"/>
    <w:next w:val="Normal"/>
    <w:link w:val="Titre4Car"/>
    <w:uiPriority w:val="9"/>
    <w:semiHidden/>
    <w:unhideWhenUsed/>
    <w:qFormat/>
    <w:rsid w:val="005E203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aliases w:val="CCCCC,sous-sous-section"/>
    <w:basedOn w:val="Normal"/>
    <w:next w:val="Normal"/>
    <w:link w:val="Titre5Car"/>
    <w:uiPriority w:val="9"/>
    <w:unhideWhenUsed/>
    <w:qFormat/>
    <w:rsid w:val="005E2035"/>
    <w:pPr>
      <w:keepNext/>
      <w:keepLines/>
      <w:spacing w:before="40"/>
      <w:outlineLvl w:val="4"/>
    </w:pPr>
    <w:rPr>
      <w:rFonts w:asciiTheme="majorHAnsi" w:eastAsiaTheme="majorEastAsia" w:hAnsiTheme="majorHAnsi" w:cstheme="majorBidi"/>
      <w:color w:val="2E74B5" w:themeColor="accent1" w:themeShade="BF"/>
    </w:rPr>
  </w:style>
  <w:style w:type="paragraph" w:styleId="Titre6">
    <w:name w:val="heading 6"/>
    <w:aliases w:val="DDDDD"/>
    <w:basedOn w:val="Normal"/>
    <w:next w:val="Normal"/>
    <w:link w:val="Titre6Car"/>
    <w:uiPriority w:val="9"/>
    <w:semiHidden/>
    <w:unhideWhenUsed/>
    <w:qFormat/>
    <w:rsid w:val="005E2035"/>
    <w:pPr>
      <w:keepNext/>
      <w:keepLines/>
      <w:spacing w:before="4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5E2035"/>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exte courant Car,1 Titre Car"/>
    <w:basedOn w:val="Policepardfaut"/>
    <w:link w:val="Titre1"/>
    <w:uiPriority w:val="9"/>
    <w:rsid w:val="005E2035"/>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5E2035"/>
    <w:rPr>
      <w:rFonts w:asciiTheme="majorHAnsi" w:eastAsiaTheme="majorEastAsia" w:hAnsiTheme="majorHAnsi" w:cstheme="majorBidi"/>
      <w:color w:val="2E74B5" w:themeColor="accent1" w:themeShade="BF"/>
      <w:sz w:val="26"/>
      <w:szCs w:val="26"/>
    </w:rPr>
  </w:style>
  <w:style w:type="character" w:customStyle="1" w:styleId="Titre3Car">
    <w:name w:val="Titre 3 Car"/>
    <w:aliases w:val="titre Car,3 Section Car"/>
    <w:basedOn w:val="Policepardfaut"/>
    <w:link w:val="Titre3"/>
    <w:uiPriority w:val="9"/>
    <w:semiHidden/>
    <w:rsid w:val="005E2035"/>
    <w:rPr>
      <w:rFonts w:asciiTheme="majorHAnsi" w:eastAsiaTheme="majorEastAsia" w:hAnsiTheme="majorHAnsi" w:cstheme="majorBidi"/>
      <w:color w:val="1F4D78" w:themeColor="accent1" w:themeShade="7F"/>
      <w:sz w:val="24"/>
      <w:szCs w:val="24"/>
    </w:rPr>
  </w:style>
  <w:style w:type="character" w:customStyle="1" w:styleId="Titre4Car">
    <w:name w:val="Titre 4 Car"/>
    <w:aliases w:val="BBBBB Car"/>
    <w:basedOn w:val="Policepardfaut"/>
    <w:link w:val="Titre4"/>
    <w:uiPriority w:val="9"/>
    <w:rsid w:val="005E2035"/>
    <w:rPr>
      <w:rFonts w:asciiTheme="majorHAnsi" w:eastAsiaTheme="majorEastAsia" w:hAnsiTheme="majorHAnsi" w:cstheme="majorBidi"/>
      <w:i/>
      <w:iCs/>
      <w:color w:val="2E74B5" w:themeColor="accent1" w:themeShade="BF"/>
    </w:rPr>
  </w:style>
  <w:style w:type="character" w:customStyle="1" w:styleId="Titre5Car">
    <w:name w:val="Titre 5 Car"/>
    <w:aliases w:val="CCCCC Car,sous-sous-section Car"/>
    <w:basedOn w:val="Policepardfaut"/>
    <w:link w:val="Titre5"/>
    <w:uiPriority w:val="9"/>
    <w:rsid w:val="005E2035"/>
    <w:rPr>
      <w:rFonts w:asciiTheme="majorHAnsi" w:eastAsiaTheme="majorEastAsia" w:hAnsiTheme="majorHAnsi" w:cstheme="majorBidi"/>
      <w:color w:val="2E74B5" w:themeColor="accent1" w:themeShade="BF"/>
    </w:rPr>
  </w:style>
  <w:style w:type="character" w:customStyle="1" w:styleId="Titre6Car">
    <w:name w:val="Titre 6 Car"/>
    <w:aliases w:val="DDDDD Car"/>
    <w:basedOn w:val="Policepardfaut"/>
    <w:link w:val="Titre6"/>
    <w:uiPriority w:val="9"/>
    <w:semiHidden/>
    <w:rsid w:val="005E2035"/>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5E2035"/>
    <w:rPr>
      <w:rFonts w:asciiTheme="majorHAnsi" w:eastAsiaTheme="majorEastAsia" w:hAnsiTheme="majorHAnsi" w:cstheme="majorBidi"/>
      <w:i/>
      <w:iCs/>
      <w:color w:val="1F4D78" w:themeColor="accent1" w:themeShade="7F"/>
    </w:rPr>
  </w:style>
  <w:style w:type="paragraph" w:styleId="Notedebasdepage">
    <w:name w:val="footnote text"/>
    <w:basedOn w:val="Normal"/>
    <w:link w:val="NotedebasdepageCar"/>
    <w:uiPriority w:val="99"/>
    <w:unhideWhenUsed/>
    <w:rsid w:val="005E2035"/>
    <w:rPr>
      <w:sz w:val="20"/>
      <w:szCs w:val="20"/>
    </w:rPr>
  </w:style>
  <w:style w:type="character" w:customStyle="1" w:styleId="NotedebasdepageCar">
    <w:name w:val="Note de bas de page Car"/>
    <w:basedOn w:val="Policepardfaut"/>
    <w:link w:val="Notedebasdepage"/>
    <w:uiPriority w:val="99"/>
    <w:rsid w:val="005E2035"/>
    <w:rPr>
      <w:rFonts w:ascii="Times New Roman" w:hAnsi="Times New Roman"/>
      <w:sz w:val="20"/>
      <w:szCs w:val="20"/>
    </w:rPr>
  </w:style>
  <w:style w:type="character" w:styleId="Appelnotedebasdep">
    <w:name w:val="footnote reference"/>
    <w:basedOn w:val="Policepardfaut"/>
    <w:uiPriority w:val="99"/>
    <w:semiHidden/>
    <w:unhideWhenUsed/>
    <w:rsid w:val="005E2035"/>
    <w:rPr>
      <w:vertAlign w:val="superscript"/>
    </w:rPr>
  </w:style>
  <w:style w:type="character" w:styleId="Titredulivre">
    <w:name w:val="Book Title"/>
    <w:basedOn w:val="Policepardfaut"/>
    <w:uiPriority w:val="33"/>
    <w:qFormat/>
    <w:rsid w:val="005E2035"/>
    <w:rPr>
      <w:b/>
      <w:bCs/>
      <w:i/>
      <w:iCs/>
      <w:spacing w:val="5"/>
    </w:rPr>
  </w:style>
  <w:style w:type="paragraph" w:styleId="Sansinterligne">
    <w:name w:val="No Spacing"/>
    <w:aliases w:val="note de bas de page,Titre de l'article"/>
    <w:link w:val="SansinterligneCar"/>
    <w:uiPriority w:val="1"/>
    <w:qFormat/>
    <w:rsid w:val="000A7DB4"/>
    <w:pPr>
      <w:spacing w:after="0"/>
      <w:jc w:val="both"/>
    </w:pPr>
    <w:rPr>
      <w:rFonts w:ascii="Times" w:hAnsi="Times"/>
      <w:sz w:val="20"/>
    </w:rPr>
  </w:style>
  <w:style w:type="character" w:customStyle="1" w:styleId="SansinterligneCar">
    <w:name w:val="Sans interligne Car"/>
    <w:aliases w:val="note de bas de page Car,Titre de l'article Car"/>
    <w:basedOn w:val="Policepardfaut"/>
    <w:link w:val="Sansinterligne"/>
    <w:uiPriority w:val="1"/>
    <w:rsid w:val="000A7DB4"/>
    <w:rPr>
      <w:rFonts w:ascii="Times" w:hAnsi="Times"/>
      <w:sz w:val="20"/>
    </w:rPr>
  </w:style>
  <w:style w:type="paragraph" w:styleId="Paragraphedeliste">
    <w:name w:val="List Paragraph"/>
    <w:basedOn w:val="Normal"/>
    <w:uiPriority w:val="34"/>
    <w:qFormat/>
    <w:rsid w:val="005E2035"/>
    <w:pPr>
      <w:ind w:left="720"/>
      <w:contextualSpacing/>
    </w:pPr>
  </w:style>
  <w:style w:type="paragraph" w:styleId="En-tte">
    <w:name w:val="header"/>
    <w:basedOn w:val="Normal"/>
    <w:link w:val="En-tteCar"/>
    <w:uiPriority w:val="99"/>
    <w:unhideWhenUsed/>
    <w:rsid w:val="005E2035"/>
    <w:pPr>
      <w:tabs>
        <w:tab w:val="center" w:pos="4536"/>
        <w:tab w:val="right" w:pos="9072"/>
      </w:tabs>
    </w:pPr>
  </w:style>
  <w:style w:type="character" w:customStyle="1" w:styleId="En-tteCar">
    <w:name w:val="En-tête Car"/>
    <w:basedOn w:val="Policepardfaut"/>
    <w:link w:val="En-tte"/>
    <w:uiPriority w:val="99"/>
    <w:rsid w:val="005E2035"/>
    <w:rPr>
      <w:rFonts w:ascii="Times New Roman" w:hAnsi="Times New Roman"/>
      <w:sz w:val="24"/>
    </w:rPr>
  </w:style>
  <w:style w:type="paragraph" w:styleId="Pieddepage">
    <w:name w:val="footer"/>
    <w:basedOn w:val="Normal"/>
    <w:link w:val="PieddepageCar"/>
    <w:uiPriority w:val="99"/>
    <w:unhideWhenUsed/>
    <w:rsid w:val="005E2035"/>
    <w:pPr>
      <w:tabs>
        <w:tab w:val="center" w:pos="4536"/>
        <w:tab w:val="right" w:pos="9072"/>
      </w:tabs>
    </w:pPr>
  </w:style>
  <w:style w:type="character" w:customStyle="1" w:styleId="PieddepageCar">
    <w:name w:val="Pied de page Car"/>
    <w:basedOn w:val="Policepardfaut"/>
    <w:link w:val="Pieddepage"/>
    <w:uiPriority w:val="99"/>
    <w:rsid w:val="005E2035"/>
    <w:rPr>
      <w:rFonts w:ascii="Times New Roman" w:hAnsi="Times New Roman"/>
      <w:sz w:val="24"/>
    </w:rPr>
  </w:style>
  <w:style w:type="table" w:styleId="Grilledutableau">
    <w:name w:val="Table Grid"/>
    <w:basedOn w:val="TableauNormal"/>
    <w:uiPriority w:val="39"/>
    <w:rsid w:val="005E203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5E2035"/>
    <w:pPr>
      <w:outlineLvl w:val="9"/>
    </w:pPr>
  </w:style>
  <w:style w:type="paragraph" w:styleId="TM1">
    <w:name w:val="toc 1"/>
    <w:basedOn w:val="Normal"/>
    <w:next w:val="Normal"/>
    <w:autoRedefine/>
    <w:uiPriority w:val="39"/>
    <w:unhideWhenUsed/>
    <w:rsid w:val="002A7B59"/>
    <w:pPr>
      <w:tabs>
        <w:tab w:val="right" w:leader="dot" w:pos="9062"/>
      </w:tabs>
      <w:spacing w:before="360" w:after="0"/>
      <w:jc w:val="center"/>
    </w:pPr>
    <w:rPr>
      <w:rFonts w:ascii="Times New Roman" w:hAnsi="Times New Roman" w:cs="Times New Roman"/>
      <w:b/>
      <w:bCs/>
      <w:noProof/>
      <w:szCs w:val="24"/>
    </w:rPr>
  </w:style>
  <w:style w:type="paragraph" w:styleId="TM2">
    <w:name w:val="toc 2"/>
    <w:basedOn w:val="Normal"/>
    <w:next w:val="Normal"/>
    <w:autoRedefine/>
    <w:uiPriority w:val="39"/>
    <w:unhideWhenUsed/>
    <w:rsid w:val="005E2035"/>
    <w:pPr>
      <w:spacing w:before="240" w:after="0"/>
      <w:jc w:val="left"/>
    </w:pPr>
    <w:rPr>
      <w:rFonts w:asciiTheme="minorHAnsi" w:hAnsiTheme="minorHAnsi"/>
      <w:b/>
      <w:bCs/>
      <w:sz w:val="20"/>
      <w:szCs w:val="20"/>
    </w:rPr>
  </w:style>
  <w:style w:type="paragraph" w:styleId="TM3">
    <w:name w:val="toc 3"/>
    <w:basedOn w:val="Normal"/>
    <w:next w:val="Normal"/>
    <w:autoRedefine/>
    <w:uiPriority w:val="39"/>
    <w:unhideWhenUsed/>
    <w:rsid w:val="0026087B"/>
    <w:pPr>
      <w:tabs>
        <w:tab w:val="right" w:leader="hyphen" w:pos="9062"/>
      </w:tabs>
      <w:spacing w:after="0"/>
      <w:ind w:left="240"/>
      <w:jc w:val="left"/>
    </w:pPr>
    <w:rPr>
      <w:rFonts w:ascii="Times New Roman" w:hAnsi="Times New Roman"/>
      <w:noProof/>
      <w:szCs w:val="20"/>
    </w:rPr>
  </w:style>
  <w:style w:type="character" w:styleId="Lienhypertexte">
    <w:name w:val="Hyperlink"/>
    <w:basedOn w:val="Policepardfaut"/>
    <w:uiPriority w:val="99"/>
    <w:unhideWhenUsed/>
    <w:rsid w:val="005E2035"/>
    <w:rPr>
      <w:color w:val="0563C1" w:themeColor="hyperlink"/>
      <w:u w:val="single"/>
    </w:rPr>
  </w:style>
  <w:style w:type="character" w:customStyle="1" w:styleId="il">
    <w:name w:val="il"/>
    <w:basedOn w:val="Policepardfaut"/>
    <w:rsid w:val="005E2035"/>
  </w:style>
  <w:style w:type="paragraph" w:customStyle="1" w:styleId="Default">
    <w:name w:val="Default"/>
    <w:rsid w:val="005E2035"/>
    <w:pPr>
      <w:autoSpaceDE w:val="0"/>
      <w:autoSpaceDN w:val="0"/>
      <w:adjustRightInd w:val="0"/>
      <w:spacing w:after="0"/>
    </w:pPr>
    <w:rPr>
      <w:rFonts w:ascii="Times New Roman" w:hAnsi="Times New Roman" w:cs="Times New Roman"/>
      <w:color w:val="000000"/>
      <w:sz w:val="24"/>
      <w:szCs w:val="24"/>
    </w:rPr>
  </w:style>
  <w:style w:type="paragraph" w:styleId="Listepuces">
    <w:name w:val="List Bullet"/>
    <w:basedOn w:val="Normal"/>
    <w:uiPriority w:val="99"/>
    <w:unhideWhenUsed/>
    <w:rsid w:val="005E2035"/>
    <w:pPr>
      <w:numPr>
        <w:numId w:val="1"/>
      </w:numPr>
      <w:contextualSpacing/>
    </w:pPr>
  </w:style>
  <w:style w:type="paragraph" w:styleId="NormalWeb">
    <w:name w:val="Normal (Web)"/>
    <w:basedOn w:val="Normal"/>
    <w:uiPriority w:val="99"/>
    <w:unhideWhenUsed/>
    <w:rsid w:val="005E2035"/>
    <w:pPr>
      <w:spacing w:before="100" w:beforeAutospacing="1" w:after="100" w:afterAutospacing="1"/>
      <w:jc w:val="left"/>
    </w:pPr>
    <w:rPr>
      <w:rFonts w:eastAsia="Times New Roman" w:cs="Times New Roman"/>
      <w:szCs w:val="24"/>
      <w:lang w:eastAsia="fr-BE"/>
    </w:rPr>
  </w:style>
  <w:style w:type="character" w:styleId="lev">
    <w:name w:val="Strong"/>
    <w:basedOn w:val="Policepardfaut"/>
    <w:uiPriority w:val="22"/>
    <w:qFormat/>
    <w:rsid w:val="005E2035"/>
    <w:rPr>
      <w:b/>
      <w:bCs/>
    </w:rPr>
  </w:style>
  <w:style w:type="character" w:customStyle="1" w:styleId="fn">
    <w:name w:val="fn"/>
    <w:basedOn w:val="Policepardfaut"/>
    <w:rsid w:val="005E2035"/>
  </w:style>
  <w:style w:type="character" w:customStyle="1" w:styleId="injectednode">
    <w:name w:val="injectednode"/>
    <w:basedOn w:val="Policepardfaut"/>
    <w:rsid w:val="005E2035"/>
  </w:style>
  <w:style w:type="character" w:styleId="Lienhypertextesuivivisit">
    <w:name w:val="FollowedHyperlink"/>
    <w:basedOn w:val="Policepardfaut"/>
    <w:uiPriority w:val="99"/>
    <w:semiHidden/>
    <w:unhideWhenUsed/>
    <w:rsid w:val="005E2035"/>
    <w:rPr>
      <w:color w:val="954F72" w:themeColor="followedHyperlink"/>
      <w:u w:val="single"/>
    </w:rPr>
  </w:style>
  <w:style w:type="character" w:customStyle="1" w:styleId="a-size-large">
    <w:name w:val="a-size-large"/>
    <w:basedOn w:val="Policepardfaut"/>
    <w:rsid w:val="005E2035"/>
  </w:style>
  <w:style w:type="character" w:customStyle="1" w:styleId="apple-converted-space">
    <w:name w:val="apple-converted-space"/>
    <w:basedOn w:val="Policepardfaut"/>
    <w:rsid w:val="005E2035"/>
  </w:style>
  <w:style w:type="character" w:styleId="Accentuation">
    <w:name w:val="Emphasis"/>
    <w:basedOn w:val="Policepardfaut"/>
    <w:uiPriority w:val="20"/>
    <w:qFormat/>
    <w:rsid w:val="005E2035"/>
    <w:rPr>
      <w:i/>
      <w:iCs/>
    </w:rPr>
  </w:style>
  <w:style w:type="character" w:styleId="Marquedecommentaire">
    <w:name w:val="annotation reference"/>
    <w:basedOn w:val="Policepardfaut"/>
    <w:uiPriority w:val="99"/>
    <w:semiHidden/>
    <w:unhideWhenUsed/>
    <w:rsid w:val="005E2035"/>
    <w:rPr>
      <w:sz w:val="16"/>
      <w:szCs w:val="16"/>
    </w:rPr>
  </w:style>
  <w:style w:type="paragraph" w:styleId="Commentaire">
    <w:name w:val="annotation text"/>
    <w:basedOn w:val="Normal"/>
    <w:link w:val="CommentaireCar"/>
    <w:uiPriority w:val="99"/>
    <w:unhideWhenUsed/>
    <w:rsid w:val="005E2035"/>
    <w:pPr>
      <w:spacing w:after="120"/>
    </w:pPr>
    <w:rPr>
      <w:rFonts w:eastAsiaTheme="minorEastAsia"/>
      <w:sz w:val="20"/>
      <w:szCs w:val="20"/>
    </w:rPr>
  </w:style>
  <w:style w:type="character" w:customStyle="1" w:styleId="CommentaireCar">
    <w:name w:val="Commentaire Car"/>
    <w:basedOn w:val="Policepardfaut"/>
    <w:link w:val="Commentaire"/>
    <w:uiPriority w:val="99"/>
    <w:rsid w:val="005E2035"/>
    <w:rPr>
      <w:rFonts w:ascii="Times New Roman" w:eastAsiaTheme="minorEastAsia" w:hAnsi="Times New Roman"/>
      <w:sz w:val="20"/>
      <w:szCs w:val="20"/>
    </w:rPr>
  </w:style>
  <w:style w:type="paragraph" w:styleId="Textedebulles">
    <w:name w:val="Balloon Text"/>
    <w:basedOn w:val="Normal"/>
    <w:link w:val="TextedebullesCar"/>
    <w:uiPriority w:val="99"/>
    <w:semiHidden/>
    <w:unhideWhenUsed/>
    <w:rsid w:val="005E2035"/>
    <w:rPr>
      <w:rFonts w:ascii="Segoe UI" w:hAnsi="Segoe UI" w:cs="Segoe UI"/>
      <w:sz w:val="18"/>
      <w:szCs w:val="18"/>
    </w:rPr>
  </w:style>
  <w:style w:type="character" w:customStyle="1" w:styleId="TextedebullesCar">
    <w:name w:val="Texte de bulles Car"/>
    <w:basedOn w:val="Policepardfaut"/>
    <w:link w:val="Textedebulles"/>
    <w:uiPriority w:val="99"/>
    <w:semiHidden/>
    <w:rsid w:val="005E2035"/>
    <w:rPr>
      <w:rFonts w:ascii="Segoe UI" w:hAnsi="Segoe UI" w:cs="Segoe UI"/>
      <w:sz w:val="18"/>
      <w:szCs w:val="18"/>
    </w:rPr>
  </w:style>
  <w:style w:type="character" w:customStyle="1" w:styleId="sb8d990e2">
    <w:name w:val="sb8d990e2"/>
    <w:basedOn w:val="Policepardfaut"/>
    <w:rsid w:val="005E2035"/>
  </w:style>
  <w:style w:type="character" w:customStyle="1" w:styleId="sea881cdf">
    <w:name w:val="sea881cdf"/>
    <w:basedOn w:val="Policepardfaut"/>
    <w:rsid w:val="005E2035"/>
  </w:style>
  <w:style w:type="character" w:customStyle="1" w:styleId="s7d2086b4">
    <w:name w:val="s7d2086b4"/>
    <w:basedOn w:val="Policepardfaut"/>
    <w:rsid w:val="005E2035"/>
  </w:style>
  <w:style w:type="character" w:customStyle="1" w:styleId="s6b621b36">
    <w:name w:val="s6b621b36"/>
    <w:basedOn w:val="Policepardfaut"/>
    <w:rsid w:val="005E2035"/>
  </w:style>
  <w:style w:type="character" w:customStyle="1" w:styleId="sf1c7242d">
    <w:name w:val="sf1c7242d"/>
    <w:basedOn w:val="Policepardfaut"/>
    <w:rsid w:val="005E2035"/>
  </w:style>
  <w:style w:type="character" w:customStyle="1" w:styleId="cohovertext">
    <w:name w:val="co_hovertext"/>
    <w:basedOn w:val="Policepardfaut"/>
    <w:rsid w:val="005E2035"/>
  </w:style>
  <w:style w:type="character" w:styleId="Textedelespacerserv">
    <w:name w:val="Placeholder Text"/>
    <w:basedOn w:val="Policepardfaut"/>
    <w:uiPriority w:val="99"/>
    <w:semiHidden/>
    <w:rsid w:val="005E2035"/>
    <w:rPr>
      <w:color w:val="808080"/>
    </w:rPr>
  </w:style>
  <w:style w:type="character" w:customStyle="1" w:styleId="CORPUSanyCharacter">
    <w:name w:val="CORPUS_any Character"/>
    <w:rsid w:val="005E2035"/>
    <w:rPr>
      <w:rFonts w:ascii="Verdana" w:eastAsia="Verdana" w:hAnsi="Verdana" w:cs="Verdana"/>
      <w:color w:val="1B1B1B"/>
    </w:rPr>
  </w:style>
  <w:style w:type="paragraph" w:customStyle="1" w:styleId="CORPUSany">
    <w:name w:val="CORPUS_any"/>
    <w:basedOn w:val="Normal"/>
    <w:rsid w:val="005E2035"/>
    <w:rPr>
      <w:rFonts w:ascii="Verdana" w:eastAsia="Verdana" w:hAnsi="Verdana" w:cs="Verdana"/>
      <w:color w:val="1B1B1B"/>
      <w:szCs w:val="24"/>
      <w:lang w:eastAsia="fr-BE"/>
    </w:rPr>
  </w:style>
  <w:style w:type="character" w:customStyle="1" w:styleId="exldetailsdisplayval">
    <w:name w:val="exldetailsdisplayval"/>
    <w:basedOn w:val="Policepardfaut"/>
    <w:rsid w:val="005E2035"/>
  </w:style>
  <w:style w:type="character" w:styleId="Rfrenceintense">
    <w:name w:val="Intense Reference"/>
    <w:basedOn w:val="Policepardfaut"/>
    <w:uiPriority w:val="32"/>
    <w:qFormat/>
    <w:rsid w:val="005E2035"/>
    <w:rPr>
      <w:b/>
      <w:bCs/>
      <w:smallCaps/>
      <w:color w:val="5B9BD5" w:themeColor="accent1"/>
      <w:spacing w:val="5"/>
    </w:rPr>
  </w:style>
  <w:style w:type="paragraph" w:styleId="Citation">
    <w:name w:val="Quote"/>
    <w:basedOn w:val="Normal"/>
    <w:next w:val="Normal"/>
    <w:link w:val="CitationCar"/>
    <w:uiPriority w:val="29"/>
    <w:qFormat/>
    <w:rsid w:val="005E2035"/>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5E2035"/>
    <w:rPr>
      <w:i/>
      <w:iCs/>
      <w:color w:val="404040" w:themeColor="text1" w:themeTint="BF"/>
    </w:rPr>
  </w:style>
  <w:style w:type="character" w:customStyle="1" w:styleId="highlight">
    <w:name w:val="highlight"/>
    <w:basedOn w:val="Policepardfaut"/>
    <w:rsid w:val="005E2035"/>
  </w:style>
  <w:style w:type="paragraph" w:customStyle="1" w:styleId="lbexindent">
    <w:name w:val="lbexindent"/>
    <w:basedOn w:val="Normal"/>
    <w:rsid w:val="005E2035"/>
    <w:pPr>
      <w:spacing w:before="100" w:beforeAutospacing="1" w:after="100" w:afterAutospacing="1"/>
      <w:jc w:val="left"/>
    </w:pPr>
    <w:rPr>
      <w:rFonts w:eastAsia="Times New Roman" w:cs="Times New Roman"/>
      <w:szCs w:val="24"/>
      <w:lang w:eastAsia="fr-BE"/>
    </w:rPr>
  </w:style>
  <w:style w:type="paragraph" w:customStyle="1" w:styleId="lbexindentparagraph">
    <w:name w:val="lbexindentparagraph"/>
    <w:basedOn w:val="Normal"/>
    <w:rsid w:val="005E2035"/>
    <w:pPr>
      <w:spacing w:before="100" w:beforeAutospacing="1" w:after="100" w:afterAutospacing="1"/>
      <w:jc w:val="left"/>
    </w:pPr>
    <w:rPr>
      <w:rFonts w:eastAsia="Times New Roman" w:cs="Times New Roman"/>
      <w:szCs w:val="24"/>
      <w:lang w:eastAsia="fr-BE"/>
    </w:rPr>
  </w:style>
  <w:style w:type="character" w:styleId="Emphaseple">
    <w:name w:val="Subtle Emphasis"/>
    <w:basedOn w:val="Policepardfaut"/>
    <w:uiPriority w:val="19"/>
    <w:qFormat/>
    <w:rsid w:val="005E2035"/>
    <w:rPr>
      <w:i/>
      <w:iCs/>
      <w:color w:val="404040" w:themeColor="text1" w:themeTint="BF"/>
    </w:rPr>
  </w:style>
  <w:style w:type="character" w:styleId="Rfrenceple">
    <w:name w:val="Subtle Reference"/>
    <w:basedOn w:val="Policepardfaut"/>
    <w:uiPriority w:val="31"/>
    <w:qFormat/>
    <w:rsid w:val="005E2035"/>
    <w:rPr>
      <w:smallCaps/>
      <w:color w:val="5A5A5A" w:themeColor="text1" w:themeTint="A5"/>
    </w:rPr>
  </w:style>
  <w:style w:type="paragraph" w:customStyle="1" w:styleId="Style1">
    <w:name w:val="Style1"/>
    <w:basedOn w:val="Normal"/>
    <w:link w:val="Style1Car"/>
    <w:rsid w:val="005E2035"/>
  </w:style>
  <w:style w:type="character" w:customStyle="1" w:styleId="Style1Car">
    <w:name w:val="Style1 Car"/>
    <w:basedOn w:val="Policepardfaut"/>
    <w:link w:val="Style1"/>
    <w:rsid w:val="005E2035"/>
    <w:rPr>
      <w:rFonts w:ascii="Times New Roman" w:hAnsi="Times New Roman"/>
      <w:sz w:val="24"/>
    </w:rPr>
  </w:style>
  <w:style w:type="paragraph" w:customStyle="1" w:styleId="AA">
    <w:name w:val="AA"/>
    <w:basedOn w:val="Titre1"/>
    <w:link w:val="AACar"/>
    <w:qFormat/>
    <w:rsid w:val="002B5EF4"/>
    <w:rPr>
      <w:rFonts w:ascii="Times New Roman" w:hAnsi="Times New Roman"/>
      <w:b/>
      <w:color w:val="auto"/>
      <w:sz w:val="40"/>
      <w:szCs w:val="26"/>
    </w:rPr>
  </w:style>
  <w:style w:type="paragraph" w:customStyle="1" w:styleId="BB">
    <w:name w:val="BB"/>
    <w:basedOn w:val="Titre2"/>
    <w:link w:val="BBCar"/>
    <w:qFormat/>
    <w:rsid w:val="00194C97"/>
    <w:rPr>
      <w:rFonts w:ascii="Times New Roman" w:hAnsi="Times New Roman"/>
      <w:i/>
      <w:color w:val="auto"/>
      <w:sz w:val="36"/>
    </w:rPr>
  </w:style>
  <w:style w:type="character" w:customStyle="1" w:styleId="AACar">
    <w:name w:val="AA Car"/>
    <w:basedOn w:val="Titre2Car"/>
    <w:link w:val="AA"/>
    <w:rsid w:val="002B5EF4"/>
    <w:rPr>
      <w:rFonts w:ascii="Times New Roman" w:eastAsiaTheme="majorEastAsia" w:hAnsi="Times New Roman" w:cstheme="majorBidi"/>
      <w:b/>
      <w:color w:val="2E74B5" w:themeColor="accent1" w:themeShade="BF"/>
      <w:sz w:val="40"/>
      <w:szCs w:val="26"/>
      <w:lang w:val="fr-FR"/>
    </w:rPr>
  </w:style>
  <w:style w:type="paragraph" w:customStyle="1" w:styleId="CC">
    <w:name w:val="CC"/>
    <w:basedOn w:val="Titre3"/>
    <w:link w:val="CCCar"/>
    <w:qFormat/>
    <w:rsid w:val="002B5EF4"/>
    <w:pPr>
      <w:jc w:val="center"/>
    </w:pPr>
    <w:rPr>
      <w:rFonts w:ascii="Times" w:hAnsi="Times"/>
      <w:b/>
      <w:color w:val="auto"/>
      <w:sz w:val="32"/>
    </w:rPr>
  </w:style>
  <w:style w:type="character" w:customStyle="1" w:styleId="BBCar">
    <w:name w:val="BB Car"/>
    <w:basedOn w:val="AACar"/>
    <w:link w:val="BB"/>
    <w:rsid w:val="00194C97"/>
    <w:rPr>
      <w:rFonts w:ascii="Times New Roman" w:eastAsiaTheme="majorEastAsia" w:hAnsi="Times New Roman" w:cstheme="majorBidi"/>
      <w:b w:val="0"/>
      <w:i/>
      <w:color w:val="2E74B5" w:themeColor="accent1" w:themeShade="BF"/>
      <w:sz w:val="36"/>
      <w:szCs w:val="26"/>
      <w:u w:val="single"/>
      <w:lang w:val="fr-FR"/>
    </w:rPr>
  </w:style>
  <w:style w:type="paragraph" w:customStyle="1" w:styleId="DD">
    <w:name w:val="DD"/>
    <w:basedOn w:val="Titre4"/>
    <w:link w:val="DDCar"/>
    <w:qFormat/>
    <w:rsid w:val="00194C97"/>
    <w:pPr>
      <w:jc w:val="center"/>
    </w:pPr>
    <w:rPr>
      <w:rFonts w:ascii="Times New Roman" w:hAnsi="Times New Roman"/>
      <w:color w:val="auto"/>
      <w:sz w:val="28"/>
    </w:rPr>
  </w:style>
  <w:style w:type="character" w:customStyle="1" w:styleId="CCCar">
    <w:name w:val="CC Car"/>
    <w:basedOn w:val="BBCar"/>
    <w:link w:val="CC"/>
    <w:rsid w:val="002B5EF4"/>
    <w:rPr>
      <w:rFonts w:ascii="Times" w:eastAsiaTheme="majorEastAsia" w:hAnsi="Times" w:cstheme="majorBidi"/>
      <w:b/>
      <w:i w:val="0"/>
      <w:color w:val="2E74B5" w:themeColor="accent1" w:themeShade="BF"/>
      <w:sz w:val="32"/>
      <w:szCs w:val="24"/>
      <w:u w:val="single"/>
      <w:lang w:val="fr-FR"/>
    </w:rPr>
  </w:style>
  <w:style w:type="paragraph" w:customStyle="1" w:styleId="EE">
    <w:name w:val="EE"/>
    <w:basedOn w:val="Titre5"/>
    <w:link w:val="EECar"/>
    <w:qFormat/>
    <w:rsid w:val="002B5EF4"/>
    <w:pPr>
      <w:jc w:val="right"/>
    </w:pPr>
    <w:rPr>
      <w:rFonts w:ascii="Times" w:hAnsi="Times"/>
      <w:b/>
      <w:color w:val="auto"/>
      <w:sz w:val="26"/>
    </w:rPr>
  </w:style>
  <w:style w:type="character" w:customStyle="1" w:styleId="DDCar">
    <w:name w:val="DD Car"/>
    <w:basedOn w:val="BBCar"/>
    <w:link w:val="DD"/>
    <w:rsid w:val="00194C97"/>
    <w:rPr>
      <w:rFonts w:ascii="Times New Roman" w:eastAsiaTheme="majorEastAsia" w:hAnsi="Times New Roman" w:cstheme="majorBidi"/>
      <w:b w:val="0"/>
      <w:i/>
      <w:iCs/>
      <w:color w:val="2E74B5" w:themeColor="accent1" w:themeShade="BF"/>
      <w:sz w:val="28"/>
      <w:szCs w:val="26"/>
      <w:u w:val="single"/>
      <w:lang w:val="fr-FR"/>
    </w:rPr>
  </w:style>
  <w:style w:type="paragraph" w:customStyle="1" w:styleId="FF">
    <w:name w:val="FF"/>
    <w:basedOn w:val="Titre6"/>
    <w:link w:val="FFCar"/>
    <w:qFormat/>
    <w:rsid w:val="0091693F"/>
    <w:pPr>
      <w:jc w:val="right"/>
    </w:pPr>
    <w:rPr>
      <w:rFonts w:ascii="Times" w:hAnsi="Times"/>
      <w:i/>
      <w:color w:val="auto"/>
    </w:rPr>
  </w:style>
  <w:style w:type="character" w:customStyle="1" w:styleId="EECar">
    <w:name w:val="EE Car"/>
    <w:basedOn w:val="Titre5Car"/>
    <w:link w:val="EE"/>
    <w:rsid w:val="002B5EF4"/>
    <w:rPr>
      <w:rFonts w:ascii="Times" w:eastAsiaTheme="majorEastAsia" w:hAnsi="Times" w:cstheme="majorBidi"/>
      <w:b/>
      <w:color w:val="2E74B5" w:themeColor="accent1" w:themeShade="BF"/>
      <w:sz w:val="26"/>
      <w:lang w:val="fr-FR"/>
    </w:rPr>
  </w:style>
  <w:style w:type="character" w:customStyle="1" w:styleId="FFCar">
    <w:name w:val="FF Car"/>
    <w:basedOn w:val="Titre6Car"/>
    <w:link w:val="FF"/>
    <w:rsid w:val="0091693F"/>
    <w:rPr>
      <w:rFonts w:ascii="Times" w:eastAsiaTheme="majorEastAsia" w:hAnsi="Times" w:cstheme="majorBidi"/>
      <w:i/>
      <w:color w:val="1F4D78" w:themeColor="accent1" w:themeShade="7F"/>
      <w:sz w:val="24"/>
      <w:lang w:val="fr-FR"/>
    </w:rPr>
  </w:style>
  <w:style w:type="paragraph" w:customStyle="1" w:styleId="GG">
    <w:name w:val="GG"/>
    <w:basedOn w:val="Titre7"/>
    <w:link w:val="GGCar"/>
    <w:qFormat/>
    <w:rsid w:val="002B5EF4"/>
    <w:pPr>
      <w:jc w:val="right"/>
    </w:pPr>
    <w:rPr>
      <w:rFonts w:ascii="Times" w:hAnsi="Times"/>
      <w:color w:val="000000" w:themeColor="text1"/>
    </w:rPr>
  </w:style>
  <w:style w:type="paragraph" w:styleId="TM4">
    <w:name w:val="toc 4"/>
    <w:basedOn w:val="Normal"/>
    <w:next w:val="Normal"/>
    <w:autoRedefine/>
    <w:uiPriority w:val="39"/>
    <w:unhideWhenUsed/>
    <w:rsid w:val="00C7761B"/>
    <w:pPr>
      <w:spacing w:after="0"/>
      <w:ind w:left="480"/>
      <w:jc w:val="left"/>
    </w:pPr>
    <w:rPr>
      <w:rFonts w:asciiTheme="minorHAnsi" w:hAnsiTheme="minorHAnsi"/>
      <w:sz w:val="20"/>
      <w:szCs w:val="20"/>
    </w:rPr>
  </w:style>
  <w:style w:type="character" w:customStyle="1" w:styleId="GGCar">
    <w:name w:val="GG Car"/>
    <w:basedOn w:val="Titre7Car"/>
    <w:link w:val="GG"/>
    <w:rsid w:val="002B5EF4"/>
    <w:rPr>
      <w:rFonts w:ascii="Times" w:eastAsiaTheme="majorEastAsia" w:hAnsi="Times" w:cstheme="majorBidi"/>
      <w:i/>
      <w:iCs/>
      <w:color w:val="000000" w:themeColor="text1"/>
      <w:sz w:val="24"/>
      <w:lang w:val="fr-FR"/>
    </w:rPr>
  </w:style>
  <w:style w:type="paragraph" w:styleId="TM5">
    <w:name w:val="toc 5"/>
    <w:basedOn w:val="Normal"/>
    <w:next w:val="Normal"/>
    <w:autoRedefine/>
    <w:uiPriority w:val="39"/>
    <w:unhideWhenUsed/>
    <w:rsid w:val="00C7761B"/>
    <w:pPr>
      <w:spacing w:after="0"/>
      <w:ind w:left="720"/>
      <w:jc w:val="left"/>
    </w:pPr>
    <w:rPr>
      <w:rFonts w:asciiTheme="minorHAnsi" w:hAnsiTheme="minorHAnsi"/>
      <w:sz w:val="20"/>
      <w:szCs w:val="20"/>
    </w:rPr>
  </w:style>
  <w:style w:type="paragraph" w:styleId="TM6">
    <w:name w:val="toc 6"/>
    <w:basedOn w:val="Normal"/>
    <w:next w:val="Normal"/>
    <w:autoRedefine/>
    <w:uiPriority w:val="39"/>
    <w:unhideWhenUsed/>
    <w:rsid w:val="00C7761B"/>
    <w:pPr>
      <w:spacing w:after="0"/>
      <w:ind w:left="960"/>
      <w:jc w:val="left"/>
    </w:pPr>
    <w:rPr>
      <w:rFonts w:asciiTheme="minorHAnsi" w:hAnsiTheme="minorHAnsi"/>
      <w:sz w:val="20"/>
      <w:szCs w:val="20"/>
    </w:rPr>
  </w:style>
  <w:style w:type="paragraph" w:styleId="TM7">
    <w:name w:val="toc 7"/>
    <w:basedOn w:val="Normal"/>
    <w:next w:val="Normal"/>
    <w:autoRedefine/>
    <w:uiPriority w:val="39"/>
    <w:unhideWhenUsed/>
    <w:rsid w:val="00C7761B"/>
    <w:pPr>
      <w:spacing w:after="0"/>
      <w:ind w:left="1200"/>
      <w:jc w:val="left"/>
    </w:pPr>
    <w:rPr>
      <w:rFonts w:asciiTheme="minorHAnsi" w:hAnsiTheme="minorHAnsi"/>
      <w:sz w:val="20"/>
      <w:szCs w:val="20"/>
    </w:rPr>
  </w:style>
  <w:style w:type="paragraph" w:styleId="TM8">
    <w:name w:val="toc 8"/>
    <w:basedOn w:val="Normal"/>
    <w:next w:val="Normal"/>
    <w:autoRedefine/>
    <w:uiPriority w:val="39"/>
    <w:unhideWhenUsed/>
    <w:rsid w:val="00C7761B"/>
    <w:pPr>
      <w:spacing w:after="0"/>
      <w:ind w:left="1440"/>
      <w:jc w:val="left"/>
    </w:pPr>
    <w:rPr>
      <w:rFonts w:asciiTheme="minorHAnsi" w:hAnsiTheme="minorHAnsi"/>
      <w:sz w:val="20"/>
      <w:szCs w:val="20"/>
    </w:rPr>
  </w:style>
  <w:style w:type="paragraph" w:styleId="TM9">
    <w:name w:val="toc 9"/>
    <w:basedOn w:val="Normal"/>
    <w:next w:val="Normal"/>
    <w:autoRedefine/>
    <w:uiPriority w:val="39"/>
    <w:unhideWhenUsed/>
    <w:rsid w:val="00C7761B"/>
    <w:pPr>
      <w:spacing w:after="0"/>
      <w:ind w:left="1680"/>
      <w:jc w:val="left"/>
    </w:pPr>
    <w:rPr>
      <w:rFonts w:asciiTheme="minorHAnsi" w:hAnsiTheme="minorHAnsi"/>
      <w:sz w:val="20"/>
      <w:szCs w:val="20"/>
    </w:rPr>
  </w:style>
  <w:style w:type="character" w:customStyle="1" w:styleId="chapeau">
    <w:name w:val="chapeau"/>
    <w:basedOn w:val="Policepardfaut"/>
    <w:rsid w:val="00636896"/>
  </w:style>
  <w:style w:type="character" w:customStyle="1" w:styleId="num">
    <w:name w:val="num"/>
    <w:basedOn w:val="Policepardfaut"/>
    <w:rsid w:val="00636896"/>
  </w:style>
  <w:style w:type="paragraph" w:styleId="Titre">
    <w:name w:val="Title"/>
    <w:basedOn w:val="Normal"/>
    <w:next w:val="Normal"/>
    <w:link w:val="TitreCar"/>
    <w:uiPriority w:val="10"/>
    <w:qFormat/>
    <w:rsid w:val="005F6F52"/>
    <w:pPr>
      <w:spacing w:after="0"/>
      <w:contextualSpacing/>
    </w:pPr>
    <w:rPr>
      <w:rFonts w:ascii="Times New Roman" w:eastAsiaTheme="majorEastAsia" w:hAnsi="Times New Roman" w:cstheme="majorBidi"/>
      <w:spacing w:val="-10"/>
      <w:kern w:val="28"/>
      <w:szCs w:val="56"/>
      <w:u w:val="single"/>
    </w:rPr>
  </w:style>
  <w:style w:type="character" w:customStyle="1" w:styleId="TitreCar">
    <w:name w:val="Titre Car"/>
    <w:basedOn w:val="Policepardfaut"/>
    <w:link w:val="Titre"/>
    <w:uiPriority w:val="10"/>
    <w:rsid w:val="005F6F52"/>
    <w:rPr>
      <w:rFonts w:ascii="Times New Roman" w:eastAsiaTheme="majorEastAsia" w:hAnsi="Times New Roman" w:cstheme="majorBidi"/>
      <w:spacing w:val="-10"/>
      <w:kern w:val="28"/>
      <w:sz w:val="24"/>
      <w:szCs w:val="56"/>
      <w:u w:val="single"/>
    </w:rPr>
  </w:style>
  <w:style w:type="character" w:customStyle="1" w:styleId="A4">
    <w:name w:val="A4"/>
    <w:uiPriority w:val="99"/>
    <w:rsid w:val="005F6F52"/>
    <w:rPr>
      <w:rFonts w:cs="Gotham Narrow"/>
      <w:color w:val="000000"/>
      <w:sz w:val="18"/>
      <w:szCs w:val="18"/>
    </w:rPr>
  </w:style>
  <w:style w:type="paragraph" w:styleId="Notedefin">
    <w:name w:val="endnote text"/>
    <w:basedOn w:val="Normal"/>
    <w:link w:val="NotedefinCar"/>
    <w:uiPriority w:val="99"/>
    <w:semiHidden/>
    <w:unhideWhenUsed/>
    <w:rsid w:val="00032720"/>
    <w:pPr>
      <w:spacing w:after="0"/>
    </w:pPr>
    <w:rPr>
      <w:sz w:val="20"/>
      <w:szCs w:val="20"/>
    </w:rPr>
  </w:style>
  <w:style w:type="character" w:customStyle="1" w:styleId="NotedefinCar">
    <w:name w:val="Note de fin Car"/>
    <w:basedOn w:val="Policepardfaut"/>
    <w:link w:val="Notedefin"/>
    <w:uiPriority w:val="99"/>
    <w:semiHidden/>
    <w:rsid w:val="00032720"/>
    <w:rPr>
      <w:rFonts w:ascii="Times" w:hAnsi="Times"/>
      <w:sz w:val="20"/>
      <w:szCs w:val="20"/>
    </w:rPr>
  </w:style>
  <w:style w:type="character" w:styleId="Appeldenotedefin">
    <w:name w:val="endnote reference"/>
    <w:basedOn w:val="Policepardfaut"/>
    <w:uiPriority w:val="99"/>
    <w:semiHidden/>
    <w:unhideWhenUsed/>
    <w:rsid w:val="00032720"/>
    <w:rPr>
      <w:vertAlign w:val="superscript"/>
    </w:rPr>
  </w:style>
  <w:style w:type="character" w:customStyle="1" w:styleId="column-number">
    <w:name w:val="column-number"/>
    <w:basedOn w:val="Policepardfaut"/>
    <w:rsid w:val="00E57C33"/>
  </w:style>
  <w:style w:type="character" w:customStyle="1" w:styleId="legterm">
    <w:name w:val="legterm"/>
    <w:basedOn w:val="Policepardfaut"/>
    <w:rsid w:val="006D50CA"/>
  </w:style>
  <w:style w:type="character" w:customStyle="1" w:styleId="spelle">
    <w:name w:val="spelle"/>
    <w:basedOn w:val="Policepardfaut"/>
    <w:rsid w:val="004F1501"/>
  </w:style>
  <w:style w:type="paragraph" w:styleId="Objetducommentaire">
    <w:name w:val="annotation subject"/>
    <w:basedOn w:val="Commentaire"/>
    <w:next w:val="Commentaire"/>
    <w:link w:val="ObjetducommentaireCar"/>
    <w:uiPriority w:val="99"/>
    <w:semiHidden/>
    <w:unhideWhenUsed/>
    <w:rsid w:val="00184267"/>
    <w:pPr>
      <w:spacing w:after="80"/>
    </w:pPr>
    <w:rPr>
      <w:rFonts w:eastAsiaTheme="minorHAnsi"/>
      <w:b/>
      <w:bCs/>
    </w:rPr>
  </w:style>
  <w:style w:type="character" w:customStyle="1" w:styleId="ObjetducommentaireCar">
    <w:name w:val="Objet du commentaire Car"/>
    <w:basedOn w:val="CommentaireCar"/>
    <w:link w:val="Objetducommentaire"/>
    <w:uiPriority w:val="99"/>
    <w:semiHidden/>
    <w:rsid w:val="00184267"/>
    <w:rPr>
      <w:rFonts w:ascii="Times" w:eastAsiaTheme="minorEastAsia" w:hAnsi="Times"/>
      <w:b/>
      <w:bCs/>
      <w:sz w:val="20"/>
      <w:szCs w:val="20"/>
      <w:lang w:val="fr-FR"/>
    </w:rPr>
  </w:style>
  <w:style w:type="paragraph" w:styleId="Corpsdetexte">
    <w:name w:val="Body Text"/>
    <w:basedOn w:val="Normal"/>
    <w:link w:val="CorpsdetexteCar"/>
    <w:uiPriority w:val="99"/>
    <w:semiHidden/>
    <w:unhideWhenUsed/>
    <w:rsid w:val="00E47E00"/>
    <w:pPr>
      <w:spacing w:after="120"/>
    </w:pPr>
  </w:style>
  <w:style w:type="character" w:customStyle="1" w:styleId="CorpsdetexteCar">
    <w:name w:val="Corps de texte Car"/>
    <w:basedOn w:val="Policepardfaut"/>
    <w:link w:val="Corpsdetexte"/>
    <w:uiPriority w:val="99"/>
    <w:semiHidden/>
    <w:rsid w:val="00E47E00"/>
    <w:rPr>
      <w:rFonts w:ascii="Times" w:hAnsi="Times"/>
      <w:sz w:val="24"/>
      <w:lang w:val="fr-FR"/>
    </w:rPr>
  </w:style>
  <w:style w:type="character" w:customStyle="1" w:styleId="smallcaps">
    <w:name w:val="smallcaps"/>
    <w:basedOn w:val="Policepardfaut"/>
    <w:rsid w:val="0035092D"/>
  </w:style>
  <w:style w:type="paragraph" w:customStyle="1" w:styleId="s32b251d">
    <w:name w:val="s32b251d"/>
    <w:basedOn w:val="Normal"/>
    <w:rsid w:val="00125AFE"/>
    <w:pPr>
      <w:spacing w:before="100" w:beforeAutospacing="1" w:after="100" w:afterAutospacing="1"/>
      <w:jc w:val="left"/>
    </w:pPr>
    <w:rPr>
      <w:rFonts w:ascii="Times New Roman" w:eastAsia="Times New Roman" w:hAnsi="Times New Roman" w:cs="Times New Roman"/>
      <w:szCs w:val="24"/>
      <w:lang w:val="fr-BE" w:eastAsia="fr-BE"/>
    </w:rPr>
  </w:style>
  <w:style w:type="character" w:customStyle="1" w:styleId="h2">
    <w:name w:val="h2"/>
    <w:basedOn w:val="Policepardfaut"/>
    <w:rsid w:val="00AF5D20"/>
  </w:style>
  <w:style w:type="paragraph" w:styleId="Rvision">
    <w:name w:val="Revision"/>
    <w:hidden/>
    <w:uiPriority w:val="99"/>
    <w:semiHidden/>
    <w:rsid w:val="007701F6"/>
    <w:pPr>
      <w:spacing w:after="0"/>
    </w:pPr>
    <w:rPr>
      <w:rFonts w:ascii="Times" w:hAnsi="Times"/>
      <w:sz w:val="24"/>
      <w:lang w:val="fr-FR"/>
    </w:rPr>
  </w:style>
  <w:style w:type="character" w:customStyle="1" w:styleId="Titre5Car1">
    <w:name w:val="Titre 5 Car1"/>
    <w:aliases w:val="CCCCC Car1,sous-sous-section Car1"/>
    <w:basedOn w:val="Policepardfaut"/>
    <w:uiPriority w:val="9"/>
    <w:semiHidden/>
    <w:rsid w:val="00A91208"/>
    <w:rPr>
      <w:rFonts w:asciiTheme="majorHAnsi" w:eastAsiaTheme="majorEastAsia" w:hAnsiTheme="majorHAnsi" w:cstheme="majorBidi"/>
      <w:color w:val="2E74B5" w:themeColor="accent1" w:themeShade="BF"/>
      <w:sz w:val="24"/>
      <w:szCs w:val="22"/>
      <w:lang w:val="nl-NL"/>
    </w:rPr>
  </w:style>
  <w:style w:type="paragraph" w:customStyle="1" w:styleId="msonormal0">
    <w:name w:val="msonormal"/>
    <w:basedOn w:val="Normal"/>
    <w:rsid w:val="00A91208"/>
    <w:pPr>
      <w:spacing w:before="100" w:beforeAutospacing="1" w:after="100" w:afterAutospacing="1"/>
      <w:jc w:val="left"/>
    </w:pPr>
    <w:rPr>
      <w:rFonts w:ascii="Times New Roman" w:eastAsia="Times New Roman" w:hAnsi="Times New Roman" w:cs="Times New Roman"/>
      <w:szCs w:val="24"/>
      <w:lang w:val="fr-BE" w:eastAsia="fr-BE"/>
    </w:rPr>
  </w:style>
  <w:style w:type="character" w:customStyle="1" w:styleId="SC127009">
    <w:name w:val="SC127009"/>
    <w:uiPriority w:val="99"/>
    <w:rsid w:val="00EA1824"/>
    <w:rPr>
      <w:rFonts w:cs="EUAlbertina"/>
      <w:color w:val="000000"/>
      <w:sz w:val="18"/>
      <w:szCs w:val="18"/>
    </w:rPr>
  </w:style>
  <w:style w:type="paragraph" w:styleId="Textebrut">
    <w:name w:val="Plain Text"/>
    <w:basedOn w:val="Normal"/>
    <w:link w:val="TextebrutCar"/>
    <w:uiPriority w:val="99"/>
    <w:semiHidden/>
    <w:unhideWhenUsed/>
    <w:rsid w:val="009324CC"/>
    <w:pPr>
      <w:spacing w:after="0"/>
      <w:jc w:val="left"/>
    </w:pPr>
    <w:rPr>
      <w:rFonts w:ascii="Calibri" w:hAnsi="Calibri"/>
      <w:sz w:val="22"/>
      <w:szCs w:val="21"/>
      <w:lang w:val="fr-BE"/>
    </w:rPr>
  </w:style>
  <w:style w:type="character" w:customStyle="1" w:styleId="TextebrutCar">
    <w:name w:val="Texte brut Car"/>
    <w:basedOn w:val="Policepardfaut"/>
    <w:link w:val="Textebrut"/>
    <w:uiPriority w:val="99"/>
    <w:semiHidden/>
    <w:rsid w:val="009324CC"/>
    <w:rPr>
      <w:rFonts w:ascii="Calibri" w:hAnsi="Calibri"/>
      <w:szCs w:val="21"/>
    </w:rPr>
  </w:style>
  <w:style w:type="paragraph" w:styleId="PrformatHTML">
    <w:name w:val="HTML Preformatted"/>
    <w:basedOn w:val="Normal"/>
    <w:link w:val="PrformatHTMLCar"/>
    <w:uiPriority w:val="99"/>
    <w:unhideWhenUsed/>
    <w:rsid w:val="00413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val="fr-BE" w:eastAsia="fr-BE"/>
    </w:rPr>
  </w:style>
  <w:style w:type="character" w:customStyle="1" w:styleId="PrformatHTMLCar">
    <w:name w:val="Préformaté HTML Car"/>
    <w:basedOn w:val="Policepardfaut"/>
    <w:link w:val="PrformatHTML"/>
    <w:uiPriority w:val="99"/>
    <w:rsid w:val="00413A86"/>
    <w:rPr>
      <w:rFonts w:ascii="Courier New" w:eastAsia="Times New Roman" w:hAnsi="Courier New" w:cs="Courier New"/>
      <w:sz w:val="20"/>
      <w:szCs w:val="20"/>
      <w:lang w:eastAsia="fr-BE"/>
    </w:rPr>
  </w:style>
  <w:style w:type="character" w:customStyle="1" w:styleId="markedcontent">
    <w:name w:val="markedcontent"/>
    <w:basedOn w:val="Policepardfaut"/>
    <w:rsid w:val="001D1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9005">
      <w:bodyDiv w:val="1"/>
      <w:marLeft w:val="0"/>
      <w:marRight w:val="0"/>
      <w:marTop w:val="0"/>
      <w:marBottom w:val="0"/>
      <w:divBdr>
        <w:top w:val="none" w:sz="0" w:space="0" w:color="auto"/>
        <w:left w:val="none" w:sz="0" w:space="0" w:color="auto"/>
        <w:bottom w:val="none" w:sz="0" w:space="0" w:color="auto"/>
        <w:right w:val="none" w:sz="0" w:space="0" w:color="auto"/>
      </w:divBdr>
    </w:div>
    <w:div w:id="58023855">
      <w:bodyDiv w:val="1"/>
      <w:marLeft w:val="0"/>
      <w:marRight w:val="0"/>
      <w:marTop w:val="0"/>
      <w:marBottom w:val="0"/>
      <w:divBdr>
        <w:top w:val="none" w:sz="0" w:space="0" w:color="auto"/>
        <w:left w:val="none" w:sz="0" w:space="0" w:color="auto"/>
        <w:bottom w:val="none" w:sz="0" w:space="0" w:color="auto"/>
        <w:right w:val="none" w:sz="0" w:space="0" w:color="auto"/>
      </w:divBdr>
    </w:div>
    <w:div w:id="87240124">
      <w:bodyDiv w:val="1"/>
      <w:marLeft w:val="0"/>
      <w:marRight w:val="0"/>
      <w:marTop w:val="0"/>
      <w:marBottom w:val="0"/>
      <w:divBdr>
        <w:top w:val="none" w:sz="0" w:space="0" w:color="auto"/>
        <w:left w:val="none" w:sz="0" w:space="0" w:color="auto"/>
        <w:bottom w:val="none" w:sz="0" w:space="0" w:color="auto"/>
        <w:right w:val="none" w:sz="0" w:space="0" w:color="auto"/>
      </w:divBdr>
    </w:div>
    <w:div w:id="97919837">
      <w:bodyDiv w:val="1"/>
      <w:marLeft w:val="0"/>
      <w:marRight w:val="0"/>
      <w:marTop w:val="0"/>
      <w:marBottom w:val="0"/>
      <w:divBdr>
        <w:top w:val="none" w:sz="0" w:space="0" w:color="auto"/>
        <w:left w:val="none" w:sz="0" w:space="0" w:color="auto"/>
        <w:bottom w:val="none" w:sz="0" w:space="0" w:color="auto"/>
        <w:right w:val="none" w:sz="0" w:space="0" w:color="auto"/>
      </w:divBdr>
    </w:div>
    <w:div w:id="142283879">
      <w:bodyDiv w:val="1"/>
      <w:marLeft w:val="0"/>
      <w:marRight w:val="0"/>
      <w:marTop w:val="0"/>
      <w:marBottom w:val="0"/>
      <w:divBdr>
        <w:top w:val="none" w:sz="0" w:space="0" w:color="auto"/>
        <w:left w:val="none" w:sz="0" w:space="0" w:color="auto"/>
        <w:bottom w:val="none" w:sz="0" w:space="0" w:color="auto"/>
        <w:right w:val="none" w:sz="0" w:space="0" w:color="auto"/>
      </w:divBdr>
    </w:div>
    <w:div w:id="149637716">
      <w:bodyDiv w:val="1"/>
      <w:marLeft w:val="0"/>
      <w:marRight w:val="0"/>
      <w:marTop w:val="0"/>
      <w:marBottom w:val="0"/>
      <w:divBdr>
        <w:top w:val="none" w:sz="0" w:space="0" w:color="auto"/>
        <w:left w:val="none" w:sz="0" w:space="0" w:color="auto"/>
        <w:bottom w:val="none" w:sz="0" w:space="0" w:color="auto"/>
        <w:right w:val="none" w:sz="0" w:space="0" w:color="auto"/>
      </w:divBdr>
    </w:div>
    <w:div w:id="155657030">
      <w:bodyDiv w:val="1"/>
      <w:marLeft w:val="0"/>
      <w:marRight w:val="0"/>
      <w:marTop w:val="0"/>
      <w:marBottom w:val="0"/>
      <w:divBdr>
        <w:top w:val="none" w:sz="0" w:space="0" w:color="auto"/>
        <w:left w:val="none" w:sz="0" w:space="0" w:color="auto"/>
        <w:bottom w:val="none" w:sz="0" w:space="0" w:color="auto"/>
        <w:right w:val="none" w:sz="0" w:space="0" w:color="auto"/>
      </w:divBdr>
    </w:div>
    <w:div w:id="171573816">
      <w:bodyDiv w:val="1"/>
      <w:marLeft w:val="0"/>
      <w:marRight w:val="0"/>
      <w:marTop w:val="0"/>
      <w:marBottom w:val="0"/>
      <w:divBdr>
        <w:top w:val="none" w:sz="0" w:space="0" w:color="auto"/>
        <w:left w:val="none" w:sz="0" w:space="0" w:color="auto"/>
        <w:bottom w:val="none" w:sz="0" w:space="0" w:color="auto"/>
        <w:right w:val="none" w:sz="0" w:space="0" w:color="auto"/>
      </w:divBdr>
    </w:div>
    <w:div w:id="188371036">
      <w:bodyDiv w:val="1"/>
      <w:marLeft w:val="0"/>
      <w:marRight w:val="0"/>
      <w:marTop w:val="0"/>
      <w:marBottom w:val="0"/>
      <w:divBdr>
        <w:top w:val="none" w:sz="0" w:space="0" w:color="auto"/>
        <w:left w:val="none" w:sz="0" w:space="0" w:color="auto"/>
        <w:bottom w:val="none" w:sz="0" w:space="0" w:color="auto"/>
        <w:right w:val="none" w:sz="0" w:space="0" w:color="auto"/>
      </w:divBdr>
    </w:div>
    <w:div w:id="229266957">
      <w:bodyDiv w:val="1"/>
      <w:marLeft w:val="0"/>
      <w:marRight w:val="0"/>
      <w:marTop w:val="0"/>
      <w:marBottom w:val="0"/>
      <w:divBdr>
        <w:top w:val="none" w:sz="0" w:space="0" w:color="auto"/>
        <w:left w:val="none" w:sz="0" w:space="0" w:color="auto"/>
        <w:bottom w:val="none" w:sz="0" w:space="0" w:color="auto"/>
        <w:right w:val="none" w:sz="0" w:space="0" w:color="auto"/>
      </w:divBdr>
    </w:div>
    <w:div w:id="270013231">
      <w:bodyDiv w:val="1"/>
      <w:marLeft w:val="0"/>
      <w:marRight w:val="0"/>
      <w:marTop w:val="0"/>
      <w:marBottom w:val="0"/>
      <w:divBdr>
        <w:top w:val="none" w:sz="0" w:space="0" w:color="auto"/>
        <w:left w:val="none" w:sz="0" w:space="0" w:color="auto"/>
        <w:bottom w:val="none" w:sz="0" w:space="0" w:color="auto"/>
        <w:right w:val="none" w:sz="0" w:space="0" w:color="auto"/>
      </w:divBdr>
    </w:div>
    <w:div w:id="334184396">
      <w:bodyDiv w:val="1"/>
      <w:marLeft w:val="0"/>
      <w:marRight w:val="0"/>
      <w:marTop w:val="0"/>
      <w:marBottom w:val="0"/>
      <w:divBdr>
        <w:top w:val="none" w:sz="0" w:space="0" w:color="auto"/>
        <w:left w:val="none" w:sz="0" w:space="0" w:color="auto"/>
        <w:bottom w:val="none" w:sz="0" w:space="0" w:color="auto"/>
        <w:right w:val="none" w:sz="0" w:space="0" w:color="auto"/>
      </w:divBdr>
    </w:div>
    <w:div w:id="354770070">
      <w:bodyDiv w:val="1"/>
      <w:marLeft w:val="0"/>
      <w:marRight w:val="0"/>
      <w:marTop w:val="0"/>
      <w:marBottom w:val="0"/>
      <w:divBdr>
        <w:top w:val="none" w:sz="0" w:space="0" w:color="auto"/>
        <w:left w:val="none" w:sz="0" w:space="0" w:color="auto"/>
        <w:bottom w:val="none" w:sz="0" w:space="0" w:color="auto"/>
        <w:right w:val="none" w:sz="0" w:space="0" w:color="auto"/>
      </w:divBdr>
    </w:div>
    <w:div w:id="386152722">
      <w:bodyDiv w:val="1"/>
      <w:marLeft w:val="0"/>
      <w:marRight w:val="0"/>
      <w:marTop w:val="0"/>
      <w:marBottom w:val="0"/>
      <w:divBdr>
        <w:top w:val="none" w:sz="0" w:space="0" w:color="auto"/>
        <w:left w:val="none" w:sz="0" w:space="0" w:color="auto"/>
        <w:bottom w:val="none" w:sz="0" w:space="0" w:color="auto"/>
        <w:right w:val="none" w:sz="0" w:space="0" w:color="auto"/>
      </w:divBdr>
    </w:div>
    <w:div w:id="422263592">
      <w:bodyDiv w:val="1"/>
      <w:marLeft w:val="0"/>
      <w:marRight w:val="0"/>
      <w:marTop w:val="0"/>
      <w:marBottom w:val="0"/>
      <w:divBdr>
        <w:top w:val="none" w:sz="0" w:space="0" w:color="auto"/>
        <w:left w:val="none" w:sz="0" w:space="0" w:color="auto"/>
        <w:bottom w:val="none" w:sz="0" w:space="0" w:color="auto"/>
        <w:right w:val="none" w:sz="0" w:space="0" w:color="auto"/>
      </w:divBdr>
    </w:div>
    <w:div w:id="428233748">
      <w:bodyDiv w:val="1"/>
      <w:marLeft w:val="0"/>
      <w:marRight w:val="0"/>
      <w:marTop w:val="0"/>
      <w:marBottom w:val="0"/>
      <w:divBdr>
        <w:top w:val="none" w:sz="0" w:space="0" w:color="auto"/>
        <w:left w:val="none" w:sz="0" w:space="0" w:color="auto"/>
        <w:bottom w:val="none" w:sz="0" w:space="0" w:color="auto"/>
        <w:right w:val="none" w:sz="0" w:space="0" w:color="auto"/>
      </w:divBdr>
    </w:div>
    <w:div w:id="433405320">
      <w:bodyDiv w:val="1"/>
      <w:marLeft w:val="0"/>
      <w:marRight w:val="0"/>
      <w:marTop w:val="0"/>
      <w:marBottom w:val="0"/>
      <w:divBdr>
        <w:top w:val="none" w:sz="0" w:space="0" w:color="auto"/>
        <w:left w:val="none" w:sz="0" w:space="0" w:color="auto"/>
        <w:bottom w:val="none" w:sz="0" w:space="0" w:color="auto"/>
        <w:right w:val="none" w:sz="0" w:space="0" w:color="auto"/>
      </w:divBdr>
    </w:div>
    <w:div w:id="442648093">
      <w:bodyDiv w:val="1"/>
      <w:marLeft w:val="0"/>
      <w:marRight w:val="0"/>
      <w:marTop w:val="0"/>
      <w:marBottom w:val="0"/>
      <w:divBdr>
        <w:top w:val="none" w:sz="0" w:space="0" w:color="auto"/>
        <w:left w:val="none" w:sz="0" w:space="0" w:color="auto"/>
        <w:bottom w:val="none" w:sz="0" w:space="0" w:color="auto"/>
        <w:right w:val="none" w:sz="0" w:space="0" w:color="auto"/>
      </w:divBdr>
    </w:div>
    <w:div w:id="482083706">
      <w:bodyDiv w:val="1"/>
      <w:marLeft w:val="0"/>
      <w:marRight w:val="0"/>
      <w:marTop w:val="0"/>
      <w:marBottom w:val="0"/>
      <w:divBdr>
        <w:top w:val="none" w:sz="0" w:space="0" w:color="auto"/>
        <w:left w:val="none" w:sz="0" w:space="0" w:color="auto"/>
        <w:bottom w:val="none" w:sz="0" w:space="0" w:color="auto"/>
        <w:right w:val="none" w:sz="0" w:space="0" w:color="auto"/>
      </w:divBdr>
      <w:divsChild>
        <w:div w:id="1855420141">
          <w:marLeft w:val="240"/>
          <w:marRight w:val="0"/>
          <w:marTop w:val="60"/>
          <w:marBottom w:val="60"/>
          <w:divBdr>
            <w:top w:val="none" w:sz="0" w:space="0" w:color="auto"/>
            <w:left w:val="none" w:sz="0" w:space="0" w:color="auto"/>
            <w:bottom w:val="none" w:sz="0" w:space="0" w:color="auto"/>
            <w:right w:val="none" w:sz="0" w:space="0" w:color="auto"/>
          </w:divBdr>
          <w:divsChild>
            <w:div w:id="8781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46726">
      <w:bodyDiv w:val="1"/>
      <w:marLeft w:val="0"/>
      <w:marRight w:val="0"/>
      <w:marTop w:val="0"/>
      <w:marBottom w:val="0"/>
      <w:divBdr>
        <w:top w:val="none" w:sz="0" w:space="0" w:color="auto"/>
        <w:left w:val="none" w:sz="0" w:space="0" w:color="auto"/>
        <w:bottom w:val="none" w:sz="0" w:space="0" w:color="auto"/>
        <w:right w:val="none" w:sz="0" w:space="0" w:color="auto"/>
      </w:divBdr>
    </w:div>
    <w:div w:id="523977329">
      <w:bodyDiv w:val="1"/>
      <w:marLeft w:val="0"/>
      <w:marRight w:val="0"/>
      <w:marTop w:val="0"/>
      <w:marBottom w:val="0"/>
      <w:divBdr>
        <w:top w:val="none" w:sz="0" w:space="0" w:color="auto"/>
        <w:left w:val="none" w:sz="0" w:space="0" w:color="auto"/>
        <w:bottom w:val="none" w:sz="0" w:space="0" w:color="auto"/>
        <w:right w:val="none" w:sz="0" w:space="0" w:color="auto"/>
      </w:divBdr>
    </w:div>
    <w:div w:id="568884830">
      <w:bodyDiv w:val="1"/>
      <w:marLeft w:val="0"/>
      <w:marRight w:val="0"/>
      <w:marTop w:val="0"/>
      <w:marBottom w:val="0"/>
      <w:divBdr>
        <w:top w:val="none" w:sz="0" w:space="0" w:color="auto"/>
        <w:left w:val="none" w:sz="0" w:space="0" w:color="auto"/>
        <w:bottom w:val="none" w:sz="0" w:space="0" w:color="auto"/>
        <w:right w:val="none" w:sz="0" w:space="0" w:color="auto"/>
      </w:divBdr>
    </w:div>
    <w:div w:id="623077075">
      <w:bodyDiv w:val="1"/>
      <w:marLeft w:val="0"/>
      <w:marRight w:val="0"/>
      <w:marTop w:val="0"/>
      <w:marBottom w:val="0"/>
      <w:divBdr>
        <w:top w:val="none" w:sz="0" w:space="0" w:color="auto"/>
        <w:left w:val="none" w:sz="0" w:space="0" w:color="auto"/>
        <w:bottom w:val="none" w:sz="0" w:space="0" w:color="auto"/>
        <w:right w:val="none" w:sz="0" w:space="0" w:color="auto"/>
      </w:divBdr>
    </w:div>
    <w:div w:id="637733260">
      <w:bodyDiv w:val="1"/>
      <w:marLeft w:val="0"/>
      <w:marRight w:val="0"/>
      <w:marTop w:val="0"/>
      <w:marBottom w:val="0"/>
      <w:divBdr>
        <w:top w:val="none" w:sz="0" w:space="0" w:color="auto"/>
        <w:left w:val="none" w:sz="0" w:space="0" w:color="auto"/>
        <w:bottom w:val="none" w:sz="0" w:space="0" w:color="auto"/>
        <w:right w:val="none" w:sz="0" w:space="0" w:color="auto"/>
      </w:divBdr>
    </w:div>
    <w:div w:id="660699461">
      <w:bodyDiv w:val="1"/>
      <w:marLeft w:val="0"/>
      <w:marRight w:val="0"/>
      <w:marTop w:val="0"/>
      <w:marBottom w:val="0"/>
      <w:divBdr>
        <w:top w:val="none" w:sz="0" w:space="0" w:color="auto"/>
        <w:left w:val="none" w:sz="0" w:space="0" w:color="auto"/>
        <w:bottom w:val="none" w:sz="0" w:space="0" w:color="auto"/>
        <w:right w:val="none" w:sz="0" w:space="0" w:color="auto"/>
      </w:divBdr>
    </w:div>
    <w:div w:id="667637813">
      <w:bodyDiv w:val="1"/>
      <w:marLeft w:val="0"/>
      <w:marRight w:val="0"/>
      <w:marTop w:val="0"/>
      <w:marBottom w:val="0"/>
      <w:divBdr>
        <w:top w:val="none" w:sz="0" w:space="0" w:color="auto"/>
        <w:left w:val="none" w:sz="0" w:space="0" w:color="auto"/>
        <w:bottom w:val="none" w:sz="0" w:space="0" w:color="auto"/>
        <w:right w:val="none" w:sz="0" w:space="0" w:color="auto"/>
      </w:divBdr>
    </w:div>
    <w:div w:id="670564376">
      <w:bodyDiv w:val="1"/>
      <w:marLeft w:val="0"/>
      <w:marRight w:val="0"/>
      <w:marTop w:val="0"/>
      <w:marBottom w:val="0"/>
      <w:divBdr>
        <w:top w:val="none" w:sz="0" w:space="0" w:color="auto"/>
        <w:left w:val="none" w:sz="0" w:space="0" w:color="auto"/>
        <w:bottom w:val="none" w:sz="0" w:space="0" w:color="auto"/>
        <w:right w:val="none" w:sz="0" w:space="0" w:color="auto"/>
      </w:divBdr>
      <w:divsChild>
        <w:div w:id="1291281242">
          <w:marLeft w:val="0"/>
          <w:marRight w:val="0"/>
          <w:marTop w:val="525"/>
          <w:marBottom w:val="525"/>
          <w:divBdr>
            <w:top w:val="none" w:sz="0" w:space="0" w:color="auto"/>
            <w:left w:val="none" w:sz="0" w:space="0" w:color="auto"/>
            <w:bottom w:val="none" w:sz="0" w:space="0" w:color="auto"/>
            <w:right w:val="none" w:sz="0" w:space="0" w:color="auto"/>
          </w:divBdr>
          <w:divsChild>
            <w:div w:id="210337982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09202811">
      <w:bodyDiv w:val="1"/>
      <w:marLeft w:val="0"/>
      <w:marRight w:val="0"/>
      <w:marTop w:val="0"/>
      <w:marBottom w:val="0"/>
      <w:divBdr>
        <w:top w:val="none" w:sz="0" w:space="0" w:color="auto"/>
        <w:left w:val="none" w:sz="0" w:space="0" w:color="auto"/>
        <w:bottom w:val="none" w:sz="0" w:space="0" w:color="auto"/>
        <w:right w:val="none" w:sz="0" w:space="0" w:color="auto"/>
      </w:divBdr>
    </w:div>
    <w:div w:id="827094684">
      <w:bodyDiv w:val="1"/>
      <w:marLeft w:val="0"/>
      <w:marRight w:val="0"/>
      <w:marTop w:val="0"/>
      <w:marBottom w:val="0"/>
      <w:divBdr>
        <w:top w:val="none" w:sz="0" w:space="0" w:color="auto"/>
        <w:left w:val="none" w:sz="0" w:space="0" w:color="auto"/>
        <w:bottom w:val="none" w:sz="0" w:space="0" w:color="auto"/>
        <w:right w:val="none" w:sz="0" w:space="0" w:color="auto"/>
      </w:divBdr>
      <w:divsChild>
        <w:div w:id="1958679581">
          <w:marLeft w:val="0"/>
          <w:marRight w:val="0"/>
          <w:marTop w:val="0"/>
          <w:marBottom w:val="0"/>
          <w:divBdr>
            <w:top w:val="none" w:sz="0" w:space="0" w:color="auto"/>
            <w:left w:val="none" w:sz="0" w:space="0" w:color="auto"/>
            <w:bottom w:val="none" w:sz="0" w:space="0" w:color="auto"/>
            <w:right w:val="none" w:sz="0" w:space="0" w:color="auto"/>
          </w:divBdr>
          <w:divsChild>
            <w:div w:id="201695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87608">
      <w:bodyDiv w:val="1"/>
      <w:marLeft w:val="0"/>
      <w:marRight w:val="0"/>
      <w:marTop w:val="0"/>
      <w:marBottom w:val="0"/>
      <w:divBdr>
        <w:top w:val="none" w:sz="0" w:space="0" w:color="auto"/>
        <w:left w:val="none" w:sz="0" w:space="0" w:color="auto"/>
        <w:bottom w:val="none" w:sz="0" w:space="0" w:color="auto"/>
        <w:right w:val="none" w:sz="0" w:space="0" w:color="auto"/>
      </w:divBdr>
    </w:div>
    <w:div w:id="1053235052">
      <w:bodyDiv w:val="1"/>
      <w:marLeft w:val="0"/>
      <w:marRight w:val="0"/>
      <w:marTop w:val="0"/>
      <w:marBottom w:val="0"/>
      <w:divBdr>
        <w:top w:val="none" w:sz="0" w:space="0" w:color="auto"/>
        <w:left w:val="none" w:sz="0" w:space="0" w:color="auto"/>
        <w:bottom w:val="none" w:sz="0" w:space="0" w:color="auto"/>
        <w:right w:val="none" w:sz="0" w:space="0" w:color="auto"/>
      </w:divBdr>
    </w:div>
    <w:div w:id="1135561565">
      <w:bodyDiv w:val="1"/>
      <w:marLeft w:val="0"/>
      <w:marRight w:val="0"/>
      <w:marTop w:val="0"/>
      <w:marBottom w:val="0"/>
      <w:divBdr>
        <w:top w:val="none" w:sz="0" w:space="0" w:color="auto"/>
        <w:left w:val="none" w:sz="0" w:space="0" w:color="auto"/>
        <w:bottom w:val="none" w:sz="0" w:space="0" w:color="auto"/>
        <w:right w:val="none" w:sz="0" w:space="0" w:color="auto"/>
      </w:divBdr>
    </w:div>
    <w:div w:id="1165586540">
      <w:bodyDiv w:val="1"/>
      <w:marLeft w:val="0"/>
      <w:marRight w:val="0"/>
      <w:marTop w:val="0"/>
      <w:marBottom w:val="0"/>
      <w:divBdr>
        <w:top w:val="none" w:sz="0" w:space="0" w:color="auto"/>
        <w:left w:val="none" w:sz="0" w:space="0" w:color="auto"/>
        <w:bottom w:val="none" w:sz="0" w:space="0" w:color="auto"/>
        <w:right w:val="none" w:sz="0" w:space="0" w:color="auto"/>
      </w:divBdr>
      <w:divsChild>
        <w:div w:id="551430628">
          <w:marLeft w:val="0"/>
          <w:marRight w:val="0"/>
          <w:marTop w:val="0"/>
          <w:marBottom w:val="0"/>
          <w:divBdr>
            <w:top w:val="none" w:sz="0" w:space="0" w:color="auto"/>
            <w:left w:val="none" w:sz="0" w:space="0" w:color="auto"/>
            <w:bottom w:val="none" w:sz="0" w:space="0" w:color="auto"/>
            <w:right w:val="none" w:sz="0" w:space="0" w:color="auto"/>
          </w:divBdr>
        </w:div>
        <w:div w:id="576406690">
          <w:marLeft w:val="0"/>
          <w:marRight w:val="0"/>
          <w:marTop w:val="0"/>
          <w:marBottom w:val="0"/>
          <w:divBdr>
            <w:top w:val="none" w:sz="0" w:space="0" w:color="auto"/>
            <w:left w:val="none" w:sz="0" w:space="0" w:color="auto"/>
            <w:bottom w:val="none" w:sz="0" w:space="0" w:color="auto"/>
            <w:right w:val="none" w:sz="0" w:space="0" w:color="auto"/>
          </w:divBdr>
        </w:div>
        <w:div w:id="620114913">
          <w:marLeft w:val="0"/>
          <w:marRight w:val="0"/>
          <w:marTop w:val="0"/>
          <w:marBottom w:val="0"/>
          <w:divBdr>
            <w:top w:val="none" w:sz="0" w:space="0" w:color="auto"/>
            <w:left w:val="none" w:sz="0" w:space="0" w:color="auto"/>
            <w:bottom w:val="none" w:sz="0" w:space="0" w:color="auto"/>
            <w:right w:val="none" w:sz="0" w:space="0" w:color="auto"/>
          </w:divBdr>
        </w:div>
        <w:div w:id="1963533739">
          <w:marLeft w:val="0"/>
          <w:marRight w:val="0"/>
          <w:marTop w:val="0"/>
          <w:marBottom w:val="0"/>
          <w:divBdr>
            <w:top w:val="none" w:sz="0" w:space="0" w:color="auto"/>
            <w:left w:val="none" w:sz="0" w:space="0" w:color="auto"/>
            <w:bottom w:val="none" w:sz="0" w:space="0" w:color="auto"/>
            <w:right w:val="none" w:sz="0" w:space="0" w:color="auto"/>
          </w:divBdr>
        </w:div>
      </w:divsChild>
    </w:div>
    <w:div w:id="1308048085">
      <w:bodyDiv w:val="1"/>
      <w:marLeft w:val="0"/>
      <w:marRight w:val="0"/>
      <w:marTop w:val="0"/>
      <w:marBottom w:val="0"/>
      <w:divBdr>
        <w:top w:val="none" w:sz="0" w:space="0" w:color="auto"/>
        <w:left w:val="none" w:sz="0" w:space="0" w:color="auto"/>
        <w:bottom w:val="none" w:sz="0" w:space="0" w:color="auto"/>
        <w:right w:val="none" w:sz="0" w:space="0" w:color="auto"/>
      </w:divBdr>
    </w:div>
    <w:div w:id="1375807635">
      <w:bodyDiv w:val="1"/>
      <w:marLeft w:val="0"/>
      <w:marRight w:val="0"/>
      <w:marTop w:val="0"/>
      <w:marBottom w:val="0"/>
      <w:divBdr>
        <w:top w:val="none" w:sz="0" w:space="0" w:color="auto"/>
        <w:left w:val="none" w:sz="0" w:space="0" w:color="auto"/>
        <w:bottom w:val="none" w:sz="0" w:space="0" w:color="auto"/>
        <w:right w:val="none" w:sz="0" w:space="0" w:color="auto"/>
      </w:divBdr>
    </w:div>
    <w:div w:id="1389260446">
      <w:bodyDiv w:val="1"/>
      <w:marLeft w:val="0"/>
      <w:marRight w:val="0"/>
      <w:marTop w:val="0"/>
      <w:marBottom w:val="0"/>
      <w:divBdr>
        <w:top w:val="none" w:sz="0" w:space="0" w:color="auto"/>
        <w:left w:val="none" w:sz="0" w:space="0" w:color="auto"/>
        <w:bottom w:val="none" w:sz="0" w:space="0" w:color="auto"/>
        <w:right w:val="none" w:sz="0" w:space="0" w:color="auto"/>
      </w:divBdr>
    </w:div>
    <w:div w:id="1391610375">
      <w:bodyDiv w:val="1"/>
      <w:marLeft w:val="0"/>
      <w:marRight w:val="0"/>
      <w:marTop w:val="0"/>
      <w:marBottom w:val="0"/>
      <w:divBdr>
        <w:top w:val="none" w:sz="0" w:space="0" w:color="auto"/>
        <w:left w:val="none" w:sz="0" w:space="0" w:color="auto"/>
        <w:bottom w:val="none" w:sz="0" w:space="0" w:color="auto"/>
        <w:right w:val="none" w:sz="0" w:space="0" w:color="auto"/>
      </w:divBdr>
    </w:div>
    <w:div w:id="1422294757">
      <w:bodyDiv w:val="1"/>
      <w:marLeft w:val="0"/>
      <w:marRight w:val="0"/>
      <w:marTop w:val="0"/>
      <w:marBottom w:val="0"/>
      <w:divBdr>
        <w:top w:val="none" w:sz="0" w:space="0" w:color="auto"/>
        <w:left w:val="none" w:sz="0" w:space="0" w:color="auto"/>
        <w:bottom w:val="none" w:sz="0" w:space="0" w:color="auto"/>
        <w:right w:val="none" w:sz="0" w:space="0" w:color="auto"/>
      </w:divBdr>
    </w:div>
    <w:div w:id="1445880030">
      <w:bodyDiv w:val="1"/>
      <w:marLeft w:val="0"/>
      <w:marRight w:val="0"/>
      <w:marTop w:val="0"/>
      <w:marBottom w:val="0"/>
      <w:divBdr>
        <w:top w:val="none" w:sz="0" w:space="0" w:color="auto"/>
        <w:left w:val="none" w:sz="0" w:space="0" w:color="auto"/>
        <w:bottom w:val="none" w:sz="0" w:space="0" w:color="auto"/>
        <w:right w:val="none" w:sz="0" w:space="0" w:color="auto"/>
      </w:divBdr>
    </w:div>
    <w:div w:id="1540626115">
      <w:bodyDiv w:val="1"/>
      <w:marLeft w:val="0"/>
      <w:marRight w:val="0"/>
      <w:marTop w:val="0"/>
      <w:marBottom w:val="0"/>
      <w:divBdr>
        <w:top w:val="none" w:sz="0" w:space="0" w:color="auto"/>
        <w:left w:val="none" w:sz="0" w:space="0" w:color="auto"/>
        <w:bottom w:val="none" w:sz="0" w:space="0" w:color="auto"/>
        <w:right w:val="none" w:sz="0" w:space="0" w:color="auto"/>
      </w:divBdr>
    </w:div>
    <w:div w:id="1599947507">
      <w:bodyDiv w:val="1"/>
      <w:marLeft w:val="0"/>
      <w:marRight w:val="0"/>
      <w:marTop w:val="0"/>
      <w:marBottom w:val="0"/>
      <w:divBdr>
        <w:top w:val="none" w:sz="0" w:space="0" w:color="auto"/>
        <w:left w:val="none" w:sz="0" w:space="0" w:color="auto"/>
        <w:bottom w:val="none" w:sz="0" w:space="0" w:color="auto"/>
        <w:right w:val="none" w:sz="0" w:space="0" w:color="auto"/>
      </w:divBdr>
    </w:div>
    <w:div w:id="1627085646">
      <w:bodyDiv w:val="1"/>
      <w:marLeft w:val="0"/>
      <w:marRight w:val="0"/>
      <w:marTop w:val="0"/>
      <w:marBottom w:val="0"/>
      <w:divBdr>
        <w:top w:val="none" w:sz="0" w:space="0" w:color="auto"/>
        <w:left w:val="none" w:sz="0" w:space="0" w:color="auto"/>
        <w:bottom w:val="none" w:sz="0" w:space="0" w:color="auto"/>
        <w:right w:val="none" w:sz="0" w:space="0" w:color="auto"/>
      </w:divBdr>
    </w:div>
    <w:div w:id="1658608597">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
    <w:div w:id="1680617240">
      <w:bodyDiv w:val="1"/>
      <w:marLeft w:val="0"/>
      <w:marRight w:val="0"/>
      <w:marTop w:val="0"/>
      <w:marBottom w:val="0"/>
      <w:divBdr>
        <w:top w:val="none" w:sz="0" w:space="0" w:color="auto"/>
        <w:left w:val="none" w:sz="0" w:space="0" w:color="auto"/>
        <w:bottom w:val="none" w:sz="0" w:space="0" w:color="auto"/>
        <w:right w:val="none" w:sz="0" w:space="0" w:color="auto"/>
      </w:divBdr>
    </w:div>
    <w:div w:id="1729651005">
      <w:bodyDiv w:val="1"/>
      <w:marLeft w:val="0"/>
      <w:marRight w:val="0"/>
      <w:marTop w:val="0"/>
      <w:marBottom w:val="0"/>
      <w:divBdr>
        <w:top w:val="none" w:sz="0" w:space="0" w:color="auto"/>
        <w:left w:val="none" w:sz="0" w:space="0" w:color="auto"/>
        <w:bottom w:val="none" w:sz="0" w:space="0" w:color="auto"/>
        <w:right w:val="none" w:sz="0" w:space="0" w:color="auto"/>
      </w:divBdr>
    </w:div>
    <w:div w:id="1884173530">
      <w:bodyDiv w:val="1"/>
      <w:marLeft w:val="0"/>
      <w:marRight w:val="0"/>
      <w:marTop w:val="0"/>
      <w:marBottom w:val="0"/>
      <w:divBdr>
        <w:top w:val="none" w:sz="0" w:space="0" w:color="auto"/>
        <w:left w:val="none" w:sz="0" w:space="0" w:color="auto"/>
        <w:bottom w:val="none" w:sz="0" w:space="0" w:color="auto"/>
        <w:right w:val="none" w:sz="0" w:space="0" w:color="auto"/>
      </w:divBdr>
    </w:div>
    <w:div w:id="1975986713">
      <w:bodyDiv w:val="1"/>
      <w:marLeft w:val="0"/>
      <w:marRight w:val="0"/>
      <w:marTop w:val="0"/>
      <w:marBottom w:val="0"/>
      <w:divBdr>
        <w:top w:val="none" w:sz="0" w:space="0" w:color="auto"/>
        <w:left w:val="none" w:sz="0" w:space="0" w:color="auto"/>
        <w:bottom w:val="none" w:sz="0" w:space="0" w:color="auto"/>
        <w:right w:val="none" w:sz="0" w:space="0" w:color="auto"/>
      </w:divBdr>
    </w:div>
    <w:div w:id="2007710974">
      <w:bodyDiv w:val="1"/>
      <w:marLeft w:val="0"/>
      <w:marRight w:val="0"/>
      <w:marTop w:val="0"/>
      <w:marBottom w:val="0"/>
      <w:divBdr>
        <w:top w:val="none" w:sz="0" w:space="0" w:color="auto"/>
        <w:left w:val="none" w:sz="0" w:space="0" w:color="auto"/>
        <w:bottom w:val="none" w:sz="0" w:space="0" w:color="auto"/>
        <w:right w:val="none" w:sz="0" w:space="0" w:color="auto"/>
      </w:divBdr>
    </w:div>
    <w:div w:id="2015762339">
      <w:bodyDiv w:val="1"/>
      <w:marLeft w:val="0"/>
      <w:marRight w:val="0"/>
      <w:marTop w:val="0"/>
      <w:marBottom w:val="0"/>
      <w:divBdr>
        <w:top w:val="none" w:sz="0" w:space="0" w:color="auto"/>
        <w:left w:val="none" w:sz="0" w:space="0" w:color="auto"/>
        <w:bottom w:val="none" w:sz="0" w:space="0" w:color="auto"/>
        <w:right w:val="none" w:sz="0" w:space="0" w:color="auto"/>
      </w:divBdr>
    </w:div>
    <w:div w:id="2017610027">
      <w:bodyDiv w:val="1"/>
      <w:marLeft w:val="0"/>
      <w:marRight w:val="0"/>
      <w:marTop w:val="0"/>
      <w:marBottom w:val="0"/>
      <w:divBdr>
        <w:top w:val="none" w:sz="0" w:space="0" w:color="auto"/>
        <w:left w:val="none" w:sz="0" w:space="0" w:color="auto"/>
        <w:bottom w:val="none" w:sz="0" w:space="0" w:color="auto"/>
        <w:right w:val="none" w:sz="0" w:space="0" w:color="auto"/>
      </w:divBdr>
    </w:div>
    <w:div w:id="2105609372">
      <w:bodyDiv w:val="1"/>
      <w:marLeft w:val="0"/>
      <w:marRight w:val="0"/>
      <w:marTop w:val="0"/>
      <w:marBottom w:val="0"/>
      <w:divBdr>
        <w:top w:val="none" w:sz="0" w:space="0" w:color="auto"/>
        <w:left w:val="none" w:sz="0" w:space="0" w:color="auto"/>
        <w:bottom w:val="none" w:sz="0" w:space="0" w:color="auto"/>
        <w:right w:val="none" w:sz="0" w:space="0" w:color="auto"/>
      </w:divBdr>
    </w:div>
    <w:div w:id="213250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aw.cornell.edu/uscode/text/28/1605" TargetMode="External"/><Relationship Id="rId21" Type="http://schemas.openxmlformats.org/officeDocument/2006/relationships/hyperlink" Target="https://www.law.cornell.edu/uscode/text/28/1603" TargetMode="External"/><Relationship Id="rId34" Type="http://schemas.openxmlformats.org/officeDocument/2006/relationships/hyperlink" Target="https://www.law.cornell.edu/uscode/text/28/1608" TargetMode="External"/><Relationship Id="rId42" Type="http://schemas.openxmlformats.org/officeDocument/2006/relationships/hyperlink" Target="https://www.law.cornell.edu/uscode/text/28/1610" TargetMode="External"/><Relationship Id="rId47" Type="http://schemas.openxmlformats.org/officeDocument/2006/relationships/hyperlink" Target="https://www.law.cornell.edu/uscode/text/28/1610" TargetMode="External"/><Relationship Id="rId50" Type="http://schemas.openxmlformats.org/officeDocument/2006/relationships/hyperlink" Target="http://icsidfiles.worldbank.org/icsid/icsid/staticfiles/basicdoc-fra/partA.htm" TargetMode="External"/><Relationship Id="rId55" Type="http://schemas.openxmlformats.org/officeDocument/2006/relationships/hyperlink" Target="https://hudoc.echr.coe.int/eng" TargetMode="External"/><Relationship Id="rId63" Type="http://schemas.openxmlformats.org/officeDocument/2006/relationships/hyperlink" Target="http://www.lalibre.be/debats/opinions/dette-souveraine-et-vautours-la-belgique-donne-le-ton-55f8380b35700fb92ee9e8b7" TargetMode="External"/><Relationship Id="rId68" Type="http://schemas.openxmlformats.org/officeDocument/2006/relationships/hyperlink" Target="http://www.theguardian.com/business/2014/aug/07/argentina-default-griesafault-more-accurate" TargetMode="External"/><Relationship Id="rId76" Type="http://schemas.openxmlformats.org/officeDocument/2006/relationships/hyperlink" Target="http://www.imf.org/external/np/exr/facts/fre/hipcf.htm" TargetMode="External"/><Relationship Id="rId84" Type="http://schemas.openxmlformats.org/officeDocument/2006/relationships/hyperlink" Target="http://fgcap.net/index.html" TargetMode="External"/><Relationship Id="rId89" Type="http://schemas.openxmlformats.org/officeDocument/2006/relationships/hyperlink" Target="http://www.icj-cij.org/public/files/press-releases/5/18355.pdf" TargetMode="External"/><Relationship Id="rId97"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www.africa-eu-partnership.org/en/projects/african-legal-support-facility-alsf" TargetMode="External"/><Relationship Id="rId92" Type="http://schemas.openxmlformats.org/officeDocument/2006/relationships/hyperlink" Target="https://publications.parliament.uk/pa/ld201012/ldselect/ldmerit/137/13707.htm" TargetMode="External"/><Relationship Id="rId2" Type="http://schemas.openxmlformats.org/officeDocument/2006/relationships/numbering" Target="numbering.xml"/><Relationship Id="rId16" Type="http://schemas.openxmlformats.org/officeDocument/2006/relationships/hyperlink" Target="https://www.law.cornell.edu/uscode/text/28/1607" TargetMode="External"/><Relationship Id="rId29" Type="http://schemas.openxmlformats.org/officeDocument/2006/relationships/hyperlink" Target="https://www.law.cornell.edu/uscode/text/28/1605" TargetMode="External"/><Relationship Id="rId11" Type="http://schemas.openxmlformats.org/officeDocument/2006/relationships/hyperlink" Target="https://www.imf.org/external/np/exr/facts/prsp.htm" TargetMode="External"/><Relationship Id="rId24" Type="http://schemas.openxmlformats.org/officeDocument/2006/relationships/hyperlink" Target="https://www.law.cornell.edu/uscode/text/28/1605" TargetMode="External"/><Relationship Id="rId32" Type="http://schemas.openxmlformats.org/officeDocument/2006/relationships/hyperlink" Target="https://www.law.cornell.edu/uscode/text/28/1610" TargetMode="External"/><Relationship Id="rId37" Type="http://schemas.openxmlformats.org/officeDocument/2006/relationships/hyperlink" Target="https://www.law.cornell.edu/uscode/text/28/1610" TargetMode="External"/><Relationship Id="rId40" Type="http://schemas.openxmlformats.org/officeDocument/2006/relationships/hyperlink" Target="https://www.law.cornell.edu/uscode/text/28/1610" TargetMode="External"/><Relationship Id="rId45" Type="http://schemas.openxmlformats.org/officeDocument/2006/relationships/hyperlink" Target="https://www.law.cornell.edu/uscode/text/28/1610" TargetMode="External"/><Relationship Id="rId53" Type="http://schemas.openxmlformats.org/officeDocument/2006/relationships/hyperlink" Target="https://hudoc.echr.coe.int/eng" TargetMode="External"/><Relationship Id="rId58" Type="http://schemas.openxmlformats.org/officeDocument/2006/relationships/hyperlink" Target="https://papers.ssrn.com/sol3/papers.cfm?abstract_id=3202517" TargetMode="External"/><Relationship Id="rId66" Type="http://schemas.openxmlformats.org/officeDocument/2006/relationships/hyperlink" Target="http://www.nytimes.com/2016/04/01/opinion/how-hedge-funds-held-argentina-for-ransom.html" TargetMode="External"/><Relationship Id="rId74" Type="http://schemas.openxmlformats.org/officeDocument/2006/relationships/hyperlink" Target="http://www.clubdeparis.org/fr/communications/page/termes-naples" TargetMode="External"/><Relationship Id="rId79" Type="http://schemas.openxmlformats.org/officeDocument/2006/relationships/hyperlink" Target="http://www.imf.org/fr/About/Factsheets/Sheets/2016/08/01/16/39/Debt-Sustainability-Framework-for-Low-Income-Countries" TargetMode="External"/><Relationship Id="rId87" Type="http://schemas.openxmlformats.org/officeDocument/2006/relationships/hyperlink" Target="http://www.rijksoverheid.nl/documenten/kamerstukken/2020/10/27/beantwoording-kamervragen-over-speculeren-met-schulden-van-ontwikkelingslanden" TargetMode="External"/><Relationship Id="rId5" Type="http://schemas.openxmlformats.org/officeDocument/2006/relationships/webSettings" Target="webSettings.xml"/><Relationship Id="rId61" Type="http://schemas.openxmlformats.org/officeDocument/2006/relationships/hyperlink" Target="http://www.socialeurope.eu/a-rule-of-law-for-sovereign-debt" TargetMode="External"/><Relationship Id="rId82" Type="http://schemas.openxmlformats.org/officeDocument/2006/relationships/hyperlink" Target="http://www.worldbank.org/en/topic/debt/brief/covid-19-debt-service-suspension-initiative" TargetMode="External"/><Relationship Id="rId90" Type="http://schemas.openxmlformats.org/officeDocument/2006/relationships/hyperlink" Target="http://www.imf.org/-/media/Files/News/news-articles/english-extraordinary-g20-fmcbg-statement-november-13.ashx" TargetMode="External"/><Relationship Id="rId95" Type="http://schemas.openxmlformats.org/officeDocument/2006/relationships/footer" Target="footer3.xml"/><Relationship Id="rId19" Type="http://schemas.openxmlformats.org/officeDocument/2006/relationships/hyperlink" Target="https://www.law.cornell.edu/uscode/text/28/1602" TargetMode="External"/><Relationship Id="rId14" Type="http://schemas.openxmlformats.org/officeDocument/2006/relationships/hyperlink" Target="https://www.law.cornell.edu/uscode/text/28/1606" TargetMode="External"/><Relationship Id="rId22" Type="http://schemas.openxmlformats.org/officeDocument/2006/relationships/hyperlink" Target="https://www.law.cornell.edu/uscode/text/28/1603" TargetMode="External"/><Relationship Id="rId27" Type="http://schemas.openxmlformats.org/officeDocument/2006/relationships/hyperlink" Target="https://www.law.cornell.edu/uscode/text/28/1605" TargetMode="External"/><Relationship Id="rId30" Type="http://schemas.openxmlformats.org/officeDocument/2006/relationships/hyperlink" Target="https://www.law.cornell.edu/definitions/uscode.php?width=840&amp;height=800&amp;iframe=true&amp;def_id=28-USC-2032517217-1056148291&amp;term_occur=999&amp;term_src=title:28:part:IV:chapter:97:section:1609" TargetMode="External"/><Relationship Id="rId35" Type="http://schemas.openxmlformats.org/officeDocument/2006/relationships/hyperlink" Target="https://www.law.cornell.edu/uscode/text/28/1610" TargetMode="External"/><Relationship Id="rId43" Type="http://schemas.openxmlformats.org/officeDocument/2006/relationships/hyperlink" Target="https://www.law.cornell.edu/uscode/text/28/1610" TargetMode="External"/><Relationship Id="rId48" Type="http://schemas.openxmlformats.org/officeDocument/2006/relationships/hyperlink" Target="https://www.law.cornell.edu/uscode/text/28/1610" TargetMode="External"/><Relationship Id="rId56" Type="http://schemas.openxmlformats.org/officeDocument/2006/relationships/hyperlink" Target="http://www.italaw.com/cases/3879" TargetMode="External"/><Relationship Id="rId64" Type="http://schemas.openxmlformats.org/officeDocument/2006/relationships/hyperlink" Target="http://www.lemonde.fr/economie/article/2016/03/31/l-argentine-se-libere-enfin-des-fonds-vautours_4893218_3234.html" TargetMode="External"/><Relationship Id="rId69" Type="http://schemas.openxmlformats.org/officeDocument/2006/relationships/hyperlink" Target="http://www.economist.com/leaders/2020/11/21/many-countries-need-debt-relief" TargetMode="External"/><Relationship Id="rId77" Type="http://schemas.openxmlformats.org/officeDocument/2006/relationships/hyperlink" Target="http://www.imf.org/external/np/exr/facts/fre/mdrif.htm" TargetMode="External"/><Relationship Id="rId8" Type="http://schemas.openxmlformats.org/officeDocument/2006/relationships/footer" Target="footer1.xml"/><Relationship Id="rId51" Type="http://schemas.openxmlformats.org/officeDocument/2006/relationships/hyperlink" Target="http://icsidfiles.worldbank.org/icsid/icsid/staticfiles/basicdoc-fra/partA.htm" TargetMode="External"/><Relationship Id="rId72" Type="http://schemas.openxmlformats.org/officeDocument/2006/relationships/hyperlink" Target="http://www.clubdeparis.org/en/communications/page/who-are-the-members-of-the-paris-club" TargetMode="External"/><Relationship Id="rId80" Type="http://schemas.openxmlformats.org/officeDocument/2006/relationships/hyperlink" Target="http://www.worldbank.org/en/topic/debt/brief/hipc" TargetMode="External"/><Relationship Id="rId85" Type="http://schemas.openxmlformats.org/officeDocument/2006/relationships/hyperlink" Target="http://www.un.org/press/en/1999/19990608.SGSM7022.html" TargetMode="External"/><Relationship Id="rId93" Type="http://schemas.openxmlformats.org/officeDocument/2006/relationships/hyperlink" Target="http://www.imf.org/en/News/Articles/2015/09/28/04/53/sp112601"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imf.org/external/np/exr/facts/mdri.htm" TargetMode="External"/><Relationship Id="rId17" Type="http://schemas.openxmlformats.org/officeDocument/2006/relationships/hyperlink" Target="https://www.law.cornell.edu/uscode/text/28/1606" TargetMode="External"/><Relationship Id="rId25" Type="http://schemas.openxmlformats.org/officeDocument/2006/relationships/hyperlink" Target="https://www.law.cornell.edu/uscode/text/28/1605" TargetMode="External"/><Relationship Id="rId33" Type="http://schemas.openxmlformats.org/officeDocument/2006/relationships/hyperlink" Target="https://www.law.cornell.edu/uscode/text/28/1611" TargetMode="External"/><Relationship Id="rId38" Type="http://schemas.openxmlformats.org/officeDocument/2006/relationships/hyperlink" Target="https://www.law.cornell.edu/uscode/text/28/1610" TargetMode="External"/><Relationship Id="rId46" Type="http://schemas.openxmlformats.org/officeDocument/2006/relationships/hyperlink" Target="https://www.law.cornell.edu/uscode/text/28/1610" TargetMode="External"/><Relationship Id="rId59" Type="http://schemas.openxmlformats.org/officeDocument/2006/relationships/hyperlink" Target="http://www.un.org/development/desa/dpad/publication/un-desa-policy-brief-72-covid-19-and-sovereign-debt/" TargetMode="External"/><Relationship Id="rId67" Type="http://schemas.openxmlformats.org/officeDocument/2006/relationships/hyperlink" Target="http://www.theguardian.com/business/2020/jul/13/covid-19-is-no-excuse-for-sovereign-creditors-to-move-the-goalposts-argentina-debt" TargetMode="External"/><Relationship Id="rId20" Type="http://schemas.openxmlformats.org/officeDocument/2006/relationships/hyperlink" Target="https://www.law.cornell.edu/uscode/text/28/1603" TargetMode="External"/><Relationship Id="rId41" Type="http://schemas.openxmlformats.org/officeDocument/2006/relationships/hyperlink" Target="https://www.law.cornell.edu/uscode/text/28/1610" TargetMode="External"/><Relationship Id="rId54" Type="http://schemas.openxmlformats.org/officeDocument/2006/relationships/hyperlink" Target="https://hudoc.echr.coe.int/eng" TargetMode="External"/><Relationship Id="rId62" Type="http://schemas.openxmlformats.org/officeDocument/2006/relationships/hyperlink" Target="http://www.cliffordchance.com/briefings/2021/05/sovereign-debt-restructuring--proposed-amendment-to-new-york-ban.html" TargetMode="External"/><Relationship Id="rId70" Type="http://schemas.openxmlformats.org/officeDocument/2006/relationships/hyperlink" Target="http://www.uscourts.gov/services-forms/bankruptcy/bankruptcy-basics/chapter-9-bankruptcy-basics" TargetMode="External"/><Relationship Id="rId75" Type="http://schemas.openxmlformats.org/officeDocument/2006/relationships/hyperlink" Target="http://www.equator-principles.com/wp-content/uploads/2020/09/EP4_French.pdf" TargetMode="External"/><Relationship Id="rId83" Type="http://schemas.openxmlformats.org/officeDocument/2006/relationships/hyperlink" Target="https://travel.state.gov/content/travel/en/legal/travel-legal-considerations/internl-judicial-asst/Enforcement-of-Judges.html" TargetMode="External"/><Relationship Id="rId88" Type="http://schemas.openxmlformats.org/officeDocument/2006/relationships/hyperlink" Target="https://webarchive.nationalarchives.gov.uk/20100407194022/http:/www.hm-treasury.gov.uk/speech_chex_100502.htm" TargetMode="External"/><Relationship Id="rId91" Type="http://schemas.openxmlformats.org/officeDocument/2006/relationships/hyperlink" Target="http://www.ohchr.org/en/NewsEvents/Pages/DisplayNews.aspx?NewsID=20106&amp;LangID=E" TargetMode="External"/><Relationship Id="rId9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aw.cornell.edu/uscode/text/28/1605" TargetMode="External"/><Relationship Id="rId23" Type="http://schemas.openxmlformats.org/officeDocument/2006/relationships/hyperlink" Target="https://www.law.cornell.edu/uscode/text/28/1603" TargetMode="External"/><Relationship Id="rId28" Type="http://schemas.openxmlformats.org/officeDocument/2006/relationships/hyperlink" Target="https://www.law.cornell.edu/uscode/text/28/1605" TargetMode="External"/><Relationship Id="rId36" Type="http://schemas.openxmlformats.org/officeDocument/2006/relationships/hyperlink" Target="https://www.law.cornell.edu/uscode/text/28/1610" TargetMode="External"/><Relationship Id="rId49" Type="http://schemas.openxmlformats.org/officeDocument/2006/relationships/hyperlink" Target="https://www.legifrance.gouv.fr/affichCodeArticle.do?cidTexte=LEGITEXT000006072026&amp;idArticle=LEGIARTI000006646457&amp;dateTexte=&amp;categorieLien=cid" TargetMode="External"/><Relationship Id="rId57" Type="http://schemas.openxmlformats.org/officeDocument/2006/relationships/hyperlink" Target="https://bib.uclouvain.be/opac/ucl/fr/chamo/chamo%3A865641?i=0" TargetMode="External"/><Relationship Id="rId10" Type="http://schemas.openxmlformats.org/officeDocument/2006/relationships/hyperlink" Target="https://www.imf.org/external/np/exr/facts/prgf.htm" TargetMode="External"/><Relationship Id="rId31" Type="http://schemas.openxmlformats.org/officeDocument/2006/relationships/hyperlink" Target="https://www.law.cornell.edu/definitions/uscode.php?width=840&amp;height=800&amp;iframe=true&amp;def_id=28-USC-2032517217-1056148291&amp;term_occur=999&amp;term_src=title:28:part:IV:chapter:97:section:1609" TargetMode="External"/><Relationship Id="rId44" Type="http://schemas.openxmlformats.org/officeDocument/2006/relationships/hyperlink" Target="https://www.law.cornell.edu/uscode/text/28/1610" TargetMode="External"/><Relationship Id="rId52" Type="http://schemas.openxmlformats.org/officeDocument/2006/relationships/hyperlink" Target="http://icsidfiles.worldbank.org/icsid/icsid/staticfiles/basicdoc-fra/partA.htm" TargetMode="External"/><Relationship Id="rId60" Type="http://schemas.openxmlformats.org/officeDocument/2006/relationships/hyperlink" Target="https://unctad.org/en/PublicationsLibrary/gdsddf2012misc3_en.pdf" TargetMode="External"/><Relationship Id="rId65" Type="http://schemas.openxmlformats.org/officeDocument/2006/relationships/hyperlink" Target="https://www.democracynow.org/2017/11/30/nobel_prize_winning_economist_joseph_stiglitz" TargetMode="External"/><Relationship Id="rId73" Type="http://schemas.openxmlformats.org/officeDocument/2006/relationships/hyperlink" Target="http://www.clubdeparis.org/fr/communications/page/initiative-ppte" TargetMode="External"/><Relationship Id="rId78" Type="http://schemas.openxmlformats.org/officeDocument/2006/relationships/hyperlink" Target="http://www.imf.org/fr/About/Factsheets/Sheets/2016/08/01/16/11/Debt-Relief-Under-the-Heavily-Indebted-Poor-Countries-Initiative" TargetMode="External"/><Relationship Id="rId81" Type="http://schemas.openxmlformats.org/officeDocument/2006/relationships/hyperlink" Target="http://www.worldbank.org/en/topic/debt-relief" TargetMode="External"/><Relationship Id="rId86" Type="http://schemas.openxmlformats.org/officeDocument/2006/relationships/hyperlink" Target="http://www.imf.org/external/am/1998/speeches/pr05e.pdf" TargetMode="External"/><Relationship Id="rId94" Type="http://schemas.openxmlformats.org/officeDocument/2006/relationships/hyperlink" Target="http://www.oas.org/en/media_center/press_release.asp?sCodigo=E-286/14"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hyperlink" Target="https://www.imf.org/external/np/exr/facts/mdg.htm" TargetMode="External"/><Relationship Id="rId18" Type="http://schemas.openxmlformats.org/officeDocument/2006/relationships/hyperlink" Target="https://www.law.cornell.edu/uscode/text/28/1602" TargetMode="External"/><Relationship Id="rId39" Type="http://schemas.openxmlformats.org/officeDocument/2006/relationships/hyperlink" Target="https://www.law.cornell.edu/uscode/text/28/1610"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worldbank.org/en/topic/debt-relief" TargetMode="External"/><Relationship Id="rId18" Type="http://schemas.openxmlformats.org/officeDocument/2006/relationships/hyperlink" Target="http://www.imf.org/-/media/Files/News/news-articles/english-extraordinary-g20-fmcbg-statement-november-13.ashx" TargetMode="External"/><Relationship Id="rId26" Type="http://schemas.openxmlformats.org/officeDocument/2006/relationships/hyperlink" Target="http://www.rijksoverheid.nl/documenten/kamerstukken/2020/10/27/beantwoording-kamervragen-over-speculeren-met-schulden-van-ontwikkelingslanden" TargetMode="External"/><Relationship Id="rId39" Type="http://schemas.openxmlformats.org/officeDocument/2006/relationships/hyperlink" Target="http://www.cliffordchance.com/briefings/2021/05/sovereign-debt-restructuring--proposed-amendment-to-new-york-ban.html" TargetMode="External"/><Relationship Id="rId21" Type="http://schemas.openxmlformats.org/officeDocument/2006/relationships/hyperlink" Target="http://www.economist.com/leaders/2020/11/21/many-countries-need-debt-relief" TargetMode="External"/><Relationship Id="rId34" Type="http://schemas.openxmlformats.org/officeDocument/2006/relationships/hyperlink" Target="http://www.nysenate.gov/legislation/bills/2021/S6627" TargetMode="External"/><Relationship Id="rId42" Type="http://schemas.openxmlformats.org/officeDocument/2006/relationships/hyperlink" Target="https://www.law.cornell.edu/definitions/uscode.php?width=840&amp;height=800&amp;iframe=true&amp;def_id=28-USC-2032517217-1056148291&amp;term_occur=999&amp;term_src=title:28:part:IV:chapter:97:section:1602" TargetMode="External"/><Relationship Id="rId47" Type="http://schemas.openxmlformats.org/officeDocument/2006/relationships/hyperlink" Target="https://legal.un.org/ilc/texts/instruments/french/commentaries/9_6_2001.pdf" TargetMode="External"/><Relationship Id="rId50" Type="http://schemas.openxmlformats.org/officeDocument/2006/relationships/hyperlink" Target="https://unctad.org/en/PublicationsLibrary/gdsddf2012misc3_en.pdf" TargetMode="External"/><Relationship Id="rId55" Type="http://schemas.openxmlformats.org/officeDocument/2006/relationships/hyperlink" Target="http://www.uscourts.gov/services-forms/bankruptcy/bankruptcy-basics/chapter-9-bankruptcy-basics" TargetMode="External"/><Relationship Id="rId63" Type="http://schemas.openxmlformats.org/officeDocument/2006/relationships/hyperlink" Target="http://www.oecd.org/fr/cad/financementpourledeveloppementdurable/normes-financement-developpement/DAC_List_ODA_Recipients2018to2020_flows_Fr.pdf" TargetMode="External"/><Relationship Id="rId68" Type="http://schemas.openxmlformats.org/officeDocument/2006/relationships/hyperlink" Target="http://www.conseil-constitutionnel.fr/les-decisions/decision-n-2016-741-dc-du-8-decembre-2016-observations-du-gouvernement" TargetMode="External"/><Relationship Id="rId76" Type="http://schemas.openxmlformats.org/officeDocument/2006/relationships/hyperlink" Target="http://icsidfiles.worldbank.org/icsid/icsid/staticfiles/basicdoc-fra/partA.htm" TargetMode="External"/><Relationship Id="rId7" Type="http://schemas.openxmlformats.org/officeDocument/2006/relationships/hyperlink" Target="http://www.imf.org/fr/About/Factsheets/Sheets/2016/08/01/16/11/Debt-Relief-Under-the-Heavily-Indebted-Poor-Countries-Initiative" TargetMode="External"/><Relationship Id="rId71" Type="http://schemas.openxmlformats.org/officeDocument/2006/relationships/hyperlink" Target="http://www.echr.coe.int/Documents/Guide_Art_1_Protocol_1_FRA.pdf" TargetMode="External"/><Relationship Id="rId2" Type="http://schemas.openxmlformats.org/officeDocument/2006/relationships/hyperlink" Target="http://www.un.org/development/desa/dpad/publication/un-desa-policy-brief-72-covid-19-and-sovereign-debt/" TargetMode="External"/><Relationship Id="rId16" Type="http://schemas.openxmlformats.org/officeDocument/2006/relationships/hyperlink" Target="http://www.worldbank.org/en/topic/debt/brief/covid-19-debt-service-suspension-initiative" TargetMode="External"/><Relationship Id="rId29" Type="http://schemas.openxmlformats.org/officeDocument/2006/relationships/hyperlink" Target="http://www.argentina.gob.ar/sites/default/files/mfin_us_prospectus_and_prospectus_supplement.pdf" TargetMode="External"/><Relationship Id="rId11" Type="http://schemas.openxmlformats.org/officeDocument/2006/relationships/hyperlink" Target="https://www.imf.org/fr/About/Factsheets/Sheets/2016/08/01/16/11/Debt-Relief-Under-the-Heavily-Indebted-Poor-Countries-Initiative" TargetMode="External"/><Relationship Id="rId24" Type="http://schemas.openxmlformats.org/officeDocument/2006/relationships/hyperlink" Target="http://www.socialeurope.eu/a-rule-of-law-for-sovereign-debt" TargetMode="External"/><Relationship Id="rId32" Type="http://schemas.openxmlformats.org/officeDocument/2006/relationships/hyperlink" Target="https://www.democracynow.org/2017/11/30/nobel_prize_winning_economist_joseph_stiglitz" TargetMode="External"/><Relationship Id="rId37" Type="http://schemas.openxmlformats.org/officeDocument/2006/relationships/hyperlink" Target="http://fgcap.net/index.html" TargetMode="External"/><Relationship Id="rId40" Type="http://schemas.openxmlformats.org/officeDocument/2006/relationships/hyperlink" Target="http://www.lalibre.be/debats/opinions/dette-souveraine-et-vautours-la-belgique-donne-le-ton-55f8380b35700fb92ee9e8b7" TargetMode="External"/><Relationship Id="rId45" Type="http://schemas.openxmlformats.org/officeDocument/2006/relationships/hyperlink" Target="https://www.law.cornell.edu/definitions/uscode.php?width=840&amp;height=800&amp;iframe=true&amp;def_id=28-USC-2032517217-1056148291&amp;term_occur=999&amp;term_src=" TargetMode="External"/><Relationship Id="rId53" Type="http://schemas.openxmlformats.org/officeDocument/2006/relationships/hyperlink" Target="http://www.nysenate.gov/legislation/bills/2021/S6627" TargetMode="External"/><Relationship Id="rId58" Type="http://schemas.openxmlformats.org/officeDocument/2006/relationships/hyperlink" Target="https://edm.parliament.uk/early-day-motion/32749/vulture-fund-debt-claim-against-zambia" TargetMode="External"/><Relationship Id="rId66" Type="http://schemas.openxmlformats.org/officeDocument/2006/relationships/hyperlink" Target="https://www.legifrance.gouv.fr/affichCodeArticle.do?cidTexte=LEGITEXT000005634379&amp;idArticle=LEGIARTI000006228397&amp;dateTexte=&amp;categorieLien=cid" TargetMode="External"/><Relationship Id="rId74" Type="http://schemas.openxmlformats.org/officeDocument/2006/relationships/hyperlink" Target="http://www.conseil-constitutionnel.fr/les-decisions/decision-n-2016-741-dc-du-8-decembre-2016-observations-du-gouvernement" TargetMode="External"/><Relationship Id="rId79" Type="http://schemas.openxmlformats.org/officeDocument/2006/relationships/hyperlink" Target="http://www.nysenate.gov/legislation/bills/2021/S6627" TargetMode="External"/><Relationship Id="rId5" Type="http://schemas.openxmlformats.org/officeDocument/2006/relationships/hyperlink" Target="http://www.imf.org/external/pubs/ft/dsa/" TargetMode="External"/><Relationship Id="rId61" Type="http://schemas.openxmlformats.org/officeDocument/2006/relationships/hyperlink" Target="https://publications.parliament.uk/pa/ld201012/ldselect/ldmerit/137/13707.htm" TargetMode="External"/><Relationship Id="rId10" Type="http://schemas.openxmlformats.org/officeDocument/2006/relationships/hyperlink" Target="https://www.imf.org/fr/About/Factsheets/Sheets/2016/08/01/16/11/Debt-Relief-Under-the-Heavily-Indebted-Poor-Countries-Initiative" TargetMode="External"/><Relationship Id="rId19" Type="http://schemas.openxmlformats.org/officeDocument/2006/relationships/hyperlink" Target="http://www.clubdeparis.org/en/communications/page/who-are-the-members-of-the-paris-club" TargetMode="External"/><Relationship Id="rId31" Type="http://schemas.openxmlformats.org/officeDocument/2006/relationships/hyperlink" Target="http://www.oas.org/en/media_center/press_release.asp?sCodigo=E-286/14" TargetMode="External"/><Relationship Id="rId44" Type="http://schemas.openxmlformats.org/officeDocument/2006/relationships/hyperlink" Target="https://www.law.cornell.edu/definitions/uscode.php?width=840&amp;height=800&amp;iframe=true&amp;def_id=28-USC-871246629-1056148292&amp;term_occur=999&amp;term_src=title:28:part:IV:chapter:97:section:1610" TargetMode="External"/><Relationship Id="rId52" Type="http://schemas.openxmlformats.org/officeDocument/2006/relationships/hyperlink" Target="https://bib.uclouvain.be/opac/ucl/fr/chamo/chamo%3A865641?i=0" TargetMode="External"/><Relationship Id="rId60" Type="http://schemas.openxmlformats.org/officeDocument/2006/relationships/hyperlink" Target="https://edm.parliament.uk/early-day-motion/40198" TargetMode="External"/><Relationship Id="rId65" Type="http://schemas.openxmlformats.org/officeDocument/2006/relationships/hyperlink" Target="https://www.legifrance.gouv.fr/affichCodeArticle.do?cidTexte=LEGITEXT000006070721&amp;idArticle=LEGIARTI000006438352&amp;dateTexte=&amp;categorieLien=cid" TargetMode="External"/><Relationship Id="rId73" Type="http://schemas.openxmlformats.org/officeDocument/2006/relationships/hyperlink" Target="https://hudoc.echr.coe.int/eng" TargetMode="External"/><Relationship Id="rId78" Type="http://schemas.openxmlformats.org/officeDocument/2006/relationships/hyperlink" Target="http://icsidfiles.worldbank.org/icsid/icsid/staticfiles/basicdoc-fra/partA.htm" TargetMode="External"/><Relationship Id="rId4" Type="http://schemas.openxmlformats.org/officeDocument/2006/relationships/hyperlink" Target="https://travel.state.gov/content/travel/en/legal/travel-legal-considerations/internl-judicial-asst/Enforcement-of-Judges.html" TargetMode="External"/><Relationship Id="rId9" Type="http://schemas.openxmlformats.org/officeDocument/2006/relationships/hyperlink" Target="https://www.imf.org/fr/About/Factsheets/Sheets/2016/08/01/16/11/Debt-Relief-Under-the-Heavily-Indebted-Poor-Countries-Initiative" TargetMode="External"/><Relationship Id="rId14" Type="http://schemas.openxmlformats.org/officeDocument/2006/relationships/hyperlink" Target="http://www.imf.org/fr/About/Factsheets/Sheets/2016/08/01/16/39/Debt-Sustainability-Framework-for-Low-Income-Countries" TargetMode="External"/><Relationship Id="rId22" Type="http://schemas.openxmlformats.org/officeDocument/2006/relationships/hyperlink" Target="https://bib.uclouvain.be/opac/ucl/fr/chamo/chamo%3A865641?i=0" TargetMode="External"/><Relationship Id="rId27" Type="http://schemas.openxmlformats.org/officeDocument/2006/relationships/hyperlink" Target="http://www.imf.org/external/am/1998/speeches/pr05e.pdf" TargetMode="External"/><Relationship Id="rId30" Type="http://schemas.openxmlformats.org/officeDocument/2006/relationships/hyperlink" Target="http://www.argentina.gob.ar/sites/default/files/us_prospectus_version_ingles_30042010.pdf" TargetMode="External"/><Relationship Id="rId35" Type="http://schemas.openxmlformats.org/officeDocument/2006/relationships/hyperlink" Target="http://www.lemonde.fr/economie/article/2016/03/31/l-argentine-se-libere-enfin-des-fonds-vautours_4893218_3234.html" TargetMode="External"/><Relationship Id="rId43" Type="http://schemas.openxmlformats.org/officeDocument/2006/relationships/hyperlink" Target="https://www.law.cornell.edu/definitions/uscode.php?width=840&amp;height=800&amp;iframe=true&amp;def_id=28-USC-2032517217-1056148291&amp;term_occur=999&amp;term_src=title:28:part:IV:chapter:97:section:1602" TargetMode="External"/><Relationship Id="rId48" Type="http://schemas.openxmlformats.org/officeDocument/2006/relationships/hyperlink" Target="https://legal.un.org/ilc/texts/instruments/french/commentaries/9_6_2001.pdf" TargetMode="External"/><Relationship Id="rId56" Type="http://schemas.openxmlformats.org/officeDocument/2006/relationships/hyperlink" Target="http://www.bis.org/publ/gten03.pdf" TargetMode="External"/><Relationship Id="rId64" Type="http://schemas.openxmlformats.org/officeDocument/2006/relationships/hyperlink" Target="http://www.conseil-constitutionnel.fr/les-decisions/decision-n-2016-741-dc-du-8-decembre-2016-observations-du-gouvernement" TargetMode="External"/><Relationship Id="rId69" Type="http://schemas.openxmlformats.org/officeDocument/2006/relationships/hyperlink" Target="https://hudoc.echr.coe.int/eng" TargetMode="External"/><Relationship Id="rId77" Type="http://schemas.openxmlformats.org/officeDocument/2006/relationships/hyperlink" Target="http://icsidfiles.worldbank.org/icsid/icsid/staticfiles/basicdoc-fra/partA.htm" TargetMode="External"/><Relationship Id="rId8" Type="http://schemas.openxmlformats.org/officeDocument/2006/relationships/hyperlink" Target="https://www.imf.org/fr/About/Factsheets/Sheets/2016/08/01/16/11/Debt-Relief-Under-the-Heavily-Indebted-Poor-Countries-Initiative" TargetMode="External"/><Relationship Id="rId51" Type="http://schemas.openxmlformats.org/officeDocument/2006/relationships/hyperlink" Target="http://www.imf.org/en/News/Articles/2015/09/28/04/53/sp112601" TargetMode="External"/><Relationship Id="rId72" Type="http://schemas.openxmlformats.org/officeDocument/2006/relationships/hyperlink" Target="https://hudoc.echr.coe.int/eng" TargetMode="External"/><Relationship Id="rId80" Type="http://schemas.openxmlformats.org/officeDocument/2006/relationships/hyperlink" Target="http://www.cncd.be/IMG/pdf/RAPPORT_FONDS_VAUTOURS_2009.pdf" TargetMode="External"/><Relationship Id="rId3" Type="http://schemas.openxmlformats.org/officeDocument/2006/relationships/hyperlink" Target="http://www.ohchr.org/en/NewsEvents/Pages/DisplayNews.aspx?NewsID=20106&amp;LangID=E" TargetMode="External"/><Relationship Id="rId12" Type="http://schemas.openxmlformats.org/officeDocument/2006/relationships/hyperlink" Target="http://www.clubdeparis.org/fr/communications/page/termes-naples" TargetMode="External"/><Relationship Id="rId17" Type="http://schemas.openxmlformats.org/officeDocument/2006/relationships/hyperlink" Target="http://www.imf.org/en/News/Articles/2020/11/13/sp-g20-finance-ministers-and-central-bank-governors-meeting" TargetMode="External"/><Relationship Id="rId25" Type="http://schemas.openxmlformats.org/officeDocument/2006/relationships/hyperlink" Target="http://www.nysenate.gov/legislation/bills/2021/S6627" TargetMode="External"/><Relationship Id="rId33" Type="http://schemas.openxmlformats.org/officeDocument/2006/relationships/hyperlink" Target="http://www.italaw.com/cases/3879" TargetMode="External"/><Relationship Id="rId38" Type="http://schemas.openxmlformats.org/officeDocument/2006/relationships/hyperlink" Target="http://www.un.org/press/en/1999/19990608.SGSM7022.html" TargetMode="External"/><Relationship Id="rId46" Type="http://schemas.openxmlformats.org/officeDocument/2006/relationships/hyperlink" Target="https://www.law.cornell.edu/definitions/uscode.php?width=840&amp;height=800&amp;iframe=true&amp;def_id=28-USC-2032517217-1056148291&amp;term_occur=999&amp;term_src=" TargetMode="External"/><Relationship Id="rId59" Type="http://schemas.openxmlformats.org/officeDocument/2006/relationships/hyperlink" Target="https://edm.parliament.uk/early-day-motion/38604/regulation-of-vulture-funds" TargetMode="External"/><Relationship Id="rId67" Type="http://schemas.openxmlformats.org/officeDocument/2006/relationships/hyperlink" Target="http://www.coe.int/fr/web/conventions/full-list" TargetMode="External"/><Relationship Id="rId20" Type="http://schemas.openxmlformats.org/officeDocument/2006/relationships/hyperlink" Target="http://www.clubdeparis.org/fr/communications/page/six-principes" TargetMode="External"/><Relationship Id="rId41" Type="http://schemas.openxmlformats.org/officeDocument/2006/relationships/hyperlink" Target="http://www.coe.int/en/web/conventions/full-list/-/conventions/treaty/074/signatures?p_auth=YEpfEtWd" TargetMode="External"/><Relationship Id="rId54" Type="http://schemas.openxmlformats.org/officeDocument/2006/relationships/hyperlink" Target="http://www.nysenate.gov/legislation/bills/2021/S6627" TargetMode="External"/><Relationship Id="rId62" Type="http://schemas.openxmlformats.org/officeDocument/2006/relationships/hyperlink" Target="https://papers.ssrn.com/sol3/papers.cfm?abstract_id=3202517" TargetMode="External"/><Relationship Id="rId70" Type="http://schemas.openxmlformats.org/officeDocument/2006/relationships/hyperlink" Target="http://www.conseil-constitutionnel.fr/les-decisions/decision-n-2016-741-dc-du-8-decembre-2016-observations-du-gouvernement" TargetMode="External"/><Relationship Id="rId75" Type="http://schemas.openxmlformats.org/officeDocument/2006/relationships/hyperlink" Target="http://www.nysenate.gov/legislation/bills/2021/S6627" TargetMode="External"/><Relationship Id="rId1" Type="http://schemas.openxmlformats.org/officeDocument/2006/relationships/hyperlink" Target="https://www.economist.com/content/global_debt_clock" TargetMode="External"/><Relationship Id="rId6" Type="http://schemas.openxmlformats.org/officeDocument/2006/relationships/hyperlink" Target="http://www.equator-principles.com/wp-content/uploads/2020/09/EP4_French.pdf" TargetMode="External"/><Relationship Id="rId15" Type="http://schemas.openxmlformats.org/officeDocument/2006/relationships/hyperlink" Target="http://www.worldbank.org/en/topic/debt-relief" TargetMode="External"/><Relationship Id="rId23" Type="http://schemas.openxmlformats.org/officeDocument/2006/relationships/hyperlink" Target="http://www.boletinoficial.gob.ar/" TargetMode="External"/><Relationship Id="rId28" Type="http://schemas.openxmlformats.org/officeDocument/2006/relationships/hyperlink" Target="http://www.argentina.gob.ar/sites/default/files/mfin_us_prospectus_and_prospectus_supplement.pdf" TargetMode="External"/><Relationship Id="rId36" Type="http://schemas.openxmlformats.org/officeDocument/2006/relationships/hyperlink" Target="https://webarchive.nationalarchives.gov.uk/20100407194022/http://www.hm-treasury.gov.uk/speech_chex_100502.htm" TargetMode="External"/><Relationship Id="rId49" Type="http://schemas.openxmlformats.org/officeDocument/2006/relationships/hyperlink" Target="http://www.nysenate.gov/legislation/bills/2021/S6627" TargetMode="External"/><Relationship Id="rId57" Type="http://schemas.openxmlformats.org/officeDocument/2006/relationships/hyperlink" Target="http://www.consilium.europa.eu/uedocs/cms_data/docs/pressdata/en/ecofin/11805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5C67A-8F9A-47B0-8FF6-45FD629E5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145855</Words>
  <Characters>802204</Characters>
  <Application>Microsoft Office Word</Application>
  <DocSecurity>0</DocSecurity>
  <Lines>6685</Lines>
  <Paragraphs>1892</Paragraphs>
  <ScaleCrop>false</ScaleCrop>
  <HeadingPairs>
    <vt:vector size="2" baseType="variant">
      <vt:variant>
        <vt:lpstr>Titre</vt:lpstr>
      </vt:variant>
      <vt:variant>
        <vt:i4>1</vt:i4>
      </vt:variant>
    </vt:vector>
  </HeadingPairs>
  <TitlesOfParts>
    <vt:vector size="1" baseType="lpstr">
      <vt:lpstr/>
    </vt:vector>
  </TitlesOfParts>
  <Company>Université Catholique de Louvain</Company>
  <LinksUpToDate>false</LinksUpToDate>
  <CharactersWithSpaces>946167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Vanderschuren</dc:creator>
  <cp:keywords/>
  <dc:description/>
  <cp:lastModifiedBy>Justin Vanderschuren</cp:lastModifiedBy>
  <cp:revision>20</cp:revision>
  <cp:lastPrinted>2021-10-20T10:32:00Z</cp:lastPrinted>
  <dcterms:created xsi:type="dcterms:W3CDTF">2022-05-05T14:50:00Z</dcterms:created>
  <dcterms:modified xsi:type="dcterms:W3CDTF">2022-05-12T17:21:00Z</dcterms:modified>
</cp:coreProperties>
</file>